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5861CE" w:rsidP="005861CE">
      <w:pPr>
        <w:spacing w:line="240" w:lineRule="auto"/>
        <w:rPr>
          <w:b/>
        </w:rPr>
      </w:pPr>
      <w:r>
        <w:rPr>
          <w:b/>
        </w:rPr>
        <w:t xml:space="preserve">BEFORE THE </w:t>
      </w:r>
    </w:p>
    <w:p w:rsidR="005861CE" w:rsidRDefault="005861CE" w:rsidP="005861CE">
      <w:pPr>
        <w:spacing w:line="240" w:lineRule="auto"/>
        <w:rPr>
          <w:b/>
        </w:rPr>
      </w:pPr>
      <w:r>
        <w:rPr>
          <w:b/>
        </w:rPr>
        <w:t>PENNSYLVANIA PUBLIC UTILITY COMMISSION</w:t>
      </w:r>
    </w:p>
    <w:p w:rsidR="005861CE" w:rsidRDefault="005861CE" w:rsidP="005861CE">
      <w:pPr>
        <w:spacing w:line="240" w:lineRule="auto"/>
        <w:rPr>
          <w:b/>
        </w:rPr>
      </w:pPr>
    </w:p>
    <w:p w:rsidR="005861CE" w:rsidRDefault="005861CE" w:rsidP="005861CE">
      <w:pPr>
        <w:spacing w:line="240" w:lineRule="auto"/>
        <w:rPr>
          <w:b/>
        </w:rPr>
      </w:pPr>
    </w:p>
    <w:p w:rsidR="007D2C0D" w:rsidRDefault="007D2C0D" w:rsidP="005861CE">
      <w:pPr>
        <w:spacing w:line="240" w:lineRule="auto"/>
        <w:rPr>
          <w:b/>
        </w:rPr>
      </w:pPr>
    </w:p>
    <w:p w:rsidR="005861CE" w:rsidRDefault="003C3761" w:rsidP="005861CE">
      <w:pPr>
        <w:spacing w:line="240" w:lineRule="auto"/>
        <w:jc w:val="left"/>
      </w:pPr>
      <w:r>
        <w:t>Joe and Danielle Steffe</w:t>
      </w:r>
      <w:r w:rsidR="00232397">
        <w:tab/>
      </w:r>
      <w:r w:rsidR="00232397">
        <w:tab/>
      </w:r>
      <w:r w:rsidR="00232397">
        <w:tab/>
      </w:r>
      <w:r w:rsidR="00BA1A63">
        <w:tab/>
      </w:r>
      <w:r w:rsidR="005861CE">
        <w:t>:</w:t>
      </w:r>
    </w:p>
    <w:p w:rsidR="005861CE" w:rsidRDefault="005861CE" w:rsidP="005861CE">
      <w:pPr>
        <w:spacing w:line="240" w:lineRule="auto"/>
        <w:jc w:val="left"/>
      </w:pPr>
      <w:r>
        <w:tab/>
      </w:r>
      <w:r>
        <w:tab/>
      </w:r>
      <w:r>
        <w:tab/>
      </w:r>
      <w:r>
        <w:tab/>
      </w:r>
      <w:r>
        <w:tab/>
      </w:r>
      <w:r>
        <w:tab/>
      </w:r>
      <w:r>
        <w:tab/>
        <w:t>:</w:t>
      </w:r>
    </w:p>
    <w:p w:rsidR="005861CE" w:rsidRDefault="005861CE" w:rsidP="005861CE">
      <w:pPr>
        <w:spacing w:line="240" w:lineRule="auto"/>
        <w:jc w:val="left"/>
      </w:pPr>
      <w:r>
        <w:tab/>
        <w:t>v.</w:t>
      </w:r>
      <w:r>
        <w:tab/>
      </w:r>
      <w:r>
        <w:tab/>
      </w:r>
      <w:r>
        <w:tab/>
      </w:r>
      <w:r>
        <w:tab/>
      </w:r>
      <w:r>
        <w:tab/>
      </w:r>
      <w:r>
        <w:tab/>
        <w:t>:</w:t>
      </w:r>
      <w:r>
        <w:tab/>
      </w:r>
      <w:r>
        <w:tab/>
      </w:r>
      <w:r>
        <w:tab/>
      </w:r>
      <w:r w:rsidR="00BA1A63">
        <w:t>C-2015-</w:t>
      </w:r>
      <w:r w:rsidR="003C3761">
        <w:t>2472173</w:t>
      </w:r>
    </w:p>
    <w:p w:rsidR="005861CE" w:rsidRDefault="005861CE" w:rsidP="005861CE">
      <w:pPr>
        <w:spacing w:line="240" w:lineRule="auto"/>
        <w:jc w:val="left"/>
      </w:pPr>
      <w:r>
        <w:tab/>
      </w:r>
      <w:r>
        <w:tab/>
      </w:r>
      <w:r>
        <w:tab/>
      </w:r>
      <w:r>
        <w:tab/>
      </w:r>
      <w:r>
        <w:tab/>
      </w:r>
      <w:r>
        <w:tab/>
      </w:r>
      <w:r>
        <w:tab/>
        <w:t>:</w:t>
      </w:r>
    </w:p>
    <w:p w:rsidR="005861CE" w:rsidRDefault="00006BD3" w:rsidP="005861CE">
      <w:pPr>
        <w:spacing w:line="240" w:lineRule="auto"/>
        <w:jc w:val="left"/>
      </w:pPr>
      <w:r>
        <w:t>PECO Energy Company</w:t>
      </w:r>
      <w:r>
        <w:tab/>
      </w:r>
      <w:r w:rsidR="00232397">
        <w:tab/>
      </w:r>
      <w:r w:rsidR="00232397">
        <w:tab/>
      </w:r>
      <w:r w:rsidR="00232397">
        <w:tab/>
        <w:t>:</w:t>
      </w:r>
    </w:p>
    <w:p w:rsidR="005861CE" w:rsidRDefault="005861CE" w:rsidP="005861CE">
      <w:pPr>
        <w:spacing w:line="240" w:lineRule="auto"/>
        <w:jc w:val="left"/>
      </w:pPr>
    </w:p>
    <w:p w:rsidR="007D2C0D" w:rsidRDefault="007D2C0D" w:rsidP="005861CE">
      <w:pPr>
        <w:spacing w:line="240" w:lineRule="auto"/>
        <w:jc w:val="left"/>
      </w:pPr>
    </w:p>
    <w:p w:rsidR="007E44BD" w:rsidRDefault="007E44BD" w:rsidP="00AE00E2">
      <w:pPr>
        <w:spacing w:line="240" w:lineRule="auto"/>
        <w:rPr>
          <w:b/>
          <w:color w:val="000000" w:themeColor="text1"/>
          <w:u w:val="single"/>
        </w:rPr>
      </w:pPr>
    </w:p>
    <w:p w:rsidR="007E44BD" w:rsidRPr="00AE00E2" w:rsidRDefault="00957D53" w:rsidP="00AE00E2">
      <w:pPr>
        <w:spacing w:line="240" w:lineRule="auto"/>
        <w:rPr>
          <w:b/>
          <w:color w:val="000000" w:themeColor="text1"/>
          <w:u w:val="single"/>
        </w:rPr>
      </w:pPr>
      <w:r>
        <w:rPr>
          <w:b/>
          <w:color w:val="000000" w:themeColor="text1"/>
          <w:u w:val="single"/>
        </w:rPr>
        <w:t>INITIAL DECISION</w:t>
      </w:r>
    </w:p>
    <w:p w:rsidR="007C12D9" w:rsidRPr="007D2C0D" w:rsidRDefault="007C12D9" w:rsidP="005861CE">
      <w:pPr>
        <w:spacing w:line="240" w:lineRule="auto"/>
        <w:rPr>
          <w:b/>
        </w:rPr>
      </w:pPr>
      <w:bookmarkStart w:id="0" w:name="_GoBack"/>
      <w:bookmarkEnd w:id="0"/>
    </w:p>
    <w:p w:rsidR="0042227A" w:rsidRPr="007D2C0D" w:rsidRDefault="0042227A" w:rsidP="005861CE">
      <w:pPr>
        <w:spacing w:line="240" w:lineRule="auto"/>
        <w:rPr>
          <w:b/>
        </w:rPr>
      </w:pPr>
    </w:p>
    <w:p w:rsidR="0042227A" w:rsidRPr="007D2C0D" w:rsidRDefault="0042227A" w:rsidP="0042227A">
      <w:pPr>
        <w:spacing w:line="240" w:lineRule="auto"/>
        <w:rPr>
          <w:rFonts w:eastAsia="Calibri"/>
        </w:rPr>
      </w:pPr>
      <w:r w:rsidRPr="007D2C0D">
        <w:rPr>
          <w:rFonts w:eastAsia="Calibri"/>
        </w:rPr>
        <w:t>Before</w:t>
      </w:r>
    </w:p>
    <w:p w:rsidR="0042227A" w:rsidRPr="00280FDD" w:rsidRDefault="0042227A" w:rsidP="0042227A">
      <w:pPr>
        <w:spacing w:line="240" w:lineRule="auto"/>
        <w:rPr>
          <w:rFonts w:eastAsia="Calibri"/>
        </w:rPr>
      </w:pPr>
      <w:r w:rsidRPr="00280FDD">
        <w:rPr>
          <w:rFonts w:eastAsia="Calibri"/>
        </w:rPr>
        <w:t>Susan D. Colwell</w:t>
      </w:r>
    </w:p>
    <w:p w:rsidR="0042227A" w:rsidRDefault="0042227A" w:rsidP="0042227A">
      <w:pPr>
        <w:spacing w:line="240" w:lineRule="auto"/>
        <w:rPr>
          <w:rFonts w:eastAsia="Calibri"/>
        </w:rPr>
      </w:pPr>
      <w:r w:rsidRPr="00280FDD">
        <w:rPr>
          <w:rFonts w:eastAsia="Calibri"/>
        </w:rPr>
        <w:t>Administrative Law Judge</w:t>
      </w:r>
    </w:p>
    <w:p w:rsidR="00D3778A" w:rsidRDefault="00D3778A" w:rsidP="0042227A">
      <w:pPr>
        <w:spacing w:line="240" w:lineRule="auto"/>
        <w:rPr>
          <w:rFonts w:eastAsia="Calibri"/>
        </w:rPr>
      </w:pPr>
    </w:p>
    <w:p w:rsidR="00D3778A" w:rsidRDefault="00D3778A" w:rsidP="0042227A">
      <w:pPr>
        <w:spacing w:line="240" w:lineRule="auto"/>
        <w:rPr>
          <w:rFonts w:eastAsia="Calibri"/>
        </w:rPr>
      </w:pPr>
    </w:p>
    <w:p w:rsidR="00D3778A" w:rsidRDefault="00D3778A" w:rsidP="007D2C0D">
      <w:pPr>
        <w:rPr>
          <w:rFonts w:eastAsia="Calibri"/>
          <w:u w:val="single"/>
        </w:rPr>
      </w:pPr>
      <w:r w:rsidRPr="00D3778A">
        <w:rPr>
          <w:rFonts w:eastAsia="Calibri"/>
          <w:u w:val="single"/>
        </w:rPr>
        <w:t>INTRODUCTION</w:t>
      </w:r>
    </w:p>
    <w:p w:rsidR="007D2C0D" w:rsidRPr="00D3778A" w:rsidRDefault="007D2C0D" w:rsidP="007D2C0D">
      <w:pPr>
        <w:rPr>
          <w:rFonts w:eastAsia="Calibri"/>
          <w:u w:val="single"/>
        </w:rPr>
      </w:pPr>
    </w:p>
    <w:p w:rsidR="000F5D78" w:rsidRPr="00280FDD" w:rsidRDefault="00D3778A" w:rsidP="007D2C0D">
      <w:pPr>
        <w:jc w:val="left"/>
        <w:rPr>
          <w:rFonts w:eastAsia="Calibri"/>
        </w:rPr>
      </w:pPr>
      <w:r>
        <w:rPr>
          <w:rFonts w:eastAsia="Calibri"/>
        </w:rPr>
        <w:tab/>
      </w:r>
      <w:r>
        <w:rPr>
          <w:rFonts w:eastAsia="Calibri"/>
        </w:rPr>
        <w:tab/>
        <w:t xml:space="preserve">This initial decision grants the </w:t>
      </w:r>
      <w:r w:rsidR="00273679">
        <w:rPr>
          <w:rFonts w:eastAsia="Calibri"/>
        </w:rPr>
        <w:t xml:space="preserve">Respondent’s </w:t>
      </w:r>
      <w:r w:rsidR="00DA7628">
        <w:rPr>
          <w:rFonts w:eastAsia="Calibri"/>
        </w:rPr>
        <w:t>Preliminary Objections</w:t>
      </w:r>
      <w:r w:rsidR="000A1347">
        <w:rPr>
          <w:rFonts w:eastAsia="Calibri"/>
        </w:rPr>
        <w:t xml:space="preserve"> and dismisses the formal C</w:t>
      </w:r>
      <w:r>
        <w:rPr>
          <w:rFonts w:eastAsia="Calibri"/>
        </w:rPr>
        <w:t xml:space="preserve">omplaint because </w:t>
      </w:r>
      <w:r w:rsidR="0011038E">
        <w:rPr>
          <w:rFonts w:eastAsia="Calibri"/>
        </w:rPr>
        <w:t xml:space="preserve">it </w:t>
      </w:r>
      <w:r w:rsidR="00F50997">
        <w:rPr>
          <w:rFonts w:eastAsia="Calibri"/>
        </w:rPr>
        <w:t xml:space="preserve">seeks removal of a smart meter, which is the only remedy sought and which cannot be granted.   </w:t>
      </w:r>
    </w:p>
    <w:p w:rsidR="0042227A" w:rsidRPr="00280FDD" w:rsidRDefault="0042227A" w:rsidP="007D2C0D">
      <w:pPr>
        <w:rPr>
          <w:rFonts w:eastAsia="Calibri"/>
        </w:rPr>
      </w:pPr>
    </w:p>
    <w:p w:rsidR="00FB05E3" w:rsidRPr="007D2C0D" w:rsidRDefault="0042227A" w:rsidP="007D2C0D">
      <w:pPr>
        <w:rPr>
          <w:rFonts w:eastAsia="Calibri"/>
          <w:i/>
        </w:rPr>
      </w:pPr>
      <w:r w:rsidRPr="007D2C0D">
        <w:rPr>
          <w:rFonts w:eastAsia="Calibri"/>
          <w:u w:val="single"/>
        </w:rPr>
        <w:t>HISTORY OF THE PROCEEDING</w:t>
      </w:r>
      <w:r w:rsidRPr="007D2C0D">
        <w:rPr>
          <w:rFonts w:eastAsia="Calibri"/>
          <w:i/>
        </w:rPr>
        <w:t xml:space="preserve"> </w:t>
      </w:r>
    </w:p>
    <w:p w:rsidR="007C12D9" w:rsidRPr="007D2C0D" w:rsidRDefault="007C12D9" w:rsidP="007D2C0D">
      <w:pPr>
        <w:jc w:val="left"/>
      </w:pPr>
    </w:p>
    <w:p w:rsidR="00AD2E2E" w:rsidRDefault="004C583B" w:rsidP="007D2C0D">
      <w:pPr>
        <w:jc w:val="left"/>
      </w:pPr>
      <w:r>
        <w:tab/>
      </w:r>
      <w:r>
        <w:tab/>
      </w:r>
      <w:r w:rsidR="00006BD3">
        <w:t xml:space="preserve">On </w:t>
      </w:r>
      <w:r w:rsidR="003C3761">
        <w:t xml:space="preserve">March 5, 2015, Joe and Danielle Steffe (Complainants) filed a formal Complaint (Complaint) against PECO Energy Company (PECO or Respondent).  The </w:t>
      </w:r>
      <w:r w:rsidR="00E950C6">
        <w:t>Complainants</w:t>
      </w:r>
      <w:r w:rsidR="00A43BC4">
        <w:t>, who are customers of PECO,</w:t>
      </w:r>
      <w:r w:rsidR="003C3761">
        <w:t xml:space="preserve"> allege that they are having a reliability, safety, or quality problem with their utility </w:t>
      </w:r>
      <w:r w:rsidR="00E950C6">
        <w:t>service</w:t>
      </w:r>
      <w:r w:rsidR="003C3761">
        <w:t>.  Specific</w:t>
      </w:r>
      <w:r w:rsidR="003A37B0">
        <w:t>ally, they allege that the smart meter</w:t>
      </w:r>
      <w:r w:rsidR="003C3761">
        <w:t xml:space="preserve"> installed at their home is </w:t>
      </w:r>
      <w:r w:rsidR="0011038E">
        <w:t>exacerbating</w:t>
      </w:r>
      <w:r w:rsidR="003C3761">
        <w:t xml:space="preserve"> their child’s medical condition</w:t>
      </w:r>
      <w:r w:rsidR="00243671">
        <w:t>s</w:t>
      </w:r>
      <w:r w:rsidR="003C3761">
        <w:t xml:space="preserve">.  They allege that since the meter was installed, the child is having problems sleeping, focusing, and regulating.  Complainants </w:t>
      </w:r>
      <w:r w:rsidR="00CA5B6B">
        <w:t>claim</w:t>
      </w:r>
      <w:r w:rsidR="003C3761">
        <w:t xml:space="preserve"> that the presence of the smart meter is affecting their child’s life in a negative fashion and that they would like the Pennsylvania Public Utility Commission (Commission) to direct PECO to remove the smart meter.  The Complainants also state that they are willing to pay any </w:t>
      </w:r>
      <w:r w:rsidR="003C3761">
        <w:lastRenderedPageBreak/>
        <w:t xml:space="preserve">additional expenses per month that would be necessary to </w:t>
      </w:r>
      <w:r w:rsidR="007D10FF">
        <w:t>compensate</w:t>
      </w:r>
      <w:r w:rsidR="003C3761">
        <w:t xml:space="preserve"> for the inconvenience caused by their request.  </w:t>
      </w:r>
      <w:r w:rsidR="00E133B6">
        <w:t xml:space="preserve">The Complaint makes no other allegations, nor demands any other form of relief. </w:t>
      </w:r>
      <w:r w:rsidR="006E7C3B">
        <w:t xml:space="preserve"> This case is an untimely appeal of a </w:t>
      </w:r>
      <w:r w:rsidR="00DF5352">
        <w:t>Bureau of Consumer Services (</w:t>
      </w:r>
      <w:r w:rsidR="006E7C3B">
        <w:t>BCS</w:t>
      </w:r>
      <w:r w:rsidR="00DF5352">
        <w:t>)</w:t>
      </w:r>
      <w:r w:rsidR="006E7C3B">
        <w:t xml:space="preserve"> informal decision, Case #003248586. </w:t>
      </w:r>
    </w:p>
    <w:p w:rsidR="003B4DD9" w:rsidRPr="00E133B6" w:rsidRDefault="003B4DD9" w:rsidP="00BA1A63">
      <w:pPr>
        <w:jc w:val="left"/>
        <w:rPr>
          <w:color w:val="000000" w:themeColor="text1"/>
        </w:rPr>
      </w:pPr>
    </w:p>
    <w:p w:rsidR="002C4241" w:rsidRDefault="003B4DD9" w:rsidP="008120D0">
      <w:pPr>
        <w:jc w:val="left"/>
        <w:rPr>
          <w:color w:val="000000" w:themeColor="text1"/>
        </w:rPr>
      </w:pPr>
      <w:r w:rsidRPr="00E133B6">
        <w:rPr>
          <w:color w:val="000000" w:themeColor="text1"/>
        </w:rPr>
        <w:tab/>
      </w:r>
      <w:r w:rsidRPr="00E133B6">
        <w:rPr>
          <w:color w:val="000000" w:themeColor="text1"/>
        </w:rPr>
        <w:tab/>
      </w:r>
      <w:r w:rsidR="002C4241" w:rsidRPr="00E133B6">
        <w:rPr>
          <w:color w:val="000000" w:themeColor="text1"/>
        </w:rPr>
        <w:t>On March</w:t>
      </w:r>
      <w:r w:rsidR="008120D0" w:rsidRPr="00E133B6">
        <w:rPr>
          <w:color w:val="000000" w:themeColor="text1"/>
        </w:rPr>
        <w:t xml:space="preserve"> 20, 2015, PECO fil</w:t>
      </w:r>
      <w:r w:rsidR="00BC6EEE" w:rsidRPr="00E133B6">
        <w:rPr>
          <w:color w:val="000000" w:themeColor="text1"/>
        </w:rPr>
        <w:t>ed its Answer</w:t>
      </w:r>
      <w:r w:rsidR="00B63AF5">
        <w:rPr>
          <w:color w:val="000000" w:themeColor="text1"/>
        </w:rPr>
        <w:t>,</w:t>
      </w:r>
      <w:r w:rsidR="00BC6EEE" w:rsidRPr="00E133B6">
        <w:rPr>
          <w:color w:val="000000" w:themeColor="text1"/>
        </w:rPr>
        <w:t xml:space="preserve"> </w:t>
      </w:r>
      <w:r w:rsidR="006E7C3B">
        <w:rPr>
          <w:color w:val="000000" w:themeColor="text1"/>
        </w:rPr>
        <w:t>New Matter</w:t>
      </w:r>
      <w:r w:rsidR="00B63AF5">
        <w:rPr>
          <w:color w:val="000000" w:themeColor="text1"/>
        </w:rPr>
        <w:t xml:space="preserve"> and Preliminary Objections (POs)</w:t>
      </w:r>
      <w:r w:rsidR="00B63AF5" w:rsidRPr="00B63AF5">
        <w:rPr>
          <w:color w:val="000000" w:themeColor="text1"/>
        </w:rPr>
        <w:t xml:space="preserve"> </w:t>
      </w:r>
      <w:r w:rsidR="00B63AF5" w:rsidRPr="00E133B6">
        <w:rPr>
          <w:color w:val="000000" w:themeColor="text1"/>
        </w:rPr>
        <w:t>properly accompanied by a Notice to Plead</w:t>
      </w:r>
      <w:r w:rsidR="00A43BC4">
        <w:rPr>
          <w:color w:val="000000" w:themeColor="text1"/>
        </w:rPr>
        <w:t xml:space="preserve">.  PECO denies the allegations contained in the Complaint.  PECO it is required to install AMI meters for its electric distribution customers pursuant </w:t>
      </w:r>
      <w:r w:rsidR="00325E56">
        <w:rPr>
          <w:color w:val="000000" w:themeColor="text1"/>
        </w:rPr>
        <w:t xml:space="preserve">to the requirements of Act 129, and that it must install AMI meters for all current AMR customers by the end of 2014.  In New Matter, </w:t>
      </w:r>
      <w:r w:rsidR="002244B5">
        <w:rPr>
          <w:color w:val="000000" w:themeColor="text1"/>
        </w:rPr>
        <w:t>PECO states that Complainant</w:t>
      </w:r>
      <w:r w:rsidR="004556D5">
        <w:rPr>
          <w:color w:val="000000" w:themeColor="text1"/>
        </w:rPr>
        <w:t>s have requested permission to opt out</w:t>
      </w:r>
      <w:r w:rsidR="002244B5">
        <w:rPr>
          <w:color w:val="000000" w:themeColor="text1"/>
        </w:rPr>
        <w:t xml:space="preserve"> of the smart meter installation at their residence for health reasons.  </w:t>
      </w:r>
      <w:r w:rsidR="00EC091A">
        <w:rPr>
          <w:color w:val="000000" w:themeColor="text1"/>
        </w:rPr>
        <w:t xml:space="preserve">PECO </w:t>
      </w:r>
      <w:r w:rsidR="00B63AF5">
        <w:rPr>
          <w:color w:val="000000" w:themeColor="text1"/>
        </w:rPr>
        <w:t>states that</w:t>
      </w:r>
      <w:r w:rsidR="00EC091A">
        <w:rPr>
          <w:color w:val="000000" w:themeColor="text1"/>
        </w:rPr>
        <w:t xml:space="preserve"> its </w:t>
      </w:r>
      <w:r w:rsidR="00B63AF5">
        <w:rPr>
          <w:color w:val="000000" w:themeColor="text1"/>
        </w:rPr>
        <w:t>Smart Meter installation plan</w:t>
      </w:r>
      <w:r w:rsidR="00EC091A">
        <w:rPr>
          <w:color w:val="000000" w:themeColor="text1"/>
        </w:rPr>
        <w:t xml:space="preserve"> was approved by the Commission on May 6, 2010</w:t>
      </w:r>
      <w:r w:rsidR="00B63AF5">
        <w:rPr>
          <w:color w:val="000000" w:themeColor="text1"/>
        </w:rPr>
        <w:t>, and that</w:t>
      </w:r>
      <w:r w:rsidR="002A5EFC">
        <w:rPr>
          <w:color w:val="000000" w:themeColor="text1"/>
        </w:rPr>
        <w:t xml:space="preserve"> Act 129, along with Commission orders governing Smart Meter installation, </w:t>
      </w:r>
      <w:r w:rsidR="00B63AF5">
        <w:rPr>
          <w:color w:val="000000" w:themeColor="text1"/>
        </w:rPr>
        <w:t>do not</w:t>
      </w:r>
      <w:r w:rsidR="002A5EFC">
        <w:rPr>
          <w:color w:val="000000" w:themeColor="text1"/>
        </w:rPr>
        <w:t xml:space="preserve"> include an opt out provision.  Therefore, PECO states that the Complaint should be dismissed as a matter of law.   </w:t>
      </w:r>
    </w:p>
    <w:p w:rsidR="002A5EFC" w:rsidRPr="00E133B6" w:rsidRDefault="002A5EFC" w:rsidP="008120D0">
      <w:pPr>
        <w:jc w:val="left"/>
        <w:rPr>
          <w:color w:val="000000" w:themeColor="text1"/>
        </w:rPr>
      </w:pPr>
    </w:p>
    <w:p w:rsidR="002C4241" w:rsidRPr="00E133B6" w:rsidRDefault="002C4241" w:rsidP="008120D0">
      <w:pPr>
        <w:jc w:val="left"/>
        <w:rPr>
          <w:color w:val="000000" w:themeColor="text1"/>
        </w:rPr>
      </w:pPr>
      <w:r w:rsidRPr="00E133B6">
        <w:rPr>
          <w:color w:val="000000" w:themeColor="text1"/>
        </w:rPr>
        <w:tab/>
      </w:r>
      <w:r w:rsidRPr="00E133B6">
        <w:rPr>
          <w:color w:val="000000" w:themeColor="text1"/>
        </w:rPr>
        <w:tab/>
      </w:r>
      <w:r w:rsidR="00B63AF5">
        <w:rPr>
          <w:color w:val="000000" w:themeColor="text1"/>
        </w:rPr>
        <w:t xml:space="preserve">In its </w:t>
      </w:r>
      <w:r w:rsidR="00FC71AE" w:rsidRPr="00E133B6">
        <w:rPr>
          <w:color w:val="000000" w:themeColor="text1"/>
        </w:rPr>
        <w:t>POs</w:t>
      </w:r>
      <w:r w:rsidR="00B63AF5">
        <w:rPr>
          <w:color w:val="000000" w:themeColor="text1"/>
        </w:rPr>
        <w:t>,</w:t>
      </w:r>
      <w:r w:rsidRPr="00E133B6">
        <w:rPr>
          <w:color w:val="000000" w:themeColor="text1"/>
        </w:rPr>
        <w:t xml:space="preserve"> </w:t>
      </w:r>
      <w:r w:rsidR="00B63AF5">
        <w:rPr>
          <w:color w:val="000000" w:themeColor="text1"/>
        </w:rPr>
        <w:t>PECO</w:t>
      </w:r>
      <w:r w:rsidR="00AA4D66" w:rsidRPr="00E133B6">
        <w:rPr>
          <w:color w:val="000000" w:themeColor="text1"/>
        </w:rPr>
        <w:t xml:space="preserve"> </w:t>
      </w:r>
      <w:r w:rsidR="00954B5F" w:rsidRPr="00E133B6">
        <w:rPr>
          <w:color w:val="000000" w:themeColor="text1"/>
        </w:rPr>
        <w:t>assert</w:t>
      </w:r>
      <w:r w:rsidR="00B63AF5">
        <w:rPr>
          <w:color w:val="000000" w:themeColor="text1"/>
        </w:rPr>
        <w:t>s</w:t>
      </w:r>
      <w:r w:rsidR="00954B5F" w:rsidRPr="00E133B6">
        <w:rPr>
          <w:color w:val="000000" w:themeColor="text1"/>
        </w:rPr>
        <w:t xml:space="preserve"> that Respondent is entitled to judgment as a matter of law and </w:t>
      </w:r>
      <w:r w:rsidR="00AA4D66" w:rsidRPr="00E133B6">
        <w:rPr>
          <w:color w:val="000000" w:themeColor="text1"/>
        </w:rPr>
        <w:t>s</w:t>
      </w:r>
      <w:r w:rsidR="00CE60AF" w:rsidRPr="00E133B6">
        <w:rPr>
          <w:color w:val="000000" w:themeColor="text1"/>
        </w:rPr>
        <w:t>eek</w:t>
      </w:r>
      <w:r w:rsidR="00CB2317">
        <w:rPr>
          <w:color w:val="000000" w:themeColor="text1"/>
        </w:rPr>
        <w:t>s</w:t>
      </w:r>
      <w:r w:rsidR="00AA4D66" w:rsidRPr="00E133B6">
        <w:rPr>
          <w:color w:val="000000" w:themeColor="text1"/>
        </w:rPr>
        <w:t xml:space="preserve"> for the Commission to dismiss the Complaint on the grounds that it is legally insufficient. </w:t>
      </w:r>
      <w:r w:rsidR="00CE60AF" w:rsidRPr="00E133B6">
        <w:rPr>
          <w:color w:val="000000" w:themeColor="text1"/>
        </w:rPr>
        <w:t xml:space="preserve"> </w:t>
      </w:r>
    </w:p>
    <w:p w:rsidR="0074623E" w:rsidRPr="0014145C" w:rsidRDefault="0074623E" w:rsidP="005861CE">
      <w:pPr>
        <w:jc w:val="left"/>
        <w:rPr>
          <w:color w:val="7F7F7F" w:themeColor="text1" w:themeTint="80"/>
        </w:rPr>
      </w:pPr>
    </w:p>
    <w:p w:rsidR="00B459CF" w:rsidRPr="0014145C" w:rsidRDefault="00B459CF" w:rsidP="005861CE">
      <w:pPr>
        <w:jc w:val="left"/>
        <w:rPr>
          <w:color w:val="7F7F7F" w:themeColor="text1" w:themeTint="80"/>
        </w:rPr>
      </w:pPr>
      <w:r w:rsidRPr="0014145C">
        <w:rPr>
          <w:rFonts w:eastAsia="Calibri"/>
          <w:color w:val="7F7F7F" w:themeColor="text1" w:themeTint="80"/>
        </w:rPr>
        <w:tab/>
      </w:r>
      <w:r w:rsidRPr="0014145C">
        <w:rPr>
          <w:rFonts w:eastAsia="Calibri"/>
          <w:color w:val="7F7F7F" w:themeColor="text1" w:themeTint="80"/>
        </w:rPr>
        <w:tab/>
      </w:r>
      <w:r w:rsidRPr="002C4241">
        <w:rPr>
          <w:rFonts w:eastAsia="Calibri"/>
          <w:color w:val="000000" w:themeColor="text1"/>
        </w:rPr>
        <w:t xml:space="preserve">On March </w:t>
      </w:r>
      <w:r w:rsidR="003C3761">
        <w:rPr>
          <w:rFonts w:eastAsia="Calibri"/>
          <w:color w:val="000000" w:themeColor="text1"/>
        </w:rPr>
        <w:t>27</w:t>
      </w:r>
      <w:r w:rsidRPr="002C4241">
        <w:rPr>
          <w:rFonts w:eastAsia="Calibri"/>
          <w:color w:val="000000" w:themeColor="text1"/>
        </w:rPr>
        <w:t>, 2015, the matter was assigned to me by Motion Judge Assignment Notice.</w:t>
      </w:r>
    </w:p>
    <w:p w:rsidR="00B459CF" w:rsidRPr="0014145C" w:rsidRDefault="00B459CF" w:rsidP="005861CE">
      <w:pPr>
        <w:jc w:val="left"/>
        <w:rPr>
          <w:color w:val="7F7F7F" w:themeColor="text1" w:themeTint="80"/>
        </w:rPr>
      </w:pPr>
    </w:p>
    <w:p w:rsidR="00B0355A" w:rsidRPr="002C4241" w:rsidRDefault="003E54B5" w:rsidP="005861CE">
      <w:pPr>
        <w:jc w:val="left"/>
        <w:rPr>
          <w:color w:val="000000" w:themeColor="text1"/>
        </w:rPr>
      </w:pPr>
      <w:r w:rsidRPr="0014145C">
        <w:rPr>
          <w:color w:val="7F7F7F" w:themeColor="text1" w:themeTint="80"/>
        </w:rPr>
        <w:tab/>
      </w:r>
      <w:r w:rsidRPr="0014145C">
        <w:rPr>
          <w:color w:val="7F7F7F" w:themeColor="text1" w:themeTint="80"/>
        </w:rPr>
        <w:tab/>
      </w:r>
      <w:r w:rsidRPr="002C4241">
        <w:rPr>
          <w:color w:val="000000" w:themeColor="text1"/>
        </w:rPr>
        <w:t>More than ten days has run since the filing of the Preliminary Objections, and no resp</w:t>
      </w:r>
      <w:r w:rsidR="00955D81" w:rsidRPr="002C4241">
        <w:rPr>
          <w:color w:val="000000" w:themeColor="text1"/>
        </w:rPr>
        <w:t>onsive pleading has been filed.</w:t>
      </w:r>
      <w:r w:rsidRPr="002C4241">
        <w:rPr>
          <w:color w:val="000000" w:themeColor="text1"/>
        </w:rPr>
        <w:t xml:space="preserve">  52 Pa. Code § 5.101(f)(1).  </w:t>
      </w:r>
    </w:p>
    <w:p w:rsidR="00B0355A" w:rsidRPr="002C4241" w:rsidRDefault="00B0355A" w:rsidP="005861CE">
      <w:pPr>
        <w:jc w:val="left"/>
        <w:rPr>
          <w:color w:val="000000" w:themeColor="text1"/>
        </w:rPr>
      </w:pPr>
    </w:p>
    <w:p w:rsidR="003E54B5" w:rsidRDefault="00B0355A" w:rsidP="005861CE">
      <w:pPr>
        <w:jc w:val="left"/>
        <w:rPr>
          <w:color w:val="000000" w:themeColor="text1"/>
        </w:rPr>
      </w:pPr>
      <w:r w:rsidRPr="002C4241">
        <w:rPr>
          <w:color w:val="000000" w:themeColor="text1"/>
        </w:rPr>
        <w:tab/>
      </w:r>
      <w:r w:rsidRPr="002C4241">
        <w:rPr>
          <w:color w:val="000000" w:themeColor="text1"/>
        </w:rPr>
        <w:tab/>
      </w:r>
      <w:r w:rsidR="003E54B5" w:rsidRPr="002C4241">
        <w:rPr>
          <w:color w:val="000000" w:themeColor="text1"/>
        </w:rPr>
        <w:t>The matter is ripe for disposition.</w:t>
      </w:r>
    </w:p>
    <w:p w:rsidR="00802AF2" w:rsidRDefault="00802AF2" w:rsidP="005861CE">
      <w:pPr>
        <w:jc w:val="left"/>
        <w:rPr>
          <w:color w:val="000000" w:themeColor="text1"/>
        </w:rPr>
      </w:pPr>
    </w:p>
    <w:p w:rsidR="007B6856" w:rsidRDefault="007B6856">
      <w:pPr>
        <w:rPr>
          <w:color w:val="000000" w:themeColor="text1"/>
          <w:u w:val="single"/>
        </w:rPr>
      </w:pPr>
      <w:r>
        <w:rPr>
          <w:color w:val="000000" w:themeColor="text1"/>
          <w:u w:val="single"/>
        </w:rPr>
        <w:br w:type="page"/>
      </w:r>
    </w:p>
    <w:p w:rsidR="00802AF2" w:rsidRPr="00802AF2" w:rsidRDefault="00802AF2" w:rsidP="00802AF2">
      <w:pPr>
        <w:rPr>
          <w:color w:val="000000" w:themeColor="text1"/>
          <w:u w:val="single"/>
        </w:rPr>
      </w:pPr>
      <w:r w:rsidRPr="00802AF2">
        <w:rPr>
          <w:color w:val="000000" w:themeColor="text1"/>
          <w:u w:val="single"/>
        </w:rPr>
        <w:t>FINDINGS OF FACT</w:t>
      </w:r>
    </w:p>
    <w:p w:rsidR="00802AF2" w:rsidRPr="00802AF2" w:rsidRDefault="00802AF2" w:rsidP="00802AF2">
      <w:pPr>
        <w:jc w:val="left"/>
        <w:rPr>
          <w:color w:val="000000" w:themeColor="text1"/>
        </w:rPr>
      </w:pPr>
    </w:p>
    <w:p w:rsidR="00802AF2" w:rsidRDefault="00802AF2" w:rsidP="00802AF2">
      <w:pPr>
        <w:jc w:val="left"/>
        <w:rPr>
          <w:color w:val="000000" w:themeColor="text1"/>
        </w:rPr>
      </w:pPr>
      <w:r w:rsidRPr="00802AF2">
        <w:rPr>
          <w:color w:val="000000" w:themeColor="text1"/>
        </w:rPr>
        <w:tab/>
      </w:r>
      <w:r w:rsidRPr="00802AF2">
        <w:rPr>
          <w:color w:val="000000" w:themeColor="text1"/>
        </w:rPr>
        <w:tab/>
        <w:t>1.</w:t>
      </w:r>
      <w:r w:rsidRPr="00802AF2">
        <w:rPr>
          <w:color w:val="000000" w:themeColor="text1"/>
        </w:rPr>
        <w:tab/>
        <w:t>Complainant</w:t>
      </w:r>
      <w:r w:rsidR="00CE41EE">
        <w:rPr>
          <w:color w:val="000000" w:themeColor="text1"/>
        </w:rPr>
        <w:t xml:space="preserve">s are Joe and Danielle Steffe, of </w:t>
      </w:r>
      <w:r w:rsidR="00370BCE">
        <w:rPr>
          <w:color w:val="000000" w:themeColor="text1"/>
        </w:rPr>
        <w:t>3718 Powder Horn Drive, Furlong, Pennsylvania 18925.</w:t>
      </w:r>
    </w:p>
    <w:p w:rsidR="007B6856" w:rsidRPr="00802AF2" w:rsidRDefault="007B6856" w:rsidP="00802AF2">
      <w:pPr>
        <w:jc w:val="left"/>
        <w:rPr>
          <w:color w:val="000000" w:themeColor="text1"/>
        </w:rPr>
      </w:pPr>
    </w:p>
    <w:p w:rsidR="00802AF2" w:rsidRPr="00802AF2" w:rsidRDefault="00802AF2" w:rsidP="00802AF2">
      <w:pPr>
        <w:jc w:val="left"/>
        <w:rPr>
          <w:color w:val="000000" w:themeColor="text1"/>
        </w:rPr>
      </w:pPr>
      <w:r w:rsidRPr="00802AF2">
        <w:rPr>
          <w:color w:val="000000" w:themeColor="text1"/>
        </w:rPr>
        <w:tab/>
      </w:r>
      <w:r w:rsidRPr="00802AF2">
        <w:rPr>
          <w:color w:val="000000" w:themeColor="text1"/>
        </w:rPr>
        <w:tab/>
        <w:t>2.</w:t>
      </w:r>
      <w:r w:rsidRPr="00802AF2">
        <w:rPr>
          <w:color w:val="000000" w:themeColor="text1"/>
        </w:rPr>
        <w:tab/>
        <w:t>Respondent is PECO Energy Company, a jurisdictional public utility company providing electric service in the Commonwealth of Pennsylvania.</w:t>
      </w:r>
    </w:p>
    <w:p w:rsidR="00802AF2" w:rsidRPr="00802AF2" w:rsidRDefault="00802AF2" w:rsidP="00802AF2">
      <w:pPr>
        <w:jc w:val="left"/>
        <w:rPr>
          <w:color w:val="000000" w:themeColor="text1"/>
        </w:rPr>
      </w:pPr>
    </w:p>
    <w:p w:rsidR="00802AF2" w:rsidRPr="00802AF2" w:rsidRDefault="00802AF2" w:rsidP="00CE41EE">
      <w:pPr>
        <w:jc w:val="left"/>
        <w:rPr>
          <w:color w:val="000000" w:themeColor="text1"/>
        </w:rPr>
      </w:pPr>
      <w:r w:rsidRPr="00802AF2">
        <w:rPr>
          <w:color w:val="000000" w:themeColor="text1"/>
        </w:rPr>
        <w:tab/>
      </w:r>
      <w:r w:rsidRPr="00802AF2">
        <w:rPr>
          <w:color w:val="000000" w:themeColor="text1"/>
        </w:rPr>
        <w:tab/>
        <w:t>3.</w:t>
      </w:r>
      <w:r w:rsidRPr="00802AF2">
        <w:rPr>
          <w:color w:val="000000" w:themeColor="text1"/>
        </w:rPr>
        <w:tab/>
        <w:t xml:space="preserve">On </w:t>
      </w:r>
      <w:r w:rsidR="00CE41EE">
        <w:rPr>
          <w:color w:val="000000" w:themeColor="text1"/>
        </w:rPr>
        <w:t>March 5, 2015, Complainants filed a formal Complaint against Respondent, alleging that the smart meter installed at their residence by Respondent is exacerbating their daughter’s medical condition.  They request that the smart meter be removed.</w:t>
      </w:r>
    </w:p>
    <w:p w:rsidR="00802AF2" w:rsidRPr="00802AF2" w:rsidRDefault="00802AF2" w:rsidP="00802AF2">
      <w:pPr>
        <w:jc w:val="left"/>
        <w:rPr>
          <w:color w:val="000000" w:themeColor="text1"/>
        </w:rPr>
      </w:pPr>
    </w:p>
    <w:p w:rsidR="00802AF2" w:rsidRPr="00802AF2" w:rsidRDefault="00802AF2" w:rsidP="00802AF2">
      <w:pPr>
        <w:jc w:val="left"/>
        <w:rPr>
          <w:color w:val="000000" w:themeColor="text1"/>
        </w:rPr>
      </w:pPr>
      <w:r w:rsidRPr="00802AF2">
        <w:rPr>
          <w:color w:val="000000" w:themeColor="text1"/>
        </w:rPr>
        <w:tab/>
      </w:r>
      <w:r w:rsidRPr="00802AF2">
        <w:rPr>
          <w:color w:val="000000" w:themeColor="text1"/>
        </w:rPr>
        <w:tab/>
      </w:r>
      <w:r w:rsidR="00CE41EE">
        <w:rPr>
          <w:color w:val="000000" w:themeColor="text1"/>
        </w:rPr>
        <w:t>4</w:t>
      </w:r>
      <w:r w:rsidRPr="00802AF2">
        <w:rPr>
          <w:color w:val="000000" w:themeColor="text1"/>
        </w:rPr>
        <w:t>.</w:t>
      </w:r>
      <w:r w:rsidRPr="00802AF2">
        <w:rPr>
          <w:color w:val="000000" w:themeColor="text1"/>
        </w:rPr>
        <w:tab/>
        <w:t>On March 20, 2015, Respondent filed its Answer</w:t>
      </w:r>
      <w:r w:rsidR="00CE41EE">
        <w:rPr>
          <w:color w:val="000000" w:themeColor="text1"/>
        </w:rPr>
        <w:t xml:space="preserve"> and New Matter</w:t>
      </w:r>
      <w:r w:rsidRPr="00802AF2">
        <w:rPr>
          <w:color w:val="000000" w:themeColor="text1"/>
        </w:rPr>
        <w:t>, as well as Preliminary Objections to the formal Complaint.</w:t>
      </w:r>
    </w:p>
    <w:p w:rsidR="00802AF2" w:rsidRPr="00802AF2" w:rsidRDefault="00802AF2" w:rsidP="00802AF2">
      <w:pPr>
        <w:jc w:val="left"/>
        <w:rPr>
          <w:color w:val="000000" w:themeColor="text1"/>
        </w:rPr>
      </w:pPr>
    </w:p>
    <w:p w:rsidR="00802AF2" w:rsidRPr="002C4241" w:rsidRDefault="00802AF2" w:rsidP="00802AF2">
      <w:pPr>
        <w:jc w:val="left"/>
        <w:rPr>
          <w:color w:val="000000" w:themeColor="text1"/>
        </w:rPr>
      </w:pPr>
      <w:r w:rsidRPr="00802AF2">
        <w:rPr>
          <w:color w:val="000000" w:themeColor="text1"/>
        </w:rPr>
        <w:tab/>
      </w:r>
      <w:r w:rsidRPr="00802AF2">
        <w:rPr>
          <w:color w:val="000000" w:themeColor="text1"/>
        </w:rPr>
        <w:tab/>
      </w:r>
      <w:r w:rsidR="00CE41EE">
        <w:rPr>
          <w:color w:val="000000" w:themeColor="text1"/>
        </w:rPr>
        <w:t>5</w:t>
      </w:r>
      <w:r w:rsidRPr="00802AF2">
        <w:rPr>
          <w:color w:val="000000" w:themeColor="text1"/>
        </w:rPr>
        <w:t>.</w:t>
      </w:r>
      <w:r w:rsidRPr="00802AF2">
        <w:rPr>
          <w:color w:val="000000" w:themeColor="text1"/>
        </w:rPr>
        <w:tab/>
        <w:t xml:space="preserve">No responsive pleading was filed to the Answer </w:t>
      </w:r>
      <w:r w:rsidR="00B75C0E">
        <w:rPr>
          <w:color w:val="000000" w:themeColor="text1"/>
        </w:rPr>
        <w:t xml:space="preserve">and New Matter, </w:t>
      </w:r>
      <w:r w:rsidRPr="00802AF2">
        <w:rPr>
          <w:color w:val="000000" w:themeColor="text1"/>
        </w:rPr>
        <w:t xml:space="preserve">or to the Preliminary Objections.  </w:t>
      </w:r>
    </w:p>
    <w:p w:rsidR="002D5B2A" w:rsidRPr="0014145C" w:rsidRDefault="002D5B2A" w:rsidP="003E54B5">
      <w:pPr>
        <w:rPr>
          <w:color w:val="7F7F7F" w:themeColor="text1" w:themeTint="80"/>
          <w:u w:val="single"/>
        </w:rPr>
      </w:pPr>
    </w:p>
    <w:p w:rsidR="003E54B5" w:rsidRPr="00231F41" w:rsidRDefault="003E54B5" w:rsidP="003E54B5">
      <w:pPr>
        <w:rPr>
          <w:color w:val="000000" w:themeColor="text1"/>
          <w:u w:val="single"/>
        </w:rPr>
      </w:pPr>
      <w:r w:rsidRPr="00231F41">
        <w:rPr>
          <w:color w:val="000000" w:themeColor="text1"/>
          <w:u w:val="single"/>
        </w:rPr>
        <w:t>DISCUSSION</w:t>
      </w:r>
    </w:p>
    <w:p w:rsidR="008C4D41" w:rsidRPr="00F47344" w:rsidRDefault="008C4D41" w:rsidP="008C4D41">
      <w:pPr>
        <w:jc w:val="left"/>
        <w:rPr>
          <w:color w:val="000000" w:themeColor="text1"/>
        </w:rPr>
      </w:pPr>
    </w:p>
    <w:p w:rsidR="00B63AF5" w:rsidRDefault="00B63AF5" w:rsidP="00D1514D">
      <w:pPr>
        <w:jc w:val="left"/>
        <w:rPr>
          <w:color w:val="000000" w:themeColor="text1"/>
        </w:rPr>
      </w:pPr>
      <w:r>
        <w:rPr>
          <w:color w:val="000000" w:themeColor="text1"/>
        </w:rPr>
        <w:tab/>
      </w:r>
      <w:r>
        <w:rPr>
          <w:color w:val="000000" w:themeColor="text1"/>
        </w:rPr>
        <w:tab/>
        <w:t>Complainants ask the Commission to direct PECO to remove the smart meter from their home because it is exacerbating the medical conditions of one of their children.  Complainants offer to pay any extra monthly charge that this may entail.</w:t>
      </w:r>
      <w:r w:rsidR="008C4D41" w:rsidRPr="00F47344">
        <w:rPr>
          <w:color w:val="000000" w:themeColor="text1"/>
        </w:rPr>
        <w:tab/>
      </w:r>
      <w:r w:rsidR="008C4D41" w:rsidRPr="00F47344">
        <w:rPr>
          <w:color w:val="000000" w:themeColor="text1"/>
        </w:rPr>
        <w:tab/>
      </w:r>
    </w:p>
    <w:p w:rsidR="00B63AF5" w:rsidRDefault="00B63AF5" w:rsidP="00D1514D">
      <w:pPr>
        <w:jc w:val="left"/>
        <w:rPr>
          <w:color w:val="000000" w:themeColor="text1"/>
        </w:rPr>
      </w:pPr>
    </w:p>
    <w:p w:rsidR="00D1514D" w:rsidRPr="00F47344" w:rsidRDefault="00B63AF5" w:rsidP="00D1514D">
      <w:pPr>
        <w:jc w:val="left"/>
        <w:rPr>
          <w:color w:val="000000" w:themeColor="text1"/>
        </w:rPr>
      </w:pPr>
      <w:r>
        <w:rPr>
          <w:color w:val="000000" w:themeColor="text1"/>
        </w:rPr>
        <w:tab/>
      </w:r>
      <w:r>
        <w:rPr>
          <w:color w:val="000000" w:themeColor="text1"/>
        </w:rPr>
        <w:tab/>
      </w:r>
      <w:r w:rsidR="008C4D41" w:rsidRPr="00F47344">
        <w:rPr>
          <w:color w:val="000000" w:themeColor="text1"/>
        </w:rPr>
        <w:t>Res</w:t>
      </w:r>
      <w:r w:rsidR="00285C9A" w:rsidRPr="00F47344">
        <w:rPr>
          <w:color w:val="000000" w:themeColor="text1"/>
        </w:rPr>
        <w:t>pondent’s P</w:t>
      </w:r>
      <w:r w:rsidR="003E13E3" w:rsidRPr="00F47344">
        <w:rPr>
          <w:color w:val="000000" w:themeColor="text1"/>
        </w:rPr>
        <w:t>O</w:t>
      </w:r>
      <w:r w:rsidR="004D4E7A" w:rsidRPr="00F47344">
        <w:rPr>
          <w:color w:val="000000" w:themeColor="text1"/>
        </w:rPr>
        <w:t>s</w:t>
      </w:r>
      <w:r w:rsidR="008C4D41" w:rsidRPr="00F47344">
        <w:rPr>
          <w:color w:val="000000" w:themeColor="text1"/>
        </w:rPr>
        <w:t xml:space="preserve"> seek </w:t>
      </w:r>
      <w:r w:rsidR="00D1514D" w:rsidRPr="00F47344">
        <w:rPr>
          <w:color w:val="000000" w:themeColor="text1"/>
        </w:rPr>
        <w:t xml:space="preserve">to dismiss the case </w:t>
      </w:r>
      <w:r w:rsidR="0011038E">
        <w:rPr>
          <w:color w:val="000000" w:themeColor="text1"/>
        </w:rPr>
        <w:t>on the grounds that</w:t>
      </w:r>
      <w:r w:rsidR="00D1514D" w:rsidRPr="00F47344">
        <w:rPr>
          <w:color w:val="000000" w:themeColor="text1"/>
        </w:rPr>
        <w:t xml:space="preserve"> </w:t>
      </w:r>
      <w:r w:rsidR="00F47344" w:rsidRPr="00F47344">
        <w:rPr>
          <w:color w:val="000000" w:themeColor="text1"/>
        </w:rPr>
        <w:t>the Complaint is legally insufficient and there are no genuine issues of fact</w:t>
      </w:r>
      <w:r w:rsidR="00F50997">
        <w:rPr>
          <w:color w:val="000000" w:themeColor="text1"/>
        </w:rPr>
        <w:t xml:space="preserve"> because is it prohibited by law from granting an exception to any customer</w:t>
      </w:r>
      <w:r w:rsidR="00F47344" w:rsidRPr="00F47344">
        <w:rPr>
          <w:color w:val="000000" w:themeColor="text1"/>
        </w:rPr>
        <w:t>.</w:t>
      </w:r>
    </w:p>
    <w:p w:rsidR="003E54B5" w:rsidRPr="0014145C" w:rsidRDefault="00D1514D" w:rsidP="00D1514D">
      <w:pPr>
        <w:jc w:val="left"/>
        <w:rPr>
          <w:color w:val="7F7F7F" w:themeColor="text1" w:themeTint="80"/>
          <w:u w:val="single"/>
        </w:rPr>
      </w:pPr>
      <w:r w:rsidRPr="0014145C">
        <w:rPr>
          <w:color w:val="7F7F7F" w:themeColor="text1" w:themeTint="80"/>
          <w:u w:val="single"/>
        </w:rPr>
        <w:t xml:space="preserve"> </w:t>
      </w:r>
    </w:p>
    <w:p w:rsidR="009943BE" w:rsidRPr="0014145C" w:rsidRDefault="009943BE" w:rsidP="009943BE">
      <w:pPr>
        <w:jc w:val="left"/>
        <w:rPr>
          <w:color w:val="000000" w:themeColor="text1"/>
        </w:rPr>
      </w:pPr>
      <w:r w:rsidRPr="0014145C">
        <w:rPr>
          <w:color w:val="7F7F7F" w:themeColor="text1" w:themeTint="80"/>
        </w:rPr>
        <w:tab/>
      </w:r>
      <w:r w:rsidRPr="0014145C">
        <w:rPr>
          <w:color w:val="000000" w:themeColor="text1"/>
        </w:rPr>
        <w:tab/>
        <w:t xml:space="preserve">Commission preliminary objection practice is similar to Pennsylvania civil practice.  </w:t>
      </w:r>
      <w:r w:rsidRPr="0014145C">
        <w:rPr>
          <w:i/>
          <w:color w:val="000000" w:themeColor="text1"/>
        </w:rPr>
        <w:t xml:space="preserve">Equitable Small Transportation Interveners v. Equitable Gas Company, </w:t>
      </w:r>
      <w:r w:rsidRPr="0014145C">
        <w:rPr>
          <w:color w:val="000000" w:themeColor="text1"/>
        </w:rPr>
        <w:t xml:space="preserve">1994 Pa. PUC LEXIS 69, PUC Docket No. C-000935435 (July 18, 1994). </w:t>
      </w:r>
      <w:r w:rsidRPr="0014145C">
        <w:rPr>
          <w:color w:val="000000" w:themeColor="text1"/>
        </w:rPr>
        <w:tab/>
        <w:t xml:space="preserve"> When considering the preliminary objection, the Commission must determine “whether the law says with certainty, based on well-pleaded factual averments . . . that no recovery or relief is possible.  </w:t>
      </w:r>
      <w:r w:rsidRPr="0014145C">
        <w:rPr>
          <w:i/>
          <w:color w:val="000000" w:themeColor="text1"/>
        </w:rPr>
        <w:t xml:space="preserve">P. J. S. v. Pa. State Ethics Commission, </w:t>
      </w:r>
      <w:r w:rsidR="00B63AF5">
        <w:rPr>
          <w:color w:val="000000" w:themeColor="text1"/>
        </w:rPr>
        <w:t>669 A.2d 1105 (Pa.</w:t>
      </w:r>
      <w:r w:rsidRPr="0014145C">
        <w:rPr>
          <w:color w:val="000000" w:themeColor="text1"/>
        </w:rPr>
        <w:t xml:space="preserve">Cmwlth. 1996).  Any doubt must be resolved in favor of the non-moving party by refusing to sustain the preliminary objections.  </w:t>
      </w:r>
      <w:r w:rsidRPr="0014145C">
        <w:rPr>
          <w:i/>
          <w:color w:val="000000" w:themeColor="text1"/>
        </w:rPr>
        <w:t xml:space="preserve">Boyd v. Ward, </w:t>
      </w:r>
      <w:r w:rsidR="00B63AF5">
        <w:rPr>
          <w:color w:val="000000" w:themeColor="text1"/>
        </w:rPr>
        <w:t>802 A.2d 705 (Pa.</w:t>
      </w:r>
      <w:r w:rsidRPr="0014145C">
        <w:rPr>
          <w:color w:val="000000" w:themeColor="text1"/>
        </w:rPr>
        <w:t xml:space="preserve">Cmwlth. 2002).”  </w:t>
      </w:r>
      <w:r w:rsidRPr="0014145C">
        <w:rPr>
          <w:i/>
          <w:color w:val="000000" w:themeColor="text1"/>
        </w:rPr>
        <w:t xml:space="preserve">Dept. of Auditor General, et al. v. State Employees’ Retirement System, et al., </w:t>
      </w:r>
      <w:r w:rsidRPr="0014145C">
        <w:rPr>
          <w:color w:val="000000" w:themeColor="text1"/>
        </w:rPr>
        <w:t xml:space="preserve">836 A.2d 1053, 1064 (Pa.Cmwlth. 2003).  </w:t>
      </w:r>
      <w:r w:rsidRPr="0014145C">
        <w:rPr>
          <w:i/>
          <w:color w:val="000000" w:themeColor="text1"/>
        </w:rPr>
        <w:t xml:space="preserve"> </w:t>
      </w:r>
    </w:p>
    <w:p w:rsidR="009943BE" w:rsidRPr="0014145C" w:rsidRDefault="009943BE" w:rsidP="009943BE">
      <w:pPr>
        <w:rPr>
          <w:color w:val="000000" w:themeColor="text1"/>
        </w:rPr>
      </w:pPr>
    </w:p>
    <w:p w:rsidR="009943BE" w:rsidRPr="0014145C" w:rsidRDefault="009943BE" w:rsidP="009943BE">
      <w:pPr>
        <w:jc w:val="left"/>
        <w:rPr>
          <w:color w:val="000000" w:themeColor="text1"/>
        </w:rPr>
      </w:pPr>
      <w:r w:rsidRPr="0014145C">
        <w:rPr>
          <w:color w:val="000000" w:themeColor="text1"/>
        </w:rPr>
        <w:tab/>
      </w:r>
      <w:r w:rsidRPr="0014145C">
        <w:rPr>
          <w:color w:val="000000" w:themeColor="text1"/>
        </w:rPr>
        <w:tab/>
        <w:t>The rules regarding preliminary objections are as follows:</w:t>
      </w:r>
    </w:p>
    <w:p w:rsidR="009943BE" w:rsidRPr="0014145C" w:rsidRDefault="009943BE" w:rsidP="009943BE">
      <w:pPr>
        <w:jc w:val="left"/>
        <w:rPr>
          <w:color w:val="000000" w:themeColor="text1"/>
        </w:rPr>
      </w:pPr>
    </w:p>
    <w:p w:rsidR="009943BE" w:rsidRPr="0014145C" w:rsidRDefault="009943BE" w:rsidP="009943BE">
      <w:pPr>
        <w:spacing w:line="240" w:lineRule="auto"/>
        <w:ind w:left="1440" w:right="1440"/>
        <w:contextualSpacing/>
        <w:jc w:val="left"/>
        <w:rPr>
          <w:b/>
          <w:color w:val="000000" w:themeColor="text1"/>
        </w:rPr>
      </w:pPr>
      <w:r w:rsidRPr="0014145C">
        <w:rPr>
          <w:b/>
          <w:color w:val="000000" w:themeColor="text1"/>
        </w:rPr>
        <w:t>§ 5.101.  Preliminary objections.</w:t>
      </w: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(a)</w:t>
      </w:r>
      <w:r w:rsidRPr="0014145C">
        <w:rPr>
          <w:color w:val="000000" w:themeColor="text1"/>
        </w:rPr>
        <w:tab/>
      </w:r>
      <w:r w:rsidRPr="0014145C">
        <w:rPr>
          <w:i/>
          <w:color w:val="000000" w:themeColor="text1"/>
        </w:rPr>
        <w:t>Grounds.</w:t>
      </w:r>
      <w:r w:rsidRPr="0014145C">
        <w:rPr>
          <w:color w:val="000000" w:themeColor="text1"/>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943BE" w:rsidRPr="0014145C" w:rsidRDefault="009943BE" w:rsidP="009943BE">
      <w:pPr>
        <w:spacing w:line="240" w:lineRule="auto"/>
        <w:ind w:left="1440" w:right="1440"/>
        <w:contextualSpacing/>
        <w:jc w:val="left"/>
        <w:rPr>
          <w:i/>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(1)  Lack of Commission jurisdiction or improper service of the pleading initiating the proceeding.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(2)  Failure of a pleading to conform to this chapter or the inclusion of scandalous or impertinent matter.</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(3)  Insufficient specificity of a pleading.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(4)  Legal insufficiency of a pleading.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(5) Lack of capacity to sue, nonjoinder of a necessary party or misjoinder of a cause of action.</w:t>
      </w:r>
    </w:p>
    <w:p w:rsidR="009943BE" w:rsidRPr="0014145C" w:rsidRDefault="009943BE" w:rsidP="009943BE">
      <w:pPr>
        <w:spacing w:line="240" w:lineRule="auto"/>
        <w:ind w:left="1440" w:right="1440"/>
        <w:contextualSpacing/>
        <w:jc w:val="left"/>
        <w:rPr>
          <w:color w:val="000000" w:themeColor="text1"/>
        </w:rPr>
      </w:pPr>
    </w:p>
    <w:p w:rsidR="00BB2E03" w:rsidRPr="0014145C" w:rsidRDefault="009943BE" w:rsidP="009943BE">
      <w:pPr>
        <w:spacing w:line="240" w:lineRule="auto"/>
        <w:ind w:left="1440" w:right="1440"/>
        <w:contextualSpacing/>
        <w:jc w:val="left"/>
        <w:rPr>
          <w:color w:val="000000" w:themeColor="text1"/>
        </w:rPr>
      </w:pPr>
      <w:r w:rsidRPr="0014145C">
        <w:rPr>
          <w:color w:val="000000" w:themeColor="text1"/>
        </w:rPr>
        <w:t xml:space="preserve">(6)  Pendency of a prior proceeding or agreement for alternative </w:t>
      </w: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dispute resolution.</w:t>
      </w:r>
    </w:p>
    <w:p w:rsidR="00BB2E03" w:rsidRPr="0014145C" w:rsidRDefault="00BB2E03" w:rsidP="009943BE">
      <w:pPr>
        <w:spacing w:line="240" w:lineRule="auto"/>
        <w:ind w:left="1440" w:right="1440"/>
        <w:contextualSpacing/>
        <w:jc w:val="left"/>
        <w:rPr>
          <w:color w:val="000000" w:themeColor="text1"/>
        </w:rPr>
      </w:pPr>
    </w:p>
    <w:p w:rsidR="00BB2E03" w:rsidRPr="0014145C" w:rsidRDefault="00BB2E03" w:rsidP="009943BE">
      <w:pPr>
        <w:spacing w:line="240" w:lineRule="auto"/>
        <w:ind w:left="1440" w:right="1440"/>
        <w:contextualSpacing/>
        <w:jc w:val="left"/>
        <w:rPr>
          <w:color w:val="000000" w:themeColor="text1"/>
        </w:rPr>
      </w:pPr>
      <w:r w:rsidRPr="0014145C">
        <w:rPr>
          <w:color w:val="000000" w:themeColor="text1"/>
        </w:rPr>
        <w:t>(7)  Standing of a party to participate in the proceeding.</w:t>
      </w:r>
    </w:p>
    <w:p w:rsidR="00BB2E03" w:rsidRPr="0014145C" w:rsidRDefault="00BB2E03"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rPr>
          <w:color w:val="000000" w:themeColor="text1"/>
        </w:rPr>
      </w:pPr>
      <w:r w:rsidRPr="0014145C">
        <w:rPr>
          <w:color w:val="000000" w:themeColor="text1"/>
        </w:rPr>
        <w:t>* * *</w:t>
      </w:r>
    </w:p>
    <w:p w:rsidR="009943BE" w:rsidRPr="0014145C" w:rsidRDefault="009943BE" w:rsidP="00B31D9A">
      <w:pPr>
        <w:spacing w:line="240" w:lineRule="auto"/>
        <w:ind w:right="1440"/>
        <w:contextualSpacing/>
        <w:jc w:val="left"/>
        <w:rPr>
          <w:color w:val="000000" w:themeColor="text1"/>
        </w:rPr>
      </w:pPr>
      <w:r w:rsidRPr="0014145C">
        <w:rPr>
          <w:color w:val="000000" w:themeColor="text1"/>
        </w:rPr>
        <w:t xml:space="preserve">52 Pa.Code § 5.101(a).  </w:t>
      </w:r>
    </w:p>
    <w:p w:rsidR="009943BE" w:rsidRPr="0014145C" w:rsidRDefault="009943BE" w:rsidP="007B6856">
      <w:pPr>
        <w:ind w:left="1440" w:right="1440"/>
        <w:jc w:val="left"/>
        <w:rPr>
          <w:color w:val="000000" w:themeColor="text1"/>
        </w:rPr>
      </w:pPr>
    </w:p>
    <w:p w:rsidR="009943BE" w:rsidRPr="0014145C" w:rsidRDefault="009943BE" w:rsidP="009943BE">
      <w:pPr>
        <w:jc w:val="left"/>
        <w:rPr>
          <w:color w:val="000000" w:themeColor="text1"/>
        </w:rPr>
      </w:pPr>
      <w:r w:rsidRPr="0014145C">
        <w:rPr>
          <w:color w:val="000000" w:themeColor="text1"/>
        </w:rPr>
        <w:tab/>
      </w:r>
      <w:r w:rsidRPr="0014145C">
        <w:rPr>
          <w:color w:val="000000" w:themeColor="text1"/>
        </w:rPr>
        <w:tab/>
        <w:t xml:space="preserve">In reviewing preliminary objections, only the facts in the Complaint can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w:t>
      </w:r>
      <w:r w:rsidR="00E3743F" w:rsidRPr="0014145C">
        <w:rPr>
          <w:color w:val="000000" w:themeColor="text1"/>
        </w:rPr>
        <w:t xml:space="preserve">the utility company </w:t>
      </w:r>
      <w:r w:rsidRPr="0014145C">
        <w:rPr>
          <w:color w:val="000000" w:themeColor="text1"/>
        </w:rPr>
        <w:t>in violation of any law which the Commission has jurisdiction to administer.  66 Pa.</w:t>
      </w:r>
      <w:r w:rsidR="00B63AF5">
        <w:rPr>
          <w:color w:val="000000" w:themeColor="text1"/>
        </w:rPr>
        <w:t>C.S. § 701; 52 Pa.</w:t>
      </w:r>
      <w:r w:rsidRPr="0014145C">
        <w:rPr>
          <w:color w:val="000000" w:themeColor="text1"/>
        </w:rPr>
        <w:t xml:space="preserve">Code § 5.21(a).  </w:t>
      </w:r>
    </w:p>
    <w:p w:rsidR="00A60725" w:rsidRPr="0014145C" w:rsidRDefault="00A60725" w:rsidP="002D56A9">
      <w:pPr>
        <w:jc w:val="left"/>
        <w:rPr>
          <w:color w:val="7F7F7F" w:themeColor="text1" w:themeTint="80"/>
        </w:rPr>
      </w:pPr>
    </w:p>
    <w:p w:rsidR="008D1C71" w:rsidRPr="00B75D6F" w:rsidRDefault="008D1C71" w:rsidP="002D56A9">
      <w:pPr>
        <w:jc w:val="left"/>
        <w:rPr>
          <w:color w:val="000000" w:themeColor="text1"/>
        </w:rPr>
      </w:pPr>
      <w:r w:rsidRPr="0014145C">
        <w:rPr>
          <w:color w:val="7F7F7F" w:themeColor="text1" w:themeTint="80"/>
        </w:rPr>
        <w:tab/>
      </w:r>
      <w:r w:rsidRPr="0014145C">
        <w:rPr>
          <w:color w:val="7F7F7F" w:themeColor="text1" w:themeTint="80"/>
        </w:rPr>
        <w:tab/>
      </w:r>
      <w:r w:rsidRPr="00B75D6F">
        <w:rPr>
          <w:color w:val="000000" w:themeColor="text1"/>
        </w:rPr>
        <w:t xml:space="preserve">In </w:t>
      </w:r>
      <w:r w:rsidR="00B75D6F" w:rsidRPr="00B75D6F">
        <w:rPr>
          <w:color w:val="000000" w:themeColor="text1"/>
        </w:rPr>
        <w:t>its Answer and POs</w:t>
      </w:r>
      <w:r w:rsidRPr="00B75D6F">
        <w:rPr>
          <w:color w:val="000000" w:themeColor="text1"/>
        </w:rPr>
        <w:t>,</w:t>
      </w:r>
      <w:r w:rsidR="0011038E">
        <w:rPr>
          <w:color w:val="000000" w:themeColor="text1"/>
        </w:rPr>
        <w:t xml:space="preserve"> Respondent asserts that the Complaint is legally insufficient because there is </w:t>
      </w:r>
      <w:r w:rsidR="00DF1BAF">
        <w:rPr>
          <w:color w:val="000000" w:themeColor="text1"/>
        </w:rPr>
        <w:t>allegation that PECO violated a statute, regulation, or order of the Commission</w:t>
      </w:r>
      <w:r w:rsidR="0011038E">
        <w:rPr>
          <w:color w:val="000000" w:themeColor="text1"/>
        </w:rPr>
        <w:t>.</w:t>
      </w:r>
      <w:r w:rsidR="00DF1BAF">
        <w:rPr>
          <w:color w:val="000000" w:themeColor="text1"/>
        </w:rPr>
        <w:t xml:space="preserve">  Rather, the action that PECO has taken in placing a smart meter in the Complainants' home and refusing to replace it with a meter that does not have the technological capabilities of a smart meter is consistent with the requirements of the Public Utility Code and Commission regulations and orders.</w:t>
      </w:r>
    </w:p>
    <w:p w:rsidR="00EA4361" w:rsidRPr="007B6856" w:rsidRDefault="00EA4361" w:rsidP="00EB32E3">
      <w:pPr>
        <w:jc w:val="left"/>
      </w:pPr>
    </w:p>
    <w:p w:rsidR="00C23A5B" w:rsidRDefault="00C23A5B" w:rsidP="00B63AF5">
      <w:pPr>
        <w:jc w:val="left"/>
        <w:rPr>
          <w:color w:val="000000" w:themeColor="text1"/>
        </w:rPr>
      </w:pPr>
      <w:r>
        <w:rPr>
          <w:color w:val="FF0000"/>
        </w:rPr>
        <w:tab/>
      </w:r>
      <w:r>
        <w:rPr>
          <w:color w:val="FF0000"/>
        </w:rPr>
        <w:tab/>
      </w:r>
      <w:r w:rsidRPr="00C23A5B">
        <w:t>Act 129 of 2008</w:t>
      </w:r>
      <w:r>
        <w:t xml:space="preserve"> requires </w:t>
      </w:r>
      <w:r w:rsidR="00B63AF5">
        <w:rPr>
          <w:color w:val="000000" w:themeColor="text1"/>
        </w:rPr>
        <w:t>that electric distribution companies</w:t>
      </w:r>
      <w:r>
        <w:rPr>
          <w:color w:val="000000" w:themeColor="text1"/>
        </w:rPr>
        <w:t xml:space="preserve"> (EDCs)</w:t>
      </w:r>
      <w:r w:rsidR="00B63AF5">
        <w:rPr>
          <w:color w:val="000000" w:themeColor="text1"/>
        </w:rPr>
        <w:t xml:space="preserve"> such as PECO furnish smart meter technology and does not provide for an exception to that requirement.  66 Pa.C.S. § 2807.</w:t>
      </w:r>
      <w:r>
        <w:rPr>
          <w:color w:val="000000" w:themeColor="text1"/>
        </w:rPr>
        <w:t xml:space="preserve">  The Commission adopted an Implementation Order on June 18, 2009, which established the procedures that the EDCs were to use in developing and implementing their smart meter plans.  Docket No. M-2009-2092655</w:t>
      </w:r>
      <w:r w:rsidR="00F50997">
        <w:rPr>
          <w:color w:val="000000" w:themeColor="text1"/>
        </w:rPr>
        <w:t xml:space="preserve"> (Order of June 18, 2009)</w:t>
      </w:r>
      <w:r>
        <w:rPr>
          <w:color w:val="000000" w:themeColor="text1"/>
        </w:rPr>
        <w:t xml:space="preserve">.  </w:t>
      </w:r>
    </w:p>
    <w:p w:rsidR="00C23A5B" w:rsidRDefault="00C23A5B" w:rsidP="00B63AF5">
      <w:pPr>
        <w:jc w:val="left"/>
        <w:rPr>
          <w:color w:val="000000" w:themeColor="text1"/>
        </w:rPr>
      </w:pPr>
    </w:p>
    <w:p w:rsidR="00C23A5B" w:rsidRDefault="00C23A5B" w:rsidP="00B63AF5">
      <w:pPr>
        <w:jc w:val="left"/>
        <w:rPr>
          <w:color w:val="000000" w:themeColor="text1"/>
        </w:rPr>
      </w:pPr>
      <w:r>
        <w:rPr>
          <w:color w:val="000000" w:themeColor="text1"/>
        </w:rPr>
        <w:tab/>
      </w:r>
      <w:r>
        <w:rPr>
          <w:color w:val="000000" w:themeColor="text1"/>
        </w:rPr>
        <w:tab/>
        <w:t xml:space="preserve">The PECO smart meter installation plan was approved by the Commission on May 6, 2010 at Docket No. M-2009-2123944, and was the result of a litigated proceeding which was open to the participation of all customers.  </w:t>
      </w:r>
    </w:p>
    <w:p w:rsidR="00F50997" w:rsidRPr="00FF45BD" w:rsidRDefault="00F50997" w:rsidP="00B63AF5">
      <w:pPr>
        <w:jc w:val="left"/>
        <w:rPr>
          <w:color w:val="000000" w:themeColor="text1"/>
        </w:rPr>
      </w:pPr>
    </w:p>
    <w:p w:rsidR="00EB32E3" w:rsidRPr="007E02B4" w:rsidRDefault="00EB32E3" w:rsidP="00EB32E3">
      <w:pPr>
        <w:jc w:val="left"/>
        <w:rPr>
          <w:rFonts w:eastAsia="Times New Roman"/>
          <w:strike/>
          <w:color w:val="000000" w:themeColor="text1"/>
          <w:spacing w:val="-3"/>
        </w:rPr>
      </w:pPr>
      <w:r w:rsidRPr="00FF45BD">
        <w:rPr>
          <w:color w:val="000000" w:themeColor="text1"/>
        </w:rPr>
        <w:tab/>
      </w:r>
      <w:r w:rsidRPr="00FF45BD">
        <w:rPr>
          <w:color w:val="000000" w:themeColor="text1"/>
        </w:rPr>
        <w:tab/>
      </w:r>
      <w:r w:rsidR="00C23A5B">
        <w:rPr>
          <w:color w:val="000000" w:themeColor="text1"/>
        </w:rPr>
        <w:t xml:space="preserve">PECO does not have the </w:t>
      </w:r>
      <w:r w:rsidR="009F0A6B">
        <w:rPr>
          <w:color w:val="000000" w:themeColor="text1"/>
        </w:rPr>
        <w:t xml:space="preserve">legal </w:t>
      </w:r>
      <w:r w:rsidR="00C23A5B">
        <w:rPr>
          <w:color w:val="000000" w:themeColor="text1"/>
        </w:rPr>
        <w:t xml:space="preserve">ability to grant an exception to the Act 129 requirements and neither does the Commission have the </w:t>
      </w:r>
      <w:r w:rsidR="009F0A6B">
        <w:rPr>
          <w:color w:val="000000" w:themeColor="text1"/>
        </w:rPr>
        <w:t xml:space="preserve">legal </w:t>
      </w:r>
      <w:r w:rsidR="00C23A5B">
        <w:rPr>
          <w:color w:val="000000" w:themeColor="text1"/>
        </w:rPr>
        <w:t xml:space="preserve">ability to order PECO to grant an exception. </w:t>
      </w:r>
      <w:r w:rsidR="00AE43A3">
        <w:rPr>
          <w:color w:val="000000" w:themeColor="text1"/>
        </w:rPr>
        <w:t xml:space="preserve"> There is no outstanding issue of fact, because both parties agree that PECO has installed a smart meter and that PECO refuses to remove it. </w:t>
      </w:r>
      <w:r w:rsidR="00C23A5B">
        <w:rPr>
          <w:color w:val="000000" w:themeColor="text1"/>
        </w:rPr>
        <w:t xml:space="preserve"> Accordingly, the Complaint does not state a violation of </w:t>
      </w:r>
      <w:r w:rsidRPr="007E02B4">
        <w:rPr>
          <w:color w:val="000000" w:themeColor="text1"/>
        </w:rPr>
        <w:t>the Public Utility Code, any Commission Order or regulation</w:t>
      </w:r>
      <w:r w:rsidR="008A6A13" w:rsidRPr="007E02B4">
        <w:rPr>
          <w:color w:val="000000" w:themeColor="text1"/>
        </w:rPr>
        <w:t>,</w:t>
      </w:r>
      <w:r w:rsidRPr="007E02B4">
        <w:rPr>
          <w:color w:val="000000" w:themeColor="text1"/>
        </w:rPr>
        <w:t xml:space="preserve"> or any Commission-approved Company tariff</w:t>
      </w:r>
      <w:r w:rsidR="008A6A13" w:rsidRPr="007E02B4">
        <w:rPr>
          <w:color w:val="000000" w:themeColor="text1"/>
        </w:rPr>
        <w:t xml:space="preserve">.  </w:t>
      </w:r>
      <w:r w:rsidRPr="007E02B4">
        <w:rPr>
          <w:color w:val="000000" w:themeColor="text1"/>
        </w:rPr>
        <w:t xml:space="preserve">PECO’s Preliminary Objection will be granted.  </w:t>
      </w:r>
    </w:p>
    <w:p w:rsidR="00EB32E3" w:rsidRPr="007E02B4" w:rsidRDefault="00EB32E3" w:rsidP="00EB32E3">
      <w:pPr>
        <w:tabs>
          <w:tab w:val="left" w:pos="-720"/>
        </w:tabs>
        <w:suppressAutoHyphens/>
        <w:autoSpaceDE w:val="0"/>
        <w:autoSpaceDN w:val="0"/>
        <w:jc w:val="left"/>
        <w:rPr>
          <w:rFonts w:eastAsia="Times New Roman"/>
          <w:color w:val="000000" w:themeColor="text1"/>
        </w:rPr>
      </w:pPr>
    </w:p>
    <w:p w:rsidR="0065415A" w:rsidRPr="007E02B4" w:rsidRDefault="0011038E" w:rsidP="0000476A">
      <w:pPr>
        <w:jc w:val="left"/>
        <w:rPr>
          <w:color w:val="000000" w:themeColor="text1"/>
        </w:rPr>
      </w:pPr>
      <w:r w:rsidRPr="007E02B4">
        <w:rPr>
          <w:rFonts w:eastAsia="Times New Roman"/>
          <w:color w:val="000000" w:themeColor="text1"/>
        </w:rPr>
        <w:tab/>
      </w:r>
      <w:r w:rsidRPr="007E02B4">
        <w:rPr>
          <w:rFonts w:eastAsia="Times New Roman"/>
          <w:color w:val="000000" w:themeColor="text1"/>
        </w:rPr>
        <w:tab/>
        <w:t xml:space="preserve">Section 703(b) of the Public Utility Code allows the </w:t>
      </w:r>
      <w:r w:rsidR="00DF1BAF">
        <w:rPr>
          <w:rFonts w:eastAsia="Times New Roman"/>
          <w:color w:val="000000" w:themeColor="text1"/>
        </w:rPr>
        <w:t>C</w:t>
      </w:r>
      <w:r w:rsidRPr="007E02B4">
        <w:rPr>
          <w:rFonts w:eastAsia="Times New Roman"/>
          <w:color w:val="000000" w:themeColor="text1"/>
        </w:rPr>
        <w:t>ommission to dismiss any complaint without a hearing if, in its opinion, a hearing is not necessary in the public interest.  66 Pa. C.S. § 703(b).</w:t>
      </w:r>
      <w:r w:rsidR="0000476A">
        <w:rPr>
          <w:color w:val="000000" w:themeColor="text1"/>
        </w:rPr>
        <w:t xml:space="preserve">  </w:t>
      </w:r>
      <w:r w:rsidR="003D7707" w:rsidRPr="007E02B4">
        <w:rPr>
          <w:color w:val="000000" w:themeColor="text1"/>
        </w:rPr>
        <w:t>As there is no issue of material fact</w:t>
      </w:r>
      <w:r w:rsidR="00EC2126" w:rsidRPr="007E02B4">
        <w:rPr>
          <w:color w:val="000000" w:themeColor="text1"/>
        </w:rPr>
        <w:t xml:space="preserve">, </w:t>
      </w:r>
      <w:r w:rsidR="00224C6E" w:rsidRPr="007E02B4">
        <w:rPr>
          <w:color w:val="000000" w:themeColor="text1"/>
        </w:rPr>
        <w:t xml:space="preserve">holding a hearing </w:t>
      </w:r>
      <w:r w:rsidRPr="007E02B4">
        <w:rPr>
          <w:color w:val="000000" w:themeColor="text1"/>
        </w:rPr>
        <w:t xml:space="preserve">in this case </w:t>
      </w:r>
      <w:r w:rsidR="00224C6E" w:rsidRPr="007E02B4">
        <w:rPr>
          <w:color w:val="000000" w:themeColor="text1"/>
        </w:rPr>
        <w:t xml:space="preserve">would be a fruitless exercise.  </w:t>
      </w:r>
    </w:p>
    <w:p w:rsidR="009F0A6B" w:rsidRDefault="009F0A6B">
      <w:pPr>
        <w:rPr>
          <w:color w:val="000000" w:themeColor="text1"/>
        </w:rPr>
      </w:pPr>
    </w:p>
    <w:p w:rsidR="00802AF2" w:rsidRPr="00273679" w:rsidRDefault="00802AF2" w:rsidP="00802AF2">
      <w:pPr>
        <w:rPr>
          <w:color w:val="000000" w:themeColor="text1"/>
          <w:u w:val="single"/>
        </w:rPr>
      </w:pPr>
      <w:r w:rsidRPr="00273679">
        <w:rPr>
          <w:color w:val="000000" w:themeColor="text1"/>
          <w:u w:val="single"/>
        </w:rPr>
        <w:t>CONCLUSIONS OF LAW</w:t>
      </w:r>
    </w:p>
    <w:p w:rsidR="00802AF2" w:rsidRPr="00273679" w:rsidRDefault="00802AF2" w:rsidP="00802AF2">
      <w:pPr>
        <w:jc w:val="left"/>
        <w:rPr>
          <w:color w:val="000000" w:themeColor="text1"/>
        </w:rPr>
      </w:pPr>
    </w:p>
    <w:p w:rsidR="00F50997" w:rsidRDefault="00802AF2" w:rsidP="00F50997">
      <w:pPr>
        <w:jc w:val="left"/>
        <w:rPr>
          <w:color w:val="000000" w:themeColor="text1"/>
        </w:rPr>
      </w:pPr>
      <w:r w:rsidRPr="00273679">
        <w:rPr>
          <w:color w:val="000000" w:themeColor="text1"/>
        </w:rPr>
        <w:tab/>
      </w:r>
      <w:r w:rsidRPr="00273679">
        <w:rPr>
          <w:color w:val="000000" w:themeColor="text1"/>
        </w:rPr>
        <w:tab/>
        <w:t xml:space="preserve"> 1.</w:t>
      </w:r>
      <w:r w:rsidRPr="00273679">
        <w:rPr>
          <w:color w:val="000000" w:themeColor="text1"/>
        </w:rPr>
        <w:tab/>
      </w:r>
      <w:r w:rsidR="00F50997" w:rsidRPr="0014145C">
        <w:rPr>
          <w:color w:val="000000" w:themeColor="text1"/>
        </w:rPr>
        <w:t xml:space="preserve">Commission preliminary objection practice is similar to Pennsylvania civil practice.  </w:t>
      </w:r>
      <w:r w:rsidR="00F50997" w:rsidRPr="0014145C">
        <w:rPr>
          <w:i/>
          <w:color w:val="000000" w:themeColor="text1"/>
        </w:rPr>
        <w:t xml:space="preserve">Equitable Small Transportation Interveners v. Equitable Gas Company, </w:t>
      </w:r>
      <w:r w:rsidR="00F50997" w:rsidRPr="0014145C">
        <w:rPr>
          <w:color w:val="000000" w:themeColor="text1"/>
        </w:rPr>
        <w:t xml:space="preserve">1994 Pa. PUC LEXIS 69, PUC Docket No. C-000935435 (July 18, 1994). </w:t>
      </w:r>
      <w:r w:rsidR="00F50997" w:rsidRPr="0014145C">
        <w:rPr>
          <w:color w:val="000000" w:themeColor="text1"/>
        </w:rPr>
        <w:tab/>
        <w:t xml:space="preserve"> </w:t>
      </w:r>
    </w:p>
    <w:p w:rsidR="00F50997" w:rsidRDefault="00F50997" w:rsidP="00F50997">
      <w:pPr>
        <w:jc w:val="left"/>
        <w:rPr>
          <w:color w:val="000000" w:themeColor="text1"/>
        </w:rPr>
      </w:pPr>
    </w:p>
    <w:p w:rsidR="00F50997" w:rsidRDefault="00F50997" w:rsidP="00F50997">
      <w:pPr>
        <w:jc w:val="left"/>
        <w:rPr>
          <w:i/>
          <w:color w:val="000000" w:themeColor="text1"/>
        </w:rPr>
      </w:pPr>
      <w:r>
        <w:rPr>
          <w:color w:val="000000" w:themeColor="text1"/>
        </w:rPr>
        <w:tab/>
      </w:r>
      <w:r>
        <w:rPr>
          <w:color w:val="000000" w:themeColor="text1"/>
        </w:rPr>
        <w:tab/>
        <w:t>2.</w:t>
      </w:r>
      <w:r>
        <w:rPr>
          <w:color w:val="000000" w:themeColor="text1"/>
        </w:rPr>
        <w:tab/>
      </w:r>
      <w:r w:rsidRPr="0014145C">
        <w:rPr>
          <w:color w:val="000000" w:themeColor="text1"/>
        </w:rPr>
        <w:t xml:space="preserve">When considering the preliminary objection, the Commission must determine “whether the law says with certainty, based on well-pleaded factual averments . . . that no recovery or relief is possible.  </w:t>
      </w:r>
      <w:r w:rsidRPr="0014145C">
        <w:rPr>
          <w:i/>
          <w:color w:val="000000" w:themeColor="text1"/>
        </w:rPr>
        <w:t xml:space="preserve">P. J. S. v. Pa. State Ethics Commission, </w:t>
      </w:r>
      <w:r>
        <w:rPr>
          <w:color w:val="000000" w:themeColor="text1"/>
        </w:rPr>
        <w:t>669 A.2d 1105 (Pa.</w:t>
      </w:r>
      <w:r w:rsidRPr="0014145C">
        <w:rPr>
          <w:color w:val="000000" w:themeColor="text1"/>
        </w:rPr>
        <w:t xml:space="preserve">Cmwlth. 1996).  Any doubt must be resolved in favor of the non-moving party by refusing to sustain the preliminary objections.  </w:t>
      </w:r>
      <w:r w:rsidRPr="0014145C">
        <w:rPr>
          <w:i/>
          <w:color w:val="000000" w:themeColor="text1"/>
        </w:rPr>
        <w:t xml:space="preserve">Boyd v. Ward, </w:t>
      </w:r>
      <w:r>
        <w:rPr>
          <w:color w:val="000000" w:themeColor="text1"/>
        </w:rPr>
        <w:t>802 A.2d 705 (Pa.</w:t>
      </w:r>
      <w:r w:rsidRPr="0014145C">
        <w:rPr>
          <w:color w:val="000000" w:themeColor="text1"/>
        </w:rPr>
        <w:t xml:space="preserve">Cmwlth. 2002).”  </w:t>
      </w:r>
      <w:r w:rsidRPr="0014145C">
        <w:rPr>
          <w:i/>
          <w:color w:val="000000" w:themeColor="text1"/>
        </w:rPr>
        <w:t xml:space="preserve">Dept. of Auditor General, et al. v. State Employees’ Retirement System, et al., </w:t>
      </w:r>
      <w:r w:rsidRPr="0014145C">
        <w:rPr>
          <w:color w:val="000000" w:themeColor="text1"/>
        </w:rPr>
        <w:t xml:space="preserve">836 A.2d 1053, 1064 (Pa.Cmwlth. 2003).  </w:t>
      </w:r>
      <w:r w:rsidRPr="0014145C">
        <w:rPr>
          <w:i/>
          <w:color w:val="000000" w:themeColor="text1"/>
        </w:rPr>
        <w:t xml:space="preserve"> </w:t>
      </w:r>
    </w:p>
    <w:p w:rsidR="00F50997" w:rsidRDefault="00F50997" w:rsidP="00F50997">
      <w:pPr>
        <w:jc w:val="left"/>
        <w:rPr>
          <w:i/>
          <w:color w:val="000000" w:themeColor="text1"/>
        </w:rPr>
      </w:pPr>
    </w:p>
    <w:p w:rsidR="00F50997" w:rsidRPr="0014145C" w:rsidRDefault="00F50997" w:rsidP="00F50997">
      <w:pPr>
        <w:jc w:val="left"/>
        <w:rPr>
          <w:color w:val="000000" w:themeColor="text1"/>
        </w:rPr>
      </w:pPr>
      <w:r>
        <w:rPr>
          <w:color w:val="000000" w:themeColor="text1"/>
        </w:rPr>
        <w:tab/>
      </w:r>
      <w:r>
        <w:rPr>
          <w:color w:val="000000" w:themeColor="text1"/>
        </w:rPr>
        <w:tab/>
        <w:t>3.</w:t>
      </w:r>
      <w:r>
        <w:rPr>
          <w:color w:val="000000" w:themeColor="text1"/>
        </w:rPr>
        <w:tab/>
      </w:r>
      <w:r w:rsidRPr="0014145C">
        <w:rPr>
          <w:color w:val="000000" w:themeColor="text1"/>
        </w:rPr>
        <w:t>In reviewing preliminary objections, only the facts in the Complaint can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the utility company in violation of any law which the Commission has jurisdiction to administer.  66 Pa.</w:t>
      </w:r>
      <w:r>
        <w:rPr>
          <w:color w:val="000000" w:themeColor="text1"/>
        </w:rPr>
        <w:t>C.S. § 701; 52 Pa.</w:t>
      </w:r>
      <w:r w:rsidRPr="0014145C">
        <w:rPr>
          <w:color w:val="000000" w:themeColor="text1"/>
        </w:rPr>
        <w:t xml:space="preserve">Code § 5.21(a).  </w:t>
      </w:r>
    </w:p>
    <w:p w:rsidR="00F50997" w:rsidRPr="00F50997" w:rsidRDefault="00F50997" w:rsidP="00F50997">
      <w:pPr>
        <w:jc w:val="left"/>
        <w:rPr>
          <w:color w:val="000000" w:themeColor="text1"/>
        </w:rPr>
      </w:pPr>
    </w:p>
    <w:p w:rsidR="00F50997" w:rsidRDefault="00F50997" w:rsidP="00F50997">
      <w:pPr>
        <w:jc w:val="left"/>
        <w:rPr>
          <w:color w:val="000000" w:themeColor="text1"/>
        </w:rPr>
      </w:pPr>
      <w:r>
        <w:rPr>
          <w:color w:val="000000" w:themeColor="text1"/>
        </w:rPr>
        <w:tab/>
      </w:r>
      <w:r>
        <w:rPr>
          <w:color w:val="000000" w:themeColor="text1"/>
        </w:rPr>
        <w:tab/>
        <w:t>4.</w:t>
      </w:r>
      <w:r>
        <w:rPr>
          <w:color w:val="000000" w:themeColor="text1"/>
        </w:rPr>
        <w:tab/>
      </w:r>
      <w:r w:rsidRPr="00C23A5B">
        <w:t>Act 129 of 2008</w:t>
      </w:r>
      <w:r>
        <w:t xml:space="preserve"> requires </w:t>
      </w:r>
      <w:r>
        <w:rPr>
          <w:color w:val="000000" w:themeColor="text1"/>
        </w:rPr>
        <w:t xml:space="preserve">that electric distribution companies (EDCs) such as PECO furnish smart meter technology and does not provide for an exception to that requirement.  66 Pa.C.S. § 2807.  </w:t>
      </w:r>
    </w:p>
    <w:p w:rsidR="00F50997" w:rsidRDefault="00F50997" w:rsidP="00F50997">
      <w:pPr>
        <w:jc w:val="left"/>
        <w:rPr>
          <w:color w:val="000000" w:themeColor="text1"/>
        </w:rPr>
      </w:pPr>
    </w:p>
    <w:p w:rsidR="00F50997" w:rsidRDefault="00F50997" w:rsidP="00F50997">
      <w:pPr>
        <w:jc w:val="left"/>
        <w:rPr>
          <w:color w:val="000000" w:themeColor="text1"/>
        </w:rPr>
      </w:pPr>
      <w:r>
        <w:rPr>
          <w:color w:val="000000" w:themeColor="text1"/>
        </w:rPr>
        <w:tab/>
      </w:r>
      <w:r>
        <w:rPr>
          <w:color w:val="000000" w:themeColor="text1"/>
        </w:rPr>
        <w:tab/>
        <w:t>5.</w:t>
      </w:r>
      <w:r>
        <w:rPr>
          <w:color w:val="000000" w:themeColor="text1"/>
        </w:rPr>
        <w:tab/>
        <w:t xml:space="preserve">The Commission adopted an Implementation Order on June 18, 2009, which established the procedures that the EDCs were to use in developing and implementing their smart meter plans.  Docket No. M-2009-2092655.  </w:t>
      </w:r>
    </w:p>
    <w:p w:rsidR="00F50997" w:rsidRDefault="00F50997" w:rsidP="00F50997">
      <w:pPr>
        <w:jc w:val="left"/>
        <w:rPr>
          <w:color w:val="000000" w:themeColor="text1"/>
        </w:rPr>
      </w:pPr>
      <w:r>
        <w:rPr>
          <w:color w:val="000000" w:themeColor="text1"/>
        </w:rPr>
        <w:tab/>
      </w:r>
      <w:r>
        <w:rPr>
          <w:color w:val="000000" w:themeColor="text1"/>
        </w:rPr>
        <w:tab/>
        <w:t>6.</w:t>
      </w:r>
      <w:r>
        <w:rPr>
          <w:color w:val="000000" w:themeColor="text1"/>
        </w:rPr>
        <w:tab/>
        <w:t xml:space="preserve">The PECO smart meter installation plan was approved by the Commission on May 6, 2010 at Docket No. M-2009-2123944, and was the result of a litigated proceeding which was open to the participation of all customers.  </w:t>
      </w:r>
    </w:p>
    <w:p w:rsidR="00F50997" w:rsidRDefault="00F50997" w:rsidP="00F50997">
      <w:pPr>
        <w:jc w:val="left"/>
        <w:rPr>
          <w:color w:val="000000" w:themeColor="text1"/>
        </w:rPr>
      </w:pPr>
    </w:p>
    <w:p w:rsidR="00802AF2" w:rsidRPr="00273679" w:rsidRDefault="00F50997" w:rsidP="00DA7628">
      <w:pPr>
        <w:jc w:val="left"/>
        <w:rPr>
          <w:color w:val="000000" w:themeColor="text1"/>
        </w:rPr>
      </w:pPr>
      <w:r>
        <w:rPr>
          <w:color w:val="000000" w:themeColor="text1"/>
        </w:rPr>
        <w:tab/>
      </w:r>
      <w:r>
        <w:rPr>
          <w:color w:val="000000" w:themeColor="text1"/>
        </w:rPr>
        <w:tab/>
        <w:t>7.</w:t>
      </w:r>
      <w:r>
        <w:rPr>
          <w:color w:val="000000" w:themeColor="text1"/>
        </w:rPr>
        <w:tab/>
      </w:r>
      <w:r w:rsidR="0000476A">
        <w:rPr>
          <w:color w:val="000000" w:themeColor="text1"/>
        </w:rPr>
        <w:t>The C</w:t>
      </w:r>
      <w:r w:rsidR="0000476A" w:rsidRPr="0000476A">
        <w:rPr>
          <w:color w:val="000000" w:themeColor="text1"/>
        </w:rPr>
        <w:t xml:space="preserve">ommission </w:t>
      </w:r>
      <w:r w:rsidR="0000476A">
        <w:rPr>
          <w:color w:val="000000" w:themeColor="text1"/>
        </w:rPr>
        <w:t>may</w:t>
      </w:r>
      <w:r w:rsidR="0000476A" w:rsidRPr="0000476A">
        <w:rPr>
          <w:color w:val="000000" w:themeColor="text1"/>
        </w:rPr>
        <w:t xml:space="preserve"> dismiss any complaint without a hearing if, in its opinion, a hearing is not necessary in the public interest.  66 Pa. C.S. § 703(b).</w:t>
      </w:r>
    </w:p>
    <w:p w:rsidR="00802AF2" w:rsidRPr="00273679" w:rsidRDefault="00802AF2" w:rsidP="00802AF2">
      <w:pPr>
        <w:jc w:val="left"/>
        <w:rPr>
          <w:color w:val="000000" w:themeColor="text1"/>
        </w:rPr>
      </w:pPr>
    </w:p>
    <w:p w:rsidR="00802AF2" w:rsidRPr="00273679" w:rsidRDefault="00802AF2" w:rsidP="003C3761">
      <w:pPr>
        <w:jc w:val="left"/>
        <w:rPr>
          <w:color w:val="000000" w:themeColor="text1"/>
        </w:rPr>
      </w:pPr>
      <w:r w:rsidRPr="00273679">
        <w:rPr>
          <w:color w:val="000000" w:themeColor="text1"/>
        </w:rPr>
        <w:tab/>
      </w:r>
      <w:r w:rsidRPr="00273679">
        <w:rPr>
          <w:color w:val="000000" w:themeColor="text1"/>
        </w:rPr>
        <w:tab/>
      </w:r>
      <w:r w:rsidR="00F50997">
        <w:rPr>
          <w:color w:val="000000" w:themeColor="text1"/>
        </w:rPr>
        <w:t>8</w:t>
      </w:r>
      <w:r w:rsidR="00C42CA8">
        <w:rPr>
          <w:color w:val="000000" w:themeColor="text1"/>
        </w:rPr>
        <w:t>.</w:t>
      </w:r>
      <w:r w:rsidR="00C42CA8">
        <w:rPr>
          <w:color w:val="000000" w:themeColor="text1"/>
        </w:rPr>
        <w:tab/>
        <w:t xml:space="preserve">The Complaint </w:t>
      </w:r>
      <w:r w:rsidR="00F50997">
        <w:rPr>
          <w:color w:val="000000" w:themeColor="text1"/>
        </w:rPr>
        <w:t>fails to state a violation for which relief can be granted</w:t>
      </w:r>
      <w:r w:rsidR="00C42CA8">
        <w:rPr>
          <w:color w:val="000000" w:themeColor="text1"/>
        </w:rPr>
        <w:t>.</w:t>
      </w:r>
    </w:p>
    <w:p w:rsidR="00802AF2" w:rsidRDefault="00802AF2" w:rsidP="00EC2126">
      <w:pPr>
        <w:ind w:firstLine="1440"/>
        <w:jc w:val="left"/>
      </w:pPr>
    </w:p>
    <w:p w:rsidR="009943BE" w:rsidRPr="0014145C" w:rsidRDefault="009943BE" w:rsidP="009943BE">
      <w:pPr>
        <w:jc w:val="left"/>
        <w:rPr>
          <w:color w:val="7F7F7F" w:themeColor="text1" w:themeTint="80"/>
        </w:rPr>
      </w:pPr>
    </w:p>
    <w:p w:rsidR="009943BE" w:rsidRPr="00A64D9F" w:rsidRDefault="009943BE" w:rsidP="009943BE">
      <w:pPr>
        <w:rPr>
          <w:color w:val="000000" w:themeColor="text1"/>
          <w:u w:val="single"/>
        </w:rPr>
      </w:pPr>
      <w:r w:rsidRPr="00A64D9F">
        <w:rPr>
          <w:color w:val="000000" w:themeColor="text1"/>
          <w:u w:val="single"/>
        </w:rPr>
        <w:t>ORDER</w:t>
      </w:r>
    </w:p>
    <w:p w:rsidR="009943BE" w:rsidRPr="00A64D9F" w:rsidRDefault="009943BE" w:rsidP="009943BE">
      <w:pPr>
        <w:rPr>
          <w:b/>
          <w:color w:val="000000" w:themeColor="text1"/>
        </w:rPr>
      </w:pPr>
    </w:p>
    <w:p w:rsidR="009943BE" w:rsidRPr="00A64D9F" w:rsidRDefault="009943BE" w:rsidP="009943BE">
      <w:pPr>
        <w:jc w:val="left"/>
        <w:rPr>
          <w:color w:val="000000" w:themeColor="text1"/>
        </w:rPr>
      </w:pPr>
      <w:r w:rsidRPr="00A64D9F">
        <w:rPr>
          <w:color w:val="000000" w:themeColor="text1"/>
        </w:rPr>
        <w:tab/>
      </w:r>
      <w:r w:rsidRPr="00A64D9F">
        <w:rPr>
          <w:color w:val="000000" w:themeColor="text1"/>
        </w:rPr>
        <w:tab/>
        <w:t>THEREFORE,</w:t>
      </w:r>
    </w:p>
    <w:p w:rsidR="009943BE" w:rsidRPr="00A64D9F" w:rsidRDefault="009943BE" w:rsidP="009943BE">
      <w:pPr>
        <w:jc w:val="left"/>
        <w:rPr>
          <w:color w:val="000000" w:themeColor="text1"/>
        </w:rPr>
      </w:pPr>
    </w:p>
    <w:p w:rsidR="009943BE" w:rsidRPr="00A64D9F" w:rsidRDefault="009943BE" w:rsidP="009943BE">
      <w:pPr>
        <w:jc w:val="left"/>
        <w:rPr>
          <w:color w:val="000000" w:themeColor="text1"/>
        </w:rPr>
      </w:pPr>
      <w:r w:rsidRPr="00A64D9F">
        <w:rPr>
          <w:color w:val="000000" w:themeColor="text1"/>
        </w:rPr>
        <w:tab/>
      </w:r>
      <w:r w:rsidRPr="00A64D9F">
        <w:rPr>
          <w:color w:val="000000" w:themeColor="text1"/>
        </w:rPr>
        <w:tab/>
        <w:t>IT IS ORDERED:</w:t>
      </w:r>
    </w:p>
    <w:p w:rsidR="009943BE" w:rsidRPr="00A64D9F" w:rsidRDefault="009943BE" w:rsidP="009943BE">
      <w:pPr>
        <w:jc w:val="left"/>
        <w:rPr>
          <w:color w:val="000000" w:themeColor="text1"/>
        </w:rPr>
      </w:pPr>
    </w:p>
    <w:p w:rsidR="009943BE" w:rsidRDefault="00387215" w:rsidP="009943BE">
      <w:pPr>
        <w:jc w:val="left"/>
        <w:rPr>
          <w:color w:val="000000" w:themeColor="text1"/>
        </w:rPr>
      </w:pPr>
      <w:r w:rsidRPr="00A64D9F">
        <w:rPr>
          <w:color w:val="000000" w:themeColor="text1"/>
        </w:rPr>
        <w:tab/>
      </w:r>
      <w:r w:rsidRPr="00A64D9F">
        <w:rPr>
          <w:color w:val="000000" w:themeColor="text1"/>
        </w:rPr>
        <w:tab/>
      </w:r>
      <w:r w:rsidRPr="00613B7A">
        <w:rPr>
          <w:color w:val="000000" w:themeColor="text1"/>
        </w:rPr>
        <w:t>1.</w:t>
      </w:r>
      <w:r w:rsidRPr="00613B7A">
        <w:rPr>
          <w:color w:val="000000" w:themeColor="text1"/>
        </w:rPr>
        <w:tab/>
        <w:t xml:space="preserve">That the </w:t>
      </w:r>
      <w:r w:rsidR="00DA7628">
        <w:rPr>
          <w:color w:val="000000" w:themeColor="text1"/>
        </w:rPr>
        <w:t>Preliminary Objections</w:t>
      </w:r>
      <w:r w:rsidR="00A57359" w:rsidRPr="00613B7A">
        <w:rPr>
          <w:color w:val="000000" w:themeColor="text1"/>
        </w:rPr>
        <w:t xml:space="preserve"> </w:t>
      </w:r>
      <w:r w:rsidR="009943BE" w:rsidRPr="00613B7A">
        <w:rPr>
          <w:color w:val="000000" w:themeColor="text1"/>
        </w:rPr>
        <w:t xml:space="preserve">filed in the case </w:t>
      </w:r>
      <w:r w:rsidR="009943BE" w:rsidRPr="007B6856">
        <w:rPr>
          <w:color w:val="000000" w:themeColor="text1"/>
        </w:rPr>
        <w:t>captioned</w:t>
      </w:r>
      <w:r w:rsidR="00354FC3" w:rsidRPr="007B6856">
        <w:rPr>
          <w:color w:val="000000" w:themeColor="text1"/>
        </w:rPr>
        <w:t xml:space="preserve"> </w:t>
      </w:r>
      <w:r w:rsidR="003C3761" w:rsidRPr="007B6856">
        <w:rPr>
          <w:color w:val="000000" w:themeColor="text1"/>
        </w:rPr>
        <w:t xml:space="preserve">Joe and Danielle Steffe v. PECO Energy Company </w:t>
      </w:r>
      <w:r w:rsidR="009943BE" w:rsidRPr="007B6856">
        <w:rPr>
          <w:color w:val="000000" w:themeColor="text1"/>
        </w:rPr>
        <w:t xml:space="preserve">at Docket No. </w:t>
      </w:r>
      <w:r w:rsidR="00354FC3" w:rsidRPr="007B6856">
        <w:rPr>
          <w:color w:val="000000" w:themeColor="text1"/>
        </w:rPr>
        <w:t>C-2015-</w:t>
      </w:r>
      <w:r w:rsidR="003C3761" w:rsidRPr="007B6856">
        <w:rPr>
          <w:color w:val="000000" w:themeColor="text1"/>
        </w:rPr>
        <w:t>2472173</w:t>
      </w:r>
      <w:r w:rsidR="00E21E2B" w:rsidRPr="007B6856">
        <w:rPr>
          <w:color w:val="000000" w:themeColor="text1"/>
        </w:rPr>
        <w:t xml:space="preserve"> </w:t>
      </w:r>
      <w:r w:rsidR="00DA7628" w:rsidRPr="007B6856">
        <w:rPr>
          <w:color w:val="000000" w:themeColor="text1"/>
        </w:rPr>
        <w:t xml:space="preserve">are </w:t>
      </w:r>
      <w:r w:rsidR="008E785D" w:rsidRPr="007B6856">
        <w:rPr>
          <w:color w:val="000000" w:themeColor="text1"/>
        </w:rPr>
        <w:t>granted.</w:t>
      </w:r>
    </w:p>
    <w:p w:rsidR="00224C6E" w:rsidRDefault="00224C6E" w:rsidP="009943BE">
      <w:pPr>
        <w:jc w:val="left"/>
        <w:rPr>
          <w:color w:val="000000" w:themeColor="text1"/>
        </w:rPr>
      </w:pPr>
    </w:p>
    <w:p w:rsidR="00224C6E" w:rsidRPr="00613B7A" w:rsidRDefault="00224C6E" w:rsidP="009943BE">
      <w:pPr>
        <w:jc w:val="left"/>
        <w:rPr>
          <w:color w:val="000000" w:themeColor="text1"/>
        </w:rPr>
      </w:pPr>
      <w:r>
        <w:rPr>
          <w:color w:val="000000" w:themeColor="text1"/>
        </w:rPr>
        <w:tab/>
      </w:r>
      <w:r>
        <w:rPr>
          <w:color w:val="000000" w:themeColor="text1"/>
        </w:rPr>
        <w:tab/>
        <w:t>2.</w:t>
      </w:r>
      <w:r w:rsidR="003C3761">
        <w:rPr>
          <w:color w:val="000000" w:themeColor="text1"/>
        </w:rPr>
        <w:tab/>
        <w:t>That the Complaint filed by Joe and Danielle Steffe</w:t>
      </w:r>
      <w:r>
        <w:rPr>
          <w:color w:val="000000" w:themeColor="text1"/>
        </w:rPr>
        <w:t xml:space="preserve"> against PECO Energy Company at Docket No. </w:t>
      </w:r>
      <w:r w:rsidR="003C3761" w:rsidRPr="00613B7A">
        <w:rPr>
          <w:color w:val="000000" w:themeColor="text1"/>
        </w:rPr>
        <w:t>C-2015-</w:t>
      </w:r>
      <w:r w:rsidR="003C3761">
        <w:rPr>
          <w:color w:val="000000" w:themeColor="text1"/>
        </w:rPr>
        <w:t>2472173</w:t>
      </w:r>
      <w:r w:rsidR="003C3761" w:rsidRPr="00613B7A">
        <w:rPr>
          <w:color w:val="000000" w:themeColor="text1"/>
        </w:rPr>
        <w:t xml:space="preserve"> </w:t>
      </w:r>
      <w:r>
        <w:rPr>
          <w:color w:val="000000" w:themeColor="text1"/>
        </w:rPr>
        <w:t>is dismissed.</w:t>
      </w:r>
    </w:p>
    <w:p w:rsidR="009943BE" w:rsidRPr="00613B7A" w:rsidRDefault="009943BE" w:rsidP="009943BE">
      <w:pPr>
        <w:jc w:val="left"/>
        <w:rPr>
          <w:color w:val="000000" w:themeColor="text1"/>
        </w:rPr>
      </w:pPr>
    </w:p>
    <w:p w:rsidR="009943BE" w:rsidRPr="00613B7A" w:rsidRDefault="008E785D" w:rsidP="009943BE">
      <w:pPr>
        <w:jc w:val="left"/>
        <w:rPr>
          <w:color w:val="000000" w:themeColor="text1"/>
        </w:rPr>
      </w:pPr>
      <w:r>
        <w:rPr>
          <w:color w:val="000000" w:themeColor="text1"/>
        </w:rPr>
        <w:tab/>
      </w:r>
      <w:r>
        <w:rPr>
          <w:color w:val="000000" w:themeColor="text1"/>
        </w:rPr>
        <w:tab/>
      </w:r>
      <w:r w:rsidR="007B6856">
        <w:rPr>
          <w:color w:val="000000" w:themeColor="text1"/>
        </w:rPr>
        <w:t>3</w:t>
      </w:r>
      <w:r w:rsidR="009943BE" w:rsidRPr="00613B7A">
        <w:rPr>
          <w:color w:val="000000" w:themeColor="text1"/>
        </w:rPr>
        <w:t>.</w:t>
      </w:r>
      <w:r w:rsidR="009943BE" w:rsidRPr="00613B7A">
        <w:rPr>
          <w:color w:val="000000" w:themeColor="text1"/>
        </w:rPr>
        <w:tab/>
      </w:r>
      <w:r w:rsidR="009A7481" w:rsidRPr="00613B7A">
        <w:rPr>
          <w:color w:val="000000" w:themeColor="text1"/>
        </w:rPr>
        <w:t xml:space="preserve">That </w:t>
      </w:r>
      <w:r w:rsidR="00224C6E">
        <w:rPr>
          <w:color w:val="000000" w:themeColor="text1"/>
        </w:rPr>
        <w:t>the S</w:t>
      </w:r>
      <w:r>
        <w:rPr>
          <w:color w:val="000000" w:themeColor="text1"/>
        </w:rPr>
        <w:t>ecretary mark this docket closed.</w:t>
      </w:r>
    </w:p>
    <w:p w:rsidR="009943BE" w:rsidRPr="00A64D9F" w:rsidRDefault="009943BE" w:rsidP="009943BE">
      <w:pPr>
        <w:jc w:val="left"/>
        <w:rPr>
          <w:color w:val="000000" w:themeColor="text1"/>
        </w:rPr>
      </w:pPr>
    </w:p>
    <w:p w:rsidR="009943BE" w:rsidRPr="00A64D9F" w:rsidRDefault="009943BE" w:rsidP="009943BE">
      <w:pPr>
        <w:jc w:val="left"/>
        <w:rPr>
          <w:color w:val="000000" w:themeColor="text1"/>
        </w:rPr>
      </w:pPr>
    </w:p>
    <w:p w:rsidR="009943BE" w:rsidRPr="007B6856" w:rsidRDefault="009943BE" w:rsidP="009943BE">
      <w:pPr>
        <w:spacing w:line="240" w:lineRule="auto"/>
        <w:contextualSpacing/>
        <w:jc w:val="left"/>
        <w:rPr>
          <w:color w:val="000000" w:themeColor="text1"/>
          <w:u w:val="single"/>
        </w:rPr>
      </w:pPr>
      <w:r w:rsidRPr="00A64D9F">
        <w:rPr>
          <w:color w:val="000000" w:themeColor="text1"/>
        </w:rPr>
        <w:t>Dated:</w:t>
      </w:r>
      <w:r w:rsidRPr="00A64D9F">
        <w:rPr>
          <w:color w:val="000000" w:themeColor="text1"/>
        </w:rPr>
        <w:tab/>
      </w:r>
      <w:r w:rsidR="001C2101">
        <w:rPr>
          <w:color w:val="000000" w:themeColor="text1"/>
          <w:u w:val="single"/>
        </w:rPr>
        <w:t xml:space="preserve">April </w:t>
      </w:r>
      <w:r w:rsidR="00ED57D7">
        <w:rPr>
          <w:color w:val="000000" w:themeColor="text1"/>
          <w:u w:val="single"/>
        </w:rPr>
        <w:t>1</w:t>
      </w:r>
      <w:r w:rsidR="00F50997">
        <w:rPr>
          <w:color w:val="000000" w:themeColor="text1"/>
          <w:u w:val="single"/>
        </w:rPr>
        <w:t>3</w:t>
      </w:r>
      <w:r w:rsidR="00DA7628">
        <w:rPr>
          <w:color w:val="000000" w:themeColor="text1"/>
          <w:u w:val="single"/>
        </w:rPr>
        <w:t>,</w:t>
      </w:r>
      <w:r w:rsidR="008B155B" w:rsidRPr="00A64D9F">
        <w:rPr>
          <w:color w:val="000000" w:themeColor="text1"/>
          <w:u w:val="single"/>
        </w:rPr>
        <w:t xml:space="preserve"> 2015</w:t>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000C6D5C">
        <w:rPr>
          <w:color w:val="000000" w:themeColor="text1"/>
        </w:rPr>
        <w:tab/>
      </w:r>
      <w:r w:rsidR="007B6856">
        <w:rPr>
          <w:color w:val="000000" w:themeColor="text1"/>
          <w:u w:val="single"/>
        </w:rPr>
        <w:tab/>
        <w:t>/s/</w:t>
      </w:r>
      <w:r w:rsidR="007B6856">
        <w:rPr>
          <w:color w:val="000000" w:themeColor="text1"/>
          <w:u w:val="single"/>
        </w:rPr>
        <w:tab/>
      </w:r>
      <w:r w:rsidR="007B6856">
        <w:rPr>
          <w:color w:val="000000" w:themeColor="text1"/>
          <w:u w:val="single"/>
        </w:rPr>
        <w:tab/>
      </w:r>
      <w:r w:rsidR="007B6856">
        <w:rPr>
          <w:color w:val="000000" w:themeColor="text1"/>
          <w:u w:val="single"/>
        </w:rPr>
        <w:tab/>
      </w:r>
      <w:r w:rsidR="007B6856">
        <w:rPr>
          <w:color w:val="000000" w:themeColor="text1"/>
          <w:u w:val="single"/>
        </w:rPr>
        <w:tab/>
      </w:r>
      <w:r w:rsidR="007B6856">
        <w:rPr>
          <w:color w:val="000000" w:themeColor="text1"/>
          <w:u w:val="single"/>
        </w:rPr>
        <w:tab/>
      </w:r>
    </w:p>
    <w:p w:rsidR="009943BE" w:rsidRPr="00A64D9F" w:rsidRDefault="009943BE" w:rsidP="009943BE">
      <w:pPr>
        <w:spacing w:line="240" w:lineRule="auto"/>
        <w:contextualSpacing/>
        <w:jc w:val="left"/>
        <w:rPr>
          <w:color w:val="000000" w:themeColor="text1"/>
        </w:rPr>
      </w:pP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t>Susan D. Colwell</w:t>
      </w:r>
    </w:p>
    <w:p w:rsidR="009943BE" w:rsidRPr="00A64D9F" w:rsidRDefault="009943BE" w:rsidP="002F4DA2">
      <w:pPr>
        <w:spacing w:line="240" w:lineRule="auto"/>
        <w:contextualSpacing/>
        <w:jc w:val="left"/>
        <w:rPr>
          <w:color w:val="000000" w:themeColor="text1"/>
        </w:rPr>
      </w:pP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t>Administrative Law Judge</w:t>
      </w:r>
    </w:p>
    <w:sectPr w:rsidR="009943BE" w:rsidRPr="00A64D9F" w:rsidSect="009866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B83" w:rsidRDefault="00F04B83" w:rsidP="009943BE">
      <w:pPr>
        <w:spacing w:line="240" w:lineRule="auto"/>
      </w:pPr>
      <w:r>
        <w:separator/>
      </w:r>
    </w:p>
  </w:endnote>
  <w:endnote w:type="continuationSeparator" w:id="0">
    <w:p w:rsidR="00F04B83" w:rsidRDefault="00F04B83" w:rsidP="0099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5522"/>
      <w:docPartObj>
        <w:docPartGallery w:val="Page Numbers (Bottom of Page)"/>
        <w:docPartUnique/>
      </w:docPartObj>
    </w:sdtPr>
    <w:sdtEndPr>
      <w:rPr>
        <w:noProof/>
        <w:sz w:val="20"/>
        <w:szCs w:val="20"/>
      </w:rPr>
    </w:sdtEndPr>
    <w:sdtContent>
      <w:p w:rsidR="00986649" w:rsidRPr="007D2C0D" w:rsidRDefault="00986649">
        <w:pPr>
          <w:pStyle w:val="Footer"/>
          <w:rPr>
            <w:sz w:val="20"/>
            <w:szCs w:val="20"/>
          </w:rPr>
        </w:pPr>
        <w:r w:rsidRPr="007D2C0D">
          <w:rPr>
            <w:sz w:val="20"/>
            <w:szCs w:val="20"/>
          </w:rPr>
          <w:fldChar w:fldCharType="begin"/>
        </w:r>
        <w:r w:rsidRPr="007D2C0D">
          <w:rPr>
            <w:sz w:val="20"/>
            <w:szCs w:val="20"/>
          </w:rPr>
          <w:instrText xml:space="preserve"> PAGE   \* MERGEFORMAT </w:instrText>
        </w:r>
        <w:r w:rsidRPr="007D2C0D">
          <w:rPr>
            <w:sz w:val="20"/>
            <w:szCs w:val="20"/>
          </w:rPr>
          <w:fldChar w:fldCharType="separate"/>
        </w:r>
        <w:r w:rsidR="007B6856">
          <w:rPr>
            <w:noProof/>
            <w:sz w:val="20"/>
            <w:szCs w:val="20"/>
          </w:rPr>
          <w:t>2</w:t>
        </w:r>
        <w:r w:rsidRPr="007D2C0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B83" w:rsidRDefault="00F04B83" w:rsidP="009943BE">
      <w:pPr>
        <w:spacing w:line="240" w:lineRule="auto"/>
      </w:pPr>
      <w:r>
        <w:separator/>
      </w:r>
    </w:p>
  </w:footnote>
  <w:footnote w:type="continuationSeparator" w:id="0">
    <w:p w:rsidR="00F04B83" w:rsidRDefault="00F04B83" w:rsidP="009943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0417C"/>
    <w:multiLevelType w:val="hybridMultilevel"/>
    <w:tmpl w:val="E4DC87CC"/>
    <w:lvl w:ilvl="0" w:tplc="DF9C1E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7087CEC"/>
    <w:multiLevelType w:val="hybridMultilevel"/>
    <w:tmpl w:val="3FF2ACB0"/>
    <w:lvl w:ilvl="0" w:tplc="C60417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CE"/>
    <w:rsid w:val="000018A7"/>
    <w:rsid w:val="00001E3A"/>
    <w:rsid w:val="00001EF6"/>
    <w:rsid w:val="000028EA"/>
    <w:rsid w:val="00003D11"/>
    <w:rsid w:val="0000476A"/>
    <w:rsid w:val="000049D4"/>
    <w:rsid w:val="00004AA3"/>
    <w:rsid w:val="00005558"/>
    <w:rsid w:val="00006BD3"/>
    <w:rsid w:val="000079FE"/>
    <w:rsid w:val="0001073D"/>
    <w:rsid w:val="00012104"/>
    <w:rsid w:val="00012268"/>
    <w:rsid w:val="00012655"/>
    <w:rsid w:val="0001305A"/>
    <w:rsid w:val="00016E55"/>
    <w:rsid w:val="0002023D"/>
    <w:rsid w:val="00020760"/>
    <w:rsid w:val="0002105C"/>
    <w:rsid w:val="0002110E"/>
    <w:rsid w:val="0002235C"/>
    <w:rsid w:val="00022B3F"/>
    <w:rsid w:val="00025D7A"/>
    <w:rsid w:val="000304BF"/>
    <w:rsid w:val="00030BC9"/>
    <w:rsid w:val="00032379"/>
    <w:rsid w:val="0003306B"/>
    <w:rsid w:val="00033303"/>
    <w:rsid w:val="000338CD"/>
    <w:rsid w:val="00035BB8"/>
    <w:rsid w:val="000372C5"/>
    <w:rsid w:val="00037484"/>
    <w:rsid w:val="000377F5"/>
    <w:rsid w:val="00037E0F"/>
    <w:rsid w:val="00040EB6"/>
    <w:rsid w:val="0004162D"/>
    <w:rsid w:val="00044B8B"/>
    <w:rsid w:val="00044DA7"/>
    <w:rsid w:val="00044FC0"/>
    <w:rsid w:val="0004643F"/>
    <w:rsid w:val="000466BF"/>
    <w:rsid w:val="00046714"/>
    <w:rsid w:val="00046940"/>
    <w:rsid w:val="000478E2"/>
    <w:rsid w:val="00052359"/>
    <w:rsid w:val="00053B9A"/>
    <w:rsid w:val="000541C0"/>
    <w:rsid w:val="0005423F"/>
    <w:rsid w:val="00055078"/>
    <w:rsid w:val="00055CC5"/>
    <w:rsid w:val="000576ED"/>
    <w:rsid w:val="000605B6"/>
    <w:rsid w:val="00061278"/>
    <w:rsid w:val="00061AFB"/>
    <w:rsid w:val="000634EB"/>
    <w:rsid w:val="00063801"/>
    <w:rsid w:val="0006752D"/>
    <w:rsid w:val="000676B2"/>
    <w:rsid w:val="00067CBC"/>
    <w:rsid w:val="00070AA1"/>
    <w:rsid w:val="00071A36"/>
    <w:rsid w:val="00072595"/>
    <w:rsid w:val="00072D46"/>
    <w:rsid w:val="0007397C"/>
    <w:rsid w:val="00073BE1"/>
    <w:rsid w:val="00074065"/>
    <w:rsid w:val="00074DB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80D"/>
    <w:rsid w:val="00097D77"/>
    <w:rsid w:val="000A0123"/>
    <w:rsid w:val="000A1347"/>
    <w:rsid w:val="000A2192"/>
    <w:rsid w:val="000A397E"/>
    <w:rsid w:val="000A4551"/>
    <w:rsid w:val="000A4E7A"/>
    <w:rsid w:val="000A5DEA"/>
    <w:rsid w:val="000A6171"/>
    <w:rsid w:val="000A652E"/>
    <w:rsid w:val="000A69B5"/>
    <w:rsid w:val="000A770B"/>
    <w:rsid w:val="000B1BFC"/>
    <w:rsid w:val="000B1D64"/>
    <w:rsid w:val="000B2D0C"/>
    <w:rsid w:val="000B339A"/>
    <w:rsid w:val="000B7111"/>
    <w:rsid w:val="000B7866"/>
    <w:rsid w:val="000C0311"/>
    <w:rsid w:val="000C2696"/>
    <w:rsid w:val="000C27AC"/>
    <w:rsid w:val="000C2A2B"/>
    <w:rsid w:val="000C34F3"/>
    <w:rsid w:val="000C4163"/>
    <w:rsid w:val="000C56DC"/>
    <w:rsid w:val="000C5976"/>
    <w:rsid w:val="000C5DC7"/>
    <w:rsid w:val="000C683B"/>
    <w:rsid w:val="000C6B6E"/>
    <w:rsid w:val="000C6D5C"/>
    <w:rsid w:val="000C6EF0"/>
    <w:rsid w:val="000C6FAA"/>
    <w:rsid w:val="000C7A4F"/>
    <w:rsid w:val="000D29BA"/>
    <w:rsid w:val="000D3E49"/>
    <w:rsid w:val="000D5763"/>
    <w:rsid w:val="000D67F6"/>
    <w:rsid w:val="000E1EAB"/>
    <w:rsid w:val="000E2F36"/>
    <w:rsid w:val="000E44C4"/>
    <w:rsid w:val="000E49E6"/>
    <w:rsid w:val="000E4A42"/>
    <w:rsid w:val="000E503F"/>
    <w:rsid w:val="000E6655"/>
    <w:rsid w:val="000E6827"/>
    <w:rsid w:val="000E71B3"/>
    <w:rsid w:val="000E7515"/>
    <w:rsid w:val="000E7EF5"/>
    <w:rsid w:val="000F1890"/>
    <w:rsid w:val="000F2E5F"/>
    <w:rsid w:val="000F3819"/>
    <w:rsid w:val="000F3B32"/>
    <w:rsid w:val="000F47F1"/>
    <w:rsid w:val="000F51F1"/>
    <w:rsid w:val="000F5D78"/>
    <w:rsid w:val="000F678B"/>
    <w:rsid w:val="000F680A"/>
    <w:rsid w:val="000F78BE"/>
    <w:rsid w:val="0010080E"/>
    <w:rsid w:val="001021FB"/>
    <w:rsid w:val="00102A77"/>
    <w:rsid w:val="0010420D"/>
    <w:rsid w:val="00104518"/>
    <w:rsid w:val="00106EE8"/>
    <w:rsid w:val="001077F1"/>
    <w:rsid w:val="0011038E"/>
    <w:rsid w:val="00113655"/>
    <w:rsid w:val="00113B1B"/>
    <w:rsid w:val="001155EF"/>
    <w:rsid w:val="00115BB6"/>
    <w:rsid w:val="00116578"/>
    <w:rsid w:val="001170B8"/>
    <w:rsid w:val="0012035F"/>
    <w:rsid w:val="00120D02"/>
    <w:rsid w:val="00120DE8"/>
    <w:rsid w:val="00121291"/>
    <w:rsid w:val="00121792"/>
    <w:rsid w:val="001219A5"/>
    <w:rsid w:val="0012343C"/>
    <w:rsid w:val="00124101"/>
    <w:rsid w:val="00124D49"/>
    <w:rsid w:val="00126739"/>
    <w:rsid w:val="0012770C"/>
    <w:rsid w:val="0013068D"/>
    <w:rsid w:val="00130A2C"/>
    <w:rsid w:val="0013273A"/>
    <w:rsid w:val="00135526"/>
    <w:rsid w:val="00135C30"/>
    <w:rsid w:val="00137521"/>
    <w:rsid w:val="00137C91"/>
    <w:rsid w:val="00140273"/>
    <w:rsid w:val="0014105E"/>
    <w:rsid w:val="0014145C"/>
    <w:rsid w:val="0014208B"/>
    <w:rsid w:val="00143142"/>
    <w:rsid w:val="00143C25"/>
    <w:rsid w:val="00144D2D"/>
    <w:rsid w:val="00145327"/>
    <w:rsid w:val="0014747C"/>
    <w:rsid w:val="00150084"/>
    <w:rsid w:val="00150BAA"/>
    <w:rsid w:val="00152794"/>
    <w:rsid w:val="00152FD8"/>
    <w:rsid w:val="001537E3"/>
    <w:rsid w:val="00153C39"/>
    <w:rsid w:val="00154F0C"/>
    <w:rsid w:val="0015569F"/>
    <w:rsid w:val="00155E87"/>
    <w:rsid w:val="0015737B"/>
    <w:rsid w:val="00157490"/>
    <w:rsid w:val="00157E46"/>
    <w:rsid w:val="001612DE"/>
    <w:rsid w:val="001627EF"/>
    <w:rsid w:val="00162A12"/>
    <w:rsid w:val="00162D2F"/>
    <w:rsid w:val="001632AC"/>
    <w:rsid w:val="0016332A"/>
    <w:rsid w:val="0016435F"/>
    <w:rsid w:val="0016521D"/>
    <w:rsid w:val="001658B2"/>
    <w:rsid w:val="00170FE6"/>
    <w:rsid w:val="00171416"/>
    <w:rsid w:val="001717BC"/>
    <w:rsid w:val="00172857"/>
    <w:rsid w:val="00172B0B"/>
    <w:rsid w:val="00172E8C"/>
    <w:rsid w:val="00173570"/>
    <w:rsid w:val="00173C70"/>
    <w:rsid w:val="00174F7E"/>
    <w:rsid w:val="0017580D"/>
    <w:rsid w:val="00175F76"/>
    <w:rsid w:val="001764BA"/>
    <w:rsid w:val="00176C44"/>
    <w:rsid w:val="00181AB1"/>
    <w:rsid w:val="001857EA"/>
    <w:rsid w:val="00186328"/>
    <w:rsid w:val="001868F5"/>
    <w:rsid w:val="00186ED4"/>
    <w:rsid w:val="00190B2C"/>
    <w:rsid w:val="00191522"/>
    <w:rsid w:val="001918C5"/>
    <w:rsid w:val="00192D00"/>
    <w:rsid w:val="00192EB5"/>
    <w:rsid w:val="00195C2B"/>
    <w:rsid w:val="001966CB"/>
    <w:rsid w:val="001969A7"/>
    <w:rsid w:val="00196C5A"/>
    <w:rsid w:val="0019791B"/>
    <w:rsid w:val="00197E5D"/>
    <w:rsid w:val="001A0F84"/>
    <w:rsid w:val="001A103D"/>
    <w:rsid w:val="001A1644"/>
    <w:rsid w:val="001A216A"/>
    <w:rsid w:val="001A33F5"/>
    <w:rsid w:val="001A35C3"/>
    <w:rsid w:val="001A3A31"/>
    <w:rsid w:val="001A3D48"/>
    <w:rsid w:val="001A41D4"/>
    <w:rsid w:val="001A5421"/>
    <w:rsid w:val="001A6541"/>
    <w:rsid w:val="001A7F95"/>
    <w:rsid w:val="001B06B8"/>
    <w:rsid w:val="001B1B1D"/>
    <w:rsid w:val="001B3572"/>
    <w:rsid w:val="001B3D6F"/>
    <w:rsid w:val="001B477B"/>
    <w:rsid w:val="001B4B2B"/>
    <w:rsid w:val="001B4EC8"/>
    <w:rsid w:val="001B6470"/>
    <w:rsid w:val="001B68A0"/>
    <w:rsid w:val="001B760E"/>
    <w:rsid w:val="001C0410"/>
    <w:rsid w:val="001C054D"/>
    <w:rsid w:val="001C2101"/>
    <w:rsid w:val="001C2234"/>
    <w:rsid w:val="001C537D"/>
    <w:rsid w:val="001C64B4"/>
    <w:rsid w:val="001C65CD"/>
    <w:rsid w:val="001C6AC3"/>
    <w:rsid w:val="001D05DB"/>
    <w:rsid w:val="001D0876"/>
    <w:rsid w:val="001D0F91"/>
    <w:rsid w:val="001D1F1B"/>
    <w:rsid w:val="001D30CE"/>
    <w:rsid w:val="001D4223"/>
    <w:rsid w:val="001D4A21"/>
    <w:rsid w:val="001D556B"/>
    <w:rsid w:val="001E2642"/>
    <w:rsid w:val="001E3C9A"/>
    <w:rsid w:val="001E4C68"/>
    <w:rsid w:val="001E5411"/>
    <w:rsid w:val="001E5447"/>
    <w:rsid w:val="001E5DF5"/>
    <w:rsid w:val="001E604F"/>
    <w:rsid w:val="001E76FD"/>
    <w:rsid w:val="001E79A7"/>
    <w:rsid w:val="001F0835"/>
    <w:rsid w:val="001F09A7"/>
    <w:rsid w:val="001F1049"/>
    <w:rsid w:val="001F1139"/>
    <w:rsid w:val="001F2815"/>
    <w:rsid w:val="001F33A3"/>
    <w:rsid w:val="001F4882"/>
    <w:rsid w:val="001F49C0"/>
    <w:rsid w:val="001F4DA0"/>
    <w:rsid w:val="001F6848"/>
    <w:rsid w:val="001F6A1A"/>
    <w:rsid w:val="001F6E43"/>
    <w:rsid w:val="001F6F77"/>
    <w:rsid w:val="001F74FC"/>
    <w:rsid w:val="001F77B2"/>
    <w:rsid w:val="002004A8"/>
    <w:rsid w:val="002019B1"/>
    <w:rsid w:val="00201E65"/>
    <w:rsid w:val="00205C33"/>
    <w:rsid w:val="00211216"/>
    <w:rsid w:val="0021162B"/>
    <w:rsid w:val="002120B2"/>
    <w:rsid w:val="002125E4"/>
    <w:rsid w:val="002131B7"/>
    <w:rsid w:val="00213336"/>
    <w:rsid w:val="00213BF6"/>
    <w:rsid w:val="00214E49"/>
    <w:rsid w:val="00215381"/>
    <w:rsid w:val="00215BA6"/>
    <w:rsid w:val="002163B7"/>
    <w:rsid w:val="00216C32"/>
    <w:rsid w:val="00216F76"/>
    <w:rsid w:val="0021750E"/>
    <w:rsid w:val="002178EA"/>
    <w:rsid w:val="0022017F"/>
    <w:rsid w:val="002205EC"/>
    <w:rsid w:val="00220D97"/>
    <w:rsid w:val="00221A88"/>
    <w:rsid w:val="00222D81"/>
    <w:rsid w:val="002241D0"/>
    <w:rsid w:val="002244B5"/>
    <w:rsid w:val="00224756"/>
    <w:rsid w:val="0022478F"/>
    <w:rsid w:val="00224C6E"/>
    <w:rsid w:val="00227A4A"/>
    <w:rsid w:val="00230CC6"/>
    <w:rsid w:val="00231F41"/>
    <w:rsid w:val="00232397"/>
    <w:rsid w:val="002337D7"/>
    <w:rsid w:val="00233A70"/>
    <w:rsid w:val="00234712"/>
    <w:rsid w:val="00234DEB"/>
    <w:rsid w:val="0023584A"/>
    <w:rsid w:val="00236C44"/>
    <w:rsid w:val="00240343"/>
    <w:rsid w:val="0024037F"/>
    <w:rsid w:val="002403E6"/>
    <w:rsid w:val="002422D0"/>
    <w:rsid w:val="00243671"/>
    <w:rsid w:val="00245181"/>
    <w:rsid w:val="002451F7"/>
    <w:rsid w:val="002455CC"/>
    <w:rsid w:val="00246523"/>
    <w:rsid w:val="0024777B"/>
    <w:rsid w:val="00247CE0"/>
    <w:rsid w:val="002502F2"/>
    <w:rsid w:val="00250571"/>
    <w:rsid w:val="00251E5A"/>
    <w:rsid w:val="00252DB6"/>
    <w:rsid w:val="00252DFD"/>
    <w:rsid w:val="00252F2A"/>
    <w:rsid w:val="0025351B"/>
    <w:rsid w:val="002546D8"/>
    <w:rsid w:val="002557C7"/>
    <w:rsid w:val="002558A3"/>
    <w:rsid w:val="00255930"/>
    <w:rsid w:val="00255ABE"/>
    <w:rsid w:val="00256505"/>
    <w:rsid w:val="00260459"/>
    <w:rsid w:val="00260814"/>
    <w:rsid w:val="00262A17"/>
    <w:rsid w:val="00262AF8"/>
    <w:rsid w:val="00263AD5"/>
    <w:rsid w:val="00263FD9"/>
    <w:rsid w:val="0026705F"/>
    <w:rsid w:val="002704DD"/>
    <w:rsid w:val="00270AF3"/>
    <w:rsid w:val="00270FE4"/>
    <w:rsid w:val="0027182F"/>
    <w:rsid w:val="0027207B"/>
    <w:rsid w:val="0027210A"/>
    <w:rsid w:val="00273679"/>
    <w:rsid w:val="0027475D"/>
    <w:rsid w:val="002748C2"/>
    <w:rsid w:val="002752C3"/>
    <w:rsid w:val="00275659"/>
    <w:rsid w:val="002757B6"/>
    <w:rsid w:val="002761E2"/>
    <w:rsid w:val="00277591"/>
    <w:rsid w:val="002809C9"/>
    <w:rsid w:val="00283282"/>
    <w:rsid w:val="00284760"/>
    <w:rsid w:val="00285C9A"/>
    <w:rsid w:val="00286A34"/>
    <w:rsid w:val="002871C2"/>
    <w:rsid w:val="00287CB1"/>
    <w:rsid w:val="0029096F"/>
    <w:rsid w:val="00290AD2"/>
    <w:rsid w:val="0029353E"/>
    <w:rsid w:val="00293EB9"/>
    <w:rsid w:val="00293F4E"/>
    <w:rsid w:val="00296B74"/>
    <w:rsid w:val="00297286"/>
    <w:rsid w:val="002A0037"/>
    <w:rsid w:val="002A05C6"/>
    <w:rsid w:val="002A0817"/>
    <w:rsid w:val="002A1522"/>
    <w:rsid w:val="002A170E"/>
    <w:rsid w:val="002A17F4"/>
    <w:rsid w:val="002A4E7E"/>
    <w:rsid w:val="002A5EFC"/>
    <w:rsid w:val="002A5F4D"/>
    <w:rsid w:val="002A7068"/>
    <w:rsid w:val="002A70E9"/>
    <w:rsid w:val="002A7119"/>
    <w:rsid w:val="002A7A0A"/>
    <w:rsid w:val="002B0D61"/>
    <w:rsid w:val="002B2AF4"/>
    <w:rsid w:val="002B3E20"/>
    <w:rsid w:val="002B541A"/>
    <w:rsid w:val="002B754D"/>
    <w:rsid w:val="002C0694"/>
    <w:rsid w:val="002C0BA6"/>
    <w:rsid w:val="002C0EFB"/>
    <w:rsid w:val="002C1023"/>
    <w:rsid w:val="002C4241"/>
    <w:rsid w:val="002C4F02"/>
    <w:rsid w:val="002C69AD"/>
    <w:rsid w:val="002D0E4D"/>
    <w:rsid w:val="002D11F2"/>
    <w:rsid w:val="002D1E71"/>
    <w:rsid w:val="002D29B0"/>
    <w:rsid w:val="002D400B"/>
    <w:rsid w:val="002D40F8"/>
    <w:rsid w:val="002D56A9"/>
    <w:rsid w:val="002D5798"/>
    <w:rsid w:val="002D5B2A"/>
    <w:rsid w:val="002D6B36"/>
    <w:rsid w:val="002D7136"/>
    <w:rsid w:val="002D7978"/>
    <w:rsid w:val="002E2283"/>
    <w:rsid w:val="002E2CAD"/>
    <w:rsid w:val="002E32C2"/>
    <w:rsid w:val="002E5790"/>
    <w:rsid w:val="002E6CB4"/>
    <w:rsid w:val="002E7DDB"/>
    <w:rsid w:val="002F21B6"/>
    <w:rsid w:val="002F222D"/>
    <w:rsid w:val="002F2A4A"/>
    <w:rsid w:val="002F42FC"/>
    <w:rsid w:val="002F4ADD"/>
    <w:rsid w:val="002F4DA2"/>
    <w:rsid w:val="002F5C03"/>
    <w:rsid w:val="002F6F4F"/>
    <w:rsid w:val="002F6F57"/>
    <w:rsid w:val="002F75DA"/>
    <w:rsid w:val="00303526"/>
    <w:rsid w:val="00303761"/>
    <w:rsid w:val="00304AA1"/>
    <w:rsid w:val="0030682B"/>
    <w:rsid w:val="00306C33"/>
    <w:rsid w:val="00311531"/>
    <w:rsid w:val="003115D2"/>
    <w:rsid w:val="00312CA3"/>
    <w:rsid w:val="00312F06"/>
    <w:rsid w:val="00313595"/>
    <w:rsid w:val="0031425A"/>
    <w:rsid w:val="00314713"/>
    <w:rsid w:val="003149F5"/>
    <w:rsid w:val="003151E4"/>
    <w:rsid w:val="003156B2"/>
    <w:rsid w:val="003156D7"/>
    <w:rsid w:val="003169C1"/>
    <w:rsid w:val="00317261"/>
    <w:rsid w:val="0032130D"/>
    <w:rsid w:val="00321B3A"/>
    <w:rsid w:val="00321DB1"/>
    <w:rsid w:val="00323726"/>
    <w:rsid w:val="00325E56"/>
    <w:rsid w:val="00326EEE"/>
    <w:rsid w:val="00326F3E"/>
    <w:rsid w:val="00330A67"/>
    <w:rsid w:val="00332673"/>
    <w:rsid w:val="00332A51"/>
    <w:rsid w:val="00333ADD"/>
    <w:rsid w:val="00334F62"/>
    <w:rsid w:val="00336496"/>
    <w:rsid w:val="003364EB"/>
    <w:rsid w:val="00336CE8"/>
    <w:rsid w:val="003371FC"/>
    <w:rsid w:val="003415B9"/>
    <w:rsid w:val="003425CF"/>
    <w:rsid w:val="0034272B"/>
    <w:rsid w:val="00342BFE"/>
    <w:rsid w:val="00344C34"/>
    <w:rsid w:val="00345C65"/>
    <w:rsid w:val="00346679"/>
    <w:rsid w:val="003470E8"/>
    <w:rsid w:val="00347634"/>
    <w:rsid w:val="0035100D"/>
    <w:rsid w:val="003522AE"/>
    <w:rsid w:val="003534EB"/>
    <w:rsid w:val="00353F10"/>
    <w:rsid w:val="00354574"/>
    <w:rsid w:val="00354BD0"/>
    <w:rsid w:val="00354FC3"/>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087F"/>
    <w:rsid w:val="00370BCE"/>
    <w:rsid w:val="00375889"/>
    <w:rsid w:val="003760EB"/>
    <w:rsid w:val="00376671"/>
    <w:rsid w:val="00380892"/>
    <w:rsid w:val="00381B05"/>
    <w:rsid w:val="00383321"/>
    <w:rsid w:val="00385BF0"/>
    <w:rsid w:val="00385DAD"/>
    <w:rsid w:val="003864D5"/>
    <w:rsid w:val="00386626"/>
    <w:rsid w:val="00387215"/>
    <w:rsid w:val="003908D7"/>
    <w:rsid w:val="00390929"/>
    <w:rsid w:val="00390DBB"/>
    <w:rsid w:val="00391CFF"/>
    <w:rsid w:val="003924CC"/>
    <w:rsid w:val="00396333"/>
    <w:rsid w:val="00396ADD"/>
    <w:rsid w:val="0039716B"/>
    <w:rsid w:val="003A0B9C"/>
    <w:rsid w:val="003A0E5A"/>
    <w:rsid w:val="003A0F8D"/>
    <w:rsid w:val="003A37B0"/>
    <w:rsid w:val="003A3A3A"/>
    <w:rsid w:val="003A43C3"/>
    <w:rsid w:val="003A5E83"/>
    <w:rsid w:val="003A645E"/>
    <w:rsid w:val="003A6A5F"/>
    <w:rsid w:val="003A7581"/>
    <w:rsid w:val="003A7600"/>
    <w:rsid w:val="003B2E77"/>
    <w:rsid w:val="003B2FAC"/>
    <w:rsid w:val="003B3FDD"/>
    <w:rsid w:val="003B4D40"/>
    <w:rsid w:val="003B4DD9"/>
    <w:rsid w:val="003B5D19"/>
    <w:rsid w:val="003B610B"/>
    <w:rsid w:val="003C34F1"/>
    <w:rsid w:val="003C3761"/>
    <w:rsid w:val="003C3DEA"/>
    <w:rsid w:val="003C421E"/>
    <w:rsid w:val="003C47E8"/>
    <w:rsid w:val="003C5102"/>
    <w:rsid w:val="003C5586"/>
    <w:rsid w:val="003C610C"/>
    <w:rsid w:val="003C6962"/>
    <w:rsid w:val="003C6F65"/>
    <w:rsid w:val="003C7514"/>
    <w:rsid w:val="003D0C76"/>
    <w:rsid w:val="003D1F46"/>
    <w:rsid w:val="003D3B64"/>
    <w:rsid w:val="003D41CF"/>
    <w:rsid w:val="003D5045"/>
    <w:rsid w:val="003D7707"/>
    <w:rsid w:val="003E13E3"/>
    <w:rsid w:val="003E1442"/>
    <w:rsid w:val="003E2B14"/>
    <w:rsid w:val="003E2FDE"/>
    <w:rsid w:val="003E31DD"/>
    <w:rsid w:val="003E447A"/>
    <w:rsid w:val="003E5240"/>
    <w:rsid w:val="003E54B5"/>
    <w:rsid w:val="003E7E85"/>
    <w:rsid w:val="003F01A7"/>
    <w:rsid w:val="003F2E62"/>
    <w:rsid w:val="003F3925"/>
    <w:rsid w:val="003F425B"/>
    <w:rsid w:val="003F676A"/>
    <w:rsid w:val="004002AF"/>
    <w:rsid w:val="00401386"/>
    <w:rsid w:val="004016A2"/>
    <w:rsid w:val="004017C5"/>
    <w:rsid w:val="0040308F"/>
    <w:rsid w:val="004047B1"/>
    <w:rsid w:val="00404E55"/>
    <w:rsid w:val="0040584C"/>
    <w:rsid w:val="00406753"/>
    <w:rsid w:val="00406807"/>
    <w:rsid w:val="004078EF"/>
    <w:rsid w:val="00407C2F"/>
    <w:rsid w:val="0041082C"/>
    <w:rsid w:val="004109FE"/>
    <w:rsid w:val="00411425"/>
    <w:rsid w:val="00413B28"/>
    <w:rsid w:val="00413BA5"/>
    <w:rsid w:val="00413DAC"/>
    <w:rsid w:val="00414D68"/>
    <w:rsid w:val="0041623E"/>
    <w:rsid w:val="00416A3B"/>
    <w:rsid w:val="00416AB2"/>
    <w:rsid w:val="00421203"/>
    <w:rsid w:val="004212AA"/>
    <w:rsid w:val="0042227A"/>
    <w:rsid w:val="004222CB"/>
    <w:rsid w:val="00423359"/>
    <w:rsid w:val="00424835"/>
    <w:rsid w:val="00425C94"/>
    <w:rsid w:val="00426277"/>
    <w:rsid w:val="004262B3"/>
    <w:rsid w:val="00426605"/>
    <w:rsid w:val="00427215"/>
    <w:rsid w:val="00431130"/>
    <w:rsid w:val="00433AE5"/>
    <w:rsid w:val="0043485A"/>
    <w:rsid w:val="00434FD6"/>
    <w:rsid w:val="00436035"/>
    <w:rsid w:val="0044010C"/>
    <w:rsid w:val="00440521"/>
    <w:rsid w:val="004407EE"/>
    <w:rsid w:val="00440960"/>
    <w:rsid w:val="00441078"/>
    <w:rsid w:val="00442254"/>
    <w:rsid w:val="00443307"/>
    <w:rsid w:val="0044490C"/>
    <w:rsid w:val="00444DBF"/>
    <w:rsid w:val="00444E41"/>
    <w:rsid w:val="00445003"/>
    <w:rsid w:val="00445B46"/>
    <w:rsid w:val="00446B02"/>
    <w:rsid w:val="00446C81"/>
    <w:rsid w:val="00446CF6"/>
    <w:rsid w:val="0044708D"/>
    <w:rsid w:val="00447133"/>
    <w:rsid w:val="00447A63"/>
    <w:rsid w:val="00447DB3"/>
    <w:rsid w:val="0045034E"/>
    <w:rsid w:val="00451446"/>
    <w:rsid w:val="0045199A"/>
    <w:rsid w:val="004521D4"/>
    <w:rsid w:val="00452EEE"/>
    <w:rsid w:val="0045300F"/>
    <w:rsid w:val="00453A6E"/>
    <w:rsid w:val="00454158"/>
    <w:rsid w:val="00454723"/>
    <w:rsid w:val="00455691"/>
    <w:rsid w:val="004556D5"/>
    <w:rsid w:val="004565C0"/>
    <w:rsid w:val="00456D4A"/>
    <w:rsid w:val="00457320"/>
    <w:rsid w:val="00457571"/>
    <w:rsid w:val="00460024"/>
    <w:rsid w:val="00460031"/>
    <w:rsid w:val="00460140"/>
    <w:rsid w:val="0046238B"/>
    <w:rsid w:val="004625E8"/>
    <w:rsid w:val="00464B18"/>
    <w:rsid w:val="00465D71"/>
    <w:rsid w:val="00466D15"/>
    <w:rsid w:val="0047070D"/>
    <w:rsid w:val="00477A71"/>
    <w:rsid w:val="00481269"/>
    <w:rsid w:val="00483704"/>
    <w:rsid w:val="004839FC"/>
    <w:rsid w:val="00483C70"/>
    <w:rsid w:val="00484589"/>
    <w:rsid w:val="00484654"/>
    <w:rsid w:val="00484BCE"/>
    <w:rsid w:val="00487E8F"/>
    <w:rsid w:val="00490EE8"/>
    <w:rsid w:val="00491F39"/>
    <w:rsid w:val="004938B5"/>
    <w:rsid w:val="00493AC3"/>
    <w:rsid w:val="0049422F"/>
    <w:rsid w:val="0049475D"/>
    <w:rsid w:val="004953C8"/>
    <w:rsid w:val="0049575D"/>
    <w:rsid w:val="00496D95"/>
    <w:rsid w:val="00496DB8"/>
    <w:rsid w:val="004A11A6"/>
    <w:rsid w:val="004A1729"/>
    <w:rsid w:val="004A21F4"/>
    <w:rsid w:val="004A3363"/>
    <w:rsid w:val="004A3402"/>
    <w:rsid w:val="004A4B6C"/>
    <w:rsid w:val="004A5318"/>
    <w:rsid w:val="004A5D57"/>
    <w:rsid w:val="004A741E"/>
    <w:rsid w:val="004B0194"/>
    <w:rsid w:val="004B0321"/>
    <w:rsid w:val="004B1ADE"/>
    <w:rsid w:val="004B2625"/>
    <w:rsid w:val="004B50E1"/>
    <w:rsid w:val="004B570B"/>
    <w:rsid w:val="004B5BBD"/>
    <w:rsid w:val="004B652A"/>
    <w:rsid w:val="004B7DB2"/>
    <w:rsid w:val="004C015B"/>
    <w:rsid w:val="004C125D"/>
    <w:rsid w:val="004C1845"/>
    <w:rsid w:val="004C1ABF"/>
    <w:rsid w:val="004C30D2"/>
    <w:rsid w:val="004C3AE2"/>
    <w:rsid w:val="004C4C1E"/>
    <w:rsid w:val="004C583B"/>
    <w:rsid w:val="004C657C"/>
    <w:rsid w:val="004D0BE0"/>
    <w:rsid w:val="004D14F0"/>
    <w:rsid w:val="004D1505"/>
    <w:rsid w:val="004D17DF"/>
    <w:rsid w:val="004D38F8"/>
    <w:rsid w:val="004D4A68"/>
    <w:rsid w:val="004D4E7A"/>
    <w:rsid w:val="004D5646"/>
    <w:rsid w:val="004D6D13"/>
    <w:rsid w:val="004D6DCE"/>
    <w:rsid w:val="004E1B61"/>
    <w:rsid w:val="004E1FD5"/>
    <w:rsid w:val="004E23ED"/>
    <w:rsid w:val="004E4216"/>
    <w:rsid w:val="004E429F"/>
    <w:rsid w:val="004E5152"/>
    <w:rsid w:val="004E60E4"/>
    <w:rsid w:val="004E76CD"/>
    <w:rsid w:val="004F160A"/>
    <w:rsid w:val="004F2F62"/>
    <w:rsid w:val="004F37CB"/>
    <w:rsid w:val="004F3BAD"/>
    <w:rsid w:val="004F45CA"/>
    <w:rsid w:val="004F5216"/>
    <w:rsid w:val="004F616B"/>
    <w:rsid w:val="004F64E4"/>
    <w:rsid w:val="00500A53"/>
    <w:rsid w:val="00503634"/>
    <w:rsid w:val="00504F92"/>
    <w:rsid w:val="00505518"/>
    <w:rsid w:val="00505551"/>
    <w:rsid w:val="005078B3"/>
    <w:rsid w:val="00510A28"/>
    <w:rsid w:val="005114A5"/>
    <w:rsid w:val="00511663"/>
    <w:rsid w:val="00511C54"/>
    <w:rsid w:val="0051292E"/>
    <w:rsid w:val="00515785"/>
    <w:rsid w:val="005160AC"/>
    <w:rsid w:val="00516207"/>
    <w:rsid w:val="00517995"/>
    <w:rsid w:val="00520C27"/>
    <w:rsid w:val="005216F6"/>
    <w:rsid w:val="00521B57"/>
    <w:rsid w:val="00522DE9"/>
    <w:rsid w:val="00522EF8"/>
    <w:rsid w:val="0052399F"/>
    <w:rsid w:val="00523F60"/>
    <w:rsid w:val="00523FBA"/>
    <w:rsid w:val="00524079"/>
    <w:rsid w:val="00524699"/>
    <w:rsid w:val="005255C0"/>
    <w:rsid w:val="005258BD"/>
    <w:rsid w:val="00526890"/>
    <w:rsid w:val="0052764F"/>
    <w:rsid w:val="00527AFE"/>
    <w:rsid w:val="005305CF"/>
    <w:rsid w:val="00532156"/>
    <w:rsid w:val="00532319"/>
    <w:rsid w:val="005328F4"/>
    <w:rsid w:val="005335CF"/>
    <w:rsid w:val="00535220"/>
    <w:rsid w:val="00536ABE"/>
    <w:rsid w:val="00536B5A"/>
    <w:rsid w:val="00540B74"/>
    <w:rsid w:val="00540B8B"/>
    <w:rsid w:val="00540ED6"/>
    <w:rsid w:val="00541C1D"/>
    <w:rsid w:val="005449AC"/>
    <w:rsid w:val="00544A16"/>
    <w:rsid w:val="005472EC"/>
    <w:rsid w:val="00547C82"/>
    <w:rsid w:val="00547DC4"/>
    <w:rsid w:val="00550845"/>
    <w:rsid w:val="0055122B"/>
    <w:rsid w:val="00552915"/>
    <w:rsid w:val="005534BD"/>
    <w:rsid w:val="005623DE"/>
    <w:rsid w:val="00562A9A"/>
    <w:rsid w:val="00564A3A"/>
    <w:rsid w:val="005650FF"/>
    <w:rsid w:val="005659E3"/>
    <w:rsid w:val="00566DDB"/>
    <w:rsid w:val="005674B3"/>
    <w:rsid w:val="005674EF"/>
    <w:rsid w:val="00570742"/>
    <w:rsid w:val="00570C2E"/>
    <w:rsid w:val="00571577"/>
    <w:rsid w:val="00571C60"/>
    <w:rsid w:val="0057213D"/>
    <w:rsid w:val="005729E9"/>
    <w:rsid w:val="005731E7"/>
    <w:rsid w:val="005732E9"/>
    <w:rsid w:val="0057454E"/>
    <w:rsid w:val="0057492B"/>
    <w:rsid w:val="00575D4F"/>
    <w:rsid w:val="00575F27"/>
    <w:rsid w:val="00576BB2"/>
    <w:rsid w:val="0058036C"/>
    <w:rsid w:val="0058073B"/>
    <w:rsid w:val="00580815"/>
    <w:rsid w:val="00582289"/>
    <w:rsid w:val="0058363F"/>
    <w:rsid w:val="00584CB9"/>
    <w:rsid w:val="00585BD9"/>
    <w:rsid w:val="005861CE"/>
    <w:rsid w:val="00587B74"/>
    <w:rsid w:val="00591696"/>
    <w:rsid w:val="00593FF1"/>
    <w:rsid w:val="00594648"/>
    <w:rsid w:val="00594E77"/>
    <w:rsid w:val="0059623B"/>
    <w:rsid w:val="00596D1D"/>
    <w:rsid w:val="00597A54"/>
    <w:rsid w:val="005A1839"/>
    <w:rsid w:val="005A2923"/>
    <w:rsid w:val="005A3759"/>
    <w:rsid w:val="005A44D9"/>
    <w:rsid w:val="005A4E8C"/>
    <w:rsid w:val="005A5826"/>
    <w:rsid w:val="005A6ADE"/>
    <w:rsid w:val="005B15DD"/>
    <w:rsid w:val="005B3D45"/>
    <w:rsid w:val="005B78C4"/>
    <w:rsid w:val="005C2527"/>
    <w:rsid w:val="005C2BD8"/>
    <w:rsid w:val="005C373B"/>
    <w:rsid w:val="005C3DD2"/>
    <w:rsid w:val="005C4AAA"/>
    <w:rsid w:val="005C610A"/>
    <w:rsid w:val="005D1442"/>
    <w:rsid w:val="005D1922"/>
    <w:rsid w:val="005D22EB"/>
    <w:rsid w:val="005D2788"/>
    <w:rsid w:val="005D4281"/>
    <w:rsid w:val="005D6E32"/>
    <w:rsid w:val="005E06D4"/>
    <w:rsid w:val="005E0726"/>
    <w:rsid w:val="005E1521"/>
    <w:rsid w:val="005E29DB"/>
    <w:rsid w:val="005E3768"/>
    <w:rsid w:val="005E448D"/>
    <w:rsid w:val="005F064D"/>
    <w:rsid w:val="005F512E"/>
    <w:rsid w:val="005F5A21"/>
    <w:rsid w:val="005F5CA8"/>
    <w:rsid w:val="005F6A04"/>
    <w:rsid w:val="00600458"/>
    <w:rsid w:val="0060118D"/>
    <w:rsid w:val="0060281B"/>
    <w:rsid w:val="0060369E"/>
    <w:rsid w:val="00603824"/>
    <w:rsid w:val="0060530E"/>
    <w:rsid w:val="00605D75"/>
    <w:rsid w:val="006073B5"/>
    <w:rsid w:val="00610AA5"/>
    <w:rsid w:val="00610CE1"/>
    <w:rsid w:val="006113D8"/>
    <w:rsid w:val="006114BA"/>
    <w:rsid w:val="00612C6B"/>
    <w:rsid w:val="00613B7A"/>
    <w:rsid w:val="006151E3"/>
    <w:rsid w:val="00616232"/>
    <w:rsid w:val="00620850"/>
    <w:rsid w:val="00620DB5"/>
    <w:rsid w:val="00621A59"/>
    <w:rsid w:val="0062201A"/>
    <w:rsid w:val="006225AC"/>
    <w:rsid w:val="006230A9"/>
    <w:rsid w:val="00623799"/>
    <w:rsid w:val="00624D32"/>
    <w:rsid w:val="006273ED"/>
    <w:rsid w:val="00627DA2"/>
    <w:rsid w:val="00630C84"/>
    <w:rsid w:val="0063256A"/>
    <w:rsid w:val="006326D0"/>
    <w:rsid w:val="00634EB5"/>
    <w:rsid w:val="0063516D"/>
    <w:rsid w:val="00635AE1"/>
    <w:rsid w:val="00635DA6"/>
    <w:rsid w:val="006416B8"/>
    <w:rsid w:val="006428D4"/>
    <w:rsid w:val="0064349A"/>
    <w:rsid w:val="00643E46"/>
    <w:rsid w:val="006466B3"/>
    <w:rsid w:val="0064692D"/>
    <w:rsid w:val="00646FCC"/>
    <w:rsid w:val="0064750C"/>
    <w:rsid w:val="00651F0A"/>
    <w:rsid w:val="006538FE"/>
    <w:rsid w:val="006540C5"/>
    <w:rsid w:val="0065415A"/>
    <w:rsid w:val="006543FB"/>
    <w:rsid w:val="006549F5"/>
    <w:rsid w:val="00655505"/>
    <w:rsid w:val="00655AA7"/>
    <w:rsid w:val="00655F80"/>
    <w:rsid w:val="00656541"/>
    <w:rsid w:val="00657F05"/>
    <w:rsid w:val="00660216"/>
    <w:rsid w:val="006609B7"/>
    <w:rsid w:val="00661A3F"/>
    <w:rsid w:val="006621E9"/>
    <w:rsid w:val="00662904"/>
    <w:rsid w:val="00664A57"/>
    <w:rsid w:val="00664C73"/>
    <w:rsid w:val="00665CED"/>
    <w:rsid w:val="00665F1F"/>
    <w:rsid w:val="00671405"/>
    <w:rsid w:val="00671999"/>
    <w:rsid w:val="006764EA"/>
    <w:rsid w:val="00677DDE"/>
    <w:rsid w:val="00680B65"/>
    <w:rsid w:val="00681287"/>
    <w:rsid w:val="006815A6"/>
    <w:rsid w:val="00681FD9"/>
    <w:rsid w:val="0068285E"/>
    <w:rsid w:val="00684EF6"/>
    <w:rsid w:val="006856E2"/>
    <w:rsid w:val="00685D49"/>
    <w:rsid w:val="00690E46"/>
    <w:rsid w:val="00692736"/>
    <w:rsid w:val="00693743"/>
    <w:rsid w:val="00693995"/>
    <w:rsid w:val="00693C61"/>
    <w:rsid w:val="00695397"/>
    <w:rsid w:val="0069562F"/>
    <w:rsid w:val="00695D4A"/>
    <w:rsid w:val="006A177A"/>
    <w:rsid w:val="006A1A5D"/>
    <w:rsid w:val="006A1EFE"/>
    <w:rsid w:val="006A3267"/>
    <w:rsid w:val="006A4533"/>
    <w:rsid w:val="006A5968"/>
    <w:rsid w:val="006A5F8B"/>
    <w:rsid w:val="006A600F"/>
    <w:rsid w:val="006A6AC6"/>
    <w:rsid w:val="006A7387"/>
    <w:rsid w:val="006B1A6D"/>
    <w:rsid w:val="006B2411"/>
    <w:rsid w:val="006B2B00"/>
    <w:rsid w:val="006B2FA8"/>
    <w:rsid w:val="006B3210"/>
    <w:rsid w:val="006B3E08"/>
    <w:rsid w:val="006B49AE"/>
    <w:rsid w:val="006B529B"/>
    <w:rsid w:val="006C1901"/>
    <w:rsid w:val="006C34BE"/>
    <w:rsid w:val="006C3BAF"/>
    <w:rsid w:val="006C4536"/>
    <w:rsid w:val="006C46F3"/>
    <w:rsid w:val="006C47D6"/>
    <w:rsid w:val="006C4D4E"/>
    <w:rsid w:val="006C51E2"/>
    <w:rsid w:val="006C5247"/>
    <w:rsid w:val="006C588E"/>
    <w:rsid w:val="006C5BBC"/>
    <w:rsid w:val="006C62F8"/>
    <w:rsid w:val="006C6723"/>
    <w:rsid w:val="006C71BB"/>
    <w:rsid w:val="006D071F"/>
    <w:rsid w:val="006D09D1"/>
    <w:rsid w:val="006D1276"/>
    <w:rsid w:val="006D13C4"/>
    <w:rsid w:val="006D1E5C"/>
    <w:rsid w:val="006D2C14"/>
    <w:rsid w:val="006D3945"/>
    <w:rsid w:val="006D4C15"/>
    <w:rsid w:val="006D7692"/>
    <w:rsid w:val="006D7E62"/>
    <w:rsid w:val="006E168F"/>
    <w:rsid w:val="006E1753"/>
    <w:rsid w:val="006E3BF0"/>
    <w:rsid w:val="006E4E29"/>
    <w:rsid w:val="006E5D2E"/>
    <w:rsid w:val="006E670A"/>
    <w:rsid w:val="006E6D76"/>
    <w:rsid w:val="006E7C3B"/>
    <w:rsid w:val="006E7C63"/>
    <w:rsid w:val="006F04B0"/>
    <w:rsid w:val="006F15E9"/>
    <w:rsid w:val="006F252A"/>
    <w:rsid w:val="006F27FC"/>
    <w:rsid w:val="006F3153"/>
    <w:rsid w:val="006F4B6F"/>
    <w:rsid w:val="006F4F6D"/>
    <w:rsid w:val="006F6668"/>
    <w:rsid w:val="0070008A"/>
    <w:rsid w:val="007021FA"/>
    <w:rsid w:val="00702F04"/>
    <w:rsid w:val="0070357F"/>
    <w:rsid w:val="00703DA7"/>
    <w:rsid w:val="00703E05"/>
    <w:rsid w:val="00704A16"/>
    <w:rsid w:val="00704D35"/>
    <w:rsid w:val="00704DCD"/>
    <w:rsid w:val="00705178"/>
    <w:rsid w:val="00705262"/>
    <w:rsid w:val="00705CA5"/>
    <w:rsid w:val="0070653C"/>
    <w:rsid w:val="00706ED7"/>
    <w:rsid w:val="0071027F"/>
    <w:rsid w:val="00710289"/>
    <w:rsid w:val="00712396"/>
    <w:rsid w:val="00712901"/>
    <w:rsid w:val="00713444"/>
    <w:rsid w:val="0071374E"/>
    <w:rsid w:val="007138BC"/>
    <w:rsid w:val="00714B6A"/>
    <w:rsid w:val="00716D0A"/>
    <w:rsid w:val="00717AF6"/>
    <w:rsid w:val="00717C76"/>
    <w:rsid w:val="00720157"/>
    <w:rsid w:val="00720579"/>
    <w:rsid w:val="00720848"/>
    <w:rsid w:val="00720E55"/>
    <w:rsid w:val="00721ECF"/>
    <w:rsid w:val="00722D13"/>
    <w:rsid w:val="007230FE"/>
    <w:rsid w:val="00725BEA"/>
    <w:rsid w:val="00726409"/>
    <w:rsid w:val="00726EF4"/>
    <w:rsid w:val="007306D1"/>
    <w:rsid w:val="007308C0"/>
    <w:rsid w:val="00730BE2"/>
    <w:rsid w:val="00732046"/>
    <w:rsid w:val="007335EB"/>
    <w:rsid w:val="007337E0"/>
    <w:rsid w:val="007344C3"/>
    <w:rsid w:val="00734F8A"/>
    <w:rsid w:val="00736C31"/>
    <w:rsid w:val="007377A9"/>
    <w:rsid w:val="0074239D"/>
    <w:rsid w:val="00742CE1"/>
    <w:rsid w:val="0074372C"/>
    <w:rsid w:val="00744C7C"/>
    <w:rsid w:val="00745862"/>
    <w:rsid w:val="00745CB6"/>
    <w:rsid w:val="0074623E"/>
    <w:rsid w:val="00746657"/>
    <w:rsid w:val="0074687F"/>
    <w:rsid w:val="00746973"/>
    <w:rsid w:val="00747C4D"/>
    <w:rsid w:val="00751055"/>
    <w:rsid w:val="007517A4"/>
    <w:rsid w:val="00754340"/>
    <w:rsid w:val="007552DD"/>
    <w:rsid w:val="0075585E"/>
    <w:rsid w:val="00755A77"/>
    <w:rsid w:val="00757985"/>
    <w:rsid w:val="00762EEA"/>
    <w:rsid w:val="007631D1"/>
    <w:rsid w:val="007635AC"/>
    <w:rsid w:val="007673DE"/>
    <w:rsid w:val="00772458"/>
    <w:rsid w:val="0077258E"/>
    <w:rsid w:val="007733DB"/>
    <w:rsid w:val="00775812"/>
    <w:rsid w:val="00781AFB"/>
    <w:rsid w:val="00782461"/>
    <w:rsid w:val="0078261F"/>
    <w:rsid w:val="007833DA"/>
    <w:rsid w:val="00783492"/>
    <w:rsid w:val="00784522"/>
    <w:rsid w:val="0078470A"/>
    <w:rsid w:val="007848A5"/>
    <w:rsid w:val="00784C15"/>
    <w:rsid w:val="0078583D"/>
    <w:rsid w:val="00785939"/>
    <w:rsid w:val="00785D73"/>
    <w:rsid w:val="00786FA8"/>
    <w:rsid w:val="00787AF1"/>
    <w:rsid w:val="0079132B"/>
    <w:rsid w:val="0079360E"/>
    <w:rsid w:val="00794794"/>
    <w:rsid w:val="00794E70"/>
    <w:rsid w:val="00795245"/>
    <w:rsid w:val="00795AF3"/>
    <w:rsid w:val="007969E6"/>
    <w:rsid w:val="00796DA1"/>
    <w:rsid w:val="007A2C57"/>
    <w:rsid w:val="007A3440"/>
    <w:rsid w:val="007A34B3"/>
    <w:rsid w:val="007B1039"/>
    <w:rsid w:val="007B1644"/>
    <w:rsid w:val="007B2D1D"/>
    <w:rsid w:val="007B33F8"/>
    <w:rsid w:val="007B3B6F"/>
    <w:rsid w:val="007B3F3D"/>
    <w:rsid w:val="007B413B"/>
    <w:rsid w:val="007B4FD7"/>
    <w:rsid w:val="007B5461"/>
    <w:rsid w:val="007B6474"/>
    <w:rsid w:val="007B6856"/>
    <w:rsid w:val="007B7F0F"/>
    <w:rsid w:val="007C12D9"/>
    <w:rsid w:val="007C19EC"/>
    <w:rsid w:val="007C342D"/>
    <w:rsid w:val="007C3C7F"/>
    <w:rsid w:val="007C51EB"/>
    <w:rsid w:val="007C60E2"/>
    <w:rsid w:val="007C7435"/>
    <w:rsid w:val="007D10FF"/>
    <w:rsid w:val="007D158A"/>
    <w:rsid w:val="007D2C0D"/>
    <w:rsid w:val="007D5B1C"/>
    <w:rsid w:val="007D6D87"/>
    <w:rsid w:val="007D6FD6"/>
    <w:rsid w:val="007D79A7"/>
    <w:rsid w:val="007E02B4"/>
    <w:rsid w:val="007E0ADA"/>
    <w:rsid w:val="007E15CF"/>
    <w:rsid w:val="007E1DB4"/>
    <w:rsid w:val="007E42FE"/>
    <w:rsid w:val="007E44BD"/>
    <w:rsid w:val="007E5866"/>
    <w:rsid w:val="007F07AF"/>
    <w:rsid w:val="007F2A44"/>
    <w:rsid w:val="007F2C43"/>
    <w:rsid w:val="007F6E2B"/>
    <w:rsid w:val="007F6FA4"/>
    <w:rsid w:val="007F7699"/>
    <w:rsid w:val="007F773D"/>
    <w:rsid w:val="008003C8"/>
    <w:rsid w:val="00802118"/>
    <w:rsid w:val="00802AF2"/>
    <w:rsid w:val="00804065"/>
    <w:rsid w:val="008047DD"/>
    <w:rsid w:val="008058A3"/>
    <w:rsid w:val="0080611B"/>
    <w:rsid w:val="00806213"/>
    <w:rsid w:val="0081164C"/>
    <w:rsid w:val="008120D0"/>
    <w:rsid w:val="008121D7"/>
    <w:rsid w:val="00812B80"/>
    <w:rsid w:val="008130D4"/>
    <w:rsid w:val="008159D4"/>
    <w:rsid w:val="00815C12"/>
    <w:rsid w:val="008168A2"/>
    <w:rsid w:val="00820421"/>
    <w:rsid w:val="008213E7"/>
    <w:rsid w:val="00821687"/>
    <w:rsid w:val="0082217D"/>
    <w:rsid w:val="00822A40"/>
    <w:rsid w:val="008236C7"/>
    <w:rsid w:val="00823E67"/>
    <w:rsid w:val="00826045"/>
    <w:rsid w:val="008300D1"/>
    <w:rsid w:val="008307DB"/>
    <w:rsid w:val="00830A48"/>
    <w:rsid w:val="00833331"/>
    <w:rsid w:val="00833C36"/>
    <w:rsid w:val="00834B96"/>
    <w:rsid w:val="00836409"/>
    <w:rsid w:val="00836415"/>
    <w:rsid w:val="00836B47"/>
    <w:rsid w:val="00840743"/>
    <w:rsid w:val="00840A53"/>
    <w:rsid w:val="008427B3"/>
    <w:rsid w:val="008428A1"/>
    <w:rsid w:val="008450E0"/>
    <w:rsid w:val="0085047D"/>
    <w:rsid w:val="00851019"/>
    <w:rsid w:val="008524EA"/>
    <w:rsid w:val="0085263B"/>
    <w:rsid w:val="008530B9"/>
    <w:rsid w:val="008537C0"/>
    <w:rsid w:val="00855167"/>
    <w:rsid w:val="0085577C"/>
    <w:rsid w:val="00857642"/>
    <w:rsid w:val="00857872"/>
    <w:rsid w:val="00857F8E"/>
    <w:rsid w:val="00860759"/>
    <w:rsid w:val="008608F5"/>
    <w:rsid w:val="0086230F"/>
    <w:rsid w:val="0086268A"/>
    <w:rsid w:val="008644EC"/>
    <w:rsid w:val="00864B15"/>
    <w:rsid w:val="00864D3B"/>
    <w:rsid w:val="00864FC0"/>
    <w:rsid w:val="00865C18"/>
    <w:rsid w:val="0086621E"/>
    <w:rsid w:val="0086688E"/>
    <w:rsid w:val="0086717D"/>
    <w:rsid w:val="0087121E"/>
    <w:rsid w:val="00874E9F"/>
    <w:rsid w:val="00876B32"/>
    <w:rsid w:val="00882CB8"/>
    <w:rsid w:val="00884366"/>
    <w:rsid w:val="00884650"/>
    <w:rsid w:val="008851B9"/>
    <w:rsid w:val="00885239"/>
    <w:rsid w:val="00885F50"/>
    <w:rsid w:val="00887314"/>
    <w:rsid w:val="00890EB4"/>
    <w:rsid w:val="00891D35"/>
    <w:rsid w:val="0089232B"/>
    <w:rsid w:val="00893901"/>
    <w:rsid w:val="00894A8B"/>
    <w:rsid w:val="00894D00"/>
    <w:rsid w:val="0089667B"/>
    <w:rsid w:val="0089728F"/>
    <w:rsid w:val="008A0874"/>
    <w:rsid w:val="008A0FF6"/>
    <w:rsid w:val="008A28F5"/>
    <w:rsid w:val="008A344C"/>
    <w:rsid w:val="008A4069"/>
    <w:rsid w:val="008A4089"/>
    <w:rsid w:val="008A51AD"/>
    <w:rsid w:val="008A6A13"/>
    <w:rsid w:val="008A70AE"/>
    <w:rsid w:val="008A75B6"/>
    <w:rsid w:val="008B155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D41"/>
    <w:rsid w:val="008C668F"/>
    <w:rsid w:val="008D1761"/>
    <w:rsid w:val="008D1C71"/>
    <w:rsid w:val="008D2DBA"/>
    <w:rsid w:val="008D530C"/>
    <w:rsid w:val="008D56D1"/>
    <w:rsid w:val="008D638B"/>
    <w:rsid w:val="008D7A23"/>
    <w:rsid w:val="008D7ECE"/>
    <w:rsid w:val="008E01A0"/>
    <w:rsid w:val="008E1BF6"/>
    <w:rsid w:val="008E44FF"/>
    <w:rsid w:val="008E5A58"/>
    <w:rsid w:val="008E5F96"/>
    <w:rsid w:val="008E6FB7"/>
    <w:rsid w:val="008E7557"/>
    <w:rsid w:val="008E785D"/>
    <w:rsid w:val="008E7FE5"/>
    <w:rsid w:val="008F03D3"/>
    <w:rsid w:val="008F1874"/>
    <w:rsid w:val="008F25DF"/>
    <w:rsid w:val="008F29E0"/>
    <w:rsid w:val="008F4FCE"/>
    <w:rsid w:val="008F59B3"/>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6F9"/>
    <w:rsid w:val="00923CE8"/>
    <w:rsid w:val="009252D3"/>
    <w:rsid w:val="009256B9"/>
    <w:rsid w:val="00926002"/>
    <w:rsid w:val="009273C9"/>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4B5F"/>
    <w:rsid w:val="0095579C"/>
    <w:rsid w:val="00955D81"/>
    <w:rsid w:val="00956929"/>
    <w:rsid w:val="00956E7E"/>
    <w:rsid w:val="00957D53"/>
    <w:rsid w:val="00961E49"/>
    <w:rsid w:val="0096539B"/>
    <w:rsid w:val="00965AF9"/>
    <w:rsid w:val="00966487"/>
    <w:rsid w:val="009669E3"/>
    <w:rsid w:val="009671DB"/>
    <w:rsid w:val="0096755D"/>
    <w:rsid w:val="00972738"/>
    <w:rsid w:val="009727FE"/>
    <w:rsid w:val="00974C35"/>
    <w:rsid w:val="00976E81"/>
    <w:rsid w:val="00977159"/>
    <w:rsid w:val="009808B0"/>
    <w:rsid w:val="00980958"/>
    <w:rsid w:val="00983488"/>
    <w:rsid w:val="00983EDB"/>
    <w:rsid w:val="009849EF"/>
    <w:rsid w:val="00984E36"/>
    <w:rsid w:val="0098553B"/>
    <w:rsid w:val="0098586D"/>
    <w:rsid w:val="00986649"/>
    <w:rsid w:val="00987014"/>
    <w:rsid w:val="009871AC"/>
    <w:rsid w:val="00990892"/>
    <w:rsid w:val="00991AA6"/>
    <w:rsid w:val="009927F6"/>
    <w:rsid w:val="009943BE"/>
    <w:rsid w:val="00997443"/>
    <w:rsid w:val="009A0A90"/>
    <w:rsid w:val="009A1BA1"/>
    <w:rsid w:val="009A2A81"/>
    <w:rsid w:val="009A2AFB"/>
    <w:rsid w:val="009A2DE2"/>
    <w:rsid w:val="009A3B62"/>
    <w:rsid w:val="009A3BCF"/>
    <w:rsid w:val="009A3ED4"/>
    <w:rsid w:val="009A4DCC"/>
    <w:rsid w:val="009A56EE"/>
    <w:rsid w:val="009A5C47"/>
    <w:rsid w:val="009A68E7"/>
    <w:rsid w:val="009A6BC5"/>
    <w:rsid w:val="009A7481"/>
    <w:rsid w:val="009A7F29"/>
    <w:rsid w:val="009B0164"/>
    <w:rsid w:val="009B2458"/>
    <w:rsid w:val="009B2B90"/>
    <w:rsid w:val="009B4A92"/>
    <w:rsid w:val="009B4AB7"/>
    <w:rsid w:val="009B4B7B"/>
    <w:rsid w:val="009B4CB6"/>
    <w:rsid w:val="009B52F8"/>
    <w:rsid w:val="009B66C0"/>
    <w:rsid w:val="009B72A1"/>
    <w:rsid w:val="009B74A5"/>
    <w:rsid w:val="009C046E"/>
    <w:rsid w:val="009C0E90"/>
    <w:rsid w:val="009C24F9"/>
    <w:rsid w:val="009C4EC7"/>
    <w:rsid w:val="009C638A"/>
    <w:rsid w:val="009C6931"/>
    <w:rsid w:val="009D3AAC"/>
    <w:rsid w:val="009D5B63"/>
    <w:rsid w:val="009D6B67"/>
    <w:rsid w:val="009D6C48"/>
    <w:rsid w:val="009D7C96"/>
    <w:rsid w:val="009E1679"/>
    <w:rsid w:val="009E1BE9"/>
    <w:rsid w:val="009E2348"/>
    <w:rsid w:val="009E239E"/>
    <w:rsid w:val="009E271D"/>
    <w:rsid w:val="009E362F"/>
    <w:rsid w:val="009E3779"/>
    <w:rsid w:val="009E40DF"/>
    <w:rsid w:val="009E59CA"/>
    <w:rsid w:val="009F0442"/>
    <w:rsid w:val="009F0A6B"/>
    <w:rsid w:val="009F1AEE"/>
    <w:rsid w:val="009F1DB1"/>
    <w:rsid w:val="009F1EA5"/>
    <w:rsid w:val="009F231B"/>
    <w:rsid w:val="009F5E68"/>
    <w:rsid w:val="009F69E5"/>
    <w:rsid w:val="009F7476"/>
    <w:rsid w:val="009F768D"/>
    <w:rsid w:val="00A00F26"/>
    <w:rsid w:val="00A018F7"/>
    <w:rsid w:val="00A02ABC"/>
    <w:rsid w:val="00A039B4"/>
    <w:rsid w:val="00A03F1A"/>
    <w:rsid w:val="00A049F6"/>
    <w:rsid w:val="00A0555A"/>
    <w:rsid w:val="00A063F2"/>
    <w:rsid w:val="00A0799C"/>
    <w:rsid w:val="00A07D8F"/>
    <w:rsid w:val="00A12531"/>
    <w:rsid w:val="00A1274B"/>
    <w:rsid w:val="00A13C95"/>
    <w:rsid w:val="00A15615"/>
    <w:rsid w:val="00A16076"/>
    <w:rsid w:val="00A1707A"/>
    <w:rsid w:val="00A215E2"/>
    <w:rsid w:val="00A2164F"/>
    <w:rsid w:val="00A23803"/>
    <w:rsid w:val="00A249F6"/>
    <w:rsid w:val="00A2509D"/>
    <w:rsid w:val="00A250AD"/>
    <w:rsid w:val="00A26704"/>
    <w:rsid w:val="00A27248"/>
    <w:rsid w:val="00A27289"/>
    <w:rsid w:val="00A321F9"/>
    <w:rsid w:val="00A32786"/>
    <w:rsid w:val="00A33515"/>
    <w:rsid w:val="00A34AEC"/>
    <w:rsid w:val="00A35487"/>
    <w:rsid w:val="00A35AFD"/>
    <w:rsid w:val="00A3659B"/>
    <w:rsid w:val="00A40295"/>
    <w:rsid w:val="00A40731"/>
    <w:rsid w:val="00A40A39"/>
    <w:rsid w:val="00A41FAD"/>
    <w:rsid w:val="00A429D5"/>
    <w:rsid w:val="00A42E39"/>
    <w:rsid w:val="00A433E2"/>
    <w:rsid w:val="00A43BC4"/>
    <w:rsid w:val="00A4470F"/>
    <w:rsid w:val="00A448EF"/>
    <w:rsid w:val="00A4598C"/>
    <w:rsid w:val="00A46087"/>
    <w:rsid w:val="00A510EE"/>
    <w:rsid w:val="00A51638"/>
    <w:rsid w:val="00A52A4E"/>
    <w:rsid w:val="00A5343C"/>
    <w:rsid w:val="00A55081"/>
    <w:rsid w:val="00A5538B"/>
    <w:rsid w:val="00A56E00"/>
    <w:rsid w:val="00A57359"/>
    <w:rsid w:val="00A57796"/>
    <w:rsid w:val="00A57AB1"/>
    <w:rsid w:val="00A60725"/>
    <w:rsid w:val="00A62901"/>
    <w:rsid w:val="00A634FE"/>
    <w:rsid w:val="00A635D9"/>
    <w:rsid w:val="00A64C8D"/>
    <w:rsid w:val="00A64D9F"/>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813"/>
    <w:rsid w:val="00A77C4C"/>
    <w:rsid w:val="00A8008F"/>
    <w:rsid w:val="00A8092D"/>
    <w:rsid w:val="00A80D3B"/>
    <w:rsid w:val="00A80E74"/>
    <w:rsid w:val="00A851A4"/>
    <w:rsid w:val="00A86BD8"/>
    <w:rsid w:val="00A8787E"/>
    <w:rsid w:val="00A87EDF"/>
    <w:rsid w:val="00A90897"/>
    <w:rsid w:val="00A909E1"/>
    <w:rsid w:val="00A90C67"/>
    <w:rsid w:val="00A90D37"/>
    <w:rsid w:val="00A92B4B"/>
    <w:rsid w:val="00A93509"/>
    <w:rsid w:val="00A935BC"/>
    <w:rsid w:val="00A940DD"/>
    <w:rsid w:val="00A9585F"/>
    <w:rsid w:val="00AA013D"/>
    <w:rsid w:val="00AA0422"/>
    <w:rsid w:val="00AA1496"/>
    <w:rsid w:val="00AA155D"/>
    <w:rsid w:val="00AA1706"/>
    <w:rsid w:val="00AA3354"/>
    <w:rsid w:val="00AA3D06"/>
    <w:rsid w:val="00AA4899"/>
    <w:rsid w:val="00AA4D37"/>
    <w:rsid w:val="00AA4D66"/>
    <w:rsid w:val="00AA59F2"/>
    <w:rsid w:val="00AA639F"/>
    <w:rsid w:val="00AA6461"/>
    <w:rsid w:val="00AA753E"/>
    <w:rsid w:val="00AB10AE"/>
    <w:rsid w:val="00AB16AD"/>
    <w:rsid w:val="00AB24CE"/>
    <w:rsid w:val="00AB3CE6"/>
    <w:rsid w:val="00AB3E2B"/>
    <w:rsid w:val="00AB56D4"/>
    <w:rsid w:val="00AB65C7"/>
    <w:rsid w:val="00AB671D"/>
    <w:rsid w:val="00AB6BFE"/>
    <w:rsid w:val="00AB7130"/>
    <w:rsid w:val="00AB7181"/>
    <w:rsid w:val="00AB7311"/>
    <w:rsid w:val="00AB78D0"/>
    <w:rsid w:val="00AC0D42"/>
    <w:rsid w:val="00AC17D2"/>
    <w:rsid w:val="00AC2C30"/>
    <w:rsid w:val="00AC350C"/>
    <w:rsid w:val="00AC3558"/>
    <w:rsid w:val="00AC3A1B"/>
    <w:rsid w:val="00AC46EE"/>
    <w:rsid w:val="00AC5254"/>
    <w:rsid w:val="00AC701A"/>
    <w:rsid w:val="00AC74A3"/>
    <w:rsid w:val="00AC7DAD"/>
    <w:rsid w:val="00AD02BB"/>
    <w:rsid w:val="00AD0393"/>
    <w:rsid w:val="00AD11DB"/>
    <w:rsid w:val="00AD2E2E"/>
    <w:rsid w:val="00AD344D"/>
    <w:rsid w:val="00AD3F55"/>
    <w:rsid w:val="00AD49BE"/>
    <w:rsid w:val="00AD4CFD"/>
    <w:rsid w:val="00AD53F5"/>
    <w:rsid w:val="00AD5E7B"/>
    <w:rsid w:val="00AD7989"/>
    <w:rsid w:val="00AD7FC0"/>
    <w:rsid w:val="00AE00E2"/>
    <w:rsid w:val="00AE0945"/>
    <w:rsid w:val="00AE0BFC"/>
    <w:rsid w:val="00AE134F"/>
    <w:rsid w:val="00AE1705"/>
    <w:rsid w:val="00AE1A08"/>
    <w:rsid w:val="00AE1BBA"/>
    <w:rsid w:val="00AE3B57"/>
    <w:rsid w:val="00AE43A3"/>
    <w:rsid w:val="00AE4BA3"/>
    <w:rsid w:val="00AE6BE0"/>
    <w:rsid w:val="00AE722F"/>
    <w:rsid w:val="00AE7422"/>
    <w:rsid w:val="00AE7CD5"/>
    <w:rsid w:val="00AE7E8A"/>
    <w:rsid w:val="00AF32D8"/>
    <w:rsid w:val="00AF3F64"/>
    <w:rsid w:val="00AF40CA"/>
    <w:rsid w:val="00AF4C64"/>
    <w:rsid w:val="00AF5133"/>
    <w:rsid w:val="00AF70FF"/>
    <w:rsid w:val="00B00A76"/>
    <w:rsid w:val="00B01BE5"/>
    <w:rsid w:val="00B02385"/>
    <w:rsid w:val="00B0355A"/>
    <w:rsid w:val="00B03878"/>
    <w:rsid w:val="00B05D4A"/>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42F6"/>
    <w:rsid w:val="00B263E1"/>
    <w:rsid w:val="00B2793E"/>
    <w:rsid w:val="00B3022C"/>
    <w:rsid w:val="00B30D3F"/>
    <w:rsid w:val="00B31D9A"/>
    <w:rsid w:val="00B32ABD"/>
    <w:rsid w:val="00B32E35"/>
    <w:rsid w:val="00B33B37"/>
    <w:rsid w:val="00B34CBA"/>
    <w:rsid w:val="00B35017"/>
    <w:rsid w:val="00B374E5"/>
    <w:rsid w:val="00B3764A"/>
    <w:rsid w:val="00B37AA5"/>
    <w:rsid w:val="00B41FA0"/>
    <w:rsid w:val="00B42826"/>
    <w:rsid w:val="00B430FA"/>
    <w:rsid w:val="00B43982"/>
    <w:rsid w:val="00B44A0E"/>
    <w:rsid w:val="00B459AF"/>
    <w:rsid w:val="00B459CF"/>
    <w:rsid w:val="00B475B6"/>
    <w:rsid w:val="00B54BB5"/>
    <w:rsid w:val="00B55869"/>
    <w:rsid w:val="00B567F1"/>
    <w:rsid w:val="00B569FA"/>
    <w:rsid w:val="00B571D3"/>
    <w:rsid w:val="00B60957"/>
    <w:rsid w:val="00B60D49"/>
    <w:rsid w:val="00B60E2D"/>
    <w:rsid w:val="00B635A5"/>
    <w:rsid w:val="00B63AF5"/>
    <w:rsid w:val="00B63BE5"/>
    <w:rsid w:val="00B644BE"/>
    <w:rsid w:val="00B644C6"/>
    <w:rsid w:val="00B64CAA"/>
    <w:rsid w:val="00B66D36"/>
    <w:rsid w:val="00B7272B"/>
    <w:rsid w:val="00B732FB"/>
    <w:rsid w:val="00B7342D"/>
    <w:rsid w:val="00B73BCE"/>
    <w:rsid w:val="00B73E48"/>
    <w:rsid w:val="00B7490A"/>
    <w:rsid w:val="00B74F73"/>
    <w:rsid w:val="00B75734"/>
    <w:rsid w:val="00B759EC"/>
    <w:rsid w:val="00B75C0E"/>
    <w:rsid w:val="00B75D6F"/>
    <w:rsid w:val="00B75F96"/>
    <w:rsid w:val="00B773AD"/>
    <w:rsid w:val="00B774F6"/>
    <w:rsid w:val="00B778CB"/>
    <w:rsid w:val="00B809D9"/>
    <w:rsid w:val="00B8168B"/>
    <w:rsid w:val="00B823D9"/>
    <w:rsid w:val="00B824F8"/>
    <w:rsid w:val="00B83072"/>
    <w:rsid w:val="00B8362D"/>
    <w:rsid w:val="00B8368B"/>
    <w:rsid w:val="00B83A9E"/>
    <w:rsid w:val="00B83FA9"/>
    <w:rsid w:val="00B86F52"/>
    <w:rsid w:val="00B878F5"/>
    <w:rsid w:val="00B90E37"/>
    <w:rsid w:val="00B91893"/>
    <w:rsid w:val="00B926BD"/>
    <w:rsid w:val="00B92DE8"/>
    <w:rsid w:val="00B93540"/>
    <w:rsid w:val="00B93D8F"/>
    <w:rsid w:val="00B96A32"/>
    <w:rsid w:val="00B9727C"/>
    <w:rsid w:val="00B9799D"/>
    <w:rsid w:val="00BA1322"/>
    <w:rsid w:val="00BA1A63"/>
    <w:rsid w:val="00BA25FD"/>
    <w:rsid w:val="00BA2D85"/>
    <w:rsid w:val="00BA3AA7"/>
    <w:rsid w:val="00BA3C3F"/>
    <w:rsid w:val="00BA5CEA"/>
    <w:rsid w:val="00BA5F88"/>
    <w:rsid w:val="00BA690D"/>
    <w:rsid w:val="00BA74D2"/>
    <w:rsid w:val="00BA7612"/>
    <w:rsid w:val="00BA7773"/>
    <w:rsid w:val="00BB1D36"/>
    <w:rsid w:val="00BB2E03"/>
    <w:rsid w:val="00BB3631"/>
    <w:rsid w:val="00BB3FF6"/>
    <w:rsid w:val="00BB5630"/>
    <w:rsid w:val="00BB6BE1"/>
    <w:rsid w:val="00BC3134"/>
    <w:rsid w:val="00BC392E"/>
    <w:rsid w:val="00BC3F30"/>
    <w:rsid w:val="00BC542C"/>
    <w:rsid w:val="00BC60A6"/>
    <w:rsid w:val="00BC62E0"/>
    <w:rsid w:val="00BC6EEE"/>
    <w:rsid w:val="00BC6FBF"/>
    <w:rsid w:val="00BD00D9"/>
    <w:rsid w:val="00BD065C"/>
    <w:rsid w:val="00BD08F8"/>
    <w:rsid w:val="00BD1886"/>
    <w:rsid w:val="00BD23E3"/>
    <w:rsid w:val="00BD40BC"/>
    <w:rsid w:val="00BD6234"/>
    <w:rsid w:val="00BE0437"/>
    <w:rsid w:val="00BE04F6"/>
    <w:rsid w:val="00BE107D"/>
    <w:rsid w:val="00BE2D6C"/>
    <w:rsid w:val="00BE34D0"/>
    <w:rsid w:val="00BE4C2B"/>
    <w:rsid w:val="00BE52CA"/>
    <w:rsid w:val="00BE5D1C"/>
    <w:rsid w:val="00BE701E"/>
    <w:rsid w:val="00BE7640"/>
    <w:rsid w:val="00BF0242"/>
    <w:rsid w:val="00BF0AE5"/>
    <w:rsid w:val="00BF144D"/>
    <w:rsid w:val="00BF214A"/>
    <w:rsid w:val="00BF2D44"/>
    <w:rsid w:val="00BF35B4"/>
    <w:rsid w:val="00BF377B"/>
    <w:rsid w:val="00BF3E1B"/>
    <w:rsid w:val="00BF635B"/>
    <w:rsid w:val="00BF7D51"/>
    <w:rsid w:val="00C00699"/>
    <w:rsid w:val="00C01975"/>
    <w:rsid w:val="00C02723"/>
    <w:rsid w:val="00C02A91"/>
    <w:rsid w:val="00C04960"/>
    <w:rsid w:val="00C05ABD"/>
    <w:rsid w:val="00C06163"/>
    <w:rsid w:val="00C10713"/>
    <w:rsid w:val="00C10E6A"/>
    <w:rsid w:val="00C11061"/>
    <w:rsid w:val="00C1120E"/>
    <w:rsid w:val="00C11391"/>
    <w:rsid w:val="00C114A8"/>
    <w:rsid w:val="00C12744"/>
    <w:rsid w:val="00C12EC0"/>
    <w:rsid w:val="00C1324E"/>
    <w:rsid w:val="00C138A5"/>
    <w:rsid w:val="00C14B96"/>
    <w:rsid w:val="00C158D4"/>
    <w:rsid w:val="00C16854"/>
    <w:rsid w:val="00C17BBA"/>
    <w:rsid w:val="00C211F9"/>
    <w:rsid w:val="00C2161C"/>
    <w:rsid w:val="00C22F92"/>
    <w:rsid w:val="00C238EE"/>
    <w:rsid w:val="00C23A5B"/>
    <w:rsid w:val="00C25927"/>
    <w:rsid w:val="00C27126"/>
    <w:rsid w:val="00C273D7"/>
    <w:rsid w:val="00C2755A"/>
    <w:rsid w:val="00C3028D"/>
    <w:rsid w:val="00C30436"/>
    <w:rsid w:val="00C30FD6"/>
    <w:rsid w:val="00C310B8"/>
    <w:rsid w:val="00C31DBD"/>
    <w:rsid w:val="00C32633"/>
    <w:rsid w:val="00C3305D"/>
    <w:rsid w:val="00C3343C"/>
    <w:rsid w:val="00C3343E"/>
    <w:rsid w:val="00C3643C"/>
    <w:rsid w:val="00C36C29"/>
    <w:rsid w:val="00C41646"/>
    <w:rsid w:val="00C42CA8"/>
    <w:rsid w:val="00C4383B"/>
    <w:rsid w:val="00C45EF9"/>
    <w:rsid w:val="00C4601A"/>
    <w:rsid w:val="00C46E7A"/>
    <w:rsid w:val="00C478FE"/>
    <w:rsid w:val="00C47DC9"/>
    <w:rsid w:val="00C502DD"/>
    <w:rsid w:val="00C54380"/>
    <w:rsid w:val="00C57E9A"/>
    <w:rsid w:val="00C6076A"/>
    <w:rsid w:val="00C613E2"/>
    <w:rsid w:val="00C621E3"/>
    <w:rsid w:val="00C6430C"/>
    <w:rsid w:val="00C64E24"/>
    <w:rsid w:val="00C65047"/>
    <w:rsid w:val="00C653CC"/>
    <w:rsid w:val="00C65B4D"/>
    <w:rsid w:val="00C665D4"/>
    <w:rsid w:val="00C67E56"/>
    <w:rsid w:val="00C7308A"/>
    <w:rsid w:val="00C73CE1"/>
    <w:rsid w:val="00C74775"/>
    <w:rsid w:val="00C76F9B"/>
    <w:rsid w:val="00C77064"/>
    <w:rsid w:val="00C77955"/>
    <w:rsid w:val="00C80AB6"/>
    <w:rsid w:val="00C824FE"/>
    <w:rsid w:val="00C833D6"/>
    <w:rsid w:val="00C84CDE"/>
    <w:rsid w:val="00C85A51"/>
    <w:rsid w:val="00C871AE"/>
    <w:rsid w:val="00C8762A"/>
    <w:rsid w:val="00C9050E"/>
    <w:rsid w:val="00C91E82"/>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506C"/>
    <w:rsid w:val="00CA5B6B"/>
    <w:rsid w:val="00CA7388"/>
    <w:rsid w:val="00CA78AC"/>
    <w:rsid w:val="00CB067C"/>
    <w:rsid w:val="00CB15CA"/>
    <w:rsid w:val="00CB2317"/>
    <w:rsid w:val="00CB26B3"/>
    <w:rsid w:val="00CB3B7D"/>
    <w:rsid w:val="00CB4DC8"/>
    <w:rsid w:val="00CB51F5"/>
    <w:rsid w:val="00CB687E"/>
    <w:rsid w:val="00CC0250"/>
    <w:rsid w:val="00CC074E"/>
    <w:rsid w:val="00CC1659"/>
    <w:rsid w:val="00CC3092"/>
    <w:rsid w:val="00CC30C3"/>
    <w:rsid w:val="00CC363A"/>
    <w:rsid w:val="00CC3D4E"/>
    <w:rsid w:val="00CC4003"/>
    <w:rsid w:val="00CC5645"/>
    <w:rsid w:val="00CC74BD"/>
    <w:rsid w:val="00CD0768"/>
    <w:rsid w:val="00CD1399"/>
    <w:rsid w:val="00CD3CC4"/>
    <w:rsid w:val="00CD45CA"/>
    <w:rsid w:val="00CD788F"/>
    <w:rsid w:val="00CE047D"/>
    <w:rsid w:val="00CE1017"/>
    <w:rsid w:val="00CE358A"/>
    <w:rsid w:val="00CE373E"/>
    <w:rsid w:val="00CE41EE"/>
    <w:rsid w:val="00CE43AF"/>
    <w:rsid w:val="00CE577D"/>
    <w:rsid w:val="00CE60AF"/>
    <w:rsid w:val="00CE665D"/>
    <w:rsid w:val="00CE6758"/>
    <w:rsid w:val="00CE7731"/>
    <w:rsid w:val="00CF096F"/>
    <w:rsid w:val="00CF1226"/>
    <w:rsid w:val="00CF329F"/>
    <w:rsid w:val="00CF41EA"/>
    <w:rsid w:val="00CF6106"/>
    <w:rsid w:val="00CF6159"/>
    <w:rsid w:val="00CF6A79"/>
    <w:rsid w:val="00CF73D7"/>
    <w:rsid w:val="00D00625"/>
    <w:rsid w:val="00D00AAE"/>
    <w:rsid w:val="00D00F4A"/>
    <w:rsid w:val="00D019F2"/>
    <w:rsid w:val="00D02D5A"/>
    <w:rsid w:val="00D033B1"/>
    <w:rsid w:val="00D03B9D"/>
    <w:rsid w:val="00D0498A"/>
    <w:rsid w:val="00D065E6"/>
    <w:rsid w:val="00D06F2D"/>
    <w:rsid w:val="00D07B74"/>
    <w:rsid w:val="00D10843"/>
    <w:rsid w:val="00D11601"/>
    <w:rsid w:val="00D11B6A"/>
    <w:rsid w:val="00D13661"/>
    <w:rsid w:val="00D13B2D"/>
    <w:rsid w:val="00D1514D"/>
    <w:rsid w:val="00D154A5"/>
    <w:rsid w:val="00D15660"/>
    <w:rsid w:val="00D16E7D"/>
    <w:rsid w:val="00D176A2"/>
    <w:rsid w:val="00D17731"/>
    <w:rsid w:val="00D20E86"/>
    <w:rsid w:val="00D20FB3"/>
    <w:rsid w:val="00D21DFB"/>
    <w:rsid w:val="00D227C4"/>
    <w:rsid w:val="00D23048"/>
    <w:rsid w:val="00D2352A"/>
    <w:rsid w:val="00D23DD0"/>
    <w:rsid w:val="00D2402B"/>
    <w:rsid w:val="00D24DA7"/>
    <w:rsid w:val="00D251C3"/>
    <w:rsid w:val="00D266D5"/>
    <w:rsid w:val="00D26CB5"/>
    <w:rsid w:val="00D27AD9"/>
    <w:rsid w:val="00D27EA0"/>
    <w:rsid w:val="00D313BB"/>
    <w:rsid w:val="00D31593"/>
    <w:rsid w:val="00D33231"/>
    <w:rsid w:val="00D36240"/>
    <w:rsid w:val="00D36D3E"/>
    <w:rsid w:val="00D36DB7"/>
    <w:rsid w:val="00D3778A"/>
    <w:rsid w:val="00D40AF9"/>
    <w:rsid w:val="00D40E5E"/>
    <w:rsid w:val="00D41165"/>
    <w:rsid w:val="00D4138D"/>
    <w:rsid w:val="00D41493"/>
    <w:rsid w:val="00D4152F"/>
    <w:rsid w:val="00D42516"/>
    <w:rsid w:val="00D438DC"/>
    <w:rsid w:val="00D43EF1"/>
    <w:rsid w:val="00D43F6F"/>
    <w:rsid w:val="00D44015"/>
    <w:rsid w:val="00D443EF"/>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67D44"/>
    <w:rsid w:val="00D706BA"/>
    <w:rsid w:val="00D709A0"/>
    <w:rsid w:val="00D70A78"/>
    <w:rsid w:val="00D71394"/>
    <w:rsid w:val="00D7252A"/>
    <w:rsid w:val="00D72CF1"/>
    <w:rsid w:val="00D73BC0"/>
    <w:rsid w:val="00D73C1D"/>
    <w:rsid w:val="00D76C93"/>
    <w:rsid w:val="00D771CC"/>
    <w:rsid w:val="00D80799"/>
    <w:rsid w:val="00D808BE"/>
    <w:rsid w:val="00D81512"/>
    <w:rsid w:val="00D84747"/>
    <w:rsid w:val="00D84BD3"/>
    <w:rsid w:val="00D85346"/>
    <w:rsid w:val="00D90B52"/>
    <w:rsid w:val="00D90E7B"/>
    <w:rsid w:val="00D91EDC"/>
    <w:rsid w:val="00D92D94"/>
    <w:rsid w:val="00D961DB"/>
    <w:rsid w:val="00DA0625"/>
    <w:rsid w:val="00DA0964"/>
    <w:rsid w:val="00DA2C03"/>
    <w:rsid w:val="00DA3748"/>
    <w:rsid w:val="00DA3AA1"/>
    <w:rsid w:val="00DA4C82"/>
    <w:rsid w:val="00DA533F"/>
    <w:rsid w:val="00DA671A"/>
    <w:rsid w:val="00DA756A"/>
    <w:rsid w:val="00DA7628"/>
    <w:rsid w:val="00DA7819"/>
    <w:rsid w:val="00DA78D9"/>
    <w:rsid w:val="00DA7E64"/>
    <w:rsid w:val="00DA7E6E"/>
    <w:rsid w:val="00DB07B8"/>
    <w:rsid w:val="00DB2D76"/>
    <w:rsid w:val="00DB345B"/>
    <w:rsid w:val="00DB3871"/>
    <w:rsid w:val="00DB38BB"/>
    <w:rsid w:val="00DB45E2"/>
    <w:rsid w:val="00DB4790"/>
    <w:rsid w:val="00DB4F49"/>
    <w:rsid w:val="00DB57FA"/>
    <w:rsid w:val="00DB6D5A"/>
    <w:rsid w:val="00DC1ACA"/>
    <w:rsid w:val="00DC441C"/>
    <w:rsid w:val="00DC4772"/>
    <w:rsid w:val="00DC48CF"/>
    <w:rsid w:val="00DC5BB0"/>
    <w:rsid w:val="00DC5D2E"/>
    <w:rsid w:val="00DC6711"/>
    <w:rsid w:val="00DC6826"/>
    <w:rsid w:val="00DD0260"/>
    <w:rsid w:val="00DD20E3"/>
    <w:rsid w:val="00DD2605"/>
    <w:rsid w:val="00DD2AAA"/>
    <w:rsid w:val="00DD4C66"/>
    <w:rsid w:val="00DD50B5"/>
    <w:rsid w:val="00DD5275"/>
    <w:rsid w:val="00DD58A8"/>
    <w:rsid w:val="00DD5F86"/>
    <w:rsid w:val="00DD6047"/>
    <w:rsid w:val="00DD6EA2"/>
    <w:rsid w:val="00DD7205"/>
    <w:rsid w:val="00DD771A"/>
    <w:rsid w:val="00DD7F78"/>
    <w:rsid w:val="00DE1564"/>
    <w:rsid w:val="00DE262A"/>
    <w:rsid w:val="00DE2759"/>
    <w:rsid w:val="00DE2977"/>
    <w:rsid w:val="00DE3748"/>
    <w:rsid w:val="00DE4037"/>
    <w:rsid w:val="00DE43F4"/>
    <w:rsid w:val="00DE466B"/>
    <w:rsid w:val="00DE4A72"/>
    <w:rsid w:val="00DE5D8B"/>
    <w:rsid w:val="00DE6535"/>
    <w:rsid w:val="00DE7607"/>
    <w:rsid w:val="00DE761A"/>
    <w:rsid w:val="00DE780F"/>
    <w:rsid w:val="00DF1BAF"/>
    <w:rsid w:val="00DF21AE"/>
    <w:rsid w:val="00DF2338"/>
    <w:rsid w:val="00DF27DA"/>
    <w:rsid w:val="00DF37CE"/>
    <w:rsid w:val="00DF4C70"/>
    <w:rsid w:val="00DF4D56"/>
    <w:rsid w:val="00DF5352"/>
    <w:rsid w:val="00DF63EB"/>
    <w:rsid w:val="00DF78BC"/>
    <w:rsid w:val="00E0212C"/>
    <w:rsid w:val="00E02A20"/>
    <w:rsid w:val="00E030AE"/>
    <w:rsid w:val="00E030E4"/>
    <w:rsid w:val="00E04587"/>
    <w:rsid w:val="00E04EFF"/>
    <w:rsid w:val="00E05212"/>
    <w:rsid w:val="00E05D02"/>
    <w:rsid w:val="00E0690D"/>
    <w:rsid w:val="00E101A9"/>
    <w:rsid w:val="00E12954"/>
    <w:rsid w:val="00E12A2F"/>
    <w:rsid w:val="00E12D9F"/>
    <w:rsid w:val="00E12FAE"/>
    <w:rsid w:val="00E133B6"/>
    <w:rsid w:val="00E13468"/>
    <w:rsid w:val="00E1638A"/>
    <w:rsid w:val="00E21E2B"/>
    <w:rsid w:val="00E24203"/>
    <w:rsid w:val="00E24543"/>
    <w:rsid w:val="00E2457B"/>
    <w:rsid w:val="00E247DE"/>
    <w:rsid w:val="00E257AB"/>
    <w:rsid w:val="00E31BE8"/>
    <w:rsid w:val="00E3212A"/>
    <w:rsid w:val="00E32221"/>
    <w:rsid w:val="00E32512"/>
    <w:rsid w:val="00E333C7"/>
    <w:rsid w:val="00E3374E"/>
    <w:rsid w:val="00E33A7F"/>
    <w:rsid w:val="00E34A79"/>
    <w:rsid w:val="00E3743F"/>
    <w:rsid w:val="00E376F7"/>
    <w:rsid w:val="00E4104D"/>
    <w:rsid w:val="00E41293"/>
    <w:rsid w:val="00E41C3F"/>
    <w:rsid w:val="00E41CE3"/>
    <w:rsid w:val="00E41D18"/>
    <w:rsid w:val="00E44479"/>
    <w:rsid w:val="00E45108"/>
    <w:rsid w:val="00E4622A"/>
    <w:rsid w:val="00E475F0"/>
    <w:rsid w:val="00E5099A"/>
    <w:rsid w:val="00E50CA8"/>
    <w:rsid w:val="00E519D9"/>
    <w:rsid w:val="00E52672"/>
    <w:rsid w:val="00E536DE"/>
    <w:rsid w:val="00E538E6"/>
    <w:rsid w:val="00E5535A"/>
    <w:rsid w:val="00E553E9"/>
    <w:rsid w:val="00E563DF"/>
    <w:rsid w:val="00E569B2"/>
    <w:rsid w:val="00E569BD"/>
    <w:rsid w:val="00E577FD"/>
    <w:rsid w:val="00E61098"/>
    <w:rsid w:val="00E619A4"/>
    <w:rsid w:val="00E62177"/>
    <w:rsid w:val="00E622AF"/>
    <w:rsid w:val="00E62A45"/>
    <w:rsid w:val="00E638EF"/>
    <w:rsid w:val="00E643ED"/>
    <w:rsid w:val="00E645FC"/>
    <w:rsid w:val="00E6494D"/>
    <w:rsid w:val="00E6634F"/>
    <w:rsid w:val="00E6716A"/>
    <w:rsid w:val="00E67F40"/>
    <w:rsid w:val="00E70167"/>
    <w:rsid w:val="00E703C3"/>
    <w:rsid w:val="00E73F29"/>
    <w:rsid w:val="00E74899"/>
    <w:rsid w:val="00E759B1"/>
    <w:rsid w:val="00E779AA"/>
    <w:rsid w:val="00E80333"/>
    <w:rsid w:val="00E8107B"/>
    <w:rsid w:val="00E82A13"/>
    <w:rsid w:val="00E83629"/>
    <w:rsid w:val="00E838DB"/>
    <w:rsid w:val="00E83F7E"/>
    <w:rsid w:val="00E865F0"/>
    <w:rsid w:val="00E868E7"/>
    <w:rsid w:val="00E9310C"/>
    <w:rsid w:val="00E93979"/>
    <w:rsid w:val="00E93CD3"/>
    <w:rsid w:val="00E93F61"/>
    <w:rsid w:val="00E9501F"/>
    <w:rsid w:val="00E950C6"/>
    <w:rsid w:val="00E957F6"/>
    <w:rsid w:val="00E962BC"/>
    <w:rsid w:val="00E9676A"/>
    <w:rsid w:val="00EA379C"/>
    <w:rsid w:val="00EA4361"/>
    <w:rsid w:val="00EA4CB5"/>
    <w:rsid w:val="00EA67B2"/>
    <w:rsid w:val="00EA6D2E"/>
    <w:rsid w:val="00EB0757"/>
    <w:rsid w:val="00EB32E3"/>
    <w:rsid w:val="00EB3610"/>
    <w:rsid w:val="00EB3C74"/>
    <w:rsid w:val="00EB5926"/>
    <w:rsid w:val="00EB5D98"/>
    <w:rsid w:val="00EB7A35"/>
    <w:rsid w:val="00EC027A"/>
    <w:rsid w:val="00EC05B4"/>
    <w:rsid w:val="00EC074E"/>
    <w:rsid w:val="00EC091A"/>
    <w:rsid w:val="00EC0B10"/>
    <w:rsid w:val="00EC0BD7"/>
    <w:rsid w:val="00EC0C56"/>
    <w:rsid w:val="00EC2126"/>
    <w:rsid w:val="00EC33EA"/>
    <w:rsid w:val="00EC41C2"/>
    <w:rsid w:val="00EC4E71"/>
    <w:rsid w:val="00EC62F1"/>
    <w:rsid w:val="00EC6D41"/>
    <w:rsid w:val="00EC79CA"/>
    <w:rsid w:val="00ED03A3"/>
    <w:rsid w:val="00ED0AA7"/>
    <w:rsid w:val="00ED2F8A"/>
    <w:rsid w:val="00ED56E8"/>
    <w:rsid w:val="00ED57D7"/>
    <w:rsid w:val="00ED58AF"/>
    <w:rsid w:val="00ED7658"/>
    <w:rsid w:val="00EE0EDC"/>
    <w:rsid w:val="00EE13F4"/>
    <w:rsid w:val="00EE171F"/>
    <w:rsid w:val="00EE1EE5"/>
    <w:rsid w:val="00EE2928"/>
    <w:rsid w:val="00EE2E23"/>
    <w:rsid w:val="00EE359A"/>
    <w:rsid w:val="00EE46A5"/>
    <w:rsid w:val="00EE4BD0"/>
    <w:rsid w:val="00EE5BA1"/>
    <w:rsid w:val="00EF07BE"/>
    <w:rsid w:val="00EF0DFF"/>
    <w:rsid w:val="00EF2966"/>
    <w:rsid w:val="00EF5346"/>
    <w:rsid w:val="00EF7235"/>
    <w:rsid w:val="00F004A9"/>
    <w:rsid w:val="00F00A4D"/>
    <w:rsid w:val="00F014D5"/>
    <w:rsid w:val="00F01EA8"/>
    <w:rsid w:val="00F023A3"/>
    <w:rsid w:val="00F02A6F"/>
    <w:rsid w:val="00F030F9"/>
    <w:rsid w:val="00F04308"/>
    <w:rsid w:val="00F04B83"/>
    <w:rsid w:val="00F04C8C"/>
    <w:rsid w:val="00F054DA"/>
    <w:rsid w:val="00F06144"/>
    <w:rsid w:val="00F06530"/>
    <w:rsid w:val="00F07B2D"/>
    <w:rsid w:val="00F07BCF"/>
    <w:rsid w:val="00F127D3"/>
    <w:rsid w:val="00F14929"/>
    <w:rsid w:val="00F1597D"/>
    <w:rsid w:val="00F16EF8"/>
    <w:rsid w:val="00F16FAB"/>
    <w:rsid w:val="00F170B7"/>
    <w:rsid w:val="00F21CA5"/>
    <w:rsid w:val="00F2343B"/>
    <w:rsid w:val="00F24632"/>
    <w:rsid w:val="00F255B6"/>
    <w:rsid w:val="00F26ED7"/>
    <w:rsid w:val="00F31625"/>
    <w:rsid w:val="00F31BDC"/>
    <w:rsid w:val="00F321C2"/>
    <w:rsid w:val="00F32232"/>
    <w:rsid w:val="00F32242"/>
    <w:rsid w:val="00F361A3"/>
    <w:rsid w:val="00F36B70"/>
    <w:rsid w:val="00F36CDE"/>
    <w:rsid w:val="00F36E39"/>
    <w:rsid w:val="00F4003B"/>
    <w:rsid w:val="00F40A8F"/>
    <w:rsid w:val="00F40FF5"/>
    <w:rsid w:val="00F41E1E"/>
    <w:rsid w:val="00F4277F"/>
    <w:rsid w:val="00F43ED1"/>
    <w:rsid w:val="00F43F01"/>
    <w:rsid w:val="00F44759"/>
    <w:rsid w:val="00F45144"/>
    <w:rsid w:val="00F46284"/>
    <w:rsid w:val="00F4680B"/>
    <w:rsid w:val="00F47344"/>
    <w:rsid w:val="00F4734D"/>
    <w:rsid w:val="00F473D4"/>
    <w:rsid w:val="00F47445"/>
    <w:rsid w:val="00F47CD8"/>
    <w:rsid w:val="00F5046F"/>
    <w:rsid w:val="00F5088C"/>
    <w:rsid w:val="00F50997"/>
    <w:rsid w:val="00F510AC"/>
    <w:rsid w:val="00F5374F"/>
    <w:rsid w:val="00F53DEA"/>
    <w:rsid w:val="00F545DD"/>
    <w:rsid w:val="00F55E69"/>
    <w:rsid w:val="00F579BE"/>
    <w:rsid w:val="00F606F4"/>
    <w:rsid w:val="00F60DF6"/>
    <w:rsid w:val="00F61E12"/>
    <w:rsid w:val="00F626E7"/>
    <w:rsid w:val="00F62D04"/>
    <w:rsid w:val="00F6434A"/>
    <w:rsid w:val="00F64F54"/>
    <w:rsid w:val="00F655E1"/>
    <w:rsid w:val="00F70887"/>
    <w:rsid w:val="00F70A7D"/>
    <w:rsid w:val="00F748DD"/>
    <w:rsid w:val="00F76633"/>
    <w:rsid w:val="00F7666A"/>
    <w:rsid w:val="00F77EEC"/>
    <w:rsid w:val="00F81710"/>
    <w:rsid w:val="00F819C4"/>
    <w:rsid w:val="00F81BF6"/>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3A0"/>
    <w:rsid w:val="00FA3DD7"/>
    <w:rsid w:val="00FA4D12"/>
    <w:rsid w:val="00FA5031"/>
    <w:rsid w:val="00FA56FF"/>
    <w:rsid w:val="00FB05E3"/>
    <w:rsid w:val="00FB106B"/>
    <w:rsid w:val="00FB4326"/>
    <w:rsid w:val="00FB45EB"/>
    <w:rsid w:val="00FB4C6F"/>
    <w:rsid w:val="00FB64A1"/>
    <w:rsid w:val="00FB6506"/>
    <w:rsid w:val="00FB6732"/>
    <w:rsid w:val="00FB7D16"/>
    <w:rsid w:val="00FC0858"/>
    <w:rsid w:val="00FC110D"/>
    <w:rsid w:val="00FC3800"/>
    <w:rsid w:val="00FC4527"/>
    <w:rsid w:val="00FC5DCE"/>
    <w:rsid w:val="00FC65BE"/>
    <w:rsid w:val="00FC70C0"/>
    <w:rsid w:val="00FC71AE"/>
    <w:rsid w:val="00FC7307"/>
    <w:rsid w:val="00FD0B64"/>
    <w:rsid w:val="00FD1B42"/>
    <w:rsid w:val="00FD1EEA"/>
    <w:rsid w:val="00FD219D"/>
    <w:rsid w:val="00FD30C0"/>
    <w:rsid w:val="00FD33CF"/>
    <w:rsid w:val="00FD36CA"/>
    <w:rsid w:val="00FD3B41"/>
    <w:rsid w:val="00FD4E22"/>
    <w:rsid w:val="00FD6C73"/>
    <w:rsid w:val="00FE263F"/>
    <w:rsid w:val="00FE486C"/>
    <w:rsid w:val="00FE4BFD"/>
    <w:rsid w:val="00FE53E5"/>
    <w:rsid w:val="00FE578A"/>
    <w:rsid w:val="00FE6A0F"/>
    <w:rsid w:val="00FE7C48"/>
    <w:rsid w:val="00FF0BE2"/>
    <w:rsid w:val="00FF14A5"/>
    <w:rsid w:val="00FF2000"/>
    <w:rsid w:val="00FF45BD"/>
    <w:rsid w:val="00FF621F"/>
    <w:rsid w:val="00FF67DA"/>
    <w:rsid w:val="00FF74BD"/>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 w:type="paragraph" w:styleId="EndnoteText">
    <w:name w:val="endnote text"/>
    <w:basedOn w:val="Normal"/>
    <w:link w:val="EndnoteTextChar"/>
    <w:uiPriority w:val="99"/>
    <w:semiHidden/>
    <w:unhideWhenUsed/>
    <w:rsid w:val="00BC6EEE"/>
    <w:pPr>
      <w:spacing w:line="240" w:lineRule="auto"/>
    </w:pPr>
    <w:rPr>
      <w:sz w:val="20"/>
      <w:szCs w:val="20"/>
    </w:rPr>
  </w:style>
  <w:style w:type="character" w:customStyle="1" w:styleId="EndnoteTextChar">
    <w:name w:val="Endnote Text Char"/>
    <w:basedOn w:val="DefaultParagraphFont"/>
    <w:link w:val="EndnoteText"/>
    <w:uiPriority w:val="99"/>
    <w:semiHidden/>
    <w:rsid w:val="00BC6EEE"/>
    <w:rPr>
      <w:sz w:val="20"/>
      <w:szCs w:val="20"/>
    </w:rPr>
  </w:style>
  <w:style w:type="character" w:styleId="EndnoteReference">
    <w:name w:val="endnote reference"/>
    <w:basedOn w:val="DefaultParagraphFont"/>
    <w:uiPriority w:val="99"/>
    <w:semiHidden/>
    <w:unhideWhenUsed/>
    <w:rsid w:val="00BC6E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 w:type="paragraph" w:styleId="EndnoteText">
    <w:name w:val="endnote text"/>
    <w:basedOn w:val="Normal"/>
    <w:link w:val="EndnoteTextChar"/>
    <w:uiPriority w:val="99"/>
    <w:semiHidden/>
    <w:unhideWhenUsed/>
    <w:rsid w:val="00BC6EEE"/>
    <w:pPr>
      <w:spacing w:line="240" w:lineRule="auto"/>
    </w:pPr>
    <w:rPr>
      <w:sz w:val="20"/>
      <w:szCs w:val="20"/>
    </w:rPr>
  </w:style>
  <w:style w:type="character" w:customStyle="1" w:styleId="EndnoteTextChar">
    <w:name w:val="Endnote Text Char"/>
    <w:basedOn w:val="DefaultParagraphFont"/>
    <w:link w:val="EndnoteText"/>
    <w:uiPriority w:val="99"/>
    <w:semiHidden/>
    <w:rsid w:val="00BC6EEE"/>
    <w:rPr>
      <w:sz w:val="20"/>
      <w:szCs w:val="20"/>
    </w:rPr>
  </w:style>
  <w:style w:type="character" w:styleId="EndnoteReference">
    <w:name w:val="endnote reference"/>
    <w:basedOn w:val="DefaultParagraphFont"/>
    <w:uiPriority w:val="99"/>
    <w:semiHidden/>
    <w:unhideWhenUsed/>
    <w:rsid w:val="00BC6E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BC4F-F359-4D72-A143-9F647C99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2015-04-15T14:33:00Z</cp:lastPrinted>
  <dcterms:created xsi:type="dcterms:W3CDTF">2015-04-23T19:30:00Z</dcterms:created>
  <dcterms:modified xsi:type="dcterms:W3CDTF">2015-04-23T19:30:00Z</dcterms:modified>
</cp:coreProperties>
</file>