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D65D31" w:rsidRPr="00D65D31" w:rsidRDefault="008A0C3C" w:rsidP="00D65D31">
      <w:pPr>
        <w:widowControl w:val="0"/>
        <w:adjustRightInd w:val="0"/>
        <w:rPr>
          <w:bCs/>
          <w:color w:val="000000"/>
        </w:rPr>
      </w:pPr>
      <w:r>
        <w:rPr>
          <w:bCs/>
          <w:color w:val="000000"/>
        </w:rPr>
        <w:t>Iesha Mull</w:t>
      </w:r>
      <w:r>
        <w:rPr>
          <w:bCs/>
          <w:color w:val="000000"/>
        </w:rPr>
        <w:tab/>
      </w:r>
      <w:r w:rsidR="00AC7AB7">
        <w:rPr>
          <w:bCs/>
          <w:color w:val="000000"/>
        </w:rPr>
        <w:tab/>
      </w:r>
      <w:r w:rsidR="00AC7AB7">
        <w:rPr>
          <w:bCs/>
          <w:color w:val="000000"/>
        </w:rPr>
        <w:tab/>
      </w:r>
      <w:r w:rsidR="00AC7AB7">
        <w:rPr>
          <w:bCs/>
          <w:color w:val="000000"/>
        </w:rPr>
        <w:tab/>
      </w:r>
      <w:r w:rsidR="00D65D31" w:rsidRPr="00D65D31">
        <w:rPr>
          <w:bCs/>
          <w:color w:val="000000"/>
        </w:rPr>
        <w:tab/>
      </w:r>
      <w:r w:rsidR="00D65D31"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t>v.</w:t>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r w:rsidRPr="00D65D31">
        <w:rPr>
          <w:bCs/>
          <w:color w:val="000000"/>
        </w:rPr>
        <w:tab/>
      </w:r>
      <w:r w:rsidRPr="00D65D31">
        <w:rPr>
          <w:bCs/>
          <w:color w:val="000000"/>
        </w:rPr>
        <w:tab/>
      </w:r>
      <w:r w:rsidR="00AC7AB7">
        <w:rPr>
          <w:bCs/>
          <w:color w:val="000000"/>
        </w:rPr>
        <w:t>F-201</w:t>
      </w:r>
      <w:r w:rsidR="008A0C3C">
        <w:rPr>
          <w:bCs/>
          <w:color w:val="000000"/>
        </w:rPr>
        <w:t>5-2466606</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Default="008A0C3C" w:rsidP="00D65D31">
      <w:pPr>
        <w:widowControl w:val="0"/>
        <w:adjustRightInd w:val="0"/>
        <w:rPr>
          <w:bCs/>
          <w:color w:val="000000"/>
        </w:rPr>
      </w:pPr>
      <w:r>
        <w:rPr>
          <w:bCs/>
          <w:color w:val="000000"/>
        </w:rPr>
        <w:t xml:space="preserve">Metropolitan Edison Company </w:t>
      </w:r>
      <w:r w:rsidR="00D65D31" w:rsidRPr="00D65D31">
        <w:rPr>
          <w:bCs/>
          <w:color w:val="000000"/>
        </w:rPr>
        <w:tab/>
      </w:r>
      <w:r w:rsidR="00D65D31" w:rsidRPr="00D65D31">
        <w:rPr>
          <w:bCs/>
          <w:color w:val="000000"/>
        </w:rPr>
        <w:tab/>
      </w:r>
      <w:r w:rsidR="00D65D31" w:rsidRPr="00D65D31">
        <w:rPr>
          <w:bCs/>
          <w:color w:val="000000"/>
        </w:rPr>
        <w:tab/>
        <w:t>:</w:t>
      </w: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p>
    <w:p w:rsidR="0062545F" w:rsidRDefault="0062545F" w:rsidP="0062545F">
      <w:pPr>
        <w:tabs>
          <w:tab w:val="center" w:pos="4680"/>
        </w:tabs>
        <w:suppressAutoHyphens/>
        <w:jc w:val="center"/>
        <w:rPr>
          <w:b/>
          <w:bCs/>
          <w:spacing w:val="-3"/>
          <w:u w:val="single"/>
        </w:rPr>
      </w:pPr>
      <w:bookmarkStart w:id="0" w:name="_GoBack"/>
      <w:r w:rsidRPr="00550B34">
        <w:rPr>
          <w:b/>
          <w:bCs/>
          <w:spacing w:val="-3"/>
          <w:u w:val="single"/>
        </w:rPr>
        <w:t>ORDER</w:t>
      </w:r>
    </w:p>
    <w:p w:rsidR="00E67635" w:rsidRPr="00E67635" w:rsidRDefault="00C438C1" w:rsidP="00E67635">
      <w:pPr>
        <w:pStyle w:val="Style"/>
        <w:jc w:val="center"/>
        <w:rPr>
          <w:b/>
          <w:bCs/>
          <w:color w:val="000000"/>
          <w:u w:val="single"/>
        </w:rPr>
      </w:pPr>
      <w:r w:rsidRPr="004A3DB7">
        <w:rPr>
          <w:b/>
          <w:bCs/>
          <w:spacing w:val="-3"/>
          <w:u w:val="single"/>
        </w:rPr>
        <w:t xml:space="preserve">DENYING </w:t>
      </w:r>
      <w:r w:rsidR="00071CA9">
        <w:rPr>
          <w:b/>
          <w:bCs/>
          <w:spacing w:val="-3"/>
          <w:u w:val="single"/>
        </w:rPr>
        <w:t>MOTION FOR SUMMARY</w:t>
      </w:r>
      <w:bookmarkEnd w:id="0"/>
      <w:r w:rsidR="00071CA9">
        <w:rPr>
          <w:b/>
          <w:bCs/>
          <w:spacing w:val="-3"/>
          <w:u w:val="single"/>
        </w:rPr>
        <w:t xml:space="preserve"> JUDGMENT</w:t>
      </w:r>
      <w:r w:rsidR="00F21B5D">
        <w:rPr>
          <w:b/>
          <w:bCs/>
          <w:spacing w:val="-3"/>
          <w:u w:val="single"/>
        </w:rPr>
        <w:t xml:space="preserve"> </w:t>
      </w:r>
      <w:r w:rsidR="00E67635" w:rsidRPr="00E67635">
        <w:rPr>
          <w:b/>
          <w:bCs/>
          <w:color w:val="000000"/>
          <w:u w:val="single"/>
        </w:rPr>
        <w:t>AND</w:t>
      </w:r>
    </w:p>
    <w:p w:rsidR="000629B2" w:rsidRDefault="00E67635" w:rsidP="00A82D94">
      <w:pPr>
        <w:widowControl w:val="0"/>
        <w:adjustRightInd w:val="0"/>
        <w:jc w:val="center"/>
        <w:rPr>
          <w:b/>
          <w:bCs/>
          <w:color w:val="000000"/>
          <w:u w:val="single"/>
        </w:rPr>
      </w:pPr>
      <w:r w:rsidRPr="00E67635">
        <w:rPr>
          <w:b/>
          <w:bCs/>
          <w:color w:val="000000"/>
          <w:u w:val="single"/>
        </w:rPr>
        <w:t>REFERRING CASE TO MEDIATION UNIT FOR MEDIATION REVIEW</w:t>
      </w:r>
    </w:p>
    <w:p w:rsidR="00A82D94" w:rsidRPr="00A82D94" w:rsidRDefault="00A82D94" w:rsidP="00A82D94">
      <w:pPr>
        <w:widowControl w:val="0"/>
        <w:adjustRightInd w:val="0"/>
        <w:jc w:val="center"/>
        <w:rPr>
          <w:b/>
          <w:bCs/>
          <w:color w:val="000000"/>
          <w:u w:val="single"/>
        </w:rPr>
      </w:pPr>
    </w:p>
    <w:p w:rsidR="00E67635" w:rsidRDefault="00E67635" w:rsidP="00C438C1">
      <w:pPr>
        <w:widowControl w:val="0"/>
        <w:adjustRightInd w:val="0"/>
        <w:spacing w:line="360" w:lineRule="auto"/>
        <w:rPr>
          <w:b/>
          <w:bCs/>
          <w:spacing w:val="-3"/>
          <w:u w:val="single"/>
        </w:rPr>
      </w:pPr>
    </w:p>
    <w:p w:rsidR="00061E29" w:rsidRDefault="00F21B5D" w:rsidP="00C438C1">
      <w:pPr>
        <w:widowControl w:val="0"/>
        <w:adjustRightInd w:val="0"/>
        <w:spacing w:line="360" w:lineRule="auto"/>
        <w:rPr>
          <w:bCs/>
          <w:color w:val="000000"/>
        </w:rPr>
      </w:pPr>
      <w:r>
        <w:rPr>
          <w:bCs/>
          <w:color w:val="000000"/>
        </w:rPr>
        <w:tab/>
      </w:r>
      <w:r>
        <w:rPr>
          <w:bCs/>
          <w:color w:val="000000"/>
        </w:rPr>
        <w:tab/>
        <w:t xml:space="preserve">On </w:t>
      </w:r>
      <w:r w:rsidR="00061E29">
        <w:rPr>
          <w:bCs/>
          <w:color w:val="000000"/>
        </w:rPr>
        <w:t xml:space="preserve">January 23, 2015, Iesha Mull filed with the Pennsylvania Public Utility Commission (Commission) a formal Complaint against Metropolitan Edison Company (Met-Ed or “the Company”), Docket Number F-2015-2466606.  The Complaint was a timely appeal of a decision of the Commission’s Bureau of Consumer Services </w:t>
      </w:r>
      <w:r w:rsidR="00067986">
        <w:rPr>
          <w:bCs/>
          <w:color w:val="000000"/>
        </w:rPr>
        <w:t xml:space="preserve">(BCS) </w:t>
      </w:r>
      <w:r w:rsidR="00061E29">
        <w:rPr>
          <w:bCs/>
          <w:color w:val="000000"/>
        </w:rPr>
        <w:t>at case number 3311504.  In her Complaint, Ms. Mull averred that she would like a payment agreement.  Ms. Mull stated: “they are asking for too much a month for me to afford and they claim there is nothing else they can do for me.  Between rent and all my other bills and taking care of my 6 year old niece full time, I just can’t afford it.”  Ms. Mull request</w:t>
      </w:r>
      <w:r w:rsidR="00461CC2">
        <w:rPr>
          <w:bCs/>
          <w:color w:val="000000"/>
        </w:rPr>
        <w:t>ed</w:t>
      </w:r>
      <w:r w:rsidR="00061E29">
        <w:rPr>
          <w:bCs/>
          <w:color w:val="000000"/>
        </w:rPr>
        <w:t xml:space="preserve"> a payment arrangement of around $100.</w:t>
      </w:r>
    </w:p>
    <w:p w:rsidR="00061E29" w:rsidRDefault="00061E29" w:rsidP="00461CC2">
      <w:pPr>
        <w:widowControl w:val="0"/>
        <w:adjustRightInd w:val="0"/>
        <w:spacing w:line="360" w:lineRule="auto"/>
        <w:ind w:firstLine="1440"/>
        <w:rPr>
          <w:bCs/>
          <w:color w:val="000000"/>
        </w:rPr>
      </w:pPr>
    </w:p>
    <w:p w:rsidR="00067986" w:rsidRDefault="00061E29" w:rsidP="00461CC2">
      <w:pPr>
        <w:widowControl w:val="0"/>
        <w:adjustRightInd w:val="0"/>
        <w:spacing w:line="360" w:lineRule="auto"/>
        <w:ind w:firstLine="1440"/>
        <w:rPr>
          <w:bCs/>
          <w:color w:val="000000"/>
        </w:rPr>
      </w:pPr>
      <w:r>
        <w:rPr>
          <w:bCs/>
          <w:color w:val="000000"/>
        </w:rPr>
        <w:t xml:space="preserve">On </w:t>
      </w:r>
      <w:r w:rsidR="00461CC2">
        <w:rPr>
          <w:bCs/>
          <w:color w:val="000000"/>
        </w:rPr>
        <w:t xml:space="preserve">March 2, 2015, Met-Ed filed an Answer and New Matter in response to Ms. Mull’s Complaint.  In its Answer, Met-Ed admitted or denied the various averments made by Ms. Mull.  In particular, Met-Ed </w:t>
      </w:r>
      <w:r w:rsidR="00067986">
        <w:rPr>
          <w:bCs/>
          <w:color w:val="000000"/>
        </w:rPr>
        <w:t xml:space="preserve">denied that Ms. Mull is eligible for a new or different payment arrangement.  Furthermore, Met-Ed averred that Ms. Mull must pay Met-Ed for the electric service she consumes and Met-Ed has a right to bill and receive payment for the utility service actually supplied.  In its New Matter, which was accompanied by a Notice to Plead, Met-Ed averred that, based upon the information provided by Ms. Mull, </w:t>
      </w:r>
      <w:r w:rsidR="00151E42">
        <w:rPr>
          <w:bCs/>
          <w:color w:val="000000"/>
        </w:rPr>
        <w:t xml:space="preserve">BCS has </w:t>
      </w:r>
      <w:r w:rsidR="00067986">
        <w:rPr>
          <w:bCs/>
          <w:color w:val="000000"/>
        </w:rPr>
        <w:t xml:space="preserve">already provided </w:t>
      </w:r>
      <w:r w:rsidR="00151E42">
        <w:rPr>
          <w:bCs/>
          <w:color w:val="000000"/>
        </w:rPr>
        <w:t xml:space="preserve">Ms. Mull </w:t>
      </w:r>
      <w:r w:rsidR="00067986">
        <w:rPr>
          <w:bCs/>
          <w:color w:val="000000"/>
        </w:rPr>
        <w:t xml:space="preserve">the maximum length of a payment arrangement she can receive and that there is no statutory provision allowing for </w:t>
      </w:r>
      <w:r w:rsidR="00067986">
        <w:rPr>
          <w:bCs/>
          <w:color w:val="000000"/>
        </w:rPr>
        <w:lastRenderedPageBreak/>
        <w:t>a longer repayment period.</w:t>
      </w:r>
    </w:p>
    <w:p w:rsidR="00067986" w:rsidRDefault="00067986" w:rsidP="00461CC2">
      <w:pPr>
        <w:widowControl w:val="0"/>
        <w:adjustRightInd w:val="0"/>
        <w:spacing w:line="360" w:lineRule="auto"/>
        <w:ind w:firstLine="1440"/>
        <w:rPr>
          <w:bCs/>
          <w:color w:val="000000"/>
        </w:rPr>
      </w:pPr>
    </w:p>
    <w:p w:rsidR="00C463DD" w:rsidRDefault="00067986" w:rsidP="00461CC2">
      <w:pPr>
        <w:widowControl w:val="0"/>
        <w:adjustRightInd w:val="0"/>
        <w:spacing w:line="360" w:lineRule="auto"/>
        <w:ind w:firstLine="1440"/>
        <w:rPr>
          <w:bCs/>
          <w:color w:val="000000"/>
        </w:rPr>
      </w:pPr>
      <w:r>
        <w:rPr>
          <w:bCs/>
          <w:color w:val="000000"/>
        </w:rPr>
        <w:t xml:space="preserve">On March 30, 2015, Met-Ed also filed a Motion for Summary Judgment.  The Motion was also accompanied by a Notice to Plead.  In its Motion, Met-Ed argued that </w:t>
      </w:r>
      <w:r w:rsidR="00C463DD">
        <w:rPr>
          <w:bCs/>
          <w:color w:val="000000"/>
        </w:rPr>
        <w:t xml:space="preserve">there is no genuine issue of material </w:t>
      </w:r>
      <w:r w:rsidR="00C73D5D">
        <w:rPr>
          <w:bCs/>
          <w:color w:val="000000"/>
        </w:rPr>
        <w:t>fact</w:t>
      </w:r>
      <w:r w:rsidR="00C463DD">
        <w:rPr>
          <w:bCs/>
          <w:color w:val="000000"/>
        </w:rPr>
        <w:t xml:space="preserve"> and that the Commission cannot grant the relief requested by Ms. Mull for a more favorable payment arrangement and, therefore, the Complaint should be dismissed.  Met-Ed attached to its Motion an Affidavit of Tammy Taylor, a Senior Business Analyst for the Corporate Compliance Department, who testified in the Affidavit that Ms. Mull has already received from BCS a payment arrangement of the maximum length.  Ms. Taylor made this determination based on information that Ms. Mull provided to BCS.  Met-Ed argued, as discussed further below, that the Affidavit demonstrate</w:t>
      </w:r>
      <w:r w:rsidR="00151E42">
        <w:rPr>
          <w:bCs/>
          <w:color w:val="000000"/>
        </w:rPr>
        <w:t>s</w:t>
      </w:r>
      <w:r w:rsidR="00C463DD">
        <w:rPr>
          <w:bCs/>
          <w:color w:val="000000"/>
        </w:rPr>
        <w:t xml:space="preserve"> that Met-Ed has committed no violation of the Public Utility Code or any regulat</w:t>
      </w:r>
      <w:r w:rsidR="00C73D5D">
        <w:rPr>
          <w:bCs/>
          <w:color w:val="000000"/>
        </w:rPr>
        <w:t xml:space="preserve">ion or order of the Commission </w:t>
      </w:r>
      <w:r w:rsidR="00C463DD">
        <w:rPr>
          <w:bCs/>
          <w:color w:val="000000"/>
        </w:rPr>
        <w:t>and that Met-Ed is entitled to relief as a matter of law.</w:t>
      </w:r>
    </w:p>
    <w:p w:rsidR="00EF7594" w:rsidRPr="00EF7594" w:rsidRDefault="00EF7594" w:rsidP="00EF7594">
      <w:pPr>
        <w:widowControl w:val="0"/>
        <w:adjustRightInd w:val="0"/>
        <w:spacing w:line="360" w:lineRule="auto"/>
        <w:ind w:firstLine="1440"/>
        <w:rPr>
          <w:bCs/>
          <w:color w:val="000000"/>
        </w:rPr>
      </w:pPr>
    </w:p>
    <w:p w:rsidR="00EF7594" w:rsidRDefault="004D5C84" w:rsidP="00EF7594">
      <w:pPr>
        <w:widowControl w:val="0"/>
        <w:adjustRightInd w:val="0"/>
        <w:spacing w:line="360" w:lineRule="auto"/>
        <w:ind w:firstLine="1440"/>
        <w:rPr>
          <w:bCs/>
          <w:color w:val="000000"/>
        </w:rPr>
      </w:pPr>
      <w:r w:rsidRPr="00EF7594">
        <w:rPr>
          <w:bCs/>
          <w:color w:val="000000"/>
        </w:rPr>
        <w:t xml:space="preserve">Ms. </w:t>
      </w:r>
      <w:r>
        <w:rPr>
          <w:bCs/>
          <w:color w:val="000000"/>
        </w:rPr>
        <w:t>Mull’s</w:t>
      </w:r>
      <w:r w:rsidRPr="00EF7594">
        <w:rPr>
          <w:bCs/>
          <w:color w:val="000000"/>
        </w:rPr>
        <w:t xml:space="preserve"> Answer to </w:t>
      </w:r>
      <w:proofErr w:type="spellStart"/>
      <w:r>
        <w:rPr>
          <w:bCs/>
          <w:color w:val="000000"/>
        </w:rPr>
        <w:t>Met</w:t>
      </w:r>
      <w:proofErr w:type="spellEnd"/>
      <w:r>
        <w:rPr>
          <w:bCs/>
          <w:color w:val="000000"/>
        </w:rPr>
        <w:t xml:space="preserve">-Ed’s </w:t>
      </w:r>
      <w:r w:rsidRPr="00EF7594">
        <w:rPr>
          <w:bCs/>
          <w:color w:val="000000"/>
        </w:rPr>
        <w:t xml:space="preserve">New Matter was due no later than </w:t>
      </w:r>
      <w:r w:rsidR="00AA37CD">
        <w:rPr>
          <w:bCs/>
          <w:color w:val="000000"/>
        </w:rPr>
        <w:t>March 25, 2015</w:t>
      </w:r>
      <w:r w:rsidRPr="00EF7594">
        <w:rPr>
          <w:bCs/>
          <w:color w:val="000000"/>
        </w:rPr>
        <w:t>.  52 Pa.Code §§ 5.63(a), 1.12(a), 1.56(a</w:t>
      </w:r>
      <w:proofErr w:type="gramStart"/>
      <w:r w:rsidRPr="00EF7594">
        <w:rPr>
          <w:bCs/>
          <w:color w:val="000000"/>
        </w:rPr>
        <w:t>)(</w:t>
      </w:r>
      <w:proofErr w:type="gramEnd"/>
      <w:r w:rsidRPr="00EF7594">
        <w:rPr>
          <w:bCs/>
          <w:color w:val="000000"/>
        </w:rPr>
        <w:t xml:space="preserve">1) and (b).  </w:t>
      </w:r>
      <w:r w:rsidR="00EF7594" w:rsidRPr="00EF7594">
        <w:rPr>
          <w:bCs/>
          <w:color w:val="000000"/>
        </w:rPr>
        <w:t xml:space="preserve">Ms. </w:t>
      </w:r>
      <w:r w:rsidR="00EF7594">
        <w:rPr>
          <w:bCs/>
          <w:color w:val="000000"/>
        </w:rPr>
        <w:t>Mull’s</w:t>
      </w:r>
      <w:r w:rsidR="00EF7594" w:rsidRPr="00EF7594">
        <w:rPr>
          <w:bCs/>
          <w:color w:val="000000"/>
        </w:rPr>
        <w:t xml:space="preserve"> Answer to </w:t>
      </w:r>
      <w:proofErr w:type="spellStart"/>
      <w:r w:rsidR="00EF7594">
        <w:rPr>
          <w:bCs/>
          <w:color w:val="000000"/>
        </w:rPr>
        <w:t>Met</w:t>
      </w:r>
      <w:proofErr w:type="spellEnd"/>
      <w:r w:rsidR="00EF7594">
        <w:rPr>
          <w:bCs/>
          <w:color w:val="000000"/>
        </w:rPr>
        <w:t>-Ed’s</w:t>
      </w:r>
      <w:r w:rsidR="00EF7594" w:rsidRPr="00EF7594">
        <w:rPr>
          <w:bCs/>
          <w:color w:val="000000"/>
        </w:rPr>
        <w:t xml:space="preserve"> </w:t>
      </w:r>
      <w:r w:rsidR="00EF7594">
        <w:rPr>
          <w:bCs/>
          <w:color w:val="000000"/>
        </w:rPr>
        <w:t xml:space="preserve">Motion for Summary Judgement </w:t>
      </w:r>
      <w:r w:rsidR="00EF7594" w:rsidRPr="00EF7594">
        <w:rPr>
          <w:bCs/>
          <w:color w:val="000000"/>
        </w:rPr>
        <w:t xml:space="preserve">was due no later than </w:t>
      </w:r>
      <w:r w:rsidR="00AA37CD">
        <w:rPr>
          <w:bCs/>
          <w:color w:val="000000"/>
        </w:rPr>
        <w:t>April 22, 2015</w:t>
      </w:r>
      <w:r w:rsidR="00EF7594" w:rsidRPr="00EF7594">
        <w:rPr>
          <w:bCs/>
          <w:color w:val="000000"/>
        </w:rPr>
        <w:t>.  52 Pa.Code §§ 5.101(f</w:t>
      </w:r>
      <w:proofErr w:type="gramStart"/>
      <w:r w:rsidR="00EF7594" w:rsidRPr="00EF7594">
        <w:rPr>
          <w:bCs/>
          <w:color w:val="000000"/>
        </w:rPr>
        <w:t>)(</w:t>
      </w:r>
      <w:proofErr w:type="gramEnd"/>
      <w:r w:rsidR="00EF7594" w:rsidRPr="00EF7594">
        <w:rPr>
          <w:bCs/>
          <w:color w:val="000000"/>
        </w:rPr>
        <w:t xml:space="preserve">1), 1.12(a), 1.56(a)(1) and (b).  Ms. </w:t>
      </w:r>
      <w:r>
        <w:rPr>
          <w:bCs/>
          <w:color w:val="000000"/>
        </w:rPr>
        <w:t>Mull</w:t>
      </w:r>
      <w:r w:rsidR="00EF7594" w:rsidRPr="00EF7594">
        <w:rPr>
          <w:bCs/>
          <w:color w:val="000000"/>
        </w:rPr>
        <w:t xml:space="preserve"> filed neither an Answer to </w:t>
      </w:r>
      <w:proofErr w:type="spellStart"/>
      <w:r>
        <w:rPr>
          <w:bCs/>
          <w:color w:val="000000"/>
        </w:rPr>
        <w:t>Met</w:t>
      </w:r>
      <w:proofErr w:type="spellEnd"/>
      <w:r>
        <w:rPr>
          <w:bCs/>
          <w:color w:val="000000"/>
        </w:rPr>
        <w:t xml:space="preserve">-Ed’s Motion </w:t>
      </w:r>
      <w:r w:rsidR="00EF7594" w:rsidRPr="00EF7594">
        <w:rPr>
          <w:bCs/>
          <w:color w:val="000000"/>
        </w:rPr>
        <w:t>nor to its New Matter.</w:t>
      </w:r>
    </w:p>
    <w:p w:rsidR="00EF7594" w:rsidRDefault="00EF7594" w:rsidP="00EF7594">
      <w:pPr>
        <w:widowControl w:val="0"/>
        <w:adjustRightInd w:val="0"/>
        <w:spacing w:line="360" w:lineRule="auto"/>
        <w:ind w:firstLine="1440"/>
        <w:rPr>
          <w:bCs/>
          <w:color w:val="000000"/>
        </w:rPr>
      </w:pPr>
    </w:p>
    <w:p w:rsidR="00EF7594" w:rsidRPr="00EF7594" w:rsidRDefault="00EF7594" w:rsidP="00EF7594">
      <w:pPr>
        <w:widowControl w:val="0"/>
        <w:adjustRightInd w:val="0"/>
        <w:spacing w:line="360" w:lineRule="auto"/>
        <w:ind w:firstLine="1440"/>
        <w:rPr>
          <w:bCs/>
          <w:color w:val="000000"/>
        </w:rPr>
      </w:pPr>
      <w:r>
        <w:rPr>
          <w:bCs/>
          <w:color w:val="000000"/>
        </w:rPr>
        <w:t>On April 15, 2015, the Commission issued a Motion Judge Assignment Notice indicating that I am responsible to resolve any issues which may arise during the preliminary phase of this proceeding.</w:t>
      </w:r>
    </w:p>
    <w:p w:rsidR="00EF7594" w:rsidRPr="00EF7594" w:rsidRDefault="00EF7594" w:rsidP="007228C9">
      <w:pPr>
        <w:pStyle w:val="Style"/>
        <w:spacing w:line="360" w:lineRule="auto"/>
        <w:ind w:firstLine="1440"/>
        <w:rPr>
          <w:bCs/>
          <w:color w:val="000000"/>
        </w:rPr>
      </w:pPr>
    </w:p>
    <w:p w:rsidR="00C0641C" w:rsidRPr="00EF7594" w:rsidRDefault="00EF7594" w:rsidP="007228C9">
      <w:pPr>
        <w:pStyle w:val="Style"/>
        <w:spacing w:line="360" w:lineRule="auto"/>
        <w:ind w:firstLine="1440"/>
        <w:rPr>
          <w:bCs/>
          <w:color w:val="000000"/>
        </w:rPr>
      </w:pPr>
      <w:r w:rsidRPr="00EF7594">
        <w:rPr>
          <w:bCs/>
          <w:color w:val="000000"/>
        </w:rPr>
        <w:t xml:space="preserve">Met-Ed’s </w:t>
      </w:r>
      <w:r w:rsidR="00C0641C" w:rsidRPr="00EF7594">
        <w:rPr>
          <w:bCs/>
          <w:color w:val="000000"/>
        </w:rPr>
        <w:t xml:space="preserve">Motion for Summary Judgment is now ready for disposition.  For the reasons discussed below, </w:t>
      </w:r>
      <w:r w:rsidR="004D5C84">
        <w:rPr>
          <w:bCs/>
          <w:color w:val="000000"/>
        </w:rPr>
        <w:t xml:space="preserve">Met-Ed’s </w:t>
      </w:r>
      <w:r w:rsidR="00C0641C" w:rsidRPr="00EF7594">
        <w:rPr>
          <w:bCs/>
          <w:color w:val="000000"/>
        </w:rPr>
        <w:t xml:space="preserve">Motion will be denied and </w:t>
      </w:r>
      <w:r w:rsidR="00A82D94">
        <w:rPr>
          <w:bCs/>
          <w:color w:val="000000"/>
        </w:rPr>
        <w:t>Ms. Mull’s Complaint will be referred to the Commission’s Mediation Unit for mediation review</w:t>
      </w:r>
      <w:r w:rsidR="00C0641C" w:rsidRPr="00EF7594">
        <w:rPr>
          <w:bCs/>
          <w:color w:val="000000"/>
        </w:rPr>
        <w:t>.</w:t>
      </w:r>
    </w:p>
    <w:p w:rsidR="0009371E" w:rsidRPr="004D5C84" w:rsidRDefault="0009371E" w:rsidP="007228C9">
      <w:pPr>
        <w:pStyle w:val="Style"/>
        <w:spacing w:line="360" w:lineRule="auto"/>
        <w:ind w:firstLine="1440"/>
        <w:rPr>
          <w:bCs/>
          <w:color w:val="000000"/>
        </w:rPr>
      </w:pPr>
    </w:p>
    <w:p w:rsidR="005470E2" w:rsidRPr="004D5C84" w:rsidRDefault="005470E2" w:rsidP="005470E2">
      <w:pPr>
        <w:spacing w:line="360" w:lineRule="auto"/>
        <w:ind w:firstLine="1440"/>
        <w:rPr>
          <w:rFonts w:eastAsia="Calibri"/>
          <w:bCs/>
          <w:color w:val="000000"/>
        </w:rPr>
      </w:pPr>
      <w:r w:rsidRPr="004D5C84">
        <w:rPr>
          <w:color w:val="000000"/>
        </w:rPr>
        <w:lastRenderedPageBreak/>
        <w:t>The Commission’s Rules of Administrative Practice and Procedure, 52 Pa. Code Chapters 1, 3 and 5, provide for the filing of Motions for Summary Judgment.  In particular, Section 5.102 of t</w:t>
      </w:r>
      <w:r w:rsidRPr="004D5C84">
        <w:rPr>
          <w:rFonts w:eastAsia="Calibri"/>
          <w:bCs/>
          <w:color w:val="000000"/>
        </w:rPr>
        <w:t>he Commission’s Rules provides in relevant part:</w:t>
      </w:r>
    </w:p>
    <w:p w:rsidR="005470E2" w:rsidRPr="004D5C84" w:rsidRDefault="005470E2" w:rsidP="005470E2">
      <w:pPr>
        <w:ind w:left="1440" w:right="1440"/>
        <w:rPr>
          <w:rFonts w:eastAsia="Calibri"/>
          <w:b/>
          <w:bCs/>
          <w:color w:val="000000"/>
        </w:rPr>
      </w:pPr>
    </w:p>
    <w:p w:rsidR="005470E2" w:rsidRPr="004D5C84" w:rsidRDefault="005470E2" w:rsidP="005470E2">
      <w:pPr>
        <w:ind w:left="1440" w:right="1440"/>
        <w:rPr>
          <w:rFonts w:eastAsia="Calibri"/>
          <w:b/>
          <w:bCs/>
          <w:color w:val="000000"/>
        </w:rPr>
      </w:pPr>
      <w:r w:rsidRPr="004D5C84">
        <w:rPr>
          <w:rFonts w:eastAsia="Calibri"/>
          <w:b/>
          <w:bCs/>
          <w:color w:val="000000"/>
        </w:rPr>
        <w:t>§ 5.102 Motions for summary judgment and judgment on the pleadings.</w:t>
      </w:r>
    </w:p>
    <w:p w:rsidR="005470E2" w:rsidRPr="004D5C84" w:rsidRDefault="005470E2" w:rsidP="005470E2">
      <w:pPr>
        <w:ind w:left="1440" w:right="1440"/>
        <w:rPr>
          <w:rFonts w:eastAsia="Calibri"/>
          <w:b/>
          <w:bCs/>
          <w:color w:val="000000"/>
        </w:rPr>
      </w:pPr>
    </w:p>
    <w:p w:rsidR="005470E2" w:rsidRPr="004D5C84" w:rsidRDefault="005470E2" w:rsidP="005470E2">
      <w:pPr>
        <w:numPr>
          <w:ilvl w:val="0"/>
          <w:numId w:val="25"/>
        </w:numPr>
        <w:ind w:left="1440" w:right="1440" w:firstLine="0"/>
        <w:rPr>
          <w:rFonts w:eastAsia="Calibri"/>
          <w:bCs/>
          <w:color w:val="000000"/>
        </w:rPr>
      </w:pPr>
      <w:r w:rsidRPr="004D5C84">
        <w:rPr>
          <w:rFonts w:eastAsia="Calibri"/>
          <w:bCs/>
          <w:i/>
          <w:color w:val="000000"/>
        </w:rPr>
        <w:t>Generally</w:t>
      </w:r>
      <w:r w:rsidRPr="004D5C84">
        <w:rPr>
          <w:rFonts w:eastAsia="Calibri"/>
          <w:bCs/>
          <w:color w:val="000000"/>
        </w:rPr>
        <w:t>.  After the pleadings are closed, but within a time so that the hearing is not delayed, a party may move for judgment on the pleadings or summary judgment.  A motion must contain a notice which states that an answer or other responsive pleading shall be filed within 20 days of service of the motion.</w:t>
      </w:r>
    </w:p>
    <w:p w:rsidR="005470E2" w:rsidRPr="004D5C84" w:rsidRDefault="005470E2" w:rsidP="005470E2">
      <w:pPr>
        <w:ind w:left="1440" w:right="1440"/>
        <w:rPr>
          <w:rFonts w:eastAsia="Calibri"/>
          <w:bCs/>
          <w:color w:val="000000"/>
        </w:rPr>
      </w:pPr>
    </w:p>
    <w:p w:rsidR="005470E2" w:rsidRPr="004D5C84" w:rsidRDefault="005470E2" w:rsidP="005470E2">
      <w:pPr>
        <w:ind w:left="1440" w:right="1440"/>
        <w:jc w:val="center"/>
        <w:rPr>
          <w:rFonts w:eastAsia="Calibri"/>
          <w:bCs/>
          <w:color w:val="000000"/>
        </w:rPr>
      </w:pPr>
      <w:r w:rsidRPr="004D5C84">
        <w:rPr>
          <w:rFonts w:eastAsia="Calibri"/>
          <w:bCs/>
          <w:color w:val="000000"/>
        </w:rPr>
        <w:t>* * *</w:t>
      </w:r>
    </w:p>
    <w:p w:rsidR="005470E2" w:rsidRPr="004D5C84" w:rsidRDefault="005470E2" w:rsidP="005470E2">
      <w:pPr>
        <w:ind w:left="1440" w:right="1440"/>
        <w:jc w:val="center"/>
        <w:rPr>
          <w:rFonts w:eastAsia="Calibri"/>
          <w:bCs/>
          <w:color w:val="000000"/>
        </w:rPr>
      </w:pPr>
    </w:p>
    <w:p w:rsidR="005470E2" w:rsidRPr="004D5C84" w:rsidRDefault="005470E2" w:rsidP="005470E2">
      <w:pPr>
        <w:ind w:left="1440" w:right="1440"/>
        <w:rPr>
          <w:rFonts w:eastAsia="Calibri"/>
          <w:bCs/>
          <w:color w:val="000000"/>
        </w:rPr>
      </w:pPr>
      <w:r w:rsidRPr="004D5C84">
        <w:rPr>
          <w:rFonts w:eastAsia="Calibri"/>
          <w:bCs/>
          <w:color w:val="000000"/>
        </w:rPr>
        <w:t xml:space="preserve">(d) </w:t>
      </w:r>
      <w:r w:rsidRPr="004D5C84">
        <w:rPr>
          <w:rFonts w:eastAsia="Calibri"/>
          <w:bCs/>
          <w:color w:val="000000"/>
        </w:rPr>
        <w:tab/>
      </w:r>
      <w:r w:rsidRPr="004D5C84">
        <w:rPr>
          <w:rFonts w:eastAsia="Calibri"/>
          <w:bCs/>
          <w:i/>
          <w:color w:val="000000"/>
        </w:rPr>
        <w:t>Decisions on Motions</w:t>
      </w:r>
      <w:r w:rsidRPr="004D5C84">
        <w:rPr>
          <w:rFonts w:eastAsia="Calibri"/>
          <w:bCs/>
          <w:color w:val="000000"/>
        </w:rPr>
        <w:t>.</w:t>
      </w:r>
    </w:p>
    <w:p w:rsidR="005470E2" w:rsidRPr="004D5C84" w:rsidRDefault="005470E2" w:rsidP="005470E2">
      <w:pPr>
        <w:ind w:left="1440" w:right="1440"/>
        <w:rPr>
          <w:rFonts w:eastAsia="Calibri"/>
          <w:bCs/>
          <w:color w:val="000000"/>
        </w:rPr>
      </w:pPr>
    </w:p>
    <w:p w:rsidR="005470E2" w:rsidRPr="004D5C84" w:rsidRDefault="005470E2" w:rsidP="005470E2">
      <w:pPr>
        <w:numPr>
          <w:ilvl w:val="0"/>
          <w:numId w:val="26"/>
        </w:numPr>
        <w:ind w:left="1440" w:right="1440" w:firstLine="0"/>
        <w:rPr>
          <w:rFonts w:eastAsia="Calibri"/>
          <w:bCs/>
          <w:color w:val="000000"/>
        </w:rPr>
      </w:pPr>
      <w:r w:rsidRPr="004D5C84">
        <w:rPr>
          <w:rFonts w:eastAsia="Calibri"/>
          <w:bCs/>
          <w:i/>
          <w:color w:val="000000"/>
        </w:rPr>
        <w:t>Standard for grant or denial on all counts</w:t>
      </w:r>
      <w:r w:rsidRPr="004D5C84">
        <w:rPr>
          <w:rFonts w:eastAsia="Calibri"/>
          <w:bCs/>
          <w:color w:val="000000"/>
        </w:rPr>
        <w:t>.  The presiding officer will grant or deny a motion for judgment on the pleadings or a motion for summary judgment, as appropriate.  The judgment sought will be rendered if the applicable pleadings, depositions, answers to interrogatories and admissions, together with affidavits, if any, show that there is no genuine issue as to a material fact and that the moving party is entitled to a judgment as a matter of law.</w:t>
      </w:r>
    </w:p>
    <w:p w:rsidR="005470E2" w:rsidRPr="004D5C84" w:rsidRDefault="005470E2" w:rsidP="005470E2">
      <w:pPr>
        <w:ind w:left="1440" w:right="1440"/>
        <w:rPr>
          <w:rFonts w:eastAsia="Calibri"/>
          <w:bCs/>
          <w:color w:val="000000"/>
        </w:rPr>
      </w:pPr>
    </w:p>
    <w:p w:rsidR="005470E2" w:rsidRPr="004D5C84" w:rsidRDefault="005470E2" w:rsidP="005470E2">
      <w:pPr>
        <w:ind w:left="1440" w:right="1440"/>
        <w:rPr>
          <w:rFonts w:eastAsia="Calibri"/>
          <w:bCs/>
          <w:color w:val="000000"/>
        </w:rPr>
      </w:pPr>
      <w:r w:rsidRPr="004D5C84">
        <w:rPr>
          <w:rFonts w:eastAsia="Calibri"/>
          <w:bCs/>
          <w:color w:val="000000"/>
        </w:rPr>
        <w:t xml:space="preserve">(2)  </w:t>
      </w:r>
      <w:r w:rsidRPr="004D5C84">
        <w:rPr>
          <w:rFonts w:eastAsia="Calibri"/>
          <w:bCs/>
          <w:color w:val="000000"/>
        </w:rPr>
        <w:tab/>
      </w:r>
      <w:r w:rsidRPr="004D5C84">
        <w:rPr>
          <w:rFonts w:eastAsia="Calibri"/>
          <w:bCs/>
          <w:i/>
          <w:color w:val="000000"/>
        </w:rPr>
        <w:t>Standard for grant or denial in part</w:t>
      </w:r>
      <w:r w:rsidRPr="004D5C84">
        <w:rPr>
          <w:rFonts w:eastAsia="Calibri"/>
          <w:bCs/>
          <w:color w:val="000000"/>
        </w:rPr>
        <w:t>.  The presiding officer may grant a partial summary judgment if the pleadings, depositions, answers to interrogatories and admissions, together with the affidavits, if any, show that there is no genuine issue as to a material fact and that the moving party is entitled to a judgment as a matter of law on one or more but not all outstanding issues.</w:t>
      </w:r>
    </w:p>
    <w:p w:rsidR="005470E2" w:rsidRPr="004D5C84" w:rsidRDefault="005470E2" w:rsidP="005470E2">
      <w:pPr>
        <w:ind w:left="1440" w:right="1440"/>
        <w:rPr>
          <w:rFonts w:eastAsia="Calibri"/>
          <w:bCs/>
          <w:color w:val="000000"/>
        </w:rPr>
      </w:pPr>
    </w:p>
    <w:p w:rsidR="005470E2" w:rsidRPr="004D5C84" w:rsidRDefault="005470E2" w:rsidP="005470E2">
      <w:pPr>
        <w:spacing w:line="360" w:lineRule="auto"/>
        <w:rPr>
          <w:rFonts w:eastAsia="Calibri"/>
          <w:bCs/>
          <w:color w:val="000000"/>
        </w:rPr>
      </w:pPr>
      <w:r w:rsidRPr="004D5C84">
        <w:rPr>
          <w:rFonts w:eastAsia="Calibri"/>
          <w:bCs/>
          <w:color w:val="000000"/>
        </w:rPr>
        <w:t>52 Pa. Code § 5.102(a), (d</w:t>
      </w:r>
      <w:proofErr w:type="gramStart"/>
      <w:r w:rsidRPr="004D5C84">
        <w:rPr>
          <w:rFonts w:eastAsia="Calibri"/>
          <w:bCs/>
          <w:color w:val="000000"/>
        </w:rPr>
        <w:t>)(</w:t>
      </w:r>
      <w:proofErr w:type="gramEnd"/>
      <w:r w:rsidRPr="004D5C84">
        <w:rPr>
          <w:rFonts w:eastAsia="Calibri"/>
          <w:bCs/>
          <w:color w:val="000000"/>
        </w:rPr>
        <w:t xml:space="preserve">1) and (d)(2).  </w:t>
      </w:r>
      <w:r w:rsidR="000B07F1" w:rsidRPr="004D5C84">
        <w:rPr>
          <w:snapToGrid w:val="0"/>
        </w:rPr>
        <w:t>When disposing of a Motion for Summary Judgment</w:t>
      </w:r>
      <w:r w:rsidRPr="004D5C84">
        <w:rPr>
          <w:snapToGrid w:val="0"/>
        </w:rPr>
        <w:t xml:space="preserve">, the record must be examined in the light most favorable to the nonmoving party.  </w:t>
      </w:r>
      <w:r w:rsidRPr="004D5C84">
        <w:rPr>
          <w:snapToGrid w:val="0"/>
          <w:u w:val="single"/>
        </w:rPr>
        <w:t>First Mortgage Co. of Pennsylvania v. McCall</w:t>
      </w:r>
      <w:r w:rsidRPr="004D5C84">
        <w:rPr>
          <w:snapToGrid w:val="0"/>
        </w:rPr>
        <w:t xml:space="preserve">, 313 Pa. Superior Ct. 54, 56, 459 A.2d 406, 408 (1983).  To avoid the motion for summary judgment, the nonmoving party must set forth facts showing that there is a genuine issue for trial.  </w:t>
      </w:r>
      <w:r w:rsidRPr="004D5C84">
        <w:rPr>
          <w:snapToGrid w:val="0"/>
          <w:u w:val="single"/>
        </w:rPr>
        <w:t>Id</w:t>
      </w:r>
      <w:r w:rsidRPr="004D5C84">
        <w:rPr>
          <w:snapToGrid w:val="0"/>
        </w:rPr>
        <w:t>. at 58-59.</w:t>
      </w:r>
    </w:p>
    <w:p w:rsidR="005470E2" w:rsidRPr="004D5C84" w:rsidRDefault="005470E2" w:rsidP="005470E2">
      <w:pPr>
        <w:spacing w:line="360" w:lineRule="auto"/>
        <w:ind w:firstLine="1440"/>
        <w:rPr>
          <w:snapToGrid w:val="0"/>
        </w:rPr>
      </w:pPr>
    </w:p>
    <w:p w:rsidR="004D3208" w:rsidRDefault="005470E2" w:rsidP="005470E2">
      <w:pPr>
        <w:pStyle w:val="Style"/>
        <w:spacing w:line="360" w:lineRule="auto"/>
        <w:ind w:firstLine="1440"/>
        <w:rPr>
          <w:snapToGrid w:val="0"/>
        </w:rPr>
      </w:pPr>
      <w:r w:rsidRPr="004D5C84">
        <w:rPr>
          <w:snapToGrid w:val="0"/>
        </w:rPr>
        <w:lastRenderedPageBreak/>
        <w:t>In this case</w:t>
      </w:r>
      <w:r w:rsidR="004D5C84">
        <w:rPr>
          <w:snapToGrid w:val="0"/>
        </w:rPr>
        <w:t xml:space="preserve">, Ms. Mull stated in her Complaint </w:t>
      </w:r>
      <w:r w:rsidR="00151E42">
        <w:rPr>
          <w:snapToGrid w:val="0"/>
        </w:rPr>
        <w:t xml:space="preserve">that she cannot afford the payment arrangement that she has been provided along with all of her other financial responsibilities.  </w:t>
      </w:r>
      <w:r w:rsidR="00725338">
        <w:rPr>
          <w:snapToGrid w:val="0"/>
        </w:rPr>
        <w:t xml:space="preserve">Ms. Mull also stated in her Complaint that “between rent and all of my other bills plus taking care of my 6 year old niece full time, I just can’t afford it.”  </w:t>
      </w:r>
      <w:r w:rsidR="00151E42">
        <w:rPr>
          <w:snapToGrid w:val="0"/>
        </w:rPr>
        <w:t xml:space="preserve">Ms. Mull requested a payment arrangement of approximately $100 per month.  In response, Met-Ed </w:t>
      </w:r>
      <w:r w:rsidR="004D3208">
        <w:rPr>
          <w:snapToGrid w:val="0"/>
        </w:rPr>
        <w:t>argued that Ms. Mull is already receiving the maximum length of payment arrangement that can be afforded as set forth in the Public Utility Code</w:t>
      </w:r>
      <w:r w:rsidR="00F15DC9">
        <w:rPr>
          <w:snapToGrid w:val="0"/>
        </w:rPr>
        <w:t xml:space="preserve"> – five years – and </w:t>
      </w:r>
      <w:r w:rsidR="004D3208">
        <w:rPr>
          <w:snapToGrid w:val="0"/>
        </w:rPr>
        <w:t>that there is no statutory provision allowing for a longer period.  Met-Ed, therefore, argued that the Commission cannot grant the relief requested – a more favorable (i.e., longer) payment arrangement.</w:t>
      </w:r>
    </w:p>
    <w:p w:rsidR="004D3208" w:rsidRDefault="004D3208" w:rsidP="005470E2">
      <w:pPr>
        <w:pStyle w:val="Style"/>
        <w:spacing w:line="360" w:lineRule="auto"/>
        <w:ind w:firstLine="1440"/>
        <w:rPr>
          <w:snapToGrid w:val="0"/>
        </w:rPr>
      </w:pPr>
    </w:p>
    <w:p w:rsidR="002360E7" w:rsidRDefault="002360E7" w:rsidP="002360E7">
      <w:pPr>
        <w:autoSpaceDE/>
        <w:autoSpaceDN/>
        <w:spacing w:line="360" w:lineRule="auto"/>
        <w:ind w:firstLine="1440"/>
        <w:rPr>
          <w:rFonts w:eastAsiaTheme="minorHAnsi"/>
        </w:rPr>
      </w:pPr>
      <w:r>
        <w:rPr>
          <w:rFonts w:eastAsiaTheme="minorHAnsi"/>
        </w:rPr>
        <w:t xml:space="preserve">To begin, </w:t>
      </w:r>
      <w:r w:rsidRPr="002360E7">
        <w:rPr>
          <w:rFonts w:eastAsiaTheme="minorHAnsi"/>
        </w:rPr>
        <w:t>Chapter 14</w:t>
      </w:r>
      <w:r>
        <w:rPr>
          <w:rFonts w:eastAsiaTheme="minorHAnsi"/>
        </w:rPr>
        <w:t xml:space="preserve"> of the Public Utility Code </w:t>
      </w:r>
      <w:r w:rsidRPr="002360E7">
        <w:rPr>
          <w:rFonts w:eastAsiaTheme="minorHAnsi"/>
        </w:rPr>
        <w:t xml:space="preserve">grants the Commission the authority to establish a payment agreement for customers with outstanding bills pursuant to certain guidelines related to total household income and household size.  </w:t>
      </w:r>
      <w:proofErr w:type="gramStart"/>
      <w:r w:rsidRPr="002360E7">
        <w:rPr>
          <w:rFonts w:eastAsiaTheme="minorHAnsi"/>
        </w:rPr>
        <w:t xml:space="preserve">66 </w:t>
      </w:r>
      <w:proofErr w:type="spellStart"/>
      <w:r w:rsidRPr="002360E7">
        <w:rPr>
          <w:rFonts w:eastAsiaTheme="minorHAnsi"/>
        </w:rPr>
        <w:t>Pa.C.S</w:t>
      </w:r>
      <w:proofErr w:type="spellEnd"/>
      <w:r w:rsidRPr="002360E7">
        <w:rPr>
          <w:rFonts w:eastAsiaTheme="minorHAnsi"/>
        </w:rPr>
        <w:t>.</w:t>
      </w:r>
      <w:proofErr w:type="gramEnd"/>
      <w:r w:rsidRPr="002360E7">
        <w:rPr>
          <w:rFonts w:eastAsiaTheme="minorHAnsi"/>
        </w:rPr>
        <w:t xml:space="preserve"> § 1405(b).  Chapter 14 limits the length of time the Commission can order a company to allow a customer to resolve an unpaid balance on an account that is subject to a payment agreement based on the gross monthly household income in relation to the federal poverty level.  For example, the Commission may order a company to allow a customer whose gross monthly household income does not exceed 150% of the federal poverty level a payment </w:t>
      </w:r>
      <w:r w:rsidRPr="002360E7">
        <w:rPr>
          <w:spacing w:val="-3"/>
        </w:rPr>
        <w:t xml:space="preserve">agreement </w:t>
      </w:r>
      <w:r w:rsidRPr="002360E7">
        <w:rPr>
          <w:rFonts w:eastAsiaTheme="minorHAnsi"/>
        </w:rPr>
        <w:t xml:space="preserve">over a period of up to five (5) years.  </w:t>
      </w:r>
      <w:proofErr w:type="gramStart"/>
      <w:r w:rsidRPr="002360E7">
        <w:rPr>
          <w:rFonts w:eastAsiaTheme="minorHAnsi"/>
        </w:rPr>
        <w:t xml:space="preserve">66 </w:t>
      </w:r>
      <w:proofErr w:type="spellStart"/>
      <w:r w:rsidRPr="002360E7">
        <w:rPr>
          <w:rFonts w:eastAsiaTheme="minorHAnsi"/>
        </w:rPr>
        <w:t>Pa.C.S</w:t>
      </w:r>
      <w:proofErr w:type="spellEnd"/>
      <w:r w:rsidRPr="002360E7">
        <w:rPr>
          <w:rFonts w:eastAsiaTheme="minorHAnsi"/>
        </w:rPr>
        <w:t>.</w:t>
      </w:r>
      <w:proofErr w:type="gramEnd"/>
      <w:r w:rsidRPr="002360E7">
        <w:rPr>
          <w:rFonts w:eastAsiaTheme="minorHAnsi"/>
        </w:rPr>
        <w:t xml:space="preserve"> § 1405(b</w:t>
      </w:r>
      <w:proofErr w:type="gramStart"/>
      <w:r w:rsidRPr="002360E7">
        <w:rPr>
          <w:rFonts w:eastAsiaTheme="minorHAnsi"/>
        </w:rPr>
        <w:t>)(</w:t>
      </w:r>
      <w:proofErr w:type="gramEnd"/>
      <w:r w:rsidRPr="002360E7">
        <w:rPr>
          <w:rFonts w:eastAsiaTheme="minorHAnsi"/>
        </w:rPr>
        <w:t xml:space="preserve">1).  Furthermore, the Commission’s ability to order a utility to provide a payment agreement is limited to requiring a utility to provide only one payment agreement to a customer, absent a change in income or a significant change in circumstance.  </w:t>
      </w:r>
      <w:proofErr w:type="gramStart"/>
      <w:r w:rsidRPr="002360E7">
        <w:rPr>
          <w:rFonts w:eastAsiaTheme="minorHAnsi"/>
        </w:rPr>
        <w:t xml:space="preserve">66 </w:t>
      </w:r>
      <w:proofErr w:type="spellStart"/>
      <w:r w:rsidRPr="002360E7">
        <w:rPr>
          <w:rFonts w:eastAsiaTheme="minorHAnsi"/>
        </w:rPr>
        <w:t>Pa.C.S</w:t>
      </w:r>
      <w:proofErr w:type="spellEnd"/>
      <w:r w:rsidRPr="002360E7">
        <w:rPr>
          <w:rFonts w:eastAsiaTheme="minorHAnsi"/>
        </w:rPr>
        <w:t>.</w:t>
      </w:r>
      <w:proofErr w:type="gramEnd"/>
      <w:r w:rsidRPr="002360E7">
        <w:rPr>
          <w:rFonts w:eastAsiaTheme="minorHAnsi"/>
        </w:rPr>
        <w:t xml:space="preserve"> </w:t>
      </w:r>
      <w:proofErr w:type="gramStart"/>
      <w:r w:rsidRPr="002360E7">
        <w:rPr>
          <w:rFonts w:eastAsiaTheme="minorHAnsi"/>
        </w:rPr>
        <w:t>§ 1405(d).</w:t>
      </w:r>
      <w:proofErr w:type="gramEnd"/>
    </w:p>
    <w:p w:rsidR="00C73D5D" w:rsidRDefault="00C73D5D" w:rsidP="002360E7">
      <w:pPr>
        <w:autoSpaceDE/>
        <w:autoSpaceDN/>
        <w:spacing w:line="360" w:lineRule="auto"/>
        <w:ind w:firstLine="1440"/>
        <w:rPr>
          <w:rFonts w:eastAsiaTheme="minorHAnsi"/>
        </w:rPr>
      </w:pPr>
    </w:p>
    <w:p w:rsidR="00C73D5D" w:rsidRPr="00C73D5D" w:rsidRDefault="00F15DC9" w:rsidP="002360E7">
      <w:pPr>
        <w:autoSpaceDE/>
        <w:autoSpaceDN/>
        <w:spacing w:line="360" w:lineRule="auto"/>
        <w:ind w:firstLine="1440"/>
        <w:rPr>
          <w:rFonts w:eastAsiaTheme="minorHAnsi"/>
        </w:rPr>
      </w:pPr>
      <w:r>
        <w:rPr>
          <w:rFonts w:eastAsiaTheme="minorHAnsi"/>
        </w:rPr>
        <w:t>W</w:t>
      </w:r>
      <w:r w:rsidR="00CF1A77">
        <w:rPr>
          <w:rFonts w:eastAsiaTheme="minorHAnsi"/>
        </w:rPr>
        <w:t xml:space="preserve">hen viewing the Complaint in the light most favorable to Ms. Mull, it appears that </w:t>
      </w:r>
      <w:r w:rsidR="00725338">
        <w:rPr>
          <w:rFonts w:eastAsiaTheme="minorHAnsi"/>
        </w:rPr>
        <w:t xml:space="preserve">Ms. Mull’s Complaint pertains to more than just her payment arrangement but also raises issues regarding the care of her niece.  For example, her care for her niece may invoke the Commission’s medical certification regulations if her niece is seriously ill or affected with a medical condition which </w:t>
      </w:r>
      <w:r w:rsidR="00CF1A77">
        <w:rPr>
          <w:rFonts w:eastAsiaTheme="minorHAnsi"/>
        </w:rPr>
        <w:t xml:space="preserve">will be aggravated by a cessation </w:t>
      </w:r>
      <w:r w:rsidR="00725338">
        <w:rPr>
          <w:rFonts w:eastAsiaTheme="minorHAnsi"/>
        </w:rPr>
        <w:t xml:space="preserve">of electric service.  </w:t>
      </w:r>
      <w:r w:rsidR="00725338" w:rsidRPr="00725338">
        <w:rPr>
          <w:rFonts w:eastAsiaTheme="minorHAnsi"/>
          <w:i/>
        </w:rPr>
        <w:t>See</w:t>
      </w:r>
      <w:r w:rsidR="00725338">
        <w:rPr>
          <w:rFonts w:eastAsiaTheme="minorHAnsi"/>
        </w:rPr>
        <w:t xml:space="preserve">, 52 Pa.Code §§ 56.112-56.114.  Ms. Mull’s Complaint should not be </w:t>
      </w:r>
      <w:r w:rsidR="00725338">
        <w:rPr>
          <w:rFonts w:eastAsiaTheme="minorHAnsi"/>
        </w:rPr>
        <w:lastRenderedPageBreak/>
        <w:t>dismissed on a preliminary basis but she should be given an opportunity to orally explain her Complaint</w:t>
      </w:r>
      <w:r>
        <w:rPr>
          <w:rFonts w:eastAsiaTheme="minorHAnsi"/>
        </w:rPr>
        <w:t>, particularly with regard to the care of her niece</w:t>
      </w:r>
      <w:r w:rsidR="00725338">
        <w:rPr>
          <w:rFonts w:eastAsiaTheme="minorHAnsi"/>
        </w:rPr>
        <w:t>.</w:t>
      </w:r>
    </w:p>
    <w:p w:rsidR="002360E7" w:rsidRDefault="002360E7" w:rsidP="002360E7">
      <w:pPr>
        <w:autoSpaceDE/>
        <w:autoSpaceDN/>
        <w:spacing w:line="360" w:lineRule="auto"/>
        <w:ind w:firstLine="1440"/>
        <w:rPr>
          <w:rFonts w:eastAsiaTheme="minorHAnsi"/>
        </w:rPr>
      </w:pPr>
    </w:p>
    <w:p w:rsidR="004D5C84" w:rsidRDefault="002360E7" w:rsidP="001C3077">
      <w:pPr>
        <w:autoSpaceDE/>
        <w:autoSpaceDN/>
        <w:spacing w:line="360" w:lineRule="auto"/>
        <w:ind w:firstLine="1440"/>
        <w:rPr>
          <w:snapToGrid w:val="0"/>
        </w:rPr>
      </w:pPr>
      <w:r>
        <w:rPr>
          <w:rFonts w:eastAsiaTheme="minorHAnsi"/>
        </w:rPr>
        <w:t xml:space="preserve">As a result, </w:t>
      </w:r>
      <w:r w:rsidR="0024075E">
        <w:rPr>
          <w:snapToGrid w:val="0"/>
        </w:rPr>
        <w:t>Met-Ed’s Motion for Summary Judgment will be denied because</w:t>
      </w:r>
      <w:r w:rsidR="00C73D5D">
        <w:rPr>
          <w:snapToGrid w:val="0"/>
        </w:rPr>
        <w:t xml:space="preserve"> Ms. Mull averred in her Complaint that </w:t>
      </w:r>
      <w:r w:rsidR="00725338">
        <w:rPr>
          <w:snapToGrid w:val="0"/>
        </w:rPr>
        <w:t>she would like a payment agreement because</w:t>
      </w:r>
      <w:r w:rsidR="00CF1A77">
        <w:rPr>
          <w:snapToGrid w:val="0"/>
        </w:rPr>
        <w:t>, among other things,</w:t>
      </w:r>
      <w:r w:rsidR="00725338">
        <w:rPr>
          <w:snapToGrid w:val="0"/>
        </w:rPr>
        <w:t xml:space="preserve"> she is taking </w:t>
      </w:r>
      <w:r w:rsidR="00F15DC9">
        <w:rPr>
          <w:snapToGrid w:val="0"/>
        </w:rPr>
        <w:t>care of her six year old niece.</w:t>
      </w:r>
      <w:r w:rsidR="00725338">
        <w:rPr>
          <w:snapToGrid w:val="0"/>
        </w:rPr>
        <w:t xml:space="preserve">  Based on this </w:t>
      </w:r>
      <w:r w:rsidR="0024075E">
        <w:rPr>
          <w:snapToGrid w:val="0"/>
        </w:rPr>
        <w:t>av</w:t>
      </w:r>
      <w:r w:rsidR="00725338">
        <w:rPr>
          <w:snapToGrid w:val="0"/>
        </w:rPr>
        <w:t>erment</w:t>
      </w:r>
      <w:r w:rsidR="0024075E">
        <w:rPr>
          <w:snapToGrid w:val="0"/>
        </w:rPr>
        <w:t xml:space="preserve">, there </w:t>
      </w:r>
      <w:r w:rsidR="00725338">
        <w:rPr>
          <w:snapToGrid w:val="0"/>
        </w:rPr>
        <w:t xml:space="preserve">is </w:t>
      </w:r>
      <w:r w:rsidR="0024075E">
        <w:rPr>
          <w:snapToGrid w:val="0"/>
        </w:rPr>
        <w:t>genuine issue of material fact that warrant</w:t>
      </w:r>
      <w:r w:rsidR="00725338">
        <w:rPr>
          <w:snapToGrid w:val="0"/>
        </w:rPr>
        <w:t>s</w:t>
      </w:r>
      <w:r w:rsidR="0024075E">
        <w:rPr>
          <w:snapToGrid w:val="0"/>
        </w:rPr>
        <w:t xml:space="preserve"> </w:t>
      </w:r>
      <w:r w:rsidR="00C73D5D">
        <w:rPr>
          <w:snapToGrid w:val="0"/>
        </w:rPr>
        <w:t>denying Met-Ed’s Motion for Summary Judgment</w:t>
      </w:r>
      <w:r w:rsidR="0024075E">
        <w:rPr>
          <w:snapToGrid w:val="0"/>
        </w:rPr>
        <w:t xml:space="preserve">.  </w:t>
      </w:r>
      <w:r w:rsidR="00C73D5D">
        <w:rPr>
          <w:snapToGrid w:val="0"/>
        </w:rPr>
        <w:t xml:space="preserve">Ms. Mull is advised, however, that </w:t>
      </w:r>
      <w:r w:rsidR="00CF1A77">
        <w:rPr>
          <w:snapToGrid w:val="0"/>
        </w:rPr>
        <w:t xml:space="preserve">Met-Ed is correct that </w:t>
      </w:r>
      <w:r w:rsidR="00C73D5D">
        <w:rPr>
          <w:snapToGrid w:val="0"/>
        </w:rPr>
        <w:t xml:space="preserve">Chapter 14 does not allow for payment agreements longer than five years.  Furthermore, a payment agreement following a hearing could result in a shorter payment agreement if it is determined that </w:t>
      </w:r>
      <w:r w:rsidR="00BF56BD">
        <w:rPr>
          <w:snapToGrid w:val="0"/>
        </w:rPr>
        <w:t xml:space="preserve">Ms. Mull’s household income and size limit </w:t>
      </w:r>
      <w:r w:rsidR="00F15DC9">
        <w:rPr>
          <w:snapToGrid w:val="0"/>
        </w:rPr>
        <w:t xml:space="preserve">the length of </w:t>
      </w:r>
      <w:r w:rsidR="00BF56BD">
        <w:rPr>
          <w:snapToGrid w:val="0"/>
        </w:rPr>
        <w:t xml:space="preserve">a payment agreement </w:t>
      </w:r>
      <w:r w:rsidR="00F15DC9">
        <w:rPr>
          <w:snapToGrid w:val="0"/>
        </w:rPr>
        <w:t xml:space="preserve">the Commission can order </w:t>
      </w:r>
      <w:r w:rsidR="00BF56BD">
        <w:rPr>
          <w:snapToGrid w:val="0"/>
        </w:rPr>
        <w:t xml:space="preserve">to a shorter amount of time.  </w:t>
      </w:r>
      <w:r w:rsidR="00CF1A77">
        <w:rPr>
          <w:snapToGrid w:val="0"/>
        </w:rPr>
        <w:t xml:space="preserve">Ms. Mull is also advised that </w:t>
      </w:r>
      <w:r w:rsidR="00BF56BD">
        <w:rPr>
          <w:snapToGrid w:val="0"/>
        </w:rPr>
        <w:t xml:space="preserve">Chapter 14 does not consider a consumer’s expenses when establishing the length of a payment agreement.  </w:t>
      </w:r>
      <w:r w:rsidR="00CF1A77">
        <w:rPr>
          <w:snapToGrid w:val="0"/>
        </w:rPr>
        <w:t>Yet, Ms. Mull will be given an opportunity to be heard orally because</w:t>
      </w:r>
      <w:r w:rsidR="0024075E">
        <w:rPr>
          <w:snapToGrid w:val="0"/>
        </w:rPr>
        <w:t xml:space="preserve">, when examined in a light most favorable to Ms. Mull, as is required when disposing of Met-Ed’s Motion, a genuine issue of material fact exists </w:t>
      </w:r>
      <w:r w:rsidR="00CF1A77">
        <w:rPr>
          <w:snapToGrid w:val="0"/>
        </w:rPr>
        <w:t xml:space="preserve">regarding the care of her niece </w:t>
      </w:r>
      <w:r w:rsidR="0024075E">
        <w:rPr>
          <w:snapToGrid w:val="0"/>
        </w:rPr>
        <w:t xml:space="preserve">that warrants a hearing </w:t>
      </w:r>
      <w:r w:rsidR="00BF56BD">
        <w:rPr>
          <w:snapToGrid w:val="0"/>
        </w:rPr>
        <w:t>and Met-Ed’s Motion be denied.</w:t>
      </w:r>
    </w:p>
    <w:p w:rsidR="004D5C84" w:rsidRDefault="004D5C84" w:rsidP="005470E2">
      <w:pPr>
        <w:pStyle w:val="Style"/>
        <w:spacing w:line="360" w:lineRule="auto"/>
        <w:ind w:firstLine="1440"/>
        <w:rPr>
          <w:snapToGrid w:val="0"/>
        </w:rPr>
      </w:pPr>
    </w:p>
    <w:p w:rsidR="008044A3" w:rsidRDefault="008044A3" w:rsidP="008044A3">
      <w:pPr>
        <w:pStyle w:val="Style"/>
        <w:spacing w:line="360" w:lineRule="auto"/>
        <w:ind w:firstLine="1440"/>
        <w:rPr>
          <w:color w:val="000000"/>
        </w:rPr>
      </w:pPr>
      <w:r>
        <w:rPr>
          <w:color w:val="000000"/>
        </w:rPr>
        <w:t>I</w:t>
      </w:r>
      <w:r>
        <w:t xml:space="preserve">t is also relevant that Ms. Mull is not represented by counsel.  </w:t>
      </w:r>
      <w:r>
        <w:rPr>
          <w:color w:val="000000"/>
        </w:rPr>
        <w:t xml:space="preserve">Commission precedent supports allowing unrepresented complainants an opportunity to be heard orally, and not have their case dismissed on the basis of a preliminary pleading.  </w:t>
      </w:r>
      <w:r>
        <w:rPr>
          <w:i/>
          <w:color w:val="000000"/>
        </w:rPr>
        <w:t>See</w:t>
      </w:r>
      <w:r>
        <w:rPr>
          <w:color w:val="000000"/>
        </w:rPr>
        <w:t xml:space="preserve">, </w:t>
      </w:r>
      <w:r w:rsidRPr="00571F41">
        <w:rPr>
          <w:color w:val="000000"/>
          <w:u w:val="single"/>
        </w:rPr>
        <w:t xml:space="preserve">Richard </w:t>
      </w:r>
      <w:proofErr w:type="spellStart"/>
      <w:r w:rsidRPr="00571F41">
        <w:rPr>
          <w:color w:val="000000"/>
          <w:u w:val="single"/>
        </w:rPr>
        <w:t>Carlock</w:t>
      </w:r>
      <w:proofErr w:type="spellEnd"/>
      <w:r w:rsidRPr="00571F41">
        <w:rPr>
          <w:color w:val="000000"/>
          <w:u w:val="single"/>
        </w:rPr>
        <w:t xml:space="preserve"> v</w:t>
      </w:r>
      <w:r w:rsidRPr="00476CF0">
        <w:rPr>
          <w:color w:val="000000"/>
          <w:u w:val="single"/>
        </w:rPr>
        <w:t xml:space="preserve">. </w:t>
      </w:r>
      <w:r>
        <w:rPr>
          <w:color w:val="000000"/>
          <w:u w:val="single"/>
        </w:rPr>
        <w:t>The United Telephone Company of Pennsylvania</w:t>
      </w:r>
      <w:r>
        <w:rPr>
          <w:color w:val="000000"/>
        </w:rPr>
        <w:t>, Docket No. F-00163617, Order (entered July 14, 1993)(</w:t>
      </w:r>
      <w:proofErr w:type="spellStart"/>
      <w:r>
        <w:rPr>
          <w:color w:val="000000"/>
          <w:u w:val="single"/>
        </w:rPr>
        <w:t>Carlock</w:t>
      </w:r>
      <w:proofErr w:type="spellEnd"/>
      <w:r>
        <w:rPr>
          <w:color w:val="000000"/>
        </w:rPr>
        <w:t xml:space="preserve">)(in many cases unrepresented complainants can explain their dispute orally much better than they can communicate their grievance in written form and to deny unrepresented complainants a meaningful opportunity to be heard in such cases can be viewed as a gross abuse of authority) at 7, </w:t>
      </w:r>
      <w:r>
        <w:rPr>
          <w:i/>
          <w:color w:val="000000"/>
        </w:rPr>
        <w:t>citing</w:t>
      </w:r>
      <w:r>
        <w:rPr>
          <w:color w:val="000000"/>
        </w:rPr>
        <w:t xml:space="preserve">, </w:t>
      </w:r>
      <w:r>
        <w:rPr>
          <w:color w:val="000000"/>
          <w:u w:val="single"/>
        </w:rPr>
        <w:t>Halpern v. The Bell Telephone Company of Pennsylvania</w:t>
      </w:r>
      <w:r>
        <w:rPr>
          <w:color w:val="000000"/>
        </w:rPr>
        <w:t xml:space="preserve">, Docket No. C-00923950, Order (entered October 1992) and </w:t>
      </w:r>
      <w:r>
        <w:rPr>
          <w:color w:val="000000"/>
          <w:u w:val="single"/>
        </w:rPr>
        <w:t xml:space="preserve">William </w:t>
      </w:r>
      <w:proofErr w:type="spellStart"/>
      <w:r>
        <w:rPr>
          <w:color w:val="000000"/>
          <w:u w:val="single"/>
        </w:rPr>
        <w:t>Schleisher</w:t>
      </w:r>
      <w:proofErr w:type="spellEnd"/>
      <w:r>
        <w:rPr>
          <w:color w:val="000000"/>
          <w:u w:val="single"/>
        </w:rPr>
        <w:t xml:space="preserve"> v. The Bell Telephone Company of Pennsylvania</w:t>
      </w:r>
      <w:r>
        <w:rPr>
          <w:color w:val="000000"/>
        </w:rPr>
        <w:t xml:space="preserve">, Docket No. </w:t>
      </w:r>
      <w:proofErr w:type="gramStart"/>
      <w:r>
        <w:rPr>
          <w:color w:val="000000"/>
        </w:rPr>
        <w:t xml:space="preserve">F-00161252 (adopted at Public Meeting December 17, 1992); </w:t>
      </w:r>
      <w:r>
        <w:rPr>
          <w:i/>
          <w:color w:val="000000"/>
        </w:rPr>
        <w:t>see also</w:t>
      </w:r>
      <w:r>
        <w:rPr>
          <w:color w:val="000000"/>
        </w:rPr>
        <w:t xml:space="preserve">, </w:t>
      </w:r>
      <w:r>
        <w:rPr>
          <w:color w:val="000000"/>
          <w:u w:val="single"/>
        </w:rPr>
        <w:t>John M. Gera v. PPL Electric Utilities Corporation</w:t>
      </w:r>
      <w:r>
        <w:rPr>
          <w:color w:val="000000"/>
        </w:rPr>
        <w:t xml:space="preserve">, </w:t>
      </w:r>
      <w:r>
        <w:rPr>
          <w:color w:val="000000"/>
        </w:rPr>
        <w:lastRenderedPageBreak/>
        <w:t>Docket No.</w:t>
      </w:r>
      <w:proofErr w:type="gramEnd"/>
      <w:r>
        <w:rPr>
          <w:color w:val="000000"/>
        </w:rPr>
        <w:t xml:space="preserve"> C-20054657, Opinion and Order (entered November 2, 2005).</w:t>
      </w:r>
      <w:r>
        <w:rPr>
          <w:rStyle w:val="FootnoteReference"/>
          <w:color w:val="000000"/>
        </w:rPr>
        <w:footnoteReference w:id="1"/>
      </w:r>
      <w:r>
        <w:rPr>
          <w:color w:val="000000"/>
        </w:rPr>
        <w:t xml:space="preserve">  </w:t>
      </w:r>
      <w:r w:rsidR="00BF56BD">
        <w:rPr>
          <w:color w:val="000000"/>
        </w:rPr>
        <w:t>It may be, for example, that Ms. Mull could demonstrate orally an issue affecting her electric service from Met-Ed</w:t>
      </w:r>
      <w:r w:rsidR="00725338">
        <w:rPr>
          <w:color w:val="000000"/>
        </w:rPr>
        <w:t xml:space="preserve">, such as </w:t>
      </w:r>
      <w:r w:rsidR="00BF56BD">
        <w:rPr>
          <w:color w:val="000000"/>
        </w:rPr>
        <w:t>taking care of her niece full time</w:t>
      </w:r>
      <w:r w:rsidR="00F15DC9">
        <w:rPr>
          <w:color w:val="000000"/>
        </w:rPr>
        <w:t>,</w:t>
      </w:r>
      <w:r w:rsidR="00CF1A77">
        <w:rPr>
          <w:color w:val="000000"/>
        </w:rPr>
        <w:t xml:space="preserve"> that she could not explain in response to </w:t>
      </w:r>
      <w:proofErr w:type="spellStart"/>
      <w:r w:rsidR="00CF1A77">
        <w:rPr>
          <w:color w:val="000000"/>
        </w:rPr>
        <w:t>Met</w:t>
      </w:r>
      <w:proofErr w:type="spellEnd"/>
      <w:r w:rsidR="00CF1A77">
        <w:rPr>
          <w:color w:val="000000"/>
        </w:rPr>
        <w:t xml:space="preserve">-Ed’s Motion.  </w:t>
      </w:r>
      <w:proofErr w:type="spellStart"/>
      <w:r>
        <w:rPr>
          <w:color w:val="000000"/>
          <w:u w:val="single"/>
        </w:rPr>
        <w:t>Carlock</w:t>
      </w:r>
      <w:proofErr w:type="spellEnd"/>
      <w:r>
        <w:rPr>
          <w:color w:val="000000"/>
        </w:rPr>
        <w:t>, therefore, supports denying Met-Ed’s Motion and giving Ms. Mull an opportunity to be heard orally regarding her Complaint.</w:t>
      </w:r>
    </w:p>
    <w:p w:rsidR="0024075E" w:rsidRDefault="0024075E" w:rsidP="008044A3">
      <w:pPr>
        <w:pStyle w:val="Style"/>
        <w:spacing w:line="360" w:lineRule="auto"/>
        <w:ind w:firstLine="1440"/>
        <w:rPr>
          <w:color w:val="000000"/>
        </w:rPr>
      </w:pPr>
    </w:p>
    <w:p w:rsidR="00A10AFA" w:rsidRPr="00A82D94" w:rsidRDefault="0024075E" w:rsidP="00A82D94">
      <w:pPr>
        <w:pStyle w:val="Style"/>
        <w:spacing w:line="360" w:lineRule="auto"/>
        <w:ind w:firstLine="1440"/>
        <w:rPr>
          <w:rFonts w:eastAsiaTheme="minorEastAsia"/>
        </w:rPr>
      </w:pPr>
      <w:r w:rsidRPr="0024075E">
        <w:rPr>
          <w:color w:val="000000"/>
        </w:rPr>
        <w:t xml:space="preserve">As noted above, the standard for granting a Motion for Summary Judgment is very high.  </w:t>
      </w:r>
      <w:r w:rsidR="00FD13D4" w:rsidRPr="0024075E">
        <w:t>Summary Judgment may only be granted in those cases where the record clearly shows that there are no genuine issues of material fact and that the moving party is entitled to judgment as a matter of law when viewing the record in the light most favorable to the nonmoving party</w:t>
      </w:r>
      <w:r w:rsidRPr="0024075E">
        <w:t xml:space="preserve">.  Met-Ed </w:t>
      </w:r>
      <w:r w:rsidR="00FD13D4" w:rsidRPr="0024075E">
        <w:t xml:space="preserve">has failed to satisfy this standard with regard to </w:t>
      </w:r>
      <w:r w:rsidRPr="0024075E">
        <w:t xml:space="preserve">Ms. Mull’s </w:t>
      </w:r>
      <w:r w:rsidR="00FD13D4" w:rsidRPr="0024075E">
        <w:t xml:space="preserve">Complaint.  Genuine issues of material facts exist that require a hearing and cannot be dismissed on a preliminary basis.  </w:t>
      </w:r>
      <w:r w:rsidR="00A82D94" w:rsidRPr="00A82D94">
        <w:rPr>
          <w:rFonts w:eastAsiaTheme="minorEastAsia"/>
        </w:rPr>
        <w:t xml:space="preserve">In this case, </w:t>
      </w:r>
      <w:r w:rsidR="00A82D94">
        <w:rPr>
          <w:rFonts w:eastAsiaTheme="minorEastAsia"/>
        </w:rPr>
        <w:t xml:space="preserve">Ms. Mull’s </w:t>
      </w:r>
      <w:r w:rsidR="00A82D94" w:rsidRPr="00A82D94">
        <w:rPr>
          <w:rFonts w:eastAsiaTheme="minorEastAsia"/>
        </w:rPr>
        <w:t>Complaint will be referred to the Commission’s Mediation Unit for mediation review prior to being sent to a hearing.</w:t>
      </w:r>
    </w:p>
    <w:p w:rsidR="00A10AFA" w:rsidRPr="004774A5" w:rsidRDefault="00A10AFA" w:rsidP="00A10AFA">
      <w:pPr>
        <w:pStyle w:val="Style"/>
        <w:spacing w:line="360" w:lineRule="auto"/>
        <w:ind w:firstLine="1440"/>
        <w:rPr>
          <w:bCs/>
          <w:color w:val="000000"/>
        </w:rPr>
      </w:pPr>
    </w:p>
    <w:p w:rsidR="00CD604F" w:rsidRPr="004774A5" w:rsidRDefault="0024075E" w:rsidP="00CD604F">
      <w:pPr>
        <w:widowControl w:val="0"/>
        <w:adjustRightInd w:val="0"/>
        <w:spacing w:line="360" w:lineRule="auto"/>
        <w:ind w:firstLine="1440"/>
        <w:rPr>
          <w:color w:val="000000"/>
        </w:rPr>
      </w:pPr>
      <w:r w:rsidRPr="004774A5">
        <w:rPr>
          <w:color w:val="000000"/>
        </w:rPr>
        <w:t xml:space="preserve">Ms. Mull </w:t>
      </w:r>
      <w:r w:rsidR="00CD604F" w:rsidRPr="004774A5">
        <w:rPr>
          <w:color w:val="000000"/>
        </w:rPr>
        <w:t xml:space="preserve">is advised, however, that a hearing on </w:t>
      </w:r>
      <w:r w:rsidRPr="004774A5">
        <w:rPr>
          <w:color w:val="000000"/>
        </w:rPr>
        <w:t xml:space="preserve">her </w:t>
      </w:r>
      <w:r w:rsidR="00CD604F" w:rsidRPr="004774A5">
        <w:rPr>
          <w:color w:val="000000"/>
        </w:rPr>
        <w:t xml:space="preserve">Complaint will require </w:t>
      </w:r>
      <w:r w:rsidRPr="004774A5">
        <w:rPr>
          <w:color w:val="000000"/>
        </w:rPr>
        <w:t xml:space="preserve">her </w:t>
      </w:r>
      <w:r w:rsidR="00CD604F" w:rsidRPr="004774A5">
        <w:rPr>
          <w:color w:val="000000"/>
        </w:rPr>
        <w:t xml:space="preserve">to carry </w:t>
      </w:r>
      <w:r w:rsidRPr="004774A5">
        <w:rPr>
          <w:color w:val="000000"/>
        </w:rPr>
        <w:t xml:space="preserve">her </w:t>
      </w:r>
      <w:r w:rsidR="00CD604F" w:rsidRPr="004774A5">
        <w:rPr>
          <w:color w:val="000000"/>
        </w:rPr>
        <w:t xml:space="preserve">burden of proof by a preponderance of the evidence and that all decisions of the Commission must be supported by substantial evidence.  This is a different standard of review than when addressing </w:t>
      </w:r>
      <w:r w:rsidR="000E133E" w:rsidRPr="004774A5">
        <w:rPr>
          <w:color w:val="000000"/>
        </w:rPr>
        <w:t>a Motion for Summary Judgment</w:t>
      </w:r>
      <w:r w:rsidR="00CD604F" w:rsidRPr="004774A5">
        <w:rPr>
          <w:color w:val="000000"/>
        </w:rPr>
        <w:t xml:space="preserve">.  </w:t>
      </w:r>
      <w:r w:rsidR="00BF56BD">
        <w:rPr>
          <w:color w:val="000000"/>
        </w:rPr>
        <w:t xml:space="preserve">Ms. Mull is further advised that the Commission does not have the authority to order a utility to provide a payment arrangement longer than five years and that she may be given a shorter payment agreement depending on the record developed during a hearing.  </w:t>
      </w:r>
      <w:r w:rsidR="00CD604F" w:rsidRPr="004774A5">
        <w:rPr>
          <w:color w:val="000000"/>
        </w:rPr>
        <w:t xml:space="preserve">Nonetheless, </w:t>
      </w:r>
      <w:r w:rsidR="004774A5" w:rsidRPr="004774A5">
        <w:rPr>
          <w:color w:val="000000"/>
        </w:rPr>
        <w:t xml:space="preserve">Ms. Mull </w:t>
      </w:r>
      <w:r w:rsidR="00CD604F" w:rsidRPr="004774A5">
        <w:rPr>
          <w:color w:val="000000"/>
        </w:rPr>
        <w:t xml:space="preserve">is entitled to have </w:t>
      </w:r>
      <w:r w:rsidR="004774A5" w:rsidRPr="004774A5">
        <w:rPr>
          <w:color w:val="000000"/>
        </w:rPr>
        <w:t xml:space="preserve">her </w:t>
      </w:r>
      <w:r w:rsidR="00CD604F" w:rsidRPr="004774A5">
        <w:rPr>
          <w:color w:val="000000"/>
        </w:rPr>
        <w:t>Complaint heard and not be dismissed as a result of a Motion for Summary Judgment.</w:t>
      </w:r>
      <w:r w:rsidR="00A82D94">
        <w:rPr>
          <w:color w:val="000000"/>
        </w:rPr>
        <w:t xml:space="preserve">  Ms. Mull’s Complaint will be referred to the Commission’s Mediation Unit for mediation review.</w:t>
      </w:r>
    </w:p>
    <w:p w:rsidR="00CD604F" w:rsidRPr="004774A5" w:rsidRDefault="00CD604F" w:rsidP="00CD604F">
      <w:pPr>
        <w:widowControl w:val="0"/>
        <w:adjustRightInd w:val="0"/>
        <w:spacing w:line="360" w:lineRule="auto"/>
        <w:ind w:firstLine="1440"/>
        <w:rPr>
          <w:color w:val="000000"/>
        </w:rPr>
      </w:pPr>
    </w:p>
    <w:p w:rsidR="00CF1A77" w:rsidRDefault="00CF1A77" w:rsidP="00FA0DC0">
      <w:pPr>
        <w:spacing w:line="360" w:lineRule="auto"/>
        <w:jc w:val="center"/>
        <w:rPr>
          <w:u w:val="single"/>
        </w:rPr>
      </w:pPr>
    </w:p>
    <w:p w:rsidR="00AA5A3B" w:rsidRPr="002E04C4" w:rsidRDefault="00FA0DC0" w:rsidP="00FA0DC0">
      <w:pPr>
        <w:spacing w:line="360" w:lineRule="auto"/>
        <w:jc w:val="center"/>
      </w:pPr>
      <w:r w:rsidRPr="002E04C4">
        <w:rPr>
          <w:u w:val="single"/>
        </w:rPr>
        <w:lastRenderedPageBreak/>
        <w:t>ORDER</w:t>
      </w:r>
    </w:p>
    <w:p w:rsidR="005E7BB9" w:rsidRPr="002E04C4" w:rsidRDefault="005E7BB9" w:rsidP="00E93D93">
      <w:pPr>
        <w:spacing w:line="360" w:lineRule="auto"/>
      </w:pPr>
    </w:p>
    <w:p w:rsidR="006D33B5" w:rsidRPr="002E04C4" w:rsidRDefault="006D33B5">
      <w:pPr>
        <w:spacing w:line="360" w:lineRule="auto"/>
        <w:ind w:firstLine="1440"/>
        <w:rPr>
          <w:bCs/>
        </w:rPr>
      </w:pPr>
      <w:r w:rsidRPr="002E04C4">
        <w:rPr>
          <w:bCs/>
        </w:rPr>
        <w:t>THEREFORE,</w:t>
      </w:r>
    </w:p>
    <w:p w:rsidR="006D33B5" w:rsidRPr="002E04C4" w:rsidRDefault="006D33B5">
      <w:pPr>
        <w:spacing w:line="360" w:lineRule="auto"/>
        <w:ind w:firstLine="1440"/>
      </w:pPr>
    </w:p>
    <w:p w:rsidR="0013770C" w:rsidRPr="002E04C4" w:rsidRDefault="006D33B5" w:rsidP="0013770C">
      <w:pPr>
        <w:spacing w:line="360" w:lineRule="auto"/>
        <w:ind w:firstLine="1440"/>
        <w:rPr>
          <w:bCs/>
        </w:rPr>
      </w:pPr>
      <w:r w:rsidRPr="002E04C4">
        <w:rPr>
          <w:bCs/>
        </w:rPr>
        <w:t>IT IS ORDERED:</w:t>
      </w:r>
    </w:p>
    <w:p w:rsidR="0013770C" w:rsidRPr="002E04C4" w:rsidRDefault="0013770C" w:rsidP="0013770C">
      <w:pPr>
        <w:spacing w:line="360" w:lineRule="auto"/>
        <w:ind w:firstLine="1440"/>
        <w:rPr>
          <w:bCs/>
        </w:rPr>
      </w:pPr>
    </w:p>
    <w:p w:rsidR="000E133E" w:rsidRPr="002E04C4" w:rsidRDefault="009011DC" w:rsidP="002E04C4">
      <w:pPr>
        <w:numPr>
          <w:ilvl w:val="0"/>
          <w:numId w:val="24"/>
        </w:numPr>
        <w:tabs>
          <w:tab w:val="left" w:pos="-720"/>
        </w:tabs>
        <w:suppressAutoHyphens/>
        <w:autoSpaceDE/>
        <w:autoSpaceDN/>
        <w:spacing w:after="200" w:line="360" w:lineRule="auto"/>
        <w:ind w:left="0" w:firstLine="1440"/>
        <w:rPr>
          <w:spacing w:val="-3"/>
        </w:rPr>
      </w:pPr>
      <w:r w:rsidRPr="002E04C4">
        <w:rPr>
          <w:spacing w:val="-3"/>
        </w:rPr>
        <w:t xml:space="preserve">That the </w:t>
      </w:r>
      <w:r w:rsidR="005470E2" w:rsidRPr="002E04C4">
        <w:rPr>
          <w:spacing w:val="-3"/>
        </w:rPr>
        <w:t>Motion for Summary Judgment</w:t>
      </w:r>
      <w:r w:rsidRPr="002E04C4">
        <w:rPr>
          <w:spacing w:val="-3"/>
        </w:rPr>
        <w:t xml:space="preserve"> filed by </w:t>
      </w:r>
      <w:r w:rsidR="002E04C4">
        <w:rPr>
          <w:bCs/>
          <w:color w:val="000000"/>
        </w:rPr>
        <w:t xml:space="preserve">Metropolitan Edison Company </w:t>
      </w:r>
      <w:r w:rsidRPr="002E04C4">
        <w:rPr>
          <w:spacing w:val="-3"/>
        </w:rPr>
        <w:t>at Docket Number F-201</w:t>
      </w:r>
      <w:r w:rsidR="002E04C4">
        <w:rPr>
          <w:spacing w:val="-3"/>
        </w:rPr>
        <w:t xml:space="preserve">5-2466606 </w:t>
      </w:r>
      <w:r w:rsidRPr="002E04C4">
        <w:rPr>
          <w:spacing w:val="-3"/>
        </w:rPr>
        <w:t xml:space="preserve">on </w:t>
      </w:r>
      <w:r w:rsidR="002E04C4">
        <w:rPr>
          <w:spacing w:val="-3"/>
        </w:rPr>
        <w:t xml:space="preserve">March 30, 2015 </w:t>
      </w:r>
      <w:r w:rsidR="005470E2" w:rsidRPr="002E04C4">
        <w:rPr>
          <w:spacing w:val="-3"/>
        </w:rPr>
        <w:t xml:space="preserve">is </w:t>
      </w:r>
      <w:r w:rsidRPr="002E04C4">
        <w:rPr>
          <w:spacing w:val="-3"/>
        </w:rPr>
        <w:t>hereby denied.</w:t>
      </w:r>
    </w:p>
    <w:p w:rsidR="009011DC" w:rsidRPr="002E04C4" w:rsidRDefault="009011DC" w:rsidP="009011DC">
      <w:pPr>
        <w:tabs>
          <w:tab w:val="left" w:pos="-720"/>
        </w:tabs>
        <w:suppressAutoHyphens/>
        <w:spacing w:line="360" w:lineRule="auto"/>
        <w:ind w:left="1440"/>
        <w:rPr>
          <w:spacing w:val="-3"/>
        </w:rPr>
      </w:pPr>
    </w:p>
    <w:p w:rsidR="009011DC" w:rsidRPr="00A82D94" w:rsidRDefault="00A82D94" w:rsidP="00A82D94">
      <w:pPr>
        <w:numPr>
          <w:ilvl w:val="0"/>
          <w:numId w:val="24"/>
        </w:numPr>
        <w:tabs>
          <w:tab w:val="left" w:pos="-720"/>
        </w:tabs>
        <w:suppressAutoHyphens/>
        <w:spacing w:line="360" w:lineRule="auto"/>
        <w:ind w:left="0" w:firstLine="1440"/>
        <w:rPr>
          <w:spacing w:val="-3"/>
        </w:rPr>
      </w:pPr>
      <w:r w:rsidRPr="00E13F7F">
        <w:rPr>
          <w:spacing w:val="-3"/>
        </w:rPr>
        <w:t xml:space="preserve">That the </w:t>
      </w:r>
      <w:r>
        <w:rPr>
          <w:spacing w:val="-3"/>
        </w:rPr>
        <w:t>formal Complaint</w:t>
      </w:r>
      <w:r w:rsidRPr="00E13F7F">
        <w:rPr>
          <w:spacing w:val="-3"/>
        </w:rPr>
        <w:t xml:space="preserve"> filed by </w:t>
      </w:r>
      <w:r>
        <w:rPr>
          <w:spacing w:val="-3"/>
        </w:rPr>
        <w:t xml:space="preserve">Iesha Mull </w:t>
      </w:r>
      <w:r w:rsidRPr="00E13F7F">
        <w:rPr>
          <w:spacing w:val="-3"/>
        </w:rPr>
        <w:t xml:space="preserve">against </w:t>
      </w:r>
      <w:r>
        <w:rPr>
          <w:bCs/>
          <w:color w:val="000000"/>
        </w:rPr>
        <w:t xml:space="preserve">Metropolitan Edison </w:t>
      </w:r>
      <w:r w:rsidRPr="00E13F7F">
        <w:rPr>
          <w:spacing w:val="-3"/>
        </w:rPr>
        <w:t xml:space="preserve">Company </w:t>
      </w:r>
      <w:r>
        <w:rPr>
          <w:spacing w:val="-3"/>
        </w:rPr>
        <w:t xml:space="preserve">dated January 23, 2015 is </w:t>
      </w:r>
      <w:r w:rsidRPr="00E13F7F">
        <w:rPr>
          <w:spacing w:val="-3"/>
        </w:rPr>
        <w:t>referred to the Commission’s Mediation Unit for mediation review consis</w:t>
      </w:r>
      <w:r>
        <w:rPr>
          <w:spacing w:val="-3"/>
        </w:rPr>
        <w:t>tent with the above discussion</w:t>
      </w:r>
      <w:r w:rsidR="009011DC" w:rsidRPr="00A82D94">
        <w:rPr>
          <w:spacing w:val="-3"/>
        </w:rPr>
        <w:t>.</w:t>
      </w:r>
    </w:p>
    <w:p w:rsidR="00860410" w:rsidRPr="002E04C4" w:rsidRDefault="00860410" w:rsidP="00860410">
      <w:pPr>
        <w:pStyle w:val="ListParagraph"/>
      </w:pPr>
    </w:p>
    <w:p w:rsidR="00C773A3" w:rsidRPr="00700B9E" w:rsidRDefault="00C773A3" w:rsidP="00444E27"/>
    <w:p w:rsidR="00444E27" w:rsidRPr="00550B34" w:rsidRDefault="00444E27" w:rsidP="00444E27"/>
    <w:p w:rsidR="00897507" w:rsidRPr="00550B34" w:rsidRDefault="00444E27" w:rsidP="00897507">
      <w:pPr>
        <w:rPr>
          <w:u w:val="single"/>
        </w:rPr>
      </w:pPr>
      <w:r w:rsidRPr="00550B34">
        <w:t xml:space="preserve">Date: </w:t>
      </w:r>
      <w:r w:rsidR="00CF1A77">
        <w:rPr>
          <w:u w:val="single"/>
        </w:rPr>
        <w:t>May 4</w:t>
      </w:r>
      <w:r w:rsidR="00E41299" w:rsidRPr="008A0C3C">
        <w:rPr>
          <w:u w:val="single"/>
        </w:rPr>
        <w:t>,</w:t>
      </w:r>
      <w:r w:rsidR="00E41299">
        <w:rPr>
          <w:u w:val="single"/>
        </w:rPr>
        <w:t xml:space="preserve"> 2015</w:t>
      </w:r>
      <w:r w:rsidRPr="00550B34">
        <w:tab/>
      </w:r>
      <w:r w:rsidRPr="00550B34">
        <w:tab/>
      </w:r>
      <w:r w:rsidR="00CD604F">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p>
    <w:p w:rsidR="00444E27" w:rsidRPr="00550B34" w:rsidRDefault="00897507" w:rsidP="00444E27">
      <w:r w:rsidRPr="00550B34">
        <w:tab/>
      </w:r>
      <w:r w:rsidRPr="00550B34">
        <w:tab/>
      </w:r>
      <w:r w:rsidRPr="00550B34">
        <w:tab/>
      </w:r>
      <w:r w:rsidRPr="00550B34">
        <w:tab/>
      </w:r>
      <w:r w:rsidRPr="00550B34">
        <w:tab/>
      </w:r>
      <w:r w:rsidR="0062545F" w:rsidRPr="00550B34">
        <w:t xml:space="preserve">Joel H. Cheskis </w:t>
      </w:r>
    </w:p>
    <w:p w:rsidR="00444E27" w:rsidRDefault="00444E27" w:rsidP="00444E27">
      <w:r w:rsidRPr="00550B34">
        <w:tab/>
      </w:r>
      <w:r w:rsidRPr="00550B34">
        <w:tab/>
      </w:r>
      <w:r w:rsidRPr="00550B34">
        <w:tab/>
      </w:r>
      <w:r w:rsidRPr="00550B34">
        <w:tab/>
      </w:r>
      <w:r w:rsidRPr="00550B34">
        <w:tab/>
        <w:t>Administrative Law Judge</w:t>
      </w:r>
    </w:p>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444E27"/>
    <w:p w:rsidR="00E17A6F" w:rsidRDefault="00E17A6F" w:rsidP="00E17A6F">
      <w:pPr>
        <w:contextualSpacing/>
      </w:pPr>
      <w:r>
        <w:rPr>
          <w:rFonts w:ascii="Microsoft Sans Serif"/>
          <w:b/>
          <w:u w:val="single"/>
        </w:rPr>
        <w:lastRenderedPageBreak/>
        <w:t>F-2015-2466606 - IESHA MULL v. METROPOLITAN EDISON COMPANY</w:t>
      </w:r>
      <w:r>
        <w:rPr>
          <w:rFonts w:ascii="Microsoft Sans Serif"/>
          <w:b/>
          <w:u w:val="single"/>
        </w:rPr>
        <w:cr/>
      </w:r>
      <w:r>
        <w:rPr>
          <w:rFonts w:ascii="Microsoft Sans Serif"/>
        </w:rPr>
        <w:cr/>
        <w:t>IESHA MULL</w:t>
      </w:r>
      <w:r>
        <w:rPr>
          <w:rFonts w:ascii="Microsoft Sans Serif"/>
        </w:rPr>
        <w:cr/>
        <w:t>777 COURT ST APT # 606</w:t>
      </w:r>
      <w:r>
        <w:rPr>
          <w:rFonts w:ascii="Microsoft Sans Serif"/>
        </w:rPr>
        <w:cr/>
        <w:t>READING PA  19602</w:t>
      </w:r>
      <w:r>
        <w:rPr>
          <w:rFonts w:ascii="Microsoft Sans Serif"/>
        </w:rPr>
        <w:cr/>
        <w:t>484.338.3485</w:t>
      </w:r>
      <w:r>
        <w:rPr>
          <w:rFonts w:ascii="Microsoft Sans Serif"/>
        </w:rPr>
        <w:cr/>
      </w:r>
    </w:p>
    <w:p w:rsidR="00E17A6F" w:rsidRPr="00FA4826" w:rsidRDefault="00E17A6F" w:rsidP="00E17A6F">
      <w:pPr>
        <w:contextualSpacing/>
        <w:rPr>
          <w:b/>
          <w:i/>
          <w:u w:val="single"/>
        </w:rPr>
      </w:pPr>
      <w:r>
        <w:rPr>
          <w:rFonts w:ascii="Microsoft Sans Serif"/>
        </w:rPr>
        <w:t>TORI L GIESLER ESQUIRE</w:t>
      </w:r>
      <w:r>
        <w:rPr>
          <w:rFonts w:ascii="Microsoft Sans Serif"/>
        </w:rPr>
        <w:cr/>
        <w:t>FIRSTENERGY</w:t>
      </w:r>
      <w:r>
        <w:rPr>
          <w:rFonts w:ascii="Microsoft Sans Serif"/>
        </w:rPr>
        <w:cr/>
        <w:t>2800 POTTSVILLE PIKE</w:t>
      </w:r>
      <w:r>
        <w:rPr>
          <w:rFonts w:ascii="Microsoft Sans Serif"/>
        </w:rPr>
        <w:cr/>
        <w:t>PO BOX 16001</w:t>
      </w:r>
      <w:r>
        <w:rPr>
          <w:rFonts w:ascii="Microsoft Sans Serif"/>
        </w:rPr>
        <w:cr/>
        <w:t>READING PA  19612-6001</w:t>
      </w:r>
      <w:r>
        <w:rPr>
          <w:rFonts w:ascii="Microsoft Sans Serif"/>
        </w:rPr>
        <w:cr/>
        <w:t>610.921.6658</w:t>
      </w:r>
      <w:r>
        <w:rPr>
          <w:rFonts w:ascii="Microsoft Sans Serif"/>
        </w:rPr>
        <w:cr/>
      </w:r>
      <w:r>
        <w:rPr>
          <w:rFonts w:ascii="Microsoft Sans Serif"/>
          <w:b/>
          <w:i/>
          <w:u w:val="single"/>
        </w:rPr>
        <w:t>-ACCEPTS ELECTRONIC SERVICE-</w:t>
      </w:r>
    </w:p>
    <w:p w:rsidR="00E17A6F" w:rsidRPr="00550B34" w:rsidRDefault="00E17A6F" w:rsidP="00444E27"/>
    <w:sectPr w:rsidR="00E17A6F" w:rsidRPr="00550B34" w:rsidSect="00713D64">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26" w:rsidRDefault="00573C26">
      <w:r>
        <w:separator/>
      </w:r>
    </w:p>
  </w:endnote>
  <w:endnote w:type="continuationSeparator" w:id="0">
    <w:p w:rsidR="00573C26" w:rsidRDefault="0057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E17A6F">
      <w:rPr>
        <w:rStyle w:val="PageNumber"/>
        <w:noProof/>
        <w:sz w:val="23"/>
        <w:szCs w:val="23"/>
      </w:rPr>
      <w:t>2</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26" w:rsidRDefault="00573C26">
      <w:r>
        <w:separator/>
      </w:r>
    </w:p>
  </w:footnote>
  <w:footnote w:type="continuationSeparator" w:id="0">
    <w:p w:rsidR="00573C26" w:rsidRDefault="00573C26">
      <w:r>
        <w:continuationSeparator/>
      </w:r>
    </w:p>
  </w:footnote>
  <w:footnote w:id="1">
    <w:p w:rsidR="008044A3" w:rsidRPr="005B33EB" w:rsidRDefault="008044A3" w:rsidP="008044A3">
      <w:pPr>
        <w:pStyle w:val="Style"/>
        <w:rPr>
          <w:color w:val="000000"/>
          <w:sz w:val="20"/>
          <w:szCs w:val="20"/>
        </w:rPr>
      </w:pPr>
      <w:r w:rsidRPr="005B33EB">
        <w:rPr>
          <w:rStyle w:val="FootnoteReference"/>
          <w:sz w:val="20"/>
          <w:szCs w:val="20"/>
        </w:rPr>
        <w:footnoteRef/>
      </w:r>
      <w:r w:rsidRPr="005B33EB">
        <w:rPr>
          <w:sz w:val="20"/>
          <w:szCs w:val="20"/>
        </w:rPr>
        <w:t xml:space="preserve"> </w:t>
      </w:r>
      <w:r w:rsidRPr="005B33EB">
        <w:rPr>
          <w:sz w:val="20"/>
          <w:szCs w:val="20"/>
        </w:rPr>
        <w:tab/>
      </w:r>
      <w:r w:rsidRPr="005B33EB">
        <w:rPr>
          <w:color w:val="000000"/>
          <w:sz w:val="20"/>
          <w:szCs w:val="20"/>
        </w:rPr>
        <w:t xml:space="preserve">The Commission’s decision in </w:t>
      </w:r>
      <w:proofErr w:type="spellStart"/>
      <w:r w:rsidRPr="005B33EB">
        <w:rPr>
          <w:color w:val="000000"/>
          <w:sz w:val="20"/>
          <w:szCs w:val="20"/>
          <w:u w:val="single"/>
        </w:rPr>
        <w:t>Carlock</w:t>
      </w:r>
      <w:proofErr w:type="spellEnd"/>
      <w:r w:rsidRPr="005B33EB">
        <w:rPr>
          <w:color w:val="000000"/>
          <w:sz w:val="20"/>
          <w:szCs w:val="20"/>
        </w:rPr>
        <w:t xml:space="preserve"> was subsequently clarified to allow ALJ’s the discretion to dispose of the pleadings in a proceeding provided that the action is </w:t>
      </w:r>
      <w:r>
        <w:rPr>
          <w:color w:val="000000"/>
          <w:sz w:val="20"/>
          <w:szCs w:val="20"/>
        </w:rPr>
        <w:t>neither</w:t>
      </w:r>
      <w:r w:rsidRPr="005B33EB">
        <w:rPr>
          <w:color w:val="000000"/>
          <w:sz w:val="20"/>
          <w:szCs w:val="20"/>
        </w:rPr>
        <w:t xml:space="preserve"> arbitrary nor capricious, and that it is in accordance with the law.  </w:t>
      </w:r>
      <w:r w:rsidRPr="005B33EB">
        <w:rPr>
          <w:color w:val="000000"/>
          <w:sz w:val="20"/>
          <w:szCs w:val="20"/>
          <w:u w:val="single"/>
        </w:rPr>
        <w:t>John A. Graham Jr. v. Philadelphia Suburban Water Company and Bell Atlantic-Pennsylvania, Inc.</w:t>
      </w:r>
      <w:r w:rsidRPr="005B33EB">
        <w:rPr>
          <w:color w:val="000000"/>
          <w:sz w:val="20"/>
          <w:szCs w:val="20"/>
        </w:rPr>
        <w:t xml:space="preserve">, Docket No. C-00957557, Opinion and Order (entered June 12, 1996). </w:t>
      </w:r>
    </w:p>
    <w:p w:rsidR="008044A3" w:rsidRDefault="008044A3" w:rsidP="008044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0"/>
  </w:num>
  <w:num w:numId="5">
    <w:abstractNumId w:val="5"/>
  </w:num>
  <w:num w:numId="6">
    <w:abstractNumId w:val="25"/>
  </w:num>
  <w:num w:numId="7">
    <w:abstractNumId w:val="1"/>
  </w:num>
  <w:num w:numId="8">
    <w:abstractNumId w:val="15"/>
  </w:num>
  <w:num w:numId="9">
    <w:abstractNumId w:val="9"/>
  </w:num>
  <w:num w:numId="10">
    <w:abstractNumId w:val="24"/>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2"/>
  </w:num>
  <w:num w:numId="22">
    <w:abstractNumId w:val="8"/>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53F8"/>
    <w:rsid w:val="00031CED"/>
    <w:rsid w:val="00033858"/>
    <w:rsid w:val="00037E8B"/>
    <w:rsid w:val="00040542"/>
    <w:rsid w:val="000447F9"/>
    <w:rsid w:val="00045479"/>
    <w:rsid w:val="00050489"/>
    <w:rsid w:val="00050AF1"/>
    <w:rsid w:val="00054540"/>
    <w:rsid w:val="00054A10"/>
    <w:rsid w:val="00055FCB"/>
    <w:rsid w:val="00060BB1"/>
    <w:rsid w:val="00061E29"/>
    <w:rsid w:val="000629B2"/>
    <w:rsid w:val="00063F87"/>
    <w:rsid w:val="00067986"/>
    <w:rsid w:val="00071CA9"/>
    <w:rsid w:val="00073240"/>
    <w:rsid w:val="00080E54"/>
    <w:rsid w:val="00081A6A"/>
    <w:rsid w:val="0008210E"/>
    <w:rsid w:val="000851FC"/>
    <w:rsid w:val="000878EC"/>
    <w:rsid w:val="00092274"/>
    <w:rsid w:val="0009371E"/>
    <w:rsid w:val="000A1610"/>
    <w:rsid w:val="000A248E"/>
    <w:rsid w:val="000A74A8"/>
    <w:rsid w:val="000B07F1"/>
    <w:rsid w:val="000B27E2"/>
    <w:rsid w:val="000B2BD1"/>
    <w:rsid w:val="000B6D6C"/>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1711"/>
    <w:rsid w:val="00132928"/>
    <w:rsid w:val="00133F23"/>
    <w:rsid w:val="0013576E"/>
    <w:rsid w:val="00135EAF"/>
    <w:rsid w:val="0013770C"/>
    <w:rsid w:val="00140883"/>
    <w:rsid w:val="00141DCE"/>
    <w:rsid w:val="00142EE0"/>
    <w:rsid w:val="00143290"/>
    <w:rsid w:val="001441F9"/>
    <w:rsid w:val="00144EB5"/>
    <w:rsid w:val="00151E42"/>
    <w:rsid w:val="00153529"/>
    <w:rsid w:val="001547B2"/>
    <w:rsid w:val="001611E5"/>
    <w:rsid w:val="001714A2"/>
    <w:rsid w:val="001733BB"/>
    <w:rsid w:val="001767DF"/>
    <w:rsid w:val="00180A87"/>
    <w:rsid w:val="00181BAB"/>
    <w:rsid w:val="00182ECA"/>
    <w:rsid w:val="00183FF0"/>
    <w:rsid w:val="00185A9D"/>
    <w:rsid w:val="001860A1"/>
    <w:rsid w:val="00187495"/>
    <w:rsid w:val="00187940"/>
    <w:rsid w:val="001900E6"/>
    <w:rsid w:val="00190843"/>
    <w:rsid w:val="00192A66"/>
    <w:rsid w:val="00193F4C"/>
    <w:rsid w:val="0019509B"/>
    <w:rsid w:val="00197B84"/>
    <w:rsid w:val="001A1495"/>
    <w:rsid w:val="001A397D"/>
    <w:rsid w:val="001A62B0"/>
    <w:rsid w:val="001B596F"/>
    <w:rsid w:val="001B6119"/>
    <w:rsid w:val="001B7656"/>
    <w:rsid w:val="001C23B6"/>
    <w:rsid w:val="001C3077"/>
    <w:rsid w:val="001C4B7B"/>
    <w:rsid w:val="001C7376"/>
    <w:rsid w:val="001C7DC7"/>
    <w:rsid w:val="001C7E2F"/>
    <w:rsid w:val="001D0606"/>
    <w:rsid w:val="001D1D69"/>
    <w:rsid w:val="001D36BC"/>
    <w:rsid w:val="001D3DDB"/>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2F51"/>
    <w:rsid w:val="0025436A"/>
    <w:rsid w:val="0026329B"/>
    <w:rsid w:val="002636A2"/>
    <w:rsid w:val="00266583"/>
    <w:rsid w:val="0027269F"/>
    <w:rsid w:val="00276158"/>
    <w:rsid w:val="002825EF"/>
    <w:rsid w:val="00284DC6"/>
    <w:rsid w:val="002860B7"/>
    <w:rsid w:val="002872AD"/>
    <w:rsid w:val="00291D9A"/>
    <w:rsid w:val="002967E5"/>
    <w:rsid w:val="002A5F90"/>
    <w:rsid w:val="002A6146"/>
    <w:rsid w:val="002A6540"/>
    <w:rsid w:val="002B04F4"/>
    <w:rsid w:val="002B1DB7"/>
    <w:rsid w:val="002B5A65"/>
    <w:rsid w:val="002C06C1"/>
    <w:rsid w:val="002C13F5"/>
    <w:rsid w:val="002C2C4E"/>
    <w:rsid w:val="002C32C8"/>
    <w:rsid w:val="002C370F"/>
    <w:rsid w:val="002C40FB"/>
    <w:rsid w:val="002C5465"/>
    <w:rsid w:val="002C66E9"/>
    <w:rsid w:val="002D275A"/>
    <w:rsid w:val="002E04C4"/>
    <w:rsid w:val="002E2B8A"/>
    <w:rsid w:val="002E4F5F"/>
    <w:rsid w:val="002E5F7E"/>
    <w:rsid w:val="002E64EF"/>
    <w:rsid w:val="002E76DB"/>
    <w:rsid w:val="002F05AF"/>
    <w:rsid w:val="002F61D3"/>
    <w:rsid w:val="003038D5"/>
    <w:rsid w:val="00304A73"/>
    <w:rsid w:val="003123AF"/>
    <w:rsid w:val="00312F22"/>
    <w:rsid w:val="00316851"/>
    <w:rsid w:val="00317051"/>
    <w:rsid w:val="00321207"/>
    <w:rsid w:val="003234C9"/>
    <w:rsid w:val="00325C82"/>
    <w:rsid w:val="00326FA4"/>
    <w:rsid w:val="00330C99"/>
    <w:rsid w:val="00331314"/>
    <w:rsid w:val="003328D0"/>
    <w:rsid w:val="00333A41"/>
    <w:rsid w:val="00334E63"/>
    <w:rsid w:val="00337DC7"/>
    <w:rsid w:val="00342A79"/>
    <w:rsid w:val="00344D73"/>
    <w:rsid w:val="00345906"/>
    <w:rsid w:val="00345AF2"/>
    <w:rsid w:val="00347167"/>
    <w:rsid w:val="00353CE7"/>
    <w:rsid w:val="00360A2F"/>
    <w:rsid w:val="0036322E"/>
    <w:rsid w:val="00364A6D"/>
    <w:rsid w:val="00365D33"/>
    <w:rsid w:val="00366708"/>
    <w:rsid w:val="00366F51"/>
    <w:rsid w:val="00367E2E"/>
    <w:rsid w:val="00371B8B"/>
    <w:rsid w:val="00371DE8"/>
    <w:rsid w:val="00371F6E"/>
    <w:rsid w:val="00374FE0"/>
    <w:rsid w:val="0037679C"/>
    <w:rsid w:val="0037752B"/>
    <w:rsid w:val="00380135"/>
    <w:rsid w:val="003828F7"/>
    <w:rsid w:val="00386B3E"/>
    <w:rsid w:val="0039072F"/>
    <w:rsid w:val="0039566B"/>
    <w:rsid w:val="00396C68"/>
    <w:rsid w:val="003A5AD2"/>
    <w:rsid w:val="003A5D44"/>
    <w:rsid w:val="003A5D4E"/>
    <w:rsid w:val="003A64CC"/>
    <w:rsid w:val="003B2470"/>
    <w:rsid w:val="003B2B0E"/>
    <w:rsid w:val="003B2D14"/>
    <w:rsid w:val="003B4C91"/>
    <w:rsid w:val="003B4D8F"/>
    <w:rsid w:val="003C02CC"/>
    <w:rsid w:val="003C424C"/>
    <w:rsid w:val="003C4478"/>
    <w:rsid w:val="003C50EB"/>
    <w:rsid w:val="003C66F8"/>
    <w:rsid w:val="003D419D"/>
    <w:rsid w:val="003E04E8"/>
    <w:rsid w:val="003E112F"/>
    <w:rsid w:val="003E3839"/>
    <w:rsid w:val="003E44F8"/>
    <w:rsid w:val="003E5E54"/>
    <w:rsid w:val="003F06E9"/>
    <w:rsid w:val="003F0F78"/>
    <w:rsid w:val="003F21D9"/>
    <w:rsid w:val="003F49DD"/>
    <w:rsid w:val="003F68D9"/>
    <w:rsid w:val="003F6945"/>
    <w:rsid w:val="00402EB0"/>
    <w:rsid w:val="00407622"/>
    <w:rsid w:val="00413065"/>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61CC2"/>
    <w:rsid w:val="0046363A"/>
    <w:rsid w:val="004677A9"/>
    <w:rsid w:val="0046782D"/>
    <w:rsid w:val="004764E1"/>
    <w:rsid w:val="00476814"/>
    <w:rsid w:val="004774A5"/>
    <w:rsid w:val="0048022D"/>
    <w:rsid w:val="00480D1C"/>
    <w:rsid w:val="00484CA9"/>
    <w:rsid w:val="00485942"/>
    <w:rsid w:val="00486F2F"/>
    <w:rsid w:val="00487C67"/>
    <w:rsid w:val="0049010E"/>
    <w:rsid w:val="004907E0"/>
    <w:rsid w:val="00490F28"/>
    <w:rsid w:val="00491200"/>
    <w:rsid w:val="004A335A"/>
    <w:rsid w:val="004A3DB7"/>
    <w:rsid w:val="004A44C7"/>
    <w:rsid w:val="004A6217"/>
    <w:rsid w:val="004A744B"/>
    <w:rsid w:val="004B12AD"/>
    <w:rsid w:val="004B3128"/>
    <w:rsid w:val="004B66DA"/>
    <w:rsid w:val="004B73DA"/>
    <w:rsid w:val="004C0C8D"/>
    <w:rsid w:val="004C19EA"/>
    <w:rsid w:val="004C3AC8"/>
    <w:rsid w:val="004C54A1"/>
    <w:rsid w:val="004C5959"/>
    <w:rsid w:val="004C5F5B"/>
    <w:rsid w:val="004D1B9A"/>
    <w:rsid w:val="004D3208"/>
    <w:rsid w:val="004D5C84"/>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73E3"/>
    <w:rsid w:val="0052063B"/>
    <w:rsid w:val="00522D71"/>
    <w:rsid w:val="00526B7E"/>
    <w:rsid w:val="0053143A"/>
    <w:rsid w:val="00531C6A"/>
    <w:rsid w:val="0053303C"/>
    <w:rsid w:val="0053542E"/>
    <w:rsid w:val="00535728"/>
    <w:rsid w:val="00535B47"/>
    <w:rsid w:val="0054044D"/>
    <w:rsid w:val="00541FA5"/>
    <w:rsid w:val="005470E2"/>
    <w:rsid w:val="00550B34"/>
    <w:rsid w:val="005534AB"/>
    <w:rsid w:val="00555AB2"/>
    <w:rsid w:val="0056090B"/>
    <w:rsid w:val="00562740"/>
    <w:rsid w:val="0056328E"/>
    <w:rsid w:val="00564A1C"/>
    <w:rsid w:val="00565DDE"/>
    <w:rsid w:val="0056671B"/>
    <w:rsid w:val="00566D50"/>
    <w:rsid w:val="00573C26"/>
    <w:rsid w:val="00575E98"/>
    <w:rsid w:val="00577041"/>
    <w:rsid w:val="00582CDA"/>
    <w:rsid w:val="0058333F"/>
    <w:rsid w:val="00583F87"/>
    <w:rsid w:val="005877DE"/>
    <w:rsid w:val="00587965"/>
    <w:rsid w:val="0059163B"/>
    <w:rsid w:val="00591F58"/>
    <w:rsid w:val="0059318E"/>
    <w:rsid w:val="00593CE6"/>
    <w:rsid w:val="0059641C"/>
    <w:rsid w:val="005A0C2C"/>
    <w:rsid w:val="005A268E"/>
    <w:rsid w:val="005A36C7"/>
    <w:rsid w:val="005A3B57"/>
    <w:rsid w:val="005A6A5B"/>
    <w:rsid w:val="005A6ACF"/>
    <w:rsid w:val="005B063C"/>
    <w:rsid w:val="005B49D8"/>
    <w:rsid w:val="005B6C33"/>
    <w:rsid w:val="005C038C"/>
    <w:rsid w:val="005C1B4B"/>
    <w:rsid w:val="005C7120"/>
    <w:rsid w:val="005D0602"/>
    <w:rsid w:val="005D092D"/>
    <w:rsid w:val="005D470C"/>
    <w:rsid w:val="005E5B28"/>
    <w:rsid w:val="005E7BB9"/>
    <w:rsid w:val="005F081B"/>
    <w:rsid w:val="005F179B"/>
    <w:rsid w:val="005F1FD3"/>
    <w:rsid w:val="005F2817"/>
    <w:rsid w:val="005F3E44"/>
    <w:rsid w:val="005F56D5"/>
    <w:rsid w:val="005F5D43"/>
    <w:rsid w:val="005F7C7E"/>
    <w:rsid w:val="006031D8"/>
    <w:rsid w:val="006044E1"/>
    <w:rsid w:val="00605117"/>
    <w:rsid w:val="006056AF"/>
    <w:rsid w:val="0060777D"/>
    <w:rsid w:val="006151E8"/>
    <w:rsid w:val="00617F66"/>
    <w:rsid w:val="006200E0"/>
    <w:rsid w:val="006235A7"/>
    <w:rsid w:val="0062545F"/>
    <w:rsid w:val="00626332"/>
    <w:rsid w:val="006273A0"/>
    <w:rsid w:val="00630789"/>
    <w:rsid w:val="006317FA"/>
    <w:rsid w:val="00634D85"/>
    <w:rsid w:val="00634E59"/>
    <w:rsid w:val="006373C8"/>
    <w:rsid w:val="006416F6"/>
    <w:rsid w:val="006427BE"/>
    <w:rsid w:val="00643063"/>
    <w:rsid w:val="00645312"/>
    <w:rsid w:val="00646D7E"/>
    <w:rsid w:val="0064719F"/>
    <w:rsid w:val="00651DC9"/>
    <w:rsid w:val="0065305A"/>
    <w:rsid w:val="00654BE4"/>
    <w:rsid w:val="00657239"/>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71DC"/>
    <w:rsid w:val="00687CAD"/>
    <w:rsid w:val="0069081F"/>
    <w:rsid w:val="006943C2"/>
    <w:rsid w:val="00694651"/>
    <w:rsid w:val="0069608E"/>
    <w:rsid w:val="0069608F"/>
    <w:rsid w:val="006A01EF"/>
    <w:rsid w:val="006A0D09"/>
    <w:rsid w:val="006A2304"/>
    <w:rsid w:val="006A45DF"/>
    <w:rsid w:val="006A5824"/>
    <w:rsid w:val="006A7A0E"/>
    <w:rsid w:val="006B0982"/>
    <w:rsid w:val="006C2C4C"/>
    <w:rsid w:val="006C393A"/>
    <w:rsid w:val="006C5A4D"/>
    <w:rsid w:val="006C5B56"/>
    <w:rsid w:val="006D0F1E"/>
    <w:rsid w:val="006D1934"/>
    <w:rsid w:val="006D33B5"/>
    <w:rsid w:val="006D3EAA"/>
    <w:rsid w:val="006D48B8"/>
    <w:rsid w:val="006D528C"/>
    <w:rsid w:val="006D5523"/>
    <w:rsid w:val="006E3B8A"/>
    <w:rsid w:val="006E6FAE"/>
    <w:rsid w:val="006F0FF6"/>
    <w:rsid w:val="006F1BFA"/>
    <w:rsid w:val="006F3A0C"/>
    <w:rsid w:val="006F74A6"/>
    <w:rsid w:val="006F77FC"/>
    <w:rsid w:val="006F7FCB"/>
    <w:rsid w:val="00700291"/>
    <w:rsid w:val="00700B9E"/>
    <w:rsid w:val="00702513"/>
    <w:rsid w:val="00702A13"/>
    <w:rsid w:val="007041DB"/>
    <w:rsid w:val="007138CC"/>
    <w:rsid w:val="00713D64"/>
    <w:rsid w:val="00714476"/>
    <w:rsid w:val="00716BBA"/>
    <w:rsid w:val="007203E5"/>
    <w:rsid w:val="007228C9"/>
    <w:rsid w:val="00723CC9"/>
    <w:rsid w:val="00724ABE"/>
    <w:rsid w:val="00725338"/>
    <w:rsid w:val="00725BFC"/>
    <w:rsid w:val="00726EC8"/>
    <w:rsid w:val="00735291"/>
    <w:rsid w:val="0074212A"/>
    <w:rsid w:val="00744362"/>
    <w:rsid w:val="00746EC7"/>
    <w:rsid w:val="00752614"/>
    <w:rsid w:val="0075751F"/>
    <w:rsid w:val="00757D11"/>
    <w:rsid w:val="00761AAA"/>
    <w:rsid w:val="00763DA0"/>
    <w:rsid w:val="007653FA"/>
    <w:rsid w:val="00771158"/>
    <w:rsid w:val="00771201"/>
    <w:rsid w:val="00773E3C"/>
    <w:rsid w:val="00774975"/>
    <w:rsid w:val="00780958"/>
    <w:rsid w:val="00782FFA"/>
    <w:rsid w:val="00783F05"/>
    <w:rsid w:val="00784AE9"/>
    <w:rsid w:val="007876C7"/>
    <w:rsid w:val="00787F5D"/>
    <w:rsid w:val="007945B3"/>
    <w:rsid w:val="007A68A4"/>
    <w:rsid w:val="007B135C"/>
    <w:rsid w:val="007B19DA"/>
    <w:rsid w:val="007B2C93"/>
    <w:rsid w:val="007B76C4"/>
    <w:rsid w:val="007C6559"/>
    <w:rsid w:val="007F19A5"/>
    <w:rsid w:val="007F24B0"/>
    <w:rsid w:val="007F2A67"/>
    <w:rsid w:val="007F2D04"/>
    <w:rsid w:val="007F2FFA"/>
    <w:rsid w:val="007F6BDD"/>
    <w:rsid w:val="007F6F2B"/>
    <w:rsid w:val="007F7EA4"/>
    <w:rsid w:val="00801014"/>
    <w:rsid w:val="008027C4"/>
    <w:rsid w:val="00802923"/>
    <w:rsid w:val="008044A3"/>
    <w:rsid w:val="00816880"/>
    <w:rsid w:val="00817C41"/>
    <w:rsid w:val="0082084D"/>
    <w:rsid w:val="00820EA8"/>
    <w:rsid w:val="008253A9"/>
    <w:rsid w:val="00830CF6"/>
    <w:rsid w:val="0083648A"/>
    <w:rsid w:val="008413F8"/>
    <w:rsid w:val="00842C17"/>
    <w:rsid w:val="008438CF"/>
    <w:rsid w:val="00843D58"/>
    <w:rsid w:val="00845486"/>
    <w:rsid w:val="008454B9"/>
    <w:rsid w:val="00845A5B"/>
    <w:rsid w:val="0084613F"/>
    <w:rsid w:val="00852A8C"/>
    <w:rsid w:val="00852B69"/>
    <w:rsid w:val="008540FD"/>
    <w:rsid w:val="00854EC8"/>
    <w:rsid w:val="00860410"/>
    <w:rsid w:val="00861C19"/>
    <w:rsid w:val="0086399C"/>
    <w:rsid w:val="008652EF"/>
    <w:rsid w:val="008733C7"/>
    <w:rsid w:val="00874F41"/>
    <w:rsid w:val="008773BF"/>
    <w:rsid w:val="0088262B"/>
    <w:rsid w:val="00883E39"/>
    <w:rsid w:val="00884C0B"/>
    <w:rsid w:val="00886427"/>
    <w:rsid w:val="008921ED"/>
    <w:rsid w:val="00894A7C"/>
    <w:rsid w:val="00897507"/>
    <w:rsid w:val="008A048B"/>
    <w:rsid w:val="008A0C3C"/>
    <w:rsid w:val="008A1BD7"/>
    <w:rsid w:val="008A28B8"/>
    <w:rsid w:val="008A6027"/>
    <w:rsid w:val="008A7776"/>
    <w:rsid w:val="008B038D"/>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6D84"/>
    <w:rsid w:val="008E79BF"/>
    <w:rsid w:val="008F755E"/>
    <w:rsid w:val="009011DC"/>
    <w:rsid w:val="009065DB"/>
    <w:rsid w:val="00907551"/>
    <w:rsid w:val="00907E93"/>
    <w:rsid w:val="0091132C"/>
    <w:rsid w:val="00922597"/>
    <w:rsid w:val="009242C7"/>
    <w:rsid w:val="00926832"/>
    <w:rsid w:val="00933A0A"/>
    <w:rsid w:val="00935A17"/>
    <w:rsid w:val="00940C6A"/>
    <w:rsid w:val="009422A8"/>
    <w:rsid w:val="009435E2"/>
    <w:rsid w:val="0094648D"/>
    <w:rsid w:val="009479D5"/>
    <w:rsid w:val="00951B5E"/>
    <w:rsid w:val="00951BBB"/>
    <w:rsid w:val="00952807"/>
    <w:rsid w:val="00957662"/>
    <w:rsid w:val="00960F5B"/>
    <w:rsid w:val="00961913"/>
    <w:rsid w:val="00964E3D"/>
    <w:rsid w:val="009651D5"/>
    <w:rsid w:val="00967192"/>
    <w:rsid w:val="009701FB"/>
    <w:rsid w:val="00970AF3"/>
    <w:rsid w:val="009712E6"/>
    <w:rsid w:val="009720C7"/>
    <w:rsid w:val="00973E46"/>
    <w:rsid w:val="0098199E"/>
    <w:rsid w:val="00985B9C"/>
    <w:rsid w:val="00986603"/>
    <w:rsid w:val="0099051F"/>
    <w:rsid w:val="00991840"/>
    <w:rsid w:val="00994060"/>
    <w:rsid w:val="009971D9"/>
    <w:rsid w:val="009A15A9"/>
    <w:rsid w:val="009A1B67"/>
    <w:rsid w:val="009A241C"/>
    <w:rsid w:val="009A2760"/>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DEF"/>
    <w:rsid w:val="009F421F"/>
    <w:rsid w:val="009F57DD"/>
    <w:rsid w:val="009F5C90"/>
    <w:rsid w:val="009F6BF1"/>
    <w:rsid w:val="00A004FE"/>
    <w:rsid w:val="00A050EC"/>
    <w:rsid w:val="00A06973"/>
    <w:rsid w:val="00A07A16"/>
    <w:rsid w:val="00A10AFA"/>
    <w:rsid w:val="00A17814"/>
    <w:rsid w:val="00A21C65"/>
    <w:rsid w:val="00A24EEC"/>
    <w:rsid w:val="00A30723"/>
    <w:rsid w:val="00A319FB"/>
    <w:rsid w:val="00A33DC1"/>
    <w:rsid w:val="00A357EF"/>
    <w:rsid w:val="00A4123B"/>
    <w:rsid w:val="00A414FB"/>
    <w:rsid w:val="00A43247"/>
    <w:rsid w:val="00A442D1"/>
    <w:rsid w:val="00A452AA"/>
    <w:rsid w:val="00A45F35"/>
    <w:rsid w:val="00A543D6"/>
    <w:rsid w:val="00A545FB"/>
    <w:rsid w:val="00A54F8A"/>
    <w:rsid w:val="00A61874"/>
    <w:rsid w:val="00A62BBE"/>
    <w:rsid w:val="00A74AF3"/>
    <w:rsid w:val="00A76336"/>
    <w:rsid w:val="00A76480"/>
    <w:rsid w:val="00A77426"/>
    <w:rsid w:val="00A80EB1"/>
    <w:rsid w:val="00A82D94"/>
    <w:rsid w:val="00A83C59"/>
    <w:rsid w:val="00A8749E"/>
    <w:rsid w:val="00A92373"/>
    <w:rsid w:val="00A93FB7"/>
    <w:rsid w:val="00A97FF2"/>
    <w:rsid w:val="00AA23BA"/>
    <w:rsid w:val="00AA37CD"/>
    <w:rsid w:val="00AA3B44"/>
    <w:rsid w:val="00AA3DE8"/>
    <w:rsid w:val="00AA5A3B"/>
    <w:rsid w:val="00AB2C39"/>
    <w:rsid w:val="00AB35A6"/>
    <w:rsid w:val="00AC1F47"/>
    <w:rsid w:val="00AC425C"/>
    <w:rsid w:val="00AC54DB"/>
    <w:rsid w:val="00AC56B3"/>
    <w:rsid w:val="00AC6D5D"/>
    <w:rsid w:val="00AC7AB7"/>
    <w:rsid w:val="00AD2E4C"/>
    <w:rsid w:val="00AD6AC6"/>
    <w:rsid w:val="00AE5112"/>
    <w:rsid w:val="00AE7C1B"/>
    <w:rsid w:val="00AF43A3"/>
    <w:rsid w:val="00AF4DD8"/>
    <w:rsid w:val="00AF5EBD"/>
    <w:rsid w:val="00AF6655"/>
    <w:rsid w:val="00AF754F"/>
    <w:rsid w:val="00B01228"/>
    <w:rsid w:val="00B01460"/>
    <w:rsid w:val="00B04A94"/>
    <w:rsid w:val="00B067D4"/>
    <w:rsid w:val="00B07324"/>
    <w:rsid w:val="00B105BD"/>
    <w:rsid w:val="00B10BE1"/>
    <w:rsid w:val="00B10D74"/>
    <w:rsid w:val="00B1232D"/>
    <w:rsid w:val="00B12632"/>
    <w:rsid w:val="00B13E2F"/>
    <w:rsid w:val="00B150EE"/>
    <w:rsid w:val="00B16B10"/>
    <w:rsid w:val="00B17D2D"/>
    <w:rsid w:val="00B17E29"/>
    <w:rsid w:val="00B22385"/>
    <w:rsid w:val="00B2251B"/>
    <w:rsid w:val="00B22579"/>
    <w:rsid w:val="00B25A1A"/>
    <w:rsid w:val="00B34D51"/>
    <w:rsid w:val="00B356D9"/>
    <w:rsid w:val="00B42052"/>
    <w:rsid w:val="00B42143"/>
    <w:rsid w:val="00B4231E"/>
    <w:rsid w:val="00B4241D"/>
    <w:rsid w:val="00B428B5"/>
    <w:rsid w:val="00B44A3E"/>
    <w:rsid w:val="00B50F61"/>
    <w:rsid w:val="00B51C90"/>
    <w:rsid w:val="00B606E5"/>
    <w:rsid w:val="00B62154"/>
    <w:rsid w:val="00B6233D"/>
    <w:rsid w:val="00B65A70"/>
    <w:rsid w:val="00B701AA"/>
    <w:rsid w:val="00B70E1E"/>
    <w:rsid w:val="00B715DC"/>
    <w:rsid w:val="00B73F8B"/>
    <w:rsid w:val="00B74492"/>
    <w:rsid w:val="00B7459D"/>
    <w:rsid w:val="00B75E2D"/>
    <w:rsid w:val="00B76E4E"/>
    <w:rsid w:val="00B806F4"/>
    <w:rsid w:val="00B83324"/>
    <w:rsid w:val="00B8363B"/>
    <w:rsid w:val="00B852ED"/>
    <w:rsid w:val="00B85A59"/>
    <w:rsid w:val="00B87D27"/>
    <w:rsid w:val="00B87F4C"/>
    <w:rsid w:val="00B905A3"/>
    <w:rsid w:val="00B9621C"/>
    <w:rsid w:val="00B97AB5"/>
    <w:rsid w:val="00BA0600"/>
    <w:rsid w:val="00BA156B"/>
    <w:rsid w:val="00BA19C5"/>
    <w:rsid w:val="00BA5156"/>
    <w:rsid w:val="00BA5877"/>
    <w:rsid w:val="00BA7585"/>
    <w:rsid w:val="00BA7656"/>
    <w:rsid w:val="00BB0A31"/>
    <w:rsid w:val="00BB229F"/>
    <w:rsid w:val="00BB28CB"/>
    <w:rsid w:val="00BB5DF1"/>
    <w:rsid w:val="00BB6570"/>
    <w:rsid w:val="00BC1B7C"/>
    <w:rsid w:val="00BC484E"/>
    <w:rsid w:val="00BC5CA3"/>
    <w:rsid w:val="00BC689D"/>
    <w:rsid w:val="00BD080F"/>
    <w:rsid w:val="00BD2783"/>
    <w:rsid w:val="00BD6458"/>
    <w:rsid w:val="00BD6EF7"/>
    <w:rsid w:val="00BE0854"/>
    <w:rsid w:val="00BE1ED2"/>
    <w:rsid w:val="00BE2FE3"/>
    <w:rsid w:val="00BE41B8"/>
    <w:rsid w:val="00BE726C"/>
    <w:rsid w:val="00BF25F0"/>
    <w:rsid w:val="00BF3079"/>
    <w:rsid w:val="00BF341D"/>
    <w:rsid w:val="00BF3473"/>
    <w:rsid w:val="00BF56BD"/>
    <w:rsid w:val="00BF5D32"/>
    <w:rsid w:val="00BF6876"/>
    <w:rsid w:val="00BF718F"/>
    <w:rsid w:val="00C0065E"/>
    <w:rsid w:val="00C0641C"/>
    <w:rsid w:val="00C12AD7"/>
    <w:rsid w:val="00C13C5A"/>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43D7"/>
    <w:rsid w:val="00C67551"/>
    <w:rsid w:val="00C72120"/>
    <w:rsid w:val="00C73D5D"/>
    <w:rsid w:val="00C75DCE"/>
    <w:rsid w:val="00C773A3"/>
    <w:rsid w:val="00C77DA0"/>
    <w:rsid w:val="00C843D7"/>
    <w:rsid w:val="00C86D82"/>
    <w:rsid w:val="00C90325"/>
    <w:rsid w:val="00C90EDA"/>
    <w:rsid w:val="00C91C93"/>
    <w:rsid w:val="00C92C0C"/>
    <w:rsid w:val="00C97272"/>
    <w:rsid w:val="00CA22A8"/>
    <w:rsid w:val="00CA2D56"/>
    <w:rsid w:val="00CA3396"/>
    <w:rsid w:val="00CA3B90"/>
    <w:rsid w:val="00CA4020"/>
    <w:rsid w:val="00CA666C"/>
    <w:rsid w:val="00CA73E2"/>
    <w:rsid w:val="00CB1772"/>
    <w:rsid w:val="00CB18E0"/>
    <w:rsid w:val="00CB4220"/>
    <w:rsid w:val="00CB4DB1"/>
    <w:rsid w:val="00CB748F"/>
    <w:rsid w:val="00CC3542"/>
    <w:rsid w:val="00CC3879"/>
    <w:rsid w:val="00CD3D18"/>
    <w:rsid w:val="00CD604F"/>
    <w:rsid w:val="00CD68CE"/>
    <w:rsid w:val="00CE08CE"/>
    <w:rsid w:val="00CE20E9"/>
    <w:rsid w:val="00CE3773"/>
    <w:rsid w:val="00CE6FC5"/>
    <w:rsid w:val="00CE701C"/>
    <w:rsid w:val="00CE7EE7"/>
    <w:rsid w:val="00CF0E33"/>
    <w:rsid w:val="00CF1A77"/>
    <w:rsid w:val="00CF2A61"/>
    <w:rsid w:val="00CF326B"/>
    <w:rsid w:val="00CF4490"/>
    <w:rsid w:val="00CF5705"/>
    <w:rsid w:val="00CF5A8F"/>
    <w:rsid w:val="00D00379"/>
    <w:rsid w:val="00D02279"/>
    <w:rsid w:val="00D03829"/>
    <w:rsid w:val="00D04FB2"/>
    <w:rsid w:val="00D10467"/>
    <w:rsid w:val="00D10652"/>
    <w:rsid w:val="00D12806"/>
    <w:rsid w:val="00D13DB2"/>
    <w:rsid w:val="00D209B6"/>
    <w:rsid w:val="00D22294"/>
    <w:rsid w:val="00D22442"/>
    <w:rsid w:val="00D2255F"/>
    <w:rsid w:val="00D22EBC"/>
    <w:rsid w:val="00D23214"/>
    <w:rsid w:val="00D24374"/>
    <w:rsid w:val="00D24620"/>
    <w:rsid w:val="00D3123C"/>
    <w:rsid w:val="00D346DA"/>
    <w:rsid w:val="00D3584A"/>
    <w:rsid w:val="00D44B05"/>
    <w:rsid w:val="00D44FF7"/>
    <w:rsid w:val="00D45A5C"/>
    <w:rsid w:val="00D51B5E"/>
    <w:rsid w:val="00D55377"/>
    <w:rsid w:val="00D557D5"/>
    <w:rsid w:val="00D57E4B"/>
    <w:rsid w:val="00D601F0"/>
    <w:rsid w:val="00D626EC"/>
    <w:rsid w:val="00D62F2F"/>
    <w:rsid w:val="00D64F50"/>
    <w:rsid w:val="00D65D31"/>
    <w:rsid w:val="00D7167B"/>
    <w:rsid w:val="00D73519"/>
    <w:rsid w:val="00D73AE8"/>
    <w:rsid w:val="00D73E83"/>
    <w:rsid w:val="00D80A3E"/>
    <w:rsid w:val="00D82669"/>
    <w:rsid w:val="00D84B3D"/>
    <w:rsid w:val="00D92151"/>
    <w:rsid w:val="00D94D3A"/>
    <w:rsid w:val="00D95385"/>
    <w:rsid w:val="00D96C3F"/>
    <w:rsid w:val="00DA0323"/>
    <w:rsid w:val="00DA0C66"/>
    <w:rsid w:val="00DA3FF9"/>
    <w:rsid w:val="00DB112D"/>
    <w:rsid w:val="00DB13BD"/>
    <w:rsid w:val="00DB1971"/>
    <w:rsid w:val="00DB39B4"/>
    <w:rsid w:val="00DC451E"/>
    <w:rsid w:val="00DC5FA1"/>
    <w:rsid w:val="00DC7C98"/>
    <w:rsid w:val="00DD04D4"/>
    <w:rsid w:val="00DD0CE4"/>
    <w:rsid w:val="00DD3D3E"/>
    <w:rsid w:val="00DD418E"/>
    <w:rsid w:val="00DD6A64"/>
    <w:rsid w:val="00DE09BF"/>
    <w:rsid w:val="00DE3721"/>
    <w:rsid w:val="00DF1668"/>
    <w:rsid w:val="00DF252A"/>
    <w:rsid w:val="00DF2742"/>
    <w:rsid w:val="00DF3A9C"/>
    <w:rsid w:val="00DF448C"/>
    <w:rsid w:val="00DF71A5"/>
    <w:rsid w:val="00E061D8"/>
    <w:rsid w:val="00E07EE4"/>
    <w:rsid w:val="00E14245"/>
    <w:rsid w:val="00E14396"/>
    <w:rsid w:val="00E17A6F"/>
    <w:rsid w:val="00E20D55"/>
    <w:rsid w:val="00E21F02"/>
    <w:rsid w:val="00E22703"/>
    <w:rsid w:val="00E2272C"/>
    <w:rsid w:val="00E24228"/>
    <w:rsid w:val="00E24C47"/>
    <w:rsid w:val="00E25125"/>
    <w:rsid w:val="00E27B5F"/>
    <w:rsid w:val="00E32F69"/>
    <w:rsid w:val="00E40843"/>
    <w:rsid w:val="00E41299"/>
    <w:rsid w:val="00E445D8"/>
    <w:rsid w:val="00E46ACA"/>
    <w:rsid w:val="00E47B07"/>
    <w:rsid w:val="00E50FFA"/>
    <w:rsid w:val="00E526F5"/>
    <w:rsid w:val="00E53FAB"/>
    <w:rsid w:val="00E5528B"/>
    <w:rsid w:val="00E5593B"/>
    <w:rsid w:val="00E63742"/>
    <w:rsid w:val="00E63F24"/>
    <w:rsid w:val="00E67635"/>
    <w:rsid w:val="00E70A61"/>
    <w:rsid w:val="00E77251"/>
    <w:rsid w:val="00E817EE"/>
    <w:rsid w:val="00E818B6"/>
    <w:rsid w:val="00E81B85"/>
    <w:rsid w:val="00E83487"/>
    <w:rsid w:val="00E87CF0"/>
    <w:rsid w:val="00E9187B"/>
    <w:rsid w:val="00E91EAA"/>
    <w:rsid w:val="00E92FD0"/>
    <w:rsid w:val="00E93A91"/>
    <w:rsid w:val="00E93B0A"/>
    <w:rsid w:val="00E93D93"/>
    <w:rsid w:val="00EA5C78"/>
    <w:rsid w:val="00EB045D"/>
    <w:rsid w:val="00EB318D"/>
    <w:rsid w:val="00EB41C4"/>
    <w:rsid w:val="00EB5149"/>
    <w:rsid w:val="00EB5B7B"/>
    <w:rsid w:val="00EB668D"/>
    <w:rsid w:val="00EC1909"/>
    <w:rsid w:val="00EC1DDA"/>
    <w:rsid w:val="00EC2835"/>
    <w:rsid w:val="00EC2C15"/>
    <w:rsid w:val="00EC41FA"/>
    <w:rsid w:val="00EC4455"/>
    <w:rsid w:val="00EC77BB"/>
    <w:rsid w:val="00EC7DE2"/>
    <w:rsid w:val="00EC7E13"/>
    <w:rsid w:val="00ED1828"/>
    <w:rsid w:val="00ED4EEA"/>
    <w:rsid w:val="00EE16DD"/>
    <w:rsid w:val="00EE7BAA"/>
    <w:rsid w:val="00EF1081"/>
    <w:rsid w:val="00EF1723"/>
    <w:rsid w:val="00EF26AE"/>
    <w:rsid w:val="00EF7594"/>
    <w:rsid w:val="00F00D62"/>
    <w:rsid w:val="00F01005"/>
    <w:rsid w:val="00F0305C"/>
    <w:rsid w:val="00F03989"/>
    <w:rsid w:val="00F12B16"/>
    <w:rsid w:val="00F139D5"/>
    <w:rsid w:val="00F13DFB"/>
    <w:rsid w:val="00F15DC9"/>
    <w:rsid w:val="00F1692D"/>
    <w:rsid w:val="00F17C06"/>
    <w:rsid w:val="00F21B5D"/>
    <w:rsid w:val="00F23018"/>
    <w:rsid w:val="00F25BF4"/>
    <w:rsid w:val="00F27105"/>
    <w:rsid w:val="00F27B16"/>
    <w:rsid w:val="00F31467"/>
    <w:rsid w:val="00F32383"/>
    <w:rsid w:val="00F33096"/>
    <w:rsid w:val="00F336A1"/>
    <w:rsid w:val="00F40D25"/>
    <w:rsid w:val="00F441B2"/>
    <w:rsid w:val="00F46A84"/>
    <w:rsid w:val="00F476E8"/>
    <w:rsid w:val="00F5660C"/>
    <w:rsid w:val="00F63836"/>
    <w:rsid w:val="00F750F4"/>
    <w:rsid w:val="00F76819"/>
    <w:rsid w:val="00F77924"/>
    <w:rsid w:val="00F808F8"/>
    <w:rsid w:val="00F81B45"/>
    <w:rsid w:val="00F824FC"/>
    <w:rsid w:val="00F9081A"/>
    <w:rsid w:val="00F90A9D"/>
    <w:rsid w:val="00F91D36"/>
    <w:rsid w:val="00FA0DC0"/>
    <w:rsid w:val="00FA0E84"/>
    <w:rsid w:val="00FA5B52"/>
    <w:rsid w:val="00FA66AD"/>
    <w:rsid w:val="00FA73C3"/>
    <w:rsid w:val="00FA7A69"/>
    <w:rsid w:val="00FA7F1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0D1F-DDA7-4CE7-807C-63C95377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Garcia, Jose</cp:lastModifiedBy>
  <cp:revision>2</cp:revision>
  <cp:lastPrinted>2015-05-04T18:51:00Z</cp:lastPrinted>
  <dcterms:created xsi:type="dcterms:W3CDTF">2015-05-05T13:44:00Z</dcterms:created>
  <dcterms:modified xsi:type="dcterms:W3CDTF">2015-05-05T13:44:00Z</dcterms:modified>
</cp:coreProperties>
</file>