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0B7FB2" w:rsidRDefault="0066241C" w:rsidP="00CC54C7">
      <w:pPr>
        <w:pStyle w:val="Heading1"/>
        <w:jc w:val="center"/>
        <w:rPr>
          <w:b/>
        </w:rPr>
      </w:pPr>
      <w:bookmarkStart w:id="0" w:name="_GoBack"/>
      <w:bookmarkEnd w:id="0"/>
      <w:r w:rsidRPr="000B7FB2">
        <w:rPr>
          <w:b/>
        </w:rPr>
        <w:t>BEFORE THE</w:t>
      </w:r>
    </w:p>
    <w:p w:rsidR="0066241C" w:rsidRPr="00D2555A" w:rsidRDefault="0066241C" w:rsidP="00CC54C7">
      <w:pPr>
        <w:tabs>
          <w:tab w:val="center" w:pos="4680"/>
        </w:tabs>
        <w:suppressAutoHyphens/>
        <w:jc w:val="center"/>
        <w:rPr>
          <w:rFonts w:ascii="Times New Roman" w:hAnsi="Times New Roman" w:cs="Times New Roman"/>
          <w:b/>
          <w:bCs/>
          <w:spacing w:val="-3"/>
        </w:rPr>
      </w:pPr>
      <w:r w:rsidRPr="00D2555A">
        <w:rPr>
          <w:rFonts w:ascii="Times New Roman" w:hAnsi="Times New Roman" w:cs="Times New Roman"/>
          <w:b/>
          <w:bCs/>
          <w:spacing w:val="-3"/>
        </w:rPr>
        <w:t>PENNSYLVANIA PUBLIC UTILITY COMMISSION</w:t>
      </w:r>
    </w:p>
    <w:p w:rsidR="0077719B" w:rsidRDefault="0077719B" w:rsidP="00CC54C7">
      <w:pPr>
        <w:tabs>
          <w:tab w:val="left" w:pos="-720"/>
        </w:tabs>
        <w:suppressAutoHyphens/>
        <w:ind w:firstLine="1440"/>
        <w:rPr>
          <w:rFonts w:ascii="Times New Roman" w:hAnsi="Times New Roman" w:cs="Times New Roman"/>
          <w:spacing w:val="-3"/>
        </w:rPr>
      </w:pPr>
    </w:p>
    <w:p w:rsidR="00D2555A" w:rsidRPr="00D2555A" w:rsidRDefault="00D2555A" w:rsidP="00CC54C7">
      <w:pPr>
        <w:tabs>
          <w:tab w:val="left" w:pos="-720"/>
        </w:tabs>
        <w:suppressAutoHyphens/>
        <w:ind w:firstLine="1440"/>
        <w:rPr>
          <w:rFonts w:ascii="Times New Roman" w:hAnsi="Times New Roman" w:cs="Times New Roman"/>
          <w:spacing w:val="-3"/>
        </w:rPr>
      </w:pPr>
    </w:p>
    <w:p w:rsidR="00C25158" w:rsidRPr="00D2555A" w:rsidRDefault="00C25158" w:rsidP="00CC54C7">
      <w:pPr>
        <w:tabs>
          <w:tab w:val="left" w:pos="-720"/>
        </w:tabs>
        <w:suppressAutoHyphens/>
        <w:ind w:firstLine="1440"/>
        <w:rPr>
          <w:rFonts w:ascii="Times New Roman" w:hAnsi="Times New Roman" w:cs="Times New Roman"/>
          <w:spacing w:val="-3"/>
        </w:rPr>
      </w:pPr>
    </w:p>
    <w:p w:rsidR="001137BD" w:rsidRPr="00D2555A" w:rsidRDefault="006A41D8" w:rsidP="00CC54C7">
      <w:pPr>
        <w:tabs>
          <w:tab w:val="left" w:pos="-720"/>
        </w:tabs>
        <w:suppressAutoHyphens/>
        <w:jc w:val="both"/>
        <w:rPr>
          <w:rFonts w:ascii="Times New Roman" w:hAnsi="Times New Roman" w:cs="Times New Roman"/>
          <w:spacing w:val="-3"/>
        </w:rPr>
      </w:pPr>
      <w:r>
        <w:rPr>
          <w:rFonts w:ascii="Times New Roman" w:hAnsi="Times New Roman" w:cs="Times New Roman"/>
          <w:spacing w:val="-3"/>
        </w:rPr>
        <w:t>Joseph J. Woitko, Jr.</w:t>
      </w:r>
      <w:r w:rsidR="001137BD" w:rsidRPr="00D2555A">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C54C7">
        <w:rPr>
          <w:rFonts w:ascii="Times New Roman" w:hAnsi="Times New Roman" w:cs="Times New Roman"/>
          <w:spacing w:val="-3"/>
        </w:rPr>
        <w:tab/>
      </w:r>
      <w:r w:rsidR="001137BD" w:rsidRPr="00D2555A">
        <w:rPr>
          <w:rFonts w:ascii="Times New Roman" w:hAnsi="Times New Roman" w:cs="Times New Roman"/>
          <w:spacing w:val="-3"/>
        </w:rPr>
        <w:fldChar w:fldCharType="begin"/>
      </w:r>
      <w:r w:rsidR="001137BD" w:rsidRPr="00D2555A">
        <w:rPr>
          <w:rFonts w:ascii="Times New Roman" w:hAnsi="Times New Roman" w:cs="Times New Roman"/>
          <w:spacing w:val="-3"/>
        </w:rPr>
        <w:instrText>fillin "Complainant's name" \d ""</w:instrText>
      </w:r>
      <w:r w:rsidR="001137BD" w:rsidRPr="00D2555A">
        <w:rPr>
          <w:rFonts w:ascii="Times New Roman" w:hAnsi="Times New Roman" w:cs="Times New Roman"/>
          <w:spacing w:val="-3"/>
        </w:rPr>
        <w:fldChar w:fldCharType="end"/>
      </w:r>
      <w:r w:rsidR="001137BD" w:rsidRPr="00D2555A">
        <w:rPr>
          <w:rFonts w:ascii="Times New Roman" w:hAnsi="Times New Roman" w:cs="Times New Roman"/>
          <w:spacing w:val="-3"/>
        </w:rPr>
        <w:t>:</w:t>
      </w:r>
    </w:p>
    <w:p w:rsidR="001137BD" w:rsidRPr="00D2555A" w:rsidRDefault="001137BD" w:rsidP="00CC54C7">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CC54C7">
        <w:rPr>
          <w:rFonts w:ascii="Times New Roman" w:hAnsi="Times New Roman" w:cs="Times New Roman"/>
          <w:spacing w:val="-3"/>
        </w:rPr>
        <w:tab/>
      </w:r>
      <w:r w:rsidRPr="00D2555A">
        <w:rPr>
          <w:rFonts w:ascii="Times New Roman" w:hAnsi="Times New Roman" w:cs="Times New Roman"/>
          <w:spacing w:val="-3"/>
        </w:rPr>
        <w:t>:</w:t>
      </w:r>
    </w:p>
    <w:p w:rsidR="001137BD" w:rsidRPr="00D2555A" w:rsidRDefault="001137BD" w:rsidP="00CC54C7">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t>v.</w:t>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CC54C7">
        <w:rPr>
          <w:rFonts w:ascii="Times New Roman" w:hAnsi="Times New Roman" w:cs="Times New Roman"/>
          <w:spacing w:val="-3"/>
        </w:rPr>
        <w:tab/>
        <w:t>:</w:t>
      </w:r>
      <w:r w:rsidR="006A41D8">
        <w:rPr>
          <w:rFonts w:ascii="Times New Roman" w:hAnsi="Times New Roman" w:cs="Times New Roman"/>
          <w:spacing w:val="-3"/>
        </w:rPr>
        <w:tab/>
      </w:r>
      <w:r w:rsidR="00CC54C7">
        <w:rPr>
          <w:rFonts w:ascii="Times New Roman" w:hAnsi="Times New Roman" w:cs="Times New Roman"/>
          <w:spacing w:val="-3"/>
        </w:rPr>
        <w:tab/>
      </w:r>
      <w:r w:rsidRPr="00D2555A">
        <w:rPr>
          <w:rFonts w:ascii="Times New Roman" w:hAnsi="Times New Roman" w:cs="Times New Roman"/>
          <w:spacing w:val="-3"/>
        </w:rPr>
        <w:t>C-201</w:t>
      </w:r>
      <w:r w:rsidR="00D34F6F">
        <w:rPr>
          <w:rFonts w:ascii="Times New Roman" w:hAnsi="Times New Roman" w:cs="Times New Roman"/>
          <w:spacing w:val="-3"/>
        </w:rPr>
        <w:t>4</w:t>
      </w:r>
      <w:r w:rsidRPr="00D2555A">
        <w:rPr>
          <w:rFonts w:ascii="Times New Roman" w:hAnsi="Times New Roman" w:cs="Times New Roman"/>
          <w:spacing w:val="-3"/>
        </w:rPr>
        <w:t>-</w:t>
      </w:r>
      <w:r w:rsidR="006A41D8">
        <w:rPr>
          <w:rFonts w:ascii="Times New Roman" w:hAnsi="Times New Roman" w:cs="Times New Roman"/>
          <w:spacing w:val="-3"/>
        </w:rPr>
        <w:t>2413734</w:t>
      </w:r>
      <w:r w:rsidRPr="00D2555A">
        <w:rPr>
          <w:rFonts w:ascii="Times New Roman" w:hAnsi="Times New Roman" w:cs="Times New Roman"/>
          <w:spacing w:val="-3"/>
        </w:rPr>
        <w:fldChar w:fldCharType="begin"/>
      </w:r>
      <w:r w:rsidRPr="00D2555A">
        <w:rPr>
          <w:rFonts w:ascii="Times New Roman" w:hAnsi="Times New Roman" w:cs="Times New Roman"/>
          <w:spacing w:val="-3"/>
        </w:rPr>
        <w:instrText>fillin "Docket No." \d ""</w:instrText>
      </w:r>
      <w:r w:rsidRPr="00D2555A">
        <w:rPr>
          <w:rFonts w:ascii="Times New Roman" w:hAnsi="Times New Roman" w:cs="Times New Roman"/>
          <w:spacing w:val="-3"/>
        </w:rPr>
        <w:fldChar w:fldCharType="end"/>
      </w:r>
    </w:p>
    <w:p w:rsidR="001137BD" w:rsidRPr="00D2555A" w:rsidRDefault="001137BD" w:rsidP="00CC54C7">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CC54C7">
        <w:rPr>
          <w:rFonts w:ascii="Times New Roman" w:hAnsi="Times New Roman" w:cs="Times New Roman"/>
          <w:spacing w:val="-3"/>
        </w:rPr>
        <w:tab/>
      </w:r>
      <w:r w:rsidRPr="00D2555A">
        <w:rPr>
          <w:rFonts w:ascii="Times New Roman" w:hAnsi="Times New Roman" w:cs="Times New Roman"/>
          <w:spacing w:val="-3"/>
        </w:rPr>
        <w:t>:</w:t>
      </w:r>
    </w:p>
    <w:p w:rsidR="001137BD" w:rsidRPr="00D2555A" w:rsidRDefault="006A41D8" w:rsidP="00CC54C7">
      <w:pPr>
        <w:tabs>
          <w:tab w:val="left" w:pos="-720"/>
        </w:tabs>
        <w:suppressAutoHyphens/>
        <w:jc w:val="both"/>
        <w:rPr>
          <w:rFonts w:ascii="Times New Roman" w:hAnsi="Times New Roman" w:cs="Times New Roman"/>
          <w:spacing w:val="-3"/>
        </w:rPr>
      </w:pPr>
      <w:r>
        <w:rPr>
          <w:rFonts w:ascii="Times New Roman" w:hAnsi="Times New Roman" w:cs="Times New Roman"/>
          <w:spacing w:val="-3"/>
        </w:rPr>
        <w:t>IDT Energy</w:t>
      </w:r>
      <w:r w:rsidR="007C70D2">
        <w:rPr>
          <w:rFonts w:ascii="Times New Roman" w:hAnsi="Times New Roman" w:cs="Times New Roman"/>
          <w:spacing w:val="-3"/>
        </w:rPr>
        <w:t>,</w:t>
      </w:r>
      <w:r>
        <w:rPr>
          <w:rFonts w:ascii="Times New Roman" w:hAnsi="Times New Roman" w:cs="Times New Roman"/>
          <w:spacing w:val="-3"/>
        </w:rPr>
        <w:t xml:space="preserve"> Inc.</w:t>
      </w:r>
      <w:r>
        <w:rPr>
          <w:rFonts w:ascii="Times New Roman" w:hAnsi="Times New Roman" w:cs="Times New Roman"/>
          <w:spacing w:val="-3"/>
        </w:rPr>
        <w:tab/>
      </w:r>
      <w:r>
        <w:rPr>
          <w:rFonts w:ascii="Times New Roman" w:hAnsi="Times New Roman" w:cs="Times New Roman"/>
          <w:spacing w:val="-3"/>
        </w:rPr>
        <w:tab/>
      </w:r>
      <w:r w:rsidR="001137BD" w:rsidRPr="00D2555A">
        <w:rPr>
          <w:rFonts w:ascii="Times New Roman" w:hAnsi="Times New Roman" w:cs="Times New Roman"/>
          <w:spacing w:val="-3"/>
        </w:rPr>
        <w:t xml:space="preserve"> </w:t>
      </w:r>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CC54C7">
        <w:rPr>
          <w:rFonts w:ascii="Times New Roman" w:hAnsi="Times New Roman" w:cs="Times New Roman"/>
          <w:spacing w:val="-3"/>
        </w:rPr>
        <w:tab/>
      </w:r>
      <w:r w:rsidR="001137BD" w:rsidRPr="00D2555A">
        <w:rPr>
          <w:rFonts w:ascii="Times New Roman" w:hAnsi="Times New Roman" w:cs="Times New Roman"/>
          <w:spacing w:val="-3"/>
        </w:rPr>
        <w:t>:</w:t>
      </w:r>
    </w:p>
    <w:p w:rsidR="001137BD" w:rsidRPr="00D2555A" w:rsidRDefault="001137BD" w:rsidP="00CC54C7">
      <w:pPr>
        <w:tabs>
          <w:tab w:val="left" w:pos="-720"/>
        </w:tabs>
        <w:suppressAutoHyphens/>
        <w:rPr>
          <w:rFonts w:ascii="Times New Roman" w:hAnsi="Times New Roman" w:cs="Times New Roman"/>
          <w:spacing w:val="-3"/>
        </w:rPr>
      </w:pPr>
    </w:p>
    <w:p w:rsidR="001137BD" w:rsidRPr="00D2555A" w:rsidRDefault="001137BD" w:rsidP="00CC54C7">
      <w:pPr>
        <w:tabs>
          <w:tab w:val="left" w:pos="-720"/>
          <w:tab w:val="left" w:pos="5040"/>
        </w:tabs>
        <w:suppressAutoHyphens/>
        <w:jc w:val="both"/>
        <w:rPr>
          <w:rFonts w:ascii="Times New Roman" w:hAnsi="Times New Roman" w:cs="Times New Roman"/>
          <w:spacing w:val="-3"/>
        </w:rPr>
      </w:pPr>
      <w:r w:rsidRPr="00D2555A">
        <w:rPr>
          <w:rFonts w:ascii="Times New Roman" w:hAnsi="Times New Roman" w:cs="Times New Roman"/>
          <w:spacing w:val="-3"/>
        </w:rPr>
        <w:tab/>
      </w:r>
    </w:p>
    <w:p w:rsidR="00C25158" w:rsidRPr="00D2555A" w:rsidRDefault="00C25158" w:rsidP="00CC54C7">
      <w:pPr>
        <w:tabs>
          <w:tab w:val="left" w:pos="-720"/>
          <w:tab w:val="left" w:pos="-90"/>
        </w:tabs>
        <w:suppressAutoHyphens/>
        <w:jc w:val="both"/>
        <w:rPr>
          <w:rFonts w:ascii="Times New Roman" w:hAnsi="Times New Roman" w:cs="Times New Roman"/>
          <w:spacing w:val="-3"/>
        </w:rPr>
      </w:pPr>
    </w:p>
    <w:p w:rsidR="00C4273D" w:rsidRPr="00D2555A" w:rsidRDefault="00217EF0" w:rsidP="00CC54C7">
      <w:pPr>
        <w:pStyle w:val="Heading1"/>
        <w:jc w:val="center"/>
        <w:rPr>
          <w:b/>
          <w:szCs w:val="24"/>
          <w:u w:val="single"/>
        </w:rPr>
      </w:pPr>
      <w:r w:rsidRPr="00D2555A">
        <w:rPr>
          <w:b/>
          <w:szCs w:val="24"/>
          <w:u w:val="single"/>
        </w:rPr>
        <w:t>INITIAL DECISION</w:t>
      </w:r>
    </w:p>
    <w:p w:rsidR="00C4273D" w:rsidRPr="00D2555A" w:rsidRDefault="00C4273D" w:rsidP="00CC54C7">
      <w:pPr>
        <w:rPr>
          <w:rFonts w:ascii="Times New Roman" w:hAnsi="Times New Roman" w:cs="Times New Roman"/>
        </w:rPr>
      </w:pPr>
    </w:p>
    <w:p w:rsidR="00C4273D" w:rsidRPr="00D2555A" w:rsidRDefault="00C4273D" w:rsidP="00CC54C7">
      <w:pPr>
        <w:rPr>
          <w:rFonts w:ascii="Times New Roman" w:hAnsi="Times New Roman" w:cs="Times New Roman"/>
        </w:rPr>
      </w:pPr>
    </w:p>
    <w:p w:rsidR="00217EF0" w:rsidRPr="00D2555A" w:rsidRDefault="00217EF0" w:rsidP="00CC54C7">
      <w:pPr>
        <w:jc w:val="center"/>
        <w:rPr>
          <w:rFonts w:ascii="Times New Roman" w:hAnsi="Times New Roman" w:cs="Times New Roman"/>
        </w:rPr>
      </w:pPr>
      <w:r w:rsidRPr="00D2555A">
        <w:rPr>
          <w:rFonts w:ascii="Times New Roman" w:hAnsi="Times New Roman" w:cs="Times New Roman"/>
        </w:rPr>
        <w:t>Before</w:t>
      </w:r>
    </w:p>
    <w:p w:rsidR="00217EF0" w:rsidRPr="00D2555A" w:rsidRDefault="00D34F6F" w:rsidP="00CC54C7">
      <w:pPr>
        <w:jc w:val="center"/>
        <w:rPr>
          <w:rFonts w:ascii="Times New Roman" w:hAnsi="Times New Roman" w:cs="Times New Roman"/>
        </w:rPr>
      </w:pPr>
      <w:r>
        <w:rPr>
          <w:rFonts w:ascii="Times New Roman" w:hAnsi="Times New Roman" w:cs="Times New Roman"/>
        </w:rPr>
        <w:t>Conrad</w:t>
      </w:r>
      <w:r w:rsidR="00217EF0" w:rsidRPr="00D2555A">
        <w:rPr>
          <w:rFonts w:ascii="Times New Roman" w:hAnsi="Times New Roman" w:cs="Times New Roman"/>
        </w:rPr>
        <w:t xml:space="preserve"> A. </w:t>
      </w:r>
      <w:r>
        <w:rPr>
          <w:rFonts w:ascii="Times New Roman" w:hAnsi="Times New Roman" w:cs="Times New Roman"/>
        </w:rPr>
        <w:t>Johnson</w:t>
      </w:r>
    </w:p>
    <w:p w:rsidR="00C4273D" w:rsidRDefault="00217EF0" w:rsidP="006B795A">
      <w:pPr>
        <w:spacing w:line="360" w:lineRule="auto"/>
        <w:jc w:val="center"/>
        <w:rPr>
          <w:rFonts w:ascii="Times New Roman" w:hAnsi="Times New Roman" w:cs="Times New Roman"/>
        </w:rPr>
      </w:pPr>
      <w:r w:rsidRPr="00D2555A">
        <w:rPr>
          <w:rFonts w:ascii="Times New Roman" w:hAnsi="Times New Roman" w:cs="Times New Roman"/>
        </w:rPr>
        <w:t>Administrative Law Judge</w:t>
      </w:r>
    </w:p>
    <w:p w:rsidR="00B1674B" w:rsidRPr="00D2555A" w:rsidRDefault="00B1674B" w:rsidP="006B795A">
      <w:pPr>
        <w:spacing w:line="360" w:lineRule="auto"/>
        <w:jc w:val="center"/>
        <w:rPr>
          <w:rFonts w:ascii="Times New Roman" w:hAnsi="Times New Roman" w:cs="Times New Roman"/>
        </w:rPr>
      </w:pPr>
    </w:p>
    <w:p w:rsidR="002D0518" w:rsidRPr="000E49C0" w:rsidRDefault="000E49C0" w:rsidP="006B795A">
      <w:pPr>
        <w:tabs>
          <w:tab w:val="left" w:pos="0"/>
        </w:tabs>
        <w:autoSpaceDE/>
        <w:autoSpaceDN/>
        <w:spacing w:line="360" w:lineRule="auto"/>
        <w:jc w:val="center"/>
        <w:rPr>
          <w:rFonts w:ascii="Times New Roman" w:eastAsia="SimSun" w:hAnsi="Times New Roman" w:cs="Times New Roman"/>
          <w:szCs w:val="20"/>
          <w:u w:val="single"/>
        </w:rPr>
      </w:pPr>
      <w:r w:rsidRPr="000E49C0">
        <w:rPr>
          <w:rFonts w:ascii="Times New Roman" w:eastAsia="SimSun" w:hAnsi="Times New Roman" w:cs="Times New Roman"/>
          <w:szCs w:val="20"/>
          <w:u w:val="single"/>
        </w:rPr>
        <w:t>INTRODUCTION</w:t>
      </w:r>
    </w:p>
    <w:p w:rsidR="000E49C0" w:rsidRPr="00B1674B" w:rsidRDefault="002D0518" w:rsidP="00CC54C7">
      <w:pPr>
        <w:spacing w:line="360" w:lineRule="auto"/>
        <w:rPr>
          <w:rFonts w:ascii="Times New Roman" w:eastAsia="SimSun" w:hAnsi="Times New Roman" w:cs="Times New Roman"/>
          <w:i/>
          <w:szCs w:val="20"/>
        </w:rPr>
      </w:pPr>
      <w:r>
        <w:rPr>
          <w:rFonts w:ascii="Times New Roman" w:eastAsia="SimSun" w:hAnsi="Times New Roman" w:cs="Times New Roman"/>
          <w:szCs w:val="20"/>
        </w:rPr>
        <w:tab/>
      </w:r>
      <w:r>
        <w:rPr>
          <w:rFonts w:ascii="Times New Roman" w:eastAsia="SimSun" w:hAnsi="Times New Roman" w:cs="Times New Roman"/>
          <w:szCs w:val="20"/>
        </w:rPr>
        <w:tab/>
      </w:r>
    </w:p>
    <w:p w:rsidR="007738FD" w:rsidRDefault="007738FD" w:rsidP="00CC54C7">
      <w:pPr>
        <w:spacing w:line="360" w:lineRule="auto"/>
        <w:ind w:firstLine="1440"/>
      </w:pPr>
      <w:r w:rsidRPr="00354A68">
        <w:t>This decision dismisses the formal complaint because 1) the Commission lacks jurisdiction</w:t>
      </w:r>
      <w:r>
        <w:t xml:space="preserve"> to regulate rates charged by Respondent, an electric generation supplier; 2) the relief requested by Complainant must be deemed withdrawn and satisfied or beyond the Commission’s jurisdiction; and 3) the evidence fails to establish any violation of the Commission’s regulations relating to Respondent’s marketing practices or </w:t>
      </w:r>
      <w:r w:rsidR="005964FE">
        <w:t>customer</w:t>
      </w:r>
      <w:r>
        <w:t xml:space="preserve"> service.</w:t>
      </w:r>
    </w:p>
    <w:p w:rsidR="00C4273D" w:rsidRDefault="00C4273D" w:rsidP="00CC54C7">
      <w:pPr>
        <w:jc w:val="center"/>
        <w:rPr>
          <w:rFonts w:ascii="Times New Roman" w:hAnsi="Times New Roman" w:cs="Times New Roman"/>
        </w:rPr>
      </w:pPr>
    </w:p>
    <w:p w:rsidR="002D0518" w:rsidRDefault="002D0518" w:rsidP="00CC54C7">
      <w:pPr>
        <w:rPr>
          <w:rFonts w:ascii="Times New Roman" w:hAnsi="Times New Roman" w:cs="Times New Roman"/>
        </w:rPr>
      </w:pPr>
    </w:p>
    <w:p w:rsidR="002D0518" w:rsidRDefault="002D0518" w:rsidP="00CC54C7">
      <w:pPr>
        <w:jc w:val="center"/>
        <w:rPr>
          <w:rFonts w:ascii="Times New Roman" w:hAnsi="Times New Roman" w:cs="Times New Roman"/>
        </w:rPr>
      </w:pPr>
      <w:r>
        <w:rPr>
          <w:rFonts w:ascii="Times New Roman" w:hAnsi="Times New Roman" w:cs="Times New Roman"/>
          <w:u w:val="single"/>
        </w:rPr>
        <w:t>HISTORY OF THE PROCEEDING</w:t>
      </w:r>
    </w:p>
    <w:p w:rsidR="002D0518" w:rsidRDefault="002D0518" w:rsidP="00CC54C7">
      <w:pPr>
        <w:jc w:val="center"/>
        <w:rPr>
          <w:rFonts w:ascii="Times New Roman" w:hAnsi="Times New Roman" w:cs="Times New Roman"/>
        </w:rPr>
      </w:pPr>
    </w:p>
    <w:p w:rsidR="002D0518" w:rsidRPr="002D0518" w:rsidRDefault="002D0518" w:rsidP="00CC54C7">
      <w:pPr>
        <w:jc w:val="center"/>
        <w:rPr>
          <w:rFonts w:ascii="Times New Roman" w:hAnsi="Times New Roman" w:cs="Times New Roman"/>
        </w:rPr>
      </w:pPr>
    </w:p>
    <w:p w:rsidR="0018447A" w:rsidRDefault="005E3BAF" w:rsidP="00CC54C7">
      <w:pPr>
        <w:pStyle w:val="ParaTab1"/>
        <w:spacing w:line="360" w:lineRule="auto"/>
        <w:ind w:firstLine="1354"/>
        <w:rPr>
          <w:rFonts w:ascii="Times New Roman" w:hAnsi="Times New Roman" w:cs="Times New Roman"/>
        </w:rPr>
      </w:pPr>
      <w:r w:rsidRPr="00D2555A">
        <w:rPr>
          <w:rFonts w:ascii="Times New Roman" w:hAnsi="Times New Roman" w:cs="Times New Roman"/>
        </w:rPr>
        <w:t xml:space="preserve">On </w:t>
      </w:r>
      <w:r w:rsidR="006A41D8">
        <w:rPr>
          <w:rFonts w:ascii="Times New Roman" w:hAnsi="Times New Roman" w:cs="Times New Roman"/>
        </w:rPr>
        <w:t xml:space="preserve">March 14, 2014, Complainant Joseph J. Woitko, Jr. (Complainant or </w:t>
      </w:r>
    </w:p>
    <w:p w:rsidR="00B32EDA" w:rsidRDefault="006A41D8" w:rsidP="0018447A">
      <w:pPr>
        <w:pStyle w:val="ParaTab1"/>
        <w:spacing w:line="360" w:lineRule="auto"/>
        <w:ind w:firstLine="0"/>
        <w:rPr>
          <w:rFonts w:ascii="Times New Roman" w:hAnsi="Times New Roman" w:cs="Times New Roman"/>
        </w:rPr>
      </w:pPr>
      <w:r>
        <w:rPr>
          <w:rFonts w:ascii="Times New Roman" w:hAnsi="Times New Roman" w:cs="Times New Roman"/>
        </w:rPr>
        <w:t xml:space="preserve">Mr. Woitko) filed a formal </w:t>
      </w:r>
      <w:r w:rsidR="00F4611D" w:rsidRPr="00D2555A">
        <w:rPr>
          <w:rFonts w:ascii="Times New Roman" w:hAnsi="Times New Roman" w:cs="Times New Roman"/>
        </w:rPr>
        <w:t>complaint</w:t>
      </w:r>
      <w:r w:rsidR="002F7AD6" w:rsidRPr="00D2555A">
        <w:rPr>
          <w:rFonts w:ascii="Times New Roman" w:hAnsi="Times New Roman" w:cs="Times New Roman"/>
        </w:rPr>
        <w:t xml:space="preserve"> </w:t>
      </w:r>
      <w:r w:rsidR="000D08CE" w:rsidRPr="00D2555A">
        <w:rPr>
          <w:rFonts w:ascii="Times New Roman" w:hAnsi="Times New Roman" w:cs="Times New Roman"/>
        </w:rPr>
        <w:t xml:space="preserve">with the Pennsylvania Public Utility Commission (Commission) </w:t>
      </w:r>
      <w:r w:rsidR="002F7AD6" w:rsidRPr="00D2555A">
        <w:rPr>
          <w:rFonts w:ascii="Times New Roman" w:hAnsi="Times New Roman" w:cs="Times New Roman"/>
        </w:rPr>
        <w:t xml:space="preserve">against </w:t>
      </w:r>
      <w:r>
        <w:rPr>
          <w:rFonts w:ascii="Times New Roman" w:hAnsi="Times New Roman" w:cs="Times New Roman"/>
        </w:rPr>
        <w:t>IDT Energy, Inc. (IDT or Respondent).  The complaint alleges there are inc</w:t>
      </w:r>
      <w:r w:rsidR="008D4596">
        <w:rPr>
          <w:rFonts w:ascii="Times New Roman" w:hAnsi="Times New Roman" w:cs="Times New Roman"/>
        </w:rPr>
        <w:t>o</w:t>
      </w:r>
      <w:r>
        <w:rPr>
          <w:rFonts w:ascii="Times New Roman" w:hAnsi="Times New Roman" w:cs="Times New Roman"/>
        </w:rPr>
        <w:t>rre</w:t>
      </w:r>
      <w:r w:rsidR="008D4596">
        <w:rPr>
          <w:rFonts w:ascii="Times New Roman" w:hAnsi="Times New Roman" w:cs="Times New Roman"/>
        </w:rPr>
        <w:t>ct</w:t>
      </w:r>
      <w:r>
        <w:rPr>
          <w:rFonts w:ascii="Times New Roman" w:hAnsi="Times New Roman" w:cs="Times New Roman"/>
        </w:rPr>
        <w:t xml:space="preserve"> charges on M</w:t>
      </w:r>
      <w:r w:rsidR="00E56C38">
        <w:rPr>
          <w:rFonts w:ascii="Times New Roman" w:hAnsi="Times New Roman" w:cs="Times New Roman"/>
        </w:rPr>
        <w:t>r</w:t>
      </w:r>
      <w:r>
        <w:rPr>
          <w:rFonts w:ascii="Times New Roman" w:hAnsi="Times New Roman" w:cs="Times New Roman"/>
        </w:rPr>
        <w:t xml:space="preserve">. Woitko’s </w:t>
      </w:r>
      <w:r w:rsidR="000250BB">
        <w:rPr>
          <w:rFonts w:ascii="Times New Roman" w:hAnsi="Times New Roman" w:cs="Times New Roman"/>
        </w:rPr>
        <w:t xml:space="preserve">electric </w:t>
      </w:r>
      <w:r>
        <w:rPr>
          <w:rFonts w:ascii="Times New Roman" w:hAnsi="Times New Roman" w:cs="Times New Roman"/>
        </w:rPr>
        <w:t xml:space="preserve">bill, </w:t>
      </w:r>
      <w:r w:rsidR="000250BB">
        <w:rPr>
          <w:rFonts w:ascii="Times New Roman" w:hAnsi="Times New Roman" w:cs="Times New Roman"/>
        </w:rPr>
        <w:t xml:space="preserve">and </w:t>
      </w:r>
      <w:r>
        <w:rPr>
          <w:rFonts w:ascii="Times New Roman" w:hAnsi="Times New Roman" w:cs="Times New Roman"/>
        </w:rPr>
        <w:t>IDT engage</w:t>
      </w:r>
      <w:r w:rsidR="007A523C">
        <w:rPr>
          <w:rFonts w:ascii="Times New Roman" w:hAnsi="Times New Roman" w:cs="Times New Roman"/>
        </w:rPr>
        <w:t>s</w:t>
      </w:r>
      <w:r w:rsidR="00402F55">
        <w:rPr>
          <w:rFonts w:ascii="Times New Roman" w:hAnsi="Times New Roman" w:cs="Times New Roman"/>
        </w:rPr>
        <w:t xml:space="preserve"> in price gouging, fraud and deceptive sales practices</w:t>
      </w:r>
      <w:r w:rsidR="007A523C">
        <w:rPr>
          <w:rFonts w:ascii="Times New Roman" w:hAnsi="Times New Roman" w:cs="Times New Roman"/>
        </w:rPr>
        <w:t xml:space="preserve"> and “makes direct phone contact impossible” for customer</w:t>
      </w:r>
      <w:r w:rsidR="000250BB">
        <w:rPr>
          <w:rFonts w:ascii="Times New Roman" w:hAnsi="Times New Roman" w:cs="Times New Roman"/>
        </w:rPr>
        <w:t>s</w:t>
      </w:r>
      <w:r w:rsidR="007A523C">
        <w:rPr>
          <w:rFonts w:ascii="Times New Roman" w:hAnsi="Times New Roman" w:cs="Times New Roman"/>
        </w:rPr>
        <w:t xml:space="preserve">.  </w:t>
      </w:r>
      <w:r w:rsidR="00402F55">
        <w:rPr>
          <w:rFonts w:ascii="Times New Roman" w:hAnsi="Times New Roman" w:cs="Times New Roman"/>
        </w:rPr>
        <w:t>As relief, Complainant request</w:t>
      </w:r>
      <w:r w:rsidR="00E56C38">
        <w:rPr>
          <w:rFonts w:ascii="Times New Roman" w:hAnsi="Times New Roman" w:cs="Times New Roman"/>
        </w:rPr>
        <w:t>s</w:t>
      </w:r>
      <w:r w:rsidR="00402F55">
        <w:rPr>
          <w:rFonts w:ascii="Times New Roman" w:hAnsi="Times New Roman" w:cs="Times New Roman"/>
        </w:rPr>
        <w:t xml:space="preserve"> that the Commission 1) order ID</w:t>
      </w:r>
      <w:r w:rsidR="008D4596">
        <w:rPr>
          <w:rFonts w:ascii="Times New Roman" w:hAnsi="Times New Roman" w:cs="Times New Roman"/>
        </w:rPr>
        <w:t>T</w:t>
      </w:r>
      <w:r w:rsidR="00402F55">
        <w:rPr>
          <w:rFonts w:ascii="Times New Roman" w:hAnsi="Times New Roman" w:cs="Times New Roman"/>
        </w:rPr>
        <w:t xml:space="preserve"> to cease and desist price gouging; </w:t>
      </w:r>
    </w:p>
    <w:p w:rsidR="005E147E" w:rsidRDefault="00402F55" w:rsidP="0018447A">
      <w:pPr>
        <w:pStyle w:val="ParaTab1"/>
        <w:spacing w:line="360" w:lineRule="auto"/>
        <w:ind w:firstLine="0"/>
        <w:rPr>
          <w:rFonts w:ascii="Times New Roman" w:hAnsi="Times New Roman" w:cs="Times New Roman"/>
        </w:rPr>
      </w:pPr>
      <w:r>
        <w:rPr>
          <w:rFonts w:ascii="Times New Roman" w:hAnsi="Times New Roman" w:cs="Times New Roman"/>
        </w:rPr>
        <w:lastRenderedPageBreak/>
        <w:t xml:space="preserve">2) </w:t>
      </w:r>
      <w:proofErr w:type="gramStart"/>
      <w:r>
        <w:rPr>
          <w:rFonts w:ascii="Times New Roman" w:hAnsi="Times New Roman" w:cs="Times New Roman"/>
        </w:rPr>
        <w:t>order</w:t>
      </w:r>
      <w:proofErr w:type="gramEnd"/>
      <w:r>
        <w:rPr>
          <w:rFonts w:ascii="Times New Roman" w:hAnsi="Times New Roman" w:cs="Times New Roman"/>
        </w:rPr>
        <w:t xml:space="preserve"> IDT to refund his money; 3) void the contract between him and IDT; 4) fine IDT civilly and criminally for violating the law; and</w:t>
      </w:r>
      <w:r w:rsidR="00C84A51">
        <w:rPr>
          <w:rFonts w:ascii="Times New Roman" w:hAnsi="Times New Roman" w:cs="Times New Roman"/>
        </w:rPr>
        <w:t xml:space="preserve"> 5)</w:t>
      </w:r>
      <w:r>
        <w:rPr>
          <w:rFonts w:ascii="Times New Roman" w:hAnsi="Times New Roman" w:cs="Times New Roman"/>
        </w:rPr>
        <w:t xml:space="preserve"> order any additional relief that may</w:t>
      </w:r>
      <w:r w:rsidR="008D4596">
        <w:rPr>
          <w:rFonts w:ascii="Times New Roman" w:hAnsi="Times New Roman" w:cs="Times New Roman"/>
        </w:rPr>
        <w:t xml:space="preserve"> </w:t>
      </w:r>
      <w:r>
        <w:rPr>
          <w:rFonts w:ascii="Times New Roman" w:hAnsi="Times New Roman" w:cs="Times New Roman"/>
        </w:rPr>
        <w:t>be fair and just.</w:t>
      </w:r>
    </w:p>
    <w:p w:rsidR="00D1677A" w:rsidRDefault="00D1677A" w:rsidP="0018447A">
      <w:pPr>
        <w:pStyle w:val="ParaTab1"/>
        <w:spacing w:line="360" w:lineRule="auto"/>
        <w:ind w:firstLine="0"/>
        <w:rPr>
          <w:rFonts w:ascii="Times New Roman" w:hAnsi="Times New Roman" w:cs="Times New Roman"/>
        </w:rPr>
      </w:pPr>
    </w:p>
    <w:p w:rsidR="000F4573" w:rsidRDefault="00402F55" w:rsidP="00CC54C7">
      <w:pPr>
        <w:pStyle w:val="ParaTab1"/>
        <w:spacing w:line="360" w:lineRule="auto"/>
        <w:ind w:firstLine="1354"/>
        <w:rPr>
          <w:rFonts w:ascii="Times New Roman" w:hAnsi="Times New Roman" w:cs="Times New Roman"/>
        </w:rPr>
      </w:pPr>
      <w:r>
        <w:rPr>
          <w:rFonts w:ascii="Times New Roman" w:hAnsi="Times New Roman" w:cs="Times New Roman"/>
        </w:rPr>
        <w:t xml:space="preserve"> </w:t>
      </w:r>
      <w:r w:rsidR="001221DB">
        <w:rPr>
          <w:rFonts w:ascii="Times New Roman" w:hAnsi="Times New Roman" w:cs="Times New Roman"/>
        </w:rPr>
        <w:t>On May 5, 2014, Respondent filed an answer to the complaint, admitting that “complain</w:t>
      </w:r>
      <w:r w:rsidR="000F4573">
        <w:rPr>
          <w:rFonts w:ascii="Times New Roman" w:hAnsi="Times New Roman" w:cs="Times New Roman"/>
        </w:rPr>
        <w:t>an</w:t>
      </w:r>
      <w:r w:rsidR="001221DB">
        <w:rPr>
          <w:rFonts w:ascii="Times New Roman" w:hAnsi="Times New Roman" w:cs="Times New Roman"/>
        </w:rPr>
        <w:t>t’</w:t>
      </w:r>
      <w:r w:rsidR="000F4573">
        <w:rPr>
          <w:rFonts w:ascii="Times New Roman" w:hAnsi="Times New Roman" w:cs="Times New Roman"/>
        </w:rPr>
        <w:t>s</w:t>
      </w:r>
      <w:r w:rsidR="001221DB">
        <w:rPr>
          <w:rFonts w:ascii="Times New Roman" w:hAnsi="Times New Roman" w:cs="Times New Roman"/>
        </w:rPr>
        <w:t xml:space="preserve"> variable-priced electricity charges from IDT increased due to large increases in wholesale electricity costs during January and February 2014.”  Respondent alleges that on March 27, 2014, IDT offered Complain</w:t>
      </w:r>
      <w:r w:rsidR="00C84A51">
        <w:rPr>
          <w:rFonts w:ascii="Times New Roman" w:hAnsi="Times New Roman" w:cs="Times New Roman"/>
        </w:rPr>
        <w:t>an</w:t>
      </w:r>
      <w:r w:rsidR="001221DB">
        <w:rPr>
          <w:rFonts w:ascii="Times New Roman" w:hAnsi="Times New Roman" w:cs="Times New Roman"/>
        </w:rPr>
        <w:t xml:space="preserve">t a good will credit adjustment on his bills.  Respondent asserts that on </w:t>
      </w:r>
      <w:r w:rsidR="00B837B0">
        <w:rPr>
          <w:rFonts w:ascii="Times New Roman" w:hAnsi="Times New Roman" w:cs="Times New Roman"/>
        </w:rPr>
        <w:t>March 31, 2014</w:t>
      </w:r>
      <w:r w:rsidR="001221DB">
        <w:rPr>
          <w:rFonts w:ascii="Times New Roman" w:hAnsi="Times New Roman" w:cs="Times New Roman"/>
        </w:rPr>
        <w:t xml:space="preserve">, Complainant accepted </w:t>
      </w:r>
      <w:r w:rsidR="00B837B0">
        <w:rPr>
          <w:rFonts w:ascii="Times New Roman" w:hAnsi="Times New Roman" w:cs="Times New Roman"/>
        </w:rPr>
        <w:t xml:space="preserve">Respondent’s offer for adjustments </w:t>
      </w:r>
      <w:r w:rsidR="001221DB">
        <w:rPr>
          <w:rFonts w:ascii="Times New Roman" w:hAnsi="Times New Roman" w:cs="Times New Roman"/>
        </w:rPr>
        <w:t>on his two accounts</w:t>
      </w:r>
      <w:r w:rsidR="00B837B0">
        <w:rPr>
          <w:rFonts w:ascii="Times New Roman" w:hAnsi="Times New Roman" w:cs="Times New Roman"/>
        </w:rPr>
        <w:t xml:space="preserve">, i.e., </w:t>
      </w:r>
      <w:r w:rsidR="001221DB">
        <w:rPr>
          <w:rFonts w:ascii="Times New Roman" w:hAnsi="Times New Roman" w:cs="Times New Roman"/>
        </w:rPr>
        <w:t xml:space="preserve">one refund in the amount of $134.86 and the other refund </w:t>
      </w:r>
      <w:r w:rsidR="00B837B0">
        <w:rPr>
          <w:rFonts w:ascii="Times New Roman" w:hAnsi="Times New Roman" w:cs="Times New Roman"/>
        </w:rPr>
        <w:t>in the amount of $170.56 for a total of $305.42</w:t>
      </w:r>
      <w:r w:rsidR="000F4573">
        <w:rPr>
          <w:rFonts w:ascii="Times New Roman" w:hAnsi="Times New Roman" w:cs="Times New Roman"/>
        </w:rPr>
        <w:t xml:space="preserve">, which Respondent confirmed to Complainant by letter dated April 2, 2014. </w:t>
      </w:r>
    </w:p>
    <w:p w:rsidR="000F4573" w:rsidRDefault="000F4573" w:rsidP="00CC54C7">
      <w:pPr>
        <w:pStyle w:val="ParaTab1"/>
        <w:spacing w:line="360" w:lineRule="auto"/>
        <w:ind w:firstLine="1354"/>
        <w:rPr>
          <w:rFonts w:ascii="Times New Roman" w:hAnsi="Times New Roman" w:cs="Times New Roman"/>
        </w:rPr>
      </w:pPr>
    </w:p>
    <w:p w:rsidR="007A5095" w:rsidRDefault="000F4573" w:rsidP="00CC54C7">
      <w:pPr>
        <w:pStyle w:val="ParaTab1"/>
        <w:spacing w:line="360" w:lineRule="auto"/>
        <w:ind w:firstLine="1354"/>
        <w:rPr>
          <w:rFonts w:ascii="Times New Roman" w:hAnsi="Times New Roman" w:cs="Times New Roman"/>
        </w:rPr>
      </w:pPr>
      <w:r>
        <w:rPr>
          <w:rFonts w:ascii="Times New Roman" w:hAnsi="Times New Roman" w:cs="Times New Roman"/>
        </w:rPr>
        <w:t xml:space="preserve">As a result of Complainant’s acceptance of the refund offer, </w:t>
      </w:r>
      <w:r w:rsidR="00907BE8">
        <w:rPr>
          <w:rFonts w:ascii="Times New Roman" w:hAnsi="Times New Roman" w:cs="Times New Roman"/>
        </w:rPr>
        <w:t>Respondent contends it filed a Certificat</w:t>
      </w:r>
      <w:r w:rsidR="001867ED">
        <w:rPr>
          <w:rFonts w:ascii="Times New Roman" w:hAnsi="Times New Roman" w:cs="Times New Roman"/>
        </w:rPr>
        <w:t>e</w:t>
      </w:r>
      <w:r w:rsidR="00907BE8">
        <w:rPr>
          <w:rFonts w:ascii="Times New Roman" w:hAnsi="Times New Roman" w:cs="Times New Roman"/>
        </w:rPr>
        <w:t xml:space="preserve"> of Satisfaction </w:t>
      </w:r>
      <w:r w:rsidR="00C84A51">
        <w:rPr>
          <w:rFonts w:ascii="Times New Roman" w:hAnsi="Times New Roman" w:cs="Times New Roman"/>
        </w:rPr>
        <w:t xml:space="preserve">with the Commission’s Secretary’s Bureau </w:t>
      </w:r>
      <w:r w:rsidR="00703073">
        <w:rPr>
          <w:rFonts w:ascii="Times New Roman" w:hAnsi="Times New Roman" w:cs="Times New Roman"/>
        </w:rPr>
        <w:t xml:space="preserve">(Secretary) </w:t>
      </w:r>
      <w:r w:rsidR="00907BE8">
        <w:rPr>
          <w:rFonts w:ascii="Times New Roman" w:hAnsi="Times New Roman" w:cs="Times New Roman"/>
        </w:rPr>
        <w:t>on April 18, 2014</w:t>
      </w:r>
      <w:r w:rsidR="00931284">
        <w:rPr>
          <w:rFonts w:ascii="Times New Roman" w:hAnsi="Times New Roman" w:cs="Times New Roman"/>
        </w:rPr>
        <w:t>, and transmitted a copy to Mr. W</w:t>
      </w:r>
      <w:r w:rsidR="005E147E">
        <w:rPr>
          <w:rFonts w:ascii="Times New Roman" w:hAnsi="Times New Roman" w:cs="Times New Roman"/>
        </w:rPr>
        <w:t>o</w:t>
      </w:r>
      <w:r w:rsidR="00931284">
        <w:rPr>
          <w:rFonts w:ascii="Times New Roman" w:hAnsi="Times New Roman" w:cs="Times New Roman"/>
        </w:rPr>
        <w:t>itko</w:t>
      </w:r>
      <w:r w:rsidR="00907BE8">
        <w:rPr>
          <w:rFonts w:ascii="Times New Roman" w:hAnsi="Times New Roman" w:cs="Times New Roman"/>
        </w:rPr>
        <w:t xml:space="preserve">.  </w:t>
      </w:r>
      <w:r w:rsidR="00931284">
        <w:rPr>
          <w:rFonts w:ascii="Times New Roman" w:hAnsi="Times New Roman" w:cs="Times New Roman"/>
        </w:rPr>
        <w:t>The April 18, 2014 letter transmitting the Certificate of Satisfaction to Mr. Wi</w:t>
      </w:r>
      <w:r w:rsidR="000F2F79">
        <w:rPr>
          <w:rFonts w:ascii="Times New Roman" w:hAnsi="Times New Roman" w:cs="Times New Roman"/>
        </w:rPr>
        <w:t>o</w:t>
      </w:r>
      <w:r w:rsidR="00931284">
        <w:rPr>
          <w:rFonts w:ascii="Times New Roman" w:hAnsi="Times New Roman" w:cs="Times New Roman"/>
        </w:rPr>
        <w:t xml:space="preserve">tko mistakenly listed </w:t>
      </w:r>
      <w:r w:rsidR="001B7C3C">
        <w:rPr>
          <w:rFonts w:ascii="Times New Roman" w:hAnsi="Times New Roman" w:cs="Times New Roman"/>
        </w:rPr>
        <w:t xml:space="preserve">only </w:t>
      </w:r>
      <w:r w:rsidR="00931284">
        <w:rPr>
          <w:rFonts w:ascii="Times New Roman" w:hAnsi="Times New Roman" w:cs="Times New Roman"/>
        </w:rPr>
        <w:t xml:space="preserve">the $134.86 refund, Respondent alleges.  Thus </w:t>
      </w:r>
      <w:r w:rsidR="00907BE8">
        <w:rPr>
          <w:rFonts w:ascii="Times New Roman" w:hAnsi="Times New Roman" w:cs="Times New Roman"/>
        </w:rPr>
        <w:t>on April 25, 201</w:t>
      </w:r>
      <w:r w:rsidR="00C84A51">
        <w:rPr>
          <w:rFonts w:ascii="Times New Roman" w:hAnsi="Times New Roman" w:cs="Times New Roman"/>
        </w:rPr>
        <w:t>4</w:t>
      </w:r>
      <w:r w:rsidR="00907BE8">
        <w:rPr>
          <w:rFonts w:ascii="Times New Roman" w:hAnsi="Times New Roman" w:cs="Times New Roman"/>
        </w:rPr>
        <w:t xml:space="preserve">, </w:t>
      </w:r>
      <w:r w:rsidR="00931284">
        <w:rPr>
          <w:rFonts w:ascii="Times New Roman" w:hAnsi="Times New Roman" w:cs="Times New Roman"/>
        </w:rPr>
        <w:t>Mr. W</w:t>
      </w:r>
      <w:r w:rsidR="005E147E">
        <w:rPr>
          <w:rFonts w:ascii="Times New Roman" w:hAnsi="Times New Roman" w:cs="Times New Roman"/>
        </w:rPr>
        <w:t>o</w:t>
      </w:r>
      <w:r w:rsidR="00931284">
        <w:rPr>
          <w:rFonts w:ascii="Times New Roman" w:hAnsi="Times New Roman" w:cs="Times New Roman"/>
        </w:rPr>
        <w:t>itko</w:t>
      </w:r>
      <w:r w:rsidR="00907BE8">
        <w:rPr>
          <w:rFonts w:ascii="Times New Roman" w:hAnsi="Times New Roman" w:cs="Times New Roman"/>
        </w:rPr>
        <w:t xml:space="preserve"> filed an objection to the Certificate of Satisfaction.  </w:t>
      </w:r>
      <w:r w:rsidR="00B837B0">
        <w:rPr>
          <w:rFonts w:ascii="Times New Roman" w:hAnsi="Times New Roman" w:cs="Times New Roman"/>
        </w:rPr>
        <w:t xml:space="preserve">  </w:t>
      </w:r>
      <w:r w:rsidR="00444CF6">
        <w:rPr>
          <w:rFonts w:ascii="Times New Roman" w:hAnsi="Times New Roman" w:cs="Times New Roman"/>
        </w:rPr>
        <w:t xml:space="preserve">As relief, </w:t>
      </w:r>
      <w:r w:rsidR="00931284">
        <w:rPr>
          <w:rFonts w:ascii="Times New Roman" w:hAnsi="Times New Roman" w:cs="Times New Roman"/>
        </w:rPr>
        <w:t>IDT</w:t>
      </w:r>
      <w:r w:rsidR="00444CF6">
        <w:rPr>
          <w:rFonts w:ascii="Times New Roman" w:hAnsi="Times New Roman" w:cs="Times New Roman"/>
        </w:rPr>
        <w:t xml:space="preserve"> requested</w:t>
      </w:r>
      <w:r w:rsidR="002C5BDE">
        <w:rPr>
          <w:rFonts w:ascii="Times New Roman" w:hAnsi="Times New Roman" w:cs="Times New Roman"/>
        </w:rPr>
        <w:t xml:space="preserve"> that the matter be assigned </w:t>
      </w:r>
      <w:r w:rsidR="000250BB">
        <w:rPr>
          <w:rFonts w:ascii="Times New Roman" w:hAnsi="Times New Roman" w:cs="Times New Roman"/>
        </w:rPr>
        <w:t xml:space="preserve">to </w:t>
      </w:r>
      <w:r w:rsidR="002C5BDE">
        <w:rPr>
          <w:rFonts w:ascii="Times New Roman" w:hAnsi="Times New Roman" w:cs="Times New Roman"/>
        </w:rPr>
        <w:t>the Commission’s mediation program.</w:t>
      </w:r>
    </w:p>
    <w:p w:rsidR="002C5BDE" w:rsidRDefault="002C5BDE" w:rsidP="00CC54C7">
      <w:pPr>
        <w:pStyle w:val="ParaTab1"/>
        <w:spacing w:line="360" w:lineRule="auto"/>
        <w:ind w:firstLine="1354"/>
        <w:rPr>
          <w:rFonts w:ascii="Times New Roman" w:hAnsi="Times New Roman" w:cs="Times New Roman"/>
        </w:rPr>
      </w:pPr>
    </w:p>
    <w:p w:rsidR="00FE0EB0" w:rsidRDefault="002C5BDE" w:rsidP="00CC54C7">
      <w:pPr>
        <w:spacing w:line="360" w:lineRule="auto"/>
        <w:ind w:firstLine="1440"/>
        <w:rPr>
          <w:rFonts w:ascii="Times New Roman" w:hAnsi="Times New Roman" w:cs="Times New Roman"/>
          <w:spacing w:val="-3"/>
        </w:rPr>
      </w:pPr>
      <w:r>
        <w:rPr>
          <w:rFonts w:ascii="Times New Roman" w:hAnsi="Times New Roman" w:cs="Times New Roman"/>
        </w:rPr>
        <w:t xml:space="preserve">By Interim Order of the Chief Administrative Law Judge dated May 29, 2014, the case was referred to the </w:t>
      </w:r>
      <w:r w:rsidRPr="002C5BDE">
        <w:rPr>
          <w:rFonts w:ascii="Times New Roman" w:hAnsi="Times New Roman" w:cs="Times New Roman"/>
          <w:spacing w:val="-3"/>
        </w:rPr>
        <w:t>Commission’s Mediation Unit for the mediation review process.</w:t>
      </w:r>
      <w:r w:rsidR="00FE0EB0">
        <w:rPr>
          <w:rFonts w:ascii="Times New Roman" w:hAnsi="Times New Roman" w:cs="Times New Roman"/>
          <w:spacing w:val="-3"/>
        </w:rPr>
        <w:t xml:space="preserve">  </w:t>
      </w:r>
      <w:r w:rsidR="00E97FED">
        <w:rPr>
          <w:rFonts w:ascii="Times New Roman" w:hAnsi="Times New Roman" w:cs="Times New Roman"/>
          <w:spacing w:val="-3"/>
        </w:rPr>
        <w:t>Resolution of the complaint was not achieved during m</w:t>
      </w:r>
      <w:r w:rsidR="005F4580">
        <w:rPr>
          <w:rFonts w:ascii="Times New Roman" w:hAnsi="Times New Roman" w:cs="Times New Roman"/>
          <w:spacing w:val="-3"/>
        </w:rPr>
        <w:t>ediation</w:t>
      </w:r>
      <w:r w:rsidR="00E97FED">
        <w:rPr>
          <w:rFonts w:ascii="Times New Roman" w:hAnsi="Times New Roman" w:cs="Times New Roman"/>
          <w:spacing w:val="-3"/>
        </w:rPr>
        <w:t>, and o</w:t>
      </w:r>
      <w:r w:rsidR="00FE0EB0">
        <w:rPr>
          <w:rFonts w:ascii="Times New Roman" w:hAnsi="Times New Roman" w:cs="Times New Roman"/>
          <w:spacing w:val="-3"/>
        </w:rPr>
        <w:t>n December 10, 2014, the mediator’s report was submitted to the Mediation Uni</w:t>
      </w:r>
      <w:r w:rsidR="0003159A">
        <w:rPr>
          <w:rFonts w:ascii="Times New Roman" w:hAnsi="Times New Roman" w:cs="Times New Roman"/>
          <w:spacing w:val="-3"/>
        </w:rPr>
        <w:t>t</w:t>
      </w:r>
      <w:r w:rsidR="00FE0EB0">
        <w:rPr>
          <w:rFonts w:ascii="Times New Roman" w:hAnsi="Times New Roman" w:cs="Times New Roman"/>
          <w:spacing w:val="-3"/>
        </w:rPr>
        <w:t>.</w:t>
      </w:r>
    </w:p>
    <w:p w:rsidR="00FE0EB0" w:rsidRPr="00FE0EB0" w:rsidRDefault="00FE0EB0" w:rsidP="00CC54C7">
      <w:pPr>
        <w:spacing w:line="360" w:lineRule="auto"/>
        <w:ind w:firstLine="1440"/>
        <w:rPr>
          <w:rFonts w:ascii="Times New Roman" w:hAnsi="Times New Roman" w:cs="Times New Roman"/>
          <w:spacing w:val="-3"/>
        </w:rPr>
      </w:pPr>
    </w:p>
    <w:p w:rsidR="00FB6A8E" w:rsidRDefault="0003159A" w:rsidP="00CC54C7">
      <w:pPr>
        <w:spacing w:line="360" w:lineRule="auto"/>
        <w:ind w:firstLine="1440"/>
      </w:pPr>
      <w:r>
        <w:t xml:space="preserve">On November 12, 2014, a hearing notice was mailed to the parties informing them that a </w:t>
      </w:r>
      <w:r w:rsidRPr="009E7B03">
        <w:t>Call-In Telephon</w:t>
      </w:r>
      <w:r>
        <w:t>e</w:t>
      </w:r>
      <w:r w:rsidRPr="009E7B03">
        <w:t xml:space="preserve"> Hearing </w:t>
      </w:r>
      <w:r>
        <w:t>was scheduled before me on January 6, 2015,</w:t>
      </w:r>
      <w:r w:rsidRPr="009E7B03">
        <w:t xml:space="preserve"> </w:t>
      </w:r>
      <w:r>
        <w:t xml:space="preserve">at </w:t>
      </w:r>
    </w:p>
    <w:p w:rsidR="002C5BDE" w:rsidRPr="002C5BDE" w:rsidRDefault="0003159A" w:rsidP="00FB6A8E">
      <w:pPr>
        <w:spacing w:line="360" w:lineRule="auto"/>
        <w:rPr>
          <w:rFonts w:ascii="Times New Roman" w:hAnsi="Times New Roman" w:cs="Times New Roman"/>
          <w:spacing w:val="-3"/>
        </w:rPr>
      </w:pPr>
      <w:r w:rsidRPr="009E7B03">
        <w:t xml:space="preserve">10:00 a.m.  </w:t>
      </w:r>
      <w:r>
        <w:t>On November 13, 2014, I issued a prehearing order reminding the parties of the date</w:t>
      </w:r>
      <w:r w:rsidR="00704966">
        <w:t xml:space="preserve"> and</w:t>
      </w:r>
      <w:r>
        <w:t xml:space="preserve"> time</w:t>
      </w:r>
      <w:r w:rsidR="00704966">
        <w:t xml:space="preserve"> </w:t>
      </w:r>
      <w:r>
        <w:t>of the hearing and applicable procedural rules.</w:t>
      </w:r>
    </w:p>
    <w:p w:rsidR="002C5BDE" w:rsidRDefault="002C5BDE" w:rsidP="00CC54C7">
      <w:pPr>
        <w:pStyle w:val="ParaTab1"/>
        <w:spacing w:line="360" w:lineRule="auto"/>
        <w:ind w:firstLine="1354"/>
        <w:rPr>
          <w:rFonts w:ascii="Times New Roman" w:hAnsi="Times New Roman" w:cs="Times New Roman"/>
        </w:rPr>
      </w:pPr>
    </w:p>
    <w:p w:rsidR="00F05BC7" w:rsidRDefault="00F05BC7" w:rsidP="00CC54C7">
      <w:pPr>
        <w:pStyle w:val="ParaTab1"/>
        <w:spacing w:line="360" w:lineRule="auto"/>
        <w:ind w:firstLine="1354"/>
        <w:rPr>
          <w:rFonts w:ascii="Times New Roman" w:hAnsi="Times New Roman" w:cs="Times New Roman"/>
        </w:rPr>
      </w:pPr>
    </w:p>
    <w:p w:rsidR="00FB6A8E" w:rsidRDefault="0003159A" w:rsidP="00CC54C7">
      <w:pPr>
        <w:pStyle w:val="ParaTab1"/>
        <w:spacing w:line="360" w:lineRule="auto"/>
        <w:ind w:firstLine="1354"/>
        <w:rPr>
          <w:rFonts w:ascii="Times New Roman" w:hAnsi="Times New Roman" w:cs="Times New Roman"/>
        </w:rPr>
      </w:pPr>
      <w:r>
        <w:rPr>
          <w:rFonts w:ascii="Times New Roman" w:hAnsi="Times New Roman" w:cs="Times New Roman"/>
        </w:rPr>
        <w:lastRenderedPageBreak/>
        <w:t>The hearing convened a</w:t>
      </w:r>
      <w:r w:rsidR="00C6410E">
        <w:rPr>
          <w:rFonts w:ascii="Times New Roman" w:hAnsi="Times New Roman" w:cs="Times New Roman"/>
        </w:rPr>
        <w:t xml:space="preserve">s </w:t>
      </w:r>
      <w:r>
        <w:rPr>
          <w:rFonts w:ascii="Times New Roman" w:hAnsi="Times New Roman" w:cs="Times New Roman"/>
        </w:rPr>
        <w:t xml:space="preserve">scheduled.  Complainant appeared and was represented by </w:t>
      </w:r>
      <w:r w:rsidR="00931284">
        <w:rPr>
          <w:rFonts w:ascii="Times New Roman" w:hAnsi="Times New Roman" w:cs="Times New Roman"/>
        </w:rPr>
        <w:t xml:space="preserve">his son, </w:t>
      </w:r>
      <w:r>
        <w:rPr>
          <w:rFonts w:ascii="Times New Roman" w:hAnsi="Times New Roman" w:cs="Times New Roman"/>
        </w:rPr>
        <w:t>Joseph A. Woitko, Esquire</w:t>
      </w:r>
      <w:r w:rsidR="00EE7B2D">
        <w:rPr>
          <w:rFonts w:ascii="Times New Roman" w:hAnsi="Times New Roman" w:cs="Times New Roman"/>
        </w:rPr>
        <w:t xml:space="preserve">.  Complainant testified on his behalf and sponsored one </w:t>
      </w:r>
    </w:p>
    <w:p w:rsidR="005F4580" w:rsidRDefault="00EE7B2D" w:rsidP="00FB6A8E">
      <w:pPr>
        <w:pStyle w:val="ParaTab1"/>
        <w:spacing w:line="360" w:lineRule="auto"/>
        <w:ind w:firstLine="0"/>
        <w:rPr>
          <w:rFonts w:ascii="Times New Roman" w:hAnsi="Times New Roman" w:cs="Times New Roman"/>
        </w:rPr>
      </w:pPr>
      <w:proofErr w:type="gramStart"/>
      <w:r>
        <w:rPr>
          <w:rFonts w:ascii="Times New Roman" w:hAnsi="Times New Roman" w:cs="Times New Roman"/>
        </w:rPr>
        <w:t>exhibit</w:t>
      </w:r>
      <w:proofErr w:type="gramEnd"/>
      <w:r>
        <w:rPr>
          <w:rFonts w:ascii="Times New Roman" w:hAnsi="Times New Roman" w:cs="Times New Roman"/>
        </w:rPr>
        <w:t>, which was admitted into the record.  Respondent was represented by Michael A. Gruin, Esquire, who called one witness, Wayne Stoughton, Vice President of Customer Services and Regulatory Compliance.  Mr. S</w:t>
      </w:r>
      <w:r w:rsidR="00FB6A8E">
        <w:rPr>
          <w:rFonts w:ascii="Times New Roman" w:hAnsi="Times New Roman" w:cs="Times New Roman"/>
        </w:rPr>
        <w:t>t</w:t>
      </w:r>
      <w:r>
        <w:rPr>
          <w:rFonts w:ascii="Times New Roman" w:hAnsi="Times New Roman" w:cs="Times New Roman"/>
        </w:rPr>
        <w:t xml:space="preserve">oughton sponsored six exhibits which were admitted into the record.  </w:t>
      </w:r>
      <w:r w:rsidR="001867ED">
        <w:rPr>
          <w:rFonts w:ascii="Times New Roman" w:hAnsi="Times New Roman" w:cs="Times New Roman"/>
        </w:rPr>
        <w:t xml:space="preserve">Upon </w:t>
      </w:r>
      <w:r>
        <w:rPr>
          <w:rFonts w:ascii="Times New Roman" w:hAnsi="Times New Roman" w:cs="Times New Roman"/>
        </w:rPr>
        <w:t>co</w:t>
      </w:r>
      <w:r w:rsidR="001867ED">
        <w:rPr>
          <w:rFonts w:ascii="Times New Roman" w:hAnsi="Times New Roman" w:cs="Times New Roman"/>
        </w:rPr>
        <w:t>mpletion of testimony</w:t>
      </w:r>
      <w:r w:rsidR="00704966">
        <w:rPr>
          <w:rFonts w:ascii="Times New Roman" w:hAnsi="Times New Roman" w:cs="Times New Roman"/>
        </w:rPr>
        <w:t>, the parties</w:t>
      </w:r>
      <w:r>
        <w:rPr>
          <w:rFonts w:ascii="Times New Roman" w:hAnsi="Times New Roman" w:cs="Times New Roman"/>
        </w:rPr>
        <w:t xml:space="preserve"> were given the opportunity to file a memorandum of law, in lieu of oral argument.  </w:t>
      </w:r>
      <w:r w:rsidR="00525552">
        <w:rPr>
          <w:rFonts w:ascii="Times New Roman" w:hAnsi="Times New Roman" w:cs="Times New Roman"/>
        </w:rPr>
        <w:t xml:space="preserve">In order to provide sufficient time for receipt of the transcript and the filing of memorandums of law, </w:t>
      </w:r>
      <w:r>
        <w:rPr>
          <w:rFonts w:ascii="Times New Roman" w:hAnsi="Times New Roman" w:cs="Times New Roman"/>
        </w:rPr>
        <w:t xml:space="preserve">I informed the parties </w:t>
      </w:r>
      <w:r w:rsidR="00525552">
        <w:rPr>
          <w:rFonts w:ascii="Times New Roman" w:hAnsi="Times New Roman" w:cs="Times New Roman"/>
        </w:rPr>
        <w:t xml:space="preserve">that the record would remain open until March 1, 2015.  The hearing </w:t>
      </w:r>
      <w:r w:rsidR="00D9074C">
        <w:rPr>
          <w:rFonts w:ascii="Times New Roman" w:hAnsi="Times New Roman" w:cs="Times New Roman"/>
        </w:rPr>
        <w:t xml:space="preserve">generated </w:t>
      </w:r>
      <w:r w:rsidR="00525552">
        <w:rPr>
          <w:rFonts w:ascii="Times New Roman" w:hAnsi="Times New Roman" w:cs="Times New Roman"/>
        </w:rPr>
        <w:t xml:space="preserve">a 100-page transcript </w:t>
      </w:r>
      <w:r w:rsidR="005F4580">
        <w:rPr>
          <w:rFonts w:ascii="Times New Roman" w:hAnsi="Times New Roman" w:cs="Times New Roman"/>
        </w:rPr>
        <w:t xml:space="preserve">in Pittsburgh </w:t>
      </w:r>
      <w:r w:rsidR="00525552">
        <w:rPr>
          <w:rFonts w:ascii="Times New Roman" w:hAnsi="Times New Roman" w:cs="Times New Roman"/>
        </w:rPr>
        <w:t>on January 26, 2015.</w:t>
      </w:r>
    </w:p>
    <w:p w:rsidR="00506987" w:rsidRDefault="00525552" w:rsidP="00CC54C7">
      <w:pPr>
        <w:pStyle w:val="ParaTab1"/>
        <w:tabs>
          <w:tab w:val="clear" w:pos="-720"/>
        </w:tabs>
        <w:spacing w:line="360" w:lineRule="auto"/>
        <w:ind w:firstLine="0"/>
        <w:rPr>
          <w:rFonts w:ascii="Times New Roman" w:hAnsi="Times New Roman" w:cs="Times New Roman"/>
        </w:rPr>
      </w:pPr>
      <w:r>
        <w:rPr>
          <w:rFonts w:ascii="Times New Roman" w:hAnsi="Times New Roman" w:cs="Times New Roman"/>
        </w:rPr>
        <w:t xml:space="preserve">  </w:t>
      </w:r>
    </w:p>
    <w:p w:rsidR="00402F55" w:rsidRDefault="00EE7B2D" w:rsidP="00CC54C7">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25552">
        <w:rPr>
          <w:rFonts w:ascii="Times New Roman" w:hAnsi="Times New Roman" w:cs="Times New Roman"/>
        </w:rPr>
        <w:t xml:space="preserve">Respondent filed its memorandum of law of February 27, 2015.  Complainant did not file a memorandum of law.  The record </w:t>
      </w:r>
      <w:r w:rsidR="001867ED">
        <w:rPr>
          <w:rFonts w:ascii="Times New Roman" w:hAnsi="Times New Roman" w:cs="Times New Roman"/>
        </w:rPr>
        <w:t xml:space="preserve">was </w:t>
      </w:r>
      <w:r w:rsidR="006E1A21">
        <w:rPr>
          <w:rFonts w:ascii="Times New Roman" w:hAnsi="Times New Roman" w:cs="Times New Roman"/>
        </w:rPr>
        <w:t xml:space="preserve">closed by interim order dated </w:t>
      </w:r>
      <w:r w:rsidR="00525552">
        <w:rPr>
          <w:rFonts w:ascii="Times New Roman" w:hAnsi="Times New Roman" w:cs="Times New Roman"/>
        </w:rPr>
        <w:t>March 2, 2015.  This case is procedurally ready for ruling.</w:t>
      </w:r>
    </w:p>
    <w:p w:rsidR="005F4580" w:rsidRDefault="005F4580" w:rsidP="00CC54C7">
      <w:pPr>
        <w:spacing w:line="360" w:lineRule="auto"/>
        <w:jc w:val="center"/>
        <w:outlineLvl w:val="0"/>
        <w:rPr>
          <w:rFonts w:ascii="Times New Roman" w:hAnsi="Times New Roman" w:cs="Times New Roman"/>
          <w:u w:val="single"/>
        </w:rPr>
      </w:pPr>
    </w:p>
    <w:p w:rsidR="00415A15" w:rsidRPr="00D2555A" w:rsidRDefault="00415A15" w:rsidP="00CC54C7">
      <w:pPr>
        <w:spacing w:line="360" w:lineRule="auto"/>
        <w:jc w:val="center"/>
        <w:outlineLvl w:val="0"/>
        <w:rPr>
          <w:rFonts w:ascii="Times New Roman" w:hAnsi="Times New Roman" w:cs="Times New Roman"/>
          <w:u w:val="single"/>
        </w:rPr>
      </w:pPr>
      <w:r w:rsidRPr="00D2555A">
        <w:rPr>
          <w:rFonts w:ascii="Times New Roman" w:hAnsi="Times New Roman" w:cs="Times New Roman"/>
          <w:u w:val="single"/>
        </w:rPr>
        <w:t>FINDINGS OF FACT</w:t>
      </w:r>
    </w:p>
    <w:p w:rsidR="00415A15" w:rsidRPr="00D2555A" w:rsidRDefault="00415A15" w:rsidP="00CC54C7">
      <w:pPr>
        <w:spacing w:line="360" w:lineRule="auto"/>
        <w:jc w:val="center"/>
        <w:rPr>
          <w:rFonts w:ascii="Times New Roman" w:hAnsi="Times New Roman" w:cs="Times New Roman"/>
          <w:u w:val="single"/>
        </w:rPr>
      </w:pPr>
    </w:p>
    <w:p w:rsidR="005F4580" w:rsidRDefault="00415A15" w:rsidP="00CC54C7">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1.</w:t>
      </w:r>
      <w:r w:rsidRPr="00D2555A">
        <w:rPr>
          <w:rFonts w:ascii="Times New Roman" w:hAnsi="Times New Roman" w:cs="Times New Roman"/>
        </w:rPr>
        <w:tab/>
        <w:t xml:space="preserve">Complainant </w:t>
      </w:r>
      <w:r w:rsidR="005F4580">
        <w:rPr>
          <w:rFonts w:ascii="Times New Roman" w:hAnsi="Times New Roman" w:cs="Times New Roman"/>
        </w:rPr>
        <w:t xml:space="preserve">Joseph J. </w:t>
      </w:r>
      <w:proofErr w:type="spellStart"/>
      <w:r w:rsidR="005F4580">
        <w:rPr>
          <w:rFonts w:ascii="Times New Roman" w:hAnsi="Times New Roman" w:cs="Times New Roman"/>
        </w:rPr>
        <w:t>Woitko</w:t>
      </w:r>
      <w:proofErr w:type="spellEnd"/>
      <w:r w:rsidR="005F4580">
        <w:rPr>
          <w:rFonts w:ascii="Times New Roman" w:hAnsi="Times New Roman" w:cs="Times New Roman"/>
        </w:rPr>
        <w:t>, Jr.</w:t>
      </w:r>
      <w:r w:rsidR="003A1FE5">
        <w:rPr>
          <w:rFonts w:ascii="Times New Roman" w:hAnsi="Times New Roman" w:cs="Times New Roman"/>
        </w:rPr>
        <w:t>,</w:t>
      </w:r>
      <w:r w:rsidR="005F4580">
        <w:rPr>
          <w:rFonts w:ascii="Times New Roman" w:hAnsi="Times New Roman" w:cs="Times New Roman"/>
        </w:rPr>
        <w:t xml:space="preserve"> </w:t>
      </w:r>
      <w:r w:rsidR="001867ED">
        <w:rPr>
          <w:rFonts w:ascii="Times New Roman" w:hAnsi="Times New Roman" w:cs="Times New Roman"/>
        </w:rPr>
        <w:t xml:space="preserve">age 73, </w:t>
      </w:r>
      <w:r w:rsidR="005F4580">
        <w:rPr>
          <w:rFonts w:ascii="Times New Roman" w:hAnsi="Times New Roman" w:cs="Times New Roman"/>
        </w:rPr>
        <w:t xml:space="preserve">resides at 1199 Berwick Street, Beaver Meadows, Carbon County, Pennsylvania.  </w:t>
      </w:r>
      <w:r w:rsidR="00A7359B">
        <w:rPr>
          <w:rFonts w:ascii="Times New Roman" w:hAnsi="Times New Roman" w:cs="Times New Roman"/>
        </w:rPr>
        <w:t>Transcript (Tr.) 5.</w:t>
      </w:r>
    </w:p>
    <w:p w:rsidR="005F4580" w:rsidRDefault="005F4580" w:rsidP="00CC54C7">
      <w:pPr>
        <w:spacing w:line="360" w:lineRule="auto"/>
        <w:rPr>
          <w:rFonts w:ascii="Times New Roman" w:hAnsi="Times New Roman" w:cs="Times New Roman"/>
        </w:rPr>
      </w:pPr>
    </w:p>
    <w:p w:rsidR="00415A15" w:rsidRPr="00D2555A" w:rsidRDefault="00415A15" w:rsidP="00CC54C7">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2.</w:t>
      </w:r>
      <w:r w:rsidRPr="00D2555A">
        <w:rPr>
          <w:rFonts w:ascii="Times New Roman" w:hAnsi="Times New Roman" w:cs="Times New Roman"/>
        </w:rPr>
        <w:tab/>
        <w:t xml:space="preserve">Respondent </w:t>
      </w:r>
      <w:r w:rsidR="005F4580">
        <w:rPr>
          <w:rFonts w:ascii="Times New Roman" w:hAnsi="Times New Roman" w:cs="Times New Roman"/>
        </w:rPr>
        <w:t>IDT Energy, Inc. (Respondent or IDT), is a</w:t>
      </w:r>
      <w:r w:rsidR="00A7359B">
        <w:rPr>
          <w:rFonts w:ascii="Times New Roman" w:hAnsi="Times New Roman" w:cs="Times New Roman"/>
        </w:rPr>
        <w:t xml:space="preserve"> jurisdictional</w:t>
      </w:r>
      <w:r w:rsidR="005F4580">
        <w:rPr>
          <w:rFonts w:ascii="Times New Roman" w:hAnsi="Times New Roman" w:cs="Times New Roman"/>
        </w:rPr>
        <w:t xml:space="preserve"> electric generation supplier</w:t>
      </w:r>
      <w:r w:rsidR="00634F05">
        <w:rPr>
          <w:rFonts w:ascii="Times New Roman" w:hAnsi="Times New Roman" w:cs="Times New Roman"/>
        </w:rPr>
        <w:t xml:space="preserve"> (EGS)</w:t>
      </w:r>
      <w:r w:rsidR="005F4580">
        <w:rPr>
          <w:rFonts w:ascii="Times New Roman" w:hAnsi="Times New Roman" w:cs="Times New Roman"/>
        </w:rPr>
        <w:t xml:space="preserve">, </w:t>
      </w:r>
      <w:r w:rsidR="00E55E07">
        <w:rPr>
          <w:rFonts w:ascii="Times New Roman" w:hAnsi="Times New Roman" w:cs="Times New Roman"/>
        </w:rPr>
        <w:t>provid</w:t>
      </w:r>
      <w:r w:rsidR="005F4580">
        <w:rPr>
          <w:rFonts w:ascii="Times New Roman" w:hAnsi="Times New Roman" w:cs="Times New Roman"/>
        </w:rPr>
        <w:t xml:space="preserve">ing electricity to Pennsylvania customers. </w:t>
      </w:r>
    </w:p>
    <w:p w:rsidR="00415A15" w:rsidRPr="00D2555A" w:rsidRDefault="00415A15" w:rsidP="00CC54C7">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p>
    <w:p w:rsidR="00231A37" w:rsidRDefault="00231A37"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86C55">
        <w:rPr>
          <w:rFonts w:ascii="Times New Roman" w:hAnsi="Times New Roman" w:cs="Times New Roman"/>
        </w:rPr>
        <w:t>3</w:t>
      </w:r>
      <w:r>
        <w:rPr>
          <w:rFonts w:ascii="Times New Roman" w:hAnsi="Times New Roman" w:cs="Times New Roman"/>
        </w:rPr>
        <w:t>.</w:t>
      </w:r>
      <w:r>
        <w:rPr>
          <w:rFonts w:ascii="Times New Roman" w:hAnsi="Times New Roman" w:cs="Times New Roman"/>
        </w:rPr>
        <w:tab/>
        <w:t>PPL Electric Utilities (PPL) is Mr. Wo</w:t>
      </w:r>
      <w:r w:rsidR="00E55E07">
        <w:rPr>
          <w:rFonts w:ascii="Times New Roman" w:hAnsi="Times New Roman" w:cs="Times New Roman"/>
        </w:rPr>
        <w:t>i</w:t>
      </w:r>
      <w:r>
        <w:rPr>
          <w:rFonts w:ascii="Times New Roman" w:hAnsi="Times New Roman" w:cs="Times New Roman"/>
        </w:rPr>
        <w:t>tko’s electric distribution company (EDC).  Tr. 10; Complainant’s Exhibit (C-Exh.) 1.</w:t>
      </w:r>
    </w:p>
    <w:p w:rsidR="00231A37" w:rsidRDefault="00231A37" w:rsidP="00CC54C7">
      <w:pPr>
        <w:spacing w:line="360" w:lineRule="auto"/>
        <w:rPr>
          <w:rFonts w:ascii="Times New Roman" w:hAnsi="Times New Roman" w:cs="Times New Roman"/>
        </w:rPr>
      </w:pPr>
    </w:p>
    <w:p w:rsidR="00A257F9" w:rsidRDefault="00231A37"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86C55">
        <w:rPr>
          <w:rFonts w:ascii="Times New Roman" w:hAnsi="Times New Roman" w:cs="Times New Roman"/>
        </w:rPr>
        <w:t>4</w:t>
      </w:r>
      <w:r>
        <w:rPr>
          <w:rFonts w:ascii="Times New Roman" w:hAnsi="Times New Roman" w:cs="Times New Roman"/>
        </w:rPr>
        <w:t>.</w:t>
      </w:r>
      <w:r>
        <w:rPr>
          <w:rFonts w:ascii="Times New Roman" w:hAnsi="Times New Roman" w:cs="Times New Roman"/>
        </w:rPr>
        <w:tab/>
      </w:r>
      <w:r w:rsidR="00A257F9">
        <w:rPr>
          <w:rFonts w:ascii="Times New Roman" w:hAnsi="Times New Roman" w:cs="Times New Roman"/>
        </w:rPr>
        <w:t>Mr. Wo</w:t>
      </w:r>
      <w:r w:rsidR="00E55E07">
        <w:rPr>
          <w:rFonts w:ascii="Times New Roman" w:hAnsi="Times New Roman" w:cs="Times New Roman"/>
        </w:rPr>
        <w:t>i</w:t>
      </w:r>
      <w:r w:rsidR="00A257F9">
        <w:rPr>
          <w:rFonts w:ascii="Times New Roman" w:hAnsi="Times New Roman" w:cs="Times New Roman"/>
        </w:rPr>
        <w:t>tko</w:t>
      </w:r>
      <w:r w:rsidR="00591302">
        <w:rPr>
          <w:rFonts w:ascii="Times New Roman" w:hAnsi="Times New Roman" w:cs="Times New Roman"/>
        </w:rPr>
        <w:t>’s</w:t>
      </w:r>
      <w:r w:rsidR="00A257F9">
        <w:rPr>
          <w:rFonts w:ascii="Times New Roman" w:hAnsi="Times New Roman" w:cs="Times New Roman"/>
        </w:rPr>
        <w:t xml:space="preserve"> son, </w:t>
      </w:r>
      <w:r w:rsidR="00A7359B">
        <w:rPr>
          <w:rFonts w:ascii="Times New Roman" w:hAnsi="Times New Roman" w:cs="Times New Roman"/>
        </w:rPr>
        <w:t xml:space="preserve">Attorney </w:t>
      </w:r>
      <w:r w:rsidR="00A257F9">
        <w:rPr>
          <w:rFonts w:ascii="Times New Roman" w:hAnsi="Times New Roman" w:cs="Times New Roman"/>
        </w:rPr>
        <w:t xml:space="preserve">Joseph A. </w:t>
      </w:r>
      <w:proofErr w:type="spellStart"/>
      <w:r w:rsidR="00A257F9">
        <w:rPr>
          <w:rFonts w:ascii="Times New Roman" w:hAnsi="Times New Roman" w:cs="Times New Roman"/>
        </w:rPr>
        <w:t>Wo</w:t>
      </w:r>
      <w:r w:rsidR="00E55E07">
        <w:rPr>
          <w:rFonts w:ascii="Times New Roman" w:hAnsi="Times New Roman" w:cs="Times New Roman"/>
        </w:rPr>
        <w:t>i</w:t>
      </w:r>
      <w:r w:rsidR="00A257F9">
        <w:rPr>
          <w:rFonts w:ascii="Times New Roman" w:hAnsi="Times New Roman" w:cs="Times New Roman"/>
        </w:rPr>
        <w:t>tko</w:t>
      </w:r>
      <w:proofErr w:type="spellEnd"/>
      <w:r w:rsidR="00D65BCD">
        <w:rPr>
          <w:rFonts w:ascii="Times New Roman" w:hAnsi="Times New Roman" w:cs="Times New Roman"/>
        </w:rPr>
        <w:t xml:space="preserve"> (Attorney </w:t>
      </w:r>
      <w:proofErr w:type="spellStart"/>
      <w:r w:rsidR="00D65BCD">
        <w:rPr>
          <w:rFonts w:ascii="Times New Roman" w:hAnsi="Times New Roman" w:cs="Times New Roman"/>
        </w:rPr>
        <w:t>Woitko</w:t>
      </w:r>
      <w:proofErr w:type="spellEnd"/>
      <w:r w:rsidR="00D65BCD">
        <w:rPr>
          <w:rFonts w:ascii="Times New Roman" w:hAnsi="Times New Roman" w:cs="Times New Roman"/>
        </w:rPr>
        <w:t>)</w:t>
      </w:r>
      <w:r w:rsidR="00770B30">
        <w:rPr>
          <w:rFonts w:ascii="Times New Roman" w:hAnsi="Times New Roman" w:cs="Times New Roman"/>
        </w:rPr>
        <w:t>, represented him at the hearing</w:t>
      </w:r>
      <w:r w:rsidR="00A257F9">
        <w:rPr>
          <w:rFonts w:ascii="Times New Roman" w:hAnsi="Times New Roman" w:cs="Times New Roman"/>
        </w:rPr>
        <w:t xml:space="preserve">.  </w:t>
      </w:r>
      <w:proofErr w:type="gramStart"/>
      <w:r w:rsidR="00A257F9">
        <w:rPr>
          <w:rFonts w:ascii="Times New Roman" w:hAnsi="Times New Roman" w:cs="Times New Roman"/>
        </w:rPr>
        <w:t xml:space="preserve">Tr. </w:t>
      </w:r>
      <w:r w:rsidR="00A7359B">
        <w:rPr>
          <w:rFonts w:ascii="Times New Roman" w:hAnsi="Times New Roman" w:cs="Times New Roman"/>
        </w:rPr>
        <w:t xml:space="preserve">6, </w:t>
      </w:r>
      <w:r w:rsidR="00A257F9">
        <w:rPr>
          <w:rFonts w:ascii="Times New Roman" w:hAnsi="Times New Roman" w:cs="Times New Roman"/>
        </w:rPr>
        <w:t>9.</w:t>
      </w:r>
      <w:proofErr w:type="gramEnd"/>
    </w:p>
    <w:p w:rsidR="00A257F9" w:rsidRDefault="00A257F9" w:rsidP="00CC54C7">
      <w:pPr>
        <w:spacing w:line="360" w:lineRule="auto"/>
        <w:rPr>
          <w:rFonts w:ascii="Times New Roman" w:hAnsi="Times New Roman" w:cs="Times New Roman"/>
        </w:rPr>
      </w:pPr>
    </w:p>
    <w:p w:rsidR="00A257F9" w:rsidRDefault="00A257F9"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t xml:space="preserve">In </w:t>
      </w:r>
      <w:r w:rsidR="00770B30">
        <w:rPr>
          <w:rFonts w:ascii="Times New Roman" w:hAnsi="Times New Roman" w:cs="Times New Roman"/>
        </w:rPr>
        <w:t>mid-</w:t>
      </w:r>
      <w:r>
        <w:rPr>
          <w:rFonts w:ascii="Times New Roman" w:hAnsi="Times New Roman" w:cs="Times New Roman"/>
        </w:rPr>
        <w:t>2011 Mr. Wo</w:t>
      </w:r>
      <w:r w:rsidR="00E55E07">
        <w:rPr>
          <w:rFonts w:ascii="Times New Roman" w:hAnsi="Times New Roman" w:cs="Times New Roman"/>
        </w:rPr>
        <w:t>i</w:t>
      </w:r>
      <w:r>
        <w:rPr>
          <w:rFonts w:ascii="Times New Roman" w:hAnsi="Times New Roman" w:cs="Times New Roman"/>
        </w:rPr>
        <w:t>tko received telemarketing calls from several EGS</w:t>
      </w:r>
      <w:r w:rsidR="00A7359B">
        <w:rPr>
          <w:rFonts w:ascii="Times New Roman" w:hAnsi="Times New Roman" w:cs="Times New Roman"/>
        </w:rPr>
        <w:t>s</w:t>
      </w:r>
      <w:r>
        <w:rPr>
          <w:rFonts w:ascii="Times New Roman" w:hAnsi="Times New Roman" w:cs="Times New Roman"/>
        </w:rPr>
        <w:t>, including IDT, seeking to enroll him as a customer.</w:t>
      </w:r>
      <w:r w:rsidR="00083FA0">
        <w:rPr>
          <w:rFonts w:ascii="Times New Roman" w:hAnsi="Times New Roman" w:cs="Times New Roman"/>
        </w:rPr>
        <w:t xml:space="preserve">  </w:t>
      </w:r>
      <w:proofErr w:type="gramStart"/>
      <w:r w:rsidR="00083FA0">
        <w:rPr>
          <w:rFonts w:ascii="Times New Roman" w:hAnsi="Times New Roman" w:cs="Times New Roman"/>
        </w:rPr>
        <w:t>Tr. 23</w:t>
      </w:r>
      <w:r w:rsidR="00A7359B">
        <w:rPr>
          <w:rFonts w:ascii="Times New Roman" w:hAnsi="Times New Roman" w:cs="Times New Roman"/>
        </w:rPr>
        <w:t>.</w:t>
      </w:r>
      <w:proofErr w:type="gramEnd"/>
    </w:p>
    <w:p w:rsidR="00A257F9" w:rsidRDefault="00A257F9" w:rsidP="00CC54C7">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7501C7">
        <w:rPr>
          <w:rFonts w:ascii="Times New Roman" w:hAnsi="Times New Roman" w:cs="Times New Roman"/>
        </w:rPr>
        <w:t>6.</w:t>
      </w:r>
      <w:r w:rsidR="007501C7">
        <w:rPr>
          <w:rFonts w:ascii="Times New Roman" w:hAnsi="Times New Roman" w:cs="Times New Roman"/>
        </w:rPr>
        <w:tab/>
        <w:t>When Mr. Wo</w:t>
      </w:r>
      <w:r w:rsidR="00E55E07">
        <w:rPr>
          <w:rFonts w:ascii="Times New Roman" w:hAnsi="Times New Roman" w:cs="Times New Roman"/>
        </w:rPr>
        <w:t>i</w:t>
      </w:r>
      <w:r w:rsidR="007501C7">
        <w:rPr>
          <w:rFonts w:ascii="Times New Roman" w:hAnsi="Times New Roman" w:cs="Times New Roman"/>
        </w:rPr>
        <w:t>tko spoke with IDT</w:t>
      </w:r>
      <w:r w:rsidR="00E55E07">
        <w:rPr>
          <w:rFonts w:ascii="Times New Roman" w:hAnsi="Times New Roman" w:cs="Times New Roman"/>
        </w:rPr>
        <w:t>’s representative</w:t>
      </w:r>
      <w:r w:rsidR="007501C7">
        <w:rPr>
          <w:rFonts w:ascii="Times New Roman" w:hAnsi="Times New Roman" w:cs="Times New Roman"/>
        </w:rPr>
        <w:t>, he decided upon IDT’s offer because “it seemed like the best offer for the time and so [he] took it.”  Tr. 13.  Afterwards, Mr. Wo</w:t>
      </w:r>
      <w:r w:rsidR="00E55E07">
        <w:rPr>
          <w:rFonts w:ascii="Times New Roman" w:hAnsi="Times New Roman" w:cs="Times New Roman"/>
        </w:rPr>
        <w:t>i</w:t>
      </w:r>
      <w:r w:rsidR="007501C7">
        <w:rPr>
          <w:rFonts w:ascii="Times New Roman" w:hAnsi="Times New Roman" w:cs="Times New Roman"/>
        </w:rPr>
        <w:t xml:space="preserve">tko </w:t>
      </w:r>
      <w:r w:rsidR="00591302">
        <w:rPr>
          <w:rFonts w:ascii="Times New Roman" w:hAnsi="Times New Roman" w:cs="Times New Roman"/>
        </w:rPr>
        <w:t>“</w:t>
      </w:r>
      <w:r w:rsidR="007501C7">
        <w:rPr>
          <w:rFonts w:ascii="Times New Roman" w:hAnsi="Times New Roman" w:cs="Times New Roman"/>
        </w:rPr>
        <w:t>turned the phone over to his son,</w:t>
      </w:r>
      <w:r w:rsidR="00591302">
        <w:rPr>
          <w:rFonts w:ascii="Times New Roman" w:hAnsi="Times New Roman" w:cs="Times New Roman"/>
        </w:rPr>
        <w:t>”</w:t>
      </w:r>
      <w:r w:rsidR="007501C7">
        <w:rPr>
          <w:rFonts w:ascii="Times New Roman" w:hAnsi="Times New Roman" w:cs="Times New Roman"/>
        </w:rPr>
        <w:t xml:space="preserve"> </w:t>
      </w:r>
      <w:r w:rsidR="00A7359B">
        <w:rPr>
          <w:rFonts w:ascii="Times New Roman" w:hAnsi="Times New Roman" w:cs="Times New Roman"/>
        </w:rPr>
        <w:t>A</w:t>
      </w:r>
      <w:r w:rsidR="007501C7">
        <w:rPr>
          <w:rFonts w:ascii="Times New Roman" w:hAnsi="Times New Roman" w:cs="Times New Roman"/>
        </w:rPr>
        <w:t>ttorney</w:t>
      </w:r>
      <w:r w:rsidR="00A7359B">
        <w:rPr>
          <w:rFonts w:ascii="Times New Roman" w:hAnsi="Times New Roman" w:cs="Times New Roman"/>
        </w:rPr>
        <w:t xml:space="preserve"> Wo</w:t>
      </w:r>
      <w:r w:rsidR="00E55E07">
        <w:rPr>
          <w:rFonts w:ascii="Times New Roman" w:hAnsi="Times New Roman" w:cs="Times New Roman"/>
        </w:rPr>
        <w:t>i</w:t>
      </w:r>
      <w:r w:rsidR="00A7359B">
        <w:rPr>
          <w:rFonts w:ascii="Times New Roman" w:hAnsi="Times New Roman" w:cs="Times New Roman"/>
        </w:rPr>
        <w:t>tko</w:t>
      </w:r>
      <w:r w:rsidR="007501C7">
        <w:rPr>
          <w:rFonts w:ascii="Times New Roman" w:hAnsi="Times New Roman" w:cs="Times New Roman"/>
        </w:rPr>
        <w:t xml:space="preserve">, </w:t>
      </w:r>
      <w:r w:rsidR="00770B30">
        <w:rPr>
          <w:rFonts w:ascii="Times New Roman" w:hAnsi="Times New Roman" w:cs="Times New Roman"/>
        </w:rPr>
        <w:t>“</w:t>
      </w:r>
      <w:r w:rsidR="007501C7">
        <w:rPr>
          <w:rFonts w:ascii="Times New Roman" w:hAnsi="Times New Roman" w:cs="Times New Roman"/>
        </w:rPr>
        <w:t>to conduct the rest of the conversation.</w:t>
      </w:r>
      <w:r w:rsidR="00770B30">
        <w:rPr>
          <w:rFonts w:ascii="Times New Roman" w:hAnsi="Times New Roman" w:cs="Times New Roman"/>
        </w:rPr>
        <w:t>”</w:t>
      </w:r>
      <w:r w:rsidR="007501C7">
        <w:rPr>
          <w:rFonts w:ascii="Times New Roman" w:hAnsi="Times New Roman" w:cs="Times New Roman"/>
        </w:rPr>
        <w:t xml:space="preserve">  Id.</w:t>
      </w:r>
    </w:p>
    <w:p w:rsidR="00591302" w:rsidRDefault="00591302" w:rsidP="00CC54C7">
      <w:pPr>
        <w:spacing w:line="360" w:lineRule="auto"/>
        <w:rPr>
          <w:rFonts w:ascii="Times New Roman" w:hAnsi="Times New Roman" w:cs="Times New Roman"/>
        </w:rPr>
      </w:pPr>
    </w:p>
    <w:p w:rsidR="001A3201" w:rsidRDefault="00F85375"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17867">
        <w:rPr>
          <w:rFonts w:ascii="Times New Roman" w:hAnsi="Times New Roman" w:cs="Times New Roman"/>
        </w:rPr>
        <w:t>7.</w:t>
      </w:r>
      <w:r w:rsidR="00717867">
        <w:rPr>
          <w:rFonts w:ascii="Times New Roman" w:hAnsi="Times New Roman" w:cs="Times New Roman"/>
        </w:rPr>
        <w:tab/>
      </w:r>
      <w:r w:rsidR="001A3201">
        <w:rPr>
          <w:rFonts w:ascii="Times New Roman" w:hAnsi="Times New Roman" w:cs="Times New Roman"/>
        </w:rPr>
        <w:t xml:space="preserve">Mr. Woitko does not recall the specifics of his enrollment conversation with IDT.  When he turned the phone over to his son, he said, “. . . see if you can make sense out of this situation with the power companies.”  </w:t>
      </w:r>
      <w:proofErr w:type="gramStart"/>
      <w:r w:rsidR="001A3201">
        <w:rPr>
          <w:rFonts w:ascii="Times New Roman" w:hAnsi="Times New Roman" w:cs="Times New Roman"/>
        </w:rPr>
        <w:t>Tr. 15.</w:t>
      </w:r>
      <w:proofErr w:type="gramEnd"/>
    </w:p>
    <w:p w:rsidR="00D03962" w:rsidRDefault="00D03962" w:rsidP="00CC54C7">
      <w:pPr>
        <w:spacing w:line="360" w:lineRule="auto"/>
        <w:rPr>
          <w:rFonts w:ascii="Times New Roman" w:hAnsi="Times New Roman" w:cs="Times New Roman"/>
        </w:rPr>
      </w:pPr>
    </w:p>
    <w:p w:rsidR="0088303B" w:rsidRDefault="00D03962"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8.</w:t>
      </w:r>
      <w:r>
        <w:rPr>
          <w:rFonts w:ascii="Times New Roman" w:hAnsi="Times New Roman" w:cs="Times New Roman"/>
        </w:rPr>
        <w:tab/>
      </w:r>
      <w:r w:rsidR="001A3201">
        <w:rPr>
          <w:rFonts w:ascii="Times New Roman" w:hAnsi="Times New Roman" w:cs="Times New Roman"/>
        </w:rPr>
        <w:t xml:space="preserve">On July 12, 2011, </w:t>
      </w:r>
      <w:r w:rsidR="00104E77">
        <w:rPr>
          <w:rFonts w:ascii="Times New Roman" w:hAnsi="Times New Roman" w:cs="Times New Roman"/>
        </w:rPr>
        <w:t>with the assistance of his son</w:t>
      </w:r>
      <w:r w:rsidR="00C00C88">
        <w:rPr>
          <w:rFonts w:ascii="Times New Roman" w:hAnsi="Times New Roman" w:cs="Times New Roman"/>
        </w:rPr>
        <w:t>, Attorney Woitko,</w:t>
      </w:r>
      <w:r w:rsidR="00104E77">
        <w:rPr>
          <w:rFonts w:ascii="Times New Roman" w:hAnsi="Times New Roman" w:cs="Times New Roman"/>
        </w:rPr>
        <w:t xml:space="preserve"> </w:t>
      </w:r>
    </w:p>
    <w:p w:rsidR="001A3201" w:rsidRDefault="00104E77" w:rsidP="00CC54C7">
      <w:pPr>
        <w:spacing w:line="360" w:lineRule="auto"/>
        <w:rPr>
          <w:rFonts w:ascii="Times New Roman" w:hAnsi="Times New Roman" w:cs="Times New Roman"/>
        </w:rPr>
      </w:pPr>
      <w:r>
        <w:rPr>
          <w:rFonts w:ascii="Times New Roman" w:hAnsi="Times New Roman" w:cs="Times New Roman"/>
        </w:rPr>
        <w:t xml:space="preserve">(Tr. 13), </w:t>
      </w:r>
      <w:r w:rsidR="001A3201">
        <w:rPr>
          <w:rFonts w:ascii="Times New Roman" w:hAnsi="Times New Roman" w:cs="Times New Roman"/>
        </w:rPr>
        <w:t>Mr. Woitko enrolled with IDT as his EGS</w:t>
      </w:r>
      <w:r w:rsidR="0073032F">
        <w:rPr>
          <w:rFonts w:ascii="Times New Roman" w:hAnsi="Times New Roman" w:cs="Times New Roman"/>
        </w:rPr>
        <w:t xml:space="preserve"> for two residential properties</w:t>
      </w:r>
      <w:r w:rsidR="001A3201">
        <w:rPr>
          <w:rFonts w:ascii="Times New Roman" w:hAnsi="Times New Roman" w:cs="Times New Roman"/>
        </w:rPr>
        <w:t xml:space="preserve">.  </w:t>
      </w:r>
      <w:proofErr w:type="gramStart"/>
      <w:r w:rsidR="001A3201">
        <w:rPr>
          <w:rFonts w:ascii="Times New Roman" w:hAnsi="Times New Roman" w:cs="Times New Roman"/>
        </w:rPr>
        <w:t>Tr. 58.</w:t>
      </w:r>
      <w:proofErr w:type="gramEnd"/>
    </w:p>
    <w:p w:rsidR="00231A37" w:rsidRDefault="00231A37" w:rsidP="00CC54C7">
      <w:pPr>
        <w:spacing w:line="360" w:lineRule="auto"/>
        <w:rPr>
          <w:rFonts w:ascii="Times New Roman" w:hAnsi="Times New Roman" w:cs="Times New Roman"/>
        </w:rPr>
      </w:pPr>
    </w:p>
    <w:p w:rsidR="00231A37" w:rsidRDefault="00415A15" w:rsidP="00CC54C7">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r w:rsidR="00972723">
        <w:rPr>
          <w:rFonts w:ascii="Times New Roman" w:hAnsi="Times New Roman" w:cs="Times New Roman"/>
        </w:rPr>
        <w:t>9</w:t>
      </w:r>
      <w:r w:rsidRPr="00D2555A">
        <w:rPr>
          <w:rFonts w:ascii="Times New Roman" w:hAnsi="Times New Roman" w:cs="Times New Roman"/>
        </w:rPr>
        <w:t>.</w:t>
      </w:r>
      <w:r w:rsidR="005F4580">
        <w:rPr>
          <w:rFonts w:ascii="Times New Roman" w:hAnsi="Times New Roman" w:cs="Times New Roman"/>
        </w:rPr>
        <w:tab/>
      </w:r>
      <w:r w:rsidR="00231A37">
        <w:rPr>
          <w:rFonts w:ascii="Times New Roman" w:hAnsi="Times New Roman" w:cs="Times New Roman"/>
        </w:rPr>
        <w:t>When a customer chooses IDT as his EGS, IDT</w:t>
      </w:r>
      <w:r w:rsidR="00D31E4B">
        <w:rPr>
          <w:rFonts w:ascii="Times New Roman" w:hAnsi="Times New Roman" w:cs="Times New Roman"/>
        </w:rPr>
        <w:t xml:space="preserve"> mails the customer a confirmation letter and </w:t>
      </w:r>
      <w:r w:rsidR="005C090C">
        <w:rPr>
          <w:rFonts w:ascii="Times New Roman" w:hAnsi="Times New Roman" w:cs="Times New Roman"/>
        </w:rPr>
        <w:t>terms of service agreement (disclosure statement)</w:t>
      </w:r>
      <w:r w:rsidR="00703073">
        <w:rPr>
          <w:rFonts w:ascii="Times New Roman" w:hAnsi="Times New Roman" w:cs="Times New Roman"/>
        </w:rPr>
        <w:t xml:space="preserve">.  </w:t>
      </w:r>
      <w:proofErr w:type="gramStart"/>
      <w:r w:rsidR="00703073">
        <w:rPr>
          <w:rFonts w:ascii="Times New Roman" w:hAnsi="Times New Roman" w:cs="Times New Roman"/>
        </w:rPr>
        <w:t>Tr. 59.</w:t>
      </w:r>
      <w:proofErr w:type="gramEnd"/>
      <w:r w:rsidR="00703073">
        <w:rPr>
          <w:rFonts w:ascii="Times New Roman" w:hAnsi="Times New Roman" w:cs="Times New Roman"/>
        </w:rPr>
        <w:t xml:space="preserve">  IDT’s </w:t>
      </w:r>
      <w:r w:rsidR="00591302">
        <w:rPr>
          <w:rFonts w:ascii="Times New Roman" w:hAnsi="Times New Roman" w:cs="Times New Roman"/>
        </w:rPr>
        <w:t>standard</w:t>
      </w:r>
      <w:r w:rsidR="00703073">
        <w:rPr>
          <w:rFonts w:ascii="Times New Roman" w:hAnsi="Times New Roman" w:cs="Times New Roman"/>
        </w:rPr>
        <w:t xml:space="preserve"> disclosure statement </w:t>
      </w:r>
      <w:r w:rsidR="00986C55">
        <w:rPr>
          <w:rFonts w:ascii="Times New Roman" w:hAnsi="Times New Roman" w:cs="Times New Roman"/>
        </w:rPr>
        <w:t xml:space="preserve">is </w:t>
      </w:r>
      <w:r w:rsidR="00703073">
        <w:rPr>
          <w:rFonts w:ascii="Times New Roman" w:hAnsi="Times New Roman" w:cs="Times New Roman"/>
        </w:rPr>
        <w:t xml:space="preserve">on file with </w:t>
      </w:r>
      <w:r w:rsidR="00986C55">
        <w:rPr>
          <w:rFonts w:ascii="Times New Roman" w:hAnsi="Times New Roman" w:cs="Times New Roman"/>
        </w:rPr>
        <w:t xml:space="preserve">the </w:t>
      </w:r>
      <w:r w:rsidR="00703073">
        <w:rPr>
          <w:rFonts w:ascii="Times New Roman" w:hAnsi="Times New Roman" w:cs="Times New Roman"/>
        </w:rPr>
        <w:t>Secretary</w:t>
      </w:r>
      <w:r w:rsidR="00D31E4B">
        <w:rPr>
          <w:rFonts w:ascii="Times New Roman" w:hAnsi="Times New Roman" w:cs="Times New Roman"/>
        </w:rPr>
        <w:t xml:space="preserve">. </w:t>
      </w:r>
      <w:r w:rsidR="002F37D7">
        <w:rPr>
          <w:rFonts w:ascii="Times New Roman" w:hAnsi="Times New Roman" w:cs="Times New Roman"/>
        </w:rPr>
        <w:t xml:space="preserve"> </w:t>
      </w:r>
      <w:proofErr w:type="gramStart"/>
      <w:r w:rsidR="002F37D7">
        <w:rPr>
          <w:rFonts w:ascii="Times New Roman" w:hAnsi="Times New Roman" w:cs="Times New Roman"/>
        </w:rPr>
        <w:t xml:space="preserve">Tr. </w:t>
      </w:r>
      <w:r w:rsidR="00986C55">
        <w:rPr>
          <w:rFonts w:ascii="Times New Roman" w:hAnsi="Times New Roman" w:cs="Times New Roman"/>
        </w:rPr>
        <w:t>61</w:t>
      </w:r>
      <w:r w:rsidR="002F37D7">
        <w:rPr>
          <w:rFonts w:ascii="Times New Roman" w:hAnsi="Times New Roman" w:cs="Times New Roman"/>
        </w:rPr>
        <w:t>.</w:t>
      </w:r>
      <w:proofErr w:type="gramEnd"/>
    </w:p>
    <w:p w:rsidR="00C94B39" w:rsidRDefault="00C94B39" w:rsidP="00CC54C7">
      <w:pPr>
        <w:spacing w:line="360" w:lineRule="auto"/>
        <w:rPr>
          <w:rFonts w:ascii="Times New Roman" w:hAnsi="Times New Roman" w:cs="Times New Roman"/>
        </w:rPr>
      </w:pPr>
    </w:p>
    <w:p w:rsidR="00C94B39" w:rsidRDefault="00C94B39"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72723">
        <w:rPr>
          <w:rFonts w:ascii="Times New Roman" w:hAnsi="Times New Roman" w:cs="Times New Roman"/>
        </w:rPr>
        <w:t>10</w:t>
      </w:r>
      <w:r>
        <w:rPr>
          <w:rFonts w:ascii="Times New Roman" w:hAnsi="Times New Roman" w:cs="Times New Roman"/>
        </w:rPr>
        <w:t>.</w:t>
      </w:r>
      <w:r>
        <w:rPr>
          <w:rFonts w:ascii="Times New Roman" w:hAnsi="Times New Roman" w:cs="Times New Roman"/>
        </w:rPr>
        <w:tab/>
      </w:r>
      <w:r w:rsidR="005C090C">
        <w:rPr>
          <w:rFonts w:ascii="Times New Roman" w:hAnsi="Times New Roman" w:cs="Times New Roman"/>
        </w:rPr>
        <w:t xml:space="preserve">IDT’s disclosure statement includes an explanation of the basic service prices, a residential customer’s service cancellation rights and </w:t>
      </w:r>
      <w:r>
        <w:rPr>
          <w:rFonts w:ascii="Times New Roman" w:hAnsi="Times New Roman" w:cs="Times New Roman"/>
        </w:rPr>
        <w:t>dispute procedures.  Tr. 60-61; R</w:t>
      </w:r>
      <w:r w:rsidR="00280DF9">
        <w:rPr>
          <w:rFonts w:ascii="Times New Roman" w:hAnsi="Times New Roman" w:cs="Times New Roman"/>
        </w:rPr>
        <w:t>espondent’s Exhibit (R-Exh.)</w:t>
      </w:r>
      <w:r>
        <w:rPr>
          <w:rFonts w:ascii="Times New Roman" w:hAnsi="Times New Roman" w:cs="Times New Roman"/>
        </w:rPr>
        <w:t xml:space="preserve"> 2.</w:t>
      </w:r>
    </w:p>
    <w:p w:rsidR="00C94B39" w:rsidRDefault="00C94B39" w:rsidP="00CC54C7">
      <w:pPr>
        <w:spacing w:line="360" w:lineRule="auto"/>
        <w:rPr>
          <w:rFonts w:ascii="Times New Roman" w:hAnsi="Times New Roman" w:cs="Times New Roman"/>
        </w:rPr>
      </w:pPr>
    </w:p>
    <w:p w:rsidR="00DE5C30" w:rsidRDefault="00C94B39"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72723">
        <w:rPr>
          <w:rFonts w:ascii="Times New Roman" w:hAnsi="Times New Roman" w:cs="Times New Roman"/>
        </w:rPr>
        <w:t>11</w:t>
      </w:r>
      <w:r>
        <w:rPr>
          <w:rFonts w:ascii="Times New Roman" w:hAnsi="Times New Roman" w:cs="Times New Roman"/>
        </w:rPr>
        <w:t>.</w:t>
      </w:r>
      <w:r>
        <w:rPr>
          <w:rFonts w:ascii="Times New Roman" w:hAnsi="Times New Roman" w:cs="Times New Roman"/>
        </w:rPr>
        <w:tab/>
      </w:r>
      <w:r w:rsidR="005C090C">
        <w:rPr>
          <w:rFonts w:ascii="Times New Roman" w:hAnsi="Times New Roman" w:cs="Times New Roman"/>
        </w:rPr>
        <w:t xml:space="preserve"> </w:t>
      </w:r>
      <w:r w:rsidR="00DE5C30">
        <w:rPr>
          <w:rFonts w:ascii="Times New Roman" w:hAnsi="Times New Roman" w:cs="Times New Roman"/>
        </w:rPr>
        <w:t xml:space="preserve">IDT’s disclosure statement </w:t>
      </w:r>
      <w:r w:rsidR="00280DF9">
        <w:rPr>
          <w:rFonts w:ascii="Times New Roman" w:hAnsi="Times New Roman" w:cs="Times New Roman"/>
        </w:rPr>
        <w:t>read</w:t>
      </w:r>
      <w:r w:rsidR="00DE5C30">
        <w:rPr>
          <w:rFonts w:ascii="Times New Roman" w:hAnsi="Times New Roman" w:cs="Times New Roman"/>
        </w:rPr>
        <w:t>s in relevant part as follows:</w:t>
      </w:r>
    </w:p>
    <w:p w:rsidR="00DE5C30" w:rsidRDefault="00DE5C30" w:rsidP="00CC54C7">
      <w:pPr>
        <w:rPr>
          <w:rFonts w:ascii="Times New Roman" w:hAnsi="Times New Roman" w:cs="Times New Roman"/>
        </w:rPr>
      </w:pPr>
      <w:r>
        <w:rPr>
          <w:rFonts w:ascii="Times New Roman" w:hAnsi="Times New Roman" w:cs="Times New Roman"/>
        </w:rPr>
        <w:tab/>
      </w:r>
    </w:p>
    <w:p w:rsidR="00DE5C30" w:rsidRDefault="00EC48AA" w:rsidP="00D67A6B">
      <w:pPr>
        <w:ind w:left="2160" w:right="1440"/>
        <w:rPr>
          <w:rFonts w:ascii="Times New Roman" w:hAnsi="Times New Roman" w:cs="Times New Roman"/>
        </w:rPr>
      </w:pPr>
      <w:r>
        <w:rPr>
          <w:rFonts w:ascii="Times New Roman" w:hAnsi="Times New Roman" w:cs="Times New Roman"/>
        </w:rPr>
        <w:t>IDT Energy offers a variable price for all electric generation sold under this Agreement.  The price for electric generation sold i</w:t>
      </w:r>
      <w:r w:rsidR="00280DF9">
        <w:rPr>
          <w:rFonts w:ascii="Times New Roman" w:hAnsi="Times New Roman" w:cs="Times New Roman"/>
        </w:rPr>
        <w:t>s</w:t>
      </w:r>
      <w:r>
        <w:rPr>
          <w:rFonts w:ascii="Times New Roman" w:hAnsi="Times New Roman" w:cs="Times New Roman"/>
        </w:rPr>
        <w:t xml:space="preserve"> established on an approximately monthly basis based upon electric generation market pricing as furnished by PJM clearing house, transportation or transmission and other market and business price related factors.  This price may be higher or lower than the EDC’s price in any particular month.  There is no ceiling price.</w:t>
      </w:r>
    </w:p>
    <w:p w:rsidR="00EC48AA" w:rsidRDefault="0073032F" w:rsidP="00CC54C7">
      <w:pPr>
        <w:spacing w:line="360" w:lineRule="auto"/>
        <w:rPr>
          <w:rFonts w:ascii="Times New Roman" w:hAnsi="Times New Roman" w:cs="Times New Roman"/>
        </w:rPr>
      </w:pPr>
      <w:r>
        <w:rPr>
          <w:rFonts w:ascii="Times New Roman" w:hAnsi="Times New Roman" w:cs="Times New Roman"/>
        </w:rPr>
        <w:t>Id.</w:t>
      </w:r>
    </w:p>
    <w:p w:rsidR="00455B21" w:rsidRDefault="00455B21" w:rsidP="00CC54C7">
      <w:pPr>
        <w:spacing w:line="360" w:lineRule="auto"/>
        <w:rPr>
          <w:rFonts w:ascii="Times New Roman" w:hAnsi="Times New Roman" w:cs="Times New Roman"/>
        </w:rPr>
      </w:pPr>
    </w:p>
    <w:p w:rsidR="001D4A5C" w:rsidRDefault="001D4A5C"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17867">
        <w:rPr>
          <w:rFonts w:ascii="Times New Roman" w:hAnsi="Times New Roman" w:cs="Times New Roman"/>
        </w:rPr>
        <w:t>1</w:t>
      </w:r>
      <w:r w:rsidR="00972723">
        <w:rPr>
          <w:rFonts w:ascii="Times New Roman" w:hAnsi="Times New Roman" w:cs="Times New Roman"/>
        </w:rPr>
        <w:t>2</w:t>
      </w:r>
      <w:r>
        <w:rPr>
          <w:rFonts w:ascii="Times New Roman" w:hAnsi="Times New Roman" w:cs="Times New Roman"/>
        </w:rPr>
        <w:t>.</w:t>
      </w:r>
      <w:r>
        <w:rPr>
          <w:rFonts w:ascii="Times New Roman" w:hAnsi="Times New Roman" w:cs="Times New Roman"/>
        </w:rPr>
        <w:tab/>
      </w:r>
      <w:r w:rsidR="00280DF9">
        <w:rPr>
          <w:rFonts w:ascii="Times New Roman" w:hAnsi="Times New Roman" w:cs="Times New Roman"/>
        </w:rPr>
        <w:t>T</w:t>
      </w:r>
      <w:r>
        <w:rPr>
          <w:rFonts w:ascii="Times New Roman" w:hAnsi="Times New Roman" w:cs="Times New Roman"/>
        </w:rPr>
        <w:t xml:space="preserve">he disclosure statement provides that </w:t>
      </w:r>
      <w:r w:rsidR="00280DF9">
        <w:rPr>
          <w:rFonts w:ascii="Times New Roman" w:hAnsi="Times New Roman" w:cs="Times New Roman"/>
        </w:rPr>
        <w:t xml:space="preserve">there are no fees or penalties for a customer’s termination </w:t>
      </w:r>
      <w:r w:rsidR="00E23F77">
        <w:rPr>
          <w:rFonts w:ascii="Times New Roman" w:hAnsi="Times New Roman" w:cs="Times New Roman"/>
        </w:rPr>
        <w:t xml:space="preserve">of </w:t>
      </w:r>
      <w:r>
        <w:rPr>
          <w:rFonts w:ascii="Times New Roman" w:hAnsi="Times New Roman" w:cs="Times New Roman"/>
        </w:rPr>
        <w:t xml:space="preserve">IDT as </w:t>
      </w:r>
      <w:r w:rsidR="00280DF9">
        <w:rPr>
          <w:rFonts w:ascii="Times New Roman" w:hAnsi="Times New Roman" w:cs="Times New Roman"/>
        </w:rPr>
        <w:t>hi</w:t>
      </w:r>
      <w:r>
        <w:rPr>
          <w:rFonts w:ascii="Times New Roman" w:hAnsi="Times New Roman" w:cs="Times New Roman"/>
        </w:rPr>
        <w:t xml:space="preserve">s EGS.  Tr. 65; R-Exh. 2.  </w:t>
      </w:r>
      <w:r w:rsidR="00770B30">
        <w:rPr>
          <w:rFonts w:ascii="Times New Roman" w:hAnsi="Times New Roman" w:cs="Times New Roman"/>
        </w:rPr>
        <w:t xml:space="preserve">A customer may terminate service </w:t>
      </w:r>
      <w:r w:rsidR="00770B30">
        <w:rPr>
          <w:rFonts w:ascii="Times New Roman" w:hAnsi="Times New Roman" w:cs="Times New Roman"/>
        </w:rPr>
        <w:lastRenderedPageBreak/>
        <w:t>within three business days of receipt of the disclosure statement, or service may terminate upon either party providing a 15</w:t>
      </w:r>
      <w:r w:rsidR="008B578C">
        <w:rPr>
          <w:rFonts w:ascii="Times New Roman" w:hAnsi="Times New Roman" w:cs="Times New Roman"/>
        </w:rPr>
        <w:t>-</w:t>
      </w:r>
      <w:r w:rsidR="00770B30">
        <w:rPr>
          <w:rFonts w:ascii="Times New Roman" w:hAnsi="Times New Roman" w:cs="Times New Roman"/>
        </w:rPr>
        <w:t>day</w:t>
      </w:r>
      <w:r w:rsidR="00E23F77">
        <w:rPr>
          <w:rFonts w:ascii="Times New Roman" w:hAnsi="Times New Roman" w:cs="Times New Roman"/>
        </w:rPr>
        <w:t xml:space="preserve"> </w:t>
      </w:r>
      <w:r w:rsidR="00770B30">
        <w:rPr>
          <w:rFonts w:ascii="Times New Roman" w:hAnsi="Times New Roman" w:cs="Times New Roman"/>
        </w:rPr>
        <w:t xml:space="preserve">notice of intent to cancel service. </w:t>
      </w:r>
      <w:r w:rsidR="00931631">
        <w:rPr>
          <w:rFonts w:ascii="Times New Roman" w:hAnsi="Times New Roman" w:cs="Times New Roman"/>
        </w:rPr>
        <w:t xml:space="preserve"> </w:t>
      </w:r>
      <w:r w:rsidR="00770B30">
        <w:rPr>
          <w:rFonts w:ascii="Times New Roman" w:hAnsi="Times New Roman" w:cs="Times New Roman"/>
        </w:rPr>
        <w:t>Id.</w:t>
      </w:r>
    </w:p>
    <w:p w:rsidR="00873631" w:rsidRDefault="00873631" w:rsidP="00CC54C7">
      <w:pPr>
        <w:spacing w:line="360" w:lineRule="auto"/>
        <w:rPr>
          <w:rFonts w:ascii="Times New Roman" w:hAnsi="Times New Roman" w:cs="Times New Roman"/>
        </w:rPr>
      </w:pPr>
    </w:p>
    <w:p w:rsidR="00591302" w:rsidRDefault="00591302" w:rsidP="00CC54C7">
      <w:pPr>
        <w:spacing w:line="360" w:lineRule="auto"/>
        <w:rPr>
          <w:rFonts w:ascii="Times New Roman" w:hAnsi="Times New Roman" w:cs="Times New Roman"/>
        </w:rPr>
      </w:pPr>
      <w:r>
        <w:rPr>
          <w:rFonts w:ascii="Times New Roman" w:hAnsi="Times New Roman" w:cs="Times New Roman"/>
        </w:rPr>
        <w:tab/>
      </w:r>
      <w:r w:rsidR="00EC48AA">
        <w:rPr>
          <w:rFonts w:ascii="Times New Roman" w:hAnsi="Times New Roman" w:cs="Times New Roman"/>
        </w:rPr>
        <w:tab/>
      </w:r>
      <w:r w:rsidR="00717867">
        <w:rPr>
          <w:rFonts w:ascii="Times New Roman" w:hAnsi="Times New Roman" w:cs="Times New Roman"/>
        </w:rPr>
        <w:t>1</w:t>
      </w:r>
      <w:r w:rsidR="00972723">
        <w:rPr>
          <w:rFonts w:ascii="Times New Roman" w:hAnsi="Times New Roman" w:cs="Times New Roman"/>
        </w:rPr>
        <w:t>3</w:t>
      </w:r>
      <w:r w:rsidR="00EC48AA">
        <w:rPr>
          <w:rFonts w:ascii="Times New Roman" w:hAnsi="Times New Roman" w:cs="Times New Roman"/>
        </w:rPr>
        <w:t>.</w:t>
      </w:r>
      <w:r w:rsidR="00EC48AA">
        <w:rPr>
          <w:rFonts w:ascii="Times New Roman" w:hAnsi="Times New Roman" w:cs="Times New Roman"/>
        </w:rPr>
        <w:tab/>
      </w:r>
      <w:r w:rsidR="00C94B39">
        <w:rPr>
          <w:rFonts w:ascii="Times New Roman" w:hAnsi="Times New Roman" w:cs="Times New Roman"/>
        </w:rPr>
        <w:t xml:space="preserve">Upon </w:t>
      </w:r>
      <w:r w:rsidR="00EC48AA">
        <w:rPr>
          <w:rFonts w:ascii="Times New Roman" w:hAnsi="Times New Roman" w:cs="Times New Roman"/>
        </w:rPr>
        <w:t>accepting</w:t>
      </w:r>
      <w:r w:rsidR="00C94B39">
        <w:rPr>
          <w:rFonts w:ascii="Times New Roman" w:hAnsi="Times New Roman" w:cs="Times New Roman"/>
        </w:rPr>
        <w:t xml:space="preserve"> IDT as his EGS in 2011, IDT mailed Mr. Wo</w:t>
      </w:r>
      <w:r w:rsidR="00C37479">
        <w:rPr>
          <w:rFonts w:ascii="Times New Roman" w:hAnsi="Times New Roman" w:cs="Times New Roman"/>
        </w:rPr>
        <w:t>i</w:t>
      </w:r>
      <w:r w:rsidR="00C94B39">
        <w:rPr>
          <w:rFonts w:ascii="Times New Roman" w:hAnsi="Times New Roman" w:cs="Times New Roman"/>
        </w:rPr>
        <w:t xml:space="preserve">tko a </w:t>
      </w:r>
    </w:p>
    <w:p w:rsidR="00C94B39" w:rsidRDefault="00C94B39" w:rsidP="00CC54C7">
      <w:pPr>
        <w:spacing w:line="360" w:lineRule="auto"/>
        <w:rPr>
          <w:rFonts w:ascii="Times New Roman" w:hAnsi="Times New Roman" w:cs="Times New Roman"/>
        </w:rPr>
      </w:pPr>
      <w:r>
        <w:rPr>
          <w:rFonts w:ascii="Times New Roman" w:hAnsi="Times New Roman" w:cs="Times New Roman"/>
        </w:rPr>
        <w:t>disclosure statement</w:t>
      </w:r>
      <w:r w:rsidR="00DE5C30">
        <w:rPr>
          <w:rFonts w:ascii="Times New Roman" w:hAnsi="Times New Roman" w:cs="Times New Roman"/>
        </w:rPr>
        <w:t xml:space="preserve"> for each of his residential </w:t>
      </w:r>
      <w:r w:rsidR="0073032F">
        <w:rPr>
          <w:rFonts w:ascii="Times New Roman" w:hAnsi="Times New Roman" w:cs="Times New Roman"/>
        </w:rPr>
        <w:t>properties</w:t>
      </w:r>
      <w:r>
        <w:rPr>
          <w:rFonts w:ascii="Times New Roman" w:hAnsi="Times New Roman" w:cs="Times New Roman"/>
        </w:rPr>
        <w:t>.  Tr. 61-62.</w:t>
      </w:r>
    </w:p>
    <w:p w:rsidR="00591302" w:rsidRDefault="00591302" w:rsidP="00CC54C7">
      <w:pPr>
        <w:spacing w:line="360" w:lineRule="auto"/>
        <w:rPr>
          <w:rFonts w:ascii="Times New Roman" w:hAnsi="Times New Roman" w:cs="Times New Roman"/>
        </w:rPr>
      </w:pPr>
    </w:p>
    <w:p w:rsidR="00667A75" w:rsidRDefault="00667A75"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70B30">
        <w:rPr>
          <w:rFonts w:ascii="Times New Roman" w:hAnsi="Times New Roman" w:cs="Times New Roman"/>
        </w:rPr>
        <w:t>1</w:t>
      </w:r>
      <w:r w:rsidR="00972723">
        <w:rPr>
          <w:rFonts w:ascii="Times New Roman" w:hAnsi="Times New Roman" w:cs="Times New Roman"/>
        </w:rPr>
        <w:t>4</w:t>
      </w:r>
      <w:r w:rsidR="00770B30">
        <w:rPr>
          <w:rFonts w:ascii="Times New Roman" w:hAnsi="Times New Roman" w:cs="Times New Roman"/>
        </w:rPr>
        <w:t>.</w:t>
      </w:r>
      <w:r w:rsidR="00770B30">
        <w:rPr>
          <w:rFonts w:ascii="Times New Roman" w:hAnsi="Times New Roman" w:cs="Times New Roman"/>
        </w:rPr>
        <w:tab/>
      </w:r>
      <w:r>
        <w:rPr>
          <w:rFonts w:ascii="Times New Roman" w:hAnsi="Times New Roman" w:cs="Times New Roman"/>
        </w:rPr>
        <w:t>Mr. Wo</w:t>
      </w:r>
      <w:r w:rsidR="00C37479">
        <w:rPr>
          <w:rFonts w:ascii="Times New Roman" w:hAnsi="Times New Roman" w:cs="Times New Roman"/>
        </w:rPr>
        <w:t>i</w:t>
      </w:r>
      <w:r>
        <w:rPr>
          <w:rFonts w:ascii="Times New Roman" w:hAnsi="Times New Roman" w:cs="Times New Roman"/>
        </w:rPr>
        <w:t>tko’s electric supply service with IDT for his residential properties started on August 22, 2011.</w:t>
      </w:r>
      <w:r w:rsidR="00770B30">
        <w:rPr>
          <w:rFonts w:ascii="Times New Roman" w:hAnsi="Times New Roman" w:cs="Times New Roman"/>
        </w:rPr>
        <w:t xml:space="preserve"> </w:t>
      </w:r>
      <w:r>
        <w:rPr>
          <w:rFonts w:ascii="Times New Roman" w:hAnsi="Times New Roman" w:cs="Times New Roman"/>
        </w:rPr>
        <w:t xml:space="preserve"> Tr. 13, 58; R</w:t>
      </w:r>
      <w:r w:rsidR="00280DF9">
        <w:rPr>
          <w:rFonts w:ascii="Times New Roman" w:hAnsi="Times New Roman" w:cs="Times New Roman"/>
        </w:rPr>
        <w:t>-</w:t>
      </w:r>
      <w:r>
        <w:rPr>
          <w:rFonts w:ascii="Times New Roman" w:hAnsi="Times New Roman" w:cs="Times New Roman"/>
        </w:rPr>
        <w:t>Exh</w:t>
      </w:r>
      <w:r w:rsidR="00280DF9">
        <w:rPr>
          <w:rFonts w:ascii="Times New Roman" w:hAnsi="Times New Roman" w:cs="Times New Roman"/>
        </w:rPr>
        <w:t>. 1</w:t>
      </w:r>
      <w:r>
        <w:rPr>
          <w:rFonts w:ascii="Times New Roman" w:hAnsi="Times New Roman" w:cs="Times New Roman"/>
        </w:rPr>
        <w:t>.</w:t>
      </w:r>
    </w:p>
    <w:p w:rsidR="00667A75" w:rsidRDefault="00667A75" w:rsidP="00CC54C7">
      <w:pPr>
        <w:spacing w:line="360" w:lineRule="auto"/>
        <w:rPr>
          <w:rFonts w:ascii="Times New Roman" w:hAnsi="Times New Roman" w:cs="Times New Roman"/>
        </w:rPr>
      </w:pPr>
    </w:p>
    <w:p w:rsidR="00703073" w:rsidRDefault="00C94B39"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D4A5C">
        <w:rPr>
          <w:rFonts w:ascii="Times New Roman" w:hAnsi="Times New Roman" w:cs="Times New Roman"/>
        </w:rPr>
        <w:t>1</w:t>
      </w:r>
      <w:r w:rsidR="00972723">
        <w:rPr>
          <w:rFonts w:ascii="Times New Roman" w:hAnsi="Times New Roman" w:cs="Times New Roman"/>
        </w:rPr>
        <w:t>5</w:t>
      </w:r>
      <w:r>
        <w:rPr>
          <w:rFonts w:ascii="Times New Roman" w:hAnsi="Times New Roman" w:cs="Times New Roman"/>
        </w:rPr>
        <w:t>.</w:t>
      </w:r>
      <w:r>
        <w:rPr>
          <w:rFonts w:ascii="Times New Roman" w:hAnsi="Times New Roman" w:cs="Times New Roman"/>
        </w:rPr>
        <w:tab/>
      </w:r>
      <w:r w:rsidR="00703073">
        <w:rPr>
          <w:rFonts w:ascii="Times New Roman" w:hAnsi="Times New Roman" w:cs="Times New Roman"/>
        </w:rPr>
        <w:t>From August 2011 to February 2014,</w:t>
      </w:r>
      <w:r w:rsidR="00986C55">
        <w:rPr>
          <w:rFonts w:ascii="Times New Roman" w:hAnsi="Times New Roman" w:cs="Times New Roman"/>
        </w:rPr>
        <w:tab/>
      </w:r>
      <w:r w:rsidR="00703073">
        <w:rPr>
          <w:rFonts w:ascii="Times New Roman" w:hAnsi="Times New Roman" w:cs="Times New Roman"/>
        </w:rPr>
        <w:t xml:space="preserve"> </w:t>
      </w:r>
      <w:r w:rsidR="00704966">
        <w:rPr>
          <w:rFonts w:ascii="Times New Roman" w:hAnsi="Times New Roman" w:cs="Times New Roman"/>
        </w:rPr>
        <w:t>IDT was Mr. Wo</w:t>
      </w:r>
      <w:r w:rsidR="0073032F">
        <w:rPr>
          <w:rFonts w:ascii="Times New Roman" w:hAnsi="Times New Roman" w:cs="Times New Roman"/>
        </w:rPr>
        <w:t>i</w:t>
      </w:r>
      <w:r w:rsidR="00704966">
        <w:rPr>
          <w:rFonts w:ascii="Times New Roman" w:hAnsi="Times New Roman" w:cs="Times New Roman"/>
        </w:rPr>
        <w:t xml:space="preserve">tko’s </w:t>
      </w:r>
      <w:r w:rsidR="00634F05">
        <w:rPr>
          <w:rFonts w:ascii="Times New Roman" w:hAnsi="Times New Roman" w:cs="Times New Roman"/>
        </w:rPr>
        <w:t>EGS for two residential service locations:</w:t>
      </w:r>
      <w:r w:rsidR="00873631">
        <w:rPr>
          <w:rFonts w:ascii="Times New Roman" w:hAnsi="Times New Roman" w:cs="Times New Roman"/>
        </w:rPr>
        <w:t xml:space="preserve"> </w:t>
      </w:r>
      <w:r w:rsidR="00634F05">
        <w:rPr>
          <w:rFonts w:ascii="Times New Roman" w:hAnsi="Times New Roman" w:cs="Times New Roman"/>
        </w:rPr>
        <w:t xml:space="preserve"> RD1</w:t>
      </w:r>
      <w:r w:rsidR="00963B9B">
        <w:rPr>
          <w:rFonts w:ascii="Times New Roman" w:hAnsi="Times New Roman" w:cs="Times New Roman"/>
        </w:rPr>
        <w:t>,</w:t>
      </w:r>
      <w:r w:rsidR="00634F05">
        <w:rPr>
          <w:rFonts w:ascii="Times New Roman" w:hAnsi="Times New Roman" w:cs="Times New Roman"/>
        </w:rPr>
        <w:t xml:space="preserve"> Box 203D, Beaver Meadows, Pennsylvania (RD1 Service </w:t>
      </w:r>
    </w:p>
    <w:p w:rsidR="00634F05" w:rsidRDefault="00634F05" w:rsidP="00CC54C7">
      <w:pPr>
        <w:spacing w:line="360" w:lineRule="auto"/>
        <w:rPr>
          <w:rFonts w:ascii="Times New Roman" w:hAnsi="Times New Roman" w:cs="Times New Roman"/>
        </w:rPr>
      </w:pPr>
      <w:r>
        <w:rPr>
          <w:rFonts w:ascii="Times New Roman" w:hAnsi="Times New Roman" w:cs="Times New Roman"/>
        </w:rPr>
        <w:t xml:space="preserve">Address) and Box 27A Main Street, Beaver Meadows, Pennsylvania (Main Service Address).  </w:t>
      </w:r>
      <w:r w:rsidR="0094627D">
        <w:rPr>
          <w:rFonts w:ascii="Times New Roman" w:hAnsi="Times New Roman" w:cs="Times New Roman"/>
        </w:rPr>
        <w:t xml:space="preserve">Tr. 62, 65; </w:t>
      </w:r>
      <w:r w:rsidR="00231A37">
        <w:rPr>
          <w:rFonts w:ascii="Times New Roman" w:hAnsi="Times New Roman" w:cs="Times New Roman"/>
        </w:rPr>
        <w:t>C-E</w:t>
      </w:r>
      <w:r>
        <w:rPr>
          <w:rFonts w:ascii="Times New Roman" w:hAnsi="Times New Roman" w:cs="Times New Roman"/>
        </w:rPr>
        <w:t>xh</w:t>
      </w:r>
      <w:r w:rsidR="00231A37">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1</w:t>
      </w:r>
      <w:r w:rsidR="000F4CFC">
        <w:rPr>
          <w:rFonts w:ascii="Times New Roman" w:hAnsi="Times New Roman" w:cs="Times New Roman"/>
        </w:rPr>
        <w:t>;</w:t>
      </w:r>
      <w:r w:rsidR="0094627D">
        <w:rPr>
          <w:rFonts w:ascii="Times New Roman" w:hAnsi="Times New Roman" w:cs="Times New Roman"/>
        </w:rPr>
        <w:t xml:space="preserve"> R-</w:t>
      </w:r>
      <w:proofErr w:type="spellStart"/>
      <w:r w:rsidR="0094627D">
        <w:rPr>
          <w:rFonts w:ascii="Times New Roman" w:hAnsi="Times New Roman" w:cs="Times New Roman"/>
        </w:rPr>
        <w:t>Exh</w:t>
      </w:r>
      <w:proofErr w:type="spellEnd"/>
      <w:r w:rsidR="0094627D">
        <w:rPr>
          <w:rFonts w:ascii="Times New Roman" w:hAnsi="Times New Roman" w:cs="Times New Roman"/>
        </w:rPr>
        <w:t>.</w:t>
      </w:r>
      <w:proofErr w:type="gramEnd"/>
      <w:r w:rsidR="0094627D">
        <w:rPr>
          <w:rFonts w:ascii="Times New Roman" w:hAnsi="Times New Roman" w:cs="Times New Roman"/>
        </w:rPr>
        <w:t xml:space="preserve"> 1</w:t>
      </w:r>
      <w:r>
        <w:rPr>
          <w:rFonts w:ascii="Times New Roman" w:hAnsi="Times New Roman" w:cs="Times New Roman"/>
        </w:rPr>
        <w:t>.</w:t>
      </w:r>
    </w:p>
    <w:p w:rsidR="00F72D1B" w:rsidRDefault="00F72D1B" w:rsidP="00CC54C7">
      <w:pPr>
        <w:spacing w:line="360" w:lineRule="auto"/>
        <w:rPr>
          <w:rFonts w:ascii="Times New Roman" w:hAnsi="Times New Roman" w:cs="Times New Roman"/>
        </w:rPr>
      </w:pPr>
    </w:p>
    <w:p w:rsidR="00B65EAE" w:rsidRDefault="00231A37"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C48AA">
        <w:rPr>
          <w:rFonts w:ascii="Times New Roman" w:hAnsi="Times New Roman" w:cs="Times New Roman"/>
        </w:rPr>
        <w:t>1</w:t>
      </w:r>
      <w:r w:rsidR="00972723">
        <w:rPr>
          <w:rFonts w:ascii="Times New Roman" w:hAnsi="Times New Roman" w:cs="Times New Roman"/>
        </w:rPr>
        <w:t>6</w:t>
      </w:r>
      <w:r>
        <w:rPr>
          <w:rFonts w:ascii="Times New Roman" w:hAnsi="Times New Roman" w:cs="Times New Roman"/>
        </w:rPr>
        <w:t>.</w:t>
      </w:r>
      <w:r w:rsidR="00B65EAE">
        <w:rPr>
          <w:rFonts w:ascii="Times New Roman" w:hAnsi="Times New Roman" w:cs="Times New Roman"/>
        </w:rPr>
        <w:tab/>
        <w:t>IDT does not read a customer’s meter but charges a customer based upon meter readings provided to IDT by the customer’s EDC.  Tr. 64</w:t>
      </w:r>
      <w:r w:rsidR="00F80B17">
        <w:rPr>
          <w:rFonts w:ascii="Times New Roman" w:hAnsi="Times New Roman" w:cs="Times New Roman"/>
        </w:rPr>
        <w:t>, 67</w:t>
      </w:r>
      <w:r w:rsidR="00B65EAE">
        <w:rPr>
          <w:rFonts w:ascii="Times New Roman" w:hAnsi="Times New Roman" w:cs="Times New Roman"/>
        </w:rPr>
        <w:t xml:space="preserve">. </w:t>
      </w:r>
      <w:r>
        <w:rPr>
          <w:rFonts w:ascii="Times New Roman" w:hAnsi="Times New Roman" w:cs="Times New Roman"/>
        </w:rPr>
        <w:tab/>
      </w:r>
    </w:p>
    <w:p w:rsidR="00B65EAE" w:rsidRDefault="00B65EAE" w:rsidP="00CC54C7">
      <w:pPr>
        <w:spacing w:line="360" w:lineRule="auto"/>
        <w:rPr>
          <w:rFonts w:ascii="Times New Roman" w:hAnsi="Times New Roman" w:cs="Times New Roman"/>
        </w:rPr>
      </w:pPr>
    </w:p>
    <w:p w:rsidR="00873631" w:rsidRDefault="00B65EAE"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972723">
        <w:rPr>
          <w:rFonts w:ascii="Times New Roman" w:hAnsi="Times New Roman" w:cs="Times New Roman"/>
        </w:rPr>
        <w:t>7</w:t>
      </w:r>
      <w:r>
        <w:rPr>
          <w:rFonts w:ascii="Times New Roman" w:hAnsi="Times New Roman" w:cs="Times New Roman"/>
        </w:rPr>
        <w:t>.</w:t>
      </w:r>
      <w:r>
        <w:rPr>
          <w:rFonts w:ascii="Times New Roman" w:hAnsi="Times New Roman" w:cs="Times New Roman"/>
        </w:rPr>
        <w:tab/>
      </w:r>
      <w:r w:rsidR="00231A37">
        <w:rPr>
          <w:rFonts w:ascii="Times New Roman" w:hAnsi="Times New Roman" w:cs="Times New Roman"/>
        </w:rPr>
        <w:t>F</w:t>
      </w:r>
      <w:r w:rsidR="00703073">
        <w:rPr>
          <w:rFonts w:ascii="Times New Roman" w:hAnsi="Times New Roman" w:cs="Times New Roman"/>
        </w:rPr>
        <w:t>or 32 billing cycles f</w:t>
      </w:r>
      <w:r w:rsidR="00231A37">
        <w:rPr>
          <w:rFonts w:ascii="Times New Roman" w:hAnsi="Times New Roman" w:cs="Times New Roman"/>
        </w:rPr>
        <w:t xml:space="preserve">rom August 2011 to February 2014, </w:t>
      </w:r>
      <w:r w:rsidR="0084709E">
        <w:rPr>
          <w:rFonts w:ascii="Times New Roman" w:hAnsi="Times New Roman" w:cs="Times New Roman"/>
        </w:rPr>
        <w:t>PPL</w:t>
      </w:r>
      <w:r w:rsidR="00634F05">
        <w:rPr>
          <w:rFonts w:ascii="Times New Roman" w:hAnsi="Times New Roman" w:cs="Times New Roman"/>
        </w:rPr>
        <w:t xml:space="preserve"> </w:t>
      </w:r>
      <w:r w:rsidR="006E5352">
        <w:rPr>
          <w:rFonts w:ascii="Times New Roman" w:hAnsi="Times New Roman" w:cs="Times New Roman"/>
        </w:rPr>
        <w:t xml:space="preserve">read </w:t>
      </w:r>
    </w:p>
    <w:p w:rsidR="00724BB0" w:rsidRDefault="006E5352" w:rsidP="00CC54C7">
      <w:pPr>
        <w:spacing w:line="360" w:lineRule="auto"/>
        <w:rPr>
          <w:rFonts w:ascii="Times New Roman" w:hAnsi="Times New Roman" w:cs="Times New Roman"/>
        </w:rPr>
      </w:pPr>
      <w:r>
        <w:rPr>
          <w:rFonts w:ascii="Times New Roman" w:hAnsi="Times New Roman" w:cs="Times New Roman"/>
        </w:rPr>
        <w:t>Mr. Wo</w:t>
      </w:r>
      <w:r w:rsidR="008B578C">
        <w:rPr>
          <w:rFonts w:ascii="Times New Roman" w:hAnsi="Times New Roman" w:cs="Times New Roman"/>
        </w:rPr>
        <w:t>i</w:t>
      </w:r>
      <w:r>
        <w:rPr>
          <w:rFonts w:ascii="Times New Roman" w:hAnsi="Times New Roman" w:cs="Times New Roman"/>
        </w:rPr>
        <w:t xml:space="preserve">tko’s meters and </w:t>
      </w:r>
      <w:r w:rsidR="00B65EAE">
        <w:rPr>
          <w:rFonts w:ascii="Times New Roman" w:hAnsi="Times New Roman" w:cs="Times New Roman"/>
        </w:rPr>
        <w:t xml:space="preserve">on a consolidated statement </w:t>
      </w:r>
      <w:r w:rsidR="00634F05">
        <w:rPr>
          <w:rFonts w:ascii="Times New Roman" w:hAnsi="Times New Roman" w:cs="Times New Roman"/>
        </w:rPr>
        <w:t xml:space="preserve">billed Mr. </w:t>
      </w:r>
      <w:proofErr w:type="spellStart"/>
      <w:r w:rsidR="00634F05">
        <w:rPr>
          <w:rFonts w:ascii="Times New Roman" w:hAnsi="Times New Roman" w:cs="Times New Roman"/>
        </w:rPr>
        <w:t>W</w:t>
      </w:r>
      <w:r w:rsidR="00736E4C">
        <w:rPr>
          <w:rFonts w:ascii="Times New Roman" w:hAnsi="Times New Roman" w:cs="Times New Roman"/>
        </w:rPr>
        <w:t>oi</w:t>
      </w:r>
      <w:r w:rsidR="00634F05">
        <w:rPr>
          <w:rFonts w:ascii="Times New Roman" w:hAnsi="Times New Roman" w:cs="Times New Roman"/>
        </w:rPr>
        <w:t>tko</w:t>
      </w:r>
      <w:proofErr w:type="spellEnd"/>
      <w:r w:rsidR="00634F05">
        <w:rPr>
          <w:rFonts w:ascii="Times New Roman" w:hAnsi="Times New Roman" w:cs="Times New Roman"/>
        </w:rPr>
        <w:t xml:space="preserve"> monthly for </w:t>
      </w:r>
      <w:r>
        <w:rPr>
          <w:rFonts w:ascii="Times New Roman" w:hAnsi="Times New Roman" w:cs="Times New Roman"/>
        </w:rPr>
        <w:t xml:space="preserve">PPL’s charges and </w:t>
      </w:r>
      <w:r w:rsidR="00634F05">
        <w:rPr>
          <w:rFonts w:ascii="Times New Roman" w:hAnsi="Times New Roman" w:cs="Times New Roman"/>
        </w:rPr>
        <w:t xml:space="preserve">the electricity supplied to him by IDT at the RD1 Service </w:t>
      </w:r>
      <w:r w:rsidR="00724BB0">
        <w:rPr>
          <w:rFonts w:ascii="Times New Roman" w:hAnsi="Times New Roman" w:cs="Times New Roman"/>
        </w:rPr>
        <w:t>Ad</w:t>
      </w:r>
      <w:r w:rsidR="00634F05">
        <w:rPr>
          <w:rFonts w:ascii="Times New Roman" w:hAnsi="Times New Roman" w:cs="Times New Roman"/>
        </w:rPr>
        <w:t>dress</w:t>
      </w:r>
      <w:r w:rsidR="00736E4C">
        <w:rPr>
          <w:rFonts w:ascii="Times New Roman" w:hAnsi="Times New Roman" w:cs="Times New Roman"/>
        </w:rPr>
        <w:t xml:space="preserve"> a</w:t>
      </w:r>
      <w:r w:rsidR="00634F05">
        <w:rPr>
          <w:rFonts w:ascii="Times New Roman" w:hAnsi="Times New Roman" w:cs="Times New Roman"/>
        </w:rPr>
        <w:t xml:space="preserve">nd </w:t>
      </w:r>
      <w:r w:rsidR="00724BB0">
        <w:rPr>
          <w:rFonts w:ascii="Times New Roman" w:hAnsi="Times New Roman" w:cs="Times New Roman"/>
        </w:rPr>
        <w:t>at the Main Service Address</w:t>
      </w:r>
      <w:r w:rsidR="00736E4C">
        <w:rPr>
          <w:rFonts w:ascii="Times New Roman" w:hAnsi="Times New Roman" w:cs="Times New Roman"/>
        </w:rPr>
        <w:t xml:space="preserve">.  </w:t>
      </w:r>
      <w:proofErr w:type="gramStart"/>
      <w:r w:rsidR="00B65EAE">
        <w:rPr>
          <w:rFonts w:ascii="Times New Roman" w:hAnsi="Times New Roman" w:cs="Times New Roman"/>
        </w:rPr>
        <w:t>Tr. 64</w:t>
      </w:r>
      <w:r w:rsidR="00F80B17">
        <w:rPr>
          <w:rFonts w:ascii="Times New Roman" w:hAnsi="Times New Roman" w:cs="Times New Roman"/>
        </w:rPr>
        <w:t>-64</w:t>
      </w:r>
      <w:r w:rsidR="00B65EAE">
        <w:rPr>
          <w:rFonts w:ascii="Times New Roman" w:hAnsi="Times New Roman" w:cs="Times New Roman"/>
        </w:rPr>
        <w:t xml:space="preserve">; </w:t>
      </w:r>
      <w:r w:rsidR="00231A37">
        <w:rPr>
          <w:rFonts w:ascii="Times New Roman" w:hAnsi="Times New Roman" w:cs="Times New Roman"/>
        </w:rPr>
        <w:t>C-</w:t>
      </w:r>
      <w:r w:rsidR="0084709E">
        <w:rPr>
          <w:rFonts w:ascii="Times New Roman" w:hAnsi="Times New Roman" w:cs="Times New Roman"/>
        </w:rPr>
        <w:t>Exh 1.</w:t>
      </w:r>
      <w:proofErr w:type="gramEnd"/>
    </w:p>
    <w:p w:rsidR="00724BB0" w:rsidRDefault="00724BB0" w:rsidP="00CC54C7">
      <w:pPr>
        <w:spacing w:line="360" w:lineRule="auto"/>
        <w:rPr>
          <w:rFonts w:ascii="Times New Roman" w:hAnsi="Times New Roman" w:cs="Times New Roman"/>
        </w:rPr>
      </w:pPr>
    </w:p>
    <w:p w:rsidR="00BA1821" w:rsidRDefault="00BA1821"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18.</w:t>
      </w:r>
      <w:r>
        <w:rPr>
          <w:rFonts w:ascii="Times New Roman" w:hAnsi="Times New Roman" w:cs="Times New Roman"/>
        </w:rPr>
        <w:tab/>
        <w:t xml:space="preserve">Between August 2011 and February </w:t>
      </w:r>
      <w:r w:rsidR="008B578C">
        <w:rPr>
          <w:rFonts w:ascii="Times New Roman" w:hAnsi="Times New Roman" w:cs="Times New Roman"/>
        </w:rPr>
        <w:t>2</w:t>
      </w:r>
      <w:r>
        <w:rPr>
          <w:rFonts w:ascii="Times New Roman" w:hAnsi="Times New Roman" w:cs="Times New Roman"/>
        </w:rPr>
        <w:t>014, Mr. Wo</w:t>
      </w:r>
      <w:r w:rsidR="008B578C">
        <w:rPr>
          <w:rFonts w:ascii="Times New Roman" w:hAnsi="Times New Roman" w:cs="Times New Roman"/>
        </w:rPr>
        <w:t>i</w:t>
      </w:r>
      <w:r>
        <w:rPr>
          <w:rFonts w:ascii="Times New Roman" w:hAnsi="Times New Roman" w:cs="Times New Roman"/>
        </w:rPr>
        <w:t xml:space="preserve">tko </w:t>
      </w:r>
      <w:r w:rsidR="00904EFA">
        <w:rPr>
          <w:rFonts w:ascii="Times New Roman" w:hAnsi="Times New Roman" w:cs="Times New Roman"/>
        </w:rPr>
        <w:t xml:space="preserve">reviewed his electric bills and </w:t>
      </w:r>
      <w:r>
        <w:rPr>
          <w:rFonts w:ascii="Times New Roman" w:hAnsi="Times New Roman" w:cs="Times New Roman"/>
        </w:rPr>
        <w:t>noted that his bills “went up and down”</w:t>
      </w:r>
      <w:r w:rsidR="006762AA">
        <w:rPr>
          <w:rFonts w:ascii="Times New Roman" w:hAnsi="Times New Roman" w:cs="Times New Roman"/>
        </w:rPr>
        <w:t xml:space="preserve"> varying with the seasons</w:t>
      </w:r>
      <w:r w:rsidR="005964FE">
        <w:rPr>
          <w:rFonts w:ascii="Times New Roman" w:hAnsi="Times New Roman" w:cs="Times New Roman"/>
        </w:rPr>
        <w:t xml:space="preserve">. </w:t>
      </w:r>
      <w:r w:rsidR="002228A4">
        <w:rPr>
          <w:rFonts w:ascii="Times New Roman" w:hAnsi="Times New Roman" w:cs="Times New Roman"/>
        </w:rPr>
        <w:t xml:space="preserve"> </w:t>
      </w:r>
      <w:r w:rsidR="005964FE">
        <w:rPr>
          <w:rFonts w:ascii="Times New Roman" w:hAnsi="Times New Roman" w:cs="Times New Roman"/>
        </w:rPr>
        <w:t>He noted</w:t>
      </w:r>
      <w:r>
        <w:rPr>
          <w:rFonts w:ascii="Times New Roman" w:hAnsi="Times New Roman" w:cs="Times New Roman"/>
        </w:rPr>
        <w:t xml:space="preserve"> </w:t>
      </w:r>
      <w:r w:rsidR="00F05BC7">
        <w:rPr>
          <w:rFonts w:ascii="Times New Roman" w:hAnsi="Times New Roman" w:cs="Times New Roman"/>
        </w:rPr>
        <w:t>that</w:t>
      </w:r>
      <w:r>
        <w:rPr>
          <w:rFonts w:ascii="Times New Roman" w:hAnsi="Times New Roman" w:cs="Times New Roman"/>
        </w:rPr>
        <w:t xml:space="preserve"> PPL</w:t>
      </w:r>
      <w:r w:rsidR="00F05BC7">
        <w:rPr>
          <w:rFonts w:ascii="Times New Roman" w:hAnsi="Times New Roman" w:cs="Times New Roman"/>
        </w:rPr>
        <w:t>’s</w:t>
      </w:r>
      <w:r>
        <w:rPr>
          <w:rFonts w:ascii="Times New Roman" w:hAnsi="Times New Roman" w:cs="Times New Roman"/>
        </w:rPr>
        <w:t xml:space="preserve"> consolidated billings statements showed a comparison of how much electricity he used</w:t>
      </w:r>
      <w:r w:rsidR="006762AA">
        <w:rPr>
          <w:rFonts w:ascii="Times New Roman" w:hAnsi="Times New Roman" w:cs="Times New Roman"/>
        </w:rPr>
        <w:t xml:space="preserve"> the previous year</w:t>
      </w:r>
      <w:r w:rsidR="00F80B17">
        <w:rPr>
          <w:rFonts w:ascii="Times New Roman" w:hAnsi="Times New Roman" w:cs="Times New Roman"/>
        </w:rPr>
        <w:t xml:space="preserve">, as well as a price to compare IDT’s rate with PPL’s </w:t>
      </w:r>
      <w:r w:rsidR="00312EDC">
        <w:rPr>
          <w:rFonts w:ascii="Times New Roman" w:hAnsi="Times New Roman" w:cs="Times New Roman"/>
        </w:rPr>
        <w:t>rate as the default supplier of electricity</w:t>
      </w:r>
      <w:r>
        <w:rPr>
          <w:rFonts w:ascii="Times New Roman" w:hAnsi="Times New Roman" w:cs="Times New Roman"/>
        </w:rPr>
        <w:t xml:space="preserve">.  </w:t>
      </w:r>
      <w:proofErr w:type="gramStart"/>
      <w:r>
        <w:rPr>
          <w:rFonts w:ascii="Times New Roman" w:hAnsi="Times New Roman" w:cs="Times New Roman"/>
        </w:rPr>
        <w:t>Tr. 27</w:t>
      </w:r>
      <w:r w:rsidR="00904EFA">
        <w:rPr>
          <w:rFonts w:ascii="Times New Roman" w:hAnsi="Times New Roman" w:cs="Times New Roman"/>
        </w:rPr>
        <w:t>, 34</w:t>
      </w:r>
      <w:r w:rsidR="00312EDC">
        <w:rPr>
          <w:rFonts w:ascii="Times New Roman" w:hAnsi="Times New Roman" w:cs="Times New Roman"/>
        </w:rPr>
        <w:t>, 67</w:t>
      </w:r>
      <w:r>
        <w:rPr>
          <w:rFonts w:ascii="Times New Roman" w:hAnsi="Times New Roman" w:cs="Times New Roman"/>
        </w:rPr>
        <w:t>.</w:t>
      </w:r>
      <w:proofErr w:type="gramEnd"/>
    </w:p>
    <w:p w:rsidR="00AB5FE4" w:rsidRDefault="00AB5FE4" w:rsidP="00CC54C7">
      <w:pPr>
        <w:spacing w:line="360" w:lineRule="auto"/>
        <w:rPr>
          <w:rFonts w:ascii="Times New Roman" w:hAnsi="Times New Roman" w:cs="Times New Roman"/>
        </w:rPr>
      </w:pPr>
    </w:p>
    <w:p w:rsidR="00AB5FE4" w:rsidRDefault="00A04EDD"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BA1821">
        <w:rPr>
          <w:rFonts w:ascii="Times New Roman" w:hAnsi="Times New Roman" w:cs="Times New Roman"/>
        </w:rPr>
        <w:t>9</w:t>
      </w:r>
      <w:r>
        <w:rPr>
          <w:rFonts w:ascii="Times New Roman" w:hAnsi="Times New Roman" w:cs="Times New Roman"/>
        </w:rPr>
        <w:t>.</w:t>
      </w:r>
      <w:r>
        <w:rPr>
          <w:rFonts w:ascii="Times New Roman" w:hAnsi="Times New Roman" w:cs="Times New Roman"/>
        </w:rPr>
        <w:tab/>
        <w:t>Mr. Wo</w:t>
      </w:r>
      <w:r w:rsidR="008B578C">
        <w:rPr>
          <w:rFonts w:ascii="Times New Roman" w:hAnsi="Times New Roman" w:cs="Times New Roman"/>
        </w:rPr>
        <w:t>i</w:t>
      </w:r>
      <w:r>
        <w:rPr>
          <w:rFonts w:ascii="Times New Roman" w:hAnsi="Times New Roman" w:cs="Times New Roman"/>
        </w:rPr>
        <w:t>tko</w:t>
      </w:r>
      <w:r w:rsidR="002228A4">
        <w:rPr>
          <w:rFonts w:ascii="Times New Roman" w:hAnsi="Times New Roman" w:cs="Times New Roman"/>
        </w:rPr>
        <w:t xml:space="preserve"> </w:t>
      </w:r>
      <w:r>
        <w:rPr>
          <w:rFonts w:ascii="Times New Roman" w:hAnsi="Times New Roman" w:cs="Times New Roman"/>
        </w:rPr>
        <w:t xml:space="preserve">did not file any complaints with the Commission or IDT concerning IDT’s sales practices or variable price rates from the time of his initial contact with </w:t>
      </w:r>
    </w:p>
    <w:p w:rsidR="00A04EDD" w:rsidRDefault="00A04EDD" w:rsidP="00CC54C7">
      <w:pPr>
        <w:spacing w:line="360" w:lineRule="auto"/>
        <w:rPr>
          <w:rFonts w:ascii="Times New Roman" w:hAnsi="Times New Roman" w:cs="Times New Roman"/>
        </w:rPr>
      </w:pPr>
      <w:r>
        <w:rPr>
          <w:rFonts w:ascii="Times New Roman" w:hAnsi="Times New Roman" w:cs="Times New Roman"/>
        </w:rPr>
        <w:t>IDT in 2011 up until February 24, 2014.  Tr. 27</w:t>
      </w:r>
      <w:r w:rsidR="00803B1D">
        <w:rPr>
          <w:rFonts w:ascii="Times New Roman" w:hAnsi="Times New Roman" w:cs="Times New Roman"/>
        </w:rPr>
        <w:t>-</w:t>
      </w:r>
      <w:r>
        <w:rPr>
          <w:rFonts w:ascii="Times New Roman" w:hAnsi="Times New Roman" w:cs="Times New Roman"/>
        </w:rPr>
        <w:t>30.</w:t>
      </w:r>
    </w:p>
    <w:p w:rsidR="009555B8" w:rsidRDefault="0084709E" w:rsidP="00CC54C7">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6762AA">
        <w:rPr>
          <w:rFonts w:ascii="Times New Roman" w:hAnsi="Times New Roman" w:cs="Times New Roman"/>
        </w:rPr>
        <w:t>20</w:t>
      </w:r>
      <w:r>
        <w:rPr>
          <w:rFonts w:ascii="Times New Roman" w:hAnsi="Times New Roman" w:cs="Times New Roman"/>
        </w:rPr>
        <w:t>.</w:t>
      </w:r>
      <w:r w:rsidR="00C94B39">
        <w:rPr>
          <w:rFonts w:ascii="Times New Roman" w:hAnsi="Times New Roman" w:cs="Times New Roman"/>
        </w:rPr>
        <w:tab/>
      </w:r>
      <w:r w:rsidR="009555B8">
        <w:rPr>
          <w:rFonts w:ascii="Times New Roman" w:hAnsi="Times New Roman" w:cs="Times New Roman"/>
        </w:rPr>
        <w:t>Mr. Wo</w:t>
      </w:r>
      <w:r w:rsidR="008B578C">
        <w:rPr>
          <w:rFonts w:ascii="Times New Roman" w:hAnsi="Times New Roman" w:cs="Times New Roman"/>
        </w:rPr>
        <w:t>i</w:t>
      </w:r>
      <w:r w:rsidR="009555B8">
        <w:rPr>
          <w:rFonts w:ascii="Times New Roman" w:hAnsi="Times New Roman" w:cs="Times New Roman"/>
        </w:rPr>
        <w:t xml:space="preserve">tko was satisfied with his service and </w:t>
      </w:r>
      <w:r w:rsidR="00E52DC2">
        <w:rPr>
          <w:rFonts w:ascii="Times New Roman" w:hAnsi="Times New Roman" w:cs="Times New Roman"/>
        </w:rPr>
        <w:t xml:space="preserve">variable </w:t>
      </w:r>
      <w:r w:rsidR="009555B8">
        <w:rPr>
          <w:rFonts w:ascii="Times New Roman" w:hAnsi="Times New Roman" w:cs="Times New Roman"/>
        </w:rPr>
        <w:t xml:space="preserve">rate from IDT up until the time he received his February 24, 2014 consolidated electric bills.  Tr. 27-28; C-Exh. 1. </w:t>
      </w:r>
    </w:p>
    <w:p w:rsidR="0094627D" w:rsidRDefault="0094627D" w:rsidP="00CC54C7">
      <w:pPr>
        <w:spacing w:line="360" w:lineRule="auto"/>
        <w:rPr>
          <w:rFonts w:ascii="Times New Roman" w:hAnsi="Times New Roman" w:cs="Times New Roman"/>
        </w:rPr>
      </w:pPr>
    </w:p>
    <w:p w:rsidR="00FB3EC2" w:rsidRDefault="0094627D"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A5240">
        <w:rPr>
          <w:rFonts w:ascii="Times New Roman" w:hAnsi="Times New Roman" w:cs="Times New Roman"/>
        </w:rPr>
        <w:t>2</w:t>
      </w:r>
      <w:r w:rsidR="006762AA">
        <w:rPr>
          <w:rFonts w:ascii="Times New Roman" w:hAnsi="Times New Roman" w:cs="Times New Roman"/>
        </w:rPr>
        <w:t>1</w:t>
      </w:r>
      <w:r w:rsidR="00B65EAE">
        <w:rPr>
          <w:rFonts w:ascii="Times New Roman" w:hAnsi="Times New Roman" w:cs="Times New Roman"/>
        </w:rPr>
        <w:t>.</w:t>
      </w:r>
      <w:r w:rsidR="00B65EAE">
        <w:rPr>
          <w:rFonts w:ascii="Times New Roman" w:hAnsi="Times New Roman" w:cs="Times New Roman"/>
        </w:rPr>
        <w:tab/>
      </w:r>
      <w:r w:rsidR="00FB3EC2">
        <w:rPr>
          <w:rFonts w:ascii="Times New Roman" w:hAnsi="Times New Roman" w:cs="Times New Roman"/>
        </w:rPr>
        <w:t xml:space="preserve">Upon reviewing his February </w:t>
      </w:r>
      <w:r w:rsidR="008B578C">
        <w:rPr>
          <w:rFonts w:ascii="Times New Roman" w:hAnsi="Times New Roman" w:cs="Times New Roman"/>
        </w:rPr>
        <w:t xml:space="preserve">24, </w:t>
      </w:r>
      <w:r w:rsidR="00FB3EC2">
        <w:rPr>
          <w:rFonts w:ascii="Times New Roman" w:hAnsi="Times New Roman" w:cs="Times New Roman"/>
        </w:rPr>
        <w:t>2014 bill</w:t>
      </w:r>
      <w:r w:rsidR="00E23F77">
        <w:rPr>
          <w:rFonts w:ascii="Times New Roman" w:hAnsi="Times New Roman" w:cs="Times New Roman"/>
        </w:rPr>
        <w:t>s</w:t>
      </w:r>
      <w:r w:rsidR="00FB3EC2">
        <w:rPr>
          <w:rFonts w:ascii="Times New Roman" w:hAnsi="Times New Roman" w:cs="Times New Roman"/>
        </w:rPr>
        <w:t>, Mr. Wo</w:t>
      </w:r>
      <w:r w:rsidR="00AB5FE4">
        <w:rPr>
          <w:rFonts w:ascii="Times New Roman" w:hAnsi="Times New Roman" w:cs="Times New Roman"/>
        </w:rPr>
        <w:t>i</w:t>
      </w:r>
      <w:r w:rsidR="00FB3EC2">
        <w:rPr>
          <w:rFonts w:ascii="Times New Roman" w:hAnsi="Times New Roman" w:cs="Times New Roman"/>
        </w:rPr>
        <w:t xml:space="preserve">tko noted a substantial increase in his </w:t>
      </w:r>
      <w:r w:rsidR="00E13669">
        <w:rPr>
          <w:rFonts w:ascii="Times New Roman" w:hAnsi="Times New Roman" w:cs="Times New Roman"/>
        </w:rPr>
        <w:t>electric</w:t>
      </w:r>
      <w:r w:rsidR="00242FB8">
        <w:rPr>
          <w:rFonts w:ascii="Times New Roman" w:hAnsi="Times New Roman" w:cs="Times New Roman"/>
        </w:rPr>
        <w:t>ity charges</w:t>
      </w:r>
      <w:r w:rsidR="00FB3EC2">
        <w:rPr>
          <w:rFonts w:ascii="Times New Roman" w:hAnsi="Times New Roman" w:cs="Times New Roman"/>
        </w:rPr>
        <w:t>.  Tr. 27.</w:t>
      </w:r>
    </w:p>
    <w:p w:rsidR="00FB3EC2" w:rsidRDefault="00FB3EC2" w:rsidP="00CC54C7">
      <w:pPr>
        <w:spacing w:line="360" w:lineRule="auto"/>
        <w:rPr>
          <w:rFonts w:ascii="Times New Roman" w:hAnsi="Times New Roman" w:cs="Times New Roman"/>
        </w:rPr>
      </w:pPr>
    </w:p>
    <w:p w:rsidR="00242FB8" w:rsidRDefault="00E13669"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sidR="006762AA">
        <w:rPr>
          <w:rFonts w:ascii="Times New Roman" w:hAnsi="Times New Roman" w:cs="Times New Roman"/>
        </w:rPr>
        <w:t>2</w:t>
      </w:r>
      <w:r>
        <w:rPr>
          <w:rFonts w:ascii="Times New Roman" w:hAnsi="Times New Roman" w:cs="Times New Roman"/>
        </w:rPr>
        <w:t>.</w:t>
      </w:r>
      <w:r>
        <w:rPr>
          <w:rFonts w:ascii="Times New Roman" w:hAnsi="Times New Roman" w:cs="Times New Roman"/>
        </w:rPr>
        <w:tab/>
      </w:r>
      <w:r w:rsidR="00F24D2B">
        <w:rPr>
          <w:rFonts w:ascii="Times New Roman" w:hAnsi="Times New Roman" w:cs="Times New Roman"/>
        </w:rPr>
        <w:t>Mr. Wo</w:t>
      </w:r>
      <w:r w:rsidR="00AB5FE4">
        <w:rPr>
          <w:rFonts w:ascii="Times New Roman" w:hAnsi="Times New Roman" w:cs="Times New Roman"/>
        </w:rPr>
        <w:t>i</w:t>
      </w:r>
      <w:r w:rsidR="00F24D2B">
        <w:rPr>
          <w:rFonts w:ascii="Times New Roman" w:hAnsi="Times New Roman" w:cs="Times New Roman"/>
        </w:rPr>
        <w:t>tko’s electric bills increased in February 2014</w:t>
      </w:r>
      <w:r w:rsidR="002E5229">
        <w:rPr>
          <w:rFonts w:ascii="Times New Roman" w:hAnsi="Times New Roman" w:cs="Times New Roman"/>
        </w:rPr>
        <w:t xml:space="preserve">, in part, </w:t>
      </w:r>
      <w:r w:rsidR="00F24D2B">
        <w:rPr>
          <w:rFonts w:ascii="Times New Roman" w:hAnsi="Times New Roman" w:cs="Times New Roman"/>
        </w:rPr>
        <w:t>because IDT</w:t>
      </w:r>
      <w:r w:rsidR="002E5229">
        <w:rPr>
          <w:rFonts w:ascii="Times New Roman" w:hAnsi="Times New Roman" w:cs="Times New Roman"/>
        </w:rPr>
        <w:t xml:space="preserve"> charges its retail customers base</w:t>
      </w:r>
      <w:r w:rsidR="00242FB8">
        <w:rPr>
          <w:rFonts w:ascii="Times New Roman" w:hAnsi="Times New Roman" w:cs="Times New Roman"/>
        </w:rPr>
        <w:t>d</w:t>
      </w:r>
      <w:r w:rsidR="002E5229">
        <w:rPr>
          <w:rFonts w:ascii="Times New Roman" w:hAnsi="Times New Roman" w:cs="Times New Roman"/>
        </w:rPr>
        <w:t xml:space="preserve"> upon IDT’s wholesale costs of acquiring electricity</w:t>
      </w:r>
      <w:r w:rsidR="00242FB8">
        <w:rPr>
          <w:rFonts w:ascii="Times New Roman" w:hAnsi="Times New Roman" w:cs="Times New Roman"/>
        </w:rPr>
        <w:t>, which escalated dramatically in early 2014</w:t>
      </w:r>
      <w:r w:rsidR="002E5229">
        <w:rPr>
          <w:rFonts w:ascii="Times New Roman" w:hAnsi="Times New Roman" w:cs="Times New Roman"/>
        </w:rPr>
        <w:t xml:space="preserve">.  </w:t>
      </w:r>
      <w:r w:rsidR="00242FB8">
        <w:rPr>
          <w:rFonts w:ascii="Times New Roman" w:hAnsi="Times New Roman" w:cs="Times New Roman"/>
        </w:rPr>
        <w:t>Tr.</w:t>
      </w:r>
      <w:r w:rsidR="00354A68">
        <w:rPr>
          <w:rFonts w:ascii="Times New Roman" w:hAnsi="Times New Roman" w:cs="Times New Roman"/>
        </w:rPr>
        <w:t xml:space="preserve"> </w:t>
      </w:r>
      <w:r w:rsidR="00242FB8">
        <w:rPr>
          <w:rFonts w:ascii="Times New Roman" w:hAnsi="Times New Roman" w:cs="Times New Roman"/>
        </w:rPr>
        <w:t xml:space="preserve">74.  </w:t>
      </w:r>
    </w:p>
    <w:p w:rsidR="00242FB8" w:rsidRDefault="00242FB8" w:rsidP="00CC54C7">
      <w:pPr>
        <w:spacing w:line="360" w:lineRule="auto"/>
        <w:rPr>
          <w:rFonts w:ascii="Times New Roman" w:hAnsi="Times New Roman" w:cs="Times New Roman"/>
        </w:rPr>
      </w:pPr>
    </w:p>
    <w:p w:rsidR="00E13669" w:rsidRDefault="00242FB8"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sidR="006762AA">
        <w:rPr>
          <w:rFonts w:ascii="Times New Roman" w:hAnsi="Times New Roman" w:cs="Times New Roman"/>
        </w:rPr>
        <w:t>3</w:t>
      </w:r>
      <w:r>
        <w:rPr>
          <w:rFonts w:ascii="Times New Roman" w:hAnsi="Times New Roman" w:cs="Times New Roman"/>
        </w:rPr>
        <w:t>.</w:t>
      </w:r>
      <w:r>
        <w:rPr>
          <w:rFonts w:ascii="Times New Roman" w:hAnsi="Times New Roman" w:cs="Times New Roman"/>
        </w:rPr>
        <w:tab/>
      </w:r>
      <w:r w:rsidR="002E5229">
        <w:rPr>
          <w:rFonts w:ascii="Times New Roman" w:hAnsi="Times New Roman" w:cs="Times New Roman"/>
        </w:rPr>
        <w:t>Mr. W</w:t>
      </w:r>
      <w:r w:rsidR="00AB5FE4">
        <w:rPr>
          <w:rFonts w:ascii="Times New Roman" w:hAnsi="Times New Roman" w:cs="Times New Roman"/>
        </w:rPr>
        <w:t>o</w:t>
      </w:r>
      <w:r w:rsidR="002E5229">
        <w:rPr>
          <w:rFonts w:ascii="Times New Roman" w:hAnsi="Times New Roman" w:cs="Times New Roman"/>
        </w:rPr>
        <w:t xml:space="preserve">itko’s electric bills also increased because in </w:t>
      </w:r>
      <w:r w:rsidR="00FD120E">
        <w:rPr>
          <w:rFonts w:ascii="Times New Roman" w:hAnsi="Times New Roman" w:cs="Times New Roman"/>
        </w:rPr>
        <w:t xml:space="preserve">January and </w:t>
      </w:r>
      <w:r w:rsidR="002E5229">
        <w:rPr>
          <w:rFonts w:ascii="Times New Roman" w:hAnsi="Times New Roman" w:cs="Times New Roman"/>
        </w:rPr>
        <w:t>February 2014</w:t>
      </w:r>
      <w:r w:rsidR="00343973">
        <w:rPr>
          <w:rFonts w:ascii="Times New Roman" w:hAnsi="Times New Roman" w:cs="Times New Roman"/>
        </w:rPr>
        <w:t xml:space="preserve"> the region experienced extremely cold weather (Tr. 16, 18), commonly referred to as the Polar Vortex event (Tr. 74), causing Mr. W</w:t>
      </w:r>
      <w:r w:rsidR="00AB5FE4">
        <w:rPr>
          <w:rFonts w:ascii="Times New Roman" w:hAnsi="Times New Roman" w:cs="Times New Roman"/>
        </w:rPr>
        <w:t>o</w:t>
      </w:r>
      <w:r w:rsidR="00343973">
        <w:rPr>
          <w:rFonts w:ascii="Times New Roman" w:hAnsi="Times New Roman" w:cs="Times New Roman"/>
        </w:rPr>
        <w:t>itko to use more electricity</w:t>
      </w:r>
      <w:r w:rsidR="00FD120E">
        <w:rPr>
          <w:rFonts w:ascii="Times New Roman" w:hAnsi="Times New Roman" w:cs="Times New Roman"/>
        </w:rPr>
        <w:t xml:space="preserve">, </w:t>
      </w:r>
      <w:r w:rsidR="00AB5FE4">
        <w:rPr>
          <w:rFonts w:ascii="Times New Roman" w:hAnsi="Times New Roman" w:cs="Times New Roman"/>
        </w:rPr>
        <w:t>especially</w:t>
      </w:r>
      <w:r w:rsidR="00FD120E">
        <w:rPr>
          <w:rFonts w:ascii="Times New Roman" w:hAnsi="Times New Roman" w:cs="Times New Roman"/>
        </w:rPr>
        <w:t xml:space="preserve"> in February 2014</w:t>
      </w:r>
      <w:r w:rsidR="00343973">
        <w:rPr>
          <w:rFonts w:ascii="Times New Roman" w:hAnsi="Times New Roman" w:cs="Times New Roman"/>
        </w:rPr>
        <w:t>.</w:t>
      </w:r>
      <w:r w:rsidR="00636EB9">
        <w:rPr>
          <w:rFonts w:ascii="Times New Roman" w:hAnsi="Times New Roman" w:cs="Times New Roman"/>
        </w:rPr>
        <w:t xml:space="preserve">  </w:t>
      </w:r>
      <w:r w:rsidR="00BA1821">
        <w:rPr>
          <w:rFonts w:ascii="Times New Roman" w:hAnsi="Times New Roman" w:cs="Times New Roman"/>
        </w:rPr>
        <w:t xml:space="preserve">Tr. 27; </w:t>
      </w:r>
      <w:r w:rsidR="00636EB9">
        <w:rPr>
          <w:rFonts w:ascii="Times New Roman" w:hAnsi="Times New Roman" w:cs="Times New Roman"/>
        </w:rPr>
        <w:t xml:space="preserve">R-Exh. 1. </w:t>
      </w:r>
      <w:r w:rsidR="00343973">
        <w:rPr>
          <w:rFonts w:ascii="Times New Roman" w:hAnsi="Times New Roman" w:cs="Times New Roman"/>
        </w:rPr>
        <w:t xml:space="preserve"> </w:t>
      </w:r>
    </w:p>
    <w:p w:rsidR="00E13669" w:rsidRDefault="00E13669" w:rsidP="00CC54C7">
      <w:pPr>
        <w:spacing w:line="360" w:lineRule="auto"/>
        <w:rPr>
          <w:rFonts w:ascii="Times New Roman" w:hAnsi="Times New Roman" w:cs="Times New Roman"/>
        </w:rPr>
      </w:pPr>
    </w:p>
    <w:p w:rsidR="00F05BC7" w:rsidRDefault="00636EB9" w:rsidP="00636EB9">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sidR="006762AA">
        <w:rPr>
          <w:rFonts w:ascii="Times New Roman" w:hAnsi="Times New Roman" w:cs="Times New Roman"/>
        </w:rPr>
        <w:t>4</w:t>
      </w:r>
      <w:r>
        <w:rPr>
          <w:rFonts w:ascii="Times New Roman" w:hAnsi="Times New Roman" w:cs="Times New Roman"/>
        </w:rPr>
        <w:t>.</w:t>
      </w:r>
      <w:r>
        <w:rPr>
          <w:rFonts w:ascii="Times New Roman" w:hAnsi="Times New Roman" w:cs="Times New Roman"/>
        </w:rPr>
        <w:tab/>
        <w:t>Mr. W</w:t>
      </w:r>
      <w:r w:rsidR="00FB6BDE">
        <w:rPr>
          <w:rFonts w:ascii="Times New Roman" w:hAnsi="Times New Roman" w:cs="Times New Roman"/>
        </w:rPr>
        <w:t>o</w:t>
      </w:r>
      <w:r>
        <w:rPr>
          <w:rFonts w:ascii="Times New Roman" w:hAnsi="Times New Roman" w:cs="Times New Roman"/>
        </w:rPr>
        <w:t xml:space="preserve">itko’s electric usage and </w:t>
      </w:r>
      <w:r w:rsidR="00182260">
        <w:rPr>
          <w:rFonts w:ascii="Times New Roman" w:hAnsi="Times New Roman" w:cs="Times New Roman"/>
        </w:rPr>
        <w:t xml:space="preserve">his IDT </w:t>
      </w:r>
      <w:r>
        <w:rPr>
          <w:rFonts w:ascii="Times New Roman" w:hAnsi="Times New Roman" w:cs="Times New Roman"/>
        </w:rPr>
        <w:t xml:space="preserve">rates </w:t>
      </w:r>
      <w:r w:rsidR="00182260">
        <w:rPr>
          <w:rFonts w:ascii="Times New Roman" w:hAnsi="Times New Roman" w:cs="Times New Roman"/>
        </w:rPr>
        <w:t xml:space="preserve">and charges </w:t>
      </w:r>
      <w:r>
        <w:rPr>
          <w:rFonts w:ascii="Times New Roman" w:hAnsi="Times New Roman" w:cs="Times New Roman"/>
        </w:rPr>
        <w:t xml:space="preserve">for </w:t>
      </w:r>
      <w:r w:rsidR="00182260">
        <w:rPr>
          <w:rFonts w:ascii="Times New Roman" w:hAnsi="Times New Roman" w:cs="Times New Roman"/>
        </w:rPr>
        <w:t xml:space="preserve">the months of </w:t>
      </w:r>
      <w:r>
        <w:rPr>
          <w:rFonts w:ascii="Times New Roman" w:hAnsi="Times New Roman" w:cs="Times New Roman"/>
        </w:rPr>
        <w:t xml:space="preserve">January and February </w:t>
      </w:r>
      <w:r w:rsidR="00182260">
        <w:rPr>
          <w:rFonts w:ascii="Times New Roman" w:hAnsi="Times New Roman" w:cs="Times New Roman"/>
        </w:rPr>
        <w:t xml:space="preserve">in </w:t>
      </w:r>
      <w:r>
        <w:rPr>
          <w:rFonts w:ascii="Times New Roman" w:hAnsi="Times New Roman" w:cs="Times New Roman"/>
        </w:rPr>
        <w:t>2013 and 2014 compare as follows:</w:t>
      </w:r>
    </w:p>
    <w:p w:rsidR="00636EB9" w:rsidRPr="0063153B" w:rsidRDefault="00636EB9" w:rsidP="00097482">
      <w:pPr>
        <w:spacing w:line="360" w:lineRule="auto"/>
        <w:contextualSpacing/>
        <w:jc w:val="center"/>
        <w:rPr>
          <w:rFonts w:ascii="Times New Roman" w:hAnsi="Times New Roman" w:cs="Times New Roman"/>
          <w:sz w:val="22"/>
          <w:szCs w:val="22"/>
        </w:rPr>
      </w:pPr>
      <w:r w:rsidRPr="0063153B">
        <w:rPr>
          <w:rFonts w:ascii="Times New Roman" w:hAnsi="Times New Roman" w:cs="Times New Roman"/>
          <w:sz w:val="22"/>
          <w:szCs w:val="22"/>
        </w:rPr>
        <w:t>Table 1</w:t>
      </w:r>
    </w:p>
    <w:tbl>
      <w:tblPr>
        <w:tblStyle w:val="TableGrid"/>
        <w:tblW w:w="0" w:type="auto"/>
        <w:tblLook w:val="04A0" w:firstRow="1" w:lastRow="0" w:firstColumn="1" w:lastColumn="0" w:noHBand="0" w:noVBand="1"/>
      </w:tblPr>
      <w:tblGrid>
        <w:gridCol w:w="2055"/>
        <w:gridCol w:w="1979"/>
        <w:gridCol w:w="1821"/>
        <w:gridCol w:w="1935"/>
        <w:gridCol w:w="1786"/>
      </w:tblGrid>
      <w:tr w:rsidR="00636EB9" w:rsidRPr="0063153B" w:rsidTr="00097482">
        <w:tc>
          <w:tcPr>
            <w:tcW w:w="2055" w:type="dxa"/>
          </w:tcPr>
          <w:p w:rsidR="00636EB9" w:rsidRPr="0063153B" w:rsidRDefault="00636EB9"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Service Address</w:t>
            </w:r>
          </w:p>
        </w:tc>
        <w:tc>
          <w:tcPr>
            <w:tcW w:w="1979" w:type="dxa"/>
          </w:tcPr>
          <w:p w:rsidR="00636EB9" w:rsidRPr="0063153B" w:rsidRDefault="00636EB9"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Month and Year</w:t>
            </w:r>
          </w:p>
        </w:tc>
        <w:tc>
          <w:tcPr>
            <w:tcW w:w="1821" w:type="dxa"/>
          </w:tcPr>
          <w:p w:rsidR="00636EB9" w:rsidRPr="0063153B" w:rsidRDefault="00636EB9"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kW</w:t>
            </w:r>
            <w:r w:rsidR="00097482" w:rsidRPr="0063153B">
              <w:rPr>
                <w:rFonts w:ascii="Times New Roman" w:hAnsi="Times New Roman" w:cs="Times New Roman"/>
                <w:sz w:val="22"/>
                <w:szCs w:val="22"/>
              </w:rPr>
              <w:t>h</w:t>
            </w:r>
            <w:r w:rsidRPr="0063153B">
              <w:rPr>
                <w:rFonts w:ascii="Times New Roman" w:hAnsi="Times New Roman" w:cs="Times New Roman"/>
                <w:sz w:val="22"/>
                <w:szCs w:val="22"/>
              </w:rPr>
              <w:t xml:space="preserve"> Usage</w:t>
            </w:r>
          </w:p>
        </w:tc>
        <w:tc>
          <w:tcPr>
            <w:tcW w:w="1935" w:type="dxa"/>
          </w:tcPr>
          <w:p w:rsidR="00636EB9" w:rsidRPr="0063153B" w:rsidRDefault="00636EB9"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Rate Per kW</w:t>
            </w:r>
            <w:r w:rsidR="00097482" w:rsidRPr="0063153B">
              <w:rPr>
                <w:rFonts w:ascii="Times New Roman" w:hAnsi="Times New Roman" w:cs="Times New Roman"/>
                <w:sz w:val="22"/>
                <w:szCs w:val="22"/>
              </w:rPr>
              <w:t>h</w:t>
            </w:r>
          </w:p>
        </w:tc>
        <w:tc>
          <w:tcPr>
            <w:tcW w:w="1786" w:type="dxa"/>
          </w:tcPr>
          <w:p w:rsidR="00636EB9" w:rsidRPr="0063153B" w:rsidRDefault="00636EB9"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IDT’s Charges</w:t>
            </w:r>
          </w:p>
        </w:tc>
      </w:tr>
      <w:tr w:rsidR="00636EB9" w:rsidRPr="0063153B" w:rsidTr="00FD120E">
        <w:tc>
          <w:tcPr>
            <w:tcW w:w="2055" w:type="dxa"/>
            <w:vAlign w:val="center"/>
          </w:tcPr>
          <w:p w:rsidR="00636EB9" w:rsidRPr="0063153B" w:rsidRDefault="00097482" w:rsidP="00FD120E">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RD 1</w:t>
            </w:r>
          </w:p>
        </w:tc>
        <w:tc>
          <w:tcPr>
            <w:tcW w:w="1979" w:type="dxa"/>
          </w:tcPr>
          <w:p w:rsidR="00636EB9" w:rsidRPr="0063153B" w:rsidRDefault="00097482"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January 2013</w:t>
            </w:r>
          </w:p>
          <w:p w:rsidR="00097482" w:rsidRPr="0063153B" w:rsidRDefault="00097482"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January 2014</w:t>
            </w:r>
          </w:p>
        </w:tc>
        <w:tc>
          <w:tcPr>
            <w:tcW w:w="1821" w:type="dxa"/>
          </w:tcPr>
          <w:p w:rsidR="00636EB9" w:rsidRPr="0063153B" w:rsidRDefault="00097482"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996</w:t>
            </w:r>
            <w:r w:rsidR="00D82C86" w:rsidRPr="0063153B">
              <w:rPr>
                <w:rFonts w:ascii="Times New Roman" w:hAnsi="Times New Roman" w:cs="Times New Roman"/>
                <w:sz w:val="22"/>
                <w:szCs w:val="22"/>
              </w:rPr>
              <w:t xml:space="preserve"> kWh</w:t>
            </w:r>
          </w:p>
          <w:p w:rsidR="00097482" w:rsidRPr="0063153B" w:rsidRDefault="00097482"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897</w:t>
            </w:r>
            <w:r w:rsidR="00D82C86" w:rsidRPr="0063153B">
              <w:rPr>
                <w:rFonts w:ascii="Times New Roman" w:hAnsi="Times New Roman" w:cs="Times New Roman"/>
                <w:sz w:val="22"/>
                <w:szCs w:val="22"/>
              </w:rPr>
              <w:t xml:space="preserve"> kWh</w:t>
            </w:r>
          </w:p>
        </w:tc>
        <w:tc>
          <w:tcPr>
            <w:tcW w:w="1935" w:type="dxa"/>
          </w:tcPr>
          <w:p w:rsidR="00636EB9" w:rsidRPr="0063153B" w:rsidRDefault="00097482"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$0.0842</w:t>
            </w:r>
          </w:p>
          <w:p w:rsidR="00097482" w:rsidRPr="0063153B" w:rsidRDefault="00097482"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$0.0946</w:t>
            </w:r>
          </w:p>
        </w:tc>
        <w:tc>
          <w:tcPr>
            <w:tcW w:w="1786" w:type="dxa"/>
          </w:tcPr>
          <w:p w:rsidR="00636EB9" w:rsidRPr="0063153B" w:rsidRDefault="00097482"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$83.86</w:t>
            </w:r>
          </w:p>
          <w:p w:rsidR="00097482" w:rsidRPr="0063153B" w:rsidRDefault="00097482"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$84.86</w:t>
            </w:r>
          </w:p>
        </w:tc>
      </w:tr>
      <w:tr w:rsidR="00636EB9" w:rsidRPr="0063153B" w:rsidTr="00FD120E">
        <w:tc>
          <w:tcPr>
            <w:tcW w:w="2055" w:type="dxa"/>
            <w:vAlign w:val="center"/>
          </w:tcPr>
          <w:p w:rsidR="00636EB9" w:rsidRPr="0063153B" w:rsidRDefault="00097482" w:rsidP="00FD120E">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Main</w:t>
            </w:r>
          </w:p>
        </w:tc>
        <w:tc>
          <w:tcPr>
            <w:tcW w:w="1979" w:type="dxa"/>
          </w:tcPr>
          <w:p w:rsidR="00636EB9" w:rsidRPr="0063153B" w:rsidRDefault="00097482"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January 2013</w:t>
            </w:r>
          </w:p>
          <w:p w:rsidR="00D82C86" w:rsidRPr="0063153B" w:rsidRDefault="00D82C86"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January 2014</w:t>
            </w:r>
          </w:p>
        </w:tc>
        <w:tc>
          <w:tcPr>
            <w:tcW w:w="1821" w:type="dxa"/>
          </w:tcPr>
          <w:p w:rsidR="00636EB9" w:rsidRPr="0063153B" w:rsidRDefault="00D82C86"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728 kWh</w:t>
            </w:r>
          </w:p>
          <w:p w:rsidR="00D82C86" w:rsidRPr="0063153B" w:rsidRDefault="00D82C86"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777 kWh</w:t>
            </w:r>
          </w:p>
        </w:tc>
        <w:tc>
          <w:tcPr>
            <w:tcW w:w="1935" w:type="dxa"/>
          </w:tcPr>
          <w:p w:rsidR="00636EB9" w:rsidRPr="0063153B" w:rsidRDefault="00D82C86"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$0.0842</w:t>
            </w:r>
          </w:p>
          <w:p w:rsidR="00D82C86" w:rsidRPr="0063153B" w:rsidRDefault="00D82C86"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$0.0946</w:t>
            </w:r>
          </w:p>
        </w:tc>
        <w:tc>
          <w:tcPr>
            <w:tcW w:w="1786" w:type="dxa"/>
          </w:tcPr>
          <w:p w:rsidR="00636EB9" w:rsidRPr="0063153B" w:rsidRDefault="00D82C86"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$61.30</w:t>
            </w:r>
          </w:p>
          <w:p w:rsidR="00D82C86" w:rsidRPr="0063153B" w:rsidRDefault="00D82C86"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$73.50</w:t>
            </w:r>
          </w:p>
        </w:tc>
      </w:tr>
      <w:tr w:rsidR="00636EB9" w:rsidRPr="0063153B" w:rsidTr="00FD120E">
        <w:tc>
          <w:tcPr>
            <w:tcW w:w="2055" w:type="dxa"/>
            <w:vAlign w:val="center"/>
          </w:tcPr>
          <w:p w:rsidR="00636EB9" w:rsidRPr="0063153B" w:rsidRDefault="00097482" w:rsidP="00FD120E">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RD 1</w:t>
            </w:r>
          </w:p>
        </w:tc>
        <w:tc>
          <w:tcPr>
            <w:tcW w:w="1979" w:type="dxa"/>
          </w:tcPr>
          <w:p w:rsidR="00636EB9" w:rsidRPr="0063153B" w:rsidRDefault="00097482" w:rsidP="00D82C86">
            <w:pPr>
              <w:spacing w:line="360" w:lineRule="auto"/>
              <w:rPr>
                <w:rFonts w:ascii="Times New Roman" w:hAnsi="Times New Roman" w:cs="Times New Roman"/>
                <w:sz w:val="22"/>
                <w:szCs w:val="22"/>
              </w:rPr>
            </w:pPr>
            <w:r w:rsidRPr="0063153B">
              <w:rPr>
                <w:rFonts w:ascii="Times New Roman" w:hAnsi="Times New Roman" w:cs="Times New Roman"/>
                <w:sz w:val="22"/>
                <w:szCs w:val="22"/>
              </w:rPr>
              <w:t>February 201</w:t>
            </w:r>
            <w:r w:rsidR="00D82C86" w:rsidRPr="0063153B">
              <w:rPr>
                <w:rFonts w:ascii="Times New Roman" w:hAnsi="Times New Roman" w:cs="Times New Roman"/>
                <w:sz w:val="22"/>
                <w:szCs w:val="22"/>
              </w:rPr>
              <w:t>3</w:t>
            </w:r>
          </w:p>
          <w:p w:rsidR="00D82C86" w:rsidRPr="0063153B" w:rsidRDefault="00D82C86" w:rsidP="00D82C86">
            <w:pPr>
              <w:spacing w:line="360" w:lineRule="auto"/>
              <w:rPr>
                <w:rFonts w:ascii="Times New Roman" w:hAnsi="Times New Roman" w:cs="Times New Roman"/>
                <w:sz w:val="22"/>
                <w:szCs w:val="22"/>
              </w:rPr>
            </w:pPr>
            <w:r w:rsidRPr="0063153B">
              <w:rPr>
                <w:rFonts w:ascii="Times New Roman" w:hAnsi="Times New Roman" w:cs="Times New Roman"/>
                <w:sz w:val="22"/>
                <w:szCs w:val="22"/>
              </w:rPr>
              <w:t>February 2014</w:t>
            </w:r>
          </w:p>
        </w:tc>
        <w:tc>
          <w:tcPr>
            <w:tcW w:w="1821" w:type="dxa"/>
          </w:tcPr>
          <w:p w:rsidR="00636EB9" w:rsidRPr="0063153B" w:rsidRDefault="00CA0AEB"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828</w:t>
            </w:r>
            <w:r w:rsidR="00D82C86" w:rsidRPr="0063153B">
              <w:rPr>
                <w:rFonts w:ascii="Times New Roman" w:hAnsi="Times New Roman" w:cs="Times New Roman"/>
                <w:sz w:val="22"/>
                <w:szCs w:val="22"/>
              </w:rPr>
              <w:t xml:space="preserve"> kWh</w:t>
            </w:r>
          </w:p>
          <w:p w:rsidR="00D82C86" w:rsidRPr="0063153B" w:rsidRDefault="00D82C86"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917 kWh</w:t>
            </w:r>
          </w:p>
        </w:tc>
        <w:tc>
          <w:tcPr>
            <w:tcW w:w="1935" w:type="dxa"/>
          </w:tcPr>
          <w:p w:rsidR="00636EB9" w:rsidRPr="0063153B" w:rsidRDefault="00D82C86"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$0.0769</w:t>
            </w:r>
          </w:p>
          <w:p w:rsidR="00D82C86" w:rsidRPr="0063153B" w:rsidRDefault="00D82C86"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$0.2806</w:t>
            </w:r>
          </w:p>
        </w:tc>
        <w:tc>
          <w:tcPr>
            <w:tcW w:w="1786" w:type="dxa"/>
          </w:tcPr>
          <w:p w:rsidR="00636EB9" w:rsidRPr="0063153B" w:rsidRDefault="00D82C86"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w:t>
            </w:r>
            <w:r w:rsidR="00CA0AEB" w:rsidRPr="0063153B">
              <w:rPr>
                <w:rFonts w:ascii="Times New Roman" w:hAnsi="Times New Roman" w:cs="Times New Roman"/>
                <w:sz w:val="22"/>
                <w:szCs w:val="22"/>
              </w:rPr>
              <w:t>63.67</w:t>
            </w:r>
          </w:p>
          <w:p w:rsidR="00D82C86" w:rsidRPr="0063153B" w:rsidRDefault="00D82C86"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$257.31</w:t>
            </w:r>
          </w:p>
        </w:tc>
      </w:tr>
      <w:tr w:rsidR="00636EB9" w:rsidRPr="0063153B" w:rsidTr="00FD120E">
        <w:tc>
          <w:tcPr>
            <w:tcW w:w="2055" w:type="dxa"/>
            <w:vAlign w:val="center"/>
          </w:tcPr>
          <w:p w:rsidR="00636EB9" w:rsidRPr="0063153B" w:rsidRDefault="00097482" w:rsidP="00FD120E">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Main</w:t>
            </w:r>
          </w:p>
        </w:tc>
        <w:tc>
          <w:tcPr>
            <w:tcW w:w="1979" w:type="dxa"/>
          </w:tcPr>
          <w:p w:rsidR="00636EB9" w:rsidRPr="0063153B" w:rsidRDefault="00097482" w:rsidP="00CA0AEB">
            <w:pPr>
              <w:spacing w:line="360" w:lineRule="auto"/>
              <w:rPr>
                <w:rFonts w:ascii="Times New Roman" w:hAnsi="Times New Roman" w:cs="Times New Roman"/>
                <w:sz w:val="22"/>
                <w:szCs w:val="22"/>
              </w:rPr>
            </w:pPr>
            <w:r w:rsidRPr="0063153B">
              <w:rPr>
                <w:rFonts w:ascii="Times New Roman" w:hAnsi="Times New Roman" w:cs="Times New Roman"/>
                <w:sz w:val="22"/>
                <w:szCs w:val="22"/>
              </w:rPr>
              <w:t>February 201</w:t>
            </w:r>
            <w:r w:rsidR="00CA0AEB" w:rsidRPr="0063153B">
              <w:rPr>
                <w:rFonts w:ascii="Times New Roman" w:hAnsi="Times New Roman" w:cs="Times New Roman"/>
                <w:sz w:val="22"/>
                <w:szCs w:val="22"/>
              </w:rPr>
              <w:t>3</w:t>
            </w:r>
          </w:p>
          <w:p w:rsidR="00CA0AEB" w:rsidRPr="0063153B" w:rsidRDefault="00CA0AEB" w:rsidP="00CA0AEB">
            <w:pPr>
              <w:spacing w:line="360" w:lineRule="auto"/>
              <w:rPr>
                <w:rFonts w:ascii="Times New Roman" w:hAnsi="Times New Roman" w:cs="Times New Roman"/>
                <w:sz w:val="22"/>
                <w:szCs w:val="22"/>
              </w:rPr>
            </w:pPr>
            <w:r w:rsidRPr="0063153B">
              <w:rPr>
                <w:rFonts w:ascii="Times New Roman" w:hAnsi="Times New Roman" w:cs="Times New Roman"/>
                <w:sz w:val="22"/>
                <w:szCs w:val="22"/>
              </w:rPr>
              <w:t>February 2014</w:t>
            </w:r>
          </w:p>
        </w:tc>
        <w:tc>
          <w:tcPr>
            <w:tcW w:w="1821" w:type="dxa"/>
          </w:tcPr>
          <w:p w:rsidR="00636EB9" w:rsidRPr="0063153B" w:rsidRDefault="00CA0AEB"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641 kWh</w:t>
            </w:r>
          </w:p>
          <w:p w:rsidR="00CA0AEB" w:rsidRPr="0063153B" w:rsidRDefault="00CA0AEB"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725 kWh</w:t>
            </w:r>
          </w:p>
        </w:tc>
        <w:tc>
          <w:tcPr>
            <w:tcW w:w="1935" w:type="dxa"/>
          </w:tcPr>
          <w:p w:rsidR="00636EB9" w:rsidRPr="0063153B" w:rsidRDefault="00CA0AEB"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$0.0769</w:t>
            </w:r>
          </w:p>
          <w:p w:rsidR="00CA0AEB" w:rsidRPr="0063153B" w:rsidRDefault="00CA0AEB" w:rsidP="00CA0AEB">
            <w:pPr>
              <w:spacing w:line="360" w:lineRule="auto"/>
              <w:rPr>
                <w:rFonts w:ascii="Times New Roman" w:hAnsi="Times New Roman" w:cs="Times New Roman"/>
                <w:sz w:val="22"/>
                <w:szCs w:val="22"/>
              </w:rPr>
            </w:pPr>
            <w:r w:rsidRPr="0063153B">
              <w:rPr>
                <w:rFonts w:ascii="Times New Roman" w:hAnsi="Times New Roman" w:cs="Times New Roman"/>
                <w:sz w:val="22"/>
                <w:szCs w:val="22"/>
              </w:rPr>
              <w:t>$0.2806</w:t>
            </w:r>
          </w:p>
        </w:tc>
        <w:tc>
          <w:tcPr>
            <w:tcW w:w="1786" w:type="dxa"/>
          </w:tcPr>
          <w:p w:rsidR="00636EB9" w:rsidRPr="0063153B" w:rsidRDefault="00CA0AEB"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$49.29</w:t>
            </w:r>
          </w:p>
          <w:p w:rsidR="00CA0AEB" w:rsidRPr="0063153B" w:rsidRDefault="00CA0AEB" w:rsidP="00097482">
            <w:pPr>
              <w:spacing w:line="360" w:lineRule="auto"/>
              <w:rPr>
                <w:rFonts w:ascii="Times New Roman" w:hAnsi="Times New Roman" w:cs="Times New Roman"/>
                <w:sz w:val="22"/>
                <w:szCs w:val="22"/>
              </w:rPr>
            </w:pPr>
            <w:r w:rsidRPr="0063153B">
              <w:rPr>
                <w:rFonts w:ascii="Times New Roman" w:hAnsi="Times New Roman" w:cs="Times New Roman"/>
                <w:sz w:val="22"/>
                <w:szCs w:val="22"/>
              </w:rPr>
              <w:t>$203.40</w:t>
            </w:r>
          </w:p>
        </w:tc>
      </w:tr>
    </w:tbl>
    <w:p w:rsidR="00A4011C" w:rsidRDefault="00391EE1" w:rsidP="005F4580">
      <w:pPr>
        <w:spacing w:line="360" w:lineRule="auto"/>
        <w:rPr>
          <w:rFonts w:ascii="Times New Roman" w:hAnsi="Times New Roman" w:cs="Times New Roman"/>
        </w:rPr>
      </w:pPr>
      <w:proofErr w:type="gramStart"/>
      <w:r>
        <w:rPr>
          <w:rFonts w:ascii="Times New Roman" w:hAnsi="Times New Roman" w:cs="Times New Roman"/>
        </w:rPr>
        <w:t xml:space="preserve">Tr. 16; </w:t>
      </w:r>
      <w:r w:rsidR="00A4011C">
        <w:rPr>
          <w:rFonts w:ascii="Times New Roman" w:hAnsi="Times New Roman" w:cs="Times New Roman"/>
        </w:rPr>
        <w:t>R-E</w:t>
      </w:r>
      <w:r>
        <w:rPr>
          <w:rFonts w:ascii="Times New Roman" w:hAnsi="Times New Roman" w:cs="Times New Roman"/>
        </w:rPr>
        <w:t>x</w:t>
      </w:r>
      <w:r w:rsidR="00A4011C">
        <w:rPr>
          <w:rFonts w:ascii="Times New Roman" w:hAnsi="Times New Roman" w:cs="Times New Roman"/>
        </w:rPr>
        <w:t>h.</w:t>
      </w:r>
      <w:proofErr w:type="gramEnd"/>
      <w:r w:rsidR="00A4011C">
        <w:rPr>
          <w:rFonts w:ascii="Times New Roman" w:hAnsi="Times New Roman" w:cs="Times New Roman"/>
        </w:rPr>
        <w:t xml:space="preserve"> 1.</w:t>
      </w:r>
    </w:p>
    <w:p w:rsidR="003E4085" w:rsidRDefault="003E4085" w:rsidP="005F4580">
      <w:pPr>
        <w:spacing w:line="360" w:lineRule="auto"/>
        <w:rPr>
          <w:rFonts w:ascii="Times New Roman" w:hAnsi="Times New Roman" w:cs="Times New Roman"/>
        </w:rPr>
      </w:pPr>
    </w:p>
    <w:p w:rsidR="003E4085" w:rsidRDefault="003E4085" w:rsidP="005F4580">
      <w:pPr>
        <w:spacing w:line="360" w:lineRule="auto"/>
        <w:rPr>
          <w:rFonts w:ascii="Times New Roman" w:hAnsi="Times New Roman" w:cs="Times New Roman"/>
        </w:rPr>
      </w:pPr>
    </w:p>
    <w:p w:rsidR="003E4085" w:rsidRDefault="003E4085" w:rsidP="005F4580">
      <w:pPr>
        <w:spacing w:line="360" w:lineRule="auto"/>
        <w:rPr>
          <w:rFonts w:ascii="Times New Roman" w:hAnsi="Times New Roman" w:cs="Times New Roman"/>
        </w:rPr>
      </w:pPr>
    </w:p>
    <w:p w:rsidR="00DF007D" w:rsidRDefault="00391EE1" w:rsidP="00DF007D">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FB3EC2">
        <w:rPr>
          <w:rFonts w:ascii="Times New Roman" w:hAnsi="Times New Roman" w:cs="Times New Roman"/>
        </w:rPr>
        <w:t>2</w:t>
      </w:r>
      <w:r w:rsidR="006762AA">
        <w:rPr>
          <w:rFonts w:ascii="Times New Roman" w:hAnsi="Times New Roman" w:cs="Times New Roman"/>
        </w:rPr>
        <w:t>5</w:t>
      </w:r>
      <w:r w:rsidR="00FB3EC2">
        <w:rPr>
          <w:rFonts w:ascii="Times New Roman" w:hAnsi="Times New Roman" w:cs="Times New Roman"/>
        </w:rPr>
        <w:t>.</w:t>
      </w:r>
      <w:r w:rsidR="00FB3EC2">
        <w:rPr>
          <w:rFonts w:ascii="Times New Roman" w:hAnsi="Times New Roman" w:cs="Times New Roman"/>
        </w:rPr>
        <w:tab/>
      </w:r>
      <w:r w:rsidR="00DF007D">
        <w:rPr>
          <w:rFonts w:ascii="Times New Roman" w:hAnsi="Times New Roman" w:cs="Times New Roman"/>
        </w:rPr>
        <w:t>Mr. Woitko’s electricity bills for the months of January and February 2014 are as follows:</w:t>
      </w:r>
    </w:p>
    <w:p w:rsidR="00DF007D" w:rsidRPr="0063153B" w:rsidRDefault="00DF007D" w:rsidP="00DF007D">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Table 2</w:t>
      </w:r>
    </w:p>
    <w:tbl>
      <w:tblPr>
        <w:tblStyle w:val="TableGrid"/>
        <w:tblW w:w="0" w:type="auto"/>
        <w:tblLook w:val="04A0" w:firstRow="1" w:lastRow="0" w:firstColumn="1" w:lastColumn="0" w:noHBand="0" w:noVBand="1"/>
      </w:tblPr>
      <w:tblGrid>
        <w:gridCol w:w="1003"/>
        <w:gridCol w:w="981"/>
        <w:gridCol w:w="1368"/>
        <w:gridCol w:w="1212"/>
        <w:gridCol w:w="1003"/>
        <w:gridCol w:w="1377"/>
        <w:gridCol w:w="1133"/>
        <w:gridCol w:w="1495"/>
      </w:tblGrid>
      <w:tr w:rsidR="00DF007D" w:rsidRPr="0063153B" w:rsidTr="00F16448">
        <w:trPr>
          <w:trHeight w:val="544"/>
        </w:trPr>
        <w:tc>
          <w:tcPr>
            <w:tcW w:w="1003" w:type="dxa"/>
            <w:vMerge w:val="restart"/>
            <w:vAlign w:val="center"/>
          </w:tcPr>
          <w:p w:rsidR="00DF007D" w:rsidRPr="0063153B" w:rsidRDefault="00DF007D" w:rsidP="00F16448">
            <w:pPr>
              <w:jc w:val="center"/>
              <w:rPr>
                <w:rFonts w:ascii="Times New Roman" w:hAnsi="Times New Roman" w:cs="Times New Roman"/>
                <w:sz w:val="22"/>
                <w:szCs w:val="22"/>
              </w:rPr>
            </w:pPr>
            <w:r w:rsidRPr="0063153B">
              <w:rPr>
                <w:rFonts w:ascii="Times New Roman" w:hAnsi="Times New Roman" w:cs="Times New Roman"/>
                <w:sz w:val="22"/>
                <w:szCs w:val="22"/>
              </w:rPr>
              <w:t>Service Address</w:t>
            </w:r>
          </w:p>
        </w:tc>
        <w:tc>
          <w:tcPr>
            <w:tcW w:w="981" w:type="dxa"/>
            <w:vMerge w:val="restart"/>
            <w:vAlign w:val="center"/>
          </w:tcPr>
          <w:p w:rsidR="00DF007D" w:rsidRPr="0063153B" w:rsidRDefault="00DF007D" w:rsidP="00F16448">
            <w:pPr>
              <w:jc w:val="center"/>
              <w:rPr>
                <w:rFonts w:ascii="Times New Roman" w:hAnsi="Times New Roman" w:cs="Times New Roman"/>
                <w:sz w:val="22"/>
                <w:szCs w:val="22"/>
              </w:rPr>
            </w:pPr>
            <w:r w:rsidRPr="0063153B">
              <w:rPr>
                <w:rFonts w:ascii="Times New Roman" w:hAnsi="Times New Roman" w:cs="Times New Roman"/>
                <w:sz w:val="22"/>
                <w:szCs w:val="22"/>
              </w:rPr>
              <w:t>Billing Date</w:t>
            </w:r>
          </w:p>
        </w:tc>
        <w:tc>
          <w:tcPr>
            <w:tcW w:w="1368" w:type="dxa"/>
            <w:vAlign w:val="center"/>
          </w:tcPr>
          <w:p w:rsidR="00DF007D" w:rsidRPr="0063153B" w:rsidRDefault="00DF007D" w:rsidP="00F16448">
            <w:pPr>
              <w:jc w:val="center"/>
              <w:rPr>
                <w:rFonts w:ascii="Times New Roman" w:hAnsi="Times New Roman" w:cs="Times New Roman"/>
                <w:sz w:val="22"/>
                <w:szCs w:val="22"/>
              </w:rPr>
            </w:pPr>
            <w:r w:rsidRPr="0063153B">
              <w:rPr>
                <w:rFonts w:ascii="Times New Roman" w:hAnsi="Times New Roman" w:cs="Times New Roman"/>
                <w:sz w:val="22"/>
                <w:szCs w:val="22"/>
              </w:rPr>
              <w:t>PPL’s Price to Compare</w:t>
            </w:r>
          </w:p>
          <w:p w:rsidR="00DF007D" w:rsidRPr="0063153B" w:rsidRDefault="00DF007D" w:rsidP="00F16448">
            <w:pPr>
              <w:jc w:val="center"/>
              <w:rPr>
                <w:rFonts w:ascii="Times New Roman" w:hAnsi="Times New Roman" w:cs="Times New Roman"/>
                <w:sz w:val="22"/>
                <w:szCs w:val="22"/>
              </w:rPr>
            </w:pPr>
            <w:r w:rsidRPr="0063153B">
              <w:rPr>
                <w:rFonts w:ascii="Times New Roman" w:hAnsi="Times New Roman" w:cs="Times New Roman"/>
                <w:sz w:val="22"/>
                <w:szCs w:val="22"/>
              </w:rPr>
              <w:t>$0.08754</w:t>
            </w:r>
          </w:p>
        </w:tc>
        <w:tc>
          <w:tcPr>
            <w:tcW w:w="1212" w:type="dxa"/>
            <w:vMerge w:val="restart"/>
            <w:vAlign w:val="center"/>
          </w:tcPr>
          <w:p w:rsidR="00DF007D" w:rsidRPr="0063153B" w:rsidRDefault="00DF007D" w:rsidP="00F16448">
            <w:pPr>
              <w:jc w:val="center"/>
              <w:rPr>
                <w:rFonts w:ascii="Times New Roman" w:hAnsi="Times New Roman" w:cs="Times New Roman"/>
                <w:sz w:val="22"/>
                <w:szCs w:val="22"/>
              </w:rPr>
            </w:pPr>
            <w:r w:rsidRPr="0063153B">
              <w:rPr>
                <w:rFonts w:ascii="Times New Roman" w:hAnsi="Times New Roman" w:cs="Times New Roman"/>
                <w:sz w:val="22"/>
                <w:szCs w:val="22"/>
              </w:rPr>
              <w:t>Usage</w:t>
            </w:r>
          </w:p>
        </w:tc>
        <w:tc>
          <w:tcPr>
            <w:tcW w:w="1003" w:type="dxa"/>
            <w:vMerge w:val="restart"/>
            <w:vAlign w:val="center"/>
          </w:tcPr>
          <w:p w:rsidR="00DF007D" w:rsidRPr="0063153B" w:rsidRDefault="00DF007D" w:rsidP="00F16448">
            <w:pPr>
              <w:jc w:val="center"/>
              <w:rPr>
                <w:rFonts w:ascii="Times New Roman" w:hAnsi="Times New Roman" w:cs="Times New Roman"/>
                <w:sz w:val="22"/>
                <w:szCs w:val="22"/>
              </w:rPr>
            </w:pPr>
            <w:r w:rsidRPr="0063153B">
              <w:rPr>
                <w:rFonts w:ascii="Times New Roman" w:hAnsi="Times New Roman" w:cs="Times New Roman"/>
                <w:sz w:val="22"/>
                <w:szCs w:val="22"/>
              </w:rPr>
              <w:t>IDT’s</w:t>
            </w:r>
          </w:p>
          <w:p w:rsidR="00DF007D" w:rsidRPr="0063153B" w:rsidRDefault="00DF007D" w:rsidP="00F16448">
            <w:pPr>
              <w:jc w:val="center"/>
              <w:rPr>
                <w:rFonts w:ascii="Times New Roman" w:hAnsi="Times New Roman" w:cs="Times New Roman"/>
                <w:sz w:val="22"/>
                <w:szCs w:val="22"/>
              </w:rPr>
            </w:pPr>
            <w:r w:rsidRPr="0063153B">
              <w:rPr>
                <w:rFonts w:ascii="Times New Roman" w:hAnsi="Times New Roman" w:cs="Times New Roman"/>
                <w:sz w:val="22"/>
                <w:szCs w:val="22"/>
              </w:rPr>
              <w:t>Supply</w:t>
            </w:r>
          </w:p>
          <w:p w:rsidR="00DF007D" w:rsidRPr="0063153B" w:rsidRDefault="00DF007D" w:rsidP="00F16448">
            <w:pPr>
              <w:jc w:val="center"/>
              <w:rPr>
                <w:rFonts w:ascii="Times New Roman" w:hAnsi="Times New Roman" w:cs="Times New Roman"/>
                <w:sz w:val="22"/>
                <w:szCs w:val="22"/>
              </w:rPr>
            </w:pPr>
            <w:r w:rsidRPr="0063153B">
              <w:rPr>
                <w:rFonts w:ascii="Times New Roman" w:hAnsi="Times New Roman" w:cs="Times New Roman"/>
                <w:sz w:val="22"/>
                <w:szCs w:val="22"/>
              </w:rPr>
              <w:t>Charges</w:t>
            </w:r>
          </w:p>
        </w:tc>
        <w:tc>
          <w:tcPr>
            <w:tcW w:w="1377" w:type="dxa"/>
            <w:vMerge w:val="restart"/>
            <w:vAlign w:val="center"/>
          </w:tcPr>
          <w:p w:rsidR="00DF007D" w:rsidRPr="0063153B" w:rsidRDefault="00DF007D" w:rsidP="00F16448">
            <w:pPr>
              <w:jc w:val="center"/>
              <w:rPr>
                <w:rFonts w:ascii="Times New Roman" w:hAnsi="Times New Roman" w:cs="Times New Roman"/>
                <w:sz w:val="22"/>
                <w:szCs w:val="22"/>
              </w:rPr>
            </w:pPr>
            <w:r w:rsidRPr="0063153B">
              <w:rPr>
                <w:rFonts w:ascii="Times New Roman" w:hAnsi="Times New Roman" w:cs="Times New Roman"/>
                <w:sz w:val="22"/>
                <w:szCs w:val="22"/>
              </w:rPr>
              <w:t xml:space="preserve">PPL’s </w:t>
            </w:r>
          </w:p>
          <w:p w:rsidR="00DF007D" w:rsidRPr="0063153B" w:rsidRDefault="00DF007D" w:rsidP="00F16448">
            <w:pPr>
              <w:jc w:val="center"/>
              <w:rPr>
                <w:rFonts w:ascii="Times New Roman" w:hAnsi="Times New Roman" w:cs="Times New Roman"/>
                <w:sz w:val="22"/>
                <w:szCs w:val="22"/>
              </w:rPr>
            </w:pPr>
            <w:r w:rsidRPr="0063153B">
              <w:rPr>
                <w:rFonts w:ascii="Times New Roman" w:hAnsi="Times New Roman" w:cs="Times New Roman"/>
                <w:sz w:val="22"/>
                <w:szCs w:val="22"/>
              </w:rPr>
              <w:t>Distribution</w:t>
            </w:r>
          </w:p>
          <w:p w:rsidR="00DF007D" w:rsidRPr="0063153B" w:rsidRDefault="00DF007D" w:rsidP="00F16448">
            <w:pPr>
              <w:jc w:val="center"/>
              <w:rPr>
                <w:rFonts w:ascii="Times New Roman" w:hAnsi="Times New Roman" w:cs="Times New Roman"/>
                <w:sz w:val="22"/>
                <w:szCs w:val="22"/>
              </w:rPr>
            </w:pPr>
            <w:r w:rsidRPr="0063153B">
              <w:rPr>
                <w:rFonts w:ascii="Times New Roman" w:hAnsi="Times New Roman" w:cs="Times New Roman"/>
                <w:sz w:val="22"/>
                <w:szCs w:val="22"/>
              </w:rPr>
              <w:t>Charges</w:t>
            </w:r>
          </w:p>
        </w:tc>
        <w:tc>
          <w:tcPr>
            <w:tcW w:w="1133" w:type="dxa"/>
            <w:vMerge w:val="restart"/>
            <w:vAlign w:val="center"/>
          </w:tcPr>
          <w:p w:rsidR="00DF007D" w:rsidRPr="0063153B" w:rsidRDefault="00DF007D" w:rsidP="00F16448">
            <w:pPr>
              <w:jc w:val="center"/>
              <w:rPr>
                <w:rFonts w:ascii="Times New Roman" w:hAnsi="Times New Roman" w:cs="Times New Roman"/>
                <w:sz w:val="22"/>
                <w:szCs w:val="22"/>
              </w:rPr>
            </w:pPr>
            <w:r w:rsidRPr="0063153B">
              <w:rPr>
                <w:rFonts w:ascii="Times New Roman" w:hAnsi="Times New Roman" w:cs="Times New Roman"/>
                <w:sz w:val="22"/>
                <w:szCs w:val="22"/>
              </w:rPr>
              <w:t>Total Charges</w:t>
            </w:r>
          </w:p>
        </w:tc>
        <w:tc>
          <w:tcPr>
            <w:tcW w:w="1495" w:type="dxa"/>
            <w:vMerge w:val="restart"/>
            <w:vAlign w:val="center"/>
          </w:tcPr>
          <w:p w:rsidR="00DF007D" w:rsidRPr="0063153B" w:rsidRDefault="00DF007D" w:rsidP="00F16448">
            <w:pPr>
              <w:rPr>
                <w:rFonts w:ascii="Times New Roman" w:hAnsi="Times New Roman" w:cs="Times New Roman"/>
                <w:sz w:val="22"/>
                <w:szCs w:val="22"/>
              </w:rPr>
            </w:pPr>
            <w:r w:rsidRPr="0063153B">
              <w:rPr>
                <w:rFonts w:ascii="Times New Roman" w:hAnsi="Times New Roman" w:cs="Times New Roman"/>
                <w:sz w:val="22"/>
                <w:szCs w:val="22"/>
              </w:rPr>
              <w:t>Avg. Temp/</w:t>
            </w:r>
          </w:p>
          <w:p w:rsidR="00DF007D" w:rsidRPr="0063153B" w:rsidRDefault="00DF007D" w:rsidP="00F16448">
            <w:pPr>
              <w:jc w:val="center"/>
              <w:rPr>
                <w:rFonts w:ascii="Times New Roman" w:hAnsi="Times New Roman" w:cs="Times New Roman"/>
                <w:sz w:val="22"/>
                <w:szCs w:val="22"/>
              </w:rPr>
            </w:pPr>
            <w:r w:rsidRPr="0063153B">
              <w:rPr>
                <w:rFonts w:ascii="Times New Roman" w:hAnsi="Times New Roman" w:cs="Times New Roman"/>
                <w:sz w:val="22"/>
                <w:szCs w:val="22"/>
              </w:rPr>
              <w:t>Billings Days</w:t>
            </w:r>
          </w:p>
        </w:tc>
      </w:tr>
      <w:tr w:rsidR="00DF007D" w:rsidRPr="0063153B" w:rsidTr="00F16448">
        <w:trPr>
          <w:trHeight w:val="544"/>
        </w:trPr>
        <w:tc>
          <w:tcPr>
            <w:tcW w:w="1003" w:type="dxa"/>
            <w:vMerge/>
            <w:vAlign w:val="center"/>
          </w:tcPr>
          <w:p w:rsidR="00DF007D" w:rsidRPr="0063153B" w:rsidRDefault="00DF007D" w:rsidP="00F16448">
            <w:pPr>
              <w:jc w:val="center"/>
              <w:rPr>
                <w:rFonts w:ascii="Times New Roman" w:hAnsi="Times New Roman" w:cs="Times New Roman"/>
                <w:sz w:val="22"/>
                <w:szCs w:val="22"/>
              </w:rPr>
            </w:pPr>
          </w:p>
        </w:tc>
        <w:tc>
          <w:tcPr>
            <w:tcW w:w="981" w:type="dxa"/>
            <w:vMerge/>
            <w:vAlign w:val="center"/>
          </w:tcPr>
          <w:p w:rsidR="00DF007D" w:rsidRPr="0063153B" w:rsidRDefault="00DF007D" w:rsidP="00F16448">
            <w:pPr>
              <w:jc w:val="center"/>
              <w:rPr>
                <w:rFonts w:ascii="Times New Roman" w:hAnsi="Times New Roman" w:cs="Times New Roman"/>
                <w:sz w:val="22"/>
                <w:szCs w:val="22"/>
              </w:rPr>
            </w:pPr>
          </w:p>
        </w:tc>
        <w:tc>
          <w:tcPr>
            <w:tcW w:w="1368" w:type="dxa"/>
            <w:vAlign w:val="center"/>
          </w:tcPr>
          <w:p w:rsidR="00DF007D" w:rsidRPr="0063153B" w:rsidRDefault="00DF007D" w:rsidP="00F16448">
            <w:pPr>
              <w:jc w:val="center"/>
              <w:rPr>
                <w:rFonts w:ascii="Times New Roman" w:hAnsi="Times New Roman" w:cs="Times New Roman"/>
                <w:sz w:val="22"/>
                <w:szCs w:val="22"/>
              </w:rPr>
            </w:pPr>
            <w:r w:rsidRPr="0063153B">
              <w:rPr>
                <w:rFonts w:ascii="Times New Roman" w:hAnsi="Times New Roman" w:cs="Times New Roman"/>
                <w:sz w:val="22"/>
                <w:szCs w:val="22"/>
              </w:rPr>
              <w:t>IDT’s Rate</w:t>
            </w:r>
          </w:p>
        </w:tc>
        <w:tc>
          <w:tcPr>
            <w:tcW w:w="1212" w:type="dxa"/>
            <w:vMerge/>
            <w:vAlign w:val="center"/>
          </w:tcPr>
          <w:p w:rsidR="00DF007D" w:rsidRPr="0063153B" w:rsidRDefault="00DF007D" w:rsidP="00F16448">
            <w:pPr>
              <w:jc w:val="center"/>
              <w:rPr>
                <w:rFonts w:ascii="Times New Roman" w:hAnsi="Times New Roman" w:cs="Times New Roman"/>
                <w:sz w:val="22"/>
                <w:szCs w:val="22"/>
              </w:rPr>
            </w:pPr>
          </w:p>
        </w:tc>
        <w:tc>
          <w:tcPr>
            <w:tcW w:w="1003" w:type="dxa"/>
            <w:vMerge/>
            <w:vAlign w:val="center"/>
          </w:tcPr>
          <w:p w:rsidR="00DF007D" w:rsidRPr="0063153B" w:rsidRDefault="00DF007D" w:rsidP="00F16448">
            <w:pPr>
              <w:jc w:val="center"/>
              <w:rPr>
                <w:rFonts w:ascii="Times New Roman" w:hAnsi="Times New Roman" w:cs="Times New Roman"/>
                <w:sz w:val="22"/>
                <w:szCs w:val="22"/>
              </w:rPr>
            </w:pPr>
          </w:p>
        </w:tc>
        <w:tc>
          <w:tcPr>
            <w:tcW w:w="1377" w:type="dxa"/>
            <w:vMerge/>
            <w:vAlign w:val="center"/>
          </w:tcPr>
          <w:p w:rsidR="00DF007D" w:rsidRPr="0063153B" w:rsidRDefault="00DF007D" w:rsidP="00F16448">
            <w:pPr>
              <w:jc w:val="center"/>
              <w:rPr>
                <w:rFonts w:ascii="Times New Roman" w:hAnsi="Times New Roman" w:cs="Times New Roman"/>
                <w:sz w:val="22"/>
                <w:szCs w:val="22"/>
              </w:rPr>
            </w:pPr>
          </w:p>
        </w:tc>
        <w:tc>
          <w:tcPr>
            <w:tcW w:w="1133" w:type="dxa"/>
            <w:vMerge/>
            <w:vAlign w:val="center"/>
          </w:tcPr>
          <w:p w:rsidR="00DF007D" w:rsidRPr="0063153B" w:rsidRDefault="00DF007D" w:rsidP="00F16448">
            <w:pPr>
              <w:jc w:val="center"/>
              <w:rPr>
                <w:rFonts w:ascii="Times New Roman" w:hAnsi="Times New Roman" w:cs="Times New Roman"/>
                <w:sz w:val="22"/>
                <w:szCs w:val="22"/>
              </w:rPr>
            </w:pPr>
          </w:p>
        </w:tc>
        <w:tc>
          <w:tcPr>
            <w:tcW w:w="1495" w:type="dxa"/>
            <w:vMerge/>
            <w:vAlign w:val="center"/>
          </w:tcPr>
          <w:p w:rsidR="00DF007D" w:rsidRPr="0063153B" w:rsidRDefault="00DF007D" w:rsidP="00F16448">
            <w:pPr>
              <w:rPr>
                <w:rFonts w:ascii="Times New Roman" w:hAnsi="Times New Roman" w:cs="Times New Roman"/>
                <w:sz w:val="22"/>
                <w:szCs w:val="22"/>
              </w:rPr>
            </w:pPr>
          </w:p>
        </w:tc>
      </w:tr>
      <w:tr w:rsidR="00DF007D" w:rsidRPr="0063153B" w:rsidTr="00F16448">
        <w:trPr>
          <w:trHeight w:val="665"/>
        </w:trPr>
        <w:tc>
          <w:tcPr>
            <w:tcW w:w="1003"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RD 1</w:t>
            </w:r>
          </w:p>
        </w:tc>
        <w:tc>
          <w:tcPr>
            <w:tcW w:w="981"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1/23/14</w:t>
            </w:r>
          </w:p>
        </w:tc>
        <w:tc>
          <w:tcPr>
            <w:tcW w:w="1368"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$0.0946</w:t>
            </w:r>
          </w:p>
        </w:tc>
        <w:tc>
          <w:tcPr>
            <w:tcW w:w="1212"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897 kWh</w:t>
            </w:r>
          </w:p>
        </w:tc>
        <w:tc>
          <w:tcPr>
            <w:tcW w:w="1003"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$84.86</w:t>
            </w:r>
          </w:p>
        </w:tc>
        <w:tc>
          <w:tcPr>
            <w:tcW w:w="1377"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$42.86</w:t>
            </w:r>
          </w:p>
        </w:tc>
        <w:tc>
          <w:tcPr>
            <w:tcW w:w="1133"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$127.72</w:t>
            </w:r>
          </w:p>
        </w:tc>
        <w:tc>
          <w:tcPr>
            <w:tcW w:w="1495"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29°F/33</w:t>
            </w:r>
          </w:p>
        </w:tc>
      </w:tr>
      <w:tr w:rsidR="00DF007D" w:rsidRPr="0063153B" w:rsidTr="00F16448">
        <w:trPr>
          <w:trHeight w:val="530"/>
        </w:trPr>
        <w:tc>
          <w:tcPr>
            <w:tcW w:w="1003"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Main</w:t>
            </w:r>
          </w:p>
        </w:tc>
        <w:tc>
          <w:tcPr>
            <w:tcW w:w="981"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1/23/14</w:t>
            </w:r>
          </w:p>
        </w:tc>
        <w:tc>
          <w:tcPr>
            <w:tcW w:w="1368"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$0.0946</w:t>
            </w:r>
          </w:p>
        </w:tc>
        <w:tc>
          <w:tcPr>
            <w:tcW w:w="1212"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777 kWh</w:t>
            </w:r>
          </w:p>
        </w:tc>
        <w:tc>
          <w:tcPr>
            <w:tcW w:w="1003"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$73.50</w:t>
            </w:r>
          </w:p>
        </w:tc>
        <w:tc>
          <w:tcPr>
            <w:tcW w:w="1377"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$39.04</w:t>
            </w:r>
          </w:p>
        </w:tc>
        <w:tc>
          <w:tcPr>
            <w:tcW w:w="1133"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$112.54</w:t>
            </w:r>
          </w:p>
        </w:tc>
        <w:tc>
          <w:tcPr>
            <w:tcW w:w="1495"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29°F/33</w:t>
            </w:r>
          </w:p>
        </w:tc>
      </w:tr>
      <w:tr w:rsidR="00DF007D" w:rsidRPr="0063153B" w:rsidTr="00F16448">
        <w:trPr>
          <w:trHeight w:val="539"/>
        </w:trPr>
        <w:tc>
          <w:tcPr>
            <w:tcW w:w="1003"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RD1</w:t>
            </w:r>
          </w:p>
        </w:tc>
        <w:tc>
          <w:tcPr>
            <w:tcW w:w="981"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2/24/14</w:t>
            </w:r>
          </w:p>
        </w:tc>
        <w:tc>
          <w:tcPr>
            <w:tcW w:w="1368"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$0.2806</w:t>
            </w:r>
          </w:p>
        </w:tc>
        <w:tc>
          <w:tcPr>
            <w:tcW w:w="1212"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917 kWh</w:t>
            </w:r>
          </w:p>
        </w:tc>
        <w:tc>
          <w:tcPr>
            <w:tcW w:w="1003"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$257.31</w:t>
            </w:r>
          </w:p>
        </w:tc>
        <w:tc>
          <w:tcPr>
            <w:tcW w:w="1377"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$43.78</w:t>
            </w:r>
          </w:p>
        </w:tc>
        <w:tc>
          <w:tcPr>
            <w:tcW w:w="1133"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$301.09</w:t>
            </w:r>
          </w:p>
        </w:tc>
        <w:tc>
          <w:tcPr>
            <w:tcW w:w="1495"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20°F/30</w:t>
            </w:r>
          </w:p>
        </w:tc>
      </w:tr>
      <w:tr w:rsidR="00DF007D" w:rsidRPr="0063153B" w:rsidTr="00F16448">
        <w:trPr>
          <w:trHeight w:val="521"/>
        </w:trPr>
        <w:tc>
          <w:tcPr>
            <w:tcW w:w="1003"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Main</w:t>
            </w:r>
          </w:p>
        </w:tc>
        <w:tc>
          <w:tcPr>
            <w:tcW w:w="981"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2/24/14</w:t>
            </w:r>
          </w:p>
        </w:tc>
        <w:tc>
          <w:tcPr>
            <w:tcW w:w="1368"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$0.2806</w:t>
            </w:r>
          </w:p>
        </w:tc>
        <w:tc>
          <w:tcPr>
            <w:tcW w:w="1212"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725 kWh</w:t>
            </w:r>
          </w:p>
        </w:tc>
        <w:tc>
          <w:tcPr>
            <w:tcW w:w="1003" w:type="dxa"/>
            <w:vAlign w:val="bottom"/>
          </w:tcPr>
          <w:p w:rsidR="00DF007D" w:rsidRPr="0063153B" w:rsidRDefault="0085032A"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w:t>
            </w:r>
            <w:r w:rsidR="00DF007D" w:rsidRPr="0063153B">
              <w:rPr>
                <w:rFonts w:ascii="Times New Roman" w:hAnsi="Times New Roman" w:cs="Times New Roman"/>
                <w:sz w:val="22"/>
                <w:szCs w:val="22"/>
              </w:rPr>
              <w:t>203.44</w:t>
            </w:r>
          </w:p>
        </w:tc>
        <w:tc>
          <w:tcPr>
            <w:tcW w:w="1377"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$37.63</w:t>
            </w:r>
          </w:p>
        </w:tc>
        <w:tc>
          <w:tcPr>
            <w:tcW w:w="1133"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$241.07</w:t>
            </w:r>
          </w:p>
        </w:tc>
        <w:tc>
          <w:tcPr>
            <w:tcW w:w="1495" w:type="dxa"/>
            <w:vAlign w:val="bottom"/>
          </w:tcPr>
          <w:p w:rsidR="00DF007D" w:rsidRPr="0063153B" w:rsidRDefault="00DF007D" w:rsidP="00F16448">
            <w:pPr>
              <w:spacing w:line="360" w:lineRule="auto"/>
              <w:jc w:val="center"/>
              <w:rPr>
                <w:rFonts w:ascii="Times New Roman" w:hAnsi="Times New Roman" w:cs="Times New Roman"/>
                <w:sz w:val="22"/>
                <w:szCs w:val="22"/>
              </w:rPr>
            </w:pPr>
            <w:r w:rsidRPr="0063153B">
              <w:rPr>
                <w:rFonts w:ascii="Times New Roman" w:hAnsi="Times New Roman" w:cs="Times New Roman"/>
                <w:sz w:val="22"/>
                <w:szCs w:val="22"/>
              </w:rPr>
              <w:t>20°F/30</w:t>
            </w:r>
          </w:p>
        </w:tc>
      </w:tr>
    </w:tbl>
    <w:p w:rsidR="00DF007D" w:rsidRDefault="00DF007D" w:rsidP="00DF007D">
      <w:pPr>
        <w:spacing w:line="360" w:lineRule="auto"/>
        <w:rPr>
          <w:rFonts w:ascii="Times New Roman" w:hAnsi="Times New Roman" w:cs="Times New Roman"/>
        </w:rPr>
      </w:pPr>
      <w:proofErr w:type="gramStart"/>
      <w:r>
        <w:rPr>
          <w:rFonts w:ascii="Times New Roman" w:hAnsi="Times New Roman" w:cs="Times New Roman"/>
        </w:rPr>
        <w:t>C-</w:t>
      </w:r>
      <w:proofErr w:type="spellStart"/>
      <w:r>
        <w:rPr>
          <w:rFonts w:ascii="Times New Roman" w:hAnsi="Times New Roman" w:cs="Times New Roman"/>
        </w:rPr>
        <w:t>Exh</w:t>
      </w:r>
      <w:proofErr w:type="spellEnd"/>
      <w:r>
        <w:rPr>
          <w:rFonts w:ascii="Times New Roman" w:hAnsi="Times New Roman" w:cs="Times New Roman"/>
        </w:rPr>
        <w:t>.</w:t>
      </w:r>
      <w:proofErr w:type="gramEnd"/>
      <w:r>
        <w:rPr>
          <w:rFonts w:ascii="Times New Roman" w:hAnsi="Times New Roman" w:cs="Times New Roman"/>
        </w:rPr>
        <w:t xml:space="preserve"> 1.</w:t>
      </w:r>
    </w:p>
    <w:p w:rsidR="00DF007D" w:rsidRDefault="00DF007D" w:rsidP="005F4580">
      <w:pPr>
        <w:spacing w:line="360" w:lineRule="auto"/>
        <w:rPr>
          <w:rFonts w:ascii="Times New Roman" w:hAnsi="Times New Roman" w:cs="Times New Roman"/>
        </w:rPr>
      </w:pPr>
    </w:p>
    <w:p w:rsidR="006A498F" w:rsidRDefault="00DF007D"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26.</w:t>
      </w:r>
      <w:r>
        <w:rPr>
          <w:rFonts w:ascii="Times New Roman" w:hAnsi="Times New Roman" w:cs="Times New Roman"/>
        </w:rPr>
        <w:tab/>
      </w:r>
      <w:r w:rsidR="006A498F">
        <w:rPr>
          <w:rFonts w:ascii="Times New Roman" w:hAnsi="Times New Roman" w:cs="Times New Roman"/>
        </w:rPr>
        <w:t>On March 11, 2014, Mr. Wo</w:t>
      </w:r>
      <w:r w:rsidR="00FB6BDE">
        <w:rPr>
          <w:rFonts w:ascii="Times New Roman" w:hAnsi="Times New Roman" w:cs="Times New Roman"/>
        </w:rPr>
        <w:t>i</w:t>
      </w:r>
      <w:r w:rsidR="006A498F">
        <w:rPr>
          <w:rFonts w:ascii="Times New Roman" w:hAnsi="Times New Roman" w:cs="Times New Roman"/>
        </w:rPr>
        <w:t xml:space="preserve">tko tried several times to contact IDT by telephone about his bills but </w:t>
      </w:r>
      <w:r w:rsidR="00FB6BDE">
        <w:rPr>
          <w:rFonts w:ascii="Times New Roman" w:hAnsi="Times New Roman" w:cs="Times New Roman"/>
        </w:rPr>
        <w:t xml:space="preserve">he </w:t>
      </w:r>
      <w:r w:rsidR="006A498F">
        <w:rPr>
          <w:rFonts w:ascii="Times New Roman" w:hAnsi="Times New Roman" w:cs="Times New Roman"/>
        </w:rPr>
        <w:t xml:space="preserve">was unsuccessful.  </w:t>
      </w:r>
      <w:proofErr w:type="gramStart"/>
      <w:r w:rsidR="006A498F">
        <w:rPr>
          <w:rFonts w:ascii="Times New Roman" w:hAnsi="Times New Roman" w:cs="Times New Roman"/>
        </w:rPr>
        <w:t>Tr. 16.</w:t>
      </w:r>
      <w:proofErr w:type="gramEnd"/>
    </w:p>
    <w:p w:rsidR="006A498F" w:rsidRDefault="006A498F" w:rsidP="00CC54C7">
      <w:pPr>
        <w:spacing w:line="360" w:lineRule="auto"/>
        <w:rPr>
          <w:rFonts w:ascii="Times New Roman" w:hAnsi="Times New Roman" w:cs="Times New Roman"/>
        </w:rPr>
      </w:pPr>
    </w:p>
    <w:p w:rsidR="006A498F" w:rsidRDefault="006A498F"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sidR="00DF007D">
        <w:rPr>
          <w:rFonts w:ascii="Times New Roman" w:hAnsi="Times New Roman" w:cs="Times New Roman"/>
        </w:rPr>
        <w:t>7</w:t>
      </w:r>
      <w:r>
        <w:rPr>
          <w:rFonts w:ascii="Times New Roman" w:hAnsi="Times New Roman" w:cs="Times New Roman"/>
        </w:rPr>
        <w:t>.</w:t>
      </w:r>
      <w:r>
        <w:rPr>
          <w:rFonts w:ascii="Times New Roman" w:hAnsi="Times New Roman" w:cs="Times New Roman"/>
        </w:rPr>
        <w:tab/>
        <w:t xml:space="preserve"> In February and March 2014, IDT’s call center experienced </w:t>
      </w:r>
      <w:r w:rsidR="006762AA">
        <w:rPr>
          <w:rFonts w:ascii="Times New Roman" w:hAnsi="Times New Roman" w:cs="Times New Roman"/>
        </w:rPr>
        <w:t>a</w:t>
      </w:r>
      <w:r>
        <w:rPr>
          <w:rFonts w:ascii="Times New Roman" w:hAnsi="Times New Roman" w:cs="Times New Roman"/>
        </w:rPr>
        <w:t>n unprecedented number of calls du</w:t>
      </w:r>
      <w:r w:rsidR="006762AA">
        <w:rPr>
          <w:rFonts w:ascii="Times New Roman" w:hAnsi="Times New Roman" w:cs="Times New Roman"/>
        </w:rPr>
        <w:t>e</w:t>
      </w:r>
      <w:r>
        <w:rPr>
          <w:rFonts w:ascii="Times New Roman" w:hAnsi="Times New Roman" w:cs="Times New Roman"/>
        </w:rPr>
        <w:t xml:space="preserve"> to the Polar Vortex.  </w:t>
      </w:r>
      <w:proofErr w:type="gramStart"/>
      <w:r>
        <w:rPr>
          <w:rFonts w:ascii="Times New Roman" w:hAnsi="Times New Roman" w:cs="Times New Roman"/>
        </w:rPr>
        <w:t>Tr. 70.</w:t>
      </w:r>
      <w:proofErr w:type="gramEnd"/>
    </w:p>
    <w:p w:rsidR="00D03962" w:rsidRDefault="00D03962" w:rsidP="00CC54C7">
      <w:pPr>
        <w:spacing w:line="360" w:lineRule="auto"/>
        <w:rPr>
          <w:rFonts w:ascii="Times New Roman" w:hAnsi="Times New Roman" w:cs="Times New Roman"/>
        </w:rPr>
      </w:pPr>
    </w:p>
    <w:p w:rsidR="00D03962" w:rsidRDefault="00D03962"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sidR="00DF007D">
        <w:rPr>
          <w:rFonts w:ascii="Times New Roman" w:hAnsi="Times New Roman" w:cs="Times New Roman"/>
        </w:rPr>
        <w:t>8</w:t>
      </w:r>
      <w:r>
        <w:rPr>
          <w:rFonts w:ascii="Times New Roman" w:hAnsi="Times New Roman" w:cs="Times New Roman"/>
        </w:rPr>
        <w:t>.</w:t>
      </w:r>
      <w:r>
        <w:rPr>
          <w:rFonts w:ascii="Times New Roman" w:hAnsi="Times New Roman" w:cs="Times New Roman"/>
        </w:rPr>
        <w:tab/>
        <w:t xml:space="preserve">IDT’s call center is staffed with approximately 25 customer service representative and five supervisors.  </w:t>
      </w:r>
      <w:proofErr w:type="gramStart"/>
      <w:r>
        <w:rPr>
          <w:rFonts w:ascii="Times New Roman" w:hAnsi="Times New Roman" w:cs="Times New Roman"/>
        </w:rPr>
        <w:t>Tr. 57.</w:t>
      </w:r>
      <w:proofErr w:type="gramEnd"/>
    </w:p>
    <w:p w:rsidR="006A498F" w:rsidRDefault="006A498F" w:rsidP="00CC54C7">
      <w:pPr>
        <w:spacing w:line="360" w:lineRule="auto"/>
        <w:rPr>
          <w:rFonts w:ascii="Times New Roman" w:hAnsi="Times New Roman" w:cs="Times New Roman"/>
        </w:rPr>
      </w:pPr>
    </w:p>
    <w:p w:rsidR="006A498F" w:rsidRDefault="006A498F"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E0E78">
        <w:rPr>
          <w:rFonts w:ascii="Times New Roman" w:hAnsi="Times New Roman" w:cs="Times New Roman"/>
        </w:rPr>
        <w:t>2</w:t>
      </w:r>
      <w:r w:rsidR="00DF007D">
        <w:rPr>
          <w:rFonts w:ascii="Times New Roman" w:hAnsi="Times New Roman" w:cs="Times New Roman"/>
        </w:rPr>
        <w:t>9</w:t>
      </w:r>
      <w:r w:rsidR="003E0E78">
        <w:rPr>
          <w:rFonts w:ascii="Times New Roman" w:hAnsi="Times New Roman" w:cs="Times New Roman"/>
        </w:rPr>
        <w:t>.</w:t>
      </w:r>
      <w:r w:rsidR="003E0E78">
        <w:rPr>
          <w:rFonts w:ascii="Times New Roman" w:hAnsi="Times New Roman" w:cs="Times New Roman"/>
        </w:rPr>
        <w:tab/>
        <w:t>Prior to February 2014, IDT usually received about 10,000 inbound customer service telephone calls per month, with an average hold time of approximately 30 seconds.  Tr. 70-71.</w:t>
      </w:r>
      <w:r>
        <w:rPr>
          <w:rFonts w:ascii="Times New Roman" w:hAnsi="Times New Roman" w:cs="Times New Roman"/>
        </w:rPr>
        <w:t xml:space="preserve"> </w:t>
      </w:r>
    </w:p>
    <w:p w:rsidR="006A498F" w:rsidRDefault="006A498F" w:rsidP="00CC54C7">
      <w:pPr>
        <w:spacing w:line="360" w:lineRule="auto"/>
        <w:rPr>
          <w:rFonts w:ascii="Times New Roman" w:hAnsi="Times New Roman" w:cs="Times New Roman"/>
        </w:rPr>
      </w:pPr>
    </w:p>
    <w:p w:rsidR="00DF007D" w:rsidRDefault="003E0E78"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F007D">
        <w:rPr>
          <w:rFonts w:ascii="Times New Roman" w:hAnsi="Times New Roman" w:cs="Times New Roman"/>
        </w:rPr>
        <w:t>30</w:t>
      </w:r>
      <w:r>
        <w:rPr>
          <w:rFonts w:ascii="Times New Roman" w:hAnsi="Times New Roman" w:cs="Times New Roman"/>
        </w:rPr>
        <w:t>.</w:t>
      </w:r>
      <w:r>
        <w:rPr>
          <w:rFonts w:ascii="Times New Roman" w:hAnsi="Times New Roman" w:cs="Times New Roman"/>
        </w:rPr>
        <w:tab/>
        <w:t>During February</w:t>
      </w:r>
      <w:r w:rsidR="006762AA">
        <w:rPr>
          <w:rFonts w:ascii="Times New Roman" w:hAnsi="Times New Roman" w:cs="Times New Roman"/>
        </w:rPr>
        <w:t xml:space="preserve"> 2014 IDT handled about 37,000 customer calls and </w:t>
      </w:r>
    </w:p>
    <w:p w:rsidR="006A498F" w:rsidRDefault="006762AA" w:rsidP="00CC54C7">
      <w:pPr>
        <w:spacing w:line="360" w:lineRule="auto"/>
        <w:rPr>
          <w:rFonts w:ascii="Times New Roman" w:hAnsi="Times New Roman" w:cs="Times New Roman"/>
        </w:rPr>
      </w:pPr>
      <w:r>
        <w:rPr>
          <w:rFonts w:ascii="Times New Roman" w:hAnsi="Times New Roman" w:cs="Times New Roman"/>
        </w:rPr>
        <w:t>46,000 customer calls in March 2014.</w:t>
      </w:r>
      <w:r w:rsidR="00B95BA4">
        <w:rPr>
          <w:rFonts w:ascii="Times New Roman" w:hAnsi="Times New Roman" w:cs="Times New Roman"/>
        </w:rPr>
        <w:t xml:space="preserve">  Id.</w:t>
      </w:r>
    </w:p>
    <w:p w:rsidR="006762AA" w:rsidRDefault="006762AA" w:rsidP="00CC54C7">
      <w:pPr>
        <w:spacing w:line="360" w:lineRule="auto"/>
        <w:rPr>
          <w:rFonts w:ascii="Times New Roman" w:hAnsi="Times New Roman" w:cs="Times New Roman"/>
        </w:rPr>
      </w:pPr>
    </w:p>
    <w:p w:rsidR="00B65EAE" w:rsidRDefault="00D4748A" w:rsidP="00CC54C7">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D27ED5">
        <w:rPr>
          <w:rFonts w:ascii="Times New Roman" w:hAnsi="Times New Roman" w:cs="Times New Roman"/>
        </w:rPr>
        <w:t>3</w:t>
      </w:r>
      <w:r w:rsidR="00DF007D">
        <w:rPr>
          <w:rFonts w:ascii="Times New Roman" w:hAnsi="Times New Roman" w:cs="Times New Roman"/>
        </w:rPr>
        <w:t>1</w:t>
      </w:r>
      <w:r>
        <w:rPr>
          <w:rFonts w:ascii="Times New Roman" w:hAnsi="Times New Roman" w:cs="Times New Roman"/>
        </w:rPr>
        <w:t>.</w:t>
      </w:r>
      <w:r>
        <w:rPr>
          <w:rFonts w:ascii="Times New Roman" w:hAnsi="Times New Roman" w:cs="Times New Roman"/>
        </w:rPr>
        <w:tab/>
      </w:r>
      <w:r w:rsidR="00B65EAE">
        <w:rPr>
          <w:rFonts w:ascii="Times New Roman" w:hAnsi="Times New Roman" w:cs="Times New Roman"/>
        </w:rPr>
        <w:t xml:space="preserve">By letter dated March 11, 2014, Mr. Woitko notified IDT to cancel his service and transfer him back to PPL for </w:t>
      </w:r>
      <w:r w:rsidR="00E23F77">
        <w:rPr>
          <w:rFonts w:ascii="Times New Roman" w:hAnsi="Times New Roman" w:cs="Times New Roman"/>
        </w:rPr>
        <w:t xml:space="preserve">his </w:t>
      </w:r>
      <w:r w:rsidR="00B65EAE">
        <w:rPr>
          <w:rFonts w:ascii="Times New Roman" w:hAnsi="Times New Roman" w:cs="Times New Roman"/>
        </w:rPr>
        <w:t xml:space="preserve">electric generation supply.  </w:t>
      </w:r>
      <w:proofErr w:type="gramStart"/>
      <w:r w:rsidR="00B65EAE">
        <w:rPr>
          <w:rFonts w:ascii="Times New Roman" w:hAnsi="Times New Roman" w:cs="Times New Roman"/>
        </w:rPr>
        <w:t>Tr. 68; R-Exh.</w:t>
      </w:r>
      <w:proofErr w:type="gramEnd"/>
      <w:r w:rsidR="00B65EAE">
        <w:rPr>
          <w:rFonts w:ascii="Times New Roman" w:hAnsi="Times New Roman" w:cs="Times New Roman"/>
        </w:rPr>
        <w:t xml:space="preserve"> 3.</w:t>
      </w:r>
    </w:p>
    <w:p w:rsidR="00A257F9" w:rsidRDefault="00A257F9" w:rsidP="00CC54C7">
      <w:pPr>
        <w:spacing w:line="360" w:lineRule="auto"/>
        <w:rPr>
          <w:rFonts w:ascii="Times New Roman" w:hAnsi="Times New Roman" w:cs="Times New Roman"/>
        </w:rPr>
      </w:pPr>
    </w:p>
    <w:p w:rsidR="00E23F77" w:rsidRDefault="00A257F9"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27ED5">
        <w:rPr>
          <w:rFonts w:ascii="Times New Roman" w:hAnsi="Times New Roman" w:cs="Times New Roman"/>
        </w:rPr>
        <w:t>3</w:t>
      </w:r>
      <w:r w:rsidR="00DF007D">
        <w:rPr>
          <w:rFonts w:ascii="Times New Roman" w:hAnsi="Times New Roman" w:cs="Times New Roman"/>
        </w:rPr>
        <w:t>2</w:t>
      </w:r>
      <w:r>
        <w:rPr>
          <w:rFonts w:ascii="Times New Roman" w:hAnsi="Times New Roman" w:cs="Times New Roman"/>
        </w:rPr>
        <w:t>.</w:t>
      </w:r>
      <w:r w:rsidR="00E52DC2">
        <w:rPr>
          <w:rFonts w:ascii="Times New Roman" w:hAnsi="Times New Roman" w:cs="Times New Roman"/>
        </w:rPr>
        <w:tab/>
      </w:r>
      <w:r w:rsidR="00803B1D">
        <w:rPr>
          <w:rFonts w:ascii="Times New Roman" w:hAnsi="Times New Roman" w:cs="Times New Roman"/>
        </w:rPr>
        <w:t xml:space="preserve">In March </w:t>
      </w:r>
      <w:r w:rsidR="00E23F77">
        <w:rPr>
          <w:rFonts w:ascii="Times New Roman" w:hAnsi="Times New Roman" w:cs="Times New Roman"/>
        </w:rPr>
        <w:t xml:space="preserve">2014, IDT notified PPL </w:t>
      </w:r>
      <w:r w:rsidR="00D27ED5">
        <w:rPr>
          <w:rFonts w:ascii="Times New Roman" w:hAnsi="Times New Roman" w:cs="Times New Roman"/>
        </w:rPr>
        <w:t>about</w:t>
      </w:r>
      <w:r w:rsidR="00E23F77">
        <w:rPr>
          <w:rFonts w:ascii="Times New Roman" w:hAnsi="Times New Roman" w:cs="Times New Roman"/>
        </w:rPr>
        <w:t xml:space="preserve"> Mr. Wo</w:t>
      </w:r>
      <w:r w:rsidR="00DF007D">
        <w:rPr>
          <w:rFonts w:ascii="Times New Roman" w:hAnsi="Times New Roman" w:cs="Times New Roman"/>
        </w:rPr>
        <w:t>i</w:t>
      </w:r>
      <w:r w:rsidR="00E23F77">
        <w:rPr>
          <w:rFonts w:ascii="Times New Roman" w:hAnsi="Times New Roman" w:cs="Times New Roman"/>
        </w:rPr>
        <w:t>tko</w:t>
      </w:r>
      <w:r w:rsidR="00D27ED5">
        <w:rPr>
          <w:rFonts w:ascii="Times New Roman" w:hAnsi="Times New Roman" w:cs="Times New Roman"/>
        </w:rPr>
        <w:t>’s</w:t>
      </w:r>
      <w:r w:rsidR="00A70B7E">
        <w:rPr>
          <w:rFonts w:ascii="Times New Roman" w:hAnsi="Times New Roman" w:cs="Times New Roman"/>
        </w:rPr>
        <w:t xml:space="preserve"> cancellation request (Tr. 69), and he was transferred back to PPL’s service for electric generation supply effective April 23, 2014. </w:t>
      </w:r>
      <w:r w:rsidR="00803B1D">
        <w:rPr>
          <w:rFonts w:ascii="Times New Roman" w:hAnsi="Times New Roman" w:cs="Times New Roman"/>
        </w:rPr>
        <w:t xml:space="preserve"> </w:t>
      </w:r>
      <w:r w:rsidR="00A70B7E">
        <w:rPr>
          <w:rFonts w:ascii="Times New Roman" w:hAnsi="Times New Roman" w:cs="Times New Roman"/>
        </w:rPr>
        <w:t>Tr. 38</w:t>
      </w:r>
      <w:r w:rsidR="00F80B17">
        <w:rPr>
          <w:rFonts w:ascii="Times New Roman" w:hAnsi="Times New Roman" w:cs="Times New Roman"/>
        </w:rPr>
        <w:t>, 62</w:t>
      </w:r>
      <w:r w:rsidR="00312EDC">
        <w:rPr>
          <w:rFonts w:ascii="Times New Roman" w:hAnsi="Times New Roman" w:cs="Times New Roman"/>
        </w:rPr>
        <w:t>, 69</w:t>
      </w:r>
      <w:r w:rsidR="00803B1D">
        <w:rPr>
          <w:rFonts w:ascii="Times New Roman" w:hAnsi="Times New Roman" w:cs="Times New Roman"/>
        </w:rPr>
        <w:t>.</w:t>
      </w:r>
      <w:r w:rsidR="00A70B7E">
        <w:rPr>
          <w:rFonts w:ascii="Times New Roman" w:hAnsi="Times New Roman" w:cs="Times New Roman"/>
        </w:rPr>
        <w:t xml:space="preserve"> </w:t>
      </w:r>
    </w:p>
    <w:p w:rsidR="00A70B7E" w:rsidRDefault="00A70B7E" w:rsidP="00CC54C7">
      <w:pPr>
        <w:spacing w:line="360" w:lineRule="auto"/>
        <w:rPr>
          <w:rFonts w:ascii="Times New Roman" w:hAnsi="Times New Roman" w:cs="Times New Roman"/>
        </w:rPr>
      </w:pPr>
    </w:p>
    <w:p w:rsidR="00E23F77" w:rsidRDefault="00E23F77"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27ED5">
        <w:rPr>
          <w:rFonts w:ascii="Times New Roman" w:hAnsi="Times New Roman" w:cs="Times New Roman"/>
        </w:rPr>
        <w:t>3</w:t>
      </w:r>
      <w:r w:rsidR="00072509">
        <w:rPr>
          <w:rFonts w:ascii="Times New Roman" w:hAnsi="Times New Roman" w:cs="Times New Roman"/>
        </w:rPr>
        <w:t>3</w:t>
      </w:r>
      <w:r>
        <w:rPr>
          <w:rFonts w:ascii="Times New Roman" w:hAnsi="Times New Roman" w:cs="Times New Roman"/>
        </w:rPr>
        <w:t>.</w:t>
      </w:r>
      <w:r>
        <w:rPr>
          <w:rFonts w:ascii="Times New Roman" w:hAnsi="Times New Roman" w:cs="Times New Roman"/>
        </w:rPr>
        <w:tab/>
        <w:t xml:space="preserve"> On March </w:t>
      </w:r>
      <w:r w:rsidR="00A70B7E">
        <w:rPr>
          <w:rFonts w:ascii="Times New Roman" w:hAnsi="Times New Roman" w:cs="Times New Roman"/>
        </w:rPr>
        <w:t>27, 201</w:t>
      </w:r>
      <w:r>
        <w:rPr>
          <w:rFonts w:ascii="Times New Roman" w:hAnsi="Times New Roman" w:cs="Times New Roman"/>
        </w:rPr>
        <w:t xml:space="preserve">4, </w:t>
      </w:r>
      <w:r w:rsidR="00A70B7E">
        <w:rPr>
          <w:rFonts w:ascii="Times New Roman" w:hAnsi="Times New Roman" w:cs="Times New Roman"/>
        </w:rPr>
        <w:t>IDT’s customer</w:t>
      </w:r>
      <w:r w:rsidR="001D3BC2">
        <w:rPr>
          <w:rFonts w:ascii="Times New Roman" w:hAnsi="Times New Roman" w:cs="Times New Roman"/>
        </w:rPr>
        <w:t xml:space="preserve"> service representative </w:t>
      </w:r>
      <w:r w:rsidR="00CC5FC2">
        <w:rPr>
          <w:rFonts w:ascii="Times New Roman" w:hAnsi="Times New Roman" w:cs="Times New Roman"/>
        </w:rPr>
        <w:t>telephoned Mr. Wo</w:t>
      </w:r>
      <w:r w:rsidR="00DF007D">
        <w:rPr>
          <w:rFonts w:ascii="Times New Roman" w:hAnsi="Times New Roman" w:cs="Times New Roman"/>
        </w:rPr>
        <w:t>it</w:t>
      </w:r>
      <w:r w:rsidR="00CC5FC2">
        <w:rPr>
          <w:rFonts w:ascii="Times New Roman" w:hAnsi="Times New Roman" w:cs="Times New Roman"/>
        </w:rPr>
        <w:t xml:space="preserve">ko and </w:t>
      </w:r>
      <w:r w:rsidR="001D3BC2">
        <w:rPr>
          <w:rFonts w:ascii="Times New Roman" w:hAnsi="Times New Roman" w:cs="Times New Roman"/>
        </w:rPr>
        <w:t>offer</w:t>
      </w:r>
      <w:r w:rsidR="00CC5FC2">
        <w:rPr>
          <w:rFonts w:ascii="Times New Roman" w:hAnsi="Times New Roman" w:cs="Times New Roman"/>
        </w:rPr>
        <w:t>ed</w:t>
      </w:r>
      <w:r w:rsidR="001D3BC2">
        <w:rPr>
          <w:rFonts w:ascii="Times New Roman" w:hAnsi="Times New Roman" w:cs="Times New Roman"/>
        </w:rPr>
        <w:t xml:space="preserve"> to provide him a good will refund </w:t>
      </w:r>
      <w:r w:rsidR="00CC5FC2">
        <w:rPr>
          <w:rFonts w:ascii="Times New Roman" w:hAnsi="Times New Roman" w:cs="Times New Roman"/>
        </w:rPr>
        <w:t xml:space="preserve">on his two accounts to reduce the impact of his increased cost for electricity in January and February 2014.  </w:t>
      </w:r>
      <w:proofErr w:type="gramStart"/>
      <w:r w:rsidR="00CC5FC2">
        <w:rPr>
          <w:rFonts w:ascii="Times New Roman" w:hAnsi="Times New Roman" w:cs="Times New Roman"/>
        </w:rPr>
        <w:t>Tr. 81.</w:t>
      </w:r>
      <w:proofErr w:type="gramEnd"/>
    </w:p>
    <w:p w:rsidR="005A2EC6" w:rsidRDefault="005A2EC6" w:rsidP="00CC54C7">
      <w:pPr>
        <w:spacing w:line="360" w:lineRule="auto"/>
        <w:rPr>
          <w:rFonts w:ascii="Times New Roman" w:hAnsi="Times New Roman" w:cs="Times New Roman"/>
        </w:rPr>
      </w:pPr>
    </w:p>
    <w:p w:rsidR="005A2EC6" w:rsidRDefault="005A2EC6"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sidR="00072509">
        <w:rPr>
          <w:rFonts w:ascii="Times New Roman" w:hAnsi="Times New Roman" w:cs="Times New Roman"/>
        </w:rPr>
        <w:t>4</w:t>
      </w:r>
      <w:r>
        <w:rPr>
          <w:rFonts w:ascii="Times New Roman" w:hAnsi="Times New Roman" w:cs="Times New Roman"/>
        </w:rPr>
        <w:t>.</w:t>
      </w:r>
      <w:r>
        <w:rPr>
          <w:rFonts w:ascii="Times New Roman" w:hAnsi="Times New Roman" w:cs="Times New Roman"/>
        </w:rPr>
        <w:tab/>
        <w:t>IDT offered Mr. Wo</w:t>
      </w:r>
      <w:r w:rsidR="00072509">
        <w:rPr>
          <w:rFonts w:ascii="Times New Roman" w:hAnsi="Times New Roman" w:cs="Times New Roman"/>
        </w:rPr>
        <w:t>i</w:t>
      </w:r>
      <w:r>
        <w:rPr>
          <w:rFonts w:ascii="Times New Roman" w:hAnsi="Times New Roman" w:cs="Times New Roman"/>
        </w:rPr>
        <w:t xml:space="preserve">tko good will refunds of $170.56 </w:t>
      </w:r>
      <w:r w:rsidR="0015461C">
        <w:rPr>
          <w:rFonts w:ascii="Times New Roman" w:hAnsi="Times New Roman" w:cs="Times New Roman"/>
        </w:rPr>
        <w:t xml:space="preserve">on </w:t>
      </w:r>
      <w:r>
        <w:rPr>
          <w:rFonts w:ascii="Times New Roman" w:hAnsi="Times New Roman" w:cs="Times New Roman"/>
        </w:rPr>
        <w:t xml:space="preserve">his account for the RD 1 Service Address and $136.86 for </w:t>
      </w:r>
      <w:r w:rsidR="0015461C">
        <w:rPr>
          <w:rFonts w:ascii="Times New Roman" w:hAnsi="Times New Roman" w:cs="Times New Roman"/>
        </w:rPr>
        <w:t xml:space="preserve">the </w:t>
      </w:r>
      <w:r>
        <w:rPr>
          <w:rFonts w:ascii="Times New Roman" w:hAnsi="Times New Roman" w:cs="Times New Roman"/>
        </w:rPr>
        <w:t xml:space="preserve">Main Service Address.  </w:t>
      </w:r>
      <w:proofErr w:type="gramStart"/>
      <w:r>
        <w:rPr>
          <w:rFonts w:ascii="Times New Roman" w:hAnsi="Times New Roman" w:cs="Times New Roman"/>
        </w:rPr>
        <w:t>R-Exh.</w:t>
      </w:r>
      <w:proofErr w:type="gramEnd"/>
      <w:r>
        <w:rPr>
          <w:rFonts w:ascii="Times New Roman" w:hAnsi="Times New Roman" w:cs="Times New Roman"/>
        </w:rPr>
        <w:t xml:space="preserve"> 5.</w:t>
      </w:r>
    </w:p>
    <w:p w:rsidR="005A2EC6" w:rsidRDefault="005A2EC6" w:rsidP="00CC54C7">
      <w:pPr>
        <w:spacing w:line="360" w:lineRule="auto"/>
        <w:rPr>
          <w:rFonts w:ascii="Times New Roman" w:hAnsi="Times New Roman" w:cs="Times New Roman"/>
        </w:rPr>
      </w:pPr>
    </w:p>
    <w:p w:rsidR="00BE212A" w:rsidRDefault="005A2EC6"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sidR="00072509">
        <w:rPr>
          <w:rFonts w:ascii="Times New Roman" w:hAnsi="Times New Roman" w:cs="Times New Roman"/>
        </w:rPr>
        <w:t>5</w:t>
      </w:r>
      <w:r>
        <w:rPr>
          <w:rFonts w:ascii="Times New Roman" w:hAnsi="Times New Roman" w:cs="Times New Roman"/>
        </w:rPr>
        <w:t>.</w:t>
      </w:r>
      <w:r>
        <w:rPr>
          <w:rFonts w:ascii="Times New Roman" w:hAnsi="Times New Roman" w:cs="Times New Roman"/>
        </w:rPr>
        <w:tab/>
        <w:t>IDT’s good will refund offers were calculated by rolling Mr. Wo</w:t>
      </w:r>
      <w:r w:rsidR="00072509">
        <w:rPr>
          <w:rFonts w:ascii="Times New Roman" w:hAnsi="Times New Roman" w:cs="Times New Roman"/>
        </w:rPr>
        <w:t>i</w:t>
      </w:r>
      <w:r>
        <w:rPr>
          <w:rFonts w:ascii="Times New Roman" w:hAnsi="Times New Roman" w:cs="Times New Roman"/>
        </w:rPr>
        <w:t xml:space="preserve">tko’s electricity generation </w:t>
      </w:r>
      <w:r w:rsidR="00BE212A">
        <w:rPr>
          <w:rFonts w:ascii="Times New Roman" w:hAnsi="Times New Roman" w:cs="Times New Roman"/>
        </w:rPr>
        <w:t xml:space="preserve">supply rates back to a rate similar to the rate he was charged in the months preceding the Polar Vortex.  </w:t>
      </w:r>
      <w:proofErr w:type="gramStart"/>
      <w:r w:rsidR="00BE212A">
        <w:rPr>
          <w:rFonts w:ascii="Times New Roman" w:hAnsi="Times New Roman" w:cs="Times New Roman"/>
        </w:rPr>
        <w:t>Tr. 75.</w:t>
      </w:r>
      <w:proofErr w:type="gramEnd"/>
    </w:p>
    <w:p w:rsidR="00BE212A" w:rsidRDefault="00BE212A" w:rsidP="00CC54C7">
      <w:pPr>
        <w:spacing w:line="360" w:lineRule="auto"/>
        <w:rPr>
          <w:rFonts w:ascii="Times New Roman" w:hAnsi="Times New Roman" w:cs="Times New Roman"/>
        </w:rPr>
      </w:pPr>
    </w:p>
    <w:p w:rsidR="0078071E" w:rsidRDefault="00E23F77"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072D9">
        <w:rPr>
          <w:rFonts w:ascii="Times New Roman" w:hAnsi="Times New Roman" w:cs="Times New Roman"/>
        </w:rPr>
        <w:t>3</w:t>
      </w:r>
      <w:r w:rsidR="00072509">
        <w:rPr>
          <w:rFonts w:ascii="Times New Roman" w:hAnsi="Times New Roman" w:cs="Times New Roman"/>
        </w:rPr>
        <w:t>6</w:t>
      </w:r>
      <w:r>
        <w:rPr>
          <w:rFonts w:ascii="Times New Roman" w:hAnsi="Times New Roman" w:cs="Times New Roman"/>
        </w:rPr>
        <w:t>.</w:t>
      </w:r>
      <w:r>
        <w:rPr>
          <w:rFonts w:ascii="Times New Roman" w:hAnsi="Times New Roman" w:cs="Times New Roman"/>
        </w:rPr>
        <w:tab/>
      </w:r>
      <w:r w:rsidR="0078071E">
        <w:rPr>
          <w:rFonts w:ascii="Times New Roman" w:hAnsi="Times New Roman" w:cs="Times New Roman"/>
        </w:rPr>
        <w:t>By letter dated March 29, 2014, Mr. Wo</w:t>
      </w:r>
      <w:r w:rsidR="00072509">
        <w:rPr>
          <w:rFonts w:ascii="Times New Roman" w:hAnsi="Times New Roman" w:cs="Times New Roman"/>
        </w:rPr>
        <w:t>i</w:t>
      </w:r>
      <w:r w:rsidR="0078071E">
        <w:rPr>
          <w:rFonts w:ascii="Times New Roman" w:hAnsi="Times New Roman" w:cs="Times New Roman"/>
        </w:rPr>
        <w:t>tko accepted IDT’s refund offer</w:t>
      </w:r>
      <w:r w:rsidR="00BE212A">
        <w:rPr>
          <w:rFonts w:ascii="Times New Roman" w:hAnsi="Times New Roman" w:cs="Times New Roman"/>
        </w:rPr>
        <w:t>s</w:t>
      </w:r>
      <w:r w:rsidR="0078071E">
        <w:rPr>
          <w:rFonts w:ascii="Times New Roman" w:hAnsi="Times New Roman" w:cs="Times New Roman"/>
        </w:rPr>
        <w:t xml:space="preserve">.  </w:t>
      </w:r>
      <w:proofErr w:type="gramStart"/>
      <w:r w:rsidR="001C26A5">
        <w:rPr>
          <w:rFonts w:ascii="Times New Roman" w:hAnsi="Times New Roman" w:cs="Times New Roman"/>
        </w:rPr>
        <w:t>Tr</w:t>
      </w:r>
      <w:r w:rsidR="00BE212A">
        <w:rPr>
          <w:rFonts w:ascii="Times New Roman" w:hAnsi="Times New Roman" w:cs="Times New Roman"/>
        </w:rPr>
        <w:t xml:space="preserve">. 76; </w:t>
      </w:r>
      <w:r w:rsidR="0078071E">
        <w:rPr>
          <w:rFonts w:ascii="Times New Roman" w:hAnsi="Times New Roman" w:cs="Times New Roman"/>
        </w:rPr>
        <w:t>R-Exh 4.</w:t>
      </w:r>
      <w:proofErr w:type="gramEnd"/>
    </w:p>
    <w:p w:rsidR="0078071E" w:rsidRDefault="0078071E" w:rsidP="00CC54C7">
      <w:pPr>
        <w:spacing w:line="360" w:lineRule="auto"/>
        <w:rPr>
          <w:rFonts w:ascii="Times New Roman" w:hAnsi="Times New Roman" w:cs="Times New Roman"/>
        </w:rPr>
      </w:pPr>
    </w:p>
    <w:p w:rsidR="00F072D9" w:rsidRDefault="0078071E"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072D9">
        <w:rPr>
          <w:rFonts w:ascii="Times New Roman" w:hAnsi="Times New Roman" w:cs="Times New Roman"/>
        </w:rPr>
        <w:t>3</w:t>
      </w:r>
      <w:r w:rsidR="00072509">
        <w:rPr>
          <w:rFonts w:ascii="Times New Roman" w:hAnsi="Times New Roman" w:cs="Times New Roman"/>
        </w:rPr>
        <w:t>7</w:t>
      </w:r>
      <w:r w:rsidR="00F072D9">
        <w:rPr>
          <w:rFonts w:ascii="Times New Roman" w:hAnsi="Times New Roman" w:cs="Times New Roman"/>
        </w:rPr>
        <w:t>.</w:t>
      </w:r>
      <w:r w:rsidR="00F072D9">
        <w:rPr>
          <w:rFonts w:ascii="Times New Roman" w:hAnsi="Times New Roman" w:cs="Times New Roman"/>
        </w:rPr>
        <w:tab/>
        <w:t>By letter dated April 2, 2014, IDT informed Mr. Wo</w:t>
      </w:r>
      <w:r w:rsidR="00072509">
        <w:rPr>
          <w:rFonts w:ascii="Times New Roman" w:hAnsi="Times New Roman" w:cs="Times New Roman"/>
        </w:rPr>
        <w:t>i</w:t>
      </w:r>
      <w:r w:rsidR="00F072D9">
        <w:rPr>
          <w:rFonts w:ascii="Times New Roman" w:hAnsi="Times New Roman" w:cs="Times New Roman"/>
        </w:rPr>
        <w:t>tko that his refund</w:t>
      </w:r>
      <w:r w:rsidR="00BE212A">
        <w:rPr>
          <w:rFonts w:ascii="Times New Roman" w:hAnsi="Times New Roman" w:cs="Times New Roman"/>
        </w:rPr>
        <w:t>s</w:t>
      </w:r>
      <w:r w:rsidR="00F072D9">
        <w:rPr>
          <w:rFonts w:ascii="Times New Roman" w:hAnsi="Times New Roman" w:cs="Times New Roman"/>
        </w:rPr>
        <w:t xml:space="preserve"> should be received within 6 to 8 weeks.  </w:t>
      </w:r>
      <w:proofErr w:type="gramStart"/>
      <w:r w:rsidR="00F072D9">
        <w:rPr>
          <w:rFonts w:ascii="Times New Roman" w:hAnsi="Times New Roman" w:cs="Times New Roman"/>
        </w:rPr>
        <w:t>R-Exh.</w:t>
      </w:r>
      <w:proofErr w:type="gramEnd"/>
      <w:r w:rsidR="00F072D9">
        <w:rPr>
          <w:rFonts w:ascii="Times New Roman" w:hAnsi="Times New Roman" w:cs="Times New Roman"/>
        </w:rPr>
        <w:t xml:space="preserve"> 5.</w:t>
      </w:r>
    </w:p>
    <w:p w:rsidR="00F072D9" w:rsidRDefault="00F072D9" w:rsidP="00CC54C7">
      <w:pPr>
        <w:spacing w:line="360" w:lineRule="auto"/>
        <w:rPr>
          <w:rFonts w:ascii="Times New Roman" w:hAnsi="Times New Roman" w:cs="Times New Roman"/>
        </w:rPr>
      </w:pPr>
    </w:p>
    <w:p w:rsidR="00E23F77" w:rsidRDefault="00F072D9" w:rsidP="00CC54C7">
      <w:pPr>
        <w:spacing w:line="360" w:lineRule="auto"/>
        <w:rPr>
          <w:rFonts w:ascii="Times New Roman" w:hAnsi="Times New Roman" w:cs="Times New Roman"/>
        </w:rPr>
      </w:pPr>
      <w:r>
        <w:rPr>
          <w:rFonts w:ascii="Times New Roman" w:hAnsi="Times New Roman" w:cs="Times New Roman"/>
        </w:rPr>
        <w:tab/>
      </w:r>
      <w:r w:rsidR="00E23F77">
        <w:rPr>
          <w:rFonts w:ascii="Times New Roman" w:hAnsi="Times New Roman" w:cs="Times New Roman"/>
        </w:rPr>
        <w:t xml:space="preserve"> </w:t>
      </w:r>
      <w:r>
        <w:rPr>
          <w:rFonts w:ascii="Times New Roman" w:hAnsi="Times New Roman" w:cs="Times New Roman"/>
        </w:rPr>
        <w:tab/>
        <w:t>3</w:t>
      </w:r>
      <w:r w:rsidR="00ED4B9B">
        <w:rPr>
          <w:rFonts w:ascii="Times New Roman" w:hAnsi="Times New Roman" w:cs="Times New Roman"/>
        </w:rPr>
        <w:t>8</w:t>
      </w:r>
      <w:r>
        <w:rPr>
          <w:rFonts w:ascii="Times New Roman" w:hAnsi="Times New Roman" w:cs="Times New Roman"/>
        </w:rPr>
        <w:t>.</w:t>
      </w:r>
      <w:r>
        <w:rPr>
          <w:rFonts w:ascii="Times New Roman" w:hAnsi="Times New Roman" w:cs="Times New Roman"/>
        </w:rPr>
        <w:tab/>
        <w:t>On April 30, 2014, IDT issued Mr. Wo</w:t>
      </w:r>
      <w:r w:rsidR="00072509">
        <w:rPr>
          <w:rFonts w:ascii="Times New Roman" w:hAnsi="Times New Roman" w:cs="Times New Roman"/>
        </w:rPr>
        <w:t>i</w:t>
      </w:r>
      <w:r>
        <w:rPr>
          <w:rFonts w:ascii="Times New Roman" w:hAnsi="Times New Roman" w:cs="Times New Roman"/>
        </w:rPr>
        <w:t xml:space="preserve">tko two refund checks one for $170.56 and the other for $134.86.  </w:t>
      </w:r>
      <w:proofErr w:type="gramStart"/>
      <w:r>
        <w:rPr>
          <w:rFonts w:ascii="Times New Roman" w:hAnsi="Times New Roman" w:cs="Times New Roman"/>
        </w:rPr>
        <w:t>R-Exh.</w:t>
      </w:r>
      <w:proofErr w:type="gramEnd"/>
      <w:r>
        <w:rPr>
          <w:rFonts w:ascii="Times New Roman" w:hAnsi="Times New Roman" w:cs="Times New Roman"/>
        </w:rPr>
        <w:t xml:space="preserve"> 6.</w:t>
      </w:r>
    </w:p>
    <w:p w:rsidR="00F072D9" w:rsidRDefault="00F072D9" w:rsidP="00CC54C7">
      <w:pPr>
        <w:spacing w:line="360" w:lineRule="auto"/>
        <w:rPr>
          <w:rFonts w:ascii="Times New Roman" w:hAnsi="Times New Roman" w:cs="Times New Roman"/>
        </w:rPr>
      </w:pPr>
    </w:p>
    <w:p w:rsidR="00F072D9" w:rsidRDefault="00F072D9"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D4B9B">
        <w:rPr>
          <w:rFonts w:ascii="Times New Roman" w:hAnsi="Times New Roman" w:cs="Times New Roman"/>
        </w:rPr>
        <w:t>39</w:t>
      </w:r>
      <w:r>
        <w:rPr>
          <w:rFonts w:ascii="Times New Roman" w:hAnsi="Times New Roman" w:cs="Times New Roman"/>
        </w:rPr>
        <w:t>.</w:t>
      </w:r>
      <w:r>
        <w:rPr>
          <w:rFonts w:ascii="Times New Roman" w:hAnsi="Times New Roman" w:cs="Times New Roman"/>
        </w:rPr>
        <w:tab/>
        <w:t>Mr. Wo</w:t>
      </w:r>
      <w:r w:rsidR="00072509">
        <w:rPr>
          <w:rFonts w:ascii="Times New Roman" w:hAnsi="Times New Roman" w:cs="Times New Roman"/>
        </w:rPr>
        <w:t>i</w:t>
      </w:r>
      <w:r>
        <w:rPr>
          <w:rFonts w:ascii="Times New Roman" w:hAnsi="Times New Roman" w:cs="Times New Roman"/>
        </w:rPr>
        <w:t>tko received the two refund check</w:t>
      </w:r>
      <w:r w:rsidR="0015461C">
        <w:rPr>
          <w:rFonts w:ascii="Times New Roman" w:hAnsi="Times New Roman" w:cs="Times New Roman"/>
        </w:rPr>
        <w:t>s,</w:t>
      </w:r>
      <w:r>
        <w:rPr>
          <w:rFonts w:ascii="Times New Roman" w:hAnsi="Times New Roman" w:cs="Times New Roman"/>
        </w:rPr>
        <w:t xml:space="preserve"> which he negotiated on or about May 21, 2014.  </w:t>
      </w:r>
      <w:proofErr w:type="gramStart"/>
      <w:r>
        <w:rPr>
          <w:rFonts w:ascii="Times New Roman" w:hAnsi="Times New Roman" w:cs="Times New Roman"/>
        </w:rPr>
        <w:t>Tr. 21; R-Exh.</w:t>
      </w:r>
      <w:proofErr w:type="gramEnd"/>
      <w:r>
        <w:rPr>
          <w:rFonts w:ascii="Times New Roman" w:hAnsi="Times New Roman" w:cs="Times New Roman"/>
        </w:rPr>
        <w:t xml:space="preserve"> 6.</w:t>
      </w:r>
    </w:p>
    <w:p w:rsidR="00B32EDA" w:rsidRDefault="00B32EDA" w:rsidP="00CC54C7">
      <w:pPr>
        <w:spacing w:line="360" w:lineRule="auto"/>
        <w:rPr>
          <w:rFonts w:ascii="Times New Roman" w:hAnsi="Times New Roman" w:cs="Times New Roman"/>
        </w:rPr>
      </w:pPr>
    </w:p>
    <w:p w:rsidR="00B64B29" w:rsidRDefault="00F072D9"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6B417B" w:rsidRDefault="00ED4B9B" w:rsidP="00B64B29">
      <w:pPr>
        <w:spacing w:line="360" w:lineRule="auto"/>
        <w:ind w:left="720" w:firstLine="720"/>
        <w:rPr>
          <w:rFonts w:ascii="Times New Roman" w:hAnsi="Times New Roman" w:cs="Times New Roman"/>
        </w:rPr>
      </w:pPr>
      <w:r>
        <w:rPr>
          <w:rFonts w:ascii="Times New Roman" w:hAnsi="Times New Roman" w:cs="Times New Roman"/>
        </w:rPr>
        <w:lastRenderedPageBreak/>
        <w:t>40</w:t>
      </w:r>
      <w:r w:rsidR="00904EFA">
        <w:rPr>
          <w:rFonts w:ascii="Times New Roman" w:hAnsi="Times New Roman" w:cs="Times New Roman"/>
        </w:rPr>
        <w:t>.</w:t>
      </w:r>
      <w:r w:rsidR="00904EFA">
        <w:rPr>
          <w:rFonts w:ascii="Times New Roman" w:hAnsi="Times New Roman" w:cs="Times New Roman"/>
        </w:rPr>
        <w:tab/>
      </w:r>
      <w:r w:rsidR="00E75563">
        <w:rPr>
          <w:rFonts w:ascii="Times New Roman" w:hAnsi="Times New Roman" w:cs="Times New Roman"/>
        </w:rPr>
        <w:t>Mr. Wo</w:t>
      </w:r>
      <w:r w:rsidR="00072509">
        <w:rPr>
          <w:rFonts w:ascii="Times New Roman" w:hAnsi="Times New Roman" w:cs="Times New Roman"/>
        </w:rPr>
        <w:t>i</w:t>
      </w:r>
      <w:r w:rsidR="00E75563">
        <w:rPr>
          <w:rFonts w:ascii="Times New Roman" w:hAnsi="Times New Roman" w:cs="Times New Roman"/>
        </w:rPr>
        <w:t xml:space="preserve">tko is no longer </w:t>
      </w:r>
      <w:r w:rsidR="00C85EB8">
        <w:rPr>
          <w:rFonts w:ascii="Times New Roman" w:hAnsi="Times New Roman" w:cs="Times New Roman"/>
        </w:rPr>
        <w:t>requesting that the Commission order IDT to</w:t>
      </w:r>
      <w:r w:rsidR="00E75563">
        <w:rPr>
          <w:rFonts w:ascii="Times New Roman" w:hAnsi="Times New Roman" w:cs="Times New Roman"/>
        </w:rPr>
        <w:t xml:space="preserve"> </w:t>
      </w:r>
    </w:p>
    <w:p w:rsidR="00F072D9" w:rsidRDefault="00C85EB8" w:rsidP="00CC54C7">
      <w:pPr>
        <w:spacing w:line="360" w:lineRule="auto"/>
        <w:rPr>
          <w:rFonts w:ascii="Times New Roman" w:hAnsi="Times New Roman" w:cs="Times New Roman"/>
        </w:rPr>
      </w:pPr>
      <w:proofErr w:type="gramStart"/>
      <w:r>
        <w:rPr>
          <w:rFonts w:ascii="Times New Roman" w:hAnsi="Times New Roman" w:cs="Times New Roman"/>
        </w:rPr>
        <w:t>issue</w:t>
      </w:r>
      <w:proofErr w:type="gramEnd"/>
      <w:r>
        <w:rPr>
          <w:rFonts w:ascii="Times New Roman" w:hAnsi="Times New Roman" w:cs="Times New Roman"/>
        </w:rPr>
        <w:t xml:space="preserve"> him a </w:t>
      </w:r>
      <w:r w:rsidR="00E75563">
        <w:rPr>
          <w:rFonts w:ascii="Times New Roman" w:hAnsi="Times New Roman" w:cs="Times New Roman"/>
        </w:rPr>
        <w:t>refund of charges</w:t>
      </w:r>
      <w:r>
        <w:rPr>
          <w:rFonts w:ascii="Times New Roman" w:hAnsi="Times New Roman" w:cs="Times New Roman"/>
        </w:rPr>
        <w:t xml:space="preserve"> because IDT has already issued him a refund</w:t>
      </w:r>
      <w:r w:rsidR="00E75563">
        <w:rPr>
          <w:rFonts w:ascii="Times New Roman" w:hAnsi="Times New Roman" w:cs="Times New Roman"/>
        </w:rPr>
        <w:t xml:space="preserve">.  </w:t>
      </w:r>
      <w:proofErr w:type="gramStart"/>
      <w:r w:rsidR="00E75563">
        <w:rPr>
          <w:rFonts w:ascii="Times New Roman" w:hAnsi="Times New Roman" w:cs="Times New Roman"/>
        </w:rPr>
        <w:t xml:space="preserve">Tr. </w:t>
      </w:r>
      <w:r>
        <w:rPr>
          <w:rFonts w:ascii="Times New Roman" w:hAnsi="Times New Roman" w:cs="Times New Roman"/>
        </w:rPr>
        <w:t xml:space="preserve">34, </w:t>
      </w:r>
      <w:r w:rsidR="00E75563">
        <w:rPr>
          <w:rFonts w:ascii="Times New Roman" w:hAnsi="Times New Roman" w:cs="Times New Roman"/>
        </w:rPr>
        <w:t>35</w:t>
      </w:r>
      <w:r>
        <w:rPr>
          <w:rFonts w:ascii="Times New Roman" w:hAnsi="Times New Roman" w:cs="Times New Roman"/>
        </w:rPr>
        <w:t>, 37</w:t>
      </w:r>
      <w:r w:rsidR="00E75563">
        <w:rPr>
          <w:rFonts w:ascii="Times New Roman" w:hAnsi="Times New Roman" w:cs="Times New Roman"/>
        </w:rPr>
        <w:t>.</w:t>
      </w:r>
      <w:proofErr w:type="gramEnd"/>
    </w:p>
    <w:p w:rsidR="00C85EB8" w:rsidRDefault="00C85EB8" w:rsidP="00CC54C7">
      <w:pPr>
        <w:spacing w:line="360" w:lineRule="auto"/>
        <w:rPr>
          <w:rFonts w:ascii="Times New Roman" w:hAnsi="Times New Roman" w:cs="Times New Roman"/>
        </w:rPr>
      </w:pPr>
    </w:p>
    <w:p w:rsidR="00C85EB8" w:rsidRDefault="00C85EB8"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A763B">
        <w:rPr>
          <w:rFonts w:ascii="Times New Roman" w:hAnsi="Times New Roman" w:cs="Times New Roman"/>
        </w:rPr>
        <w:t>4</w:t>
      </w:r>
      <w:r w:rsidR="00ED4B9B">
        <w:rPr>
          <w:rFonts w:ascii="Times New Roman" w:hAnsi="Times New Roman" w:cs="Times New Roman"/>
        </w:rPr>
        <w:t>1</w:t>
      </w:r>
      <w:r>
        <w:rPr>
          <w:rFonts w:ascii="Times New Roman" w:hAnsi="Times New Roman" w:cs="Times New Roman"/>
        </w:rPr>
        <w:t>.</w:t>
      </w:r>
      <w:r>
        <w:rPr>
          <w:rFonts w:ascii="Times New Roman" w:hAnsi="Times New Roman" w:cs="Times New Roman"/>
        </w:rPr>
        <w:tab/>
        <w:t>Mr. Wo</w:t>
      </w:r>
      <w:r w:rsidR="00072509">
        <w:rPr>
          <w:rFonts w:ascii="Times New Roman" w:hAnsi="Times New Roman" w:cs="Times New Roman"/>
        </w:rPr>
        <w:t>i</w:t>
      </w:r>
      <w:r>
        <w:rPr>
          <w:rFonts w:ascii="Times New Roman" w:hAnsi="Times New Roman" w:cs="Times New Roman"/>
        </w:rPr>
        <w:t xml:space="preserve">tko is no longer requesting that the Commission void the contract between him and IDT because he has been transferred back to PPL.  </w:t>
      </w:r>
      <w:proofErr w:type="gramStart"/>
      <w:r>
        <w:rPr>
          <w:rFonts w:ascii="Times New Roman" w:hAnsi="Times New Roman" w:cs="Times New Roman"/>
        </w:rPr>
        <w:t>Tr. 37.</w:t>
      </w:r>
      <w:proofErr w:type="gramEnd"/>
    </w:p>
    <w:p w:rsidR="00C85EB8" w:rsidRDefault="00C85EB8" w:rsidP="00CC54C7">
      <w:pPr>
        <w:spacing w:line="360" w:lineRule="auto"/>
        <w:rPr>
          <w:rFonts w:ascii="Times New Roman" w:hAnsi="Times New Roman" w:cs="Times New Roman"/>
        </w:rPr>
      </w:pPr>
    </w:p>
    <w:p w:rsidR="00C85EB8" w:rsidRDefault="00C85EB8"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A763B">
        <w:rPr>
          <w:rFonts w:ascii="Times New Roman" w:hAnsi="Times New Roman" w:cs="Times New Roman"/>
        </w:rPr>
        <w:t>4</w:t>
      </w:r>
      <w:r w:rsidR="00ED4B9B">
        <w:rPr>
          <w:rFonts w:ascii="Times New Roman" w:hAnsi="Times New Roman" w:cs="Times New Roman"/>
        </w:rPr>
        <w:t>2</w:t>
      </w:r>
      <w:r>
        <w:rPr>
          <w:rFonts w:ascii="Times New Roman" w:hAnsi="Times New Roman" w:cs="Times New Roman"/>
        </w:rPr>
        <w:t>.</w:t>
      </w:r>
      <w:r>
        <w:rPr>
          <w:rFonts w:ascii="Times New Roman" w:hAnsi="Times New Roman" w:cs="Times New Roman"/>
        </w:rPr>
        <w:tab/>
        <w:t>As relief for his compla</w:t>
      </w:r>
      <w:r w:rsidR="0096544B">
        <w:rPr>
          <w:rFonts w:ascii="Times New Roman" w:hAnsi="Times New Roman" w:cs="Times New Roman"/>
        </w:rPr>
        <w:t>int, Mr. Wo</w:t>
      </w:r>
      <w:r w:rsidR="00C173E6">
        <w:rPr>
          <w:rFonts w:ascii="Times New Roman" w:hAnsi="Times New Roman" w:cs="Times New Roman"/>
        </w:rPr>
        <w:t>i</w:t>
      </w:r>
      <w:r w:rsidR="0096544B">
        <w:rPr>
          <w:rFonts w:ascii="Times New Roman" w:hAnsi="Times New Roman" w:cs="Times New Roman"/>
        </w:rPr>
        <w:t xml:space="preserve">tko is asking the Commission to </w:t>
      </w:r>
      <w:proofErr w:type="gramStart"/>
      <w:r w:rsidR="0096544B">
        <w:rPr>
          <w:rFonts w:ascii="Times New Roman" w:hAnsi="Times New Roman" w:cs="Times New Roman"/>
        </w:rPr>
        <w:t>order</w:t>
      </w:r>
      <w:r w:rsidR="00F04939">
        <w:rPr>
          <w:rFonts w:ascii="Times New Roman" w:hAnsi="Times New Roman" w:cs="Times New Roman"/>
        </w:rPr>
        <w:t xml:space="preserve"> </w:t>
      </w:r>
      <w:r w:rsidR="0096544B">
        <w:rPr>
          <w:rFonts w:ascii="Times New Roman" w:hAnsi="Times New Roman" w:cs="Times New Roman"/>
        </w:rPr>
        <w:t xml:space="preserve"> IDT</w:t>
      </w:r>
      <w:proofErr w:type="gramEnd"/>
      <w:r w:rsidR="0096544B">
        <w:rPr>
          <w:rFonts w:ascii="Times New Roman" w:hAnsi="Times New Roman" w:cs="Times New Roman"/>
        </w:rPr>
        <w:t xml:space="preserve"> </w:t>
      </w:r>
      <w:r w:rsidR="00C173E6">
        <w:rPr>
          <w:rFonts w:ascii="Times New Roman" w:hAnsi="Times New Roman" w:cs="Times New Roman"/>
        </w:rPr>
        <w:t xml:space="preserve">to </w:t>
      </w:r>
      <w:r w:rsidR="0096544B">
        <w:rPr>
          <w:rFonts w:ascii="Times New Roman" w:hAnsi="Times New Roman" w:cs="Times New Roman"/>
        </w:rPr>
        <w:t>refund all the other customers who do not h</w:t>
      </w:r>
      <w:r w:rsidR="00F04939">
        <w:rPr>
          <w:rFonts w:ascii="Times New Roman" w:hAnsi="Times New Roman" w:cs="Times New Roman"/>
        </w:rPr>
        <w:t>ave the benefit of a son for an</w:t>
      </w:r>
      <w:r w:rsidR="0096544B">
        <w:rPr>
          <w:rFonts w:ascii="Times New Roman" w:hAnsi="Times New Roman" w:cs="Times New Roman"/>
        </w:rPr>
        <w:t xml:space="preserve"> attorney and </w:t>
      </w:r>
      <w:r w:rsidR="00F04939">
        <w:rPr>
          <w:rFonts w:ascii="Times New Roman" w:hAnsi="Times New Roman" w:cs="Times New Roman"/>
        </w:rPr>
        <w:t>experienced financial hardship as a result of IDT’s increased variable rate</w:t>
      </w:r>
      <w:r w:rsidR="0096544B">
        <w:rPr>
          <w:rFonts w:ascii="Times New Roman" w:hAnsi="Times New Roman" w:cs="Times New Roman"/>
        </w:rPr>
        <w:t xml:space="preserve"> charges.</w:t>
      </w:r>
      <w:r w:rsidR="0001782C">
        <w:rPr>
          <w:rFonts w:ascii="Times New Roman" w:hAnsi="Times New Roman" w:cs="Times New Roman"/>
        </w:rPr>
        <w:t xml:space="preserve"> </w:t>
      </w:r>
      <w:r w:rsidR="0096544B">
        <w:rPr>
          <w:rFonts w:ascii="Times New Roman" w:hAnsi="Times New Roman" w:cs="Times New Roman"/>
        </w:rPr>
        <w:t xml:space="preserve"> </w:t>
      </w:r>
      <w:proofErr w:type="gramStart"/>
      <w:r w:rsidR="0096544B">
        <w:rPr>
          <w:rFonts w:ascii="Times New Roman" w:hAnsi="Times New Roman" w:cs="Times New Roman"/>
        </w:rPr>
        <w:t>Tr. 35, 38, 39.</w:t>
      </w:r>
      <w:proofErr w:type="gramEnd"/>
      <w:r w:rsidR="0096544B">
        <w:rPr>
          <w:rFonts w:ascii="Times New Roman" w:hAnsi="Times New Roman" w:cs="Times New Roman"/>
        </w:rPr>
        <w:t xml:space="preserve"> </w:t>
      </w:r>
    </w:p>
    <w:p w:rsidR="00C85EB8" w:rsidRDefault="00C85EB8" w:rsidP="00CC54C7">
      <w:pPr>
        <w:spacing w:line="360" w:lineRule="auto"/>
        <w:rPr>
          <w:rFonts w:ascii="Times New Roman" w:hAnsi="Times New Roman" w:cs="Times New Roman"/>
        </w:rPr>
      </w:pPr>
    </w:p>
    <w:p w:rsidR="00C85EB8" w:rsidRDefault="00C85EB8"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057BB">
        <w:rPr>
          <w:rFonts w:ascii="Times New Roman" w:hAnsi="Times New Roman" w:cs="Times New Roman"/>
        </w:rPr>
        <w:t>4</w:t>
      </w:r>
      <w:r w:rsidR="00ED4B9B">
        <w:rPr>
          <w:rFonts w:ascii="Times New Roman" w:hAnsi="Times New Roman" w:cs="Times New Roman"/>
        </w:rPr>
        <w:t>3</w:t>
      </w:r>
      <w:r w:rsidR="007057BB">
        <w:rPr>
          <w:rFonts w:ascii="Times New Roman" w:hAnsi="Times New Roman" w:cs="Times New Roman"/>
        </w:rPr>
        <w:t>.</w:t>
      </w:r>
      <w:r w:rsidR="007057BB">
        <w:rPr>
          <w:rFonts w:ascii="Times New Roman" w:hAnsi="Times New Roman" w:cs="Times New Roman"/>
        </w:rPr>
        <w:tab/>
        <w:t>As relief for his complaint, Mr. Wo</w:t>
      </w:r>
      <w:r w:rsidR="00C173E6">
        <w:rPr>
          <w:rFonts w:ascii="Times New Roman" w:hAnsi="Times New Roman" w:cs="Times New Roman"/>
        </w:rPr>
        <w:t>i</w:t>
      </w:r>
      <w:r w:rsidR="007057BB">
        <w:rPr>
          <w:rFonts w:ascii="Times New Roman" w:hAnsi="Times New Roman" w:cs="Times New Roman"/>
        </w:rPr>
        <w:t>tko is also ask</w:t>
      </w:r>
      <w:r w:rsidR="00F577BC">
        <w:rPr>
          <w:rFonts w:ascii="Times New Roman" w:hAnsi="Times New Roman" w:cs="Times New Roman"/>
        </w:rPr>
        <w:t>ing</w:t>
      </w:r>
      <w:r w:rsidR="007057BB">
        <w:rPr>
          <w:rFonts w:ascii="Times New Roman" w:hAnsi="Times New Roman" w:cs="Times New Roman"/>
        </w:rPr>
        <w:t xml:space="preserve"> the Commission to fine IDT by ordering IDT to refund its other customers two or three times the amount they were overcharged.  </w:t>
      </w:r>
      <w:proofErr w:type="gramStart"/>
      <w:r w:rsidR="007057BB">
        <w:rPr>
          <w:rFonts w:ascii="Times New Roman" w:hAnsi="Times New Roman" w:cs="Times New Roman"/>
        </w:rPr>
        <w:t>Tr. 39.</w:t>
      </w:r>
      <w:proofErr w:type="gramEnd"/>
    </w:p>
    <w:p w:rsidR="005F4580" w:rsidRPr="00D2555A" w:rsidRDefault="005F4580" w:rsidP="00CC54C7">
      <w:pPr>
        <w:spacing w:line="360" w:lineRule="auto"/>
        <w:rPr>
          <w:rFonts w:ascii="Times New Roman" w:hAnsi="Times New Roman" w:cs="Times New Roman"/>
          <w:u w:val="single"/>
        </w:rPr>
      </w:pPr>
    </w:p>
    <w:p w:rsidR="006933B6" w:rsidRPr="00D2555A" w:rsidRDefault="006933B6" w:rsidP="00CC54C7">
      <w:pPr>
        <w:pStyle w:val="Heading1"/>
        <w:spacing w:line="360" w:lineRule="auto"/>
        <w:jc w:val="center"/>
        <w:rPr>
          <w:szCs w:val="24"/>
          <w:u w:val="single"/>
        </w:rPr>
      </w:pPr>
      <w:r w:rsidRPr="00D2555A">
        <w:rPr>
          <w:szCs w:val="24"/>
          <w:u w:val="single"/>
        </w:rPr>
        <w:t>DISCUSSION</w:t>
      </w:r>
    </w:p>
    <w:p w:rsidR="00C173E6" w:rsidRDefault="00C173E6" w:rsidP="00CC54C7">
      <w:pPr>
        <w:spacing w:line="360" w:lineRule="auto"/>
        <w:rPr>
          <w:rFonts w:ascii="Times New Roman" w:hAnsi="Times New Roman" w:cs="Times New Roman"/>
          <w:u w:val="single"/>
        </w:rPr>
      </w:pPr>
    </w:p>
    <w:p w:rsidR="00B867D1" w:rsidRDefault="00B867D1" w:rsidP="00CC54C7">
      <w:pPr>
        <w:spacing w:line="360" w:lineRule="auto"/>
        <w:rPr>
          <w:rFonts w:ascii="Times New Roman" w:hAnsi="Times New Roman" w:cs="Times New Roman"/>
        </w:rPr>
      </w:pPr>
      <w:r w:rsidRPr="00B867D1">
        <w:rPr>
          <w:rFonts w:ascii="Times New Roman" w:hAnsi="Times New Roman" w:cs="Times New Roman"/>
          <w:u w:val="single"/>
        </w:rPr>
        <w:t>Legal Standards</w:t>
      </w:r>
    </w:p>
    <w:p w:rsidR="00B867D1" w:rsidRDefault="00B867D1" w:rsidP="00CC54C7">
      <w:pPr>
        <w:spacing w:line="360" w:lineRule="auto"/>
        <w:rPr>
          <w:rFonts w:ascii="Times New Roman" w:hAnsi="Times New Roman" w:cs="Times New Roman"/>
          <w:u w:val="single"/>
        </w:rPr>
      </w:pPr>
    </w:p>
    <w:p w:rsidR="00B867D1" w:rsidRPr="00B867D1" w:rsidRDefault="00B867D1" w:rsidP="00CC54C7">
      <w:pPr>
        <w:spacing w:line="360" w:lineRule="auto"/>
      </w:pPr>
      <w:r>
        <w:tab/>
        <w:t>1.</w:t>
      </w:r>
      <w:r>
        <w:tab/>
      </w:r>
      <w:r w:rsidRPr="009D65B7">
        <w:rPr>
          <w:u w:val="single"/>
        </w:rPr>
        <w:t>Commission Jurisdiction</w:t>
      </w:r>
    </w:p>
    <w:p w:rsidR="00B867D1" w:rsidRPr="00E62BA4" w:rsidRDefault="00B867D1" w:rsidP="00CC54C7">
      <w:pPr>
        <w:spacing w:line="360" w:lineRule="auto"/>
        <w:ind w:firstLine="1440"/>
      </w:pPr>
    </w:p>
    <w:p w:rsidR="00B867D1" w:rsidRPr="00E62BA4" w:rsidRDefault="00B867D1" w:rsidP="00CC54C7">
      <w:pPr>
        <w:tabs>
          <w:tab w:val="left" w:pos="1584"/>
        </w:tabs>
        <w:spacing w:line="360" w:lineRule="auto"/>
        <w:ind w:firstLine="1440"/>
      </w:pPr>
      <w:r w:rsidRPr="00E62BA4">
        <w:t>As in every case coming before this forum, the Commission must decide initially whether it has jurisdiction over the parties and the subject matter of this dispute.  As a creature of legislation, the Commission possesses only the authority the state legislature has specifically granted to it in the Public Utility Code</w:t>
      </w:r>
      <w:r w:rsidR="00C173E6">
        <w:t xml:space="preserve"> (Code)</w:t>
      </w:r>
      <w:r w:rsidRPr="00E62BA4">
        <w:t xml:space="preserve">.  66 </w:t>
      </w:r>
      <w:proofErr w:type="spellStart"/>
      <w:r w:rsidRPr="00E62BA4">
        <w:t>Pa.C.S</w:t>
      </w:r>
      <w:proofErr w:type="spellEnd"/>
      <w:r w:rsidRPr="00E62BA4">
        <w:t>.</w:t>
      </w:r>
      <w:r w:rsidR="00C173E6">
        <w:t xml:space="preserve"> </w:t>
      </w:r>
      <w:r w:rsidRPr="00E62BA4">
        <w:t>§</w:t>
      </w:r>
      <w:r>
        <w:t xml:space="preserve"> </w:t>
      </w:r>
      <w:r w:rsidRPr="00E62BA4">
        <w:t xml:space="preserve">101, </w:t>
      </w:r>
      <w:r w:rsidRPr="00145E6C">
        <w:t>et seq</w:t>
      </w:r>
      <w:r w:rsidRPr="00E62BA4">
        <w:t xml:space="preserve">.  Its jurisdiction must arise from the express language of the pertinent enabling legislation or by strong and necessary implication therefrom.  </w:t>
      </w:r>
      <w:proofErr w:type="gramStart"/>
      <w:r w:rsidRPr="00B960D2">
        <w:rPr>
          <w:i/>
        </w:rPr>
        <w:t>Feingold v. Bell of Pa.</w:t>
      </w:r>
      <w:r w:rsidRPr="00E62BA4">
        <w:t>, 383 A.2d 791 (Pa.</w:t>
      </w:r>
      <w:r w:rsidR="00954BCB">
        <w:t xml:space="preserve"> 1967).</w:t>
      </w:r>
      <w:proofErr w:type="gramEnd"/>
      <w:r w:rsidRPr="00E62BA4">
        <w:t xml:space="preserve">   </w:t>
      </w:r>
    </w:p>
    <w:p w:rsidR="00B867D1" w:rsidRPr="00E62BA4" w:rsidRDefault="00B867D1" w:rsidP="00CC54C7">
      <w:pPr>
        <w:tabs>
          <w:tab w:val="left" w:pos="1584"/>
        </w:tabs>
        <w:spacing w:line="360" w:lineRule="auto"/>
        <w:ind w:firstLine="1440"/>
      </w:pPr>
    </w:p>
    <w:p w:rsidR="00954BCB" w:rsidRDefault="00954BCB" w:rsidP="00A90677">
      <w:pPr>
        <w:spacing w:line="360" w:lineRule="auto"/>
        <w:ind w:firstLine="1440"/>
      </w:pPr>
      <w:r>
        <w:t xml:space="preserve">The </w:t>
      </w:r>
      <w:r w:rsidR="00B867D1" w:rsidRPr="00E62BA4">
        <w:t xml:space="preserve">Commission must act within, and cannot exceed, its jurisdiction.  </w:t>
      </w:r>
      <w:proofErr w:type="gramStart"/>
      <w:r w:rsidR="00B867D1" w:rsidRPr="00B960D2">
        <w:rPr>
          <w:i/>
        </w:rPr>
        <w:t>City of Pittsburgh v. P</w:t>
      </w:r>
      <w:r w:rsidR="00C173E6">
        <w:rPr>
          <w:i/>
        </w:rPr>
        <w:t>a.</w:t>
      </w:r>
      <w:r w:rsidR="009D65B7">
        <w:rPr>
          <w:i/>
        </w:rPr>
        <w:t xml:space="preserve"> Pub.</w:t>
      </w:r>
      <w:proofErr w:type="gramEnd"/>
      <w:r w:rsidR="009D65B7">
        <w:rPr>
          <w:i/>
        </w:rPr>
        <w:t xml:space="preserve"> </w:t>
      </w:r>
      <w:proofErr w:type="gramStart"/>
      <w:r w:rsidR="009D65B7">
        <w:rPr>
          <w:i/>
        </w:rPr>
        <w:t>Util.</w:t>
      </w:r>
      <w:r w:rsidR="00B867D1" w:rsidRPr="00B960D2">
        <w:rPr>
          <w:i/>
        </w:rPr>
        <w:t xml:space="preserve"> </w:t>
      </w:r>
      <w:proofErr w:type="spellStart"/>
      <w:r w:rsidR="00B867D1" w:rsidRPr="00B960D2">
        <w:rPr>
          <w:i/>
        </w:rPr>
        <w:t>Comm’n</w:t>
      </w:r>
      <w:proofErr w:type="spellEnd"/>
      <w:r w:rsidR="00B867D1" w:rsidRPr="00E62BA4">
        <w:t>, 43 A.2d 348 (</w:t>
      </w:r>
      <w:proofErr w:type="spellStart"/>
      <w:r w:rsidR="00B867D1" w:rsidRPr="00E62BA4">
        <w:t>Pa.Super</w:t>
      </w:r>
      <w:proofErr w:type="spellEnd"/>
      <w:r w:rsidR="00B867D1" w:rsidRPr="00E62BA4">
        <w:t>. 1945).</w:t>
      </w:r>
      <w:proofErr w:type="gramEnd"/>
      <w:r w:rsidR="00B867D1" w:rsidRPr="00E62BA4">
        <w:t xml:space="preserve"> </w:t>
      </w:r>
      <w:r w:rsidR="00B867D1">
        <w:t xml:space="preserve"> </w:t>
      </w:r>
      <w:r w:rsidR="00B867D1" w:rsidRPr="00E62BA4">
        <w:t xml:space="preserve">Jurisdiction may not be conferred by the parties where none exists.  </w:t>
      </w:r>
      <w:proofErr w:type="gramStart"/>
      <w:r w:rsidR="00B867D1" w:rsidRPr="00B960D2">
        <w:rPr>
          <w:i/>
        </w:rPr>
        <w:t xml:space="preserve">Roberts v. </w:t>
      </w:r>
      <w:proofErr w:type="spellStart"/>
      <w:r w:rsidR="00B867D1" w:rsidRPr="00B960D2">
        <w:rPr>
          <w:i/>
        </w:rPr>
        <w:t>Martorano</w:t>
      </w:r>
      <w:proofErr w:type="spellEnd"/>
      <w:r w:rsidR="00B867D1" w:rsidRPr="00B960D2">
        <w:rPr>
          <w:i/>
        </w:rPr>
        <w:t>,</w:t>
      </w:r>
      <w:r w:rsidR="00B867D1" w:rsidRPr="00E62BA4">
        <w:t xml:space="preserve"> 235 A.2d 602 (Pa. 1967).</w:t>
      </w:r>
      <w:proofErr w:type="gramEnd"/>
      <w:r w:rsidR="00B867D1" w:rsidRPr="00E62BA4">
        <w:t xml:space="preserve">  </w:t>
      </w:r>
      <w:r w:rsidR="00B867D1" w:rsidRPr="00E62BA4">
        <w:lastRenderedPageBreak/>
        <w:t xml:space="preserve">Neither silence nor agreement of the parties will confer jurisdiction where it otherwise would not exist, </w:t>
      </w:r>
      <w:r w:rsidR="00B867D1" w:rsidRPr="00B960D2">
        <w:rPr>
          <w:i/>
        </w:rPr>
        <w:t>Commonwealth v. Van</w:t>
      </w:r>
      <w:r w:rsidR="00B867D1">
        <w:rPr>
          <w:i/>
        </w:rPr>
        <w:t xml:space="preserve"> </w:t>
      </w:r>
      <w:proofErr w:type="spellStart"/>
      <w:r w:rsidR="00B867D1" w:rsidRPr="00B960D2">
        <w:rPr>
          <w:i/>
        </w:rPr>
        <w:t>Buskirk</w:t>
      </w:r>
      <w:proofErr w:type="spellEnd"/>
      <w:r w:rsidR="00B867D1" w:rsidRPr="00B960D2">
        <w:rPr>
          <w:i/>
        </w:rPr>
        <w:t>,</w:t>
      </w:r>
      <w:r w:rsidR="00B867D1" w:rsidRPr="00E62BA4">
        <w:t xml:space="preserve"> 449 A.2d 621 (</w:t>
      </w:r>
      <w:proofErr w:type="spellStart"/>
      <w:r w:rsidR="00B867D1" w:rsidRPr="00E62BA4">
        <w:t>Pa.Super</w:t>
      </w:r>
      <w:proofErr w:type="spellEnd"/>
      <w:r w:rsidR="00B867D1" w:rsidRPr="00E62BA4">
        <w:t xml:space="preserve">. 1982), nor can jurisdiction be obtained by waiver or estoppel, </w:t>
      </w:r>
      <w:r w:rsidR="00B867D1" w:rsidRPr="00B960D2">
        <w:rPr>
          <w:i/>
        </w:rPr>
        <w:t xml:space="preserve">In Re Borough </w:t>
      </w:r>
      <w:r w:rsidR="00B867D1">
        <w:rPr>
          <w:i/>
        </w:rPr>
        <w:t>o</w:t>
      </w:r>
      <w:r w:rsidR="00B867D1" w:rsidRPr="00B960D2">
        <w:rPr>
          <w:i/>
        </w:rPr>
        <w:t>f Valley-Hi,</w:t>
      </w:r>
      <w:r w:rsidR="001305AA">
        <w:t xml:space="preserve"> 420 A.2d 15 (</w:t>
      </w:r>
      <w:proofErr w:type="spellStart"/>
      <w:r w:rsidR="001305AA">
        <w:t>Pa.Cmwlth</w:t>
      </w:r>
      <w:proofErr w:type="spellEnd"/>
      <w:r w:rsidR="00B867D1" w:rsidRPr="00E62BA4">
        <w:t xml:space="preserve">. </w:t>
      </w:r>
      <w:r>
        <w:t>1980).</w:t>
      </w:r>
    </w:p>
    <w:p w:rsidR="00954BCB" w:rsidRDefault="00954BCB" w:rsidP="00A90677">
      <w:pPr>
        <w:spacing w:line="360" w:lineRule="auto"/>
        <w:ind w:firstLine="1440"/>
      </w:pPr>
    </w:p>
    <w:p w:rsidR="00B867D1" w:rsidRPr="00E62BA4" w:rsidRDefault="00954BCB" w:rsidP="00A90677">
      <w:pPr>
        <w:spacing w:line="360" w:lineRule="auto"/>
        <w:ind w:firstLine="1440"/>
      </w:pPr>
      <w:r>
        <w:t>Subject</w:t>
      </w:r>
      <w:r w:rsidR="00B867D1" w:rsidRPr="00E62BA4">
        <w:t xml:space="preserve"> matter jurisdiction is a prerequisite to the exercise of the power to decide a controversy.  </w:t>
      </w:r>
      <w:r w:rsidR="00B867D1" w:rsidRPr="00B960D2">
        <w:rPr>
          <w:iCs/>
        </w:rPr>
        <w:t>Cf</w:t>
      </w:r>
      <w:r w:rsidR="00B867D1" w:rsidRPr="00B960D2">
        <w:t>.</w:t>
      </w:r>
      <w:r w:rsidR="00B867D1" w:rsidRPr="00E62BA4">
        <w:t xml:space="preserve">, </w:t>
      </w:r>
      <w:r w:rsidR="00B867D1" w:rsidRPr="00B960D2">
        <w:rPr>
          <w:i/>
        </w:rPr>
        <w:t>Hughes v. PA State Police</w:t>
      </w:r>
      <w:r w:rsidR="00B867D1" w:rsidRPr="00E62BA4">
        <w:t xml:space="preserve">, </w:t>
      </w:r>
      <w:proofErr w:type="gramStart"/>
      <w:r w:rsidR="00B867D1" w:rsidRPr="00E62BA4">
        <w:t xml:space="preserve">152 </w:t>
      </w:r>
      <w:proofErr w:type="spellStart"/>
      <w:r w:rsidR="00B867D1" w:rsidRPr="00E62BA4">
        <w:t>Pa.C</w:t>
      </w:r>
      <w:r w:rsidR="001305AA">
        <w:t>mwlth</w:t>
      </w:r>
      <w:proofErr w:type="spellEnd"/>
      <w:proofErr w:type="gramEnd"/>
      <w:r w:rsidR="00B867D1" w:rsidRPr="00E62BA4">
        <w:t xml:space="preserve">. </w:t>
      </w:r>
      <w:proofErr w:type="gramStart"/>
      <w:r w:rsidR="00B867D1" w:rsidRPr="00E62BA4">
        <w:t xml:space="preserve">409, 619 A.2d 390 (1992), </w:t>
      </w:r>
      <w:proofErr w:type="spellStart"/>
      <w:r w:rsidR="00B867D1" w:rsidRPr="00B960D2">
        <w:rPr>
          <w:i/>
        </w:rPr>
        <w:t>a</w:t>
      </w:r>
      <w:r w:rsidR="00B867D1" w:rsidRPr="00B960D2">
        <w:rPr>
          <w:i/>
          <w:iCs/>
        </w:rPr>
        <w:t>lloc</w:t>
      </w:r>
      <w:proofErr w:type="spellEnd"/>
      <w:r w:rsidR="00B867D1" w:rsidRPr="00B960D2">
        <w:rPr>
          <w:i/>
          <w:iCs/>
        </w:rPr>
        <w:t>.</w:t>
      </w:r>
      <w:proofErr w:type="gramEnd"/>
      <w:r w:rsidR="00B867D1" w:rsidRPr="00B960D2">
        <w:rPr>
          <w:i/>
          <w:iCs/>
        </w:rPr>
        <w:t xml:space="preserve"> </w:t>
      </w:r>
      <w:proofErr w:type="gramStart"/>
      <w:r w:rsidR="00B867D1" w:rsidRPr="00B960D2">
        <w:rPr>
          <w:i/>
          <w:iCs/>
        </w:rPr>
        <w:t>den</w:t>
      </w:r>
      <w:r w:rsidR="00B867D1" w:rsidRPr="00EE2D21">
        <w:t>.</w:t>
      </w:r>
      <w:r w:rsidR="00B867D1" w:rsidRPr="00E62BA4">
        <w:t>, 637 A.2d 293 (1993).</w:t>
      </w:r>
      <w:proofErr w:type="gramEnd"/>
    </w:p>
    <w:p w:rsidR="00B867D1" w:rsidRDefault="00B867D1" w:rsidP="00CC54C7">
      <w:pPr>
        <w:spacing w:line="360" w:lineRule="auto"/>
        <w:rPr>
          <w:rFonts w:ascii="Times New Roman" w:hAnsi="Times New Roman" w:cs="Times New Roman"/>
          <w:u w:val="single"/>
        </w:rPr>
      </w:pPr>
    </w:p>
    <w:p w:rsidR="00247AE6" w:rsidRDefault="00B867D1" w:rsidP="00CC54C7">
      <w:pPr>
        <w:spacing w:line="360" w:lineRule="auto"/>
        <w:rPr>
          <w:rFonts w:ascii="Times New Roman" w:hAnsi="Times New Roman" w:cs="Times New Roman"/>
          <w:u w:val="single"/>
        </w:rPr>
      </w:pPr>
      <w:r>
        <w:rPr>
          <w:rFonts w:ascii="Times New Roman" w:hAnsi="Times New Roman" w:cs="Times New Roman"/>
        </w:rPr>
        <w:tab/>
        <w:t>2.</w:t>
      </w:r>
      <w:r>
        <w:rPr>
          <w:rFonts w:ascii="Times New Roman" w:hAnsi="Times New Roman" w:cs="Times New Roman"/>
        </w:rPr>
        <w:tab/>
      </w:r>
      <w:r w:rsidR="008D0C50" w:rsidRPr="009D65B7">
        <w:rPr>
          <w:rFonts w:ascii="Times New Roman" w:hAnsi="Times New Roman" w:cs="Times New Roman"/>
          <w:u w:val="single"/>
        </w:rPr>
        <w:t>Burden of</w:t>
      </w:r>
      <w:r w:rsidR="00247AE6">
        <w:rPr>
          <w:rFonts w:ascii="Times New Roman" w:hAnsi="Times New Roman" w:cs="Times New Roman"/>
          <w:u w:val="single"/>
        </w:rPr>
        <w:t xml:space="preserve"> Proof</w:t>
      </w:r>
    </w:p>
    <w:p w:rsidR="00247AE6" w:rsidRDefault="00247AE6" w:rsidP="00CC54C7">
      <w:pPr>
        <w:spacing w:line="360" w:lineRule="auto"/>
        <w:rPr>
          <w:rFonts w:ascii="Times New Roman" w:hAnsi="Times New Roman" w:cs="Times New Roman"/>
          <w:u w:val="single"/>
        </w:rPr>
      </w:pPr>
    </w:p>
    <w:p w:rsidR="000A763B" w:rsidRPr="008D0C50" w:rsidRDefault="00247AE6" w:rsidP="00CC54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As</w:t>
      </w:r>
      <w:r w:rsidR="000A763B" w:rsidRPr="008D0C50">
        <w:rPr>
          <w:rFonts w:ascii="Times New Roman" w:hAnsi="Times New Roman" w:cs="Times New Roman"/>
        </w:rPr>
        <w:t xml:space="preserve"> the proponent of a rule or order, Complainant in this proceeding bears the burden of proof pursuant to Section 332(a) of the Code, 66 </w:t>
      </w:r>
      <w:proofErr w:type="spellStart"/>
      <w:r w:rsidR="000A763B" w:rsidRPr="008D0C50">
        <w:rPr>
          <w:rFonts w:ascii="Times New Roman" w:hAnsi="Times New Roman" w:cs="Times New Roman"/>
        </w:rPr>
        <w:t>Pa.C.S</w:t>
      </w:r>
      <w:proofErr w:type="spellEnd"/>
      <w:r w:rsidR="000A763B" w:rsidRPr="008D0C50">
        <w:rPr>
          <w:rFonts w:ascii="Times New Roman" w:hAnsi="Times New Roman" w:cs="Times New Roman"/>
        </w:rPr>
        <w:t xml:space="preserve">. § 332(a). </w:t>
      </w:r>
      <w:r w:rsidR="00E62C09">
        <w:rPr>
          <w:rFonts w:ascii="Times New Roman" w:hAnsi="Times New Roman" w:cs="Times New Roman"/>
        </w:rPr>
        <w:t xml:space="preserve"> </w:t>
      </w:r>
      <w:r w:rsidR="000A763B" w:rsidRPr="008D0C50">
        <w:rPr>
          <w:rFonts w:ascii="Times New Roman" w:hAnsi="Times New Roman" w:cs="Times New Roman"/>
        </w:rPr>
        <w:t xml:space="preserve">To establish a sufficient case and satisfy the burden of proof, </w:t>
      </w:r>
      <w:r w:rsidR="008D0C50">
        <w:rPr>
          <w:rFonts w:ascii="Times New Roman" w:hAnsi="Times New Roman" w:cs="Times New Roman"/>
        </w:rPr>
        <w:t>C</w:t>
      </w:r>
      <w:r w:rsidR="000A763B" w:rsidRPr="008D0C50">
        <w:rPr>
          <w:rFonts w:ascii="Times New Roman" w:hAnsi="Times New Roman" w:cs="Times New Roman"/>
        </w:rPr>
        <w:t xml:space="preserve">omplainant must show that </w:t>
      </w:r>
      <w:r w:rsidR="00E62C09">
        <w:rPr>
          <w:rFonts w:ascii="Times New Roman" w:hAnsi="Times New Roman" w:cs="Times New Roman"/>
        </w:rPr>
        <w:t>IDT</w:t>
      </w:r>
      <w:r w:rsidR="000A763B" w:rsidRPr="008D0C50">
        <w:rPr>
          <w:rFonts w:ascii="Times New Roman" w:hAnsi="Times New Roman" w:cs="Times New Roman"/>
        </w:rPr>
        <w:t xml:space="preserve"> is responsible or accountable for the problems described in the </w:t>
      </w:r>
      <w:r w:rsidR="00E62C09">
        <w:rPr>
          <w:rFonts w:ascii="Times New Roman" w:hAnsi="Times New Roman" w:cs="Times New Roman"/>
        </w:rPr>
        <w:t>c</w:t>
      </w:r>
      <w:r w:rsidR="000A763B" w:rsidRPr="008D0C50">
        <w:rPr>
          <w:rFonts w:ascii="Times New Roman" w:hAnsi="Times New Roman" w:cs="Times New Roman"/>
        </w:rPr>
        <w:t>omplaint</w:t>
      </w:r>
      <w:r w:rsidR="007C70D2">
        <w:rPr>
          <w:rFonts w:ascii="Times New Roman" w:hAnsi="Times New Roman" w:cs="Times New Roman"/>
        </w:rPr>
        <w:t>, in that IDT has violated the Code, a regulation or order of the Commission</w:t>
      </w:r>
      <w:r w:rsidR="000A763B" w:rsidRPr="008D0C50">
        <w:rPr>
          <w:rFonts w:ascii="Times New Roman" w:hAnsi="Times New Roman" w:cs="Times New Roman"/>
        </w:rPr>
        <w:t xml:space="preserve">. </w:t>
      </w:r>
      <w:r w:rsidR="00E62C09">
        <w:rPr>
          <w:rFonts w:ascii="Times New Roman" w:hAnsi="Times New Roman" w:cs="Times New Roman"/>
        </w:rPr>
        <w:t xml:space="preserve"> </w:t>
      </w:r>
      <w:proofErr w:type="gramStart"/>
      <w:r w:rsidR="000A763B" w:rsidRPr="008D0C50">
        <w:rPr>
          <w:rFonts w:ascii="Times New Roman" w:hAnsi="Times New Roman" w:cs="Times New Roman"/>
          <w:i/>
        </w:rPr>
        <w:t>Patterson v. Bell Telephone Company of Pennsylvania,</w:t>
      </w:r>
      <w:r w:rsidR="000A763B" w:rsidRPr="008D0C50">
        <w:rPr>
          <w:rFonts w:ascii="Times New Roman" w:hAnsi="Times New Roman" w:cs="Times New Roman"/>
        </w:rPr>
        <w:t xml:space="preserve"> 72 Pa. PUC 196 (1990).</w:t>
      </w:r>
      <w:proofErr w:type="gramEnd"/>
      <w:r w:rsidR="009B05C3">
        <w:rPr>
          <w:rFonts w:ascii="Times New Roman" w:hAnsi="Times New Roman" w:cs="Times New Roman"/>
        </w:rPr>
        <w:t xml:space="preserve"> </w:t>
      </w:r>
      <w:r w:rsidR="000A763B" w:rsidRPr="008D0C50">
        <w:rPr>
          <w:rFonts w:ascii="Times New Roman" w:hAnsi="Times New Roman" w:cs="Times New Roman"/>
        </w:rPr>
        <w:t xml:space="preserve"> Such a showing must be by a preponderance of the evidence.</w:t>
      </w:r>
      <w:r w:rsidR="009B05C3">
        <w:rPr>
          <w:rFonts w:ascii="Times New Roman" w:hAnsi="Times New Roman" w:cs="Times New Roman"/>
        </w:rPr>
        <w:t xml:space="preserve">  </w:t>
      </w:r>
      <w:proofErr w:type="gramStart"/>
      <w:r w:rsidR="000A763B" w:rsidRPr="008D0C50">
        <w:rPr>
          <w:rFonts w:ascii="Times New Roman" w:hAnsi="Times New Roman" w:cs="Times New Roman"/>
          <w:i/>
        </w:rPr>
        <w:t xml:space="preserve">Samuel J. </w:t>
      </w:r>
      <w:proofErr w:type="spellStart"/>
      <w:r w:rsidR="000A763B" w:rsidRPr="008D0C50">
        <w:rPr>
          <w:rFonts w:ascii="Times New Roman" w:hAnsi="Times New Roman" w:cs="Times New Roman"/>
          <w:i/>
        </w:rPr>
        <w:t>Lansberry</w:t>
      </w:r>
      <w:proofErr w:type="spellEnd"/>
      <w:r w:rsidR="000A763B" w:rsidRPr="008D0C50">
        <w:rPr>
          <w:rFonts w:ascii="Times New Roman" w:hAnsi="Times New Roman" w:cs="Times New Roman"/>
          <w:i/>
        </w:rPr>
        <w:t>, Inc. v. Pa. Pub.</w:t>
      </w:r>
      <w:proofErr w:type="gramEnd"/>
      <w:r w:rsidR="000A763B" w:rsidRPr="008D0C50">
        <w:rPr>
          <w:rFonts w:ascii="Times New Roman" w:hAnsi="Times New Roman" w:cs="Times New Roman"/>
          <w:i/>
        </w:rPr>
        <w:t xml:space="preserve"> </w:t>
      </w:r>
      <w:proofErr w:type="gramStart"/>
      <w:r w:rsidR="000A763B" w:rsidRPr="008D0C50">
        <w:rPr>
          <w:rFonts w:ascii="Times New Roman" w:hAnsi="Times New Roman" w:cs="Times New Roman"/>
          <w:i/>
        </w:rPr>
        <w:t>Util.</w:t>
      </w:r>
      <w:r w:rsidR="004F2F1E">
        <w:rPr>
          <w:rFonts w:ascii="Times New Roman" w:hAnsi="Times New Roman" w:cs="Times New Roman"/>
          <w:i/>
        </w:rPr>
        <w:t xml:space="preserve"> </w:t>
      </w:r>
      <w:proofErr w:type="spellStart"/>
      <w:r w:rsidR="004F2F1E">
        <w:rPr>
          <w:rFonts w:ascii="Times New Roman" w:hAnsi="Times New Roman" w:cs="Times New Roman"/>
          <w:i/>
        </w:rPr>
        <w:t>Comm’n</w:t>
      </w:r>
      <w:proofErr w:type="spellEnd"/>
      <w:r w:rsidR="000A763B" w:rsidRPr="008D0C50">
        <w:rPr>
          <w:rFonts w:ascii="Times New Roman" w:hAnsi="Times New Roman" w:cs="Times New Roman"/>
          <w:i/>
        </w:rPr>
        <w:t>,</w:t>
      </w:r>
      <w:r w:rsidR="000A763B" w:rsidRPr="008D0C50">
        <w:rPr>
          <w:rFonts w:ascii="Times New Roman" w:hAnsi="Times New Roman" w:cs="Times New Roman"/>
        </w:rPr>
        <w:t xml:space="preserve"> 578 A.2d 600 (</w:t>
      </w:r>
      <w:proofErr w:type="spellStart"/>
      <w:r w:rsidR="000A763B" w:rsidRPr="008D0C50">
        <w:rPr>
          <w:rFonts w:ascii="Times New Roman" w:hAnsi="Times New Roman" w:cs="Times New Roman"/>
        </w:rPr>
        <w:t>Pa.Cmwlth</w:t>
      </w:r>
      <w:proofErr w:type="spellEnd"/>
      <w:r w:rsidR="000A763B" w:rsidRPr="008D0C50">
        <w:rPr>
          <w:rFonts w:ascii="Times New Roman" w:hAnsi="Times New Roman" w:cs="Times New Roman"/>
        </w:rPr>
        <w:t xml:space="preserve">. 1990), </w:t>
      </w:r>
      <w:proofErr w:type="spellStart"/>
      <w:r w:rsidR="000A763B" w:rsidRPr="008D0C50">
        <w:rPr>
          <w:rFonts w:ascii="Times New Roman" w:hAnsi="Times New Roman" w:cs="Times New Roman"/>
        </w:rPr>
        <w:t>alloc</w:t>
      </w:r>
      <w:proofErr w:type="spellEnd"/>
      <w:r w:rsidR="000A763B" w:rsidRPr="008D0C50">
        <w:rPr>
          <w:rFonts w:ascii="Times New Roman" w:hAnsi="Times New Roman" w:cs="Times New Roman"/>
        </w:rPr>
        <w:t>.</w:t>
      </w:r>
      <w:proofErr w:type="gramEnd"/>
      <w:r w:rsidR="000A763B" w:rsidRPr="008D0C50">
        <w:rPr>
          <w:rFonts w:ascii="Times New Roman" w:hAnsi="Times New Roman" w:cs="Times New Roman"/>
        </w:rPr>
        <w:t xml:space="preserve"> </w:t>
      </w:r>
      <w:proofErr w:type="gramStart"/>
      <w:r w:rsidR="000A763B" w:rsidRPr="008D0C50">
        <w:rPr>
          <w:rFonts w:ascii="Times New Roman" w:hAnsi="Times New Roman" w:cs="Times New Roman"/>
        </w:rPr>
        <w:t>denied</w:t>
      </w:r>
      <w:proofErr w:type="gramEnd"/>
      <w:r w:rsidR="000A763B" w:rsidRPr="008D0C50">
        <w:rPr>
          <w:rFonts w:ascii="Times New Roman" w:hAnsi="Times New Roman" w:cs="Times New Roman"/>
        </w:rPr>
        <w:t xml:space="preserve">, 529 Pa. 654, 602 A.2d 863 (1992). </w:t>
      </w:r>
      <w:r w:rsidR="00C173E6">
        <w:rPr>
          <w:rFonts w:ascii="Times New Roman" w:hAnsi="Times New Roman" w:cs="Times New Roman"/>
        </w:rPr>
        <w:t xml:space="preserve"> </w:t>
      </w:r>
      <w:r w:rsidR="004733E0">
        <w:rPr>
          <w:rFonts w:ascii="Times New Roman" w:hAnsi="Times New Roman" w:cs="Times New Roman"/>
        </w:rPr>
        <w:t>That is, Complainant’</w:t>
      </w:r>
      <w:r w:rsidR="000A763B" w:rsidRPr="008D0C50">
        <w:rPr>
          <w:rFonts w:ascii="Times New Roman" w:hAnsi="Times New Roman" w:cs="Times New Roman"/>
        </w:rPr>
        <w:t xml:space="preserve">s evidence must be more convincing, by even the smallest amount, than that presented by </w:t>
      </w:r>
      <w:r w:rsidR="00E62C09">
        <w:rPr>
          <w:rFonts w:ascii="Times New Roman" w:hAnsi="Times New Roman" w:cs="Times New Roman"/>
        </w:rPr>
        <w:t>IDT</w:t>
      </w:r>
      <w:r w:rsidR="000A763B" w:rsidRPr="008D0C50">
        <w:rPr>
          <w:rFonts w:ascii="Times New Roman" w:hAnsi="Times New Roman" w:cs="Times New Roman"/>
          <w:i/>
        </w:rPr>
        <w:t>.</w:t>
      </w:r>
      <w:r w:rsidR="00E62C09">
        <w:rPr>
          <w:rFonts w:ascii="Times New Roman" w:hAnsi="Times New Roman" w:cs="Times New Roman"/>
          <w:i/>
        </w:rPr>
        <w:t xml:space="preserve"> </w:t>
      </w:r>
      <w:r w:rsidR="000A763B" w:rsidRPr="008D0C50">
        <w:rPr>
          <w:rFonts w:ascii="Times New Roman" w:hAnsi="Times New Roman" w:cs="Times New Roman"/>
          <w:i/>
        </w:rPr>
        <w:t xml:space="preserve"> </w:t>
      </w:r>
      <w:proofErr w:type="gramStart"/>
      <w:r w:rsidR="000A763B" w:rsidRPr="008D0C50">
        <w:rPr>
          <w:rFonts w:ascii="Times New Roman" w:hAnsi="Times New Roman" w:cs="Times New Roman"/>
          <w:i/>
        </w:rPr>
        <w:t>Se-Ling Hosiery, Inc. v. Margulies,</w:t>
      </w:r>
      <w:r w:rsidR="000A763B" w:rsidRPr="008D0C50">
        <w:rPr>
          <w:rFonts w:ascii="Times New Roman" w:hAnsi="Times New Roman" w:cs="Times New Roman"/>
        </w:rPr>
        <w:t xml:space="preserve"> 364 Pa. 45, 70 A.2d 854 (1950).</w:t>
      </w:r>
      <w:proofErr w:type="gramEnd"/>
      <w:r w:rsidR="000A763B" w:rsidRPr="008D0C50">
        <w:rPr>
          <w:rFonts w:ascii="Times New Roman" w:hAnsi="Times New Roman" w:cs="Times New Roman"/>
        </w:rPr>
        <w:t xml:space="preserve"> </w:t>
      </w:r>
      <w:r w:rsidR="00C173E6">
        <w:rPr>
          <w:rFonts w:ascii="Times New Roman" w:hAnsi="Times New Roman" w:cs="Times New Roman"/>
        </w:rPr>
        <w:t xml:space="preserve"> </w:t>
      </w:r>
      <w:r w:rsidR="000A763B" w:rsidRPr="008D0C50">
        <w:rPr>
          <w:rFonts w:ascii="Times New Roman" w:hAnsi="Times New Roman" w:cs="Times New Roman"/>
        </w:rPr>
        <w:t>Additionally, th</w:t>
      </w:r>
      <w:r w:rsidR="006B417B">
        <w:rPr>
          <w:rFonts w:ascii="Times New Roman" w:hAnsi="Times New Roman" w:cs="Times New Roman"/>
        </w:rPr>
        <w:t>e</w:t>
      </w:r>
      <w:r w:rsidR="004733E0">
        <w:rPr>
          <w:rFonts w:ascii="Times New Roman" w:hAnsi="Times New Roman" w:cs="Times New Roman"/>
        </w:rPr>
        <w:t xml:space="preserve"> Commission’</w:t>
      </w:r>
      <w:r w:rsidR="000A763B" w:rsidRPr="008D0C50">
        <w:rPr>
          <w:rFonts w:ascii="Times New Roman" w:hAnsi="Times New Roman" w:cs="Times New Roman"/>
        </w:rPr>
        <w:t xml:space="preserve">s decision must be supported by substantial evidence in the record. </w:t>
      </w:r>
      <w:r w:rsidR="00E62C09">
        <w:rPr>
          <w:rFonts w:ascii="Times New Roman" w:hAnsi="Times New Roman" w:cs="Times New Roman"/>
        </w:rPr>
        <w:t xml:space="preserve"> </w:t>
      </w:r>
      <w:r w:rsidR="000A763B" w:rsidRPr="008D0C50">
        <w:rPr>
          <w:rFonts w:ascii="Times New Roman" w:hAnsi="Times New Roman" w:cs="Times New Roman"/>
        </w:rPr>
        <w:t>More is required than a mere trace of evidence or a suspicion of the existence of a fact sought to be established.</w:t>
      </w:r>
      <w:r w:rsidR="00C173E6">
        <w:rPr>
          <w:rFonts w:ascii="Times New Roman" w:hAnsi="Times New Roman" w:cs="Times New Roman"/>
        </w:rPr>
        <w:t xml:space="preserve"> </w:t>
      </w:r>
      <w:r w:rsidR="000A763B" w:rsidRPr="008D0C50">
        <w:rPr>
          <w:rFonts w:ascii="Times New Roman" w:hAnsi="Times New Roman" w:cs="Times New Roman"/>
        </w:rPr>
        <w:t xml:space="preserve"> </w:t>
      </w:r>
      <w:proofErr w:type="gramStart"/>
      <w:r w:rsidR="000A763B" w:rsidRPr="008D0C50">
        <w:rPr>
          <w:rFonts w:ascii="Times New Roman" w:hAnsi="Times New Roman" w:cs="Times New Roman"/>
          <w:i/>
        </w:rPr>
        <w:t>Norfolk &amp; Western Ry. Co. v. Pa. Pub.</w:t>
      </w:r>
      <w:proofErr w:type="gramEnd"/>
      <w:r w:rsidR="000A763B" w:rsidRPr="008D0C50">
        <w:rPr>
          <w:rFonts w:ascii="Times New Roman" w:hAnsi="Times New Roman" w:cs="Times New Roman"/>
          <w:i/>
        </w:rPr>
        <w:t xml:space="preserve"> </w:t>
      </w:r>
      <w:proofErr w:type="gramStart"/>
      <w:r w:rsidR="000A763B" w:rsidRPr="008D0C50">
        <w:rPr>
          <w:rFonts w:ascii="Times New Roman" w:hAnsi="Times New Roman" w:cs="Times New Roman"/>
          <w:i/>
        </w:rPr>
        <w:t>Util.</w:t>
      </w:r>
      <w:r w:rsidR="004F2F1E">
        <w:rPr>
          <w:rFonts w:ascii="Times New Roman" w:hAnsi="Times New Roman" w:cs="Times New Roman"/>
          <w:i/>
        </w:rPr>
        <w:t xml:space="preserve"> </w:t>
      </w:r>
      <w:proofErr w:type="spellStart"/>
      <w:r w:rsidR="004F2F1E">
        <w:rPr>
          <w:rFonts w:ascii="Times New Roman" w:hAnsi="Times New Roman" w:cs="Times New Roman"/>
          <w:i/>
        </w:rPr>
        <w:t>Comm’n</w:t>
      </w:r>
      <w:proofErr w:type="spellEnd"/>
      <w:r w:rsidR="000A763B" w:rsidRPr="008D0C50">
        <w:rPr>
          <w:rFonts w:ascii="Times New Roman" w:hAnsi="Times New Roman" w:cs="Times New Roman"/>
          <w:i/>
        </w:rPr>
        <w:t>,</w:t>
      </w:r>
      <w:r w:rsidR="000A763B" w:rsidRPr="008D0C50">
        <w:rPr>
          <w:rFonts w:ascii="Times New Roman" w:hAnsi="Times New Roman" w:cs="Times New Roman"/>
        </w:rPr>
        <w:t xml:space="preserve"> 489 Pa. 109, 413 A.2d 1037 (1980).</w:t>
      </w:r>
      <w:proofErr w:type="gramEnd"/>
    </w:p>
    <w:p w:rsidR="000A763B" w:rsidRPr="008D0C50" w:rsidRDefault="000A763B" w:rsidP="00CC54C7">
      <w:pPr>
        <w:spacing w:line="360" w:lineRule="auto"/>
        <w:rPr>
          <w:rFonts w:ascii="Times New Roman" w:hAnsi="Times New Roman" w:cs="Times New Roman"/>
        </w:rPr>
      </w:pPr>
    </w:p>
    <w:p w:rsidR="000A763B" w:rsidRDefault="000A763B" w:rsidP="00CC54C7">
      <w:pPr>
        <w:spacing w:line="360" w:lineRule="auto"/>
        <w:rPr>
          <w:rFonts w:ascii="Times New Roman" w:hAnsi="Times New Roman" w:cs="Times New Roman"/>
        </w:rPr>
      </w:pPr>
      <w:r w:rsidRPr="008D0C50">
        <w:rPr>
          <w:rFonts w:ascii="Times New Roman" w:hAnsi="Times New Roman" w:cs="Times New Roman"/>
        </w:rPr>
        <w:tab/>
      </w:r>
      <w:r w:rsidRPr="008D0C50">
        <w:rPr>
          <w:rFonts w:ascii="Times New Roman" w:hAnsi="Times New Roman" w:cs="Times New Roman"/>
        </w:rPr>
        <w:tab/>
        <w:t>Upon the presentation by Complainant of evidence sufficient to initially satisfy his burden of proof, the burden of going forward with the evidence and rebutting the evidence of the Complainant, shifts to Respondent.</w:t>
      </w:r>
      <w:r w:rsidR="00C173E6">
        <w:rPr>
          <w:rFonts w:ascii="Times New Roman" w:hAnsi="Times New Roman" w:cs="Times New Roman"/>
        </w:rPr>
        <w:t xml:space="preserve"> </w:t>
      </w:r>
      <w:r w:rsidRPr="008D0C50">
        <w:rPr>
          <w:rFonts w:ascii="Times New Roman" w:hAnsi="Times New Roman" w:cs="Times New Roman"/>
        </w:rPr>
        <w:t xml:space="preserve"> If the evidence presented by Respondent is of co-equal weight, Complainant has not satisfied his burden of proof. </w:t>
      </w:r>
      <w:r w:rsidR="00C173E6">
        <w:rPr>
          <w:rFonts w:ascii="Times New Roman" w:hAnsi="Times New Roman" w:cs="Times New Roman"/>
        </w:rPr>
        <w:t xml:space="preserve"> </w:t>
      </w:r>
      <w:r w:rsidRPr="008D0C50">
        <w:rPr>
          <w:rFonts w:ascii="Times New Roman" w:hAnsi="Times New Roman" w:cs="Times New Roman"/>
        </w:rPr>
        <w:t xml:space="preserve">Complainant now has to provide some additional evidence to rebut that of Respondent.  </w:t>
      </w:r>
      <w:proofErr w:type="gramStart"/>
      <w:r w:rsidRPr="008D0C50">
        <w:rPr>
          <w:rFonts w:ascii="Times New Roman" w:hAnsi="Times New Roman" w:cs="Times New Roman"/>
          <w:i/>
        </w:rPr>
        <w:t>Burleson v. Pa. P</w:t>
      </w:r>
      <w:r w:rsidR="008D0C50" w:rsidRPr="008D0C50">
        <w:rPr>
          <w:rFonts w:ascii="Times New Roman" w:hAnsi="Times New Roman" w:cs="Times New Roman"/>
          <w:i/>
        </w:rPr>
        <w:t>ub.</w:t>
      </w:r>
      <w:proofErr w:type="gramEnd"/>
      <w:r w:rsidR="008D0C50" w:rsidRPr="008D0C50">
        <w:rPr>
          <w:rFonts w:ascii="Times New Roman" w:hAnsi="Times New Roman" w:cs="Times New Roman"/>
          <w:i/>
        </w:rPr>
        <w:t xml:space="preserve"> </w:t>
      </w:r>
      <w:proofErr w:type="gramStart"/>
      <w:r w:rsidR="008D0C50" w:rsidRPr="008D0C50">
        <w:rPr>
          <w:rFonts w:ascii="Times New Roman" w:hAnsi="Times New Roman" w:cs="Times New Roman"/>
          <w:i/>
        </w:rPr>
        <w:t>Util.</w:t>
      </w:r>
      <w:r w:rsidR="004F2F1E">
        <w:rPr>
          <w:rFonts w:ascii="Times New Roman" w:hAnsi="Times New Roman" w:cs="Times New Roman"/>
          <w:i/>
        </w:rPr>
        <w:t xml:space="preserve"> </w:t>
      </w:r>
      <w:proofErr w:type="spellStart"/>
      <w:r w:rsidR="004F2F1E">
        <w:rPr>
          <w:rFonts w:ascii="Times New Roman" w:hAnsi="Times New Roman" w:cs="Times New Roman"/>
          <w:i/>
        </w:rPr>
        <w:t>Comm’n</w:t>
      </w:r>
      <w:proofErr w:type="spellEnd"/>
      <w:r w:rsidR="008D0C50" w:rsidRPr="008D0C50">
        <w:rPr>
          <w:rFonts w:ascii="Times New Roman" w:hAnsi="Times New Roman" w:cs="Times New Roman"/>
          <w:i/>
        </w:rPr>
        <w:t>,</w:t>
      </w:r>
      <w:r w:rsidRPr="008D0C50">
        <w:rPr>
          <w:rFonts w:ascii="Times New Roman" w:hAnsi="Times New Roman" w:cs="Times New Roman"/>
        </w:rPr>
        <w:t xml:space="preserve"> 443 A.2d 1373 (</w:t>
      </w:r>
      <w:proofErr w:type="spellStart"/>
      <w:r w:rsidRPr="008D0C50">
        <w:rPr>
          <w:rFonts w:ascii="Times New Roman" w:hAnsi="Times New Roman" w:cs="Times New Roman"/>
        </w:rPr>
        <w:t>Pa.</w:t>
      </w:r>
      <w:r w:rsidR="00D21EE8">
        <w:rPr>
          <w:rFonts w:ascii="Times New Roman" w:hAnsi="Times New Roman" w:cs="Times New Roman"/>
        </w:rPr>
        <w:t>Cmwlth</w:t>
      </w:r>
      <w:proofErr w:type="spellEnd"/>
      <w:r w:rsidR="00D21EE8">
        <w:rPr>
          <w:rFonts w:ascii="Times New Roman" w:hAnsi="Times New Roman" w:cs="Times New Roman"/>
        </w:rPr>
        <w:t xml:space="preserve">. 1982) </w:t>
      </w:r>
      <w:proofErr w:type="spellStart"/>
      <w:r w:rsidR="00D21EE8">
        <w:rPr>
          <w:rFonts w:ascii="Times New Roman" w:hAnsi="Times New Roman" w:cs="Times New Roman"/>
        </w:rPr>
        <w:t>aff’</w:t>
      </w:r>
      <w:r w:rsidRPr="008D0C50">
        <w:rPr>
          <w:rFonts w:ascii="Times New Roman" w:hAnsi="Times New Roman" w:cs="Times New Roman"/>
        </w:rPr>
        <w:t>d</w:t>
      </w:r>
      <w:proofErr w:type="spellEnd"/>
      <w:r w:rsidRPr="008D0C50">
        <w:rPr>
          <w:rFonts w:ascii="Times New Roman" w:hAnsi="Times New Roman" w:cs="Times New Roman"/>
        </w:rPr>
        <w:t>, 501 Pa. 433, 461 A.2d 1234 (1983).</w:t>
      </w:r>
      <w:proofErr w:type="gramEnd"/>
    </w:p>
    <w:p w:rsidR="00C173E6" w:rsidRPr="008D0C50" w:rsidRDefault="00C173E6" w:rsidP="00CC54C7">
      <w:pPr>
        <w:spacing w:line="360" w:lineRule="auto"/>
        <w:rPr>
          <w:rFonts w:ascii="Times New Roman" w:hAnsi="Times New Roman" w:cs="Times New Roman"/>
        </w:rPr>
      </w:pPr>
    </w:p>
    <w:p w:rsidR="00C173E6" w:rsidRDefault="008D0C50" w:rsidP="00F04939">
      <w:pPr>
        <w:spacing w:line="360" w:lineRule="auto"/>
        <w:rPr>
          <w:rFonts w:ascii="Times New Roman" w:hAnsi="Times New Roman" w:cs="Times New Roman"/>
        </w:rPr>
      </w:pPr>
      <w:r w:rsidRPr="008D0C50">
        <w:rPr>
          <w:rFonts w:ascii="Times New Roman" w:hAnsi="Times New Roman" w:cs="Times New Roman"/>
        </w:rPr>
        <w:lastRenderedPageBreak/>
        <w:tab/>
      </w:r>
      <w:r w:rsidRPr="008D0C50">
        <w:rPr>
          <w:rFonts w:ascii="Times New Roman" w:hAnsi="Times New Roman" w:cs="Times New Roman"/>
        </w:rPr>
        <w:tab/>
      </w:r>
      <w:r w:rsidR="000A763B" w:rsidRPr="008D0C50">
        <w:rPr>
          <w:rFonts w:ascii="Times New Roman" w:hAnsi="Times New Roman" w:cs="Times New Roman"/>
        </w:rPr>
        <w:t xml:space="preserve">While the burden of going forward with the evidence may shift back and forth </w:t>
      </w:r>
    </w:p>
    <w:p w:rsidR="000A763B" w:rsidRPr="008D0C50" w:rsidRDefault="000A763B" w:rsidP="00456497">
      <w:pPr>
        <w:spacing w:line="360" w:lineRule="auto"/>
        <w:rPr>
          <w:rFonts w:ascii="Times New Roman" w:hAnsi="Times New Roman" w:cs="Times New Roman"/>
        </w:rPr>
      </w:pPr>
      <w:r w:rsidRPr="008D0C50">
        <w:rPr>
          <w:rFonts w:ascii="Times New Roman" w:hAnsi="Times New Roman" w:cs="Times New Roman"/>
        </w:rPr>
        <w:t xml:space="preserve">during a proceeding, the burden of proof never shifts. </w:t>
      </w:r>
      <w:r w:rsidR="00C173E6">
        <w:rPr>
          <w:rFonts w:ascii="Times New Roman" w:hAnsi="Times New Roman" w:cs="Times New Roman"/>
        </w:rPr>
        <w:t xml:space="preserve"> </w:t>
      </w:r>
      <w:r w:rsidRPr="008D0C50">
        <w:rPr>
          <w:rFonts w:ascii="Times New Roman" w:hAnsi="Times New Roman" w:cs="Times New Roman"/>
        </w:rPr>
        <w:t>The burden of proof always remains on the party seeking affirmative relief from the Commission.</w:t>
      </w:r>
      <w:r w:rsidR="00F1753E">
        <w:rPr>
          <w:rFonts w:ascii="Times New Roman" w:hAnsi="Times New Roman" w:cs="Times New Roman"/>
        </w:rPr>
        <w:t xml:space="preserve"> </w:t>
      </w:r>
      <w:r w:rsidRPr="008D0C50">
        <w:rPr>
          <w:rFonts w:ascii="Times New Roman" w:hAnsi="Times New Roman" w:cs="Times New Roman"/>
        </w:rPr>
        <w:t xml:space="preserve"> </w:t>
      </w:r>
      <w:proofErr w:type="gramStart"/>
      <w:r w:rsidRPr="008D0C50">
        <w:rPr>
          <w:rFonts w:ascii="Times New Roman" w:hAnsi="Times New Roman" w:cs="Times New Roman"/>
          <w:i/>
        </w:rPr>
        <w:t xml:space="preserve">Milkie v. Pa. </w:t>
      </w:r>
      <w:r w:rsidR="008D0C50" w:rsidRPr="008D0C50">
        <w:rPr>
          <w:rFonts w:ascii="Times New Roman" w:hAnsi="Times New Roman" w:cs="Times New Roman"/>
          <w:i/>
        </w:rPr>
        <w:t>Pub.</w:t>
      </w:r>
      <w:proofErr w:type="gramEnd"/>
      <w:r w:rsidR="008D0C50" w:rsidRPr="008D0C50">
        <w:rPr>
          <w:rFonts w:ascii="Times New Roman" w:hAnsi="Times New Roman" w:cs="Times New Roman"/>
          <w:i/>
        </w:rPr>
        <w:t xml:space="preserve"> </w:t>
      </w:r>
      <w:proofErr w:type="gramStart"/>
      <w:r w:rsidR="008D0C50" w:rsidRPr="008D0C50">
        <w:rPr>
          <w:rFonts w:ascii="Times New Roman" w:hAnsi="Times New Roman" w:cs="Times New Roman"/>
          <w:i/>
        </w:rPr>
        <w:t>Util.</w:t>
      </w:r>
      <w:r w:rsidR="004F2F1E">
        <w:rPr>
          <w:rFonts w:ascii="Times New Roman" w:hAnsi="Times New Roman" w:cs="Times New Roman"/>
          <w:i/>
        </w:rPr>
        <w:t xml:space="preserve"> </w:t>
      </w:r>
      <w:proofErr w:type="spellStart"/>
      <w:r w:rsidR="004F2F1E">
        <w:rPr>
          <w:rFonts w:ascii="Times New Roman" w:hAnsi="Times New Roman" w:cs="Times New Roman"/>
          <w:i/>
        </w:rPr>
        <w:t>Comm’n</w:t>
      </w:r>
      <w:proofErr w:type="spellEnd"/>
      <w:r w:rsidRPr="008D0C50">
        <w:rPr>
          <w:rFonts w:ascii="Times New Roman" w:hAnsi="Times New Roman" w:cs="Times New Roman"/>
          <w:i/>
        </w:rPr>
        <w:t>,</w:t>
      </w:r>
      <w:r w:rsidRPr="008D0C50">
        <w:rPr>
          <w:rFonts w:ascii="Times New Roman" w:hAnsi="Times New Roman" w:cs="Times New Roman"/>
        </w:rPr>
        <w:t xml:space="preserve"> 768 A.2d 1217 (</w:t>
      </w:r>
      <w:proofErr w:type="spellStart"/>
      <w:r w:rsidRPr="008D0C50">
        <w:rPr>
          <w:rFonts w:ascii="Times New Roman" w:hAnsi="Times New Roman" w:cs="Times New Roman"/>
        </w:rPr>
        <w:t>Pa.Cmwlth</w:t>
      </w:r>
      <w:proofErr w:type="spellEnd"/>
      <w:r w:rsidRPr="008D0C50">
        <w:rPr>
          <w:rFonts w:ascii="Times New Roman" w:hAnsi="Times New Roman" w:cs="Times New Roman"/>
        </w:rPr>
        <w:t>. 2001).</w:t>
      </w:r>
      <w:proofErr w:type="gramEnd"/>
    </w:p>
    <w:p w:rsidR="00456497" w:rsidRDefault="00456497" w:rsidP="00456497">
      <w:pPr>
        <w:rPr>
          <w:rFonts w:ascii="Verdana" w:hAnsi="Verdana" w:cs="Times New Roman"/>
          <w:color w:val="000000"/>
          <w:sz w:val="19"/>
          <w:szCs w:val="19"/>
        </w:rPr>
      </w:pPr>
    </w:p>
    <w:p w:rsidR="00CA75C0" w:rsidRPr="00456497" w:rsidRDefault="000A763B" w:rsidP="00456497">
      <w:pPr>
        <w:rPr>
          <w:u w:val="single"/>
        </w:rPr>
      </w:pPr>
      <w:r w:rsidRPr="000A763B">
        <w:rPr>
          <w:rFonts w:ascii="Verdana" w:hAnsi="Verdana" w:cs="Times New Roman"/>
          <w:color w:val="000000"/>
          <w:sz w:val="19"/>
          <w:szCs w:val="19"/>
        </w:rPr>
        <w:br/>
      </w:r>
      <w:r w:rsidR="008A4AD1">
        <w:tab/>
      </w:r>
      <w:r w:rsidR="00AF0EEE">
        <w:t>3</w:t>
      </w:r>
      <w:r w:rsidR="008A4AD1">
        <w:t>.</w:t>
      </w:r>
      <w:r w:rsidR="008A4AD1">
        <w:tab/>
      </w:r>
      <w:r w:rsidR="008A4AD1" w:rsidRPr="00456497">
        <w:rPr>
          <w:u w:val="single"/>
        </w:rPr>
        <w:t>Electricity Generation Customer Choice and Competition Act</w:t>
      </w:r>
      <w:r w:rsidR="0056362A" w:rsidRPr="00456497">
        <w:rPr>
          <w:rStyle w:val="FootnoteReference"/>
          <w:u w:val="single"/>
        </w:rPr>
        <w:footnoteReference w:id="1"/>
      </w:r>
    </w:p>
    <w:p w:rsidR="006B417B" w:rsidRPr="00456497" w:rsidRDefault="00CA75C0" w:rsidP="00456497">
      <w:pPr>
        <w:rPr>
          <w:u w:val="single"/>
        </w:rPr>
      </w:pPr>
      <w:r w:rsidRPr="00456497">
        <w:tab/>
      </w:r>
      <w:r w:rsidRPr="00456497">
        <w:tab/>
      </w:r>
      <w:proofErr w:type="gramStart"/>
      <w:r w:rsidRPr="00456497">
        <w:rPr>
          <w:u w:val="single"/>
        </w:rPr>
        <w:t>and</w:t>
      </w:r>
      <w:proofErr w:type="gramEnd"/>
      <w:r w:rsidRPr="00456497">
        <w:rPr>
          <w:u w:val="single"/>
        </w:rPr>
        <w:t xml:space="preserve"> Customer Complaints</w:t>
      </w:r>
      <w:r w:rsidR="008825A7" w:rsidRPr="00456497">
        <w:rPr>
          <w:rStyle w:val="FootnoteReference"/>
          <w:u w:val="single"/>
        </w:rPr>
        <w:footnoteReference w:id="2"/>
      </w:r>
      <w:r w:rsidR="008A4AD1" w:rsidRPr="00456497">
        <w:rPr>
          <w:u w:val="single"/>
        </w:rPr>
        <w:t xml:space="preserve">  </w:t>
      </w:r>
    </w:p>
    <w:p w:rsidR="006B417B" w:rsidRDefault="0056362A" w:rsidP="00CC54C7">
      <w:pPr>
        <w:spacing w:line="360" w:lineRule="auto"/>
        <w:rPr>
          <w:rFonts w:ascii="Times New Roman" w:hAnsi="Times New Roman" w:cs="Times New Roman"/>
        </w:rPr>
      </w:pPr>
      <w:r>
        <w:rPr>
          <w:rFonts w:ascii="Times New Roman" w:hAnsi="Times New Roman" w:cs="Times New Roman"/>
        </w:rPr>
        <w:tab/>
      </w:r>
    </w:p>
    <w:p w:rsidR="00FE2F25" w:rsidRDefault="0056362A" w:rsidP="002E0B5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An EGS is not defined as a public utility within the meaning of the Code.  However</w:t>
      </w:r>
      <w:r w:rsidR="00C2540F">
        <w:rPr>
          <w:rFonts w:ascii="Times New Roman" w:hAnsi="Times New Roman" w:cs="Times New Roman"/>
        </w:rPr>
        <w:t>,</w:t>
      </w:r>
      <w:r>
        <w:rPr>
          <w:rFonts w:ascii="Times New Roman" w:hAnsi="Times New Roman" w:cs="Times New Roman"/>
        </w:rPr>
        <w:t xml:space="preserve"> EGS</w:t>
      </w:r>
      <w:r w:rsidR="00C2540F">
        <w:rPr>
          <w:rFonts w:ascii="Times New Roman" w:hAnsi="Times New Roman" w:cs="Times New Roman"/>
        </w:rPr>
        <w:t>s, like public utilities,</w:t>
      </w:r>
      <w:r>
        <w:rPr>
          <w:rFonts w:ascii="Times New Roman" w:hAnsi="Times New Roman" w:cs="Times New Roman"/>
        </w:rPr>
        <w:t xml:space="preserve"> are </w:t>
      </w:r>
      <w:r w:rsidR="00C2540F">
        <w:rPr>
          <w:rFonts w:ascii="Times New Roman" w:hAnsi="Times New Roman" w:cs="Times New Roman"/>
        </w:rPr>
        <w:t>required to exercise good fai</w:t>
      </w:r>
      <w:r w:rsidR="00DF3E56">
        <w:rPr>
          <w:rFonts w:ascii="Times New Roman" w:hAnsi="Times New Roman" w:cs="Times New Roman"/>
        </w:rPr>
        <w:t>th</w:t>
      </w:r>
      <w:r w:rsidR="00C2540F">
        <w:rPr>
          <w:rFonts w:ascii="Times New Roman" w:hAnsi="Times New Roman" w:cs="Times New Roman"/>
        </w:rPr>
        <w:t xml:space="preserve">, honesty and fair dealings with customers.  Section 2809(f) of the </w:t>
      </w:r>
      <w:r w:rsidR="00391D61">
        <w:rPr>
          <w:rFonts w:ascii="Times New Roman" w:hAnsi="Times New Roman" w:cs="Times New Roman"/>
        </w:rPr>
        <w:t>Electric Generation Customer Choice and Competition Act (Electric Competition Act)</w:t>
      </w:r>
      <w:r w:rsidR="00391D61">
        <w:rPr>
          <w:rStyle w:val="FootnoteReference"/>
          <w:rFonts w:ascii="Times New Roman" w:hAnsi="Times New Roman" w:cs="Times New Roman"/>
        </w:rPr>
        <w:footnoteReference w:id="3"/>
      </w:r>
      <w:r w:rsidR="00C2540F">
        <w:rPr>
          <w:rFonts w:ascii="Times New Roman" w:hAnsi="Times New Roman" w:cs="Times New Roman"/>
        </w:rPr>
        <w:t xml:space="preserve"> requires EGS</w:t>
      </w:r>
      <w:r w:rsidR="00A92535">
        <w:rPr>
          <w:rFonts w:ascii="Times New Roman" w:hAnsi="Times New Roman" w:cs="Times New Roman"/>
        </w:rPr>
        <w:t>s</w:t>
      </w:r>
      <w:r w:rsidR="00C2540F">
        <w:rPr>
          <w:rFonts w:ascii="Times New Roman" w:hAnsi="Times New Roman" w:cs="Times New Roman"/>
        </w:rPr>
        <w:t xml:space="preserve"> to comply with Chapter 56 of the Commission’s regulations concerning billings and service practices.</w:t>
      </w:r>
      <w:r w:rsidR="00391D61">
        <w:rPr>
          <w:rStyle w:val="FootnoteReference"/>
          <w:rFonts w:ascii="Times New Roman" w:hAnsi="Times New Roman" w:cs="Times New Roman"/>
        </w:rPr>
        <w:footnoteReference w:id="4"/>
      </w:r>
      <w:r w:rsidR="00C2540F">
        <w:rPr>
          <w:rFonts w:ascii="Times New Roman" w:hAnsi="Times New Roman" w:cs="Times New Roman"/>
        </w:rPr>
        <w:t xml:space="preserve"> </w:t>
      </w:r>
      <w:r w:rsidR="00391D61">
        <w:rPr>
          <w:rFonts w:ascii="Times New Roman" w:hAnsi="Times New Roman" w:cs="Times New Roman"/>
        </w:rPr>
        <w:t xml:space="preserve"> </w:t>
      </w:r>
      <w:r w:rsidR="00CA75C0">
        <w:rPr>
          <w:rFonts w:ascii="Times New Roman" w:hAnsi="Times New Roman" w:cs="Times New Roman"/>
        </w:rPr>
        <w:t xml:space="preserve">Under Section 111.13 of the Commissions regulations, 52 Pa.Code § 111.13, </w:t>
      </w:r>
      <w:r w:rsidR="00BE155F">
        <w:rPr>
          <w:rFonts w:ascii="Times New Roman" w:hAnsi="Times New Roman" w:cs="Times New Roman"/>
        </w:rPr>
        <w:t xml:space="preserve">an EGS </w:t>
      </w:r>
      <w:r w:rsidR="00CA75C0">
        <w:rPr>
          <w:rFonts w:ascii="Times New Roman" w:hAnsi="Times New Roman" w:cs="Times New Roman"/>
        </w:rPr>
        <w:t xml:space="preserve">is required to implement an internal process for </w:t>
      </w:r>
      <w:r w:rsidR="00BE155F">
        <w:rPr>
          <w:rFonts w:ascii="Times New Roman" w:hAnsi="Times New Roman" w:cs="Times New Roman"/>
        </w:rPr>
        <w:t>investigating</w:t>
      </w:r>
      <w:r w:rsidR="00070033">
        <w:rPr>
          <w:rFonts w:ascii="Times New Roman" w:hAnsi="Times New Roman" w:cs="Times New Roman"/>
        </w:rPr>
        <w:t>,</w:t>
      </w:r>
      <w:r w:rsidR="00BE155F">
        <w:rPr>
          <w:rFonts w:ascii="Times New Roman" w:hAnsi="Times New Roman" w:cs="Times New Roman"/>
        </w:rPr>
        <w:t xml:space="preserve"> </w:t>
      </w:r>
      <w:r w:rsidR="00CA75C0">
        <w:rPr>
          <w:rFonts w:ascii="Times New Roman" w:hAnsi="Times New Roman" w:cs="Times New Roman"/>
        </w:rPr>
        <w:t xml:space="preserve">responding to </w:t>
      </w:r>
      <w:r w:rsidR="00BE155F">
        <w:rPr>
          <w:rFonts w:ascii="Times New Roman" w:hAnsi="Times New Roman" w:cs="Times New Roman"/>
        </w:rPr>
        <w:t xml:space="preserve">and resolving </w:t>
      </w:r>
      <w:r w:rsidR="00AF0EEE">
        <w:rPr>
          <w:rFonts w:ascii="Times New Roman" w:hAnsi="Times New Roman" w:cs="Times New Roman"/>
        </w:rPr>
        <w:t xml:space="preserve">a residential </w:t>
      </w:r>
      <w:r w:rsidR="00BE155F">
        <w:rPr>
          <w:rFonts w:ascii="Times New Roman" w:hAnsi="Times New Roman" w:cs="Times New Roman"/>
        </w:rPr>
        <w:t>customer</w:t>
      </w:r>
      <w:r w:rsidR="00DF3E56">
        <w:rPr>
          <w:rFonts w:ascii="Times New Roman" w:hAnsi="Times New Roman" w:cs="Times New Roman"/>
        </w:rPr>
        <w:t>’s</w:t>
      </w:r>
      <w:r w:rsidR="00BE155F">
        <w:rPr>
          <w:rFonts w:ascii="Times New Roman" w:hAnsi="Times New Roman" w:cs="Times New Roman"/>
        </w:rPr>
        <w:t xml:space="preserve"> inquiries, disputes and complaints. </w:t>
      </w:r>
      <w:r w:rsidR="00456497">
        <w:rPr>
          <w:rFonts w:ascii="Times New Roman" w:hAnsi="Times New Roman" w:cs="Times New Roman"/>
        </w:rPr>
        <w:t xml:space="preserve"> </w:t>
      </w:r>
      <w:r w:rsidR="00BE155F">
        <w:rPr>
          <w:rFonts w:ascii="Times New Roman" w:hAnsi="Times New Roman" w:cs="Times New Roman"/>
        </w:rPr>
        <w:t xml:space="preserve">Section 56.151(2) of the regulations, Pa.Code § 56.151(2), requires an EGS to use reasonable methods to investigate the customer’s inquiry, dispute or complaint. </w:t>
      </w:r>
      <w:r w:rsidR="00AF0EEE">
        <w:rPr>
          <w:rFonts w:ascii="Times New Roman" w:hAnsi="Times New Roman" w:cs="Times New Roman"/>
        </w:rPr>
        <w:t xml:space="preserve"> </w:t>
      </w:r>
      <w:r w:rsidR="00A92535">
        <w:rPr>
          <w:rFonts w:ascii="Times New Roman" w:hAnsi="Times New Roman" w:cs="Times New Roman"/>
        </w:rPr>
        <w:t xml:space="preserve">The Commission’s regulations also require EGSs to provide residential and small business customers </w:t>
      </w:r>
      <w:r w:rsidR="002E0B5F">
        <w:rPr>
          <w:rFonts w:ascii="Times New Roman" w:hAnsi="Times New Roman" w:cs="Times New Roman"/>
        </w:rPr>
        <w:t xml:space="preserve">disclosure statements, including price and terms of service.  See 52 </w:t>
      </w:r>
      <w:proofErr w:type="spellStart"/>
      <w:r w:rsidR="002E0B5F">
        <w:rPr>
          <w:rFonts w:ascii="Times New Roman" w:hAnsi="Times New Roman" w:cs="Times New Roman"/>
        </w:rPr>
        <w:t>Pa.Code</w:t>
      </w:r>
      <w:proofErr w:type="spellEnd"/>
      <w:r w:rsidR="002E0B5F">
        <w:rPr>
          <w:rFonts w:ascii="Times New Roman" w:hAnsi="Times New Roman" w:cs="Times New Roman"/>
        </w:rPr>
        <w:t xml:space="preserve"> § 54.5.</w:t>
      </w:r>
    </w:p>
    <w:p w:rsidR="002E0B5F" w:rsidRDefault="002E0B5F" w:rsidP="002E0B5F">
      <w:pPr>
        <w:spacing w:line="360" w:lineRule="auto"/>
        <w:rPr>
          <w:rFonts w:ascii="Times New Roman" w:hAnsi="Times New Roman" w:cs="Times New Roman"/>
        </w:rPr>
      </w:pPr>
    </w:p>
    <w:p w:rsidR="002E0B5F" w:rsidRPr="002E0B5F" w:rsidRDefault="002E0B5F" w:rsidP="002E0B5F">
      <w:pPr>
        <w:spacing w:line="360" w:lineRule="auto"/>
        <w:rPr>
          <w:rFonts w:ascii="Times New Roman" w:hAnsi="Times New Roman" w:cs="Times New Roman"/>
          <w:u w:val="single"/>
        </w:rPr>
      </w:pPr>
      <w:r w:rsidRPr="002E0B5F">
        <w:rPr>
          <w:rFonts w:ascii="Times New Roman" w:hAnsi="Times New Roman" w:cs="Times New Roman"/>
          <w:u w:val="single"/>
        </w:rPr>
        <w:t>Analysis</w:t>
      </w:r>
    </w:p>
    <w:p w:rsidR="002E0B5F" w:rsidRDefault="002E0B5F" w:rsidP="002E0B5F">
      <w:pPr>
        <w:spacing w:line="360" w:lineRule="auto"/>
        <w:rPr>
          <w:rFonts w:ascii="Times New Roman" w:hAnsi="Times New Roman" w:cs="Times New Roman"/>
        </w:rPr>
      </w:pPr>
    </w:p>
    <w:p w:rsidR="002E0B5F" w:rsidRDefault="002E0B5F" w:rsidP="002E0B5F">
      <w:pPr>
        <w:spacing w:line="360" w:lineRule="auto"/>
        <w:rPr>
          <w:u w:val="single"/>
        </w:rPr>
      </w:pPr>
      <w:r>
        <w:rPr>
          <w:rFonts w:ascii="Times New Roman" w:hAnsi="Times New Roman" w:cs="Times New Roman"/>
        </w:rPr>
        <w:tab/>
        <w:t>1.</w:t>
      </w:r>
      <w:r>
        <w:rPr>
          <w:rFonts w:ascii="Times New Roman" w:hAnsi="Times New Roman" w:cs="Times New Roman"/>
        </w:rPr>
        <w:tab/>
      </w:r>
      <w:r w:rsidRPr="002E0B5F">
        <w:rPr>
          <w:rFonts w:ascii="Times New Roman" w:hAnsi="Times New Roman" w:cs="Times New Roman"/>
          <w:u w:val="single"/>
        </w:rPr>
        <w:t>Lack of Jurisdiction and Mootness of Issues</w:t>
      </w:r>
    </w:p>
    <w:p w:rsidR="00164D51" w:rsidRDefault="00164D51" w:rsidP="00CC54C7">
      <w:pPr>
        <w:pStyle w:val="BodyText"/>
        <w:spacing w:line="360" w:lineRule="auto"/>
        <w:jc w:val="left"/>
        <w:rPr>
          <w:szCs w:val="24"/>
        </w:rPr>
      </w:pPr>
    </w:p>
    <w:p w:rsidR="00A75FBE" w:rsidRDefault="00FE2F25" w:rsidP="00CC54C7">
      <w:pPr>
        <w:pStyle w:val="BodyText"/>
        <w:spacing w:line="360" w:lineRule="auto"/>
        <w:jc w:val="left"/>
      </w:pPr>
      <w:r>
        <w:rPr>
          <w:szCs w:val="24"/>
        </w:rPr>
        <w:tab/>
      </w:r>
      <w:r>
        <w:rPr>
          <w:szCs w:val="24"/>
        </w:rPr>
        <w:tab/>
      </w:r>
      <w:r w:rsidR="002E0B5F">
        <w:rPr>
          <w:szCs w:val="24"/>
        </w:rPr>
        <w:t xml:space="preserve">As mentioned above the Commission’s jurisdiction is limited by its legislative </w:t>
      </w:r>
      <w:r>
        <w:rPr>
          <w:szCs w:val="24"/>
        </w:rPr>
        <w:t xml:space="preserve">grant of authority.  In the present </w:t>
      </w:r>
      <w:r w:rsidR="00A75FBE">
        <w:rPr>
          <w:szCs w:val="24"/>
        </w:rPr>
        <w:t>case</w:t>
      </w:r>
      <w:r>
        <w:rPr>
          <w:szCs w:val="24"/>
        </w:rPr>
        <w:t xml:space="preserve"> the relief, in part, that Mr. Wo</w:t>
      </w:r>
      <w:r w:rsidR="00DF3E56">
        <w:rPr>
          <w:szCs w:val="24"/>
        </w:rPr>
        <w:t>i</w:t>
      </w:r>
      <w:r>
        <w:rPr>
          <w:szCs w:val="24"/>
        </w:rPr>
        <w:t>tko</w:t>
      </w:r>
      <w:r w:rsidR="00EF767C">
        <w:rPr>
          <w:szCs w:val="24"/>
        </w:rPr>
        <w:t xml:space="preserve"> requests is beyond the </w:t>
      </w:r>
      <w:r w:rsidR="00EF767C">
        <w:rPr>
          <w:szCs w:val="24"/>
        </w:rPr>
        <w:lastRenderedPageBreak/>
        <w:t xml:space="preserve">Commission’s jurisdiction.  </w:t>
      </w:r>
      <w:r w:rsidR="00BB0854">
        <w:rPr>
          <w:szCs w:val="24"/>
        </w:rPr>
        <w:t xml:space="preserve">Mr. Woitko asks the Commission to fine IDT both civilly and criminally.  </w:t>
      </w:r>
      <w:r w:rsidR="009A1BCC">
        <w:rPr>
          <w:szCs w:val="24"/>
        </w:rPr>
        <w:t>Although the Commission may impose a civil fine if warranted, it</w:t>
      </w:r>
      <w:r w:rsidR="00BB0854">
        <w:rPr>
          <w:szCs w:val="24"/>
        </w:rPr>
        <w:t xml:space="preserve"> has no authority to impose a criminal fine. </w:t>
      </w:r>
      <w:r w:rsidR="00F97171">
        <w:rPr>
          <w:szCs w:val="24"/>
        </w:rPr>
        <w:t xml:space="preserve"> </w:t>
      </w:r>
      <w:r w:rsidR="00EF767C">
        <w:rPr>
          <w:szCs w:val="24"/>
        </w:rPr>
        <w:t>Mr. Wo</w:t>
      </w:r>
      <w:r w:rsidR="00DF3E56">
        <w:rPr>
          <w:szCs w:val="24"/>
        </w:rPr>
        <w:t>i</w:t>
      </w:r>
      <w:r w:rsidR="00EF767C">
        <w:rPr>
          <w:szCs w:val="24"/>
        </w:rPr>
        <w:t xml:space="preserve">tko </w:t>
      </w:r>
      <w:r w:rsidR="00BB0854">
        <w:rPr>
          <w:szCs w:val="24"/>
        </w:rPr>
        <w:t xml:space="preserve">also </w:t>
      </w:r>
      <w:r w:rsidR="00EF767C">
        <w:rPr>
          <w:szCs w:val="24"/>
        </w:rPr>
        <w:t>asks the Commission to order IDT to refund</w:t>
      </w:r>
      <w:r>
        <w:rPr>
          <w:szCs w:val="24"/>
        </w:rPr>
        <w:t xml:space="preserve"> </w:t>
      </w:r>
      <w:r w:rsidR="00EF767C">
        <w:t xml:space="preserve">all other customers two to three times the amounts they were overcharged.  </w:t>
      </w:r>
      <w:proofErr w:type="gramStart"/>
      <w:r w:rsidR="00EF767C">
        <w:t>Tr. 39.</w:t>
      </w:r>
      <w:proofErr w:type="gramEnd"/>
      <w:r w:rsidR="00EF767C">
        <w:t xml:space="preserve">  Such a request is </w:t>
      </w:r>
      <w:r w:rsidR="00A75FBE">
        <w:t>generally made in civil proceedings in a class action lawsuit.  However</w:t>
      </w:r>
      <w:r w:rsidR="005F6DFE">
        <w:t>,</w:t>
      </w:r>
      <w:r w:rsidR="00A75FBE">
        <w:t xml:space="preserve"> the Commission’s enabling authority does not extend to class actions.</w:t>
      </w:r>
      <w:r w:rsidR="00EF767C" w:rsidRPr="00314467">
        <w:t>  Class actions are unnecessary in the administrative setting and unauthorized by the applicable law, since the General Rules of Practice and Procedure deal with the problem of similarly</w:t>
      </w:r>
      <w:r w:rsidR="00DF3E56">
        <w:t xml:space="preserve"> </w:t>
      </w:r>
      <w:r w:rsidR="00EF767C" w:rsidRPr="00314467">
        <w:t xml:space="preserve">situated parties and no evidence indicates that the mechanisms provided therein are inadequate. </w:t>
      </w:r>
      <w:r w:rsidR="00DF3E56">
        <w:t xml:space="preserve"> </w:t>
      </w:r>
      <w:proofErr w:type="gramStart"/>
      <w:r w:rsidR="00EF767C" w:rsidRPr="00314467">
        <w:rPr>
          <w:i/>
          <w:iCs/>
        </w:rPr>
        <w:t>Sullivan v. Insurance Department</w:t>
      </w:r>
      <w:r w:rsidR="006C55D9">
        <w:t>, 408 A.2d 1174 (Pa.</w:t>
      </w:r>
      <w:r w:rsidR="00EF767C" w:rsidRPr="00314467">
        <w:t>Cmwlth. 1979).</w:t>
      </w:r>
      <w:proofErr w:type="gramEnd"/>
      <w:r w:rsidR="00EF767C" w:rsidRPr="00314467">
        <w:t xml:space="preserve"> </w:t>
      </w:r>
      <w:r w:rsidR="00A75FBE">
        <w:t xml:space="preserve"> </w:t>
      </w:r>
      <w:r w:rsidR="00236708">
        <w:t xml:space="preserve">Notwithstanding the lack of evidence </w:t>
      </w:r>
      <w:r w:rsidR="005F6DFE">
        <w:t>concerning</w:t>
      </w:r>
      <w:r w:rsidR="00236708">
        <w:t xml:space="preserve"> other customers</w:t>
      </w:r>
      <w:r w:rsidR="005F6DFE">
        <w:t>’ IDT charges and</w:t>
      </w:r>
      <w:r w:rsidR="00236708">
        <w:t xml:space="preserve"> </w:t>
      </w:r>
      <w:r w:rsidR="00FF012D">
        <w:t xml:space="preserve">while </w:t>
      </w:r>
      <w:r w:rsidR="005F6DFE">
        <w:t xml:space="preserve">Complainant </w:t>
      </w:r>
      <w:r w:rsidR="00FF012D">
        <w:t xml:space="preserve">could be represented by his son, who is an attorney, Mr. </w:t>
      </w:r>
      <w:r w:rsidR="00DF3E56">
        <w:t>Woi</w:t>
      </w:r>
      <w:r w:rsidR="00FF012D">
        <w:t xml:space="preserve">tko could not </w:t>
      </w:r>
      <w:r w:rsidR="00236708">
        <w:t xml:space="preserve">act on behalf of other customers and make a request for relief on their behalf.  An individual customer may represent himself or herself before the Commission. </w:t>
      </w:r>
      <w:r w:rsidR="00B13E9B">
        <w:t xml:space="preserve"> </w:t>
      </w:r>
      <w:r w:rsidR="00236708">
        <w:t xml:space="preserve">See 52 </w:t>
      </w:r>
      <w:proofErr w:type="spellStart"/>
      <w:r w:rsidR="00236708">
        <w:t>Pa.Code</w:t>
      </w:r>
      <w:proofErr w:type="spellEnd"/>
      <w:r w:rsidR="00236708">
        <w:t xml:space="preserve"> § 1.21.  </w:t>
      </w:r>
      <w:r w:rsidR="00F16448">
        <w:t>A</w:t>
      </w:r>
      <w:r w:rsidR="00236708">
        <w:t>ll other persons must be represented by an</w:t>
      </w:r>
      <w:r w:rsidR="00FF012D">
        <w:t xml:space="preserve"> a</w:t>
      </w:r>
      <w:r w:rsidR="00236708">
        <w:t xml:space="preserve">ttorney.  See 52 Pa.Code § 1.22.  </w:t>
      </w:r>
      <w:r w:rsidR="00F16448">
        <w:t>Thus</w:t>
      </w:r>
      <w:r w:rsidR="00A75FBE">
        <w:t>, th</w:t>
      </w:r>
      <w:r w:rsidR="00500C1A">
        <w:t>is part of the</w:t>
      </w:r>
      <w:r w:rsidR="00A75FBE">
        <w:t xml:space="preserve"> relief request</w:t>
      </w:r>
      <w:r w:rsidR="00500C1A">
        <w:t>ed</w:t>
      </w:r>
      <w:r w:rsidR="00BC04CD">
        <w:t xml:space="preserve"> by </w:t>
      </w:r>
      <w:r w:rsidR="00A75FBE">
        <w:t xml:space="preserve">Mr. </w:t>
      </w:r>
      <w:r w:rsidR="003128AF">
        <w:t>Wo</w:t>
      </w:r>
      <w:r w:rsidR="00DF3E56">
        <w:t>i</w:t>
      </w:r>
      <w:r w:rsidR="003128AF">
        <w:t>tko must be denied.</w:t>
      </w:r>
    </w:p>
    <w:p w:rsidR="00A75FBE" w:rsidRPr="00314467" w:rsidRDefault="00A75FBE" w:rsidP="00CC54C7">
      <w:pPr>
        <w:autoSpaceDE/>
        <w:autoSpaceDN/>
        <w:spacing w:line="360" w:lineRule="auto"/>
        <w:rPr>
          <w:rFonts w:ascii="Times New Roman" w:hAnsi="Times New Roman" w:cs="Times New Roman"/>
        </w:rPr>
      </w:pPr>
    </w:p>
    <w:p w:rsidR="00F66171" w:rsidRDefault="003128AF" w:rsidP="00CC54C7">
      <w:pPr>
        <w:pStyle w:val="BodyText"/>
        <w:spacing w:line="360" w:lineRule="auto"/>
        <w:jc w:val="left"/>
        <w:rPr>
          <w:szCs w:val="24"/>
        </w:rPr>
      </w:pPr>
      <w:r>
        <w:rPr>
          <w:szCs w:val="24"/>
        </w:rPr>
        <w:tab/>
      </w:r>
      <w:r>
        <w:rPr>
          <w:szCs w:val="24"/>
        </w:rPr>
        <w:tab/>
        <w:t>Turning to Mr. Wo</w:t>
      </w:r>
      <w:r w:rsidR="00DF3E56">
        <w:rPr>
          <w:szCs w:val="24"/>
        </w:rPr>
        <w:t>i</w:t>
      </w:r>
      <w:r>
        <w:rPr>
          <w:szCs w:val="24"/>
        </w:rPr>
        <w:t>tko’s allegation</w:t>
      </w:r>
      <w:r w:rsidR="005F6DFE">
        <w:rPr>
          <w:szCs w:val="24"/>
        </w:rPr>
        <w:t>s</w:t>
      </w:r>
      <w:r>
        <w:rPr>
          <w:szCs w:val="24"/>
        </w:rPr>
        <w:t xml:space="preserve"> that there are incorrect charges on his bill</w:t>
      </w:r>
      <w:r w:rsidR="005F6DFE">
        <w:rPr>
          <w:szCs w:val="24"/>
        </w:rPr>
        <w:t xml:space="preserve"> and IDT engages in price gouging</w:t>
      </w:r>
      <w:r w:rsidR="006D5FB7">
        <w:rPr>
          <w:szCs w:val="24"/>
        </w:rPr>
        <w:t>, th</w:t>
      </w:r>
      <w:r w:rsidR="005F6DFE">
        <w:rPr>
          <w:szCs w:val="24"/>
        </w:rPr>
        <w:t>ese</w:t>
      </w:r>
      <w:r w:rsidR="006D5FB7">
        <w:rPr>
          <w:szCs w:val="24"/>
        </w:rPr>
        <w:t xml:space="preserve"> allegation</w:t>
      </w:r>
      <w:r w:rsidR="005F6DFE">
        <w:rPr>
          <w:szCs w:val="24"/>
        </w:rPr>
        <w:t>s</w:t>
      </w:r>
      <w:r w:rsidR="006D5FB7">
        <w:rPr>
          <w:szCs w:val="24"/>
        </w:rPr>
        <w:t xml:space="preserve"> </w:t>
      </w:r>
      <w:r w:rsidR="005F6DFE">
        <w:rPr>
          <w:szCs w:val="24"/>
        </w:rPr>
        <w:t>are</w:t>
      </w:r>
      <w:r w:rsidR="00762F1E">
        <w:rPr>
          <w:szCs w:val="24"/>
        </w:rPr>
        <w:t xml:space="preserve"> moot</w:t>
      </w:r>
      <w:r w:rsidR="009A1BCC">
        <w:rPr>
          <w:szCs w:val="24"/>
        </w:rPr>
        <w:t>.</w:t>
      </w:r>
      <w:r w:rsidR="00762F1E">
        <w:rPr>
          <w:szCs w:val="24"/>
        </w:rPr>
        <w:t xml:space="preserve">  Mr. Wo</w:t>
      </w:r>
      <w:r w:rsidR="00DF3E56">
        <w:rPr>
          <w:szCs w:val="24"/>
        </w:rPr>
        <w:t>i</w:t>
      </w:r>
      <w:r w:rsidR="00762F1E">
        <w:rPr>
          <w:szCs w:val="24"/>
        </w:rPr>
        <w:t>tko</w:t>
      </w:r>
      <w:r w:rsidR="006D5FB7">
        <w:rPr>
          <w:szCs w:val="24"/>
        </w:rPr>
        <w:t xml:space="preserve"> does not claim</w:t>
      </w:r>
      <w:r w:rsidR="00762F1E">
        <w:rPr>
          <w:szCs w:val="24"/>
        </w:rPr>
        <w:t xml:space="preserve"> that he was charged for consumption he did not use or that his meters were defective and not properly recording his usage.  For the billing periods in question</w:t>
      </w:r>
      <w:r w:rsidR="00DF3E56">
        <w:rPr>
          <w:szCs w:val="24"/>
        </w:rPr>
        <w:t>,</w:t>
      </w:r>
      <w:r w:rsidR="00DF3E56">
        <w:rPr>
          <w:rStyle w:val="FootnoteReference"/>
          <w:szCs w:val="24"/>
        </w:rPr>
        <w:footnoteReference w:id="5"/>
      </w:r>
      <w:r w:rsidR="00762F1E">
        <w:rPr>
          <w:szCs w:val="24"/>
        </w:rPr>
        <w:t xml:space="preserve"> Mr. Wo</w:t>
      </w:r>
      <w:r w:rsidR="00DF3E56">
        <w:rPr>
          <w:szCs w:val="24"/>
        </w:rPr>
        <w:t>i</w:t>
      </w:r>
      <w:r w:rsidR="00762F1E">
        <w:rPr>
          <w:szCs w:val="24"/>
        </w:rPr>
        <w:t>tko admits the winter was brutal</w:t>
      </w:r>
      <w:r w:rsidR="009A1BCC">
        <w:rPr>
          <w:szCs w:val="24"/>
        </w:rPr>
        <w:t>,</w:t>
      </w:r>
      <w:r w:rsidR="00762F1E">
        <w:rPr>
          <w:szCs w:val="24"/>
        </w:rPr>
        <w:t xml:space="preserve"> causing him to use more energy.</w:t>
      </w:r>
      <w:r w:rsidR="00DF3E56">
        <w:rPr>
          <w:szCs w:val="24"/>
        </w:rPr>
        <w:t xml:space="preserve"> </w:t>
      </w:r>
      <w:r w:rsidR="00762F1E">
        <w:rPr>
          <w:szCs w:val="24"/>
        </w:rPr>
        <w:t xml:space="preserve"> </w:t>
      </w:r>
      <w:proofErr w:type="gramStart"/>
      <w:r w:rsidR="005F6DFE">
        <w:rPr>
          <w:szCs w:val="24"/>
        </w:rPr>
        <w:t>Tr. 18.</w:t>
      </w:r>
      <w:proofErr w:type="gramEnd"/>
      <w:r w:rsidR="005F6DFE">
        <w:rPr>
          <w:szCs w:val="24"/>
        </w:rPr>
        <w:t xml:space="preserve"> </w:t>
      </w:r>
      <w:r w:rsidR="00762F1E">
        <w:rPr>
          <w:szCs w:val="24"/>
        </w:rPr>
        <w:t xml:space="preserve"> Here, Mr. Wo</w:t>
      </w:r>
      <w:r w:rsidR="00DF3E56">
        <w:rPr>
          <w:szCs w:val="24"/>
        </w:rPr>
        <w:t>i</w:t>
      </w:r>
      <w:r w:rsidR="00762F1E">
        <w:rPr>
          <w:szCs w:val="24"/>
        </w:rPr>
        <w:t>tko contends the electric supply charges are incorrect because his January 2014 rate of $0.08754 per kW</w:t>
      </w:r>
      <w:r w:rsidR="00DF3E56">
        <w:rPr>
          <w:szCs w:val="24"/>
        </w:rPr>
        <w:t>h</w:t>
      </w:r>
      <w:r w:rsidR="00762F1E">
        <w:rPr>
          <w:szCs w:val="24"/>
        </w:rPr>
        <w:t xml:space="preserve"> more than tripled to $0.2806 per kW</w:t>
      </w:r>
      <w:r w:rsidR="00DF3E56">
        <w:rPr>
          <w:szCs w:val="24"/>
        </w:rPr>
        <w:t>h</w:t>
      </w:r>
      <w:r w:rsidR="00F16448">
        <w:rPr>
          <w:rStyle w:val="FootnoteReference"/>
          <w:szCs w:val="24"/>
        </w:rPr>
        <w:footnoteReference w:id="6"/>
      </w:r>
      <w:r w:rsidR="00762F1E">
        <w:rPr>
          <w:szCs w:val="24"/>
        </w:rPr>
        <w:t xml:space="preserve"> in February 2014</w:t>
      </w:r>
      <w:r w:rsidR="000666CC">
        <w:rPr>
          <w:szCs w:val="24"/>
        </w:rPr>
        <w:t xml:space="preserve">, without notice </w:t>
      </w:r>
      <w:r w:rsidR="006D5FB7">
        <w:rPr>
          <w:szCs w:val="24"/>
        </w:rPr>
        <w:t>t</w:t>
      </w:r>
      <w:r w:rsidR="000666CC">
        <w:rPr>
          <w:szCs w:val="24"/>
        </w:rPr>
        <w:t>o him</w:t>
      </w:r>
      <w:r w:rsidR="00762F1E">
        <w:rPr>
          <w:szCs w:val="24"/>
        </w:rPr>
        <w:t xml:space="preserve">. </w:t>
      </w:r>
      <w:r w:rsidR="00A15E83">
        <w:rPr>
          <w:szCs w:val="24"/>
        </w:rPr>
        <w:t xml:space="preserve"> </w:t>
      </w:r>
      <w:proofErr w:type="gramStart"/>
      <w:r w:rsidR="005F6DFE">
        <w:rPr>
          <w:szCs w:val="24"/>
        </w:rPr>
        <w:t>Tr. 19.</w:t>
      </w:r>
      <w:proofErr w:type="gramEnd"/>
      <w:r w:rsidR="005F6DFE">
        <w:rPr>
          <w:szCs w:val="24"/>
        </w:rPr>
        <w:t xml:space="preserve">  </w:t>
      </w:r>
      <w:r w:rsidR="00762F1E">
        <w:rPr>
          <w:szCs w:val="24"/>
        </w:rPr>
        <w:t xml:space="preserve">Mr. </w:t>
      </w:r>
      <w:proofErr w:type="spellStart"/>
      <w:r w:rsidR="00762F1E">
        <w:rPr>
          <w:szCs w:val="24"/>
        </w:rPr>
        <w:t>Wo</w:t>
      </w:r>
      <w:r w:rsidR="008E4175">
        <w:rPr>
          <w:szCs w:val="24"/>
        </w:rPr>
        <w:t>i</w:t>
      </w:r>
      <w:r w:rsidR="00762F1E">
        <w:rPr>
          <w:szCs w:val="24"/>
        </w:rPr>
        <w:t>kto’s</w:t>
      </w:r>
      <w:proofErr w:type="spellEnd"/>
      <w:r w:rsidR="00762F1E">
        <w:rPr>
          <w:szCs w:val="24"/>
        </w:rPr>
        <w:t xml:space="preserve"> electric supply rate, which was a variable rate, increased dramatically </w:t>
      </w:r>
      <w:r w:rsidR="00A15E83">
        <w:rPr>
          <w:szCs w:val="24"/>
        </w:rPr>
        <w:t xml:space="preserve">because of the severe winter and IDT’s increased wholesale costs. </w:t>
      </w:r>
      <w:r w:rsidR="000666CC">
        <w:rPr>
          <w:szCs w:val="24"/>
        </w:rPr>
        <w:t xml:space="preserve"> </w:t>
      </w:r>
      <w:r w:rsidR="00762F1E">
        <w:rPr>
          <w:szCs w:val="24"/>
        </w:rPr>
        <w:t xml:space="preserve">However, the Commission does not have jurisdiction to </w:t>
      </w:r>
      <w:r w:rsidR="00F66171">
        <w:rPr>
          <w:szCs w:val="24"/>
        </w:rPr>
        <w:t>regulate the rates that IDT charges for electric generation supply services.</w:t>
      </w:r>
    </w:p>
    <w:p w:rsidR="00F66171" w:rsidRDefault="00F66171" w:rsidP="00CC54C7">
      <w:pPr>
        <w:pStyle w:val="BodyText"/>
        <w:spacing w:line="360" w:lineRule="auto"/>
        <w:jc w:val="left"/>
        <w:rPr>
          <w:szCs w:val="24"/>
        </w:rPr>
      </w:pPr>
    </w:p>
    <w:p w:rsidR="00F97171" w:rsidRDefault="00F66171" w:rsidP="00CC54C7">
      <w:pPr>
        <w:pStyle w:val="BodyText"/>
        <w:spacing w:line="360" w:lineRule="auto"/>
        <w:jc w:val="left"/>
        <w:rPr>
          <w:szCs w:val="24"/>
        </w:rPr>
      </w:pPr>
      <w:r>
        <w:rPr>
          <w:szCs w:val="24"/>
        </w:rPr>
        <w:lastRenderedPageBreak/>
        <w:tab/>
      </w:r>
      <w:r>
        <w:rPr>
          <w:szCs w:val="24"/>
        </w:rPr>
        <w:tab/>
      </w:r>
      <w:proofErr w:type="gramStart"/>
      <w:r>
        <w:rPr>
          <w:szCs w:val="24"/>
        </w:rPr>
        <w:t xml:space="preserve">In </w:t>
      </w:r>
      <w:r w:rsidRPr="00326EB6">
        <w:rPr>
          <w:i/>
          <w:szCs w:val="24"/>
        </w:rPr>
        <w:t>Commonwealth of Pennsylvania, et al. v. IDT Energy, Inc.</w:t>
      </w:r>
      <w:r>
        <w:rPr>
          <w:szCs w:val="24"/>
        </w:rPr>
        <w:t>, Docket No.</w:t>
      </w:r>
      <w:proofErr w:type="gramEnd"/>
      <w:r>
        <w:rPr>
          <w:szCs w:val="24"/>
        </w:rPr>
        <w:t xml:space="preserve"> </w:t>
      </w:r>
      <w:r w:rsidR="00A15E83">
        <w:rPr>
          <w:szCs w:val="24"/>
        </w:rPr>
        <w:t>C</w:t>
      </w:r>
      <w:r>
        <w:rPr>
          <w:szCs w:val="24"/>
        </w:rPr>
        <w:noBreakHyphen/>
      </w:r>
      <w:r w:rsidR="00A15E83">
        <w:rPr>
          <w:szCs w:val="24"/>
        </w:rPr>
        <w:t>2014-2427657 (Opinion and Order entered December 18, 2014)</w:t>
      </w:r>
      <w:r w:rsidR="00AC5EC8">
        <w:rPr>
          <w:szCs w:val="24"/>
        </w:rPr>
        <w:t xml:space="preserve"> (</w:t>
      </w:r>
      <w:r w:rsidR="00AC5EC8">
        <w:rPr>
          <w:i/>
          <w:szCs w:val="24"/>
        </w:rPr>
        <w:t>IDT O</w:t>
      </w:r>
      <w:r w:rsidR="008E4175">
        <w:rPr>
          <w:i/>
          <w:szCs w:val="24"/>
        </w:rPr>
        <w:t>rder</w:t>
      </w:r>
      <w:r w:rsidR="00AC5EC8">
        <w:rPr>
          <w:i/>
          <w:szCs w:val="24"/>
        </w:rPr>
        <w:t>)</w:t>
      </w:r>
      <w:r w:rsidR="000666CC">
        <w:rPr>
          <w:szCs w:val="24"/>
        </w:rPr>
        <w:t>, the Commission</w:t>
      </w:r>
    </w:p>
    <w:p w:rsidR="000666CC" w:rsidRDefault="000666CC" w:rsidP="00CC54C7">
      <w:pPr>
        <w:pStyle w:val="BodyText"/>
        <w:spacing w:line="360" w:lineRule="auto"/>
        <w:jc w:val="left"/>
        <w:rPr>
          <w:szCs w:val="24"/>
        </w:rPr>
      </w:pPr>
      <w:r>
        <w:rPr>
          <w:szCs w:val="24"/>
        </w:rPr>
        <w:t xml:space="preserve"> opined as follows:</w:t>
      </w:r>
    </w:p>
    <w:p w:rsidR="00F97171" w:rsidRDefault="00F97171" w:rsidP="00560A31">
      <w:pPr>
        <w:pStyle w:val="BodyText"/>
        <w:spacing w:line="240" w:lineRule="auto"/>
        <w:jc w:val="left"/>
        <w:rPr>
          <w:szCs w:val="24"/>
        </w:rPr>
      </w:pPr>
    </w:p>
    <w:p w:rsidR="009B05C3" w:rsidRDefault="000666CC" w:rsidP="00CC54C7">
      <w:pPr>
        <w:ind w:left="1440" w:right="1080"/>
        <w:rPr>
          <w:rFonts w:ascii="Times New Roman" w:hAnsi="Times New Roman" w:cs="Times New Roman"/>
        </w:rPr>
      </w:pPr>
      <w:r w:rsidRPr="000666CC">
        <w:rPr>
          <w:rFonts w:ascii="Times New Roman" w:hAnsi="Times New Roman" w:cs="Times New Roman"/>
        </w:rPr>
        <w:t>At the outset, we note that the Commission does not have traditional ratemaking authority over competitive electric generation suppliers and does not regulate competitive supply rates.</w:t>
      </w:r>
      <w:r w:rsidRPr="000666CC">
        <w:rPr>
          <w:rStyle w:val="FootnoteReference"/>
          <w:rFonts w:ascii="Times New Roman" w:hAnsi="Times New Roman" w:cs="Times New Roman"/>
        </w:rPr>
        <w:footnoteReference w:id="7"/>
      </w:r>
      <w:r w:rsidRPr="000666CC">
        <w:rPr>
          <w:rFonts w:ascii="Times New Roman" w:hAnsi="Times New Roman" w:cs="Times New Roman"/>
        </w:rPr>
        <w:t xml:space="preserve">  The Commission also does not have subject matter jurisdiction to interpret the terms and conditions of a contract between an EGS and a customer to determine whether a breach of the contract has occurred.  </w:t>
      </w:r>
      <w:r w:rsidRPr="000666CC">
        <w:rPr>
          <w:rFonts w:ascii="Times New Roman" w:hAnsi="Times New Roman" w:cs="Times New Roman"/>
          <w:i/>
        </w:rPr>
        <w:t>See Blue Pilot</w:t>
      </w:r>
      <w:r w:rsidRPr="000666CC">
        <w:rPr>
          <w:rFonts w:ascii="Times New Roman" w:hAnsi="Times New Roman" w:cs="Times New Roman"/>
        </w:rPr>
        <w:t xml:space="preserve"> at 19, citing </w:t>
      </w:r>
      <w:proofErr w:type="spellStart"/>
      <w:r w:rsidRPr="000666CC">
        <w:rPr>
          <w:rFonts w:ascii="Times New Roman" w:hAnsi="Times New Roman" w:cs="Times New Roman"/>
          <w:i/>
        </w:rPr>
        <w:t>Allport</w:t>
      </w:r>
      <w:proofErr w:type="spellEnd"/>
      <w:r w:rsidRPr="000666CC">
        <w:rPr>
          <w:rFonts w:ascii="Times New Roman" w:hAnsi="Times New Roman" w:cs="Times New Roman"/>
          <w:i/>
        </w:rPr>
        <w:t xml:space="preserve"> Water Auth. v. </w:t>
      </w:r>
      <w:proofErr w:type="spellStart"/>
      <w:r w:rsidRPr="000666CC">
        <w:rPr>
          <w:rFonts w:ascii="Times New Roman" w:hAnsi="Times New Roman" w:cs="Times New Roman"/>
          <w:i/>
        </w:rPr>
        <w:t>Winburne</w:t>
      </w:r>
      <w:proofErr w:type="spellEnd"/>
      <w:r w:rsidRPr="000666CC">
        <w:rPr>
          <w:rFonts w:ascii="Times New Roman" w:hAnsi="Times New Roman" w:cs="Times New Roman"/>
          <w:i/>
        </w:rPr>
        <w:t xml:space="preserve"> Water Co.</w:t>
      </w:r>
      <w:r w:rsidRPr="000666CC">
        <w:rPr>
          <w:rFonts w:ascii="Times New Roman" w:hAnsi="Times New Roman" w:cs="Times New Roman"/>
        </w:rPr>
        <w:t xml:space="preserve">, 393 A.2d 673 </w:t>
      </w:r>
    </w:p>
    <w:p w:rsidR="000666CC" w:rsidRPr="005601A0" w:rsidRDefault="000666CC" w:rsidP="00CC54C7">
      <w:pPr>
        <w:ind w:left="1440" w:right="1080"/>
        <w:rPr>
          <w:sz w:val="26"/>
          <w:szCs w:val="26"/>
        </w:rPr>
      </w:pPr>
      <w:proofErr w:type="gramStart"/>
      <w:r w:rsidRPr="000666CC">
        <w:rPr>
          <w:rFonts w:ascii="Times New Roman" w:hAnsi="Times New Roman" w:cs="Times New Roman"/>
        </w:rPr>
        <w:t>(</w:t>
      </w:r>
      <w:proofErr w:type="spellStart"/>
      <w:r w:rsidRPr="000666CC">
        <w:rPr>
          <w:rFonts w:ascii="Times New Roman" w:hAnsi="Times New Roman" w:cs="Times New Roman"/>
        </w:rPr>
        <w:t>Pa.Super</w:t>
      </w:r>
      <w:proofErr w:type="spellEnd"/>
      <w:r w:rsidRPr="000666CC">
        <w:rPr>
          <w:rFonts w:ascii="Times New Roman" w:hAnsi="Times New Roman" w:cs="Times New Roman"/>
        </w:rPr>
        <w:t>. 1978)</w:t>
      </w:r>
      <w:r>
        <w:rPr>
          <w:sz w:val="26"/>
          <w:szCs w:val="26"/>
        </w:rPr>
        <w:t>.</w:t>
      </w:r>
      <w:proofErr w:type="gramEnd"/>
      <w:r>
        <w:rPr>
          <w:sz w:val="26"/>
          <w:szCs w:val="26"/>
        </w:rPr>
        <w:t xml:space="preserve"> </w:t>
      </w:r>
    </w:p>
    <w:p w:rsidR="000666CC" w:rsidRDefault="000666CC" w:rsidP="00CC54C7">
      <w:pPr>
        <w:pStyle w:val="BodyText"/>
        <w:spacing w:line="240" w:lineRule="auto"/>
        <w:jc w:val="left"/>
        <w:rPr>
          <w:szCs w:val="24"/>
        </w:rPr>
      </w:pPr>
    </w:p>
    <w:p w:rsidR="00AC5EC8" w:rsidRDefault="00AC5EC8" w:rsidP="00CC54C7">
      <w:pPr>
        <w:pStyle w:val="BodyText"/>
        <w:spacing w:line="360" w:lineRule="auto"/>
        <w:jc w:val="left"/>
        <w:rPr>
          <w:szCs w:val="24"/>
        </w:rPr>
      </w:pPr>
      <w:proofErr w:type="gramStart"/>
      <w:r>
        <w:rPr>
          <w:szCs w:val="24"/>
        </w:rPr>
        <w:t>Id. at 24.</w:t>
      </w:r>
      <w:proofErr w:type="gramEnd"/>
    </w:p>
    <w:p w:rsidR="00AC5EC8" w:rsidRDefault="00AC5EC8" w:rsidP="00CC54C7">
      <w:pPr>
        <w:pStyle w:val="BodyText"/>
        <w:spacing w:line="360" w:lineRule="auto"/>
        <w:jc w:val="left"/>
        <w:rPr>
          <w:szCs w:val="24"/>
        </w:rPr>
      </w:pPr>
    </w:p>
    <w:p w:rsidR="00AC5EC8" w:rsidRDefault="00AC5EC8" w:rsidP="00CC54C7">
      <w:pPr>
        <w:pStyle w:val="BodyText"/>
        <w:spacing w:line="360" w:lineRule="auto"/>
        <w:jc w:val="left"/>
        <w:rPr>
          <w:szCs w:val="24"/>
        </w:rPr>
      </w:pPr>
      <w:r>
        <w:rPr>
          <w:szCs w:val="24"/>
        </w:rPr>
        <w:tab/>
      </w:r>
      <w:r>
        <w:rPr>
          <w:szCs w:val="24"/>
        </w:rPr>
        <w:tab/>
      </w:r>
      <w:r w:rsidR="005F6DFE">
        <w:rPr>
          <w:szCs w:val="24"/>
        </w:rPr>
        <w:t xml:space="preserve">Although </w:t>
      </w:r>
      <w:r>
        <w:rPr>
          <w:szCs w:val="24"/>
        </w:rPr>
        <w:t xml:space="preserve">the </w:t>
      </w:r>
      <w:r w:rsidR="00266250">
        <w:rPr>
          <w:szCs w:val="24"/>
        </w:rPr>
        <w:t>C</w:t>
      </w:r>
      <w:r>
        <w:rPr>
          <w:szCs w:val="24"/>
        </w:rPr>
        <w:t>ommission does not have jurisdiction to regulate the rates charged by an EGS, such as IDT, in appropriate circumstances it does have the authority,</w:t>
      </w:r>
      <w:r w:rsidR="005F6DFE">
        <w:rPr>
          <w:szCs w:val="24"/>
        </w:rPr>
        <w:t xml:space="preserve"> </w:t>
      </w:r>
      <w:r>
        <w:rPr>
          <w:szCs w:val="24"/>
        </w:rPr>
        <w:t xml:space="preserve">to order an EGS to issue a credit or refund.  </w:t>
      </w:r>
      <w:r w:rsidR="005F6DFE">
        <w:rPr>
          <w:szCs w:val="24"/>
        </w:rPr>
        <w:t xml:space="preserve">As explained in </w:t>
      </w:r>
      <w:r>
        <w:rPr>
          <w:szCs w:val="24"/>
        </w:rPr>
        <w:t xml:space="preserve">the </w:t>
      </w:r>
      <w:r w:rsidRPr="00AC5EC8">
        <w:rPr>
          <w:i/>
          <w:szCs w:val="24"/>
        </w:rPr>
        <w:t>IDT O</w:t>
      </w:r>
      <w:r w:rsidR="008E4175">
        <w:rPr>
          <w:i/>
          <w:szCs w:val="24"/>
        </w:rPr>
        <w:t>rder</w:t>
      </w:r>
      <w:r w:rsidR="008028FD">
        <w:rPr>
          <w:i/>
          <w:szCs w:val="24"/>
        </w:rPr>
        <w:t>,</w:t>
      </w:r>
      <w:r>
        <w:rPr>
          <w:szCs w:val="24"/>
        </w:rPr>
        <w:t xml:space="preserve"> </w:t>
      </w:r>
    </w:p>
    <w:p w:rsidR="005F6DFE" w:rsidRDefault="005F6DFE" w:rsidP="00CC54C7">
      <w:pPr>
        <w:pStyle w:val="BodyText"/>
        <w:tabs>
          <w:tab w:val="clear" w:pos="0"/>
        </w:tabs>
        <w:spacing w:line="240" w:lineRule="auto"/>
        <w:ind w:left="1440" w:right="1080"/>
        <w:jc w:val="left"/>
        <w:rPr>
          <w:color w:val="000000"/>
          <w:szCs w:val="24"/>
        </w:rPr>
      </w:pPr>
    </w:p>
    <w:p w:rsidR="00036D15" w:rsidRDefault="00AC5EC8" w:rsidP="00CC54C7">
      <w:pPr>
        <w:pStyle w:val="BodyText"/>
        <w:tabs>
          <w:tab w:val="clear" w:pos="0"/>
        </w:tabs>
        <w:spacing w:line="240" w:lineRule="auto"/>
        <w:ind w:left="1440" w:right="1080"/>
        <w:jc w:val="left"/>
        <w:rPr>
          <w:color w:val="000000"/>
          <w:szCs w:val="24"/>
        </w:rPr>
      </w:pPr>
      <w:r>
        <w:rPr>
          <w:color w:val="000000"/>
          <w:szCs w:val="24"/>
        </w:rPr>
        <w:t xml:space="preserve">. . . </w:t>
      </w:r>
      <w:proofErr w:type="gramStart"/>
      <w:r w:rsidRPr="00AC5EC8">
        <w:rPr>
          <w:color w:val="000000"/>
          <w:szCs w:val="24"/>
        </w:rPr>
        <w:t>we</w:t>
      </w:r>
      <w:proofErr w:type="gramEnd"/>
      <w:r w:rsidRPr="00AC5EC8">
        <w:rPr>
          <w:color w:val="000000"/>
          <w:szCs w:val="24"/>
        </w:rPr>
        <w:t xml:space="preserve"> found that the Commission has plenary authority under Section 501 of the Code, 66 </w:t>
      </w:r>
      <w:proofErr w:type="spellStart"/>
      <w:r w:rsidRPr="00AC5EC8">
        <w:rPr>
          <w:color w:val="000000"/>
          <w:szCs w:val="24"/>
        </w:rPr>
        <w:t>Pa.C.S</w:t>
      </w:r>
      <w:proofErr w:type="spellEnd"/>
      <w:r w:rsidRPr="00AC5EC8">
        <w:rPr>
          <w:color w:val="000000"/>
          <w:szCs w:val="24"/>
        </w:rPr>
        <w:t xml:space="preserve">. § 501, to carry out the consumer protections in the Electric Competition Act, and direct an EGS to issue a credit or refund for an over bill in appropriate circumstances.  As noted in the </w:t>
      </w:r>
      <w:r w:rsidRPr="00AC5EC8">
        <w:rPr>
          <w:i/>
          <w:color w:val="000000"/>
          <w:szCs w:val="24"/>
        </w:rPr>
        <w:t>IDT Order</w:t>
      </w:r>
      <w:r w:rsidRPr="00AC5EC8">
        <w:rPr>
          <w:color w:val="000000"/>
          <w:szCs w:val="24"/>
        </w:rPr>
        <w:t>, the appropriate circumstances include situations wherein an EGS fails to bill a customer in accordance with</w:t>
      </w:r>
    </w:p>
    <w:p w:rsidR="00AC5EC8" w:rsidRDefault="00AC5EC8" w:rsidP="00CC54C7">
      <w:pPr>
        <w:pStyle w:val="BodyText"/>
        <w:tabs>
          <w:tab w:val="clear" w:pos="0"/>
        </w:tabs>
        <w:spacing w:line="240" w:lineRule="auto"/>
        <w:ind w:left="1440" w:right="1080"/>
        <w:jc w:val="left"/>
        <w:rPr>
          <w:color w:val="000000"/>
          <w:szCs w:val="24"/>
        </w:rPr>
      </w:pPr>
      <w:proofErr w:type="gramStart"/>
      <w:r w:rsidRPr="00AC5EC8">
        <w:rPr>
          <w:color w:val="000000"/>
          <w:szCs w:val="24"/>
        </w:rPr>
        <w:t>its</w:t>
      </w:r>
      <w:proofErr w:type="gramEnd"/>
      <w:r w:rsidRPr="00AC5EC8">
        <w:rPr>
          <w:color w:val="000000"/>
          <w:szCs w:val="24"/>
        </w:rPr>
        <w:t xml:space="preserve"> disclosure statement, in violation of the Commission’s Chapter 54 Regulations</w:t>
      </w:r>
      <w:r w:rsidRPr="00AC5EC8">
        <w:rPr>
          <w:color w:val="000000"/>
          <w:szCs w:val="24"/>
          <w:vertAlign w:val="superscript"/>
        </w:rPr>
        <w:footnoteReference w:id="8"/>
      </w:r>
      <w:r w:rsidRPr="00AC5EC8">
        <w:rPr>
          <w:color w:val="000000"/>
          <w:szCs w:val="24"/>
        </w:rPr>
        <w:t xml:space="preserve"> and the Electric Competition</w:t>
      </w:r>
      <w:r w:rsidR="00316F47">
        <w:rPr>
          <w:color w:val="000000"/>
          <w:szCs w:val="24"/>
        </w:rPr>
        <w:t xml:space="preserve"> Act.</w:t>
      </w:r>
      <w:r w:rsidR="00316F47">
        <w:rPr>
          <w:rStyle w:val="FootnoteReference"/>
          <w:color w:val="000000"/>
          <w:szCs w:val="24"/>
        </w:rPr>
        <w:footnoteReference w:id="9"/>
      </w:r>
    </w:p>
    <w:p w:rsidR="00AA7464" w:rsidRDefault="00AA7464" w:rsidP="00CC54C7">
      <w:pPr>
        <w:pStyle w:val="BodyText"/>
        <w:spacing w:line="360" w:lineRule="auto"/>
        <w:jc w:val="left"/>
        <w:rPr>
          <w:i/>
          <w:szCs w:val="24"/>
        </w:rPr>
      </w:pPr>
    </w:p>
    <w:p w:rsidR="00266250" w:rsidRDefault="00A86B9F" w:rsidP="00CC54C7">
      <w:pPr>
        <w:pStyle w:val="BodyText"/>
        <w:spacing w:line="360" w:lineRule="auto"/>
        <w:jc w:val="left"/>
        <w:rPr>
          <w:szCs w:val="24"/>
        </w:rPr>
      </w:pPr>
      <w:proofErr w:type="gramStart"/>
      <w:r>
        <w:rPr>
          <w:i/>
          <w:szCs w:val="24"/>
        </w:rPr>
        <w:t xml:space="preserve">Marion </w:t>
      </w:r>
      <w:r w:rsidR="00AA7464">
        <w:rPr>
          <w:i/>
          <w:szCs w:val="24"/>
        </w:rPr>
        <w:t>Merle</w:t>
      </w:r>
      <w:r w:rsidR="00266250" w:rsidRPr="005A7599">
        <w:rPr>
          <w:i/>
          <w:szCs w:val="24"/>
        </w:rPr>
        <w:t xml:space="preserve"> v</w:t>
      </w:r>
      <w:r w:rsidR="0028316B">
        <w:rPr>
          <w:i/>
          <w:szCs w:val="24"/>
        </w:rPr>
        <w:t>.</w:t>
      </w:r>
      <w:r w:rsidR="00266250" w:rsidRPr="005A7599">
        <w:rPr>
          <w:i/>
          <w:szCs w:val="24"/>
        </w:rPr>
        <w:t xml:space="preserve"> Respond Power LLC</w:t>
      </w:r>
      <w:r w:rsidR="00266250">
        <w:rPr>
          <w:szCs w:val="24"/>
        </w:rPr>
        <w:t>, Docket No.</w:t>
      </w:r>
      <w:proofErr w:type="gramEnd"/>
      <w:r w:rsidR="00266250">
        <w:rPr>
          <w:szCs w:val="24"/>
        </w:rPr>
        <w:t xml:space="preserve"> C-2014-2429158, at 8 (Opinion and Order entered February 23, 2015)</w:t>
      </w:r>
      <w:r w:rsidR="0028316B">
        <w:rPr>
          <w:szCs w:val="24"/>
        </w:rPr>
        <w:t xml:space="preserve"> </w:t>
      </w:r>
      <w:r w:rsidR="00266250">
        <w:rPr>
          <w:szCs w:val="24"/>
        </w:rPr>
        <w:t>(</w:t>
      </w:r>
      <w:proofErr w:type="spellStart"/>
      <w:r w:rsidR="00266250">
        <w:rPr>
          <w:i/>
          <w:szCs w:val="24"/>
        </w:rPr>
        <w:t>Werle</w:t>
      </w:r>
      <w:proofErr w:type="spellEnd"/>
      <w:r w:rsidR="00266250">
        <w:rPr>
          <w:i/>
          <w:szCs w:val="24"/>
        </w:rPr>
        <w:t xml:space="preserve"> Order)</w:t>
      </w:r>
      <w:r w:rsidR="00266250">
        <w:rPr>
          <w:szCs w:val="24"/>
        </w:rPr>
        <w:t>.</w:t>
      </w:r>
    </w:p>
    <w:p w:rsidR="008716BF" w:rsidRDefault="008716BF" w:rsidP="00CC54C7">
      <w:pPr>
        <w:pStyle w:val="BodyText"/>
        <w:spacing w:line="360" w:lineRule="auto"/>
        <w:jc w:val="left"/>
        <w:rPr>
          <w:szCs w:val="24"/>
        </w:rPr>
      </w:pPr>
    </w:p>
    <w:p w:rsidR="00266250" w:rsidRDefault="00BE71EB" w:rsidP="00CC54C7">
      <w:pPr>
        <w:pStyle w:val="BodyText"/>
        <w:spacing w:line="360" w:lineRule="auto"/>
        <w:jc w:val="left"/>
        <w:rPr>
          <w:szCs w:val="24"/>
        </w:rPr>
      </w:pPr>
      <w:r>
        <w:rPr>
          <w:szCs w:val="24"/>
        </w:rPr>
        <w:lastRenderedPageBreak/>
        <w:tab/>
      </w:r>
      <w:r>
        <w:rPr>
          <w:szCs w:val="24"/>
        </w:rPr>
        <w:tab/>
        <w:t>However</w:t>
      </w:r>
      <w:r w:rsidR="008028FD">
        <w:rPr>
          <w:szCs w:val="24"/>
        </w:rPr>
        <w:t>,</w:t>
      </w:r>
      <w:r>
        <w:rPr>
          <w:szCs w:val="24"/>
        </w:rPr>
        <w:t xml:space="preserve"> Mr. Wo</w:t>
      </w:r>
      <w:r w:rsidR="00117E2D">
        <w:rPr>
          <w:szCs w:val="24"/>
        </w:rPr>
        <w:t>i</w:t>
      </w:r>
      <w:r>
        <w:rPr>
          <w:szCs w:val="24"/>
        </w:rPr>
        <w:t xml:space="preserve">tko </w:t>
      </w:r>
      <w:r w:rsidR="00266250">
        <w:rPr>
          <w:szCs w:val="24"/>
        </w:rPr>
        <w:t xml:space="preserve">is no longer seeking a refund.  </w:t>
      </w:r>
      <w:r w:rsidR="00FD4D01">
        <w:rPr>
          <w:szCs w:val="24"/>
        </w:rPr>
        <w:t>Under cross-examination</w:t>
      </w:r>
      <w:r w:rsidR="008028FD">
        <w:rPr>
          <w:szCs w:val="24"/>
        </w:rPr>
        <w:t>,</w:t>
      </w:r>
      <w:r w:rsidR="00FD4D01">
        <w:rPr>
          <w:szCs w:val="24"/>
        </w:rPr>
        <w:t xml:space="preserve"> </w:t>
      </w:r>
      <w:r w:rsidR="008028FD">
        <w:rPr>
          <w:szCs w:val="24"/>
        </w:rPr>
        <w:t xml:space="preserve">he </w:t>
      </w:r>
      <w:r w:rsidR="00FD4D01">
        <w:rPr>
          <w:szCs w:val="24"/>
        </w:rPr>
        <w:t xml:space="preserve">testified his case was not about money for himself.  </w:t>
      </w:r>
      <w:proofErr w:type="gramStart"/>
      <w:r w:rsidR="00FD4D01">
        <w:rPr>
          <w:szCs w:val="24"/>
        </w:rPr>
        <w:t>Tr. 17.</w:t>
      </w:r>
      <w:proofErr w:type="gramEnd"/>
      <w:r w:rsidR="00FD4D01">
        <w:rPr>
          <w:szCs w:val="24"/>
        </w:rPr>
        <w:t xml:space="preserve"> </w:t>
      </w:r>
      <w:r w:rsidR="008028FD">
        <w:rPr>
          <w:szCs w:val="24"/>
        </w:rPr>
        <w:t xml:space="preserve"> </w:t>
      </w:r>
      <w:r w:rsidR="00FD4D01">
        <w:rPr>
          <w:szCs w:val="24"/>
        </w:rPr>
        <w:t xml:space="preserve">Rather he was concerned about millions of other people who he felt had been scammed by the Company. </w:t>
      </w:r>
      <w:r w:rsidR="00F37729">
        <w:rPr>
          <w:szCs w:val="24"/>
        </w:rPr>
        <w:t xml:space="preserve"> </w:t>
      </w:r>
      <w:r w:rsidR="00FD4D01">
        <w:rPr>
          <w:szCs w:val="24"/>
        </w:rPr>
        <w:t>Id.  He was concerned about other senior citizens who were suffering more than him, and they did not have “an attorney for a son that could help them along.”</w:t>
      </w:r>
      <w:r w:rsidR="006E1D7F">
        <w:rPr>
          <w:szCs w:val="24"/>
        </w:rPr>
        <w:t xml:space="preserve">  </w:t>
      </w:r>
      <w:proofErr w:type="gramStart"/>
      <w:r w:rsidR="006E1D7F">
        <w:rPr>
          <w:szCs w:val="24"/>
        </w:rPr>
        <w:t>Tr. 17.</w:t>
      </w:r>
      <w:proofErr w:type="gramEnd"/>
      <w:r w:rsidR="006E1D7F">
        <w:rPr>
          <w:szCs w:val="24"/>
        </w:rPr>
        <w:t xml:space="preserve">  During the hearing, Mr. Wo</w:t>
      </w:r>
      <w:r w:rsidR="00F16448">
        <w:rPr>
          <w:szCs w:val="24"/>
        </w:rPr>
        <w:t>i</w:t>
      </w:r>
      <w:r w:rsidR="006E1D7F">
        <w:rPr>
          <w:szCs w:val="24"/>
        </w:rPr>
        <w:t xml:space="preserve">tko made it clear that he </w:t>
      </w:r>
      <w:r w:rsidR="008028FD">
        <w:rPr>
          <w:szCs w:val="24"/>
        </w:rPr>
        <w:t>had abandoned his request for a refund</w:t>
      </w:r>
      <w:r w:rsidR="006E1D7F">
        <w:rPr>
          <w:szCs w:val="24"/>
        </w:rPr>
        <w:t xml:space="preserve">.  </w:t>
      </w:r>
      <w:r w:rsidR="00266250">
        <w:rPr>
          <w:szCs w:val="24"/>
        </w:rPr>
        <w:t xml:space="preserve">He </w:t>
      </w:r>
      <w:r>
        <w:rPr>
          <w:szCs w:val="24"/>
        </w:rPr>
        <w:t xml:space="preserve">unequivocally testified </w:t>
      </w:r>
      <w:r w:rsidR="00266250">
        <w:rPr>
          <w:szCs w:val="24"/>
        </w:rPr>
        <w:t>as follows:</w:t>
      </w:r>
    </w:p>
    <w:p w:rsidR="00266250" w:rsidRDefault="00266250" w:rsidP="00CC54C7">
      <w:pPr>
        <w:pStyle w:val="BodyText"/>
        <w:spacing w:line="360" w:lineRule="auto"/>
        <w:jc w:val="left"/>
        <w:rPr>
          <w:szCs w:val="24"/>
        </w:rPr>
      </w:pPr>
    </w:p>
    <w:p w:rsidR="006E1D7F" w:rsidRDefault="00115478" w:rsidP="00CC54C7">
      <w:pPr>
        <w:pStyle w:val="BodyText"/>
        <w:tabs>
          <w:tab w:val="clear" w:pos="-1440"/>
          <w:tab w:val="clear" w:pos="-720"/>
          <w:tab w:val="clear" w:pos="0"/>
          <w:tab w:val="clear" w:pos="720"/>
          <w:tab w:val="clear" w:pos="1440"/>
          <w:tab w:val="left" w:pos="2520"/>
        </w:tabs>
        <w:spacing w:line="240" w:lineRule="auto"/>
        <w:ind w:left="1440" w:right="1080"/>
        <w:jc w:val="left"/>
        <w:rPr>
          <w:szCs w:val="24"/>
        </w:rPr>
      </w:pPr>
      <w:r>
        <w:rPr>
          <w:szCs w:val="24"/>
        </w:rPr>
        <w:t>Judge</w:t>
      </w:r>
      <w:proofErr w:type="gramStart"/>
      <w:r>
        <w:rPr>
          <w:szCs w:val="24"/>
        </w:rPr>
        <w:t>:</w:t>
      </w:r>
      <w:r>
        <w:rPr>
          <w:szCs w:val="24"/>
        </w:rPr>
        <w:tab/>
        <w:t>. . .</w:t>
      </w:r>
      <w:proofErr w:type="gramEnd"/>
      <w:r>
        <w:rPr>
          <w:szCs w:val="24"/>
        </w:rPr>
        <w:t xml:space="preserve"> you gave testimony that you did receive . . . two </w:t>
      </w:r>
      <w:r>
        <w:rPr>
          <w:szCs w:val="24"/>
        </w:rPr>
        <w:tab/>
      </w:r>
    </w:p>
    <w:p w:rsidR="00115478" w:rsidRDefault="008028FD" w:rsidP="00CC54C7">
      <w:pPr>
        <w:pStyle w:val="BodyText"/>
        <w:tabs>
          <w:tab w:val="clear" w:pos="-1440"/>
          <w:tab w:val="clear" w:pos="-720"/>
          <w:tab w:val="clear" w:pos="0"/>
          <w:tab w:val="clear" w:pos="720"/>
          <w:tab w:val="clear" w:pos="1440"/>
          <w:tab w:val="left" w:pos="2520"/>
        </w:tabs>
        <w:spacing w:line="240" w:lineRule="auto"/>
        <w:ind w:left="1440" w:right="1080"/>
        <w:jc w:val="left"/>
        <w:rPr>
          <w:szCs w:val="24"/>
        </w:rPr>
      </w:pPr>
      <w:r>
        <w:rPr>
          <w:szCs w:val="24"/>
        </w:rPr>
        <w:tab/>
      </w:r>
      <w:proofErr w:type="gramStart"/>
      <w:r w:rsidR="00F37729">
        <w:rPr>
          <w:szCs w:val="24"/>
        </w:rPr>
        <w:t>refund</w:t>
      </w:r>
      <w:proofErr w:type="gramEnd"/>
      <w:r w:rsidR="00F37729">
        <w:rPr>
          <w:szCs w:val="24"/>
        </w:rPr>
        <w:t xml:space="preserve"> checks fro</w:t>
      </w:r>
      <w:r w:rsidR="00115478">
        <w:rPr>
          <w:szCs w:val="24"/>
        </w:rPr>
        <w:t>m IDT; is that correct?</w:t>
      </w:r>
    </w:p>
    <w:p w:rsidR="006E1D7F" w:rsidRDefault="006E1D7F" w:rsidP="00CC54C7">
      <w:pPr>
        <w:pStyle w:val="BodyText"/>
        <w:tabs>
          <w:tab w:val="clear" w:pos="-1440"/>
          <w:tab w:val="clear" w:pos="-720"/>
          <w:tab w:val="clear" w:pos="0"/>
          <w:tab w:val="clear" w:pos="720"/>
          <w:tab w:val="clear" w:pos="1440"/>
          <w:tab w:val="left" w:pos="2520"/>
        </w:tabs>
        <w:spacing w:line="240" w:lineRule="auto"/>
        <w:ind w:left="1440" w:right="1080"/>
        <w:jc w:val="left"/>
        <w:rPr>
          <w:szCs w:val="24"/>
        </w:rPr>
      </w:pPr>
    </w:p>
    <w:p w:rsidR="00115478" w:rsidRDefault="00F16448" w:rsidP="00CC54C7">
      <w:pPr>
        <w:pStyle w:val="BodyText"/>
        <w:tabs>
          <w:tab w:val="clear" w:pos="-1440"/>
          <w:tab w:val="clear" w:pos="-720"/>
          <w:tab w:val="clear" w:pos="0"/>
          <w:tab w:val="clear" w:pos="720"/>
          <w:tab w:val="clear" w:pos="1440"/>
          <w:tab w:val="left" w:pos="2520"/>
        </w:tabs>
        <w:spacing w:line="240" w:lineRule="auto"/>
        <w:ind w:left="1440" w:right="1080"/>
        <w:jc w:val="left"/>
        <w:rPr>
          <w:szCs w:val="24"/>
        </w:rPr>
      </w:pPr>
      <w:r>
        <w:rPr>
          <w:szCs w:val="24"/>
        </w:rPr>
        <w:t>Witness:</w:t>
      </w:r>
      <w:r w:rsidR="00115478">
        <w:rPr>
          <w:szCs w:val="24"/>
        </w:rPr>
        <w:tab/>
        <w:t xml:space="preserve">Yes, </w:t>
      </w:r>
      <w:proofErr w:type="gramStart"/>
      <w:r w:rsidR="00115478">
        <w:rPr>
          <w:szCs w:val="24"/>
        </w:rPr>
        <w:t>Your</w:t>
      </w:r>
      <w:proofErr w:type="gramEnd"/>
      <w:r w:rsidR="00115478">
        <w:rPr>
          <w:szCs w:val="24"/>
        </w:rPr>
        <w:t xml:space="preserve"> Honor.</w:t>
      </w:r>
    </w:p>
    <w:p w:rsidR="00F263CF" w:rsidRDefault="00F263CF" w:rsidP="00CC54C7">
      <w:pPr>
        <w:pStyle w:val="BodyText"/>
        <w:tabs>
          <w:tab w:val="clear" w:pos="-1440"/>
          <w:tab w:val="clear" w:pos="-720"/>
          <w:tab w:val="clear" w:pos="0"/>
          <w:tab w:val="clear" w:pos="720"/>
          <w:tab w:val="clear" w:pos="1440"/>
          <w:tab w:val="left" w:pos="2520"/>
        </w:tabs>
        <w:spacing w:line="240" w:lineRule="auto"/>
        <w:ind w:left="1440" w:right="1080"/>
        <w:jc w:val="left"/>
        <w:rPr>
          <w:szCs w:val="24"/>
        </w:rPr>
      </w:pPr>
    </w:p>
    <w:p w:rsidR="00115478" w:rsidRDefault="00115478" w:rsidP="00CC54C7">
      <w:pPr>
        <w:pStyle w:val="BodyText"/>
        <w:tabs>
          <w:tab w:val="clear" w:pos="-1440"/>
          <w:tab w:val="clear" w:pos="-720"/>
          <w:tab w:val="clear" w:pos="0"/>
          <w:tab w:val="clear" w:pos="720"/>
          <w:tab w:val="clear" w:pos="1440"/>
          <w:tab w:val="left" w:pos="2520"/>
        </w:tabs>
        <w:spacing w:line="240" w:lineRule="auto"/>
        <w:ind w:left="2520" w:right="1080" w:hanging="1080"/>
        <w:jc w:val="left"/>
        <w:rPr>
          <w:szCs w:val="24"/>
        </w:rPr>
      </w:pPr>
      <w:r>
        <w:rPr>
          <w:szCs w:val="24"/>
        </w:rPr>
        <w:t>Judge</w:t>
      </w:r>
      <w:proofErr w:type="gramStart"/>
      <w:r>
        <w:rPr>
          <w:szCs w:val="24"/>
        </w:rPr>
        <w:t>:</w:t>
      </w:r>
      <w:r>
        <w:rPr>
          <w:szCs w:val="24"/>
        </w:rPr>
        <w:tab/>
        <w:t>. . .</w:t>
      </w:r>
      <w:proofErr w:type="gramEnd"/>
      <w:r>
        <w:rPr>
          <w:szCs w:val="24"/>
        </w:rPr>
        <w:t xml:space="preserve"> are you still seeking or asking for an additional refund of charges for yourself?</w:t>
      </w:r>
    </w:p>
    <w:p w:rsidR="008028FD" w:rsidRDefault="008028FD" w:rsidP="00CC54C7">
      <w:pPr>
        <w:pStyle w:val="BodyText"/>
        <w:tabs>
          <w:tab w:val="clear" w:pos="-1440"/>
          <w:tab w:val="clear" w:pos="-720"/>
          <w:tab w:val="clear" w:pos="0"/>
          <w:tab w:val="clear" w:pos="720"/>
          <w:tab w:val="clear" w:pos="1440"/>
          <w:tab w:val="left" w:pos="2520"/>
        </w:tabs>
        <w:spacing w:line="240" w:lineRule="auto"/>
        <w:ind w:left="1440" w:right="1080"/>
        <w:jc w:val="left"/>
        <w:rPr>
          <w:szCs w:val="24"/>
        </w:rPr>
      </w:pPr>
    </w:p>
    <w:p w:rsidR="00115478" w:rsidRDefault="00F16448" w:rsidP="00CC54C7">
      <w:pPr>
        <w:pStyle w:val="BodyText"/>
        <w:tabs>
          <w:tab w:val="clear" w:pos="-1440"/>
          <w:tab w:val="clear" w:pos="-720"/>
          <w:tab w:val="clear" w:pos="0"/>
          <w:tab w:val="clear" w:pos="720"/>
          <w:tab w:val="clear" w:pos="1440"/>
          <w:tab w:val="left" w:pos="2520"/>
        </w:tabs>
        <w:spacing w:line="240" w:lineRule="auto"/>
        <w:ind w:left="1440" w:right="1080"/>
        <w:jc w:val="left"/>
        <w:rPr>
          <w:szCs w:val="24"/>
        </w:rPr>
      </w:pPr>
      <w:r>
        <w:rPr>
          <w:szCs w:val="24"/>
        </w:rPr>
        <w:t>Witness:</w:t>
      </w:r>
      <w:r w:rsidR="00115478">
        <w:rPr>
          <w:szCs w:val="24"/>
        </w:rPr>
        <w:tab/>
        <w:t xml:space="preserve">No, </w:t>
      </w:r>
      <w:proofErr w:type="gramStart"/>
      <w:r w:rsidR="00115478">
        <w:rPr>
          <w:szCs w:val="24"/>
        </w:rPr>
        <w:t>Your</w:t>
      </w:r>
      <w:proofErr w:type="gramEnd"/>
      <w:r w:rsidR="00115478">
        <w:rPr>
          <w:szCs w:val="24"/>
        </w:rPr>
        <w:t xml:space="preserve"> Honor.</w:t>
      </w:r>
    </w:p>
    <w:p w:rsidR="00115478" w:rsidRDefault="00115478" w:rsidP="00CC54C7">
      <w:pPr>
        <w:pStyle w:val="BodyText"/>
        <w:tabs>
          <w:tab w:val="clear" w:pos="-1440"/>
          <w:tab w:val="clear" w:pos="-720"/>
          <w:tab w:val="clear" w:pos="0"/>
          <w:tab w:val="clear" w:pos="720"/>
          <w:tab w:val="clear" w:pos="1440"/>
          <w:tab w:val="left" w:pos="2520"/>
        </w:tabs>
        <w:spacing w:line="240" w:lineRule="auto"/>
        <w:ind w:left="1440" w:right="1080"/>
        <w:jc w:val="left"/>
        <w:rPr>
          <w:szCs w:val="24"/>
        </w:rPr>
      </w:pPr>
    </w:p>
    <w:p w:rsidR="00115478" w:rsidRDefault="00115478" w:rsidP="00CC54C7">
      <w:pPr>
        <w:pStyle w:val="BodyText"/>
        <w:tabs>
          <w:tab w:val="clear" w:pos="-1440"/>
          <w:tab w:val="clear" w:pos="-720"/>
          <w:tab w:val="clear" w:pos="0"/>
          <w:tab w:val="clear" w:pos="720"/>
          <w:tab w:val="clear" w:pos="1440"/>
          <w:tab w:val="left" w:pos="2520"/>
        </w:tabs>
        <w:spacing w:line="240" w:lineRule="auto"/>
        <w:ind w:left="1440" w:right="1080"/>
        <w:jc w:val="left"/>
        <w:rPr>
          <w:szCs w:val="24"/>
        </w:rPr>
      </w:pPr>
      <w:r>
        <w:rPr>
          <w:szCs w:val="24"/>
        </w:rPr>
        <w:t>Judge:</w:t>
      </w:r>
      <w:r>
        <w:rPr>
          <w:szCs w:val="24"/>
        </w:rPr>
        <w:tab/>
        <w:t xml:space="preserve">. . . so I understand your testimony correctly, you are not </w:t>
      </w:r>
      <w:r w:rsidR="00F263CF">
        <w:rPr>
          <w:szCs w:val="24"/>
        </w:rPr>
        <w:tab/>
      </w:r>
      <w:r>
        <w:rPr>
          <w:szCs w:val="24"/>
        </w:rPr>
        <w:t xml:space="preserve">asking the Commission in any way to order IDT to refund </w:t>
      </w:r>
      <w:r w:rsidR="00F263CF">
        <w:rPr>
          <w:szCs w:val="24"/>
        </w:rPr>
        <w:tab/>
      </w:r>
      <w:r>
        <w:rPr>
          <w:szCs w:val="24"/>
        </w:rPr>
        <w:t>you charges for service that you received in 2014?</w:t>
      </w:r>
    </w:p>
    <w:p w:rsidR="00115478" w:rsidRDefault="00115478" w:rsidP="00CC54C7">
      <w:pPr>
        <w:pStyle w:val="BodyText"/>
        <w:tabs>
          <w:tab w:val="clear" w:pos="-1440"/>
          <w:tab w:val="clear" w:pos="-720"/>
          <w:tab w:val="clear" w:pos="0"/>
          <w:tab w:val="clear" w:pos="720"/>
          <w:tab w:val="clear" w:pos="1440"/>
          <w:tab w:val="left" w:pos="2520"/>
        </w:tabs>
        <w:spacing w:line="240" w:lineRule="auto"/>
        <w:ind w:left="1440" w:right="1080"/>
        <w:jc w:val="left"/>
        <w:rPr>
          <w:szCs w:val="24"/>
        </w:rPr>
      </w:pPr>
    </w:p>
    <w:p w:rsidR="00115478" w:rsidRDefault="00F16448" w:rsidP="00CC54C7">
      <w:pPr>
        <w:pStyle w:val="BodyText"/>
        <w:tabs>
          <w:tab w:val="clear" w:pos="-1440"/>
          <w:tab w:val="clear" w:pos="-720"/>
          <w:tab w:val="clear" w:pos="0"/>
          <w:tab w:val="clear" w:pos="720"/>
          <w:tab w:val="clear" w:pos="1440"/>
          <w:tab w:val="left" w:pos="2520"/>
        </w:tabs>
        <w:spacing w:line="240" w:lineRule="auto"/>
        <w:ind w:left="1440" w:right="1080"/>
        <w:jc w:val="left"/>
        <w:rPr>
          <w:szCs w:val="24"/>
        </w:rPr>
      </w:pPr>
      <w:r>
        <w:rPr>
          <w:szCs w:val="24"/>
        </w:rPr>
        <w:t>Witness:</w:t>
      </w:r>
      <w:r w:rsidR="00115478">
        <w:rPr>
          <w:szCs w:val="24"/>
        </w:rPr>
        <w:tab/>
        <w:t xml:space="preserve">No, </w:t>
      </w:r>
      <w:proofErr w:type="gramStart"/>
      <w:r w:rsidR="00115478">
        <w:rPr>
          <w:szCs w:val="24"/>
        </w:rPr>
        <w:t>Your</w:t>
      </w:r>
      <w:proofErr w:type="gramEnd"/>
      <w:r w:rsidR="00115478">
        <w:rPr>
          <w:szCs w:val="24"/>
        </w:rPr>
        <w:t xml:space="preserve"> Honor.  It’s a broader issue than that.  It has to </w:t>
      </w:r>
      <w:r w:rsidR="00F263CF">
        <w:rPr>
          <w:szCs w:val="24"/>
        </w:rPr>
        <w:tab/>
      </w:r>
      <w:r w:rsidR="00115478">
        <w:rPr>
          <w:szCs w:val="24"/>
        </w:rPr>
        <w:t>do with a million p</w:t>
      </w:r>
      <w:r w:rsidR="00F263CF">
        <w:rPr>
          <w:szCs w:val="24"/>
        </w:rPr>
        <w:t>eo</w:t>
      </w:r>
      <w:r w:rsidR="00115478">
        <w:rPr>
          <w:szCs w:val="24"/>
        </w:rPr>
        <w:t>ple that w</w:t>
      </w:r>
      <w:r w:rsidR="00F263CF">
        <w:rPr>
          <w:szCs w:val="24"/>
        </w:rPr>
        <w:t>e</w:t>
      </w:r>
      <w:r w:rsidR="00115478">
        <w:rPr>
          <w:szCs w:val="24"/>
        </w:rPr>
        <w:t xml:space="preserve">re ripped off.  It isn’t a </w:t>
      </w:r>
      <w:r w:rsidR="00F263CF">
        <w:rPr>
          <w:szCs w:val="24"/>
        </w:rPr>
        <w:tab/>
      </w:r>
      <w:r w:rsidR="00115478">
        <w:rPr>
          <w:szCs w:val="24"/>
        </w:rPr>
        <w:t>matter of dollars and cents, in my mind.</w:t>
      </w:r>
    </w:p>
    <w:p w:rsidR="00115478" w:rsidRDefault="00115478" w:rsidP="00CC54C7">
      <w:pPr>
        <w:pStyle w:val="BodyText"/>
        <w:tabs>
          <w:tab w:val="clear" w:pos="-1440"/>
          <w:tab w:val="clear" w:pos="-720"/>
          <w:tab w:val="clear" w:pos="0"/>
          <w:tab w:val="clear" w:pos="720"/>
          <w:tab w:val="clear" w:pos="1440"/>
          <w:tab w:val="left" w:pos="2520"/>
        </w:tabs>
        <w:spacing w:line="240" w:lineRule="auto"/>
        <w:ind w:left="1440" w:right="1080"/>
        <w:jc w:val="left"/>
        <w:rPr>
          <w:szCs w:val="24"/>
        </w:rPr>
      </w:pPr>
    </w:p>
    <w:p w:rsidR="00115478" w:rsidRDefault="00115478" w:rsidP="00CC54C7">
      <w:pPr>
        <w:pStyle w:val="BodyText"/>
        <w:tabs>
          <w:tab w:val="clear" w:pos="-1440"/>
          <w:tab w:val="clear" w:pos="-720"/>
          <w:tab w:val="clear" w:pos="0"/>
          <w:tab w:val="clear" w:pos="720"/>
          <w:tab w:val="clear" w:pos="1440"/>
          <w:tab w:val="left" w:pos="2520"/>
        </w:tabs>
        <w:spacing w:line="240" w:lineRule="auto"/>
        <w:ind w:left="1440" w:right="1080"/>
        <w:jc w:val="left"/>
        <w:rPr>
          <w:szCs w:val="24"/>
        </w:rPr>
      </w:pPr>
      <w:r>
        <w:rPr>
          <w:szCs w:val="24"/>
        </w:rPr>
        <w:t>Judge:</w:t>
      </w:r>
      <w:r>
        <w:rPr>
          <w:szCs w:val="24"/>
        </w:rPr>
        <w:tab/>
        <w:t xml:space="preserve">So I understand your testimony correctly, you’re asking the </w:t>
      </w:r>
      <w:r w:rsidR="00F263CF">
        <w:rPr>
          <w:szCs w:val="24"/>
        </w:rPr>
        <w:tab/>
      </w:r>
      <w:r>
        <w:rPr>
          <w:szCs w:val="24"/>
        </w:rPr>
        <w:t xml:space="preserve">Commission to refund other customers who may have </w:t>
      </w:r>
      <w:r w:rsidR="00F263CF">
        <w:rPr>
          <w:szCs w:val="24"/>
        </w:rPr>
        <w:tab/>
      </w:r>
      <w:r>
        <w:rPr>
          <w:szCs w:val="24"/>
        </w:rPr>
        <w:t xml:space="preserve">received what you consider to be excessive utility charges </w:t>
      </w:r>
      <w:r w:rsidR="00F263CF">
        <w:rPr>
          <w:szCs w:val="24"/>
        </w:rPr>
        <w:tab/>
      </w:r>
      <w:r>
        <w:rPr>
          <w:szCs w:val="24"/>
        </w:rPr>
        <w:t>billed by IDT</w:t>
      </w:r>
      <w:r w:rsidR="00847C43">
        <w:rPr>
          <w:szCs w:val="24"/>
        </w:rPr>
        <w:t>?  I</w:t>
      </w:r>
      <w:r>
        <w:rPr>
          <w:szCs w:val="24"/>
        </w:rPr>
        <w:t>s that your position?</w:t>
      </w:r>
    </w:p>
    <w:p w:rsidR="00115478" w:rsidRDefault="00115478" w:rsidP="00CC54C7">
      <w:pPr>
        <w:pStyle w:val="BodyText"/>
        <w:tabs>
          <w:tab w:val="clear" w:pos="-1440"/>
          <w:tab w:val="clear" w:pos="-720"/>
          <w:tab w:val="clear" w:pos="0"/>
          <w:tab w:val="clear" w:pos="720"/>
          <w:tab w:val="clear" w:pos="1440"/>
          <w:tab w:val="left" w:pos="2520"/>
        </w:tabs>
        <w:spacing w:line="240" w:lineRule="auto"/>
        <w:ind w:left="1440" w:right="1080"/>
        <w:jc w:val="left"/>
        <w:rPr>
          <w:szCs w:val="24"/>
        </w:rPr>
      </w:pPr>
    </w:p>
    <w:p w:rsidR="00F263CF" w:rsidRDefault="00F16448" w:rsidP="00CC54C7">
      <w:pPr>
        <w:pStyle w:val="BodyText"/>
        <w:tabs>
          <w:tab w:val="clear" w:pos="-1440"/>
          <w:tab w:val="clear" w:pos="-720"/>
          <w:tab w:val="clear" w:pos="0"/>
          <w:tab w:val="clear" w:pos="720"/>
          <w:tab w:val="clear" w:pos="1440"/>
          <w:tab w:val="left" w:pos="2520"/>
        </w:tabs>
        <w:spacing w:line="240" w:lineRule="auto"/>
        <w:ind w:left="1440" w:right="1080"/>
        <w:jc w:val="left"/>
        <w:rPr>
          <w:szCs w:val="24"/>
        </w:rPr>
      </w:pPr>
      <w:r>
        <w:rPr>
          <w:szCs w:val="24"/>
        </w:rPr>
        <w:t>Witness:</w:t>
      </w:r>
      <w:r w:rsidR="00115478">
        <w:rPr>
          <w:szCs w:val="24"/>
        </w:rPr>
        <w:tab/>
        <w:t xml:space="preserve">Yes, </w:t>
      </w:r>
      <w:proofErr w:type="gramStart"/>
      <w:r w:rsidR="00115478">
        <w:rPr>
          <w:szCs w:val="24"/>
        </w:rPr>
        <w:t>Your</w:t>
      </w:r>
      <w:proofErr w:type="gramEnd"/>
      <w:r w:rsidR="00115478">
        <w:rPr>
          <w:szCs w:val="24"/>
        </w:rPr>
        <w:t xml:space="preserve"> Honor.  </w:t>
      </w:r>
      <w:proofErr w:type="gramStart"/>
      <w:r w:rsidR="00F263CF">
        <w:rPr>
          <w:szCs w:val="24"/>
        </w:rPr>
        <w:t>All</w:t>
      </w:r>
      <w:r w:rsidR="00115478">
        <w:rPr>
          <w:szCs w:val="24"/>
        </w:rPr>
        <w:t xml:space="preserve"> these people w</w:t>
      </w:r>
      <w:r w:rsidR="00F263CF">
        <w:rPr>
          <w:szCs w:val="24"/>
        </w:rPr>
        <w:t>h</w:t>
      </w:r>
      <w:r w:rsidR="00115478">
        <w:rPr>
          <w:szCs w:val="24"/>
        </w:rPr>
        <w:t>o don’t have the</w:t>
      </w:r>
      <w:r w:rsidR="00F263CF">
        <w:rPr>
          <w:szCs w:val="24"/>
        </w:rPr>
        <w:t xml:space="preserve"> </w:t>
      </w:r>
      <w:r w:rsidR="00F263CF">
        <w:rPr>
          <w:szCs w:val="24"/>
        </w:rPr>
        <w:tab/>
      </w:r>
      <w:r w:rsidR="00F263CF">
        <w:rPr>
          <w:szCs w:val="24"/>
        </w:rPr>
        <w:tab/>
      </w:r>
      <w:r w:rsidR="00115478">
        <w:rPr>
          <w:szCs w:val="24"/>
        </w:rPr>
        <w:t>benefit of a son</w:t>
      </w:r>
      <w:r w:rsidR="00F263CF">
        <w:rPr>
          <w:szCs w:val="24"/>
        </w:rPr>
        <w:t xml:space="preserve"> </w:t>
      </w:r>
      <w:r w:rsidR="00115478">
        <w:rPr>
          <w:szCs w:val="24"/>
        </w:rPr>
        <w:t>for an attorney.</w:t>
      </w:r>
      <w:proofErr w:type="gramEnd"/>
    </w:p>
    <w:p w:rsidR="00F263CF" w:rsidRDefault="00115478" w:rsidP="00CC54C7">
      <w:pPr>
        <w:pStyle w:val="BodyText"/>
        <w:tabs>
          <w:tab w:val="clear" w:pos="-1440"/>
          <w:tab w:val="clear" w:pos="-720"/>
          <w:tab w:val="clear" w:pos="0"/>
          <w:tab w:val="clear" w:pos="720"/>
          <w:tab w:val="clear" w:pos="1440"/>
          <w:tab w:val="left" w:pos="2520"/>
        </w:tabs>
        <w:spacing w:line="240" w:lineRule="auto"/>
        <w:ind w:left="1440" w:right="1080"/>
        <w:jc w:val="left"/>
        <w:rPr>
          <w:szCs w:val="24"/>
        </w:rPr>
      </w:pPr>
      <w:r>
        <w:rPr>
          <w:szCs w:val="24"/>
        </w:rPr>
        <w:t xml:space="preserve"> </w:t>
      </w:r>
      <w:r>
        <w:rPr>
          <w:szCs w:val="24"/>
        </w:rPr>
        <w:tab/>
      </w:r>
    </w:p>
    <w:p w:rsidR="00266250" w:rsidRDefault="00F263CF" w:rsidP="00E05A49">
      <w:pPr>
        <w:pStyle w:val="BodyText"/>
        <w:tabs>
          <w:tab w:val="clear" w:pos="-1440"/>
          <w:tab w:val="clear" w:pos="-720"/>
          <w:tab w:val="clear" w:pos="0"/>
          <w:tab w:val="clear" w:pos="720"/>
          <w:tab w:val="clear" w:pos="1440"/>
          <w:tab w:val="left" w:pos="2520"/>
        </w:tabs>
        <w:spacing w:line="240" w:lineRule="auto"/>
        <w:ind w:left="1440" w:right="1080" w:hanging="1440"/>
        <w:jc w:val="left"/>
        <w:rPr>
          <w:szCs w:val="24"/>
        </w:rPr>
      </w:pPr>
      <w:r>
        <w:rPr>
          <w:szCs w:val="24"/>
        </w:rPr>
        <w:t>Tr. 34-35.</w:t>
      </w:r>
      <w:r w:rsidR="006E1D7F">
        <w:rPr>
          <w:szCs w:val="24"/>
        </w:rPr>
        <w:t xml:space="preserve">   </w:t>
      </w:r>
      <w:r w:rsidR="00266250">
        <w:rPr>
          <w:szCs w:val="24"/>
        </w:rPr>
        <w:tab/>
      </w:r>
      <w:r w:rsidR="00266250">
        <w:rPr>
          <w:szCs w:val="24"/>
        </w:rPr>
        <w:tab/>
      </w:r>
    </w:p>
    <w:p w:rsidR="00FB7366" w:rsidRDefault="006E1D7F" w:rsidP="00CC54C7">
      <w:pPr>
        <w:pStyle w:val="BodyText"/>
        <w:spacing w:line="360" w:lineRule="auto"/>
        <w:jc w:val="left"/>
        <w:rPr>
          <w:szCs w:val="24"/>
        </w:rPr>
      </w:pPr>
      <w:r>
        <w:rPr>
          <w:szCs w:val="24"/>
        </w:rPr>
        <w:tab/>
      </w:r>
      <w:r>
        <w:rPr>
          <w:szCs w:val="24"/>
        </w:rPr>
        <w:tab/>
      </w:r>
    </w:p>
    <w:p w:rsidR="00A27A60" w:rsidRDefault="00FB7366" w:rsidP="00CC54C7">
      <w:pPr>
        <w:pStyle w:val="BodyText"/>
        <w:spacing w:line="360" w:lineRule="auto"/>
        <w:jc w:val="left"/>
        <w:rPr>
          <w:szCs w:val="24"/>
        </w:rPr>
      </w:pPr>
      <w:r>
        <w:rPr>
          <w:szCs w:val="24"/>
        </w:rPr>
        <w:tab/>
      </w:r>
      <w:r>
        <w:rPr>
          <w:szCs w:val="24"/>
        </w:rPr>
        <w:tab/>
      </w:r>
      <w:r w:rsidR="006E1D7F">
        <w:rPr>
          <w:szCs w:val="24"/>
        </w:rPr>
        <w:t>Considering the above, Mr. W</w:t>
      </w:r>
      <w:r w:rsidR="00F16448">
        <w:rPr>
          <w:szCs w:val="24"/>
        </w:rPr>
        <w:t>o</w:t>
      </w:r>
      <w:r w:rsidR="006E1D7F">
        <w:rPr>
          <w:szCs w:val="24"/>
        </w:rPr>
        <w:t xml:space="preserve">itko’s testimony must </w:t>
      </w:r>
      <w:r w:rsidR="001630E9">
        <w:rPr>
          <w:szCs w:val="24"/>
        </w:rPr>
        <w:t xml:space="preserve">be </w:t>
      </w:r>
      <w:r w:rsidR="006E1D7F">
        <w:rPr>
          <w:szCs w:val="24"/>
        </w:rPr>
        <w:t>deemed as a withdrawal of his claim for a</w:t>
      </w:r>
      <w:r w:rsidR="00333233">
        <w:rPr>
          <w:szCs w:val="24"/>
        </w:rPr>
        <w:t xml:space="preserve"> refund, as the claim has been </w:t>
      </w:r>
      <w:r w:rsidR="006E1D7F">
        <w:rPr>
          <w:szCs w:val="24"/>
        </w:rPr>
        <w:t>satisfied by</w:t>
      </w:r>
      <w:r w:rsidR="00A27A60">
        <w:rPr>
          <w:szCs w:val="24"/>
        </w:rPr>
        <w:t xml:space="preserve"> IDT.</w:t>
      </w:r>
    </w:p>
    <w:p w:rsidR="00A27A60" w:rsidRDefault="00A27A60" w:rsidP="00CC54C7">
      <w:pPr>
        <w:pStyle w:val="BodyText"/>
        <w:spacing w:line="360" w:lineRule="auto"/>
        <w:jc w:val="left"/>
        <w:rPr>
          <w:szCs w:val="24"/>
        </w:rPr>
      </w:pPr>
    </w:p>
    <w:p w:rsidR="00333233" w:rsidRDefault="00A27A60" w:rsidP="00CC54C7">
      <w:pPr>
        <w:pStyle w:val="BodyText"/>
        <w:spacing w:line="360" w:lineRule="auto"/>
        <w:jc w:val="left"/>
        <w:rPr>
          <w:szCs w:val="24"/>
        </w:rPr>
      </w:pPr>
      <w:r>
        <w:rPr>
          <w:szCs w:val="24"/>
        </w:rPr>
        <w:tab/>
      </w:r>
      <w:r>
        <w:rPr>
          <w:szCs w:val="24"/>
        </w:rPr>
        <w:tab/>
        <w:t xml:space="preserve">Mr. </w:t>
      </w:r>
      <w:proofErr w:type="spellStart"/>
      <w:r w:rsidR="00BE71EB">
        <w:rPr>
          <w:szCs w:val="24"/>
        </w:rPr>
        <w:t>Wo</w:t>
      </w:r>
      <w:r w:rsidR="00F16448">
        <w:rPr>
          <w:szCs w:val="24"/>
        </w:rPr>
        <w:t>i</w:t>
      </w:r>
      <w:r w:rsidR="00BE71EB">
        <w:rPr>
          <w:szCs w:val="24"/>
        </w:rPr>
        <w:t>tko</w:t>
      </w:r>
      <w:proofErr w:type="spellEnd"/>
      <w:r w:rsidR="00BE71EB">
        <w:rPr>
          <w:szCs w:val="24"/>
        </w:rPr>
        <w:t xml:space="preserve"> has also rende</w:t>
      </w:r>
      <w:r w:rsidR="00024EBD">
        <w:rPr>
          <w:szCs w:val="24"/>
        </w:rPr>
        <w:t>r</w:t>
      </w:r>
      <w:r w:rsidR="00333233">
        <w:rPr>
          <w:szCs w:val="24"/>
        </w:rPr>
        <w:t>ed</w:t>
      </w:r>
      <w:r w:rsidR="00BE71EB">
        <w:rPr>
          <w:szCs w:val="24"/>
        </w:rPr>
        <w:t xml:space="preserve"> moot his request </w:t>
      </w:r>
      <w:r w:rsidR="00F16448">
        <w:rPr>
          <w:szCs w:val="24"/>
        </w:rPr>
        <w:t xml:space="preserve">for the Commission </w:t>
      </w:r>
      <w:r w:rsidR="00BE71EB">
        <w:rPr>
          <w:szCs w:val="24"/>
        </w:rPr>
        <w:t>to void his contract with IDT.  Again notwithstanding that fact that the Commission lack</w:t>
      </w:r>
      <w:r w:rsidR="00333233">
        <w:rPr>
          <w:szCs w:val="24"/>
        </w:rPr>
        <w:t>s</w:t>
      </w:r>
      <w:r w:rsidR="00BE71EB">
        <w:rPr>
          <w:szCs w:val="24"/>
        </w:rPr>
        <w:t xml:space="preserve"> jurisdiction over </w:t>
      </w:r>
      <w:r w:rsidR="008028FD">
        <w:rPr>
          <w:szCs w:val="24"/>
        </w:rPr>
        <w:t xml:space="preserve">a </w:t>
      </w:r>
      <w:r w:rsidR="001630E9">
        <w:rPr>
          <w:szCs w:val="24"/>
        </w:rPr>
        <w:lastRenderedPageBreak/>
        <w:t xml:space="preserve">private contractual dispute </w:t>
      </w:r>
      <w:r w:rsidR="00BE71EB" w:rsidRPr="000666CC">
        <w:rPr>
          <w:szCs w:val="24"/>
        </w:rPr>
        <w:t>between an EGS and a customer</w:t>
      </w:r>
      <w:r w:rsidR="00333233">
        <w:rPr>
          <w:szCs w:val="24"/>
        </w:rPr>
        <w:t>, Mr. Wo</w:t>
      </w:r>
      <w:r w:rsidR="00F16448">
        <w:rPr>
          <w:szCs w:val="24"/>
        </w:rPr>
        <w:t>i</w:t>
      </w:r>
      <w:r w:rsidR="00333233">
        <w:rPr>
          <w:szCs w:val="24"/>
        </w:rPr>
        <w:t>tko withdrew this request by testifying as follows:</w:t>
      </w:r>
    </w:p>
    <w:p w:rsidR="00333233" w:rsidRDefault="00333233" w:rsidP="00CC54C7">
      <w:pPr>
        <w:pStyle w:val="BodyText"/>
        <w:tabs>
          <w:tab w:val="clear" w:pos="0"/>
        </w:tabs>
        <w:spacing w:line="240" w:lineRule="auto"/>
        <w:ind w:left="1440" w:right="1080"/>
        <w:jc w:val="left"/>
        <w:rPr>
          <w:szCs w:val="24"/>
        </w:rPr>
      </w:pPr>
    </w:p>
    <w:p w:rsidR="00BB0854" w:rsidRDefault="00333233" w:rsidP="00CC54C7">
      <w:pPr>
        <w:pStyle w:val="BodyText"/>
        <w:tabs>
          <w:tab w:val="clear" w:pos="0"/>
          <w:tab w:val="left" w:pos="2520"/>
        </w:tabs>
        <w:spacing w:line="240" w:lineRule="auto"/>
        <w:ind w:left="1440" w:right="1080"/>
        <w:jc w:val="left"/>
        <w:rPr>
          <w:szCs w:val="24"/>
        </w:rPr>
      </w:pPr>
      <w:r>
        <w:rPr>
          <w:szCs w:val="24"/>
        </w:rPr>
        <w:t>Judge:</w:t>
      </w:r>
      <w:r>
        <w:rPr>
          <w:szCs w:val="24"/>
        </w:rPr>
        <w:tab/>
        <w:t>Now the next item</w:t>
      </w:r>
      <w:r w:rsidR="00F16448">
        <w:rPr>
          <w:szCs w:val="24"/>
        </w:rPr>
        <w:t>,</w:t>
      </w:r>
      <w:r>
        <w:rPr>
          <w:szCs w:val="24"/>
        </w:rPr>
        <w:t xml:space="preserve"> you have </w:t>
      </w:r>
      <w:r w:rsidR="008028FD">
        <w:rPr>
          <w:szCs w:val="24"/>
        </w:rPr>
        <w:t>is</w:t>
      </w:r>
      <w:r>
        <w:rPr>
          <w:szCs w:val="24"/>
        </w:rPr>
        <w:t xml:space="preserve"> number three, vo</w:t>
      </w:r>
      <w:r w:rsidR="00024EBD">
        <w:rPr>
          <w:szCs w:val="24"/>
        </w:rPr>
        <w:t>i</w:t>
      </w:r>
      <w:r>
        <w:rPr>
          <w:szCs w:val="24"/>
        </w:rPr>
        <w:t xml:space="preserve">d the </w:t>
      </w:r>
    </w:p>
    <w:p w:rsidR="00333233" w:rsidRDefault="00024EBD" w:rsidP="00CC54C7">
      <w:pPr>
        <w:pStyle w:val="BodyText"/>
        <w:tabs>
          <w:tab w:val="clear" w:pos="0"/>
          <w:tab w:val="left" w:pos="2520"/>
        </w:tabs>
        <w:spacing w:line="240" w:lineRule="auto"/>
        <w:ind w:left="1440" w:right="1080"/>
        <w:jc w:val="left"/>
        <w:rPr>
          <w:szCs w:val="24"/>
        </w:rPr>
      </w:pPr>
      <w:r>
        <w:rPr>
          <w:szCs w:val="24"/>
        </w:rPr>
        <w:tab/>
      </w:r>
      <w:proofErr w:type="gramStart"/>
      <w:r w:rsidR="00333233">
        <w:rPr>
          <w:szCs w:val="24"/>
        </w:rPr>
        <w:t>contract</w:t>
      </w:r>
      <w:proofErr w:type="gramEnd"/>
      <w:r w:rsidR="00333233">
        <w:rPr>
          <w:szCs w:val="24"/>
        </w:rPr>
        <w:t xml:space="preserve"> between myself and IDT Energy, if appropriate, or </w:t>
      </w:r>
      <w:r>
        <w:rPr>
          <w:szCs w:val="24"/>
        </w:rPr>
        <w:tab/>
      </w:r>
      <w:r w:rsidR="00F16448">
        <w:rPr>
          <w:szCs w:val="24"/>
        </w:rPr>
        <w:t>void</w:t>
      </w:r>
      <w:r w:rsidR="00333233">
        <w:rPr>
          <w:szCs w:val="24"/>
        </w:rPr>
        <w:t xml:space="preserve"> the contract betwee</w:t>
      </w:r>
      <w:r>
        <w:rPr>
          <w:szCs w:val="24"/>
        </w:rPr>
        <w:t>n</w:t>
      </w:r>
      <w:r w:rsidR="00333233">
        <w:rPr>
          <w:szCs w:val="24"/>
        </w:rPr>
        <w:t xml:space="preserve"> IDT Energy and mysel</w:t>
      </w:r>
      <w:r>
        <w:rPr>
          <w:szCs w:val="24"/>
        </w:rPr>
        <w:t>f</w:t>
      </w:r>
      <w:r w:rsidR="00333233">
        <w:rPr>
          <w:szCs w:val="24"/>
        </w:rPr>
        <w:t xml:space="preserve"> dating </w:t>
      </w:r>
      <w:r>
        <w:rPr>
          <w:szCs w:val="24"/>
        </w:rPr>
        <w:tab/>
      </w:r>
      <w:r w:rsidR="00333233">
        <w:rPr>
          <w:szCs w:val="24"/>
        </w:rPr>
        <w:t xml:space="preserve">back to the time of original contract.  Can you tell me what </w:t>
      </w:r>
      <w:r>
        <w:rPr>
          <w:szCs w:val="24"/>
        </w:rPr>
        <w:tab/>
      </w:r>
      <w:r w:rsidR="00333233">
        <w:rPr>
          <w:szCs w:val="24"/>
        </w:rPr>
        <w:t>contra</w:t>
      </w:r>
      <w:r>
        <w:rPr>
          <w:szCs w:val="24"/>
        </w:rPr>
        <w:t>c</w:t>
      </w:r>
      <w:r w:rsidR="00333233">
        <w:rPr>
          <w:szCs w:val="24"/>
        </w:rPr>
        <w:t>t you’re referring to in that number three item?</w:t>
      </w:r>
    </w:p>
    <w:p w:rsidR="00333233" w:rsidRDefault="00333233" w:rsidP="00CC54C7">
      <w:pPr>
        <w:pStyle w:val="BodyText"/>
        <w:tabs>
          <w:tab w:val="clear" w:pos="0"/>
          <w:tab w:val="left" w:pos="2520"/>
        </w:tabs>
        <w:spacing w:line="240" w:lineRule="auto"/>
        <w:ind w:left="1440" w:right="1080"/>
        <w:jc w:val="left"/>
        <w:rPr>
          <w:szCs w:val="24"/>
        </w:rPr>
      </w:pPr>
    </w:p>
    <w:p w:rsidR="00333233" w:rsidRDefault="00F16448" w:rsidP="00CC54C7">
      <w:pPr>
        <w:pStyle w:val="BodyText"/>
        <w:tabs>
          <w:tab w:val="clear" w:pos="0"/>
          <w:tab w:val="left" w:pos="2520"/>
        </w:tabs>
        <w:spacing w:line="240" w:lineRule="auto"/>
        <w:ind w:left="1440" w:right="1080"/>
        <w:jc w:val="left"/>
        <w:rPr>
          <w:szCs w:val="24"/>
        </w:rPr>
      </w:pPr>
      <w:r>
        <w:rPr>
          <w:szCs w:val="24"/>
        </w:rPr>
        <w:t>Witness:</w:t>
      </w:r>
      <w:r w:rsidR="00333233">
        <w:rPr>
          <w:szCs w:val="24"/>
        </w:rPr>
        <w:tab/>
        <w:t xml:space="preserve">I have no idea.  That word contract, I assumed that on the </w:t>
      </w:r>
      <w:r w:rsidR="00024EBD">
        <w:rPr>
          <w:szCs w:val="24"/>
        </w:rPr>
        <w:tab/>
      </w:r>
      <w:r w:rsidR="00333233">
        <w:rPr>
          <w:szCs w:val="24"/>
        </w:rPr>
        <w:t>phone, it was</w:t>
      </w:r>
      <w:r w:rsidR="00024EBD">
        <w:rPr>
          <w:szCs w:val="24"/>
        </w:rPr>
        <w:t>,</w:t>
      </w:r>
      <w:r w:rsidR="00333233">
        <w:rPr>
          <w:szCs w:val="24"/>
        </w:rPr>
        <w:t xml:space="preserve"> you know</w:t>
      </w:r>
      <w:r w:rsidR="00024EBD">
        <w:rPr>
          <w:szCs w:val="24"/>
        </w:rPr>
        <w:t>,</w:t>
      </w:r>
      <w:r w:rsidR="00333233">
        <w:rPr>
          <w:szCs w:val="24"/>
        </w:rPr>
        <w:t xml:space="preserve"> some kind of a verb</w:t>
      </w:r>
      <w:r w:rsidR="00024EBD">
        <w:rPr>
          <w:szCs w:val="24"/>
        </w:rPr>
        <w:t>a</w:t>
      </w:r>
      <w:r w:rsidR="00333233">
        <w:rPr>
          <w:szCs w:val="24"/>
        </w:rPr>
        <w:t xml:space="preserve">l contract.  </w:t>
      </w:r>
      <w:r w:rsidR="00024EBD">
        <w:rPr>
          <w:szCs w:val="24"/>
        </w:rPr>
        <w:tab/>
      </w:r>
      <w:r w:rsidR="00333233">
        <w:rPr>
          <w:szCs w:val="24"/>
        </w:rPr>
        <w:t>But that’s been satisfied, because I</w:t>
      </w:r>
      <w:r w:rsidR="00024EBD">
        <w:rPr>
          <w:szCs w:val="24"/>
        </w:rPr>
        <w:t>’</w:t>
      </w:r>
      <w:r w:rsidR="00333233">
        <w:rPr>
          <w:szCs w:val="24"/>
        </w:rPr>
        <w:t>m back to PP&amp;L.</w:t>
      </w:r>
    </w:p>
    <w:p w:rsidR="00F16448" w:rsidRDefault="00F16448" w:rsidP="00CC54C7">
      <w:pPr>
        <w:pStyle w:val="BodyText"/>
        <w:tabs>
          <w:tab w:val="clear" w:pos="0"/>
          <w:tab w:val="left" w:pos="2520"/>
        </w:tabs>
        <w:spacing w:line="240" w:lineRule="auto"/>
        <w:ind w:left="1440" w:right="1080"/>
        <w:jc w:val="left"/>
        <w:rPr>
          <w:szCs w:val="24"/>
        </w:rPr>
      </w:pPr>
    </w:p>
    <w:p w:rsidR="00024EBD" w:rsidRDefault="00024EBD" w:rsidP="00CC54C7">
      <w:pPr>
        <w:pStyle w:val="BodyText"/>
        <w:tabs>
          <w:tab w:val="clear" w:pos="0"/>
          <w:tab w:val="left" w:pos="2520"/>
        </w:tabs>
        <w:spacing w:line="240" w:lineRule="auto"/>
        <w:ind w:left="1440" w:right="1080"/>
        <w:jc w:val="left"/>
        <w:rPr>
          <w:szCs w:val="24"/>
        </w:rPr>
      </w:pPr>
      <w:r>
        <w:rPr>
          <w:szCs w:val="24"/>
        </w:rPr>
        <w:tab/>
        <w:t>. . . .</w:t>
      </w:r>
    </w:p>
    <w:p w:rsidR="00024EBD" w:rsidRDefault="00024EBD" w:rsidP="00CC54C7">
      <w:pPr>
        <w:pStyle w:val="BodyText"/>
        <w:tabs>
          <w:tab w:val="clear" w:pos="0"/>
          <w:tab w:val="left" w:pos="2520"/>
        </w:tabs>
        <w:spacing w:line="240" w:lineRule="auto"/>
        <w:ind w:left="1440" w:right="1080"/>
        <w:jc w:val="left"/>
        <w:rPr>
          <w:szCs w:val="24"/>
        </w:rPr>
      </w:pPr>
    </w:p>
    <w:p w:rsidR="00024EBD" w:rsidRDefault="00024EBD" w:rsidP="00CC54C7">
      <w:pPr>
        <w:pStyle w:val="BodyText"/>
        <w:tabs>
          <w:tab w:val="clear" w:pos="0"/>
          <w:tab w:val="left" w:pos="2520"/>
        </w:tabs>
        <w:spacing w:line="240" w:lineRule="auto"/>
        <w:ind w:left="1440" w:right="1080"/>
        <w:jc w:val="left"/>
        <w:rPr>
          <w:szCs w:val="24"/>
        </w:rPr>
      </w:pPr>
      <w:r>
        <w:rPr>
          <w:szCs w:val="24"/>
        </w:rPr>
        <w:t>Judge:</w:t>
      </w:r>
      <w:r>
        <w:rPr>
          <w:szCs w:val="24"/>
        </w:rPr>
        <w:tab/>
        <w:t xml:space="preserve">So you’re no longer asking for the Commission to order </w:t>
      </w:r>
      <w:r>
        <w:rPr>
          <w:szCs w:val="24"/>
        </w:rPr>
        <w:tab/>
        <w:t>number three on you</w:t>
      </w:r>
      <w:r w:rsidR="00C84656">
        <w:rPr>
          <w:szCs w:val="24"/>
        </w:rPr>
        <w:t>r</w:t>
      </w:r>
      <w:r>
        <w:rPr>
          <w:szCs w:val="24"/>
        </w:rPr>
        <w:t xml:space="preserve"> requested relief.  That’s voided?</w:t>
      </w:r>
    </w:p>
    <w:p w:rsidR="00024EBD" w:rsidRDefault="00024EBD" w:rsidP="00CC54C7">
      <w:pPr>
        <w:pStyle w:val="BodyText"/>
        <w:tabs>
          <w:tab w:val="clear" w:pos="0"/>
          <w:tab w:val="left" w:pos="2520"/>
        </w:tabs>
        <w:spacing w:line="240" w:lineRule="auto"/>
        <w:ind w:left="1440" w:right="1080"/>
        <w:jc w:val="left"/>
        <w:rPr>
          <w:szCs w:val="24"/>
        </w:rPr>
      </w:pPr>
    </w:p>
    <w:p w:rsidR="00024EBD" w:rsidRDefault="002C2930" w:rsidP="00CC54C7">
      <w:pPr>
        <w:pStyle w:val="BodyText"/>
        <w:tabs>
          <w:tab w:val="clear" w:pos="0"/>
          <w:tab w:val="left" w:pos="2520"/>
        </w:tabs>
        <w:spacing w:line="240" w:lineRule="auto"/>
        <w:ind w:left="1440" w:right="1080"/>
        <w:jc w:val="left"/>
        <w:rPr>
          <w:szCs w:val="24"/>
        </w:rPr>
      </w:pPr>
      <w:r>
        <w:rPr>
          <w:szCs w:val="24"/>
        </w:rPr>
        <w:t>Witness:</w:t>
      </w:r>
      <w:r w:rsidR="00024EBD">
        <w:rPr>
          <w:szCs w:val="24"/>
        </w:rPr>
        <w:tab/>
        <w:t xml:space="preserve">No, </w:t>
      </w:r>
      <w:proofErr w:type="gramStart"/>
      <w:r w:rsidR="00024EBD">
        <w:rPr>
          <w:szCs w:val="24"/>
        </w:rPr>
        <w:t>Your</w:t>
      </w:r>
      <w:proofErr w:type="gramEnd"/>
      <w:r w:rsidR="00024EBD">
        <w:rPr>
          <w:szCs w:val="24"/>
        </w:rPr>
        <w:t xml:space="preserve"> Honor, that’s been taken care of.</w:t>
      </w:r>
    </w:p>
    <w:p w:rsidR="00024EBD" w:rsidRDefault="00024EBD" w:rsidP="00CC54C7">
      <w:pPr>
        <w:pStyle w:val="BodyText"/>
        <w:tabs>
          <w:tab w:val="left" w:pos="2520"/>
        </w:tabs>
        <w:spacing w:line="360" w:lineRule="auto"/>
        <w:jc w:val="left"/>
        <w:rPr>
          <w:szCs w:val="24"/>
        </w:rPr>
      </w:pPr>
    </w:p>
    <w:p w:rsidR="00024EBD" w:rsidRDefault="00024EBD" w:rsidP="00CC54C7">
      <w:pPr>
        <w:pStyle w:val="BodyText"/>
        <w:tabs>
          <w:tab w:val="left" w:pos="2520"/>
        </w:tabs>
        <w:spacing w:line="360" w:lineRule="auto"/>
        <w:jc w:val="left"/>
        <w:rPr>
          <w:szCs w:val="24"/>
        </w:rPr>
      </w:pPr>
      <w:r>
        <w:rPr>
          <w:szCs w:val="24"/>
        </w:rPr>
        <w:t>Tr. 37-38.</w:t>
      </w:r>
    </w:p>
    <w:p w:rsidR="00333233" w:rsidRDefault="00333233" w:rsidP="00CC54C7">
      <w:pPr>
        <w:pStyle w:val="BodyText"/>
        <w:spacing w:line="360" w:lineRule="auto"/>
        <w:jc w:val="left"/>
        <w:rPr>
          <w:szCs w:val="24"/>
        </w:rPr>
      </w:pPr>
    </w:p>
    <w:p w:rsidR="00847C43" w:rsidRPr="0013304C" w:rsidRDefault="00BB0854" w:rsidP="00CC54C7">
      <w:pPr>
        <w:pStyle w:val="BodyText"/>
        <w:spacing w:line="360" w:lineRule="auto"/>
        <w:jc w:val="left"/>
        <w:rPr>
          <w:szCs w:val="24"/>
          <w:u w:val="single"/>
        </w:rPr>
      </w:pPr>
      <w:r>
        <w:rPr>
          <w:szCs w:val="24"/>
        </w:rPr>
        <w:tab/>
        <w:t>2.</w:t>
      </w:r>
      <w:r>
        <w:rPr>
          <w:szCs w:val="24"/>
        </w:rPr>
        <w:tab/>
      </w:r>
      <w:r w:rsidR="00847C43" w:rsidRPr="0013304C">
        <w:rPr>
          <w:szCs w:val="24"/>
          <w:u w:val="single"/>
        </w:rPr>
        <w:t xml:space="preserve">Disclosure and </w:t>
      </w:r>
      <w:r w:rsidR="00AF0EEE" w:rsidRPr="0013304C">
        <w:rPr>
          <w:szCs w:val="24"/>
          <w:u w:val="single"/>
        </w:rPr>
        <w:t>Customer</w:t>
      </w:r>
      <w:r w:rsidR="00847C43" w:rsidRPr="0013304C">
        <w:rPr>
          <w:szCs w:val="24"/>
          <w:u w:val="single"/>
        </w:rPr>
        <w:t xml:space="preserve"> Service Issues</w:t>
      </w:r>
    </w:p>
    <w:p w:rsidR="002E39A4" w:rsidRDefault="002E39A4" w:rsidP="00CC54C7">
      <w:pPr>
        <w:pStyle w:val="BodyText"/>
        <w:spacing w:line="360" w:lineRule="auto"/>
        <w:jc w:val="left"/>
        <w:rPr>
          <w:szCs w:val="24"/>
        </w:rPr>
      </w:pPr>
    </w:p>
    <w:p w:rsidR="00E75280" w:rsidRDefault="00BE71EB" w:rsidP="00CC54C7">
      <w:pPr>
        <w:pStyle w:val="BodyText"/>
        <w:spacing w:line="360" w:lineRule="auto"/>
        <w:jc w:val="left"/>
        <w:rPr>
          <w:szCs w:val="24"/>
        </w:rPr>
      </w:pPr>
      <w:r w:rsidRPr="000666CC">
        <w:rPr>
          <w:i/>
          <w:szCs w:val="24"/>
        </w:rPr>
        <w:t xml:space="preserve"> </w:t>
      </w:r>
      <w:r w:rsidR="002E39A4">
        <w:rPr>
          <w:szCs w:val="24"/>
        </w:rPr>
        <w:tab/>
      </w:r>
      <w:r w:rsidR="002E39A4">
        <w:rPr>
          <w:szCs w:val="24"/>
        </w:rPr>
        <w:tab/>
        <w:t xml:space="preserve">There are two issues that remain for consideration. </w:t>
      </w:r>
      <w:r w:rsidR="0013304C">
        <w:rPr>
          <w:szCs w:val="24"/>
        </w:rPr>
        <w:t xml:space="preserve"> </w:t>
      </w:r>
      <w:r w:rsidR="002E39A4">
        <w:rPr>
          <w:szCs w:val="24"/>
        </w:rPr>
        <w:t xml:space="preserve">Did IDT </w:t>
      </w:r>
      <w:r w:rsidR="00847C43">
        <w:rPr>
          <w:szCs w:val="24"/>
        </w:rPr>
        <w:t xml:space="preserve">engage in deceptive sales practices in violation of the Electric Competition Act?  Did IDT fail to provide Mr. </w:t>
      </w:r>
      <w:proofErr w:type="spellStart"/>
      <w:r w:rsidR="00847C43">
        <w:rPr>
          <w:szCs w:val="24"/>
        </w:rPr>
        <w:t>Wo</w:t>
      </w:r>
      <w:r w:rsidR="00AF0EEE">
        <w:rPr>
          <w:szCs w:val="24"/>
        </w:rPr>
        <w:t>i</w:t>
      </w:r>
      <w:r w:rsidR="00847C43">
        <w:rPr>
          <w:szCs w:val="24"/>
        </w:rPr>
        <w:t>kto</w:t>
      </w:r>
      <w:proofErr w:type="spellEnd"/>
      <w:r w:rsidR="00847C43">
        <w:rPr>
          <w:szCs w:val="24"/>
        </w:rPr>
        <w:t xml:space="preserve"> reasonable customer service in violation of </w:t>
      </w:r>
      <w:r w:rsidR="00AF0EEE">
        <w:rPr>
          <w:szCs w:val="24"/>
        </w:rPr>
        <w:t xml:space="preserve">the Commission regulations requiring </w:t>
      </w:r>
      <w:r w:rsidR="00E75280">
        <w:rPr>
          <w:szCs w:val="24"/>
        </w:rPr>
        <w:t xml:space="preserve">IDT to investigate and respond to Mr. </w:t>
      </w:r>
      <w:proofErr w:type="spellStart"/>
      <w:r w:rsidR="00E75280">
        <w:rPr>
          <w:szCs w:val="24"/>
        </w:rPr>
        <w:t>Woitko’s</w:t>
      </w:r>
      <w:proofErr w:type="spellEnd"/>
      <w:r w:rsidR="00E75280">
        <w:rPr>
          <w:szCs w:val="24"/>
        </w:rPr>
        <w:t xml:space="preserve"> billing complaint</w:t>
      </w:r>
      <w:r w:rsidR="00A63D87">
        <w:rPr>
          <w:szCs w:val="24"/>
        </w:rPr>
        <w:t>?</w:t>
      </w:r>
      <w:r w:rsidR="001630E9">
        <w:rPr>
          <w:rStyle w:val="FootnoteReference"/>
          <w:szCs w:val="24"/>
        </w:rPr>
        <w:footnoteReference w:id="10"/>
      </w:r>
      <w:r w:rsidR="002E39A4">
        <w:rPr>
          <w:szCs w:val="24"/>
        </w:rPr>
        <w:t xml:space="preserve">  Both questions must be answered in the negative.</w:t>
      </w:r>
    </w:p>
    <w:p w:rsidR="00E75280" w:rsidRDefault="00E75280" w:rsidP="00CC54C7">
      <w:pPr>
        <w:pStyle w:val="BodyText"/>
        <w:spacing w:line="360" w:lineRule="auto"/>
        <w:jc w:val="left"/>
        <w:rPr>
          <w:szCs w:val="24"/>
        </w:rPr>
      </w:pPr>
    </w:p>
    <w:p w:rsidR="00D66BAC" w:rsidRDefault="00E75280" w:rsidP="00CC54C7">
      <w:pPr>
        <w:pStyle w:val="BodyText"/>
        <w:spacing w:line="360" w:lineRule="auto"/>
        <w:jc w:val="left"/>
        <w:rPr>
          <w:szCs w:val="24"/>
        </w:rPr>
      </w:pPr>
      <w:r>
        <w:rPr>
          <w:szCs w:val="24"/>
        </w:rPr>
        <w:tab/>
      </w:r>
      <w:r>
        <w:rPr>
          <w:szCs w:val="24"/>
        </w:rPr>
        <w:tab/>
      </w:r>
      <w:r w:rsidR="00104E77">
        <w:rPr>
          <w:szCs w:val="24"/>
        </w:rPr>
        <w:t>The Electric Competition Act imposes a duty upon EGSs to conduct business in good faith</w:t>
      </w:r>
      <w:r w:rsidR="00C00C88">
        <w:rPr>
          <w:szCs w:val="24"/>
        </w:rPr>
        <w:t>,</w:t>
      </w:r>
      <w:r w:rsidR="00104E77">
        <w:rPr>
          <w:szCs w:val="24"/>
        </w:rPr>
        <w:t xml:space="preserve"> honest</w:t>
      </w:r>
      <w:r w:rsidR="00C00C88">
        <w:rPr>
          <w:szCs w:val="24"/>
        </w:rPr>
        <w:t>ly</w:t>
      </w:r>
      <w:r w:rsidR="00104E77">
        <w:rPr>
          <w:szCs w:val="24"/>
        </w:rPr>
        <w:t xml:space="preserve"> and fairly with customers. </w:t>
      </w:r>
      <w:r w:rsidR="0013304C">
        <w:rPr>
          <w:szCs w:val="24"/>
        </w:rPr>
        <w:t xml:space="preserve"> </w:t>
      </w:r>
      <w:r>
        <w:rPr>
          <w:szCs w:val="24"/>
        </w:rPr>
        <w:t>Mr. Woitko</w:t>
      </w:r>
      <w:r w:rsidR="002E39A4">
        <w:rPr>
          <w:szCs w:val="24"/>
        </w:rPr>
        <w:t xml:space="preserve"> </w:t>
      </w:r>
      <w:r w:rsidR="002C2930">
        <w:rPr>
          <w:szCs w:val="24"/>
        </w:rPr>
        <w:t xml:space="preserve">contends that IDT </w:t>
      </w:r>
      <w:r w:rsidR="00ED532A">
        <w:rPr>
          <w:szCs w:val="24"/>
        </w:rPr>
        <w:t xml:space="preserve">engaged </w:t>
      </w:r>
      <w:r w:rsidR="00C00C88">
        <w:rPr>
          <w:szCs w:val="24"/>
        </w:rPr>
        <w:t xml:space="preserve">in </w:t>
      </w:r>
      <w:r w:rsidR="002C2930">
        <w:rPr>
          <w:szCs w:val="24"/>
        </w:rPr>
        <w:t>deceptive sal</w:t>
      </w:r>
      <w:r w:rsidR="00B74916">
        <w:rPr>
          <w:szCs w:val="24"/>
        </w:rPr>
        <w:t xml:space="preserve">es practices </w:t>
      </w:r>
      <w:r w:rsidR="00145613">
        <w:rPr>
          <w:szCs w:val="24"/>
        </w:rPr>
        <w:t xml:space="preserve">when enrolling him as a customer in </w:t>
      </w:r>
      <w:r w:rsidR="00B74916">
        <w:rPr>
          <w:szCs w:val="24"/>
        </w:rPr>
        <w:t>2011</w:t>
      </w:r>
      <w:r w:rsidR="00145613">
        <w:rPr>
          <w:szCs w:val="24"/>
        </w:rPr>
        <w:t xml:space="preserve">.  </w:t>
      </w:r>
      <w:r w:rsidR="00ED532A">
        <w:rPr>
          <w:szCs w:val="24"/>
        </w:rPr>
        <w:t xml:space="preserve">According to </w:t>
      </w:r>
      <w:r w:rsidR="00145613">
        <w:rPr>
          <w:szCs w:val="24"/>
        </w:rPr>
        <w:t xml:space="preserve">Mr. </w:t>
      </w:r>
      <w:proofErr w:type="spellStart"/>
      <w:r w:rsidR="00145613">
        <w:rPr>
          <w:szCs w:val="24"/>
        </w:rPr>
        <w:t>Woikto</w:t>
      </w:r>
      <w:proofErr w:type="spellEnd"/>
      <w:r w:rsidR="00ED532A">
        <w:rPr>
          <w:szCs w:val="24"/>
        </w:rPr>
        <w:t>,</w:t>
      </w:r>
      <w:r w:rsidR="00B74916">
        <w:rPr>
          <w:szCs w:val="24"/>
        </w:rPr>
        <w:t xml:space="preserve"> so many suppliers were calling him pressuring him to enroll</w:t>
      </w:r>
      <w:r w:rsidR="00ED532A">
        <w:rPr>
          <w:szCs w:val="24"/>
        </w:rPr>
        <w:t xml:space="preserve"> that </w:t>
      </w:r>
      <w:r w:rsidR="00B74916">
        <w:rPr>
          <w:szCs w:val="24"/>
        </w:rPr>
        <w:t xml:space="preserve">he “could not separate one from the other.”  </w:t>
      </w:r>
      <w:proofErr w:type="gramStart"/>
      <w:r w:rsidR="002E334E">
        <w:rPr>
          <w:szCs w:val="24"/>
        </w:rPr>
        <w:t>Tr. 10.</w:t>
      </w:r>
      <w:proofErr w:type="gramEnd"/>
      <w:r w:rsidR="002E334E">
        <w:rPr>
          <w:szCs w:val="24"/>
        </w:rPr>
        <w:t xml:space="preserve">  He felt he had no option but to enroll with IDT.  </w:t>
      </w:r>
      <w:proofErr w:type="gramStart"/>
      <w:r w:rsidR="002E334E">
        <w:rPr>
          <w:szCs w:val="24"/>
        </w:rPr>
        <w:t>Tr. 12.</w:t>
      </w:r>
      <w:proofErr w:type="gramEnd"/>
      <w:r w:rsidR="002E334E">
        <w:rPr>
          <w:szCs w:val="24"/>
        </w:rPr>
        <w:t xml:space="preserve">  Mr. Woitko’s </w:t>
      </w:r>
      <w:r w:rsidR="002E334E">
        <w:rPr>
          <w:szCs w:val="24"/>
        </w:rPr>
        <w:lastRenderedPageBreak/>
        <w:t xml:space="preserve">contentions are inconsistent with other parts of </w:t>
      </w:r>
      <w:r w:rsidR="00C00C88">
        <w:rPr>
          <w:szCs w:val="24"/>
        </w:rPr>
        <w:t xml:space="preserve">his </w:t>
      </w:r>
      <w:r w:rsidR="002E334E">
        <w:rPr>
          <w:szCs w:val="24"/>
        </w:rPr>
        <w:t xml:space="preserve">testimony.  </w:t>
      </w:r>
      <w:r w:rsidR="00145613">
        <w:rPr>
          <w:szCs w:val="24"/>
        </w:rPr>
        <w:t>On direct examination he testified, that he did not recall the specifics of his enrollment conversation with IDT</w:t>
      </w:r>
      <w:r w:rsidR="00ED532A">
        <w:rPr>
          <w:szCs w:val="24"/>
        </w:rPr>
        <w:t xml:space="preserve">; however, </w:t>
      </w:r>
      <w:r w:rsidR="00145613">
        <w:rPr>
          <w:szCs w:val="24"/>
        </w:rPr>
        <w:t>IDT’s offer seemed like the best offer at the time.</w:t>
      </w:r>
      <w:r w:rsidR="008E65AD">
        <w:rPr>
          <w:szCs w:val="24"/>
        </w:rPr>
        <w:t xml:space="preserve"> </w:t>
      </w:r>
      <w:r w:rsidR="00712C9A">
        <w:rPr>
          <w:szCs w:val="24"/>
        </w:rPr>
        <w:t xml:space="preserve"> So he took it.  </w:t>
      </w:r>
      <w:proofErr w:type="gramStart"/>
      <w:r w:rsidR="00712C9A">
        <w:rPr>
          <w:szCs w:val="24"/>
        </w:rPr>
        <w:t>Tr. 13.</w:t>
      </w:r>
      <w:proofErr w:type="gramEnd"/>
      <w:r w:rsidR="00712C9A">
        <w:rPr>
          <w:szCs w:val="24"/>
        </w:rPr>
        <w:t xml:space="preserve">  </w:t>
      </w:r>
      <w:r w:rsidR="00145613">
        <w:rPr>
          <w:szCs w:val="24"/>
        </w:rPr>
        <w:t>Mr. Woitko</w:t>
      </w:r>
      <w:r w:rsidR="00ED532A">
        <w:rPr>
          <w:szCs w:val="24"/>
        </w:rPr>
        <w:t xml:space="preserve">’s testimony also revealed that his son, </w:t>
      </w:r>
      <w:r w:rsidR="00145613">
        <w:rPr>
          <w:szCs w:val="24"/>
        </w:rPr>
        <w:t xml:space="preserve">an attorney, </w:t>
      </w:r>
      <w:r w:rsidR="00ED532A">
        <w:rPr>
          <w:szCs w:val="24"/>
        </w:rPr>
        <w:t xml:space="preserve">assisted him with the enrollment process. </w:t>
      </w:r>
      <w:r w:rsidR="0045620B">
        <w:rPr>
          <w:szCs w:val="24"/>
        </w:rPr>
        <w:t xml:space="preserve"> </w:t>
      </w:r>
      <w:r w:rsidR="00ED532A">
        <w:rPr>
          <w:szCs w:val="24"/>
        </w:rPr>
        <w:t>After he accepted the offer, he hand</w:t>
      </w:r>
      <w:r w:rsidR="0045620B">
        <w:rPr>
          <w:szCs w:val="24"/>
        </w:rPr>
        <w:t>ed</w:t>
      </w:r>
      <w:r w:rsidR="00ED532A">
        <w:rPr>
          <w:szCs w:val="24"/>
        </w:rPr>
        <w:t xml:space="preserve"> the telephone to his son to </w:t>
      </w:r>
      <w:r w:rsidR="00D07B0F">
        <w:rPr>
          <w:szCs w:val="24"/>
        </w:rPr>
        <w:t xml:space="preserve">complete the conversation.  Id.  </w:t>
      </w:r>
      <w:r w:rsidR="000449C4">
        <w:rPr>
          <w:szCs w:val="24"/>
        </w:rPr>
        <w:t>Also telling is the lack of any complaint by Mr. Woitko to IDT or the Commission about the 20</w:t>
      </w:r>
      <w:r w:rsidR="00F04939">
        <w:rPr>
          <w:szCs w:val="24"/>
        </w:rPr>
        <w:t>1</w:t>
      </w:r>
      <w:r w:rsidR="000449C4">
        <w:rPr>
          <w:szCs w:val="24"/>
        </w:rPr>
        <w:t xml:space="preserve">1 enrollment process until March 2014.  Tr. 27-30.  Mr. Woitko admitted he saw his rate go up and </w:t>
      </w:r>
      <w:r w:rsidR="00F37E99">
        <w:rPr>
          <w:szCs w:val="24"/>
        </w:rPr>
        <w:t xml:space="preserve">down </w:t>
      </w:r>
      <w:r w:rsidR="00F37E99">
        <w:t>over a two and half year</w:t>
      </w:r>
      <w:r w:rsidR="00DD3295">
        <w:t xml:space="preserve"> period</w:t>
      </w:r>
      <w:r w:rsidR="00A83151">
        <w:t>, and that the price to compare IDT’s rate with PPL’s default rate was on his bills</w:t>
      </w:r>
      <w:r w:rsidR="00F37E99">
        <w:t>.</w:t>
      </w:r>
      <w:r w:rsidR="00A83151">
        <w:t xml:space="preserve"> </w:t>
      </w:r>
      <w:r w:rsidR="00F37E99">
        <w:t xml:space="preserve"> </w:t>
      </w:r>
      <w:proofErr w:type="gramStart"/>
      <w:r w:rsidR="00F37E99">
        <w:t>Tr. 27, 34, 67.</w:t>
      </w:r>
      <w:proofErr w:type="gramEnd"/>
      <w:r w:rsidR="00F37E99">
        <w:t xml:space="preserve">  During this time period he was satisfied with IDT’s rate and service. </w:t>
      </w:r>
      <w:r w:rsidR="00A83151">
        <w:t xml:space="preserve"> </w:t>
      </w:r>
      <w:r w:rsidR="00F37E99">
        <w:t xml:space="preserve">Tr. 27-28.  Mr. Woitko only became dissatisfied with IDT as his supplier when his rate increased significantly in February 2014.  </w:t>
      </w:r>
      <w:proofErr w:type="gramStart"/>
      <w:r w:rsidR="00F37E99">
        <w:t>Tr. 27.</w:t>
      </w:r>
      <w:proofErr w:type="gramEnd"/>
      <w:r w:rsidR="00F37E99">
        <w:t xml:space="preserve">  He</w:t>
      </w:r>
      <w:r w:rsidR="00D07B0F">
        <w:rPr>
          <w:szCs w:val="24"/>
        </w:rPr>
        <w:t xml:space="preserve"> did not offer any testimony demonstrating that he was deceived by IDT to enroll as </w:t>
      </w:r>
      <w:r w:rsidR="004A57B8">
        <w:rPr>
          <w:szCs w:val="24"/>
        </w:rPr>
        <w:t xml:space="preserve">a </w:t>
      </w:r>
      <w:r w:rsidR="00D07B0F">
        <w:rPr>
          <w:szCs w:val="24"/>
        </w:rPr>
        <w:t>customer</w:t>
      </w:r>
      <w:r w:rsidR="00F37E99">
        <w:rPr>
          <w:szCs w:val="24"/>
        </w:rPr>
        <w:t xml:space="preserve"> in 2011</w:t>
      </w:r>
      <w:r w:rsidR="00D07B0F">
        <w:rPr>
          <w:szCs w:val="24"/>
        </w:rPr>
        <w:t xml:space="preserve">.  </w:t>
      </w:r>
    </w:p>
    <w:p w:rsidR="00D66BAC" w:rsidRDefault="00D66BAC" w:rsidP="00CC54C7">
      <w:pPr>
        <w:pStyle w:val="BodyText"/>
        <w:spacing w:line="360" w:lineRule="auto"/>
        <w:jc w:val="left"/>
        <w:rPr>
          <w:szCs w:val="24"/>
        </w:rPr>
      </w:pPr>
    </w:p>
    <w:p w:rsidR="002005B9" w:rsidRDefault="00D66BAC" w:rsidP="00CC54C7">
      <w:pPr>
        <w:pStyle w:val="BodyText"/>
        <w:spacing w:line="360" w:lineRule="auto"/>
        <w:jc w:val="left"/>
        <w:rPr>
          <w:szCs w:val="24"/>
        </w:rPr>
      </w:pPr>
      <w:r>
        <w:rPr>
          <w:szCs w:val="24"/>
        </w:rPr>
        <w:tab/>
      </w:r>
      <w:r>
        <w:rPr>
          <w:szCs w:val="24"/>
        </w:rPr>
        <w:tab/>
        <w:t xml:space="preserve">Mr. Woitko also submits that IDT </w:t>
      </w:r>
      <w:r w:rsidR="00D07B0F">
        <w:rPr>
          <w:szCs w:val="24"/>
        </w:rPr>
        <w:t xml:space="preserve">engaged in deceptive sales practices </w:t>
      </w:r>
      <w:r>
        <w:rPr>
          <w:szCs w:val="24"/>
        </w:rPr>
        <w:t xml:space="preserve">because IDT’s per kWh </w:t>
      </w:r>
      <w:r w:rsidR="000449C4">
        <w:rPr>
          <w:szCs w:val="24"/>
        </w:rPr>
        <w:t xml:space="preserve">rate </w:t>
      </w:r>
      <w:r>
        <w:rPr>
          <w:szCs w:val="24"/>
        </w:rPr>
        <w:t xml:space="preserve">more than tripled </w:t>
      </w:r>
      <w:r w:rsidR="000449C4">
        <w:rPr>
          <w:szCs w:val="24"/>
        </w:rPr>
        <w:t xml:space="preserve">from </w:t>
      </w:r>
      <w:r>
        <w:rPr>
          <w:szCs w:val="24"/>
        </w:rPr>
        <w:t xml:space="preserve">January to February 2014 </w:t>
      </w:r>
      <w:r w:rsidR="00945EBD">
        <w:rPr>
          <w:szCs w:val="24"/>
        </w:rPr>
        <w:t xml:space="preserve">without prior </w:t>
      </w:r>
      <w:r w:rsidR="00DD3295">
        <w:rPr>
          <w:szCs w:val="24"/>
        </w:rPr>
        <w:t xml:space="preserve">notice </w:t>
      </w:r>
      <w:r w:rsidR="00945EBD">
        <w:rPr>
          <w:szCs w:val="24"/>
        </w:rPr>
        <w:t xml:space="preserve">to him. </w:t>
      </w:r>
      <w:proofErr w:type="gramStart"/>
      <w:r w:rsidR="000A5717">
        <w:rPr>
          <w:szCs w:val="24"/>
        </w:rPr>
        <w:t>Tr. 19.</w:t>
      </w:r>
      <w:proofErr w:type="gramEnd"/>
      <w:r w:rsidR="000449C4">
        <w:rPr>
          <w:szCs w:val="24"/>
        </w:rPr>
        <w:t xml:space="preserve">  Mr. Woitko</w:t>
      </w:r>
      <w:r w:rsidR="002E334E">
        <w:rPr>
          <w:szCs w:val="24"/>
        </w:rPr>
        <w:t xml:space="preserve"> insists that he never received a disclosure statement informing him about the </w:t>
      </w:r>
      <w:r w:rsidR="00DD3295">
        <w:rPr>
          <w:szCs w:val="24"/>
        </w:rPr>
        <w:t xml:space="preserve">rates and </w:t>
      </w:r>
      <w:r w:rsidR="002E334E">
        <w:rPr>
          <w:szCs w:val="24"/>
        </w:rPr>
        <w:t>terms of service</w:t>
      </w:r>
      <w:r w:rsidR="003C00FA">
        <w:rPr>
          <w:szCs w:val="24"/>
        </w:rPr>
        <w:t>, as required by Section 56.151(2) of the Commission’s regulations</w:t>
      </w:r>
      <w:r w:rsidR="002E334E">
        <w:rPr>
          <w:szCs w:val="24"/>
        </w:rPr>
        <w:t>.</w:t>
      </w:r>
      <w:r w:rsidR="003C00FA">
        <w:rPr>
          <w:rStyle w:val="FootnoteReference"/>
          <w:szCs w:val="24"/>
        </w:rPr>
        <w:footnoteReference w:id="11"/>
      </w:r>
      <w:r w:rsidR="002E334E">
        <w:rPr>
          <w:szCs w:val="24"/>
        </w:rPr>
        <w:t xml:space="preserve"> </w:t>
      </w:r>
      <w:proofErr w:type="gramStart"/>
      <w:r w:rsidR="002E334E">
        <w:rPr>
          <w:szCs w:val="24"/>
        </w:rPr>
        <w:t>Tr. 15.</w:t>
      </w:r>
      <w:proofErr w:type="gramEnd"/>
      <w:r w:rsidR="002E334E">
        <w:rPr>
          <w:szCs w:val="24"/>
        </w:rPr>
        <w:t xml:space="preserve">  </w:t>
      </w:r>
      <w:r w:rsidR="00DD3295">
        <w:rPr>
          <w:szCs w:val="24"/>
        </w:rPr>
        <w:t>IDT</w:t>
      </w:r>
      <w:r w:rsidR="0011759E">
        <w:rPr>
          <w:szCs w:val="24"/>
        </w:rPr>
        <w:t xml:space="preserve">’s Vice President of Customer Services and Regulatory Compliance, Wayne Stoughton, </w:t>
      </w:r>
      <w:r w:rsidR="00DD3295">
        <w:rPr>
          <w:szCs w:val="24"/>
        </w:rPr>
        <w:t>counter</w:t>
      </w:r>
      <w:r w:rsidR="0011759E">
        <w:rPr>
          <w:szCs w:val="24"/>
        </w:rPr>
        <w:t>ed</w:t>
      </w:r>
      <w:r w:rsidR="00DD3295">
        <w:rPr>
          <w:szCs w:val="24"/>
        </w:rPr>
        <w:t xml:space="preserve"> that at the time of enrollment</w:t>
      </w:r>
      <w:r w:rsidR="0011759E">
        <w:rPr>
          <w:szCs w:val="24"/>
        </w:rPr>
        <w:t xml:space="preserve"> a confirmation letter and disclosure statement is mailed to the customer.</w:t>
      </w:r>
      <w:r w:rsidR="0058285A">
        <w:rPr>
          <w:szCs w:val="24"/>
        </w:rPr>
        <w:t xml:space="preserve">  </w:t>
      </w:r>
      <w:proofErr w:type="gramStart"/>
      <w:r w:rsidR="0011759E">
        <w:rPr>
          <w:szCs w:val="24"/>
        </w:rPr>
        <w:t>Tr. 61.</w:t>
      </w:r>
      <w:proofErr w:type="gramEnd"/>
      <w:r w:rsidR="0011759E">
        <w:rPr>
          <w:szCs w:val="24"/>
        </w:rPr>
        <w:t xml:space="preserve">  According to Mr. Stoughton, the disclosure statement in effect at the time of Mr. </w:t>
      </w:r>
      <w:proofErr w:type="spellStart"/>
      <w:r w:rsidR="0011759E">
        <w:rPr>
          <w:szCs w:val="24"/>
        </w:rPr>
        <w:t>Woitko’s</w:t>
      </w:r>
      <w:proofErr w:type="spellEnd"/>
      <w:r w:rsidR="0011759E">
        <w:rPr>
          <w:szCs w:val="24"/>
        </w:rPr>
        <w:t xml:space="preserve"> enrollment (R-</w:t>
      </w:r>
      <w:proofErr w:type="spellStart"/>
      <w:r w:rsidR="0011759E">
        <w:rPr>
          <w:szCs w:val="24"/>
        </w:rPr>
        <w:t>Exh</w:t>
      </w:r>
      <w:proofErr w:type="spellEnd"/>
      <w:r w:rsidR="0011759E">
        <w:rPr>
          <w:szCs w:val="24"/>
        </w:rPr>
        <w:t xml:space="preserve">. 2) included an explanation of the basic service </w:t>
      </w:r>
      <w:proofErr w:type="gramStart"/>
      <w:r w:rsidR="0011759E">
        <w:rPr>
          <w:szCs w:val="24"/>
        </w:rPr>
        <w:t>prices,</w:t>
      </w:r>
      <w:proofErr w:type="gramEnd"/>
      <w:r w:rsidR="0011759E">
        <w:rPr>
          <w:szCs w:val="24"/>
        </w:rPr>
        <w:t xml:space="preserve"> a statement that prices are variable based upon the market</w:t>
      </w:r>
      <w:r w:rsidR="002268E6">
        <w:rPr>
          <w:szCs w:val="24"/>
        </w:rPr>
        <w:t xml:space="preserve"> and may be higher or lower than</w:t>
      </w:r>
      <w:r w:rsidR="0011759E">
        <w:rPr>
          <w:szCs w:val="24"/>
        </w:rPr>
        <w:t xml:space="preserve"> the EDC’s price in any particular month. </w:t>
      </w:r>
      <w:r w:rsidR="00895684">
        <w:rPr>
          <w:szCs w:val="24"/>
        </w:rPr>
        <w:t xml:space="preserve">Tr. 60-61.  Mr. Stoughton testified that IDT did not have any record that the post office returned as undeliverable the enrollment letter and disclosure statement that was mailed to Mr. Woitko in 2011.  </w:t>
      </w:r>
      <w:r w:rsidR="00A83151">
        <w:rPr>
          <w:szCs w:val="24"/>
        </w:rPr>
        <w:t xml:space="preserve">Tr. 65.  </w:t>
      </w:r>
      <w:r w:rsidR="00895684">
        <w:rPr>
          <w:szCs w:val="24"/>
        </w:rPr>
        <w:t xml:space="preserve">I find the testimony of </w:t>
      </w:r>
    </w:p>
    <w:p w:rsidR="00E8685B" w:rsidRDefault="00895684" w:rsidP="00CC54C7">
      <w:pPr>
        <w:pStyle w:val="BodyText"/>
        <w:spacing w:line="360" w:lineRule="auto"/>
        <w:jc w:val="left"/>
        <w:rPr>
          <w:szCs w:val="24"/>
        </w:rPr>
      </w:pPr>
      <w:proofErr w:type="gramStart"/>
      <w:r>
        <w:rPr>
          <w:szCs w:val="24"/>
        </w:rPr>
        <w:t>Mr. Stoughton credible, especially considering Mr. Woitko’s complaint</w:t>
      </w:r>
      <w:r w:rsidR="00655893">
        <w:rPr>
          <w:szCs w:val="24"/>
        </w:rPr>
        <w:t xml:space="preserve"> seeking “to void the </w:t>
      </w:r>
      <w:r w:rsidR="00E8685B">
        <w:rPr>
          <w:szCs w:val="24"/>
        </w:rPr>
        <w:t>contract between him and IDT.”</w:t>
      </w:r>
      <w:proofErr w:type="gramEnd"/>
    </w:p>
    <w:p w:rsidR="00E8685B" w:rsidRDefault="00E8685B" w:rsidP="00CC54C7">
      <w:pPr>
        <w:pStyle w:val="BodyText"/>
        <w:spacing w:line="360" w:lineRule="auto"/>
        <w:jc w:val="left"/>
        <w:rPr>
          <w:szCs w:val="24"/>
        </w:rPr>
      </w:pPr>
    </w:p>
    <w:p w:rsidR="00316F47" w:rsidRDefault="00316F47" w:rsidP="00CC54C7">
      <w:pPr>
        <w:pStyle w:val="BodyText"/>
        <w:spacing w:line="360" w:lineRule="auto"/>
        <w:jc w:val="left"/>
        <w:rPr>
          <w:szCs w:val="24"/>
        </w:rPr>
      </w:pPr>
    </w:p>
    <w:p w:rsidR="00F97171" w:rsidRDefault="00E8685B" w:rsidP="00CC54C7">
      <w:pPr>
        <w:pStyle w:val="BodyText"/>
        <w:spacing w:line="360" w:lineRule="auto"/>
        <w:jc w:val="left"/>
        <w:rPr>
          <w:szCs w:val="24"/>
        </w:rPr>
      </w:pPr>
      <w:r>
        <w:rPr>
          <w:szCs w:val="24"/>
        </w:rPr>
        <w:lastRenderedPageBreak/>
        <w:tab/>
      </w:r>
      <w:r>
        <w:rPr>
          <w:szCs w:val="24"/>
        </w:rPr>
        <w:tab/>
        <w:t xml:space="preserve">In his complaint Mr. </w:t>
      </w:r>
      <w:proofErr w:type="spellStart"/>
      <w:r>
        <w:rPr>
          <w:szCs w:val="24"/>
        </w:rPr>
        <w:t>Woitko</w:t>
      </w:r>
      <w:proofErr w:type="spellEnd"/>
      <w:r>
        <w:rPr>
          <w:szCs w:val="24"/>
        </w:rPr>
        <w:t xml:space="preserve"> do</w:t>
      </w:r>
      <w:r w:rsidR="00655893">
        <w:rPr>
          <w:szCs w:val="24"/>
        </w:rPr>
        <w:t xml:space="preserve">es not allege he did not receive the disclosure </w:t>
      </w:r>
    </w:p>
    <w:p w:rsidR="00655893" w:rsidRDefault="00655893" w:rsidP="00CC54C7">
      <w:pPr>
        <w:pStyle w:val="BodyText"/>
        <w:spacing w:line="360" w:lineRule="auto"/>
        <w:jc w:val="left"/>
        <w:rPr>
          <w:szCs w:val="24"/>
        </w:rPr>
      </w:pPr>
      <w:r>
        <w:rPr>
          <w:szCs w:val="24"/>
        </w:rPr>
        <w:t xml:space="preserve">statement, i.e., the contract.  </w:t>
      </w:r>
      <w:r w:rsidR="003C00FA">
        <w:rPr>
          <w:szCs w:val="24"/>
        </w:rPr>
        <w:t>He does not claim that the contract was oral as he claimed during the hearing.</w:t>
      </w:r>
      <w:r w:rsidR="00641B7B">
        <w:rPr>
          <w:szCs w:val="24"/>
        </w:rPr>
        <w:t xml:space="preserve"> </w:t>
      </w:r>
      <w:r w:rsidR="003C00FA">
        <w:rPr>
          <w:szCs w:val="24"/>
        </w:rPr>
        <w:t xml:space="preserve"> Tr. 37-38.  Had M</w:t>
      </w:r>
      <w:r w:rsidR="00605B0A">
        <w:rPr>
          <w:szCs w:val="24"/>
        </w:rPr>
        <w:t>r</w:t>
      </w:r>
      <w:r w:rsidR="003C00FA">
        <w:rPr>
          <w:szCs w:val="24"/>
        </w:rPr>
        <w:t xml:space="preserve">. Woitko not received the disclosure statement, he could have alleged this fact in his </w:t>
      </w:r>
      <w:r w:rsidR="00605B0A">
        <w:rPr>
          <w:szCs w:val="24"/>
        </w:rPr>
        <w:t xml:space="preserve">very specific and detailed </w:t>
      </w:r>
      <w:r w:rsidR="003C00FA">
        <w:rPr>
          <w:szCs w:val="24"/>
        </w:rPr>
        <w:t xml:space="preserve">complaint.  But he did not do so. </w:t>
      </w:r>
      <w:r w:rsidR="00417CED">
        <w:rPr>
          <w:szCs w:val="24"/>
        </w:rPr>
        <w:t xml:space="preserve"> </w:t>
      </w:r>
      <w:r w:rsidR="00605B0A">
        <w:rPr>
          <w:szCs w:val="24"/>
        </w:rPr>
        <w:t>Rather h</w:t>
      </w:r>
      <w:r w:rsidR="003C00FA">
        <w:rPr>
          <w:szCs w:val="24"/>
        </w:rPr>
        <w:t xml:space="preserve">e asked for the </w:t>
      </w:r>
      <w:r w:rsidR="00605B0A">
        <w:rPr>
          <w:szCs w:val="24"/>
        </w:rPr>
        <w:t xml:space="preserve">Commission to void </w:t>
      </w:r>
      <w:r w:rsidR="00641B7B">
        <w:rPr>
          <w:szCs w:val="24"/>
        </w:rPr>
        <w:t>t</w:t>
      </w:r>
      <w:r w:rsidR="00605B0A">
        <w:rPr>
          <w:szCs w:val="24"/>
        </w:rPr>
        <w:t xml:space="preserve">he </w:t>
      </w:r>
      <w:r w:rsidR="003C00FA">
        <w:rPr>
          <w:szCs w:val="24"/>
        </w:rPr>
        <w:t xml:space="preserve">contract.  Accordingly I am compelled to conclude that Mr. Woitko received IDT’s disclosure statement. </w:t>
      </w:r>
      <w:r>
        <w:rPr>
          <w:szCs w:val="24"/>
        </w:rPr>
        <w:t xml:space="preserve"> </w:t>
      </w:r>
      <w:r w:rsidR="00605B0A">
        <w:rPr>
          <w:szCs w:val="24"/>
        </w:rPr>
        <w:t xml:space="preserve">Therefore, the evidence failed to establish that IDT violated the Commission’s regulations requiring EGSs to disclose to </w:t>
      </w:r>
      <w:r w:rsidR="00A83151">
        <w:rPr>
          <w:szCs w:val="24"/>
        </w:rPr>
        <w:t xml:space="preserve">a </w:t>
      </w:r>
      <w:r w:rsidR="00605B0A">
        <w:rPr>
          <w:szCs w:val="24"/>
        </w:rPr>
        <w:t>customer the rates and terms of service.</w:t>
      </w:r>
    </w:p>
    <w:p w:rsidR="00605B0A" w:rsidRDefault="00605B0A" w:rsidP="00CC54C7">
      <w:pPr>
        <w:pStyle w:val="BodyText"/>
        <w:spacing w:line="360" w:lineRule="auto"/>
        <w:jc w:val="left"/>
        <w:rPr>
          <w:szCs w:val="24"/>
        </w:rPr>
      </w:pPr>
    </w:p>
    <w:p w:rsidR="00CF6BE4" w:rsidRDefault="00605B0A" w:rsidP="00CC54C7">
      <w:pPr>
        <w:pStyle w:val="BodyText"/>
        <w:spacing w:line="360" w:lineRule="auto"/>
        <w:jc w:val="left"/>
        <w:rPr>
          <w:szCs w:val="24"/>
        </w:rPr>
      </w:pPr>
      <w:r>
        <w:rPr>
          <w:szCs w:val="24"/>
        </w:rPr>
        <w:tab/>
      </w:r>
      <w:r>
        <w:rPr>
          <w:szCs w:val="24"/>
        </w:rPr>
        <w:tab/>
        <w:t xml:space="preserve">Lastly, Mr. Woitko </w:t>
      </w:r>
      <w:r w:rsidR="00070033">
        <w:rPr>
          <w:szCs w:val="24"/>
        </w:rPr>
        <w:t>testified</w:t>
      </w:r>
      <w:r>
        <w:rPr>
          <w:szCs w:val="24"/>
        </w:rPr>
        <w:t xml:space="preserve"> that in March 2014, he </w:t>
      </w:r>
      <w:r w:rsidR="00070033">
        <w:rPr>
          <w:szCs w:val="24"/>
        </w:rPr>
        <w:t xml:space="preserve">called </w:t>
      </w:r>
      <w:r>
        <w:rPr>
          <w:szCs w:val="24"/>
        </w:rPr>
        <w:t xml:space="preserve">IDT </w:t>
      </w:r>
      <w:r w:rsidR="00070033">
        <w:rPr>
          <w:szCs w:val="24"/>
        </w:rPr>
        <w:t>“countless times” to complain about his high bill</w:t>
      </w:r>
      <w:r>
        <w:rPr>
          <w:szCs w:val="24"/>
        </w:rPr>
        <w:t>s</w:t>
      </w:r>
      <w:r w:rsidR="00070033">
        <w:rPr>
          <w:szCs w:val="24"/>
        </w:rPr>
        <w:t xml:space="preserve"> but IDT’s system made </w:t>
      </w:r>
      <w:r>
        <w:rPr>
          <w:szCs w:val="24"/>
        </w:rPr>
        <w:t>direct ph</w:t>
      </w:r>
      <w:r w:rsidR="00070033">
        <w:rPr>
          <w:szCs w:val="24"/>
        </w:rPr>
        <w:t>one contact impossible.</w:t>
      </w:r>
      <w:r w:rsidR="00A83151">
        <w:rPr>
          <w:szCs w:val="24"/>
        </w:rPr>
        <w:t xml:space="preserve">  </w:t>
      </w:r>
    </w:p>
    <w:p w:rsidR="00605B0A" w:rsidRPr="002E39A4" w:rsidRDefault="00A83151" w:rsidP="00CC54C7">
      <w:pPr>
        <w:pStyle w:val="BodyText"/>
        <w:spacing w:line="360" w:lineRule="auto"/>
        <w:jc w:val="left"/>
        <w:rPr>
          <w:szCs w:val="24"/>
          <w:u w:val="single"/>
        </w:rPr>
      </w:pPr>
      <w:r>
        <w:rPr>
          <w:szCs w:val="24"/>
        </w:rPr>
        <w:t>Tr. 15-16.</w:t>
      </w:r>
      <w:r w:rsidR="00070033">
        <w:rPr>
          <w:szCs w:val="24"/>
        </w:rPr>
        <w:t xml:space="preserve"> </w:t>
      </w:r>
      <w:r>
        <w:rPr>
          <w:szCs w:val="24"/>
        </w:rPr>
        <w:t xml:space="preserve"> </w:t>
      </w:r>
      <w:r w:rsidR="00070033">
        <w:rPr>
          <w:szCs w:val="24"/>
        </w:rPr>
        <w:t>The Commission’s regulations require EGSs to have in place a process for investigating, responding to and resolving customer complaints.</w:t>
      </w:r>
      <w:r w:rsidR="00070033">
        <w:rPr>
          <w:rStyle w:val="FootnoteReference"/>
          <w:szCs w:val="24"/>
        </w:rPr>
        <w:footnoteReference w:id="12"/>
      </w:r>
      <w:r w:rsidR="00070033">
        <w:rPr>
          <w:szCs w:val="24"/>
        </w:rPr>
        <w:t xml:space="preserve">  </w:t>
      </w:r>
      <w:r w:rsidR="00B95BA4">
        <w:rPr>
          <w:szCs w:val="24"/>
        </w:rPr>
        <w:t>IDT’s witness, Mr. Stoughton, explained that there are approximately 25 customer service representative</w:t>
      </w:r>
      <w:r w:rsidR="002F7226">
        <w:rPr>
          <w:szCs w:val="24"/>
        </w:rPr>
        <w:t>s</w:t>
      </w:r>
      <w:r w:rsidR="00B95BA4">
        <w:rPr>
          <w:szCs w:val="24"/>
        </w:rPr>
        <w:t xml:space="preserve"> and five supervisors in the company’s call center.  </w:t>
      </w:r>
      <w:proofErr w:type="gramStart"/>
      <w:r w:rsidR="00B95BA4">
        <w:rPr>
          <w:szCs w:val="24"/>
        </w:rPr>
        <w:t>Tr. 57.</w:t>
      </w:r>
      <w:proofErr w:type="gramEnd"/>
      <w:r w:rsidR="00B95BA4">
        <w:rPr>
          <w:szCs w:val="24"/>
        </w:rPr>
        <w:t xml:space="preserve">  However because of the Polar Vortex, IDT received an unprecedented 46,000 customer calls in March 2014, as opposed to the usual monthly average of 10,000 customer calls.  </w:t>
      </w:r>
      <w:r w:rsidR="00C30B73">
        <w:rPr>
          <w:szCs w:val="24"/>
        </w:rPr>
        <w:t>Undoubtedly Mr. Woitko was unsuccessful in reach</w:t>
      </w:r>
      <w:r w:rsidR="00292266">
        <w:rPr>
          <w:szCs w:val="24"/>
        </w:rPr>
        <w:t>ing</w:t>
      </w:r>
      <w:r w:rsidR="00C30B73">
        <w:rPr>
          <w:szCs w:val="24"/>
        </w:rPr>
        <w:t xml:space="preserve"> IDT because of the high volume of calls caused by the Polar Vortex.  </w:t>
      </w:r>
      <w:r w:rsidR="00B95BA4">
        <w:rPr>
          <w:szCs w:val="24"/>
        </w:rPr>
        <w:t>The regulations require an</w:t>
      </w:r>
      <w:r w:rsidR="00C30B73">
        <w:rPr>
          <w:szCs w:val="24"/>
        </w:rPr>
        <w:t xml:space="preserve"> EGS </w:t>
      </w:r>
      <w:r w:rsidR="00292266">
        <w:rPr>
          <w:szCs w:val="24"/>
        </w:rPr>
        <w:t xml:space="preserve">to use </w:t>
      </w:r>
      <w:r w:rsidR="00C30B73">
        <w:rPr>
          <w:szCs w:val="24"/>
        </w:rPr>
        <w:t xml:space="preserve">reasonable </w:t>
      </w:r>
      <w:proofErr w:type="gramStart"/>
      <w:r w:rsidR="00C30B73">
        <w:rPr>
          <w:szCs w:val="24"/>
        </w:rPr>
        <w:t>methods to respond to a customer’s inquires</w:t>
      </w:r>
      <w:proofErr w:type="gramEnd"/>
      <w:r w:rsidR="00C30B73">
        <w:rPr>
          <w:szCs w:val="24"/>
        </w:rPr>
        <w:t>.</w:t>
      </w:r>
      <w:r w:rsidR="00C30B73">
        <w:rPr>
          <w:rStyle w:val="FootnoteReference"/>
          <w:szCs w:val="24"/>
        </w:rPr>
        <w:footnoteReference w:id="13"/>
      </w:r>
      <w:r w:rsidR="00C30B73">
        <w:rPr>
          <w:szCs w:val="24"/>
        </w:rPr>
        <w:t xml:space="preserve">  </w:t>
      </w:r>
      <w:r w:rsidR="00292266">
        <w:rPr>
          <w:szCs w:val="24"/>
        </w:rPr>
        <w:t>IDT has a call center staffed to respond to customer inquiries.</w:t>
      </w:r>
      <w:r w:rsidR="004D0D05">
        <w:rPr>
          <w:szCs w:val="24"/>
        </w:rPr>
        <w:t xml:space="preserve"> </w:t>
      </w:r>
      <w:r w:rsidR="000721B7">
        <w:rPr>
          <w:szCs w:val="24"/>
        </w:rPr>
        <w:t xml:space="preserve"> There is no evidence</w:t>
      </w:r>
      <w:r w:rsidR="00292266">
        <w:rPr>
          <w:szCs w:val="24"/>
        </w:rPr>
        <w:t xml:space="preserve"> in the </w:t>
      </w:r>
      <w:r w:rsidR="000721B7">
        <w:rPr>
          <w:szCs w:val="24"/>
        </w:rPr>
        <w:t>record to establish that IDT’s C</w:t>
      </w:r>
      <w:r w:rsidR="00292266">
        <w:rPr>
          <w:szCs w:val="24"/>
        </w:rPr>
        <w:t xml:space="preserve">all </w:t>
      </w:r>
      <w:r w:rsidR="000721B7">
        <w:rPr>
          <w:szCs w:val="24"/>
        </w:rPr>
        <w:t xml:space="preserve">Center </w:t>
      </w:r>
      <w:r w:rsidR="00292266">
        <w:rPr>
          <w:szCs w:val="24"/>
        </w:rPr>
        <w:t>is an unreasonable process to employ to address customer inquiries.</w:t>
      </w:r>
      <w:r w:rsidR="00A50A65">
        <w:rPr>
          <w:szCs w:val="24"/>
        </w:rPr>
        <w:t xml:space="preserve">  </w:t>
      </w:r>
      <w:r w:rsidR="00C30B73">
        <w:rPr>
          <w:szCs w:val="24"/>
        </w:rPr>
        <w:t>Furthermore</w:t>
      </w:r>
      <w:r w:rsidR="000721B7">
        <w:rPr>
          <w:szCs w:val="24"/>
        </w:rPr>
        <w:t>, Mr</w:t>
      </w:r>
      <w:r w:rsidR="00C30B73">
        <w:rPr>
          <w:szCs w:val="24"/>
        </w:rPr>
        <w:t>.</w:t>
      </w:r>
      <w:r w:rsidR="008E2508">
        <w:rPr>
          <w:szCs w:val="24"/>
        </w:rPr>
        <w:t> </w:t>
      </w:r>
      <w:proofErr w:type="spellStart"/>
      <w:r w:rsidR="00C30B73">
        <w:rPr>
          <w:szCs w:val="24"/>
        </w:rPr>
        <w:t>Woitko</w:t>
      </w:r>
      <w:proofErr w:type="spellEnd"/>
      <w:r w:rsidR="00C30B73">
        <w:rPr>
          <w:szCs w:val="24"/>
        </w:rPr>
        <w:t xml:space="preserve"> admits that on March 27, 2014, he was able to speak with an IDT customer representative about his high bill.</w:t>
      </w:r>
      <w:r w:rsidR="00E63D22">
        <w:rPr>
          <w:szCs w:val="24"/>
        </w:rPr>
        <w:t xml:space="preserve"> </w:t>
      </w:r>
      <w:r w:rsidR="00C30B73">
        <w:rPr>
          <w:szCs w:val="24"/>
        </w:rPr>
        <w:t xml:space="preserve"> </w:t>
      </w:r>
      <w:proofErr w:type="gramStart"/>
      <w:r w:rsidR="00C30B73">
        <w:rPr>
          <w:szCs w:val="24"/>
        </w:rPr>
        <w:t>Tr. 81.</w:t>
      </w:r>
      <w:proofErr w:type="gramEnd"/>
      <w:r w:rsidR="00C30B73">
        <w:rPr>
          <w:szCs w:val="24"/>
        </w:rPr>
        <w:t xml:space="preserve">  Under these circumstances, I cannot find that IDT failed to comply with the Commission regulations.</w:t>
      </w:r>
    </w:p>
    <w:p w:rsidR="000666CC" w:rsidRPr="00E77EC9" w:rsidRDefault="00E77EC9" w:rsidP="00CC54C7">
      <w:pPr>
        <w:pStyle w:val="BodyText"/>
        <w:spacing w:line="360" w:lineRule="auto"/>
        <w:jc w:val="left"/>
        <w:rPr>
          <w:szCs w:val="24"/>
        </w:rPr>
      </w:pPr>
      <w:r>
        <w:rPr>
          <w:szCs w:val="24"/>
        </w:rPr>
        <w:tab/>
      </w:r>
    </w:p>
    <w:p w:rsidR="00E77EC9" w:rsidRPr="00C30B73" w:rsidRDefault="00C30B73" w:rsidP="00CC54C7">
      <w:pPr>
        <w:pStyle w:val="BodyText"/>
        <w:tabs>
          <w:tab w:val="clear" w:pos="-1440"/>
          <w:tab w:val="clear" w:pos="-720"/>
          <w:tab w:val="clear" w:pos="0"/>
          <w:tab w:val="clear" w:pos="720"/>
          <w:tab w:val="clear" w:pos="1440"/>
        </w:tabs>
        <w:spacing w:line="360" w:lineRule="auto"/>
        <w:jc w:val="left"/>
        <w:rPr>
          <w:szCs w:val="24"/>
        </w:rPr>
      </w:pPr>
      <w:r>
        <w:rPr>
          <w:szCs w:val="24"/>
        </w:rPr>
        <w:tab/>
      </w:r>
      <w:r>
        <w:rPr>
          <w:szCs w:val="24"/>
        </w:rPr>
        <w:tab/>
        <w:t>For all of the above reasons, a conclusion is required that Mr. Woitko failed to carry his burden of proof</w:t>
      </w:r>
      <w:r w:rsidR="008134ED">
        <w:rPr>
          <w:szCs w:val="24"/>
        </w:rPr>
        <w:t>,</w:t>
      </w:r>
      <w:r>
        <w:rPr>
          <w:szCs w:val="24"/>
        </w:rPr>
        <w:t xml:space="preserve"> and </w:t>
      </w:r>
      <w:r w:rsidR="008134ED">
        <w:rPr>
          <w:szCs w:val="24"/>
        </w:rPr>
        <w:t xml:space="preserve">therefore, </w:t>
      </w:r>
      <w:r>
        <w:rPr>
          <w:szCs w:val="24"/>
        </w:rPr>
        <w:t>his complaint must be dismissed.</w:t>
      </w:r>
    </w:p>
    <w:p w:rsidR="00605B0A" w:rsidRDefault="00605B0A" w:rsidP="00CC54C7">
      <w:pPr>
        <w:pStyle w:val="BodyText"/>
        <w:tabs>
          <w:tab w:val="clear" w:pos="-1440"/>
          <w:tab w:val="clear" w:pos="-720"/>
          <w:tab w:val="clear" w:pos="0"/>
          <w:tab w:val="clear" w:pos="720"/>
          <w:tab w:val="clear" w:pos="1440"/>
        </w:tabs>
        <w:spacing w:line="360" w:lineRule="auto"/>
        <w:jc w:val="left"/>
        <w:rPr>
          <w:szCs w:val="24"/>
          <w:u w:val="single"/>
        </w:rPr>
      </w:pPr>
    </w:p>
    <w:p w:rsidR="006933B6" w:rsidRDefault="006933B6" w:rsidP="00CC54C7">
      <w:pPr>
        <w:pStyle w:val="BodyText"/>
        <w:spacing w:line="360" w:lineRule="auto"/>
        <w:jc w:val="center"/>
        <w:rPr>
          <w:szCs w:val="24"/>
        </w:rPr>
      </w:pPr>
      <w:r w:rsidRPr="00D2555A">
        <w:rPr>
          <w:szCs w:val="24"/>
          <w:u w:val="single"/>
        </w:rPr>
        <w:lastRenderedPageBreak/>
        <w:t>CONCLUSIONS OF LAW</w:t>
      </w:r>
    </w:p>
    <w:p w:rsidR="00292266" w:rsidRPr="00292266" w:rsidRDefault="00292266" w:rsidP="00CC54C7">
      <w:pPr>
        <w:pStyle w:val="BodyText"/>
        <w:spacing w:line="360" w:lineRule="auto"/>
        <w:jc w:val="center"/>
        <w:rPr>
          <w:szCs w:val="24"/>
        </w:rPr>
      </w:pPr>
    </w:p>
    <w:p w:rsidR="00292266" w:rsidRPr="00292266" w:rsidRDefault="00425FFF" w:rsidP="00CC54C7">
      <w:pPr>
        <w:pStyle w:val="ListParagraph"/>
        <w:numPr>
          <w:ilvl w:val="0"/>
          <w:numId w:val="9"/>
        </w:numPr>
        <w:spacing w:line="360" w:lineRule="auto"/>
        <w:rPr>
          <w:snapToGrid w:val="0"/>
        </w:rPr>
      </w:pPr>
      <w:r w:rsidRPr="00292266">
        <w:rPr>
          <w:snapToGrid w:val="0"/>
        </w:rPr>
        <w:t xml:space="preserve">The Commission has jurisdiction over the parties and subject matter of </w:t>
      </w:r>
    </w:p>
    <w:p w:rsidR="00425FFF" w:rsidRPr="009E7B03" w:rsidRDefault="00425FFF" w:rsidP="00CC54C7">
      <w:pPr>
        <w:spacing w:line="360" w:lineRule="auto"/>
        <w:rPr>
          <w:bCs/>
          <w:snapToGrid w:val="0"/>
        </w:rPr>
      </w:pPr>
      <w:proofErr w:type="gramStart"/>
      <w:r w:rsidRPr="009E7B03">
        <w:rPr>
          <w:snapToGrid w:val="0"/>
        </w:rPr>
        <w:t>this</w:t>
      </w:r>
      <w:proofErr w:type="gramEnd"/>
      <w:r w:rsidRPr="009E7B03">
        <w:rPr>
          <w:snapToGrid w:val="0"/>
        </w:rPr>
        <w:t xml:space="preserve"> proceeding.  </w:t>
      </w:r>
      <w:proofErr w:type="gramStart"/>
      <w:r w:rsidRPr="009E7B03">
        <w:rPr>
          <w:snapToGrid w:val="0"/>
        </w:rPr>
        <w:t xml:space="preserve">66 </w:t>
      </w:r>
      <w:proofErr w:type="spellStart"/>
      <w:r w:rsidRPr="009E7B03">
        <w:rPr>
          <w:snapToGrid w:val="0"/>
        </w:rPr>
        <w:t>Pa.C.S</w:t>
      </w:r>
      <w:proofErr w:type="spellEnd"/>
      <w:r w:rsidRPr="009E7B03">
        <w:rPr>
          <w:snapToGrid w:val="0"/>
        </w:rPr>
        <w:t>.</w:t>
      </w:r>
      <w:proofErr w:type="gramEnd"/>
      <w:r w:rsidRPr="009E7B03">
        <w:rPr>
          <w:snapToGrid w:val="0"/>
        </w:rPr>
        <w:t xml:space="preserve"> </w:t>
      </w:r>
      <w:r w:rsidRPr="009E7B03">
        <w:rPr>
          <w:bCs/>
          <w:snapToGrid w:val="0"/>
        </w:rPr>
        <w:t>§ 701.</w:t>
      </w:r>
    </w:p>
    <w:p w:rsidR="00425FFF" w:rsidRPr="009E7B03" w:rsidRDefault="00425FFF" w:rsidP="00CC54C7">
      <w:pPr>
        <w:spacing w:line="360" w:lineRule="auto"/>
        <w:rPr>
          <w:snapToGrid w:val="0"/>
        </w:rPr>
      </w:pPr>
    </w:p>
    <w:p w:rsidR="00BC4034" w:rsidRDefault="00425FFF" w:rsidP="00CC54C7">
      <w:pPr>
        <w:pStyle w:val="ParaTab1"/>
        <w:spacing w:line="360" w:lineRule="auto"/>
        <w:rPr>
          <w:rFonts w:ascii="Times New Roman" w:hAnsi="Times New Roman" w:cs="Times New Roman"/>
        </w:rPr>
      </w:pPr>
      <w:r w:rsidRPr="009E7B03">
        <w:rPr>
          <w:snapToGrid w:val="0"/>
        </w:rPr>
        <w:t>2.</w:t>
      </w:r>
      <w:r w:rsidRPr="009E7B03">
        <w:rPr>
          <w:snapToGrid w:val="0"/>
        </w:rPr>
        <w:tab/>
      </w:r>
      <w:r w:rsidR="008134ED" w:rsidRPr="000D1F63">
        <w:rPr>
          <w:rFonts w:ascii="Times New Roman" w:hAnsi="Times New Roman" w:cs="Times New Roman"/>
        </w:rPr>
        <w:t xml:space="preserve">A formal complaint must set forth the act or thing done or omitted to be done by a public utility in violation, or claimed violation, of any law which the commission has jurisdiction to administer, or of any regulation or order of the commission.  </w:t>
      </w:r>
      <w:proofErr w:type="gramStart"/>
      <w:r w:rsidR="008134ED" w:rsidRPr="000D1F63">
        <w:rPr>
          <w:rFonts w:ascii="Times New Roman" w:hAnsi="Times New Roman" w:cs="Times New Roman"/>
        </w:rPr>
        <w:t xml:space="preserve">66 </w:t>
      </w:r>
      <w:proofErr w:type="spellStart"/>
      <w:r w:rsidR="008134ED">
        <w:rPr>
          <w:rFonts w:ascii="Times New Roman" w:hAnsi="Times New Roman" w:cs="Times New Roman"/>
        </w:rPr>
        <w:t>Pa.C.S</w:t>
      </w:r>
      <w:proofErr w:type="spellEnd"/>
      <w:r w:rsidR="008134ED">
        <w:rPr>
          <w:rFonts w:ascii="Times New Roman" w:hAnsi="Times New Roman" w:cs="Times New Roman"/>
        </w:rPr>
        <w:t>.</w:t>
      </w:r>
      <w:proofErr w:type="gramEnd"/>
      <w:r w:rsidR="008134ED" w:rsidRPr="000D1F63">
        <w:rPr>
          <w:rFonts w:ascii="Times New Roman" w:hAnsi="Times New Roman" w:cs="Times New Roman"/>
        </w:rPr>
        <w:t xml:space="preserve"> § 701; </w:t>
      </w:r>
    </w:p>
    <w:p w:rsidR="008134ED" w:rsidRPr="000D1F63" w:rsidRDefault="00BC4034" w:rsidP="00BC4034">
      <w:pPr>
        <w:pStyle w:val="ParaTab1"/>
        <w:spacing w:line="360" w:lineRule="auto"/>
        <w:ind w:firstLine="0"/>
        <w:rPr>
          <w:rFonts w:ascii="Times New Roman" w:hAnsi="Times New Roman" w:cs="Times New Roman"/>
        </w:rPr>
      </w:pPr>
      <w:r>
        <w:rPr>
          <w:rFonts w:ascii="Times New Roman" w:hAnsi="Times New Roman" w:cs="Times New Roman"/>
        </w:rPr>
        <w:t xml:space="preserve">52 </w:t>
      </w:r>
      <w:proofErr w:type="spellStart"/>
      <w:r w:rsidR="008134ED">
        <w:rPr>
          <w:rFonts w:ascii="Times New Roman" w:hAnsi="Times New Roman" w:cs="Times New Roman"/>
        </w:rPr>
        <w:t>Pa.Code</w:t>
      </w:r>
      <w:proofErr w:type="spellEnd"/>
      <w:r w:rsidR="008134ED" w:rsidRPr="000D1F63">
        <w:rPr>
          <w:rFonts w:ascii="Times New Roman" w:hAnsi="Times New Roman" w:cs="Times New Roman"/>
        </w:rPr>
        <w:t xml:space="preserve"> § 5.22(a</w:t>
      </w:r>
      <w:proofErr w:type="gramStart"/>
      <w:r w:rsidR="008134ED" w:rsidRPr="000D1F63">
        <w:rPr>
          <w:rFonts w:ascii="Times New Roman" w:hAnsi="Times New Roman" w:cs="Times New Roman"/>
        </w:rPr>
        <w:t>)(</w:t>
      </w:r>
      <w:proofErr w:type="gramEnd"/>
      <w:r w:rsidR="008134ED" w:rsidRPr="000D1F63">
        <w:rPr>
          <w:rFonts w:ascii="Times New Roman" w:hAnsi="Times New Roman" w:cs="Times New Roman"/>
        </w:rPr>
        <w:t xml:space="preserve">4).  </w:t>
      </w:r>
    </w:p>
    <w:p w:rsidR="008134ED" w:rsidRDefault="008134ED" w:rsidP="00CC54C7">
      <w:pPr>
        <w:tabs>
          <w:tab w:val="left" w:pos="-1620"/>
        </w:tabs>
        <w:spacing w:line="360" w:lineRule="auto"/>
        <w:rPr>
          <w:snapToGrid w:val="0"/>
        </w:rPr>
      </w:pPr>
    </w:p>
    <w:p w:rsidR="00425FFF" w:rsidRPr="008825A7" w:rsidRDefault="00425FFF" w:rsidP="00CC54C7">
      <w:pPr>
        <w:pStyle w:val="ListParagraph"/>
        <w:numPr>
          <w:ilvl w:val="0"/>
          <w:numId w:val="10"/>
        </w:numPr>
        <w:tabs>
          <w:tab w:val="left" w:pos="-1620"/>
        </w:tabs>
        <w:spacing w:line="360" w:lineRule="auto"/>
        <w:ind w:left="0" w:firstLine="1440"/>
        <w:rPr>
          <w:snapToGrid w:val="0"/>
        </w:rPr>
      </w:pPr>
      <w:r w:rsidRPr="008825A7">
        <w:rPr>
          <w:snapToGrid w:val="0"/>
        </w:rPr>
        <w:t>Complainant as the proponent of a rule or order ha</w:t>
      </w:r>
      <w:r w:rsidR="003725B3" w:rsidRPr="008825A7">
        <w:rPr>
          <w:snapToGrid w:val="0"/>
        </w:rPr>
        <w:t>s</w:t>
      </w:r>
      <w:r w:rsidRPr="008825A7">
        <w:rPr>
          <w:snapToGrid w:val="0"/>
        </w:rPr>
        <w:t xml:space="preserve"> the burden of proof.  </w:t>
      </w:r>
      <w:proofErr w:type="gramStart"/>
      <w:r w:rsidRPr="008825A7">
        <w:rPr>
          <w:snapToGrid w:val="0"/>
        </w:rPr>
        <w:t xml:space="preserve">66 </w:t>
      </w:r>
      <w:proofErr w:type="spellStart"/>
      <w:r w:rsidRPr="008825A7">
        <w:rPr>
          <w:snapToGrid w:val="0"/>
        </w:rPr>
        <w:t>Pa.C.S</w:t>
      </w:r>
      <w:proofErr w:type="spellEnd"/>
      <w:r w:rsidRPr="008825A7">
        <w:rPr>
          <w:snapToGrid w:val="0"/>
        </w:rPr>
        <w:t>.</w:t>
      </w:r>
      <w:proofErr w:type="gramEnd"/>
      <w:r w:rsidRPr="008825A7">
        <w:rPr>
          <w:snapToGrid w:val="0"/>
        </w:rPr>
        <w:t xml:space="preserve"> § 332(a).</w:t>
      </w:r>
    </w:p>
    <w:p w:rsidR="003725B3" w:rsidRDefault="003725B3" w:rsidP="00CC54C7">
      <w:pPr>
        <w:autoSpaceDE/>
        <w:autoSpaceDN/>
        <w:spacing w:line="360" w:lineRule="auto"/>
        <w:rPr>
          <w:rFonts w:ascii="Times New Roman" w:hAnsi="Times New Roman" w:cs="Times New Roman"/>
        </w:rPr>
      </w:pPr>
    </w:p>
    <w:p w:rsidR="003725B3" w:rsidRDefault="008825A7" w:rsidP="00CC54C7">
      <w:pPr>
        <w:autoSpaceDE/>
        <w:autoSpaceDN/>
        <w:spacing w:line="360" w:lineRule="auto"/>
        <w:ind w:firstLine="1440"/>
        <w:rPr>
          <w:rFonts w:ascii="Times New Roman" w:hAnsi="Times New Roman" w:cs="Times New Roman"/>
        </w:rPr>
      </w:pPr>
      <w:r>
        <w:rPr>
          <w:rFonts w:ascii="Times New Roman" w:hAnsi="Times New Roman" w:cs="Times New Roman"/>
        </w:rPr>
        <w:t>4</w:t>
      </w:r>
      <w:r w:rsidR="003725B3">
        <w:rPr>
          <w:rFonts w:ascii="Times New Roman" w:hAnsi="Times New Roman" w:cs="Times New Roman"/>
        </w:rPr>
        <w:t>.</w:t>
      </w:r>
      <w:r w:rsidR="003725B3">
        <w:rPr>
          <w:rFonts w:ascii="Times New Roman" w:hAnsi="Times New Roman" w:cs="Times New Roman"/>
        </w:rPr>
        <w:tab/>
      </w:r>
      <w:r w:rsidR="00CF6BE4">
        <w:rPr>
          <w:rFonts w:ascii="Times New Roman" w:hAnsi="Times New Roman" w:cs="Times New Roman"/>
        </w:rPr>
        <w:t>“Burden of proof”</w:t>
      </w:r>
      <w:r w:rsidR="003725B3" w:rsidRPr="000D1F63">
        <w:rPr>
          <w:rFonts w:ascii="Times New Roman" w:hAnsi="Times New Roman" w:cs="Times New Roman"/>
        </w:rPr>
        <w:t xml:space="preserve"> means a duty to establish a fact by a preponderance of the evidence, or evidence more convincing, by even the smallest degree, than the evidence presented by the other party.  </w:t>
      </w:r>
      <w:proofErr w:type="gramStart"/>
      <w:r w:rsidR="003725B3" w:rsidRPr="005F1172">
        <w:rPr>
          <w:rFonts w:ascii="Times New Roman" w:hAnsi="Times New Roman" w:cs="Times New Roman"/>
          <w:i/>
        </w:rPr>
        <w:t>Se-Ling Hosiery v. Margulies,</w:t>
      </w:r>
      <w:r w:rsidR="003725B3" w:rsidRPr="000D1F63">
        <w:rPr>
          <w:rFonts w:ascii="Times New Roman" w:hAnsi="Times New Roman" w:cs="Times New Roman"/>
        </w:rPr>
        <w:t xml:space="preserve"> 364 Pa. 54, 70 A.2d 854 (1950).</w:t>
      </w:r>
      <w:proofErr w:type="gramEnd"/>
    </w:p>
    <w:p w:rsidR="003725B3" w:rsidRDefault="003725B3" w:rsidP="00CC54C7">
      <w:pPr>
        <w:autoSpaceDE/>
        <w:autoSpaceDN/>
        <w:spacing w:line="360" w:lineRule="auto"/>
        <w:ind w:firstLine="1440"/>
        <w:rPr>
          <w:rFonts w:ascii="Times New Roman" w:hAnsi="Times New Roman" w:cs="Times New Roman"/>
        </w:rPr>
      </w:pPr>
    </w:p>
    <w:p w:rsidR="003725B3" w:rsidRDefault="008825A7" w:rsidP="00CC54C7">
      <w:pPr>
        <w:autoSpaceDE/>
        <w:autoSpaceDN/>
        <w:spacing w:line="360" w:lineRule="auto"/>
        <w:ind w:firstLine="1440"/>
        <w:rPr>
          <w:rFonts w:ascii="Times New Roman" w:hAnsi="Times New Roman" w:cs="Times New Roman"/>
        </w:rPr>
      </w:pPr>
      <w:r>
        <w:rPr>
          <w:rFonts w:ascii="Times New Roman" w:hAnsi="Times New Roman" w:cs="Times New Roman"/>
        </w:rPr>
        <w:t>5</w:t>
      </w:r>
      <w:r w:rsidR="003725B3">
        <w:rPr>
          <w:rFonts w:ascii="Times New Roman" w:hAnsi="Times New Roman" w:cs="Times New Roman"/>
        </w:rPr>
        <w:t>.</w:t>
      </w:r>
      <w:r w:rsidR="003725B3">
        <w:rPr>
          <w:rFonts w:ascii="Times New Roman" w:hAnsi="Times New Roman" w:cs="Times New Roman"/>
        </w:rPr>
        <w:tab/>
      </w:r>
      <w:r w:rsidR="003725B3" w:rsidRPr="000D1F63">
        <w:rPr>
          <w:rFonts w:ascii="Times New Roman" w:hAnsi="Times New Roman" w:cs="Times New Roman"/>
        </w:rPr>
        <w:t xml:space="preserve"> The decision of the Commission must be supported by substantial</w:t>
      </w:r>
    </w:p>
    <w:p w:rsidR="003725B3" w:rsidRPr="000D1F63" w:rsidRDefault="003725B3" w:rsidP="00CC54C7">
      <w:pPr>
        <w:autoSpaceDE/>
        <w:autoSpaceDN/>
        <w:spacing w:line="360" w:lineRule="auto"/>
        <w:rPr>
          <w:rFonts w:ascii="Times New Roman" w:hAnsi="Times New Roman" w:cs="Times New Roman"/>
        </w:rPr>
      </w:pPr>
      <w:proofErr w:type="gramStart"/>
      <w:r w:rsidRPr="000D1F63">
        <w:rPr>
          <w:rFonts w:ascii="Times New Roman" w:hAnsi="Times New Roman" w:cs="Times New Roman"/>
        </w:rPr>
        <w:t>evidence</w:t>
      </w:r>
      <w:proofErr w:type="gramEnd"/>
      <w:r w:rsidRPr="000D1F63">
        <w:rPr>
          <w:rFonts w:ascii="Times New Roman" w:hAnsi="Times New Roman" w:cs="Times New Roman"/>
        </w:rPr>
        <w:t xml:space="preserve">.  </w:t>
      </w:r>
      <w:proofErr w:type="gramStart"/>
      <w:r w:rsidRPr="000D1F63">
        <w:rPr>
          <w:rFonts w:ascii="Times New Roman" w:hAnsi="Times New Roman" w:cs="Times New Roman"/>
        </w:rPr>
        <w:t xml:space="preserve">2 </w:t>
      </w:r>
      <w:proofErr w:type="spellStart"/>
      <w:r w:rsidRPr="000D1F63">
        <w:rPr>
          <w:rFonts w:ascii="Times New Roman" w:hAnsi="Times New Roman" w:cs="Times New Roman"/>
        </w:rPr>
        <w:t>Pa.C.S</w:t>
      </w:r>
      <w:proofErr w:type="spellEnd"/>
      <w:r w:rsidRPr="000D1F63">
        <w:rPr>
          <w:rFonts w:ascii="Times New Roman" w:hAnsi="Times New Roman" w:cs="Times New Roman"/>
        </w:rPr>
        <w:t>.</w:t>
      </w:r>
      <w:proofErr w:type="gramEnd"/>
      <w:r w:rsidRPr="000D1F63">
        <w:rPr>
          <w:rFonts w:ascii="Times New Roman" w:hAnsi="Times New Roman" w:cs="Times New Roman"/>
        </w:rPr>
        <w:t xml:space="preserve"> § 704.</w:t>
      </w:r>
    </w:p>
    <w:p w:rsidR="003725B3" w:rsidRPr="000D1F63" w:rsidRDefault="003725B3" w:rsidP="00CC54C7">
      <w:pPr>
        <w:pStyle w:val="ListParagraph"/>
        <w:spacing w:line="360" w:lineRule="auto"/>
        <w:rPr>
          <w:rFonts w:ascii="Times New Roman" w:hAnsi="Times New Roman" w:cs="Times New Roman"/>
        </w:rPr>
      </w:pPr>
    </w:p>
    <w:p w:rsidR="003725B3" w:rsidRPr="003725B3" w:rsidRDefault="008825A7" w:rsidP="00CC54C7">
      <w:pPr>
        <w:autoSpaceDE/>
        <w:autoSpaceDN/>
        <w:spacing w:line="360" w:lineRule="auto"/>
        <w:ind w:firstLine="1440"/>
        <w:rPr>
          <w:rFonts w:ascii="Times New Roman" w:hAnsi="Times New Roman" w:cs="Times New Roman"/>
          <w:bCs/>
          <w:color w:val="000000"/>
        </w:rPr>
      </w:pPr>
      <w:r>
        <w:rPr>
          <w:rFonts w:ascii="Times New Roman" w:hAnsi="Times New Roman" w:cs="Times New Roman"/>
        </w:rPr>
        <w:t>6</w:t>
      </w:r>
      <w:r w:rsidR="003725B3">
        <w:rPr>
          <w:rFonts w:ascii="Times New Roman" w:hAnsi="Times New Roman" w:cs="Times New Roman"/>
        </w:rPr>
        <w:t>.</w:t>
      </w:r>
      <w:r w:rsidR="003725B3">
        <w:rPr>
          <w:rFonts w:ascii="Times New Roman" w:hAnsi="Times New Roman" w:cs="Times New Roman"/>
        </w:rPr>
        <w:tab/>
      </w:r>
      <w:r w:rsidR="00CF6BE4">
        <w:rPr>
          <w:rFonts w:ascii="Times New Roman" w:hAnsi="Times New Roman" w:cs="Times New Roman"/>
        </w:rPr>
        <w:t>“Substantial evidence”</w:t>
      </w:r>
      <w:r w:rsidR="003725B3" w:rsidRPr="003725B3">
        <w:rPr>
          <w:rFonts w:ascii="Times New Roman" w:hAnsi="Times New Roman" w:cs="Times New Roman"/>
        </w:rPr>
        <w:t xml:space="preserve"> is such relevant evidence that a reasonable mind might accept as adequate to support a conclusion.  More is required than a mere trace of evidence or a suspicion of the existence of a fact sought to be established.  </w:t>
      </w:r>
      <w:proofErr w:type="gramStart"/>
      <w:r w:rsidR="003725B3" w:rsidRPr="005F1172">
        <w:rPr>
          <w:rFonts w:ascii="Times New Roman" w:hAnsi="Times New Roman" w:cs="Times New Roman"/>
          <w:i/>
        </w:rPr>
        <w:t>Norfolk &amp; Western Ry. Co. v. Pa. Pub.</w:t>
      </w:r>
      <w:proofErr w:type="gramEnd"/>
      <w:r w:rsidR="003725B3" w:rsidRPr="005F1172">
        <w:rPr>
          <w:rFonts w:ascii="Times New Roman" w:hAnsi="Times New Roman" w:cs="Times New Roman"/>
          <w:i/>
        </w:rPr>
        <w:t xml:space="preserve"> </w:t>
      </w:r>
      <w:proofErr w:type="gramStart"/>
      <w:r w:rsidR="003725B3" w:rsidRPr="005F1172">
        <w:rPr>
          <w:rFonts w:ascii="Times New Roman" w:hAnsi="Times New Roman" w:cs="Times New Roman"/>
          <w:i/>
        </w:rPr>
        <w:t xml:space="preserve">Util. </w:t>
      </w:r>
      <w:proofErr w:type="spellStart"/>
      <w:r w:rsidR="003725B3" w:rsidRPr="005F1172">
        <w:rPr>
          <w:rFonts w:ascii="Times New Roman" w:hAnsi="Times New Roman" w:cs="Times New Roman"/>
          <w:i/>
        </w:rPr>
        <w:t>Comm’n</w:t>
      </w:r>
      <w:proofErr w:type="spellEnd"/>
      <w:r w:rsidR="003725B3" w:rsidRPr="005F1172">
        <w:rPr>
          <w:rFonts w:ascii="Times New Roman" w:hAnsi="Times New Roman" w:cs="Times New Roman"/>
          <w:i/>
        </w:rPr>
        <w:t>,</w:t>
      </w:r>
      <w:r w:rsidR="003725B3" w:rsidRPr="003725B3">
        <w:rPr>
          <w:rFonts w:ascii="Times New Roman" w:hAnsi="Times New Roman" w:cs="Times New Roman"/>
        </w:rPr>
        <w:t xml:space="preserve"> 489 Pa. 109, 413 A.2d 1037 (1980</w:t>
      </w:r>
      <w:r w:rsidR="003725B3">
        <w:rPr>
          <w:rFonts w:ascii="Times New Roman" w:hAnsi="Times New Roman" w:cs="Times New Roman"/>
        </w:rPr>
        <w:t>).</w:t>
      </w:r>
      <w:proofErr w:type="gramEnd"/>
    </w:p>
    <w:p w:rsidR="003725B3" w:rsidRPr="003725B3" w:rsidRDefault="003725B3" w:rsidP="00CC54C7">
      <w:pPr>
        <w:autoSpaceDE/>
        <w:autoSpaceDN/>
        <w:spacing w:line="360" w:lineRule="auto"/>
        <w:rPr>
          <w:rFonts w:ascii="Times New Roman" w:hAnsi="Times New Roman" w:cs="Times New Roman"/>
          <w:bCs/>
          <w:color w:val="000000"/>
        </w:rPr>
      </w:pPr>
    </w:p>
    <w:p w:rsidR="003725B3" w:rsidRPr="000D1F63" w:rsidRDefault="008825A7" w:rsidP="00CC54C7">
      <w:pPr>
        <w:numPr>
          <w:ilvl w:val="0"/>
          <w:numId w:val="11"/>
        </w:numPr>
        <w:autoSpaceDE/>
        <w:autoSpaceDN/>
        <w:spacing w:line="360" w:lineRule="auto"/>
        <w:ind w:left="0" w:firstLine="1440"/>
        <w:rPr>
          <w:rFonts w:ascii="Times New Roman" w:eastAsiaTheme="minorEastAsia" w:hAnsi="Times New Roman" w:cs="Times New Roman"/>
        </w:rPr>
      </w:pPr>
      <w:r>
        <w:rPr>
          <w:rFonts w:ascii="Times New Roman" w:hAnsi="Times New Roman" w:cs="Times New Roman"/>
        </w:rPr>
        <w:t>E</w:t>
      </w:r>
      <w:r w:rsidR="003725B3" w:rsidRPr="000D1F63">
        <w:rPr>
          <w:rFonts w:ascii="Times New Roman" w:hAnsi="Times New Roman" w:cs="Times New Roman"/>
        </w:rPr>
        <w:t xml:space="preserve">lectric generation </w:t>
      </w:r>
      <w:r w:rsidR="008134ED">
        <w:rPr>
          <w:rFonts w:ascii="Times New Roman" w:hAnsi="Times New Roman" w:cs="Times New Roman"/>
        </w:rPr>
        <w:t>suppliers are required to exercise good fait</w:t>
      </w:r>
      <w:r>
        <w:rPr>
          <w:rFonts w:ascii="Times New Roman" w:hAnsi="Times New Roman" w:cs="Times New Roman"/>
        </w:rPr>
        <w:t>h</w:t>
      </w:r>
      <w:r w:rsidR="008134ED">
        <w:rPr>
          <w:rFonts w:ascii="Times New Roman" w:hAnsi="Times New Roman" w:cs="Times New Roman"/>
        </w:rPr>
        <w:t xml:space="preserve">, honesty and fair dealing with customers.  </w:t>
      </w:r>
      <w:proofErr w:type="gramStart"/>
      <w:r w:rsidR="008134ED">
        <w:rPr>
          <w:rFonts w:ascii="Times New Roman" w:hAnsi="Times New Roman" w:cs="Times New Roman"/>
        </w:rPr>
        <w:t>66</w:t>
      </w:r>
      <w:r w:rsidR="003725B3" w:rsidRPr="000D1F63">
        <w:rPr>
          <w:rFonts w:ascii="Times New Roman" w:hAnsi="Times New Roman" w:cs="Times New Roman"/>
        </w:rPr>
        <w:t xml:space="preserve"> </w:t>
      </w:r>
      <w:proofErr w:type="spellStart"/>
      <w:r w:rsidR="003725B3" w:rsidRPr="000D1F63">
        <w:rPr>
          <w:rFonts w:ascii="Times New Roman" w:hAnsi="Times New Roman" w:cs="Times New Roman"/>
        </w:rPr>
        <w:t>Pa.</w:t>
      </w:r>
      <w:r w:rsidR="008134ED">
        <w:rPr>
          <w:rFonts w:ascii="Times New Roman" w:hAnsi="Times New Roman" w:cs="Times New Roman"/>
        </w:rPr>
        <w:t>C.S</w:t>
      </w:r>
      <w:proofErr w:type="spellEnd"/>
      <w:r w:rsidR="008134ED">
        <w:rPr>
          <w:rFonts w:ascii="Times New Roman" w:hAnsi="Times New Roman" w:cs="Times New Roman"/>
        </w:rPr>
        <w:t>.</w:t>
      </w:r>
      <w:proofErr w:type="gramEnd"/>
      <w:r w:rsidR="008134ED">
        <w:rPr>
          <w:rFonts w:ascii="Times New Roman" w:hAnsi="Times New Roman" w:cs="Times New Roman"/>
        </w:rPr>
        <w:t xml:space="preserve"> </w:t>
      </w:r>
      <w:r w:rsidR="003725B3" w:rsidRPr="000D1F63">
        <w:rPr>
          <w:rFonts w:ascii="Times New Roman" w:hAnsi="Times New Roman" w:cs="Times New Roman"/>
        </w:rPr>
        <w:t xml:space="preserve">§ </w:t>
      </w:r>
      <w:r w:rsidR="008134ED">
        <w:rPr>
          <w:rFonts w:ascii="Times New Roman" w:hAnsi="Times New Roman" w:cs="Times New Roman"/>
        </w:rPr>
        <w:t>2809</w:t>
      </w:r>
      <w:r w:rsidR="003725B3" w:rsidRPr="000D1F63">
        <w:rPr>
          <w:rFonts w:ascii="Times New Roman" w:hAnsi="Times New Roman" w:cs="Times New Roman"/>
        </w:rPr>
        <w:t>(d)</w:t>
      </w:r>
      <w:r w:rsidR="008134ED">
        <w:rPr>
          <w:rFonts w:ascii="Times New Roman" w:hAnsi="Times New Roman" w:cs="Times New Roman"/>
        </w:rPr>
        <w:t xml:space="preserve">; </w:t>
      </w:r>
      <w:proofErr w:type="gramStart"/>
      <w:r w:rsidR="008134ED">
        <w:rPr>
          <w:rFonts w:ascii="Times New Roman" w:hAnsi="Times New Roman" w:cs="Times New Roman"/>
        </w:rPr>
        <w:t xml:space="preserve">52 </w:t>
      </w:r>
      <w:proofErr w:type="spellStart"/>
      <w:r w:rsidR="008134ED">
        <w:rPr>
          <w:rFonts w:ascii="Times New Roman" w:hAnsi="Times New Roman" w:cs="Times New Roman"/>
        </w:rPr>
        <w:t>Pa</w:t>
      </w:r>
      <w:r w:rsidR="003725B3" w:rsidRPr="000D1F63">
        <w:rPr>
          <w:rFonts w:ascii="Times New Roman" w:hAnsi="Times New Roman" w:cs="Times New Roman"/>
        </w:rPr>
        <w:t>.</w:t>
      </w:r>
      <w:r w:rsidR="008134ED">
        <w:rPr>
          <w:rFonts w:ascii="Times New Roman" w:hAnsi="Times New Roman" w:cs="Times New Roman"/>
        </w:rPr>
        <w:t>Code</w:t>
      </w:r>
      <w:proofErr w:type="spellEnd"/>
      <w:r w:rsidR="008134ED">
        <w:rPr>
          <w:rFonts w:ascii="Times New Roman" w:hAnsi="Times New Roman" w:cs="Times New Roman"/>
        </w:rPr>
        <w:t xml:space="preserve"> Ch</w:t>
      </w:r>
      <w:r w:rsidR="00CF6BE4">
        <w:rPr>
          <w:rFonts w:ascii="Times New Roman" w:hAnsi="Times New Roman" w:cs="Times New Roman"/>
        </w:rPr>
        <w:t>.</w:t>
      </w:r>
      <w:r w:rsidR="008134ED">
        <w:rPr>
          <w:rFonts w:ascii="Times New Roman" w:hAnsi="Times New Roman" w:cs="Times New Roman"/>
        </w:rPr>
        <w:t xml:space="preserve"> 56</w:t>
      </w:r>
      <w:proofErr w:type="gramEnd"/>
      <w:r w:rsidR="008134ED">
        <w:rPr>
          <w:rFonts w:ascii="Times New Roman" w:hAnsi="Times New Roman" w:cs="Times New Roman"/>
        </w:rPr>
        <w:t>.</w:t>
      </w:r>
    </w:p>
    <w:p w:rsidR="003725B3" w:rsidRPr="000D1F63" w:rsidRDefault="003725B3" w:rsidP="00E63D22">
      <w:pPr>
        <w:pStyle w:val="ListParagraph"/>
        <w:spacing w:line="360" w:lineRule="auto"/>
        <w:rPr>
          <w:rFonts w:ascii="Times New Roman" w:hAnsi="Times New Roman" w:cs="Times New Roman"/>
        </w:rPr>
      </w:pPr>
    </w:p>
    <w:p w:rsidR="00827682" w:rsidRDefault="008825A7" w:rsidP="00E05A49">
      <w:pPr>
        <w:pStyle w:val="ParaTab1"/>
        <w:numPr>
          <w:ilvl w:val="0"/>
          <w:numId w:val="11"/>
        </w:numPr>
        <w:spacing w:line="360" w:lineRule="auto"/>
        <w:ind w:left="0" w:firstLine="1440"/>
        <w:rPr>
          <w:rFonts w:ascii="Times New Roman" w:hAnsi="Times New Roman" w:cs="Times New Roman"/>
        </w:rPr>
      </w:pPr>
      <w:r w:rsidRPr="008825A7">
        <w:rPr>
          <w:rFonts w:ascii="Times New Roman" w:hAnsi="Times New Roman" w:cs="Times New Roman"/>
        </w:rPr>
        <w:t>The Commission’s regulations require electric generation suppliers to provide customer disclosure statements, which include price and</w:t>
      </w:r>
      <w:r w:rsidR="003B177E">
        <w:rPr>
          <w:rFonts w:ascii="Times New Roman" w:hAnsi="Times New Roman" w:cs="Times New Roman"/>
        </w:rPr>
        <w:t xml:space="preserve"> terms of service that are clear </w:t>
      </w:r>
      <w:r w:rsidR="00827682">
        <w:rPr>
          <w:rFonts w:ascii="Times New Roman" w:hAnsi="Times New Roman" w:cs="Times New Roman"/>
        </w:rPr>
        <w:lastRenderedPageBreak/>
        <w:t xml:space="preserve">and unequivocal.  52 </w:t>
      </w:r>
      <w:proofErr w:type="spellStart"/>
      <w:r w:rsidR="00827682">
        <w:rPr>
          <w:rFonts w:ascii="Times New Roman" w:hAnsi="Times New Roman" w:cs="Times New Roman"/>
        </w:rPr>
        <w:t>Pa.Code</w:t>
      </w:r>
      <w:proofErr w:type="spellEnd"/>
      <w:r w:rsidR="00827682">
        <w:rPr>
          <w:rFonts w:ascii="Times New Roman" w:hAnsi="Times New Roman" w:cs="Times New Roman"/>
        </w:rPr>
        <w:t xml:space="preserve"> § 54.4; </w:t>
      </w:r>
      <w:proofErr w:type="spellStart"/>
      <w:r w:rsidR="00827682" w:rsidRPr="00827682">
        <w:rPr>
          <w:rFonts w:ascii="Times New Roman" w:hAnsi="Times New Roman" w:cs="Times New Roman"/>
          <w:i/>
        </w:rPr>
        <w:t>Yaglidereliler</w:t>
      </w:r>
      <w:proofErr w:type="spellEnd"/>
      <w:r w:rsidR="00827682" w:rsidRPr="00827682">
        <w:rPr>
          <w:rFonts w:ascii="Times New Roman" w:hAnsi="Times New Roman" w:cs="Times New Roman"/>
          <w:i/>
        </w:rPr>
        <w:t xml:space="preserve"> Corporation v. Blue Pilot Energy, LLC</w:t>
      </w:r>
      <w:r w:rsidR="00827682">
        <w:rPr>
          <w:rFonts w:ascii="Times New Roman" w:hAnsi="Times New Roman" w:cs="Times New Roman"/>
        </w:rPr>
        <w:t>, Docket No. C-2014-2413732, (Opinion and Order entered January 16, 2015).</w:t>
      </w:r>
    </w:p>
    <w:p w:rsidR="00E1793F" w:rsidRDefault="00827682" w:rsidP="00827682">
      <w:pPr>
        <w:pStyle w:val="ParaTab1"/>
        <w:spacing w:line="360" w:lineRule="auto"/>
        <w:rPr>
          <w:rFonts w:ascii="Times New Roman" w:hAnsi="Times New Roman" w:cs="Times New Roman"/>
        </w:rPr>
      </w:pPr>
      <w:r>
        <w:rPr>
          <w:rFonts w:ascii="Times New Roman" w:hAnsi="Times New Roman" w:cs="Times New Roman"/>
        </w:rPr>
        <w:t xml:space="preserve"> </w:t>
      </w:r>
    </w:p>
    <w:p w:rsidR="003725B3" w:rsidRPr="00DE2B49" w:rsidRDefault="00827682" w:rsidP="00827682">
      <w:pPr>
        <w:autoSpaceDE/>
        <w:autoSpaceDN/>
        <w:spacing w:line="360" w:lineRule="auto"/>
        <w:ind w:firstLine="1440"/>
        <w:rPr>
          <w:rFonts w:ascii="Times New Roman" w:hAnsi="Times New Roman" w:cs="Times New Roman"/>
          <w:u w:val="single"/>
        </w:rPr>
      </w:pPr>
      <w:r>
        <w:rPr>
          <w:rFonts w:ascii="Times New Roman" w:hAnsi="Times New Roman" w:cs="Times New Roman"/>
        </w:rPr>
        <w:t>9.</w:t>
      </w:r>
      <w:r>
        <w:rPr>
          <w:rFonts w:ascii="Times New Roman" w:hAnsi="Times New Roman" w:cs="Times New Roman"/>
        </w:rPr>
        <w:tab/>
        <w:t xml:space="preserve">The </w:t>
      </w:r>
      <w:r w:rsidR="003725B3" w:rsidRPr="00DE2B49">
        <w:rPr>
          <w:rFonts w:ascii="Times New Roman" w:hAnsi="Times New Roman" w:cs="Times New Roman"/>
        </w:rPr>
        <w:t>Commission has plenary authority under Section 501 of the Public</w:t>
      </w:r>
      <w:r w:rsidR="00DE2B49">
        <w:rPr>
          <w:rFonts w:ascii="Times New Roman" w:hAnsi="Times New Roman" w:cs="Times New Roman"/>
        </w:rPr>
        <w:t xml:space="preserve"> </w:t>
      </w:r>
      <w:r w:rsidR="003725B3" w:rsidRPr="00DE2B49">
        <w:rPr>
          <w:rFonts w:ascii="Times New Roman" w:hAnsi="Times New Roman" w:cs="Times New Roman"/>
        </w:rPr>
        <w:t xml:space="preserve">Utility Code to direct an electric generation supplier to issue a credit or refund for an over bill.  </w:t>
      </w:r>
      <w:r w:rsidR="003725B3" w:rsidRPr="00DE2B49">
        <w:rPr>
          <w:rFonts w:ascii="Times New Roman" w:hAnsi="Times New Roman" w:cs="Times New Roman"/>
          <w:i/>
        </w:rPr>
        <w:t>Commonwealth of Pa, et al. v. IDT Energy, Inc.,</w:t>
      </w:r>
      <w:r w:rsidR="003725B3" w:rsidRPr="00DE2B49">
        <w:rPr>
          <w:rFonts w:ascii="Times New Roman" w:hAnsi="Times New Roman" w:cs="Times New Roman"/>
        </w:rPr>
        <w:t xml:space="preserve"> Docket No. C-2014-2427657, </w:t>
      </w:r>
      <w:r w:rsidR="008825A7" w:rsidRPr="00DE2B49">
        <w:rPr>
          <w:rFonts w:ascii="Times New Roman" w:hAnsi="Times New Roman" w:cs="Times New Roman"/>
        </w:rPr>
        <w:t>(</w:t>
      </w:r>
      <w:r w:rsidR="003725B3" w:rsidRPr="00DE2B49">
        <w:rPr>
          <w:rFonts w:ascii="Times New Roman" w:hAnsi="Times New Roman" w:cs="Times New Roman"/>
        </w:rPr>
        <w:t>Opinion and Order entered Dec</w:t>
      </w:r>
      <w:r w:rsidR="008825A7" w:rsidRPr="00DE2B49">
        <w:rPr>
          <w:rFonts w:ascii="Times New Roman" w:hAnsi="Times New Roman" w:cs="Times New Roman"/>
        </w:rPr>
        <w:t xml:space="preserve">ember </w:t>
      </w:r>
      <w:r w:rsidR="003725B3" w:rsidRPr="00DE2B49">
        <w:rPr>
          <w:rFonts w:ascii="Times New Roman" w:hAnsi="Times New Roman" w:cs="Times New Roman"/>
        </w:rPr>
        <w:t>18, 2014).</w:t>
      </w:r>
    </w:p>
    <w:p w:rsidR="003725B3" w:rsidRPr="000D1F63" w:rsidRDefault="003725B3" w:rsidP="00E63D22">
      <w:pPr>
        <w:pStyle w:val="ListParagraph"/>
        <w:spacing w:line="360" w:lineRule="auto"/>
        <w:rPr>
          <w:rFonts w:ascii="Times New Roman" w:hAnsi="Times New Roman" w:cs="Times New Roman"/>
        </w:rPr>
      </w:pPr>
    </w:p>
    <w:p w:rsidR="007C70D2" w:rsidRPr="00D74835" w:rsidRDefault="0009641B" w:rsidP="0009641B">
      <w:pPr>
        <w:autoSpaceDE/>
        <w:autoSpaceDN/>
        <w:spacing w:line="360" w:lineRule="auto"/>
        <w:ind w:firstLine="1440"/>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005F1172" w:rsidRPr="00D74835">
        <w:rPr>
          <w:rFonts w:ascii="Times New Roman" w:hAnsi="Times New Roman" w:cs="Times New Roman"/>
        </w:rPr>
        <w:t xml:space="preserve">Complainant failed to carry his burden of proving that Respondent violated the Public Utility Code, </w:t>
      </w:r>
      <w:r w:rsidR="007C70D2" w:rsidRPr="00D74835">
        <w:rPr>
          <w:rFonts w:ascii="Times New Roman" w:hAnsi="Times New Roman" w:cs="Times New Roman"/>
        </w:rPr>
        <w:t xml:space="preserve">a regulation or order of the Commission. </w:t>
      </w:r>
    </w:p>
    <w:p w:rsidR="007C70D2" w:rsidRPr="007C70D2" w:rsidRDefault="007C70D2" w:rsidP="00CC54C7">
      <w:pPr>
        <w:autoSpaceDE/>
        <w:autoSpaceDN/>
        <w:spacing w:line="360" w:lineRule="auto"/>
        <w:rPr>
          <w:u w:val="single"/>
        </w:rPr>
      </w:pPr>
    </w:p>
    <w:p w:rsidR="006933B6" w:rsidRPr="00605E47" w:rsidRDefault="006933B6" w:rsidP="00CC54C7">
      <w:pPr>
        <w:pStyle w:val="BodyText"/>
        <w:tabs>
          <w:tab w:val="clear" w:pos="-1440"/>
          <w:tab w:val="clear" w:pos="-720"/>
          <w:tab w:val="clear" w:pos="0"/>
          <w:tab w:val="clear" w:pos="720"/>
          <w:tab w:val="clear" w:pos="1440"/>
        </w:tabs>
        <w:spacing w:line="360" w:lineRule="auto"/>
        <w:jc w:val="center"/>
        <w:rPr>
          <w:szCs w:val="24"/>
          <w:u w:val="single"/>
        </w:rPr>
      </w:pPr>
      <w:r w:rsidRPr="00605E47">
        <w:rPr>
          <w:szCs w:val="24"/>
          <w:u w:val="single"/>
        </w:rPr>
        <w:t>ORDER</w:t>
      </w:r>
    </w:p>
    <w:p w:rsidR="00846B7D" w:rsidRDefault="00846B7D" w:rsidP="00CC54C7">
      <w:pPr>
        <w:pStyle w:val="BodyText"/>
        <w:spacing w:line="360" w:lineRule="auto"/>
        <w:jc w:val="left"/>
        <w:rPr>
          <w:szCs w:val="24"/>
        </w:rPr>
      </w:pPr>
    </w:p>
    <w:p w:rsidR="00D74835" w:rsidRPr="00D2555A" w:rsidRDefault="00D74835" w:rsidP="00CC54C7">
      <w:pPr>
        <w:pStyle w:val="BodyText"/>
        <w:spacing w:line="360" w:lineRule="auto"/>
        <w:jc w:val="left"/>
        <w:rPr>
          <w:szCs w:val="24"/>
        </w:rPr>
      </w:pPr>
    </w:p>
    <w:p w:rsidR="006933B6" w:rsidRPr="00D2555A" w:rsidRDefault="006933B6" w:rsidP="00CC54C7">
      <w:pPr>
        <w:pStyle w:val="BodyText"/>
        <w:spacing w:line="360" w:lineRule="auto"/>
        <w:jc w:val="left"/>
        <w:rPr>
          <w:szCs w:val="24"/>
        </w:rPr>
      </w:pPr>
      <w:r w:rsidRPr="00D2555A">
        <w:rPr>
          <w:szCs w:val="24"/>
        </w:rPr>
        <w:tab/>
      </w:r>
      <w:r w:rsidRPr="00D2555A">
        <w:rPr>
          <w:szCs w:val="24"/>
        </w:rPr>
        <w:tab/>
        <w:t>THEREFORE,</w:t>
      </w:r>
    </w:p>
    <w:p w:rsidR="006933B6" w:rsidRPr="00D2555A" w:rsidRDefault="006933B6" w:rsidP="00CC54C7">
      <w:pPr>
        <w:pStyle w:val="BodyText"/>
        <w:spacing w:line="360" w:lineRule="auto"/>
        <w:jc w:val="left"/>
        <w:rPr>
          <w:szCs w:val="24"/>
        </w:rPr>
      </w:pPr>
    </w:p>
    <w:p w:rsidR="006933B6" w:rsidRPr="00D2555A" w:rsidRDefault="006933B6" w:rsidP="00CC54C7">
      <w:pPr>
        <w:pStyle w:val="BodyText"/>
        <w:spacing w:line="360" w:lineRule="auto"/>
        <w:jc w:val="left"/>
        <w:rPr>
          <w:szCs w:val="24"/>
        </w:rPr>
      </w:pPr>
      <w:r w:rsidRPr="00D2555A">
        <w:rPr>
          <w:szCs w:val="24"/>
        </w:rPr>
        <w:tab/>
      </w:r>
      <w:r w:rsidRPr="00D2555A">
        <w:rPr>
          <w:szCs w:val="24"/>
        </w:rPr>
        <w:tab/>
        <w:t>IT IS ORDERED:</w:t>
      </w:r>
    </w:p>
    <w:p w:rsidR="006933B6" w:rsidRPr="00D2555A" w:rsidRDefault="006933B6" w:rsidP="00CC54C7">
      <w:pPr>
        <w:pStyle w:val="BodyText"/>
        <w:spacing w:line="360" w:lineRule="auto"/>
        <w:jc w:val="left"/>
        <w:rPr>
          <w:szCs w:val="24"/>
        </w:rPr>
      </w:pPr>
    </w:p>
    <w:p w:rsidR="00CC54C7" w:rsidRDefault="006933B6" w:rsidP="003F4ABA">
      <w:pPr>
        <w:pStyle w:val="BodyText"/>
        <w:spacing w:line="360" w:lineRule="auto"/>
        <w:jc w:val="left"/>
        <w:rPr>
          <w:szCs w:val="24"/>
        </w:rPr>
      </w:pPr>
      <w:r w:rsidRPr="00D2555A">
        <w:rPr>
          <w:szCs w:val="24"/>
        </w:rPr>
        <w:tab/>
      </w:r>
      <w:r w:rsidRPr="00D2555A">
        <w:rPr>
          <w:szCs w:val="24"/>
        </w:rPr>
        <w:tab/>
      </w:r>
      <w:r w:rsidR="003F4ABA">
        <w:rPr>
          <w:szCs w:val="24"/>
        </w:rPr>
        <w:t>1.</w:t>
      </w:r>
      <w:r w:rsidR="003F4ABA">
        <w:rPr>
          <w:szCs w:val="24"/>
        </w:rPr>
        <w:tab/>
        <w:t xml:space="preserve">That the formal complaint of Joseph J. </w:t>
      </w:r>
      <w:proofErr w:type="spellStart"/>
      <w:r w:rsidR="003F4ABA">
        <w:rPr>
          <w:szCs w:val="24"/>
        </w:rPr>
        <w:t>Woitko</w:t>
      </w:r>
      <w:proofErr w:type="spellEnd"/>
      <w:r w:rsidR="003F4ABA">
        <w:rPr>
          <w:szCs w:val="24"/>
        </w:rPr>
        <w:t>, Jr. against IDT Energy, Inc. filed at Docket No. C-2014-2413734 is dismissed.</w:t>
      </w:r>
    </w:p>
    <w:p w:rsidR="003F4ABA" w:rsidRDefault="003F4ABA" w:rsidP="003F4ABA">
      <w:pPr>
        <w:pStyle w:val="BodyText"/>
        <w:spacing w:line="360" w:lineRule="auto"/>
        <w:jc w:val="left"/>
        <w:rPr>
          <w:szCs w:val="24"/>
        </w:rPr>
      </w:pPr>
    </w:p>
    <w:p w:rsidR="003F4ABA" w:rsidRDefault="003F4ABA" w:rsidP="003F4ABA">
      <w:pPr>
        <w:pStyle w:val="BodyText"/>
        <w:spacing w:line="360" w:lineRule="auto"/>
        <w:jc w:val="left"/>
        <w:rPr>
          <w:snapToGrid w:val="0"/>
          <w:szCs w:val="24"/>
        </w:rPr>
      </w:pPr>
      <w:r>
        <w:rPr>
          <w:szCs w:val="24"/>
        </w:rPr>
        <w:tab/>
      </w:r>
      <w:r>
        <w:rPr>
          <w:szCs w:val="24"/>
        </w:rPr>
        <w:tab/>
        <w:t>2.</w:t>
      </w:r>
      <w:r>
        <w:rPr>
          <w:szCs w:val="24"/>
        </w:rPr>
        <w:tab/>
        <w:t>That the Commission’s Secretary’s Bureau shall mark Docket No. C</w:t>
      </w:r>
      <w:r>
        <w:rPr>
          <w:szCs w:val="24"/>
        </w:rPr>
        <w:noBreakHyphen/>
        <w:t>2014-2413734 closed.</w:t>
      </w:r>
    </w:p>
    <w:p w:rsidR="00CC54C7" w:rsidRPr="009E7B03" w:rsidRDefault="00CC54C7" w:rsidP="00CC54C7">
      <w:pPr>
        <w:pStyle w:val="BodyText"/>
        <w:spacing w:line="360" w:lineRule="auto"/>
        <w:jc w:val="left"/>
        <w:rPr>
          <w:snapToGrid w:val="0"/>
          <w:szCs w:val="24"/>
        </w:rPr>
      </w:pPr>
    </w:p>
    <w:p w:rsidR="00425FFF" w:rsidRPr="009E7B03" w:rsidRDefault="00425FFF" w:rsidP="00CC54C7">
      <w:pPr>
        <w:tabs>
          <w:tab w:val="left" w:pos="0"/>
        </w:tabs>
        <w:jc w:val="both"/>
        <w:rPr>
          <w:rFonts w:eastAsia="Calibri"/>
        </w:rPr>
      </w:pPr>
    </w:p>
    <w:p w:rsidR="00425FFF" w:rsidRPr="009E7B03" w:rsidRDefault="00425FFF" w:rsidP="00CC54C7">
      <w:pPr>
        <w:tabs>
          <w:tab w:val="left" w:pos="0"/>
        </w:tabs>
        <w:jc w:val="both"/>
        <w:rPr>
          <w:rFonts w:eastAsia="Calibri"/>
          <w:u w:val="single"/>
        </w:rPr>
      </w:pPr>
      <w:r w:rsidRPr="009E7B03">
        <w:rPr>
          <w:rFonts w:eastAsia="Calibri"/>
        </w:rPr>
        <w:t xml:space="preserve">Date:  </w:t>
      </w:r>
      <w:r w:rsidR="00FA7BC3">
        <w:rPr>
          <w:rFonts w:eastAsia="Calibri"/>
          <w:u w:val="single"/>
        </w:rPr>
        <w:t xml:space="preserve">April </w:t>
      </w:r>
      <w:r w:rsidR="00E63D22">
        <w:rPr>
          <w:rFonts w:eastAsia="Calibri"/>
          <w:u w:val="single"/>
        </w:rPr>
        <w:t>1</w:t>
      </w:r>
      <w:r w:rsidR="002B05F3">
        <w:rPr>
          <w:rFonts w:eastAsia="Calibri"/>
          <w:u w:val="single"/>
        </w:rPr>
        <w:t>3</w:t>
      </w:r>
      <w:r w:rsidR="00FA7BC3">
        <w:rPr>
          <w:rFonts w:eastAsia="Calibri"/>
          <w:u w:val="single"/>
        </w:rPr>
        <w:t>,</w:t>
      </w:r>
      <w:r>
        <w:rPr>
          <w:rFonts w:eastAsia="Calibri"/>
          <w:u w:val="single"/>
        </w:rPr>
        <w:t xml:space="preserve"> 2015</w:t>
      </w:r>
      <w:r w:rsidRPr="009E7B03">
        <w:rPr>
          <w:rFonts w:eastAsia="Calibri"/>
        </w:rPr>
        <w:tab/>
      </w:r>
      <w:r w:rsidRPr="009E7B03">
        <w:rPr>
          <w:rFonts w:eastAsia="Calibri"/>
        </w:rPr>
        <w:tab/>
      </w:r>
      <w:r w:rsidRPr="009E7B03">
        <w:rPr>
          <w:rFonts w:eastAsia="Calibri"/>
        </w:rPr>
        <w:tab/>
      </w:r>
      <w:r w:rsidRPr="009E7B03">
        <w:rPr>
          <w:rFonts w:eastAsia="Calibri"/>
        </w:rPr>
        <w:tab/>
      </w:r>
      <w:r w:rsidR="00CC54C7">
        <w:rPr>
          <w:rFonts w:eastAsia="Calibri"/>
        </w:rPr>
        <w:tab/>
      </w:r>
      <w:r w:rsidR="00CC54C7">
        <w:rPr>
          <w:rFonts w:eastAsia="Calibri"/>
        </w:rPr>
        <w:tab/>
      </w:r>
      <w:r w:rsidRPr="009E7B03">
        <w:rPr>
          <w:rFonts w:eastAsia="Calibri"/>
          <w:u w:val="single"/>
        </w:rPr>
        <w:tab/>
      </w:r>
      <w:r w:rsidRPr="009E7B03">
        <w:rPr>
          <w:rFonts w:eastAsia="Calibri"/>
          <w:u w:val="single"/>
        </w:rPr>
        <w:tab/>
        <w:t>/s/</w:t>
      </w:r>
      <w:r w:rsidRPr="009E7B03">
        <w:rPr>
          <w:rFonts w:eastAsia="Calibri"/>
          <w:u w:val="single"/>
        </w:rPr>
        <w:tab/>
      </w:r>
      <w:r w:rsidRPr="009E7B03">
        <w:rPr>
          <w:rFonts w:eastAsia="Calibri"/>
          <w:u w:val="single"/>
        </w:rPr>
        <w:tab/>
      </w:r>
      <w:r w:rsidRPr="009E7B03">
        <w:rPr>
          <w:rFonts w:eastAsia="Calibri"/>
          <w:u w:val="single"/>
        </w:rPr>
        <w:tab/>
      </w:r>
    </w:p>
    <w:p w:rsidR="00425FFF" w:rsidRPr="009E7B03" w:rsidRDefault="00425FFF" w:rsidP="00CC54C7">
      <w:pPr>
        <w:tabs>
          <w:tab w:val="left" w:pos="0"/>
        </w:tabs>
        <w:jc w:val="both"/>
        <w:rPr>
          <w:rFonts w:eastAsia="Calibri"/>
        </w:rPr>
      </w:pP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00CC54C7">
        <w:rPr>
          <w:rFonts w:eastAsia="Calibri"/>
        </w:rPr>
        <w:tab/>
      </w:r>
      <w:r w:rsidRPr="009E7B03">
        <w:rPr>
          <w:rFonts w:eastAsia="Calibri"/>
        </w:rPr>
        <w:t>Conrad A. Johnson</w:t>
      </w:r>
    </w:p>
    <w:p w:rsidR="00425FFF" w:rsidRDefault="00425FFF" w:rsidP="00CC54C7">
      <w:pPr>
        <w:tabs>
          <w:tab w:val="left" w:pos="0"/>
        </w:tabs>
        <w:jc w:val="both"/>
        <w:rPr>
          <w:rFonts w:eastAsia="Calibri"/>
        </w:rPr>
      </w:pP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00CC54C7">
        <w:rPr>
          <w:rFonts w:eastAsia="Calibri"/>
        </w:rPr>
        <w:tab/>
      </w:r>
      <w:r w:rsidRPr="009E7B03">
        <w:rPr>
          <w:rFonts w:eastAsia="Calibri"/>
        </w:rPr>
        <w:t>Administrative Law Judge</w:t>
      </w:r>
    </w:p>
    <w:p w:rsidR="00FE2F25" w:rsidRDefault="00FE2F25" w:rsidP="00CC54C7">
      <w:pPr>
        <w:tabs>
          <w:tab w:val="left" w:pos="0"/>
        </w:tabs>
        <w:jc w:val="both"/>
        <w:rPr>
          <w:rFonts w:eastAsia="Calibri"/>
        </w:rPr>
      </w:pPr>
    </w:p>
    <w:p w:rsidR="00FE2F25" w:rsidRDefault="00FE2F25" w:rsidP="00CC54C7">
      <w:pPr>
        <w:tabs>
          <w:tab w:val="left" w:pos="0"/>
        </w:tabs>
        <w:jc w:val="both"/>
        <w:rPr>
          <w:rFonts w:eastAsia="Calibri"/>
        </w:rPr>
      </w:pPr>
    </w:p>
    <w:sectPr w:rsidR="00FE2F25" w:rsidSect="00B814F2">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B13" w:rsidRDefault="00FE0B13">
      <w:pPr>
        <w:spacing w:line="20" w:lineRule="exact"/>
        <w:rPr>
          <w:sz w:val="20"/>
          <w:szCs w:val="20"/>
        </w:rPr>
      </w:pPr>
    </w:p>
  </w:endnote>
  <w:endnote w:type="continuationSeparator" w:id="0">
    <w:p w:rsidR="00FE0B13" w:rsidRDefault="00FE0B13">
      <w:pPr>
        <w:pStyle w:val="ParaTab1"/>
        <w:rPr>
          <w:sz w:val="20"/>
          <w:szCs w:val="20"/>
        </w:rPr>
      </w:pPr>
      <w:r>
        <w:rPr>
          <w:sz w:val="20"/>
          <w:szCs w:val="20"/>
        </w:rPr>
        <w:t xml:space="preserve"> </w:t>
      </w:r>
    </w:p>
  </w:endnote>
  <w:endnote w:type="continuationNotice" w:id="1">
    <w:p w:rsidR="00FE0B13" w:rsidRDefault="00FE0B1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448" w:rsidRDefault="00F1644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6448" w:rsidRDefault="00F164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448" w:rsidRPr="00E26184" w:rsidRDefault="00F16448" w:rsidP="004B0990">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sidR="00670A6F">
      <w:rPr>
        <w:rStyle w:val="PageNumber"/>
        <w:rFonts w:ascii="Times New Roman" w:hAnsi="Times New Roman" w:cs="Times New Roman"/>
        <w:noProof/>
        <w:sz w:val="20"/>
        <w:szCs w:val="20"/>
      </w:rPr>
      <w:t>19</w:t>
    </w:r>
    <w:r w:rsidRPr="00E26184">
      <w:rPr>
        <w:rStyle w:val="PageNumber"/>
        <w:rFonts w:ascii="Times New Roman" w:hAnsi="Times New Roman" w:cs="Times New Roman"/>
        <w:sz w:val="20"/>
        <w:szCs w:val="20"/>
      </w:rPr>
      <w:fldChar w:fldCharType="end"/>
    </w:r>
  </w:p>
  <w:p w:rsidR="00F16448" w:rsidRDefault="00F1644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B13" w:rsidRPr="0056362A" w:rsidRDefault="00FE0B13" w:rsidP="0056362A">
      <w:pPr>
        <w:pStyle w:val="Footer"/>
      </w:pPr>
      <w:r>
        <w:t>________________________</w:t>
      </w:r>
    </w:p>
  </w:footnote>
  <w:footnote w:type="continuationSeparator" w:id="0">
    <w:p w:rsidR="00FE0B13" w:rsidRDefault="00FE0B13">
      <w:pPr>
        <w:pStyle w:val="ParaTab1"/>
        <w:rPr>
          <w:sz w:val="20"/>
          <w:szCs w:val="20"/>
        </w:rPr>
      </w:pPr>
      <w:r>
        <w:rPr>
          <w:sz w:val="20"/>
          <w:szCs w:val="20"/>
        </w:rPr>
        <w:t>(..</w:t>
      </w:r>
    </w:p>
  </w:footnote>
  <w:footnote w:id="1">
    <w:p w:rsidR="00F16448" w:rsidRDefault="00F16448">
      <w:pPr>
        <w:pStyle w:val="FootnoteText"/>
      </w:pPr>
    </w:p>
    <w:p w:rsidR="00F16448" w:rsidRPr="00F37729" w:rsidRDefault="00F16448">
      <w:pPr>
        <w:pStyle w:val="FootnoteText"/>
        <w:rPr>
          <w:rFonts w:ascii="Times New Roman" w:hAnsi="Times New Roman" w:cs="Times New Roman"/>
          <w:sz w:val="20"/>
          <w:szCs w:val="20"/>
        </w:rPr>
      </w:pPr>
      <w:r>
        <w:tab/>
      </w:r>
      <w:r w:rsidRPr="00F37729">
        <w:rPr>
          <w:rStyle w:val="FootnoteReference"/>
          <w:rFonts w:ascii="Times New Roman" w:hAnsi="Times New Roman" w:cs="Times New Roman"/>
          <w:sz w:val="20"/>
          <w:szCs w:val="20"/>
        </w:rPr>
        <w:footnoteRef/>
      </w:r>
      <w:r w:rsidRPr="00F37729">
        <w:rPr>
          <w:rFonts w:ascii="Times New Roman" w:hAnsi="Times New Roman" w:cs="Times New Roman"/>
          <w:sz w:val="20"/>
          <w:szCs w:val="20"/>
        </w:rPr>
        <w:t xml:space="preserve"> </w:t>
      </w:r>
      <w:r w:rsidR="00993429" w:rsidRPr="00F37729">
        <w:rPr>
          <w:rFonts w:ascii="Times New Roman" w:hAnsi="Times New Roman" w:cs="Times New Roman"/>
          <w:sz w:val="20"/>
          <w:szCs w:val="20"/>
        </w:rPr>
        <w:tab/>
      </w:r>
      <w:proofErr w:type="gramStart"/>
      <w:r w:rsidRPr="00F37729">
        <w:rPr>
          <w:rFonts w:ascii="Times New Roman" w:hAnsi="Times New Roman" w:cs="Times New Roman"/>
          <w:sz w:val="20"/>
          <w:szCs w:val="20"/>
        </w:rPr>
        <w:t xml:space="preserve">66 </w:t>
      </w:r>
      <w:proofErr w:type="spellStart"/>
      <w:r w:rsidRPr="00F37729">
        <w:rPr>
          <w:rFonts w:ascii="Times New Roman" w:hAnsi="Times New Roman" w:cs="Times New Roman"/>
          <w:sz w:val="20"/>
          <w:szCs w:val="20"/>
        </w:rPr>
        <w:t>Pa.C.S</w:t>
      </w:r>
      <w:proofErr w:type="spellEnd"/>
      <w:r w:rsidRPr="00F37729">
        <w:rPr>
          <w:rFonts w:ascii="Times New Roman" w:hAnsi="Times New Roman" w:cs="Times New Roman"/>
          <w:sz w:val="20"/>
          <w:szCs w:val="20"/>
        </w:rPr>
        <w:t>.</w:t>
      </w:r>
      <w:proofErr w:type="gramEnd"/>
      <w:r w:rsidRPr="00F37729">
        <w:rPr>
          <w:rFonts w:ascii="Times New Roman" w:hAnsi="Times New Roman" w:cs="Times New Roman"/>
          <w:sz w:val="20"/>
          <w:szCs w:val="20"/>
        </w:rPr>
        <w:t xml:space="preserve"> </w:t>
      </w:r>
      <w:r w:rsidR="00371B96" w:rsidRPr="00F37729">
        <w:rPr>
          <w:rFonts w:ascii="Times New Roman" w:hAnsi="Times New Roman" w:cs="Times New Roman"/>
          <w:sz w:val="20"/>
          <w:szCs w:val="20"/>
        </w:rPr>
        <w:t xml:space="preserve">§ </w:t>
      </w:r>
      <w:r w:rsidRPr="00F37729">
        <w:rPr>
          <w:rFonts w:ascii="Times New Roman" w:hAnsi="Times New Roman" w:cs="Times New Roman"/>
          <w:sz w:val="20"/>
          <w:szCs w:val="20"/>
        </w:rPr>
        <w:t>2801, et seq.</w:t>
      </w:r>
    </w:p>
  </w:footnote>
  <w:footnote w:id="2">
    <w:p w:rsidR="008825A7" w:rsidRPr="00F37729" w:rsidRDefault="008825A7">
      <w:pPr>
        <w:pStyle w:val="FootnoteText"/>
        <w:rPr>
          <w:rFonts w:ascii="Times New Roman" w:hAnsi="Times New Roman" w:cs="Times New Roman"/>
          <w:sz w:val="20"/>
          <w:szCs w:val="20"/>
        </w:rPr>
      </w:pPr>
    </w:p>
    <w:p w:rsidR="008825A7" w:rsidRPr="00F37729" w:rsidRDefault="008825A7" w:rsidP="008825A7">
      <w:pPr>
        <w:pStyle w:val="FootnoteText"/>
        <w:ind w:firstLine="720"/>
        <w:rPr>
          <w:rFonts w:ascii="Times New Roman" w:hAnsi="Times New Roman" w:cs="Times New Roman"/>
          <w:sz w:val="20"/>
          <w:szCs w:val="20"/>
        </w:rPr>
      </w:pPr>
      <w:r w:rsidRPr="00F37729">
        <w:rPr>
          <w:rStyle w:val="FootnoteReference"/>
          <w:rFonts w:ascii="Times New Roman" w:hAnsi="Times New Roman" w:cs="Times New Roman"/>
          <w:sz w:val="20"/>
          <w:szCs w:val="20"/>
        </w:rPr>
        <w:footnoteRef/>
      </w:r>
      <w:r w:rsidRPr="00F37729">
        <w:rPr>
          <w:rFonts w:ascii="Times New Roman" w:hAnsi="Times New Roman" w:cs="Times New Roman"/>
          <w:sz w:val="20"/>
          <w:szCs w:val="20"/>
        </w:rPr>
        <w:t xml:space="preserve"> </w:t>
      </w:r>
      <w:r w:rsidR="00993429" w:rsidRPr="00F37729">
        <w:rPr>
          <w:rFonts w:ascii="Times New Roman" w:hAnsi="Times New Roman" w:cs="Times New Roman"/>
          <w:sz w:val="20"/>
          <w:szCs w:val="20"/>
        </w:rPr>
        <w:tab/>
      </w:r>
      <w:proofErr w:type="gramStart"/>
      <w:r w:rsidRPr="00F37729">
        <w:rPr>
          <w:rFonts w:ascii="Times New Roman" w:hAnsi="Times New Roman" w:cs="Times New Roman"/>
          <w:sz w:val="20"/>
          <w:szCs w:val="20"/>
        </w:rPr>
        <w:t xml:space="preserve">52 </w:t>
      </w:r>
      <w:proofErr w:type="spellStart"/>
      <w:r w:rsidRPr="00F37729">
        <w:rPr>
          <w:rFonts w:ascii="Times New Roman" w:hAnsi="Times New Roman" w:cs="Times New Roman"/>
          <w:sz w:val="20"/>
          <w:szCs w:val="20"/>
        </w:rPr>
        <w:t>Pa.Code</w:t>
      </w:r>
      <w:proofErr w:type="spellEnd"/>
      <w:r w:rsidR="00371B96" w:rsidRPr="00F37729">
        <w:rPr>
          <w:rFonts w:ascii="Times New Roman" w:hAnsi="Times New Roman" w:cs="Times New Roman"/>
          <w:sz w:val="20"/>
          <w:szCs w:val="20"/>
        </w:rPr>
        <w:t xml:space="preserve"> §</w:t>
      </w:r>
      <w:r w:rsidRPr="00F37729">
        <w:rPr>
          <w:rFonts w:ascii="Times New Roman" w:hAnsi="Times New Roman" w:cs="Times New Roman"/>
          <w:sz w:val="20"/>
          <w:szCs w:val="20"/>
        </w:rPr>
        <w:t xml:space="preserve"> </w:t>
      </w:r>
      <w:r w:rsidR="00F97171" w:rsidRPr="00F37729">
        <w:rPr>
          <w:rFonts w:ascii="Times New Roman" w:hAnsi="Times New Roman" w:cs="Times New Roman"/>
          <w:sz w:val="20"/>
          <w:szCs w:val="20"/>
        </w:rPr>
        <w:t>111.13.</w:t>
      </w:r>
      <w:proofErr w:type="gramEnd"/>
      <w:r w:rsidRPr="00F37729">
        <w:rPr>
          <w:rFonts w:ascii="Times New Roman" w:hAnsi="Times New Roman" w:cs="Times New Roman"/>
          <w:sz w:val="20"/>
          <w:szCs w:val="20"/>
        </w:rPr>
        <w:t xml:space="preserve"> </w:t>
      </w:r>
    </w:p>
  </w:footnote>
  <w:footnote w:id="3">
    <w:p w:rsidR="00F16448" w:rsidRPr="00F37729" w:rsidRDefault="00F16448">
      <w:pPr>
        <w:pStyle w:val="FootnoteText"/>
        <w:rPr>
          <w:rFonts w:ascii="Times New Roman" w:hAnsi="Times New Roman" w:cs="Times New Roman"/>
          <w:sz w:val="20"/>
          <w:szCs w:val="20"/>
        </w:rPr>
      </w:pPr>
    </w:p>
    <w:p w:rsidR="00F16448" w:rsidRPr="00F37729" w:rsidRDefault="00F16448">
      <w:pPr>
        <w:pStyle w:val="FootnoteText"/>
        <w:rPr>
          <w:rFonts w:ascii="Times New Roman" w:hAnsi="Times New Roman" w:cs="Times New Roman"/>
          <w:sz w:val="20"/>
          <w:szCs w:val="20"/>
        </w:rPr>
      </w:pPr>
      <w:r w:rsidRPr="00F37729">
        <w:rPr>
          <w:rFonts w:ascii="Times New Roman" w:hAnsi="Times New Roman" w:cs="Times New Roman"/>
          <w:sz w:val="20"/>
          <w:szCs w:val="20"/>
        </w:rPr>
        <w:tab/>
      </w:r>
      <w:r w:rsidRPr="00F37729">
        <w:rPr>
          <w:rStyle w:val="FootnoteReference"/>
          <w:rFonts w:ascii="Times New Roman" w:hAnsi="Times New Roman" w:cs="Times New Roman"/>
          <w:sz w:val="20"/>
          <w:szCs w:val="20"/>
        </w:rPr>
        <w:footnoteRef/>
      </w:r>
      <w:r w:rsidRPr="00F37729">
        <w:rPr>
          <w:rFonts w:ascii="Times New Roman" w:hAnsi="Times New Roman" w:cs="Times New Roman"/>
          <w:sz w:val="20"/>
          <w:szCs w:val="20"/>
        </w:rPr>
        <w:t xml:space="preserve"> </w:t>
      </w:r>
      <w:r w:rsidR="00993429" w:rsidRPr="00F37729">
        <w:rPr>
          <w:rFonts w:ascii="Times New Roman" w:hAnsi="Times New Roman" w:cs="Times New Roman"/>
          <w:sz w:val="20"/>
          <w:szCs w:val="20"/>
        </w:rPr>
        <w:tab/>
      </w:r>
      <w:proofErr w:type="gramStart"/>
      <w:r w:rsidR="00F97171" w:rsidRPr="00F37729">
        <w:rPr>
          <w:rFonts w:ascii="Times New Roman" w:hAnsi="Times New Roman" w:cs="Times New Roman"/>
          <w:sz w:val="20"/>
          <w:szCs w:val="20"/>
        </w:rPr>
        <w:t xml:space="preserve">66 </w:t>
      </w:r>
      <w:proofErr w:type="spellStart"/>
      <w:r w:rsidR="00F97171" w:rsidRPr="00F37729">
        <w:rPr>
          <w:rFonts w:ascii="Times New Roman" w:hAnsi="Times New Roman" w:cs="Times New Roman"/>
          <w:sz w:val="20"/>
          <w:szCs w:val="20"/>
        </w:rPr>
        <w:t>Pa.C.S</w:t>
      </w:r>
      <w:proofErr w:type="spellEnd"/>
      <w:r w:rsidRPr="00F37729">
        <w:rPr>
          <w:rFonts w:ascii="Times New Roman" w:hAnsi="Times New Roman" w:cs="Times New Roman"/>
          <w:sz w:val="20"/>
          <w:szCs w:val="20"/>
        </w:rPr>
        <w:t>.</w:t>
      </w:r>
      <w:proofErr w:type="gramEnd"/>
      <w:r w:rsidRPr="00F37729">
        <w:rPr>
          <w:rFonts w:ascii="Times New Roman" w:hAnsi="Times New Roman" w:cs="Times New Roman"/>
          <w:sz w:val="20"/>
          <w:szCs w:val="20"/>
        </w:rPr>
        <w:t xml:space="preserve"> § 2809(f).</w:t>
      </w:r>
    </w:p>
  </w:footnote>
  <w:footnote w:id="4">
    <w:p w:rsidR="00F16448" w:rsidRPr="00F37729" w:rsidRDefault="00F16448">
      <w:pPr>
        <w:pStyle w:val="FootnoteText"/>
        <w:rPr>
          <w:rFonts w:ascii="Times New Roman" w:hAnsi="Times New Roman" w:cs="Times New Roman"/>
          <w:sz w:val="20"/>
          <w:szCs w:val="20"/>
        </w:rPr>
      </w:pPr>
    </w:p>
    <w:p w:rsidR="00F16448" w:rsidRPr="00F37729" w:rsidRDefault="00F16448">
      <w:pPr>
        <w:pStyle w:val="FootnoteText"/>
        <w:rPr>
          <w:rFonts w:ascii="Times New Roman" w:hAnsi="Times New Roman" w:cs="Times New Roman"/>
          <w:sz w:val="20"/>
          <w:szCs w:val="20"/>
        </w:rPr>
      </w:pPr>
      <w:r w:rsidRPr="00F37729">
        <w:rPr>
          <w:rFonts w:ascii="Times New Roman" w:hAnsi="Times New Roman" w:cs="Times New Roman"/>
          <w:sz w:val="20"/>
          <w:szCs w:val="20"/>
        </w:rPr>
        <w:tab/>
      </w:r>
      <w:r w:rsidRPr="00F37729">
        <w:rPr>
          <w:rStyle w:val="FootnoteReference"/>
          <w:rFonts w:ascii="Times New Roman" w:hAnsi="Times New Roman" w:cs="Times New Roman"/>
          <w:sz w:val="20"/>
          <w:szCs w:val="20"/>
        </w:rPr>
        <w:footnoteRef/>
      </w:r>
      <w:r w:rsidRPr="00F37729">
        <w:rPr>
          <w:rFonts w:ascii="Times New Roman" w:hAnsi="Times New Roman" w:cs="Times New Roman"/>
          <w:sz w:val="20"/>
          <w:szCs w:val="20"/>
        </w:rPr>
        <w:t xml:space="preserve"> </w:t>
      </w:r>
      <w:r w:rsidR="00993429" w:rsidRPr="00F37729">
        <w:rPr>
          <w:rFonts w:ascii="Times New Roman" w:hAnsi="Times New Roman" w:cs="Times New Roman"/>
          <w:sz w:val="20"/>
          <w:szCs w:val="20"/>
        </w:rPr>
        <w:tab/>
      </w:r>
      <w:proofErr w:type="gramStart"/>
      <w:r w:rsidRPr="00F37729">
        <w:rPr>
          <w:rFonts w:ascii="Times New Roman" w:hAnsi="Times New Roman" w:cs="Times New Roman"/>
          <w:sz w:val="20"/>
          <w:szCs w:val="20"/>
        </w:rPr>
        <w:t xml:space="preserve">52 </w:t>
      </w:r>
      <w:proofErr w:type="spellStart"/>
      <w:r w:rsidRPr="00F37729">
        <w:rPr>
          <w:rFonts w:ascii="Times New Roman" w:hAnsi="Times New Roman" w:cs="Times New Roman"/>
          <w:sz w:val="20"/>
          <w:szCs w:val="20"/>
        </w:rPr>
        <w:t>Pa.Code</w:t>
      </w:r>
      <w:proofErr w:type="spellEnd"/>
      <w:r w:rsidRPr="00F37729">
        <w:rPr>
          <w:rFonts w:ascii="Times New Roman" w:hAnsi="Times New Roman" w:cs="Times New Roman"/>
          <w:sz w:val="20"/>
          <w:szCs w:val="20"/>
        </w:rPr>
        <w:t xml:space="preserve"> Ch. 56.</w:t>
      </w:r>
      <w:proofErr w:type="gramEnd"/>
    </w:p>
  </w:footnote>
  <w:footnote w:id="5">
    <w:p w:rsidR="00F16448" w:rsidRDefault="00F16448" w:rsidP="00615B6C">
      <w:pPr>
        <w:pStyle w:val="FootnoteText"/>
        <w:ind w:firstLine="720"/>
      </w:pPr>
    </w:p>
    <w:p w:rsidR="00615B6C" w:rsidRPr="00993429" w:rsidRDefault="00F16448" w:rsidP="00615B6C">
      <w:pPr>
        <w:pStyle w:val="FootnoteText"/>
        <w:ind w:firstLine="720"/>
        <w:rPr>
          <w:rFonts w:ascii="Times New Roman" w:hAnsi="Times New Roman" w:cs="Times New Roman"/>
          <w:sz w:val="20"/>
          <w:szCs w:val="20"/>
        </w:rPr>
      </w:pPr>
      <w:r w:rsidRPr="00993429">
        <w:rPr>
          <w:rStyle w:val="FootnoteReference"/>
          <w:rFonts w:ascii="Times New Roman" w:hAnsi="Times New Roman" w:cs="Times New Roman"/>
          <w:sz w:val="20"/>
          <w:szCs w:val="20"/>
        </w:rPr>
        <w:footnoteRef/>
      </w:r>
      <w:r w:rsidRPr="00993429">
        <w:rPr>
          <w:rFonts w:ascii="Times New Roman" w:hAnsi="Times New Roman" w:cs="Times New Roman"/>
          <w:sz w:val="20"/>
          <w:szCs w:val="20"/>
        </w:rPr>
        <w:tab/>
        <w:t>See Tables 1 and 2 above.</w:t>
      </w:r>
    </w:p>
  </w:footnote>
  <w:footnote w:id="6">
    <w:p w:rsidR="008760B2" w:rsidRDefault="008760B2" w:rsidP="00F16448">
      <w:pPr>
        <w:pStyle w:val="FootnoteText"/>
        <w:ind w:firstLine="720"/>
        <w:rPr>
          <w:rFonts w:ascii="Times New Roman" w:hAnsi="Times New Roman" w:cs="Times New Roman"/>
          <w:sz w:val="20"/>
          <w:szCs w:val="20"/>
        </w:rPr>
      </w:pPr>
    </w:p>
    <w:p w:rsidR="00F16448" w:rsidRDefault="00F16448" w:rsidP="00F16448">
      <w:pPr>
        <w:pStyle w:val="FootnoteText"/>
        <w:ind w:firstLine="720"/>
      </w:pPr>
      <w:r w:rsidRPr="00993429">
        <w:rPr>
          <w:rStyle w:val="FootnoteReference"/>
          <w:rFonts w:ascii="Times New Roman" w:hAnsi="Times New Roman" w:cs="Times New Roman"/>
          <w:sz w:val="20"/>
          <w:szCs w:val="20"/>
        </w:rPr>
        <w:footnoteRef/>
      </w:r>
      <w:r w:rsidRPr="00993429">
        <w:rPr>
          <w:rFonts w:ascii="Times New Roman" w:hAnsi="Times New Roman" w:cs="Times New Roman"/>
          <w:sz w:val="20"/>
          <w:szCs w:val="20"/>
        </w:rPr>
        <w:t xml:space="preserve"> </w:t>
      </w:r>
      <w:r w:rsidRPr="00993429">
        <w:rPr>
          <w:rFonts w:ascii="Times New Roman" w:hAnsi="Times New Roman" w:cs="Times New Roman"/>
          <w:sz w:val="20"/>
          <w:szCs w:val="20"/>
        </w:rPr>
        <w:tab/>
        <w:t>Id.</w:t>
      </w:r>
    </w:p>
  </w:footnote>
  <w:footnote w:id="7">
    <w:p w:rsidR="00F16448" w:rsidRDefault="00F16448" w:rsidP="008E4175">
      <w:pPr>
        <w:pStyle w:val="FootnoteText"/>
        <w:ind w:left="1440" w:right="1080" w:hanging="720"/>
      </w:pPr>
    </w:p>
    <w:p w:rsidR="00F16448" w:rsidRPr="001E2F96" w:rsidRDefault="00F16448" w:rsidP="00ED77D7">
      <w:pPr>
        <w:pStyle w:val="FootnoteText"/>
        <w:ind w:firstLine="720"/>
        <w:rPr>
          <w:rFonts w:ascii="Times New Roman" w:hAnsi="Times New Roman" w:cs="Times New Roman"/>
          <w:sz w:val="20"/>
          <w:szCs w:val="20"/>
        </w:rPr>
      </w:pPr>
      <w:r w:rsidRPr="001E2F96">
        <w:rPr>
          <w:rStyle w:val="FootnoteReference"/>
          <w:rFonts w:ascii="Times New Roman" w:hAnsi="Times New Roman" w:cs="Times New Roman"/>
          <w:sz w:val="20"/>
          <w:szCs w:val="20"/>
        </w:rPr>
        <w:footnoteRef/>
      </w:r>
      <w:r w:rsidRPr="001E2F96">
        <w:rPr>
          <w:rFonts w:ascii="Times New Roman" w:hAnsi="Times New Roman" w:cs="Times New Roman"/>
          <w:sz w:val="20"/>
          <w:szCs w:val="20"/>
        </w:rPr>
        <w:t xml:space="preserve"> </w:t>
      </w:r>
      <w:r w:rsidRPr="001E2F96">
        <w:rPr>
          <w:rFonts w:ascii="Times New Roman" w:hAnsi="Times New Roman" w:cs="Times New Roman"/>
        </w:rPr>
        <w:tab/>
      </w:r>
      <w:r w:rsidRPr="001E2F96">
        <w:rPr>
          <w:rFonts w:ascii="Times New Roman" w:hAnsi="Times New Roman" w:cs="Times New Roman"/>
          <w:sz w:val="20"/>
          <w:szCs w:val="20"/>
        </w:rPr>
        <w:t xml:space="preserve">This conclusion is based upon a plain reading of Code Sections 102, 2806, 2809, and 2810 and related case law.  </w:t>
      </w:r>
      <w:r w:rsidRPr="001E2F96">
        <w:rPr>
          <w:rFonts w:ascii="Times New Roman" w:hAnsi="Times New Roman" w:cs="Times New Roman"/>
          <w:i/>
          <w:sz w:val="20"/>
          <w:szCs w:val="20"/>
        </w:rPr>
        <w:t>See</w:t>
      </w:r>
      <w:r w:rsidRPr="001E2F96">
        <w:rPr>
          <w:rFonts w:ascii="Times New Roman" w:hAnsi="Times New Roman" w:cs="Times New Roman"/>
          <w:sz w:val="20"/>
          <w:szCs w:val="20"/>
        </w:rPr>
        <w:t xml:space="preserve"> </w:t>
      </w:r>
      <w:proofErr w:type="gramStart"/>
      <w:r w:rsidRPr="001E2F96">
        <w:rPr>
          <w:rFonts w:ascii="Times New Roman" w:hAnsi="Times New Roman" w:cs="Times New Roman"/>
          <w:sz w:val="20"/>
          <w:szCs w:val="20"/>
        </w:rPr>
        <w:t xml:space="preserve">66 </w:t>
      </w:r>
      <w:proofErr w:type="spellStart"/>
      <w:r w:rsidRPr="001E2F96">
        <w:rPr>
          <w:rFonts w:ascii="Times New Roman" w:hAnsi="Times New Roman" w:cs="Times New Roman"/>
          <w:sz w:val="20"/>
          <w:szCs w:val="20"/>
        </w:rPr>
        <w:t>Pa.C.S</w:t>
      </w:r>
      <w:proofErr w:type="spellEnd"/>
      <w:proofErr w:type="gramEnd"/>
      <w:r w:rsidRPr="001E2F96">
        <w:rPr>
          <w:rFonts w:ascii="Times New Roman" w:hAnsi="Times New Roman" w:cs="Times New Roman"/>
          <w:sz w:val="20"/>
          <w:szCs w:val="20"/>
        </w:rPr>
        <w:t xml:space="preserve">. </w:t>
      </w:r>
      <w:proofErr w:type="gramStart"/>
      <w:r w:rsidRPr="001E2F96">
        <w:rPr>
          <w:rFonts w:ascii="Times New Roman" w:hAnsi="Times New Roman" w:cs="Times New Roman"/>
          <w:sz w:val="20"/>
          <w:szCs w:val="20"/>
        </w:rPr>
        <w:t>§§ 102; 2806; 2809; 2810.</w:t>
      </w:r>
      <w:proofErr w:type="gramEnd"/>
    </w:p>
  </w:footnote>
  <w:footnote w:id="8">
    <w:p w:rsidR="00F16448" w:rsidRPr="001E2F96" w:rsidRDefault="00F16448" w:rsidP="008E4175">
      <w:pPr>
        <w:pStyle w:val="FootnoteText"/>
        <w:ind w:right="1080"/>
        <w:rPr>
          <w:rFonts w:ascii="Times New Roman" w:hAnsi="Times New Roman" w:cs="Times New Roman"/>
          <w:sz w:val="26"/>
          <w:szCs w:val="26"/>
        </w:rPr>
      </w:pPr>
    </w:p>
    <w:p w:rsidR="00F16448" w:rsidRPr="001E2F96" w:rsidRDefault="00F16448" w:rsidP="00ED77D7">
      <w:pPr>
        <w:pStyle w:val="FootnoteText"/>
        <w:tabs>
          <w:tab w:val="left" w:pos="720"/>
          <w:tab w:val="left" w:pos="1440"/>
          <w:tab w:val="left" w:pos="2160"/>
        </w:tabs>
        <w:rPr>
          <w:rFonts w:ascii="Times New Roman" w:hAnsi="Times New Roman" w:cs="Times New Roman"/>
          <w:sz w:val="20"/>
          <w:szCs w:val="20"/>
        </w:rPr>
      </w:pPr>
      <w:r w:rsidRPr="001E2F96">
        <w:rPr>
          <w:rFonts w:ascii="Times New Roman" w:hAnsi="Times New Roman" w:cs="Times New Roman"/>
          <w:sz w:val="26"/>
          <w:szCs w:val="26"/>
        </w:rPr>
        <w:tab/>
      </w:r>
      <w:r w:rsidRPr="001E2F96">
        <w:rPr>
          <w:rStyle w:val="FootnoteReference"/>
          <w:rFonts w:ascii="Times New Roman" w:hAnsi="Times New Roman" w:cs="Times New Roman"/>
          <w:sz w:val="20"/>
          <w:szCs w:val="20"/>
        </w:rPr>
        <w:footnoteRef/>
      </w:r>
      <w:r w:rsidR="001E2F96">
        <w:rPr>
          <w:rFonts w:ascii="Times New Roman" w:hAnsi="Times New Roman" w:cs="Times New Roman"/>
          <w:sz w:val="26"/>
          <w:szCs w:val="26"/>
        </w:rPr>
        <w:tab/>
      </w:r>
      <w:r w:rsidRPr="001E2F96">
        <w:rPr>
          <w:rFonts w:ascii="Times New Roman" w:hAnsi="Times New Roman" w:cs="Times New Roman"/>
          <w:i/>
          <w:sz w:val="20"/>
          <w:szCs w:val="20"/>
        </w:rPr>
        <w:t>See</w:t>
      </w:r>
      <w:r w:rsidRPr="001E2F96">
        <w:rPr>
          <w:rFonts w:ascii="Times New Roman" w:hAnsi="Times New Roman" w:cs="Times New Roman"/>
          <w:sz w:val="20"/>
          <w:szCs w:val="20"/>
        </w:rPr>
        <w:t xml:space="preserve">, 52 </w:t>
      </w:r>
      <w:proofErr w:type="spellStart"/>
      <w:r w:rsidRPr="001E2F96">
        <w:rPr>
          <w:rFonts w:ascii="Times New Roman" w:hAnsi="Times New Roman" w:cs="Times New Roman"/>
          <w:sz w:val="20"/>
          <w:szCs w:val="20"/>
        </w:rPr>
        <w:t>Pa.Code</w:t>
      </w:r>
      <w:proofErr w:type="spellEnd"/>
      <w:r w:rsidRPr="001E2F96">
        <w:rPr>
          <w:rFonts w:ascii="Times New Roman" w:hAnsi="Times New Roman" w:cs="Times New Roman"/>
          <w:sz w:val="20"/>
          <w:szCs w:val="20"/>
        </w:rPr>
        <w:t xml:space="preserve"> §§ 54.4(a) and 54.5(a), both of which are applicable to residential and small commercial customers.</w:t>
      </w:r>
    </w:p>
    <w:p w:rsidR="00F16448" w:rsidRPr="001E2F96" w:rsidRDefault="00F16448" w:rsidP="00AC5EC8">
      <w:pPr>
        <w:pStyle w:val="FootnoteText"/>
        <w:spacing w:line="60" w:lineRule="auto"/>
        <w:rPr>
          <w:rFonts w:ascii="Times New Roman" w:hAnsi="Times New Roman" w:cs="Times New Roman"/>
          <w:sz w:val="20"/>
          <w:szCs w:val="20"/>
        </w:rPr>
      </w:pPr>
    </w:p>
  </w:footnote>
  <w:footnote w:id="9">
    <w:p w:rsidR="00316F47" w:rsidRDefault="00316F47">
      <w:pPr>
        <w:pStyle w:val="FootnoteText"/>
      </w:pPr>
    </w:p>
    <w:p w:rsidR="00316F47" w:rsidRPr="00316F47" w:rsidRDefault="00316F47">
      <w:pPr>
        <w:pStyle w:val="FootnoteText"/>
        <w:rPr>
          <w:rFonts w:ascii="Times New Roman" w:hAnsi="Times New Roman" w:cs="Times New Roman"/>
          <w:sz w:val="20"/>
          <w:szCs w:val="20"/>
        </w:rPr>
      </w:pPr>
      <w:r>
        <w:tab/>
      </w:r>
      <w:r w:rsidRPr="00316F47">
        <w:rPr>
          <w:rStyle w:val="FootnoteReference"/>
          <w:sz w:val="20"/>
          <w:szCs w:val="20"/>
        </w:rPr>
        <w:footnoteRef/>
      </w:r>
      <w:r w:rsidRPr="00316F47">
        <w:rPr>
          <w:sz w:val="20"/>
          <w:szCs w:val="20"/>
        </w:rPr>
        <w:tab/>
        <w:t xml:space="preserve"> </w:t>
      </w:r>
      <w:r>
        <w:rPr>
          <w:sz w:val="20"/>
          <w:szCs w:val="20"/>
        </w:rPr>
        <w:t>The consumer protections in the Electric Competition Act applicable to competitive electricity generation supply service include the Section 2809(b) requirement that EGSs comply with the Commission’s Regulations, including the Chapter 54 Regulations.</w:t>
      </w:r>
    </w:p>
  </w:footnote>
  <w:footnote w:id="10">
    <w:p w:rsidR="00F16448" w:rsidRDefault="00F16448">
      <w:pPr>
        <w:pStyle w:val="FootnoteText"/>
      </w:pPr>
    </w:p>
    <w:p w:rsidR="00F16448" w:rsidRDefault="00F16448">
      <w:pPr>
        <w:pStyle w:val="FootnoteText"/>
      </w:pPr>
      <w:r>
        <w:tab/>
      </w:r>
      <w:r w:rsidRPr="00966EFA">
        <w:rPr>
          <w:rStyle w:val="FootnoteReference"/>
          <w:rFonts w:ascii="Times New Roman" w:hAnsi="Times New Roman" w:cs="Times New Roman"/>
          <w:sz w:val="20"/>
          <w:szCs w:val="20"/>
        </w:rPr>
        <w:footnoteRef/>
      </w:r>
      <w:r w:rsidR="005718E8">
        <w:tab/>
      </w:r>
      <w:proofErr w:type="gramStart"/>
      <w:r w:rsidR="00104E77" w:rsidRPr="00966EFA">
        <w:rPr>
          <w:rFonts w:ascii="Times New Roman" w:hAnsi="Times New Roman" w:cs="Times New Roman"/>
          <w:sz w:val="20"/>
          <w:szCs w:val="20"/>
        </w:rPr>
        <w:t xml:space="preserve">52 </w:t>
      </w:r>
      <w:proofErr w:type="spellStart"/>
      <w:r w:rsidR="00104E77" w:rsidRPr="00966EFA">
        <w:rPr>
          <w:rFonts w:ascii="Times New Roman" w:hAnsi="Times New Roman" w:cs="Times New Roman"/>
          <w:sz w:val="20"/>
          <w:szCs w:val="20"/>
        </w:rPr>
        <w:t>Pa.Code</w:t>
      </w:r>
      <w:proofErr w:type="spellEnd"/>
      <w:r w:rsidR="00104E77" w:rsidRPr="00966EFA">
        <w:rPr>
          <w:rFonts w:ascii="Times New Roman" w:hAnsi="Times New Roman" w:cs="Times New Roman"/>
          <w:sz w:val="20"/>
          <w:szCs w:val="20"/>
        </w:rPr>
        <w:t xml:space="preserve"> </w:t>
      </w:r>
      <w:r w:rsidRPr="00966EFA">
        <w:rPr>
          <w:rFonts w:ascii="Times New Roman" w:hAnsi="Times New Roman" w:cs="Times New Roman"/>
          <w:sz w:val="20"/>
          <w:szCs w:val="20"/>
        </w:rPr>
        <w:t>§ 1</w:t>
      </w:r>
      <w:r w:rsidR="00104E77" w:rsidRPr="00966EFA">
        <w:rPr>
          <w:rFonts w:ascii="Times New Roman" w:hAnsi="Times New Roman" w:cs="Times New Roman"/>
          <w:sz w:val="20"/>
          <w:szCs w:val="20"/>
        </w:rPr>
        <w:t>11.13</w:t>
      </w:r>
      <w:r w:rsidR="001B10C1">
        <w:rPr>
          <w:rFonts w:ascii="Times New Roman" w:hAnsi="Times New Roman" w:cs="Times New Roman"/>
          <w:sz w:val="20"/>
          <w:szCs w:val="20"/>
        </w:rPr>
        <w:t>.</w:t>
      </w:r>
      <w:proofErr w:type="gramEnd"/>
    </w:p>
  </w:footnote>
  <w:footnote w:id="11">
    <w:p w:rsidR="003C00FA" w:rsidRDefault="003C00FA">
      <w:pPr>
        <w:pStyle w:val="FootnoteText"/>
      </w:pPr>
    </w:p>
    <w:p w:rsidR="003C00FA" w:rsidRPr="00584D0F" w:rsidRDefault="003C00FA" w:rsidP="003C00FA">
      <w:pPr>
        <w:pStyle w:val="FootnoteText"/>
        <w:ind w:left="720"/>
        <w:rPr>
          <w:rFonts w:ascii="Times New Roman" w:hAnsi="Times New Roman" w:cs="Times New Roman"/>
          <w:sz w:val="20"/>
          <w:szCs w:val="20"/>
        </w:rPr>
      </w:pPr>
      <w:r w:rsidRPr="00584D0F">
        <w:rPr>
          <w:rStyle w:val="FootnoteReference"/>
          <w:rFonts w:ascii="Times New Roman" w:hAnsi="Times New Roman" w:cs="Times New Roman"/>
          <w:sz w:val="20"/>
          <w:szCs w:val="20"/>
        </w:rPr>
        <w:footnoteRef/>
      </w:r>
      <w:r w:rsidR="005718E8">
        <w:rPr>
          <w:rFonts w:ascii="Times New Roman" w:hAnsi="Times New Roman" w:cs="Times New Roman"/>
          <w:sz w:val="20"/>
          <w:szCs w:val="20"/>
        </w:rPr>
        <w:tab/>
      </w:r>
      <w:proofErr w:type="gramStart"/>
      <w:r w:rsidRPr="00584D0F">
        <w:rPr>
          <w:rFonts w:ascii="Times New Roman" w:hAnsi="Times New Roman" w:cs="Times New Roman"/>
          <w:sz w:val="20"/>
          <w:szCs w:val="20"/>
        </w:rPr>
        <w:t xml:space="preserve">52 </w:t>
      </w:r>
      <w:proofErr w:type="spellStart"/>
      <w:r w:rsidRPr="00584D0F">
        <w:rPr>
          <w:rFonts w:ascii="Times New Roman" w:hAnsi="Times New Roman" w:cs="Times New Roman"/>
          <w:sz w:val="20"/>
          <w:szCs w:val="20"/>
        </w:rPr>
        <w:t>Pa.Code</w:t>
      </w:r>
      <w:proofErr w:type="spellEnd"/>
      <w:r w:rsidRPr="00584D0F">
        <w:rPr>
          <w:rFonts w:ascii="Times New Roman" w:hAnsi="Times New Roman" w:cs="Times New Roman"/>
          <w:sz w:val="20"/>
          <w:szCs w:val="20"/>
        </w:rPr>
        <w:t xml:space="preserve"> </w:t>
      </w:r>
      <w:r w:rsidR="000721B7" w:rsidRPr="00584D0F">
        <w:rPr>
          <w:rFonts w:ascii="Times New Roman" w:hAnsi="Times New Roman" w:cs="Times New Roman"/>
          <w:sz w:val="20"/>
          <w:szCs w:val="20"/>
        </w:rPr>
        <w:t>§</w:t>
      </w:r>
      <w:r w:rsidR="00584D0F">
        <w:rPr>
          <w:rFonts w:ascii="Times New Roman" w:hAnsi="Times New Roman" w:cs="Times New Roman"/>
          <w:sz w:val="20"/>
          <w:szCs w:val="20"/>
        </w:rPr>
        <w:t xml:space="preserve"> </w:t>
      </w:r>
      <w:r w:rsidRPr="00584D0F">
        <w:rPr>
          <w:rFonts w:ascii="Times New Roman" w:hAnsi="Times New Roman" w:cs="Times New Roman"/>
          <w:sz w:val="20"/>
          <w:szCs w:val="20"/>
        </w:rPr>
        <w:t>56.151(2).</w:t>
      </w:r>
      <w:proofErr w:type="gramEnd"/>
    </w:p>
  </w:footnote>
  <w:footnote w:id="12">
    <w:p w:rsidR="00070033" w:rsidRDefault="00070033">
      <w:pPr>
        <w:pStyle w:val="FootnoteText"/>
      </w:pPr>
    </w:p>
    <w:p w:rsidR="00070033" w:rsidRPr="0013304C" w:rsidRDefault="00070033" w:rsidP="00070033">
      <w:pPr>
        <w:pStyle w:val="FootnoteText"/>
        <w:ind w:firstLine="720"/>
        <w:rPr>
          <w:rFonts w:ascii="Times New Roman" w:hAnsi="Times New Roman" w:cs="Times New Roman"/>
          <w:sz w:val="20"/>
          <w:szCs w:val="20"/>
        </w:rPr>
      </w:pPr>
      <w:r w:rsidRPr="0013304C">
        <w:rPr>
          <w:rStyle w:val="FootnoteReference"/>
          <w:rFonts w:ascii="Times New Roman" w:hAnsi="Times New Roman" w:cs="Times New Roman"/>
          <w:sz w:val="20"/>
          <w:szCs w:val="20"/>
        </w:rPr>
        <w:footnoteRef/>
      </w:r>
      <w:r w:rsidR="00325D8C">
        <w:rPr>
          <w:rFonts w:ascii="Times New Roman" w:hAnsi="Times New Roman" w:cs="Times New Roman"/>
          <w:sz w:val="20"/>
          <w:szCs w:val="20"/>
        </w:rPr>
        <w:tab/>
      </w:r>
      <w:proofErr w:type="gramStart"/>
      <w:r w:rsidRPr="0013304C">
        <w:rPr>
          <w:rFonts w:ascii="Times New Roman" w:hAnsi="Times New Roman" w:cs="Times New Roman"/>
          <w:sz w:val="20"/>
          <w:szCs w:val="20"/>
        </w:rPr>
        <w:t xml:space="preserve">52 </w:t>
      </w:r>
      <w:proofErr w:type="spellStart"/>
      <w:r w:rsidRPr="0013304C">
        <w:rPr>
          <w:rFonts w:ascii="Times New Roman" w:hAnsi="Times New Roman" w:cs="Times New Roman"/>
          <w:sz w:val="20"/>
          <w:szCs w:val="20"/>
        </w:rPr>
        <w:t>Pa.Code</w:t>
      </w:r>
      <w:proofErr w:type="spellEnd"/>
      <w:r w:rsidRPr="0013304C">
        <w:rPr>
          <w:rFonts w:ascii="Times New Roman" w:hAnsi="Times New Roman" w:cs="Times New Roman"/>
          <w:sz w:val="20"/>
          <w:szCs w:val="20"/>
        </w:rPr>
        <w:t xml:space="preserve"> </w:t>
      </w:r>
      <w:r w:rsidR="000721B7" w:rsidRPr="0013304C">
        <w:rPr>
          <w:rFonts w:ascii="Times New Roman" w:hAnsi="Times New Roman" w:cs="Times New Roman"/>
          <w:sz w:val="20"/>
          <w:szCs w:val="20"/>
        </w:rPr>
        <w:t xml:space="preserve">§ </w:t>
      </w:r>
      <w:r w:rsidRPr="0013304C">
        <w:rPr>
          <w:rFonts w:ascii="Times New Roman" w:hAnsi="Times New Roman" w:cs="Times New Roman"/>
          <w:sz w:val="20"/>
          <w:szCs w:val="20"/>
        </w:rPr>
        <w:t>111.13</w:t>
      </w:r>
      <w:r w:rsidR="00325D8C">
        <w:rPr>
          <w:rFonts w:ascii="Times New Roman" w:hAnsi="Times New Roman" w:cs="Times New Roman"/>
          <w:sz w:val="20"/>
          <w:szCs w:val="20"/>
        </w:rPr>
        <w:t>.</w:t>
      </w:r>
      <w:proofErr w:type="gramEnd"/>
    </w:p>
  </w:footnote>
  <w:footnote w:id="13">
    <w:p w:rsidR="00C30B73" w:rsidRPr="0013304C" w:rsidRDefault="00C30B73">
      <w:pPr>
        <w:pStyle w:val="FootnoteText"/>
        <w:rPr>
          <w:rFonts w:ascii="Times New Roman" w:hAnsi="Times New Roman" w:cs="Times New Roman"/>
          <w:sz w:val="20"/>
          <w:szCs w:val="20"/>
        </w:rPr>
      </w:pPr>
    </w:p>
    <w:p w:rsidR="00C30B73" w:rsidRPr="0013304C" w:rsidRDefault="00C30B73" w:rsidP="00C30B73">
      <w:pPr>
        <w:pStyle w:val="FootnoteText"/>
        <w:ind w:firstLine="720"/>
        <w:rPr>
          <w:rFonts w:ascii="Times New Roman" w:hAnsi="Times New Roman" w:cs="Times New Roman"/>
          <w:sz w:val="20"/>
          <w:szCs w:val="20"/>
        </w:rPr>
      </w:pPr>
      <w:r w:rsidRPr="0013304C">
        <w:rPr>
          <w:rStyle w:val="FootnoteReference"/>
          <w:rFonts w:ascii="Times New Roman" w:hAnsi="Times New Roman" w:cs="Times New Roman"/>
          <w:sz w:val="20"/>
          <w:szCs w:val="20"/>
        </w:rPr>
        <w:footnoteRef/>
      </w:r>
      <w:r w:rsidR="00325D8C">
        <w:rPr>
          <w:rFonts w:ascii="Times New Roman" w:hAnsi="Times New Roman" w:cs="Times New Roman"/>
          <w:sz w:val="20"/>
          <w:szCs w:val="20"/>
        </w:rPr>
        <w:tab/>
      </w:r>
      <w:proofErr w:type="gramStart"/>
      <w:r w:rsidRPr="0013304C">
        <w:rPr>
          <w:rFonts w:ascii="Times New Roman" w:hAnsi="Times New Roman" w:cs="Times New Roman"/>
          <w:sz w:val="20"/>
          <w:szCs w:val="20"/>
        </w:rPr>
        <w:t xml:space="preserve">52 </w:t>
      </w:r>
      <w:proofErr w:type="spellStart"/>
      <w:r w:rsidRPr="0013304C">
        <w:rPr>
          <w:rFonts w:ascii="Times New Roman" w:hAnsi="Times New Roman" w:cs="Times New Roman"/>
          <w:sz w:val="20"/>
          <w:szCs w:val="20"/>
        </w:rPr>
        <w:t>Pa.Code</w:t>
      </w:r>
      <w:proofErr w:type="spellEnd"/>
      <w:r w:rsidRPr="0013304C">
        <w:rPr>
          <w:rFonts w:ascii="Times New Roman" w:hAnsi="Times New Roman" w:cs="Times New Roman"/>
          <w:sz w:val="20"/>
          <w:szCs w:val="20"/>
        </w:rPr>
        <w:t xml:space="preserve"> </w:t>
      </w:r>
      <w:r w:rsidR="00325D8C">
        <w:rPr>
          <w:rFonts w:ascii="Times New Roman" w:hAnsi="Times New Roman" w:cs="Times New Roman"/>
          <w:sz w:val="20"/>
          <w:szCs w:val="20"/>
        </w:rPr>
        <w:t xml:space="preserve">§ </w:t>
      </w:r>
      <w:r w:rsidRPr="0013304C">
        <w:rPr>
          <w:rFonts w:ascii="Times New Roman" w:hAnsi="Times New Roman" w:cs="Times New Roman"/>
          <w:sz w:val="20"/>
          <w:szCs w:val="20"/>
        </w:rPr>
        <w:t>56.151(2).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D2047"/>
    <w:multiLevelType w:val="hybridMultilevel"/>
    <w:tmpl w:val="0F74445A"/>
    <w:lvl w:ilvl="0" w:tplc="7E1EC620">
      <w:start w:val="3"/>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3581A"/>
    <w:multiLevelType w:val="singleLevel"/>
    <w:tmpl w:val="0409000F"/>
    <w:lvl w:ilvl="0">
      <w:start w:val="1"/>
      <w:numFmt w:val="decimal"/>
      <w:lvlText w:val="%1."/>
      <w:lvlJc w:val="left"/>
      <w:pPr>
        <w:tabs>
          <w:tab w:val="num" w:pos="360"/>
        </w:tabs>
        <w:ind w:left="360" w:hanging="360"/>
      </w:pPr>
    </w:lvl>
  </w:abstractNum>
  <w:abstractNum w:abstractNumId="2">
    <w:nsid w:val="264B4D72"/>
    <w:multiLevelType w:val="hybridMultilevel"/>
    <w:tmpl w:val="0554A4AC"/>
    <w:lvl w:ilvl="0" w:tplc="D3480D0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C06117D"/>
    <w:multiLevelType w:val="hybridMultilevel"/>
    <w:tmpl w:val="24B45AFA"/>
    <w:lvl w:ilvl="0" w:tplc="71DCA084">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6CC6466D"/>
    <w:multiLevelType w:val="hybridMultilevel"/>
    <w:tmpl w:val="E996C844"/>
    <w:lvl w:ilvl="0" w:tplc="853AAAEE">
      <w:start w:val="6"/>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7F3B4B5F"/>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4"/>
  </w:num>
  <w:num w:numId="4">
    <w:abstractNumId w:val="7"/>
  </w:num>
  <w:num w:numId="5">
    <w:abstractNumId w:val="1"/>
  </w:num>
  <w:num w:numId="6">
    <w:abstractNumId w:val="8"/>
  </w:num>
  <w:num w:numId="7">
    <w:abstractNumId w:val="10"/>
  </w:num>
  <w:num w:numId="8">
    <w:abstractNumId w:val="9"/>
  </w:num>
  <w:num w:numId="9">
    <w:abstractNumId w:val="2"/>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04DB5"/>
    <w:rsid w:val="00012A31"/>
    <w:rsid w:val="0001782C"/>
    <w:rsid w:val="000208C3"/>
    <w:rsid w:val="00024EBD"/>
    <w:rsid w:val="000250BB"/>
    <w:rsid w:val="0002580A"/>
    <w:rsid w:val="00026695"/>
    <w:rsid w:val="00027D47"/>
    <w:rsid w:val="0003159A"/>
    <w:rsid w:val="00033C57"/>
    <w:rsid w:val="0003528C"/>
    <w:rsid w:val="00036D15"/>
    <w:rsid w:val="0003733C"/>
    <w:rsid w:val="00037659"/>
    <w:rsid w:val="0004256A"/>
    <w:rsid w:val="0004461C"/>
    <w:rsid w:val="000449C4"/>
    <w:rsid w:val="00044EB2"/>
    <w:rsid w:val="0004672F"/>
    <w:rsid w:val="00046DC8"/>
    <w:rsid w:val="0004783A"/>
    <w:rsid w:val="0005019C"/>
    <w:rsid w:val="00053987"/>
    <w:rsid w:val="00055035"/>
    <w:rsid w:val="000562EC"/>
    <w:rsid w:val="0005700F"/>
    <w:rsid w:val="000626D3"/>
    <w:rsid w:val="000666CC"/>
    <w:rsid w:val="00066AF1"/>
    <w:rsid w:val="0006703C"/>
    <w:rsid w:val="00070033"/>
    <w:rsid w:val="000704F9"/>
    <w:rsid w:val="00071C51"/>
    <w:rsid w:val="000721B7"/>
    <w:rsid w:val="00072509"/>
    <w:rsid w:val="0007411C"/>
    <w:rsid w:val="00074FDA"/>
    <w:rsid w:val="000809D8"/>
    <w:rsid w:val="00081B1D"/>
    <w:rsid w:val="00081B30"/>
    <w:rsid w:val="00081E29"/>
    <w:rsid w:val="00082B0F"/>
    <w:rsid w:val="000834A6"/>
    <w:rsid w:val="00083A52"/>
    <w:rsid w:val="00083FA0"/>
    <w:rsid w:val="00091009"/>
    <w:rsid w:val="00092C59"/>
    <w:rsid w:val="00092F70"/>
    <w:rsid w:val="00095095"/>
    <w:rsid w:val="00095264"/>
    <w:rsid w:val="0009641B"/>
    <w:rsid w:val="00096B9E"/>
    <w:rsid w:val="00097482"/>
    <w:rsid w:val="000A29F5"/>
    <w:rsid w:val="000A5717"/>
    <w:rsid w:val="000A6966"/>
    <w:rsid w:val="000A6E1F"/>
    <w:rsid w:val="000A763B"/>
    <w:rsid w:val="000A7D36"/>
    <w:rsid w:val="000B3C86"/>
    <w:rsid w:val="000B7FB2"/>
    <w:rsid w:val="000C0E69"/>
    <w:rsid w:val="000C1849"/>
    <w:rsid w:val="000C696A"/>
    <w:rsid w:val="000C6A1D"/>
    <w:rsid w:val="000C6DE2"/>
    <w:rsid w:val="000C779C"/>
    <w:rsid w:val="000D08CE"/>
    <w:rsid w:val="000D1C63"/>
    <w:rsid w:val="000D6500"/>
    <w:rsid w:val="000E00E5"/>
    <w:rsid w:val="000E13D1"/>
    <w:rsid w:val="000E1C79"/>
    <w:rsid w:val="000E2DAF"/>
    <w:rsid w:val="000E4193"/>
    <w:rsid w:val="000E4757"/>
    <w:rsid w:val="000E49C0"/>
    <w:rsid w:val="000E7B8F"/>
    <w:rsid w:val="000F10E1"/>
    <w:rsid w:val="000F2F79"/>
    <w:rsid w:val="000F423B"/>
    <w:rsid w:val="000F4573"/>
    <w:rsid w:val="000F4CFC"/>
    <w:rsid w:val="000F65AF"/>
    <w:rsid w:val="000F7B76"/>
    <w:rsid w:val="00104E77"/>
    <w:rsid w:val="001052EA"/>
    <w:rsid w:val="001067E0"/>
    <w:rsid w:val="001106EF"/>
    <w:rsid w:val="001137BD"/>
    <w:rsid w:val="00114212"/>
    <w:rsid w:val="0011533B"/>
    <w:rsid w:val="00115478"/>
    <w:rsid w:val="0011759E"/>
    <w:rsid w:val="00117E2D"/>
    <w:rsid w:val="00117FE0"/>
    <w:rsid w:val="001200EF"/>
    <w:rsid w:val="00121ED2"/>
    <w:rsid w:val="001221DB"/>
    <w:rsid w:val="00122571"/>
    <w:rsid w:val="00122992"/>
    <w:rsid w:val="001230FE"/>
    <w:rsid w:val="00123E3C"/>
    <w:rsid w:val="001305AA"/>
    <w:rsid w:val="00132838"/>
    <w:rsid w:val="0013304C"/>
    <w:rsid w:val="00136D0F"/>
    <w:rsid w:val="00137195"/>
    <w:rsid w:val="00141436"/>
    <w:rsid w:val="00144DA4"/>
    <w:rsid w:val="00145613"/>
    <w:rsid w:val="00145617"/>
    <w:rsid w:val="00150AF3"/>
    <w:rsid w:val="0015411A"/>
    <w:rsid w:val="001545A6"/>
    <w:rsid w:val="0015461C"/>
    <w:rsid w:val="0015713F"/>
    <w:rsid w:val="00160073"/>
    <w:rsid w:val="00161975"/>
    <w:rsid w:val="001630E9"/>
    <w:rsid w:val="00164D51"/>
    <w:rsid w:val="00166265"/>
    <w:rsid w:val="0017026F"/>
    <w:rsid w:val="001713C8"/>
    <w:rsid w:val="001757C0"/>
    <w:rsid w:val="00182260"/>
    <w:rsid w:val="001826B9"/>
    <w:rsid w:val="001827D6"/>
    <w:rsid w:val="0018447A"/>
    <w:rsid w:val="001867ED"/>
    <w:rsid w:val="001902CB"/>
    <w:rsid w:val="00190CE1"/>
    <w:rsid w:val="00190F6C"/>
    <w:rsid w:val="001913E2"/>
    <w:rsid w:val="00192D07"/>
    <w:rsid w:val="001936B8"/>
    <w:rsid w:val="00193F05"/>
    <w:rsid w:val="001945EC"/>
    <w:rsid w:val="00195625"/>
    <w:rsid w:val="00195A3D"/>
    <w:rsid w:val="00196175"/>
    <w:rsid w:val="001A3201"/>
    <w:rsid w:val="001A526C"/>
    <w:rsid w:val="001B10C1"/>
    <w:rsid w:val="001B2B5E"/>
    <w:rsid w:val="001B58E1"/>
    <w:rsid w:val="001B7C3C"/>
    <w:rsid w:val="001C26A5"/>
    <w:rsid w:val="001C49F5"/>
    <w:rsid w:val="001C4E9B"/>
    <w:rsid w:val="001C6B25"/>
    <w:rsid w:val="001D0098"/>
    <w:rsid w:val="001D0569"/>
    <w:rsid w:val="001D1AD1"/>
    <w:rsid w:val="001D3BC2"/>
    <w:rsid w:val="001D416E"/>
    <w:rsid w:val="001D4A5C"/>
    <w:rsid w:val="001D76BB"/>
    <w:rsid w:val="001D7B3E"/>
    <w:rsid w:val="001E1717"/>
    <w:rsid w:val="001E2730"/>
    <w:rsid w:val="001E2F96"/>
    <w:rsid w:val="001E3A1C"/>
    <w:rsid w:val="001E4EB7"/>
    <w:rsid w:val="001E56A5"/>
    <w:rsid w:val="001E6211"/>
    <w:rsid w:val="001E6831"/>
    <w:rsid w:val="001F070A"/>
    <w:rsid w:val="001F68C8"/>
    <w:rsid w:val="002005B9"/>
    <w:rsid w:val="0020107C"/>
    <w:rsid w:val="00207AE5"/>
    <w:rsid w:val="00207FAF"/>
    <w:rsid w:val="00210117"/>
    <w:rsid w:val="00213880"/>
    <w:rsid w:val="002147DA"/>
    <w:rsid w:val="00217DBF"/>
    <w:rsid w:val="00217EF0"/>
    <w:rsid w:val="0022061E"/>
    <w:rsid w:val="00220BB0"/>
    <w:rsid w:val="002228A4"/>
    <w:rsid w:val="00224F25"/>
    <w:rsid w:val="002253B3"/>
    <w:rsid w:val="002268E6"/>
    <w:rsid w:val="0022738E"/>
    <w:rsid w:val="00230D92"/>
    <w:rsid w:val="00231A37"/>
    <w:rsid w:val="00232BC6"/>
    <w:rsid w:val="00234024"/>
    <w:rsid w:val="00236708"/>
    <w:rsid w:val="0023722B"/>
    <w:rsid w:val="00237EE4"/>
    <w:rsid w:val="0024011C"/>
    <w:rsid w:val="00242FB8"/>
    <w:rsid w:val="0024480B"/>
    <w:rsid w:val="00244D8B"/>
    <w:rsid w:val="00245635"/>
    <w:rsid w:val="00247AE6"/>
    <w:rsid w:val="00252243"/>
    <w:rsid w:val="00255E38"/>
    <w:rsid w:val="00256E85"/>
    <w:rsid w:val="002577EA"/>
    <w:rsid w:val="00257A06"/>
    <w:rsid w:val="00257BFC"/>
    <w:rsid w:val="00260B80"/>
    <w:rsid w:val="0026219E"/>
    <w:rsid w:val="002624B6"/>
    <w:rsid w:val="0026529D"/>
    <w:rsid w:val="00265BD8"/>
    <w:rsid w:val="00266250"/>
    <w:rsid w:val="00271D01"/>
    <w:rsid w:val="0027262D"/>
    <w:rsid w:val="00272762"/>
    <w:rsid w:val="00272C05"/>
    <w:rsid w:val="00272ED4"/>
    <w:rsid w:val="002735DE"/>
    <w:rsid w:val="0027423F"/>
    <w:rsid w:val="00274791"/>
    <w:rsid w:val="002753D3"/>
    <w:rsid w:val="00276EA1"/>
    <w:rsid w:val="00277A8A"/>
    <w:rsid w:val="00280DF9"/>
    <w:rsid w:val="00281054"/>
    <w:rsid w:val="00281D25"/>
    <w:rsid w:val="0028258E"/>
    <w:rsid w:val="0028285A"/>
    <w:rsid w:val="00282E0B"/>
    <w:rsid w:val="00282F39"/>
    <w:rsid w:val="0028316B"/>
    <w:rsid w:val="002838AA"/>
    <w:rsid w:val="002842AC"/>
    <w:rsid w:val="00284784"/>
    <w:rsid w:val="0028579C"/>
    <w:rsid w:val="002874D8"/>
    <w:rsid w:val="00290003"/>
    <w:rsid w:val="0029012D"/>
    <w:rsid w:val="00290CF4"/>
    <w:rsid w:val="00291326"/>
    <w:rsid w:val="00292266"/>
    <w:rsid w:val="00292C8C"/>
    <w:rsid w:val="00292E67"/>
    <w:rsid w:val="002931C8"/>
    <w:rsid w:val="002957E0"/>
    <w:rsid w:val="00296137"/>
    <w:rsid w:val="00297751"/>
    <w:rsid w:val="002A01C4"/>
    <w:rsid w:val="002A06BF"/>
    <w:rsid w:val="002A1F82"/>
    <w:rsid w:val="002A4333"/>
    <w:rsid w:val="002A5A64"/>
    <w:rsid w:val="002B05F3"/>
    <w:rsid w:val="002B1F06"/>
    <w:rsid w:val="002B4296"/>
    <w:rsid w:val="002B5E52"/>
    <w:rsid w:val="002B78D7"/>
    <w:rsid w:val="002C12C1"/>
    <w:rsid w:val="002C2930"/>
    <w:rsid w:val="002C401C"/>
    <w:rsid w:val="002C5BDE"/>
    <w:rsid w:val="002C6B4C"/>
    <w:rsid w:val="002C7154"/>
    <w:rsid w:val="002D0518"/>
    <w:rsid w:val="002D0730"/>
    <w:rsid w:val="002D2429"/>
    <w:rsid w:val="002D2923"/>
    <w:rsid w:val="002D3261"/>
    <w:rsid w:val="002D4B8D"/>
    <w:rsid w:val="002D6203"/>
    <w:rsid w:val="002E063A"/>
    <w:rsid w:val="002E0B5F"/>
    <w:rsid w:val="002E149C"/>
    <w:rsid w:val="002E2D11"/>
    <w:rsid w:val="002E334E"/>
    <w:rsid w:val="002E35A1"/>
    <w:rsid w:val="002E39A4"/>
    <w:rsid w:val="002E40C6"/>
    <w:rsid w:val="002E5229"/>
    <w:rsid w:val="002E5C7F"/>
    <w:rsid w:val="002E7FA3"/>
    <w:rsid w:val="002F0462"/>
    <w:rsid w:val="002F055F"/>
    <w:rsid w:val="002F2F57"/>
    <w:rsid w:val="002F37D7"/>
    <w:rsid w:val="002F3993"/>
    <w:rsid w:val="002F3FE9"/>
    <w:rsid w:val="002F5CD5"/>
    <w:rsid w:val="002F7226"/>
    <w:rsid w:val="002F7AD6"/>
    <w:rsid w:val="003030AD"/>
    <w:rsid w:val="00303677"/>
    <w:rsid w:val="00304B12"/>
    <w:rsid w:val="00304B90"/>
    <w:rsid w:val="00305550"/>
    <w:rsid w:val="003128AF"/>
    <w:rsid w:val="00312E26"/>
    <w:rsid w:val="00312EDC"/>
    <w:rsid w:val="00314467"/>
    <w:rsid w:val="0031518E"/>
    <w:rsid w:val="0031637A"/>
    <w:rsid w:val="00316F47"/>
    <w:rsid w:val="003172B9"/>
    <w:rsid w:val="00317E4E"/>
    <w:rsid w:val="00317FA2"/>
    <w:rsid w:val="00325D8C"/>
    <w:rsid w:val="00326B01"/>
    <w:rsid w:val="00326EB6"/>
    <w:rsid w:val="00332EE2"/>
    <w:rsid w:val="00333233"/>
    <w:rsid w:val="00335121"/>
    <w:rsid w:val="00337CDB"/>
    <w:rsid w:val="00337CF1"/>
    <w:rsid w:val="00342339"/>
    <w:rsid w:val="00343973"/>
    <w:rsid w:val="00344720"/>
    <w:rsid w:val="003449C8"/>
    <w:rsid w:val="00344BB9"/>
    <w:rsid w:val="003454B4"/>
    <w:rsid w:val="0034610D"/>
    <w:rsid w:val="003471E6"/>
    <w:rsid w:val="0034744D"/>
    <w:rsid w:val="0035168B"/>
    <w:rsid w:val="00351CDF"/>
    <w:rsid w:val="00354A68"/>
    <w:rsid w:val="00356D9B"/>
    <w:rsid w:val="003605A8"/>
    <w:rsid w:val="00360847"/>
    <w:rsid w:val="00362634"/>
    <w:rsid w:val="00362B96"/>
    <w:rsid w:val="00362D31"/>
    <w:rsid w:val="00362FFE"/>
    <w:rsid w:val="00363273"/>
    <w:rsid w:val="003638ED"/>
    <w:rsid w:val="00367E58"/>
    <w:rsid w:val="00371787"/>
    <w:rsid w:val="00371B96"/>
    <w:rsid w:val="003725B3"/>
    <w:rsid w:val="00372D01"/>
    <w:rsid w:val="00373B04"/>
    <w:rsid w:val="00373D26"/>
    <w:rsid w:val="00374F62"/>
    <w:rsid w:val="00374FB3"/>
    <w:rsid w:val="00376195"/>
    <w:rsid w:val="00376D13"/>
    <w:rsid w:val="0037772E"/>
    <w:rsid w:val="00377F32"/>
    <w:rsid w:val="0038029E"/>
    <w:rsid w:val="00384426"/>
    <w:rsid w:val="00384FA0"/>
    <w:rsid w:val="0038592C"/>
    <w:rsid w:val="00386037"/>
    <w:rsid w:val="00386A7F"/>
    <w:rsid w:val="00386E60"/>
    <w:rsid w:val="00390780"/>
    <w:rsid w:val="00391D61"/>
    <w:rsid w:val="00391EE1"/>
    <w:rsid w:val="003921FB"/>
    <w:rsid w:val="00396AE4"/>
    <w:rsid w:val="00397008"/>
    <w:rsid w:val="0039742C"/>
    <w:rsid w:val="003A1FE5"/>
    <w:rsid w:val="003A28F8"/>
    <w:rsid w:val="003A3BD7"/>
    <w:rsid w:val="003A440D"/>
    <w:rsid w:val="003A65C4"/>
    <w:rsid w:val="003A7F1D"/>
    <w:rsid w:val="003B177E"/>
    <w:rsid w:val="003B3483"/>
    <w:rsid w:val="003B429E"/>
    <w:rsid w:val="003B4D2C"/>
    <w:rsid w:val="003B5996"/>
    <w:rsid w:val="003C00FA"/>
    <w:rsid w:val="003C0816"/>
    <w:rsid w:val="003C18AE"/>
    <w:rsid w:val="003C4AFC"/>
    <w:rsid w:val="003C5005"/>
    <w:rsid w:val="003C56C7"/>
    <w:rsid w:val="003C5897"/>
    <w:rsid w:val="003C66F0"/>
    <w:rsid w:val="003C6EF3"/>
    <w:rsid w:val="003D2FA6"/>
    <w:rsid w:val="003D408B"/>
    <w:rsid w:val="003D6062"/>
    <w:rsid w:val="003D679F"/>
    <w:rsid w:val="003E01A1"/>
    <w:rsid w:val="003E0E78"/>
    <w:rsid w:val="003E4085"/>
    <w:rsid w:val="003E6F80"/>
    <w:rsid w:val="003E7200"/>
    <w:rsid w:val="003F0296"/>
    <w:rsid w:val="003F1A4E"/>
    <w:rsid w:val="003F35CF"/>
    <w:rsid w:val="003F46A0"/>
    <w:rsid w:val="003F4ABA"/>
    <w:rsid w:val="003F5E4D"/>
    <w:rsid w:val="003F6A10"/>
    <w:rsid w:val="00401D6D"/>
    <w:rsid w:val="00402F55"/>
    <w:rsid w:val="00403271"/>
    <w:rsid w:val="00403531"/>
    <w:rsid w:val="00403EE1"/>
    <w:rsid w:val="004043FB"/>
    <w:rsid w:val="0040531A"/>
    <w:rsid w:val="00405CE9"/>
    <w:rsid w:val="0040726D"/>
    <w:rsid w:val="00410EDE"/>
    <w:rsid w:val="0041397D"/>
    <w:rsid w:val="0041486C"/>
    <w:rsid w:val="00414F80"/>
    <w:rsid w:val="00415A15"/>
    <w:rsid w:val="00417CED"/>
    <w:rsid w:val="00420D3D"/>
    <w:rsid w:val="004245ED"/>
    <w:rsid w:val="00425FFF"/>
    <w:rsid w:val="00426A1D"/>
    <w:rsid w:val="0042707C"/>
    <w:rsid w:val="0043432B"/>
    <w:rsid w:val="00434FB5"/>
    <w:rsid w:val="00436AD3"/>
    <w:rsid w:val="00440180"/>
    <w:rsid w:val="00440B5A"/>
    <w:rsid w:val="0044151C"/>
    <w:rsid w:val="004428B6"/>
    <w:rsid w:val="00444CF6"/>
    <w:rsid w:val="00450057"/>
    <w:rsid w:val="00451C9C"/>
    <w:rsid w:val="004532DC"/>
    <w:rsid w:val="00454921"/>
    <w:rsid w:val="0045506F"/>
    <w:rsid w:val="00455B21"/>
    <w:rsid w:val="0045620B"/>
    <w:rsid w:val="00456497"/>
    <w:rsid w:val="004617DF"/>
    <w:rsid w:val="00461B36"/>
    <w:rsid w:val="00461FB6"/>
    <w:rsid w:val="004632B9"/>
    <w:rsid w:val="004657FE"/>
    <w:rsid w:val="004665F5"/>
    <w:rsid w:val="00471358"/>
    <w:rsid w:val="004716C1"/>
    <w:rsid w:val="00471CEA"/>
    <w:rsid w:val="004733E0"/>
    <w:rsid w:val="004759DA"/>
    <w:rsid w:val="004779A6"/>
    <w:rsid w:val="00477D03"/>
    <w:rsid w:val="004812D7"/>
    <w:rsid w:val="00483815"/>
    <w:rsid w:val="00484342"/>
    <w:rsid w:val="004854DB"/>
    <w:rsid w:val="004909EF"/>
    <w:rsid w:val="00491A8E"/>
    <w:rsid w:val="004932C1"/>
    <w:rsid w:val="00493456"/>
    <w:rsid w:val="004946F6"/>
    <w:rsid w:val="00494CE5"/>
    <w:rsid w:val="004955E6"/>
    <w:rsid w:val="004A1185"/>
    <w:rsid w:val="004A168B"/>
    <w:rsid w:val="004A2A1B"/>
    <w:rsid w:val="004A2E71"/>
    <w:rsid w:val="004A466D"/>
    <w:rsid w:val="004A4884"/>
    <w:rsid w:val="004A57B8"/>
    <w:rsid w:val="004A77F9"/>
    <w:rsid w:val="004B0990"/>
    <w:rsid w:val="004B15A8"/>
    <w:rsid w:val="004B2AE9"/>
    <w:rsid w:val="004B3362"/>
    <w:rsid w:val="004C0C95"/>
    <w:rsid w:val="004C2B46"/>
    <w:rsid w:val="004C5013"/>
    <w:rsid w:val="004C73F3"/>
    <w:rsid w:val="004D0D05"/>
    <w:rsid w:val="004D1FA1"/>
    <w:rsid w:val="004D2E13"/>
    <w:rsid w:val="004D41E5"/>
    <w:rsid w:val="004E39CC"/>
    <w:rsid w:val="004E4533"/>
    <w:rsid w:val="004E5118"/>
    <w:rsid w:val="004E7587"/>
    <w:rsid w:val="004E7962"/>
    <w:rsid w:val="004F0C30"/>
    <w:rsid w:val="004F2F1E"/>
    <w:rsid w:val="004F4257"/>
    <w:rsid w:val="00500C1A"/>
    <w:rsid w:val="00501DAF"/>
    <w:rsid w:val="00502F05"/>
    <w:rsid w:val="00503931"/>
    <w:rsid w:val="00506987"/>
    <w:rsid w:val="005100B6"/>
    <w:rsid w:val="00511F84"/>
    <w:rsid w:val="00512993"/>
    <w:rsid w:val="00512BE7"/>
    <w:rsid w:val="00512C11"/>
    <w:rsid w:val="0051342C"/>
    <w:rsid w:val="00513E70"/>
    <w:rsid w:val="00515AFB"/>
    <w:rsid w:val="00515BEF"/>
    <w:rsid w:val="00516D19"/>
    <w:rsid w:val="0051720A"/>
    <w:rsid w:val="0051731A"/>
    <w:rsid w:val="005211C3"/>
    <w:rsid w:val="00521AF6"/>
    <w:rsid w:val="00521CF4"/>
    <w:rsid w:val="00522326"/>
    <w:rsid w:val="00522445"/>
    <w:rsid w:val="00525552"/>
    <w:rsid w:val="005271E4"/>
    <w:rsid w:val="00532BF8"/>
    <w:rsid w:val="00534201"/>
    <w:rsid w:val="005349D2"/>
    <w:rsid w:val="00534B31"/>
    <w:rsid w:val="00535B49"/>
    <w:rsid w:val="00543ED0"/>
    <w:rsid w:val="00543F04"/>
    <w:rsid w:val="00544C76"/>
    <w:rsid w:val="00547261"/>
    <w:rsid w:val="0054748C"/>
    <w:rsid w:val="00547BA4"/>
    <w:rsid w:val="0055022D"/>
    <w:rsid w:val="00551376"/>
    <w:rsid w:val="00552343"/>
    <w:rsid w:val="00554503"/>
    <w:rsid w:val="005551EB"/>
    <w:rsid w:val="005554F3"/>
    <w:rsid w:val="00560A31"/>
    <w:rsid w:val="00561293"/>
    <w:rsid w:val="005620CF"/>
    <w:rsid w:val="0056362A"/>
    <w:rsid w:val="0056441D"/>
    <w:rsid w:val="0056605D"/>
    <w:rsid w:val="005670AC"/>
    <w:rsid w:val="00567106"/>
    <w:rsid w:val="00567177"/>
    <w:rsid w:val="005718E8"/>
    <w:rsid w:val="00571AB3"/>
    <w:rsid w:val="00573692"/>
    <w:rsid w:val="00573B26"/>
    <w:rsid w:val="00574659"/>
    <w:rsid w:val="00576E47"/>
    <w:rsid w:val="00581DAE"/>
    <w:rsid w:val="00581E07"/>
    <w:rsid w:val="0058285A"/>
    <w:rsid w:val="0058419B"/>
    <w:rsid w:val="00584D0F"/>
    <w:rsid w:val="00586092"/>
    <w:rsid w:val="0058645C"/>
    <w:rsid w:val="00586BDE"/>
    <w:rsid w:val="00586C74"/>
    <w:rsid w:val="00587A81"/>
    <w:rsid w:val="00590BE7"/>
    <w:rsid w:val="00591302"/>
    <w:rsid w:val="00593296"/>
    <w:rsid w:val="0059355B"/>
    <w:rsid w:val="00593961"/>
    <w:rsid w:val="00593F68"/>
    <w:rsid w:val="005964FE"/>
    <w:rsid w:val="005A27D0"/>
    <w:rsid w:val="005A2EC6"/>
    <w:rsid w:val="005A48F7"/>
    <w:rsid w:val="005A6C09"/>
    <w:rsid w:val="005A7599"/>
    <w:rsid w:val="005A75F1"/>
    <w:rsid w:val="005B0892"/>
    <w:rsid w:val="005B29B8"/>
    <w:rsid w:val="005B3EFA"/>
    <w:rsid w:val="005B4F80"/>
    <w:rsid w:val="005C090C"/>
    <w:rsid w:val="005C2AE3"/>
    <w:rsid w:val="005C378D"/>
    <w:rsid w:val="005C4537"/>
    <w:rsid w:val="005C4709"/>
    <w:rsid w:val="005C726D"/>
    <w:rsid w:val="005D026A"/>
    <w:rsid w:val="005D5DA0"/>
    <w:rsid w:val="005D6418"/>
    <w:rsid w:val="005D6811"/>
    <w:rsid w:val="005D681E"/>
    <w:rsid w:val="005D76DD"/>
    <w:rsid w:val="005E056D"/>
    <w:rsid w:val="005E147E"/>
    <w:rsid w:val="005E2ACE"/>
    <w:rsid w:val="005E2ED7"/>
    <w:rsid w:val="005E3BAF"/>
    <w:rsid w:val="005E4B0B"/>
    <w:rsid w:val="005E5B8A"/>
    <w:rsid w:val="005F01AF"/>
    <w:rsid w:val="005F1172"/>
    <w:rsid w:val="005F2E32"/>
    <w:rsid w:val="005F2FD1"/>
    <w:rsid w:val="005F4580"/>
    <w:rsid w:val="005F6DFE"/>
    <w:rsid w:val="005F6EB1"/>
    <w:rsid w:val="005F706C"/>
    <w:rsid w:val="00600BCC"/>
    <w:rsid w:val="00602F6E"/>
    <w:rsid w:val="00604212"/>
    <w:rsid w:val="00604914"/>
    <w:rsid w:val="00605B0A"/>
    <w:rsid w:val="00605E47"/>
    <w:rsid w:val="006078DF"/>
    <w:rsid w:val="00610B41"/>
    <w:rsid w:val="00611DAB"/>
    <w:rsid w:val="00615756"/>
    <w:rsid w:val="00615B6C"/>
    <w:rsid w:val="00617F4A"/>
    <w:rsid w:val="006205C2"/>
    <w:rsid w:val="00624FBB"/>
    <w:rsid w:val="006256AA"/>
    <w:rsid w:val="006305B3"/>
    <w:rsid w:val="00630848"/>
    <w:rsid w:val="00630D8B"/>
    <w:rsid w:val="0063148D"/>
    <w:rsid w:val="0063153B"/>
    <w:rsid w:val="006349C0"/>
    <w:rsid w:val="00634F05"/>
    <w:rsid w:val="00636EB9"/>
    <w:rsid w:val="00637B44"/>
    <w:rsid w:val="006418C3"/>
    <w:rsid w:val="00641B7B"/>
    <w:rsid w:val="006426B2"/>
    <w:rsid w:val="00646FCC"/>
    <w:rsid w:val="006479D7"/>
    <w:rsid w:val="006524A8"/>
    <w:rsid w:val="00655134"/>
    <w:rsid w:val="006557AC"/>
    <w:rsid w:val="00655893"/>
    <w:rsid w:val="00655A2C"/>
    <w:rsid w:val="006573C5"/>
    <w:rsid w:val="006577AB"/>
    <w:rsid w:val="006608FD"/>
    <w:rsid w:val="006615E2"/>
    <w:rsid w:val="0066241C"/>
    <w:rsid w:val="00662491"/>
    <w:rsid w:val="00664278"/>
    <w:rsid w:val="00666029"/>
    <w:rsid w:val="006660E5"/>
    <w:rsid w:val="00667212"/>
    <w:rsid w:val="00667A75"/>
    <w:rsid w:val="00670A6F"/>
    <w:rsid w:val="0067125D"/>
    <w:rsid w:val="00672ED6"/>
    <w:rsid w:val="00673743"/>
    <w:rsid w:val="006741F3"/>
    <w:rsid w:val="006762AA"/>
    <w:rsid w:val="0067658B"/>
    <w:rsid w:val="00677458"/>
    <w:rsid w:val="00677889"/>
    <w:rsid w:val="006807F4"/>
    <w:rsid w:val="00682CB4"/>
    <w:rsid w:val="00682EF0"/>
    <w:rsid w:val="00683C75"/>
    <w:rsid w:val="0068420E"/>
    <w:rsid w:val="00685BA6"/>
    <w:rsid w:val="00686575"/>
    <w:rsid w:val="006879B9"/>
    <w:rsid w:val="0069092E"/>
    <w:rsid w:val="006925AD"/>
    <w:rsid w:val="006933B6"/>
    <w:rsid w:val="00693992"/>
    <w:rsid w:val="00694ADF"/>
    <w:rsid w:val="006951A9"/>
    <w:rsid w:val="006A0719"/>
    <w:rsid w:val="006A2ACA"/>
    <w:rsid w:val="006A2C73"/>
    <w:rsid w:val="006A41D8"/>
    <w:rsid w:val="006A498F"/>
    <w:rsid w:val="006A4FFB"/>
    <w:rsid w:val="006A5AF6"/>
    <w:rsid w:val="006A6609"/>
    <w:rsid w:val="006A6645"/>
    <w:rsid w:val="006A7460"/>
    <w:rsid w:val="006B161B"/>
    <w:rsid w:val="006B417B"/>
    <w:rsid w:val="006B795A"/>
    <w:rsid w:val="006C3A45"/>
    <w:rsid w:val="006C3D89"/>
    <w:rsid w:val="006C4BD7"/>
    <w:rsid w:val="006C5054"/>
    <w:rsid w:val="006C55D9"/>
    <w:rsid w:val="006D1242"/>
    <w:rsid w:val="006D1280"/>
    <w:rsid w:val="006D4470"/>
    <w:rsid w:val="006D4ED5"/>
    <w:rsid w:val="006D56D0"/>
    <w:rsid w:val="006D5D8B"/>
    <w:rsid w:val="006D5F2E"/>
    <w:rsid w:val="006D5FB7"/>
    <w:rsid w:val="006E0A31"/>
    <w:rsid w:val="006E1A21"/>
    <w:rsid w:val="006E1D7F"/>
    <w:rsid w:val="006E3887"/>
    <w:rsid w:val="006E5352"/>
    <w:rsid w:val="006E5A05"/>
    <w:rsid w:val="006E721C"/>
    <w:rsid w:val="006F07B4"/>
    <w:rsid w:val="006F1C9F"/>
    <w:rsid w:val="006F244B"/>
    <w:rsid w:val="006F2A97"/>
    <w:rsid w:val="006F2E0F"/>
    <w:rsid w:val="006F35DA"/>
    <w:rsid w:val="00701254"/>
    <w:rsid w:val="00701B0E"/>
    <w:rsid w:val="00703073"/>
    <w:rsid w:val="007033EF"/>
    <w:rsid w:val="00703C86"/>
    <w:rsid w:val="00704966"/>
    <w:rsid w:val="007057BB"/>
    <w:rsid w:val="00707368"/>
    <w:rsid w:val="00707609"/>
    <w:rsid w:val="00712C9A"/>
    <w:rsid w:val="0071467B"/>
    <w:rsid w:val="007157F7"/>
    <w:rsid w:val="00717282"/>
    <w:rsid w:val="00717867"/>
    <w:rsid w:val="00717DD4"/>
    <w:rsid w:val="00720ED4"/>
    <w:rsid w:val="00722965"/>
    <w:rsid w:val="00723D5A"/>
    <w:rsid w:val="00724BB0"/>
    <w:rsid w:val="007251E4"/>
    <w:rsid w:val="00725BA8"/>
    <w:rsid w:val="00726A84"/>
    <w:rsid w:val="00727028"/>
    <w:rsid w:val="0073032F"/>
    <w:rsid w:val="00730D4A"/>
    <w:rsid w:val="007322A4"/>
    <w:rsid w:val="007328E4"/>
    <w:rsid w:val="00733BBA"/>
    <w:rsid w:val="00734959"/>
    <w:rsid w:val="00736E4C"/>
    <w:rsid w:val="00737A14"/>
    <w:rsid w:val="007419E4"/>
    <w:rsid w:val="00742809"/>
    <w:rsid w:val="00742E76"/>
    <w:rsid w:val="00743B58"/>
    <w:rsid w:val="00745211"/>
    <w:rsid w:val="00747B0B"/>
    <w:rsid w:val="00747C99"/>
    <w:rsid w:val="00750008"/>
    <w:rsid w:val="007501C7"/>
    <w:rsid w:val="007515E8"/>
    <w:rsid w:val="00751E8F"/>
    <w:rsid w:val="00751EB2"/>
    <w:rsid w:val="00752161"/>
    <w:rsid w:val="00752A8B"/>
    <w:rsid w:val="00753BDB"/>
    <w:rsid w:val="007546FC"/>
    <w:rsid w:val="007549F5"/>
    <w:rsid w:val="0075658E"/>
    <w:rsid w:val="00756BB4"/>
    <w:rsid w:val="00756D04"/>
    <w:rsid w:val="0076049B"/>
    <w:rsid w:val="007608CF"/>
    <w:rsid w:val="00762F1E"/>
    <w:rsid w:val="007648CA"/>
    <w:rsid w:val="00766021"/>
    <w:rsid w:val="00770B30"/>
    <w:rsid w:val="00771991"/>
    <w:rsid w:val="0077218D"/>
    <w:rsid w:val="007730CC"/>
    <w:rsid w:val="007738FD"/>
    <w:rsid w:val="0077719B"/>
    <w:rsid w:val="007802DF"/>
    <w:rsid w:val="0078071E"/>
    <w:rsid w:val="007810D0"/>
    <w:rsid w:val="0078196A"/>
    <w:rsid w:val="00791909"/>
    <w:rsid w:val="0079257C"/>
    <w:rsid w:val="007929AE"/>
    <w:rsid w:val="00792F0E"/>
    <w:rsid w:val="0079424B"/>
    <w:rsid w:val="0079541A"/>
    <w:rsid w:val="00796F2C"/>
    <w:rsid w:val="007A2B0A"/>
    <w:rsid w:val="007A4C03"/>
    <w:rsid w:val="007A5095"/>
    <w:rsid w:val="007A523C"/>
    <w:rsid w:val="007A53EF"/>
    <w:rsid w:val="007A559E"/>
    <w:rsid w:val="007A76A2"/>
    <w:rsid w:val="007B13A2"/>
    <w:rsid w:val="007B2ACE"/>
    <w:rsid w:val="007B5973"/>
    <w:rsid w:val="007C0816"/>
    <w:rsid w:val="007C166F"/>
    <w:rsid w:val="007C495E"/>
    <w:rsid w:val="007C58C9"/>
    <w:rsid w:val="007C6B7B"/>
    <w:rsid w:val="007C70D2"/>
    <w:rsid w:val="007D09D6"/>
    <w:rsid w:val="007D0C0D"/>
    <w:rsid w:val="007D2780"/>
    <w:rsid w:val="007D316A"/>
    <w:rsid w:val="007D342B"/>
    <w:rsid w:val="007D47BE"/>
    <w:rsid w:val="007D6C27"/>
    <w:rsid w:val="007D7248"/>
    <w:rsid w:val="007E2971"/>
    <w:rsid w:val="007E7052"/>
    <w:rsid w:val="007F0376"/>
    <w:rsid w:val="007F0772"/>
    <w:rsid w:val="007F384F"/>
    <w:rsid w:val="007F576B"/>
    <w:rsid w:val="007F5B4F"/>
    <w:rsid w:val="007F5E96"/>
    <w:rsid w:val="007F6B89"/>
    <w:rsid w:val="007F7866"/>
    <w:rsid w:val="008004FA"/>
    <w:rsid w:val="00801462"/>
    <w:rsid w:val="0080198C"/>
    <w:rsid w:val="008028FD"/>
    <w:rsid w:val="00803B1D"/>
    <w:rsid w:val="00806DEC"/>
    <w:rsid w:val="00810E2A"/>
    <w:rsid w:val="00811CAE"/>
    <w:rsid w:val="008134ED"/>
    <w:rsid w:val="00813702"/>
    <w:rsid w:val="00816732"/>
    <w:rsid w:val="00816BF8"/>
    <w:rsid w:val="00817597"/>
    <w:rsid w:val="008177CD"/>
    <w:rsid w:val="00817D99"/>
    <w:rsid w:val="008210A5"/>
    <w:rsid w:val="00821A6B"/>
    <w:rsid w:val="0082300F"/>
    <w:rsid w:val="00823B4F"/>
    <w:rsid w:val="008249D3"/>
    <w:rsid w:val="00825F5F"/>
    <w:rsid w:val="008260F7"/>
    <w:rsid w:val="00827682"/>
    <w:rsid w:val="008322C5"/>
    <w:rsid w:val="00833FB8"/>
    <w:rsid w:val="008348F3"/>
    <w:rsid w:val="00842524"/>
    <w:rsid w:val="0084333D"/>
    <w:rsid w:val="00843530"/>
    <w:rsid w:val="00843C2B"/>
    <w:rsid w:val="00844412"/>
    <w:rsid w:val="00846B7D"/>
    <w:rsid w:val="00846FD1"/>
    <w:rsid w:val="0084709E"/>
    <w:rsid w:val="008471BE"/>
    <w:rsid w:val="00847345"/>
    <w:rsid w:val="00847C43"/>
    <w:rsid w:val="0085032A"/>
    <w:rsid w:val="008510D4"/>
    <w:rsid w:val="00853717"/>
    <w:rsid w:val="00853C50"/>
    <w:rsid w:val="00854E77"/>
    <w:rsid w:val="00867893"/>
    <w:rsid w:val="008716BF"/>
    <w:rsid w:val="00873631"/>
    <w:rsid w:val="00874088"/>
    <w:rsid w:val="00875BB7"/>
    <w:rsid w:val="00875EEF"/>
    <w:rsid w:val="008760B2"/>
    <w:rsid w:val="0087638B"/>
    <w:rsid w:val="00877FD9"/>
    <w:rsid w:val="008825A7"/>
    <w:rsid w:val="0088303B"/>
    <w:rsid w:val="00884669"/>
    <w:rsid w:val="00885049"/>
    <w:rsid w:val="00885185"/>
    <w:rsid w:val="008878B6"/>
    <w:rsid w:val="00895684"/>
    <w:rsid w:val="00895853"/>
    <w:rsid w:val="00897B60"/>
    <w:rsid w:val="00897C02"/>
    <w:rsid w:val="00897D6A"/>
    <w:rsid w:val="008A0E9A"/>
    <w:rsid w:val="008A2E24"/>
    <w:rsid w:val="008A4221"/>
    <w:rsid w:val="008A4385"/>
    <w:rsid w:val="008A4AD1"/>
    <w:rsid w:val="008A4DEF"/>
    <w:rsid w:val="008A53C3"/>
    <w:rsid w:val="008A5E79"/>
    <w:rsid w:val="008A609F"/>
    <w:rsid w:val="008B578C"/>
    <w:rsid w:val="008C1011"/>
    <w:rsid w:val="008C10E1"/>
    <w:rsid w:val="008C3E94"/>
    <w:rsid w:val="008C66E4"/>
    <w:rsid w:val="008D0086"/>
    <w:rsid w:val="008D033E"/>
    <w:rsid w:val="008D0C50"/>
    <w:rsid w:val="008D1001"/>
    <w:rsid w:val="008D3243"/>
    <w:rsid w:val="008D3827"/>
    <w:rsid w:val="008D4596"/>
    <w:rsid w:val="008D645C"/>
    <w:rsid w:val="008E20A6"/>
    <w:rsid w:val="008E2508"/>
    <w:rsid w:val="008E2FB6"/>
    <w:rsid w:val="008E4175"/>
    <w:rsid w:val="008E4356"/>
    <w:rsid w:val="008E65AD"/>
    <w:rsid w:val="008F0F93"/>
    <w:rsid w:val="008F1052"/>
    <w:rsid w:val="008F1DE7"/>
    <w:rsid w:val="008F427A"/>
    <w:rsid w:val="008F57BF"/>
    <w:rsid w:val="008F625A"/>
    <w:rsid w:val="00904524"/>
    <w:rsid w:val="00904EFA"/>
    <w:rsid w:val="00907BE8"/>
    <w:rsid w:val="0091567A"/>
    <w:rsid w:val="009213BC"/>
    <w:rsid w:val="0092451B"/>
    <w:rsid w:val="00926D97"/>
    <w:rsid w:val="00931284"/>
    <w:rsid w:val="00931631"/>
    <w:rsid w:val="00934493"/>
    <w:rsid w:val="00934714"/>
    <w:rsid w:val="00935843"/>
    <w:rsid w:val="0093692C"/>
    <w:rsid w:val="00940349"/>
    <w:rsid w:val="00945EBD"/>
    <w:rsid w:val="0094627D"/>
    <w:rsid w:val="009473BF"/>
    <w:rsid w:val="00954BCB"/>
    <w:rsid w:val="009555B8"/>
    <w:rsid w:val="009568BE"/>
    <w:rsid w:val="00957417"/>
    <w:rsid w:val="00960F3C"/>
    <w:rsid w:val="00962859"/>
    <w:rsid w:val="00962B4D"/>
    <w:rsid w:val="00963B9B"/>
    <w:rsid w:val="0096422B"/>
    <w:rsid w:val="0096544B"/>
    <w:rsid w:val="00965565"/>
    <w:rsid w:val="00966E87"/>
    <w:rsid w:val="00966EFA"/>
    <w:rsid w:val="0096758F"/>
    <w:rsid w:val="00970923"/>
    <w:rsid w:val="0097259D"/>
    <w:rsid w:val="00972723"/>
    <w:rsid w:val="009728A5"/>
    <w:rsid w:val="009732FC"/>
    <w:rsid w:val="00974D94"/>
    <w:rsid w:val="00976DD6"/>
    <w:rsid w:val="0098095E"/>
    <w:rsid w:val="0098215A"/>
    <w:rsid w:val="00984405"/>
    <w:rsid w:val="0098444E"/>
    <w:rsid w:val="0098595B"/>
    <w:rsid w:val="009860B5"/>
    <w:rsid w:val="00986479"/>
    <w:rsid w:val="00986C55"/>
    <w:rsid w:val="0098732E"/>
    <w:rsid w:val="00987503"/>
    <w:rsid w:val="00990854"/>
    <w:rsid w:val="00991481"/>
    <w:rsid w:val="0099189C"/>
    <w:rsid w:val="00993429"/>
    <w:rsid w:val="009959E2"/>
    <w:rsid w:val="009A0C7D"/>
    <w:rsid w:val="009A1BCC"/>
    <w:rsid w:val="009A22E8"/>
    <w:rsid w:val="009A271D"/>
    <w:rsid w:val="009A4689"/>
    <w:rsid w:val="009A5779"/>
    <w:rsid w:val="009A593E"/>
    <w:rsid w:val="009A627A"/>
    <w:rsid w:val="009B05C3"/>
    <w:rsid w:val="009B372A"/>
    <w:rsid w:val="009B4366"/>
    <w:rsid w:val="009B5087"/>
    <w:rsid w:val="009B69DB"/>
    <w:rsid w:val="009C024A"/>
    <w:rsid w:val="009C11DA"/>
    <w:rsid w:val="009C1E4E"/>
    <w:rsid w:val="009C2BEA"/>
    <w:rsid w:val="009C44EF"/>
    <w:rsid w:val="009C5553"/>
    <w:rsid w:val="009C7774"/>
    <w:rsid w:val="009C78D8"/>
    <w:rsid w:val="009D19F0"/>
    <w:rsid w:val="009D4AAA"/>
    <w:rsid w:val="009D65B7"/>
    <w:rsid w:val="009D6E51"/>
    <w:rsid w:val="009D7A03"/>
    <w:rsid w:val="009E01CA"/>
    <w:rsid w:val="009E1159"/>
    <w:rsid w:val="009E2E01"/>
    <w:rsid w:val="009E4CB7"/>
    <w:rsid w:val="009E5C12"/>
    <w:rsid w:val="009E6E2B"/>
    <w:rsid w:val="009F4391"/>
    <w:rsid w:val="009F69AF"/>
    <w:rsid w:val="009F6CCC"/>
    <w:rsid w:val="00A0225C"/>
    <w:rsid w:val="00A04EDD"/>
    <w:rsid w:val="00A118DA"/>
    <w:rsid w:val="00A13AB0"/>
    <w:rsid w:val="00A15E83"/>
    <w:rsid w:val="00A20FA0"/>
    <w:rsid w:val="00A23A64"/>
    <w:rsid w:val="00A257F9"/>
    <w:rsid w:val="00A259E4"/>
    <w:rsid w:val="00A27A60"/>
    <w:rsid w:val="00A31C63"/>
    <w:rsid w:val="00A31DBE"/>
    <w:rsid w:val="00A3571A"/>
    <w:rsid w:val="00A375D4"/>
    <w:rsid w:val="00A4011C"/>
    <w:rsid w:val="00A41950"/>
    <w:rsid w:val="00A504E1"/>
    <w:rsid w:val="00A50A65"/>
    <w:rsid w:val="00A5264B"/>
    <w:rsid w:val="00A52F5A"/>
    <w:rsid w:val="00A56F0E"/>
    <w:rsid w:val="00A61BB4"/>
    <w:rsid w:val="00A63D87"/>
    <w:rsid w:val="00A64966"/>
    <w:rsid w:val="00A65E99"/>
    <w:rsid w:val="00A666ED"/>
    <w:rsid w:val="00A7057A"/>
    <w:rsid w:val="00A70B7E"/>
    <w:rsid w:val="00A7101B"/>
    <w:rsid w:val="00A71201"/>
    <w:rsid w:val="00A7359B"/>
    <w:rsid w:val="00A74523"/>
    <w:rsid w:val="00A75FBE"/>
    <w:rsid w:val="00A815A9"/>
    <w:rsid w:val="00A83151"/>
    <w:rsid w:val="00A839FD"/>
    <w:rsid w:val="00A84056"/>
    <w:rsid w:val="00A862CE"/>
    <w:rsid w:val="00A86B9F"/>
    <w:rsid w:val="00A86F1C"/>
    <w:rsid w:val="00A87898"/>
    <w:rsid w:val="00A90677"/>
    <w:rsid w:val="00A92535"/>
    <w:rsid w:val="00A943AB"/>
    <w:rsid w:val="00A9452C"/>
    <w:rsid w:val="00A96F5E"/>
    <w:rsid w:val="00A97444"/>
    <w:rsid w:val="00AA03EF"/>
    <w:rsid w:val="00AA07F3"/>
    <w:rsid w:val="00AA3C9D"/>
    <w:rsid w:val="00AA5240"/>
    <w:rsid w:val="00AA7464"/>
    <w:rsid w:val="00AA74FB"/>
    <w:rsid w:val="00AB09BC"/>
    <w:rsid w:val="00AB17F8"/>
    <w:rsid w:val="00AB2673"/>
    <w:rsid w:val="00AB2E85"/>
    <w:rsid w:val="00AB53BB"/>
    <w:rsid w:val="00AB5FE4"/>
    <w:rsid w:val="00AC0CAA"/>
    <w:rsid w:val="00AC1554"/>
    <w:rsid w:val="00AC2085"/>
    <w:rsid w:val="00AC2D70"/>
    <w:rsid w:val="00AC5EC8"/>
    <w:rsid w:val="00AC6E98"/>
    <w:rsid w:val="00AD29F4"/>
    <w:rsid w:val="00AD4477"/>
    <w:rsid w:val="00AD7D6A"/>
    <w:rsid w:val="00AE0497"/>
    <w:rsid w:val="00AE04C3"/>
    <w:rsid w:val="00AE6BB5"/>
    <w:rsid w:val="00AF0BA3"/>
    <w:rsid w:val="00AF0EEE"/>
    <w:rsid w:val="00AF3E72"/>
    <w:rsid w:val="00AF66FA"/>
    <w:rsid w:val="00AF7CFE"/>
    <w:rsid w:val="00B033A3"/>
    <w:rsid w:val="00B06387"/>
    <w:rsid w:val="00B07204"/>
    <w:rsid w:val="00B07ECF"/>
    <w:rsid w:val="00B10725"/>
    <w:rsid w:val="00B13330"/>
    <w:rsid w:val="00B13E9B"/>
    <w:rsid w:val="00B1674B"/>
    <w:rsid w:val="00B170DE"/>
    <w:rsid w:val="00B25D80"/>
    <w:rsid w:val="00B2659A"/>
    <w:rsid w:val="00B32EDA"/>
    <w:rsid w:val="00B33BA2"/>
    <w:rsid w:val="00B35234"/>
    <w:rsid w:val="00B35F36"/>
    <w:rsid w:val="00B37763"/>
    <w:rsid w:val="00B4250A"/>
    <w:rsid w:val="00B42737"/>
    <w:rsid w:val="00B42B96"/>
    <w:rsid w:val="00B4433D"/>
    <w:rsid w:val="00B455CB"/>
    <w:rsid w:val="00B461EB"/>
    <w:rsid w:val="00B46E98"/>
    <w:rsid w:val="00B5032D"/>
    <w:rsid w:val="00B51FAF"/>
    <w:rsid w:val="00B5219A"/>
    <w:rsid w:val="00B52B64"/>
    <w:rsid w:val="00B544A6"/>
    <w:rsid w:val="00B5790A"/>
    <w:rsid w:val="00B61D9E"/>
    <w:rsid w:val="00B62415"/>
    <w:rsid w:val="00B627AC"/>
    <w:rsid w:val="00B64B29"/>
    <w:rsid w:val="00B65EAE"/>
    <w:rsid w:val="00B715CE"/>
    <w:rsid w:val="00B72344"/>
    <w:rsid w:val="00B72D65"/>
    <w:rsid w:val="00B73E1A"/>
    <w:rsid w:val="00B74916"/>
    <w:rsid w:val="00B7546F"/>
    <w:rsid w:val="00B814F2"/>
    <w:rsid w:val="00B81DB9"/>
    <w:rsid w:val="00B823DB"/>
    <w:rsid w:val="00B837B0"/>
    <w:rsid w:val="00B8452D"/>
    <w:rsid w:val="00B860D6"/>
    <w:rsid w:val="00B867D1"/>
    <w:rsid w:val="00B87379"/>
    <w:rsid w:val="00B8795E"/>
    <w:rsid w:val="00B9200F"/>
    <w:rsid w:val="00B9419B"/>
    <w:rsid w:val="00B95BA4"/>
    <w:rsid w:val="00B97556"/>
    <w:rsid w:val="00BA08E0"/>
    <w:rsid w:val="00BA1821"/>
    <w:rsid w:val="00BA24CC"/>
    <w:rsid w:val="00BA4173"/>
    <w:rsid w:val="00BA5DBD"/>
    <w:rsid w:val="00BB0854"/>
    <w:rsid w:val="00BB1F52"/>
    <w:rsid w:val="00BB2534"/>
    <w:rsid w:val="00BB2C59"/>
    <w:rsid w:val="00BB2F42"/>
    <w:rsid w:val="00BB306A"/>
    <w:rsid w:val="00BB4D4F"/>
    <w:rsid w:val="00BB4D99"/>
    <w:rsid w:val="00BB5305"/>
    <w:rsid w:val="00BB5B12"/>
    <w:rsid w:val="00BB6A38"/>
    <w:rsid w:val="00BB7FA2"/>
    <w:rsid w:val="00BC04CD"/>
    <w:rsid w:val="00BC24D4"/>
    <w:rsid w:val="00BC3FE5"/>
    <w:rsid w:val="00BC4034"/>
    <w:rsid w:val="00BC5B45"/>
    <w:rsid w:val="00BC7344"/>
    <w:rsid w:val="00BC7F30"/>
    <w:rsid w:val="00BD0600"/>
    <w:rsid w:val="00BD2AB0"/>
    <w:rsid w:val="00BD4146"/>
    <w:rsid w:val="00BD44D3"/>
    <w:rsid w:val="00BD56B5"/>
    <w:rsid w:val="00BE155F"/>
    <w:rsid w:val="00BE212A"/>
    <w:rsid w:val="00BE233E"/>
    <w:rsid w:val="00BE2A13"/>
    <w:rsid w:val="00BE2ACA"/>
    <w:rsid w:val="00BE71EB"/>
    <w:rsid w:val="00BE7762"/>
    <w:rsid w:val="00BF075A"/>
    <w:rsid w:val="00BF1A27"/>
    <w:rsid w:val="00BF1CFB"/>
    <w:rsid w:val="00BF233F"/>
    <w:rsid w:val="00BF2D4E"/>
    <w:rsid w:val="00BF52AE"/>
    <w:rsid w:val="00BF5AB0"/>
    <w:rsid w:val="00BF65F0"/>
    <w:rsid w:val="00BF6D2F"/>
    <w:rsid w:val="00C009C8"/>
    <w:rsid w:val="00C00C88"/>
    <w:rsid w:val="00C0443F"/>
    <w:rsid w:val="00C05483"/>
    <w:rsid w:val="00C10976"/>
    <w:rsid w:val="00C123AC"/>
    <w:rsid w:val="00C12657"/>
    <w:rsid w:val="00C12E4E"/>
    <w:rsid w:val="00C16D96"/>
    <w:rsid w:val="00C16E46"/>
    <w:rsid w:val="00C173E6"/>
    <w:rsid w:val="00C17974"/>
    <w:rsid w:val="00C204BA"/>
    <w:rsid w:val="00C25158"/>
    <w:rsid w:val="00C2540F"/>
    <w:rsid w:val="00C2570B"/>
    <w:rsid w:val="00C2784D"/>
    <w:rsid w:val="00C3078F"/>
    <w:rsid w:val="00C30B73"/>
    <w:rsid w:val="00C33D15"/>
    <w:rsid w:val="00C3547E"/>
    <w:rsid w:val="00C35715"/>
    <w:rsid w:val="00C35DB5"/>
    <w:rsid w:val="00C37479"/>
    <w:rsid w:val="00C41674"/>
    <w:rsid w:val="00C42508"/>
    <w:rsid w:val="00C4273D"/>
    <w:rsid w:val="00C43333"/>
    <w:rsid w:val="00C43B6A"/>
    <w:rsid w:val="00C51C4D"/>
    <w:rsid w:val="00C52F27"/>
    <w:rsid w:val="00C52F73"/>
    <w:rsid w:val="00C53FDA"/>
    <w:rsid w:val="00C546FC"/>
    <w:rsid w:val="00C562AF"/>
    <w:rsid w:val="00C6410E"/>
    <w:rsid w:val="00C6484A"/>
    <w:rsid w:val="00C6794F"/>
    <w:rsid w:val="00C7287D"/>
    <w:rsid w:val="00C7632D"/>
    <w:rsid w:val="00C815AC"/>
    <w:rsid w:val="00C82BBD"/>
    <w:rsid w:val="00C8370D"/>
    <w:rsid w:val="00C84656"/>
    <w:rsid w:val="00C84A51"/>
    <w:rsid w:val="00C84D55"/>
    <w:rsid w:val="00C85EB8"/>
    <w:rsid w:val="00C868F8"/>
    <w:rsid w:val="00C86A11"/>
    <w:rsid w:val="00C86B5C"/>
    <w:rsid w:val="00C870AF"/>
    <w:rsid w:val="00C879E5"/>
    <w:rsid w:val="00C87F4F"/>
    <w:rsid w:val="00C9058C"/>
    <w:rsid w:val="00C92D53"/>
    <w:rsid w:val="00C949FD"/>
    <w:rsid w:val="00C94B39"/>
    <w:rsid w:val="00C94D8E"/>
    <w:rsid w:val="00C96136"/>
    <w:rsid w:val="00CA0AEB"/>
    <w:rsid w:val="00CA2857"/>
    <w:rsid w:val="00CA2AE7"/>
    <w:rsid w:val="00CA2FE0"/>
    <w:rsid w:val="00CA3A19"/>
    <w:rsid w:val="00CA53D9"/>
    <w:rsid w:val="00CA75C0"/>
    <w:rsid w:val="00CB34A2"/>
    <w:rsid w:val="00CB602A"/>
    <w:rsid w:val="00CB767A"/>
    <w:rsid w:val="00CB7ACD"/>
    <w:rsid w:val="00CB7F09"/>
    <w:rsid w:val="00CC08F1"/>
    <w:rsid w:val="00CC2DAD"/>
    <w:rsid w:val="00CC2FF6"/>
    <w:rsid w:val="00CC4952"/>
    <w:rsid w:val="00CC54C7"/>
    <w:rsid w:val="00CC5F7B"/>
    <w:rsid w:val="00CC5FC2"/>
    <w:rsid w:val="00CC609A"/>
    <w:rsid w:val="00CD14F6"/>
    <w:rsid w:val="00CD1B21"/>
    <w:rsid w:val="00CD285B"/>
    <w:rsid w:val="00CD5A7C"/>
    <w:rsid w:val="00CD6A03"/>
    <w:rsid w:val="00CE0A52"/>
    <w:rsid w:val="00CE144E"/>
    <w:rsid w:val="00CE159C"/>
    <w:rsid w:val="00CE57C4"/>
    <w:rsid w:val="00CE5D60"/>
    <w:rsid w:val="00CE5E38"/>
    <w:rsid w:val="00CF1917"/>
    <w:rsid w:val="00CF6BE4"/>
    <w:rsid w:val="00D003AC"/>
    <w:rsid w:val="00D00C91"/>
    <w:rsid w:val="00D01482"/>
    <w:rsid w:val="00D0212D"/>
    <w:rsid w:val="00D024F7"/>
    <w:rsid w:val="00D02DA3"/>
    <w:rsid w:val="00D03721"/>
    <w:rsid w:val="00D03962"/>
    <w:rsid w:val="00D064A0"/>
    <w:rsid w:val="00D07B0F"/>
    <w:rsid w:val="00D1536B"/>
    <w:rsid w:val="00D158B6"/>
    <w:rsid w:val="00D1638A"/>
    <w:rsid w:val="00D1677A"/>
    <w:rsid w:val="00D21E33"/>
    <w:rsid w:val="00D21EE8"/>
    <w:rsid w:val="00D251B7"/>
    <w:rsid w:val="00D2555A"/>
    <w:rsid w:val="00D26CA9"/>
    <w:rsid w:val="00D2788E"/>
    <w:rsid w:val="00D27EC1"/>
    <w:rsid w:val="00D27ED5"/>
    <w:rsid w:val="00D31E4B"/>
    <w:rsid w:val="00D31FD1"/>
    <w:rsid w:val="00D3322D"/>
    <w:rsid w:val="00D34617"/>
    <w:rsid w:val="00D34F6F"/>
    <w:rsid w:val="00D350EE"/>
    <w:rsid w:val="00D35ECC"/>
    <w:rsid w:val="00D416F0"/>
    <w:rsid w:val="00D42122"/>
    <w:rsid w:val="00D433E6"/>
    <w:rsid w:val="00D470F5"/>
    <w:rsid w:val="00D4748A"/>
    <w:rsid w:val="00D529F3"/>
    <w:rsid w:val="00D5346D"/>
    <w:rsid w:val="00D5425B"/>
    <w:rsid w:val="00D56B4E"/>
    <w:rsid w:val="00D57CB7"/>
    <w:rsid w:val="00D61E4F"/>
    <w:rsid w:val="00D63669"/>
    <w:rsid w:val="00D64007"/>
    <w:rsid w:val="00D65A3C"/>
    <w:rsid w:val="00D65BCD"/>
    <w:rsid w:val="00D66BAC"/>
    <w:rsid w:val="00D678B4"/>
    <w:rsid w:val="00D67A6B"/>
    <w:rsid w:val="00D718E0"/>
    <w:rsid w:val="00D71D77"/>
    <w:rsid w:val="00D71EAF"/>
    <w:rsid w:val="00D7394E"/>
    <w:rsid w:val="00D74835"/>
    <w:rsid w:val="00D76F7A"/>
    <w:rsid w:val="00D77440"/>
    <w:rsid w:val="00D77792"/>
    <w:rsid w:val="00D8243B"/>
    <w:rsid w:val="00D82C86"/>
    <w:rsid w:val="00D83169"/>
    <w:rsid w:val="00D83B10"/>
    <w:rsid w:val="00D858D8"/>
    <w:rsid w:val="00D9074C"/>
    <w:rsid w:val="00D97C37"/>
    <w:rsid w:val="00D97F22"/>
    <w:rsid w:val="00DA25FA"/>
    <w:rsid w:val="00DA397B"/>
    <w:rsid w:val="00DA50DF"/>
    <w:rsid w:val="00DA5A29"/>
    <w:rsid w:val="00DA798E"/>
    <w:rsid w:val="00DB4EB1"/>
    <w:rsid w:val="00DB5107"/>
    <w:rsid w:val="00DB5586"/>
    <w:rsid w:val="00DB5A48"/>
    <w:rsid w:val="00DB6CEA"/>
    <w:rsid w:val="00DD0DA8"/>
    <w:rsid w:val="00DD1B8C"/>
    <w:rsid w:val="00DD244A"/>
    <w:rsid w:val="00DD3295"/>
    <w:rsid w:val="00DD525A"/>
    <w:rsid w:val="00DD685A"/>
    <w:rsid w:val="00DE0129"/>
    <w:rsid w:val="00DE2045"/>
    <w:rsid w:val="00DE2B49"/>
    <w:rsid w:val="00DE3E7D"/>
    <w:rsid w:val="00DE44F0"/>
    <w:rsid w:val="00DE5C30"/>
    <w:rsid w:val="00DE633F"/>
    <w:rsid w:val="00DE6408"/>
    <w:rsid w:val="00DE74BB"/>
    <w:rsid w:val="00DF007D"/>
    <w:rsid w:val="00DF3E56"/>
    <w:rsid w:val="00DF63A3"/>
    <w:rsid w:val="00DF6B81"/>
    <w:rsid w:val="00E01DE0"/>
    <w:rsid w:val="00E024EE"/>
    <w:rsid w:val="00E05A49"/>
    <w:rsid w:val="00E07188"/>
    <w:rsid w:val="00E12136"/>
    <w:rsid w:val="00E12835"/>
    <w:rsid w:val="00E12EED"/>
    <w:rsid w:val="00E13669"/>
    <w:rsid w:val="00E14C30"/>
    <w:rsid w:val="00E1535E"/>
    <w:rsid w:val="00E163D2"/>
    <w:rsid w:val="00E1787C"/>
    <w:rsid w:val="00E1793F"/>
    <w:rsid w:val="00E23C85"/>
    <w:rsid w:val="00E23F77"/>
    <w:rsid w:val="00E26184"/>
    <w:rsid w:val="00E26BBB"/>
    <w:rsid w:val="00E26CF3"/>
    <w:rsid w:val="00E31A31"/>
    <w:rsid w:val="00E41D54"/>
    <w:rsid w:val="00E424BE"/>
    <w:rsid w:val="00E43B23"/>
    <w:rsid w:val="00E44E8B"/>
    <w:rsid w:val="00E47B6B"/>
    <w:rsid w:val="00E507BA"/>
    <w:rsid w:val="00E507BC"/>
    <w:rsid w:val="00E50E67"/>
    <w:rsid w:val="00E52C3E"/>
    <w:rsid w:val="00E52DC2"/>
    <w:rsid w:val="00E55E07"/>
    <w:rsid w:val="00E56C38"/>
    <w:rsid w:val="00E61203"/>
    <w:rsid w:val="00E62C09"/>
    <w:rsid w:val="00E62EE0"/>
    <w:rsid w:val="00E63754"/>
    <w:rsid w:val="00E63D22"/>
    <w:rsid w:val="00E66586"/>
    <w:rsid w:val="00E70E57"/>
    <w:rsid w:val="00E7123E"/>
    <w:rsid w:val="00E7161D"/>
    <w:rsid w:val="00E72A86"/>
    <w:rsid w:val="00E7480E"/>
    <w:rsid w:val="00E74EDF"/>
    <w:rsid w:val="00E75186"/>
    <w:rsid w:val="00E75280"/>
    <w:rsid w:val="00E75563"/>
    <w:rsid w:val="00E75B96"/>
    <w:rsid w:val="00E77EC9"/>
    <w:rsid w:val="00E82ADC"/>
    <w:rsid w:val="00E83280"/>
    <w:rsid w:val="00E83844"/>
    <w:rsid w:val="00E83947"/>
    <w:rsid w:val="00E849D5"/>
    <w:rsid w:val="00E84D8E"/>
    <w:rsid w:val="00E84DB7"/>
    <w:rsid w:val="00E859EA"/>
    <w:rsid w:val="00E8685B"/>
    <w:rsid w:val="00E87E51"/>
    <w:rsid w:val="00E90A39"/>
    <w:rsid w:val="00E92F24"/>
    <w:rsid w:val="00E93540"/>
    <w:rsid w:val="00E94046"/>
    <w:rsid w:val="00E9474D"/>
    <w:rsid w:val="00E95B19"/>
    <w:rsid w:val="00E96EB4"/>
    <w:rsid w:val="00E97FED"/>
    <w:rsid w:val="00EA3C79"/>
    <w:rsid w:val="00EA6F3F"/>
    <w:rsid w:val="00EA7EDF"/>
    <w:rsid w:val="00EB1519"/>
    <w:rsid w:val="00EB3E06"/>
    <w:rsid w:val="00EB6876"/>
    <w:rsid w:val="00EC092D"/>
    <w:rsid w:val="00EC4840"/>
    <w:rsid w:val="00EC48AA"/>
    <w:rsid w:val="00EC4FFE"/>
    <w:rsid w:val="00EC6843"/>
    <w:rsid w:val="00EC7071"/>
    <w:rsid w:val="00EC717F"/>
    <w:rsid w:val="00EC7184"/>
    <w:rsid w:val="00ED0474"/>
    <w:rsid w:val="00ED1195"/>
    <w:rsid w:val="00ED26EF"/>
    <w:rsid w:val="00ED4553"/>
    <w:rsid w:val="00ED4B9B"/>
    <w:rsid w:val="00ED532A"/>
    <w:rsid w:val="00ED77D7"/>
    <w:rsid w:val="00ED7944"/>
    <w:rsid w:val="00EE0417"/>
    <w:rsid w:val="00EE0A2A"/>
    <w:rsid w:val="00EE2D21"/>
    <w:rsid w:val="00EE37B9"/>
    <w:rsid w:val="00EE42D0"/>
    <w:rsid w:val="00EE475F"/>
    <w:rsid w:val="00EE49DB"/>
    <w:rsid w:val="00EE4AF7"/>
    <w:rsid w:val="00EE549E"/>
    <w:rsid w:val="00EE5A0F"/>
    <w:rsid w:val="00EE6E61"/>
    <w:rsid w:val="00EE7B2D"/>
    <w:rsid w:val="00EF0F74"/>
    <w:rsid w:val="00EF3742"/>
    <w:rsid w:val="00EF66A2"/>
    <w:rsid w:val="00EF767C"/>
    <w:rsid w:val="00EF7F14"/>
    <w:rsid w:val="00F00EED"/>
    <w:rsid w:val="00F04939"/>
    <w:rsid w:val="00F05BC7"/>
    <w:rsid w:val="00F072D9"/>
    <w:rsid w:val="00F1278A"/>
    <w:rsid w:val="00F16448"/>
    <w:rsid w:val="00F1656B"/>
    <w:rsid w:val="00F166D8"/>
    <w:rsid w:val="00F1753E"/>
    <w:rsid w:val="00F20988"/>
    <w:rsid w:val="00F20F26"/>
    <w:rsid w:val="00F2154A"/>
    <w:rsid w:val="00F2269E"/>
    <w:rsid w:val="00F242CE"/>
    <w:rsid w:val="00F2498B"/>
    <w:rsid w:val="00F24D2B"/>
    <w:rsid w:val="00F263CF"/>
    <w:rsid w:val="00F30A4A"/>
    <w:rsid w:val="00F30D6C"/>
    <w:rsid w:val="00F356E4"/>
    <w:rsid w:val="00F35BA9"/>
    <w:rsid w:val="00F36B14"/>
    <w:rsid w:val="00F37729"/>
    <w:rsid w:val="00F37B86"/>
    <w:rsid w:val="00F37E99"/>
    <w:rsid w:val="00F40F98"/>
    <w:rsid w:val="00F4138B"/>
    <w:rsid w:val="00F44C43"/>
    <w:rsid w:val="00F4611D"/>
    <w:rsid w:val="00F4677C"/>
    <w:rsid w:val="00F46CF4"/>
    <w:rsid w:val="00F473B1"/>
    <w:rsid w:val="00F47B2E"/>
    <w:rsid w:val="00F504D4"/>
    <w:rsid w:val="00F50D90"/>
    <w:rsid w:val="00F51F67"/>
    <w:rsid w:val="00F54536"/>
    <w:rsid w:val="00F55E97"/>
    <w:rsid w:val="00F577BC"/>
    <w:rsid w:val="00F57F39"/>
    <w:rsid w:val="00F6146A"/>
    <w:rsid w:val="00F625B5"/>
    <w:rsid w:val="00F640A8"/>
    <w:rsid w:val="00F66171"/>
    <w:rsid w:val="00F66880"/>
    <w:rsid w:val="00F66D5C"/>
    <w:rsid w:val="00F67069"/>
    <w:rsid w:val="00F71724"/>
    <w:rsid w:val="00F722F5"/>
    <w:rsid w:val="00F7296A"/>
    <w:rsid w:val="00F72D1B"/>
    <w:rsid w:val="00F7325B"/>
    <w:rsid w:val="00F73CDE"/>
    <w:rsid w:val="00F748BF"/>
    <w:rsid w:val="00F749D5"/>
    <w:rsid w:val="00F764B0"/>
    <w:rsid w:val="00F76E37"/>
    <w:rsid w:val="00F77131"/>
    <w:rsid w:val="00F777BF"/>
    <w:rsid w:val="00F80488"/>
    <w:rsid w:val="00F80B17"/>
    <w:rsid w:val="00F820C3"/>
    <w:rsid w:val="00F826E1"/>
    <w:rsid w:val="00F827F2"/>
    <w:rsid w:val="00F82CFD"/>
    <w:rsid w:val="00F834F1"/>
    <w:rsid w:val="00F84428"/>
    <w:rsid w:val="00F85375"/>
    <w:rsid w:val="00F86032"/>
    <w:rsid w:val="00F864D9"/>
    <w:rsid w:val="00F87016"/>
    <w:rsid w:val="00F87515"/>
    <w:rsid w:val="00F87C02"/>
    <w:rsid w:val="00F90C0F"/>
    <w:rsid w:val="00F91D7D"/>
    <w:rsid w:val="00F94F1A"/>
    <w:rsid w:val="00F960F5"/>
    <w:rsid w:val="00F97171"/>
    <w:rsid w:val="00FA0703"/>
    <w:rsid w:val="00FA1204"/>
    <w:rsid w:val="00FA47BC"/>
    <w:rsid w:val="00FA7BC3"/>
    <w:rsid w:val="00FB095A"/>
    <w:rsid w:val="00FB13C0"/>
    <w:rsid w:val="00FB170C"/>
    <w:rsid w:val="00FB3EC2"/>
    <w:rsid w:val="00FB49CE"/>
    <w:rsid w:val="00FB5AE5"/>
    <w:rsid w:val="00FB5F7A"/>
    <w:rsid w:val="00FB6A8E"/>
    <w:rsid w:val="00FB6BDE"/>
    <w:rsid w:val="00FB7366"/>
    <w:rsid w:val="00FC0540"/>
    <w:rsid w:val="00FC1F33"/>
    <w:rsid w:val="00FC3954"/>
    <w:rsid w:val="00FC3FCC"/>
    <w:rsid w:val="00FC4F9A"/>
    <w:rsid w:val="00FD04E2"/>
    <w:rsid w:val="00FD120E"/>
    <w:rsid w:val="00FD202F"/>
    <w:rsid w:val="00FD2F17"/>
    <w:rsid w:val="00FD2F21"/>
    <w:rsid w:val="00FD4D01"/>
    <w:rsid w:val="00FD5F5A"/>
    <w:rsid w:val="00FE09C2"/>
    <w:rsid w:val="00FE0B13"/>
    <w:rsid w:val="00FE0EB0"/>
    <w:rsid w:val="00FE259D"/>
    <w:rsid w:val="00FE2711"/>
    <w:rsid w:val="00FE2F25"/>
    <w:rsid w:val="00FE63B9"/>
    <w:rsid w:val="00FE6A4D"/>
    <w:rsid w:val="00FE6B2C"/>
    <w:rsid w:val="00FF012D"/>
    <w:rsid w:val="00FF1631"/>
    <w:rsid w:val="00FF28C5"/>
    <w:rsid w:val="00FF2C8B"/>
    <w:rsid w:val="00FF3C84"/>
    <w:rsid w:val="00FF6383"/>
    <w:rsid w:val="00FF67BF"/>
    <w:rsid w:val="00FF6F59"/>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n,ALTS FOOTNOTE,Footnote Text 2,Footnote text,FOOTNOTE,fn Char Char,fn Char"/>
    <w:basedOn w:val="Normal"/>
    <w:link w:val="FootnoteTextChar"/>
    <w:uiPriority w:val="99"/>
  </w:style>
  <w:style w:type="character" w:styleId="FootnoteReference">
    <w:name w:val="footnote reference"/>
    <w:aliases w:val="o,fr"/>
    <w:uiPriority w:val="99"/>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 w:type="table" w:styleId="TableGrid">
    <w:name w:val="Table Grid"/>
    <w:basedOn w:val="TableNormal"/>
    <w:rsid w:val="00732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0666CC"/>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n,ALTS FOOTNOTE,Footnote Text 2,Footnote text,FOOTNOTE,fn Char Char,fn Char"/>
    <w:basedOn w:val="Normal"/>
    <w:link w:val="FootnoteTextChar"/>
    <w:uiPriority w:val="99"/>
  </w:style>
  <w:style w:type="character" w:styleId="FootnoteReference">
    <w:name w:val="footnote reference"/>
    <w:aliases w:val="o,fr"/>
    <w:uiPriority w:val="99"/>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 w:type="table" w:styleId="TableGrid">
    <w:name w:val="Table Grid"/>
    <w:basedOn w:val="TableNormal"/>
    <w:rsid w:val="00732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0666CC"/>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749369">
      <w:bodyDiv w:val="1"/>
      <w:marLeft w:val="0"/>
      <w:marRight w:val="0"/>
      <w:marTop w:val="0"/>
      <w:marBottom w:val="0"/>
      <w:divBdr>
        <w:top w:val="none" w:sz="0" w:space="0" w:color="auto"/>
        <w:left w:val="none" w:sz="0" w:space="0" w:color="auto"/>
        <w:bottom w:val="none" w:sz="0" w:space="0" w:color="auto"/>
        <w:right w:val="none" w:sz="0" w:space="0" w:color="auto"/>
      </w:divBdr>
    </w:div>
    <w:div w:id="1331330057">
      <w:bodyDiv w:val="1"/>
      <w:marLeft w:val="0"/>
      <w:marRight w:val="0"/>
      <w:marTop w:val="0"/>
      <w:marBottom w:val="0"/>
      <w:divBdr>
        <w:top w:val="none" w:sz="0" w:space="0" w:color="auto"/>
        <w:left w:val="none" w:sz="0" w:space="0" w:color="auto"/>
        <w:bottom w:val="none" w:sz="0" w:space="0" w:color="auto"/>
        <w:right w:val="none" w:sz="0" w:space="0" w:color="auto"/>
      </w:divBdr>
    </w:div>
    <w:div w:id="1631476910">
      <w:bodyDiv w:val="1"/>
      <w:marLeft w:val="30"/>
      <w:marRight w:val="30"/>
      <w:marTop w:val="30"/>
      <w:marBottom w:val="30"/>
      <w:divBdr>
        <w:top w:val="none" w:sz="0" w:space="0" w:color="auto"/>
        <w:left w:val="none" w:sz="0" w:space="0" w:color="auto"/>
        <w:bottom w:val="none" w:sz="0" w:space="0" w:color="auto"/>
        <w:right w:val="none" w:sz="0" w:space="0" w:color="auto"/>
      </w:divBdr>
      <w:divsChild>
        <w:div w:id="214632491">
          <w:marLeft w:val="0"/>
          <w:marRight w:val="0"/>
          <w:marTop w:val="0"/>
          <w:marBottom w:val="0"/>
          <w:divBdr>
            <w:top w:val="none" w:sz="0" w:space="0" w:color="auto"/>
            <w:left w:val="none" w:sz="0" w:space="0" w:color="auto"/>
            <w:bottom w:val="none" w:sz="0" w:space="0" w:color="auto"/>
            <w:right w:val="none" w:sz="0" w:space="0" w:color="auto"/>
          </w:divBdr>
          <w:divsChild>
            <w:div w:id="433937965">
              <w:marLeft w:val="45"/>
              <w:marRight w:val="45"/>
              <w:marTop w:val="45"/>
              <w:marBottom w:val="45"/>
              <w:divBdr>
                <w:top w:val="none" w:sz="0" w:space="0" w:color="auto"/>
                <w:left w:val="none" w:sz="0" w:space="0" w:color="auto"/>
                <w:bottom w:val="none" w:sz="0" w:space="0" w:color="auto"/>
                <w:right w:val="none" w:sz="0" w:space="0" w:color="auto"/>
              </w:divBdr>
              <w:divsChild>
                <w:div w:id="16431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CA14A-8E95-493E-87AC-623B07AE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4884</Words>
  <Characters>27844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sandra elizabeth oldynski</cp:lastModifiedBy>
  <cp:revision>2</cp:revision>
  <cp:lastPrinted>2015-04-29T13:49:00Z</cp:lastPrinted>
  <dcterms:created xsi:type="dcterms:W3CDTF">2015-04-29T14:23:00Z</dcterms:created>
  <dcterms:modified xsi:type="dcterms:W3CDTF">2015-04-29T14:23:00Z</dcterms:modified>
</cp:coreProperties>
</file>