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2928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1023A4" w:rsidRPr="001023A4" w:rsidRDefault="001023A4">
            <w:pPr>
              <w:jc w:val="right"/>
              <w:rPr>
                <w:rFonts w:ascii="Arial" w:hAnsi="Arial"/>
                <w:sz w:val="16"/>
                <w:szCs w:val="16"/>
              </w:rPr>
            </w:pPr>
            <w:r w:rsidRPr="001023A4">
              <w:rPr>
                <w:sz w:val="16"/>
                <w:szCs w:val="16"/>
              </w:rPr>
              <w:t>C-2014-2431410</w:t>
            </w:r>
          </w:p>
        </w:tc>
      </w:tr>
    </w:tbl>
    <w:p w:rsidR="00C74A51" w:rsidRDefault="00C74A51">
      <w:pPr>
        <w:rPr>
          <w:sz w:val="24"/>
        </w:rPr>
        <w:sectPr w:rsidR="00C74A51" w:rsidSect="00240B7F">
          <w:footerReference w:type="default" r:id="rId10"/>
          <w:pgSz w:w="12240" w:h="15840"/>
          <w:pgMar w:top="504" w:right="1440" w:bottom="1440" w:left="1440" w:header="720" w:footer="720" w:gutter="0"/>
          <w:cols w:space="720"/>
          <w:titlePg/>
          <w:docGrid w:linePitch="272"/>
        </w:sectPr>
      </w:pPr>
    </w:p>
    <w:p w:rsidR="00FC48D8" w:rsidRDefault="00C74A51" w:rsidP="007A2A79">
      <w:pPr>
        <w:ind w:right="-1440"/>
      </w:pPr>
      <w:r>
        <w:lastRenderedPageBreak/>
        <w:tab/>
      </w:r>
      <w:r w:rsidR="007A2A79">
        <w:tab/>
      </w:r>
      <w:r w:rsidR="007A2A79">
        <w:tab/>
      </w:r>
      <w:r w:rsidR="007A2A79">
        <w:tab/>
      </w:r>
      <w:r w:rsidR="007A2A79">
        <w:tab/>
      </w:r>
      <w:r w:rsidR="007A2A79">
        <w:tab/>
      </w:r>
      <w:r w:rsidR="007A2A79">
        <w:tab/>
      </w:r>
      <w:r w:rsidR="007A2A79">
        <w:tab/>
      </w:r>
      <w:r w:rsidR="007A2A79">
        <w:tab/>
      </w:r>
      <w:r w:rsidR="007A2A79">
        <w:tab/>
      </w:r>
    </w:p>
    <w:p w:rsidR="001023A4" w:rsidRDefault="00840D89" w:rsidP="00840D89">
      <w:pPr>
        <w:spacing w:after="58"/>
        <w:ind w:left="720" w:hanging="720"/>
        <w:jc w:val="center"/>
        <w:rPr>
          <w:sz w:val="26"/>
          <w:szCs w:val="26"/>
        </w:rPr>
      </w:pPr>
      <w:r>
        <w:rPr>
          <w:sz w:val="26"/>
          <w:szCs w:val="26"/>
        </w:rPr>
        <w:t>May 6, 2015</w:t>
      </w:r>
    </w:p>
    <w:p w:rsidR="001023A4" w:rsidRDefault="001023A4" w:rsidP="009B6F15">
      <w:pPr>
        <w:spacing w:after="58"/>
        <w:ind w:left="720" w:hanging="720"/>
        <w:rPr>
          <w:sz w:val="26"/>
          <w:szCs w:val="26"/>
        </w:rPr>
      </w:pPr>
    </w:p>
    <w:p w:rsidR="008640ED" w:rsidRDefault="00E528E4" w:rsidP="009B6F15">
      <w:pPr>
        <w:spacing w:after="58"/>
        <w:ind w:left="720" w:hanging="720"/>
        <w:rPr>
          <w:bCs/>
          <w:sz w:val="26"/>
        </w:rPr>
      </w:pPr>
      <w:r w:rsidRPr="000E3737">
        <w:rPr>
          <w:sz w:val="26"/>
          <w:szCs w:val="26"/>
        </w:rPr>
        <w:t>Re:</w:t>
      </w:r>
      <w:r w:rsidRPr="000E3737">
        <w:rPr>
          <w:b/>
          <w:sz w:val="26"/>
          <w:szCs w:val="26"/>
        </w:rPr>
        <w:tab/>
      </w:r>
      <w:r w:rsidR="00A7577F">
        <w:rPr>
          <w:b/>
          <w:sz w:val="26"/>
          <w:szCs w:val="26"/>
        </w:rPr>
        <w:t xml:space="preserve">Pennsylvania Public Utility Commission, </w:t>
      </w:r>
      <w:r w:rsidR="009B6F15">
        <w:rPr>
          <w:b/>
          <w:sz w:val="26"/>
          <w:szCs w:val="26"/>
        </w:rPr>
        <w:t>Bureau of Investigation and Enforcement</w:t>
      </w:r>
      <w:r w:rsidR="00A7577F">
        <w:rPr>
          <w:b/>
          <w:sz w:val="26"/>
          <w:szCs w:val="26"/>
        </w:rPr>
        <w:t xml:space="preserve"> v. </w:t>
      </w:r>
      <w:r w:rsidR="009B6F15">
        <w:rPr>
          <w:b/>
          <w:sz w:val="26"/>
          <w:szCs w:val="26"/>
        </w:rPr>
        <w:t>HIKO Energy, LLC</w:t>
      </w:r>
      <w:r w:rsidR="005F0F12">
        <w:rPr>
          <w:b/>
          <w:sz w:val="26"/>
          <w:szCs w:val="26"/>
        </w:rPr>
        <w:t xml:space="preserve"> </w:t>
      </w:r>
    </w:p>
    <w:p w:rsidR="008640ED" w:rsidRPr="008640ED" w:rsidRDefault="005F0F12" w:rsidP="005B021E">
      <w:pPr>
        <w:spacing w:after="58"/>
        <w:ind w:left="720"/>
        <w:rPr>
          <w:bCs/>
          <w:sz w:val="26"/>
        </w:rPr>
      </w:pPr>
      <w:r>
        <w:rPr>
          <w:sz w:val="26"/>
          <w:szCs w:val="26"/>
        </w:rPr>
        <w:t xml:space="preserve">Docket No. </w:t>
      </w:r>
      <w:r w:rsidR="005B021E">
        <w:rPr>
          <w:sz w:val="26"/>
          <w:szCs w:val="26"/>
        </w:rPr>
        <w:t>C-201</w:t>
      </w:r>
      <w:r w:rsidR="009B6F15">
        <w:rPr>
          <w:sz w:val="26"/>
          <w:szCs w:val="26"/>
        </w:rPr>
        <w:t>4</w:t>
      </w:r>
      <w:r w:rsidR="005B021E">
        <w:rPr>
          <w:sz w:val="26"/>
          <w:szCs w:val="26"/>
        </w:rPr>
        <w:t>-2</w:t>
      </w:r>
      <w:r w:rsidR="009B6F15">
        <w:rPr>
          <w:sz w:val="26"/>
          <w:szCs w:val="26"/>
        </w:rPr>
        <w:t>4</w:t>
      </w:r>
      <w:r w:rsidR="005B021E">
        <w:rPr>
          <w:sz w:val="26"/>
          <w:szCs w:val="26"/>
        </w:rPr>
        <w:t>3</w:t>
      </w:r>
      <w:r w:rsidR="009B6F15">
        <w:rPr>
          <w:sz w:val="26"/>
          <w:szCs w:val="26"/>
        </w:rPr>
        <w:t>1410</w:t>
      </w:r>
      <w:r w:rsidR="005B021E">
        <w:rPr>
          <w:sz w:val="26"/>
          <w:szCs w:val="26"/>
        </w:rPr>
        <w:t xml:space="preserve"> </w:t>
      </w:r>
    </w:p>
    <w:p w:rsidR="00E229FE" w:rsidRPr="00D12C93" w:rsidRDefault="00E229FE" w:rsidP="005B021E">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CF0B57" w:rsidRDefault="00CF0B57" w:rsidP="006B6701">
      <w:pPr>
        <w:ind w:firstLine="1440"/>
        <w:rPr>
          <w:sz w:val="26"/>
          <w:szCs w:val="26"/>
        </w:rPr>
      </w:pPr>
      <w:r>
        <w:rPr>
          <w:sz w:val="26"/>
          <w:szCs w:val="26"/>
        </w:rPr>
        <w:t xml:space="preserve">By this Secretarial Letter, the Commission </w:t>
      </w:r>
      <w:r w:rsidR="009B6F15">
        <w:rPr>
          <w:sz w:val="26"/>
          <w:szCs w:val="26"/>
        </w:rPr>
        <w:t xml:space="preserve">grants the </w:t>
      </w:r>
      <w:r w:rsidR="00136C9F">
        <w:rPr>
          <w:sz w:val="26"/>
          <w:szCs w:val="26"/>
        </w:rPr>
        <w:t xml:space="preserve">letter </w:t>
      </w:r>
      <w:r w:rsidR="00ED1D18">
        <w:rPr>
          <w:sz w:val="26"/>
          <w:szCs w:val="26"/>
        </w:rPr>
        <w:t>Petition to Withdraw the</w:t>
      </w:r>
      <w:r w:rsidR="009B6F15">
        <w:rPr>
          <w:sz w:val="26"/>
          <w:szCs w:val="26"/>
        </w:rPr>
        <w:t xml:space="preserve"> Petition for Interlocutory Review</w:t>
      </w:r>
      <w:r w:rsidR="006C2C9C">
        <w:rPr>
          <w:sz w:val="26"/>
          <w:szCs w:val="26"/>
        </w:rPr>
        <w:t xml:space="preserve"> and Answer to Material Question</w:t>
      </w:r>
      <w:r w:rsidR="00ED1D18">
        <w:rPr>
          <w:sz w:val="26"/>
          <w:szCs w:val="26"/>
        </w:rPr>
        <w:t xml:space="preserve"> (Petition</w:t>
      </w:r>
      <w:r w:rsidR="002F3E39">
        <w:rPr>
          <w:sz w:val="26"/>
          <w:szCs w:val="26"/>
        </w:rPr>
        <w:t xml:space="preserve"> to Withdraw</w:t>
      </w:r>
      <w:r w:rsidR="00ED1D18">
        <w:rPr>
          <w:sz w:val="26"/>
          <w:szCs w:val="26"/>
        </w:rPr>
        <w:t>)</w:t>
      </w:r>
      <w:r w:rsidR="009B6F15">
        <w:rPr>
          <w:sz w:val="26"/>
          <w:szCs w:val="26"/>
        </w:rPr>
        <w:t xml:space="preserve">, filed </w:t>
      </w:r>
      <w:r w:rsidR="00ED1D18">
        <w:rPr>
          <w:sz w:val="26"/>
          <w:szCs w:val="26"/>
        </w:rPr>
        <w:t xml:space="preserve">by HIKO Energy, LLC (HIKO) </w:t>
      </w:r>
      <w:r w:rsidR="009B6F15">
        <w:rPr>
          <w:sz w:val="26"/>
          <w:szCs w:val="26"/>
        </w:rPr>
        <w:t xml:space="preserve">on April </w:t>
      </w:r>
      <w:r w:rsidR="00ED1D18">
        <w:rPr>
          <w:sz w:val="26"/>
          <w:szCs w:val="26"/>
        </w:rPr>
        <w:t>22</w:t>
      </w:r>
      <w:r w:rsidR="009B6F15">
        <w:rPr>
          <w:sz w:val="26"/>
          <w:szCs w:val="26"/>
        </w:rPr>
        <w:t xml:space="preserve">, 2015, in the above-captioned proceeding.   </w:t>
      </w:r>
      <w:r>
        <w:rPr>
          <w:sz w:val="26"/>
          <w:szCs w:val="26"/>
        </w:rPr>
        <w:t xml:space="preserve">  </w:t>
      </w:r>
    </w:p>
    <w:p w:rsidR="00CF0B57" w:rsidRDefault="00CF0B57" w:rsidP="006B6701">
      <w:pPr>
        <w:ind w:firstLine="1440"/>
        <w:rPr>
          <w:sz w:val="26"/>
          <w:szCs w:val="26"/>
        </w:rPr>
      </w:pPr>
    </w:p>
    <w:p w:rsidR="00A71D8D" w:rsidRDefault="00A71D8D" w:rsidP="00360F9C">
      <w:pPr>
        <w:widowControl w:val="0"/>
        <w:adjustRightInd w:val="0"/>
        <w:rPr>
          <w:color w:val="000000"/>
          <w:sz w:val="26"/>
          <w:szCs w:val="26"/>
        </w:rPr>
      </w:pPr>
      <w:r>
        <w:rPr>
          <w:bCs/>
          <w:color w:val="000000"/>
          <w:sz w:val="26"/>
        </w:rPr>
        <w:tab/>
      </w:r>
      <w:r>
        <w:rPr>
          <w:bCs/>
          <w:color w:val="000000"/>
          <w:sz w:val="26"/>
        </w:rPr>
        <w:tab/>
        <w:t xml:space="preserve">This proceeding was initiated on </w:t>
      </w:r>
      <w:r w:rsidRPr="001B656B">
        <w:rPr>
          <w:bCs/>
          <w:color w:val="000000"/>
          <w:sz w:val="26"/>
        </w:rPr>
        <w:t xml:space="preserve">July 11, 2014, </w:t>
      </w:r>
      <w:r>
        <w:rPr>
          <w:bCs/>
          <w:color w:val="000000"/>
          <w:sz w:val="26"/>
        </w:rPr>
        <w:t xml:space="preserve">when </w:t>
      </w:r>
      <w:r w:rsidRPr="001B656B">
        <w:rPr>
          <w:bCs/>
          <w:color w:val="000000"/>
          <w:sz w:val="26"/>
        </w:rPr>
        <w:t xml:space="preserve">the </w:t>
      </w:r>
      <w:r>
        <w:rPr>
          <w:bCs/>
          <w:color w:val="000000"/>
          <w:sz w:val="26"/>
        </w:rPr>
        <w:t xml:space="preserve">Commission’s </w:t>
      </w:r>
      <w:r w:rsidRPr="001B656B">
        <w:rPr>
          <w:bCs/>
          <w:color w:val="000000"/>
          <w:sz w:val="26"/>
        </w:rPr>
        <w:t xml:space="preserve">Bureau of Investigation and Enforcement (I&amp;E) filed a </w:t>
      </w:r>
      <w:r>
        <w:rPr>
          <w:bCs/>
          <w:color w:val="000000"/>
          <w:sz w:val="26"/>
        </w:rPr>
        <w:t>F</w:t>
      </w:r>
      <w:r w:rsidRPr="001B656B">
        <w:rPr>
          <w:bCs/>
          <w:color w:val="000000"/>
          <w:sz w:val="26"/>
        </w:rPr>
        <w:t>ormal Complaint against HIKO, alleg</w:t>
      </w:r>
      <w:r>
        <w:rPr>
          <w:bCs/>
          <w:color w:val="000000"/>
          <w:sz w:val="26"/>
        </w:rPr>
        <w:t xml:space="preserve">ing, </w:t>
      </w:r>
      <w:r w:rsidRPr="00A71D8D">
        <w:rPr>
          <w:bCs/>
          <w:i/>
          <w:color w:val="000000"/>
          <w:sz w:val="26"/>
        </w:rPr>
        <w:t>inter alia</w:t>
      </w:r>
      <w:r>
        <w:rPr>
          <w:bCs/>
          <w:color w:val="000000"/>
          <w:sz w:val="26"/>
        </w:rPr>
        <w:t>,</w:t>
      </w:r>
      <w:r w:rsidRPr="001B656B">
        <w:rPr>
          <w:bCs/>
          <w:color w:val="000000"/>
          <w:sz w:val="26"/>
        </w:rPr>
        <w:t xml:space="preserve"> that HIKO billed rates </w:t>
      </w:r>
      <w:r>
        <w:rPr>
          <w:bCs/>
          <w:color w:val="000000"/>
          <w:sz w:val="26"/>
        </w:rPr>
        <w:t>to its customers which</w:t>
      </w:r>
      <w:r w:rsidRPr="001B656B">
        <w:rPr>
          <w:bCs/>
          <w:color w:val="000000"/>
          <w:sz w:val="26"/>
        </w:rPr>
        <w:t xml:space="preserve"> were higher than the rates </w:t>
      </w:r>
      <w:r w:rsidR="00360F9C">
        <w:rPr>
          <w:bCs/>
          <w:color w:val="000000"/>
          <w:sz w:val="26"/>
        </w:rPr>
        <w:t>in</w:t>
      </w:r>
      <w:r w:rsidRPr="001B656B">
        <w:rPr>
          <w:bCs/>
          <w:color w:val="000000"/>
          <w:sz w:val="26"/>
        </w:rPr>
        <w:t xml:space="preserve"> </w:t>
      </w:r>
      <w:r>
        <w:rPr>
          <w:bCs/>
          <w:color w:val="000000"/>
          <w:sz w:val="26"/>
        </w:rPr>
        <w:t>HIKO</w:t>
      </w:r>
      <w:r w:rsidR="00360F9C">
        <w:rPr>
          <w:bCs/>
          <w:color w:val="000000"/>
          <w:sz w:val="26"/>
        </w:rPr>
        <w:t>’s price offering</w:t>
      </w:r>
      <w:r w:rsidRPr="001B656B">
        <w:rPr>
          <w:bCs/>
          <w:color w:val="000000"/>
          <w:sz w:val="26"/>
        </w:rPr>
        <w:t xml:space="preserve">.  </w:t>
      </w:r>
    </w:p>
    <w:p w:rsidR="00A71D8D" w:rsidRDefault="00A71D8D" w:rsidP="00A71D8D">
      <w:pPr>
        <w:adjustRightInd w:val="0"/>
        <w:rPr>
          <w:color w:val="000000"/>
          <w:sz w:val="26"/>
          <w:szCs w:val="26"/>
        </w:rPr>
      </w:pPr>
      <w:r>
        <w:rPr>
          <w:color w:val="000000"/>
          <w:sz w:val="26"/>
          <w:szCs w:val="26"/>
        </w:rPr>
        <w:tab/>
      </w:r>
      <w:r>
        <w:rPr>
          <w:color w:val="000000"/>
          <w:sz w:val="26"/>
          <w:szCs w:val="26"/>
        </w:rPr>
        <w:tab/>
      </w:r>
    </w:p>
    <w:p w:rsidR="00A71D8D" w:rsidRDefault="00360F9C" w:rsidP="00050021">
      <w:pPr>
        <w:rPr>
          <w:color w:val="000000"/>
          <w:sz w:val="26"/>
          <w:szCs w:val="26"/>
        </w:rPr>
      </w:pPr>
      <w:r>
        <w:rPr>
          <w:sz w:val="26"/>
        </w:rPr>
        <w:tab/>
      </w:r>
      <w:r>
        <w:rPr>
          <w:sz w:val="26"/>
        </w:rPr>
        <w:tab/>
      </w:r>
      <w:r w:rsidR="00A71D8D" w:rsidRPr="00EE3EC5">
        <w:rPr>
          <w:sz w:val="26"/>
        </w:rPr>
        <w:t xml:space="preserve">On March 18, 2015, I&amp;E filed two </w:t>
      </w:r>
      <w:r w:rsidR="00A71D8D">
        <w:rPr>
          <w:sz w:val="26"/>
        </w:rPr>
        <w:t>A</w:t>
      </w:r>
      <w:r w:rsidR="00A71D8D" w:rsidRPr="00EE3EC5">
        <w:rPr>
          <w:sz w:val="26"/>
        </w:rPr>
        <w:t xml:space="preserve">pplications for </w:t>
      </w:r>
      <w:r w:rsidR="00A71D8D">
        <w:rPr>
          <w:sz w:val="26"/>
        </w:rPr>
        <w:t>S</w:t>
      </w:r>
      <w:r w:rsidR="00A71D8D" w:rsidRPr="00EE3EC5">
        <w:rPr>
          <w:sz w:val="26"/>
        </w:rPr>
        <w:t>ubpoena</w:t>
      </w:r>
      <w:r w:rsidR="00657371">
        <w:rPr>
          <w:sz w:val="26"/>
        </w:rPr>
        <w:t>s</w:t>
      </w:r>
      <w:r w:rsidR="00A71D8D" w:rsidRPr="00EE3EC5">
        <w:rPr>
          <w:sz w:val="26"/>
        </w:rPr>
        <w:t xml:space="preserve"> to secure the attendance of </w:t>
      </w:r>
      <w:r w:rsidRPr="00EE3EC5">
        <w:rPr>
          <w:sz w:val="26"/>
        </w:rPr>
        <w:t>Ms. Shevy Simins</w:t>
      </w:r>
      <w:r>
        <w:rPr>
          <w:sz w:val="26"/>
        </w:rPr>
        <w:t>,</w:t>
      </w:r>
      <w:r w:rsidRPr="00EE3EC5">
        <w:rPr>
          <w:sz w:val="26"/>
        </w:rPr>
        <w:t xml:space="preserve"> </w:t>
      </w:r>
      <w:r>
        <w:rPr>
          <w:sz w:val="26"/>
        </w:rPr>
        <w:t>HIKO’s</w:t>
      </w:r>
      <w:r w:rsidRPr="00EE3EC5">
        <w:rPr>
          <w:sz w:val="26"/>
        </w:rPr>
        <w:t xml:space="preserve"> Regulatory Supervisor</w:t>
      </w:r>
      <w:r>
        <w:rPr>
          <w:sz w:val="26"/>
        </w:rPr>
        <w:t>,</w:t>
      </w:r>
      <w:r w:rsidRPr="00EE3EC5">
        <w:rPr>
          <w:sz w:val="26"/>
        </w:rPr>
        <w:t xml:space="preserve"> and Mr. Elly Bernstein</w:t>
      </w:r>
      <w:r>
        <w:rPr>
          <w:sz w:val="26"/>
        </w:rPr>
        <w:t>, HIKO’s</w:t>
      </w:r>
      <w:r w:rsidRPr="00EE3EC5">
        <w:rPr>
          <w:sz w:val="26"/>
        </w:rPr>
        <w:t xml:space="preserve"> Director of Operations</w:t>
      </w:r>
      <w:r>
        <w:rPr>
          <w:sz w:val="26"/>
        </w:rPr>
        <w:t>,</w:t>
      </w:r>
      <w:r w:rsidRPr="00EE3EC5">
        <w:rPr>
          <w:sz w:val="26"/>
        </w:rPr>
        <w:t xml:space="preserve"> </w:t>
      </w:r>
      <w:r w:rsidR="00A71D8D" w:rsidRPr="00EE3EC5">
        <w:rPr>
          <w:sz w:val="26"/>
        </w:rPr>
        <w:t>to testify at the evidentiary hearing</w:t>
      </w:r>
      <w:r w:rsidR="00ED1D18">
        <w:rPr>
          <w:sz w:val="26"/>
        </w:rPr>
        <w:t xml:space="preserve"> in this proceeding</w:t>
      </w:r>
      <w:r w:rsidR="00A71D8D" w:rsidRPr="00EE3EC5">
        <w:rPr>
          <w:sz w:val="26"/>
        </w:rPr>
        <w:t>.</w:t>
      </w:r>
      <w:r w:rsidR="00050021">
        <w:rPr>
          <w:sz w:val="26"/>
        </w:rPr>
        <w:t xml:space="preserve">  </w:t>
      </w:r>
      <w:r w:rsidR="00A71D8D" w:rsidRPr="00EE3EC5">
        <w:rPr>
          <w:sz w:val="26"/>
        </w:rPr>
        <w:t>On March 30, 2015, HIKO filed Objections to the Applications for Subpoena</w:t>
      </w:r>
      <w:r w:rsidR="00D866F4">
        <w:rPr>
          <w:sz w:val="26"/>
        </w:rPr>
        <w:t>s</w:t>
      </w:r>
      <w:r w:rsidR="00A71D8D" w:rsidRPr="00EE3EC5">
        <w:rPr>
          <w:sz w:val="26"/>
        </w:rPr>
        <w:t xml:space="preserve">. </w:t>
      </w:r>
      <w:r w:rsidR="00050021">
        <w:rPr>
          <w:sz w:val="26"/>
        </w:rPr>
        <w:t xml:space="preserve"> </w:t>
      </w:r>
      <w:r w:rsidR="00A71D8D">
        <w:rPr>
          <w:color w:val="000000"/>
          <w:sz w:val="26"/>
          <w:szCs w:val="26"/>
        </w:rPr>
        <w:t>By Order dated April 7, 2015 (</w:t>
      </w:r>
      <w:r w:rsidR="00A71D8D" w:rsidRPr="001D3776">
        <w:rPr>
          <w:i/>
          <w:color w:val="000000"/>
          <w:sz w:val="26"/>
          <w:szCs w:val="26"/>
        </w:rPr>
        <w:t>April 2015 Order</w:t>
      </w:r>
      <w:r w:rsidR="00A71D8D">
        <w:rPr>
          <w:color w:val="000000"/>
          <w:sz w:val="26"/>
          <w:szCs w:val="26"/>
        </w:rPr>
        <w:t>), A</w:t>
      </w:r>
      <w:r w:rsidR="000F2DA8">
        <w:rPr>
          <w:color w:val="000000"/>
          <w:sz w:val="26"/>
          <w:szCs w:val="26"/>
        </w:rPr>
        <w:t xml:space="preserve">dministrative Law Judges </w:t>
      </w:r>
      <w:r w:rsidR="000F2DA8">
        <w:rPr>
          <w:bCs/>
          <w:color w:val="000000"/>
          <w:sz w:val="26"/>
        </w:rPr>
        <w:t xml:space="preserve">Elizabeth </w:t>
      </w:r>
      <w:r w:rsidR="00B358F5">
        <w:rPr>
          <w:bCs/>
          <w:color w:val="000000"/>
          <w:sz w:val="26"/>
        </w:rPr>
        <w:t xml:space="preserve">H. </w:t>
      </w:r>
      <w:r w:rsidR="000F2DA8">
        <w:rPr>
          <w:bCs/>
          <w:color w:val="000000"/>
          <w:sz w:val="26"/>
        </w:rPr>
        <w:t xml:space="preserve">Barnes and Joel </w:t>
      </w:r>
      <w:r w:rsidR="00B358F5">
        <w:rPr>
          <w:bCs/>
          <w:color w:val="000000"/>
          <w:sz w:val="26"/>
        </w:rPr>
        <w:t xml:space="preserve">H. </w:t>
      </w:r>
      <w:r w:rsidR="000F2DA8">
        <w:rPr>
          <w:bCs/>
          <w:color w:val="000000"/>
          <w:sz w:val="26"/>
        </w:rPr>
        <w:t>Cheskis</w:t>
      </w:r>
      <w:r w:rsidR="000F2DA8" w:rsidRPr="001B656B">
        <w:rPr>
          <w:bCs/>
          <w:color w:val="000000"/>
          <w:sz w:val="26"/>
        </w:rPr>
        <w:t xml:space="preserve"> </w:t>
      </w:r>
      <w:r w:rsidR="00A71D8D">
        <w:rPr>
          <w:color w:val="000000"/>
          <w:sz w:val="26"/>
          <w:szCs w:val="26"/>
        </w:rPr>
        <w:t>granted the Applications for Subpoenas</w:t>
      </w:r>
      <w:r w:rsidR="006C2C9C">
        <w:rPr>
          <w:color w:val="000000"/>
          <w:sz w:val="26"/>
          <w:szCs w:val="26"/>
        </w:rPr>
        <w:t xml:space="preserve"> and issued the subpoenas</w:t>
      </w:r>
      <w:r w:rsidR="00A71D8D">
        <w:rPr>
          <w:color w:val="000000"/>
          <w:sz w:val="26"/>
          <w:szCs w:val="26"/>
        </w:rPr>
        <w:t>.</w:t>
      </w:r>
      <w:r w:rsidR="006C2C9C">
        <w:rPr>
          <w:color w:val="000000"/>
          <w:sz w:val="26"/>
          <w:szCs w:val="26"/>
        </w:rPr>
        <w:t xml:space="preserve">    </w:t>
      </w:r>
      <w:r w:rsidR="00A71D8D">
        <w:rPr>
          <w:color w:val="000000"/>
          <w:sz w:val="26"/>
          <w:szCs w:val="26"/>
        </w:rPr>
        <w:tab/>
      </w:r>
    </w:p>
    <w:p w:rsidR="00A71D8D" w:rsidRDefault="00A71D8D" w:rsidP="00A71D8D">
      <w:pPr>
        <w:adjustRightInd w:val="0"/>
        <w:rPr>
          <w:color w:val="000000"/>
          <w:sz w:val="26"/>
          <w:szCs w:val="26"/>
        </w:rPr>
      </w:pPr>
    </w:p>
    <w:p w:rsidR="009123C4" w:rsidRDefault="00A71D8D" w:rsidP="00945966">
      <w:pPr>
        <w:rPr>
          <w:color w:val="000000"/>
          <w:sz w:val="26"/>
          <w:szCs w:val="26"/>
        </w:rPr>
      </w:pPr>
      <w:r w:rsidRPr="001B656B">
        <w:rPr>
          <w:color w:val="000000"/>
          <w:sz w:val="26"/>
          <w:szCs w:val="26"/>
        </w:rPr>
        <w:tab/>
      </w:r>
      <w:r w:rsidRPr="001B656B">
        <w:rPr>
          <w:color w:val="000000"/>
          <w:sz w:val="26"/>
          <w:szCs w:val="26"/>
        </w:rPr>
        <w:tab/>
      </w:r>
      <w:r w:rsidR="006C2C9C">
        <w:rPr>
          <w:color w:val="000000"/>
          <w:sz w:val="26"/>
          <w:szCs w:val="26"/>
        </w:rPr>
        <w:t xml:space="preserve">In response to the </w:t>
      </w:r>
      <w:r w:rsidR="006C2C9C" w:rsidRPr="001D3776">
        <w:rPr>
          <w:i/>
          <w:color w:val="000000"/>
          <w:sz w:val="26"/>
          <w:szCs w:val="26"/>
        </w:rPr>
        <w:t>April 2015 Order</w:t>
      </w:r>
      <w:r w:rsidR="006C2C9C">
        <w:rPr>
          <w:color w:val="000000"/>
          <w:sz w:val="26"/>
          <w:szCs w:val="26"/>
        </w:rPr>
        <w:t xml:space="preserve"> granting I&amp;E’s Applications for Subpoenas, HIKO fi</w:t>
      </w:r>
      <w:r w:rsidRPr="001B656B">
        <w:rPr>
          <w:color w:val="000000"/>
          <w:sz w:val="26"/>
          <w:szCs w:val="26"/>
        </w:rPr>
        <w:t xml:space="preserve">led </w:t>
      </w:r>
      <w:r w:rsidR="00E026AE">
        <w:rPr>
          <w:color w:val="000000"/>
          <w:sz w:val="26"/>
          <w:szCs w:val="26"/>
        </w:rPr>
        <w:t>a</w:t>
      </w:r>
      <w:r w:rsidR="006C2C9C">
        <w:rPr>
          <w:color w:val="000000"/>
          <w:sz w:val="26"/>
          <w:szCs w:val="26"/>
        </w:rPr>
        <w:t xml:space="preserve"> </w:t>
      </w:r>
      <w:r w:rsidR="00E026AE">
        <w:rPr>
          <w:sz w:val="26"/>
          <w:szCs w:val="26"/>
        </w:rPr>
        <w:t xml:space="preserve">Petition for Interlocutory Review and Answer to Material Question </w:t>
      </w:r>
      <w:r w:rsidR="00211C15">
        <w:rPr>
          <w:sz w:val="26"/>
          <w:szCs w:val="26"/>
        </w:rPr>
        <w:t xml:space="preserve">(Petition for Interlocutory Review) </w:t>
      </w:r>
      <w:r w:rsidR="006C2C9C">
        <w:rPr>
          <w:sz w:val="26"/>
        </w:rPr>
        <w:t>on April 10, 2015</w:t>
      </w:r>
      <w:r w:rsidR="009123C4">
        <w:rPr>
          <w:sz w:val="26"/>
        </w:rPr>
        <w:t>.  HIKO sought an answer to the following Material Question:</w:t>
      </w:r>
      <w:r w:rsidR="00945966">
        <w:rPr>
          <w:sz w:val="26"/>
        </w:rPr>
        <w:t xml:space="preserve">  “</w:t>
      </w:r>
      <w:r w:rsidR="009123C4">
        <w:rPr>
          <w:color w:val="000000"/>
          <w:sz w:val="26"/>
          <w:szCs w:val="26"/>
        </w:rPr>
        <w:t>Does the Commission have the authority under Section 309 of the Public Utility Code to subpoena an out-of-state witness to appear and testify at a hearing in a formal complaint proceeding?</w:t>
      </w:r>
      <w:r w:rsidR="00945966">
        <w:rPr>
          <w:color w:val="000000"/>
          <w:sz w:val="26"/>
          <w:szCs w:val="26"/>
        </w:rPr>
        <w:t>”</w:t>
      </w:r>
      <w:r w:rsidR="009123C4">
        <w:rPr>
          <w:color w:val="000000"/>
          <w:sz w:val="26"/>
          <w:szCs w:val="26"/>
        </w:rPr>
        <w:t xml:space="preserve"> </w:t>
      </w:r>
    </w:p>
    <w:p w:rsidR="00A71D8D" w:rsidRDefault="009123C4" w:rsidP="00A71D8D">
      <w:pPr>
        <w:adjustRightInd w:val="0"/>
        <w:rPr>
          <w:color w:val="000000"/>
          <w:sz w:val="26"/>
          <w:szCs w:val="26"/>
        </w:rPr>
      </w:pPr>
      <w:r>
        <w:rPr>
          <w:sz w:val="26"/>
        </w:rPr>
        <w:t xml:space="preserve"> </w:t>
      </w:r>
      <w:r w:rsidR="006C2C9C">
        <w:rPr>
          <w:sz w:val="26"/>
        </w:rPr>
        <w:t xml:space="preserve"> </w:t>
      </w:r>
      <w:r w:rsidR="00A71D8D">
        <w:rPr>
          <w:color w:val="000000"/>
          <w:sz w:val="26"/>
          <w:szCs w:val="26"/>
        </w:rPr>
        <w:t xml:space="preserve"> </w:t>
      </w:r>
    </w:p>
    <w:p w:rsidR="00ED1D18" w:rsidRDefault="00ED1D18" w:rsidP="006B6701">
      <w:pPr>
        <w:ind w:firstLine="1440"/>
        <w:rPr>
          <w:sz w:val="26"/>
          <w:szCs w:val="26"/>
        </w:rPr>
      </w:pPr>
      <w:r>
        <w:rPr>
          <w:sz w:val="26"/>
          <w:szCs w:val="26"/>
        </w:rPr>
        <w:t>An evidentiary hearing was held on April 20, 2015.</w:t>
      </w:r>
      <w:r w:rsidR="001F7915">
        <w:rPr>
          <w:sz w:val="26"/>
          <w:szCs w:val="26"/>
        </w:rPr>
        <w:t xml:space="preserve">  </w:t>
      </w:r>
    </w:p>
    <w:p w:rsidR="005F5EE4" w:rsidRDefault="005F5EE4" w:rsidP="006B6701">
      <w:pPr>
        <w:ind w:firstLine="1440"/>
        <w:rPr>
          <w:sz w:val="26"/>
          <w:szCs w:val="26"/>
        </w:rPr>
      </w:pPr>
    </w:p>
    <w:p w:rsidR="005F5EE4" w:rsidRDefault="00657371" w:rsidP="006B6701">
      <w:pPr>
        <w:ind w:firstLine="1440"/>
        <w:rPr>
          <w:sz w:val="26"/>
          <w:szCs w:val="26"/>
        </w:rPr>
      </w:pPr>
      <w:r>
        <w:rPr>
          <w:sz w:val="26"/>
          <w:szCs w:val="26"/>
        </w:rPr>
        <w:t>By letter dated</w:t>
      </w:r>
      <w:r w:rsidR="005F5EE4">
        <w:rPr>
          <w:sz w:val="26"/>
          <w:szCs w:val="26"/>
        </w:rPr>
        <w:t xml:space="preserve"> April 21, 2015, </w:t>
      </w:r>
      <w:r>
        <w:rPr>
          <w:sz w:val="26"/>
          <w:szCs w:val="26"/>
        </w:rPr>
        <w:t xml:space="preserve">I&amp;E withdrew its Applications for Subpoenas and indicated that it would not seek application for new subpoenas for HIKO representatives.     </w:t>
      </w:r>
    </w:p>
    <w:p w:rsidR="002974A0" w:rsidRDefault="00ED1D18" w:rsidP="002974A0">
      <w:pPr>
        <w:ind w:firstLine="1440"/>
        <w:rPr>
          <w:sz w:val="26"/>
          <w:szCs w:val="26"/>
        </w:rPr>
      </w:pPr>
      <w:r>
        <w:rPr>
          <w:sz w:val="26"/>
          <w:szCs w:val="26"/>
        </w:rPr>
        <w:t xml:space="preserve">On April 22, 2015, HIKO filed </w:t>
      </w:r>
      <w:r w:rsidR="00E026AE">
        <w:rPr>
          <w:sz w:val="26"/>
          <w:szCs w:val="26"/>
        </w:rPr>
        <w:t>the instant Petition</w:t>
      </w:r>
      <w:r w:rsidR="00EC4804">
        <w:rPr>
          <w:sz w:val="26"/>
          <w:szCs w:val="26"/>
        </w:rPr>
        <w:t xml:space="preserve"> </w:t>
      </w:r>
      <w:r w:rsidR="002B24E7">
        <w:rPr>
          <w:sz w:val="26"/>
          <w:szCs w:val="26"/>
        </w:rPr>
        <w:t xml:space="preserve">to Withdraw </w:t>
      </w:r>
      <w:r w:rsidR="00EC4804">
        <w:rPr>
          <w:sz w:val="26"/>
          <w:szCs w:val="26"/>
        </w:rPr>
        <w:t>pursuant to 52 Pa. Code § 5.94</w:t>
      </w:r>
      <w:r w:rsidR="00E026AE">
        <w:rPr>
          <w:sz w:val="26"/>
          <w:szCs w:val="26"/>
        </w:rPr>
        <w:t>.</w:t>
      </w:r>
      <w:r w:rsidR="00EC4804">
        <w:rPr>
          <w:sz w:val="26"/>
          <w:szCs w:val="26"/>
        </w:rPr>
        <w:t xml:space="preserve"> </w:t>
      </w:r>
      <w:r w:rsidR="002974A0">
        <w:rPr>
          <w:sz w:val="26"/>
          <w:szCs w:val="26"/>
        </w:rPr>
        <w:t xml:space="preserve">Withdrawal of pleadings in a contested proceeding is governed by </w:t>
      </w:r>
      <w:r w:rsidR="002974A0">
        <w:rPr>
          <w:sz w:val="26"/>
          <w:szCs w:val="26"/>
        </w:rPr>
        <w:lastRenderedPageBreak/>
        <w:t>Section 5.94 of our Regulations, 52 Pa. Code § 5.94.  Section 5.94(a) provides the following:</w:t>
      </w:r>
    </w:p>
    <w:p w:rsidR="002974A0" w:rsidRDefault="002974A0" w:rsidP="002974A0">
      <w:pPr>
        <w:ind w:firstLine="1440"/>
        <w:rPr>
          <w:sz w:val="26"/>
          <w:szCs w:val="26"/>
        </w:rPr>
      </w:pPr>
      <w:r>
        <w:rPr>
          <w:sz w:val="26"/>
          <w:szCs w:val="26"/>
        </w:rPr>
        <w:t xml:space="preserve">        </w:t>
      </w:r>
    </w:p>
    <w:p w:rsidR="002974A0" w:rsidRPr="00D73BA8" w:rsidRDefault="002974A0" w:rsidP="002974A0">
      <w:pPr>
        <w:tabs>
          <w:tab w:val="left" w:pos="1710"/>
        </w:tabs>
        <w:ind w:left="1440" w:right="1440"/>
        <w:rPr>
          <w:sz w:val="26"/>
          <w:szCs w:val="26"/>
        </w:rPr>
      </w:pPr>
      <w:r>
        <w:rPr>
          <w:sz w:val="26"/>
        </w:rPr>
        <w:t xml:space="preserve">(a)  </w:t>
      </w:r>
      <w:r w:rsidRPr="00D73BA8">
        <w:rPr>
          <w:sz w:val="26"/>
        </w:rPr>
        <w:t xml:space="preserve">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w:t>
      </w:r>
      <w:r w:rsidR="00A048BF">
        <w:rPr>
          <w:sz w:val="26"/>
        </w:rPr>
        <w:t>1</w:t>
      </w:r>
      <w:r w:rsidRPr="00D73BA8">
        <w:rPr>
          <w:sz w:val="26"/>
        </w:rPr>
        <w:t xml:space="preserve">0 days of service. </w:t>
      </w:r>
      <w:r w:rsidR="00063AE2">
        <w:rPr>
          <w:sz w:val="26"/>
        </w:rPr>
        <w:t xml:space="preserve"> </w:t>
      </w:r>
      <w:r w:rsidRPr="00D73BA8">
        <w:rPr>
          <w:sz w:val="26"/>
        </w:rPr>
        <w:t>After considering the petition, an objection thereto and the public interest, the presiding officer or the Commission will determine whether the withdrawal will be permitted.</w:t>
      </w:r>
      <w:r w:rsidRPr="00D73BA8">
        <w:rPr>
          <w:sz w:val="26"/>
          <w:szCs w:val="26"/>
        </w:rPr>
        <w:t xml:space="preserve"> </w:t>
      </w:r>
    </w:p>
    <w:p w:rsidR="002974A0" w:rsidRPr="00D73BA8" w:rsidRDefault="002974A0" w:rsidP="002974A0">
      <w:pPr>
        <w:tabs>
          <w:tab w:val="left" w:pos="1710"/>
        </w:tabs>
        <w:ind w:left="1440" w:right="1440"/>
        <w:rPr>
          <w:sz w:val="26"/>
          <w:szCs w:val="26"/>
        </w:rPr>
      </w:pPr>
    </w:p>
    <w:p w:rsidR="008F1A19" w:rsidRDefault="00661FB3" w:rsidP="006B6701">
      <w:pPr>
        <w:ind w:firstLine="1440"/>
        <w:rPr>
          <w:sz w:val="26"/>
          <w:szCs w:val="26"/>
        </w:rPr>
      </w:pPr>
      <w:r>
        <w:rPr>
          <w:sz w:val="26"/>
          <w:szCs w:val="26"/>
        </w:rPr>
        <w:t>In the Petition</w:t>
      </w:r>
      <w:r w:rsidR="002B24E7">
        <w:rPr>
          <w:sz w:val="26"/>
          <w:szCs w:val="26"/>
        </w:rPr>
        <w:t xml:space="preserve"> to Withdraw</w:t>
      </w:r>
      <w:r>
        <w:rPr>
          <w:sz w:val="26"/>
          <w:szCs w:val="26"/>
        </w:rPr>
        <w:t xml:space="preserve">, HIKO states that the </w:t>
      </w:r>
      <w:r w:rsidR="00211C15">
        <w:rPr>
          <w:sz w:val="26"/>
          <w:szCs w:val="26"/>
        </w:rPr>
        <w:t xml:space="preserve">withdrawal of its Petition for Interlocutory Review </w:t>
      </w:r>
      <w:r w:rsidR="00136C9F">
        <w:rPr>
          <w:sz w:val="26"/>
          <w:szCs w:val="26"/>
        </w:rPr>
        <w:t>follows the receipt of I&amp;E’s April 21, 2015 letter.  HIKO requests that the schedule for the filing of briefs in support of or in opposition to the Petition for Interlocutory Review</w:t>
      </w:r>
      <w:r w:rsidR="00DD7881">
        <w:rPr>
          <w:sz w:val="26"/>
          <w:szCs w:val="26"/>
        </w:rPr>
        <w:t xml:space="preserve"> be suspended</w:t>
      </w:r>
      <w:r w:rsidR="00136C9F">
        <w:rPr>
          <w:sz w:val="26"/>
          <w:szCs w:val="26"/>
        </w:rPr>
        <w:t>.</w:t>
      </w:r>
      <w:r w:rsidR="00DD7881">
        <w:rPr>
          <w:sz w:val="26"/>
          <w:szCs w:val="26"/>
        </w:rPr>
        <w:t xml:space="preserve">  </w:t>
      </w:r>
    </w:p>
    <w:p w:rsidR="008F1A19" w:rsidRDefault="008F1A19" w:rsidP="006B6701">
      <w:pPr>
        <w:ind w:firstLine="1440"/>
        <w:rPr>
          <w:sz w:val="26"/>
          <w:szCs w:val="26"/>
        </w:rPr>
      </w:pPr>
    </w:p>
    <w:p w:rsidR="00F776CC" w:rsidRDefault="00D311CC" w:rsidP="006B6701">
      <w:pPr>
        <w:ind w:firstLine="1440"/>
        <w:rPr>
          <w:sz w:val="26"/>
          <w:szCs w:val="26"/>
        </w:rPr>
      </w:pPr>
      <w:r>
        <w:rPr>
          <w:sz w:val="26"/>
          <w:szCs w:val="26"/>
        </w:rPr>
        <w:t>By e-mail dated April 24, 2015, I&amp;E stated that it does not object to HIKO’s Petition.</w:t>
      </w:r>
      <w:r w:rsidR="005A05BC">
        <w:rPr>
          <w:sz w:val="26"/>
          <w:szCs w:val="26"/>
        </w:rPr>
        <w:t xml:space="preserve">  To date, we have not received any objections or additional responses to the Petition.</w:t>
      </w:r>
      <w:r>
        <w:rPr>
          <w:sz w:val="26"/>
          <w:szCs w:val="26"/>
        </w:rPr>
        <w:t xml:space="preserve"> </w:t>
      </w:r>
    </w:p>
    <w:p w:rsidR="00F776CC" w:rsidRDefault="00F776CC" w:rsidP="006B6701">
      <w:pPr>
        <w:ind w:firstLine="1440"/>
        <w:rPr>
          <w:sz w:val="26"/>
          <w:szCs w:val="26"/>
        </w:rPr>
      </w:pPr>
    </w:p>
    <w:p w:rsidR="00245BC5" w:rsidRDefault="009A7DE2" w:rsidP="006B6701">
      <w:pPr>
        <w:ind w:firstLine="1440"/>
        <w:rPr>
          <w:sz w:val="26"/>
          <w:szCs w:val="26"/>
        </w:rPr>
      </w:pPr>
      <w:r>
        <w:rPr>
          <w:sz w:val="26"/>
          <w:szCs w:val="26"/>
        </w:rPr>
        <w:t>Based on the averments in HIKO’s Petition</w:t>
      </w:r>
      <w:r w:rsidR="002A7014">
        <w:rPr>
          <w:sz w:val="26"/>
          <w:szCs w:val="26"/>
        </w:rPr>
        <w:t>, as well as the procedural posture of this case, we find that granting the Petition is in the public interest.</w:t>
      </w:r>
      <w:r w:rsidR="00E23644">
        <w:rPr>
          <w:sz w:val="26"/>
          <w:szCs w:val="26"/>
        </w:rPr>
        <w:t xml:space="preserve"> </w:t>
      </w:r>
      <w:r w:rsidR="002A7014">
        <w:rPr>
          <w:sz w:val="26"/>
          <w:szCs w:val="26"/>
        </w:rPr>
        <w:t xml:space="preserve"> </w:t>
      </w:r>
      <w:r w:rsidR="00D63F16">
        <w:rPr>
          <w:sz w:val="26"/>
          <w:szCs w:val="26"/>
        </w:rPr>
        <w:t xml:space="preserve">After HIKO filed its Petition, an evidentiary hearing was held without the presence of </w:t>
      </w:r>
      <w:r w:rsidR="0041390B">
        <w:rPr>
          <w:sz w:val="26"/>
          <w:szCs w:val="26"/>
        </w:rPr>
        <w:t>Ms. Simins and Mr. Bernstein</w:t>
      </w:r>
      <w:r w:rsidR="002B24E7">
        <w:rPr>
          <w:sz w:val="26"/>
          <w:szCs w:val="26"/>
        </w:rPr>
        <w:t>,</w:t>
      </w:r>
      <w:r w:rsidR="0041390B">
        <w:rPr>
          <w:sz w:val="26"/>
          <w:szCs w:val="26"/>
        </w:rPr>
        <w:t xml:space="preserve"> and I&amp;E </w:t>
      </w:r>
      <w:r w:rsidR="002B24E7">
        <w:rPr>
          <w:sz w:val="26"/>
          <w:szCs w:val="26"/>
        </w:rPr>
        <w:t xml:space="preserve">subsequently </w:t>
      </w:r>
      <w:r w:rsidR="0041390B">
        <w:rPr>
          <w:sz w:val="26"/>
          <w:szCs w:val="26"/>
        </w:rPr>
        <w:t xml:space="preserve">withdrew its Applications for Subpoenas.  These actions have rendered </w:t>
      </w:r>
      <w:r w:rsidR="00034A72">
        <w:rPr>
          <w:sz w:val="26"/>
          <w:szCs w:val="26"/>
        </w:rPr>
        <w:t xml:space="preserve">moot </w:t>
      </w:r>
      <w:r w:rsidR="0041390B">
        <w:rPr>
          <w:sz w:val="26"/>
          <w:szCs w:val="26"/>
        </w:rPr>
        <w:t xml:space="preserve">the </w:t>
      </w:r>
      <w:r w:rsidR="00034A72">
        <w:rPr>
          <w:sz w:val="26"/>
          <w:szCs w:val="26"/>
        </w:rPr>
        <w:t>Material Question presented by HIKO in its Petition for Interlocutory Review, and it would not be reasonable or an efficient use of resources to answer the Material Question under the circumstances.</w:t>
      </w:r>
      <w:r w:rsidR="006915A1">
        <w:rPr>
          <w:sz w:val="26"/>
          <w:szCs w:val="26"/>
        </w:rPr>
        <w:t xml:space="preserve">  Accordingly, </w:t>
      </w:r>
      <w:r w:rsidR="00034A72">
        <w:rPr>
          <w:sz w:val="26"/>
          <w:szCs w:val="26"/>
        </w:rPr>
        <w:t>we shall grant the Petition</w:t>
      </w:r>
      <w:r w:rsidR="00245BC5">
        <w:rPr>
          <w:sz w:val="26"/>
          <w:szCs w:val="26"/>
        </w:rPr>
        <w:t xml:space="preserve"> </w:t>
      </w:r>
      <w:r w:rsidR="002B24E7">
        <w:rPr>
          <w:sz w:val="26"/>
          <w:szCs w:val="26"/>
        </w:rPr>
        <w:t>to Withdraw.</w:t>
      </w:r>
      <w:r w:rsidR="00245BC5">
        <w:rPr>
          <w:sz w:val="26"/>
          <w:szCs w:val="26"/>
        </w:rPr>
        <w:t xml:space="preserve">  </w:t>
      </w:r>
    </w:p>
    <w:p w:rsidR="00245BC5" w:rsidRDefault="00245BC5" w:rsidP="006B6701">
      <w:pPr>
        <w:ind w:firstLine="1440"/>
        <w:rPr>
          <w:sz w:val="26"/>
          <w:szCs w:val="26"/>
        </w:rPr>
      </w:pPr>
    </w:p>
    <w:p w:rsidR="00BF7167" w:rsidRDefault="00817F43" w:rsidP="006B6701">
      <w:pPr>
        <w:ind w:firstLine="1440"/>
        <w:rPr>
          <w:sz w:val="26"/>
          <w:szCs w:val="26"/>
        </w:rPr>
      </w:pPr>
      <w:r>
        <w:rPr>
          <w:sz w:val="26"/>
          <w:szCs w:val="26"/>
        </w:rPr>
        <w:t>A</w:t>
      </w:r>
      <w:r w:rsidR="00BF7167">
        <w:rPr>
          <w:sz w:val="26"/>
          <w:szCs w:val="26"/>
        </w:rPr>
        <w:t>ny questions regarding this correspondence should be addressed to J</w:t>
      </w:r>
      <w:r w:rsidR="00245BC5">
        <w:rPr>
          <w:sz w:val="26"/>
          <w:szCs w:val="26"/>
        </w:rPr>
        <w:t>onathan Nase</w:t>
      </w:r>
      <w:r w:rsidR="00BF7167">
        <w:rPr>
          <w:sz w:val="26"/>
          <w:szCs w:val="26"/>
        </w:rPr>
        <w:t xml:space="preserve"> in the Office of Special Assistants, at (717) </w:t>
      </w:r>
      <w:r w:rsidR="00245BC5">
        <w:rPr>
          <w:sz w:val="26"/>
          <w:szCs w:val="26"/>
        </w:rPr>
        <w:t>787-3490</w:t>
      </w:r>
      <w:r w:rsidR="00BF7167">
        <w:rPr>
          <w:sz w:val="26"/>
          <w:szCs w:val="26"/>
        </w:rPr>
        <w:t xml:space="preserve"> or </w:t>
      </w:r>
      <w:hyperlink r:id="rId11" w:history="1">
        <w:r w:rsidR="00245BC5" w:rsidRPr="006C7C83">
          <w:rPr>
            <w:rStyle w:val="Hyperlink"/>
            <w:sz w:val="26"/>
            <w:szCs w:val="26"/>
          </w:rPr>
          <w:t>jnase@pa.gov</w:t>
        </w:r>
      </w:hyperlink>
      <w:r w:rsidR="00BF7167">
        <w:rPr>
          <w:sz w:val="26"/>
          <w:szCs w:val="26"/>
        </w:rPr>
        <w:t>.</w:t>
      </w:r>
    </w:p>
    <w:p w:rsidR="006350D6" w:rsidRDefault="00DC3424" w:rsidP="006B6701">
      <w:pPr>
        <w:ind w:firstLine="1440"/>
        <w:rPr>
          <w:sz w:val="26"/>
          <w:szCs w:val="26"/>
        </w:rPr>
      </w:pPr>
      <w:r>
        <w:rPr>
          <w:sz w:val="26"/>
          <w:szCs w:val="26"/>
        </w:rPr>
        <w:t xml:space="preserve"> </w:t>
      </w:r>
    </w:p>
    <w:p w:rsidR="00540F47" w:rsidRDefault="00540F47" w:rsidP="006B6701">
      <w:pPr>
        <w:ind w:firstLine="1440"/>
        <w:rPr>
          <w:sz w:val="26"/>
          <w:szCs w:val="26"/>
        </w:rPr>
      </w:pPr>
    </w:p>
    <w:p w:rsidR="003A072B" w:rsidRPr="00D12C93" w:rsidRDefault="00840D89" w:rsidP="00EB6F1D">
      <w:pPr>
        <w:ind w:firstLine="4320"/>
        <w:rPr>
          <w:sz w:val="26"/>
          <w:szCs w:val="26"/>
        </w:rPr>
      </w:pPr>
      <w:bookmarkStart w:id="0" w:name="_GoBack"/>
      <w:r>
        <w:rPr>
          <w:noProof/>
        </w:rPr>
        <w:pict>
          <v:shape id="Picture 1" o:spid="_x0000_s1027" type="#_x0000_t75" style="position:absolute;left:0;text-align:left;margin-left:187.8pt;margin-top:.9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2" o:title=""/>
          </v:shape>
        </w:pict>
      </w:r>
      <w:bookmarkEnd w:id="0"/>
      <w:r w:rsidR="003A072B" w:rsidRPr="00D12C93">
        <w:rPr>
          <w:sz w:val="26"/>
          <w:szCs w:val="26"/>
        </w:rPr>
        <w:t>Very truly yours,</w:t>
      </w:r>
    </w:p>
    <w:p w:rsidR="003A072B" w:rsidRDefault="003A072B" w:rsidP="00E528E4">
      <w:pPr>
        <w:rPr>
          <w:sz w:val="26"/>
          <w:szCs w:val="26"/>
        </w:rPr>
      </w:pPr>
    </w:p>
    <w:p w:rsidR="003A072B" w:rsidRDefault="003A072B" w:rsidP="00E528E4">
      <w:pPr>
        <w:rPr>
          <w:sz w:val="26"/>
          <w:szCs w:val="26"/>
        </w:rPr>
      </w:pPr>
    </w:p>
    <w:p w:rsidR="00127E32" w:rsidRPr="00D12C93" w:rsidRDefault="00127E32" w:rsidP="00E528E4">
      <w:pPr>
        <w:rPr>
          <w:sz w:val="26"/>
          <w:szCs w:val="26"/>
        </w:rPr>
      </w:pPr>
    </w:p>
    <w:p w:rsidR="003A072B" w:rsidRPr="00D12C93" w:rsidRDefault="00EB6F1D" w:rsidP="00EB6F1D">
      <w:pPr>
        <w:ind w:firstLine="4320"/>
        <w:rPr>
          <w:sz w:val="26"/>
          <w:szCs w:val="26"/>
        </w:rPr>
      </w:pPr>
      <w:r>
        <w:rPr>
          <w:sz w:val="26"/>
          <w:szCs w:val="26"/>
        </w:rPr>
        <w:t>Rosemary Chiavetta</w:t>
      </w:r>
    </w:p>
    <w:p w:rsidR="005B5AA7" w:rsidRPr="00D12C93" w:rsidRDefault="003A072B" w:rsidP="00E36BFE">
      <w:pPr>
        <w:ind w:firstLine="4320"/>
        <w:rPr>
          <w:sz w:val="26"/>
          <w:szCs w:val="26"/>
        </w:rPr>
      </w:pPr>
      <w:r w:rsidRPr="00D12C93">
        <w:rPr>
          <w:sz w:val="26"/>
          <w:szCs w:val="26"/>
        </w:rPr>
        <w:t>Secretary</w:t>
      </w:r>
    </w:p>
    <w:sectPr w:rsidR="005B5AA7" w:rsidRPr="00D12C93" w:rsidSect="001023A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20" w:rsidRDefault="00292820">
      <w:r>
        <w:separator/>
      </w:r>
    </w:p>
  </w:endnote>
  <w:endnote w:type="continuationSeparator" w:id="0">
    <w:p w:rsidR="00292820" w:rsidRDefault="0029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67" w:rsidRDefault="00BF7167">
    <w:pPr>
      <w:pStyle w:val="Footer"/>
      <w:jc w:val="center"/>
    </w:pPr>
    <w:r>
      <w:fldChar w:fldCharType="begin"/>
    </w:r>
    <w:r>
      <w:instrText xml:space="preserve"> PAGE   \* MERGEFORMAT </w:instrText>
    </w:r>
    <w:r>
      <w:fldChar w:fldCharType="separate"/>
    </w:r>
    <w:r w:rsidR="00840D89">
      <w:rPr>
        <w:noProof/>
      </w:rPr>
      <w:t>2</w:t>
    </w:r>
    <w:r>
      <w:rPr>
        <w:noProof/>
      </w:rPr>
      <w:fldChar w:fldCharType="end"/>
    </w:r>
  </w:p>
  <w:p w:rsidR="00BF7167" w:rsidRDefault="00BF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20" w:rsidRDefault="00292820">
      <w:r>
        <w:separator/>
      </w:r>
    </w:p>
  </w:footnote>
  <w:footnote w:type="continuationSeparator" w:id="0">
    <w:p w:rsidR="00292820" w:rsidRDefault="0029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4D77"/>
    <w:rsid w:val="00006048"/>
    <w:rsid w:val="00016793"/>
    <w:rsid w:val="00034A72"/>
    <w:rsid w:val="00050021"/>
    <w:rsid w:val="00053EC6"/>
    <w:rsid w:val="00063AE2"/>
    <w:rsid w:val="00077DAC"/>
    <w:rsid w:val="00081CAE"/>
    <w:rsid w:val="000A5ADF"/>
    <w:rsid w:val="000A659E"/>
    <w:rsid w:val="000D020B"/>
    <w:rsid w:val="000D26F3"/>
    <w:rsid w:val="000D6753"/>
    <w:rsid w:val="000E32E1"/>
    <w:rsid w:val="000E3737"/>
    <w:rsid w:val="000F03BA"/>
    <w:rsid w:val="000F2DA8"/>
    <w:rsid w:val="000F39F6"/>
    <w:rsid w:val="001023A4"/>
    <w:rsid w:val="00105E0E"/>
    <w:rsid w:val="001209F1"/>
    <w:rsid w:val="001266EE"/>
    <w:rsid w:val="00127E32"/>
    <w:rsid w:val="00132948"/>
    <w:rsid w:val="001352D9"/>
    <w:rsid w:val="00136BAB"/>
    <w:rsid w:val="00136C9F"/>
    <w:rsid w:val="00145471"/>
    <w:rsid w:val="0015573A"/>
    <w:rsid w:val="00157590"/>
    <w:rsid w:val="0016287C"/>
    <w:rsid w:val="001737A8"/>
    <w:rsid w:val="00180886"/>
    <w:rsid w:val="0018285B"/>
    <w:rsid w:val="00190682"/>
    <w:rsid w:val="001B032D"/>
    <w:rsid w:val="001C1E78"/>
    <w:rsid w:val="001E3528"/>
    <w:rsid w:val="001F7915"/>
    <w:rsid w:val="00200D27"/>
    <w:rsid w:val="00201518"/>
    <w:rsid w:val="00203094"/>
    <w:rsid w:val="002118FF"/>
    <w:rsid w:val="00211C15"/>
    <w:rsid w:val="0021794B"/>
    <w:rsid w:val="002229C3"/>
    <w:rsid w:val="00235F13"/>
    <w:rsid w:val="00240B7F"/>
    <w:rsid w:val="00245BC5"/>
    <w:rsid w:val="002462B6"/>
    <w:rsid w:val="00261373"/>
    <w:rsid w:val="00262B81"/>
    <w:rsid w:val="0026602D"/>
    <w:rsid w:val="00271249"/>
    <w:rsid w:val="00280CC0"/>
    <w:rsid w:val="002838C0"/>
    <w:rsid w:val="00287550"/>
    <w:rsid w:val="00292820"/>
    <w:rsid w:val="0029319D"/>
    <w:rsid w:val="0029442C"/>
    <w:rsid w:val="0029471C"/>
    <w:rsid w:val="00295B24"/>
    <w:rsid w:val="002974A0"/>
    <w:rsid w:val="002A7014"/>
    <w:rsid w:val="002B24E7"/>
    <w:rsid w:val="002C0783"/>
    <w:rsid w:val="002D148F"/>
    <w:rsid w:val="002D695B"/>
    <w:rsid w:val="002D7DF7"/>
    <w:rsid w:val="002E28AA"/>
    <w:rsid w:val="002F2376"/>
    <w:rsid w:val="002F3E39"/>
    <w:rsid w:val="003002FB"/>
    <w:rsid w:val="0030045C"/>
    <w:rsid w:val="00315E3B"/>
    <w:rsid w:val="003267D4"/>
    <w:rsid w:val="0033546E"/>
    <w:rsid w:val="0033738E"/>
    <w:rsid w:val="0034399B"/>
    <w:rsid w:val="003531A2"/>
    <w:rsid w:val="0035649E"/>
    <w:rsid w:val="00356F55"/>
    <w:rsid w:val="00360F9C"/>
    <w:rsid w:val="003626DA"/>
    <w:rsid w:val="003677ED"/>
    <w:rsid w:val="00373C7C"/>
    <w:rsid w:val="00391858"/>
    <w:rsid w:val="003A072B"/>
    <w:rsid w:val="003A3D25"/>
    <w:rsid w:val="003A50C3"/>
    <w:rsid w:val="003C40CF"/>
    <w:rsid w:val="003D2057"/>
    <w:rsid w:val="003D5D6B"/>
    <w:rsid w:val="003E3BF1"/>
    <w:rsid w:val="0041390B"/>
    <w:rsid w:val="00430047"/>
    <w:rsid w:val="00430574"/>
    <w:rsid w:val="004343C6"/>
    <w:rsid w:val="004446DC"/>
    <w:rsid w:val="004541B1"/>
    <w:rsid w:val="00466663"/>
    <w:rsid w:val="00486E40"/>
    <w:rsid w:val="004A0C8E"/>
    <w:rsid w:val="004A6292"/>
    <w:rsid w:val="004E7F64"/>
    <w:rsid w:val="004F0F0A"/>
    <w:rsid w:val="004F53A2"/>
    <w:rsid w:val="00501CC5"/>
    <w:rsid w:val="00525136"/>
    <w:rsid w:val="005308DA"/>
    <w:rsid w:val="00540F47"/>
    <w:rsid w:val="00561262"/>
    <w:rsid w:val="005649E9"/>
    <w:rsid w:val="005A05BC"/>
    <w:rsid w:val="005A37A2"/>
    <w:rsid w:val="005B021E"/>
    <w:rsid w:val="005B5AA7"/>
    <w:rsid w:val="005E25C5"/>
    <w:rsid w:val="005E5BFB"/>
    <w:rsid w:val="005F0F12"/>
    <w:rsid w:val="005F5EE4"/>
    <w:rsid w:val="0060010C"/>
    <w:rsid w:val="00601B8D"/>
    <w:rsid w:val="00612C2E"/>
    <w:rsid w:val="00616013"/>
    <w:rsid w:val="00633BFA"/>
    <w:rsid w:val="006350D6"/>
    <w:rsid w:val="00636D03"/>
    <w:rsid w:val="006430DB"/>
    <w:rsid w:val="00643BFC"/>
    <w:rsid w:val="00646C4F"/>
    <w:rsid w:val="00650268"/>
    <w:rsid w:val="00656C3D"/>
    <w:rsid w:val="00657371"/>
    <w:rsid w:val="00661FB3"/>
    <w:rsid w:val="006755C0"/>
    <w:rsid w:val="00683D7A"/>
    <w:rsid w:val="006915A1"/>
    <w:rsid w:val="00692D4C"/>
    <w:rsid w:val="006A1B5E"/>
    <w:rsid w:val="006B0DE7"/>
    <w:rsid w:val="006B6701"/>
    <w:rsid w:val="006C2C9C"/>
    <w:rsid w:val="006D0288"/>
    <w:rsid w:val="006D0321"/>
    <w:rsid w:val="006D2BAD"/>
    <w:rsid w:val="006D2C48"/>
    <w:rsid w:val="006D3665"/>
    <w:rsid w:val="006E1680"/>
    <w:rsid w:val="007037F8"/>
    <w:rsid w:val="00706FBE"/>
    <w:rsid w:val="00726821"/>
    <w:rsid w:val="00751A5B"/>
    <w:rsid w:val="00762E1D"/>
    <w:rsid w:val="00763F9E"/>
    <w:rsid w:val="007726C0"/>
    <w:rsid w:val="00792451"/>
    <w:rsid w:val="00795CC5"/>
    <w:rsid w:val="007A2A79"/>
    <w:rsid w:val="007A7146"/>
    <w:rsid w:val="007D1483"/>
    <w:rsid w:val="007D663A"/>
    <w:rsid w:val="007E20BB"/>
    <w:rsid w:val="00801B39"/>
    <w:rsid w:val="00807300"/>
    <w:rsid w:val="00807625"/>
    <w:rsid w:val="00817F43"/>
    <w:rsid w:val="00827332"/>
    <w:rsid w:val="008339D7"/>
    <w:rsid w:val="008407BF"/>
    <w:rsid w:val="00840D89"/>
    <w:rsid w:val="008567F1"/>
    <w:rsid w:val="008640ED"/>
    <w:rsid w:val="008733C0"/>
    <w:rsid w:val="00887C03"/>
    <w:rsid w:val="00887F72"/>
    <w:rsid w:val="00895AF3"/>
    <w:rsid w:val="008C645A"/>
    <w:rsid w:val="008C7A83"/>
    <w:rsid w:val="008D17D5"/>
    <w:rsid w:val="008E4F93"/>
    <w:rsid w:val="008E64A4"/>
    <w:rsid w:val="008E77DC"/>
    <w:rsid w:val="008F1A19"/>
    <w:rsid w:val="008F7AD8"/>
    <w:rsid w:val="009123C4"/>
    <w:rsid w:val="00914D71"/>
    <w:rsid w:val="00937C15"/>
    <w:rsid w:val="00945966"/>
    <w:rsid w:val="009520ED"/>
    <w:rsid w:val="00953258"/>
    <w:rsid w:val="009722B8"/>
    <w:rsid w:val="00986A3C"/>
    <w:rsid w:val="00993F48"/>
    <w:rsid w:val="009A7DE2"/>
    <w:rsid w:val="009B6F15"/>
    <w:rsid w:val="009C3D59"/>
    <w:rsid w:val="009D6F6F"/>
    <w:rsid w:val="009F5F66"/>
    <w:rsid w:val="009F723A"/>
    <w:rsid w:val="00A048BF"/>
    <w:rsid w:val="00A05DF3"/>
    <w:rsid w:val="00A109A1"/>
    <w:rsid w:val="00A16BD8"/>
    <w:rsid w:val="00A24AF5"/>
    <w:rsid w:val="00A33BE7"/>
    <w:rsid w:val="00A37179"/>
    <w:rsid w:val="00A44293"/>
    <w:rsid w:val="00A71D8D"/>
    <w:rsid w:val="00A7577F"/>
    <w:rsid w:val="00AA618A"/>
    <w:rsid w:val="00AB6D24"/>
    <w:rsid w:val="00AE6552"/>
    <w:rsid w:val="00AF1D5F"/>
    <w:rsid w:val="00B13E9C"/>
    <w:rsid w:val="00B27E82"/>
    <w:rsid w:val="00B3131B"/>
    <w:rsid w:val="00B358F5"/>
    <w:rsid w:val="00B54C9E"/>
    <w:rsid w:val="00B62A4C"/>
    <w:rsid w:val="00B90D4B"/>
    <w:rsid w:val="00B94005"/>
    <w:rsid w:val="00B94406"/>
    <w:rsid w:val="00BA45EA"/>
    <w:rsid w:val="00BA5C40"/>
    <w:rsid w:val="00BB76D2"/>
    <w:rsid w:val="00BC2FB9"/>
    <w:rsid w:val="00BC3334"/>
    <w:rsid w:val="00BC734E"/>
    <w:rsid w:val="00BD1065"/>
    <w:rsid w:val="00BE5119"/>
    <w:rsid w:val="00BF2F0E"/>
    <w:rsid w:val="00BF7167"/>
    <w:rsid w:val="00C013A1"/>
    <w:rsid w:val="00C1662A"/>
    <w:rsid w:val="00C402A0"/>
    <w:rsid w:val="00C7267D"/>
    <w:rsid w:val="00C74A51"/>
    <w:rsid w:val="00C87E0D"/>
    <w:rsid w:val="00CA50D1"/>
    <w:rsid w:val="00CA5B9C"/>
    <w:rsid w:val="00CB5738"/>
    <w:rsid w:val="00CB640F"/>
    <w:rsid w:val="00CD4B72"/>
    <w:rsid w:val="00CE6EEB"/>
    <w:rsid w:val="00CF0B57"/>
    <w:rsid w:val="00CF6E4D"/>
    <w:rsid w:val="00CF73EC"/>
    <w:rsid w:val="00D12C93"/>
    <w:rsid w:val="00D17649"/>
    <w:rsid w:val="00D26C3C"/>
    <w:rsid w:val="00D311CC"/>
    <w:rsid w:val="00D41F90"/>
    <w:rsid w:val="00D50ACB"/>
    <w:rsid w:val="00D61C91"/>
    <w:rsid w:val="00D62DCF"/>
    <w:rsid w:val="00D63F16"/>
    <w:rsid w:val="00D75931"/>
    <w:rsid w:val="00D85500"/>
    <w:rsid w:val="00D866F4"/>
    <w:rsid w:val="00DA22FD"/>
    <w:rsid w:val="00DA696F"/>
    <w:rsid w:val="00DA7A3C"/>
    <w:rsid w:val="00DB2119"/>
    <w:rsid w:val="00DB6D5A"/>
    <w:rsid w:val="00DC1F57"/>
    <w:rsid w:val="00DC3424"/>
    <w:rsid w:val="00DD7881"/>
    <w:rsid w:val="00DE4157"/>
    <w:rsid w:val="00E026AE"/>
    <w:rsid w:val="00E06CDF"/>
    <w:rsid w:val="00E07371"/>
    <w:rsid w:val="00E229FE"/>
    <w:rsid w:val="00E23644"/>
    <w:rsid w:val="00E3637B"/>
    <w:rsid w:val="00E36BFE"/>
    <w:rsid w:val="00E4033D"/>
    <w:rsid w:val="00E42129"/>
    <w:rsid w:val="00E528E4"/>
    <w:rsid w:val="00E530B5"/>
    <w:rsid w:val="00E57330"/>
    <w:rsid w:val="00E63F99"/>
    <w:rsid w:val="00E64AC2"/>
    <w:rsid w:val="00E64C0F"/>
    <w:rsid w:val="00E70913"/>
    <w:rsid w:val="00E71A44"/>
    <w:rsid w:val="00E85040"/>
    <w:rsid w:val="00E87F23"/>
    <w:rsid w:val="00E90495"/>
    <w:rsid w:val="00E90D5D"/>
    <w:rsid w:val="00E928F1"/>
    <w:rsid w:val="00EA04BA"/>
    <w:rsid w:val="00EA411B"/>
    <w:rsid w:val="00EB13E4"/>
    <w:rsid w:val="00EB1438"/>
    <w:rsid w:val="00EB4D52"/>
    <w:rsid w:val="00EB6F1D"/>
    <w:rsid w:val="00EC3D67"/>
    <w:rsid w:val="00EC4804"/>
    <w:rsid w:val="00EC65DA"/>
    <w:rsid w:val="00EC7F84"/>
    <w:rsid w:val="00ED0D05"/>
    <w:rsid w:val="00ED1D18"/>
    <w:rsid w:val="00ED6E68"/>
    <w:rsid w:val="00EE7EB6"/>
    <w:rsid w:val="00EF3FBF"/>
    <w:rsid w:val="00EF7F10"/>
    <w:rsid w:val="00F04CF8"/>
    <w:rsid w:val="00F07CA2"/>
    <w:rsid w:val="00F10506"/>
    <w:rsid w:val="00F130E3"/>
    <w:rsid w:val="00F202C1"/>
    <w:rsid w:val="00F213D2"/>
    <w:rsid w:val="00F251DF"/>
    <w:rsid w:val="00F26F8E"/>
    <w:rsid w:val="00F32FC2"/>
    <w:rsid w:val="00F3418D"/>
    <w:rsid w:val="00F42C1D"/>
    <w:rsid w:val="00F4349A"/>
    <w:rsid w:val="00F50FDD"/>
    <w:rsid w:val="00F5661B"/>
    <w:rsid w:val="00F60268"/>
    <w:rsid w:val="00F649C8"/>
    <w:rsid w:val="00F65AE7"/>
    <w:rsid w:val="00F65DE3"/>
    <w:rsid w:val="00F7094C"/>
    <w:rsid w:val="00F776CC"/>
    <w:rsid w:val="00F812BA"/>
    <w:rsid w:val="00F90E04"/>
    <w:rsid w:val="00F912E6"/>
    <w:rsid w:val="00F9452A"/>
    <w:rsid w:val="00F9546C"/>
    <w:rsid w:val="00FA1C4F"/>
    <w:rsid w:val="00FA2411"/>
    <w:rsid w:val="00FA7D17"/>
    <w:rsid w:val="00FC48D8"/>
    <w:rsid w:val="00FD52BB"/>
    <w:rsid w:val="00FE0954"/>
    <w:rsid w:val="00FE4DB7"/>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 w:type="paragraph" w:styleId="FootnoteText">
    <w:name w:val="footnote text"/>
    <w:basedOn w:val="Normal"/>
    <w:link w:val="FootnoteTextChar"/>
    <w:rsid w:val="003626DA"/>
  </w:style>
  <w:style w:type="character" w:customStyle="1" w:styleId="FootnoteTextChar">
    <w:name w:val="Footnote Text Char"/>
    <w:basedOn w:val="DefaultParagraphFont"/>
    <w:link w:val="FootnoteText"/>
    <w:rsid w:val="003626DA"/>
  </w:style>
  <w:style w:type="character" w:styleId="FootnoteReference">
    <w:name w:val="footnote reference"/>
    <w:rsid w:val="003626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nase@p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B14B-9446-4E8A-B564-26FF4056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4245</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Farner, Joyce</cp:lastModifiedBy>
  <cp:revision>71</cp:revision>
  <cp:lastPrinted>2015-05-06T14:55:00Z</cp:lastPrinted>
  <dcterms:created xsi:type="dcterms:W3CDTF">2015-04-29T14:43:00Z</dcterms:created>
  <dcterms:modified xsi:type="dcterms:W3CDTF">2015-05-06T14:55:00Z</dcterms:modified>
</cp:coreProperties>
</file>