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144773">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144773">
      <w:pPr>
        <w:widowControl/>
        <w:tabs>
          <w:tab w:val="center" w:pos="4680"/>
        </w:tabs>
        <w:suppressAutoHyphens/>
        <w:jc w:val="center"/>
        <w:rPr>
          <w:sz w:val="26"/>
          <w:szCs w:val="26"/>
        </w:rPr>
      </w:pPr>
      <w:r w:rsidRPr="00F514FB">
        <w:rPr>
          <w:b/>
          <w:sz w:val="26"/>
          <w:szCs w:val="26"/>
        </w:rPr>
        <w:t>PUBLIC UTILITY COMMISSION</w:t>
      </w:r>
    </w:p>
    <w:p w:rsidR="00F514FB" w:rsidRPr="00F514FB" w:rsidRDefault="00F514FB" w:rsidP="00144773">
      <w:pPr>
        <w:widowControl/>
        <w:tabs>
          <w:tab w:val="center" w:pos="4680"/>
        </w:tabs>
        <w:suppressAutoHyphens/>
        <w:jc w:val="center"/>
        <w:rPr>
          <w:sz w:val="26"/>
          <w:szCs w:val="26"/>
        </w:rPr>
      </w:pPr>
      <w:r w:rsidRPr="00F514FB">
        <w:rPr>
          <w:b/>
          <w:sz w:val="26"/>
          <w:szCs w:val="26"/>
        </w:rPr>
        <w:t>Harrisburg, PA 17105-3265</w:t>
      </w:r>
    </w:p>
    <w:p w:rsidR="00F514FB" w:rsidRPr="00F514FB" w:rsidRDefault="00F514FB" w:rsidP="00144773">
      <w:pPr>
        <w:widowControl/>
        <w:tabs>
          <w:tab w:val="left" w:pos="-720"/>
        </w:tabs>
        <w:suppressAutoHyphens/>
        <w:rPr>
          <w:sz w:val="26"/>
          <w:szCs w:val="26"/>
        </w:rPr>
      </w:pPr>
    </w:p>
    <w:p w:rsidR="00F514FB" w:rsidRPr="00F514FB" w:rsidRDefault="00F514FB" w:rsidP="0014477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518"/>
      </w:tblGrid>
      <w:tr w:rsidR="00F514FB" w:rsidRPr="00F514FB" w:rsidTr="004064EC">
        <w:tc>
          <w:tcPr>
            <w:tcW w:w="4968" w:type="dxa"/>
          </w:tcPr>
          <w:p w:rsidR="00F514FB" w:rsidRPr="00F514FB" w:rsidRDefault="00F514FB" w:rsidP="00144773">
            <w:pPr>
              <w:widowControl/>
              <w:rPr>
                <w:sz w:val="26"/>
                <w:szCs w:val="26"/>
              </w:rPr>
            </w:pPr>
          </w:p>
        </w:tc>
        <w:tc>
          <w:tcPr>
            <w:tcW w:w="4518" w:type="dxa"/>
          </w:tcPr>
          <w:p w:rsidR="00F514FB" w:rsidRPr="00F514FB" w:rsidRDefault="00F514FB" w:rsidP="00144773">
            <w:pPr>
              <w:widowControl/>
              <w:jc w:val="right"/>
              <w:rPr>
                <w:sz w:val="26"/>
                <w:szCs w:val="26"/>
              </w:rPr>
            </w:pPr>
            <w:r w:rsidRPr="00F514FB">
              <w:rPr>
                <w:sz w:val="26"/>
                <w:szCs w:val="26"/>
              </w:rPr>
              <w:t xml:space="preserve">Public Meeting held </w:t>
            </w:r>
            <w:r w:rsidR="00451EF3">
              <w:rPr>
                <w:sz w:val="26"/>
                <w:szCs w:val="26"/>
              </w:rPr>
              <w:t>May</w:t>
            </w:r>
            <w:r w:rsidR="009C0D20">
              <w:rPr>
                <w:sz w:val="26"/>
                <w:szCs w:val="26"/>
              </w:rPr>
              <w:t xml:space="preserve"> </w:t>
            </w:r>
            <w:r w:rsidR="00451EF3">
              <w:rPr>
                <w:sz w:val="26"/>
                <w:szCs w:val="26"/>
              </w:rPr>
              <w:t>7</w:t>
            </w:r>
            <w:r w:rsidR="009C0D20">
              <w:rPr>
                <w:sz w:val="26"/>
                <w:szCs w:val="26"/>
              </w:rPr>
              <w:t>,</w:t>
            </w:r>
            <w:r w:rsidR="004064EC">
              <w:rPr>
                <w:sz w:val="26"/>
                <w:szCs w:val="26"/>
              </w:rPr>
              <w:t xml:space="preserve"> </w:t>
            </w:r>
            <w:r w:rsidR="009C0D20">
              <w:rPr>
                <w:sz w:val="26"/>
                <w:szCs w:val="26"/>
              </w:rPr>
              <w:t>201</w:t>
            </w:r>
            <w:r w:rsidR="00325BD6">
              <w:rPr>
                <w:sz w:val="26"/>
                <w:szCs w:val="26"/>
              </w:rPr>
              <w:t>5</w:t>
            </w:r>
          </w:p>
          <w:p w:rsidR="00F514FB" w:rsidRPr="00F514FB" w:rsidRDefault="00F514FB" w:rsidP="00144773">
            <w:pPr>
              <w:widowControl/>
              <w:jc w:val="right"/>
              <w:rPr>
                <w:sz w:val="26"/>
                <w:szCs w:val="26"/>
              </w:rPr>
            </w:pPr>
          </w:p>
        </w:tc>
      </w:tr>
      <w:tr w:rsidR="00F514FB" w:rsidRPr="00F514FB" w:rsidTr="004064EC">
        <w:tc>
          <w:tcPr>
            <w:tcW w:w="4968" w:type="dxa"/>
          </w:tcPr>
          <w:p w:rsidR="00F514FB" w:rsidRPr="00F514FB" w:rsidRDefault="00F514FB" w:rsidP="00144773">
            <w:pPr>
              <w:widowControl/>
              <w:rPr>
                <w:sz w:val="26"/>
                <w:szCs w:val="26"/>
              </w:rPr>
            </w:pPr>
            <w:r w:rsidRPr="00F514FB">
              <w:rPr>
                <w:sz w:val="26"/>
                <w:szCs w:val="26"/>
              </w:rPr>
              <w:t>Commissioners Present:</w:t>
            </w:r>
          </w:p>
          <w:p w:rsidR="00F514FB" w:rsidRPr="00F514FB" w:rsidRDefault="00F514FB" w:rsidP="00144773">
            <w:pPr>
              <w:widowControl/>
              <w:rPr>
                <w:sz w:val="26"/>
                <w:szCs w:val="26"/>
              </w:rPr>
            </w:pPr>
          </w:p>
          <w:p w:rsidR="00F514FB" w:rsidRPr="00F514FB" w:rsidRDefault="00F514FB" w:rsidP="00144773">
            <w:pPr>
              <w:widowControl/>
              <w:tabs>
                <w:tab w:val="left" w:pos="705"/>
              </w:tabs>
              <w:ind w:firstLine="720"/>
              <w:rPr>
                <w:sz w:val="26"/>
                <w:szCs w:val="26"/>
              </w:rPr>
            </w:pPr>
            <w:r w:rsidRPr="00F514FB">
              <w:rPr>
                <w:sz w:val="26"/>
                <w:szCs w:val="26"/>
              </w:rPr>
              <w:t>Robert F. Powelson, Chairman</w:t>
            </w:r>
          </w:p>
          <w:p w:rsidR="00F514FB" w:rsidRPr="00F514FB" w:rsidRDefault="00F514FB" w:rsidP="00144773">
            <w:pPr>
              <w:widowControl/>
              <w:tabs>
                <w:tab w:val="left" w:pos="705"/>
              </w:tabs>
              <w:ind w:firstLine="720"/>
              <w:rPr>
                <w:sz w:val="26"/>
                <w:szCs w:val="26"/>
              </w:rPr>
            </w:pPr>
            <w:r w:rsidRPr="00F514FB">
              <w:rPr>
                <w:sz w:val="26"/>
                <w:szCs w:val="26"/>
              </w:rPr>
              <w:t>John F. Coleman, Jr., Vice Chairman</w:t>
            </w:r>
          </w:p>
          <w:p w:rsidR="00F514FB" w:rsidRPr="00F514FB" w:rsidRDefault="00F514FB" w:rsidP="00144773">
            <w:pPr>
              <w:widowControl/>
              <w:tabs>
                <w:tab w:val="left" w:pos="705"/>
              </w:tabs>
              <w:ind w:firstLine="720"/>
              <w:rPr>
                <w:sz w:val="26"/>
                <w:szCs w:val="26"/>
              </w:rPr>
            </w:pPr>
            <w:r w:rsidRPr="00F514FB">
              <w:rPr>
                <w:sz w:val="26"/>
                <w:szCs w:val="26"/>
              </w:rPr>
              <w:t>James H. Cawley</w:t>
            </w:r>
          </w:p>
          <w:p w:rsidR="00F514FB" w:rsidRDefault="00F514FB" w:rsidP="00144773">
            <w:pPr>
              <w:widowControl/>
              <w:tabs>
                <w:tab w:val="left" w:pos="705"/>
              </w:tabs>
              <w:ind w:firstLine="720"/>
              <w:rPr>
                <w:sz w:val="26"/>
                <w:szCs w:val="26"/>
              </w:rPr>
            </w:pPr>
            <w:r w:rsidRPr="00F514FB">
              <w:rPr>
                <w:sz w:val="26"/>
                <w:szCs w:val="26"/>
              </w:rPr>
              <w:t>Pamela A. Witmer</w:t>
            </w:r>
          </w:p>
          <w:p w:rsidR="00465671" w:rsidRPr="00F514FB" w:rsidRDefault="00465671" w:rsidP="00144773">
            <w:pPr>
              <w:widowControl/>
              <w:tabs>
                <w:tab w:val="left" w:pos="705"/>
              </w:tabs>
              <w:ind w:firstLine="720"/>
              <w:rPr>
                <w:sz w:val="26"/>
                <w:szCs w:val="26"/>
              </w:rPr>
            </w:pPr>
            <w:r>
              <w:rPr>
                <w:sz w:val="26"/>
                <w:szCs w:val="26"/>
              </w:rPr>
              <w:t>Gladys M. Brown</w:t>
            </w:r>
          </w:p>
          <w:p w:rsidR="00F514FB" w:rsidRPr="00F514FB" w:rsidRDefault="00F514FB" w:rsidP="00144773">
            <w:pPr>
              <w:widowControl/>
              <w:rPr>
                <w:sz w:val="26"/>
                <w:szCs w:val="26"/>
              </w:rPr>
            </w:pPr>
          </w:p>
          <w:p w:rsidR="00F514FB" w:rsidRPr="00F514FB" w:rsidRDefault="00F514FB" w:rsidP="00144773">
            <w:pPr>
              <w:widowControl/>
              <w:rPr>
                <w:sz w:val="26"/>
                <w:szCs w:val="26"/>
              </w:rPr>
            </w:pPr>
          </w:p>
        </w:tc>
        <w:tc>
          <w:tcPr>
            <w:tcW w:w="4518" w:type="dxa"/>
          </w:tcPr>
          <w:p w:rsidR="00F514FB" w:rsidRPr="00F514FB" w:rsidRDefault="00F514FB" w:rsidP="00144773">
            <w:pPr>
              <w:widowControl/>
              <w:jc w:val="right"/>
              <w:rPr>
                <w:sz w:val="26"/>
                <w:szCs w:val="26"/>
              </w:rPr>
            </w:pPr>
          </w:p>
          <w:p w:rsidR="00F514FB" w:rsidRPr="00F514FB" w:rsidRDefault="00F514FB" w:rsidP="00144773">
            <w:pPr>
              <w:widowControl/>
              <w:jc w:val="right"/>
              <w:rPr>
                <w:sz w:val="26"/>
                <w:szCs w:val="26"/>
              </w:rPr>
            </w:pPr>
          </w:p>
        </w:tc>
      </w:tr>
      <w:tr w:rsidR="00F514FB" w:rsidRPr="00F514FB" w:rsidTr="004064EC">
        <w:tc>
          <w:tcPr>
            <w:tcW w:w="4968" w:type="dxa"/>
          </w:tcPr>
          <w:p w:rsidR="00F514FB" w:rsidRPr="00F514FB" w:rsidRDefault="007E42B6" w:rsidP="00144773">
            <w:pPr>
              <w:widowControl/>
              <w:rPr>
                <w:sz w:val="26"/>
                <w:szCs w:val="26"/>
              </w:rPr>
            </w:pPr>
            <w:r>
              <w:rPr>
                <w:sz w:val="26"/>
                <w:szCs w:val="26"/>
              </w:rPr>
              <w:t>NRG Power Midwest LP, NRG Energy Center Pittsburgh LLC, and Reliant Energy Northeast LLC</w:t>
            </w:r>
          </w:p>
          <w:p w:rsidR="00F514FB" w:rsidRPr="00F514FB" w:rsidRDefault="00F514FB" w:rsidP="00144773">
            <w:pPr>
              <w:widowControl/>
              <w:rPr>
                <w:sz w:val="26"/>
                <w:szCs w:val="26"/>
              </w:rPr>
            </w:pPr>
          </w:p>
        </w:tc>
        <w:tc>
          <w:tcPr>
            <w:tcW w:w="4518" w:type="dxa"/>
          </w:tcPr>
          <w:p w:rsidR="00F514FB" w:rsidRPr="00F514FB" w:rsidRDefault="00465671" w:rsidP="00144773">
            <w:pPr>
              <w:widowControl/>
              <w:jc w:val="right"/>
              <w:rPr>
                <w:sz w:val="26"/>
                <w:szCs w:val="26"/>
              </w:rPr>
            </w:pPr>
            <w:r>
              <w:rPr>
                <w:sz w:val="26"/>
                <w:szCs w:val="26"/>
              </w:rPr>
              <w:t>C-201</w:t>
            </w:r>
            <w:r w:rsidR="007E42B6">
              <w:rPr>
                <w:sz w:val="26"/>
                <w:szCs w:val="26"/>
              </w:rPr>
              <w:t>3-2390562</w:t>
            </w:r>
          </w:p>
        </w:tc>
      </w:tr>
      <w:tr w:rsidR="00F514FB" w:rsidRPr="00F514FB" w:rsidTr="004064EC">
        <w:tc>
          <w:tcPr>
            <w:tcW w:w="4968" w:type="dxa"/>
          </w:tcPr>
          <w:p w:rsidR="00F514FB" w:rsidRPr="00F514FB" w:rsidRDefault="00F514FB" w:rsidP="00144773">
            <w:pPr>
              <w:widowControl/>
              <w:ind w:firstLine="1440"/>
              <w:rPr>
                <w:sz w:val="26"/>
                <w:szCs w:val="26"/>
              </w:rPr>
            </w:pPr>
            <w:r w:rsidRPr="00F514FB">
              <w:rPr>
                <w:sz w:val="26"/>
                <w:szCs w:val="26"/>
              </w:rPr>
              <w:t>v.</w:t>
            </w:r>
          </w:p>
          <w:p w:rsidR="00F514FB" w:rsidRPr="00F514FB" w:rsidRDefault="00F514FB" w:rsidP="00144773">
            <w:pPr>
              <w:widowControl/>
              <w:ind w:firstLine="1440"/>
              <w:rPr>
                <w:sz w:val="26"/>
                <w:szCs w:val="26"/>
              </w:rPr>
            </w:pPr>
          </w:p>
        </w:tc>
        <w:tc>
          <w:tcPr>
            <w:tcW w:w="4518" w:type="dxa"/>
          </w:tcPr>
          <w:p w:rsidR="00F514FB" w:rsidRPr="00F514FB" w:rsidRDefault="00F514FB" w:rsidP="00144773">
            <w:pPr>
              <w:widowControl/>
              <w:rPr>
                <w:sz w:val="26"/>
                <w:szCs w:val="26"/>
              </w:rPr>
            </w:pPr>
          </w:p>
        </w:tc>
      </w:tr>
      <w:tr w:rsidR="00F514FB" w:rsidRPr="00F514FB" w:rsidTr="004064EC">
        <w:tc>
          <w:tcPr>
            <w:tcW w:w="4968" w:type="dxa"/>
          </w:tcPr>
          <w:p w:rsidR="00F514FB" w:rsidRPr="00F514FB" w:rsidRDefault="007E42B6" w:rsidP="00144773">
            <w:pPr>
              <w:widowControl/>
              <w:rPr>
                <w:sz w:val="26"/>
                <w:szCs w:val="26"/>
              </w:rPr>
            </w:pPr>
            <w:r>
              <w:rPr>
                <w:sz w:val="26"/>
                <w:szCs w:val="26"/>
              </w:rPr>
              <w:t>Duquesne Light Company</w:t>
            </w:r>
          </w:p>
        </w:tc>
        <w:tc>
          <w:tcPr>
            <w:tcW w:w="4518" w:type="dxa"/>
          </w:tcPr>
          <w:p w:rsidR="00F514FB" w:rsidRPr="00F514FB" w:rsidRDefault="00F514FB" w:rsidP="00144773">
            <w:pPr>
              <w:widowControl/>
              <w:rPr>
                <w:sz w:val="26"/>
                <w:szCs w:val="26"/>
              </w:rPr>
            </w:pPr>
          </w:p>
        </w:tc>
      </w:tr>
    </w:tbl>
    <w:p w:rsidR="00F514FB" w:rsidRPr="00F514FB" w:rsidRDefault="00F514FB" w:rsidP="00144773">
      <w:pPr>
        <w:widowControl/>
        <w:rPr>
          <w:sz w:val="26"/>
          <w:szCs w:val="26"/>
        </w:rPr>
      </w:pPr>
    </w:p>
    <w:p w:rsidR="00F514FB" w:rsidRPr="00F514FB" w:rsidRDefault="00F514FB" w:rsidP="00144773">
      <w:pPr>
        <w:widowControl/>
        <w:rPr>
          <w:sz w:val="26"/>
          <w:szCs w:val="26"/>
        </w:rPr>
      </w:pPr>
    </w:p>
    <w:p w:rsidR="00F514FB" w:rsidRPr="00F514FB" w:rsidRDefault="00F514FB" w:rsidP="00144773">
      <w:pPr>
        <w:widowControl/>
        <w:jc w:val="center"/>
        <w:rPr>
          <w:b/>
          <w:sz w:val="26"/>
          <w:szCs w:val="26"/>
        </w:rPr>
      </w:pPr>
      <w:r w:rsidRPr="00F514FB">
        <w:rPr>
          <w:b/>
          <w:sz w:val="26"/>
          <w:szCs w:val="26"/>
        </w:rPr>
        <w:t>OPINION AND ORDER</w:t>
      </w:r>
    </w:p>
    <w:p w:rsidR="00F514FB" w:rsidRPr="00F514FB" w:rsidRDefault="00F514FB" w:rsidP="00144773">
      <w:pPr>
        <w:widowControl/>
        <w:jc w:val="center"/>
        <w:rPr>
          <w:b/>
          <w:sz w:val="26"/>
          <w:szCs w:val="26"/>
        </w:rPr>
      </w:pPr>
    </w:p>
    <w:p w:rsidR="00F514FB" w:rsidRPr="00F514FB" w:rsidRDefault="00F514FB" w:rsidP="00144773">
      <w:pPr>
        <w:widowControl/>
        <w:jc w:val="center"/>
        <w:rPr>
          <w:b/>
          <w:sz w:val="26"/>
          <w:szCs w:val="26"/>
        </w:rPr>
      </w:pPr>
    </w:p>
    <w:p w:rsidR="00F514FB" w:rsidRPr="00F514FB" w:rsidRDefault="00F514FB" w:rsidP="00144773">
      <w:pPr>
        <w:widowControl/>
        <w:rPr>
          <w:b/>
          <w:sz w:val="26"/>
          <w:szCs w:val="26"/>
        </w:rPr>
      </w:pPr>
      <w:r w:rsidRPr="00F514FB">
        <w:rPr>
          <w:b/>
          <w:sz w:val="26"/>
          <w:szCs w:val="26"/>
        </w:rPr>
        <w:t>BY THE COMMISSION:</w:t>
      </w:r>
    </w:p>
    <w:p w:rsidR="00F514FB" w:rsidRPr="00F514FB" w:rsidRDefault="00F514FB" w:rsidP="00144773">
      <w:pPr>
        <w:widowControl/>
        <w:rPr>
          <w:sz w:val="26"/>
          <w:szCs w:val="26"/>
        </w:rPr>
      </w:pPr>
    </w:p>
    <w:p w:rsidR="00F514FB" w:rsidRPr="00F514FB" w:rsidRDefault="00F514FB" w:rsidP="00144773">
      <w:pPr>
        <w:widowControl/>
        <w:rPr>
          <w:sz w:val="26"/>
          <w:szCs w:val="26"/>
        </w:rPr>
      </w:pPr>
    </w:p>
    <w:p w:rsidR="00EE4C25" w:rsidRDefault="00EE4C25" w:rsidP="00144773">
      <w:pPr>
        <w:widowControl/>
        <w:tabs>
          <w:tab w:val="left" w:pos="1440"/>
        </w:tabs>
        <w:spacing w:line="360" w:lineRule="auto"/>
        <w:ind w:firstLine="720"/>
        <w:rPr>
          <w:sz w:val="26"/>
          <w:szCs w:val="26"/>
        </w:rPr>
      </w:pPr>
      <w:r>
        <w:rPr>
          <w:sz w:val="26"/>
          <w:szCs w:val="26"/>
        </w:rPr>
        <w:tab/>
      </w:r>
      <w:r w:rsidRPr="00EE4C25">
        <w:rPr>
          <w:sz w:val="26"/>
          <w:szCs w:val="26"/>
        </w:rPr>
        <w:t xml:space="preserve">Before the Pennsylvania Public Utility Commission (Commission) for consideration and disposition </w:t>
      </w:r>
      <w:r w:rsidR="009C074C">
        <w:rPr>
          <w:sz w:val="26"/>
          <w:szCs w:val="26"/>
        </w:rPr>
        <w:t xml:space="preserve">is the Petition for Reconsideration </w:t>
      </w:r>
      <w:r w:rsidR="002572AF">
        <w:rPr>
          <w:sz w:val="26"/>
          <w:szCs w:val="26"/>
        </w:rPr>
        <w:t xml:space="preserve">and Clarification </w:t>
      </w:r>
      <w:r w:rsidR="009C074C">
        <w:rPr>
          <w:sz w:val="26"/>
          <w:szCs w:val="26"/>
        </w:rPr>
        <w:t>(Petition)</w:t>
      </w:r>
      <w:r w:rsidRPr="00EE4C25">
        <w:rPr>
          <w:sz w:val="26"/>
          <w:szCs w:val="26"/>
        </w:rPr>
        <w:t xml:space="preserve"> </w:t>
      </w:r>
      <w:r w:rsidR="009C074C" w:rsidRPr="009C074C">
        <w:rPr>
          <w:sz w:val="26"/>
          <w:szCs w:val="26"/>
        </w:rPr>
        <w:t xml:space="preserve">filed by NRG Power Midwest LP, NRG Energy Center Pittsburgh LLC, and Reliant Energy Northeast LLC (collectively, the NRG Companies or NRG) on </w:t>
      </w:r>
      <w:r w:rsidR="009C074C">
        <w:rPr>
          <w:sz w:val="26"/>
          <w:szCs w:val="26"/>
        </w:rPr>
        <w:t>December</w:t>
      </w:r>
      <w:r w:rsidR="002572AF">
        <w:rPr>
          <w:sz w:val="26"/>
          <w:szCs w:val="26"/>
        </w:rPr>
        <w:t> </w:t>
      </w:r>
      <w:r w:rsidR="009C074C">
        <w:rPr>
          <w:sz w:val="26"/>
          <w:szCs w:val="26"/>
        </w:rPr>
        <w:t>1</w:t>
      </w:r>
      <w:r w:rsidR="009C074C" w:rsidRPr="009C074C">
        <w:rPr>
          <w:sz w:val="26"/>
          <w:szCs w:val="26"/>
        </w:rPr>
        <w:t>, 2014</w:t>
      </w:r>
      <w:r w:rsidR="001761E2">
        <w:rPr>
          <w:sz w:val="26"/>
          <w:szCs w:val="26"/>
        </w:rPr>
        <w:t xml:space="preserve">, seeking reconsideration of </w:t>
      </w:r>
      <w:r w:rsidR="001761E2" w:rsidRPr="001761E2">
        <w:rPr>
          <w:sz w:val="26"/>
          <w:szCs w:val="26"/>
        </w:rPr>
        <w:t xml:space="preserve">our Opinion and Order entered on </w:t>
      </w:r>
      <w:r w:rsidR="001761E2">
        <w:rPr>
          <w:sz w:val="26"/>
          <w:szCs w:val="26"/>
        </w:rPr>
        <w:t>November 13, 2014</w:t>
      </w:r>
      <w:r w:rsidR="001761E2" w:rsidRPr="001761E2">
        <w:rPr>
          <w:sz w:val="26"/>
          <w:szCs w:val="26"/>
        </w:rPr>
        <w:t xml:space="preserve"> (</w:t>
      </w:r>
      <w:r w:rsidR="001761E2">
        <w:rPr>
          <w:i/>
          <w:sz w:val="26"/>
          <w:szCs w:val="26"/>
        </w:rPr>
        <w:t>November</w:t>
      </w:r>
      <w:r w:rsidR="001761E2" w:rsidRPr="001761E2">
        <w:rPr>
          <w:i/>
          <w:sz w:val="26"/>
          <w:szCs w:val="26"/>
        </w:rPr>
        <w:t xml:space="preserve"> 2014 Order</w:t>
      </w:r>
      <w:r w:rsidR="001761E2" w:rsidRPr="001761E2">
        <w:rPr>
          <w:sz w:val="26"/>
          <w:szCs w:val="26"/>
        </w:rPr>
        <w:t>),</w:t>
      </w:r>
      <w:r w:rsidR="001761E2">
        <w:rPr>
          <w:sz w:val="26"/>
          <w:szCs w:val="26"/>
        </w:rPr>
        <w:t xml:space="preserve"> in</w:t>
      </w:r>
      <w:r w:rsidR="001761E2" w:rsidRPr="001761E2">
        <w:rPr>
          <w:sz w:val="26"/>
          <w:szCs w:val="26"/>
        </w:rPr>
        <w:t xml:space="preserve"> the above-captioned proceeding</w:t>
      </w:r>
      <w:r w:rsidR="00E420A9">
        <w:rPr>
          <w:sz w:val="26"/>
          <w:szCs w:val="26"/>
        </w:rPr>
        <w:t xml:space="preserve">.  </w:t>
      </w:r>
      <w:r w:rsidR="000437A1" w:rsidRPr="000437A1">
        <w:rPr>
          <w:sz w:val="26"/>
          <w:szCs w:val="26"/>
        </w:rPr>
        <w:t xml:space="preserve">By Order entered December </w:t>
      </w:r>
      <w:r w:rsidR="000437A1">
        <w:rPr>
          <w:sz w:val="26"/>
          <w:szCs w:val="26"/>
        </w:rPr>
        <w:t>4</w:t>
      </w:r>
      <w:r w:rsidR="000437A1" w:rsidRPr="000437A1">
        <w:rPr>
          <w:sz w:val="26"/>
          <w:szCs w:val="26"/>
        </w:rPr>
        <w:t xml:space="preserve">, 2014, we granted the Petition pending further review of, and consideration on, the merits.  </w:t>
      </w:r>
      <w:r w:rsidR="009C074C">
        <w:rPr>
          <w:sz w:val="26"/>
          <w:szCs w:val="26"/>
        </w:rPr>
        <w:t xml:space="preserve">On December 11, 2014, Answers to the Petition were filed </w:t>
      </w:r>
      <w:r w:rsidR="009C074C">
        <w:rPr>
          <w:sz w:val="26"/>
          <w:szCs w:val="26"/>
        </w:rPr>
        <w:lastRenderedPageBreak/>
        <w:t xml:space="preserve">by </w:t>
      </w:r>
      <w:r w:rsidRPr="00EE4C25">
        <w:rPr>
          <w:sz w:val="26"/>
          <w:szCs w:val="26"/>
        </w:rPr>
        <w:t>Duquesne Light Company (Duquesne or the Company) and the Beaver Falls Municipal Authority (BFMA or the Authority).</w:t>
      </w:r>
      <w:r w:rsidR="009C074C">
        <w:rPr>
          <w:sz w:val="26"/>
          <w:szCs w:val="26"/>
        </w:rPr>
        <w:t xml:space="preserve">  </w:t>
      </w:r>
      <w:r w:rsidR="003B0D4D">
        <w:rPr>
          <w:sz w:val="26"/>
          <w:szCs w:val="26"/>
        </w:rPr>
        <w:t xml:space="preserve">For the reasons set forth herein, we </w:t>
      </w:r>
      <w:r w:rsidR="00E420A9">
        <w:rPr>
          <w:sz w:val="26"/>
          <w:szCs w:val="26"/>
        </w:rPr>
        <w:t>shall</w:t>
      </w:r>
      <w:r w:rsidR="009C074C">
        <w:rPr>
          <w:sz w:val="26"/>
          <w:szCs w:val="26"/>
        </w:rPr>
        <w:t xml:space="preserve"> deny the Petition</w:t>
      </w:r>
      <w:r w:rsidR="003B0D4D">
        <w:rPr>
          <w:sz w:val="26"/>
          <w:szCs w:val="26"/>
        </w:rPr>
        <w:t xml:space="preserve"> filed by NRG.</w:t>
      </w:r>
      <w:r w:rsidRPr="00EE4C25">
        <w:rPr>
          <w:sz w:val="26"/>
          <w:szCs w:val="26"/>
        </w:rPr>
        <w:t xml:space="preserve"> </w:t>
      </w:r>
    </w:p>
    <w:p w:rsidR="00EE4C25" w:rsidRPr="00EE4C25" w:rsidRDefault="00EE4C25" w:rsidP="00144773">
      <w:pPr>
        <w:widowControl/>
        <w:spacing w:line="360" w:lineRule="auto"/>
        <w:rPr>
          <w:sz w:val="26"/>
          <w:szCs w:val="26"/>
        </w:rPr>
      </w:pPr>
    </w:p>
    <w:p w:rsidR="00EE4C25" w:rsidRPr="00B910EF" w:rsidRDefault="00EE4C25" w:rsidP="00144773">
      <w:pPr>
        <w:widowControl/>
        <w:spacing w:line="360" w:lineRule="auto"/>
        <w:jc w:val="center"/>
        <w:rPr>
          <w:b/>
          <w:sz w:val="26"/>
          <w:szCs w:val="26"/>
        </w:rPr>
      </w:pPr>
      <w:r w:rsidRPr="00B910EF">
        <w:rPr>
          <w:b/>
          <w:sz w:val="26"/>
          <w:szCs w:val="26"/>
        </w:rPr>
        <w:t>History of the Proceeding</w:t>
      </w:r>
    </w:p>
    <w:p w:rsidR="00EE4C25" w:rsidRPr="00EE4C25" w:rsidRDefault="00EE4C25" w:rsidP="00144773">
      <w:pPr>
        <w:widowControl/>
        <w:spacing w:line="360" w:lineRule="auto"/>
        <w:rPr>
          <w:sz w:val="26"/>
          <w:szCs w:val="26"/>
        </w:rPr>
      </w:pPr>
    </w:p>
    <w:p w:rsidR="00EE4C25" w:rsidRPr="00EE4C25" w:rsidRDefault="00EE4C25" w:rsidP="00144773">
      <w:pPr>
        <w:widowControl/>
        <w:spacing w:line="360" w:lineRule="auto"/>
        <w:rPr>
          <w:sz w:val="26"/>
          <w:szCs w:val="26"/>
        </w:rPr>
      </w:pPr>
      <w:r w:rsidRPr="00EE4C25">
        <w:rPr>
          <w:sz w:val="26"/>
          <w:szCs w:val="26"/>
        </w:rPr>
        <w:tab/>
      </w:r>
      <w:r w:rsidRPr="00EE4C25">
        <w:rPr>
          <w:sz w:val="26"/>
          <w:szCs w:val="26"/>
        </w:rPr>
        <w:tab/>
        <w:t>On August 2, 2013, Duquesne filed Supplement No. 81 to Tariff Electric – Pa. P.U.C. No. 24 (Supplement No. 81) to become effective October 1, 2013.  Duquesne proposed a general increase in electric distribution rates to produce additional annual operating revenues of approximately $76.3 million, or an overall increase of 17.6% in annual distribution revenues</w:t>
      </w:r>
      <w:r w:rsidR="008778CF">
        <w:rPr>
          <w:sz w:val="26"/>
          <w:szCs w:val="26"/>
        </w:rPr>
        <w:t xml:space="preserve">.  </w:t>
      </w:r>
      <w:r w:rsidRPr="00EE4C25">
        <w:rPr>
          <w:sz w:val="26"/>
          <w:szCs w:val="26"/>
        </w:rPr>
        <w:t xml:space="preserve">By Order entered September 26, 2013, the </w:t>
      </w:r>
      <w:r w:rsidR="009F58AD">
        <w:rPr>
          <w:sz w:val="26"/>
          <w:szCs w:val="26"/>
        </w:rPr>
        <w:t xml:space="preserve">Commission suspended the </w:t>
      </w:r>
      <w:r w:rsidRPr="00EE4C25">
        <w:rPr>
          <w:sz w:val="26"/>
          <w:szCs w:val="26"/>
        </w:rPr>
        <w:t xml:space="preserve">effective date of Supplement No. 81 </w:t>
      </w:r>
      <w:r w:rsidR="009F58AD">
        <w:rPr>
          <w:sz w:val="26"/>
          <w:szCs w:val="26"/>
        </w:rPr>
        <w:t>by operation of law for six months</w:t>
      </w:r>
      <w:r w:rsidR="00E420A9">
        <w:rPr>
          <w:sz w:val="26"/>
          <w:szCs w:val="26"/>
        </w:rPr>
        <w:t xml:space="preserve"> </w:t>
      </w:r>
      <w:r w:rsidRPr="00EE4C25">
        <w:rPr>
          <w:sz w:val="26"/>
          <w:szCs w:val="26"/>
        </w:rPr>
        <w:t>or until May 1, 2014, and instituted an investigation into the lawfulness, justness</w:t>
      </w:r>
      <w:r w:rsidR="006C3F61">
        <w:rPr>
          <w:sz w:val="26"/>
          <w:szCs w:val="26"/>
        </w:rPr>
        <w:t>,</w:t>
      </w:r>
      <w:r w:rsidRPr="00EE4C25">
        <w:rPr>
          <w:sz w:val="26"/>
          <w:szCs w:val="26"/>
        </w:rPr>
        <w:t xml:space="preserve"> and reasonableness of the Company’s proposed and existing rates, rules and regulations.  </w:t>
      </w:r>
    </w:p>
    <w:p w:rsidR="00EE4C25" w:rsidRPr="00EE4C25" w:rsidRDefault="00EE4C25" w:rsidP="00144773">
      <w:pPr>
        <w:widowControl/>
        <w:spacing w:line="360" w:lineRule="auto"/>
        <w:rPr>
          <w:sz w:val="26"/>
          <w:szCs w:val="26"/>
        </w:rPr>
      </w:pPr>
    </w:p>
    <w:p w:rsidR="00EE4C25" w:rsidRPr="00EE4C25" w:rsidRDefault="00B910EF" w:rsidP="00144773">
      <w:pPr>
        <w:widowControl/>
        <w:tabs>
          <w:tab w:val="left" w:pos="1440"/>
        </w:tabs>
        <w:spacing w:line="360" w:lineRule="auto"/>
        <w:rPr>
          <w:sz w:val="26"/>
          <w:szCs w:val="26"/>
        </w:rPr>
      </w:pPr>
      <w:r>
        <w:rPr>
          <w:sz w:val="26"/>
          <w:szCs w:val="26"/>
        </w:rPr>
        <w:tab/>
      </w:r>
      <w:r w:rsidR="00EE4C25" w:rsidRPr="00EE4C25">
        <w:rPr>
          <w:sz w:val="26"/>
          <w:szCs w:val="26"/>
        </w:rPr>
        <w:t>On October 28, 2013, NRG filed a Formal Complaint</w:t>
      </w:r>
      <w:r w:rsidR="003B0D4D">
        <w:rPr>
          <w:sz w:val="26"/>
          <w:szCs w:val="26"/>
        </w:rPr>
        <w:t xml:space="preserve"> (Complaint)</w:t>
      </w:r>
      <w:r w:rsidR="00EE4C25" w:rsidRPr="00EE4C25">
        <w:rPr>
          <w:sz w:val="26"/>
          <w:szCs w:val="26"/>
        </w:rPr>
        <w:t xml:space="preserve">.  In the Complaint, NRG alleged, </w:t>
      </w:r>
      <w:r w:rsidR="00EE4C25" w:rsidRPr="00410855">
        <w:rPr>
          <w:i/>
          <w:sz w:val="26"/>
          <w:szCs w:val="26"/>
        </w:rPr>
        <w:t>inter alia</w:t>
      </w:r>
      <w:r w:rsidR="00EE4C25" w:rsidRPr="00EE4C25">
        <w:rPr>
          <w:sz w:val="26"/>
          <w:szCs w:val="26"/>
        </w:rPr>
        <w:t xml:space="preserve">, that Duquesne’s Rider No. 18 – Rate for Purchase of Electric Energy from Customer-Owned Renewable Resources Generating Facilities (Rider No. 18), may be discriminatory </w:t>
      </w:r>
      <w:r w:rsidR="008778CF">
        <w:rPr>
          <w:sz w:val="26"/>
          <w:szCs w:val="26"/>
        </w:rPr>
        <w:t xml:space="preserve">under state law </w:t>
      </w:r>
      <w:r w:rsidR="00EE4C25" w:rsidRPr="00EE4C25">
        <w:rPr>
          <w:sz w:val="26"/>
          <w:szCs w:val="26"/>
        </w:rPr>
        <w:t xml:space="preserve">and requested that the Commission investigate this particular tariff provision to ensure that the terms, conditions, and electric energy purchase price continue to be just, reasonable, and non-discriminatory.  NRG Complaint at ¶ 11.  </w:t>
      </w:r>
      <w:r w:rsidR="002439D4">
        <w:rPr>
          <w:sz w:val="26"/>
          <w:szCs w:val="26"/>
        </w:rPr>
        <w:t>I</w:t>
      </w:r>
      <w:r w:rsidR="00EE4C25" w:rsidRPr="00EE4C25">
        <w:rPr>
          <w:sz w:val="26"/>
          <w:szCs w:val="26"/>
        </w:rPr>
        <w:t xml:space="preserve">n </w:t>
      </w:r>
      <w:r w:rsidR="002439D4">
        <w:rPr>
          <w:sz w:val="26"/>
          <w:szCs w:val="26"/>
        </w:rPr>
        <w:t xml:space="preserve">direct </w:t>
      </w:r>
      <w:r w:rsidR="00EE4C25" w:rsidRPr="00EE4C25">
        <w:rPr>
          <w:sz w:val="26"/>
          <w:szCs w:val="26"/>
        </w:rPr>
        <w:t xml:space="preserve">testimony, </w:t>
      </w:r>
      <w:r w:rsidR="002439D4">
        <w:rPr>
          <w:sz w:val="26"/>
          <w:szCs w:val="26"/>
        </w:rPr>
        <w:t xml:space="preserve">NRG averred that the current tariffed price of $0.06/kWh was </w:t>
      </w:r>
      <w:r w:rsidR="006840C0">
        <w:rPr>
          <w:sz w:val="26"/>
          <w:szCs w:val="26"/>
        </w:rPr>
        <w:t xml:space="preserve">stagnant and outdated in light of today’s regulatory scheme in Pennsylvania and </w:t>
      </w:r>
      <w:r w:rsidR="002439D4">
        <w:rPr>
          <w:sz w:val="26"/>
          <w:szCs w:val="26"/>
        </w:rPr>
        <w:t xml:space="preserve">may </w:t>
      </w:r>
      <w:r w:rsidR="006840C0">
        <w:rPr>
          <w:sz w:val="26"/>
          <w:szCs w:val="26"/>
        </w:rPr>
        <w:t xml:space="preserve">be discriminatory under </w:t>
      </w:r>
      <w:r w:rsidR="002439D4">
        <w:rPr>
          <w:sz w:val="26"/>
          <w:szCs w:val="26"/>
        </w:rPr>
        <w:t xml:space="preserve">Section 1304 of the </w:t>
      </w:r>
      <w:r w:rsidR="002D0733">
        <w:rPr>
          <w:sz w:val="26"/>
          <w:szCs w:val="26"/>
        </w:rPr>
        <w:t xml:space="preserve">Public Utility </w:t>
      </w:r>
      <w:r w:rsidR="003B0D4D">
        <w:rPr>
          <w:sz w:val="26"/>
          <w:szCs w:val="26"/>
        </w:rPr>
        <w:t>Code</w:t>
      </w:r>
      <w:r w:rsidR="002D0733">
        <w:rPr>
          <w:sz w:val="26"/>
          <w:szCs w:val="26"/>
        </w:rPr>
        <w:t xml:space="preserve"> (Code)</w:t>
      </w:r>
      <w:r w:rsidR="003B0D4D">
        <w:rPr>
          <w:sz w:val="26"/>
          <w:szCs w:val="26"/>
        </w:rPr>
        <w:t>, 66 Pa. C.S. §</w:t>
      </w:r>
      <w:r w:rsidR="00E420A9">
        <w:rPr>
          <w:sz w:val="26"/>
          <w:szCs w:val="26"/>
        </w:rPr>
        <w:t> </w:t>
      </w:r>
      <w:r w:rsidR="003B0D4D">
        <w:rPr>
          <w:sz w:val="26"/>
          <w:szCs w:val="26"/>
        </w:rPr>
        <w:t>1304</w:t>
      </w:r>
      <w:r w:rsidR="006840C0">
        <w:rPr>
          <w:sz w:val="26"/>
          <w:szCs w:val="26"/>
        </w:rPr>
        <w:t xml:space="preserve">. NRG requested that as part of the </w:t>
      </w:r>
      <w:r w:rsidR="002439D4">
        <w:rPr>
          <w:sz w:val="26"/>
          <w:szCs w:val="26"/>
        </w:rPr>
        <w:t xml:space="preserve">base rate case Duquesne be required to revise Rider No. 18 to reflect a new purchase price for the affected contracts based on the locational marginal price in the Duquesne Zone.  </w:t>
      </w:r>
      <w:r w:rsidR="006840C0" w:rsidRPr="006840C0">
        <w:rPr>
          <w:sz w:val="26"/>
          <w:szCs w:val="26"/>
        </w:rPr>
        <w:t>NRG Midwest St. 1 at 4-5</w:t>
      </w:r>
      <w:r w:rsidR="006840C0">
        <w:rPr>
          <w:sz w:val="26"/>
          <w:szCs w:val="26"/>
        </w:rPr>
        <w:t>,</w:t>
      </w:r>
      <w:r w:rsidR="002439D4">
        <w:rPr>
          <w:i/>
          <w:sz w:val="26"/>
          <w:szCs w:val="26"/>
        </w:rPr>
        <w:t xml:space="preserve"> </w:t>
      </w:r>
      <w:r w:rsidR="002439D4">
        <w:rPr>
          <w:sz w:val="26"/>
          <w:szCs w:val="26"/>
        </w:rPr>
        <w:t>7.  I</w:t>
      </w:r>
      <w:r w:rsidR="00EE4C25" w:rsidRPr="00EE4C25">
        <w:rPr>
          <w:sz w:val="26"/>
          <w:szCs w:val="26"/>
        </w:rPr>
        <w:t xml:space="preserve">n surrebuttal testimony, NRG </w:t>
      </w:r>
      <w:r w:rsidR="004C7E7F">
        <w:rPr>
          <w:sz w:val="26"/>
          <w:szCs w:val="26"/>
        </w:rPr>
        <w:t>requ</w:t>
      </w:r>
      <w:r w:rsidR="00EE4C25" w:rsidRPr="00EE4C25">
        <w:rPr>
          <w:sz w:val="26"/>
          <w:szCs w:val="26"/>
        </w:rPr>
        <w:t xml:space="preserve">ested that </w:t>
      </w:r>
      <w:r w:rsidR="006840C0">
        <w:rPr>
          <w:sz w:val="26"/>
          <w:szCs w:val="26"/>
        </w:rPr>
        <w:t>we eith</w:t>
      </w:r>
      <w:r w:rsidR="00EE4C25" w:rsidRPr="00EE4C25">
        <w:rPr>
          <w:sz w:val="26"/>
          <w:szCs w:val="26"/>
        </w:rPr>
        <w:t xml:space="preserve">er </w:t>
      </w:r>
      <w:r w:rsidR="00F1521D">
        <w:rPr>
          <w:sz w:val="26"/>
          <w:szCs w:val="26"/>
        </w:rPr>
        <w:t>revise</w:t>
      </w:r>
      <w:r w:rsidR="00EE4C25" w:rsidRPr="00EE4C25">
        <w:rPr>
          <w:sz w:val="26"/>
          <w:szCs w:val="26"/>
        </w:rPr>
        <w:t xml:space="preserve"> the wholesale </w:t>
      </w:r>
      <w:r w:rsidR="004C7E7F">
        <w:rPr>
          <w:sz w:val="26"/>
          <w:szCs w:val="26"/>
        </w:rPr>
        <w:t xml:space="preserve">purchase </w:t>
      </w:r>
      <w:r w:rsidR="004C7E7F">
        <w:rPr>
          <w:sz w:val="26"/>
          <w:szCs w:val="26"/>
        </w:rPr>
        <w:lastRenderedPageBreak/>
        <w:t xml:space="preserve">power price </w:t>
      </w:r>
      <w:r w:rsidR="00EE4C25" w:rsidRPr="00EE4C25">
        <w:rPr>
          <w:sz w:val="26"/>
          <w:szCs w:val="26"/>
        </w:rPr>
        <w:t xml:space="preserve">in Rider No. 18 or eliminate Rider No. 18 entirely.  NRG Midwest St. 1-S at 6, </w:t>
      </w:r>
      <w:r w:rsidR="004C7E7F">
        <w:rPr>
          <w:sz w:val="26"/>
          <w:szCs w:val="26"/>
        </w:rPr>
        <w:t xml:space="preserve">8, </w:t>
      </w:r>
      <w:r w:rsidR="00EE4C25" w:rsidRPr="00EE4C25">
        <w:rPr>
          <w:sz w:val="26"/>
          <w:szCs w:val="26"/>
        </w:rPr>
        <w:t>9, 12.</w:t>
      </w:r>
    </w:p>
    <w:p w:rsidR="00EE4C25" w:rsidRPr="00EE4C25" w:rsidRDefault="00EE4C25" w:rsidP="00144773">
      <w:pPr>
        <w:widowControl/>
        <w:spacing w:line="360" w:lineRule="auto"/>
        <w:rPr>
          <w:sz w:val="26"/>
          <w:szCs w:val="26"/>
        </w:rPr>
      </w:pPr>
    </w:p>
    <w:p w:rsidR="00EE4C25" w:rsidRPr="00EE4C25" w:rsidRDefault="00EE4C25" w:rsidP="00144773">
      <w:pPr>
        <w:widowControl/>
        <w:spacing w:line="360" w:lineRule="auto"/>
        <w:rPr>
          <w:sz w:val="26"/>
          <w:szCs w:val="26"/>
        </w:rPr>
      </w:pPr>
      <w:r w:rsidRPr="00EE4C25">
        <w:rPr>
          <w:sz w:val="26"/>
          <w:szCs w:val="26"/>
        </w:rPr>
        <w:tab/>
      </w:r>
      <w:r w:rsidRPr="00EE4C25">
        <w:rPr>
          <w:sz w:val="26"/>
          <w:szCs w:val="26"/>
        </w:rPr>
        <w:tab/>
        <w:t>On November 12, 2013, Duquesne filed an Answer to NRG’</w:t>
      </w:r>
      <w:r w:rsidR="00304BCB">
        <w:rPr>
          <w:sz w:val="26"/>
          <w:szCs w:val="26"/>
        </w:rPr>
        <w:t>s</w:t>
      </w:r>
      <w:r w:rsidRPr="00EE4C25">
        <w:rPr>
          <w:sz w:val="26"/>
          <w:szCs w:val="26"/>
        </w:rPr>
        <w:t xml:space="preserve"> Complaint </w:t>
      </w:r>
      <w:r w:rsidR="00304BCB">
        <w:rPr>
          <w:sz w:val="26"/>
          <w:szCs w:val="26"/>
        </w:rPr>
        <w:t>and</w:t>
      </w:r>
      <w:r w:rsidRPr="00EE4C25">
        <w:rPr>
          <w:sz w:val="26"/>
          <w:szCs w:val="26"/>
        </w:rPr>
        <w:t xml:space="preserve"> Preliminary Objections </w:t>
      </w:r>
      <w:r w:rsidR="008778CF">
        <w:rPr>
          <w:sz w:val="26"/>
          <w:szCs w:val="26"/>
        </w:rPr>
        <w:t>claiming that</w:t>
      </w:r>
      <w:r w:rsidRPr="00EE4C25">
        <w:rPr>
          <w:sz w:val="26"/>
          <w:szCs w:val="26"/>
        </w:rPr>
        <w:t xml:space="preserve">:  (1) the Complaint is beyond the scope of the instant base rate proceeding; (2) NRG failed to join </w:t>
      </w:r>
      <w:r w:rsidR="00304BCB">
        <w:rPr>
          <w:sz w:val="26"/>
          <w:szCs w:val="26"/>
        </w:rPr>
        <w:t>parties</w:t>
      </w:r>
      <w:r w:rsidRPr="00EE4C25">
        <w:rPr>
          <w:sz w:val="26"/>
          <w:szCs w:val="26"/>
        </w:rPr>
        <w:t xml:space="preserve"> indispensable to the claims regarding the </w:t>
      </w:r>
      <w:r w:rsidR="003B0D4D">
        <w:rPr>
          <w:sz w:val="26"/>
          <w:szCs w:val="26"/>
        </w:rPr>
        <w:t>Public Utility Regulatory Policies Act of 1978 (</w:t>
      </w:r>
      <w:r w:rsidRPr="00EE4C25">
        <w:rPr>
          <w:sz w:val="26"/>
          <w:szCs w:val="26"/>
        </w:rPr>
        <w:t>PURPA</w:t>
      </w:r>
      <w:r w:rsidR="003B0D4D">
        <w:rPr>
          <w:sz w:val="26"/>
          <w:szCs w:val="26"/>
        </w:rPr>
        <w:t>), 16 U.S.C. §824a-3 (as amended),</w:t>
      </w:r>
      <w:r w:rsidRPr="00EE4C25">
        <w:rPr>
          <w:sz w:val="26"/>
          <w:szCs w:val="26"/>
        </w:rPr>
        <w:t xml:space="preserve"> rates paid under Rider No. 18; and (3) the relief NRG requested is beyond the Commission’s jurisdiction.  On November 22, 2013, NRG filed an Answer to Duquesne’s Preliminary Objections.  </w:t>
      </w:r>
      <w:r w:rsidR="008C6601">
        <w:rPr>
          <w:sz w:val="26"/>
          <w:szCs w:val="26"/>
        </w:rPr>
        <w:t>The presiding Administrative Law Judge (</w:t>
      </w:r>
      <w:r w:rsidRPr="00EE4C25">
        <w:rPr>
          <w:sz w:val="26"/>
          <w:szCs w:val="26"/>
        </w:rPr>
        <w:t>ALJ</w:t>
      </w:r>
      <w:r w:rsidR="008C6601">
        <w:rPr>
          <w:sz w:val="26"/>
          <w:szCs w:val="26"/>
        </w:rPr>
        <w:t>)</w:t>
      </w:r>
      <w:r w:rsidRPr="00EE4C25">
        <w:rPr>
          <w:sz w:val="26"/>
          <w:szCs w:val="26"/>
        </w:rPr>
        <w:t xml:space="preserve"> </w:t>
      </w:r>
      <w:r w:rsidR="008C6601">
        <w:rPr>
          <w:sz w:val="26"/>
          <w:szCs w:val="26"/>
        </w:rPr>
        <w:t xml:space="preserve">assigned to this proceeding </w:t>
      </w:r>
      <w:r w:rsidRPr="00EE4C25">
        <w:rPr>
          <w:sz w:val="26"/>
          <w:szCs w:val="26"/>
        </w:rPr>
        <w:t xml:space="preserve">denied </w:t>
      </w:r>
      <w:r w:rsidR="00A75DD8">
        <w:rPr>
          <w:sz w:val="26"/>
          <w:szCs w:val="26"/>
        </w:rPr>
        <w:t>NRG</w:t>
      </w:r>
      <w:r w:rsidRPr="00EE4C25">
        <w:rPr>
          <w:sz w:val="26"/>
          <w:szCs w:val="26"/>
        </w:rPr>
        <w:t>’</w:t>
      </w:r>
      <w:r w:rsidR="00304BCB">
        <w:rPr>
          <w:sz w:val="26"/>
          <w:szCs w:val="26"/>
        </w:rPr>
        <w:t>s</w:t>
      </w:r>
      <w:r w:rsidRPr="00EE4C25">
        <w:rPr>
          <w:sz w:val="26"/>
          <w:szCs w:val="26"/>
        </w:rPr>
        <w:t xml:space="preserve"> Preliminary Objections by Interim Order dated December 2, 2013.</w:t>
      </w:r>
    </w:p>
    <w:p w:rsidR="00EE4C25" w:rsidRPr="00EE4C25" w:rsidRDefault="00EE4C25" w:rsidP="00144773">
      <w:pPr>
        <w:widowControl/>
        <w:spacing w:line="360" w:lineRule="auto"/>
        <w:rPr>
          <w:sz w:val="26"/>
          <w:szCs w:val="26"/>
        </w:rPr>
      </w:pPr>
    </w:p>
    <w:p w:rsidR="00EE4C25" w:rsidRPr="00EE4C25" w:rsidRDefault="00EE4C25" w:rsidP="00144773">
      <w:pPr>
        <w:widowControl/>
        <w:spacing w:line="360" w:lineRule="auto"/>
        <w:rPr>
          <w:sz w:val="26"/>
          <w:szCs w:val="26"/>
        </w:rPr>
      </w:pPr>
      <w:r w:rsidRPr="00EE4C25">
        <w:rPr>
          <w:sz w:val="26"/>
          <w:szCs w:val="26"/>
        </w:rPr>
        <w:tab/>
      </w:r>
      <w:r w:rsidRPr="00EE4C25">
        <w:rPr>
          <w:sz w:val="26"/>
          <w:szCs w:val="26"/>
        </w:rPr>
        <w:tab/>
      </w:r>
      <w:r w:rsidR="00FE4D93">
        <w:rPr>
          <w:sz w:val="26"/>
          <w:szCs w:val="26"/>
        </w:rPr>
        <w:t>O</w:t>
      </w:r>
      <w:r w:rsidRPr="00EE4C25">
        <w:rPr>
          <w:sz w:val="26"/>
          <w:szCs w:val="26"/>
        </w:rPr>
        <w:t>n December 13, 2013, Duquesne filed a Petition for Interlocutory Review and Answer to Material Questions (</w:t>
      </w:r>
      <w:r w:rsidR="00A75DD8">
        <w:rPr>
          <w:sz w:val="26"/>
          <w:szCs w:val="26"/>
        </w:rPr>
        <w:t xml:space="preserve">Material Question </w:t>
      </w:r>
      <w:r w:rsidRPr="00EE4C25">
        <w:rPr>
          <w:sz w:val="26"/>
          <w:szCs w:val="26"/>
        </w:rPr>
        <w:t>Petition) pertaining to issues associated with NRG’</w:t>
      </w:r>
      <w:r w:rsidR="00304BCB">
        <w:rPr>
          <w:sz w:val="26"/>
          <w:szCs w:val="26"/>
        </w:rPr>
        <w:t>s</w:t>
      </w:r>
      <w:r w:rsidRPr="00EE4C25">
        <w:rPr>
          <w:sz w:val="26"/>
          <w:szCs w:val="26"/>
        </w:rPr>
        <w:t xml:space="preserve"> Complaint.  In </w:t>
      </w:r>
      <w:r w:rsidR="00A75DD8">
        <w:rPr>
          <w:sz w:val="26"/>
          <w:szCs w:val="26"/>
        </w:rPr>
        <w:t>that p</w:t>
      </w:r>
      <w:r w:rsidRPr="00EE4C25">
        <w:rPr>
          <w:sz w:val="26"/>
          <w:szCs w:val="26"/>
        </w:rPr>
        <w:t>etition, Duquesne sought interlocutory Commission review and answer to the following Material Questions:</w:t>
      </w:r>
    </w:p>
    <w:p w:rsidR="00EE4C25" w:rsidRPr="00EE4C25" w:rsidRDefault="00EE4C25" w:rsidP="00144773">
      <w:pPr>
        <w:widowControl/>
        <w:spacing w:line="360" w:lineRule="auto"/>
        <w:rPr>
          <w:sz w:val="26"/>
          <w:szCs w:val="26"/>
        </w:rPr>
      </w:pPr>
    </w:p>
    <w:p w:rsidR="00EE4C25" w:rsidRDefault="00EE4C25" w:rsidP="00144773">
      <w:pPr>
        <w:widowControl/>
        <w:ind w:left="1440" w:right="1440"/>
        <w:rPr>
          <w:sz w:val="26"/>
          <w:szCs w:val="26"/>
        </w:rPr>
      </w:pPr>
      <w:r w:rsidRPr="00EE4C25">
        <w:rPr>
          <w:sz w:val="26"/>
          <w:szCs w:val="26"/>
        </w:rPr>
        <w:t>(1)  Whether NRG’</w:t>
      </w:r>
      <w:r w:rsidR="00FE4D93">
        <w:rPr>
          <w:sz w:val="26"/>
          <w:szCs w:val="26"/>
        </w:rPr>
        <w:t>s</w:t>
      </w:r>
      <w:r w:rsidRPr="00EE4C25">
        <w:rPr>
          <w:sz w:val="26"/>
          <w:szCs w:val="26"/>
        </w:rPr>
        <w:t xml:space="preserve"> Complaint must be dismissed for failure to join the affected </w:t>
      </w:r>
      <w:r w:rsidR="003B0D4D">
        <w:rPr>
          <w:sz w:val="26"/>
          <w:szCs w:val="26"/>
        </w:rPr>
        <w:t>[Qualifying Facilities (</w:t>
      </w:r>
      <w:r w:rsidRPr="00EE4C25">
        <w:rPr>
          <w:sz w:val="26"/>
          <w:szCs w:val="26"/>
        </w:rPr>
        <w:t>QFs</w:t>
      </w:r>
      <w:r w:rsidR="003B0D4D">
        <w:rPr>
          <w:sz w:val="26"/>
          <w:szCs w:val="26"/>
        </w:rPr>
        <w:t>)]</w:t>
      </w:r>
      <w:r w:rsidR="002F185B">
        <w:rPr>
          <w:rStyle w:val="FootnoteReference"/>
          <w:sz w:val="26"/>
          <w:szCs w:val="26"/>
        </w:rPr>
        <w:footnoteReference w:id="1"/>
      </w:r>
      <w:r w:rsidRPr="00EE4C25">
        <w:rPr>
          <w:sz w:val="26"/>
          <w:szCs w:val="26"/>
        </w:rPr>
        <w:t xml:space="preserve"> as necessary and indispensable </w:t>
      </w:r>
      <w:r w:rsidR="00304BCB">
        <w:rPr>
          <w:sz w:val="26"/>
          <w:szCs w:val="26"/>
        </w:rPr>
        <w:t>parties</w:t>
      </w:r>
      <w:r w:rsidRPr="00EE4C25">
        <w:rPr>
          <w:sz w:val="26"/>
          <w:szCs w:val="26"/>
        </w:rPr>
        <w:t xml:space="preserve">; and </w:t>
      </w:r>
    </w:p>
    <w:p w:rsidR="00B910EF" w:rsidRPr="00EE4C25" w:rsidRDefault="00B910EF" w:rsidP="00144773">
      <w:pPr>
        <w:widowControl/>
        <w:ind w:left="1440" w:right="1440"/>
        <w:rPr>
          <w:sz w:val="26"/>
          <w:szCs w:val="26"/>
        </w:rPr>
      </w:pPr>
    </w:p>
    <w:p w:rsidR="00EE4C25" w:rsidRPr="00EE4C25" w:rsidRDefault="00EE4C25" w:rsidP="00144773">
      <w:pPr>
        <w:widowControl/>
        <w:ind w:left="1440" w:right="1440"/>
        <w:rPr>
          <w:sz w:val="26"/>
          <w:szCs w:val="26"/>
        </w:rPr>
      </w:pPr>
      <w:r w:rsidRPr="00EE4C25">
        <w:rPr>
          <w:sz w:val="26"/>
          <w:szCs w:val="26"/>
        </w:rPr>
        <w:t xml:space="preserve">(2)  Whether the PUC lacks authority to change the wholesale PURPA rate set forth in Rider No. 18? </w:t>
      </w:r>
    </w:p>
    <w:p w:rsidR="00EE4C25" w:rsidRPr="00EE4C25" w:rsidRDefault="00EE4C25" w:rsidP="00144773">
      <w:pPr>
        <w:widowControl/>
        <w:spacing w:line="360" w:lineRule="auto"/>
        <w:rPr>
          <w:sz w:val="26"/>
          <w:szCs w:val="26"/>
        </w:rPr>
      </w:pPr>
    </w:p>
    <w:p w:rsidR="00FE4D93" w:rsidRPr="00FE4D93" w:rsidRDefault="00EE4C25" w:rsidP="00144773">
      <w:pPr>
        <w:widowControl/>
        <w:spacing w:line="360" w:lineRule="auto"/>
        <w:rPr>
          <w:sz w:val="26"/>
          <w:szCs w:val="26"/>
        </w:rPr>
      </w:pPr>
      <w:r w:rsidRPr="00EE4C25">
        <w:rPr>
          <w:sz w:val="26"/>
          <w:szCs w:val="26"/>
        </w:rPr>
        <w:t xml:space="preserve">Duquesne requested that the Commission answer the Material Questions in the affirmative.  </w:t>
      </w:r>
      <w:r w:rsidR="00A75DD8">
        <w:rPr>
          <w:sz w:val="26"/>
          <w:szCs w:val="26"/>
        </w:rPr>
        <w:t xml:space="preserve">Material Question </w:t>
      </w:r>
      <w:r w:rsidRPr="00EE4C25">
        <w:rPr>
          <w:sz w:val="26"/>
          <w:szCs w:val="26"/>
        </w:rPr>
        <w:t>Petition at 2.</w:t>
      </w:r>
      <w:r w:rsidR="00FE4D93">
        <w:rPr>
          <w:sz w:val="26"/>
          <w:szCs w:val="26"/>
        </w:rPr>
        <w:t xml:space="preserve">  </w:t>
      </w:r>
      <w:r w:rsidR="00FE4D93" w:rsidRPr="00FE4D93">
        <w:rPr>
          <w:sz w:val="26"/>
          <w:szCs w:val="26"/>
        </w:rPr>
        <w:t>Also on December 13, 2013, Duquesne filed a Motion to Sever the Rider No. 18 portion of NRG’</w:t>
      </w:r>
      <w:r w:rsidR="00304BCB">
        <w:rPr>
          <w:sz w:val="26"/>
          <w:szCs w:val="26"/>
        </w:rPr>
        <w:t>s</w:t>
      </w:r>
      <w:r w:rsidR="00FE4D93" w:rsidRPr="00FE4D93">
        <w:rPr>
          <w:sz w:val="26"/>
          <w:szCs w:val="26"/>
        </w:rPr>
        <w:t xml:space="preserve"> Complaint from th</w:t>
      </w:r>
      <w:r w:rsidR="003B0D4D">
        <w:rPr>
          <w:sz w:val="26"/>
          <w:szCs w:val="26"/>
        </w:rPr>
        <w:t>e</w:t>
      </w:r>
      <w:r w:rsidR="00FE4D93" w:rsidRPr="00FE4D93">
        <w:rPr>
          <w:sz w:val="26"/>
          <w:szCs w:val="26"/>
        </w:rPr>
        <w:t xml:space="preserve"> base rate proceeding.  </w:t>
      </w:r>
    </w:p>
    <w:p w:rsidR="00EE4C25" w:rsidRPr="00EE4C25" w:rsidRDefault="00EE4C25" w:rsidP="00144773">
      <w:pPr>
        <w:widowControl/>
        <w:tabs>
          <w:tab w:val="left" w:pos="1440"/>
        </w:tabs>
        <w:spacing w:line="360" w:lineRule="auto"/>
        <w:rPr>
          <w:sz w:val="26"/>
          <w:szCs w:val="26"/>
        </w:rPr>
      </w:pPr>
    </w:p>
    <w:p w:rsidR="00EE4C25" w:rsidRDefault="00EE4C25" w:rsidP="00144773">
      <w:pPr>
        <w:widowControl/>
        <w:spacing w:line="360" w:lineRule="auto"/>
        <w:rPr>
          <w:sz w:val="26"/>
          <w:szCs w:val="26"/>
        </w:rPr>
      </w:pPr>
      <w:r w:rsidRPr="00EE4C25">
        <w:rPr>
          <w:sz w:val="26"/>
          <w:szCs w:val="26"/>
        </w:rPr>
        <w:lastRenderedPageBreak/>
        <w:tab/>
      </w:r>
      <w:r w:rsidRPr="00EE4C25">
        <w:rPr>
          <w:sz w:val="26"/>
          <w:szCs w:val="26"/>
        </w:rPr>
        <w:tab/>
      </w:r>
      <w:r w:rsidR="00FE4D93" w:rsidRPr="00FE4D93">
        <w:rPr>
          <w:sz w:val="26"/>
          <w:szCs w:val="26"/>
        </w:rPr>
        <w:t xml:space="preserve">The ALJ denied the Motion to Sever on the second day of hearings, December 17, 2013. </w:t>
      </w:r>
      <w:r w:rsidR="008778CF">
        <w:rPr>
          <w:sz w:val="26"/>
          <w:szCs w:val="26"/>
        </w:rPr>
        <w:t xml:space="preserve"> </w:t>
      </w:r>
      <w:r w:rsidRPr="00EE4C25">
        <w:rPr>
          <w:sz w:val="26"/>
          <w:szCs w:val="26"/>
        </w:rPr>
        <w:t>Evidentiary hearings were held before the ALJ on December 16, 17, and 20, 2013</w:t>
      </w:r>
      <w:r w:rsidR="008778CF">
        <w:rPr>
          <w:sz w:val="26"/>
          <w:szCs w:val="26"/>
        </w:rPr>
        <w:t>, at which the parties’ testimonies and exhibits were admitted into evidence</w:t>
      </w:r>
      <w:r w:rsidRPr="00EE4C25">
        <w:rPr>
          <w:sz w:val="26"/>
          <w:szCs w:val="26"/>
        </w:rPr>
        <w:t xml:space="preserve">.  At the hearings, the ALJ </w:t>
      </w:r>
      <w:r w:rsidR="00F1521D">
        <w:rPr>
          <w:sz w:val="26"/>
          <w:szCs w:val="26"/>
        </w:rPr>
        <w:t xml:space="preserve">was advised </w:t>
      </w:r>
      <w:r w:rsidR="00304BCB">
        <w:rPr>
          <w:sz w:val="26"/>
          <w:szCs w:val="26"/>
        </w:rPr>
        <w:t>that all parties except</w:t>
      </w:r>
      <w:r w:rsidRPr="00EE4C25">
        <w:rPr>
          <w:sz w:val="26"/>
          <w:szCs w:val="26"/>
        </w:rPr>
        <w:t xml:space="preserve"> NRG had reached a settlement on all base rate issues, and that the only issues remaining for decision were those issues raised by NRG.  Tr. at</w:t>
      </w:r>
      <w:r w:rsidR="00304BCB">
        <w:rPr>
          <w:sz w:val="26"/>
          <w:szCs w:val="26"/>
        </w:rPr>
        <w:t xml:space="preserve"> 71.  </w:t>
      </w:r>
    </w:p>
    <w:p w:rsidR="008778CF" w:rsidRPr="00EE4C25" w:rsidRDefault="008778CF" w:rsidP="00144773">
      <w:pPr>
        <w:widowControl/>
        <w:tabs>
          <w:tab w:val="left" w:pos="1440"/>
        </w:tabs>
        <w:spacing w:line="360" w:lineRule="auto"/>
        <w:ind w:firstLine="720"/>
        <w:rPr>
          <w:sz w:val="26"/>
          <w:szCs w:val="26"/>
        </w:rPr>
      </w:pPr>
    </w:p>
    <w:p w:rsidR="00643670" w:rsidRPr="00643670" w:rsidRDefault="00B910EF" w:rsidP="00144773">
      <w:pPr>
        <w:widowControl/>
        <w:tabs>
          <w:tab w:val="left" w:pos="1440"/>
        </w:tabs>
        <w:spacing w:line="360" w:lineRule="auto"/>
        <w:rPr>
          <w:sz w:val="26"/>
          <w:szCs w:val="26"/>
        </w:rPr>
      </w:pPr>
      <w:r>
        <w:rPr>
          <w:sz w:val="26"/>
          <w:szCs w:val="26"/>
        </w:rPr>
        <w:tab/>
      </w:r>
      <w:r w:rsidR="00EE4C25" w:rsidRPr="00EE4C25">
        <w:rPr>
          <w:sz w:val="26"/>
          <w:szCs w:val="26"/>
        </w:rPr>
        <w:t xml:space="preserve">On December 23, 2013, Duquesne </w:t>
      </w:r>
      <w:r w:rsidR="00FE4D93">
        <w:rPr>
          <w:sz w:val="26"/>
          <w:szCs w:val="26"/>
        </w:rPr>
        <w:t xml:space="preserve">and BFMA each </w:t>
      </w:r>
      <w:r w:rsidR="00EE4C25" w:rsidRPr="00EE4C25">
        <w:rPr>
          <w:sz w:val="26"/>
          <w:szCs w:val="26"/>
        </w:rPr>
        <w:t xml:space="preserve">filed a Brief in Support of the </w:t>
      </w:r>
      <w:r w:rsidR="00A75DD8">
        <w:rPr>
          <w:sz w:val="26"/>
          <w:szCs w:val="26"/>
        </w:rPr>
        <w:t xml:space="preserve">Material Question </w:t>
      </w:r>
      <w:r w:rsidR="00EE4C25" w:rsidRPr="00EE4C25">
        <w:rPr>
          <w:sz w:val="26"/>
          <w:szCs w:val="26"/>
        </w:rPr>
        <w:t>Petition</w:t>
      </w:r>
      <w:r w:rsidR="00FE4D93">
        <w:rPr>
          <w:sz w:val="26"/>
          <w:szCs w:val="26"/>
        </w:rPr>
        <w:t xml:space="preserve">; </w:t>
      </w:r>
      <w:r w:rsidR="00EE4C25" w:rsidRPr="00EE4C25">
        <w:rPr>
          <w:sz w:val="26"/>
          <w:szCs w:val="26"/>
        </w:rPr>
        <w:t xml:space="preserve">NRG filed a Brief in Opposition. </w:t>
      </w:r>
      <w:r w:rsidR="008C6601">
        <w:rPr>
          <w:sz w:val="26"/>
          <w:szCs w:val="26"/>
        </w:rPr>
        <w:t xml:space="preserve"> </w:t>
      </w:r>
      <w:r w:rsidR="00EE4C25" w:rsidRPr="00EE4C25">
        <w:rPr>
          <w:sz w:val="26"/>
          <w:szCs w:val="26"/>
        </w:rPr>
        <w:t>On January 6, 2014, Duquesne, BFMA, NRG, the Commission’s Bureau of Investigation &amp; Enforcement (I&amp;E)</w:t>
      </w:r>
      <w:r w:rsidR="008C6601">
        <w:rPr>
          <w:sz w:val="26"/>
          <w:szCs w:val="26"/>
        </w:rPr>
        <w:t>,</w:t>
      </w:r>
      <w:r w:rsidR="00EE4C25" w:rsidRPr="00EE4C25">
        <w:rPr>
          <w:sz w:val="26"/>
          <w:szCs w:val="26"/>
        </w:rPr>
        <w:t xml:space="preserve"> and the Office of Consumer Advocate (OCA)</w:t>
      </w:r>
      <w:r w:rsidR="00643670">
        <w:rPr>
          <w:sz w:val="26"/>
          <w:szCs w:val="26"/>
        </w:rPr>
        <w:t xml:space="preserve"> filed </w:t>
      </w:r>
      <w:r w:rsidR="00643670" w:rsidRPr="00643670">
        <w:rPr>
          <w:sz w:val="26"/>
          <w:szCs w:val="26"/>
        </w:rPr>
        <w:t>Main Briefs</w:t>
      </w:r>
      <w:r w:rsidR="00643670">
        <w:rPr>
          <w:sz w:val="26"/>
          <w:szCs w:val="26"/>
        </w:rPr>
        <w:t xml:space="preserve">.  </w:t>
      </w:r>
      <w:r w:rsidR="00643670" w:rsidRPr="00643670">
        <w:rPr>
          <w:sz w:val="26"/>
          <w:szCs w:val="26"/>
        </w:rPr>
        <w:t>On January 17, 2014, Duquesne, I&amp;E, the OCA, BFMA, and NRG filed Reply Briefs.</w:t>
      </w:r>
    </w:p>
    <w:p w:rsidR="00EE4C25" w:rsidRPr="00EE4C25" w:rsidRDefault="00EE4C25" w:rsidP="00144773">
      <w:pPr>
        <w:widowControl/>
        <w:tabs>
          <w:tab w:val="left" w:pos="1440"/>
        </w:tabs>
        <w:spacing w:line="360" w:lineRule="auto"/>
        <w:rPr>
          <w:sz w:val="26"/>
          <w:szCs w:val="26"/>
        </w:rPr>
      </w:pPr>
    </w:p>
    <w:p w:rsidR="00EE4C25" w:rsidRPr="00EE4C25" w:rsidRDefault="00B910EF" w:rsidP="00144773">
      <w:pPr>
        <w:widowControl/>
        <w:tabs>
          <w:tab w:val="left" w:pos="1440"/>
        </w:tabs>
        <w:spacing w:line="360" w:lineRule="auto"/>
        <w:rPr>
          <w:sz w:val="26"/>
          <w:szCs w:val="26"/>
        </w:rPr>
      </w:pPr>
      <w:r>
        <w:rPr>
          <w:sz w:val="26"/>
          <w:szCs w:val="26"/>
        </w:rPr>
        <w:tab/>
      </w:r>
      <w:r w:rsidR="00EE4C25" w:rsidRPr="00EE4C25">
        <w:rPr>
          <w:sz w:val="26"/>
          <w:szCs w:val="26"/>
        </w:rPr>
        <w:t>On January 16, 2014, Duquesne, I&amp;E, the OCA, the Office of Small Business Advocate (OSBA), the Coalition for Affordable Utility Service and Energy Efficiency in Pennsylvania (CAUSE-PA), Duquesne Industrial Interveners (DII), Citizens for Pennsylvania’s Future (PennFuture), and United States Steel Corporation (U.S. Steel)</w:t>
      </w:r>
      <w:r w:rsidR="00FE4D93">
        <w:rPr>
          <w:sz w:val="26"/>
          <w:szCs w:val="26"/>
        </w:rPr>
        <w:t xml:space="preserve"> </w:t>
      </w:r>
      <w:r w:rsidR="00EE4C25" w:rsidRPr="00EE4C25">
        <w:rPr>
          <w:sz w:val="26"/>
          <w:szCs w:val="26"/>
        </w:rPr>
        <w:t>(</w:t>
      </w:r>
      <w:r w:rsidR="00FE4D93">
        <w:rPr>
          <w:sz w:val="26"/>
          <w:szCs w:val="26"/>
        </w:rPr>
        <w:t>collectively “</w:t>
      </w:r>
      <w:r w:rsidR="00EE4C25" w:rsidRPr="00EE4C25">
        <w:rPr>
          <w:sz w:val="26"/>
          <w:szCs w:val="26"/>
        </w:rPr>
        <w:t>Joint Petitioners</w:t>
      </w:r>
      <w:r w:rsidR="00FE4D93">
        <w:rPr>
          <w:sz w:val="26"/>
          <w:szCs w:val="26"/>
        </w:rPr>
        <w:t>”</w:t>
      </w:r>
      <w:r w:rsidR="00EE4C25" w:rsidRPr="00EE4C25">
        <w:rPr>
          <w:sz w:val="26"/>
          <w:szCs w:val="26"/>
        </w:rPr>
        <w:t>)</w:t>
      </w:r>
      <w:r w:rsidR="00A75DD8">
        <w:rPr>
          <w:sz w:val="26"/>
          <w:szCs w:val="26"/>
        </w:rPr>
        <w:t xml:space="preserve"> filed </w:t>
      </w:r>
      <w:r w:rsidR="00A75DD8" w:rsidRPr="00A75DD8">
        <w:rPr>
          <w:sz w:val="26"/>
          <w:szCs w:val="26"/>
        </w:rPr>
        <w:t>a Joint Petition for Approval of Non-Unanimous Settlement (Settlement</w:t>
      </w:r>
      <w:r w:rsidR="00A75DD8">
        <w:rPr>
          <w:sz w:val="26"/>
          <w:szCs w:val="26"/>
        </w:rPr>
        <w:t>) of base rate case related issues</w:t>
      </w:r>
      <w:r w:rsidR="00EE4C25" w:rsidRPr="00EE4C25">
        <w:rPr>
          <w:sz w:val="26"/>
          <w:szCs w:val="26"/>
        </w:rPr>
        <w:t xml:space="preserve">.  Other </w:t>
      </w:r>
      <w:r w:rsidR="00304BCB">
        <w:rPr>
          <w:sz w:val="26"/>
          <w:szCs w:val="26"/>
        </w:rPr>
        <w:t>parties</w:t>
      </w:r>
      <w:r w:rsidR="00EE4C25" w:rsidRPr="00EE4C25">
        <w:rPr>
          <w:sz w:val="26"/>
          <w:szCs w:val="26"/>
        </w:rPr>
        <w:t>, including the Community Action Association of Pennsylvania (CAAP)</w:t>
      </w:r>
      <w:r w:rsidR="00F82C19">
        <w:rPr>
          <w:sz w:val="26"/>
          <w:szCs w:val="26"/>
        </w:rPr>
        <w:t>;</w:t>
      </w:r>
      <w:r w:rsidR="00EE4C25" w:rsidRPr="00EE4C25">
        <w:rPr>
          <w:sz w:val="26"/>
          <w:szCs w:val="26"/>
        </w:rPr>
        <w:t xml:space="preserve"> Citizen Power, Inc. (Citizen Power)</w:t>
      </w:r>
      <w:r w:rsidR="00F82C19">
        <w:rPr>
          <w:sz w:val="26"/>
          <w:szCs w:val="26"/>
        </w:rPr>
        <w:t>;</w:t>
      </w:r>
      <w:r w:rsidR="00EE4C25" w:rsidRPr="00EE4C25">
        <w:rPr>
          <w:sz w:val="26"/>
          <w:szCs w:val="26"/>
        </w:rPr>
        <w:t xml:space="preserve"> Interstate Gas Supply, Inc. (IGS)</w:t>
      </w:r>
      <w:r w:rsidR="00F82C19">
        <w:rPr>
          <w:sz w:val="26"/>
          <w:szCs w:val="26"/>
        </w:rPr>
        <w:t>;</w:t>
      </w:r>
      <w:r w:rsidR="00EE4C25" w:rsidRPr="00EE4C25">
        <w:rPr>
          <w:sz w:val="26"/>
          <w:szCs w:val="26"/>
        </w:rPr>
        <w:t xml:space="preserve"> the International Brotherhood of Electrical Workers, Local 29 (IBEW)</w:t>
      </w:r>
      <w:r w:rsidR="00F82C19">
        <w:rPr>
          <w:sz w:val="26"/>
          <w:szCs w:val="26"/>
        </w:rPr>
        <w:t>;</w:t>
      </w:r>
      <w:r w:rsidR="00EE4C25" w:rsidRPr="00EE4C25">
        <w:rPr>
          <w:sz w:val="26"/>
          <w:szCs w:val="26"/>
        </w:rPr>
        <w:t xml:space="preserve"> and BFMA indicated they did not oppose the Settlement.  </w:t>
      </w:r>
      <w:r w:rsidR="00643670">
        <w:rPr>
          <w:sz w:val="26"/>
          <w:szCs w:val="26"/>
        </w:rPr>
        <w:t xml:space="preserve">In their Main Brief, </w:t>
      </w:r>
      <w:r w:rsidR="00304BCB">
        <w:rPr>
          <w:sz w:val="26"/>
          <w:szCs w:val="26"/>
        </w:rPr>
        <w:t xml:space="preserve">the </w:t>
      </w:r>
      <w:r w:rsidR="00EE4C25" w:rsidRPr="00EE4C25">
        <w:rPr>
          <w:sz w:val="26"/>
          <w:szCs w:val="26"/>
        </w:rPr>
        <w:t xml:space="preserve">NRG </w:t>
      </w:r>
      <w:r w:rsidR="00304BCB">
        <w:rPr>
          <w:sz w:val="26"/>
          <w:szCs w:val="26"/>
        </w:rPr>
        <w:t xml:space="preserve">Companies </w:t>
      </w:r>
      <w:r w:rsidR="00643670">
        <w:rPr>
          <w:sz w:val="26"/>
          <w:szCs w:val="26"/>
        </w:rPr>
        <w:t xml:space="preserve">had </w:t>
      </w:r>
      <w:r w:rsidR="00EE4C25" w:rsidRPr="00EE4C25">
        <w:rPr>
          <w:sz w:val="26"/>
          <w:szCs w:val="26"/>
        </w:rPr>
        <w:t xml:space="preserve">reserved the right to oppose the Settlement.  The Settlement provided for, </w:t>
      </w:r>
      <w:r w:rsidR="00EE4C25" w:rsidRPr="00410855">
        <w:rPr>
          <w:i/>
          <w:sz w:val="26"/>
          <w:szCs w:val="26"/>
        </w:rPr>
        <w:t>inter alia</w:t>
      </w:r>
      <w:r w:rsidR="00EE4C25" w:rsidRPr="00EE4C25">
        <w:rPr>
          <w:sz w:val="26"/>
          <w:szCs w:val="26"/>
        </w:rPr>
        <w:t>, increases in rates designed to produce a net increase in annual distribution operating revenues of $48 million to become effective for service rendered on and after May 1, 2014.</w:t>
      </w:r>
      <w:r w:rsidR="00527281">
        <w:rPr>
          <w:sz w:val="26"/>
          <w:szCs w:val="26"/>
        </w:rPr>
        <w:t xml:space="preserve">  </w:t>
      </w:r>
    </w:p>
    <w:p w:rsidR="00EE4C25" w:rsidRPr="00EE4C25" w:rsidRDefault="00EE4C25" w:rsidP="00144773">
      <w:pPr>
        <w:widowControl/>
        <w:spacing w:line="360" w:lineRule="auto"/>
        <w:rPr>
          <w:sz w:val="26"/>
          <w:szCs w:val="26"/>
        </w:rPr>
      </w:pPr>
    </w:p>
    <w:p w:rsidR="00EE4C25" w:rsidRPr="00EE4C25" w:rsidRDefault="00B910EF" w:rsidP="00144773">
      <w:pPr>
        <w:widowControl/>
        <w:tabs>
          <w:tab w:val="left" w:pos="1440"/>
        </w:tabs>
        <w:spacing w:line="360" w:lineRule="auto"/>
        <w:rPr>
          <w:sz w:val="26"/>
          <w:szCs w:val="26"/>
        </w:rPr>
      </w:pPr>
      <w:r>
        <w:rPr>
          <w:sz w:val="26"/>
          <w:szCs w:val="26"/>
        </w:rPr>
        <w:lastRenderedPageBreak/>
        <w:tab/>
      </w:r>
      <w:r w:rsidR="00EE4C25" w:rsidRPr="00EE4C25">
        <w:rPr>
          <w:sz w:val="26"/>
          <w:szCs w:val="26"/>
        </w:rPr>
        <w:t>On January 30, 2014, NRG filed Objections to the Settlement</w:t>
      </w:r>
      <w:r w:rsidR="00D417E1">
        <w:rPr>
          <w:sz w:val="26"/>
          <w:szCs w:val="26"/>
        </w:rPr>
        <w:t xml:space="preserve"> on the basis that </w:t>
      </w:r>
      <w:r w:rsidR="00EE4C25" w:rsidRPr="00EE4C25">
        <w:rPr>
          <w:sz w:val="26"/>
          <w:szCs w:val="26"/>
        </w:rPr>
        <w:t>it d</w:t>
      </w:r>
      <w:r w:rsidR="009E561A">
        <w:rPr>
          <w:sz w:val="26"/>
          <w:szCs w:val="26"/>
        </w:rPr>
        <w:t>id</w:t>
      </w:r>
      <w:r w:rsidR="00EE4C25" w:rsidRPr="00EE4C25">
        <w:rPr>
          <w:sz w:val="26"/>
          <w:szCs w:val="26"/>
        </w:rPr>
        <w:t xml:space="preserve"> not address </w:t>
      </w:r>
      <w:r w:rsidR="00A75DD8">
        <w:rPr>
          <w:sz w:val="26"/>
          <w:szCs w:val="26"/>
        </w:rPr>
        <w:t xml:space="preserve">NRG’s </w:t>
      </w:r>
      <w:r w:rsidR="00EE4C25" w:rsidRPr="00EE4C25">
        <w:rPr>
          <w:sz w:val="26"/>
          <w:szCs w:val="26"/>
        </w:rPr>
        <w:t>concerns about Rider No.</w:t>
      </w:r>
      <w:r w:rsidR="009E561A">
        <w:rPr>
          <w:sz w:val="26"/>
          <w:szCs w:val="26"/>
        </w:rPr>
        <w:t> </w:t>
      </w:r>
      <w:r w:rsidR="00EE4C25" w:rsidRPr="00EE4C25">
        <w:rPr>
          <w:sz w:val="26"/>
          <w:szCs w:val="26"/>
        </w:rPr>
        <w:t>18.</w:t>
      </w:r>
      <w:r w:rsidR="000437A1">
        <w:rPr>
          <w:sz w:val="26"/>
          <w:szCs w:val="26"/>
        </w:rPr>
        <w:t xml:space="preserve">  </w:t>
      </w:r>
      <w:r w:rsidR="00EE4C25" w:rsidRPr="00EE4C25">
        <w:rPr>
          <w:sz w:val="26"/>
          <w:szCs w:val="26"/>
        </w:rPr>
        <w:t>On February</w:t>
      </w:r>
      <w:r w:rsidR="00304BCB">
        <w:rPr>
          <w:sz w:val="26"/>
          <w:szCs w:val="26"/>
        </w:rPr>
        <w:t> </w:t>
      </w:r>
      <w:r w:rsidR="00EE4C25" w:rsidRPr="00EE4C25">
        <w:rPr>
          <w:sz w:val="26"/>
          <w:szCs w:val="26"/>
        </w:rPr>
        <w:t>4, 2014, Duquesne, U.S. Steel, BFMA</w:t>
      </w:r>
      <w:r w:rsidR="000437A1">
        <w:rPr>
          <w:sz w:val="26"/>
          <w:szCs w:val="26"/>
        </w:rPr>
        <w:t>,</w:t>
      </w:r>
      <w:r w:rsidR="00EE4C25" w:rsidRPr="00EE4C25">
        <w:rPr>
          <w:sz w:val="26"/>
          <w:szCs w:val="26"/>
        </w:rPr>
        <w:t xml:space="preserve"> and the OCA</w:t>
      </w:r>
      <w:r w:rsidR="000437A1">
        <w:rPr>
          <w:sz w:val="26"/>
          <w:szCs w:val="26"/>
        </w:rPr>
        <w:t xml:space="preserve"> filed </w:t>
      </w:r>
      <w:r w:rsidR="000437A1" w:rsidRPr="000437A1">
        <w:rPr>
          <w:sz w:val="26"/>
          <w:szCs w:val="26"/>
        </w:rPr>
        <w:t xml:space="preserve">responses to </w:t>
      </w:r>
      <w:r w:rsidR="000437A1">
        <w:rPr>
          <w:sz w:val="26"/>
          <w:szCs w:val="26"/>
        </w:rPr>
        <w:t>NRG’</w:t>
      </w:r>
      <w:r w:rsidR="00304BCB">
        <w:rPr>
          <w:sz w:val="26"/>
          <w:szCs w:val="26"/>
        </w:rPr>
        <w:t>s</w:t>
      </w:r>
      <w:r w:rsidR="000437A1">
        <w:rPr>
          <w:sz w:val="26"/>
          <w:szCs w:val="26"/>
        </w:rPr>
        <w:t xml:space="preserve"> </w:t>
      </w:r>
      <w:r w:rsidR="000437A1" w:rsidRPr="000437A1">
        <w:rPr>
          <w:sz w:val="26"/>
          <w:szCs w:val="26"/>
        </w:rPr>
        <w:t>Objections</w:t>
      </w:r>
      <w:r w:rsidR="00EE4C25" w:rsidRPr="00EE4C25">
        <w:rPr>
          <w:sz w:val="26"/>
          <w:szCs w:val="26"/>
        </w:rPr>
        <w:t>.</w:t>
      </w:r>
    </w:p>
    <w:p w:rsidR="00EE4C25" w:rsidRPr="00EE4C25" w:rsidRDefault="00EE4C25" w:rsidP="00144773">
      <w:pPr>
        <w:widowControl/>
        <w:spacing w:line="360" w:lineRule="auto"/>
        <w:rPr>
          <w:sz w:val="26"/>
          <w:szCs w:val="26"/>
        </w:rPr>
      </w:pPr>
    </w:p>
    <w:p w:rsidR="00EE4C25" w:rsidRPr="00EE4C25" w:rsidRDefault="00B910EF" w:rsidP="00144773">
      <w:pPr>
        <w:widowControl/>
        <w:tabs>
          <w:tab w:val="left" w:pos="1440"/>
        </w:tabs>
        <w:spacing w:line="360" w:lineRule="auto"/>
        <w:rPr>
          <w:sz w:val="26"/>
          <w:szCs w:val="26"/>
        </w:rPr>
      </w:pPr>
      <w:r>
        <w:rPr>
          <w:sz w:val="26"/>
          <w:szCs w:val="26"/>
        </w:rPr>
        <w:tab/>
      </w:r>
      <w:r w:rsidR="00EE4C25" w:rsidRPr="00EE4C25">
        <w:rPr>
          <w:sz w:val="26"/>
          <w:szCs w:val="26"/>
        </w:rPr>
        <w:t xml:space="preserve">On February 6, 2014, the Commission entered an Order declining to answer the </w:t>
      </w:r>
      <w:r w:rsidR="009E561A">
        <w:rPr>
          <w:sz w:val="26"/>
          <w:szCs w:val="26"/>
        </w:rPr>
        <w:t>m</w:t>
      </w:r>
      <w:r w:rsidR="00EE4C25" w:rsidRPr="00EE4C25">
        <w:rPr>
          <w:sz w:val="26"/>
          <w:szCs w:val="26"/>
        </w:rPr>
        <w:t xml:space="preserve">aterial </w:t>
      </w:r>
      <w:r w:rsidR="009E561A">
        <w:rPr>
          <w:sz w:val="26"/>
          <w:szCs w:val="26"/>
        </w:rPr>
        <w:t>q</w:t>
      </w:r>
      <w:r w:rsidR="00EE4C25" w:rsidRPr="00EE4C25">
        <w:rPr>
          <w:sz w:val="26"/>
          <w:szCs w:val="26"/>
        </w:rPr>
        <w:t xml:space="preserve">uestions raised in Duquesne’s </w:t>
      </w:r>
      <w:r w:rsidR="00A75DD8">
        <w:rPr>
          <w:sz w:val="26"/>
          <w:szCs w:val="26"/>
        </w:rPr>
        <w:t>Material Question P</w:t>
      </w:r>
      <w:r w:rsidR="00EE4C25" w:rsidRPr="00EE4C25">
        <w:rPr>
          <w:sz w:val="26"/>
          <w:szCs w:val="26"/>
        </w:rPr>
        <w:t>etition and returned th</w:t>
      </w:r>
      <w:r w:rsidR="00A75DD8">
        <w:rPr>
          <w:sz w:val="26"/>
          <w:szCs w:val="26"/>
        </w:rPr>
        <w:t>e</w:t>
      </w:r>
      <w:r w:rsidR="00EE4C25" w:rsidRPr="00EE4C25">
        <w:rPr>
          <w:sz w:val="26"/>
          <w:szCs w:val="26"/>
        </w:rPr>
        <w:t xml:space="preserve"> matter to the Office of Administrative Law Judge.</w:t>
      </w:r>
      <w:r w:rsidR="00D417E1" w:rsidRPr="00D417E1">
        <w:rPr>
          <w:sz w:val="26"/>
          <w:szCs w:val="26"/>
          <w:vertAlign w:val="superscript"/>
        </w:rPr>
        <w:footnoteReference w:id="2"/>
      </w:r>
      <w:r w:rsidR="00A75DD8">
        <w:rPr>
          <w:sz w:val="26"/>
          <w:szCs w:val="26"/>
        </w:rPr>
        <w:t xml:space="preserve">  </w:t>
      </w:r>
      <w:r w:rsidR="00EE4C25" w:rsidRPr="00EE4C25">
        <w:rPr>
          <w:sz w:val="26"/>
          <w:szCs w:val="26"/>
        </w:rPr>
        <w:t xml:space="preserve">By Interim Order issued February 7, 2014, the ALJ admitted the Settlement into the record and closed the record. </w:t>
      </w:r>
    </w:p>
    <w:p w:rsidR="00EE4C25" w:rsidRPr="00EE4C25" w:rsidRDefault="00EE4C25" w:rsidP="00144773">
      <w:pPr>
        <w:widowControl/>
        <w:spacing w:line="360" w:lineRule="auto"/>
        <w:rPr>
          <w:sz w:val="26"/>
          <w:szCs w:val="26"/>
        </w:rPr>
      </w:pPr>
    </w:p>
    <w:p w:rsidR="00EE4C25" w:rsidRPr="00EE4C25" w:rsidRDefault="00B910EF" w:rsidP="00144773">
      <w:pPr>
        <w:widowControl/>
        <w:tabs>
          <w:tab w:val="left" w:pos="1440"/>
        </w:tabs>
        <w:spacing w:line="360" w:lineRule="auto"/>
        <w:rPr>
          <w:sz w:val="26"/>
          <w:szCs w:val="26"/>
        </w:rPr>
      </w:pPr>
      <w:r>
        <w:rPr>
          <w:sz w:val="26"/>
          <w:szCs w:val="26"/>
        </w:rPr>
        <w:tab/>
      </w:r>
      <w:r w:rsidR="00EE4C25" w:rsidRPr="00EE4C25">
        <w:rPr>
          <w:sz w:val="26"/>
          <w:szCs w:val="26"/>
        </w:rPr>
        <w:t xml:space="preserve">On March 22, 2014, the ALJ, via e-mail, informed counsel for the active </w:t>
      </w:r>
      <w:r w:rsidR="00304BCB">
        <w:rPr>
          <w:sz w:val="26"/>
          <w:szCs w:val="26"/>
        </w:rPr>
        <w:t>parties</w:t>
      </w:r>
      <w:r w:rsidR="00EE4C25" w:rsidRPr="00EE4C25">
        <w:rPr>
          <w:sz w:val="26"/>
          <w:szCs w:val="26"/>
        </w:rPr>
        <w:t xml:space="preserve"> that he would reconsider an earlier motion from the Company to sever the Rider No. 18 issues due to the complexity of the issues involved, if such motion </w:t>
      </w:r>
      <w:r w:rsidR="00600039">
        <w:rPr>
          <w:sz w:val="26"/>
          <w:szCs w:val="26"/>
        </w:rPr>
        <w:t>were</w:t>
      </w:r>
      <w:r w:rsidR="00EE4C25" w:rsidRPr="00EE4C25">
        <w:rPr>
          <w:sz w:val="26"/>
          <w:szCs w:val="26"/>
        </w:rPr>
        <w:t xml:space="preserve"> filed by March 25, 2014.  On March 25, 2014, Duquesne filed a Motion to Sever from th</w:t>
      </w:r>
      <w:r w:rsidR="009E561A">
        <w:rPr>
          <w:sz w:val="26"/>
          <w:szCs w:val="26"/>
        </w:rPr>
        <w:t>e</w:t>
      </w:r>
      <w:r w:rsidR="00EE4C25" w:rsidRPr="00EE4C25">
        <w:rPr>
          <w:sz w:val="26"/>
          <w:szCs w:val="26"/>
        </w:rPr>
        <w:t xml:space="preserve"> </w:t>
      </w:r>
      <w:r w:rsidR="009E561A">
        <w:rPr>
          <w:sz w:val="26"/>
          <w:szCs w:val="26"/>
        </w:rPr>
        <w:t>b</w:t>
      </w:r>
      <w:r w:rsidR="00EE4C25" w:rsidRPr="00EE4C25">
        <w:rPr>
          <w:sz w:val="26"/>
          <w:szCs w:val="26"/>
        </w:rPr>
        <w:t xml:space="preserve">ase </w:t>
      </w:r>
      <w:r w:rsidR="009E561A">
        <w:rPr>
          <w:sz w:val="26"/>
          <w:szCs w:val="26"/>
        </w:rPr>
        <w:t>r</w:t>
      </w:r>
      <w:r w:rsidR="00EE4C25" w:rsidRPr="00EE4C25">
        <w:rPr>
          <w:sz w:val="26"/>
          <w:szCs w:val="26"/>
        </w:rPr>
        <w:t xml:space="preserve">ate </w:t>
      </w:r>
      <w:r w:rsidR="009E561A">
        <w:rPr>
          <w:sz w:val="26"/>
          <w:szCs w:val="26"/>
        </w:rPr>
        <w:t>p</w:t>
      </w:r>
      <w:r w:rsidR="00EE4C25" w:rsidRPr="00EE4C25">
        <w:rPr>
          <w:sz w:val="26"/>
          <w:szCs w:val="26"/>
        </w:rPr>
        <w:t xml:space="preserve">roceeding the Rider No. 18 </w:t>
      </w:r>
      <w:r w:rsidR="009E561A">
        <w:rPr>
          <w:sz w:val="26"/>
          <w:szCs w:val="26"/>
        </w:rPr>
        <w:t>p</w:t>
      </w:r>
      <w:r w:rsidR="00EE4C25" w:rsidRPr="00EE4C25">
        <w:rPr>
          <w:sz w:val="26"/>
          <w:szCs w:val="26"/>
        </w:rPr>
        <w:t>ortion of NRG’</w:t>
      </w:r>
      <w:r w:rsidR="00304BCB">
        <w:rPr>
          <w:sz w:val="26"/>
          <w:szCs w:val="26"/>
        </w:rPr>
        <w:t>s</w:t>
      </w:r>
      <w:r w:rsidR="00EE4C25" w:rsidRPr="00EE4C25">
        <w:rPr>
          <w:sz w:val="26"/>
          <w:szCs w:val="26"/>
        </w:rPr>
        <w:t xml:space="preserve"> Complaint (Motion to Sever).  Duquesne requested that the Rider No. 18 portion of the Complaint be resolved in a </w:t>
      </w:r>
      <w:r w:rsidR="002D0733">
        <w:rPr>
          <w:sz w:val="26"/>
          <w:szCs w:val="26"/>
        </w:rPr>
        <w:t>R</w:t>
      </w:r>
      <w:r w:rsidR="00EE4C25" w:rsidRPr="00EE4C25">
        <w:rPr>
          <w:sz w:val="26"/>
          <w:szCs w:val="26"/>
        </w:rPr>
        <w:t xml:space="preserve">ecommended </w:t>
      </w:r>
      <w:r w:rsidR="002D0733">
        <w:rPr>
          <w:sz w:val="26"/>
          <w:szCs w:val="26"/>
        </w:rPr>
        <w:t>D</w:t>
      </w:r>
      <w:r w:rsidR="00EE4C25" w:rsidRPr="00EE4C25">
        <w:rPr>
          <w:sz w:val="26"/>
          <w:szCs w:val="26"/>
        </w:rPr>
        <w:t xml:space="preserve">ecision </w:t>
      </w:r>
      <w:r w:rsidR="002D0733" w:rsidRPr="002D0733">
        <w:rPr>
          <w:sz w:val="26"/>
          <w:szCs w:val="26"/>
        </w:rPr>
        <w:t xml:space="preserve">separate </w:t>
      </w:r>
      <w:r w:rsidR="00EE4C25" w:rsidRPr="00EE4C25">
        <w:rPr>
          <w:sz w:val="26"/>
          <w:szCs w:val="26"/>
        </w:rPr>
        <w:t>from the base rate increase Settlement.</w:t>
      </w:r>
      <w:r w:rsidR="00A75DD8">
        <w:rPr>
          <w:sz w:val="26"/>
          <w:szCs w:val="26"/>
        </w:rPr>
        <w:t xml:space="preserve">  </w:t>
      </w:r>
      <w:r w:rsidR="00EE4C25" w:rsidRPr="00EE4C25">
        <w:rPr>
          <w:sz w:val="26"/>
          <w:szCs w:val="26"/>
        </w:rPr>
        <w:t xml:space="preserve">On March 26, 2014, NRG </w:t>
      </w:r>
      <w:r w:rsidR="00304BCB">
        <w:rPr>
          <w:sz w:val="26"/>
          <w:szCs w:val="26"/>
        </w:rPr>
        <w:t>f</w:t>
      </w:r>
      <w:r w:rsidR="00EE4C25" w:rsidRPr="00EE4C25">
        <w:rPr>
          <w:sz w:val="26"/>
          <w:szCs w:val="26"/>
        </w:rPr>
        <w:t>iled an Answer to Duquesne’s Motion opposing the severance of the Rider No. 18 issues.  Also, on March 26, 2014, the BFMA filed an Answer to the Motion to Sever.</w:t>
      </w:r>
    </w:p>
    <w:p w:rsidR="00EE4C25" w:rsidRPr="00EE4C25" w:rsidRDefault="00EE4C25" w:rsidP="00144773">
      <w:pPr>
        <w:widowControl/>
        <w:spacing w:line="360" w:lineRule="auto"/>
        <w:rPr>
          <w:sz w:val="26"/>
          <w:szCs w:val="26"/>
        </w:rPr>
      </w:pPr>
    </w:p>
    <w:p w:rsidR="00EE4C25" w:rsidRPr="00EE4C25" w:rsidRDefault="00B910EF" w:rsidP="00144773">
      <w:pPr>
        <w:widowControl/>
        <w:tabs>
          <w:tab w:val="left" w:pos="1440"/>
        </w:tabs>
        <w:spacing w:line="360" w:lineRule="auto"/>
        <w:rPr>
          <w:sz w:val="26"/>
          <w:szCs w:val="26"/>
        </w:rPr>
      </w:pPr>
      <w:r>
        <w:rPr>
          <w:sz w:val="26"/>
          <w:szCs w:val="26"/>
        </w:rPr>
        <w:tab/>
      </w:r>
      <w:r w:rsidR="00EE4C25" w:rsidRPr="00EE4C25">
        <w:rPr>
          <w:sz w:val="26"/>
          <w:szCs w:val="26"/>
        </w:rPr>
        <w:t xml:space="preserve">By Interim Order issued on March 27, 2014, the ALJ reopened the record to reconsider the Company’s Motion to Sever and </w:t>
      </w:r>
      <w:r w:rsidR="00A75DD8">
        <w:rPr>
          <w:sz w:val="26"/>
          <w:szCs w:val="26"/>
        </w:rPr>
        <w:t xml:space="preserve">related </w:t>
      </w:r>
      <w:r w:rsidR="00EE4C25" w:rsidRPr="00EE4C25">
        <w:rPr>
          <w:sz w:val="26"/>
          <w:szCs w:val="26"/>
        </w:rPr>
        <w:t xml:space="preserve">Answers and granted the Motion to Sever.  The record was </w:t>
      </w:r>
      <w:r w:rsidR="009E561A">
        <w:rPr>
          <w:sz w:val="26"/>
          <w:szCs w:val="26"/>
        </w:rPr>
        <w:t xml:space="preserve">again </w:t>
      </w:r>
      <w:r w:rsidR="00EE4C25" w:rsidRPr="00EE4C25">
        <w:rPr>
          <w:sz w:val="26"/>
          <w:szCs w:val="26"/>
        </w:rPr>
        <w:t>closed on March 27, 2014.</w:t>
      </w:r>
    </w:p>
    <w:p w:rsidR="00EE4C25" w:rsidRPr="00EE4C25" w:rsidRDefault="00EE4C25" w:rsidP="00144773">
      <w:pPr>
        <w:widowControl/>
        <w:spacing w:line="360" w:lineRule="auto"/>
        <w:rPr>
          <w:sz w:val="26"/>
          <w:szCs w:val="26"/>
        </w:rPr>
      </w:pPr>
      <w:r w:rsidRPr="00EE4C25">
        <w:rPr>
          <w:sz w:val="26"/>
          <w:szCs w:val="26"/>
        </w:rPr>
        <w:t xml:space="preserve"> </w:t>
      </w:r>
    </w:p>
    <w:p w:rsidR="00EE4C25" w:rsidRPr="00EE4C25" w:rsidRDefault="00B910EF" w:rsidP="00144773">
      <w:pPr>
        <w:widowControl/>
        <w:tabs>
          <w:tab w:val="left" w:pos="1440"/>
        </w:tabs>
        <w:spacing w:line="360" w:lineRule="auto"/>
        <w:rPr>
          <w:sz w:val="26"/>
          <w:szCs w:val="26"/>
        </w:rPr>
      </w:pPr>
      <w:r>
        <w:rPr>
          <w:sz w:val="26"/>
          <w:szCs w:val="26"/>
        </w:rPr>
        <w:tab/>
      </w:r>
      <w:r w:rsidR="008C6601">
        <w:rPr>
          <w:sz w:val="26"/>
          <w:szCs w:val="26"/>
        </w:rPr>
        <w:t xml:space="preserve">The </w:t>
      </w:r>
      <w:r w:rsidR="00EE4C25" w:rsidRPr="00EE4C25">
        <w:rPr>
          <w:sz w:val="26"/>
          <w:szCs w:val="26"/>
        </w:rPr>
        <w:t xml:space="preserve">ALJ’s Recommended Decision </w:t>
      </w:r>
      <w:r w:rsidR="007F43E2">
        <w:rPr>
          <w:sz w:val="26"/>
          <w:szCs w:val="26"/>
        </w:rPr>
        <w:t xml:space="preserve">with respect to the base rate filing </w:t>
      </w:r>
      <w:r w:rsidR="00600039">
        <w:rPr>
          <w:sz w:val="26"/>
          <w:szCs w:val="26"/>
        </w:rPr>
        <w:t xml:space="preserve">was issued </w:t>
      </w:r>
      <w:r w:rsidR="00EE4C25" w:rsidRPr="00EE4C25">
        <w:rPr>
          <w:sz w:val="26"/>
          <w:szCs w:val="26"/>
        </w:rPr>
        <w:t>on March</w:t>
      </w:r>
      <w:r w:rsidR="00600039">
        <w:rPr>
          <w:sz w:val="26"/>
          <w:szCs w:val="26"/>
        </w:rPr>
        <w:t> </w:t>
      </w:r>
      <w:r w:rsidR="00EE4C25" w:rsidRPr="00EE4C25">
        <w:rPr>
          <w:sz w:val="26"/>
          <w:szCs w:val="26"/>
        </w:rPr>
        <w:t>28, 2014</w:t>
      </w:r>
      <w:r w:rsidR="00A75DD8">
        <w:rPr>
          <w:sz w:val="26"/>
          <w:szCs w:val="26"/>
        </w:rPr>
        <w:t>.  The ALJ recommended approval of th</w:t>
      </w:r>
      <w:r w:rsidR="00EE4C25" w:rsidRPr="00EE4C25">
        <w:rPr>
          <w:sz w:val="26"/>
          <w:szCs w:val="26"/>
        </w:rPr>
        <w:t xml:space="preserve">e Settlement as in the </w:t>
      </w:r>
      <w:r w:rsidR="00EE4C25" w:rsidRPr="00EE4C25">
        <w:rPr>
          <w:sz w:val="26"/>
          <w:szCs w:val="26"/>
        </w:rPr>
        <w:lastRenderedPageBreak/>
        <w:t xml:space="preserve">public interest </w:t>
      </w:r>
      <w:r w:rsidR="00A75DD8">
        <w:rPr>
          <w:sz w:val="26"/>
          <w:szCs w:val="26"/>
        </w:rPr>
        <w:t xml:space="preserve">and </w:t>
      </w:r>
      <w:r w:rsidR="00EE4C25" w:rsidRPr="00EE4C25">
        <w:rPr>
          <w:sz w:val="26"/>
          <w:szCs w:val="26"/>
        </w:rPr>
        <w:t xml:space="preserve">further recommended that the Rider No. 18 portion of the NRG Companies’ Complaint be held in abeyance by the Commission for resolution in a separate decision.  </w:t>
      </w:r>
      <w:r w:rsidR="00A75DD8">
        <w:rPr>
          <w:sz w:val="26"/>
          <w:szCs w:val="26"/>
        </w:rPr>
        <w:t>T</w:t>
      </w:r>
      <w:r w:rsidR="00EE4C25" w:rsidRPr="00A75DD8">
        <w:rPr>
          <w:sz w:val="26"/>
          <w:szCs w:val="26"/>
        </w:rPr>
        <w:t>he ALJ</w:t>
      </w:r>
      <w:r w:rsidR="00A75DD8">
        <w:rPr>
          <w:sz w:val="26"/>
          <w:szCs w:val="26"/>
        </w:rPr>
        <w:t xml:space="preserve"> concluded that </w:t>
      </w:r>
      <w:r w:rsidR="00EE4C25" w:rsidRPr="00A75DD8">
        <w:rPr>
          <w:sz w:val="26"/>
          <w:szCs w:val="26"/>
        </w:rPr>
        <w:t xml:space="preserve">there was a sufficient record to resolve </w:t>
      </w:r>
      <w:r w:rsidR="00A75DD8">
        <w:rPr>
          <w:sz w:val="26"/>
          <w:szCs w:val="26"/>
        </w:rPr>
        <w:t xml:space="preserve">the Rider No. 18 issues </w:t>
      </w:r>
      <w:r w:rsidR="00EE4C25" w:rsidRPr="00A75DD8">
        <w:rPr>
          <w:sz w:val="26"/>
          <w:szCs w:val="26"/>
        </w:rPr>
        <w:t xml:space="preserve">in a separate </w:t>
      </w:r>
      <w:r w:rsidR="00A75DD8">
        <w:rPr>
          <w:sz w:val="26"/>
          <w:szCs w:val="26"/>
        </w:rPr>
        <w:t>R</w:t>
      </w:r>
      <w:r w:rsidR="00EE4C25" w:rsidRPr="00A75DD8">
        <w:rPr>
          <w:sz w:val="26"/>
          <w:szCs w:val="26"/>
        </w:rPr>
        <w:t xml:space="preserve">ecommended </w:t>
      </w:r>
      <w:r w:rsidR="00A75DD8">
        <w:rPr>
          <w:sz w:val="26"/>
          <w:szCs w:val="26"/>
        </w:rPr>
        <w:t>D</w:t>
      </w:r>
      <w:r w:rsidR="00EE4C25" w:rsidRPr="00A75DD8">
        <w:rPr>
          <w:sz w:val="26"/>
          <w:szCs w:val="26"/>
        </w:rPr>
        <w:t>ecision.</w:t>
      </w:r>
    </w:p>
    <w:p w:rsidR="00EE4C25" w:rsidRPr="00EE4C25" w:rsidRDefault="00EE4C25" w:rsidP="00144773">
      <w:pPr>
        <w:widowControl/>
        <w:spacing w:line="360" w:lineRule="auto"/>
        <w:rPr>
          <w:sz w:val="26"/>
          <w:szCs w:val="26"/>
        </w:rPr>
      </w:pPr>
    </w:p>
    <w:p w:rsidR="00EE4C25" w:rsidRPr="00EE4C25" w:rsidRDefault="00B910EF" w:rsidP="00144773">
      <w:pPr>
        <w:widowControl/>
        <w:tabs>
          <w:tab w:val="left" w:pos="1440"/>
        </w:tabs>
        <w:spacing w:line="360" w:lineRule="auto"/>
        <w:rPr>
          <w:sz w:val="26"/>
          <w:szCs w:val="26"/>
        </w:rPr>
      </w:pPr>
      <w:r>
        <w:rPr>
          <w:sz w:val="26"/>
          <w:szCs w:val="26"/>
        </w:rPr>
        <w:tab/>
      </w:r>
      <w:r w:rsidR="000437A1">
        <w:rPr>
          <w:sz w:val="26"/>
          <w:szCs w:val="26"/>
        </w:rPr>
        <w:t xml:space="preserve">The NRG Companies filed </w:t>
      </w:r>
      <w:r w:rsidR="00EE4C25" w:rsidRPr="00EE4C25">
        <w:rPr>
          <w:sz w:val="26"/>
          <w:szCs w:val="26"/>
        </w:rPr>
        <w:t>Exceptions to the March 28, 2014, Recommended Decision on April 4, 2014.  Replies to Exceptions were filed on April 11, 2014, by Duquesne and BFMA.</w:t>
      </w:r>
      <w:r w:rsidR="000437A1">
        <w:rPr>
          <w:sz w:val="26"/>
          <w:szCs w:val="26"/>
        </w:rPr>
        <w:t xml:space="preserve">  </w:t>
      </w:r>
      <w:r w:rsidR="00EE4C25" w:rsidRPr="00EE4C25">
        <w:rPr>
          <w:sz w:val="26"/>
          <w:szCs w:val="26"/>
        </w:rPr>
        <w:t xml:space="preserve">On April 23, 2014, the Commission issued an Opinion and Order adopting the ALJ’s Recommended Decision to approve the Settlement and hold in abeyance the Rider No. 18 issues for resolution in a separate </w:t>
      </w:r>
      <w:r w:rsidR="00A75DD8">
        <w:rPr>
          <w:sz w:val="26"/>
          <w:szCs w:val="26"/>
        </w:rPr>
        <w:t>R</w:t>
      </w:r>
      <w:r w:rsidR="00EE4C25" w:rsidRPr="00EE4C25">
        <w:rPr>
          <w:sz w:val="26"/>
          <w:szCs w:val="26"/>
        </w:rPr>
        <w:t xml:space="preserve">ecommended </w:t>
      </w:r>
      <w:r w:rsidR="00A75DD8">
        <w:rPr>
          <w:sz w:val="26"/>
          <w:szCs w:val="26"/>
        </w:rPr>
        <w:t>D</w:t>
      </w:r>
      <w:r w:rsidR="00EE4C25" w:rsidRPr="00EE4C25">
        <w:rPr>
          <w:sz w:val="26"/>
          <w:szCs w:val="26"/>
        </w:rPr>
        <w:t>ecision.</w:t>
      </w:r>
    </w:p>
    <w:p w:rsidR="00EE4C25" w:rsidRPr="00EE4C25" w:rsidRDefault="00EE4C25" w:rsidP="00144773">
      <w:pPr>
        <w:widowControl/>
        <w:spacing w:line="360" w:lineRule="auto"/>
        <w:rPr>
          <w:sz w:val="26"/>
          <w:szCs w:val="26"/>
        </w:rPr>
      </w:pPr>
    </w:p>
    <w:p w:rsidR="00EE4C25" w:rsidRPr="00EE4C25" w:rsidRDefault="00B910EF" w:rsidP="00144773">
      <w:pPr>
        <w:widowControl/>
        <w:tabs>
          <w:tab w:val="left" w:pos="1440"/>
        </w:tabs>
        <w:spacing w:line="360" w:lineRule="auto"/>
        <w:rPr>
          <w:sz w:val="26"/>
          <w:szCs w:val="26"/>
        </w:rPr>
      </w:pPr>
      <w:r>
        <w:rPr>
          <w:sz w:val="26"/>
          <w:szCs w:val="26"/>
        </w:rPr>
        <w:tab/>
      </w:r>
      <w:r w:rsidR="000437A1">
        <w:rPr>
          <w:sz w:val="26"/>
          <w:szCs w:val="26"/>
        </w:rPr>
        <w:t xml:space="preserve">The </w:t>
      </w:r>
      <w:r w:rsidR="00EE4C25" w:rsidRPr="00EE4C25">
        <w:rPr>
          <w:sz w:val="26"/>
          <w:szCs w:val="26"/>
        </w:rPr>
        <w:t>ALJ’s Recommended Decision regard</w:t>
      </w:r>
      <w:r w:rsidR="00600039">
        <w:rPr>
          <w:sz w:val="26"/>
          <w:szCs w:val="26"/>
        </w:rPr>
        <w:t>ing</w:t>
      </w:r>
      <w:r w:rsidR="00EE4C25" w:rsidRPr="00EE4C25">
        <w:rPr>
          <w:sz w:val="26"/>
          <w:szCs w:val="26"/>
        </w:rPr>
        <w:t xml:space="preserve"> NRG’</w:t>
      </w:r>
      <w:r w:rsidR="00304BCB">
        <w:rPr>
          <w:sz w:val="26"/>
          <w:szCs w:val="26"/>
        </w:rPr>
        <w:t>s</w:t>
      </w:r>
      <w:r w:rsidR="00EE4C25" w:rsidRPr="00EE4C25">
        <w:rPr>
          <w:sz w:val="26"/>
          <w:szCs w:val="26"/>
        </w:rPr>
        <w:t xml:space="preserve"> Complaint </w:t>
      </w:r>
      <w:r w:rsidR="004A0864">
        <w:rPr>
          <w:sz w:val="26"/>
          <w:szCs w:val="26"/>
        </w:rPr>
        <w:t>against Rider No. 18</w:t>
      </w:r>
      <w:r w:rsidR="00EE4C25" w:rsidRPr="00EE4C25">
        <w:rPr>
          <w:sz w:val="26"/>
          <w:szCs w:val="26"/>
        </w:rPr>
        <w:t xml:space="preserve"> </w:t>
      </w:r>
      <w:r w:rsidR="00600039">
        <w:rPr>
          <w:sz w:val="26"/>
          <w:szCs w:val="26"/>
        </w:rPr>
        <w:t xml:space="preserve">was issued </w:t>
      </w:r>
      <w:r w:rsidR="00EE4C25" w:rsidRPr="00EE4C25">
        <w:rPr>
          <w:sz w:val="26"/>
          <w:szCs w:val="26"/>
        </w:rPr>
        <w:t xml:space="preserve">on June 4, 2014.  In </w:t>
      </w:r>
      <w:r w:rsidR="000437A1">
        <w:rPr>
          <w:sz w:val="26"/>
          <w:szCs w:val="26"/>
        </w:rPr>
        <w:t>that</w:t>
      </w:r>
      <w:r w:rsidR="00EE4C25" w:rsidRPr="00EE4C25">
        <w:rPr>
          <w:sz w:val="26"/>
          <w:szCs w:val="26"/>
        </w:rPr>
        <w:t xml:space="preserve"> Recommended Decision, the ALJ recommended that NRG’</w:t>
      </w:r>
      <w:r w:rsidR="00304BCB">
        <w:rPr>
          <w:sz w:val="26"/>
          <w:szCs w:val="26"/>
        </w:rPr>
        <w:t>s</w:t>
      </w:r>
      <w:r w:rsidR="00EE4C25" w:rsidRPr="00EE4C25">
        <w:rPr>
          <w:sz w:val="26"/>
          <w:szCs w:val="26"/>
        </w:rPr>
        <w:t xml:space="preserve"> Complaint be sustained</w:t>
      </w:r>
      <w:r w:rsidR="00600039">
        <w:rPr>
          <w:sz w:val="26"/>
          <w:szCs w:val="26"/>
        </w:rPr>
        <w:t xml:space="preserve">, finding </w:t>
      </w:r>
      <w:r w:rsidR="00EE4C25" w:rsidRPr="00EE4C25">
        <w:rPr>
          <w:sz w:val="26"/>
          <w:szCs w:val="26"/>
        </w:rPr>
        <w:t>that Rider No.</w:t>
      </w:r>
      <w:r w:rsidR="007F43E2">
        <w:rPr>
          <w:sz w:val="26"/>
          <w:szCs w:val="26"/>
        </w:rPr>
        <w:t> </w:t>
      </w:r>
      <w:r w:rsidR="00EE4C25" w:rsidRPr="00EE4C25">
        <w:rPr>
          <w:sz w:val="26"/>
          <w:szCs w:val="26"/>
        </w:rPr>
        <w:t xml:space="preserve">18 is non-compliant with the Commission’s </w:t>
      </w:r>
      <w:r w:rsidR="008778CF">
        <w:rPr>
          <w:sz w:val="26"/>
          <w:szCs w:val="26"/>
        </w:rPr>
        <w:t xml:space="preserve">current </w:t>
      </w:r>
      <w:r w:rsidR="00EE4C25" w:rsidRPr="00EE4C25">
        <w:rPr>
          <w:sz w:val="26"/>
          <w:szCs w:val="26"/>
        </w:rPr>
        <w:t>regulatory scheme and is contrary to the public interest.  The ALJ further recommended that Duquesne’s Rider No. 18 be stricken as not in the public interest</w:t>
      </w:r>
      <w:r w:rsidR="00600039">
        <w:rPr>
          <w:sz w:val="26"/>
          <w:szCs w:val="26"/>
        </w:rPr>
        <w:t>, or in the alternative</w:t>
      </w:r>
      <w:r w:rsidR="004A0864">
        <w:rPr>
          <w:sz w:val="26"/>
          <w:szCs w:val="26"/>
        </w:rPr>
        <w:t>,</w:t>
      </w:r>
      <w:r w:rsidR="00600039">
        <w:rPr>
          <w:sz w:val="26"/>
          <w:szCs w:val="26"/>
        </w:rPr>
        <w:t xml:space="preserve"> that Duquesne be required to file a proposed revised </w:t>
      </w:r>
      <w:r w:rsidR="004A0864">
        <w:rPr>
          <w:sz w:val="26"/>
          <w:szCs w:val="26"/>
        </w:rPr>
        <w:t xml:space="preserve">tariff </w:t>
      </w:r>
      <w:r w:rsidR="00600039">
        <w:rPr>
          <w:sz w:val="26"/>
          <w:szCs w:val="26"/>
        </w:rPr>
        <w:t>that is just, reasonable, non-discriminatory, and in the public interest</w:t>
      </w:r>
      <w:r w:rsidR="00EE4C25" w:rsidRPr="00EE4C25">
        <w:rPr>
          <w:sz w:val="26"/>
          <w:szCs w:val="26"/>
        </w:rPr>
        <w:t>.</w:t>
      </w:r>
    </w:p>
    <w:p w:rsidR="00EE4C25" w:rsidRPr="00EE4C25" w:rsidRDefault="00EE4C25" w:rsidP="00144773">
      <w:pPr>
        <w:widowControl/>
        <w:spacing w:line="360" w:lineRule="auto"/>
        <w:rPr>
          <w:sz w:val="26"/>
          <w:szCs w:val="26"/>
        </w:rPr>
      </w:pPr>
    </w:p>
    <w:p w:rsidR="00EE4C25" w:rsidRDefault="00B910EF" w:rsidP="00144773">
      <w:pPr>
        <w:widowControl/>
        <w:tabs>
          <w:tab w:val="left" w:pos="1440"/>
        </w:tabs>
        <w:spacing w:line="360" w:lineRule="auto"/>
        <w:rPr>
          <w:sz w:val="26"/>
          <w:szCs w:val="26"/>
        </w:rPr>
      </w:pPr>
      <w:r>
        <w:rPr>
          <w:sz w:val="26"/>
          <w:szCs w:val="26"/>
        </w:rPr>
        <w:tab/>
      </w:r>
      <w:r w:rsidR="000437A1">
        <w:rPr>
          <w:sz w:val="26"/>
          <w:szCs w:val="26"/>
        </w:rPr>
        <w:t xml:space="preserve">Duquesne and BFMA filed </w:t>
      </w:r>
      <w:r w:rsidR="00EE4C25" w:rsidRPr="00EE4C25">
        <w:rPr>
          <w:sz w:val="26"/>
          <w:szCs w:val="26"/>
        </w:rPr>
        <w:t xml:space="preserve">Exceptions </w:t>
      </w:r>
      <w:r w:rsidR="000437A1">
        <w:rPr>
          <w:sz w:val="26"/>
          <w:szCs w:val="26"/>
        </w:rPr>
        <w:t xml:space="preserve">to the Recommended Decision on </w:t>
      </w:r>
      <w:r w:rsidR="00EE4C25" w:rsidRPr="00EE4C25">
        <w:rPr>
          <w:sz w:val="26"/>
          <w:szCs w:val="26"/>
        </w:rPr>
        <w:t>June 19, 2014</w:t>
      </w:r>
      <w:r w:rsidR="000437A1">
        <w:rPr>
          <w:sz w:val="26"/>
          <w:szCs w:val="26"/>
        </w:rPr>
        <w:t xml:space="preserve">.  NRG filed </w:t>
      </w:r>
      <w:r w:rsidR="00EE4C25" w:rsidRPr="00EE4C25">
        <w:rPr>
          <w:sz w:val="26"/>
          <w:szCs w:val="26"/>
        </w:rPr>
        <w:t>Replies to Exceptions on June 26, 2014.</w:t>
      </w:r>
      <w:r w:rsidR="000437A1">
        <w:rPr>
          <w:sz w:val="26"/>
          <w:szCs w:val="26"/>
        </w:rPr>
        <w:t xml:space="preserve">  </w:t>
      </w:r>
    </w:p>
    <w:p w:rsidR="000437A1" w:rsidRDefault="000437A1" w:rsidP="00144773">
      <w:pPr>
        <w:widowControl/>
        <w:tabs>
          <w:tab w:val="left" w:pos="1440"/>
        </w:tabs>
        <w:spacing w:line="360" w:lineRule="auto"/>
        <w:rPr>
          <w:sz w:val="26"/>
          <w:szCs w:val="26"/>
        </w:rPr>
      </w:pPr>
    </w:p>
    <w:p w:rsidR="004B6FE4" w:rsidRDefault="000437A1" w:rsidP="00144773">
      <w:pPr>
        <w:widowControl/>
        <w:tabs>
          <w:tab w:val="left" w:pos="1440"/>
        </w:tabs>
        <w:spacing w:line="360" w:lineRule="auto"/>
        <w:rPr>
          <w:sz w:val="26"/>
          <w:szCs w:val="26"/>
        </w:rPr>
      </w:pPr>
      <w:r>
        <w:rPr>
          <w:sz w:val="26"/>
          <w:szCs w:val="26"/>
        </w:rPr>
        <w:tab/>
        <w:t xml:space="preserve">On November 13, 2014, we issued the </w:t>
      </w:r>
      <w:r>
        <w:rPr>
          <w:i/>
          <w:sz w:val="26"/>
          <w:szCs w:val="26"/>
        </w:rPr>
        <w:t>November 2014 Order</w:t>
      </w:r>
      <w:r>
        <w:rPr>
          <w:sz w:val="26"/>
          <w:szCs w:val="26"/>
        </w:rPr>
        <w:t xml:space="preserve"> resolving NRG’</w:t>
      </w:r>
      <w:r w:rsidR="00304BCB">
        <w:rPr>
          <w:sz w:val="26"/>
          <w:szCs w:val="26"/>
        </w:rPr>
        <w:t>s</w:t>
      </w:r>
      <w:r>
        <w:rPr>
          <w:sz w:val="26"/>
          <w:szCs w:val="26"/>
        </w:rPr>
        <w:t xml:space="preserve"> Complaint against Rider No. 18</w:t>
      </w:r>
      <w:r w:rsidR="004B6FE4">
        <w:rPr>
          <w:sz w:val="26"/>
          <w:szCs w:val="26"/>
        </w:rPr>
        <w:t xml:space="preserve"> by reversing the Recommended Decision of the ALJ and granting the Exceptions filed by Duquesne and the BFMA</w:t>
      </w:r>
      <w:r>
        <w:rPr>
          <w:sz w:val="26"/>
          <w:szCs w:val="26"/>
        </w:rPr>
        <w:t xml:space="preserve">.  </w:t>
      </w:r>
    </w:p>
    <w:p w:rsidR="00344ED8" w:rsidRDefault="00344ED8" w:rsidP="00144773">
      <w:pPr>
        <w:widowControl/>
        <w:tabs>
          <w:tab w:val="left" w:pos="1440"/>
        </w:tabs>
        <w:spacing w:line="360" w:lineRule="auto"/>
        <w:rPr>
          <w:sz w:val="26"/>
          <w:szCs w:val="26"/>
        </w:rPr>
      </w:pPr>
    </w:p>
    <w:p w:rsidR="003306F8" w:rsidRDefault="003306F8" w:rsidP="00D939D5">
      <w:pPr>
        <w:widowControl/>
        <w:tabs>
          <w:tab w:val="left" w:pos="1440"/>
        </w:tabs>
        <w:spacing w:line="360" w:lineRule="auto"/>
        <w:ind w:firstLine="1440"/>
        <w:rPr>
          <w:sz w:val="26"/>
          <w:szCs w:val="26"/>
        </w:rPr>
      </w:pPr>
      <w:r>
        <w:rPr>
          <w:sz w:val="26"/>
          <w:szCs w:val="26"/>
        </w:rPr>
        <w:t xml:space="preserve">As stated previously, NRG filed the Petition on December 1, 2014.  </w:t>
      </w:r>
      <w:r w:rsidR="0087376F">
        <w:rPr>
          <w:sz w:val="26"/>
          <w:szCs w:val="26"/>
        </w:rPr>
        <w:t xml:space="preserve">We granted reconsideration, pending review of and consideration on the merits, on </w:t>
      </w:r>
      <w:r w:rsidR="0087376F">
        <w:rPr>
          <w:sz w:val="26"/>
          <w:szCs w:val="26"/>
        </w:rPr>
        <w:lastRenderedPageBreak/>
        <w:t>December</w:t>
      </w:r>
      <w:r w:rsidR="00D939D5">
        <w:rPr>
          <w:sz w:val="26"/>
          <w:szCs w:val="26"/>
        </w:rPr>
        <w:t> </w:t>
      </w:r>
      <w:r w:rsidR="0087376F">
        <w:rPr>
          <w:sz w:val="26"/>
          <w:szCs w:val="26"/>
        </w:rPr>
        <w:t xml:space="preserve">4, 2014.  </w:t>
      </w:r>
      <w:r>
        <w:rPr>
          <w:sz w:val="26"/>
          <w:szCs w:val="26"/>
        </w:rPr>
        <w:t xml:space="preserve">Answers were filed by Duquesne and the BFMA on December 11, 2014.  </w:t>
      </w:r>
    </w:p>
    <w:p w:rsidR="003306F8" w:rsidRDefault="003306F8" w:rsidP="00D939D5">
      <w:pPr>
        <w:widowControl/>
        <w:tabs>
          <w:tab w:val="left" w:pos="1440"/>
        </w:tabs>
        <w:spacing w:line="360" w:lineRule="auto"/>
        <w:ind w:firstLine="1440"/>
        <w:rPr>
          <w:sz w:val="26"/>
          <w:szCs w:val="26"/>
        </w:rPr>
      </w:pPr>
    </w:p>
    <w:p w:rsidR="00344ED8" w:rsidRDefault="00344ED8" w:rsidP="004A0864">
      <w:pPr>
        <w:keepNext/>
        <w:widowControl/>
        <w:tabs>
          <w:tab w:val="left" w:pos="1440"/>
        </w:tabs>
        <w:spacing w:line="360" w:lineRule="auto"/>
        <w:jc w:val="center"/>
        <w:rPr>
          <w:sz w:val="26"/>
          <w:szCs w:val="26"/>
        </w:rPr>
      </w:pPr>
      <w:r>
        <w:rPr>
          <w:b/>
          <w:sz w:val="26"/>
          <w:szCs w:val="26"/>
        </w:rPr>
        <w:t>Discussion</w:t>
      </w:r>
    </w:p>
    <w:p w:rsidR="00344ED8" w:rsidRDefault="00344ED8" w:rsidP="004A0864">
      <w:pPr>
        <w:keepNext/>
        <w:widowControl/>
        <w:tabs>
          <w:tab w:val="left" w:pos="1440"/>
        </w:tabs>
        <w:spacing w:line="360" w:lineRule="auto"/>
        <w:rPr>
          <w:sz w:val="26"/>
          <w:szCs w:val="26"/>
        </w:rPr>
      </w:pPr>
    </w:p>
    <w:p w:rsidR="00344ED8" w:rsidRPr="00344ED8" w:rsidRDefault="00344ED8" w:rsidP="004A0864">
      <w:pPr>
        <w:keepNext/>
        <w:widowControl/>
        <w:tabs>
          <w:tab w:val="left" w:pos="1440"/>
        </w:tabs>
        <w:spacing w:line="360" w:lineRule="auto"/>
        <w:rPr>
          <w:b/>
          <w:sz w:val="26"/>
          <w:szCs w:val="26"/>
        </w:rPr>
      </w:pPr>
      <w:r>
        <w:rPr>
          <w:b/>
          <w:sz w:val="26"/>
          <w:szCs w:val="26"/>
        </w:rPr>
        <w:t>Legal Standards</w:t>
      </w:r>
    </w:p>
    <w:p w:rsidR="004B6FE4" w:rsidRDefault="004B6FE4" w:rsidP="00144773">
      <w:pPr>
        <w:widowControl/>
        <w:tabs>
          <w:tab w:val="left" w:pos="1440"/>
        </w:tabs>
        <w:spacing w:line="360" w:lineRule="auto"/>
        <w:rPr>
          <w:sz w:val="26"/>
          <w:szCs w:val="26"/>
        </w:rPr>
      </w:pPr>
    </w:p>
    <w:p w:rsidR="004B6FE4" w:rsidRPr="00625B2B" w:rsidRDefault="004B6FE4" w:rsidP="00144773">
      <w:pPr>
        <w:widowControl/>
        <w:spacing w:line="360" w:lineRule="auto"/>
        <w:ind w:firstLine="1440"/>
        <w:rPr>
          <w:color w:val="000000"/>
          <w:sz w:val="26"/>
          <w:szCs w:val="26"/>
        </w:rPr>
      </w:pPr>
      <w:r w:rsidRPr="00625B2B">
        <w:rPr>
          <w:sz w:val="26"/>
          <w:szCs w:val="26"/>
        </w:rPr>
        <w:t>We note that any issue or argument that we do not specifically address has been duly considered and will be denied without further discussion.  It is well</w:t>
      </w:r>
      <w:r w:rsidR="0051214C">
        <w:rPr>
          <w:sz w:val="26"/>
          <w:szCs w:val="26"/>
        </w:rPr>
        <w:noBreakHyphen/>
      </w:r>
      <w:r w:rsidRPr="00625B2B">
        <w:rPr>
          <w:sz w:val="26"/>
          <w:szCs w:val="26"/>
        </w:rPr>
        <w:t xml:space="preserve">settled that we are not required to consider expressly or at length each contention or argument raised by the </w:t>
      </w:r>
      <w:r w:rsidR="00304BCB">
        <w:rPr>
          <w:sz w:val="26"/>
          <w:szCs w:val="26"/>
        </w:rPr>
        <w:t>parties</w:t>
      </w:r>
      <w:r w:rsidRPr="00625B2B">
        <w:rPr>
          <w:sz w:val="26"/>
          <w:szCs w:val="26"/>
        </w:rPr>
        <w:t xml:space="preserve">.  </w:t>
      </w:r>
      <w:hyperlink r:id="rId9" w:history="1">
        <w:r w:rsidRPr="00625B2B">
          <w:rPr>
            <w:i/>
            <w:iCs/>
            <w:color w:val="000000"/>
            <w:sz w:val="26"/>
            <w:szCs w:val="26"/>
          </w:rPr>
          <w:t xml:space="preserve">Consolidated Rail Corporation v. Pa. PUC, </w:t>
        </w:r>
        <w:r w:rsidRPr="00625B2B">
          <w:rPr>
            <w:color w:val="000000"/>
            <w:sz w:val="26"/>
            <w:szCs w:val="26"/>
          </w:rPr>
          <w:t>625 A.2d 741 (Pa. Cmwlth. 1993);</w:t>
        </w:r>
      </w:hyperlink>
      <w:r w:rsidRPr="00625B2B">
        <w:rPr>
          <w:color w:val="000000"/>
          <w:sz w:val="26"/>
          <w:szCs w:val="26"/>
        </w:rPr>
        <w:t xml:space="preserve"> </w:t>
      </w:r>
      <w:r w:rsidRPr="00625B2B">
        <w:rPr>
          <w:i/>
          <w:color w:val="000000"/>
          <w:sz w:val="26"/>
          <w:szCs w:val="26"/>
        </w:rPr>
        <w:t xml:space="preserve">also </w:t>
      </w:r>
      <w:r w:rsidRPr="00625B2B">
        <w:rPr>
          <w:i/>
          <w:iCs/>
          <w:color w:val="000000"/>
          <w:sz w:val="26"/>
          <w:szCs w:val="26"/>
        </w:rPr>
        <w:t xml:space="preserve">see, generally, </w:t>
      </w:r>
      <w:hyperlink r:id="rId10" w:history="1">
        <w:r w:rsidRPr="00625B2B">
          <w:rPr>
            <w:i/>
            <w:iCs/>
            <w:color w:val="000000"/>
            <w:sz w:val="26"/>
            <w:szCs w:val="26"/>
          </w:rPr>
          <w:t>University of Pennsylvania v. Pa. PUC</w:t>
        </w:r>
        <w:r w:rsidRPr="00625B2B">
          <w:rPr>
            <w:color w:val="000000"/>
            <w:sz w:val="26"/>
            <w:szCs w:val="26"/>
          </w:rPr>
          <w:t>, 485 A.2d 1217 (Pa. Cmwlth. 1984).</w:t>
        </w:r>
      </w:hyperlink>
    </w:p>
    <w:p w:rsidR="004B6FE4" w:rsidRPr="00625B2B" w:rsidRDefault="004B6FE4" w:rsidP="00144773">
      <w:pPr>
        <w:widowControl/>
        <w:spacing w:line="360" w:lineRule="auto"/>
        <w:ind w:firstLine="1440"/>
        <w:rPr>
          <w:sz w:val="26"/>
          <w:szCs w:val="26"/>
        </w:rPr>
      </w:pPr>
    </w:p>
    <w:p w:rsidR="00F32A5D" w:rsidRDefault="004B6FE4" w:rsidP="00144773">
      <w:pPr>
        <w:widowControl/>
        <w:spacing w:line="360" w:lineRule="auto"/>
        <w:ind w:firstLine="1440"/>
        <w:rPr>
          <w:sz w:val="26"/>
          <w:szCs w:val="26"/>
        </w:rPr>
      </w:pPr>
      <w:r w:rsidRPr="00625B2B">
        <w:rPr>
          <w:sz w:val="26"/>
          <w:szCs w:val="26"/>
        </w:rPr>
        <w:t>Subsections 703(f) and (g)</w:t>
      </w:r>
      <w:r w:rsidR="00344ED8">
        <w:rPr>
          <w:sz w:val="26"/>
          <w:szCs w:val="26"/>
        </w:rPr>
        <w:t xml:space="preserve"> of the Code</w:t>
      </w:r>
      <w:r w:rsidRPr="00625B2B">
        <w:rPr>
          <w:sz w:val="26"/>
          <w:szCs w:val="26"/>
        </w:rPr>
        <w:t>, 66 Pa. C.S. §§ 703(f) and (g), relating to rehearings</w:t>
      </w:r>
      <w:r w:rsidR="00344ED8">
        <w:rPr>
          <w:sz w:val="26"/>
          <w:szCs w:val="26"/>
        </w:rPr>
        <w:t xml:space="preserve"> and</w:t>
      </w:r>
      <w:r w:rsidRPr="00625B2B">
        <w:rPr>
          <w:sz w:val="26"/>
          <w:szCs w:val="26"/>
        </w:rPr>
        <w:t xml:space="preserve"> the rescission and amendment of orders</w:t>
      </w:r>
      <w:r w:rsidR="00344ED8">
        <w:rPr>
          <w:sz w:val="26"/>
          <w:szCs w:val="26"/>
        </w:rPr>
        <w:t>, establish a party’s right to seek relief following the issuance of our final decisions</w:t>
      </w:r>
      <w:r w:rsidRPr="00625B2B">
        <w:rPr>
          <w:sz w:val="26"/>
          <w:szCs w:val="26"/>
        </w:rPr>
        <w:t xml:space="preserve">.  Such requests for relief must be consistent with Section 5.572 of our Regulations, 52 Pa. Code § 5.572, relating to petitions for relief following the issuance of a final decision.  </w:t>
      </w:r>
    </w:p>
    <w:p w:rsidR="00F32A5D" w:rsidRDefault="00F32A5D" w:rsidP="00144773">
      <w:pPr>
        <w:widowControl/>
        <w:spacing w:line="360" w:lineRule="auto"/>
        <w:ind w:firstLine="1440"/>
        <w:rPr>
          <w:sz w:val="26"/>
          <w:szCs w:val="26"/>
        </w:rPr>
      </w:pPr>
    </w:p>
    <w:p w:rsidR="004B6FE4" w:rsidRPr="00625B2B" w:rsidRDefault="00F32A5D" w:rsidP="00144773">
      <w:pPr>
        <w:widowControl/>
        <w:spacing w:line="360" w:lineRule="auto"/>
        <w:ind w:firstLine="1440"/>
        <w:rPr>
          <w:sz w:val="26"/>
          <w:szCs w:val="26"/>
        </w:rPr>
      </w:pPr>
      <w:r w:rsidRPr="00F32A5D">
        <w:rPr>
          <w:sz w:val="26"/>
          <w:szCs w:val="26"/>
        </w:rPr>
        <w:t xml:space="preserve">A </w:t>
      </w:r>
      <w:r w:rsidRPr="00F32A5D">
        <w:rPr>
          <w:bCs/>
          <w:sz w:val="26"/>
          <w:szCs w:val="26"/>
        </w:rPr>
        <w:t>petition</w:t>
      </w:r>
      <w:r w:rsidRPr="00F32A5D">
        <w:rPr>
          <w:sz w:val="26"/>
          <w:szCs w:val="26"/>
        </w:rPr>
        <w:t xml:space="preserve"> to amend or rescind a final Commission order may be granted only judiciously and under appropriate circumstances because such an action results in the disturbance of final Commission orders.  </w:t>
      </w:r>
      <w:r w:rsidRPr="00F32A5D">
        <w:rPr>
          <w:i/>
          <w:iCs/>
          <w:sz w:val="26"/>
          <w:szCs w:val="26"/>
        </w:rPr>
        <w:t>City of Pittsburgh v. Pennsylvania Department of Transportation</w:t>
      </w:r>
      <w:r w:rsidRPr="00F32A5D">
        <w:rPr>
          <w:sz w:val="26"/>
          <w:szCs w:val="26"/>
        </w:rPr>
        <w:t xml:space="preserve">, 490 Pa. 264, 416 A.2d 461 (1980).  </w:t>
      </w:r>
      <w:r w:rsidR="004A0864">
        <w:rPr>
          <w:sz w:val="26"/>
          <w:szCs w:val="26"/>
        </w:rPr>
        <w:t>The standards for granting a p</w:t>
      </w:r>
      <w:r w:rsidR="004B6FE4" w:rsidRPr="00625B2B">
        <w:rPr>
          <w:sz w:val="26"/>
          <w:szCs w:val="26"/>
        </w:rPr>
        <w:t xml:space="preserve">etition for </w:t>
      </w:r>
      <w:r w:rsidR="004A0864">
        <w:rPr>
          <w:sz w:val="26"/>
          <w:szCs w:val="26"/>
        </w:rPr>
        <w:t>r</w:t>
      </w:r>
      <w:r w:rsidR="004B6FE4" w:rsidRPr="00625B2B">
        <w:rPr>
          <w:sz w:val="26"/>
          <w:szCs w:val="26"/>
        </w:rPr>
        <w:t xml:space="preserve">econsideration were set forth in </w:t>
      </w:r>
      <w:r w:rsidR="004B6FE4" w:rsidRPr="00625B2B">
        <w:rPr>
          <w:i/>
          <w:sz w:val="26"/>
          <w:szCs w:val="26"/>
        </w:rPr>
        <w:t>Duick v. Pennsylvania Gas and Water Company</w:t>
      </w:r>
      <w:r w:rsidR="004B6FE4" w:rsidRPr="00625B2B">
        <w:rPr>
          <w:sz w:val="26"/>
          <w:szCs w:val="26"/>
        </w:rPr>
        <w:t xml:space="preserve">, </w:t>
      </w:r>
      <w:r w:rsidR="00BA3F7E" w:rsidRPr="00BA3F7E">
        <w:rPr>
          <w:sz w:val="26"/>
          <w:szCs w:val="26"/>
        </w:rPr>
        <w:t>56 Pa. P.U.C. 553 (1982)</w:t>
      </w:r>
      <w:r w:rsidR="00B86F1B">
        <w:rPr>
          <w:sz w:val="26"/>
          <w:szCs w:val="26"/>
        </w:rPr>
        <w:t xml:space="preserve"> </w:t>
      </w:r>
      <w:r w:rsidR="00BA3F7E" w:rsidRPr="00BA3F7E">
        <w:rPr>
          <w:sz w:val="26"/>
          <w:szCs w:val="26"/>
        </w:rPr>
        <w:t>(</w:t>
      </w:r>
      <w:r w:rsidR="00BA3F7E" w:rsidRPr="00BA3F7E">
        <w:rPr>
          <w:i/>
          <w:sz w:val="26"/>
          <w:szCs w:val="26"/>
        </w:rPr>
        <w:t>Duick</w:t>
      </w:r>
      <w:r w:rsidR="00BA3F7E" w:rsidRPr="00BA3F7E">
        <w:rPr>
          <w:sz w:val="26"/>
          <w:szCs w:val="26"/>
        </w:rPr>
        <w:t>)</w:t>
      </w:r>
      <w:r w:rsidR="004B6FE4" w:rsidRPr="00625B2B">
        <w:rPr>
          <w:sz w:val="26"/>
          <w:szCs w:val="26"/>
        </w:rPr>
        <w:t xml:space="preserve">:  </w:t>
      </w:r>
    </w:p>
    <w:p w:rsidR="004B6FE4" w:rsidRDefault="004B6FE4" w:rsidP="00144773">
      <w:pPr>
        <w:widowControl/>
        <w:ind w:left="1440" w:right="1440"/>
        <w:rPr>
          <w:sz w:val="26"/>
          <w:szCs w:val="26"/>
        </w:rPr>
      </w:pPr>
    </w:p>
    <w:p w:rsidR="004B6FE4" w:rsidRPr="00625B2B" w:rsidRDefault="004B6FE4" w:rsidP="00144773">
      <w:pPr>
        <w:widowControl/>
        <w:ind w:left="1440" w:right="1440"/>
        <w:rPr>
          <w:sz w:val="26"/>
          <w:szCs w:val="26"/>
        </w:rPr>
      </w:pPr>
      <w:r w:rsidRPr="00625B2B">
        <w:rPr>
          <w:sz w:val="26"/>
          <w:szCs w:val="26"/>
        </w:rPr>
        <w:t xml:space="preserve">A Petition for Reconsideration, under the provisions of </w:t>
      </w:r>
    </w:p>
    <w:p w:rsidR="004B6FE4" w:rsidRPr="00625B2B" w:rsidRDefault="004B6FE4" w:rsidP="00144773">
      <w:pPr>
        <w:widowControl/>
        <w:ind w:left="1440" w:right="1440"/>
        <w:rPr>
          <w:sz w:val="26"/>
          <w:szCs w:val="26"/>
        </w:rPr>
      </w:pPr>
      <w:r w:rsidRPr="00625B2B">
        <w:rPr>
          <w:sz w:val="26"/>
          <w:szCs w:val="26"/>
        </w:rPr>
        <w:t xml:space="preserve">66 Pa. C.S. § 703(g), may properly raise any matters designed to convince the Commission that it should exercise its </w:t>
      </w:r>
      <w:r w:rsidRPr="00625B2B">
        <w:rPr>
          <w:sz w:val="26"/>
          <w:szCs w:val="26"/>
        </w:rPr>
        <w:lastRenderedPageBreak/>
        <w:t xml:space="preserve">discretion under this code section to rescind or amend a prior order in whole or in part. </w:t>
      </w:r>
      <w:r w:rsidR="00BA3F7E" w:rsidRPr="00BA3F7E">
        <w:rPr>
          <w:sz w:val="26"/>
          <w:szCs w:val="26"/>
        </w:rPr>
        <w:t>In this regard we agree with the court in the Pennsylvania Railroad Company case, wherein it was said that ‘[p]arties . . . cannot be permitted by a second motion to review and reconsider, to raise the same questions which were specifically considered and decided against them.’ What we expect to see raised in such petitions are new and novel arguments, not previously heard, or considerations which appear to have been overlooked or not addressed by the commission. Absent such matters being presented, we consider it unlikely that a party will succeed in persuading us that our initial decision on a matter or issue was either unwise or in error.</w:t>
      </w:r>
      <w:r w:rsidRPr="00625B2B">
        <w:rPr>
          <w:sz w:val="26"/>
          <w:szCs w:val="26"/>
        </w:rPr>
        <w:t xml:space="preserve"> </w:t>
      </w:r>
    </w:p>
    <w:p w:rsidR="00BA3F7E" w:rsidRDefault="00BA3F7E" w:rsidP="00144773">
      <w:pPr>
        <w:widowControl/>
        <w:ind w:right="1440"/>
        <w:rPr>
          <w:sz w:val="26"/>
          <w:szCs w:val="26"/>
        </w:rPr>
      </w:pPr>
    </w:p>
    <w:p w:rsidR="00BA3F7E" w:rsidRDefault="00BA3F7E" w:rsidP="00144773">
      <w:pPr>
        <w:widowControl/>
        <w:ind w:right="1440"/>
        <w:rPr>
          <w:sz w:val="26"/>
          <w:szCs w:val="26"/>
        </w:rPr>
      </w:pPr>
    </w:p>
    <w:p w:rsidR="00BA3F7E" w:rsidRPr="00BA3F7E" w:rsidRDefault="00BA3F7E" w:rsidP="00144773">
      <w:pPr>
        <w:widowControl/>
        <w:spacing w:line="360" w:lineRule="auto"/>
        <w:rPr>
          <w:sz w:val="26"/>
          <w:szCs w:val="26"/>
        </w:rPr>
      </w:pPr>
      <w:r w:rsidRPr="00BA3F7E">
        <w:rPr>
          <w:i/>
          <w:sz w:val="26"/>
          <w:szCs w:val="26"/>
        </w:rPr>
        <w:t>Duick,</w:t>
      </w:r>
      <w:r w:rsidRPr="00BA3F7E">
        <w:rPr>
          <w:sz w:val="26"/>
          <w:szCs w:val="26"/>
        </w:rPr>
        <w:t xml:space="preserve"> 56 Pa. P.U.C. at 559 (</w:t>
      </w:r>
      <w:r w:rsidRPr="001C437B">
        <w:rPr>
          <w:i/>
          <w:sz w:val="26"/>
          <w:szCs w:val="26"/>
        </w:rPr>
        <w:t>quoting</w:t>
      </w:r>
      <w:r w:rsidRPr="00BA3F7E">
        <w:rPr>
          <w:sz w:val="26"/>
          <w:szCs w:val="26"/>
        </w:rPr>
        <w:t xml:space="preserve"> </w:t>
      </w:r>
      <w:r w:rsidRPr="00BA3F7E">
        <w:rPr>
          <w:i/>
          <w:sz w:val="26"/>
          <w:szCs w:val="26"/>
        </w:rPr>
        <w:t>Pennsylvania Railroad Co. v. Pennsylvania Public Service Commission</w:t>
      </w:r>
      <w:r w:rsidRPr="00BA3F7E">
        <w:rPr>
          <w:sz w:val="26"/>
          <w:szCs w:val="26"/>
        </w:rPr>
        <w:t xml:space="preserve">, 179 A. 850, 854 (Pa. Super. Ct. 1935)).  </w:t>
      </w:r>
    </w:p>
    <w:p w:rsidR="00BA3F7E" w:rsidRPr="00625B2B" w:rsidRDefault="00BA3F7E" w:rsidP="00144773">
      <w:pPr>
        <w:widowControl/>
        <w:ind w:right="1440"/>
        <w:rPr>
          <w:sz w:val="26"/>
          <w:szCs w:val="26"/>
        </w:rPr>
      </w:pPr>
    </w:p>
    <w:p w:rsidR="004B6FE4" w:rsidRDefault="004B6FE4" w:rsidP="00144773">
      <w:pPr>
        <w:widowControl/>
        <w:suppressAutoHyphens/>
        <w:spacing w:line="360" w:lineRule="auto"/>
        <w:rPr>
          <w:color w:val="000000"/>
          <w:spacing w:val="-3"/>
          <w:sz w:val="26"/>
          <w:szCs w:val="26"/>
          <w:u w:color="000000"/>
        </w:rPr>
      </w:pPr>
      <w:r w:rsidRPr="00625B2B">
        <w:rPr>
          <w:color w:val="000000"/>
          <w:spacing w:val="-3"/>
          <w:sz w:val="26"/>
          <w:szCs w:val="26"/>
          <w:u w:color="000000"/>
        </w:rPr>
        <w:tab/>
      </w:r>
      <w:r w:rsidRPr="00625B2B">
        <w:rPr>
          <w:color w:val="000000"/>
          <w:spacing w:val="-3"/>
          <w:sz w:val="26"/>
          <w:szCs w:val="26"/>
          <w:u w:color="000000"/>
        </w:rPr>
        <w:tab/>
      </w:r>
      <w:r w:rsidR="00BA3F7E">
        <w:rPr>
          <w:color w:val="000000"/>
          <w:spacing w:val="-3"/>
          <w:sz w:val="26"/>
          <w:szCs w:val="26"/>
          <w:u w:color="000000"/>
        </w:rPr>
        <w:t>Thus, u</w:t>
      </w:r>
      <w:r w:rsidRPr="00625B2B">
        <w:rPr>
          <w:color w:val="000000"/>
          <w:spacing w:val="-3"/>
          <w:sz w:val="26"/>
          <w:szCs w:val="26"/>
          <w:u w:color="000000"/>
        </w:rPr>
        <w:t xml:space="preserve">nder the standards of </w:t>
      </w:r>
      <w:r w:rsidRPr="00625B2B">
        <w:rPr>
          <w:i/>
          <w:color w:val="000000"/>
          <w:spacing w:val="-3"/>
          <w:sz w:val="26"/>
          <w:szCs w:val="26"/>
          <w:u w:color="000000"/>
        </w:rPr>
        <w:t>Duick</w:t>
      </w:r>
      <w:r w:rsidRPr="00625B2B">
        <w:rPr>
          <w:color w:val="000000"/>
          <w:spacing w:val="-3"/>
          <w:sz w:val="26"/>
          <w:szCs w:val="26"/>
          <w:u w:color="000000"/>
        </w:rPr>
        <w:t xml:space="preserve">, a </w:t>
      </w:r>
      <w:r w:rsidR="00C25DDD">
        <w:rPr>
          <w:color w:val="000000"/>
          <w:spacing w:val="-3"/>
          <w:sz w:val="26"/>
          <w:szCs w:val="26"/>
          <w:u w:color="000000"/>
        </w:rPr>
        <w:t>p</w:t>
      </w:r>
      <w:r w:rsidRPr="00625B2B">
        <w:rPr>
          <w:color w:val="000000"/>
          <w:spacing w:val="-3"/>
          <w:sz w:val="26"/>
          <w:szCs w:val="26"/>
          <w:u w:color="000000"/>
        </w:rPr>
        <w:t xml:space="preserve">etition for </w:t>
      </w:r>
      <w:r w:rsidR="00C25DDD">
        <w:rPr>
          <w:color w:val="000000"/>
          <w:spacing w:val="-3"/>
          <w:sz w:val="26"/>
          <w:szCs w:val="26"/>
          <w:u w:color="000000"/>
        </w:rPr>
        <w:t>r</w:t>
      </w:r>
      <w:r w:rsidRPr="00625B2B">
        <w:rPr>
          <w:color w:val="000000"/>
          <w:spacing w:val="-3"/>
          <w:sz w:val="26"/>
          <w:szCs w:val="26"/>
          <w:u w:color="000000"/>
        </w:rPr>
        <w:t>econsideration may properly raise any matter designed to convince this Commission that we should exercise our discreti</w:t>
      </w:r>
      <w:r w:rsidR="004A0864">
        <w:rPr>
          <w:color w:val="000000"/>
          <w:spacing w:val="-3"/>
          <w:sz w:val="26"/>
          <w:szCs w:val="26"/>
          <w:u w:color="000000"/>
        </w:rPr>
        <w:t>on to amend or rescind a prior o</w:t>
      </w:r>
      <w:r w:rsidRPr="00625B2B">
        <w:rPr>
          <w:color w:val="000000"/>
          <w:spacing w:val="-3"/>
          <w:sz w:val="26"/>
          <w:szCs w:val="26"/>
          <w:u w:color="000000"/>
        </w:rPr>
        <w:t xml:space="preserve">rder in whole or in part.  Such petitions are likely to succeed only when they raise new and novel arguments not previously heard or considerations </w:t>
      </w:r>
      <w:r w:rsidR="001C437B">
        <w:rPr>
          <w:color w:val="000000"/>
          <w:spacing w:val="-3"/>
          <w:sz w:val="26"/>
          <w:szCs w:val="26"/>
          <w:u w:color="000000"/>
        </w:rPr>
        <w:t>that</w:t>
      </w:r>
      <w:r w:rsidRPr="00625B2B">
        <w:rPr>
          <w:color w:val="000000"/>
          <w:spacing w:val="-3"/>
          <w:sz w:val="26"/>
          <w:szCs w:val="26"/>
          <w:u w:color="000000"/>
        </w:rPr>
        <w:t xml:space="preserve"> appear to have been overlooked or not addressed by the Commission.   </w:t>
      </w:r>
    </w:p>
    <w:p w:rsidR="004B6FE4" w:rsidRPr="00625B2B" w:rsidRDefault="004B6FE4" w:rsidP="00144773">
      <w:pPr>
        <w:widowControl/>
        <w:suppressAutoHyphens/>
        <w:spacing w:line="360" w:lineRule="auto"/>
        <w:rPr>
          <w:color w:val="000000"/>
          <w:spacing w:val="-3"/>
          <w:sz w:val="26"/>
          <w:szCs w:val="26"/>
          <w:u w:color="000000"/>
        </w:rPr>
      </w:pPr>
    </w:p>
    <w:p w:rsidR="004B6FE4" w:rsidRPr="001C437B" w:rsidRDefault="004B6FE4" w:rsidP="00144773">
      <w:pPr>
        <w:keepNext/>
        <w:keepLines/>
        <w:widowControl/>
        <w:suppressAutoHyphens/>
        <w:spacing w:line="360" w:lineRule="auto"/>
        <w:rPr>
          <w:b/>
          <w:sz w:val="26"/>
          <w:szCs w:val="26"/>
        </w:rPr>
      </w:pPr>
      <w:r w:rsidRPr="00625B2B">
        <w:rPr>
          <w:color w:val="000000"/>
          <w:spacing w:val="-3"/>
          <w:sz w:val="26"/>
          <w:szCs w:val="26"/>
          <w:u w:color="000000"/>
        </w:rPr>
        <w:t xml:space="preserve"> </w:t>
      </w:r>
      <w:r w:rsidR="00344ED8" w:rsidRPr="001C437B">
        <w:rPr>
          <w:b/>
          <w:sz w:val="26"/>
        </w:rPr>
        <w:t>November</w:t>
      </w:r>
      <w:r w:rsidRPr="001C437B">
        <w:rPr>
          <w:b/>
          <w:sz w:val="26"/>
        </w:rPr>
        <w:t xml:space="preserve"> 2014 Order</w:t>
      </w:r>
    </w:p>
    <w:p w:rsidR="004B6FE4" w:rsidRDefault="004B6FE4" w:rsidP="00144773">
      <w:pPr>
        <w:keepNext/>
        <w:keepLines/>
        <w:widowControl/>
        <w:spacing w:line="360" w:lineRule="auto"/>
        <w:ind w:firstLine="1440"/>
        <w:rPr>
          <w:sz w:val="26"/>
          <w:szCs w:val="26"/>
        </w:rPr>
      </w:pPr>
    </w:p>
    <w:p w:rsidR="00D907CA" w:rsidRDefault="004B6FE4" w:rsidP="00144773">
      <w:pPr>
        <w:widowControl/>
        <w:tabs>
          <w:tab w:val="left" w:pos="1440"/>
        </w:tabs>
        <w:spacing w:line="360" w:lineRule="auto"/>
        <w:rPr>
          <w:sz w:val="26"/>
          <w:szCs w:val="26"/>
        </w:rPr>
      </w:pPr>
      <w:r>
        <w:rPr>
          <w:sz w:val="26"/>
          <w:szCs w:val="26"/>
        </w:rPr>
        <w:tab/>
      </w:r>
      <w:r w:rsidR="00CA7647">
        <w:rPr>
          <w:sz w:val="26"/>
          <w:szCs w:val="26"/>
        </w:rPr>
        <w:t>In his Recommended Decision</w:t>
      </w:r>
      <w:r>
        <w:rPr>
          <w:sz w:val="26"/>
          <w:szCs w:val="26"/>
        </w:rPr>
        <w:t xml:space="preserve">, </w:t>
      </w:r>
      <w:r w:rsidR="00BA3F7E">
        <w:rPr>
          <w:sz w:val="26"/>
          <w:szCs w:val="26"/>
        </w:rPr>
        <w:t xml:space="preserve">the ALJ characterized </w:t>
      </w:r>
      <w:r w:rsidR="007F43E2">
        <w:rPr>
          <w:sz w:val="26"/>
          <w:szCs w:val="26"/>
        </w:rPr>
        <w:t xml:space="preserve">the core issue presented </w:t>
      </w:r>
      <w:r w:rsidR="004A0864">
        <w:rPr>
          <w:sz w:val="26"/>
          <w:szCs w:val="26"/>
        </w:rPr>
        <w:t>in</w:t>
      </w:r>
      <w:r w:rsidR="007F43E2">
        <w:rPr>
          <w:sz w:val="26"/>
          <w:szCs w:val="26"/>
        </w:rPr>
        <w:t xml:space="preserve"> NRG’s Complaint against Rider No. 18 as whether that rider, established in 1981, remained compliant with </w:t>
      </w:r>
      <w:r w:rsidR="003351A6">
        <w:rPr>
          <w:sz w:val="26"/>
          <w:szCs w:val="26"/>
        </w:rPr>
        <w:t xml:space="preserve">the current Pennsylvania statutory law and </w:t>
      </w:r>
      <w:r w:rsidR="007F43E2">
        <w:rPr>
          <w:sz w:val="26"/>
          <w:szCs w:val="26"/>
        </w:rPr>
        <w:t>regulatory scheme in light of the restructuring of the electric industry in Pennsylvania</w:t>
      </w:r>
      <w:r w:rsidR="00D223FE">
        <w:rPr>
          <w:sz w:val="26"/>
          <w:szCs w:val="26"/>
        </w:rPr>
        <w:t xml:space="preserve"> pursuant to the </w:t>
      </w:r>
      <w:r w:rsidR="00D223FE" w:rsidRPr="00D223FE">
        <w:rPr>
          <w:sz w:val="26"/>
          <w:szCs w:val="26"/>
        </w:rPr>
        <w:t>Electricity Generation Customer Choice and Competition Act (</w:t>
      </w:r>
      <w:r w:rsidR="00D223FE" w:rsidRPr="0051214C">
        <w:rPr>
          <w:sz w:val="26"/>
          <w:szCs w:val="26"/>
        </w:rPr>
        <w:t>Electric Competition Act</w:t>
      </w:r>
      <w:r w:rsidR="00D223FE" w:rsidRPr="00D223FE">
        <w:rPr>
          <w:sz w:val="26"/>
          <w:szCs w:val="26"/>
        </w:rPr>
        <w:t>), effective January 1, 1997</w:t>
      </w:r>
      <w:r w:rsidR="00D223FE">
        <w:rPr>
          <w:sz w:val="26"/>
          <w:szCs w:val="26"/>
        </w:rPr>
        <w:t xml:space="preserve">, </w:t>
      </w:r>
      <w:r w:rsidR="00D223FE" w:rsidRPr="00D223FE">
        <w:rPr>
          <w:sz w:val="26"/>
          <w:szCs w:val="26"/>
        </w:rPr>
        <w:t xml:space="preserve">66 Pa. C.S. §§ 2801 – 2815 (as amended).  </w:t>
      </w:r>
    </w:p>
    <w:p w:rsidR="00D907CA" w:rsidRDefault="00D907CA" w:rsidP="00144773">
      <w:pPr>
        <w:widowControl/>
        <w:tabs>
          <w:tab w:val="left" w:pos="1440"/>
        </w:tabs>
        <w:spacing w:line="360" w:lineRule="auto"/>
        <w:rPr>
          <w:sz w:val="26"/>
          <w:szCs w:val="26"/>
        </w:rPr>
      </w:pPr>
    </w:p>
    <w:p w:rsidR="006C188E" w:rsidRDefault="00D907CA" w:rsidP="00144773">
      <w:pPr>
        <w:widowControl/>
        <w:tabs>
          <w:tab w:val="left" w:pos="1440"/>
        </w:tabs>
        <w:spacing w:line="360" w:lineRule="auto"/>
        <w:rPr>
          <w:sz w:val="26"/>
          <w:szCs w:val="26"/>
        </w:rPr>
      </w:pPr>
      <w:r>
        <w:rPr>
          <w:sz w:val="26"/>
          <w:szCs w:val="26"/>
        </w:rPr>
        <w:lastRenderedPageBreak/>
        <w:tab/>
      </w:r>
      <w:r w:rsidR="006C188E">
        <w:rPr>
          <w:sz w:val="26"/>
          <w:szCs w:val="26"/>
        </w:rPr>
        <w:t xml:space="preserve">Focusing on the </w:t>
      </w:r>
      <w:r w:rsidR="004A0864">
        <w:rPr>
          <w:sz w:val="26"/>
          <w:szCs w:val="26"/>
        </w:rPr>
        <w:t xml:space="preserve">fact that the </w:t>
      </w:r>
      <w:r w:rsidR="006C188E">
        <w:rPr>
          <w:sz w:val="26"/>
          <w:szCs w:val="26"/>
        </w:rPr>
        <w:t xml:space="preserve">pricing term </w:t>
      </w:r>
      <w:r w:rsidR="004A0864">
        <w:rPr>
          <w:sz w:val="26"/>
          <w:szCs w:val="26"/>
        </w:rPr>
        <w:t xml:space="preserve">applicable for the power purchased under the </w:t>
      </w:r>
      <w:r w:rsidR="004A0864" w:rsidRPr="004A0864">
        <w:rPr>
          <w:sz w:val="26"/>
          <w:szCs w:val="26"/>
        </w:rPr>
        <w:t>Purchased Power Agreements (PPAs)</w:t>
      </w:r>
      <w:r w:rsidR="006C188E">
        <w:rPr>
          <w:sz w:val="26"/>
          <w:szCs w:val="26"/>
        </w:rPr>
        <w:t xml:space="preserve"> </w:t>
      </w:r>
      <w:r w:rsidR="004A0864">
        <w:rPr>
          <w:sz w:val="26"/>
          <w:szCs w:val="26"/>
        </w:rPr>
        <w:t xml:space="preserve">was included in </w:t>
      </w:r>
      <w:r w:rsidR="006C188E">
        <w:rPr>
          <w:sz w:val="26"/>
          <w:szCs w:val="26"/>
        </w:rPr>
        <w:t xml:space="preserve">a state tariff, the ALJ concluded that Duquesne’s and the BFMA’s arguments that the Commission lacked jurisdiction to change the effective rate under the PPAs </w:t>
      </w:r>
      <w:r w:rsidR="004A0864">
        <w:rPr>
          <w:sz w:val="26"/>
          <w:szCs w:val="26"/>
        </w:rPr>
        <w:t>were</w:t>
      </w:r>
      <w:r w:rsidR="006C188E">
        <w:rPr>
          <w:sz w:val="26"/>
          <w:szCs w:val="26"/>
        </w:rPr>
        <w:t xml:space="preserve"> misplaced.  With respect to the arguments that long-standing case law established the premise that, once approved, the Commission could not revisit the price based upon changes in the state market or regulatory laws, the ALJ found th</w:t>
      </w:r>
      <w:r>
        <w:rPr>
          <w:sz w:val="26"/>
          <w:szCs w:val="26"/>
        </w:rPr>
        <w:t>os</w:t>
      </w:r>
      <w:r w:rsidR="006C188E">
        <w:rPr>
          <w:sz w:val="26"/>
          <w:szCs w:val="26"/>
        </w:rPr>
        <w:t xml:space="preserve">e cases distinguishable because in those cases there was a stated effective period for the contract based on a term of years, the purchased power price was contained </w:t>
      </w:r>
      <w:r w:rsidR="0014024E">
        <w:rPr>
          <w:sz w:val="26"/>
          <w:szCs w:val="26"/>
        </w:rPr>
        <w:t xml:space="preserve">directly </w:t>
      </w:r>
      <w:r w:rsidR="006C188E">
        <w:rPr>
          <w:sz w:val="26"/>
          <w:szCs w:val="26"/>
        </w:rPr>
        <w:t>in the contract, and the Commission had approved the entire contract</w:t>
      </w:r>
      <w:r>
        <w:rPr>
          <w:sz w:val="26"/>
          <w:szCs w:val="26"/>
        </w:rPr>
        <w:t xml:space="preserve"> not just the pricing term</w:t>
      </w:r>
      <w:r w:rsidR="006C188E">
        <w:rPr>
          <w:sz w:val="26"/>
          <w:szCs w:val="26"/>
        </w:rPr>
        <w:t xml:space="preserve">.  </w:t>
      </w:r>
      <w:r>
        <w:rPr>
          <w:sz w:val="26"/>
          <w:szCs w:val="26"/>
        </w:rPr>
        <w:t xml:space="preserve">The ALJ also </w:t>
      </w:r>
      <w:r w:rsidR="00D939D5">
        <w:rPr>
          <w:sz w:val="26"/>
          <w:szCs w:val="26"/>
        </w:rPr>
        <w:t>rejected the argument that</w:t>
      </w:r>
      <w:r>
        <w:rPr>
          <w:sz w:val="26"/>
          <w:szCs w:val="26"/>
        </w:rPr>
        <w:t xml:space="preserve"> the price had been “locked-in” and </w:t>
      </w:r>
      <w:r w:rsidR="00D939D5">
        <w:rPr>
          <w:sz w:val="26"/>
          <w:szCs w:val="26"/>
        </w:rPr>
        <w:t>therefore</w:t>
      </w:r>
      <w:r w:rsidR="00A008C8">
        <w:rPr>
          <w:sz w:val="26"/>
          <w:szCs w:val="26"/>
        </w:rPr>
        <w:t xml:space="preserve"> was </w:t>
      </w:r>
      <w:r>
        <w:rPr>
          <w:sz w:val="26"/>
          <w:szCs w:val="26"/>
        </w:rPr>
        <w:t xml:space="preserve">no longer subject to change because </w:t>
      </w:r>
      <w:r w:rsidR="00D939D5">
        <w:rPr>
          <w:sz w:val="26"/>
          <w:szCs w:val="26"/>
        </w:rPr>
        <w:t xml:space="preserve">he concluded that </w:t>
      </w:r>
      <w:r>
        <w:rPr>
          <w:sz w:val="26"/>
          <w:szCs w:val="26"/>
        </w:rPr>
        <w:t xml:space="preserve">it had been changed in the past.  </w:t>
      </w:r>
      <w:r>
        <w:rPr>
          <w:i/>
          <w:sz w:val="26"/>
          <w:szCs w:val="26"/>
        </w:rPr>
        <w:t xml:space="preserve">November 2014 Order </w:t>
      </w:r>
      <w:r>
        <w:rPr>
          <w:sz w:val="26"/>
          <w:szCs w:val="26"/>
        </w:rPr>
        <w:t xml:space="preserve">at 25-28. </w:t>
      </w:r>
    </w:p>
    <w:p w:rsidR="00D907CA" w:rsidRDefault="00D907CA" w:rsidP="00144773">
      <w:pPr>
        <w:widowControl/>
        <w:tabs>
          <w:tab w:val="left" w:pos="1440"/>
        </w:tabs>
        <w:spacing w:line="360" w:lineRule="auto"/>
        <w:rPr>
          <w:sz w:val="26"/>
          <w:szCs w:val="26"/>
        </w:rPr>
      </w:pPr>
    </w:p>
    <w:p w:rsidR="005F2AD3" w:rsidRDefault="00D907CA" w:rsidP="00144773">
      <w:pPr>
        <w:widowControl/>
        <w:tabs>
          <w:tab w:val="left" w:pos="1440"/>
        </w:tabs>
        <w:spacing w:line="360" w:lineRule="auto"/>
        <w:rPr>
          <w:sz w:val="26"/>
          <w:szCs w:val="26"/>
        </w:rPr>
      </w:pPr>
      <w:r>
        <w:rPr>
          <w:sz w:val="26"/>
          <w:szCs w:val="26"/>
        </w:rPr>
        <w:tab/>
        <w:t>Turning to the rate approved in Rider No. 18, the ALJ concluded that that rate was no longer just and reasonable because it exceeded the calculated avoided cost</w:t>
      </w:r>
      <w:r w:rsidR="005F6598">
        <w:rPr>
          <w:sz w:val="26"/>
          <w:szCs w:val="26"/>
        </w:rPr>
        <w:t xml:space="preserve"> when approved</w:t>
      </w:r>
      <w:r>
        <w:rPr>
          <w:sz w:val="26"/>
          <w:szCs w:val="26"/>
        </w:rPr>
        <w:t>, and when compared to today’s market rates, the rate exceeded the</w:t>
      </w:r>
      <w:r w:rsidR="005F6598">
        <w:rPr>
          <w:sz w:val="26"/>
          <w:szCs w:val="26"/>
        </w:rPr>
        <w:t xml:space="preserve"> current PJM day-ahead locational marginal prices for energy.  Thus, concluded the ALJ, the rate in Rider No. 18 conflicted with current Pennsylvania law under both the Electric Competition Act and the </w:t>
      </w:r>
      <w:r w:rsidR="005F6598" w:rsidRPr="005F6598">
        <w:rPr>
          <w:sz w:val="26"/>
          <w:szCs w:val="26"/>
        </w:rPr>
        <w:t>Alternative Energy</w:t>
      </w:r>
      <w:r w:rsidR="005F6598">
        <w:rPr>
          <w:sz w:val="26"/>
          <w:szCs w:val="26"/>
        </w:rPr>
        <w:t xml:space="preserve"> Portfolio Standards Act, </w:t>
      </w:r>
      <w:r w:rsidR="005F6598" w:rsidRPr="005F6598">
        <w:rPr>
          <w:sz w:val="26"/>
          <w:szCs w:val="26"/>
        </w:rPr>
        <w:t>73 P.S. §§</w:t>
      </w:r>
      <w:r w:rsidR="005F6598">
        <w:rPr>
          <w:sz w:val="26"/>
          <w:szCs w:val="26"/>
        </w:rPr>
        <w:t> </w:t>
      </w:r>
      <w:r w:rsidR="005F6598" w:rsidRPr="005F6598">
        <w:rPr>
          <w:sz w:val="26"/>
          <w:szCs w:val="26"/>
        </w:rPr>
        <w:t>1648.1 – 1648.8</w:t>
      </w:r>
      <w:r w:rsidR="005F6598">
        <w:rPr>
          <w:sz w:val="26"/>
          <w:szCs w:val="26"/>
        </w:rPr>
        <w:t xml:space="preserve"> (AEPSA).  </w:t>
      </w:r>
    </w:p>
    <w:p w:rsidR="005F2AD3" w:rsidRDefault="005F2AD3" w:rsidP="00144773">
      <w:pPr>
        <w:widowControl/>
        <w:tabs>
          <w:tab w:val="left" w:pos="1440"/>
        </w:tabs>
        <w:spacing w:line="360" w:lineRule="auto"/>
        <w:rPr>
          <w:sz w:val="26"/>
          <w:szCs w:val="26"/>
        </w:rPr>
      </w:pPr>
    </w:p>
    <w:p w:rsidR="005F6598" w:rsidRDefault="005F2AD3" w:rsidP="00144773">
      <w:pPr>
        <w:widowControl/>
        <w:tabs>
          <w:tab w:val="left" w:pos="1440"/>
        </w:tabs>
        <w:spacing w:line="360" w:lineRule="auto"/>
        <w:rPr>
          <w:sz w:val="26"/>
          <w:szCs w:val="26"/>
        </w:rPr>
      </w:pPr>
      <w:r>
        <w:rPr>
          <w:sz w:val="26"/>
          <w:szCs w:val="26"/>
        </w:rPr>
        <w:tab/>
      </w:r>
      <w:r w:rsidR="005F6598">
        <w:rPr>
          <w:sz w:val="26"/>
          <w:szCs w:val="26"/>
        </w:rPr>
        <w:t>Th</w:t>
      </w:r>
      <w:r w:rsidR="0051214C">
        <w:rPr>
          <w:sz w:val="26"/>
          <w:szCs w:val="26"/>
        </w:rPr>
        <w:t xml:space="preserve">e ALJ’s conclusion </w:t>
      </w:r>
      <w:r w:rsidR="00C25DDD">
        <w:rPr>
          <w:sz w:val="26"/>
          <w:szCs w:val="26"/>
        </w:rPr>
        <w:t>aligned</w:t>
      </w:r>
      <w:r w:rsidR="005F6598">
        <w:rPr>
          <w:sz w:val="26"/>
          <w:szCs w:val="26"/>
        </w:rPr>
        <w:t xml:space="preserve"> with NRG’</w:t>
      </w:r>
      <w:r w:rsidR="0051214C">
        <w:rPr>
          <w:sz w:val="26"/>
          <w:szCs w:val="26"/>
        </w:rPr>
        <w:t>s</w:t>
      </w:r>
      <w:r w:rsidR="005F6598">
        <w:rPr>
          <w:sz w:val="26"/>
          <w:szCs w:val="26"/>
        </w:rPr>
        <w:t xml:space="preserve"> arguments</w:t>
      </w:r>
      <w:r w:rsidR="00C25DDD">
        <w:rPr>
          <w:sz w:val="26"/>
          <w:szCs w:val="26"/>
        </w:rPr>
        <w:t xml:space="preserve">.  As we noted in the </w:t>
      </w:r>
      <w:r w:rsidR="00C25DDD">
        <w:rPr>
          <w:i/>
          <w:sz w:val="26"/>
          <w:szCs w:val="26"/>
        </w:rPr>
        <w:t>November 2014 Order</w:t>
      </w:r>
      <w:r w:rsidR="005F6598">
        <w:rPr>
          <w:sz w:val="26"/>
          <w:szCs w:val="26"/>
        </w:rPr>
        <w:t xml:space="preserve">, </w:t>
      </w:r>
      <w:r w:rsidR="00C25DDD">
        <w:rPr>
          <w:sz w:val="26"/>
          <w:szCs w:val="26"/>
        </w:rPr>
        <w:t xml:space="preserve">NRG had </w:t>
      </w:r>
      <w:r w:rsidR="005F6598">
        <w:rPr>
          <w:sz w:val="26"/>
          <w:szCs w:val="26"/>
        </w:rPr>
        <w:t>consistently contended that the current avoided cost rate could not withstand scrutiny under today’s state laws and regulatory climate:</w:t>
      </w:r>
    </w:p>
    <w:p w:rsidR="005F6598" w:rsidRDefault="005F6598" w:rsidP="00144773">
      <w:pPr>
        <w:widowControl/>
        <w:tabs>
          <w:tab w:val="left" w:pos="1440"/>
        </w:tabs>
        <w:spacing w:line="360" w:lineRule="auto"/>
        <w:rPr>
          <w:sz w:val="26"/>
          <w:szCs w:val="26"/>
        </w:rPr>
      </w:pPr>
    </w:p>
    <w:p w:rsidR="005F6598" w:rsidRDefault="005F6598" w:rsidP="00144773">
      <w:pPr>
        <w:widowControl/>
        <w:ind w:left="1440" w:right="1440" w:firstLine="1440"/>
        <w:rPr>
          <w:sz w:val="26"/>
          <w:szCs w:val="26"/>
        </w:rPr>
      </w:pPr>
      <w:r w:rsidRPr="006840C0">
        <w:rPr>
          <w:sz w:val="26"/>
          <w:szCs w:val="26"/>
        </w:rPr>
        <w:t xml:space="preserve">In </w:t>
      </w:r>
      <w:r>
        <w:rPr>
          <w:sz w:val="26"/>
          <w:szCs w:val="26"/>
        </w:rPr>
        <w:t xml:space="preserve">its </w:t>
      </w:r>
      <w:r w:rsidRPr="006840C0">
        <w:rPr>
          <w:sz w:val="26"/>
          <w:szCs w:val="26"/>
        </w:rPr>
        <w:t xml:space="preserve">direct testimony, the NRG Companies </w:t>
      </w:r>
      <w:r>
        <w:rPr>
          <w:sz w:val="26"/>
          <w:szCs w:val="26"/>
        </w:rPr>
        <w:t>asserted</w:t>
      </w:r>
      <w:r w:rsidRPr="006840C0">
        <w:rPr>
          <w:sz w:val="26"/>
          <w:szCs w:val="26"/>
        </w:rPr>
        <w:t xml:space="preserve"> that the current tariffed price of </w:t>
      </w:r>
      <w:r>
        <w:rPr>
          <w:sz w:val="26"/>
          <w:szCs w:val="26"/>
        </w:rPr>
        <w:t xml:space="preserve">six cents per </w:t>
      </w:r>
      <w:r w:rsidRPr="006840C0">
        <w:rPr>
          <w:sz w:val="26"/>
          <w:szCs w:val="26"/>
        </w:rPr>
        <w:t xml:space="preserve">kWh was stagnant for thirty-two years and was established in Pennsylvania’s “pre-restructured market[,]” may constitute </w:t>
      </w:r>
      <w:r>
        <w:rPr>
          <w:sz w:val="26"/>
          <w:szCs w:val="26"/>
        </w:rPr>
        <w:lastRenderedPageBreak/>
        <w:t xml:space="preserve">“an </w:t>
      </w:r>
      <w:r w:rsidRPr="006840C0">
        <w:rPr>
          <w:sz w:val="26"/>
          <w:szCs w:val="26"/>
        </w:rPr>
        <w:t xml:space="preserve">indirect </w:t>
      </w:r>
      <w:r>
        <w:rPr>
          <w:sz w:val="26"/>
          <w:szCs w:val="26"/>
        </w:rPr>
        <w:t xml:space="preserve">form of </w:t>
      </w:r>
      <w:r w:rsidRPr="006840C0">
        <w:rPr>
          <w:sz w:val="26"/>
          <w:szCs w:val="26"/>
        </w:rPr>
        <w:t>rate discrimination</w:t>
      </w:r>
      <w:r>
        <w:rPr>
          <w:sz w:val="26"/>
          <w:szCs w:val="26"/>
        </w:rPr>
        <w:t>”</w:t>
      </w:r>
      <w:r w:rsidRPr="006840C0">
        <w:rPr>
          <w:sz w:val="26"/>
          <w:szCs w:val="26"/>
        </w:rPr>
        <w:t xml:space="preserve"> among customer-generators in violation of </w:t>
      </w:r>
      <w:r>
        <w:rPr>
          <w:sz w:val="26"/>
          <w:szCs w:val="26"/>
        </w:rPr>
        <w:t>“</w:t>
      </w:r>
      <w:r w:rsidRPr="006840C0">
        <w:rPr>
          <w:sz w:val="26"/>
          <w:szCs w:val="26"/>
        </w:rPr>
        <w:t>Section 1304 of the Public Utility Code,</w:t>
      </w:r>
      <w:r>
        <w:rPr>
          <w:sz w:val="26"/>
          <w:szCs w:val="26"/>
        </w:rPr>
        <w:t>”</w:t>
      </w:r>
      <w:r w:rsidRPr="006840C0">
        <w:rPr>
          <w:sz w:val="26"/>
          <w:szCs w:val="26"/>
        </w:rPr>
        <w:t xml:space="preserve"> and appeared “to be an outdated remnant of a prior regulatory scheme [which] has been largely displaced by the Electricity Customer Choice and Competition Act in 1996 and the Alternative Energy Portfolio Standards Act in 2004</w:t>
      </w:r>
      <w:r>
        <w:rPr>
          <w:sz w:val="26"/>
          <w:szCs w:val="26"/>
        </w:rPr>
        <w:t>.</w:t>
      </w:r>
      <w:r w:rsidRPr="006840C0">
        <w:rPr>
          <w:sz w:val="26"/>
          <w:szCs w:val="26"/>
        </w:rPr>
        <w:t xml:space="preserve">” NRG Midwest St. 1 at 4-5. NRG requested that “in connection with the present base rate case” Duquesne be required to revise Rider No. 18 to reflect a new purchase price for the affected contracts based on the locational marginal price in the Duquesne Zone.  </w:t>
      </w:r>
      <w:r w:rsidRPr="006840C0">
        <w:rPr>
          <w:i/>
          <w:sz w:val="26"/>
          <w:szCs w:val="26"/>
        </w:rPr>
        <w:t xml:space="preserve">Id. </w:t>
      </w:r>
      <w:r w:rsidRPr="006840C0">
        <w:rPr>
          <w:sz w:val="26"/>
          <w:szCs w:val="26"/>
        </w:rPr>
        <w:t>at 7.</w:t>
      </w:r>
    </w:p>
    <w:p w:rsidR="005F6598" w:rsidRDefault="005F6598" w:rsidP="00144773">
      <w:pPr>
        <w:widowControl/>
        <w:ind w:left="1440" w:right="1440" w:firstLine="720"/>
        <w:rPr>
          <w:sz w:val="26"/>
          <w:szCs w:val="26"/>
        </w:rPr>
      </w:pPr>
    </w:p>
    <w:p w:rsidR="005F6598" w:rsidRDefault="005F6598" w:rsidP="00144773">
      <w:pPr>
        <w:widowControl/>
        <w:tabs>
          <w:tab w:val="left" w:pos="1440"/>
        </w:tabs>
        <w:ind w:left="1440" w:right="1440" w:firstLine="720"/>
        <w:rPr>
          <w:sz w:val="26"/>
          <w:szCs w:val="26"/>
        </w:rPr>
      </w:pPr>
      <w:r>
        <w:rPr>
          <w:sz w:val="26"/>
          <w:szCs w:val="26"/>
        </w:rPr>
        <w:tab/>
      </w:r>
      <w:r w:rsidRPr="006840C0">
        <w:rPr>
          <w:sz w:val="26"/>
          <w:szCs w:val="26"/>
        </w:rPr>
        <w:t>In surrebuttal testimony, the NRG Companies continued their a</w:t>
      </w:r>
      <w:r>
        <w:rPr>
          <w:sz w:val="26"/>
          <w:szCs w:val="26"/>
        </w:rPr>
        <w:t xml:space="preserve">ssertion </w:t>
      </w:r>
      <w:r w:rsidRPr="006840C0">
        <w:rPr>
          <w:sz w:val="26"/>
          <w:szCs w:val="26"/>
        </w:rPr>
        <w:t>that Rider No. 18 is an “outdated tariff provision” that is “simply inconsistent with,” “unsupported by the current regulatory scheme,” and “has been preempted and superseded by an act of the Pennsylvania Legislature” and requested that the Commission either revise the wholesale purchase power price in Rider No. 18 or eliminate Rider No. 18 entirely.  NRG Midwest St. 1-S at 6, 8, 9, 12.</w:t>
      </w:r>
    </w:p>
    <w:p w:rsidR="005F6598" w:rsidRDefault="005F6598" w:rsidP="00144773">
      <w:pPr>
        <w:widowControl/>
        <w:tabs>
          <w:tab w:val="left" w:pos="1440"/>
        </w:tabs>
        <w:spacing w:line="360" w:lineRule="auto"/>
        <w:rPr>
          <w:sz w:val="26"/>
          <w:szCs w:val="26"/>
        </w:rPr>
      </w:pPr>
    </w:p>
    <w:p w:rsidR="00D907CA" w:rsidRDefault="005F6598" w:rsidP="00144773">
      <w:pPr>
        <w:widowControl/>
        <w:tabs>
          <w:tab w:val="left" w:pos="1440"/>
        </w:tabs>
        <w:spacing w:line="360" w:lineRule="auto"/>
        <w:rPr>
          <w:sz w:val="26"/>
          <w:szCs w:val="26"/>
        </w:rPr>
      </w:pPr>
      <w:r>
        <w:rPr>
          <w:i/>
          <w:sz w:val="26"/>
          <w:szCs w:val="26"/>
        </w:rPr>
        <w:t xml:space="preserve">November 2014 Order </w:t>
      </w:r>
      <w:r>
        <w:rPr>
          <w:sz w:val="26"/>
          <w:szCs w:val="26"/>
        </w:rPr>
        <w:t>at 21</w:t>
      </w:r>
      <w:r w:rsidR="00D939D5">
        <w:rPr>
          <w:sz w:val="26"/>
          <w:szCs w:val="26"/>
        </w:rPr>
        <w:t xml:space="preserve"> </w:t>
      </w:r>
      <w:r w:rsidR="00A008C8">
        <w:rPr>
          <w:sz w:val="26"/>
          <w:szCs w:val="26"/>
        </w:rPr>
        <w:t>(note omitted)</w:t>
      </w:r>
      <w:r>
        <w:rPr>
          <w:sz w:val="26"/>
          <w:szCs w:val="26"/>
        </w:rPr>
        <w:t xml:space="preserve">.  </w:t>
      </w:r>
      <w:r w:rsidR="005F2AD3">
        <w:rPr>
          <w:sz w:val="26"/>
          <w:szCs w:val="26"/>
        </w:rPr>
        <w:t xml:space="preserve">In apparent </w:t>
      </w:r>
      <w:r w:rsidR="00C25DDD">
        <w:rPr>
          <w:sz w:val="26"/>
          <w:szCs w:val="26"/>
        </w:rPr>
        <w:t xml:space="preserve">consideration of NRG’s argument that the PPAs had no specified end date, the ALJ, </w:t>
      </w:r>
      <w:r w:rsidR="00C25DDD">
        <w:rPr>
          <w:i/>
          <w:sz w:val="26"/>
          <w:szCs w:val="26"/>
        </w:rPr>
        <w:t>su</w:t>
      </w:r>
      <w:r w:rsidR="0014024E">
        <w:rPr>
          <w:i/>
          <w:sz w:val="26"/>
          <w:szCs w:val="26"/>
        </w:rPr>
        <w:t xml:space="preserve">a sponte </w:t>
      </w:r>
      <w:r w:rsidR="00C25DDD">
        <w:rPr>
          <w:sz w:val="26"/>
          <w:szCs w:val="26"/>
        </w:rPr>
        <w:t xml:space="preserve">concluded </w:t>
      </w:r>
      <w:r>
        <w:rPr>
          <w:sz w:val="26"/>
          <w:szCs w:val="26"/>
        </w:rPr>
        <w:t xml:space="preserve">that the purchased power rate in Rider No. 18 </w:t>
      </w:r>
      <w:r w:rsidR="00E73DA0">
        <w:rPr>
          <w:sz w:val="26"/>
          <w:szCs w:val="26"/>
        </w:rPr>
        <w:t xml:space="preserve">was </w:t>
      </w:r>
      <w:r w:rsidR="00C25DDD">
        <w:rPr>
          <w:sz w:val="26"/>
          <w:szCs w:val="26"/>
        </w:rPr>
        <w:t xml:space="preserve">therefore </w:t>
      </w:r>
      <w:r w:rsidR="00E73DA0">
        <w:rPr>
          <w:sz w:val="26"/>
          <w:szCs w:val="26"/>
        </w:rPr>
        <w:t xml:space="preserve">intended </w:t>
      </w:r>
      <w:r w:rsidR="00C25DDD">
        <w:rPr>
          <w:sz w:val="26"/>
          <w:szCs w:val="26"/>
        </w:rPr>
        <w:t xml:space="preserve">by the QFs </w:t>
      </w:r>
      <w:r w:rsidR="00E73DA0">
        <w:rPr>
          <w:sz w:val="26"/>
          <w:szCs w:val="26"/>
        </w:rPr>
        <w:t xml:space="preserve">to be an “as available” rate to be determined under current conditions and laws at the time the power is delivered.  </w:t>
      </w:r>
      <w:r w:rsidR="00E73DA0">
        <w:rPr>
          <w:i/>
          <w:sz w:val="26"/>
          <w:szCs w:val="26"/>
        </w:rPr>
        <w:t xml:space="preserve">November 2014 Order </w:t>
      </w:r>
      <w:r w:rsidR="00E73DA0">
        <w:rPr>
          <w:sz w:val="26"/>
          <w:szCs w:val="26"/>
        </w:rPr>
        <w:t>at 29-31.</w:t>
      </w:r>
    </w:p>
    <w:p w:rsidR="00E73DA0" w:rsidRDefault="00E73DA0" w:rsidP="00144773">
      <w:pPr>
        <w:widowControl/>
        <w:tabs>
          <w:tab w:val="left" w:pos="1440"/>
        </w:tabs>
        <w:spacing w:line="360" w:lineRule="auto"/>
        <w:rPr>
          <w:sz w:val="26"/>
          <w:szCs w:val="26"/>
        </w:rPr>
      </w:pPr>
    </w:p>
    <w:p w:rsidR="000437A1" w:rsidRDefault="00E73DA0" w:rsidP="00144773">
      <w:pPr>
        <w:widowControl/>
        <w:tabs>
          <w:tab w:val="left" w:pos="1440"/>
        </w:tabs>
        <w:spacing w:line="360" w:lineRule="auto"/>
        <w:rPr>
          <w:sz w:val="26"/>
          <w:szCs w:val="26"/>
        </w:rPr>
      </w:pPr>
      <w:r>
        <w:rPr>
          <w:sz w:val="26"/>
          <w:szCs w:val="26"/>
        </w:rPr>
        <w:tab/>
        <w:t>W</w:t>
      </w:r>
      <w:r w:rsidR="00373EE7">
        <w:rPr>
          <w:sz w:val="26"/>
          <w:szCs w:val="26"/>
        </w:rPr>
        <w:t xml:space="preserve">e </w:t>
      </w:r>
      <w:r w:rsidR="007F43E2">
        <w:rPr>
          <w:sz w:val="26"/>
          <w:szCs w:val="26"/>
        </w:rPr>
        <w:t>granted the Exceptions of Duquesne and the BFMA</w:t>
      </w:r>
      <w:r w:rsidR="0014024E">
        <w:rPr>
          <w:sz w:val="26"/>
          <w:szCs w:val="26"/>
        </w:rPr>
        <w:t xml:space="preserve"> and </w:t>
      </w:r>
      <w:r w:rsidR="0014024E" w:rsidRPr="0014024E">
        <w:rPr>
          <w:sz w:val="26"/>
          <w:szCs w:val="26"/>
        </w:rPr>
        <w:t>reversed the ALJ’s recommendation</w:t>
      </w:r>
      <w:r w:rsidR="00D223FE">
        <w:rPr>
          <w:sz w:val="26"/>
          <w:szCs w:val="26"/>
        </w:rPr>
        <w:t xml:space="preserve">. </w:t>
      </w:r>
      <w:r w:rsidR="00373EE7">
        <w:rPr>
          <w:sz w:val="26"/>
          <w:szCs w:val="26"/>
        </w:rPr>
        <w:t xml:space="preserve">As an initial matter, </w:t>
      </w:r>
      <w:r w:rsidR="00CA7647">
        <w:rPr>
          <w:sz w:val="26"/>
          <w:szCs w:val="26"/>
        </w:rPr>
        <w:t>w</w:t>
      </w:r>
      <w:r w:rsidR="00D223FE">
        <w:rPr>
          <w:sz w:val="26"/>
          <w:szCs w:val="26"/>
        </w:rPr>
        <w:t xml:space="preserve">e found that </w:t>
      </w:r>
      <w:r w:rsidR="0014024E">
        <w:rPr>
          <w:sz w:val="26"/>
          <w:szCs w:val="26"/>
        </w:rPr>
        <w:t xml:space="preserve">PURPA preempted our jurisdiction to </w:t>
      </w:r>
      <w:r w:rsidR="00D223FE">
        <w:rPr>
          <w:sz w:val="26"/>
          <w:szCs w:val="26"/>
        </w:rPr>
        <w:t>rev</w:t>
      </w:r>
      <w:r w:rsidR="0014024E">
        <w:rPr>
          <w:sz w:val="26"/>
          <w:szCs w:val="26"/>
        </w:rPr>
        <w:t xml:space="preserve">isit the applicable terms approved for the PPAs </w:t>
      </w:r>
      <w:r w:rsidR="005F2AD3">
        <w:rPr>
          <w:sz w:val="26"/>
          <w:szCs w:val="26"/>
        </w:rPr>
        <w:t xml:space="preserve">for the purpose of </w:t>
      </w:r>
      <w:r w:rsidR="0014024E">
        <w:rPr>
          <w:sz w:val="26"/>
          <w:szCs w:val="26"/>
        </w:rPr>
        <w:t>rev</w:t>
      </w:r>
      <w:r w:rsidR="00D223FE">
        <w:rPr>
          <w:sz w:val="26"/>
          <w:szCs w:val="26"/>
        </w:rPr>
        <w:t>is</w:t>
      </w:r>
      <w:r w:rsidR="005F2AD3">
        <w:rPr>
          <w:sz w:val="26"/>
          <w:szCs w:val="26"/>
        </w:rPr>
        <w:t>ing</w:t>
      </w:r>
      <w:r w:rsidR="00D223FE">
        <w:rPr>
          <w:sz w:val="26"/>
          <w:szCs w:val="26"/>
        </w:rPr>
        <w:t xml:space="preserve"> the </w:t>
      </w:r>
      <w:r w:rsidR="0051214C">
        <w:rPr>
          <w:sz w:val="26"/>
          <w:szCs w:val="26"/>
        </w:rPr>
        <w:t>purchased</w:t>
      </w:r>
      <w:r w:rsidR="00D223FE">
        <w:rPr>
          <w:sz w:val="26"/>
          <w:szCs w:val="26"/>
        </w:rPr>
        <w:t xml:space="preserve"> purchase price </w:t>
      </w:r>
      <w:r w:rsidR="005F2AD3">
        <w:rPr>
          <w:sz w:val="26"/>
          <w:szCs w:val="26"/>
        </w:rPr>
        <w:t>to comport with current</w:t>
      </w:r>
      <w:r w:rsidR="00D223FE">
        <w:rPr>
          <w:sz w:val="26"/>
          <w:szCs w:val="26"/>
        </w:rPr>
        <w:t xml:space="preserve"> state law</w:t>
      </w:r>
      <w:r w:rsidR="0014024E">
        <w:rPr>
          <w:sz w:val="26"/>
          <w:szCs w:val="26"/>
        </w:rPr>
        <w:t xml:space="preserve">. We reached this conclusion despite the fact that </w:t>
      </w:r>
      <w:r w:rsidR="00D223FE">
        <w:rPr>
          <w:sz w:val="26"/>
          <w:szCs w:val="26"/>
        </w:rPr>
        <w:t>the price for the QF purchased power was contained in a state tariff</w:t>
      </w:r>
      <w:r>
        <w:rPr>
          <w:sz w:val="26"/>
          <w:szCs w:val="26"/>
        </w:rPr>
        <w:t>.</w:t>
      </w:r>
      <w:r w:rsidR="00D223FE">
        <w:rPr>
          <w:sz w:val="26"/>
          <w:szCs w:val="26"/>
        </w:rPr>
        <w:t xml:space="preserve">  Given the development of a full evidentiary record and the presentation of legal arguments by </w:t>
      </w:r>
      <w:r w:rsidR="00304BCB">
        <w:rPr>
          <w:sz w:val="26"/>
          <w:szCs w:val="26"/>
        </w:rPr>
        <w:t>parties</w:t>
      </w:r>
      <w:r w:rsidR="00D223FE">
        <w:rPr>
          <w:sz w:val="26"/>
          <w:szCs w:val="26"/>
        </w:rPr>
        <w:t xml:space="preserve"> in both briefs and exceptions, </w:t>
      </w:r>
      <w:r w:rsidR="00CA7647">
        <w:rPr>
          <w:sz w:val="26"/>
          <w:szCs w:val="26"/>
        </w:rPr>
        <w:t xml:space="preserve">however, </w:t>
      </w:r>
      <w:r w:rsidR="00D223FE">
        <w:rPr>
          <w:sz w:val="26"/>
          <w:szCs w:val="26"/>
        </w:rPr>
        <w:t xml:space="preserve">we also found that the </w:t>
      </w:r>
      <w:r w:rsidR="00D223FE">
        <w:rPr>
          <w:sz w:val="26"/>
          <w:szCs w:val="26"/>
        </w:rPr>
        <w:lastRenderedPageBreak/>
        <w:t>purchase</w:t>
      </w:r>
      <w:r w:rsidR="0051214C">
        <w:rPr>
          <w:sz w:val="26"/>
          <w:szCs w:val="26"/>
        </w:rPr>
        <w:t>d</w:t>
      </w:r>
      <w:r w:rsidR="00D223FE">
        <w:rPr>
          <w:sz w:val="26"/>
          <w:szCs w:val="26"/>
        </w:rPr>
        <w:t xml:space="preserve"> </w:t>
      </w:r>
      <w:r w:rsidR="0051214C">
        <w:rPr>
          <w:sz w:val="26"/>
          <w:szCs w:val="26"/>
        </w:rPr>
        <w:t xml:space="preserve">power </w:t>
      </w:r>
      <w:r w:rsidR="00D223FE">
        <w:rPr>
          <w:sz w:val="26"/>
          <w:szCs w:val="26"/>
        </w:rPr>
        <w:t xml:space="preserve">price reflected in Rider No. 18 continued to reflect a just and reasonable long-term avoided cost rate as required under PURPA.  </w:t>
      </w:r>
    </w:p>
    <w:p w:rsidR="001C437B" w:rsidRDefault="001C437B" w:rsidP="00144773">
      <w:pPr>
        <w:widowControl/>
        <w:tabs>
          <w:tab w:val="left" w:pos="1440"/>
        </w:tabs>
        <w:spacing w:line="360" w:lineRule="auto"/>
        <w:rPr>
          <w:sz w:val="26"/>
          <w:szCs w:val="26"/>
        </w:rPr>
      </w:pPr>
    </w:p>
    <w:p w:rsidR="00FE46C6" w:rsidRDefault="008861E1" w:rsidP="00144773">
      <w:pPr>
        <w:widowControl/>
        <w:tabs>
          <w:tab w:val="left" w:pos="1440"/>
        </w:tabs>
        <w:spacing w:line="360" w:lineRule="auto"/>
        <w:ind w:firstLine="720"/>
        <w:rPr>
          <w:sz w:val="26"/>
          <w:szCs w:val="26"/>
        </w:rPr>
      </w:pPr>
      <w:r>
        <w:rPr>
          <w:sz w:val="26"/>
          <w:szCs w:val="26"/>
        </w:rPr>
        <w:tab/>
      </w:r>
      <w:r w:rsidR="00CA7647">
        <w:rPr>
          <w:sz w:val="26"/>
          <w:szCs w:val="26"/>
        </w:rPr>
        <w:t xml:space="preserve">We commenced our analysis in our </w:t>
      </w:r>
      <w:r w:rsidR="00CA7647">
        <w:rPr>
          <w:i/>
          <w:sz w:val="26"/>
          <w:szCs w:val="26"/>
        </w:rPr>
        <w:t xml:space="preserve">November 2014 </w:t>
      </w:r>
      <w:r w:rsidR="00CA7647" w:rsidRPr="00CA7647">
        <w:rPr>
          <w:i/>
          <w:sz w:val="26"/>
          <w:szCs w:val="26"/>
        </w:rPr>
        <w:t>Order</w:t>
      </w:r>
      <w:r w:rsidR="00CA7647">
        <w:rPr>
          <w:sz w:val="26"/>
          <w:szCs w:val="26"/>
        </w:rPr>
        <w:t xml:space="preserve"> </w:t>
      </w:r>
      <w:r w:rsidR="00D541D9">
        <w:rPr>
          <w:sz w:val="26"/>
          <w:szCs w:val="26"/>
        </w:rPr>
        <w:t xml:space="preserve">by reviewing </w:t>
      </w:r>
      <w:r w:rsidR="00CA7647">
        <w:rPr>
          <w:sz w:val="26"/>
          <w:szCs w:val="26"/>
        </w:rPr>
        <w:t xml:space="preserve">the </w:t>
      </w:r>
      <w:r w:rsidR="00D541D9">
        <w:rPr>
          <w:sz w:val="26"/>
          <w:szCs w:val="26"/>
        </w:rPr>
        <w:t>lengthy</w:t>
      </w:r>
      <w:r w:rsidR="00CA7647">
        <w:rPr>
          <w:sz w:val="26"/>
          <w:szCs w:val="26"/>
        </w:rPr>
        <w:t xml:space="preserve"> </w:t>
      </w:r>
      <w:r w:rsidR="00E73DA0">
        <w:rPr>
          <w:sz w:val="26"/>
          <w:szCs w:val="26"/>
        </w:rPr>
        <w:t xml:space="preserve">legislative and judicial </w:t>
      </w:r>
      <w:r w:rsidR="00CA7647">
        <w:rPr>
          <w:sz w:val="26"/>
          <w:szCs w:val="26"/>
        </w:rPr>
        <w:t xml:space="preserve">history </w:t>
      </w:r>
      <w:r w:rsidR="00E73DA0">
        <w:rPr>
          <w:sz w:val="26"/>
          <w:szCs w:val="26"/>
        </w:rPr>
        <w:t xml:space="preserve">developed since PURPA’s enactment in 1978.  Reviewing the law itself, we found that </w:t>
      </w:r>
      <w:r w:rsidR="00D541D9">
        <w:rPr>
          <w:sz w:val="26"/>
          <w:szCs w:val="26"/>
        </w:rPr>
        <w:t xml:space="preserve">PURPA set forth a comprehensive scheme that </w:t>
      </w:r>
      <w:r w:rsidR="00FE46C6">
        <w:rPr>
          <w:sz w:val="26"/>
          <w:szCs w:val="26"/>
        </w:rPr>
        <w:t xml:space="preserve">required </w:t>
      </w:r>
      <w:r w:rsidR="00D541D9">
        <w:rPr>
          <w:sz w:val="26"/>
          <w:szCs w:val="26"/>
        </w:rPr>
        <w:t xml:space="preserve">public utilities </w:t>
      </w:r>
      <w:r w:rsidR="00FE46C6">
        <w:rPr>
          <w:sz w:val="26"/>
          <w:szCs w:val="26"/>
        </w:rPr>
        <w:t xml:space="preserve">to </w:t>
      </w:r>
      <w:r w:rsidR="00AB6A04" w:rsidRPr="00AB6A04">
        <w:rPr>
          <w:sz w:val="26"/>
          <w:szCs w:val="26"/>
        </w:rPr>
        <w:t xml:space="preserve">purchase energy and capacity from </w:t>
      </w:r>
      <w:r w:rsidR="00FE46C6">
        <w:rPr>
          <w:sz w:val="26"/>
          <w:szCs w:val="26"/>
        </w:rPr>
        <w:t xml:space="preserve">“qualifying facilities” or </w:t>
      </w:r>
      <w:r w:rsidR="00AB6A04" w:rsidRPr="00AB6A04">
        <w:rPr>
          <w:sz w:val="26"/>
          <w:szCs w:val="26"/>
        </w:rPr>
        <w:t xml:space="preserve">QFs, at their incremental or avoided costs. </w:t>
      </w:r>
      <w:r w:rsidR="007069B9">
        <w:rPr>
          <w:sz w:val="26"/>
          <w:szCs w:val="26"/>
        </w:rPr>
        <w:t xml:space="preserve"> 16 U.S.C. §§ 824a-3(a) and (b).</w:t>
      </w:r>
      <w:r w:rsidR="00AB6A04" w:rsidRPr="00AB6A04">
        <w:rPr>
          <w:sz w:val="26"/>
          <w:szCs w:val="26"/>
        </w:rPr>
        <w:t xml:space="preserve"> </w:t>
      </w:r>
      <w:r w:rsidR="007069B9">
        <w:rPr>
          <w:sz w:val="26"/>
          <w:szCs w:val="26"/>
        </w:rPr>
        <w:t xml:space="preserve"> </w:t>
      </w:r>
      <w:r w:rsidR="003176BA">
        <w:rPr>
          <w:sz w:val="26"/>
          <w:szCs w:val="26"/>
        </w:rPr>
        <w:t>The i</w:t>
      </w:r>
      <w:r w:rsidR="007069B9">
        <w:rPr>
          <w:sz w:val="26"/>
          <w:szCs w:val="26"/>
        </w:rPr>
        <w:t xml:space="preserve">ncremental cost of alternative energy was defined as “the cost to the electric utility of the electric energy which, but for the purchase from [the QF], such utility </w:t>
      </w:r>
      <w:r w:rsidR="007069B9" w:rsidRPr="00192B75">
        <w:rPr>
          <w:sz w:val="26"/>
          <w:szCs w:val="26"/>
        </w:rPr>
        <w:t>would generate or purchase from another source</w:t>
      </w:r>
      <w:r w:rsidR="007069B9">
        <w:rPr>
          <w:sz w:val="26"/>
          <w:szCs w:val="26"/>
        </w:rPr>
        <w:t>.” 16 U.S.C. §</w:t>
      </w:r>
      <w:r w:rsidR="00931444">
        <w:rPr>
          <w:sz w:val="26"/>
          <w:szCs w:val="26"/>
        </w:rPr>
        <w:t> </w:t>
      </w:r>
      <w:r w:rsidR="007069B9">
        <w:rPr>
          <w:sz w:val="26"/>
          <w:szCs w:val="26"/>
        </w:rPr>
        <w:t xml:space="preserve">824a-3(d).  </w:t>
      </w:r>
      <w:r w:rsidR="00D541D9">
        <w:rPr>
          <w:sz w:val="26"/>
          <w:szCs w:val="26"/>
        </w:rPr>
        <w:t>Critical to our state review of Rider No. 18 under NRG’</w:t>
      </w:r>
      <w:r w:rsidR="0051214C">
        <w:rPr>
          <w:sz w:val="26"/>
          <w:szCs w:val="26"/>
        </w:rPr>
        <w:t>s</w:t>
      </w:r>
      <w:r w:rsidR="00D541D9">
        <w:rPr>
          <w:sz w:val="26"/>
          <w:szCs w:val="26"/>
        </w:rPr>
        <w:t xml:space="preserve"> claims under the Electric Competition Act was the provision in </w:t>
      </w:r>
      <w:r w:rsidR="007069B9">
        <w:rPr>
          <w:sz w:val="26"/>
          <w:szCs w:val="26"/>
        </w:rPr>
        <w:t xml:space="preserve">PURPA </w:t>
      </w:r>
      <w:r w:rsidR="00D541D9">
        <w:rPr>
          <w:sz w:val="26"/>
          <w:szCs w:val="26"/>
        </w:rPr>
        <w:t xml:space="preserve">that </w:t>
      </w:r>
      <w:r w:rsidR="007069B9">
        <w:rPr>
          <w:sz w:val="26"/>
          <w:szCs w:val="26"/>
        </w:rPr>
        <w:t>exempted QFs “from State laws and regulations respecting the rates, or respecting the financial or organizational regulation, of electric utilities” to encourage this independent production. 16 U.S.C. §</w:t>
      </w:r>
      <w:r w:rsidR="00931444">
        <w:rPr>
          <w:sz w:val="26"/>
          <w:szCs w:val="26"/>
        </w:rPr>
        <w:t xml:space="preserve"> </w:t>
      </w:r>
      <w:r w:rsidR="007069B9">
        <w:rPr>
          <w:sz w:val="26"/>
          <w:szCs w:val="26"/>
        </w:rPr>
        <w:t xml:space="preserve">824a-3(e). </w:t>
      </w:r>
    </w:p>
    <w:p w:rsidR="00FE46C6" w:rsidRDefault="00FE46C6" w:rsidP="00144773">
      <w:pPr>
        <w:widowControl/>
        <w:spacing w:line="360" w:lineRule="auto"/>
        <w:ind w:firstLine="720"/>
        <w:rPr>
          <w:sz w:val="26"/>
          <w:szCs w:val="26"/>
        </w:rPr>
      </w:pPr>
    </w:p>
    <w:p w:rsidR="008D182C" w:rsidRDefault="00D541D9" w:rsidP="00144773">
      <w:pPr>
        <w:widowControl/>
        <w:spacing w:line="360" w:lineRule="auto"/>
        <w:ind w:firstLine="1440"/>
        <w:rPr>
          <w:sz w:val="26"/>
          <w:szCs w:val="26"/>
        </w:rPr>
      </w:pPr>
      <w:r>
        <w:rPr>
          <w:sz w:val="26"/>
          <w:szCs w:val="26"/>
        </w:rPr>
        <w:t xml:space="preserve">These statutory provisions were implemented through </w:t>
      </w:r>
      <w:r w:rsidR="007613EF">
        <w:rPr>
          <w:sz w:val="26"/>
          <w:szCs w:val="26"/>
        </w:rPr>
        <w:t>Federal Energy Regulatory Commission (</w:t>
      </w:r>
      <w:r w:rsidR="00936B8A">
        <w:rPr>
          <w:sz w:val="26"/>
          <w:szCs w:val="26"/>
        </w:rPr>
        <w:t>FERC</w:t>
      </w:r>
      <w:r w:rsidR="007613EF">
        <w:rPr>
          <w:sz w:val="26"/>
          <w:szCs w:val="26"/>
        </w:rPr>
        <w:t>)</w:t>
      </w:r>
      <w:r w:rsidR="00936B8A">
        <w:rPr>
          <w:sz w:val="26"/>
          <w:szCs w:val="26"/>
        </w:rPr>
        <w:t xml:space="preserve"> regulations</w:t>
      </w:r>
      <w:r>
        <w:rPr>
          <w:sz w:val="26"/>
          <w:szCs w:val="26"/>
        </w:rPr>
        <w:t xml:space="preserve">, which were </w:t>
      </w:r>
      <w:r w:rsidR="00936B8A">
        <w:rPr>
          <w:sz w:val="26"/>
          <w:szCs w:val="26"/>
        </w:rPr>
        <w:t xml:space="preserve">codified at 18 C.F.R. </w:t>
      </w:r>
      <w:r w:rsidR="00687F45">
        <w:rPr>
          <w:sz w:val="26"/>
          <w:szCs w:val="26"/>
        </w:rPr>
        <w:t>P</w:t>
      </w:r>
      <w:r w:rsidR="00D04ED0">
        <w:rPr>
          <w:sz w:val="26"/>
          <w:szCs w:val="26"/>
        </w:rPr>
        <w:t>t.</w:t>
      </w:r>
      <w:r w:rsidR="00687F45">
        <w:rPr>
          <w:sz w:val="26"/>
          <w:szCs w:val="26"/>
        </w:rPr>
        <w:t xml:space="preserve"> 292</w:t>
      </w:r>
      <w:r w:rsidR="00AB0FCA">
        <w:rPr>
          <w:sz w:val="26"/>
          <w:szCs w:val="26"/>
        </w:rPr>
        <w:t>.</w:t>
      </w:r>
      <w:r w:rsidR="00256AAC">
        <w:rPr>
          <w:sz w:val="26"/>
          <w:szCs w:val="26"/>
        </w:rPr>
        <w:t xml:space="preserve">  Summarizing the pertinent parts of these</w:t>
      </w:r>
      <w:r w:rsidR="00D2387F">
        <w:rPr>
          <w:sz w:val="26"/>
          <w:szCs w:val="26"/>
        </w:rPr>
        <w:t xml:space="preserve"> regulations, </w:t>
      </w:r>
      <w:r w:rsidR="00256AAC">
        <w:rPr>
          <w:sz w:val="26"/>
          <w:szCs w:val="26"/>
        </w:rPr>
        <w:t xml:space="preserve">we concluded that </w:t>
      </w:r>
      <w:r w:rsidR="00D2387F">
        <w:rPr>
          <w:sz w:val="26"/>
          <w:szCs w:val="26"/>
        </w:rPr>
        <w:t xml:space="preserve">FERC established parameters </w:t>
      </w:r>
      <w:r w:rsidR="00F40DBD">
        <w:rPr>
          <w:sz w:val="26"/>
          <w:szCs w:val="26"/>
        </w:rPr>
        <w:t xml:space="preserve">applicable to </w:t>
      </w:r>
      <w:r w:rsidR="00D2387F">
        <w:rPr>
          <w:sz w:val="26"/>
          <w:szCs w:val="26"/>
        </w:rPr>
        <w:t>rates for QF purchases</w:t>
      </w:r>
      <w:r w:rsidR="00F40DBD">
        <w:rPr>
          <w:sz w:val="26"/>
          <w:szCs w:val="26"/>
        </w:rPr>
        <w:t>,</w:t>
      </w:r>
      <w:r w:rsidR="00D2387F">
        <w:rPr>
          <w:sz w:val="26"/>
          <w:szCs w:val="26"/>
        </w:rPr>
        <w:t xml:space="preserve"> including the following: (1)</w:t>
      </w:r>
      <w:r w:rsidR="00D939D5">
        <w:rPr>
          <w:sz w:val="26"/>
          <w:szCs w:val="26"/>
        </w:rPr>
        <w:t> </w:t>
      </w:r>
      <w:r w:rsidR="00D2387F">
        <w:rPr>
          <w:sz w:val="26"/>
          <w:szCs w:val="26"/>
        </w:rPr>
        <w:t xml:space="preserve">Utilities could not be </w:t>
      </w:r>
      <w:r w:rsidR="00D2387F">
        <w:rPr>
          <w:i/>
          <w:sz w:val="26"/>
          <w:szCs w:val="26"/>
        </w:rPr>
        <w:t xml:space="preserve">required </w:t>
      </w:r>
      <w:r w:rsidR="00D2387F">
        <w:rPr>
          <w:sz w:val="26"/>
          <w:szCs w:val="26"/>
        </w:rPr>
        <w:t xml:space="preserve">to pay more than the avoided cost but could, with the QF, negotiate any price or term; (2) </w:t>
      </w:r>
      <w:r w:rsidR="00F40DBD">
        <w:rPr>
          <w:sz w:val="26"/>
          <w:szCs w:val="26"/>
        </w:rPr>
        <w:t>to the extent practical</w:t>
      </w:r>
      <w:r w:rsidR="003B1EE9">
        <w:rPr>
          <w:sz w:val="26"/>
          <w:szCs w:val="26"/>
        </w:rPr>
        <w:t>,</w:t>
      </w:r>
      <w:r w:rsidR="00F40DBD">
        <w:rPr>
          <w:sz w:val="26"/>
          <w:szCs w:val="26"/>
        </w:rPr>
        <w:t xml:space="preserve"> consideration was to be given to </w:t>
      </w:r>
      <w:r w:rsidR="00D2387F">
        <w:rPr>
          <w:sz w:val="26"/>
          <w:szCs w:val="26"/>
        </w:rPr>
        <w:t>the encouragement of QF production</w:t>
      </w:r>
      <w:r w:rsidR="00D84A90">
        <w:rPr>
          <w:sz w:val="26"/>
          <w:szCs w:val="26"/>
        </w:rPr>
        <w:t xml:space="preserve"> and</w:t>
      </w:r>
      <w:r w:rsidR="00D2387F">
        <w:rPr>
          <w:sz w:val="26"/>
          <w:szCs w:val="26"/>
        </w:rPr>
        <w:t xml:space="preserve"> reduction of fossil fuel use</w:t>
      </w:r>
      <w:r w:rsidR="00D84A90">
        <w:rPr>
          <w:sz w:val="26"/>
          <w:szCs w:val="26"/>
        </w:rPr>
        <w:t xml:space="preserve">; (3) rates based upon avoided costs </w:t>
      </w:r>
      <w:r w:rsidR="00F40DBD">
        <w:rPr>
          <w:sz w:val="26"/>
          <w:szCs w:val="26"/>
        </w:rPr>
        <w:t xml:space="preserve">estimated </w:t>
      </w:r>
      <w:r w:rsidR="00D84A90">
        <w:rPr>
          <w:sz w:val="26"/>
          <w:szCs w:val="26"/>
        </w:rPr>
        <w:t>to be incurred over the term of a contract or other legally enforceable obligation did not have to match avoided costs a</w:t>
      </w:r>
      <w:r w:rsidR="00F40DBD">
        <w:rPr>
          <w:sz w:val="26"/>
          <w:szCs w:val="26"/>
        </w:rPr>
        <w:t>s they would be calculated a</w:t>
      </w:r>
      <w:r w:rsidR="00D84A90">
        <w:rPr>
          <w:sz w:val="26"/>
          <w:szCs w:val="26"/>
        </w:rPr>
        <w:t xml:space="preserve">t the time </w:t>
      </w:r>
      <w:r w:rsidR="00F40DBD">
        <w:rPr>
          <w:sz w:val="26"/>
          <w:szCs w:val="26"/>
        </w:rPr>
        <w:t>the power was d</w:t>
      </w:r>
      <w:r w:rsidR="00D84A90">
        <w:rPr>
          <w:sz w:val="26"/>
          <w:szCs w:val="26"/>
        </w:rPr>
        <w:t>eliver</w:t>
      </w:r>
      <w:r w:rsidR="00F40DBD">
        <w:rPr>
          <w:sz w:val="26"/>
          <w:szCs w:val="26"/>
        </w:rPr>
        <w:t>ed</w:t>
      </w:r>
      <w:r w:rsidR="00D84A90">
        <w:rPr>
          <w:sz w:val="26"/>
          <w:szCs w:val="26"/>
        </w:rPr>
        <w:t xml:space="preserve">; (4) a standard, i.e. tariffed, rate was required for small QFs and allowed for </w:t>
      </w:r>
      <w:r w:rsidR="00F40DBD">
        <w:rPr>
          <w:sz w:val="26"/>
          <w:szCs w:val="26"/>
        </w:rPr>
        <w:t>others</w:t>
      </w:r>
      <w:r w:rsidR="00D84A90">
        <w:rPr>
          <w:sz w:val="26"/>
          <w:szCs w:val="26"/>
        </w:rPr>
        <w:t xml:space="preserve">; (5) QFs had the option to choose to deliver power as it became available for purchase or under a legally enforceable obligation, and QFs that chose the latter had the further option to calculate avoided costs at the time of delivery or </w:t>
      </w:r>
      <w:r w:rsidR="00D84A90">
        <w:rPr>
          <w:sz w:val="26"/>
          <w:szCs w:val="26"/>
        </w:rPr>
        <w:lastRenderedPageBreak/>
        <w:t>at the time the ob</w:t>
      </w:r>
      <w:r w:rsidR="00F40DBD">
        <w:rPr>
          <w:sz w:val="26"/>
          <w:szCs w:val="26"/>
        </w:rPr>
        <w:t xml:space="preserve">ligation was incurred; and (6) an acceptable measure of avoided cost is the cost a utility would incur from the purchase of energy or capacity from another source. </w:t>
      </w:r>
      <w:r w:rsidR="00256AAC">
        <w:rPr>
          <w:sz w:val="26"/>
          <w:szCs w:val="26"/>
        </w:rPr>
        <w:t xml:space="preserve"> Our Regulations implementing FERC’s rules essentially tracked those requirements. </w:t>
      </w:r>
      <w:r w:rsidR="005F2AD3">
        <w:rPr>
          <w:sz w:val="26"/>
          <w:szCs w:val="26"/>
        </w:rPr>
        <w:t xml:space="preserve"> </w:t>
      </w:r>
      <w:r w:rsidR="005F2AD3" w:rsidRPr="005F2AD3">
        <w:rPr>
          <w:i/>
          <w:sz w:val="26"/>
          <w:szCs w:val="26"/>
        </w:rPr>
        <w:t xml:space="preserve">November 2014 Order </w:t>
      </w:r>
      <w:r w:rsidR="005F2AD3">
        <w:rPr>
          <w:sz w:val="26"/>
          <w:szCs w:val="26"/>
        </w:rPr>
        <w:t>at 9-14.</w:t>
      </w:r>
    </w:p>
    <w:p w:rsidR="00373EE7" w:rsidRDefault="00373EE7" w:rsidP="00144773">
      <w:pPr>
        <w:widowControl/>
        <w:spacing w:line="360" w:lineRule="auto"/>
        <w:ind w:firstLine="1440"/>
        <w:rPr>
          <w:sz w:val="26"/>
          <w:szCs w:val="26"/>
        </w:rPr>
      </w:pPr>
    </w:p>
    <w:p w:rsidR="00E73DA0" w:rsidRDefault="00373EE7" w:rsidP="00144773">
      <w:pPr>
        <w:widowControl/>
        <w:spacing w:line="360" w:lineRule="auto"/>
        <w:ind w:firstLine="1440"/>
        <w:rPr>
          <w:sz w:val="26"/>
          <w:szCs w:val="26"/>
        </w:rPr>
      </w:pPr>
      <w:r>
        <w:rPr>
          <w:sz w:val="26"/>
          <w:szCs w:val="26"/>
        </w:rPr>
        <w:t>We found that state authority to revisit previously approved QF purchase</w:t>
      </w:r>
      <w:r w:rsidR="0051214C">
        <w:rPr>
          <w:sz w:val="26"/>
          <w:szCs w:val="26"/>
        </w:rPr>
        <w:t>d power</w:t>
      </w:r>
      <w:r>
        <w:rPr>
          <w:sz w:val="26"/>
          <w:szCs w:val="26"/>
        </w:rPr>
        <w:t xml:space="preserve"> prices on the basis of regulatory or market changes was the subject of substantial review and </w:t>
      </w:r>
      <w:r w:rsidR="0014024E">
        <w:rPr>
          <w:sz w:val="26"/>
          <w:szCs w:val="26"/>
        </w:rPr>
        <w:t xml:space="preserve">critical </w:t>
      </w:r>
      <w:r>
        <w:rPr>
          <w:sz w:val="26"/>
          <w:szCs w:val="26"/>
        </w:rPr>
        <w:t>analysis following the enactment of PURPA</w:t>
      </w:r>
      <w:r w:rsidR="005F2AD3">
        <w:rPr>
          <w:sz w:val="26"/>
          <w:szCs w:val="26"/>
        </w:rPr>
        <w:t>.  F</w:t>
      </w:r>
      <w:r w:rsidR="00C25DDD">
        <w:rPr>
          <w:sz w:val="26"/>
          <w:szCs w:val="26"/>
        </w:rPr>
        <w:t>or the most part</w:t>
      </w:r>
      <w:r w:rsidR="005F2AD3">
        <w:rPr>
          <w:sz w:val="26"/>
          <w:szCs w:val="26"/>
        </w:rPr>
        <w:t xml:space="preserve">, however, this critical analysis was subsequent to </w:t>
      </w:r>
      <w:r w:rsidR="00C25DDD">
        <w:rPr>
          <w:sz w:val="26"/>
          <w:szCs w:val="26"/>
        </w:rPr>
        <w:t>Duquesne’s implementation of Rider No. 18 and the structure of the subject PPAs</w:t>
      </w:r>
      <w:r>
        <w:rPr>
          <w:sz w:val="26"/>
          <w:szCs w:val="26"/>
        </w:rPr>
        <w:t xml:space="preserve">.  Under a </w:t>
      </w:r>
      <w:r w:rsidR="003144B6">
        <w:rPr>
          <w:sz w:val="26"/>
          <w:szCs w:val="26"/>
        </w:rPr>
        <w:t xml:space="preserve">broad array of </w:t>
      </w:r>
      <w:r>
        <w:rPr>
          <w:sz w:val="26"/>
          <w:szCs w:val="26"/>
        </w:rPr>
        <w:t xml:space="preserve">cases, most notably </w:t>
      </w:r>
      <w:r>
        <w:rPr>
          <w:i/>
          <w:sz w:val="26"/>
          <w:szCs w:val="26"/>
        </w:rPr>
        <w:t>Freehold Cogeneration Assocs. L.P. v. Board of Regulatory Comm’rs,</w:t>
      </w:r>
      <w:r>
        <w:rPr>
          <w:sz w:val="26"/>
          <w:szCs w:val="26"/>
        </w:rPr>
        <w:t xml:space="preserve"> 44 F.3d 1178 (</w:t>
      </w:r>
      <w:r w:rsidR="00747AFA">
        <w:rPr>
          <w:sz w:val="26"/>
          <w:szCs w:val="26"/>
        </w:rPr>
        <w:t xml:space="preserve">3d </w:t>
      </w:r>
      <w:r>
        <w:rPr>
          <w:sz w:val="26"/>
          <w:szCs w:val="26"/>
        </w:rPr>
        <w:t>Cir. 1995) (</w:t>
      </w:r>
      <w:r>
        <w:rPr>
          <w:i/>
          <w:sz w:val="26"/>
          <w:szCs w:val="26"/>
        </w:rPr>
        <w:t>Freehold</w:t>
      </w:r>
      <w:r>
        <w:rPr>
          <w:sz w:val="26"/>
          <w:szCs w:val="26"/>
        </w:rPr>
        <w:t xml:space="preserve">) but also </w:t>
      </w:r>
      <w:r w:rsidR="003144B6">
        <w:rPr>
          <w:sz w:val="26"/>
          <w:szCs w:val="26"/>
        </w:rPr>
        <w:t xml:space="preserve">including </w:t>
      </w:r>
      <w:r>
        <w:rPr>
          <w:sz w:val="26"/>
          <w:szCs w:val="26"/>
        </w:rPr>
        <w:t xml:space="preserve">a number of our own Pennsylvania Court and Commission decisions, </w:t>
      </w:r>
      <w:r w:rsidR="00E73DA0">
        <w:rPr>
          <w:sz w:val="26"/>
          <w:szCs w:val="26"/>
        </w:rPr>
        <w:t xml:space="preserve">we found </w:t>
      </w:r>
      <w:r w:rsidR="0051214C">
        <w:rPr>
          <w:sz w:val="26"/>
          <w:szCs w:val="26"/>
        </w:rPr>
        <w:t>unequivocal</w:t>
      </w:r>
      <w:r w:rsidR="00C25DDD">
        <w:rPr>
          <w:sz w:val="26"/>
          <w:szCs w:val="26"/>
        </w:rPr>
        <w:t>ly</w:t>
      </w:r>
      <w:r w:rsidR="0051214C">
        <w:rPr>
          <w:sz w:val="26"/>
          <w:szCs w:val="26"/>
        </w:rPr>
        <w:t xml:space="preserve"> </w:t>
      </w:r>
      <w:r w:rsidR="00C25DDD">
        <w:rPr>
          <w:sz w:val="26"/>
          <w:szCs w:val="26"/>
        </w:rPr>
        <w:t xml:space="preserve">that </w:t>
      </w:r>
      <w:r w:rsidR="003144B6">
        <w:rPr>
          <w:sz w:val="26"/>
          <w:szCs w:val="26"/>
        </w:rPr>
        <w:t>PURPA p</w:t>
      </w:r>
      <w:r>
        <w:rPr>
          <w:sz w:val="26"/>
          <w:szCs w:val="26"/>
        </w:rPr>
        <w:t xml:space="preserve">rohibited </w:t>
      </w:r>
      <w:r w:rsidR="003144B6">
        <w:rPr>
          <w:sz w:val="26"/>
          <w:szCs w:val="26"/>
        </w:rPr>
        <w:t xml:space="preserve">state “utility-type” regulation of QF rates, including specifically the reconsideration of rates based upon changes in either the market or state law.  </w:t>
      </w:r>
      <w:r w:rsidR="003144B6">
        <w:rPr>
          <w:i/>
          <w:sz w:val="26"/>
          <w:szCs w:val="26"/>
        </w:rPr>
        <w:t xml:space="preserve">November 2014 Order </w:t>
      </w:r>
      <w:r w:rsidR="003144B6">
        <w:rPr>
          <w:sz w:val="26"/>
          <w:szCs w:val="26"/>
        </w:rPr>
        <w:t xml:space="preserve">at 45-59. </w:t>
      </w:r>
      <w:r w:rsidR="00747AFA">
        <w:rPr>
          <w:sz w:val="26"/>
          <w:szCs w:val="26"/>
        </w:rPr>
        <w:t xml:space="preserve"> </w:t>
      </w:r>
    </w:p>
    <w:p w:rsidR="00E73DA0" w:rsidRDefault="00E73DA0" w:rsidP="00144773">
      <w:pPr>
        <w:widowControl/>
        <w:spacing w:line="360" w:lineRule="auto"/>
        <w:ind w:firstLine="1440"/>
        <w:rPr>
          <w:sz w:val="26"/>
          <w:szCs w:val="26"/>
        </w:rPr>
      </w:pPr>
    </w:p>
    <w:p w:rsidR="005F2AD3" w:rsidRDefault="0051214C" w:rsidP="00144773">
      <w:pPr>
        <w:widowControl/>
        <w:spacing w:line="360" w:lineRule="auto"/>
        <w:ind w:firstLine="1440"/>
        <w:rPr>
          <w:sz w:val="26"/>
          <w:szCs w:val="26"/>
        </w:rPr>
      </w:pPr>
      <w:r>
        <w:rPr>
          <w:sz w:val="26"/>
          <w:szCs w:val="26"/>
        </w:rPr>
        <w:t>We reviewed case law including c</w:t>
      </w:r>
      <w:r w:rsidR="00E73DA0">
        <w:rPr>
          <w:sz w:val="26"/>
          <w:szCs w:val="26"/>
        </w:rPr>
        <w:t xml:space="preserve">hallenges to QF power production under PURPA </w:t>
      </w:r>
      <w:r>
        <w:rPr>
          <w:sz w:val="26"/>
          <w:szCs w:val="26"/>
        </w:rPr>
        <w:t xml:space="preserve">that </w:t>
      </w:r>
      <w:r w:rsidR="0014024E">
        <w:rPr>
          <w:sz w:val="26"/>
          <w:szCs w:val="26"/>
        </w:rPr>
        <w:t xml:space="preserve">commonly </w:t>
      </w:r>
      <w:r w:rsidR="00E73DA0">
        <w:rPr>
          <w:sz w:val="26"/>
          <w:szCs w:val="26"/>
        </w:rPr>
        <w:t xml:space="preserve">asserted that </w:t>
      </w:r>
      <w:r w:rsidR="00C25DDD">
        <w:rPr>
          <w:sz w:val="26"/>
          <w:szCs w:val="26"/>
        </w:rPr>
        <w:t>approved</w:t>
      </w:r>
      <w:r w:rsidR="00E73DA0">
        <w:rPr>
          <w:sz w:val="26"/>
          <w:szCs w:val="26"/>
        </w:rPr>
        <w:t xml:space="preserve"> QF rates </w:t>
      </w:r>
      <w:r w:rsidR="00C25DDD">
        <w:rPr>
          <w:sz w:val="26"/>
          <w:szCs w:val="26"/>
        </w:rPr>
        <w:t>were</w:t>
      </w:r>
      <w:r w:rsidR="00747AFA">
        <w:rPr>
          <w:sz w:val="26"/>
          <w:szCs w:val="26"/>
        </w:rPr>
        <w:t xml:space="preserve"> </w:t>
      </w:r>
      <w:r w:rsidR="00E73DA0">
        <w:rPr>
          <w:sz w:val="26"/>
          <w:szCs w:val="26"/>
        </w:rPr>
        <w:t xml:space="preserve">no longer just and reasonable because they were </w:t>
      </w:r>
      <w:r w:rsidR="00747AFA">
        <w:rPr>
          <w:sz w:val="26"/>
          <w:szCs w:val="26"/>
        </w:rPr>
        <w:t xml:space="preserve">substantially higher than </w:t>
      </w:r>
      <w:r w:rsidR="0014024E">
        <w:rPr>
          <w:sz w:val="26"/>
          <w:szCs w:val="26"/>
        </w:rPr>
        <w:t xml:space="preserve">what </w:t>
      </w:r>
      <w:r w:rsidR="00E73DA0">
        <w:rPr>
          <w:sz w:val="26"/>
          <w:szCs w:val="26"/>
        </w:rPr>
        <w:t>the then-</w:t>
      </w:r>
      <w:r w:rsidR="00747AFA">
        <w:rPr>
          <w:sz w:val="26"/>
          <w:szCs w:val="26"/>
        </w:rPr>
        <w:t xml:space="preserve">current </w:t>
      </w:r>
      <w:r w:rsidR="00E73DA0">
        <w:rPr>
          <w:sz w:val="26"/>
          <w:szCs w:val="26"/>
        </w:rPr>
        <w:t xml:space="preserve">market or state regulatory </w:t>
      </w:r>
      <w:r w:rsidR="00747AFA">
        <w:rPr>
          <w:sz w:val="26"/>
          <w:szCs w:val="26"/>
        </w:rPr>
        <w:t xml:space="preserve">conditions would allow. </w:t>
      </w:r>
      <w:r w:rsidR="00E73DA0">
        <w:rPr>
          <w:sz w:val="26"/>
          <w:szCs w:val="26"/>
        </w:rPr>
        <w:t xml:space="preserve"> </w:t>
      </w:r>
      <w:r w:rsidR="00C25DDD">
        <w:rPr>
          <w:sz w:val="26"/>
          <w:szCs w:val="26"/>
        </w:rPr>
        <w:t>Th</w:t>
      </w:r>
      <w:r w:rsidR="005F2AD3">
        <w:rPr>
          <w:sz w:val="26"/>
          <w:szCs w:val="26"/>
        </w:rPr>
        <w:t>ese challenges were</w:t>
      </w:r>
      <w:r w:rsidR="00C25DDD">
        <w:rPr>
          <w:sz w:val="26"/>
          <w:szCs w:val="26"/>
        </w:rPr>
        <w:t xml:space="preserve"> not unusual b</w:t>
      </w:r>
      <w:r>
        <w:rPr>
          <w:sz w:val="26"/>
          <w:szCs w:val="26"/>
        </w:rPr>
        <w:t>ecause</w:t>
      </w:r>
      <w:r w:rsidR="00217D5D">
        <w:rPr>
          <w:sz w:val="26"/>
          <w:szCs w:val="26"/>
        </w:rPr>
        <w:t xml:space="preserve">, as the case law frequently revealed, </w:t>
      </w:r>
      <w:r w:rsidR="0014024E">
        <w:rPr>
          <w:sz w:val="26"/>
          <w:szCs w:val="26"/>
        </w:rPr>
        <w:t>QF projects were capital intensive</w:t>
      </w:r>
      <w:r w:rsidR="00A54998">
        <w:rPr>
          <w:sz w:val="26"/>
          <w:szCs w:val="26"/>
        </w:rPr>
        <w:t>,</w:t>
      </w:r>
      <w:r w:rsidR="0014024E">
        <w:rPr>
          <w:sz w:val="26"/>
          <w:szCs w:val="26"/>
        </w:rPr>
        <w:t xml:space="preserve"> took years to become operational, </w:t>
      </w:r>
      <w:r w:rsidR="00A54998">
        <w:rPr>
          <w:sz w:val="26"/>
          <w:szCs w:val="26"/>
        </w:rPr>
        <w:t xml:space="preserve">and often required </w:t>
      </w:r>
      <w:r>
        <w:rPr>
          <w:sz w:val="26"/>
          <w:szCs w:val="26"/>
        </w:rPr>
        <w:t>s</w:t>
      </w:r>
      <w:r w:rsidR="0014024E">
        <w:rPr>
          <w:sz w:val="26"/>
          <w:szCs w:val="26"/>
        </w:rPr>
        <w:t xml:space="preserve">tate approval of rates and a rate recovery mechanism </w:t>
      </w:r>
      <w:r w:rsidR="00A54998">
        <w:rPr>
          <w:sz w:val="26"/>
          <w:szCs w:val="26"/>
        </w:rPr>
        <w:t>as</w:t>
      </w:r>
      <w:r w:rsidR="0014024E">
        <w:rPr>
          <w:sz w:val="26"/>
          <w:szCs w:val="26"/>
        </w:rPr>
        <w:t xml:space="preserve"> conditions precedent to the projects’ fruition.  </w:t>
      </w:r>
      <w:r w:rsidR="005F2AD3">
        <w:rPr>
          <w:sz w:val="26"/>
          <w:szCs w:val="26"/>
        </w:rPr>
        <w:t xml:space="preserve">Thus it was not uncommon for rates to be different, and often lower, at the time the projects became operational than they were at the time they were approved.  </w:t>
      </w:r>
    </w:p>
    <w:p w:rsidR="005F2AD3" w:rsidRDefault="005F2AD3" w:rsidP="00144773">
      <w:pPr>
        <w:widowControl/>
        <w:spacing w:line="360" w:lineRule="auto"/>
        <w:ind w:firstLine="1440"/>
        <w:rPr>
          <w:sz w:val="26"/>
          <w:szCs w:val="26"/>
        </w:rPr>
      </w:pPr>
    </w:p>
    <w:p w:rsidR="00747AFA" w:rsidRDefault="00747AFA" w:rsidP="00144773">
      <w:pPr>
        <w:widowControl/>
        <w:spacing w:line="360" w:lineRule="auto"/>
        <w:ind w:firstLine="1440"/>
        <w:rPr>
          <w:sz w:val="26"/>
          <w:szCs w:val="26"/>
        </w:rPr>
      </w:pPr>
      <w:r>
        <w:rPr>
          <w:sz w:val="26"/>
          <w:szCs w:val="26"/>
        </w:rPr>
        <w:t xml:space="preserve">While </w:t>
      </w:r>
      <w:r>
        <w:rPr>
          <w:i/>
          <w:sz w:val="26"/>
          <w:szCs w:val="26"/>
        </w:rPr>
        <w:t xml:space="preserve">Freehold </w:t>
      </w:r>
      <w:r>
        <w:rPr>
          <w:sz w:val="26"/>
          <w:szCs w:val="26"/>
        </w:rPr>
        <w:t xml:space="preserve">was seminal, </w:t>
      </w:r>
      <w:r w:rsidR="005F2AD3">
        <w:rPr>
          <w:sz w:val="26"/>
          <w:szCs w:val="26"/>
        </w:rPr>
        <w:t xml:space="preserve">we found </w:t>
      </w:r>
      <w:r>
        <w:rPr>
          <w:sz w:val="26"/>
          <w:szCs w:val="26"/>
        </w:rPr>
        <w:t xml:space="preserve">several subsequent cases </w:t>
      </w:r>
      <w:r w:rsidR="00E73DA0">
        <w:rPr>
          <w:sz w:val="26"/>
          <w:szCs w:val="26"/>
        </w:rPr>
        <w:t xml:space="preserve">also </w:t>
      </w:r>
      <w:r w:rsidR="005F2AD3">
        <w:rPr>
          <w:sz w:val="26"/>
          <w:szCs w:val="26"/>
        </w:rPr>
        <w:t xml:space="preserve">to be </w:t>
      </w:r>
      <w:r>
        <w:rPr>
          <w:sz w:val="26"/>
          <w:szCs w:val="26"/>
        </w:rPr>
        <w:t>particularly instructive to our analysis</w:t>
      </w:r>
      <w:r w:rsidR="00E73DA0">
        <w:rPr>
          <w:sz w:val="26"/>
          <w:szCs w:val="26"/>
        </w:rPr>
        <w:t xml:space="preserve">.  We cited, for example, a number of cases where some machination other than a direct </w:t>
      </w:r>
      <w:r w:rsidR="00436658">
        <w:rPr>
          <w:sz w:val="26"/>
          <w:szCs w:val="26"/>
        </w:rPr>
        <w:t xml:space="preserve">revision to a PPA was determined to be preempted </w:t>
      </w:r>
      <w:r w:rsidR="00436658">
        <w:rPr>
          <w:sz w:val="26"/>
          <w:szCs w:val="26"/>
        </w:rPr>
        <w:lastRenderedPageBreak/>
        <w:t>under PURPA.</w:t>
      </w:r>
      <w:r w:rsidR="00436658">
        <w:rPr>
          <w:rStyle w:val="FootnoteReference"/>
          <w:sz w:val="26"/>
          <w:szCs w:val="26"/>
        </w:rPr>
        <w:footnoteReference w:id="3"/>
      </w:r>
      <w:r w:rsidR="005F2AD3">
        <w:rPr>
          <w:sz w:val="26"/>
          <w:szCs w:val="26"/>
        </w:rPr>
        <w:t xml:space="preserve">  </w:t>
      </w:r>
      <w:r w:rsidR="00D152FC">
        <w:rPr>
          <w:sz w:val="26"/>
          <w:szCs w:val="26"/>
        </w:rPr>
        <w:t xml:space="preserve">We also found that despite subsequent amendments to PURPA, including </w:t>
      </w:r>
      <w:r w:rsidR="007973EF">
        <w:rPr>
          <w:sz w:val="26"/>
          <w:szCs w:val="26"/>
        </w:rPr>
        <w:t xml:space="preserve">similar </w:t>
      </w:r>
      <w:r w:rsidR="00C809CD">
        <w:rPr>
          <w:sz w:val="26"/>
          <w:szCs w:val="26"/>
        </w:rPr>
        <w:t xml:space="preserve">evolution </w:t>
      </w:r>
      <w:r w:rsidR="00D152FC">
        <w:rPr>
          <w:sz w:val="26"/>
          <w:szCs w:val="26"/>
        </w:rPr>
        <w:t>from regulation to competition</w:t>
      </w:r>
      <w:r w:rsidR="00C809CD">
        <w:rPr>
          <w:sz w:val="26"/>
          <w:szCs w:val="26"/>
        </w:rPr>
        <w:t xml:space="preserve"> </w:t>
      </w:r>
      <w:r w:rsidR="00D62B43" w:rsidRPr="00D62B43">
        <w:rPr>
          <w:sz w:val="26"/>
          <w:szCs w:val="26"/>
        </w:rPr>
        <w:t xml:space="preserve">at the wholesale level </w:t>
      </w:r>
      <w:r w:rsidR="0051214C">
        <w:rPr>
          <w:sz w:val="26"/>
          <w:szCs w:val="26"/>
        </w:rPr>
        <w:t xml:space="preserve">under federal law </w:t>
      </w:r>
      <w:r w:rsidR="00C809CD">
        <w:rPr>
          <w:sz w:val="26"/>
          <w:szCs w:val="26"/>
        </w:rPr>
        <w:t>that formed the basis for NRG’</w:t>
      </w:r>
      <w:r w:rsidR="0051214C">
        <w:rPr>
          <w:sz w:val="26"/>
          <w:szCs w:val="26"/>
        </w:rPr>
        <w:t>s</w:t>
      </w:r>
      <w:r w:rsidR="00C809CD">
        <w:rPr>
          <w:sz w:val="26"/>
          <w:szCs w:val="26"/>
        </w:rPr>
        <w:t xml:space="preserve"> challenge to the PPAs </w:t>
      </w:r>
      <w:r w:rsidR="00D62B43">
        <w:rPr>
          <w:sz w:val="26"/>
          <w:szCs w:val="26"/>
        </w:rPr>
        <w:t xml:space="preserve">at the retail level </w:t>
      </w:r>
      <w:r w:rsidR="00C809CD">
        <w:rPr>
          <w:sz w:val="26"/>
          <w:szCs w:val="26"/>
        </w:rPr>
        <w:t>under state law</w:t>
      </w:r>
      <w:r w:rsidR="00D152FC">
        <w:rPr>
          <w:sz w:val="26"/>
          <w:szCs w:val="26"/>
        </w:rPr>
        <w:t xml:space="preserve">, our traditional utility-type rate regulation </w:t>
      </w:r>
      <w:r w:rsidR="00C809CD">
        <w:rPr>
          <w:sz w:val="26"/>
          <w:szCs w:val="26"/>
        </w:rPr>
        <w:t xml:space="preserve">over QF power purchases </w:t>
      </w:r>
      <w:r w:rsidR="00D152FC">
        <w:rPr>
          <w:sz w:val="26"/>
          <w:szCs w:val="26"/>
        </w:rPr>
        <w:t xml:space="preserve">remained </w:t>
      </w:r>
      <w:r w:rsidR="0051214C">
        <w:rPr>
          <w:sz w:val="26"/>
          <w:szCs w:val="26"/>
        </w:rPr>
        <w:t>preempted</w:t>
      </w:r>
      <w:r w:rsidR="00D152FC">
        <w:rPr>
          <w:sz w:val="26"/>
          <w:szCs w:val="26"/>
        </w:rPr>
        <w:t xml:space="preserve">.  </w:t>
      </w:r>
      <w:r w:rsidR="00D152FC">
        <w:rPr>
          <w:i/>
          <w:sz w:val="26"/>
          <w:szCs w:val="26"/>
        </w:rPr>
        <w:t xml:space="preserve">November 2014 Order </w:t>
      </w:r>
      <w:r w:rsidR="00D152FC">
        <w:rPr>
          <w:sz w:val="26"/>
          <w:szCs w:val="26"/>
        </w:rPr>
        <w:t>at</w:t>
      </w:r>
      <w:r w:rsidR="00D152FC">
        <w:rPr>
          <w:i/>
          <w:sz w:val="26"/>
          <w:szCs w:val="26"/>
        </w:rPr>
        <w:t xml:space="preserve"> </w:t>
      </w:r>
      <w:r w:rsidR="00D152FC">
        <w:rPr>
          <w:sz w:val="26"/>
          <w:szCs w:val="26"/>
        </w:rPr>
        <w:t xml:space="preserve">53-56.  As we concluded:  </w:t>
      </w:r>
    </w:p>
    <w:p w:rsidR="00D152FC" w:rsidRDefault="00D152FC" w:rsidP="00144773">
      <w:pPr>
        <w:widowControl/>
        <w:spacing w:line="360" w:lineRule="auto"/>
        <w:ind w:firstLine="1440"/>
        <w:rPr>
          <w:sz w:val="26"/>
          <w:szCs w:val="26"/>
        </w:rPr>
      </w:pPr>
    </w:p>
    <w:p w:rsidR="00D152FC" w:rsidRPr="00D152FC" w:rsidRDefault="00D152FC" w:rsidP="00144773">
      <w:pPr>
        <w:widowControl/>
        <w:ind w:left="1440" w:right="1440" w:firstLine="1440"/>
        <w:rPr>
          <w:sz w:val="26"/>
          <w:szCs w:val="26"/>
        </w:rPr>
      </w:pPr>
      <w:r w:rsidRPr="00D152FC">
        <w:rPr>
          <w:sz w:val="26"/>
          <w:szCs w:val="26"/>
        </w:rPr>
        <w:t>Our review and analysis of this substantial body of law leads to the inevitable conclusion that we may not revisit the power purchase price for the long-term Beaver Valley and BFMA PPAs by exerting our traditional jurisdiction over state tariffs as opposed to directly revising the PPAs themselves.  In each of the cases analyzed above, some challenge had been presented to the pricing term applicable to a PURPA PPA on the basis that it was no longer economically beneficial compared to the then-prevailing market or state regulatory scheme.  In each case a state commission was asked, through one regulatory action or another, to reconsider or alter a term applicable to a PPA that it had previously approved. In each case, state action was precluded.</w:t>
      </w:r>
    </w:p>
    <w:p w:rsidR="00D152FC" w:rsidRPr="00D152FC" w:rsidRDefault="00D152FC" w:rsidP="00144773">
      <w:pPr>
        <w:widowControl/>
        <w:ind w:left="1440" w:right="1440" w:firstLine="1440"/>
        <w:rPr>
          <w:sz w:val="26"/>
          <w:szCs w:val="26"/>
        </w:rPr>
      </w:pPr>
    </w:p>
    <w:p w:rsidR="00D152FC" w:rsidRPr="00D152FC" w:rsidRDefault="00D152FC" w:rsidP="00144773">
      <w:pPr>
        <w:widowControl/>
        <w:ind w:left="1440" w:right="1440" w:firstLine="1440"/>
        <w:rPr>
          <w:sz w:val="26"/>
          <w:szCs w:val="26"/>
        </w:rPr>
      </w:pPr>
      <w:r w:rsidRPr="00D152FC">
        <w:rPr>
          <w:sz w:val="26"/>
          <w:szCs w:val="26"/>
        </w:rPr>
        <w:t xml:space="preserve">In </w:t>
      </w:r>
      <w:r w:rsidRPr="00D152FC">
        <w:rPr>
          <w:i/>
          <w:sz w:val="26"/>
          <w:szCs w:val="26"/>
        </w:rPr>
        <w:t>Freehold</w:t>
      </w:r>
      <w:r w:rsidRPr="00D152FC">
        <w:rPr>
          <w:sz w:val="26"/>
          <w:szCs w:val="26"/>
        </w:rPr>
        <w:t xml:space="preserve">, state commission action that compelled the </w:t>
      </w:r>
      <w:r w:rsidR="00304BCB">
        <w:rPr>
          <w:sz w:val="26"/>
          <w:szCs w:val="26"/>
        </w:rPr>
        <w:t>parties</w:t>
      </w:r>
      <w:r w:rsidRPr="00D152FC">
        <w:rPr>
          <w:sz w:val="26"/>
          <w:szCs w:val="26"/>
        </w:rPr>
        <w:t xml:space="preserve"> to renegotiate PPA pricing terms that in light of new developments were no longer economically beneficial were declared preempted by PURPA; in </w:t>
      </w:r>
      <w:r w:rsidRPr="00D152FC">
        <w:rPr>
          <w:i/>
          <w:sz w:val="26"/>
          <w:szCs w:val="26"/>
        </w:rPr>
        <w:t>Crossroads</w:t>
      </w:r>
      <w:r w:rsidRPr="00D152FC">
        <w:rPr>
          <w:sz w:val="26"/>
          <w:szCs w:val="26"/>
        </w:rPr>
        <w:t xml:space="preserve">, the state commission was precluded from reconsidering the continued economic viability of a PPA contract term by reconsidering the state commission order that had approved that term; in </w:t>
      </w:r>
      <w:r w:rsidRPr="00D152FC">
        <w:rPr>
          <w:i/>
          <w:sz w:val="26"/>
          <w:szCs w:val="26"/>
        </w:rPr>
        <w:t>West Penn</w:t>
      </w:r>
      <w:r w:rsidRPr="00D152FC">
        <w:rPr>
          <w:sz w:val="26"/>
          <w:szCs w:val="26"/>
        </w:rPr>
        <w:t xml:space="preserve">, we were precluded from reconsidering the economic viability of the PPAs or their rates by rescinding prior orders approving the PPAs; in </w:t>
      </w:r>
      <w:r w:rsidRPr="00D152FC">
        <w:rPr>
          <w:i/>
          <w:sz w:val="26"/>
          <w:szCs w:val="26"/>
        </w:rPr>
        <w:t>Grays Ferry</w:t>
      </w:r>
      <w:r w:rsidRPr="00D152FC">
        <w:rPr>
          <w:sz w:val="26"/>
          <w:szCs w:val="26"/>
        </w:rPr>
        <w:t xml:space="preserve"> and </w:t>
      </w:r>
      <w:r w:rsidRPr="00D152FC">
        <w:rPr>
          <w:i/>
          <w:sz w:val="26"/>
          <w:szCs w:val="26"/>
        </w:rPr>
        <w:t>Strand</w:t>
      </w:r>
      <w:r w:rsidRPr="00D152FC">
        <w:rPr>
          <w:sz w:val="26"/>
          <w:szCs w:val="26"/>
        </w:rPr>
        <w:t xml:space="preserve">, we and our colleagues in Michigan both recognized, following restructuring of the electric generation market on the state level, that this “new state </w:t>
      </w:r>
      <w:r w:rsidRPr="00D152FC">
        <w:rPr>
          <w:sz w:val="26"/>
          <w:szCs w:val="26"/>
        </w:rPr>
        <w:lastRenderedPageBreak/>
        <w:t xml:space="preserve">regulatory climate” still provided us no jurisdiction to revisit power purchase prices in preexisting long-term PPAs. </w:t>
      </w:r>
    </w:p>
    <w:p w:rsidR="00D152FC" w:rsidRPr="00D152FC" w:rsidRDefault="00D152FC" w:rsidP="00144773">
      <w:pPr>
        <w:widowControl/>
        <w:ind w:left="1440" w:right="1440" w:firstLine="1440"/>
        <w:rPr>
          <w:sz w:val="26"/>
          <w:szCs w:val="26"/>
        </w:rPr>
      </w:pPr>
    </w:p>
    <w:p w:rsidR="00D152FC" w:rsidRDefault="00D152FC" w:rsidP="00144773">
      <w:pPr>
        <w:widowControl/>
        <w:ind w:left="1440" w:right="1440" w:firstLine="1440"/>
        <w:rPr>
          <w:sz w:val="26"/>
          <w:szCs w:val="26"/>
        </w:rPr>
      </w:pPr>
      <w:r w:rsidRPr="00D152FC">
        <w:rPr>
          <w:sz w:val="26"/>
          <w:szCs w:val="26"/>
        </w:rPr>
        <w:t>We find all these cases informative to our judgment on and disposition of the NRG Companies’ claims here.  In each case, the reviewing court determined that the federal scheme applicable to wholesale generation contracts with QFs precluded subsequent state reformation of the pricing term as state utility-type regulation. While every case had its own nuances, as does NRG’s Complaint before us today, in each situation the federal law, which continues to afford protections against state regulation, remains the standard to which we are required to adhere.</w:t>
      </w:r>
    </w:p>
    <w:p w:rsidR="00D152FC" w:rsidRPr="00747AFA" w:rsidRDefault="00D152FC" w:rsidP="00144773">
      <w:pPr>
        <w:widowControl/>
        <w:spacing w:line="360" w:lineRule="auto"/>
        <w:ind w:firstLine="1440"/>
        <w:rPr>
          <w:sz w:val="26"/>
          <w:szCs w:val="26"/>
        </w:rPr>
      </w:pPr>
    </w:p>
    <w:p w:rsidR="00062F99" w:rsidRDefault="00D152FC" w:rsidP="00144773">
      <w:pPr>
        <w:widowControl/>
        <w:spacing w:line="360" w:lineRule="auto"/>
        <w:rPr>
          <w:sz w:val="26"/>
          <w:szCs w:val="26"/>
        </w:rPr>
      </w:pPr>
      <w:r>
        <w:rPr>
          <w:i/>
          <w:sz w:val="26"/>
          <w:szCs w:val="26"/>
        </w:rPr>
        <w:t xml:space="preserve">November 2014 Order </w:t>
      </w:r>
      <w:r>
        <w:rPr>
          <w:sz w:val="26"/>
          <w:szCs w:val="26"/>
        </w:rPr>
        <w:t>at 56.</w:t>
      </w:r>
    </w:p>
    <w:p w:rsidR="00D152FC" w:rsidRDefault="00D152FC" w:rsidP="00144773">
      <w:pPr>
        <w:widowControl/>
        <w:spacing w:line="360" w:lineRule="auto"/>
        <w:rPr>
          <w:sz w:val="26"/>
          <w:szCs w:val="26"/>
        </w:rPr>
      </w:pPr>
    </w:p>
    <w:p w:rsidR="00C809CD" w:rsidRDefault="00D152FC" w:rsidP="00144773">
      <w:pPr>
        <w:widowControl/>
        <w:spacing w:line="360" w:lineRule="auto"/>
        <w:rPr>
          <w:sz w:val="26"/>
          <w:szCs w:val="26"/>
        </w:rPr>
      </w:pPr>
      <w:r>
        <w:rPr>
          <w:sz w:val="26"/>
          <w:szCs w:val="26"/>
        </w:rPr>
        <w:tab/>
      </w:r>
      <w:r>
        <w:rPr>
          <w:sz w:val="26"/>
          <w:szCs w:val="26"/>
        </w:rPr>
        <w:tab/>
        <w:t xml:space="preserve">Next we reviewed Duquesne’s legal obligations under PURPA in light of the ALJ’s determination that </w:t>
      </w:r>
      <w:r>
        <w:rPr>
          <w:i/>
          <w:sz w:val="26"/>
          <w:szCs w:val="26"/>
        </w:rPr>
        <w:t xml:space="preserve">Freehold </w:t>
      </w:r>
      <w:r>
        <w:rPr>
          <w:sz w:val="26"/>
          <w:szCs w:val="26"/>
        </w:rPr>
        <w:t xml:space="preserve">and subsequent cases did not apply because </w:t>
      </w:r>
      <w:r w:rsidR="00A54998">
        <w:rPr>
          <w:sz w:val="26"/>
          <w:szCs w:val="26"/>
        </w:rPr>
        <w:t xml:space="preserve">there was no evidence we </w:t>
      </w:r>
      <w:r>
        <w:rPr>
          <w:sz w:val="26"/>
          <w:szCs w:val="26"/>
        </w:rPr>
        <w:t xml:space="preserve">had approved the underlying PPAs at issue, but </w:t>
      </w:r>
      <w:r w:rsidR="00A54998">
        <w:rPr>
          <w:sz w:val="26"/>
          <w:szCs w:val="26"/>
        </w:rPr>
        <w:t xml:space="preserve">rather </w:t>
      </w:r>
      <w:r>
        <w:rPr>
          <w:sz w:val="26"/>
          <w:szCs w:val="26"/>
        </w:rPr>
        <w:t>only the applicable purchase</w:t>
      </w:r>
      <w:r w:rsidR="007973EF">
        <w:rPr>
          <w:sz w:val="26"/>
          <w:szCs w:val="26"/>
        </w:rPr>
        <w:t>d power</w:t>
      </w:r>
      <w:r>
        <w:rPr>
          <w:sz w:val="26"/>
          <w:szCs w:val="26"/>
        </w:rPr>
        <w:t xml:space="preserve"> price </w:t>
      </w:r>
      <w:r w:rsidR="00A54998">
        <w:rPr>
          <w:sz w:val="26"/>
          <w:szCs w:val="26"/>
        </w:rPr>
        <w:t>through</w:t>
      </w:r>
      <w:r>
        <w:rPr>
          <w:sz w:val="26"/>
          <w:szCs w:val="26"/>
        </w:rPr>
        <w:t xml:space="preserve"> our approval of the state tariff.  In that instance, we found that while </w:t>
      </w:r>
      <w:r w:rsidR="002E61A6">
        <w:rPr>
          <w:sz w:val="26"/>
          <w:szCs w:val="26"/>
        </w:rPr>
        <w:t xml:space="preserve">some cases involved the approval of rates </w:t>
      </w:r>
      <w:r w:rsidR="00C809CD">
        <w:rPr>
          <w:sz w:val="26"/>
          <w:szCs w:val="26"/>
        </w:rPr>
        <w:t xml:space="preserve">by </w:t>
      </w:r>
      <w:r w:rsidR="00D62B43">
        <w:rPr>
          <w:sz w:val="26"/>
          <w:szCs w:val="26"/>
        </w:rPr>
        <w:t xml:space="preserve">virtue of </w:t>
      </w:r>
      <w:r w:rsidR="00C809CD">
        <w:rPr>
          <w:sz w:val="26"/>
          <w:szCs w:val="26"/>
        </w:rPr>
        <w:t xml:space="preserve">approval of </w:t>
      </w:r>
      <w:r w:rsidR="00D62B43">
        <w:rPr>
          <w:sz w:val="26"/>
          <w:szCs w:val="26"/>
        </w:rPr>
        <w:t xml:space="preserve">the </w:t>
      </w:r>
      <w:r w:rsidR="002E61A6">
        <w:rPr>
          <w:sz w:val="26"/>
          <w:szCs w:val="26"/>
        </w:rPr>
        <w:t>contracts</w:t>
      </w:r>
      <w:r w:rsidR="00D62B43">
        <w:rPr>
          <w:sz w:val="26"/>
          <w:szCs w:val="26"/>
        </w:rPr>
        <w:t xml:space="preserve"> themselves</w:t>
      </w:r>
      <w:r w:rsidR="002E61A6">
        <w:rPr>
          <w:sz w:val="26"/>
          <w:szCs w:val="26"/>
        </w:rPr>
        <w:t xml:space="preserve">, the operative function under PURPA was approval of the rate, not the contract.  As we concluded, “[u]nder PURPA we are obliged to approve the power purchase </w:t>
      </w:r>
      <w:r w:rsidR="002E61A6">
        <w:rPr>
          <w:i/>
          <w:sz w:val="26"/>
          <w:szCs w:val="26"/>
        </w:rPr>
        <w:t>price,</w:t>
      </w:r>
      <w:r w:rsidR="002E61A6">
        <w:rPr>
          <w:sz w:val="26"/>
          <w:szCs w:val="26"/>
        </w:rPr>
        <w:t xml:space="preserve"> not necessarily the entire power purchase agreement. Nothing in federal law or regulations, or state law or regulations, requires approval of the </w:t>
      </w:r>
      <w:r w:rsidR="002E61A6">
        <w:rPr>
          <w:i/>
          <w:sz w:val="26"/>
          <w:szCs w:val="26"/>
        </w:rPr>
        <w:t>contract</w:t>
      </w:r>
      <w:r w:rsidR="002E61A6">
        <w:rPr>
          <w:sz w:val="26"/>
          <w:szCs w:val="26"/>
        </w:rPr>
        <w:t xml:space="preserve">.”  </w:t>
      </w:r>
      <w:r w:rsidR="002E61A6">
        <w:rPr>
          <w:i/>
          <w:sz w:val="26"/>
          <w:szCs w:val="26"/>
        </w:rPr>
        <w:t xml:space="preserve">November 2014 Order </w:t>
      </w:r>
      <w:r w:rsidR="002E61A6">
        <w:rPr>
          <w:sz w:val="26"/>
          <w:szCs w:val="26"/>
        </w:rPr>
        <w:t>at</w:t>
      </w:r>
      <w:r w:rsidR="007973EF">
        <w:rPr>
          <w:sz w:val="26"/>
          <w:szCs w:val="26"/>
        </w:rPr>
        <w:t> </w:t>
      </w:r>
      <w:r w:rsidR="002E61A6">
        <w:rPr>
          <w:sz w:val="26"/>
          <w:szCs w:val="26"/>
        </w:rPr>
        <w:t xml:space="preserve">59 (emphasis in original).  </w:t>
      </w:r>
    </w:p>
    <w:p w:rsidR="00C809CD" w:rsidRDefault="00C809CD" w:rsidP="00144773">
      <w:pPr>
        <w:widowControl/>
        <w:spacing w:line="360" w:lineRule="auto"/>
        <w:rPr>
          <w:sz w:val="26"/>
          <w:szCs w:val="26"/>
        </w:rPr>
      </w:pPr>
    </w:p>
    <w:p w:rsidR="00D152FC" w:rsidRPr="00D62B43" w:rsidRDefault="00C809CD" w:rsidP="00144773">
      <w:pPr>
        <w:widowControl/>
        <w:tabs>
          <w:tab w:val="left" w:pos="1440"/>
        </w:tabs>
        <w:spacing w:line="360" w:lineRule="auto"/>
        <w:ind w:firstLine="720"/>
        <w:rPr>
          <w:i/>
          <w:sz w:val="26"/>
          <w:szCs w:val="26"/>
        </w:rPr>
      </w:pPr>
      <w:r>
        <w:rPr>
          <w:sz w:val="26"/>
          <w:szCs w:val="26"/>
        </w:rPr>
        <w:tab/>
      </w:r>
      <w:r w:rsidR="002E61A6">
        <w:rPr>
          <w:sz w:val="26"/>
          <w:szCs w:val="26"/>
        </w:rPr>
        <w:t>We also found that “[t]he</w:t>
      </w:r>
      <w:r w:rsidR="002E61A6" w:rsidRPr="002E61A6">
        <w:rPr>
          <w:sz w:val="26"/>
          <w:szCs w:val="26"/>
        </w:rPr>
        <w:t xml:space="preserve"> ALJ’s recommendation would have us ignore the fact that we approved the QF purchase price because it is memorialized in a state tariff.</w:t>
      </w:r>
      <w:r w:rsidR="00D62B43">
        <w:rPr>
          <w:sz w:val="26"/>
          <w:szCs w:val="26"/>
        </w:rPr>
        <w:t xml:space="preserve">”  </w:t>
      </w:r>
      <w:r w:rsidR="00D62B43" w:rsidRPr="00D62B43">
        <w:rPr>
          <w:i/>
          <w:sz w:val="26"/>
          <w:szCs w:val="26"/>
        </w:rPr>
        <w:t xml:space="preserve">November 2014 Order </w:t>
      </w:r>
      <w:r w:rsidR="00D62B43" w:rsidRPr="00D62B43">
        <w:rPr>
          <w:sz w:val="26"/>
          <w:szCs w:val="26"/>
        </w:rPr>
        <w:t>at 60.</w:t>
      </w:r>
      <w:r w:rsidR="00D62B43">
        <w:rPr>
          <w:sz w:val="26"/>
          <w:szCs w:val="26"/>
        </w:rPr>
        <w:t xml:space="preserve">  As the </w:t>
      </w:r>
      <w:r w:rsidR="00304BCB">
        <w:rPr>
          <w:sz w:val="26"/>
          <w:szCs w:val="26"/>
        </w:rPr>
        <w:t>parties</w:t>
      </w:r>
      <w:r w:rsidR="00D62B43">
        <w:rPr>
          <w:sz w:val="26"/>
          <w:szCs w:val="26"/>
        </w:rPr>
        <w:t xml:space="preserve"> had acknowledged, however, by reference to the tariff, </w:t>
      </w:r>
      <w:r w:rsidR="002E61A6" w:rsidRPr="002E61A6">
        <w:rPr>
          <w:sz w:val="26"/>
          <w:szCs w:val="26"/>
        </w:rPr>
        <w:t xml:space="preserve">the rate in Rider No. 18 </w:t>
      </w:r>
      <w:r w:rsidR="00D62B43">
        <w:rPr>
          <w:sz w:val="26"/>
          <w:szCs w:val="26"/>
        </w:rPr>
        <w:t>was</w:t>
      </w:r>
      <w:r w:rsidR="002E61A6" w:rsidRPr="002E61A6">
        <w:rPr>
          <w:sz w:val="26"/>
          <w:szCs w:val="26"/>
        </w:rPr>
        <w:t xml:space="preserve"> incorporated </w:t>
      </w:r>
      <w:r w:rsidR="00D62B43">
        <w:rPr>
          <w:sz w:val="26"/>
          <w:szCs w:val="26"/>
        </w:rPr>
        <w:t xml:space="preserve">in and the </w:t>
      </w:r>
      <w:r w:rsidR="002E61A6" w:rsidRPr="002E61A6">
        <w:rPr>
          <w:sz w:val="26"/>
          <w:szCs w:val="26"/>
        </w:rPr>
        <w:t xml:space="preserve">operative price </w:t>
      </w:r>
      <w:r w:rsidR="00A54998">
        <w:rPr>
          <w:sz w:val="26"/>
          <w:szCs w:val="26"/>
        </w:rPr>
        <w:t>under</w:t>
      </w:r>
      <w:r w:rsidR="002E61A6" w:rsidRPr="002E61A6">
        <w:rPr>
          <w:sz w:val="26"/>
          <w:szCs w:val="26"/>
        </w:rPr>
        <w:t xml:space="preserve"> the PPA</w:t>
      </w:r>
      <w:r w:rsidR="00D62B43">
        <w:rPr>
          <w:sz w:val="26"/>
          <w:szCs w:val="26"/>
        </w:rPr>
        <w:t>s.  Therefore, it was “</w:t>
      </w:r>
      <w:r w:rsidR="002E61A6" w:rsidRPr="002E61A6">
        <w:rPr>
          <w:sz w:val="26"/>
          <w:szCs w:val="26"/>
        </w:rPr>
        <w:t>generally undisputed that the tariffed QF power purchase price is inextricably intertwined with the remaining contractual obligations</w:t>
      </w:r>
      <w:r w:rsidR="002E61A6">
        <w:rPr>
          <w:sz w:val="26"/>
          <w:szCs w:val="26"/>
        </w:rPr>
        <w:t xml:space="preserve">.”  </w:t>
      </w:r>
      <w:r w:rsidR="00D62B43">
        <w:rPr>
          <w:i/>
          <w:sz w:val="26"/>
          <w:szCs w:val="26"/>
        </w:rPr>
        <w:t>Id.</w:t>
      </w:r>
    </w:p>
    <w:p w:rsidR="002E61A6" w:rsidRDefault="002E61A6" w:rsidP="00144773">
      <w:pPr>
        <w:widowControl/>
        <w:spacing w:line="360" w:lineRule="auto"/>
        <w:rPr>
          <w:sz w:val="26"/>
          <w:szCs w:val="26"/>
        </w:rPr>
      </w:pPr>
    </w:p>
    <w:p w:rsidR="002E61A6" w:rsidRDefault="002E61A6" w:rsidP="00144773">
      <w:pPr>
        <w:widowControl/>
        <w:spacing w:line="360" w:lineRule="auto"/>
        <w:rPr>
          <w:sz w:val="26"/>
          <w:szCs w:val="26"/>
        </w:rPr>
      </w:pPr>
      <w:r>
        <w:rPr>
          <w:sz w:val="26"/>
          <w:szCs w:val="26"/>
        </w:rPr>
        <w:tab/>
      </w:r>
      <w:r>
        <w:rPr>
          <w:sz w:val="26"/>
          <w:szCs w:val="26"/>
        </w:rPr>
        <w:tab/>
        <w:t>On analysis of the impact of the inclusion of the pricing term for the PPAs in a state tariff, we concluded as follows:</w:t>
      </w:r>
    </w:p>
    <w:p w:rsidR="002E61A6" w:rsidRDefault="002E61A6" w:rsidP="00144773">
      <w:pPr>
        <w:widowControl/>
        <w:spacing w:line="360" w:lineRule="auto"/>
        <w:rPr>
          <w:sz w:val="26"/>
          <w:szCs w:val="26"/>
        </w:rPr>
      </w:pPr>
    </w:p>
    <w:p w:rsidR="002E61A6" w:rsidRDefault="002E61A6" w:rsidP="00144773">
      <w:pPr>
        <w:widowControl/>
        <w:ind w:left="1440" w:right="1440" w:firstLine="1440"/>
        <w:rPr>
          <w:sz w:val="26"/>
          <w:szCs w:val="26"/>
        </w:rPr>
      </w:pPr>
      <w:r w:rsidRPr="002E61A6">
        <w:rPr>
          <w:sz w:val="26"/>
          <w:szCs w:val="26"/>
        </w:rPr>
        <w:t xml:space="preserve">While the factual nuance here seeks our regulatory reformation of the Duquesne QF contracts not by reformation or reconsideration of the contracts directly but by way of elimination or reformation of the tariff rider that contains the only pricing term applicable to those contracts, we cannot do indirectly what we cannot do directly. But for the memorialization of this pricing term in a state tariff, the issue would be readily framed and resolved as a federal issue under federal law involving a federal contract contesting the long-term price for independently generated hydroelectric power.  We cannot assume jurisdiction over a subject matter that PURPA has specifically exempted simply on the basis of the form chosen to memorialize the price. A contract left with either no price term or a substantially revised price term is still an altered contract.  As even NRG agreed, removal of the tariff will leave the </w:t>
      </w:r>
      <w:r w:rsidR="00304BCB">
        <w:rPr>
          <w:sz w:val="26"/>
          <w:szCs w:val="26"/>
        </w:rPr>
        <w:t>parties</w:t>
      </w:r>
      <w:r w:rsidRPr="002E61A6">
        <w:rPr>
          <w:sz w:val="26"/>
          <w:szCs w:val="26"/>
        </w:rPr>
        <w:t xml:space="preserve"> in a legal dispute.  NRG M.B. at 15; NRG Midwest St. 1-S (“The Commission should simply remove itself from any contractual dispute between Duquesne Light and NRG Midwest by requiring Duquesne Light to remove Rider No. 18 from its Tariff. Any ensuing legal battles should be of no concern to the Commission.”).</w:t>
      </w:r>
    </w:p>
    <w:p w:rsidR="002E61A6" w:rsidRDefault="002E61A6" w:rsidP="00144773">
      <w:pPr>
        <w:widowControl/>
        <w:spacing w:line="360" w:lineRule="auto"/>
        <w:rPr>
          <w:sz w:val="26"/>
          <w:szCs w:val="26"/>
        </w:rPr>
      </w:pPr>
    </w:p>
    <w:p w:rsidR="002E61A6" w:rsidRPr="002E61A6" w:rsidRDefault="002E61A6" w:rsidP="00144773">
      <w:pPr>
        <w:widowControl/>
        <w:spacing w:line="360" w:lineRule="auto"/>
        <w:rPr>
          <w:sz w:val="26"/>
          <w:szCs w:val="26"/>
        </w:rPr>
      </w:pPr>
      <w:r>
        <w:rPr>
          <w:i/>
          <w:sz w:val="26"/>
          <w:szCs w:val="26"/>
        </w:rPr>
        <w:t xml:space="preserve">November 2014 Order </w:t>
      </w:r>
      <w:r>
        <w:rPr>
          <w:sz w:val="26"/>
          <w:szCs w:val="26"/>
        </w:rPr>
        <w:t>at 61-62.</w:t>
      </w:r>
    </w:p>
    <w:p w:rsidR="002E61A6" w:rsidRPr="002E61A6" w:rsidRDefault="002E61A6" w:rsidP="00144773">
      <w:pPr>
        <w:widowControl/>
        <w:spacing w:line="360" w:lineRule="auto"/>
        <w:rPr>
          <w:sz w:val="26"/>
          <w:szCs w:val="26"/>
        </w:rPr>
      </w:pPr>
    </w:p>
    <w:p w:rsidR="007644CE" w:rsidRDefault="00AB6A04" w:rsidP="00144773">
      <w:pPr>
        <w:widowControl/>
        <w:spacing w:line="360" w:lineRule="auto"/>
        <w:rPr>
          <w:sz w:val="26"/>
          <w:szCs w:val="26"/>
        </w:rPr>
      </w:pPr>
      <w:r w:rsidRPr="00AB6A04">
        <w:rPr>
          <w:sz w:val="26"/>
          <w:szCs w:val="26"/>
        </w:rPr>
        <w:tab/>
      </w:r>
      <w:r w:rsidRPr="00AB6A04">
        <w:rPr>
          <w:sz w:val="26"/>
          <w:szCs w:val="26"/>
        </w:rPr>
        <w:tab/>
      </w:r>
      <w:r w:rsidR="002E61A6">
        <w:rPr>
          <w:sz w:val="26"/>
          <w:szCs w:val="26"/>
        </w:rPr>
        <w:t xml:space="preserve">With respect to the ALJ’s conclusion that </w:t>
      </w:r>
      <w:r w:rsidR="00950685">
        <w:rPr>
          <w:sz w:val="26"/>
          <w:szCs w:val="26"/>
        </w:rPr>
        <w:t xml:space="preserve">the PPAs </w:t>
      </w:r>
      <w:r w:rsidR="002E61A6">
        <w:rPr>
          <w:sz w:val="26"/>
          <w:szCs w:val="26"/>
        </w:rPr>
        <w:t xml:space="preserve">lacked a specified </w:t>
      </w:r>
      <w:r w:rsidR="007644CE">
        <w:rPr>
          <w:sz w:val="26"/>
          <w:szCs w:val="26"/>
        </w:rPr>
        <w:t xml:space="preserve">contract term, </w:t>
      </w:r>
      <w:r w:rsidR="00C809CD">
        <w:rPr>
          <w:sz w:val="26"/>
          <w:szCs w:val="26"/>
        </w:rPr>
        <w:t xml:space="preserve">i.e., </w:t>
      </w:r>
      <w:r w:rsidR="007644CE">
        <w:rPr>
          <w:sz w:val="26"/>
          <w:szCs w:val="26"/>
        </w:rPr>
        <w:t xml:space="preserve">the </w:t>
      </w:r>
      <w:r w:rsidR="002E61A6">
        <w:rPr>
          <w:sz w:val="26"/>
          <w:szCs w:val="26"/>
        </w:rPr>
        <w:t xml:space="preserve">period of time </w:t>
      </w:r>
      <w:r w:rsidR="007644CE">
        <w:rPr>
          <w:sz w:val="26"/>
          <w:szCs w:val="26"/>
        </w:rPr>
        <w:t xml:space="preserve">over which the contract would remain in effect, </w:t>
      </w:r>
      <w:r w:rsidR="002E61A6">
        <w:rPr>
          <w:sz w:val="26"/>
          <w:szCs w:val="26"/>
        </w:rPr>
        <w:t xml:space="preserve">and therefore </w:t>
      </w:r>
      <w:r w:rsidR="007644CE">
        <w:rPr>
          <w:sz w:val="26"/>
          <w:szCs w:val="26"/>
        </w:rPr>
        <w:t xml:space="preserve">under PURPA the avoided cost rate should be calculated </w:t>
      </w:r>
      <w:r w:rsidR="00950685">
        <w:rPr>
          <w:sz w:val="26"/>
          <w:szCs w:val="26"/>
        </w:rPr>
        <w:t xml:space="preserve">“as available” </w:t>
      </w:r>
      <w:r w:rsidR="007644CE">
        <w:rPr>
          <w:sz w:val="26"/>
          <w:szCs w:val="26"/>
        </w:rPr>
        <w:t xml:space="preserve">at the time of delivery, </w:t>
      </w:r>
      <w:r w:rsidR="00C809CD">
        <w:rPr>
          <w:sz w:val="26"/>
          <w:szCs w:val="26"/>
        </w:rPr>
        <w:t xml:space="preserve">i.e., </w:t>
      </w:r>
      <w:r w:rsidR="007644CE">
        <w:rPr>
          <w:sz w:val="26"/>
          <w:szCs w:val="26"/>
        </w:rPr>
        <w:t xml:space="preserve">today’s market rate, we disagreed.  Rather, we found that no provision in PURPA </w:t>
      </w:r>
      <w:r w:rsidR="00D62B43">
        <w:rPr>
          <w:sz w:val="26"/>
          <w:szCs w:val="26"/>
        </w:rPr>
        <w:t xml:space="preserve">so specifically </w:t>
      </w:r>
      <w:r w:rsidR="007973EF">
        <w:rPr>
          <w:sz w:val="26"/>
          <w:szCs w:val="26"/>
        </w:rPr>
        <w:t>defined the</w:t>
      </w:r>
      <w:r w:rsidR="00D62B43">
        <w:rPr>
          <w:sz w:val="26"/>
          <w:szCs w:val="26"/>
        </w:rPr>
        <w:t xml:space="preserve"> obligations of the </w:t>
      </w:r>
      <w:r w:rsidR="00304BCB">
        <w:rPr>
          <w:sz w:val="26"/>
          <w:szCs w:val="26"/>
        </w:rPr>
        <w:t>parties</w:t>
      </w:r>
      <w:r w:rsidR="00D62B43">
        <w:rPr>
          <w:sz w:val="26"/>
          <w:szCs w:val="26"/>
        </w:rPr>
        <w:t xml:space="preserve"> as to </w:t>
      </w:r>
      <w:r w:rsidR="007644CE">
        <w:rPr>
          <w:sz w:val="26"/>
          <w:szCs w:val="26"/>
        </w:rPr>
        <w:t xml:space="preserve">require a contract with an effective life </w:t>
      </w:r>
      <w:r w:rsidR="00D62B43">
        <w:rPr>
          <w:sz w:val="26"/>
          <w:szCs w:val="26"/>
        </w:rPr>
        <w:t xml:space="preserve">limited to a </w:t>
      </w:r>
      <w:r w:rsidR="007644CE">
        <w:rPr>
          <w:sz w:val="26"/>
          <w:szCs w:val="26"/>
        </w:rPr>
        <w:t xml:space="preserve">term of months or years, stating as follows: </w:t>
      </w:r>
    </w:p>
    <w:p w:rsidR="007644CE" w:rsidRDefault="007644CE" w:rsidP="00144773">
      <w:pPr>
        <w:widowControl/>
        <w:spacing w:line="360" w:lineRule="auto"/>
        <w:rPr>
          <w:sz w:val="26"/>
          <w:szCs w:val="26"/>
        </w:rPr>
      </w:pPr>
    </w:p>
    <w:p w:rsidR="007644CE" w:rsidRDefault="007644CE" w:rsidP="00144773">
      <w:pPr>
        <w:widowControl/>
        <w:ind w:left="1440" w:right="1440" w:firstLine="1440"/>
        <w:rPr>
          <w:sz w:val="26"/>
          <w:szCs w:val="26"/>
        </w:rPr>
      </w:pPr>
      <w:r w:rsidRPr="007644CE">
        <w:rPr>
          <w:sz w:val="26"/>
          <w:szCs w:val="26"/>
        </w:rPr>
        <w:lastRenderedPageBreak/>
        <w:t>The PPAs are limited by a term that is defined by either the continued availability of a price or the QFs’ continued desire to sell their output. While contracts may be more commonly defined by a term of years, nothing requires such a definition. Section 292.304(b)(5) of FERC’s regulations, 18 C.F.R. § 292.304(b)(5), addresses QF rates for purchases “over the specific term of the contract or other legally enforceable obligation.” Similarly, section 292.304(d), 18 C.F.R. § 292.304(d) addresses purchases “pursuant to a legally enforceable obligation.” Nowhere does PURPA require a contract with a term defined by a set number of calendar years.</w:t>
      </w:r>
    </w:p>
    <w:p w:rsidR="007644CE" w:rsidRDefault="007644CE" w:rsidP="00144773">
      <w:pPr>
        <w:widowControl/>
        <w:spacing w:line="360" w:lineRule="auto"/>
        <w:rPr>
          <w:sz w:val="26"/>
          <w:szCs w:val="26"/>
        </w:rPr>
      </w:pPr>
    </w:p>
    <w:p w:rsidR="00C93F9B" w:rsidRPr="00C93F9B" w:rsidRDefault="007644CE" w:rsidP="00144773">
      <w:pPr>
        <w:widowControl/>
        <w:spacing w:line="360" w:lineRule="auto"/>
        <w:rPr>
          <w:sz w:val="26"/>
          <w:szCs w:val="26"/>
        </w:rPr>
      </w:pPr>
      <w:r>
        <w:rPr>
          <w:i/>
          <w:sz w:val="26"/>
          <w:szCs w:val="26"/>
        </w:rPr>
        <w:t xml:space="preserve">November 2014 Order </w:t>
      </w:r>
      <w:r>
        <w:rPr>
          <w:sz w:val="26"/>
          <w:szCs w:val="26"/>
        </w:rPr>
        <w:t xml:space="preserve">at 64. </w:t>
      </w:r>
      <w:r w:rsidR="00C93F9B">
        <w:rPr>
          <w:sz w:val="26"/>
          <w:szCs w:val="26"/>
        </w:rPr>
        <w:t xml:space="preserve"> </w:t>
      </w:r>
      <w:r w:rsidR="0056245F">
        <w:rPr>
          <w:sz w:val="26"/>
          <w:szCs w:val="26"/>
        </w:rPr>
        <w:t xml:space="preserve">As Duquense had </w:t>
      </w:r>
      <w:r w:rsidR="00D62B43">
        <w:rPr>
          <w:sz w:val="26"/>
          <w:szCs w:val="26"/>
        </w:rPr>
        <w:t>noted</w:t>
      </w:r>
      <w:r w:rsidR="0056245F">
        <w:rPr>
          <w:sz w:val="26"/>
          <w:szCs w:val="26"/>
        </w:rPr>
        <w:t xml:space="preserve">, </w:t>
      </w:r>
      <w:r w:rsidR="00D62B43">
        <w:rPr>
          <w:sz w:val="26"/>
          <w:szCs w:val="26"/>
        </w:rPr>
        <w:t xml:space="preserve">that issue had not been addressed in briefs because </w:t>
      </w:r>
      <w:r w:rsidR="0056245F">
        <w:rPr>
          <w:sz w:val="26"/>
          <w:szCs w:val="26"/>
        </w:rPr>
        <w:t xml:space="preserve">no party had </w:t>
      </w:r>
      <w:r w:rsidR="00A54998">
        <w:rPr>
          <w:sz w:val="26"/>
          <w:szCs w:val="26"/>
        </w:rPr>
        <w:t xml:space="preserve">maintained before the ALJ </w:t>
      </w:r>
      <w:r w:rsidR="0056245F">
        <w:rPr>
          <w:sz w:val="26"/>
          <w:szCs w:val="26"/>
        </w:rPr>
        <w:t xml:space="preserve">that </w:t>
      </w:r>
      <w:r w:rsidR="00A54998">
        <w:rPr>
          <w:sz w:val="26"/>
          <w:szCs w:val="26"/>
        </w:rPr>
        <w:t xml:space="preserve">because </w:t>
      </w:r>
      <w:r w:rsidR="0056245F">
        <w:rPr>
          <w:sz w:val="26"/>
          <w:szCs w:val="26"/>
        </w:rPr>
        <w:t xml:space="preserve">the QF contracts had no </w:t>
      </w:r>
      <w:r w:rsidR="00A54998">
        <w:rPr>
          <w:sz w:val="26"/>
          <w:szCs w:val="26"/>
        </w:rPr>
        <w:t>effective term measur</w:t>
      </w:r>
      <w:r w:rsidR="0056245F">
        <w:rPr>
          <w:sz w:val="26"/>
          <w:szCs w:val="26"/>
        </w:rPr>
        <w:t xml:space="preserve">ed in calendar years, </w:t>
      </w:r>
      <w:r w:rsidR="00A54998">
        <w:rPr>
          <w:sz w:val="26"/>
          <w:szCs w:val="26"/>
        </w:rPr>
        <w:t>the purchased power price was t</w:t>
      </w:r>
      <w:r w:rsidR="00D62B43">
        <w:rPr>
          <w:sz w:val="26"/>
          <w:szCs w:val="26"/>
        </w:rPr>
        <w:t xml:space="preserve">herefore </w:t>
      </w:r>
      <w:r w:rsidR="00A54998">
        <w:rPr>
          <w:sz w:val="26"/>
          <w:szCs w:val="26"/>
        </w:rPr>
        <w:t xml:space="preserve">an </w:t>
      </w:r>
      <w:r w:rsidR="00D62B43">
        <w:rPr>
          <w:sz w:val="26"/>
          <w:szCs w:val="26"/>
        </w:rPr>
        <w:t xml:space="preserve">“as available” </w:t>
      </w:r>
      <w:r w:rsidR="00A54998">
        <w:rPr>
          <w:sz w:val="26"/>
          <w:szCs w:val="26"/>
        </w:rPr>
        <w:t>rate</w:t>
      </w:r>
      <w:r w:rsidR="0056245F">
        <w:rPr>
          <w:sz w:val="26"/>
          <w:szCs w:val="26"/>
        </w:rPr>
        <w:t xml:space="preserve">.  Moreover, </w:t>
      </w:r>
      <w:r w:rsidR="00D62B43">
        <w:rPr>
          <w:sz w:val="26"/>
          <w:szCs w:val="26"/>
        </w:rPr>
        <w:t xml:space="preserve">as both Duquesne and BFMA </w:t>
      </w:r>
      <w:r w:rsidR="00D62B43" w:rsidRPr="00D62B43">
        <w:rPr>
          <w:sz w:val="26"/>
          <w:szCs w:val="26"/>
        </w:rPr>
        <w:t>persuasively argued</w:t>
      </w:r>
      <w:r w:rsidR="00A54998">
        <w:rPr>
          <w:sz w:val="26"/>
          <w:szCs w:val="26"/>
        </w:rPr>
        <w:t>,</w:t>
      </w:r>
      <w:r w:rsidR="00D62B43">
        <w:rPr>
          <w:sz w:val="26"/>
          <w:szCs w:val="26"/>
        </w:rPr>
        <w:t xml:space="preserve"> and we agreed, </w:t>
      </w:r>
      <w:r w:rsidR="0056245F">
        <w:rPr>
          <w:sz w:val="26"/>
          <w:szCs w:val="26"/>
        </w:rPr>
        <w:t>the ALJ also ignored that PURPA allows for negotiated contracts, which constitute “legally enforceable obligations” under which the avoided cost at the time of delivery</w:t>
      </w:r>
      <w:r w:rsidR="00F3266F">
        <w:rPr>
          <w:sz w:val="26"/>
          <w:szCs w:val="26"/>
        </w:rPr>
        <w:t xml:space="preserve"> could vary from the </w:t>
      </w:r>
      <w:r w:rsidR="00FB6720">
        <w:rPr>
          <w:sz w:val="26"/>
          <w:szCs w:val="26"/>
        </w:rPr>
        <w:t xml:space="preserve">cost estimated over the term of the contract or other legally enforceable obligation.  </w:t>
      </w:r>
      <w:r w:rsidR="00C93F9B">
        <w:rPr>
          <w:i/>
          <w:sz w:val="26"/>
          <w:szCs w:val="26"/>
        </w:rPr>
        <w:t xml:space="preserve">November 2014 Order </w:t>
      </w:r>
      <w:r w:rsidR="00C93F9B">
        <w:rPr>
          <w:sz w:val="26"/>
          <w:szCs w:val="26"/>
        </w:rPr>
        <w:t xml:space="preserve">at </w:t>
      </w:r>
      <w:r w:rsidR="0056245F">
        <w:rPr>
          <w:sz w:val="26"/>
          <w:szCs w:val="26"/>
        </w:rPr>
        <w:t>32</w:t>
      </w:r>
      <w:r w:rsidR="00C93F9B">
        <w:rPr>
          <w:sz w:val="26"/>
          <w:szCs w:val="26"/>
        </w:rPr>
        <w:t>.</w:t>
      </w:r>
    </w:p>
    <w:p w:rsidR="002E61A6" w:rsidRDefault="002E61A6" w:rsidP="00144773">
      <w:pPr>
        <w:widowControl/>
        <w:spacing w:line="360" w:lineRule="auto"/>
        <w:rPr>
          <w:sz w:val="26"/>
          <w:szCs w:val="26"/>
        </w:rPr>
      </w:pPr>
    </w:p>
    <w:p w:rsidR="00AB6A04" w:rsidRPr="00AB6A04" w:rsidRDefault="00AB6A04" w:rsidP="00144773">
      <w:pPr>
        <w:widowControl/>
        <w:spacing w:line="360" w:lineRule="auto"/>
        <w:contextualSpacing/>
        <w:rPr>
          <w:sz w:val="26"/>
          <w:szCs w:val="26"/>
        </w:rPr>
      </w:pPr>
      <w:r w:rsidRPr="00AB6A04">
        <w:rPr>
          <w:b/>
          <w:sz w:val="26"/>
          <w:szCs w:val="26"/>
        </w:rPr>
        <w:tab/>
      </w:r>
      <w:r w:rsidR="008861E1">
        <w:rPr>
          <w:b/>
          <w:sz w:val="26"/>
          <w:szCs w:val="26"/>
        </w:rPr>
        <w:tab/>
      </w:r>
      <w:r w:rsidR="008861E1">
        <w:rPr>
          <w:sz w:val="26"/>
          <w:szCs w:val="26"/>
        </w:rPr>
        <w:t xml:space="preserve">We next analyzed the rate </w:t>
      </w:r>
      <w:r w:rsidR="000B7493">
        <w:rPr>
          <w:sz w:val="26"/>
          <w:szCs w:val="26"/>
        </w:rPr>
        <w:t>Duquesne pay</w:t>
      </w:r>
      <w:r w:rsidR="00ED7379">
        <w:rPr>
          <w:sz w:val="26"/>
          <w:szCs w:val="26"/>
        </w:rPr>
        <w:t>s</w:t>
      </w:r>
      <w:r w:rsidR="000B7493">
        <w:rPr>
          <w:sz w:val="26"/>
          <w:szCs w:val="26"/>
        </w:rPr>
        <w:t xml:space="preserve"> </w:t>
      </w:r>
      <w:r w:rsidR="008861E1">
        <w:rPr>
          <w:sz w:val="26"/>
          <w:szCs w:val="26"/>
        </w:rPr>
        <w:t xml:space="preserve">the </w:t>
      </w:r>
      <w:r w:rsidR="000B7493">
        <w:rPr>
          <w:sz w:val="26"/>
          <w:szCs w:val="26"/>
        </w:rPr>
        <w:t xml:space="preserve">QFs for the </w:t>
      </w:r>
      <w:r w:rsidRPr="00AB6A04">
        <w:rPr>
          <w:sz w:val="26"/>
          <w:szCs w:val="26"/>
        </w:rPr>
        <w:t xml:space="preserve">wholesale power </w:t>
      </w:r>
      <w:r w:rsidR="000B7493">
        <w:rPr>
          <w:sz w:val="26"/>
          <w:szCs w:val="26"/>
        </w:rPr>
        <w:t xml:space="preserve">they produce </w:t>
      </w:r>
      <w:r w:rsidR="00C93F9B">
        <w:rPr>
          <w:sz w:val="26"/>
          <w:szCs w:val="26"/>
        </w:rPr>
        <w:t xml:space="preserve">under the PPAs.  </w:t>
      </w:r>
      <w:r w:rsidR="000630E9">
        <w:rPr>
          <w:sz w:val="26"/>
          <w:szCs w:val="26"/>
        </w:rPr>
        <w:t>R</w:t>
      </w:r>
      <w:r w:rsidR="00C93F9B">
        <w:rPr>
          <w:sz w:val="26"/>
          <w:szCs w:val="26"/>
        </w:rPr>
        <w:t>eview</w:t>
      </w:r>
      <w:r w:rsidR="000630E9">
        <w:rPr>
          <w:sz w:val="26"/>
          <w:szCs w:val="26"/>
        </w:rPr>
        <w:t>ing</w:t>
      </w:r>
      <w:r w:rsidR="00C93F9B">
        <w:rPr>
          <w:sz w:val="26"/>
          <w:szCs w:val="26"/>
        </w:rPr>
        <w:t xml:space="preserve"> the</w:t>
      </w:r>
      <w:r w:rsidR="008861E1">
        <w:rPr>
          <w:sz w:val="26"/>
          <w:szCs w:val="26"/>
        </w:rPr>
        <w:t xml:space="preserve"> historical development that led to </w:t>
      </w:r>
      <w:r w:rsidR="00C93F9B">
        <w:rPr>
          <w:sz w:val="26"/>
          <w:szCs w:val="26"/>
        </w:rPr>
        <w:t>the pricing term</w:t>
      </w:r>
      <w:r w:rsidR="008861E1">
        <w:rPr>
          <w:sz w:val="26"/>
          <w:szCs w:val="26"/>
        </w:rPr>
        <w:t xml:space="preserve"> being memorialized in Duquesne’s state tariff in </w:t>
      </w:r>
      <w:r w:rsidR="00ED7379">
        <w:rPr>
          <w:sz w:val="26"/>
          <w:szCs w:val="26"/>
        </w:rPr>
        <w:t>R</w:t>
      </w:r>
      <w:r w:rsidR="000B7493">
        <w:rPr>
          <w:sz w:val="26"/>
          <w:szCs w:val="26"/>
        </w:rPr>
        <w:t>ider No. 18</w:t>
      </w:r>
      <w:r w:rsidR="00C93F9B">
        <w:rPr>
          <w:sz w:val="26"/>
          <w:szCs w:val="26"/>
        </w:rPr>
        <w:t xml:space="preserve">, we </w:t>
      </w:r>
      <w:r w:rsidR="008861E1">
        <w:rPr>
          <w:sz w:val="26"/>
          <w:szCs w:val="26"/>
        </w:rPr>
        <w:t>found</w:t>
      </w:r>
      <w:r w:rsidR="00C93F9B">
        <w:rPr>
          <w:sz w:val="26"/>
          <w:szCs w:val="26"/>
        </w:rPr>
        <w:t xml:space="preserve"> that </w:t>
      </w:r>
      <w:r w:rsidR="008861E1">
        <w:rPr>
          <w:sz w:val="26"/>
          <w:szCs w:val="26"/>
        </w:rPr>
        <w:t>t</w:t>
      </w:r>
      <w:r w:rsidR="00A06365">
        <w:rPr>
          <w:sz w:val="26"/>
          <w:szCs w:val="26"/>
        </w:rPr>
        <w:t xml:space="preserve">he Rider was intended to </w:t>
      </w:r>
      <w:r w:rsidR="000630E9">
        <w:rPr>
          <w:sz w:val="26"/>
          <w:szCs w:val="26"/>
        </w:rPr>
        <w:t xml:space="preserve">spur development of small power production of renewable power under PURPA.  </w:t>
      </w:r>
      <w:r w:rsidR="00C474E1">
        <w:rPr>
          <w:sz w:val="26"/>
          <w:szCs w:val="26"/>
        </w:rPr>
        <w:t xml:space="preserve">Rider </w:t>
      </w:r>
      <w:r w:rsidR="00A06365">
        <w:rPr>
          <w:sz w:val="26"/>
          <w:szCs w:val="26"/>
        </w:rPr>
        <w:t xml:space="preserve">No. 18 </w:t>
      </w:r>
      <w:r w:rsidR="000B7493">
        <w:rPr>
          <w:sz w:val="26"/>
          <w:szCs w:val="26"/>
        </w:rPr>
        <w:t>was approved by the Commission in 1981</w:t>
      </w:r>
      <w:r w:rsidR="00D62B43">
        <w:rPr>
          <w:sz w:val="26"/>
          <w:szCs w:val="26"/>
        </w:rPr>
        <w:t xml:space="preserve">, </w:t>
      </w:r>
      <w:r w:rsidR="00C474E1">
        <w:rPr>
          <w:sz w:val="26"/>
          <w:szCs w:val="26"/>
        </w:rPr>
        <w:t>formed the basis for the purchase</w:t>
      </w:r>
      <w:r w:rsidR="007973EF">
        <w:rPr>
          <w:sz w:val="26"/>
          <w:szCs w:val="26"/>
        </w:rPr>
        <w:t>d power</w:t>
      </w:r>
      <w:r w:rsidR="00C474E1">
        <w:rPr>
          <w:sz w:val="26"/>
          <w:szCs w:val="26"/>
        </w:rPr>
        <w:t xml:space="preserve"> price under the PPAs in 1</w:t>
      </w:r>
      <w:r w:rsidRPr="00AB6A04">
        <w:rPr>
          <w:sz w:val="26"/>
          <w:szCs w:val="26"/>
        </w:rPr>
        <w:t>982</w:t>
      </w:r>
      <w:r w:rsidR="00C474E1">
        <w:rPr>
          <w:sz w:val="26"/>
          <w:szCs w:val="26"/>
        </w:rPr>
        <w:t xml:space="preserve"> for the </w:t>
      </w:r>
      <w:r w:rsidRPr="00AB6A04">
        <w:rPr>
          <w:sz w:val="26"/>
          <w:szCs w:val="26"/>
        </w:rPr>
        <w:t>Beaver Valley Power Company (Beaver Valley)</w:t>
      </w:r>
      <w:r w:rsidR="00C474E1">
        <w:rPr>
          <w:sz w:val="26"/>
          <w:szCs w:val="26"/>
        </w:rPr>
        <w:t xml:space="preserve"> and in </w:t>
      </w:r>
      <w:r w:rsidRPr="00AB6A04">
        <w:rPr>
          <w:sz w:val="26"/>
          <w:szCs w:val="26"/>
        </w:rPr>
        <w:t>1985</w:t>
      </w:r>
      <w:r w:rsidR="00C474E1">
        <w:rPr>
          <w:sz w:val="26"/>
          <w:szCs w:val="26"/>
        </w:rPr>
        <w:t xml:space="preserve"> for</w:t>
      </w:r>
      <w:r w:rsidRPr="00AB6A04">
        <w:rPr>
          <w:sz w:val="26"/>
          <w:szCs w:val="26"/>
        </w:rPr>
        <w:t xml:space="preserve"> BFMA</w:t>
      </w:r>
      <w:r w:rsidR="00D62B43">
        <w:rPr>
          <w:sz w:val="26"/>
          <w:szCs w:val="26"/>
        </w:rPr>
        <w:t xml:space="preserve">, and its </w:t>
      </w:r>
      <w:r w:rsidRPr="00AB6A04">
        <w:rPr>
          <w:sz w:val="26"/>
          <w:szCs w:val="26"/>
        </w:rPr>
        <w:t xml:space="preserve">terms and conditions </w:t>
      </w:r>
      <w:r w:rsidR="00D62B43">
        <w:rPr>
          <w:sz w:val="26"/>
          <w:szCs w:val="26"/>
        </w:rPr>
        <w:t xml:space="preserve">were incorporated into the PPAs. </w:t>
      </w:r>
      <w:r w:rsidRPr="00AB6A04">
        <w:rPr>
          <w:sz w:val="26"/>
          <w:szCs w:val="26"/>
        </w:rPr>
        <w:t xml:space="preserve"> Consequently, the wholesale rate paid under both of these negotiated PPAs </w:t>
      </w:r>
      <w:r w:rsidR="00FB6720">
        <w:rPr>
          <w:sz w:val="26"/>
          <w:szCs w:val="26"/>
        </w:rPr>
        <w:t xml:space="preserve">was to be the </w:t>
      </w:r>
      <w:r w:rsidRPr="00AB6A04">
        <w:rPr>
          <w:sz w:val="26"/>
          <w:szCs w:val="26"/>
        </w:rPr>
        <w:t xml:space="preserve">rate </w:t>
      </w:r>
      <w:r w:rsidR="00FB6720">
        <w:rPr>
          <w:sz w:val="26"/>
          <w:szCs w:val="26"/>
        </w:rPr>
        <w:t>memorialized in the state tariff.</w:t>
      </w:r>
      <w:r w:rsidRPr="00AB6A04">
        <w:rPr>
          <w:sz w:val="26"/>
          <w:szCs w:val="26"/>
        </w:rPr>
        <w:t xml:space="preserve">  </w:t>
      </w:r>
      <w:r w:rsidR="00C474E1">
        <w:rPr>
          <w:i/>
          <w:sz w:val="26"/>
          <w:szCs w:val="26"/>
        </w:rPr>
        <w:t xml:space="preserve">November 2014 Order </w:t>
      </w:r>
      <w:r w:rsidR="00C474E1">
        <w:rPr>
          <w:sz w:val="26"/>
          <w:szCs w:val="26"/>
        </w:rPr>
        <w:t>at 17</w:t>
      </w:r>
      <w:r w:rsidRPr="00AB6A04">
        <w:rPr>
          <w:sz w:val="26"/>
          <w:szCs w:val="26"/>
        </w:rPr>
        <w:t>.</w:t>
      </w:r>
      <w:r w:rsidR="006415E3">
        <w:rPr>
          <w:sz w:val="26"/>
          <w:szCs w:val="26"/>
        </w:rPr>
        <w:t xml:space="preserve">  </w:t>
      </w:r>
    </w:p>
    <w:p w:rsidR="00AB6A04" w:rsidRPr="00AB6A04" w:rsidRDefault="00AB6A04" w:rsidP="00144773">
      <w:pPr>
        <w:widowControl/>
        <w:spacing w:line="360" w:lineRule="auto"/>
        <w:contextualSpacing/>
        <w:rPr>
          <w:sz w:val="26"/>
          <w:szCs w:val="26"/>
        </w:rPr>
      </w:pPr>
    </w:p>
    <w:p w:rsidR="00944B9A" w:rsidRDefault="000630E9" w:rsidP="00144773">
      <w:pPr>
        <w:widowControl/>
        <w:tabs>
          <w:tab w:val="left" w:pos="720"/>
          <w:tab w:val="left" w:pos="1440"/>
        </w:tabs>
        <w:spacing w:line="360" w:lineRule="auto"/>
        <w:rPr>
          <w:sz w:val="26"/>
          <w:szCs w:val="26"/>
        </w:rPr>
      </w:pPr>
      <w:r>
        <w:rPr>
          <w:sz w:val="26"/>
          <w:szCs w:val="26"/>
        </w:rPr>
        <w:lastRenderedPageBreak/>
        <w:tab/>
      </w:r>
      <w:r w:rsidR="00C960FF">
        <w:rPr>
          <w:sz w:val="26"/>
          <w:szCs w:val="26"/>
        </w:rPr>
        <w:tab/>
      </w:r>
      <w:r w:rsidR="00A54998">
        <w:rPr>
          <w:sz w:val="26"/>
          <w:szCs w:val="26"/>
        </w:rPr>
        <w:t xml:space="preserve">Although </w:t>
      </w:r>
      <w:r>
        <w:rPr>
          <w:sz w:val="26"/>
          <w:szCs w:val="26"/>
        </w:rPr>
        <w:t xml:space="preserve">initially slightly in excess of </w:t>
      </w:r>
      <w:r w:rsidR="00982537">
        <w:rPr>
          <w:sz w:val="26"/>
          <w:szCs w:val="26"/>
        </w:rPr>
        <w:t>Duquesne’s highest calculated avoided cost in 1981</w:t>
      </w:r>
      <w:r>
        <w:rPr>
          <w:sz w:val="26"/>
          <w:szCs w:val="26"/>
        </w:rPr>
        <w:t xml:space="preserve">, we found that </w:t>
      </w:r>
      <w:r w:rsidR="007973EF">
        <w:rPr>
          <w:sz w:val="26"/>
          <w:szCs w:val="26"/>
        </w:rPr>
        <w:t xml:space="preserve">while </w:t>
      </w:r>
      <w:r>
        <w:rPr>
          <w:sz w:val="26"/>
          <w:szCs w:val="26"/>
        </w:rPr>
        <w:t xml:space="preserve">nothing in </w:t>
      </w:r>
      <w:r w:rsidR="00C960FF" w:rsidRPr="00C960FF">
        <w:rPr>
          <w:sz w:val="26"/>
          <w:szCs w:val="26"/>
        </w:rPr>
        <w:t xml:space="preserve">FERC’s rules </w:t>
      </w:r>
      <w:r w:rsidR="00EB0987">
        <w:rPr>
          <w:sz w:val="26"/>
          <w:szCs w:val="26"/>
        </w:rPr>
        <w:t>required an electric utility to pay more than the avoided cost</w:t>
      </w:r>
      <w:r w:rsidR="007973EF">
        <w:rPr>
          <w:sz w:val="26"/>
          <w:szCs w:val="26"/>
        </w:rPr>
        <w:t xml:space="preserve"> the</w:t>
      </w:r>
      <w:r w:rsidR="00EB0987">
        <w:rPr>
          <w:sz w:val="26"/>
          <w:szCs w:val="26"/>
        </w:rPr>
        <w:t xml:space="preserve"> </w:t>
      </w:r>
      <w:r w:rsidR="00304BCB">
        <w:rPr>
          <w:sz w:val="26"/>
          <w:szCs w:val="26"/>
        </w:rPr>
        <w:t>parties</w:t>
      </w:r>
      <w:r w:rsidR="00EB0987">
        <w:rPr>
          <w:sz w:val="26"/>
          <w:szCs w:val="26"/>
        </w:rPr>
        <w:t xml:space="preserve"> were free to negotiate a rate that differed from those otherwise required.  </w:t>
      </w:r>
      <w:r w:rsidR="007973EF">
        <w:rPr>
          <w:sz w:val="26"/>
          <w:szCs w:val="26"/>
        </w:rPr>
        <w:t>T</w:t>
      </w:r>
      <w:r w:rsidR="005102C9">
        <w:rPr>
          <w:sz w:val="26"/>
          <w:szCs w:val="26"/>
        </w:rPr>
        <w:t>he calculation of the avoided cost rate was based upon the utility’s estimates at the time they were approved</w:t>
      </w:r>
      <w:r w:rsidR="00405E3F">
        <w:rPr>
          <w:sz w:val="26"/>
          <w:szCs w:val="26"/>
        </w:rPr>
        <w:t xml:space="preserve">, not as they may have been </w:t>
      </w:r>
      <w:r w:rsidR="00BA2C64">
        <w:rPr>
          <w:sz w:val="26"/>
          <w:szCs w:val="26"/>
        </w:rPr>
        <w:t xml:space="preserve">presented </w:t>
      </w:r>
      <w:r w:rsidR="00405E3F">
        <w:rPr>
          <w:sz w:val="26"/>
          <w:szCs w:val="26"/>
        </w:rPr>
        <w:t>any number of years later</w:t>
      </w:r>
      <w:r w:rsidR="005102C9">
        <w:rPr>
          <w:sz w:val="26"/>
          <w:szCs w:val="26"/>
        </w:rPr>
        <w:t xml:space="preserve">. </w:t>
      </w:r>
      <w:r w:rsidR="00EB0987">
        <w:rPr>
          <w:sz w:val="26"/>
          <w:szCs w:val="26"/>
        </w:rPr>
        <w:t xml:space="preserve"> Most importantly, as we concluded,</w:t>
      </w:r>
    </w:p>
    <w:p w:rsidR="00944B9A" w:rsidRDefault="00944B9A" w:rsidP="00144773">
      <w:pPr>
        <w:widowControl/>
        <w:tabs>
          <w:tab w:val="left" w:pos="720"/>
          <w:tab w:val="left" w:pos="1440"/>
        </w:tabs>
        <w:spacing w:line="360" w:lineRule="auto"/>
        <w:rPr>
          <w:sz w:val="26"/>
          <w:szCs w:val="26"/>
        </w:rPr>
      </w:pPr>
    </w:p>
    <w:p w:rsidR="00944B9A" w:rsidRDefault="00EB0987" w:rsidP="004371AD">
      <w:pPr>
        <w:widowControl/>
        <w:tabs>
          <w:tab w:val="left" w:pos="720"/>
          <w:tab w:val="left" w:pos="1440"/>
        </w:tabs>
        <w:ind w:left="1440" w:right="1440"/>
        <w:rPr>
          <w:sz w:val="26"/>
          <w:szCs w:val="26"/>
        </w:rPr>
      </w:pPr>
      <w:r>
        <w:rPr>
          <w:sz w:val="26"/>
          <w:szCs w:val="26"/>
        </w:rPr>
        <w:t xml:space="preserve"> </w:t>
      </w:r>
      <w:r w:rsidR="004371AD">
        <w:rPr>
          <w:sz w:val="26"/>
          <w:szCs w:val="26"/>
        </w:rPr>
        <w:t>[t]</w:t>
      </w:r>
      <w:r>
        <w:rPr>
          <w:sz w:val="26"/>
          <w:szCs w:val="26"/>
        </w:rPr>
        <w:t xml:space="preserve">he </w:t>
      </w:r>
      <w:r w:rsidR="005102C9">
        <w:rPr>
          <w:sz w:val="26"/>
          <w:szCs w:val="26"/>
        </w:rPr>
        <w:t xml:space="preserve">development of </w:t>
      </w:r>
      <w:r w:rsidR="004064EC">
        <w:rPr>
          <w:sz w:val="26"/>
          <w:szCs w:val="26"/>
        </w:rPr>
        <w:t xml:space="preserve">a </w:t>
      </w:r>
      <w:r w:rsidR="005102C9">
        <w:rPr>
          <w:sz w:val="26"/>
          <w:szCs w:val="26"/>
        </w:rPr>
        <w:t xml:space="preserve">QF rate for purchase under the </w:t>
      </w:r>
      <w:r w:rsidR="004371AD">
        <w:rPr>
          <w:sz w:val="26"/>
          <w:szCs w:val="26"/>
        </w:rPr>
        <w:t>“</w:t>
      </w:r>
      <w:r w:rsidR="005102C9">
        <w:rPr>
          <w:sz w:val="26"/>
          <w:szCs w:val="26"/>
        </w:rPr>
        <w:t>legally enforceable obligations</w:t>
      </w:r>
      <w:r w:rsidR="004371AD">
        <w:rPr>
          <w:sz w:val="26"/>
          <w:szCs w:val="26"/>
        </w:rPr>
        <w:t>”</w:t>
      </w:r>
      <w:r w:rsidR="005102C9">
        <w:rPr>
          <w:sz w:val="26"/>
          <w:szCs w:val="26"/>
        </w:rPr>
        <w:t xml:space="preserve"> provisions of Sections 292.304(b)(5) and </w:t>
      </w:r>
      <w:r w:rsidR="00381550" w:rsidRPr="00381550">
        <w:rPr>
          <w:sz w:val="26"/>
          <w:szCs w:val="26"/>
        </w:rPr>
        <w:t>292.304</w:t>
      </w:r>
      <w:r w:rsidR="005102C9">
        <w:rPr>
          <w:sz w:val="26"/>
          <w:szCs w:val="26"/>
        </w:rPr>
        <w:t xml:space="preserve">(d) allow </w:t>
      </w:r>
      <w:r w:rsidR="00381550">
        <w:rPr>
          <w:sz w:val="26"/>
          <w:szCs w:val="26"/>
        </w:rPr>
        <w:t>QF</w:t>
      </w:r>
      <w:r w:rsidR="005F6C89">
        <w:rPr>
          <w:sz w:val="26"/>
          <w:szCs w:val="26"/>
        </w:rPr>
        <w:t>s</w:t>
      </w:r>
      <w:r w:rsidR="00381550">
        <w:rPr>
          <w:sz w:val="26"/>
          <w:szCs w:val="26"/>
        </w:rPr>
        <w:t xml:space="preserve"> to choose a purchase price based on </w:t>
      </w:r>
      <w:r w:rsidR="005102C9">
        <w:rPr>
          <w:sz w:val="26"/>
          <w:szCs w:val="26"/>
        </w:rPr>
        <w:t xml:space="preserve">the calculation of a levelized, long-term avoided cost rate </w:t>
      </w:r>
      <w:r w:rsidR="00381550">
        <w:rPr>
          <w:sz w:val="26"/>
          <w:szCs w:val="26"/>
        </w:rPr>
        <w:t>calculated at the time the obligation is incurred. They do not require that rates equal avoided costs at the time the power is delivered.</w:t>
      </w:r>
      <w:r>
        <w:rPr>
          <w:sz w:val="26"/>
          <w:szCs w:val="26"/>
        </w:rPr>
        <w:t xml:space="preserve">  </w:t>
      </w:r>
    </w:p>
    <w:p w:rsidR="00944B9A" w:rsidRDefault="00944B9A" w:rsidP="00144773">
      <w:pPr>
        <w:widowControl/>
        <w:tabs>
          <w:tab w:val="left" w:pos="720"/>
          <w:tab w:val="left" w:pos="1440"/>
        </w:tabs>
        <w:spacing w:line="360" w:lineRule="auto"/>
        <w:rPr>
          <w:sz w:val="26"/>
          <w:szCs w:val="26"/>
        </w:rPr>
      </w:pPr>
    </w:p>
    <w:p w:rsidR="00D15558" w:rsidRDefault="00EB0987" w:rsidP="00144773">
      <w:pPr>
        <w:widowControl/>
        <w:tabs>
          <w:tab w:val="left" w:pos="720"/>
          <w:tab w:val="left" w:pos="1440"/>
        </w:tabs>
        <w:spacing w:line="360" w:lineRule="auto"/>
        <w:rPr>
          <w:sz w:val="26"/>
          <w:szCs w:val="26"/>
        </w:rPr>
      </w:pPr>
      <w:r>
        <w:rPr>
          <w:i/>
          <w:sz w:val="26"/>
          <w:szCs w:val="26"/>
        </w:rPr>
        <w:t xml:space="preserve">November 2014 Order </w:t>
      </w:r>
      <w:r>
        <w:rPr>
          <w:sz w:val="26"/>
          <w:szCs w:val="26"/>
        </w:rPr>
        <w:t xml:space="preserve">at 66.  </w:t>
      </w:r>
    </w:p>
    <w:p w:rsidR="00EB0987" w:rsidRDefault="00EB0987" w:rsidP="00144773">
      <w:pPr>
        <w:widowControl/>
        <w:tabs>
          <w:tab w:val="left" w:pos="720"/>
          <w:tab w:val="left" w:pos="1440"/>
        </w:tabs>
        <w:spacing w:line="360" w:lineRule="auto"/>
        <w:rPr>
          <w:sz w:val="26"/>
          <w:szCs w:val="26"/>
        </w:rPr>
      </w:pPr>
    </w:p>
    <w:p w:rsidR="00EB0987" w:rsidRDefault="00EB0987" w:rsidP="00144773">
      <w:pPr>
        <w:widowControl/>
        <w:tabs>
          <w:tab w:val="left" w:pos="720"/>
          <w:tab w:val="left" w:pos="1440"/>
        </w:tabs>
        <w:spacing w:line="360" w:lineRule="auto"/>
        <w:rPr>
          <w:sz w:val="26"/>
          <w:szCs w:val="26"/>
        </w:rPr>
      </w:pPr>
      <w:r>
        <w:rPr>
          <w:sz w:val="26"/>
          <w:szCs w:val="26"/>
        </w:rPr>
        <w:tab/>
      </w:r>
      <w:r>
        <w:rPr>
          <w:sz w:val="26"/>
          <w:szCs w:val="26"/>
        </w:rPr>
        <w:tab/>
        <w:t>Finally with respect to NRG’s claims and the ALJ’s conclusions that current Pennsylvania law mandated a different result here, we concluded</w:t>
      </w:r>
      <w:r w:rsidR="00FB6720">
        <w:rPr>
          <w:sz w:val="26"/>
          <w:szCs w:val="26"/>
        </w:rPr>
        <w:t xml:space="preserve"> that the ALJ erred in determining that Rider No. 18 was subject to the current statutory law and regulatory scheme in Pennsylvania.  As we noted, </w:t>
      </w:r>
      <w:r w:rsidR="001110BD">
        <w:rPr>
          <w:sz w:val="26"/>
          <w:szCs w:val="26"/>
        </w:rPr>
        <w:t xml:space="preserve">for example, </w:t>
      </w:r>
      <w:r w:rsidR="004937C0" w:rsidRPr="004937C0">
        <w:rPr>
          <w:sz w:val="26"/>
          <w:szCs w:val="26"/>
        </w:rPr>
        <w:t xml:space="preserve">in enacting the Electric Competition Act </w:t>
      </w:r>
      <w:r w:rsidR="004937C0">
        <w:rPr>
          <w:sz w:val="26"/>
          <w:szCs w:val="26"/>
        </w:rPr>
        <w:t xml:space="preserve">the General Assembly not only </w:t>
      </w:r>
      <w:r w:rsidR="00FB6720">
        <w:rPr>
          <w:sz w:val="26"/>
          <w:szCs w:val="26"/>
        </w:rPr>
        <w:t xml:space="preserve">acknowledged </w:t>
      </w:r>
      <w:r w:rsidR="004937C0">
        <w:rPr>
          <w:sz w:val="26"/>
          <w:szCs w:val="26"/>
        </w:rPr>
        <w:t xml:space="preserve">but also </w:t>
      </w:r>
      <w:r w:rsidR="00FB6720">
        <w:rPr>
          <w:sz w:val="26"/>
          <w:szCs w:val="26"/>
        </w:rPr>
        <w:t xml:space="preserve">provided for the </w:t>
      </w:r>
      <w:r w:rsidR="004937C0">
        <w:rPr>
          <w:sz w:val="26"/>
          <w:szCs w:val="26"/>
        </w:rPr>
        <w:t xml:space="preserve">preservation of </w:t>
      </w:r>
      <w:r w:rsidR="00FB6720">
        <w:rPr>
          <w:sz w:val="26"/>
          <w:szCs w:val="26"/>
        </w:rPr>
        <w:t xml:space="preserve">and </w:t>
      </w:r>
      <w:r w:rsidR="004937C0">
        <w:rPr>
          <w:sz w:val="26"/>
          <w:szCs w:val="26"/>
        </w:rPr>
        <w:t xml:space="preserve">continued </w:t>
      </w:r>
      <w:r w:rsidR="00FB6720">
        <w:rPr>
          <w:sz w:val="26"/>
          <w:szCs w:val="26"/>
        </w:rPr>
        <w:t>rate recovery under long-term QF contracts with potentially above-market pricing:</w:t>
      </w:r>
    </w:p>
    <w:p w:rsidR="00FB6720" w:rsidRDefault="00FB6720" w:rsidP="00144773">
      <w:pPr>
        <w:widowControl/>
        <w:tabs>
          <w:tab w:val="left" w:pos="720"/>
          <w:tab w:val="left" w:pos="1440"/>
        </w:tabs>
        <w:spacing w:line="360" w:lineRule="auto"/>
        <w:rPr>
          <w:sz w:val="26"/>
          <w:szCs w:val="26"/>
        </w:rPr>
      </w:pPr>
    </w:p>
    <w:p w:rsidR="00FB6720" w:rsidRDefault="00FB6720" w:rsidP="004371AD">
      <w:pPr>
        <w:widowControl/>
        <w:tabs>
          <w:tab w:val="left" w:pos="720"/>
          <w:tab w:val="left" w:pos="1440"/>
        </w:tabs>
        <w:ind w:left="1440" w:right="1440"/>
        <w:rPr>
          <w:sz w:val="26"/>
          <w:szCs w:val="26"/>
        </w:rPr>
      </w:pPr>
      <w:r w:rsidRPr="00FB6720">
        <w:rPr>
          <w:sz w:val="26"/>
          <w:szCs w:val="26"/>
        </w:rPr>
        <w:t xml:space="preserve">The NRG Companies’ claim that these state acts have preempted and rendered no longer valid PURPA’s federal pricing terms is unsustainable under state or federal law.  Despite the competitive evolution in the wholesale and retail electric markets, neither federal nor state law mandates elimination of existing long-term purchase power obligations. In fact, to the contrary, both continue to accommodate these existing obligations.  </w:t>
      </w:r>
    </w:p>
    <w:p w:rsidR="004937C0" w:rsidRDefault="004937C0" w:rsidP="00144773">
      <w:pPr>
        <w:widowControl/>
        <w:tabs>
          <w:tab w:val="left" w:pos="720"/>
          <w:tab w:val="left" w:pos="1440"/>
        </w:tabs>
        <w:ind w:left="2160" w:right="1440"/>
        <w:rPr>
          <w:sz w:val="26"/>
          <w:szCs w:val="26"/>
        </w:rPr>
      </w:pPr>
    </w:p>
    <w:p w:rsidR="004937C0" w:rsidRDefault="004937C0" w:rsidP="00144773">
      <w:pPr>
        <w:widowControl/>
        <w:tabs>
          <w:tab w:val="left" w:pos="720"/>
          <w:tab w:val="left" w:pos="1440"/>
        </w:tabs>
        <w:ind w:left="2160" w:right="1440"/>
        <w:rPr>
          <w:sz w:val="26"/>
          <w:szCs w:val="26"/>
        </w:rPr>
      </w:pPr>
      <w:r>
        <w:rPr>
          <w:sz w:val="26"/>
          <w:szCs w:val="26"/>
        </w:rPr>
        <w:lastRenderedPageBreak/>
        <w:tab/>
      </w:r>
      <w:r>
        <w:rPr>
          <w:sz w:val="26"/>
          <w:szCs w:val="26"/>
        </w:rPr>
        <w:tab/>
        <w:t>*</w:t>
      </w:r>
      <w:r>
        <w:rPr>
          <w:sz w:val="26"/>
          <w:szCs w:val="26"/>
        </w:rPr>
        <w:tab/>
        <w:t>*</w:t>
      </w:r>
      <w:r>
        <w:rPr>
          <w:sz w:val="26"/>
          <w:szCs w:val="26"/>
        </w:rPr>
        <w:tab/>
        <w:t>*</w:t>
      </w:r>
    </w:p>
    <w:p w:rsidR="004937C0" w:rsidRDefault="004937C0" w:rsidP="00144773">
      <w:pPr>
        <w:widowControl/>
        <w:tabs>
          <w:tab w:val="left" w:pos="720"/>
          <w:tab w:val="left" w:pos="1440"/>
        </w:tabs>
        <w:ind w:left="2160" w:right="1440"/>
        <w:rPr>
          <w:sz w:val="26"/>
          <w:szCs w:val="26"/>
        </w:rPr>
      </w:pPr>
    </w:p>
    <w:p w:rsidR="004937C0" w:rsidRDefault="004937C0" w:rsidP="004371AD">
      <w:pPr>
        <w:widowControl/>
        <w:tabs>
          <w:tab w:val="left" w:pos="720"/>
          <w:tab w:val="left" w:pos="1440"/>
        </w:tabs>
        <w:ind w:left="1440" w:right="1440"/>
        <w:rPr>
          <w:sz w:val="26"/>
          <w:szCs w:val="26"/>
        </w:rPr>
      </w:pPr>
      <w:r>
        <w:rPr>
          <w:sz w:val="26"/>
          <w:szCs w:val="26"/>
        </w:rPr>
        <w:t>It would be an absurd result, not intended by the General Assembly, to conclude that the Electric Competition Act and AEPSA undermine the PURPA obligations memorialized in the PPAs and Rider No. 18.  If anything, the General Assembly’s provision for these obligations indicates to us the intent to confirm their continued validity and viability.</w:t>
      </w:r>
    </w:p>
    <w:p w:rsidR="00FB6720" w:rsidRDefault="00FB6720" w:rsidP="00144773">
      <w:pPr>
        <w:widowControl/>
        <w:tabs>
          <w:tab w:val="left" w:pos="720"/>
          <w:tab w:val="left" w:pos="1440"/>
        </w:tabs>
        <w:spacing w:line="360" w:lineRule="auto"/>
        <w:rPr>
          <w:sz w:val="26"/>
          <w:szCs w:val="26"/>
        </w:rPr>
      </w:pPr>
    </w:p>
    <w:p w:rsidR="00FB6720" w:rsidRDefault="00FB6720" w:rsidP="00144773">
      <w:pPr>
        <w:widowControl/>
        <w:tabs>
          <w:tab w:val="left" w:pos="720"/>
          <w:tab w:val="left" w:pos="1440"/>
        </w:tabs>
        <w:spacing w:line="360" w:lineRule="auto"/>
        <w:rPr>
          <w:sz w:val="26"/>
          <w:szCs w:val="26"/>
        </w:rPr>
      </w:pPr>
      <w:r>
        <w:rPr>
          <w:i/>
          <w:sz w:val="26"/>
          <w:szCs w:val="26"/>
        </w:rPr>
        <w:t xml:space="preserve">November 2014 Order </w:t>
      </w:r>
      <w:r>
        <w:rPr>
          <w:sz w:val="26"/>
          <w:szCs w:val="26"/>
        </w:rPr>
        <w:t>at 70</w:t>
      </w:r>
      <w:r w:rsidR="004937C0">
        <w:rPr>
          <w:sz w:val="26"/>
          <w:szCs w:val="26"/>
        </w:rPr>
        <w:t>-72</w:t>
      </w:r>
      <w:r>
        <w:rPr>
          <w:sz w:val="26"/>
          <w:szCs w:val="26"/>
        </w:rPr>
        <w:t>.</w:t>
      </w:r>
      <w:r w:rsidR="004937C0">
        <w:rPr>
          <w:sz w:val="26"/>
          <w:szCs w:val="26"/>
        </w:rPr>
        <w:t xml:space="preserve">  Finding that the relief requested by NRG and granted by the ALJ under purported authority of the current condition of state law conflicted with PURPA, we reversed the ALJ</w:t>
      </w:r>
      <w:r w:rsidR="00B87A25">
        <w:rPr>
          <w:sz w:val="26"/>
          <w:szCs w:val="26"/>
        </w:rPr>
        <w:t xml:space="preserve"> on jurisdictional grounds</w:t>
      </w:r>
      <w:r w:rsidR="004937C0">
        <w:rPr>
          <w:sz w:val="26"/>
          <w:szCs w:val="26"/>
        </w:rPr>
        <w:t>.</w:t>
      </w:r>
    </w:p>
    <w:p w:rsidR="004937C0" w:rsidRDefault="004937C0" w:rsidP="00144773">
      <w:pPr>
        <w:widowControl/>
        <w:tabs>
          <w:tab w:val="left" w:pos="720"/>
          <w:tab w:val="left" w:pos="1440"/>
        </w:tabs>
        <w:spacing w:line="360" w:lineRule="auto"/>
        <w:rPr>
          <w:sz w:val="26"/>
          <w:szCs w:val="26"/>
        </w:rPr>
      </w:pPr>
    </w:p>
    <w:p w:rsidR="007973EF" w:rsidRDefault="004937C0" w:rsidP="00144773">
      <w:pPr>
        <w:widowControl/>
        <w:tabs>
          <w:tab w:val="left" w:pos="720"/>
          <w:tab w:val="left" w:pos="1440"/>
        </w:tabs>
        <w:spacing w:line="360" w:lineRule="auto"/>
        <w:rPr>
          <w:sz w:val="26"/>
          <w:szCs w:val="26"/>
        </w:rPr>
      </w:pPr>
      <w:r>
        <w:rPr>
          <w:sz w:val="26"/>
          <w:szCs w:val="26"/>
        </w:rPr>
        <w:tab/>
      </w:r>
      <w:r>
        <w:rPr>
          <w:sz w:val="26"/>
          <w:szCs w:val="26"/>
        </w:rPr>
        <w:tab/>
      </w:r>
      <w:r w:rsidR="00333D2D">
        <w:rPr>
          <w:sz w:val="26"/>
          <w:szCs w:val="26"/>
        </w:rPr>
        <w:t>I</w:t>
      </w:r>
      <w:r w:rsidR="00B87A25">
        <w:rPr>
          <w:sz w:val="26"/>
          <w:szCs w:val="26"/>
        </w:rPr>
        <w:t xml:space="preserve">n light of the </w:t>
      </w:r>
      <w:r w:rsidR="00950685">
        <w:rPr>
          <w:sz w:val="26"/>
          <w:szCs w:val="26"/>
        </w:rPr>
        <w:t xml:space="preserve">full </w:t>
      </w:r>
      <w:r w:rsidR="00B87A25">
        <w:rPr>
          <w:sz w:val="26"/>
          <w:szCs w:val="26"/>
        </w:rPr>
        <w:t xml:space="preserve">evidentiary record </w:t>
      </w:r>
      <w:r w:rsidR="00333D2D">
        <w:rPr>
          <w:sz w:val="26"/>
          <w:szCs w:val="26"/>
        </w:rPr>
        <w:t xml:space="preserve">that had been developed, </w:t>
      </w:r>
      <w:r w:rsidR="00B87A25">
        <w:rPr>
          <w:sz w:val="26"/>
          <w:szCs w:val="26"/>
        </w:rPr>
        <w:t xml:space="preserve">we also </w:t>
      </w:r>
      <w:r w:rsidR="00950685">
        <w:rPr>
          <w:sz w:val="26"/>
          <w:szCs w:val="26"/>
        </w:rPr>
        <w:t xml:space="preserve">reviewed and </w:t>
      </w:r>
      <w:r w:rsidR="00333D2D">
        <w:rPr>
          <w:sz w:val="26"/>
          <w:szCs w:val="26"/>
        </w:rPr>
        <w:t xml:space="preserve">reversed the ALJ’s decision on the burden of proof, determining </w:t>
      </w:r>
      <w:r w:rsidR="00B87A25">
        <w:rPr>
          <w:sz w:val="26"/>
          <w:szCs w:val="26"/>
        </w:rPr>
        <w:t xml:space="preserve">that the NRG companies failed to carry their burden of proving that the rate in Rider No. 18 was unjust and unreasonable.  Duquesne </w:t>
      </w:r>
      <w:r w:rsidR="00333D2D">
        <w:rPr>
          <w:sz w:val="26"/>
          <w:szCs w:val="26"/>
        </w:rPr>
        <w:t xml:space="preserve">had </w:t>
      </w:r>
      <w:r w:rsidR="00B87A25">
        <w:rPr>
          <w:sz w:val="26"/>
          <w:szCs w:val="26"/>
        </w:rPr>
        <w:t>argued that NRG had presented no credible evidence of an appropriate long-term avoided cost rate other than the existing rate</w:t>
      </w:r>
      <w:r w:rsidR="00333D2D">
        <w:rPr>
          <w:sz w:val="26"/>
          <w:szCs w:val="26"/>
        </w:rPr>
        <w:t xml:space="preserve"> and instead </w:t>
      </w:r>
      <w:r w:rsidR="00B87A25">
        <w:rPr>
          <w:sz w:val="26"/>
          <w:szCs w:val="26"/>
        </w:rPr>
        <w:t>relied on current short-term spot market prices</w:t>
      </w:r>
      <w:r w:rsidR="00333D2D">
        <w:rPr>
          <w:sz w:val="26"/>
          <w:szCs w:val="26"/>
        </w:rPr>
        <w:t xml:space="preserve"> that</w:t>
      </w:r>
      <w:r w:rsidR="00B87A25">
        <w:rPr>
          <w:sz w:val="26"/>
          <w:szCs w:val="26"/>
        </w:rPr>
        <w:t xml:space="preserve"> even NRG would not characterize as a new avoided cost rate.  BFMA also challenged NRG’s use of current spot market prices </w:t>
      </w:r>
      <w:r w:rsidR="002F67B4">
        <w:rPr>
          <w:sz w:val="26"/>
          <w:szCs w:val="26"/>
        </w:rPr>
        <w:t xml:space="preserve">under state law </w:t>
      </w:r>
      <w:r w:rsidR="00B87A25">
        <w:rPr>
          <w:sz w:val="26"/>
          <w:szCs w:val="26"/>
        </w:rPr>
        <w:t xml:space="preserve">as a substitute for an avoided cost standard for a long-term PURPA contract.  </w:t>
      </w:r>
      <w:r w:rsidR="00FA3F16">
        <w:rPr>
          <w:sz w:val="26"/>
          <w:szCs w:val="26"/>
        </w:rPr>
        <w:t xml:space="preserve">BFMA also again noted that NRG’s reliance on </w:t>
      </w:r>
      <w:r w:rsidR="00B87A25">
        <w:rPr>
          <w:sz w:val="26"/>
          <w:szCs w:val="26"/>
        </w:rPr>
        <w:t xml:space="preserve">the just, reasonable, and non-discriminatory standard under Section 1304 </w:t>
      </w:r>
      <w:r w:rsidR="00FA3F16">
        <w:rPr>
          <w:sz w:val="26"/>
          <w:szCs w:val="26"/>
        </w:rPr>
        <w:t>of the Code confused applicable jurisdictions, treating “</w:t>
      </w:r>
      <w:r w:rsidR="002F67B4">
        <w:rPr>
          <w:sz w:val="26"/>
          <w:szCs w:val="26"/>
        </w:rPr>
        <w:t>Q</w:t>
      </w:r>
      <w:r w:rsidR="00B87A25">
        <w:rPr>
          <w:sz w:val="26"/>
          <w:szCs w:val="26"/>
        </w:rPr>
        <w:t xml:space="preserve">F pricing as a retail rate issue addressed under state law, when PURPA’s intent, as explained in </w:t>
      </w:r>
      <w:r w:rsidR="00B87A25">
        <w:rPr>
          <w:i/>
          <w:sz w:val="26"/>
          <w:szCs w:val="26"/>
        </w:rPr>
        <w:t xml:space="preserve">Scrubgrass </w:t>
      </w:r>
      <w:r w:rsidR="00B87A25">
        <w:rPr>
          <w:sz w:val="26"/>
          <w:szCs w:val="26"/>
        </w:rPr>
        <w:t xml:space="preserve">and </w:t>
      </w:r>
      <w:r w:rsidR="00B87A25" w:rsidRPr="002F67B4">
        <w:rPr>
          <w:i/>
          <w:sz w:val="26"/>
          <w:szCs w:val="26"/>
        </w:rPr>
        <w:t>Freehold</w:t>
      </w:r>
      <w:r w:rsidR="003A10D8">
        <w:rPr>
          <w:sz w:val="26"/>
          <w:szCs w:val="26"/>
        </w:rPr>
        <w:t>, was to exempt QF’s [</w:t>
      </w:r>
      <w:r w:rsidR="00B87A25">
        <w:rPr>
          <w:sz w:val="26"/>
          <w:szCs w:val="26"/>
        </w:rPr>
        <w:t>sic</w:t>
      </w:r>
      <w:r w:rsidR="003A10D8">
        <w:rPr>
          <w:sz w:val="26"/>
          <w:szCs w:val="26"/>
        </w:rPr>
        <w:t>]</w:t>
      </w:r>
      <w:r w:rsidR="00B87A25">
        <w:rPr>
          <w:sz w:val="26"/>
          <w:szCs w:val="26"/>
        </w:rPr>
        <w:t xml:space="preserve"> from traditional state laws and regulations regarding rates.”  </w:t>
      </w:r>
      <w:r w:rsidR="00B87A25">
        <w:rPr>
          <w:i/>
          <w:sz w:val="26"/>
          <w:szCs w:val="26"/>
        </w:rPr>
        <w:t xml:space="preserve">November 2014 Order </w:t>
      </w:r>
      <w:r w:rsidR="00B87A25">
        <w:rPr>
          <w:sz w:val="26"/>
          <w:szCs w:val="26"/>
        </w:rPr>
        <w:t xml:space="preserve">at 75, </w:t>
      </w:r>
      <w:r w:rsidR="00B87A25">
        <w:rPr>
          <w:i/>
          <w:sz w:val="26"/>
          <w:szCs w:val="26"/>
        </w:rPr>
        <w:t xml:space="preserve">citing </w:t>
      </w:r>
      <w:r w:rsidR="00B87A25">
        <w:rPr>
          <w:sz w:val="26"/>
          <w:szCs w:val="26"/>
        </w:rPr>
        <w:t>BFMA M</w:t>
      </w:r>
      <w:r w:rsidR="002F67B4">
        <w:rPr>
          <w:sz w:val="26"/>
          <w:szCs w:val="26"/>
        </w:rPr>
        <w:t>.</w:t>
      </w:r>
      <w:r w:rsidR="00B87A25">
        <w:rPr>
          <w:sz w:val="26"/>
          <w:szCs w:val="26"/>
        </w:rPr>
        <w:t xml:space="preserve">B. </w:t>
      </w:r>
      <w:r w:rsidR="002F67B4">
        <w:rPr>
          <w:sz w:val="26"/>
          <w:szCs w:val="26"/>
        </w:rPr>
        <w:t>a</w:t>
      </w:r>
      <w:r w:rsidR="00B87A25">
        <w:rPr>
          <w:sz w:val="26"/>
          <w:szCs w:val="26"/>
        </w:rPr>
        <w:t xml:space="preserve">t 28.   </w:t>
      </w:r>
    </w:p>
    <w:p w:rsidR="007973EF" w:rsidRDefault="007973EF" w:rsidP="00144773">
      <w:pPr>
        <w:widowControl/>
        <w:tabs>
          <w:tab w:val="left" w:pos="720"/>
          <w:tab w:val="left" w:pos="1440"/>
        </w:tabs>
        <w:spacing w:line="360" w:lineRule="auto"/>
        <w:rPr>
          <w:sz w:val="26"/>
          <w:szCs w:val="26"/>
        </w:rPr>
      </w:pPr>
    </w:p>
    <w:p w:rsidR="00FA3F16" w:rsidRDefault="007973EF" w:rsidP="00144773">
      <w:pPr>
        <w:widowControl/>
        <w:tabs>
          <w:tab w:val="left" w:pos="720"/>
          <w:tab w:val="left" w:pos="1440"/>
        </w:tabs>
        <w:spacing w:line="360" w:lineRule="auto"/>
        <w:rPr>
          <w:sz w:val="26"/>
          <w:szCs w:val="26"/>
        </w:rPr>
      </w:pPr>
      <w:r>
        <w:rPr>
          <w:sz w:val="26"/>
          <w:szCs w:val="26"/>
        </w:rPr>
        <w:tab/>
      </w:r>
      <w:r>
        <w:rPr>
          <w:sz w:val="26"/>
          <w:szCs w:val="26"/>
        </w:rPr>
        <w:tab/>
      </w:r>
      <w:r w:rsidR="00FA3F16">
        <w:rPr>
          <w:sz w:val="26"/>
          <w:szCs w:val="26"/>
        </w:rPr>
        <w:t xml:space="preserve">We agreed that NRG’s continued comparison of a wholesale long-term avoided cost rate under PURPA to current short-term spot market rates under state law was neither reasonable nor supportable.  We further found that the evidence presented by </w:t>
      </w:r>
      <w:r w:rsidR="00FA3F16">
        <w:rPr>
          <w:sz w:val="26"/>
          <w:szCs w:val="26"/>
        </w:rPr>
        <w:lastRenderedPageBreak/>
        <w:t xml:space="preserve">NRG did not support a finding that the rate </w:t>
      </w:r>
      <w:r w:rsidR="002E123D">
        <w:rPr>
          <w:sz w:val="26"/>
          <w:szCs w:val="26"/>
        </w:rPr>
        <w:t xml:space="preserve">we approved </w:t>
      </w:r>
      <w:r w:rsidR="00FA3F16">
        <w:rPr>
          <w:sz w:val="26"/>
          <w:szCs w:val="26"/>
        </w:rPr>
        <w:t xml:space="preserve">in Rider No. 18 </w:t>
      </w:r>
      <w:r w:rsidR="002E123D">
        <w:rPr>
          <w:sz w:val="26"/>
          <w:szCs w:val="26"/>
        </w:rPr>
        <w:t>was not a viable wholesale rate for QFs at the time the QFs undertook their legal obligations under the PPA</w:t>
      </w:r>
      <w:r>
        <w:rPr>
          <w:sz w:val="26"/>
          <w:szCs w:val="26"/>
        </w:rPr>
        <w:t>s</w:t>
      </w:r>
      <w:r w:rsidR="002E123D">
        <w:rPr>
          <w:sz w:val="26"/>
          <w:szCs w:val="26"/>
        </w:rPr>
        <w:t xml:space="preserve"> or that the rate </w:t>
      </w:r>
      <w:r w:rsidR="00FA3F16">
        <w:rPr>
          <w:sz w:val="26"/>
          <w:szCs w:val="26"/>
        </w:rPr>
        <w:t xml:space="preserve">was no longer just and reasonable.  </w:t>
      </w:r>
      <w:r w:rsidR="002E123D">
        <w:rPr>
          <w:sz w:val="26"/>
          <w:szCs w:val="26"/>
        </w:rPr>
        <w:t xml:space="preserve">Accordingly, we also reversed the ALJ on evidentiary grounds.  </w:t>
      </w:r>
      <w:r w:rsidR="002E123D">
        <w:rPr>
          <w:i/>
          <w:sz w:val="26"/>
          <w:szCs w:val="26"/>
        </w:rPr>
        <w:t xml:space="preserve">November 2014 Order </w:t>
      </w:r>
      <w:r w:rsidR="002E123D">
        <w:rPr>
          <w:sz w:val="26"/>
          <w:szCs w:val="26"/>
        </w:rPr>
        <w:t>at 74-87.</w:t>
      </w:r>
      <w:r w:rsidR="00FA3F16">
        <w:rPr>
          <w:sz w:val="26"/>
          <w:szCs w:val="26"/>
        </w:rPr>
        <w:t xml:space="preserve">  </w:t>
      </w:r>
    </w:p>
    <w:p w:rsidR="00FA3F16" w:rsidRPr="00FB6720" w:rsidRDefault="00FA3F16" w:rsidP="00144773">
      <w:pPr>
        <w:widowControl/>
        <w:tabs>
          <w:tab w:val="left" w:pos="720"/>
          <w:tab w:val="left" w:pos="1440"/>
        </w:tabs>
        <w:spacing w:line="360" w:lineRule="auto"/>
        <w:rPr>
          <w:sz w:val="26"/>
          <w:szCs w:val="26"/>
        </w:rPr>
      </w:pPr>
      <w:r>
        <w:rPr>
          <w:sz w:val="26"/>
          <w:szCs w:val="26"/>
        </w:rPr>
        <w:tab/>
      </w:r>
      <w:r>
        <w:rPr>
          <w:sz w:val="26"/>
          <w:szCs w:val="26"/>
        </w:rPr>
        <w:tab/>
      </w:r>
    </w:p>
    <w:p w:rsidR="009F58AD" w:rsidRPr="009F58AD" w:rsidRDefault="00543693" w:rsidP="00144773">
      <w:pPr>
        <w:widowControl/>
        <w:spacing w:line="360" w:lineRule="auto"/>
        <w:rPr>
          <w:b/>
          <w:sz w:val="26"/>
        </w:rPr>
      </w:pPr>
      <w:r>
        <w:rPr>
          <w:b/>
          <w:sz w:val="26"/>
        </w:rPr>
        <w:t xml:space="preserve">NRG’s </w:t>
      </w:r>
      <w:r w:rsidR="009F58AD" w:rsidRPr="009F58AD">
        <w:rPr>
          <w:b/>
          <w:sz w:val="26"/>
        </w:rPr>
        <w:t xml:space="preserve">Petition </w:t>
      </w:r>
    </w:p>
    <w:p w:rsidR="009F58AD" w:rsidRPr="009F58AD" w:rsidRDefault="009F58AD" w:rsidP="00144773">
      <w:pPr>
        <w:widowControl/>
        <w:spacing w:line="360" w:lineRule="auto"/>
        <w:rPr>
          <w:sz w:val="26"/>
        </w:rPr>
      </w:pPr>
    </w:p>
    <w:p w:rsidR="009F58AD" w:rsidRDefault="009F58AD" w:rsidP="00144773">
      <w:pPr>
        <w:widowControl/>
        <w:spacing w:line="360" w:lineRule="auto"/>
        <w:rPr>
          <w:sz w:val="26"/>
        </w:rPr>
      </w:pPr>
      <w:r w:rsidRPr="009F58AD">
        <w:rPr>
          <w:sz w:val="26"/>
        </w:rPr>
        <w:tab/>
      </w:r>
      <w:r>
        <w:rPr>
          <w:sz w:val="26"/>
        </w:rPr>
        <w:tab/>
      </w:r>
      <w:r w:rsidRPr="009F58AD">
        <w:rPr>
          <w:sz w:val="26"/>
        </w:rPr>
        <w:t xml:space="preserve">In </w:t>
      </w:r>
      <w:r w:rsidR="00495BC8">
        <w:rPr>
          <w:sz w:val="26"/>
        </w:rPr>
        <w:t>its</w:t>
      </w:r>
      <w:r w:rsidRPr="009F58AD">
        <w:rPr>
          <w:sz w:val="26"/>
        </w:rPr>
        <w:t xml:space="preserve"> Petition</w:t>
      </w:r>
      <w:r w:rsidR="00495BC8">
        <w:rPr>
          <w:sz w:val="26"/>
        </w:rPr>
        <w:t xml:space="preserve"> for Reconsideration and Clarification</w:t>
      </w:r>
      <w:r w:rsidRPr="009F58AD">
        <w:rPr>
          <w:sz w:val="26"/>
        </w:rPr>
        <w:t xml:space="preserve">, NRG seeks reversal of the </w:t>
      </w:r>
      <w:r w:rsidRPr="009F58AD">
        <w:rPr>
          <w:i/>
          <w:sz w:val="26"/>
        </w:rPr>
        <w:t>November 2014 Order</w:t>
      </w:r>
      <w:r w:rsidRPr="009F58AD">
        <w:rPr>
          <w:sz w:val="26"/>
        </w:rPr>
        <w:t xml:space="preserve"> </w:t>
      </w:r>
      <w:r w:rsidR="001761E2">
        <w:rPr>
          <w:sz w:val="26"/>
        </w:rPr>
        <w:t xml:space="preserve">and </w:t>
      </w:r>
      <w:r w:rsidR="00495BC8">
        <w:rPr>
          <w:sz w:val="26"/>
        </w:rPr>
        <w:t>reinstatement of the ALJ’s Recommended Decision c</w:t>
      </w:r>
      <w:r w:rsidR="001761E2">
        <w:rPr>
          <w:sz w:val="26"/>
        </w:rPr>
        <w:t>ompelling Duquesne to remove Rider No. 18 from its Commission-approved tariff</w:t>
      </w:r>
      <w:r w:rsidR="001A78E9">
        <w:rPr>
          <w:sz w:val="26"/>
        </w:rPr>
        <w:t>.  I</w:t>
      </w:r>
      <w:r w:rsidRPr="009F58AD">
        <w:rPr>
          <w:sz w:val="26"/>
        </w:rPr>
        <w:t xml:space="preserve">n the alternative, </w:t>
      </w:r>
      <w:r w:rsidR="001A78E9">
        <w:rPr>
          <w:sz w:val="26"/>
        </w:rPr>
        <w:t xml:space="preserve">NRG seeks to have us defer consideration of Rider No. 18 until </w:t>
      </w:r>
      <w:r w:rsidR="00495BC8">
        <w:rPr>
          <w:sz w:val="26"/>
        </w:rPr>
        <w:t xml:space="preserve">either </w:t>
      </w:r>
      <w:r w:rsidR="001A78E9">
        <w:rPr>
          <w:sz w:val="26"/>
        </w:rPr>
        <w:t>a civil court of competent jurisdiction rule</w:t>
      </w:r>
      <w:r w:rsidR="00495BC8">
        <w:rPr>
          <w:sz w:val="26"/>
        </w:rPr>
        <w:t>s</w:t>
      </w:r>
      <w:r w:rsidR="001A78E9">
        <w:rPr>
          <w:sz w:val="26"/>
        </w:rPr>
        <w:t xml:space="preserve"> upon the terms of the underlying PPAs or </w:t>
      </w:r>
      <w:r w:rsidR="00495BC8">
        <w:rPr>
          <w:sz w:val="26"/>
        </w:rPr>
        <w:t>the Commission has</w:t>
      </w:r>
      <w:r w:rsidR="001A78E9">
        <w:rPr>
          <w:sz w:val="26"/>
        </w:rPr>
        <w:t xml:space="preserve"> the opportunity to consider alteration of the PPAs under Section 508 of the Code to reflect reasonable terms for the QFs to earn a reasonable return under PURPA.  In addition, NRG requests clarification that our </w:t>
      </w:r>
      <w:r w:rsidR="001A78E9">
        <w:rPr>
          <w:i/>
          <w:sz w:val="26"/>
        </w:rPr>
        <w:t xml:space="preserve">November 2014 Order </w:t>
      </w:r>
      <w:r w:rsidR="001A78E9">
        <w:rPr>
          <w:sz w:val="26"/>
        </w:rPr>
        <w:t xml:space="preserve">does not approve the PPAs or preclude the NRG Companies from seeking civil court review of the PPAs or administrative reformation of the contracts under Section 508 of the Code and does not conclude that the QFs own any alternative energy credits (AECs). </w:t>
      </w:r>
      <w:r w:rsidR="004F2E03">
        <w:rPr>
          <w:sz w:val="26"/>
        </w:rPr>
        <w:t xml:space="preserve"> </w:t>
      </w:r>
      <w:r w:rsidR="001A78E9">
        <w:rPr>
          <w:sz w:val="26"/>
        </w:rPr>
        <w:t xml:space="preserve">Petition at 3.  </w:t>
      </w:r>
    </w:p>
    <w:p w:rsidR="004F2E03" w:rsidRDefault="004F2E03" w:rsidP="00144773">
      <w:pPr>
        <w:widowControl/>
        <w:spacing w:line="360" w:lineRule="auto"/>
        <w:rPr>
          <w:sz w:val="26"/>
        </w:rPr>
      </w:pPr>
    </w:p>
    <w:p w:rsidR="00A00C05" w:rsidRDefault="004F2E03" w:rsidP="00144773">
      <w:pPr>
        <w:widowControl/>
        <w:spacing w:line="360" w:lineRule="auto"/>
        <w:rPr>
          <w:sz w:val="26"/>
        </w:rPr>
      </w:pPr>
      <w:r>
        <w:rPr>
          <w:sz w:val="26"/>
        </w:rPr>
        <w:tab/>
      </w:r>
      <w:r w:rsidR="004B0931">
        <w:rPr>
          <w:sz w:val="26"/>
        </w:rPr>
        <w:tab/>
        <w:t>NRG first assert</w:t>
      </w:r>
      <w:r w:rsidR="00495BC8">
        <w:rPr>
          <w:sz w:val="26"/>
        </w:rPr>
        <w:t>s</w:t>
      </w:r>
      <w:r w:rsidR="004B0931">
        <w:rPr>
          <w:sz w:val="26"/>
        </w:rPr>
        <w:t xml:space="preserve"> that the Commission committed a clear error of law by interpreting the PPAs to find that they included legally-enforceable </w:t>
      </w:r>
      <w:r w:rsidR="00495BC8">
        <w:rPr>
          <w:sz w:val="26"/>
        </w:rPr>
        <w:t>“</w:t>
      </w:r>
      <w:r w:rsidR="004B0931">
        <w:rPr>
          <w:sz w:val="26"/>
        </w:rPr>
        <w:t xml:space="preserve">specified terms.”  Petition at 6.  According to NRG, </w:t>
      </w:r>
      <w:r w:rsidR="00950685">
        <w:rPr>
          <w:sz w:val="26"/>
        </w:rPr>
        <w:t>we</w:t>
      </w:r>
      <w:r w:rsidR="004B0931">
        <w:rPr>
          <w:sz w:val="26"/>
        </w:rPr>
        <w:t xml:space="preserve"> lack subject matter jurisdiction to interpret disputed language in a private contract and therefore </w:t>
      </w:r>
      <w:r w:rsidR="00950685">
        <w:rPr>
          <w:sz w:val="26"/>
        </w:rPr>
        <w:t xml:space="preserve">we </w:t>
      </w:r>
      <w:r w:rsidR="004B0931">
        <w:rPr>
          <w:sz w:val="26"/>
        </w:rPr>
        <w:t xml:space="preserve">exceeded </w:t>
      </w:r>
      <w:r w:rsidR="00950685">
        <w:rPr>
          <w:sz w:val="26"/>
        </w:rPr>
        <w:t>our</w:t>
      </w:r>
      <w:r w:rsidR="004B0931">
        <w:rPr>
          <w:sz w:val="26"/>
        </w:rPr>
        <w:t xml:space="preserve"> authority</w:t>
      </w:r>
      <w:r w:rsidR="00A00C05">
        <w:rPr>
          <w:sz w:val="26"/>
        </w:rPr>
        <w:t xml:space="preserve"> “by defining the terms of the PPAs</w:t>
      </w:r>
      <w:r w:rsidR="004B0931">
        <w:rPr>
          <w:sz w:val="26"/>
        </w:rPr>
        <w:t>.</w:t>
      </w:r>
      <w:r w:rsidR="00A00C05">
        <w:rPr>
          <w:sz w:val="26"/>
        </w:rPr>
        <w:t>”</w:t>
      </w:r>
      <w:r w:rsidR="004B0931">
        <w:rPr>
          <w:sz w:val="26"/>
        </w:rPr>
        <w:t xml:space="preserve">  </w:t>
      </w:r>
      <w:r w:rsidR="00A00C05">
        <w:rPr>
          <w:i/>
          <w:sz w:val="26"/>
        </w:rPr>
        <w:t>Id.</w:t>
      </w:r>
      <w:r w:rsidR="00A00C05">
        <w:rPr>
          <w:sz w:val="26"/>
        </w:rPr>
        <w:t xml:space="preserve">  Second, NRG contends, even if </w:t>
      </w:r>
      <w:r w:rsidR="00950685">
        <w:rPr>
          <w:sz w:val="26"/>
        </w:rPr>
        <w:t>we have jurisdiction to in</w:t>
      </w:r>
      <w:r w:rsidR="00A00C05">
        <w:rPr>
          <w:sz w:val="26"/>
        </w:rPr>
        <w:t xml:space="preserve">terpret the PPAs, our conclusions are not based on substantial record evidence.  There are only two possible conclusions, NRG asserts: either “the PPAs have unspecified terms or the terms were to be defined by the Commission’s traditional process to change tariff provisions.”  </w:t>
      </w:r>
      <w:r w:rsidR="00A00C05">
        <w:rPr>
          <w:i/>
          <w:sz w:val="26"/>
        </w:rPr>
        <w:t>Id</w:t>
      </w:r>
      <w:r w:rsidR="00736AE6">
        <w:rPr>
          <w:i/>
          <w:sz w:val="26"/>
        </w:rPr>
        <w:t>.</w:t>
      </w:r>
    </w:p>
    <w:p w:rsidR="00736AE6" w:rsidRDefault="00736AE6" w:rsidP="00144773">
      <w:pPr>
        <w:widowControl/>
        <w:tabs>
          <w:tab w:val="left" w:pos="1440"/>
        </w:tabs>
        <w:spacing w:line="360" w:lineRule="auto"/>
        <w:ind w:firstLine="720"/>
        <w:rPr>
          <w:sz w:val="26"/>
        </w:rPr>
      </w:pPr>
    </w:p>
    <w:p w:rsidR="007C4F60" w:rsidRDefault="00A00C05" w:rsidP="00144773">
      <w:pPr>
        <w:widowControl/>
        <w:tabs>
          <w:tab w:val="left" w:pos="1440"/>
        </w:tabs>
        <w:spacing w:line="360" w:lineRule="auto"/>
        <w:ind w:firstLine="720"/>
        <w:rPr>
          <w:sz w:val="26"/>
        </w:rPr>
      </w:pPr>
      <w:r>
        <w:rPr>
          <w:sz w:val="26"/>
        </w:rPr>
        <w:lastRenderedPageBreak/>
        <w:tab/>
      </w:r>
      <w:r w:rsidR="00605451">
        <w:rPr>
          <w:sz w:val="26"/>
        </w:rPr>
        <w:t xml:space="preserve">Citing a number of cases </w:t>
      </w:r>
      <w:r w:rsidR="00495BC8">
        <w:rPr>
          <w:sz w:val="26"/>
        </w:rPr>
        <w:t xml:space="preserve">as support </w:t>
      </w:r>
      <w:r w:rsidR="00605451">
        <w:rPr>
          <w:sz w:val="26"/>
        </w:rPr>
        <w:t xml:space="preserve">for the general proposition that the Commission lacks jurisdiction to interject itself into private contractual disputes, NRG asserts that the Commission exceeded its authority in determining, “in merely one paragraph of an 88-page Opinion and Order, and without citation to controlling legal authority” that the PPAs contained a </w:t>
      </w:r>
      <w:r w:rsidR="00495BC8">
        <w:rPr>
          <w:sz w:val="26"/>
        </w:rPr>
        <w:t xml:space="preserve">“legally enforceable” contract term.  </w:t>
      </w:r>
      <w:r w:rsidR="007C4789" w:rsidRPr="007C4789">
        <w:rPr>
          <w:sz w:val="26"/>
        </w:rPr>
        <w:t>Petition at 8.</w:t>
      </w:r>
      <w:r w:rsidR="007C4789">
        <w:rPr>
          <w:sz w:val="26"/>
        </w:rPr>
        <w:t xml:space="preserve">  According to NRG, in order for a QF to have the option to determine whether the avoided cost would be calculated at the time of delivery</w:t>
      </w:r>
      <w:r w:rsidR="00495BC8">
        <w:rPr>
          <w:sz w:val="26"/>
        </w:rPr>
        <w:t>, as Duquesne and BFMA had contended and we agreed,</w:t>
      </w:r>
      <w:r w:rsidR="007C4789">
        <w:rPr>
          <w:sz w:val="26"/>
        </w:rPr>
        <w:t xml:space="preserve"> or calculated at the time the obligation is incurred, </w:t>
      </w:r>
      <w:r w:rsidR="00495BC8">
        <w:rPr>
          <w:sz w:val="26"/>
        </w:rPr>
        <w:t xml:space="preserve">as the ALJ concluded, </w:t>
      </w:r>
      <w:r w:rsidR="007C4789">
        <w:rPr>
          <w:sz w:val="26"/>
        </w:rPr>
        <w:t>the legally enforceable obligation for delivery must be “</w:t>
      </w:r>
      <w:r w:rsidR="007C4789">
        <w:rPr>
          <w:b/>
          <w:i/>
          <w:sz w:val="26"/>
        </w:rPr>
        <w:t>over a specified term.</w:t>
      </w:r>
      <w:r w:rsidR="007C4789">
        <w:rPr>
          <w:sz w:val="26"/>
        </w:rPr>
        <w:t xml:space="preserve">”  Petition at 9 (emphasis in original).  The evidence, NRG contends, is at best ambiguous whether there is a specified term, and therefore the Commission lacks the authority to conclude whether the “private contract” provision is </w:t>
      </w:r>
      <w:r w:rsidR="007C4F60">
        <w:rPr>
          <w:sz w:val="26"/>
        </w:rPr>
        <w:t xml:space="preserve">a </w:t>
      </w:r>
      <w:r w:rsidR="007C4789">
        <w:rPr>
          <w:sz w:val="26"/>
        </w:rPr>
        <w:t>legally enforceable</w:t>
      </w:r>
      <w:r w:rsidR="007C4F60">
        <w:rPr>
          <w:sz w:val="26"/>
        </w:rPr>
        <w:t xml:space="preserve"> contract term</w:t>
      </w:r>
      <w:r w:rsidR="007C4789">
        <w:rPr>
          <w:sz w:val="26"/>
        </w:rPr>
        <w:t>.</w:t>
      </w:r>
    </w:p>
    <w:p w:rsidR="007C4F60" w:rsidRDefault="007C4F60" w:rsidP="00144773">
      <w:pPr>
        <w:widowControl/>
        <w:tabs>
          <w:tab w:val="left" w:pos="1440"/>
        </w:tabs>
        <w:spacing w:line="360" w:lineRule="auto"/>
        <w:ind w:firstLine="720"/>
        <w:rPr>
          <w:sz w:val="26"/>
        </w:rPr>
      </w:pPr>
    </w:p>
    <w:p w:rsidR="00C42BE8" w:rsidRDefault="007C4F60" w:rsidP="00144773">
      <w:pPr>
        <w:widowControl/>
        <w:tabs>
          <w:tab w:val="left" w:pos="1440"/>
        </w:tabs>
        <w:spacing w:line="360" w:lineRule="auto"/>
        <w:ind w:firstLine="720"/>
        <w:rPr>
          <w:sz w:val="26"/>
        </w:rPr>
      </w:pPr>
      <w:r>
        <w:rPr>
          <w:sz w:val="26"/>
        </w:rPr>
        <w:tab/>
      </w:r>
      <w:r w:rsidR="00671947">
        <w:rPr>
          <w:sz w:val="26"/>
        </w:rPr>
        <w:t>NRG contends that i</w:t>
      </w:r>
      <w:r>
        <w:rPr>
          <w:sz w:val="26"/>
        </w:rPr>
        <w:t xml:space="preserve">n </w:t>
      </w:r>
      <w:r w:rsidR="00671947">
        <w:rPr>
          <w:sz w:val="26"/>
        </w:rPr>
        <w:t>filing its</w:t>
      </w:r>
      <w:r>
        <w:rPr>
          <w:sz w:val="26"/>
        </w:rPr>
        <w:t xml:space="preserve"> Complaint, </w:t>
      </w:r>
      <w:r w:rsidR="00671947">
        <w:rPr>
          <w:sz w:val="26"/>
        </w:rPr>
        <w:t xml:space="preserve">the proceeding </w:t>
      </w:r>
      <w:r w:rsidR="00C42BE8">
        <w:rPr>
          <w:sz w:val="26"/>
        </w:rPr>
        <w:t xml:space="preserve">was </w:t>
      </w:r>
      <w:r w:rsidR="00950685">
        <w:rPr>
          <w:sz w:val="26"/>
        </w:rPr>
        <w:t>positioned</w:t>
      </w:r>
      <w:r w:rsidR="00C42BE8">
        <w:rPr>
          <w:sz w:val="26"/>
        </w:rPr>
        <w:t xml:space="preserve"> to address</w:t>
      </w:r>
      <w:r w:rsidR="00671947">
        <w:rPr>
          <w:sz w:val="26"/>
        </w:rPr>
        <w:t xml:space="preserve"> Rider No. 18, “a Commission-approved tariff provision,” and not </w:t>
      </w:r>
      <w:r w:rsidR="00C42BE8">
        <w:rPr>
          <w:sz w:val="26"/>
        </w:rPr>
        <w:t xml:space="preserve">to interpret </w:t>
      </w:r>
      <w:r>
        <w:rPr>
          <w:sz w:val="26"/>
        </w:rPr>
        <w:t xml:space="preserve">the PPAs.  </w:t>
      </w:r>
      <w:r w:rsidR="00671947">
        <w:rPr>
          <w:sz w:val="26"/>
        </w:rPr>
        <w:t xml:space="preserve">By declaring the PPAs have “‘legally enforceable’ terms, however, the Commission has usurped the authority of the civil courts and preemptively declared the QFs as the winners of contractual disputes that were not before the Commission.”  Petition at 10.  </w:t>
      </w:r>
      <w:r w:rsidR="00C42BE8">
        <w:rPr>
          <w:sz w:val="26"/>
        </w:rPr>
        <w:t xml:space="preserve">Because there was no evidence to suggest that the Commission approved the PPAs themselves, contends NRG, the holdings of </w:t>
      </w:r>
      <w:r w:rsidR="00C42BE8">
        <w:rPr>
          <w:i/>
          <w:sz w:val="26"/>
        </w:rPr>
        <w:t xml:space="preserve">Freehold </w:t>
      </w:r>
      <w:r w:rsidR="00C42BE8">
        <w:rPr>
          <w:sz w:val="26"/>
        </w:rPr>
        <w:t xml:space="preserve">and subsequent case law </w:t>
      </w:r>
      <w:r w:rsidR="00887CC0">
        <w:rPr>
          <w:sz w:val="26"/>
        </w:rPr>
        <w:t>are</w:t>
      </w:r>
      <w:r w:rsidR="00C42BE8">
        <w:rPr>
          <w:sz w:val="26"/>
        </w:rPr>
        <w:t xml:space="preserve"> misplaced.  </w:t>
      </w:r>
      <w:r w:rsidR="007572FD">
        <w:rPr>
          <w:sz w:val="26"/>
        </w:rPr>
        <w:t xml:space="preserve">If </w:t>
      </w:r>
      <w:r w:rsidR="00950685">
        <w:rPr>
          <w:sz w:val="26"/>
        </w:rPr>
        <w:t>the</w:t>
      </w:r>
      <w:r w:rsidR="007572FD">
        <w:rPr>
          <w:sz w:val="26"/>
        </w:rPr>
        <w:t xml:space="preserve"> Commission “persists in interpreting private contracts,” contends NRG, </w:t>
      </w:r>
      <w:r w:rsidR="00C42BE8">
        <w:rPr>
          <w:sz w:val="26"/>
        </w:rPr>
        <w:t xml:space="preserve">the </w:t>
      </w:r>
      <w:r w:rsidR="00C42BE8">
        <w:rPr>
          <w:i/>
          <w:sz w:val="26"/>
        </w:rPr>
        <w:t xml:space="preserve">November 2014 Order </w:t>
      </w:r>
      <w:r w:rsidR="00F76357">
        <w:rPr>
          <w:sz w:val="26"/>
        </w:rPr>
        <w:t xml:space="preserve">should be reversed </w:t>
      </w:r>
      <w:r w:rsidR="00C42BE8">
        <w:rPr>
          <w:sz w:val="26"/>
        </w:rPr>
        <w:t>on the basis that it is not supported by substantial evidence</w:t>
      </w:r>
      <w:r w:rsidR="007572FD">
        <w:rPr>
          <w:sz w:val="26"/>
        </w:rPr>
        <w:t xml:space="preserve">.  If </w:t>
      </w:r>
      <w:r w:rsidR="00E476BD">
        <w:rPr>
          <w:sz w:val="26"/>
        </w:rPr>
        <w:t>we</w:t>
      </w:r>
      <w:r w:rsidR="007572FD">
        <w:rPr>
          <w:sz w:val="26"/>
        </w:rPr>
        <w:t xml:space="preserve"> </w:t>
      </w:r>
      <w:r w:rsidR="00C42BE8">
        <w:rPr>
          <w:sz w:val="26"/>
        </w:rPr>
        <w:t xml:space="preserve">acknowledge </w:t>
      </w:r>
      <w:r w:rsidR="007572FD">
        <w:rPr>
          <w:sz w:val="26"/>
        </w:rPr>
        <w:t>our</w:t>
      </w:r>
      <w:r w:rsidR="00C42BE8">
        <w:rPr>
          <w:sz w:val="26"/>
        </w:rPr>
        <w:t xml:space="preserve"> limitation in interpreting private contracts</w:t>
      </w:r>
      <w:r w:rsidR="007572FD">
        <w:rPr>
          <w:sz w:val="26"/>
        </w:rPr>
        <w:t>,</w:t>
      </w:r>
      <w:r w:rsidR="00C42BE8">
        <w:rPr>
          <w:sz w:val="26"/>
        </w:rPr>
        <w:t xml:space="preserve"> </w:t>
      </w:r>
      <w:r w:rsidR="007572FD">
        <w:rPr>
          <w:sz w:val="26"/>
        </w:rPr>
        <w:t>however, we should h</w:t>
      </w:r>
      <w:r w:rsidR="00C42BE8">
        <w:rPr>
          <w:sz w:val="26"/>
        </w:rPr>
        <w:t>old NRG’</w:t>
      </w:r>
      <w:r w:rsidR="007572FD">
        <w:rPr>
          <w:sz w:val="26"/>
        </w:rPr>
        <w:t>s</w:t>
      </w:r>
      <w:r w:rsidR="00C42BE8">
        <w:rPr>
          <w:sz w:val="26"/>
        </w:rPr>
        <w:t xml:space="preserve"> Complain</w:t>
      </w:r>
      <w:r w:rsidR="007572FD">
        <w:rPr>
          <w:sz w:val="26"/>
        </w:rPr>
        <w:t>t</w:t>
      </w:r>
      <w:r w:rsidR="00C42BE8">
        <w:rPr>
          <w:sz w:val="26"/>
        </w:rPr>
        <w:t xml:space="preserve"> in abeyance un</w:t>
      </w:r>
      <w:r w:rsidR="007572FD">
        <w:rPr>
          <w:sz w:val="26"/>
        </w:rPr>
        <w:t>til</w:t>
      </w:r>
      <w:r w:rsidR="00C42BE8">
        <w:rPr>
          <w:sz w:val="26"/>
        </w:rPr>
        <w:t xml:space="preserve"> a civil court has the ability to make a determination or dismiss the complaint without prejudice to refile upon the entry of a court order interpreting the terms.  Petition at 11.</w:t>
      </w:r>
    </w:p>
    <w:p w:rsidR="00C42BE8" w:rsidRDefault="00C42BE8" w:rsidP="00144773">
      <w:pPr>
        <w:widowControl/>
        <w:tabs>
          <w:tab w:val="left" w:pos="1440"/>
        </w:tabs>
        <w:spacing w:line="360" w:lineRule="auto"/>
        <w:ind w:firstLine="720"/>
        <w:rPr>
          <w:sz w:val="26"/>
        </w:rPr>
      </w:pPr>
    </w:p>
    <w:p w:rsidR="00CF3B60" w:rsidRDefault="00C42BE8" w:rsidP="00144773">
      <w:pPr>
        <w:widowControl/>
        <w:tabs>
          <w:tab w:val="left" w:pos="1440"/>
        </w:tabs>
        <w:spacing w:line="360" w:lineRule="auto"/>
        <w:ind w:firstLine="720"/>
        <w:rPr>
          <w:sz w:val="26"/>
        </w:rPr>
      </w:pPr>
      <w:r>
        <w:rPr>
          <w:sz w:val="26"/>
        </w:rPr>
        <w:tab/>
      </w:r>
      <w:r w:rsidR="00DC003F">
        <w:rPr>
          <w:sz w:val="26"/>
        </w:rPr>
        <w:t xml:space="preserve">NRG </w:t>
      </w:r>
      <w:r w:rsidR="007572FD">
        <w:rPr>
          <w:sz w:val="26"/>
        </w:rPr>
        <w:t xml:space="preserve">further asserts </w:t>
      </w:r>
      <w:r w:rsidR="00DC003F">
        <w:rPr>
          <w:sz w:val="26"/>
        </w:rPr>
        <w:t>that e</w:t>
      </w:r>
      <w:r>
        <w:rPr>
          <w:sz w:val="26"/>
        </w:rPr>
        <w:t xml:space="preserve">ven if </w:t>
      </w:r>
      <w:r w:rsidR="007572FD">
        <w:rPr>
          <w:sz w:val="26"/>
        </w:rPr>
        <w:t>we</w:t>
      </w:r>
      <w:r>
        <w:rPr>
          <w:sz w:val="26"/>
        </w:rPr>
        <w:t xml:space="preserve"> determine </w:t>
      </w:r>
      <w:r w:rsidR="007572FD">
        <w:rPr>
          <w:sz w:val="26"/>
        </w:rPr>
        <w:t>we</w:t>
      </w:r>
      <w:r>
        <w:rPr>
          <w:sz w:val="26"/>
        </w:rPr>
        <w:t xml:space="preserve"> ha</w:t>
      </w:r>
      <w:r w:rsidR="007572FD">
        <w:rPr>
          <w:sz w:val="26"/>
        </w:rPr>
        <w:t>ve</w:t>
      </w:r>
      <w:r>
        <w:rPr>
          <w:sz w:val="26"/>
        </w:rPr>
        <w:t xml:space="preserve"> jurisdiction to interpret the PPAs, the </w:t>
      </w:r>
      <w:r>
        <w:rPr>
          <w:i/>
          <w:sz w:val="26"/>
        </w:rPr>
        <w:t xml:space="preserve">November 2014 Order </w:t>
      </w:r>
      <w:r>
        <w:rPr>
          <w:sz w:val="26"/>
        </w:rPr>
        <w:t xml:space="preserve">should be reversed as </w:t>
      </w:r>
      <w:r w:rsidR="002E29F4">
        <w:rPr>
          <w:sz w:val="26"/>
        </w:rPr>
        <w:t xml:space="preserve">lacking substantial </w:t>
      </w:r>
      <w:r w:rsidR="002E29F4">
        <w:rPr>
          <w:sz w:val="26"/>
        </w:rPr>
        <w:lastRenderedPageBreak/>
        <w:t>record eviden</w:t>
      </w:r>
      <w:r w:rsidR="007572FD">
        <w:rPr>
          <w:sz w:val="26"/>
        </w:rPr>
        <w:t xml:space="preserve">ce to support our conclusion that the PPAs have a contract term limit defined by the continued availability of a QF purchased power price or the QFs’ continued desire to sell their power. </w:t>
      </w:r>
      <w:r w:rsidR="002E29F4">
        <w:rPr>
          <w:sz w:val="26"/>
        </w:rPr>
        <w:t xml:space="preserve"> According to NRG, the evidence supports only two possible interpretations.  First, the PPAs’ terms are ambiguous and unspecified, and therefore should be subject to review in an appropriate forum such as a </w:t>
      </w:r>
      <w:r w:rsidR="00887CC0">
        <w:rPr>
          <w:sz w:val="26"/>
        </w:rPr>
        <w:t>“</w:t>
      </w:r>
      <w:r w:rsidR="002E29F4">
        <w:rPr>
          <w:sz w:val="26"/>
        </w:rPr>
        <w:t>court of competent jurisdiction with equity powers o</w:t>
      </w:r>
      <w:r w:rsidR="00DC003F">
        <w:rPr>
          <w:sz w:val="26"/>
        </w:rPr>
        <w:t>r</w:t>
      </w:r>
      <w:r w:rsidR="002E29F4">
        <w:rPr>
          <w:sz w:val="26"/>
        </w:rPr>
        <w:t xml:space="preserve"> the Commission exercising its Section 50</w:t>
      </w:r>
      <w:r w:rsidR="009D5296">
        <w:rPr>
          <w:sz w:val="26"/>
        </w:rPr>
        <w:t>8</w:t>
      </w:r>
      <w:r w:rsidR="002E29F4">
        <w:rPr>
          <w:sz w:val="26"/>
        </w:rPr>
        <w:t xml:space="preserve"> powers[.]”  </w:t>
      </w:r>
      <w:r w:rsidR="009D5296">
        <w:rPr>
          <w:sz w:val="26"/>
        </w:rPr>
        <w:t xml:space="preserve">Petition at 12.  </w:t>
      </w:r>
      <w:r w:rsidR="00DC003F">
        <w:rPr>
          <w:sz w:val="26"/>
        </w:rPr>
        <w:t xml:space="preserve">Second, the </w:t>
      </w:r>
      <w:r w:rsidR="00304BCB">
        <w:rPr>
          <w:sz w:val="26"/>
        </w:rPr>
        <w:t>parties</w:t>
      </w:r>
      <w:r w:rsidR="00DC003F">
        <w:rPr>
          <w:sz w:val="26"/>
        </w:rPr>
        <w:t xml:space="preserve"> to the PPAs intended the terms to be defined by the tariff, </w:t>
      </w:r>
      <w:r w:rsidR="00CF3B60">
        <w:rPr>
          <w:sz w:val="26"/>
        </w:rPr>
        <w:t xml:space="preserve">which would be subject to revision by tariff </w:t>
      </w:r>
      <w:r w:rsidR="00DC003F">
        <w:rPr>
          <w:sz w:val="26"/>
        </w:rPr>
        <w:t xml:space="preserve">supplement filings or complaints, affording all </w:t>
      </w:r>
      <w:r w:rsidR="00304BCB">
        <w:rPr>
          <w:sz w:val="26"/>
        </w:rPr>
        <w:t>parties</w:t>
      </w:r>
      <w:r w:rsidR="00DC003F">
        <w:rPr>
          <w:sz w:val="26"/>
        </w:rPr>
        <w:t xml:space="preserve"> notice and an opportunity to be heard.  </w:t>
      </w:r>
      <w:r w:rsidR="009D5296">
        <w:rPr>
          <w:i/>
          <w:sz w:val="26"/>
        </w:rPr>
        <w:t>Id.</w:t>
      </w:r>
      <w:r w:rsidR="00DC003F">
        <w:rPr>
          <w:sz w:val="26"/>
        </w:rPr>
        <w:t xml:space="preserve">  </w:t>
      </w:r>
    </w:p>
    <w:p w:rsidR="00CF3B60" w:rsidRDefault="00CF3B60" w:rsidP="00144773">
      <w:pPr>
        <w:widowControl/>
        <w:tabs>
          <w:tab w:val="left" w:pos="1440"/>
        </w:tabs>
        <w:spacing w:line="360" w:lineRule="auto"/>
        <w:ind w:firstLine="720"/>
        <w:rPr>
          <w:sz w:val="26"/>
        </w:rPr>
      </w:pPr>
    </w:p>
    <w:p w:rsidR="00113CA1" w:rsidRDefault="00E55F45" w:rsidP="00144773">
      <w:pPr>
        <w:widowControl/>
        <w:tabs>
          <w:tab w:val="left" w:pos="1440"/>
        </w:tabs>
        <w:spacing w:line="360" w:lineRule="auto"/>
        <w:ind w:firstLine="720"/>
        <w:rPr>
          <w:sz w:val="26"/>
        </w:rPr>
      </w:pPr>
      <w:r>
        <w:rPr>
          <w:sz w:val="26"/>
        </w:rPr>
        <w:tab/>
      </w:r>
      <w:r w:rsidR="009D5296">
        <w:rPr>
          <w:sz w:val="26"/>
        </w:rPr>
        <w:t xml:space="preserve">In support of its argument, </w:t>
      </w:r>
      <w:r w:rsidR="00CF3B60">
        <w:rPr>
          <w:sz w:val="26"/>
        </w:rPr>
        <w:t>NRG cites to</w:t>
      </w:r>
      <w:r w:rsidR="00DC003F">
        <w:rPr>
          <w:sz w:val="26"/>
        </w:rPr>
        <w:t xml:space="preserve"> </w:t>
      </w:r>
      <w:r w:rsidR="00CF3B60">
        <w:rPr>
          <w:sz w:val="26"/>
        </w:rPr>
        <w:t>two p</w:t>
      </w:r>
      <w:r w:rsidR="00DC003F">
        <w:rPr>
          <w:sz w:val="26"/>
        </w:rPr>
        <w:t xml:space="preserve">aragraphs of the PPAs, </w:t>
      </w:r>
      <w:r w:rsidR="00CF3B60">
        <w:rPr>
          <w:sz w:val="26"/>
        </w:rPr>
        <w:t>provisions NRG characterizes as “two key passages.”  The first</w:t>
      </w:r>
      <w:r w:rsidR="009D5296">
        <w:rPr>
          <w:sz w:val="26"/>
        </w:rPr>
        <w:t xml:space="preserve"> paragraph relied on </w:t>
      </w:r>
      <w:r>
        <w:rPr>
          <w:sz w:val="26"/>
        </w:rPr>
        <w:t>describe</w:t>
      </w:r>
      <w:r w:rsidR="009D5296">
        <w:rPr>
          <w:sz w:val="26"/>
        </w:rPr>
        <w:t>s</w:t>
      </w:r>
      <w:r>
        <w:rPr>
          <w:sz w:val="26"/>
        </w:rPr>
        <w:t xml:space="preserve"> </w:t>
      </w:r>
      <w:r w:rsidR="00CF3B60">
        <w:rPr>
          <w:sz w:val="26"/>
        </w:rPr>
        <w:t>how long the PPA</w:t>
      </w:r>
      <w:r>
        <w:rPr>
          <w:sz w:val="26"/>
        </w:rPr>
        <w:t xml:space="preserve">s were to remain </w:t>
      </w:r>
      <w:r w:rsidR="00CF3B60">
        <w:rPr>
          <w:sz w:val="26"/>
        </w:rPr>
        <w:t>in effect.</w:t>
      </w:r>
      <w:r w:rsidR="00671947">
        <w:rPr>
          <w:sz w:val="26"/>
        </w:rPr>
        <w:t xml:space="preserve"> </w:t>
      </w:r>
      <w:r w:rsidR="00EC3B3E">
        <w:rPr>
          <w:sz w:val="26"/>
        </w:rPr>
        <w:t xml:space="preserve"> </w:t>
      </w:r>
      <w:r w:rsidR="00CF3B60">
        <w:rPr>
          <w:sz w:val="26"/>
        </w:rPr>
        <w:t>The second</w:t>
      </w:r>
      <w:r>
        <w:rPr>
          <w:sz w:val="26"/>
        </w:rPr>
        <w:t xml:space="preserve"> reserved Duquesne’s right to apply to the Commission unilaterally to modify the tariff.</w:t>
      </w:r>
      <w:r>
        <w:rPr>
          <w:rStyle w:val="FootnoteReference"/>
          <w:sz w:val="26"/>
        </w:rPr>
        <w:footnoteReference w:id="4"/>
      </w:r>
      <w:r w:rsidR="00125EB8">
        <w:rPr>
          <w:sz w:val="26"/>
        </w:rPr>
        <w:t xml:space="preserve">  </w:t>
      </w:r>
      <w:r w:rsidR="00150CDC">
        <w:rPr>
          <w:sz w:val="26"/>
        </w:rPr>
        <w:t xml:space="preserve">As to the latter, NRG contends that our conclusion that the PPAs had a contract term ignores this </w:t>
      </w:r>
      <w:r w:rsidR="00B92E11">
        <w:rPr>
          <w:sz w:val="26"/>
        </w:rPr>
        <w:t xml:space="preserve">reservation </w:t>
      </w:r>
      <w:r w:rsidR="00150CDC">
        <w:rPr>
          <w:sz w:val="26"/>
        </w:rPr>
        <w:t xml:space="preserve">by failing to recognize </w:t>
      </w:r>
      <w:r w:rsidR="0037145D">
        <w:rPr>
          <w:sz w:val="26"/>
        </w:rPr>
        <w:t xml:space="preserve">that it was </w:t>
      </w:r>
      <w:r w:rsidR="00150CDC">
        <w:rPr>
          <w:sz w:val="26"/>
        </w:rPr>
        <w:t xml:space="preserve">the intent of the </w:t>
      </w:r>
      <w:r w:rsidR="00304BCB">
        <w:rPr>
          <w:sz w:val="26"/>
        </w:rPr>
        <w:t>parties</w:t>
      </w:r>
      <w:r w:rsidR="00150CDC">
        <w:rPr>
          <w:sz w:val="26"/>
        </w:rPr>
        <w:t xml:space="preserve"> to permit modification of Rider </w:t>
      </w:r>
      <w:r w:rsidR="00150CDC">
        <w:rPr>
          <w:sz w:val="26"/>
        </w:rPr>
        <w:lastRenderedPageBreak/>
        <w:t xml:space="preserve">No. 18.  Petition at 13. </w:t>
      </w:r>
      <w:r w:rsidR="00A41B69">
        <w:rPr>
          <w:sz w:val="26"/>
        </w:rPr>
        <w:t xml:space="preserve">This is clearly evidenced, contends NRG, by the fact that Duquesne reserved the right to make unilateral tariff filings at the Commission and </w:t>
      </w:r>
      <w:r w:rsidR="00FD11FD">
        <w:rPr>
          <w:sz w:val="26"/>
        </w:rPr>
        <w:t xml:space="preserve">the </w:t>
      </w:r>
      <w:r w:rsidR="00304BCB">
        <w:rPr>
          <w:sz w:val="26"/>
        </w:rPr>
        <w:t>parties</w:t>
      </w:r>
      <w:r w:rsidR="00A41B69">
        <w:rPr>
          <w:sz w:val="26"/>
        </w:rPr>
        <w:t xml:space="preserve"> retained the right to present evidence on issues such as the QFs</w:t>
      </w:r>
      <w:r w:rsidR="00FD11FD">
        <w:rPr>
          <w:sz w:val="26"/>
        </w:rPr>
        <w:t>’</w:t>
      </w:r>
      <w:r w:rsidR="00A41B69">
        <w:rPr>
          <w:sz w:val="26"/>
        </w:rPr>
        <w:t xml:space="preserve"> continued opportunity to earn a reasonable return on and of investment.  Petition at 14</w:t>
      </w:r>
      <w:r w:rsidR="00A41B69">
        <w:rPr>
          <w:sz w:val="26"/>
        </w:rPr>
        <w:noBreakHyphen/>
        <w:t xml:space="preserve">16.  </w:t>
      </w:r>
      <w:r w:rsidR="00CF3B60">
        <w:rPr>
          <w:sz w:val="26"/>
        </w:rPr>
        <w:t xml:space="preserve">  </w:t>
      </w:r>
    </w:p>
    <w:p w:rsidR="00A41B69" w:rsidRDefault="00A41B69" w:rsidP="00144773">
      <w:pPr>
        <w:widowControl/>
        <w:tabs>
          <w:tab w:val="left" w:pos="1440"/>
        </w:tabs>
        <w:spacing w:line="360" w:lineRule="auto"/>
        <w:ind w:firstLine="720"/>
        <w:rPr>
          <w:sz w:val="26"/>
        </w:rPr>
      </w:pPr>
    </w:p>
    <w:p w:rsidR="003A10D8" w:rsidRDefault="00A41B69" w:rsidP="00144773">
      <w:pPr>
        <w:widowControl/>
        <w:tabs>
          <w:tab w:val="left" w:pos="1440"/>
        </w:tabs>
        <w:spacing w:line="360" w:lineRule="auto"/>
        <w:ind w:firstLine="720"/>
        <w:rPr>
          <w:sz w:val="26"/>
        </w:rPr>
      </w:pPr>
      <w:r>
        <w:rPr>
          <w:sz w:val="26"/>
        </w:rPr>
        <w:tab/>
      </w:r>
      <w:r w:rsidR="009D4890">
        <w:rPr>
          <w:sz w:val="26"/>
        </w:rPr>
        <w:t xml:space="preserve">NRG also contends that </w:t>
      </w:r>
      <w:r w:rsidR="00277AEB">
        <w:rPr>
          <w:sz w:val="26"/>
        </w:rPr>
        <w:t xml:space="preserve">by “allowing the QFs to decide unilaterally when they would like to change the Rider No. 18” price, </w:t>
      </w:r>
      <w:r w:rsidR="009D4890">
        <w:rPr>
          <w:sz w:val="26"/>
        </w:rPr>
        <w:t xml:space="preserve">we are placing the NRG Companies in an </w:t>
      </w:r>
      <w:r w:rsidR="0037145D">
        <w:rPr>
          <w:sz w:val="26"/>
        </w:rPr>
        <w:t>“</w:t>
      </w:r>
      <w:r w:rsidR="009D4890">
        <w:rPr>
          <w:sz w:val="26"/>
        </w:rPr>
        <w:t xml:space="preserve">unfair, unreasonable and inequitable ‘Catch 22’ situation (that is) contrary to the promotion of vibrant wholesale and retail competitive markets in the Commonwealth.”  Petition at 16.  </w:t>
      </w:r>
      <w:r w:rsidR="00AC4896">
        <w:rPr>
          <w:sz w:val="26"/>
        </w:rPr>
        <w:t>According to NRG, i</w:t>
      </w:r>
      <w:r w:rsidR="009D4890">
        <w:rPr>
          <w:sz w:val="26"/>
        </w:rPr>
        <w:t xml:space="preserve">f we elect not to reverse the Order on reconsideration, we should provide clarification “to avoid confusion with regard to NRG Midwest’s legal rights to seek alternative relief.”  </w:t>
      </w:r>
      <w:r w:rsidR="009D4890">
        <w:rPr>
          <w:i/>
          <w:sz w:val="26"/>
        </w:rPr>
        <w:t xml:space="preserve">Id. </w:t>
      </w:r>
      <w:r w:rsidR="009D4890">
        <w:rPr>
          <w:sz w:val="26"/>
        </w:rPr>
        <w:t xml:space="preserve">at 17.  </w:t>
      </w:r>
      <w:r w:rsidR="00AC4896">
        <w:rPr>
          <w:sz w:val="26"/>
        </w:rPr>
        <w:t>According to NRG, it</w:t>
      </w:r>
      <w:r w:rsidR="00277AEB">
        <w:rPr>
          <w:sz w:val="26"/>
        </w:rPr>
        <w:t>s</w:t>
      </w:r>
      <w:r w:rsidR="00AC4896">
        <w:rPr>
          <w:sz w:val="26"/>
        </w:rPr>
        <w:t xml:space="preserve"> “Complaint did not challenge the PPAs or any of the PPAs’ specific provisions; nor did the </w:t>
      </w:r>
      <w:r w:rsidR="00304BCB">
        <w:rPr>
          <w:sz w:val="26"/>
        </w:rPr>
        <w:t>parties</w:t>
      </w:r>
      <w:r w:rsidR="00AC4896">
        <w:rPr>
          <w:sz w:val="26"/>
        </w:rPr>
        <w:t xml:space="preserve"> litigate any of the provisions of the PPAs.”  </w:t>
      </w:r>
      <w:r w:rsidR="00AC4896">
        <w:rPr>
          <w:i/>
          <w:sz w:val="26"/>
        </w:rPr>
        <w:t>Id.</w:t>
      </w:r>
      <w:r w:rsidR="00AC4896">
        <w:rPr>
          <w:sz w:val="26"/>
        </w:rPr>
        <w:t xml:space="preserve">  Accordingly, NRG requests that we clarify that the </w:t>
      </w:r>
      <w:r w:rsidR="00AC4896">
        <w:rPr>
          <w:i/>
          <w:sz w:val="26"/>
        </w:rPr>
        <w:t xml:space="preserve">November 2014 Order </w:t>
      </w:r>
      <w:r w:rsidR="00AC4896">
        <w:rPr>
          <w:sz w:val="26"/>
        </w:rPr>
        <w:t xml:space="preserve">did not determine “that the PPAs have specified terms under PURPA that cannot be modified by the civil courts.”  </w:t>
      </w:r>
      <w:r w:rsidR="00AC4896">
        <w:rPr>
          <w:i/>
          <w:sz w:val="26"/>
        </w:rPr>
        <w:t xml:space="preserve">Id. </w:t>
      </w:r>
      <w:r w:rsidR="00AC4896">
        <w:rPr>
          <w:sz w:val="26"/>
        </w:rPr>
        <w:t>at 18.  NRG also requests that we clarify that “nothing contained in the November 13</w:t>
      </w:r>
      <w:r w:rsidR="00AC4896" w:rsidRPr="00AC4896">
        <w:rPr>
          <w:sz w:val="26"/>
          <w:vertAlign w:val="superscript"/>
        </w:rPr>
        <w:t>th</w:t>
      </w:r>
      <w:r w:rsidR="00AC4896">
        <w:rPr>
          <w:sz w:val="26"/>
        </w:rPr>
        <w:t xml:space="preserve"> Order is intended to validate BFMA’s sale of Alternative Energy Credits or to preempt any challenge by NRG Midwest to [sic] propriety of such sales.”  </w:t>
      </w:r>
      <w:r w:rsidR="00AC4896">
        <w:rPr>
          <w:i/>
          <w:sz w:val="26"/>
        </w:rPr>
        <w:t xml:space="preserve">Id. </w:t>
      </w:r>
      <w:r w:rsidR="00AC4896">
        <w:rPr>
          <w:sz w:val="26"/>
        </w:rPr>
        <w:t>at 20.</w:t>
      </w:r>
      <w:r w:rsidR="003A10D8">
        <w:rPr>
          <w:sz w:val="26"/>
        </w:rPr>
        <w:t xml:space="preserve">  </w:t>
      </w:r>
    </w:p>
    <w:p w:rsidR="003A10D8" w:rsidRDefault="003A10D8" w:rsidP="00144773">
      <w:pPr>
        <w:widowControl/>
        <w:tabs>
          <w:tab w:val="left" w:pos="1440"/>
        </w:tabs>
        <w:spacing w:line="360" w:lineRule="auto"/>
        <w:ind w:firstLine="720"/>
        <w:rPr>
          <w:sz w:val="26"/>
        </w:rPr>
      </w:pPr>
    </w:p>
    <w:p w:rsidR="00A41B69" w:rsidRPr="003A10D8" w:rsidRDefault="003A10D8" w:rsidP="00144773">
      <w:pPr>
        <w:widowControl/>
        <w:tabs>
          <w:tab w:val="left" w:pos="1440"/>
        </w:tabs>
        <w:spacing w:line="360" w:lineRule="auto"/>
        <w:ind w:firstLine="720"/>
        <w:rPr>
          <w:sz w:val="26"/>
        </w:rPr>
      </w:pPr>
      <w:r>
        <w:rPr>
          <w:sz w:val="26"/>
        </w:rPr>
        <w:tab/>
        <w:t xml:space="preserve">In conclusion NRG requests that we grant the Petition for Reconsideration and Clarification by reversing the </w:t>
      </w:r>
      <w:r>
        <w:rPr>
          <w:i/>
          <w:sz w:val="26"/>
        </w:rPr>
        <w:t>November 2014 Order</w:t>
      </w:r>
      <w:r>
        <w:rPr>
          <w:sz w:val="26"/>
        </w:rPr>
        <w:t xml:space="preserve"> and adopting the ALJ’s Recommended Decision in its entirety.  In the alternative, NRG requests that we defer action on Rider No. 18 until a court of competent jurisdiction or we, under Section 508 of the Code, </w:t>
      </w:r>
      <w:r w:rsidR="00220450">
        <w:rPr>
          <w:sz w:val="26"/>
        </w:rPr>
        <w:t xml:space="preserve">are asked and agree </w:t>
      </w:r>
      <w:r>
        <w:rPr>
          <w:sz w:val="26"/>
        </w:rPr>
        <w:t xml:space="preserve">to modify the terms of the PPAs.  NRG also requests that we clarify that we have never approved the PPAs, </w:t>
      </w:r>
      <w:r w:rsidR="00B92E11">
        <w:rPr>
          <w:sz w:val="26"/>
        </w:rPr>
        <w:t xml:space="preserve">that </w:t>
      </w:r>
      <w:r>
        <w:rPr>
          <w:sz w:val="26"/>
        </w:rPr>
        <w:t xml:space="preserve">NRG may seek judicial review of the PPAs, </w:t>
      </w:r>
      <w:r w:rsidR="00B92E11">
        <w:rPr>
          <w:sz w:val="26"/>
        </w:rPr>
        <w:t xml:space="preserve">that </w:t>
      </w:r>
      <w:r>
        <w:rPr>
          <w:sz w:val="26"/>
        </w:rPr>
        <w:t xml:space="preserve">NRG may seek Section 508 modification of the PPAs, and </w:t>
      </w:r>
      <w:r w:rsidR="00B92E11">
        <w:rPr>
          <w:sz w:val="26"/>
        </w:rPr>
        <w:t xml:space="preserve">that </w:t>
      </w:r>
      <w:r>
        <w:rPr>
          <w:sz w:val="26"/>
        </w:rPr>
        <w:t>we have made no determination of ownership of alternative energy credits under the PPAs.</w:t>
      </w:r>
    </w:p>
    <w:p w:rsidR="00543693" w:rsidRDefault="00543693" w:rsidP="00144773">
      <w:pPr>
        <w:widowControl/>
        <w:tabs>
          <w:tab w:val="left" w:pos="1440"/>
        </w:tabs>
        <w:spacing w:line="360" w:lineRule="auto"/>
        <w:rPr>
          <w:sz w:val="26"/>
        </w:rPr>
      </w:pPr>
    </w:p>
    <w:p w:rsidR="00543693" w:rsidRDefault="00543693" w:rsidP="00144773">
      <w:pPr>
        <w:widowControl/>
        <w:tabs>
          <w:tab w:val="left" w:pos="1440"/>
        </w:tabs>
        <w:spacing w:line="360" w:lineRule="auto"/>
        <w:rPr>
          <w:sz w:val="26"/>
        </w:rPr>
      </w:pPr>
      <w:r>
        <w:rPr>
          <w:b/>
          <w:sz w:val="26"/>
        </w:rPr>
        <w:lastRenderedPageBreak/>
        <w:t>Duquesne’s and BFMA’s Answers</w:t>
      </w:r>
    </w:p>
    <w:p w:rsidR="00543693" w:rsidRDefault="00543693" w:rsidP="00144773">
      <w:pPr>
        <w:widowControl/>
        <w:tabs>
          <w:tab w:val="left" w:pos="1440"/>
        </w:tabs>
        <w:spacing w:line="360" w:lineRule="auto"/>
        <w:rPr>
          <w:sz w:val="26"/>
        </w:rPr>
      </w:pPr>
    </w:p>
    <w:p w:rsidR="00543693" w:rsidRDefault="00543693" w:rsidP="00144773">
      <w:pPr>
        <w:widowControl/>
        <w:tabs>
          <w:tab w:val="left" w:pos="1440"/>
        </w:tabs>
        <w:spacing w:line="360" w:lineRule="auto"/>
        <w:rPr>
          <w:sz w:val="26"/>
        </w:rPr>
      </w:pPr>
      <w:r>
        <w:rPr>
          <w:sz w:val="26"/>
        </w:rPr>
        <w:tab/>
      </w:r>
      <w:r w:rsidR="002344F0">
        <w:rPr>
          <w:sz w:val="26"/>
        </w:rPr>
        <w:t xml:space="preserve">Duquesne first contends that NRG’s </w:t>
      </w:r>
      <w:r w:rsidR="004E73F1">
        <w:rPr>
          <w:sz w:val="26"/>
        </w:rPr>
        <w:t>P</w:t>
      </w:r>
      <w:r w:rsidR="002344F0">
        <w:rPr>
          <w:sz w:val="26"/>
        </w:rPr>
        <w:t xml:space="preserve">etition does not satisfy the standards for reconsideration because it </w:t>
      </w:r>
      <w:r w:rsidR="00E3105C">
        <w:rPr>
          <w:sz w:val="26"/>
        </w:rPr>
        <w:t xml:space="preserve">does not raise new and novel arguments that were raised below but not previously considered by the Commission.  </w:t>
      </w:r>
      <w:r w:rsidR="00901FF3">
        <w:rPr>
          <w:sz w:val="26"/>
        </w:rPr>
        <w:t>Duquesne</w:t>
      </w:r>
      <w:r w:rsidR="00E3105C">
        <w:rPr>
          <w:sz w:val="26"/>
        </w:rPr>
        <w:t xml:space="preserve"> contends that a party cannot use a petition for reconsideration </w:t>
      </w:r>
      <w:r w:rsidR="002344F0">
        <w:rPr>
          <w:sz w:val="26"/>
        </w:rPr>
        <w:t>to raise new arguments or issues that should have been but were not previously raised</w:t>
      </w:r>
      <w:r w:rsidR="00E3105C">
        <w:rPr>
          <w:sz w:val="26"/>
        </w:rPr>
        <w:t xml:space="preserve"> before the Commission</w:t>
      </w:r>
      <w:r w:rsidR="002344F0">
        <w:rPr>
          <w:sz w:val="26"/>
        </w:rPr>
        <w:t xml:space="preserve">. </w:t>
      </w:r>
      <w:r w:rsidR="00C748C6">
        <w:rPr>
          <w:sz w:val="26"/>
        </w:rPr>
        <w:t xml:space="preserve"> </w:t>
      </w:r>
      <w:r w:rsidR="00901FF3">
        <w:rPr>
          <w:sz w:val="26"/>
        </w:rPr>
        <w:t>R</w:t>
      </w:r>
      <w:r w:rsidR="002344F0">
        <w:rPr>
          <w:sz w:val="26"/>
        </w:rPr>
        <w:t xml:space="preserve">econsideration is not a second opportunity to argue properly resolved matters.  Duquesne Answer at 4-5.  </w:t>
      </w:r>
    </w:p>
    <w:p w:rsidR="00901FF3" w:rsidRDefault="00901FF3" w:rsidP="00144773">
      <w:pPr>
        <w:widowControl/>
        <w:tabs>
          <w:tab w:val="left" w:pos="1440"/>
        </w:tabs>
        <w:spacing w:line="360" w:lineRule="auto"/>
        <w:rPr>
          <w:sz w:val="26"/>
        </w:rPr>
      </w:pPr>
    </w:p>
    <w:p w:rsidR="008452BD" w:rsidRDefault="002344F0" w:rsidP="00144773">
      <w:pPr>
        <w:widowControl/>
        <w:tabs>
          <w:tab w:val="left" w:pos="1440"/>
        </w:tabs>
        <w:spacing w:line="360" w:lineRule="auto"/>
        <w:rPr>
          <w:sz w:val="26"/>
        </w:rPr>
      </w:pPr>
      <w:r>
        <w:rPr>
          <w:sz w:val="26"/>
        </w:rPr>
        <w:tab/>
        <w:t>According to Duquesne, the issue o</w:t>
      </w:r>
      <w:r w:rsidR="00274DCB">
        <w:rPr>
          <w:sz w:val="26"/>
        </w:rPr>
        <w:t>f</w:t>
      </w:r>
      <w:r>
        <w:rPr>
          <w:sz w:val="26"/>
        </w:rPr>
        <w:t xml:space="preserve"> </w:t>
      </w:r>
      <w:r w:rsidR="00954C49">
        <w:rPr>
          <w:sz w:val="26"/>
        </w:rPr>
        <w:t xml:space="preserve">the contract term in the PPAs is one that the </w:t>
      </w:r>
      <w:r>
        <w:rPr>
          <w:sz w:val="26"/>
        </w:rPr>
        <w:t xml:space="preserve">NRG </w:t>
      </w:r>
      <w:r w:rsidR="00954C49">
        <w:rPr>
          <w:sz w:val="26"/>
        </w:rPr>
        <w:t xml:space="preserve">Companies </w:t>
      </w:r>
      <w:r>
        <w:rPr>
          <w:sz w:val="26"/>
        </w:rPr>
        <w:t>raised and that the ALJ relied on to conclude that the Commission had jurisdiction to modify or eliminate the wholesale PURPA rates in Rider No. 18</w:t>
      </w:r>
      <w:r w:rsidR="00220450">
        <w:rPr>
          <w:sz w:val="26"/>
        </w:rPr>
        <w:t xml:space="preserve"> under the pricing standard applicable today under state law</w:t>
      </w:r>
      <w:r>
        <w:rPr>
          <w:sz w:val="26"/>
        </w:rPr>
        <w:t xml:space="preserve">.  </w:t>
      </w:r>
      <w:r w:rsidR="00954C49">
        <w:rPr>
          <w:sz w:val="26"/>
        </w:rPr>
        <w:t>As Duquesne points out, the NRG Companies expressly argued that the PPAs do not have an established termination date.  Thus, as Duquesne contends, it was the NRG Companies that effectively invited “the Commission to review the PPAs by arguing, among other things, that [the PPAs] lacked a definitive term</w:t>
      </w:r>
      <w:r w:rsidR="009A4FED">
        <w:rPr>
          <w:sz w:val="26"/>
        </w:rPr>
        <w:t>[,]</w:t>
      </w:r>
      <w:r w:rsidR="00954C49">
        <w:rPr>
          <w:sz w:val="26"/>
        </w:rPr>
        <w:t xml:space="preserve">” by referencing the PPAs’ provision </w:t>
      </w:r>
      <w:r w:rsidR="009A4FED">
        <w:rPr>
          <w:sz w:val="26"/>
        </w:rPr>
        <w:t xml:space="preserve">preserving </w:t>
      </w:r>
      <w:r w:rsidR="00954C49">
        <w:rPr>
          <w:sz w:val="26"/>
        </w:rPr>
        <w:t>Duquesne</w:t>
      </w:r>
      <w:r w:rsidR="00B92E11">
        <w:rPr>
          <w:sz w:val="26"/>
        </w:rPr>
        <w:t>’s</w:t>
      </w:r>
      <w:r w:rsidR="00954C49">
        <w:rPr>
          <w:sz w:val="26"/>
        </w:rPr>
        <w:t xml:space="preserve"> </w:t>
      </w:r>
      <w:r w:rsidR="009A4FED">
        <w:rPr>
          <w:sz w:val="26"/>
        </w:rPr>
        <w:t>right to attempt to revise the tariff, and by arguing the PPAs do not “lock-in” the price in Rider No. 18.  Duquesne Answer at 7.  As Duquesne further notes, the issue whether the PPAs had a definitive contract term of years was crucial to the ALJ’s recommendation that the Commission had jurisdiction to modify or eliminate the rate in Rider No. 18.  Content with th</w:t>
      </w:r>
      <w:r w:rsidR="008452BD">
        <w:rPr>
          <w:sz w:val="26"/>
        </w:rPr>
        <w:t>e ALJ’s</w:t>
      </w:r>
      <w:r w:rsidR="009A4FED">
        <w:rPr>
          <w:sz w:val="26"/>
        </w:rPr>
        <w:t xml:space="preserve"> conclusion, NRG did not except or otherwise challenge the Commission’s jurisdiction, while Duquesne on the other hand excepted.  </w:t>
      </w:r>
      <w:r w:rsidR="009A4FED">
        <w:rPr>
          <w:i/>
          <w:sz w:val="26"/>
        </w:rPr>
        <w:t>Id.</w:t>
      </w:r>
      <w:r w:rsidR="009A4FED">
        <w:rPr>
          <w:sz w:val="26"/>
        </w:rPr>
        <w:t xml:space="preserve"> at 7-8.  </w:t>
      </w:r>
    </w:p>
    <w:p w:rsidR="008452BD" w:rsidRDefault="008452BD" w:rsidP="00144773">
      <w:pPr>
        <w:widowControl/>
        <w:tabs>
          <w:tab w:val="left" w:pos="1440"/>
        </w:tabs>
        <w:spacing w:line="360" w:lineRule="auto"/>
        <w:rPr>
          <w:sz w:val="26"/>
        </w:rPr>
      </w:pPr>
    </w:p>
    <w:p w:rsidR="008452BD" w:rsidRDefault="008452BD" w:rsidP="00144773">
      <w:pPr>
        <w:widowControl/>
        <w:tabs>
          <w:tab w:val="left" w:pos="1440"/>
        </w:tabs>
        <w:spacing w:line="360" w:lineRule="auto"/>
        <w:rPr>
          <w:sz w:val="26"/>
        </w:rPr>
      </w:pPr>
      <w:r>
        <w:rPr>
          <w:sz w:val="26"/>
        </w:rPr>
        <w:tab/>
      </w:r>
      <w:r w:rsidR="009A4FED">
        <w:rPr>
          <w:sz w:val="26"/>
        </w:rPr>
        <w:t xml:space="preserve">As Duquesne concludes, “[c]learly, the Commission had to review and apply the PPAs to review the findings and conclusions made in the RD and to address Duquesne Light’s exception.”  </w:t>
      </w:r>
      <w:r w:rsidR="009A4FED">
        <w:rPr>
          <w:i/>
          <w:sz w:val="26"/>
        </w:rPr>
        <w:t>Id.</w:t>
      </w:r>
      <w:r w:rsidR="009A4FED">
        <w:rPr>
          <w:sz w:val="26"/>
        </w:rPr>
        <w:t xml:space="preserve"> at 8.  </w:t>
      </w:r>
      <w:r>
        <w:rPr>
          <w:sz w:val="26"/>
        </w:rPr>
        <w:t xml:space="preserve">Quoting our conclusion </w:t>
      </w:r>
      <w:r w:rsidR="00B92E11" w:rsidRPr="00B92E11">
        <w:rPr>
          <w:sz w:val="26"/>
        </w:rPr>
        <w:t>that the PPAs include</w:t>
      </w:r>
      <w:r w:rsidR="00B92E11">
        <w:rPr>
          <w:sz w:val="26"/>
        </w:rPr>
        <w:t>d</w:t>
      </w:r>
      <w:r w:rsidR="00B92E11" w:rsidRPr="00B92E11">
        <w:rPr>
          <w:sz w:val="26"/>
        </w:rPr>
        <w:t xml:space="preserve"> a term </w:t>
      </w:r>
      <w:r w:rsidR="00B92E11">
        <w:rPr>
          <w:sz w:val="26"/>
        </w:rPr>
        <w:t xml:space="preserve">bounded </w:t>
      </w:r>
      <w:r w:rsidR="00B92E11" w:rsidRPr="00B92E11">
        <w:rPr>
          <w:sz w:val="26"/>
        </w:rPr>
        <w:t xml:space="preserve">by </w:t>
      </w:r>
      <w:r w:rsidR="00B92E11">
        <w:rPr>
          <w:sz w:val="26"/>
        </w:rPr>
        <w:t xml:space="preserve">either </w:t>
      </w:r>
      <w:r w:rsidR="00B92E11" w:rsidRPr="00B92E11">
        <w:rPr>
          <w:sz w:val="26"/>
        </w:rPr>
        <w:t xml:space="preserve">the continued availability of a price or the QFs’ continued desire </w:t>
      </w:r>
      <w:r w:rsidR="00B92E11" w:rsidRPr="00B92E11">
        <w:rPr>
          <w:sz w:val="26"/>
        </w:rPr>
        <w:lastRenderedPageBreak/>
        <w:t xml:space="preserve">to sell their output </w:t>
      </w:r>
      <w:r w:rsidR="00B92E11">
        <w:rPr>
          <w:sz w:val="26"/>
        </w:rPr>
        <w:t xml:space="preserve">and not by a specific term of </w:t>
      </w:r>
      <w:r w:rsidR="00B92E11" w:rsidRPr="00B92E11">
        <w:rPr>
          <w:sz w:val="26"/>
        </w:rPr>
        <w:t>calendar years</w:t>
      </w:r>
      <w:r w:rsidR="00B92E11">
        <w:rPr>
          <w:sz w:val="26"/>
        </w:rPr>
        <w:t xml:space="preserve">, which was </w:t>
      </w:r>
      <w:r>
        <w:rPr>
          <w:sz w:val="26"/>
        </w:rPr>
        <w:t xml:space="preserve">contrary to </w:t>
      </w:r>
      <w:r w:rsidR="00B92E11">
        <w:rPr>
          <w:sz w:val="26"/>
        </w:rPr>
        <w:t>th</w:t>
      </w:r>
      <w:r w:rsidR="00CC57E2">
        <w:rPr>
          <w:sz w:val="26"/>
        </w:rPr>
        <w:t xml:space="preserve">e analysis and conclusion </w:t>
      </w:r>
      <w:r w:rsidR="00895DA1">
        <w:rPr>
          <w:sz w:val="26"/>
        </w:rPr>
        <w:t>arrived at</w:t>
      </w:r>
      <w:r w:rsidR="00CC57E2">
        <w:rPr>
          <w:sz w:val="26"/>
        </w:rPr>
        <w:t xml:space="preserve"> by </w:t>
      </w:r>
      <w:r>
        <w:rPr>
          <w:sz w:val="26"/>
        </w:rPr>
        <w:t>the ALJ, Duquesne concludes as follows:</w:t>
      </w:r>
    </w:p>
    <w:p w:rsidR="008452BD" w:rsidRDefault="008452BD" w:rsidP="00144773">
      <w:pPr>
        <w:widowControl/>
        <w:tabs>
          <w:tab w:val="left" w:pos="1440"/>
        </w:tabs>
        <w:spacing w:line="360" w:lineRule="auto"/>
        <w:rPr>
          <w:sz w:val="26"/>
        </w:rPr>
      </w:pPr>
    </w:p>
    <w:p w:rsidR="008452BD" w:rsidRDefault="008452BD" w:rsidP="00144773">
      <w:pPr>
        <w:widowControl/>
        <w:tabs>
          <w:tab w:val="left" w:pos="1440"/>
        </w:tabs>
        <w:ind w:left="1440" w:right="1440" w:firstLine="720"/>
        <w:rPr>
          <w:sz w:val="26"/>
        </w:rPr>
      </w:pPr>
      <w:r>
        <w:rPr>
          <w:sz w:val="26"/>
        </w:rPr>
        <w:t>It is clear that the NRG Companies raised the issue of whether the PPAs had a definitive term in support of their litigation position before the Commission.  Now, apparently unhappy with the Commission’s conclusion, the NRG Companies argue that the Commission did not have jurisdiction to do precisely what the NRG Companies requested -- to review the meaning of the PPAs and determine whether they had a definitive term.  The Commission’s jurisdiction is not and cannot be contingent on the outcome of the determination, as suggested by the NRG Companies’ inconsistent positions.</w:t>
      </w:r>
    </w:p>
    <w:p w:rsidR="008452BD" w:rsidRDefault="008452BD" w:rsidP="00144773">
      <w:pPr>
        <w:widowControl/>
        <w:tabs>
          <w:tab w:val="left" w:pos="1440"/>
        </w:tabs>
        <w:spacing w:line="360" w:lineRule="auto"/>
        <w:rPr>
          <w:sz w:val="26"/>
        </w:rPr>
      </w:pPr>
    </w:p>
    <w:p w:rsidR="008452BD" w:rsidRPr="008452BD" w:rsidRDefault="008452BD" w:rsidP="00144773">
      <w:pPr>
        <w:widowControl/>
        <w:tabs>
          <w:tab w:val="left" w:pos="1440"/>
        </w:tabs>
        <w:spacing w:line="360" w:lineRule="auto"/>
        <w:rPr>
          <w:sz w:val="26"/>
        </w:rPr>
      </w:pPr>
      <w:r>
        <w:rPr>
          <w:i/>
          <w:sz w:val="26"/>
        </w:rPr>
        <w:t xml:space="preserve">Id. </w:t>
      </w:r>
      <w:r>
        <w:rPr>
          <w:sz w:val="26"/>
        </w:rPr>
        <w:t>at 9.  Arguing that the NRG Companies are judicially estopped from switching positions or asserting contrary positions in the same or related actions, Duquesne concludes that NR</w:t>
      </w:r>
      <w:r w:rsidR="004E73F1">
        <w:rPr>
          <w:sz w:val="26"/>
        </w:rPr>
        <w:t>G’s P</w:t>
      </w:r>
      <w:r>
        <w:rPr>
          <w:sz w:val="26"/>
        </w:rPr>
        <w:t xml:space="preserve">etition </w:t>
      </w:r>
      <w:r w:rsidR="00ED0DFB">
        <w:rPr>
          <w:sz w:val="26"/>
        </w:rPr>
        <w:t xml:space="preserve">should be denied. </w:t>
      </w:r>
    </w:p>
    <w:p w:rsidR="008452BD" w:rsidRDefault="008452BD" w:rsidP="00144773">
      <w:pPr>
        <w:widowControl/>
        <w:tabs>
          <w:tab w:val="left" w:pos="1440"/>
        </w:tabs>
        <w:spacing w:line="360" w:lineRule="auto"/>
        <w:rPr>
          <w:sz w:val="26"/>
        </w:rPr>
      </w:pPr>
    </w:p>
    <w:p w:rsidR="00625DE7" w:rsidRDefault="00ED0DFB" w:rsidP="00144773">
      <w:pPr>
        <w:widowControl/>
        <w:tabs>
          <w:tab w:val="left" w:pos="1440"/>
        </w:tabs>
        <w:spacing w:line="360" w:lineRule="auto"/>
        <w:rPr>
          <w:sz w:val="26"/>
        </w:rPr>
      </w:pPr>
      <w:r>
        <w:rPr>
          <w:sz w:val="26"/>
        </w:rPr>
        <w:tab/>
        <w:t xml:space="preserve">Duquesne also contends that NRG’s argument that the Commission </w:t>
      </w:r>
      <w:r w:rsidR="006C36E7">
        <w:rPr>
          <w:sz w:val="26"/>
        </w:rPr>
        <w:t xml:space="preserve">impermissibly interpreted private contracts between public utilities and third </w:t>
      </w:r>
      <w:r w:rsidR="00304BCB">
        <w:rPr>
          <w:sz w:val="26"/>
        </w:rPr>
        <w:t>parties</w:t>
      </w:r>
      <w:r w:rsidR="00AA22D9">
        <w:rPr>
          <w:sz w:val="26"/>
        </w:rPr>
        <w:t xml:space="preserve"> </w:t>
      </w:r>
      <w:r w:rsidR="006C36E7">
        <w:rPr>
          <w:sz w:val="26"/>
        </w:rPr>
        <w:t xml:space="preserve">lacks merit. First, </w:t>
      </w:r>
      <w:r w:rsidR="00AA22D9">
        <w:rPr>
          <w:sz w:val="26"/>
        </w:rPr>
        <w:t xml:space="preserve">as </w:t>
      </w:r>
      <w:r w:rsidR="006C36E7">
        <w:rPr>
          <w:sz w:val="26"/>
        </w:rPr>
        <w:t xml:space="preserve">Duquesne </w:t>
      </w:r>
      <w:r w:rsidR="00AA22D9">
        <w:rPr>
          <w:sz w:val="26"/>
        </w:rPr>
        <w:t xml:space="preserve">explains, </w:t>
      </w:r>
      <w:r w:rsidR="006C36E7">
        <w:rPr>
          <w:sz w:val="26"/>
        </w:rPr>
        <w:t xml:space="preserve">the argument that the Commission </w:t>
      </w:r>
      <w:r>
        <w:rPr>
          <w:sz w:val="26"/>
        </w:rPr>
        <w:t>lacked subject matter jurisdiction is not a new or novel argument overlooked by the Commission</w:t>
      </w:r>
      <w:r w:rsidR="00CC57E2">
        <w:rPr>
          <w:sz w:val="26"/>
        </w:rPr>
        <w:t xml:space="preserve">. Rather the issue of the Commission’s jurisdiction to intercede with respect to the purchased power price as requested by NRG </w:t>
      </w:r>
      <w:r>
        <w:rPr>
          <w:sz w:val="26"/>
        </w:rPr>
        <w:t xml:space="preserve">was thoroughly considered in the </w:t>
      </w:r>
      <w:r>
        <w:rPr>
          <w:i/>
          <w:sz w:val="26"/>
        </w:rPr>
        <w:t>November 2014 Order</w:t>
      </w:r>
      <w:r>
        <w:rPr>
          <w:sz w:val="26"/>
        </w:rPr>
        <w:t xml:space="preserve">.  </w:t>
      </w:r>
      <w:r w:rsidR="006C36E7">
        <w:rPr>
          <w:sz w:val="26"/>
        </w:rPr>
        <w:t>Second, according to Duquesne, the Commission concluded it lacked jurisdiction to revisit the purchased power price</w:t>
      </w:r>
      <w:r w:rsidR="00CC57E2">
        <w:rPr>
          <w:sz w:val="26"/>
        </w:rPr>
        <w:t xml:space="preserve">; the Commission did not conclude that </w:t>
      </w:r>
      <w:r w:rsidR="006C36E7">
        <w:rPr>
          <w:sz w:val="26"/>
        </w:rPr>
        <w:t xml:space="preserve">PURPA precludes state agencies from looking to the PPAs to determine the meaning of a non-pricing term raised by a party as NRG suggests, </w:t>
      </w:r>
      <w:r w:rsidR="00895DA1">
        <w:rPr>
          <w:sz w:val="26"/>
        </w:rPr>
        <w:t>referring to</w:t>
      </w:r>
      <w:r w:rsidR="006C36E7">
        <w:rPr>
          <w:sz w:val="26"/>
        </w:rPr>
        <w:t xml:space="preserve"> the </w:t>
      </w:r>
      <w:r w:rsidR="006C36E7">
        <w:rPr>
          <w:i/>
          <w:sz w:val="26"/>
        </w:rPr>
        <w:t>Competitive Bidding Regulations Order</w:t>
      </w:r>
      <w:r w:rsidR="006C36E7">
        <w:rPr>
          <w:sz w:val="26"/>
        </w:rPr>
        <w:t xml:space="preserve"> </w:t>
      </w:r>
      <w:r w:rsidR="00895DA1">
        <w:rPr>
          <w:sz w:val="26"/>
        </w:rPr>
        <w:t>for</w:t>
      </w:r>
      <w:r w:rsidR="006C36E7">
        <w:rPr>
          <w:sz w:val="26"/>
        </w:rPr>
        <w:t xml:space="preserve"> support.</w:t>
      </w:r>
      <w:r w:rsidR="006C36E7">
        <w:rPr>
          <w:rStyle w:val="FootnoteReference"/>
          <w:sz w:val="26"/>
        </w:rPr>
        <w:footnoteReference w:id="5"/>
      </w:r>
      <w:r w:rsidR="006C36E7">
        <w:rPr>
          <w:sz w:val="26"/>
        </w:rPr>
        <w:t xml:space="preserve">  Third, </w:t>
      </w:r>
      <w:r w:rsidR="00CC57E2">
        <w:rPr>
          <w:sz w:val="26"/>
        </w:rPr>
        <w:t xml:space="preserve">Duquesne asserts that </w:t>
      </w:r>
      <w:r w:rsidR="00AA22D9">
        <w:rPr>
          <w:sz w:val="26"/>
        </w:rPr>
        <w:t xml:space="preserve">PURPA’s preemption of state utility-type regulation does not preclude Commission review of non-price terms in </w:t>
      </w:r>
      <w:r w:rsidR="00AA22D9">
        <w:rPr>
          <w:sz w:val="26"/>
        </w:rPr>
        <w:lastRenderedPageBreak/>
        <w:t xml:space="preserve">the context of the NRG proceeding.  And fourth, according to </w:t>
      </w:r>
      <w:r w:rsidR="00625DE7">
        <w:rPr>
          <w:sz w:val="26"/>
        </w:rPr>
        <w:t xml:space="preserve">Duquesne, the Commission did not interpret or modify the PPAs as suggested by NRG.  </w:t>
      </w:r>
      <w:r w:rsidR="00CC57E2">
        <w:rPr>
          <w:sz w:val="26"/>
        </w:rPr>
        <w:t>Also q</w:t>
      </w:r>
      <w:r w:rsidR="00625DE7">
        <w:rPr>
          <w:sz w:val="26"/>
        </w:rPr>
        <w:t xml:space="preserve">uoting directly the </w:t>
      </w:r>
      <w:r w:rsidR="00CC57E2">
        <w:rPr>
          <w:sz w:val="26"/>
        </w:rPr>
        <w:t>H</w:t>
      </w:r>
      <w:r w:rsidR="00625DE7">
        <w:rPr>
          <w:sz w:val="26"/>
        </w:rPr>
        <w:t xml:space="preserve">ighly </w:t>
      </w:r>
      <w:r w:rsidR="00CC57E2">
        <w:rPr>
          <w:sz w:val="26"/>
        </w:rPr>
        <w:t>C</w:t>
      </w:r>
      <w:r w:rsidR="00625DE7">
        <w:rPr>
          <w:sz w:val="26"/>
        </w:rPr>
        <w:t>onfidential language from the PPAs, Duquesne repeat</w:t>
      </w:r>
      <w:r w:rsidR="00CC57E2">
        <w:rPr>
          <w:sz w:val="26"/>
        </w:rPr>
        <w:t>s</w:t>
      </w:r>
      <w:r w:rsidR="00625DE7">
        <w:rPr>
          <w:sz w:val="26"/>
        </w:rPr>
        <w:t xml:space="preserve"> </w:t>
      </w:r>
      <w:r w:rsidR="00CC57E2">
        <w:rPr>
          <w:sz w:val="26"/>
        </w:rPr>
        <w:t>our</w:t>
      </w:r>
      <w:r w:rsidR="00625DE7">
        <w:rPr>
          <w:sz w:val="26"/>
        </w:rPr>
        <w:t xml:space="preserve"> finding in the </w:t>
      </w:r>
      <w:r w:rsidR="00625DE7">
        <w:rPr>
          <w:i/>
          <w:sz w:val="26"/>
        </w:rPr>
        <w:t xml:space="preserve">November 2014 Order </w:t>
      </w:r>
      <w:r w:rsidR="00625DE7">
        <w:rPr>
          <w:sz w:val="26"/>
        </w:rPr>
        <w:t xml:space="preserve">that the “PPAs are limited by a term that is defined by either the continued availability of a price or the QFs’ continued desire to sell their output.”  Duquesne Answer at 12 </w:t>
      </w:r>
      <w:r w:rsidR="00625DE7">
        <w:rPr>
          <w:i/>
          <w:sz w:val="26"/>
        </w:rPr>
        <w:t xml:space="preserve">quoting November 2014 Order </w:t>
      </w:r>
      <w:r w:rsidR="00625DE7">
        <w:rPr>
          <w:sz w:val="26"/>
        </w:rPr>
        <w:t>at 63.  As Duquesne concludes, “the Commiss</w:t>
      </w:r>
      <w:r w:rsidR="00CC57E2">
        <w:rPr>
          <w:sz w:val="26"/>
        </w:rPr>
        <w:t>i</w:t>
      </w:r>
      <w:r w:rsidR="00625DE7">
        <w:rPr>
          <w:sz w:val="26"/>
        </w:rPr>
        <w:t xml:space="preserve">on did not ‘interpret,’ modify, or revise the meaning of the PPAs; rather, the Commission merely applied the plain language of the PPAs to conclude that the ALJ erred in finding that the PPAs lack a term.”  Duquesne Answer at 12.  </w:t>
      </w:r>
    </w:p>
    <w:p w:rsidR="00625DE7" w:rsidRDefault="00625DE7" w:rsidP="00144773">
      <w:pPr>
        <w:widowControl/>
        <w:tabs>
          <w:tab w:val="left" w:pos="1440"/>
        </w:tabs>
        <w:spacing w:line="360" w:lineRule="auto"/>
        <w:rPr>
          <w:sz w:val="26"/>
        </w:rPr>
      </w:pPr>
    </w:p>
    <w:p w:rsidR="00ED0DFB" w:rsidRDefault="00625DE7" w:rsidP="00144773">
      <w:pPr>
        <w:widowControl/>
        <w:tabs>
          <w:tab w:val="left" w:pos="1440"/>
        </w:tabs>
        <w:spacing w:line="360" w:lineRule="auto"/>
        <w:rPr>
          <w:sz w:val="26"/>
        </w:rPr>
      </w:pPr>
      <w:r>
        <w:rPr>
          <w:sz w:val="26"/>
        </w:rPr>
        <w:tab/>
        <w:t>In response to NRG’</w:t>
      </w:r>
      <w:r w:rsidR="00CC57E2">
        <w:rPr>
          <w:sz w:val="26"/>
        </w:rPr>
        <w:t>s</w:t>
      </w:r>
      <w:r>
        <w:rPr>
          <w:sz w:val="26"/>
        </w:rPr>
        <w:t xml:space="preserve"> c</w:t>
      </w:r>
      <w:r w:rsidR="00581334">
        <w:rPr>
          <w:sz w:val="26"/>
        </w:rPr>
        <w:t xml:space="preserve">riticism that </w:t>
      </w:r>
      <w:r w:rsidR="00226EE6">
        <w:rPr>
          <w:sz w:val="26"/>
        </w:rPr>
        <w:t>the</w:t>
      </w:r>
      <w:r w:rsidR="00581334">
        <w:rPr>
          <w:sz w:val="26"/>
        </w:rPr>
        <w:t xml:space="preserve"> </w:t>
      </w:r>
      <w:r>
        <w:rPr>
          <w:sz w:val="26"/>
        </w:rPr>
        <w:t xml:space="preserve">finding </w:t>
      </w:r>
      <w:r w:rsidR="00226EE6">
        <w:rPr>
          <w:sz w:val="26"/>
        </w:rPr>
        <w:t xml:space="preserve">in the </w:t>
      </w:r>
      <w:r w:rsidR="00226EE6">
        <w:rPr>
          <w:i/>
          <w:sz w:val="26"/>
        </w:rPr>
        <w:t xml:space="preserve">November 2014 Order </w:t>
      </w:r>
      <w:r>
        <w:rPr>
          <w:sz w:val="26"/>
        </w:rPr>
        <w:t>that the PPAs had a contract term is not supported by substantial evidence, Duquesne again contends that the Commission looked to the plain language of the PPAs</w:t>
      </w:r>
      <w:r w:rsidR="00581334">
        <w:rPr>
          <w:sz w:val="26"/>
        </w:rPr>
        <w:t>, which were themselves admitted into the evidentiary record and subject to cross-examination by NRG</w:t>
      </w:r>
      <w:r>
        <w:rPr>
          <w:sz w:val="26"/>
        </w:rPr>
        <w:t xml:space="preserve">.  </w:t>
      </w:r>
      <w:r w:rsidR="00581334">
        <w:rPr>
          <w:sz w:val="26"/>
        </w:rPr>
        <w:t xml:space="preserve">As Duquesne states, “[t]he fact that the NRG Companies disagree with the conclusion reached by the Commission does not mean that substantial evidence is lacking.”  </w:t>
      </w:r>
      <w:r w:rsidR="00581334">
        <w:rPr>
          <w:i/>
          <w:sz w:val="26"/>
        </w:rPr>
        <w:t xml:space="preserve">Id. </w:t>
      </w:r>
      <w:r w:rsidR="00581334">
        <w:rPr>
          <w:sz w:val="26"/>
        </w:rPr>
        <w:t xml:space="preserve">at 14.  </w:t>
      </w:r>
      <w:r w:rsidR="00CC57E2">
        <w:rPr>
          <w:sz w:val="26"/>
        </w:rPr>
        <w:t xml:space="preserve">Duquesne also contradicts </w:t>
      </w:r>
      <w:r w:rsidR="00581334">
        <w:rPr>
          <w:sz w:val="26"/>
        </w:rPr>
        <w:t xml:space="preserve">NRG’s efforts </w:t>
      </w:r>
      <w:r w:rsidR="004E73F1">
        <w:rPr>
          <w:sz w:val="26"/>
        </w:rPr>
        <w:t>in the P</w:t>
      </w:r>
      <w:r w:rsidR="00CC57E2">
        <w:rPr>
          <w:sz w:val="26"/>
        </w:rPr>
        <w:t xml:space="preserve">etition </w:t>
      </w:r>
      <w:r w:rsidR="00581334">
        <w:rPr>
          <w:sz w:val="26"/>
        </w:rPr>
        <w:t>to cast the contract term as “ambiguous or disputed</w:t>
      </w:r>
      <w:r w:rsidR="00CC57E2">
        <w:rPr>
          <w:sz w:val="26"/>
        </w:rPr>
        <w:t>[.]</w:t>
      </w:r>
      <w:r w:rsidR="00581334">
        <w:rPr>
          <w:sz w:val="26"/>
        </w:rPr>
        <w:t xml:space="preserve">” </w:t>
      </w:r>
      <w:r w:rsidR="00CC57E2">
        <w:rPr>
          <w:sz w:val="26"/>
        </w:rPr>
        <w:t xml:space="preserve"> </w:t>
      </w:r>
      <w:r w:rsidR="00CC57E2">
        <w:rPr>
          <w:i/>
          <w:sz w:val="26"/>
        </w:rPr>
        <w:t>Id.</w:t>
      </w:r>
      <w:r w:rsidR="00CC57E2">
        <w:rPr>
          <w:sz w:val="26"/>
        </w:rPr>
        <w:t xml:space="preserve">  According to Duquesne, NRG’s argument is </w:t>
      </w:r>
      <w:r w:rsidR="00581334">
        <w:rPr>
          <w:sz w:val="26"/>
        </w:rPr>
        <w:t xml:space="preserve">“entirely inconsistent with their litigation position[,]” which described the termination </w:t>
      </w:r>
      <w:r w:rsidR="00806947">
        <w:rPr>
          <w:sz w:val="26"/>
        </w:rPr>
        <w:t xml:space="preserve">provision </w:t>
      </w:r>
      <w:r w:rsidR="00581334">
        <w:rPr>
          <w:sz w:val="26"/>
        </w:rPr>
        <w:t>consistent with the Commission’s description.</w:t>
      </w:r>
      <w:r w:rsidR="00581334">
        <w:rPr>
          <w:rStyle w:val="FootnoteReference"/>
          <w:sz w:val="26"/>
        </w:rPr>
        <w:footnoteReference w:id="6"/>
      </w:r>
      <w:r w:rsidR="00581334">
        <w:rPr>
          <w:sz w:val="26"/>
        </w:rPr>
        <w:t xml:space="preserve">  As Duquesne concludes, NRG “cannot now credibly claim that the language in the PPAs is ambiguous and disputed.”  </w:t>
      </w:r>
      <w:r w:rsidR="00581334">
        <w:rPr>
          <w:i/>
          <w:sz w:val="26"/>
        </w:rPr>
        <w:t xml:space="preserve">Id. </w:t>
      </w:r>
    </w:p>
    <w:p w:rsidR="00581334" w:rsidRDefault="00581334" w:rsidP="00144773">
      <w:pPr>
        <w:widowControl/>
        <w:tabs>
          <w:tab w:val="left" w:pos="1440"/>
        </w:tabs>
        <w:spacing w:line="360" w:lineRule="auto"/>
        <w:rPr>
          <w:sz w:val="26"/>
        </w:rPr>
      </w:pPr>
    </w:p>
    <w:p w:rsidR="00581334" w:rsidRDefault="00581334" w:rsidP="00144773">
      <w:pPr>
        <w:widowControl/>
        <w:tabs>
          <w:tab w:val="left" w:pos="1440"/>
        </w:tabs>
        <w:spacing w:line="360" w:lineRule="auto"/>
        <w:rPr>
          <w:sz w:val="26"/>
        </w:rPr>
      </w:pPr>
      <w:r>
        <w:rPr>
          <w:sz w:val="26"/>
        </w:rPr>
        <w:tab/>
      </w:r>
      <w:r w:rsidR="00033E66">
        <w:rPr>
          <w:sz w:val="26"/>
        </w:rPr>
        <w:t xml:space="preserve">Duquesne next contends that the Commission considered and rejected </w:t>
      </w:r>
      <w:r>
        <w:rPr>
          <w:sz w:val="26"/>
        </w:rPr>
        <w:t>NRG’</w:t>
      </w:r>
      <w:r w:rsidR="00A431AF">
        <w:rPr>
          <w:sz w:val="26"/>
        </w:rPr>
        <w:t>s</w:t>
      </w:r>
      <w:r>
        <w:rPr>
          <w:sz w:val="26"/>
        </w:rPr>
        <w:t xml:space="preserve"> argument that substantial evidence supports the conclusion that the </w:t>
      </w:r>
      <w:r w:rsidR="00304BCB">
        <w:rPr>
          <w:sz w:val="26"/>
        </w:rPr>
        <w:t>parties</w:t>
      </w:r>
      <w:r>
        <w:rPr>
          <w:sz w:val="26"/>
        </w:rPr>
        <w:t xml:space="preserve"> to the PPA intended </w:t>
      </w:r>
      <w:r w:rsidR="00390A32">
        <w:rPr>
          <w:sz w:val="26"/>
        </w:rPr>
        <w:t xml:space="preserve">terms to be defined by unilateral tariff supplement filings by Duquesne to </w:t>
      </w:r>
      <w:r w:rsidR="00390A32">
        <w:rPr>
          <w:sz w:val="26"/>
        </w:rPr>
        <w:lastRenderedPageBreak/>
        <w:t xml:space="preserve">revise the purchase price.  </w:t>
      </w:r>
      <w:r w:rsidR="00033E66">
        <w:rPr>
          <w:sz w:val="26"/>
        </w:rPr>
        <w:t xml:space="preserve">In support, Duquesne quotes from the </w:t>
      </w:r>
      <w:r w:rsidR="00033E66">
        <w:rPr>
          <w:i/>
          <w:sz w:val="26"/>
        </w:rPr>
        <w:t xml:space="preserve">November 2014 </w:t>
      </w:r>
      <w:r w:rsidR="00033E66" w:rsidRPr="00033E66">
        <w:rPr>
          <w:i/>
          <w:sz w:val="26"/>
        </w:rPr>
        <w:t>Order</w:t>
      </w:r>
      <w:r w:rsidR="00033E66">
        <w:rPr>
          <w:sz w:val="26"/>
        </w:rPr>
        <w:t xml:space="preserve"> </w:t>
      </w:r>
      <w:r w:rsidR="00A431AF">
        <w:rPr>
          <w:sz w:val="26"/>
        </w:rPr>
        <w:t xml:space="preserve">and </w:t>
      </w:r>
      <w:r w:rsidR="00033E66">
        <w:rPr>
          <w:sz w:val="26"/>
        </w:rPr>
        <w:t>conclud</w:t>
      </w:r>
      <w:r w:rsidR="00A431AF">
        <w:rPr>
          <w:sz w:val="26"/>
        </w:rPr>
        <w:t xml:space="preserve">es </w:t>
      </w:r>
      <w:r w:rsidR="00033E66">
        <w:rPr>
          <w:sz w:val="26"/>
        </w:rPr>
        <w:t xml:space="preserve">that a reservation to file to modify a “tariff ignores the subsequent decisions like </w:t>
      </w:r>
      <w:r w:rsidR="00033E66">
        <w:rPr>
          <w:i/>
          <w:sz w:val="26"/>
        </w:rPr>
        <w:t xml:space="preserve">Freehold </w:t>
      </w:r>
      <w:r w:rsidR="00033E66">
        <w:rPr>
          <w:sz w:val="26"/>
        </w:rPr>
        <w:t xml:space="preserve">that clarified that no matter Duquesne’s intention in including the PPA pricing term in a state tariff, the state cannot mandate a price change to an existing QF contract.”  </w:t>
      </w:r>
      <w:r w:rsidR="00390A32" w:rsidRPr="00033E66">
        <w:rPr>
          <w:i/>
          <w:sz w:val="26"/>
        </w:rPr>
        <w:t>Id</w:t>
      </w:r>
      <w:r w:rsidR="00390A32">
        <w:rPr>
          <w:i/>
          <w:sz w:val="26"/>
        </w:rPr>
        <w:t>.</w:t>
      </w:r>
      <w:r w:rsidR="00806947">
        <w:rPr>
          <w:sz w:val="26"/>
        </w:rPr>
        <w:t xml:space="preserve"> at 15-16</w:t>
      </w:r>
      <w:r w:rsidR="00033E66">
        <w:rPr>
          <w:sz w:val="26"/>
        </w:rPr>
        <w:t xml:space="preserve"> </w:t>
      </w:r>
      <w:r w:rsidR="00033E66">
        <w:rPr>
          <w:i/>
          <w:sz w:val="26"/>
        </w:rPr>
        <w:t>quoting November 2014 Order</w:t>
      </w:r>
      <w:r w:rsidR="00033E66">
        <w:rPr>
          <w:sz w:val="26"/>
        </w:rPr>
        <w:t xml:space="preserve"> at 67.  Duquesne again concludes that “the fact that the NRG Companies disagree with the conclusion reached by the Commission does not mean that substantial evidence is lacking.”  Duquesne Answer at 15.  </w:t>
      </w:r>
    </w:p>
    <w:p w:rsidR="00E07E1B" w:rsidRDefault="00E07E1B" w:rsidP="00144773">
      <w:pPr>
        <w:widowControl/>
        <w:tabs>
          <w:tab w:val="left" w:pos="1440"/>
        </w:tabs>
        <w:spacing w:line="360" w:lineRule="auto"/>
        <w:rPr>
          <w:sz w:val="26"/>
        </w:rPr>
      </w:pPr>
    </w:p>
    <w:p w:rsidR="00D64CF0" w:rsidRDefault="00E07E1B" w:rsidP="00144773">
      <w:pPr>
        <w:widowControl/>
        <w:tabs>
          <w:tab w:val="left" w:pos="1440"/>
        </w:tabs>
        <w:spacing w:line="360" w:lineRule="auto"/>
        <w:rPr>
          <w:sz w:val="26"/>
        </w:rPr>
      </w:pPr>
      <w:r>
        <w:rPr>
          <w:sz w:val="26"/>
        </w:rPr>
        <w:tab/>
      </w:r>
      <w:r w:rsidR="00D64CF0">
        <w:rPr>
          <w:sz w:val="26"/>
        </w:rPr>
        <w:t xml:space="preserve">Duquesne also responds </w:t>
      </w:r>
      <w:r>
        <w:rPr>
          <w:sz w:val="26"/>
        </w:rPr>
        <w:t>to NRG’</w:t>
      </w:r>
      <w:r w:rsidR="00A431AF">
        <w:rPr>
          <w:sz w:val="26"/>
        </w:rPr>
        <w:t>s</w:t>
      </w:r>
      <w:r>
        <w:rPr>
          <w:sz w:val="26"/>
        </w:rPr>
        <w:t xml:space="preserve"> request for clarification </w:t>
      </w:r>
      <w:r w:rsidR="00A431AF">
        <w:rPr>
          <w:sz w:val="26"/>
        </w:rPr>
        <w:t>of the impact of the O</w:t>
      </w:r>
      <w:r w:rsidR="006B6510">
        <w:rPr>
          <w:sz w:val="26"/>
        </w:rPr>
        <w:t xml:space="preserve">rder </w:t>
      </w:r>
      <w:r>
        <w:rPr>
          <w:sz w:val="26"/>
        </w:rPr>
        <w:t>if the Commission d</w:t>
      </w:r>
      <w:r w:rsidR="00D64CF0">
        <w:rPr>
          <w:sz w:val="26"/>
        </w:rPr>
        <w:t>oes</w:t>
      </w:r>
      <w:r>
        <w:rPr>
          <w:sz w:val="26"/>
        </w:rPr>
        <w:t xml:space="preserve"> not reverse its finding that the PPAs contained a definitive term</w:t>
      </w:r>
      <w:r w:rsidR="00D64CF0">
        <w:rPr>
          <w:sz w:val="26"/>
        </w:rPr>
        <w:t xml:space="preserve">. </w:t>
      </w:r>
      <w:r w:rsidR="00A431AF">
        <w:rPr>
          <w:sz w:val="26"/>
        </w:rPr>
        <w:t xml:space="preserve"> </w:t>
      </w:r>
      <w:r>
        <w:rPr>
          <w:sz w:val="26"/>
        </w:rPr>
        <w:t>Duquesne characterizes NRG’s request</w:t>
      </w:r>
      <w:r w:rsidR="000F0DB6">
        <w:rPr>
          <w:sz w:val="26"/>
        </w:rPr>
        <w:t xml:space="preserve"> as yet another modification of NRG’s request for relief throughout this proceeding.  </w:t>
      </w:r>
      <w:r w:rsidR="00D64CF0">
        <w:rPr>
          <w:sz w:val="26"/>
        </w:rPr>
        <w:t xml:space="preserve">As described by </w:t>
      </w:r>
      <w:r w:rsidR="000F0DB6">
        <w:rPr>
          <w:sz w:val="26"/>
        </w:rPr>
        <w:t>Duquesne</w:t>
      </w:r>
      <w:r w:rsidR="00D64CF0">
        <w:rPr>
          <w:sz w:val="26"/>
        </w:rPr>
        <w:t xml:space="preserve">, </w:t>
      </w:r>
      <w:r w:rsidR="000F0DB6">
        <w:rPr>
          <w:sz w:val="26"/>
        </w:rPr>
        <w:t>in its Complaint NRG first requested that the Commission ensure that Rider No. 18 was just, reasonable, and non-discriminatory.  In direct testimony, NRG then requested tha</w:t>
      </w:r>
      <w:r w:rsidR="006B6510">
        <w:rPr>
          <w:sz w:val="26"/>
        </w:rPr>
        <w:t>t the rate in Rider N</w:t>
      </w:r>
      <w:r w:rsidR="000F0DB6">
        <w:rPr>
          <w:sz w:val="26"/>
        </w:rPr>
        <w:t xml:space="preserve">o. 18 be modified. </w:t>
      </w:r>
      <w:r>
        <w:rPr>
          <w:sz w:val="26"/>
        </w:rPr>
        <w:t xml:space="preserve"> </w:t>
      </w:r>
      <w:r w:rsidR="000F0DB6">
        <w:rPr>
          <w:sz w:val="26"/>
        </w:rPr>
        <w:t xml:space="preserve">In surrebuttal testimony, NRG requested that Rider No. 18 be eliminated entirely.  </w:t>
      </w:r>
    </w:p>
    <w:p w:rsidR="00D64CF0" w:rsidRDefault="00D64CF0" w:rsidP="00144773">
      <w:pPr>
        <w:widowControl/>
        <w:tabs>
          <w:tab w:val="left" w:pos="1440"/>
        </w:tabs>
        <w:spacing w:line="360" w:lineRule="auto"/>
        <w:rPr>
          <w:sz w:val="26"/>
        </w:rPr>
      </w:pPr>
    </w:p>
    <w:p w:rsidR="00817AC1" w:rsidRDefault="00D64CF0" w:rsidP="00144773">
      <w:pPr>
        <w:widowControl/>
        <w:tabs>
          <w:tab w:val="left" w:pos="1440"/>
        </w:tabs>
        <w:spacing w:line="360" w:lineRule="auto"/>
        <w:rPr>
          <w:sz w:val="26"/>
        </w:rPr>
      </w:pPr>
      <w:r>
        <w:rPr>
          <w:sz w:val="26"/>
        </w:rPr>
        <w:tab/>
        <w:t>As Duquesne argues, u</w:t>
      </w:r>
      <w:r w:rsidR="000F0DB6">
        <w:rPr>
          <w:sz w:val="26"/>
        </w:rPr>
        <w:t xml:space="preserve">ltimately in the </w:t>
      </w:r>
      <w:r w:rsidR="000F0DB6">
        <w:rPr>
          <w:i/>
          <w:sz w:val="26"/>
        </w:rPr>
        <w:t xml:space="preserve">November 2014 </w:t>
      </w:r>
      <w:r w:rsidR="000F0DB6" w:rsidRPr="000F0DB6">
        <w:rPr>
          <w:i/>
          <w:sz w:val="26"/>
        </w:rPr>
        <w:t>Order</w:t>
      </w:r>
      <w:r w:rsidR="000F0DB6">
        <w:rPr>
          <w:sz w:val="26"/>
        </w:rPr>
        <w:t xml:space="preserve"> </w:t>
      </w:r>
      <w:r w:rsidR="000F0DB6" w:rsidRPr="000F0DB6">
        <w:rPr>
          <w:sz w:val="26"/>
        </w:rPr>
        <w:t>the</w:t>
      </w:r>
      <w:r w:rsidR="000F0DB6">
        <w:rPr>
          <w:sz w:val="26"/>
        </w:rPr>
        <w:t xml:space="preserve"> Commission determined that NRG failed to meet its burden of proof that the rate in Rider No. 18 was unreasonable or discriminatory or should be replaced and </w:t>
      </w:r>
      <w:r w:rsidR="00A431AF">
        <w:rPr>
          <w:sz w:val="26"/>
        </w:rPr>
        <w:t>d</w:t>
      </w:r>
      <w:r w:rsidR="000F0DB6">
        <w:rPr>
          <w:sz w:val="26"/>
        </w:rPr>
        <w:t xml:space="preserve">enied the relief requested by NRG. </w:t>
      </w:r>
      <w:r w:rsidR="006B6510">
        <w:rPr>
          <w:sz w:val="26"/>
        </w:rPr>
        <w:t xml:space="preserve">Duquesne concludes that, “[a]pparently unhappy with the Commission’s conclusion, the NRG Companies now seek to again modify their request for relief so that they may challenge the PPAs in a separate proceeding and/or different forum.”  Duquesne Answer at 16.  Having been raised for the first time in the Petition, however, Duquesne contends the newly requested remedies have been waived, and if granted now, would raise serious due process implications.  </w:t>
      </w:r>
      <w:r>
        <w:rPr>
          <w:sz w:val="26"/>
        </w:rPr>
        <w:t>Duquesne also claims that t</w:t>
      </w:r>
      <w:r w:rsidR="006B6510">
        <w:rPr>
          <w:sz w:val="26"/>
        </w:rPr>
        <w:t xml:space="preserve">he relief </w:t>
      </w:r>
      <w:r w:rsidR="00220450">
        <w:rPr>
          <w:sz w:val="26"/>
        </w:rPr>
        <w:t xml:space="preserve">now sought by NRG </w:t>
      </w:r>
      <w:r>
        <w:rPr>
          <w:sz w:val="26"/>
        </w:rPr>
        <w:t xml:space="preserve">is </w:t>
      </w:r>
      <w:r w:rsidR="006B6510">
        <w:rPr>
          <w:sz w:val="26"/>
        </w:rPr>
        <w:t>not supported by substantial evidence.</w:t>
      </w:r>
      <w:r w:rsidR="00817AC1">
        <w:rPr>
          <w:sz w:val="26"/>
        </w:rPr>
        <w:t xml:space="preserve">  Duquesne summarizes its response as follows: </w:t>
      </w:r>
    </w:p>
    <w:p w:rsidR="00817AC1" w:rsidRDefault="00817AC1" w:rsidP="00144773">
      <w:pPr>
        <w:widowControl/>
        <w:tabs>
          <w:tab w:val="left" w:pos="1440"/>
        </w:tabs>
        <w:spacing w:line="360" w:lineRule="auto"/>
        <w:rPr>
          <w:sz w:val="26"/>
        </w:rPr>
      </w:pPr>
    </w:p>
    <w:p w:rsidR="00E07E1B" w:rsidRDefault="00817AC1" w:rsidP="00144773">
      <w:pPr>
        <w:widowControl/>
        <w:tabs>
          <w:tab w:val="left" w:pos="1440"/>
        </w:tabs>
        <w:ind w:left="1440" w:right="1440"/>
        <w:rPr>
          <w:sz w:val="26"/>
        </w:rPr>
      </w:pPr>
      <w:r>
        <w:rPr>
          <w:sz w:val="26"/>
        </w:rPr>
        <w:t>[The] purpose of the NRG Companies newly requested relief is to ensure that the NRG Companies may have a second bite at the proverbial apple by seeking relief in a different proceeding or forum.  It must be remembered that it was the NRG Companies that sought to bring these Rider No. 18 issues before the Commission during Duquesne Light’s base rate case.  The fact that the NRG Companies apparently now regret their decision to bring and fully litigate these issue</w:t>
      </w:r>
      <w:r w:rsidR="00A431AF">
        <w:rPr>
          <w:sz w:val="26"/>
        </w:rPr>
        <w:t>s before the Commission simply i</w:t>
      </w:r>
      <w:r>
        <w:rPr>
          <w:sz w:val="26"/>
        </w:rPr>
        <w:t xml:space="preserve">s not sufficient reason to grant reconsideration under the </w:t>
      </w:r>
      <w:r>
        <w:rPr>
          <w:i/>
          <w:sz w:val="26"/>
        </w:rPr>
        <w:t xml:space="preserve">Duick </w:t>
      </w:r>
      <w:r>
        <w:rPr>
          <w:sz w:val="26"/>
        </w:rPr>
        <w:t>standards.  Indeed, other than the apparent dissatisfaction with their own initial remedies, the NRG Companies have failed to articulate any new and novel arguments, not previously heard, or considerations which appear to have been overlooked or not addressed by the Commission in support of their newly requested alternative remedies.</w:t>
      </w:r>
    </w:p>
    <w:p w:rsidR="00817AC1" w:rsidRDefault="00817AC1" w:rsidP="00144773">
      <w:pPr>
        <w:widowControl/>
        <w:tabs>
          <w:tab w:val="left" w:pos="1440"/>
        </w:tabs>
        <w:spacing w:line="360" w:lineRule="auto"/>
        <w:rPr>
          <w:sz w:val="26"/>
        </w:rPr>
      </w:pPr>
    </w:p>
    <w:p w:rsidR="00817AC1" w:rsidRPr="00817AC1" w:rsidRDefault="00817AC1" w:rsidP="00144773">
      <w:pPr>
        <w:widowControl/>
        <w:tabs>
          <w:tab w:val="left" w:pos="1440"/>
        </w:tabs>
        <w:spacing w:line="360" w:lineRule="auto"/>
        <w:rPr>
          <w:sz w:val="26"/>
        </w:rPr>
      </w:pPr>
      <w:r>
        <w:rPr>
          <w:sz w:val="26"/>
        </w:rPr>
        <w:t>Duquesne Answer at 17.</w:t>
      </w:r>
    </w:p>
    <w:p w:rsidR="009A4FED" w:rsidRDefault="009A4FED" w:rsidP="00144773">
      <w:pPr>
        <w:widowControl/>
        <w:tabs>
          <w:tab w:val="left" w:pos="1440"/>
        </w:tabs>
        <w:spacing w:line="360" w:lineRule="auto"/>
        <w:rPr>
          <w:sz w:val="26"/>
        </w:rPr>
      </w:pPr>
    </w:p>
    <w:p w:rsidR="00F56757" w:rsidRDefault="00D64CF0" w:rsidP="00144773">
      <w:pPr>
        <w:widowControl/>
        <w:tabs>
          <w:tab w:val="left" w:pos="1440"/>
        </w:tabs>
        <w:spacing w:line="360" w:lineRule="auto"/>
        <w:rPr>
          <w:sz w:val="26"/>
        </w:rPr>
      </w:pPr>
      <w:r>
        <w:rPr>
          <w:sz w:val="26"/>
        </w:rPr>
        <w:tab/>
      </w:r>
      <w:r w:rsidR="00817AC1">
        <w:rPr>
          <w:sz w:val="26"/>
        </w:rPr>
        <w:t xml:space="preserve">BFMA </w:t>
      </w:r>
      <w:r w:rsidR="004E73F1">
        <w:rPr>
          <w:sz w:val="26"/>
        </w:rPr>
        <w:t xml:space="preserve">opens by contending </w:t>
      </w:r>
      <w:r w:rsidR="00CC427A">
        <w:rPr>
          <w:sz w:val="26"/>
        </w:rPr>
        <w:t xml:space="preserve">that it is an ironic twist that the NRG Companies are seeking an interpretation and specific guidance on the PPAs when they argued repeatedly in this case that they were not seeking an amendment to the PPAs but only a change in Rider No. 18.  BFMA Answer at 3-4.  </w:t>
      </w:r>
      <w:r w:rsidR="00F56757">
        <w:rPr>
          <w:sz w:val="26"/>
        </w:rPr>
        <w:t xml:space="preserve">BFMA </w:t>
      </w:r>
      <w:r w:rsidR="004E73F1">
        <w:rPr>
          <w:sz w:val="26"/>
        </w:rPr>
        <w:t xml:space="preserve">also </w:t>
      </w:r>
      <w:r w:rsidR="00F56757">
        <w:rPr>
          <w:sz w:val="26"/>
        </w:rPr>
        <w:t xml:space="preserve">contends that NRG’s </w:t>
      </w:r>
      <w:r w:rsidR="004E73F1">
        <w:rPr>
          <w:sz w:val="26"/>
        </w:rPr>
        <w:t>P</w:t>
      </w:r>
      <w:r w:rsidR="00F56757">
        <w:rPr>
          <w:sz w:val="26"/>
        </w:rPr>
        <w:t xml:space="preserve">etition fails to meet the legal standards for reconsideration because the issue about which NRG complains is one that was squarely presented by NRG.  </w:t>
      </w:r>
    </w:p>
    <w:p w:rsidR="00F56757" w:rsidRDefault="00F56757" w:rsidP="00144773">
      <w:pPr>
        <w:widowControl/>
        <w:tabs>
          <w:tab w:val="left" w:pos="1440"/>
        </w:tabs>
        <w:spacing w:line="360" w:lineRule="auto"/>
        <w:rPr>
          <w:sz w:val="26"/>
        </w:rPr>
      </w:pPr>
    </w:p>
    <w:p w:rsidR="009A4FED" w:rsidRPr="00775445" w:rsidRDefault="00F56757" w:rsidP="00144773">
      <w:pPr>
        <w:widowControl/>
        <w:tabs>
          <w:tab w:val="left" w:pos="1440"/>
        </w:tabs>
        <w:spacing w:line="360" w:lineRule="auto"/>
        <w:rPr>
          <w:sz w:val="26"/>
        </w:rPr>
      </w:pPr>
      <w:r>
        <w:rPr>
          <w:sz w:val="26"/>
        </w:rPr>
        <w:tab/>
      </w:r>
      <w:r w:rsidR="00CC427A">
        <w:rPr>
          <w:sz w:val="26"/>
        </w:rPr>
        <w:t xml:space="preserve">Addressing both the factual and legal aspects of the </w:t>
      </w:r>
      <w:r w:rsidR="004E73F1">
        <w:rPr>
          <w:sz w:val="26"/>
        </w:rPr>
        <w:t xml:space="preserve">term of the </w:t>
      </w:r>
      <w:r w:rsidR="00CC427A">
        <w:rPr>
          <w:sz w:val="26"/>
        </w:rPr>
        <w:t xml:space="preserve">PPAs, BFMA </w:t>
      </w:r>
      <w:r w:rsidR="00775445">
        <w:rPr>
          <w:sz w:val="26"/>
        </w:rPr>
        <w:t>states</w:t>
      </w:r>
      <w:r w:rsidR="00CC427A">
        <w:rPr>
          <w:sz w:val="26"/>
        </w:rPr>
        <w:t xml:space="preserve"> that </w:t>
      </w:r>
      <w:r>
        <w:rPr>
          <w:sz w:val="26"/>
        </w:rPr>
        <w:t xml:space="preserve">it was </w:t>
      </w:r>
      <w:r w:rsidR="00CC427A">
        <w:rPr>
          <w:sz w:val="26"/>
        </w:rPr>
        <w:t xml:space="preserve">NRG </w:t>
      </w:r>
      <w:r w:rsidR="004E73F1">
        <w:rPr>
          <w:sz w:val="26"/>
        </w:rPr>
        <w:t xml:space="preserve">that </w:t>
      </w:r>
      <w:r w:rsidR="00CC427A">
        <w:rPr>
          <w:sz w:val="26"/>
        </w:rPr>
        <w:t xml:space="preserve">asserted as a factual matter that the PPAs had no specific end date, a fact the ALJ agreed with in coming to an erroneous legal conclusion that the absence of an end date meant that there was no legally enforceable obligation.  </w:t>
      </w:r>
      <w:r w:rsidR="00775445">
        <w:rPr>
          <w:i/>
          <w:sz w:val="26"/>
        </w:rPr>
        <w:t>Id.</w:t>
      </w:r>
      <w:r w:rsidR="00775445">
        <w:rPr>
          <w:sz w:val="26"/>
        </w:rPr>
        <w:t xml:space="preserve"> at 4-5.</w:t>
      </w:r>
      <w:r w:rsidR="00692B68">
        <w:rPr>
          <w:sz w:val="26"/>
        </w:rPr>
        <w:t xml:space="preserve">  Thus, </w:t>
      </w:r>
      <w:r w:rsidR="004E73F1">
        <w:rPr>
          <w:sz w:val="26"/>
        </w:rPr>
        <w:t xml:space="preserve">according to BFMA, the Commission’s review of the PPAs and </w:t>
      </w:r>
      <w:r w:rsidR="00692B68">
        <w:rPr>
          <w:sz w:val="26"/>
        </w:rPr>
        <w:t xml:space="preserve">the </w:t>
      </w:r>
      <w:r w:rsidR="004E73F1">
        <w:rPr>
          <w:sz w:val="26"/>
        </w:rPr>
        <w:t xml:space="preserve">corresponding </w:t>
      </w:r>
      <w:r w:rsidR="00692B68">
        <w:rPr>
          <w:sz w:val="26"/>
        </w:rPr>
        <w:t xml:space="preserve">determination that the PPAs had a specific term, </w:t>
      </w:r>
      <w:r>
        <w:rPr>
          <w:sz w:val="26"/>
        </w:rPr>
        <w:t>although</w:t>
      </w:r>
      <w:r w:rsidR="00692B68">
        <w:rPr>
          <w:sz w:val="26"/>
        </w:rPr>
        <w:t xml:space="preserve"> not one specified in a period of years, was necessary </w:t>
      </w:r>
      <w:r w:rsidR="004E73F1">
        <w:rPr>
          <w:sz w:val="26"/>
        </w:rPr>
        <w:t xml:space="preserve">in order </w:t>
      </w:r>
      <w:r w:rsidR="00692B68">
        <w:rPr>
          <w:sz w:val="26"/>
        </w:rPr>
        <w:t xml:space="preserve">to address </w:t>
      </w:r>
      <w:r w:rsidR="004E73F1">
        <w:rPr>
          <w:sz w:val="26"/>
        </w:rPr>
        <w:t xml:space="preserve">exceptions taken to </w:t>
      </w:r>
      <w:r w:rsidR="00692B68">
        <w:rPr>
          <w:sz w:val="26"/>
        </w:rPr>
        <w:t xml:space="preserve">the </w:t>
      </w:r>
      <w:r w:rsidR="00692B68">
        <w:rPr>
          <w:sz w:val="26"/>
        </w:rPr>
        <w:lastRenderedPageBreak/>
        <w:t xml:space="preserve">ALJ’s </w:t>
      </w:r>
      <w:r>
        <w:rPr>
          <w:sz w:val="26"/>
        </w:rPr>
        <w:t xml:space="preserve">contrary </w:t>
      </w:r>
      <w:r w:rsidR="00692B68">
        <w:rPr>
          <w:sz w:val="26"/>
        </w:rPr>
        <w:t xml:space="preserve">conclusion.  Had the ALJ’s recommendation been a final adjudication, suggests BFMA, NRG clearly would have been satisfied.  With the Commission’s reversal of the ALJ on this point, however, BFMA contends that NRG cannot credibly argue that the issue and legal import of the term of the PPAs was not properly before the Commission.  As BFMA states, this is particularly true because NRG used the “alleged absence of a specific end date . . . as an equitable consideration (i.e., ‘fairness’) the Commission should adopt in” addressing NRG’s claim that the Commission had authority to modify or eliminate Rider No. 18 because it was memorialized in a state tariff.  </w:t>
      </w:r>
      <w:r w:rsidR="00692B68">
        <w:rPr>
          <w:i/>
          <w:sz w:val="26"/>
        </w:rPr>
        <w:t>Id.</w:t>
      </w:r>
      <w:r w:rsidR="00692B68">
        <w:rPr>
          <w:sz w:val="26"/>
        </w:rPr>
        <w:t xml:space="preserve"> at 6-7.   </w:t>
      </w:r>
    </w:p>
    <w:p w:rsidR="002344F0" w:rsidRDefault="009A4FED" w:rsidP="00144773">
      <w:pPr>
        <w:widowControl/>
        <w:tabs>
          <w:tab w:val="left" w:pos="1440"/>
        </w:tabs>
        <w:spacing w:line="360" w:lineRule="auto"/>
        <w:rPr>
          <w:sz w:val="26"/>
        </w:rPr>
      </w:pPr>
      <w:r>
        <w:rPr>
          <w:sz w:val="26"/>
        </w:rPr>
        <w:tab/>
      </w:r>
    </w:p>
    <w:p w:rsidR="004E73F1" w:rsidRDefault="00F56757" w:rsidP="00144773">
      <w:pPr>
        <w:widowControl/>
        <w:tabs>
          <w:tab w:val="left" w:pos="1440"/>
        </w:tabs>
        <w:spacing w:line="360" w:lineRule="auto"/>
        <w:rPr>
          <w:sz w:val="26"/>
        </w:rPr>
      </w:pPr>
      <w:r>
        <w:rPr>
          <w:sz w:val="26"/>
        </w:rPr>
        <w:tab/>
      </w:r>
      <w:r w:rsidRPr="00144773">
        <w:rPr>
          <w:sz w:val="26"/>
        </w:rPr>
        <w:t xml:space="preserve">Next BFMA contends that the </w:t>
      </w:r>
      <w:r w:rsidRPr="00144773">
        <w:rPr>
          <w:i/>
          <w:sz w:val="26"/>
        </w:rPr>
        <w:t>November 2014 Order</w:t>
      </w:r>
      <w:r w:rsidRPr="00144773">
        <w:rPr>
          <w:sz w:val="26"/>
        </w:rPr>
        <w:t xml:space="preserve"> was not premised on any particular finding with respect to the duration of the PPAs, that the reversal of the ALJ’s determination was neither an error of law nor a conclusion outside the Commission’s authority and jurisdiction to make, and that the Commission should be reluctant to accept NRG’s efforts to modify the Order in any way that better positions NRG in “some speculative and uncertain challenge in another forum</w:t>
      </w:r>
      <w:r>
        <w:rPr>
          <w:sz w:val="26"/>
        </w:rPr>
        <w:t xml:space="preserve">.”  </w:t>
      </w:r>
      <w:r w:rsidR="006F4383">
        <w:rPr>
          <w:sz w:val="26"/>
        </w:rPr>
        <w:t xml:space="preserve">BFMA Answer </w:t>
      </w:r>
      <w:r>
        <w:rPr>
          <w:sz w:val="26"/>
        </w:rPr>
        <w:t>at</w:t>
      </w:r>
      <w:r w:rsidR="003052D6">
        <w:rPr>
          <w:sz w:val="26"/>
        </w:rPr>
        <w:t> </w:t>
      </w:r>
      <w:r>
        <w:rPr>
          <w:sz w:val="26"/>
        </w:rPr>
        <w:t xml:space="preserve">7.  As BFMA notes, the Commission addressed the term of the PPAs within the context of </w:t>
      </w:r>
      <w:r w:rsidR="000A6E4A">
        <w:rPr>
          <w:sz w:val="26"/>
        </w:rPr>
        <w:t xml:space="preserve">review of </w:t>
      </w:r>
      <w:r>
        <w:rPr>
          <w:sz w:val="26"/>
        </w:rPr>
        <w:t xml:space="preserve">the ALJ’s conclusion that absent a specific “end date,” </w:t>
      </w:r>
      <w:r w:rsidR="000A6E4A">
        <w:rPr>
          <w:sz w:val="26"/>
        </w:rPr>
        <w:t xml:space="preserve">substantial </w:t>
      </w:r>
      <w:r>
        <w:rPr>
          <w:sz w:val="26"/>
        </w:rPr>
        <w:t xml:space="preserve">case law addressing preemption of a state’s jurisdiction to revise a PURPA rate, a threshold issue in the proceeding, was inapplicable.  </w:t>
      </w:r>
    </w:p>
    <w:p w:rsidR="004E73F1" w:rsidRDefault="004E73F1" w:rsidP="00144773">
      <w:pPr>
        <w:widowControl/>
        <w:tabs>
          <w:tab w:val="left" w:pos="1440"/>
        </w:tabs>
        <w:spacing w:line="360" w:lineRule="auto"/>
        <w:rPr>
          <w:sz w:val="26"/>
        </w:rPr>
      </w:pPr>
    </w:p>
    <w:p w:rsidR="004E73F1" w:rsidRDefault="004E73F1" w:rsidP="00144773">
      <w:pPr>
        <w:widowControl/>
        <w:tabs>
          <w:tab w:val="left" w:pos="1440"/>
        </w:tabs>
        <w:spacing w:line="360" w:lineRule="auto"/>
        <w:rPr>
          <w:sz w:val="26"/>
        </w:rPr>
      </w:pPr>
      <w:r>
        <w:rPr>
          <w:sz w:val="26"/>
        </w:rPr>
        <w:tab/>
      </w:r>
      <w:r w:rsidR="000A6E4A">
        <w:rPr>
          <w:sz w:val="26"/>
        </w:rPr>
        <w:t xml:space="preserve">BFMA quotes from the </w:t>
      </w:r>
      <w:r w:rsidR="000A6E4A">
        <w:rPr>
          <w:i/>
          <w:sz w:val="26"/>
        </w:rPr>
        <w:t>November 2014 Order</w:t>
      </w:r>
      <w:r w:rsidR="000A6E4A">
        <w:rPr>
          <w:sz w:val="26"/>
        </w:rPr>
        <w:t xml:space="preserve"> that “nothing in PURPA requires a contract or, more specifically, a contract with a term defined by a set of years, in order to effectuate PURPA’s preemption of state utility-type regulations under Section 210(e).”  </w:t>
      </w:r>
      <w:r w:rsidR="006F4383">
        <w:rPr>
          <w:sz w:val="26"/>
        </w:rPr>
        <w:t>BFMA Answer a</w:t>
      </w:r>
      <w:r w:rsidR="000A6E4A">
        <w:rPr>
          <w:sz w:val="26"/>
        </w:rPr>
        <w:t xml:space="preserve">t 8.  BFMA concludes </w:t>
      </w:r>
      <w:r w:rsidR="000A6E4A" w:rsidRPr="00144773">
        <w:rPr>
          <w:sz w:val="26"/>
        </w:rPr>
        <w:t xml:space="preserve">that while NRG may regret having raised the issue, the NRG Companies did not challenge the ALJ’s analysis of the impact of the perceived lack of an end date, and should not be allowed the “opportunistic approach to litigating this case – i.e., remaining silent on a PURPA contract issue when it </w:t>
      </w:r>
      <w:r w:rsidR="000A6E4A" w:rsidRPr="00144773">
        <w:rPr>
          <w:sz w:val="26"/>
        </w:rPr>
        <w:lastRenderedPageBreak/>
        <w:t>is decided in their favor, but claiming foul when the properly decided issue turns against</w:t>
      </w:r>
      <w:r w:rsidR="000A6E4A">
        <w:rPr>
          <w:sz w:val="26"/>
        </w:rPr>
        <w:t xml:space="preserve"> them.”  </w:t>
      </w:r>
      <w:r w:rsidR="000A6E4A">
        <w:rPr>
          <w:i/>
          <w:sz w:val="26"/>
        </w:rPr>
        <w:t xml:space="preserve">Id. </w:t>
      </w:r>
      <w:r w:rsidR="000A6E4A">
        <w:rPr>
          <w:sz w:val="26"/>
        </w:rPr>
        <w:t xml:space="preserve">at 9.  </w:t>
      </w:r>
    </w:p>
    <w:p w:rsidR="004E73F1" w:rsidRDefault="004E73F1" w:rsidP="00144773">
      <w:pPr>
        <w:widowControl/>
        <w:tabs>
          <w:tab w:val="left" w:pos="1440"/>
        </w:tabs>
        <w:spacing w:line="360" w:lineRule="auto"/>
        <w:rPr>
          <w:sz w:val="26"/>
        </w:rPr>
      </w:pPr>
    </w:p>
    <w:p w:rsidR="009E42CF" w:rsidRDefault="004E73F1" w:rsidP="00144773">
      <w:pPr>
        <w:widowControl/>
        <w:tabs>
          <w:tab w:val="left" w:pos="1440"/>
        </w:tabs>
        <w:spacing w:line="360" w:lineRule="auto"/>
        <w:rPr>
          <w:sz w:val="26"/>
        </w:rPr>
      </w:pPr>
      <w:r>
        <w:rPr>
          <w:sz w:val="26"/>
        </w:rPr>
        <w:tab/>
      </w:r>
      <w:r w:rsidR="00AD7FD4" w:rsidRPr="00144773">
        <w:rPr>
          <w:sz w:val="26"/>
        </w:rPr>
        <w:t xml:space="preserve">BFMA disputes </w:t>
      </w:r>
      <w:r w:rsidR="000A6E4A" w:rsidRPr="00144773">
        <w:rPr>
          <w:sz w:val="26"/>
        </w:rPr>
        <w:t xml:space="preserve">NRG’s </w:t>
      </w:r>
      <w:r w:rsidR="00C74DB1">
        <w:rPr>
          <w:sz w:val="26"/>
        </w:rPr>
        <w:t>suggestion</w:t>
      </w:r>
      <w:r w:rsidR="00AD7FD4" w:rsidRPr="00144773">
        <w:rPr>
          <w:sz w:val="26"/>
        </w:rPr>
        <w:t xml:space="preserve"> </w:t>
      </w:r>
      <w:r w:rsidR="000A6E4A" w:rsidRPr="00144773">
        <w:rPr>
          <w:sz w:val="26"/>
        </w:rPr>
        <w:t>on reconsideration</w:t>
      </w:r>
      <w:r w:rsidR="00AD7FD4" w:rsidRPr="00144773">
        <w:rPr>
          <w:sz w:val="26"/>
        </w:rPr>
        <w:t xml:space="preserve"> that a cornerstone of </w:t>
      </w:r>
      <w:r w:rsidR="00AC4892">
        <w:rPr>
          <w:sz w:val="26"/>
        </w:rPr>
        <w:t>NRG’s</w:t>
      </w:r>
      <w:r w:rsidR="00AD7FD4" w:rsidRPr="00144773">
        <w:rPr>
          <w:sz w:val="26"/>
        </w:rPr>
        <w:t xml:space="preserve"> case was litigat</w:t>
      </w:r>
      <w:r w:rsidR="00AC4892">
        <w:rPr>
          <w:sz w:val="26"/>
        </w:rPr>
        <w:t>ion of</w:t>
      </w:r>
      <w:r w:rsidR="00AD7FD4" w:rsidRPr="00144773">
        <w:rPr>
          <w:sz w:val="26"/>
        </w:rPr>
        <w:t xml:space="preserve"> </w:t>
      </w:r>
      <w:r w:rsidR="000A6E4A" w:rsidRPr="00144773">
        <w:rPr>
          <w:sz w:val="26"/>
        </w:rPr>
        <w:t>a dispute</w:t>
      </w:r>
      <w:r w:rsidR="000A6E4A">
        <w:rPr>
          <w:sz w:val="26"/>
        </w:rPr>
        <w:t xml:space="preserve"> regarding the term of the PPAs</w:t>
      </w:r>
      <w:r w:rsidR="00AD7FD4">
        <w:rPr>
          <w:sz w:val="26"/>
        </w:rPr>
        <w:t xml:space="preserve">, a dispute NRG </w:t>
      </w:r>
      <w:r w:rsidR="000A6E4A">
        <w:rPr>
          <w:sz w:val="26"/>
        </w:rPr>
        <w:t xml:space="preserve">now </w:t>
      </w:r>
      <w:r w:rsidR="00AD7FD4">
        <w:rPr>
          <w:sz w:val="26"/>
        </w:rPr>
        <w:t>contends th</w:t>
      </w:r>
      <w:r w:rsidR="000A6E4A">
        <w:rPr>
          <w:sz w:val="26"/>
        </w:rPr>
        <w:t>e Commission lacks authority to resolve</w:t>
      </w:r>
      <w:r w:rsidR="00AD7FD4">
        <w:rPr>
          <w:sz w:val="26"/>
        </w:rPr>
        <w:t>.  Rather, contends BFM</w:t>
      </w:r>
      <w:r w:rsidR="009342B4">
        <w:rPr>
          <w:sz w:val="26"/>
        </w:rPr>
        <w:t>A</w:t>
      </w:r>
      <w:r w:rsidR="00AD7FD4">
        <w:rPr>
          <w:sz w:val="26"/>
        </w:rPr>
        <w:t>, NRG’s challenge was to the continued viability of Rider No. 18 under state law, with the issue of</w:t>
      </w:r>
      <w:r w:rsidR="00C74DB1">
        <w:rPr>
          <w:sz w:val="26"/>
        </w:rPr>
        <w:t xml:space="preserve"> the lack of an end date p</w:t>
      </w:r>
      <w:r w:rsidR="00AD7FD4">
        <w:rPr>
          <w:sz w:val="26"/>
        </w:rPr>
        <w:t>osed as a matter of “fairness” to be considered by the Commission, not a dispute</w:t>
      </w:r>
      <w:r w:rsidR="00C74DB1">
        <w:rPr>
          <w:sz w:val="26"/>
        </w:rPr>
        <w:t>d</w:t>
      </w:r>
      <w:r w:rsidR="00AD7FD4">
        <w:rPr>
          <w:sz w:val="26"/>
        </w:rPr>
        <w:t xml:space="preserve"> contract term to </w:t>
      </w:r>
      <w:r w:rsidR="00C74DB1">
        <w:rPr>
          <w:sz w:val="26"/>
        </w:rPr>
        <w:t xml:space="preserve">be </w:t>
      </w:r>
      <w:r w:rsidR="00AD7FD4">
        <w:rPr>
          <w:sz w:val="26"/>
        </w:rPr>
        <w:t>resolve</w:t>
      </w:r>
      <w:r w:rsidR="00C74DB1">
        <w:rPr>
          <w:sz w:val="26"/>
        </w:rPr>
        <w:t>d</w:t>
      </w:r>
      <w:r w:rsidR="00AD7FD4">
        <w:rPr>
          <w:sz w:val="26"/>
        </w:rPr>
        <w:t xml:space="preserve">.  </w:t>
      </w:r>
      <w:r w:rsidR="009342B4">
        <w:rPr>
          <w:sz w:val="26"/>
        </w:rPr>
        <w:t xml:space="preserve">BFMA also disputes NRG’s unsupported assertion that the evidence in the proceeding </w:t>
      </w:r>
      <w:r w:rsidR="009E42CF">
        <w:rPr>
          <w:sz w:val="26"/>
        </w:rPr>
        <w:t xml:space="preserve">only </w:t>
      </w:r>
      <w:r w:rsidR="009342B4">
        <w:rPr>
          <w:sz w:val="26"/>
        </w:rPr>
        <w:t xml:space="preserve">supports NRG’s conclusions that the PPAs have unspecified terms </w:t>
      </w:r>
      <w:r w:rsidR="00AC4892">
        <w:rPr>
          <w:sz w:val="26"/>
        </w:rPr>
        <w:t>or</w:t>
      </w:r>
      <w:r w:rsidR="009342B4">
        <w:rPr>
          <w:sz w:val="26"/>
        </w:rPr>
        <w:t xml:space="preserve"> that the terms were to be defined through the Commission’s traditional state authority over tariffs.  NRG’s assertions are incorrect</w:t>
      </w:r>
      <w:r w:rsidR="009E42CF">
        <w:rPr>
          <w:sz w:val="26"/>
        </w:rPr>
        <w:t>, argues BFMA,</w:t>
      </w:r>
      <w:r w:rsidR="009342B4">
        <w:rPr>
          <w:sz w:val="26"/>
        </w:rPr>
        <w:t xml:space="preserve"> because the litigation focused primarily on the tariff, not the PPAs</w:t>
      </w:r>
      <w:r w:rsidR="00C74DB1">
        <w:rPr>
          <w:sz w:val="26"/>
        </w:rPr>
        <w:t xml:space="preserve">.  BFMA also cites to a recent FERC ruling BFMA accuses </w:t>
      </w:r>
      <w:r w:rsidR="009342B4">
        <w:rPr>
          <w:sz w:val="26"/>
        </w:rPr>
        <w:t xml:space="preserve">NRG </w:t>
      </w:r>
      <w:r w:rsidR="00C74DB1">
        <w:rPr>
          <w:sz w:val="26"/>
        </w:rPr>
        <w:t xml:space="preserve">of </w:t>
      </w:r>
      <w:r w:rsidR="009342B4">
        <w:rPr>
          <w:sz w:val="26"/>
        </w:rPr>
        <w:t>ignor</w:t>
      </w:r>
      <w:r w:rsidR="00C74DB1">
        <w:rPr>
          <w:sz w:val="26"/>
        </w:rPr>
        <w:t xml:space="preserve">ing, </w:t>
      </w:r>
      <w:r w:rsidR="009E42CF">
        <w:rPr>
          <w:sz w:val="26"/>
        </w:rPr>
        <w:t>which confirmed BFMA’s request for a waiver of FERC QF regulations over NRG’s opposition</w:t>
      </w:r>
      <w:r w:rsidR="00C74DB1">
        <w:rPr>
          <w:sz w:val="26"/>
        </w:rPr>
        <w:t xml:space="preserve">.  As BFMA notes, FERC rendered this ruling </w:t>
      </w:r>
      <w:r w:rsidR="009E42CF">
        <w:rPr>
          <w:sz w:val="26"/>
        </w:rPr>
        <w:t xml:space="preserve">with full knowledge </w:t>
      </w:r>
      <w:r w:rsidR="00C74DB1">
        <w:rPr>
          <w:sz w:val="26"/>
        </w:rPr>
        <w:t>that the</w:t>
      </w:r>
      <w:r w:rsidR="009E42CF">
        <w:rPr>
          <w:sz w:val="26"/>
        </w:rPr>
        <w:t xml:space="preserve"> contract term in the PPAs </w:t>
      </w:r>
      <w:r w:rsidR="00C74DB1">
        <w:rPr>
          <w:sz w:val="26"/>
        </w:rPr>
        <w:t>was</w:t>
      </w:r>
      <w:r w:rsidR="009E42CF">
        <w:rPr>
          <w:sz w:val="26"/>
        </w:rPr>
        <w:t xml:space="preserve"> characterized by something other than a specific end date stated in a term of years.  </w:t>
      </w:r>
      <w:r w:rsidR="009E42CF">
        <w:rPr>
          <w:i/>
          <w:sz w:val="26"/>
        </w:rPr>
        <w:t>Id.</w:t>
      </w:r>
      <w:r w:rsidR="009E42CF">
        <w:rPr>
          <w:sz w:val="26"/>
        </w:rPr>
        <w:t xml:space="preserve"> at 10-11.  </w:t>
      </w:r>
    </w:p>
    <w:p w:rsidR="009E42CF" w:rsidRDefault="009E42CF" w:rsidP="00144773">
      <w:pPr>
        <w:widowControl/>
        <w:tabs>
          <w:tab w:val="left" w:pos="1440"/>
        </w:tabs>
        <w:spacing w:line="360" w:lineRule="auto"/>
        <w:rPr>
          <w:sz w:val="26"/>
        </w:rPr>
      </w:pPr>
    </w:p>
    <w:p w:rsidR="000A6E4A" w:rsidRDefault="009E42CF" w:rsidP="00144773">
      <w:pPr>
        <w:widowControl/>
        <w:tabs>
          <w:tab w:val="left" w:pos="1440"/>
        </w:tabs>
        <w:spacing w:line="360" w:lineRule="auto"/>
        <w:rPr>
          <w:sz w:val="26"/>
        </w:rPr>
      </w:pPr>
      <w:r>
        <w:rPr>
          <w:sz w:val="26"/>
        </w:rPr>
        <w:tab/>
        <w:t xml:space="preserve">Finally, BFMA argues that there is no legal or other basis for the Commission to entertain </w:t>
      </w:r>
      <w:r w:rsidR="00CE4E0E">
        <w:rPr>
          <w:sz w:val="26"/>
        </w:rPr>
        <w:t xml:space="preserve">NRG’s </w:t>
      </w:r>
      <w:r>
        <w:rPr>
          <w:sz w:val="26"/>
        </w:rPr>
        <w:t>new</w:t>
      </w:r>
      <w:r w:rsidR="00CE4E0E">
        <w:rPr>
          <w:sz w:val="26"/>
        </w:rPr>
        <w:t xml:space="preserve">ly-requested </w:t>
      </w:r>
      <w:r>
        <w:rPr>
          <w:sz w:val="26"/>
        </w:rPr>
        <w:t>relief to defer consideration of Rider No. 18</w:t>
      </w:r>
      <w:r w:rsidR="00AF2F9D">
        <w:rPr>
          <w:sz w:val="26"/>
        </w:rPr>
        <w:t xml:space="preserve">, </w:t>
      </w:r>
      <w:r>
        <w:rPr>
          <w:sz w:val="26"/>
        </w:rPr>
        <w:t>to issue an advisory opinion</w:t>
      </w:r>
      <w:r w:rsidR="00AF2F9D">
        <w:rPr>
          <w:sz w:val="26"/>
        </w:rPr>
        <w:t xml:space="preserve"> about the possible impact or interpretation of the Order under factual situations that may never exist, or to address alternative energy credits.  According to BFMA, t</w:t>
      </w:r>
      <w:r w:rsidR="00F1685E">
        <w:rPr>
          <w:sz w:val="26"/>
        </w:rPr>
        <w:t>he record is complete</w:t>
      </w:r>
      <w:r w:rsidR="00AF2F9D">
        <w:rPr>
          <w:sz w:val="26"/>
        </w:rPr>
        <w:t xml:space="preserve">, </w:t>
      </w:r>
      <w:r w:rsidR="00F1685E">
        <w:rPr>
          <w:sz w:val="26"/>
        </w:rPr>
        <w:t>there is no precedent to delay a final ruling on NRG’</w:t>
      </w:r>
      <w:r w:rsidR="00220450">
        <w:rPr>
          <w:sz w:val="26"/>
        </w:rPr>
        <w:t>s</w:t>
      </w:r>
      <w:r w:rsidR="00F1685E">
        <w:rPr>
          <w:sz w:val="26"/>
        </w:rPr>
        <w:t xml:space="preserve"> originally requested relief</w:t>
      </w:r>
      <w:r w:rsidR="00AF2F9D">
        <w:rPr>
          <w:sz w:val="26"/>
        </w:rPr>
        <w:t xml:space="preserve">, and </w:t>
      </w:r>
      <w:r w:rsidR="00F1685E">
        <w:rPr>
          <w:sz w:val="26"/>
        </w:rPr>
        <w:t xml:space="preserve">NRG’s speculation that it may present another challenge to the PPAs either before the Commission or another forum is no reason not to conclude this proceeding.  Further, </w:t>
      </w:r>
      <w:r w:rsidR="00220450">
        <w:rPr>
          <w:sz w:val="26"/>
        </w:rPr>
        <w:t xml:space="preserve">contends BFMA, </w:t>
      </w:r>
      <w:r w:rsidR="00F1685E">
        <w:rPr>
          <w:sz w:val="26"/>
        </w:rPr>
        <w:t xml:space="preserve">NRG’s request for clarification regarding the import of the </w:t>
      </w:r>
      <w:r w:rsidR="00F1685E">
        <w:rPr>
          <w:i/>
          <w:sz w:val="26"/>
        </w:rPr>
        <w:t xml:space="preserve">November 2014 Order </w:t>
      </w:r>
      <w:r w:rsidR="00F1685E">
        <w:rPr>
          <w:sz w:val="26"/>
        </w:rPr>
        <w:t xml:space="preserve">is no more than a request </w:t>
      </w:r>
      <w:r w:rsidR="00F1685E">
        <w:rPr>
          <w:sz w:val="26"/>
        </w:rPr>
        <w:lastRenderedPageBreak/>
        <w:t xml:space="preserve">for an advisory opinion, which the Commission consistently refuses </w:t>
      </w:r>
      <w:r w:rsidR="00AF2F9D">
        <w:rPr>
          <w:sz w:val="26"/>
        </w:rPr>
        <w:t>to provide</w:t>
      </w:r>
      <w:r w:rsidR="00CE4E0E">
        <w:rPr>
          <w:sz w:val="26"/>
        </w:rPr>
        <w:t xml:space="preserve"> and</w:t>
      </w:r>
      <w:r w:rsidR="00AF2F9D">
        <w:rPr>
          <w:sz w:val="26"/>
        </w:rPr>
        <w:t xml:space="preserve"> </w:t>
      </w:r>
      <w:r w:rsidR="00F1685E">
        <w:rPr>
          <w:sz w:val="26"/>
        </w:rPr>
        <w:t>particularly with respect to hypothetical events.  BFMA Answer at 11-1</w:t>
      </w:r>
      <w:r w:rsidR="00AF2F9D">
        <w:rPr>
          <w:sz w:val="26"/>
        </w:rPr>
        <w:t>3</w:t>
      </w:r>
      <w:r w:rsidR="00F1685E">
        <w:rPr>
          <w:sz w:val="26"/>
        </w:rPr>
        <w:t xml:space="preserve">.  </w:t>
      </w:r>
      <w:r w:rsidR="009342B4">
        <w:rPr>
          <w:sz w:val="26"/>
        </w:rPr>
        <w:t xml:space="preserve"> </w:t>
      </w:r>
    </w:p>
    <w:p w:rsidR="009342B4" w:rsidRDefault="009342B4" w:rsidP="00144773">
      <w:pPr>
        <w:widowControl/>
        <w:tabs>
          <w:tab w:val="left" w:pos="1440"/>
        </w:tabs>
        <w:spacing w:line="360" w:lineRule="auto"/>
        <w:rPr>
          <w:sz w:val="26"/>
        </w:rPr>
      </w:pPr>
    </w:p>
    <w:p w:rsidR="007F517F" w:rsidRPr="00625B2B" w:rsidRDefault="007F517F" w:rsidP="00AC4892">
      <w:pPr>
        <w:keepNext/>
        <w:widowControl/>
        <w:tabs>
          <w:tab w:val="left" w:pos="720"/>
          <w:tab w:val="left" w:pos="1440"/>
        </w:tabs>
        <w:spacing w:line="360" w:lineRule="auto"/>
        <w:rPr>
          <w:b/>
          <w:color w:val="000000"/>
          <w:sz w:val="26"/>
          <w:szCs w:val="24"/>
        </w:rPr>
      </w:pPr>
      <w:r w:rsidRPr="00625B2B">
        <w:rPr>
          <w:b/>
          <w:color w:val="000000"/>
          <w:sz w:val="26"/>
          <w:szCs w:val="24"/>
        </w:rPr>
        <w:t>Disposition</w:t>
      </w:r>
    </w:p>
    <w:p w:rsidR="007F517F" w:rsidRPr="00625B2B" w:rsidRDefault="007F517F" w:rsidP="00CE4E0E">
      <w:pPr>
        <w:keepNext/>
        <w:widowControl/>
        <w:spacing w:line="360" w:lineRule="auto"/>
        <w:rPr>
          <w:color w:val="000000"/>
          <w:sz w:val="26"/>
          <w:szCs w:val="24"/>
        </w:rPr>
      </w:pPr>
    </w:p>
    <w:p w:rsidR="007F517F" w:rsidRDefault="007F517F" w:rsidP="00144773">
      <w:pPr>
        <w:widowControl/>
        <w:suppressAutoHyphens/>
        <w:spacing w:line="360" w:lineRule="auto"/>
        <w:ind w:firstLine="1440"/>
        <w:rPr>
          <w:color w:val="000000"/>
          <w:spacing w:val="-3"/>
          <w:sz w:val="26"/>
          <w:szCs w:val="26"/>
          <w:u w:color="000000"/>
        </w:rPr>
      </w:pPr>
      <w:r w:rsidRPr="00625B2B">
        <w:rPr>
          <w:sz w:val="26"/>
          <w:szCs w:val="26"/>
        </w:rPr>
        <w:t xml:space="preserve">As stated above, </w:t>
      </w:r>
      <w:r w:rsidR="00CE4E0E">
        <w:rPr>
          <w:sz w:val="26"/>
          <w:szCs w:val="26"/>
        </w:rPr>
        <w:t>p</w:t>
      </w:r>
      <w:r w:rsidRPr="00625B2B">
        <w:rPr>
          <w:sz w:val="26"/>
          <w:szCs w:val="26"/>
        </w:rPr>
        <w:t xml:space="preserve">etitions </w:t>
      </w:r>
      <w:r w:rsidR="00CE4E0E">
        <w:rPr>
          <w:sz w:val="26"/>
          <w:szCs w:val="26"/>
        </w:rPr>
        <w:t>requesting r</w:t>
      </w:r>
      <w:r w:rsidRPr="00625B2B">
        <w:rPr>
          <w:sz w:val="26"/>
          <w:szCs w:val="26"/>
        </w:rPr>
        <w:t xml:space="preserve">econsideration are governed by </w:t>
      </w:r>
      <w:r w:rsidRPr="00625B2B">
        <w:rPr>
          <w:i/>
          <w:sz w:val="26"/>
          <w:szCs w:val="26"/>
        </w:rPr>
        <w:t>Duick</w:t>
      </w:r>
      <w:r w:rsidRPr="00625B2B">
        <w:rPr>
          <w:sz w:val="26"/>
          <w:szCs w:val="26"/>
        </w:rPr>
        <w:t xml:space="preserve">, which essentially requires a two-step analysis.  First, we determine whether a party has offered new and novel arguments or identified considerations that appear to have been overlooked or not addressed by the Commission.  We will not reconsider </w:t>
      </w:r>
      <w:r w:rsidR="00954AB5">
        <w:rPr>
          <w:sz w:val="26"/>
          <w:szCs w:val="26"/>
        </w:rPr>
        <w:t>a final order</w:t>
      </w:r>
      <w:r w:rsidRPr="00625B2B">
        <w:rPr>
          <w:sz w:val="26"/>
          <w:szCs w:val="26"/>
        </w:rPr>
        <w:t xml:space="preserve"> based on arguments that have already been considered.  The second step of the </w:t>
      </w:r>
      <w:r w:rsidRPr="00625B2B">
        <w:rPr>
          <w:i/>
          <w:sz w:val="26"/>
          <w:szCs w:val="26"/>
        </w:rPr>
        <w:t>Duick</w:t>
      </w:r>
      <w:r w:rsidRPr="00625B2B">
        <w:rPr>
          <w:sz w:val="26"/>
          <w:szCs w:val="26"/>
        </w:rPr>
        <w:t xml:space="preserve"> analysis is to evaluate the new or novel argument or overlooked consideration in order to determine whether to modify our previous decision.</w:t>
      </w:r>
      <w:r>
        <w:rPr>
          <w:sz w:val="26"/>
          <w:szCs w:val="26"/>
        </w:rPr>
        <w:t xml:space="preserve">  </w:t>
      </w:r>
      <w:r w:rsidRPr="00F50D14">
        <w:rPr>
          <w:sz w:val="26"/>
          <w:szCs w:val="26"/>
        </w:rPr>
        <w:t>However, we will not necessarily modify our prior decision just because a party offers a new and novel argument or identifies a consideration that was overlooked or not addressed by the Commission.</w:t>
      </w:r>
      <w:r>
        <w:rPr>
          <w:sz w:val="26"/>
          <w:szCs w:val="26"/>
        </w:rPr>
        <w:t xml:space="preserve">  Based upon our evaluation of the record and the </w:t>
      </w:r>
      <w:r w:rsidR="00304BCB">
        <w:rPr>
          <w:sz w:val="26"/>
          <w:szCs w:val="26"/>
        </w:rPr>
        <w:t>parties</w:t>
      </w:r>
      <w:r>
        <w:rPr>
          <w:sz w:val="26"/>
          <w:szCs w:val="26"/>
        </w:rPr>
        <w:t xml:space="preserve">’ positions in each particular case, we will determine if a sufficient basis </w:t>
      </w:r>
      <w:r w:rsidR="00954AB5">
        <w:rPr>
          <w:sz w:val="26"/>
          <w:szCs w:val="26"/>
        </w:rPr>
        <w:t xml:space="preserve">exists to </w:t>
      </w:r>
      <w:r w:rsidR="009F58AD">
        <w:rPr>
          <w:sz w:val="26"/>
          <w:szCs w:val="26"/>
        </w:rPr>
        <w:t xml:space="preserve">warrant our </w:t>
      </w:r>
      <w:r w:rsidRPr="00625B2B">
        <w:rPr>
          <w:color w:val="000000"/>
          <w:spacing w:val="-3"/>
          <w:sz w:val="26"/>
          <w:szCs w:val="26"/>
          <w:u w:color="000000"/>
        </w:rPr>
        <w:t xml:space="preserve">exercise </w:t>
      </w:r>
      <w:r w:rsidR="009F58AD">
        <w:rPr>
          <w:color w:val="000000"/>
          <w:spacing w:val="-3"/>
          <w:sz w:val="26"/>
          <w:szCs w:val="26"/>
          <w:u w:color="000000"/>
        </w:rPr>
        <w:t xml:space="preserve">of </w:t>
      </w:r>
      <w:r w:rsidRPr="00625B2B">
        <w:rPr>
          <w:color w:val="000000"/>
          <w:spacing w:val="-3"/>
          <w:sz w:val="26"/>
          <w:szCs w:val="26"/>
          <w:u w:color="000000"/>
        </w:rPr>
        <w:t xml:space="preserve">discretion to amend or rescind </w:t>
      </w:r>
      <w:r w:rsidR="00CE4E0E">
        <w:rPr>
          <w:color w:val="000000"/>
          <w:spacing w:val="-3"/>
          <w:sz w:val="26"/>
          <w:szCs w:val="26"/>
          <w:u w:color="000000"/>
        </w:rPr>
        <w:t>a prior o</w:t>
      </w:r>
      <w:r w:rsidRPr="00625B2B">
        <w:rPr>
          <w:color w:val="000000"/>
          <w:spacing w:val="-3"/>
          <w:sz w:val="26"/>
          <w:szCs w:val="26"/>
          <w:u w:color="000000"/>
        </w:rPr>
        <w:t xml:space="preserve">rder in whole or in part.  </w:t>
      </w:r>
    </w:p>
    <w:p w:rsidR="007F517F" w:rsidRDefault="007F517F" w:rsidP="00144773">
      <w:pPr>
        <w:widowControl/>
        <w:suppressAutoHyphens/>
        <w:spacing w:line="360" w:lineRule="auto"/>
        <w:ind w:firstLine="1440"/>
        <w:rPr>
          <w:color w:val="000000"/>
          <w:spacing w:val="-3"/>
          <w:sz w:val="26"/>
          <w:szCs w:val="26"/>
          <w:u w:color="000000"/>
        </w:rPr>
      </w:pPr>
    </w:p>
    <w:p w:rsidR="006B3D8A" w:rsidRDefault="006B3D8A" w:rsidP="00144773">
      <w:pPr>
        <w:widowControl/>
        <w:suppressAutoHyphens/>
        <w:spacing w:line="360" w:lineRule="auto"/>
        <w:ind w:firstLine="1440"/>
        <w:rPr>
          <w:sz w:val="26"/>
          <w:szCs w:val="26"/>
        </w:rPr>
      </w:pPr>
      <w:r>
        <w:rPr>
          <w:sz w:val="26"/>
          <w:szCs w:val="26"/>
        </w:rPr>
        <w:t>NRG argue</w:t>
      </w:r>
      <w:r w:rsidR="00A33905">
        <w:rPr>
          <w:sz w:val="26"/>
          <w:szCs w:val="26"/>
        </w:rPr>
        <w:t>s</w:t>
      </w:r>
      <w:r>
        <w:rPr>
          <w:sz w:val="26"/>
          <w:szCs w:val="26"/>
        </w:rPr>
        <w:t xml:space="preserve"> that the </w:t>
      </w:r>
      <w:r>
        <w:rPr>
          <w:i/>
          <w:sz w:val="26"/>
          <w:szCs w:val="26"/>
        </w:rPr>
        <w:t xml:space="preserve">November 2014 Order </w:t>
      </w:r>
      <w:r>
        <w:rPr>
          <w:sz w:val="26"/>
          <w:szCs w:val="26"/>
        </w:rPr>
        <w:t>is erroneous as a matter of law in concluding that the PPAs had a</w:t>
      </w:r>
      <w:r w:rsidR="00954AB5">
        <w:rPr>
          <w:sz w:val="26"/>
          <w:szCs w:val="26"/>
        </w:rPr>
        <w:t>n effective</w:t>
      </w:r>
      <w:r>
        <w:rPr>
          <w:sz w:val="26"/>
          <w:szCs w:val="26"/>
        </w:rPr>
        <w:t xml:space="preserve"> term because </w:t>
      </w:r>
      <w:r w:rsidR="00220450">
        <w:rPr>
          <w:sz w:val="26"/>
          <w:szCs w:val="26"/>
        </w:rPr>
        <w:t>the Commission</w:t>
      </w:r>
      <w:r>
        <w:rPr>
          <w:sz w:val="26"/>
          <w:szCs w:val="26"/>
        </w:rPr>
        <w:t xml:space="preserve"> lack</w:t>
      </w:r>
      <w:r w:rsidR="00220450">
        <w:rPr>
          <w:sz w:val="26"/>
          <w:szCs w:val="26"/>
        </w:rPr>
        <w:t>s</w:t>
      </w:r>
      <w:r>
        <w:rPr>
          <w:sz w:val="26"/>
          <w:szCs w:val="26"/>
        </w:rPr>
        <w:t xml:space="preserve"> jurisdiction to interpret the language of the PPAs.  Even if </w:t>
      </w:r>
      <w:r w:rsidR="00220450">
        <w:rPr>
          <w:sz w:val="26"/>
          <w:szCs w:val="26"/>
        </w:rPr>
        <w:t>the Commission</w:t>
      </w:r>
      <w:r>
        <w:rPr>
          <w:sz w:val="26"/>
          <w:szCs w:val="26"/>
        </w:rPr>
        <w:t xml:space="preserve"> ha</w:t>
      </w:r>
      <w:r w:rsidR="00220450">
        <w:rPr>
          <w:sz w:val="26"/>
          <w:szCs w:val="26"/>
        </w:rPr>
        <w:t>s</w:t>
      </w:r>
      <w:r>
        <w:rPr>
          <w:sz w:val="26"/>
          <w:szCs w:val="26"/>
        </w:rPr>
        <w:t xml:space="preserve"> jurisdiction, contends NRG, the finding that the PPAs had a</w:t>
      </w:r>
      <w:r w:rsidR="00954AB5">
        <w:rPr>
          <w:sz w:val="26"/>
          <w:szCs w:val="26"/>
        </w:rPr>
        <w:t>n effective</w:t>
      </w:r>
      <w:r>
        <w:rPr>
          <w:sz w:val="26"/>
          <w:szCs w:val="26"/>
        </w:rPr>
        <w:t xml:space="preserve"> term is not supported by substantial evidence.  Finally, NRG requests that if we do not agree to reverse our decision and reinstate the ALJ’s Recommended Decision, then we should clarify the impact of our </w:t>
      </w:r>
      <w:r>
        <w:rPr>
          <w:i/>
          <w:sz w:val="26"/>
          <w:szCs w:val="26"/>
        </w:rPr>
        <w:t xml:space="preserve">November 2014 Order </w:t>
      </w:r>
      <w:r>
        <w:rPr>
          <w:sz w:val="26"/>
          <w:szCs w:val="26"/>
        </w:rPr>
        <w:t xml:space="preserve">with respect to the PPAs and the NRG Companies’ potential future actions.  </w:t>
      </w:r>
      <w:r w:rsidR="007F517F">
        <w:rPr>
          <w:sz w:val="26"/>
          <w:szCs w:val="26"/>
        </w:rPr>
        <w:t xml:space="preserve">Based on our review of the record, the Petition, and the Answers thereto, we will deny </w:t>
      </w:r>
      <w:r w:rsidR="009F58AD">
        <w:rPr>
          <w:sz w:val="26"/>
          <w:szCs w:val="26"/>
        </w:rPr>
        <w:t xml:space="preserve">NRG’s </w:t>
      </w:r>
      <w:r w:rsidR="007F517F">
        <w:rPr>
          <w:sz w:val="26"/>
          <w:szCs w:val="26"/>
        </w:rPr>
        <w:t xml:space="preserve">Petition.  </w:t>
      </w:r>
    </w:p>
    <w:p w:rsidR="006B3D8A" w:rsidRDefault="006B3D8A" w:rsidP="00144773">
      <w:pPr>
        <w:widowControl/>
        <w:suppressAutoHyphens/>
        <w:spacing w:line="360" w:lineRule="auto"/>
        <w:ind w:firstLine="1440"/>
        <w:rPr>
          <w:sz w:val="26"/>
          <w:szCs w:val="26"/>
        </w:rPr>
      </w:pPr>
    </w:p>
    <w:p w:rsidR="007E61BA" w:rsidRDefault="007F517F" w:rsidP="00144773">
      <w:pPr>
        <w:widowControl/>
        <w:suppressAutoHyphens/>
        <w:spacing w:line="360" w:lineRule="auto"/>
        <w:ind w:firstLine="1440"/>
        <w:rPr>
          <w:sz w:val="26"/>
          <w:szCs w:val="26"/>
        </w:rPr>
      </w:pPr>
      <w:r>
        <w:rPr>
          <w:sz w:val="26"/>
          <w:szCs w:val="26"/>
        </w:rPr>
        <w:lastRenderedPageBreak/>
        <w:t xml:space="preserve">First, with respect to </w:t>
      </w:r>
      <w:r w:rsidR="00470713">
        <w:rPr>
          <w:sz w:val="26"/>
          <w:szCs w:val="26"/>
        </w:rPr>
        <w:t xml:space="preserve">NRG’s </w:t>
      </w:r>
      <w:r>
        <w:rPr>
          <w:sz w:val="26"/>
          <w:szCs w:val="26"/>
        </w:rPr>
        <w:t xml:space="preserve">arguments that we </w:t>
      </w:r>
      <w:r w:rsidR="00470713">
        <w:rPr>
          <w:sz w:val="26"/>
          <w:szCs w:val="26"/>
        </w:rPr>
        <w:t xml:space="preserve">lack jurisdiction to interpret the PPAs, </w:t>
      </w:r>
      <w:r w:rsidR="00470713" w:rsidRPr="00470713">
        <w:rPr>
          <w:sz w:val="26"/>
          <w:szCs w:val="26"/>
        </w:rPr>
        <w:t xml:space="preserve">NRG </w:t>
      </w:r>
      <w:r w:rsidR="00BF4C9F">
        <w:rPr>
          <w:sz w:val="26"/>
          <w:szCs w:val="26"/>
        </w:rPr>
        <w:t xml:space="preserve">requests </w:t>
      </w:r>
      <w:r w:rsidR="00470713" w:rsidRPr="00470713">
        <w:rPr>
          <w:sz w:val="26"/>
          <w:szCs w:val="26"/>
        </w:rPr>
        <w:t>that we reverse our judgment and reinstate the ALJ’s recommendation</w:t>
      </w:r>
      <w:r w:rsidR="00FB1FE2">
        <w:rPr>
          <w:sz w:val="26"/>
          <w:szCs w:val="26"/>
        </w:rPr>
        <w:t xml:space="preserve">. </w:t>
      </w:r>
      <w:r w:rsidR="00B762D8">
        <w:rPr>
          <w:sz w:val="26"/>
          <w:szCs w:val="26"/>
        </w:rPr>
        <w:t>We decline to grant NRG’s request</w:t>
      </w:r>
      <w:r w:rsidR="00453562">
        <w:rPr>
          <w:sz w:val="26"/>
          <w:szCs w:val="26"/>
        </w:rPr>
        <w:t xml:space="preserve">.  As both Duquesne and BFMA contend, the resolution of </w:t>
      </w:r>
      <w:r w:rsidR="00EE76DB">
        <w:rPr>
          <w:sz w:val="26"/>
          <w:szCs w:val="26"/>
        </w:rPr>
        <w:t xml:space="preserve">NRG’s </w:t>
      </w:r>
      <w:r w:rsidR="00453562">
        <w:rPr>
          <w:sz w:val="26"/>
          <w:szCs w:val="26"/>
        </w:rPr>
        <w:t xml:space="preserve">Complaint in the </w:t>
      </w:r>
      <w:r w:rsidR="00453562">
        <w:rPr>
          <w:i/>
          <w:sz w:val="26"/>
          <w:szCs w:val="26"/>
        </w:rPr>
        <w:t xml:space="preserve">November 2014 Order </w:t>
      </w:r>
      <w:r w:rsidR="00453562">
        <w:rPr>
          <w:sz w:val="26"/>
          <w:szCs w:val="26"/>
        </w:rPr>
        <w:t xml:space="preserve">does not rest </w:t>
      </w:r>
      <w:r w:rsidR="00D65665">
        <w:rPr>
          <w:sz w:val="26"/>
          <w:szCs w:val="26"/>
        </w:rPr>
        <w:t xml:space="preserve">on an </w:t>
      </w:r>
      <w:r w:rsidR="008F10AE">
        <w:rPr>
          <w:sz w:val="26"/>
          <w:szCs w:val="26"/>
        </w:rPr>
        <w:t>improper interpret</w:t>
      </w:r>
      <w:r w:rsidR="00D65665">
        <w:rPr>
          <w:sz w:val="26"/>
          <w:szCs w:val="26"/>
        </w:rPr>
        <w:t>ation of</w:t>
      </w:r>
      <w:r w:rsidR="008F10AE">
        <w:rPr>
          <w:sz w:val="26"/>
          <w:szCs w:val="26"/>
        </w:rPr>
        <w:t xml:space="preserve"> disputed contract language.  </w:t>
      </w:r>
      <w:r w:rsidR="007E61BA">
        <w:rPr>
          <w:sz w:val="26"/>
          <w:szCs w:val="26"/>
        </w:rPr>
        <w:t xml:space="preserve">Duquesne Answer at 12; BFMA Answer at 10-11.  </w:t>
      </w:r>
      <w:r w:rsidR="00C24911">
        <w:rPr>
          <w:sz w:val="26"/>
          <w:szCs w:val="26"/>
        </w:rPr>
        <w:t xml:space="preserve">NRG attempts to turn this proceeding into one that invoked this Commission’s jurisdiction over a disputed contract term subject to our interpretation, when, as BFMA accurately describes, our </w:t>
      </w:r>
      <w:r w:rsidR="00C24911">
        <w:rPr>
          <w:i/>
          <w:sz w:val="26"/>
          <w:szCs w:val="26"/>
        </w:rPr>
        <w:t xml:space="preserve">November 2014 Order </w:t>
      </w:r>
      <w:r w:rsidR="00C24911">
        <w:rPr>
          <w:sz w:val="26"/>
          <w:szCs w:val="26"/>
        </w:rPr>
        <w:t xml:space="preserve">is not premised on any particular finding regarding the duration of the PPA.  Rather, the conclusion </w:t>
      </w:r>
      <w:r w:rsidR="00220450">
        <w:rPr>
          <w:sz w:val="26"/>
          <w:szCs w:val="26"/>
        </w:rPr>
        <w:t xml:space="preserve">in the </w:t>
      </w:r>
      <w:r w:rsidR="00220450">
        <w:rPr>
          <w:i/>
          <w:sz w:val="26"/>
          <w:szCs w:val="26"/>
        </w:rPr>
        <w:t xml:space="preserve">November 2014 Order </w:t>
      </w:r>
      <w:r w:rsidR="00C24911">
        <w:rPr>
          <w:sz w:val="26"/>
          <w:szCs w:val="26"/>
        </w:rPr>
        <w:t xml:space="preserve">rested on the fact that the PPAs had a specific term, just not one expressed in a term of years.  BFMA Answer at 7-11.  </w:t>
      </w:r>
      <w:r w:rsidR="00453562">
        <w:rPr>
          <w:sz w:val="26"/>
          <w:szCs w:val="26"/>
        </w:rPr>
        <w:t xml:space="preserve"> </w:t>
      </w:r>
    </w:p>
    <w:p w:rsidR="007E61BA" w:rsidRDefault="007E61BA" w:rsidP="00144773">
      <w:pPr>
        <w:widowControl/>
        <w:suppressAutoHyphens/>
        <w:spacing w:line="360" w:lineRule="auto"/>
        <w:ind w:firstLine="1440"/>
        <w:rPr>
          <w:sz w:val="26"/>
          <w:szCs w:val="26"/>
        </w:rPr>
      </w:pPr>
    </w:p>
    <w:p w:rsidR="00D65665" w:rsidRDefault="008F10AE" w:rsidP="00144773">
      <w:pPr>
        <w:widowControl/>
        <w:suppressAutoHyphens/>
        <w:spacing w:line="360" w:lineRule="auto"/>
        <w:ind w:firstLine="1440"/>
        <w:rPr>
          <w:sz w:val="26"/>
          <w:szCs w:val="26"/>
        </w:rPr>
      </w:pPr>
      <w:r w:rsidRPr="008F10AE">
        <w:rPr>
          <w:sz w:val="26"/>
          <w:szCs w:val="26"/>
        </w:rPr>
        <w:t>NRG quotes Paragraph 16 of the BFMA PPA and Paragraph 14 of the Beaver Valley PPA</w:t>
      </w:r>
      <w:r w:rsidR="00072829">
        <w:rPr>
          <w:sz w:val="26"/>
          <w:szCs w:val="26"/>
        </w:rPr>
        <w:t>.</w:t>
      </w:r>
      <w:r w:rsidR="00CE4E0E" w:rsidRPr="00CE4E0E">
        <w:rPr>
          <w:sz w:val="26"/>
          <w:szCs w:val="26"/>
          <w:vertAlign w:val="superscript"/>
        </w:rPr>
        <w:footnoteReference w:id="7"/>
      </w:r>
      <w:r w:rsidRPr="008F10AE">
        <w:rPr>
          <w:sz w:val="26"/>
          <w:szCs w:val="26"/>
        </w:rPr>
        <w:t xml:space="preserve">  Paragraph 1</w:t>
      </w:r>
      <w:r w:rsidR="00072829">
        <w:rPr>
          <w:sz w:val="26"/>
          <w:szCs w:val="26"/>
        </w:rPr>
        <w:t>6</w:t>
      </w:r>
      <w:r w:rsidRPr="008F10AE">
        <w:rPr>
          <w:sz w:val="26"/>
          <w:szCs w:val="26"/>
        </w:rPr>
        <w:t xml:space="preserve"> of the B</w:t>
      </w:r>
      <w:r w:rsidR="00072829">
        <w:rPr>
          <w:sz w:val="26"/>
          <w:szCs w:val="26"/>
        </w:rPr>
        <w:t>F</w:t>
      </w:r>
      <w:r w:rsidRPr="008F10AE">
        <w:rPr>
          <w:sz w:val="26"/>
          <w:szCs w:val="26"/>
        </w:rPr>
        <w:t>MA PPA is entitled “Term of Agreement,” and under both Paragraphs 16 and 14 of the respective PPAs, this term commences with the language “This agreement shall be in effect . . . .”</w:t>
      </w:r>
      <w:r>
        <w:rPr>
          <w:sz w:val="26"/>
          <w:szCs w:val="26"/>
        </w:rPr>
        <w:t xml:space="preserve">  </w:t>
      </w:r>
      <w:r w:rsidR="00072829">
        <w:rPr>
          <w:sz w:val="26"/>
          <w:szCs w:val="26"/>
        </w:rPr>
        <w:t>A</w:t>
      </w:r>
      <w:r>
        <w:rPr>
          <w:sz w:val="26"/>
          <w:szCs w:val="26"/>
        </w:rPr>
        <w:t xml:space="preserve">s Duquesne contends, from a plain reading of the contract </w:t>
      </w:r>
      <w:r w:rsidR="00CE4E0E">
        <w:rPr>
          <w:sz w:val="26"/>
          <w:szCs w:val="26"/>
        </w:rPr>
        <w:t xml:space="preserve">without any </w:t>
      </w:r>
      <w:r w:rsidR="00954AB5">
        <w:rPr>
          <w:sz w:val="26"/>
          <w:szCs w:val="26"/>
        </w:rPr>
        <w:t>need for</w:t>
      </w:r>
      <w:r w:rsidR="00CE4E0E">
        <w:rPr>
          <w:sz w:val="26"/>
          <w:szCs w:val="26"/>
        </w:rPr>
        <w:t xml:space="preserve"> </w:t>
      </w:r>
      <w:r>
        <w:rPr>
          <w:sz w:val="26"/>
          <w:szCs w:val="26"/>
        </w:rPr>
        <w:t>interpretation</w:t>
      </w:r>
      <w:r w:rsidR="00072829">
        <w:rPr>
          <w:sz w:val="26"/>
          <w:szCs w:val="26"/>
        </w:rPr>
        <w:t xml:space="preserve">, </w:t>
      </w:r>
      <w:r>
        <w:rPr>
          <w:sz w:val="26"/>
          <w:szCs w:val="26"/>
        </w:rPr>
        <w:t>th</w:t>
      </w:r>
      <w:r w:rsidR="00072829">
        <w:rPr>
          <w:sz w:val="26"/>
          <w:szCs w:val="26"/>
        </w:rPr>
        <w:t>e PPA</w:t>
      </w:r>
      <w:r w:rsidR="00954AB5">
        <w:rPr>
          <w:sz w:val="26"/>
          <w:szCs w:val="26"/>
        </w:rPr>
        <w:t>s</w:t>
      </w:r>
      <w:r w:rsidR="00072829">
        <w:rPr>
          <w:sz w:val="26"/>
          <w:szCs w:val="26"/>
        </w:rPr>
        <w:t xml:space="preserve"> ha</w:t>
      </w:r>
      <w:r w:rsidR="00954AB5">
        <w:rPr>
          <w:sz w:val="26"/>
          <w:szCs w:val="26"/>
        </w:rPr>
        <w:t>ve</w:t>
      </w:r>
      <w:r w:rsidR="00072829">
        <w:rPr>
          <w:sz w:val="26"/>
          <w:szCs w:val="26"/>
        </w:rPr>
        <w:t xml:space="preserve"> a </w:t>
      </w:r>
      <w:r w:rsidRPr="008F10AE">
        <w:rPr>
          <w:sz w:val="26"/>
          <w:szCs w:val="26"/>
        </w:rPr>
        <w:t>provision address</w:t>
      </w:r>
      <w:r w:rsidR="00072829">
        <w:rPr>
          <w:sz w:val="26"/>
          <w:szCs w:val="26"/>
        </w:rPr>
        <w:t>ing</w:t>
      </w:r>
      <w:r w:rsidRPr="008F10AE">
        <w:rPr>
          <w:sz w:val="26"/>
          <w:szCs w:val="26"/>
        </w:rPr>
        <w:t xml:space="preserve"> how long </w:t>
      </w:r>
      <w:r w:rsidR="00954AB5">
        <w:rPr>
          <w:sz w:val="26"/>
          <w:szCs w:val="26"/>
        </w:rPr>
        <w:t xml:space="preserve">each </w:t>
      </w:r>
      <w:r w:rsidR="00072829">
        <w:rPr>
          <w:sz w:val="26"/>
          <w:szCs w:val="26"/>
        </w:rPr>
        <w:t>is to</w:t>
      </w:r>
      <w:r w:rsidRPr="008F10AE">
        <w:rPr>
          <w:sz w:val="26"/>
          <w:szCs w:val="26"/>
        </w:rPr>
        <w:t xml:space="preserve"> remain in effect.</w:t>
      </w:r>
      <w:r>
        <w:rPr>
          <w:sz w:val="26"/>
          <w:szCs w:val="26"/>
        </w:rPr>
        <w:t xml:space="preserve">  Duquesne Answer at 12.  </w:t>
      </w:r>
    </w:p>
    <w:p w:rsidR="00D65665" w:rsidRDefault="00D65665" w:rsidP="00144773">
      <w:pPr>
        <w:widowControl/>
        <w:suppressAutoHyphens/>
        <w:spacing w:line="360" w:lineRule="auto"/>
        <w:ind w:firstLine="1440"/>
        <w:rPr>
          <w:sz w:val="26"/>
          <w:szCs w:val="26"/>
        </w:rPr>
      </w:pPr>
    </w:p>
    <w:p w:rsidR="008F10AE" w:rsidRDefault="00D65665" w:rsidP="00144773">
      <w:pPr>
        <w:widowControl/>
        <w:suppressAutoHyphens/>
        <w:spacing w:line="360" w:lineRule="auto"/>
        <w:ind w:firstLine="1440"/>
        <w:rPr>
          <w:sz w:val="26"/>
          <w:szCs w:val="26"/>
        </w:rPr>
      </w:pPr>
      <w:r>
        <w:rPr>
          <w:sz w:val="26"/>
          <w:szCs w:val="26"/>
        </w:rPr>
        <w:t xml:space="preserve">NRG placed the </w:t>
      </w:r>
      <w:r w:rsidR="003F0B0F">
        <w:rPr>
          <w:sz w:val="26"/>
          <w:szCs w:val="26"/>
        </w:rPr>
        <w:t>PPAs</w:t>
      </w:r>
      <w:r>
        <w:rPr>
          <w:sz w:val="26"/>
          <w:szCs w:val="26"/>
        </w:rPr>
        <w:t xml:space="preserve"> before us by </w:t>
      </w:r>
      <w:r w:rsidR="00313AEC">
        <w:rPr>
          <w:sz w:val="26"/>
          <w:szCs w:val="26"/>
        </w:rPr>
        <w:t xml:space="preserve">filing a Complaint against </w:t>
      </w:r>
      <w:r>
        <w:rPr>
          <w:sz w:val="26"/>
          <w:szCs w:val="26"/>
        </w:rPr>
        <w:t xml:space="preserve">Rider No. 18 </w:t>
      </w:r>
      <w:r w:rsidR="00313AEC">
        <w:rPr>
          <w:sz w:val="26"/>
          <w:szCs w:val="26"/>
        </w:rPr>
        <w:t xml:space="preserve">when </w:t>
      </w:r>
      <w:r>
        <w:rPr>
          <w:sz w:val="26"/>
          <w:szCs w:val="26"/>
        </w:rPr>
        <w:t>Duquesne</w:t>
      </w:r>
      <w:r w:rsidR="00313AEC">
        <w:rPr>
          <w:sz w:val="26"/>
          <w:szCs w:val="26"/>
        </w:rPr>
        <w:t xml:space="preserve"> filed a </w:t>
      </w:r>
      <w:r>
        <w:rPr>
          <w:sz w:val="26"/>
          <w:szCs w:val="26"/>
        </w:rPr>
        <w:t>base rate case.</w:t>
      </w:r>
      <w:r w:rsidR="003F0B0F">
        <w:rPr>
          <w:sz w:val="26"/>
          <w:szCs w:val="26"/>
        </w:rPr>
        <w:t xml:space="preserve"> </w:t>
      </w:r>
      <w:r w:rsidR="00072829">
        <w:rPr>
          <w:sz w:val="26"/>
          <w:szCs w:val="26"/>
        </w:rPr>
        <w:t>F</w:t>
      </w:r>
      <w:r>
        <w:rPr>
          <w:sz w:val="26"/>
          <w:szCs w:val="26"/>
        </w:rPr>
        <w:t>rom the very beginning</w:t>
      </w:r>
      <w:r w:rsidR="003F0B0F">
        <w:rPr>
          <w:sz w:val="26"/>
          <w:szCs w:val="26"/>
        </w:rPr>
        <w:t xml:space="preserve">, </w:t>
      </w:r>
      <w:r w:rsidR="00072829">
        <w:rPr>
          <w:sz w:val="26"/>
          <w:szCs w:val="26"/>
        </w:rPr>
        <w:t xml:space="preserve">however, </w:t>
      </w:r>
      <w:r w:rsidR="003F0B0F">
        <w:rPr>
          <w:sz w:val="26"/>
          <w:szCs w:val="26"/>
        </w:rPr>
        <w:t xml:space="preserve">NRG recognized that </w:t>
      </w:r>
      <w:r w:rsidR="00954AB5">
        <w:rPr>
          <w:sz w:val="26"/>
          <w:szCs w:val="26"/>
        </w:rPr>
        <w:t xml:space="preserve">reference to the </w:t>
      </w:r>
      <w:r w:rsidR="00072829">
        <w:rPr>
          <w:sz w:val="26"/>
          <w:szCs w:val="26"/>
        </w:rPr>
        <w:t xml:space="preserve">tariff </w:t>
      </w:r>
      <w:r w:rsidR="00954AB5">
        <w:rPr>
          <w:sz w:val="26"/>
          <w:szCs w:val="26"/>
        </w:rPr>
        <w:t xml:space="preserve">by necessity drew in reference to </w:t>
      </w:r>
      <w:r w:rsidR="00072829">
        <w:rPr>
          <w:sz w:val="26"/>
          <w:szCs w:val="26"/>
        </w:rPr>
        <w:t xml:space="preserve">the </w:t>
      </w:r>
      <w:r>
        <w:rPr>
          <w:sz w:val="26"/>
          <w:szCs w:val="26"/>
        </w:rPr>
        <w:t>PPAs</w:t>
      </w:r>
      <w:r w:rsidR="00105C27">
        <w:rPr>
          <w:sz w:val="26"/>
          <w:szCs w:val="26"/>
        </w:rPr>
        <w:t>.</w:t>
      </w:r>
      <w:r w:rsidR="00313AEC" w:rsidRPr="00313AEC">
        <w:rPr>
          <w:sz w:val="26"/>
          <w:szCs w:val="26"/>
          <w:vertAlign w:val="superscript"/>
        </w:rPr>
        <w:footnoteReference w:id="8"/>
      </w:r>
      <w:r>
        <w:rPr>
          <w:sz w:val="26"/>
          <w:szCs w:val="26"/>
        </w:rPr>
        <w:t xml:space="preserve">  </w:t>
      </w:r>
      <w:r w:rsidR="00105C27">
        <w:rPr>
          <w:sz w:val="26"/>
          <w:szCs w:val="26"/>
        </w:rPr>
        <w:t xml:space="preserve"> Indeed, as BFMA note</w:t>
      </w:r>
      <w:r w:rsidR="00C24911">
        <w:rPr>
          <w:sz w:val="26"/>
          <w:szCs w:val="26"/>
        </w:rPr>
        <w:t>s</w:t>
      </w:r>
      <w:r w:rsidR="00105C27">
        <w:rPr>
          <w:sz w:val="26"/>
          <w:szCs w:val="26"/>
        </w:rPr>
        <w:t xml:space="preserve">, in arguing in favor of modification or elimination of Rider No. 18 on “fairness” grounds, </w:t>
      </w:r>
      <w:r w:rsidR="00072829">
        <w:rPr>
          <w:sz w:val="26"/>
          <w:szCs w:val="26"/>
        </w:rPr>
        <w:t xml:space="preserve">NRG acknowledged </w:t>
      </w:r>
      <w:r w:rsidR="00105C27">
        <w:rPr>
          <w:sz w:val="26"/>
          <w:szCs w:val="26"/>
        </w:rPr>
        <w:t xml:space="preserve">that the PPAs would be implicated.  </w:t>
      </w:r>
      <w:r w:rsidR="00105C27">
        <w:rPr>
          <w:i/>
          <w:sz w:val="26"/>
          <w:szCs w:val="26"/>
        </w:rPr>
        <w:t xml:space="preserve">See </w:t>
      </w:r>
      <w:r w:rsidR="00105C27">
        <w:rPr>
          <w:sz w:val="26"/>
          <w:szCs w:val="26"/>
        </w:rPr>
        <w:t>NRG M.B. at 12-13 (“</w:t>
      </w:r>
      <w:r w:rsidR="00105C27" w:rsidRPr="00105C27">
        <w:rPr>
          <w:sz w:val="26"/>
          <w:szCs w:val="26"/>
        </w:rPr>
        <w:t>While the NRG Companies are not requesting that the Commission modify the terms of</w:t>
      </w:r>
      <w:r w:rsidR="00105C27">
        <w:rPr>
          <w:sz w:val="26"/>
          <w:szCs w:val="26"/>
        </w:rPr>
        <w:t xml:space="preserve"> </w:t>
      </w:r>
      <w:r w:rsidR="00105C27" w:rsidRPr="00105C27">
        <w:rPr>
          <w:sz w:val="26"/>
          <w:szCs w:val="26"/>
        </w:rPr>
        <w:t xml:space="preserve">any power purchase agreements or other related agreement, the </w:t>
      </w:r>
      <w:r w:rsidR="00105C27" w:rsidRPr="00105C27">
        <w:rPr>
          <w:sz w:val="26"/>
          <w:szCs w:val="26"/>
        </w:rPr>
        <w:lastRenderedPageBreak/>
        <w:t xml:space="preserve">termination or </w:t>
      </w:r>
      <w:r w:rsidR="00105C27">
        <w:rPr>
          <w:sz w:val="26"/>
          <w:szCs w:val="26"/>
        </w:rPr>
        <w:t xml:space="preserve">modification </w:t>
      </w:r>
      <w:r w:rsidR="00105C27" w:rsidRPr="00105C27">
        <w:rPr>
          <w:sz w:val="26"/>
          <w:szCs w:val="26"/>
        </w:rPr>
        <w:t>of</w:t>
      </w:r>
      <w:r w:rsidR="00105C27">
        <w:rPr>
          <w:sz w:val="26"/>
          <w:szCs w:val="26"/>
        </w:rPr>
        <w:t xml:space="preserve"> </w:t>
      </w:r>
      <w:r w:rsidR="00105C27" w:rsidRPr="00105C27">
        <w:rPr>
          <w:sz w:val="26"/>
          <w:szCs w:val="26"/>
        </w:rPr>
        <w:t>Rider No. 18 will impact two power purchase agreements (the "PPAs") executed in the early</w:t>
      </w:r>
      <w:r w:rsidR="00105C27">
        <w:rPr>
          <w:sz w:val="26"/>
          <w:szCs w:val="26"/>
        </w:rPr>
        <w:t xml:space="preserve"> </w:t>
      </w:r>
      <w:r w:rsidR="00105C27" w:rsidRPr="00105C27">
        <w:rPr>
          <w:sz w:val="26"/>
          <w:szCs w:val="26"/>
        </w:rPr>
        <w:t>1980s between Duquesne Light and two small hydroelectric power generators (i.e., the</w:t>
      </w:r>
      <w:r w:rsidR="00105C27">
        <w:rPr>
          <w:sz w:val="26"/>
          <w:szCs w:val="26"/>
        </w:rPr>
        <w:t xml:space="preserve"> </w:t>
      </w:r>
      <w:r w:rsidR="00105C27" w:rsidRPr="00105C27">
        <w:rPr>
          <w:sz w:val="26"/>
          <w:szCs w:val="26"/>
        </w:rPr>
        <w:t>aforementioned QFs).</w:t>
      </w:r>
      <w:r w:rsidR="00255DD2">
        <w:rPr>
          <w:sz w:val="26"/>
          <w:szCs w:val="26"/>
        </w:rPr>
        <w:t>”</w:t>
      </w:r>
      <w:r w:rsidR="00105C27">
        <w:rPr>
          <w:sz w:val="26"/>
          <w:szCs w:val="26"/>
        </w:rPr>
        <w:t>)</w:t>
      </w:r>
      <w:r w:rsidR="00313AEC">
        <w:rPr>
          <w:sz w:val="26"/>
          <w:szCs w:val="26"/>
        </w:rPr>
        <w:t xml:space="preserve">.  </w:t>
      </w:r>
      <w:r w:rsidR="003F0B0F">
        <w:rPr>
          <w:sz w:val="26"/>
          <w:szCs w:val="26"/>
        </w:rPr>
        <w:t>At no time, however, did NRG ever request that we resolve a dispute regarding the PPAs.</w:t>
      </w:r>
      <w:r w:rsidR="00C56ECC">
        <w:rPr>
          <w:rStyle w:val="FootnoteReference"/>
          <w:sz w:val="26"/>
          <w:szCs w:val="26"/>
        </w:rPr>
        <w:footnoteReference w:id="9"/>
      </w:r>
      <w:r w:rsidR="00C56ECC">
        <w:rPr>
          <w:sz w:val="26"/>
          <w:szCs w:val="26"/>
        </w:rPr>
        <w:t xml:space="preserve">  </w:t>
      </w:r>
      <w:r w:rsidR="003F0B0F">
        <w:rPr>
          <w:sz w:val="26"/>
          <w:szCs w:val="26"/>
        </w:rPr>
        <w:t xml:space="preserve">NRG simply disagreed that the PPAs’ price term, as contained in Rider No. 18, </w:t>
      </w:r>
      <w:r w:rsidR="00072829">
        <w:rPr>
          <w:sz w:val="26"/>
          <w:szCs w:val="26"/>
        </w:rPr>
        <w:t>remained</w:t>
      </w:r>
      <w:r w:rsidR="003F0B0F">
        <w:rPr>
          <w:sz w:val="26"/>
          <w:szCs w:val="26"/>
        </w:rPr>
        <w:t xml:space="preserve"> just, reasonable, and non-discriminatory under </w:t>
      </w:r>
      <w:r w:rsidR="00072829">
        <w:rPr>
          <w:sz w:val="26"/>
          <w:szCs w:val="26"/>
        </w:rPr>
        <w:t xml:space="preserve">current </w:t>
      </w:r>
      <w:r w:rsidR="003F0B0F">
        <w:rPr>
          <w:sz w:val="26"/>
          <w:szCs w:val="26"/>
        </w:rPr>
        <w:t xml:space="preserve">state law. </w:t>
      </w:r>
      <w:r w:rsidR="004B345B">
        <w:rPr>
          <w:sz w:val="26"/>
          <w:szCs w:val="26"/>
        </w:rPr>
        <w:t xml:space="preserve">Having placed the issue before us by arguing before the ALJ that the PPAs lacked a </w:t>
      </w:r>
      <w:r w:rsidR="00CE4E0E">
        <w:rPr>
          <w:sz w:val="26"/>
          <w:szCs w:val="26"/>
        </w:rPr>
        <w:t xml:space="preserve">specific </w:t>
      </w:r>
      <w:r w:rsidR="00985646">
        <w:rPr>
          <w:sz w:val="26"/>
          <w:szCs w:val="26"/>
        </w:rPr>
        <w:t>end date</w:t>
      </w:r>
      <w:r w:rsidR="004B345B">
        <w:rPr>
          <w:sz w:val="26"/>
          <w:szCs w:val="26"/>
        </w:rPr>
        <w:t xml:space="preserve">, NRG cannot be heard to object to </w:t>
      </w:r>
      <w:r w:rsidR="008E7E18">
        <w:rPr>
          <w:sz w:val="26"/>
          <w:szCs w:val="26"/>
        </w:rPr>
        <w:t>our</w:t>
      </w:r>
      <w:r w:rsidR="004B345B">
        <w:rPr>
          <w:sz w:val="26"/>
          <w:szCs w:val="26"/>
        </w:rPr>
        <w:t xml:space="preserve"> final resolution of the </w:t>
      </w:r>
      <w:r w:rsidR="008E7E18">
        <w:rPr>
          <w:sz w:val="26"/>
          <w:szCs w:val="26"/>
        </w:rPr>
        <w:t xml:space="preserve">import of that </w:t>
      </w:r>
      <w:r w:rsidR="004B345B">
        <w:rPr>
          <w:sz w:val="26"/>
          <w:szCs w:val="26"/>
        </w:rPr>
        <w:t>issue on jurisdictional grounds</w:t>
      </w:r>
      <w:r w:rsidR="00072829">
        <w:rPr>
          <w:sz w:val="26"/>
          <w:szCs w:val="26"/>
        </w:rPr>
        <w:t xml:space="preserve"> because it does not agree with </w:t>
      </w:r>
      <w:r w:rsidR="00CE4E0E">
        <w:rPr>
          <w:sz w:val="26"/>
          <w:szCs w:val="26"/>
        </w:rPr>
        <w:t>our</w:t>
      </w:r>
      <w:r w:rsidR="00072829">
        <w:rPr>
          <w:sz w:val="26"/>
          <w:szCs w:val="26"/>
        </w:rPr>
        <w:t xml:space="preserve"> </w:t>
      </w:r>
      <w:r w:rsidR="00C24911">
        <w:rPr>
          <w:sz w:val="26"/>
          <w:szCs w:val="26"/>
        </w:rPr>
        <w:t>conclusion</w:t>
      </w:r>
      <w:r w:rsidR="004B345B">
        <w:rPr>
          <w:sz w:val="26"/>
          <w:szCs w:val="26"/>
        </w:rPr>
        <w:t xml:space="preserve">. </w:t>
      </w:r>
    </w:p>
    <w:p w:rsidR="008F10AE" w:rsidRDefault="008F10AE" w:rsidP="00144773">
      <w:pPr>
        <w:widowControl/>
        <w:suppressAutoHyphens/>
        <w:spacing w:line="360" w:lineRule="auto"/>
        <w:ind w:firstLine="1440"/>
        <w:rPr>
          <w:sz w:val="26"/>
          <w:szCs w:val="26"/>
        </w:rPr>
      </w:pPr>
    </w:p>
    <w:p w:rsidR="008E7E18" w:rsidRDefault="004B345B" w:rsidP="00144773">
      <w:pPr>
        <w:widowControl/>
        <w:suppressAutoHyphens/>
        <w:spacing w:line="360" w:lineRule="auto"/>
        <w:ind w:firstLine="1440"/>
        <w:rPr>
          <w:sz w:val="26"/>
          <w:szCs w:val="26"/>
        </w:rPr>
      </w:pPr>
      <w:r>
        <w:rPr>
          <w:sz w:val="26"/>
          <w:szCs w:val="26"/>
        </w:rPr>
        <w:t>W</w:t>
      </w:r>
      <w:r w:rsidR="00EE76DB">
        <w:rPr>
          <w:sz w:val="26"/>
          <w:szCs w:val="26"/>
        </w:rPr>
        <w:t xml:space="preserve">e </w:t>
      </w:r>
      <w:r w:rsidR="00985646">
        <w:rPr>
          <w:sz w:val="26"/>
          <w:szCs w:val="26"/>
        </w:rPr>
        <w:t xml:space="preserve">recognize </w:t>
      </w:r>
      <w:r w:rsidR="00EE76DB">
        <w:rPr>
          <w:sz w:val="26"/>
          <w:szCs w:val="26"/>
        </w:rPr>
        <w:t>the fact that i</w:t>
      </w:r>
      <w:r w:rsidR="00FB1FE2">
        <w:rPr>
          <w:sz w:val="26"/>
          <w:szCs w:val="26"/>
        </w:rPr>
        <w:t xml:space="preserve">n </w:t>
      </w:r>
      <w:r w:rsidR="00EE76DB">
        <w:rPr>
          <w:sz w:val="26"/>
          <w:szCs w:val="26"/>
        </w:rPr>
        <w:t xml:space="preserve">order to accept NRG’s request that we </w:t>
      </w:r>
      <w:r w:rsidR="00470713" w:rsidRPr="00470713">
        <w:rPr>
          <w:sz w:val="26"/>
          <w:szCs w:val="26"/>
        </w:rPr>
        <w:t>revers</w:t>
      </w:r>
      <w:r w:rsidR="00EE76DB">
        <w:rPr>
          <w:sz w:val="26"/>
          <w:szCs w:val="26"/>
        </w:rPr>
        <w:t>e</w:t>
      </w:r>
      <w:r w:rsidR="00470713" w:rsidRPr="00470713">
        <w:rPr>
          <w:sz w:val="26"/>
          <w:szCs w:val="26"/>
        </w:rPr>
        <w:t xml:space="preserve"> our decision</w:t>
      </w:r>
      <w:r w:rsidR="00EE76DB">
        <w:rPr>
          <w:sz w:val="26"/>
          <w:szCs w:val="26"/>
        </w:rPr>
        <w:t xml:space="preserve"> on the basis that </w:t>
      </w:r>
      <w:r w:rsidR="008F10AE">
        <w:rPr>
          <w:sz w:val="26"/>
          <w:szCs w:val="26"/>
        </w:rPr>
        <w:t xml:space="preserve">we improperly interpreted the </w:t>
      </w:r>
      <w:r w:rsidR="00EE76DB">
        <w:rPr>
          <w:sz w:val="26"/>
          <w:szCs w:val="26"/>
        </w:rPr>
        <w:t>PPAs</w:t>
      </w:r>
      <w:r w:rsidR="00470713" w:rsidRPr="00470713">
        <w:rPr>
          <w:sz w:val="26"/>
          <w:szCs w:val="26"/>
        </w:rPr>
        <w:t xml:space="preserve">, NRG </w:t>
      </w:r>
      <w:r w:rsidR="00BF4C9F">
        <w:rPr>
          <w:sz w:val="26"/>
          <w:szCs w:val="26"/>
        </w:rPr>
        <w:t xml:space="preserve">would </w:t>
      </w:r>
      <w:r w:rsidR="008F10AE">
        <w:rPr>
          <w:sz w:val="26"/>
          <w:szCs w:val="26"/>
        </w:rPr>
        <w:t xml:space="preserve">have us </w:t>
      </w:r>
      <w:r w:rsidR="005B422A">
        <w:rPr>
          <w:sz w:val="26"/>
          <w:szCs w:val="26"/>
        </w:rPr>
        <w:t xml:space="preserve">affirm a Recommended Decision that </w:t>
      </w:r>
      <w:r w:rsidR="008F10AE">
        <w:rPr>
          <w:sz w:val="26"/>
          <w:szCs w:val="26"/>
        </w:rPr>
        <w:t>undertake</w:t>
      </w:r>
      <w:r w:rsidR="005B422A">
        <w:rPr>
          <w:sz w:val="26"/>
          <w:szCs w:val="26"/>
        </w:rPr>
        <w:t>s</w:t>
      </w:r>
      <w:r w:rsidR="008F10AE">
        <w:rPr>
          <w:sz w:val="26"/>
          <w:szCs w:val="26"/>
        </w:rPr>
        <w:t xml:space="preserve"> </w:t>
      </w:r>
      <w:r w:rsidR="00470713" w:rsidRPr="00470713">
        <w:rPr>
          <w:sz w:val="26"/>
          <w:szCs w:val="26"/>
        </w:rPr>
        <w:t xml:space="preserve">no less an interpretation of the </w:t>
      </w:r>
      <w:r w:rsidR="008F10AE">
        <w:rPr>
          <w:sz w:val="26"/>
          <w:szCs w:val="26"/>
        </w:rPr>
        <w:t>PPAs</w:t>
      </w:r>
      <w:r w:rsidR="00470713" w:rsidRPr="00470713">
        <w:rPr>
          <w:sz w:val="26"/>
          <w:szCs w:val="26"/>
        </w:rPr>
        <w:t xml:space="preserve"> </w:t>
      </w:r>
      <w:r w:rsidR="008F10AE">
        <w:rPr>
          <w:sz w:val="26"/>
          <w:szCs w:val="26"/>
        </w:rPr>
        <w:t xml:space="preserve">in reaching </w:t>
      </w:r>
      <w:r w:rsidR="005B422A">
        <w:rPr>
          <w:sz w:val="26"/>
          <w:szCs w:val="26"/>
        </w:rPr>
        <w:t xml:space="preserve">its recommendation </w:t>
      </w:r>
      <w:r w:rsidR="008F10AE">
        <w:rPr>
          <w:sz w:val="26"/>
          <w:szCs w:val="26"/>
        </w:rPr>
        <w:t xml:space="preserve">than </w:t>
      </w:r>
      <w:r w:rsidR="005B422A">
        <w:rPr>
          <w:sz w:val="26"/>
          <w:szCs w:val="26"/>
        </w:rPr>
        <w:t>we</w:t>
      </w:r>
      <w:r w:rsidR="00470713" w:rsidRPr="00470713">
        <w:rPr>
          <w:sz w:val="26"/>
          <w:szCs w:val="26"/>
        </w:rPr>
        <w:t xml:space="preserve"> </w:t>
      </w:r>
      <w:r w:rsidR="008F10AE">
        <w:rPr>
          <w:sz w:val="26"/>
          <w:szCs w:val="26"/>
        </w:rPr>
        <w:t xml:space="preserve">did in reaching </w:t>
      </w:r>
      <w:r w:rsidR="005B422A">
        <w:rPr>
          <w:sz w:val="26"/>
          <w:szCs w:val="26"/>
        </w:rPr>
        <w:t>ours</w:t>
      </w:r>
      <w:r w:rsidR="00470713" w:rsidRPr="00470713">
        <w:rPr>
          <w:sz w:val="26"/>
          <w:szCs w:val="26"/>
        </w:rPr>
        <w:t xml:space="preserve">.  </w:t>
      </w:r>
      <w:r w:rsidR="008F10AE">
        <w:rPr>
          <w:sz w:val="26"/>
          <w:szCs w:val="26"/>
        </w:rPr>
        <w:t xml:space="preserve">NRG would simply have us agree with the ALJ’s conclusion.  </w:t>
      </w:r>
      <w:r w:rsidR="007E61BA">
        <w:rPr>
          <w:sz w:val="26"/>
          <w:szCs w:val="26"/>
        </w:rPr>
        <w:t>We concluded</w:t>
      </w:r>
      <w:r w:rsidR="008E7E18">
        <w:rPr>
          <w:sz w:val="26"/>
          <w:szCs w:val="26"/>
        </w:rPr>
        <w:t>, however,</w:t>
      </w:r>
      <w:r w:rsidR="007E61BA">
        <w:rPr>
          <w:sz w:val="26"/>
          <w:szCs w:val="26"/>
        </w:rPr>
        <w:t xml:space="preserve"> that </w:t>
      </w:r>
      <w:r w:rsidR="005B422A">
        <w:rPr>
          <w:sz w:val="26"/>
          <w:szCs w:val="26"/>
        </w:rPr>
        <w:t xml:space="preserve">a contract with a provision entitled </w:t>
      </w:r>
      <w:r w:rsidR="007E61BA">
        <w:rPr>
          <w:sz w:val="26"/>
          <w:szCs w:val="26"/>
        </w:rPr>
        <w:t xml:space="preserve">“Term of Agreement” </w:t>
      </w:r>
      <w:r w:rsidR="005B422A">
        <w:rPr>
          <w:sz w:val="26"/>
          <w:szCs w:val="26"/>
        </w:rPr>
        <w:t>that began with the language “this agreement shall be in effect” was a contract with a specified term</w:t>
      </w:r>
      <w:r w:rsidR="00470713">
        <w:rPr>
          <w:sz w:val="26"/>
          <w:szCs w:val="26"/>
        </w:rPr>
        <w:t xml:space="preserve">.  In concluding </w:t>
      </w:r>
      <w:r w:rsidR="00470713">
        <w:rPr>
          <w:i/>
          <w:sz w:val="26"/>
          <w:szCs w:val="26"/>
        </w:rPr>
        <w:t xml:space="preserve">sua sponte </w:t>
      </w:r>
      <w:r w:rsidR="00470713">
        <w:rPr>
          <w:sz w:val="26"/>
          <w:szCs w:val="26"/>
        </w:rPr>
        <w:t>that there was no term</w:t>
      </w:r>
      <w:r w:rsidR="00BF4C9F">
        <w:rPr>
          <w:sz w:val="26"/>
          <w:szCs w:val="26"/>
        </w:rPr>
        <w:t xml:space="preserve"> </w:t>
      </w:r>
      <w:r w:rsidR="00985646">
        <w:rPr>
          <w:sz w:val="26"/>
          <w:szCs w:val="26"/>
        </w:rPr>
        <w:t xml:space="preserve">to the contract </w:t>
      </w:r>
      <w:r w:rsidR="00BF4C9F">
        <w:rPr>
          <w:sz w:val="26"/>
          <w:szCs w:val="26"/>
        </w:rPr>
        <w:t>because there was no specific end date</w:t>
      </w:r>
      <w:r w:rsidR="00470713">
        <w:rPr>
          <w:sz w:val="26"/>
          <w:szCs w:val="26"/>
        </w:rPr>
        <w:t xml:space="preserve">, the </w:t>
      </w:r>
      <w:r w:rsidR="00470713" w:rsidRPr="00470713">
        <w:rPr>
          <w:sz w:val="26"/>
          <w:szCs w:val="26"/>
        </w:rPr>
        <w:t>ALJ</w:t>
      </w:r>
      <w:r w:rsidR="00BF4C9F">
        <w:rPr>
          <w:sz w:val="26"/>
          <w:szCs w:val="26"/>
        </w:rPr>
        <w:t xml:space="preserve">’s analysis </w:t>
      </w:r>
      <w:r w:rsidR="00FB1FE2">
        <w:rPr>
          <w:sz w:val="26"/>
          <w:szCs w:val="26"/>
        </w:rPr>
        <w:t xml:space="preserve">was silent </w:t>
      </w:r>
      <w:r w:rsidR="008E7E18">
        <w:rPr>
          <w:sz w:val="26"/>
          <w:szCs w:val="26"/>
        </w:rPr>
        <w:t>regarding</w:t>
      </w:r>
      <w:r w:rsidR="00FB1FE2">
        <w:rPr>
          <w:sz w:val="26"/>
          <w:szCs w:val="26"/>
        </w:rPr>
        <w:t xml:space="preserve"> t</w:t>
      </w:r>
      <w:r w:rsidR="00BF4C9F">
        <w:rPr>
          <w:sz w:val="26"/>
          <w:szCs w:val="26"/>
        </w:rPr>
        <w:t>his paragraph</w:t>
      </w:r>
      <w:r w:rsidR="00470713">
        <w:rPr>
          <w:sz w:val="26"/>
          <w:szCs w:val="26"/>
        </w:rPr>
        <w:t xml:space="preserve">.  </w:t>
      </w:r>
      <w:r w:rsidR="007E61BA">
        <w:rPr>
          <w:sz w:val="26"/>
          <w:szCs w:val="26"/>
        </w:rPr>
        <w:t xml:space="preserve">As </w:t>
      </w:r>
      <w:r w:rsidR="00BF4C9F">
        <w:rPr>
          <w:sz w:val="26"/>
          <w:szCs w:val="26"/>
        </w:rPr>
        <w:t>both Duquesne and BFMA argue, t</w:t>
      </w:r>
      <w:r w:rsidR="00470713" w:rsidRPr="00470713">
        <w:rPr>
          <w:sz w:val="26"/>
          <w:szCs w:val="26"/>
        </w:rPr>
        <w:t>he NRG Companies present no argument to support reversal of our conclusion</w:t>
      </w:r>
      <w:r w:rsidR="00BF4C9F">
        <w:rPr>
          <w:sz w:val="26"/>
          <w:szCs w:val="26"/>
        </w:rPr>
        <w:t xml:space="preserve"> that would have us ignore this paragraph</w:t>
      </w:r>
      <w:r w:rsidR="00985646">
        <w:rPr>
          <w:sz w:val="26"/>
          <w:szCs w:val="26"/>
        </w:rPr>
        <w:t xml:space="preserve"> as well</w:t>
      </w:r>
      <w:r w:rsidR="00BF4C9F">
        <w:rPr>
          <w:sz w:val="26"/>
          <w:szCs w:val="26"/>
        </w:rPr>
        <w:t xml:space="preserve">. NRG </w:t>
      </w:r>
      <w:r w:rsidR="00470713">
        <w:rPr>
          <w:sz w:val="26"/>
          <w:szCs w:val="26"/>
        </w:rPr>
        <w:t>merely prefer</w:t>
      </w:r>
      <w:r w:rsidR="00BF4C9F">
        <w:rPr>
          <w:sz w:val="26"/>
          <w:szCs w:val="26"/>
        </w:rPr>
        <w:t>s</w:t>
      </w:r>
      <w:r w:rsidR="00470713">
        <w:rPr>
          <w:sz w:val="26"/>
          <w:szCs w:val="26"/>
        </w:rPr>
        <w:t xml:space="preserve"> the ALJ’s outcome</w:t>
      </w:r>
      <w:r w:rsidR="00470713" w:rsidRPr="00470713">
        <w:rPr>
          <w:sz w:val="26"/>
          <w:szCs w:val="26"/>
        </w:rPr>
        <w:t xml:space="preserve">.  </w:t>
      </w:r>
    </w:p>
    <w:p w:rsidR="008E7E18" w:rsidRDefault="008E7E18" w:rsidP="00144773">
      <w:pPr>
        <w:widowControl/>
        <w:suppressAutoHyphens/>
        <w:spacing w:line="360" w:lineRule="auto"/>
        <w:ind w:firstLine="1440"/>
        <w:rPr>
          <w:sz w:val="26"/>
          <w:szCs w:val="26"/>
        </w:rPr>
      </w:pPr>
    </w:p>
    <w:p w:rsidR="007E61BA" w:rsidRDefault="007E61BA" w:rsidP="00144773">
      <w:pPr>
        <w:widowControl/>
        <w:suppressAutoHyphens/>
        <w:spacing w:line="360" w:lineRule="auto"/>
        <w:ind w:firstLine="1440"/>
        <w:rPr>
          <w:sz w:val="26"/>
          <w:szCs w:val="26"/>
        </w:rPr>
      </w:pPr>
      <w:r>
        <w:rPr>
          <w:sz w:val="26"/>
          <w:szCs w:val="26"/>
        </w:rPr>
        <w:t xml:space="preserve">Disagreement with the resolution is not grounds for reconsideration.  As BFMA states: </w:t>
      </w:r>
    </w:p>
    <w:p w:rsidR="007E61BA" w:rsidRDefault="007E61BA" w:rsidP="00144773">
      <w:pPr>
        <w:widowControl/>
        <w:suppressAutoHyphens/>
        <w:spacing w:line="360" w:lineRule="auto"/>
        <w:rPr>
          <w:sz w:val="26"/>
          <w:szCs w:val="26"/>
        </w:rPr>
      </w:pPr>
    </w:p>
    <w:p w:rsidR="007E61BA" w:rsidRDefault="00D00CF0" w:rsidP="00144773">
      <w:pPr>
        <w:widowControl/>
        <w:suppressAutoHyphens/>
        <w:ind w:left="1440" w:right="1440" w:firstLine="1440"/>
        <w:rPr>
          <w:sz w:val="26"/>
          <w:szCs w:val="26"/>
        </w:rPr>
      </w:pPr>
      <w:r>
        <w:rPr>
          <w:sz w:val="26"/>
          <w:szCs w:val="26"/>
        </w:rPr>
        <w:t xml:space="preserve">Having now seen the Commission’s </w:t>
      </w:r>
      <w:r w:rsidRPr="00C120A0">
        <w:rPr>
          <w:sz w:val="26"/>
          <w:szCs w:val="26"/>
        </w:rPr>
        <w:t>disposition</w:t>
      </w:r>
      <w:r>
        <w:rPr>
          <w:sz w:val="26"/>
          <w:szCs w:val="26"/>
        </w:rPr>
        <w:t xml:space="preserve"> of the “end date” argument in the R.D., the NRG Companies </w:t>
      </w:r>
      <w:r>
        <w:rPr>
          <w:sz w:val="26"/>
          <w:szCs w:val="26"/>
        </w:rPr>
        <w:lastRenderedPageBreak/>
        <w:t>may regret that it was even raised.  However, the NRG Companies did not take exception to the R.D.’s “end date” analysis and argue to the Commission that it addressed an “interpretation” of the PPA outside the Commission’s jurisdiction.  The Commission’s correction of the R.D.’s erroneous analysis was neither an error of law nor a conclusion on an issue outside the Commission’s authority and jurisdiction.  The Commission should not accept the NRG Companies’ opportunistic approach to litigating this case – i.e., remaining silent on a PURPA contract issue when it is decided in their favor, but claiming foul when the properly decided issue turns against them.</w:t>
      </w:r>
    </w:p>
    <w:p w:rsidR="007E61BA" w:rsidRDefault="007E61BA" w:rsidP="00144773">
      <w:pPr>
        <w:widowControl/>
        <w:suppressAutoHyphens/>
        <w:spacing w:line="360" w:lineRule="auto"/>
        <w:rPr>
          <w:sz w:val="26"/>
          <w:szCs w:val="26"/>
        </w:rPr>
      </w:pPr>
    </w:p>
    <w:p w:rsidR="00BF4C9F" w:rsidRDefault="007E61BA" w:rsidP="00144773">
      <w:pPr>
        <w:widowControl/>
        <w:suppressAutoHyphens/>
        <w:spacing w:line="360" w:lineRule="auto"/>
        <w:rPr>
          <w:sz w:val="26"/>
          <w:szCs w:val="26"/>
        </w:rPr>
      </w:pPr>
      <w:r>
        <w:rPr>
          <w:sz w:val="26"/>
          <w:szCs w:val="26"/>
        </w:rPr>
        <w:t xml:space="preserve">BFMA Answer at 8-9.  </w:t>
      </w:r>
    </w:p>
    <w:p w:rsidR="00BF4C9F" w:rsidRDefault="00BF4C9F" w:rsidP="00144773">
      <w:pPr>
        <w:widowControl/>
        <w:suppressAutoHyphens/>
        <w:spacing w:line="360" w:lineRule="auto"/>
        <w:ind w:firstLine="1440"/>
        <w:rPr>
          <w:sz w:val="26"/>
          <w:szCs w:val="26"/>
        </w:rPr>
      </w:pPr>
    </w:p>
    <w:p w:rsidR="00BF4C9F" w:rsidRDefault="00B762D8" w:rsidP="00144773">
      <w:pPr>
        <w:widowControl/>
        <w:suppressAutoHyphens/>
        <w:spacing w:line="360" w:lineRule="auto"/>
        <w:ind w:firstLine="1440"/>
        <w:rPr>
          <w:sz w:val="26"/>
          <w:szCs w:val="26"/>
        </w:rPr>
      </w:pPr>
      <w:r>
        <w:rPr>
          <w:sz w:val="26"/>
          <w:szCs w:val="26"/>
        </w:rPr>
        <w:t>As</w:t>
      </w:r>
      <w:r w:rsidR="00BF4C9F">
        <w:rPr>
          <w:sz w:val="26"/>
          <w:szCs w:val="26"/>
        </w:rPr>
        <w:t xml:space="preserve"> BFMA </w:t>
      </w:r>
      <w:r w:rsidR="008E7E18">
        <w:rPr>
          <w:sz w:val="26"/>
          <w:szCs w:val="26"/>
        </w:rPr>
        <w:t xml:space="preserve">also </w:t>
      </w:r>
      <w:r w:rsidR="00BF4C9F">
        <w:rPr>
          <w:sz w:val="26"/>
          <w:szCs w:val="26"/>
        </w:rPr>
        <w:t>points out, w</w:t>
      </w:r>
      <w:r w:rsidR="00470713">
        <w:rPr>
          <w:sz w:val="26"/>
          <w:szCs w:val="26"/>
        </w:rPr>
        <w:t xml:space="preserve">e have already considered and rejected NRG’s </w:t>
      </w:r>
      <w:r w:rsidR="00470713" w:rsidRPr="00470713">
        <w:rPr>
          <w:sz w:val="26"/>
          <w:szCs w:val="26"/>
        </w:rPr>
        <w:t xml:space="preserve">argument.  </w:t>
      </w:r>
      <w:r w:rsidR="00BF4C9F">
        <w:rPr>
          <w:sz w:val="26"/>
          <w:szCs w:val="26"/>
        </w:rPr>
        <w:t xml:space="preserve">As fully stated in the </w:t>
      </w:r>
      <w:r w:rsidR="00BF4C9F">
        <w:rPr>
          <w:i/>
          <w:sz w:val="26"/>
          <w:szCs w:val="26"/>
        </w:rPr>
        <w:t xml:space="preserve">November 2014 </w:t>
      </w:r>
      <w:r w:rsidR="00BF4C9F" w:rsidRPr="00BF4C9F">
        <w:rPr>
          <w:i/>
          <w:sz w:val="26"/>
          <w:szCs w:val="26"/>
        </w:rPr>
        <w:t>Order</w:t>
      </w:r>
      <w:r w:rsidR="00BF4C9F">
        <w:rPr>
          <w:sz w:val="26"/>
          <w:szCs w:val="26"/>
        </w:rPr>
        <w:t xml:space="preserve">, with respect to the </w:t>
      </w:r>
      <w:r w:rsidR="008E7E18">
        <w:rPr>
          <w:sz w:val="26"/>
          <w:szCs w:val="26"/>
        </w:rPr>
        <w:t xml:space="preserve">ALJ’s conclusion that </w:t>
      </w:r>
      <w:r w:rsidR="00BF4C9F">
        <w:rPr>
          <w:sz w:val="26"/>
          <w:szCs w:val="26"/>
        </w:rPr>
        <w:t>lack of an end date open</w:t>
      </w:r>
      <w:r w:rsidR="008E7E18">
        <w:rPr>
          <w:sz w:val="26"/>
          <w:szCs w:val="26"/>
        </w:rPr>
        <w:t>ed</w:t>
      </w:r>
      <w:r w:rsidR="00BF4C9F">
        <w:rPr>
          <w:sz w:val="26"/>
          <w:szCs w:val="26"/>
        </w:rPr>
        <w:t xml:space="preserve"> the purchased power price to “as available” or current pricing, we concluded as follows: </w:t>
      </w:r>
    </w:p>
    <w:p w:rsidR="00BF4C9F" w:rsidRDefault="00BF4C9F" w:rsidP="00144773">
      <w:pPr>
        <w:widowControl/>
        <w:suppressAutoHyphens/>
        <w:spacing w:line="360" w:lineRule="auto"/>
        <w:rPr>
          <w:sz w:val="26"/>
          <w:szCs w:val="26"/>
        </w:rPr>
      </w:pPr>
    </w:p>
    <w:p w:rsidR="00BF4C9F" w:rsidRPr="00BF4C9F" w:rsidRDefault="00BF4C9F" w:rsidP="00144773">
      <w:pPr>
        <w:widowControl/>
        <w:suppressAutoHyphens/>
        <w:ind w:left="1440" w:right="1440" w:firstLine="1440"/>
        <w:rPr>
          <w:sz w:val="26"/>
          <w:szCs w:val="26"/>
        </w:rPr>
      </w:pPr>
      <w:r w:rsidRPr="00BF4C9F">
        <w:rPr>
          <w:sz w:val="26"/>
          <w:szCs w:val="26"/>
        </w:rPr>
        <w:t xml:space="preserve">Finally, in his analysis, the ALJ dismissed PURPA’s exemption of state utility-type regulation over Duquesne’s PPAs because the ALJ found the PPAs lacked a definitive contract term. </w:t>
      </w:r>
      <w:r w:rsidR="00C120A0">
        <w:rPr>
          <w:sz w:val="26"/>
          <w:szCs w:val="26"/>
        </w:rPr>
        <w:t xml:space="preserve"> </w:t>
      </w:r>
      <w:r w:rsidRPr="00BF4C9F">
        <w:rPr>
          <w:sz w:val="26"/>
          <w:szCs w:val="26"/>
        </w:rPr>
        <w:t xml:space="preserve">R.D. at 29. In providing for the state’s approval of avoided cost rates for QF purchases, however, nothing in PURPA requires a contract or, more specifically, a contract with a term defined by a set number of years, in order to effectuate PURPA’s preemption of state utility-type regulations under Section 210(e).  Conversely, nothing in PURPA allows for subsequent state utility-type regulation of a QF’s rates absent a contract or, more specifically, a contract with a term defined by a set number of years. </w:t>
      </w:r>
    </w:p>
    <w:p w:rsidR="00BF4C9F" w:rsidRPr="00BF4C9F" w:rsidRDefault="00BF4C9F" w:rsidP="00144773">
      <w:pPr>
        <w:widowControl/>
        <w:suppressAutoHyphens/>
        <w:ind w:left="1440" w:right="1440" w:firstLine="1440"/>
        <w:rPr>
          <w:sz w:val="26"/>
          <w:szCs w:val="26"/>
        </w:rPr>
      </w:pPr>
    </w:p>
    <w:p w:rsidR="00BF4C9F" w:rsidRPr="00BF4C9F" w:rsidRDefault="00BF4C9F" w:rsidP="00144773">
      <w:pPr>
        <w:widowControl/>
        <w:suppressAutoHyphens/>
        <w:ind w:left="1440" w:right="1440" w:firstLine="1440"/>
        <w:rPr>
          <w:sz w:val="26"/>
          <w:szCs w:val="26"/>
        </w:rPr>
      </w:pPr>
      <w:r w:rsidRPr="00BF4C9F">
        <w:rPr>
          <w:sz w:val="26"/>
          <w:szCs w:val="26"/>
        </w:rPr>
        <w:t xml:space="preserve">This notwithstanding, we also disagree with the ALJ’s conclusion that the PPAs lack a term.  The PPAs are limited by a term that is defined by either the continued availability of a price or the QFs’ continued desire to sell their output. While contracts may be more commonly defined by a </w:t>
      </w:r>
      <w:r w:rsidRPr="00BF4C9F">
        <w:rPr>
          <w:sz w:val="26"/>
          <w:szCs w:val="26"/>
        </w:rPr>
        <w:lastRenderedPageBreak/>
        <w:t>term of years, nothing requires such a definition. Section 292.304(b)(5) of FERC’s regulations, 18 C.F.R. §</w:t>
      </w:r>
      <w:r>
        <w:rPr>
          <w:sz w:val="26"/>
          <w:szCs w:val="26"/>
        </w:rPr>
        <w:t> </w:t>
      </w:r>
      <w:r w:rsidRPr="00BF4C9F">
        <w:rPr>
          <w:sz w:val="26"/>
          <w:szCs w:val="26"/>
        </w:rPr>
        <w:t>292.304(b)(5), addresses QF rates for purchases “over the specific term of the contract or other legally enforceable obligation.” Similarly, section 292.304(d), 18 C.F.R. §</w:t>
      </w:r>
      <w:r w:rsidR="00AC4892">
        <w:rPr>
          <w:sz w:val="26"/>
          <w:szCs w:val="26"/>
        </w:rPr>
        <w:t> </w:t>
      </w:r>
      <w:r w:rsidRPr="00BF4C9F">
        <w:rPr>
          <w:sz w:val="26"/>
          <w:szCs w:val="26"/>
        </w:rPr>
        <w:t xml:space="preserve">292.304(d) addresses purchases “pursuant to a legally enforceable obligation.” Nowhere does PURPA require a contract with a term defined by a set number of calendar years. </w:t>
      </w:r>
    </w:p>
    <w:p w:rsidR="00BF4C9F" w:rsidRDefault="00BF4C9F" w:rsidP="00144773">
      <w:pPr>
        <w:widowControl/>
        <w:suppressAutoHyphens/>
        <w:spacing w:line="360" w:lineRule="auto"/>
        <w:rPr>
          <w:sz w:val="26"/>
          <w:szCs w:val="26"/>
        </w:rPr>
      </w:pPr>
    </w:p>
    <w:p w:rsidR="00FB1FE2" w:rsidRDefault="00BF4C9F" w:rsidP="00144773">
      <w:pPr>
        <w:widowControl/>
        <w:suppressAutoHyphens/>
        <w:spacing w:line="360" w:lineRule="auto"/>
        <w:rPr>
          <w:sz w:val="26"/>
          <w:szCs w:val="26"/>
        </w:rPr>
      </w:pPr>
      <w:r>
        <w:rPr>
          <w:i/>
          <w:sz w:val="26"/>
          <w:szCs w:val="26"/>
        </w:rPr>
        <w:t xml:space="preserve">November 2014 </w:t>
      </w:r>
      <w:r w:rsidRPr="00BF4C9F">
        <w:rPr>
          <w:i/>
          <w:sz w:val="26"/>
          <w:szCs w:val="26"/>
        </w:rPr>
        <w:t>Order</w:t>
      </w:r>
      <w:r>
        <w:rPr>
          <w:sz w:val="26"/>
          <w:szCs w:val="26"/>
        </w:rPr>
        <w:t xml:space="preserve"> at 63</w:t>
      </w:r>
      <w:r w:rsidR="00D00CF0">
        <w:rPr>
          <w:sz w:val="26"/>
          <w:szCs w:val="26"/>
        </w:rPr>
        <w:t xml:space="preserve">; </w:t>
      </w:r>
      <w:r w:rsidR="00D00CF0">
        <w:rPr>
          <w:i/>
          <w:sz w:val="26"/>
          <w:szCs w:val="26"/>
        </w:rPr>
        <w:t xml:space="preserve">see also </w:t>
      </w:r>
      <w:r w:rsidR="00D00CF0">
        <w:rPr>
          <w:sz w:val="26"/>
          <w:szCs w:val="26"/>
        </w:rPr>
        <w:t xml:space="preserve">BFMA Answer at </w:t>
      </w:r>
      <w:r w:rsidR="00C24911">
        <w:rPr>
          <w:sz w:val="26"/>
          <w:szCs w:val="26"/>
        </w:rPr>
        <w:t>8</w:t>
      </w:r>
      <w:r>
        <w:rPr>
          <w:sz w:val="26"/>
          <w:szCs w:val="26"/>
        </w:rPr>
        <w:t xml:space="preserve">.  </w:t>
      </w:r>
    </w:p>
    <w:p w:rsidR="00B94F48" w:rsidRDefault="00B94F48" w:rsidP="00144773">
      <w:pPr>
        <w:widowControl/>
        <w:suppressAutoHyphens/>
        <w:spacing w:line="360" w:lineRule="auto"/>
        <w:rPr>
          <w:sz w:val="26"/>
          <w:szCs w:val="26"/>
        </w:rPr>
      </w:pPr>
    </w:p>
    <w:p w:rsidR="008D24B1" w:rsidRDefault="00FB1FE2" w:rsidP="00144773">
      <w:pPr>
        <w:widowControl/>
        <w:suppressAutoHyphens/>
        <w:spacing w:line="360" w:lineRule="auto"/>
        <w:rPr>
          <w:sz w:val="26"/>
          <w:szCs w:val="26"/>
        </w:rPr>
      </w:pPr>
      <w:r>
        <w:rPr>
          <w:sz w:val="26"/>
          <w:szCs w:val="26"/>
        </w:rPr>
        <w:tab/>
      </w:r>
      <w:r>
        <w:rPr>
          <w:sz w:val="26"/>
          <w:szCs w:val="26"/>
        </w:rPr>
        <w:tab/>
      </w:r>
      <w:r w:rsidRPr="00FB1FE2">
        <w:rPr>
          <w:sz w:val="26"/>
          <w:szCs w:val="26"/>
        </w:rPr>
        <w:t xml:space="preserve">NRG’s request to reverse our Order and reinstate the ALJ’s recommendation does not raise any new or novel issue.  Moreover, </w:t>
      </w:r>
      <w:r w:rsidR="00C24911">
        <w:rPr>
          <w:sz w:val="26"/>
          <w:szCs w:val="26"/>
        </w:rPr>
        <w:t xml:space="preserve">as stated, </w:t>
      </w:r>
      <w:r w:rsidRPr="00FB1FE2">
        <w:rPr>
          <w:sz w:val="26"/>
          <w:szCs w:val="26"/>
        </w:rPr>
        <w:t>acceptance of NRG’s argument would require that we adopt an ALJ’s recommendation that by necessity relies on the same alleged infirmity</w:t>
      </w:r>
      <w:r w:rsidR="00C24911">
        <w:rPr>
          <w:sz w:val="26"/>
          <w:szCs w:val="26"/>
        </w:rPr>
        <w:t xml:space="preserve"> on which NRG challenges the </w:t>
      </w:r>
      <w:r w:rsidR="00C24911">
        <w:rPr>
          <w:i/>
          <w:sz w:val="26"/>
          <w:szCs w:val="26"/>
        </w:rPr>
        <w:t>November 2014 Order</w:t>
      </w:r>
      <w:r w:rsidRPr="00FB1FE2">
        <w:rPr>
          <w:sz w:val="26"/>
          <w:szCs w:val="26"/>
        </w:rPr>
        <w:t xml:space="preserve">, i.e., the inability to “interpret” a contract.  </w:t>
      </w:r>
    </w:p>
    <w:p w:rsidR="0022476C" w:rsidRDefault="0022476C" w:rsidP="00144773">
      <w:pPr>
        <w:widowControl/>
        <w:suppressAutoHyphens/>
        <w:spacing w:line="360" w:lineRule="auto"/>
        <w:rPr>
          <w:sz w:val="26"/>
          <w:szCs w:val="26"/>
        </w:rPr>
      </w:pPr>
    </w:p>
    <w:p w:rsidR="00470713" w:rsidRDefault="008D24B1" w:rsidP="00144773">
      <w:pPr>
        <w:widowControl/>
        <w:suppressAutoHyphens/>
        <w:spacing w:line="360" w:lineRule="auto"/>
        <w:rPr>
          <w:sz w:val="26"/>
          <w:szCs w:val="26"/>
        </w:rPr>
      </w:pPr>
      <w:r>
        <w:rPr>
          <w:sz w:val="26"/>
          <w:szCs w:val="26"/>
        </w:rPr>
        <w:tab/>
      </w:r>
      <w:r>
        <w:rPr>
          <w:sz w:val="26"/>
          <w:szCs w:val="26"/>
        </w:rPr>
        <w:tab/>
        <w:t xml:space="preserve">NRG cannot invoke the Commission’s jurisdiction to </w:t>
      </w:r>
      <w:r w:rsidR="00706504">
        <w:rPr>
          <w:sz w:val="26"/>
          <w:szCs w:val="26"/>
        </w:rPr>
        <w:t>address</w:t>
      </w:r>
      <w:r w:rsidRPr="008D24B1">
        <w:rPr>
          <w:sz w:val="26"/>
          <w:szCs w:val="26"/>
        </w:rPr>
        <w:t xml:space="preserve"> </w:t>
      </w:r>
      <w:r>
        <w:rPr>
          <w:sz w:val="26"/>
          <w:szCs w:val="26"/>
        </w:rPr>
        <w:t>its</w:t>
      </w:r>
      <w:r w:rsidRPr="008D24B1">
        <w:rPr>
          <w:sz w:val="26"/>
          <w:szCs w:val="26"/>
        </w:rPr>
        <w:t xml:space="preserve"> claim </w:t>
      </w:r>
      <w:r w:rsidR="00985646">
        <w:rPr>
          <w:sz w:val="26"/>
          <w:szCs w:val="26"/>
        </w:rPr>
        <w:t xml:space="preserve">about the PPAs </w:t>
      </w:r>
      <w:r w:rsidR="00706504">
        <w:rPr>
          <w:sz w:val="26"/>
          <w:szCs w:val="26"/>
        </w:rPr>
        <w:t xml:space="preserve">and at the same time </w:t>
      </w:r>
      <w:r>
        <w:rPr>
          <w:sz w:val="26"/>
          <w:szCs w:val="26"/>
        </w:rPr>
        <w:t>deny the Commission t</w:t>
      </w:r>
      <w:r w:rsidRPr="008D24B1">
        <w:rPr>
          <w:sz w:val="26"/>
          <w:szCs w:val="26"/>
        </w:rPr>
        <w:t>he ability to look at the PPAs</w:t>
      </w:r>
      <w:r w:rsidR="00706504">
        <w:rPr>
          <w:sz w:val="26"/>
          <w:szCs w:val="26"/>
        </w:rPr>
        <w:t xml:space="preserve"> that NRG </w:t>
      </w:r>
      <w:r w:rsidR="00985646">
        <w:rPr>
          <w:sz w:val="26"/>
          <w:szCs w:val="26"/>
        </w:rPr>
        <w:t xml:space="preserve">itself </w:t>
      </w:r>
      <w:r w:rsidR="00706504">
        <w:rPr>
          <w:sz w:val="26"/>
          <w:szCs w:val="26"/>
        </w:rPr>
        <w:t>placed into evidence</w:t>
      </w:r>
      <w:r w:rsidR="00985646">
        <w:rPr>
          <w:sz w:val="26"/>
          <w:szCs w:val="26"/>
        </w:rPr>
        <w:t xml:space="preserve"> and discussed at length in its testimony</w:t>
      </w:r>
      <w:r w:rsidR="00072829">
        <w:rPr>
          <w:sz w:val="26"/>
          <w:szCs w:val="26"/>
        </w:rPr>
        <w:t xml:space="preserve">.  This is </w:t>
      </w:r>
      <w:r>
        <w:rPr>
          <w:sz w:val="26"/>
          <w:szCs w:val="26"/>
        </w:rPr>
        <w:t xml:space="preserve">particularly </w:t>
      </w:r>
      <w:r w:rsidR="00072829">
        <w:rPr>
          <w:sz w:val="26"/>
          <w:szCs w:val="26"/>
        </w:rPr>
        <w:t xml:space="preserve">so </w:t>
      </w:r>
      <w:r>
        <w:rPr>
          <w:sz w:val="26"/>
          <w:szCs w:val="26"/>
        </w:rPr>
        <w:t xml:space="preserve">when the </w:t>
      </w:r>
      <w:r w:rsidR="00706504">
        <w:rPr>
          <w:sz w:val="26"/>
          <w:szCs w:val="26"/>
        </w:rPr>
        <w:t xml:space="preserve">ALJ’s </w:t>
      </w:r>
      <w:r>
        <w:rPr>
          <w:sz w:val="26"/>
          <w:szCs w:val="26"/>
        </w:rPr>
        <w:t xml:space="preserve">recommendation </w:t>
      </w:r>
      <w:r w:rsidR="004B345B">
        <w:rPr>
          <w:sz w:val="26"/>
          <w:szCs w:val="26"/>
        </w:rPr>
        <w:t xml:space="preserve">that </w:t>
      </w:r>
      <w:r>
        <w:rPr>
          <w:sz w:val="26"/>
          <w:szCs w:val="26"/>
        </w:rPr>
        <w:t xml:space="preserve">NRG seeks to restore </w:t>
      </w:r>
      <w:r w:rsidR="00706504">
        <w:rPr>
          <w:sz w:val="26"/>
          <w:szCs w:val="26"/>
        </w:rPr>
        <w:t xml:space="preserve">requires </w:t>
      </w:r>
      <w:r>
        <w:rPr>
          <w:sz w:val="26"/>
          <w:szCs w:val="26"/>
        </w:rPr>
        <w:t>a</w:t>
      </w:r>
      <w:r w:rsidR="00072829">
        <w:rPr>
          <w:sz w:val="26"/>
          <w:szCs w:val="26"/>
        </w:rPr>
        <w:t>n identical analysis but reach</w:t>
      </w:r>
      <w:r w:rsidR="0022476C">
        <w:rPr>
          <w:sz w:val="26"/>
          <w:szCs w:val="26"/>
        </w:rPr>
        <w:t>es</w:t>
      </w:r>
      <w:r w:rsidR="00072829">
        <w:rPr>
          <w:sz w:val="26"/>
          <w:szCs w:val="26"/>
        </w:rPr>
        <w:t xml:space="preserve"> </w:t>
      </w:r>
      <w:r w:rsidR="00706504">
        <w:rPr>
          <w:sz w:val="26"/>
          <w:szCs w:val="26"/>
        </w:rPr>
        <w:t>an</w:t>
      </w:r>
      <w:r w:rsidR="00072829">
        <w:rPr>
          <w:sz w:val="26"/>
          <w:szCs w:val="26"/>
        </w:rPr>
        <w:t xml:space="preserve"> opposite conclusion</w:t>
      </w:r>
      <w:r w:rsidRPr="008D24B1">
        <w:rPr>
          <w:sz w:val="26"/>
          <w:szCs w:val="26"/>
        </w:rPr>
        <w:t>.</w:t>
      </w:r>
      <w:r>
        <w:rPr>
          <w:sz w:val="26"/>
          <w:szCs w:val="26"/>
        </w:rPr>
        <w:t xml:space="preserve">  </w:t>
      </w:r>
      <w:r w:rsidR="004B345B">
        <w:rPr>
          <w:sz w:val="26"/>
          <w:szCs w:val="26"/>
        </w:rPr>
        <w:t xml:space="preserve">Our </w:t>
      </w:r>
      <w:r w:rsidR="00706504">
        <w:rPr>
          <w:sz w:val="26"/>
          <w:szCs w:val="26"/>
        </w:rPr>
        <w:t>r</w:t>
      </w:r>
      <w:r w:rsidR="00985646">
        <w:rPr>
          <w:sz w:val="26"/>
          <w:szCs w:val="26"/>
        </w:rPr>
        <w:t>eview of Duquesne’s and BFMA’s E</w:t>
      </w:r>
      <w:r w:rsidR="00706504">
        <w:rPr>
          <w:sz w:val="26"/>
          <w:szCs w:val="26"/>
        </w:rPr>
        <w:t xml:space="preserve">xceptions to the ALJ’s recommendation </w:t>
      </w:r>
      <w:r w:rsidR="00072829">
        <w:rPr>
          <w:sz w:val="26"/>
          <w:szCs w:val="26"/>
        </w:rPr>
        <w:t>necessar</w:t>
      </w:r>
      <w:r w:rsidR="00706504">
        <w:rPr>
          <w:sz w:val="26"/>
          <w:szCs w:val="26"/>
        </w:rPr>
        <w:t>ily</w:t>
      </w:r>
      <w:r w:rsidR="00072829">
        <w:rPr>
          <w:sz w:val="26"/>
          <w:szCs w:val="26"/>
        </w:rPr>
        <w:t xml:space="preserve"> </w:t>
      </w:r>
      <w:r w:rsidR="00706504">
        <w:rPr>
          <w:sz w:val="26"/>
          <w:szCs w:val="26"/>
        </w:rPr>
        <w:t xml:space="preserve">invoked </w:t>
      </w:r>
      <w:r>
        <w:rPr>
          <w:sz w:val="26"/>
          <w:szCs w:val="26"/>
        </w:rPr>
        <w:t xml:space="preserve">review of the PPAs, </w:t>
      </w:r>
      <w:r w:rsidR="00072829">
        <w:rPr>
          <w:sz w:val="26"/>
          <w:szCs w:val="26"/>
        </w:rPr>
        <w:t xml:space="preserve">which </w:t>
      </w:r>
      <w:r w:rsidR="00706504">
        <w:rPr>
          <w:sz w:val="26"/>
          <w:szCs w:val="26"/>
        </w:rPr>
        <w:t xml:space="preserve">review </w:t>
      </w:r>
      <w:r w:rsidR="00072829">
        <w:rPr>
          <w:sz w:val="26"/>
          <w:szCs w:val="26"/>
        </w:rPr>
        <w:t xml:space="preserve">supported the conclusion that </w:t>
      </w:r>
      <w:r>
        <w:rPr>
          <w:sz w:val="26"/>
          <w:szCs w:val="26"/>
        </w:rPr>
        <w:t xml:space="preserve">those contracts had a definitive </w:t>
      </w:r>
      <w:r w:rsidR="00FB1FE2" w:rsidRPr="00FB1FE2">
        <w:rPr>
          <w:sz w:val="26"/>
          <w:szCs w:val="26"/>
        </w:rPr>
        <w:t xml:space="preserve">term, albeit not expressed in a traditional term of years.  </w:t>
      </w:r>
      <w:r w:rsidR="00BF4C9F">
        <w:rPr>
          <w:sz w:val="26"/>
          <w:szCs w:val="26"/>
        </w:rPr>
        <w:t xml:space="preserve">NRG </w:t>
      </w:r>
      <w:r w:rsidR="0038180C">
        <w:rPr>
          <w:sz w:val="26"/>
          <w:szCs w:val="26"/>
        </w:rPr>
        <w:t>offers</w:t>
      </w:r>
      <w:r w:rsidR="00BF4C9F">
        <w:rPr>
          <w:sz w:val="26"/>
          <w:szCs w:val="26"/>
        </w:rPr>
        <w:t xml:space="preserve"> no legal authority </w:t>
      </w:r>
      <w:r w:rsidR="008810DB">
        <w:rPr>
          <w:sz w:val="26"/>
          <w:szCs w:val="26"/>
        </w:rPr>
        <w:t xml:space="preserve">to </w:t>
      </w:r>
      <w:r w:rsidR="00FB1FE2">
        <w:rPr>
          <w:sz w:val="26"/>
          <w:szCs w:val="26"/>
        </w:rPr>
        <w:t>support or require</w:t>
      </w:r>
      <w:r w:rsidR="00BF4C9F">
        <w:rPr>
          <w:sz w:val="26"/>
          <w:szCs w:val="26"/>
        </w:rPr>
        <w:t xml:space="preserve"> </w:t>
      </w:r>
      <w:r w:rsidR="004B345B">
        <w:rPr>
          <w:sz w:val="26"/>
          <w:szCs w:val="26"/>
        </w:rPr>
        <w:t xml:space="preserve">its preferred </w:t>
      </w:r>
      <w:r w:rsidR="00BF4C9F">
        <w:rPr>
          <w:sz w:val="26"/>
          <w:szCs w:val="26"/>
        </w:rPr>
        <w:t xml:space="preserve">conclusion </w:t>
      </w:r>
      <w:r w:rsidR="004B345B">
        <w:rPr>
          <w:sz w:val="26"/>
          <w:szCs w:val="26"/>
        </w:rPr>
        <w:t xml:space="preserve">that a legally enforceable obligation over a specified term must be stated in a specific form </w:t>
      </w:r>
      <w:r w:rsidR="00706504">
        <w:rPr>
          <w:sz w:val="26"/>
          <w:szCs w:val="26"/>
        </w:rPr>
        <w:t>of</w:t>
      </w:r>
      <w:r w:rsidR="004B345B">
        <w:rPr>
          <w:sz w:val="26"/>
          <w:szCs w:val="26"/>
        </w:rPr>
        <w:t xml:space="preserve"> calendar years</w:t>
      </w:r>
      <w:r w:rsidR="005B422A">
        <w:rPr>
          <w:sz w:val="26"/>
          <w:szCs w:val="26"/>
        </w:rPr>
        <w:t>.  T</w:t>
      </w:r>
      <w:r w:rsidR="004B345B">
        <w:rPr>
          <w:sz w:val="26"/>
          <w:szCs w:val="26"/>
        </w:rPr>
        <w:t>herefore,</w:t>
      </w:r>
      <w:r w:rsidR="00BF4C9F">
        <w:rPr>
          <w:sz w:val="26"/>
          <w:szCs w:val="26"/>
        </w:rPr>
        <w:t xml:space="preserve"> </w:t>
      </w:r>
      <w:r w:rsidR="005B422A">
        <w:rPr>
          <w:sz w:val="26"/>
          <w:szCs w:val="26"/>
        </w:rPr>
        <w:t xml:space="preserve">although criticizing the </w:t>
      </w:r>
      <w:r w:rsidR="005B422A">
        <w:rPr>
          <w:i/>
          <w:sz w:val="26"/>
          <w:szCs w:val="26"/>
        </w:rPr>
        <w:t xml:space="preserve">November 2014 </w:t>
      </w:r>
      <w:r w:rsidR="005B422A" w:rsidRPr="005B422A">
        <w:rPr>
          <w:i/>
          <w:sz w:val="26"/>
          <w:szCs w:val="26"/>
        </w:rPr>
        <w:t>Order</w:t>
      </w:r>
      <w:r w:rsidR="005B422A">
        <w:rPr>
          <w:sz w:val="26"/>
          <w:szCs w:val="26"/>
        </w:rPr>
        <w:t xml:space="preserve">, NRG </w:t>
      </w:r>
      <w:r w:rsidR="00BF4C9F" w:rsidRPr="005B422A">
        <w:rPr>
          <w:sz w:val="26"/>
          <w:szCs w:val="26"/>
        </w:rPr>
        <w:t>presents</w:t>
      </w:r>
      <w:r w:rsidR="00BF4C9F">
        <w:rPr>
          <w:sz w:val="26"/>
          <w:szCs w:val="26"/>
        </w:rPr>
        <w:t xml:space="preserve"> nothing new or novel to </w:t>
      </w:r>
      <w:r w:rsidR="005B422A">
        <w:rPr>
          <w:sz w:val="26"/>
          <w:szCs w:val="26"/>
        </w:rPr>
        <w:t xml:space="preserve">the </w:t>
      </w:r>
      <w:r w:rsidR="00BF4C9F">
        <w:rPr>
          <w:sz w:val="26"/>
          <w:szCs w:val="26"/>
        </w:rPr>
        <w:t xml:space="preserve">analysis </w:t>
      </w:r>
      <w:r w:rsidR="00736AE6">
        <w:rPr>
          <w:sz w:val="26"/>
          <w:szCs w:val="26"/>
        </w:rPr>
        <w:t xml:space="preserve">except </w:t>
      </w:r>
      <w:r w:rsidR="008810DB">
        <w:rPr>
          <w:sz w:val="26"/>
          <w:szCs w:val="26"/>
        </w:rPr>
        <w:t xml:space="preserve">to note </w:t>
      </w:r>
      <w:r w:rsidR="00736AE6">
        <w:rPr>
          <w:sz w:val="26"/>
          <w:szCs w:val="26"/>
        </w:rPr>
        <w:t>its disagreement</w:t>
      </w:r>
      <w:r w:rsidR="008810DB">
        <w:rPr>
          <w:sz w:val="26"/>
          <w:szCs w:val="26"/>
        </w:rPr>
        <w:t xml:space="preserve"> with the outcome</w:t>
      </w:r>
      <w:r w:rsidR="00736AE6">
        <w:rPr>
          <w:sz w:val="26"/>
          <w:szCs w:val="26"/>
        </w:rPr>
        <w:t xml:space="preserve">.  </w:t>
      </w:r>
      <w:r w:rsidR="00D42743">
        <w:rPr>
          <w:sz w:val="26"/>
          <w:szCs w:val="26"/>
        </w:rPr>
        <w:t>As Duquesne contends, our jurisdiction cannot be contingent on the outcome</w:t>
      </w:r>
      <w:r w:rsidR="0022476C">
        <w:rPr>
          <w:sz w:val="26"/>
          <w:szCs w:val="26"/>
        </w:rPr>
        <w:t>.  I</w:t>
      </w:r>
      <w:r w:rsidR="007A4A49">
        <w:rPr>
          <w:sz w:val="26"/>
          <w:szCs w:val="26"/>
        </w:rPr>
        <w:t>n other words</w:t>
      </w:r>
      <w:r w:rsidR="0022476C">
        <w:rPr>
          <w:sz w:val="26"/>
          <w:szCs w:val="26"/>
        </w:rPr>
        <w:t xml:space="preserve">, NRG cannot contend that </w:t>
      </w:r>
      <w:r w:rsidR="00D42743">
        <w:rPr>
          <w:sz w:val="26"/>
          <w:szCs w:val="26"/>
        </w:rPr>
        <w:t xml:space="preserve">the ALJ has jurisdiction to find there is no </w:t>
      </w:r>
      <w:r w:rsidR="007A4A49">
        <w:rPr>
          <w:sz w:val="26"/>
          <w:szCs w:val="26"/>
        </w:rPr>
        <w:t xml:space="preserve">specified term for the </w:t>
      </w:r>
      <w:r w:rsidR="00D42743">
        <w:rPr>
          <w:sz w:val="26"/>
          <w:szCs w:val="26"/>
        </w:rPr>
        <w:t xml:space="preserve">contract </w:t>
      </w:r>
      <w:r w:rsidR="0022476C">
        <w:rPr>
          <w:sz w:val="26"/>
          <w:szCs w:val="26"/>
        </w:rPr>
        <w:t xml:space="preserve">but contend </w:t>
      </w:r>
      <w:r w:rsidR="0022476C">
        <w:rPr>
          <w:sz w:val="26"/>
          <w:szCs w:val="26"/>
        </w:rPr>
        <w:lastRenderedPageBreak/>
        <w:t>that the Commission l</w:t>
      </w:r>
      <w:r w:rsidR="007A4A49">
        <w:rPr>
          <w:sz w:val="26"/>
          <w:szCs w:val="26"/>
        </w:rPr>
        <w:t>ack</w:t>
      </w:r>
      <w:r w:rsidR="0022476C">
        <w:rPr>
          <w:sz w:val="26"/>
          <w:szCs w:val="26"/>
        </w:rPr>
        <w:t>s</w:t>
      </w:r>
      <w:r w:rsidR="007A4A49">
        <w:rPr>
          <w:sz w:val="26"/>
          <w:szCs w:val="26"/>
        </w:rPr>
        <w:t xml:space="preserve"> jurisdiction to review the same </w:t>
      </w:r>
      <w:r w:rsidR="0022476C">
        <w:rPr>
          <w:sz w:val="26"/>
          <w:szCs w:val="26"/>
        </w:rPr>
        <w:t>evidence</w:t>
      </w:r>
      <w:r w:rsidR="007A4A49">
        <w:rPr>
          <w:sz w:val="26"/>
          <w:szCs w:val="26"/>
        </w:rPr>
        <w:t xml:space="preserve"> and find the contrary</w:t>
      </w:r>
      <w:r w:rsidR="00D42743">
        <w:rPr>
          <w:sz w:val="26"/>
          <w:szCs w:val="26"/>
        </w:rPr>
        <w:t xml:space="preserve">.  </w:t>
      </w:r>
      <w:r w:rsidR="00470713" w:rsidRPr="00470713">
        <w:rPr>
          <w:sz w:val="26"/>
          <w:szCs w:val="26"/>
        </w:rPr>
        <w:t>The NRG Companies’ Petition for Reconsideration on this ground is denied.</w:t>
      </w:r>
    </w:p>
    <w:p w:rsidR="003F0B0F" w:rsidRDefault="003F0B0F" w:rsidP="00144773">
      <w:pPr>
        <w:widowControl/>
        <w:suppressAutoHyphens/>
        <w:spacing w:line="360" w:lineRule="auto"/>
        <w:rPr>
          <w:sz w:val="26"/>
          <w:szCs w:val="26"/>
        </w:rPr>
      </w:pPr>
    </w:p>
    <w:p w:rsidR="006F6612" w:rsidRDefault="00736AE6" w:rsidP="00144773">
      <w:pPr>
        <w:widowControl/>
        <w:suppressAutoHyphens/>
        <w:spacing w:line="360" w:lineRule="auto"/>
        <w:ind w:firstLine="1440"/>
        <w:rPr>
          <w:sz w:val="26"/>
          <w:szCs w:val="26"/>
        </w:rPr>
      </w:pPr>
      <w:r>
        <w:rPr>
          <w:sz w:val="26"/>
          <w:szCs w:val="26"/>
        </w:rPr>
        <w:t>NRG next contends that i</w:t>
      </w:r>
      <w:r w:rsidRPr="00736AE6">
        <w:rPr>
          <w:sz w:val="26"/>
          <w:szCs w:val="26"/>
        </w:rPr>
        <w:t>f we find the PPAs have a</w:t>
      </w:r>
      <w:r w:rsidR="00985646">
        <w:rPr>
          <w:sz w:val="26"/>
          <w:szCs w:val="26"/>
        </w:rPr>
        <w:t>n effective</w:t>
      </w:r>
      <w:r w:rsidRPr="00736AE6">
        <w:rPr>
          <w:sz w:val="26"/>
          <w:szCs w:val="26"/>
        </w:rPr>
        <w:t xml:space="preserve"> term, </w:t>
      </w:r>
      <w:r>
        <w:rPr>
          <w:sz w:val="26"/>
          <w:szCs w:val="26"/>
        </w:rPr>
        <w:t>s</w:t>
      </w:r>
      <w:r w:rsidRPr="00736AE6">
        <w:rPr>
          <w:sz w:val="26"/>
          <w:szCs w:val="26"/>
        </w:rPr>
        <w:t xml:space="preserve">ubstantial evidence </w:t>
      </w:r>
      <w:r>
        <w:rPr>
          <w:sz w:val="26"/>
          <w:szCs w:val="26"/>
        </w:rPr>
        <w:t>supports only one of</w:t>
      </w:r>
      <w:r w:rsidRPr="00736AE6">
        <w:rPr>
          <w:sz w:val="26"/>
          <w:szCs w:val="26"/>
        </w:rPr>
        <w:t xml:space="preserve"> two conclusions</w:t>
      </w:r>
      <w:r>
        <w:rPr>
          <w:sz w:val="26"/>
          <w:szCs w:val="26"/>
        </w:rPr>
        <w:t>:</w:t>
      </w:r>
      <w:r w:rsidRPr="00736AE6">
        <w:rPr>
          <w:sz w:val="26"/>
          <w:szCs w:val="26"/>
        </w:rPr>
        <w:t xml:space="preserve"> the term is unspecified or it is subject to our traditional tariffing process.  </w:t>
      </w:r>
      <w:r w:rsidR="00D42743">
        <w:rPr>
          <w:sz w:val="26"/>
          <w:szCs w:val="26"/>
        </w:rPr>
        <w:t>W</w:t>
      </w:r>
      <w:r w:rsidRPr="00736AE6">
        <w:rPr>
          <w:sz w:val="26"/>
          <w:szCs w:val="26"/>
        </w:rPr>
        <w:t xml:space="preserve">e disagree.  </w:t>
      </w:r>
      <w:r w:rsidR="0022476C">
        <w:rPr>
          <w:sz w:val="26"/>
          <w:szCs w:val="26"/>
        </w:rPr>
        <w:t xml:space="preserve">As discussed, the term is specified.  It is just not </w:t>
      </w:r>
      <w:r w:rsidR="005E682F">
        <w:rPr>
          <w:sz w:val="26"/>
          <w:szCs w:val="26"/>
        </w:rPr>
        <w:t>specified</w:t>
      </w:r>
      <w:r w:rsidR="0022476C">
        <w:rPr>
          <w:sz w:val="26"/>
          <w:szCs w:val="26"/>
        </w:rPr>
        <w:t xml:space="preserve"> in the manner NRG prefers.  </w:t>
      </w:r>
      <w:r w:rsidR="00D45394">
        <w:rPr>
          <w:sz w:val="26"/>
          <w:szCs w:val="26"/>
        </w:rPr>
        <w:t xml:space="preserve">Any contention that substantial evidence does not support this conclusion ignores the record developed in this proceeding.  </w:t>
      </w:r>
    </w:p>
    <w:p w:rsidR="00D45394" w:rsidRDefault="00D45394" w:rsidP="00144773">
      <w:pPr>
        <w:widowControl/>
        <w:suppressAutoHyphens/>
        <w:spacing w:line="360" w:lineRule="auto"/>
        <w:ind w:firstLine="1440"/>
        <w:rPr>
          <w:sz w:val="26"/>
          <w:szCs w:val="26"/>
        </w:rPr>
      </w:pPr>
    </w:p>
    <w:p w:rsidR="005B422A" w:rsidRDefault="00D45394" w:rsidP="00144773">
      <w:pPr>
        <w:widowControl/>
        <w:suppressAutoHyphens/>
        <w:spacing w:line="360" w:lineRule="auto"/>
        <w:ind w:firstLine="1440"/>
        <w:rPr>
          <w:sz w:val="26"/>
          <w:szCs w:val="26"/>
        </w:rPr>
      </w:pPr>
      <w:r w:rsidRPr="00D45394">
        <w:rPr>
          <w:sz w:val="26"/>
          <w:szCs w:val="26"/>
        </w:rPr>
        <w:t xml:space="preserve">The PPAs were entered into evidence.  </w:t>
      </w:r>
      <w:r w:rsidRPr="00D45394">
        <w:rPr>
          <w:i/>
          <w:sz w:val="26"/>
          <w:szCs w:val="26"/>
        </w:rPr>
        <w:t xml:space="preserve">See </w:t>
      </w:r>
      <w:r w:rsidRPr="00D45394">
        <w:rPr>
          <w:sz w:val="26"/>
          <w:szCs w:val="26"/>
        </w:rPr>
        <w:t xml:space="preserve">Duquesne Exs. WVP 3-R and WVP-4-R; NRG Midwest Exhibit No. 2 (all marked Highly Confidential).  The PPAs, the implications of change to the tariff on the PPAs, the effective term of the PPAs, the calculation of avoided costs under the PPAs, and other issues were also the subject of substantial testimony and cross-examination.  </w:t>
      </w:r>
      <w:r w:rsidRPr="00D45394">
        <w:rPr>
          <w:i/>
          <w:sz w:val="26"/>
          <w:szCs w:val="26"/>
        </w:rPr>
        <w:t xml:space="preserve">See, e.g., </w:t>
      </w:r>
      <w:r w:rsidRPr="00D45394">
        <w:rPr>
          <w:sz w:val="26"/>
          <w:szCs w:val="26"/>
        </w:rPr>
        <w:t xml:space="preserve">Duquesne Statement No. 12-R at 22-29; Duquesne Statement No. 12-RJ at 8-19; NRG Midwest Statement No. 1 at 3-4; NRG Midwest Statement No. 1-S at 2-11; and Tr. at 237, 245, 252, 256, 272-88, 300, 325-35, 369, 391, 399, 401, 436.  </w:t>
      </w:r>
      <w:r w:rsidR="0039524C">
        <w:rPr>
          <w:sz w:val="26"/>
          <w:szCs w:val="26"/>
        </w:rPr>
        <w:t>T</w:t>
      </w:r>
      <w:r w:rsidR="006F6612" w:rsidRPr="006F6612">
        <w:rPr>
          <w:sz w:val="26"/>
          <w:szCs w:val="26"/>
        </w:rPr>
        <w:t xml:space="preserve">he PPAs contain a “Term of Agreement” </w:t>
      </w:r>
      <w:r w:rsidR="0039524C">
        <w:rPr>
          <w:sz w:val="26"/>
          <w:szCs w:val="26"/>
        </w:rPr>
        <w:t xml:space="preserve">that describes the </w:t>
      </w:r>
      <w:r w:rsidR="00706504">
        <w:rPr>
          <w:sz w:val="26"/>
          <w:szCs w:val="26"/>
        </w:rPr>
        <w:t>conditions</w:t>
      </w:r>
      <w:r w:rsidR="0039524C">
        <w:rPr>
          <w:sz w:val="26"/>
          <w:szCs w:val="26"/>
        </w:rPr>
        <w:t xml:space="preserve"> under which the PPAs will remain in effect. </w:t>
      </w:r>
      <w:r w:rsidR="006F6612" w:rsidRPr="006F6612">
        <w:rPr>
          <w:sz w:val="26"/>
          <w:szCs w:val="26"/>
        </w:rPr>
        <w:t xml:space="preserve"> </w:t>
      </w:r>
    </w:p>
    <w:p w:rsidR="005B422A" w:rsidRDefault="005B422A" w:rsidP="00144773">
      <w:pPr>
        <w:widowControl/>
        <w:suppressAutoHyphens/>
        <w:spacing w:line="360" w:lineRule="auto"/>
        <w:ind w:firstLine="1440"/>
        <w:rPr>
          <w:sz w:val="26"/>
          <w:szCs w:val="26"/>
        </w:rPr>
      </w:pPr>
    </w:p>
    <w:p w:rsidR="0039524C" w:rsidRPr="0039524C" w:rsidRDefault="006F6612" w:rsidP="00144773">
      <w:pPr>
        <w:widowControl/>
        <w:suppressAutoHyphens/>
        <w:spacing w:line="360" w:lineRule="auto"/>
        <w:ind w:firstLine="1440"/>
        <w:rPr>
          <w:sz w:val="26"/>
          <w:szCs w:val="26"/>
        </w:rPr>
      </w:pPr>
      <w:r w:rsidRPr="006F6612">
        <w:rPr>
          <w:sz w:val="26"/>
          <w:szCs w:val="26"/>
        </w:rPr>
        <w:t xml:space="preserve">No </w:t>
      </w:r>
      <w:r w:rsidR="0039524C">
        <w:rPr>
          <w:sz w:val="26"/>
          <w:szCs w:val="26"/>
        </w:rPr>
        <w:t xml:space="preserve">particular </w:t>
      </w:r>
      <w:r w:rsidR="00BF11E2">
        <w:rPr>
          <w:sz w:val="26"/>
          <w:szCs w:val="26"/>
        </w:rPr>
        <w:t xml:space="preserve">interpretation of </w:t>
      </w:r>
      <w:r w:rsidR="0039524C">
        <w:rPr>
          <w:sz w:val="26"/>
          <w:szCs w:val="26"/>
        </w:rPr>
        <w:t xml:space="preserve">the duration of the PPAs was requested </w:t>
      </w:r>
      <w:r w:rsidRPr="006F6612">
        <w:rPr>
          <w:sz w:val="26"/>
          <w:szCs w:val="26"/>
        </w:rPr>
        <w:t>nor is one required</w:t>
      </w:r>
      <w:r>
        <w:rPr>
          <w:sz w:val="26"/>
          <w:szCs w:val="26"/>
        </w:rPr>
        <w:t xml:space="preserve">.  On the basis of the evidence before us, </w:t>
      </w:r>
      <w:r w:rsidR="00BF11E2">
        <w:rPr>
          <w:sz w:val="26"/>
          <w:szCs w:val="26"/>
        </w:rPr>
        <w:t xml:space="preserve">however, </w:t>
      </w:r>
      <w:r>
        <w:rPr>
          <w:sz w:val="26"/>
          <w:szCs w:val="26"/>
        </w:rPr>
        <w:t xml:space="preserve">we determined that </w:t>
      </w:r>
      <w:r w:rsidRPr="006F6612">
        <w:rPr>
          <w:sz w:val="26"/>
          <w:szCs w:val="26"/>
        </w:rPr>
        <w:t xml:space="preserve">the ALJ’s </w:t>
      </w:r>
      <w:r w:rsidR="005B422A">
        <w:rPr>
          <w:sz w:val="26"/>
          <w:szCs w:val="26"/>
        </w:rPr>
        <w:t>recommendation</w:t>
      </w:r>
      <w:r w:rsidR="00D45394">
        <w:rPr>
          <w:sz w:val="26"/>
          <w:szCs w:val="26"/>
        </w:rPr>
        <w:t>,</w:t>
      </w:r>
      <w:r w:rsidRPr="006F6612">
        <w:rPr>
          <w:sz w:val="26"/>
          <w:szCs w:val="26"/>
        </w:rPr>
        <w:t xml:space="preserve"> that the PPAs lack</w:t>
      </w:r>
      <w:r>
        <w:rPr>
          <w:sz w:val="26"/>
          <w:szCs w:val="26"/>
        </w:rPr>
        <w:t>ed</w:t>
      </w:r>
      <w:r w:rsidRPr="006F6612">
        <w:rPr>
          <w:sz w:val="26"/>
          <w:szCs w:val="26"/>
        </w:rPr>
        <w:t xml:space="preserve"> a </w:t>
      </w:r>
      <w:r w:rsidR="005B422A">
        <w:rPr>
          <w:sz w:val="26"/>
          <w:szCs w:val="26"/>
        </w:rPr>
        <w:t>specified</w:t>
      </w:r>
      <w:r w:rsidRPr="006F6612">
        <w:rPr>
          <w:sz w:val="26"/>
          <w:szCs w:val="26"/>
        </w:rPr>
        <w:t xml:space="preserve"> term and therefore </w:t>
      </w:r>
      <w:r w:rsidR="00D45394">
        <w:rPr>
          <w:sz w:val="26"/>
          <w:szCs w:val="26"/>
        </w:rPr>
        <w:t>were</w:t>
      </w:r>
      <w:r w:rsidRPr="006F6612">
        <w:rPr>
          <w:sz w:val="26"/>
          <w:szCs w:val="26"/>
        </w:rPr>
        <w:t xml:space="preserve"> not legally enforceable obligations </w:t>
      </w:r>
      <w:r w:rsidR="00D45394">
        <w:rPr>
          <w:sz w:val="26"/>
          <w:szCs w:val="26"/>
        </w:rPr>
        <w:t xml:space="preserve">allowing NRG to price the </w:t>
      </w:r>
      <w:r w:rsidRPr="006F6612">
        <w:rPr>
          <w:sz w:val="26"/>
          <w:szCs w:val="26"/>
        </w:rPr>
        <w:t>QFs</w:t>
      </w:r>
      <w:r w:rsidR="00D45394">
        <w:rPr>
          <w:sz w:val="26"/>
          <w:szCs w:val="26"/>
        </w:rPr>
        <w:t xml:space="preserve">’ energy </w:t>
      </w:r>
      <w:r w:rsidR="005B422A">
        <w:rPr>
          <w:sz w:val="26"/>
          <w:szCs w:val="26"/>
        </w:rPr>
        <w:t>at current standards under current state law</w:t>
      </w:r>
      <w:r>
        <w:rPr>
          <w:sz w:val="26"/>
          <w:szCs w:val="26"/>
        </w:rPr>
        <w:t xml:space="preserve">, was </w:t>
      </w:r>
      <w:r w:rsidR="00BF11E2">
        <w:rPr>
          <w:sz w:val="26"/>
          <w:szCs w:val="26"/>
        </w:rPr>
        <w:t>not supported by the evidence</w:t>
      </w:r>
      <w:r w:rsidRPr="006F6612">
        <w:rPr>
          <w:sz w:val="26"/>
          <w:szCs w:val="26"/>
        </w:rPr>
        <w:t xml:space="preserve">. </w:t>
      </w:r>
      <w:r w:rsidR="0039524C">
        <w:rPr>
          <w:sz w:val="26"/>
          <w:szCs w:val="26"/>
        </w:rPr>
        <w:t xml:space="preserve"> </w:t>
      </w:r>
      <w:r w:rsidR="0039524C" w:rsidRPr="0039524C">
        <w:rPr>
          <w:sz w:val="26"/>
          <w:szCs w:val="26"/>
        </w:rPr>
        <w:t xml:space="preserve">Our conclusion in the </w:t>
      </w:r>
      <w:r w:rsidR="0039524C" w:rsidRPr="0039524C">
        <w:rPr>
          <w:i/>
          <w:sz w:val="26"/>
          <w:szCs w:val="26"/>
        </w:rPr>
        <w:t xml:space="preserve">November 2014 Order </w:t>
      </w:r>
      <w:r w:rsidR="0039524C" w:rsidRPr="0039524C">
        <w:rPr>
          <w:sz w:val="26"/>
          <w:szCs w:val="26"/>
        </w:rPr>
        <w:t xml:space="preserve">that the PPAs are limited by a term defined by the continued availability of a price or the QFs’ continued desire to sell their output, preempting us from imposing a new price term for the QF purchased power as requested by NRG, is supported by </w:t>
      </w:r>
      <w:r w:rsidR="00BF11E2">
        <w:rPr>
          <w:sz w:val="26"/>
          <w:szCs w:val="26"/>
        </w:rPr>
        <w:t xml:space="preserve">the PPAs themselves. While NRG contends otherwise, it provides no new </w:t>
      </w:r>
      <w:r w:rsidR="00BF11E2">
        <w:rPr>
          <w:sz w:val="26"/>
          <w:szCs w:val="26"/>
        </w:rPr>
        <w:lastRenderedPageBreak/>
        <w:t xml:space="preserve">or novel argument nor does it point to any consideration that was overlooked to support its argument on reconsideration that substantial evidence supports only its conclusions. </w:t>
      </w:r>
    </w:p>
    <w:p w:rsidR="006F6612" w:rsidRPr="006F6612" w:rsidRDefault="006F6612" w:rsidP="00144773">
      <w:pPr>
        <w:widowControl/>
        <w:suppressAutoHyphens/>
        <w:spacing w:line="360" w:lineRule="auto"/>
        <w:ind w:firstLine="1440"/>
        <w:rPr>
          <w:sz w:val="26"/>
          <w:szCs w:val="26"/>
        </w:rPr>
      </w:pPr>
    </w:p>
    <w:p w:rsidR="006F6612" w:rsidRPr="006F6612" w:rsidRDefault="006F6612" w:rsidP="00144773">
      <w:pPr>
        <w:widowControl/>
        <w:suppressAutoHyphens/>
        <w:spacing w:line="360" w:lineRule="auto"/>
        <w:ind w:firstLine="1440"/>
        <w:rPr>
          <w:sz w:val="26"/>
          <w:szCs w:val="26"/>
        </w:rPr>
      </w:pPr>
      <w:r w:rsidRPr="006F6612">
        <w:rPr>
          <w:sz w:val="26"/>
          <w:szCs w:val="26"/>
        </w:rPr>
        <w:t xml:space="preserve">As we </w:t>
      </w:r>
      <w:r w:rsidR="0039524C">
        <w:rPr>
          <w:sz w:val="26"/>
          <w:szCs w:val="26"/>
        </w:rPr>
        <w:t xml:space="preserve">concluded </w:t>
      </w:r>
      <w:r w:rsidRPr="006F6612">
        <w:rPr>
          <w:sz w:val="26"/>
          <w:szCs w:val="26"/>
        </w:rPr>
        <w:t xml:space="preserve">in our </w:t>
      </w:r>
      <w:r w:rsidRPr="006F6612">
        <w:rPr>
          <w:i/>
          <w:sz w:val="26"/>
          <w:szCs w:val="26"/>
        </w:rPr>
        <w:t>November 2014 Order</w:t>
      </w:r>
      <w:r w:rsidRPr="006F6612">
        <w:rPr>
          <w:sz w:val="26"/>
          <w:szCs w:val="26"/>
        </w:rPr>
        <w:t>:</w:t>
      </w:r>
    </w:p>
    <w:p w:rsidR="006F6612" w:rsidRPr="006F6612" w:rsidRDefault="006F6612" w:rsidP="00144773">
      <w:pPr>
        <w:widowControl/>
        <w:suppressAutoHyphens/>
        <w:spacing w:line="360" w:lineRule="auto"/>
        <w:ind w:firstLine="1440"/>
        <w:rPr>
          <w:sz w:val="26"/>
          <w:szCs w:val="26"/>
        </w:rPr>
      </w:pPr>
    </w:p>
    <w:p w:rsidR="006F6612" w:rsidRPr="006F6612" w:rsidRDefault="006F6612" w:rsidP="00144773">
      <w:pPr>
        <w:widowControl/>
        <w:suppressAutoHyphens/>
        <w:ind w:left="1440" w:right="1440" w:firstLine="1440"/>
        <w:rPr>
          <w:sz w:val="26"/>
          <w:szCs w:val="26"/>
        </w:rPr>
      </w:pPr>
      <w:r w:rsidRPr="006F6612">
        <w:rPr>
          <w:sz w:val="26"/>
          <w:szCs w:val="26"/>
        </w:rPr>
        <w:t xml:space="preserve">Having thus analyzed the preemptive reach of Section 210(e) of PURPA, we turn to the ALJ’s recommendation that such preemption is not applicable here because in </w:t>
      </w:r>
      <w:r w:rsidRPr="006F6612">
        <w:rPr>
          <w:i/>
          <w:sz w:val="26"/>
          <w:szCs w:val="26"/>
        </w:rPr>
        <w:t>Freehold</w:t>
      </w:r>
      <w:r w:rsidRPr="006F6612">
        <w:rPr>
          <w:sz w:val="26"/>
          <w:szCs w:val="26"/>
        </w:rPr>
        <w:t xml:space="preserve"> and </w:t>
      </w:r>
      <w:r w:rsidRPr="006F6612">
        <w:rPr>
          <w:i/>
          <w:sz w:val="26"/>
          <w:szCs w:val="26"/>
        </w:rPr>
        <w:t>Scrubgrass I</w:t>
      </w:r>
      <w:r w:rsidRPr="006F6612">
        <w:rPr>
          <w:sz w:val="26"/>
          <w:szCs w:val="26"/>
        </w:rPr>
        <w:t>, the state commission had approved the PPA, the PPA contained the power purchase price, and the PPA contained a contract term defined specifically by set number of years.  R.D. at 29.  We find these distinctions by the ALJ to be insufficient to overcome the clear preemption of state rate regulation contained in Section 210(e) of PURPA. Based upon our analysis of those decisions, we believe that in determining the preemptive effect under PURPA, the proper analysis should look to substance and not form. In this respect, we must look to not only the substance of both parties’ obligations under the PPAs but also the impact our state action will have on those obligations.  We should not be constrained by form, either of the price (in a tariff) or of our actions (over that tariff rather than the PPA itself).</w:t>
      </w:r>
    </w:p>
    <w:p w:rsidR="006F6612" w:rsidRPr="006F6612" w:rsidRDefault="006F6612" w:rsidP="00144773">
      <w:pPr>
        <w:widowControl/>
        <w:suppressAutoHyphens/>
        <w:spacing w:line="360" w:lineRule="auto"/>
        <w:ind w:firstLine="1440"/>
        <w:rPr>
          <w:sz w:val="26"/>
          <w:szCs w:val="26"/>
        </w:rPr>
      </w:pPr>
    </w:p>
    <w:p w:rsidR="006F6612" w:rsidRPr="006F6612" w:rsidRDefault="006F6612" w:rsidP="00144773">
      <w:pPr>
        <w:widowControl/>
        <w:suppressAutoHyphens/>
        <w:spacing w:line="360" w:lineRule="auto"/>
        <w:rPr>
          <w:sz w:val="26"/>
          <w:szCs w:val="26"/>
        </w:rPr>
      </w:pPr>
      <w:r w:rsidRPr="006F6612">
        <w:rPr>
          <w:i/>
          <w:sz w:val="26"/>
          <w:szCs w:val="26"/>
        </w:rPr>
        <w:t xml:space="preserve">November 2014 Order </w:t>
      </w:r>
      <w:r w:rsidRPr="006F6612">
        <w:rPr>
          <w:sz w:val="26"/>
          <w:szCs w:val="26"/>
        </w:rPr>
        <w:t>at 58-59.   NRG fails to support its request for reconsideration.</w:t>
      </w:r>
    </w:p>
    <w:p w:rsidR="006F6612" w:rsidRPr="006F6612" w:rsidRDefault="006F6612" w:rsidP="00144773">
      <w:pPr>
        <w:widowControl/>
        <w:suppressAutoHyphens/>
        <w:spacing w:line="360" w:lineRule="auto"/>
        <w:ind w:firstLine="1440"/>
        <w:rPr>
          <w:sz w:val="26"/>
          <w:szCs w:val="26"/>
        </w:rPr>
      </w:pPr>
    </w:p>
    <w:p w:rsidR="001019D9" w:rsidRDefault="0039524C" w:rsidP="00144773">
      <w:pPr>
        <w:widowControl/>
        <w:suppressAutoHyphens/>
        <w:spacing w:line="360" w:lineRule="auto"/>
        <w:ind w:firstLine="1440"/>
        <w:rPr>
          <w:sz w:val="26"/>
          <w:szCs w:val="26"/>
        </w:rPr>
      </w:pPr>
      <w:r>
        <w:rPr>
          <w:sz w:val="26"/>
          <w:szCs w:val="26"/>
        </w:rPr>
        <w:t xml:space="preserve">NRG’s </w:t>
      </w:r>
      <w:r w:rsidR="00706504">
        <w:rPr>
          <w:sz w:val="26"/>
          <w:szCs w:val="26"/>
        </w:rPr>
        <w:t xml:space="preserve">alternative </w:t>
      </w:r>
      <w:r>
        <w:rPr>
          <w:sz w:val="26"/>
          <w:szCs w:val="26"/>
        </w:rPr>
        <w:t xml:space="preserve">argument that the PPAs remain subject to </w:t>
      </w:r>
      <w:r w:rsidRPr="0039524C">
        <w:rPr>
          <w:sz w:val="26"/>
          <w:szCs w:val="26"/>
        </w:rPr>
        <w:t xml:space="preserve">our traditional tariffing process </w:t>
      </w:r>
      <w:r>
        <w:rPr>
          <w:sz w:val="26"/>
          <w:szCs w:val="26"/>
        </w:rPr>
        <w:t>by virtue of Duquesne’s reservation of the unilateral right to file for a tariff modification also fails to present any new or novel argument.</w:t>
      </w:r>
      <w:r w:rsidR="005B422A">
        <w:rPr>
          <w:rStyle w:val="FootnoteReference"/>
          <w:sz w:val="26"/>
          <w:szCs w:val="26"/>
        </w:rPr>
        <w:footnoteReference w:id="10"/>
      </w:r>
      <w:r>
        <w:rPr>
          <w:sz w:val="26"/>
          <w:szCs w:val="26"/>
        </w:rPr>
        <w:t xml:space="preserve">  As we addressed at length in the </w:t>
      </w:r>
      <w:r>
        <w:rPr>
          <w:i/>
          <w:sz w:val="26"/>
          <w:szCs w:val="26"/>
        </w:rPr>
        <w:t xml:space="preserve">November 2014 </w:t>
      </w:r>
      <w:r w:rsidRPr="0039524C">
        <w:rPr>
          <w:i/>
          <w:sz w:val="26"/>
          <w:szCs w:val="26"/>
        </w:rPr>
        <w:t>Order</w:t>
      </w:r>
      <w:r>
        <w:rPr>
          <w:sz w:val="26"/>
          <w:szCs w:val="26"/>
        </w:rPr>
        <w:t xml:space="preserve">, </w:t>
      </w:r>
      <w:r w:rsidR="001019D9">
        <w:rPr>
          <w:sz w:val="26"/>
          <w:szCs w:val="26"/>
        </w:rPr>
        <w:t xml:space="preserve">we </w:t>
      </w:r>
      <w:r w:rsidR="005B422A">
        <w:rPr>
          <w:sz w:val="26"/>
          <w:szCs w:val="26"/>
        </w:rPr>
        <w:t>cannot f</w:t>
      </w:r>
      <w:r w:rsidR="00433602">
        <w:rPr>
          <w:sz w:val="26"/>
          <w:szCs w:val="26"/>
        </w:rPr>
        <w:t xml:space="preserve">ocus </w:t>
      </w:r>
      <w:r w:rsidR="001019D9">
        <w:rPr>
          <w:sz w:val="26"/>
          <w:szCs w:val="26"/>
        </w:rPr>
        <w:t xml:space="preserve">exclusively </w:t>
      </w:r>
      <w:r w:rsidR="00433602">
        <w:rPr>
          <w:sz w:val="26"/>
          <w:szCs w:val="26"/>
        </w:rPr>
        <w:t xml:space="preserve">on the </w:t>
      </w:r>
      <w:r w:rsidR="001019D9">
        <w:rPr>
          <w:sz w:val="26"/>
          <w:szCs w:val="26"/>
        </w:rPr>
        <w:t xml:space="preserve">form in which the pricing term was memorialized in the early 1980s when PURPA was still in its infancy and the vast body of interpretive case law that now </w:t>
      </w:r>
      <w:r w:rsidR="00706504">
        <w:rPr>
          <w:sz w:val="26"/>
          <w:szCs w:val="26"/>
        </w:rPr>
        <w:t>controls</w:t>
      </w:r>
      <w:r w:rsidR="001019D9">
        <w:rPr>
          <w:sz w:val="26"/>
          <w:szCs w:val="26"/>
        </w:rPr>
        <w:t xml:space="preserve"> was </w:t>
      </w:r>
      <w:r w:rsidR="005B422A">
        <w:rPr>
          <w:sz w:val="26"/>
          <w:szCs w:val="26"/>
        </w:rPr>
        <w:t>non-existent</w:t>
      </w:r>
      <w:r w:rsidR="001019D9">
        <w:rPr>
          <w:sz w:val="26"/>
          <w:szCs w:val="26"/>
        </w:rPr>
        <w:t xml:space="preserve">.  </w:t>
      </w:r>
      <w:r w:rsidR="001019D9">
        <w:rPr>
          <w:sz w:val="26"/>
          <w:szCs w:val="26"/>
        </w:rPr>
        <w:lastRenderedPageBreak/>
        <w:t xml:space="preserve">We thoroughly reviewed our </w:t>
      </w:r>
      <w:r w:rsidR="00706504">
        <w:rPr>
          <w:sz w:val="26"/>
          <w:szCs w:val="26"/>
        </w:rPr>
        <w:t>jurisdiction</w:t>
      </w:r>
      <w:r w:rsidR="001019D9">
        <w:rPr>
          <w:sz w:val="26"/>
          <w:szCs w:val="26"/>
        </w:rPr>
        <w:t xml:space="preserve"> to continue to regulate the purchased power price by virtue of our authority over the state tariff and concluded as follows:</w:t>
      </w:r>
    </w:p>
    <w:p w:rsidR="001019D9" w:rsidRDefault="001019D9" w:rsidP="00144773">
      <w:pPr>
        <w:widowControl/>
        <w:suppressAutoHyphens/>
        <w:spacing w:line="360" w:lineRule="auto"/>
        <w:ind w:firstLine="1440"/>
        <w:rPr>
          <w:sz w:val="26"/>
          <w:szCs w:val="26"/>
        </w:rPr>
      </w:pPr>
    </w:p>
    <w:p w:rsidR="001019D9" w:rsidRPr="001019D9" w:rsidRDefault="001019D9" w:rsidP="00144773">
      <w:pPr>
        <w:widowControl/>
        <w:suppressAutoHyphens/>
        <w:ind w:left="1440" w:right="1440" w:firstLine="1440"/>
        <w:rPr>
          <w:sz w:val="26"/>
          <w:szCs w:val="26"/>
        </w:rPr>
      </w:pPr>
      <w:r w:rsidRPr="001019D9">
        <w:rPr>
          <w:sz w:val="26"/>
          <w:szCs w:val="26"/>
        </w:rPr>
        <w:t>While our jurisdiction over state tariffs is generally unquestioned, we believe it injudiciously narrows our analysis of the unique issue raised in NRG’s Complaint to circumscribe our review in terms of traditional state review of a traditional state tariff. To decide this proceeding solely on the basis of our traditional state rate regulatory jurisdiction, in the face of a fundamental challenge to our jurisdiction, would have us ignore the implications of our actions, both past and present, based on the form our action takes rather than the substance invoked. When the singular reason for the tariff’s existence is to memorialize the pricing term for contracts entered into under federal law, done at a time when the state implications and even our own regulations under this law were novel and unfolding, we are wise to engage in a more thorough analysis of the impact our actions will have on these contracts.  These PPAs do not exist in a vacuum. They have a long and rich statutory, administrative, and judicial history, the significance of which is critical to any analysis of a claim invoking state jurisdiction that will directly impact the rights and obligations under them.</w:t>
      </w:r>
    </w:p>
    <w:p w:rsidR="001019D9" w:rsidRDefault="001019D9" w:rsidP="00144773">
      <w:pPr>
        <w:widowControl/>
        <w:suppressAutoHyphens/>
        <w:spacing w:line="360" w:lineRule="auto"/>
        <w:ind w:firstLine="1440"/>
        <w:rPr>
          <w:sz w:val="26"/>
          <w:szCs w:val="26"/>
        </w:rPr>
      </w:pPr>
    </w:p>
    <w:p w:rsidR="001019D9" w:rsidRDefault="001019D9" w:rsidP="00144773">
      <w:pPr>
        <w:widowControl/>
        <w:suppressAutoHyphens/>
        <w:spacing w:line="360" w:lineRule="auto"/>
        <w:ind w:left="2160" w:firstLine="1440"/>
        <w:rPr>
          <w:sz w:val="26"/>
          <w:szCs w:val="26"/>
        </w:rPr>
      </w:pPr>
      <w:r>
        <w:rPr>
          <w:sz w:val="26"/>
          <w:szCs w:val="26"/>
        </w:rPr>
        <w:t>*</w:t>
      </w:r>
      <w:r>
        <w:rPr>
          <w:sz w:val="26"/>
          <w:szCs w:val="26"/>
        </w:rPr>
        <w:tab/>
        <w:t>*</w:t>
      </w:r>
      <w:r>
        <w:rPr>
          <w:sz w:val="26"/>
          <w:szCs w:val="26"/>
        </w:rPr>
        <w:tab/>
        <w:t>*</w:t>
      </w:r>
    </w:p>
    <w:p w:rsidR="001019D9" w:rsidRDefault="001019D9" w:rsidP="00144773">
      <w:pPr>
        <w:widowControl/>
        <w:suppressAutoHyphens/>
        <w:spacing w:line="360" w:lineRule="auto"/>
        <w:ind w:firstLine="1440"/>
        <w:rPr>
          <w:sz w:val="26"/>
          <w:szCs w:val="26"/>
        </w:rPr>
      </w:pPr>
    </w:p>
    <w:p w:rsidR="00AF0E84" w:rsidRPr="00C960FF" w:rsidRDefault="001019D9" w:rsidP="00144773">
      <w:pPr>
        <w:widowControl/>
        <w:tabs>
          <w:tab w:val="left" w:pos="720"/>
          <w:tab w:val="left" w:pos="1440"/>
        </w:tabs>
        <w:ind w:left="1440" w:right="1440" w:hanging="1440"/>
        <w:rPr>
          <w:sz w:val="26"/>
          <w:szCs w:val="26"/>
        </w:rPr>
      </w:pPr>
      <w:r>
        <w:rPr>
          <w:sz w:val="26"/>
          <w:szCs w:val="26"/>
        </w:rPr>
        <w:t xml:space="preserve"> </w:t>
      </w:r>
      <w:r w:rsidR="00AF0E84">
        <w:rPr>
          <w:sz w:val="26"/>
          <w:szCs w:val="26"/>
        </w:rPr>
        <w:tab/>
      </w:r>
      <w:r w:rsidR="00AF0E84">
        <w:rPr>
          <w:sz w:val="26"/>
          <w:szCs w:val="26"/>
        </w:rPr>
        <w:tab/>
        <w:t>Further, the ALJ r</w:t>
      </w:r>
      <w:r w:rsidR="00AF0E84" w:rsidRPr="00C960FF">
        <w:rPr>
          <w:sz w:val="26"/>
          <w:szCs w:val="26"/>
        </w:rPr>
        <w:t>eference</w:t>
      </w:r>
      <w:r w:rsidR="00AF0E84">
        <w:rPr>
          <w:sz w:val="26"/>
          <w:szCs w:val="26"/>
        </w:rPr>
        <w:t xml:space="preserve">s our statement in the </w:t>
      </w:r>
      <w:r w:rsidR="00AF0E84">
        <w:rPr>
          <w:i/>
          <w:sz w:val="26"/>
          <w:szCs w:val="26"/>
        </w:rPr>
        <w:t>Duquesne 1987 Order</w:t>
      </w:r>
      <w:r w:rsidR="00AF0E84" w:rsidRPr="003277D4">
        <w:rPr>
          <w:sz w:val="26"/>
          <w:szCs w:val="26"/>
        </w:rPr>
        <w:t>,</w:t>
      </w:r>
      <w:r w:rsidR="00AF0E84">
        <w:rPr>
          <w:i/>
          <w:sz w:val="26"/>
          <w:szCs w:val="26"/>
        </w:rPr>
        <w:t xml:space="preserve"> </w:t>
      </w:r>
      <w:r w:rsidR="00AF0E84">
        <w:rPr>
          <w:sz w:val="26"/>
          <w:szCs w:val="26"/>
        </w:rPr>
        <w:t>that a</w:t>
      </w:r>
      <w:r w:rsidR="00AF0E84" w:rsidRPr="00C960FF">
        <w:rPr>
          <w:sz w:val="26"/>
          <w:szCs w:val="26"/>
        </w:rPr>
        <w:t xml:space="preserve"> rate contained in a Commission-approved tariff</w:t>
      </w:r>
      <w:r w:rsidR="00AF0E84">
        <w:rPr>
          <w:sz w:val="26"/>
          <w:szCs w:val="26"/>
        </w:rPr>
        <w:t xml:space="preserve"> </w:t>
      </w:r>
      <w:r w:rsidR="00AF0E84" w:rsidRPr="00C960FF">
        <w:rPr>
          <w:sz w:val="26"/>
          <w:szCs w:val="26"/>
        </w:rPr>
        <w:t>remain</w:t>
      </w:r>
      <w:r w:rsidR="00AF0E84">
        <w:rPr>
          <w:sz w:val="26"/>
          <w:szCs w:val="26"/>
        </w:rPr>
        <w:t>ed</w:t>
      </w:r>
      <w:r w:rsidR="00AF0E84" w:rsidRPr="00C960FF">
        <w:rPr>
          <w:sz w:val="26"/>
          <w:szCs w:val="26"/>
        </w:rPr>
        <w:t xml:space="preserve"> just and reasonable until we determined otherwise, a</w:t>
      </w:r>
      <w:r w:rsidR="00AF0E84">
        <w:rPr>
          <w:sz w:val="26"/>
          <w:szCs w:val="26"/>
        </w:rPr>
        <w:t xml:space="preserve">s evidence that we “foresaw that as [we] gained experience with Congress’s relatively new legislation and implementing rates under PURPA, in time, there may be a need to modify the Rider No. 18 rate.” R.D. at 28. Our statement then, however, </w:t>
      </w:r>
      <w:r w:rsidR="00AF0E84" w:rsidRPr="00C960FF">
        <w:rPr>
          <w:sz w:val="26"/>
          <w:szCs w:val="26"/>
        </w:rPr>
        <w:t>predated</w:t>
      </w:r>
      <w:r w:rsidR="00AF0E84">
        <w:rPr>
          <w:sz w:val="26"/>
          <w:szCs w:val="26"/>
        </w:rPr>
        <w:t xml:space="preserve"> the preemptive holding of </w:t>
      </w:r>
      <w:r w:rsidR="00AF0E84" w:rsidRPr="00C960FF">
        <w:rPr>
          <w:i/>
          <w:sz w:val="26"/>
          <w:szCs w:val="26"/>
        </w:rPr>
        <w:t>Freehold</w:t>
      </w:r>
      <w:r w:rsidR="00AF0E84" w:rsidRPr="00C960FF">
        <w:rPr>
          <w:sz w:val="26"/>
          <w:szCs w:val="26"/>
        </w:rPr>
        <w:t xml:space="preserve"> </w:t>
      </w:r>
      <w:r w:rsidR="00AF0E84">
        <w:rPr>
          <w:sz w:val="26"/>
          <w:szCs w:val="26"/>
        </w:rPr>
        <w:t xml:space="preserve">and also predated our own statement in </w:t>
      </w:r>
      <w:r w:rsidR="00AF0E84" w:rsidRPr="00962294">
        <w:rPr>
          <w:i/>
          <w:sz w:val="26"/>
          <w:szCs w:val="26"/>
        </w:rPr>
        <w:t>Scrubgrass I</w:t>
      </w:r>
      <w:r w:rsidR="00AF0E84">
        <w:rPr>
          <w:sz w:val="26"/>
          <w:szCs w:val="26"/>
        </w:rPr>
        <w:t xml:space="preserve"> in which we recognized a state’s inability to revisit an approved PURPA rate under its traditional ratemaking authority. </w:t>
      </w:r>
      <w:r w:rsidR="00AF0E84" w:rsidRPr="00C960FF">
        <w:rPr>
          <w:sz w:val="26"/>
          <w:szCs w:val="26"/>
        </w:rPr>
        <w:t xml:space="preserve"> We did not then, as we do not now, revise the rate to reflect the result of what may be a different avoided cost rate if we were to recalculate that rate on an ongoing basis.  </w:t>
      </w:r>
    </w:p>
    <w:p w:rsidR="00AF0E84" w:rsidRDefault="00AF0E84" w:rsidP="00144773">
      <w:pPr>
        <w:widowControl/>
        <w:tabs>
          <w:tab w:val="left" w:pos="720"/>
          <w:tab w:val="left" w:pos="1440"/>
        </w:tabs>
        <w:ind w:left="1440" w:right="1440" w:hanging="1440"/>
        <w:rPr>
          <w:sz w:val="26"/>
          <w:szCs w:val="26"/>
        </w:rPr>
      </w:pPr>
    </w:p>
    <w:p w:rsidR="00AF0E84" w:rsidRPr="00543744" w:rsidRDefault="00AF0E84" w:rsidP="00144773">
      <w:pPr>
        <w:widowControl/>
        <w:tabs>
          <w:tab w:val="left" w:pos="720"/>
          <w:tab w:val="left" w:pos="1440"/>
        </w:tabs>
        <w:ind w:left="1440" w:right="1440" w:firstLine="1440"/>
        <w:rPr>
          <w:sz w:val="26"/>
          <w:szCs w:val="26"/>
        </w:rPr>
      </w:pPr>
      <w:r>
        <w:rPr>
          <w:sz w:val="26"/>
          <w:szCs w:val="26"/>
        </w:rPr>
        <w:t xml:space="preserve">The ALJ also held out Duquesne’s reservation of the </w:t>
      </w:r>
      <w:r w:rsidRPr="00543744">
        <w:rPr>
          <w:sz w:val="26"/>
          <w:szCs w:val="26"/>
        </w:rPr>
        <w:t>unilateral right to file a new tariff</w:t>
      </w:r>
      <w:r>
        <w:rPr>
          <w:sz w:val="26"/>
          <w:szCs w:val="26"/>
        </w:rPr>
        <w:t xml:space="preserve">ed rate as proof that the PPA rate may be revised. </w:t>
      </w:r>
      <w:r w:rsidRPr="00543744">
        <w:rPr>
          <w:sz w:val="26"/>
          <w:szCs w:val="26"/>
        </w:rPr>
        <w:t xml:space="preserve"> </w:t>
      </w:r>
      <w:r>
        <w:rPr>
          <w:sz w:val="26"/>
          <w:szCs w:val="26"/>
        </w:rPr>
        <w:t>We disagree.  W</w:t>
      </w:r>
      <w:r w:rsidRPr="00543744">
        <w:rPr>
          <w:sz w:val="26"/>
          <w:szCs w:val="26"/>
        </w:rPr>
        <w:t>hile the Company may at any time choose to file a new tariff, nothing guarantees that the Commission would approve such a tariff, particularly if the other party to the contract</w:t>
      </w:r>
      <w:r>
        <w:rPr>
          <w:sz w:val="26"/>
          <w:szCs w:val="26"/>
        </w:rPr>
        <w:t xml:space="preserve">ual obligation </w:t>
      </w:r>
      <w:r w:rsidRPr="00543744">
        <w:rPr>
          <w:sz w:val="26"/>
          <w:szCs w:val="26"/>
        </w:rPr>
        <w:t xml:space="preserve">objected. Filing to change a tariff </w:t>
      </w:r>
      <w:r>
        <w:rPr>
          <w:sz w:val="26"/>
          <w:szCs w:val="26"/>
        </w:rPr>
        <w:t xml:space="preserve">is </w:t>
      </w:r>
      <w:r w:rsidRPr="00543744">
        <w:rPr>
          <w:sz w:val="26"/>
          <w:szCs w:val="26"/>
        </w:rPr>
        <w:t xml:space="preserve">no more than an opening move on one party’s part to renegotiate the contract, a right that both parties to the contract already enjoy. </w:t>
      </w:r>
      <w:r>
        <w:rPr>
          <w:sz w:val="26"/>
          <w:szCs w:val="26"/>
        </w:rPr>
        <w:t xml:space="preserve">Any discussion of Duquesne’s reservation in 1981 of the right to file to modify a tariff ignores the subsequent decisions like </w:t>
      </w:r>
      <w:r>
        <w:rPr>
          <w:i/>
          <w:sz w:val="26"/>
          <w:szCs w:val="26"/>
        </w:rPr>
        <w:t xml:space="preserve">Freehold </w:t>
      </w:r>
      <w:r>
        <w:rPr>
          <w:sz w:val="26"/>
          <w:szCs w:val="26"/>
        </w:rPr>
        <w:t xml:space="preserve">that clarified that </w:t>
      </w:r>
      <w:r w:rsidRPr="00543744">
        <w:rPr>
          <w:sz w:val="26"/>
          <w:szCs w:val="26"/>
        </w:rPr>
        <w:t>no matter Duquesne’s intention in including the PPA pricing term in a state tariff, the state cannot mandate a price change to an existing QF contract. We simply cannot force parties to renegotiate</w:t>
      </w:r>
      <w:r w:rsidRPr="00C3497E">
        <w:rPr>
          <w:sz w:val="26"/>
          <w:szCs w:val="26"/>
        </w:rPr>
        <w:t>.</w:t>
      </w:r>
    </w:p>
    <w:p w:rsidR="001019D9" w:rsidRDefault="001019D9" w:rsidP="00144773">
      <w:pPr>
        <w:widowControl/>
        <w:suppressAutoHyphens/>
        <w:spacing w:line="360" w:lineRule="auto"/>
        <w:ind w:firstLine="1440"/>
        <w:rPr>
          <w:sz w:val="26"/>
          <w:szCs w:val="26"/>
        </w:rPr>
      </w:pPr>
    </w:p>
    <w:p w:rsidR="001019D9" w:rsidRPr="001019D9" w:rsidRDefault="001019D9" w:rsidP="00144773">
      <w:pPr>
        <w:widowControl/>
        <w:suppressAutoHyphens/>
        <w:spacing w:line="360" w:lineRule="auto"/>
        <w:rPr>
          <w:sz w:val="26"/>
          <w:szCs w:val="26"/>
        </w:rPr>
      </w:pPr>
      <w:r>
        <w:rPr>
          <w:i/>
          <w:sz w:val="26"/>
          <w:szCs w:val="26"/>
        </w:rPr>
        <w:t>November 2014 Order</w:t>
      </w:r>
      <w:r>
        <w:rPr>
          <w:sz w:val="26"/>
          <w:szCs w:val="26"/>
        </w:rPr>
        <w:t xml:space="preserve"> at 43-44, 66-67.</w:t>
      </w:r>
    </w:p>
    <w:p w:rsidR="001019D9" w:rsidRDefault="001019D9" w:rsidP="00144773">
      <w:pPr>
        <w:widowControl/>
        <w:suppressAutoHyphens/>
        <w:spacing w:line="360" w:lineRule="auto"/>
        <w:ind w:firstLine="1440"/>
        <w:rPr>
          <w:sz w:val="26"/>
          <w:szCs w:val="26"/>
        </w:rPr>
      </w:pPr>
    </w:p>
    <w:p w:rsidR="004B7944" w:rsidRDefault="00AF0E84" w:rsidP="00144773">
      <w:pPr>
        <w:widowControl/>
        <w:suppressAutoHyphens/>
        <w:spacing w:line="360" w:lineRule="auto"/>
        <w:ind w:firstLine="1440"/>
        <w:rPr>
          <w:sz w:val="26"/>
          <w:szCs w:val="26"/>
        </w:rPr>
      </w:pPr>
      <w:r>
        <w:rPr>
          <w:sz w:val="26"/>
          <w:szCs w:val="26"/>
        </w:rPr>
        <w:t>An</w:t>
      </w:r>
      <w:r w:rsidR="00497151">
        <w:rPr>
          <w:sz w:val="26"/>
          <w:szCs w:val="26"/>
        </w:rPr>
        <w:t>y</w:t>
      </w:r>
      <w:r>
        <w:rPr>
          <w:sz w:val="26"/>
          <w:szCs w:val="26"/>
        </w:rPr>
        <w:t xml:space="preserve"> opportunity </w:t>
      </w:r>
      <w:r w:rsidR="00706504">
        <w:rPr>
          <w:sz w:val="26"/>
          <w:szCs w:val="26"/>
        </w:rPr>
        <w:t xml:space="preserve">to effectuate a change to that price that </w:t>
      </w:r>
      <w:r w:rsidR="00F25FB6">
        <w:rPr>
          <w:sz w:val="26"/>
          <w:szCs w:val="26"/>
        </w:rPr>
        <w:t>the parties</w:t>
      </w:r>
      <w:r>
        <w:rPr>
          <w:sz w:val="26"/>
          <w:szCs w:val="26"/>
        </w:rPr>
        <w:t xml:space="preserve"> </w:t>
      </w:r>
      <w:r w:rsidR="00706504">
        <w:rPr>
          <w:sz w:val="26"/>
          <w:szCs w:val="26"/>
        </w:rPr>
        <w:t xml:space="preserve">may have </w:t>
      </w:r>
      <w:r w:rsidR="00F25FB6">
        <w:rPr>
          <w:sz w:val="26"/>
          <w:szCs w:val="26"/>
        </w:rPr>
        <w:t xml:space="preserve">thought continued </w:t>
      </w:r>
      <w:r w:rsidR="002417D8">
        <w:rPr>
          <w:sz w:val="26"/>
          <w:szCs w:val="26"/>
        </w:rPr>
        <w:t>to exist</w:t>
      </w:r>
      <w:r w:rsidR="00985646">
        <w:rPr>
          <w:sz w:val="26"/>
          <w:szCs w:val="26"/>
        </w:rPr>
        <w:t>,</w:t>
      </w:r>
      <w:r w:rsidR="002417D8">
        <w:rPr>
          <w:sz w:val="26"/>
          <w:szCs w:val="26"/>
        </w:rPr>
        <w:t xml:space="preserve"> by virtue of t</w:t>
      </w:r>
      <w:r w:rsidR="00F25FB6">
        <w:rPr>
          <w:sz w:val="26"/>
          <w:szCs w:val="26"/>
        </w:rPr>
        <w:t>he Commission</w:t>
      </w:r>
      <w:r w:rsidR="002417D8">
        <w:rPr>
          <w:sz w:val="26"/>
          <w:szCs w:val="26"/>
        </w:rPr>
        <w:t xml:space="preserve">’s ability to </w:t>
      </w:r>
      <w:r w:rsidR="002417D8" w:rsidRPr="00BD3532">
        <w:rPr>
          <w:i/>
          <w:sz w:val="26"/>
          <w:szCs w:val="26"/>
        </w:rPr>
        <w:t>mandate</w:t>
      </w:r>
      <w:r w:rsidR="002417D8">
        <w:rPr>
          <w:sz w:val="26"/>
          <w:szCs w:val="26"/>
        </w:rPr>
        <w:t xml:space="preserve"> a change </w:t>
      </w:r>
      <w:r w:rsidR="00985646">
        <w:rPr>
          <w:sz w:val="26"/>
          <w:szCs w:val="26"/>
        </w:rPr>
        <w:t xml:space="preserve">– at any party’s request – to </w:t>
      </w:r>
      <w:r w:rsidR="002417D8">
        <w:rPr>
          <w:sz w:val="26"/>
          <w:szCs w:val="26"/>
        </w:rPr>
        <w:t xml:space="preserve">a state tariff </w:t>
      </w:r>
      <w:r w:rsidR="00751E71">
        <w:rPr>
          <w:sz w:val="26"/>
          <w:szCs w:val="26"/>
        </w:rPr>
        <w:t>under authority of state regulatory law</w:t>
      </w:r>
      <w:r w:rsidR="00985646">
        <w:rPr>
          <w:sz w:val="26"/>
          <w:szCs w:val="26"/>
        </w:rPr>
        <w:t>,</w:t>
      </w:r>
      <w:r w:rsidR="00751E71">
        <w:rPr>
          <w:sz w:val="26"/>
          <w:szCs w:val="26"/>
        </w:rPr>
        <w:t xml:space="preserve"> </w:t>
      </w:r>
      <w:r>
        <w:rPr>
          <w:sz w:val="26"/>
          <w:szCs w:val="26"/>
        </w:rPr>
        <w:t xml:space="preserve">was </w:t>
      </w:r>
      <w:r w:rsidR="002417D8">
        <w:rPr>
          <w:sz w:val="26"/>
          <w:szCs w:val="26"/>
        </w:rPr>
        <w:t xml:space="preserve">squarely addressed </w:t>
      </w:r>
      <w:r w:rsidR="00BD3532">
        <w:rPr>
          <w:sz w:val="26"/>
          <w:szCs w:val="26"/>
        </w:rPr>
        <w:t xml:space="preserve">in our </w:t>
      </w:r>
      <w:r w:rsidR="00BD3532">
        <w:rPr>
          <w:i/>
          <w:sz w:val="26"/>
          <w:szCs w:val="26"/>
        </w:rPr>
        <w:t xml:space="preserve">November 2014 </w:t>
      </w:r>
      <w:r w:rsidR="00BD3532" w:rsidRPr="00BD3532">
        <w:rPr>
          <w:i/>
          <w:sz w:val="26"/>
          <w:szCs w:val="26"/>
        </w:rPr>
        <w:t>Order</w:t>
      </w:r>
      <w:r w:rsidR="00BD3532">
        <w:rPr>
          <w:sz w:val="26"/>
          <w:szCs w:val="26"/>
        </w:rPr>
        <w:t>.  A</w:t>
      </w:r>
      <w:r w:rsidR="00497151">
        <w:rPr>
          <w:sz w:val="26"/>
          <w:szCs w:val="26"/>
        </w:rPr>
        <w:t>fter</w:t>
      </w:r>
      <w:r w:rsidR="002417D8">
        <w:rPr>
          <w:sz w:val="26"/>
          <w:szCs w:val="26"/>
        </w:rPr>
        <w:t xml:space="preserve"> the court decisions rendered in </w:t>
      </w:r>
      <w:r w:rsidR="00736AE6" w:rsidRPr="00736AE6">
        <w:rPr>
          <w:i/>
          <w:sz w:val="26"/>
          <w:szCs w:val="26"/>
        </w:rPr>
        <w:t>Freehold</w:t>
      </w:r>
      <w:r w:rsidR="002417D8">
        <w:rPr>
          <w:sz w:val="26"/>
          <w:szCs w:val="26"/>
        </w:rPr>
        <w:t xml:space="preserve"> and the substantial body of case law discussed in the </w:t>
      </w:r>
      <w:r w:rsidR="002417D8">
        <w:rPr>
          <w:i/>
          <w:sz w:val="26"/>
          <w:szCs w:val="26"/>
        </w:rPr>
        <w:t>November 2014 Order</w:t>
      </w:r>
      <w:r w:rsidR="00BD3532">
        <w:rPr>
          <w:sz w:val="26"/>
          <w:szCs w:val="26"/>
        </w:rPr>
        <w:t xml:space="preserve">, that state authority is clearly </w:t>
      </w:r>
      <w:r w:rsidR="00BD3532" w:rsidRPr="00BD3532">
        <w:rPr>
          <w:sz w:val="26"/>
          <w:szCs w:val="26"/>
        </w:rPr>
        <w:t>preempted</w:t>
      </w:r>
      <w:r>
        <w:rPr>
          <w:sz w:val="26"/>
          <w:szCs w:val="26"/>
        </w:rPr>
        <w:t xml:space="preserve">. </w:t>
      </w:r>
      <w:r w:rsidR="00E016D0">
        <w:rPr>
          <w:sz w:val="26"/>
          <w:szCs w:val="26"/>
        </w:rPr>
        <w:t xml:space="preserve"> </w:t>
      </w:r>
      <w:r w:rsidR="00F25FB6">
        <w:rPr>
          <w:sz w:val="26"/>
          <w:szCs w:val="26"/>
        </w:rPr>
        <w:t xml:space="preserve">As we stated in the </w:t>
      </w:r>
      <w:r w:rsidR="00F25FB6">
        <w:rPr>
          <w:i/>
          <w:sz w:val="26"/>
          <w:szCs w:val="26"/>
        </w:rPr>
        <w:t xml:space="preserve">November 2014 </w:t>
      </w:r>
      <w:r w:rsidR="00F25FB6" w:rsidRPr="00F25FB6">
        <w:rPr>
          <w:i/>
          <w:sz w:val="26"/>
          <w:szCs w:val="26"/>
        </w:rPr>
        <w:t>Order</w:t>
      </w:r>
      <w:r w:rsidR="00F25FB6">
        <w:rPr>
          <w:sz w:val="26"/>
          <w:szCs w:val="26"/>
        </w:rPr>
        <w:t>, e</w:t>
      </w:r>
      <w:r w:rsidRPr="00F25FB6">
        <w:rPr>
          <w:sz w:val="26"/>
          <w:szCs w:val="26"/>
        </w:rPr>
        <w:t>ither</w:t>
      </w:r>
      <w:r>
        <w:rPr>
          <w:sz w:val="26"/>
          <w:szCs w:val="26"/>
        </w:rPr>
        <w:t xml:space="preserve"> party may seek to negotiate with the other to modify the price.  However, </w:t>
      </w:r>
      <w:r w:rsidR="00736AE6">
        <w:rPr>
          <w:i/>
          <w:sz w:val="26"/>
          <w:szCs w:val="26"/>
        </w:rPr>
        <w:t xml:space="preserve">Freehold </w:t>
      </w:r>
      <w:r w:rsidR="00736AE6">
        <w:rPr>
          <w:sz w:val="26"/>
          <w:szCs w:val="26"/>
        </w:rPr>
        <w:t xml:space="preserve">clarified that state commissions lack the jurisdiction to impose new pricing terms upon </w:t>
      </w:r>
      <w:r w:rsidR="00304BCB">
        <w:rPr>
          <w:sz w:val="26"/>
          <w:szCs w:val="26"/>
        </w:rPr>
        <w:t>parties</w:t>
      </w:r>
      <w:r w:rsidR="00736AE6">
        <w:rPr>
          <w:sz w:val="26"/>
          <w:szCs w:val="26"/>
        </w:rPr>
        <w:t xml:space="preserve"> under exercise of our state authority, including the authority </w:t>
      </w:r>
      <w:r w:rsidR="00F25FB6">
        <w:rPr>
          <w:sz w:val="26"/>
          <w:szCs w:val="26"/>
        </w:rPr>
        <w:t xml:space="preserve">to find that under the current state of regulatory law </w:t>
      </w:r>
      <w:r w:rsidR="00736AE6">
        <w:rPr>
          <w:sz w:val="26"/>
          <w:szCs w:val="26"/>
        </w:rPr>
        <w:t>tariff</w:t>
      </w:r>
      <w:r w:rsidR="00F25FB6">
        <w:rPr>
          <w:sz w:val="26"/>
          <w:szCs w:val="26"/>
        </w:rPr>
        <w:t xml:space="preserve">ed rates </w:t>
      </w:r>
      <w:r w:rsidR="002417D8">
        <w:rPr>
          <w:sz w:val="26"/>
          <w:szCs w:val="26"/>
        </w:rPr>
        <w:t xml:space="preserve">were </w:t>
      </w:r>
      <w:r w:rsidR="00F25FB6">
        <w:rPr>
          <w:sz w:val="26"/>
          <w:szCs w:val="26"/>
        </w:rPr>
        <w:t>no longer just and reasonable</w:t>
      </w:r>
      <w:r w:rsidR="00736AE6">
        <w:rPr>
          <w:sz w:val="26"/>
          <w:szCs w:val="26"/>
        </w:rPr>
        <w:t xml:space="preserve">. </w:t>
      </w:r>
      <w:r w:rsidR="00BF40EE">
        <w:rPr>
          <w:sz w:val="26"/>
          <w:szCs w:val="26"/>
        </w:rPr>
        <w:t xml:space="preserve"> </w:t>
      </w:r>
      <w:r w:rsidR="004B7944">
        <w:rPr>
          <w:sz w:val="26"/>
          <w:szCs w:val="26"/>
        </w:rPr>
        <w:t>The</w:t>
      </w:r>
      <w:r w:rsidR="00BF40EE">
        <w:rPr>
          <w:sz w:val="26"/>
          <w:szCs w:val="26"/>
        </w:rPr>
        <w:t xml:space="preserve"> </w:t>
      </w:r>
      <w:r w:rsidR="00304BCB">
        <w:rPr>
          <w:sz w:val="26"/>
          <w:szCs w:val="26"/>
        </w:rPr>
        <w:t>parties</w:t>
      </w:r>
      <w:r w:rsidR="00BF40EE">
        <w:rPr>
          <w:sz w:val="26"/>
          <w:szCs w:val="26"/>
        </w:rPr>
        <w:t xml:space="preserve"> to the contracts </w:t>
      </w:r>
      <w:r w:rsidR="004B7944">
        <w:rPr>
          <w:sz w:val="26"/>
          <w:szCs w:val="26"/>
        </w:rPr>
        <w:t xml:space="preserve">may </w:t>
      </w:r>
      <w:r w:rsidR="00BF40EE">
        <w:rPr>
          <w:sz w:val="26"/>
          <w:szCs w:val="26"/>
        </w:rPr>
        <w:t>choose to renegotiate and present revised terms</w:t>
      </w:r>
      <w:r w:rsidR="004B7944">
        <w:rPr>
          <w:sz w:val="26"/>
          <w:szCs w:val="26"/>
        </w:rPr>
        <w:t xml:space="preserve"> for our review</w:t>
      </w:r>
      <w:r w:rsidR="00BF40EE">
        <w:rPr>
          <w:sz w:val="26"/>
          <w:szCs w:val="26"/>
        </w:rPr>
        <w:t xml:space="preserve">.  Our ability to impose that relief on </w:t>
      </w:r>
      <w:r w:rsidR="00304BCB">
        <w:rPr>
          <w:sz w:val="26"/>
          <w:szCs w:val="26"/>
        </w:rPr>
        <w:t>parties</w:t>
      </w:r>
      <w:r w:rsidR="00751E71">
        <w:rPr>
          <w:sz w:val="26"/>
          <w:szCs w:val="26"/>
        </w:rPr>
        <w:t>,</w:t>
      </w:r>
      <w:r w:rsidR="00BF40EE">
        <w:rPr>
          <w:sz w:val="26"/>
          <w:szCs w:val="26"/>
        </w:rPr>
        <w:t xml:space="preserve"> </w:t>
      </w:r>
      <w:r w:rsidR="009D4890">
        <w:rPr>
          <w:sz w:val="26"/>
          <w:szCs w:val="26"/>
        </w:rPr>
        <w:t>however</w:t>
      </w:r>
      <w:r w:rsidR="004B7944">
        <w:rPr>
          <w:sz w:val="26"/>
          <w:szCs w:val="26"/>
        </w:rPr>
        <w:t>, is preempted</w:t>
      </w:r>
      <w:r w:rsidR="00BF40EE">
        <w:rPr>
          <w:sz w:val="26"/>
          <w:szCs w:val="26"/>
        </w:rPr>
        <w:t>.</w:t>
      </w:r>
    </w:p>
    <w:p w:rsidR="004B7944" w:rsidRDefault="004B7944" w:rsidP="00144773">
      <w:pPr>
        <w:widowControl/>
        <w:suppressAutoHyphens/>
        <w:spacing w:line="360" w:lineRule="auto"/>
        <w:ind w:firstLine="1440"/>
        <w:rPr>
          <w:sz w:val="26"/>
          <w:szCs w:val="26"/>
        </w:rPr>
      </w:pPr>
    </w:p>
    <w:p w:rsidR="00D45394" w:rsidRPr="00D45394" w:rsidRDefault="00BF40EE" w:rsidP="00144773">
      <w:pPr>
        <w:widowControl/>
        <w:suppressAutoHyphens/>
        <w:spacing w:line="360" w:lineRule="auto"/>
        <w:ind w:firstLine="1440"/>
        <w:rPr>
          <w:sz w:val="26"/>
          <w:szCs w:val="26"/>
        </w:rPr>
      </w:pPr>
      <w:r w:rsidRPr="009D4890">
        <w:rPr>
          <w:sz w:val="26"/>
          <w:szCs w:val="26"/>
        </w:rPr>
        <w:t>NRG’s</w:t>
      </w:r>
      <w:r>
        <w:rPr>
          <w:sz w:val="26"/>
          <w:szCs w:val="26"/>
        </w:rPr>
        <w:t xml:space="preserve"> continued argument that we are “free to exercise (our) traditional and ordinary tariff review powers to remove or modify Rider No. 18 as being inconsistent </w:t>
      </w:r>
      <w:r>
        <w:rPr>
          <w:sz w:val="26"/>
          <w:szCs w:val="26"/>
        </w:rPr>
        <w:lastRenderedPageBreak/>
        <w:t>with the current Pennsylvania regulatory scheme</w:t>
      </w:r>
      <w:r w:rsidR="00B87B35">
        <w:rPr>
          <w:sz w:val="26"/>
          <w:szCs w:val="26"/>
        </w:rPr>
        <w:t>[,]</w:t>
      </w:r>
      <w:r>
        <w:rPr>
          <w:sz w:val="26"/>
          <w:szCs w:val="26"/>
        </w:rPr>
        <w:t>” Petition at 14</w:t>
      </w:r>
      <w:r w:rsidR="00B87B35">
        <w:rPr>
          <w:sz w:val="26"/>
          <w:szCs w:val="26"/>
        </w:rPr>
        <w:t>,</w:t>
      </w:r>
      <w:r>
        <w:rPr>
          <w:sz w:val="26"/>
          <w:szCs w:val="26"/>
        </w:rPr>
        <w:t xml:space="preserve"> cannot be reconciled with PURPA’s preemption of traditional utility-type ratemaking powers for the reasons stated in our </w:t>
      </w:r>
      <w:r>
        <w:rPr>
          <w:i/>
          <w:sz w:val="26"/>
          <w:szCs w:val="26"/>
        </w:rPr>
        <w:t>November 2014 Order</w:t>
      </w:r>
      <w:r w:rsidR="004B7944">
        <w:rPr>
          <w:i/>
          <w:sz w:val="26"/>
          <w:szCs w:val="26"/>
        </w:rPr>
        <w:t>.</w:t>
      </w:r>
      <w:r>
        <w:rPr>
          <w:sz w:val="26"/>
          <w:szCs w:val="26"/>
        </w:rPr>
        <w:t xml:space="preserve"> </w:t>
      </w:r>
      <w:r w:rsidR="004B7944">
        <w:rPr>
          <w:sz w:val="26"/>
          <w:szCs w:val="26"/>
        </w:rPr>
        <w:t xml:space="preserve">NRG’s request for reconsideration on this basis </w:t>
      </w:r>
      <w:r>
        <w:rPr>
          <w:sz w:val="26"/>
          <w:szCs w:val="26"/>
        </w:rPr>
        <w:t>present</w:t>
      </w:r>
      <w:r w:rsidR="00751E71">
        <w:rPr>
          <w:sz w:val="26"/>
          <w:szCs w:val="26"/>
        </w:rPr>
        <w:t>s</w:t>
      </w:r>
      <w:r>
        <w:rPr>
          <w:sz w:val="26"/>
          <w:szCs w:val="26"/>
        </w:rPr>
        <w:t xml:space="preserve"> nothing new or novel </w:t>
      </w:r>
      <w:r w:rsidR="00751E71">
        <w:rPr>
          <w:sz w:val="26"/>
          <w:szCs w:val="26"/>
        </w:rPr>
        <w:t>n</w:t>
      </w:r>
      <w:r>
        <w:rPr>
          <w:sz w:val="26"/>
          <w:szCs w:val="26"/>
        </w:rPr>
        <w:t>or caus</w:t>
      </w:r>
      <w:r w:rsidR="00751E71">
        <w:rPr>
          <w:sz w:val="26"/>
          <w:szCs w:val="26"/>
        </w:rPr>
        <w:t>es</w:t>
      </w:r>
      <w:r>
        <w:rPr>
          <w:sz w:val="26"/>
          <w:szCs w:val="26"/>
        </w:rPr>
        <w:t xml:space="preserve"> us to rethink our </w:t>
      </w:r>
      <w:r w:rsidR="009D4890">
        <w:rPr>
          <w:sz w:val="26"/>
          <w:szCs w:val="26"/>
        </w:rPr>
        <w:t>conclusion</w:t>
      </w:r>
      <w:r>
        <w:rPr>
          <w:sz w:val="26"/>
          <w:szCs w:val="26"/>
        </w:rPr>
        <w:t xml:space="preserve">.  </w:t>
      </w:r>
      <w:r w:rsidR="00D45394" w:rsidRPr="00D45394">
        <w:rPr>
          <w:sz w:val="26"/>
          <w:szCs w:val="26"/>
        </w:rPr>
        <w:t xml:space="preserve">As exhaustively </w:t>
      </w:r>
      <w:r w:rsidR="00751E71">
        <w:rPr>
          <w:sz w:val="26"/>
          <w:szCs w:val="26"/>
        </w:rPr>
        <w:t>addressed</w:t>
      </w:r>
      <w:r w:rsidR="00D45394" w:rsidRPr="00D45394">
        <w:rPr>
          <w:sz w:val="26"/>
          <w:szCs w:val="26"/>
        </w:rPr>
        <w:t xml:space="preserve"> in the </w:t>
      </w:r>
      <w:r w:rsidR="00D45394" w:rsidRPr="00D45394">
        <w:rPr>
          <w:i/>
          <w:sz w:val="26"/>
          <w:szCs w:val="26"/>
        </w:rPr>
        <w:t>November 2014 Order</w:t>
      </w:r>
      <w:r w:rsidR="00D45394" w:rsidRPr="00D45394">
        <w:rPr>
          <w:sz w:val="26"/>
          <w:szCs w:val="26"/>
        </w:rPr>
        <w:t>,</w:t>
      </w:r>
      <w:r w:rsidR="00D45394" w:rsidRPr="00D45394">
        <w:rPr>
          <w:i/>
          <w:sz w:val="26"/>
          <w:szCs w:val="26"/>
        </w:rPr>
        <w:t xml:space="preserve"> </w:t>
      </w:r>
      <w:r w:rsidR="00D45394" w:rsidRPr="00D45394">
        <w:rPr>
          <w:sz w:val="26"/>
          <w:szCs w:val="26"/>
        </w:rPr>
        <w:t xml:space="preserve">we are preempted under PURPA from compelling a revision, under authority of </w:t>
      </w:r>
      <w:r w:rsidR="00751E71">
        <w:rPr>
          <w:sz w:val="26"/>
          <w:szCs w:val="26"/>
        </w:rPr>
        <w:t xml:space="preserve">current </w:t>
      </w:r>
      <w:r w:rsidR="00D45394" w:rsidRPr="00D45394">
        <w:rPr>
          <w:sz w:val="26"/>
          <w:szCs w:val="26"/>
        </w:rPr>
        <w:t xml:space="preserve">state regulatory law, to </w:t>
      </w:r>
      <w:r w:rsidR="00D45394">
        <w:rPr>
          <w:sz w:val="26"/>
          <w:szCs w:val="26"/>
        </w:rPr>
        <w:t xml:space="preserve">the </w:t>
      </w:r>
      <w:r w:rsidR="00D45394" w:rsidRPr="00D45394">
        <w:rPr>
          <w:sz w:val="26"/>
          <w:szCs w:val="26"/>
        </w:rPr>
        <w:t xml:space="preserve">PURPA QF </w:t>
      </w:r>
      <w:r w:rsidR="00D45394">
        <w:rPr>
          <w:sz w:val="26"/>
          <w:szCs w:val="26"/>
        </w:rPr>
        <w:t xml:space="preserve">PPAs’ </w:t>
      </w:r>
      <w:r w:rsidR="00D45394" w:rsidRPr="00D45394">
        <w:rPr>
          <w:sz w:val="26"/>
          <w:szCs w:val="26"/>
        </w:rPr>
        <w:t>purchased power price.</w:t>
      </w:r>
    </w:p>
    <w:p w:rsidR="009D4890" w:rsidRDefault="009D4890" w:rsidP="00144773">
      <w:pPr>
        <w:widowControl/>
        <w:suppressAutoHyphens/>
        <w:spacing w:line="360" w:lineRule="auto"/>
        <w:ind w:firstLine="1440"/>
        <w:rPr>
          <w:sz w:val="26"/>
          <w:szCs w:val="26"/>
        </w:rPr>
      </w:pPr>
    </w:p>
    <w:p w:rsidR="009D4890" w:rsidRDefault="00497151" w:rsidP="00144773">
      <w:pPr>
        <w:widowControl/>
        <w:suppressAutoHyphens/>
        <w:spacing w:line="360" w:lineRule="auto"/>
        <w:ind w:firstLine="1440"/>
        <w:rPr>
          <w:sz w:val="26"/>
          <w:szCs w:val="26"/>
        </w:rPr>
      </w:pPr>
      <w:r>
        <w:rPr>
          <w:sz w:val="26"/>
          <w:szCs w:val="26"/>
        </w:rPr>
        <w:t>Finally, NRG requests relief in the form of clarification of our Order that would have us de</w:t>
      </w:r>
      <w:r w:rsidR="0017673D">
        <w:rPr>
          <w:sz w:val="26"/>
          <w:szCs w:val="26"/>
        </w:rPr>
        <w:t>clare</w:t>
      </w:r>
      <w:r w:rsidR="00C12BCC">
        <w:rPr>
          <w:sz w:val="26"/>
          <w:szCs w:val="26"/>
        </w:rPr>
        <w:t>,</w:t>
      </w:r>
      <w:r w:rsidR="0017673D">
        <w:rPr>
          <w:sz w:val="26"/>
          <w:szCs w:val="26"/>
        </w:rPr>
        <w:t xml:space="preserve"> on reconsideration</w:t>
      </w:r>
      <w:r w:rsidR="00C12BCC">
        <w:rPr>
          <w:sz w:val="26"/>
          <w:szCs w:val="26"/>
        </w:rPr>
        <w:t>,</w:t>
      </w:r>
      <w:r w:rsidR="0017673D">
        <w:rPr>
          <w:sz w:val="26"/>
          <w:szCs w:val="26"/>
        </w:rPr>
        <w:t xml:space="preserve"> what the Order does or does not do for purposes of framing NRG’s potential future actions involving the PPAs.</w:t>
      </w:r>
      <w:r w:rsidR="00C12BCC">
        <w:rPr>
          <w:sz w:val="26"/>
          <w:szCs w:val="26"/>
        </w:rPr>
        <w:t xml:space="preserve">  Specifically, NRG requests that we clarify that we have never approved the PPAs, that NRG is not precluded from seeking judicial review of the PPAs, that NRG is not precluded from seeking Commission modification of the PPAs, and that the Commission has not decided proper ownership of the AECs.  NRG Petition at 22.  </w:t>
      </w:r>
    </w:p>
    <w:p w:rsidR="00C31574" w:rsidRDefault="00C31574" w:rsidP="00144773">
      <w:pPr>
        <w:widowControl/>
        <w:autoSpaceDE w:val="0"/>
        <w:autoSpaceDN w:val="0"/>
        <w:adjustRightInd w:val="0"/>
        <w:spacing w:line="360" w:lineRule="auto"/>
        <w:rPr>
          <w:sz w:val="26"/>
        </w:rPr>
      </w:pPr>
    </w:p>
    <w:p w:rsidR="00C00FBA" w:rsidRDefault="00C12BCC" w:rsidP="00144773">
      <w:pPr>
        <w:widowControl/>
        <w:autoSpaceDE w:val="0"/>
        <w:autoSpaceDN w:val="0"/>
        <w:adjustRightInd w:val="0"/>
        <w:spacing w:line="360" w:lineRule="auto"/>
        <w:rPr>
          <w:sz w:val="26"/>
        </w:rPr>
      </w:pPr>
      <w:r>
        <w:rPr>
          <w:sz w:val="26"/>
        </w:rPr>
        <w:tab/>
      </w:r>
      <w:r>
        <w:rPr>
          <w:sz w:val="26"/>
        </w:rPr>
        <w:tab/>
        <w:t xml:space="preserve">Duquesne characterizes NRG’s request, which it casts as a new request for relief fraught with due process deficiencies, as “ensur[ing] that the NRG Companies may have a second bite at the proverbial apple by seeking relief in a different proceeding or forum.”   Duquesne Answer at 17.  BFMA contends that the relief requested “amounts to an advisory opinion by asking the Commission to opine that the Final Order” does not approve the PPAs or preclude NRG from seeking </w:t>
      </w:r>
      <w:r w:rsidR="00C00FBA">
        <w:rPr>
          <w:sz w:val="26"/>
        </w:rPr>
        <w:t xml:space="preserve">other </w:t>
      </w:r>
      <w:r>
        <w:rPr>
          <w:sz w:val="26"/>
        </w:rPr>
        <w:t xml:space="preserve">relief </w:t>
      </w:r>
      <w:r w:rsidR="00C00FBA">
        <w:rPr>
          <w:sz w:val="26"/>
        </w:rPr>
        <w:t>from a</w:t>
      </w:r>
      <w:r>
        <w:rPr>
          <w:sz w:val="26"/>
        </w:rPr>
        <w:t>nother for</w:t>
      </w:r>
      <w:r w:rsidR="00AC4892">
        <w:rPr>
          <w:sz w:val="26"/>
        </w:rPr>
        <w:t>u</w:t>
      </w:r>
      <w:r>
        <w:rPr>
          <w:sz w:val="26"/>
        </w:rPr>
        <w:t xml:space="preserve">m </w:t>
      </w:r>
      <w:r w:rsidR="00C00FBA">
        <w:rPr>
          <w:sz w:val="26"/>
        </w:rPr>
        <w:t>at another time.  BFMA Answer at 12.</w:t>
      </w:r>
      <w:r w:rsidR="00F25FB6">
        <w:rPr>
          <w:sz w:val="26"/>
        </w:rPr>
        <w:t xml:space="preserve">  We agree with both</w:t>
      </w:r>
      <w:r w:rsidR="00B87B35">
        <w:rPr>
          <w:sz w:val="26"/>
        </w:rPr>
        <w:t xml:space="preserve"> Duquesne and BFMA</w:t>
      </w:r>
      <w:r w:rsidR="00F25FB6">
        <w:rPr>
          <w:sz w:val="26"/>
        </w:rPr>
        <w:t>.</w:t>
      </w:r>
    </w:p>
    <w:p w:rsidR="00C00FBA" w:rsidRDefault="00C00FBA" w:rsidP="00144773">
      <w:pPr>
        <w:widowControl/>
        <w:autoSpaceDE w:val="0"/>
        <w:autoSpaceDN w:val="0"/>
        <w:adjustRightInd w:val="0"/>
        <w:spacing w:line="360" w:lineRule="auto"/>
        <w:rPr>
          <w:sz w:val="26"/>
        </w:rPr>
      </w:pPr>
    </w:p>
    <w:p w:rsidR="007F517F" w:rsidRDefault="00C00FBA" w:rsidP="00144773">
      <w:pPr>
        <w:widowControl/>
        <w:autoSpaceDE w:val="0"/>
        <w:autoSpaceDN w:val="0"/>
        <w:adjustRightInd w:val="0"/>
        <w:spacing w:line="360" w:lineRule="auto"/>
        <w:rPr>
          <w:sz w:val="26"/>
        </w:rPr>
      </w:pPr>
      <w:r>
        <w:rPr>
          <w:sz w:val="26"/>
        </w:rPr>
        <w:tab/>
      </w:r>
      <w:r>
        <w:rPr>
          <w:sz w:val="26"/>
        </w:rPr>
        <w:tab/>
        <w:t xml:space="preserve">We have previously declined to </w:t>
      </w:r>
      <w:r w:rsidR="00751E71">
        <w:rPr>
          <w:sz w:val="26"/>
        </w:rPr>
        <w:t>render</w:t>
      </w:r>
      <w:r>
        <w:rPr>
          <w:sz w:val="26"/>
        </w:rPr>
        <w:t xml:space="preserve"> </w:t>
      </w:r>
      <w:r w:rsidR="00751E71">
        <w:rPr>
          <w:sz w:val="26"/>
        </w:rPr>
        <w:t>an</w:t>
      </w:r>
      <w:r>
        <w:rPr>
          <w:sz w:val="26"/>
        </w:rPr>
        <w:t xml:space="preserve"> opinion where we found that the </w:t>
      </w:r>
      <w:r w:rsidR="00751E71">
        <w:rPr>
          <w:sz w:val="26"/>
        </w:rPr>
        <w:t xml:space="preserve">relief </w:t>
      </w:r>
      <w:r>
        <w:rPr>
          <w:sz w:val="26"/>
        </w:rPr>
        <w:t xml:space="preserve">requested was premised upon an action that has yet to take place.  </w:t>
      </w:r>
      <w:r>
        <w:rPr>
          <w:i/>
          <w:sz w:val="26"/>
        </w:rPr>
        <w:t>See</w:t>
      </w:r>
      <w:r>
        <w:rPr>
          <w:sz w:val="26"/>
        </w:rPr>
        <w:t xml:space="preserve"> </w:t>
      </w:r>
      <w:r>
        <w:rPr>
          <w:i/>
          <w:sz w:val="26"/>
        </w:rPr>
        <w:t>Application of the Knox &amp; Kane Railroad Company</w:t>
      </w:r>
      <w:r>
        <w:rPr>
          <w:sz w:val="26"/>
        </w:rPr>
        <w:t xml:space="preserve">, </w:t>
      </w:r>
      <w:r w:rsidR="005F1CAE" w:rsidRPr="005F1CAE">
        <w:rPr>
          <w:sz w:val="26"/>
        </w:rPr>
        <w:t>2010 WL 4134900</w:t>
      </w:r>
      <w:r w:rsidR="006D073D" w:rsidRPr="006D073D">
        <w:rPr>
          <w:sz w:val="26"/>
        </w:rPr>
        <w:t xml:space="preserve"> (Pa.P.U.C.)</w:t>
      </w:r>
      <w:r>
        <w:rPr>
          <w:sz w:val="26"/>
        </w:rPr>
        <w:t xml:space="preserve"> (we </w:t>
      </w:r>
      <w:r w:rsidR="005F1CAE">
        <w:rPr>
          <w:sz w:val="26"/>
        </w:rPr>
        <w:t xml:space="preserve">will not </w:t>
      </w:r>
      <w:r>
        <w:rPr>
          <w:sz w:val="26"/>
        </w:rPr>
        <w:t xml:space="preserve">render an advisory opinion on an application that has not yet been filed); </w:t>
      </w:r>
      <w:r>
        <w:rPr>
          <w:i/>
          <w:sz w:val="26"/>
        </w:rPr>
        <w:t xml:space="preserve">Joint Petition of Metropolitan Edison Company et al. for Approval of Smart Meter Technology </w:t>
      </w:r>
      <w:r>
        <w:rPr>
          <w:i/>
          <w:sz w:val="26"/>
        </w:rPr>
        <w:lastRenderedPageBreak/>
        <w:t>Procurement and Installation Plan</w:t>
      </w:r>
      <w:r>
        <w:rPr>
          <w:sz w:val="26"/>
        </w:rPr>
        <w:t xml:space="preserve">, </w:t>
      </w:r>
      <w:r w:rsidR="006D073D">
        <w:rPr>
          <w:sz w:val="26"/>
        </w:rPr>
        <w:t>2010 WL 3183818 (Pa.P.U.C.)</w:t>
      </w:r>
      <w:r>
        <w:rPr>
          <w:sz w:val="26"/>
        </w:rPr>
        <w:t xml:space="preserve"> (an advisory opinion on a company’s ability to roll costs into base rates in a future proceeding </w:t>
      </w:r>
      <w:r w:rsidR="003E5C25">
        <w:rPr>
          <w:sz w:val="26"/>
        </w:rPr>
        <w:t xml:space="preserve">should be left for consideration in an appropriate future case and not addressed through an advisory opinion); </w:t>
      </w:r>
      <w:r w:rsidR="003E5C25">
        <w:rPr>
          <w:i/>
          <w:sz w:val="26"/>
        </w:rPr>
        <w:t>Application of Exelon Corporation et al. for Certificates of Public Convenience</w:t>
      </w:r>
      <w:r w:rsidR="003E5C25">
        <w:rPr>
          <w:sz w:val="26"/>
        </w:rPr>
        <w:t xml:space="preserve">, </w:t>
      </w:r>
      <w:r w:rsidR="006D073D">
        <w:rPr>
          <w:sz w:val="26"/>
        </w:rPr>
        <w:t xml:space="preserve">2009 WL 1912486 (Pa.P.U.C.) </w:t>
      </w:r>
      <w:r w:rsidR="003E5C25">
        <w:rPr>
          <w:sz w:val="26"/>
        </w:rPr>
        <w:t xml:space="preserve">(time should not be spent litigating hypothetical scenarios that are not yet ripe for review); and </w:t>
      </w:r>
      <w:r w:rsidR="003E5C25">
        <w:rPr>
          <w:i/>
          <w:sz w:val="26"/>
        </w:rPr>
        <w:t>Petition for Joint Default Service Plan for Citizens’ Electric Company of Lewisburg et al.</w:t>
      </w:r>
      <w:r w:rsidR="003E5C25">
        <w:rPr>
          <w:sz w:val="26"/>
        </w:rPr>
        <w:t xml:space="preserve">, </w:t>
      </w:r>
      <w:r w:rsidR="006D073D" w:rsidRPr="006D073D">
        <w:rPr>
          <w:sz w:val="26"/>
        </w:rPr>
        <w:t xml:space="preserve">2007 WL 7232901 (Pa.P.U.C.) </w:t>
      </w:r>
      <w:r w:rsidR="003E5C25">
        <w:rPr>
          <w:sz w:val="26"/>
        </w:rPr>
        <w:t xml:space="preserve">(we decline to embark on hypothetical discussions of possibilities parties may have under the Code to raise issues before the Commission).  </w:t>
      </w:r>
    </w:p>
    <w:p w:rsidR="006D073D" w:rsidRDefault="006D073D" w:rsidP="00144773">
      <w:pPr>
        <w:widowControl/>
        <w:autoSpaceDE w:val="0"/>
        <w:autoSpaceDN w:val="0"/>
        <w:adjustRightInd w:val="0"/>
        <w:spacing w:line="360" w:lineRule="auto"/>
        <w:rPr>
          <w:sz w:val="26"/>
        </w:rPr>
      </w:pPr>
    </w:p>
    <w:p w:rsidR="009E47CB" w:rsidRDefault="006D073D" w:rsidP="00144773">
      <w:pPr>
        <w:widowControl/>
        <w:tabs>
          <w:tab w:val="left" w:pos="720"/>
          <w:tab w:val="left" w:pos="1440"/>
        </w:tabs>
        <w:spacing w:line="360" w:lineRule="auto"/>
        <w:rPr>
          <w:sz w:val="26"/>
          <w:szCs w:val="26"/>
        </w:rPr>
      </w:pPr>
      <w:r>
        <w:rPr>
          <w:sz w:val="26"/>
        </w:rPr>
        <w:tab/>
      </w:r>
      <w:r>
        <w:rPr>
          <w:sz w:val="26"/>
        </w:rPr>
        <w:tab/>
        <w:t xml:space="preserve">We agree with BFMA that NRG’s requested clarifications arise in part from speculative action that is implied, but certainly not assured, at this time.  BFMA Answer at 13.  We specifically note that throughout this proceeding NRG has been aware </w:t>
      </w:r>
      <w:r w:rsidR="00B739DE">
        <w:rPr>
          <w:sz w:val="26"/>
        </w:rPr>
        <w:t>that its action</w:t>
      </w:r>
      <w:r w:rsidR="00751E71">
        <w:rPr>
          <w:sz w:val="26"/>
        </w:rPr>
        <w:t>s here</w:t>
      </w:r>
      <w:r w:rsidR="00B739DE">
        <w:rPr>
          <w:sz w:val="26"/>
        </w:rPr>
        <w:t xml:space="preserve"> would </w:t>
      </w:r>
      <w:r>
        <w:rPr>
          <w:sz w:val="26"/>
        </w:rPr>
        <w:t>impact the PPAs</w:t>
      </w:r>
      <w:r w:rsidR="00B739DE">
        <w:rPr>
          <w:sz w:val="26"/>
        </w:rPr>
        <w:t xml:space="preserve"> in a manner that </w:t>
      </w:r>
      <w:r w:rsidR="00751E71">
        <w:rPr>
          <w:sz w:val="26"/>
        </w:rPr>
        <w:t>c</w:t>
      </w:r>
      <w:r w:rsidR="00B739DE">
        <w:rPr>
          <w:sz w:val="26"/>
        </w:rPr>
        <w:t xml:space="preserve">ould leave the parties on a continued path of litigation.  </w:t>
      </w:r>
      <w:r w:rsidR="00B739DE">
        <w:rPr>
          <w:i/>
          <w:sz w:val="26"/>
        </w:rPr>
        <w:t xml:space="preserve">See November 2014 Order </w:t>
      </w:r>
      <w:r w:rsidR="00B739DE">
        <w:rPr>
          <w:sz w:val="26"/>
        </w:rPr>
        <w:t>at 61-62 (</w:t>
      </w:r>
      <w:r w:rsidR="00B739DE">
        <w:rPr>
          <w:i/>
          <w:sz w:val="26"/>
        </w:rPr>
        <w:t xml:space="preserve">citing </w:t>
      </w:r>
      <w:r w:rsidR="00B739DE">
        <w:rPr>
          <w:sz w:val="26"/>
          <w:szCs w:val="26"/>
        </w:rPr>
        <w:t xml:space="preserve">NRG M.B. at 15 and </w:t>
      </w:r>
      <w:r w:rsidR="00B739DE" w:rsidRPr="002B3F53">
        <w:rPr>
          <w:sz w:val="26"/>
          <w:szCs w:val="26"/>
        </w:rPr>
        <w:t xml:space="preserve">NRG Midwest St. 1-S </w:t>
      </w:r>
      <w:r w:rsidR="00B739DE">
        <w:rPr>
          <w:sz w:val="26"/>
          <w:szCs w:val="26"/>
        </w:rPr>
        <w:t xml:space="preserve">at 9 that </w:t>
      </w:r>
      <w:r w:rsidR="00B739DE" w:rsidRPr="002B3F53">
        <w:rPr>
          <w:sz w:val="26"/>
          <w:szCs w:val="26"/>
        </w:rPr>
        <w:t>“</w:t>
      </w:r>
      <w:r w:rsidR="00B739DE">
        <w:rPr>
          <w:sz w:val="26"/>
          <w:szCs w:val="26"/>
        </w:rPr>
        <w:t>[t]</w:t>
      </w:r>
      <w:r w:rsidR="00B739DE" w:rsidRPr="002B3F53">
        <w:rPr>
          <w:sz w:val="26"/>
          <w:szCs w:val="26"/>
        </w:rPr>
        <w:t>he Commission should simply remove itself from any contractual dispute between Duquesne Light and NRG Midwest by requiring Duquesne Light to remove Rider No. 18 from its Tariff</w:t>
      </w:r>
      <w:r w:rsidR="00B739DE">
        <w:rPr>
          <w:sz w:val="26"/>
          <w:szCs w:val="26"/>
        </w:rPr>
        <w:t xml:space="preserve"> [and]</w:t>
      </w:r>
      <w:r w:rsidR="00B739DE" w:rsidRPr="002B3F53">
        <w:rPr>
          <w:sz w:val="26"/>
          <w:szCs w:val="26"/>
        </w:rPr>
        <w:t xml:space="preserve"> ensuing legal battles should be of no concern to the Commission.”)</w:t>
      </w:r>
      <w:r w:rsidR="00B739DE">
        <w:rPr>
          <w:sz w:val="26"/>
          <w:szCs w:val="26"/>
        </w:rPr>
        <w:t xml:space="preserve">. </w:t>
      </w:r>
    </w:p>
    <w:p w:rsidR="009E47CB" w:rsidRDefault="009E47CB" w:rsidP="00144773">
      <w:pPr>
        <w:widowControl/>
        <w:tabs>
          <w:tab w:val="left" w:pos="720"/>
          <w:tab w:val="left" w:pos="1440"/>
        </w:tabs>
        <w:spacing w:line="360" w:lineRule="auto"/>
        <w:rPr>
          <w:sz w:val="26"/>
          <w:szCs w:val="26"/>
        </w:rPr>
      </w:pPr>
    </w:p>
    <w:p w:rsidR="00B739DE" w:rsidRDefault="009E47CB" w:rsidP="00144773">
      <w:pPr>
        <w:widowControl/>
        <w:tabs>
          <w:tab w:val="left" w:pos="720"/>
          <w:tab w:val="left" w:pos="1440"/>
        </w:tabs>
        <w:spacing w:line="360" w:lineRule="auto"/>
        <w:rPr>
          <w:sz w:val="26"/>
          <w:szCs w:val="26"/>
        </w:rPr>
      </w:pPr>
      <w:r>
        <w:rPr>
          <w:sz w:val="26"/>
          <w:szCs w:val="26"/>
        </w:rPr>
        <w:tab/>
      </w:r>
      <w:r>
        <w:rPr>
          <w:sz w:val="26"/>
          <w:szCs w:val="26"/>
        </w:rPr>
        <w:tab/>
      </w:r>
      <w:r w:rsidR="00B739DE">
        <w:rPr>
          <w:sz w:val="26"/>
          <w:szCs w:val="26"/>
        </w:rPr>
        <w:t xml:space="preserve">NRG filed a Complaint against Rider No. 18 invoking our traditional state rate regulatory jurisdiction over tariffs and claiming that under current state law the purchased power price for the QF energy sold under the PPAs, a price memorialized in that tariff, was no longer just, reasonable, and non-discriminatory.  </w:t>
      </w:r>
      <w:r w:rsidRPr="009E47CB">
        <w:rPr>
          <w:sz w:val="26"/>
          <w:szCs w:val="26"/>
        </w:rPr>
        <w:t xml:space="preserve">While it is clear that NRG would prefer a disposition that restructures that pricing term while disavowing that it is seeking to have us revise the PPAs, </w:t>
      </w:r>
      <w:r w:rsidR="00751E71">
        <w:rPr>
          <w:sz w:val="26"/>
          <w:szCs w:val="26"/>
        </w:rPr>
        <w:t xml:space="preserve">we are of the opinion that it is equally </w:t>
      </w:r>
      <w:r w:rsidRPr="009E47CB">
        <w:rPr>
          <w:sz w:val="26"/>
          <w:szCs w:val="26"/>
        </w:rPr>
        <w:t>clear that such a resolution</w:t>
      </w:r>
      <w:r>
        <w:rPr>
          <w:sz w:val="26"/>
          <w:szCs w:val="26"/>
        </w:rPr>
        <w:t xml:space="preserve"> is </w:t>
      </w:r>
      <w:r w:rsidRPr="009E47CB">
        <w:rPr>
          <w:sz w:val="26"/>
          <w:szCs w:val="26"/>
        </w:rPr>
        <w:t>factual</w:t>
      </w:r>
      <w:r>
        <w:rPr>
          <w:sz w:val="26"/>
          <w:szCs w:val="26"/>
        </w:rPr>
        <w:t>ly</w:t>
      </w:r>
      <w:r w:rsidRPr="009E47CB">
        <w:rPr>
          <w:sz w:val="26"/>
          <w:szCs w:val="26"/>
        </w:rPr>
        <w:t xml:space="preserve"> and legal</w:t>
      </w:r>
      <w:r>
        <w:rPr>
          <w:sz w:val="26"/>
          <w:szCs w:val="26"/>
        </w:rPr>
        <w:t>ly</w:t>
      </w:r>
      <w:r w:rsidRPr="009E47CB">
        <w:rPr>
          <w:sz w:val="26"/>
          <w:szCs w:val="26"/>
        </w:rPr>
        <w:t xml:space="preserve"> impossibl</w:t>
      </w:r>
      <w:r>
        <w:rPr>
          <w:sz w:val="26"/>
          <w:szCs w:val="26"/>
        </w:rPr>
        <w:t>e</w:t>
      </w:r>
      <w:r w:rsidRPr="009E47CB">
        <w:rPr>
          <w:sz w:val="26"/>
          <w:szCs w:val="26"/>
        </w:rPr>
        <w:t xml:space="preserve">.  </w:t>
      </w:r>
      <w:r w:rsidR="00B739DE">
        <w:rPr>
          <w:sz w:val="26"/>
          <w:szCs w:val="26"/>
        </w:rPr>
        <w:t xml:space="preserve">For all the reasons stated in our </w:t>
      </w:r>
      <w:r w:rsidR="00B739DE">
        <w:rPr>
          <w:i/>
          <w:sz w:val="26"/>
          <w:szCs w:val="26"/>
        </w:rPr>
        <w:t xml:space="preserve">November 2014 </w:t>
      </w:r>
      <w:r w:rsidR="00B739DE" w:rsidRPr="00B739DE">
        <w:rPr>
          <w:i/>
          <w:sz w:val="26"/>
          <w:szCs w:val="26"/>
        </w:rPr>
        <w:t>Order</w:t>
      </w:r>
      <w:r w:rsidR="00B739DE">
        <w:rPr>
          <w:sz w:val="26"/>
          <w:szCs w:val="26"/>
        </w:rPr>
        <w:t xml:space="preserve">, we </w:t>
      </w:r>
      <w:r>
        <w:rPr>
          <w:sz w:val="26"/>
          <w:szCs w:val="26"/>
        </w:rPr>
        <w:t xml:space="preserve">concluded that </w:t>
      </w:r>
      <w:r w:rsidR="00B739DE">
        <w:rPr>
          <w:sz w:val="26"/>
          <w:szCs w:val="26"/>
        </w:rPr>
        <w:t>Section 201(e) of PURPA</w:t>
      </w:r>
      <w:r>
        <w:rPr>
          <w:sz w:val="26"/>
          <w:szCs w:val="26"/>
        </w:rPr>
        <w:t xml:space="preserve"> preempted our jurisdiction under state law t</w:t>
      </w:r>
      <w:r w:rsidR="00B739DE">
        <w:rPr>
          <w:sz w:val="26"/>
          <w:szCs w:val="26"/>
        </w:rPr>
        <w:t xml:space="preserve">o mandate a change to </w:t>
      </w:r>
      <w:r>
        <w:rPr>
          <w:sz w:val="26"/>
          <w:szCs w:val="26"/>
        </w:rPr>
        <w:t>a</w:t>
      </w:r>
      <w:r w:rsidR="00B739DE">
        <w:rPr>
          <w:sz w:val="26"/>
          <w:szCs w:val="26"/>
        </w:rPr>
        <w:t xml:space="preserve"> pric</w:t>
      </w:r>
      <w:r>
        <w:rPr>
          <w:sz w:val="26"/>
          <w:szCs w:val="26"/>
        </w:rPr>
        <w:t>ing term applicable to the PPAs</w:t>
      </w:r>
      <w:r w:rsidR="00EA569C">
        <w:rPr>
          <w:sz w:val="26"/>
          <w:szCs w:val="26"/>
        </w:rPr>
        <w:t xml:space="preserve">.  </w:t>
      </w:r>
      <w:r w:rsidR="00EA569C">
        <w:rPr>
          <w:sz w:val="26"/>
          <w:szCs w:val="26"/>
        </w:rPr>
        <w:lastRenderedPageBreak/>
        <w:t xml:space="preserve">Also, based upon the record developed, we declined to adopt that ALJ’s recommendation and found that </w:t>
      </w:r>
      <w:r w:rsidR="00751E71">
        <w:rPr>
          <w:sz w:val="26"/>
          <w:szCs w:val="26"/>
        </w:rPr>
        <w:t xml:space="preserve">NRG failed to carry its burden of proving that the current PPA price </w:t>
      </w:r>
      <w:r w:rsidR="00EA569C">
        <w:rPr>
          <w:sz w:val="26"/>
          <w:szCs w:val="26"/>
        </w:rPr>
        <w:t>w</w:t>
      </w:r>
      <w:r w:rsidR="006328BC">
        <w:rPr>
          <w:sz w:val="26"/>
          <w:szCs w:val="26"/>
        </w:rPr>
        <w:t>as</w:t>
      </w:r>
      <w:r w:rsidR="00EA569C">
        <w:rPr>
          <w:sz w:val="26"/>
          <w:szCs w:val="26"/>
        </w:rPr>
        <w:t xml:space="preserve"> unjust, unr</w:t>
      </w:r>
      <w:r w:rsidR="00751E71">
        <w:rPr>
          <w:sz w:val="26"/>
          <w:szCs w:val="26"/>
        </w:rPr>
        <w:t>easonable, and discriminatory</w:t>
      </w:r>
      <w:r w:rsidR="00B739DE">
        <w:rPr>
          <w:sz w:val="26"/>
          <w:szCs w:val="26"/>
        </w:rPr>
        <w:t xml:space="preserve">.  There is no </w:t>
      </w:r>
      <w:r w:rsidR="00EA569C">
        <w:rPr>
          <w:sz w:val="26"/>
          <w:szCs w:val="26"/>
        </w:rPr>
        <w:t>remaining</w:t>
      </w:r>
      <w:r w:rsidR="00B739DE">
        <w:rPr>
          <w:sz w:val="26"/>
          <w:szCs w:val="26"/>
        </w:rPr>
        <w:t xml:space="preserve"> case or controversy before us</w:t>
      </w:r>
      <w:r w:rsidR="00EA569C">
        <w:rPr>
          <w:sz w:val="26"/>
          <w:szCs w:val="26"/>
        </w:rPr>
        <w:t xml:space="preserve"> that must be addressed</w:t>
      </w:r>
      <w:r w:rsidR="00B739DE">
        <w:rPr>
          <w:sz w:val="26"/>
          <w:szCs w:val="26"/>
        </w:rPr>
        <w:t xml:space="preserve">.  We decline to offer an advisory or legal opinion, under guise of reconsideration or clarification, about the possible effect and interpretation of that </w:t>
      </w:r>
      <w:r w:rsidR="00C761CC">
        <w:rPr>
          <w:sz w:val="26"/>
          <w:szCs w:val="26"/>
        </w:rPr>
        <w:t>O</w:t>
      </w:r>
      <w:r w:rsidR="00B739DE">
        <w:rPr>
          <w:sz w:val="26"/>
          <w:szCs w:val="26"/>
        </w:rPr>
        <w:t xml:space="preserve">rder </w:t>
      </w:r>
      <w:r w:rsidR="00F25FB6">
        <w:rPr>
          <w:sz w:val="26"/>
          <w:szCs w:val="26"/>
        </w:rPr>
        <w:t>on</w:t>
      </w:r>
      <w:r w:rsidR="00B739DE">
        <w:rPr>
          <w:sz w:val="26"/>
          <w:szCs w:val="26"/>
        </w:rPr>
        <w:t xml:space="preserve"> a matter not before us. </w:t>
      </w:r>
    </w:p>
    <w:p w:rsidR="006D073D" w:rsidRPr="00B739DE" w:rsidRDefault="006D073D" w:rsidP="00144773">
      <w:pPr>
        <w:widowControl/>
        <w:autoSpaceDE w:val="0"/>
        <w:autoSpaceDN w:val="0"/>
        <w:adjustRightInd w:val="0"/>
        <w:spacing w:line="360" w:lineRule="auto"/>
        <w:rPr>
          <w:sz w:val="26"/>
        </w:rPr>
      </w:pPr>
    </w:p>
    <w:p w:rsidR="007F517F" w:rsidRPr="00625B2B" w:rsidRDefault="007F517F" w:rsidP="00144773">
      <w:pPr>
        <w:keepNext/>
        <w:widowControl/>
        <w:autoSpaceDE w:val="0"/>
        <w:autoSpaceDN w:val="0"/>
        <w:adjustRightInd w:val="0"/>
        <w:spacing w:line="360" w:lineRule="auto"/>
        <w:jc w:val="center"/>
        <w:rPr>
          <w:b/>
          <w:sz w:val="26"/>
          <w:szCs w:val="26"/>
        </w:rPr>
      </w:pPr>
      <w:r w:rsidRPr="00625B2B">
        <w:rPr>
          <w:b/>
          <w:sz w:val="26"/>
          <w:szCs w:val="26"/>
        </w:rPr>
        <w:t>Conclusion</w:t>
      </w:r>
    </w:p>
    <w:p w:rsidR="007F517F" w:rsidRPr="00625B2B" w:rsidRDefault="007F517F" w:rsidP="00144773">
      <w:pPr>
        <w:keepNext/>
        <w:widowControl/>
        <w:spacing w:line="360" w:lineRule="auto"/>
        <w:ind w:firstLine="1440"/>
        <w:rPr>
          <w:sz w:val="26"/>
          <w:szCs w:val="26"/>
        </w:rPr>
      </w:pPr>
    </w:p>
    <w:p w:rsidR="007F517F" w:rsidRDefault="007F517F" w:rsidP="00144773">
      <w:pPr>
        <w:widowControl/>
        <w:spacing w:line="360" w:lineRule="auto"/>
        <w:ind w:firstLine="1440"/>
        <w:rPr>
          <w:b/>
          <w:sz w:val="26"/>
          <w:szCs w:val="26"/>
        </w:rPr>
      </w:pPr>
      <w:r>
        <w:rPr>
          <w:sz w:val="26"/>
          <w:szCs w:val="26"/>
        </w:rPr>
        <w:t>B</w:t>
      </w:r>
      <w:r w:rsidRPr="00625B2B">
        <w:rPr>
          <w:sz w:val="26"/>
          <w:szCs w:val="26"/>
        </w:rPr>
        <w:t>ased upon our review of the Petition</w:t>
      </w:r>
      <w:r>
        <w:rPr>
          <w:sz w:val="26"/>
          <w:szCs w:val="26"/>
        </w:rPr>
        <w:t xml:space="preserve"> and the Answers thereto</w:t>
      </w:r>
      <w:r w:rsidRPr="00625B2B">
        <w:rPr>
          <w:sz w:val="26"/>
          <w:szCs w:val="26"/>
        </w:rPr>
        <w:t xml:space="preserve">, the record in this proceeding, and the applicable law, we </w:t>
      </w:r>
      <w:r>
        <w:rPr>
          <w:sz w:val="26"/>
          <w:szCs w:val="26"/>
        </w:rPr>
        <w:t>shall deny</w:t>
      </w:r>
      <w:r w:rsidRPr="00625B2B">
        <w:rPr>
          <w:sz w:val="26"/>
          <w:szCs w:val="26"/>
        </w:rPr>
        <w:t xml:space="preserve"> </w:t>
      </w:r>
      <w:r>
        <w:rPr>
          <w:sz w:val="26"/>
          <w:szCs w:val="26"/>
        </w:rPr>
        <w:t xml:space="preserve">the NRG Companies’ </w:t>
      </w:r>
      <w:r w:rsidRPr="00625B2B">
        <w:rPr>
          <w:sz w:val="26"/>
          <w:szCs w:val="26"/>
        </w:rPr>
        <w:t>Petition</w:t>
      </w:r>
      <w:r>
        <w:rPr>
          <w:sz w:val="26"/>
          <w:szCs w:val="26"/>
        </w:rPr>
        <w:t xml:space="preserve"> </w:t>
      </w:r>
      <w:r w:rsidRPr="00625B2B">
        <w:rPr>
          <w:sz w:val="26"/>
          <w:szCs w:val="26"/>
        </w:rPr>
        <w:t>consistent with this Opinion and Order</w:t>
      </w:r>
      <w:r w:rsidRPr="00625B2B">
        <w:rPr>
          <w:sz w:val="26"/>
        </w:rPr>
        <w:t>;</w:t>
      </w:r>
      <w:r w:rsidRPr="00625B2B">
        <w:rPr>
          <w:sz w:val="26"/>
          <w:szCs w:val="26"/>
        </w:rPr>
        <w:t xml:space="preserve"> </w:t>
      </w:r>
      <w:r w:rsidRPr="00625B2B">
        <w:rPr>
          <w:b/>
          <w:sz w:val="26"/>
          <w:szCs w:val="26"/>
        </w:rPr>
        <w:t>THEREFORE,</w:t>
      </w:r>
    </w:p>
    <w:p w:rsidR="007F517F" w:rsidRDefault="007F517F" w:rsidP="00144773">
      <w:pPr>
        <w:widowControl/>
        <w:spacing w:line="360" w:lineRule="auto"/>
        <w:ind w:firstLine="1440"/>
        <w:rPr>
          <w:b/>
          <w:sz w:val="26"/>
          <w:szCs w:val="26"/>
        </w:rPr>
      </w:pPr>
    </w:p>
    <w:p w:rsidR="007F517F" w:rsidRPr="00625B2B" w:rsidRDefault="007F517F" w:rsidP="00144773">
      <w:pPr>
        <w:widowControl/>
        <w:spacing w:line="360" w:lineRule="auto"/>
        <w:ind w:firstLine="1440"/>
        <w:rPr>
          <w:b/>
          <w:sz w:val="26"/>
          <w:szCs w:val="26"/>
        </w:rPr>
      </w:pPr>
      <w:r w:rsidRPr="00625B2B">
        <w:rPr>
          <w:b/>
          <w:sz w:val="26"/>
          <w:szCs w:val="26"/>
        </w:rPr>
        <w:t>IT IS ORDERED:</w:t>
      </w:r>
    </w:p>
    <w:p w:rsidR="007F517F" w:rsidRPr="00625B2B" w:rsidRDefault="007F517F" w:rsidP="00144773">
      <w:pPr>
        <w:widowControl/>
        <w:spacing w:line="360" w:lineRule="auto"/>
        <w:ind w:firstLine="1440"/>
        <w:rPr>
          <w:sz w:val="26"/>
          <w:szCs w:val="26"/>
        </w:rPr>
      </w:pPr>
    </w:p>
    <w:p w:rsidR="007F517F" w:rsidRDefault="007F517F" w:rsidP="00144773">
      <w:pPr>
        <w:widowControl/>
        <w:spacing w:line="360" w:lineRule="auto"/>
        <w:ind w:firstLine="1440"/>
        <w:rPr>
          <w:sz w:val="26"/>
        </w:rPr>
      </w:pPr>
      <w:r>
        <w:rPr>
          <w:sz w:val="26"/>
          <w:szCs w:val="26"/>
        </w:rPr>
        <w:t>1.</w:t>
      </w:r>
      <w:r>
        <w:rPr>
          <w:sz w:val="26"/>
          <w:szCs w:val="26"/>
        </w:rPr>
        <w:tab/>
      </w:r>
      <w:r w:rsidRPr="00625B2B">
        <w:rPr>
          <w:sz w:val="26"/>
          <w:szCs w:val="26"/>
        </w:rPr>
        <w:t>That t</w:t>
      </w:r>
      <w:r w:rsidRPr="00625B2B">
        <w:rPr>
          <w:sz w:val="26"/>
        </w:rPr>
        <w:t>he Petition for Reconsideration</w:t>
      </w:r>
      <w:r w:rsidRPr="00957FC6">
        <w:rPr>
          <w:sz w:val="26"/>
        </w:rPr>
        <w:t xml:space="preserve"> </w:t>
      </w:r>
      <w:r w:rsidR="006328BC">
        <w:rPr>
          <w:sz w:val="26"/>
        </w:rPr>
        <w:t xml:space="preserve">and Clarification </w:t>
      </w:r>
      <w:r w:rsidRPr="00957FC6">
        <w:rPr>
          <w:sz w:val="26"/>
        </w:rPr>
        <w:t xml:space="preserve">filed by </w:t>
      </w:r>
      <w:r w:rsidR="00BF40EE">
        <w:rPr>
          <w:sz w:val="26"/>
        </w:rPr>
        <w:t>NRG Power M</w:t>
      </w:r>
      <w:r>
        <w:rPr>
          <w:sz w:val="26"/>
        </w:rPr>
        <w:t xml:space="preserve">idwest LP, NRG Energy Center Pittsburgh LLC, and Reliant Energy Northeast LLC </w:t>
      </w:r>
      <w:r w:rsidRPr="00957FC6">
        <w:rPr>
          <w:sz w:val="26"/>
        </w:rPr>
        <w:t xml:space="preserve">on </w:t>
      </w:r>
      <w:r>
        <w:rPr>
          <w:sz w:val="26"/>
        </w:rPr>
        <w:t>December 1</w:t>
      </w:r>
      <w:r w:rsidRPr="00957FC6">
        <w:rPr>
          <w:sz w:val="26"/>
        </w:rPr>
        <w:t>, 201</w:t>
      </w:r>
      <w:r>
        <w:rPr>
          <w:sz w:val="26"/>
        </w:rPr>
        <w:t xml:space="preserve">4, </w:t>
      </w:r>
      <w:r w:rsidRPr="00625B2B">
        <w:rPr>
          <w:sz w:val="26"/>
        </w:rPr>
        <w:t xml:space="preserve">seeking reconsideration </w:t>
      </w:r>
      <w:r>
        <w:rPr>
          <w:sz w:val="26"/>
        </w:rPr>
        <w:t xml:space="preserve">and clarification </w:t>
      </w:r>
      <w:r w:rsidRPr="00625B2B">
        <w:rPr>
          <w:sz w:val="26"/>
        </w:rPr>
        <w:t xml:space="preserve">of the Opinion and Order entered on </w:t>
      </w:r>
      <w:r>
        <w:rPr>
          <w:sz w:val="26"/>
        </w:rPr>
        <w:t>November 13,</w:t>
      </w:r>
      <w:r w:rsidRPr="00625B2B">
        <w:rPr>
          <w:sz w:val="26"/>
        </w:rPr>
        <w:t xml:space="preserve"> 2014, is </w:t>
      </w:r>
      <w:r>
        <w:rPr>
          <w:sz w:val="26"/>
        </w:rPr>
        <w:t>deni</w:t>
      </w:r>
      <w:r w:rsidRPr="00625B2B">
        <w:rPr>
          <w:sz w:val="26"/>
        </w:rPr>
        <w:t>ed</w:t>
      </w:r>
      <w:r>
        <w:rPr>
          <w:sz w:val="26"/>
        </w:rPr>
        <w:t>, consistent with this Opinion and Order</w:t>
      </w:r>
      <w:r w:rsidRPr="00625B2B">
        <w:rPr>
          <w:sz w:val="26"/>
        </w:rPr>
        <w:t>.</w:t>
      </w:r>
      <w:r>
        <w:rPr>
          <w:sz w:val="26"/>
        </w:rPr>
        <w:t xml:space="preserve">  </w:t>
      </w:r>
    </w:p>
    <w:p w:rsidR="007F517F" w:rsidRDefault="007F517F" w:rsidP="00144773">
      <w:pPr>
        <w:widowControl/>
        <w:tabs>
          <w:tab w:val="left" w:pos="1440"/>
        </w:tabs>
        <w:spacing w:line="360" w:lineRule="auto"/>
        <w:ind w:firstLine="720"/>
        <w:rPr>
          <w:sz w:val="26"/>
        </w:rPr>
      </w:pPr>
    </w:p>
    <w:p w:rsidR="007F517F" w:rsidRDefault="007F517F" w:rsidP="00144773">
      <w:pPr>
        <w:widowControl/>
        <w:tabs>
          <w:tab w:val="left" w:pos="1440"/>
        </w:tabs>
        <w:spacing w:line="360" w:lineRule="auto"/>
        <w:ind w:firstLine="720"/>
        <w:rPr>
          <w:sz w:val="26"/>
        </w:rPr>
      </w:pPr>
      <w:r>
        <w:rPr>
          <w:sz w:val="26"/>
        </w:rPr>
        <w:tab/>
      </w:r>
      <w:r>
        <w:rPr>
          <w:color w:val="000000"/>
          <w:sz w:val="26"/>
          <w:szCs w:val="24"/>
        </w:rPr>
        <w:t>2.</w:t>
      </w:r>
      <w:r>
        <w:rPr>
          <w:color w:val="000000"/>
          <w:sz w:val="26"/>
          <w:szCs w:val="24"/>
        </w:rPr>
        <w:tab/>
        <w:t>That this proceeding shall be marked closed</w:t>
      </w:r>
      <w:r>
        <w:rPr>
          <w:sz w:val="26"/>
        </w:rPr>
        <w:t xml:space="preserve">.   </w:t>
      </w:r>
    </w:p>
    <w:p w:rsidR="007F517F" w:rsidRDefault="007F517F" w:rsidP="00144773">
      <w:pPr>
        <w:widowControl/>
        <w:spacing w:line="360" w:lineRule="auto"/>
        <w:rPr>
          <w:sz w:val="26"/>
          <w:szCs w:val="26"/>
        </w:rPr>
      </w:pPr>
    </w:p>
    <w:p w:rsidR="004C085C" w:rsidRPr="00CA43A5" w:rsidRDefault="00E0415C" w:rsidP="00144773">
      <w:pPr>
        <w:widowControl/>
        <w:tabs>
          <w:tab w:val="left" w:pos="-720"/>
        </w:tabs>
        <w:ind w:firstLine="5040"/>
        <w:rPr>
          <w:sz w:val="26"/>
          <w:szCs w:val="26"/>
        </w:rPr>
      </w:pPr>
      <w:r>
        <w:rPr>
          <w:noProof/>
        </w:rPr>
        <w:drawing>
          <wp:anchor distT="0" distB="0" distL="114300" distR="114300" simplePos="0" relativeHeight="251659264" behindDoc="1" locked="0" layoutInCell="1" allowOverlap="1" wp14:anchorId="0C9883CF" wp14:editId="5205622E">
            <wp:simplePos x="0" y="0"/>
            <wp:positionH relativeFrom="column">
              <wp:posOffset>3143250</wp:posOffset>
            </wp:positionH>
            <wp:positionV relativeFrom="paragraph">
              <wp:posOffset>107315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C085C" w:rsidRPr="00CA43A5">
        <w:rPr>
          <w:b/>
          <w:sz w:val="26"/>
          <w:szCs w:val="26"/>
        </w:rPr>
        <w:t>BY THE COMMISSION,</w:t>
      </w:r>
    </w:p>
    <w:p w:rsidR="004C085C" w:rsidRPr="00CA43A5" w:rsidRDefault="004C085C" w:rsidP="00144773">
      <w:pPr>
        <w:widowControl/>
        <w:tabs>
          <w:tab w:val="left" w:pos="-720"/>
        </w:tabs>
        <w:rPr>
          <w:sz w:val="26"/>
          <w:szCs w:val="26"/>
        </w:rPr>
      </w:pPr>
    </w:p>
    <w:p w:rsidR="004C085C" w:rsidRDefault="004C085C" w:rsidP="00144773">
      <w:pPr>
        <w:widowControl/>
        <w:tabs>
          <w:tab w:val="left" w:pos="-720"/>
        </w:tabs>
        <w:rPr>
          <w:sz w:val="26"/>
          <w:szCs w:val="26"/>
        </w:rPr>
      </w:pPr>
    </w:p>
    <w:p w:rsidR="004C085C" w:rsidRPr="00CA43A5" w:rsidRDefault="004C085C" w:rsidP="00144773">
      <w:pPr>
        <w:widowControl/>
        <w:tabs>
          <w:tab w:val="left" w:pos="-720"/>
        </w:tabs>
        <w:rPr>
          <w:sz w:val="26"/>
          <w:szCs w:val="26"/>
        </w:rPr>
      </w:pPr>
    </w:p>
    <w:p w:rsidR="004C085C" w:rsidRPr="00CA43A5" w:rsidRDefault="004C085C" w:rsidP="00144773">
      <w:pPr>
        <w:widowControl/>
        <w:tabs>
          <w:tab w:val="left" w:pos="-720"/>
        </w:tabs>
        <w:ind w:firstLine="5040"/>
        <w:rPr>
          <w:b/>
          <w:sz w:val="26"/>
          <w:szCs w:val="26"/>
        </w:rPr>
      </w:pPr>
      <w:r>
        <w:rPr>
          <w:sz w:val="26"/>
          <w:szCs w:val="26"/>
        </w:rPr>
        <w:t>Rosemary Chiavetta</w:t>
      </w:r>
    </w:p>
    <w:p w:rsidR="004C085C" w:rsidRDefault="004C085C" w:rsidP="00144773">
      <w:pPr>
        <w:widowControl/>
        <w:tabs>
          <w:tab w:val="left" w:pos="-720"/>
        </w:tabs>
        <w:ind w:firstLine="5040"/>
        <w:rPr>
          <w:sz w:val="26"/>
          <w:szCs w:val="26"/>
        </w:rPr>
      </w:pPr>
      <w:r w:rsidRPr="00CA43A5">
        <w:rPr>
          <w:sz w:val="26"/>
          <w:szCs w:val="26"/>
        </w:rPr>
        <w:t>Secretary</w:t>
      </w:r>
    </w:p>
    <w:p w:rsidR="004C085C" w:rsidRPr="00CA43A5" w:rsidRDefault="004C085C" w:rsidP="00144773">
      <w:pPr>
        <w:widowControl/>
        <w:tabs>
          <w:tab w:val="left" w:pos="-720"/>
        </w:tabs>
        <w:ind w:firstLine="5040"/>
        <w:rPr>
          <w:sz w:val="26"/>
          <w:szCs w:val="26"/>
        </w:rPr>
      </w:pPr>
    </w:p>
    <w:p w:rsidR="004C085C" w:rsidRPr="00CA43A5" w:rsidRDefault="004C085C" w:rsidP="00144773">
      <w:pPr>
        <w:widowControl/>
        <w:tabs>
          <w:tab w:val="left" w:pos="-720"/>
        </w:tabs>
        <w:rPr>
          <w:sz w:val="26"/>
          <w:szCs w:val="26"/>
        </w:rPr>
      </w:pPr>
      <w:r w:rsidRPr="00CA43A5">
        <w:rPr>
          <w:sz w:val="26"/>
          <w:szCs w:val="26"/>
        </w:rPr>
        <w:t>(SEAL)</w:t>
      </w:r>
    </w:p>
    <w:p w:rsidR="004C085C" w:rsidRDefault="004C085C" w:rsidP="00144773">
      <w:pPr>
        <w:widowControl/>
        <w:tabs>
          <w:tab w:val="left" w:pos="-720"/>
        </w:tabs>
        <w:rPr>
          <w:sz w:val="26"/>
          <w:szCs w:val="26"/>
        </w:rPr>
      </w:pPr>
      <w:r>
        <w:rPr>
          <w:sz w:val="26"/>
          <w:szCs w:val="26"/>
        </w:rPr>
        <w:t xml:space="preserve">ORDER ADOPTED: </w:t>
      </w:r>
      <w:r w:rsidR="00EA569C">
        <w:rPr>
          <w:sz w:val="26"/>
          <w:szCs w:val="26"/>
        </w:rPr>
        <w:t>May 7</w:t>
      </w:r>
      <w:r>
        <w:rPr>
          <w:sz w:val="26"/>
          <w:szCs w:val="26"/>
        </w:rPr>
        <w:t>, 201</w:t>
      </w:r>
      <w:r w:rsidR="007F517F">
        <w:rPr>
          <w:sz w:val="26"/>
          <w:szCs w:val="26"/>
        </w:rPr>
        <w:t>5</w:t>
      </w:r>
      <w:bookmarkStart w:id="0" w:name="_GoBack"/>
      <w:bookmarkEnd w:id="0"/>
    </w:p>
    <w:p w:rsidR="004C085C" w:rsidRPr="00CA43A5" w:rsidRDefault="00E0415C" w:rsidP="00144773">
      <w:pPr>
        <w:widowControl/>
        <w:tabs>
          <w:tab w:val="left" w:pos="-720"/>
        </w:tabs>
        <w:rPr>
          <w:sz w:val="26"/>
          <w:szCs w:val="26"/>
        </w:rPr>
      </w:pPr>
      <w:r>
        <w:rPr>
          <w:sz w:val="26"/>
          <w:szCs w:val="26"/>
        </w:rPr>
        <w:t>ORDER ENTERED: May 7, 2015</w:t>
      </w:r>
    </w:p>
    <w:sectPr w:rsidR="004C085C" w:rsidRPr="00CA43A5" w:rsidSect="00914C8C">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96D" w:rsidRDefault="0045596D" w:rsidP="002732A0">
      <w:r>
        <w:separator/>
      </w:r>
    </w:p>
  </w:endnote>
  <w:endnote w:type="continuationSeparator" w:id="0">
    <w:p w:rsidR="0045596D" w:rsidRDefault="0045596D" w:rsidP="0027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082661"/>
      <w:docPartObj>
        <w:docPartGallery w:val="Page Numbers (Bottom of Page)"/>
        <w:docPartUnique/>
      </w:docPartObj>
    </w:sdtPr>
    <w:sdtEndPr>
      <w:rPr>
        <w:noProof/>
        <w:sz w:val="26"/>
        <w:szCs w:val="26"/>
      </w:rPr>
    </w:sdtEndPr>
    <w:sdtContent>
      <w:p w:rsidR="008778CF" w:rsidRPr="00914C8C" w:rsidRDefault="008778CF">
        <w:pPr>
          <w:pStyle w:val="Footer"/>
          <w:jc w:val="center"/>
          <w:rPr>
            <w:sz w:val="26"/>
            <w:szCs w:val="26"/>
          </w:rPr>
        </w:pPr>
        <w:r w:rsidRPr="00914C8C">
          <w:rPr>
            <w:sz w:val="26"/>
            <w:szCs w:val="26"/>
          </w:rPr>
          <w:fldChar w:fldCharType="begin"/>
        </w:r>
        <w:r w:rsidRPr="00914C8C">
          <w:rPr>
            <w:sz w:val="26"/>
            <w:szCs w:val="26"/>
          </w:rPr>
          <w:instrText xml:space="preserve"> PAGE   \* MERGEFORMAT </w:instrText>
        </w:r>
        <w:r w:rsidRPr="00914C8C">
          <w:rPr>
            <w:sz w:val="26"/>
            <w:szCs w:val="26"/>
          </w:rPr>
          <w:fldChar w:fldCharType="separate"/>
        </w:r>
        <w:r w:rsidR="00E0415C">
          <w:rPr>
            <w:noProof/>
            <w:sz w:val="26"/>
            <w:szCs w:val="26"/>
          </w:rPr>
          <w:t>41</w:t>
        </w:r>
        <w:r w:rsidRPr="00914C8C">
          <w:rPr>
            <w:noProof/>
            <w:sz w:val="26"/>
            <w:szCs w:val="26"/>
          </w:rPr>
          <w:fldChar w:fldCharType="end"/>
        </w:r>
      </w:p>
    </w:sdtContent>
  </w:sdt>
  <w:p w:rsidR="008778CF" w:rsidRDefault="008778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96D" w:rsidRDefault="0045596D" w:rsidP="002732A0">
      <w:r>
        <w:separator/>
      </w:r>
    </w:p>
  </w:footnote>
  <w:footnote w:type="continuationSeparator" w:id="0">
    <w:p w:rsidR="0045596D" w:rsidRDefault="0045596D" w:rsidP="002732A0">
      <w:r>
        <w:continuationSeparator/>
      </w:r>
    </w:p>
  </w:footnote>
  <w:footnote w:id="1">
    <w:p w:rsidR="008778CF" w:rsidRDefault="008778CF" w:rsidP="006677C0">
      <w:pPr>
        <w:pStyle w:val="FootnoteText"/>
        <w:ind w:firstLine="720"/>
      </w:pPr>
      <w:r>
        <w:rPr>
          <w:rStyle w:val="FootnoteReference"/>
        </w:rPr>
        <w:footnoteRef/>
      </w:r>
      <w:r>
        <w:t xml:space="preserve"> </w:t>
      </w:r>
      <w:r>
        <w:tab/>
      </w:r>
      <w:r w:rsidRPr="002F185B">
        <w:t>A Qualifying Facility is a cogeneration or small power production facility.</w:t>
      </w:r>
    </w:p>
  </w:footnote>
  <w:footnote w:id="2">
    <w:p w:rsidR="00D417E1" w:rsidRDefault="00D417E1" w:rsidP="00D417E1">
      <w:pPr>
        <w:pStyle w:val="FootnoteText"/>
        <w:ind w:firstLine="720"/>
      </w:pPr>
      <w:r>
        <w:rPr>
          <w:rStyle w:val="FootnoteReference"/>
        </w:rPr>
        <w:footnoteRef/>
      </w:r>
      <w:r>
        <w:t xml:space="preserve"> </w:t>
      </w:r>
      <w:r>
        <w:tab/>
      </w:r>
      <w:r w:rsidRPr="008778CF">
        <w:t xml:space="preserve">By Secretarial Letter issued January 9, 2014, the Commission </w:t>
      </w:r>
      <w:r>
        <w:t xml:space="preserve">had </w:t>
      </w:r>
      <w:r w:rsidRPr="008778CF">
        <w:t xml:space="preserve">waived the thirty-day consideration period set forth in Section 5.303 of its Regulations, 52 Pa. Code § 5.303, in order to provide adequate time for a thorough review of the Material Questions.  </w:t>
      </w:r>
    </w:p>
  </w:footnote>
  <w:footnote w:id="3">
    <w:p w:rsidR="008778CF" w:rsidRPr="00436658" w:rsidRDefault="008778CF" w:rsidP="00436658">
      <w:pPr>
        <w:pStyle w:val="FootnoteText"/>
        <w:ind w:firstLine="720"/>
      </w:pPr>
      <w:r>
        <w:rPr>
          <w:rStyle w:val="FootnoteReference"/>
        </w:rPr>
        <w:footnoteRef/>
      </w:r>
      <w:r>
        <w:t xml:space="preserve"> </w:t>
      </w:r>
      <w:r>
        <w:tab/>
      </w:r>
      <w:r>
        <w:rPr>
          <w:i/>
        </w:rPr>
        <w:t>See, e.g.,</w:t>
      </w:r>
      <w:r>
        <w:t xml:space="preserve"> </w:t>
      </w:r>
      <w:r w:rsidRPr="00436658">
        <w:rPr>
          <w:i/>
        </w:rPr>
        <w:t>Crossroads Cogeneration Corporation v. Orange and Rockland Utilities, Inc.</w:t>
      </w:r>
      <w:r w:rsidRPr="00436658">
        <w:t>, 159 F.3d 129 (3d Cir. 1998) (</w:t>
      </w:r>
      <w:r w:rsidRPr="00436658">
        <w:rPr>
          <w:i/>
        </w:rPr>
        <w:t>Crossroads</w:t>
      </w:r>
      <w:r w:rsidRPr="00436658">
        <w:t>)</w:t>
      </w:r>
      <w:r>
        <w:t xml:space="preserve"> (state commission could not retain jurisdiction over the contract price by invoking traditional jurisdiction over a commission’s own prior order approving that price).  </w:t>
      </w:r>
      <w:r w:rsidRPr="00436658">
        <w:rPr>
          <w:i/>
        </w:rPr>
        <w:t xml:space="preserve">November 2014 Order </w:t>
      </w:r>
      <w:r w:rsidRPr="00436658">
        <w:t xml:space="preserve">at 49-50.  </w:t>
      </w:r>
    </w:p>
  </w:footnote>
  <w:footnote w:id="4">
    <w:p w:rsidR="008778CF" w:rsidRPr="00E55F45" w:rsidRDefault="008778CF" w:rsidP="00E55F45">
      <w:pPr>
        <w:pStyle w:val="FootnoteText"/>
        <w:ind w:firstLine="720"/>
      </w:pPr>
      <w:r>
        <w:rPr>
          <w:rStyle w:val="FootnoteReference"/>
        </w:rPr>
        <w:footnoteRef/>
      </w:r>
      <w:r>
        <w:t xml:space="preserve"> </w:t>
      </w:r>
      <w:r>
        <w:tab/>
        <w:t xml:space="preserve">While NRG quotes from the PPAs and identifies the specific language as Highly Confidential in accordance with the treatment afforded the actual contracts in the litigated proceeding, as we noted in our </w:t>
      </w:r>
      <w:r>
        <w:rPr>
          <w:i/>
        </w:rPr>
        <w:t>November 2014 Order</w:t>
      </w:r>
      <w:r>
        <w:t xml:space="preserve">, the record treatment of some very basic information under the PPAs was inconsistent at best. Accordingly, in our Order, we determined that based upon the unredacted presentation or characterization of the provisions in the PPAs on the evidentiary record, we were comfortable including in our public opinion the following facts and any reasonable inferences: (1) the term of the PPAs is </w:t>
      </w:r>
      <w:r w:rsidR="00F76357">
        <w:t xml:space="preserve">defined by something other than a specific </w:t>
      </w:r>
      <w:r>
        <w:t xml:space="preserve">calendar period; and (2) the price for the power purchase is stated in the tariff, which is referenced in the PPAs.  </w:t>
      </w:r>
      <w:r>
        <w:rPr>
          <w:i/>
        </w:rPr>
        <w:t xml:space="preserve">November 2014 Order </w:t>
      </w:r>
      <w:r>
        <w:t xml:space="preserve">at 30-31 n.4.  In its Petition, NRG also brackets as Highly Confidential Duquesne’s reservation of rights with respect to filing a supplement at the Commission either to terminate or change Rider No. 18.  </w:t>
      </w:r>
      <w:r w:rsidR="00274DCB">
        <w:t>T</w:t>
      </w:r>
      <w:r>
        <w:t>hat fact generally was discussed pervasively by the parties in their evidence and pleadings</w:t>
      </w:r>
      <w:r w:rsidR="00274DCB">
        <w:t>,</w:t>
      </w:r>
      <w:r>
        <w:t xml:space="preserve"> and </w:t>
      </w:r>
      <w:r w:rsidR="00274DCB">
        <w:t xml:space="preserve">we </w:t>
      </w:r>
      <w:r>
        <w:t xml:space="preserve">have already included such references in our </w:t>
      </w:r>
      <w:r>
        <w:rPr>
          <w:i/>
        </w:rPr>
        <w:t xml:space="preserve">November 2014 </w:t>
      </w:r>
      <w:r w:rsidRPr="00125EB8">
        <w:rPr>
          <w:i/>
        </w:rPr>
        <w:t>Order</w:t>
      </w:r>
      <w:r>
        <w:t xml:space="preserve">.  </w:t>
      </w:r>
      <w:r>
        <w:rPr>
          <w:i/>
        </w:rPr>
        <w:t xml:space="preserve">See id. </w:t>
      </w:r>
      <w:r>
        <w:t>at 24, 34-35, 67. In our disposition of NRG’s Petition, we will continue to honor th</w:t>
      </w:r>
      <w:r w:rsidR="00274DCB">
        <w:t xml:space="preserve">e parties’ </w:t>
      </w:r>
      <w:r>
        <w:t xml:space="preserve">Highly Confidential designation </w:t>
      </w:r>
      <w:r w:rsidR="00274DCB">
        <w:t>of the PPAs, but we will use</w:t>
      </w:r>
      <w:r>
        <w:t xml:space="preserve"> the same common sense approach we employed in our </w:t>
      </w:r>
      <w:r>
        <w:rPr>
          <w:i/>
        </w:rPr>
        <w:t>November 2014 Order</w:t>
      </w:r>
      <w:r>
        <w:t xml:space="preserve">, which allowed for the public disclosure of factual findings based upon the public descriptions and characterizations of the provisions in the PPAs as addressed by the parties on the public record. </w:t>
      </w:r>
    </w:p>
  </w:footnote>
  <w:footnote w:id="5">
    <w:p w:rsidR="008778CF" w:rsidRPr="006C36E7" w:rsidRDefault="008778CF" w:rsidP="006C36E7">
      <w:pPr>
        <w:pStyle w:val="FootnoteText"/>
        <w:ind w:firstLine="720"/>
      </w:pPr>
      <w:r>
        <w:rPr>
          <w:rStyle w:val="FootnoteReference"/>
        </w:rPr>
        <w:footnoteRef/>
      </w:r>
      <w:r>
        <w:t xml:space="preserve"> </w:t>
      </w:r>
      <w:r>
        <w:tab/>
      </w:r>
      <w:r>
        <w:rPr>
          <w:i/>
        </w:rPr>
        <w:t>Competitive Bidding Regulations</w:t>
      </w:r>
      <w:r>
        <w:t>, 1994 Pa. PUC LEXIS 54 at *14 (the Commission has occasionally been called upon to resolve a dispute between the parties).</w:t>
      </w:r>
    </w:p>
  </w:footnote>
  <w:footnote w:id="6">
    <w:p w:rsidR="008778CF" w:rsidRPr="00581334" w:rsidRDefault="008778CF" w:rsidP="00CC57E2">
      <w:pPr>
        <w:pStyle w:val="FootnoteText"/>
        <w:ind w:firstLine="720"/>
      </w:pPr>
      <w:r>
        <w:rPr>
          <w:rStyle w:val="FootnoteReference"/>
        </w:rPr>
        <w:footnoteRef/>
      </w:r>
      <w:r>
        <w:t xml:space="preserve"> </w:t>
      </w:r>
      <w:r>
        <w:tab/>
        <w:t>As NRG argued in brief, the PPAs “terminate only when Duquesne Light no longer has an applicable tariff provisions</w:t>
      </w:r>
      <w:r w:rsidR="003052D6">
        <w:t xml:space="preserve"> [sic]</w:t>
      </w:r>
      <w:r>
        <w:t xml:space="preserve"> and/or is no longer compelled to </w:t>
      </w:r>
      <w:r w:rsidR="003052D6">
        <w:t xml:space="preserve">[sic] </w:t>
      </w:r>
      <w:r>
        <w:t xml:space="preserve">by law to purchase power from the QFs.” Duquesne Answer at 14 </w:t>
      </w:r>
      <w:r>
        <w:rPr>
          <w:i/>
        </w:rPr>
        <w:t xml:space="preserve">quoting </w:t>
      </w:r>
      <w:r>
        <w:t xml:space="preserve">NRG Main Brief at 13. </w:t>
      </w:r>
    </w:p>
  </w:footnote>
  <w:footnote w:id="7">
    <w:p w:rsidR="00CE4E0E" w:rsidRDefault="00CE4E0E" w:rsidP="00CE4E0E">
      <w:pPr>
        <w:pStyle w:val="FootnoteText"/>
        <w:ind w:firstLine="720"/>
      </w:pPr>
      <w:r>
        <w:rPr>
          <w:rStyle w:val="FootnoteReference"/>
        </w:rPr>
        <w:footnoteRef/>
      </w:r>
      <w:r>
        <w:t xml:space="preserve"> </w:t>
      </w:r>
      <w:r>
        <w:tab/>
      </w:r>
      <w:r w:rsidRPr="008F10AE">
        <w:t xml:space="preserve">For purposes of our analysis, we consider </w:t>
      </w:r>
      <w:r>
        <w:t>the</w:t>
      </w:r>
      <w:r w:rsidRPr="008F10AE">
        <w:t xml:space="preserve"> paragraphs </w:t>
      </w:r>
      <w:r>
        <w:t xml:space="preserve">under both PPAs </w:t>
      </w:r>
      <w:r w:rsidRPr="008F10AE">
        <w:t>to be essentially the same.</w:t>
      </w:r>
    </w:p>
  </w:footnote>
  <w:footnote w:id="8">
    <w:p w:rsidR="008778CF" w:rsidRPr="00D65665" w:rsidRDefault="008778CF" w:rsidP="003F0B0F">
      <w:pPr>
        <w:pStyle w:val="FootnoteText"/>
        <w:ind w:firstLine="720"/>
      </w:pPr>
      <w:r>
        <w:rPr>
          <w:rStyle w:val="FootnoteReference"/>
        </w:rPr>
        <w:footnoteRef/>
      </w:r>
      <w:r>
        <w:t xml:space="preserve"> </w:t>
      </w:r>
      <w:r>
        <w:tab/>
      </w:r>
      <w:r>
        <w:rPr>
          <w:i/>
        </w:rPr>
        <w:t xml:space="preserve">See </w:t>
      </w:r>
      <w:r w:rsidR="00954AB5">
        <w:rPr>
          <w:i/>
        </w:rPr>
        <w:t xml:space="preserve">November 2014 </w:t>
      </w:r>
      <w:r w:rsidR="00954AB5" w:rsidRPr="00954AB5">
        <w:rPr>
          <w:i/>
        </w:rPr>
        <w:t>Order</w:t>
      </w:r>
      <w:r w:rsidR="00954AB5">
        <w:t xml:space="preserve"> at 20, </w:t>
      </w:r>
      <w:r w:rsidR="00954AB5" w:rsidRPr="00954AB5">
        <w:rPr>
          <w:i/>
        </w:rPr>
        <w:t>quoting</w:t>
      </w:r>
      <w:r w:rsidR="00954AB5">
        <w:t xml:space="preserve"> </w:t>
      </w:r>
      <w:r w:rsidRPr="00954AB5">
        <w:t>NRG</w:t>
      </w:r>
      <w:r>
        <w:t xml:space="preserve"> Complaint at 4-5</w:t>
      </w:r>
      <w:r w:rsidR="00954AB5">
        <w:t xml:space="preserve"> and references to the PPAs</w:t>
      </w:r>
      <w:r>
        <w:t xml:space="preserve">.  </w:t>
      </w:r>
    </w:p>
  </w:footnote>
  <w:footnote w:id="9">
    <w:p w:rsidR="008778CF" w:rsidRDefault="008778CF" w:rsidP="00C56ECC">
      <w:pPr>
        <w:pStyle w:val="FootnoteText"/>
        <w:ind w:firstLine="720"/>
      </w:pPr>
      <w:r>
        <w:rPr>
          <w:rStyle w:val="FootnoteReference"/>
        </w:rPr>
        <w:footnoteRef/>
      </w:r>
      <w:r>
        <w:t xml:space="preserve"> </w:t>
      </w:r>
      <w:r>
        <w:tab/>
        <w:t xml:space="preserve">Indeed NRG’s witness specifically testified that “[t]he NRG Companies have not asked the Commission to construe the terms of any power purchase agreements[.]”  NRG Midwest Statement No. 1-S at 2.  </w:t>
      </w:r>
    </w:p>
  </w:footnote>
  <w:footnote w:id="10">
    <w:p w:rsidR="005B422A" w:rsidRDefault="005B422A" w:rsidP="005B422A">
      <w:pPr>
        <w:pStyle w:val="FootnoteText"/>
        <w:ind w:firstLine="720"/>
      </w:pPr>
      <w:r>
        <w:rPr>
          <w:rStyle w:val="FootnoteReference"/>
        </w:rPr>
        <w:footnoteRef/>
      </w:r>
      <w:r>
        <w:t xml:space="preserve"> </w:t>
      </w:r>
      <w:r>
        <w:tab/>
      </w:r>
      <w:r w:rsidRPr="005B422A">
        <w:t>NRG quotes from Paragraph 5 of both PPAs for reference to Duquesne’s reservation of the right to apply to the Commission to unilaterally modify the tariff.  Petition at 12-13.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F18A9"/>
    <w:multiLevelType w:val="hybridMultilevel"/>
    <w:tmpl w:val="3392F868"/>
    <w:lvl w:ilvl="0" w:tplc="7A06CC56">
      <w:start w:val="1"/>
      <w:numFmt w:val="upperRoman"/>
      <w:pStyle w:val="Heading1"/>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8D0"/>
    <w:rsid w:val="00000D47"/>
    <w:rsid w:val="00001FC8"/>
    <w:rsid w:val="00002D06"/>
    <w:rsid w:val="00003BEE"/>
    <w:rsid w:val="00006685"/>
    <w:rsid w:val="00006F35"/>
    <w:rsid w:val="00012D76"/>
    <w:rsid w:val="00014A2C"/>
    <w:rsid w:val="00016D57"/>
    <w:rsid w:val="00016F67"/>
    <w:rsid w:val="00017852"/>
    <w:rsid w:val="00021E46"/>
    <w:rsid w:val="00022B74"/>
    <w:rsid w:val="0002524C"/>
    <w:rsid w:val="00025F3F"/>
    <w:rsid w:val="00026CD2"/>
    <w:rsid w:val="00030F89"/>
    <w:rsid w:val="00033E66"/>
    <w:rsid w:val="0003461A"/>
    <w:rsid w:val="000353A1"/>
    <w:rsid w:val="000362CE"/>
    <w:rsid w:val="00040A8E"/>
    <w:rsid w:val="00040AEA"/>
    <w:rsid w:val="0004112C"/>
    <w:rsid w:val="00042CF2"/>
    <w:rsid w:val="000437A1"/>
    <w:rsid w:val="00047874"/>
    <w:rsid w:val="00047F4A"/>
    <w:rsid w:val="000523D1"/>
    <w:rsid w:val="00052B8F"/>
    <w:rsid w:val="00052F0B"/>
    <w:rsid w:val="000545A2"/>
    <w:rsid w:val="00054612"/>
    <w:rsid w:val="0005572E"/>
    <w:rsid w:val="00056286"/>
    <w:rsid w:val="0005640E"/>
    <w:rsid w:val="000612FD"/>
    <w:rsid w:val="00062F99"/>
    <w:rsid w:val="000630E9"/>
    <w:rsid w:val="00064018"/>
    <w:rsid w:val="000642AA"/>
    <w:rsid w:val="000649EC"/>
    <w:rsid w:val="00066042"/>
    <w:rsid w:val="00066EE5"/>
    <w:rsid w:val="00067260"/>
    <w:rsid w:val="00072181"/>
    <w:rsid w:val="00072808"/>
    <w:rsid w:val="00072829"/>
    <w:rsid w:val="00073A7E"/>
    <w:rsid w:val="00076F35"/>
    <w:rsid w:val="000843B3"/>
    <w:rsid w:val="00084565"/>
    <w:rsid w:val="00084573"/>
    <w:rsid w:val="000847BB"/>
    <w:rsid w:val="00084AF9"/>
    <w:rsid w:val="00086535"/>
    <w:rsid w:val="00086634"/>
    <w:rsid w:val="00090463"/>
    <w:rsid w:val="000918D4"/>
    <w:rsid w:val="00093164"/>
    <w:rsid w:val="00093315"/>
    <w:rsid w:val="0009612D"/>
    <w:rsid w:val="00097504"/>
    <w:rsid w:val="00097C1C"/>
    <w:rsid w:val="000A088B"/>
    <w:rsid w:val="000A32B6"/>
    <w:rsid w:val="000A365D"/>
    <w:rsid w:val="000A46C7"/>
    <w:rsid w:val="000A6CA4"/>
    <w:rsid w:val="000A6E4A"/>
    <w:rsid w:val="000A7BDA"/>
    <w:rsid w:val="000A7D08"/>
    <w:rsid w:val="000B2137"/>
    <w:rsid w:val="000B216D"/>
    <w:rsid w:val="000B2755"/>
    <w:rsid w:val="000B4EAE"/>
    <w:rsid w:val="000B5238"/>
    <w:rsid w:val="000B5ADE"/>
    <w:rsid w:val="000B607A"/>
    <w:rsid w:val="000B63A1"/>
    <w:rsid w:val="000B6B15"/>
    <w:rsid w:val="000B7493"/>
    <w:rsid w:val="000C0FDE"/>
    <w:rsid w:val="000C29A4"/>
    <w:rsid w:val="000C2AE3"/>
    <w:rsid w:val="000C603F"/>
    <w:rsid w:val="000C6D35"/>
    <w:rsid w:val="000C709A"/>
    <w:rsid w:val="000C7D59"/>
    <w:rsid w:val="000D0DD1"/>
    <w:rsid w:val="000D18D9"/>
    <w:rsid w:val="000D2DED"/>
    <w:rsid w:val="000D3D4A"/>
    <w:rsid w:val="000D4A9C"/>
    <w:rsid w:val="000D66E3"/>
    <w:rsid w:val="000D7000"/>
    <w:rsid w:val="000D790B"/>
    <w:rsid w:val="000E7D39"/>
    <w:rsid w:val="000F0DB6"/>
    <w:rsid w:val="000F179E"/>
    <w:rsid w:val="000F28A5"/>
    <w:rsid w:val="000F4307"/>
    <w:rsid w:val="000F53E1"/>
    <w:rsid w:val="000F6B1C"/>
    <w:rsid w:val="00100CA5"/>
    <w:rsid w:val="00100F9F"/>
    <w:rsid w:val="0010158F"/>
    <w:rsid w:val="001015E1"/>
    <w:rsid w:val="001019D9"/>
    <w:rsid w:val="00101F51"/>
    <w:rsid w:val="00102303"/>
    <w:rsid w:val="001026CA"/>
    <w:rsid w:val="00102FFD"/>
    <w:rsid w:val="00104D9B"/>
    <w:rsid w:val="00104ED0"/>
    <w:rsid w:val="00105C27"/>
    <w:rsid w:val="00110440"/>
    <w:rsid w:val="001105AC"/>
    <w:rsid w:val="001110BD"/>
    <w:rsid w:val="00111D0D"/>
    <w:rsid w:val="00113CA1"/>
    <w:rsid w:val="00117436"/>
    <w:rsid w:val="00117CB2"/>
    <w:rsid w:val="00120B39"/>
    <w:rsid w:val="001238E5"/>
    <w:rsid w:val="00123A2E"/>
    <w:rsid w:val="00124071"/>
    <w:rsid w:val="00125EB8"/>
    <w:rsid w:val="001267D4"/>
    <w:rsid w:val="001270B1"/>
    <w:rsid w:val="001270EF"/>
    <w:rsid w:val="00130D02"/>
    <w:rsid w:val="00135972"/>
    <w:rsid w:val="001360FC"/>
    <w:rsid w:val="0014024E"/>
    <w:rsid w:val="00142254"/>
    <w:rsid w:val="0014294A"/>
    <w:rsid w:val="00144773"/>
    <w:rsid w:val="001447A0"/>
    <w:rsid w:val="0014497F"/>
    <w:rsid w:val="00145D17"/>
    <w:rsid w:val="00146DDD"/>
    <w:rsid w:val="00146E58"/>
    <w:rsid w:val="00147145"/>
    <w:rsid w:val="00150096"/>
    <w:rsid w:val="001508E4"/>
    <w:rsid w:val="00150CDC"/>
    <w:rsid w:val="00151208"/>
    <w:rsid w:val="001536C4"/>
    <w:rsid w:val="0015380A"/>
    <w:rsid w:val="00154CB6"/>
    <w:rsid w:val="00155946"/>
    <w:rsid w:val="0015636E"/>
    <w:rsid w:val="00162AF6"/>
    <w:rsid w:val="00163CB7"/>
    <w:rsid w:val="00164DA4"/>
    <w:rsid w:val="00166298"/>
    <w:rsid w:val="001663C8"/>
    <w:rsid w:val="0017429D"/>
    <w:rsid w:val="00174613"/>
    <w:rsid w:val="00174D3D"/>
    <w:rsid w:val="001761E2"/>
    <w:rsid w:val="0017673D"/>
    <w:rsid w:val="00182478"/>
    <w:rsid w:val="001841A7"/>
    <w:rsid w:val="001847D7"/>
    <w:rsid w:val="00186A97"/>
    <w:rsid w:val="00192B75"/>
    <w:rsid w:val="00194BF2"/>
    <w:rsid w:val="0019530E"/>
    <w:rsid w:val="00195F2E"/>
    <w:rsid w:val="001A1146"/>
    <w:rsid w:val="001A2C93"/>
    <w:rsid w:val="001A4E62"/>
    <w:rsid w:val="001A6132"/>
    <w:rsid w:val="001A78E9"/>
    <w:rsid w:val="001B18CB"/>
    <w:rsid w:val="001B1DB4"/>
    <w:rsid w:val="001C0945"/>
    <w:rsid w:val="001C18EE"/>
    <w:rsid w:val="001C437B"/>
    <w:rsid w:val="001C4978"/>
    <w:rsid w:val="001C5B4A"/>
    <w:rsid w:val="001C6CEA"/>
    <w:rsid w:val="001C75FF"/>
    <w:rsid w:val="001C7E3C"/>
    <w:rsid w:val="001D0ED2"/>
    <w:rsid w:val="001D3DA9"/>
    <w:rsid w:val="001D5128"/>
    <w:rsid w:val="001D6D88"/>
    <w:rsid w:val="001D7229"/>
    <w:rsid w:val="001E080E"/>
    <w:rsid w:val="001E0B61"/>
    <w:rsid w:val="001E1276"/>
    <w:rsid w:val="001E1F90"/>
    <w:rsid w:val="001E26B5"/>
    <w:rsid w:val="001E2EC3"/>
    <w:rsid w:val="001F051C"/>
    <w:rsid w:val="001F09D5"/>
    <w:rsid w:val="001F191F"/>
    <w:rsid w:val="001F285E"/>
    <w:rsid w:val="001F68A2"/>
    <w:rsid w:val="001F68EE"/>
    <w:rsid w:val="001F7A7F"/>
    <w:rsid w:val="00201027"/>
    <w:rsid w:val="00202524"/>
    <w:rsid w:val="00210736"/>
    <w:rsid w:val="00210F81"/>
    <w:rsid w:val="00211622"/>
    <w:rsid w:val="00212D23"/>
    <w:rsid w:val="00212FD7"/>
    <w:rsid w:val="00214B3E"/>
    <w:rsid w:val="00214F72"/>
    <w:rsid w:val="0021557C"/>
    <w:rsid w:val="0021696E"/>
    <w:rsid w:val="0021789F"/>
    <w:rsid w:val="00217D5D"/>
    <w:rsid w:val="00220450"/>
    <w:rsid w:val="00221D88"/>
    <w:rsid w:val="0022476C"/>
    <w:rsid w:val="00224C25"/>
    <w:rsid w:val="0022698E"/>
    <w:rsid w:val="002269A9"/>
    <w:rsid w:val="00226EE6"/>
    <w:rsid w:val="0022752B"/>
    <w:rsid w:val="00227912"/>
    <w:rsid w:val="002311EE"/>
    <w:rsid w:val="00231868"/>
    <w:rsid w:val="002344F0"/>
    <w:rsid w:val="0023453F"/>
    <w:rsid w:val="002370F5"/>
    <w:rsid w:val="00240ACA"/>
    <w:rsid w:val="00240D7B"/>
    <w:rsid w:val="00241146"/>
    <w:rsid w:val="00241299"/>
    <w:rsid w:val="002417D8"/>
    <w:rsid w:val="002439D4"/>
    <w:rsid w:val="002440A9"/>
    <w:rsid w:val="00244428"/>
    <w:rsid w:val="002446E3"/>
    <w:rsid w:val="00247429"/>
    <w:rsid w:val="002528C5"/>
    <w:rsid w:val="00255462"/>
    <w:rsid w:val="00255DD2"/>
    <w:rsid w:val="00256392"/>
    <w:rsid w:val="00256AAC"/>
    <w:rsid w:val="002572AF"/>
    <w:rsid w:val="00260957"/>
    <w:rsid w:val="00261E6F"/>
    <w:rsid w:val="002635C1"/>
    <w:rsid w:val="00264646"/>
    <w:rsid w:val="00265928"/>
    <w:rsid w:val="00271942"/>
    <w:rsid w:val="00271AA1"/>
    <w:rsid w:val="0027232D"/>
    <w:rsid w:val="002732A0"/>
    <w:rsid w:val="00274D0F"/>
    <w:rsid w:val="00274DA7"/>
    <w:rsid w:val="00274DCB"/>
    <w:rsid w:val="0027636D"/>
    <w:rsid w:val="002768C4"/>
    <w:rsid w:val="00277500"/>
    <w:rsid w:val="00277AEB"/>
    <w:rsid w:val="00281A5F"/>
    <w:rsid w:val="00282E24"/>
    <w:rsid w:val="0028336B"/>
    <w:rsid w:val="0028537D"/>
    <w:rsid w:val="0028708C"/>
    <w:rsid w:val="00291F68"/>
    <w:rsid w:val="00292AD4"/>
    <w:rsid w:val="0029544E"/>
    <w:rsid w:val="00297A39"/>
    <w:rsid w:val="002A060A"/>
    <w:rsid w:val="002A1F80"/>
    <w:rsid w:val="002A23DB"/>
    <w:rsid w:val="002A4450"/>
    <w:rsid w:val="002A6750"/>
    <w:rsid w:val="002B147E"/>
    <w:rsid w:val="002B2296"/>
    <w:rsid w:val="002B2B71"/>
    <w:rsid w:val="002B3F53"/>
    <w:rsid w:val="002B4407"/>
    <w:rsid w:val="002B4B67"/>
    <w:rsid w:val="002B57BB"/>
    <w:rsid w:val="002B67B7"/>
    <w:rsid w:val="002C0429"/>
    <w:rsid w:val="002C19E4"/>
    <w:rsid w:val="002C1F6B"/>
    <w:rsid w:val="002C2EA5"/>
    <w:rsid w:val="002C5F91"/>
    <w:rsid w:val="002C6CC4"/>
    <w:rsid w:val="002C73B0"/>
    <w:rsid w:val="002D0733"/>
    <w:rsid w:val="002D0786"/>
    <w:rsid w:val="002D13C4"/>
    <w:rsid w:val="002D275E"/>
    <w:rsid w:val="002D6357"/>
    <w:rsid w:val="002D7584"/>
    <w:rsid w:val="002E123D"/>
    <w:rsid w:val="002E153B"/>
    <w:rsid w:val="002E29F4"/>
    <w:rsid w:val="002E2A24"/>
    <w:rsid w:val="002E3026"/>
    <w:rsid w:val="002E3F06"/>
    <w:rsid w:val="002E537E"/>
    <w:rsid w:val="002E61A6"/>
    <w:rsid w:val="002E6B9D"/>
    <w:rsid w:val="002E6FFA"/>
    <w:rsid w:val="002E7F8F"/>
    <w:rsid w:val="002F0993"/>
    <w:rsid w:val="002F185B"/>
    <w:rsid w:val="002F217C"/>
    <w:rsid w:val="002F22EB"/>
    <w:rsid w:val="002F3F04"/>
    <w:rsid w:val="002F41BA"/>
    <w:rsid w:val="002F67B4"/>
    <w:rsid w:val="003018AA"/>
    <w:rsid w:val="00302ECE"/>
    <w:rsid w:val="00303B99"/>
    <w:rsid w:val="00304BCB"/>
    <w:rsid w:val="00304DDE"/>
    <w:rsid w:val="003052D6"/>
    <w:rsid w:val="00306416"/>
    <w:rsid w:val="003067A4"/>
    <w:rsid w:val="0030714F"/>
    <w:rsid w:val="003073E2"/>
    <w:rsid w:val="00307CDA"/>
    <w:rsid w:val="00307DDF"/>
    <w:rsid w:val="00313AEC"/>
    <w:rsid w:val="003144B6"/>
    <w:rsid w:val="00314A43"/>
    <w:rsid w:val="00317595"/>
    <w:rsid w:val="003176BA"/>
    <w:rsid w:val="00322040"/>
    <w:rsid w:val="0032345A"/>
    <w:rsid w:val="003240B8"/>
    <w:rsid w:val="00325422"/>
    <w:rsid w:val="003257C6"/>
    <w:rsid w:val="00325BD6"/>
    <w:rsid w:val="0032660F"/>
    <w:rsid w:val="003277D4"/>
    <w:rsid w:val="003306F8"/>
    <w:rsid w:val="0033171E"/>
    <w:rsid w:val="00332883"/>
    <w:rsid w:val="003339D0"/>
    <w:rsid w:val="00333D2D"/>
    <w:rsid w:val="00333FDA"/>
    <w:rsid w:val="003340AB"/>
    <w:rsid w:val="003340DE"/>
    <w:rsid w:val="00334D92"/>
    <w:rsid w:val="003351A6"/>
    <w:rsid w:val="003359AF"/>
    <w:rsid w:val="00340435"/>
    <w:rsid w:val="00340D19"/>
    <w:rsid w:val="00344804"/>
    <w:rsid w:val="0034487D"/>
    <w:rsid w:val="00344ED8"/>
    <w:rsid w:val="003518C8"/>
    <w:rsid w:val="00351BB4"/>
    <w:rsid w:val="00352EA8"/>
    <w:rsid w:val="003533B5"/>
    <w:rsid w:val="003538E5"/>
    <w:rsid w:val="00354E77"/>
    <w:rsid w:val="00357E91"/>
    <w:rsid w:val="003604EE"/>
    <w:rsid w:val="003609F3"/>
    <w:rsid w:val="00360BA4"/>
    <w:rsid w:val="003622CA"/>
    <w:rsid w:val="00363030"/>
    <w:rsid w:val="003643F6"/>
    <w:rsid w:val="0036462C"/>
    <w:rsid w:val="00364A42"/>
    <w:rsid w:val="00364D15"/>
    <w:rsid w:val="0037145D"/>
    <w:rsid w:val="0037264F"/>
    <w:rsid w:val="0037269F"/>
    <w:rsid w:val="003726F3"/>
    <w:rsid w:val="00373EE7"/>
    <w:rsid w:val="00374226"/>
    <w:rsid w:val="003755FB"/>
    <w:rsid w:val="0037577C"/>
    <w:rsid w:val="00381550"/>
    <w:rsid w:val="0038180C"/>
    <w:rsid w:val="003834F4"/>
    <w:rsid w:val="00385047"/>
    <w:rsid w:val="00385502"/>
    <w:rsid w:val="00390174"/>
    <w:rsid w:val="003905B8"/>
    <w:rsid w:val="003908C7"/>
    <w:rsid w:val="00390A32"/>
    <w:rsid w:val="00391A43"/>
    <w:rsid w:val="00393EF5"/>
    <w:rsid w:val="00394CEB"/>
    <w:rsid w:val="0039524C"/>
    <w:rsid w:val="003973AE"/>
    <w:rsid w:val="003A1085"/>
    <w:rsid w:val="003A10D8"/>
    <w:rsid w:val="003B0611"/>
    <w:rsid w:val="003B0D4D"/>
    <w:rsid w:val="003B1EE9"/>
    <w:rsid w:val="003B282A"/>
    <w:rsid w:val="003B3746"/>
    <w:rsid w:val="003B42D9"/>
    <w:rsid w:val="003B7738"/>
    <w:rsid w:val="003C3140"/>
    <w:rsid w:val="003C3E02"/>
    <w:rsid w:val="003C3FE8"/>
    <w:rsid w:val="003C49A3"/>
    <w:rsid w:val="003C5619"/>
    <w:rsid w:val="003C5B90"/>
    <w:rsid w:val="003C611D"/>
    <w:rsid w:val="003C73F9"/>
    <w:rsid w:val="003C7417"/>
    <w:rsid w:val="003C7956"/>
    <w:rsid w:val="003C7F0D"/>
    <w:rsid w:val="003D0044"/>
    <w:rsid w:val="003D06ED"/>
    <w:rsid w:val="003D4F42"/>
    <w:rsid w:val="003D5F07"/>
    <w:rsid w:val="003D6004"/>
    <w:rsid w:val="003D6A8A"/>
    <w:rsid w:val="003D6AB5"/>
    <w:rsid w:val="003D7D18"/>
    <w:rsid w:val="003E193B"/>
    <w:rsid w:val="003E263D"/>
    <w:rsid w:val="003E3FB8"/>
    <w:rsid w:val="003E3FF5"/>
    <w:rsid w:val="003E5354"/>
    <w:rsid w:val="003E5C25"/>
    <w:rsid w:val="003E7ADD"/>
    <w:rsid w:val="003F0B0F"/>
    <w:rsid w:val="003F354D"/>
    <w:rsid w:val="003F51F4"/>
    <w:rsid w:val="003F52C6"/>
    <w:rsid w:val="003F53DB"/>
    <w:rsid w:val="003F558E"/>
    <w:rsid w:val="003F790A"/>
    <w:rsid w:val="00403D6E"/>
    <w:rsid w:val="0040469B"/>
    <w:rsid w:val="00405E3F"/>
    <w:rsid w:val="004064EC"/>
    <w:rsid w:val="00407AC0"/>
    <w:rsid w:val="00407E2B"/>
    <w:rsid w:val="00410855"/>
    <w:rsid w:val="00411A8C"/>
    <w:rsid w:val="00411ED1"/>
    <w:rsid w:val="00412E30"/>
    <w:rsid w:val="00416017"/>
    <w:rsid w:val="004168EC"/>
    <w:rsid w:val="004170AF"/>
    <w:rsid w:val="00417898"/>
    <w:rsid w:val="0042147F"/>
    <w:rsid w:val="00421EF9"/>
    <w:rsid w:val="0042304E"/>
    <w:rsid w:val="00426B4C"/>
    <w:rsid w:val="00426FC7"/>
    <w:rsid w:val="00431D0D"/>
    <w:rsid w:val="004325C8"/>
    <w:rsid w:val="00432BB7"/>
    <w:rsid w:val="004331E9"/>
    <w:rsid w:val="00433602"/>
    <w:rsid w:val="00433CFB"/>
    <w:rsid w:val="00433E8D"/>
    <w:rsid w:val="00433FDC"/>
    <w:rsid w:val="0043592C"/>
    <w:rsid w:val="00436621"/>
    <w:rsid w:val="00436658"/>
    <w:rsid w:val="004371AD"/>
    <w:rsid w:val="00440C95"/>
    <w:rsid w:val="004411B9"/>
    <w:rsid w:val="00441207"/>
    <w:rsid w:val="004422CA"/>
    <w:rsid w:val="00442E9D"/>
    <w:rsid w:val="00443807"/>
    <w:rsid w:val="00443CEE"/>
    <w:rsid w:val="004462F7"/>
    <w:rsid w:val="004507B5"/>
    <w:rsid w:val="00451EF3"/>
    <w:rsid w:val="00453562"/>
    <w:rsid w:val="0045596D"/>
    <w:rsid w:val="0046019D"/>
    <w:rsid w:val="00461716"/>
    <w:rsid w:val="004620F5"/>
    <w:rsid w:val="00464536"/>
    <w:rsid w:val="0046514E"/>
    <w:rsid w:val="00465671"/>
    <w:rsid w:val="0046623C"/>
    <w:rsid w:val="00467259"/>
    <w:rsid w:val="00467739"/>
    <w:rsid w:val="00470713"/>
    <w:rsid w:val="00470B67"/>
    <w:rsid w:val="00470D0C"/>
    <w:rsid w:val="004726E0"/>
    <w:rsid w:val="00473AD1"/>
    <w:rsid w:val="00474591"/>
    <w:rsid w:val="00474E22"/>
    <w:rsid w:val="0047601F"/>
    <w:rsid w:val="0047608F"/>
    <w:rsid w:val="00476554"/>
    <w:rsid w:val="004802FB"/>
    <w:rsid w:val="00480B7F"/>
    <w:rsid w:val="00480BED"/>
    <w:rsid w:val="004813D4"/>
    <w:rsid w:val="0048270D"/>
    <w:rsid w:val="00483D7A"/>
    <w:rsid w:val="004917D9"/>
    <w:rsid w:val="00491D91"/>
    <w:rsid w:val="004937C0"/>
    <w:rsid w:val="0049580C"/>
    <w:rsid w:val="00495BC8"/>
    <w:rsid w:val="00497151"/>
    <w:rsid w:val="0049768F"/>
    <w:rsid w:val="004A0441"/>
    <w:rsid w:val="004A04E5"/>
    <w:rsid w:val="004A0864"/>
    <w:rsid w:val="004A1495"/>
    <w:rsid w:val="004A2165"/>
    <w:rsid w:val="004A5276"/>
    <w:rsid w:val="004A5F74"/>
    <w:rsid w:val="004B0931"/>
    <w:rsid w:val="004B1052"/>
    <w:rsid w:val="004B1B66"/>
    <w:rsid w:val="004B2D3C"/>
    <w:rsid w:val="004B345B"/>
    <w:rsid w:val="004B593D"/>
    <w:rsid w:val="004B5ED5"/>
    <w:rsid w:val="004B6B14"/>
    <w:rsid w:val="004B6FE4"/>
    <w:rsid w:val="004B7944"/>
    <w:rsid w:val="004C085C"/>
    <w:rsid w:val="004C5969"/>
    <w:rsid w:val="004C7E7F"/>
    <w:rsid w:val="004D07D8"/>
    <w:rsid w:val="004D0A27"/>
    <w:rsid w:val="004D0B42"/>
    <w:rsid w:val="004D11D9"/>
    <w:rsid w:val="004D23F3"/>
    <w:rsid w:val="004E0656"/>
    <w:rsid w:val="004E47EC"/>
    <w:rsid w:val="004E514F"/>
    <w:rsid w:val="004E5A4A"/>
    <w:rsid w:val="004E737F"/>
    <w:rsid w:val="004E73F1"/>
    <w:rsid w:val="004F03DE"/>
    <w:rsid w:val="004F1A91"/>
    <w:rsid w:val="004F1ADF"/>
    <w:rsid w:val="004F22DA"/>
    <w:rsid w:val="004F2E03"/>
    <w:rsid w:val="004F4798"/>
    <w:rsid w:val="004F5E16"/>
    <w:rsid w:val="00501949"/>
    <w:rsid w:val="00502165"/>
    <w:rsid w:val="00502FC7"/>
    <w:rsid w:val="00503C07"/>
    <w:rsid w:val="00504834"/>
    <w:rsid w:val="00504C7A"/>
    <w:rsid w:val="00505AEE"/>
    <w:rsid w:val="0050632E"/>
    <w:rsid w:val="00506509"/>
    <w:rsid w:val="00506607"/>
    <w:rsid w:val="005074FA"/>
    <w:rsid w:val="0050752D"/>
    <w:rsid w:val="00507BAB"/>
    <w:rsid w:val="005102C9"/>
    <w:rsid w:val="00511EF3"/>
    <w:rsid w:val="0051214C"/>
    <w:rsid w:val="00514507"/>
    <w:rsid w:val="0051741D"/>
    <w:rsid w:val="00520D08"/>
    <w:rsid w:val="00521350"/>
    <w:rsid w:val="00524489"/>
    <w:rsid w:val="00525108"/>
    <w:rsid w:val="00526B09"/>
    <w:rsid w:val="00527281"/>
    <w:rsid w:val="0053390B"/>
    <w:rsid w:val="00534751"/>
    <w:rsid w:val="005351B9"/>
    <w:rsid w:val="00536011"/>
    <w:rsid w:val="005362CF"/>
    <w:rsid w:val="0054020D"/>
    <w:rsid w:val="00543693"/>
    <w:rsid w:val="00543744"/>
    <w:rsid w:val="00545644"/>
    <w:rsid w:val="00550B79"/>
    <w:rsid w:val="005513A9"/>
    <w:rsid w:val="0055150B"/>
    <w:rsid w:val="005532F9"/>
    <w:rsid w:val="00553A1B"/>
    <w:rsid w:val="0055440B"/>
    <w:rsid w:val="00554CC3"/>
    <w:rsid w:val="0055708D"/>
    <w:rsid w:val="005574A9"/>
    <w:rsid w:val="00561CA6"/>
    <w:rsid w:val="0056245F"/>
    <w:rsid w:val="00564565"/>
    <w:rsid w:val="00564790"/>
    <w:rsid w:val="005647BE"/>
    <w:rsid w:val="00565E56"/>
    <w:rsid w:val="00566299"/>
    <w:rsid w:val="00566CEF"/>
    <w:rsid w:val="0057051F"/>
    <w:rsid w:val="00570A26"/>
    <w:rsid w:val="005725F6"/>
    <w:rsid w:val="00581334"/>
    <w:rsid w:val="0058168A"/>
    <w:rsid w:val="00581C60"/>
    <w:rsid w:val="00584CEA"/>
    <w:rsid w:val="005851BB"/>
    <w:rsid w:val="005862DA"/>
    <w:rsid w:val="00586817"/>
    <w:rsid w:val="00586D92"/>
    <w:rsid w:val="00587507"/>
    <w:rsid w:val="00587658"/>
    <w:rsid w:val="00587A1D"/>
    <w:rsid w:val="0059593B"/>
    <w:rsid w:val="00596024"/>
    <w:rsid w:val="00596A0B"/>
    <w:rsid w:val="00596E05"/>
    <w:rsid w:val="00596F85"/>
    <w:rsid w:val="005970FA"/>
    <w:rsid w:val="005A0176"/>
    <w:rsid w:val="005A088E"/>
    <w:rsid w:val="005A2298"/>
    <w:rsid w:val="005A28C1"/>
    <w:rsid w:val="005A72FC"/>
    <w:rsid w:val="005B0388"/>
    <w:rsid w:val="005B109A"/>
    <w:rsid w:val="005B422A"/>
    <w:rsid w:val="005B4B64"/>
    <w:rsid w:val="005B539A"/>
    <w:rsid w:val="005B588F"/>
    <w:rsid w:val="005B5962"/>
    <w:rsid w:val="005B6742"/>
    <w:rsid w:val="005B67B5"/>
    <w:rsid w:val="005B695F"/>
    <w:rsid w:val="005C184E"/>
    <w:rsid w:val="005C21F4"/>
    <w:rsid w:val="005C2FD5"/>
    <w:rsid w:val="005C5378"/>
    <w:rsid w:val="005C699C"/>
    <w:rsid w:val="005C6ABF"/>
    <w:rsid w:val="005C6F35"/>
    <w:rsid w:val="005C7399"/>
    <w:rsid w:val="005D273D"/>
    <w:rsid w:val="005D2AB9"/>
    <w:rsid w:val="005D34E2"/>
    <w:rsid w:val="005D496E"/>
    <w:rsid w:val="005D7C20"/>
    <w:rsid w:val="005E026A"/>
    <w:rsid w:val="005E682F"/>
    <w:rsid w:val="005E6960"/>
    <w:rsid w:val="005E7EB8"/>
    <w:rsid w:val="005F03F3"/>
    <w:rsid w:val="005F18D6"/>
    <w:rsid w:val="005F1CAE"/>
    <w:rsid w:val="005F21D4"/>
    <w:rsid w:val="005F2AD3"/>
    <w:rsid w:val="005F4871"/>
    <w:rsid w:val="005F5119"/>
    <w:rsid w:val="005F6598"/>
    <w:rsid w:val="005F6C89"/>
    <w:rsid w:val="005F7248"/>
    <w:rsid w:val="00600039"/>
    <w:rsid w:val="00600D96"/>
    <w:rsid w:val="006026B6"/>
    <w:rsid w:val="00603024"/>
    <w:rsid w:val="00605174"/>
    <w:rsid w:val="00605451"/>
    <w:rsid w:val="006116E3"/>
    <w:rsid w:val="006169DA"/>
    <w:rsid w:val="00620885"/>
    <w:rsid w:val="00624400"/>
    <w:rsid w:val="00624E51"/>
    <w:rsid w:val="00625DE7"/>
    <w:rsid w:val="00626162"/>
    <w:rsid w:val="006328BC"/>
    <w:rsid w:val="006332DE"/>
    <w:rsid w:val="00634719"/>
    <w:rsid w:val="00634CF5"/>
    <w:rsid w:val="00635337"/>
    <w:rsid w:val="00635629"/>
    <w:rsid w:val="00636901"/>
    <w:rsid w:val="0063785F"/>
    <w:rsid w:val="00640030"/>
    <w:rsid w:val="006408BD"/>
    <w:rsid w:val="006415E3"/>
    <w:rsid w:val="00642CF5"/>
    <w:rsid w:val="006434C5"/>
    <w:rsid w:val="00643670"/>
    <w:rsid w:val="00647684"/>
    <w:rsid w:val="00647A9D"/>
    <w:rsid w:val="006503E8"/>
    <w:rsid w:val="00650921"/>
    <w:rsid w:val="00652DF8"/>
    <w:rsid w:val="006537A9"/>
    <w:rsid w:val="00654A4A"/>
    <w:rsid w:val="0065545A"/>
    <w:rsid w:val="00663CD9"/>
    <w:rsid w:val="00666179"/>
    <w:rsid w:val="006661CF"/>
    <w:rsid w:val="006677C0"/>
    <w:rsid w:val="00670BFD"/>
    <w:rsid w:val="00671947"/>
    <w:rsid w:val="00671C62"/>
    <w:rsid w:val="00671E4C"/>
    <w:rsid w:val="00671F70"/>
    <w:rsid w:val="00674295"/>
    <w:rsid w:val="00680131"/>
    <w:rsid w:val="00681508"/>
    <w:rsid w:val="006818A8"/>
    <w:rsid w:val="00681A51"/>
    <w:rsid w:val="00682469"/>
    <w:rsid w:val="00682839"/>
    <w:rsid w:val="00683D97"/>
    <w:rsid w:val="006840C0"/>
    <w:rsid w:val="00684FCA"/>
    <w:rsid w:val="006859CE"/>
    <w:rsid w:val="00686B5C"/>
    <w:rsid w:val="00687F45"/>
    <w:rsid w:val="0069163C"/>
    <w:rsid w:val="00692B68"/>
    <w:rsid w:val="00693585"/>
    <w:rsid w:val="00696990"/>
    <w:rsid w:val="00696997"/>
    <w:rsid w:val="006A34A7"/>
    <w:rsid w:val="006A3578"/>
    <w:rsid w:val="006A46D6"/>
    <w:rsid w:val="006A47B2"/>
    <w:rsid w:val="006A758C"/>
    <w:rsid w:val="006B0EC4"/>
    <w:rsid w:val="006B340E"/>
    <w:rsid w:val="006B3550"/>
    <w:rsid w:val="006B3D8A"/>
    <w:rsid w:val="006B6510"/>
    <w:rsid w:val="006B660F"/>
    <w:rsid w:val="006C1108"/>
    <w:rsid w:val="006C188E"/>
    <w:rsid w:val="006C1EEC"/>
    <w:rsid w:val="006C238D"/>
    <w:rsid w:val="006C36E7"/>
    <w:rsid w:val="006C385E"/>
    <w:rsid w:val="006C3F61"/>
    <w:rsid w:val="006C3FEA"/>
    <w:rsid w:val="006C69E7"/>
    <w:rsid w:val="006C7AAD"/>
    <w:rsid w:val="006D073D"/>
    <w:rsid w:val="006D10AE"/>
    <w:rsid w:val="006D29F2"/>
    <w:rsid w:val="006D71FC"/>
    <w:rsid w:val="006D7CA2"/>
    <w:rsid w:val="006E065B"/>
    <w:rsid w:val="006E09D3"/>
    <w:rsid w:val="006E1B53"/>
    <w:rsid w:val="006E1E6C"/>
    <w:rsid w:val="006E5505"/>
    <w:rsid w:val="006E5E73"/>
    <w:rsid w:val="006F112D"/>
    <w:rsid w:val="006F240A"/>
    <w:rsid w:val="006F2FB3"/>
    <w:rsid w:val="006F2FED"/>
    <w:rsid w:val="006F4383"/>
    <w:rsid w:val="006F531B"/>
    <w:rsid w:val="006F5E3B"/>
    <w:rsid w:val="006F62BC"/>
    <w:rsid w:val="006F65F5"/>
    <w:rsid w:val="006F6612"/>
    <w:rsid w:val="007011D3"/>
    <w:rsid w:val="00702493"/>
    <w:rsid w:val="00703ECD"/>
    <w:rsid w:val="00706504"/>
    <w:rsid w:val="007069B9"/>
    <w:rsid w:val="00714F3B"/>
    <w:rsid w:val="007166F7"/>
    <w:rsid w:val="00716AEF"/>
    <w:rsid w:val="00717076"/>
    <w:rsid w:val="00717296"/>
    <w:rsid w:val="00720B48"/>
    <w:rsid w:val="00721766"/>
    <w:rsid w:val="00725213"/>
    <w:rsid w:val="00726D23"/>
    <w:rsid w:val="00727370"/>
    <w:rsid w:val="00733C47"/>
    <w:rsid w:val="00733DA9"/>
    <w:rsid w:val="00735D9E"/>
    <w:rsid w:val="00736943"/>
    <w:rsid w:val="00736AE6"/>
    <w:rsid w:val="00736E08"/>
    <w:rsid w:val="007378ED"/>
    <w:rsid w:val="007406FD"/>
    <w:rsid w:val="0074109C"/>
    <w:rsid w:val="00742335"/>
    <w:rsid w:val="0074273A"/>
    <w:rsid w:val="00742842"/>
    <w:rsid w:val="00742887"/>
    <w:rsid w:val="00742F27"/>
    <w:rsid w:val="00747AFA"/>
    <w:rsid w:val="00750908"/>
    <w:rsid w:val="00751A04"/>
    <w:rsid w:val="00751E71"/>
    <w:rsid w:val="00752D13"/>
    <w:rsid w:val="00753376"/>
    <w:rsid w:val="007543B0"/>
    <w:rsid w:val="007568A9"/>
    <w:rsid w:val="007572FD"/>
    <w:rsid w:val="00757911"/>
    <w:rsid w:val="00760F60"/>
    <w:rsid w:val="007613EF"/>
    <w:rsid w:val="007614A8"/>
    <w:rsid w:val="00761514"/>
    <w:rsid w:val="00761D81"/>
    <w:rsid w:val="00763CE7"/>
    <w:rsid w:val="007644CE"/>
    <w:rsid w:val="007650D7"/>
    <w:rsid w:val="00770259"/>
    <w:rsid w:val="00772177"/>
    <w:rsid w:val="00775445"/>
    <w:rsid w:val="00775C65"/>
    <w:rsid w:val="0077639A"/>
    <w:rsid w:val="00777066"/>
    <w:rsid w:val="0078067A"/>
    <w:rsid w:val="0078100C"/>
    <w:rsid w:val="0078157F"/>
    <w:rsid w:val="00781D7A"/>
    <w:rsid w:val="00783BE3"/>
    <w:rsid w:val="00784163"/>
    <w:rsid w:val="00785C52"/>
    <w:rsid w:val="0078643C"/>
    <w:rsid w:val="00786F48"/>
    <w:rsid w:val="0078772C"/>
    <w:rsid w:val="007878E4"/>
    <w:rsid w:val="0079143D"/>
    <w:rsid w:val="00791D5E"/>
    <w:rsid w:val="00791DCC"/>
    <w:rsid w:val="00791E4C"/>
    <w:rsid w:val="00794888"/>
    <w:rsid w:val="00794C72"/>
    <w:rsid w:val="007963BD"/>
    <w:rsid w:val="007973EF"/>
    <w:rsid w:val="00797FCC"/>
    <w:rsid w:val="007A060C"/>
    <w:rsid w:val="007A4783"/>
    <w:rsid w:val="007A4A49"/>
    <w:rsid w:val="007A5191"/>
    <w:rsid w:val="007B02C8"/>
    <w:rsid w:val="007B0500"/>
    <w:rsid w:val="007B111B"/>
    <w:rsid w:val="007B1B43"/>
    <w:rsid w:val="007B3188"/>
    <w:rsid w:val="007B3396"/>
    <w:rsid w:val="007B36B3"/>
    <w:rsid w:val="007B3AE8"/>
    <w:rsid w:val="007B4418"/>
    <w:rsid w:val="007B56A0"/>
    <w:rsid w:val="007B5F62"/>
    <w:rsid w:val="007B66B3"/>
    <w:rsid w:val="007B6F27"/>
    <w:rsid w:val="007B7077"/>
    <w:rsid w:val="007B7CF1"/>
    <w:rsid w:val="007C0723"/>
    <w:rsid w:val="007C1BD4"/>
    <w:rsid w:val="007C29BC"/>
    <w:rsid w:val="007C2AB5"/>
    <w:rsid w:val="007C3003"/>
    <w:rsid w:val="007C4789"/>
    <w:rsid w:val="007C49F3"/>
    <w:rsid w:val="007C4F60"/>
    <w:rsid w:val="007C6B60"/>
    <w:rsid w:val="007C6F85"/>
    <w:rsid w:val="007D0C3F"/>
    <w:rsid w:val="007D3AA0"/>
    <w:rsid w:val="007D3FE2"/>
    <w:rsid w:val="007D464A"/>
    <w:rsid w:val="007D4C62"/>
    <w:rsid w:val="007D5690"/>
    <w:rsid w:val="007D69FA"/>
    <w:rsid w:val="007D7B87"/>
    <w:rsid w:val="007D7CA6"/>
    <w:rsid w:val="007E04FE"/>
    <w:rsid w:val="007E1600"/>
    <w:rsid w:val="007E42B6"/>
    <w:rsid w:val="007E61BA"/>
    <w:rsid w:val="007E6A15"/>
    <w:rsid w:val="007F1F1A"/>
    <w:rsid w:val="007F1FEC"/>
    <w:rsid w:val="007F3A97"/>
    <w:rsid w:val="007F43E2"/>
    <w:rsid w:val="007F517F"/>
    <w:rsid w:val="007F5271"/>
    <w:rsid w:val="0080435E"/>
    <w:rsid w:val="008061F6"/>
    <w:rsid w:val="00806520"/>
    <w:rsid w:val="00806947"/>
    <w:rsid w:val="00807BC6"/>
    <w:rsid w:val="00810603"/>
    <w:rsid w:val="008109F1"/>
    <w:rsid w:val="00811231"/>
    <w:rsid w:val="00812692"/>
    <w:rsid w:val="00812888"/>
    <w:rsid w:val="00813DDC"/>
    <w:rsid w:val="00814283"/>
    <w:rsid w:val="00815DF6"/>
    <w:rsid w:val="00817AC1"/>
    <w:rsid w:val="00820209"/>
    <w:rsid w:val="00820F35"/>
    <w:rsid w:val="00820FEC"/>
    <w:rsid w:val="0082393D"/>
    <w:rsid w:val="00825F1E"/>
    <w:rsid w:val="00825F56"/>
    <w:rsid w:val="008266BC"/>
    <w:rsid w:val="00831CAD"/>
    <w:rsid w:val="0083324D"/>
    <w:rsid w:val="00841733"/>
    <w:rsid w:val="008429FC"/>
    <w:rsid w:val="00843600"/>
    <w:rsid w:val="00844D38"/>
    <w:rsid w:val="00844D85"/>
    <w:rsid w:val="008452BD"/>
    <w:rsid w:val="00845D39"/>
    <w:rsid w:val="00846EC6"/>
    <w:rsid w:val="008475F4"/>
    <w:rsid w:val="00850BF7"/>
    <w:rsid w:val="008511BA"/>
    <w:rsid w:val="008524BE"/>
    <w:rsid w:val="00852B4F"/>
    <w:rsid w:val="00853BC2"/>
    <w:rsid w:val="00854278"/>
    <w:rsid w:val="00854984"/>
    <w:rsid w:val="008556BB"/>
    <w:rsid w:val="00856063"/>
    <w:rsid w:val="00857172"/>
    <w:rsid w:val="0086048F"/>
    <w:rsid w:val="008604AE"/>
    <w:rsid w:val="0086236A"/>
    <w:rsid w:val="0086640B"/>
    <w:rsid w:val="008664D2"/>
    <w:rsid w:val="00866ACF"/>
    <w:rsid w:val="00866D02"/>
    <w:rsid w:val="0087035A"/>
    <w:rsid w:val="0087347D"/>
    <w:rsid w:val="0087376F"/>
    <w:rsid w:val="00873B2C"/>
    <w:rsid w:val="00875B66"/>
    <w:rsid w:val="008778CF"/>
    <w:rsid w:val="008810DB"/>
    <w:rsid w:val="00882506"/>
    <w:rsid w:val="00882568"/>
    <w:rsid w:val="00882DAD"/>
    <w:rsid w:val="00884ECC"/>
    <w:rsid w:val="00885263"/>
    <w:rsid w:val="008861E1"/>
    <w:rsid w:val="0088642B"/>
    <w:rsid w:val="00886A2B"/>
    <w:rsid w:val="00887CC0"/>
    <w:rsid w:val="0089191A"/>
    <w:rsid w:val="00892DA5"/>
    <w:rsid w:val="00894988"/>
    <w:rsid w:val="008949B1"/>
    <w:rsid w:val="00895535"/>
    <w:rsid w:val="00895775"/>
    <w:rsid w:val="00895DA1"/>
    <w:rsid w:val="0089713E"/>
    <w:rsid w:val="008A10F3"/>
    <w:rsid w:val="008A48D3"/>
    <w:rsid w:val="008A5C0F"/>
    <w:rsid w:val="008A6E71"/>
    <w:rsid w:val="008A7DD9"/>
    <w:rsid w:val="008B1596"/>
    <w:rsid w:val="008B5F52"/>
    <w:rsid w:val="008B6018"/>
    <w:rsid w:val="008B658C"/>
    <w:rsid w:val="008C09C4"/>
    <w:rsid w:val="008C1F44"/>
    <w:rsid w:val="008C26AB"/>
    <w:rsid w:val="008C5891"/>
    <w:rsid w:val="008C646F"/>
    <w:rsid w:val="008C6601"/>
    <w:rsid w:val="008C7D8D"/>
    <w:rsid w:val="008D182C"/>
    <w:rsid w:val="008D24B1"/>
    <w:rsid w:val="008D2E31"/>
    <w:rsid w:val="008D3154"/>
    <w:rsid w:val="008D34CF"/>
    <w:rsid w:val="008E1661"/>
    <w:rsid w:val="008E24F5"/>
    <w:rsid w:val="008E3D3A"/>
    <w:rsid w:val="008E3E4B"/>
    <w:rsid w:val="008E4EF9"/>
    <w:rsid w:val="008E6BC0"/>
    <w:rsid w:val="008E6DFC"/>
    <w:rsid w:val="008E7710"/>
    <w:rsid w:val="008E7E18"/>
    <w:rsid w:val="008F0896"/>
    <w:rsid w:val="008F10AE"/>
    <w:rsid w:val="008F1696"/>
    <w:rsid w:val="008F1FE7"/>
    <w:rsid w:val="008F2D4D"/>
    <w:rsid w:val="008F3F0B"/>
    <w:rsid w:val="00900D4D"/>
    <w:rsid w:val="0090103E"/>
    <w:rsid w:val="00901909"/>
    <w:rsid w:val="00901FF3"/>
    <w:rsid w:val="00903F34"/>
    <w:rsid w:val="00904F84"/>
    <w:rsid w:val="00905C0A"/>
    <w:rsid w:val="009122F8"/>
    <w:rsid w:val="0091302B"/>
    <w:rsid w:val="0091302C"/>
    <w:rsid w:val="009133F7"/>
    <w:rsid w:val="00913FAC"/>
    <w:rsid w:val="00914C8C"/>
    <w:rsid w:val="00915520"/>
    <w:rsid w:val="009155F7"/>
    <w:rsid w:val="00917A72"/>
    <w:rsid w:val="00921131"/>
    <w:rsid w:val="00922F7C"/>
    <w:rsid w:val="009247F5"/>
    <w:rsid w:val="00926AB2"/>
    <w:rsid w:val="00927B16"/>
    <w:rsid w:val="009305B8"/>
    <w:rsid w:val="00930E9E"/>
    <w:rsid w:val="00931444"/>
    <w:rsid w:val="009314C0"/>
    <w:rsid w:val="009338ED"/>
    <w:rsid w:val="009342B4"/>
    <w:rsid w:val="009358B9"/>
    <w:rsid w:val="00936B8A"/>
    <w:rsid w:val="009407FE"/>
    <w:rsid w:val="00941CF3"/>
    <w:rsid w:val="00942436"/>
    <w:rsid w:val="00943363"/>
    <w:rsid w:val="00943C12"/>
    <w:rsid w:val="00944B9A"/>
    <w:rsid w:val="00944BDD"/>
    <w:rsid w:val="00945A8E"/>
    <w:rsid w:val="00946842"/>
    <w:rsid w:val="00946D88"/>
    <w:rsid w:val="00950685"/>
    <w:rsid w:val="00954AB5"/>
    <w:rsid w:val="00954C49"/>
    <w:rsid w:val="00957603"/>
    <w:rsid w:val="00957A1D"/>
    <w:rsid w:val="00957BC0"/>
    <w:rsid w:val="00962294"/>
    <w:rsid w:val="0096487B"/>
    <w:rsid w:val="00964E24"/>
    <w:rsid w:val="0097007A"/>
    <w:rsid w:val="009705CA"/>
    <w:rsid w:val="00970A9A"/>
    <w:rsid w:val="00970EB3"/>
    <w:rsid w:val="009757D1"/>
    <w:rsid w:val="009763F9"/>
    <w:rsid w:val="00980754"/>
    <w:rsid w:val="00981535"/>
    <w:rsid w:val="00982537"/>
    <w:rsid w:val="009825C8"/>
    <w:rsid w:val="00982644"/>
    <w:rsid w:val="0098313A"/>
    <w:rsid w:val="0098409F"/>
    <w:rsid w:val="00984E17"/>
    <w:rsid w:val="00985537"/>
    <w:rsid w:val="00985543"/>
    <w:rsid w:val="00985646"/>
    <w:rsid w:val="00985946"/>
    <w:rsid w:val="00985FCC"/>
    <w:rsid w:val="00991698"/>
    <w:rsid w:val="00991C17"/>
    <w:rsid w:val="00992D1E"/>
    <w:rsid w:val="00994DEF"/>
    <w:rsid w:val="00996C49"/>
    <w:rsid w:val="00996FC8"/>
    <w:rsid w:val="00997EB2"/>
    <w:rsid w:val="009A06F5"/>
    <w:rsid w:val="009A0788"/>
    <w:rsid w:val="009A0E92"/>
    <w:rsid w:val="009A1167"/>
    <w:rsid w:val="009A17EC"/>
    <w:rsid w:val="009A4FC4"/>
    <w:rsid w:val="009A4FED"/>
    <w:rsid w:val="009A7F5E"/>
    <w:rsid w:val="009B03DF"/>
    <w:rsid w:val="009B0648"/>
    <w:rsid w:val="009B209F"/>
    <w:rsid w:val="009B36F1"/>
    <w:rsid w:val="009B6722"/>
    <w:rsid w:val="009B6AF0"/>
    <w:rsid w:val="009C00AE"/>
    <w:rsid w:val="009C074C"/>
    <w:rsid w:val="009C0D20"/>
    <w:rsid w:val="009C2450"/>
    <w:rsid w:val="009C292D"/>
    <w:rsid w:val="009C3398"/>
    <w:rsid w:val="009C59B2"/>
    <w:rsid w:val="009C5F0C"/>
    <w:rsid w:val="009C67C0"/>
    <w:rsid w:val="009D1035"/>
    <w:rsid w:val="009D13D0"/>
    <w:rsid w:val="009D2068"/>
    <w:rsid w:val="009D3C58"/>
    <w:rsid w:val="009D4890"/>
    <w:rsid w:val="009D5296"/>
    <w:rsid w:val="009D5348"/>
    <w:rsid w:val="009D5EA0"/>
    <w:rsid w:val="009D7224"/>
    <w:rsid w:val="009D7D33"/>
    <w:rsid w:val="009E0893"/>
    <w:rsid w:val="009E0D95"/>
    <w:rsid w:val="009E11C0"/>
    <w:rsid w:val="009E1A1F"/>
    <w:rsid w:val="009E1FFC"/>
    <w:rsid w:val="009E42CF"/>
    <w:rsid w:val="009E47CB"/>
    <w:rsid w:val="009E4DD4"/>
    <w:rsid w:val="009E4E3F"/>
    <w:rsid w:val="009E561A"/>
    <w:rsid w:val="009E698B"/>
    <w:rsid w:val="009E6FD1"/>
    <w:rsid w:val="009F1547"/>
    <w:rsid w:val="009F1A48"/>
    <w:rsid w:val="009F43C8"/>
    <w:rsid w:val="009F46E4"/>
    <w:rsid w:val="009F4ABA"/>
    <w:rsid w:val="009F58AD"/>
    <w:rsid w:val="009F76FC"/>
    <w:rsid w:val="00A008C8"/>
    <w:rsid w:val="00A00C05"/>
    <w:rsid w:val="00A017DF"/>
    <w:rsid w:val="00A0203E"/>
    <w:rsid w:val="00A05CD4"/>
    <w:rsid w:val="00A06365"/>
    <w:rsid w:val="00A066AE"/>
    <w:rsid w:val="00A10933"/>
    <w:rsid w:val="00A10DD9"/>
    <w:rsid w:val="00A11D10"/>
    <w:rsid w:val="00A12C6B"/>
    <w:rsid w:val="00A14117"/>
    <w:rsid w:val="00A149FA"/>
    <w:rsid w:val="00A15344"/>
    <w:rsid w:val="00A15CD6"/>
    <w:rsid w:val="00A17DF0"/>
    <w:rsid w:val="00A20F78"/>
    <w:rsid w:val="00A218F1"/>
    <w:rsid w:val="00A238FF"/>
    <w:rsid w:val="00A257D8"/>
    <w:rsid w:val="00A2797F"/>
    <w:rsid w:val="00A27AA9"/>
    <w:rsid w:val="00A27DEE"/>
    <w:rsid w:val="00A3045A"/>
    <w:rsid w:val="00A31B93"/>
    <w:rsid w:val="00A32985"/>
    <w:rsid w:val="00A33905"/>
    <w:rsid w:val="00A375BF"/>
    <w:rsid w:val="00A375EF"/>
    <w:rsid w:val="00A41207"/>
    <w:rsid w:val="00A41696"/>
    <w:rsid w:val="00A41B69"/>
    <w:rsid w:val="00A42F0D"/>
    <w:rsid w:val="00A431AF"/>
    <w:rsid w:val="00A46545"/>
    <w:rsid w:val="00A47F81"/>
    <w:rsid w:val="00A51EFA"/>
    <w:rsid w:val="00A528C2"/>
    <w:rsid w:val="00A5422F"/>
    <w:rsid w:val="00A54998"/>
    <w:rsid w:val="00A54AFD"/>
    <w:rsid w:val="00A54CCB"/>
    <w:rsid w:val="00A54E69"/>
    <w:rsid w:val="00A61B06"/>
    <w:rsid w:val="00A61D09"/>
    <w:rsid w:val="00A62113"/>
    <w:rsid w:val="00A62536"/>
    <w:rsid w:val="00A6759C"/>
    <w:rsid w:val="00A675D5"/>
    <w:rsid w:val="00A67923"/>
    <w:rsid w:val="00A70183"/>
    <w:rsid w:val="00A713ED"/>
    <w:rsid w:val="00A714B8"/>
    <w:rsid w:val="00A73B58"/>
    <w:rsid w:val="00A74159"/>
    <w:rsid w:val="00A74901"/>
    <w:rsid w:val="00A74C39"/>
    <w:rsid w:val="00A75733"/>
    <w:rsid w:val="00A75783"/>
    <w:rsid w:val="00A75DD8"/>
    <w:rsid w:val="00A76308"/>
    <w:rsid w:val="00A76A08"/>
    <w:rsid w:val="00A77C08"/>
    <w:rsid w:val="00A81527"/>
    <w:rsid w:val="00A82058"/>
    <w:rsid w:val="00A84AE7"/>
    <w:rsid w:val="00A85232"/>
    <w:rsid w:val="00A85966"/>
    <w:rsid w:val="00A869B0"/>
    <w:rsid w:val="00A90B07"/>
    <w:rsid w:val="00A9289F"/>
    <w:rsid w:val="00A92C1D"/>
    <w:rsid w:val="00AA0BB5"/>
    <w:rsid w:val="00AA0C77"/>
    <w:rsid w:val="00AA1D27"/>
    <w:rsid w:val="00AA204C"/>
    <w:rsid w:val="00AA2192"/>
    <w:rsid w:val="00AA22D9"/>
    <w:rsid w:val="00AA2D57"/>
    <w:rsid w:val="00AA3941"/>
    <w:rsid w:val="00AA56D0"/>
    <w:rsid w:val="00AA5AAB"/>
    <w:rsid w:val="00AA7349"/>
    <w:rsid w:val="00AB0C9F"/>
    <w:rsid w:val="00AB0FC5"/>
    <w:rsid w:val="00AB0FCA"/>
    <w:rsid w:val="00AB106C"/>
    <w:rsid w:val="00AB143A"/>
    <w:rsid w:val="00AB42F7"/>
    <w:rsid w:val="00AB6A04"/>
    <w:rsid w:val="00AB73E6"/>
    <w:rsid w:val="00AC003C"/>
    <w:rsid w:val="00AC0103"/>
    <w:rsid w:val="00AC0182"/>
    <w:rsid w:val="00AC1404"/>
    <w:rsid w:val="00AC302F"/>
    <w:rsid w:val="00AC4892"/>
    <w:rsid w:val="00AC4896"/>
    <w:rsid w:val="00AC6740"/>
    <w:rsid w:val="00AC6F38"/>
    <w:rsid w:val="00AD039F"/>
    <w:rsid w:val="00AD18A1"/>
    <w:rsid w:val="00AD359F"/>
    <w:rsid w:val="00AD3902"/>
    <w:rsid w:val="00AD3948"/>
    <w:rsid w:val="00AD6010"/>
    <w:rsid w:val="00AD7FD4"/>
    <w:rsid w:val="00AE330F"/>
    <w:rsid w:val="00AE33FF"/>
    <w:rsid w:val="00AE445A"/>
    <w:rsid w:val="00AF06D5"/>
    <w:rsid w:val="00AF09DD"/>
    <w:rsid w:val="00AF0E84"/>
    <w:rsid w:val="00AF2A17"/>
    <w:rsid w:val="00AF2F9D"/>
    <w:rsid w:val="00AF4296"/>
    <w:rsid w:val="00B02655"/>
    <w:rsid w:val="00B02BDA"/>
    <w:rsid w:val="00B0331E"/>
    <w:rsid w:val="00B040D3"/>
    <w:rsid w:val="00B05102"/>
    <w:rsid w:val="00B14BC1"/>
    <w:rsid w:val="00B16388"/>
    <w:rsid w:val="00B16A34"/>
    <w:rsid w:val="00B17B32"/>
    <w:rsid w:val="00B23B25"/>
    <w:rsid w:val="00B25453"/>
    <w:rsid w:val="00B27DC9"/>
    <w:rsid w:val="00B31985"/>
    <w:rsid w:val="00B31B9C"/>
    <w:rsid w:val="00B335B8"/>
    <w:rsid w:val="00B348D7"/>
    <w:rsid w:val="00B34D6C"/>
    <w:rsid w:val="00B41A06"/>
    <w:rsid w:val="00B5124A"/>
    <w:rsid w:val="00B52CA8"/>
    <w:rsid w:val="00B52FA2"/>
    <w:rsid w:val="00B5544F"/>
    <w:rsid w:val="00B55E5D"/>
    <w:rsid w:val="00B56397"/>
    <w:rsid w:val="00B56B00"/>
    <w:rsid w:val="00B60A36"/>
    <w:rsid w:val="00B66867"/>
    <w:rsid w:val="00B66994"/>
    <w:rsid w:val="00B66ED6"/>
    <w:rsid w:val="00B70B61"/>
    <w:rsid w:val="00B70F01"/>
    <w:rsid w:val="00B71AFB"/>
    <w:rsid w:val="00B71F3A"/>
    <w:rsid w:val="00B739DE"/>
    <w:rsid w:val="00B73C97"/>
    <w:rsid w:val="00B74513"/>
    <w:rsid w:val="00B762D8"/>
    <w:rsid w:val="00B76340"/>
    <w:rsid w:val="00B77751"/>
    <w:rsid w:val="00B80C43"/>
    <w:rsid w:val="00B80E07"/>
    <w:rsid w:val="00B82DE4"/>
    <w:rsid w:val="00B86F1B"/>
    <w:rsid w:val="00B87A25"/>
    <w:rsid w:val="00B87B35"/>
    <w:rsid w:val="00B910EF"/>
    <w:rsid w:val="00B928F3"/>
    <w:rsid w:val="00B92E11"/>
    <w:rsid w:val="00B94786"/>
    <w:rsid w:val="00B94F48"/>
    <w:rsid w:val="00B97C49"/>
    <w:rsid w:val="00BA2C64"/>
    <w:rsid w:val="00BA3F7E"/>
    <w:rsid w:val="00BA4ADE"/>
    <w:rsid w:val="00BA78B6"/>
    <w:rsid w:val="00BB1D2A"/>
    <w:rsid w:val="00BB26AD"/>
    <w:rsid w:val="00BB2DC9"/>
    <w:rsid w:val="00BB79BD"/>
    <w:rsid w:val="00BC165B"/>
    <w:rsid w:val="00BC226C"/>
    <w:rsid w:val="00BC31E4"/>
    <w:rsid w:val="00BC3388"/>
    <w:rsid w:val="00BC3B0E"/>
    <w:rsid w:val="00BC50EE"/>
    <w:rsid w:val="00BC7208"/>
    <w:rsid w:val="00BC72D9"/>
    <w:rsid w:val="00BD0B48"/>
    <w:rsid w:val="00BD0E23"/>
    <w:rsid w:val="00BD2A0A"/>
    <w:rsid w:val="00BD3532"/>
    <w:rsid w:val="00BD3765"/>
    <w:rsid w:val="00BD5D0F"/>
    <w:rsid w:val="00BD7904"/>
    <w:rsid w:val="00BD7C68"/>
    <w:rsid w:val="00BE0B7E"/>
    <w:rsid w:val="00BE0E87"/>
    <w:rsid w:val="00BE11DD"/>
    <w:rsid w:val="00BE1CBC"/>
    <w:rsid w:val="00BE29DC"/>
    <w:rsid w:val="00BE6A7F"/>
    <w:rsid w:val="00BF0B45"/>
    <w:rsid w:val="00BF11E2"/>
    <w:rsid w:val="00BF3019"/>
    <w:rsid w:val="00BF3279"/>
    <w:rsid w:val="00BF40EE"/>
    <w:rsid w:val="00BF4C9F"/>
    <w:rsid w:val="00BF697A"/>
    <w:rsid w:val="00BF6ADB"/>
    <w:rsid w:val="00C00FBA"/>
    <w:rsid w:val="00C0161E"/>
    <w:rsid w:val="00C03776"/>
    <w:rsid w:val="00C0553B"/>
    <w:rsid w:val="00C118BE"/>
    <w:rsid w:val="00C120A0"/>
    <w:rsid w:val="00C12BCC"/>
    <w:rsid w:val="00C13821"/>
    <w:rsid w:val="00C14051"/>
    <w:rsid w:val="00C142AA"/>
    <w:rsid w:val="00C1489F"/>
    <w:rsid w:val="00C15AAF"/>
    <w:rsid w:val="00C15F73"/>
    <w:rsid w:val="00C169BC"/>
    <w:rsid w:val="00C171AC"/>
    <w:rsid w:val="00C200F7"/>
    <w:rsid w:val="00C2037B"/>
    <w:rsid w:val="00C22581"/>
    <w:rsid w:val="00C22BFC"/>
    <w:rsid w:val="00C22FF7"/>
    <w:rsid w:val="00C24911"/>
    <w:rsid w:val="00C25DDD"/>
    <w:rsid w:val="00C27F76"/>
    <w:rsid w:val="00C3075A"/>
    <w:rsid w:val="00C30DA4"/>
    <w:rsid w:val="00C311E6"/>
    <w:rsid w:val="00C31574"/>
    <w:rsid w:val="00C32D22"/>
    <w:rsid w:val="00C3345E"/>
    <w:rsid w:val="00C3497E"/>
    <w:rsid w:val="00C40A3B"/>
    <w:rsid w:val="00C40AD3"/>
    <w:rsid w:val="00C42BE8"/>
    <w:rsid w:val="00C44719"/>
    <w:rsid w:val="00C44B94"/>
    <w:rsid w:val="00C4622D"/>
    <w:rsid w:val="00C474E1"/>
    <w:rsid w:val="00C50108"/>
    <w:rsid w:val="00C51DE3"/>
    <w:rsid w:val="00C53390"/>
    <w:rsid w:val="00C557D9"/>
    <w:rsid w:val="00C56ECC"/>
    <w:rsid w:val="00C57748"/>
    <w:rsid w:val="00C60412"/>
    <w:rsid w:val="00C6226F"/>
    <w:rsid w:val="00C63DC4"/>
    <w:rsid w:val="00C64D81"/>
    <w:rsid w:val="00C654A5"/>
    <w:rsid w:val="00C6572C"/>
    <w:rsid w:val="00C67FED"/>
    <w:rsid w:val="00C70CFF"/>
    <w:rsid w:val="00C72BFE"/>
    <w:rsid w:val="00C748C6"/>
    <w:rsid w:val="00C74DB1"/>
    <w:rsid w:val="00C75655"/>
    <w:rsid w:val="00C75E9D"/>
    <w:rsid w:val="00C761CC"/>
    <w:rsid w:val="00C76A40"/>
    <w:rsid w:val="00C772CD"/>
    <w:rsid w:val="00C7786D"/>
    <w:rsid w:val="00C77C01"/>
    <w:rsid w:val="00C809CD"/>
    <w:rsid w:val="00C81D8F"/>
    <w:rsid w:val="00C82FEE"/>
    <w:rsid w:val="00C837C3"/>
    <w:rsid w:val="00C840B7"/>
    <w:rsid w:val="00C840CF"/>
    <w:rsid w:val="00C84497"/>
    <w:rsid w:val="00C868F6"/>
    <w:rsid w:val="00C9137C"/>
    <w:rsid w:val="00C91644"/>
    <w:rsid w:val="00C92441"/>
    <w:rsid w:val="00C92964"/>
    <w:rsid w:val="00C92F1C"/>
    <w:rsid w:val="00C9317C"/>
    <w:rsid w:val="00C93F9B"/>
    <w:rsid w:val="00C960FF"/>
    <w:rsid w:val="00C9663B"/>
    <w:rsid w:val="00CA43A5"/>
    <w:rsid w:val="00CA4C16"/>
    <w:rsid w:val="00CA67A9"/>
    <w:rsid w:val="00CA7483"/>
    <w:rsid w:val="00CA7647"/>
    <w:rsid w:val="00CA7C0B"/>
    <w:rsid w:val="00CA7C4A"/>
    <w:rsid w:val="00CB16C3"/>
    <w:rsid w:val="00CB6E2B"/>
    <w:rsid w:val="00CB6FF7"/>
    <w:rsid w:val="00CB7302"/>
    <w:rsid w:val="00CC1E9F"/>
    <w:rsid w:val="00CC2C9C"/>
    <w:rsid w:val="00CC427A"/>
    <w:rsid w:val="00CC44F2"/>
    <w:rsid w:val="00CC57E2"/>
    <w:rsid w:val="00CC5896"/>
    <w:rsid w:val="00CC62B7"/>
    <w:rsid w:val="00CD055B"/>
    <w:rsid w:val="00CD445C"/>
    <w:rsid w:val="00CD4789"/>
    <w:rsid w:val="00CD7197"/>
    <w:rsid w:val="00CD729B"/>
    <w:rsid w:val="00CE0C35"/>
    <w:rsid w:val="00CE1085"/>
    <w:rsid w:val="00CE23C4"/>
    <w:rsid w:val="00CE2814"/>
    <w:rsid w:val="00CE3810"/>
    <w:rsid w:val="00CE4E0E"/>
    <w:rsid w:val="00CE52B4"/>
    <w:rsid w:val="00CE5DCD"/>
    <w:rsid w:val="00CE701C"/>
    <w:rsid w:val="00CE7599"/>
    <w:rsid w:val="00CE79DF"/>
    <w:rsid w:val="00CF3B60"/>
    <w:rsid w:val="00CF414A"/>
    <w:rsid w:val="00CF4FF0"/>
    <w:rsid w:val="00CF5692"/>
    <w:rsid w:val="00CF5B47"/>
    <w:rsid w:val="00CF75D8"/>
    <w:rsid w:val="00D00CF0"/>
    <w:rsid w:val="00D00EDE"/>
    <w:rsid w:val="00D04ED0"/>
    <w:rsid w:val="00D06391"/>
    <w:rsid w:val="00D104AB"/>
    <w:rsid w:val="00D104F9"/>
    <w:rsid w:val="00D11920"/>
    <w:rsid w:val="00D14323"/>
    <w:rsid w:val="00D152FC"/>
    <w:rsid w:val="00D15558"/>
    <w:rsid w:val="00D16008"/>
    <w:rsid w:val="00D166D4"/>
    <w:rsid w:val="00D1705A"/>
    <w:rsid w:val="00D17097"/>
    <w:rsid w:val="00D2103B"/>
    <w:rsid w:val="00D223FE"/>
    <w:rsid w:val="00D235E0"/>
    <w:rsid w:val="00D2387F"/>
    <w:rsid w:val="00D30254"/>
    <w:rsid w:val="00D33768"/>
    <w:rsid w:val="00D33D87"/>
    <w:rsid w:val="00D35077"/>
    <w:rsid w:val="00D35A6E"/>
    <w:rsid w:val="00D408A8"/>
    <w:rsid w:val="00D417E1"/>
    <w:rsid w:val="00D42743"/>
    <w:rsid w:val="00D434C4"/>
    <w:rsid w:val="00D4453F"/>
    <w:rsid w:val="00D45394"/>
    <w:rsid w:val="00D46DAE"/>
    <w:rsid w:val="00D46E7B"/>
    <w:rsid w:val="00D51C8F"/>
    <w:rsid w:val="00D5204B"/>
    <w:rsid w:val="00D5346E"/>
    <w:rsid w:val="00D541D9"/>
    <w:rsid w:val="00D54472"/>
    <w:rsid w:val="00D54C10"/>
    <w:rsid w:val="00D55191"/>
    <w:rsid w:val="00D55257"/>
    <w:rsid w:val="00D55870"/>
    <w:rsid w:val="00D55BA1"/>
    <w:rsid w:val="00D55CD0"/>
    <w:rsid w:val="00D57544"/>
    <w:rsid w:val="00D57973"/>
    <w:rsid w:val="00D60CE2"/>
    <w:rsid w:val="00D612EC"/>
    <w:rsid w:val="00D6153E"/>
    <w:rsid w:val="00D61B8A"/>
    <w:rsid w:val="00D61C32"/>
    <w:rsid w:val="00D61C89"/>
    <w:rsid w:val="00D623C4"/>
    <w:rsid w:val="00D62B43"/>
    <w:rsid w:val="00D6420F"/>
    <w:rsid w:val="00D64CF0"/>
    <w:rsid w:val="00D65665"/>
    <w:rsid w:val="00D668D5"/>
    <w:rsid w:val="00D722DF"/>
    <w:rsid w:val="00D723F2"/>
    <w:rsid w:val="00D7321D"/>
    <w:rsid w:val="00D7756A"/>
    <w:rsid w:val="00D82838"/>
    <w:rsid w:val="00D82EC3"/>
    <w:rsid w:val="00D83A3B"/>
    <w:rsid w:val="00D83D70"/>
    <w:rsid w:val="00D84675"/>
    <w:rsid w:val="00D84A90"/>
    <w:rsid w:val="00D8526A"/>
    <w:rsid w:val="00D86252"/>
    <w:rsid w:val="00D907CA"/>
    <w:rsid w:val="00D917F3"/>
    <w:rsid w:val="00D92299"/>
    <w:rsid w:val="00D92A01"/>
    <w:rsid w:val="00D93815"/>
    <w:rsid w:val="00D9383F"/>
    <w:rsid w:val="00D939D5"/>
    <w:rsid w:val="00D9767B"/>
    <w:rsid w:val="00D97BAA"/>
    <w:rsid w:val="00DA26B5"/>
    <w:rsid w:val="00DA3AF3"/>
    <w:rsid w:val="00DA5455"/>
    <w:rsid w:val="00DA5C2B"/>
    <w:rsid w:val="00DB3218"/>
    <w:rsid w:val="00DB3DE7"/>
    <w:rsid w:val="00DB5418"/>
    <w:rsid w:val="00DB5EFB"/>
    <w:rsid w:val="00DB6EF1"/>
    <w:rsid w:val="00DB7EA3"/>
    <w:rsid w:val="00DC003F"/>
    <w:rsid w:val="00DC04CA"/>
    <w:rsid w:val="00DC19BB"/>
    <w:rsid w:val="00DC4225"/>
    <w:rsid w:val="00DC43D8"/>
    <w:rsid w:val="00DC5155"/>
    <w:rsid w:val="00DC6404"/>
    <w:rsid w:val="00DC6DEC"/>
    <w:rsid w:val="00DC7CAF"/>
    <w:rsid w:val="00DD12CD"/>
    <w:rsid w:val="00DD366B"/>
    <w:rsid w:val="00DD7FDF"/>
    <w:rsid w:val="00DE0BD9"/>
    <w:rsid w:val="00DE1703"/>
    <w:rsid w:val="00DE25AC"/>
    <w:rsid w:val="00DE290D"/>
    <w:rsid w:val="00DE4DF6"/>
    <w:rsid w:val="00DE5997"/>
    <w:rsid w:val="00DF10FA"/>
    <w:rsid w:val="00DF4642"/>
    <w:rsid w:val="00DF4B02"/>
    <w:rsid w:val="00DF4D9E"/>
    <w:rsid w:val="00DF568D"/>
    <w:rsid w:val="00DF5B5B"/>
    <w:rsid w:val="00DF60D8"/>
    <w:rsid w:val="00E00CCB"/>
    <w:rsid w:val="00E014C8"/>
    <w:rsid w:val="00E016D0"/>
    <w:rsid w:val="00E02B98"/>
    <w:rsid w:val="00E039F3"/>
    <w:rsid w:val="00E0415C"/>
    <w:rsid w:val="00E042C7"/>
    <w:rsid w:val="00E0511C"/>
    <w:rsid w:val="00E06A41"/>
    <w:rsid w:val="00E0781A"/>
    <w:rsid w:val="00E07E1B"/>
    <w:rsid w:val="00E11475"/>
    <w:rsid w:val="00E15FFC"/>
    <w:rsid w:val="00E175A7"/>
    <w:rsid w:val="00E20168"/>
    <w:rsid w:val="00E20740"/>
    <w:rsid w:val="00E20E92"/>
    <w:rsid w:val="00E2149A"/>
    <w:rsid w:val="00E245DA"/>
    <w:rsid w:val="00E24645"/>
    <w:rsid w:val="00E3105C"/>
    <w:rsid w:val="00E31BCB"/>
    <w:rsid w:val="00E32963"/>
    <w:rsid w:val="00E337BC"/>
    <w:rsid w:val="00E33EDD"/>
    <w:rsid w:val="00E350CD"/>
    <w:rsid w:val="00E360BB"/>
    <w:rsid w:val="00E3698D"/>
    <w:rsid w:val="00E372A9"/>
    <w:rsid w:val="00E4001B"/>
    <w:rsid w:val="00E403F0"/>
    <w:rsid w:val="00E40796"/>
    <w:rsid w:val="00E40F6A"/>
    <w:rsid w:val="00E4175B"/>
    <w:rsid w:val="00E420A9"/>
    <w:rsid w:val="00E42198"/>
    <w:rsid w:val="00E43855"/>
    <w:rsid w:val="00E449B2"/>
    <w:rsid w:val="00E45208"/>
    <w:rsid w:val="00E453FD"/>
    <w:rsid w:val="00E476BD"/>
    <w:rsid w:val="00E51A6A"/>
    <w:rsid w:val="00E51FDE"/>
    <w:rsid w:val="00E534B2"/>
    <w:rsid w:val="00E55F45"/>
    <w:rsid w:val="00E56430"/>
    <w:rsid w:val="00E56B66"/>
    <w:rsid w:val="00E579AF"/>
    <w:rsid w:val="00E6715E"/>
    <w:rsid w:val="00E705B7"/>
    <w:rsid w:val="00E70704"/>
    <w:rsid w:val="00E70823"/>
    <w:rsid w:val="00E7086E"/>
    <w:rsid w:val="00E70ECC"/>
    <w:rsid w:val="00E71A89"/>
    <w:rsid w:val="00E73DA0"/>
    <w:rsid w:val="00E7609F"/>
    <w:rsid w:val="00E76513"/>
    <w:rsid w:val="00E765E4"/>
    <w:rsid w:val="00E76F3F"/>
    <w:rsid w:val="00E77197"/>
    <w:rsid w:val="00E80AC1"/>
    <w:rsid w:val="00E81B1A"/>
    <w:rsid w:val="00E84B7A"/>
    <w:rsid w:val="00E84E4D"/>
    <w:rsid w:val="00E84FB3"/>
    <w:rsid w:val="00E87037"/>
    <w:rsid w:val="00E92833"/>
    <w:rsid w:val="00E9639B"/>
    <w:rsid w:val="00EA0F03"/>
    <w:rsid w:val="00EA0F80"/>
    <w:rsid w:val="00EA1EF9"/>
    <w:rsid w:val="00EA2659"/>
    <w:rsid w:val="00EA2CA0"/>
    <w:rsid w:val="00EA45AA"/>
    <w:rsid w:val="00EA50C6"/>
    <w:rsid w:val="00EA569C"/>
    <w:rsid w:val="00EA56D7"/>
    <w:rsid w:val="00EA63B2"/>
    <w:rsid w:val="00EA712A"/>
    <w:rsid w:val="00EA7237"/>
    <w:rsid w:val="00EB055B"/>
    <w:rsid w:val="00EB086F"/>
    <w:rsid w:val="00EB0987"/>
    <w:rsid w:val="00EB112A"/>
    <w:rsid w:val="00EB1CE3"/>
    <w:rsid w:val="00EB6E05"/>
    <w:rsid w:val="00EC08DA"/>
    <w:rsid w:val="00EC1212"/>
    <w:rsid w:val="00EC1755"/>
    <w:rsid w:val="00EC19BD"/>
    <w:rsid w:val="00EC1D3D"/>
    <w:rsid w:val="00EC2C69"/>
    <w:rsid w:val="00EC2F4B"/>
    <w:rsid w:val="00EC3331"/>
    <w:rsid w:val="00EC3B3E"/>
    <w:rsid w:val="00EC4148"/>
    <w:rsid w:val="00EC4934"/>
    <w:rsid w:val="00EC527D"/>
    <w:rsid w:val="00EC677E"/>
    <w:rsid w:val="00EC7E67"/>
    <w:rsid w:val="00ED0DFB"/>
    <w:rsid w:val="00ED2423"/>
    <w:rsid w:val="00ED2A38"/>
    <w:rsid w:val="00ED5B5C"/>
    <w:rsid w:val="00ED70BD"/>
    <w:rsid w:val="00ED7379"/>
    <w:rsid w:val="00EE0B3E"/>
    <w:rsid w:val="00EE3099"/>
    <w:rsid w:val="00EE37BB"/>
    <w:rsid w:val="00EE4C25"/>
    <w:rsid w:val="00EE6CEE"/>
    <w:rsid w:val="00EE76DB"/>
    <w:rsid w:val="00EE76DD"/>
    <w:rsid w:val="00EF2521"/>
    <w:rsid w:val="00EF2558"/>
    <w:rsid w:val="00EF32F1"/>
    <w:rsid w:val="00EF3414"/>
    <w:rsid w:val="00EF3619"/>
    <w:rsid w:val="00EF3B10"/>
    <w:rsid w:val="00EF3FBC"/>
    <w:rsid w:val="00EF4099"/>
    <w:rsid w:val="00EF4566"/>
    <w:rsid w:val="00EF544D"/>
    <w:rsid w:val="00EF6BC6"/>
    <w:rsid w:val="00EF6BDC"/>
    <w:rsid w:val="00EF7234"/>
    <w:rsid w:val="00EF7E1A"/>
    <w:rsid w:val="00F01C4C"/>
    <w:rsid w:val="00F02786"/>
    <w:rsid w:val="00F02A9E"/>
    <w:rsid w:val="00F03F1F"/>
    <w:rsid w:val="00F0434F"/>
    <w:rsid w:val="00F0557B"/>
    <w:rsid w:val="00F0670F"/>
    <w:rsid w:val="00F07442"/>
    <w:rsid w:val="00F07FA6"/>
    <w:rsid w:val="00F11BB3"/>
    <w:rsid w:val="00F13036"/>
    <w:rsid w:val="00F1521D"/>
    <w:rsid w:val="00F159AB"/>
    <w:rsid w:val="00F1685E"/>
    <w:rsid w:val="00F17D68"/>
    <w:rsid w:val="00F20A9E"/>
    <w:rsid w:val="00F21D1A"/>
    <w:rsid w:val="00F2233B"/>
    <w:rsid w:val="00F22865"/>
    <w:rsid w:val="00F24D75"/>
    <w:rsid w:val="00F25618"/>
    <w:rsid w:val="00F25FB6"/>
    <w:rsid w:val="00F261E3"/>
    <w:rsid w:val="00F271C9"/>
    <w:rsid w:val="00F3266F"/>
    <w:rsid w:val="00F32A5D"/>
    <w:rsid w:val="00F34350"/>
    <w:rsid w:val="00F34B2F"/>
    <w:rsid w:val="00F34F33"/>
    <w:rsid w:val="00F3532F"/>
    <w:rsid w:val="00F36D1F"/>
    <w:rsid w:val="00F3769E"/>
    <w:rsid w:val="00F40DBD"/>
    <w:rsid w:val="00F40F06"/>
    <w:rsid w:val="00F42669"/>
    <w:rsid w:val="00F4267A"/>
    <w:rsid w:val="00F4668F"/>
    <w:rsid w:val="00F4749B"/>
    <w:rsid w:val="00F500A0"/>
    <w:rsid w:val="00F514FB"/>
    <w:rsid w:val="00F52D51"/>
    <w:rsid w:val="00F56757"/>
    <w:rsid w:val="00F56CE9"/>
    <w:rsid w:val="00F60015"/>
    <w:rsid w:val="00F61151"/>
    <w:rsid w:val="00F61C59"/>
    <w:rsid w:val="00F634CC"/>
    <w:rsid w:val="00F639F3"/>
    <w:rsid w:val="00F64ECE"/>
    <w:rsid w:val="00F657E9"/>
    <w:rsid w:val="00F67B6E"/>
    <w:rsid w:val="00F71E9A"/>
    <w:rsid w:val="00F738C5"/>
    <w:rsid w:val="00F76357"/>
    <w:rsid w:val="00F77765"/>
    <w:rsid w:val="00F77EC3"/>
    <w:rsid w:val="00F80F00"/>
    <w:rsid w:val="00F81255"/>
    <w:rsid w:val="00F8228A"/>
    <w:rsid w:val="00F82C19"/>
    <w:rsid w:val="00F85C89"/>
    <w:rsid w:val="00F85E98"/>
    <w:rsid w:val="00F87B53"/>
    <w:rsid w:val="00F91299"/>
    <w:rsid w:val="00F947B4"/>
    <w:rsid w:val="00FA18BB"/>
    <w:rsid w:val="00FA3F16"/>
    <w:rsid w:val="00FA4E70"/>
    <w:rsid w:val="00FA5A4B"/>
    <w:rsid w:val="00FA5C8D"/>
    <w:rsid w:val="00FA6A50"/>
    <w:rsid w:val="00FA6A64"/>
    <w:rsid w:val="00FA6AF2"/>
    <w:rsid w:val="00FA7C8B"/>
    <w:rsid w:val="00FB0249"/>
    <w:rsid w:val="00FB1FE2"/>
    <w:rsid w:val="00FB22C7"/>
    <w:rsid w:val="00FB6720"/>
    <w:rsid w:val="00FB793A"/>
    <w:rsid w:val="00FC4AD4"/>
    <w:rsid w:val="00FC4CF1"/>
    <w:rsid w:val="00FC5915"/>
    <w:rsid w:val="00FC5D6D"/>
    <w:rsid w:val="00FD11FD"/>
    <w:rsid w:val="00FD2656"/>
    <w:rsid w:val="00FD36ED"/>
    <w:rsid w:val="00FD454B"/>
    <w:rsid w:val="00FD5C80"/>
    <w:rsid w:val="00FD6657"/>
    <w:rsid w:val="00FD683E"/>
    <w:rsid w:val="00FE46C6"/>
    <w:rsid w:val="00FE4D93"/>
    <w:rsid w:val="00FE6452"/>
    <w:rsid w:val="00FF1A54"/>
    <w:rsid w:val="00FF5A7D"/>
    <w:rsid w:val="00FF66A0"/>
    <w:rsid w:val="00FF6812"/>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ListParagraph"/>
    <w:next w:val="Normal"/>
    <w:link w:val="Heading1Char"/>
    <w:uiPriority w:val="9"/>
    <w:qFormat/>
    <w:rsid w:val="004C085C"/>
    <w:pPr>
      <w:widowControl/>
      <w:numPr>
        <w:numId w:val="2"/>
      </w:numPr>
      <w:spacing w:line="360" w:lineRule="auto"/>
      <w:ind w:left="0" w:firstLine="0"/>
      <w:contextualSpacing w:val="0"/>
      <w:jc w:val="center"/>
      <w:outlineLvl w:val="0"/>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
    <w:basedOn w:val="Normal"/>
    <w:link w:val="FootnoteTextChar"/>
    <w:uiPriority w:val="99"/>
    <w:unhideWhenUsed/>
    <w:rsid w:val="00914C8C"/>
    <w:rPr>
      <w:sz w:val="26"/>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w:basedOn w:val="DefaultParagraphFont"/>
    <w:link w:val="FootnoteText"/>
    <w:uiPriority w:val="99"/>
    <w:rsid w:val="00914C8C"/>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914C8C"/>
    <w:pPr>
      <w:tabs>
        <w:tab w:val="center" w:pos="4680"/>
        <w:tab w:val="right" w:pos="9360"/>
      </w:tabs>
    </w:pPr>
  </w:style>
  <w:style w:type="character" w:customStyle="1" w:styleId="HeaderChar">
    <w:name w:val="Header Char"/>
    <w:basedOn w:val="DefaultParagraphFont"/>
    <w:link w:val="Header"/>
    <w:uiPriority w:val="99"/>
    <w:rsid w:val="00914C8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14C8C"/>
    <w:pPr>
      <w:tabs>
        <w:tab w:val="center" w:pos="4680"/>
        <w:tab w:val="right" w:pos="9360"/>
      </w:tabs>
    </w:pPr>
  </w:style>
  <w:style w:type="character" w:customStyle="1" w:styleId="FooterChar">
    <w:name w:val="Footer Char"/>
    <w:basedOn w:val="DefaultParagraphFont"/>
    <w:link w:val="Footer"/>
    <w:uiPriority w:val="99"/>
    <w:rsid w:val="00914C8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86634"/>
    <w:rPr>
      <w:sz w:val="16"/>
      <w:szCs w:val="16"/>
    </w:rPr>
  </w:style>
  <w:style w:type="paragraph" w:styleId="CommentText">
    <w:name w:val="annotation text"/>
    <w:basedOn w:val="Normal"/>
    <w:link w:val="CommentTextChar"/>
    <w:uiPriority w:val="99"/>
    <w:semiHidden/>
    <w:unhideWhenUsed/>
    <w:rsid w:val="00086634"/>
  </w:style>
  <w:style w:type="character" w:customStyle="1" w:styleId="CommentTextChar">
    <w:name w:val="Comment Text Char"/>
    <w:basedOn w:val="DefaultParagraphFont"/>
    <w:link w:val="CommentText"/>
    <w:uiPriority w:val="99"/>
    <w:semiHidden/>
    <w:rsid w:val="000866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6634"/>
    <w:rPr>
      <w:b/>
      <w:bCs/>
    </w:rPr>
  </w:style>
  <w:style w:type="character" w:customStyle="1" w:styleId="CommentSubjectChar">
    <w:name w:val="Comment Subject Char"/>
    <w:basedOn w:val="CommentTextChar"/>
    <w:link w:val="CommentSubject"/>
    <w:uiPriority w:val="99"/>
    <w:semiHidden/>
    <w:rsid w:val="00086634"/>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4C085C"/>
    <w:rPr>
      <w:rFonts w:ascii="Times New Roman" w:eastAsia="Times New Roman" w:hAnsi="Times New Roman" w:cs="Times New Roman"/>
      <w:b/>
      <w:sz w:val="26"/>
      <w:szCs w:val="26"/>
    </w:rPr>
  </w:style>
  <w:style w:type="paragraph" w:styleId="BodyText2">
    <w:name w:val="Body Text 2"/>
    <w:basedOn w:val="Normal"/>
    <w:link w:val="BodyText2Char"/>
    <w:rsid w:val="004C085C"/>
    <w:pPr>
      <w:widowControl/>
      <w:spacing w:after="120" w:line="480" w:lineRule="auto"/>
    </w:pPr>
    <w:rPr>
      <w:rFonts w:ascii="CG Times" w:hAnsi="CG Times"/>
      <w:sz w:val="24"/>
    </w:rPr>
  </w:style>
  <w:style w:type="character" w:customStyle="1" w:styleId="BodyText2Char">
    <w:name w:val="Body Text 2 Char"/>
    <w:basedOn w:val="DefaultParagraphFont"/>
    <w:link w:val="BodyText2"/>
    <w:rsid w:val="004C085C"/>
    <w:rPr>
      <w:rFonts w:ascii="CG Times" w:eastAsia="Times New Roman" w:hAnsi="CG Times" w:cs="Times New Roman"/>
      <w:sz w:val="24"/>
      <w:szCs w:val="20"/>
    </w:rPr>
  </w:style>
  <w:style w:type="paragraph" w:styleId="BodyText3">
    <w:name w:val="Body Text 3"/>
    <w:basedOn w:val="Normal"/>
    <w:link w:val="BodyText3Char"/>
    <w:uiPriority w:val="99"/>
    <w:semiHidden/>
    <w:unhideWhenUsed/>
    <w:rsid w:val="004C085C"/>
    <w:pPr>
      <w:widowControl/>
      <w:spacing w:after="120" w:line="360" w:lineRule="auto"/>
    </w:pPr>
    <w:rPr>
      <w:rFonts w:ascii="CG Times" w:hAnsi="CG Times"/>
      <w:sz w:val="16"/>
      <w:szCs w:val="16"/>
    </w:rPr>
  </w:style>
  <w:style w:type="character" w:customStyle="1" w:styleId="BodyText3Char">
    <w:name w:val="Body Text 3 Char"/>
    <w:basedOn w:val="DefaultParagraphFont"/>
    <w:link w:val="BodyText3"/>
    <w:uiPriority w:val="99"/>
    <w:semiHidden/>
    <w:rsid w:val="004C085C"/>
    <w:rPr>
      <w:rFonts w:ascii="CG Times" w:eastAsia="Times New Roman" w:hAnsi="CG Times" w:cs="Times New Roman"/>
      <w:sz w:val="16"/>
      <w:szCs w:val="16"/>
    </w:rPr>
  </w:style>
  <w:style w:type="paragraph" w:styleId="ListParagraph">
    <w:name w:val="List Paragraph"/>
    <w:basedOn w:val="Normal"/>
    <w:uiPriority w:val="34"/>
    <w:qFormat/>
    <w:rsid w:val="004C085C"/>
    <w:pPr>
      <w:ind w:left="720"/>
      <w:contextualSpacing/>
    </w:pPr>
  </w:style>
  <w:style w:type="paragraph" w:styleId="Revision">
    <w:name w:val="Revision"/>
    <w:hidden/>
    <w:uiPriority w:val="99"/>
    <w:semiHidden/>
    <w:rsid w:val="00A73B58"/>
    <w:pPr>
      <w:spacing w:after="0" w:line="240" w:lineRule="auto"/>
    </w:pPr>
    <w:rPr>
      <w:rFonts w:ascii="Times New Roman" w:eastAsia="Times New Roman" w:hAnsi="Times New Roman" w:cs="Times New Roman"/>
      <w:sz w:val="20"/>
      <w:szCs w:val="20"/>
    </w:rPr>
  </w:style>
  <w:style w:type="paragraph" w:styleId="PlainText">
    <w:name w:val="Plain Text"/>
    <w:basedOn w:val="Normal"/>
    <w:link w:val="PlainTextChar"/>
    <w:uiPriority w:val="99"/>
    <w:semiHidden/>
    <w:unhideWhenUsed/>
    <w:rsid w:val="00901FF3"/>
    <w:pPr>
      <w:widowControl/>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901FF3"/>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ListParagraph"/>
    <w:next w:val="Normal"/>
    <w:link w:val="Heading1Char"/>
    <w:uiPriority w:val="9"/>
    <w:qFormat/>
    <w:rsid w:val="004C085C"/>
    <w:pPr>
      <w:widowControl/>
      <w:numPr>
        <w:numId w:val="2"/>
      </w:numPr>
      <w:spacing w:line="360" w:lineRule="auto"/>
      <w:ind w:left="0" w:firstLine="0"/>
      <w:contextualSpacing w:val="0"/>
      <w:jc w:val="center"/>
      <w:outlineLvl w:val="0"/>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
    <w:basedOn w:val="Normal"/>
    <w:link w:val="FootnoteTextChar"/>
    <w:uiPriority w:val="99"/>
    <w:unhideWhenUsed/>
    <w:rsid w:val="00914C8C"/>
    <w:rPr>
      <w:sz w:val="26"/>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w:basedOn w:val="DefaultParagraphFont"/>
    <w:link w:val="FootnoteText"/>
    <w:uiPriority w:val="99"/>
    <w:rsid w:val="00914C8C"/>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914C8C"/>
    <w:pPr>
      <w:tabs>
        <w:tab w:val="center" w:pos="4680"/>
        <w:tab w:val="right" w:pos="9360"/>
      </w:tabs>
    </w:pPr>
  </w:style>
  <w:style w:type="character" w:customStyle="1" w:styleId="HeaderChar">
    <w:name w:val="Header Char"/>
    <w:basedOn w:val="DefaultParagraphFont"/>
    <w:link w:val="Header"/>
    <w:uiPriority w:val="99"/>
    <w:rsid w:val="00914C8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14C8C"/>
    <w:pPr>
      <w:tabs>
        <w:tab w:val="center" w:pos="4680"/>
        <w:tab w:val="right" w:pos="9360"/>
      </w:tabs>
    </w:pPr>
  </w:style>
  <w:style w:type="character" w:customStyle="1" w:styleId="FooterChar">
    <w:name w:val="Footer Char"/>
    <w:basedOn w:val="DefaultParagraphFont"/>
    <w:link w:val="Footer"/>
    <w:uiPriority w:val="99"/>
    <w:rsid w:val="00914C8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86634"/>
    <w:rPr>
      <w:sz w:val="16"/>
      <w:szCs w:val="16"/>
    </w:rPr>
  </w:style>
  <w:style w:type="paragraph" w:styleId="CommentText">
    <w:name w:val="annotation text"/>
    <w:basedOn w:val="Normal"/>
    <w:link w:val="CommentTextChar"/>
    <w:uiPriority w:val="99"/>
    <w:semiHidden/>
    <w:unhideWhenUsed/>
    <w:rsid w:val="00086634"/>
  </w:style>
  <w:style w:type="character" w:customStyle="1" w:styleId="CommentTextChar">
    <w:name w:val="Comment Text Char"/>
    <w:basedOn w:val="DefaultParagraphFont"/>
    <w:link w:val="CommentText"/>
    <w:uiPriority w:val="99"/>
    <w:semiHidden/>
    <w:rsid w:val="000866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6634"/>
    <w:rPr>
      <w:b/>
      <w:bCs/>
    </w:rPr>
  </w:style>
  <w:style w:type="character" w:customStyle="1" w:styleId="CommentSubjectChar">
    <w:name w:val="Comment Subject Char"/>
    <w:basedOn w:val="CommentTextChar"/>
    <w:link w:val="CommentSubject"/>
    <w:uiPriority w:val="99"/>
    <w:semiHidden/>
    <w:rsid w:val="00086634"/>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4C085C"/>
    <w:rPr>
      <w:rFonts w:ascii="Times New Roman" w:eastAsia="Times New Roman" w:hAnsi="Times New Roman" w:cs="Times New Roman"/>
      <w:b/>
      <w:sz w:val="26"/>
      <w:szCs w:val="26"/>
    </w:rPr>
  </w:style>
  <w:style w:type="paragraph" w:styleId="BodyText2">
    <w:name w:val="Body Text 2"/>
    <w:basedOn w:val="Normal"/>
    <w:link w:val="BodyText2Char"/>
    <w:rsid w:val="004C085C"/>
    <w:pPr>
      <w:widowControl/>
      <w:spacing w:after="120" w:line="480" w:lineRule="auto"/>
    </w:pPr>
    <w:rPr>
      <w:rFonts w:ascii="CG Times" w:hAnsi="CG Times"/>
      <w:sz w:val="24"/>
    </w:rPr>
  </w:style>
  <w:style w:type="character" w:customStyle="1" w:styleId="BodyText2Char">
    <w:name w:val="Body Text 2 Char"/>
    <w:basedOn w:val="DefaultParagraphFont"/>
    <w:link w:val="BodyText2"/>
    <w:rsid w:val="004C085C"/>
    <w:rPr>
      <w:rFonts w:ascii="CG Times" w:eastAsia="Times New Roman" w:hAnsi="CG Times" w:cs="Times New Roman"/>
      <w:sz w:val="24"/>
      <w:szCs w:val="20"/>
    </w:rPr>
  </w:style>
  <w:style w:type="paragraph" w:styleId="BodyText3">
    <w:name w:val="Body Text 3"/>
    <w:basedOn w:val="Normal"/>
    <w:link w:val="BodyText3Char"/>
    <w:uiPriority w:val="99"/>
    <w:semiHidden/>
    <w:unhideWhenUsed/>
    <w:rsid w:val="004C085C"/>
    <w:pPr>
      <w:widowControl/>
      <w:spacing w:after="120" w:line="360" w:lineRule="auto"/>
    </w:pPr>
    <w:rPr>
      <w:rFonts w:ascii="CG Times" w:hAnsi="CG Times"/>
      <w:sz w:val="16"/>
      <w:szCs w:val="16"/>
    </w:rPr>
  </w:style>
  <w:style w:type="character" w:customStyle="1" w:styleId="BodyText3Char">
    <w:name w:val="Body Text 3 Char"/>
    <w:basedOn w:val="DefaultParagraphFont"/>
    <w:link w:val="BodyText3"/>
    <w:uiPriority w:val="99"/>
    <w:semiHidden/>
    <w:rsid w:val="004C085C"/>
    <w:rPr>
      <w:rFonts w:ascii="CG Times" w:eastAsia="Times New Roman" w:hAnsi="CG Times" w:cs="Times New Roman"/>
      <w:sz w:val="16"/>
      <w:szCs w:val="16"/>
    </w:rPr>
  </w:style>
  <w:style w:type="paragraph" w:styleId="ListParagraph">
    <w:name w:val="List Paragraph"/>
    <w:basedOn w:val="Normal"/>
    <w:uiPriority w:val="34"/>
    <w:qFormat/>
    <w:rsid w:val="004C085C"/>
    <w:pPr>
      <w:ind w:left="720"/>
      <w:contextualSpacing/>
    </w:pPr>
  </w:style>
  <w:style w:type="paragraph" w:styleId="Revision">
    <w:name w:val="Revision"/>
    <w:hidden/>
    <w:uiPriority w:val="99"/>
    <w:semiHidden/>
    <w:rsid w:val="00A73B58"/>
    <w:pPr>
      <w:spacing w:after="0" w:line="240" w:lineRule="auto"/>
    </w:pPr>
    <w:rPr>
      <w:rFonts w:ascii="Times New Roman" w:eastAsia="Times New Roman" w:hAnsi="Times New Roman" w:cs="Times New Roman"/>
      <w:sz w:val="20"/>
      <w:szCs w:val="20"/>
    </w:rPr>
  </w:style>
  <w:style w:type="paragraph" w:styleId="PlainText">
    <w:name w:val="Plain Text"/>
    <w:basedOn w:val="Normal"/>
    <w:link w:val="PlainTextChar"/>
    <w:uiPriority w:val="99"/>
    <w:semiHidden/>
    <w:unhideWhenUsed/>
    <w:rsid w:val="00901FF3"/>
    <w:pPr>
      <w:widowControl/>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901FF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296099">
      <w:bodyDiv w:val="1"/>
      <w:marLeft w:val="30"/>
      <w:marRight w:val="30"/>
      <w:marTop w:val="30"/>
      <w:marBottom w:val="30"/>
      <w:divBdr>
        <w:top w:val="none" w:sz="0" w:space="0" w:color="auto"/>
        <w:left w:val="none" w:sz="0" w:space="0" w:color="auto"/>
        <w:bottom w:val="none" w:sz="0" w:space="0" w:color="auto"/>
        <w:right w:val="none" w:sz="0" w:space="0" w:color="auto"/>
      </w:divBdr>
      <w:divsChild>
        <w:div w:id="410007947">
          <w:marLeft w:val="0"/>
          <w:marRight w:val="0"/>
          <w:marTop w:val="0"/>
          <w:marBottom w:val="0"/>
          <w:divBdr>
            <w:top w:val="none" w:sz="0" w:space="0" w:color="auto"/>
            <w:left w:val="none" w:sz="0" w:space="0" w:color="auto"/>
            <w:bottom w:val="none" w:sz="0" w:space="0" w:color="auto"/>
            <w:right w:val="none" w:sz="0" w:space="0" w:color="auto"/>
          </w:divBdr>
          <w:divsChild>
            <w:div w:id="1813020254">
              <w:marLeft w:val="45"/>
              <w:marRight w:val="45"/>
              <w:marTop w:val="45"/>
              <w:marBottom w:val="45"/>
              <w:divBdr>
                <w:top w:val="none" w:sz="0" w:space="0" w:color="auto"/>
                <w:left w:val="none" w:sz="0" w:space="0" w:color="auto"/>
                <w:bottom w:val="none" w:sz="0" w:space="0" w:color="auto"/>
                <w:right w:val="none" w:sz="0" w:space="0" w:color="auto"/>
              </w:divBdr>
              <w:divsChild>
                <w:div w:id="48381609">
                  <w:marLeft w:val="0"/>
                  <w:marRight w:val="0"/>
                  <w:marTop w:val="0"/>
                  <w:marBottom w:val="0"/>
                  <w:divBdr>
                    <w:top w:val="none" w:sz="0" w:space="0" w:color="auto"/>
                    <w:left w:val="none" w:sz="0" w:space="0" w:color="auto"/>
                    <w:bottom w:val="none" w:sz="0" w:space="0" w:color="auto"/>
                    <w:right w:val="none" w:sz="0" w:space="0" w:color="auto"/>
                  </w:divBdr>
                  <w:divsChild>
                    <w:div w:id="5616771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379201">
      <w:bodyDiv w:val="1"/>
      <w:marLeft w:val="0"/>
      <w:marRight w:val="0"/>
      <w:marTop w:val="0"/>
      <w:marBottom w:val="0"/>
      <w:divBdr>
        <w:top w:val="none" w:sz="0" w:space="0" w:color="auto"/>
        <w:left w:val="none" w:sz="0" w:space="0" w:color="auto"/>
        <w:bottom w:val="none" w:sz="0" w:space="0" w:color="auto"/>
        <w:right w:val="none" w:sz="0" w:space="0" w:color="auto"/>
      </w:divBdr>
    </w:div>
    <w:div w:id="1884098700">
      <w:bodyDiv w:val="1"/>
      <w:marLeft w:val="30"/>
      <w:marRight w:val="30"/>
      <w:marTop w:val="30"/>
      <w:marBottom w:val="30"/>
      <w:divBdr>
        <w:top w:val="none" w:sz="0" w:space="0" w:color="auto"/>
        <w:left w:val="none" w:sz="0" w:space="0" w:color="auto"/>
        <w:bottom w:val="none" w:sz="0" w:space="0" w:color="auto"/>
        <w:right w:val="none" w:sz="0" w:space="0" w:color="auto"/>
      </w:divBdr>
      <w:divsChild>
        <w:div w:id="25258755">
          <w:marLeft w:val="0"/>
          <w:marRight w:val="0"/>
          <w:marTop w:val="0"/>
          <w:marBottom w:val="0"/>
          <w:divBdr>
            <w:top w:val="none" w:sz="0" w:space="0" w:color="auto"/>
            <w:left w:val="none" w:sz="0" w:space="0" w:color="auto"/>
            <w:bottom w:val="none" w:sz="0" w:space="0" w:color="auto"/>
            <w:right w:val="none" w:sz="0" w:space="0" w:color="auto"/>
          </w:divBdr>
          <w:divsChild>
            <w:div w:id="633877114">
              <w:marLeft w:val="45"/>
              <w:marRight w:val="45"/>
              <w:marTop w:val="45"/>
              <w:marBottom w:val="45"/>
              <w:divBdr>
                <w:top w:val="none" w:sz="0" w:space="0" w:color="auto"/>
                <w:left w:val="none" w:sz="0" w:space="0" w:color="auto"/>
                <w:bottom w:val="none" w:sz="0" w:space="0" w:color="auto"/>
                <w:right w:val="none" w:sz="0" w:space="0" w:color="auto"/>
              </w:divBdr>
              <w:divsChild>
                <w:div w:id="1200315199">
                  <w:marLeft w:val="0"/>
                  <w:marRight w:val="0"/>
                  <w:marTop w:val="0"/>
                  <w:marBottom w:val="0"/>
                  <w:divBdr>
                    <w:top w:val="none" w:sz="0" w:space="0" w:color="auto"/>
                    <w:left w:val="none" w:sz="0" w:space="0" w:color="auto"/>
                    <w:bottom w:val="none" w:sz="0" w:space="0" w:color="auto"/>
                    <w:right w:val="none" w:sz="0" w:space="0" w:color="auto"/>
                  </w:divBdr>
                  <w:divsChild>
                    <w:div w:id="7324328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236AE-68E2-4755-B6F8-40C5D4786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11932</Words>
  <Characters>68015</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2015-04-23T13:02:00Z</dcterms:created>
  <dcterms:modified xsi:type="dcterms:W3CDTF">2015-05-07T12:10:00Z</dcterms:modified>
</cp:coreProperties>
</file>