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977F83" w:rsidP="00977F83">
      <w:pPr>
        <w:spacing w:line="240" w:lineRule="auto"/>
        <w:rPr>
          <w:b/>
        </w:rPr>
      </w:pPr>
      <w:r>
        <w:rPr>
          <w:b/>
        </w:rPr>
        <w:t>BEFORE THE</w:t>
      </w:r>
    </w:p>
    <w:p w:rsidR="00977F83" w:rsidRDefault="00977F83" w:rsidP="00977F83">
      <w:pPr>
        <w:spacing w:line="240" w:lineRule="auto"/>
        <w:rPr>
          <w:b/>
        </w:rPr>
      </w:pPr>
      <w:r>
        <w:rPr>
          <w:b/>
        </w:rPr>
        <w:t>PENNSYLVANIA PUBLIC UTILITY COMMISSION</w:t>
      </w:r>
    </w:p>
    <w:p w:rsidR="00977F83" w:rsidRDefault="00977F83" w:rsidP="00977F83">
      <w:pPr>
        <w:spacing w:line="240" w:lineRule="auto"/>
        <w:rPr>
          <w:b/>
        </w:rPr>
      </w:pPr>
    </w:p>
    <w:p w:rsidR="00977F83" w:rsidRDefault="00977F83" w:rsidP="00977F83">
      <w:pPr>
        <w:spacing w:line="240" w:lineRule="auto"/>
        <w:rPr>
          <w:b/>
        </w:rPr>
      </w:pPr>
    </w:p>
    <w:p w:rsidR="00977F83" w:rsidRDefault="007E0D06" w:rsidP="00977F83">
      <w:pPr>
        <w:spacing w:line="240" w:lineRule="auto"/>
        <w:jc w:val="left"/>
      </w:pPr>
      <w:r>
        <w:t>Tarik Nasir</w:t>
      </w:r>
      <w:r>
        <w:tab/>
      </w:r>
      <w:r>
        <w:tab/>
      </w:r>
      <w:r w:rsidR="00977F83">
        <w:tab/>
      </w:r>
      <w:r w:rsidR="00977F83">
        <w:tab/>
      </w:r>
      <w:r w:rsidR="00977F83">
        <w:tab/>
      </w:r>
      <w:r w:rsidR="00977F83">
        <w:tab/>
        <w:t>:</w:t>
      </w:r>
    </w:p>
    <w:p w:rsidR="00977F83" w:rsidRDefault="00977F83" w:rsidP="00977F83">
      <w:pPr>
        <w:spacing w:line="240" w:lineRule="auto"/>
        <w:jc w:val="left"/>
      </w:pPr>
      <w:r>
        <w:tab/>
      </w:r>
      <w:r>
        <w:tab/>
      </w:r>
      <w:r>
        <w:tab/>
      </w:r>
      <w:r>
        <w:tab/>
      </w:r>
      <w:r>
        <w:tab/>
      </w:r>
      <w:r>
        <w:tab/>
      </w:r>
      <w:r>
        <w:tab/>
        <w:t>:</w:t>
      </w:r>
    </w:p>
    <w:p w:rsidR="00977F83" w:rsidRDefault="00977F83" w:rsidP="00977F83">
      <w:pPr>
        <w:spacing w:line="240" w:lineRule="auto"/>
        <w:jc w:val="left"/>
      </w:pPr>
      <w:r>
        <w:tab/>
        <w:t>v.</w:t>
      </w:r>
      <w:r>
        <w:tab/>
      </w:r>
      <w:r>
        <w:tab/>
      </w:r>
      <w:r>
        <w:tab/>
      </w:r>
      <w:r>
        <w:tab/>
      </w:r>
      <w:r>
        <w:tab/>
      </w:r>
      <w:r>
        <w:tab/>
        <w:t>:</w:t>
      </w:r>
      <w:r>
        <w:tab/>
      </w:r>
      <w:r>
        <w:tab/>
      </w:r>
      <w:r>
        <w:tab/>
        <w:t>C-20</w:t>
      </w:r>
      <w:r w:rsidR="007E0D06">
        <w:t>15</w:t>
      </w:r>
      <w:r>
        <w:t>-2</w:t>
      </w:r>
      <w:r w:rsidR="007E0D06">
        <w:t>473899</w:t>
      </w:r>
    </w:p>
    <w:p w:rsidR="00977F83" w:rsidRDefault="00977F83" w:rsidP="00977F83">
      <w:pPr>
        <w:spacing w:line="240" w:lineRule="auto"/>
        <w:jc w:val="left"/>
      </w:pPr>
      <w:r>
        <w:tab/>
      </w:r>
      <w:r>
        <w:tab/>
      </w:r>
      <w:r>
        <w:tab/>
      </w:r>
      <w:r>
        <w:tab/>
      </w:r>
      <w:r>
        <w:tab/>
      </w:r>
      <w:r>
        <w:tab/>
      </w:r>
      <w:r>
        <w:tab/>
        <w:t>:</w:t>
      </w:r>
    </w:p>
    <w:p w:rsidR="00977F83" w:rsidRDefault="00977F83" w:rsidP="00977F83">
      <w:pPr>
        <w:spacing w:line="240" w:lineRule="auto"/>
        <w:jc w:val="left"/>
      </w:pPr>
      <w:r>
        <w:t>Philadelphia Gas Works</w:t>
      </w:r>
      <w:r>
        <w:tab/>
      </w:r>
      <w:r>
        <w:tab/>
      </w:r>
      <w:r>
        <w:tab/>
      </w:r>
      <w:r>
        <w:tab/>
        <w:t>:</w:t>
      </w:r>
    </w:p>
    <w:p w:rsidR="00977F83" w:rsidRDefault="00977F83" w:rsidP="00977F83">
      <w:pPr>
        <w:spacing w:line="240" w:lineRule="auto"/>
        <w:jc w:val="left"/>
      </w:pPr>
    </w:p>
    <w:p w:rsidR="00977F83" w:rsidRDefault="00977F83" w:rsidP="00977F83">
      <w:pPr>
        <w:spacing w:line="240" w:lineRule="auto"/>
        <w:jc w:val="left"/>
      </w:pPr>
    </w:p>
    <w:p w:rsidR="00FA536D" w:rsidRDefault="00112A79" w:rsidP="00977F83">
      <w:pPr>
        <w:spacing w:line="240" w:lineRule="auto"/>
        <w:rPr>
          <w:b/>
          <w:u w:val="single"/>
        </w:rPr>
      </w:pPr>
      <w:r w:rsidRPr="00CF7B12">
        <w:rPr>
          <w:b/>
          <w:u w:val="single"/>
        </w:rPr>
        <w:t xml:space="preserve">ORDER GRANTING </w:t>
      </w:r>
      <w:r w:rsidR="006C173A">
        <w:rPr>
          <w:b/>
          <w:u w:val="single"/>
        </w:rPr>
        <w:t xml:space="preserve">IN PART AND DENYING IN PART </w:t>
      </w:r>
      <w:r w:rsidRPr="00CF7B12">
        <w:rPr>
          <w:b/>
          <w:u w:val="single"/>
        </w:rPr>
        <w:t xml:space="preserve">THE </w:t>
      </w:r>
    </w:p>
    <w:p w:rsidR="00FA536D" w:rsidRDefault="00112A79" w:rsidP="00977F83">
      <w:pPr>
        <w:spacing w:line="240" w:lineRule="auto"/>
        <w:rPr>
          <w:b/>
          <w:u w:val="single"/>
        </w:rPr>
      </w:pPr>
      <w:r w:rsidRPr="00CF7B12">
        <w:rPr>
          <w:b/>
          <w:u w:val="single"/>
        </w:rPr>
        <w:t xml:space="preserve">PRELIMINARY OBJECTIONS OFPHILADELPHIA GAS WORKS AND </w:t>
      </w:r>
    </w:p>
    <w:p w:rsidR="00112A79" w:rsidRPr="00CF7B12" w:rsidRDefault="00CF7B12" w:rsidP="00977F83">
      <w:pPr>
        <w:spacing w:line="240" w:lineRule="auto"/>
        <w:rPr>
          <w:u w:val="single"/>
        </w:rPr>
      </w:pPr>
      <w:r w:rsidRPr="00CF7B12">
        <w:rPr>
          <w:b/>
          <w:u w:val="single"/>
        </w:rPr>
        <w:t>DIRECTING THAT</w:t>
      </w:r>
      <w:r w:rsidR="00112A79" w:rsidRPr="00CF7B12">
        <w:rPr>
          <w:b/>
          <w:u w:val="single"/>
        </w:rPr>
        <w:t xml:space="preserve"> THE CASE</w:t>
      </w:r>
      <w:r w:rsidRPr="00CF7B12">
        <w:rPr>
          <w:b/>
          <w:u w:val="single"/>
        </w:rPr>
        <w:t xml:space="preserve"> BE SET</w:t>
      </w:r>
      <w:r w:rsidR="00112A79" w:rsidRPr="00CF7B12">
        <w:rPr>
          <w:b/>
          <w:u w:val="single"/>
        </w:rPr>
        <w:t xml:space="preserve"> FOR HEARING</w:t>
      </w:r>
    </w:p>
    <w:p w:rsidR="00C0306B" w:rsidRDefault="00C0306B" w:rsidP="00977F83">
      <w:pPr>
        <w:spacing w:line="240" w:lineRule="auto"/>
      </w:pPr>
    </w:p>
    <w:p w:rsidR="00C0306B" w:rsidRDefault="00C0306B" w:rsidP="00977F83">
      <w:pPr>
        <w:spacing w:line="240" w:lineRule="auto"/>
      </w:pPr>
      <w:r>
        <w:t>Before</w:t>
      </w:r>
    </w:p>
    <w:p w:rsidR="00C0306B" w:rsidRDefault="00C0306B" w:rsidP="00977F83">
      <w:pPr>
        <w:spacing w:line="240" w:lineRule="auto"/>
      </w:pPr>
      <w:r>
        <w:t>Susan D. Colwell</w:t>
      </w:r>
    </w:p>
    <w:p w:rsidR="00C0306B" w:rsidRPr="00C0306B" w:rsidRDefault="00C0306B" w:rsidP="00977F83">
      <w:pPr>
        <w:spacing w:line="240" w:lineRule="auto"/>
      </w:pPr>
      <w:r>
        <w:t>Administrative Law Judge</w:t>
      </w:r>
    </w:p>
    <w:p w:rsidR="00977F83" w:rsidRDefault="00977F83" w:rsidP="00977F83">
      <w:pPr>
        <w:spacing w:line="240" w:lineRule="auto"/>
      </w:pPr>
    </w:p>
    <w:p w:rsidR="00977F83" w:rsidRDefault="00977F83" w:rsidP="00977F83">
      <w:pPr>
        <w:spacing w:line="240" w:lineRule="auto"/>
      </w:pPr>
    </w:p>
    <w:p w:rsidR="00977F83" w:rsidRDefault="00977F83" w:rsidP="00977F83">
      <w:pPr>
        <w:spacing w:line="240" w:lineRule="auto"/>
        <w:rPr>
          <w:u w:val="single"/>
        </w:rPr>
      </w:pPr>
      <w:r>
        <w:rPr>
          <w:u w:val="single"/>
        </w:rPr>
        <w:t>HISTORY OF THE PROCEEDINGS</w:t>
      </w:r>
    </w:p>
    <w:p w:rsidR="00977F83" w:rsidRDefault="00977F83" w:rsidP="00977F83">
      <w:pPr>
        <w:spacing w:line="240" w:lineRule="auto"/>
        <w:rPr>
          <w:u w:val="single"/>
        </w:rPr>
      </w:pPr>
    </w:p>
    <w:p w:rsidR="00977F83" w:rsidRDefault="00977F83" w:rsidP="00977F83">
      <w:pPr>
        <w:spacing w:line="240" w:lineRule="auto"/>
        <w:rPr>
          <w:u w:val="single"/>
        </w:rPr>
      </w:pPr>
    </w:p>
    <w:p w:rsidR="00DB70BE" w:rsidRPr="005E054C" w:rsidRDefault="00977F83" w:rsidP="00977F83">
      <w:pPr>
        <w:jc w:val="left"/>
        <w:rPr>
          <w:color w:val="000000"/>
        </w:rPr>
      </w:pPr>
      <w:r>
        <w:tab/>
      </w:r>
      <w:r>
        <w:tab/>
      </w:r>
      <w:r w:rsidRPr="005E054C">
        <w:rPr>
          <w:color w:val="000000"/>
        </w:rPr>
        <w:t xml:space="preserve">On </w:t>
      </w:r>
      <w:r w:rsidR="009839E5" w:rsidRPr="005E054C">
        <w:rPr>
          <w:color w:val="000000"/>
        </w:rPr>
        <w:t>or about March 2</w:t>
      </w:r>
      <w:r w:rsidR="006C173A">
        <w:rPr>
          <w:color w:val="000000"/>
        </w:rPr>
        <w:t>7</w:t>
      </w:r>
      <w:r w:rsidR="009839E5" w:rsidRPr="005E054C">
        <w:rPr>
          <w:color w:val="000000"/>
        </w:rPr>
        <w:t>, 2015</w:t>
      </w:r>
      <w:r w:rsidRPr="005E054C">
        <w:rPr>
          <w:color w:val="000000"/>
        </w:rPr>
        <w:t xml:space="preserve">, </w:t>
      </w:r>
      <w:r w:rsidR="009839E5" w:rsidRPr="005E054C">
        <w:rPr>
          <w:color w:val="000000"/>
        </w:rPr>
        <w:t>Tarik Nasir (Complainant</w:t>
      </w:r>
      <w:r w:rsidRPr="005E054C">
        <w:rPr>
          <w:color w:val="000000"/>
        </w:rPr>
        <w:t>) filed a formal Complaint against Philadelph</w:t>
      </w:r>
      <w:r w:rsidR="009F310A" w:rsidRPr="005E054C">
        <w:rPr>
          <w:color w:val="000000"/>
        </w:rPr>
        <w:t xml:space="preserve">ia Gas Works (PGW or Respondent) alleging that there are incorrect charges on his bill.  Complainant owns the property at 1508 W. </w:t>
      </w:r>
      <w:proofErr w:type="spellStart"/>
      <w:r w:rsidR="009F310A" w:rsidRPr="005E054C">
        <w:rPr>
          <w:color w:val="000000"/>
        </w:rPr>
        <w:t>Seybert</w:t>
      </w:r>
      <w:proofErr w:type="spellEnd"/>
      <w:r w:rsidR="009F310A" w:rsidRPr="005E054C">
        <w:rPr>
          <w:color w:val="000000"/>
        </w:rPr>
        <w:t xml:space="preserve"> Street, Philadelphia</w:t>
      </w:r>
      <w:r w:rsidR="00BF77B1" w:rsidRPr="005E054C">
        <w:rPr>
          <w:color w:val="000000"/>
        </w:rPr>
        <w:t>, PA 19121</w:t>
      </w:r>
      <w:r w:rsidR="009F310A" w:rsidRPr="005E054C">
        <w:rPr>
          <w:color w:val="000000"/>
        </w:rPr>
        <w:t xml:space="preserve"> (</w:t>
      </w:r>
      <w:r w:rsidR="006D7D8F">
        <w:rPr>
          <w:color w:val="000000"/>
        </w:rPr>
        <w:t>the property</w:t>
      </w:r>
      <w:r w:rsidR="00F316D9" w:rsidRPr="005E054C">
        <w:rPr>
          <w:color w:val="000000"/>
        </w:rPr>
        <w:t>), which he claims has</w:t>
      </w:r>
      <w:r w:rsidR="007D1EF5" w:rsidRPr="005E054C">
        <w:rPr>
          <w:color w:val="000000"/>
        </w:rPr>
        <w:t xml:space="preserve"> been vacant </w:t>
      </w:r>
      <w:r w:rsidR="0050771C" w:rsidRPr="005E054C">
        <w:rPr>
          <w:color w:val="000000"/>
        </w:rPr>
        <w:t>since before 2012</w:t>
      </w:r>
      <w:r w:rsidR="0026299C" w:rsidRPr="005E054C">
        <w:rPr>
          <w:color w:val="000000"/>
        </w:rPr>
        <w:t xml:space="preserve">.  </w:t>
      </w:r>
      <w:r w:rsidR="00F316D9" w:rsidRPr="005E054C">
        <w:rPr>
          <w:color w:val="000000"/>
        </w:rPr>
        <w:t xml:space="preserve">Complainant </w:t>
      </w:r>
      <w:r w:rsidR="009D5912">
        <w:rPr>
          <w:color w:val="000000"/>
        </w:rPr>
        <w:t>states</w:t>
      </w:r>
      <w:r w:rsidR="00F316D9" w:rsidRPr="005E054C">
        <w:rPr>
          <w:color w:val="000000"/>
        </w:rPr>
        <w:t xml:space="preserve"> that on April 20, 2011, a prospective buyer</w:t>
      </w:r>
      <w:r w:rsidR="00D70294">
        <w:rPr>
          <w:color w:val="000000"/>
        </w:rPr>
        <w:t>, to whom the Complainant had given access to the property via a lockbox,</w:t>
      </w:r>
      <w:r w:rsidR="00F316D9" w:rsidRPr="005E054C">
        <w:rPr>
          <w:color w:val="000000"/>
        </w:rPr>
        <w:t xml:space="preserve"> </w:t>
      </w:r>
      <w:r w:rsidR="00AB4565">
        <w:rPr>
          <w:color w:val="000000"/>
        </w:rPr>
        <w:t>was inspecting</w:t>
      </w:r>
      <w:r w:rsidR="00F316D9" w:rsidRPr="005E054C">
        <w:rPr>
          <w:color w:val="000000"/>
        </w:rPr>
        <w:t xml:space="preserve"> the property </w:t>
      </w:r>
      <w:r w:rsidR="009416C2">
        <w:rPr>
          <w:color w:val="000000"/>
        </w:rPr>
        <w:t xml:space="preserve">and </w:t>
      </w:r>
      <w:r w:rsidR="00F316D9" w:rsidRPr="005E054C">
        <w:rPr>
          <w:color w:val="000000"/>
        </w:rPr>
        <w:t xml:space="preserve">informed </w:t>
      </w:r>
      <w:r w:rsidR="009416C2">
        <w:rPr>
          <w:color w:val="000000"/>
        </w:rPr>
        <w:t>Complainant</w:t>
      </w:r>
      <w:r w:rsidR="00F316D9" w:rsidRPr="005E054C">
        <w:rPr>
          <w:color w:val="000000"/>
        </w:rPr>
        <w:t xml:space="preserve"> that representatives from PGW </w:t>
      </w:r>
      <w:r w:rsidR="00D70294">
        <w:rPr>
          <w:color w:val="000000"/>
        </w:rPr>
        <w:t xml:space="preserve">had </w:t>
      </w:r>
      <w:r w:rsidR="009416C2">
        <w:rPr>
          <w:color w:val="000000"/>
        </w:rPr>
        <w:t>arrived to</w:t>
      </w:r>
      <w:r w:rsidR="00F316D9" w:rsidRPr="005E054C">
        <w:rPr>
          <w:color w:val="000000"/>
        </w:rPr>
        <w:t xml:space="preserve"> investigate a report of theft of</w:t>
      </w:r>
      <w:r w:rsidR="00AB4565">
        <w:rPr>
          <w:color w:val="000000"/>
        </w:rPr>
        <w:t xml:space="preserve"> service at the property.  </w:t>
      </w:r>
      <w:r w:rsidR="00E20AD8">
        <w:rPr>
          <w:color w:val="000000"/>
        </w:rPr>
        <w:t xml:space="preserve">The </w:t>
      </w:r>
      <w:r w:rsidR="00AB4565">
        <w:rPr>
          <w:color w:val="000000"/>
        </w:rPr>
        <w:t>PGW representatives</w:t>
      </w:r>
      <w:r w:rsidR="000231F0">
        <w:rPr>
          <w:color w:val="000000"/>
        </w:rPr>
        <w:t xml:space="preserve"> allegedly</w:t>
      </w:r>
      <w:r w:rsidR="00AB4565">
        <w:rPr>
          <w:color w:val="000000"/>
        </w:rPr>
        <w:t xml:space="preserve"> threatened to have the prospective buyer arrested unless he gave </w:t>
      </w:r>
      <w:r w:rsidR="000B3252">
        <w:rPr>
          <w:color w:val="000000"/>
        </w:rPr>
        <w:t>them</w:t>
      </w:r>
      <w:r w:rsidR="00AB4565">
        <w:rPr>
          <w:color w:val="000000"/>
        </w:rPr>
        <w:t xml:space="preserve"> access to the property</w:t>
      </w:r>
      <w:r w:rsidR="000231F0">
        <w:rPr>
          <w:color w:val="000000"/>
        </w:rPr>
        <w:t xml:space="preserve">.  </w:t>
      </w:r>
      <w:r w:rsidR="00AB4565">
        <w:rPr>
          <w:color w:val="000000"/>
        </w:rPr>
        <w:t xml:space="preserve">As a result of this threat, the prospective buyer granted PGW access.  </w:t>
      </w:r>
      <w:r w:rsidR="00F316D9" w:rsidRPr="005E054C">
        <w:rPr>
          <w:color w:val="000000"/>
        </w:rPr>
        <w:t>When Complainant arrived</w:t>
      </w:r>
      <w:r w:rsidR="00AB4565">
        <w:rPr>
          <w:color w:val="000000"/>
        </w:rPr>
        <w:t xml:space="preserve"> at the property</w:t>
      </w:r>
      <w:r w:rsidR="00F316D9" w:rsidRPr="005E054C">
        <w:rPr>
          <w:color w:val="000000"/>
        </w:rPr>
        <w:t xml:space="preserve"> he alleges</w:t>
      </w:r>
      <w:r w:rsidR="00073238">
        <w:rPr>
          <w:color w:val="000000"/>
        </w:rPr>
        <w:t xml:space="preserve"> that much of the gas piping </w:t>
      </w:r>
      <w:r w:rsidR="00F316D9" w:rsidRPr="005E054C">
        <w:rPr>
          <w:color w:val="000000"/>
        </w:rPr>
        <w:t>had been dismantled and removed by PGW</w:t>
      </w:r>
      <w:r w:rsidR="00C322BB">
        <w:rPr>
          <w:color w:val="000000"/>
        </w:rPr>
        <w:t xml:space="preserve"> and, consequently,</w:t>
      </w:r>
      <w:r w:rsidR="00F316D9" w:rsidRPr="005E054C">
        <w:rPr>
          <w:color w:val="000000"/>
        </w:rPr>
        <w:t xml:space="preserve"> he had no opportunity to </w:t>
      </w:r>
      <w:r w:rsidR="001917C9">
        <w:rPr>
          <w:color w:val="000000"/>
        </w:rPr>
        <w:t>see the alleged bypass pipeline</w:t>
      </w:r>
      <w:r w:rsidR="00F316D9" w:rsidRPr="005E054C">
        <w:rPr>
          <w:color w:val="000000"/>
        </w:rPr>
        <w:t xml:space="preserve">.  Since there was no need for gas service at the property, Complainant did not contact PGW further, nor did PGW contact Complainant subsequent to the removal of gas apparatus from the property.  </w:t>
      </w:r>
      <w:r w:rsidR="006C44B3" w:rsidRPr="005E054C">
        <w:rPr>
          <w:color w:val="000000"/>
        </w:rPr>
        <w:t xml:space="preserve">When Complainant attempted to sell the property in 2014 he was informed by the title company that there was a gas lien attached to the property in the amount of $13,930.  </w:t>
      </w:r>
      <w:r w:rsidR="00E66674">
        <w:rPr>
          <w:color w:val="000000"/>
        </w:rPr>
        <w:t>When Complainant</w:t>
      </w:r>
      <w:r w:rsidR="00DD3FE2" w:rsidRPr="005E054C">
        <w:rPr>
          <w:color w:val="000000"/>
        </w:rPr>
        <w:t xml:space="preserve"> contacted PGW he was told that there was a claim</w:t>
      </w:r>
      <w:r w:rsidR="0015770A">
        <w:rPr>
          <w:color w:val="000000"/>
        </w:rPr>
        <w:t xml:space="preserve"> for suspected </w:t>
      </w:r>
      <w:r w:rsidR="0015770A">
        <w:rPr>
          <w:color w:val="000000"/>
        </w:rPr>
        <w:lastRenderedPageBreak/>
        <w:t>theft of service</w:t>
      </w:r>
      <w:r w:rsidR="00DD3FE2" w:rsidRPr="005E054C">
        <w:rPr>
          <w:color w:val="000000"/>
        </w:rPr>
        <w:t xml:space="preserve"> and that his options were to pay the balance in full or to file a complaint with the Pennsylvania Public Utility Commission (Commission).  </w:t>
      </w:r>
    </w:p>
    <w:p w:rsidR="00DB70BE" w:rsidRPr="005E054C" w:rsidRDefault="00DB70BE" w:rsidP="00977F83">
      <w:pPr>
        <w:jc w:val="left"/>
        <w:rPr>
          <w:color w:val="000000"/>
        </w:rPr>
      </w:pPr>
    </w:p>
    <w:p w:rsidR="00EC7E43" w:rsidRPr="002B70C4" w:rsidRDefault="002C7B16" w:rsidP="00977F83">
      <w:pPr>
        <w:jc w:val="left"/>
        <w:rPr>
          <w:color w:val="000000"/>
        </w:rPr>
      </w:pPr>
      <w:r>
        <w:rPr>
          <w:color w:val="000000"/>
        </w:rPr>
        <w:tab/>
      </w:r>
      <w:r w:rsidR="00DB70BE" w:rsidRPr="005E054C">
        <w:rPr>
          <w:color w:val="000000"/>
        </w:rPr>
        <w:tab/>
      </w:r>
      <w:r w:rsidR="009F310A" w:rsidRPr="002B70C4">
        <w:rPr>
          <w:color w:val="000000"/>
        </w:rPr>
        <w:t xml:space="preserve">Complainant </w:t>
      </w:r>
      <w:r w:rsidR="005E2450">
        <w:rPr>
          <w:color w:val="000000"/>
        </w:rPr>
        <w:t>as</w:t>
      </w:r>
      <w:r w:rsidR="009F310A" w:rsidRPr="002B70C4">
        <w:rPr>
          <w:color w:val="000000"/>
        </w:rPr>
        <w:t xml:space="preserve">ks the </w:t>
      </w:r>
      <w:r w:rsidR="00DD3FE2" w:rsidRPr="002B70C4">
        <w:rPr>
          <w:color w:val="000000"/>
        </w:rPr>
        <w:t xml:space="preserve">Commission </w:t>
      </w:r>
      <w:r w:rsidR="009F310A" w:rsidRPr="002B70C4">
        <w:rPr>
          <w:color w:val="000000"/>
        </w:rPr>
        <w:t xml:space="preserve">to direct PGW to remove the </w:t>
      </w:r>
      <w:r w:rsidR="00690B0D">
        <w:rPr>
          <w:color w:val="000000"/>
        </w:rPr>
        <w:t>lien</w:t>
      </w:r>
      <w:r w:rsidR="009F310A" w:rsidRPr="002B70C4">
        <w:rPr>
          <w:color w:val="000000"/>
        </w:rPr>
        <w:t xml:space="preserve"> from his name and to correct its records to reflect a zero balance on his account. </w:t>
      </w:r>
      <w:r w:rsidR="00DB70BE" w:rsidRPr="002B70C4">
        <w:rPr>
          <w:color w:val="000000"/>
        </w:rPr>
        <w:t xml:space="preserve"> </w:t>
      </w:r>
      <w:r w:rsidR="00293FE6">
        <w:rPr>
          <w:color w:val="000000"/>
        </w:rPr>
        <w:t>H</w:t>
      </w:r>
      <w:r w:rsidR="00C81474">
        <w:rPr>
          <w:color w:val="000000"/>
        </w:rPr>
        <w:t>e denies the allegation of theft of service</w:t>
      </w:r>
      <w:r w:rsidR="00900426">
        <w:rPr>
          <w:color w:val="000000"/>
        </w:rPr>
        <w:t>,</w:t>
      </w:r>
      <w:r w:rsidR="008B6090">
        <w:rPr>
          <w:color w:val="000000"/>
        </w:rPr>
        <w:t xml:space="preserve"> </w:t>
      </w:r>
      <w:r w:rsidR="00293FE6">
        <w:rPr>
          <w:color w:val="000000"/>
        </w:rPr>
        <w:t xml:space="preserve">and states </w:t>
      </w:r>
      <w:r w:rsidR="008B6090">
        <w:rPr>
          <w:color w:val="000000"/>
        </w:rPr>
        <w:t xml:space="preserve">that </w:t>
      </w:r>
      <w:r w:rsidR="00DB70BE" w:rsidRPr="002B70C4">
        <w:rPr>
          <w:color w:val="000000"/>
        </w:rPr>
        <w:t xml:space="preserve">to his knowledge neither he nor anyone else installed gas piping </w:t>
      </w:r>
      <w:r w:rsidR="008B6090">
        <w:rPr>
          <w:color w:val="000000"/>
        </w:rPr>
        <w:t>at</w:t>
      </w:r>
      <w:r w:rsidR="00DB70BE" w:rsidRPr="002B70C4">
        <w:rPr>
          <w:color w:val="000000"/>
        </w:rPr>
        <w:t xml:space="preserve"> the property</w:t>
      </w:r>
      <w:r w:rsidR="009D52ED">
        <w:rPr>
          <w:color w:val="000000"/>
        </w:rPr>
        <w:t xml:space="preserve"> and that</w:t>
      </w:r>
      <w:r w:rsidR="00DB70BE" w:rsidRPr="002B70C4">
        <w:rPr>
          <w:color w:val="000000"/>
        </w:rPr>
        <w:t xml:space="preserve"> the gas appliances in the building </w:t>
      </w:r>
      <w:r w:rsidR="008B6090">
        <w:rPr>
          <w:color w:val="000000"/>
        </w:rPr>
        <w:t>were unused</w:t>
      </w:r>
      <w:r w:rsidR="00293FE6">
        <w:rPr>
          <w:color w:val="000000"/>
        </w:rPr>
        <w:t>.  He claims he</w:t>
      </w:r>
      <w:r w:rsidR="00900426">
        <w:rPr>
          <w:color w:val="000000"/>
        </w:rPr>
        <w:t xml:space="preserve"> </w:t>
      </w:r>
      <w:r w:rsidR="00DB70BE" w:rsidRPr="002B70C4">
        <w:rPr>
          <w:color w:val="000000"/>
        </w:rPr>
        <w:t>had no opportunity to observe the condition of the plumbing at the property before it was dismantled by PGW and therefore has been shown no evidence to substantiate t</w:t>
      </w:r>
      <w:r w:rsidR="00900426">
        <w:rPr>
          <w:color w:val="000000"/>
        </w:rPr>
        <w:t>he claim of theft of service</w:t>
      </w:r>
      <w:r w:rsidR="00293FE6">
        <w:rPr>
          <w:color w:val="000000"/>
        </w:rPr>
        <w:t>.  Complainant also</w:t>
      </w:r>
      <w:r w:rsidR="00DB70BE" w:rsidRPr="002B70C4">
        <w:rPr>
          <w:color w:val="000000"/>
        </w:rPr>
        <w:t xml:space="preserve"> claims he never entered into an agreement for gas service with PGW and therefore should not be subje</w:t>
      </w:r>
      <w:r w:rsidR="008B6090">
        <w:rPr>
          <w:color w:val="000000"/>
        </w:rPr>
        <w:t>ct to PGW’s billing policies</w:t>
      </w:r>
      <w:r w:rsidR="00293FE6">
        <w:rPr>
          <w:color w:val="000000"/>
        </w:rPr>
        <w:t>.  He further states</w:t>
      </w:r>
      <w:r w:rsidR="00DB70BE" w:rsidRPr="002B70C4">
        <w:rPr>
          <w:color w:val="000000"/>
        </w:rPr>
        <w:t xml:space="preserve"> that the property </w:t>
      </w:r>
      <w:r w:rsidR="002727F6">
        <w:rPr>
          <w:color w:val="000000"/>
        </w:rPr>
        <w:t>was</w:t>
      </w:r>
      <w:r w:rsidR="00DB70BE" w:rsidRPr="002B70C4">
        <w:rPr>
          <w:color w:val="000000"/>
        </w:rPr>
        <w:t xml:space="preserve"> </w:t>
      </w:r>
      <w:r w:rsidR="001719B3" w:rsidRPr="002B70C4">
        <w:rPr>
          <w:color w:val="000000"/>
        </w:rPr>
        <w:t>only partially constructed</w:t>
      </w:r>
      <w:r w:rsidR="001719B3">
        <w:rPr>
          <w:color w:val="000000"/>
        </w:rPr>
        <w:t xml:space="preserve"> and</w:t>
      </w:r>
      <w:r w:rsidR="001719B3" w:rsidRPr="002B70C4">
        <w:rPr>
          <w:color w:val="000000"/>
        </w:rPr>
        <w:t xml:space="preserve"> </w:t>
      </w:r>
      <w:r w:rsidR="002727F6">
        <w:rPr>
          <w:color w:val="000000"/>
        </w:rPr>
        <w:t xml:space="preserve">was </w:t>
      </w:r>
      <w:r w:rsidR="001719B3">
        <w:rPr>
          <w:color w:val="000000"/>
        </w:rPr>
        <w:t xml:space="preserve">vacant prior to 2012 and </w:t>
      </w:r>
      <w:r w:rsidR="00DB70BE" w:rsidRPr="002B70C4">
        <w:rPr>
          <w:color w:val="000000"/>
        </w:rPr>
        <w:t xml:space="preserve">thus PGW’s claim for </w:t>
      </w:r>
      <w:r w:rsidR="00A66639">
        <w:rPr>
          <w:color w:val="000000"/>
        </w:rPr>
        <w:t xml:space="preserve">the </w:t>
      </w:r>
      <w:r w:rsidR="00DB70BE" w:rsidRPr="002B70C4">
        <w:rPr>
          <w:color w:val="000000"/>
        </w:rPr>
        <w:t>value o</w:t>
      </w:r>
      <w:r w:rsidR="008B6090">
        <w:rPr>
          <w:color w:val="000000"/>
        </w:rPr>
        <w:t>f service is exaggerated</w:t>
      </w:r>
      <w:r w:rsidR="00293FE6">
        <w:rPr>
          <w:color w:val="000000"/>
        </w:rPr>
        <w:t xml:space="preserve">.  Complainant </w:t>
      </w:r>
      <w:r w:rsidR="003A2495">
        <w:rPr>
          <w:color w:val="000000"/>
        </w:rPr>
        <w:t xml:space="preserve">asserts </w:t>
      </w:r>
      <w:r w:rsidR="00DB70BE" w:rsidRPr="00763381">
        <w:rPr>
          <w:color w:val="000000"/>
        </w:rPr>
        <w:t xml:space="preserve">that PGW </w:t>
      </w:r>
      <w:r w:rsidR="008B6090">
        <w:rPr>
          <w:color w:val="000000"/>
        </w:rPr>
        <w:t xml:space="preserve">trespassed on his property because it </w:t>
      </w:r>
      <w:r w:rsidR="00DB70BE" w:rsidRPr="00763381">
        <w:rPr>
          <w:color w:val="000000"/>
        </w:rPr>
        <w:t xml:space="preserve">did not have his permission to enter the property and only gained access by threatening a prospective buyer </w:t>
      </w:r>
      <w:r w:rsidR="00900426">
        <w:rPr>
          <w:color w:val="000000"/>
        </w:rPr>
        <w:t>who was inspecting the property,</w:t>
      </w:r>
      <w:r w:rsidR="00DB70BE" w:rsidRPr="00763381">
        <w:rPr>
          <w:color w:val="000000"/>
        </w:rPr>
        <w:t xml:space="preserve"> and furthermore</w:t>
      </w:r>
      <w:r w:rsidR="00900426">
        <w:rPr>
          <w:color w:val="000000"/>
        </w:rPr>
        <w:t xml:space="preserve"> </w:t>
      </w:r>
      <w:r w:rsidR="00DB70BE" w:rsidRPr="00763381">
        <w:rPr>
          <w:color w:val="000000"/>
        </w:rPr>
        <w:t>that PGW</w:t>
      </w:r>
      <w:r w:rsidR="00C81474">
        <w:rPr>
          <w:color w:val="000000"/>
        </w:rPr>
        <w:t xml:space="preserve">’s dismantling </w:t>
      </w:r>
      <w:r w:rsidR="007B1B6A">
        <w:rPr>
          <w:color w:val="000000"/>
        </w:rPr>
        <w:t xml:space="preserve">and removal </w:t>
      </w:r>
      <w:r w:rsidR="00C81474">
        <w:rPr>
          <w:color w:val="000000"/>
        </w:rPr>
        <w:t>of the plumbing were acts of</w:t>
      </w:r>
      <w:r w:rsidR="00DB70BE" w:rsidRPr="00763381">
        <w:rPr>
          <w:color w:val="000000"/>
        </w:rPr>
        <w:t xml:space="preserve"> burglary and destruction of private property without law enforcement officials on hand to substantiate their findings.</w:t>
      </w:r>
      <w:r w:rsidR="00DB70BE" w:rsidRPr="002B70C4">
        <w:rPr>
          <w:color w:val="000000"/>
        </w:rPr>
        <w:t xml:space="preserve"> </w:t>
      </w:r>
      <w:r w:rsidR="006D7D8F" w:rsidRPr="002B70C4">
        <w:rPr>
          <w:color w:val="000000"/>
        </w:rPr>
        <w:t xml:space="preserve"> </w:t>
      </w:r>
    </w:p>
    <w:p w:rsidR="00EC7E43" w:rsidRPr="00A57777" w:rsidRDefault="00EC7E43" w:rsidP="00977F83">
      <w:pPr>
        <w:jc w:val="left"/>
        <w:rPr>
          <w:color w:val="FF0000"/>
        </w:rPr>
      </w:pPr>
    </w:p>
    <w:p w:rsidR="00977F83" w:rsidRPr="005E054C" w:rsidRDefault="00EC7E43" w:rsidP="00977F83">
      <w:pPr>
        <w:jc w:val="left"/>
        <w:rPr>
          <w:color w:val="000000"/>
        </w:rPr>
      </w:pPr>
      <w:r w:rsidRPr="00A57777">
        <w:rPr>
          <w:color w:val="FF0000"/>
        </w:rPr>
        <w:tab/>
      </w:r>
      <w:r w:rsidRPr="00A57777">
        <w:rPr>
          <w:color w:val="FF0000"/>
        </w:rPr>
        <w:tab/>
      </w:r>
      <w:r w:rsidRPr="005E054C">
        <w:rPr>
          <w:color w:val="000000"/>
        </w:rPr>
        <w:t xml:space="preserve">On </w:t>
      </w:r>
      <w:r w:rsidR="00197F7F" w:rsidRPr="005E054C">
        <w:rPr>
          <w:color w:val="000000"/>
        </w:rPr>
        <w:t>April 20, 2015</w:t>
      </w:r>
      <w:r w:rsidRPr="005E054C">
        <w:rPr>
          <w:color w:val="000000"/>
        </w:rPr>
        <w:t>, PGW filed its Answer</w:t>
      </w:r>
      <w:r w:rsidR="00C079C2">
        <w:rPr>
          <w:color w:val="000000"/>
        </w:rPr>
        <w:t>,</w:t>
      </w:r>
      <w:r w:rsidRPr="005E054C">
        <w:rPr>
          <w:color w:val="000000"/>
        </w:rPr>
        <w:t xml:space="preserve"> which</w:t>
      </w:r>
      <w:r w:rsidR="000E06BC" w:rsidRPr="005E054C">
        <w:rPr>
          <w:color w:val="000000"/>
        </w:rPr>
        <w:t xml:space="preserve"> </w:t>
      </w:r>
      <w:r w:rsidR="00197F7F" w:rsidRPr="005E054C">
        <w:rPr>
          <w:color w:val="000000"/>
        </w:rPr>
        <w:t xml:space="preserve">denies that there are incorrect charges on the Complainant’s account.  </w:t>
      </w:r>
      <w:r w:rsidR="0036552D" w:rsidRPr="005E054C">
        <w:rPr>
          <w:color w:val="000000"/>
        </w:rPr>
        <w:t xml:space="preserve">PGW states that Complainant has owned the property since July 28, 2004.  In 2005 PGW </w:t>
      </w:r>
      <w:r w:rsidR="00C81474">
        <w:rPr>
          <w:color w:val="000000"/>
        </w:rPr>
        <w:t xml:space="preserve">twice </w:t>
      </w:r>
      <w:r w:rsidR="0036552D" w:rsidRPr="005E054C">
        <w:rPr>
          <w:color w:val="000000"/>
        </w:rPr>
        <w:t xml:space="preserve">attempted to install new gas service and install a meter, but was unable to due to lack of access and lack of gas appliances on the fuel line at the property.  On April 20, 2011, PGW received a tip alleging that the property had active gas service with no gas meter.  Upon investigation, PGW discovered an iron pipe bypass from the head of the service to the outlet of the fuel line, along with two house heaters and a water heater attached to the line.  PGW </w:t>
      </w:r>
      <w:r w:rsidR="004A4CF1" w:rsidRPr="005E054C">
        <w:rPr>
          <w:color w:val="000000"/>
        </w:rPr>
        <w:t xml:space="preserve">shut off service to the property and secured the piping with several locking devices.  </w:t>
      </w:r>
      <w:r w:rsidR="007A5788" w:rsidRPr="005E054C">
        <w:rPr>
          <w:color w:val="000000"/>
        </w:rPr>
        <w:t>When PGW contacted Complainant to notify him of the bypass</w:t>
      </w:r>
      <w:r w:rsidR="005E2450">
        <w:rPr>
          <w:color w:val="000000"/>
        </w:rPr>
        <w:t>,</w:t>
      </w:r>
      <w:r w:rsidR="007A5788" w:rsidRPr="005E054C">
        <w:rPr>
          <w:color w:val="000000"/>
        </w:rPr>
        <w:t xml:space="preserve"> Complainant st</w:t>
      </w:r>
      <w:r w:rsidR="005E2450">
        <w:rPr>
          <w:color w:val="000000"/>
        </w:rPr>
        <w:t>ated he was aware of the bypass</w:t>
      </w:r>
      <w:r w:rsidR="007A5788" w:rsidRPr="005E054C">
        <w:rPr>
          <w:color w:val="000000"/>
        </w:rPr>
        <w:t xml:space="preserve"> and suggested that the plumber he hired to install the gas appliances must have also installed </w:t>
      </w:r>
      <w:r w:rsidR="005E2450">
        <w:rPr>
          <w:color w:val="000000"/>
        </w:rPr>
        <w:t>it</w:t>
      </w:r>
      <w:r w:rsidR="007A5788" w:rsidRPr="005E054C">
        <w:rPr>
          <w:color w:val="000000"/>
        </w:rPr>
        <w:t xml:space="preserve">.  PGW informed Complainant that he would be responsible for the bypass usage.  </w:t>
      </w:r>
      <w:r w:rsidR="00553A1F" w:rsidRPr="005E054C">
        <w:rPr>
          <w:color w:val="000000"/>
        </w:rPr>
        <w:t xml:space="preserve">PGW billed Complainant for bypass usage from April 20, 2007 through April 20, 2011, and the City of Philadelphia, as owner of PGW, filed a lien against the property at Docket </w:t>
      </w:r>
      <w:r w:rsidR="00F25778">
        <w:rPr>
          <w:color w:val="000000"/>
        </w:rPr>
        <w:t xml:space="preserve">No. </w:t>
      </w:r>
      <w:r w:rsidR="00553A1F" w:rsidRPr="005E054C">
        <w:rPr>
          <w:color w:val="000000"/>
        </w:rPr>
        <w:lastRenderedPageBreak/>
        <w:t>110832011 for $13,930.48.</w:t>
      </w:r>
      <w:r w:rsidR="00C1005E">
        <w:rPr>
          <w:color w:val="000000"/>
        </w:rPr>
        <w:t xml:space="preserve">  On February 20, 2015, Complainant contact</w:t>
      </w:r>
      <w:r w:rsidR="00F25778">
        <w:rPr>
          <w:color w:val="000000"/>
        </w:rPr>
        <w:t>ed</w:t>
      </w:r>
      <w:r w:rsidR="00C1005E">
        <w:rPr>
          <w:color w:val="000000"/>
        </w:rPr>
        <w:t xml:space="preserve"> PGW to dispute the bill.  On March 19, 2015, PGW completed the high bill dispute and completed a “payoff” request for Patriot Land, showing a balance of $13,930.48 owed. </w:t>
      </w:r>
    </w:p>
    <w:p w:rsidR="000E06BC" w:rsidRPr="00A57777" w:rsidRDefault="000E06BC" w:rsidP="00977F83">
      <w:pPr>
        <w:jc w:val="left"/>
        <w:rPr>
          <w:color w:val="FF0000"/>
        </w:rPr>
      </w:pPr>
    </w:p>
    <w:p w:rsidR="000E06BC" w:rsidRPr="005E054C" w:rsidRDefault="000E06BC" w:rsidP="00977F83">
      <w:pPr>
        <w:jc w:val="left"/>
        <w:rPr>
          <w:color w:val="000000"/>
        </w:rPr>
      </w:pPr>
      <w:r w:rsidRPr="005E054C">
        <w:rPr>
          <w:color w:val="000000"/>
        </w:rPr>
        <w:tab/>
      </w:r>
      <w:r w:rsidRPr="005E054C">
        <w:rPr>
          <w:color w:val="000000"/>
        </w:rPr>
        <w:tab/>
        <w:t xml:space="preserve">Also on </w:t>
      </w:r>
      <w:r w:rsidR="00C81474" w:rsidRPr="005E054C">
        <w:rPr>
          <w:color w:val="000000"/>
        </w:rPr>
        <w:t>April 20, 2015</w:t>
      </w:r>
      <w:r w:rsidRPr="005E054C">
        <w:rPr>
          <w:color w:val="000000"/>
        </w:rPr>
        <w:t xml:space="preserve">, </w:t>
      </w:r>
      <w:r w:rsidR="00370D95" w:rsidRPr="005E054C">
        <w:rPr>
          <w:color w:val="000000"/>
        </w:rPr>
        <w:t xml:space="preserve">PGW filed Preliminary </w:t>
      </w:r>
      <w:r w:rsidR="00C81474">
        <w:rPr>
          <w:color w:val="000000"/>
        </w:rPr>
        <w:t>Objection with Motion to Strike.  PGW states</w:t>
      </w:r>
      <w:r w:rsidR="00370D95" w:rsidRPr="005E054C">
        <w:rPr>
          <w:color w:val="000000"/>
        </w:rPr>
        <w:t xml:space="preserve"> that the lien was</w:t>
      </w:r>
      <w:r w:rsidR="00034357" w:rsidRPr="005E054C">
        <w:rPr>
          <w:color w:val="000000"/>
        </w:rPr>
        <w:t xml:space="preserve"> placed in full compliance with applicable law and that the </w:t>
      </w:r>
      <w:r w:rsidR="00370D95" w:rsidRPr="005E054C">
        <w:rPr>
          <w:color w:val="000000"/>
        </w:rPr>
        <w:t>Complainant has</w:t>
      </w:r>
      <w:r w:rsidR="00034357" w:rsidRPr="005E054C">
        <w:rPr>
          <w:color w:val="000000"/>
        </w:rPr>
        <w:t xml:space="preserve"> requested relief which the Commission is not authorized to grant.  Therefore, PGW seeks dismissal of the Complaint for lack of jurisdiction.</w:t>
      </w:r>
    </w:p>
    <w:p w:rsidR="00034357" w:rsidRDefault="00034357" w:rsidP="00977F83">
      <w:pPr>
        <w:jc w:val="left"/>
      </w:pPr>
    </w:p>
    <w:p w:rsidR="00034357" w:rsidRDefault="00034357" w:rsidP="00977F83">
      <w:pPr>
        <w:jc w:val="left"/>
      </w:pPr>
      <w:r>
        <w:tab/>
      </w:r>
      <w:r>
        <w:tab/>
        <w:t xml:space="preserve">The time for filing a response to the Preliminary Objections has run, and </w:t>
      </w:r>
      <w:r w:rsidR="00C81474">
        <w:t>the Complainant has</w:t>
      </w:r>
      <w:r>
        <w:t xml:space="preserve"> not filed a response.  </w:t>
      </w:r>
    </w:p>
    <w:p w:rsidR="00034357" w:rsidRDefault="00034357" w:rsidP="00977F83">
      <w:pPr>
        <w:jc w:val="left"/>
      </w:pPr>
    </w:p>
    <w:p w:rsidR="00034357" w:rsidRDefault="00034357" w:rsidP="00977F83">
      <w:pPr>
        <w:jc w:val="left"/>
      </w:pPr>
      <w:r>
        <w:tab/>
      </w:r>
      <w:r>
        <w:tab/>
        <w:t xml:space="preserve">On </w:t>
      </w:r>
      <w:r w:rsidR="00A57777">
        <w:t>April 27, 2015</w:t>
      </w:r>
      <w:r>
        <w:t>,</w:t>
      </w:r>
      <w:r w:rsidR="00A57777">
        <w:t xml:space="preserve"> this case was</w:t>
      </w:r>
      <w:r w:rsidR="00987D05">
        <w:t xml:space="preserve"> assigned</w:t>
      </w:r>
      <w:r w:rsidR="00A57777">
        <w:t xml:space="preserve"> to me by Motion Judge Assignment Notice</w:t>
      </w:r>
      <w:r w:rsidR="00583B6A">
        <w:t xml:space="preserve">.  The Preliminary Objections are </w:t>
      </w:r>
      <w:r w:rsidR="00C81474">
        <w:t>ripe</w:t>
      </w:r>
      <w:r w:rsidR="00583B6A">
        <w:t xml:space="preserve"> for decision.</w:t>
      </w:r>
    </w:p>
    <w:p w:rsidR="00D943C3" w:rsidRDefault="00D943C3" w:rsidP="00583B6A">
      <w:pPr>
        <w:jc w:val="left"/>
      </w:pPr>
    </w:p>
    <w:p w:rsidR="00D943C3" w:rsidRDefault="00D943C3" w:rsidP="00D943C3">
      <w:pPr>
        <w:rPr>
          <w:u w:val="single"/>
        </w:rPr>
      </w:pPr>
      <w:r>
        <w:rPr>
          <w:u w:val="single"/>
        </w:rPr>
        <w:t>DISCUSSION</w:t>
      </w:r>
    </w:p>
    <w:p w:rsidR="00E41AC9" w:rsidRDefault="00E41AC9" w:rsidP="00E41AC9">
      <w:pPr>
        <w:jc w:val="left"/>
      </w:pPr>
      <w:r>
        <w:rPr>
          <w:u w:val="single"/>
        </w:rPr>
        <w:br/>
      </w:r>
      <w:r>
        <w:tab/>
      </w:r>
      <w:r w:rsidR="00612039">
        <w:tab/>
      </w:r>
      <w:r>
        <w:t>Complainant</w:t>
      </w:r>
      <w:r w:rsidR="0078719E">
        <w:t xml:space="preserve"> claims that he never established service with PGW</w:t>
      </w:r>
      <w:r w:rsidR="00173130">
        <w:t>, disputes the allegation of theft of service,</w:t>
      </w:r>
      <w:r w:rsidR="0078719E">
        <w:t xml:space="preserve"> and</w:t>
      </w:r>
      <w:r>
        <w:t xml:space="preserve"> seeks for the balance due to alleged theft of service </w:t>
      </w:r>
      <w:r w:rsidR="006815C7">
        <w:t xml:space="preserve">to be removed from his </w:t>
      </w:r>
      <w:r w:rsidR="0078719E">
        <w:t>name</w:t>
      </w:r>
      <w:r w:rsidR="006815C7">
        <w:t xml:space="preserve"> and the municipal lien removed from the property. </w:t>
      </w:r>
      <w:r w:rsidR="00763381">
        <w:t xml:space="preserve"> </w:t>
      </w:r>
      <w:r w:rsidR="00E71CA0">
        <w:t xml:space="preserve">Complainant also makes allegations that the utility trespassed on the property and committed burglary </w:t>
      </w:r>
      <w:r w:rsidR="00F07A7C">
        <w:t xml:space="preserve">and destruction of property </w:t>
      </w:r>
      <w:r w:rsidR="00E71CA0">
        <w:t>when it dismantled and removed piping from the property without his presence or permission.</w:t>
      </w:r>
    </w:p>
    <w:p w:rsidR="00E71CA0" w:rsidRPr="00E41AC9" w:rsidRDefault="00E71CA0" w:rsidP="00E41AC9">
      <w:pPr>
        <w:jc w:val="left"/>
      </w:pPr>
    </w:p>
    <w:p w:rsidR="00D943C3" w:rsidRDefault="00D943C3" w:rsidP="00D943C3">
      <w:pPr>
        <w:jc w:val="left"/>
      </w:pPr>
      <w:r>
        <w:tab/>
      </w:r>
      <w:r>
        <w:tab/>
        <w:t xml:space="preserve">Commission preliminary objection practice is similar to Pennsylvania civil practice.  </w:t>
      </w:r>
      <w:r>
        <w:rPr>
          <w:i/>
        </w:rPr>
        <w:t xml:space="preserve">Equitable Small Transportation Interveners v. Equitable Gas Company, </w:t>
      </w:r>
      <w:r>
        <w:t xml:space="preserve">1994 Pa. PUC LEXIS 69, PUC Docket No. </w:t>
      </w:r>
      <w:proofErr w:type="gramStart"/>
      <w:r>
        <w:t>C-000935435 (July 18, 1994).</w:t>
      </w:r>
      <w:proofErr w:type="gramEnd"/>
      <w:r>
        <w:t xml:space="preserve"> </w:t>
      </w:r>
      <w:r>
        <w:tab/>
        <w:t xml:space="preserve"> When considering the preliminary objection, the Commission must determine “whether the law says with certainty, based on well-pleaded factual averments . . . that no recovery or relief is possible.  </w:t>
      </w:r>
      <w:proofErr w:type="gramStart"/>
      <w:r>
        <w:rPr>
          <w:i/>
        </w:rPr>
        <w:t xml:space="preserve">P. J. S. v. Pa. State Ethics Commission, </w:t>
      </w:r>
      <w:r>
        <w:t>669 A.2d 1105 (Pa. Cmwlth. 1996).</w:t>
      </w:r>
      <w:proofErr w:type="gramEnd"/>
      <w:r>
        <w:t xml:space="preserve">  Any doubt must be resolved in favor of the non-moving party by refusing to sustain the preliminary objections.  </w:t>
      </w:r>
      <w:proofErr w:type="gramStart"/>
      <w:r>
        <w:rPr>
          <w:i/>
        </w:rPr>
        <w:t xml:space="preserve">Boyd v. Ward, </w:t>
      </w:r>
      <w:r>
        <w:t xml:space="preserve">802 A.2d 705 </w:t>
      </w:r>
      <w:r>
        <w:lastRenderedPageBreak/>
        <w:t>(Pa. Cmwlth. 2002).”</w:t>
      </w:r>
      <w:proofErr w:type="gramEnd"/>
      <w:r>
        <w:t xml:space="preserve">  </w:t>
      </w:r>
      <w:proofErr w:type="gramStart"/>
      <w:r w:rsidRPr="00F87999">
        <w:rPr>
          <w:i/>
        </w:rPr>
        <w:t xml:space="preserve">Dept. of Auditor General, et al. v. State Employees’ Retirement System, et al., </w:t>
      </w:r>
      <w:r>
        <w:t>836 A.2d 1053, 1064 (Pa. Cmwlth. 2003).</w:t>
      </w:r>
      <w:proofErr w:type="gramEnd"/>
      <w:r>
        <w:t xml:space="preserve">  </w:t>
      </w:r>
      <w:r>
        <w:rPr>
          <w:i/>
        </w:rPr>
        <w:t xml:space="preserve"> </w:t>
      </w:r>
    </w:p>
    <w:p w:rsidR="00D943C3" w:rsidRDefault="00D943C3" w:rsidP="00D943C3"/>
    <w:p w:rsidR="00D943C3" w:rsidRDefault="00D943C3" w:rsidP="00D943C3">
      <w:pPr>
        <w:jc w:val="left"/>
      </w:pPr>
      <w:r>
        <w:tab/>
      </w:r>
      <w:r>
        <w:tab/>
        <w:t>The rules regard preliminary objections are:</w:t>
      </w:r>
    </w:p>
    <w:p w:rsidR="00D943C3" w:rsidRDefault="00D943C3" w:rsidP="00D943C3">
      <w:pPr>
        <w:jc w:val="left"/>
      </w:pPr>
    </w:p>
    <w:p w:rsidR="00D943C3" w:rsidRDefault="00D943C3" w:rsidP="00D943C3">
      <w:pPr>
        <w:spacing w:line="240" w:lineRule="auto"/>
        <w:ind w:left="1440" w:right="1440"/>
        <w:contextualSpacing/>
        <w:jc w:val="left"/>
        <w:rPr>
          <w:b/>
        </w:rPr>
      </w:pPr>
      <w:r>
        <w:rPr>
          <w:b/>
        </w:rPr>
        <w:t xml:space="preserve">§ 5.101.  </w:t>
      </w:r>
      <w:proofErr w:type="gramStart"/>
      <w:r>
        <w:rPr>
          <w:b/>
        </w:rPr>
        <w:t>Preliminary objections.</w:t>
      </w:r>
      <w:proofErr w:type="gramEnd"/>
    </w:p>
    <w:p w:rsidR="00D943C3" w:rsidRDefault="00D943C3" w:rsidP="00D943C3">
      <w:pPr>
        <w:spacing w:line="240" w:lineRule="auto"/>
        <w:ind w:left="1440" w:right="1440"/>
        <w:contextualSpacing/>
        <w:jc w:val="left"/>
      </w:pPr>
      <w:r>
        <w:t>(a)</w:t>
      </w:r>
      <w:r>
        <w:tab/>
      </w:r>
      <w:r>
        <w:rPr>
          <w:i/>
        </w:rPr>
        <w:t>Grounds.</w:t>
      </w:r>
      <w: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D943C3" w:rsidRDefault="00D943C3" w:rsidP="00D943C3">
      <w:pPr>
        <w:spacing w:line="240" w:lineRule="auto"/>
        <w:ind w:left="1440" w:right="1440"/>
        <w:contextualSpacing/>
        <w:jc w:val="left"/>
        <w:rPr>
          <w:i/>
        </w:rPr>
      </w:pPr>
    </w:p>
    <w:p w:rsidR="00D943C3" w:rsidRDefault="00D943C3" w:rsidP="00D943C3">
      <w:pPr>
        <w:spacing w:line="240" w:lineRule="auto"/>
        <w:ind w:left="1440" w:right="1440"/>
        <w:contextualSpacing/>
        <w:jc w:val="left"/>
      </w:pPr>
      <w:r>
        <w:t>(1)  Lack of Commission jurisdiction or improper service of the pleading initiating the proceeding.</w:t>
      </w:r>
    </w:p>
    <w:p w:rsidR="00D943C3" w:rsidRDefault="00D943C3" w:rsidP="00D943C3">
      <w:pPr>
        <w:spacing w:line="240" w:lineRule="auto"/>
        <w:ind w:left="1440" w:right="1440"/>
        <w:contextualSpacing/>
        <w:jc w:val="left"/>
      </w:pPr>
    </w:p>
    <w:p w:rsidR="00D943C3" w:rsidRDefault="00D943C3" w:rsidP="00D943C3">
      <w:pPr>
        <w:spacing w:line="240" w:lineRule="auto"/>
        <w:ind w:left="1440" w:right="1440"/>
        <w:contextualSpacing/>
        <w:jc w:val="left"/>
      </w:pPr>
      <w:r>
        <w:t>(2)  Failure of a pleading to conform to this chapter or the inclusion of scandalous or impertinent matter.</w:t>
      </w:r>
    </w:p>
    <w:p w:rsidR="00D943C3" w:rsidRDefault="00D943C3" w:rsidP="00D943C3">
      <w:pPr>
        <w:spacing w:line="240" w:lineRule="auto"/>
        <w:ind w:left="1440" w:right="1440"/>
        <w:contextualSpacing/>
        <w:jc w:val="left"/>
      </w:pPr>
    </w:p>
    <w:p w:rsidR="00D943C3" w:rsidRDefault="00D943C3" w:rsidP="00D943C3">
      <w:pPr>
        <w:spacing w:line="240" w:lineRule="auto"/>
        <w:ind w:left="1440" w:right="1440"/>
        <w:contextualSpacing/>
        <w:jc w:val="left"/>
      </w:pPr>
      <w:r>
        <w:t>(3)  Insufficient specificity of a pleading.</w:t>
      </w:r>
    </w:p>
    <w:p w:rsidR="00D943C3" w:rsidRDefault="00D943C3" w:rsidP="00D943C3">
      <w:pPr>
        <w:spacing w:line="240" w:lineRule="auto"/>
        <w:ind w:left="1440" w:right="1440"/>
        <w:contextualSpacing/>
        <w:jc w:val="left"/>
      </w:pPr>
    </w:p>
    <w:p w:rsidR="00D943C3" w:rsidRDefault="00D943C3" w:rsidP="00D943C3">
      <w:pPr>
        <w:spacing w:line="240" w:lineRule="auto"/>
        <w:ind w:left="1440" w:right="1440"/>
        <w:contextualSpacing/>
        <w:jc w:val="left"/>
      </w:pPr>
      <w:r>
        <w:t>(4)  Legal insufficiency of a pleading.</w:t>
      </w:r>
    </w:p>
    <w:p w:rsidR="00D943C3" w:rsidRDefault="00D943C3" w:rsidP="00D943C3">
      <w:pPr>
        <w:spacing w:line="240" w:lineRule="auto"/>
        <w:ind w:left="1440" w:right="1440"/>
        <w:contextualSpacing/>
        <w:jc w:val="left"/>
      </w:pPr>
    </w:p>
    <w:p w:rsidR="00D943C3" w:rsidRDefault="00D943C3" w:rsidP="00D943C3">
      <w:pPr>
        <w:spacing w:line="240" w:lineRule="auto"/>
        <w:ind w:left="1440" w:right="1440"/>
        <w:contextualSpacing/>
        <w:jc w:val="left"/>
      </w:pPr>
      <w:r>
        <w:t>(5) Lack of capacity to sue, nonjoinder of a necessary party or misjoinder of a cause of action.</w:t>
      </w:r>
    </w:p>
    <w:p w:rsidR="00D943C3" w:rsidRDefault="00D943C3" w:rsidP="00D943C3">
      <w:pPr>
        <w:spacing w:line="240" w:lineRule="auto"/>
        <w:ind w:left="1440" w:right="1440"/>
        <w:contextualSpacing/>
        <w:jc w:val="left"/>
      </w:pPr>
    </w:p>
    <w:p w:rsidR="00D943C3" w:rsidRDefault="00D943C3" w:rsidP="00D943C3">
      <w:pPr>
        <w:spacing w:line="240" w:lineRule="auto"/>
        <w:ind w:left="1440" w:right="1440"/>
        <w:contextualSpacing/>
        <w:jc w:val="left"/>
      </w:pPr>
      <w:r>
        <w:t>(6)  Pendency of a prior proceeding or agreement for alternative dispute resolution.</w:t>
      </w:r>
    </w:p>
    <w:p w:rsidR="009F7EF2" w:rsidRDefault="009F7EF2" w:rsidP="009F7EF2">
      <w:pPr>
        <w:spacing w:line="240" w:lineRule="auto"/>
        <w:ind w:left="1440" w:right="1440"/>
        <w:contextualSpacing/>
        <w:jc w:val="left"/>
      </w:pPr>
      <w:r>
        <w:t>(7)  Standing of a party to participate in the proceeding.</w:t>
      </w:r>
    </w:p>
    <w:p w:rsidR="009F7EF2" w:rsidRDefault="009F7EF2" w:rsidP="00D943C3">
      <w:pPr>
        <w:spacing w:line="240" w:lineRule="auto"/>
        <w:ind w:left="1440" w:right="1440"/>
        <w:contextualSpacing/>
        <w:jc w:val="left"/>
      </w:pPr>
    </w:p>
    <w:p w:rsidR="00D943C3" w:rsidRPr="00D10A1C" w:rsidRDefault="00D943C3" w:rsidP="00D943C3">
      <w:pPr>
        <w:spacing w:line="240" w:lineRule="auto"/>
        <w:ind w:left="1440" w:right="1440"/>
        <w:contextualSpacing/>
      </w:pPr>
      <w:r>
        <w:t>* * *</w:t>
      </w:r>
    </w:p>
    <w:p w:rsidR="00D943C3" w:rsidRDefault="00D943C3" w:rsidP="00D943C3">
      <w:pPr>
        <w:spacing w:line="240" w:lineRule="auto"/>
        <w:ind w:left="1440" w:right="1440"/>
        <w:contextualSpacing/>
        <w:jc w:val="left"/>
      </w:pPr>
      <w:proofErr w:type="gramStart"/>
      <w:r>
        <w:t>52 Pa. Code § 5.101(a).</w:t>
      </w:r>
      <w:proofErr w:type="gramEnd"/>
      <w:r>
        <w:t xml:space="preserve">  </w:t>
      </w:r>
    </w:p>
    <w:p w:rsidR="00D943C3" w:rsidRDefault="00D943C3" w:rsidP="00D943C3">
      <w:pPr>
        <w:ind w:left="1440" w:right="1440"/>
        <w:jc w:val="left"/>
      </w:pPr>
    </w:p>
    <w:p w:rsidR="00D943C3" w:rsidRPr="003E75C6" w:rsidRDefault="00D943C3" w:rsidP="00D943C3">
      <w:pPr>
        <w:jc w:val="left"/>
      </w:pPr>
      <w:r w:rsidRPr="003E75C6">
        <w:tab/>
      </w:r>
      <w:r>
        <w:tab/>
      </w:r>
      <w:r w:rsidRPr="003E75C6">
        <w:t xml:space="preserve">In deciding the preliminary objections, the Commission must determine whether, based on well-pleaded factual averments of the </w:t>
      </w:r>
      <w:r w:rsidR="003A652D">
        <w:t>Complainants</w:t>
      </w:r>
      <w:r w:rsidRPr="003E75C6">
        <w:t xml:space="preserve">, recovery or relief is possible.  </w:t>
      </w:r>
      <w:proofErr w:type="gramStart"/>
      <w:r w:rsidRPr="003E75C6">
        <w:rPr>
          <w:i/>
        </w:rPr>
        <w:t>Dept. of Auditor General, et al v. SERS, et al.</w:t>
      </w:r>
      <w:r w:rsidRPr="003E75C6">
        <w:t>, 836 A.2d 1053, 1064 (Pa. Cmwlth. 2003), 2003 Pa. Commw.</w:t>
      </w:r>
      <w:proofErr w:type="gramEnd"/>
      <w:r w:rsidRPr="003E75C6">
        <w:t xml:space="preserve"> LEXIS 849</w:t>
      </w:r>
      <w:proofErr w:type="gramStart"/>
      <w:r w:rsidRPr="003E75C6">
        <w:t xml:space="preserve">;  </w:t>
      </w:r>
      <w:r w:rsidRPr="003E75C6">
        <w:rPr>
          <w:i/>
        </w:rPr>
        <w:t>P.J.S</w:t>
      </w:r>
      <w:proofErr w:type="gramEnd"/>
      <w:r w:rsidRPr="003E75C6">
        <w:rPr>
          <w:i/>
        </w:rPr>
        <w:t>. v. Pa. State Ethics Comm’n,</w:t>
      </w:r>
      <w:r w:rsidRPr="003E75C6">
        <w:t xml:space="preserve"> 669 A.2d 1105 (Pa. Cmwlth. 1996)</w:t>
      </w:r>
      <w:r>
        <w:t>,</w:t>
      </w:r>
      <w:r w:rsidRPr="003E75C6">
        <w:t xml:space="preserve"> 1996 Pa. Commw. </w:t>
      </w:r>
      <w:proofErr w:type="gramStart"/>
      <w:r w:rsidRPr="003E75C6">
        <w:t>LEXIS 11.</w:t>
      </w:r>
      <w:proofErr w:type="gramEnd"/>
      <w:r w:rsidRPr="003E75C6">
        <w:t xml:space="preserve">  Any doubt must be resolved in favor of the non-moving party by refusing to sustain the preliminary objections.  </w:t>
      </w:r>
      <w:proofErr w:type="gramStart"/>
      <w:r w:rsidRPr="003E75C6">
        <w:rPr>
          <w:i/>
        </w:rPr>
        <w:t xml:space="preserve">Boyd v. Ward, </w:t>
      </w:r>
      <w:r w:rsidRPr="003E75C6">
        <w:t>802 A.2d 705 (Pa.Cmwlth. 2002)</w:t>
      </w:r>
      <w:r>
        <w:t>,</w:t>
      </w:r>
      <w:r w:rsidRPr="003E75C6">
        <w:t xml:space="preserve"> 2002 Pa. Commw.</w:t>
      </w:r>
      <w:proofErr w:type="gramEnd"/>
      <w:r w:rsidRPr="003E75C6">
        <w:t xml:space="preserve"> </w:t>
      </w:r>
      <w:proofErr w:type="gramStart"/>
      <w:r w:rsidRPr="003E75C6">
        <w:t>LEXIS 580.</w:t>
      </w:r>
      <w:proofErr w:type="gramEnd"/>
      <w:r w:rsidRPr="003E75C6">
        <w:t xml:space="preserve">  All of the non-moving party’s averments in the complaint must be viewed as true for purposes of deciding the preliminary objections, and </w:t>
      </w:r>
      <w:r w:rsidRPr="003E75C6">
        <w:lastRenderedPageBreak/>
        <w:t xml:space="preserve">only those facts specifically admitted may be considered against the non-moving party.  </w:t>
      </w:r>
      <w:proofErr w:type="gramStart"/>
      <w:r w:rsidRPr="003E75C6">
        <w:rPr>
          <w:i/>
        </w:rPr>
        <w:t xml:space="preserve">Ridge v. State Employees’ Retirement </w:t>
      </w:r>
      <w:r w:rsidRPr="00F514AD">
        <w:rPr>
          <w:i/>
        </w:rPr>
        <w:t>Board</w:t>
      </w:r>
      <w:r w:rsidRPr="003E75C6">
        <w:t>, 690 A.2d 1312 (Pa. Cmwlth. 1997) 1997 Pa. Commw.</w:t>
      </w:r>
      <w:proofErr w:type="gramEnd"/>
      <w:r w:rsidRPr="003E75C6">
        <w:t xml:space="preserve"> </w:t>
      </w:r>
      <w:proofErr w:type="gramStart"/>
      <w:r w:rsidRPr="003E75C6">
        <w:t>LEXIS 148.</w:t>
      </w:r>
      <w:proofErr w:type="gramEnd"/>
      <w:r w:rsidRPr="003E75C6">
        <w:t xml:space="preserve">  </w:t>
      </w:r>
    </w:p>
    <w:p w:rsidR="00D943C3" w:rsidRPr="00290FAB" w:rsidRDefault="00D943C3" w:rsidP="00D943C3">
      <w:pPr>
        <w:contextualSpacing/>
        <w:jc w:val="left"/>
        <w:rPr>
          <w:color w:val="000000"/>
        </w:rPr>
      </w:pPr>
    </w:p>
    <w:p w:rsidR="00D943C3" w:rsidRDefault="00D943C3" w:rsidP="00A57163">
      <w:pPr>
        <w:contextualSpacing/>
        <w:jc w:val="left"/>
        <w:rPr>
          <w:color w:val="000000"/>
        </w:rPr>
      </w:pPr>
      <w:r w:rsidRPr="00290FAB">
        <w:rPr>
          <w:color w:val="000000"/>
        </w:rPr>
        <w:tab/>
      </w:r>
      <w:r w:rsidRPr="00290FAB">
        <w:rPr>
          <w:color w:val="000000"/>
        </w:rPr>
        <w:tab/>
        <w:t>Therefore, it is only the facts in the Complaint which can be presumed to be true in order to determine whether recovery is possible.  The allegation</w:t>
      </w:r>
      <w:r w:rsidR="00664A53" w:rsidRPr="00290FAB">
        <w:rPr>
          <w:color w:val="000000"/>
        </w:rPr>
        <w:t>s</w:t>
      </w:r>
      <w:r w:rsidRPr="00290FAB">
        <w:rPr>
          <w:color w:val="000000"/>
        </w:rPr>
        <w:t xml:space="preserve"> in the Complaint </w:t>
      </w:r>
      <w:r w:rsidR="00664A53" w:rsidRPr="00290FAB">
        <w:rPr>
          <w:color w:val="000000"/>
        </w:rPr>
        <w:t>are</w:t>
      </w:r>
      <w:r w:rsidRPr="00290FAB">
        <w:rPr>
          <w:color w:val="000000"/>
        </w:rPr>
        <w:t xml:space="preserve"> that </w:t>
      </w:r>
      <w:r w:rsidR="00690B0D">
        <w:rPr>
          <w:color w:val="000000"/>
        </w:rPr>
        <w:t xml:space="preserve">(1) </w:t>
      </w:r>
      <w:r w:rsidR="006815C7" w:rsidRPr="00290FAB">
        <w:rPr>
          <w:color w:val="000000"/>
        </w:rPr>
        <w:t xml:space="preserve">Complainant </w:t>
      </w:r>
      <w:r w:rsidR="00D60443">
        <w:rPr>
          <w:color w:val="000000"/>
        </w:rPr>
        <w:t>never established service with PGW, (2)</w:t>
      </w:r>
      <w:r w:rsidR="00832C1E">
        <w:rPr>
          <w:color w:val="000000"/>
        </w:rPr>
        <w:t xml:space="preserve"> </w:t>
      </w:r>
      <w:r w:rsidR="006815C7" w:rsidRPr="00290FAB">
        <w:rPr>
          <w:color w:val="000000"/>
        </w:rPr>
        <w:t>there are i</w:t>
      </w:r>
      <w:r w:rsidR="00D60443">
        <w:rPr>
          <w:color w:val="000000"/>
        </w:rPr>
        <w:t>ncorrect charges on his bill, (3</w:t>
      </w:r>
      <w:r w:rsidR="006815C7" w:rsidRPr="00290FAB">
        <w:rPr>
          <w:color w:val="000000"/>
        </w:rPr>
        <w:t>)</w:t>
      </w:r>
      <w:r w:rsidR="00173130">
        <w:rPr>
          <w:color w:val="000000"/>
        </w:rPr>
        <w:t xml:space="preserve"> he</w:t>
      </w:r>
      <w:r w:rsidR="00173130" w:rsidRPr="00173130">
        <w:t xml:space="preserve"> </w:t>
      </w:r>
      <w:r w:rsidR="00173130" w:rsidRPr="00173130">
        <w:rPr>
          <w:color w:val="000000"/>
        </w:rPr>
        <w:t>disputes the allegation of theft of service</w:t>
      </w:r>
      <w:r w:rsidR="00D60443">
        <w:rPr>
          <w:color w:val="000000"/>
        </w:rPr>
        <w:t>, (4</w:t>
      </w:r>
      <w:r w:rsidR="006815C7" w:rsidRPr="00290FAB">
        <w:rPr>
          <w:color w:val="000000"/>
        </w:rPr>
        <w:t xml:space="preserve">) </w:t>
      </w:r>
      <w:r w:rsidR="00D60443">
        <w:rPr>
          <w:color w:val="000000"/>
        </w:rPr>
        <w:t xml:space="preserve">and </w:t>
      </w:r>
      <w:r w:rsidR="00F07A7C">
        <w:rPr>
          <w:color w:val="000000"/>
        </w:rPr>
        <w:t>that PGW trespassed upon the property and committed burglary and destruction of property when it dismantled and removed piping from the property in his absence and without his permission.</w:t>
      </w:r>
    </w:p>
    <w:p w:rsidR="00A57163" w:rsidRDefault="00A57163" w:rsidP="00A57163">
      <w:pPr>
        <w:contextualSpacing/>
        <w:jc w:val="left"/>
        <w:rPr>
          <w:color w:val="000000"/>
        </w:rPr>
      </w:pPr>
    </w:p>
    <w:p w:rsidR="00A57163" w:rsidRPr="00A57163" w:rsidRDefault="00A57163" w:rsidP="00A57163">
      <w:pPr>
        <w:contextualSpacing/>
        <w:jc w:val="left"/>
        <w:rPr>
          <w:color w:val="000000"/>
          <w:u w:val="single"/>
        </w:rPr>
      </w:pPr>
      <w:r w:rsidRPr="00A57163">
        <w:rPr>
          <w:color w:val="000000"/>
          <w:u w:val="single"/>
        </w:rPr>
        <w:t>The Municipal Lien</w:t>
      </w:r>
    </w:p>
    <w:p w:rsidR="00A57163" w:rsidRPr="00A57163" w:rsidRDefault="00A57163" w:rsidP="00A57163">
      <w:pPr>
        <w:contextualSpacing/>
        <w:jc w:val="left"/>
        <w:rPr>
          <w:color w:val="000000"/>
        </w:rPr>
      </w:pPr>
    </w:p>
    <w:p w:rsidR="00D943C3" w:rsidRPr="00290FAB" w:rsidRDefault="00D943C3" w:rsidP="00D943C3">
      <w:pPr>
        <w:ind w:firstLine="1440"/>
        <w:jc w:val="left"/>
        <w:rPr>
          <w:color w:val="000000"/>
        </w:rPr>
      </w:pPr>
      <w:r w:rsidRPr="00290FAB">
        <w:rPr>
          <w:color w:val="000000"/>
        </w:rPr>
        <w:t>The Preliminary Objections question the Commission’s subject matter jurisdiction and state</w:t>
      </w:r>
      <w:r w:rsidR="004C0D65" w:rsidRPr="00290FAB">
        <w:rPr>
          <w:color w:val="000000"/>
        </w:rPr>
        <w:t>s that the portion of the Complaint seeking removal of the municipal lien</w:t>
      </w:r>
      <w:r w:rsidRPr="00290FAB">
        <w:rPr>
          <w:color w:val="000000"/>
        </w:rPr>
        <w:t xml:space="preserve"> should be stricken as impertinent matter.</w:t>
      </w:r>
    </w:p>
    <w:p w:rsidR="00D943C3" w:rsidRPr="0021115D" w:rsidRDefault="00D943C3" w:rsidP="00D943C3">
      <w:pPr>
        <w:ind w:firstLine="1440"/>
        <w:jc w:val="left"/>
      </w:pPr>
    </w:p>
    <w:p w:rsidR="00D943C3" w:rsidRPr="0021115D" w:rsidRDefault="00D943C3" w:rsidP="00D943C3">
      <w:pPr>
        <w:spacing w:line="240" w:lineRule="auto"/>
        <w:ind w:left="1440" w:right="1440"/>
        <w:jc w:val="left"/>
      </w:pPr>
      <w:r w:rsidRPr="0021115D">
        <w:t>Jurisdiction relates solely to the competency of the particular court or administrative body to determine controversies of the general class to which the case then presented for its consideration belongs.</w:t>
      </w:r>
    </w:p>
    <w:p w:rsidR="00D943C3" w:rsidRPr="0021115D" w:rsidRDefault="00D943C3" w:rsidP="00F25778">
      <w:pPr>
        <w:spacing w:line="240" w:lineRule="auto"/>
        <w:jc w:val="left"/>
      </w:pPr>
      <w:proofErr w:type="gramStart"/>
      <w:r w:rsidRPr="0021115D">
        <w:rPr>
          <w:i/>
        </w:rPr>
        <w:t>Riedel v.</w:t>
      </w:r>
      <w:proofErr w:type="gramEnd"/>
      <w:r w:rsidRPr="0021115D">
        <w:rPr>
          <w:i/>
        </w:rPr>
        <w:t xml:space="preserve"> The Human Relations Comm’n </w:t>
      </w:r>
      <w:proofErr w:type="gramStart"/>
      <w:r w:rsidRPr="0021115D">
        <w:rPr>
          <w:i/>
        </w:rPr>
        <w:t>Of</w:t>
      </w:r>
      <w:proofErr w:type="gramEnd"/>
      <w:r w:rsidRPr="0021115D">
        <w:rPr>
          <w:i/>
        </w:rPr>
        <w:t xml:space="preserve"> the City Of Reading</w:t>
      </w:r>
      <w:r w:rsidRPr="0021115D">
        <w:t>, 559 Pa. 33; 39, 739 A.2d 121; 124 (1999).</w:t>
      </w:r>
    </w:p>
    <w:p w:rsidR="00D943C3" w:rsidRPr="0021115D" w:rsidRDefault="00D943C3" w:rsidP="00D943C3">
      <w:pPr>
        <w:ind w:firstLine="1440"/>
        <w:jc w:val="left"/>
      </w:pPr>
    </w:p>
    <w:p w:rsidR="00D943C3" w:rsidRPr="0021115D" w:rsidRDefault="00D943C3" w:rsidP="00D943C3">
      <w:pPr>
        <w:ind w:firstLine="1440"/>
        <w:jc w:val="left"/>
      </w:pPr>
      <w:r w:rsidRPr="0021115D">
        <w:t xml:space="preserve">The Commission must act within, and cannot exceed, its jurisdiction.  </w:t>
      </w:r>
      <w:r w:rsidRPr="0021115D">
        <w:rPr>
          <w:i/>
        </w:rPr>
        <w:t xml:space="preserve">City of Pittsburgh v. Pa. Public Utility </w:t>
      </w:r>
      <w:proofErr w:type="spellStart"/>
      <w:r w:rsidRPr="0021115D">
        <w:rPr>
          <w:i/>
        </w:rPr>
        <w:t>Comm’n</w:t>
      </w:r>
      <w:proofErr w:type="spellEnd"/>
      <w:r w:rsidRPr="0021115D">
        <w:t xml:space="preserve">, </w:t>
      </w:r>
      <w:proofErr w:type="gramStart"/>
      <w:r w:rsidRPr="0021115D">
        <w:t xml:space="preserve">157 </w:t>
      </w:r>
      <w:proofErr w:type="spellStart"/>
      <w:r w:rsidRPr="0021115D">
        <w:t>Pa.Super</w:t>
      </w:r>
      <w:proofErr w:type="spellEnd"/>
      <w:proofErr w:type="gramEnd"/>
      <w:r w:rsidRPr="0021115D">
        <w:t xml:space="preserve">. </w:t>
      </w:r>
      <w:proofErr w:type="gramStart"/>
      <w:r w:rsidRPr="0021115D">
        <w:t>595, 43 A.2d 348 (1945).</w:t>
      </w:r>
      <w:proofErr w:type="gramEnd"/>
    </w:p>
    <w:p w:rsidR="00D943C3" w:rsidRPr="0021115D" w:rsidRDefault="00D943C3" w:rsidP="00D943C3">
      <w:pPr>
        <w:ind w:firstLine="1440"/>
        <w:jc w:val="left"/>
      </w:pPr>
    </w:p>
    <w:p w:rsidR="00D943C3" w:rsidRPr="0021115D" w:rsidRDefault="00D943C3" w:rsidP="00D943C3">
      <w:pPr>
        <w:ind w:firstLine="1440"/>
        <w:jc w:val="left"/>
      </w:pPr>
      <w:r w:rsidRPr="0021115D">
        <w:t xml:space="preserve">Subject matter jurisdiction is a prerequisite to the exercise of the power to decide a controversy.  </w:t>
      </w:r>
      <w:r w:rsidRPr="0021115D">
        <w:rPr>
          <w:iCs/>
        </w:rPr>
        <w:t>Cf</w:t>
      </w:r>
      <w:r w:rsidRPr="0021115D">
        <w:t xml:space="preserve">., </w:t>
      </w:r>
      <w:r w:rsidRPr="0021115D">
        <w:rPr>
          <w:i/>
        </w:rPr>
        <w:t>Hughes v. Pa. State Police</w:t>
      </w:r>
      <w:r w:rsidRPr="0021115D">
        <w:t xml:space="preserve">, </w:t>
      </w:r>
      <w:proofErr w:type="gramStart"/>
      <w:r w:rsidRPr="0021115D">
        <w:t>152 Pa.Cmwlth</w:t>
      </w:r>
      <w:proofErr w:type="gramEnd"/>
      <w:r w:rsidRPr="0021115D">
        <w:t xml:space="preserve">. </w:t>
      </w:r>
      <w:proofErr w:type="gramStart"/>
      <w:r w:rsidRPr="0021115D">
        <w:t>409, 619 A.2d 390 (1992), app. denied, 536 Pa. 633, 637 A.2d 293 (1993).</w:t>
      </w:r>
      <w:proofErr w:type="gramEnd"/>
    </w:p>
    <w:p w:rsidR="00D943C3" w:rsidRPr="0021115D" w:rsidRDefault="00D943C3" w:rsidP="00D943C3">
      <w:pPr>
        <w:ind w:firstLine="1440"/>
        <w:jc w:val="left"/>
      </w:pPr>
    </w:p>
    <w:p w:rsidR="00D943C3" w:rsidRPr="0021115D" w:rsidRDefault="00D943C3" w:rsidP="00D943C3">
      <w:pPr>
        <w:ind w:firstLine="1440"/>
        <w:jc w:val="left"/>
      </w:pPr>
      <w:r w:rsidRPr="0021115D">
        <w:t xml:space="preserve">Jurisdiction may not be conferred by the parties where none exists.  </w:t>
      </w:r>
      <w:proofErr w:type="gramStart"/>
      <w:r w:rsidRPr="0021115D">
        <w:rPr>
          <w:i/>
        </w:rPr>
        <w:t xml:space="preserve">Roberts v. </w:t>
      </w:r>
      <w:proofErr w:type="spellStart"/>
      <w:r w:rsidRPr="0021115D">
        <w:rPr>
          <w:i/>
        </w:rPr>
        <w:t>Martorano</w:t>
      </w:r>
      <w:proofErr w:type="spellEnd"/>
      <w:r w:rsidRPr="0021115D">
        <w:t>, 427 Pa. 581, 235 A.2d 602 (1967).</w:t>
      </w:r>
      <w:proofErr w:type="gramEnd"/>
      <w:r w:rsidRPr="0021115D">
        <w:t xml:space="preserve">  Neither silence nor agreement of the parties will </w:t>
      </w:r>
      <w:r w:rsidRPr="0021115D">
        <w:lastRenderedPageBreak/>
        <w:t xml:space="preserve">confer jurisdiction where it otherwise would not exist, </w:t>
      </w:r>
      <w:r w:rsidRPr="0021115D">
        <w:rPr>
          <w:i/>
        </w:rPr>
        <w:t xml:space="preserve">Commonwealth v. </w:t>
      </w:r>
      <w:proofErr w:type="spellStart"/>
      <w:r w:rsidRPr="0021115D">
        <w:rPr>
          <w:i/>
        </w:rPr>
        <w:t>VanBuskirk</w:t>
      </w:r>
      <w:proofErr w:type="spellEnd"/>
      <w:r w:rsidRPr="0021115D">
        <w:t xml:space="preserve">, 303 </w:t>
      </w:r>
      <w:proofErr w:type="spellStart"/>
      <w:r w:rsidRPr="0021115D">
        <w:t>Pa.Super</w:t>
      </w:r>
      <w:proofErr w:type="spellEnd"/>
      <w:r w:rsidRPr="0021115D">
        <w:t xml:space="preserve">. 148, 449 A.2d 621 (1982), nor can jurisdiction be obtained by waiver or estoppel, </w:t>
      </w:r>
      <w:r w:rsidRPr="0021115D">
        <w:rPr>
          <w:i/>
        </w:rPr>
        <w:t>Scott v. Bristol Twp. Police Dep’t</w:t>
      </w:r>
      <w:r w:rsidRPr="0021115D">
        <w:t>, 669 A.2d 457 (Pa.Cmwlth. 1995).</w:t>
      </w:r>
    </w:p>
    <w:p w:rsidR="00D943C3" w:rsidRPr="0021115D" w:rsidRDefault="00D943C3" w:rsidP="00D943C3">
      <w:pPr>
        <w:ind w:firstLine="1440"/>
        <w:jc w:val="left"/>
      </w:pPr>
    </w:p>
    <w:p w:rsidR="00D943C3" w:rsidRPr="0021115D" w:rsidRDefault="00D943C3" w:rsidP="00D943C3">
      <w:pPr>
        <w:ind w:firstLine="1440"/>
        <w:jc w:val="left"/>
      </w:pPr>
      <w:r w:rsidRPr="0021115D">
        <w:t xml:space="preserve">The Commission has </w:t>
      </w:r>
      <w:r w:rsidR="00690B0D">
        <w:t>consistently</w:t>
      </w:r>
      <w:r w:rsidRPr="0021115D">
        <w:t xml:space="preserve"> recognized its lack of subject matter jurisdiction in cases involving a dispute over a municipal lien placed upon a property.  </w:t>
      </w:r>
      <w:r w:rsidRPr="0021115D">
        <w:rPr>
          <w:i/>
        </w:rPr>
        <w:t xml:space="preserve">Cornelia </w:t>
      </w:r>
      <w:proofErr w:type="spellStart"/>
      <w:r w:rsidRPr="0021115D">
        <w:rPr>
          <w:i/>
        </w:rPr>
        <w:t>Strowder</w:t>
      </w:r>
      <w:proofErr w:type="spellEnd"/>
      <w:r w:rsidRPr="0021115D">
        <w:rPr>
          <w:i/>
        </w:rPr>
        <w:t xml:space="preserve"> v. Philadelphia Gas Works</w:t>
      </w:r>
      <w:r w:rsidRPr="0021115D">
        <w:t>, 2002 WL 32069511 (2002) (</w:t>
      </w:r>
      <w:proofErr w:type="spellStart"/>
      <w:r w:rsidRPr="0021115D">
        <w:rPr>
          <w:i/>
        </w:rPr>
        <w:t>Strowder</w:t>
      </w:r>
      <w:proofErr w:type="spellEnd"/>
      <w:r w:rsidRPr="0021115D">
        <w:t xml:space="preserve">), </w:t>
      </w:r>
      <w:r w:rsidRPr="0021115D">
        <w:rPr>
          <w:i/>
        </w:rPr>
        <w:t>Debra Williams Lawrence v. Philadelphia Gas Works</w:t>
      </w:r>
      <w:r w:rsidRPr="0021115D">
        <w:t>, Docket Number C-20066672, Final Order entered January 22, 2007 (</w:t>
      </w:r>
      <w:r w:rsidRPr="0021115D">
        <w:rPr>
          <w:i/>
        </w:rPr>
        <w:t>Lawrence</w:t>
      </w:r>
      <w:r w:rsidRPr="0021115D">
        <w:t xml:space="preserve">), </w:t>
      </w:r>
      <w:r w:rsidRPr="0021115D">
        <w:rPr>
          <w:i/>
        </w:rPr>
        <w:t>Tina L. Francis-Young v. Philadelphia Gas Works</w:t>
      </w:r>
      <w:r w:rsidRPr="0021115D">
        <w:t xml:space="preserve">, Docket Number </w:t>
      </w:r>
    </w:p>
    <w:p w:rsidR="00D943C3" w:rsidRPr="0021115D" w:rsidRDefault="00D943C3" w:rsidP="00D943C3">
      <w:pPr>
        <w:jc w:val="left"/>
      </w:pPr>
      <w:r w:rsidRPr="0021115D">
        <w:t>C-2008-2029672, Final Order entered February 23, 2009 (</w:t>
      </w:r>
      <w:r w:rsidRPr="0021115D">
        <w:rPr>
          <w:i/>
        </w:rPr>
        <w:t>Young</w:t>
      </w:r>
      <w:r w:rsidRPr="0021115D">
        <w:t xml:space="preserve">), </w:t>
      </w:r>
      <w:r w:rsidRPr="0021115D">
        <w:rPr>
          <w:i/>
        </w:rPr>
        <w:t xml:space="preserve">Dung </w:t>
      </w:r>
      <w:proofErr w:type="spellStart"/>
      <w:r w:rsidRPr="0021115D">
        <w:rPr>
          <w:i/>
        </w:rPr>
        <w:t>Phat</w:t>
      </w:r>
      <w:proofErr w:type="spellEnd"/>
      <w:r w:rsidRPr="0021115D">
        <w:rPr>
          <w:i/>
        </w:rPr>
        <w:t>, LLC v. Philadelphia Gas Works</w:t>
      </w:r>
      <w:r w:rsidRPr="0021115D">
        <w:t>, Docket Number C-2009-2135667, Final Order entered January 13, 2010 (</w:t>
      </w:r>
      <w:r w:rsidRPr="0021115D">
        <w:rPr>
          <w:i/>
        </w:rPr>
        <w:t xml:space="preserve">Dung </w:t>
      </w:r>
      <w:proofErr w:type="spellStart"/>
      <w:r w:rsidRPr="0021115D">
        <w:rPr>
          <w:i/>
        </w:rPr>
        <w:t>Phat</w:t>
      </w:r>
      <w:proofErr w:type="spellEnd"/>
      <w:r w:rsidRPr="0021115D">
        <w:t xml:space="preserve">), </w:t>
      </w:r>
      <w:r w:rsidRPr="0021115D">
        <w:rPr>
          <w:i/>
        </w:rPr>
        <w:t>David Golan v. Philadelphia Gas Works</w:t>
      </w:r>
      <w:r w:rsidRPr="0021115D">
        <w:t>, Docket Number C-2009-2138115, Final Order entered February 4, 2010 (</w:t>
      </w:r>
      <w:r w:rsidRPr="0021115D">
        <w:rPr>
          <w:i/>
        </w:rPr>
        <w:t>Golan</w:t>
      </w:r>
      <w:r w:rsidRPr="0021115D">
        <w:t xml:space="preserve">), </w:t>
      </w:r>
      <w:r w:rsidRPr="0021115D">
        <w:rPr>
          <w:i/>
        </w:rPr>
        <w:t xml:space="preserve">2020 West </w:t>
      </w:r>
      <w:proofErr w:type="spellStart"/>
      <w:r w:rsidRPr="0021115D">
        <w:rPr>
          <w:i/>
        </w:rPr>
        <w:t>Passyunk</w:t>
      </w:r>
      <w:proofErr w:type="spellEnd"/>
      <w:r w:rsidRPr="0021115D">
        <w:rPr>
          <w:i/>
        </w:rPr>
        <w:t xml:space="preserve"> Avenue Inc. v. Philadelphia Gas Works</w:t>
      </w:r>
      <w:r w:rsidRPr="0021115D">
        <w:t>, Docket Number C-2009-2138727, Final Order entered February 4, 2010 (</w:t>
      </w:r>
      <w:r w:rsidRPr="0021115D">
        <w:rPr>
          <w:i/>
        </w:rPr>
        <w:t xml:space="preserve">2020 West </w:t>
      </w:r>
      <w:proofErr w:type="spellStart"/>
      <w:r w:rsidRPr="0021115D">
        <w:rPr>
          <w:i/>
        </w:rPr>
        <w:t>Passyunk</w:t>
      </w:r>
      <w:proofErr w:type="spellEnd"/>
      <w:r w:rsidRPr="0021115D">
        <w:t xml:space="preserve">), </w:t>
      </w:r>
      <w:r w:rsidRPr="0021115D">
        <w:rPr>
          <w:i/>
        </w:rPr>
        <w:t>Jean Charles v. Philadelphia Gas Works</w:t>
      </w:r>
      <w:r w:rsidRPr="0021115D">
        <w:t>, Docket Number C-2009-2138638, Final Order entered February 5, 2010 (</w:t>
      </w:r>
      <w:r w:rsidRPr="0021115D">
        <w:rPr>
          <w:i/>
        </w:rPr>
        <w:t>Charles</w:t>
      </w:r>
      <w:r w:rsidRPr="0021115D">
        <w:t>).</w:t>
      </w:r>
    </w:p>
    <w:p w:rsidR="00D943C3" w:rsidRPr="0021115D" w:rsidRDefault="00D943C3" w:rsidP="00D943C3">
      <w:pPr>
        <w:ind w:firstLine="1440"/>
        <w:jc w:val="left"/>
      </w:pPr>
    </w:p>
    <w:p w:rsidR="00D943C3" w:rsidRPr="0021115D" w:rsidRDefault="00D943C3" w:rsidP="00D943C3">
      <w:pPr>
        <w:ind w:firstLine="1440"/>
        <w:jc w:val="left"/>
      </w:pPr>
      <w:r w:rsidRPr="0021115D">
        <w:t xml:space="preserve">These Commission decisions are consistent with established principles of jurisdiction and are buttressed by two separate provisions of the Public Utility Code, 66 </w:t>
      </w:r>
      <w:proofErr w:type="spellStart"/>
      <w:r w:rsidRPr="0021115D">
        <w:t>Pa.C.S.A</w:t>
      </w:r>
      <w:proofErr w:type="spellEnd"/>
      <w:r w:rsidRPr="0021115D">
        <w:t xml:space="preserve">. </w:t>
      </w:r>
      <w:proofErr w:type="gramStart"/>
      <w:r w:rsidRPr="0021115D">
        <w:t>§ 101 et seq. (Code).</w:t>
      </w:r>
      <w:proofErr w:type="gramEnd"/>
    </w:p>
    <w:p w:rsidR="00D943C3" w:rsidRPr="0021115D" w:rsidRDefault="00D943C3" w:rsidP="00D943C3">
      <w:pPr>
        <w:ind w:firstLine="1440"/>
        <w:jc w:val="left"/>
      </w:pPr>
    </w:p>
    <w:p w:rsidR="00D943C3" w:rsidRDefault="00D943C3" w:rsidP="00D943C3">
      <w:pPr>
        <w:ind w:firstLine="1440"/>
        <w:jc w:val="left"/>
      </w:pPr>
      <w:proofErr w:type="gramStart"/>
      <w:r w:rsidRPr="0021115D">
        <w:t xml:space="preserve">66 </w:t>
      </w:r>
      <w:proofErr w:type="spellStart"/>
      <w:r w:rsidRPr="0021115D">
        <w:t>Pa.C.S.A</w:t>
      </w:r>
      <w:proofErr w:type="spellEnd"/>
      <w:r w:rsidRPr="0021115D">
        <w:t>.</w:t>
      </w:r>
      <w:proofErr w:type="gramEnd"/>
      <w:r w:rsidRPr="0021115D">
        <w:t xml:space="preserve"> § 1414(a) provides:</w:t>
      </w:r>
    </w:p>
    <w:p w:rsidR="00D943C3" w:rsidRPr="0021115D" w:rsidRDefault="00D943C3" w:rsidP="00D943C3">
      <w:pPr>
        <w:ind w:firstLine="1440"/>
        <w:jc w:val="left"/>
      </w:pPr>
    </w:p>
    <w:p w:rsidR="00D943C3" w:rsidRPr="0021115D" w:rsidRDefault="00D943C3" w:rsidP="00D943C3">
      <w:pPr>
        <w:widowControl w:val="0"/>
        <w:adjustRightInd w:val="0"/>
        <w:spacing w:line="240" w:lineRule="auto"/>
        <w:ind w:left="1440" w:right="1440"/>
        <w:jc w:val="left"/>
        <w:rPr>
          <w:color w:val="000000"/>
        </w:rPr>
      </w:pPr>
      <w:r>
        <w:rPr>
          <w:b/>
          <w:bCs/>
          <w:color w:val="000000"/>
        </w:rPr>
        <w:t>(a)</w:t>
      </w:r>
      <w:r>
        <w:rPr>
          <w:b/>
          <w:bCs/>
          <w:color w:val="000000"/>
        </w:rPr>
        <w:tab/>
      </w:r>
      <w:r w:rsidRPr="0021115D">
        <w:rPr>
          <w:b/>
          <w:bCs/>
          <w:color w:val="000000"/>
        </w:rPr>
        <w:t>General rule.--</w:t>
      </w:r>
      <w:r w:rsidRPr="0021115D">
        <w:rPr>
          <w:color w:val="000000"/>
        </w:rPr>
        <w:t xml:space="preserve">A city natural gas distribution operation furnishing gas service to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to sections 3 and 9 of the act of May 16, 1923 (P.L. 207, No. 153), </w:t>
      </w:r>
      <w:bookmarkStart w:id="0" w:name="Document1zz[FN1]"/>
      <w:bookmarkEnd w:id="0"/>
      <w:r w:rsidRPr="0021115D">
        <w:rPr>
          <w:color w:val="000000"/>
        </w:rPr>
        <w:t xml:space="preserve">referred to as the Municipal Claim and Tax Lien Law, and chapter 22 </w:t>
      </w:r>
      <w:bookmarkStart w:id="1" w:name="Document1zz[FN2]"/>
      <w:bookmarkEnd w:id="1"/>
      <w:r w:rsidRPr="0021115D">
        <w:rPr>
          <w:color w:val="000000"/>
        </w:rPr>
        <w:t>(relating to natural gas competition).</w:t>
      </w:r>
    </w:p>
    <w:p w:rsidR="00D943C3" w:rsidRPr="0021115D" w:rsidRDefault="00D943C3" w:rsidP="00D943C3">
      <w:pPr>
        <w:widowControl w:val="0"/>
        <w:adjustRightInd w:val="0"/>
        <w:spacing w:line="240" w:lineRule="auto"/>
        <w:ind w:left="1440" w:right="1440"/>
        <w:jc w:val="left"/>
        <w:rPr>
          <w:color w:val="000000"/>
        </w:rPr>
      </w:pPr>
      <w:proofErr w:type="gramStart"/>
      <w:r w:rsidRPr="0021115D">
        <w:rPr>
          <w:bCs/>
          <w:color w:val="000000"/>
        </w:rPr>
        <w:lastRenderedPageBreak/>
        <w:t xml:space="preserve">66 </w:t>
      </w:r>
      <w:proofErr w:type="spellStart"/>
      <w:r w:rsidRPr="0021115D">
        <w:rPr>
          <w:bCs/>
          <w:color w:val="000000"/>
        </w:rPr>
        <w:t>Pa.</w:t>
      </w:r>
      <w:r w:rsidRPr="0021115D">
        <w:rPr>
          <w:color w:val="000000"/>
        </w:rPr>
        <w:t>C.S.A</w:t>
      </w:r>
      <w:proofErr w:type="spellEnd"/>
      <w:r w:rsidRPr="0021115D">
        <w:rPr>
          <w:color w:val="000000"/>
        </w:rPr>
        <w:t>.</w:t>
      </w:r>
      <w:proofErr w:type="gramEnd"/>
      <w:r w:rsidRPr="0021115D">
        <w:rPr>
          <w:color w:val="000000"/>
        </w:rPr>
        <w:t xml:space="preserve"> § 1414(a) (footnotes omitted)</w:t>
      </w:r>
    </w:p>
    <w:p w:rsidR="00D943C3" w:rsidRPr="0021115D" w:rsidRDefault="00D943C3" w:rsidP="00D943C3">
      <w:pPr>
        <w:ind w:firstLine="1440"/>
        <w:jc w:val="left"/>
      </w:pPr>
    </w:p>
    <w:p w:rsidR="00D943C3" w:rsidRPr="0021115D" w:rsidRDefault="00D943C3" w:rsidP="00D943C3">
      <w:pPr>
        <w:ind w:firstLine="1440"/>
        <w:jc w:val="left"/>
        <w:rPr>
          <w:color w:val="000000"/>
        </w:rPr>
      </w:pPr>
      <w:r w:rsidRPr="0021115D">
        <w:t xml:space="preserve">Code section 1414(a) reiterates the General Assembly’s determination that the previously existing right of the City to enforce payment for natural gas service rendered by the respondent through the municipal claim and lien procedure of the </w:t>
      </w:r>
      <w:r w:rsidRPr="0021115D">
        <w:rPr>
          <w:color w:val="000000"/>
        </w:rPr>
        <w:t>Municipal Claim and Tax Lien Law remains unabated.</w:t>
      </w:r>
    </w:p>
    <w:p w:rsidR="00D943C3" w:rsidRPr="0021115D" w:rsidRDefault="00D943C3" w:rsidP="00D943C3">
      <w:pPr>
        <w:ind w:firstLine="1440"/>
        <w:jc w:val="left"/>
        <w:rPr>
          <w:color w:val="000000"/>
        </w:rPr>
      </w:pPr>
    </w:p>
    <w:p w:rsidR="00D943C3" w:rsidRDefault="00D943C3" w:rsidP="00D943C3">
      <w:pPr>
        <w:ind w:firstLine="1440"/>
        <w:jc w:val="left"/>
        <w:outlineLvl w:val="0"/>
        <w:rPr>
          <w:color w:val="000000"/>
        </w:rPr>
      </w:pPr>
      <w:r w:rsidRPr="0021115D">
        <w:rPr>
          <w:color w:val="000000"/>
        </w:rPr>
        <w:t xml:space="preserve">The reference to “chapter 22” (of the Code) in section 1414(a) is especially </w:t>
      </w:r>
    </w:p>
    <w:p w:rsidR="00D943C3" w:rsidRDefault="00D943C3" w:rsidP="00D943C3">
      <w:pPr>
        <w:jc w:val="left"/>
        <w:rPr>
          <w:color w:val="000000"/>
        </w:rPr>
      </w:pPr>
      <w:proofErr w:type="gramStart"/>
      <w:r w:rsidRPr="0021115D">
        <w:rPr>
          <w:color w:val="000000"/>
        </w:rPr>
        <w:t>revealing</w:t>
      </w:r>
      <w:proofErr w:type="gramEnd"/>
      <w:r w:rsidRPr="0021115D">
        <w:rPr>
          <w:color w:val="000000"/>
        </w:rPr>
        <w:t xml:space="preserve"> as to the legislature’s intent.</w:t>
      </w:r>
    </w:p>
    <w:p w:rsidR="00D943C3" w:rsidRPr="0021115D" w:rsidRDefault="00D943C3" w:rsidP="00D943C3">
      <w:pPr>
        <w:jc w:val="left"/>
        <w:rPr>
          <w:color w:val="000000"/>
        </w:rPr>
      </w:pPr>
    </w:p>
    <w:p w:rsidR="00D943C3" w:rsidRDefault="00D943C3" w:rsidP="00D943C3">
      <w:pPr>
        <w:ind w:firstLine="1440"/>
        <w:jc w:val="left"/>
        <w:rPr>
          <w:color w:val="000000"/>
        </w:rPr>
      </w:pPr>
      <w:proofErr w:type="gramStart"/>
      <w:r w:rsidRPr="0021115D">
        <w:rPr>
          <w:color w:val="000000"/>
        </w:rPr>
        <w:t xml:space="preserve">66 </w:t>
      </w:r>
      <w:proofErr w:type="spellStart"/>
      <w:r w:rsidRPr="0021115D">
        <w:rPr>
          <w:color w:val="000000"/>
        </w:rPr>
        <w:t>Pa.C.S.A</w:t>
      </w:r>
      <w:proofErr w:type="spellEnd"/>
      <w:r w:rsidRPr="0021115D">
        <w:rPr>
          <w:color w:val="000000"/>
        </w:rPr>
        <w:t>.</w:t>
      </w:r>
      <w:proofErr w:type="gramEnd"/>
      <w:r w:rsidRPr="0021115D">
        <w:rPr>
          <w:color w:val="000000"/>
        </w:rPr>
        <w:t xml:space="preserve"> § 2212(n) states:</w:t>
      </w:r>
    </w:p>
    <w:p w:rsidR="00D943C3" w:rsidRPr="0021115D" w:rsidRDefault="00D943C3" w:rsidP="00D943C3">
      <w:pPr>
        <w:ind w:firstLine="1440"/>
        <w:jc w:val="left"/>
        <w:rPr>
          <w:color w:val="000000"/>
        </w:rPr>
      </w:pPr>
    </w:p>
    <w:p w:rsidR="00D943C3" w:rsidRPr="0021115D" w:rsidRDefault="00D943C3" w:rsidP="00D943C3">
      <w:pPr>
        <w:widowControl w:val="0"/>
        <w:adjustRightInd w:val="0"/>
        <w:spacing w:line="240" w:lineRule="auto"/>
        <w:ind w:left="1440" w:right="1440"/>
        <w:jc w:val="left"/>
        <w:rPr>
          <w:color w:val="000000"/>
        </w:rPr>
      </w:pPr>
      <w:r>
        <w:rPr>
          <w:b/>
          <w:bCs/>
          <w:color w:val="000000"/>
        </w:rPr>
        <w:t>(n)</w:t>
      </w:r>
      <w:r>
        <w:rPr>
          <w:b/>
          <w:bCs/>
          <w:color w:val="000000"/>
        </w:rPr>
        <w:tab/>
      </w:r>
      <w:r w:rsidRPr="0021115D">
        <w:rPr>
          <w:b/>
          <w:bCs/>
          <w:color w:val="000000"/>
        </w:rPr>
        <w:t>Collections.--</w:t>
      </w:r>
      <w:r w:rsidRPr="0021115D">
        <w:rPr>
          <w:color w:val="000000"/>
        </w:rPr>
        <w:t>Nothing contained in this title shall abrogate the power of a city natural gas distribution operation to collect delinquent receivables through the imposition of liens pursuant to section 3 of the act of May 16, 1923 (P.L. 207, No. 153),</w:t>
      </w:r>
      <w:bookmarkStart w:id="2" w:name="Document1zz[FN6]"/>
      <w:bookmarkEnd w:id="2"/>
      <w:r w:rsidRPr="0021115D">
        <w:rPr>
          <w:color w:val="000000"/>
        </w:rPr>
        <w:t xml:space="preserve"> referred to as the Municipal Claim and Tax Lien Law, or otherwise.</w:t>
      </w:r>
    </w:p>
    <w:p w:rsidR="00D943C3" w:rsidRPr="0021115D" w:rsidRDefault="00D943C3" w:rsidP="00D943C3">
      <w:pPr>
        <w:widowControl w:val="0"/>
        <w:adjustRightInd w:val="0"/>
        <w:spacing w:line="240" w:lineRule="auto"/>
        <w:ind w:left="1440" w:right="1440"/>
        <w:jc w:val="left"/>
        <w:rPr>
          <w:color w:val="000000"/>
        </w:rPr>
      </w:pPr>
      <w:proofErr w:type="gramStart"/>
      <w:r w:rsidRPr="0021115D">
        <w:rPr>
          <w:color w:val="000000"/>
        </w:rPr>
        <w:t xml:space="preserve">66 </w:t>
      </w:r>
      <w:proofErr w:type="spellStart"/>
      <w:r w:rsidRPr="0021115D">
        <w:rPr>
          <w:color w:val="000000"/>
        </w:rPr>
        <w:t>Pa.C.S.A</w:t>
      </w:r>
      <w:proofErr w:type="spellEnd"/>
      <w:r w:rsidRPr="0021115D">
        <w:rPr>
          <w:color w:val="000000"/>
        </w:rPr>
        <w:t>.</w:t>
      </w:r>
      <w:proofErr w:type="gramEnd"/>
      <w:r w:rsidRPr="0021115D">
        <w:rPr>
          <w:color w:val="000000"/>
        </w:rPr>
        <w:t xml:space="preserve"> § 2212(n) (footnote omitted)</w:t>
      </w:r>
    </w:p>
    <w:p w:rsidR="00D943C3" w:rsidRPr="0021115D" w:rsidRDefault="00D943C3" w:rsidP="00D943C3">
      <w:pPr>
        <w:ind w:firstLine="1440"/>
        <w:jc w:val="left"/>
      </w:pPr>
    </w:p>
    <w:p w:rsidR="00D943C3" w:rsidRPr="0021115D" w:rsidRDefault="00D943C3" w:rsidP="00D943C3">
      <w:pPr>
        <w:ind w:firstLine="1440"/>
        <w:jc w:val="left"/>
        <w:rPr>
          <w:color w:val="000000"/>
        </w:rPr>
      </w:pPr>
      <w:r w:rsidRPr="0021115D">
        <w:t>Code section 2212(n) specifically states that “[n]</w:t>
      </w:r>
      <w:proofErr w:type="spellStart"/>
      <w:r w:rsidRPr="0021115D">
        <w:t>othing</w:t>
      </w:r>
      <w:proofErr w:type="spellEnd"/>
      <w:r w:rsidRPr="0021115D">
        <w:rPr>
          <w:color w:val="000000"/>
        </w:rPr>
        <w:t xml:space="preserve"> contained in this </w:t>
      </w:r>
      <w:r w:rsidRPr="0021115D">
        <w:rPr>
          <w:color w:val="000000"/>
          <w:u w:val="single"/>
        </w:rPr>
        <w:t>title</w:t>
      </w:r>
      <w:r w:rsidRPr="0021115D">
        <w:rPr>
          <w:color w:val="000000"/>
        </w:rPr>
        <w:t>”, that is; Title 66, the entire Code, shall abrogate the right of the City to collect unpaid bills for natural gas service through the mechanisms provided by the Municipal Claim and Tax Lien Law.  As explained above, those mechanisms are not within the jurisdiction of the Commission.</w:t>
      </w:r>
    </w:p>
    <w:p w:rsidR="00D943C3" w:rsidRPr="0021115D" w:rsidRDefault="00D943C3" w:rsidP="00D943C3">
      <w:pPr>
        <w:ind w:firstLine="1440"/>
        <w:jc w:val="left"/>
        <w:rPr>
          <w:color w:val="000000"/>
        </w:rPr>
      </w:pPr>
    </w:p>
    <w:p w:rsidR="00A57163" w:rsidRDefault="00D943C3" w:rsidP="00D943C3">
      <w:pPr>
        <w:ind w:firstLine="1440"/>
        <w:jc w:val="left"/>
        <w:rPr>
          <w:color w:val="000000"/>
        </w:rPr>
      </w:pPr>
      <w:proofErr w:type="gramStart"/>
      <w:r w:rsidRPr="0021115D">
        <w:rPr>
          <w:color w:val="000000"/>
        </w:rPr>
        <w:t xml:space="preserve">The Commission’s </w:t>
      </w:r>
      <w:r w:rsidRPr="0021115D">
        <w:t xml:space="preserve">holdings in </w:t>
      </w:r>
      <w:proofErr w:type="spellStart"/>
      <w:r w:rsidRPr="0021115D">
        <w:rPr>
          <w:i/>
        </w:rPr>
        <w:t>Strowder</w:t>
      </w:r>
      <w:proofErr w:type="spellEnd"/>
      <w:r w:rsidRPr="0021115D">
        <w:t xml:space="preserve">, </w:t>
      </w:r>
      <w:r w:rsidRPr="0021115D">
        <w:rPr>
          <w:i/>
        </w:rPr>
        <w:t>Lawrence</w:t>
      </w:r>
      <w:r w:rsidRPr="0021115D">
        <w:t xml:space="preserve">, </w:t>
      </w:r>
      <w:r w:rsidRPr="0021115D">
        <w:rPr>
          <w:i/>
        </w:rPr>
        <w:t>Young</w:t>
      </w:r>
      <w:r w:rsidRPr="0021115D">
        <w:t xml:space="preserve">, </w:t>
      </w:r>
      <w:r w:rsidRPr="0021115D">
        <w:rPr>
          <w:i/>
        </w:rPr>
        <w:t xml:space="preserve">Dung </w:t>
      </w:r>
      <w:proofErr w:type="spellStart"/>
      <w:r w:rsidRPr="0021115D">
        <w:rPr>
          <w:i/>
        </w:rPr>
        <w:t>Phat</w:t>
      </w:r>
      <w:proofErr w:type="spellEnd"/>
      <w:r w:rsidRPr="0021115D">
        <w:t xml:space="preserve">, </w:t>
      </w:r>
      <w:r w:rsidRPr="0021115D">
        <w:rPr>
          <w:i/>
        </w:rPr>
        <w:t>Golan</w:t>
      </w:r>
      <w:r w:rsidRPr="0021115D">
        <w:t xml:space="preserve">, </w:t>
      </w:r>
      <w:r w:rsidRPr="0021115D">
        <w:rPr>
          <w:i/>
        </w:rPr>
        <w:t xml:space="preserve">2020 West </w:t>
      </w:r>
      <w:proofErr w:type="spellStart"/>
      <w:r w:rsidRPr="0021115D">
        <w:rPr>
          <w:i/>
        </w:rPr>
        <w:t>Passyunk</w:t>
      </w:r>
      <w:proofErr w:type="spellEnd"/>
      <w:r w:rsidRPr="0021115D">
        <w:t xml:space="preserve"> and </w:t>
      </w:r>
      <w:r w:rsidRPr="0021115D">
        <w:rPr>
          <w:i/>
        </w:rPr>
        <w:t>Charles</w:t>
      </w:r>
      <w:r w:rsidRPr="0021115D">
        <w:t xml:space="preserve"> that it does not have subject matter jurisdiction over cases such as this one, is legally correct.</w:t>
      </w:r>
      <w:proofErr w:type="gramEnd"/>
      <w:r w:rsidRPr="0021115D">
        <w:t xml:space="preserve">  Complainant’s relief, if any, must be obtained under the procedures established by </w:t>
      </w:r>
      <w:r w:rsidRPr="0021115D">
        <w:rPr>
          <w:color w:val="000000"/>
        </w:rPr>
        <w:t>the Municipal Claim and Tax Lien Law.  Respondent’s Preliminary Objection under 52 Pa.Code § 5.101(a</w:t>
      </w:r>
      <w:proofErr w:type="gramStart"/>
      <w:r w:rsidRPr="0021115D">
        <w:rPr>
          <w:color w:val="000000"/>
        </w:rPr>
        <w:t>)(</w:t>
      </w:r>
      <w:proofErr w:type="gramEnd"/>
      <w:r w:rsidRPr="0021115D">
        <w:rPr>
          <w:color w:val="000000"/>
        </w:rPr>
        <w:t>1) challenging the Commission’s subject matter jurisdiction</w:t>
      </w:r>
      <w:r w:rsidR="000E2090">
        <w:rPr>
          <w:color w:val="000000"/>
        </w:rPr>
        <w:t xml:space="preserve"> over municipal liens is sustained, and any discussion of municipal liens will be barred from the evidentiary hearing.</w:t>
      </w:r>
    </w:p>
    <w:p w:rsidR="00A57163" w:rsidRDefault="00A57163" w:rsidP="00D943C3">
      <w:pPr>
        <w:ind w:firstLine="1440"/>
        <w:jc w:val="left"/>
        <w:rPr>
          <w:color w:val="000000"/>
        </w:rPr>
      </w:pPr>
    </w:p>
    <w:p w:rsidR="00FA536D" w:rsidRDefault="00FA536D" w:rsidP="00D943C3">
      <w:pPr>
        <w:ind w:firstLine="1440"/>
        <w:jc w:val="left"/>
        <w:rPr>
          <w:color w:val="000000"/>
        </w:rPr>
      </w:pPr>
    </w:p>
    <w:p w:rsidR="004A0E70" w:rsidRPr="002933D3" w:rsidRDefault="004A0E70" w:rsidP="00A57163">
      <w:pPr>
        <w:jc w:val="left"/>
        <w:rPr>
          <w:color w:val="000000" w:themeColor="text1"/>
          <w:u w:val="single"/>
        </w:rPr>
      </w:pPr>
      <w:r w:rsidRPr="002933D3">
        <w:rPr>
          <w:color w:val="000000" w:themeColor="text1"/>
          <w:u w:val="single"/>
        </w:rPr>
        <w:lastRenderedPageBreak/>
        <w:t>Theft of Service</w:t>
      </w:r>
    </w:p>
    <w:p w:rsidR="004A0E70" w:rsidRDefault="004A0E70" w:rsidP="00A57163">
      <w:pPr>
        <w:jc w:val="left"/>
        <w:rPr>
          <w:color w:val="000000"/>
        </w:rPr>
      </w:pPr>
    </w:p>
    <w:p w:rsidR="00BB6613" w:rsidRDefault="00BB6613" w:rsidP="00A57163">
      <w:pPr>
        <w:jc w:val="left"/>
        <w:rPr>
          <w:color w:val="000000"/>
        </w:rPr>
      </w:pPr>
      <w:r>
        <w:rPr>
          <w:color w:val="000000"/>
        </w:rPr>
        <w:tab/>
      </w:r>
      <w:r>
        <w:rPr>
          <w:color w:val="000000"/>
        </w:rPr>
        <w:tab/>
        <w:t>Theft of utility service, otherwise known as unauthorized use, is defined in the Public Utility Code as follows:</w:t>
      </w:r>
    </w:p>
    <w:p w:rsidR="00BB6613" w:rsidRDefault="00BB6613" w:rsidP="00A57163">
      <w:pPr>
        <w:jc w:val="left"/>
        <w:rPr>
          <w:color w:val="000000"/>
        </w:rPr>
      </w:pPr>
    </w:p>
    <w:p w:rsidR="00BB6613" w:rsidRDefault="00BB6613" w:rsidP="00BB6613">
      <w:pPr>
        <w:spacing w:line="240" w:lineRule="auto"/>
        <w:ind w:left="1440" w:right="1440"/>
        <w:jc w:val="left"/>
        <w:rPr>
          <w:color w:val="000000"/>
        </w:rPr>
      </w:pPr>
      <w:r w:rsidRPr="00BB6613">
        <w:rPr>
          <w:color w:val="000000"/>
        </w:rPr>
        <w:t xml:space="preserve">Unauthorized use of utility service -- Unreasonable interference or diversion of service, including meter tampering (any act which affects the proper registration of service through a meter), </w:t>
      </w:r>
      <w:r w:rsidRPr="00BB6613">
        <w:rPr>
          <w:b/>
          <w:color w:val="000000"/>
        </w:rPr>
        <w:t>by-passing unmetered service that flows through a device connected between a service line and customer-owned facilities</w:t>
      </w:r>
      <w:r w:rsidRPr="00BB6613">
        <w:rPr>
          <w:color w:val="000000"/>
        </w:rPr>
        <w:t xml:space="preserve"> and unauthorized service restoral.</w:t>
      </w:r>
    </w:p>
    <w:p w:rsidR="00D132BE" w:rsidRDefault="00BB6613" w:rsidP="00A57163">
      <w:pPr>
        <w:jc w:val="left"/>
      </w:pPr>
      <w:proofErr w:type="gramStart"/>
      <w:r w:rsidRPr="00BB6613">
        <w:rPr>
          <w:color w:val="000000"/>
        </w:rPr>
        <w:t>52 Pa. Code § 56.2</w:t>
      </w:r>
      <w:r w:rsidR="00F0410C">
        <w:rPr>
          <w:color w:val="000000"/>
        </w:rPr>
        <w:t>.</w:t>
      </w:r>
      <w:proofErr w:type="gramEnd"/>
      <w:r>
        <w:rPr>
          <w:color w:val="000000"/>
        </w:rPr>
        <w:t xml:space="preserve"> (Emphasis added).</w:t>
      </w:r>
      <w:r w:rsidR="005578D5">
        <w:rPr>
          <w:color w:val="FF0000"/>
        </w:rPr>
        <w:t xml:space="preserve"> </w:t>
      </w:r>
      <w:r w:rsidR="00D132BE">
        <w:tab/>
      </w:r>
      <w:r w:rsidR="00D132BE" w:rsidRPr="00EF1907">
        <w:t xml:space="preserve"> </w:t>
      </w:r>
    </w:p>
    <w:p w:rsidR="00611DCE" w:rsidRDefault="00D132BE" w:rsidP="00FA536D">
      <w:pPr>
        <w:jc w:val="left"/>
        <w:rPr>
          <w:color w:val="000000"/>
        </w:rPr>
      </w:pPr>
      <w:r>
        <w:tab/>
      </w:r>
      <w:r>
        <w:tab/>
      </w:r>
      <w:r w:rsidRPr="00EF1907">
        <w:t xml:space="preserve"> </w:t>
      </w:r>
    </w:p>
    <w:p w:rsidR="00681907" w:rsidRDefault="00611DCE" w:rsidP="00FA536D">
      <w:pPr>
        <w:jc w:val="left"/>
        <w:rPr>
          <w:color w:val="000000"/>
        </w:rPr>
      </w:pPr>
      <w:r>
        <w:rPr>
          <w:color w:val="000000"/>
        </w:rPr>
        <w:tab/>
      </w:r>
      <w:r>
        <w:rPr>
          <w:color w:val="000000"/>
        </w:rPr>
        <w:tab/>
      </w:r>
      <w:r w:rsidR="00682D6C">
        <w:rPr>
          <w:color w:val="000000"/>
        </w:rPr>
        <w:t>Complainant denies that</w:t>
      </w:r>
      <w:r w:rsidR="000E2650">
        <w:rPr>
          <w:color w:val="000000"/>
        </w:rPr>
        <w:t xml:space="preserve"> he committed theft of service, </w:t>
      </w:r>
      <w:r w:rsidR="003F7B00">
        <w:rPr>
          <w:color w:val="000000"/>
        </w:rPr>
        <w:t>and was un</w:t>
      </w:r>
      <w:r w:rsidR="000E2650">
        <w:rPr>
          <w:color w:val="000000"/>
        </w:rPr>
        <w:t>aware of any gas service</w:t>
      </w:r>
      <w:r w:rsidR="001042E2">
        <w:rPr>
          <w:color w:val="000000"/>
        </w:rPr>
        <w:t xml:space="preserve"> or gas apparatus</w:t>
      </w:r>
      <w:r w:rsidR="000E2650">
        <w:rPr>
          <w:color w:val="000000"/>
        </w:rPr>
        <w:t xml:space="preserve"> at the property.  </w:t>
      </w:r>
      <w:r w:rsidR="006D5BFA">
        <w:rPr>
          <w:color w:val="000000"/>
        </w:rPr>
        <w:t>Whether</w:t>
      </w:r>
      <w:r w:rsidR="007C22D8">
        <w:rPr>
          <w:color w:val="000000"/>
        </w:rPr>
        <w:t xml:space="preserve"> Complainant </w:t>
      </w:r>
      <w:r w:rsidR="00FA536D">
        <w:rPr>
          <w:color w:val="000000"/>
        </w:rPr>
        <w:t>can be charged for unauthorized use</w:t>
      </w:r>
      <w:r w:rsidR="007C22D8">
        <w:rPr>
          <w:color w:val="000000"/>
        </w:rPr>
        <w:t xml:space="preserve"> of service at the property</w:t>
      </w:r>
      <w:r w:rsidR="006D5BFA">
        <w:rPr>
          <w:color w:val="000000"/>
        </w:rPr>
        <w:t xml:space="preserve"> is an issue of material fact that can be addressed at the evidentiary hearing.</w:t>
      </w:r>
    </w:p>
    <w:p w:rsidR="004A0E70" w:rsidRPr="004A0E70" w:rsidRDefault="004A0E70" w:rsidP="00A57163">
      <w:pPr>
        <w:jc w:val="left"/>
        <w:rPr>
          <w:color w:val="000000"/>
        </w:rPr>
      </w:pPr>
    </w:p>
    <w:p w:rsidR="00A57163" w:rsidRDefault="00BA7146" w:rsidP="00A57163">
      <w:pPr>
        <w:jc w:val="left"/>
        <w:rPr>
          <w:color w:val="000000"/>
          <w:u w:val="single"/>
        </w:rPr>
      </w:pPr>
      <w:r>
        <w:rPr>
          <w:color w:val="000000"/>
          <w:u w:val="single"/>
        </w:rPr>
        <w:t>Trespass</w:t>
      </w:r>
      <w:r w:rsidR="00330D00">
        <w:rPr>
          <w:color w:val="000000"/>
          <w:u w:val="single"/>
        </w:rPr>
        <w:t xml:space="preserve">, Burglary, </w:t>
      </w:r>
      <w:r w:rsidR="00330D00" w:rsidRPr="00A57163">
        <w:rPr>
          <w:color w:val="000000"/>
          <w:u w:val="single"/>
        </w:rPr>
        <w:t>and Destruction of Property</w:t>
      </w:r>
    </w:p>
    <w:p w:rsidR="00201949" w:rsidRPr="00330D00" w:rsidRDefault="00201949" w:rsidP="00A57163">
      <w:pPr>
        <w:jc w:val="left"/>
      </w:pPr>
    </w:p>
    <w:p w:rsidR="00FA6AB0" w:rsidRDefault="00173130" w:rsidP="009E30DD">
      <w:pPr>
        <w:jc w:val="left"/>
      </w:pPr>
      <w:r>
        <w:tab/>
      </w:r>
      <w:r>
        <w:tab/>
        <w:t>C</w:t>
      </w:r>
      <w:r w:rsidR="005F41BF">
        <w:t>omplainant has alleged that PGW</w:t>
      </w:r>
      <w:r>
        <w:t xml:space="preserve"> trespassed on his property, </w:t>
      </w:r>
      <w:r w:rsidR="000A67AC">
        <w:t>committed burglary</w:t>
      </w:r>
      <w:r w:rsidR="004A666A">
        <w:t xml:space="preserve"> when it entered his property</w:t>
      </w:r>
      <w:r w:rsidR="000A67AC">
        <w:t>, destroyed his property</w:t>
      </w:r>
      <w:r w:rsidR="004A666A">
        <w:t xml:space="preserve"> when it dismantled </w:t>
      </w:r>
      <w:r w:rsidR="00882EF1">
        <w:t xml:space="preserve">and removed </w:t>
      </w:r>
    </w:p>
    <w:p w:rsidR="00EC6627" w:rsidRPr="006604DC" w:rsidRDefault="004A666A" w:rsidP="006604DC">
      <w:pPr>
        <w:jc w:val="left"/>
      </w:pPr>
      <w:proofErr w:type="gramStart"/>
      <w:r>
        <w:t>piping</w:t>
      </w:r>
      <w:proofErr w:type="gramEnd"/>
      <w:r>
        <w:t xml:space="preserve"> therein</w:t>
      </w:r>
      <w:r w:rsidR="000A67AC">
        <w:t xml:space="preserve">, </w:t>
      </w:r>
      <w:r w:rsidR="00173130">
        <w:t>and acted unreasonably by threatening and forcing a third party to grant PGW’s agents access to the property</w:t>
      </w:r>
      <w:r w:rsidR="00CA6713" w:rsidRPr="00CA6713">
        <w:t xml:space="preserve"> </w:t>
      </w:r>
      <w:r w:rsidR="00CA6713">
        <w:t>without his consent</w:t>
      </w:r>
      <w:r w:rsidR="00173130">
        <w:t>.</w:t>
      </w:r>
      <w:r w:rsidR="000A5FF8">
        <w:rPr>
          <w:rStyle w:val="FootnoteReference"/>
        </w:rPr>
        <w:footnoteReference w:id="1"/>
      </w:r>
      <w:r w:rsidR="00173130">
        <w:t xml:space="preserve">  </w:t>
      </w:r>
    </w:p>
    <w:p w:rsidR="00173130" w:rsidRPr="00EC6627" w:rsidRDefault="00173130" w:rsidP="009E30DD">
      <w:pPr>
        <w:jc w:val="left"/>
        <w:rPr>
          <w:color w:val="000000"/>
        </w:rPr>
      </w:pPr>
    </w:p>
    <w:p w:rsidR="000E2090" w:rsidRPr="000E2090" w:rsidRDefault="00A57163" w:rsidP="000E2090">
      <w:pPr>
        <w:jc w:val="left"/>
        <w:rPr>
          <w:color w:val="000000"/>
        </w:rPr>
      </w:pPr>
      <w:r>
        <w:rPr>
          <w:color w:val="000000"/>
        </w:rPr>
        <w:tab/>
      </w:r>
      <w:r>
        <w:rPr>
          <w:color w:val="000000"/>
        </w:rPr>
        <w:tab/>
      </w:r>
      <w:r w:rsidR="000E2090">
        <w:rPr>
          <w:color w:val="000000"/>
        </w:rPr>
        <w:t>All public utilities,</w:t>
      </w:r>
      <w:r w:rsidR="00084170">
        <w:rPr>
          <w:color w:val="000000"/>
        </w:rPr>
        <w:t xml:space="preserve"> </w:t>
      </w:r>
      <w:r w:rsidR="000E2090">
        <w:rPr>
          <w:color w:val="000000"/>
        </w:rPr>
        <w:t>including PGW, owe</w:t>
      </w:r>
      <w:r w:rsidR="000E2090" w:rsidRPr="000E2090">
        <w:rPr>
          <w:color w:val="000000"/>
        </w:rPr>
        <w:t xml:space="preserve"> a duty of reasonable care to </w:t>
      </w:r>
      <w:r w:rsidR="003C0474">
        <w:rPr>
          <w:color w:val="000000"/>
        </w:rPr>
        <w:t>their</w:t>
      </w:r>
      <w:r w:rsidR="000E2090">
        <w:rPr>
          <w:color w:val="000000"/>
        </w:rPr>
        <w:t xml:space="preserve"> customers and to </w:t>
      </w:r>
      <w:r w:rsidR="000E2090" w:rsidRPr="000E2090">
        <w:rPr>
          <w:color w:val="000000"/>
        </w:rPr>
        <w:t>all members of the public.</w:t>
      </w:r>
      <w:r w:rsidR="00FA536D">
        <w:rPr>
          <w:color w:val="000000"/>
        </w:rPr>
        <w:t xml:space="preserve">  </w:t>
      </w:r>
      <w:proofErr w:type="gramStart"/>
      <w:r w:rsidR="00FA536D">
        <w:rPr>
          <w:color w:val="000000"/>
        </w:rPr>
        <w:t>66 Pa.C.S.</w:t>
      </w:r>
      <w:proofErr w:type="gramEnd"/>
      <w:r w:rsidR="00FA536D">
        <w:rPr>
          <w:color w:val="000000"/>
        </w:rPr>
        <w:t xml:space="preserve"> § 1501.  Whether PGW performed its </w:t>
      </w:r>
      <w:r w:rsidR="00FA536D">
        <w:rPr>
          <w:color w:val="000000"/>
        </w:rPr>
        <w:lastRenderedPageBreak/>
        <w:t>duties in a manner consistent with this duty is an issue of material fact which is properly addressed at the evidentiary hearing.</w:t>
      </w:r>
    </w:p>
    <w:p w:rsidR="00A9548C" w:rsidRDefault="00A9548C" w:rsidP="00D943C3">
      <w:pPr>
        <w:ind w:firstLine="1440"/>
        <w:jc w:val="left"/>
      </w:pPr>
      <w:r>
        <w:t>An evidentiary hearing will be set to determine</w:t>
      </w:r>
      <w:r w:rsidR="00096590">
        <w:t xml:space="preserve"> (1)</w:t>
      </w:r>
      <w:r>
        <w:t xml:space="preserve"> whether </w:t>
      </w:r>
      <w:r w:rsidR="00096590">
        <w:t xml:space="preserve">Complainant </w:t>
      </w:r>
      <w:r w:rsidR="00FA536D">
        <w:t>was properly billed for unauthorized use</w:t>
      </w:r>
      <w:r w:rsidR="00096590">
        <w:t xml:space="preserve"> </w:t>
      </w:r>
      <w:r w:rsidR="00CE42A4">
        <w:t>of service</w:t>
      </w:r>
      <w:r w:rsidR="00096590">
        <w:t xml:space="preserve">, and (2) whether </w:t>
      </w:r>
      <w:r>
        <w:t xml:space="preserve">PGW acted reasonably </w:t>
      </w:r>
      <w:r w:rsidR="00A82046">
        <w:t xml:space="preserve">when </w:t>
      </w:r>
      <w:r>
        <w:t xml:space="preserve">responding to the </w:t>
      </w:r>
      <w:r w:rsidR="00096590">
        <w:t>report</w:t>
      </w:r>
      <w:r>
        <w:t xml:space="preserve"> </w:t>
      </w:r>
      <w:r w:rsidR="001A6FAD">
        <w:t xml:space="preserve">alleging </w:t>
      </w:r>
      <w:r w:rsidR="00B908E0">
        <w:t>theft of service</w:t>
      </w:r>
      <w:r w:rsidR="009D6F9C">
        <w:t xml:space="preserve"> at the property</w:t>
      </w:r>
      <w:r w:rsidR="00696F99">
        <w:t>.</w:t>
      </w:r>
      <w:r w:rsidR="007C53FC">
        <w:t xml:space="preserve">  </w:t>
      </w:r>
      <w:r w:rsidR="003B08B9">
        <w:t>An appropriate civil penalty, payable to the Commission, may be imposed i</w:t>
      </w:r>
      <w:r w:rsidR="007C53FC">
        <w:t xml:space="preserve">f it is determined that PGW violated Section 1501 </w:t>
      </w:r>
      <w:r w:rsidR="006E70C1">
        <w:t xml:space="preserve">or any other section </w:t>
      </w:r>
      <w:r w:rsidR="007C53FC">
        <w:t xml:space="preserve">of the Public Utility Code, </w:t>
      </w:r>
      <w:r w:rsidR="003B08B9">
        <w:t>Commission orders or regulations, or its own tariff.</w:t>
      </w:r>
    </w:p>
    <w:p w:rsidR="00D14480" w:rsidRPr="0021115D" w:rsidRDefault="00D14480" w:rsidP="00D943C3">
      <w:pPr>
        <w:ind w:firstLine="1440"/>
        <w:jc w:val="left"/>
      </w:pPr>
    </w:p>
    <w:p w:rsidR="00D943C3" w:rsidRDefault="00D943C3" w:rsidP="00D943C3">
      <w:pPr>
        <w:contextualSpacing/>
        <w:rPr>
          <w:u w:val="single"/>
        </w:rPr>
      </w:pPr>
      <w:r>
        <w:rPr>
          <w:u w:val="single"/>
        </w:rPr>
        <w:t>ORDER</w:t>
      </w:r>
    </w:p>
    <w:p w:rsidR="00D943C3" w:rsidRDefault="00D943C3" w:rsidP="00D943C3">
      <w:pPr>
        <w:contextualSpacing/>
        <w:rPr>
          <w:u w:val="single"/>
        </w:rPr>
      </w:pPr>
    </w:p>
    <w:p w:rsidR="00D943C3" w:rsidRDefault="00D943C3" w:rsidP="00D943C3">
      <w:pPr>
        <w:contextualSpacing/>
        <w:jc w:val="left"/>
      </w:pPr>
      <w:r>
        <w:tab/>
      </w:r>
      <w:r>
        <w:tab/>
        <w:t>THEREFORE,</w:t>
      </w:r>
    </w:p>
    <w:p w:rsidR="00D943C3" w:rsidRDefault="00D943C3" w:rsidP="00D943C3">
      <w:pPr>
        <w:contextualSpacing/>
        <w:jc w:val="left"/>
      </w:pPr>
    </w:p>
    <w:p w:rsidR="00D943C3" w:rsidRDefault="00D943C3" w:rsidP="00D943C3">
      <w:pPr>
        <w:contextualSpacing/>
        <w:jc w:val="left"/>
      </w:pPr>
      <w:r>
        <w:tab/>
      </w:r>
      <w:r>
        <w:tab/>
        <w:t>IT IS ORDERED:</w:t>
      </w:r>
    </w:p>
    <w:p w:rsidR="00D943C3" w:rsidRDefault="00D943C3" w:rsidP="00D943C3">
      <w:pPr>
        <w:contextualSpacing/>
        <w:jc w:val="left"/>
      </w:pPr>
    </w:p>
    <w:p w:rsidR="00D943C3" w:rsidRDefault="00D943C3" w:rsidP="00987F28">
      <w:pPr>
        <w:jc w:val="left"/>
      </w:pPr>
      <w:r>
        <w:tab/>
      </w:r>
      <w:r>
        <w:tab/>
        <w:t>1.</w:t>
      </w:r>
      <w:r>
        <w:tab/>
        <w:t xml:space="preserve">That the Preliminary Objections of Philadelphia Gas Works filed in the case captioned </w:t>
      </w:r>
      <w:r w:rsidR="00CD777A">
        <w:rPr>
          <w:i/>
        </w:rPr>
        <w:t>Tarik Nasir</w:t>
      </w:r>
      <w:r>
        <w:rPr>
          <w:i/>
        </w:rPr>
        <w:t xml:space="preserve"> v. Philadelphia Gas Works, </w:t>
      </w:r>
      <w:r>
        <w:t xml:space="preserve">Docket No. </w:t>
      </w:r>
      <w:r w:rsidR="00CD777A">
        <w:t>C-2015-2473899</w:t>
      </w:r>
      <w:r w:rsidR="00410DA1">
        <w:t>, are granted insofar as they address the Commission’s subject matter jurisdiction over municipal liens.</w:t>
      </w:r>
    </w:p>
    <w:p w:rsidR="00D943C3" w:rsidRDefault="00D943C3" w:rsidP="00987F28">
      <w:pPr>
        <w:contextualSpacing/>
        <w:jc w:val="left"/>
      </w:pPr>
    </w:p>
    <w:p w:rsidR="00D943C3" w:rsidRDefault="00D943C3" w:rsidP="00987F28">
      <w:pPr>
        <w:jc w:val="left"/>
      </w:pPr>
      <w:r>
        <w:tab/>
      </w:r>
      <w:r>
        <w:tab/>
        <w:t>2.</w:t>
      </w:r>
      <w:r>
        <w:tab/>
      </w:r>
      <w:r w:rsidR="00410DA1">
        <w:t xml:space="preserve">That the Preliminary Objections of Philadelphia Gas Works filed in the case captioned </w:t>
      </w:r>
      <w:r w:rsidR="00410DA1">
        <w:rPr>
          <w:i/>
        </w:rPr>
        <w:t xml:space="preserve">Tarik Nasir v. Philadelphia Gas Works, </w:t>
      </w:r>
      <w:r w:rsidR="00410DA1">
        <w:t>Docket No. C-2015-2473899, are denied insofar as they seek to dismiss the Complaint.</w:t>
      </w:r>
    </w:p>
    <w:p w:rsidR="00D943C3" w:rsidRDefault="00D943C3" w:rsidP="00D943C3">
      <w:pPr>
        <w:contextualSpacing/>
        <w:jc w:val="left"/>
      </w:pPr>
    </w:p>
    <w:p w:rsidR="00D943C3" w:rsidRDefault="00D943C3" w:rsidP="00D943C3">
      <w:pPr>
        <w:contextualSpacing/>
        <w:jc w:val="left"/>
      </w:pPr>
      <w:r>
        <w:tab/>
      </w:r>
      <w:r>
        <w:tab/>
        <w:t>3.</w:t>
      </w:r>
      <w:r>
        <w:tab/>
        <w:t xml:space="preserve">That the </w:t>
      </w:r>
      <w:r w:rsidR="00410DA1">
        <w:t>case be set for hearing.</w:t>
      </w:r>
    </w:p>
    <w:p w:rsidR="00D943C3" w:rsidRDefault="00D943C3" w:rsidP="00D943C3">
      <w:pPr>
        <w:contextualSpacing/>
        <w:jc w:val="left"/>
      </w:pPr>
    </w:p>
    <w:p w:rsidR="00D943C3" w:rsidRDefault="00D943C3" w:rsidP="00D943C3">
      <w:pPr>
        <w:spacing w:line="240" w:lineRule="auto"/>
        <w:contextualSpacing/>
        <w:jc w:val="left"/>
      </w:pPr>
      <w:r>
        <w:t>Dated:</w:t>
      </w:r>
      <w:r>
        <w:tab/>
      </w:r>
      <w:r w:rsidR="00410DA1">
        <w:rPr>
          <w:u w:val="single"/>
        </w:rPr>
        <w:t xml:space="preserve">May </w:t>
      </w:r>
      <w:r w:rsidR="00FA536D">
        <w:rPr>
          <w:u w:val="single"/>
        </w:rPr>
        <w:t>8</w:t>
      </w:r>
      <w:r w:rsidR="00410DA1">
        <w:rPr>
          <w:u w:val="single"/>
        </w:rPr>
        <w:t>,</w:t>
      </w:r>
      <w:r w:rsidR="00CD777A">
        <w:rPr>
          <w:u w:val="single"/>
        </w:rPr>
        <w:t xml:space="preserve"> 2015</w:t>
      </w:r>
      <w:r w:rsidR="00410DA1" w:rsidRPr="00410DA1">
        <w:tab/>
      </w:r>
      <w:r>
        <w:tab/>
      </w:r>
      <w:r>
        <w:tab/>
      </w:r>
      <w:r>
        <w:tab/>
      </w:r>
      <w:r>
        <w:tab/>
      </w:r>
      <w:r>
        <w:tab/>
        <w:t>______________________________</w:t>
      </w:r>
      <w:r>
        <w:tab/>
      </w:r>
      <w:r>
        <w:tab/>
      </w:r>
      <w:r>
        <w:tab/>
      </w:r>
      <w:r>
        <w:tab/>
      </w:r>
      <w:r>
        <w:tab/>
      </w:r>
      <w:r>
        <w:tab/>
      </w:r>
      <w:r>
        <w:tab/>
      </w:r>
      <w:r>
        <w:tab/>
        <w:t>Susan D. Colwell</w:t>
      </w:r>
    </w:p>
    <w:p w:rsidR="007D4AFE" w:rsidRDefault="00D943C3" w:rsidP="008A52B4">
      <w:pPr>
        <w:spacing w:line="240" w:lineRule="auto"/>
        <w:contextualSpacing/>
        <w:jc w:val="left"/>
        <w:sectPr w:rsidR="007D4AFE" w:rsidSect="00C0306B">
          <w:footerReference w:type="default" r:id="rId8"/>
          <w:pgSz w:w="12240" w:h="15840"/>
          <w:pgMar w:top="1440" w:right="1440" w:bottom="1440" w:left="1440" w:header="720" w:footer="720" w:gutter="0"/>
          <w:cols w:space="720"/>
          <w:titlePg/>
          <w:docGrid w:linePitch="360"/>
        </w:sectPr>
      </w:pPr>
      <w:r>
        <w:tab/>
      </w:r>
      <w:r>
        <w:tab/>
      </w:r>
      <w:r>
        <w:tab/>
      </w:r>
      <w:r>
        <w:tab/>
      </w:r>
      <w:r>
        <w:tab/>
      </w:r>
      <w:r>
        <w:tab/>
      </w:r>
      <w:r>
        <w:tab/>
      </w:r>
      <w:r>
        <w:tab/>
        <w:t>Administrative Law Judge</w:t>
      </w:r>
      <w:r>
        <w:tab/>
      </w:r>
    </w:p>
    <w:p w:rsidR="007D4AFE" w:rsidRPr="007D4AFE" w:rsidRDefault="007D4AFE" w:rsidP="007D4AFE">
      <w:pPr>
        <w:spacing w:line="240" w:lineRule="auto"/>
        <w:contextualSpacing/>
        <w:jc w:val="left"/>
        <w:rPr>
          <w:rFonts w:ascii="Microsoft Sans Serif" w:eastAsia="Times New Roman" w:hAnsi="Calibri"/>
          <w:b/>
          <w:szCs w:val="22"/>
        </w:rPr>
      </w:pPr>
      <w:r w:rsidRPr="007D4AFE">
        <w:rPr>
          <w:rFonts w:ascii="Microsoft Sans Serif" w:eastAsia="Times New Roman" w:hAnsi="Calibri"/>
          <w:b/>
          <w:szCs w:val="22"/>
          <w:u w:val="single"/>
        </w:rPr>
        <w:lastRenderedPageBreak/>
        <w:t>C-2015-2473899 - TARIK NASIR v. PHILADELPHIA GAS WORKS</w:t>
      </w:r>
      <w:r w:rsidRPr="007D4AFE">
        <w:rPr>
          <w:rFonts w:ascii="Microsoft Sans Serif" w:eastAsia="Times New Roman" w:hAnsi="Calibri"/>
          <w:b/>
          <w:szCs w:val="22"/>
          <w:u w:val="single"/>
        </w:rPr>
        <w:cr/>
      </w:r>
      <w:r w:rsidRPr="007D4AFE">
        <w:rPr>
          <w:rFonts w:ascii="Microsoft Sans Serif" w:eastAsia="Times New Roman" w:hAnsi="Calibri"/>
          <w:b/>
          <w:szCs w:val="22"/>
          <w:u w:val="single"/>
        </w:rPr>
        <w:cr/>
      </w:r>
      <w:r w:rsidRPr="007D4AFE">
        <w:rPr>
          <w:rFonts w:ascii="Microsoft Sans Serif" w:eastAsia="Times New Roman" w:hAnsi="Calibri"/>
          <w:szCs w:val="22"/>
        </w:rPr>
        <w:t>TARIK NASIR</w:t>
      </w:r>
      <w:r w:rsidRPr="007D4AFE">
        <w:rPr>
          <w:rFonts w:ascii="Microsoft Sans Serif" w:eastAsia="Times New Roman" w:hAnsi="Calibri"/>
          <w:szCs w:val="22"/>
        </w:rPr>
        <w:cr/>
        <w:t>1508 W SEYBERT STREET</w:t>
      </w:r>
      <w:r w:rsidRPr="007D4AFE">
        <w:rPr>
          <w:rFonts w:ascii="Microsoft Sans Serif" w:eastAsia="Times New Roman" w:hAnsi="Calibri"/>
          <w:szCs w:val="22"/>
        </w:rPr>
        <w:cr/>
        <w:t>PHILADELPHIA PA  19121</w:t>
      </w:r>
      <w:r w:rsidRPr="007D4AFE">
        <w:rPr>
          <w:rFonts w:ascii="Microsoft Sans Serif" w:eastAsia="Times New Roman" w:hAnsi="Calibri"/>
          <w:szCs w:val="22"/>
        </w:rPr>
        <w:cr/>
      </w:r>
      <w:r w:rsidRPr="007D4AFE">
        <w:rPr>
          <w:rFonts w:ascii="Microsoft Sans Serif" w:eastAsia="Times New Roman" w:hAnsi="Calibri"/>
          <w:b/>
          <w:szCs w:val="22"/>
        </w:rPr>
        <w:t>267.350.8701</w:t>
      </w:r>
    </w:p>
    <w:p w:rsidR="007D4AFE" w:rsidRPr="007D4AFE" w:rsidRDefault="007D4AFE" w:rsidP="007D4AFE">
      <w:pPr>
        <w:spacing w:line="240" w:lineRule="auto"/>
        <w:contextualSpacing/>
        <w:jc w:val="left"/>
        <w:rPr>
          <w:rFonts w:ascii="Microsoft Sans Serif" w:eastAsia="Times New Roman" w:hAnsi="Calibri"/>
          <w:i/>
          <w:szCs w:val="22"/>
        </w:rPr>
      </w:pPr>
      <w:r w:rsidRPr="007D4AFE">
        <w:rPr>
          <w:rFonts w:ascii="Microsoft Sans Serif" w:eastAsia="Times New Roman" w:hAnsi="Calibri"/>
          <w:i/>
          <w:szCs w:val="22"/>
        </w:rPr>
        <w:t>Accepts E-service</w:t>
      </w:r>
    </w:p>
    <w:p w:rsidR="007D4AFE" w:rsidRPr="007D4AFE" w:rsidRDefault="007D4AFE" w:rsidP="007D4AFE">
      <w:pPr>
        <w:spacing w:line="240" w:lineRule="auto"/>
        <w:contextualSpacing/>
        <w:jc w:val="left"/>
        <w:rPr>
          <w:rFonts w:ascii="Microsoft Sans Serif" w:eastAsia="Times New Roman" w:hAnsi="Calibri"/>
          <w:b/>
          <w:szCs w:val="22"/>
        </w:rPr>
      </w:pPr>
    </w:p>
    <w:p w:rsidR="007D4AFE" w:rsidRPr="007D4AFE" w:rsidRDefault="007D4AFE" w:rsidP="007D4AFE">
      <w:pPr>
        <w:spacing w:line="240" w:lineRule="auto"/>
        <w:contextualSpacing/>
        <w:jc w:val="left"/>
        <w:rPr>
          <w:rFonts w:ascii="Microsoft Sans Serif" w:eastAsia="Times New Roman" w:hAnsi="Calibri"/>
          <w:szCs w:val="22"/>
        </w:rPr>
      </w:pPr>
      <w:r w:rsidRPr="007D4AFE">
        <w:rPr>
          <w:rFonts w:ascii="Microsoft Sans Serif" w:eastAsia="Times New Roman" w:hAnsi="Calibri"/>
          <w:szCs w:val="22"/>
        </w:rPr>
        <w:t>LAURETO FARINAS ESQUIRE</w:t>
      </w:r>
      <w:r w:rsidRPr="007D4AFE">
        <w:rPr>
          <w:rFonts w:ascii="Microsoft Sans Serif" w:eastAsia="Times New Roman" w:hAnsi="Calibri"/>
          <w:szCs w:val="22"/>
        </w:rPr>
        <w:cr/>
        <w:t>PHILADELPHIA GAS WORKS</w:t>
      </w:r>
      <w:r w:rsidRPr="007D4AFE">
        <w:rPr>
          <w:rFonts w:ascii="Microsoft Sans Serif" w:eastAsia="Times New Roman" w:hAnsi="Calibri"/>
          <w:szCs w:val="22"/>
        </w:rPr>
        <w:cr/>
        <w:t>4TH FLOOR</w:t>
      </w:r>
      <w:r w:rsidRPr="007D4AFE">
        <w:rPr>
          <w:rFonts w:ascii="Microsoft Sans Serif" w:eastAsia="Times New Roman" w:hAnsi="Calibri"/>
          <w:szCs w:val="22"/>
        </w:rPr>
        <w:cr/>
        <w:t>800 W MONTGOMERY AVENUE</w:t>
      </w:r>
      <w:r w:rsidRPr="007D4AFE">
        <w:rPr>
          <w:rFonts w:ascii="Microsoft Sans Serif" w:eastAsia="Times New Roman" w:hAnsi="Calibri"/>
          <w:szCs w:val="22"/>
        </w:rPr>
        <w:cr/>
        <w:t>PHILADELPHIA PA  19122</w:t>
      </w:r>
      <w:r w:rsidRPr="007D4AFE">
        <w:rPr>
          <w:rFonts w:ascii="Microsoft Sans Serif" w:eastAsia="Times New Roman" w:hAnsi="Calibri"/>
          <w:szCs w:val="22"/>
        </w:rPr>
        <w:cr/>
      </w:r>
      <w:r w:rsidRPr="007D4AFE">
        <w:rPr>
          <w:rFonts w:ascii="Microsoft Sans Serif" w:eastAsia="Times New Roman" w:hAnsi="Calibri"/>
          <w:b/>
          <w:szCs w:val="22"/>
        </w:rPr>
        <w:t>215.684.6982</w:t>
      </w:r>
    </w:p>
    <w:p w:rsidR="007D4AFE" w:rsidRPr="007D4AFE" w:rsidRDefault="007D4AFE" w:rsidP="007D4AFE">
      <w:pPr>
        <w:spacing w:line="240" w:lineRule="auto"/>
        <w:contextualSpacing/>
        <w:jc w:val="left"/>
        <w:rPr>
          <w:rFonts w:ascii="Microsoft Sans Serif" w:eastAsia="Times New Roman" w:hAnsi="Calibri"/>
          <w:i/>
          <w:szCs w:val="22"/>
        </w:rPr>
      </w:pPr>
      <w:r w:rsidRPr="007D4AFE">
        <w:rPr>
          <w:rFonts w:ascii="Microsoft Sans Serif" w:eastAsia="Times New Roman" w:hAnsi="Calibri"/>
          <w:i/>
          <w:szCs w:val="22"/>
        </w:rPr>
        <w:t>Accepts E-service</w:t>
      </w:r>
    </w:p>
    <w:p w:rsidR="00D943C3" w:rsidRPr="00D943C3" w:rsidRDefault="007D4AFE" w:rsidP="007D4AFE">
      <w:pPr>
        <w:spacing w:line="240" w:lineRule="auto"/>
        <w:contextualSpacing/>
        <w:jc w:val="left"/>
      </w:pPr>
      <w:r w:rsidRPr="007D4AFE">
        <w:rPr>
          <w:rFonts w:ascii="Microsoft Sans Serif" w:eastAsia="Times New Roman" w:hAnsi="Calibri"/>
          <w:i/>
          <w:szCs w:val="22"/>
        </w:rPr>
        <w:t>Representing</w:t>
      </w:r>
      <w:bookmarkStart w:id="3" w:name="_GoBack"/>
      <w:bookmarkEnd w:id="3"/>
    </w:p>
    <w:sectPr w:rsidR="00D943C3" w:rsidRPr="00D943C3" w:rsidSect="00C0306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E46" w:rsidRDefault="006C1E46" w:rsidP="00D943C3">
      <w:pPr>
        <w:spacing w:line="240" w:lineRule="auto"/>
      </w:pPr>
      <w:r>
        <w:separator/>
      </w:r>
    </w:p>
  </w:endnote>
  <w:endnote w:type="continuationSeparator" w:id="0">
    <w:p w:rsidR="006C1E46" w:rsidRDefault="006C1E46" w:rsidP="00D943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6B" w:rsidRDefault="00C0306B">
    <w:pPr>
      <w:pStyle w:val="Footer"/>
    </w:pPr>
    <w:r>
      <w:fldChar w:fldCharType="begin"/>
    </w:r>
    <w:r>
      <w:instrText xml:space="preserve"> PAGE   \* MERGEFORMAT </w:instrText>
    </w:r>
    <w:r>
      <w:fldChar w:fldCharType="separate"/>
    </w:r>
    <w:r w:rsidR="007D4AFE">
      <w:rPr>
        <w:noProof/>
      </w:rPr>
      <w:t>9</w:t>
    </w:r>
    <w:r>
      <w:fldChar w:fldCharType="end"/>
    </w:r>
  </w:p>
  <w:p w:rsidR="00C0306B" w:rsidRDefault="00C030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E46" w:rsidRDefault="006C1E46" w:rsidP="00FA6AB0">
      <w:pPr>
        <w:spacing w:line="240" w:lineRule="auto"/>
        <w:jc w:val="left"/>
      </w:pPr>
      <w:r>
        <w:separator/>
      </w:r>
    </w:p>
  </w:footnote>
  <w:footnote w:type="continuationSeparator" w:id="0">
    <w:p w:rsidR="006C1E46" w:rsidRDefault="006C1E46" w:rsidP="00D943C3">
      <w:pPr>
        <w:spacing w:line="240" w:lineRule="auto"/>
      </w:pPr>
      <w:r>
        <w:continuationSeparator/>
      </w:r>
    </w:p>
  </w:footnote>
  <w:footnote w:id="1">
    <w:p w:rsidR="000A5FF8" w:rsidRDefault="000A5FF8">
      <w:pPr>
        <w:pStyle w:val="FootnoteText"/>
      </w:pPr>
      <w:r>
        <w:rPr>
          <w:rStyle w:val="FootnoteReference"/>
        </w:rPr>
        <w:footnoteRef/>
      </w:r>
      <w:r w:rsidR="00DF5BCA">
        <w:rPr>
          <w:sz w:val="20"/>
          <w:szCs w:val="20"/>
        </w:rPr>
        <w:t xml:space="preserve"> </w:t>
      </w:r>
      <w:r w:rsidR="00AB4DF8">
        <w:rPr>
          <w:sz w:val="20"/>
          <w:szCs w:val="20"/>
        </w:rPr>
        <w:tab/>
      </w:r>
      <w:r w:rsidR="005375E5" w:rsidRPr="005375E5">
        <w:rPr>
          <w:sz w:val="20"/>
          <w:szCs w:val="20"/>
        </w:rPr>
        <w:t>The Commission has stated consistently that it is not the proper forum for resolving property rights controversies.  Real property issues</w:t>
      </w:r>
      <w:r w:rsidR="007874BB">
        <w:rPr>
          <w:sz w:val="20"/>
          <w:szCs w:val="20"/>
        </w:rPr>
        <w:t>,</w:t>
      </w:r>
      <w:r w:rsidR="005375E5" w:rsidRPr="005375E5">
        <w:rPr>
          <w:sz w:val="20"/>
          <w:szCs w:val="20"/>
        </w:rPr>
        <w:t xml:space="preserve"> such as trespass</w:t>
      </w:r>
      <w:r w:rsidR="007874BB">
        <w:rPr>
          <w:sz w:val="20"/>
          <w:szCs w:val="20"/>
        </w:rPr>
        <w:t>,</w:t>
      </w:r>
      <w:r w:rsidR="005375E5" w:rsidRPr="005375E5">
        <w:rPr>
          <w:sz w:val="20"/>
          <w:szCs w:val="20"/>
        </w:rPr>
        <w:t xml:space="preserve"> are within the exclusive jurisdiction of the Courts of Common Pleas.  </w:t>
      </w:r>
      <w:proofErr w:type="spellStart"/>
      <w:r w:rsidR="005375E5" w:rsidRPr="005375E5">
        <w:rPr>
          <w:i/>
          <w:sz w:val="20"/>
          <w:szCs w:val="20"/>
        </w:rPr>
        <w:t>Shedlosky</w:t>
      </w:r>
      <w:proofErr w:type="spellEnd"/>
      <w:r w:rsidR="005375E5" w:rsidRPr="005375E5">
        <w:rPr>
          <w:i/>
          <w:sz w:val="20"/>
          <w:szCs w:val="20"/>
        </w:rPr>
        <w:t xml:space="preserve"> v. Pennsylvania Electric Co.</w:t>
      </w:r>
      <w:r w:rsidR="005375E5" w:rsidRPr="005375E5">
        <w:rPr>
          <w:sz w:val="20"/>
          <w:szCs w:val="20"/>
        </w:rPr>
        <w:t xml:space="preserve">, Docket No. C-20066937 (May 28, 2008).  Likewise, it is the province of the courts, not the Commission, to make determinations regarding causes of action (such as burglary and destruction of property) that do not require the Commission’s specialized knowledge.  Such cases can be fully and adequately addressed before the courts.  </w:t>
      </w:r>
      <w:proofErr w:type="gramStart"/>
      <w:r w:rsidR="005375E5" w:rsidRPr="005375E5">
        <w:rPr>
          <w:i/>
          <w:sz w:val="20"/>
          <w:szCs w:val="20"/>
        </w:rPr>
        <w:t>DeFrancesco v. Western Pennsylvania Water Co</w:t>
      </w:r>
      <w:r w:rsidR="005375E5" w:rsidRPr="005375E5">
        <w:rPr>
          <w:sz w:val="20"/>
          <w:szCs w:val="20"/>
        </w:rPr>
        <w:t>., 499 Pa. 374 (1982).</w:t>
      </w:r>
      <w:proofErr w:type="gramEnd"/>
      <w:r w:rsidR="005375E5" w:rsidRPr="005375E5">
        <w:rPr>
          <w:sz w:val="20"/>
          <w:szCs w:val="20"/>
        </w:rPr>
        <w:t xml:space="preserve">  </w:t>
      </w:r>
      <w:r w:rsidR="00112A79">
        <w:rPr>
          <w:sz w:val="20"/>
          <w:szCs w:val="20"/>
        </w:rPr>
        <w:t>Therefore, these causes of action will not be addressed in this order or at the evidentiary hearing.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F83"/>
    <w:rsid w:val="00001E3A"/>
    <w:rsid w:val="00001EF6"/>
    <w:rsid w:val="00003BD4"/>
    <w:rsid w:val="00003D11"/>
    <w:rsid w:val="00004AA3"/>
    <w:rsid w:val="00005558"/>
    <w:rsid w:val="00007099"/>
    <w:rsid w:val="000079FE"/>
    <w:rsid w:val="00011006"/>
    <w:rsid w:val="00012104"/>
    <w:rsid w:val="0001305A"/>
    <w:rsid w:val="00014D74"/>
    <w:rsid w:val="00016E55"/>
    <w:rsid w:val="0002105C"/>
    <w:rsid w:val="000231F0"/>
    <w:rsid w:val="00025D7A"/>
    <w:rsid w:val="000315E4"/>
    <w:rsid w:val="00032379"/>
    <w:rsid w:val="0003306B"/>
    <w:rsid w:val="00033303"/>
    <w:rsid w:val="00034357"/>
    <w:rsid w:val="00035BB8"/>
    <w:rsid w:val="00040EB6"/>
    <w:rsid w:val="00044B8B"/>
    <w:rsid w:val="00044FC0"/>
    <w:rsid w:val="0004643F"/>
    <w:rsid w:val="00046714"/>
    <w:rsid w:val="000478E2"/>
    <w:rsid w:val="000541C0"/>
    <w:rsid w:val="0005423F"/>
    <w:rsid w:val="00055078"/>
    <w:rsid w:val="00055CC5"/>
    <w:rsid w:val="000576ED"/>
    <w:rsid w:val="000605B6"/>
    <w:rsid w:val="00061278"/>
    <w:rsid w:val="000634EB"/>
    <w:rsid w:val="00063801"/>
    <w:rsid w:val="00065096"/>
    <w:rsid w:val="000676B2"/>
    <w:rsid w:val="00067CBC"/>
    <w:rsid w:val="00070AA1"/>
    <w:rsid w:val="000724B2"/>
    <w:rsid w:val="00072595"/>
    <w:rsid w:val="00072D46"/>
    <w:rsid w:val="00073238"/>
    <w:rsid w:val="00073BE1"/>
    <w:rsid w:val="00073BEB"/>
    <w:rsid w:val="00074065"/>
    <w:rsid w:val="000753C5"/>
    <w:rsid w:val="00076092"/>
    <w:rsid w:val="00082363"/>
    <w:rsid w:val="00084170"/>
    <w:rsid w:val="000852E5"/>
    <w:rsid w:val="00085D02"/>
    <w:rsid w:val="00086449"/>
    <w:rsid w:val="000869DC"/>
    <w:rsid w:val="000902E3"/>
    <w:rsid w:val="0009096C"/>
    <w:rsid w:val="00091F08"/>
    <w:rsid w:val="0009220F"/>
    <w:rsid w:val="00092B4E"/>
    <w:rsid w:val="00092E44"/>
    <w:rsid w:val="0009318F"/>
    <w:rsid w:val="000931F7"/>
    <w:rsid w:val="00093562"/>
    <w:rsid w:val="00094E20"/>
    <w:rsid w:val="00096590"/>
    <w:rsid w:val="00097D77"/>
    <w:rsid w:val="000A2192"/>
    <w:rsid w:val="000A4551"/>
    <w:rsid w:val="000A5DEA"/>
    <w:rsid w:val="000A5FF8"/>
    <w:rsid w:val="000A652E"/>
    <w:rsid w:val="000A67AC"/>
    <w:rsid w:val="000A770B"/>
    <w:rsid w:val="000B1BFC"/>
    <w:rsid w:val="000B2D0C"/>
    <w:rsid w:val="000B3252"/>
    <w:rsid w:val="000B339A"/>
    <w:rsid w:val="000B7111"/>
    <w:rsid w:val="000C0311"/>
    <w:rsid w:val="000C2696"/>
    <w:rsid w:val="000C2A2B"/>
    <w:rsid w:val="000C34F3"/>
    <w:rsid w:val="000C4163"/>
    <w:rsid w:val="000C6960"/>
    <w:rsid w:val="000C6B6E"/>
    <w:rsid w:val="000C6EF0"/>
    <w:rsid w:val="000C7A4F"/>
    <w:rsid w:val="000D29BA"/>
    <w:rsid w:val="000D3E49"/>
    <w:rsid w:val="000D5763"/>
    <w:rsid w:val="000E06BC"/>
    <w:rsid w:val="000E2090"/>
    <w:rsid w:val="000E2650"/>
    <w:rsid w:val="000E2F36"/>
    <w:rsid w:val="000E44C4"/>
    <w:rsid w:val="000E49E6"/>
    <w:rsid w:val="000E7EF5"/>
    <w:rsid w:val="000F1890"/>
    <w:rsid w:val="000F2E5F"/>
    <w:rsid w:val="000F3E6B"/>
    <w:rsid w:val="000F47F1"/>
    <w:rsid w:val="000F678B"/>
    <w:rsid w:val="000F680A"/>
    <w:rsid w:val="000F78BE"/>
    <w:rsid w:val="0010080E"/>
    <w:rsid w:val="001011BE"/>
    <w:rsid w:val="001021FB"/>
    <w:rsid w:val="00102A77"/>
    <w:rsid w:val="0010420D"/>
    <w:rsid w:val="001042E2"/>
    <w:rsid w:val="00104518"/>
    <w:rsid w:val="001047A5"/>
    <w:rsid w:val="00106EE8"/>
    <w:rsid w:val="001077F1"/>
    <w:rsid w:val="00112A79"/>
    <w:rsid w:val="001155EF"/>
    <w:rsid w:val="00115BB6"/>
    <w:rsid w:val="00116578"/>
    <w:rsid w:val="0012035F"/>
    <w:rsid w:val="00120D02"/>
    <w:rsid w:val="00120DE8"/>
    <w:rsid w:val="00121291"/>
    <w:rsid w:val="001219A5"/>
    <w:rsid w:val="0012343C"/>
    <w:rsid w:val="00124101"/>
    <w:rsid w:val="00124D49"/>
    <w:rsid w:val="00126739"/>
    <w:rsid w:val="0012770C"/>
    <w:rsid w:val="0013068D"/>
    <w:rsid w:val="00135526"/>
    <w:rsid w:val="00140273"/>
    <w:rsid w:val="0014105E"/>
    <w:rsid w:val="00143142"/>
    <w:rsid w:val="00143C25"/>
    <w:rsid w:val="00145327"/>
    <w:rsid w:val="00146C15"/>
    <w:rsid w:val="00150084"/>
    <w:rsid w:val="00152FD8"/>
    <w:rsid w:val="001537E3"/>
    <w:rsid w:val="00153C39"/>
    <w:rsid w:val="00154F0C"/>
    <w:rsid w:val="0015569F"/>
    <w:rsid w:val="00155E87"/>
    <w:rsid w:val="0015737B"/>
    <w:rsid w:val="0015770A"/>
    <w:rsid w:val="00157E46"/>
    <w:rsid w:val="00162A12"/>
    <w:rsid w:val="00162D2F"/>
    <w:rsid w:val="0016521D"/>
    <w:rsid w:val="00170FE6"/>
    <w:rsid w:val="00171416"/>
    <w:rsid w:val="001719B3"/>
    <w:rsid w:val="00172857"/>
    <w:rsid w:val="00172B0B"/>
    <w:rsid w:val="00172E8C"/>
    <w:rsid w:val="00173130"/>
    <w:rsid w:val="00173570"/>
    <w:rsid w:val="00173C70"/>
    <w:rsid w:val="00174063"/>
    <w:rsid w:val="00174F7E"/>
    <w:rsid w:val="0017580D"/>
    <w:rsid w:val="00175F76"/>
    <w:rsid w:val="00176C44"/>
    <w:rsid w:val="00181AB1"/>
    <w:rsid w:val="001857EA"/>
    <w:rsid w:val="00186328"/>
    <w:rsid w:val="001868F5"/>
    <w:rsid w:val="001907AD"/>
    <w:rsid w:val="00190B2C"/>
    <w:rsid w:val="00191522"/>
    <w:rsid w:val="001917C9"/>
    <w:rsid w:val="00192EB5"/>
    <w:rsid w:val="001966CB"/>
    <w:rsid w:val="001967B9"/>
    <w:rsid w:val="001969A7"/>
    <w:rsid w:val="00196C5A"/>
    <w:rsid w:val="0019791B"/>
    <w:rsid w:val="00197E5D"/>
    <w:rsid w:val="00197F7F"/>
    <w:rsid w:val="001A0F84"/>
    <w:rsid w:val="001A103D"/>
    <w:rsid w:val="001A1644"/>
    <w:rsid w:val="001A216A"/>
    <w:rsid w:val="001A33F5"/>
    <w:rsid w:val="001A3A31"/>
    <w:rsid w:val="001A3D48"/>
    <w:rsid w:val="001A5421"/>
    <w:rsid w:val="001A63EC"/>
    <w:rsid w:val="001A6FAD"/>
    <w:rsid w:val="001A7F95"/>
    <w:rsid w:val="001B06B8"/>
    <w:rsid w:val="001B1B1D"/>
    <w:rsid w:val="001B3572"/>
    <w:rsid w:val="001B3D6F"/>
    <w:rsid w:val="001B4B2B"/>
    <w:rsid w:val="001B4EC8"/>
    <w:rsid w:val="001B6470"/>
    <w:rsid w:val="001B760E"/>
    <w:rsid w:val="001C035B"/>
    <w:rsid w:val="001C537D"/>
    <w:rsid w:val="001D05DB"/>
    <w:rsid w:val="001D0876"/>
    <w:rsid w:val="001D0F91"/>
    <w:rsid w:val="001D1F1B"/>
    <w:rsid w:val="001D4223"/>
    <w:rsid w:val="001D556B"/>
    <w:rsid w:val="001E262B"/>
    <w:rsid w:val="001E2642"/>
    <w:rsid w:val="001E3C9A"/>
    <w:rsid w:val="001E5447"/>
    <w:rsid w:val="001E5DF5"/>
    <w:rsid w:val="001E604F"/>
    <w:rsid w:val="001E6ED5"/>
    <w:rsid w:val="001E76FD"/>
    <w:rsid w:val="001E79A7"/>
    <w:rsid w:val="001F0835"/>
    <w:rsid w:val="001F09A7"/>
    <w:rsid w:val="001F1049"/>
    <w:rsid w:val="001F32AE"/>
    <w:rsid w:val="001F4882"/>
    <w:rsid w:val="001F6E43"/>
    <w:rsid w:val="001F6F77"/>
    <w:rsid w:val="001F71C5"/>
    <w:rsid w:val="001F74FC"/>
    <w:rsid w:val="001F77B2"/>
    <w:rsid w:val="002004A8"/>
    <w:rsid w:val="00201949"/>
    <w:rsid w:val="002019B1"/>
    <w:rsid w:val="00201E65"/>
    <w:rsid w:val="002075F8"/>
    <w:rsid w:val="0021024A"/>
    <w:rsid w:val="0021162B"/>
    <w:rsid w:val="002125E4"/>
    <w:rsid w:val="00215381"/>
    <w:rsid w:val="00215E40"/>
    <w:rsid w:val="002163B7"/>
    <w:rsid w:val="00216C32"/>
    <w:rsid w:val="00216F76"/>
    <w:rsid w:val="0021750E"/>
    <w:rsid w:val="0022017F"/>
    <w:rsid w:val="00220D97"/>
    <w:rsid w:val="00221A88"/>
    <w:rsid w:val="002241D0"/>
    <w:rsid w:val="00224756"/>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1E5A"/>
    <w:rsid w:val="00252DB6"/>
    <w:rsid w:val="00252F2A"/>
    <w:rsid w:val="0025351B"/>
    <w:rsid w:val="002546D8"/>
    <w:rsid w:val="002558A3"/>
    <w:rsid w:val="00256505"/>
    <w:rsid w:val="00260459"/>
    <w:rsid w:val="00260814"/>
    <w:rsid w:val="0026299C"/>
    <w:rsid w:val="00262A17"/>
    <w:rsid w:val="00262AF8"/>
    <w:rsid w:val="00263AD5"/>
    <w:rsid w:val="0026705F"/>
    <w:rsid w:val="002704DD"/>
    <w:rsid w:val="00270AF3"/>
    <w:rsid w:val="0027210A"/>
    <w:rsid w:val="002727F6"/>
    <w:rsid w:val="002748C2"/>
    <w:rsid w:val="002752C3"/>
    <w:rsid w:val="00277591"/>
    <w:rsid w:val="00283282"/>
    <w:rsid w:val="00284760"/>
    <w:rsid w:val="00287CB1"/>
    <w:rsid w:val="002908A5"/>
    <w:rsid w:val="0029096F"/>
    <w:rsid w:val="00290AD2"/>
    <w:rsid w:val="00290FAB"/>
    <w:rsid w:val="002933D3"/>
    <w:rsid w:val="0029353E"/>
    <w:rsid w:val="00293F4E"/>
    <w:rsid w:val="00293FE6"/>
    <w:rsid w:val="00297286"/>
    <w:rsid w:val="002A01A8"/>
    <w:rsid w:val="002A05C6"/>
    <w:rsid w:val="002A4E7E"/>
    <w:rsid w:val="002A5F4D"/>
    <w:rsid w:val="002A70E9"/>
    <w:rsid w:val="002A7A0A"/>
    <w:rsid w:val="002B3E20"/>
    <w:rsid w:val="002B541A"/>
    <w:rsid w:val="002B70C4"/>
    <w:rsid w:val="002B754D"/>
    <w:rsid w:val="002C1023"/>
    <w:rsid w:val="002C4F02"/>
    <w:rsid w:val="002C69AD"/>
    <w:rsid w:val="002C7B16"/>
    <w:rsid w:val="002D0E4D"/>
    <w:rsid w:val="002D11F2"/>
    <w:rsid w:val="002D1A28"/>
    <w:rsid w:val="002D29B0"/>
    <w:rsid w:val="002D54FE"/>
    <w:rsid w:val="002D7978"/>
    <w:rsid w:val="002E2283"/>
    <w:rsid w:val="002E7DDB"/>
    <w:rsid w:val="002F21B6"/>
    <w:rsid w:val="002F222D"/>
    <w:rsid w:val="002F42FC"/>
    <w:rsid w:val="002F44FC"/>
    <w:rsid w:val="002F5C03"/>
    <w:rsid w:val="002F6F4F"/>
    <w:rsid w:val="002F75DA"/>
    <w:rsid w:val="003023B5"/>
    <w:rsid w:val="00303761"/>
    <w:rsid w:val="00304AA1"/>
    <w:rsid w:val="00306C33"/>
    <w:rsid w:val="00311531"/>
    <w:rsid w:val="00312F06"/>
    <w:rsid w:val="00313595"/>
    <w:rsid w:val="0031425A"/>
    <w:rsid w:val="00314713"/>
    <w:rsid w:val="003149F5"/>
    <w:rsid w:val="003151E4"/>
    <w:rsid w:val="003156D7"/>
    <w:rsid w:val="00315FCE"/>
    <w:rsid w:val="00317261"/>
    <w:rsid w:val="0032130D"/>
    <w:rsid w:val="00321DB1"/>
    <w:rsid w:val="00326F3E"/>
    <w:rsid w:val="00330A67"/>
    <w:rsid w:val="00330D00"/>
    <w:rsid w:val="00332A51"/>
    <w:rsid w:val="00333ADD"/>
    <w:rsid w:val="00334C22"/>
    <w:rsid w:val="00334F62"/>
    <w:rsid w:val="003364EB"/>
    <w:rsid w:val="00336CE8"/>
    <w:rsid w:val="003425CF"/>
    <w:rsid w:val="0034272B"/>
    <w:rsid w:val="00342BFE"/>
    <w:rsid w:val="003437D8"/>
    <w:rsid w:val="00344C34"/>
    <w:rsid w:val="00345C65"/>
    <w:rsid w:val="00346679"/>
    <w:rsid w:val="003470E8"/>
    <w:rsid w:val="0035100D"/>
    <w:rsid w:val="00353A0E"/>
    <w:rsid w:val="00354574"/>
    <w:rsid w:val="003550C3"/>
    <w:rsid w:val="00356988"/>
    <w:rsid w:val="003601E1"/>
    <w:rsid w:val="003603C5"/>
    <w:rsid w:val="00360F5F"/>
    <w:rsid w:val="0036124A"/>
    <w:rsid w:val="0036153E"/>
    <w:rsid w:val="0036237C"/>
    <w:rsid w:val="003625F5"/>
    <w:rsid w:val="0036354B"/>
    <w:rsid w:val="003643C9"/>
    <w:rsid w:val="00364662"/>
    <w:rsid w:val="0036552D"/>
    <w:rsid w:val="003657F1"/>
    <w:rsid w:val="00365826"/>
    <w:rsid w:val="00365A2F"/>
    <w:rsid w:val="0036754C"/>
    <w:rsid w:val="00370D95"/>
    <w:rsid w:val="00375889"/>
    <w:rsid w:val="003760EB"/>
    <w:rsid w:val="00376F10"/>
    <w:rsid w:val="00380892"/>
    <w:rsid w:val="00381401"/>
    <w:rsid w:val="00381B05"/>
    <w:rsid w:val="00385BF0"/>
    <w:rsid w:val="00385DAD"/>
    <w:rsid w:val="00386626"/>
    <w:rsid w:val="003908D7"/>
    <w:rsid w:val="00390929"/>
    <w:rsid w:val="00390DBB"/>
    <w:rsid w:val="00391CFF"/>
    <w:rsid w:val="003924CC"/>
    <w:rsid w:val="00393001"/>
    <w:rsid w:val="00396333"/>
    <w:rsid w:val="0039716B"/>
    <w:rsid w:val="003A0B9C"/>
    <w:rsid w:val="003A0E5A"/>
    <w:rsid w:val="003A2495"/>
    <w:rsid w:val="003A5E83"/>
    <w:rsid w:val="003A645E"/>
    <w:rsid w:val="003A652D"/>
    <w:rsid w:val="003A6A5F"/>
    <w:rsid w:val="003A7581"/>
    <w:rsid w:val="003B04FD"/>
    <w:rsid w:val="003B08B9"/>
    <w:rsid w:val="003B189D"/>
    <w:rsid w:val="003B2E77"/>
    <w:rsid w:val="003B3FDD"/>
    <w:rsid w:val="003B4D40"/>
    <w:rsid w:val="003B5D19"/>
    <w:rsid w:val="003B5FF5"/>
    <w:rsid w:val="003B610B"/>
    <w:rsid w:val="003B6685"/>
    <w:rsid w:val="003B7C43"/>
    <w:rsid w:val="003C0474"/>
    <w:rsid w:val="003C47E8"/>
    <w:rsid w:val="003C5102"/>
    <w:rsid w:val="003C6962"/>
    <w:rsid w:val="003C6F65"/>
    <w:rsid w:val="003D16A6"/>
    <w:rsid w:val="003D1F46"/>
    <w:rsid w:val="003D41CF"/>
    <w:rsid w:val="003D72A2"/>
    <w:rsid w:val="003E0C66"/>
    <w:rsid w:val="003E1442"/>
    <w:rsid w:val="003E2B14"/>
    <w:rsid w:val="003E362E"/>
    <w:rsid w:val="003E61F0"/>
    <w:rsid w:val="003F01A7"/>
    <w:rsid w:val="003F2E62"/>
    <w:rsid w:val="003F3925"/>
    <w:rsid w:val="003F4695"/>
    <w:rsid w:val="003F7B00"/>
    <w:rsid w:val="00400D0C"/>
    <w:rsid w:val="004011F0"/>
    <w:rsid w:val="00401386"/>
    <w:rsid w:val="004047B1"/>
    <w:rsid w:val="0040584C"/>
    <w:rsid w:val="00406807"/>
    <w:rsid w:val="004078EF"/>
    <w:rsid w:val="00407C2F"/>
    <w:rsid w:val="0041082C"/>
    <w:rsid w:val="00410DA1"/>
    <w:rsid w:val="00411425"/>
    <w:rsid w:val="00413B28"/>
    <w:rsid w:val="00413BA5"/>
    <w:rsid w:val="00413DAC"/>
    <w:rsid w:val="0041623E"/>
    <w:rsid w:val="00416AB2"/>
    <w:rsid w:val="00420AF2"/>
    <w:rsid w:val="00421203"/>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6B02"/>
    <w:rsid w:val="00447A63"/>
    <w:rsid w:val="004521D4"/>
    <w:rsid w:val="0045300F"/>
    <w:rsid w:val="00453A6E"/>
    <w:rsid w:val="00454158"/>
    <w:rsid w:val="00454723"/>
    <w:rsid w:val="004565C0"/>
    <w:rsid w:val="00460024"/>
    <w:rsid w:val="00460140"/>
    <w:rsid w:val="0046238B"/>
    <w:rsid w:val="00464B18"/>
    <w:rsid w:val="00465D71"/>
    <w:rsid w:val="0047070D"/>
    <w:rsid w:val="00471871"/>
    <w:rsid w:val="00477A71"/>
    <w:rsid w:val="00481269"/>
    <w:rsid w:val="00482BA3"/>
    <w:rsid w:val="004839FC"/>
    <w:rsid w:val="00483C70"/>
    <w:rsid w:val="00484589"/>
    <w:rsid w:val="00484BCE"/>
    <w:rsid w:val="00487E8F"/>
    <w:rsid w:val="00491F39"/>
    <w:rsid w:val="0049422F"/>
    <w:rsid w:val="0049475D"/>
    <w:rsid w:val="0049575D"/>
    <w:rsid w:val="00496DB8"/>
    <w:rsid w:val="004A0E70"/>
    <w:rsid w:val="004A11A6"/>
    <w:rsid w:val="004A4CF1"/>
    <w:rsid w:val="004A5318"/>
    <w:rsid w:val="004A666A"/>
    <w:rsid w:val="004A69D2"/>
    <w:rsid w:val="004A741E"/>
    <w:rsid w:val="004B0321"/>
    <w:rsid w:val="004B1ADE"/>
    <w:rsid w:val="004B4826"/>
    <w:rsid w:val="004B570B"/>
    <w:rsid w:val="004B652A"/>
    <w:rsid w:val="004B7DB2"/>
    <w:rsid w:val="004C0D65"/>
    <w:rsid w:val="004C30D2"/>
    <w:rsid w:val="004C3AE2"/>
    <w:rsid w:val="004C4C1E"/>
    <w:rsid w:val="004D0BE0"/>
    <w:rsid w:val="004D14F0"/>
    <w:rsid w:val="004D1505"/>
    <w:rsid w:val="004D17DF"/>
    <w:rsid w:val="004D4A68"/>
    <w:rsid w:val="004D6D13"/>
    <w:rsid w:val="004D6DCE"/>
    <w:rsid w:val="004E429F"/>
    <w:rsid w:val="004F160A"/>
    <w:rsid w:val="004F2F62"/>
    <w:rsid w:val="004F37CB"/>
    <w:rsid w:val="004F45CA"/>
    <w:rsid w:val="004F616B"/>
    <w:rsid w:val="00500A53"/>
    <w:rsid w:val="005038C3"/>
    <w:rsid w:val="00504F92"/>
    <w:rsid w:val="00505551"/>
    <w:rsid w:val="00507007"/>
    <w:rsid w:val="0050771C"/>
    <w:rsid w:val="005078B3"/>
    <w:rsid w:val="00511C54"/>
    <w:rsid w:val="00520C27"/>
    <w:rsid w:val="00521B57"/>
    <w:rsid w:val="00522DE9"/>
    <w:rsid w:val="00522EF8"/>
    <w:rsid w:val="0052399F"/>
    <w:rsid w:val="00523FBA"/>
    <w:rsid w:val="00524079"/>
    <w:rsid w:val="005255C0"/>
    <w:rsid w:val="00525BDD"/>
    <w:rsid w:val="00526890"/>
    <w:rsid w:val="0052764F"/>
    <w:rsid w:val="00527AFE"/>
    <w:rsid w:val="00532666"/>
    <w:rsid w:val="005328F4"/>
    <w:rsid w:val="00532A1C"/>
    <w:rsid w:val="00535220"/>
    <w:rsid w:val="005375E5"/>
    <w:rsid w:val="00540ED6"/>
    <w:rsid w:val="00541C1D"/>
    <w:rsid w:val="00544A16"/>
    <w:rsid w:val="005472EC"/>
    <w:rsid w:val="00547C82"/>
    <w:rsid w:val="00552915"/>
    <w:rsid w:val="005534BD"/>
    <w:rsid w:val="00553A1F"/>
    <w:rsid w:val="005578D5"/>
    <w:rsid w:val="00560479"/>
    <w:rsid w:val="005623DE"/>
    <w:rsid w:val="00562A9A"/>
    <w:rsid w:val="005635CA"/>
    <w:rsid w:val="00563874"/>
    <w:rsid w:val="00564A3A"/>
    <w:rsid w:val="005650FF"/>
    <w:rsid w:val="005674EF"/>
    <w:rsid w:val="00570C2E"/>
    <w:rsid w:val="00571577"/>
    <w:rsid w:val="00571C60"/>
    <w:rsid w:val="0057213D"/>
    <w:rsid w:val="005732E9"/>
    <w:rsid w:val="0057454E"/>
    <w:rsid w:val="00575D4F"/>
    <w:rsid w:val="00575F27"/>
    <w:rsid w:val="0058036C"/>
    <w:rsid w:val="0058073B"/>
    <w:rsid w:val="00580815"/>
    <w:rsid w:val="00580F11"/>
    <w:rsid w:val="00582289"/>
    <w:rsid w:val="00582B3B"/>
    <w:rsid w:val="0058363F"/>
    <w:rsid w:val="00583B6A"/>
    <w:rsid w:val="00585BD9"/>
    <w:rsid w:val="00587B74"/>
    <w:rsid w:val="005938B9"/>
    <w:rsid w:val="00593FF1"/>
    <w:rsid w:val="00594E77"/>
    <w:rsid w:val="0059623B"/>
    <w:rsid w:val="005A1839"/>
    <w:rsid w:val="005A2923"/>
    <w:rsid w:val="005A3759"/>
    <w:rsid w:val="005A44D9"/>
    <w:rsid w:val="005B3D45"/>
    <w:rsid w:val="005B78C4"/>
    <w:rsid w:val="005C373B"/>
    <w:rsid w:val="005C3DD2"/>
    <w:rsid w:val="005C4AAA"/>
    <w:rsid w:val="005D1442"/>
    <w:rsid w:val="005D2788"/>
    <w:rsid w:val="005E054C"/>
    <w:rsid w:val="005E06D4"/>
    <w:rsid w:val="005E2450"/>
    <w:rsid w:val="005F064D"/>
    <w:rsid w:val="005F3860"/>
    <w:rsid w:val="005F41BF"/>
    <w:rsid w:val="005F512E"/>
    <w:rsid w:val="005F5A21"/>
    <w:rsid w:val="005F5CF0"/>
    <w:rsid w:val="005F6A04"/>
    <w:rsid w:val="00600458"/>
    <w:rsid w:val="0060118D"/>
    <w:rsid w:val="0060369E"/>
    <w:rsid w:val="00603824"/>
    <w:rsid w:val="00605D1A"/>
    <w:rsid w:val="00605D75"/>
    <w:rsid w:val="006073B5"/>
    <w:rsid w:val="00610CE1"/>
    <w:rsid w:val="006113D8"/>
    <w:rsid w:val="00611DCE"/>
    <w:rsid w:val="00612039"/>
    <w:rsid w:val="00616232"/>
    <w:rsid w:val="00620850"/>
    <w:rsid w:val="00620DB5"/>
    <w:rsid w:val="006225AC"/>
    <w:rsid w:val="006230A9"/>
    <w:rsid w:val="00623799"/>
    <w:rsid w:val="00623873"/>
    <w:rsid w:val="00624C32"/>
    <w:rsid w:val="00624D32"/>
    <w:rsid w:val="006273ED"/>
    <w:rsid w:val="00634EB5"/>
    <w:rsid w:val="0063516D"/>
    <w:rsid w:val="00635AE1"/>
    <w:rsid w:val="00635DA6"/>
    <w:rsid w:val="006416B8"/>
    <w:rsid w:val="00641AC8"/>
    <w:rsid w:val="00642EA0"/>
    <w:rsid w:val="0064349A"/>
    <w:rsid w:val="00643E46"/>
    <w:rsid w:val="006466B3"/>
    <w:rsid w:val="0064692D"/>
    <w:rsid w:val="00646FCC"/>
    <w:rsid w:val="0064750C"/>
    <w:rsid w:val="00651F0A"/>
    <w:rsid w:val="00653F2B"/>
    <w:rsid w:val="006543FB"/>
    <w:rsid w:val="00655505"/>
    <w:rsid w:val="00655AA7"/>
    <w:rsid w:val="00655F80"/>
    <w:rsid w:val="00656541"/>
    <w:rsid w:val="006604DC"/>
    <w:rsid w:val="006621E9"/>
    <w:rsid w:val="00662904"/>
    <w:rsid w:val="00664A53"/>
    <w:rsid w:val="00664A57"/>
    <w:rsid w:val="00664C73"/>
    <w:rsid w:val="00671999"/>
    <w:rsid w:val="0067646B"/>
    <w:rsid w:val="00680B65"/>
    <w:rsid w:val="00681287"/>
    <w:rsid w:val="006815A6"/>
    <w:rsid w:val="006815C7"/>
    <w:rsid w:val="00681907"/>
    <w:rsid w:val="0068285E"/>
    <w:rsid w:val="00682D6C"/>
    <w:rsid w:val="00684EF6"/>
    <w:rsid w:val="006856E2"/>
    <w:rsid w:val="00690B0D"/>
    <w:rsid w:val="00693995"/>
    <w:rsid w:val="00695397"/>
    <w:rsid w:val="0069562F"/>
    <w:rsid w:val="00696F99"/>
    <w:rsid w:val="006A177A"/>
    <w:rsid w:val="006A5F8B"/>
    <w:rsid w:val="006A600F"/>
    <w:rsid w:val="006A769E"/>
    <w:rsid w:val="006B07EF"/>
    <w:rsid w:val="006B1A6D"/>
    <w:rsid w:val="006B2B00"/>
    <w:rsid w:val="006B2FA8"/>
    <w:rsid w:val="006B3E08"/>
    <w:rsid w:val="006B529B"/>
    <w:rsid w:val="006C173A"/>
    <w:rsid w:val="006C1E46"/>
    <w:rsid w:val="006C3BAF"/>
    <w:rsid w:val="006C44B3"/>
    <w:rsid w:val="006C4536"/>
    <w:rsid w:val="006C4D4E"/>
    <w:rsid w:val="006C51E2"/>
    <w:rsid w:val="006C5247"/>
    <w:rsid w:val="006C62F8"/>
    <w:rsid w:val="006C71BB"/>
    <w:rsid w:val="006C77F7"/>
    <w:rsid w:val="006D071F"/>
    <w:rsid w:val="006D1276"/>
    <w:rsid w:val="006D135E"/>
    <w:rsid w:val="006D13C4"/>
    <w:rsid w:val="006D1E5C"/>
    <w:rsid w:val="006D2C14"/>
    <w:rsid w:val="006D3945"/>
    <w:rsid w:val="006D4C15"/>
    <w:rsid w:val="006D51A3"/>
    <w:rsid w:val="006D5BFA"/>
    <w:rsid w:val="006D7692"/>
    <w:rsid w:val="006D7D8F"/>
    <w:rsid w:val="006E1753"/>
    <w:rsid w:val="006E4E29"/>
    <w:rsid w:val="006E5D2E"/>
    <w:rsid w:val="006E670A"/>
    <w:rsid w:val="006E70C1"/>
    <w:rsid w:val="006F0BC4"/>
    <w:rsid w:val="006F1515"/>
    <w:rsid w:val="006F15E9"/>
    <w:rsid w:val="006F252A"/>
    <w:rsid w:val="006F27FC"/>
    <w:rsid w:val="006F3153"/>
    <w:rsid w:val="006F4B6F"/>
    <w:rsid w:val="006F4F6D"/>
    <w:rsid w:val="0070008A"/>
    <w:rsid w:val="0070357F"/>
    <w:rsid w:val="00703DA7"/>
    <w:rsid w:val="00703E05"/>
    <w:rsid w:val="00705262"/>
    <w:rsid w:val="00705CA5"/>
    <w:rsid w:val="0070653C"/>
    <w:rsid w:val="00706ED7"/>
    <w:rsid w:val="00710289"/>
    <w:rsid w:val="00713444"/>
    <w:rsid w:val="0071374E"/>
    <w:rsid w:val="00716D0A"/>
    <w:rsid w:val="00717AF6"/>
    <w:rsid w:val="00720579"/>
    <w:rsid w:val="00721ECF"/>
    <w:rsid w:val="00722D13"/>
    <w:rsid w:val="007230FE"/>
    <w:rsid w:val="00725BEA"/>
    <w:rsid w:val="00725CB0"/>
    <w:rsid w:val="00726409"/>
    <w:rsid w:val="007306D1"/>
    <w:rsid w:val="007344C3"/>
    <w:rsid w:val="00736C31"/>
    <w:rsid w:val="00742CE1"/>
    <w:rsid w:val="0074372C"/>
    <w:rsid w:val="00744C7C"/>
    <w:rsid w:val="00746657"/>
    <w:rsid w:val="00746973"/>
    <w:rsid w:val="00747C4D"/>
    <w:rsid w:val="007517A4"/>
    <w:rsid w:val="0075585E"/>
    <w:rsid w:val="00755A77"/>
    <w:rsid w:val="00756CF2"/>
    <w:rsid w:val="00763381"/>
    <w:rsid w:val="00765488"/>
    <w:rsid w:val="00772458"/>
    <w:rsid w:val="00774B5F"/>
    <w:rsid w:val="00775812"/>
    <w:rsid w:val="00781AFB"/>
    <w:rsid w:val="00781EF0"/>
    <w:rsid w:val="00782461"/>
    <w:rsid w:val="007833DA"/>
    <w:rsid w:val="0078470A"/>
    <w:rsid w:val="0078583D"/>
    <w:rsid w:val="00785939"/>
    <w:rsid w:val="00785D73"/>
    <w:rsid w:val="0078719E"/>
    <w:rsid w:val="007874BB"/>
    <w:rsid w:val="00787AF1"/>
    <w:rsid w:val="0079132B"/>
    <w:rsid w:val="0079360E"/>
    <w:rsid w:val="00795245"/>
    <w:rsid w:val="007969E6"/>
    <w:rsid w:val="00796DA1"/>
    <w:rsid w:val="007A2C57"/>
    <w:rsid w:val="007A3440"/>
    <w:rsid w:val="007A34B3"/>
    <w:rsid w:val="007A5788"/>
    <w:rsid w:val="007B1039"/>
    <w:rsid w:val="007B1644"/>
    <w:rsid w:val="007B1B6A"/>
    <w:rsid w:val="007B3B6F"/>
    <w:rsid w:val="007B3F3D"/>
    <w:rsid w:val="007B413B"/>
    <w:rsid w:val="007B4EC5"/>
    <w:rsid w:val="007B4FD7"/>
    <w:rsid w:val="007B5461"/>
    <w:rsid w:val="007B7D88"/>
    <w:rsid w:val="007C19EC"/>
    <w:rsid w:val="007C22D8"/>
    <w:rsid w:val="007C342D"/>
    <w:rsid w:val="007C53FC"/>
    <w:rsid w:val="007C60E2"/>
    <w:rsid w:val="007D158A"/>
    <w:rsid w:val="007D1EF5"/>
    <w:rsid w:val="007D4AFE"/>
    <w:rsid w:val="007D5B1C"/>
    <w:rsid w:val="007E08DA"/>
    <w:rsid w:val="007E0ADA"/>
    <w:rsid w:val="007E0D06"/>
    <w:rsid w:val="007E15CF"/>
    <w:rsid w:val="007E49CB"/>
    <w:rsid w:val="007E5866"/>
    <w:rsid w:val="007F03B9"/>
    <w:rsid w:val="007F07AF"/>
    <w:rsid w:val="007F2A44"/>
    <w:rsid w:val="007F3376"/>
    <w:rsid w:val="007F6E2B"/>
    <w:rsid w:val="007F7699"/>
    <w:rsid w:val="007F773D"/>
    <w:rsid w:val="008003C8"/>
    <w:rsid w:val="00802118"/>
    <w:rsid w:val="00804065"/>
    <w:rsid w:val="008047DD"/>
    <w:rsid w:val="00806213"/>
    <w:rsid w:val="00812B80"/>
    <w:rsid w:val="008168A2"/>
    <w:rsid w:val="008213E7"/>
    <w:rsid w:val="00821687"/>
    <w:rsid w:val="0082217D"/>
    <w:rsid w:val="00822A40"/>
    <w:rsid w:val="00822AF4"/>
    <w:rsid w:val="008236C7"/>
    <w:rsid w:val="00823E67"/>
    <w:rsid w:val="00826045"/>
    <w:rsid w:val="00830A48"/>
    <w:rsid w:val="00832C1E"/>
    <w:rsid w:val="00833331"/>
    <w:rsid w:val="00833C36"/>
    <w:rsid w:val="00834B96"/>
    <w:rsid w:val="00835505"/>
    <w:rsid w:val="00836415"/>
    <w:rsid w:val="00836B47"/>
    <w:rsid w:val="00840A53"/>
    <w:rsid w:val="008427B3"/>
    <w:rsid w:val="0084702F"/>
    <w:rsid w:val="0085047D"/>
    <w:rsid w:val="008524EA"/>
    <w:rsid w:val="0085263B"/>
    <w:rsid w:val="008530B9"/>
    <w:rsid w:val="00857642"/>
    <w:rsid w:val="00857872"/>
    <w:rsid w:val="00857F8E"/>
    <w:rsid w:val="00860759"/>
    <w:rsid w:val="0086268A"/>
    <w:rsid w:val="008644EC"/>
    <w:rsid w:val="00864B15"/>
    <w:rsid w:val="00864D3B"/>
    <w:rsid w:val="00865C18"/>
    <w:rsid w:val="0086621E"/>
    <w:rsid w:val="0087121E"/>
    <w:rsid w:val="00882CB8"/>
    <w:rsid w:val="00882EF1"/>
    <w:rsid w:val="00884650"/>
    <w:rsid w:val="008851B9"/>
    <w:rsid w:val="008856B1"/>
    <w:rsid w:val="00885F50"/>
    <w:rsid w:val="00887314"/>
    <w:rsid w:val="00891D35"/>
    <w:rsid w:val="0089320C"/>
    <w:rsid w:val="00893901"/>
    <w:rsid w:val="0089728F"/>
    <w:rsid w:val="008A0874"/>
    <w:rsid w:val="008A0FF6"/>
    <w:rsid w:val="008A51AD"/>
    <w:rsid w:val="008A52B4"/>
    <w:rsid w:val="008B1F03"/>
    <w:rsid w:val="008B2982"/>
    <w:rsid w:val="008B456E"/>
    <w:rsid w:val="008B51B9"/>
    <w:rsid w:val="008B5BC6"/>
    <w:rsid w:val="008B6090"/>
    <w:rsid w:val="008B62FA"/>
    <w:rsid w:val="008B7153"/>
    <w:rsid w:val="008C03AD"/>
    <w:rsid w:val="008C07B2"/>
    <w:rsid w:val="008C11EE"/>
    <w:rsid w:val="008C1485"/>
    <w:rsid w:val="008C175C"/>
    <w:rsid w:val="008C2DAF"/>
    <w:rsid w:val="008C461B"/>
    <w:rsid w:val="008D2DBA"/>
    <w:rsid w:val="008D530C"/>
    <w:rsid w:val="008D56D1"/>
    <w:rsid w:val="008D638B"/>
    <w:rsid w:val="008D76BA"/>
    <w:rsid w:val="008D7ECE"/>
    <w:rsid w:val="008E1BF6"/>
    <w:rsid w:val="008E44FF"/>
    <w:rsid w:val="008E4DF2"/>
    <w:rsid w:val="008E5F96"/>
    <w:rsid w:val="008E6FB7"/>
    <w:rsid w:val="008E7557"/>
    <w:rsid w:val="008E7FE5"/>
    <w:rsid w:val="008F25DF"/>
    <w:rsid w:val="008F29E0"/>
    <w:rsid w:val="008F4FCE"/>
    <w:rsid w:val="008F63E4"/>
    <w:rsid w:val="008F7E50"/>
    <w:rsid w:val="00900008"/>
    <w:rsid w:val="00900426"/>
    <w:rsid w:val="00902EB1"/>
    <w:rsid w:val="00904C01"/>
    <w:rsid w:val="009050BB"/>
    <w:rsid w:val="00905609"/>
    <w:rsid w:val="00905F7A"/>
    <w:rsid w:val="00906A31"/>
    <w:rsid w:val="00906B1B"/>
    <w:rsid w:val="00910398"/>
    <w:rsid w:val="0091039C"/>
    <w:rsid w:val="00911640"/>
    <w:rsid w:val="0091213F"/>
    <w:rsid w:val="00912783"/>
    <w:rsid w:val="0091451C"/>
    <w:rsid w:val="00915C3E"/>
    <w:rsid w:val="00915D45"/>
    <w:rsid w:val="0091773A"/>
    <w:rsid w:val="00922DF5"/>
    <w:rsid w:val="00923349"/>
    <w:rsid w:val="00923CE8"/>
    <w:rsid w:val="009246CD"/>
    <w:rsid w:val="009252D3"/>
    <w:rsid w:val="00926002"/>
    <w:rsid w:val="00930EBA"/>
    <w:rsid w:val="00932188"/>
    <w:rsid w:val="0093268C"/>
    <w:rsid w:val="00935580"/>
    <w:rsid w:val="009366E0"/>
    <w:rsid w:val="00936EB3"/>
    <w:rsid w:val="00940622"/>
    <w:rsid w:val="009412D9"/>
    <w:rsid w:val="009416C2"/>
    <w:rsid w:val="00943EEC"/>
    <w:rsid w:val="00944730"/>
    <w:rsid w:val="00944858"/>
    <w:rsid w:val="0094504C"/>
    <w:rsid w:val="009471B5"/>
    <w:rsid w:val="0095031C"/>
    <w:rsid w:val="00951A6C"/>
    <w:rsid w:val="009523B4"/>
    <w:rsid w:val="00952928"/>
    <w:rsid w:val="009531DA"/>
    <w:rsid w:val="00953CFD"/>
    <w:rsid w:val="00960A11"/>
    <w:rsid w:val="00963EFF"/>
    <w:rsid w:val="0096539B"/>
    <w:rsid w:val="009667E3"/>
    <w:rsid w:val="009669E3"/>
    <w:rsid w:val="009671DB"/>
    <w:rsid w:val="0096755D"/>
    <w:rsid w:val="00972738"/>
    <w:rsid w:val="009727FE"/>
    <w:rsid w:val="00974C35"/>
    <w:rsid w:val="00976E81"/>
    <w:rsid w:val="00977F83"/>
    <w:rsid w:val="009808B0"/>
    <w:rsid w:val="00980958"/>
    <w:rsid w:val="00982ACC"/>
    <w:rsid w:val="00983488"/>
    <w:rsid w:val="009839E5"/>
    <w:rsid w:val="00983EDB"/>
    <w:rsid w:val="009849EF"/>
    <w:rsid w:val="00987014"/>
    <w:rsid w:val="009871AC"/>
    <w:rsid w:val="00987D05"/>
    <w:rsid w:val="00987F28"/>
    <w:rsid w:val="00990892"/>
    <w:rsid w:val="00997443"/>
    <w:rsid w:val="009A0A02"/>
    <w:rsid w:val="009A1BA1"/>
    <w:rsid w:val="009A2A81"/>
    <w:rsid w:val="009A2AFB"/>
    <w:rsid w:val="009A2DE2"/>
    <w:rsid w:val="009A3B62"/>
    <w:rsid w:val="009A5C47"/>
    <w:rsid w:val="009A68E7"/>
    <w:rsid w:val="009A6BC5"/>
    <w:rsid w:val="009B4A92"/>
    <w:rsid w:val="009B4B7B"/>
    <w:rsid w:val="009B66C0"/>
    <w:rsid w:val="009B72A1"/>
    <w:rsid w:val="009B74A5"/>
    <w:rsid w:val="009C0E90"/>
    <w:rsid w:val="009C24F9"/>
    <w:rsid w:val="009C64AF"/>
    <w:rsid w:val="009D3191"/>
    <w:rsid w:val="009D3AAC"/>
    <w:rsid w:val="009D52ED"/>
    <w:rsid w:val="009D5912"/>
    <w:rsid w:val="009D5B63"/>
    <w:rsid w:val="009D66EC"/>
    <w:rsid w:val="009D6F9C"/>
    <w:rsid w:val="009E1679"/>
    <w:rsid w:val="009E2348"/>
    <w:rsid w:val="009E239E"/>
    <w:rsid w:val="009E271D"/>
    <w:rsid w:val="009E30DD"/>
    <w:rsid w:val="009E362F"/>
    <w:rsid w:val="009E4013"/>
    <w:rsid w:val="009E59CA"/>
    <w:rsid w:val="009F1EA5"/>
    <w:rsid w:val="009F310A"/>
    <w:rsid w:val="009F3CC2"/>
    <w:rsid w:val="009F5E68"/>
    <w:rsid w:val="009F768D"/>
    <w:rsid w:val="009F7EF2"/>
    <w:rsid w:val="00A00F26"/>
    <w:rsid w:val="00A018F7"/>
    <w:rsid w:val="00A02ABC"/>
    <w:rsid w:val="00A039B4"/>
    <w:rsid w:val="00A0555A"/>
    <w:rsid w:val="00A063F2"/>
    <w:rsid w:val="00A0799C"/>
    <w:rsid w:val="00A07D8F"/>
    <w:rsid w:val="00A07F33"/>
    <w:rsid w:val="00A12531"/>
    <w:rsid w:val="00A13C95"/>
    <w:rsid w:val="00A1707A"/>
    <w:rsid w:val="00A215E2"/>
    <w:rsid w:val="00A2304B"/>
    <w:rsid w:val="00A23803"/>
    <w:rsid w:val="00A249F6"/>
    <w:rsid w:val="00A2572E"/>
    <w:rsid w:val="00A26704"/>
    <w:rsid w:val="00A26D82"/>
    <w:rsid w:val="00A27248"/>
    <w:rsid w:val="00A27289"/>
    <w:rsid w:val="00A34AEC"/>
    <w:rsid w:val="00A35AFD"/>
    <w:rsid w:val="00A40295"/>
    <w:rsid w:val="00A40731"/>
    <w:rsid w:val="00A429D5"/>
    <w:rsid w:val="00A42D4F"/>
    <w:rsid w:val="00A433E2"/>
    <w:rsid w:val="00A448EF"/>
    <w:rsid w:val="00A4598C"/>
    <w:rsid w:val="00A510EE"/>
    <w:rsid w:val="00A52A4E"/>
    <w:rsid w:val="00A5343C"/>
    <w:rsid w:val="00A57163"/>
    <w:rsid w:val="00A57777"/>
    <w:rsid w:val="00A57AB1"/>
    <w:rsid w:val="00A64C8D"/>
    <w:rsid w:val="00A66639"/>
    <w:rsid w:val="00A6721B"/>
    <w:rsid w:val="00A70133"/>
    <w:rsid w:val="00A70355"/>
    <w:rsid w:val="00A73547"/>
    <w:rsid w:val="00A73D17"/>
    <w:rsid w:val="00A73D4F"/>
    <w:rsid w:val="00A74128"/>
    <w:rsid w:val="00A7538D"/>
    <w:rsid w:val="00A75DD6"/>
    <w:rsid w:val="00A7618B"/>
    <w:rsid w:val="00A77155"/>
    <w:rsid w:val="00A77757"/>
    <w:rsid w:val="00A8008F"/>
    <w:rsid w:val="00A8092D"/>
    <w:rsid w:val="00A80E74"/>
    <w:rsid w:val="00A82046"/>
    <w:rsid w:val="00A851A4"/>
    <w:rsid w:val="00A8644E"/>
    <w:rsid w:val="00A86BD8"/>
    <w:rsid w:val="00A87EDF"/>
    <w:rsid w:val="00A9088B"/>
    <w:rsid w:val="00A90897"/>
    <w:rsid w:val="00A90C67"/>
    <w:rsid w:val="00A91E1A"/>
    <w:rsid w:val="00A92B4B"/>
    <w:rsid w:val="00A940DD"/>
    <w:rsid w:val="00A9548C"/>
    <w:rsid w:val="00A9585F"/>
    <w:rsid w:val="00AA013D"/>
    <w:rsid w:val="00AA0422"/>
    <w:rsid w:val="00AA1496"/>
    <w:rsid w:val="00AA155D"/>
    <w:rsid w:val="00AA1C39"/>
    <w:rsid w:val="00AA3354"/>
    <w:rsid w:val="00AA3D06"/>
    <w:rsid w:val="00AA4899"/>
    <w:rsid w:val="00AA4D37"/>
    <w:rsid w:val="00AA59F2"/>
    <w:rsid w:val="00AA639F"/>
    <w:rsid w:val="00AB054D"/>
    <w:rsid w:val="00AB16AD"/>
    <w:rsid w:val="00AB3CE6"/>
    <w:rsid w:val="00AB3E2B"/>
    <w:rsid w:val="00AB4565"/>
    <w:rsid w:val="00AB4DF8"/>
    <w:rsid w:val="00AB671D"/>
    <w:rsid w:val="00AB7130"/>
    <w:rsid w:val="00AC0D42"/>
    <w:rsid w:val="00AC2C30"/>
    <w:rsid w:val="00AC350C"/>
    <w:rsid w:val="00AC3558"/>
    <w:rsid w:val="00AC46EE"/>
    <w:rsid w:val="00AC701A"/>
    <w:rsid w:val="00AC74A3"/>
    <w:rsid w:val="00AC7DAD"/>
    <w:rsid w:val="00AD02BB"/>
    <w:rsid w:val="00AD11DB"/>
    <w:rsid w:val="00AD344D"/>
    <w:rsid w:val="00AD3F55"/>
    <w:rsid w:val="00AD49BE"/>
    <w:rsid w:val="00AD53F5"/>
    <w:rsid w:val="00AD5E7B"/>
    <w:rsid w:val="00AD7989"/>
    <w:rsid w:val="00AE1A08"/>
    <w:rsid w:val="00AE1BBA"/>
    <w:rsid w:val="00AE4BA3"/>
    <w:rsid w:val="00AE7E8A"/>
    <w:rsid w:val="00AF32D8"/>
    <w:rsid w:val="00AF3F64"/>
    <w:rsid w:val="00AF40CA"/>
    <w:rsid w:val="00AF4C64"/>
    <w:rsid w:val="00AF70FF"/>
    <w:rsid w:val="00AF74DF"/>
    <w:rsid w:val="00B01BE5"/>
    <w:rsid w:val="00B02385"/>
    <w:rsid w:val="00B03878"/>
    <w:rsid w:val="00B063EA"/>
    <w:rsid w:val="00B06DDF"/>
    <w:rsid w:val="00B07725"/>
    <w:rsid w:val="00B07809"/>
    <w:rsid w:val="00B079A5"/>
    <w:rsid w:val="00B13111"/>
    <w:rsid w:val="00B134C7"/>
    <w:rsid w:val="00B136CC"/>
    <w:rsid w:val="00B17683"/>
    <w:rsid w:val="00B17743"/>
    <w:rsid w:val="00B20FAA"/>
    <w:rsid w:val="00B21CD8"/>
    <w:rsid w:val="00B21FBA"/>
    <w:rsid w:val="00B23036"/>
    <w:rsid w:val="00B23264"/>
    <w:rsid w:val="00B2793E"/>
    <w:rsid w:val="00B3022C"/>
    <w:rsid w:val="00B319C5"/>
    <w:rsid w:val="00B32E35"/>
    <w:rsid w:val="00B33B37"/>
    <w:rsid w:val="00B36952"/>
    <w:rsid w:val="00B374E5"/>
    <w:rsid w:val="00B41FA0"/>
    <w:rsid w:val="00B42826"/>
    <w:rsid w:val="00B43982"/>
    <w:rsid w:val="00B459AF"/>
    <w:rsid w:val="00B475B6"/>
    <w:rsid w:val="00B4763B"/>
    <w:rsid w:val="00B47FCB"/>
    <w:rsid w:val="00B55869"/>
    <w:rsid w:val="00B567F1"/>
    <w:rsid w:val="00B569FA"/>
    <w:rsid w:val="00B571D3"/>
    <w:rsid w:val="00B635A5"/>
    <w:rsid w:val="00B63BE5"/>
    <w:rsid w:val="00B64CAA"/>
    <w:rsid w:val="00B66D36"/>
    <w:rsid w:val="00B7342D"/>
    <w:rsid w:val="00B73BCE"/>
    <w:rsid w:val="00B7490A"/>
    <w:rsid w:val="00B759EC"/>
    <w:rsid w:val="00B75F96"/>
    <w:rsid w:val="00B773AD"/>
    <w:rsid w:val="00B774F6"/>
    <w:rsid w:val="00B778CB"/>
    <w:rsid w:val="00B8168B"/>
    <w:rsid w:val="00B824F8"/>
    <w:rsid w:val="00B8362D"/>
    <w:rsid w:val="00B8368B"/>
    <w:rsid w:val="00B83A9E"/>
    <w:rsid w:val="00B86F52"/>
    <w:rsid w:val="00B908E0"/>
    <w:rsid w:val="00B90D05"/>
    <w:rsid w:val="00B91893"/>
    <w:rsid w:val="00B926BD"/>
    <w:rsid w:val="00B92DE8"/>
    <w:rsid w:val="00B96A32"/>
    <w:rsid w:val="00B9799D"/>
    <w:rsid w:val="00BA1322"/>
    <w:rsid w:val="00BA3AA7"/>
    <w:rsid w:val="00BA3C3F"/>
    <w:rsid w:val="00BA5CEA"/>
    <w:rsid w:val="00BA7146"/>
    <w:rsid w:val="00BA7612"/>
    <w:rsid w:val="00BB156A"/>
    <w:rsid w:val="00BB1D36"/>
    <w:rsid w:val="00BB3631"/>
    <w:rsid w:val="00BB3FF6"/>
    <w:rsid w:val="00BB5630"/>
    <w:rsid w:val="00BB6613"/>
    <w:rsid w:val="00BB6BE1"/>
    <w:rsid w:val="00BC2590"/>
    <w:rsid w:val="00BC392E"/>
    <w:rsid w:val="00BC60A6"/>
    <w:rsid w:val="00BC62E0"/>
    <w:rsid w:val="00BC6FBF"/>
    <w:rsid w:val="00BD00D9"/>
    <w:rsid w:val="00BD31C6"/>
    <w:rsid w:val="00BD40BC"/>
    <w:rsid w:val="00BD6234"/>
    <w:rsid w:val="00BE0437"/>
    <w:rsid w:val="00BE04F6"/>
    <w:rsid w:val="00BE107D"/>
    <w:rsid w:val="00BE5D1C"/>
    <w:rsid w:val="00BE701E"/>
    <w:rsid w:val="00BE7640"/>
    <w:rsid w:val="00BF0242"/>
    <w:rsid w:val="00BF0AE5"/>
    <w:rsid w:val="00BF144D"/>
    <w:rsid w:val="00BF214A"/>
    <w:rsid w:val="00BF3E1B"/>
    <w:rsid w:val="00BF77B1"/>
    <w:rsid w:val="00BF7D51"/>
    <w:rsid w:val="00C02723"/>
    <w:rsid w:val="00C02A91"/>
    <w:rsid w:val="00C0306B"/>
    <w:rsid w:val="00C04960"/>
    <w:rsid w:val="00C05ABD"/>
    <w:rsid w:val="00C06163"/>
    <w:rsid w:val="00C079C2"/>
    <w:rsid w:val="00C1005E"/>
    <w:rsid w:val="00C10256"/>
    <w:rsid w:val="00C10713"/>
    <w:rsid w:val="00C11391"/>
    <w:rsid w:val="00C114A8"/>
    <w:rsid w:val="00C1307A"/>
    <w:rsid w:val="00C1324E"/>
    <w:rsid w:val="00C138A5"/>
    <w:rsid w:val="00C14B96"/>
    <w:rsid w:val="00C158D4"/>
    <w:rsid w:val="00C211F9"/>
    <w:rsid w:val="00C22F92"/>
    <w:rsid w:val="00C25927"/>
    <w:rsid w:val="00C27126"/>
    <w:rsid w:val="00C273D7"/>
    <w:rsid w:val="00C2755A"/>
    <w:rsid w:val="00C310B8"/>
    <w:rsid w:val="00C31711"/>
    <w:rsid w:val="00C31DBD"/>
    <w:rsid w:val="00C322BB"/>
    <w:rsid w:val="00C3305D"/>
    <w:rsid w:val="00C3343C"/>
    <w:rsid w:val="00C3343E"/>
    <w:rsid w:val="00C339B1"/>
    <w:rsid w:val="00C3643C"/>
    <w:rsid w:val="00C36C29"/>
    <w:rsid w:val="00C4383B"/>
    <w:rsid w:val="00C478FE"/>
    <w:rsid w:val="00C502DD"/>
    <w:rsid w:val="00C566DC"/>
    <w:rsid w:val="00C613E2"/>
    <w:rsid w:val="00C65047"/>
    <w:rsid w:val="00C653CC"/>
    <w:rsid w:val="00C665D4"/>
    <w:rsid w:val="00C67E56"/>
    <w:rsid w:val="00C73CE1"/>
    <w:rsid w:val="00C74775"/>
    <w:rsid w:val="00C76F9B"/>
    <w:rsid w:val="00C77064"/>
    <w:rsid w:val="00C80AB6"/>
    <w:rsid w:val="00C81474"/>
    <w:rsid w:val="00C833D6"/>
    <w:rsid w:val="00C84CDE"/>
    <w:rsid w:val="00C8762A"/>
    <w:rsid w:val="00C9306D"/>
    <w:rsid w:val="00C93320"/>
    <w:rsid w:val="00C95318"/>
    <w:rsid w:val="00C95A99"/>
    <w:rsid w:val="00C96B98"/>
    <w:rsid w:val="00C96F6B"/>
    <w:rsid w:val="00C97ED3"/>
    <w:rsid w:val="00CA043D"/>
    <w:rsid w:val="00CA069B"/>
    <w:rsid w:val="00CA09C4"/>
    <w:rsid w:val="00CA26D2"/>
    <w:rsid w:val="00CA27F9"/>
    <w:rsid w:val="00CA4F28"/>
    <w:rsid w:val="00CA6713"/>
    <w:rsid w:val="00CB067C"/>
    <w:rsid w:val="00CB14D9"/>
    <w:rsid w:val="00CB15CA"/>
    <w:rsid w:val="00CB26B3"/>
    <w:rsid w:val="00CB3B7D"/>
    <w:rsid w:val="00CB687E"/>
    <w:rsid w:val="00CC074E"/>
    <w:rsid w:val="00CC1659"/>
    <w:rsid w:val="00CC3092"/>
    <w:rsid w:val="00CC30C3"/>
    <w:rsid w:val="00CC363A"/>
    <w:rsid w:val="00CC3D4E"/>
    <w:rsid w:val="00CC4003"/>
    <w:rsid w:val="00CC74BD"/>
    <w:rsid w:val="00CD0768"/>
    <w:rsid w:val="00CD1FD6"/>
    <w:rsid w:val="00CD3CC4"/>
    <w:rsid w:val="00CD777A"/>
    <w:rsid w:val="00CE047D"/>
    <w:rsid w:val="00CE1017"/>
    <w:rsid w:val="00CE42A4"/>
    <w:rsid w:val="00CE43AF"/>
    <w:rsid w:val="00CE665D"/>
    <w:rsid w:val="00CE6758"/>
    <w:rsid w:val="00CE7731"/>
    <w:rsid w:val="00CF1226"/>
    <w:rsid w:val="00CF6A79"/>
    <w:rsid w:val="00CF73D7"/>
    <w:rsid w:val="00CF7B12"/>
    <w:rsid w:val="00D00A1A"/>
    <w:rsid w:val="00D00AAE"/>
    <w:rsid w:val="00D02D5A"/>
    <w:rsid w:val="00D03B9D"/>
    <w:rsid w:val="00D046B3"/>
    <w:rsid w:val="00D0498A"/>
    <w:rsid w:val="00D06F2D"/>
    <w:rsid w:val="00D1058D"/>
    <w:rsid w:val="00D11B6A"/>
    <w:rsid w:val="00D132BE"/>
    <w:rsid w:val="00D13B2D"/>
    <w:rsid w:val="00D14480"/>
    <w:rsid w:val="00D15660"/>
    <w:rsid w:val="00D16E7D"/>
    <w:rsid w:val="00D17731"/>
    <w:rsid w:val="00D20E86"/>
    <w:rsid w:val="00D21DFB"/>
    <w:rsid w:val="00D227C4"/>
    <w:rsid w:val="00D23048"/>
    <w:rsid w:val="00D2352A"/>
    <w:rsid w:val="00D23DD0"/>
    <w:rsid w:val="00D251C3"/>
    <w:rsid w:val="00D26CB5"/>
    <w:rsid w:val="00D27E0F"/>
    <w:rsid w:val="00D27EA0"/>
    <w:rsid w:val="00D33231"/>
    <w:rsid w:val="00D36240"/>
    <w:rsid w:val="00D36D3E"/>
    <w:rsid w:val="00D36DB7"/>
    <w:rsid w:val="00D40E5E"/>
    <w:rsid w:val="00D4138D"/>
    <w:rsid w:val="00D41493"/>
    <w:rsid w:val="00D4152F"/>
    <w:rsid w:val="00D43977"/>
    <w:rsid w:val="00D43EF1"/>
    <w:rsid w:val="00D43F6F"/>
    <w:rsid w:val="00D46755"/>
    <w:rsid w:val="00D46CFF"/>
    <w:rsid w:val="00D46FBF"/>
    <w:rsid w:val="00D4777B"/>
    <w:rsid w:val="00D47BB6"/>
    <w:rsid w:val="00D5068F"/>
    <w:rsid w:val="00D60443"/>
    <w:rsid w:val="00D62214"/>
    <w:rsid w:val="00D632D1"/>
    <w:rsid w:val="00D64B7A"/>
    <w:rsid w:val="00D65E10"/>
    <w:rsid w:val="00D70294"/>
    <w:rsid w:val="00D709A0"/>
    <w:rsid w:val="00D70A78"/>
    <w:rsid w:val="00D71394"/>
    <w:rsid w:val="00D7252A"/>
    <w:rsid w:val="00D73BC0"/>
    <w:rsid w:val="00D76C93"/>
    <w:rsid w:val="00D800FE"/>
    <w:rsid w:val="00D81512"/>
    <w:rsid w:val="00D85346"/>
    <w:rsid w:val="00D90E7B"/>
    <w:rsid w:val="00D91EDC"/>
    <w:rsid w:val="00D9258F"/>
    <w:rsid w:val="00D92D94"/>
    <w:rsid w:val="00D943C3"/>
    <w:rsid w:val="00DA0625"/>
    <w:rsid w:val="00DA3748"/>
    <w:rsid w:val="00DA55FE"/>
    <w:rsid w:val="00DA671A"/>
    <w:rsid w:val="00DA756A"/>
    <w:rsid w:val="00DA78D9"/>
    <w:rsid w:val="00DA7E6E"/>
    <w:rsid w:val="00DB07B8"/>
    <w:rsid w:val="00DB2D76"/>
    <w:rsid w:val="00DB3871"/>
    <w:rsid w:val="00DB38BB"/>
    <w:rsid w:val="00DB45E2"/>
    <w:rsid w:val="00DB4F49"/>
    <w:rsid w:val="00DB6D5A"/>
    <w:rsid w:val="00DB70BE"/>
    <w:rsid w:val="00DC0123"/>
    <w:rsid w:val="00DC144F"/>
    <w:rsid w:val="00DC4772"/>
    <w:rsid w:val="00DC48CF"/>
    <w:rsid w:val="00DC6711"/>
    <w:rsid w:val="00DC6826"/>
    <w:rsid w:val="00DD20E3"/>
    <w:rsid w:val="00DD2605"/>
    <w:rsid w:val="00DD3FE2"/>
    <w:rsid w:val="00DD5F86"/>
    <w:rsid w:val="00DD6047"/>
    <w:rsid w:val="00DD6C2D"/>
    <w:rsid w:val="00DD771A"/>
    <w:rsid w:val="00DD7F78"/>
    <w:rsid w:val="00DE2759"/>
    <w:rsid w:val="00DE2924"/>
    <w:rsid w:val="00DE2977"/>
    <w:rsid w:val="00DE4037"/>
    <w:rsid w:val="00DE43F4"/>
    <w:rsid w:val="00DE466B"/>
    <w:rsid w:val="00DE4A72"/>
    <w:rsid w:val="00DE5D8B"/>
    <w:rsid w:val="00DE761A"/>
    <w:rsid w:val="00DF2338"/>
    <w:rsid w:val="00DF4C70"/>
    <w:rsid w:val="00DF4D56"/>
    <w:rsid w:val="00DF5BCA"/>
    <w:rsid w:val="00DF63EB"/>
    <w:rsid w:val="00DF6A94"/>
    <w:rsid w:val="00DF78BC"/>
    <w:rsid w:val="00E02A20"/>
    <w:rsid w:val="00E030AE"/>
    <w:rsid w:val="00E04587"/>
    <w:rsid w:val="00E04EFF"/>
    <w:rsid w:val="00E05D02"/>
    <w:rsid w:val="00E0690D"/>
    <w:rsid w:val="00E101A9"/>
    <w:rsid w:val="00E12954"/>
    <w:rsid w:val="00E12FAE"/>
    <w:rsid w:val="00E13468"/>
    <w:rsid w:val="00E20AD8"/>
    <w:rsid w:val="00E2457B"/>
    <w:rsid w:val="00E247DE"/>
    <w:rsid w:val="00E257AB"/>
    <w:rsid w:val="00E3212A"/>
    <w:rsid w:val="00E32512"/>
    <w:rsid w:val="00E333C7"/>
    <w:rsid w:val="00E3374E"/>
    <w:rsid w:val="00E33A7F"/>
    <w:rsid w:val="00E34A79"/>
    <w:rsid w:val="00E376F7"/>
    <w:rsid w:val="00E4104D"/>
    <w:rsid w:val="00E41293"/>
    <w:rsid w:val="00E41AC9"/>
    <w:rsid w:val="00E41C3F"/>
    <w:rsid w:val="00E44029"/>
    <w:rsid w:val="00E44479"/>
    <w:rsid w:val="00E45108"/>
    <w:rsid w:val="00E475F0"/>
    <w:rsid w:val="00E50CA8"/>
    <w:rsid w:val="00E51A1F"/>
    <w:rsid w:val="00E536DE"/>
    <w:rsid w:val="00E538E6"/>
    <w:rsid w:val="00E553E9"/>
    <w:rsid w:val="00E563DF"/>
    <w:rsid w:val="00E569B2"/>
    <w:rsid w:val="00E577FD"/>
    <w:rsid w:val="00E61098"/>
    <w:rsid w:val="00E619A4"/>
    <w:rsid w:val="00E62177"/>
    <w:rsid w:val="00E62A45"/>
    <w:rsid w:val="00E645FC"/>
    <w:rsid w:val="00E6494D"/>
    <w:rsid w:val="00E6634F"/>
    <w:rsid w:val="00E66674"/>
    <w:rsid w:val="00E6716A"/>
    <w:rsid w:val="00E67F40"/>
    <w:rsid w:val="00E70167"/>
    <w:rsid w:val="00E703C3"/>
    <w:rsid w:val="00E71CA0"/>
    <w:rsid w:val="00E73F29"/>
    <w:rsid w:val="00E74899"/>
    <w:rsid w:val="00E759B1"/>
    <w:rsid w:val="00E80333"/>
    <w:rsid w:val="00E8107B"/>
    <w:rsid w:val="00E83629"/>
    <w:rsid w:val="00E838DB"/>
    <w:rsid w:val="00E83F7E"/>
    <w:rsid w:val="00E865F0"/>
    <w:rsid w:val="00E9310C"/>
    <w:rsid w:val="00E93979"/>
    <w:rsid w:val="00E93CD3"/>
    <w:rsid w:val="00E9501F"/>
    <w:rsid w:val="00E9676A"/>
    <w:rsid w:val="00E97873"/>
    <w:rsid w:val="00EA379C"/>
    <w:rsid w:val="00EA437B"/>
    <w:rsid w:val="00EA4CB5"/>
    <w:rsid w:val="00EA67B2"/>
    <w:rsid w:val="00EB0757"/>
    <w:rsid w:val="00EB0A6F"/>
    <w:rsid w:val="00EB2D36"/>
    <w:rsid w:val="00EB3C74"/>
    <w:rsid w:val="00EB427D"/>
    <w:rsid w:val="00EB4D6D"/>
    <w:rsid w:val="00EB5D98"/>
    <w:rsid w:val="00EB7A35"/>
    <w:rsid w:val="00EC027A"/>
    <w:rsid w:val="00EC05B4"/>
    <w:rsid w:val="00EC074E"/>
    <w:rsid w:val="00EC0B10"/>
    <w:rsid w:val="00EC33EA"/>
    <w:rsid w:val="00EC3F7B"/>
    <w:rsid w:val="00EC62F1"/>
    <w:rsid w:val="00EC6627"/>
    <w:rsid w:val="00EC6D41"/>
    <w:rsid w:val="00EC7E43"/>
    <w:rsid w:val="00ED03A3"/>
    <w:rsid w:val="00ED0AA7"/>
    <w:rsid w:val="00ED1BA0"/>
    <w:rsid w:val="00ED2F8A"/>
    <w:rsid w:val="00ED58AF"/>
    <w:rsid w:val="00ED7658"/>
    <w:rsid w:val="00EE1EE5"/>
    <w:rsid w:val="00EE2928"/>
    <w:rsid w:val="00EE359A"/>
    <w:rsid w:val="00EE5BA1"/>
    <w:rsid w:val="00EE6402"/>
    <w:rsid w:val="00EF171C"/>
    <w:rsid w:val="00EF2966"/>
    <w:rsid w:val="00EF5C8F"/>
    <w:rsid w:val="00EF7235"/>
    <w:rsid w:val="00F00A4D"/>
    <w:rsid w:val="00F01EA8"/>
    <w:rsid w:val="00F023A3"/>
    <w:rsid w:val="00F030F9"/>
    <w:rsid w:val="00F0410C"/>
    <w:rsid w:val="00F04C8C"/>
    <w:rsid w:val="00F054DA"/>
    <w:rsid w:val="00F05BCA"/>
    <w:rsid w:val="00F06144"/>
    <w:rsid w:val="00F07A7C"/>
    <w:rsid w:val="00F07BCF"/>
    <w:rsid w:val="00F1121E"/>
    <w:rsid w:val="00F1487F"/>
    <w:rsid w:val="00F16EF8"/>
    <w:rsid w:val="00F16FAB"/>
    <w:rsid w:val="00F21CA5"/>
    <w:rsid w:val="00F24285"/>
    <w:rsid w:val="00F25778"/>
    <w:rsid w:val="00F31625"/>
    <w:rsid w:val="00F316D9"/>
    <w:rsid w:val="00F31BDC"/>
    <w:rsid w:val="00F32242"/>
    <w:rsid w:val="00F361A3"/>
    <w:rsid w:val="00F36CDE"/>
    <w:rsid w:val="00F36E39"/>
    <w:rsid w:val="00F40045"/>
    <w:rsid w:val="00F40A8F"/>
    <w:rsid w:val="00F40FF5"/>
    <w:rsid w:val="00F41E1E"/>
    <w:rsid w:val="00F43ED1"/>
    <w:rsid w:val="00F4463B"/>
    <w:rsid w:val="00F44759"/>
    <w:rsid w:val="00F45144"/>
    <w:rsid w:val="00F4680B"/>
    <w:rsid w:val="00F47445"/>
    <w:rsid w:val="00F5046F"/>
    <w:rsid w:val="00F5088C"/>
    <w:rsid w:val="00F510AC"/>
    <w:rsid w:val="00F5374F"/>
    <w:rsid w:val="00F55E69"/>
    <w:rsid w:val="00F579BE"/>
    <w:rsid w:val="00F61E12"/>
    <w:rsid w:val="00F624C0"/>
    <w:rsid w:val="00F626E7"/>
    <w:rsid w:val="00F62D04"/>
    <w:rsid w:val="00F6434A"/>
    <w:rsid w:val="00F70887"/>
    <w:rsid w:val="00F70A7D"/>
    <w:rsid w:val="00F72701"/>
    <w:rsid w:val="00F748DD"/>
    <w:rsid w:val="00F77EEC"/>
    <w:rsid w:val="00F81710"/>
    <w:rsid w:val="00F83E64"/>
    <w:rsid w:val="00F83FC3"/>
    <w:rsid w:val="00F86EF9"/>
    <w:rsid w:val="00F86FB1"/>
    <w:rsid w:val="00F908E0"/>
    <w:rsid w:val="00F9335A"/>
    <w:rsid w:val="00F93755"/>
    <w:rsid w:val="00F93A32"/>
    <w:rsid w:val="00F94769"/>
    <w:rsid w:val="00F958AC"/>
    <w:rsid w:val="00F973FF"/>
    <w:rsid w:val="00F97AD4"/>
    <w:rsid w:val="00F97EE2"/>
    <w:rsid w:val="00FA0810"/>
    <w:rsid w:val="00FA0A4E"/>
    <w:rsid w:val="00FA2895"/>
    <w:rsid w:val="00FA3B68"/>
    <w:rsid w:val="00FA3C3C"/>
    <w:rsid w:val="00FA3DD7"/>
    <w:rsid w:val="00FA5031"/>
    <w:rsid w:val="00FA536D"/>
    <w:rsid w:val="00FA56FF"/>
    <w:rsid w:val="00FA6AB0"/>
    <w:rsid w:val="00FB106B"/>
    <w:rsid w:val="00FB4C6F"/>
    <w:rsid w:val="00FB64A1"/>
    <w:rsid w:val="00FB6732"/>
    <w:rsid w:val="00FB7D16"/>
    <w:rsid w:val="00FC110D"/>
    <w:rsid w:val="00FC3800"/>
    <w:rsid w:val="00FC4527"/>
    <w:rsid w:val="00FC65BE"/>
    <w:rsid w:val="00FC70C0"/>
    <w:rsid w:val="00FC7307"/>
    <w:rsid w:val="00FC7B7E"/>
    <w:rsid w:val="00FD0AC3"/>
    <w:rsid w:val="00FD1EEA"/>
    <w:rsid w:val="00FD30C0"/>
    <w:rsid w:val="00FD36CA"/>
    <w:rsid w:val="00FD3B41"/>
    <w:rsid w:val="00FD6C73"/>
    <w:rsid w:val="00FD7A4C"/>
    <w:rsid w:val="00FE08F3"/>
    <w:rsid w:val="00FE486C"/>
    <w:rsid w:val="00FE578A"/>
    <w:rsid w:val="00FF0BE2"/>
    <w:rsid w:val="00FF14A5"/>
    <w:rsid w:val="00FF5CC6"/>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pPr>
      <w:spacing w:line="360" w:lineRule="auto"/>
      <w:jc w:val="center"/>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943C3"/>
    <w:pPr>
      <w:autoSpaceDE w:val="0"/>
      <w:autoSpaceDN w:val="0"/>
      <w:spacing w:line="240" w:lineRule="auto"/>
      <w:jc w:val="left"/>
    </w:pPr>
    <w:rPr>
      <w:rFonts w:eastAsia="Times New Roman"/>
    </w:rPr>
  </w:style>
  <w:style w:type="character" w:customStyle="1" w:styleId="FootnoteTextChar">
    <w:name w:val="Footnote Text Char"/>
    <w:link w:val="FootnoteText"/>
    <w:semiHidden/>
    <w:rsid w:val="00D943C3"/>
    <w:rPr>
      <w:rFonts w:eastAsia="Times New Roman"/>
    </w:rPr>
  </w:style>
  <w:style w:type="character" w:styleId="FootnoteReference">
    <w:name w:val="footnote reference"/>
    <w:semiHidden/>
    <w:rsid w:val="00D943C3"/>
    <w:rPr>
      <w:vertAlign w:val="superscript"/>
    </w:rPr>
  </w:style>
  <w:style w:type="paragraph" w:styleId="Header">
    <w:name w:val="header"/>
    <w:basedOn w:val="Normal"/>
    <w:link w:val="HeaderChar"/>
    <w:uiPriority w:val="99"/>
    <w:semiHidden/>
    <w:unhideWhenUsed/>
    <w:rsid w:val="00C0306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0306B"/>
  </w:style>
  <w:style w:type="paragraph" w:styleId="Footer">
    <w:name w:val="footer"/>
    <w:basedOn w:val="Normal"/>
    <w:link w:val="FooterChar"/>
    <w:uiPriority w:val="99"/>
    <w:unhideWhenUsed/>
    <w:rsid w:val="00C0306B"/>
    <w:pPr>
      <w:tabs>
        <w:tab w:val="center" w:pos="4680"/>
        <w:tab w:val="right" w:pos="9360"/>
      </w:tabs>
      <w:spacing w:line="240" w:lineRule="auto"/>
    </w:pPr>
  </w:style>
  <w:style w:type="character" w:customStyle="1" w:styleId="FooterChar">
    <w:name w:val="Footer Char"/>
    <w:basedOn w:val="DefaultParagraphFont"/>
    <w:link w:val="Footer"/>
    <w:uiPriority w:val="99"/>
    <w:rsid w:val="00C0306B"/>
  </w:style>
  <w:style w:type="paragraph" w:styleId="BalloonText">
    <w:name w:val="Balloon Text"/>
    <w:basedOn w:val="Normal"/>
    <w:link w:val="BalloonTextChar"/>
    <w:uiPriority w:val="99"/>
    <w:semiHidden/>
    <w:unhideWhenUsed/>
    <w:rsid w:val="003023B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023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pPr>
      <w:spacing w:line="360" w:lineRule="auto"/>
      <w:jc w:val="center"/>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943C3"/>
    <w:pPr>
      <w:autoSpaceDE w:val="0"/>
      <w:autoSpaceDN w:val="0"/>
      <w:spacing w:line="240" w:lineRule="auto"/>
      <w:jc w:val="left"/>
    </w:pPr>
    <w:rPr>
      <w:rFonts w:eastAsia="Times New Roman"/>
    </w:rPr>
  </w:style>
  <w:style w:type="character" w:customStyle="1" w:styleId="FootnoteTextChar">
    <w:name w:val="Footnote Text Char"/>
    <w:link w:val="FootnoteText"/>
    <w:semiHidden/>
    <w:rsid w:val="00D943C3"/>
    <w:rPr>
      <w:rFonts w:eastAsia="Times New Roman"/>
    </w:rPr>
  </w:style>
  <w:style w:type="character" w:styleId="FootnoteReference">
    <w:name w:val="footnote reference"/>
    <w:semiHidden/>
    <w:rsid w:val="00D943C3"/>
    <w:rPr>
      <w:vertAlign w:val="superscript"/>
    </w:rPr>
  </w:style>
  <w:style w:type="paragraph" w:styleId="Header">
    <w:name w:val="header"/>
    <w:basedOn w:val="Normal"/>
    <w:link w:val="HeaderChar"/>
    <w:uiPriority w:val="99"/>
    <w:semiHidden/>
    <w:unhideWhenUsed/>
    <w:rsid w:val="00C0306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0306B"/>
  </w:style>
  <w:style w:type="paragraph" w:styleId="Footer">
    <w:name w:val="footer"/>
    <w:basedOn w:val="Normal"/>
    <w:link w:val="FooterChar"/>
    <w:uiPriority w:val="99"/>
    <w:unhideWhenUsed/>
    <w:rsid w:val="00C0306B"/>
    <w:pPr>
      <w:tabs>
        <w:tab w:val="center" w:pos="4680"/>
        <w:tab w:val="right" w:pos="9360"/>
      </w:tabs>
      <w:spacing w:line="240" w:lineRule="auto"/>
    </w:pPr>
  </w:style>
  <w:style w:type="character" w:customStyle="1" w:styleId="FooterChar">
    <w:name w:val="Footer Char"/>
    <w:basedOn w:val="DefaultParagraphFont"/>
    <w:link w:val="Footer"/>
    <w:uiPriority w:val="99"/>
    <w:rsid w:val="00C0306B"/>
  </w:style>
  <w:style w:type="paragraph" w:styleId="BalloonText">
    <w:name w:val="Balloon Text"/>
    <w:basedOn w:val="Normal"/>
    <w:link w:val="BalloonTextChar"/>
    <w:uiPriority w:val="99"/>
    <w:semiHidden/>
    <w:unhideWhenUsed/>
    <w:rsid w:val="003023B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023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2F00D-F7B8-4641-B17A-A7633249A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2542</Words>
  <Characters>14493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3</cp:revision>
  <cp:lastPrinted>2015-05-08T17:27:00Z</cp:lastPrinted>
  <dcterms:created xsi:type="dcterms:W3CDTF">2015-05-08T18:41:00Z</dcterms:created>
  <dcterms:modified xsi:type="dcterms:W3CDTF">2015-05-11T17:50:00Z</dcterms:modified>
</cp:coreProperties>
</file>