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AE2" w:rsidRPr="00496847" w:rsidRDefault="00AF6AE2" w:rsidP="00AF6AE2">
      <w:pPr>
        <w:jc w:val="center"/>
        <w:rPr>
          <w:b/>
        </w:rPr>
      </w:pPr>
      <w:r w:rsidRPr="00496847">
        <w:rPr>
          <w:b/>
        </w:rPr>
        <w:t>BEFORE THE</w:t>
      </w:r>
    </w:p>
    <w:p w:rsidR="00AF6AE2" w:rsidRDefault="00AF6AE2" w:rsidP="00AF6AE2">
      <w:pPr>
        <w:jc w:val="center"/>
        <w:rPr>
          <w:b/>
        </w:rPr>
      </w:pPr>
      <w:r w:rsidRPr="00496847">
        <w:rPr>
          <w:b/>
        </w:rPr>
        <w:t>PENNSYLVANIA PUBLIC UTILITY COMMISSION</w:t>
      </w:r>
    </w:p>
    <w:p w:rsidR="00B272DA" w:rsidRDefault="00B272DA" w:rsidP="00AF6AE2">
      <w:pPr>
        <w:jc w:val="center"/>
        <w:rPr>
          <w:b/>
        </w:rPr>
      </w:pPr>
    </w:p>
    <w:p w:rsidR="00B272DA" w:rsidRPr="00496847" w:rsidRDefault="00B272DA" w:rsidP="00AF6AE2">
      <w:pPr>
        <w:jc w:val="center"/>
        <w:rPr>
          <w:b/>
        </w:rPr>
      </w:pPr>
    </w:p>
    <w:p w:rsidR="00AF6AE2" w:rsidRPr="00496847" w:rsidRDefault="00AF6AE2" w:rsidP="00AF6AE2">
      <w:pPr>
        <w:jc w:val="both"/>
        <w:rPr>
          <w:b/>
        </w:rPr>
      </w:pPr>
    </w:p>
    <w:p w:rsidR="00F87379" w:rsidRDefault="00F87379" w:rsidP="00F87379">
      <w:r w:rsidRPr="00496847">
        <w:t>Pennsylvania Public Utility Commission</w:t>
      </w:r>
      <w:r>
        <w:tab/>
      </w:r>
      <w:r>
        <w:tab/>
        <w:t>:</w:t>
      </w:r>
      <w:r>
        <w:tab/>
      </w:r>
      <w:r>
        <w:tab/>
        <w:t>R</w:t>
      </w:r>
      <w:r w:rsidRPr="00496847">
        <w:t>-2014-24</w:t>
      </w:r>
      <w:r w:rsidR="00ED0A55">
        <w:t>30945</w:t>
      </w:r>
    </w:p>
    <w:p w:rsidR="00ED0A55" w:rsidRDefault="00ED0A55" w:rsidP="00F87379">
      <w:r>
        <w:t>David J. Schneider</w:t>
      </w:r>
      <w:r>
        <w:tab/>
      </w:r>
      <w:r>
        <w:tab/>
      </w:r>
      <w:r>
        <w:tab/>
      </w:r>
      <w:r>
        <w:tab/>
      </w:r>
      <w:r>
        <w:tab/>
        <w:t>:</w:t>
      </w:r>
      <w:r>
        <w:tab/>
      </w:r>
      <w:r>
        <w:tab/>
        <w:t>C-2014-2449779</w:t>
      </w:r>
    </w:p>
    <w:p w:rsidR="00F87379" w:rsidRDefault="00F87379" w:rsidP="00F87379">
      <w:r>
        <w:t xml:space="preserve">Office of Consumer Advocate </w:t>
      </w:r>
      <w:r>
        <w:tab/>
      </w:r>
      <w:r>
        <w:tab/>
      </w:r>
      <w:r>
        <w:tab/>
        <w:t>:</w:t>
      </w:r>
      <w:r>
        <w:tab/>
      </w:r>
      <w:r>
        <w:tab/>
      </w:r>
      <w:r w:rsidRPr="00496847">
        <w:t>C-2014-24</w:t>
      </w:r>
      <w:r w:rsidR="00ED0A55">
        <w:t>49258</w:t>
      </w:r>
    </w:p>
    <w:p w:rsidR="00F87379" w:rsidRDefault="00F87379" w:rsidP="00F87379">
      <w:r>
        <w:tab/>
      </w:r>
      <w:r>
        <w:tab/>
      </w:r>
      <w:r>
        <w:tab/>
      </w:r>
      <w:r>
        <w:tab/>
      </w:r>
      <w:r>
        <w:tab/>
      </w:r>
      <w:r>
        <w:tab/>
      </w:r>
      <w:r>
        <w:tab/>
        <w:t>:</w:t>
      </w:r>
    </w:p>
    <w:p w:rsidR="00F87379" w:rsidRDefault="00F87379" w:rsidP="00F87379">
      <w:r>
        <w:tab/>
        <w:t>v.</w:t>
      </w:r>
      <w:r>
        <w:tab/>
      </w:r>
      <w:r>
        <w:tab/>
      </w:r>
      <w:r>
        <w:tab/>
      </w:r>
      <w:r>
        <w:tab/>
      </w:r>
      <w:r>
        <w:tab/>
      </w:r>
      <w:r>
        <w:tab/>
        <w:t>:</w:t>
      </w:r>
    </w:p>
    <w:p w:rsidR="00F87379" w:rsidRDefault="00F87379" w:rsidP="00F87379">
      <w:r>
        <w:tab/>
      </w:r>
      <w:r>
        <w:tab/>
      </w:r>
      <w:r>
        <w:tab/>
      </w:r>
      <w:r>
        <w:tab/>
      </w:r>
      <w:r>
        <w:tab/>
      </w:r>
      <w:r>
        <w:tab/>
      </w:r>
      <w:r>
        <w:tab/>
        <w:t>:</w:t>
      </w:r>
    </w:p>
    <w:p w:rsidR="00F87379" w:rsidRDefault="00ED0A55" w:rsidP="00F87379">
      <w:proofErr w:type="spellStart"/>
      <w:r>
        <w:t>Plumer</w:t>
      </w:r>
      <w:proofErr w:type="spellEnd"/>
      <w:r w:rsidR="00F87379">
        <w:t xml:space="preserve"> Water Company</w:t>
      </w:r>
      <w:r w:rsidR="00F87379">
        <w:tab/>
      </w:r>
      <w:r w:rsidR="00F87379">
        <w:tab/>
      </w:r>
      <w:r w:rsidR="00F87379">
        <w:tab/>
      </w:r>
      <w:r w:rsidR="00F87379">
        <w:tab/>
        <w:t>:</w:t>
      </w:r>
    </w:p>
    <w:p w:rsidR="00F87379" w:rsidRPr="00496847" w:rsidRDefault="00F87379" w:rsidP="00F87379"/>
    <w:p w:rsidR="00F87379" w:rsidRPr="00496847" w:rsidRDefault="00F87379" w:rsidP="00F87379"/>
    <w:p w:rsidR="00F87379" w:rsidRDefault="00F87379" w:rsidP="006163AA">
      <w:pPr>
        <w:jc w:val="center"/>
        <w:rPr>
          <w:b/>
          <w:u w:val="single"/>
        </w:rPr>
      </w:pPr>
    </w:p>
    <w:p w:rsidR="00F87379" w:rsidRDefault="00F87379" w:rsidP="006163AA">
      <w:pPr>
        <w:jc w:val="center"/>
        <w:rPr>
          <w:b/>
          <w:u w:val="single"/>
        </w:rPr>
      </w:pPr>
    </w:p>
    <w:p w:rsidR="006163AA" w:rsidRPr="009C6D70" w:rsidRDefault="006163AA" w:rsidP="006163AA">
      <w:pPr>
        <w:jc w:val="center"/>
      </w:pPr>
      <w:r w:rsidRPr="009C6D70">
        <w:rPr>
          <w:b/>
          <w:u w:val="single"/>
        </w:rPr>
        <w:t>RECOMMENDED DECISION</w:t>
      </w:r>
    </w:p>
    <w:p w:rsidR="006163AA" w:rsidRPr="009C6D70" w:rsidRDefault="006163AA" w:rsidP="006163AA">
      <w:pPr>
        <w:jc w:val="center"/>
      </w:pPr>
    </w:p>
    <w:p w:rsidR="006163AA" w:rsidRPr="009C6D70" w:rsidRDefault="006163AA" w:rsidP="006163AA">
      <w:pPr>
        <w:jc w:val="center"/>
      </w:pPr>
    </w:p>
    <w:p w:rsidR="006163AA" w:rsidRPr="009C6D70" w:rsidRDefault="006163AA" w:rsidP="006163AA">
      <w:pPr>
        <w:jc w:val="center"/>
      </w:pPr>
      <w:r w:rsidRPr="009C6D70">
        <w:t>Before</w:t>
      </w:r>
    </w:p>
    <w:p w:rsidR="006163AA" w:rsidRPr="009C6D70" w:rsidRDefault="006163AA" w:rsidP="006163AA">
      <w:pPr>
        <w:jc w:val="center"/>
      </w:pPr>
      <w:r w:rsidRPr="009C6D70">
        <w:t xml:space="preserve">Mark A. Hoyer </w:t>
      </w:r>
    </w:p>
    <w:p w:rsidR="00AE21E5" w:rsidRDefault="006163AA" w:rsidP="006163AA">
      <w:pPr>
        <w:jc w:val="center"/>
        <w:sectPr w:rsidR="00AE21E5" w:rsidSect="008A53F1">
          <w:footerReference w:type="even" r:id="rId9"/>
          <w:footerReference w:type="default" r:id="rId10"/>
          <w:footerReference w:type="first" r:id="rId11"/>
          <w:pgSz w:w="12240" w:h="15840" w:code="1"/>
          <w:pgMar w:top="1440" w:right="1440" w:bottom="1440" w:left="1440" w:header="1440" w:footer="1440" w:gutter="0"/>
          <w:cols w:space="720"/>
          <w:titlePg/>
          <w:docGrid w:linePitch="360"/>
        </w:sectPr>
      </w:pPr>
      <w:r w:rsidRPr="009C6D70">
        <w:t>A</w:t>
      </w:r>
      <w:r w:rsidR="00AF6AE2">
        <w:t>dministrative Law Judge</w:t>
      </w:r>
    </w:p>
    <w:p w:rsidR="0009490E" w:rsidRDefault="0009490E" w:rsidP="0009490E">
      <w:pPr>
        <w:tabs>
          <w:tab w:val="left" w:pos="720"/>
          <w:tab w:val="left" w:pos="1440"/>
          <w:tab w:val="left" w:pos="2160"/>
          <w:tab w:val="center" w:pos="4680"/>
        </w:tabs>
        <w:jc w:val="center"/>
        <w:rPr>
          <w:b/>
          <w:u w:val="single"/>
        </w:rPr>
      </w:pPr>
      <w:r w:rsidRPr="009C0B03">
        <w:rPr>
          <w:b/>
          <w:u w:val="single"/>
        </w:rPr>
        <w:lastRenderedPageBreak/>
        <w:t>TABLE OF CONTENTS</w:t>
      </w:r>
    </w:p>
    <w:p w:rsidR="0009490E" w:rsidRPr="009C0B03" w:rsidRDefault="0009490E" w:rsidP="0009490E">
      <w:pPr>
        <w:tabs>
          <w:tab w:val="left" w:pos="720"/>
          <w:tab w:val="left" w:pos="1440"/>
          <w:tab w:val="left" w:pos="2160"/>
          <w:tab w:val="center" w:pos="4680"/>
        </w:tabs>
        <w:jc w:val="center"/>
        <w:rPr>
          <w:b/>
          <w:u w:val="single"/>
        </w:rPr>
      </w:pPr>
    </w:p>
    <w:p w:rsidR="0009490E" w:rsidRPr="009C0B03" w:rsidRDefault="0009490E" w:rsidP="0009490E">
      <w:pPr>
        <w:tabs>
          <w:tab w:val="left" w:pos="720"/>
          <w:tab w:val="left" w:pos="1440"/>
          <w:tab w:val="left" w:pos="2160"/>
        </w:tabs>
      </w:pPr>
    </w:p>
    <w:p w:rsidR="0009490E" w:rsidRDefault="0009490E" w:rsidP="0009490E">
      <w:pPr>
        <w:tabs>
          <w:tab w:val="left" w:pos="720"/>
          <w:tab w:val="left" w:pos="1440"/>
          <w:tab w:val="left" w:pos="2160"/>
          <w:tab w:val="right" w:leader="dot" w:pos="9360"/>
        </w:tabs>
      </w:pPr>
      <w:r w:rsidRPr="009C0B03">
        <w:t>I.</w:t>
      </w:r>
      <w:r w:rsidRPr="009C0B03">
        <w:tab/>
      </w:r>
      <w:r w:rsidRPr="003607F2">
        <w:rPr>
          <w:caps/>
        </w:rPr>
        <w:t>History of the Proceeding</w:t>
      </w:r>
      <w:r w:rsidRPr="009C0B03">
        <w:tab/>
        <w:t>1</w:t>
      </w:r>
    </w:p>
    <w:p w:rsidR="0009490E" w:rsidRDefault="0009490E" w:rsidP="0009490E">
      <w:pPr>
        <w:tabs>
          <w:tab w:val="left" w:pos="720"/>
          <w:tab w:val="left" w:pos="1440"/>
          <w:tab w:val="left" w:pos="2160"/>
          <w:tab w:val="right" w:leader="dot" w:pos="9360"/>
        </w:tabs>
      </w:pPr>
    </w:p>
    <w:p w:rsidR="0055448E" w:rsidRDefault="0055448E" w:rsidP="0009490E">
      <w:pPr>
        <w:tabs>
          <w:tab w:val="left" w:pos="720"/>
          <w:tab w:val="left" w:pos="1440"/>
          <w:tab w:val="left" w:pos="2160"/>
          <w:tab w:val="right" w:leader="dot" w:pos="9360"/>
        </w:tabs>
      </w:pPr>
      <w:r>
        <w:t>II.</w:t>
      </w:r>
      <w:r>
        <w:tab/>
        <w:t>PUBLIC INPUT HEARING</w:t>
      </w:r>
      <w:r>
        <w:tab/>
        <w:t>3</w:t>
      </w:r>
    </w:p>
    <w:p w:rsidR="0055448E" w:rsidRPr="009C0B03" w:rsidRDefault="0055448E" w:rsidP="0009490E">
      <w:pPr>
        <w:tabs>
          <w:tab w:val="left" w:pos="720"/>
          <w:tab w:val="left" w:pos="1440"/>
          <w:tab w:val="left" w:pos="2160"/>
          <w:tab w:val="right" w:leader="dot" w:pos="9360"/>
        </w:tabs>
      </w:pPr>
    </w:p>
    <w:p w:rsidR="0009490E" w:rsidRDefault="0055448E" w:rsidP="0009490E">
      <w:pPr>
        <w:tabs>
          <w:tab w:val="left" w:pos="720"/>
          <w:tab w:val="left" w:pos="1440"/>
          <w:tab w:val="left" w:pos="2160"/>
          <w:tab w:val="right" w:leader="dot" w:pos="9360"/>
        </w:tabs>
      </w:pPr>
      <w:r>
        <w:t>I</w:t>
      </w:r>
      <w:r w:rsidR="0009490E">
        <w:t>II</w:t>
      </w:r>
      <w:r w:rsidR="0009490E" w:rsidRPr="009C0B03">
        <w:t>.</w:t>
      </w:r>
      <w:r w:rsidR="0009490E" w:rsidRPr="009C0B03">
        <w:tab/>
      </w:r>
      <w:r w:rsidR="0009490E">
        <w:t>DESCRIPTION AND TERMS OF SETTLEMENT</w:t>
      </w:r>
      <w:r w:rsidR="0009490E">
        <w:tab/>
      </w:r>
      <w:r>
        <w:t>4</w:t>
      </w:r>
    </w:p>
    <w:p w:rsidR="0009490E" w:rsidRPr="009C0B03" w:rsidRDefault="0009490E" w:rsidP="0009490E">
      <w:pPr>
        <w:tabs>
          <w:tab w:val="left" w:pos="720"/>
          <w:tab w:val="left" w:pos="1440"/>
          <w:tab w:val="left" w:pos="2160"/>
          <w:tab w:val="right" w:leader="dot" w:pos="9360"/>
        </w:tabs>
      </w:pPr>
    </w:p>
    <w:p w:rsidR="0009490E" w:rsidRDefault="0009490E" w:rsidP="0009490E">
      <w:pPr>
        <w:tabs>
          <w:tab w:val="left" w:pos="720"/>
          <w:tab w:val="left" w:pos="1440"/>
          <w:tab w:val="right" w:leader="dot" w:pos="9360"/>
        </w:tabs>
      </w:pPr>
      <w:r w:rsidRPr="009C0B03">
        <w:tab/>
        <w:t>A.</w:t>
      </w:r>
      <w:r w:rsidRPr="009C0B03">
        <w:tab/>
      </w:r>
      <w:r w:rsidR="002E7325">
        <w:t>Revenue Increase and Allocation</w:t>
      </w:r>
      <w:r w:rsidRPr="009C0B03">
        <w:tab/>
      </w:r>
      <w:r w:rsidR="0055448E">
        <w:t>5</w:t>
      </w:r>
    </w:p>
    <w:p w:rsidR="0055448E" w:rsidRDefault="0055448E" w:rsidP="0009490E">
      <w:pPr>
        <w:tabs>
          <w:tab w:val="left" w:pos="720"/>
          <w:tab w:val="left" w:pos="1440"/>
          <w:tab w:val="right" w:leader="dot" w:pos="9360"/>
        </w:tabs>
      </w:pPr>
    </w:p>
    <w:p w:rsidR="0055448E" w:rsidRDefault="0055448E" w:rsidP="0009490E">
      <w:pPr>
        <w:tabs>
          <w:tab w:val="left" w:pos="720"/>
          <w:tab w:val="left" w:pos="1440"/>
          <w:tab w:val="right" w:leader="dot" w:pos="9360"/>
        </w:tabs>
      </w:pPr>
      <w:r>
        <w:tab/>
        <w:t>B.</w:t>
      </w:r>
      <w:r>
        <w:tab/>
        <w:t>Electric Generator</w:t>
      </w:r>
      <w:r>
        <w:tab/>
      </w:r>
      <w:r w:rsidR="00E573A4">
        <w:t>6</w:t>
      </w:r>
      <w:bookmarkStart w:id="0" w:name="_GoBack"/>
      <w:bookmarkEnd w:id="0"/>
    </w:p>
    <w:p w:rsidR="0009490E" w:rsidRPr="009C0B03" w:rsidRDefault="0009490E" w:rsidP="0009490E">
      <w:pPr>
        <w:tabs>
          <w:tab w:val="left" w:pos="720"/>
          <w:tab w:val="left" w:pos="1440"/>
          <w:tab w:val="right" w:leader="dot" w:pos="9360"/>
        </w:tabs>
      </w:pPr>
    </w:p>
    <w:p w:rsidR="0009490E" w:rsidRDefault="0009490E" w:rsidP="0009490E">
      <w:pPr>
        <w:tabs>
          <w:tab w:val="left" w:pos="720"/>
          <w:tab w:val="left" w:pos="1440"/>
          <w:tab w:val="left" w:pos="2160"/>
          <w:tab w:val="right" w:leader="dot" w:pos="9360"/>
        </w:tabs>
      </w:pPr>
      <w:r w:rsidRPr="009C0B03">
        <w:tab/>
      </w:r>
      <w:r w:rsidR="0055448E">
        <w:t>C</w:t>
      </w:r>
      <w:r w:rsidRPr="009C0B03">
        <w:t>.</w:t>
      </w:r>
      <w:r w:rsidRPr="009C0B03">
        <w:tab/>
      </w:r>
      <w:r w:rsidR="002E7325">
        <w:t>Affiliated Interest Agreement</w:t>
      </w:r>
      <w:r w:rsidRPr="009C0B03">
        <w:tab/>
      </w:r>
      <w:r w:rsidR="0055448E">
        <w:t>6</w:t>
      </w:r>
    </w:p>
    <w:p w:rsidR="0009490E" w:rsidRDefault="0009490E" w:rsidP="0009490E">
      <w:pPr>
        <w:tabs>
          <w:tab w:val="left" w:pos="720"/>
          <w:tab w:val="left" w:pos="1440"/>
          <w:tab w:val="left" w:pos="2160"/>
          <w:tab w:val="right" w:leader="dot" w:pos="9360"/>
        </w:tabs>
      </w:pPr>
    </w:p>
    <w:p w:rsidR="0009490E" w:rsidRDefault="0009490E" w:rsidP="0009490E">
      <w:pPr>
        <w:tabs>
          <w:tab w:val="left" w:pos="720"/>
          <w:tab w:val="left" w:pos="1440"/>
          <w:tab w:val="left" w:pos="2160"/>
          <w:tab w:val="right" w:leader="dot" w:pos="9360"/>
        </w:tabs>
      </w:pPr>
      <w:r>
        <w:tab/>
      </w:r>
      <w:r w:rsidR="0055448E">
        <w:t>D</w:t>
      </w:r>
      <w:r>
        <w:t>.</w:t>
      </w:r>
      <w:r>
        <w:tab/>
      </w:r>
      <w:r w:rsidR="002E7325">
        <w:t>Stay-Out Provision</w:t>
      </w:r>
      <w:r>
        <w:tab/>
      </w:r>
      <w:r w:rsidR="0055448E">
        <w:t>6</w:t>
      </w:r>
    </w:p>
    <w:p w:rsidR="0009490E" w:rsidRDefault="0009490E" w:rsidP="0009490E">
      <w:pPr>
        <w:tabs>
          <w:tab w:val="left" w:pos="720"/>
          <w:tab w:val="left" w:pos="1440"/>
          <w:tab w:val="left" w:pos="2160"/>
          <w:tab w:val="right" w:leader="dot" w:pos="9360"/>
        </w:tabs>
      </w:pPr>
    </w:p>
    <w:p w:rsidR="0009490E" w:rsidRDefault="0009490E" w:rsidP="0009490E">
      <w:pPr>
        <w:tabs>
          <w:tab w:val="left" w:pos="720"/>
          <w:tab w:val="left" w:pos="1440"/>
          <w:tab w:val="left" w:pos="2160"/>
          <w:tab w:val="right" w:leader="dot" w:pos="9360"/>
        </w:tabs>
      </w:pPr>
      <w:r>
        <w:t>I</w:t>
      </w:r>
      <w:r w:rsidR="00DD0F1B">
        <w:t>V</w:t>
      </w:r>
      <w:r>
        <w:t>.</w:t>
      </w:r>
      <w:r>
        <w:tab/>
        <w:t>DISCUSSION</w:t>
      </w:r>
      <w:r w:rsidR="002E7325">
        <w:tab/>
      </w:r>
      <w:r w:rsidR="002E7325">
        <w:tab/>
      </w:r>
      <w:r w:rsidR="00DD0F1B">
        <w:t>7</w:t>
      </w:r>
    </w:p>
    <w:p w:rsidR="0009490E" w:rsidRDefault="0009490E" w:rsidP="0009490E">
      <w:pPr>
        <w:tabs>
          <w:tab w:val="left" w:pos="720"/>
          <w:tab w:val="left" w:pos="1440"/>
          <w:tab w:val="left" w:pos="2160"/>
          <w:tab w:val="right" w:leader="dot" w:pos="9360"/>
        </w:tabs>
      </w:pPr>
    </w:p>
    <w:p w:rsidR="0009490E" w:rsidRDefault="0009490E" w:rsidP="0009490E">
      <w:pPr>
        <w:tabs>
          <w:tab w:val="left" w:pos="720"/>
          <w:tab w:val="left" w:pos="1440"/>
          <w:tab w:val="left" w:pos="2160"/>
          <w:tab w:val="right" w:leader="dot" w:pos="9360"/>
        </w:tabs>
      </w:pPr>
      <w:r>
        <w:tab/>
        <w:t>A.</w:t>
      </w:r>
      <w:r>
        <w:tab/>
      </w:r>
      <w:proofErr w:type="spellStart"/>
      <w:r w:rsidR="00ED0A55">
        <w:t>Plumer’s</w:t>
      </w:r>
      <w:proofErr w:type="spellEnd"/>
      <w:r w:rsidR="00ED0A55">
        <w:t xml:space="preserve"> </w:t>
      </w:r>
      <w:r w:rsidR="00494CEB">
        <w:t>Position</w:t>
      </w:r>
      <w:r>
        <w:tab/>
      </w:r>
      <w:r w:rsidR="00DD0F1B">
        <w:t>7</w:t>
      </w:r>
    </w:p>
    <w:p w:rsidR="0009490E" w:rsidRDefault="0009490E" w:rsidP="0009490E">
      <w:pPr>
        <w:tabs>
          <w:tab w:val="left" w:pos="720"/>
          <w:tab w:val="left" w:pos="1440"/>
          <w:tab w:val="left" w:pos="2160"/>
          <w:tab w:val="right" w:leader="dot" w:pos="9360"/>
        </w:tabs>
      </w:pPr>
    </w:p>
    <w:p w:rsidR="0009490E" w:rsidRDefault="0009490E" w:rsidP="0009490E">
      <w:pPr>
        <w:tabs>
          <w:tab w:val="left" w:pos="720"/>
          <w:tab w:val="left" w:pos="1440"/>
          <w:tab w:val="left" w:pos="2160"/>
          <w:tab w:val="right" w:leader="dot" w:pos="9360"/>
        </w:tabs>
      </w:pPr>
      <w:r>
        <w:tab/>
      </w:r>
      <w:r>
        <w:tab/>
        <w:t>1.</w:t>
      </w:r>
      <w:r>
        <w:tab/>
      </w:r>
      <w:r w:rsidR="00CC5C5C">
        <w:t>Revenue Increase and Allocation</w:t>
      </w:r>
      <w:r>
        <w:tab/>
      </w:r>
      <w:r w:rsidR="00DD0F1B">
        <w:t>9</w:t>
      </w:r>
    </w:p>
    <w:p w:rsidR="00DD0F1B" w:rsidRDefault="00DD0F1B" w:rsidP="0009490E">
      <w:pPr>
        <w:tabs>
          <w:tab w:val="left" w:pos="720"/>
          <w:tab w:val="left" w:pos="1440"/>
          <w:tab w:val="left" w:pos="2160"/>
          <w:tab w:val="right" w:leader="dot" w:pos="9360"/>
        </w:tabs>
      </w:pPr>
    </w:p>
    <w:p w:rsidR="00DD0F1B" w:rsidRDefault="00DD0F1B" w:rsidP="0009490E">
      <w:pPr>
        <w:tabs>
          <w:tab w:val="left" w:pos="720"/>
          <w:tab w:val="left" w:pos="1440"/>
          <w:tab w:val="left" w:pos="2160"/>
          <w:tab w:val="right" w:leader="dot" w:pos="9360"/>
        </w:tabs>
      </w:pPr>
      <w:r>
        <w:tab/>
      </w:r>
      <w:r>
        <w:tab/>
        <w:t>2.</w:t>
      </w:r>
      <w:r>
        <w:tab/>
        <w:t>Electric Generator</w:t>
      </w:r>
      <w:r>
        <w:tab/>
        <w:t>10</w:t>
      </w:r>
    </w:p>
    <w:p w:rsidR="0009490E" w:rsidRDefault="0009490E" w:rsidP="0009490E">
      <w:pPr>
        <w:tabs>
          <w:tab w:val="left" w:pos="720"/>
          <w:tab w:val="left" w:pos="1440"/>
          <w:tab w:val="left" w:pos="2160"/>
          <w:tab w:val="right" w:leader="dot" w:pos="9360"/>
        </w:tabs>
      </w:pPr>
    </w:p>
    <w:p w:rsidR="0009490E" w:rsidRDefault="0009490E" w:rsidP="0009490E">
      <w:pPr>
        <w:tabs>
          <w:tab w:val="left" w:pos="720"/>
          <w:tab w:val="left" w:pos="1440"/>
          <w:tab w:val="left" w:pos="2160"/>
          <w:tab w:val="right" w:leader="dot" w:pos="9360"/>
        </w:tabs>
      </w:pPr>
      <w:r>
        <w:tab/>
      </w:r>
      <w:r>
        <w:tab/>
      </w:r>
      <w:r w:rsidR="00DD0F1B">
        <w:t>3</w:t>
      </w:r>
      <w:r>
        <w:t>.</w:t>
      </w:r>
      <w:r>
        <w:tab/>
      </w:r>
      <w:r w:rsidR="00CC5C5C">
        <w:t>Affiliated Interest Agreement</w:t>
      </w:r>
      <w:r>
        <w:tab/>
      </w:r>
      <w:r w:rsidR="00DD0F1B">
        <w:t>1</w:t>
      </w:r>
      <w:r w:rsidR="00761468">
        <w:t>1</w:t>
      </w:r>
    </w:p>
    <w:p w:rsidR="0009490E" w:rsidRDefault="0009490E" w:rsidP="0009490E">
      <w:pPr>
        <w:tabs>
          <w:tab w:val="left" w:pos="720"/>
          <w:tab w:val="left" w:pos="1440"/>
          <w:tab w:val="left" w:pos="2160"/>
          <w:tab w:val="right" w:leader="dot" w:pos="9360"/>
        </w:tabs>
      </w:pPr>
    </w:p>
    <w:p w:rsidR="0009490E" w:rsidRDefault="0009490E" w:rsidP="0009490E">
      <w:pPr>
        <w:tabs>
          <w:tab w:val="left" w:pos="720"/>
          <w:tab w:val="left" w:pos="1440"/>
          <w:tab w:val="left" w:pos="2160"/>
          <w:tab w:val="right" w:leader="dot" w:pos="9360"/>
        </w:tabs>
      </w:pPr>
      <w:r>
        <w:tab/>
      </w:r>
      <w:r>
        <w:tab/>
      </w:r>
      <w:r w:rsidR="00DD0F1B">
        <w:t>4</w:t>
      </w:r>
      <w:r>
        <w:t>.</w:t>
      </w:r>
      <w:r>
        <w:tab/>
      </w:r>
      <w:r w:rsidR="00CC5C5C">
        <w:t>Stay-Out Provision</w:t>
      </w:r>
      <w:r>
        <w:tab/>
      </w:r>
      <w:r w:rsidR="00DD0F1B">
        <w:t>11</w:t>
      </w:r>
    </w:p>
    <w:p w:rsidR="0009490E" w:rsidRDefault="0009490E" w:rsidP="0009490E">
      <w:pPr>
        <w:tabs>
          <w:tab w:val="left" w:pos="720"/>
          <w:tab w:val="left" w:pos="1440"/>
          <w:tab w:val="left" w:pos="2160"/>
          <w:tab w:val="right" w:leader="dot" w:pos="9360"/>
        </w:tabs>
      </w:pPr>
    </w:p>
    <w:p w:rsidR="0009490E" w:rsidRDefault="0009490E" w:rsidP="0009490E">
      <w:pPr>
        <w:tabs>
          <w:tab w:val="left" w:pos="720"/>
          <w:tab w:val="left" w:pos="1440"/>
          <w:tab w:val="left" w:pos="2160"/>
          <w:tab w:val="right" w:leader="dot" w:pos="9360"/>
        </w:tabs>
      </w:pPr>
      <w:r>
        <w:tab/>
        <w:t>B.</w:t>
      </w:r>
      <w:r>
        <w:tab/>
      </w:r>
      <w:r w:rsidR="003063D2">
        <w:t>I&amp;E’s Position</w:t>
      </w:r>
      <w:r>
        <w:tab/>
      </w:r>
      <w:r w:rsidR="00DD0F1B">
        <w:t>11</w:t>
      </w:r>
    </w:p>
    <w:p w:rsidR="003063D2" w:rsidRDefault="003063D2" w:rsidP="0009490E">
      <w:pPr>
        <w:tabs>
          <w:tab w:val="left" w:pos="720"/>
          <w:tab w:val="left" w:pos="1440"/>
          <w:tab w:val="left" w:pos="2160"/>
          <w:tab w:val="right" w:leader="dot" w:pos="9360"/>
        </w:tabs>
      </w:pPr>
    </w:p>
    <w:p w:rsidR="003063D2" w:rsidRDefault="003063D2" w:rsidP="0009490E">
      <w:pPr>
        <w:tabs>
          <w:tab w:val="left" w:pos="720"/>
          <w:tab w:val="left" w:pos="1440"/>
          <w:tab w:val="left" w:pos="2160"/>
          <w:tab w:val="right" w:leader="dot" w:pos="9360"/>
        </w:tabs>
      </w:pPr>
      <w:r>
        <w:tab/>
      </w:r>
      <w:r>
        <w:tab/>
        <w:t>1.</w:t>
      </w:r>
      <w:r>
        <w:tab/>
        <w:t>Revenue Increase and Allocation</w:t>
      </w:r>
      <w:r>
        <w:tab/>
        <w:t>1</w:t>
      </w:r>
      <w:r w:rsidR="00DD0F1B">
        <w:t>3</w:t>
      </w:r>
    </w:p>
    <w:p w:rsidR="00DD0F1B" w:rsidRDefault="00DD0F1B" w:rsidP="0009490E">
      <w:pPr>
        <w:tabs>
          <w:tab w:val="left" w:pos="720"/>
          <w:tab w:val="left" w:pos="1440"/>
          <w:tab w:val="left" w:pos="2160"/>
          <w:tab w:val="right" w:leader="dot" w:pos="9360"/>
        </w:tabs>
      </w:pPr>
    </w:p>
    <w:p w:rsidR="00DD0F1B" w:rsidRDefault="00DD0F1B" w:rsidP="0009490E">
      <w:pPr>
        <w:tabs>
          <w:tab w:val="left" w:pos="720"/>
          <w:tab w:val="left" w:pos="1440"/>
          <w:tab w:val="left" w:pos="2160"/>
          <w:tab w:val="right" w:leader="dot" w:pos="9360"/>
        </w:tabs>
      </w:pPr>
      <w:r>
        <w:tab/>
      </w:r>
      <w:r>
        <w:tab/>
        <w:t>2.</w:t>
      </w:r>
      <w:r>
        <w:tab/>
        <w:t>Electric Generator</w:t>
      </w:r>
      <w:r>
        <w:tab/>
        <w:t>16</w:t>
      </w:r>
    </w:p>
    <w:p w:rsidR="002A21D6" w:rsidRDefault="002A21D6" w:rsidP="0009490E">
      <w:pPr>
        <w:tabs>
          <w:tab w:val="left" w:pos="720"/>
          <w:tab w:val="left" w:pos="1440"/>
          <w:tab w:val="left" w:pos="2160"/>
          <w:tab w:val="right" w:leader="dot" w:pos="9360"/>
        </w:tabs>
      </w:pPr>
    </w:p>
    <w:p w:rsidR="002A21D6" w:rsidRDefault="002A21D6" w:rsidP="0009490E">
      <w:pPr>
        <w:tabs>
          <w:tab w:val="left" w:pos="720"/>
          <w:tab w:val="left" w:pos="1440"/>
          <w:tab w:val="left" w:pos="2160"/>
          <w:tab w:val="right" w:leader="dot" w:pos="9360"/>
        </w:tabs>
      </w:pPr>
      <w:r>
        <w:tab/>
      </w:r>
      <w:r>
        <w:tab/>
      </w:r>
      <w:r w:rsidR="00DD0F1B">
        <w:t>3</w:t>
      </w:r>
      <w:r>
        <w:t>.</w:t>
      </w:r>
      <w:r>
        <w:tab/>
        <w:t>Affiliated Interest Agreement</w:t>
      </w:r>
      <w:r>
        <w:tab/>
        <w:t>1</w:t>
      </w:r>
      <w:r w:rsidR="00761468">
        <w:t>7</w:t>
      </w:r>
    </w:p>
    <w:p w:rsidR="00C2387C" w:rsidRDefault="00C2387C" w:rsidP="0009490E">
      <w:pPr>
        <w:tabs>
          <w:tab w:val="left" w:pos="720"/>
          <w:tab w:val="left" w:pos="1440"/>
          <w:tab w:val="left" w:pos="2160"/>
          <w:tab w:val="right" w:leader="dot" w:pos="9360"/>
        </w:tabs>
      </w:pPr>
    </w:p>
    <w:p w:rsidR="00C2387C" w:rsidRDefault="00C2387C" w:rsidP="0009490E">
      <w:pPr>
        <w:tabs>
          <w:tab w:val="left" w:pos="720"/>
          <w:tab w:val="left" w:pos="1440"/>
          <w:tab w:val="left" w:pos="2160"/>
          <w:tab w:val="right" w:leader="dot" w:pos="9360"/>
        </w:tabs>
      </w:pPr>
      <w:r>
        <w:tab/>
      </w:r>
      <w:r>
        <w:tab/>
      </w:r>
      <w:r w:rsidR="00DD0F1B">
        <w:t>4</w:t>
      </w:r>
      <w:r>
        <w:t>.</w:t>
      </w:r>
      <w:r>
        <w:tab/>
        <w:t>Stay-Out Provision</w:t>
      </w:r>
      <w:r>
        <w:tab/>
        <w:t>1</w:t>
      </w:r>
      <w:r w:rsidR="00DD0F1B">
        <w:t>7</w:t>
      </w:r>
    </w:p>
    <w:p w:rsidR="00771312" w:rsidRDefault="00771312" w:rsidP="0009490E">
      <w:pPr>
        <w:tabs>
          <w:tab w:val="left" w:pos="720"/>
          <w:tab w:val="left" w:pos="1440"/>
          <w:tab w:val="left" w:pos="2160"/>
          <w:tab w:val="right" w:leader="dot" w:pos="9360"/>
        </w:tabs>
      </w:pPr>
    </w:p>
    <w:p w:rsidR="00771312" w:rsidRDefault="00771312" w:rsidP="0009490E">
      <w:pPr>
        <w:tabs>
          <w:tab w:val="left" w:pos="720"/>
          <w:tab w:val="left" w:pos="1440"/>
          <w:tab w:val="left" w:pos="2160"/>
          <w:tab w:val="right" w:leader="dot" w:pos="9360"/>
        </w:tabs>
      </w:pPr>
      <w:r>
        <w:tab/>
        <w:t>C.</w:t>
      </w:r>
      <w:r>
        <w:tab/>
        <w:t>OCA’s Position</w:t>
      </w:r>
      <w:r>
        <w:tab/>
        <w:t>1</w:t>
      </w:r>
      <w:r w:rsidR="00DD0F1B">
        <w:t>8</w:t>
      </w:r>
    </w:p>
    <w:p w:rsidR="00C8346F" w:rsidRDefault="00C8346F" w:rsidP="0009490E">
      <w:pPr>
        <w:tabs>
          <w:tab w:val="left" w:pos="720"/>
          <w:tab w:val="left" w:pos="1440"/>
          <w:tab w:val="left" w:pos="2160"/>
          <w:tab w:val="right" w:leader="dot" w:pos="9360"/>
        </w:tabs>
      </w:pPr>
    </w:p>
    <w:p w:rsidR="00C8346F" w:rsidRDefault="00C8346F" w:rsidP="00C8346F">
      <w:pPr>
        <w:tabs>
          <w:tab w:val="left" w:pos="720"/>
          <w:tab w:val="left" w:pos="1440"/>
          <w:tab w:val="left" w:pos="2160"/>
          <w:tab w:val="right" w:leader="dot" w:pos="9360"/>
        </w:tabs>
      </w:pPr>
      <w:r>
        <w:tab/>
      </w:r>
      <w:r>
        <w:tab/>
        <w:t>1.</w:t>
      </w:r>
      <w:r>
        <w:tab/>
        <w:t>Revenue Increase and Allocation</w:t>
      </w:r>
      <w:r>
        <w:tab/>
        <w:t>1</w:t>
      </w:r>
      <w:r w:rsidR="00761468">
        <w:t>9</w:t>
      </w:r>
    </w:p>
    <w:p w:rsidR="00DD0F1B" w:rsidRDefault="00DD0F1B" w:rsidP="00C8346F">
      <w:pPr>
        <w:tabs>
          <w:tab w:val="left" w:pos="720"/>
          <w:tab w:val="left" w:pos="1440"/>
          <w:tab w:val="left" w:pos="2160"/>
          <w:tab w:val="right" w:leader="dot" w:pos="9360"/>
        </w:tabs>
      </w:pPr>
    </w:p>
    <w:p w:rsidR="00DD0F1B" w:rsidRDefault="00DD0F1B" w:rsidP="00C8346F">
      <w:pPr>
        <w:tabs>
          <w:tab w:val="left" w:pos="720"/>
          <w:tab w:val="left" w:pos="1440"/>
          <w:tab w:val="left" w:pos="2160"/>
          <w:tab w:val="right" w:leader="dot" w:pos="9360"/>
        </w:tabs>
      </w:pPr>
      <w:r>
        <w:tab/>
      </w:r>
      <w:r>
        <w:tab/>
        <w:t>2.</w:t>
      </w:r>
      <w:r>
        <w:tab/>
        <w:t>Electric Generator</w:t>
      </w:r>
      <w:r>
        <w:tab/>
        <w:t>19</w:t>
      </w:r>
    </w:p>
    <w:p w:rsidR="00C8346F" w:rsidRDefault="00C8346F" w:rsidP="00C8346F">
      <w:pPr>
        <w:tabs>
          <w:tab w:val="left" w:pos="720"/>
          <w:tab w:val="left" w:pos="1440"/>
          <w:tab w:val="left" w:pos="2160"/>
          <w:tab w:val="right" w:leader="dot" w:pos="9360"/>
        </w:tabs>
      </w:pPr>
    </w:p>
    <w:p w:rsidR="00C8346F" w:rsidRDefault="00C8346F" w:rsidP="00C8346F">
      <w:pPr>
        <w:tabs>
          <w:tab w:val="left" w:pos="720"/>
          <w:tab w:val="left" w:pos="1440"/>
          <w:tab w:val="left" w:pos="2160"/>
          <w:tab w:val="right" w:leader="dot" w:pos="9360"/>
        </w:tabs>
      </w:pPr>
      <w:r>
        <w:lastRenderedPageBreak/>
        <w:tab/>
      </w:r>
      <w:r>
        <w:tab/>
      </w:r>
      <w:r w:rsidR="00DD0F1B">
        <w:t>3</w:t>
      </w:r>
      <w:r>
        <w:t>.</w:t>
      </w:r>
      <w:r>
        <w:tab/>
        <w:t>Affiliated Interest Agreement</w:t>
      </w:r>
      <w:r>
        <w:tab/>
      </w:r>
      <w:r w:rsidR="00761468">
        <w:t>20</w:t>
      </w:r>
    </w:p>
    <w:p w:rsidR="00C8346F" w:rsidRDefault="00C8346F" w:rsidP="00C8346F">
      <w:pPr>
        <w:tabs>
          <w:tab w:val="left" w:pos="720"/>
          <w:tab w:val="left" w:pos="1440"/>
          <w:tab w:val="left" w:pos="2160"/>
          <w:tab w:val="right" w:leader="dot" w:pos="9360"/>
        </w:tabs>
      </w:pPr>
    </w:p>
    <w:p w:rsidR="00C8346F" w:rsidRDefault="00C8346F" w:rsidP="00C8346F">
      <w:pPr>
        <w:tabs>
          <w:tab w:val="left" w:pos="720"/>
          <w:tab w:val="left" w:pos="1440"/>
          <w:tab w:val="left" w:pos="2160"/>
          <w:tab w:val="right" w:leader="dot" w:pos="9360"/>
        </w:tabs>
      </w:pPr>
      <w:r>
        <w:tab/>
      </w:r>
      <w:r>
        <w:tab/>
      </w:r>
      <w:r w:rsidR="00DD0F1B">
        <w:t>4</w:t>
      </w:r>
      <w:r>
        <w:t>.</w:t>
      </w:r>
      <w:r>
        <w:tab/>
        <w:t>Stay-Out Provision</w:t>
      </w:r>
      <w:r>
        <w:tab/>
      </w:r>
      <w:r w:rsidR="00DD0F1B">
        <w:t>20</w:t>
      </w:r>
    </w:p>
    <w:p w:rsidR="00C8346F" w:rsidRDefault="00C8346F" w:rsidP="00C8346F">
      <w:pPr>
        <w:tabs>
          <w:tab w:val="left" w:pos="720"/>
          <w:tab w:val="left" w:pos="1440"/>
          <w:tab w:val="left" w:pos="2160"/>
          <w:tab w:val="right" w:leader="dot" w:pos="9360"/>
        </w:tabs>
      </w:pPr>
    </w:p>
    <w:p w:rsidR="00C8346F" w:rsidRDefault="00C8346F" w:rsidP="00C8346F">
      <w:pPr>
        <w:tabs>
          <w:tab w:val="left" w:pos="720"/>
          <w:tab w:val="left" w:pos="1440"/>
          <w:tab w:val="left" w:pos="2160"/>
          <w:tab w:val="right" w:leader="dot" w:pos="9360"/>
        </w:tabs>
      </w:pPr>
      <w:r>
        <w:tab/>
        <w:t>D.</w:t>
      </w:r>
      <w:r>
        <w:tab/>
        <w:t>Recommendation</w:t>
      </w:r>
      <w:r>
        <w:tab/>
      </w:r>
      <w:r w:rsidR="00DD0F1B">
        <w:t>2</w:t>
      </w:r>
      <w:r w:rsidR="00761468">
        <w:t>1</w:t>
      </w:r>
    </w:p>
    <w:p w:rsidR="00C8346F" w:rsidRDefault="00C8346F" w:rsidP="0009490E">
      <w:pPr>
        <w:tabs>
          <w:tab w:val="left" w:pos="720"/>
          <w:tab w:val="left" w:pos="1440"/>
          <w:tab w:val="left" w:pos="2160"/>
          <w:tab w:val="right" w:leader="dot" w:pos="9360"/>
        </w:tabs>
      </w:pPr>
    </w:p>
    <w:p w:rsidR="0009490E" w:rsidRDefault="0009490E" w:rsidP="0009490E">
      <w:pPr>
        <w:tabs>
          <w:tab w:val="left" w:pos="720"/>
          <w:tab w:val="left" w:pos="1440"/>
          <w:tab w:val="left" w:pos="2160"/>
          <w:tab w:val="right" w:leader="dot" w:pos="9360"/>
        </w:tabs>
      </w:pPr>
      <w:r>
        <w:t>V.</w:t>
      </w:r>
      <w:r>
        <w:tab/>
        <w:t>CONCLUSIONS OF LAW</w:t>
      </w:r>
      <w:r>
        <w:tab/>
      </w:r>
      <w:r w:rsidR="00DD0F1B">
        <w:t>2</w:t>
      </w:r>
      <w:r w:rsidR="00761468">
        <w:t>5</w:t>
      </w:r>
    </w:p>
    <w:p w:rsidR="0009490E" w:rsidRDefault="0009490E" w:rsidP="0009490E">
      <w:pPr>
        <w:tabs>
          <w:tab w:val="left" w:pos="720"/>
          <w:tab w:val="left" w:pos="1440"/>
          <w:tab w:val="left" w:pos="2160"/>
          <w:tab w:val="right" w:leader="dot" w:pos="9360"/>
        </w:tabs>
      </w:pPr>
    </w:p>
    <w:p w:rsidR="0009490E" w:rsidRDefault="0009490E" w:rsidP="0009490E">
      <w:pPr>
        <w:tabs>
          <w:tab w:val="left" w:pos="720"/>
          <w:tab w:val="left" w:pos="1440"/>
          <w:tab w:val="right" w:leader="dot" w:pos="9360"/>
        </w:tabs>
      </w:pPr>
      <w:r>
        <w:t>V</w:t>
      </w:r>
      <w:r w:rsidR="00DD0F1B">
        <w:t>I</w:t>
      </w:r>
      <w:r>
        <w:t>.</w:t>
      </w:r>
      <w:r>
        <w:tab/>
        <w:t>ORDER</w:t>
      </w:r>
      <w:r>
        <w:tab/>
      </w:r>
      <w:r w:rsidR="00DD0F1B">
        <w:t>25</w:t>
      </w:r>
    </w:p>
    <w:p w:rsidR="002C4CE4" w:rsidRDefault="002C4CE4" w:rsidP="006163AA">
      <w:pPr>
        <w:spacing w:line="360" w:lineRule="auto"/>
        <w:jc w:val="center"/>
        <w:sectPr w:rsidR="002C4CE4" w:rsidSect="005F7760">
          <w:footerReference w:type="default" r:id="rId12"/>
          <w:footerReference w:type="first" r:id="rId13"/>
          <w:pgSz w:w="12240" w:h="15840" w:code="1"/>
          <w:pgMar w:top="1440" w:right="1440" w:bottom="1440" w:left="1440" w:header="1440" w:footer="1440" w:gutter="0"/>
          <w:pgNumType w:fmt="lowerRoman" w:start="1"/>
          <w:cols w:space="720"/>
          <w:titlePg/>
          <w:docGrid w:linePitch="360"/>
        </w:sectPr>
      </w:pPr>
    </w:p>
    <w:p w:rsidR="00ED0A55" w:rsidRDefault="000F7CE1" w:rsidP="00ED0A55">
      <w:pPr>
        <w:spacing w:line="360" w:lineRule="auto"/>
        <w:jc w:val="center"/>
      </w:pPr>
      <w:r>
        <w:lastRenderedPageBreak/>
        <w:t>I</w:t>
      </w:r>
      <w:r w:rsidR="006163AA" w:rsidRPr="009C6D70">
        <w:t>.</w:t>
      </w:r>
      <w:r w:rsidR="006163AA" w:rsidRPr="009C6D70">
        <w:tab/>
      </w:r>
      <w:r w:rsidR="006163AA" w:rsidRPr="009C6D70">
        <w:rPr>
          <w:u w:val="single"/>
        </w:rPr>
        <w:t>HISTORY OF THE PROCEEDING</w:t>
      </w:r>
    </w:p>
    <w:p w:rsidR="00ED0A55" w:rsidRDefault="00ED0A55" w:rsidP="00ED0A55">
      <w:pPr>
        <w:spacing w:line="360" w:lineRule="auto"/>
      </w:pPr>
    </w:p>
    <w:p w:rsidR="00ED0A55" w:rsidRDefault="00ED0A55" w:rsidP="00ED0A55">
      <w:pPr>
        <w:spacing w:line="360" w:lineRule="auto"/>
        <w:ind w:firstLine="1440"/>
      </w:pPr>
      <w:r w:rsidRPr="009C6D70">
        <w:t xml:space="preserve">This Recommended Decision approves, without modification, the Joint Petition for Settlement </w:t>
      </w:r>
      <w:r>
        <w:t>of Rate Investigation (“Joint Petition” or “Settlement”)</w:t>
      </w:r>
      <w:r w:rsidRPr="009C6D70">
        <w:t xml:space="preserve">, which the parties joining therein filed on </w:t>
      </w:r>
      <w:r>
        <w:t>April 1, 2015.</w:t>
      </w:r>
    </w:p>
    <w:p w:rsidR="00ED0A55" w:rsidRDefault="00ED0A55" w:rsidP="00ED0A55">
      <w:pPr>
        <w:spacing w:line="360" w:lineRule="auto"/>
        <w:ind w:firstLine="1440"/>
      </w:pPr>
    </w:p>
    <w:p w:rsidR="00ED0A55" w:rsidRDefault="00ED0A55" w:rsidP="00ED0A55">
      <w:pPr>
        <w:spacing w:line="360" w:lineRule="auto"/>
        <w:ind w:firstLine="1440"/>
      </w:pPr>
      <w:r w:rsidRPr="00D941E3">
        <w:t xml:space="preserve">On September 18, 2014, </w:t>
      </w:r>
      <w:proofErr w:type="spellStart"/>
      <w:r>
        <w:t>Plumer</w:t>
      </w:r>
      <w:proofErr w:type="spellEnd"/>
      <w:r>
        <w:t xml:space="preserve"> Water Company </w:t>
      </w:r>
      <w:r w:rsidRPr="00D941E3">
        <w:t>(</w:t>
      </w:r>
      <w:r>
        <w:t>“</w:t>
      </w:r>
      <w:r w:rsidRPr="00D941E3">
        <w:t>Respondent</w:t>
      </w:r>
      <w:r>
        <w:t>” or “</w:t>
      </w:r>
      <w:proofErr w:type="spellStart"/>
      <w:r>
        <w:t>Plumer</w:t>
      </w:r>
      <w:proofErr w:type="spellEnd"/>
      <w:r>
        <w:t xml:space="preserve">”) </w:t>
      </w:r>
      <w:r w:rsidRPr="00D941E3">
        <w:t xml:space="preserve">filed Supplement No. </w:t>
      </w:r>
      <w:r>
        <w:t>13</w:t>
      </w:r>
      <w:r w:rsidRPr="00D941E3">
        <w:t xml:space="preserve"> to Tariff Water-Pa. P.U.C. No. </w:t>
      </w:r>
      <w:r>
        <w:t>2</w:t>
      </w:r>
      <w:r w:rsidRPr="00D941E3">
        <w:t xml:space="preserve"> to become effective December 5, 2014, containing proposed changes in rates, rules, and regu</w:t>
      </w:r>
      <w:r>
        <w:t>lations calculated to produce $11,409 (3</w:t>
      </w:r>
      <w:r w:rsidR="00CF4FB3">
        <w:t>4</w:t>
      </w:r>
      <w:r>
        <w:t>.</w:t>
      </w:r>
      <w:r w:rsidR="00CF4FB3">
        <w:t>92</w:t>
      </w:r>
      <w:r>
        <w:t>%)</w:t>
      </w:r>
      <w:r w:rsidRPr="00D941E3">
        <w:t xml:space="preserve"> in additional annual revenues from customers based on a historic test year ending December 31, 2013.</w:t>
      </w:r>
      <w:r>
        <w:t xml:space="preserve">  </w:t>
      </w:r>
    </w:p>
    <w:p w:rsidR="00ED0A55" w:rsidRDefault="00ED0A55" w:rsidP="00ED0A55">
      <w:pPr>
        <w:spacing w:line="360" w:lineRule="auto"/>
        <w:ind w:firstLine="1440"/>
      </w:pPr>
    </w:p>
    <w:p w:rsidR="00ED0A55" w:rsidRDefault="00ED0A55" w:rsidP="00ED0A55">
      <w:pPr>
        <w:spacing w:line="360" w:lineRule="auto"/>
        <w:ind w:firstLine="1440"/>
      </w:pPr>
      <w:r>
        <w:t xml:space="preserve">On October 17, 2014, David J. Schneider filed a formal complaint at Docket No. </w:t>
      </w:r>
      <w:proofErr w:type="gramStart"/>
      <w:r>
        <w:t>C-2014-2449779.</w:t>
      </w:r>
      <w:proofErr w:type="gramEnd"/>
      <w:r>
        <w:t xml:space="preserve">  O</w:t>
      </w:r>
      <w:r w:rsidRPr="00D941E3">
        <w:t>n October 22, 2014, the Offic</w:t>
      </w:r>
      <w:r>
        <w:t>e of Consumer Advocate (“OCA”) filed a formal c</w:t>
      </w:r>
      <w:r w:rsidRPr="00D941E3">
        <w:t xml:space="preserve">omplaint at Docket No. </w:t>
      </w:r>
      <w:proofErr w:type="gramStart"/>
      <w:r w:rsidRPr="00D941E3">
        <w:t>C-2014-244925</w:t>
      </w:r>
      <w:r>
        <w:t>8</w:t>
      </w:r>
      <w:r w:rsidRPr="00D941E3">
        <w:t>.</w:t>
      </w:r>
      <w:proofErr w:type="gramEnd"/>
      <w:r w:rsidRPr="00D941E3">
        <w:t xml:space="preserve">  </w:t>
      </w:r>
      <w:r>
        <w:t xml:space="preserve">On October 24, 2014, the Commission’s Bureau of Investigation and Enforcement (“I&amp;E”) filed a Notice of Appearance.  The OCA’s formal complaint and the formal complaint of David J. Schneider were consolidated in this rate proceeding for mediation, hearing and disposition.    </w:t>
      </w:r>
    </w:p>
    <w:p w:rsidR="00ED0A55" w:rsidRDefault="00ED0A55" w:rsidP="00ED0A55">
      <w:pPr>
        <w:spacing w:line="360" w:lineRule="auto"/>
        <w:ind w:firstLine="1440"/>
      </w:pPr>
    </w:p>
    <w:p w:rsidR="00ED0A55" w:rsidRDefault="00ED0A55" w:rsidP="00ED0A55">
      <w:pPr>
        <w:spacing w:line="360" w:lineRule="auto"/>
        <w:ind w:firstLine="1440"/>
      </w:pPr>
      <w:r>
        <w:t>By Order entered November 13, 2014 and p</w:t>
      </w:r>
      <w:r w:rsidRPr="00D941E3">
        <w:t xml:space="preserve">ursuant to 66 </w:t>
      </w:r>
      <w:proofErr w:type="spellStart"/>
      <w:r w:rsidRPr="00D941E3">
        <w:t>Pa.C.S</w:t>
      </w:r>
      <w:proofErr w:type="spellEnd"/>
      <w:r w:rsidRPr="00D941E3">
        <w:t xml:space="preserve">. § 1308(d), the filing </w:t>
      </w:r>
      <w:r>
        <w:t>was</w:t>
      </w:r>
      <w:r w:rsidRPr="00D941E3">
        <w:t xml:space="preserve"> suspended by operation of law on December 5, 2014, until July 5, 2015, unless permitted by Commission Order to become effective at an earlier date.</w:t>
      </w:r>
      <w:r>
        <w:t xml:space="preserve">  The Company subsequently agreed to mediation of this base rate case and further agreed to an additional suspension.  </w:t>
      </w:r>
      <w:proofErr w:type="spellStart"/>
      <w:r>
        <w:t>Plumer</w:t>
      </w:r>
      <w:proofErr w:type="spellEnd"/>
      <w:r>
        <w:t xml:space="preserve"> filed Supplement No. 14 to Tariff Water-Pa. P.U.C. No. 2 to suspend the application of the proposed sewer rates until July 5, 2015.  On December 16, 2014, the Company filed </w:t>
      </w:r>
      <w:r w:rsidRPr="00D941E3">
        <w:t xml:space="preserve">Supplement No. </w:t>
      </w:r>
      <w:r>
        <w:t>15</w:t>
      </w:r>
      <w:r w:rsidRPr="00D941E3">
        <w:t xml:space="preserve"> to Tariff </w:t>
      </w:r>
      <w:r>
        <w:t>Water</w:t>
      </w:r>
      <w:r w:rsidRPr="00D941E3">
        <w:t xml:space="preserve">-Pa. P.U.C. No. </w:t>
      </w:r>
      <w:r>
        <w:t xml:space="preserve">2 further suspending the effective date until September 5, 2015.  </w:t>
      </w:r>
      <w:r w:rsidRPr="00D941E3">
        <w:t xml:space="preserve"> </w:t>
      </w:r>
      <w:r>
        <w:t xml:space="preserve"> </w:t>
      </w:r>
    </w:p>
    <w:p w:rsidR="00ED0A55" w:rsidRDefault="00ED0A55" w:rsidP="00ED0A55">
      <w:pPr>
        <w:spacing w:line="360" w:lineRule="auto"/>
        <w:ind w:firstLine="1440"/>
      </w:pPr>
    </w:p>
    <w:p w:rsidR="00ED0A55" w:rsidRDefault="00ED0A55" w:rsidP="00ED0A55">
      <w:pPr>
        <w:spacing w:line="360" w:lineRule="auto"/>
        <w:ind w:firstLine="720"/>
      </w:pPr>
      <w:r>
        <w:t xml:space="preserve">            A Prehearing Conference Notice was mailed to the parties on December 8, 2014, scheduling an initial prehearing conference for December 22, 2014.  A Prehearing Conference Order was issued on December 8, 2014 as well.  On December 9, 2014, a Mediation Notice was </w:t>
      </w:r>
      <w:r>
        <w:lastRenderedPageBreak/>
        <w:t xml:space="preserve">mailed to the parties scheduling the first mediation session for Monday, January 12, 2015 at 10:00 a.m. in Harrisburg, Pennsylvania.  </w:t>
      </w:r>
    </w:p>
    <w:p w:rsidR="00ED0A55" w:rsidRDefault="00ED0A55" w:rsidP="00ED0A55">
      <w:pPr>
        <w:spacing w:line="360" w:lineRule="auto"/>
        <w:ind w:firstLine="720"/>
      </w:pPr>
      <w:r>
        <w:tab/>
      </w:r>
    </w:p>
    <w:p w:rsidR="00ED0A55" w:rsidRDefault="00ED0A55" w:rsidP="00ED0A55">
      <w:pPr>
        <w:spacing w:line="360" w:lineRule="auto"/>
        <w:ind w:firstLine="1440"/>
      </w:pPr>
      <w:r>
        <w:t>A</w:t>
      </w:r>
      <w:r w:rsidRPr="00C055EF">
        <w:t xml:space="preserve"> prehearing conference</w:t>
      </w:r>
      <w:r>
        <w:t xml:space="preserve"> was held on December 22, 2014, as scheduled.  The Company, I&amp;E, the OCA</w:t>
      </w:r>
      <w:r w:rsidR="000D098C">
        <w:t>,</w:t>
      </w:r>
      <w:r>
        <w:t xml:space="preserve"> </w:t>
      </w:r>
      <w:r w:rsidR="004A0DC9">
        <w:t xml:space="preserve">and David J. Schneider </w:t>
      </w:r>
      <w:r>
        <w:t xml:space="preserve">were all present for the conference.  A Prehearing Order was issued on January 12, 2015, setting forth the applicable procedures and litigation schedule for this proceeding.  In addition, the Prehearing Order scheduled a telephonic public input hearing for January 22, 2015 at 1:00 p.m.  </w:t>
      </w:r>
    </w:p>
    <w:p w:rsidR="00ED0A55" w:rsidRDefault="00ED0A55" w:rsidP="00ED0A55">
      <w:pPr>
        <w:spacing w:line="360" w:lineRule="auto"/>
        <w:ind w:firstLine="1440"/>
      </w:pPr>
    </w:p>
    <w:p w:rsidR="00ED0A55" w:rsidRDefault="00ED0A55" w:rsidP="00ED0A55">
      <w:pPr>
        <w:spacing w:line="360" w:lineRule="auto"/>
        <w:ind w:firstLine="1440"/>
      </w:pPr>
      <w:r>
        <w:t xml:space="preserve">On January 8, 2015, </w:t>
      </w:r>
      <w:proofErr w:type="spellStart"/>
      <w:r>
        <w:t>Plumer</w:t>
      </w:r>
      <w:proofErr w:type="spellEnd"/>
      <w:r>
        <w:t xml:space="preserve"> advertised a Notice of Telephonic Public Input Hearing in </w:t>
      </w:r>
      <w:r>
        <w:rPr>
          <w:i/>
        </w:rPr>
        <w:t>The Derrick</w:t>
      </w:r>
      <w:r>
        <w:t xml:space="preserve"> and </w:t>
      </w:r>
      <w:r>
        <w:rPr>
          <w:i/>
        </w:rPr>
        <w:t>The News-Herald</w:t>
      </w:r>
      <w:r>
        <w:t xml:space="preserve">.  Proof of Publication was filed with the Commission’s Secretary’s Bureau on January 8, 2015.    </w:t>
      </w:r>
    </w:p>
    <w:p w:rsidR="00ED0A55" w:rsidRDefault="00ED0A55" w:rsidP="00ED0A55">
      <w:pPr>
        <w:spacing w:line="360" w:lineRule="auto"/>
        <w:ind w:firstLine="1440"/>
      </w:pPr>
    </w:p>
    <w:p w:rsidR="00ED0A55" w:rsidRDefault="00ED0A55" w:rsidP="00ED0A55">
      <w:pPr>
        <w:spacing w:line="360" w:lineRule="auto"/>
        <w:ind w:firstLine="1440"/>
      </w:pPr>
      <w:r>
        <w:t xml:space="preserve">Also on January 12, 2015, the first mediation session was held in Harrisburg as scheduled. </w:t>
      </w:r>
    </w:p>
    <w:p w:rsidR="00ED0A55" w:rsidRDefault="00ED0A55" w:rsidP="00ED0A55">
      <w:pPr>
        <w:spacing w:line="360" w:lineRule="auto"/>
        <w:ind w:firstLine="1440"/>
      </w:pPr>
    </w:p>
    <w:p w:rsidR="00ED0A55" w:rsidRDefault="00ED0A55" w:rsidP="00ED0A55">
      <w:pPr>
        <w:spacing w:line="360" w:lineRule="auto"/>
        <w:ind w:firstLine="1440"/>
      </w:pPr>
      <w:r>
        <w:t>On January 22, 2015, the telephonic public input hearing was held as scheduled.  Complainant, David J. Schneider</w:t>
      </w:r>
      <w:r w:rsidR="003F54EE">
        <w:t>,</w:t>
      </w:r>
      <w:r>
        <w:t xml:space="preserve"> and two others testified.  </w:t>
      </w:r>
    </w:p>
    <w:p w:rsidR="00ED0A55" w:rsidRDefault="00ED0A55" w:rsidP="00ED0A55">
      <w:pPr>
        <w:spacing w:line="360" w:lineRule="auto"/>
        <w:ind w:firstLine="1440"/>
      </w:pPr>
    </w:p>
    <w:p w:rsidR="00ED0A55" w:rsidRDefault="00ED0A55" w:rsidP="00ED0A55">
      <w:pPr>
        <w:spacing w:line="360" w:lineRule="auto"/>
        <w:ind w:firstLine="1440"/>
      </w:pPr>
      <w:r>
        <w:t>On January 26, 2015 a Mediation Notice scheduling a further mediation session for January 28, 2015 was mailed to the parties.  A second mediation session was held on January 28, 2015, as scheduled.</w:t>
      </w:r>
    </w:p>
    <w:p w:rsidR="00ED0A55" w:rsidRDefault="00ED0A55" w:rsidP="00ED0A55">
      <w:pPr>
        <w:spacing w:line="360" w:lineRule="auto"/>
        <w:ind w:firstLine="1440"/>
      </w:pPr>
    </w:p>
    <w:p w:rsidR="00ED0A55" w:rsidRDefault="00ED0A55" w:rsidP="00ED0A55">
      <w:pPr>
        <w:spacing w:line="360" w:lineRule="auto"/>
        <w:ind w:firstLine="1440"/>
      </w:pPr>
      <w:r>
        <w:t xml:space="preserve">On April 1, 2015, the Company filed a Joint Petition for Settlement of Rate Investigation executed by </w:t>
      </w:r>
      <w:proofErr w:type="spellStart"/>
      <w:r>
        <w:t>Plumer</w:t>
      </w:r>
      <w:proofErr w:type="spellEnd"/>
      <w:r>
        <w:t xml:space="preserve">, I&amp;E and the OCA.  The parties did not prepare and serve written testimony and exhibits pursuant to the litigation schedule.  </w:t>
      </w:r>
    </w:p>
    <w:p w:rsidR="00ED0A55" w:rsidRDefault="00ED0A55" w:rsidP="00ED0A55">
      <w:pPr>
        <w:spacing w:line="360" w:lineRule="auto"/>
        <w:ind w:firstLine="1440"/>
      </w:pPr>
    </w:p>
    <w:p w:rsidR="00ED0A55" w:rsidRDefault="00ED0A55" w:rsidP="00ED0A55">
      <w:pPr>
        <w:spacing w:line="360" w:lineRule="auto"/>
        <w:ind w:firstLine="1440"/>
      </w:pPr>
      <w:r>
        <w:t xml:space="preserve">The technical evidentiary hearings scheduled for April 15-17, 2015 in Harrisburg were cancelled.  </w:t>
      </w:r>
    </w:p>
    <w:p w:rsidR="00ED0A55" w:rsidRDefault="00ED0A55" w:rsidP="00ED0A55">
      <w:pPr>
        <w:spacing w:line="360" w:lineRule="auto"/>
        <w:ind w:firstLine="1440"/>
      </w:pPr>
    </w:p>
    <w:p w:rsidR="00127517" w:rsidRDefault="00ED0A55" w:rsidP="00A24776">
      <w:pPr>
        <w:spacing w:line="360" w:lineRule="auto"/>
        <w:ind w:firstLine="1440"/>
      </w:pPr>
      <w:r>
        <w:lastRenderedPageBreak/>
        <w:t xml:space="preserve">On April 7, 2015, a letter was sent to the only party who did not execute the Joint Petition for Settlement of Rate Investigation, David J. Schneider, requesting that any objection to the Joint Petition be filed by Friday, April 17, 2015.  No comment or objection was filed.  </w:t>
      </w:r>
    </w:p>
    <w:p w:rsidR="00855EE1" w:rsidRDefault="00855EE1" w:rsidP="00A24776">
      <w:pPr>
        <w:spacing w:line="360" w:lineRule="auto"/>
        <w:ind w:firstLine="1440"/>
      </w:pPr>
    </w:p>
    <w:p w:rsidR="00B767F9" w:rsidRDefault="00B767F9" w:rsidP="00A24776">
      <w:pPr>
        <w:spacing w:line="360" w:lineRule="auto"/>
        <w:ind w:firstLine="1440"/>
      </w:pPr>
      <w:r>
        <w:t>On April 22, 2015, an Interim Order Cancelling Litigation Schedule and Closing the Hearing Record was issued.</w:t>
      </w:r>
    </w:p>
    <w:p w:rsidR="00B767F9" w:rsidRDefault="00B767F9" w:rsidP="00A24776">
      <w:pPr>
        <w:spacing w:line="360" w:lineRule="auto"/>
        <w:ind w:firstLine="1440"/>
      </w:pPr>
    </w:p>
    <w:p w:rsidR="00945981" w:rsidRDefault="00EF328B" w:rsidP="00BB5A0E">
      <w:pPr>
        <w:spacing w:line="360" w:lineRule="auto"/>
        <w:ind w:firstLine="1440"/>
      </w:pPr>
      <w:r>
        <w:t xml:space="preserve">The record consists of the rate filing, a </w:t>
      </w:r>
      <w:r w:rsidR="00855EE1">
        <w:t>27</w:t>
      </w:r>
      <w:r>
        <w:t>-page transcript of the Prehearing Conference</w:t>
      </w:r>
      <w:r w:rsidR="00855EE1">
        <w:t xml:space="preserve"> held on December 22, 2014, a 29-page transcript of the Telephonic Public Input Hearing held on January 22, 2015</w:t>
      </w:r>
      <w:r>
        <w:t xml:space="preserve">, </w:t>
      </w:r>
      <w:r w:rsidR="00127517">
        <w:t xml:space="preserve">and </w:t>
      </w:r>
      <w:r>
        <w:t xml:space="preserve">the Joint Petition for Settlement of Rate </w:t>
      </w:r>
      <w:r w:rsidR="00127517">
        <w:t>Investigation</w:t>
      </w:r>
      <w:r w:rsidR="003B025D">
        <w:t xml:space="preserve"> with Appendices A thro</w:t>
      </w:r>
      <w:r w:rsidR="00855EE1">
        <w:t>ugh and including G</w:t>
      </w:r>
      <w:r w:rsidR="00127517">
        <w:t xml:space="preserve">.  </w:t>
      </w:r>
      <w:r>
        <w:t xml:space="preserve"> </w:t>
      </w:r>
    </w:p>
    <w:p w:rsidR="00E1574B" w:rsidRDefault="00E1574B" w:rsidP="00BB5A0E">
      <w:pPr>
        <w:spacing w:line="360" w:lineRule="auto"/>
        <w:ind w:firstLine="1440"/>
      </w:pPr>
    </w:p>
    <w:p w:rsidR="00E1574B" w:rsidRDefault="00E1574B" w:rsidP="00E1574B">
      <w:pPr>
        <w:spacing w:line="360" w:lineRule="auto"/>
        <w:jc w:val="center"/>
      </w:pPr>
      <w:r>
        <w:t>II.</w:t>
      </w:r>
      <w:r>
        <w:tab/>
      </w:r>
      <w:r>
        <w:rPr>
          <w:u w:val="single"/>
        </w:rPr>
        <w:t>PUBLIC INPUT HEARING</w:t>
      </w:r>
    </w:p>
    <w:p w:rsidR="00E1574B" w:rsidRDefault="00E1574B" w:rsidP="00E1574B">
      <w:pPr>
        <w:spacing w:line="360" w:lineRule="auto"/>
      </w:pPr>
    </w:p>
    <w:p w:rsidR="00E1574B" w:rsidRDefault="00E1574B" w:rsidP="00E1574B">
      <w:pPr>
        <w:spacing w:line="360" w:lineRule="auto"/>
        <w:ind w:firstLine="1440"/>
      </w:pPr>
      <w:r>
        <w:t xml:space="preserve">Three individuals, including Complainant, David J. Schneider, offered testimony under oath at the Public Input Hearing.  Their respective testimonies will be summarized below in the order in which they testified.  </w:t>
      </w:r>
    </w:p>
    <w:p w:rsidR="004607E2" w:rsidRDefault="004607E2" w:rsidP="00E1574B">
      <w:pPr>
        <w:spacing w:line="360" w:lineRule="auto"/>
        <w:ind w:firstLine="1440"/>
      </w:pPr>
    </w:p>
    <w:p w:rsidR="004607E2" w:rsidRDefault="004607E2" w:rsidP="00E1574B">
      <w:pPr>
        <w:spacing w:line="360" w:lineRule="auto"/>
        <w:ind w:firstLine="1440"/>
      </w:pPr>
      <w:r>
        <w:t xml:space="preserve">Complainant, David J. Schneider, who resides at 1305 State Route 227, Oil City, Pennsylvania, testified that he is a customer of </w:t>
      </w:r>
      <w:proofErr w:type="spellStart"/>
      <w:r>
        <w:t>Plumer</w:t>
      </w:r>
      <w:proofErr w:type="spellEnd"/>
      <w:r>
        <w:t xml:space="preserve">.  Mr. Schneider testified that he has seen many problems with the water system.  He testified that if there is a power outage, water service is interrupted and the water system must be flushed because dirt gets into the system.  Tr. 41-42.  He testified that </w:t>
      </w:r>
      <w:proofErr w:type="spellStart"/>
      <w:r>
        <w:t>Plumer’s</w:t>
      </w:r>
      <w:proofErr w:type="spellEnd"/>
      <w:r>
        <w:t xml:space="preserve"> water rates are high in comparison to neighboring water systems that provide more than just water service to their customers.  Tr. 42-43.   </w:t>
      </w:r>
    </w:p>
    <w:p w:rsidR="004607E2" w:rsidRDefault="004607E2" w:rsidP="00E1574B">
      <w:pPr>
        <w:spacing w:line="360" w:lineRule="auto"/>
        <w:ind w:firstLine="1440"/>
      </w:pPr>
    </w:p>
    <w:p w:rsidR="004607E2" w:rsidRDefault="004607E2" w:rsidP="00E1574B">
      <w:pPr>
        <w:spacing w:line="360" w:lineRule="auto"/>
        <w:ind w:firstLine="1440"/>
      </w:pPr>
      <w:r>
        <w:t xml:space="preserve">Harold A. </w:t>
      </w:r>
      <w:proofErr w:type="spellStart"/>
      <w:r>
        <w:t>Cropp</w:t>
      </w:r>
      <w:proofErr w:type="spellEnd"/>
      <w:r>
        <w:t xml:space="preserve">, who resides at 111 Butch Drive, Oil City, Pennsylvania, testified that he is a customer of </w:t>
      </w:r>
      <w:proofErr w:type="spellStart"/>
      <w:r>
        <w:t>Plumer</w:t>
      </w:r>
      <w:proofErr w:type="spellEnd"/>
      <w:r>
        <w:t xml:space="preserve">.  Mr. </w:t>
      </w:r>
      <w:proofErr w:type="spellStart"/>
      <w:r>
        <w:t>Cropp</w:t>
      </w:r>
      <w:proofErr w:type="spellEnd"/>
      <w:r>
        <w:t xml:space="preserve"> agreed with the testimony of Mr. Schneider.  In addition, he testified that the rates for water service are high compared to others in the </w:t>
      </w:r>
      <w:proofErr w:type="gramStart"/>
      <w:r>
        <w:t>area that offer</w:t>
      </w:r>
      <w:proofErr w:type="gramEnd"/>
      <w:r>
        <w:t xml:space="preserve"> services in addition to water service.  He further testified that he has not seen any upgrades to the water system in the 40 years he has lived there.  Tr. </w:t>
      </w:r>
      <w:r w:rsidR="00934286">
        <w:t>46-48.</w:t>
      </w:r>
    </w:p>
    <w:p w:rsidR="00934286" w:rsidRDefault="00934286" w:rsidP="00E1574B">
      <w:pPr>
        <w:spacing w:line="360" w:lineRule="auto"/>
        <w:ind w:firstLine="1440"/>
      </w:pPr>
    </w:p>
    <w:p w:rsidR="00E1574B" w:rsidRPr="00E1574B" w:rsidRDefault="00934286" w:rsidP="00EB3411">
      <w:pPr>
        <w:spacing w:line="360" w:lineRule="auto"/>
        <w:ind w:firstLine="1440"/>
      </w:pPr>
      <w:r>
        <w:lastRenderedPageBreak/>
        <w:t>Charles W.</w:t>
      </w:r>
      <w:r w:rsidR="00654BD9">
        <w:t xml:space="preserve"> </w:t>
      </w:r>
      <w:r>
        <w:t xml:space="preserve">Turk, who resides at 80 Petroleum Center Road, Oil City, Pennsylvania, testified that he is a customer of </w:t>
      </w:r>
      <w:proofErr w:type="spellStart"/>
      <w:r>
        <w:t>Plumer</w:t>
      </w:r>
      <w:proofErr w:type="spellEnd"/>
      <w:r>
        <w:t xml:space="preserve">.  Mr. Turk opposes the rate increase and questioned why </w:t>
      </w:r>
      <w:proofErr w:type="spellStart"/>
      <w:r>
        <w:t>Plumer</w:t>
      </w:r>
      <w:proofErr w:type="spellEnd"/>
      <w:r>
        <w:t xml:space="preserve"> did not appeal the rate increase passed along to it by </w:t>
      </w:r>
      <w:proofErr w:type="spellStart"/>
      <w:r>
        <w:t>Rouseville</w:t>
      </w:r>
      <w:proofErr w:type="spellEnd"/>
      <w:r>
        <w:t xml:space="preserve"> Borough.  He requested that the books of </w:t>
      </w:r>
      <w:proofErr w:type="spellStart"/>
      <w:r>
        <w:t>Plumer</w:t>
      </w:r>
      <w:proofErr w:type="spellEnd"/>
      <w:r>
        <w:t xml:space="preserve"> be audited or that the Commission investigate </w:t>
      </w:r>
      <w:proofErr w:type="spellStart"/>
      <w:r>
        <w:t>Plumer</w:t>
      </w:r>
      <w:proofErr w:type="spellEnd"/>
      <w:r>
        <w:t xml:space="preserve"> because they own other water companies.  Mr. Turk agreed with the testimony regarding water service interruptions and the problems caused by </w:t>
      </w:r>
      <w:r w:rsidR="00DA28E1">
        <w:t>the interruptions</w:t>
      </w:r>
      <w:r>
        <w:t xml:space="preserve">.  He suggested a backup generator to supply electricity to the pumps when there is a power outage.  He also testified that he would like the water quality to be tested.  </w:t>
      </w:r>
      <w:r w:rsidR="00BA392D">
        <w:t>Tr. 49-51.</w:t>
      </w:r>
    </w:p>
    <w:p w:rsidR="003643A0" w:rsidRDefault="003643A0" w:rsidP="00BB5A0E">
      <w:pPr>
        <w:spacing w:line="360" w:lineRule="auto"/>
        <w:ind w:firstLine="1440"/>
      </w:pPr>
      <w:r>
        <w:t xml:space="preserve"> </w:t>
      </w:r>
    </w:p>
    <w:p w:rsidR="00A4523E" w:rsidRPr="009C6D70" w:rsidRDefault="00AE4E65" w:rsidP="00642AB1">
      <w:pPr>
        <w:spacing w:line="360" w:lineRule="auto"/>
        <w:jc w:val="center"/>
      </w:pPr>
      <w:r>
        <w:t>I</w:t>
      </w:r>
      <w:r w:rsidR="001D50DC">
        <w:t>I</w:t>
      </w:r>
      <w:r w:rsidR="00E1574B">
        <w:t>I</w:t>
      </w:r>
      <w:r w:rsidR="00A4523E" w:rsidRPr="009C6D70">
        <w:t>.</w:t>
      </w:r>
      <w:r w:rsidR="00A4523E" w:rsidRPr="009C6D70">
        <w:tab/>
      </w:r>
      <w:r w:rsidR="00A4523E" w:rsidRPr="009C6D70">
        <w:rPr>
          <w:u w:val="single"/>
        </w:rPr>
        <w:t>DESCRIPTION AND TERMS OF SETTLEMENT</w:t>
      </w:r>
    </w:p>
    <w:p w:rsidR="00A4523E" w:rsidRPr="009C6D70" w:rsidRDefault="00A4523E" w:rsidP="00642AB1">
      <w:pPr>
        <w:spacing w:line="360" w:lineRule="auto"/>
        <w:jc w:val="center"/>
      </w:pPr>
    </w:p>
    <w:p w:rsidR="007C729C" w:rsidRDefault="00A4523E" w:rsidP="000C4FD8">
      <w:pPr>
        <w:spacing w:line="360" w:lineRule="auto"/>
      </w:pPr>
      <w:r w:rsidRPr="009C6D70">
        <w:tab/>
      </w:r>
      <w:r w:rsidRPr="009C6D70">
        <w:tab/>
      </w:r>
      <w:r w:rsidR="003837E2">
        <w:t>According to the Joint Petitioners, the Settlement</w:t>
      </w:r>
      <w:r w:rsidR="003837E2" w:rsidRPr="004E6B39">
        <w:t xml:space="preserve"> is in the public interest because it (a) minimizes cost-prohibitive litigation and administrative burden; (b) recognizes ratepayers’ concerns; and (c) provides </w:t>
      </w:r>
      <w:proofErr w:type="spellStart"/>
      <w:r w:rsidR="00EB50EA">
        <w:t>Plumer</w:t>
      </w:r>
      <w:proofErr w:type="spellEnd"/>
      <w:r w:rsidR="003837E2">
        <w:t xml:space="preserve"> </w:t>
      </w:r>
      <w:r w:rsidR="003837E2" w:rsidRPr="004E6B39">
        <w:t>with additional and necessary cash flow.</w:t>
      </w:r>
      <w:r w:rsidR="003837E2">
        <w:t xml:space="preserve">  Settlement, p. </w:t>
      </w:r>
      <w:r w:rsidR="00EB50EA">
        <w:t>5</w:t>
      </w:r>
      <w:r w:rsidR="003837E2">
        <w:t xml:space="preserve">.  </w:t>
      </w:r>
      <w:r w:rsidRPr="009C6D70">
        <w:t xml:space="preserve">The </w:t>
      </w:r>
      <w:r w:rsidR="00EB50EA">
        <w:t>7</w:t>
      </w:r>
      <w:r w:rsidRPr="009C6D70">
        <w:t>-page Joint Petition for Settlement</w:t>
      </w:r>
      <w:r w:rsidR="00095D8F">
        <w:t xml:space="preserve"> of Rate </w:t>
      </w:r>
      <w:r w:rsidR="006B3B6F">
        <w:t>Investigation</w:t>
      </w:r>
      <w:r w:rsidR="00652277">
        <w:t xml:space="preserve"> includes </w:t>
      </w:r>
      <w:r w:rsidR="001462BD">
        <w:t>s</w:t>
      </w:r>
      <w:r w:rsidR="00EB50EA">
        <w:t>even</w:t>
      </w:r>
      <w:r w:rsidRPr="009C6D70">
        <w:t xml:space="preserve"> </w:t>
      </w:r>
      <w:r w:rsidR="001B5229">
        <w:t>A</w:t>
      </w:r>
      <w:r w:rsidRPr="009C6D70">
        <w:t>ppendices</w:t>
      </w:r>
      <w:r w:rsidR="00B17E85">
        <w:t xml:space="preserve"> </w:t>
      </w:r>
      <w:r w:rsidR="00652277">
        <w:t xml:space="preserve">attached </w:t>
      </w:r>
      <w:r w:rsidR="00B17E85">
        <w:t xml:space="preserve">as </w:t>
      </w:r>
      <w:r w:rsidR="00652277">
        <w:t xml:space="preserve">Appendix A through and including </w:t>
      </w:r>
      <w:r w:rsidR="00C4210E">
        <w:t xml:space="preserve">Appendix </w:t>
      </w:r>
      <w:r w:rsidR="00EB50EA">
        <w:t>G</w:t>
      </w:r>
      <w:r w:rsidRPr="009C6D70">
        <w:t>.  Appendix A</w:t>
      </w:r>
      <w:r w:rsidR="00652277">
        <w:t xml:space="preserve"> </w:t>
      </w:r>
      <w:r w:rsidRPr="009C6D70">
        <w:t xml:space="preserve">is </w:t>
      </w:r>
      <w:r w:rsidR="00095D8F">
        <w:t>the proposed Settlement Tariff</w:t>
      </w:r>
      <w:r w:rsidR="006B3B6F">
        <w:t xml:space="preserve">, Supplement No. </w:t>
      </w:r>
      <w:r w:rsidR="00EB50EA">
        <w:t>16 to Water-Pa. P.U.C. No 2</w:t>
      </w:r>
      <w:r w:rsidR="006B3B6F">
        <w:t xml:space="preserve">.  </w:t>
      </w:r>
      <w:r w:rsidR="00095D8F">
        <w:t xml:space="preserve">Appendix B is the </w:t>
      </w:r>
      <w:r w:rsidR="006B3B6F">
        <w:t xml:space="preserve">Revenue </w:t>
      </w:r>
      <w:r w:rsidR="00EB50EA">
        <w:t xml:space="preserve">Phase I </w:t>
      </w:r>
      <w:r w:rsidR="006B3B6F">
        <w:t xml:space="preserve">Verification at Settlement Rates.  </w:t>
      </w:r>
      <w:r w:rsidR="00EB50EA">
        <w:t xml:space="preserve">Appendix C is the Revenue Phase II Verification at Settlement Rates.  </w:t>
      </w:r>
      <w:r w:rsidR="006B3B6F">
        <w:t xml:space="preserve">Appendix </w:t>
      </w:r>
      <w:r w:rsidR="00EB50EA">
        <w:t>D</w:t>
      </w:r>
      <w:r w:rsidR="006B3B6F">
        <w:t xml:space="preserve"> is “Schedule I Distribution of Wages and Benefits to Affiliates.</w:t>
      </w:r>
      <w:r w:rsidR="001462BD">
        <w:t>”</w:t>
      </w:r>
      <w:r w:rsidR="006B3B6F">
        <w:t xml:space="preserve">  A</w:t>
      </w:r>
      <w:r w:rsidR="00BF2208">
        <w:t xml:space="preserve">ppendices </w:t>
      </w:r>
      <w:r w:rsidR="00EB50EA">
        <w:t>E</w:t>
      </w:r>
      <w:r w:rsidR="00BF2208">
        <w:t xml:space="preserve"> through and including </w:t>
      </w:r>
      <w:r w:rsidR="00C4210E">
        <w:t xml:space="preserve">Appendix </w:t>
      </w:r>
      <w:r w:rsidR="00EB50EA">
        <w:t>G</w:t>
      </w:r>
      <w:r w:rsidR="00BF2208">
        <w:t xml:space="preserve"> are the Statements in Support of the Settlement</w:t>
      </w:r>
      <w:r w:rsidR="00095D8F">
        <w:t xml:space="preserve"> of the Company, I&amp;E and the OCA</w:t>
      </w:r>
      <w:r w:rsidR="00251C8A">
        <w:t xml:space="preserve"> respectively</w:t>
      </w:r>
      <w:r w:rsidR="00095D8F">
        <w:t xml:space="preserve">. </w:t>
      </w:r>
      <w:r w:rsidR="000E3094">
        <w:t xml:space="preserve"> </w:t>
      </w:r>
      <w:r w:rsidR="000E3094" w:rsidRPr="004E6B39">
        <w:t>The tariff supplement i</w:t>
      </w:r>
      <w:r w:rsidR="000E3094">
        <w:t xml:space="preserve">s designed </w:t>
      </w:r>
      <w:r w:rsidR="000E3094" w:rsidRPr="004E6B39">
        <w:t xml:space="preserve">to produce an increase in annual revenue </w:t>
      </w:r>
      <w:r w:rsidR="000E3094">
        <w:t xml:space="preserve">of </w:t>
      </w:r>
      <w:r w:rsidR="000E3094" w:rsidRPr="004E6B39">
        <w:t>$</w:t>
      </w:r>
      <w:r w:rsidR="00EB50EA">
        <w:t>11,409</w:t>
      </w:r>
      <w:r w:rsidR="000E3094">
        <w:t xml:space="preserve"> </w:t>
      </w:r>
      <w:r w:rsidR="000E3094" w:rsidRPr="004E6B39">
        <w:t xml:space="preserve">or </w:t>
      </w:r>
      <w:r w:rsidR="00EB50EA">
        <w:t>34.92</w:t>
      </w:r>
      <w:r w:rsidR="000E3094" w:rsidRPr="004E6B39">
        <w:t>%</w:t>
      </w:r>
      <w:r w:rsidR="00EB50EA">
        <w:t xml:space="preserve"> over two phases</w:t>
      </w:r>
      <w:r w:rsidR="001E32A9">
        <w:t xml:space="preserve">.  </w:t>
      </w:r>
      <w:r w:rsidR="00624368">
        <w:t xml:space="preserve">Settlement, p. </w:t>
      </w:r>
      <w:r w:rsidR="001E32A9">
        <w:t>3</w:t>
      </w:r>
      <w:r w:rsidR="007C729C">
        <w:t xml:space="preserve">.  </w:t>
      </w:r>
    </w:p>
    <w:p w:rsidR="00E54E00" w:rsidRDefault="00E54E00" w:rsidP="000C4FD8">
      <w:pPr>
        <w:spacing w:line="360" w:lineRule="auto"/>
      </w:pPr>
    </w:p>
    <w:p w:rsidR="00C64C71" w:rsidRDefault="00E54E00" w:rsidP="001E32A9">
      <w:pPr>
        <w:pStyle w:val="Level1"/>
        <w:numPr>
          <w:ilvl w:val="0"/>
          <w:numId w:val="0"/>
        </w:numPr>
        <w:spacing w:line="360" w:lineRule="auto"/>
        <w:ind w:firstLine="1440"/>
        <w:outlineLvl w:val="9"/>
      </w:pPr>
      <w:r w:rsidRPr="004E6B39">
        <w:t xml:space="preserve">Under the presently suspended Supplement No. </w:t>
      </w:r>
      <w:r w:rsidR="001E32A9">
        <w:t>13</w:t>
      </w:r>
      <w:r w:rsidRPr="004E6B39">
        <w:t xml:space="preserve">, the </w:t>
      </w:r>
      <w:r>
        <w:t xml:space="preserve">monthly </w:t>
      </w:r>
      <w:r w:rsidRPr="004E6B39">
        <w:t xml:space="preserve">cost of water service to a </w:t>
      </w:r>
      <w:r>
        <w:t xml:space="preserve">typical </w:t>
      </w:r>
      <w:r w:rsidRPr="004E6B39">
        <w:t xml:space="preserve">residential customer </w:t>
      </w:r>
      <w:r>
        <w:t xml:space="preserve">using </w:t>
      </w:r>
      <w:r w:rsidR="001E32A9">
        <w:t>2,000 gallons</w:t>
      </w:r>
      <w:r>
        <w:t xml:space="preserve"> per month </w:t>
      </w:r>
      <w:r w:rsidRPr="004E6B39">
        <w:t>would have increased by approximately $</w:t>
      </w:r>
      <w:r w:rsidR="001E32A9">
        <w:t>14.30</w:t>
      </w:r>
      <w:r w:rsidRPr="004E6B39">
        <w:t>, or</w:t>
      </w:r>
      <w:r w:rsidR="001E32A9">
        <w:t xml:space="preserve"> 35.01</w:t>
      </w:r>
      <w:r>
        <w:t>%</w:t>
      </w:r>
      <w:r w:rsidRPr="004E6B39">
        <w:t>, from $</w:t>
      </w:r>
      <w:r w:rsidR="001E32A9">
        <w:t>40.84</w:t>
      </w:r>
      <w:r w:rsidRPr="004E6B39">
        <w:t xml:space="preserve"> to $</w:t>
      </w:r>
      <w:r w:rsidR="001E32A9">
        <w:t>55.14</w:t>
      </w:r>
      <w:r>
        <w:t>.</w:t>
      </w:r>
      <w:r w:rsidRPr="004E6B39">
        <w:t xml:space="preserve">  Under the </w:t>
      </w:r>
      <w:r>
        <w:t xml:space="preserve">Settlement, </w:t>
      </w:r>
      <w:r w:rsidRPr="004E6B39">
        <w:t xml:space="preserve">the </w:t>
      </w:r>
      <w:r>
        <w:t xml:space="preserve">monthly </w:t>
      </w:r>
      <w:r w:rsidRPr="004E6B39">
        <w:t xml:space="preserve">cost of water service to </w:t>
      </w:r>
      <w:r>
        <w:t xml:space="preserve">such </w:t>
      </w:r>
      <w:r w:rsidRPr="004E6B39">
        <w:t xml:space="preserve">residential customer would increase by </w:t>
      </w:r>
      <w:r>
        <w:t xml:space="preserve">approximately </w:t>
      </w:r>
      <w:r w:rsidRPr="004E6B39">
        <w:t>$</w:t>
      </w:r>
      <w:r w:rsidR="001E32A9">
        <w:t>13.14</w:t>
      </w:r>
      <w:r w:rsidRPr="004E6B39">
        <w:t xml:space="preserve">, or </w:t>
      </w:r>
      <w:r w:rsidR="001E32A9">
        <w:t>32.17</w:t>
      </w:r>
      <w:r w:rsidRPr="004E6B39">
        <w:t>%, from $</w:t>
      </w:r>
      <w:r w:rsidR="001E32A9">
        <w:t>40.84</w:t>
      </w:r>
      <w:r>
        <w:t xml:space="preserve"> </w:t>
      </w:r>
      <w:r w:rsidRPr="004E6B39">
        <w:t>to $</w:t>
      </w:r>
      <w:r w:rsidR="001E32A9">
        <w:t>53.98 over two phases</w:t>
      </w:r>
      <w:r>
        <w:t xml:space="preserve">.  </w:t>
      </w:r>
      <w:r w:rsidR="001E32A9" w:rsidRPr="004E6B39">
        <w:t xml:space="preserve">Under </w:t>
      </w:r>
      <w:r w:rsidR="001E32A9">
        <w:t xml:space="preserve">Phase I, </w:t>
      </w:r>
      <w:r w:rsidR="001E32A9" w:rsidRPr="004E6B39">
        <w:t xml:space="preserve">the </w:t>
      </w:r>
      <w:r w:rsidR="001E32A9">
        <w:t xml:space="preserve">monthly </w:t>
      </w:r>
      <w:r w:rsidR="001E32A9" w:rsidRPr="004E6B39">
        <w:t xml:space="preserve">cost of water service to </w:t>
      </w:r>
      <w:r w:rsidR="001E32A9">
        <w:t xml:space="preserve">such </w:t>
      </w:r>
      <w:r w:rsidR="001E32A9" w:rsidRPr="004E6B39">
        <w:t xml:space="preserve">residential customer would increase by </w:t>
      </w:r>
      <w:r w:rsidR="001E32A9">
        <w:t xml:space="preserve">approximately </w:t>
      </w:r>
      <w:r w:rsidR="001E32A9" w:rsidRPr="004E6B39">
        <w:t>$</w:t>
      </w:r>
      <w:r w:rsidR="001E32A9">
        <w:t>9.94</w:t>
      </w:r>
      <w:r w:rsidR="001E32A9" w:rsidRPr="004E6B39">
        <w:t xml:space="preserve">, or </w:t>
      </w:r>
      <w:r w:rsidR="001E32A9">
        <w:t>24.34</w:t>
      </w:r>
      <w:r w:rsidR="001E32A9" w:rsidRPr="004E6B39">
        <w:t>%, from $</w:t>
      </w:r>
      <w:r w:rsidR="001E32A9">
        <w:t xml:space="preserve">40.84 </w:t>
      </w:r>
      <w:r w:rsidR="001E32A9" w:rsidRPr="004E6B39">
        <w:t>to $</w:t>
      </w:r>
      <w:r w:rsidR="001E32A9">
        <w:t xml:space="preserve">50.78.  </w:t>
      </w:r>
      <w:r w:rsidR="001E32A9" w:rsidRPr="004E6B39">
        <w:t xml:space="preserve">Under </w:t>
      </w:r>
      <w:r w:rsidR="001E32A9">
        <w:t xml:space="preserve">Phase II, </w:t>
      </w:r>
      <w:r w:rsidR="001E32A9" w:rsidRPr="004E6B39">
        <w:t xml:space="preserve">the </w:t>
      </w:r>
      <w:r w:rsidR="001E32A9">
        <w:t xml:space="preserve">monthly </w:t>
      </w:r>
      <w:r w:rsidR="001E32A9" w:rsidRPr="004E6B39">
        <w:t xml:space="preserve">cost of water service to </w:t>
      </w:r>
      <w:r w:rsidR="001E32A9">
        <w:t xml:space="preserve">such </w:t>
      </w:r>
      <w:r w:rsidR="001E32A9" w:rsidRPr="004E6B39">
        <w:t xml:space="preserve">residential customer would increase by </w:t>
      </w:r>
      <w:r w:rsidR="001E32A9">
        <w:t xml:space="preserve">approximately </w:t>
      </w:r>
      <w:r w:rsidR="001E32A9" w:rsidRPr="004E6B39">
        <w:t>$</w:t>
      </w:r>
      <w:r w:rsidR="001E32A9">
        <w:t>3.20</w:t>
      </w:r>
      <w:r w:rsidR="001E32A9" w:rsidRPr="004E6B39">
        <w:t xml:space="preserve">, or </w:t>
      </w:r>
      <w:r w:rsidR="001E32A9">
        <w:t>6.30%</w:t>
      </w:r>
      <w:r w:rsidR="001E32A9" w:rsidRPr="004E6B39">
        <w:t>, from $</w:t>
      </w:r>
      <w:r w:rsidR="001E32A9">
        <w:t xml:space="preserve">50.78 </w:t>
      </w:r>
      <w:r w:rsidR="001E32A9" w:rsidRPr="004E6B39">
        <w:t>to $</w:t>
      </w:r>
      <w:r w:rsidR="001E32A9">
        <w:t xml:space="preserve">53.98.  </w:t>
      </w:r>
      <w:r>
        <w:t xml:space="preserve">Settlement, p. </w:t>
      </w:r>
      <w:r w:rsidR="001E32A9">
        <w:t>5</w:t>
      </w:r>
      <w:r>
        <w:t>.</w:t>
      </w:r>
      <w:r w:rsidR="00A53FA0">
        <w:t xml:space="preserve">  The </w:t>
      </w:r>
      <w:r w:rsidR="00A53FA0">
        <w:lastRenderedPageBreak/>
        <w:t xml:space="preserve">Settlement Tariff attached as Appendix A to the Settlement provides that the consumption charge rate per 1000 gallons/month for Phase I is $13.89.  The Settlement Tariff attached as Appendix A </w:t>
      </w:r>
    </w:p>
    <w:p w:rsidR="00E54E00" w:rsidRDefault="00A53FA0" w:rsidP="00C64C71">
      <w:pPr>
        <w:pStyle w:val="Level1"/>
        <w:numPr>
          <w:ilvl w:val="0"/>
          <w:numId w:val="0"/>
        </w:numPr>
        <w:spacing w:line="360" w:lineRule="auto"/>
        <w:outlineLvl w:val="9"/>
      </w:pPr>
      <w:proofErr w:type="gramStart"/>
      <w:r>
        <w:t>to</w:t>
      </w:r>
      <w:proofErr w:type="gramEnd"/>
      <w:r>
        <w:t xml:space="preserve"> the Settlement provides that the consumption charge rate per 1000 gallons/month for Phase II is $15.49.  </w:t>
      </w:r>
      <w:proofErr w:type="gramStart"/>
      <w:r>
        <w:t>Settlement, Appendix A.</w:t>
      </w:r>
      <w:proofErr w:type="gramEnd"/>
      <w:r>
        <w:t xml:space="preserve">     </w:t>
      </w:r>
      <w:r w:rsidR="00E54E00">
        <w:t xml:space="preserve">  </w:t>
      </w:r>
    </w:p>
    <w:p w:rsidR="00E54E00" w:rsidRDefault="00E54E00" w:rsidP="00E54E00">
      <w:pPr>
        <w:pStyle w:val="Level1"/>
        <w:numPr>
          <w:ilvl w:val="0"/>
          <w:numId w:val="0"/>
        </w:numPr>
        <w:spacing w:line="360" w:lineRule="auto"/>
        <w:ind w:firstLine="1440"/>
      </w:pPr>
    </w:p>
    <w:p w:rsidR="00E54E00" w:rsidRDefault="00E54E00" w:rsidP="003837E2">
      <w:pPr>
        <w:pStyle w:val="Level1"/>
        <w:numPr>
          <w:ilvl w:val="0"/>
          <w:numId w:val="0"/>
        </w:numPr>
        <w:spacing w:line="360" w:lineRule="auto"/>
        <w:ind w:firstLine="1440"/>
      </w:pPr>
      <w:r>
        <w:t>A</w:t>
      </w:r>
      <w:r w:rsidRPr="004E6B39">
        <w:t xml:space="preserve">lthough Joint Petitioners are not in agreement with respect to each claim in the ratemaking process and would not be able to agree upon the specific rate adjustments </w:t>
      </w:r>
      <w:r>
        <w:t>that may</w:t>
      </w:r>
      <w:r w:rsidRPr="004E6B39">
        <w:t xml:space="preserve"> support their respective conclusions, </w:t>
      </w:r>
      <w:r>
        <w:t xml:space="preserve">Joint Petitioners assert that </w:t>
      </w:r>
      <w:r w:rsidRPr="004E6B39">
        <w:t xml:space="preserve">their agreement as to the amount of increase in </w:t>
      </w:r>
      <w:proofErr w:type="spellStart"/>
      <w:r w:rsidR="00600298">
        <w:t>Plumer’s</w:t>
      </w:r>
      <w:proofErr w:type="spellEnd"/>
      <w:r>
        <w:t xml:space="preserve"> </w:t>
      </w:r>
      <w:r w:rsidRPr="004E6B39">
        <w:t xml:space="preserve">annual water revenue, coupled with the other provisions </w:t>
      </w:r>
      <w:r>
        <w:t>in the Settlement</w:t>
      </w:r>
      <w:r w:rsidRPr="004E6B39">
        <w:t>, provides an appropriate basis for resolution of the instant rate litigation.</w:t>
      </w:r>
      <w:r w:rsidR="00600298">
        <w:t xml:space="preserve">  Settlement, p. 5</w:t>
      </w:r>
      <w:r>
        <w:t>.</w:t>
      </w:r>
    </w:p>
    <w:p w:rsidR="008278B7" w:rsidRDefault="008278B7" w:rsidP="000C4FD8">
      <w:pPr>
        <w:spacing w:line="360" w:lineRule="auto"/>
      </w:pPr>
    </w:p>
    <w:p w:rsidR="007C729C" w:rsidRDefault="007C729C" w:rsidP="000C4FD8">
      <w:pPr>
        <w:spacing w:line="360" w:lineRule="auto"/>
      </w:pPr>
      <w:r>
        <w:t>A.</w:t>
      </w:r>
      <w:r>
        <w:tab/>
      </w:r>
      <w:r>
        <w:rPr>
          <w:u w:val="single"/>
        </w:rPr>
        <w:t>Revenue Increase and Allocation</w:t>
      </w:r>
    </w:p>
    <w:p w:rsidR="007C729C" w:rsidRDefault="007C729C" w:rsidP="000C4FD8">
      <w:pPr>
        <w:spacing w:line="360" w:lineRule="auto"/>
      </w:pPr>
    </w:p>
    <w:p w:rsidR="00600298" w:rsidRDefault="007C729C" w:rsidP="00600298">
      <w:pPr>
        <w:spacing w:line="360" w:lineRule="auto"/>
        <w:ind w:firstLine="1440"/>
      </w:pPr>
      <w:r>
        <w:t xml:space="preserve">As stated above, </w:t>
      </w:r>
      <w:r w:rsidR="00600298">
        <w:t>t</w:t>
      </w:r>
      <w:r w:rsidR="00600298" w:rsidRPr="004E6B39">
        <w:t xml:space="preserve">he tariff supplement </w:t>
      </w:r>
      <w:r w:rsidR="00600298">
        <w:t xml:space="preserve">agreed to in the Settlement </w:t>
      </w:r>
      <w:r w:rsidR="00600298" w:rsidRPr="004E6B39">
        <w:t>i</w:t>
      </w:r>
      <w:r w:rsidR="00600298">
        <w:t xml:space="preserve">s designed </w:t>
      </w:r>
      <w:r w:rsidR="00600298" w:rsidRPr="004E6B39">
        <w:t xml:space="preserve">to produce an increase in annual revenue </w:t>
      </w:r>
      <w:r w:rsidR="00600298">
        <w:t xml:space="preserve">of </w:t>
      </w:r>
      <w:r w:rsidR="00600298" w:rsidRPr="004E6B39">
        <w:t>$</w:t>
      </w:r>
      <w:r w:rsidR="00600298">
        <w:t xml:space="preserve">11,409 </w:t>
      </w:r>
      <w:r w:rsidR="00600298" w:rsidRPr="004E6B39">
        <w:t xml:space="preserve">or </w:t>
      </w:r>
      <w:r w:rsidR="00600298">
        <w:t>34.92</w:t>
      </w:r>
      <w:r w:rsidR="00600298" w:rsidRPr="004E6B39">
        <w:t>%</w:t>
      </w:r>
      <w:r w:rsidR="00600298">
        <w:t xml:space="preserve"> over two phases.  Settlement, p. 3.  According to the Settlement, the first </w:t>
      </w:r>
      <w:r w:rsidR="00600298" w:rsidRPr="00721624">
        <w:t>phase rates</w:t>
      </w:r>
      <w:r w:rsidR="00600298">
        <w:t xml:space="preserve"> (“</w:t>
      </w:r>
      <w:proofErr w:type="gramStart"/>
      <w:r w:rsidR="00600298">
        <w:t>Phase</w:t>
      </w:r>
      <w:proofErr w:type="gramEnd"/>
      <w:r w:rsidR="00600298">
        <w:t xml:space="preserve"> I”)</w:t>
      </w:r>
      <w:r w:rsidR="00600298" w:rsidRPr="00721624">
        <w:t xml:space="preserve"> produce an annual increase of $8,500 and will become effective upon one day’s notice following the entry of a Commission Order approving this Joint Petition.  The second phase rates</w:t>
      </w:r>
      <w:r w:rsidR="00600298">
        <w:t xml:space="preserve"> (“Phase II”)</w:t>
      </w:r>
      <w:r w:rsidR="00600298" w:rsidRPr="00721624">
        <w:t xml:space="preserve">, which will produce an additional increase of $2,909, will become effective upon written confirmation from </w:t>
      </w:r>
      <w:proofErr w:type="spellStart"/>
      <w:r w:rsidR="00600298" w:rsidRPr="00721624">
        <w:t>P</w:t>
      </w:r>
      <w:r w:rsidR="00600298">
        <w:t>lumer</w:t>
      </w:r>
      <w:proofErr w:type="spellEnd"/>
      <w:r w:rsidR="00600298" w:rsidRPr="00721624">
        <w:t xml:space="preserve"> to the Commission, the OCA and I&amp;E that all con</w:t>
      </w:r>
      <w:r w:rsidR="00600298">
        <w:t>ditions contained in Paragraph 10</w:t>
      </w:r>
      <w:r w:rsidR="00600298" w:rsidRPr="00721624">
        <w:t xml:space="preserve">(b) </w:t>
      </w:r>
      <w:r w:rsidR="00600298">
        <w:t>of the Settlement under the heading, “Electric Generator,”</w:t>
      </w:r>
      <w:r w:rsidR="00600298" w:rsidRPr="00721624">
        <w:t xml:space="preserve"> have been met.  The allocation</w:t>
      </w:r>
      <w:r w:rsidR="00600298">
        <w:t xml:space="preserve"> of design of the S</w:t>
      </w:r>
      <w:r w:rsidR="00600298" w:rsidRPr="00721624">
        <w:t>ettlement rates provides for a monthly customer charge</w:t>
      </w:r>
      <w:r w:rsidR="00600298">
        <w:t xml:space="preserve"> of $23.00.</w:t>
      </w:r>
      <w:r w:rsidR="00987EC0">
        <w:rPr>
          <w:rStyle w:val="FootnoteReference"/>
        </w:rPr>
        <w:footnoteReference w:id="1"/>
      </w:r>
      <w:r w:rsidR="00600298">
        <w:t xml:space="preserve">  P</w:t>
      </w:r>
      <w:r w:rsidR="00600298" w:rsidRPr="004E6B39">
        <w:t>roof</w:t>
      </w:r>
      <w:r w:rsidR="00600298">
        <w:t>s</w:t>
      </w:r>
      <w:r w:rsidR="00600298" w:rsidRPr="004E6B39">
        <w:t xml:space="preserve"> of revenue </w:t>
      </w:r>
      <w:r w:rsidR="00600298">
        <w:t xml:space="preserve">for the two phase increases are </w:t>
      </w:r>
      <w:r w:rsidR="00600298" w:rsidRPr="004E6B39">
        <w:t xml:space="preserve">attached </w:t>
      </w:r>
      <w:r w:rsidR="00600298">
        <w:t xml:space="preserve">to the Settlement as </w:t>
      </w:r>
      <w:r w:rsidR="00600298" w:rsidRPr="004E6B39">
        <w:t>Appendi</w:t>
      </w:r>
      <w:r w:rsidR="00600298">
        <w:t>ces</w:t>
      </w:r>
      <w:r w:rsidR="00600298" w:rsidRPr="004E6B39">
        <w:t xml:space="preserve"> B</w:t>
      </w:r>
      <w:r w:rsidR="00600298">
        <w:t xml:space="preserve"> and C</w:t>
      </w:r>
      <w:r w:rsidR="00600298" w:rsidRPr="004E6B39">
        <w:t>.</w:t>
      </w:r>
      <w:r w:rsidR="00600298" w:rsidRPr="00CE253F">
        <w:t xml:space="preserve"> </w:t>
      </w:r>
      <w:r w:rsidR="00600298">
        <w:t xml:space="preserve"> Settlement, p. 3.  </w:t>
      </w:r>
    </w:p>
    <w:p w:rsidR="00762326" w:rsidRDefault="00762326" w:rsidP="00762326">
      <w:pPr>
        <w:spacing w:line="360" w:lineRule="auto"/>
      </w:pPr>
    </w:p>
    <w:p w:rsidR="005D06E3" w:rsidRDefault="005D06E3" w:rsidP="00762326">
      <w:pPr>
        <w:spacing w:line="360" w:lineRule="auto"/>
      </w:pPr>
    </w:p>
    <w:p w:rsidR="005D06E3" w:rsidRDefault="005D06E3" w:rsidP="00762326">
      <w:pPr>
        <w:spacing w:line="360" w:lineRule="auto"/>
      </w:pPr>
    </w:p>
    <w:p w:rsidR="005D06E3" w:rsidRDefault="005D06E3" w:rsidP="00762326">
      <w:pPr>
        <w:spacing w:line="360" w:lineRule="auto"/>
      </w:pPr>
    </w:p>
    <w:p w:rsidR="00762326" w:rsidRDefault="00762326" w:rsidP="00762326">
      <w:pPr>
        <w:spacing w:line="360" w:lineRule="auto"/>
      </w:pPr>
      <w:r>
        <w:lastRenderedPageBreak/>
        <w:t>B.</w:t>
      </w:r>
      <w:r>
        <w:tab/>
      </w:r>
      <w:r>
        <w:rPr>
          <w:u w:val="single"/>
        </w:rPr>
        <w:t>Electric Generator</w:t>
      </w:r>
    </w:p>
    <w:p w:rsidR="00762326" w:rsidRDefault="00762326" w:rsidP="00762326">
      <w:pPr>
        <w:spacing w:line="360" w:lineRule="auto"/>
      </w:pPr>
    </w:p>
    <w:p w:rsidR="00776B9F" w:rsidRDefault="00762326" w:rsidP="003973E0">
      <w:pPr>
        <w:spacing w:line="360" w:lineRule="auto"/>
        <w:ind w:firstLine="1440"/>
      </w:pPr>
      <w:r>
        <w:t xml:space="preserve">Pursuant to the Settlement, </w:t>
      </w:r>
      <w:proofErr w:type="spellStart"/>
      <w:r>
        <w:t>Plumer</w:t>
      </w:r>
      <w:proofErr w:type="spellEnd"/>
      <w:r>
        <w:t xml:space="preserve">, at its cost, must purchase a back-up electric generator for installation by the Borough of </w:t>
      </w:r>
      <w:proofErr w:type="spellStart"/>
      <w:r>
        <w:t>Rouseville</w:t>
      </w:r>
      <w:proofErr w:type="spellEnd"/>
      <w:r>
        <w:t xml:space="preserve"> </w:t>
      </w:r>
      <w:r w:rsidR="00BF22B4">
        <w:t>(“</w:t>
      </w:r>
      <w:proofErr w:type="spellStart"/>
      <w:r w:rsidR="00BF22B4">
        <w:t>Rouseville</w:t>
      </w:r>
      <w:proofErr w:type="spellEnd"/>
      <w:r w:rsidR="00BF22B4">
        <w:t>”</w:t>
      </w:r>
      <w:r w:rsidR="00DA28E1">
        <w:t xml:space="preserve"> or “the Borough”</w:t>
      </w:r>
      <w:r w:rsidR="00BF22B4">
        <w:t xml:space="preserve">) </w:t>
      </w:r>
      <w:r>
        <w:t xml:space="preserve">on the Borough’s water system.  </w:t>
      </w:r>
      <w:proofErr w:type="spellStart"/>
      <w:r>
        <w:t>Plumer</w:t>
      </w:r>
      <w:proofErr w:type="spellEnd"/>
      <w:r>
        <w:t xml:space="preserve"> purchases its water supply from the Borough.  The back-up generator will provide a source of back-up electric power for water service provided by </w:t>
      </w:r>
      <w:proofErr w:type="spellStart"/>
      <w:r>
        <w:t>Rouseville</w:t>
      </w:r>
      <w:proofErr w:type="spellEnd"/>
      <w:r>
        <w:t xml:space="preserve"> to </w:t>
      </w:r>
      <w:proofErr w:type="spellStart"/>
      <w:r>
        <w:t>Plumer</w:t>
      </w:r>
      <w:proofErr w:type="spellEnd"/>
      <w:r>
        <w:t xml:space="preserve"> to enable water service to continue to </w:t>
      </w:r>
      <w:proofErr w:type="spellStart"/>
      <w:r>
        <w:t>Plumer’s</w:t>
      </w:r>
      <w:proofErr w:type="spellEnd"/>
      <w:r>
        <w:t xml:space="preserve"> customers when there is an outage on the </w:t>
      </w:r>
      <w:proofErr w:type="spellStart"/>
      <w:r>
        <w:t>Rouseville</w:t>
      </w:r>
      <w:proofErr w:type="spellEnd"/>
      <w:r>
        <w:t xml:space="preserve"> system.  </w:t>
      </w:r>
      <w:proofErr w:type="spellStart"/>
      <w:r>
        <w:t>Plumer</w:t>
      </w:r>
      <w:proofErr w:type="spellEnd"/>
      <w:r>
        <w:t xml:space="preserve"> agrees to provide written proof and confirmation that the generator has been purchased by </w:t>
      </w:r>
      <w:proofErr w:type="spellStart"/>
      <w:r>
        <w:t>Plumer</w:t>
      </w:r>
      <w:proofErr w:type="spellEnd"/>
      <w:r>
        <w:t xml:space="preserve"> and has been installed by </w:t>
      </w:r>
      <w:proofErr w:type="spellStart"/>
      <w:r>
        <w:t>Rouseville</w:t>
      </w:r>
      <w:proofErr w:type="spellEnd"/>
      <w:r>
        <w:t xml:space="preserve"> and is in working order.  Settlement, pp. 3-4.</w:t>
      </w:r>
      <w:r w:rsidR="00600298">
        <w:t xml:space="preserve">  </w:t>
      </w:r>
      <w:r w:rsidR="005F47D6">
        <w:t xml:space="preserve"> </w:t>
      </w:r>
      <w:r w:rsidR="00945D16">
        <w:t xml:space="preserve">  </w:t>
      </w:r>
      <w:r w:rsidR="0061215E">
        <w:t xml:space="preserve">      </w:t>
      </w:r>
    </w:p>
    <w:p w:rsidR="00776B9F" w:rsidRDefault="00776B9F" w:rsidP="000C4FD8">
      <w:pPr>
        <w:spacing w:line="360" w:lineRule="auto"/>
      </w:pPr>
    </w:p>
    <w:p w:rsidR="00776B9F" w:rsidRDefault="00762326" w:rsidP="000C4FD8">
      <w:pPr>
        <w:spacing w:line="360" w:lineRule="auto"/>
      </w:pPr>
      <w:r>
        <w:t>C</w:t>
      </w:r>
      <w:r w:rsidR="00776B9F">
        <w:t>.</w:t>
      </w:r>
      <w:r w:rsidR="00776B9F">
        <w:tab/>
      </w:r>
      <w:r w:rsidR="00776B9F">
        <w:rPr>
          <w:u w:val="single"/>
        </w:rPr>
        <w:t>Affiliated Interest Agreement</w:t>
      </w:r>
    </w:p>
    <w:p w:rsidR="00776B9F" w:rsidRDefault="00776B9F" w:rsidP="000C4FD8">
      <w:pPr>
        <w:spacing w:line="360" w:lineRule="auto"/>
      </w:pPr>
    </w:p>
    <w:p w:rsidR="00776B9F" w:rsidRDefault="00776B9F" w:rsidP="00776B9F">
      <w:pPr>
        <w:spacing w:line="360" w:lineRule="auto"/>
        <w:ind w:firstLine="1440"/>
      </w:pPr>
      <w:r>
        <w:t xml:space="preserve">Within </w:t>
      </w:r>
      <w:r w:rsidR="00786E95">
        <w:t>thirty (</w:t>
      </w:r>
      <w:r>
        <w:t>3</w:t>
      </w:r>
      <w:r w:rsidRPr="009143E2">
        <w:t>0</w:t>
      </w:r>
      <w:r w:rsidR="00786E95">
        <w:t>)</w:t>
      </w:r>
      <w:r w:rsidRPr="009143E2">
        <w:t xml:space="preserve"> days of the issuance of a Final Order in this matter, </w:t>
      </w:r>
      <w:r>
        <w:t xml:space="preserve">the Settlement requires </w:t>
      </w:r>
      <w:proofErr w:type="spellStart"/>
      <w:r w:rsidR="00DB425B">
        <w:t>Plumer</w:t>
      </w:r>
      <w:proofErr w:type="spellEnd"/>
      <w:r>
        <w:t xml:space="preserve"> to</w:t>
      </w:r>
      <w:r w:rsidRPr="009143E2">
        <w:t xml:space="preserve"> file </w:t>
      </w:r>
      <w:r>
        <w:t xml:space="preserve">the Revised Schedule I, attached to the Settlement as Appendix </w:t>
      </w:r>
      <w:r w:rsidR="00DB425B">
        <w:t>D</w:t>
      </w:r>
      <w:r>
        <w:t xml:space="preserve">, as an amendment to the </w:t>
      </w:r>
      <w:r w:rsidRPr="009143E2">
        <w:t>Affiliated Interest Agreement</w:t>
      </w:r>
      <w:r>
        <w:t xml:space="preserve"> (“AIA”)</w:t>
      </w:r>
      <w:r w:rsidRPr="009143E2">
        <w:t xml:space="preserve"> </w:t>
      </w:r>
      <w:r>
        <w:t>addressed by the Commission at G</w:t>
      </w:r>
      <w:r w:rsidR="00804AA2">
        <w:noBreakHyphen/>
      </w:r>
      <w:r>
        <w:t xml:space="preserve">2014-2439212 and approved by Secretarial Letter of the Commission dated December 11, 2014.  The Joint Petitioners agreed that the filing will be submitted pursuant </w:t>
      </w:r>
      <w:r w:rsidRPr="009143E2">
        <w:t>to Chapter 21 of the Public Utility Code</w:t>
      </w:r>
      <w:r>
        <w:t xml:space="preserve"> and that, consistent with submissions under Chapter 21, the amended AIA is not being proposed as a </w:t>
      </w:r>
      <w:r w:rsidRPr="00305F9B">
        <w:t>determination that the associated costs or expenses are reasonable or prudent for the purposes of determining just and reasonable rates.</w:t>
      </w:r>
      <w:r w:rsidR="00DB425B">
        <w:t xml:space="preserve">  Settlement, p. 4</w:t>
      </w:r>
      <w:r w:rsidR="003B30E3">
        <w:t>.</w:t>
      </w:r>
    </w:p>
    <w:p w:rsidR="003B30E3" w:rsidRDefault="003B30E3" w:rsidP="00776B9F">
      <w:pPr>
        <w:spacing w:line="360" w:lineRule="auto"/>
        <w:ind w:firstLine="1440"/>
      </w:pPr>
    </w:p>
    <w:p w:rsidR="003B30E3" w:rsidRDefault="00DB425B" w:rsidP="003B30E3">
      <w:pPr>
        <w:spacing w:line="360" w:lineRule="auto"/>
      </w:pPr>
      <w:r>
        <w:t>D</w:t>
      </w:r>
      <w:r w:rsidR="003B30E3">
        <w:t>.</w:t>
      </w:r>
      <w:r w:rsidR="003B30E3">
        <w:tab/>
      </w:r>
      <w:r w:rsidR="003B30E3">
        <w:rPr>
          <w:u w:val="single"/>
        </w:rPr>
        <w:t>Stay</w:t>
      </w:r>
      <w:r w:rsidR="00702D5B">
        <w:rPr>
          <w:u w:val="single"/>
        </w:rPr>
        <w:t>-</w:t>
      </w:r>
      <w:r w:rsidR="003B30E3">
        <w:rPr>
          <w:u w:val="single"/>
        </w:rPr>
        <w:t>Out</w:t>
      </w:r>
      <w:r w:rsidR="00702D5B">
        <w:rPr>
          <w:u w:val="single"/>
        </w:rPr>
        <w:t xml:space="preserve"> Provision</w:t>
      </w:r>
    </w:p>
    <w:p w:rsidR="003B30E3" w:rsidRDefault="003B30E3" w:rsidP="003B30E3">
      <w:pPr>
        <w:spacing w:line="360" w:lineRule="auto"/>
      </w:pPr>
    </w:p>
    <w:p w:rsidR="001C78E4" w:rsidRDefault="00DB425B" w:rsidP="003837E2">
      <w:pPr>
        <w:spacing w:line="360" w:lineRule="auto"/>
        <w:ind w:firstLine="1440"/>
      </w:pPr>
      <w:proofErr w:type="spellStart"/>
      <w:r>
        <w:t>Plumer</w:t>
      </w:r>
      <w:proofErr w:type="spellEnd"/>
      <w:r w:rsidR="003B30E3">
        <w:t xml:space="preserve"> agreed that it </w:t>
      </w:r>
      <w:r w:rsidR="003B30E3" w:rsidRPr="004E6B39">
        <w:t xml:space="preserve">will not file a general rate increase, as that term is defined in Section 1308(d) of the Public Utility Code, 66 </w:t>
      </w:r>
      <w:proofErr w:type="spellStart"/>
      <w:r w:rsidR="003B30E3" w:rsidRPr="004E6B39">
        <w:t>Pa.C.S</w:t>
      </w:r>
      <w:proofErr w:type="spellEnd"/>
      <w:r w:rsidR="003B30E3" w:rsidRPr="004E6B39">
        <w:t xml:space="preserve">. § 1308(d), prior to </w:t>
      </w:r>
      <w:r w:rsidR="003B30E3">
        <w:t xml:space="preserve">eighteen </w:t>
      </w:r>
      <w:r w:rsidR="003B30E3" w:rsidRPr="004E6B39">
        <w:t>(</w:t>
      </w:r>
      <w:r w:rsidR="003B30E3">
        <w:t>18</w:t>
      </w:r>
      <w:r w:rsidR="003B30E3" w:rsidRPr="004E6B39">
        <w:t xml:space="preserve">) months after the entry date of the Commission’s Order approving this </w:t>
      </w:r>
      <w:r w:rsidR="003B30E3">
        <w:t xml:space="preserve">Settlement.  The Settlement does provide, however, that </w:t>
      </w:r>
      <w:proofErr w:type="spellStart"/>
      <w:r>
        <w:t>Plumer</w:t>
      </w:r>
      <w:proofErr w:type="spellEnd"/>
      <w:r w:rsidR="003B30E3">
        <w:t xml:space="preserve"> may </w:t>
      </w:r>
      <w:r w:rsidR="003B30E3" w:rsidRPr="00225DB3">
        <w:rPr>
          <w:bCs/>
        </w:rPr>
        <w:t xml:space="preserve">file for a change in rates under Sections 1308(a) and (b) </w:t>
      </w:r>
      <w:r w:rsidR="003B30E3">
        <w:rPr>
          <w:bCs/>
        </w:rPr>
        <w:t xml:space="preserve">of the Public Utility Code, </w:t>
      </w:r>
      <w:r w:rsidR="003B30E3" w:rsidRPr="00114C71">
        <w:t xml:space="preserve">66 </w:t>
      </w:r>
      <w:proofErr w:type="spellStart"/>
      <w:r w:rsidR="003B30E3" w:rsidRPr="00114C71">
        <w:t>Pa.C.S</w:t>
      </w:r>
      <w:proofErr w:type="spellEnd"/>
      <w:r w:rsidR="003B30E3" w:rsidRPr="00114C71">
        <w:t xml:space="preserve">. </w:t>
      </w:r>
      <w:proofErr w:type="gramStart"/>
      <w:r w:rsidR="003B30E3" w:rsidRPr="00114C71">
        <w:t>§ 1308(</w:t>
      </w:r>
      <w:r w:rsidR="003B30E3">
        <w:t>a</w:t>
      </w:r>
      <w:r w:rsidR="003B30E3" w:rsidRPr="00114C71">
        <w:t>)</w:t>
      </w:r>
      <w:r w:rsidR="003B30E3">
        <w:t xml:space="preserve"> and (b) </w:t>
      </w:r>
      <w:r w:rsidR="003B30E3" w:rsidRPr="00225DB3">
        <w:rPr>
          <w:bCs/>
        </w:rPr>
        <w:t>(governing general rate relief), or Section 1308(e)</w:t>
      </w:r>
      <w:r w:rsidR="003B30E3" w:rsidRPr="00396DB2">
        <w:t xml:space="preserve"> </w:t>
      </w:r>
      <w:r w:rsidR="003B30E3">
        <w:t xml:space="preserve">of the Public Utility Code, 66 </w:t>
      </w:r>
      <w:proofErr w:type="spellStart"/>
      <w:r w:rsidR="003B30E3">
        <w:t>Pa.C.S</w:t>
      </w:r>
      <w:proofErr w:type="spellEnd"/>
      <w:r w:rsidR="003B30E3">
        <w:t>.</w:t>
      </w:r>
      <w:proofErr w:type="gramEnd"/>
      <w:r w:rsidR="003B30E3">
        <w:t xml:space="preserve"> § 1308(e) </w:t>
      </w:r>
      <w:r w:rsidR="003B30E3" w:rsidRPr="00225DB3">
        <w:rPr>
          <w:bCs/>
        </w:rPr>
        <w:t>(governing extraordinary rate relief)</w:t>
      </w:r>
      <w:r w:rsidR="003B30E3">
        <w:rPr>
          <w:bCs/>
        </w:rPr>
        <w:t>,</w:t>
      </w:r>
      <w:r w:rsidR="003B30E3" w:rsidRPr="00225DB3">
        <w:rPr>
          <w:bCs/>
        </w:rPr>
        <w:t xml:space="preserve"> if </w:t>
      </w:r>
      <w:r w:rsidR="003B30E3" w:rsidRPr="00225DB3">
        <w:rPr>
          <w:bCs/>
        </w:rPr>
        <w:lastRenderedPageBreak/>
        <w:t xml:space="preserve">a legislative body or administrative agency orders or enacts changes in policy, regulation or statutes which directly and substantially affect </w:t>
      </w:r>
      <w:proofErr w:type="spellStart"/>
      <w:r>
        <w:rPr>
          <w:bCs/>
        </w:rPr>
        <w:t>Plumer’s</w:t>
      </w:r>
      <w:proofErr w:type="spellEnd"/>
      <w:r w:rsidR="003B30E3">
        <w:rPr>
          <w:bCs/>
        </w:rPr>
        <w:t xml:space="preserve"> </w:t>
      </w:r>
      <w:r w:rsidR="003B30E3" w:rsidRPr="00225DB3">
        <w:rPr>
          <w:bCs/>
        </w:rPr>
        <w:t>rates.</w:t>
      </w:r>
      <w:r w:rsidR="003B30E3">
        <w:rPr>
          <w:bCs/>
        </w:rPr>
        <w:t xml:space="preserve">  </w:t>
      </w:r>
      <w:r w:rsidR="003B30E3">
        <w:t xml:space="preserve">Settlement, p. </w:t>
      </w:r>
      <w:r>
        <w:t>4</w:t>
      </w:r>
      <w:r w:rsidR="003B30E3">
        <w:t>.</w:t>
      </w:r>
    </w:p>
    <w:p w:rsidR="00DB425B" w:rsidRDefault="00DB425B" w:rsidP="003837E2">
      <w:pPr>
        <w:spacing w:line="360" w:lineRule="auto"/>
        <w:ind w:firstLine="1440"/>
      </w:pPr>
    </w:p>
    <w:p w:rsidR="00DB425B" w:rsidRDefault="00DB425B" w:rsidP="003837E2">
      <w:pPr>
        <w:spacing w:line="360" w:lineRule="auto"/>
        <w:ind w:firstLine="1440"/>
        <w:rPr>
          <w:bCs/>
        </w:rPr>
      </w:pPr>
      <w:r>
        <w:rPr>
          <w:bCs/>
        </w:rPr>
        <w:t xml:space="preserve">Additionally, the Settlement provides that </w:t>
      </w:r>
      <w:proofErr w:type="spellStart"/>
      <w:r>
        <w:rPr>
          <w:bCs/>
        </w:rPr>
        <w:t>Plumer</w:t>
      </w:r>
      <w:proofErr w:type="spellEnd"/>
      <w:r>
        <w:rPr>
          <w:bCs/>
        </w:rPr>
        <w:t xml:space="preserve"> may file for a change in rates if the Borough of </w:t>
      </w:r>
      <w:proofErr w:type="spellStart"/>
      <w:r>
        <w:rPr>
          <w:bCs/>
        </w:rPr>
        <w:t>Rouseville</w:t>
      </w:r>
      <w:proofErr w:type="spellEnd"/>
      <w:r>
        <w:rPr>
          <w:bCs/>
        </w:rPr>
        <w:t xml:space="preserve"> changes the rates charged to </w:t>
      </w:r>
      <w:proofErr w:type="spellStart"/>
      <w:r>
        <w:rPr>
          <w:bCs/>
        </w:rPr>
        <w:t>Plumer</w:t>
      </w:r>
      <w:proofErr w:type="spellEnd"/>
      <w:r>
        <w:rPr>
          <w:bCs/>
        </w:rPr>
        <w:t xml:space="preserve"> for water purchased by </w:t>
      </w:r>
      <w:proofErr w:type="spellStart"/>
      <w:r>
        <w:rPr>
          <w:bCs/>
        </w:rPr>
        <w:t>Plumer</w:t>
      </w:r>
      <w:proofErr w:type="spellEnd"/>
      <w:r w:rsidRPr="00D2605A">
        <w:rPr>
          <w:bCs/>
        </w:rPr>
        <w:t xml:space="preserve"> </w:t>
      </w:r>
      <w:r>
        <w:rPr>
          <w:bCs/>
        </w:rPr>
        <w:t xml:space="preserve">from the Borough of </w:t>
      </w:r>
      <w:proofErr w:type="spellStart"/>
      <w:r>
        <w:rPr>
          <w:bCs/>
        </w:rPr>
        <w:t>Rouseville</w:t>
      </w:r>
      <w:proofErr w:type="spellEnd"/>
      <w:r>
        <w:rPr>
          <w:bCs/>
        </w:rPr>
        <w:t>.  Settlement, p. 5.</w:t>
      </w:r>
    </w:p>
    <w:p w:rsidR="004E2B81" w:rsidRDefault="004E2B81" w:rsidP="003837E2">
      <w:pPr>
        <w:spacing w:line="360" w:lineRule="auto"/>
        <w:ind w:firstLine="1440"/>
      </w:pPr>
    </w:p>
    <w:p w:rsidR="00A77698" w:rsidRDefault="00A77698" w:rsidP="00A77698">
      <w:pPr>
        <w:spacing w:line="360" w:lineRule="auto"/>
        <w:jc w:val="center"/>
      </w:pPr>
      <w:r>
        <w:t>I</w:t>
      </w:r>
      <w:r w:rsidR="00E1574B">
        <w:t>V</w:t>
      </w:r>
      <w:r>
        <w:t>.</w:t>
      </w:r>
      <w:r>
        <w:tab/>
      </w:r>
      <w:r>
        <w:rPr>
          <w:u w:val="single"/>
        </w:rPr>
        <w:t>DISCUSSION</w:t>
      </w:r>
    </w:p>
    <w:p w:rsidR="00A77698" w:rsidRDefault="00A77698" w:rsidP="00A77698">
      <w:pPr>
        <w:spacing w:line="360" w:lineRule="auto"/>
      </w:pPr>
    </w:p>
    <w:p w:rsidR="00A77698" w:rsidRDefault="00A77698" w:rsidP="00A77698">
      <w:pPr>
        <w:spacing w:line="360" w:lineRule="auto"/>
        <w:ind w:firstLine="1440"/>
      </w:pPr>
      <w:r>
        <w:t xml:space="preserve">The Commission encourages parties in contested on-the-record proceedings to settle cases.  </w:t>
      </w:r>
      <w:r>
        <w:rPr>
          <w:i/>
        </w:rPr>
        <w:t>See</w:t>
      </w:r>
      <w:r>
        <w:t xml:space="preserve">, 52 </w:t>
      </w:r>
      <w:proofErr w:type="spellStart"/>
      <w:r>
        <w:t>Pa.Code</w:t>
      </w:r>
      <w:proofErr w:type="spellEnd"/>
      <w:r>
        <w:t xml:space="preserve"> §</w:t>
      </w:r>
      <w:r w:rsidR="009D4E15">
        <w:t xml:space="preserve"> </w:t>
      </w:r>
      <w:r>
        <w:t>5.231.  Settlements eliminate the time, effort and expense of litigating a matter to its ultimate conclusion, which may entail review of the Commission’s decision by the appellate courts of Pennsylvania.  Such savings benefit not only the individual parties, but also the Commission and all ratepayers of a utility, who otherwise may have to bear the financial burden such litigation necessarily entails.</w:t>
      </w:r>
    </w:p>
    <w:p w:rsidR="00A77698" w:rsidRDefault="00A77698" w:rsidP="00A77698">
      <w:pPr>
        <w:spacing w:line="360" w:lineRule="auto"/>
      </w:pPr>
    </w:p>
    <w:p w:rsidR="00A77698" w:rsidRDefault="00A77698" w:rsidP="00B042A9">
      <w:pPr>
        <w:pStyle w:val="ListNumber"/>
        <w:numPr>
          <w:ilvl w:val="0"/>
          <w:numId w:val="0"/>
        </w:numPr>
        <w:spacing w:line="360" w:lineRule="auto"/>
        <w:ind w:firstLine="720"/>
      </w:pPr>
      <w:r>
        <w:tab/>
        <w:t xml:space="preserve">By definition, a “settlement” reflects a compromise of the parties’ positions, which arguably fosters and promotes the public interest.  When parties in a proceeding reach a settlement, the principal issue for Commission consideration is whether the agreement reached suits the public interest.  </w:t>
      </w:r>
      <w:r>
        <w:rPr>
          <w:i/>
        </w:rPr>
        <w:t>Pa. P</w:t>
      </w:r>
      <w:r w:rsidR="00947187">
        <w:rPr>
          <w:i/>
        </w:rPr>
        <w:t xml:space="preserve">ub. Util. </w:t>
      </w:r>
      <w:proofErr w:type="spellStart"/>
      <w:r w:rsidR="00947187">
        <w:rPr>
          <w:i/>
        </w:rPr>
        <w:t>Comm’n</w:t>
      </w:r>
      <w:proofErr w:type="spellEnd"/>
      <w:r>
        <w:rPr>
          <w:i/>
        </w:rPr>
        <w:t xml:space="preserve"> v. CS Water and Sewer Associates</w:t>
      </w:r>
      <w:r>
        <w:t xml:space="preserve">, 74 Pa. PUC 767, 771 (1991).  </w:t>
      </w:r>
      <w:r w:rsidR="00B042A9">
        <w:t xml:space="preserve"> </w:t>
      </w:r>
      <w:r>
        <w:t xml:space="preserve"> </w:t>
      </w:r>
    </w:p>
    <w:p w:rsidR="00A77698" w:rsidRDefault="00A77698" w:rsidP="00A77698">
      <w:pPr>
        <w:pStyle w:val="ListNumber"/>
        <w:numPr>
          <w:ilvl w:val="0"/>
          <w:numId w:val="0"/>
        </w:numPr>
        <w:spacing w:line="360" w:lineRule="auto"/>
      </w:pPr>
    </w:p>
    <w:p w:rsidR="00A77698" w:rsidRDefault="00B042A9" w:rsidP="00B042A9">
      <w:pPr>
        <w:pStyle w:val="BodyText2"/>
        <w:spacing w:line="360" w:lineRule="auto"/>
        <w:ind w:firstLine="0"/>
        <w:jc w:val="left"/>
      </w:pPr>
      <w:r>
        <w:t>A.</w:t>
      </w:r>
      <w:r>
        <w:tab/>
      </w:r>
      <w:proofErr w:type="spellStart"/>
      <w:r w:rsidR="00987EC0">
        <w:rPr>
          <w:u w:val="single"/>
        </w:rPr>
        <w:t>Plumer’s</w:t>
      </w:r>
      <w:proofErr w:type="spellEnd"/>
      <w:r w:rsidR="00987EC0">
        <w:rPr>
          <w:u w:val="single"/>
        </w:rPr>
        <w:t xml:space="preserve"> </w:t>
      </w:r>
      <w:r w:rsidR="00A77698" w:rsidRPr="00135488">
        <w:rPr>
          <w:u w:val="single"/>
        </w:rPr>
        <w:t>Position</w:t>
      </w:r>
    </w:p>
    <w:p w:rsidR="00D323F8" w:rsidRDefault="00D323F8" w:rsidP="00B042A9">
      <w:pPr>
        <w:pStyle w:val="BodyText2"/>
        <w:spacing w:line="360" w:lineRule="auto"/>
        <w:ind w:firstLine="0"/>
        <w:jc w:val="left"/>
      </w:pPr>
    </w:p>
    <w:p w:rsidR="00135488" w:rsidRDefault="006C2B29" w:rsidP="00135488">
      <w:pPr>
        <w:pStyle w:val="Level1"/>
        <w:widowControl/>
        <w:numPr>
          <w:ilvl w:val="0"/>
          <w:numId w:val="0"/>
        </w:numPr>
        <w:tabs>
          <w:tab w:val="num" w:pos="1440"/>
        </w:tabs>
        <w:spacing w:line="360" w:lineRule="auto"/>
        <w:ind w:firstLine="1440"/>
      </w:pPr>
      <w:r>
        <w:t xml:space="preserve">According to </w:t>
      </w:r>
      <w:proofErr w:type="spellStart"/>
      <w:r w:rsidR="003973E0">
        <w:t>Plumer</w:t>
      </w:r>
      <w:proofErr w:type="spellEnd"/>
      <w:r>
        <w:t>, i</w:t>
      </w:r>
      <w:r w:rsidR="00135488" w:rsidRPr="005A3B6B">
        <w:t>t is the stated policy of the Commission to encourage parties in contested proceedings to enter into settlements.</w:t>
      </w:r>
      <w:r w:rsidR="00135488" w:rsidRPr="00D3075E">
        <w:rPr>
          <w:rStyle w:val="FootnoteReference"/>
        </w:rPr>
        <w:footnoteReference w:id="2"/>
      </w:r>
      <w:r w:rsidR="00135488" w:rsidRPr="005A3B6B">
        <w:t xml:space="preserve">  Settlements lessen the time and expense the parties must expend litigating a case and at the same time conserve administrative hearing resources.  A settlement, which allows the parties to avoid the substantial costs of </w:t>
      </w:r>
      <w:r w:rsidR="00135488" w:rsidRPr="005A3B6B">
        <w:lastRenderedPageBreak/>
        <w:t xml:space="preserve">preparing and serving testimony and the cross-examination of witnesses in lengthy hearings, the preparation and service of briefs, reply briefs, exceptions and replies to exceptions, together with the briefs and reply briefs necessitated by any appeal of the Commission’s decision, yields significant expense savings.  </w:t>
      </w:r>
      <w:r w:rsidR="00135488">
        <w:t xml:space="preserve">According to </w:t>
      </w:r>
      <w:proofErr w:type="spellStart"/>
      <w:r w:rsidR="003973E0">
        <w:t>Plumer</w:t>
      </w:r>
      <w:proofErr w:type="spellEnd"/>
      <w:r w:rsidR="00135488">
        <w:t>, s</w:t>
      </w:r>
      <w:r w:rsidR="00135488" w:rsidRPr="005A3B6B">
        <w:t>uch savings directly benefit the individual parties to a proceeding.  At the same time, these savings also benefit the Commission and all ratepayers of the utility, who otherwise may have to bear the financial burden such litigation necessarily entails.</w:t>
      </w:r>
      <w:r w:rsidR="00135488" w:rsidRPr="005A3B6B">
        <w:rPr>
          <w:rStyle w:val="FootnoteReference"/>
        </w:rPr>
        <w:footnoteReference w:id="3"/>
      </w:r>
      <w:r w:rsidR="00135488" w:rsidRPr="005A3B6B">
        <w:t xml:space="preserve">  </w:t>
      </w:r>
      <w:r w:rsidR="00DA28E1">
        <w:t xml:space="preserve">According to </w:t>
      </w:r>
      <w:proofErr w:type="spellStart"/>
      <w:r w:rsidR="00DA28E1">
        <w:t>Plumer</w:t>
      </w:r>
      <w:proofErr w:type="spellEnd"/>
      <w:r w:rsidR="00DA28E1">
        <w:t>, t</w:t>
      </w:r>
      <w:r w:rsidR="00135488" w:rsidRPr="005A3B6B">
        <w:t xml:space="preserve">he avoidance of </w:t>
      </w:r>
      <w:r w:rsidR="00135488">
        <w:t xml:space="preserve">further litigation </w:t>
      </w:r>
      <w:r w:rsidR="00135488" w:rsidRPr="005A3B6B">
        <w:t xml:space="preserve">expense </w:t>
      </w:r>
      <w:r w:rsidR="00135488">
        <w:t xml:space="preserve">in this proceeding </w:t>
      </w:r>
      <w:r w:rsidR="00135488" w:rsidRPr="005A3B6B">
        <w:t>is in the public interest.</w:t>
      </w:r>
      <w:r w:rsidR="00135488">
        <w:t xml:space="preserve">  </w:t>
      </w:r>
      <w:proofErr w:type="spellStart"/>
      <w:r w:rsidR="003973E0">
        <w:t>Plumer</w:t>
      </w:r>
      <w:proofErr w:type="spellEnd"/>
      <w:r w:rsidR="00135488">
        <w:t xml:space="preserve"> St. in Support, p. </w:t>
      </w:r>
      <w:r w:rsidR="00E010A4">
        <w:t>2.</w:t>
      </w:r>
      <w:r w:rsidR="00135488">
        <w:t xml:space="preserve"> </w:t>
      </w:r>
    </w:p>
    <w:p w:rsidR="00135488" w:rsidRDefault="00135488" w:rsidP="00135488">
      <w:pPr>
        <w:pStyle w:val="Level1"/>
        <w:widowControl/>
        <w:numPr>
          <w:ilvl w:val="0"/>
          <w:numId w:val="0"/>
        </w:numPr>
        <w:tabs>
          <w:tab w:val="num" w:pos="1440"/>
        </w:tabs>
        <w:spacing w:line="360" w:lineRule="auto"/>
        <w:ind w:firstLine="1440"/>
      </w:pPr>
    </w:p>
    <w:p w:rsidR="00135488" w:rsidRDefault="00135488" w:rsidP="00135488">
      <w:pPr>
        <w:pStyle w:val="Level1"/>
        <w:widowControl/>
        <w:numPr>
          <w:ilvl w:val="0"/>
          <w:numId w:val="0"/>
        </w:numPr>
        <w:tabs>
          <w:tab w:val="num" w:pos="1440"/>
        </w:tabs>
        <w:spacing w:line="360" w:lineRule="auto"/>
        <w:ind w:firstLine="1440"/>
        <w:rPr>
          <w:color w:val="000000"/>
        </w:rPr>
      </w:pPr>
      <w:r w:rsidRPr="005A3B6B">
        <w:t>The Joint Petition proposes a settled resolution of all issues in the rate proceeding.  Where the active parties in a proceeding have reached a settlement, the principal issue for Commission consideration is whether the agreement reached is in the public interest.</w:t>
      </w:r>
      <w:r w:rsidRPr="005A3B6B">
        <w:rPr>
          <w:rStyle w:val="FootnoteReference"/>
        </w:rPr>
        <w:footnoteReference w:id="4"/>
      </w:r>
      <w:r w:rsidRPr="005A3B6B">
        <w:t xml:space="preserve">  </w:t>
      </w:r>
      <w:r w:rsidRPr="005A3B6B">
        <w:rPr>
          <w:color w:val="000000"/>
        </w:rPr>
        <w:t>The benchmark for determining the acceptability of a settlement or partial settlement is whether the proposed terms and conditions are in the public interest.</w:t>
      </w:r>
      <w:r w:rsidRPr="00DB3F18">
        <w:rPr>
          <w:rStyle w:val="FootnoteReference"/>
        </w:rPr>
        <w:footnoteReference w:id="5"/>
      </w:r>
      <w:r>
        <w:rPr>
          <w:color w:val="000000"/>
        </w:rPr>
        <w:t xml:space="preserve">  </w:t>
      </w:r>
      <w:proofErr w:type="spellStart"/>
      <w:r w:rsidR="003973E0">
        <w:t>Plumer</w:t>
      </w:r>
      <w:proofErr w:type="spellEnd"/>
      <w:r w:rsidR="006C2B29">
        <w:t xml:space="preserve"> St. in Support, p. 3.</w:t>
      </w:r>
    </w:p>
    <w:p w:rsidR="00135488" w:rsidRDefault="00135488" w:rsidP="00135488">
      <w:pPr>
        <w:pStyle w:val="Level1"/>
        <w:widowControl/>
        <w:numPr>
          <w:ilvl w:val="0"/>
          <w:numId w:val="0"/>
        </w:numPr>
        <w:tabs>
          <w:tab w:val="num" w:pos="1440"/>
        </w:tabs>
        <w:spacing w:line="360" w:lineRule="auto"/>
        <w:ind w:firstLine="1440"/>
        <w:rPr>
          <w:color w:val="000000"/>
        </w:rPr>
      </w:pPr>
    </w:p>
    <w:p w:rsidR="00EF1A88" w:rsidRDefault="00135488" w:rsidP="00135488">
      <w:pPr>
        <w:pStyle w:val="Level1"/>
        <w:widowControl/>
        <w:numPr>
          <w:ilvl w:val="0"/>
          <w:numId w:val="0"/>
        </w:numPr>
        <w:tabs>
          <w:tab w:val="num" w:pos="1440"/>
        </w:tabs>
        <w:spacing w:line="360" w:lineRule="auto"/>
        <w:ind w:firstLine="1440"/>
      </w:pPr>
      <w:r>
        <w:t xml:space="preserve">The Joint Petitioners agree that the </w:t>
      </w:r>
      <w:r w:rsidR="00F312E2">
        <w:t>Settlement</w:t>
      </w:r>
      <w:r w:rsidRPr="00DF56F7">
        <w:t xml:space="preserve"> is in the public interes</w:t>
      </w:r>
      <w:r>
        <w:t xml:space="preserve">t because it (a) minimizes cost </w:t>
      </w:r>
      <w:r w:rsidRPr="00DF56F7">
        <w:t xml:space="preserve">prohibitive litigation and administrative burden; (b) recognizes ratepayers’ concerns; and (c) provides </w:t>
      </w:r>
      <w:proofErr w:type="spellStart"/>
      <w:r w:rsidR="003973E0">
        <w:t>Plumer</w:t>
      </w:r>
      <w:proofErr w:type="spellEnd"/>
      <w:r>
        <w:t xml:space="preserve"> </w:t>
      </w:r>
      <w:r w:rsidRPr="00DF56F7">
        <w:t>with additional and necessary cash flow.</w:t>
      </w:r>
      <w:r>
        <w:rPr>
          <w:rStyle w:val="FootnoteReference"/>
        </w:rPr>
        <w:footnoteReference w:id="6"/>
      </w:r>
      <w:r w:rsidRPr="00DF56F7">
        <w:t xml:space="preserve">  </w:t>
      </w:r>
      <w:r>
        <w:t>These three considerations are traditionally recognized as matters that further the public interest in settlement</w:t>
      </w:r>
    </w:p>
    <w:p w:rsidR="006C2B29" w:rsidRDefault="00135488" w:rsidP="00EF1A88">
      <w:pPr>
        <w:pStyle w:val="Level1"/>
        <w:widowControl/>
        <w:numPr>
          <w:ilvl w:val="0"/>
          <w:numId w:val="0"/>
        </w:numPr>
        <w:tabs>
          <w:tab w:val="num" w:pos="1440"/>
        </w:tabs>
        <w:spacing w:line="360" w:lineRule="auto"/>
      </w:pPr>
      <w:proofErr w:type="gramStart"/>
      <w:r>
        <w:lastRenderedPageBreak/>
        <w:t>of</w:t>
      </w:r>
      <w:proofErr w:type="gramEnd"/>
      <w:r>
        <w:t xml:space="preserve"> rate proceedings.</w:t>
      </w:r>
      <w:r>
        <w:rPr>
          <w:rStyle w:val="FootnoteReference"/>
        </w:rPr>
        <w:footnoteReference w:id="7"/>
      </w:r>
      <w:r>
        <w:t xml:space="preserve">  </w:t>
      </w:r>
      <w:proofErr w:type="spellStart"/>
      <w:r w:rsidR="003973E0">
        <w:t>Plumer</w:t>
      </w:r>
      <w:proofErr w:type="spellEnd"/>
      <w:r w:rsidR="00F312E2">
        <w:t xml:space="preserve"> asserts that e</w:t>
      </w:r>
      <w:r>
        <w:t xml:space="preserve">ach of these considerations applies here where the </w:t>
      </w:r>
      <w:r w:rsidR="00F312E2">
        <w:t>S</w:t>
      </w:r>
      <w:r>
        <w:t xml:space="preserve">ettlement minimizes cost prohibitive litigation and administrative burden as set forth above and recognizes ratepayers’ concerns and provides </w:t>
      </w:r>
      <w:proofErr w:type="spellStart"/>
      <w:r w:rsidR="003973E0">
        <w:t>Plumer</w:t>
      </w:r>
      <w:proofErr w:type="spellEnd"/>
      <w:r>
        <w:t xml:space="preserve"> with additional and necessary cash flow</w:t>
      </w:r>
      <w:r w:rsidR="003973E0">
        <w:t xml:space="preserve">.  </w:t>
      </w:r>
      <w:r>
        <w:t>The Joint Petitioners are also filing individual statements in support of the Joint Petition.</w:t>
      </w:r>
      <w:r w:rsidR="006C2B29">
        <w:t xml:space="preserve">  </w:t>
      </w:r>
      <w:proofErr w:type="spellStart"/>
      <w:r w:rsidR="003973E0">
        <w:t>Plumer</w:t>
      </w:r>
      <w:proofErr w:type="spellEnd"/>
      <w:r w:rsidR="006C2B29">
        <w:t xml:space="preserve"> St. in Support, p. 3. </w:t>
      </w:r>
      <w:r>
        <w:t xml:space="preserve">  </w:t>
      </w:r>
    </w:p>
    <w:p w:rsidR="006C2B29" w:rsidRDefault="006C2B29" w:rsidP="00135488">
      <w:pPr>
        <w:pStyle w:val="Level1"/>
        <w:widowControl/>
        <w:numPr>
          <w:ilvl w:val="0"/>
          <w:numId w:val="0"/>
        </w:numPr>
        <w:tabs>
          <w:tab w:val="num" w:pos="1440"/>
        </w:tabs>
        <w:spacing w:line="360" w:lineRule="auto"/>
        <w:ind w:firstLine="1440"/>
      </w:pPr>
    </w:p>
    <w:p w:rsidR="00135488" w:rsidRDefault="004F7B27" w:rsidP="00135488">
      <w:pPr>
        <w:pStyle w:val="Level1"/>
        <w:widowControl/>
        <w:numPr>
          <w:ilvl w:val="0"/>
          <w:numId w:val="0"/>
        </w:numPr>
        <w:tabs>
          <w:tab w:val="num" w:pos="1440"/>
        </w:tabs>
        <w:spacing w:line="360" w:lineRule="auto"/>
        <w:ind w:firstLine="1440"/>
      </w:pPr>
      <w:proofErr w:type="spellStart"/>
      <w:r>
        <w:t>Plumer</w:t>
      </w:r>
      <w:proofErr w:type="spellEnd"/>
      <w:r w:rsidR="00135488">
        <w:t xml:space="preserve"> </w:t>
      </w:r>
      <w:r w:rsidR="00135488" w:rsidRPr="005A3B6B">
        <w:t xml:space="preserve">submits that the proposed comprehensive resolution of this proceeding, presented by the </w:t>
      </w:r>
      <w:r w:rsidR="00135488">
        <w:t>Joint Petitioners</w:t>
      </w:r>
      <w:r w:rsidR="00135488" w:rsidRPr="005A3B6B">
        <w:t xml:space="preserve"> after review and analysis and Commission encouraged mediation,</w:t>
      </w:r>
      <w:r w:rsidR="00135488" w:rsidRPr="005A3B6B">
        <w:rPr>
          <w:rStyle w:val="FootnoteReference"/>
        </w:rPr>
        <w:footnoteReference w:id="8"/>
      </w:r>
      <w:r w:rsidR="00135488" w:rsidRPr="005A3B6B">
        <w:t xml:space="preserve"> is in the public interest and consistent with the requirements of the Public Utility Code</w:t>
      </w:r>
      <w:r w:rsidR="006C2B29">
        <w:t xml:space="preserve">, 66 </w:t>
      </w:r>
      <w:proofErr w:type="spellStart"/>
      <w:r w:rsidR="006C2B29">
        <w:t>Pa.C.S</w:t>
      </w:r>
      <w:proofErr w:type="spellEnd"/>
      <w:r w:rsidR="006C2B29">
        <w:t xml:space="preserve">. </w:t>
      </w:r>
      <w:proofErr w:type="gramStart"/>
      <w:r w:rsidR="006C2B29">
        <w:t>§</w:t>
      </w:r>
      <w:r w:rsidR="003D1C7A">
        <w:t xml:space="preserve"> </w:t>
      </w:r>
      <w:r w:rsidR="006C2B29">
        <w:t xml:space="preserve">101 </w:t>
      </w:r>
      <w:r w:rsidR="006C2B29">
        <w:rPr>
          <w:i/>
        </w:rPr>
        <w:t>et seq</w:t>
      </w:r>
      <w:r w:rsidR="006C2B29">
        <w:t>.,</w:t>
      </w:r>
      <w:r w:rsidR="00135488" w:rsidRPr="005A3B6B">
        <w:t xml:space="preserve"> and established Commission policy.</w:t>
      </w:r>
      <w:proofErr w:type="gramEnd"/>
      <w:r w:rsidR="00135488" w:rsidRPr="005A3B6B">
        <w:t xml:space="preserve">  While it may not always be the case, </w:t>
      </w:r>
      <w:proofErr w:type="spellStart"/>
      <w:r>
        <w:t>Plumer</w:t>
      </w:r>
      <w:proofErr w:type="spellEnd"/>
      <w:r w:rsidR="00555A5E">
        <w:t xml:space="preserve"> contends that </w:t>
      </w:r>
      <w:r w:rsidR="00135488" w:rsidRPr="005A3B6B">
        <w:t xml:space="preserve">it is the case here that the participation of the </w:t>
      </w:r>
      <w:r w:rsidR="00135488">
        <w:t>Joint Petitioners</w:t>
      </w:r>
      <w:r w:rsidR="00135488" w:rsidRPr="005A3B6B">
        <w:t xml:space="preserve"> in Commission encouraged mediation supports the conclusion that the </w:t>
      </w:r>
      <w:r w:rsidR="006C2B29">
        <w:t>Settlement</w:t>
      </w:r>
      <w:r w:rsidR="00135488" w:rsidRPr="005A3B6B">
        <w:t xml:space="preserve"> furthers and is consistent with the public interest.</w:t>
      </w:r>
      <w:r w:rsidR="006C2B29">
        <w:t xml:space="preserve">  </w:t>
      </w:r>
      <w:proofErr w:type="spellStart"/>
      <w:r>
        <w:t>Plumer</w:t>
      </w:r>
      <w:proofErr w:type="spellEnd"/>
      <w:r w:rsidR="006C2B29">
        <w:t xml:space="preserve"> St. in Support, p. 4.</w:t>
      </w:r>
    </w:p>
    <w:p w:rsidR="009461E3" w:rsidRDefault="009461E3" w:rsidP="00135488">
      <w:pPr>
        <w:pStyle w:val="Level1"/>
        <w:widowControl/>
        <w:numPr>
          <w:ilvl w:val="0"/>
          <w:numId w:val="0"/>
        </w:numPr>
        <w:tabs>
          <w:tab w:val="num" w:pos="1440"/>
        </w:tabs>
        <w:spacing w:line="360" w:lineRule="auto"/>
        <w:ind w:firstLine="1440"/>
      </w:pPr>
    </w:p>
    <w:p w:rsidR="006C2B29" w:rsidRDefault="006C2B29" w:rsidP="009461E3">
      <w:pPr>
        <w:pStyle w:val="Level1"/>
        <w:widowControl/>
        <w:numPr>
          <w:ilvl w:val="0"/>
          <w:numId w:val="0"/>
        </w:numPr>
        <w:tabs>
          <w:tab w:val="num" w:pos="1440"/>
        </w:tabs>
        <w:spacing w:line="360" w:lineRule="auto"/>
        <w:ind w:firstLine="720"/>
      </w:pPr>
      <w:r>
        <w:t>1.</w:t>
      </w:r>
      <w:r>
        <w:tab/>
      </w:r>
      <w:r w:rsidRPr="006C2B29">
        <w:rPr>
          <w:u w:val="single"/>
        </w:rPr>
        <w:t>Revenue Increase and Allocation</w:t>
      </w:r>
    </w:p>
    <w:p w:rsidR="006C2B29" w:rsidRDefault="006C2B29" w:rsidP="00135488">
      <w:pPr>
        <w:pStyle w:val="Level1"/>
        <w:widowControl/>
        <w:numPr>
          <w:ilvl w:val="0"/>
          <w:numId w:val="0"/>
        </w:numPr>
        <w:tabs>
          <w:tab w:val="num" w:pos="1440"/>
        </w:tabs>
        <w:spacing w:line="360" w:lineRule="auto"/>
        <w:ind w:firstLine="1440"/>
      </w:pPr>
    </w:p>
    <w:p w:rsidR="00A026D1" w:rsidRDefault="00A026D1" w:rsidP="00A026D1">
      <w:pPr>
        <w:pStyle w:val="Level1"/>
        <w:widowControl/>
        <w:numPr>
          <w:ilvl w:val="0"/>
          <w:numId w:val="0"/>
        </w:numPr>
        <w:tabs>
          <w:tab w:val="num" w:pos="1440"/>
        </w:tabs>
        <w:spacing w:line="360" w:lineRule="auto"/>
        <w:ind w:firstLine="1440"/>
      </w:pPr>
      <w:r w:rsidRPr="004E6B39">
        <w:t xml:space="preserve">Under the presently suspended Supplement No. </w:t>
      </w:r>
      <w:r w:rsidR="00D23561">
        <w:t>13</w:t>
      </w:r>
      <w:r w:rsidRPr="004E6B39">
        <w:t xml:space="preserve">, the </w:t>
      </w:r>
      <w:r>
        <w:t xml:space="preserve">monthly </w:t>
      </w:r>
      <w:r w:rsidRPr="004E6B39">
        <w:t xml:space="preserve">cost of water service to a </w:t>
      </w:r>
      <w:r>
        <w:t xml:space="preserve">typical </w:t>
      </w:r>
      <w:r w:rsidRPr="004E6B39">
        <w:t xml:space="preserve">residential customer </w:t>
      </w:r>
      <w:r>
        <w:t xml:space="preserve">using </w:t>
      </w:r>
      <w:r w:rsidR="00D23561">
        <w:t>2,000 gallons per month</w:t>
      </w:r>
      <w:r>
        <w:t xml:space="preserve"> </w:t>
      </w:r>
      <w:r w:rsidRPr="004E6B39">
        <w:t>would have increased by approximately $</w:t>
      </w:r>
      <w:r w:rsidR="00D23561">
        <w:t>14.30</w:t>
      </w:r>
      <w:r w:rsidRPr="004E6B39">
        <w:t xml:space="preserve">, or </w:t>
      </w:r>
      <w:r w:rsidR="00D23561">
        <w:t>35.01</w:t>
      </w:r>
      <w:r>
        <w:t>%</w:t>
      </w:r>
      <w:r w:rsidRPr="004E6B39">
        <w:t>, from $</w:t>
      </w:r>
      <w:r w:rsidR="00D23561">
        <w:t>40.84</w:t>
      </w:r>
      <w:r w:rsidRPr="004E6B39">
        <w:t xml:space="preserve"> to $</w:t>
      </w:r>
      <w:r w:rsidR="00D23561">
        <w:t>55.14</w:t>
      </w:r>
      <w:r>
        <w:t>.</w:t>
      </w:r>
      <w:r w:rsidRPr="004E6B39">
        <w:t xml:space="preserve">  Under the </w:t>
      </w:r>
      <w:r>
        <w:t>Settlement</w:t>
      </w:r>
      <w:r w:rsidRPr="004E6B39">
        <w:t xml:space="preserve">, the </w:t>
      </w:r>
      <w:r>
        <w:t xml:space="preserve">monthly </w:t>
      </w:r>
      <w:r w:rsidRPr="004E6B39">
        <w:t xml:space="preserve">cost of water service to </w:t>
      </w:r>
      <w:r>
        <w:t xml:space="preserve">such </w:t>
      </w:r>
      <w:r w:rsidRPr="004E6B39">
        <w:t xml:space="preserve">residential customer would increase by </w:t>
      </w:r>
      <w:r>
        <w:t xml:space="preserve">approximately </w:t>
      </w:r>
      <w:r w:rsidRPr="004E6B39">
        <w:t>$</w:t>
      </w:r>
      <w:r w:rsidR="00D23561">
        <w:t>13.14</w:t>
      </w:r>
      <w:r w:rsidRPr="004E6B39">
        <w:t xml:space="preserve">, or </w:t>
      </w:r>
      <w:r w:rsidR="00D23561">
        <w:t>32.17</w:t>
      </w:r>
      <w:r w:rsidRPr="004E6B39">
        <w:t>%, from $</w:t>
      </w:r>
      <w:r w:rsidR="00D23561">
        <w:t>40.84</w:t>
      </w:r>
      <w:r>
        <w:t xml:space="preserve"> </w:t>
      </w:r>
      <w:r w:rsidRPr="004E6B39">
        <w:t>to $</w:t>
      </w:r>
      <w:r w:rsidR="00D23561">
        <w:t>53.98</w:t>
      </w:r>
      <w:r>
        <w:t xml:space="preserve">.  </w:t>
      </w:r>
      <w:proofErr w:type="spellStart"/>
      <w:r w:rsidR="00D23561">
        <w:t>Plumer</w:t>
      </w:r>
      <w:proofErr w:type="spellEnd"/>
      <w:r>
        <w:t xml:space="preserve"> St. in Support, p. 4.  </w:t>
      </w:r>
    </w:p>
    <w:p w:rsidR="00A026D1" w:rsidRDefault="00A026D1" w:rsidP="00A026D1">
      <w:pPr>
        <w:pStyle w:val="Level1"/>
        <w:widowControl/>
        <w:numPr>
          <w:ilvl w:val="0"/>
          <w:numId w:val="0"/>
        </w:numPr>
        <w:tabs>
          <w:tab w:val="num" w:pos="1440"/>
        </w:tabs>
        <w:spacing w:line="360" w:lineRule="auto"/>
        <w:ind w:firstLine="1440"/>
      </w:pPr>
    </w:p>
    <w:p w:rsidR="00A026D1" w:rsidRDefault="00D23561" w:rsidP="00A026D1">
      <w:pPr>
        <w:pStyle w:val="Level1"/>
        <w:widowControl/>
        <w:numPr>
          <w:ilvl w:val="0"/>
          <w:numId w:val="0"/>
        </w:numPr>
        <w:tabs>
          <w:tab w:val="num" w:pos="1440"/>
        </w:tabs>
        <w:spacing w:line="360" w:lineRule="auto"/>
        <w:ind w:firstLine="1440"/>
      </w:pPr>
      <w:proofErr w:type="spellStart"/>
      <w:r>
        <w:t>Plumer</w:t>
      </w:r>
      <w:proofErr w:type="spellEnd"/>
      <w:r w:rsidR="00A026D1">
        <w:t xml:space="preserve"> explains that the S</w:t>
      </w:r>
      <w:r w:rsidR="00A026D1" w:rsidRPr="00A3184B">
        <w:t>ettlement is “black box,” meaning that the parties have not negotiated each and every revenue and expense line item but rather have, after considerable effort, been able to agree upon a final revenue number based on their individual</w:t>
      </w:r>
      <w:r w:rsidR="00A026D1">
        <w:t xml:space="preserve"> revenue and expense analysis.  </w:t>
      </w:r>
      <w:proofErr w:type="spellStart"/>
      <w:r>
        <w:t>Plumer</w:t>
      </w:r>
      <w:proofErr w:type="spellEnd"/>
      <w:r w:rsidR="00A026D1">
        <w:t xml:space="preserve"> St. in Support, p. 4.</w:t>
      </w:r>
    </w:p>
    <w:p w:rsidR="00643777" w:rsidRDefault="00A026D1" w:rsidP="00643777">
      <w:pPr>
        <w:pStyle w:val="Level1"/>
        <w:widowControl/>
        <w:numPr>
          <w:ilvl w:val="0"/>
          <w:numId w:val="0"/>
        </w:numPr>
        <w:tabs>
          <w:tab w:val="num" w:pos="1440"/>
        </w:tabs>
        <w:spacing w:line="360" w:lineRule="auto"/>
        <w:ind w:firstLine="1440"/>
      </w:pPr>
      <w:r>
        <w:lastRenderedPageBreak/>
        <w:t xml:space="preserve">According to </w:t>
      </w:r>
      <w:proofErr w:type="spellStart"/>
      <w:r w:rsidR="00D23561">
        <w:t>Plumer</w:t>
      </w:r>
      <w:proofErr w:type="spellEnd"/>
      <w:r w:rsidR="00D23561">
        <w:t>, t</w:t>
      </w:r>
      <w:r>
        <w:t xml:space="preserve">he </w:t>
      </w:r>
      <w:r w:rsidRPr="00A3184B">
        <w:t xml:space="preserve">financial data </w:t>
      </w:r>
      <w:r>
        <w:t xml:space="preserve">it </w:t>
      </w:r>
      <w:r w:rsidRPr="00A3184B">
        <w:t xml:space="preserve">submitted </w:t>
      </w:r>
      <w:r>
        <w:t xml:space="preserve">in </w:t>
      </w:r>
      <w:r w:rsidRPr="00A3184B">
        <w:t>support of Supplement No.</w:t>
      </w:r>
      <w:r w:rsidR="003E1B06">
        <w:t> </w:t>
      </w:r>
      <w:r w:rsidR="00D23561">
        <w:t>13</w:t>
      </w:r>
      <w:r w:rsidRPr="00A3184B">
        <w:t xml:space="preserve"> </w:t>
      </w:r>
      <w:r>
        <w:t>fully supported the original, as-filed for annual increase of $</w:t>
      </w:r>
      <w:r w:rsidR="00D23561">
        <w:t>11,409</w:t>
      </w:r>
      <w:r>
        <w:t xml:space="preserve"> and, consequently, </w:t>
      </w:r>
      <w:r w:rsidRPr="00A3184B">
        <w:t xml:space="preserve">fully supports the </w:t>
      </w:r>
      <w:r w:rsidR="00D23561">
        <w:t>two phase</w:t>
      </w:r>
      <w:r w:rsidRPr="00A3184B">
        <w:t xml:space="preserve"> increase </w:t>
      </w:r>
      <w:r>
        <w:t>of $</w:t>
      </w:r>
      <w:r w:rsidR="00D23561">
        <w:t>11,409</w:t>
      </w:r>
      <w:r>
        <w:t xml:space="preserve"> </w:t>
      </w:r>
      <w:r w:rsidRPr="00A3184B">
        <w:t xml:space="preserve">provided for in the </w:t>
      </w:r>
      <w:r w:rsidR="005B7177">
        <w:t xml:space="preserve">Settlement.  </w:t>
      </w:r>
      <w:r>
        <w:t xml:space="preserve">The financial data was submitted in the form of a traditional rate base/rate of return analysis.  </w:t>
      </w:r>
      <w:proofErr w:type="spellStart"/>
      <w:r w:rsidR="00D23561">
        <w:t>Plumer</w:t>
      </w:r>
      <w:proofErr w:type="spellEnd"/>
      <w:r>
        <w:t xml:space="preserve"> St. in Support, p.</w:t>
      </w:r>
      <w:r w:rsidR="005B7177">
        <w:t xml:space="preserve"> </w:t>
      </w:r>
      <w:r w:rsidR="00D23561">
        <w:t>5</w:t>
      </w:r>
      <w:r w:rsidR="005B7177">
        <w:t>.</w:t>
      </w:r>
    </w:p>
    <w:p w:rsidR="00543176" w:rsidRDefault="00543176" w:rsidP="00643777">
      <w:pPr>
        <w:pStyle w:val="Level1"/>
        <w:widowControl/>
        <w:numPr>
          <w:ilvl w:val="0"/>
          <w:numId w:val="0"/>
        </w:numPr>
        <w:tabs>
          <w:tab w:val="num" w:pos="1440"/>
        </w:tabs>
        <w:spacing w:line="360" w:lineRule="auto"/>
        <w:ind w:firstLine="1440"/>
      </w:pPr>
    </w:p>
    <w:p w:rsidR="00A026D1" w:rsidRDefault="00643777" w:rsidP="00A026D1">
      <w:pPr>
        <w:pStyle w:val="Level1"/>
        <w:widowControl/>
        <w:numPr>
          <w:ilvl w:val="0"/>
          <w:numId w:val="0"/>
        </w:numPr>
        <w:tabs>
          <w:tab w:val="num" w:pos="1440"/>
        </w:tabs>
        <w:spacing w:line="360" w:lineRule="auto"/>
        <w:ind w:firstLine="1440"/>
      </w:pPr>
      <w:r w:rsidRPr="005A3B6B">
        <w:t xml:space="preserve">Considering all of the foregoing, </w:t>
      </w:r>
      <w:proofErr w:type="spellStart"/>
      <w:r>
        <w:t>Plumer</w:t>
      </w:r>
      <w:proofErr w:type="spellEnd"/>
      <w:r>
        <w:t xml:space="preserve"> </w:t>
      </w:r>
      <w:r w:rsidRPr="005A3B6B">
        <w:t xml:space="preserve">submits that it is clear that the Joint Petition and the </w:t>
      </w:r>
      <w:r>
        <w:t xml:space="preserve">two phase </w:t>
      </w:r>
      <w:r w:rsidRPr="005A3B6B">
        <w:t xml:space="preserve">revenue </w:t>
      </w:r>
      <w:r>
        <w:t>increase that is reflected in the S</w:t>
      </w:r>
      <w:r w:rsidRPr="005A3B6B">
        <w:t xml:space="preserve">ettlement rates are in the public interest.  </w:t>
      </w:r>
      <w:proofErr w:type="spellStart"/>
      <w:r>
        <w:t>Plumer</w:t>
      </w:r>
      <w:proofErr w:type="spellEnd"/>
      <w:r>
        <w:t xml:space="preserve"> claims that it </w:t>
      </w:r>
      <w:r w:rsidRPr="005A3B6B">
        <w:t xml:space="preserve">could have supported </w:t>
      </w:r>
      <w:r>
        <w:t xml:space="preserve">the requested increase on a single phase basis </w:t>
      </w:r>
      <w:r w:rsidRPr="005A3B6B">
        <w:t xml:space="preserve">if it had proceeded to litigation.  </w:t>
      </w:r>
      <w:r>
        <w:t xml:space="preserve">According to </w:t>
      </w:r>
      <w:proofErr w:type="spellStart"/>
      <w:r>
        <w:t>Plumer</w:t>
      </w:r>
      <w:proofErr w:type="spellEnd"/>
      <w:r>
        <w:t>, i</w:t>
      </w:r>
      <w:r w:rsidRPr="005A3B6B">
        <w:t xml:space="preserve">ts decision to avoid litigation and mediate a settled resolution avoids costs and expenses as aforesaid.  Under the totality of the circumstances presented in this case, </w:t>
      </w:r>
      <w:proofErr w:type="spellStart"/>
      <w:r>
        <w:t>Plumer</w:t>
      </w:r>
      <w:proofErr w:type="spellEnd"/>
      <w:r>
        <w:t xml:space="preserve"> </w:t>
      </w:r>
      <w:r w:rsidRPr="005A3B6B">
        <w:t xml:space="preserve">believes that cost avoidance is in its interest and also the interest of its customers.  </w:t>
      </w:r>
      <w:proofErr w:type="spellStart"/>
      <w:r>
        <w:t>Plumer</w:t>
      </w:r>
      <w:proofErr w:type="spellEnd"/>
      <w:r>
        <w:t xml:space="preserve"> also explains that t</w:t>
      </w:r>
      <w:r w:rsidRPr="005A3B6B">
        <w:t xml:space="preserve">he </w:t>
      </w:r>
      <w:r>
        <w:t>S</w:t>
      </w:r>
      <w:r w:rsidRPr="005A3B6B">
        <w:t xml:space="preserve">ettlement will provide </w:t>
      </w:r>
      <w:proofErr w:type="spellStart"/>
      <w:r>
        <w:t>Plumer</w:t>
      </w:r>
      <w:proofErr w:type="spellEnd"/>
      <w:r>
        <w:t xml:space="preserve"> </w:t>
      </w:r>
      <w:r w:rsidRPr="005A3B6B">
        <w:t>with additional and necessary cash flow</w:t>
      </w:r>
      <w:r>
        <w:t xml:space="preserve"> to pay the increased purchased water charges from </w:t>
      </w:r>
      <w:proofErr w:type="spellStart"/>
      <w:r>
        <w:t>Rouseville</w:t>
      </w:r>
      <w:proofErr w:type="spellEnd"/>
      <w:r>
        <w:t xml:space="preserve"> (in effect since December 25, 2014) and which should be sufficient to allow it to continue to provide reasonable and adequate service.</w:t>
      </w:r>
      <w:r>
        <w:rPr>
          <w:rStyle w:val="FootnoteReference"/>
          <w:sz w:val="23"/>
          <w:szCs w:val="23"/>
        </w:rPr>
        <w:footnoteReference w:id="9"/>
      </w:r>
      <w:r>
        <w:t xml:space="preserve">  </w:t>
      </w:r>
      <w:proofErr w:type="spellStart"/>
      <w:r>
        <w:t>Plumer</w:t>
      </w:r>
      <w:proofErr w:type="spellEnd"/>
      <w:r>
        <w:t xml:space="preserve"> St. in Support, p. 5.</w:t>
      </w:r>
    </w:p>
    <w:p w:rsidR="00643777" w:rsidRDefault="00643777" w:rsidP="00643777">
      <w:pPr>
        <w:pStyle w:val="Level1"/>
        <w:widowControl/>
        <w:numPr>
          <w:ilvl w:val="0"/>
          <w:numId w:val="0"/>
        </w:numPr>
        <w:tabs>
          <w:tab w:val="num" w:pos="1440"/>
        </w:tabs>
        <w:spacing w:line="360" w:lineRule="auto"/>
      </w:pPr>
    </w:p>
    <w:p w:rsidR="00643777" w:rsidRPr="00643777" w:rsidRDefault="00643777" w:rsidP="00643777">
      <w:pPr>
        <w:pStyle w:val="Level1"/>
        <w:widowControl/>
        <w:numPr>
          <w:ilvl w:val="0"/>
          <w:numId w:val="0"/>
        </w:numPr>
        <w:tabs>
          <w:tab w:val="num" w:pos="1440"/>
        </w:tabs>
        <w:spacing w:line="360" w:lineRule="auto"/>
        <w:rPr>
          <w:u w:val="single"/>
        </w:rPr>
      </w:pPr>
      <w:r>
        <w:t xml:space="preserve">            2.</w:t>
      </w:r>
      <w:r>
        <w:tab/>
      </w:r>
      <w:r>
        <w:rPr>
          <w:u w:val="single"/>
        </w:rPr>
        <w:t>Electric Generator</w:t>
      </w:r>
    </w:p>
    <w:p w:rsidR="00234558" w:rsidRDefault="00234558" w:rsidP="00234558">
      <w:pPr>
        <w:pStyle w:val="Level1"/>
        <w:widowControl/>
        <w:numPr>
          <w:ilvl w:val="0"/>
          <w:numId w:val="0"/>
        </w:numPr>
        <w:tabs>
          <w:tab w:val="num" w:pos="1440"/>
        </w:tabs>
        <w:spacing w:line="360" w:lineRule="auto"/>
        <w:ind w:firstLine="720"/>
      </w:pPr>
    </w:p>
    <w:p w:rsidR="00BF22B4" w:rsidRDefault="00BF22B4" w:rsidP="00BF22B4">
      <w:pPr>
        <w:pStyle w:val="Level1"/>
        <w:widowControl/>
        <w:numPr>
          <w:ilvl w:val="0"/>
          <w:numId w:val="0"/>
        </w:numPr>
        <w:tabs>
          <w:tab w:val="num" w:pos="1440"/>
        </w:tabs>
        <w:spacing w:line="360" w:lineRule="auto"/>
        <w:ind w:firstLine="1440"/>
      </w:pPr>
      <w:r>
        <w:t xml:space="preserve">The second phase of the Settlement revenue increase is contingent upon </w:t>
      </w:r>
      <w:proofErr w:type="spellStart"/>
      <w:r>
        <w:t>Plumer’s</w:t>
      </w:r>
      <w:proofErr w:type="spellEnd"/>
      <w:r>
        <w:t xml:space="preserve"> purchase of an electric generator and the installation of the generator by </w:t>
      </w:r>
      <w:proofErr w:type="spellStart"/>
      <w:r>
        <w:t>Rouseville</w:t>
      </w:r>
      <w:proofErr w:type="spellEnd"/>
      <w:r>
        <w:t xml:space="preserve">.  The electric generator will provide back-up electric power to enable water service to continue to </w:t>
      </w:r>
      <w:proofErr w:type="spellStart"/>
      <w:r>
        <w:t>Plumer’s</w:t>
      </w:r>
      <w:proofErr w:type="spellEnd"/>
      <w:r>
        <w:t xml:space="preserve"> customers when there is an electric power outage on the </w:t>
      </w:r>
      <w:proofErr w:type="spellStart"/>
      <w:r>
        <w:t>Rouseville</w:t>
      </w:r>
      <w:proofErr w:type="spellEnd"/>
      <w:r>
        <w:t xml:space="preserve"> system.  </w:t>
      </w:r>
      <w:proofErr w:type="spellStart"/>
      <w:r>
        <w:t>Plumer</w:t>
      </w:r>
      <w:proofErr w:type="spellEnd"/>
      <w:r>
        <w:t xml:space="preserve"> asserts that the purchase of the generator is a significant investment, the cost of which was not part of </w:t>
      </w:r>
      <w:proofErr w:type="spellStart"/>
      <w:r>
        <w:t>Plumer’s</w:t>
      </w:r>
      <w:proofErr w:type="spellEnd"/>
      <w:r>
        <w:t xml:space="preserve"> ratemaking claims.  The purchase and installation of the generator was identified as a way of enhancing service reliability.  </w:t>
      </w:r>
      <w:proofErr w:type="spellStart"/>
      <w:r>
        <w:t>Plumer</w:t>
      </w:r>
      <w:proofErr w:type="spellEnd"/>
      <w:r>
        <w:t xml:space="preserve"> accepts the Settlement term as part of the reasonable and appropriate resolution of this proceeding.  </w:t>
      </w:r>
      <w:proofErr w:type="spellStart"/>
      <w:r>
        <w:t>Plumer</w:t>
      </w:r>
      <w:proofErr w:type="spellEnd"/>
      <w:r>
        <w:t xml:space="preserve"> St. in Support, pp. 5-6.</w:t>
      </w:r>
    </w:p>
    <w:p w:rsidR="00234558" w:rsidRDefault="00643777" w:rsidP="00234558">
      <w:pPr>
        <w:pStyle w:val="Level1"/>
        <w:widowControl/>
        <w:numPr>
          <w:ilvl w:val="0"/>
          <w:numId w:val="0"/>
        </w:numPr>
        <w:tabs>
          <w:tab w:val="num" w:pos="1440"/>
        </w:tabs>
        <w:spacing w:line="360" w:lineRule="auto"/>
        <w:ind w:firstLine="720"/>
      </w:pPr>
      <w:r>
        <w:lastRenderedPageBreak/>
        <w:t>3</w:t>
      </w:r>
      <w:r w:rsidR="00234558">
        <w:t>.</w:t>
      </w:r>
      <w:r w:rsidR="00234558">
        <w:tab/>
      </w:r>
      <w:r w:rsidR="00234558">
        <w:rPr>
          <w:u w:val="single"/>
        </w:rPr>
        <w:t>Affiliated Interest Agreement</w:t>
      </w:r>
    </w:p>
    <w:p w:rsidR="00234558" w:rsidRDefault="00234558" w:rsidP="00234558">
      <w:pPr>
        <w:pStyle w:val="Level1"/>
        <w:widowControl/>
        <w:numPr>
          <w:ilvl w:val="0"/>
          <w:numId w:val="0"/>
        </w:numPr>
        <w:tabs>
          <w:tab w:val="num" w:pos="1440"/>
        </w:tabs>
        <w:spacing w:line="360" w:lineRule="auto"/>
        <w:ind w:firstLine="720"/>
      </w:pPr>
    </w:p>
    <w:p w:rsidR="00AB7516" w:rsidRDefault="00AB7516" w:rsidP="00AB7516">
      <w:pPr>
        <w:pStyle w:val="Level1"/>
        <w:widowControl/>
        <w:numPr>
          <w:ilvl w:val="0"/>
          <w:numId w:val="0"/>
        </w:numPr>
        <w:tabs>
          <w:tab w:val="num" w:pos="1440"/>
        </w:tabs>
        <w:spacing w:line="360" w:lineRule="auto"/>
        <w:ind w:firstLine="1440"/>
      </w:pPr>
      <w:r>
        <w:t xml:space="preserve">Chapter 21 of the Public Utility Code requires Commission approval of contracts or arrangements between </w:t>
      </w:r>
      <w:r w:rsidR="00BF22B4">
        <w:t xml:space="preserve">a utility and its affiliates.  </w:t>
      </w:r>
      <w:proofErr w:type="spellStart"/>
      <w:r w:rsidR="00BF22B4">
        <w:t>Plumer</w:t>
      </w:r>
      <w:proofErr w:type="spellEnd"/>
      <w:r>
        <w:t xml:space="preserve"> has an</w:t>
      </w:r>
      <w:r w:rsidR="0076503C">
        <w:t xml:space="preserve"> AIA</w:t>
      </w:r>
      <w:r>
        <w:t xml:space="preserve"> on file with the Commission that was approved at G-2014-2439212.  The Joint Petitioners agree that </w:t>
      </w:r>
      <w:proofErr w:type="spellStart"/>
      <w:r w:rsidR="00BF22B4">
        <w:t>Plumer</w:t>
      </w:r>
      <w:proofErr w:type="spellEnd"/>
      <w:r>
        <w:t xml:space="preserve"> will file a revised </w:t>
      </w:r>
      <w:r w:rsidR="0076503C">
        <w:t>AIA</w:t>
      </w:r>
      <w:r>
        <w:t xml:space="preserve"> schedule with the Commission.  The revised schedule will be submitted pursuant </w:t>
      </w:r>
      <w:r w:rsidRPr="009143E2">
        <w:t>to Chapter 21 of the Public Utility Code</w:t>
      </w:r>
      <w:r>
        <w:t>.  Consistent with submissions under Chapter</w:t>
      </w:r>
      <w:r w:rsidR="00556080">
        <w:t> </w:t>
      </w:r>
      <w:r>
        <w:t xml:space="preserve">21 and significant to the interests of the Company in maintaining rate flexibility going forward, the revised schedule is not being proposed as a binding </w:t>
      </w:r>
      <w:r w:rsidRPr="00305F9B">
        <w:t xml:space="preserve">determination </w:t>
      </w:r>
      <w:r>
        <w:t xml:space="preserve">in future rate proceedings.  The revised schedule addresses an affiliated interest issue that has been a matter of controversy between and among the Company, I&amp;E and OCA.  </w:t>
      </w:r>
      <w:proofErr w:type="spellStart"/>
      <w:r w:rsidR="0076503C">
        <w:t>Plumer</w:t>
      </w:r>
      <w:proofErr w:type="spellEnd"/>
      <w:r>
        <w:t xml:space="preserve"> accepts the settlement term as part of the reasonable and appropriate r</w:t>
      </w:r>
      <w:r w:rsidR="0076503C">
        <w:t xml:space="preserve">esolution of this proceeding.  </w:t>
      </w:r>
      <w:proofErr w:type="spellStart"/>
      <w:r w:rsidR="0076503C">
        <w:t>Plumer</w:t>
      </w:r>
      <w:proofErr w:type="spellEnd"/>
      <w:r>
        <w:t xml:space="preserve"> St. in Support, p</w:t>
      </w:r>
      <w:r w:rsidR="0076503C">
        <w:t xml:space="preserve">. </w:t>
      </w:r>
      <w:r>
        <w:t>6.</w:t>
      </w:r>
    </w:p>
    <w:p w:rsidR="00C04174" w:rsidRDefault="00C04174" w:rsidP="00AB7516">
      <w:pPr>
        <w:pStyle w:val="Level1"/>
        <w:widowControl/>
        <w:numPr>
          <w:ilvl w:val="0"/>
          <w:numId w:val="0"/>
        </w:numPr>
        <w:tabs>
          <w:tab w:val="num" w:pos="1440"/>
        </w:tabs>
        <w:spacing w:line="360" w:lineRule="auto"/>
        <w:ind w:firstLine="1440"/>
      </w:pPr>
    </w:p>
    <w:p w:rsidR="00B462BC" w:rsidRDefault="00643777" w:rsidP="00C04174">
      <w:pPr>
        <w:pStyle w:val="Level1"/>
        <w:widowControl/>
        <w:numPr>
          <w:ilvl w:val="0"/>
          <w:numId w:val="0"/>
        </w:numPr>
        <w:tabs>
          <w:tab w:val="num" w:pos="1440"/>
        </w:tabs>
        <w:spacing w:line="360" w:lineRule="auto"/>
        <w:ind w:firstLine="720"/>
      </w:pPr>
      <w:r>
        <w:t>4</w:t>
      </w:r>
      <w:r w:rsidR="00B462BC">
        <w:t>.</w:t>
      </w:r>
      <w:r w:rsidR="00B462BC">
        <w:tab/>
      </w:r>
      <w:r w:rsidR="00B462BC">
        <w:rPr>
          <w:u w:val="single"/>
        </w:rPr>
        <w:t>Stay</w:t>
      </w:r>
      <w:r w:rsidR="00B84DDC">
        <w:rPr>
          <w:u w:val="single"/>
        </w:rPr>
        <w:t>-</w:t>
      </w:r>
      <w:r w:rsidR="00B462BC">
        <w:rPr>
          <w:u w:val="single"/>
        </w:rPr>
        <w:t>Out</w:t>
      </w:r>
      <w:r w:rsidR="00702D5B">
        <w:rPr>
          <w:u w:val="single"/>
        </w:rPr>
        <w:t xml:space="preserve"> Provision</w:t>
      </w:r>
    </w:p>
    <w:p w:rsidR="00B462BC" w:rsidRDefault="00B462BC" w:rsidP="00AB7516">
      <w:pPr>
        <w:pStyle w:val="Level1"/>
        <w:widowControl/>
        <w:numPr>
          <w:ilvl w:val="0"/>
          <w:numId w:val="0"/>
        </w:numPr>
        <w:tabs>
          <w:tab w:val="num" w:pos="1440"/>
        </w:tabs>
        <w:spacing w:line="360" w:lineRule="auto"/>
        <w:ind w:firstLine="1440"/>
      </w:pPr>
    </w:p>
    <w:p w:rsidR="00DD0C67" w:rsidRDefault="0076503C" w:rsidP="00702D5B">
      <w:pPr>
        <w:pStyle w:val="Level1"/>
        <w:widowControl/>
        <w:numPr>
          <w:ilvl w:val="0"/>
          <w:numId w:val="0"/>
        </w:numPr>
        <w:tabs>
          <w:tab w:val="num" w:pos="1440"/>
        </w:tabs>
        <w:spacing w:line="360" w:lineRule="auto"/>
        <w:ind w:firstLine="1440"/>
      </w:pPr>
      <w:proofErr w:type="spellStart"/>
      <w:r>
        <w:t>Plumer</w:t>
      </w:r>
      <w:proofErr w:type="spellEnd"/>
      <w:r w:rsidR="00B462BC">
        <w:t xml:space="preserve"> agreed as part of the Settlement to an eighteen (18) month rate case stay</w:t>
      </w:r>
      <w:r w:rsidR="005C6768">
        <w:noBreakHyphen/>
      </w:r>
      <w:r w:rsidR="00B462BC">
        <w:t>out.  A rate case “stay</w:t>
      </w:r>
      <w:r w:rsidR="00223B82">
        <w:t>-</w:t>
      </w:r>
      <w:r w:rsidR="00B462BC">
        <w:t>out” gives ratepayers a specified level of rate security – one and one half years here – that would not exist absen</w:t>
      </w:r>
      <w:r>
        <w:t>t the stay</w:t>
      </w:r>
      <w:r w:rsidR="005C6768">
        <w:t>-</w:t>
      </w:r>
      <w:r>
        <w:t>out.</w:t>
      </w:r>
      <w:r w:rsidR="005C05A7">
        <w:t xml:space="preserve"> </w:t>
      </w:r>
      <w:r>
        <w:t xml:space="preserve"> According to </w:t>
      </w:r>
      <w:proofErr w:type="spellStart"/>
      <w:r>
        <w:t>Plumer</w:t>
      </w:r>
      <w:proofErr w:type="spellEnd"/>
      <w:r w:rsidR="00B462BC">
        <w:t>, a rate case “stay</w:t>
      </w:r>
      <w:r w:rsidR="005C6768">
        <w:noBreakHyphen/>
      </w:r>
      <w:r w:rsidR="00B462BC">
        <w:t>out” is a traditionally recognized part of the public’s interest in settlement of a rate proceeding.</w:t>
      </w:r>
      <w:r w:rsidR="00B462BC">
        <w:rPr>
          <w:rStyle w:val="FootnoteReference"/>
        </w:rPr>
        <w:footnoteReference w:id="10"/>
      </w:r>
      <w:r w:rsidR="00B462BC" w:rsidRPr="005C4F80">
        <w:rPr>
          <w:sz w:val="23"/>
          <w:szCs w:val="23"/>
        </w:rPr>
        <w:t xml:space="preserve"> </w:t>
      </w:r>
      <w:r>
        <w:rPr>
          <w:sz w:val="23"/>
          <w:szCs w:val="23"/>
        </w:rPr>
        <w:t xml:space="preserve"> </w:t>
      </w:r>
      <w:proofErr w:type="spellStart"/>
      <w:r>
        <w:rPr>
          <w:sz w:val="23"/>
          <w:szCs w:val="23"/>
        </w:rPr>
        <w:t>Plumer</w:t>
      </w:r>
      <w:proofErr w:type="spellEnd"/>
      <w:r>
        <w:rPr>
          <w:sz w:val="23"/>
          <w:szCs w:val="23"/>
        </w:rPr>
        <w:t xml:space="preserve"> St. in Support, p. 6.</w:t>
      </w:r>
    </w:p>
    <w:p w:rsidR="00DD0C67" w:rsidRDefault="00DD0C67" w:rsidP="00405136">
      <w:pPr>
        <w:spacing w:line="360" w:lineRule="auto"/>
      </w:pPr>
    </w:p>
    <w:p w:rsidR="00405136" w:rsidRDefault="00405136" w:rsidP="00405136">
      <w:pPr>
        <w:spacing w:line="360" w:lineRule="auto"/>
      </w:pPr>
      <w:r>
        <w:t>B.</w:t>
      </w:r>
      <w:r>
        <w:tab/>
      </w:r>
      <w:r>
        <w:rPr>
          <w:u w:val="single"/>
        </w:rPr>
        <w:t>I&amp;E’s Position</w:t>
      </w:r>
    </w:p>
    <w:p w:rsidR="00405136" w:rsidRDefault="00405136" w:rsidP="00405136">
      <w:pPr>
        <w:spacing w:line="360" w:lineRule="auto"/>
      </w:pPr>
    </w:p>
    <w:p w:rsidR="00ED7890" w:rsidRPr="00ED7890" w:rsidRDefault="00ED7890" w:rsidP="00ED7890">
      <w:pPr>
        <w:spacing w:line="360" w:lineRule="auto"/>
        <w:ind w:firstLine="1440"/>
        <w:contextualSpacing/>
      </w:pPr>
      <w:r w:rsidRPr="00ED7890">
        <w:t xml:space="preserve">I&amp;E </w:t>
      </w:r>
      <w:proofErr w:type="gramStart"/>
      <w:r w:rsidRPr="00ED7890">
        <w:t>is</w:t>
      </w:r>
      <w:proofErr w:type="gramEnd"/>
      <w:r w:rsidRPr="00ED7890">
        <w:t xml:space="preserve"> charged with representing the public interest in Commission proceedings related to rates, rate-related services, and applications affecting the public interest.  In negotiated settlements, it is incumbent upon </w:t>
      </w:r>
      <w:proofErr w:type="gramStart"/>
      <w:r w:rsidRPr="00ED7890">
        <w:t>I&amp;E</w:t>
      </w:r>
      <w:proofErr w:type="gramEnd"/>
      <w:r w:rsidRPr="00ED7890">
        <w:t xml:space="preserve"> to identify how amicable resolution of any such proceeding benefits the public interest and to ensure that the public interest is served.  Based </w:t>
      </w:r>
      <w:r w:rsidRPr="00ED7890">
        <w:lastRenderedPageBreak/>
        <w:t xml:space="preserve">upon I&amp;E’s analysis of </w:t>
      </w:r>
      <w:proofErr w:type="spellStart"/>
      <w:r w:rsidR="001036F7">
        <w:t>Plumer’s</w:t>
      </w:r>
      <w:proofErr w:type="spellEnd"/>
      <w:r w:rsidRPr="00ED7890">
        <w:t xml:space="preserve"> base rate filing, </w:t>
      </w:r>
      <w:r>
        <w:t xml:space="preserve">I&amp;E concludes that </w:t>
      </w:r>
      <w:r w:rsidRPr="00ED7890">
        <w:t>acceptance of this proposed Settlement is in the public interest</w:t>
      </w:r>
      <w:r>
        <w:t>.  I</w:t>
      </w:r>
      <w:r w:rsidRPr="00ED7890">
        <w:t xml:space="preserve">&amp;E </w:t>
      </w:r>
      <w:proofErr w:type="gramStart"/>
      <w:r w:rsidRPr="00ED7890">
        <w:t>recommends</w:t>
      </w:r>
      <w:proofErr w:type="gramEnd"/>
      <w:r w:rsidRPr="00ED7890">
        <w:t xml:space="preserve"> approv</w:t>
      </w:r>
      <w:r>
        <w:t xml:space="preserve">al of </w:t>
      </w:r>
      <w:r w:rsidRPr="00ED7890">
        <w:t>the Settlement in its entirety.</w:t>
      </w:r>
      <w:r>
        <w:t xml:space="preserve">  I&amp;E St. in Support, p</w:t>
      </w:r>
      <w:r w:rsidR="001036F7">
        <w:t>p. 1-2.</w:t>
      </w:r>
      <w:r>
        <w:t xml:space="preserve">  </w:t>
      </w:r>
    </w:p>
    <w:p w:rsidR="00ED7890" w:rsidRPr="00ED7890" w:rsidRDefault="00ED7890" w:rsidP="00ED7890">
      <w:pPr>
        <w:spacing w:line="360" w:lineRule="auto"/>
        <w:ind w:firstLine="1440"/>
        <w:contextualSpacing/>
      </w:pPr>
    </w:p>
    <w:p w:rsidR="00ED7890" w:rsidRPr="00ED7890" w:rsidRDefault="00ED7890" w:rsidP="00ED7890">
      <w:pPr>
        <w:spacing w:line="360" w:lineRule="auto"/>
        <w:ind w:firstLine="1440"/>
        <w:contextualSpacing/>
      </w:pPr>
      <w:r w:rsidRPr="00ED7890">
        <w:t xml:space="preserve">Prior to agreeing to the </w:t>
      </w:r>
      <w:r>
        <w:t>S</w:t>
      </w:r>
      <w:r w:rsidRPr="00ED7890">
        <w:t xml:space="preserve">ettlement, I&amp;E conducted a thorough review of the Company’s filing and supporting information, discovery responses and submitted filing data and contributed to the forthright discussions amongst the </w:t>
      </w:r>
      <w:r>
        <w:t>p</w:t>
      </w:r>
      <w:r w:rsidRPr="00ED7890">
        <w:t xml:space="preserve">arties during settlement discussions. </w:t>
      </w:r>
      <w:r w:rsidR="00F20727">
        <w:t xml:space="preserve"> I&amp;E St. in Support, p. 3. </w:t>
      </w:r>
      <w:r w:rsidRPr="00ED7890">
        <w:t xml:space="preserve"> </w:t>
      </w:r>
    </w:p>
    <w:p w:rsidR="00ED7890" w:rsidRPr="00ED7890" w:rsidRDefault="00ED7890" w:rsidP="00ED7890">
      <w:pPr>
        <w:spacing w:line="360" w:lineRule="auto"/>
        <w:ind w:firstLine="1440"/>
        <w:contextualSpacing/>
      </w:pPr>
    </w:p>
    <w:p w:rsidR="00F20727" w:rsidRDefault="00ED7890" w:rsidP="00F20727">
      <w:pPr>
        <w:spacing w:line="360" w:lineRule="auto"/>
        <w:ind w:firstLine="1440"/>
        <w:contextualSpacing/>
      </w:pPr>
      <w:r w:rsidRPr="00ED7890">
        <w:t>T</w:t>
      </w:r>
      <w:r>
        <w:t>he provisions of the S</w:t>
      </w:r>
      <w:r w:rsidRPr="00ED7890">
        <w:t>ettlement represent a revenue increase that I&amp;E agrees is just, reasonable, and in the public interest, but is not based upon any specific adjustments or ratemaking approach, unless otherwise specified.</w:t>
      </w:r>
      <w:r w:rsidR="00F20727">
        <w:t xml:space="preserve">  I&amp;E St. in Support, p. 3.  </w:t>
      </w:r>
    </w:p>
    <w:p w:rsidR="00F20727" w:rsidRDefault="00F20727" w:rsidP="00F20727">
      <w:pPr>
        <w:spacing w:line="360" w:lineRule="auto"/>
        <w:ind w:firstLine="1440"/>
        <w:contextualSpacing/>
      </w:pPr>
    </w:p>
    <w:p w:rsidR="00F26C91" w:rsidRDefault="00F20727" w:rsidP="00F20727">
      <w:pPr>
        <w:spacing w:line="360" w:lineRule="auto"/>
        <w:ind w:firstLine="1440"/>
        <w:contextualSpacing/>
      </w:pPr>
      <w:r>
        <w:t xml:space="preserve">According to </w:t>
      </w:r>
      <w:proofErr w:type="gramStart"/>
      <w:r>
        <w:t>I&amp;E</w:t>
      </w:r>
      <w:proofErr w:type="gramEnd"/>
      <w:r>
        <w:t>, i</w:t>
      </w:r>
      <w:r w:rsidRPr="00F20727">
        <w:t>t is the policy of the Commission to encourage settlements.</w:t>
      </w:r>
      <w:r w:rsidRPr="00F20727">
        <w:rPr>
          <w:rStyle w:val="FootnoteReference"/>
        </w:rPr>
        <w:footnoteReference w:id="11"/>
      </w:r>
      <w:r w:rsidRPr="00F20727">
        <w:t xml:space="preserve">  The Commission issued the following policy statement that articulates general settlement </w:t>
      </w:r>
    </w:p>
    <w:p w:rsidR="00F20727" w:rsidRDefault="00F20727" w:rsidP="00F26C91">
      <w:pPr>
        <w:spacing w:line="360" w:lineRule="auto"/>
        <w:contextualSpacing/>
      </w:pPr>
      <w:proofErr w:type="gramStart"/>
      <w:r w:rsidRPr="00F20727">
        <w:t>guidelines</w:t>
      </w:r>
      <w:proofErr w:type="gramEnd"/>
      <w:r w:rsidRPr="00F20727">
        <w:t xml:space="preserve"> and procedures for major rate cases:</w:t>
      </w:r>
    </w:p>
    <w:p w:rsidR="0017648D" w:rsidRPr="00F20727" w:rsidRDefault="0017648D" w:rsidP="00F26C91">
      <w:pPr>
        <w:ind w:firstLine="1440"/>
        <w:contextualSpacing/>
      </w:pPr>
    </w:p>
    <w:p w:rsidR="00F20727" w:rsidRPr="00F20727" w:rsidRDefault="00F20727" w:rsidP="00F26C91">
      <w:pPr>
        <w:tabs>
          <w:tab w:val="num" w:pos="720"/>
          <w:tab w:val="left" w:pos="1440"/>
          <w:tab w:val="num" w:pos="2520"/>
        </w:tabs>
        <w:ind w:left="2160" w:right="1440"/>
        <w:contextualSpacing/>
      </w:pPr>
      <w:r w:rsidRPr="00F20727">
        <w:t>In the Commission’s judgment, the results achieved from a negotiated settlement or stipulation, or both, in which the interested parties have had an opportunity to participate are often preferable to those achieved at the conclusion of a fully litigated proceeding.  It is also the Commission’s judgment that the public interest will benefit by the adoption of §§  69.402—69.406 and this section which establish guidelines and procedures designed to encourage full and partial settlements as well as stipulations in major section 1308(d) general rate increase cases.</w:t>
      </w:r>
      <w:r w:rsidRPr="00F20727">
        <w:rPr>
          <w:rStyle w:val="FootnoteReference"/>
        </w:rPr>
        <w:footnoteReference w:id="12"/>
      </w:r>
    </w:p>
    <w:p w:rsidR="00F20727" w:rsidRPr="00F20727" w:rsidRDefault="00F20727" w:rsidP="00F26C91">
      <w:pPr>
        <w:tabs>
          <w:tab w:val="num" w:pos="720"/>
          <w:tab w:val="left" w:pos="1440"/>
          <w:tab w:val="num" w:pos="2520"/>
        </w:tabs>
        <w:spacing w:line="360" w:lineRule="auto"/>
        <w:ind w:left="1440" w:right="720"/>
        <w:contextualSpacing/>
        <w:rPr>
          <w:highlight w:val="yellow"/>
        </w:rPr>
      </w:pPr>
    </w:p>
    <w:p w:rsidR="0017648D" w:rsidRDefault="0017648D" w:rsidP="00F20727">
      <w:pPr>
        <w:spacing w:line="360" w:lineRule="auto"/>
        <w:ind w:firstLine="1440"/>
        <w:contextualSpacing/>
      </w:pPr>
      <w:r>
        <w:t xml:space="preserve">I&amp;E </w:t>
      </w:r>
      <w:proofErr w:type="gramStart"/>
      <w:r>
        <w:t>asserts</w:t>
      </w:r>
      <w:proofErr w:type="gramEnd"/>
      <w:r>
        <w:t xml:space="preserve"> that t</w:t>
      </w:r>
      <w:r w:rsidR="00F20727" w:rsidRPr="00F20727">
        <w:t>his policy statement highlights the importance of settlement in Commission proceedings.</w:t>
      </w:r>
      <w:r w:rsidR="000535A7">
        <w:t xml:space="preserve">  I&amp;E St. in Support, p. 4.</w:t>
      </w:r>
      <w:r w:rsidR="00F20727" w:rsidRPr="00F20727">
        <w:t xml:space="preserve"> </w:t>
      </w:r>
      <w:r w:rsidR="000535A7">
        <w:t xml:space="preserve"> </w:t>
      </w:r>
      <w:r w:rsidR="00F20727" w:rsidRPr="00F20727">
        <w:t xml:space="preserve"> </w:t>
      </w:r>
    </w:p>
    <w:p w:rsidR="0017648D" w:rsidRDefault="0017648D" w:rsidP="00F20727">
      <w:pPr>
        <w:spacing w:line="360" w:lineRule="auto"/>
        <w:ind w:firstLine="1440"/>
        <w:contextualSpacing/>
      </w:pPr>
    </w:p>
    <w:p w:rsidR="00923829" w:rsidRDefault="00F20727" w:rsidP="00923829">
      <w:pPr>
        <w:spacing w:line="360" w:lineRule="auto"/>
        <w:ind w:firstLine="1440"/>
        <w:contextualSpacing/>
      </w:pPr>
      <w:r w:rsidRPr="00F20727">
        <w:lastRenderedPageBreak/>
        <w:t xml:space="preserve">The instant rate case was filed on September 18, 2014, and over the past six months, </w:t>
      </w:r>
      <w:r w:rsidR="001C2A59">
        <w:t xml:space="preserve">according to I&amp;E, </w:t>
      </w:r>
      <w:r w:rsidRPr="00F20727">
        <w:t xml:space="preserve">the </w:t>
      </w:r>
      <w:r w:rsidR="0017648D">
        <w:t>p</w:t>
      </w:r>
      <w:r w:rsidRPr="00F20727">
        <w:t xml:space="preserve">arties engaged in extensive formal and informal discovery and lengthy settlement discussions.  </w:t>
      </w:r>
      <w:r w:rsidR="001C2A59">
        <w:t xml:space="preserve">I&amp;E </w:t>
      </w:r>
      <w:proofErr w:type="gramStart"/>
      <w:r w:rsidR="001C2A59">
        <w:t>claims</w:t>
      </w:r>
      <w:proofErr w:type="gramEnd"/>
      <w:r w:rsidR="001C2A59">
        <w:t xml:space="preserve"> that a</w:t>
      </w:r>
      <w:r w:rsidRPr="00F20727">
        <w:t xml:space="preserve">ll signatories to the </w:t>
      </w:r>
      <w:r w:rsidR="001C2A59">
        <w:t>Settlement</w:t>
      </w:r>
      <w:r w:rsidRPr="00F20727">
        <w:t xml:space="preserve"> actively participated in and vigorously represented their respective positions during the course of the settlement process.  As such, </w:t>
      </w:r>
      <w:r w:rsidR="001C2A59">
        <w:t xml:space="preserve">I&amp;E represents that </w:t>
      </w:r>
      <w:r w:rsidRPr="00F20727">
        <w:t xml:space="preserve">the issues </w:t>
      </w:r>
      <w:r w:rsidR="001C2A59">
        <w:t xml:space="preserve">it </w:t>
      </w:r>
      <w:r w:rsidRPr="00F20727">
        <w:t xml:space="preserve">raised </w:t>
      </w:r>
      <w:r w:rsidR="001C2A59">
        <w:t>in this proceeding h</w:t>
      </w:r>
      <w:r w:rsidRPr="00F20727">
        <w:t xml:space="preserve">ave been satisfactorily resolved through discovery, discussions, and mediation sessions with the </w:t>
      </w:r>
      <w:r w:rsidR="0017648D">
        <w:t>p</w:t>
      </w:r>
      <w:r w:rsidRPr="00F20727">
        <w:t xml:space="preserve">arties and are incorporated in the </w:t>
      </w:r>
      <w:r w:rsidR="0017648D">
        <w:t>Settlement.</w:t>
      </w:r>
      <w:r w:rsidRPr="00F20727">
        <w:t xml:space="preserve">  I&amp;E </w:t>
      </w:r>
      <w:r w:rsidR="001C2A59">
        <w:t xml:space="preserve">further </w:t>
      </w:r>
      <w:r w:rsidRPr="00F20727">
        <w:t xml:space="preserve">represents that the Settlement satisfies all applicable legal standards and results in terms that are preferable to those that may have been achieved at the end of a fully litigated proceeding. </w:t>
      </w:r>
      <w:r w:rsidR="000535A7">
        <w:t xml:space="preserve"> I&amp;E St. in Support, p</w:t>
      </w:r>
      <w:r w:rsidR="001036F7">
        <w:t>p. 4-5</w:t>
      </w:r>
      <w:r w:rsidR="00D12AD3">
        <w:t>.</w:t>
      </w:r>
      <w:r w:rsidR="000535A7" w:rsidRPr="00F20727">
        <w:t xml:space="preserve"> </w:t>
      </w:r>
      <w:r w:rsidR="00923829">
        <w:t xml:space="preserve"> </w:t>
      </w:r>
    </w:p>
    <w:p w:rsidR="00923829" w:rsidRDefault="00923829" w:rsidP="00923829">
      <w:pPr>
        <w:spacing w:line="360" w:lineRule="auto"/>
        <w:ind w:firstLine="1440"/>
        <w:contextualSpacing/>
      </w:pPr>
    </w:p>
    <w:p w:rsidR="00923829" w:rsidRPr="00923829" w:rsidRDefault="00923829" w:rsidP="00923829">
      <w:pPr>
        <w:spacing w:line="360" w:lineRule="auto"/>
        <w:ind w:firstLine="1440"/>
        <w:contextualSpacing/>
      </w:pPr>
      <w:r>
        <w:t xml:space="preserve">According to </w:t>
      </w:r>
      <w:proofErr w:type="gramStart"/>
      <w:r>
        <w:t>I&amp;E</w:t>
      </w:r>
      <w:proofErr w:type="gramEnd"/>
      <w:r>
        <w:t>, r</w:t>
      </w:r>
      <w:r w:rsidRPr="00923829">
        <w:t xml:space="preserve">esolution of this case by settlement rather than litigation will avoid the substantial time and effort involved in continuing to formally pursue all issues in this proceeding at the risk of accumulating excessive expense. </w:t>
      </w:r>
      <w:r>
        <w:t xml:space="preserve">  </w:t>
      </w:r>
      <w:r w:rsidRPr="00923829">
        <w:t xml:space="preserve">I&amp;E further submits that the acceptance of this Settlement will negate the need for evidentiary hearings, which would compel the extensive devotion of time and expense for the preparation, presentation, and cross-examination of multiple witnesses, the preparation of Main and Reply Briefs, the preparation of Exceptions and Replies, and the potential of filed appeals, all yielding substantial savings for all </w:t>
      </w:r>
      <w:r>
        <w:t>p</w:t>
      </w:r>
      <w:r w:rsidRPr="00923829">
        <w:t xml:space="preserve">arties, and ultimately all customers, as well as certainty on the regulatory disposition of issues.  </w:t>
      </w:r>
      <w:r>
        <w:t xml:space="preserve">I&amp;E </w:t>
      </w:r>
      <w:proofErr w:type="gramStart"/>
      <w:r>
        <w:t>asserts</w:t>
      </w:r>
      <w:proofErr w:type="gramEnd"/>
      <w:r>
        <w:t xml:space="preserve"> that this S</w:t>
      </w:r>
      <w:r w:rsidRPr="00923829">
        <w:t>ettlement thereby conserves time and expenses for all involved</w:t>
      </w:r>
      <w:r>
        <w:t xml:space="preserve">.  I&amp;E St. in Support, pp. </w:t>
      </w:r>
      <w:r w:rsidR="00D12AD3">
        <w:t>11-12</w:t>
      </w:r>
      <w:r>
        <w:t>.</w:t>
      </w:r>
    </w:p>
    <w:p w:rsidR="001C2A59" w:rsidRPr="00923829" w:rsidRDefault="001C2A59" w:rsidP="001C2A59">
      <w:pPr>
        <w:spacing w:line="360" w:lineRule="auto"/>
        <w:contextualSpacing/>
      </w:pPr>
    </w:p>
    <w:p w:rsidR="001C2A59" w:rsidRDefault="001C2A59" w:rsidP="001C2A59">
      <w:pPr>
        <w:spacing w:line="360" w:lineRule="auto"/>
        <w:contextualSpacing/>
      </w:pPr>
      <w:r>
        <w:tab/>
        <w:t>1.</w:t>
      </w:r>
      <w:r>
        <w:tab/>
      </w:r>
      <w:r>
        <w:rPr>
          <w:u w:val="single"/>
        </w:rPr>
        <w:t>Revenue Increase and Allocation</w:t>
      </w:r>
    </w:p>
    <w:p w:rsidR="001C2A59" w:rsidRDefault="001C2A59" w:rsidP="001C2A59">
      <w:pPr>
        <w:spacing w:line="360" w:lineRule="auto"/>
        <w:contextualSpacing/>
      </w:pPr>
    </w:p>
    <w:p w:rsidR="002B0DC0" w:rsidRDefault="001C2A59" w:rsidP="002B0DC0">
      <w:pPr>
        <w:pStyle w:val="Level1"/>
        <w:numPr>
          <w:ilvl w:val="0"/>
          <w:numId w:val="0"/>
        </w:numPr>
        <w:spacing w:line="360" w:lineRule="auto"/>
        <w:ind w:firstLine="1440"/>
      </w:pPr>
      <w:r w:rsidRPr="00D12AD3">
        <w:t xml:space="preserve">As proposed, </w:t>
      </w:r>
      <w:proofErr w:type="spellStart"/>
      <w:r w:rsidR="00D12AD3" w:rsidRPr="00D12AD3">
        <w:t>Plumer</w:t>
      </w:r>
      <w:proofErr w:type="spellEnd"/>
      <w:r w:rsidRPr="00D12AD3">
        <w:t xml:space="preserve"> requested a revenue increase of $</w:t>
      </w:r>
      <w:r w:rsidR="00D12AD3" w:rsidRPr="00D12AD3">
        <w:t>11,409.  T</w:t>
      </w:r>
      <w:r w:rsidR="00D12AD3">
        <w:t>he allocation of design of the S</w:t>
      </w:r>
      <w:r w:rsidR="00D12AD3" w:rsidRPr="00D12AD3">
        <w:t xml:space="preserve">ettlement rates provides for a monthly customer charge of $23.00.  I&amp;E analyzed the ratemaking claims contained in the Company’s filing including, but not limited to, operating and maintenance expenses, rate base, and the cost of common equity.  After careful and thorough analysis, I&amp;E recommended a revenue increase of </w:t>
      </w:r>
      <w:r w:rsidR="00D12AD3" w:rsidRPr="00D12AD3">
        <w:rPr>
          <w:kern w:val="24"/>
        </w:rPr>
        <w:t xml:space="preserve">the full amount requested, $11,409, </w:t>
      </w:r>
      <w:r w:rsidR="00575898">
        <w:rPr>
          <w:kern w:val="24"/>
        </w:rPr>
        <w:t xml:space="preserve">because I&amp;E determined that this amount </w:t>
      </w:r>
      <w:r w:rsidR="00D12AD3" w:rsidRPr="00D12AD3">
        <w:rPr>
          <w:kern w:val="24"/>
        </w:rPr>
        <w:t xml:space="preserve">was fully supported by </w:t>
      </w:r>
      <w:proofErr w:type="spellStart"/>
      <w:r w:rsidR="00D12AD3" w:rsidRPr="00D12AD3">
        <w:rPr>
          <w:kern w:val="24"/>
        </w:rPr>
        <w:t>Plumer’s</w:t>
      </w:r>
      <w:proofErr w:type="spellEnd"/>
      <w:r w:rsidR="00D12AD3" w:rsidRPr="00D12AD3">
        <w:rPr>
          <w:kern w:val="24"/>
        </w:rPr>
        <w:t xml:space="preserve"> filing and supporting information.  </w:t>
      </w:r>
      <w:r w:rsidR="00D12AD3" w:rsidRPr="00D12AD3">
        <w:t xml:space="preserve">Under the presently suspended Supplement No. 13, the monthly cost of water service to a typical residential customer using 2,000 gallons per month would have increased by </w:t>
      </w:r>
      <w:r w:rsidR="00D12AD3" w:rsidRPr="00D12AD3">
        <w:lastRenderedPageBreak/>
        <w:t>approximately $14.30, or 35.01%, from $40.84 to $55.14.  Under the Joint Petition, the monthly cost of water service to such residential customer would increase by approximately $13.14, or 32.17%, from $40.84 to $53.98.</w:t>
      </w:r>
      <w:r w:rsidR="002B0DC0">
        <w:t xml:space="preserve">  I&amp;E St. in Support, p. 5.</w:t>
      </w:r>
    </w:p>
    <w:p w:rsidR="002B0DC0" w:rsidRDefault="002B0DC0" w:rsidP="002B0DC0">
      <w:pPr>
        <w:pStyle w:val="Level1"/>
        <w:numPr>
          <w:ilvl w:val="0"/>
          <w:numId w:val="0"/>
        </w:numPr>
        <w:spacing w:line="360" w:lineRule="auto"/>
        <w:ind w:firstLine="1440"/>
      </w:pPr>
    </w:p>
    <w:p w:rsidR="002B0DC0" w:rsidRDefault="00575898" w:rsidP="002B0DC0">
      <w:pPr>
        <w:pStyle w:val="Level1"/>
        <w:numPr>
          <w:ilvl w:val="0"/>
          <w:numId w:val="0"/>
        </w:numPr>
        <w:spacing w:line="360" w:lineRule="auto"/>
        <w:ind w:firstLine="1440"/>
        <w:outlineLvl w:val="9"/>
      </w:pPr>
      <w:r>
        <w:t>T</w:t>
      </w:r>
      <w:r w:rsidR="00D12AD3" w:rsidRPr="002B0DC0">
        <w:t>he</w:t>
      </w:r>
      <w:r w:rsidR="002B0DC0">
        <w:t xml:space="preserve"> Joint Petitioners</w:t>
      </w:r>
      <w:r w:rsidR="00D12AD3" w:rsidRPr="002B0DC0">
        <w:t xml:space="preserve"> agree</w:t>
      </w:r>
      <w:r w:rsidR="002B0DC0">
        <w:t>d</w:t>
      </w:r>
      <w:r w:rsidR="00D12AD3" w:rsidRPr="002B0DC0">
        <w:t xml:space="preserve"> that the </w:t>
      </w:r>
      <w:r w:rsidR="002B0DC0">
        <w:t>increase should be done in two phases</w:t>
      </w:r>
      <w:r w:rsidR="00D12AD3" w:rsidRPr="002B0DC0">
        <w:t>, in</w:t>
      </w:r>
      <w:r w:rsidR="002B0DC0">
        <w:t xml:space="preserve"> c</w:t>
      </w:r>
      <w:r w:rsidR="00D12AD3" w:rsidRPr="002B0DC0">
        <w:t>onjunction with the install</w:t>
      </w:r>
      <w:r w:rsidR="002B0DC0">
        <w:t>ation of the electric generator</w:t>
      </w:r>
      <w:r>
        <w:t xml:space="preserve"> required by the Settlement</w:t>
      </w:r>
      <w:r w:rsidR="00D12AD3" w:rsidRPr="002B0DC0">
        <w:t>.</w:t>
      </w:r>
      <w:r w:rsidR="002B0DC0">
        <w:t xml:space="preserve">  Settlement ¶</w:t>
      </w:r>
      <w:proofErr w:type="gramStart"/>
      <w:r w:rsidR="002B0DC0">
        <w:t>10(</w:t>
      </w:r>
      <w:proofErr w:type="gramEnd"/>
      <w:r w:rsidR="002B0DC0">
        <w:t>b).</w:t>
      </w:r>
      <w:r w:rsidR="00D12AD3" w:rsidRPr="002B0DC0">
        <w:t xml:space="preserve">  Therefore, the </w:t>
      </w:r>
      <w:r w:rsidR="002B0DC0">
        <w:t xml:space="preserve">Settlement </w:t>
      </w:r>
      <w:r w:rsidR="00D12AD3" w:rsidRPr="002B0DC0">
        <w:t xml:space="preserve">tariff is designed to produce an increase in annual revenue of $11,409 or 34.92% over two phases.  The </w:t>
      </w:r>
      <w:r w:rsidR="009B2D37">
        <w:t xml:space="preserve">Phase I </w:t>
      </w:r>
      <w:r w:rsidR="00D12AD3" w:rsidRPr="002B0DC0">
        <w:t>rates produce an annual increase of $8,500 and will becom</w:t>
      </w:r>
      <w:r>
        <w:t>e effective upon approval of the Settlement</w:t>
      </w:r>
      <w:r w:rsidR="00D12AD3" w:rsidRPr="002B0DC0">
        <w:t xml:space="preserve">.  The </w:t>
      </w:r>
      <w:r w:rsidR="009B2D37">
        <w:t>Phase II</w:t>
      </w:r>
      <w:r w:rsidR="00D12AD3" w:rsidRPr="002B0DC0">
        <w:t xml:space="preserve"> rates, which will produce an additional increase of $2,909, will become effective upon written confirmation from </w:t>
      </w:r>
      <w:proofErr w:type="spellStart"/>
      <w:r w:rsidR="00D12AD3" w:rsidRPr="002B0DC0">
        <w:t>Plumer</w:t>
      </w:r>
      <w:proofErr w:type="spellEnd"/>
      <w:r w:rsidR="00D12AD3" w:rsidRPr="002B0DC0">
        <w:t xml:space="preserve"> to the Commission, the OCA and I&amp;E that </w:t>
      </w:r>
      <w:proofErr w:type="spellStart"/>
      <w:r w:rsidR="00D12AD3" w:rsidRPr="002B0DC0">
        <w:t>Plumer</w:t>
      </w:r>
      <w:proofErr w:type="spellEnd"/>
      <w:r w:rsidR="00D12AD3" w:rsidRPr="002B0DC0">
        <w:t xml:space="preserve"> has fully complied with the conditions contained in </w:t>
      </w:r>
      <w:r w:rsidR="005B7612">
        <w:t>p</w:t>
      </w:r>
      <w:r w:rsidR="00D12AD3" w:rsidRPr="002B0DC0">
        <w:t xml:space="preserve">aragraph </w:t>
      </w:r>
      <w:r w:rsidR="009B2D37">
        <w:t>10</w:t>
      </w:r>
      <w:r w:rsidR="00D12AD3" w:rsidRPr="002B0DC0">
        <w:t xml:space="preserve">(b) of the </w:t>
      </w:r>
      <w:r>
        <w:t>Settlement</w:t>
      </w:r>
      <w:r w:rsidR="00D12AD3" w:rsidRPr="002B0DC0">
        <w:t>.</w:t>
      </w:r>
      <w:r w:rsidR="002B0DC0">
        <w:t xml:space="preserve">  I&amp;E St. in Sup</w:t>
      </w:r>
      <w:r w:rsidR="009B2D37">
        <w:t>p</w:t>
      </w:r>
      <w:r w:rsidR="002B0DC0">
        <w:t xml:space="preserve">ort, pp. 5-6.  </w:t>
      </w:r>
    </w:p>
    <w:p w:rsidR="002B0DC0" w:rsidRDefault="002B0DC0" w:rsidP="002B0DC0">
      <w:pPr>
        <w:pStyle w:val="Level1"/>
        <w:numPr>
          <w:ilvl w:val="0"/>
          <w:numId w:val="0"/>
        </w:numPr>
        <w:spacing w:line="360" w:lineRule="auto"/>
        <w:ind w:firstLine="1440"/>
        <w:outlineLvl w:val="9"/>
      </w:pPr>
    </w:p>
    <w:p w:rsidR="00575898" w:rsidRDefault="009B2D37" w:rsidP="00575898">
      <w:pPr>
        <w:pStyle w:val="Level1"/>
        <w:numPr>
          <w:ilvl w:val="0"/>
          <w:numId w:val="0"/>
        </w:numPr>
        <w:spacing w:line="360" w:lineRule="auto"/>
        <w:ind w:firstLine="1440"/>
        <w:outlineLvl w:val="9"/>
      </w:pPr>
      <w:r>
        <w:rPr>
          <w:kern w:val="24"/>
        </w:rPr>
        <w:t xml:space="preserve">According to </w:t>
      </w:r>
      <w:proofErr w:type="gramStart"/>
      <w:r>
        <w:rPr>
          <w:kern w:val="24"/>
        </w:rPr>
        <w:t>I&amp;E</w:t>
      </w:r>
      <w:proofErr w:type="gramEnd"/>
      <w:r>
        <w:rPr>
          <w:kern w:val="24"/>
        </w:rPr>
        <w:t>, i</w:t>
      </w:r>
      <w:r w:rsidR="00D12AD3" w:rsidRPr="002B0DC0">
        <w:rPr>
          <w:kern w:val="24"/>
        </w:rPr>
        <w:t xml:space="preserve">t is important to note that </w:t>
      </w:r>
      <w:proofErr w:type="spellStart"/>
      <w:r w:rsidR="00D12AD3" w:rsidRPr="002B0DC0">
        <w:rPr>
          <w:kern w:val="24"/>
        </w:rPr>
        <w:t>Plumer’s</w:t>
      </w:r>
      <w:proofErr w:type="spellEnd"/>
      <w:r w:rsidR="00D12AD3" w:rsidRPr="002B0DC0">
        <w:rPr>
          <w:kern w:val="24"/>
        </w:rPr>
        <w:t xml:space="preserve"> need for rate relief results, in part, from an unavoidable increase in its purchased water rate pursuant to </w:t>
      </w:r>
      <w:r w:rsidR="00D12AD3" w:rsidRPr="002B0DC0">
        <w:t xml:space="preserve">its purchased water contract with the </w:t>
      </w:r>
      <w:proofErr w:type="spellStart"/>
      <w:r w:rsidR="00D12AD3" w:rsidRPr="002B0DC0">
        <w:t>Rouseville</w:t>
      </w:r>
      <w:proofErr w:type="spellEnd"/>
      <w:r w:rsidR="00D12AD3" w:rsidRPr="002B0DC0">
        <w:t xml:space="preserve">.  Specifically, Attachment No. 6 of Supplement No. 13, “Operating Expenses, </w:t>
      </w:r>
      <w:proofErr w:type="gramStart"/>
      <w:r w:rsidR="00D12AD3" w:rsidRPr="002B0DC0">
        <w:t>Cont</w:t>
      </w:r>
      <w:proofErr w:type="gramEnd"/>
      <w:r w:rsidR="00D12AD3" w:rsidRPr="002B0DC0">
        <w:t xml:space="preserve">.” reveals that alongside an adjustment for leaks repaired in 2013 and 2014, the purchased water increase imposed by </w:t>
      </w:r>
      <w:proofErr w:type="spellStart"/>
      <w:r w:rsidR="00D12AD3" w:rsidRPr="002B0DC0">
        <w:t>Rouseville</w:t>
      </w:r>
      <w:proofErr w:type="spellEnd"/>
      <w:r w:rsidR="00D12AD3" w:rsidRPr="002B0DC0">
        <w:t xml:space="preserve"> is estimated to cost </w:t>
      </w:r>
      <w:proofErr w:type="spellStart"/>
      <w:r w:rsidR="00D12AD3" w:rsidRPr="002B0DC0">
        <w:t>Plumer</w:t>
      </w:r>
      <w:proofErr w:type="spellEnd"/>
      <w:r w:rsidR="00D12AD3" w:rsidRPr="002B0DC0">
        <w:t xml:space="preserve"> $5,433.84.  </w:t>
      </w:r>
      <w:r w:rsidR="00D12AD3" w:rsidRPr="002B0DC0">
        <w:rPr>
          <w:kern w:val="24"/>
        </w:rPr>
        <w:t>Additionally,</w:t>
      </w:r>
      <w:r w:rsidR="00575898">
        <w:rPr>
          <w:kern w:val="24"/>
        </w:rPr>
        <w:t xml:space="preserve"> as a condition of the S</w:t>
      </w:r>
      <w:r w:rsidR="00D12AD3" w:rsidRPr="002B0DC0">
        <w:rPr>
          <w:kern w:val="24"/>
        </w:rPr>
        <w:t xml:space="preserve">ettlement rate, </w:t>
      </w:r>
      <w:proofErr w:type="spellStart"/>
      <w:r w:rsidR="00D12AD3" w:rsidRPr="002B0DC0">
        <w:rPr>
          <w:kern w:val="24"/>
        </w:rPr>
        <w:t>Plumer</w:t>
      </w:r>
      <w:proofErr w:type="spellEnd"/>
      <w:r w:rsidR="00D12AD3" w:rsidRPr="002B0DC0">
        <w:rPr>
          <w:kern w:val="24"/>
        </w:rPr>
        <w:t xml:space="preserve"> agreed to purchase a generator in order to provide better service to customers.  </w:t>
      </w:r>
      <w:r>
        <w:t xml:space="preserve">I&amp;E concludes that </w:t>
      </w:r>
      <w:r w:rsidR="00D12AD3" w:rsidRPr="002B0DC0">
        <w:t xml:space="preserve">the proposed rate increase is in the public interest because it allows </w:t>
      </w:r>
      <w:proofErr w:type="spellStart"/>
      <w:r w:rsidR="00D12AD3" w:rsidRPr="002B0DC0">
        <w:t>Plumer</w:t>
      </w:r>
      <w:proofErr w:type="spellEnd"/>
      <w:r w:rsidR="00D12AD3" w:rsidRPr="002B0DC0">
        <w:t xml:space="preserve"> to recoup additional annual revenue needed in order to provide reliable service, while ensuring that </w:t>
      </w:r>
      <w:proofErr w:type="spellStart"/>
      <w:r w:rsidR="00D12AD3" w:rsidRPr="002B0DC0">
        <w:t>Plumer’s</w:t>
      </w:r>
      <w:proofErr w:type="spellEnd"/>
      <w:r w:rsidR="00D12AD3" w:rsidRPr="002B0DC0">
        <w:t xml:space="preserve"> ratepayers are paying only necessary costs and that, in turn, they receive safe, effective service.</w:t>
      </w:r>
      <w:r>
        <w:t xml:space="preserve">  I&amp;E St. in Support,</w:t>
      </w:r>
      <w:r w:rsidR="00575898">
        <w:t xml:space="preserve"> p. 6.  </w:t>
      </w:r>
    </w:p>
    <w:p w:rsidR="00575898" w:rsidRDefault="00575898" w:rsidP="00575898">
      <w:pPr>
        <w:pStyle w:val="Level1"/>
        <w:numPr>
          <w:ilvl w:val="0"/>
          <w:numId w:val="0"/>
        </w:numPr>
        <w:spacing w:line="360" w:lineRule="auto"/>
        <w:ind w:firstLine="1440"/>
        <w:outlineLvl w:val="9"/>
      </w:pPr>
    </w:p>
    <w:p w:rsidR="00575898" w:rsidRDefault="00D12AD3" w:rsidP="00575898">
      <w:pPr>
        <w:pStyle w:val="Level1"/>
        <w:numPr>
          <w:ilvl w:val="0"/>
          <w:numId w:val="0"/>
        </w:numPr>
        <w:spacing w:line="360" w:lineRule="auto"/>
        <w:ind w:firstLine="1440"/>
        <w:outlineLvl w:val="9"/>
      </w:pPr>
      <w:r w:rsidRPr="002B0DC0">
        <w:t xml:space="preserve">After thorough review and engagement in extensive discovery and settlement discussions, I&amp;E fully supports the revenue level compromised upon in the Settlement.  </w:t>
      </w:r>
      <w:r w:rsidR="00575898">
        <w:t xml:space="preserve">According to </w:t>
      </w:r>
      <w:proofErr w:type="gramStart"/>
      <w:r w:rsidR="00575898">
        <w:t>I&amp;E</w:t>
      </w:r>
      <w:proofErr w:type="gramEnd"/>
      <w:r w:rsidR="00575898">
        <w:t>, d</w:t>
      </w:r>
      <w:r w:rsidRPr="002B0DC0">
        <w:t xml:space="preserve">ue to the “black box” nature of the Settlement, the Settlement does not reflect agreement upon individual issues; rather, the </w:t>
      </w:r>
      <w:r w:rsidR="00575898">
        <w:t>p</w:t>
      </w:r>
      <w:r w:rsidRPr="002B0DC0">
        <w:t xml:space="preserve">arties agreed to an overall increase to base rates only in an amount necessary for the provision of safe and reliable service.  </w:t>
      </w:r>
      <w:r w:rsidR="00575898">
        <w:t>I&amp;E contends that l</w:t>
      </w:r>
      <w:r w:rsidRPr="002B0DC0">
        <w:t>ine-by-line identification and ultimate resolution of every issue raised in the proceeding is not necessary to find that the Settlement is in the public interest</w:t>
      </w:r>
      <w:r w:rsidR="00827E33">
        <w:t>,</w:t>
      </w:r>
      <w:r w:rsidRPr="002B0DC0">
        <w:t xml:space="preserve"> nor could such a result be </w:t>
      </w:r>
      <w:r w:rsidRPr="002B0DC0">
        <w:lastRenderedPageBreak/>
        <w:t xml:space="preserve">achieved as part of a settlement.  </w:t>
      </w:r>
      <w:r w:rsidR="00575898">
        <w:t xml:space="preserve">According to </w:t>
      </w:r>
      <w:proofErr w:type="gramStart"/>
      <w:r w:rsidR="00575898">
        <w:t>I&amp;E</w:t>
      </w:r>
      <w:proofErr w:type="gramEnd"/>
      <w:r w:rsidR="00575898">
        <w:t xml:space="preserve">, </w:t>
      </w:r>
      <w:r w:rsidR="0036226D">
        <w:t>“</w:t>
      </w:r>
      <w:r w:rsidR="00575898">
        <w:t>b</w:t>
      </w:r>
      <w:r w:rsidRPr="002B0DC0">
        <w:t>lack box</w:t>
      </w:r>
      <w:r w:rsidR="0036226D">
        <w:t>”</w:t>
      </w:r>
      <w:r w:rsidRPr="002B0DC0">
        <w:t xml:space="preserve"> settlements benefit ratepayers because they allow for the resolution of a contested proceeding at a level of increase that is below the amount requested by the regulated entity and in a manner that avoids the significant expenditure of time and resources related to further litigation.</w:t>
      </w:r>
      <w:r w:rsidR="00575898">
        <w:t xml:space="preserve">  I&amp;E St. in Support, pp. 6-7.  </w:t>
      </w:r>
    </w:p>
    <w:p w:rsidR="00E270A2" w:rsidRDefault="00E270A2" w:rsidP="00575898">
      <w:pPr>
        <w:pStyle w:val="Level1"/>
        <w:numPr>
          <w:ilvl w:val="0"/>
          <w:numId w:val="0"/>
        </w:numPr>
        <w:spacing w:line="360" w:lineRule="auto"/>
        <w:ind w:firstLine="1440"/>
        <w:outlineLvl w:val="9"/>
      </w:pPr>
    </w:p>
    <w:p w:rsidR="00D12AD3" w:rsidRPr="002B0DC0" w:rsidRDefault="00575898" w:rsidP="00575898">
      <w:pPr>
        <w:pStyle w:val="Level1"/>
        <w:numPr>
          <w:ilvl w:val="0"/>
          <w:numId w:val="0"/>
        </w:numPr>
        <w:spacing w:line="360" w:lineRule="auto"/>
        <w:ind w:firstLine="1440"/>
        <w:outlineLvl w:val="9"/>
      </w:pPr>
      <w:r>
        <w:t xml:space="preserve">I&amp;E points out </w:t>
      </w:r>
      <w:proofErr w:type="gramStart"/>
      <w:r>
        <w:t xml:space="preserve">that </w:t>
      </w:r>
      <w:r w:rsidR="0036226D">
        <w:t>“</w:t>
      </w:r>
      <w:r>
        <w:t>b</w:t>
      </w:r>
      <w:r w:rsidR="00D12AD3" w:rsidRPr="002B0DC0">
        <w:t>lack box</w:t>
      </w:r>
      <w:r w:rsidR="0036226D">
        <w:t>”</w:t>
      </w:r>
      <w:r w:rsidR="00D12AD3" w:rsidRPr="002B0DC0">
        <w:t xml:space="preserve"> settlements</w:t>
      </w:r>
      <w:proofErr w:type="gramEnd"/>
      <w:r w:rsidR="00D12AD3" w:rsidRPr="002B0DC0">
        <w:t xml:space="preserve"> are not uncommon in Commission practice.  Indeed, </w:t>
      </w:r>
      <w:r>
        <w:t xml:space="preserve">according to I&amp;E, </w:t>
      </w:r>
      <w:r w:rsidR="00D12AD3" w:rsidRPr="002B0DC0">
        <w:t xml:space="preserve">the Commission has endorsed the use of </w:t>
      </w:r>
      <w:r w:rsidR="0036226D">
        <w:t>“</w:t>
      </w:r>
      <w:r w:rsidR="00D12AD3" w:rsidRPr="002B0DC0">
        <w:t>black box</w:t>
      </w:r>
      <w:r w:rsidR="0036226D">
        <w:t>”</w:t>
      </w:r>
      <w:r w:rsidR="00D12AD3" w:rsidRPr="002B0DC0">
        <w:t xml:space="preserve"> settlements, as discussed in a recent Order approving such a settlement:</w:t>
      </w:r>
    </w:p>
    <w:p w:rsidR="00B36838" w:rsidRDefault="00B36838" w:rsidP="00575898">
      <w:pPr>
        <w:ind w:left="1440" w:right="1440"/>
      </w:pPr>
    </w:p>
    <w:p w:rsidR="00D12AD3" w:rsidRPr="002B0DC0" w:rsidRDefault="00D12AD3" w:rsidP="005C05A7">
      <w:pPr>
        <w:ind w:left="2160" w:right="1440"/>
      </w:pPr>
      <w:r w:rsidRPr="002B0DC0">
        <w:t xml:space="preserve">We have historically permitted the use of “black box” settlements as a means of promoting settlement among the parties in contentious base rate proceedings.  </w:t>
      </w:r>
      <w:r w:rsidRPr="002B0DC0">
        <w:rPr>
          <w:i/>
        </w:rPr>
        <w:t>See</w:t>
      </w:r>
      <w:r w:rsidRPr="002B0DC0">
        <w:t xml:space="preserve">, </w:t>
      </w:r>
      <w:r w:rsidRPr="002B0DC0">
        <w:rPr>
          <w:i/>
        </w:rPr>
        <w:t>Pa. PUC v. Wellsboro Electric Co</w:t>
      </w:r>
      <w:r w:rsidRPr="002B0DC0">
        <w:t xml:space="preserve">., Docket No. R-2010-2172662 (Final Order entered January 13, 2011); </w:t>
      </w:r>
      <w:r w:rsidRPr="002B0DC0">
        <w:rPr>
          <w:i/>
        </w:rPr>
        <w:t>Pa. PUC v. Citizens’ Electric Co. of Lewisburg, PA</w:t>
      </w:r>
      <w:r w:rsidRPr="002B0DC0">
        <w:t>, Docket No. R-2010-2172665 (Final Order entered January 13, 2011).  Settlement of rate cases saves a significant amount of time and expense for customers, companies, and the Commission and often results in alternatives that may not have been realized during the litigation process.  Determining a company’s revenue requirement is a calculation involving many complex and interrelated adjustments that affect expenses, depreciation, rate base, taxes and the company’s cost of capital.  Reaching an agreement between various parties on each component of a rate increase can be difficult and impractical in many cases.  For these reasons, we support the use of a “black box” settlement in this proceeding and, accordingly, deny this Exception.</w:t>
      </w:r>
      <w:r w:rsidRPr="002B0DC0">
        <w:rPr>
          <w:rStyle w:val="FootnoteReference"/>
        </w:rPr>
        <w:footnoteReference w:id="13"/>
      </w:r>
      <w:r w:rsidRPr="002B0DC0">
        <w:t xml:space="preserve">  </w:t>
      </w:r>
    </w:p>
    <w:p w:rsidR="00D12AD3" w:rsidRPr="002B0DC0" w:rsidRDefault="00D12AD3" w:rsidP="00D12AD3">
      <w:pPr>
        <w:ind w:left="1440" w:right="1440"/>
      </w:pPr>
    </w:p>
    <w:p w:rsidR="00575898" w:rsidRDefault="00575898" w:rsidP="00575898">
      <w:pPr>
        <w:tabs>
          <w:tab w:val="num" w:pos="720"/>
          <w:tab w:val="left" w:pos="1440"/>
          <w:tab w:val="num" w:pos="2520"/>
        </w:tabs>
        <w:spacing w:line="360" w:lineRule="auto"/>
        <w:contextualSpacing/>
      </w:pPr>
      <w:r>
        <w:t>I&amp;E St. in Support, p. 7.</w:t>
      </w:r>
    </w:p>
    <w:p w:rsidR="00575898" w:rsidRDefault="00575898" w:rsidP="00575898">
      <w:pPr>
        <w:tabs>
          <w:tab w:val="num" w:pos="720"/>
          <w:tab w:val="left" w:pos="1440"/>
          <w:tab w:val="num" w:pos="2520"/>
        </w:tabs>
        <w:spacing w:line="360" w:lineRule="auto"/>
        <w:contextualSpacing/>
      </w:pPr>
    </w:p>
    <w:p w:rsidR="001E4C93" w:rsidRDefault="00D12AD3" w:rsidP="001E4C93">
      <w:pPr>
        <w:tabs>
          <w:tab w:val="num" w:pos="720"/>
          <w:tab w:val="left" w:pos="1440"/>
          <w:tab w:val="num" w:pos="2520"/>
        </w:tabs>
        <w:spacing w:line="360" w:lineRule="auto"/>
        <w:ind w:firstLine="1440"/>
        <w:contextualSpacing/>
      </w:pPr>
      <w:r w:rsidRPr="002B0DC0">
        <w:t xml:space="preserve">Public utility regulation allows for the recovery of prudently incurred expenses as well as the opportunity to earn a reasonable return on the value of assets used and useful in public service.  </w:t>
      </w:r>
      <w:r w:rsidR="00575898">
        <w:t>According to I&amp;E, t</w:t>
      </w:r>
      <w:r w:rsidRPr="002B0DC0">
        <w:t>he increase proposed in th</w:t>
      </w:r>
      <w:r w:rsidR="00575898">
        <w:t>e</w:t>
      </w:r>
      <w:r w:rsidRPr="002B0DC0">
        <w:t xml:space="preserve"> Settlement respects this principle.  Ratepayers will continue to receive safe and reliable service at just and reasonable rates while </w:t>
      </w:r>
      <w:r w:rsidRPr="002B0DC0">
        <w:lastRenderedPageBreak/>
        <w:t xml:space="preserve">allowing the Company sufficient additional revenues to meet its operating and capital expenses and providing the opportunity to earn a reasonable return on its investment.  I&amp;E </w:t>
      </w:r>
      <w:proofErr w:type="gramStart"/>
      <w:r w:rsidRPr="002B0DC0">
        <w:t>believes</w:t>
      </w:r>
      <w:proofErr w:type="gramEnd"/>
      <w:r w:rsidRPr="002B0DC0">
        <w:t xml:space="preserve"> that the Settlement properly balances the interests of all </w:t>
      </w:r>
      <w:r w:rsidR="00575898">
        <w:t>p</w:t>
      </w:r>
      <w:r w:rsidRPr="002B0DC0">
        <w:t xml:space="preserve">arties.  I&amp;E </w:t>
      </w:r>
      <w:proofErr w:type="gramStart"/>
      <w:r w:rsidRPr="002B0DC0">
        <w:t>submits</w:t>
      </w:r>
      <w:proofErr w:type="gramEnd"/>
      <w:r w:rsidRPr="002B0DC0">
        <w:t xml:space="preserve"> that the proposed Settlement is in the public interest and requests that it be approved</w:t>
      </w:r>
      <w:r w:rsidR="00575898">
        <w:t xml:space="preserve"> </w:t>
      </w:r>
      <w:r w:rsidRPr="002B0DC0">
        <w:t xml:space="preserve">without modification. </w:t>
      </w:r>
      <w:r w:rsidR="00575898">
        <w:t xml:space="preserve"> I&amp;E St. in Support, pp. 7-8.</w:t>
      </w:r>
      <w:r w:rsidR="001E4C93">
        <w:t xml:space="preserve">  </w:t>
      </w:r>
    </w:p>
    <w:p w:rsidR="00B302D1" w:rsidRDefault="00B302D1" w:rsidP="001E4C93">
      <w:pPr>
        <w:tabs>
          <w:tab w:val="num" w:pos="720"/>
          <w:tab w:val="left" w:pos="1440"/>
          <w:tab w:val="num" w:pos="2520"/>
        </w:tabs>
        <w:spacing w:line="360" w:lineRule="auto"/>
        <w:ind w:firstLine="1440"/>
        <w:contextualSpacing/>
      </w:pPr>
    </w:p>
    <w:p w:rsidR="001E4C93" w:rsidRDefault="001E4C93" w:rsidP="001E4C93">
      <w:pPr>
        <w:tabs>
          <w:tab w:val="num" w:pos="720"/>
          <w:tab w:val="left" w:pos="1440"/>
          <w:tab w:val="num" w:pos="2520"/>
        </w:tabs>
        <w:spacing w:line="360" w:lineRule="auto"/>
        <w:contextualSpacing/>
      </w:pPr>
      <w:r>
        <w:tab/>
        <w:t>2.</w:t>
      </w:r>
      <w:r>
        <w:tab/>
      </w:r>
      <w:r>
        <w:rPr>
          <w:u w:val="single"/>
        </w:rPr>
        <w:t>Electric Generator</w:t>
      </w:r>
    </w:p>
    <w:p w:rsidR="001E4C93" w:rsidRDefault="001E4C93" w:rsidP="001E4C93">
      <w:pPr>
        <w:tabs>
          <w:tab w:val="num" w:pos="720"/>
          <w:tab w:val="left" w:pos="1440"/>
          <w:tab w:val="num" w:pos="2520"/>
        </w:tabs>
        <w:spacing w:line="360" w:lineRule="auto"/>
        <w:contextualSpacing/>
      </w:pPr>
    </w:p>
    <w:p w:rsidR="001E4C93" w:rsidRDefault="001E4C93" w:rsidP="001E4C93">
      <w:pPr>
        <w:tabs>
          <w:tab w:val="left" w:pos="720"/>
          <w:tab w:val="left" w:pos="1440"/>
          <w:tab w:val="num" w:pos="2160"/>
        </w:tabs>
        <w:spacing w:line="360" w:lineRule="auto"/>
        <w:ind w:firstLine="1440"/>
      </w:pPr>
      <w:r>
        <w:t xml:space="preserve">I&amp;E </w:t>
      </w:r>
      <w:proofErr w:type="gramStart"/>
      <w:r>
        <w:t>explains</w:t>
      </w:r>
      <w:proofErr w:type="gramEnd"/>
      <w:r>
        <w:t xml:space="preserve"> that </w:t>
      </w:r>
      <w:proofErr w:type="spellStart"/>
      <w:r w:rsidRPr="001E4C93">
        <w:t>Plumer</w:t>
      </w:r>
      <w:proofErr w:type="spellEnd"/>
      <w:r w:rsidRPr="001E4C93">
        <w:t xml:space="preserve"> is under a contract to purchase water from </w:t>
      </w:r>
      <w:proofErr w:type="spellStart"/>
      <w:r w:rsidRPr="001E4C93">
        <w:t>Rouseville</w:t>
      </w:r>
      <w:proofErr w:type="spellEnd"/>
      <w:r w:rsidRPr="001E4C93">
        <w:t xml:space="preserve">, and no other viable water source is available.  Unfortunately, </w:t>
      </w:r>
      <w:r>
        <w:t xml:space="preserve">according to </w:t>
      </w:r>
      <w:proofErr w:type="gramStart"/>
      <w:r>
        <w:t>I&amp;E</w:t>
      </w:r>
      <w:proofErr w:type="gramEnd"/>
      <w:r>
        <w:t xml:space="preserve">, </w:t>
      </w:r>
      <w:r w:rsidRPr="001E4C93">
        <w:t xml:space="preserve">significant transmission issues have developed to frustrate water delivery to </w:t>
      </w:r>
      <w:proofErr w:type="spellStart"/>
      <w:r w:rsidRPr="001E4C93">
        <w:t>Plumer’s</w:t>
      </w:r>
      <w:proofErr w:type="spellEnd"/>
      <w:r w:rsidRPr="001E4C93">
        <w:t xml:space="preserve"> customers.  Specifically, </w:t>
      </w:r>
      <w:proofErr w:type="spellStart"/>
      <w:r w:rsidRPr="001E4C93">
        <w:t>Rouseville</w:t>
      </w:r>
      <w:proofErr w:type="spellEnd"/>
      <w:r w:rsidRPr="001E4C93">
        <w:t xml:space="preserve"> pumps the water into </w:t>
      </w:r>
      <w:proofErr w:type="spellStart"/>
      <w:r w:rsidRPr="001E4C93">
        <w:t>Plumer’s</w:t>
      </w:r>
      <w:proofErr w:type="spellEnd"/>
      <w:r w:rsidRPr="001E4C93">
        <w:t xml:space="preserve"> system, and when power outages occur in </w:t>
      </w:r>
      <w:proofErr w:type="spellStart"/>
      <w:r w:rsidRPr="001E4C93">
        <w:t>Rouseville</w:t>
      </w:r>
      <w:proofErr w:type="spellEnd"/>
      <w:r w:rsidRPr="001E4C93">
        <w:t xml:space="preserve">, </w:t>
      </w:r>
      <w:proofErr w:type="spellStart"/>
      <w:r w:rsidRPr="001E4C93">
        <w:t>Plumer’s</w:t>
      </w:r>
      <w:proofErr w:type="spellEnd"/>
      <w:r w:rsidRPr="001E4C93">
        <w:t xml:space="preserve"> customers are left without water service. </w:t>
      </w:r>
      <w:r w:rsidR="002D70E7">
        <w:t xml:space="preserve"> </w:t>
      </w:r>
      <w:r w:rsidRPr="001E4C93">
        <w:t>Furthermore, once service is reinstated after such outages, customers must flush their systems to clean out debris resulting from the outages.</w:t>
      </w:r>
      <w:r w:rsidRPr="001E4C93">
        <w:rPr>
          <w:rStyle w:val="FootnoteReference"/>
        </w:rPr>
        <w:footnoteReference w:id="14"/>
      </w:r>
      <w:r w:rsidRPr="001E4C93">
        <w:t xml:space="preserve">  While the pumping issue stems from </w:t>
      </w:r>
      <w:proofErr w:type="spellStart"/>
      <w:r w:rsidRPr="001E4C93">
        <w:t>Rouseville</w:t>
      </w:r>
      <w:proofErr w:type="spellEnd"/>
      <w:r w:rsidRPr="001E4C93">
        <w:t xml:space="preserve">, a non-jurisdictional municipal water utility, the </w:t>
      </w:r>
      <w:r>
        <w:t>p</w:t>
      </w:r>
      <w:r w:rsidRPr="001E4C93">
        <w:t>arties</w:t>
      </w:r>
      <w:r>
        <w:t xml:space="preserve"> </w:t>
      </w:r>
      <w:r w:rsidRPr="001E4C93">
        <w:t xml:space="preserve">devised a solution that will ensure that </w:t>
      </w:r>
      <w:proofErr w:type="spellStart"/>
      <w:r w:rsidRPr="001E4C93">
        <w:t>Plumer</w:t>
      </w:r>
      <w:proofErr w:type="spellEnd"/>
      <w:r w:rsidRPr="001E4C93">
        <w:t xml:space="preserve"> ratepayers are no longer left stranded during </w:t>
      </w:r>
      <w:proofErr w:type="spellStart"/>
      <w:r w:rsidRPr="001E4C93">
        <w:t>Rouseville’s</w:t>
      </w:r>
      <w:proofErr w:type="spellEnd"/>
      <w:r w:rsidRPr="001E4C93">
        <w:t xml:space="preserve"> power outages.</w:t>
      </w:r>
      <w:r w:rsidR="00F121EF">
        <w:t xml:space="preserve">  I&amp;E St. in Support, p. 10.</w:t>
      </w:r>
      <w:r>
        <w:t xml:space="preserve">  </w:t>
      </w:r>
    </w:p>
    <w:p w:rsidR="001E4C93" w:rsidRDefault="001E4C93" w:rsidP="001E4C93">
      <w:pPr>
        <w:tabs>
          <w:tab w:val="left" w:pos="720"/>
          <w:tab w:val="left" w:pos="1440"/>
          <w:tab w:val="num" w:pos="2160"/>
        </w:tabs>
        <w:spacing w:line="360" w:lineRule="auto"/>
        <w:ind w:firstLine="1440"/>
      </w:pPr>
    </w:p>
    <w:p w:rsidR="001E4C93" w:rsidRPr="001E4C93" w:rsidRDefault="001E4C93" w:rsidP="001E4C93">
      <w:pPr>
        <w:tabs>
          <w:tab w:val="left" w:pos="720"/>
          <w:tab w:val="left" w:pos="1440"/>
          <w:tab w:val="num" w:pos="2160"/>
        </w:tabs>
        <w:spacing w:line="360" w:lineRule="auto"/>
        <w:ind w:firstLine="1440"/>
      </w:pPr>
      <w:r>
        <w:t xml:space="preserve">The Settlement provides that </w:t>
      </w:r>
      <w:proofErr w:type="spellStart"/>
      <w:r w:rsidRPr="001E4C93">
        <w:t>Plumer</w:t>
      </w:r>
      <w:proofErr w:type="spellEnd"/>
      <w:r w:rsidRPr="001E4C93">
        <w:t xml:space="preserve">, at its cost, will purchase a back-up electric generator for installation by </w:t>
      </w:r>
      <w:proofErr w:type="spellStart"/>
      <w:r w:rsidRPr="001E4C93">
        <w:t>Rouseville</w:t>
      </w:r>
      <w:proofErr w:type="spellEnd"/>
      <w:r w:rsidRPr="001E4C93">
        <w:t xml:space="preserve"> on </w:t>
      </w:r>
      <w:proofErr w:type="spellStart"/>
      <w:r w:rsidRPr="001E4C93">
        <w:t>Rouseville’s</w:t>
      </w:r>
      <w:proofErr w:type="spellEnd"/>
      <w:r w:rsidRPr="001E4C93">
        <w:t xml:space="preserve"> water system.  The back-up generator will provide a source of back-up electric power for water service provided by </w:t>
      </w:r>
      <w:proofErr w:type="spellStart"/>
      <w:r w:rsidRPr="001E4C93">
        <w:t>Rouseville</w:t>
      </w:r>
      <w:proofErr w:type="spellEnd"/>
      <w:r w:rsidRPr="001E4C93">
        <w:t xml:space="preserve"> to </w:t>
      </w:r>
      <w:proofErr w:type="spellStart"/>
      <w:r w:rsidRPr="001E4C93">
        <w:t>Plumer</w:t>
      </w:r>
      <w:proofErr w:type="spellEnd"/>
      <w:r w:rsidRPr="001E4C93">
        <w:t xml:space="preserve"> to enable water service to continue to </w:t>
      </w:r>
      <w:proofErr w:type="spellStart"/>
      <w:r w:rsidRPr="001E4C93">
        <w:t>Plumer’s</w:t>
      </w:r>
      <w:proofErr w:type="spellEnd"/>
      <w:r w:rsidRPr="001E4C93">
        <w:t xml:space="preserve"> customers when there is an outage on the </w:t>
      </w:r>
      <w:proofErr w:type="spellStart"/>
      <w:r w:rsidRPr="001E4C93">
        <w:t>Rouseville</w:t>
      </w:r>
      <w:proofErr w:type="spellEnd"/>
      <w:r w:rsidRPr="001E4C93">
        <w:t xml:space="preserve"> system.  The </w:t>
      </w:r>
      <w:r>
        <w:t xml:space="preserve">Phase II </w:t>
      </w:r>
      <w:r w:rsidRPr="001E4C93">
        <w:t xml:space="preserve">rates, which will produce an additional increase of $2,909, will become effective only upon </w:t>
      </w:r>
      <w:proofErr w:type="spellStart"/>
      <w:r w:rsidRPr="001E4C93">
        <w:t>Plumer’s</w:t>
      </w:r>
      <w:proofErr w:type="spellEnd"/>
      <w:r w:rsidRPr="001E4C93">
        <w:t xml:space="preserve"> written confirmation to the Commission, the OCA and I&amp;E that </w:t>
      </w:r>
      <w:proofErr w:type="spellStart"/>
      <w:r w:rsidRPr="001E4C93">
        <w:t>Plumer</w:t>
      </w:r>
      <w:proofErr w:type="spellEnd"/>
      <w:r w:rsidRPr="001E4C93">
        <w:t xml:space="preserve"> has purchased the generator and that the generator has been installed by </w:t>
      </w:r>
      <w:proofErr w:type="spellStart"/>
      <w:r w:rsidRPr="001E4C93">
        <w:t>Rouseville</w:t>
      </w:r>
      <w:proofErr w:type="spellEnd"/>
      <w:r w:rsidRPr="001E4C93">
        <w:t>, and is in working order.</w:t>
      </w:r>
      <w:r w:rsidR="00F121EF">
        <w:t xml:space="preserve">  I&amp;E St. in Support, pp. 10-11. </w:t>
      </w:r>
    </w:p>
    <w:p w:rsidR="0033550F" w:rsidRDefault="00D12AD3" w:rsidP="001E4C93">
      <w:pPr>
        <w:tabs>
          <w:tab w:val="num" w:pos="720"/>
          <w:tab w:val="left" w:pos="1440"/>
          <w:tab w:val="num" w:pos="2520"/>
        </w:tabs>
        <w:spacing w:line="360" w:lineRule="auto"/>
        <w:contextualSpacing/>
        <w:rPr>
          <w:b/>
          <w:caps/>
        </w:rPr>
      </w:pPr>
      <w:r w:rsidRPr="001E4C93">
        <w:rPr>
          <w:b/>
          <w:caps/>
        </w:rPr>
        <w:t xml:space="preserve"> </w:t>
      </w:r>
    </w:p>
    <w:p w:rsidR="002078BF" w:rsidRDefault="002078BF" w:rsidP="001E4C93">
      <w:pPr>
        <w:tabs>
          <w:tab w:val="num" w:pos="720"/>
          <w:tab w:val="left" w:pos="1440"/>
          <w:tab w:val="num" w:pos="2520"/>
        </w:tabs>
        <w:spacing w:line="360" w:lineRule="auto"/>
        <w:contextualSpacing/>
        <w:rPr>
          <w:b/>
          <w:caps/>
        </w:rPr>
      </w:pPr>
    </w:p>
    <w:p w:rsidR="002078BF" w:rsidRDefault="002078BF" w:rsidP="001E4C93">
      <w:pPr>
        <w:tabs>
          <w:tab w:val="num" w:pos="720"/>
          <w:tab w:val="left" w:pos="1440"/>
          <w:tab w:val="num" w:pos="2520"/>
        </w:tabs>
        <w:spacing w:line="360" w:lineRule="auto"/>
        <w:contextualSpacing/>
        <w:rPr>
          <w:b/>
          <w:caps/>
        </w:rPr>
      </w:pPr>
    </w:p>
    <w:p w:rsidR="002078BF" w:rsidRPr="001E4C93" w:rsidRDefault="002078BF" w:rsidP="001E4C93">
      <w:pPr>
        <w:tabs>
          <w:tab w:val="num" w:pos="720"/>
          <w:tab w:val="left" w:pos="1440"/>
          <w:tab w:val="num" w:pos="2520"/>
        </w:tabs>
        <w:spacing w:line="360" w:lineRule="auto"/>
        <w:contextualSpacing/>
        <w:rPr>
          <w:b/>
          <w:caps/>
        </w:rPr>
      </w:pPr>
    </w:p>
    <w:p w:rsidR="001C2A59" w:rsidRDefault="001E4C93" w:rsidP="001C2A59">
      <w:pPr>
        <w:spacing w:line="360" w:lineRule="auto"/>
        <w:contextualSpacing/>
      </w:pPr>
      <w:r>
        <w:lastRenderedPageBreak/>
        <w:tab/>
        <w:t>3.</w:t>
      </w:r>
      <w:r w:rsidR="0033550F">
        <w:tab/>
      </w:r>
      <w:r w:rsidR="0033550F">
        <w:rPr>
          <w:u w:val="single"/>
        </w:rPr>
        <w:t>Affiliated Interest Agreement</w:t>
      </w:r>
    </w:p>
    <w:p w:rsidR="0033550F" w:rsidRDefault="0033550F" w:rsidP="001C2A59">
      <w:pPr>
        <w:spacing w:line="360" w:lineRule="auto"/>
        <w:contextualSpacing/>
      </w:pPr>
    </w:p>
    <w:p w:rsidR="0033550F" w:rsidRPr="00F121EF" w:rsidRDefault="0033550F" w:rsidP="00F121EF">
      <w:pPr>
        <w:tabs>
          <w:tab w:val="left" w:pos="720"/>
          <w:tab w:val="left" w:pos="1440"/>
          <w:tab w:val="num" w:pos="2160"/>
        </w:tabs>
        <w:spacing w:line="360" w:lineRule="auto"/>
        <w:ind w:firstLine="1440"/>
      </w:pPr>
      <w:r w:rsidRPr="00F121EF">
        <w:t xml:space="preserve">As a condition of the Settlement, </w:t>
      </w:r>
      <w:proofErr w:type="spellStart"/>
      <w:r w:rsidR="00F121EF" w:rsidRPr="00F121EF">
        <w:t>Plumer</w:t>
      </w:r>
      <w:proofErr w:type="spellEnd"/>
      <w:r w:rsidRPr="00F121EF">
        <w:t xml:space="preserve"> agreed to file a Revised Schedule I, attached to the Joint Petition for Settlement as Appendix </w:t>
      </w:r>
      <w:r w:rsidR="00F121EF" w:rsidRPr="00F121EF">
        <w:t>D</w:t>
      </w:r>
      <w:r w:rsidRPr="00F121EF">
        <w:t xml:space="preserve">, as an amendment to the AIA addressed by the Commission at G-2014-2439212 and approved by Secretarial Letter of the Commission dated December 11, 2014.  </w:t>
      </w:r>
      <w:r w:rsidR="00B84DDC" w:rsidRPr="00F121EF">
        <w:t xml:space="preserve">According to </w:t>
      </w:r>
      <w:proofErr w:type="gramStart"/>
      <w:r w:rsidR="00B84DDC" w:rsidRPr="00F121EF">
        <w:t>I&amp;E</w:t>
      </w:r>
      <w:proofErr w:type="gramEnd"/>
      <w:r w:rsidR="00B84DDC" w:rsidRPr="00F121EF">
        <w:t>, t</w:t>
      </w:r>
      <w:r w:rsidRPr="00F121EF">
        <w:t xml:space="preserve">he amendment to Schedule I is in the public interest because it ensures that ratepayers are not funding the wages and benefits of two of </w:t>
      </w:r>
      <w:proofErr w:type="spellStart"/>
      <w:r w:rsidR="00BA702C">
        <w:t>Plumer</w:t>
      </w:r>
      <w:r w:rsidRPr="00F121EF">
        <w:t>’s</w:t>
      </w:r>
      <w:proofErr w:type="spellEnd"/>
      <w:r w:rsidRPr="00F121EF">
        <w:t xml:space="preserve"> unregulated affiliates that share employees in common with the regulated utilities covered under the current AIA.  More specifically, the amended AIA will account for a total wage and benefit allocation of 17%-20% for the unregulated affiliates:  B. P. Rhodes &amp; Son, Inc. and B. &amp; B. Rhodes Supply.</w:t>
      </w:r>
      <w:r w:rsidR="00B84DDC" w:rsidRPr="00F121EF">
        <w:t xml:space="preserve">  </w:t>
      </w:r>
      <w:r w:rsidR="00F121EF">
        <w:t xml:space="preserve">According to </w:t>
      </w:r>
      <w:proofErr w:type="gramStart"/>
      <w:r w:rsidR="00F121EF">
        <w:t>I&amp;E</w:t>
      </w:r>
      <w:proofErr w:type="gramEnd"/>
      <w:r w:rsidR="00F121EF">
        <w:t>, s</w:t>
      </w:r>
      <w:r w:rsidR="00F121EF" w:rsidRPr="00F121EF">
        <w:t xml:space="preserve">uch allocation will address customer concerns regarding “how much of the company’s money comes from </w:t>
      </w:r>
      <w:proofErr w:type="spellStart"/>
      <w:r w:rsidR="00F121EF" w:rsidRPr="00F121EF">
        <w:t>Plumer</w:t>
      </w:r>
      <w:proofErr w:type="spellEnd"/>
      <w:r w:rsidR="00F121EF" w:rsidRPr="00F121EF">
        <w:t xml:space="preserve"> Water Company to service or take care of the other [affiliated] companies.”</w:t>
      </w:r>
      <w:r w:rsidR="00F121EF" w:rsidRPr="00F121EF">
        <w:rPr>
          <w:rStyle w:val="FootnoteReference"/>
        </w:rPr>
        <w:footnoteReference w:id="15"/>
      </w:r>
      <w:r w:rsidR="00F121EF">
        <w:t xml:space="preserve">  </w:t>
      </w:r>
      <w:r w:rsidR="00B84DDC" w:rsidRPr="00F121EF">
        <w:t>I&amp;E St. in Support, p</w:t>
      </w:r>
      <w:r w:rsidR="00F121EF">
        <w:t xml:space="preserve">. </w:t>
      </w:r>
      <w:r w:rsidR="00B84DDC" w:rsidRPr="00F121EF">
        <w:t>8.</w:t>
      </w:r>
      <w:r w:rsidRPr="00F121EF">
        <w:t xml:space="preserve">  </w:t>
      </w:r>
    </w:p>
    <w:p w:rsidR="0033550F" w:rsidRDefault="0033550F" w:rsidP="0033550F">
      <w:pPr>
        <w:tabs>
          <w:tab w:val="left" w:pos="720"/>
          <w:tab w:val="left" w:pos="1440"/>
          <w:tab w:val="num" w:pos="2160"/>
        </w:tabs>
        <w:spacing w:line="360" w:lineRule="auto"/>
        <w:ind w:firstLine="1440"/>
        <w:contextualSpacing/>
      </w:pPr>
    </w:p>
    <w:p w:rsidR="0033550F" w:rsidRDefault="0033550F" w:rsidP="0033550F">
      <w:pPr>
        <w:tabs>
          <w:tab w:val="left" w:pos="720"/>
          <w:tab w:val="left" w:pos="1440"/>
          <w:tab w:val="num" w:pos="2160"/>
        </w:tabs>
        <w:spacing w:line="360" w:lineRule="auto"/>
        <w:ind w:firstLine="1440"/>
        <w:contextualSpacing/>
      </w:pPr>
      <w:r w:rsidRPr="0033550F">
        <w:t xml:space="preserve">The </w:t>
      </w:r>
      <w:r w:rsidR="00B84DDC">
        <w:t>p</w:t>
      </w:r>
      <w:r w:rsidRPr="0033550F">
        <w:t>arties agree that the filing will be submitted pursuant to Chapter 21 of the Public Utility Code and that, consistent with submissions under Chapter 21, the amended AIA is not being proposed as a determination that the associated costs or expenses are reasonable or prudent for the purposes of determ</w:t>
      </w:r>
      <w:r w:rsidR="00B84DDC">
        <w:t xml:space="preserve">ining just and reasonable rates.  </w:t>
      </w:r>
      <w:r w:rsidRPr="0033550F">
        <w:t xml:space="preserve">However, </w:t>
      </w:r>
      <w:r w:rsidR="00B84DDC">
        <w:t xml:space="preserve">according to </w:t>
      </w:r>
      <w:proofErr w:type="gramStart"/>
      <w:r w:rsidR="00B84DDC">
        <w:t>I&amp;E</w:t>
      </w:r>
      <w:proofErr w:type="gramEnd"/>
      <w:r w:rsidR="00B84DDC">
        <w:t>, t</w:t>
      </w:r>
      <w:r w:rsidRPr="0033550F">
        <w:t xml:space="preserve">he amendment will memorialize the existence of the unregulated affiliates so that appropriate allocations may be made in the future, serving to protect ratepayers from paying unreasonable and imprudent costs.  Additionally, </w:t>
      </w:r>
      <w:r w:rsidR="00B84DDC">
        <w:t xml:space="preserve">I&amp;E asserts that </w:t>
      </w:r>
      <w:r w:rsidRPr="0033550F">
        <w:t xml:space="preserve">the amendment will ensure that </w:t>
      </w:r>
      <w:proofErr w:type="spellStart"/>
      <w:r w:rsidR="00C16070">
        <w:t>Plumer</w:t>
      </w:r>
      <w:proofErr w:type="spellEnd"/>
      <w:r w:rsidRPr="0033550F">
        <w:t xml:space="preserve"> has a guideline to facilitate an accurate accounting of and the separation of costs resulting from unregulated affiliates, making any of its future rate filings for regulated utilities more efficient for all </w:t>
      </w:r>
      <w:r w:rsidR="00B84DDC">
        <w:t>p</w:t>
      </w:r>
      <w:r w:rsidRPr="0033550F">
        <w:t>arties.</w:t>
      </w:r>
      <w:r w:rsidR="00B84DDC">
        <w:t xml:space="preserve">  I&amp;E St. in Support, p. </w:t>
      </w:r>
      <w:r w:rsidR="00C16070">
        <w:t>9</w:t>
      </w:r>
      <w:r w:rsidR="00B84DDC">
        <w:t xml:space="preserve">. </w:t>
      </w:r>
    </w:p>
    <w:p w:rsidR="005F09F4" w:rsidRDefault="005F09F4" w:rsidP="0033550F">
      <w:pPr>
        <w:tabs>
          <w:tab w:val="left" w:pos="720"/>
          <w:tab w:val="left" w:pos="1440"/>
          <w:tab w:val="num" w:pos="2160"/>
        </w:tabs>
        <w:spacing w:line="360" w:lineRule="auto"/>
        <w:ind w:firstLine="1440"/>
        <w:contextualSpacing/>
      </w:pPr>
    </w:p>
    <w:p w:rsidR="00B84DDC" w:rsidRPr="00B84DDC" w:rsidRDefault="008736E4" w:rsidP="00B84DDC">
      <w:pPr>
        <w:tabs>
          <w:tab w:val="left" w:pos="720"/>
          <w:tab w:val="left" w:pos="1440"/>
          <w:tab w:val="num" w:pos="2160"/>
        </w:tabs>
        <w:spacing w:line="360" w:lineRule="auto"/>
        <w:contextualSpacing/>
      </w:pPr>
      <w:r>
        <w:tab/>
        <w:t>4</w:t>
      </w:r>
      <w:r w:rsidR="00B84DDC">
        <w:t>.</w:t>
      </w:r>
      <w:r w:rsidR="00B84DDC">
        <w:tab/>
      </w:r>
      <w:r w:rsidR="00B84DDC">
        <w:rPr>
          <w:u w:val="single"/>
        </w:rPr>
        <w:t>Stay-Out Provision</w:t>
      </w:r>
    </w:p>
    <w:p w:rsidR="0033550F" w:rsidRPr="0033550F" w:rsidRDefault="0033550F" w:rsidP="001C2A59">
      <w:pPr>
        <w:spacing w:line="360" w:lineRule="auto"/>
        <w:contextualSpacing/>
      </w:pPr>
    </w:p>
    <w:p w:rsidR="00923829" w:rsidRDefault="00923829" w:rsidP="00923829">
      <w:pPr>
        <w:tabs>
          <w:tab w:val="left" w:pos="720"/>
          <w:tab w:val="left" w:pos="1440"/>
          <w:tab w:val="num" w:pos="2160"/>
        </w:tabs>
        <w:spacing w:line="360" w:lineRule="auto"/>
        <w:ind w:firstLine="1440"/>
        <w:contextualSpacing/>
      </w:pPr>
      <w:r w:rsidRPr="00923829">
        <w:t>Absent exigent circumstances</w:t>
      </w:r>
      <w:r w:rsidRPr="00923829">
        <w:rPr>
          <w:b/>
        </w:rPr>
        <w:t xml:space="preserve">, </w:t>
      </w:r>
      <w:r w:rsidR="00296AA7">
        <w:t xml:space="preserve">the Settlement </w:t>
      </w:r>
      <w:r w:rsidRPr="00923829">
        <w:t>prevent</w:t>
      </w:r>
      <w:r w:rsidR="00296AA7">
        <w:t>s</w:t>
      </w:r>
      <w:r w:rsidRPr="00923829">
        <w:t xml:space="preserve"> the Company from filing for a general base rate increase, as that term is defined in Section 1308(d) of the Public Utility Code, 66 </w:t>
      </w:r>
      <w:proofErr w:type="spellStart"/>
      <w:r w:rsidRPr="00923829">
        <w:t>Pa.C.S</w:t>
      </w:r>
      <w:proofErr w:type="spellEnd"/>
      <w:r w:rsidRPr="00923829">
        <w:t xml:space="preserve">. § 1308(d), prior to eighteen (18) months after the entry date of the </w:t>
      </w:r>
      <w:r w:rsidRPr="00923829">
        <w:lastRenderedPageBreak/>
        <w:t>Commission’s Order approving this Settlement.  The only exceptions to this “stay</w:t>
      </w:r>
      <w:r>
        <w:t>-</w:t>
      </w:r>
      <w:r w:rsidRPr="00923829">
        <w:t>out” provision are those that allow the Company</w:t>
      </w:r>
      <w:r w:rsidR="005F09F4">
        <w:t xml:space="preserve"> to</w:t>
      </w:r>
      <w:r w:rsidRPr="00923829">
        <w:t xml:space="preserve"> file for a change in rates under Sections 1308(a) and (b) of the Public Utility Code, 66 </w:t>
      </w:r>
      <w:proofErr w:type="spellStart"/>
      <w:r w:rsidRPr="00923829">
        <w:t>Pa.C.S</w:t>
      </w:r>
      <w:proofErr w:type="spellEnd"/>
      <w:r w:rsidRPr="00923829">
        <w:t xml:space="preserve">. </w:t>
      </w:r>
      <w:proofErr w:type="gramStart"/>
      <w:r w:rsidRPr="00923829">
        <w:t xml:space="preserve">§ 1308(a) and (b) (governing general rate relief), or Section 1308(e) of the Public Utility Code, 66 </w:t>
      </w:r>
      <w:proofErr w:type="spellStart"/>
      <w:r w:rsidRPr="00923829">
        <w:t>Pa.C.S</w:t>
      </w:r>
      <w:proofErr w:type="spellEnd"/>
      <w:r w:rsidRPr="00923829">
        <w:t>.</w:t>
      </w:r>
      <w:proofErr w:type="gramEnd"/>
      <w:r w:rsidRPr="00923829">
        <w:t xml:space="preserve"> § 1308(e) (governing extraordinary rate relief), if a legislative body or administrative agency orders or </w:t>
      </w:r>
      <w:r w:rsidRPr="00C16070">
        <w:t xml:space="preserve">enacts changes in policy, regulation or statutes which directly and substantially affect its rates.  </w:t>
      </w:r>
      <w:r w:rsidR="00C16070" w:rsidRPr="00C16070">
        <w:t xml:space="preserve">Also, as </w:t>
      </w:r>
      <w:proofErr w:type="spellStart"/>
      <w:r w:rsidR="00C16070" w:rsidRPr="00C16070">
        <w:t>Plumer</w:t>
      </w:r>
      <w:proofErr w:type="spellEnd"/>
      <w:r w:rsidR="00C16070" w:rsidRPr="00C16070">
        <w:t xml:space="preserve"> is subject to a purchase water contract with </w:t>
      </w:r>
      <w:proofErr w:type="spellStart"/>
      <w:r w:rsidR="00C16070" w:rsidRPr="00C16070">
        <w:t>Rouseville</w:t>
      </w:r>
      <w:proofErr w:type="spellEnd"/>
      <w:r w:rsidR="00C16070" w:rsidRPr="00C16070">
        <w:t xml:space="preserve">, an additional exception allows for </w:t>
      </w:r>
      <w:proofErr w:type="spellStart"/>
      <w:r w:rsidR="00C16070" w:rsidRPr="00C16070">
        <w:t>Plumer</w:t>
      </w:r>
      <w:proofErr w:type="spellEnd"/>
      <w:r w:rsidR="00C16070" w:rsidRPr="00C16070">
        <w:t xml:space="preserve"> to file for a rate change, regardless of the stay</w:t>
      </w:r>
      <w:r w:rsidR="005C6768">
        <w:t>-</w:t>
      </w:r>
      <w:r w:rsidR="00C16070" w:rsidRPr="00C16070">
        <w:t xml:space="preserve">out, if </w:t>
      </w:r>
      <w:proofErr w:type="spellStart"/>
      <w:r w:rsidR="00C16070" w:rsidRPr="00C16070">
        <w:t>Rouseville</w:t>
      </w:r>
      <w:proofErr w:type="spellEnd"/>
      <w:r w:rsidR="00C16070" w:rsidRPr="00C16070">
        <w:t xml:space="preserve"> changes the purchased water rates charged to </w:t>
      </w:r>
      <w:proofErr w:type="spellStart"/>
      <w:r w:rsidR="00C16070" w:rsidRPr="00C16070">
        <w:t>Plumer</w:t>
      </w:r>
      <w:proofErr w:type="spellEnd"/>
      <w:r w:rsidR="00C16070" w:rsidRPr="00C16070">
        <w:t xml:space="preserve">.  </w:t>
      </w:r>
      <w:r w:rsidRPr="00C16070">
        <w:t>I&amp;E St. in Support, pp.</w:t>
      </w:r>
      <w:r w:rsidR="003F7407" w:rsidRPr="00C16070">
        <w:t> </w:t>
      </w:r>
      <w:r w:rsidR="00C16070">
        <w:t>9-10.</w:t>
      </w:r>
      <w:r w:rsidRPr="00C16070">
        <w:t xml:space="preserve">   </w:t>
      </w:r>
    </w:p>
    <w:p w:rsidR="00B62607" w:rsidRPr="00C16070" w:rsidRDefault="00B62607" w:rsidP="00923829">
      <w:pPr>
        <w:tabs>
          <w:tab w:val="left" w:pos="720"/>
          <w:tab w:val="left" w:pos="1440"/>
          <w:tab w:val="num" w:pos="2160"/>
        </w:tabs>
        <w:spacing w:line="360" w:lineRule="auto"/>
        <w:ind w:firstLine="1440"/>
        <w:contextualSpacing/>
      </w:pPr>
    </w:p>
    <w:p w:rsidR="00C5538E" w:rsidRDefault="00923829" w:rsidP="008736E4">
      <w:pPr>
        <w:tabs>
          <w:tab w:val="left" w:pos="720"/>
          <w:tab w:val="left" w:pos="1440"/>
          <w:tab w:val="num" w:pos="2160"/>
        </w:tabs>
        <w:spacing w:line="360" w:lineRule="auto"/>
        <w:ind w:firstLine="1440"/>
        <w:contextualSpacing/>
      </w:pPr>
      <w:r>
        <w:t>According to I&amp;E, t</w:t>
      </w:r>
      <w:r w:rsidRPr="00923829">
        <w:t>his stay</w:t>
      </w:r>
      <w:r>
        <w:t>-</w:t>
      </w:r>
      <w:r w:rsidRPr="00923829">
        <w:t xml:space="preserve">out provision provides stability and certainty to rate payers who will experience rate continuity for at least </w:t>
      </w:r>
      <w:r w:rsidR="00D15639">
        <w:t>eighteen (</w:t>
      </w:r>
      <w:r w:rsidRPr="00923829">
        <w:t>18</w:t>
      </w:r>
      <w:r w:rsidR="00D15639">
        <w:t>)</w:t>
      </w:r>
      <w:r w:rsidRPr="00923829">
        <w:t xml:space="preserve"> months from the date of </w:t>
      </w:r>
      <w:r w:rsidR="008736E4">
        <w:t>S</w:t>
      </w:r>
      <w:r w:rsidRPr="00923829">
        <w:t>ettlement approval.  At the same time, the Company will not be prejudiced, as in the event that it experiences unforeseeable hardship beyond its own control, warranting a rate change, it would be able to seek a rate relief.</w:t>
      </w:r>
      <w:r w:rsidR="008736E4">
        <w:t xml:space="preserve">  I&amp;E St. in Support, p. 10. </w:t>
      </w:r>
    </w:p>
    <w:p w:rsidR="00C5538E" w:rsidRPr="00F20727" w:rsidRDefault="00C5538E" w:rsidP="00DD5C65">
      <w:pPr>
        <w:pStyle w:val="FootnoteText"/>
        <w:spacing w:line="360" w:lineRule="auto"/>
        <w:rPr>
          <w:sz w:val="24"/>
          <w:szCs w:val="24"/>
        </w:rPr>
      </w:pPr>
    </w:p>
    <w:p w:rsidR="00DD5C65" w:rsidRDefault="00DD5C65" w:rsidP="007225F7">
      <w:pPr>
        <w:pStyle w:val="FootnoteText"/>
        <w:spacing w:line="360" w:lineRule="auto"/>
        <w:rPr>
          <w:sz w:val="24"/>
          <w:szCs w:val="24"/>
        </w:rPr>
      </w:pPr>
      <w:r>
        <w:rPr>
          <w:sz w:val="24"/>
          <w:szCs w:val="24"/>
        </w:rPr>
        <w:t>C.</w:t>
      </w:r>
      <w:r>
        <w:rPr>
          <w:sz w:val="24"/>
          <w:szCs w:val="24"/>
        </w:rPr>
        <w:tab/>
      </w:r>
      <w:r w:rsidRPr="00DD5C65">
        <w:rPr>
          <w:sz w:val="24"/>
          <w:szCs w:val="24"/>
          <w:u w:val="single"/>
        </w:rPr>
        <w:t>OCA’s Position</w:t>
      </w:r>
    </w:p>
    <w:p w:rsidR="00DD5C65" w:rsidRDefault="00DD5C65" w:rsidP="00DD5C65">
      <w:pPr>
        <w:pStyle w:val="FootnoteText"/>
        <w:spacing w:line="360" w:lineRule="auto"/>
        <w:rPr>
          <w:sz w:val="24"/>
          <w:szCs w:val="24"/>
        </w:rPr>
      </w:pPr>
    </w:p>
    <w:p w:rsidR="005F09F4" w:rsidRDefault="008736E4" w:rsidP="00A921F0">
      <w:pPr>
        <w:widowControl w:val="0"/>
        <w:overflowPunct w:val="0"/>
        <w:autoSpaceDE w:val="0"/>
        <w:autoSpaceDN w:val="0"/>
        <w:adjustRightInd w:val="0"/>
        <w:spacing w:line="360" w:lineRule="auto"/>
        <w:ind w:firstLine="1440"/>
        <w:textAlignment w:val="baseline"/>
      </w:pPr>
      <w:proofErr w:type="spellStart"/>
      <w:r>
        <w:t>Plumer</w:t>
      </w:r>
      <w:proofErr w:type="spellEnd"/>
      <w:r w:rsidR="007225F7">
        <w:t xml:space="preserve">, I&amp;E and </w:t>
      </w:r>
      <w:r w:rsidR="00C37228">
        <w:t xml:space="preserve">the </w:t>
      </w:r>
      <w:r w:rsidR="007225F7">
        <w:t xml:space="preserve">OCA participated in two mediation sessions.  </w:t>
      </w:r>
      <w:r w:rsidR="007225F7" w:rsidRPr="00733A95">
        <w:t xml:space="preserve">Pursuant to the Commission’s policy of encouraging settlements that are in the public interest, the Joint Petitioners </w:t>
      </w:r>
      <w:r w:rsidR="007225F7">
        <w:t xml:space="preserve">also held a number of discussions to resolve the proceeding. </w:t>
      </w:r>
      <w:r w:rsidR="005F09F4">
        <w:t xml:space="preserve"> </w:t>
      </w:r>
      <w:r w:rsidR="007225F7">
        <w:t xml:space="preserve">The mediation sessions </w:t>
      </w:r>
    </w:p>
    <w:p w:rsidR="00A921F0" w:rsidRDefault="007225F7" w:rsidP="005F09F4">
      <w:pPr>
        <w:widowControl w:val="0"/>
        <w:overflowPunct w:val="0"/>
        <w:autoSpaceDE w:val="0"/>
        <w:autoSpaceDN w:val="0"/>
        <w:adjustRightInd w:val="0"/>
        <w:spacing w:line="360" w:lineRule="auto"/>
        <w:textAlignment w:val="baseline"/>
      </w:pPr>
      <w:proofErr w:type="gramStart"/>
      <w:r>
        <w:t>and</w:t>
      </w:r>
      <w:proofErr w:type="gramEnd"/>
      <w:r>
        <w:t xml:space="preserve"> </w:t>
      </w:r>
      <w:r w:rsidRPr="00733A95">
        <w:t xml:space="preserve">discussions resulted in this proposed comprehensive Settlement. </w:t>
      </w:r>
      <w:r w:rsidR="005F09F4">
        <w:t xml:space="preserve"> </w:t>
      </w:r>
      <w:r>
        <w:t xml:space="preserve">The </w:t>
      </w:r>
      <w:r w:rsidRPr="00733A95">
        <w:t>OCA submits that the proposed Settlement is in the interests of the Company’s ratepayers and is in the public interest.</w:t>
      </w:r>
      <w:r>
        <w:t xml:space="preserve">  OCA St. in Support, p. 3.</w:t>
      </w:r>
      <w:r w:rsidR="00A921F0">
        <w:t xml:space="preserve">  </w:t>
      </w:r>
    </w:p>
    <w:p w:rsidR="005A048B" w:rsidRDefault="005A048B" w:rsidP="005F09F4">
      <w:pPr>
        <w:widowControl w:val="0"/>
        <w:overflowPunct w:val="0"/>
        <w:autoSpaceDE w:val="0"/>
        <w:autoSpaceDN w:val="0"/>
        <w:adjustRightInd w:val="0"/>
        <w:spacing w:line="360" w:lineRule="auto"/>
        <w:textAlignment w:val="baseline"/>
      </w:pPr>
    </w:p>
    <w:p w:rsidR="00A921F0" w:rsidRDefault="00A921F0" w:rsidP="007225F7">
      <w:pPr>
        <w:widowControl w:val="0"/>
        <w:overflowPunct w:val="0"/>
        <w:autoSpaceDE w:val="0"/>
        <w:autoSpaceDN w:val="0"/>
        <w:adjustRightInd w:val="0"/>
        <w:spacing w:line="360" w:lineRule="auto"/>
        <w:ind w:firstLine="1440"/>
        <w:textAlignment w:val="baseline"/>
      </w:pPr>
      <w:r>
        <w:t>T</w:t>
      </w:r>
      <w:r w:rsidRPr="00733A95">
        <w:t>he OCA requests approv</w:t>
      </w:r>
      <w:r>
        <w:t>al</w:t>
      </w:r>
      <w:r w:rsidR="005F09F4">
        <w:t xml:space="preserve"> of</w:t>
      </w:r>
      <w:r w:rsidRPr="00733A95">
        <w:t xml:space="preserve"> the terms and conditions of the </w:t>
      </w:r>
      <w:r w:rsidRPr="00733A95">
        <w:rPr>
          <w:spacing w:val="-3"/>
        </w:rPr>
        <w:t>Settlement</w:t>
      </w:r>
      <w:r>
        <w:rPr>
          <w:spacing w:val="-3"/>
        </w:rPr>
        <w:t xml:space="preserve"> </w:t>
      </w:r>
      <w:r w:rsidRPr="00733A95">
        <w:rPr>
          <w:spacing w:val="-3"/>
        </w:rPr>
        <w:t xml:space="preserve">submitted in this proceeding </w:t>
      </w:r>
      <w:r w:rsidRPr="00733A95">
        <w:t>without modification as being in the public interest.</w:t>
      </w:r>
      <w:r>
        <w:t xml:space="preserve">  OCA St. in Support, p. </w:t>
      </w:r>
      <w:r w:rsidR="008736E4">
        <w:t>6</w:t>
      </w:r>
      <w:r>
        <w:t>.</w:t>
      </w:r>
    </w:p>
    <w:p w:rsidR="005F09F4" w:rsidRDefault="005F09F4" w:rsidP="007225F7">
      <w:pPr>
        <w:widowControl w:val="0"/>
        <w:overflowPunct w:val="0"/>
        <w:autoSpaceDE w:val="0"/>
        <w:autoSpaceDN w:val="0"/>
        <w:adjustRightInd w:val="0"/>
        <w:spacing w:line="360" w:lineRule="auto"/>
        <w:ind w:firstLine="1440"/>
        <w:textAlignment w:val="baseline"/>
      </w:pPr>
    </w:p>
    <w:p w:rsidR="00D6099B" w:rsidRDefault="00D6099B" w:rsidP="007225F7">
      <w:pPr>
        <w:widowControl w:val="0"/>
        <w:overflowPunct w:val="0"/>
        <w:autoSpaceDE w:val="0"/>
        <w:autoSpaceDN w:val="0"/>
        <w:adjustRightInd w:val="0"/>
        <w:spacing w:line="360" w:lineRule="auto"/>
        <w:ind w:firstLine="1440"/>
        <w:textAlignment w:val="baseline"/>
      </w:pPr>
    </w:p>
    <w:p w:rsidR="00D6099B" w:rsidRDefault="00D6099B" w:rsidP="007225F7">
      <w:pPr>
        <w:widowControl w:val="0"/>
        <w:overflowPunct w:val="0"/>
        <w:autoSpaceDE w:val="0"/>
        <w:autoSpaceDN w:val="0"/>
        <w:adjustRightInd w:val="0"/>
        <w:spacing w:line="360" w:lineRule="auto"/>
        <w:ind w:firstLine="1440"/>
        <w:textAlignment w:val="baseline"/>
      </w:pPr>
    </w:p>
    <w:p w:rsidR="007225F7" w:rsidRDefault="007225F7" w:rsidP="007225F7">
      <w:pPr>
        <w:widowControl w:val="0"/>
        <w:overflowPunct w:val="0"/>
        <w:autoSpaceDE w:val="0"/>
        <w:autoSpaceDN w:val="0"/>
        <w:adjustRightInd w:val="0"/>
        <w:spacing w:line="360" w:lineRule="auto"/>
        <w:textAlignment w:val="baseline"/>
      </w:pPr>
      <w:r>
        <w:lastRenderedPageBreak/>
        <w:tab/>
        <w:t>1.</w:t>
      </w:r>
      <w:r>
        <w:tab/>
      </w:r>
      <w:r>
        <w:rPr>
          <w:u w:val="single"/>
        </w:rPr>
        <w:t>Revenue Increase and Allocation</w:t>
      </w:r>
    </w:p>
    <w:p w:rsidR="007225F7" w:rsidRDefault="007225F7" w:rsidP="007225F7">
      <w:pPr>
        <w:widowControl w:val="0"/>
        <w:overflowPunct w:val="0"/>
        <w:autoSpaceDE w:val="0"/>
        <w:autoSpaceDN w:val="0"/>
        <w:adjustRightInd w:val="0"/>
        <w:spacing w:line="360" w:lineRule="auto"/>
        <w:textAlignment w:val="baseline"/>
      </w:pPr>
    </w:p>
    <w:p w:rsidR="008736E4" w:rsidRDefault="008736E4" w:rsidP="008736E4">
      <w:pPr>
        <w:widowControl w:val="0"/>
        <w:tabs>
          <w:tab w:val="left" w:pos="900"/>
        </w:tabs>
        <w:suppressAutoHyphens/>
        <w:overflowPunct w:val="0"/>
        <w:autoSpaceDE w:val="0"/>
        <w:autoSpaceDN w:val="0"/>
        <w:adjustRightInd w:val="0"/>
        <w:spacing w:line="360" w:lineRule="auto"/>
        <w:ind w:firstLine="1440"/>
        <w:textAlignment w:val="baseline"/>
      </w:pPr>
      <w:r>
        <w:t>According to the OCA, the proposed S</w:t>
      </w:r>
      <w:r w:rsidRPr="00E41245">
        <w:t>ettlement is designed to produce an increase in annual revenue of $</w:t>
      </w:r>
      <w:r>
        <w:t xml:space="preserve">11,409 in two phases.  In Phase I, </w:t>
      </w:r>
      <w:r w:rsidRPr="00E41245">
        <w:t xml:space="preserve">the Company will be permitted to increase its annual revenues by $8,500, or </w:t>
      </w:r>
      <w:r>
        <w:t>26</w:t>
      </w:r>
      <w:r w:rsidRPr="00012E8A">
        <w:t>%</w:t>
      </w:r>
      <w:r>
        <w:t>,</w:t>
      </w:r>
      <w:r w:rsidRPr="00E41245">
        <w:t xml:space="preserve"> to become effective on one day’s notice after entry of a Commission Order approving the Settlement</w:t>
      </w:r>
      <w:r>
        <w:t xml:space="preserve">. </w:t>
      </w:r>
      <w:r w:rsidR="00446D6B">
        <w:t xml:space="preserve"> </w:t>
      </w:r>
      <w:r>
        <w:t>Settlement ¶</w:t>
      </w:r>
      <w:proofErr w:type="gramStart"/>
      <w:r>
        <w:t>10</w:t>
      </w:r>
      <w:r w:rsidRPr="00E41245">
        <w:t>(</w:t>
      </w:r>
      <w:proofErr w:type="gramEnd"/>
      <w:r w:rsidRPr="00E41245">
        <w:t xml:space="preserve">a).  In </w:t>
      </w:r>
      <w:r>
        <w:t xml:space="preserve">Phase II, </w:t>
      </w:r>
      <w:r w:rsidRPr="00E41245">
        <w:t>the Company will be permitted to increase its annual revenues by $2,909,</w:t>
      </w:r>
      <w:r>
        <w:t xml:space="preserve"> or 7% over Phase I revenues, </w:t>
      </w:r>
      <w:r w:rsidRPr="00E41245">
        <w:t xml:space="preserve">which will become effective upon written confirmation from </w:t>
      </w:r>
      <w:proofErr w:type="spellStart"/>
      <w:r w:rsidRPr="00E41245">
        <w:t>Plumer</w:t>
      </w:r>
      <w:proofErr w:type="spellEnd"/>
      <w:r w:rsidRPr="00E41245">
        <w:t xml:space="preserve"> to the Commission, </w:t>
      </w:r>
      <w:r w:rsidR="00CB088A">
        <w:t xml:space="preserve">the </w:t>
      </w:r>
      <w:r w:rsidRPr="00E41245">
        <w:t xml:space="preserve">OCA and I&amp;E that all conditions contained in Settlement </w:t>
      </w:r>
      <w:r w:rsidR="00461B5F">
        <w:t>¶</w:t>
      </w:r>
      <w:proofErr w:type="gramStart"/>
      <w:r w:rsidR="00E62191">
        <w:t>10</w:t>
      </w:r>
      <w:r w:rsidRPr="00E41245">
        <w:t>(</w:t>
      </w:r>
      <w:proofErr w:type="gramEnd"/>
      <w:r w:rsidRPr="00E41245">
        <w:t xml:space="preserve">b) (related to the purchase, installation, and testing of an electric generator on the </w:t>
      </w:r>
      <w:proofErr w:type="spellStart"/>
      <w:r w:rsidRPr="00E41245">
        <w:t>Rouseville</w:t>
      </w:r>
      <w:proofErr w:type="spellEnd"/>
      <w:r w:rsidRPr="00E41245">
        <w:t xml:space="preserve"> system) have been met.  </w:t>
      </w:r>
      <w:r>
        <w:t>Although the two step phase</w:t>
      </w:r>
      <w:r w:rsidR="00CB088A">
        <w:t>-</w:t>
      </w:r>
      <w:r>
        <w:t xml:space="preserve">in equals </w:t>
      </w:r>
      <w:proofErr w:type="spellStart"/>
      <w:r w:rsidRPr="00E41245">
        <w:t>Plumer’s</w:t>
      </w:r>
      <w:proofErr w:type="spellEnd"/>
      <w:r w:rsidRPr="00E41245">
        <w:t xml:space="preserve"> original rate increase request, based on the OCA’s analysis of the Company’s filing, and discovery responses, the result would be within the range of likely outcomes in the event of full litigation of the case.  </w:t>
      </w:r>
      <w:r w:rsidR="00E62191">
        <w:t>The OCA concludes t</w:t>
      </w:r>
      <w:r w:rsidRPr="00E41245">
        <w:t>his increase is appropriate when accompanied by other important conditions contained in the Settlement and yields a result that is just and reasonable.</w:t>
      </w:r>
      <w:r>
        <w:t xml:space="preserve">  OCA St. in Support, p.</w:t>
      </w:r>
      <w:r w:rsidR="002C3C96">
        <w:t> </w:t>
      </w:r>
      <w:r>
        <w:t xml:space="preserve">3.  </w:t>
      </w:r>
    </w:p>
    <w:p w:rsidR="008736E4" w:rsidRDefault="008736E4" w:rsidP="008736E4">
      <w:pPr>
        <w:widowControl w:val="0"/>
        <w:tabs>
          <w:tab w:val="left" w:pos="900"/>
        </w:tabs>
        <w:suppressAutoHyphens/>
        <w:overflowPunct w:val="0"/>
        <w:autoSpaceDE w:val="0"/>
        <w:autoSpaceDN w:val="0"/>
        <w:adjustRightInd w:val="0"/>
        <w:spacing w:line="360" w:lineRule="auto"/>
        <w:ind w:firstLine="1440"/>
        <w:textAlignment w:val="baseline"/>
      </w:pPr>
    </w:p>
    <w:p w:rsidR="008736E4" w:rsidRDefault="008736E4" w:rsidP="008736E4">
      <w:pPr>
        <w:widowControl w:val="0"/>
        <w:tabs>
          <w:tab w:val="left" w:pos="900"/>
        </w:tabs>
        <w:suppressAutoHyphens/>
        <w:overflowPunct w:val="0"/>
        <w:autoSpaceDE w:val="0"/>
        <w:autoSpaceDN w:val="0"/>
        <w:adjustRightInd w:val="0"/>
        <w:spacing w:line="360" w:lineRule="auto"/>
        <w:ind w:firstLine="1440"/>
        <w:textAlignment w:val="baseline"/>
      </w:pPr>
      <w:r>
        <w:t>The Settlement proposes that the monthly customer charge will be set at $23 (Settlement, ¶</w:t>
      </w:r>
      <w:proofErr w:type="gramStart"/>
      <w:r w:rsidR="00E62191">
        <w:t>10</w:t>
      </w:r>
      <w:r>
        <w:t>(</w:t>
      </w:r>
      <w:proofErr w:type="gramEnd"/>
      <w:r>
        <w:t xml:space="preserve">a)), rather than $27.78 as originally proposed by </w:t>
      </w:r>
      <w:proofErr w:type="spellStart"/>
      <w:r>
        <w:t>Plumer</w:t>
      </w:r>
      <w:proofErr w:type="spellEnd"/>
      <w:r>
        <w:t xml:space="preserve">.  Under the proposed Settlement, </w:t>
      </w:r>
      <w:r w:rsidRPr="00F83E90">
        <w:t xml:space="preserve">the monthly cost of water service to </w:t>
      </w:r>
      <w:r>
        <w:t>a</w:t>
      </w:r>
      <w:r w:rsidRPr="00F83E90">
        <w:t xml:space="preserve"> residential customer </w:t>
      </w:r>
      <w:r>
        <w:t xml:space="preserve">using 2,000 gallons of water per month </w:t>
      </w:r>
      <w:r w:rsidRPr="00F83E90">
        <w:t xml:space="preserve">would increase by approximately $13.14, or 32.17%, from $40.84 to $53.98 over two phases.  Under Phase I, the monthly cost of water service to </w:t>
      </w:r>
      <w:r>
        <w:t>a</w:t>
      </w:r>
      <w:r w:rsidRPr="00F83E90">
        <w:t xml:space="preserve"> residential customer </w:t>
      </w:r>
      <w:r>
        <w:t xml:space="preserve">using 2,000 gallons per month </w:t>
      </w:r>
      <w:r w:rsidRPr="00F83E90">
        <w:t xml:space="preserve">would increase by approximately $9.94, or 24.34%, from $40.84 to $50.78.  Under Phase II, the monthly cost of water service to </w:t>
      </w:r>
      <w:r>
        <w:t>a</w:t>
      </w:r>
      <w:r w:rsidRPr="00F83E90">
        <w:t xml:space="preserve"> residential customer </w:t>
      </w:r>
      <w:r>
        <w:t xml:space="preserve">using 2,000 gallons of water </w:t>
      </w:r>
      <w:r w:rsidRPr="00F83E90">
        <w:t>would increase by approximately $3.20, or 6.30%, from $50.78 to $53.98.</w:t>
      </w:r>
      <w:r w:rsidR="00E62191">
        <w:t xml:space="preserve">  OCA St. in Support, pp. 3-4.</w:t>
      </w:r>
    </w:p>
    <w:p w:rsidR="00E62191" w:rsidRDefault="00E62191" w:rsidP="00E62191">
      <w:pPr>
        <w:widowControl w:val="0"/>
        <w:tabs>
          <w:tab w:val="left" w:pos="900"/>
        </w:tabs>
        <w:suppressAutoHyphens/>
        <w:overflowPunct w:val="0"/>
        <w:autoSpaceDE w:val="0"/>
        <w:autoSpaceDN w:val="0"/>
        <w:adjustRightInd w:val="0"/>
        <w:spacing w:line="360" w:lineRule="auto"/>
        <w:textAlignment w:val="baseline"/>
      </w:pPr>
    </w:p>
    <w:p w:rsidR="00E62191" w:rsidRDefault="00E62191" w:rsidP="00E62191">
      <w:pPr>
        <w:widowControl w:val="0"/>
        <w:tabs>
          <w:tab w:val="left" w:pos="900"/>
        </w:tabs>
        <w:suppressAutoHyphens/>
        <w:overflowPunct w:val="0"/>
        <w:autoSpaceDE w:val="0"/>
        <w:autoSpaceDN w:val="0"/>
        <w:adjustRightInd w:val="0"/>
        <w:spacing w:line="360" w:lineRule="auto"/>
        <w:textAlignment w:val="baseline"/>
      </w:pPr>
      <w:r>
        <w:t xml:space="preserve">            2.</w:t>
      </w:r>
      <w:r>
        <w:tab/>
      </w:r>
      <w:r>
        <w:rPr>
          <w:u w:val="single"/>
        </w:rPr>
        <w:t>Electric Generator</w:t>
      </w:r>
    </w:p>
    <w:p w:rsidR="00E62191" w:rsidRDefault="00E62191" w:rsidP="00E62191">
      <w:pPr>
        <w:widowControl w:val="0"/>
        <w:tabs>
          <w:tab w:val="left" w:pos="900"/>
        </w:tabs>
        <w:suppressAutoHyphens/>
        <w:overflowPunct w:val="0"/>
        <w:autoSpaceDE w:val="0"/>
        <w:autoSpaceDN w:val="0"/>
        <w:adjustRightInd w:val="0"/>
        <w:spacing w:line="360" w:lineRule="auto"/>
        <w:textAlignment w:val="baseline"/>
      </w:pPr>
    </w:p>
    <w:p w:rsidR="00E62191" w:rsidRPr="00E41245" w:rsidRDefault="00E62191" w:rsidP="00E62191">
      <w:pPr>
        <w:widowControl w:val="0"/>
        <w:tabs>
          <w:tab w:val="left" w:pos="900"/>
        </w:tabs>
        <w:suppressAutoHyphens/>
        <w:overflowPunct w:val="0"/>
        <w:autoSpaceDE w:val="0"/>
        <w:autoSpaceDN w:val="0"/>
        <w:adjustRightInd w:val="0"/>
        <w:spacing w:line="360" w:lineRule="auto"/>
        <w:ind w:firstLine="1440"/>
        <w:textAlignment w:val="baseline"/>
      </w:pPr>
      <w:r>
        <w:t xml:space="preserve">The proposed Settlement requires </w:t>
      </w:r>
      <w:proofErr w:type="spellStart"/>
      <w:r>
        <w:t>Plumer</w:t>
      </w:r>
      <w:proofErr w:type="spellEnd"/>
      <w:r>
        <w:t xml:space="preserve"> to purchase a back-up electric generator for installation by the Borough of </w:t>
      </w:r>
      <w:proofErr w:type="spellStart"/>
      <w:r>
        <w:t>Rouseville</w:t>
      </w:r>
      <w:proofErr w:type="spellEnd"/>
      <w:r>
        <w:t xml:space="preserve"> on the Borough’s water system.  Settlement ¶</w:t>
      </w:r>
      <w:proofErr w:type="gramStart"/>
      <w:r>
        <w:t>10(</w:t>
      </w:r>
      <w:proofErr w:type="gramEnd"/>
      <w:r>
        <w:t xml:space="preserve">b).  </w:t>
      </w:r>
      <w:proofErr w:type="spellStart"/>
      <w:r>
        <w:t>Plumer</w:t>
      </w:r>
      <w:proofErr w:type="spellEnd"/>
      <w:r>
        <w:t xml:space="preserve"> purchases all of its water supply from the Borough.  </w:t>
      </w:r>
      <w:r w:rsidRPr="00E41245">
        <w:rPr>
          <w:u w:val="single"/>
        </w:rPr>
        <w:t>Id.</w:t>
      </w:r>
      <w:r w:rsidRPr="00E41245">
        <w:t xml:space="preserve">  </w:t>
      </w:r>
      <w:r>
        <w:t xml:space="preserve">When there is an electric outage </w:t>
      </w:r>
      <w:r>
        <w:lastRenderedPageBreak/>
        <w:t xml:space="preserve">on the </w:t>
      </w:r>
      <w:proofErr w:type="spellStart"/>
      <w:r>
        <w:t>Rouseville</w:t>
      </w:r>
      <w:proofErr w:type="spellEnd"/>
      <w:r>
        <w:t xml:space="preserve"> system, customers on </w:t>
      </w:r>
      <w:proofErr w:type="spellStart"/>
      <w:r>
        <w:t>Plumer’s</w:t>
      </w:r>
      <w:proofErr w:type="spellEnd"/>
      <w:r>
        <w:t xml:space="preserve"> system experience water outages as well.  The back-up generator should enable water service to continue to </w:t>
      </w:r>
      <w:proofErr w:type="spellStart"/>
      <w:r>
        <w:t>Plumer’s</w:t>
      </w:r>
      <w:proofErr w:type="spellEnd"/>
      <w:r>
        <w:t xml:space="preserve"> customers in the event of future electric outages on the </w:t>
      </w:r>
      <w:proofErr w:type="spellStart"/>
      <w:r>
        <w:t>Rouseville</w:t>
      </w:r>
      <w:proofErr w:type="spellEnd"/>
      <w:r>
        <w:t xml:space="preserve"> system.  This will provide a benefit to </w:t>
      </w:r>
      <w:proofErr w:type="spellStart"/>
      <w:r>
        <w:t>Plumer</w:t>
      </w:r>
      <w:r w:rsidR="00BA702C">
        <w:t>’s</w:t>
      </w:r>
      <w:proofErr w:type="spellEnd"/>
      <w:r>
        <w:t xml:space="preserve"> customers.  Requiring the generator to be purchased, installed and tested before the second phase of the increase takes effect provides some assurance that the conditions in this section will be met.  OCA St. in Support, p. 4.</w:t>
      </w:r>
    </w:p>
    <w:p w:rsidR="00534F3A" w:rsidRDefault="00534F3A" w:rsidP="001B5799">
      <w:pPr>
        <w:widowControl w:val="0"/>
        <w:tabs>
          <w:tab w:val="left" w:pos="720"/>
        </w:tabs>
        <w:suppressAutoHyphens/>
        <w:overflowPunct w:val="0"/>
        <w:autoSpaceDE w:val="0"/>
        <w:autoSpaceDN w:val="0"/>
        <w:adjustRightInd w:val="0"/>
        <w:spacing w:line="360" w:lineRule="auto"/>
        <w:textAlignment w:val="baseline"/>
        <w:rPr>
          <w:rFonts w:eastAsia="Calibri"/>
        </w:rPr>
      </w:pPr>
      <w:r>
        <w:tab/>
      </w:r>
    </w:p>
    <w:p w:rsidR="00534F3A" w:rsidRDefault="00534F3A" w:rsidP="00534F3A">
      <w:pPr>
        <w:tabs>
          <w:tab w:val="left" w:pos="720"/>
          <w:tab w:val="left" w:pos="810"/>
          <w:tab w:val="left" w:pos="900"/>
        </w:tabs>
        <w:spacing w:line="360" w:lineRule="auto"/>
        <w:contextualSpacing/>
        <w:rPr>
          <w:rFonts w:eastAsia="Calibri"/>
        </w:rPr>
      </w:pPr>
      <w:r>
        <w:rPr>
          <w:rFonts w:eastAsia="Calibri"/>
        </w:rPr>
        <w:tab/>
      </w:r>
      <w:r w:rsidR="00E62191">
        <w:rPr>
          <w:rFonts w:eastAsia="Calibri"/>
        </w:rPr>
        <w:t>3</w:t>
      </w:r>
      <w:r>
        <w:rPr>
          <w:rFonts w:eastAsia="Calibri"/>
        </w:rPr>
        <w:t>.</w:t>
      </w:r>
      <w:r>
        <w:rPr>
          <w:rFonts w:eastAsia="Calibri"/>
        </w:rPr>
        <w:tab/>
      </w:r>
      <w:r>
        <w:rPr>
          <w:rFonts w:eastAsia="Calibri"/>
          <w:u w:val="single"/>
        </w:rPr>
        <w:t>Affiliated Interest Agreement</w:t>
      </w:r>
    </w:p>
    <w:p w:rsidR="00534F3A" w:rsidRDefault="00534F3A" w:rsidP="00534F3A">
      <w:pPr>
        <w:tabs>
          <w:tab w:val="left" w:pos="720"/>
          <w:tab w:val="left" w:pos="810"/>
          <w:tab w:val="left" w:pos="900"/>
        </w:tabs>
        <w:spacing w:line="360" w:lineRule="auto"/>
        <w:contextualSpacing/>
        <w:rPr>
          <w:rFonts w:eastAsia="Calibri"/>
        </w:rPr>
      </w:pPr>
    </w:p>
    <w:p w:rsidR="002F209F" w:rsidRDefault="00534F3A" w:rsidP="00A921F0">
      <w:pPr>
        <w:widowControl w:val="0"/>
        <w:tabs>
          <w:tab w:val="left" w:pos="900"/>
        </w:tabs>
        <w:suppressAutoHyphens/>
        <w:overflowPunct w:val="0"/>
        <w:autoSpaceDE w:val="0"/>
        <w:autoSpaceDN w:val="0"/>
        <w:adjustRightInd w:val="0"/>
        <w:spacing w:line="360" w:lineRule="auto"/>
        <w:ind w:firstLine="1440"/>
        <w:textAlignment w:val="baseline"/>
      </w:pPr>
      <w:r w:rsidRPr="00733A95">
        <w:t xml:space="preserve">The </w:t>
      </w:r>
      <w:r w:rsidR="00A921F0">
        <w:t>Settlement</w:t>
      </w:r>
      <w:r w:rsidRPr="00733A95">
        <w:t xml:space="preserve"> requires the Company to file a </w:t>
      </w:r>
      <w:r>
        <w:t>revised Schedule I as an amendment to its</w:t>
      </w:r>
      <w:r w:rsidRPr="00733A95">
        <w:t xml:space="preserve"> AIA pursuant to Chapter 21 of the Public Utility Code.  </w:t>
      </w:r>
      <w:proofErr w:type="gramStart"/>
      <w:r>
        <w:t>Settlement ¶</w:t>
      </w:r>
      <w:r w:rsidR="00E62191">
        <w:t>10(c)</w:t>
      </w:r>
      <w:r>
        <w:t>.</w:t>
      </w:r>
      <w:proofErr w:type="gramEnd"/>
      <w:r>
        <w:t xml:space="preserve">  </w:t>
      </w:r>
    </w:p>
    <w:p w:rsidR="007225F7" w:rsidRDefault="00E62191" w:rsidP="002F209F">
      <w:pPr>
        <w:widowControl w:val="0"/>
        <w:tabs>
          <w:tab w:val="left" w:pos="900"/>
        </w:tabs>
        <w:suppressAutoHyphens/>
        <w:overflowPunct w:val="0"/>
        <w:autoSpaceDE w:val="0"/>
        <w:autoSpaceDN w:val="0"/>
        <w:adjustRightInd w:val="0"/>
        <w:spacing w:line="360" w:lineRule="auto"/>
        <w:textAlignment w:val="baseline"/>
        <w:rPr>
          <w:rFonts w:eastAsia="Calibri"/>
        </w:rPr>
      </w:pPr>
      <w:proofErr w:type="spellStart"/>
      <w:r>
        <w:t>Plumer</w:t>
      </w:r>
      <w:proofErr w:type="spellEnd"/>
      <w:r w:rsidR="00534F3A">
        <w:t xml:space="preserve"> must file the revised schedule within </w:t>
      </w:r>
      <w:r w:rsidR="006E0C1C">
        <w:t>thirty (</w:t>
      </w:r>
      <w:r w:rsidR="00534F3A">
        <w:t>30</w:t>
      </w:r>
      <w:r w:rsidR="006E0C1C">
        <w:t>)</w:t>
      </w:r>
      <w:r w:rsidR="00534F3A">
        <w:t xml:space="preserve"> days of the issuance of a final order in this proceeding.  </w:t>
      </w:r>
      <w:r w:rsidR="00534F3A" w:rsidRPr="0070712E">
        <w:rPr>
          <w:u w:val="single"/>
        </w:rPr>
        <w:t>Id.</w:t>
      </w:r>
      <w:r w:rsidR="00534F3A">
        <w:t xml:space="preserve">  </w:t>
      </w:r>
      <w:r w:rsidR="00534F3A" w:rsidRPr="00733A95">
        <w:t xml:space="preserve">Based on </w:t>
      </w:r>
      <w:r w:rsidR="00A921F0">
        <w:t xml:space="preserve">the </w:t>
      </w:r>
      <w:r w:rsidR="00534F3A" w:rsidRPr="00733A95">
        <w:t xml:space="preserve">OCA’s analysis of the Company’s filing, and discovery responses, </w:t>
      </w:r>
      <w:r w:rsidR="00CB088A">
        <w:t xml:space="preserve">the </w:t>
      </w:r>
      <w:r w:rsidR="00A921F0">
        <w:t xml:space="preserve">OCA opines that </w:t>
      </w:r>
      <w:r w:rsidR="00534F3A">
        <w:t>the proposed Revised Schedule I should assist parties in future cases</w:t>
      </w:r>
      <w:r w:rsidR="00534F3A" w:rsidRPr="00733A95">
        <w:t xml:space="preserve"> to develop a more accurate expense allocation </w:t>
      </w:r>
      <w:r w:rsidR="00534F3A">
        <w:t xml:space="preserve">which </w:t>
      </w:r>
      <w:r w:rsidR="00534F3A" w:rsidRPr="00733A95">
        <w:t>will help to ensure that ratepayers only bear expenses incurred by the regulated companies.</w:t>
      </w:r>
      <w:r w:rsidR="00A921F0">
        <w:t xml:space="preserve">  </w:t>
      </w:r>
      <w:r w:rsidR="00A921F0">
        <w:rPr>
          <w:rFonts w:eastAsia="Calibri"/>
        </w:rPr>
        <w:t xml:space="preserve">OCA St. in Support, p. </w:t>
      </w:r>
      <w:r>
        <w:rPr>
          <w:rFonts w:eastAsia="Calibri"/>
        </w:rPr>
        <w:t>5</w:t>
      </w:r>
      <w:r w:rsidR="00A921F0">
        <w:rPr>
          <w:rFonts w:eastAsia="Calibri"/>
        </w:rPr>
        <w:t>.</w:t>
      </w:r>
    </w:p>
    <w:p w:rsidR="001B5799" w:rsidRDefault="001B5799" w:rsidP="00A921F0">
      <w:pPr>
        <w:widowControl w:val="0"/>
        <w:tabs>
          <w:tab w:val="left" w:pos="900"/>
        </w:tabs>
        <w:suppressAutoHyphens/>
        <w:overflowPunct w:val="0"/>
        <w:autoSpaceDE w:val="0"/>
        <w:autoSpaceDN w:val="0"/>
        <w:adjustRightInd w:val="0"/>
        <w:spacing w:line="360" w:lineRule="auto"/>
        <w:ind w:firstLine="1440"/>
        <w:textAlignment w:val="baseline"/>
        <w:rPr>
          <w:rFonts w:eastAsia="Calibri"/>
        </w:rPr>
      </w:pPr>
    </w:p>
    <w:p w:rsidR="001B5799" w:rsidRDefault="00AA2C0B" w:rsidP="001B5799">
      <w:pPr>
        <w:widowControl w:val="0"/>
        <w:tabs>
          <w:tab w:val="left" w:pos="720"/>
        </w:tabs>
        <w:suppressAutoHyphens/>
        <w:overflowPunct w:val="0"/>
        <w:autoSpaceDE w:val="0"/>
        <w:autoSpaceDN w:val="0"/>
        <w:adjustRightInd w:val="0"/>
        <w:spacing w:line="360" w:lineRule="auto"/>
        <w:textAlignment w:val="baseline"/>
      </w:pPr>
      <w:r>
        <w:tab/>
        <w:t>4</w:t>
      </w:r>
      <w:r w:rsidR="001B5799">
        <w:t>.</w:t>
      </w:r>
      <w:r w:rsidR="001B5799">
        <w:tab/>
      </w:r>
      <w:r w:rsidR="001B5799">
        <w:rPr>
          <w:u w:val="single"/>
        </w:rPr>
        <w:t>Stay-Out Provision</w:t>
      </w:r>
    </w:p>
    <w:p w:rsidR="001B5799" w:rsidRDefault="001B5799" w:rsidP="001B5799">
      <w:pPr>
        <w:widowControl w:val="0"/>
        <w:tabs>
          <w:tab w:val="left" w:pos="900"/>
        </w:tabs>
        <w:suppressAutoHyphens/>
        <w:overflowPunct w:val="0"/>
        <w:autoSpaceDE w:val="0"/>
        <w:autoSpaceDN w:val="0"/>
        <w:adjustRightInd w:val="0"/>
        <w:spacing w:line="360" w:lineRule="auto"/>
        <w:textAlignment w:val="baseline"/>
      </w:pPr>
    </w:p>
    <w:p w:rsidR="001B5799" w:rsidRDefault="001B5799" w:rsidP="001B5799">
      <w:pPr>
        <w:tabs>
          <w:tab w:val="left" w:pos="720"/>
          <w:tab w:val="left" w:pos="810"/>
          <w:tab w:val="left" w:pos="900"/>
        </w:tabs>
        <w:spacing w:line="360" w:lineRule="auto"/>
        <w:ind w:firstLine="1440"/>
        <w:contextualSpacing/>
        <w:rPr>
          <w:rFonts w:eastAsia="Calibri"/>
        </w:rPr>
      </w:pPr>
      <w:r w:rsidRPr="00733A95">
        <w:t xml:space="preserve">The </w:t>
      </w:r>
      <w:r>
        <w:t>Settlement</w:t>
      </w:r>
      <w:r w:rsidRPr="00733A95">
        <w:t xml:space="preserve"> bars the Company from filing a general rate increase, as that term is defined in Section 1308(d) of the Public Utility Code, 66 </w:t>
      </w:r>
      <w:proofErr w:type="spellStart"/>
      <w:r w:rsidRPr="00733A95">
        <w:t>Pa.C.S</w:t>
      </w:r>
      <w:proofErr w:type="spellEnd"/>
      <w:r w:rsidRPr="00733A95">
        <w:t>. § 1308(d), prior to eighteen (18) months after the entry date of the Commission’s Order approving this Joint Petition for Settlement.</w:t>
      </w:r>
      <w:r w:rsidRPr="00733A95">
        <w:rPr>
          <w:rFonts w:eastAsia="Calibri"/>
        </w:rPr>
        <w:t xml:space="preserve">  Settlement ¶</w:t>
      </w:r>
      <w:proofErr w:type="gramStart"/>
      <w:r w:rsidR="00E4402B">
        <w:rPr>
          <w:rFonts w:eastAsia="Calibri"/>
        </w:rPr>
        <w:t>10(</w:t>
      </w:r>
      <w:proofErr w:type="gramEnd"/>
      <w:r w:rsidR="00E4402B">
        <w:rPr>
          <w:rFonts w:eastAsia="Calibri"/>
        </w:rPr>
        <w:t>d</w:t>
      </w:r>
      <w:r w:rsidRPr="00733A95">
        <w:rPr>
          <w:rFonts w:eastAsia="Calibri"/>
        </w:rPr>
        <w:t xml:space="preserve">).  </w:t>
      </w:r>
      <w:r>
        <w:rPr>
          <w:rFonts w:eastAsia="Calibri"/>
        </w:rPr>
        <w:t>The OCA contends that t</w:t>
      </w:r>
      <w:r w:rsidRPr="00733A95">
        <w:rPr>
          <w:rFonts w:eastAsia="Calibri"/>
        </w:rPr>
        <w:t xml:space="preserve">he proposed stay-out provision should prevent another rate increase before </w:t>
      </w:r>
      <w:r>
        <w:rPr>
          <w:rFonts w:eastAsia="Calibri"/>
        </w:rPr>
        <w:t xml:space="preserve">July </w:t>
      </w:r>
      <w:r w:rsidRPr="00733A95">
        <w:rPr>
          <w:rFonts w:eastAsia="Calibri"/>
        </w:rPr>
        <w:t>201</w:t>
      </w:r>
      <w:r>
        <w:rPr>
          <w:rFonts w:eastAsia="Calibri"/>
        </w:rPr>
        <w:t>7</w:t>
      </w:r>
      <w:r w:rsidRPr="00733A95">
        <w:rPr>
          <w:rFonts w:eastAsia="Calibri"/>
        </w:rPr>
        <w:t xml:space="preserve">, assuming the Company files as soon as the stay-out expires and assuming the next case is fully litigated. </w:t>
      </w:r>
      <w:r w:rsidR="00A9744A">
        <w:rPr>
          <w:rFonts w:eastAsia="Calibri"/>
        </w:rPr>
        <w:t xml:space="preserve"> </w:t>
      </w:r>
      <w:r w:rsidRPr="00733A95">
        <w:rPr>
          <w:rFonts w:eastAsia="Calibri"/>
        </w:rPr>
        <w:t xml:space="preserve">Thus, </w:t>
      </w:r>
      <w:r>
        <w:rPr>
          <w:rFonts w:eastAsia="Calibri"/>
        </w:rPr>
        <w:t xml:space="preserve">the OCA concludes that </w:t>
      </w:r>
      <w:r w:rsidRPr="00733A95">
        <w:rPr>
          <w:rFonts w:eastAsia="Calibri"/>
        </w:rPr>
        <w:t>the Company’s ratepayers will be assured of some level of rate stability</w:t>
      </w:r>
      <w:r>
        <w:rPr>
          <w:rFonts w:eastAsia="Calibri"/>
        </w:rPr>
        <w:t xml:space="preserve"> by the stay-out provision.  OCA St. in Support, pp. </w:t>
      </w:r>
      <w:r w:rsidR="00E4402B">
        <w:rPr>
          <w:rFonts w:eastAsia="Calibri"/>
        </w:rPr>
        <w:t>4-5</w:t>
      </w:r>
      <w:r>
        <w:rPr>
          <w:rFonts w:eastAsia="Calibri"/>
        </w:rPr>
        <w:t>.</w:t>
      </w:r>
    </w:p>
    <w:p w:rsidR="001B5799" w:rsidRDefault="001B5799" w:rsidP="00A921F0">
      <w:pPr>
        <w:widowControl w:val="0"/>
        <w:tabs>
          <w:tab w:val="left" w:pos="900"/>
        </w:tabs>
        <w:suppressAutoHyphens/>
        <w:overflowPunct w:val="0"/>
        <w:autoSpaceDE w:val="0"/>
        <w:autoSpaceDN w:val="0"/>
        <w:adjustRightInd w:val="0"/>
        <w:spacing w:line="360" w:lineRule="auto"/>
        <w:ind w:firstLine="1440"/>
        <w:textAlignment w:val="baseline"/>
      </w:pPr>
    </w:p>
    <w:p w:rsidR="00C61E22" w:rsidRDefault="00C61E22" w:rsidP="00A921F0">
      <w:pPr>
        <w:widowControl w:val="0"/>
        <w:tabs>
          <w:tab w:val="left" w:pos="900"/>
        </w:tabs>
        <w:suppressAutoHyphens/>
        <w:overflowPunct w:val="0"/>
        <w:autoSpaceDE w:val="0"/>
        <w:autoSpaceDN w:val="0"/>
        <w:adjustRightInd w:val="0"/>
        <w:spacing w:line="360" w:lineRule="auto"/>
        <w:ind w:firstLine="1440"/>
        <w:textAlignment w:val="baseline"/>
      </w:pPr>
    </w:p>
    <w:p w:rsidR="00C61E22" w:rsidRDefault="00C61E22" w:rsidP="00A921F0">
      <w:pPr>
        <w:widowControl w:val="0"/>
        <w:tabs>
          <w:tab w:val="left" w:pos="900"/>
        </w:tabs>
        <w:suppressAutoHyphens/>
        <w:overflowPunct w:val="0"/>
        <w:autoSpaceDE w:val="0"/>
        <w:autoSpaceDN w:val="0"/>
        <w:adjustRightInd w:val="0"/>
        <w:spacing w:line="360" w:lineRule="auto"/>
        <w:ind w:firstLine="1440"/>
        <w:textAlignment w:val="baseline"/>
      </w:pPr>
    </w:p>
    <w:p w:rsidR="00C61E22" w:rsidRPr="007225F7" w:rsidRDefault="00C61E22" w:rsidP="00A921F0">
      <w:pPr>
        <w:widowControl w:val="0"/>
        <w:tabs>
          <w:tab w:val="left" w:pos="900"/>
        </w:tabs>
        <w:suppressAutoHyphens/>
        <w:overflowPunct w:val="0"/>
        <w:autoSpaceDE w:val="0"/>
        <w:autoSpaceDN w:val="0"/>
        <w:adjustRightInd w:val="0"/>
        <w:spacing w:line="360" w:lineRule="auto"/>
        <w:ind w:firstLine="1440"/>
        <w:textAlignment w:val="baseline"/>
      </w:pPr>
    </w:p>
    <w:p w:rsidR="005A0D31" w:rsidRPr="009C6D70" w:rsidRDefault="00CD218D" w:rsidP="005A0D31">
      <w:pPr>
        <w:spacing w:line="360" w:lineRule="auto"/>
        <w:rPr>
          <w:u w:val="single"/>
        </w:rPr>
      </w:pPr>
      <w:r>
        <w:lastRenderedPageBreak/>
        <w:t>D</w:t>
      </w:r>
      <w:r w:rsidR="005A0D31" w:rsidRPr="009C6D70">
        <w:t>.</w:t>
      </w:r>
      <w:r w:rsidR="005A0D31" w:rsidRPr="009C6D70">
        <w:tab/>
      </w:r>
      <w:r w:rsidR="005A0D31" w:rsidRPr="009C6D70">
        <w:rPr>
          <w:u w:val="single"/>
        </w:rPr>
        <w:t>Recommendation</w:t>
      </w:r>
    </w:p>
    <w:p w:rsidR="005A0D31" w:rsidRPr="009C6D70" w:rsidRDefault="005A0D31" w:rsidP="005A0D31">
      <w:pPr>
        <w:spacing w:line="360" w:lineRule="auto"/>
      </w:pPr>
    </w:p>
    <w:p w:rsidR="00C33454" w:rsidRDefault="005A0D31" w:rsidP="005A0D31">
      <w:pPr>
        <w:tabs>
          <w:tab w:val="left" w:pos="0"/>
        </w:tabs>
        <w:spacing w:line="360" w:lineRule="auto"/>
      </w:pPr>
      <w:r w:rsidRPr="009C6D70">
        <w:tab/>
      </w:r>
      <w:r w:rsidRPr="009C6D70">
        <w:tab/>
      </w:r>
      <w:r w:rsidR="00C33454" w:rsidRPr="00405136">
        <w:t>“The prime determinant in the consideration of a proposed Settlement is whether or not it is in the public interest.”</w:t>
      </w:r>
      <w:r w:rsidR="00C33454">
        <w:t xml:space="preserve">  </w:t>
      </w:r>
      <w:r w:rsidR="00C33454" w:rsidRPr="001374AB">
        <w:rPr>
          <w:i/>
        </w:rPr>
        <w:t>P</w:t>
      </w:r>
      <w:r w:rsidR="00617B3D">
        <w:rPr>
          <w:i/>
        </w:rPr>
        <w:t>a.</w:t>
      </w:r>
      <w:r w:rsidR="00C33454" w:rsidRPr="001374AB">
        <w:rPr>
          <w:i/>
        </w:rPr>
        <w:t xml:space="preserve"> Pub</w:t>
      </w:r>
      <w:r w:rsidR="00617B3D">
        <w:rPr>
          <w:i/>
        </w:rPr>
        <w:t>.</w:t>
      </w:r>
      <w:r w:rsidR="00C33454" w:rsidRPr="001374AB">
        <w:rPr>
          <w:i/>
        </w:rPr>
        <w:t xml:space="preserve"> </w:t>
      </w:r>
      <w:proofErr w:type="gramStart"/>
      <w:r w:rsidR="00C33454" w:rsidRPr="001374AB">
        <w:rPr>
          <w:i/>
        </w:rPr>
        <w:t>Util</w:t>
      </w:r>
      <w:r w:rsidR="00617B3D">
        <w:rPr>
          <w:i/>
        </w:rPr>
        <w:t>.</w:t>
      </w:r>
      <w:r w:rsidR="00C33454" w:rsidRPr="001374AB">
        <w:rPr>
          <w:i/>
        </w:rPr>
        <w:t xml:space="preserve"> </w:t>
      </w:r>
      <w:proofErr w:type="spellStart"/>
      <w:r w:rsidR="00C33454" w:rsidRPr="001374AB">
        <w:rPr>
          <w:i/>
        </w:rPr>
        <w:t>Comm</w:t>
      </w:r>
      <w:r w:rsidR="00617B3D">
        <w:rPr>
          <w:i/>
        </w:rPr>
        <w:t>’n</w:t>
      </w:r>
      <w:proofErr w:type="spellEnd"/>
      <w:r w:rsidR="00C33454" w:rsidRPr="001374AB">
        <w:rPr>
          <w:i/>
        </w:rPr>
        <w:t xml:space="preserve"> v. Philadelphia Electric Company</w:t>
      </w:r>
      <w:r w:rsidR="00C33454" w:rsidRPr="001374AB">
        <w:t>, 60 P</w:t>
      </w:r>
      <w:r w:rsidR="00617B3D">
        <w:t>a.</w:t>
      </w:r>
      <w:r w:rsidR="00C33454" w:rsidRPr="001374AB">
        <w:t xml:space="preserve"> PUC 1, 22 (1985).</w:t>
      </w:r>
      <w:proofErr w:type="gramEnd"/>
      <w:r w:rsidR="00C33454" w:rsidRPr="00405136">
        <w:t xml:space="preserve">  The Commission has recognized that a settlement “reflects a compromise of the positions held by the parties of interest, which, arguably fosters and promotes the public interest.”</w:t>
      </w:r>
      <w:r w:rsidR="00C33454">
        <w:t xml:space="preserve">  </w:t>
      </w:r>
      <w:r w:rsidR="00C33454" w:rsidRPr="001374AB">
        <w:rPr>
          <w:i/>
        </w:rPr>
        <w:t>P</w:t>
      </w:r>
      <w:r w:rsidR="00617B3D">
        <w:rPr>
          <w:i/>
        </w:rPr>
        <w:t>a.</w:t>
      </w:r>
      <w:r w:rsidR="00C33454" w:rsidRPr="001374AB">
        <w:rPr>
          <w:i/>
        </w:rPr>
        <w:t xml:space="preserve"> Pub</w:t>
      </w:r>
      <w:r w:rsidR="00617B3D">
        <w:rPr>
          <w:i/>
        </w:rPr>
        <w:t>.</w:t>
      </w:r>
      <w:r w:rsidR="00C33454" w:rsidRPr="001374AB">
        <w:rPr>
          <w:i/>
        </w:rPr>
        <w:t xml:space="preserve"> </w:t>
      </w:r>
      <w:proofErr w:type="gramStart"/>
      <w:r w:rsidR="00C33454" w:rsidRPr="001374AB">
        <w:rPr>
          <w:i/>
        </w:rPr>
        <w:t>Util</w:t>
      </w:r>
      <w:r w:rsidR="00617B3D">
        <w:rPr>
          <w:i/>
        </w:rPr>
        <w:t>.</w:t>
      </w:r>
      <w:r w:rsidR="00C33454" w:rsidRPr="001374AB">
        <w:rPr>
          <w:i/>
        </w:rPr>
        <w:t xml:space="preserve"> </w:t>
      </w:r>
      <w:proofErr w:type="spellStart"/>
      <w:r w:rsidR="00C33454" w:rsidRPr="001374AB">
        <w:rPr>
          <w:i/>
        </w:rPr>
        <w:t>Comm</w:t>
      </w:r>
      <w:r w:rsidR="00617B3D">
        <w:rPr>
          <w:i/>
        </w:rPr>
        <w:t>’n</w:t>
      </w:r>
      <w:proofErr w:type="spellEnd"/>
      <w:r w:rsidR="00C33454" w:rsidRPr="001374AB">
        <w:rPr>
          <w:i/>
        </w:rPr>
        <w:t xml:space="preserve"> v. CS Water and Sewer Associates</w:t>
      </w:r>
      <w:r w:rsidR="00C33454" w:rsidRPr="001374AB">
        <w:t>, 74 P</w:t>
      </w:r>
      <w:r w:rsidR="00617B3D">
        <w:t>a.</w:t>
      </w:r>
      <w:r w:rsidR="00C33454" w:rsidRPr="001374AB">
        <w:t xml:space="preserve"> PUC 767, 771 (1991).</w:t>
      </w:r>
      <w:proofErr w:type="gramEnd"/>
      <w:r w:rsidR="00C33454">
        <w:t xml:space="preserve">  </w:t>
      </w:r>
    </w:p>
    <w:p w:rsidR="00847239" w:rsidRDefault="00847239" w:rsidP="005A0D31">
      <w:pPr>
        <w:tabs>
          <w:tab w:val="left" w:pos="0"/>
        </w:tabs>
        <w:spacing w:line="360" w:lineRule="auto"/>
      </w:pPr>
    </w:p>
    <w:p w:rsidR="00847239" w:rsidRDefault="00847239" w:rsidP="00847239">
      <w:pPr>
        <w:suppressAutoHyphens/>
        <w:spacing w:line="360" w:lineRule="auto"/>
        <w:ind w:firstLine="1440"/>
      </w:pPr>
      <w:r w:rsidRPr="00CA7856">
        <w:t>Th</w:t>
      </w:r>
      <w:r>
        <w:t xml:space="preserve">e Settlement in this case </w:t>
      </w:r>
      <w:r w:rsidR="00A921F0">
        <w:t>is a “b</w:t>
      </w:r>
      <w:r w:rsidR="00CA35A3">
        <w:t xml:space="preserve">lack </w:t>
      </w:r>
      <w:r w:rsidR="00A921F0">
        <w:t>b</w:t>
      </w:r>
      <w:r w:rsidRPr="00CA7856">
        <w:t xml:space="preserve">ox” settlement.  As such, unless otherwise indicated or described </w:t>
      </w:r>
      <w:r>
        <w:t>t</w:t>
      </w:r>
      <w:r w:rsidRPr="00CA7856">
        <w:t xml:space="preserve">herein, the Joint Petitioners have not agreed upon specific adjustments that support their respective positions in this matter.  However, the </w:t>
      </w:r>
      <w:r>
        <w:t xml:space="preserve">Company, I&amp;E and the OCA </w:t>
      </w:r>
      <w:r w:rsidRPr="00CA7856">
        <w:t xml:space="preserve">all agree to and request approval of the rates proposed in the Settlement as establishing just and reasonable rates for </w:t>
      </w:r>
      <w:r w:rsidR="0009360C">
        <w:t>water</w:t>
      </w:r>
      <w:r w:rsidRPr="00CA7856">
        <w:t xml:space="preserve"> service provided by </w:t>
      </w:r>
      <w:proofErr w:type="spellStart"/>
      <w:r w:rsidR="000A5AC5">
        <w:t>Plumer</w:t>
      </w:r>
      <w:proofErr w:type="spellEnd"/>
      <w:r w:rsidRPr="00CA7856">
        <w:t xml:space="preserve"> to its customers.</w:t>
      </w:r>
    </w:p>
    <w:p w:rsidR="00524AB0" w:rsidRDefault="00524AB0" w:rsidP="00847239">
      <w:pPr>
        <w:suppressAutoHyphens/>
        <w:spacing w:line="360" w:lineRule="auto"/>
        <w:ind w:firstLine="1440"/>
      </w:pPr>
    </w:p>
    <w:p w:rsidR="00CA35A3" w:rsidRDefault="00CA35A3" w:rsidP="00847239">
      <w:pPr>
        <w:suppressAutoHyphens/>
        <w:spacing w:line="360" w:lineRule="auto"/>
        <w:ind w:firstLine="1440"/>
        <w:rPr>
          <w:spacing w:val="-3"/>
        </w:rPr>
      </w:pPr>
      <w:r>
        <w:rPr>
          <w:spacing w:val="-3"/>
        </w:rPr>
        <w:t>As explained above, a</w:t>
      </w:r>
      <w:r w:rsidR="00A921F0">
        <w:rPr>
          <w:spacing w:val="-3"/>
        </w:rPr>
        <w:t xml:space="preserve"> </w:t>
      </w:r>
      <w:r w:rsidR="004B2E8A">
        <w:rPr>
          <w:spacing w:val="-3"/>
        </w:rPr>
        <w:t>“</w:t>
      </w:r>
      <w:r w:rsidR="00A921F0">
        <w:rPr>
          <w:spacing w:val="-3"/>
        </w:rPr>
        <w:t>black b</w:t>
      </w:r>
      <w:r w:rsidRPr="00550FC2">
        <w:rPr>
          <w:spacing w:val="-3"/>
        </w:rPr>
        <w:t>ox</w:t>
      </w:r>
      <w:r w:rsidR="004B2E8A">
        <w:rPr>
          <w:spacing w:val="-3"/>
        </w:rPr>
        <w:t>”</w:t>
      </w:r>
      <w:r w:rsidRPr="00550FC2">
        <w:rPr>
          <w:spacing w:val="-3"/>
        </w:rPr>
        <w:t xml:space="preserve"> agreement does not specifically identify the resolution of any disputed issues.  Instead, an overall increase to base rates is agreed to and parties retain all rights to further challenge all issues in subsequent proceedings.  </w:t>
      </w:r>
      <w:r>
        <w:rPr>
          <w:spacing w:val="-3"/>
        </w:rPr>
        <w:t>A</w:t>
      </w:r>
      <w:r w:rsidR="00A921F0">
        <w:rPr>
          <w:spacing w:val="-3"/>
        </w:rPr>
        <w:t xml:space="preserve"> </w:t>
      </w:r>
      <w:r w:rsidR="004B2E8A">
        <w:rPr>
          <w:spacing w:val="-3"/>
        </w:rPr>
        <w:t>“</w:t>
      </w:r>
      <w:r w:rsidR="00A921F0">
        <w:rPr>
          <w:spacing w:val="-3"/>
        </w:rPr>
        <w:t>b</w:t>
      </w:r>
      <w:r w:rsidRPr="00550FC2">
        <w:rPr>
          <w:spacing w:val="-3"/>
        </w:rPr>
        <w:t xml:space="preserve">lack </w:t>
      </w:r>
      <w:r w:rsidR="00A921F0">
        <w:rPr>
          <w:spacing w:val="-3"/>
        </w:rPr>
        <w:t>b</w:t>
      </w:r>
      <w:r w:rsidRPr="00550FC2">
        <w:rPr>
          <w:spacing w:val="-3"/>
        </w:rPr>
        <w:t>ox</w:t>
      </w:r>
      <w:r w:rsidR="004B2E8A">
        <w:rPr>
          <w:spacing w:val="-3"/>
        </w:rPr>
        <w:t>”</w:t>
      </w:r>
      <w:r w:rsidRPr="00550FC2">
        <w:rPr>
          <w:spacing w:val="-3"/>
        </w:rPr>
        <w:t xml:space="preserve"> settlement benefits ratepayers as it allows for the resolution of a proceeding in a timely manner while avoiding significant additional expenses. </w:t>
      </w:r>
      <w:r>
        <w:rPr>
          <w:spacing w:val="-3"/>
        </w:rPr>
        <w:t xml:space="preserve"> </w:t>
      </w:r>
    </w:p>
    <w:p w:rsidR="00A32330" w:rsidRDefault="00A32330" w:rsidP="00847239">
      <w:pPr>
        <w:suppressAutoHyphens/>
        <w:spacing w:line="360" w:lineRule="auto"/>
        <w:ind w:firstLine="1440"/>
        <w:rPr>
          <w:spacing w:val="-3"/>
        </w:rPr>
      </w:pPr>
    </w:p>
    <w:p w:rsidR="00A220C6" w:rsidRDefault="00CA35A3" w:rsidP="00847239">
      <w:pPr>
        <w:suppressAutoHyphens/>
        <w:spacing w:line="360" w:lineRule="auto"/>
        <w:ind w:firstLine="1440"/>
        <w:rPr>
          <w:spacing w:val="-3"/>
        </w:rPr>
      </w:pPr>
      <w:r>
        <w:rPr>
          <w:spacing w:val="-3"/>
        </w:rPr>
        <w:t xml:space="preserve">Realistically, </w:t>
      </w:r>
      <w:r w:rsidRPr="00550FC2">
        <w:rPr>
          <w:spacing w:val="-3"/>
        </w:rPr>
        <w:t xml:space="preserve">an agreement as to the resolution of each and every disputed issue in this proceeding would have been </w:t>
      </w:r>
      <w:r w:rsidR="00A220C6">
        <w:rPr>
          <w:spacing w:val="-3"/>
        </w:rPr>
        <w:t xml:space="preserve">extremely difficult.  </w:t>
      </w:r>
      <w:r>
        <w:rPr>
          <w:spacing w:val="-3"/>
        </w:rPr>
        <w:t xml:space="preserve">If this matter had proceeded as intended in the </w:t>
      </w:r>
      <w:r w:rsidR="00A921F0">
        <w:rPr>
          <w:spacing w:val="-3"/>
        </w:rPr>
        <w:t>l</w:t>
      </w:r>
      <w:r>
        <w:rPr>
          <w:spacing w:val="-3"/>
        </w:rPr>
        <w:t>itigation schedule, written testimony and exhibits would have been prepared and served</w:t>
      </w:r>
      <w:r w:rsidR="00446044">
        <w:rPr>
          <w:spacing w:val="-3"/>
        </w:rPr>
        <w:t xml:space="preserve"> by the Joint Petitioners</w:t>
      </w:r>
      <w:r>
        <w:rPr>
          <w:spacing w:val="-3"/>
        </w:rPr>
        <w:t xml:space="preserve">, beginning with direct, followed by rebuttal testimony and exhibits, then </w:t>
      </w:r>
      <w:proofErr w:type="spellStart"/>
      <w:r>
        <w:rPr>
          <w:spacing w:val="-3"/>
        </w:rPr>
        <w:t>sur</w:t>
      </w:r>
      <w:r w:rsidR="00446044">
        <w:rPr>
          <w:spacing w:val="-3"/>
        </w:rPr>
        <w:t>r</w:t>
      </w:r>
      <w:r>
        <w:rPr>
          <w:spacing w:val="-3"/>
        </w:rPr>
        <w:t>ebuttal</w:t>
      </w:r>
      <w:proofErr w:type="spellEnd"/>
      <w:r>
        <w:rPr>
          <w:spacing w:val="-3"/>
        </w:rPr>
        <w:t xml:space="preserve"> testimony and exhibits</w:t>
      </w:r>
      <w:r w:rsidR="00446044">
        <w:rPr>
          <w:spacing w:val="-3"/>
        </w:rPr>
        <w:t>,</w:t>
      </w:r>
      <w:r>
        <w:rPr>
          <w:spacing w:val="-3"/>
        </w:rPr>
        <w:t xml:space="preserve"> and lastly</w:t>
      </w:r>
      <w:r w:rsidR="00446044">
        <w:rPr>
          <w:spacing w:val="-3"/>
        </w:rPr>
        <w:t xml:space="preserve">, </w:t>
      </w:r>
      <w:r>
        <w:rPr>
          <w:spacing w:val="-3"/>
        </w:rPr>
        <w:t xml:space="preserve">rejoinder.  </w:t>
      </w:r>
      <w:r w:rsidR="00446044">
        <w:rPr>
          <w:spacing w:val="-3"/>
        </w:rPr>
        <w:t>All of this preparation for eventual litigation would have been costly to each of the Joint Petitioners</w:t>
      </w:r>
      <w:r w:rsidR="00A93749">
        <w:rPr>
          <w:spacing w:val="-3"/>
        </w:rPr>
        <w:t xml:space="preserve">.  </w:t>
      </w:r>
      <w:r w:rsidR="00446044">
        <w:rPr>
          <w:spacing w:val="-3"/>
        </w:rPr>
        <w:t>The Joint Petitioners engaged in discovery</w:t>
      </w:r>
      <w:r w:rsidR="00A921F0">
        <w:rPr>
          <w:spacing w:val="-3"/>
        </w:rPr>
        <w:t xml:space="preserve">, two mediation sessions and settlement </w:t>
      </w:r>
      <w:r w:rsidR="0001254B">
        <w:rPr>
          <w:spacing w:val="-3"/>
        </w:rPr>
        <w:t>discussions</w:t>
      </w:r>
      <w:r w:rsidR="00446044">
        <w:rPr>
          <w:spacing w:val="-3"/>
        </w:rPr>
        <w:t xml:space="preserve"> wherein I&amp;E and the OCA obtained information necessary to scrutinize </w:t>
      </w:r>
      <w:proofErr w:type="spellStart"/>
      <w:r w:rsidR="000A5AC5">
        <w:rPr>
          <w:spacing w:val="-3"/>
        </w:rPr>
        <w:t>Plumer’s</w:t>
      </w:r>
      <w:proofErr w:type="spellEnd"/>
      <w:r w:rsidR="00446044">
        <w:rPr>
          <w:spacing w:val="-3"/>
        </w:rPr>
        <w:t xml:space="preserve"> rate filing and position themselves for negotiation</w:t>
      </w:r>
      <w:r w:rsidR="00A93749">
        <w:rPr>
          <w:spacing w:val="-3"/>
        </w:rPr>
        <w:t>s</w:t>
      </w:r>
      <w:r w:rsidR="00446044">
        <w:rPr>
          <w:spacing w:val="-3"/>
        </w:rPr>
        <w:t xml:space="preserve"> or perhaps litigation</w:t>
      </w:r>
      <w:r w:rsidR="00A93749">
        <w:rPr>
          <w:spacing w:val="-3"/>
        </w:rPr>
        <w:t xml:space="preserve">.  </w:t>
      </w:r>
      <w:r w:rsidRPr="00550FC2">
        <w:rPr>
          <w:spacing w:val="-3"/>
        </w:rPr>
        <w:t xml:space="preserve">  </w:t>
      </w:r>
    </w:p>
    <w:p w:rsidR="000F5DD9" w:rsidRDefault="000F5DD9" w:rsidP="00651FBE">
      <w:pPr>
        <w:pStyle w:val="BodyText"/>
        <w:spacing w:after="0" w:line="360" w:lineRule="auto"/>
        <w:ind w:firstLine="1440"/>
      </w:pPr>
    </w:p>
    <w:p w:rsidR="001C1F69" w:rsidRDefault="00BB5227" w:rsidP="000A5AC5">
      <w:pPr>
        <w:pStyle w:val="Level1"/>
        <w:numPr>
          <w:ilvl w:val="0"/>
          <w:numId w:val="0"/>
        </w:numPr>
        <w:spacing w:line="360" w:lineRule="auto"/>
        <w:ind w:firstLine="1440"/>
        <w:outlineLvl w:val="9"/>
        <w:rPr>
          <w:rFonts w:eastAsia="Calibri"/>
        </w:rPr>
      </w:pPr>
      <w:r>
        <w:rPr>
          <w:spacing w:val="-3"/>
        </w:rPr>
        <w:lastRenderedPageBreak/>
        <w:t>The undersigned concludes that t</w:t>
      </w:r>
      <w:r w:rsidR="000F5DD9">
        <w:rPr>
          <w:spacing w:val="-3"/>
        </w:rPr>
        <w:t>he rate increase agreed to in the Settlement</w:t>
      </w:r>
      <w:r w:rsidR="000F5DD9" w:rsidRPr="000F5DD9">
        <w:rPr>
          <w:spacing w:val="-3"/>
        </w:rPr>
        <w:t xml:space="preserve"> adequately balances the interests of ratepayers and the Company</w:t>
      </w:r>
      <w:r w:rsidR="00521B53">
        <w:rPr>
          <w:spacing w:val="-3"/>
        </w:rPr>
        <w:t xml:space="preserve"> and is in the public interest</w:t>
      </w:r>
      <w:r w:rsidR="000F5DD9" w:rsidRPr="000F5DD9">
        <w:rPr>
          <w:spacing w:val="-3"/>
        </w:rPr>
        <w:t>.  The Company will receive sufficient operating funds in order to provide safe and adequate service while ratepayers are protected as the resulting</w:t>
      </w:r>
      <w:r w:rsidR="00563D96">
        <w:rPr>
          <w:spacing w:val="-3"/>
        </w:rPr>
        <w:t xml:space="preserve"> Settlement</w:t>
      </w:r>
      <w:r w:rsidR="000F5DD9" w:rsidRPr="000F5DD9">
        <w:rPr>
          <w:spacing w:val="-3"/>
        </w:rPr>
        <w:t xml:space="preserve"> minimizes the impact of the Company’s initial proposal.  </w:t>
      </w:r>
      <w:r w:rsidR="0001254B">
        <w:rPr>
          <w:spacing w:val="-3"/>
        </w:rPr>
        <w:t xml:space="preserve">The negotiated compromise represents </w:t>
      </w:r>
      <w:r w:rsidR="0001254B" w:rsidRPr="001C2A59">
        <w:t xml:space="preserve">an increase in base rates to allow the Company the opportunity to recover </w:t>
      </w:r>
      <w:r w:rsidR="00E2692E">
        <w:t xml:space="preserve">an </w:t>
      </w:r>
      <w:r w:rsidR="0001254B" w:rsidRPr="001C2A59">
        <w:t xml:space="preserve">annual </w:t>
      </w:r>
      <w:r w:rsidR="00E2692E">
        <w:t xml:space="preserve">increase in </w:t>
      </w:r>
      <w:r w:rsidR="0001254B" w:rsidRPr="001C2A59">
        <w:t>intrastate operating revenues of $</w:t>
      </w:r>
      <w:r w:rsidR="000A5AC5">
        <w:t xml:space="preserve">11,409.  </w:t>
      </w:r>
      <w:r w:rsidR="000A5AC5" w:rsidRPr="004E6B39">
        <w:t xml:space="preserve">Under the presently suspended Supplement No. </w:t>
      </w:r>
      <w:r w:rsidR="000A5AC5">
        <w:t>13</w:t>
      </w:r>
      <w:r w:rsidR="000A5AC5" w:rsidRPr="004E6B39">
        <w:t xml:space="preserve">, the </w:t>
      </w:r>
      <w:r w:rsidR="000A5AC5">
        <w:t xml:space="preserve">monthly </w:t>
      </w:r>
      <w:r w:rsidR="000A5AC5" w:rsidRPr="004E6B39">
        <w:t xml:space="preserve">cost of water service to a </w:t>
      </w:r>
      <w:r w:rsidR="000A5AC5">
        <w:t xml:space="preserve">typical </w:t>
      </w:r>
      <w:r w:rsidR="000A5AC5" w:rsidRPr="004E6B39">
        <w:t xml:space="preserve">residential customer </w:t>
      </w:r>
      <w:r w:rsidR="000A5AC5">
        <w:t xml:space="preserve">using 2,000 gallons per month </w:t>
      </w:r>
      <w:r w:rsidR="000A5AC5" w:rsidRPr="004E6B39">
        <w:t>would have increased by approximately $</w:t>
      </w:r>
      <w:r w:rsidR="000A5AC5">
        <w:t>14.30</w:t>
      </w:r>
      <w:r w:rsidR="000A5AC5" w:rsidRPr="004E6B39">
        <w:t>, or</w:t>
      </w:r>
      <w:r w:rsidR="000A5AC5">
        <w:t xml:space="preserve"> 35.01%</w:t>
      </w:r>
      <w:r w:rsidR="000A5AC5" w:rsidRPr="004E6B39">
        <w:t>, from $</w:t>
      </w:r>
      <w:r w:rsidR="000A5AC5">
        <w:t>40.84</w:t>
      </w:r>
      <w:r w:rsidR="000A5AC5" w:rsidRPr="004E6B39">
        <w:t xml:space="preserve"> to $</w:t>
      </w:r>
      <w:r w:rsidR="000A5AC5">
        <w:t>55.14.</w:t>
      </w:r>
      <w:r w:rsidR="000A5AC5" w:rsidRPr="004E6B39">
        <w:t xml:space="preserve">  Under the </w:t>
      </w:r>
      <w:r w:rsidR="000A5AC5">
        <w:t xml:space="preserve">Settlement, </w:t>
      </w:r>
      <w:r w:rsidR="000A5AC5" w:rsidRPr="004E6B39">
        <w:t xml:space="preserve">the </w:t>
      </w:r>
      <w:r w:rsidR="000A5AC5">
        <w:t xml:space="preserve">monthly </w:t>
      </w:r>
      <w:r w:rsidR="000A5AC5" w:rsidRPr="004E6B39">
        <w:t xml:space="preserve">cost of water service to </w:t>
      </w:r>
      <w:r w:rsidR="000A5AC5">
        <w:t xml:space="preserve">such </w:t>
      </w:r>
      <w:r w:rsidR="000A5AC5" w:rsidRPr="004E6B39">
        <w:t xml:space="preserve">residential customer would increase by </w:t>
      </w:r>
      <w:r w:rsidR="000A5AC5">
        <w:t xml:space="preserve">approximately </w:t>
      </w:r>
      <w:r w:rsidR="000A5AC5" w:rsidRPr="004E6B39">
        <w:t>$</w:t>
      </w:r>
      <w:r w:rsidR="000A5AC5">
        <w:t>13.14</w:t>
      </w:r>
      <w:r w:rsidR="000A5AC5" w:rsidRPr="004E6B39">
        <w:t xml:space="preserve">, or </w:t>
      </w:r>
      <w:r w:rsidR="000A5AC5">
        <w:t>32.17</w:t>
      </w:r>
      <w:r w:rsidR="000A5AC5" w:rsidRPr="004E6B39">
        <w:t>%, from $</w:t>
      </w:r>
      <w:r w:rsidR="000A5AC5">
        <w:t xml:space="preserve">40.84 </w:t>
      </w:r>
      <w:r w:rsidR="000A5AC5" w:rsidRPr="004E6B39">
        <w:t>to $</w:t>
      </w:r>
      <w:r w:rsidR="000A5AC5">
        <w:t xml:space="preserve">53.98 over two phases.  </w:t>
      </w:r>
      <w:r w:rsidR="000A5AC5" w:rsidRPr="004E6B39">
        <w:t xml:space="preserve">Under </w:t>
      </w:r>
      <w:r w:rsidR="000A5AC5">
        <w:t xml:space="preserve">Phase I, </w:t>
      </w:r>
      <w:r w:rsidR="000A5AC5" w:rsidRPr="004E6B39">
        <w:t xml:space="preserve">the </w:t>
      </w:r>
      <w:r w:rsidR="000A5AC5">
        <w:t xml:space="preserve">monthly </w:t>
      </w:r>
      <w:r w:rsidR="000A5AC5" w:rsidRPr="004E6B39">
        <w:t xml:space="preserve">cost of water service to </w:t>
      </w:r>
      <w:r w:rsidR="000A5AC5">
        <w:t xml:space="preserve">such </w:t>
      </w:r>
      <w:r w:rsidR="000A5AC5" w:rsidRPr="004E6B39">
        <w:t xml:space="preserve">residential customer would increase by </w:t>
      </w:r>
      <w:r w:rsidR="000A5AC5">
        <w:t xml:space="preserve">approximately </w:t>
      </w:r>
      <w:r w:rsidR="000A5AC5" w:rsidRPr="004E6B39">
        <w:t>$</w:t>
      </w:r>
      <w:r w:rsidR="000A5AC5">
        <w:t>9.94</w:t>
      </w:r>
      <w:r w:rsidR="000A5AC5" w:rsidRPr="004E6B39">
        <w:t xml:space="preserve">, or </w:t>
      </w:r>
      <w:r w:rsidR="000A5AC5">
        <w:t>24.34</w:t>
      </w:r>
      <w:r w:rsidR="000A5AC5" w:rsidRPr="004E6B39">
        <w:t>%, from $</w:t>
      </w:r>
      <w:r w:rsidR="000A5AC5">
        <w:t xml:space="preserve">40.84 </w:t>
      </w:r>
      <w:r w:rsidR="000A5AC5" w:rsidRPr="004E6B39">
        <w:t>to $</w:t>
      </w:r>
      <w:r w:rsidR="000A5AC5">
        <w:t xml:space="preserve">50.78.  </w:t>
      </w:r>
      <w:r w:rsidR="000A5AC5" w:rsidRPr="004E6B39">
        <w:t xml:space="preserve">Under </w:t>
      </w:r>
      <w:r w:rsidR="000A5AC5">
        <w:t xml:space="preserve">Phase II, </w:t>
      </w:r>
      <w:r w:rsidR="000A5AC5" w:rsidRPr="004E6B39">
        <w:t xml:space="preserve">the </w:t>
      </w:r>
      <w:r w:rsidR="000A5AC5">
        <w:t xml:space="preserve">monthly </w:t>
      </w:r>
      <w:r w:rsidR="000A5AC5" w:rsidRPr="004E6B39">
        <w:t xml:space="preserve">cost of water service to </w:t>
      </w:r>
      <w:r w:rsidR="000A5AC5">
        <w:t xml:space="preserve">such </w:t>
      </w:r>
      <w:r w:rsidR="000A5AC5" w:rsidRPr="004E6B39">
        <w:t xml:space="preserve">residential customer would increase by </w:t>
      </w:r>
      <w:r w:rsidR="000A5AC5">
        <w:t xml:space="preserve">approximately </w:t>
      </w:r>
      <w:r w:rsidR="000A5AC5" w:rsidRPr="004E6B39">
        <w:t>$</w:t>
      </w:r>
      <w:r w:rsidR="000A5AC5">
        <w:t>3.20</w:t>
      </w:r>
      <w:r w:rsidR="000A5AC5" w:rsidRPr="004E6B39">
        <w:t xml:space="preserve">, or </w:t>
      </w:r>
      <w:r w:rsidR="000A5AC5">
        <w:t>6.30%</w:t>
      </w:r>
      <w:r w:rsidR="000A5AC5" w:rsidRPr="004E6B39">
        <w:t>, from $</w:t>
      </w:r>
      <w:r w:rsidR="000A5AC5">
        <w:t xml:space="preserve">50.78 </w:t>
      </w:r>
      <w:r w:rsidR="000A5AC5" w:rsidRPr="004E6B39">
        <w:t>to $</w:t>
      </w:r>
      <w:r w:rsidR="000A5AC5">
        <w:t xml:space="preserve">53.98.  Settlement, p. 5.  </w:t>
      </w:r>
      <w:r w:rsidR="000A5AC5">
        <w:rPr>
          <w:spacing w:val="-3"/>
        </w:rPr>
        <w:t>M</w:t>
      </w:r>
      <w:r w:rsidR="000F5DD9" w:rsidRPr="000F5DD9">
        <w:rPr>
          <w:spacing w:val="-3"/>
        </w:rPr>
        <w:t>itigation of the level of the rate increase benefits ratepayers</w:t>
      </w:r>
      <w:r w:rsidR="006053F0">
        <w:rPr>
          <w:spacing w:val="-3"/>
        </w:rPr>
        <w:t>.  T</w:t>
      </w:r>
      <w:r w:rsidR="006053F0" w:rsidRPr="008E1386">
        <w:rPr>
          <w:rFonts w:eastAsia="Calibri"/>
        </w:rPr>
        <w:t>he increase</w:t>
      </w:r>
      <w:r w:rsidR="006053F0">
        <w:rPr>
          <w:rFonts w:eastAsia="Calibri"/>
        </w:rPr>
        <w:t xml:space="preserve"> contained in </w:t>
      </w:r>
      <w:r w:rsidR="006053F0" w:rsidRPr="008E1386">
        <w:rPr>
          <w:rFonts w:eastAsia="Calibri"/>
        </w:rPr>
        <w:t>the Settlement represents an amount which</w:t>
      </w:r>
      <w:r w:rsidR="006053F0">
        <w:rPr>
          <w:rFonts w:eastAsia="Calibri"/>
        </w:rPr>
        <w:t xml:space="preserve"> </w:t>
      </w:r>
      <w:r w:rsidR="006053F0" w:rsidRPr="008E1386">
        <w:rPr>
          <w:rFonts w:eastAsia="Calibri"/>
        </w:rPr>
        <w:t xml:space="preserve">would be within the range of the likely outcomes in the event of full litigation of the case.  </w:t>
      </w:r>
    </w:p>
    <w:p w:rsidR="000A5AC5" w:rsidRDefault="000A5AC5" w:rsidP="000A5AC5">
      <w:pPr>
        <w:pStyle w:val="Level1"/>
        <w:numPr>
          <w:ilvl w:val="0"/>
          <w:numId w:val="0"/>
        </w:numPr>
        <w:spacing w:line="360" w:lineRule="auto"/>
        <w:ind w:firstLine="1440"/>
        <w:outlineLvl w:val="9"/>
        <w:rPr>
          <w:rFonts w:eastAsia="Calibri"/>
        </w:rPr>
      </w:pPr>
    </w:p>
    <w:p w:rsidR="000A5AC5" w:rsidRDefault="000A5AC5" w:rsidP="000A5AC5">
      <w:pPr>
        <w:tabs>
          <w:tab w:val="left" w:pos="720"/>
          <w:tab w:val="left" w:pos="1440"/>
          <w:tab w:val="num" w:pos="2160"/>
        </w:tabs>
        <w:spacing w:line="360" w:lineRule="auto"/>
        <w:ind w:firstLine="1440"/>
      </w:pPr>
      <w:proofErr w:type="spellStart"/>
      <w:r w:rsidRPr="001E4C93">
        <w:t>Plumer</w:t>
      </w:r>
      <w:proofErr w:type="spellEnd"/>
      <w:r w:rsidRPr="001E4C93">
        <w:t xml:space="preserve"> is under a contract to purchase water from </w:t>
      </w:r>
      <w:proofErr w:type="spellStart"/>
      <w:r w:rsidRPr="001E4C93">
        <w:t>Rouseville</w:t>
      </w:r>
      <w:proofErr w:type="spellEnd"/>
      <w:r w:rsidRPr="001E4C93">
        <w:t>, and no other viable water source is available</w:t>
      </w:r>
      <w:r>
        <w:t xml:space="preserve"> for </w:t>
      </w:r>
      <w:proofErr w:type="spellStart"/>
      <w:r>
        <w:t>Plumer</w:t>
      </w:r>
      <w:proofErr w:type="spellEnd"/>
      <w:r>
        <w:t xml:space="preserve"> customers</w:t>
      </w:r>
      <w:r w:rsidRPr="001E4C93">
        <w:t xml:space="preserve">.  Unfortunately, </w:t>
      </w:r>
      <w:r>
        <w:t xml:space="preserve">according to </w:t>
      </w:r>
      <w:proofErr w:type="gramStart"/>
      <w:r>
        <w:t>I&amp;E</w:t>
      </w:r>
      <w:proofErr w:type="gramEnd"/>
      <w:r>
        <w:t xml:space="preserve">, </w:t>
      </w:r>
      <w:r w:rsidRPr="001E4C93">
        <w:t xml:space="preserve">significant transmission issues have developed to frustrate water delivery to </w:t>
      </w:r>
      <w:proofErr w:type="spellStart"/>
      <w:r w:rsidRPr="001E4C93">
        <w:t>Plumer’s</w:t>
      </w:r>
      <w:proofErr w:type="spellEnd"/>
      <w:r w:rsidRPr="001E4C93">
        <w:t xml:space="preserve"> customers.  Specifically, </w:t>
      </w:r>
      <w:proofErr w:type="spellStart"/>
      <w:r w:rsidRPr="001E4C93">
        <w:t>Rouseville</w:t>
      </w:r>
      <w:proofErr w:type="spellEnd"/>
      <w:r w:rsidRPr="001E4C93">
        <w:t xml:space="preserve"> pumps the water into </w:t>
      </w:r>
      <w:proofErr w:type="spellStart"/>
      <w:r w:rsidRPr="001E4C93">
        <w:t>Plumer’s</w:t>
      </w:r>
      <w:proofErr w:type="spellEnd"/>
      <w:r w:rsidRPr="001E4C93">
        <w:t xml:space="preserve"> system, and when power outages occur in </w:t>
      </w:r>
      <w:proofErr w:type="spellStart"/>
      <w:r w:rsidRPr="001E4C93">
        <w:t>Rouseville</w:t>
      </w:r>
      <w:proofErr w:type="spellEnd"/>
      <w:r w:rsidRPr="001E4C93">
        <w:t xml:space="preserve">, </w:t>
      </w:r>
      <w:proofErr w:type="spellStart"/>
      <w:r w:rsidRPr="001E4C93">
        <w:t>Plumer’s</w:t>
      </w:r>
      <w:proofErr w:type="spellEnd"/>
      <w:r w:rsidRPr="001E4C93">
        <w:t xml:space="preserve"> customers are left without water service. </w:t>
      </w:r>
      <w:r w:rsidR="007A0260">
        <w:t xml:space="preserve"> </w:t>
      </w:r>
      <w:r w:rsidRPr="001E4C93">
        <w:t>Furthermore, once service is reinstated after such outages, customers must flush their systems to clean out debris resulting from the outages.</w:t>
      </w:r>
      <w:r w:rsidRPr="001E4C93">
        <w:rPr>
          <w:rStyle w:val="FootnoteReference"/>
        </w:rPr>
        <w:footnoteReference w:id="16"/>
      </w:r>
      <w:r w:rsidRPr="001E4C93">
        <w:t xml:space="preserve">  While the pumping issue stems from </w:t>
      </w:r>
      <w:proofErr w:type="spellStart"/>
      <w:r w:rsidRPr="001E4C93">
        <w:t>Rouseville</w:t>
      </w:r>
      <w:proofErr w:type="spellEnd"/>
      <w:r w:rsidRPr="001E4C93">
        <w:t xml:space="preserve">, a non-jurisdictional municipal water utility, the </w:t>
      </w:r>
      <w:r>
        <w:t>p</w:t>
      </w:r>
      <w:r w:rsidRPr="001E4C93">
        <w:t>arties</w:t>
      </w:r>
      <w:r>
        <w:t xml:space="preserve"> </w:t>
      </w:r>
      <w:r w:rsidRPr="001E4C93">
        <w:t xml:space="preserve">devised a solution </w:t>
      </w:r>
      <w:r w:rsidR="006A6C56">
        <w:t xml:space="preserve">in this Settlement </w:t>
      </w:r>
      <w:r w:rsidRPr="001E4C93">
        <w:t xml:space="preserve">that will ensure that </w:t>
      </w:r>
      <w:proofErr w:type="spellStart"/>
      <w:r w:rsidRPr="001E4C93">
        <w:t>Plumer</w:t>
      </w:r>
      <w:proofErr w:type="spellEnd"/>
      <w:r w:rsidRPr="001E4C93">
        <w:t xml:space="preserve"> ratepayers are no longer left stranded during </w:t>
      </w:r>
      <w:proofErr w:type="spellStart"/>
      <w:r w:rsidRPr="001E4C93">
        <w:t>Rouseville’s</w:t>
      </w:r>
      <w:proofErr w:type="spellEnd"/>
      <w:r w:rsidRPr="001E4C93">
        <w:t xml:space="preserve"> power outages.</w:t>
      </w:r>
      <w:r>
        <w:t xml:space="preserve">  I&amp;E St. in Support, p. 10.  </w:t>
      </w:r>
    </w:p>
    <w:p w:rsidR="000A5AC5" w:rsidRDefault="000A5AC5" w:rsidP="000A5AC5">
      <w:pPr>
        <w:tabs>
          <w:tab w:val="left" w:pos="720"/>
          <w:tab w:val="left" w:pos="1440"/>
          <w:tab w:val="num" w:pos="2160"/>
        </w:tabs>
        <w:spacing w:line="360" w:lineRule="auto"/>
        <w:ind w:firstLine="1440"/>
      </w:pPr>
    </w:p>
    <w:p w:rsidR="000A5AC5" w:rsidRDefault="000A5AC5" w:rsidP="000A5AC5">
      <w:pPr>
        <w:tabs>
          <w:tab w:val="left" w:pos="720"/>
          <w:tab w:val="left" w:pos="1440"/>
          <w:tab w:val="num" w:pos="2160"/>
        </w:tabs>
        <w:spacing w:line="360" w:lineRule="auto"/>
        <w:ind w:firstLine="1440"/>
      </w:pPr>
      <w:r>
        <w:lastRenderedPageBreak/>
        <w:t xml:space="preserve">The Settlement provides that </w:t>
      </w:r>
      <w:proofErr w:type="spellStart"/>
      <w:r w:rsidRPr="001E4C93">
        <w:t>Plumer</w:t>
      </w:r>
      <w:proofErr w:type="spellEnd"/>
      <w:r w:rsidRPr="001E4C93">
        <w:t xml:space="preserve">, at its cost, will purchase a back-up electric generator for installation by </w:t>
      </w:r>
      <w:proofErr w:type="spellStart"/>
      <w:r w:rsidRPr="001E4C93">
        <w:t>Rouseville</w:t>
      </w:r>
      <w:proofErr w:type="spellEnd"/>
      <w:r w:rsidRPr="001E4C93">
        <w:t xml:space="preserve"> on </w:t>
      </w:r>
      <w:proofErr w:type="spellStart"/>
      <w:r w:rsidRPr="001E4C93">
        <w:t>Rouseville’s</w:t>
      </w:r>
      <w:proofErr w:type="spellEnd"/>
      <w:r w:rsidRPr="001E4C93">
        <w:t xml:space="preserve"> water system.  The back-up generator will provide a source of back-up electric power for water service provided by </w:t>
      </w:r>
      <w:proofErr w:type="spellStart"/>
      <w:r w:rsidRPr="001E4C93">
        <w:t>Rouseville</w:t>
      </w:r>
      <w:proofErr w:type="spellEnd"/>
      <w:r w:rsidRPr="001E4C93">
        <w:t xml:space="preserve"> to </w:t>
      </w:r>
      <w:proofErr w:type="spellStart"/>
      <w:r w:rsidRPr="001E4C93">
        <w:t>Plumer</w:t>
      </w:r>
      <w:proofErr w:type="spellEnd"/>
      <w:r w:rsidRPr="001E4C93">
        <w:t xml:space="preserve"> to enable water service to continue to </w:t>
      </w:r>
      <w:proofErr w:type="spellStart"/>
      <w:r w:rsidRPr="001E4C93">
        <w:t>Plumer’s</w:t>
      </w:r>
      <w:proofErr w:type="spellEnd"/>
      <w:r w:rsidRPr="001E4C93">
        <w:t xml:space="preserve"> customers when there is an outage on the </w:t>
      </w:r>
      <w:proofErr w:type="spellStart"/>
      <w:r w:rsidRPr="001E4C93">
        <w:t>Rouseville</w:t>
      </w:r>
      <w:proofErr w:type="spellEnd"/>
      <w:r w:rsidRPr="001E4C93">
        <w:t xml:space="preserve"> system.  The </w:t>
      </w:r>
      <w:r>
        <w:t xml:space="preserve">Phase II </w:t>
      </w:r>
      <w:r w:rsidRPr="001E4C93">
        <w:t xml:space="preserve">rates, which will produce an additional increase of $2,909, will become effective only upon </w:t>
      </w:r>
      <w:proofErr w:type="spellStart"/>
      <w:r w:rsidRPr="001E4C93">
        <w:t>Plumer’s</w:t>
      </w:r>
      <w:proofErr w:type="spellEnd"/>
      <w:r w:rsidRPr="001E4C93">
        <w:t xml:space="preserve"> written confirmation to the Commission, the OCA and I&amp;E that </w:t>
      </w:r>
      <w:proofErr w:type="spellStart"/>
      <w:r w:rsidRPr="001E4C93">
        <w:t>Plumer</w:t>
      </w:r>
      <w:proofErr w:type="spellEnd"/>
      <w:r w:rsidRPr="001E4C93">
        <w:t xml:space="preserve"> has purchased the generator and that the generator has been installed by </w:t>
      </w:r>
      <w:proofErr w:type="spellStart"/>
      <w:r w:rsidRPr="001E4C93">
        <w:t>Rouseville</w:t>
      </w:r>
      <w:proofErr w:type="spellEnd"/>
      <w:r w:rsidRPr="001E4C93">
        <w:t>, and is in working order.</w:t>
      </w:r>
      <w:r>
        <w:t xml:space="preserve">  I&amp;E St. in Support, pp. 10-11. </w:t>
      </w:r>
    </w:p>
    <w:p w:rsidR="006A6C56" w:rsidRDefault="006A6C56" w:rsidP="000A5AC5">
      <w:pPr>
        <w:tabs>
          <w:tab w:val="left" w:pos="720"/>
          <w:tab w:val="left" w:pos="1440"/>
          <w:tab w:val="num" w:pos="2160"/>
        </w:tabs>
        <w:spacing w:line="360" w:lineRule="auto"/>
        <w:ind w:firstLine="1440"/>
      </w:pPr>
    </w:p>
    <w:p w:rsidR="000A5AC5" w:rsidRDefault="006A6C56" w:rsidP="006A6C56">
      <w:pPr>
        <w:tabs>
          <w:tab w:val="left" w:pos="720"/>
          <w:tab w:val="left" w:pos="1440"/>
          <w:tab w:val="num" w:pos="2160"/>
        </w:tabs>
        <w:spacing w:line="360" w:lineRule="auto"/>
        <w:ind w:firstLine="1440"/>
      </w:pPr>
      <w:r>
        <w:t>The undersigned finds that this unique Settlement provision i</w:t>
      </w:r>
      <w:r w:rsidR="007A0260">
        <w:t>s</w:t>
      </w:r>
      <w:r>
        <w:t xml:space="preserve"> in the public interest and would benefit both the Company and its customers.  If the generator is installed it should prevent future service interruptions with their attendant consequences for customers and </w:t>
      </w:r>
      <w:proofErr w:type="spellStart"/>
      <w:r>
        <w:t>Plumer</w:t>
      </w:r>
      <w:proofErr w:type="spellEnd"/>
      <w:r>
        <w:t xml:space="preserve">.  However, </w:t>
      </w:r>
      <w:proofErr w:type="spellStart"/>
      <w:r>
        <w:t>Rouseville</w:t>
      </w:r>
      <w:proofErr w:type="spellEnd"/>
      <w:r>
        <w:t xml:space="preserve"> was not a party to this rate proceeding and cannot be ordered to install the generator.  Despite this concern, the undersigned finds this Settlement provision i</w:t>
      </w:r>
      <w:r w:rsidR="007A0260">
        <w:t>s i</w:t>
      </w:r>
      <w:r>
        <w:t>n the public interest because the Phase II rates cannot be implemented until after the electric generator is installed</w:t>
      </w:r>
      <w:r w:rsidR="007833A4">
        <w:t xml:space="preserve"> and is in working order</w:t>
      </w:r>
      <w:r>
        <w:t xml:space="preserve">.  </w:t>
      </w:r>
    </w:p>
    <w:p w:rsidR="00A07E76" w:rsidRDefault="00A07E76" w:rsidP="006A6C56">
      <w:pPr>
        <w:tabs>
          <w:tab w:val="left" w:pos="720"/>
          <w:tab w:val="left" w:pos="1440"/>
          <w:tab w:val="num" w:pos="2160"/>
        </w:tabs>
        <w:spacing w:line="360" w:lineRule="auto"/>
        <w:ind w:firstLine="1440"/>
      </w:pPr>
    </w:p>
    <w:p w:rsidR="003C5873" w:rsidRDefault="006A6C56" w:rsidP="00296AA7">
      <w:pPr>
        <w:tabs>
          <w:tab w:val="left" w:pos="720"/>
          <w:tab w:val="left" w:pos="1440"/>
          <w:tab w:val="num" w:pos="2160"/>
        </w:tabs>
        <w:spacing w:line="360" w:lineRule="auto"/>
        <w:ind w:firstLine="1440"/>
        <w:contextualSpacing/>
      </w:pPr>
      <w:r w:rsidRPr="00923829">
        <w:t>Absent exigent circumstances</w:t>
      </w:r>
      <w:r w:rsidRPr="00923829">
        <w:rPr>
          <w:b/>
        </w:rPr>
        <w:t xml:space="preserve">, </w:t>
      </w:r>
      <w:r w:rsidR="00296AA7">
        <w:t>the Settlement</w:t>
      </w:r>
      <w:r w:rsidRPr="00923829">
        <w:t xml:space="preserve"> prevent</w:t>
      </w:r>
      <w:r w:rsidR="00296AA7">
        <w:t>s</w:t>
      </w:r>
      <w:r w:rsidRPr="00923829">
        <w:t xml:space="preserve"> the Company from filing for a general base rate increase, as that term is defined in Section 1308(d) of the Public Utility Code, 66 </w:t>
      </w:r>
      <w:proofErr w:type="spellStart"/>
      <w:r w:rsidRPr="00923829">
        <w:t>Pa.C.S</w:t>
      </w:r>
      <w:proofErr w:type="spellEnd"/>
      <w:r w:rsidRPr="00923829">
        <w:t>. § 1308(d), prior to eighteen (18) months after the entry date of the Commission’s Order approving this Settlement.  The only exceptions to this “stay</w:t>
      </w:r>
      <w:r>
        <w:t>-</w:t>
      </w:r>
      <w:r w:rsidRPr="00923829">
        <w:t>out” provision are those that allow the Company</w:t>
      </w:r>
      <w:r>
        <w:t xml:space="preserve"> to</w:t>
      </w:r>
      <w:r w:rsidRPr="00923829">
        <w:t xml:space="preserve"> file for a change in rates under Sections 1308(a) and (b) of the Public Utility Code, 66 </w:t>
      </w:r>
      <w:proofErr w:type="spellStart"/>
      <w:r w:rsidRPr="00923829">
        <w:t>Pa.C.S</w:t>
      </w:r>
      <w:proofErr w:type="spellEnd"/>
      <w:r w:rsidRPr="00923829">
        <w:t xml:space="preserve">. </w:t>
      </w:r>
      <w:proofErr w:type="gramStart"/>
      <w:r w:rsidRPr="00923829">
        <w:t xml:space="preserve">§ 1308(a) and (b) (governing general rate relief), or Section 1308(e) of the Public Utility Code, 66 </w:t>
      </w:r>
      <w:proofErr w:type="spellStart"/>
      <w:r w:rsidRPr="00923829">
        <w:t>Pa.C.S</w:t>
      </w:r>
      <w:proofErr w:type="spellEnd"/>
      <w:r w:rsidRPr="00923829">
        <w:t>.</w:t>
      </w:r>
      <w:proofErr w:type="gramEnd"/>
      <w:r w:rsidRPr="00923829">
        <w:t xml:space="preserve"> § 1308(e) (governing extraordinary rate relief), if a legislative body or administrative agency orders or </w:t>
      </w:r>
      <w:r w:rsidRPr="00C16070">
        <w:t xml:space="preserve">enacts changes in policy, regulation or statutes which directly and substantially affect its rates.  Also, as </w:t>
      </w:r>
      <w:proofErr w:type="spellStart"/>
      <w:r w:rsidRPr="00C16070">
        <w:t>Plumer</w:t>
      </w:r>
      <w:proofErr w:type="spellEnd"/>
      <w:r w:rsidRPr="00C16070">
        <w:t xml:space="preserve"> is subject to a purchase water contract with </w:t>
      </w:r>
      <w:proofErr w:type="spellStart"/>
      <w:r w:rsidRPr="00C16070">
        <w:t>Rouseville</w:t>
      </w:r>
      <w:proofErr w:type="spellEnd"/>
      <w:r w:rsidRPr="00C16070">
        <w:t xml:space="preserve">, an additional exception allows for </w:t>
      </w:r>
      <w:proofErr w:type="spellStart"/>
      <w:r w:rsidRPr="00C16070">
        <w:t>Plumer</w:t>
      </w:r>
      <w:proofErr w:type="spellEnd"/>
      <w:r w:rsidRPr="00C16070">
        <w:t xml:space="preserve"> to file for a rate change, regardless of the stay</w:t>
      </w:r>
      <w:r w:rsidR="005C6768">
        <w:t>-</w:t>
      </w:r>
      <w:r w:rsidRPr="00C16070">
        <w:t xml:space="preserve">out, if </w:t>
      </w:r>
      <w:proofErr w:type="spellStart"/>
      <w:r w:rsidRPr="00C16070">
        <w:t>Rouseville</w:t>
      </w:r>
      <w:proofErr w:type="spellEnd"/>
      <w:r w:rsidRPr="00C16070">
        <w:t xml:space="preserve"> changes the purchased water rates charged to </w:t>
      </w:r>
      <w:proofErr w:type="spellStart"/>
      <w:r w:rsidRPr="00C16070">
        <w:t>Plumer</w:t>
      </w:r>
      <w:proofErr w:type="spellEnd"/>
      <w:r w:rsidRPr="00C16070">
        <w:t>.  I&amp;E St. in Support, pp. </w:t>
      </w:r>
      <w:r>
        <w:t>9-10.</w:t>
      </w:r>
      <w:r w:rsidR="00296AA7">
        <w:t xml:space="preserve">  The undersigned finds this stay-out provision with the accompanying caveats to be in the public interest.  </w:t>
      </w:r>
      <w:r w:rsidR="00296AA7">
        <w:rPr>
          <w:rFonts w:eastAsia="Calibri"/>
        </w:rPr>
        <w:t xml:space="preserve">The undersigned concludes that this stay-out provision will assure some level of rate stability for </w:t>
      </w:r>
      <w:proofErr w:type="spellStart"/>
      <w:r w:rsidR="00296AA7">
        <w:rPr>
          <w:rFonts w:eastAsia="Calibri"/>
        </w:rPr>
        <w:t>Plumer’s</w:t>
      </w:r>
      <w:proofErr w:type="spellEnd"/>
      <w:r w:rsidR="00296AA7">
        <w:rPr>
          <w:rFonts w:eastAsia="Calibri"/>
        </w:rPr>
        <w:t xml:space="preserve"> customers.     </w:t>
      </w:r>
      <w:r w:rsidR="00296AA7">
        <w:t xml:space="preserve"> </w:t>
      </w:r>
    </w:p>
    <w:p w:rsidR="003C5873" w:rsidRDefault="003C5873" w:rsidP="003C5873">
      <w:pPr>
        <w:tabs>
          <w:tab w:val="left" w:pos="720"/>
          <w:tab w:val="left" w:pos="1440"/>
          <w:tab w:val="num" w:pos="2160"/>
        </w:tabs>
        <w:spacing w:line="360" w:lineRule="auto"/>
        <w:ind w:firstLine="1440"/>
        <w:contextualSpacing/>
      </w:pPr>
      <w:r w:rsidRPr="0033550F">
        <w:lastRenderedPageBreak/>
        <w:t xml:space="preserve">As </w:t>
      </w:r>
      <w:r w:rsidR="00296AA7">
        <w:t xml:space="preserve">a condition of the Settlement, </w:t>
      </w:r>
      <w:proofErr w:type="spellStart"/>
      <w:r w:rsidR="00296AA7">
        <w:t>Plumer</w:t>
      </w:r>
      <w:proofErr w:type="spellEnd"/>
      <w:r w:rsidRPr="0033550F">
        <w:t xml:space="preserve"> agreed to file a Revised Schedule I, attached to the Joint Petition for Settlement </w:t>
      </w:r>
      <w:r w:rsidR="004C7D12">
        <w:t xml:space="preserve">of Rate Investigation </w:t>
      </w:r>
      <w:r w:rsidRPr="0033550F">
        <w:t xml:space="preserve">as Appendix C, as an amendment to the AIA addressed by the Commission at G-2014-2439212 and approved by Secretarial Letter of the Commission dated December 11, 2014.  </w:t>
      </w:r>
      <w:r>
        <w:t>T</w:t>
      </w:r>
      <w:r w:rsidRPr="0033550F">
        <w:t xml:space="preserve">he amendment to Schedule I </w:t>
      </w:r>
      <w:proofErr w:type="gramStart"/>
      <w:r w:rsidRPr="0033550F">
        <w:t>is</w:t>
      </w:r>
      <w:proofErr w:type="gramEnd"/>
      <w:r w:rsidRPr="0033550F">
        <w:t xml:space="preserve"> in the public interest because it ensures that ratepayers are not funding the wages and benefits of two of </w:t>
      </w:r>
      <w:proofErr w:type="spellStart"/>
      <w:r w:rsidR="00E1574B">
        <w:t>Plumer’s</w:t>
      </w:r>
      <w:proofErr w:type="spellEnd"/>
      <w:r w:rsidRPr="0033550F">
        <w:t xml:space="preserve"> unregulated affiliates that share employees in common with the regulated utilities covered under the current AIA.  More specifically, the amended AIA will account for a total wage and benefit allocation of 17%-20% for the unregulated affiliates:  B. P. Rhodes &amp; Son, Inc. and B. &amp; B. Rhodes Supply.</w:t>
      </w:r>
      <w:r>
        <w:t xml:space="preserve">  I&amp;E St. in Support, pp. 7-8.  </w:t>
      </w:r>
    </w:p>
    <w:p w:rsidR="003C5873" w:rsidRDefault="003C5873" w:rsidP="003C5873">
      <w:pPr>
        <w:tabs>
          <w:tab w:val="left" w:pos="720"/>
          <w:tab w:val="left" w:pos="1440"/>
          <w:tab w:val="num" w:pos="2160"/>
        </w:tabs>
        <w:spacing w:line="360" w:lineRule="auto"/>
        <w:ind w:firstLine="1440"/>
        <w:contextualSpacing/>
      </w:pPr>
    </w:p>
    <w:p w:rsidR="003C5873" w:rsidRDefault="003C5873" w:rsidP="003C5873">
      <w:pPr>
        <w:tabs>
          <w:tab w:val="left" w:pos="720"/>
          <w:tab w:val="left" w:pos="1440"/>
          <w:tab w:val="num" w:pos="2160"/>
        </w:tabs>
        <w:spacing w:line="360" w:lineRule="auto"/>
        <w:ind w:firstLine="1440"/>
        <w:contextualSpacing/>
      </w:pPr>
      <w:r>
        <w:t>In the Settlement, t</w:t>
      </w:r>
      <w:r w:rsidRPr="0033550F">
        <w:t xml:space="preserve">he </w:t>
      </w:r>
      <w:r>
        <w:t>p</w:t>
      </w:r>
      <w:r w:rsidRPr="0033550F">
        <w:t>arties agree that the filing will be submitted pursuant to Chapter 21 of the Public Utility Code and that, consistent with submissions under Chapter 21, the amended AIA is not being proposed as a determination that the associated costs or expenses are reasonable or prudent for the purposes of determ</w:t>
      </w:r>
      <w:r>
        <w:t xml:space="preserve">ining just and reasonable rates.  </w:t>
      </w:r>
    </w:p>
    <w:p w:rsidR="003C5873" w:rsidRDefault="003C5873" w:rsidP="003C5873">
      <w:pPr>
        <w:tabs>
          <w:tab w:val="left" w:pos="720"/>
          <w:tab w:val="left" w:pos="1440"/>
          <w:tab w:val="num" w:pos="2160"/>
        </w:tabs>
        <w:spacing w:line="360" w:lineRule="auto"/>
        <w:ind w:firstLine="1440"/>
        <w:contextualSpacing/>
      </w:pPr>
    </w:p>
    <w:p w:rsidR="003C5873" w:rsidRDefault="003C5873" w:rsidP="003C5873">
      <w:pPr>
        <w:tabs>
          <w:tab w:val="left" w:pos="720"/>
          <w:tab w:val="left" w:pos="1440"/>
          <w:tab w:val="num" w:pos="2160"/>
        </w:tabs>
        <w:spacing w:line="360" w:lineRule="auto"/>
        <w:ind w:firstLine="1440"/>
        <w:contextualSpacing/>
        <w:rPr>
          <w:rFonts w:eastAsia="Calibri"/>
        </w:rPr>
      </w:pPr>
      <w:r>
        <w:t xml:space="preserve">The undersigned agrees with </w:t>
      </w:r>
      <w:proofErr w:type="gramStart"/>
      <w:r>
        <w:t>I&amp;E</w:t>
      </w:r>
      <w:proofErr w:type="gramEnd"/>
      <w:r>
        <w:t xml:space="preserve"> that t</w:t>
      </w:r>
      <w:r w:rsidRPr="0033550F">
        <w:t>he amendment will memorialize the existence of the unregulated affiliates so that appropriate allocations may be made in the future, serving to protect ratepayers from paying unreasonable and imprudent costs.  Additionally,</w:t>
      </w:r>
      <w:r>
        <w:t xml:space="preserve"> the undersigned agrees with </w:t>
      </w:r>
      <w:proofErr w:type="gramStart"/>
      <w:r>
        <w:t>I&amp;E</w:t>
      </w:r>
      <w:proofErr w:type="gramEnd"/>
      <w:r>
        <w:t xml:space="preserve"> that </w:t>
      </w:r>
      <w:r w:rsidRPr="0033550F">
        <w:t xml:space="preserve">the amendment will ensure that </w:t>
      </w:r>
      <w:proofErr w:type="spellStart"/>
      <w:r w:rsidR="00296AA7">
        <w:t>Plumer</w:t>
      </w:r>
      <w:proofErr w:type="spellEnd"/>
      <w:r w:rsidRPr="0033550F">
        <w:t xml:space="preserve"> has a guideline to facilitate an accurate accounting of and the separation of costs resulting from unregulated affiliates, making any of its future rate filings for regulated utilities more efficient for all </w:t>
      </w:r>
      <w:r>
        <w:t>p</w:t>
      </w:r>
      <w:r w:rsidRPr="0033550F">
        <w:t>arties.</w:t>
      </w:r>
      <w:r>
        <w:t xml:space="preserve"> </w:t>
      </w:r>
    </w:p>
    <w:p w:rsidR="0054447F" w:rsidRDefault="0054447F" w:rsidP="0054447F">
      <w:pPr>
        <w:tabs>
          <w:tab w:val="left" w:pos="720"/>
          <w:tab w:val="left" w:pos="810"/>
          <w:tab w:val="left" w:pos="900"/>
        </w:tabs>
        <w:spacing w:line="360" w:lineRule="auto"/>
        <w:ind w:firstLine="1440"/>
        <w:contextualSpacing/>
        <w:rPr>
          <w:rFonts w:eastAsia="Calibri"/>
        </w:rPr>
      </w:pPr>
    </w:p>
    <w:p w:rsidR="005A0D31" w:rsidRDefault="005A0D31" w:rsidP="005A0D31">
      <w:pPr>
        <w:spacing w:line="360" w:lineRule="auto"/>
      </w:pPr>
      <w:r w:rsidRPr="009C6D70">
        <w:tab/>
      </w:r>
      <w:r w:rsidRPr="009C6D70">
        <w:tab/>
        <w:t>Upon due consideration of the terms and conditions of the Joint Petition for Settlement</w:t>
      </w:r>
      <w:r w:rsidR="00521B53">
        <w:t xml:space="preserve"> of Rate </w:t>
      </w:r>
      <w:r w:rsidR="0054447F">
        <w:t>Investigation</w:t>
      </w:r>
      <w:r w:rsidR="00513B8D">
        <w:t xml:space="preserve">, </w:t>
      </w:r>
      <w:r w:rsidRPr="009C6D70">
        <w:t xml:space="preserve">including the </w:t>
      </w:r>
      <w:r w:rsidR="007047A8">
        <w:t>S</w:t>
      </w:r>
      <w:r w:rsidRPr="009C6D70">
        <w:t xml:space="preserve">tatements </w:t>
      </w:r>
      <w:r w:rsidR="007047A8">
        <w:t xml:space="preserve">in Support </w:t>
      </w:r>
      <w:r w:rsidRPr="009C6D70">
        <w:t>of the Joint Petitioners</w:t>
      </w:r>
      <w:r w:rsidR="007047A8">
        <w:t xml:space="preserve">, </w:t>
      </w:r>
      <w:r w:rsidR="00296AA7">
        <w:t xml:space="preserve">and consideration of the public input testimony, </w:t>
      </w:r>
      <w:r w:rsidR="007047A8">
        <w:t xml:space="preserve">the undersigned concludes </w:t>
      </w:r>
      <w:r w:rsidRPr="009C6D70">
        <w:t>this Settlement constitutes a fair, just and reasonable resolution of the Commission’s investigation.  Therefore, the Joint Petition for Settlement</w:t>
      </w:r>
      <w:r w:rsidR="00521B53">
        <w:t xml:space="preserve"> of Rate </w:t>
      </w:r>
      <w:r w:rsidR="0054447F">
        <w:t xml:space="preserve">Investigation </w:t>
      </w:r>
      <w:r w:rsidR="006F6985">
        <w:t xml:space="preserve">is in the public interest and is hereby recommended for approval.  </w:t>
      </w:r>
    </w:p>
    <w:p w:rsidR="000005CB" w:rsidRDefault="000005CB" w:rsidP="000F7CE1">
      <w:pPr>
        <w:spacing w:line="360" w:lineRule="auto"/>
        <w:jc w:val="center"/>
      </w:pPr>
    </w:p>
    <w:p w:rsidR="00B62B6E" w:rsidRDefault="00B62B6E" w:rsidP="000F7CE1">
      <w:pPr>
        <w:spacing w:line="360" w:lineRule="auto"/>
        <w:jc w:val="center"/>
      </w:pPr>
    </w:p>
    <w:p w:rsidR="00B62B6E" w:rsidRDefault="00B62B6E" w:rsidP="000F7CE1">
      <w:pPr>
        <w:spacing w:line="360" w:lineRule="auto"/>
        <w:jc w:val="center"/>
      </w:pPr>
    </w:p>
    <w:p w:rsidR="000F7CE1" w:rsidRPr="009C6D70" w:rsidRDefault="000F7CE1" w:rsidP="000F7CE1">
      <w:pPr>
        <w:spacing w:line="360" w:lineRule="auto"/>
        <w:jc w:val="center"/>
      </w:pPr>
      <w:r w:rsidRPr="009C6D70">
        <w:lastRenderedPageBreak/>
        <w:t>V.</w:t>
      </w:r>
      <w:r w:rsidRPr="009C6D70">
        <w:tab/>
      </w:r>
      <w:r w:rsidRPr="009C6D70">
        <w:rPr>
          <w:u w:val="single"/>
        </w:rPr>
        <w:t>CONCLUSIONS OF LAW</w:t>
      </w:r>
    </w:p>
    <w:p w:rsidR="000F7CE1" w:rsidRPr="009C6D70" w:rsidRDefault="000F7CE1" w:rsidP="000F7CE1">
      <w:pPr>
        <w:spacing w:line="360" w:lineRule="auto"/>
      </w:pPr>
    </w:p>
    <w:p w:rsidR="000F7CE1" w:rsidRDefault="000F7CE1" w:rsidP="00291135">
      <w:pPr>
        <w:numPr>
          <w:ilvl w:val="0"/>
          <w:numId w:val="2"/>
        </w:numPr>
        <w:tabs>
          <w:tab w:val="clear" w:pos="720"/>
          <w:tab w:val="num" w:pos="0"/>
        </w:tabs>
        <w:spacing w:line="360" w:lineRule="auto"/>
        <w:ind w:left="0" w:firstLine="1440"/>
      </w:pPr>
      <w:r w:rsidRPr="009C6D70">
        <w:t xml:space="preserve">The Commission has jurisdiction over the subject matter and the parties to this proceeding.  </w:t>
      </w:r>
      <w:proofErr w:type="gramStart"/>
      <w:r w:rsidRPr="009C6D70">
        <w:t xml:space="preserve">66 </w:t>
      </w:r>
      <w:proofErr w:type="spellStart"/>
      <w:r w:rsidRPr="009C6D70">
        <w:t>Pa.C.S</w:t>
      </w:r>
      <w:proofErr w:type="spellEnd"/>
      <w:r w:rsidRPr="009C6D70">
        <w:t>.</w:t>
      </w:r>
      <w:proofErr w:type="gramEnd"/>
      <w:r w:rsidRPr="009C6D70">
        <w:t xml:space="preserve"> §§</w:t>
      </w:r>
      <w:r w:rsidR="00183BB4">
        <w:t xml:space="preserve"> </w:t>
      </w:r>
      <w:r w:rsidRPr="009C6D70">
        <w:t xml:space="preserve">501, </w:t>
      </w:r>
      <w:r w:rsidRPr="009C6D70">
        <w:rPr>
          <w:i/>
        </w:rPr>
        <w:t>et seq</w:t>
      </w:r>
      <w:r w:rsidRPr="009C6D70">
        <w:t>.</w:t>
      </w:r>
    </w:p>
    <w:p w:rsidR="000F7CE1" w:rsidRDefault="000F7CE1" w:rsidP="000F7CE1">
      <w:pPr>
        <w:spacing w:line="360" w:lineRule="auto"/>
        <w:ind w:left="1440"/>
      </w:pPr>
    </w:p>
    <w:p w:rsidR="000F7CE1" w:rsidRDefault="000F7CE1" w:rsidP="00291135">
      <w:pPr>
        <w:numPr>
          <w:ilvl w:val="0"/>
          <w:numId w:val="2"/>
        </w:numPr>
        <w:tabs>
          <w:tab w:val="clear" w:pos="720"/>
          <w:tab w:val="num" w:pos="0"/>
        </w:tabs>
        <w:spacing w:line="360" w:lineRule="auto"/>
        <w:ind w:left="0" w:firstLine="1440"/>
      </w:pPr>
      <w:r w:rsidRPr="009C6D70">
        <w:t>The Joint Petition for Settlement</w:t>
      </w:r>
      <w:r w:rsidR="00521B53">
        <w:t xml:space="preserve"> of Rate </w:t>
      </w:r>
      <w:r w:rsidR="003C5873">
        <w:t>Investigation</w:t>
      </w:r>
      <w:r w:rsidRPr="009C6D70">
        <w:t xml:space="preserve"> is in the public interest and is consistent with the requirements contained in </w:t>
      </w:r>
      <w:r w:rsidRPr="000F7CE1">
        <w:rPr>
          <w:i/>
        </w:rPr>
        <w:t>Lloyd v. Pa. P</w:t>
      </w:r>
      <w:r w:rsidR="00BA1806">
        <w:rPr>
          <w:i/>
        </w:rPr>
        <w:t xml:space="preserve">ub. Util. </w:t>
      </w:r>
      <w:proofErr w:type="spellStart"/>
      <w:r w:rsidR="00BA1806">
        <w:rPr>
          <w:i/>
        </w:rPr>
        <w:t>Comm’n</w:t>
      </w:r>
      <w:proofErr w:type="spellEnd"/>
      <w:r w:rsidRPr="009C6D70">
        <w:t>, 904 A.2d 1010 (</w:t>
      </w:r>
      <w:proofErr w:type="spellStart"/>
      <w:r w:rsidRPr="009C6D70">
        <w:t>Pa.Cmwlth</w:t>
      </w:r>
      <w:proofErr w:type="spellEnd"/>
      <w:r w:rsidRPr="009C6D70">
        <w:t>. 2006).</w:t>
      </w:r>
    </w:p>
    <w:p w:rsidR="003B02F6" w:rsidRDefault="003B02F6" w:rsidP="000F7CE1">
      <w:pPr>
        <w:spacing w:line="360" w:lineRule="auto"/>
      </w:pPr>
    </w:p>
    <w:p w:rsidR="000F7CE1" w:rsidRDefault="000F7CE1" w:rsidP="003B02F6">
      <w:pPr>
        <w:spacing w:line="360" w:lineRule="auto"/>
        <w:jc w:val="center"/>
        <w:rPr>
          <w:u w:val="single"/>
        </w:rPr>
      </w:pPr>
      <w:r w:rsidRPr="009C6D70">
        <w:t>V</w:t>
      </w:r>
      <w:r w:rsidR="00E1574B">
        <w:t>I</w:t>
      </w:r>
      <w:r w:rsidRPr="009C6D70">
        <w:t>.</w:t>
      </w:r>
      <w:r w:rsidRPr="009C6D70">
        <w:tab/>
      </w:r>
      <w:r w:rsidRPr="009C6D70">
        <w:rPr>
          <w:u w:val="single"/>
        </w:rPr>
        <w:t>ORDER</w:t>
      </w:r>
    </w:p>
    <w:p w:rsidR="00BA1806" w:rsidRPr="009C6D70" w:rsidRDefault="00BA1806" w:rsidP="003B02F6">
      <w:pPr>
        <w:spacing w:line="360" w:lineRule="auto"/>
        <w:jc w:val="center"/>
      </w:pPr>
    </w:p>
    <w:p w:rsidR="000F7CE1" w:rsidRPr="009C6D70" w:rsidRDefault="000F7CE1" w:rsidP="000F7CE1">
      <w:pPr>
        <w:spacing w:line="360" w:lineRule="auto"/>
      </w:pPr>
    </w:p>
    <w:p w:rsidR="000F7CE1" w:rsidRPr="009C6D70" w:rsidRDefault="000F7CE1" w:rsidP="000F7CE1">
      <w:pPr>
        <w:spacing w:line="360" w:lineRule="auto"/>
      </w:pPr>
      <w:r w:rsidRPr="009C6D70">
        <w:tab/>
      </w:r>
      <w:r w:rsidRPr="009C6D70">
        <w:tab/>
        <w:t>THEREFORE,</w:t>
      </w:r>
    </w:p>
    <w:p w:rsidR="000F7CE1" w:rsidRPr="009C6D70" w:rsidRDefault="000F7CE1" w:rsidP="000F7CE1">
      <w:pPr>
        <w:spacing w:line="360" w:lineRule="auto"/>
      </w:pPr>
    </w:p>
    <w:p w:rsidR="000F7CE1" w:rsidRPr="009C6D70" w:rsidRDefault="000F7CE1" w:rsidP="000F7CE1">
      <w:pPr>
        <w:spacing w:line="360" w:lineRule="auto"/>
      </w:pPr>
      <w:r w:rsidRPr="009C6D70">
        <w:tab/>
      </w:r>
      <w:r w:rsidRPr="009C6D70">
        <w:tab/>
        <w:t>IT IS RECOMMENDED:</w:t>
      </w:r>
    </w:p>
    <w:p w:rsidR="000F7CE1" w:rsidRPr="009C6D70" w:rsidRDefault="000F7CE1" w:rsidP="000F7CE1">
      <w:pPr>
        <w:spacing w:line="360" w:lineRule="auto"/>
      </w:pPr>
    </w:p>
    <w:p w:rsidR="000F7CE1" w:rsidRDefault="000F7CE1" w:rsidP="00291135">
      <w:pPr>
        <w:numPr>
          <w:ilvl w:val="0"/>
          <w:numId w:val="1"/>
        </w:numPr>
        <w:tabs>
          <w:tab w:val="clear" w:pos="720"/>
        </w:tabs>
        <w:spacing w:line="360" w:lineRule="auto"/>
        <w:ind w:left="0" w:firstLine="1440"/>
      </w:pPr>
      <w:r w:rsidRPr="009C6D70">
        <w:t xml:space="preserve">That the Joint Petition for Settlement </w:t>
      </w:r>
      <w:r w:rsidR="003C5873">
        <w:t xml:space="preserve">of Rate Investigation </w:t>
      </w:r>
      <w:r w:rsidRPr="009C6D70">
        <w:t xml:space="preserve">that </w:t>
      </w:r>
      <w:r>
        <w:t>the Bureau of Investigation and Enforcement of the Pennsylvania Public Utility Commission, the Office of Consumer Advocate</w:t>
      </w:r>
      <w:r w:rsidR="00521B53">
        <w:t xml:space="preserve"> </w:t>
      </w:r>
      <w:r>
        <w:t xml:space="preserve">and </w:t>
      </w:r>
      <w:proofErr w:type="spellStart"/>
      <w:r w:rsidR="00296AA7">
        <w:t>Plumer</w:t>
      </w:r>
      <w:proofErr w:type="spellEnd"/>
      <w:r w:rsidR="003C5873">
        <w:t xml:space="preserve"> Water Company</w:t>
      </w:r>
      <w:r w:rsidR="00521B53">
        <w:t xml:space="preserve"> </w:t>
      </w:r>
      <w:r w:rsidRPr="009C6D70">
        <w:t xml:space="preserve">have </w:t>
      </w:r>
      <w:r w:rsidR="00037651">
        <w:t xml:space="preserve">filed </w:t>
      </w:r>
      <w:r w:rsidRPr="009C6D70">
        <w:t>at Docket No. R</w:t>
      </w:r>
      <w:r w:rsidRPr="009C6D70">
        <w:noBreakHyphen/>
        <w:t>201</w:t>
      </w:r>
      <w:r w:rsidR="00521B53">
        <w:t>4-24</w:t>
      </w:r>
      <w:r w:rsidR="00296AA7">
        <w:t>30945</w:t>
      </w:r>
      <w:r w:rsidRPr="009C6D70">
        <w:t xml:space="preserve">, including all terms and conditions stated therein, </w:t>
      </w:r>
      <w:r>
        <w:t>be</w:t>
      </w:r>
      <w:r w:rsidRPr="009C6D70">
        <w:t xml:space="preserve"> approved without modification.  </w:t>
      </w:r>
    </w:p>
    <w:p w:rsidR="00521B53" w:rsidRPr="009C6D70" w:rsidRDefault="00521B53" w:rsidP="00521B53">
      <w:pPr>
        <w:spacing w:line="360" w:lineRule="auto"/>
        <w:ind w:left="1440"/>
      </w:pPr>
    </w:p>
    <w:p w:rsidR="000F7CE1" w:rsidRDefault="000F7CE1" w:rsidP="00291135">
      <w:pPr>
        <w:numPr>
          <w:ilvl w:val="0"/>
          <w:numId w:val="1"/>
        </w:numPr>
        <w:tabs>
          <w:tab w:val="clear" w:pos="720"/>
          <w:tab w:val="num" w:pos="0"/>
        </w:tabs>
        <w:spacing w:line="360" w:lineRule="auto"/>
        <w:ind w:left="0" w:firstLine="1440"/>
      </w:pPr>
      <w:r w:rsidRPr="009C6D70">
        <w:t xml:space="preserve">That </w:t>
      </w:r>
      <w:proofErr w:type="spellStart"/>
      <w:r w:rsidR="00296AA7">
        <w:t>Plumer</w:t>
      </w:r>
      <w:proofErr w:type="spellEnd"/>
      <w:r w:rsidR="003C5873">
        <w:t xml:space="preserve"> Water Company</w:t>
      </w:r>
      <w:r w:rsidR="00521B53">
        <w:t xml:space="preserve"> </w:t>
      </w:r>
      <w:r>
        <w:t xml:space="preserve">shall be permitted to file a tariff supplement incorporating the terms of the </w:t>
      </w:r>
      <w:r w:rsidR="006F6923">
        <w:t xml:space="preserve">Joint Petition for </w:t>
      </w:r>
      <w:r>
        <w:t xml:space="preserve">Settlement </w:t>
      </w:r>
      <w:r w:rsidR="00521B53">
        <w:t xml:space="preserve">of Rate </w:t>
      </w:r>
      <w:r w:rsidR="003C5873">
        <w:t>Investigation</w:t>
      </w:r>
      <w:r w:rsidR="00521B53">
        <w:t xml:space="preserve"> </w:t>
      </w:r>
      <w:r>
        <w:t xml:space="preserve">and changes to rates, rules and regulations as set forth in </w:t>
      </w:r>
      <w:r w:rsidR="00521B53">
        <w:t xml:space="preserve">the Joint Petition for Settlement of Rate </w:t>
      </w:r>
      <w:r w:rsidR="003C5873">
        <w:t>Investigation</w:t>
      </w:r>
      <w:r w:rsidRPr="009C6D70">
        <w:t xml:space="preserve">, </w:t>
      </w:r>
      <w:r>
        <w:t>to become</w:t>
      </w:r>
      <w:r w:rsidRPr="009C6D70">
        <w:t xml:space="preserve"> effect</w:t>
      </w:r>
      <w:r>
        <w:t>ive</w:t>
      </w:r>
      <w:r w:rsidRPr="009C6D70">
        <w:t xml:space="preserve"> </w:t>
      </w:r>
      <w:r>
        <w:t xml:space="preserve">upon </w:t>
      </w:r>
      <w:r w:rsidR="00521B53">
        <w:t xml:space="preserve">at least </w:t>
      </w:r>
      <w:r>
        <w:t xml:space="preserve">one day’s notice after entry of the Commission’s Order approving the </w:t>
      </w:r>
      <w:r w:rsidR="006F6923">
        <w:t xml:space="preserve">Joint Petition for </w:t>
      </w:r>
      <w:r>
        <w:t>Settlement</w:t>
      </w:r>
      <w:r w:rsidR="003C5873">
        <w:t xml:space="preserve"> of Rate Investigation</w:t>
      </w:r>
      <w:r w:rsidR="00521B53">
        <w:t xml:space="preserve">.  </w:t>
      </w:r>
      <w:r>
        <w:t xml:space="preserve"> </w:t>
      </w:r>
      <w:r w:rsidR="00037651">
        <w:t xml:space="preserve"> </w:t>
      </w:r>
    </w:p>
    <w:p w:rsidR="00A64E83" w:rsidRDefault="00A64E83" w:rsidP="00A64E83">
      <w:pPr>
        <w:spacing w:line="360" w:lineRule="auto"/>
        <w:ind w:left="1440"/>
      </w:pPr>
    </w:p>
    <w:p w:rsidR="00022EDA" w:rsidRDefault="009A3598" w:rsidP="002B4349">
      <w:pPr>
        <w:spacing w:line="360" w:lineRule="auto"/>
        <w:ind w:firstLine="1440"/>
      </w:pPr>
      <w:r>
        <w:t>3.</w:t>
      </w:r>
      <w:r>
        <w:tab/>
        <w:t xml:space="preserve">That, within </w:t>
      </w:r>
      <w:r w:rsidR="002B4349">
        <w:t>thirty (</w:t>
      </w:r>
      <w:r>
        <w:t>3</w:t>
      </w:r>
      <w:r w:rsidRPr="009143E2">
        <w:t>0</w:t>
      </w:r>
      <w:r w:rsidR="002B4349">
        <w:t>)</w:t>
      </w:r>
      <w:r w:rsidRPr="009143E2">
        <w:t xml:space="preserve"> days of the issuance of </w:t>
      </w:r>
      <w:r w:rsidR="00564004">
        <w:t xml:space="preserve">the Commission’s </w:t>
      </w:r>
      <w:r w:rsidRPr="009143E2">
        <w:t>Final Order</w:t>
      </w:r>
      <w:r w:rsidR="00564004">
        <w:t xml:space="preserve">, </w:t>
      </w:r>
      <w:proofErr w:type="spellStart"/>
      <w:r w:rsidR="00296AA7">
        <w:t>Plumer</w:t>
      </w:r>
      <w:proofErr w:type="spellEnd"/>
      <w:r w:rsidR="00296AA7">
        <w:t xml:space="preserve"> </w:t>
      </w:r>
      <w:r w:rsidR="00564004">
        <w:t xml:space="preserve">Water Company shall file </w:t>
      </w:r>
      <w:r>
        <w:t xml:space="preserve">the Revised Schedule I, attached to the </w:t>
      </w:r>
      <w:r w:rsidR="00564004">
        <w:t xml:space="preserve">Joint Petition for </w:t>
      </w:r>
      <w:r>
        <w:t xml:space="preserve">Settlement </w:t>
      </w:r>
      <w:r w:rsidR="00564004">
        <w:t xml:space="preserve">of Rate Investigation </w:t>
      </w:r>
      <w:r>
        <w:t xml:space="preserve">as Appendix </w:t>
      </w:r>
      <w:r w:rsidR="00296AA7">
        <w:t>D</w:t>
      </w:r>
      <w:r>
        <w:t xml:space="preserve">, as an amendment to the </w:t>
      </w:r>
      <w:r w:rsidRPr="009143E2">
        <w:t xml:space="preserve">Affiliated Interest </w:t>
      </w:r>
      <w:r w:rsidRPr="009143E2">
        <w:lastRenderedPageBreak/>
        <w:t>Agreement</w:t>
      </w:r>
      <w:r>
        <w:t xml:space="preserve"> addressed by the Commission at G-2014-2439212 and approved by Secretarial Letter of the Commission dated December 11, 2014.  </w:t>
      </w:r>
    </w:p>
    <w:p w:rsidR="00022EDA" w:rsidRDefault="00022EDA" w:rsidP="00022EDA">
      <w:pPr>
        <w:spacing w:line="360" w:lineRule="auto"/>
      </w:pPr>
    </w:p>
    <w:p w:rsidR="009A3598" w:rsidRDefault="00022EDA" w:rsidP="00022EDA">
      <w:pPr>
        <w:spacing w:line="360" w:lineRule="auto"/>
        <w:ind w:firstLine="720"/>
      </w:pPr>
      <w:r>
        <w:t xml:space="preserve">           4.</w:t>
      </w:r>
      <w:r>
        <w:tab/>
      </w:r>
      <w:r w:rsidR="000F7CE1" w:rsidRPr="009C6D70">
        <w:t xml:space="preserve">That the </w:t>
      </w:r>
      <w:r w:rsidR="009A3598">
        <w:t>formal complaint</w:t>
      </w:r>
      <w:r w:rsidR="00296AA7">
        <w:t>s</w:t>
      </w:r>
      <w:r w:rsidR="009A3598">
        <w:t xml:space="preserve"> of </w:t>
      </w:r>
      <w:r w:rsidR="00296AA7">
        <w:t xml:space="preserve">David J. Schneider at Docket No. C-2014-2449779 and </w:t>
      </w:r>
      <w:r w:rsidR="009A3598">
        <w:t xml:space="preserve">the </w:t>
      </w:r>
      <w:r w:rsidR="009A3598" w:rsidRPr="009C6D70">
        <w:t>Office of Consumer Advocate</w:t>
      </w:r>
      <w:r w:rsidR="009A3598">
        <w:t xml:space="preserve"> at Docket No.</w:t>
      </w:r>
      <w:r w:rsidR="009A3598" w:rsidRPr="009C6D70">
        <w:t xml:space="preserve"> </w:t>
      </w:r>
      <w:r w:rsidR="009A3598">
        <w:t>C</w:t>
      </w:r>
      <w:r w:rsidR="009A3598">
        <w:noBreakHyphen/>
        <w:t>2014-24492</w:t>
      </w:r>
      <w:r w:rsidR="009633F4">
        <w:t>5</w:t>
      </w:r>
      <w:r w:rsidR="00296AA7">
        <w:t>8</w:t>
      </w:r>
      <w:r w:rsidR="009A3598">
        <w:t xml:space="preserve"> </w:t>
      </w:r>
      <w:r w:rsidR="000F7CE1">
        <w:t>be</w:t>
      </w:r>
      <w:r w:rsidR="006F6923">
        <w:t xml:space="preserve"> </w:t>
      </w:r>
      <w:r w:rsidR="00521B53">
        <w:t xml:space="preserve">satisfied </w:t>
      </w:r>
      <w:r w:rsidR="00BE573F">
        <w:t>or</w:t>
      </w:r>
      <w:r w:rsidR="006F6923">
        <w:t xml:space="preserve"> denied consistent with </w:t>
      </w:r>
      <w:r w:rsidR="00563808">
        <w:t xml:space="preserve">the </w:t>
      </w:r>
      <w:r w:rsidR="006F6923">
        <w:t>tariff supplement incorporating the terms of the Joint Petition for Settlement</w:t>
      </w:r>
      <w:r w:rsidR="00521B53">
        <w:t xml:space="preserve"> of Rate </w:t>
      </w:r>
      <w:r w:rsidR="009A3598">
        <w:t xml:space="preserve">Investigation </w:t>
      </w:r>
      <w:r w:rsidR="006F6923">
        <w:t xml:space="preserve">and changes to rates, rules and regulations </w:t>
      </w:r>
      <w:r w:rsidR="004968B9">
        <w:t xml:space="preserve">as set forth in the Joint Petition for Settlement of Rate </w:t>
      </w:r>
      <w:r w:rsidR="009A3598">
        <w:t xml:space="preserve">Investigation.  </w:t>
      </w:r>
      <w:r w:rsidR="004968B9">
        <w:t xml:space="preserve"> </w:t>
      </w:r>
      <w:r w:rsidR="009A3598">
        <w:tab/>
      </w:r>
    </w:p>
    <w:p w:rsidR="009A3598" w:rsidRDefault="009A3598" w:rsidP="009A3598">
      <w:pPr>
        <w:pStyle w:val="ListNumber"/>
        <w:numPr>
          <w:ilvl w:val="0"/>
          <w:numId w:val="0"/>
        </w:numPr>
        <w:spacing w:line="360" w:lineRule="auto"/>
        <w:ind w:left="1440"/>
      </w:pPr>
    </w:p>
    <w:p w:rsidR="009A3598" w:rsidRDefault="00022EDA" w:rsidP="009A3598">
      <w:pPr>
        <w:pStyle w:val="ListNumber"/>
        <w:numPr>
          <w:ilvl w:val="0"/>
          <w:numId w:val="0"/>
        </w:numPr>
        <w:spacing w:line="360" w:lineRule="auto"/>
        <w:ind w:left="1440"/>
      </w:pPr>
      <w:r>
        <w:t>5</w:t>
      </w:r>
      <w:r w:rsidR="009A3598">
        <w:t>.</w:t>
      </w:r>
      <w:r w:rsidR="009A3598">
        <w:tab/>
      </w:r>
      <w:r w:rsidR="000F7CE1" w:rsidRPr="009C6D70">
        <w:t>That the Commission’s investigation at Docket No. R-201</w:t>
      </w:r>
      <w:r w:rsidR="00B63C3C">
        <w:t>4-24</w:t>
      </w:r>
      <w:r w:rsidR="00ED0CC0">
        <w:t>30945</w:t>
      </w:r>
      <w:r w:rsidR="00B63C3C">
        <w:t xml:space="preserve"> and</w:t>
      </w:r>
    </w:p>
    <w:p w:rsidR="000F7CE1" w:rsidRPr="009C6D70" w:rsidRDefault="00B63C3C" w:rsidP="009A3598">
      <w:pPr>
        <w:pStyle w:val="ListNumber"/>
        <w:numPr>
          <w:ilvl w:val="0"/>
          <w:numId w:val="0"/>
        </w:numPr>
        <w:spacing w:line="360" w:lineRule="auto"/>
      </w:pPr>
      <w:proofErr w:type="gramStart"/>
      <w:r>
        <w:t>the</w:t>
      </w:r>
      <w:proofErr w:type="gramEnd"/>
      <w:r>
        <w:t xml:space="preserve"> formal complaint</w:t>
      </w:r>
      <w:r w:rsidR="00ED0CC0">
        <w:t>s</w:t>
      </w:r>
      <w:r>
        <w:t xml:space="preserve"> at </w:t>
      </w:r>
      <w:r w:rsidR="00ED0CC0">
        <w:t xml:space="preserve">Docket No. C-2014-2449779 and </w:t>
      </w:r>
      <w:r>
        <w:t>Docket No.</w:t>
      </w:r>
      <w:r w:rsidR="008102E2">
        <w:t xml:space="preserve"> </w:t>
      </w:r>
      <w:r w:rsidR="009A3598">
        <w:t>C</w:t>
      </w:r>
      <w:r w:rsidR="009A3598">
        <w:noBreakHyphen/>
        <w:t>2014-24492</w:t>
      </w:r>
      <w:r w:rsidR="009633F4">
        <w:t>5</w:t>
      </w:r>
      <w:r w:rsidR="00ED0CC0">
        <w:t>8</w:t>
      </w:r>
      <w:r w:rsidR="009A3598">
        <w:t xml:space="preserve">, </w:t>
      </w:r>
      <w:r w:rsidR="000F7CE1">
        <w:t>be</w:t>
      </w:r>
      <w:r w:rsidR="000F7CE1" w:rsidRPr="009C6D70">
        <w:t xml:space="preserve"> marked closed.</w:t>
      </w:r>
    </w:p>
    <w:p w:rsidR="007210F1" w:rsidRDefault="007210F1" w:rsidP="003B02F6">
      <w:pPr>
        <w:spacing w:line="360" w:lineRule="auto"/>
        <w:ind w:left="1440"/>
      </w:pPr>
    </w:p>
    <w:p w:rsidR="00B7275D" w:rsidRDefault="00B7275D" w:rsidP="003B02F6">
      <w:pPr>
        <w:spacing w:line="360" w:lineRule="auto"/>
        <w:ind w:left="1440"/>
      </w:pPr>
    </w:p>
    <w:p w:rsidR="00B7275D" w:rsidRDefault="00B7275D" w:rsidP="003B02F6">
      <w:pPr>
        <w:spacing w:line="360" w:lineRule="auto"/>
        <w:ind w:left="1440"/>
      </w:pPr>
    </w:p>
    <w:p w:rsidR="00183641" w:rsidRDefault="00595E5F" w:rsidP="00183641">
      <w:r w:rsidRPr="009C6D70">
        <w:t xml:space="preserve">Date:  </w:t>
      </w:r>
      <w:r w:rsidR="009B5182">
        <w:rPr>
          <w:u w:val="single"/>
        </w:rPr>
        <w:t>April 2</w:t>
      </w:r>
      <w:r w:rsidR="00ED0CC0">
        <w:rPr>
          <w:u w:val="single"/>
        </w:rPr>
        <w:t>3</w:t>
      </w:r>
      <w:r w:rsidR="009B5182">
        <w:rPr>
          <w:u w:val="single"/>
        </w:rPr>
        <w:t>, 2015</w:t>
      </w:r>
      <w:r w:rsidRPr="009C6D70">
        <w:tab/>
      </w:r>
      <w:r w:rsidRPr="009C6D70">
        <w:tab/>
      </w:r>
      <w:r w:rsidRPr="009C6D70">
        <w:tab/>
      </w:r>
      <w:r w:rsidR="003B02F6">
        <w:tab/>
      </w:r>
      <w:r w:rsidR="00183641">
        <w:tab/>
      </w:r>
      <w:r w:rsidR="009B5182">
        <w:tab/>
      </w:r>
      <w:r w:rsidR="00183641">
        <w:rPr>
          <w:u w:val="single"/>
        </w:rPr>
        <w:tab/>
      </w:r>
      <w:r w:rsidR="00183641">
        <w:rPr>
          <w:u w:val="single"/>
        </w:rPr>
        <w:tab/>
        <w:t>/s/</w:t>
      </w:r>
      <w:r w:rsidR="00183641">
        <w:rPr>
          <w:u w:val="single"/>
        </w:rPr>
        <w:tab/>
      </w:r>
      <w:r w:rsidR="00183641">
        <w:rPr>
          <w:u w:val="single"/>
        </w:rPr>
        <w:tab/>
      </w:r>
      <w:r w:rsidR="00183641">
        <w:rPr>
          <w:u w:val="single"/>
        </w:rPr>
        <w:tab/>
      </w:r>
    </w:p>
    <w:p w:rsidR="00595E5F" w:rsidRPr="009C6D70" w:rsidRDefault="00595E5F" w:rsidP="00595E5F">
      <w:r w:rsidRPr="009C6D70">
        <w:tab/>
      </w:r>
      <w:r w:rsidRPr="009C6D70">
        <w:tab/>
      </w:r>
      <w:r w:rsidRPr="009C6D70">
        <w:tab/>
      </w:r>
      <w:r w:rsidRPr="009C6D70">
        <w:tab/>
      </w:r>
      <w:r w:rsidRPr="009C6D70">
        <w:tab/>
      </w:r>
      <w:r w:rsidRPr="009C6D70">
        <w:tab/>
      </w:r>
      <w:r w:rsidRPr="009C6D70">
        <w:tab/>
      </w:r>
      <w:r w:rsidR="00183641">
        <w:tab/>
      </w:r>
      <w:r w:rsidRPr="009C6D70">
        <w:t>Mark A. Hoyer</w:t>
      </w:r>
    </w:p>
    <w:p w:rsidR="00595E5F" w:rsidRPr="009C6D70" w:rsidRDefault="00595E5F" w:rsidP="00595E5F">
      <w:r w:rsidRPr="009C6D70">
        <w:tab/>
      </w:r>
      <w:r w:rsidRPr="009C6D70">
        <w:tab/>
      </w:r>
      <w:r w:rsidRPr="009C6D70">
        <w:tab/>
      </w:r>
      <w:r w:rsidRPr="009C6D70">
        <w:tab/>
      </w:r>
      <w:r w:rsidRPr="009C6D70">
        <w:tab/>
      </w:r>
      <w:r w:rsidRPr="009C6D70">
        <w:tab/>
      </w:r>
      <w:r w:rsidRPr="009C6D70">
        <w:tab/>
      </w:r>
      <w:r w:rsidR="00183641">
        <w:tab/>
      </w:r>
      <w:r w:rsidRPr="009C6D70">
        <w:t>Administrative Law Judge</w:t>
      </w:r>
    </w:p>
    <w:p w:rsidR="00595E5F" w:rsidRDefault="00595E5F" w:rsidP="00595E5F"/>
    <w:sectPr w:rsidR="00595E5F" w:rsidSect="00E87E9B">
      <w:pgSz w:w="12240" w:h="15840" w:code="1"/>
      <w:pgMar w:top="1440" w:right="1440" w:bottom="1440" w:left="1440" w:header="144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09C" w:rsidRDefault="001B609C">
      <w:r>
        <w:separator/>
      </w:r>
    </w:p>
  </w:endnote>
  <w:endnote w:type="continuationSeparator" w:id="0">
    <w:p w:rsidR="001B609C" w:rsidRDefault="001B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898" w:rsidRDefault="00575898" w:rsidP="00B161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5898" w:rsidRDefault="005758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079969"/>
      <w:docPartObj>
        <w:docPartGallery w:val="Page Numbers (Bottom of Page)"/>
        <w:docPartUnique/>
      </w:docPartObj>
    </w:sdtPr>
    <w:sdtEndPr>
      <w:rPr>
        <w:noProof/>
        <w:sz w:val="20"/>
        <w:szCs w:val="20"/>
      </w:rPr>
    </w:sdtEndPr>
    <w:sdtContent>
      <w:p w:rsidR="00575898" w:rsidRPr="00AE68D2" w:rsidRDefault="00575898">
        <w:pPr>
          <w:pStyle w:val="Footer"/>
          <w:jc w:val="center"/>
          <w:rPr>
            <w:sz w:val="20"/>
            <w:szCs w:val="20"/>
          </w:rPr>
        </w:pPr>
        <w:r w:rsidRPr="00AE68D2">
          <w:rPr>
            <w:sz w:val="20"/>
            <w:szCs w:val="20"/>
          </w:rPr>
          <w:fldChar w:fldCharType="begin"/>
        </w:r>
        <w:r w:rsidRPr="00AE68D2">
          <w:rPr>
            <w:sz w:val="20"/>
            <w:szCs w:val="20"/>
          </w:rPr>
          <w:instrText xml:space="preserve"> PAGE   \* MERGEFORMAT </w:instrText>
        </w:r>
        <w:r w:rsidRPr="00AE68D2">
          <w:rPr>
            <w:sz w:val="20"/>
            <w:szCs w:val="20"/>
          </w:rPr>
          <w:fldChar w:fldCharType="separate"/>
        </w:r>
        <w:r>
          <w:rPr>
            <w:noProof/>
            <w:sz w:val="20"/>
            <w:szCs w:val="20"/>
          </w:rPr>
          <w:t>2</w:t>
        </w:r>
        <w:r w:rsidRPr="00AE68D2">
          <w:rPr>
            <w:noProof/>
            <w:sz w:val="20"/>
            <w:szCs w:val="20"/>
          </w:rPr>
          <w:fldChar w:fldCharType="end"/>
        </w:r>
      </w:p>
    </w:sdtContent>
  </w:sdt>
  <w:p w:rsidR="00575898" w:rsidRDefault="005758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898" w:rsidRDefault="00575898" w:rsidP="00717DF2">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461143"/>
      <w:docPartObj>
        <w:docPartGallery w:val="Page Numbers (Bottom of Page)"/>
        <w:docPartUnique/>
      </w:docPartObj>
    </w:sdtPr>
    <w:sdtEndPr>
      <w:rPr>
        <w:noProof/>
        <w:sz w:val="20"/>
        <w:szCs w:val="20"/>
      </w:rPr>
    </w:sdtEndPr>
    <w:sdtContent>
      <w:p w:rsidR="00575898" w:rsidRPr="00AE68D2" w:rsidRDefault="00575898">
        <w:pPr>
          <w:pStyle w:val="Footer"/>
          <w:jc w:val="center"/>
          <w:rPr>
            <w:sz w:val="20"/>
            <w:szCs w:val="20"/>
          </w:rPr>
        </w:pPr>
        <w:r w:rsidRPr="00AE68D2">
          <w:rPr>
            <w:sz w:val="20"/>
            <w:szCs w:val="20"/>
          </w:rPr>
          <w:fldChar w:fldCharType="begin"/>
        </w:r>
        <w:r w:rsidRPr="00AE68D2">
          <w:rPr>
            <w:sz w:val="20"/>
            <w:szCs w:val="20"/>
          </w:rPr>
          <w:instrText xml:space="preserve"> PAGE   \* MERGEFORMAT </w:instrText>
        </w:r>
        <w:r w:rsidRPr="00AE68D2">
          <w:rPr>
            <w:sz w:val="20"/>
            <w:szCs w:val="20"/>
          </w:rPr>
          <w:fldChar w:fldCharType="separate"/>
        </w:r>
        <w:r w:rsidR="00EF59A3">
          <w:rPr>
            <w:noProof/>
            <w:sz w:val="20"/>
            <w:szCs w:val="20"/>
          </w:rPr>
          <w:t>25</w:t>
        </w:r>
        <w:r w:rsidRPr="00AE68D2">
          <w:rPr>
            <w:noProof/>
            <w:sz w:val="20"/>
            <w:szCs w:val="20"/>
          </w:rPr>
          <w:fldChar w:fldCharType="end"/>
        </w:r>
      </w:p>
    </w:sdtContent>
  </w:sdt>
  <w:p w:rsidR="00575898" w:rsidRDefault="0057589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898" w:rsidRDefault="00575898">
    <w:pPr>
      <w:pStyle w:val="Footer"/>
      <w:jc w:val="center"/>
    </w:pPr>
  </w:p>
  <w:p w:rsidR="00575898" w:rsidRPr="00F2188C" w:rsidRDefault="00936EFC" w:rsidP="00936EFC">
    <w:pPr>
      <w:pStyle w:val="Footer"/>
      <w:tabs>
        <w:tab w:val="left" w:pos="3732"/>
      </w:tabs>
      <w:rPr>
        <w:sz w:val="20"/>
        <w:szCs w:val="20"/>
      </w:rPr>
    </w:pPr>
    <w:r>
      <w:rPr>
        <w:sz w:val="20"/>
        <w:szCs w:val="20"/>
      </w:rPr>
      <w:tab/>
    </w: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09C" w:rsidRDefault="001B609C">
      <w:r>
        <w:separator/>
      </w:r>
    </w:p>
  </w:footnote>
  <w:footnote w:type="continuationSeparator" w:id="0">
    <w:p w:rsidR="001B609C" w:rsidRDefault="001B609C">
      <w:r>
        <w:continuationSeparator/>
      </w:r>
    </w:p>
  </w:footnote>
  <w:footnote w:id="1">
    <w:p w:rsidR="00575898" w:rsidRDefault="005D06E3">
      <w:pPr>
        <w:pStyle w:val="FootnoteText"/>
      </w:pPr>
      <w:r>
        <w:tab/>
      </w:r>
      <w:r w:rsidR="00575898">
        <w:rPr>
          <w:rStyle w:val="FootnoteReference"/>
        </w:rPr>
        <w:footnoteRef/>
      </w:r>
      <w:r>
        <w:tab/>
      </w:r>
      <w:r w:rsidR="00575898">
        <w:t xml:space="preserve">The Settlement Tariff attached as Appendix A to the Settlement provides that each customer will be assessed a customer charge based upon the size of the customer’s meter.  There are four meter sizes and four different customer charges provided for in the Settlement Tariff.  The customer charge of $23.00 is for a 5/8 inch meter.  </w:t>
      </w:r>
    </w:p>
  </w:footnote>
  <w:footnote w:id="2">
    <w:p w:rsidR="00575898" w:rsidRDefault="006744D8" w:rsidP="001D31F1">
      <w:pPr>
        <w:pStyle w:val="FootnoteText"/>
        <w:rPr>
          <w:sz w:val="23"/>
          <w:szCs w:val="23"/>
        </w:rPr>
      </w:pPr>
      <w:r>
        <w:tab/>
      </w:r>
      <w:r w:rsidR="00575898">
        <w:rPr>
          <w:rStyle w:val="FootnoteReference"/>
        </w:rPr>
        <w:footnoteRef/>
      </w:r>
      <w:r>
        <w:tab/>
      </w:r>
      <w:proofErr w:type="gramStart"/>
      <w:r w:rsidR="00575898" w:rsidRPr="003F5930">
        <w:t xml:space="preserve">52 </w:t>
      </w:r>
      <w:proofErr w:type="spellStart"/>
      <w:r w:rsidR="00575898" w:rsidRPr="003F5930">
        <w:t>Pa.Code</w:t>
      </w:r>
      <w:proofErr w:type="spellEnd"/>
      <w:r w:rsidR="00575898" w:rsidRPr="003F5930">
        <w:t xml:space="preserve"> </w:t>
      </w:r>
      <w:r w:rsidR="00575898">
        <w:t>§</w:t>
      </w:r>
      <w:r w:rsidR="00575898" w:rsidRPr="003F5930">
        <w:t xml:space="preserve"> 5.231(a).</w:t>
      </w:r>
      <w:proofErr w:type="gramEnd"/>
      <w:r w:rsidR="00575898" w:rsidRPr="003F5930">
        <w:t xml:space="preserve">  </w:t>
      </w:r>
      <w:r w:rsidR="00575898" w:rsidRPr="003F5930">
        <w:rPr>
          <w:color w:val="000000"/>
        </w:rPr>
        <w:t>The</w:t>
      </w:r>
      <w:r w:rsidR="00575898" w:rsidRPr="00DF56F7">
        <w:rPr>
          <w:color w:val="000000"/>
        </w:rPr>
        <w:t xml:space="preserve"> Com</w:t>
      </w:r>
      <w:r w:rsidR="00575898">
        <w:rPr>
          <w:color w:val="000000"/>
        </w:rPr>
        <w:t xml:space="preserve">mission, moreover, </w:t>
      </w:r>
      <w:r w:rsidR="00575898" w:rsidRPr="00DF56F7">
        <w:rPr>
          <w:color w:val="000000"/>
        </w:rPr>
        <w:t xml:space="preserve">has stated </w:t>
      </w:r>
      <w:r w:rsidR="00575898">
        <w:rPr>
          <w:color w:val="000000"/>
        </w:rPr>
        <w:t xml:space="preserve">that the results achieved from a negotiated settlement or </w:t>
      </w:r>
      <w:proofErr w:type="gramStart"/>
      <w:r w:rsidR="00575898">
        <w:rPr>
          <w:color w:val="000000"/>
        </w:rPr>
        <w:t>stipulation</w:t>
      </w:r>
      <w:proofErr w:type="gramEnd"/>
      <w:r w:rsidR="00575898">
        <w:rPr>
          <w:color w:val="000000"/>
        </w:rPr>
        <w:t xml:space="preserve"> in which the interested parties have had an opportunity to participate are often p</w:t>
      </w:r>
      <w:r w:rsidR="00575898" w:rsidRPr="00DF56F7">
        <w:rPr>
          <w:color w:val="000000"/>
        </w:rPr>
        <w:t xml:space="preserve">referable to those achieved at the conclusion of a fully litigated proceeding.  </w:t>
      </w:r>
      <w:proofErr w:type="gramStart"/>
      <w:r w:rsidR="00575898" w:rsidRPr="00DF56F7">
        <w:rPr>
          <w:color w:val="000000"/>
        </w:rPr>
        <w:t xml:space="preserve">52 </w:t>
      </w:r>
      <w:proofErr w:type="spellStart"/>
      <w:r w:rsidR="00575898" w:rsidRPr="00DF56F7">
        <w:rPr>
          <w:color w:val="000000"/>
        </w:rPr>
        <w:t>Pa.Code</w:t>
      </w:r>
      <w:proofErr w:type="spellEnd"/>
      <w:r w:rsidR="00575898" w:rsidRPr="00DF56F7">
        <w:rPr>
          <w:color w:val="000000"/>
        </w:rPr>
        <w:t xml:space="preserve"> §</w:t>
      </w:r>
      <w:r w:rsidR="00575898">
        <w:rPr>
          <w:color w:val="000000"/>
        </w:rPr>
        <w:t xml:space="preserve"> </w:t>
      </w:r>
      <w:r w:rsidR="00575898" w:rsidRPr="00DF56F7">
        <w:rPr>
          <w:color w:val="000000"/>
        </w:rPr>
        <w:t>69.401.</w:t>
      </w:r>
      <w:proofErr w:type="gramEnd"/>
    </w:p>
    <w:p w:rsidR="00575898" w:rsidRDefault="00575898" w:rsidP="00135488">
      <w:pPr>
        <w:pStyle w:val="FootnoteText"/>
      </w:pPr>
    </w:p>
  </w:footnote>
  <w:footnote w:id="3">
    <w:p w:rsidR="00575898" w:rsidRDefault="006744D8" w:rsidP="001D31F1">
      <w:pPr>
        <w:pStyle w:val="FootnoteText"/>
      </w:pPr>
      <w:r>
        <w:tab/>
      </w:r>
      <w:r w:rsidR="00575898" w:rsidRPr="00DB3F18">
        <w:rPr>
          <w:rStyle w:val="FootnoteReference"/>
        </w:rPr>
        <w:footnoteRef/>
      </w:r>
      <w:r>
        <w:tab/>
      </w:r>
      <w:r w:rsidR="00575898" w:rsidRPr="00B76699">
        <w:rPr>
          <w:i/>
        </w:rPr>
        <w:t>Pa. P</w:t>
      </w:r>
      <w:r w:rsidR="00575898">
        <w:rPr>
          <w:i/>
        </w:rPr>
        <w:t xml:space="preserve">ub. Util. </w:t>
      </w:r>
      <w:proofErr w:type="spellStart"/>
      <w:r w:rsidR="00575898">
        <w:rPr>
          <w:i/>
        </w:rPr>
        <w:t>Comm’n</w:t>
      </w:r>
      <w:proofErr w:type="spellEnd"/>
      <w:r w:rsidR="00575898" w:rsidRPr="00B76699">
        <w:rPr>
          <w:i/>
        </w:rPr>
        <w:t xml:space="preserve"> v. Imperial Point Water Service Company</w:t>
      </w:r>
      <w:r w:rsidR="00575898">
        <w:t xml:space="preserve">, Docket No. R-2012-2315536, Recommended Decision of Administrative Law Judge Katrina L. Dunderdale dated June 25, 2013, at 11; </w:t>
      </w:r>
      <w:r w:rsidR="00575898" w:rsidRPr="00286EDC">
        <w:rPr>
          <w:i/>
        </w:rPr>
        <w:t>Pa. P</w:t>
      </w:r>
      <w:r w:rsidR="00575898">
        <w:rPr>
          <w:i/>
        </w:rPr>
        <w:t xml:space="preserve">ub. </w:t>
      </w:r>
      <w:proofErr w:type="gramStart"/>
      <w:r w:rsidR="00575898">
        <w:rPr>
          <w:i/>
        </w:rPr>
        <w:t xml:space="preserve">Util. </w:t>
      </w:r>
      <w:proofErr w:type="spellStart"/>
      <w:r w:rsidR="00575898">
        <w:rPr>
          <w:i/>
        </w:rPr>
        <w:t>Comm’n</w:t>
      </w:r>
      <w:proofErr w:type="spellEnd"/>
      <w:r w:rsidR="00575898" w:rsidRPr="00286EDC">
        <w:rPr>
          <w:i/>
        </w:rPr>
        <w:t xml:space="preserve"> v.</w:t>
      </w:r>
      <w:proofErr w:type="gramEnd"/>
      <w:r w:rsidR="00575898" w:rsidRPr="00286EDC">
        <w:rPr>
          <w:i/>
        </w:rPr>
        <w:t xml:space="preserve"> The Newtown Artesian Water Company</w:t>
      </w:r>
      <w:r w:rsidR="00575898">
        <w:t>, Docket No. R-2011-2230259, Recommended Decision of Administrative Law Judge Elizabeth H. Barnes dated September 20, 2011 (“</w:t>
      </w:r>
      <w:r w:rsidR="00575898">
        <w:rPr>
          <w:i/>
        </w:rPr>
        <w:t>Recommended Decision of ALJ Barnes</w:t>
      </w:r>
      <w:r w:rsidR="00575898">
        <w:t xml:space="preserve">”), at 9; </w:t>
      </w:r>
      <w:r w:rsidR="00575898" w:rsidRPr="00272A5F">
        <w:rPr>
          <w:i/>
        </w:rPr>
        <w:t>Pa. P</w:t>
      </w:r>
      <w:r w:rsidR="00575898">
        <w:rPr>
          <w:i/>
        </w:rPr>
        <w:t xml:space="preserve">ub. Util. </w:t>
      </w:r>
      <w:proofErr w:type="spellStart"/>
      <w:r w:rsidR="00575898">
        <w:rPr>
          <w:i/>
        </w:rPr>
        <w:t>Comm’n</w:t>
      </w:r>
      <w:proofErr w:type="spellEnd"/>
      <w:r w:rsidR="00575898" w:rsidRPr="00272A5F">
        <w:rPr>
          <w:i/>
        </w:rPr>
        <w:t xml:space="preserve"> v. Reynolds Disposal Company, </w:t>
      </w:r>
      <w:r w:rsidR="00575898" w:rsidRPr="00272A5F">
        <w:t>Docket No. R-2010-</w:t>
      </w:r>
      <w:r w:rsidR="00575898">
        <w:t>2171339</w:t>
      </w:r>
      <w:r w:rsidR="00575898" w:rsidRPr="00272A5F">
        <w:t>, Recommended Decision of</w:t>
      </w:r>
      <w:r w:rsidR="00575898">
        <w:t xml:space="preserve"> Administrative Law Judge Conrad A. Johnson dated January 11, 2011, at 12; </w:t>
      </w:r>
      <w:r w:rsidR="00575898" w:rsidRPr="00286EDC">
        <w:rPr>
          <w:i/>
        </w:rPr>
        <w:t>Pa. P</w:t>
      </w:r>
      <w:r w:rsidR="00575898">
        <w:rPr>
          <w:i/>
        </w:rPr>
        <w:t xml:space="preserve">ub. Util. </w:t>
      </w:r>
      <w:proofErr w:type="spellStart"/>
      <w:r w:rsidR="00575898">
        <w:rPr>
          <w:i/>
        </w:rPr>
        <w:t>Comm’n</w:t>
      </w:r>
      <w:proofErr w:type="spellEnd"/>
      <w:r w:rsidR="00575898" w:rsidRPr="00286EDC">
        <w:rPr>
          <w:i/>
        </w:rPr>
        <w:t xml:space="preserve"> v. </w:t>
      </w:r>
      <w:r w:rsidR="00575898">
        <w:rPr>
          <w:i/>
        </w:rPr>
        <w:t xml:space="preserve">Lake </w:t>
      </w:r>
      <w:proofErr w:type="spellStart"/>
      <w:r w:rsidR="00575898">
        <w:rPr>
          <w:i/>
        </w:rPr>
        <w:t>Spangenberg</w:t>
      </w:r>
      <w:proofErr w:type="spellEnd"/>
      <w:r w:rsidR="00575898">
        <w:rPr>
          <w:i/>
        </w:rPr>
        <w:t xml:space="preserve"> Water Company,</w:t>
      </w:r>
      <w:r w:rsidR="00575898">
        <w:t xml:space="preserve"> Docket No. R-2009-2115743, Recommended Decision of Administrative Law Judge Ember S. Jandebeur dated March 2, 2010, at 11; </w:t>
      </w:r>
      <w:r w:rsidR="00575898" w:rsidRPr="00272A5F">
        <w:rPr>
          <w:i/>
        </w:rPr>
        <w:t>Pa. P</w:t>
      </w:r>
      <w:r w:rsidR="00575898">
        <w:rPr>
          <w:i/>
        </w:rPr>
        <w:t xml:space="preserve">ub. Util. </w:t>
      </w:r>
      <w:proofErr w:type="spellStart"/>
      <w:r w:rsidR="00575898">
        <w:rPr>
          <w:i/>
        </w:rPr>
        <w:t>Comm’n</w:t>
      </w:r>
      <w:proofErr w:type="spellEnd"/>
      <w:r w:rsidR="00575898" w:rsidRPr="00272A5F">
        <w:rPr>
          <w:i/>
        </w:rPr>
        <w:t xml:space="preserve"> v. Reynolds </w:t>
      </w:r>
      <w:r w:rsidR="00575898">
        <w:rPr>
          <w:i/>
        </w:rPr>
        <w:t xml:space="preserve">Water </w:t>
      </w:r>
      <w:r w:rsidR="00575898" w:rsidRPr="00272A5F">
        <w:rPr>
          <w:i/>
        </w:rPr>
        <w:t xml:space="preserve">Company, </w:t>
      </w:r>
      <w:r w:rsidR="00575898" w:rsidRPr="00272A5F">
        <w:t>Docket No. R-20</w:t>
      </w:r>
      <w:r w:rsidR="00575898">
        <w:t>09</w:t>
      </w:r>
      <w:r w:rsidR="00575898" w:rsidRPr="00272A5F">
        <w:t>-</w:t>
      </w:r>
      <w:r w:rsidR="00575898">
        <w:t>2102464</w:t>
      </w:r>
      <w:r w:rsidR="00575898" w:rsidRPr="00272A5F">
        <w:t>, Recommended Decision of</w:t>
      </w:r>
      <w:r w:rsidR="00575898">
        <w:t xml:space="preserve"> Administrative Law Judge Katrina L. Dunderdale dated February</w:t>
      </w:r>
      <w:r>
        <w:t> </w:t>
      </w:r>
      <w:r w:rsidR="00575898">
        <w:t>16, 2010, at 5.</w:t>
      </w:r>
    </w:p>
    <w:p w:rsidR="00575898" w:rsidRDefault="00575898" w:rsidP="00135488">
      <w:pPr>
        <w:pStyle w:val="FootnoteText"/>
        <w:ind w:left="180" w:hanging="180"/>
      </w:pPr>
    </w:p>
  </w:footnote>
  <w:footnote w:id="4">
    <w:p w:rsidR="00575898" w:rsidRDefault="006744D8" w:rsidP="001D31F1">
      <w:pPr>
        <w:pStyle w:val="FootnoteText"/>
        <w:jc w:val="both"/>
      </w:pPr>
      <w:r>
        <w:tab/>
      </w:r>
      <w:r w:rsidR="00575898" w:rsidRPr="00DB3F18">
        <w:rPr>
          <w:rStyle w:val="FootnoteReference"/>
        </w:rPr>
        <w:footnoteRef/>
      </w:r>
      <w:r>
        <w:tab/>
      </w:r>
      <w:r w:rsidR="00575898" w:rsidRPr="00005A01">
        <w:rPr>
          <w:i/>
        </w:rPr>
        <w:t>Recommended Decision of ALJ Barnes</w:t>
      </w:r>
      <w:r w:rsidR="00575898">
        <w:t>, at 9, citing</w:t>
      </w:r>
      <w:r w:rsidR="00575898">
        <w:rPr>
          <w:sz w:val="23"/>
          <w:szCs w:val="23"/>
        </w:rPr>
        <w:t xml:space="preserve"> </w:t>
      </w:r>
      <w:r w:rsidR="00575898" w:rsidRPr="00DF56F7">
        <w:rPr>
          <w:i/>
        </w:rPr>
        <w:t xml:space="preserve">Pa. </w:t>
      </w:r>
      <w:r w:rsidR="00575898">
        <w:rPr>
          <w:i/>
        </w:rPr>
        <w:t xml:space="preserve">Pub. </w:t>
      </w:r>
      <w:proofErr w:type="gramStart"/>
      <w:r w:rsidR="00575898">
        <w:rPr>
          <w:i/>
        </w:rPr>
        <w:t xml:space="preserve">Util. </w:t>
      </w:r>
      <w:proofErr w:type="spellStart"/>
      <w:r w:rsidR="00575898">
        <w:rPr>
          <w:i/>
        </w:rPr>
        <w:t>Comm’n</w:t>
      </w:r>
      <w:proofErr w:type="spellEnd"/>
      <w:r w:rsidR="00575898">
        <w:rPr>
          <w:i/>
        </w:rPr>
        <w:t xml:space="preserve"> </w:t>
      </w:r>
      <w:r w:rsidR="00575898" w:rsidRPr="00DF56F7">
        <w:rPr>
          <w:i/>
        </w:rPr>
        <w:t>v. CS Water and Sewer Assoc</w:t>
      </w:r>
      <w:r w:rsidR="00AD0842">
        <w:rPr>
          <w:i/>
        </w:rPr>
        <w:t>iates</w:t>
      </w:r>
      <w:r w:rsidR="00575898" w:rsidRPr="00DF56F7">
        <w:t>, 74 Pa. PUC 767 (1991)</w:t>
      </w:r>
      <w:r w:rsidR="00575898">
        <w:t xml:space="preserve"> and </w:t>
      </w:r>
      <w:r w:rsidR="00575898" w:rsidRPr="00DF56F7">
        <w:rPr>
          <w:i/>
        </w:rPr>
        <w:t>Pa.</w:t>
      </w:r>
      <w:r w:rsidR="00575898">
        <w:rPr>
          <w:i/>
        </w:rPr>
        <w:t xml:space="preserve"> Pub.</w:t>
      </w:r>
      <w:proofErr w:type="gramEnd"/>
      <w:r w:rsidR="00575898">
        <w:rPr>
          <w:i/>
        </w:rPr>
        <w:t xml:space="preserve"> </w:t>
      </w:r>
      <w:proofErr w:type="gramStart"/>
      <w:r w:rsidR="00575898">
        <w:rPr>
          <w:i/>
        </w:rPr>
        <w:t xml:space="preserve">Util. </w:t>
      </w:r>
      <w:proofErr w:type="spellStart"/>
      <w:r w:rsidR="00575898">
        <w:rPr>
          <w:i/>
        </w:rPr>
        <w:t>Comm’n</w:t>
      </w:r>
      <w:proofErr w:type="spellEnd"/>
      <w:r w:rsidR="00575898" w:rsidRPr="00DF56F7">
        <w:rPr>
          <w:i/>
        </w:rPr>
        <w:t xml:space="preserve"> </w:t>
      </w:r>
      <w:r w:rsidR="00575898">
        <w:rPr>
          <w:i/>
        </w:rPr>
        <w:t>v</w:t>
      </w:r>
      <w:r w:rsidR="00575898" w:rsidRPr="00DF56F7">
        <w:rPr>
          <w:i/>
        </w:rPr>
        <w:t>. Philadelphia Electric Co.</w:t>
      </w:r>
      <w:r w:rsidR="00575898">
        <w:t>, 60 Pa. PUC 1 (1985).</w:t>
      </w:r>
      <w:proofErr w:type="gramEnd"/>
      <w:r w:rsidR="00575898">
        <w:t xml:space="preserve"> </w:t>
      </w:r>
    </w:p>
    <w:p w:rsidR="00575898" w:rsidRPr="00334BC8" w:rsidRDefault="00575898" w:rsidP="00135488">
      <w:pPr>
        <w:pStyle w:val="FootnoteText"/>
        <w:ind w:left="180" w:hanging="180"/>
      </w:pPr>
    </w:p>
  </w:footnote>
  <w:footnote w:id="5">
    <w:p w:rsidR="00575898" w:rsidRDefault="006744D8" w:rsidP="00DC4A79">
      <w:pPr>
        <w:pStyle w:val="FootnoteText"/>
      </w:pPr>
      <w:r>
        <w:tab/>
      </w:r>
      <w:r w:rsidR="00575898" w:rsidRPr="00DB3F18">
        <w:rPr>
          <w:rStyle w:val="FootnoteReference"/>
        </w:rPr>
        <w:footnoteRef/>
      </w:r>
      <w:r>
        <w:tab/>
      </w:r>
      <w:r w:rsidR="00575898" w:rsidRPr="00005A01">
        <w:rPr>
          <w:i/>
        </w:rPr>
        <w:t>Recommended Decision of ALJ Barnes</w:t>
      </w:r>
      <w:r w:rsidR="00575898">
        <w:t xml:space="preserve">, at 9, citing </w:t>
      </w:r>
      <w:r w:rsidR="00575898" w:rsidRPr="00DF56F7">
        <w:rPr>
          <w:i/>
          <w:color w:val="000000"/>
        </w:rPr>
        <w:t>Warner v. GTE North, Inc.</w:t>
      </w:r>
      <w:r w:rsidR="00575898" w:rsidRPr="00DF56F7">
        <w:rPr>
          <w:color w:val="000000"/>
        </w:rPr>
        <w:t>, Docket No. C</w:t>
      </w:r>
      <w:r>
        <w:rPr>
          <w:color w:val="000000"/>
        </w:rPr>
        <w:noBreakHyphen/>
      </w:r>
      <w:r w:rsidR="00575898" w:rsidRPr="00DF56F7">
        <w:rPr>
          <w:color w:val="000000"/>
        </w:rPr>
        <w:t>00902815, Opinion and Order entered April 1, 1996</w:t>
      </w:r>
      <w:r w:rsidR="00575898">
        <w:rPr>
          <w:color w:val="000000"/>
        </w:rPr>
        <w:t xml:space="preserve"> and </w:t>
      </w:r>
      <w:r w:rsidR="00575898" w:rsidRPr="00DF56F7">
        <w:rPr>
          <w:i/>
          <w:color w:val="000000"/>
        </w:rPr>
        <w:t>P</w:t>
      </w:r>
      <w:r w:rsidR="00575898">
        <w:rPr>
          <w:i/>
          <w:color w:val="000000"/>
        </w:rPr>
        <w:t>a</w:t>
      </w:r>
      <w:r w:rsidR="00575898" w:rsidRPr="00DF56F7">
        <w:rPr>
          <w:i/>
          <w:color w:val="000000"/>
        </w:rPr>
        <w:t>.</w:t>
      </w:r>
      <w:r w:rsidR="00575898">
        <w:rPr>
          <w:i/>
          <w:color w:val="000000"/>
        </w:rPr>
        <w:t xml:space="preserve"> Pub. </w:t>
      </w:r>
      <w:proofErr w:type="gramStart"/>
      <w:r w:rsidR="00575898">
        <w:rPr>
          <w:i/>
          <w:color w:val="000000"/>
        </w:rPr>
        <w:t xml:space="preserve">Util. </w:t>
      </w:r>
      <w:proofErr w:type="spellStart"/>
      <w:r w:rsidR="00575898">
        <w:rPr>
          <w:i/>
          <w:color w:val="000000"/>
        </w:rPr>
        <w:t>Comm’n</w:t>
      </w:r>
      <w:proofErr w:type="spellEnd"/>
      <w:r w:rsidR="00575898">
        <w:rPr>
          <w:i/>
          <w:color w:val="000000"/>
        </w:rPr>
        <w:t xml:space="preserve"> v. </w:t>
      </w:r>
      <w:r w:rsidR="00575898" w:rsidRPr="00DF56F7">
        <w:rPr>
          <w:i/>
          <w:color w:val="000000"/>
        </w:rPr>
        <w:t>CS Water and Sewer Associates,</w:t>
      </w:r>
      <w:r w:rsidR="00575898" w:rsidRPr="00DF56F7">
        <w:rPr>
          <w:color w:val="000000"/>
        </w:rPr>
        <w:t xml:space="preserve"> 74 </w:t>
      </w:r>
      <w:r w:rsidR="00575898">
        <w:rPr>
          <w:color w:val="000000"/>
        </w:rPr>
        <w:t>Pa. PUC</w:t>
      </w:r>
      <w:r w:rsidR="00575898" w:rsidRPr="00DF56F7">
        <w:rPr>
          <w:color w:val="000000"/>
        </w:rPr>
        <w:t xml:space="preserve"> 767 (1991)</w:t>
      </w:r>
      <w:r w:rsidR="00575898">
        <w:rPr>
          <w:color w:val="000000"/>
        </w:rPr>
        <w:t>.</w:t>
      </w:r>
      <w:proofErr w:type="gramEnd"/>
      <w:r w:rsidR="00575898">
        <w:t xml:space="preserve"> </w:t>
      </w:r>
    </w:p>
    <w:p w:rsidR="00575898" w:rsidRPr="00334BC8" w:rsidRDefault="00575898" w:rsidP="00135488">
      <w:pPr>
        <w:pStyle w:val="FootnoteText"/>
        <w:ind w:left="180" w:hanging="180"/>
      </w:pPr>
    </w:p>
  </w:footnote>
  <w:footnote w:id="6">
    <w:p w:rsidR="00575898" w:rsidRDefault="006744D8" w:rsidP="00DC4A79">
      <w:pPr>
        <w:pStyle w:val="FootnoteText"/>
      </w:pPr>
      <w:r>
        <w:tab/>
      </w:r>
      <w:r w:rsidR="00575898">
        <w:rPr>
          <w:rStyle w:val="FootnoteReference"/>
        </w:rPr>
        <w:footnoteRef/>
      </w:r>
      <w:r>
        <w:tab/>
      </w:r>
      <w:proofErr w:type="gramStart"/>
      <w:r w:rsidR="005B7612">
        <w:t>Settlement</w:t>
      </w:r>
      <w:r w:rsidR="00575898">
        <w:t>, ¶12.</w:t>
      </w:r>
      <w:proofErr w:type="gramEnd"/>
    </w:p>
    <w:p w:rsidR="00575898" w:rsidRDefault="00575898" w:rsidP="00135488">
      <w:pPr>
        <w:pStyle w:val="FootnoteText"/>
      </w:pPr>
    </w:p>
  </w:footnote>
  <w:footnote w:id="7">
    <w:p w:rsidR="00575898" w:rsidRDefault="00CE30CD" w:rsidP="00DC4A79">
      <w:pPr>
        <w:pStyle w:val="FootnoteText"/>
      </w:pPr>
      <w:r>
        <w:tab/>
      </w:r>
      <w:r w:rsidR="00575898">
        <w:rPr>
          <w:rStyle w:val="FootnoteReference"/>
        </w:rPr>
        <w:footnoteRef/>
      </w:r>
      <w:r>
        <w:tab/>
      </w:r>
      <w:r w:rsidR="00575898">
        <w:rPr>
          <w:i/>
        </w:rPr>
        <w:t>See R</w:t>
      </w:r>
      <w:r w:rsidR="00575898" w:rsidRPr="00005A01">
        <w:rPr>
          <w:i/>
        </w:rPr>
        <w:t>ecommended Decision of ALJ Barnes</w:t>
      </w:r>
      <w:r w:rsidR="00575898">
        <w:t xml:space="preserve">, at 9-10, wherein Judge Barnes concludes that the joint petition in settlement of a water rate proceeding is </w:t>
      </w:r>
      <w:r w:rsidR="00575898" w:rsidRPr="00DF56F7">
        <w:t>in the public interes</w:t>
      </w:r>
      <w:r w:rsidR="00575898">
        <w:t xml:space="preserve">t because it (a) minimizes cost </w:t>
      </w:r>
      <w:r w:rsidR="00575898" w:rsidRPr="00DF56F7">
        <w:t xml:space="preserve">prohibitive litigation and administrative burden; (b) recognizes ratepayers’ concerns; and (c) provides </w:t>
      </w:r>
      <w:r w:rsidR="00575898">
        <w:t xml:space="preserve">[the utility] </w:t>
      </w:r>
      <w:r w:rsidR="00575898" w:rsidRPr="00DF56F7">
        <w:t>with addit</w:t>
      </w:r>
      <w:r w:rsidR="00575898">
        <w:t>ional and necessary cash flow.</w:t>
      </w:r>
    </w:p>
    <w:p w:rsidR="00575898" w:rsidRDefault="00575898" w:rsidP="00135488">
      <w:pPr>
        <w:pStyle w:val="FootnoteText"/>
        <w:ind w:left="180" w:hanging="180"/>
      </w:pPr>
    </w:p>
  </w:footnote>
  <w:footnote w:id="8">
    <w:p w:rsidR="00575898" w:rsidRDefault="00CE30CD" w:rsidP="00DC4A79">
      <w:pPr>
        <w:pStyle w:val="FootnoteText"/>
      </w:pPr>
      <w:r>
        <w:rPr>
          <w:vertAlign w:val="superscript"/>
        </w:rPr>
        <w:tab/>
      </w:r>
      <w:r w:rsidR="00575898" w:rsidRPr="00DB3F18">
        <w:rPr>
          <w:rStyle w:val="FootnoteReference"/>
        </w:rPr>
        <w:footnoteRef/>
      </w:r>
      <w:r>
        <w:rPr>
          <w:vertAlign w:val="superscript"/>
        </w:rPr>
        <w:tab/>
      </w:r>
      <w:r w:rsidR="00575898">
        <w:t>The Commission’s Order entered November 13, 2014, in this matter assigned the case to the Office of Administrative Law Judge for Alternate Dispute Resolution, if possible.</w:t>
      </w:r>
    </w:p>
    <w:p w:rsidR="00575898" w:rsidRDefault="00575898" w:rsidP="00135488">
      <w:pPr>
        <w:pStyle w:val="FootnoteText"/>
        <w:ind w:left="180" w:hanging="180"/>
        <w:jc w:val="both"/>
      </w:pPr>
    </w:p>
  </w:footnote>
  <w:footnote w:id="9">
    <w:p w:rsidR="00575898" w:rsidRPr="00AD0842" w:rsidRDefault="00223B82" w:rsidP="00016392">
      <w:pPr>
        <w:rPr>
          <w:color w:val="000000"/>
          <w:sz w:val="20"/>
          <w:szCs w:val="20"/>
        </w:rPr>
      </w:pPr>
      <w:r>
        <w:rPr>
          <w:sz w:val="20"/>
          <w:szCs w:val="20"/>
        </w:rPr>
        <w:tab/>
      </w:r>
      <w:r w:rsidR="00575898" w:rsidRPr="00AD0842">
        <w:rPr>
          <w:rStyle w:val="FootnoteReference"/>
          <w:sz w:val="20"/>
          <w:szCs w:val="20"/>
        </w:rPr>
        <w:footnoteRef/>
      </w:r>
      <w:r>
        <w:rPr>
          <w:sz w:val="20"/>
          <w:szCs w:val="20"/>
        </w:rPr>
        <w:tab/>
      </w:r>
      <w:r w:rsidR="00575898" w:rsidRPr="00AD0842">
        <w:rPr>
          <w:sz w:val="20"/>
          <w:szCs w:val="20"/>
        </w:rPr>
        <w:t xml:space="preserve">The </w:t>
      </w:r>
      <w:r w:rsidR="00575898" w:rsidRPr="00AD0842">
        <w:rPr>
          <w:color w:val="000000"/>
          <w:sz w:val="20"/>
          <w:szCs w:val="20"/>
        </w:rPr>
        <w:t xml:space="preserve">public interest is furthered when a utility is provided with sufficient revenue to meet its obligations under Section 1501 of the Public Utility Code, 66 </w:t>
      </w:r>
      <w:proofErr w:type="spellStart"/>
      <w:r w:rsidR="00575898" w:rsidRPr="00AD0842">
        <w:rPr>
          <w:color w:val="000000"/>
          <w:sz w:val="20"/>
          <w:szCs w:val="20"/>
        </w:rPr>
        <w:t>Pa.C.S</w:t>
      </w:r>
      <w:proofErr w:type="spellEnd"/>
      <w:r w:rsidR="00575898" w:rsidRPr="00AD0842">
        <w:rPr>
          <w:color w:val="000000"/>
          <w:sz w:val="20"/>
          <w:szCs w:val="20"/>
        </w:rPr>
        <w:t>. §</w:t>
      </w:r>
      <w:r w:rsidR="00AD0842">
        <w:rPr>
          <w:color w:val="000000"/>
          <w:sz w:val="20"/>
          <w:szCs w:val="20"/>
        </w:rPr>
        <w:t xml:space="preserve"> </w:t>
      </w:r>
      <w:r w:rsidR="00575898" w:rsidRPr="00AD0842">
        <w:rPr>
          <w:color w:val="000000"/>
          <w:sz w:val="20"/>
          <w:szCs w:val="20"/>
        </w:rPr>
        <w:t>1501, to provide safe, reliable and adequate service.  The courts have long recognized that, in order to function in the public interest, the utility must have rates which are sufficient to recover legitimate operating costs, and at the same time not result in an excessive return.</w:t>
      </w:r>
      <w:r w:rsidR="00653851">
        <w:rPr>
          <w:color w:val="000000"/>
          <w:sz w:val="20"/>
          <w:szCs w:val="20"/>
        </w:rPr>
        <w:t xml:space="preserve"> </w:t>
      </w:r>
      <w:r w:rsidR="00575898" w:rsidRPr="00AD0842">
        <w:rPr>
          <w:color w:val="000000"/>
          <w:sz w:val="20"/>
          <w:szCs w:val="20"/>
        </w:rPr>
        <w:t xml:space="preserve"> </w:t>
      </w:r>
      <w:r w:rsidR="00575898" w:rsidRPr="00AD0842">
        <w:rPr>
          <w:i/>
          <w:color w:val="000000"/>
          <w:sz w:val="20"/>
          <w:szCs w:val="20"/>
        </w:rPr>
        <w:t xml:space="preserve">Recommended Decision of ALJ Barnes, </w:t>
      </w:r>
      <w:proofErr w:type="gramStart"/>
      <w:r w:rsidR="00575898" w:rsidRPr="00AD0842">
        <w:rPr>
          <w:color w:val="000000"/>
          <w:sz w:val="20"/>
          <w:szCs w:val="20"/>
        </w:rPr>
        <w:t xml:space="preserve">citing  </w:t>
      </w:r>
      <w:proofErr w:type="spellStart"/>
      <w:r w:rsidR="00575898" w:rsidRPr="00AD0842">
        <w:rPr>
          <w:i/>
          <w:color w:val="000000"/>
          <w:sz w:val="20"/>
          <w:szCs w:val="20"/>
        </w:rPr>
        <w:t>Orlosky</w:t>
      </w:r>
      <w:proofErr w:type="spellEnd"/>
      <w:proofErr w:type="gramEnd"/>
      <w:r w:rsidR="00575898" w:rsidRPr="00AD0842">
        <w:rPr>
          <w:i/>
          <w:color w:val="000000"/>
          <w:sz w:val="20"/>
          <w:szCs w:val="20"/>
        </w:rPr>
        <w:t xml:space="preserve"> v. Pa. P</w:t>
      </w:r>
      <w:r w:rsidR="00B9654A" w:rsidRPr="00AD0842">
        <w:rPr>
          <w:i/>
          <w:color w:val="000000"/>
          <w:sz w:val="20"/>
          <w:szCs w:val="20"/>
        </w:rPr>
        <w:t xml:space="preserve">ub. Util. </w:t>
      </w:r>
      <w:proofErr w:type="spellStart"/>
      <w:r w:rsidR="00B9654A" w:rsidRPr="00AD0842">
        <w:rPr>
          <w:i/>
          <w:color w:val="000000"/>
          <w:sz w:val="20"/>
          <w:szCs w:val="20"/>
        </w:rPr>
        <w:t>Comm’n</w:t>
      </w:r>
      <w:proofErr w:type="spellEnd"/>
      <w:r w:rsidR="00575898" w:rsidRPr="00AD0842">
        <w:rPr>
          <w:i/>
          <w:color w:val="000000"/>
          <w:sz w:val="20"/>
          <w:szCs w:val="20"/>
        </w:rPr>
        <w:t>,</w:t>
      </w:r>
      <w:r w:rsidR="00575898" w:rsidRPr="00AD0842">
        <w:rPr>
          <w:color w:val="000000"/>
          <w:sz w:val="20"/>
          <w:szCs w:val="20"/>
        </w:rPr>
        <w:t xml:space="preserve"> </w:t>
      </w:r>
      <w:proofErr w:type="gramStart"/>
      <w:r w:rsidR="00575898" w:rsidRPr="00AD0842">
        <w:rPr>
          <w:color w:val="000000"/>
          <w:sz w:val="20"/>
          <w:szCs w:val="20"/>
        </w:rPr>
        <w:t xml:space="preserve">171 </w:t>
      </w:r>
      <w:proofErr w:type="spellStart"/>
      <w:r w:rsidR="00575898" w:rsidRPr="00AD0842">
        <w:rPr>
          <w:color w:val="000000"/>
          <w:sz w:val="20"/>
          <w:szCs w:val="20"/>
        </w:rPr>
        <w:t>Pa.Super</w:t>
      </w:r>
      <w:proofErr w:type="spellEnd"/>
      <w:proofErr w:type="gramEnd"/>
      <w:r w:rsidR="00B9654A" w:rsidRPr="00AD0842">
        <w:rPr>
          <w:color w:val="000000"/>
          <w:sz w:val="20"/>
          <w:szCs w:val="20"/>
        </w:rPr>
        <w:t>.</w:t>
      </w:r>
      <w:r w:rsidR="00575898" w:rsidRPr="00AD0842">
        <w:rPr>
          <w:color w:val="000000"/>
          <w:sz w:val="20"/>
          <w:szCs w:val="20"/>
        </w:rPr>
        <w:t xml:space="preserve"> </w:t>
      </w:r>
      <w:proofErr w:type="gramStart"/>
      <w:r w:rsidR="00575898" w:rsidRPr="00AD0842">
        <w:rPr>
          <w:color w:val="000000"/>
          <w:sz w:val="20"/>
          <w:szCs w:val="20"/>
        </w:rPr>
        <w:t>Ct. 409, 89 A.2d 903 (1952).</w:t>
      </w:r>
      <w:proofErr w:type="gramEnd"/>
    </w:p>
    <w:p w:rsidR="00575898" w:rsidRDefault="00575898" w:rsidP="00643777">
      <w:pPr>
        <w:pStyle w:val="FootnoteText"/>
        <w:ind w:left="180" w:hanging="180"/>
      </w:pPr>
    </w:p>
  </w:footnote>
  <w:footnote w:id="10">
    <w:p w:rsidR="00575898" w:rsidRDefault="00223B82" w:rsidP="00914693">
      <w:pPr>
        <w:pStyle w:val="FootnoteText"/>
      </w:pPr>
      <w:r>
        <w:tab/>
      </w:r>
      <w:r w:rsidR="00575898">
        <w:rPr>
          <w:rStyle w:val="FootnoteReference"/>
        </w:rPr>
        <w:footnoteRef/>
      </w:r>
      <w:r>
        <w:tab/>
      </w:r>
      <w:r w:rsidR="00575898">
        <w:rPr>
          <w:i/>
        </w:rPr>
        <w:t xml:space="preserve">See, for example, Pa. Pub. Util. </w:t>
      </w:r>
      <w:proofErr w:type="spellStart"/>
      <w:r w:rsidR="00575898">
        <w:rPr>
          <w:i/>
        </w:rPr>
        <w:t>Comm’n</w:t>
      </w:r>
      <w:proofErr w:type="spellEnd"/>
      <w:r w:rsidR="00575898">
        <w:rPr>
          <w:i/>
        </w:rPr>
        <w:t xml:space="preserve"> v. Reynolds Disposal Company, </w:t>
      </w:r>
      <w:r w:rsidR="00575898" w:rsidRPr="005C4F80">
        <w:t xml:space="preserve">Docket No. R-2010-2171339, Recommended Decision of Administrative Law Judge Johnson, </w:t>
      </w:r>
      <w:r w:rsidR="00575898" w:rsidRPr="00EB3467">
        <w:rPr>
          <w:i/>
        </w:rPr>
        <w:t>supra</w:t>
      </w:r>
      <w:r w:rsidR="00575898" w:rsidRPr="005C4F80">
        <w:t>, at</w:t>
      </w:r>
      <w:r w:rsidR="00575898">
        <w:rPr>
          <w:i/>
        </w:rPr>
        <w:t xml:space="preserve"> </w:t>
      </w:r>
      <w:r w:rsidR="00575898">
        <w:t xml:space="preserve">16 and </w:t>
      </w:r>
      <w:r w:rsidR="00575898" w:rsidRPr="00EB3467">
        <w:rPr>
          <w:i/>
        </w:rPr>
        <w:t>Pa. P</w:t>
      </w:r>
      <w:r w:rsidR="00575898">
        <w:rPr>
          <w:i/>
        </w:rPr>
        <w:t xml:space="preserve">ub. Util. </w:t>
      </w:r>
      <w:proofErr w:type="spellStart"/>
      <w:r w:rsidR="00575898">
        <w:rPr>
          <w:i/>
        </w:rPr>
        <w:t>Comm’n</w:t>
      </w:r>
      <w:proofErr w:type="spellEnd"/>
      <w:r w:rsidR="00575898" w:rsidRPr="00EB3467">
        <w:rPr>
          <w:i/>
        </w:rPr>
        <w:t xml:space="preserve"> v. Reynolds Water Company</w:t>
      </w:r>
      <w:r w:rsidR="00575898">
        <w:t xml:space="preserve">, Docket No. R-2009-2102464, Recommended Decision of Administrative Law Judge Dunderdale, </w:t>
      </w:r>
      <w:r w:rsidR="00575898" w:rsidRPr="00EB3467">
        <w:rPr>
          <w:i/>
        </w:rPr>
        <w:t>supra</w:t>
      </w:r>
      <w:r w:rsidR="00575898">
        <w:t>, at 8-9.</w:t>
      </w:r>
    </w:p>
    <w:p w:rsidR="00575898" w:rsidRPr="00664B14" w:rsidRDefault="00575898" w:rsidP="00914693">
      <w:pPr>
        <w:pStyle w:val="FootnoteText"/>
      </w:pPr>
    </w:p>
  </w:footnote>
  <w:footnote w:id="11">
    <w:p w:rsidR="00575898" w:rsidRDefault="00762358" w:rsidP="00F20727">
      <w:pPr>
        <w:pStyle w:val="FootnoteText"/>
      </w:pPr>
      <w:r>
        <w:tab/>
      </w:r>
      <w:r w:rsidR="00575898" w:rsidRPr="009F64C6">
        <w:rPr>
          <w:rStyle w:val="FootnoteReference"/>
        </w:rPr>
        <w:footnoteRef/>
      </w:r>
      <w:r>
        <w:tab/>
      </w:r>
      <w:proofErr w:type="gramStart"/>
      <w:r w:rsidR="00575898" w:rsidRPr="009F64C6">
        <w:t xml:space="preserve">52 </w:t>
      </w:r>
      <w:proofErr w:type="spellStart"/>
      <w:r w:rsidR="00575898" w:rsidRPr="009F64C6">
        <w:t>Pa.Code</w:t>
      </w:r>
      <w:proofErr w:type="spellEnd"/>
      <w:r w:rsidR="00575898" w:rsidRPr="009F64C6">
        <w:t xml:space="preserve"> § 5.231.</w:t>
      </w:r>
      <w:proofErr w:type="gramEnd"/>
    </w:p>
    <w:p w:rsidR="00575898" w:rsidRPr="009F64C6" w:rsidRDefault="00575898" w:rsidP="00F20727">
      <w:pPr>
        <w:pStyle w:val="FootnoteText"/>
      </w:pPr>
    </w:p>
  </w:footnote>
  <w:footnote w:id="12">
    <w:p w:rsidR="00575898" w:rsidRPr="009F64C6" w:rsidRDefault="00762358" w:rsidP="00F20727">
      <w:pPr>
        <w:pStyle w:val="FootnoteText"/>
      </w:pPr>
      <w:r>
        <w:tab/>
      </w:r>
      <w:r w:rsidR="00575898" w:rsidRPr="009F64C6">
        <w:rPr>
          <w:rStyle w:val="FootnoteReference"/>
        </w:rPr>
        <w:footnoteRef/>
      </w:r>
      <w:r w:rsidR="00575898">
        <w:t xml:space="preserve"> </w:t>
      </w:r>
      <w:r>
        <w:tab/>
      </w:r>
      <w:proofErr w:type="gramStart"/>
      <w:r w:rsidR="00575898" w:rsidRPr="009F64C6">
        <w:t xml:space="preserve">2 </w:t>
      </w:r>
      <w:proofErr w:type="spellStart"/>
      <w:r w:rsidR="00575898" w:rsidRPr="009F64C6">
        <w:t>Pa.Code</w:t>
      </w:r>
      <w:proofErr w:type="spellEnd"/>
      <w:r w:rsidR="00575898" w:rsidRPr="009F64C6">
        <w:t xml:space="preserve"> § 69.401.</w:t>
      </w:r>
      <w:proofErr w:type="gramEnd"/>
    </w:p>
    <w:p w:rsidR="00575898" w:rsidRPr="009F64C6" w:rsidRDefault="00575898" w:rsidP="00F20727">
      <w:pPr>
        <w:pStyle w:val="FootnoteText"/>
      </w:pPr>
    </w:p>
  </w:footnote>
  <w:footnote w:id="13">
    <w:p w:rsidR="00575898" w:rsidRPr="009F64C6" w:rsidRDefault="006A67C0" w:rsidP="00D12AD3">
      <w:pPr>
        <w:pStyle w:val="FootnoteText"/>
      </w:pPr>
      <w:r>
        <w:tab/>
      </w:r>
      <w:r w:rsidR="00575898" w:rsidRPr="009F64C6">
        <w:rPr>
          <w:rStyle w:val="FootnoteReference"/>
        </w:rPr>
        <w:footnoteRef/>
      </w:r>
      <w:r>
        <w:tab/>
      </w:r>
      <w:r w:rsidR="00575898" w:rsidRPr="009F64C6">
        <w:rPr>
          <w:i/>
        </w:rPr>
        <w:t>Pa. P</w:t>
      </w:r>
      <w:r w:rsidR="00A51BA8">
        <w:rPr>
          <w:i/>
        </w:rPr>
        <w:t xml:space="preserve">ub. Util. </w:t>
      </w:r>
      <w:proofErr w:type="spellStart"/>
      <w:r w:rsidR="00A51BA8">
        <w:rPr>
          <w:i/>
        </w:rPr>
        <w:t>Comm’n</w:t>
      </w:r>
      <w:proofErr w:type="spellEnd"/>
      <w:r w:rsidR="00575898" w:rsidRPr="009F64C6">
        <w:rPr>
          <w:i/>
        </w:rPr>
        <w:t xml:space="preserve"> v. Peoples TWP LLC</w:t>
      </w:r>
      <w:r w:rsidR="00575898" w:rsidRPr="009F64C6">
        <w:t>, Docket No. R-2013-2355886, p. 28 (Order entered December 19, 2013).</w:t>
      </w:r>
    </w:p>
    <w:p w:rsidR="00575898" w:rsidRPr="009F64C6" w:rsidRDefault="00575898" w:rsidP="00D12AD3">
      <w:pPr>
        <w:pStyle w:val="FootnoteText"/>
      </w:pPr>
    </w:p>
  </w:footnote>
  <w:footnote w:id="14">
    <w:p w:rsidR="001E4C93" w:rsidRPr="009F7C99" w:rsidRDefault="00515185" w:rsidP="001E4C93">
      <w:pPr>
        <w:pStyle w:val="FootnoteText"/>
      </w:pPr>
      <w:r>
        <w:rPr>
          <w:vertAlign w:val="superscript"/>
        </w:rPr>
        <w:tab/>
      </w:r>
      <w:r w:rsidR="001E4C93" w:rsidRPr="009F7C99">
        <w:rPr>
          <w:vertAlign w:val="superscript"/>
        </w:rPr>
        <w:footnoteRef/>
      </w:r>
      <w:r>
        <w:rPr>
          <w:vertAlign w:val="superscript"/>
        </w:rPr>
        <w:tab/>
      </w:r>
      <w:r w:rsidR="001E4C93" w:rsidRPr="009F7C99">
        <w:t>Tr. 42, 50-51</w:t>
      </w:r>
      <w:r w:rsidR="00CA3C02">
        <w:t>.</w:t>
      </w:r>
    </w:p>
  </w:footnote>
  <w:footnote w:id="15">
    <w:p w:rsidR="00F121EF" w:rsidRDefault="0043492B" w:rsidP="00F121EF">
      <w:pPr>
        <w:pStyle w:val="FootnoteText"/>
      </w:pPr>
      <w:r>
        <w:tab/>
      </w:r>
      <w:r w:rsidR="00F121EF" w:rsidRPr="009F7C99">
        <w:rPr>
          <w:vertAlign w:val="superscript"/>
        </w:rPr>
        <w:footnoteRef/>
      </w:r>
      <w:r>
        <w:tab/>
      </w:r>
      <w:proofErr w:type="gramStart"/>
      <w:r w:rsidR="00F121EF" w:rsidRPr="009F7C99">
        <w:t>Tr. 50.</w:t>
      </w:r>
      <w:proofErr w:type="gramEnd"/>
    </w:p>
  </w:footnote>
  <w:footnote w:id="16">
    <w:p w:rsidR="000A5AC5" w:rsidRPr="009F7C99" w:rsidRDefault="00CB088A" w:rsidP="000A5AC5">
      <w:pPr>
        <w:pStyle w:val="FootnoteText"/>
      </w:pPr>
      <w:r>
        <w:rPr>
          <w:vertAlign w:val="superscript"/>
        </w:rPr>
        <w:tab/>
      </w:r>
      <w:r w:rsidR="000A5AC5" w:rsidRPr="009F7C99">
        <w:rPr>
          <w:vertAlign w:val="superscript"/>
        </w:rPr>
        <w:footnoteRef/>
      </w:r>
      <w:r>
        <w:rPr>
          <w:vertAlign w:val="superscript"/>
        </w:rPr>
        <w:tab/>
      </w:r>
      <w:r w:rsidR="000A5AC5" w:rsidRPr="009F7C99">
        <w:t>Tr. 42, 50-51</w:t>
      </w:r>
      <w:r w:rsidR="007B096C">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C341540"/>
    <w:lvl w:ilvl="0">
      <w:start w:val="1"/>
      <w:numFmt w:val="decimal"/>
      <w:pStyle w:val="ListNumber"/>
      <w:lvlText w:val="%1."/>
      <w:lvlJc w:val="left"/>
      <w:pPr>
        <w:tabs>
          <w:tab w:val="num" w:pos="450"/>
        </w:tabs>
        <w:ind w:left="450" w:hanging="360"/>
      </w:pPr>
    </w:lvl>
  </w:abstractNum>
  <w:abstractNum w:abstractNumId="1">
    <w:nsid w:val="FFFFFF89"/>
    <w:multiLevelType w:val="singleLevel"/>
    <w:tmpl w:val="01768896"/>
    <w:lvl w:ilvl="0">
      <w:start w:val="1"/>
      <w:numFmt w:val="bullet"/>
      <w:pStyle w:val="ListBullet"/>
      <w:lvlText w:val=""/>
      <w:lvlJc w:val="left"/>
      <w:pPr>
        <w:tabs>
          <w:tab w:val="num" w:pos="360"/>
        </w:tabs>
        <w:ind w:left="360" w:hanging="360"/>
      </w:pPr>
      <w:rPr>
        <w:rFonts w:ascii="Symbol" w:hAnsi="Symbol" w:hint="default"/>
        <w:sz w:val="20"/>
      </w:rPr>
    </w:lvl>
  </w:abstractNum>
  <w:abstractNum w:abstractNumId="2">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7003883"/>
    <w:multiLevelType w:val="hybridMultilevel"/>
    <w:tmpl w:val="B372B52E"/>
    <w:lvl w:ilvl="0" w:tplc="EB4C6D0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8F70F82"/>
    <w:multiLevelType w:val="hybridMultilevel"/>
    <w:tmpl w:val="EED0230C"/>
    <w:lvl w:ilvl="0" w:tplc="1EC60D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35851F4"/>
    <w:multiLevelType w:val="hybridMultilevel"/>
    <w:tmpl w:val="2A902AB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171FB0"/>
    <w:multiLevelType w:val="hybridMultilevel"/>
    <w:tmpl w:val="91F2727C"/>
    <w:lvl w:ilvl="0" w:tplc="4B10FEEE">
      <w:start w:val="4"/>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7E23B49"/>
    <w:multiLevelType w:val="hybridMultilevel"/>
    <w:tmpl w:val="4A8C53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043612"/>
    <w:multiLevelType w:val="hybridMultilevel"/>
    <w:tmpl w:val="3FA070AE"/>
    <w:lvl w:ilvl="0" w:tplc="C7C8D0D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6C390F"/>
    <w:multiLevelType w:val="hybridMultilevel"/>
    <w:tmpl w:val="9B70BD2A"/>
    <w:lvl w:ilvl="0" w:tplc="5AAE36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010AAF"/>
    <w:multiLevelType w:val="hybridMultilevel"/>
    <w:tmpl w:val="8AA8B944"/>
    <w:lvl w:ilvl="0" w:tplc="60E2330A">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CBF36B0"/>
    <w:multiLevelType w:val="hybridMultilevel"/>
    <w:tmpl w:val="55C613A2"/>
    <w:lvl w:ilvl="0" w:tplc="138895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DA642A5"/>
    <w:multiLevelType w:val="hybridMultilevel"/>
    <w:tmpl w:val="47CE2B20"/>
    <w:lvl w:ilvl="0" w:tplc="F38E4C84">
      <w:start w:val="1"/>
      <w:numFmt w:val="decimal"/>
      <w:lvlText w:val="%1."/>
      <w:lvlJc w:val="left"/>
      <w:pPr>
        <w:tabs>
          <w:tab w:val="num" w:pos="1440"/>
        </w:tabs>
        <w:ind w:left="1440" w:hanging="360"/>
      </w:pPr>
      <w:rPr>
        <w:rFonts w:ascii="Times New Roman" w:eastAsia="Times New Roman" w:hAnsi="Times New Roman" w:cs="Times New Roman"/>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3FAF5364"/>
    <w:multiLevelType w:val="hybridMultilevel"/>
    <w:tmpl w:val="E0385A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3AD7537"/>
    <w:multiLevelType w:val="hybridMultilevel"/>
    <w:tmpl w:val="B7EA410A"/>
    <w:lvl w:ilvl="0" w:tplc="2D8CA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043407"/>
    <w:multiLevelType w:val="hybridMultilevel"/>
    <w:tmpl w:val="609A47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A5D1A17"/>
    <w:multiLevelType w:val="hybridMultilevel"/>
    <w:tmpl w:val="D5C47B12"/>
    <w:lvl w:ilvl="0" w:tplc="A212211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4E140B87"/>
    <w:multiLevelType w:val="hybridMultilevel"/>
    <w:tmpl w:val="B1546E46"/>
    <w:lvl w:ilvl="0" w:tplc="4D5428D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E9E4788"/>
    <w:multiLevelType w:val="hybridMultilevel"/>
    <w:tmpl w:val="21C011DE"/>
    <w:lvl w:ilvl="0" w:tplc="464086C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4F9E1A10"/>
    <w:multiLevelType w:val="hybridMultilevel"/>
    <w:tmpl w:val="ADF86F0E"/>
    <w:lvl w:ilvl="0" w:tplc="C128A1C6">
      <w:start w:val="1"/>
      <w:numFmt w:val="decimal"/>
      <w:lvlText w:val="%1."/>
      <w:lvlJc w:val="left"/>
      <w:pPr>
        <w:ind w:left="2430" w:hanging="144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43405D8"/>
    <w:multiLevelType w:val="hybridMultilevel"/>
    <w:tmpl w:val="390E54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F50BC2"/>
    <w:multiLevelType w:val="hybridMultilevel"/>
    <w:tmpl w:val="FC981676"/>
    <w:lvl w:ilvl="0" w:tplc="A57402D4">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D195EFE"/>
    <w:multiLevelType w:val="hybridMultilevel"/>
    <w:tmpl w:val="7FB845AE"/>
    <w:lvl w:ilvl="0" w:tplc="35149BB8">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63A21BA0"/>
    <w:multiLevelType w:val="hybridMultilevel"/>
    <w:tmpl w:val="8AD6BF54"/>
    <w:lvl w:ilvl="0" w:tplc="5AF82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4613B8C"/>
    <w:multiLevelType w:val="hybridMultilevel"/>
    <w:tmpl w:val="EF8A2A1A"/>
    <w:lvl w:ilvl="0" w:tplc="901853D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nsid w:val="664F4076"/>
    <w:multiLevelType w:val="hybridMultilevel"/>
    <w:tmpl w:val="557E31C2"/>
    <w:lvl w:ilvl="0" w:tplc="412CC06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821965"/>
    <w:multiLevelType w:val="hybridMultilevel"/>
    <w:tmpl w:val="182A7B34"/>
    <w:lvl w:ilvl="0" w:tplc="71287DF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F946364"/>
    <w:multiLevelType w:val="hybridMultilevel"/>
    <w:tmpl w:val="A45494B0"/>
    <w:lvl w:ilvl="0" w:tplc="134244F8">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39D2FAC"/>
    <w:multiLevelType w:val="multilevel"/>
    <w:tmpl w:val="0BEEF57C"/>
    <w:name w:val="Jo brief"/>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lowerRoman"/>
      <w:pStyle w:val="Heading5"/>
      <w:lvlText w:val="%5."/>
      <w:lvlJc w:val="left"/>
      <w:pPr>
        <w:tabs>
          <w:tab w:val="num" w:pos="3600"/>
        </w:tabs>
        <w:ind w:left="3600" w:hanging="720"/>
      </w:pPr>
      <w:rPr>
        <w:caps w:val="0"/>
        <w:color w:val="010000"/>
        <w:u w:val="none"/>
      </w:rPr>
    </w:lvl>
    <w:lvl w:ilvl="5">
      <w:start w:val="1"/>
      <w:numFmt w:val="upperLetter"/>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29">
    <w:nsid w:val="75783B69"/>
    <w:multiLevelType w:val="hybridMultilevel"/>
    <w:tmpl w:val="1D7C9304"/>
    <w:lvl w:ilvl="0" w:tplc="FFFFFFFF">
      <w:start w:val="1"/>
      <w:numFmt w:val="decimal"/>
      <w:lvlText w:val="%1."/>
      <w:lvlJc w:val="left"/>
      <w:pPr>
        <w:ind w:left="5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75C8427A"/>
    <w:multiLevelType w:val="hybridMultilevel"/>
    <w:tmpl w:val="28907186"/>
    <w:lvl w:ilvl="0" w:tplc="5064951C">
      <w:start w:val="1"/>
      <w:numFmt w:val="decimal"/>
      <w:lvlText w:val="%1."/>
      <w:lvlJc w:val="left"/>
      <w:pPr>
        <w:ind w:left="1440" w:hanging="360"/>
      </w:pPr>
      <w:rPr>
        <w:rFonts w:ascii="Georgia" w:hAnsi="Georgia" w:hint="default"/>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70A7F72"/>
    <w:multiLevelType w:val="hybridMultilevel"/>
    <w:tmpl w:val="803C1140"/>
    <w:lvl w:ilvl="0" w:tplc="1A441D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DB01A9B"/>
    <w:multiLevelType w:val="hybridMultilevel"/>
    <w:tmpl w:val="E0F0F304"/>
    <w:lvl w:ilvl="0" w:tplc="0EDA1F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7DFC78C1"/>
    <w:multiLevelType w:val="hybridMultilevel"/>
    <w:tmpl w:val="711E1E1E"/>
    <w:lvl w:ilvl="0" w:tplc="E190FE1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7E152C7A"/>
    <w:multiLevelType w:val="hybridMultilevel"/>
    <w:tmpl w:val="494C8068"/>
    <w:lvl w:ilvl="0" w:tplc="AE0237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E79332C"/>
    <w:multiLevelType w:val="hybridMultilevel"/>
    <w:tmpl w:val="D7A673B2"/>
    <w:lvl w:ilvl="0" w:tplc="661005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5"/>
  </w:num>
  <w:num w:numId="3">
    <w:abstractNumId w:val="0"/>
  </w:num>
  <w:num w:numId="4">
    <w:abstractNumId w:val="2"/>
    <w:lvlOverride w:ilvl="0">
      <w:lvl w:ilvl="0">
        <w:start w:val="10"/>
        <w:numFmt w:val="decimal"/>
        <w:pStyle w:val="Level1"/>
        <w:lvlText w:val="%1."/>
        <w:lvlJc w:val="left"/>
        <w:pPr>
          <w:tabs>
            <w:tab w:val="num" w:pos="0"/>
          </w:tabs>
          <w:ind w:left="0" w:firstLine="0"/>
        </w:pPr>
        <w:rPr>
          <w:rFonts w:hint="default"/>
        </w:rPr>
      </w:lvl>
    </w:lvlOverride>
    <w:lvlOverride w:ilvl="1">
      <w:lvl w:ilvl="1">
        <w:start w:val="1"/>
        <w:numFmt w:val="lowerLetter"/>
        <w:lvlText w:val="%2."/>
        <w:lvlJc w:val="left"/>
        <w:pPr>
          <w:tabs>
            <w:tab w:val="num" w:pos="0"/>
          </w:tabs>
          <w:ind w:left="0" w:firstLine="0"/>
        </w:pPr>
        <w:rPr>
          <w:rFonts w:hint="default"/>
        </w:rPr>
      </w:lvl>
    </w:lvlOverride>
    <w:lvlOverride w:ilvl="2">
      <w:lvl w:ilvl="2">
        <w:start w:val="1"/>
        <w:numFmt w:val="lowerRoman"/>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lowerLetter"/>
        <w:lvlText w:val="(%5)"/>
        <w:lvlJc w:val="left"/>
        <w:pPr>
          <w:tabs>
            <w:tab w:val="num" w:pos="0"/>
          </w:tabs>
          <w:ind w:left="0" w:firstLine="0"/>
        </w:pPr>
        <w:rPr>
          <w:rFonts w:hint="default"/>
        </w:rPr>
      </w:lvl>
    </w:lvlOverride>
    <w:lvlOverride w:ilvl="5">
      <w:lvl w:ilvl="5">
        <w:start w:val="1"/>
        <w:numFmt w:val="lowerRoman"/>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lowerLetter"/>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5">
    <w:abstractNumId w:val="28"/>
  </w:num>
  <w:num w:numId="6">
    <w:abstractNumId w:val="5"/>
  </w:num>
  <w:num w:numId="7">
    <w:abstractNumId w:val="14"/>
  </w:num>
  <w:num w:numId="8">
    <w:abstractNumId w:val="17"/>
  </w:num>
  <w:num w:numId="9">
    <w:abstractNumId w:val="35"/>
  </w:num>
  <w:num w:numId="10">
    <w:abstractNumId w:val="13"/>
  </w:num>
  <w:num w:numId="11">
    <w:abstractNumId w:val="26"/>
  </w:num>
  <w:num w:numId="12">
    <w:abstractNumId w:val="11"/>
  </w:num>
  <w:num w:numId="13">
    <w:abstractNumId w:val="9"/>
  </w:num>
  <w:num w:numId="14">
    <w:abstractNumId w:val="31"/>
  </w:num>
  <w:num w:numId="15">
    <w:abstractNumId w:val="12"/>
  </w:num>
  <w:num w:numId="16">
    <w:abstractNumId w:val="23"/>
  </w:num>
  <w:num w:numId="17">
    <w:abstractNumId w:val="30"/>
  </w:num>
  <w:num w:numId="18">
    <w:abstractNumId w:val="1"/>
  </w:num>
  <w:num w:numId="19">
    <w:abstractNumId w:val="29"/>
  </w:num>
  <w:num w:numId="20">
    <w:abstractNumId w:val="25"/>
  </w:num>
  <w:num w:numId="21">
    <w:abstractNumId w:val="20"/>
  </w:num>
  <w:num w:numId="22">
    <w:abstractNumId w:val="6"/>
  </w:num>
  <w:num w:numId="23">
    <w:abstractNumId w:val="10"/>
  </w:num>
  <w:num w:numId="24">
    <w:abstractNumId w:val="34"/>
  </w:num>
  <w:num w:numId="25">
    <w:abstractNumId w:val="21"/>
  </w:num>
  <w:num w:numId="26">
    <w:abstractNumId w:val="32"/>
  </w:num>
  <w:num w:numId="27">
    <w:abstractNumId w:val="24"/>
  </w:num>
  <w:num w:numId="28">
    <w:abstractNumId w:val="33"/>
  </w:num>
  <w:num w:numId="29">
    <w:abstractNumId w:val="16"/>
  </w:num>
  <w:num w:numId="30">
    <w:abstractNumId w:val="18"/>
  </w:num>
  <w:num w:numId="31">
    <w:abstractNumId w:val="3"/>
  </w:num>
  <w:num w:numId="32">
    <w:abstractNumId w:val="22"/>
  </w:num>
  <w:num w:numId="33">
    <w:abstractNumId w:val="4"/>
  </w:num>
  <w:num w:numId="34">
    <w:abstractNumId w:val="8"/>
  </w:num>
  <w:num w:numId="35">
    <w:abstractNumId w:val="27"/>
  </w:num>
  <w:num w:numId="36">
    <w:abstractNumId w:val="2"/>
    <w:lvlOverride w:ilvl="0">
      <w:lvl w:ilvl="0">
        <w:start w:val="4"/>
        <w:numFmt w:val="decimal"/>
        <w:pStyle w:val="Level1"/>
        <w:lvlText w:val="%1."/>
        <w:lvlJc w:val="left"/>
        <w:pPr>
          <w:tabs>
            <w:tab w:val="num" w:pos="360"/>
          </w:tabs>
          <w:ind w:left="360" w:hanging="360"/>
        </w:pPr>
        <w:rPr>
          <w:rFonts w:hint="default"/>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080"/>
          </w:tabs>
          <w:ind w:left="1080" w:hanging="360"/>
        </w:pPr>
        <w:rPr>
          <w:rFonts w:hint="default"/>
        </w:rPr>
      </w:lvl>
    </w:lvlOverride>
    <w:lvlOverride w:ilvl="3">
      <w:lvl w:ilvl="3">
        <w:start w:val="1"/>
        <w:numFmt w:val="lowerLetter"/>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7">
    <w:abstractNumId w:val="2"/>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8">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28707680"/>
  </w:docVars>
  <w:rsids>
    <w:rsidRoot w:val="00F40AF4"/>
    <w:rsid w:val="000005CB"/>
    <w:rsid w:val="00001D5E"/>
    <w:rsid w:val="0000218A"/>
    <w:rsid w:val="00002E71"/>
    <w:rsid w:val="00004A3F"/>
    <w:rsid w:val="0000504A"/>
    <w:rsid w:val="00007953"/>
    <w:rsid w:val="00007A6A"/>
    <w:rsid w:val="00010E60"/>
    <w:rsid w:val="00011EAD"/>
    <w:rsid w:val="00011F9D"/>
    <w:rsid w:val="0001254B"/>
    <w:rsid w:val="00012D29"/>
    <w:rsid w:val="0001444C"/>
    <w:rsid w:val="00014F3F"/>
    <w:rsid w:val="000158F5"/>
    <w:rsid w:val="00015C87"/>
    <w:rsid w:val="00016392"/>
    <w:rsid w:val="00017247"/>
    <w:rsid w:val="000200B5"/>
    <w:rsid w:val="00022002"/>
    <w:rsid w:val="00022031"/>
    <w:rsid w:val="00022664"/>
    <w:rsid w:val="00022D48"/>
    <w:rsid w:val="00022EDA"/>
    <w:rsid w:val="00024223"/>
    <w:rsid w:val="00024855"/>
    <w:rsid w:val="00024AA5"/>
    <w:rsid w:val="00026A27"/>
    <w:rsid w:val="00026A77"/>
    <w:rsid w:val="00027740"/>
    <w:rsid w:val="00027E4C"/>
    <w:rsid w:val="00030657"/>
    <w:rsid w:val="000307B4"/>
    <w:rsid w:val="00030CA2"/>
    <w:rsid w:val="00030E9F"/>
    <w:rsid w:val="00031D10"/>
    <w:rsid w:val="00035127"/>
    <w:rsid w:val="00035D88"/>
    <w:rsid w:val="00035F60"/>
    <w:rsid w:val="00036DA6"/>
    <w:rsid w:val="00037651"/>
    <w:rsid w:val="00037773"/>
    <w:rsid w:val="00037AF8"/>
    <w:rsid w:val="000404B5"/>
    <w:rsid w:val="0004053C"/>
    <w:rsid w:val="00040CC9"/>
    <w:rsid w:val="00040D13"/>
    <w:rsid w:val="00041943"/>
    <w:rsid w:val="0004225E"/>
    <w:rsid w:val="000423D0"/>
    <w:rsid w:val="00042860"/>
    <w:rsid w:val="000443C4"/>
    <w:rsid w:val="00044944"/>
    <w:rsid w:val="0004498A"/>
    <w:rsid w:val="00045BAE"/>
    <w:rsid w:val="000477D1"/>
    <w:rsid w:val="000479C9"/>
    <w:rsid w:val="00050541"/>
    <w:rsid w:val="00051B0F"/>
    <w:rsid w:val="00052673"/>
    <w:rsid w:val="000535A7"/>
    <w:rsid w:val="0005471E"/>
    <w:rsid w:val="0005554B"/>
    <w:rsid w:val="00060235"/>
    <w:rsid w:val="000647FA"/>
    <w:rsid w:val="0006554F"/>
    <w:rsid w:val="00066663"/>
    <w:rsid w:val="000666F6"/>
    <w:rsid w:val="00070D98"/>
    <w:rsid w:val="000716B7"/>
    <w:rsid w:val="00073FC3"/>
    <w:rsid w:val="0007412E"/>
    <w:rsid w:val="00074135"/>
    <w:rsid w:val="000767FF"/>
    <w:rsid w:val="0008135A"/>
    <w:rsid w:val="00082767"/>
    <w:rsid w:val="00082E5C"/>
    <w:rsid w:val="00083716"/>
    <w:rsid w:val="000849DC"/>
    <w:rsid w:val="000860A1"/>
    <w:rsid w:val="00087CC5"/>
    <w:rsid w:val="0009005C"/>
    <w:rsid w:val="00091519"/>
    <w:rsid w:val="000921BC"/>
    <w:rsid w:val="000925B9"/>
    <w:rsid w:val="000927E9"/>
    <w:rsid w:val="000929D9"/>
    <w:rsid w:val="0009360C"/>
    <w:rsid w:val="0009490E"/>
    <w:rsid w:val="000950CA"/>
    <w:rsid w:val="0009584A"/>
    <w:rsid w:val="00095D8F"/>
    <w:rsid w:val="00096994"/>
    <w:rsid w:val="00096F74"/>
    <w:rsid w:val="000A094E"/>
    <w:rsid w:val="000A11EB"/>
    <w:rsid w:val="000A220E"/>
    <w:rsid w:val="000A2F48"/>
    <w:rsid w:val="000A510C"/>
    <w:rsid w:val="000A5AC5"/>
    <w:rsid w:val="000A7EFE"/>
    <w:rsid w:val="000B3322"/>
    <w:rsid w:val="000B4290"/>
    <w:rsid w:val="000B629F"/>
    <w:rsid w:val="000B67E1"/>
    <w:rsid w:val="000B6D95"/>
    <w:rsid w:val="000C04BD"/>
    <w:rsid w:val="000C1A6B"/>
    <w:rsid w:val="000C269C"/>
    <w:rsid w:val="000C4FD8"/>
    <w:rsid w:val="000C5510"/>
    <w:rsid w:val="000C598F"/>
    <w:rsid w:val="000C5CDF"/>
    <w:rsid w:val="000C6B18"/>
    <w:rsid w:val="000C71B2"/>
    <w:rsid w:val="000D098C"/>
    <w:rsid w:val="000D1336"/>
    <w:rsid w:val="000D1E8D"/>
    <w:rsid w:val="000D24A7"/>
    <w:rsid w:val="000D3CB5"/>
    <w:rsid w:val="000D42AC"/>
    <w:rsid w:val="000D4335"/>
    <w:rsid w:val="000D587E"/>
    <w:rsid w:val="000D5CA1"/>
    <w:rsid w:val="000D763A"/>
    <w:rsid w:val="000D7906"/>
    <w:rsid w:val="000E0C64"/>
    <w:rsid w:val="000E111C"/>
    <w:rsid w:val="000E20B9"/>
    <w:rsid w:val="000E2DCB"/>
    <w:rsid w:val="000E3094"/>
    <w:rsid w:val="000E3D69"/>
    <w:rsid w:val="000E4184"/>
    <w:rsid w:val="000E63AA"/>
    <w:rsid w:val="000E6C36"/>
    <w:rsid w:val="000E7B3F"/>
    <w:rsid w:val="000F0A30"/>
    <w:rsid w:val="000F0CB0"/>
    <w:rsid w:val="000F1E2C"/>
    <w:rsid w:val="000F22AD"/>
    <w:rsid w:val="000F47A8"/>
    <w:rsid w:val="000F4E4B"/>
    <w:rsid w:val="000F5DD9"/>
    <w:rsid w:val="000F7CE1"/>
    <w:rsid w:val="00101556"/>
    <w:rsid w:val="00101582"/>
    <w:rsid w:val="00101813"/>
    <w:rsid w:val="001022EE"/>
    <w:rsid w:val="00102B62"/>
    <w:rsid w:val="001036F7"/>
    <w:rsid w:val="00105690"/>
    <w:rsid w:val="001059C3"/>
    <w:rsid w:val="0010611E"/>
    <w:rsid w:val="00106881"/>
    <w:rsid w:val="001068AE"/>
    <w:rsid w:val="0011005B"/>
    <w:rsid w:val="00112325"/>
    <w:rsid w:val="00113811"/>
    <w:rsid w:val="00114446"/>
    <w:rsid w:val="0011497C"/>
    <w:rsid w:val="00114A5C"/>
    <w:rsid w:val="00114D69"/>
    <w:rsid w:val="00115E17"/>
    <w:rsid w:val="001163B8"/>
    <w:rsid w:val="00116960"/>
    <w:rsid w:val="00116EA8"/>
    <w:rsid w:val="0012099C"/>
    <w:rsid w:val="0012210B"/>
    <w:rsid w:val="0012337D"/>
    <w:rsid w:val="00124DF6"/>
    <w:rsid w:val="00125631"/>
    <w:rsid w:val="00126555"/>
    <w:rsid w:val="001266C6"/>
    <w:rsid w:val="00127517"/>
    <w:rsid w:val="001278D6"/>
    <w:rsid w:val="00130995"/>
    <w:rsid w:val="00130EC8"/>
    <w:rsid w:val="00131C14"/>
    <w:rsid w:val="00132B39"/>
    <w:rsid w:val="001336B2"/>
    <w:rsid w:val="00133864"/>
    <w:rsid w:val="0013517D"/>
    <w:rsid w:val="00135488"/>
    <w:rsid w:val="00135CF2"/>
    <w:rsid w:val="0013670F"/>
    <w:rsid w:val="00136AC2"/>
    <w:rsid w:val="00137084"/>
    <w:rsid w:val="001374AB"/>
    <w:rsid w:val="001375AC"/>
    <w:rsid w:val="00140A3D"/>
    <w:rsid w:val="001462BD"/>
    <w:rsid w:val="001465A5"/>
    <w:rsid w:val="001465C5"/>
    <w:rsid w:val="0014695E"/>
    <w:rsid w:val="0015081A"/>
    <w:rsid w:val="00150F38"/>
    <w:rsid w:val="00151110"/>
    <w:rsid w:val="00151828"/>
    <w:rsid w:val="0015231C"/>
    <w:rsid w:val="001534FA"/>
    <w:rsid w:val="00154ED9"/>
    <w:rsid w:val="001551FE"/>
    <w:rsid w:val="001608E4"/>
    <w:rsid w:val="00162236"/>
    <w:rsid w:val="00162882"/>
    <w:rsid w:val="00163667"/>
    <w:rsid w:val="00164956"/>
    <w:rsid w:val="00164BD8"/>
    <w:rsid w:val="00164C0E"/>
    <w:rsid w:val="00166BB4"/>
    <w:rsid w:val="00166F95"/>
    <w:rsid w:val="0017098A"/>
    <w:rsid w:val="00171BA7"/>
    <w:rsid w:val="00171CF4"/>
    <w:rsid w:val="00174444"/>
    <w:rsid w:val="001760EF"/>
    <w:rsid w:val="0017648D"/>
    <w:rsid w:val="0017663E"/>
    <w:rsid w:val="00176FA8"/>
    <w:rsid w:val="00177C22"/>
    <w:rsid w:val="001800D4"/>
    <w:rsid w:val="001806B7"/>
    <w:rsid w:val="00180B41"/>
    <w:rsid w:val="00180FEC"/>
    <w:rsid w:val="0018206C"/>
    <w:rsid w:val="0018232A"/>
    <w:rsid w:val="00183641"/>
    <w:rsid w:val="00183770"/>
    <w:rsid w:val="001838DA"/>
    <w:rsid w:val="00183BB4"/>
    <w:rsid w:val="0018458F"/>
    <w:rsid w:val="00184ED9"/>
    <w:rsid w:val="0018502A"/>
    <w:rsid w:val="0018543E"/>
    <w:rsid w:val="0018569C"/>
    <w:rsid w:val="0019010C"/>
    <w:rsid w:val="00190B52"/>
    <w:rsid w:val="001912D9"/>
    <w:rsid w:val="00192F81"/>
    <w:rsid w:val="001948E6"/>
    <w:rsid w:val="00195CC8"/>
    <w:rsid w:val="00197214"/>
    <w:rsid w:val="00197FE7"/>
    <w:rsid w:val="001A1C19"/>
    <w:rsid w:val="001A2B3D"/>
    <w:rsid w:val="001A3DC2"/>
    <w:rsid w:val="001A3FD3"/>
    <w:rsid w:val="001A489E"/>
    <w:rsid w:val="001A5046"/>
    <w:rsid w:val="001A517C"/>
    <w:rsid w:val="001A7469"/>
    <w:rsid w:val="001A7A8F"/>
    <w:rsid w:val="001B111B"/>
    <w:rsid w:val="001B1593"/>
    <w:rsid w:val="001B1816"/>
    <w:rsid w:val="001B3698"/>
    <w:rsid w:val="001B37C8"/>
    <w:rsid w:val="001B37F9"/>
    <w:rsid w:val="001B389A"/>
    <w:rsid w:val="001B5229"/>
    <w:rsid w:val="001B5278"/>
    <w:rsid w:val="001B5799"/>
    <w:rsid w:val="001B609C"/>
    <w:rsid w:val="001B6251"/>
    <w:rsid w:val="001B669F"/>
    <w:rsid w:val="001B6840"/>
    <w:rsid w:val="001B7B44"/>
    <w:rsid w:val="001B7C95"/>
    <w:rsid w:val="001C0646"/>
    <w:rsid w:val="001C0C20"/>
    <w:rsid w:val="001C16BC"/>
    <w:rsid w:val="001C1DA4"/>
    <w:rsid w:val="001C1F69"/>
    <w:rsid w:val="001C2410"/>
    <w:rsid w:val="001C2A59"/>
    <w:rsid w:val="001C31A5"/>
    <w:rsid w:val="001C368F"/>
    <w:rsid w:val="001C614D"/>
    <w:rsid w:val="001C78E4"/>
    <w:rsid w:val="001D0CDB"/>
    <w:rsid w:val="001D15D2"/>
    <w:rsid w:val="001D2D9A"/>
    <w:rsid w:val="001D2DE1"/>
    <w:rsid w:val="001D30C8"/>
    <w:rsid w:val="001D31F1"/>
    <w:rsid w:val="001D50DC"/>
    <w:rsid w:val="001D664C"/>
    <w:rsid w:val="001D74F8"/>
    <w:rsid w:val="001D7878"/>
    <w:rsid w:val="001E0024"/>
    <w:rsid w:val="001E13F6"/>
    <w:rsid w:val="001E2738"/>
    <w:rsid w:val="001E2D99"/>
    <w:rsid w:val="001E2E99"/>
    <w:rsid w:val="001E32A9"/>
    <w:rsid w:val="001E3811"/>
    <w:rsid w:val="001E3892"/>
    <w:rsid w:val="001E4AB2"/>
    <w:rsid w:val="001E4C93"/>
    <w:rsid w:val="001E606E"/>
    <w:rsid w:val="001E6679"/>
    <w:rsid w:val="001E66BF"/>
    <w:rsid w:val="001E6948"/>
    <w:rsid w:val="001E6AC2"/>
    <w:rsid w:val="001E70AB"/>
    <w:rsid w:val="001E796B"/>
    <w:rsid w:val="001F11DB"/>
    <w:rsid w:val="001F1F93"/>
    <w:rsid w:val="001F4294"/>
    <w:rsid w:val="001F47A7"/>
    <w:rsid w:val="001F5D45"/>
    <w:rsid w:val="001F5E84"/>
    <w:rsid w:val="001F6D5C"/>
    <w:rsid w:val="002002ED"/>
    <w:rsid w:val="00200C7A"/>
    <w:rsid w:val="00200E45"/>
    <w:rsid w:val="00202271"/>
    <w:rsid w:val="00205676"/>
    <w:rsid w:val="00205758"/>
    <w:rsid w:val="00205A1D"/>
    <w:rsid w:val="002062D7"/>
    <w:rsid w:val="0020725F"/>
    <w:rsid w:val="0020746B"/>
    <w:rsid w:val="002078BF"/>
    <w:rsid w:val="002107F3"/>
    <w:rsid w:val="0021125F"/>
    <w:rsid w:val="0021129B"/>
    <w:rsid w:val="0021205C"/>
    <w:rsid w:val="002129B2"/>
    <w:rsid w:val="00212F85"/>
    <w:rsid w:val="0021426D"/>
    <w:rsid w:val="0021472B"/>
    <w:rsid w:val="0021589B"/>
    <w:rsid w:val="00216054"/>
    <w:rsid w:val="00217085"/>
    <w:rsid w:val="00217A9A"/>
    <w:rsid w:val="0022082F"/>
    <w:rsid w:val="00221630"/>
    <w:rsid w:val="00221E39"/>
    <w:rsid w:val="00221ED7"/>
    <w:rsid w:val="002231E7"/>
    <w:rsid w:val="00223B61"/>
    <w:rsid w:val="00223B82"/>
    <w:rsid w:val="00224D6C"/>
    <w:rsid w:val="00224F44"/>
    <w:rsid w:val="00225417"/>
    <w:rsid w:val="0022623F"/>
    <w:rsid w:val="0022697C"/>
    <w:rsid w:val="002270C7"/>
    <w:rsid w:val="00227A7F"/>
    <w:rsid w:val="00227E16"/>
    <w:rsid w:val="0023014D"/>
    <w:rsid w:val="00231C3E"/>
    <w:rsid w:val="00231DCB"/>
    <w:rsid w:val="00232870"/>
    <w:rsid w:val="00232D40"/>
    <w:rsid w:val="002335BE"/>
    <w:rsid w:val="00234558"/>
    <w:rsid w:val="00234986"/>
    <w:rsid w:val="00235782"/>
    <w:rsid w:val="0023594C"/>
    <w:rsid w:val="00237F95"/>
    <w:rsid w:val="00242787"/>
    <w:rsid w:val="00244773"/>
    <w:rsid w:val="00244DC3"/>
    <w:rsid w:val="00245563"/>
    <w:rsid w:val="002470D3"/>
    <w:rsid w:val="002506A4"/>
    <w:rsid w:val="002509C3"/>
    <w:rsid w:val="00250B66"/>
    <w:rsid w:val="002511E2"/>
    <w:rsid w:val="00251C8A"/>
    <w:rsid w:val="00253DA3"/>
    <w:rsid w:val="002547D6"/>
    <w:rsid w:val="00254AC4"/>
    <w:rsid w:val="0025505D"/>
    <w:rsid w:val="0025568C"/>
    <w:rsid w:val="002557DF"/>
    <w:rsid w:val="0025624A"/>
    <w:rsid w:val="002569D2"/>
    <w:rsid w:val="00256B4D"/>
    <w:rsid w:val="00256F15"/>
    <w:rsid w:val="00257E68"/>
    <w:rsid w:val="00262108"/>
    <w:rsid w:val="002624A5"/>
    <w:rsid w:val="0026322A"/>
    <w:rsid w:val="00263DBC"/>
    <w:rsid w:val="002640B5"/>
    <w:rsid w:val="002643CB"/>
    <w:rsid w:val="002654C5"/>
    <w:rsid w:val="002658AB"/>
    <w:rsid w:val="002659C1"/>
    <w:rsid w:val="00267123"/>
    <w:rsid w:val="002705F3"/>
    <w:rsid w:val="002715D6"/>
    <w:rsid w:val="00272171"/>
    <w:rsid w:val="00273113"/>
    <w:rsid w:val="00274B87"/>
    <w:rsid w:val="00275D0F"/>
    <w:rsid w:val="002772C3"/>
    <w:rsid w:val="0028166A"/>
    <w:rsid w:val="002826B7"/>
    <w:rsid w:val="002829AD"/>
    <w:rsid w:val="00282E72"/>
    <w:rsid w:val="0028373F"/>
    <w:rsid w:val="00286013"/>
    <w:rsid w:val="00286E18"/>
    <w:rsid w:val="002878E1"/>
    <w:rsid w:val="0029076D"/>
    <w:rsid w:val="00290BC4"/>
    <w:rsid w:val="00291135"/>
    <w:rsid w:val="00292413"/>
    <w:rsid w:val="00292F7D"/>
    <w:rsid w:val="00293EA5"/>
    <w:rsid w:val="002942CE"/>
    <w:rsid w:val="00295BB9"/>
    <w:rsid w:val="00296A30"/>
    <w:rsid w:val="00296A74"/>
    <w:rsid w:val="00296AA7"/>
    <w:rsid w:val="00297007"/>
    <w:rsid w:val="002971C2"/>
    <w:rsid w:val="002A08AE"/>
    <w:rsid w:val="002A12FA"/>
    <w:rsid w:val="002A21D6"/>
    <w:rsid w:val="002A39F2"/>
    <w:rsid w:val="002A43F8"/>
    <w:rsid w:val="002A5634"/>
    <w:rsid w:val="002A5DF8"/>
    <w:rsid w:val="002B07F2"/>
    <w:rsid w:val="002B080D"/>
    <w:rsid w:val="002B0BF6"/>
    <w:rsid w:val="002B0DC0"/>
    <w:rsid w:val="002B2E5E"/>
    <w:rsid w:val="002B3616"/>
    <w:rsid w:val="002B4349"/>
    <w:rsid w:val="002B43C8"/>
    <w:rsid w:val="002B6BF1"/>
    <w:rsid w:val="002C0A83"/>
    <w:rsid w:val="002C14ED"/>
    <w:rsid w:val="002C1B02"/>
    <w:rsid w:val="002C2A26"/>
    <w:rsid w:val="002C2DC5"/>
    <w:rsid w:val="002C2EE0"/>
    <w:rsid w:val="002C3C96"/>
    <w:rsid w:val="002C4CE4"/>
    <w:rsid w:val="002C5195"/>
    <w:rsid w:val="002C6736"/>
    <w:rsid w:val="002C6EA0"/>
    <w:rsid w:val="002C7F85"/>
    <w:rsid w:val="002D1810"/>
    <w:rsid w:val="002D1EA6"/>
    <w:rsid w:val="002D2D2C"/>
    <w:rsid w:val="002D3212"/>
    <w:rsid w:val="002D3690"/>
    <w:rsid w:val="002D46AD"/>
    <w:rsid w:val="002D50E8"/>
    <w:rsid w:val="002D61BE"/>
    <w:rsid w:val="002D684D"/>
    <w:rsid w:val="002D6E11"/>
    <w:rsid w:val="002D70C8"/>
    <w:rsid w:val="002D70E7"/>
    <w:rsid w:val="002D765E"/>
    <w:rsid w:val="002E13C9"/>
    <w:rsid w:val="002E159F"/>
    <w:rsid w:val="002E3531"/>
    <w:rsid w:val="002E3EEC"/>
    <w:rsid w:val="002E414F"/>
    <w:rsid w:val="002E5D73"/>
    <w:rsid w:val="002E62AE"/>
    <w:rsid w:val="002E7325"/>
    <w:rsid w:val="002E75AB"/>
    <w:rsid w:val="002E7CBD"/>
    <w:rsid w:val="002F0988"/>
    <w:rsid w:val="002F209F"/>
    <w:rsid w:val="002F2133"/>
    <w:rsid w:val="002F32B5"/>
    <w:rsid w:val="002F4973"/>
    <w:rsid w:val="002F4C42"/>
    <w:rsid w:val="002F539E"/>
    <w:rsid w:val="002F5B7D"/>
    <w:rsid w:val="002F63D2"/>
    <w:rsid w:val="002F78A6"/>
    <w:rsid w:val="003009B5"/>
    <w:rsid w:val="00300C1A"/>
    <w:rsid w:val="00300E1B"/>
    <w:rsid w:val="00302904"/>
    <w:rsid w:val="00303125"/>
    <w:rsid w:val="00303D93"/>
    <w:rsid w:val="003063D2"/>
    <w:rsid w:val="003063FE"/>
    <w:rsid w:val="00306801"/>
    <w:rsid w:val="00306C1D"/>
    <w:rsid w:val="00306EA5"/>
    <w:rsid w:val="0030792D"/>
    <w:rsid w:val="00307B85"/>
    <w:rsid w:val="003105EB"/>
    <w:rsid w:val="00311A50"/>
    <w:rsid w:val="00312A41"/>
    <w:rsid w:val="003137EE"/>
    <w:rsid w:val="00314634"/>
    <w:rsid w:val="00315E63"/>
    <w:rsid w:val="00315F13"/>
    <w:rsid w:val="003164F7"/>
    <w:rsid w:val="00317481"/>
    <w:rsid w:val="00317A9E"/>
    <w:rsid w:val="0032184B"/>
    <w:rsid w:val="00322AAB"/>
    <w:rsid w:val="00323CE9"/>
    <w:rsid w:val="0032476D"/>
    <w:rsid w:val="00324FB2"/>
    <w:rsid w:val="0032536B"/>
    <w:rsid w:val="00327015"/>
    <w:rsid w:val="003307FD"/>
    <w:rsid w:val="00331047"/>
    <w:rsid w:val="0033550F"/>
    <w:rsid w:val="003367D1"/>
    <w:rsid w:val="00336E01"/>
    <w:rsid w:val="00337596"/>
    <w:rsid w:val="00340085"/>
    <w:rsid w:val="003421C2"/>
    <w:rsid w:val="00342F59"/>
    <w:rsid w:val="003435CC"/>
    <w:rsid w:val="00343DF7"/>
    <w:rsid w:val="00344BBD"/>
    <w:rsid w:val="00346B39"/>
    <w:rsid w:val="00350177"/>
    <w:rsid w:val="00351A19"/>
    <w:rsid w:val="0035364E"/>
    <w:rsid w:val="00354274"/>
    <w:rsid w:val="003549EE"/>
    <w:rsid w:val="00355C7E"/>
    <w:rsid w:val="003560A1"/>
    <w:rsid w:val="0036055F"/>
    <w:rsid w:val="003615EC"/>
    <w:rsid w:val="0036226D"/>
    <w:rsid w:val="00362D30"/>
    <w:rsid w:val="00362D3B"/>
    <w:rsid w:val="00363113"/>
    <w:rsid w:val="00363FC4"/>
    <w:rsid w:val="003643A0"/>
    <w:rsid w:val="00365A4E"/>
    <w:rsid w:val="00366EBA"/>
    <w:rsid w:val="003679E6"/>
    <w:rsid w:val="00367E9A"/>
    <w:rsid w:val="00367FEB"/>
    <w:rsid w:val="00370D4C"/>
    <w:rsid w:val="00370E55"/>
    <w:rsid w:val="00371F35"/>
    <w:rsid w:val="00372822"/>
    <w:rsid w:val="00372BCE"/>
    <w:rsid w:val="00373050"/>
    <w:rsid w:val="003756FC"/>
    <w:rsid w:val="003758E7"/>
    <w:rsid w:val="00375FC7"/>
    <w:rsid w:val="00376FD2"/>
    <w:rsid w:val="00377219"/>
    <w:rsid w:val="0037769A"/>
    <w:rsid w:val="0038154F"/>
    <w:rsid w:val="00382711"/>
    <w:rsid w:val="003834CD"/>
    <w:rsid w:val="003837E2"/>
    <w:rsid w:val="00383E9E"/>
    <w:rsid w:val="003855D3"/>
    <w:rsid w:val="0038584B"/>
    <w:rsid w:val="003868BE"/>
    <w:rsid w:val="00386EC2"/>
    <w:rsid w:val="00387C55"/>
    <w:rsid w:val="003914A1"/>
    <w:rsid w:val="003914FE"/>
    <w:rsid w:val="0039194F"/>
    <w:rsid w:val="00391A4D"/>
    <w:rsid w:val="003928FD"/>
    <w:rsid w:val="00394624"/>
    <w:rsid w:val="00396920"/>
    <w:rsid w:val="00397341"/>
    <w:rsid w:val="003973E0"/>
    <w:rsid w:val="003A02D8"/>
    <w:rsid w:val="003A05D0"/>
    <w:rsid w:val="003A16E2"/>
    <w:rsid w:val="003A187A"/>
    <w:rsid w:val="003A18EE"/>
    <w:rsid w:val="003A32DF"/>
    <w:rsid w:val="003A51FD"/>
    <w:rsid w:val="003A57E2"/>
    <w:rsid w:val="003A5D41"/>
    <w:rsid w:val="003A7731"/>
    <w:rsid w:val="003B0091"/>
    <w:rsid w:val="003B025D"/>
    <w:rsid w:val="003B02F6"/>
    <w:rsid w:val="003B0F7E"/>
    <w:rsid w:val="003B2E04"/>
    <w:rsid w:val="003B3093"/>
    <w:rsid w:val="003B30E3"/>
    <w:rsid w:val="003B4935"/>
    <w:rsid w:val="003B5554"/>
    <w:rsid w:val="003B585E"/>
    <w:rsid w:val="003B6340"/>
    <w:rsid w:val="003B67C3"/>
    <w:rsid w:val="003B7FB4"/>
    <w:rsid w:val="003C0EC8"/>
    <w:rsid w:val="003C0F08"/>
    <w:rsid w:val="003C1CFD"/>
    <w:rsid w:val="003C3A99"/>
    <w:rsid w:val="003C49C9"/>
    <w:rsid w:val="003C5873"/>
    <w:rsid w:val="003C7B70"/>
    <w:rsid w:val="003D00C1"/>
    <w:rsid w:val="003D02C7"/>
    <w:rsid w:val="003D0E27"/>
    <w:rsid w:val="003D15D0"/>
    <w:rsid w:val="003D1C7A"/>
    <w:rsid w:val="003D2051"/>
    <w:rsid w:val="003D38F7"/>
    <w:rsid w:val="003D4E61"/>
    <w:rsid w:val="003D5D49"/>
    <w:rsid w:val="003D6481"/>
    <w:rsid w:val="003D6539"/>
    <w:rsid w:val="003D6830"/>
    <w:rsid w:val="003D7545"/>
    <w:rsid w:val="003E1405"/>
    <w:rsid w:val="003E15B6"/>
    <w:rsid w:val="003E1B06"/>
    <w:rsid w:val="003E4DDA"/>
    <w:rsid w:val="003E5527"/>
    <w:rsid w:val="003E5628"/>
    <w:rsid w:val="003E5903"/>
    <w:rsid w:val="003E5D1E"/>
    <w:rsid w:val="003E6838"/>
    <w:rsid w:val="003F0F58"/>
    <w:rsid w:val="003F1141"/>
    <w:rsid w:val="003F21EA"/>
    <w:rsid w:val="003F2AEA"/>
    <w:rsid w:val="003F347A"/>
    <w:rsid w:val="003F54EE"/>
    <w:rsid w:val="003F69C5"/>
    <w:rsid w:val="003F7407"/>
    <w:rsid w:val="003F7475"/>
    <w:rsid w:val="003F7D0F"/>
    <w:rsid w:val="00400060"/>
    <w:rsid w:val="0040046D"/>
    <w:rsid w:val="00400C9D"/>
    <w:rsid w:val="00401755"/>
    <w:rsid w:val="00402468"/>
    <w:rsid w:val="00403B49"/>
    <w:rsid w:val="00403F28"/>
    <w:rsid w:val="0040436B"/>
    <w:rsid w:val="0040464B"/>
    <w:rsid w:val="00405136"/>
    <w:rsid w:val="0040535D"/>
    <w:rsid w:val="004074DB"/>
    <w:rsid w:val="00407E2D"/>
    <w:rsid w:val="004104D7"/>
    <w:rsid w:val="00411143"/>
    <w:rsid w:val="00411D0C"/>
    <w:rsid w:val="0041277A"/>
    <w:rsid w:val="004127CC"/>
    <w:rsid w:val="00414D79"/>
    <w:rsid w:val="00415060"/>
    <w:rsid w:val="0041519D"/>
    <w:rsid w:val="004162B0"/>
    <w:rsid w:val="0041758B"/>
    <w:rsid w:val="00417A48"/>
    <w:rsid w:val="00417ABA"/>
    <w:rsid w:val="004207B0"/>
    <w:rsid w:val="004229F0"/>
    <w:rsid w:val="00422E70"/>
    <w:rsid w:val="004255AD"/>
    <w:rsid w:val="004262C8"/>
    <w:rsid w:val="004264E1"/>
    <w:rsid w:val="004266A4"/>
    <w:rsid w:val="00427446"/>
    <w:rsid w:val="004275DC"/>
    <w:rsid w:val="00427731"/>
    <w:rsid w:val="00427C7D"/>
    <w:rsid w:val="00430968"/>
    <w:rsid w:val="00430F4A"/>
    <w:rsid w:val="00431ED9"/>
    <w:rsid w:val="0043213F"/>
    <w:rsid w:val="00432D7B"/>
    <w:rsid w:val="0043388C"/>
    <w:rsid w:val="00434040"/>
    <w:rsid w:val="004345F2"/>
    <w:rsid w:val="0043492B"/>
    <w:rsid w:val="004366BF"/>
    <w:rsid w:val="004405B5"/>
    <w:rsid w:val="00441E8C"/>
    <w:rsid w:val="00442658"/>
    <w:rsid w:val="00443FC3"/>
    <w:rsid w:val="004444FF"/>
    <w:rsid w:val="00444C99"/>
    <w:rsid w:val="00444F84"/>
    <w:rsid w:val="00446044"/>
    <w:rsid w:val="00446D6B"/>
    <w:rsid w:val="00447047"/>
    <w:rsid w:val="00447DAD"/>
    <w:rsid w:val="00450D55"/>
    <w:rsid w:val="0045347E"/>
    <w:rsid w:val="0045436C"/>
    <w:rsid w:val="004563F9"/>
    <w:rsid w:val="00457175"/>
    <w:rsid w:val="0045733E"/>
    <w:rsid w:val="004607E2"/>
    <w:rsid w:val="004610DD"/>
    <w:rsid w:val="00461B5F"/>
    <w:rsid w:val="004621F5"/>
    <w:rsid w:val="00466111"/>
    <w:rsid w:val="004665FC"/>
    <w:rsid w:val="00466707"/>
    <w:rsid w:val="00466EEB"/>
    <w:rsid w:val="00466F80"/>
    <w:rsid w:val="00470730"/>
    <w:rsid w:val="00470BD1"/>
    <w:rsid w:val="0047305D"/>
    <w:rsid w:val="00473103"/>
    <w:rsid w:val="00473B3D"/>
    <w:rsid w:val="00473C00"/>
    <w:rsid w:val="00474D92"/>
    <w:rsid w:val="004758B7"/>
    <w:rsid w:val="004763CF"/>
    <w:rsid w:val="00476406"/>
    <w:rsid w:val="004801CF"/>
    <w:rsid w:val="00480E15"/>
    <w:rsid w:val="004825BA"/>
    <w:rsid w:val="00484BB5"/>
    <w:rsid w:val="0048731E"/>
    <w:rsid w:val="0048741D"/>
    <w:rsid w:val="00490024"/>
    <w:rsid w:val="00491485"/>
    <w:rsid w:val="004917AB"/>
    <w:rsid w:val="004921A2"/>
    <w:rsid w:val="00492902"/>
    <w:rsid w:val="00492D82"/>
    <w:rsid w:val="004933DD"/>
    <w:rsid w:val="00494CEB"/>
    <w:rsid w:val="00495153"/>
    <w:rsid w:val="00495679"/>
    <w:rsid w:val="004968B9"/>
    <w:rsid w:val="004979A7"/>
    <w:rsid w:val="004A0D2F"/>
    <w:rsid w:val="004A0DC9"/>
    <w:rsid w:val="004A16D5"/>
    <w:rsid w:val="004A3A17"/>
    <w:rsid w:val="004A4379"/>
    <w:rsid w:val="004A4472"/>
    <w:rsid w:val="004A45F3"/>
    <w:rsid w:val="004A52A9"/>
    <w:rsid w:val="004A5D23"/>
    <w:rsid w:val="004A5F2D"/>
    <w:rsid w:val="004A5F6F"/>
    <w:rsid w:val="004B0251"/>
    <w:rsid w:val="004B0675"/>
    <w:rsid w:val="004B0C6B"/>
    <w:rsid w:val="004B1125"/>
    <w:rsid w:val="004B1E4E"/>
    <w:rsid w:val="004B29B1"/>
    <w:rsid w:val="004B2B1A"/>
    <w:rsid w:val="004B2E8A"/>
    <w:rsid w:val="004B45D8"/>
    <w:rsid w:val="004B4763"/>
    <w:rsid w:val="004B4793"/>
    <w:rsid w:val="004B506A"/>
    <w:rsid w:val="004B58A0"/>
    <w:rsid w:val="004B66CC"/>
    <w:rsid w:val="004B77E2"/>
    <w:rsid w:val="004C02B3"/>
    <w:rsid w:val="004C0EC2"/>
    <w:rsid w:val="004C10B1"/>
    <w:rsid w:val="004C1105"/>
    <w:rsid w:val="004C1ADF"/>
    <w:rsid w:val="004C2586"/>
    <w:rsid w:val="004C3351"/>
    <w:rsid w:val="004C6258"/>
    <w:rsid w:val="004C66B6"/>
    <w:rsid w:val="004C6ACC"/>
    <w:rsid w:val="004C7D12"/>
    <w:rsid w:val="004D1AF6"/>
    <w:rsid w:val="004D1E01"/>
    <w:rsid w:val="004D26B3"/>
    <w:rsid w:val="004D3CF4"/>
    <w:rsid w:val="004D52C8"/>
    <w:rsid w:val="004D5571"/>
    <w:rsid w:val="004D6A84"/>
    <w:rsid w:val="004D7625"/>
    <w:rsid w:val="004D7AC2"/>
    <w:rsid w:val="004D7EE2"/>
    <w:rsid w:val="004E0DC8"/>
    <w:rsid w:val="004E2B81"/>
    <w:rsid w:val="004E2DEE"/>
    <w:rsid w:val="004E3916"/>
    <w:rsid w:val="004E48B8"/>
    <w:rsid w:val="004E55A0"/>
    <w:rsid w:val="004E56E5"/>
    <w:rsid w:val="004E693A"/>
    <w:rsid w:val="004F1873"/>
    <w:rsid w:val="004F1886"/>
    <w:rsid w:val="004F1BE5"/>
    <w:rsid w:val="004F205C"/>
    <w:rsid w:val="004F3674"/>
    <w:rsid w:val="004F4B2A"/>
    <w:rsid w:val="004F52CA"/>
    <w:rsid w:val="004F55F3"/>
    <w:rsid w:val="004F7B27"/>
    <w:rsid w:val="0050024D"/>
    <w:rsid w:val="00500E04"/>
    <w:rsid w:val="00501290"/>
    <w:rsid w:val="005013B7"/>
    <w:rsid w:val="00501579"/>
    <w:rsid w:val="00503B65"/>
    <w:rsid w:val="005049D0"/>
    <w:rsid w:val="005049DA"/>
    <w:rsid w:val="00504E02"/>
    <w:rsid w:val="00504E7B"/>
    <w:rsid w:val="00505418"/>
    <w:rsid w:val="005055FD"/>
    <w:rsid w:val="00507DE5"/>
    <w:rsid w:val="0051001A"/>
    <w:rsid w:val="005103AE"/>
    <w:rsid w:val="00510BCD"/>
    <w:rsid w:val="005115B0"/>
    <w:rsid w:val="00511DE0"/>
    <w:rsid w:val="00512CA6"/>
    <w:rsid w:val="00512F18"/>
    <w:rsid w:val="00513A0D"/>
    <w:rsid w:val="00513B8D"/>
    <w:rsid w:val="00513E78"/>
    <w:rsid w:val="00514F6E"/>
    <w:rsid w:val="00515185"/>
    <w:rsid w:val="00515E12"/>
    <w:rsid w:val="005167FD"/>
    <w:rsid w:val="00517044"/>
    <w:rsid w:val="00520842"/>
    <w:rsid w:val="00520B4D"/>
    <w:rsid w:val="00521828"/>
    <w:rsid w:val="00521B53"/>
    <w:rsid w:val="00522B07"/>
    <w:rsid w:val="005235D3"/>
    <w:rsid w:val="005245B1"/>
    <w:rsid w:val="00524AB0"/>
    <w:rsid w:val="00526125"/>
    <w:rsid w:val="005261C2"/>
    <w:rsid w:val="0052693F"/>
    <w:rsid w:val="00530020"/>
    <w:rsid w:val="005309CA"/>
    <w:rsid w:val="00530CF0"/>
    <w:rsid w:val="005319D7"/>
    <w:rsid w:val="00532AF4"/>
    <w:rsid w:val="00534944"/>
    <w:rsid w:val="00534F3A"/>
    <w:rsid w:val="0053579D"/>
    <w:rsid w:val="005402E1"/>
    <w:rsid w:val="00540318"/>
    <w:rsid w:val="0054146A"/>
    <w:rsid w:val="00541E6B"/>
    <w:rsid w:val="00543176"/>
    <w:rsid w:val="0054447F"/>
    <w:rsid w:val="00544802"/>
    <w:rsid w:val="005452C5"/>
    <w:rsid w:val="005452F4"/>
    <w:rsid w:val="005463A9"/>
    <w:rsid w:val="00546F57"/>
    <w:rsid w:val="005474D6"/>
    <w:rsid w:val="005500F1"/>
    <w:rsid w:val="00550850"/>
    <w:rsid w:val="00550FC2"/>
    <w:rsid w:val="005529BD"/>
    <w:rsid w:val="00552ED0"/>
    <w:rsid w:val="0055448E"/>
    <w:rsid w:val="00554A4A"/>
    <w:rsid w:val="00555A5E"/>
    <w:rsid w:val="00556080"/>
    <w:rsid w:val="0056147A"/>
    <w:rsid w:val="00561977"/>
    <w:rsid w:val="00562BF1"/>
    <w:rsid w:val="005630B3"/>
    <w:rsid w:val="00563808"/>
    <w:rsid w:val="00563D96"/>
    <w:rsid w:val="00564004"/>
    <w:rsid w:val="00565182"/>
    <w:rsid w:val="00567867"/>
    <w:rsid w:val="00567DE1"/>
    <w:rsid w:val="00570EC9"/>
    <w:rsid w:val="00573658"/>
    <w:rsid w:val="00574CB2"/>
    <w:rsid w:val="005756F9"/>
    <w:rsid w:val="00575898"/>
    <w:rsid w:val="00575B38"/>
    <w:rsid w:val="00576844"/>
    <w:rsid w:val="005773BD"/>
    <w:rsid w:val="00577E59"/>
    <w:rsid w:val="005840F8"/>
    <w:rsid w:val="00584382"/>
    <w:rsid w:val="00584762"/>
    <w:rsid w:val="00585BAB"/>
    <w:rsid w:val="005868E8"/>
    <w:rsid w:val="00587F69"/>
    <w:rsid w:val="0059057B"/>
    <w:rsid w:val="00590615"/>
    <w:rsid w:val="005937CF"/>
    <w:rsid w:val="00594474"/>
    <w:rsid w:val="005945F6"/>
    <w:rsid w:val="00594DC4"/>
    <w:rsid w:val="00595C07"/>
    <w:rsid w:val="00595E5F"/>
    <w:rsid w:val="005963C4"/>
    <w:rsid w:val="00597440"/>
    <w:rsid w:val="005A048B"/>
    <w:rsid w:val="005A0D31"/>
    <w:rsid w:val="005A2758"/>
    <w:rsid w:val="005A2AEA"/>
    <w:rsid w:val="005A338D"/>
    <w:rsid w:val="005A54F0"/>
    <w:rsid w:val="005A560D"/>
    <w:rsid w:val="005A6B6E"/>
    <w:rsid w:val="005B04D0"/>
    <w:rsid w:val="005B4EAA"/>
    <w:rsid w:val="005B7177"/>
    <w:rsid w:val="005B760F"/>
    <w:rsid w:val="005B7612"/>
    <w:rsid w:val="005B7B0C"/>
    <w:rsid w:val="005C02C1"/>
    <w:rsid w:val="005C05A7"/>
    <w:rsid w:val="005C10DE"/>
    <w:rsid w:val="005C1128"/>
    <w:rsid w:val="005C18CF"/>
    <w:rsid w:val="005C39CA"/>
    <w:rsid w:val="005C50AD"/>
    <w:rsid w:val="005C5138"/>
    <w:rsid w:val="005C5ED9"/>
    <w:rsid w:val="005C6768"/>
    <w:rsid w:val="005C68BD"/>
    <w:rsid w:val="005D06E3"/>
    <w:rsid w:val="005D141F"/>
    <w:rsid w:val="005D45C9"/>
    <w:rsid w:val="005D4A8A"/>
    <w:rsid w:val="005D4F69"/>
    <w:rsid w:val="005D5D54"/>
    <w:rsid w:val="005D7C72"/>
    <w:rsid w:val="005E0F70"/>
    <w:rsid w:val="005E159E"/>
    <w:rsid w:val="005E1F85"/>
    <w:rsid w:val="005E3D7C"/>
    <w:rsid w:val="005E421D"/>
    <w:rsid w:val="005E5064"/>
    <w:rsid w:val="005E6C7E"/>
    <w:rsid w:val="005E7A75"/>
    <w:rsid w:val="005F09F4"/>
    <w:rsid w:val="005F0F61"/>
    <w:rsid w:val="005F1BB9"/>
    <w:rsid w:val="005F274A"/>
    <w:rsid w:val="005F2A35"/>
    <w:rsid w:val="005F2B4C"/>
    <w:rsid w:val="005F2D4F"/>
    <w:rsid w:val="005F345C"/>
    <w:rsid w:val="005F47D6"/>
    <w:rsid w:val="005F4F74"/>
    <w:rsid w:val="005F5585"/>
    <w:rsid w:val="005F5D08"/>
    <w:rsid w:val="005F7760"/>
    <w:rsid w:val="00600298"/>
    <w:rsid w:val="0060218C"/>
    <w:rsid w:val="0060255E"/>
    <w:rsid w:val="00603426"/>
    <w:rsid w:val="0060398A"/>
    <w:rsid w:val="00603FCF"/>
    <w:rsid w:val="006044D7"/>
    <w:rsid w:val="006051A4"/>
    <w:rsid w:val="006053F0"/>
    <w:rsid w:val="0060697D"/>
    <w:rsid w:val="00610120"/>
    <w:rsid w:val="006104AA"/>
    <w:rsid w:val="0061215E"/>
    <w:rsid w:val="00613DA8"/>
    <w:rsid w:val="00614796"/>
    <w:rsid w:val="00614B07"/>
    <w:rsid w:val="006151A3"/>
    <w:rsid w:val="00615A16"/>
    <w:rsid w:val="006163AA"/>
    <w:rsid w:val="00616EF1"/>
    <w:rsid w:val="00617B3D"/>
    <w:rsid w:val="0062040F"/>
    <w:rsid w:val="00621504"/>
    <w:rsid w:val="00622936"/>
    <w:rsid w:val="00622F58"/>
    <w:rsid w:val="0062383B"/>
    <w:rsid w:val="0062391C"/>
    <w:rsid w:val="00624368"/>
    <w:rsid w:val="006252B8"/>
    <w:rsid w:val="006301D5"/>
    <w:rsid w:val="0063177A"/>
    <w:rsid w:val="00633028"/>
    <w:rsid w:val="00635EB4"/>
    <w:rsid w:val="00636172"/>
    <w:rsid w:val="00637038"/>
    <w:rsid w:val="00640136"/>
    <w:rsid w:val="0064016B"/>
    <w:rsid w:val="006412BB"/>
    <w:rsid w:val="00641CF5"/>
    <w:rsid w:val="00642AB1"/>
    <w:rsid w:val="00643777"/>
    <w:rsid w:val="00643BBF"/>
    <w:rsid w:val="00645C44"/>
    <w:rsid w:val="00646685"/>
    <w:rsid w:val="006471CE"/>
    <w:rsid w:val="00650F88"/>
    <w:rsid w:val="00651517"/>
    <w:rsid w:val="00651FBE"/>
    <w:rsid w:val="006521FA"/>
    <w:rsid w:val="00652277"/>
    <w:rsid w:val="0065351C"/>
    <w:rsid w:val="00653851"/>
    <w:rsid w:val="00654BD9"/>
    <w:rsid w:val="00654BDD"/>
    <w:rsid w:val="0065509C"/>
    <w:rsid w:val="006550A6"/>
    <w:rsid w:val="006552C0"/>
    <w:rsid w:val="0065674E"/>
    <w:rsid w:val="006568DF"/>
    <w:rsid w:val="00657F07"/>
    <w:rsid w:val="0066057A"/>
    <w:rsid w:val="00661B4E"/>
    <w:rsid w:val="00662C19"/>
    <w:rsid w:val="00662E19"/>
    <w:rsid w:val="00663F11"/>
    <w:rsid w:val="00665577"/>
    <w:rsid w:val="00666420"/>
    <w:rsid w:val="00670398"/>
    <w:rsid w:val="0067080A"/>
    <w:rsid w:val="00670B1B"/>
    <w:rsid w:val="006729FF"/>
    <w:rsid w:val="006734EC"/>
    <w:rsid w:val="006744D8"/>
    <w:rsid w:val="00674F22"/>
    <w:rsid w:val="00675F41"/>
    <w:rsid w:val="00676400"/>
    <w:rsid w:val="00676ECB"/>
    <w:rsid w:val="00680650"/>
    <w:rsid w:val="0068098C"/>
    <w:rsid w:val="00681DBA"/>
    <w:rsid w:val="0068234A"/>
    <w:rsid w:val="00682965"/>
    <w:rsid w:val="00684C7B"/>
    <w:rsid w:val="00690A75"/>
    <w:rsid w:val="0069134A"/>
    <w:rsid w:val="00691F89"/>
    <w:rsid w:val="006922F4"/>
    <w:rsid w:val="00692D9A"/>
    <w:rsid w:val="00694954"/>
    <w:rsid w:val="00694B2E"/>
    <w:rsid w:val="00694C08"/>
    <w:rsid w:val="00694F51"/>
    <w:rsid w:val="006970B6"/>
    <w:rsid w:val="0069726D"/>
    <w:rsid w:val="006972B1"/>
    <w:rsid w:val="006A03B0"/>
    <w:rsid w:val="006A422B"/>
    <w:rsid w:val="006A4740"/>
    <w:rsid w:val="006A64F2"/>
    <w:rsid w:val="006A67AE"/>
    <w:rsid w:val="006A67C0"/>
    <w:rsid w:val="006A6A40"/>
    <w:rsid w:val="006A6C56"/>
    <w:rsid w:val="006B2289"/>
    <w:rsid w:val="006B2655"/>
    <w:rsid w:val="006B2EF9"/>
    <w:rsid w:val="006B3B6F"/>
    <w:rsid w:val="006B3EFB"/>
    <w:rsid w:val="006B52D8"/>
    <w:rsid w:val="006B6735"/>
    <w:rsid w:val="006B690F"/>
    <w:rsid w:val="006C103F"/>
    <w:rsid w:val="006C245A"/>
    <w:rsid w:val="006C245B"/>
    <w:rsid w:val="006C2B29"/>
    <w:rsid w:val="006C3295"/>
    <w:rsid w:val="006C3B29"/>
    <w:rsid w:val="006C44D8"/>
    <w:rsid w:val="006C5DA4"/>
    <w:rsid w:val="006C6489"/>
    <w:rsid w:val="006C6AD0"/>
    <w:rsid w:val="006C6F08"/>
    <w:rsid w:val="006C71BC"/>
    <w:rsid w:val="006C7836"/>
    <w:rsid w:val="006D3B22"/>
    <w:rsid w:val="006D491B"/>
    <w:rsid w:val="006D4A8D"/>
    <w:rsid w:val="006D626A"/>
    <w:rsid w:val="006D72FC"/>
    <w:rsid w:val="006D7B01"/>
    <w:rsid w:val="006E0C1C"/>
    <w:rsid w:val="006E1783"/>
    <w:rsid w:val="006E1DF2"/>
    <w:rsid w:val="006E324E"/>
    <w:rsid w:val="006E57E8"/>
    <w:rsid w:val="006E5DEC"/>
    <w:rsid w:val="006E71FE"/>
    <w:rsid w:val="006E73E3"/>
    <w:rsid w:val="006F08AE"/>
    <w:rsid w:val="006F08CA"/>
    <w:rsid w:val="006F178E"/>
    <w:rsid w:val="006F2ACE"/>
    <w:rsid w:val="006F53CD"/>
    <w:rsid w:val="006F593A"/>
    <w:rsid w:val="006F6660"/>
    <w:rsid w:val="006F6923"/>
    <w:rsid w:val="006F6985"/>
    <w:rsid w:val="006F6C06"/>
    <w:rsid w:val="006F79BB"/>
    <w:rsid w:val="006F7ABB"/>
    <w:rsid w:val="007000FB"/>
    <w:rsid w:val="007002F0"/>
    <w:rsid w:val="00700552"/>
    <w:rsid w:val="007008E0"/>
    <w:rsid w:val="00702D5B"/>
    <w:rsid w:val="007035CE"/>
    <w:rsid w:val="007036D6"/>
    <w:rsid w:val="007047A8"/>
    <w:rsid w:val="007050B0"/>
    <w:rsid w:val="00705235"/>
    <w:rsid w:val="007107AD"/>
    <w:rsid w:val="00710EF2"/>
    <w:rsid w:val="00713DCE"/>
    <w:rsid w:val="00715CCA"/>
    <w:rsid w:val="0071638A"/>
    <w:rsid w:val="0071661A"/>
    <w:rsid w:val="00717DF2"/>
    <w:rsid w:val="00720762"/>
    <w:rsid w:val="007210F1"/>
    <w:rsid w:val="0072189B"/>
    <w:rsid w:val="007225F7"/>
    <w:rsid w:val="007234E4"/>
    <w:rsid w:val="007244AB"/>
    <w:rsid w:val="007261CF"/>
    <w:rsid w:val="00726644"/>
    <w:rsid w:val="0072718D"/>
    <w:rsid w:val="0072729B"/>
    <w:rsid w:val="00727A57"/>
    <w:rsid w:val="00727A76"/>
    <w:rsid w:val="0073264E"/>
    <w:rsid w:val="00732658"/>
    <w:rsid w:val="007328E2"/>
    <w:rsid w:val="007333D4"/>
    <w:rsid w:val="00735001"/>
    <w:rsid w:val="007360E8"/>
    <w:rsid w:val="0073635E"/>
    <w:rsid w:val="007375AF"/>
    <w:rsid w:val="00742432"/>
    <w:rsid w:val="00742C25"/>
    <w:rsid w:val="00743300"/>
    <w:rsid w:val="00744FCC"/>
    <w:rsid w:val="0074519B"/>
    <w:rsid w:val="00745364"/>
    <w:rsid w:val="00745EDE"/>
    <w:rsid w:val="00747A6F"/>
    <w:rsid w:val="00750070"/>
    <w:rsid w:val="0075192C"/>
    <w:rsid w:val="007520AB"/>
    <w:rsid w:val="00752308"/>
    <w:rsid w:val="00753406"/>
    <w:rsid w:val="00755150"/>
    <w:rsid w:val="00757CA6"/>
    <w:rsid w:val="00757E9D"/>
    <w:rsid w:val="00760397"/>
    <w:rsid w:val="00761468"/>
    <w:rsid w:val="00762326"/>
    <w:rsid w:val="00762358"/>
    <w:rsid w:val="00763043"/>
    <w:rsid w:val="00763224"/>
    <w:rsid w:val="00764828"/>
    <w:rsid w:val="0076503C"/>
    <w:rsid w:val="007653B8"/>
    <w:rsid w:val="007657F5"/>
    <w:rsid w:val="00766C21"/>
    <w:rsid w:val="007674BB"/>
    <w:rsid w:val="0077010C"/>
    <w:rsid w:val="0077058E"/>
    <w:rsid w:val="00770F98"/>
    <w:rsid w:val="0077103E"/>
    <w:rsid w:val="0077122A"/>
    <w:rsid w:val="00771312"/>
    <w:rsid w:val="00772CBB"/>
    <w:rsid w:val="007731F4"/>
    <w:rsid w:val="0077478B"/>
    <w:rsid w:val="007748FA"/>
    <w:rsid w:val="007763DA"/>
    <w:rsid w:val="00776B9F"/>
    <w:rsid w:val="00780E4B"/>
    <w:rsid w:val="00780F82"/>
    <w:rsid w:val="00781BAD"/>
    <w:rsid w:val="0078255E"/>
    <w:rsid w:val="00783061"/>
    <w:rsid w:val="007833A4"/>
    <w:rsid w:val="007841E7"/>
    <w:rsid w:val="00784D93"/>
    <w:rsid w:val="00785E80"/>
    <w:rsid w:val="00786812"/>
    <w:rsid w:val="0078687B"/>
    <w:rsid w:val="00786E95"/>
    <w:rsid w:val="00787094"/>
    <w:rsid w:val="00787B82"/>
    <w:rsid w:val="007902C3"/>
    <w:rsid w:val="00792591"/>
    <w:rsid w:val="00794193"/>
    <w:rsid w:val="00794EF5"/>
    <w:rsid w:val="00795B64"/>
    <w:rsid w:val="007964AA"/>
    <w:rsid w:val="00796F08"/>
    <w:rsid w:val="007A0260"/>
    <w:rsid w:val="007A0BFD"/>
    <w:rsid w:val="007A1A03"/>
    <w:rsid w:val="007A1A4C"/>
    <w:rsid w:val="007A1BB1"/>
    <w:rsid w:val="007A204B"/>
    <w:rsid w:val="007A2DBC"/>
    <w:rsid w:val="007A4181"/>
    <w:rsid w:val="007A46A0"/>
    <w:rsid w:val="007A5A27"/>
    <w:rsid w:val="007A7939"/>
    <w:rsid w:val="007A7DF1"/>
    <w:rsid w:val="007B08D2"/>
    <w:rsid w:val="007B096C"/>
    <w:rsid w:val="007B0FC5"/>
    <w:rsid w:val="007B139F"/>
    <w:rsid w:val="007B21DD"/>
    <w:rsid w:val="007B31A0"/>
    <w:rsid w:val="007B39BE"/>
    <w:rsid w:val="007B3A36"/>
    <w:rsid w:val="007B430A"/>
    <w:rsid w:val="007B442A"/>
    <w:rsid w:val="007B5630"/>
    <w:rsid w:val="007C01F0"/>
    <w:rsid w:val="007C0BAC"/>
    <w:rsid w:val="007C0F73"/>
    <w:rsid w:val="007C13D5"/>
    <w:rsid w:val="007C1C36"/>
    <w:rsid w:val="007C3E3C"/>
    <w:rsid w:val="007C4BA6"/>
    <w:rsid w:val="007C5570"/>
    <w:rsid w:val="007C611C"/>
    <w:rsid w:val="007C679E"/>
    <w:rsid w:val="007C729C"/>
    <w:rsid w:val="007D0740"/>
    <w:rsid w:val="007D2137"/>
    <w:rsid w:val="007D2E70"/>
    <w:rsid w:val="007D58E6"/>
    <w:rsid w:val="007D67D1"/>
    <w:rsid w:val="007E004A"/>
    <w:rsid w:val="007E0E8A"/>
    <w:rsid w:val="007E1C31"/>
    <w:rsid w:val="007E2A88"/>
    <w:rsid w:val="007E39DB"/>
    <w:rsid w:val="007E426A"/>
    <w:rsid w:val="007E451E"/>
    <w:rsid w:val="007E5D49"/>
    <w:rsid w:val="007E6676"/>
    <w:rsid w:val="007E6AE2"/>
    <w:rsid w:val="007E6C65"/>
    <w:rsid w:val="007E6D75"/>
    <w:rsid w:val="007E7CF8"/>
    <w:rsid w:val="007F03D1"/>
    <w:rsid w:val="007F0A09"/>
    <w:rsid w:val="007F2533"/>
    <w:rsid w:val="007F3839"/>
    <w:rsid w:val="007F3DB6"/>
    <w:rsid w:val="007F7857"/>
    <w:rsid w:val="007F7E28"/>
    <w:rsid w:val="00802F94"/>
    <w:rsid w:val="008038A5"/>
    <w:rsid w:val="008046A7"/>
    <w:rsid w:val="00804AA2"/>
    <w:rsid w:val="00805519"/>
    <w:rsid w:val="00807ABE"/>
    <w:rsid w:val="008102E2"/>
    <w:rsid w:val="00810D2F"/>
    <w:rsid w:val="0081258B"/>
    <w:rsid w:val="00812F13"/>
    <w:rsid w:val="008161F8"/>
    <w:rsid w:val="0082072C"/>
    <w:rsid w:val="008208F3"/>
    <w:rsid w:val="008210E6"/>
    <w:rsid w:val="008211B6"/>
    <w:rsid w:val="008215F2"/>
    <w:rsid w:val="00821DC6"/>
    <w:rsid w:val="00822EEA"/>
    <w:rsid w:val="0082360A"/>
    <w:rsid w:val="008251FA"/>
    <w:rsid w:val="00826AB3"/>
    <w:rsid w:val="00827669"/>
    <w:rsid w:val="008278B7"/>
    <w:rsid w:val="00827E33"/>
    <w:rsid w:val="00830A0A"/>
    <w:rsid w:val="008311A4"/>
    <w:rsid w:val="008311D0"/>
    <w:rsid w:val="00831EDA"/>
    <w:rsid w:val="00833FF2"/>
    <w:rsid w:val="0083482E"/>
    <w:rsid w:val="008363BD"/>
    <w:rsid w:val="00837226"/>
    <w:rsid w:val="008417CC"/>
    <w:rsid w:val="00842293"/>
    <w:rsid w:val="0084233D"/>
    <w:rsid w:val="008433EA"/>
    <w:rsid w:val="00843D72"/>
    <w:rsid w:val="00844152"/>
    <w:rsid w:val="0084419E"/>
    <w:rsid w:val="008443D6"/>
    <w:rsid w:val="00847239"/>
    <w:rsid w:val="00847619"/>
    <w:rsid w:val="00847A07"/>
    <w:rsid w:val="00850F7F"/>
    <w:rsid w:val="008527AF"/>
    <w:rsid w:val="00853982"/>
    <w:rsid w:val="00855EE1"/>
    <w:rsid w:val="0085796E"/>
    <w:rsid w:val="00860B56"/>
    <w:rsid w:val="0086208C"/>
    <w:rsid w:val="00862DD6"/>
    <w:rsid w:val="00863319"/>
    <w:rsid w:val="00864760"/>
    <w:rsid w:val="008659C3"/>
    <w:rsid w:val="00865E1F"/>
    <w:rsid w:val="00867801"/>
    <w:rsid w:val="00870E3F"/>
    <w:rsid w:val="00872FDD"/>
    <w:rsid w:val="008736E4"/>
    <w:rsid w:val="008739F3"/>
    <w:rsid w:val="00873C98"/>
    <w:rsid w:val="00873E3A"/>
    <w:rsid w:val="00873ED3"/>
    <w:rsid w:val="00874963"/>
    <w:rsid w:val="00874F7D"/>
    <w:rsid w:val="00875888"/>
    <w:rsid w:val="00876744"/>
    <w:rsid w:val="00877335"/>
    <w:rsid w:val="008779F9"/>
    <w:rsid w:val="00877F40"/>
    <w:rsid w:val="00877F89"/>
    <w:rsid w:val="00880F9D"/>
    <w:rsid w:val="00881A7C"/>
    <w:rsid w:val="00881D0D"/>
    <w:rsid w:val="00882478"/>
    <w:rsid w:val="00883C2D"/>
    <w:rsid w:val="00883D57"/>
    <w:rsid w:val="00883E28"/>
    <w:rsid w:val="00885412"/>
    <w:rsid w:val="00886291"/>
    <w:rsid w:val="008870EF"/>
    <w:rsid w:val="00887BD6"/>
    <w:rsid w:val="0089092B"/>
    <w:rsid w:val="00890FD6"/>
    <w:rsid w:val="0089104A"/>
    <w:rsid w:val="008918D2"/>
    <w:rsid w:val="00892657"/>
    <w:rsid w:val="008938E8"/>
    <w:rsid w:val="0089447C"/>
    <w:rsid w:val="00895B38"/>
    <w:rsid w:val="0089619E"/>
    <w:rsid w:val="008972D5"/>
    <w:rsid w:val="008973FF"/>
    <w:rsid w:val="008A256B"/>
    <w:rsid w:val="008A45FF"/>
    <w:rsid w:val="008A53F1"/>
    <w:rsid w:val="008A5CC6"/>
    <w:rsid w:val="008A6B4E"/>
    <w:rsid w:val="008B0060"/>
    <w:rsid w:val="008B1592"/>
    <w:rsid w:val="008B4536"/>
    <w:rsid w:val="008B4F4B"/>
    <w:rsid w:val="008B629C"/>
    <w:rsid w:val="008B677F"/>
    <w:rsid w:val="008C0A8C"/>
    <w:rsid w:val="008C1909"/>
    <w:rsid w:val="008C1CCC"/>
    <w:rsid w:val="008C1EEA"/>
    <w:rsid w:val="008C3426"/>
    <w:rsid w:val="008C387F"/>
    <w:rsid w:val="008C3E88"/>
    <w:rsid w:val="008C4A2E"/>
    <w:rsid w:val="008C4B08"/>
    <w:rsid w:val="008C6C90"/>
    <w:rsid w:val="008C6CD3"/>
    <w:rsid w:val="008C6F74"/>
    <w:rsid w:val="008C7DE2"/>
    <w:rsid w:val="008D2023"/>
    <w:rsid w:val="008D25CC"/>
    <w:rsid w:val="008D3E8B"/>
    <w:rsid w:val="008E0D6A"/>
    <w:rsid w:val="008E0FA9"/>
    <w:rsid w:val="008E121E"/>
    <w:rsid w:val="008E1FBF"/>
    <w:rsid w:val="008E3C17"/>
    <w:rsid w:val="008E4487"/>
    <w:rsid w:val="008E688F"/>
    <w:rsid w:val="008E73F7"/>
    <w:rsid w:val="008F0945"/>
    <w:rsid w:val="008F190D"/>
    <w:rsid w:val="008F213F"/>
    <w:rsid w:val="008F2375"/>
    <w:rsid w:val="008F257B"/>
    <w:rsid w:val="008F31AE"/>
    <w:rsid w:val="008F3642"/>
    <w:rsid w:val="008F39E0"/>
    <w:rsid w:val="008F42CE"/>
    <w:rsid w:val="008F46F1"/>
    <w:rsid w:val="008F4C99"/>
    <w:rsid w:val="008F5E2B"/>
    <w:rsid w:val="008F7441"/>
    <w:rsid w:val="00900048"/>
    <w:rsid w:val="00900165"/>
    <w:rsid w:val="00901FC3"/>
    <w:rsid w:val="00904091"/>
    <w:rsid w:val="009044B7"/>
    <w:rsid w:val="00904D93"/>
    <w:rsid w:val="00904E5E"/>
    <w:rsid w:val="00905825"/>
    <w:rsid w:val="00906166"/>
    <w:rsid w:val="00906E26"/>
    <w:rsid w:val="00907C81"/>
    <w:rsid w:val="00910329"/>
    <w:rsid w:val="00912360"/>
    <w:rsid w:val="00912546"/>
    <w:rsid w:val="00913DB0"/>
    <w:rsid w:val="00914472"/>
    <w:rsid w:val="00914693"/>
    <w:rsid w:val="00917658"/>
    <w:rsid w:val="009179A5"/>
    <w:rsid w:val="00917AE9"/>
    <w:rsid w:val="00917EA1"/>
    <w:rsid w:val="0092089F"/>
    <w:rsid w:val="009211E5"/>
    <w:rsid w:val="00921B0A"/>
    <w:rsid w:val="00921DA9"/>
    <w:rsid w:val="009221A8"/>
    <w:rsid w:val="0092220D"/>
    <w:rsid w:val="009234EE"/>
    <w:rsid w:val="00923829"/>
    <w:rsid w:val="00924E7E"/>
    <w:rsid w:val="00924EC0"/>
    <w:rsid w:val="0092569D"/>
    <w:rsid w:val="00927382"/>
    <w:rsid w:val="00930D93"/>
    <w:rsid w:val="0093268D"/>
    <w:rsid w:val="00933019"/>
    <w:rsid w:val="00933C18"/>
    <w:rsid w:val="00934286"/>
    <w:rsid w:val="009357B8"/>
    <w:rsid w:val="0093626D"/>
    <w:rsid w:val="00936EFC"/>
    <w:rsid w:val="00936FDA"/>
    <w:rsid w:val="00937D02"/>
    <w:rsid w:val="00937D7C"/>
    <w:rsid w:val="009404E9"/>
    <w:rsid w:val="00940C6E"/>
    <w:rsid w:val="0094137F"/>
    <w:rsid w:val="0094192F"/>
    <w:rsid w:val="00941BFF"/>
    <w:rsid w:val="00941E0A"/>
    <w:rsid w:val="0094214A"/>
    <w:rsid w:val="00942B3C"/>
    <w:rsid w:val="00943ADC"/>
    <w:rsid w:val="00943C45"/>
    <w:rsid w:val="00943D77"/>
    <w:rsid w:val="00943FF3"/>
    <w:rsid w:val="00945981"/>
    <w:rsid w:val="00945D16"/>
    <w:rsid w:val="009461E3"/>
    <w:rsid w:val="009466D5"/>
    <w:rsid w:val="00947132"/>
    <w:rsid w:val="00947187"/>
    <w:rsid w:val="00947A6E"/>
    <w:rsid w:val="00951681"/>
    <w:rsid w:val="00951893"/>
    <w:rsid w:val="00951BC4"/>
    <w:rsid w:val="00954A70"/>
    <w:rsid w:val="00957FE3"/>
    <w:rsid w:val="009603C9"/>
    <w:rsid w:val="00960B87"/>
    <w:rsid w:val="00960F7F"/>
    <w:rsid w:val="00962AAD"/>
    <w:rsid w:val="009633F4"/>
    <w:rsid w:val="009635AB"/>
    <w:rsid w:val="00964C04"/>
    <w:rsid w:val="00964ECF"/>
    <w:rsid w:val="00971A09"/>
    <w:rsid w:val="00975E03"/>
    <w:rsid w:val="00976AD3"/>
    <w:rsid w:val="00976B27"/>
    <w:rsid w:val="00976D11"/>
    <w:rsid w:val="00976E44"/>
    <w:rsid w:val="0097786E"/>
    <w:rsid w:val="00980566"/>
    <w:rsid w:val="00981B36"/>
    <w:rsid w:val="00982B72"/>
    <w:rsid w:val="00982F45"/>
    <w:rsid w:val="0098390B"/>
    <w:rsid w:val="00983C51"/>
    <w:rsid w:val="00985D2D"/>
    <w:rsid w:val="0098641B"/>
    <w:rsid w:val="00986732"/>
    <w:rsid w:val="00986ECD"/>
    <w:rsid w:val="00987EC0"/>
    <w:rsid w:val="009903E3"/>
    <w:rsid w:val="00990C9E"/>
    <w:rsid w:val="0099152D"/>
    <w:rsid w:val="0099176B"/>
    <w:rsid w:val="009917A5"/>
    <w:rsid w:val="00994325"/>
    <w:rsid w:val="0099459B"/>
    <w:rsid w:val="00994B27"/>
    <w:rsid w:val="0099540D"/>
    <w:rsid w:val="00996954"/>
    <w:rsid w:val="009972E5"/>
    <w:rsid w:val="00997729"/>
    <w:rsid w:val="009A1208"/>
    <w:rsid w:val="009A17C6"/>
    <w:rsid w:val="009A17CA"/>
    <w:rsid w:val="009A2737"/>
    <w:rsid w:val="009A2A70"/>
    <w:rsid w:val="009A3598"/>
    <w:rsid w:val="009A3BF3"/>
    <w:rsid w:val="009A3D45"/>
    <w:rsid w:val="009A7D1A"/>
    <w:rsid w:val="009B216C"/>
    <w:rsid w:val="009B2249"/>
    <w:rsid w:val="009B2D37"/>
    <w:rsid w:val="009B3268"/>
    <w:rsid w:val="009B3324"/>
    <w:rsid w:val="009B3415"/>
    <w:rsid w:val="009B355A"/>
    <w:rsid w:val="009B3BC3"/>
    <w:rsid w:val="009B3FBE"/>
    <w:rsid w:val="009B4CB6"/>
    <w:rsid w:val="009B5182"/>
    <w:rsid w:val="009B5FBB"/>
    <w:rsid w:val="009B6175"/>
    <w:rsid w:val="009B6B49"/>
    <w:rsid w:val="009B6CD7"/>
    <w:rsid w:val="009C027C"/>
    <w:rsid w:val="009C149D"/>
    <w:rsid w:val="009C14CA"/>
    <w:rsid w:val="009C4BA5"/>
    <w:rsid w:val="009C4EA8"/>
    <w:rsid w:val="009C6580"/>
    <w:rsid w:val="009C69FB"/>
    <w:rsid w:val="009C6D70"/>
    <w:rsid w:val="009C751E"/>
    <w:rsid w:val="009C7CDC"/>
    <w:rsid w:val="009D00D7"/>
    <w:rsid w:val="009D0659"/>
    <w:rsid w:val="009D119A"/>
    <w:rsid w:val="009D3ECA"/>
    <w:rsid w:val="009D440B"/>
    <w:rsid w:val="009D4E15"/>
    <w:rsid w:val="009D53FE"/>
    <w:rsid w:val="009D5E14"/>
    <w:rsid w:val="009D6721"/>
    <w:rsid w:val="009E025F"/>
    <w:rsid w:val="009E0743"/>
    <w:rsid w:val="009E0762"/>
    <w:rsid w:val="009E16BB"/>
    <w:rsid w:val="009E232E"/>
    <w:rsid w:val="009E25B0"/>
    <w:rsid w:val="009E2ECE"/>
    <w:rsid w:val="009E3469"/>
    <w:rsid w:val="009E3575"/>
    <w:rsid w:val="009E4DD5"/>
    <w:rsid w:val="009E57B9"/>
    <w:rsid w:val="009E6258"/>
    <w:rsid w:val="009E63AB"/>
    <w:rsid w:val="009E6878"/>
    <w:rsid w:val="009E7E5A"/>
    <w:rsid w:val="009F07ED"/>
    <w:rsid w:val="009F11E1"/>
    <w:rsid w:val="009F17FE"/>
    <w:rsid w:val="009F23BF"/>
    <w:rsid w:val="009F3398"/>
    <w:rsid w:val="009F34A1"/>
    <w:rsid w:val="009F3F30"/>
    <w:rsid w:val="009F4617"/>
    <w:rsid w:val="009F47A7"/>
    <w:rsid w:val="009F707B"/>
    <w:rsid w:val="009F7990"/>
    <w:rsid w:val="009F7A6D"/>
    <w:rsid w:val="009F7EA4"/>
    <w:rsid w:val="00A009D4"/>
    <w:rsid w:val="00A01B68"/>
    <w:rsid w:val="00A026D1"/>
    <w:rsid w:val="00A06D9D"/>
    <w:rsid w:val="00A07831"/>
    <w:rsid w:val="00A07E76"/>
    <w:rsid w:val="00A10C01"/>
    <w:rsid w:val="00A1104A"/>
    <w:rsid w:val="00A11885"/>
    <w:rsid w:val="00A12944"/>
    <w:rsid w:val="00A14EFC"/>
    <w:rsid w:val="00A15C03"/>
    <w:rsid w:val="00A15C72"/>
    <w:rsid w:val="00A15DFA"/>
    <w:rsid w:val="00A1618D"/>
    <w:rsid w:val="00A1696D"/>
    <w:rsid w:val="00A17712"/>
    <w:rsid w:val="00A2091A"/>
    <w:rsid w:val="00A220C6"/>
    <w:rsid w:val="00A22BE0"/>
    <w:rsid w:val="00A236B7"/>
    <w:rsid w:val="00A23AFA"/>
    <w:rsid w:val="00A24776"/>
    <w:rsid w:val="00A24C4F"/>
    <w:rsid w:val="00A26FCB"/>
    <w:rsid w:val="00A2719F"/>
    <w:rsid w:val="00A27480"/>
    <w:rsid w:val="00A312B8"/>
    <w:rsid w:val="00A315F9"/>
    <w:rsid w:val="00A32330"/>
    <w:rsid w:val="00A32C82"/>
    <w:rsid w:val="00A33A9C"/>
    <w:rsid w:val="00A34581"/>
    <w:rsid w:val="00A34CA4"/>
    <w:rsid w:val="00A351CF"/>
    <w:rsid w:val="00A35315"/>
    <w:rsid w:val="00A35702"/>
    <w:rsid w:val="00A360DB"/>
    <w:rsid w:val="00A3641B"/>
    <w:rsid w:val="00A37053"/>
    <w:rsid w:val="00A378E2"/>
    <w:rsid w:val="00A42954"/>
    <w:rsid w:val="00A42FB5"/>
    <w:rsid w:val="00A442C3"/>
    <w:rsid w:val="00A44465"/>
    <w:rsid w:val="00A449D3"/>
    <w:rsid w:val="00A4502E"/>
    <w:rsid w:val="00A4523E"/>
    <w:rsid w:val="00A457B0"/>
    <w:rsid w:val="00A474D4"/>
    <w:rsid w:val="00A51BA8"/>
    <w:rsid w:val="00A52165"/>
    <w:rsid w:val="00A52626"/>
    <w:rsid w:val="00A52CD8"/>
    <w:rsid w:val="00A537F8"/>
    <w:rsid w:val="00A53FA0"/>
    <w:rsid w:val="00A56354"/>
    <w:rsid w:val="00A57335"/>
    <w:rsid w:val="00A57FFA"/>
    <w:rsid w:val="00A60BE2"/>
    <w:rsid w:val="00A60C3E"/>
    <w:rsid w:val="00A6276E"/>
    <w:rsid w:val="00A630DE"/>
    <w:rsid w:val="00A63BFC"/>
    <w:rsid w:val="00A6485C"/>
    <w:rsid w:val="00A64BCE"/>
    <w:rsid w:val="00A64E83"/>
    <w:rsid w:val="00A653DC"/>
    <w:rsid w:val="00A66FC3"/>
    <w:rsid w:val="00A7014D"/>
    <w:rsid w:val="00A71027"/>
    <w:rsid w:val="00A71047"/>
    <w:rsid w:val="00A77571"/>
    <w:rsid w:val="00A77698"/>
    <w:rsid w:val="00A77ABE"/>
    <w:rsid w:val="00A83596"/>
    <w:rsid w:val="00A835FF"/>
    <w:rsid w:val="00A83846"/>
    <w:rsid w:val="00A83E30"/>
    <w:rsid w:val="00A870B8"/>
    <w:rsid w:val="00A901DA"/>
    <w:rsid w:val="00A90408"/>
    <w:rsid w:val="00A9047E"/>
    <w:rsid w:val="00A916E8"/>
    <w:rsid w:val="00A91C93"/>
    <w:rsid w:val="00A921F0"/>
    <w:rsid w:val="00A92349"/>
    <w:rsid w:val="00A92F77"/>
    <w:rsid w:val="00A93749"/>
    <w:rsid w:val="00A937FA"/>
    <w:rsid w:val="00A944BC"/>
    <w:rsid w:val="00A9744A"/>
    <w:rsid w:val="00A97F3E"/>
    <w:rsid w:val="00AA1CCA"/>
    <w:rsid w:val="00AA2232"/>
    <w:rsid w:val="00AA2C0B"/>
    <w:rsid w:val="00AA31D4"/>
    <w:rsid w:val="00AA4C9C"/>
    <w:rsid w:val="00AB07B5"/>
    <w:rsid w:val="00AB0B25"/>
    <w:rsid w:val="00AB1D8F"/>
    <w:rsid w:val="00AB1DFA"/>
    <w:rsid w:val="00AB20B4"/>
    <w:rsid w:val="00AB4B43"/>
    <w:rsid w:val="00AB5A09"/>
    <w:rsid w:val="00AB7516"/>
    <w:rsid w:val="00AB7924"/>
    <w:rsid w:val="00AC1103"/>
    <w:rsid w:val="00AC14B3"/>
    <w:rsid w:val="00AC26E2"/>
    <w:rsid w:val="00AC4481"/>
    <w:rsid w:val="00AC54FF"/>
    <w:rsid w:val="00AC5DD5"/>
    <w:rsid w:val="00AC7A91"/>
    <w:rsid w:val="00AC7B96"/>
    <w:rsid w:val="00AD066A"/>
    <w:rsid w:val="00AD069F"/>
    <w:rsid w:val="00AD0842"/>
    <w:rsid w:val="00AD1100"/>
    <w:rsid w:val="00AD16E8"/>
    <w:rsid w:val="00AD3E7D"/>
    <w:rsid w:val="00AD4E71"/>
    <w:rsid w:val="00AD78F0"/>
    <w:rsid w:val="00AE0F52"/>
    <w:rsid w:val="00AE150A"/>
    <w:rsid w:val="00AE1D78"/>
    <w:rsid w:val="00AE21E5"/>
    <w:rsid w:val="00AE236B"/>
    <w:rsid w:val="00AE315A"/>
    <w:rsid w:val="00AE3450"/>
    <w:rsid w:val="00AE4E65"/>
    <w:rsid w:val="00AE68D2"/>
    <w:rsid w:val="00AE6923"/>
    <w:rsid w:val="00AE699D"/>
    <w:rsid w:val="00AF0580"/>
    <w:rsid w:val="00AF092A"/>
    <w:rsid w:val="00AF1477"/>
    <w:rsid w:val="00AF23B5"/>
    <w:rsid w:val="00AF33FC"/>
    <w:rsid w:val="00AF3C6C"/>
    <w:rsid w:val="00AF4C7A"/>
    <w:rsid w:val="00AF5461"/>
    <w:rsid w:val="00AF5AE4"/>
    <w:rsid w:val="00AF5CE0"/>
    <w:rsid w:val="00AF6AE2"/>
    <w:rsid w:val="00B003A5"/>
    <w:rsid w:val="00B00AA3"/>
    <w:rsid w:val="00B0111A"/>
    <w:rsid w:val="00B01DC8"/>
    <w:rsid w:val="00B02278"/>
    <w:rsid w:val="00B02770"/>
    <w:rsid w:val="00B03CB4"/>
    <w:rsid w:val="00B042A9"/>
    <w:rsid w:val="00B049DF"/>
    <w:rsid w:val="00B0540A"/>
    <w:rsid w:val="00B072ED"/>
    <w:rsid w:val="00B0740E"/>
    <w:rsid w:val="00B07D2A"/>
    <w:rsid w:val="00B101BC"/>
    <w:rsid w:val="00B10501"/>
    <w:rsid w:val="00B1144E"/>
    <w:rsid w:val="00B1170E"/>
    <w:rsid w:val="00B131FA"/>
    <w:rsid w:val="00B1361D"/>
    <w:rsid w:val="00B13AF7"/>
    <w:rsid w:val="00B14A97"/>
    <w:rsid w:val="00B14CCC"/>
    <w:rsid w:val="00B15030"/>
    <w:rsid w:val="00B150FA"/>
    <w:rsid w:val="00B1617D"/>
    <w:rsid w:val="00B17E85"/>
    <w:rsid w:val="00B2015D"/>
    <w:rsid w:val="00B20520"/>
    <w:rsid w:val="00B208F5"/>
    <w:rsid w:val="00B20CC1"/>
    <w:rsid w:val="00B20D8C"/>
    <w:rsid w:val="00B20EE3"/>
    <w:rsid w:val="00B21B7C"/>
    <w:rsid w:val="00B22AC5"/>
    <w:rsid w:val="00B23D51"/>
    <w:rsid w:val="00B24C6D"/>
    <w:rsid w:val="00B26BBE"/>
    <w:rsid w:val="00B272DA"/>
    <w:rsid w:val="00B273CB"/>
    <w:rsid w:val="00B302D1"/>
    <w:rsid w:val="00B313C8"/>
    <w:rsid w:val="00B31971"/>
    <w:rsid w:val="00B323F0"/>
    <w:rsid w:val="00B32DC1"/>
    <w:rsid w:val="00B36838"/>
    <w:rsid w:val="00B37A3F"/>
    <w:rsid w:val="00B37E41"/>
    <w:rsid w:val="00B40D3A"/>
    <w:rsid w:val="00B42CD9"/>
    <w:rsid w:val="00B43305"/>
    <w:rsid w:val="00B445DE"/>
    <w:rsid w:val="00B460E3"/>
    <w:rsid w:val="00B462BC"/>
    <w:rsid w:val="00B471B8"/>
    <w:rsid w:val="00B47304"/>
    <w:rsid w:val="00B47709"/>
    <w:rsid w:val="00B47C3D"/>
    <w:rsid w:val="00B50794"/>
    <w:rsid w:val="00B50EE6"/>
    <w:rsid w:val="00B513AF"/>
    <w:rsid w:val="00B51C9C"/>
    <w:rsid w:val="00B547CD"/>
    <w:rsid w:val="00B565CE"/>
    <w:rsid w:val="00B56F52"/>
    <w:rsid w:val="00B5729B"/>
    <w:rsid w:val="00B5789D"/>
    <w:rsid w:val="00B579CD"/>
    <w:rsid w:val="00B600C1"/>
    <w:rsid w:val="00B610FF"/>
    <w:rsid w:val="00B61DEE"/>
    <w:rsid w:val="00B62607"/>
    <w:rsid w:val="00B62B6E"/>
    <w:rsid w:val="00B63C3C"/>
    <w:rsid w:val="00B67637"/>
    <w:rsid w:val="00B7275D"/>
    <w:rsid w:val="00B72BEA"/>
    <w:rsid w:val="00B740A9"/>
    <w:rsid w:val="00B757FB"/>
    <w:rsid w:val="00B763C7"/>
    <w:rsid w:val="00B767F9"/>
    <w:rsid w:val="00B76AE9"/>
    <w:rsid w:val="00B77B38"/>
    <w:rsid w:val="00B77E31"/>
    <w:rsid w:val="00B77E3B"/>
    <w:rsid w:val="00B816DD"/>
    <w:rsid w:val="00B81A18"/>
    <w:rsid w:val="00B81D8F"/>
    <w:rsid w:val="00B82AC2"/>
    <w:rsid w:val="00B83235"/>
    <w:rsid w:val="00B83B3D"/>
    <w:rsid w:val="00B83C4A"/>
    <w:rsid w:val="00B83FB7"/>
    <w:rsid w:val="00B84DDC"/>
    <w:rsid w:val="00B87A0A"/>
    <w:rsid w:val="00B914C2"/>
    <w:rsid w:val="00B93583"/>
    <w:rsid w:val="00B93CA7"/>
    <w:rsid w:val="00B9411C"/>
    <w:rsid w:val="00B955B3"/>
    <w:rsid w:val="00B95A8F"/>
    <w:rsid w:val="00B95C1A"/>
    <w:rsid w:val="00B962F0"/>
    <w:rsid w:val="00B9654A"/>
    <w:rsid w:val="00BA0E33"/>
    <w:rsid w:val="00BA1806"/>
    <w:rsid w:val="00BA2467"/>
    <w:rsid w:val="00BA2752"/>
    <w:rsid w:val="00BA3333"/>
    <w:rsid w:val="00BA36B3"/>
    <w:rsid w:val="00BA392D"/>
    <w:rsid w:val="00BA3AF2"/>
    <w:rsid w:val="00BA4E68"/>
    <w:rsid w:val="00BA577F"/>
    <w:rsid w:val="00BA5B1F"/>
    <w:rsid w:val="00BA64D6"/>
    <w:rsid w:val="00BA66B1"/>
    <w:rsid w:val="00BA68C6"/>
    <w:rsid w:val="00BA702C"/>
    <w:rsid w:val="00BA74E5"/>
    <w:rsid w:val="00BB0926"/>
    <w:rsid w:val="00BB0985"/>
    <w:rsid w:val="00BB1638"/>
    <w:rsid w:val="00BB3B4A"/>
    <w:rsid w:val="00BB4BAF"/>
    <w:rsid w:val="00BB4EF1"/>
    <w:rsid w:val="00BB5227"/>
    <w:rsid w:val="00BB5A0E"/>
    <w:rsid w:val="00BB5FEA"/>
    <w:rsid w:val="00BB6E06"/>
    <w:rsid w:val="00BB7BBE"/>
    <w:rsid w:val="00BB7E8B"/>
    <w:rsid w:val="00BC1C98"/>
    <w:rsid w:val="00BC1DCF"/>
    <w:rsid w:val="00BC2CA7"/>
    <w:rsid w:val="00BC346D"/>
    <w:rsid w:val="00BC34EF"/>
    <w:rsid w:val="00BC35D4"/>
    <w:rsid w:val="00BC3D16"/>
    <w:rsid w:val="00BC66DF"/>
    <w:rsid w:val="00BD17F8"/>
    <w:rsid w:val="00BD2038"/>
    <w:rsid w:val="00BD363A"/>
    <w:rsid w:val="00BD3E57"/>
    <w:rsid w:val="00BD3FCD"/>
    <w:rsid w:val="00BD4C94"/>
    <w:rsid w:val="00BD4DFB"/>
    <w:rsid w:val="00BD6922"/>
    <w:rsid w:val="00BD6B05"/>
    <w:rsid w:val="00BD75D0"/>
    <w:rsid w:val="00BD7FE2"/>
    <w:rsid w:val="00BE06B7"/>
    <w:rsid w:val="00BE16EE"/>
    <w:rsid w:val="00BE2DE0"/>
    <w:rsid w:val="00BE3510"/>
    <w:rsid w:val="00BE4071"/>
    <w:rsid w:val="00BE42E2"/>
    <w:rsid w:val="00BE4BA6"/>
    <w:rsid w:val="00BE573F"/>
    <w:rsid w:val="00BE6C86"/>
    <w:rsid w:val="00BE761E"/>
    <w:rsid w:val="00BF0827"/>
    <w:rsid w:val="00BF0EDF"/>
    <w:rsid w:val="00BF1860"/>
    <w:rsid w:val="00BF2208"/>
    <w:rsid w:val="00BF22B4"/>
    <w:rsid w:val="00BF2F4A"/>
    <w:rsid w:val="00BF3093"/>
    <w:rsid w:val="00BF3C89"/>
    <w:rsid w:val="00BF43D9"/>
    <w:rsid w:val="00BF4912"/>
    <w:rsid w:val="00BF4D9C"/>
    <w:rsid w:val="00BF4EB8"/>
    <w:rsid w:val="00BF75BB"/>
    <w:rsid w:val="00BF761D"/>
    <w:rsid w:val="00C00BA8"/>
    <w:rsid w:val="00C01334"/>
    <w:rsid w:val="00C01528"/>
    <w:rsid w:val="00C04174"/>
    <w:rsid w:val="00C04531"/>
    <w:rsid w:val="00C04558"/>
    <w:rsid w:val="00C04EA1"/>
    <w:rsid w:val="00C05DA1"/>
    <w:rsid w:val="00C07784"/>
    <w:rsid w:val="00C11AAF"/>
    <w:rsid w:val="00C11EFF"/>
    <w:rsid w:val="00C12370"/>
    <w:rsid w:val="00C124E6"/>
    <w:rsid w:val="00C12BAE"/>
    <w:rsid w:val="00C12DB3"/>
    <w:rsid w:val="00C12F53"/>
    <w:rsid w:val="00C13F83"/>
    <w:rsid w:val="00C13FB4"/>
    <w:rsid w:val="00C15167"/>
    <w:rsid w:val="00C15382"/>
    <w:rsid w:val="00C15A52"/>
    <w:rsid w:val="00C15ECA"/>
    <w:rsid w:val="00C16070"/>
    <w:rsid w:val="00C16531"/>
    <w:rsid w:val="00C1705F"/>
    <w:rsid w:val="00C1764C"/>
    <w:rsid w:val="00C20E93"/>
    <w:rsid w:val="00C222F3"/>
    <w:rsid w:val="00C2387C"/>
    <w:rsid w:val="00C23BF2"/>
    <w:rsid w:val="00C23C19"/>
    <w:rsid w:val="00C24004"/>
    <w:rsid w:val="00C24455"/>
    <w:rsid w:val="00C24695"/>
    <w:rsid w:val="00C254F0"/>
    <w:rsid w:val="00C25D43"/>
    <w:rsid w:val="00C269F9"/>
    <w:rsid w:val="00C26F54"/>
    <w:rsid w:val="00C32659"/>
    <w:rsid w:val="00C328D7"/>
    <w:rsid w:val="00C33454"/>
    <w:rsid w:val="00C33EB2"/>
    <w:rsid w:val="00C35B2A"/>
    <w:rsid w:val="00C371AB"/>
    <w:rsid w:val="00C37228"/>
    <w:rsid w:val="00C37799"/>
    <w:rsid w:val="00C37CD0"/>
    <w:rsid w:val="00C405C2"/>
    <w:rsid w:val="00C411DB"/>
    <w:rsid w:val="00C42047"/>
    <w:rsid w:val="00C4210E"/>
    <w:rsid w:val="00C43400"/>
    <w:rsid w:val="00C43663"/>
    <w:rsid w:val="00C43D56"/>
    <w:rsid w:val="00C44018"/>
    <w:rsid w:val="00C45B2D"/>
    <w:rsid w:val="00C45BA3"/>
    <w:rsid w:val="00C46557"/>
    <w:rsid w:val="00C46D59"/>
    <w:rsid w:val="00C46DC6"/>
    <w:rsid w:val="00C4789A"/>
    <w:rsid w:val="00C51603"/>
    <w:rsid w:val="00C52122"/>
    <w:rsid w:val="00C5492F"/>
    <w:rsid w:val="00C5538E"/>
    <w:rsid w:val="00C55401"/>
    <w:rsid w:val="00C55A2D"/>
    <w:rsid w:val="00C55D55"/>
    <w:rsid w:val="00C574A2"/>
    <w:rsid w:val="00C574B0"/>
    <w:rsid w:val="00C5777B"/>
    <w:rsid w:val="00C612DD"/>
    <w:rsid w:val="00C6172C"/>
    <w:rsid w:val="00C61E22"/>
    <w:rsid w:val="00C61F76"/>
    <w:rsid w:val="00C62EC7"/>
    <w:rsid w:val="00C64C71"/>
    <w:rsid w:val="00C66E96"/>
    <w:rsid w:val="00C6750A"/>
    <w:rsid w:val="00C679CE"/>
    <w:rsid w:val="00C7079F"/>
    <w:rsid w:val="00C71E83"/>
    <w:rsid w:val="00C72533"/>
    <w:rsid w:val="00C72589"/>
    <w:rsid w:val="00C80FCD"/>
    <w:rsid w:val="00C81090"/>
    <w:rsid w:val="00C82321"/>
    <w:rsid w:val="00C832E4"/>
    <w:rsid w:val="00C8346F"/>
    <w:rsid w:val="00C8389C"/>
    <w:rsid w:val="00C84FCE"/>
    <w:rsid w:val="00C852A9"/>
    <w:rsid w:val="00C8745C"/>
    <w:rsid w:val="00C904E3"/>
    <w:rsid w:val="00C9312F"/>
    <w:rsid w:val="00C93740"/>
    <w:rsid w:val="00C94D9D"/>
    <w:rsid w:val="00C9582E"/>
    <w:rsid w:val="00C95D09"/>
    <w:rsid w:val="00C9609F"/>
    <w:rsid w:val="00C961E7"/>
    <w:rsid w:val="00C96DE4"/>
    <w:rsid w:val="00CA06B1"/>
    <w:rsid w:val="00CA06FD"/>
    <w:rsid w:val="00CA0796"/>
    <w:rsid w:val="00CA1E61"/>
    <w:rsid w:val="00CA3529"/>
    <w:rsid w:val="00CA35A3"/>
    <w:rsid w:val="00CA3C02"/>
    <w:rsid w:val="00CA404E"/>
    <w:rsid w:val="00CA46C3"/>
    <w:rsid w:val="00CA635B"/>
    <w:rsid w:val="00CA6B55"/>
    <w:rsid w:val="00CA6D24"/>
    <w:rsid w:val="00CA7E2B"/>
    <w:rsid w:val="00CB088A"/>
    <w:rsid w:val="00CB2242"/>
    <w:rsid w:val="00CB288E"/>
    <w:rsid w:val="00CB291F"/>
    <w:rsid w:val="00CB2B08"/>
    <w:rsid w:val="00CB2F62"/>
    <w:rsid w:val="00CB39C7"/>
    <w:rsid w:val="00CB4A91"/>
    <w:rsid w:val="00CB6300"/>
    <w:rsid w:val="00CB6FCC"/>
    <w:rsid w:val="00CB709D"/>
    <w:rsid w:val="00CB7B6B"/>
    <w:rsid w:val="00CB7E04"/>
    <w:rsid w:val="00CC01E7"/>
    <w:rsid w:val="00CC07C5"/>
    <w:rsid w:val="00CC0BE8"/>
    <w:rsid w:val="00CC0DC6"/>
    <w:rsid w:val="00CC2885"/>
    <w:rsid w:val="00CC29DC"/>
    <w:rsid w:val="00CC300E"/>
    <w:rsid w:val="00CC32DD"/>
    <w:rsid w:val="00CC3396"/>
    <w:rsid w:val="00CC3CE6"/>
    <w:rsid w:val="00CC3E11"/>
    <w:rsid w:val="00CC5944"/>
    <w:rsid w:val="00CC5C5C"/>
    <w:rsid w:val="00CC6700"/>
    <w:rsid w:val="00CC69FC"/>
    <w:rsid w:val="00CC6D89"/>
    <w:rsid w:val="00CC6F63"/>
    <w:rsid w:val="00CC6FE2"/>
    <w:rsid w:val="00CD00F4"/>
    <w:rsid w:val="00CD02F6"/>
    <w:rsid w:val="00CD1278"/>
    <w:rsid w:val="00CD20F8"/>
    <w:rsid w:val="00CD218D"/>
    <w:rsid w:val="00CD31F9"/>
    <w:rsid w:val="00CD34E9"/>
    <w:rsid w:val="00CD3EF6"/>
    <w:rsid w:val="00CD4A99"/>
    <w:rsid w:val="00CD53F0"/>
    <w:rsid w:val="00CD798E"/>
    <w:rsid w:val="00CD7B14"/>
    <w:rsid w:val="00CE116F"/>
    <w:rsid w:val="00CE1403"/>
    <w:rsid w:val="00CE2FD5"/>
    <w:rsid w:val="00CE30CD"/>
    <w:rsid w:val="00CE452F"/>
    <w:rsid w:val="00CE5B10"/>
    <w:rsid w:val="00CE5B46"/>
    <w:rsid w:val="00CE7902"/>
    <w:rsid w:val="00CE7F8F"/>
    <w:rsid w:val="00CF15F2"/>
    <w:rsid w:val="00CF1A8C"/>
    <w:rsid w:val="00CF3126"/>
    <w:rsid w:val="00CF35E9"/>
    <w:rsid w:val="00CF43F2"/>
    <w:rsid w:val="00CF464C"/>
    <w:rsid w:val="00CF4B8D"/>
    <w:rsid w:val="00CF4FB3"/>
    <w:rsid w:val="00CF512C"/>
    <w:rsid w:val="00CF5E34"/>
    <w:rsid w:val="00CF644A"/>
    <w:rsid w:val="00D00AB4"/>
    <w:rsid w:val="00D02213"/>
    <w:rsid w:val="00D02312"/>
    <w:rsid w:val="00D0333B"/>
    <w:rsid w:val="00D0406D"/>
    <w:rsid w:val="00D06CF4"/>
    <w:rsid w:val="00D06F41"/>
    <w:rsid w:val="00D07E4C"/>
    <w:rsid w:val="00D1088E"/>
    <w:rsid w:val="00D10C40"/>
    <w:rsid w:val="00D113CD"/>
    <w:rsid w:val="00D12AD3"/>
    <w:rsid w:val="00D15639"/>
    <w:rsid w:val="00D162BC"/>
    <w:rsid w:val="00D16631"/>
    <w:rsid w:val="00D167BB"/>
    <w:rsid w:val="00D171FD"/>
    <w:rsid w:val="00D205BA"/>
    <w:rsid w:val="00D20805"/>
    <w:rsid w:val="00D20EF1"/>
    <w:rsid w:val="00D21838"/>
    <w:rsid w:val="00D22E14"/>
    <w:rsid w:val="00D23561"/>
    <w:rsid w:val="00D2397D"/>
    <w:rsid w:val="00D2400B"/>
    <w:rsid w:val="00D24B74"/>
    <w:rsid w:val="00D250CE"/>
    <w:rsid w:val="00D25882"/>
    <w:rsid w:val="00D25F59"/>
    <w:rsid w:val="00D267A9"/>
    <w:rsid w:val="00D3025A"/>
    <w:rsid w:val="00D31B84"/>
    <w:rsid w:val="00D323F8"/>
    <w:rsid w:val="00D3255C"/>
    <w:rsid w:val="00D3420E"/>
    <w:rsid w:val="00D34779"/>
    <w:rsid w:val="00D356CF"/>
    <w:rsid w:val="00D4206A"/>
    <w:rsid w:val="00D4291E"/>
    <w:rsid w:val="00D42D30"/>
    <w:rsid w:val="00D44393"/>
    <w:rsid w:val="00D446FE"/>
    <w:rsid w:val="00D447C5"/>
    <w:rsid w:val="00D45CA2"/>
    <w:rsid w:val="00D47419"/>
    <w:rsid w:val="00D47B83"/>
    <w:rsid w:val="00D50135"/>
    <w:rsid w:val="00D50C61"/>
    <w:rsid w:val="00D53926"/>
    <w:rsid w:val="00D53B6D"/>
    <w:rsid w:val="00D5467A"/>
    <w:rsid w:val="00D5467C"/>
    <w:rsid w:val="00D55B35"/>
    <w:rsid w:val="00D56EED"/>
    <w:rsid w:val="00D578C6"/>
    <w:rsid w:val="00D60746"/>
    <w:rsid w:val="00D6099B"/>
    <w:rsid w:val="00D60CFF"/>
    <w:rsid w:val="00D6141B"/>
    <w:rsid w:val="00D61E41"/>
    <w:rsid w:val="00D6438C"/>
    <w:rsid w:val="00D648E8"/>
    <w:rsid w:val="00D6498B"/>
    <w:rsid w:val="00D65AC8"/>
    <w:rsid w:val="00D65C12"/>
    <w:rsid w:val="00D65EC9"/>
    <w:rsid w:val="00D66805"/>
    <w:rsid w:val="00D7008E"/>
    <w:rsid w:val="00D70BC1"/>
    <w:rsid w:val="00D723DB"/>
    <w:rsid w:val="00D72F00"/>
    <w:rsid w:val="00D73383"/>
    <w:rsid w:val="00D7641A"/>
    <w:rsid w:val="00D779B4"/>
    <w:rsid w:val="00D77E01"/>
    <w:rsid w:val="00D807D1"/>
    <w:rsid w:val="00D81489"/>
    <w:rsid w:val="00D81AED"/>
    <w:rsid w:val="00D81DC6"/>
    <w:rsid w:val="00D82035"/>
    <w:rsid w:val="00D82B6F"/>
    <w:rsid w:val="00D8395C"/>
    <w:rsid w:val="00D84E2D"/>
    <w:rsid w:val="00D867F5"/>
    <w:rsid w:val="00D87BEB"/>
    <w:rsid w:val="00D9039B"/>
    <w:rsid w:val="00D91676"/>
    <w:rsid w:val="00D9281D"/>
    <w:rsid w:val="00D9340E"/>
    <w:rsid w:val="00D957AB"/>
    <w:rsid w:val="00D963F1"/>
    <w:rsid w:val="00D9695C"/>
    <w:rsid w:val="00DA0270"/>
    <w:rsid w:val="00DA04D6"/>
    <w:rsid w:val="00DA0675"/>
    <w:rsid w:val="00DA06FC"/>
    <w:rsid w:val="00DA1F22"/>
    <w:rsid w:val="00DA28E1"/>
    <w:rsid w:val="00DA2E38"/>
    <w:rsid w:val="00DA313B"/>
    <w:rsid w:val="00DA487D"/>
    <w:rsid w:val="00DA50A3"/>
    <w:rsid w:val="00DA56F0"/>
    <w:rsid w:val="00DA5A83"/>
    <w:rsid w:val="00DA5DD0"/>
    <w:rsid w:val="00DA5F0B"/>
    <w:rsid w:val="00DA729C"/>
    <w:rsid w:val="00DA73C2"/>
    <w:rsid w:val="00DB0F38"/>
    <w:rsid w:val="00DB3C16"/>
    <w:rsid w:val="00DB425B"/>
    <w:rsid w:val="00DB4C8D"/>
    <w:rsid w:val="00DB58AA"/>
    <w:rsid w:val="00DB5F13"/>
    <w:rsid w:val="00DB645E"/>
    <w:rsid w:val="00DB6B07"/>
    <w:rsid w:val="00DB783A"/>
    <w:rsid w:val="00DB7DBD"/>
    <w:rsid w:val="00DC014B"/>
    <w:rsid w:val="00DC159F"/>
    <w:rsid w:val="00DC2236"/>
    <w:rsid w:val="00DC3338"/>
    <w:rsid w:val="00DC4551"/>
    <w:rsid w:val="00DC46E5"/>
    <w:rsid w:val="00DC4A79"/>
    <w:rsid w:val="00DC4CB8"/>
    <w:rsid w:val="00DC518B"/>
    <w:rsid w:val="00DC5B32"/>
    <w:rsid w:val="00DC6C09"/>
    <w:rsid w:val="00DD0C67"/>
    <w:rsid w:val="00DD0F1B"/>
    <w:rsid w:val="00DD40C0"/>
    <w:rsid w:val="00DD547C"/>
    <w:rsid w:val="00DD5C65"/>
    <w:rsid w:val="00DD6F9B"/>
    <w:rsid w:val="00DD72E5"/>
    <w:rsid w:val="00DE0A87"/>
    <w:rsid w:val="00DE11FA"/>
    <w:rsid w:val="00DE27F3"/>
    <w:rsid w:val="00DE2FEA"/>
    <w:rsid w:val="00DE3B4F"/>
    <w:rsid w:val="00DE41A5"/>
    <w:rsid w:val="00DE5630"/>
    <w:rsid w:val="00DE5FF0"/>
    <w:rsid w:val="00DE6E83"/>
    <w:rsid w:val="00DF0094"/>
    <w:rsid w:val="00DF0EC6"/>
    <w:rsid w:val="00DF1AE0"/>
    <w:rsid w:val="00DF26E7"/>
    <w:rsid w:val="00DF2740"/>
    <w:rsid w:val="00DF35D1"/>
    <w:rsid w:val="00DF372E"/>
    <w:rsid w:val="00DF4445"/>
    <w:rsid w:val="00DF6DBF"/>
    <w:rsid w:val="00DF6EF9"/>
    <w:rsid w:val="00E00A52"/>
    <w:rsid w:val="00E00E3F"/>
    <w:rsid w:val="00E010A4"/>
    <w:rsid w:val="00E023C4"/>
    <w:rsid w:val="00E02CC4"/>
    <w:rsid w:val="00E03594"/>
    <w:rsid w:val="00E04585"/>
    <w:rsid w:val="00E049A4"/>
    <w:rsid w:val="00E04EE9"/>
    <w:rsid w:val="00E051E1"/>
    <w:rsid w:val="00E061CA"/>
    <w:rsid w:val="00E061FF"/>
    <w:rsid w:val="00E07531"/>
    <w:rsid w:val="00E107AD"/>
    <w:rsid w:val="00E1233F"/>
    <w:rsid w:val="00E125AF"/>
    <w:rsid w:val="00E12F39"/>
    <w:rsid w:val="00E13082"/>
    <w:rsid w:val="00E13119"/>
    <w:rsid w:val="00E1342A"/>
    <w:rsid w:val="00E14388"/>
    <w:rsid w:val="00E14ED6"/>
    <w:rsid w:val="00E1574B"/>
    <w:rsid w:val="00E15A89"/>
    <w:rsid w:val="00E15CA2"/>
    <w:rsid w:val="00E167AF"/>
    <w:rsid w:val="00E1687C"/>
    <w:rsid w:val="00E2103D"/>
    <w:rsid w:val="00E210AA"/>
    <w:rsid w:val="00E21788"/>
    <w:rsid w:val="00E22831"/>
    <w:rsid w:val="00E242D3"/>
    <w:rsid w:val="00E2478C"/>
    <w:rsid w:val="00E24CA4"/>
    <w:rsid w:val="00E25CC2"/>
    <w:rsid w:val="00E263EE"/>
    <w:rsid w:val="00E2692E"/>
    <w:rsid w:val="00E270A2"/>
    <w:rsid w:val="00E27CA7"/>
    <w:rsid w:val="00E308A2"/>
    <w:rsid w:val="00E30D11"/>
    <w:rsid w:val="00E32889"/>
    <w:rsid w:val="00E32DD2"/>
    <w:rsid w:val="00E32F41"/>
    <w:rsid w:val="00E33C00"/>
    <w:rsid w:val="00E348CA"/>
    <w:rsid w:val="00E36485"/>
    <w:rsid w:val="00E36C6E"/>
    <w:rsid w:val="00E37FA1"/>
    <w:rsid w:val="00E4066A"/>
    <w:rsid w:val="00E414F8"/>
    <w:rsid w:val="00E4177D"/>
    <w:rsid w:val="00E41B63"/>
    <w:rsid w:val="00E42757"/>
    <w:rsid w:val="00E42C19"/>
    <w:rsid w:val="00E4363B"/>
    <w:rsid w:val="00E43954"/>
    <w:rsid w:val="00E43A15"/>
    <w:rsid w:val="00E4402B"/>
    <w:rsid w:val="00E4472A"/>
    <w:rsid w:val="00E46346"/>
    <w:rsid w:val="00E46C04"/>
    <w:rsid w:val="00E46C52"/>
    <w:rsid w:val="00E47077"/>
    <w:rsid w:val="00E476A4"/>
    <w:rsid w:val="00E47884"/>
    <w:rsid w:val="00E47FEF"/>
    <w:rsid w:val="00E5179A"/>
    <w:rsid w:val="00E52101"/>
    <w:rsid w:val="00E52653"/>
    <w:rsid w:val="00E52A8B"/>
    <w:rsid w:val="00E53C53"/>
    <w:rsid w:val="00E5427E"/>
    <w:rsid w:val="00E5497F"/>
    <w:rsid w:val="00E54E00"/>
    <w:rsid w:val="00E5575C"/>
    <w:rsid w:val="00E566CA"/>
    <w:rsid w:val="00E56ADF"/>
    <w:rsid w:val="00E573A4"/>
    <w:rsid w:val="00E60343"/>
    <w:rsid w:val="00E615FA"/>
    <w:rsid w:val="00E6165E"/>
    <w:rsid w:val="00E62191"/>
    <w:rsid w:val="00E63477"/>
    <w:rsid w:val="00E641A6"/>
    <w:rsid w:val="00E66ADB"/>
    <w:rsid w:val="00E6703E"/>
    <w:rsid w:val="00E6714F"/>
    <w:rsid w:val="00E705D3"/>
    <w:rsid w:val="00E70D89"/>
    <w:rsid w:val="00E71C74"/>
    <w:rsid w:val="00E73146"/>
    <w:rsid w:val="00E7317F"/>
    <w:rsid w:val="00E73276"/>
    <w:rsid w:val="00E75C9B"/>
    <w:rsid w:val="00E76ACE"/>
    <w:rsid w:val="00E77D72"/>
    <w:rsid w:val="00E805B6"/>
    <w:rsid w:val="00E807BA"/>
    <w:rsid w:val="00E810BF"/>
    <w:rsid w:val="00E82497"/>
    <w:rsid w:val="00E83755"/>
    <w:rsid w:val="00E83CC4"/>
    <w:rsid w:val="00E84012"/>
    <w:rsid w:val="00E84480"/>
    <w:rsid w:val="00E845B0"/>
    <w:rsid w:val="00E860CF"/>
    <w:rsid w:val="00E861DA"/>
    <w:rsid w:val="00E86F6F"/>
    <w:rsid w:val="00E8795E"/>
    <w:rsid w:val="00E87E9B"/>
    <w:rsid w:val="00E90358"/>
    <w:rsid w:val="00E904E5"/>
    <w:rsid w:val="00E909F3"/>
    <w:rsid w:val="00E91105"/>
    <w:rsid w:val="00E913E3"/>
    <w:rsid w:val="00E91669"/>
    <w:rsid w:val="00E94752"/>
    <w:rsid w:val="00E94E50"/>
    <w:rsid w:val="00E959E8"/>
    <w:rsid w:val="00E96A0E"/>
    <w:rsid w:val="00E97D16"/>
    <w:rsid w:val="00EA025D"/>
    <w:rsid w:val="00EA0C62"/>
    <w:rsid w:val="00EA3A45"/>
    <w:rsid w:val="00EA3CAE"/>
    <w:rsid w:val="00EA3FE7"/>
    <w:rsid w:val="00EA4268"/>
    <w:rsid w:val="00EA7797"/>
    <w:rsid w:val="00EA7897"/>
    <w:rsid w:val="00EB1779"/>
    <w:rsid w:val="00EB1B66"/>
    <w:rsid w:val="00EB208A"/>
    <w:rsid w:val="00EB2FB3"/>
    <w:rsid w:val="00EB3326"/>
    <w:rsid w:val="00EB3411"/>
    <w:rsid w:val="00EB471A"/>
    <w:rsid w:val="00EB4959"/>
    <w:rsid w:val="00EB4B99"/>
    <w:rsid w:val="00EB4DB6"/>
    <w:rsid w:val="00EB50EA"/>
    <w:rsid w:val="00EB64E7"/>
    <w:rsid w:val="00EB6E31"/>
    <w:rsid w:val="00EC11E4"/>
    <w:rsid w:val="00EC15DB"/>
    <w:rsid w:val="00EC1AE7"/>
    <w:rsid w:val="00EC28A2"/>
    <w:rsid w:val="00EC5E91"/>
    <w:rsid w:val="00EC6FF5"/>
    <w:rsid w:val="00EC7970"/>
    <w:rsid w:val="00EC7FD4"/>
    <w:rsid w:val="00ED0053"/>
    <w:rsid w:val="00ED0115"/>
    <w:rsid w:val="00ED042D"/>
    <w:rsid w:val="00ED08CD"/>
    <w:rsid w:val="00ED0A55"/>
    <w:rsid w:val="00ED0CC0"/>
    <w:rsid w:val="00ED157F"/>
    <w:rsid w:val="00ED1EC3"/>
    <w:rsid w:val="00ED2F45"/>
    <w:rsid w:val="00ED4012"/>
    <w:rsid w:val="00ED415A"/>
    <w:rsid w:val="00ED4625"/>
    <w:rsid w:val="00ED4636"/>
    <w:rsid w:val="00ED464E"/>
    <w:rsid w:val="00ED55A2"/>
    <w:rsid w:val="00ED7890"/>
    <w:rsid w:val="00EE010A"/>
    <w:rsid w:val="00EE143D"/>
    <w:rsid w:val="00EE157C"/>
    <w:rsid w:val="00EE1C1D"/>
    <w:rsid w:val="00EE3249"/>
    <w:rsid w:val="00EE358E"/>
    <w:rsid w:val="00EE3CF9"/>
    <w:rsid w:val="00EE4A0B"/>
    <w:rsid w:val="00EE5074"/>
    <w:rsid w:val="00EE6598"/>
    <w:rsid w:val="00EE7050"/>
    <w:rsid w:val="00EF12CB"/>
    <w:rsid w:val="00EF1A88"/>
    <w:rsid w:val="00EF1E41"/>
    <w:rsid w:val="00EF328B"/>
    <w:rsid w:val="00EF4AF0"/>
    <w:rsid w:val="00EF4F0C"/>
    <w:rsid w:val="00EF59A3"/>
    <w:rsid w:val="00EF6106"/>
    <w:rsid w:val="00EF7056"/>
    <w:rsid w:val="00EF737B"/>
    <w:rsid w:val="00F0033E"/>
    <w:rsid w:val="00F0270A"/>
    <w:rsid w:val="00F02A7A"/>
    <w:rsid w:val="00F02CEA"/>
    <w:rsid w:val="00F02D29"/>
    <w:rsid w:val="00F03624"/>
    <w:rsid w:val="00F05F79"/>
    <w:rsid w:val="00F05FE8"/>
    <w:rsid w:val="00F06057"/>
    <w:rsid w:val="00F06234"/>
    <w:rsid w:val="00F10EF3"/>
    <w:rsid w:val="00F11610"/>
    <w:rsid w:val="00F121EF"/>
    <w:rsid w:val="00F134D1"/>
    <w:rsid w:val="00F14251"/>
    <w:rsid w:val="00F1463E"/>
    <w:rsid w:val="00F15A09"/>
    <w:rsid w:val="00F15C41"/>
    <w:rsid w:val="00F16DB4"/>
    <w:rsid w:val="00F205BC"/>
    <w:rsid w:val="00F20727"/>
    <w:rsid w:val="00F21321"/>
    <w:rsid w:val="00F2188C"/>
    <w:rsid w:val="00F22455"/>
    <w:rsid w:val="00F24439"/>
    <w:rsid w:val="00F26C91"/>
    <w:rsid w:val="00F27259"/>
    <w:rsid w:val="00F27DA6"/>
    <w:rsid w:val="00F3014C"/>
    <w:rsid w:val="00F312E2"/>
    <w:rsid w:val="00F32882"/>
    <w:rsid w:val="00F353CE"/>
    <w:rsid w:val="00F361D0"/>
    <w:rsid w:val="00F3651B"/>
    <w:rsid w:val="00F37163"/>
    <w:rsid w:val="00F407C9"/>
    <w:rsid w:val="00F40AF4"/>
    <w:rsid w:val="00F435F1"/>
    <w:rsid w:val="00F4448E"/>
    <w:rsid w:val="00F45F9D"/>
    <w:rsid w:val="00F47958"/>
    <w:rsid w:val="00F47DD6"/>
    <w:rsid w:val="00F50A8A"/>
    <w:rsid w:val="00F51224"/>
    <w:rsid w:val="00F53D10"/>
    <w:rsid w:val="00F54BF1"/>
    <w:rsid w:val="00F5541C"/>
    <w:rsid w:val="00F56BED"/>
    <w:rsid w:val="00F57BBB"/>
    <w:rsid w:val="00F57DCA"/>
    <w:rsid w:val="00F60956"/>
    <w:rsid w:val="00F61D2E"/>
    <w:rsid w:val="00F64092"/>
    <w:rsid w:val="00F6446F"/>
    <w:rsid w:val="00F65411"/>
    <w:rsid w:val="00F6623A"/>
    <w:rsid w:val="00F67181"/>
    <w:rsid w:val="00F702E0"/>
    <w:rsid w:val="00F70944"/>
    <w:rsid w:val="00F70BA2"/>
    <w:rsid w:val="00F710FC"/>
    <w:rsid w:val="00F71711"/>
    <w:rsid w:val="00F72DBC"/>
    <w:rsid w:val="00F730DE"/>
    <w:rsid w:val="00F7368F"/>
    <w:rsid w:val="00F73E58"/>
    <w:rsid w:val="00F7406E"/>
    <w:rsid w:val="00F74152"/>
    <w:rsid w:val="00F74249"/>
    <w:rsid w:val="00F75473"/>
    <w:rsid w:val="00F7587D"/>
    <w:rsid w:val="00F75C7C"/>
    <w:rsid w:val="00F7752F"/>
    <w:rsid w:val="00F7795D"/>
    <w:rsid w:val="00F77DD7"/>
    <w:rsid w:val="00F77F1B"/>
    <w:rsid w:val="00F80C2C"/>
    <w:rsid w:val="00F816A0"/>
    <w:rsid w:val="00F8228C"/>
    <w:rsid w:val="00F82D60"/>
    <w:rsid w:val="00F838BA"/>
    <w:rsid w:val="00F8408F"/>
    <w:rsid w:val="00F84330"/>
    <w:rsid w:val="00F84751"/>
    <w:rsid w:val="00F85075"/>
    <w:rsid w:val="00F87379"/>
    <w:rsid w:val="00F90A6B"/>
    <w:rsid w:val="00F937B0"/>
    <w:rsid w:val="00F93E48"/>
    <w:rsid w:val="00F95169"/>
    <w:rsid w:val="00F956E4"/>
    <w:rsid w:val="00F95B9C"/>
    <w:rsid w:val="00F966BE"/>
    <w:rsid w:val="00F96C07"/>
    <w:rsid w:val="00FA0BA8"/>
    <w:rsid w:val="00FA1909"/>
    <w:rsid w:val="00FA2073"/>
    <w:rsid w:val="00FA2EE7"/>
    <w:rsid w:val="00FA521B"/>
    <w:rsid w:val="00FA6ABB"/>
    <w:rsid w:val="00FA7E0A"/>
    <w:rsid w:val="00FB0CB0"/>
    <w:rsid w:val="00FB1678"/>
    <w:rsid w:val="00FB1797"/>
    <w:rsid w:val="00FB2652"/>
    <w:rsid w:val="00FB3CE9"/>
    <w:rsid w:val="00FB7331"/>
    <w:rsid w:val="00FC0BBE"/>
    <w:rsid w:val="00FC12FF"/>
    <w:rsid w:val="00FC1B45"/>
    <w:rsid w:val="00FC27B4"/>
    <w:rsid w:val="00FC4AD5"/>
    <w:rsid w:val="00FC60C1"/>
    <w:rsid w:val="00FD218D"/>
    <w:rsid w:val="00FD241B"/>
    <w:rsid w:val="00FD27D9"/>
    <w:rsid w:val="00FD2ADF"/>
    <w:rsid w:val="00FD6E5F"/>
    <w:rsid w:val="00FD732C"/>
    <w:rsid w:val="00FD7A82"/>
    <w:rsid w:val="00FD7A96"/>
    <w:rsid w:val="00FE0A6D"/>
    <w:rsid w:val="00FE15BD"/>
    <w:rsid w:val="00FE2301"/>
    <w:rsid w:val="00FE3202"/>
    <w:rsid w:val="00FE3976"/>
    <w:rsid w:val="00FE4274"/>
    <w:rsid w:val="00FE5327"/>
    <w:rsid w:val="00FE5D1D"/>
    <w:rsid w:val="00FE6FF7"/>
    <w:rsid w:val="00FF0B92"/>
    <w:rsid w:val="00FF515A"/>
    <w:rsid w:val="00FF6210"/>
    <w:rsid w:val="00FF6647"/>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List Bullet"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AF4"/>
    <w:rPr>
      <w:sz w:val="24"/>
      <w:szCs w:val="24"/>
    </w:rPr>
  </w:style>
  <w:style w:type="paragraph" w:styleId="Heading1">
    <w:name w:val="heading 1"/>
    <w:basedOn w:val="Normal"/>
    <w:next w:val="BodyText2"/>
    <w:qFormat/>
    <w:rsid w:val="00A4523E"/>
    <w:pPr>
      <w:keepLines/>
      <w:numPr>
        <w:numId w:val="5"/>
      </w:numPr>
      <w:tabs>
        <w:tab w:val="clear" w:pos="720"/>
      </w:tabs>
      <w:spacing w:after="240"/>
      <w:jc w:val="both"/>
      <w:outlineLvl w:val="0"/>
    </w:pPr>
    <w:rPr>
      <w:b/>
      <w:bCs/>
      <w:caps/>
      <w:szCs w:val="32"/>
      <w:u w:val="single"/>
    </w:rPr>
  </w:style>
  <w:style w:type="paragraph" w:styleId="Heading2">
    <w:name w:val="heading 2"/>
    <w:basedOn w:val="Normal"/>
    <w:next w:val="BodyText2"/>
    <w:link w:val="Heading2Char"/>
    <w:qFormat/>
    <w:rsid w:val="00A4523E"/>
    <w:pPr>
      <w:keepLines/>
      <w:numPr>
        <w:ilvl w:val="1"/>
        <w:numId w:val="5"/>
      </w:numPr>
      <w:spacing w:after="240"/>
      <w:jc w:val="both"/>
      <w:outlineLvl w:val="1"/>
    </w:pPr>
    <w:rPr>
      <w:b/>
      <w:bCs/>
      <w:iCs/>
      <w:caps/>
      <w:szCs w:val="28"/>
    </w:rPr>
  </w:style>
  <w:style w:type="paragraph" w:styleId="Heading3">
    <w:name w:val="heading 3"/>
    <w:basedOn w:val="Normal"/>
    <w:next w:val="BodyText2"/>
    <w:qFormat/>
    <w:rsid w:val="00A4523E"/>
    <w:pPr>
      <w:numPr>
        <w:ilvl w:val="2"/>
        <w:numId w:val="5"/>
      </w:numPr>
      <w:spacing w:after="240"/>
      <w:jc w:val="both"/>
      <w:outlineLvl w:val="2"/>
    </w:pPr>
    <w:rPr>
      <w:b/>
      <w:bCs/>
      <w:szCs w:val="26"/>
    </w:rPr>
  </w:style>
  <w:style w:type="paragraph" w:styleId="Heading4">
    <w:name w:val="heading 4"/>
    <w:basedOn w:val="Normal"/>
    <w:next w:val="BodyText2"/>
    <w:qFormat/>
    <w:rsid w:val="00A4523E"/>
    <w:pPr>
      <w:numPr>
        <w:ilvl w:val="3"/>
        <w:numId w:val="5"/>
      </w:numPr>
      <w:spacing w:after="240"/>
      <w:jc w:val="both"/>
      <w:outlineLvl w:val="3"/>
    </w:pPr>
    <w:rPr>
      <w:b/>
      <w:bCs/>
      <w:szCs w:val="28"/>
    </w:rPr>
  </w:style>
  <w:style w:type="paragraph" w:styleId="Heading5">
    <w:name w:val="heading 5"/>
    <w:basedOn w:val="Normal"/>
    <w:next w:val="BodyText2"/>
    <w:qFormat/>
    <w:rsid w:val="00A4523E"/>
    <w:pPr>
      <w:numPr>
        <w:ilvl w:val="4"/>
        <w:numId w:val="5"/>
      </w:numPr>
      <w:spacing w:after="240"/>
      <w:jc w:val="both"/>
      <w:outlineLvl w:val="4"/>
    </w:pPr>
    <w:rPr>
      <w:b/>
      <w:bCs/>
      <w:iCs/>
      <w:szCs w:val="26"/>
    </w:rPr>
  </w:style>
  <w:style w:type="paragraph" w:styleId="Heading6">
    <w:name w:val="heading 6"/>
    <w:basedOn w:val="Normal"/>
    <w:next w:val="BodyText2"/>
    <w:qFormat/>
    <w:rsid w:val="00A4523E"/>
    <w:pPr>
      <w:numPr>
        <w:ilvl w:val="5"/>
        <w:numId w:val="5"/>
      </w:numPr>
      <w:spacing w:after="240"/>
      <w:outlineLvl w:val="5"/>
    </w:pPr>
    <w:rPr>
      <w:b/>
      <w:bCs/>
      <w:szCs w:val="22"/>
    </w:rPr>
  </w:style>
  <w:style w:type="paragraph" w:styleId="Heading7">
    <w:name w:val="heading 7"/>
    <w:basedOn w:val="Normal"/>
    <w:next w:val="BodyText2"/>
    <w:qFormat/>
    <w:rsid w:val="00A4523E"/>
    <w:pPr>
      <w:numPr>
        <w:ilvl w:val="6"/>
        <w:numId w:val="5"/>
      </w:numPr>
      <w:spacing w:after="240"/>
      <w:outlineLvl w:val="6"/>
    </w:pPr>
    <w:rPr>
      <w:b/>
    </w:rPr>
  </w:style>
  <w:style w:type="paragraph" w:styleId="Heading8">
    <w:name w:val="heading 8"/>
    <w:basedOn w:val="Normal"/>
    <w:next w:val="BodyText2"/>
    <w:qFormat/>
    <w:rsid w:val="00A4523E"/>
    <w:pPr>
      <w:numPr>
        <w:ilvl w:val="7"/>
        <w:numId w:val="5"/>
      </w:numPr>
      <w:spacing w:after="240"/>
      <w:jc w:val="both"/>
      <w:outlineLvl w:val="7"/>
    </w:pPr>
    <w:rPr>
      <w:b/>
      <w:iCs/>
    </w:rPr>
  </w:style>
  <w:style w:type="paragraph" w:styleId="Heading9">
    <w:name w:val="heading 9"/>
    <w:basedOn w:val="Normal"/>
    <w:next w:val="BodyText2"/>
    <w:qFormat/>
    <w:rsid w:val="00A4523E"/>
    <w:pPr>
      <w:numPr>
        <w:ilvl w:val="8"/>
        <w:numId w:val="5"/>
      </w:numPr>
      <w:spacing w:after="2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4 Char,Footnote Text Char Char4 Char,Footnote Text Char4 Char1 Char Char,Footnote Text Char Char4 Char1 Char Char,Footnote Text Char5 Char1 Char Char Char Char Char,Footnote Text Char2,ALTS FOOTNOTE"/>
    <w:basedOn w:val="Normal"/>
    <w:link w:val="FootnoteTextChar1"/>
    <w:uiPriority w:val="99"/>
    <w:rsid w:val="00F40AF4"/>
    <w:rPr>
      <w:sz w:val="20"/>
      <w:szCs w:val="20"/>
    </w:rPr>
  </w:style>
  <w:style w:type="character" w:styleId="FootnoteReference">
    <w:name w:val="footnote reference"/>
    <w:aliases w:val="o,fr"/>
    <w:basedOn w:val="DefaultParagraphFont"/>
    <w:uiPriority w:val="99"/>
    <w:rsid w:val="00F40AF4"/>
    <w:rPr>
      <w:vertAlign w:val="superscript"/>
    </w:rPr>
  </w:style>
  <w:style w:type="paragraph" w:styleId="Footer">
    <w:name w:val="footer"/>
    <w:basedOn w:val="Normal"/>
    <w:link w:val="FooterChar"/>
    <w:uiPriority w:val="99"/>
    <w:rsid w:val="00F40AF4"/>
    <w:pPr>
      <w:tabs>
        <w:tab w:val="center" w:pos="4320"/>
        <w:tab w:val="right" w:pos="8640"/>
      </w:tabs>
    </w:pPr>
  </w:style>
  <w:style w:type="character" w:styleId="PageNumber">
    <w:name w:val="page number"/>
    <w:basedOn w:val="DefaultParagraphFont"/>
    <w:rsid w:val="00F40AF4"/>
  </w:style>
  <w:style w:type="paragraph" w:styleId="ListNumber">
    <w:name w:val="List Number"/>
    <w:basedOn w:val="Normal"/>
    <w:rsid w:val="00272171"/>
    <w:pPr>
      <w:numPr>
        <w:numId w:val="3"/>
      </w:numPr>
      <w:spacing w:line="480" w:lineRule="auto"/>
      <w:ind w:left="0" w:firstLine="720"/>
    </w:pPr>
  </w:style>
  <w:style w:type="paragraph" w:styleId="BodyText2">
    <w:name w:val="Body Text 2"/>
    <w:basedOn w:val="Normal"/>
    <w:link w:val="BodyText2Char"/>
    <w:rsid w:val="00272171"/>
    <w:pPr>
      <w:spacing w:line="480" w:lineRule="auto"/>
      <w:ind w:firstLine="720"/>
      <w:jc w:val="both"/>
    </w:pPr>
  </w:style>
  <w:style w:type="paragraph" w:styleId="ListParagraph">
    <w:name w:val="List Paragraph"/>
    <w:basedOn w:val="Normal"/>
    <w:uiPriority w:val="34"/>
    <w:qFormat/>
    <w:rsid w:val="006F178E"/>
    <w:pPr>
      <w:ind w:left="720"/>
      <w:contextualSpacing/>
    </w:pPr>
    <w:rPr>
      <w:color w:val="000000"/>
      <w:sz w:val="26"/>
      <w:szCs w:val="20"/>
    </w:rPr>
  </w:style>
  <w:style w:type="paragraph" w:customStyle="1" w:styleId="IndentSingle">
    <w:name w:val="Indent Single"/>
    <w:basedOn w:val="Normal"/>
    <w:next w:val="BodyText"/>
    <w:rsid w:val="008038A5"/>
    <w:pPr>
      <w:spacing w:after="240"/>
      <w:ind w:left="1440" w:right="1440"/>
    </w:pPr>
  </w:style>
  <w:style w:type="paragraph" w:styleId="BodyText">
    <w:name w:val="Body Text"/>
    <w:basedOn w:val="Normal"/>
    <w:rsid w:val="008038A5"/>
    <w:pPr>
      <w:spacing w:after="120"/>
    </w:pPr>
  </w:style>
  <w:style w:type="paragraph" w:styleId="BodyTextIndent">
    <w:name w:val="Body Text Indent"/>
    <w:basedOn w:val="Normal"/>
    <w:rsid w:val="002B07F2"/>
    <w:pPr>
      <w:spacing w:after="120"/>
      <w:ind w:left="360"/>
    </w:pPr>
  </w:style>
  <w:style w:type="paragraph" w:styleId="PlainText">
    <w:name w:val="Plain Text"/>
    <w:basedOn w:val="Normal"/>
    <w:link w:val="PlainTextChar"/>
    <w:unhideWhenUsed/>
    <w:rsid w:val="00F15A09"/>
    <w:rPr>
      <w:rFonts w:ascii="Consolas" w:eastAsia="Calibri" w:hAnsi="Consolas"/>
      <w:sz w:val="21"/>
      <w:szCs w:val="21"/>
    </w:rPr>
  </w:style>
  <w:style w:type="character" w:customStyle="1" w:styleId="PlainTextChar">
    <w:name w:val="Plain Text Char"/>
    <w:basedOn w:val="DefaultParagraphFont"/>
    <w:link w:val="PlainText"/>
    <w:rsid w:val="00F15A09"/>
    <w:rPr>
      <w:rFonts w:ascii="Consolas" w:eastAsia="Calibri" w:hAnsi="Consolas"/>
      <w:sz w:val="21"/>
      <w:szCs w:val="21"/>
      <w:lang w:val="en-US" w:eastAsia="en-US" w:bidi="ar-SA"/>
    </w:rPr>
  </w:style>
  <w:style w:type="character" w:customStyle="1" w:styleId="FootnoteTextChar1">
    <w:name w:val="Footnote Text Char1"/>
    <w:aliases w:val="Footnote Text Char4 Char Char1,Footnote Text Char Char4 Char Char1,Footnote Text Char4 Char1 Char Char Char1,Footnote Text Char Char4 Char1 Char Char Char1,Footnote Text Char5 Char1 Char Char Char Char Char Char1,ALTS FOOTNOTE Char"/>
    <w:basedOn w:val="DefaultParagraphFont"/>
    <w:link w:val="FootnoteText"/>
    <w:rsid w:val="00A4523E"/>
    <w:rPr>
      <w:lang w:val="en-US" w:eastAsia="en-US" w:bidi="ar-SA"/>
    </w:rPr>
  </w:style>
  <w:style w:type="paragraph" w:customStyle="1" w:styleId="Level1">
    <w:name w:val="Level 1"/>
    <w:basedOn w:val="Normal"/>
    <w:rsid w:val="00A4523E"/>
    <w:pPr>
      <w:widowControl w:val="0"/>
      <w:numPr>
        <w:numId w:val="4"/>
      </w:numPr>
      <w:autoSpaceDE w:val="0"/>
      <w:autoSpaceDN w:val="0"/>
      <w:adjustRightInd w:val="0"/>
      <w:ind w:firstLine="720"/>
      <w:outlineLvl w:val="0"/>
    </w:pPr>
  </w:style>
  <w:style w:type="character" w:customStyle="1" w:styleId="Heading2Char">
    <w:name w:val="Heading 2 Char"/>
    <w:basedOn w:val="DefaultParagraphFont"/>
    <w:link w:val="Heading2"/>
    <w:rsid w:val="00A4523E"/>
    <w:rPr>
      <w:b/>
      <w:bCs/>
      <w:iCs/>
      <w:caps/>
      <w:sz w:val="24"/>
      <w:szCs w:val="28"/>
    </w:rPr>
  </w:style>
  <w:style w:type="character" w:customStyle="1" w:styleId="FootnoteTextChar">
    <w:name w:val="Footnote Text Char"/>
    <w:aliases w:val="Footnote Text Char4 Char Char,Footnote Text Char Char4 Char Char,Footnote Text Char4 Char1 Char Char Char,Footnote Text Char Char4 Char1 Char Char Char,Footnote Text Char5 Char1 Char Char Char Char Char Char,Footnote Text Char2 Char"/>
    <w:basedOn w:val="DefaultParagraphFont"/>
    <w:uiPriority w:val="99"/>
    <w:locked/>
    <w:rsid w:val="00E84480"/>
    <w:rPr>
      <w:rFonts w:ascii="Times" w:hAnsi="Times" w:cs="Times New Roman"/>
      <w:sz w:val="20"/>
      <w:szCs w:val="20"/>
    </w:rPr>
  </w:style>
  <w:style w:type="paragraph" w:styleId="Header">
    <w:name w:val="header"/>
    <w:basedOn w:val="Normal"/>
    <w:link w:val="HeaderChar"/>
    <w:rsid w:val="009C6D70"/>
    <w:pPr>
      <w:tabs>
        <w:tab w:val="center" w:pos="4680"/>
        <w:tab w:val="right" w:pos="9360"/>
      </w:tabs>
    </w:pPr>
  </w:style>
  <w:style w:type="character" w:customStyle="1" w:styleId="HeaderChar">
    <w:name w:val="Header Char"/>
    <w:basedOn w:val="DefaultParagraphFont"/>
    <w:link w:val="Header"/>
    <w:rsid w:val="009C6D70"/>
    <w:rPr>
      <w:sz w:val="24"/>
      <w:szCs w:val="24"/>
    </w:rPr>
  </w:style>
  <w:style w:type="character" w:customStyle="1" w:styleId="FooterChar">
    <w:name w:val="Footer Char"/>
    <w:basedOn w:val="DefaultParagraphFont"/>
    <w:link w:val="Footer"/>
    <w:uiPriority w:val="99"/>
    <w:rsid w:val="009C6D70"/>
    <w:rPr>
      <w:sz w:val="24"/>
      <w:szCs w:val="24"/>
    </w:rPr>
  </w:style>
  <w:style w:type="paragraph" w:styleId="EndnoteText">
    <w:name w:val="endnote text"/>
    <w:basedOn w:val="Normal"/>
    <w:link w:val="EndnoteTextChar"/>
    <w:rsid w:val="00D34779"/>
    <w:rPr>
      <w:sz w:val="20"/>
      <w:szCs w:val="20"/>
    </w:rPr>
  </w:style>
  <w:style w:type="character" w:customStyle="1" w:styleId="EndnoteTextChar">
    <w:name w:val="Endnote Text Char"/>
    <w:basedOn w:val="DefaultParagraphFont"/>
    <w:link w:val="EndnoteText"/>
    <w:rsid w:val="00D34779"/>
  </w:style>
  <w:style w:type="character" w:styleId="EndnoteReference">
    <w:name w:val="endnote reference"/>
    <w:basedOn w:val="DefaultParagraphFont"/>
    <w:rsid w:val="00D34779"/>
    <w:rPr>
      <w:vertAlign w:val="superscript"/>
    </w:rPr>
  </w:style>
  <w:style w:type="table" w:styleId="TableGrid">
    <w:name w:val="Table Grid"/>
    <w:basedOn w:val="TableNormal"/>
    <w:rsid w:val="00616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A77698"/>
    <w:rPr>
      <w:sz w:val="24"/>
      <w:szCs w:val="24"/>
    </w:rPr>
  </w:style>
  <w:style w:type="paragraph" w:styleId="BlockText">
    <w:name w:val="Block Text"/>
    <w:basedOn w:val="Normal"/>
    <w:rsid w:val="00880F9D"/>
    <w:pPr>
      <w:spacing w:after="240"/>
      <w:ind w:left="1440" w:right="1440"/>
      <w:jc w:val="both"/>
    </w:pPr>
  </w:style>
  <w:style w:type="paragraph" w:styleId="ListBullet">
    <w:name w:val="List Bullet"/>
    <w:aliases w:val="b1"/>
    <w:basedOn w:val="Normal"/>
    <w:qFormat/>
    <w:rsid w:val="006C103F"/>
    <w:pPr>
      <w:numPr>
        <w:numId w:val="18"/>
      </w:numPr>
      <w:spacing w:after="240"/>
      <w:jc w:val="both"/>
    </w:pPr>
    <w:rPr>
      <w:szCs w:val="20"/>
    </w:rPr>
  </w:style>
  <w:style w:type="paragraph" w:styleId="BodyTextIndent2">
    <w:name w:val="Body Text Indent 2"/>
    <w:basedOn w:val="Normal"/>
    <w:link w:val="BodyTextIndent2Char"/>
    <w:rsid w:val="009E25B0"/>
    <w:pPr>
      <w:spacing w:after="120" w:line="480" w:lineRule="auto"/>
      <w:ind w:left="360"/>
    </w:pPr>
  </w:style>
  <w:style w:type="character" w:customStyle="1" w:styleId="BodyTextIndent2Char">
    <w:name w:val="Body Text Indent 2 Char"/>
    <w:basedOn w:val="DefaultParagraphFont"/>
    <w:link w:val="BodyTextIndent2"/>
    <w:rsid w:val="009E25B0"/>
    <w:rPr>
      <w:sz w:val="24"/>
      <w:szCs w:val="24"/>
    </w:rPr>
  </w:style>
  <w:style w:type="paragraph" w:styleId="BalloonText">
    <w:name w:val="Balloon Text"/>
    <w:basedOn w:val="Normal"/>
    <w:link w:val="BalloonTextChar"/>
    <w:rsid w:val="00BF75BB"/>
    <w:rPr>
      <w:rFonts w:ascii="Tahoma" w:hAnsi="Tahoma" w:cs="Tahoma"/>
      <w:sz w:val="16"/>
      <w:szCs w:val="16"/>
    </w:rPr>
  </w:style>
  <w:style w:type="character" w:customStyle="1" w:styleId="BalloonTextChar">
    <w:name w:val="Balloon Text Char"/>
    <w:basedOn w:val="DefaultParagraphFont"/>
    <w:link w:val="BalloonText"/>
    <w:rsid w:val="00BF75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List Bullet"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AF4"/>
    <w:rPr>
      <w:sz w:val="24"/>
      <w:szCs w:val="24"/>
    </w:rPr>
  </w:style>
  <w:style w:type="paragraph" w:styleId="Heading1">
    <w:name w:val="heading 1"/>
    <w:basedOn w:val="Normal"/>
    <w:next w:val="BodyText2"/>
    <w:qFormat/>
    <w:rsid w:val="00A4523E"/>
    <w:pPr>
      <w:keepLines/>
      <w:numPr>
        <w:numId w:val="5"/>
      </w:numPr>
      <w:tabs>
        <w:tab w:val="clear" w:pos="720"/>
      </w:tabs>
      <w:spacing w:after="240"/>
      <w:jc w:val="both"/>
      <w:outlineLvl w:val="0"/>
    </w:pPr>
    <w:rPr>
      <w:b/>
      <w:bCs/>
      <w:caps/>
      <w:szCs w:val="32"/>
      <w:u w:val="single"/>
    </w:rPr>
  </w:style>
  <w:style w:type="paragraph" w:styleId="Heading2">
    <w:name w:val="heading 2"/>
    <w:basedOn w:val="Normal"/>
    <w:next w:val="BodyText2"/>
    <w:link w:val="Heading2Char"/>
    <w:qFormat/>
    <w:rsid w:val="00A4523E"/>
    <w:pPr>
      <w:keepLines/>
      <w:numPr>
        <w:ilvl w:val="1"/>
        <w:numId w:val="5"/>
      </w:numPr>
      <w:spacing w:after="240"/>
      <w:jc w:val="both"/>
      <w:outlineLvl w:val="1"/>
    </w:pPr>
    <w:rPr>
      <w:b/>
      <w:bCs/>
      <w:iCs/>
      <w:caps/>
      <w:szCs w:val="28"/>
    </w:rPr>
  </w:style>
  <w:style w:type="paragraph" w:styleId="Heading3">
    <w:name w:val="heading 3"/>
    <w:basedOn w:val="Normal"/>
    <w:next w:val="BodyText2"/>
    <w:qFormat/>
    <w:rsid w:val="00A4523E"/>
    <w:pPr>
      <w:numPr>
        <w:ilvl w:val="2"/>
        <w:numId w:val="5"/>
      </w:numPr>
      <w:spacing w:after="240"/>
      <w:jc w:val="both"/>
      <w:outlineLvl w:val="2"/>
    </w:pPr>
    <w:rPr>
      <w:b/>
      <w:bCs/>
      <w:szCs w:val="26"/>
    </w:rPr>
  </w:style>
  <w:style w:type="paragraph" w:styleId="Heading4">
    <w:name w:val="heading 4"/>
    <w:basedOn w:val="Normal"/>
    <w:next w:val="BodyText2"/>
    <w:qFormat/>
    <w:rsid w:val="00A4523E"/>
    <w:pPr>
      <w:numPr>
        <w:ilvl w:val="3"/>
        <w:numId w:val="5"/>
      </w:numPr>
      <w:spacing w:after="240"/>
      <w:jc w:val="both"/>
      <w:outlineLvl w:val="3"/>
    </w:pPr>
    <w:rPr>
      <w:b/>
      <w:bCs/>
      <w:szCs w:val="28"/>
    </w:rPr>
  </w:style>
  <w:style w:type="paragraph" w:styleId="Heading5">
    <w:name w:val="heading 5"/>
    <w:basedOn w:val="Normal"/>
    <w:next w:val="BodyText2"/>
    <w:qFormat/>
    <w:rsid w:val="00A4523E"/>
    <w:pPr>
      <w:numPr>
        <w:ilvl w:val="4"/>
        <w:numId w:val="5"/>
      </w:numPr>
      <w:spacing w:after="240"/>
      <w:jc w:val="both"/>
      <w:outlineLvl w:val="4"/>
    </w:pPr>
    <w:rPr>
      <w:b/>
      <w:bCs/>
      <w:iCs/>
      <w:szCs w:val="26"/>
    </w:rPr>
  </w:style>
  <w:style w:type="paragraph" w:styleId="Heading6">
    <w:name w:val="heading 6"/>
    <w:basedOn w:val="Normal"/>
    <w:next w:val="BodyText2"/>
    <w:qFormat/>
    <w:rsid w:val="00A4523E"/>
    <w:pPr>
      <w:numPr>
        <w:ilvl w:val="5"/>
        <w:numId w:val="5"/>
      </w:numPr>
      <w:spacing w:after="240"/>
      <w:outlineLvl w:val="5"/>
    </w:pPr>
    <w:rPr>
      <w:b/>
      <w:bCs/>
      <w:szCs w:val="22"/>
    </w:rPr>
  </w:style>
  <w:style w:type="paragraph" w:styleId="Heading7">
    <w:name w:val="heading 7"/>
    <w:basedOn w:val="Normal"/>
    <w:next w:val="BodyText2"/>
    <w:qFormat/>
    <w:rsid w:val="00A4523E"/>
    <w:pPr>
      <w:numPr>
        <w:ilvl w:val="6"/>
        <w:numId w:val="5"/>
      </w:numPr>
      <w:spacing w:after="240"/>
      <w:outlineLvl w:val="6"/>
    </w:pPr>
    <w:rPr>
      <w:b/>
    </w:rPr>
  </w:style>
  <w:style w:type="paragraph" w:styleId="Heading8">
    <w:name w:val="heading 8"/>
    <w:basedOn w:val="Normal"/>
    <w:next w:val="BodyText2"/>
    <w:qFormat/>
    <w:rsid w:val="00A4523E"/>
    <w:pPr>
      <w:numPr>
        <w:ilvl w:val="7"/>
        <w:numId w:val="5"/>
      </w:numPr>
      <w:spacing w:after="240"/>
      <w:jc w:val="both"/>
      <w:outlineLvl w:val="7"/>
    </w:pPr>
    <w:rPr>
      <w:b/>
      <w:iCs/>
    </w:rPr>
  </w:style>
  <w:style w:type="paragraph" w:styleId="Heading9">
    <w:name w:val="heading 9"/>
    <w:basedOn w:val="Normal"/>
    <w:next w:val="BodyText2"/>
    <w:qFormat/>
    <w:rsid w:val="00A4523E"/>
    <w:pPr>
      <w:numPr>
        <w:ilvl w:val="8"/>
        <w:numId w:val="5"/>
      </w:numPr>
      <w:spacing w:after="2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4 Char,Footnote Text Char Char4 Char,Footnote Text Char4 Char1 Char Char,Footnote Text Char Char4 Char1 Char Char,Footnote Text Char5 Char1 Char Char Char Char Char,Footnote Text Char2,ALTS FOOTNOTE"/>
    <w:basedOn w:val="Normal"/>
    <w:link w:val="FootnoteTextChar1"/>
    <w:uiPriority w:val="99"/>
    <w:rsid w:val="00F40AF4"/>
    <w:rPr>
      <w:sz w:val="20"/>
      <w:szCs w:val="20"/>
    </w:rPr>
  </w:style>
  <w:style w:type="character" w:styleId="FootnoteReference">
    <w:name w:val="footnote reference"/>
    <w:aliases w:val="o,fr"/>
    <w:basedOn w:val="DefaultParagraphFont"/>
    <w:uiPriority w:val="99"/>
    <w:rsid w:val="00F40AF4"/>
    <w:rPr>
      <w:vertAlign w:val="superscript"/>
    </w:rPr>
  </w:style>
  <w:style w:type="paragraph" w:styleId="Footer">
    <w:name w:val="footer"/>
    <w:basedOn w:val="Normal"/>
    <w:link w:val="FooterChar"/>
    <w:uiPriority w:val="99"/>
    <w:rsid w:val="00F40AF4"/>
    <w:pPr>
      <w:tabs>
        <w:tab w:val="center" w:pos="4320"/>
        <w:tab w:val="right" w:pos="8640"/>
      </w:tabs>
    </w:pPr>
  </w:style>
  <w:style w:type="character" w:styleId="PageNumber">
    <w:name w:val="page number"/>
    <w:basedOn w:val="DefaultParagraphFont"/>
    <w:rsid w:val="00F40AF4"/>
  </w:style>
  <w:style w:type="paragraph" w:styleId="ListNumber">
    <w:name w:val="List Number"/>
    <w:basedOn w:val="Normal"/>
    <w:rsid w:val="00272171"/>
    <w:pPr>
      <w:numPr>
        <w:numId w:val="3"/>
      </w:numPr>
      <w:spacing w:line="480" w:lineRule="auto"/>
      <w:ind w:left="0" w:firstLine="720"/>
    </w:pPr>
  </w:style>
  <w:style w:type="paragraph" w:styleId="BodyText2">
    <w:name w:val="Body Text 2"/>
    <w:basedOn w:val="Normal"/>
    <w:link w:val="BodyText2Char"/>
    <w:rsid w:val="00272171"/>
    <w:pPr>
      <w:spacing w:line="480" w:lineRule="auto"/>
      <w:ind w:firstLine="720"/>
      <w:jc w:val="both"/>
    </w:pPr>
  </w:style>
  <w:style w:type="paragraph" w:styleId="ListParagraph">
    <w:name w:val="List Paragraph"/>
    <w:basedOn w:val="Normal"/>
    <w:uiPriority w:val="34"/>
    <w:qFormat/>
    <w:rsid w:val="006F178E"/>
    <w:pPr>
      <w:ind w:left="720"/>
      <w:contextualSpacing/>
    </w:pPr>
    <w:rPr>
      <w:color w:val="000000"/>
      <w:sz w:val="26"/>
      <w:szCs w:val="20"/>
    </w:rPr>
  </w:style>
  <w:style w:type="paragraph" w:customStyle="1" w:styleId="IndentSingle">
    <w:name w:val="Indent Single"/>
    <w:basedOn w:val="Normal"/>
    <w:next w:val="BodyText"/>
    <w:rsid w:val="008038A5"/>
    <w:pPr>
      <w:spacing w:after="240"/>
      <w:ind w:left="1440" w:right="1440"/>
    </w:pPr>
  </w:style>
  <w:style w:type="paragraph" w:styleId="BodyText">
    <w:name w:val="Body Text"/>
    <w:basedOn w:val="Normal"/>
    <w:rsid w:val="008038A5"/>
    <w:pPr>
      <w:spacing w:after="120"/>
    </w:pPr>
  </w:style>
  <w:style w:type="paragraph" w:styleId="BodyTextIndent">
    <w:name w:val="Body Text Indent"/>
    <w:basedOn w:val="Normal"/>
    <w:rsid w:val="002B07F2"/>
    <w:pPr>
      <w:spacing w:after="120"/>
      <w:ind w:left="360"/>
    </w:pPr>
  </w:style>
  <w:style w:type="paragraph" w:styleId="PlainText">
    <w:name w:val="Plain Text"/>
    <w:basedOn w:val="Normal"/>
    <w:link w:val="PlainTextChar"/>
    <w:unhideWhenUsed/>
    <w:rsid w:val="00F15A09"/>
    <w:rPr>
      <w:rFonts w:ascii="Consolas" w:eastAsia="Calibri" w:hAnsi="Consolas"/>
      <w:sz w:val="21"/>
      <w:szCs w:val="21"/>
    </w:rPr>
  </w:style>
  <w:style w:type="character" w:customStyle="1" w:styleId="PlainTextChar">
    <w:name w:val="Plain Text Char"/>
    <w:basedOn w:val="DefaultParagraphFont"/>
    <w:link w:val="PlainText"/>
    <w:rsid w:val="00F15A09"/>
    <w:rPr>
      <w:rFonts w:ascii="Consolas" w:eastAsia="Calibri" w:hAnsi="Consolas"/>
      <w:sz w:val="21"/>
      <w:szCs w:val="21"/>
      <w:lang w:val="en-US" w:eastAsia="en-US" w:bidi="ar-SA"/>
    </w:rPr>
  </w:style>
  <w:style w:type="character" w:customStyle="1" w:styleId="FootnoteTextChar1">
    <w:name w:val="Footnote Text Char1"/>
    <w:aliases w:val="Footnote Text Char4 Char Char1,Footnote Text Char Char4 Char Char1,Footnote Text Char4 Char1 Char Char Char1,Footnote Text Char Char4 Char1 Char Char Char1,Footnote Text Char5 Char1 Char Char Char Char Char Char1,ALTS FOOTNOTE Char"/>
    <w:basedOn w:val="DefaultParagraphFont"/>
    <w:link w:val="FootnoteText"/>
    <w:rsid w:val="00A4523E"/>
    <w:rPr>
      <w:lang w:val="en-US" w:eastAsia="en-US" w:bidi="ar-SA"/>
    </w:rPr>
  </w:style>
  <w:style w:type="paragraph" w:customStyle="1" w:styleId="Level1">
    <w:name w:val="Level 1"/>
    <w:basedOn w:val="Normal"/>
    <w:rsid w:val="00A4523E"/>
    <w:pPr>
      <w:widowControl w:val="0"/>
      <w:numPr>
        <w:numId w:val="4"/>
      </w:numPr>
      <w:autoSpaceDE w:val="0"/>
      <w:autoSpaceDN w:val="0"/>
      <w:adjustRightInd w:val="0"/>
      <w:ind w:firstLine="720"/>
      <w:outlineLvl w:val="0"/>
    </w:pPr>
  </w:style>
  <w:style w:type="character" w:customStyle="1" w:styleId="Heading2Char">
    <w:name w:val="Heading 2 Char"/>
    <w:basedOn w:val="DefaultParagraphFont"/>
    <w:link w:val="Heading2"/>
    <w:rsid w:val="00A4523E"/>
    <w:rPr>
      <w:b/>
      <w:bCs/>
      <w:iCs/>
      <w:caps/>
      <w:sz w:val="24"/>
      <w:szCs w:val="28"/>
    </w:rPr>
  </w:style>
  <w:style w:type="character" w:customStyle="1" w:styleId="FootnoteTextChar">
    <w:name w:val="Footnote Text Char"/>
    <w:aliases w:val="Footnote Text Char4 Char Char,Footnote Text Char Char4 Char Char,Footnote Text Char4 Char1 Char Char Char,Footnote Text Char Char4 Char1 Char Char Char,Footnote Text Char5 Char1 Char Char Char Char Char Char,Footnote Text Char2 Char"/>
    <w:basedOn w:val="DefaultParagraphFont"/>
    <w:uiPriority w:val="99"/>
    <w:locked/>
    <w:rsid w:val="00E84480"/>
    <w:rPr>
      <w:rFonts w:ascii="Times" w:hAnsi="Times" w:cs="Times New Roman"/>
      <w:sz w:val="20"/>
      <w:szCs w:val="20"/>
    </w:rPr>
  </w:style>
  <w:style w:type="paragraph" w:styleId="Header">
    <w:name w:val="header"/>
    <w:basedOn w:val="Normal"/>
    <w:link w:val="HeaderChar"/>
    <w:rsid w:val="009C6D70"/>
    <w:pPr>
      <w:tabs>
        <w:tab w:val="center" w:pos="4680"/>
        <w:tab w:val="right" w:pos="9360"/>
      </w:tabs>
    </w:pPr>
  </w:style>
  <w:style w:type="character" w:customStyle="1" w:styleId="HeaderChar">
    <w:name w:val="Header Char"/>
    <w:basedOn w:val="DefaultParagraphFont"/>
    <w:link w:val="Header"/>
    <w:rsid w:val="009C6D70"/>
    <w:rPr>
      <w:sz w:val="24"/>
      <w:szCs w:val="24"/>
    </w:rPr>
  </w:style>
  <w:style w:type="character" w:customStyle="1" w:styleId="FooterChar">
    <w:name w:val="Footer Char"/>
    <w:basedOn w:val="DefaultParagraphFont"/>
    <w:link w:val="Footer"/>
    <w:uiPriority w:val="99"/>
    <w:rsid w:val="009C6D70"/>
    <w:rPr>
      <w:sz w:val="24"/>
      <w:szCs w:val="24"/>
    </w:rPr>
  </w:style>
  <w:style w:type="paragraph" w:styleId="EndnoteText">
    <w:name w:val="endnote text"/>
    <w:basedOn w:val="Normal"/>
    <w:link w:val="EndnoteTextChar"/>
    <w:rsid w:val="00D34779"/>
    <w:rPr>
      <w:sz w:val="20"/>
      <w:szCs w:val="20"/>
    </w:rPr>
  </w:style>
  <w:style w:type="character" w:customStyle="1" w:styleId="EndnoteTextChar">
    <w:name w:val="Endnote Text Char"/>
    <w:basedOn w:val="DefaultParagraphFont"/>
    <w:link w:val="EndnoteText"/>
    <w:rsid w:val="00D34779"/>
  </w:style>
  <w:style w:type="character" w:styleId="EndnoteReference">
    <w:name w:val="endnote reference"/>
    <w:basedOn w:val="DefaultParagraphFont"/>
    <w:rsid w:val="00D34779"/>
    <w:rPr>
      <w:vertAlign w:val="superscript"/>
    </w:rPr>
  </w:style>
  <w:style w:type="table" w:styleId="TableGrid">
    <w:name w:val="Table Grid"/>
    <w:basedOn w:val="TableNormal"/>
    <w:rsid w:val="00616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A77698"/>
    <w:rPr>
      <w:sz w:val="24"/>
      <w:szCs w:val="24"/>
    </w:rPr>
  </w:style>
  <w:style w:type="paragraph" w:styleId="BlockText">
    <w:name w:val="Block Text"/>
    <w:basedOn w:val="Normal"/>
    <w:rsid w:val="00880F9D"/>
    <w:pPr>
      <w:spacing w:after="240"/>
      <w:ind w:left="1440" w:right="1440"/>
      <w:jc w:val="both"/>
    </w:pPr>
  </w:style>
  <w:style w:type="paragraph" w:styleId="ListBullet">
    <w:name w:val="List Bullet"/>
    <w:aliases w:val="b1"/>
    <w:basedOn w:val="Normal"/>
    <w:qFormat/>
    <w:rsid w:val="006C103F"/>
    <w:pPr>
      <w:numPr>
        <w:numId w:val="18"/>
      </w:numPr>
      <w:spacing w:after="240"/>
      <w:jc w:val="both"/>
    </w:pPr>
    <w:rPr>
      <w:szCs w:val="20"/>
    </w:rPr>
  </w:style>
  <w:style w:type="paragraph" w:styleId="BodyTextIndent2">
    <w:name w:val="Body Text Indent 2"/>
    <w:basedOn w:val="Normal"/>
    <w:link w:val="BodyTextIndent2Char"/>
    <w:rsid w:val="009E25B0"/>
    <w:pPr>
      <w:spacing w:after="120" w:line="480" w:lineRule="auto"/>
      <w:ind w:left="360"/>
    </w:pPr>
  </w:style>
  <w:style w:type="character" w:customStyle="1" w:styleId="BodyTextIndent2Char">
    <w:name w:val="Body Text Indent 2 Char"/>
    <w:basedOn w:val="DefaultParagraphFont"/>
    <w:link w:val="BodyTextIndent2"/>
    <w:rsid w:val="009E25B0"/>
    <w:rPr>
      <w:sz w:val="24"/>
      <w:szCs w:val="24"/>
    </w:rPr>
  </w:style>
  <w:style w:type="paragraph" w:styleId="BalloonText">
    <w:name w:val="Balloon Text"/>
    <w:basedOn w:val="Normal"/>
    <w:link w:val="BalloonTextChar"/>
    <w:rsid w:val="00BF75BB"/>
    <w:rPr>
      <w:rFonts w:ascii="Tahoma" w:hAnsi="Tahoma" w:cs="Tahoma"/>
      <w:sz w:val="16"/>
      <w:szCs w:val="16"/>
    </w:rPr>
  </w:style>
  <w:style w:type="character" w:customStyle="1" w:styleId="BalloonTextChar">
    <w:name w:val="Balloon Text Char"/>
    <w:basedOn w:val="DefaultParagraphFont"/>
    <w:link w:val="BalloonText"/>
    <w:rsid w:val="00BF75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873650">
      <w:bodyDiv w:val="1"/>
      <w:marLeft w:val="0"/>
      <w:marRight w:val="0"/>
      <w:marTop w:val="0"/>
      <w:marBottom w:val="0"/>
      <w:divBdr>
        <w:top w:val="none" w:sz="0" w:space="0" w:color="auto"/>
        <w:left w:val="none" w:sz="0" w:space="0" w:color="auto"/>
        <w:bottom w:val="none" w:sz="0" w:space="0" w:color="auto"/>
        <w:right w:val="none" w:sz="0" w:space="0" w:color="auto"/>
      </w:divBdr>
    </w:div>
    <w:div w:id="187854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C8912-86A4-4E63-BB23-240A96884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29</Pages>
  <Words>7858</Words>
  <Characters>44793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52546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110</cp:revision>
  <cp:lastPrinted>2015-04-23T14:53:00Z</cp:lastPrinted>
  <dcterms:created xsi:type="dcterms:W3CDTF">2015-04-22T18:18:00Z</dcterms:created>
  <dcterms:modified xsi:type="dcterms:W3CDTF">2015-05-04T15:37:00Z</dcterms:modified>
</cp:coreProperties>
</file>