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14" w:rsidRPr="00595714" w:rsidRDefault="00595714" w:rsidP="00595714">
      <w:pPr>
        <w:jc w:val="center"/>
        <w:rPr>
          <w:b/>
          <w:sz w:val="24"/>
          <w:szCs w:val="24"/>
        </w:rPr>
      </w:pPr>
      <w:r w:rsidRPr="00595714">
        <w:rPr>
          <w:b/>
          <w:sz w:val="24"/>
          <w:szCs w:val="24"/>
        </w:rPr>
        <w:t>BEFORE THE</w:t>
      </w:r>
    </w:p>
    <w:p w:rsidR="00595714" w:rsidRPr="00595714" w:rsidRDefault="00595714" w:rsidP="00595714">
      <w:pPr>
        <w:jc w:val="center"/>
        <w:rPr>
          <w:sz w:val="24"/>
          <w:szCs w:val="24"/>
        </w:rPr>
      </w:pPr>
      <w:r w:rsidRPr="00595714">
        <w:rPr>
          <w:b/>
          <w:sz w:val="24"/>
          <w:szCs w:val="24"/>
        </w:rPr>
        <w:t>PENNSYLVANIA PUBLIC UTILITY COMMISSION</w:t>
      </w:r>
    </w:p>
    <w:p w:rsidR="00595714" w:rsidRPr="00595714" w:rsidRDefault="00595714" w:rsidP="00595714">
      <w:pPr>
        <w:rPr>
          <w:sz w:val="24"/>
          <w:szCs w:val="24"/>
        </w:rPr>
      </w:pPr>
    </w:p>
    <w:p w:rsidR="00595714" w:rsidRPr="00595714" w:rsidRDefault="00595714" w:rsidP="00595714">
      <w:pPr>
        <w:rPr>
          <w:sz w:val="24"/>
          <w:szCs w:val="24"/>
        </w:rPr>
      </w:pPr>
    </w:p>
    <w:p w:rsidR="00595714" w:rsidRPr="00595714" w:rsidRDefault="00595714" w:rsidP="00595714">
      <w:pPr>
        <w:rPr>
          <w:sz w:val="24"/>
          <w:szCs w:val="24"/>
        </w:rPr>
      </w:pPr>
    </w:p>
    <w:p w:rsidR="00595714" w:rsidRPr="00595714" w:rsidRDefault="00595714" w:rsidP="00595714">
      <w:pPr>
        <w:rPr>
          <w:sz w:val="24"/>
          <w:szCs w:val="24"/>
        </w:rPr>
      </w:pPr>
      <w:r w:rsidRPr="00595714">
        <w:rPr>
          <w:sz w:val="24"/>
          <w:szCs w:val="24"/>
        </w:rPr>
        <w:t>Superior Tire &amp; Rubber Corporation</w:t>
      </w:r>
      <w:r w:rsidRPr="00595714">
        <w:rPr>
          <w:sz w:val="24"/>
          <w:szCs w:val="24"/>
        </w:rPr>
        <w:tab/>
      </w:r>
      <w:r w:rsidRPr="00595714">
        <w:rPr>
          <w:sz w:val="24"/>
          <w:szCs w:val="24"/>
        </w:rPr>
        <w:tab/>
      </w:r>
      <w:r w:rsidRPr="00595714">
        <w:rPr>
          <w:sz w:val="24"/>
          <w:szCs w:val="24"/>
        </w:rPr>
        <w:tab/>
        <w:t>:</w:t>
      </w:r>
      <w:r w:rsidRPr="00595714">
        <w:rPr>
          <w:sz w:val="24"/>
          <w:szCs w:val="24"/>
        </w:rPr>
        <w:tab/>
      </w:r>
    </w:p>
    <w:p w:rsidR="00595714" w:rsidRPr="00595714" w:rsidRDefault="00595714" w:rsidP="00595714">
      <w:pPr>
        <w:rPr>
          <w:sz w:val="24"/>
          <w:szCs w:val="24"/>
        </w:rPr>
      </w:pPr>
      <w:r w:rsidRPr="00595714">
        <w:rPr>
          <w:sz w:val="24"/>
          <w:szCs w:val="24"/>
        </w:rPr>
        <w:tab/>
      </w:r>
      <w:r w:rsidRPr="00595714">
        <w:rPr>
          <w:sz w:val="24"/>
          <w:szCs w:val="24"/>
        </w:rPr>
        <w:tab/>
      </w:r>
      <w:r w:rsidRPr="00595714">
        <w:rPr>
          <w:sz w:val="24"/>
          <w:szCs w:val="24"/>
        </w:rPr>
        <w:tab/>
      </w:r>
      <w:r w:rsidRPr="00595714">
        <w:rPr>
          <w:sz w:val="24"/>
          <w:szCs w:val="24"/>
        </w:rPr>
        <w:tab/>
      </w:r>
      <w:r w:rsidRPr="00595714">
        <w:rPr>
          <w:sz w:val="24"/>
          <w:szCs w:val="24"/>
        </w:rPr>
        <w:tab/>
      </w:r>
      <w:r w:rsidRPr="00595714">
        <w:rPr>
          <w:sz w:val="24"/>
          <w:szCs w:val="24"/>
        </w:rPr>
        <w:tab/>
      </w:r>
      <w:r w:rsidRPr="00595714">
        <w:rPr>
          <w:sz w:val="24"/>
          <w:szCs w:val="24"/>
        </w:rPr>
        <w:tab/>
        <w:t>:</w:t>
      </w:r>
    </w:p>
    <w:p w:rsidR="00595714" w:rsidRPr="00595714" w:rsidRDefault="00595714" w:rsidP="00595714">
      <w:pPr>
        <w:numPr>
          <w:ilvl w:val="0"/>
          <w:numId w:val="4"/>
        </w:numPr>
        <w:ind w:left="5040" w:hanging="4320"/>
        <w:rPr>
          <w:sz w:val="24"/>
          <w:szCs w:val="24"/>
        </w:rPr>
      </w:pPr>
      <w:r w:rsidRPr="00595714">
        <w:rPr>
          <w:sz w:val="24"/>
          <w:szCs w:val="24"/>
        </w:rPr>
        <w:t>:</w:t>
      </w:r>
      <w:r w:rsidRPr="00595714">
        <w:rPr>
          <w:sz w:val="24"/>
          <w:szCs w:val="24"/>
        </w:rPr>
        <w:tab/>
      </w:r>
      <w:r w:rsidRPr="00595714">
        <w:rPr>
          <w:sz w:val="24"/>
          <w:szCs w:val="24"/>
        </w:rPr>
        <w:tab/>
        <w:t>C-2014-2432346</w:t>
      </w:r>
    </w:p>
    <w:p w:rsidR="00595714" w:rsidRPr="00595714" w:rsidRDefault="00595714" w:rsidP="00595714">
      <w:pPr>
        <w:ind w:left="5040"/>
        <w:rPr>
          <w:sz w:val="24"/>
          <w:szCs w:val="24"/>
        </w:rPr>
      </w:pPr>
      <w:r w:rsidRPr="00595714">
        <w:rPr>
          <w:sz w:val="24"/>
          <w:szCs w:val="24"/>
        </w:rPr>
        <w:t>:</w:t>
      </w:r>
    </w:p>
    <w:p w:rsidR="00595714" w:rsidRPr="00595714" w:rsidRDefault="00595714" w:rsidP="00595714">
      <w:pPr>
        <w:rPr>
          <w:sz w:val="24"/>
          <w:szCs w:val="24"/>
        </w:rPr>
      </w:pPr>
      <w:r w:rsidRPr="00595714">
        <w:rPr>
          <w:sz w:val="24"/>
          <w:szCs w:val="24"/>
        </w:rPr>
        <w:t>Pennsylvania Electric Company and</w:t>
      </w:r>
      <w:r w:rsidRPr="00595714">
        <w:rPr>
          <w:sz w:val="24"/>
          <w:szCs w:val="24"/>
        </w:rPr>
        <w:tab/>
        <w:t xml:space="preserve"> </w:t>
      </w:r>
      <w:r w:rsidRPr="00595714">
        <w:rPr>
          <w:sz w:val="24"/>
          <w:szCs w:val="24"/>
        </w:rPr>
        <w:tab/>
      </w:r>
      <w:r w:rsidRPr="00595714">
        <w:rPr>
          <w:sz w:val="24"/>
          <w:szCs w:val="24"/>
        </w:rPr>
        <w:tab/>
        <w:t>:</w:t>
      </w:r>
    </w:p>
    <w:p w:rsidR="00595714" w:rsidRPr="00595714" w:rsidRDefault="00595714" w:rsidP="00595714">
      <w:pPr>
        <w:rPr>
          <w:sz w:val="24"/>
          <w:szCs w:val="24"/>
        </w:rPr>
      </w:pPr>
      <w:r w:rsidRPr="00595714">
        <w:rPr>
          <w:sz w:val="24"/>
          <w:szCs w:val="24"/>
        </w:rPr>
        <w:t>Hess Corporation</w:t>
      </w:r>
      <w:r w:rsidRPr="00595714">
        <w:rPr>
          <w:sz w:val="24"/>
          <w:szCs w:val="24"/>
        </w:rPr>
        <w:tab/>
      </w:r>
      <w:r w:rsidRPr="00595714">
        <w:rPr>
          <w:sz w:val="24"/>
          <w:szCs w:val="24"/>
        </w:rPr>
        <w:tab/>
      </w:r>
      <w:r w:rsidRPr="00595714">
        <w:rPr>
          <w:sz w:val="24"/>
          <w:szCs w:val="24"/>
        </w:rPr>
        <w:tab/>
      </w:r>
      <w:r w:rsidRPr="00595714">
        <w:rPr>
          <w:sz w:val="24"/>
          <w:szCs w:val="24"/>
        </w:rPr>
        <w:tab/>
      </w:r>
      <w:r w:rsidRPr="00595714">
        <w:rPr>
          <w:sz w:val="24"/>
          <w:szCs w:val="24"/>
        </w:rPr>
        <w:tab/>
        <w:t>:</w:t>
      </w:r>
    </w:p>
    <w:p w:rsidR="005C0E1E" w:rsidRDefault="005C0E1E"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D7713D" w:rsidRPr="00D7713D" w:rsidRDefault="008E3668" w:rsidP="00560DC5">
      <w:pPr>
        <w:tabs>
          <w:tab w:val="left" w:pos="0"/>
        </w:tabs>
        <w:spacing w:line="233" w:lineRule="auto"/>
        <w:jc w:val="center"/>
        <w:rPr>
          <w:b/>
          <w:sz w:val="24"/>
        </w:rPr>
      </w:pPr>
      <w:r>
        <w:rPr>
          <w:b/>
          <w:sz w:val="24"/>
        </w:rPr>
        <w:t xml:space="preserve">INITIAL </w:t>
      </w:r>
      <w:r w:rsidR="00D7713D" w:rsidRPr="00D7713D">
        <w:rPr>
          <w:b/>
          <w:sz w:val="24"/>
        </w:rPr>
        <w:t xml:space="preserve">DECISION AND </w:t>
      </w:r>
      <w:r w:rsidR="003E7933" w:rsidRPr="00D7713D">
        <w:rPr>
          <w:b/>
          <w:sz w:val="24"/>
        </w:rPr>
        <w:t xml:space="preserve">ORDER </w:t>
      </w:r>
    </w:p>
    <w:p w:rsidR="00332CA0" w:rsidRDefault="003E7933" w:rsidP="00560DC5">
      <w:pPr>
        <w:tabs>
          <w:tab w:val="left" w:pos="0"/>
        </w:tabs>
        <w:spacing w:line="233" w:lineRule="auto"/>
        <w:jc w:val="center"/>
        <w:rPr>
          <w:b/>
          <w:sz w:val="24"/>
          <w:u w:val="single"/>
        </w:rPr>
      </w:pPr>
      <w:r>
        <w:rPr>
          <w:b/>
          <w:sz w:val="24"/>
          <w:u w:val="single"/>
        </w:rPr>
        <w:t>GRANTING PETITION TO WITHDRAW COMPLAINT</w:t>
      </w:r>
    </w:p>
    <w:p w:rsidR="00332CA0" w:rsidRDefault="00332CA0" w:rsidP="00560DC5">
      <w:pPr>
        <w:tabs>
          <w:tab w:val="left" w:pos="0"/>
        </w:tabs>
        <w:spacing w:line="233" w:lineRule="auto"/>
        <w:jc w:val="both"/>
        <w:rPr>
          <w:sz w:val="24"/>
        </w:rPr>
      </w:pPr>
    </w:p>
    <w:p w:rsidR="00E90EA5" w:rsidRDefault="00E90EA5" w:rsidP="00560DC5">
      <w:pPr>
        <w:tabs>
          <w:tab w:val="left" w:pos="0"/>
        </w:tabs>
        <w:spacing w:line="233" w:lineRule="auto"/>
        <w:jc w:val="both"/>
        <w:rPr>
          <w:sz w:val="24"/>
        </w:rPr>
      </w:pPr>
    </w:p>
    <w:p w:rsidR="00D7713D" w:rsidRPr="00E90EA5" w:rsidRDefault="00E90EA5" w:rsidP="00E90EA5">
      <w:pPr>
        <w:tabs>
          <w:tab w:val="left" w:pos="0"/>
        </w:tabs>
        <w:jc w:val="center"/>
        <w:rPr>
          <w:sz w:val="24"/>
        </w:rPr>
      </w:pPr>
      <w:r w:rsidRPr="00E90EA5">
        <w:rPr>
          <w:sz w:val="24"/>
        </w:rPr>
        <w:t>Before</w:t>
      </w:r>
    </w:p>
    <w:p w:rsidR="00E90EA5" w:rsidRPr="00E90EA5" w:rsidRDefault="00E90EA5" w:rsidP="00E90EA5">
      <w:pPr>
        <w:tabs>
          <w:tab w:val="left" w:pos="0"/>
        </w:tabs>
        <w:jc w:val="center"/>
        <w:rPr>
          <w:sz w:val="24"/>
        </w:rPr>
      </w:pPr>
      <w:r w:rsidRPr="00E90EA5">
        <w:rPr>
          <w:sz w:val="24"/>
        </w:rPr>
        <w:t>Ma</w:t>
      </w:r>
      <w:r w:rsidR="009B36BE">
        <w:rPr>
          <w:sz w:val="24"/>
        </w:rPr>
        <w:t>r</w:t>
      </w:r>
      <w:r w:rsidRPr="00E90EA5">
        <w:rPr>
          <w:sz w:val="24"/>
        </w:rPr>
        <w:t>k A. Hoyer</w:t>
      </w:r>
    </w:p>
    <w:p w:rsidR="00E90EA5" w:rsidRDefault="00E90EA5" w:rsidP="00E90EA5">
      <w:pPr>
        <w:tabs>
          <w:tab w:val="left" w:pos="0"/>
        </w:tabs>
        <w:jc w:val="center"/>
        <w:rPr>
          <w:sz w:val="24"/>
        </w:rPr>
      </w:pPr>
      <w:r w:rsidRPr="00E90EA5">
        <w:rPr>
          <w:sz w:val="24"/>
        </w:rPr>
        <w:t>Administrative Law Judge</w:t>
      </w:r>
    </w:p>
    <w:p w:rsidR="00E90EA5" w:rsidRPr="00E90EA5" w:rsidRDefault="00E90EA5" w:rsidP="00E90EA5">
      <w:pPr>
        <w:tabs>
          <w:tab w:val="left" w:pos="0"/>
        </w:tabs>
        <w:jc w:val="center"/>
        <w:rPr>
          <w:sz w:val="24"/>
        </w:rPr>
      </w:pPr>
    </w:p>
    <w:p w:rsidR="00E90EA5" w:rsidRDefault="00E90EA5" w:rsidP="00E90EA5">
      <w:pPr>
        <w:tabs>
          <w:tab w:val="left" w:pos="0"/>
        </w:tabs>
        <w:jc w:val="center"/>
        <w:rPr>
          <w:sz w:val="24"/>
          <w:u w:val="single"/>
        </w:rPr>
      </w:pPr>
    </w:p>
    <w:p w:rsidR="00E90EA5" w:rsidRDefault="00E90EA5" w:rsidP="00E90EA5">
      <w:pPr>
        <w:tabs>
          <w:tab w:val="left" w:pos="0"/>
          <w:tab w:val="left" w:pos="1440"/>
        </w:tabs>
        <w:spacing w:line="360" w:lineRule="auto"/>
        <w:rPr>
          <w:sz w:val="24"/>
        </w:rPr>
      </w:pPr>
      <w:r>
        <w:rPr>
          <w:sz w:val="24"/>
        </w:rPr>
        <w:tab/>
        <w:t xml:space="preserve">This Initial Decision grants the Petition for Leave to Withdraw Complaint filed by Superior Tire &amp; Rubber Corporation.  </w:t>
      </w:r>
      <w:r w:rsidRPr="00E90EA5">
        <w:rPr>
          <w:i/>
          <w:sz w:val="24"/>
        </w:rPr>
        <w:t>See</w:t>
      </w:r>
      <w:r>
        <w:rPr>
          <w:sz w:val="24"/>
        </w:rPr>
        <w:t xml:space="preserve"> 52 </w:t>
      </w:r>
      <w:proofErr w:type="spellStart"/>
      <w:r>
        <w:rPr>
          <w:sz w:val="24"/>
        </w:rPr>
        <w:t>Pa.Code</w:t>
      </w:r>
      <w:proofErr w:type="spellEnd"/>
      <w:r>
        <w:rPr>
          <w:sz w:val="24"/>
        </w:rPr>
        <w:t xml:space="preserve"> § 5.94.</w:t>
      </w:r>
    </w:p>
    <w:p w:rsidR="00E90EA5" w:rsidRDefault="00E90EA5" w:rsidP="00E90EA5">
      <w:pPr>
        <w:tabs>
          <w:tab w:val="left" w:pos="0"/>
          <w:tab w:val="left" w:pos="1440"/>
        </w:tabs>
        <w:spacing w:line="360" w:lineRule="auto"/>
        <w:rPr>
          <w:sz w:val="24"/>
        </w:rPr>
      </w:pPr>
    </w:p>
    <w:p w:rsidR="00E90EA5" w:rsidRPr="00E90EA5" w:rsidRDefault="00E90EA5" w:rsidP="00E90EA5">
      <w:pPr>
        <w:tabs>
          <w:tab w:val="left" w:pos="0"/>
          <w:tab w:val="left" w:pos="1440"/>
        </w:tabs>
        <w:spacing w:line="360" w:lineRule="auto"/>
        <w:jc w:val="center"/>
        <w:rPr>
          <w:sz w:val="24"/>
          <w:u w:val="single"/>
        </w:rPr>
      </w:pPr>
      <w:r w:rsidRPr="00E90EA5">
        <w:rPr>
          <w:sz w:val="24"/>
          <w:u w:val="single"/>
        </w:rPr>
        <w:t>HISTORY OF THE PROCEEDING</w:t>
      </w:r>
    </w:p>
    <w:p w:rsidR="00E90EA5" w:rsidRDefault="00E90EA5" w:rsidP="00D7713D">
      <w:pPr>
        <w:tabs>
          <w:tab w:val="left" w:pos="0"/>
        </w:tabs>
        <w:spacing w:line="360" w:lineRule="auto"/>
        <w:jc w:val="center"/>
        <w:rPr>
          <w:sz w:val="24"/>
          <w:u w:val="single"/>
        </w:rPr>
      </w:pPr>
    </w:p>
    <w:p w:rsidR="00AA760E" w:rsidRDefault="00D7713D" w:rsidP="00D7713D">
      <w:pPr>
        <w:tabs>
          <w:tab w:val="left" w:pos="0"/>
        </w:tabs>
        <w:spacing w:line="360" w:lineRule="auto"/>
        <w:rPr>
          <w:sz w:val="24"/>
        </w:rPr>
      </w:pPr>
      <w:r>
        <w:rPr>
          <w:sz w:val="24"/>
        </w:rPr>
        <w:tab/>
      </w:r>
      <w:r>
        <w:rPr>
          <w:sz w:val="24"/>
        </w:rPr>
        <w:tab/>
      </w:r>
      <w:r w:rsidR="00E91BBD">
        <w:rPr>
          <w:sz w:val="24"/>
        </w:rPr>
        <w:t xml:space="preserve">On </w:t>
      </w:r>
      <w:r w:rsidR="006A4143">
        <w:rPr>
          <w:sz w:val="24"/>
        </w:rPr>
        <w:t xml:space="preserve">July </w:t>
      </w:r>
      <w:r w:rsidR="00E91BBD">
        <w:rPr>
          <w:sz w:val="24"/>
        </w:rPr>
        <w:t xml:space="preserve">17, 2014, </w:t>
      </w:r>
      <w:r w:rsidR="001F6BD5">
        <w:rPr>
          <w:sz w:val="24"/>
        </w:rPr>
        <w:t>Superior Tire &amp;</w:t>
      </w:r>
      <w:r w:rsidR="00F61FD4">
        <w:rPr>
          <w:sz w:val="24"/>
        </w:rPr>
        <w:t xml:space="preserve"> </w:t>
      </w:r>
      <w:r w:rsidR="001F6BD5">
        <w:rPr>
          <w:sz w:val="24"/>
        </w:rPr>
        <w:t xml:space="preserve">Rubber Corporation (“Complainant”) </w:t>
      </w:r>
      <w:r w:rsidR="00D733A9">
        <w:rPr>
          <w:sz w:val="24"/>
        </w:rPr>
        <w:t xml:space="preserve">filed a </w:t>
      </w:r>
      <w:r w:rsidR="00AA760E">
        <w:rPr>
          <w:sz w:val="24"/>
        </w:rPr>
        <w:t>F</w:t>
      </w:r>
      <w:r w:rsidR="001F6BD5">
        <w:rPr>
          <w:sz w:val="24"/>
        </w:rPr>
        <w:t xml:space="preserve">ormal </w:t>
      </w:r>
      <w:r w:rsidR="00AA760E">
        <w:rPr>
          <w:sz w:val="24"/>
        </w:rPr>
        <w:t>C</w:t>
      </w:r>
      <w:r w:rsidR="00D733A9">
        <w:rPr>
          <w:sz w:val="24"/>
        </w:rPr>
        <w:t xml:space="preserve">omplaint against </w:t>
      </w:r>
      <w:r w:rsidR="001F6BD5">
        <w:rPr>
          <w:sz w:val="24"/>
        </w:rPr>
        <w:t>Pennsylvania Electric Company (“</w:t>
      </w:r>
      <w:proofErr w:type="spellStart"/>
      <w:r w:rsidR="001F6BD5">
        <w:rPr>
          <w:sz w:val="24"/>
        </w:rPr>
        <w:t>Penelec</w:t>
      </w:r>
      <w:proofErr w:type="spellEnd"/>
      <w:r w:rsidR="001F6BD5">
        <w:rPr>
          <w:sz w:val="24"/>
        </w:rPr>
        <w:t>”) and Hess Corporation</w:t>
      </w:r>
      <w:r w:rsidR="00AA760E">
        <w:rPr>
          <w:sz w:val="24"/>
        </w:rPr>
        <w:t xml:space="preserve"> (“Hess”)</w:t>
      </w:r>
      <w:r w:rsidR="001F6BD5">
        <w:rPr>
          <w:sz w:val="24"/>
        </w:rPr>
        <w:t xml:space="preserve"> (hereinafter collectively referred to as “</w:t>
      </w:r>
      <w:r w:rsidR="00D733A9">
        <w:rPr>
          <w:sz w:val="24"/>
        </w:rPr>
        <w:t>Respondent</w:t>
      </w:r>
      <w:r w:rsidR="001F6BD5">
        <w:rPr>
          <w:sz w:val="24"/>
        </w:rPr>
        <w:t>s</w:t>
      </w:r>
      <w:r w:rsidR="00085CF8">
        <w:rPr>
          <w:sz w:val="24"/>
        </w:rPr>
        <w:t>”</w:t>
      </w:r>
      <w:r w:rsidR="001F6BD5">
        <w:rPr>
          <w:sz w:val="24"/>
        </w:rPr>
        <w:t xml:space="preserve">) alleging that there are incorrect charges on Complainant’s bill.  </w:t>
      </w:r>
      <w:r w:rsidR="00D733A9">
        <w:rPr>
          <w:sz w:val="24"/>
        </w:rPr>
        <w:t xml:space="preserve">On </w:t>
      </w:r>
      <w:r w:rsidR="001F6BD5">
        <w:rPr>
          <w:sz w:val="24"/>
        </w:rPr>
        <w:t xml:space="preserve">August 6, 2014, </w:t>
      </w:r>
      <w:proofErr w:type="spellStart"/>
      <w:r w:rsidR="001F6BD5">
        <w:rPr>
          <w:sz w:val="24"/>
        </w:rPr>
        <w:t>Penelec</w:t>
      </w:r>
      <w:proofErr w:type="spellEnd"/>
      <w:r w:rsidR="001F6BD5">
        <w:rPr>
          <w:sz w:val="24"/>
        </w:rPr>
        <w:t xml:space="preserve"> filed </w:t>
      </w:r>
      <w:r w:rsidR="00AA760E">
        <w:rPr>
          <w:sz w:val="24"/>
        </w:rPr>
        <w:t>P</w:t>
      </w:r>
      <w:r w:rsidR="001F6BD5">
        <w:rPr>
          <w:sz w:val="24"/>
        </w:rPr>
        <w:t>reliminary</w:t>
      </w:r>
      <w:r w:rsidR="00AA760E">
        <w:rPr>
          <w:sz w:val="24"/>
        </w:rPr>
        <w:t xml:space="preserve"> O</w:t>
      </w:r>
      <w:r w:rsidR="001F6BD5">
        <w:rPr>
          <w:sz w:val="24"/>
        </w:rPr>
        <w:t xml:space="preserve">bjections </w:t>
      </w:r>
      <w:r w:rsidR="00AA760E">
        <w:rPr>
          <w:sz w:val="24"/>
        </w:rPr>
        <w:t>and an Answer and New Matter.  Hess did not file a responsive pleading.</w:t>
      </w:r>
    </w:p>
    <w:p w:rsidR="00AA760E" w:rsidRDefault="00AA760E" w:rsidP="00D7713D">
      <w:pPr>
        <w:tabs>
          <w:tab w:val="left" w:pos="0"/>
        </w:tabs>
        <w:spacing w:line="360" w:lineRule="auto"/>
        <w:rPr>
          <w:sz w:val="24"/>
        </w:rPr>
      </w:pPr>
    </w:p>
    <w:p w:rsidR="00AA760E" w:rsidRDefault="00AA760E" w:rsidP="00D7713D">
      <w:pPr>
        <w:tabs>
          <w:tab w:val="left" w:pos="0"/>
        </w:tabs>
        <w:spacing w:line="360" w:lineRule="auto"/>
        <w:rPr>
          <w:sz w:val="24"/>
        </w:rPr>
      </w:pPr>
      <w:r>
        <w:rPr>
          <w:sz w:val="24"/>
        </w:rPr>
        <w:tab/>
      </w:r>
      <w:r>
        <w:rPr>
          <w:sz w:val="24"/>
        </w:rPr>
        <w:tab/>
        <w:t xml:space="preserve">On October 2, 2014, Jon Marti, Esquire entered his appearance on behalf of Complainant.  </w:t>
      </w:r>
    </w:p>
    <w:p w:rsidR="00AA760E" w:rsidRDefault="00AA760E" w:rsidP="00D7713D">
      <w:pPr>
        <w:tabs>
          <w:tab w:val="left" w:pos="0"/>
        </w:tabs>
        <w:spacing w:line="360" w:lineRule="auto"/>
        <w:rPr>
          <w:sz w:val="24"/>
        </w:rPr>
      </w:pPr>
    </w:p>
    <w:p w:rsidR="00092D95" w:rsidRDefault="00AA760E" w:rsidP="00D7713D">
      <w:pPr>
        <w:tabs>
          <w:tab w:val="left" w:pos="0"/>
        </w:tabs>
        <w:spacing w:line="360" w:lineRule="auto"/>
        <w:rPr>
          <w:sz w:val="24"/>
        </w:rPr>
      </w:pPr>
      <w:r>
        <w:rPr>
          <w:sz w:val="24"/>
        </w:rPr>
        <w:lastRenderedPageBreak/>
        <w:tab/>
      </w:r>
      <w:r>
        <w:rPr>
          <w:sz w:val="24"/>
        </w:rPr>
        <w:tab/>
      </w:r>
      <w:r w:rsidR="00092D95">
        <w:rPr>
          <w:sz w:val="24"/>
        </w:rPr>
        <w:t xml:space="preserve">On October 2, 2014, Complainant filed a Certificate of Satisfaction as to Respondent Pennsylvania Electric Company that was attached to the case as a withdrawal of complaint against </w:t>
      </w:r>
      <w:proofErr w:type="spellStart"/>
      <w:r w:rsidR="00092D95">
        <w:rPr>
          <w:sz w:val="24"/>
        </w:rPr>
        <w:t>Penelec</w:t>
      </w:r>
      <w:proofErr w:type="spellEnd"/>
      <w:r w:rsidR="00092D95">
        <w:rPr>
          <w:sz w:val="24"/>
        </w:rPr>
        <w:t xml:space="preserve"> by the Pennsylvania Public Utility Commission’s Secretary’s Bureau.  </w:t>
      </w:r>
    </w:p>
    <w:p w:rsidR="00D733A9" w:rsidRDefault="00092D95" w:rsidP="00D7713D">
      <w:pPr>
        <w:tabs>
          <w:tab w:val="left" w:pos="0"/>
        </w:tabs>
        <w:spacing w:line="360" w:lineRule="auto"/>
        <w:rPr>
          <w:sz w:val="24"/>
        </w:rPr>
      </w:pPr>
      <w:r>
        <w:rPr>
          <w:sz w:val="24"/>
        </w:rPr>
        <w:t xml:space="preserve">On October 10, 2014, Complainant filed a Petition for Leave to Withdraw Complaint (“Withdrawal”).  No objection to the Withdrawal was filed by either </w:t>
      </w:r>
      <w:proofErr w:type="spellStart"/>
      <w:r>
        <w:rPr>
          <w:sz w:val="24"/>
        </w:rPr>
        <w:t>Penelec</w:t>
      </w:r>
      <w:proofErr w:type="spellEnd"/>
      <w:r>
        <w:rPr>
          <w:sz w:val="24"/>
        </w:rPr>
        <w:t xml:space="preserve"> or Hess.    </w:t>
      </w:r>
      <w:r w:rsidR="00AA760E">
        <w:rPr>
          <w:sz w:val="24"/>
        </w:rPr>
        <w:t xml:space="preserve">  </w:t>
      </w:r>
      <w:r w:rsidR="001F6BD5">
        <w:rPr>
          <w:sz w:val="24"/>
        </w:rPr>
        <w:t xml:space="preserve"> </w:t>
      </w:r>
    </w:p>
    <w:p w:rsidR="00AA760E" w:rsidRDefault="00AA760E" w:rsidP="00D7713D">
      <w:pPr>
        <w:tabs>
          <w:tab w:val="left" w:pos="0"/>
        </w:tabs>
        <w:spacing w:line="360" w:lineRule="auto"/>
        <w:rPr>
          <w:sz w:val="24"/>
        </w:rPr>
      </w:pPr>
    </w:p>
    <w:p w:rsidR="006624D0" w:rsidRDefault="00EF0207" w:rsidP="00EF0207">
      <w:pPr>
        <w:widowControl w:val="0"/>
        <w:tabs>
          <w:tab w:val="left" w:pos="2160"/>
        </w:tabs>
        <w:autoSpaceDE w:val="0"/>
        <w:autoSpaceDN w:val="0"/>
        <w:adjustRightInd w:val="0"/>
        <w:spacing w:line="360" w:lineRule="auto"/>
        <w:ind w:firstLine="1440"/>
        <w:rPr>
          <w:sz w:val="24"/>
          <w:szCs w:val="24"/>
        </w:rPr>
      </w:pPr>
      <w:r>
        <w:rPr>
          <w:sz w:val="24"/>
          <w:szCs w:val="24"/>
        </w:rPr>
        <w:t xml:space="preserve">On April 28, 2015, an Interim Order Closing the Hearing Record was issued.  </w:t>
      </w:r>
      <w:r w:rsidR="00863BF7" w:rsidRPr="00863BF7">
        <w:rPr>
          <w:sz w:val="24"/>
          <w:szCs w:val="24"/>
        </w:rPr>
        <w:t xml:space="preserve">For the reasons set forth below, </w:t>
      </w:r>
      <w:r>
        <w:rPr>
          <w:sz w:val="24"/>
          <w:szCs w:val="24"/>
        </w:rPr>
        <w:t>Complainant’s</w:t>
      </w:r>
      <w:r w:rsidR="00863BF7">
        <w:rPr>
          <w:sz w:val="24"/>
          <w:szCs w:val="24"/>
        </w:rPr>
        <w:t xml:space="preserve"> </w:t>
      </w:r>
      <w:r>
        <w:rPr>
          <w:sz w:val="24"/>
          <w:szCs w:val="24"/>
        </w:rPr>
        <w:t>Withdrawal</w:t>
      </w:r>
      <w:r w:rsidR="00863BF7">
        <w:rPr>
          <w:sz w:val="24"/>
          <w:szCs w:val="24"/>
        </w:rPr>
        <w:t xml:space="preserve"> will be granted</w:t>
      </w:r>
      <w:r w:rsidR="00863BF7" w:rsidRPr="00863BF7">
        <w:rPr>
          <w:sz w:val="24"/>
          <w:szCs w:val="24"/>
        </w:rPr>
        <w:t>.</w:t>
      </w:r>
    </w:p>
    <w:p w:rsidR="008B6820" w:rsidRDefault="008B6820" w:rsidP="00984C51">
      <w:pPr>
        <w:widowControl w:val="0"/>
        <w:autoSpaceDE w:val="0"/>
        <w:autoSpaceDN w:val="0"/>
        <w:adjustRightInd w:val="0"/>
        <w:spacing w:line="360" w:lineRule="auto"/>
        <w:rPr>
          <w:sz w:val="24"/>
          <w:szCs w:val="24"/>
        </w:rPr>
      </w:pPr>
    </w:p>
    <w:p w:rsidR="00863BF7" w:rsidRPr="00863BF7" w:rsidRDefault="00863BF7" w:rsidP="00863BF7">
      <w:pPr>
        <w:widowControl w:val="0"/>
        <w:tabs>
          <w:tab w:val="left" w:pos="204"/>
        </w:tabs>
        <w:autoSpaceDE w:val="0"/>
        <w:autoSpaceDN w:val="0"/>
        <w:adjustRightInd w:val="0"/>
        <w:spacing w:line="360" w:lineRule="auto"/>
        <w:jc w:val="center"/>
        <w:rPr>
          <w:sz w:val="24"/>
          <w:szCs w:val="24"/>
        </w:rPr>
      </w:pPr>
      <w:r w:rsidRPr="00863BF7">
        <w:rPr>
          <w:sz w:val="24"/>
          <w:szCs w:val="24"/>
          <w:u w:val="single"/>
        </w:rPr>
        <w:t>FINDINGS OF FACT</w:t>
      </w:r>
    </w:p>
    <w:p w:rsidR="00863BF7" w:rsidRPr="00863BF7" w:rsidRDefault="00863BF7" w:rsidP="00863BF7">
      <w:pPr>
        <w:widowControl w:val="0"/>
        <w:tabs>
          <w:tab w:val="left" w:pos="204"/>
        </w:tabs>
        <w:autoSpaceDE w:val="0"/>
        <w:autoSpaceDN w:val="0"/>
        <w:adjustRightInd w:val="0"/>
        <w:spacing w:line="360" w:lineRule="auto"/>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r>
      <w:r w:rsidR="00A30A96">
        <w:rPr>
          <w:sz w:val="24"/>
        </w:rPr>
        <w:t xml:space="preserve">On October 10, 2014, Complainant filed a Petition for Leave to Withdraw Complaint.  </w:t>
      </w:r>
      <w:r w:rsidR="00372B24">
        <w:rPr>
          <w:sz w:val="24"/>
        </w:rPr>
        <w:t xml:space="preserve">  </w:t>
      </w:r>
      <w:r>
        <w:rPr>
          <w:sz w:val="24"/>
        </w:rPr>
        <w:t xml:space="preserve"> </w:t>
      </w:r>
    </w:p>
    <w:p w:rsidR="00863BF7" w:rsidRPr="00863BF7" w:rsidRDefault="00863BF7" w:rsidP="00863BF7">
      <w:pPr>
        <w:widowControl w:val="0"/>
        <w:tabs>
          <w:tab w:val="left" w:pos="1496"/>
          <w:tab w:val="left" w:pos="2239"/>
        </w:tabs>
        <w:autoSpaceDE w:val="0"/>
        <w:autoSpaceDN w:val="0"/>
        <w:adjustRightInd w:val="0"/>
        <w:spacing w:line="360" w:lineRule="auto"/>
        <w:ind w:firstLine="1440"/>
        <w:rPr>
          <w:sz w:val="24"/>
          <w:szCs w:val="24"/>
        </w:rPr>
      </w:pPr>
    </w:p>
    <w:p w:rsidR="00561998"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2.</w:t>
      </w:r>
      <w:r w:rsidRPr="00863BF7">
        <w:rPr>
          <w:sz w:val="24"/>
          <w:szCs w:val="24"/>
        </w:rPr>
        <w:tab/>
      </w:r>
      <w:r w:rsidR="00561998">
        <w:rPr>
          <w:sz w:val="24"/>
          <w:szCs w:val="24"/>
        </w:rPr>
        <w:t>Respondent</w:t>
      </w:r>
      <w:r w:rsidR="00595714">
        <w:rPr>
          <w:sz w:val="24"/>
          <w:szCs w:val="24"/>
        </w:rPr>
        <w:t xml:space="preserve">s, Pennsylvania Electric Company and Hess </w:t>
      </w:r>
      <w:proofErr w:type="gramStart"/>
      <w:r w:rsidR="00595714">
        <w:rPr>
          <w:sz w:val="24"/>
          <w:szCs w:val="24"/>
        </w:rPr>
        <w:t>Corporation,</w:t>
      </w:r>
      <w:proofErr w:type="gramEnd"/>
      <w:r w:rsidR="00595714">
        <w:rPr>
          <w:sz w:val="24"/>
          <w:szCs w:val="24"/>
        </w:rPr>
        <w:t xml:space="preserve"> </w:t>
      </w:r>
      <w:r w:rsidR="00561998">
        <w:rPr>
          <w:sz w:val="24"/>
          <w:szCs w:val="24"/>
        </w:rPr>
        <w:t>did not file</w:t>
      </w:r>
      <w:r w:rsidR="0093497E">
        <w:rPr>
          <w:sz w:val="24"/>
          <w:szCs w:val="24"/>
        </w:rPr>
        <w:t xml:space="preserve"> an objection to Complainant’s P</w:t>
      </w:r>
      <w:r w:rsidR="00561998">
        <w:rPr>
          <w:sz w:val="24"/>
          <w:szCs w:val="24"/>
        </w:rPr>
        <w:t xml:space="preserve">etition </w:t>
      </w:r>
      <w:r w:rsidR="0093497E">
        <w:rPr>
          <w:sz w:val="24"/>
          <w:szCs w:val="24"/>
        </w:rPr>
        <w:t>for L</w:t>
      </w:r>
      <w:r w:rsidR="00595714">
        <w:rPr>
          <w:sz w:val="24"/>
          <w:szCs w:val="24"/>
        </w:rPr>
        <w:t xml:space="preserve">eave </w:t>
      </w:r>
      <w:r w:rsidR="00561998">
        <w:rPr>
          <w:sz w:val="24"/>
          <w:szCs w:val="24"/>
        </w:rPr>
        <w:t xml:space="preserve">to </w:t>
      </w:r>
      <w:r w:rsidR="0093497E">
        <w:rPr>
          <w:sz w:val="24"/>
          <w:szCs w:val="24"/>
        </w:rPr>
        <w:t>W</w:t>
      </w:r>
      <w:r w:rsidR="00561998">
        <w:rPr>
          <w:sz w:val="24"/>
          <w:szCs w:val="24"/>
        </w:rPr>
        <w:t>ithdraw</w:t>
      </w:r>
      <w:r w:rsidR="00595714">
        <w:rPr>
          <w:sz w:val="24"/>
          <w:szCs w:val="24"/>
        </w:rPr>
        <w:t xml:space="preserve"> </w:t>
      </w:r>
      <w:r w:rsidR="0093497E">
        <w:rPr>
          <w:sz w:val="24"/>
          <w:szCs w:val="24"/>
        </w:rPr>
        <w:t>C</w:t>
      </w:r>
      <w:r w:rsidR="00595714">
        <w:rPr>
          <w:sz w:val="24"/>
          <w:szCs w:val="24"/>
        </w:rPr>
        <w:t>omplaint</w:t>
      </w:r>
      <w:r w:rsidR="00561998">
        <w:rPr>
          <w:sz w:val="24"/>
          <w:szCs w:val="24"/>
        </w:rPr>
        <w:t xml:space="preserve">.  </w:t>
      </w:r>
    </w:p>
    <w:p w:rsidR="00863BF7" w:rsidRDefault="00863BF7" w:rsidP="00C607C8">
      <w:pPr>
        <w:spacing w:line="360" w:lineRule="auto"/>
        <w:rPr>
          <w:sz w:val="24"/>
        </w:rPr>
      </w:pPr>
    </w:p>
    <w:p w:rsidR="00B92703" w:rsidRDefault="00B92703" w:rsidP="00B92703">
      <w:pPr>
        <w:spacing w:line="360" w:lineRule="auto"/>
        <w:jc w:val="center"/>
        <w:rPr>
          <w:sz w:val="24"/>
        </w:rPr>
      </w:pPr>
      <w:r>
        <w:rPr>
          <w:sz w:val="24"/>
          <w:u w:val="single"/>
        </w:rPr>
        <w:t>DISCUSSION</w:t>
      </w:r>
    </w:p>
    <w:p w:rsidR="00B92703" w:rsidRPr="00B92703" w:rsidRDefault="00B92703" w:rsidP="00B92703">
      <w:pPr>
        <w:spacing w:line="360" w:lineRule="auto"/>
        <w:jc w:val="center"/>
        <w:rPr>
          <w:sz w:val="24"/>
        </w:rPr>
      </w:pPr>
    </w:p>
    <w:p w:rsidR="005E47C5" w:rsidRDefault="005E47C5" w:rsidP="005E47C5">
      <w:pPr>
        <w:spacing w:line="360" w:lineRule="auto"/>
        <w:rPr>
          <w:sz w:val="24"/>
          <w:szCs w:val="24"/>
        </w:rPr>
      </w:pPr>
      <w:r>
        <w:rPr>
          <w:sz w:val="24"/>
        </w:rPr>
        <w:tab/>
      </w:r>
      <w:r>
        <w:rPr>
          <w:sz w:val="24"/>
        </w:rPr>
        <w:tab/>
        <w:t xml:space="preserve">Section 5.94 of the </w:t>
      </w:r>
      <w:r w:rsidRPr="00AC5340">
        <w:rPr>
          <w:sz w:val="24"/>
          <w:szCs w:val="24"/>
        </w:rPr>
        <w:t>Commission</w:t>
      </w:r>
      <w:r>
        <w:rPr>
          <w:sz w:val="24"/>
          <w:szCs w:val="24"/>
        </w:rPr>
        <w:t>’s</w:t>
      </w:r>
      <w:r w:rsidRPr="00AC5340">
        <w:rPr>
          <w:sz w:val="24"/>
          <w:szCs w:val="24"/>
        </w:rPr>
        <w:t xml:space="preserve"> regulations</w:t>
      </w:r>
      <w:r>
        <w:rPr>
          <w:sz w:val="24"/>
          <w:szCs w:val="24"/>
        </w:rPr>
        <w:t xml:space="preserve">, </w:t>
      </w:r>
      <w:r w:rsidRPr="00AC5340">
        <w:rPr>
          <w:sz w:val="24"/>
          <w:szCs w:val="24"/>
        </w:rPr>
        <w:t xml:space="preserve">52 </w:t>
      </w:r>
      <w:proofErr w:type="spellStart"/>
      <w:r w:rsidRPr="00AC5340">
        <w:rPr>
          <w:sz w:val="24"/>
          <w:szCs w:val="24"/>
        </w:rPr>
        <w:t>Pa.Code</w:t>
      </w:r>
      <w:proofErr w:type="spellEnd"/>
      <w:r w:rsidRPr="00AC5340">
        <w:rPr>
          <w:sz w:val="24"/>
          <w:szCs w:val="24"/>
        </w:rPr>
        <w:t xml:space="preserve"> §</w:t>
      </w:r>
      <w:r w:rsidR="00420F98">
        <w:rPr>
          <w:sz w:val="24"/>
          <w:szCs w:val="24"/>
        </w:rPr>
        <w:t xml:space="preserve"> </w:t>
      </w:r>
      <w:r w:rsidRPr="00AC5340">
        <w:rPr>
          <w:sz w:val="24"/>
          <w:szCs w:val="24"/>
        </w:rPr>
        <w:t>5.94</w:t>
      </w:r>
      <w:r>
        <w:rPr>
          <w:sz w:val="24"/>
          <w:szCs w:val="24"/>
        </w:rPr>
        <w:t xml:space="preserve">, </w:t>
      </w:r>
      <w:r w:rsidR="00A30A96">
        <w:rPr>
          <w:sz w:val="24"/>
          <w:szCs w:val="24"/>
        </w:rPr>
        <w:t xml:space="preserve">provides, </w:t>
      </w:r>
      <w:r>
        <w:rPr>
          <w:sz w:val="24"/>
          <w:szCs w:val="24"/>
        </w:rPr>
        <w:t xml:space="preserve">in relevant part, </w:t>
      </w:r>
      <w:r w:rsidR="00A30A96">
        <w:rPr>
          <w:sz w:val="24"/>
          <w:szCs w:val="24"/>
        </w:rPr>
        <w:t>as follows</w:t>
      </w:r>
      <w:r>
        <w:rPr>
          <w:sz w:val="24"/>
          <w:szCs w:val="24"/>
        </w:rPr>
        <w:t>:</w:t>
      </w:r>
    </w:p>
    <w:p w:rsidR="005E47C5" w:rsidRDefault="005E47C5" w:rsidP="005E47C5">
      <w:pPr>
        <w:ind w:left="1440" w:right="1080"/>
        <w:rPr>
          <w:sz w:val="24"/>
          <w:szCs w:val="24"/>
        </w:rPr>
      </w:pPr>
      <w:r>
        <w:rPr>
          <w:sz w:val="24"/>
          <w:szCs w:val="24"/>
        </w:rPr>
        <w:tab/>
        <w:t xml:space="preserve">(a) …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p w:rsidR="005E47C5" w:rsidRDefault="005E47C5" w:rsidP="00E13AB7">
      <w:pPr>
        <w:ind w:left="1440" w:right="1080"/>
        <w:rPr>
          <w:sz w:val="24"/>
          <w:szCs w:val="24"/>
        </w:rPr>
      </w:pPr>
    </w:p>
    <w:p w:rsidR="00E13AB7" w:rsidRDefault="00E13AB7" w:rsidP="00E13AB7">
      <w:pPr>
        <w:ind w:left="1440" w:right="1080"/>
        <w:rPr>
          <w:sz w:val="24"/>
          <w:szCs w:val="24"/>
        </w:rPr>
      </w:pPr>
    </w:p>
    <w:p w:rsidR="001E222C" w:rsidRDefault="005E47C5" w:rsidP="008B6820">
      <w:pPr>
        <w:tabs>
          <w:tab w:val="left" w:pos="-720"/>
        </w:tabs>
        <w:suppressAutoHyphens/>
        <w:autoSpaceDE w:val="0"/>
        <w:autoSpaceDN w:val="0"/>
        <w:spacing w:line="360" w:lineRule="auto"/>
        <w:rPr>
          <w:sz w:val="24"/>
          <w:szCs w:val="24"/>
        </w:rPr>
      </w:pPr>
      <w:r>
        <w:rPr>
          <w:spacing w:val="-3"/>
          <w:sz w:val="24"/>
          <w:szCs w:val="24"/>
        </w:rPr>
        <w:tab/>
      </w:r>
      <w:r w:rsidR="007021B7" w:rsidRPr="007021B7">
        <w:rPr>
          <w:spacing w:val="-3"/>
          <w:sz w:val="24"/>
          <w:szCs w:val="24"/>
        </w:rPr>
        <w:tab/>
      </w:r>
      <w:r w:rsidR="00FE0CB4">
        <w:rPr>
          <w:sz w:val="24"/>
          <w:szCs w:val="24"/>
        </w:rPr>
        <w:t xml:space="preserve">The filing of </w:t>
      </w:r>
      <w:r w:rsidR="008B6820">
        <w:rPr>
          <w:sz w:val="24"/>
          <w:szCs w:val="24"/>
        </w:rPr>
        <w:t>the instant co</w:t>
      </w:r>
      <w:r w:rsidR="00FE0CB4">
        <w:rPr>
          <w:sz w:val="24"/>
          <w:szCs w:val="24"/>
        </w:rPr>
        <w:t xml:space="preserve">mplaint and </w:t>
      </w:r>
      <w:proofErr w:type="spellStart"/>
      <w:r w:rsidR="00A30A96">
        <w:rPr>
          <w:sz w:val="24"/>
          <w:szCs w:val="24"/>
        </w:rPr>
        <w:t>Penelec’s</w:t>
      </w:r>
      <w:proofErr w:type="spellEnd"/>
      <w:r w:rsidR="00A30A96">
        <w:rPr>
          <w:sz w:val="24"/>
          <w:szCs w:val="24"/>
        </w:rPr>
        <w:t xml:space="preserve"> filing of </w:t>
      </w:r>
      <w:r w:rsidR="00A30A96">
        <w:rPr>
          <w:sz w:val="24"/>
        </w:rPr>
        <w:t>Preliminary Objections and an Answer and New Matter in response to the complaint</w:t>
      </w:r>
      <w:r w:rsidR="00FE0CB4">
        <w:rPr>
          <w:sz w:val="24"/>
          <w:szCs w:val="24"/>
        </w:rPr>
        <w:t xml:space="preserve"> constitutes a contested proceeding.  </w:t>
      </w:r>
      <w:r w:rsidR="00D45B03">
        <w:rPr>
          <w:sz w:val="24"/>
          <w:szCs w:val="24"/>
        </w:rPr>
        <w:t>Therefore</w:t>
      </w:r>
      <w:r w:rsidR="00A30A96">
        <w:rPr>
          <w:sz w:val="24"/>
          <w:szCs w:val="24"/>
        </w:rPr>
        <w:t>,</w:t>
      </w:r>
      <w:r w:rsidR="00D45B03">
        <w:rPr>
          <w:sz w:val="24"/>
          <w:szCs w:val="24"/>
        </w:rPr>
        <w:t xml:space="preserve"> the </w:t>
      </w:r>
      <w:r w:rsidR="00A30A96">
        <w:rPr>
          <w:sz w:val="24"/>
          <w:szCs w:val="24"/>
        </w:rPr>
        <w:t>Withdrawal</w:t>
      </w:r>
      <w:r w:rsidR="00D45B03">
        <w:rPr>
          <w:sz w:val="24"/>
          <w:szCs w:val="24"/>
        </w:rPr>
        <w:t xml:space="preserve"> must be considered under the provisions of Section 5.94.  </w:t>
      </w:r>
      <w:r w:rsidR="00E73258">
        <w:rPr>
          <w:sz w:val="24"/>
          <w:szCs w:val="24"/>
        </w:rPr>
        <w:t xml:space="preserve">In </w:t>
      </w:r>
      <w:r w:rsidR="008B6820">
        <w:rPr>
          <w:sz w:val="24"/>
          <w:szCs w:val="24"/>
        </w:rPr>
        <w:t>its</w:t>
      </w:r>
      <w:r w:rsidR="00E73258">
        <w:rPr>
          <w:sz w:val="24"/>
          <w:szCs w:val="24"/>
        </w:rPr>
        <w:t xml:space="preserve"> </w:t>
      </w:r>
      <w:r w:rsidR="00A30A96">
        <w:rPr>
          <w:sz w:val="24"/>
          <w:szCs w:val="24"/>
        </w:rPr>
        <w:lastRenderedPageBreak/>
        <w:t xml:space="preserve">Withdrawal, Complainant averred, </w:t>
      </w:r>
      <w:r w:rsidR="00A30A96">
        <w:rPr>
          <w:i/>
          <w:sz w:val="24"/>
          <w:szCs w:val="24"/>
        </w:rPr>
        <w:t xml:space="preserve">inter </w:t>
      </w:r>
      <w:r w:rsidR="00A30A96" w:rsidRPr="00A30A96">
        <w:rPr>
          <w:i/>
          <w:sz w:val="24"/>
          <w:szCs w:val="24"/>
        </w:rPr>
        <w:t>alia</w:t>
      </w:r>
      <w:r w:rsidR="00A30A96">
        <w:rPr>
          <w:sz w:val="24"/>
          <w:szCs w:val="24"/>
        </w:rPr>
        <w:t>,</w:t>
      </w:r>
      <w:r w:rsidR="00A30A96">
        <w:rPr>
          <w:i/>
          <w:sz w:val="24"/>
          <w:szCs w:val="24"/>
        </w:rPr>
        <w:t xml:space="preserve"> </w:t>
      </w:r>
      <w:r w:rsidR="00A30A96">
        <w:rPr>
          <w:sz w:val="24"/>
          <w:szCs w:val="24"/>
        </w:rPr>
        <w:t xml:space="preserve">that it understands that the Commission lacks jurisdiction </w:t>
      </w:r>
      <w:r w:rsidR="00D32E2A">
        <w:rPr>
          <w:sz w:val="24"/>
          <w:szCs w:val="24"/>
        </w:rPr>
        <w:t xml:space="preserve">to provide refunds or adjust rates billed by Hess, an electric generation supplier.  </w:t>
      </w:r>
      <w:r w:rsidR="00561998">
        <w:rPr>
          <w:sz w:val="24"/>
          <w:szCs w:val="24"/>
        </w:rPr>
        <w:t>Respondent</w:t>
      </w:r>
      <w:r w:rsidR="00D32E2A">
        <w:rPr>
          <w:sz w:val="24"/>
          <w:szCs w:val="24"/>
        </w:rPr>
        <w:t>s</w:t>
      </w:r>
      <w:r w:rsidR="00561998">
        <w:rPr>
          <w:sz w:val="24"/>
          <w:szCs w:val="24"/>
        </w:rPr>
        <w:t xml:space="preserve"> </w:t>
      </w:r>
      <w:r w:rsidR="00E73258">
        <w:rPr>
          <w:sz w:val="24"/>
          <w:szCs w:val="24"/>
        </w:rPr>
        <w:t>did not object to</w:t>
      </w:r>
      <w:r w:rsidR="008B6820">
        <w:rPr>
          <w:sz w:val="24"/>
          <w:szCs w:val="24"/>
        </w:rPr>
        <w:t xml:space="preserve"> the </w:t>
      </w:r>
      <w:r w:rsidR="00E73258">
        <w:rPr>
          <w:sz w:val="24"/>
          <w:szCs w:val="24"/>
        </w:rPr>
        <w:t xml:space="preserve">petition </w:t>
      </w:r>
      <w:r w:rsidR="00D32E2A">
        <w:rPr>
          <w:sz w:val="24"/>
          <w:szCs w:val="24"/>
        </w:rPr>
        <w:t xml:space="preserve">for leave </w:t>
      </w:r>
      <w:r w:rsidR="00E73258">
        <w:rPr>
          <w:sz w:val="24"/>
          <w:szCs w:val="24"/>
        </w:rPr>
        <w:t xml:space="preserve">to withdraw </w:t>
      </w:r>
      <w:r w:rsidR="008B6820">
        <w:rPr>
          <w:sz w:val="24"/>
          <w:szCs w:val="24"/>
        </w:rPr>
        <w:t>the</w:t>
      </w:r>
      <w:r w:rsidR="00E73258">
        <w:rPr>
          <w:sz w:val="24"/>
          <w:szCs w:val="24"/>
        </w:rPr>
        <w:t xml:space="preserve"> complaint. </w:t>
      </w:r>
    </w:p>
    <w:p w:rsidR="002C13FC" w:rsidRDefault="002C13FC" w:rsidP="00B92703">
      <w:pPr>
        <w:spacing w:line="360" w:lineRule="auto"/>
        <w:rPr>
          <w:sz w:val="24"/>
          <w:szCs w:val="24"/>
        </w:rPr>
      </w:pPr>
    </w:p>
    <w:p w:rsidR="00E73258" w:rsidRDefault="00FE7A9F" w:rsidP="00561998">
      <w:pPr>
        <w:widowControl w:val="0"/>
        <w:autoSpaceDE w:val="0"/>
        <w:autoSpaceDN w:val="0"/>
        <w:adjustRightInd w:val="0"/>
        <w:spacing w:line="360" w:lineRule="auto"/>
        <w:ind w:firstLine="1440"/>
        <w:rPr>
          <w:sz w:val="24"/>
          <w:szCs w:val="24"/>
        </w:rPr>
      </w:pPr>
      <w:r>
        <w:rPr>
          <w:sz w:val="24"/>
          <w:szCs w:val="24"/>
        </w:rPr>
        <w:t xml:space="preserve">Section 703(a) of the Public Utility Code, </w:t>
      </w:r>
      <w:proofErr w:type="gramStart"/>
      <w:r>
        <w:rPr>
          <w:sz w:val="24"/>
          <w:szCs w:val="24"/>
        </w:rPr>
        <w:t xml:space="preserve">66 </w:t>
      </w:r>
      <w:proofErr w:type="spellStart"/>
      <w:r>
        <w:rPr>
          <w:sz w:val="24"/>
          <w:szCs w:val="24"/>
        </w:rPr>
        <w:t>Pa.C.S</w:t>
      </w:r>
      <w:proofErr w:type="spellEnd"/>
      <w:proofErr w:type="gramEnd"/>
      <w:r>
        <w:rPr>
          <w:sz w:val="24"/>
          <w:szCs w:val="24"/>
        </w:rPr>
        <w:t>. § 703(a), provides for dismissal of a complaint without a hearing, if in the Com</w:t>
      </w:r>
      <w:r w:rsidR="004F46F1">
        <w:rPr>
          <w:sz w:val="24"/>
          <w:szCs w:val="24"/>
        </w:rPr>
        <w:t>mis</w:t>
      </w:r>
      <w:r>
        <w:rPr>
          <w:sz w:val="24"/>
          <w:szCs w:val="24"/>
        </w:rPr>
        <w:t>s</w:t>
      </w:r>
      <w:r w:rsidR="004F46F1">
        <w:rPr>
          <w:sz w:val="24"/>
          <w:szCs w:val="24"/>
        </w:rPr>
        <w:t>i</w:t>
      </w:r>
      <w:r>
        <w:rPr>
          <w:sz w:val="24"/>
          <w:szCs w:val="24"/>
        </w:rPr>
        <w:t xml:space="preserve">on’s opinion, a hearing is not necessary in the public interest.  In </w:t>
      </w:r>
      <w:r w:rsidR="00420F98">
        <w:rPr>
          <w:sz w:val="24"/>
          <w:szCs w:val="24"/>
        </w:rPr>
        <w:t xml:space="preserve">the </w:t>
      </w:r>
      <w:r w:rsidR="00413A5F">
        <w:rPr>
          <w:sz w:val="24"/>
          <w:szCs w:val="24"/>
        </w:rPr>
        <w:t>instant case</w:t>
      </w:r>
      <w:r>
        <w:rPr>
          <w:sz w:val="24"/>
          <w:szCs w:val="24"/>
        </w:rPr>
        <w:t>,</w:t>
      </w:r>
      <w:r w:rsidR="00D32E2A">
        <w:rPr>
          <w:sz w:val="24"/>
          <w:szCs w:val="24"/>
        </w:rPr>
        <w:t xml:space="preserve"> Complainant</w:t>
      </w:r>
      <w:r w:rsidR="00561998">
        <w:rPr>
          <w:sz w:val="24"/>
          <w:szCs w:val="24"/>
        </w:rPr>
        <w:t xml:space="preserve"> </w:t>
      </w:r>
      <w:r>
        <w:rPr>
          <w:sz w:val="24"/>
          <w:szCs w:val="24"/>
        </w:rPr>
        <w:t xml:space="preserve">has </w:t>
      </w:r>
      <w:r w:rsidR="0090415D">
        <w:rPr>
          <w:sz w:val="24"/>
          <w:szCs w:val="24"/>
        </w:rPr>
        <w:t>expresse</w:t>
      </w:r>
      <w:r w:rsidR="00B539BE">
        <w:rPr>
          <w:sz w:val="24"/>
          <w:szCs w:val="24"/>
        </w:rPr>
        <w:t>d</w:t>
      </w:r>
      <w:r w:rsidR="0090415D">
        <w:rPr>
          <w:sz w:val="24"/>
          <w:szCs w:val="24"/>
        </w:rPr>
        <w:t xml:space="preserve"> its intent to </w:t>
      </w:r>
      <w:r w:rsidR="00F81E08">
        <w:rPr>
          <w:sz w:val="24"/>
          <w:szCs w:val="24"/>
        </w:rPr>
        <w:t>no longer pursue</w:t>
      </w:r>
      <w:r w:rsidR="0090415D">
        <w:rPr>
          <w:sz w:val="24"/>
          <w:szCs w:val="24"/>
        </w:rPr>
        <w:t xml:space="preserve"> the </w:t>
      </w:r>
      <w:r>
        <w:rPr>
          <w:sz w:val="24"/>
          <w:szCs w:val="24"/>
        </w:rPr>
        <w:t xml:space="preserve">complaint. </w:t>
      </w:r>
      <w:r w:rsidR="00420F98">
        <w:rPr>
          <w:sz w:val="24"/>
          <w:szCs w:val="24"/>
        </w:rPr>
        <w:t xml:space="preserve"> </w:t>
      </w:r>
      <w:r w:rsidR="00413A5F">
        <w:rPr>
          <w:sz w:val="24"/>
          <w:szCs w:val="24"/>
        </w:rPr>
        <w:t>Thus</w:t>
      </w:r>
      <w:r>
        <w:rPr>
          <w:sz w:val="24"/>
          <w:szCs w:val="24"/>
        </w:rPr>
        <w:t xml:space="preserve">, proceeding to hearing would not be in the public interest. </w:t>
      </w:r>
    </w:p>
    <w:p w:rsidR="00D32E2A" w:rsidRPr="00863BF7" w:rsidRDefault="00D32E2A" w:rsidP="00561998">
      <w:pPr>
        <w:widowControl w:val="0"/>
        <w:autoSpaceDE w:val="0"/>
        <w:autoSpaceDN w:val="0"/>
        <w:adjustRightInd w:val="0"/>
        <w:spacing w:line="360" w:lineRule="auto"/>
        <w:ind w:firstLine="1440"/>
        <w:rPr>
          <w:sz w:val="24"/>
          <w:szCs w:val="24"/>
        </w:rPr>
      </w:pPr>
    </w:p>
    <w:p w:rsidR="00E73258" w:rsidRPr="00863BF7" w:rsidRDefault="00413A5F" w:rsidP="00E73258">
      <w:pPr>
        <w:widowControl w:val="0"/>
        <w:autoSpaceDE w:val="0"/>
        <w:autoSpaceDN w:val="0"/>
        <w:adjustRightInd w:val="0"/>
        <w:spacing w:line="360" w:lineRule="auto"/>
        <w:ind w:firstLine="1440"/>
        <w:rPr>
          <w:sz w:val="24"/>
          <w:szCs w:val="24"/>
        </w:rPr>
      </w:pPr>
      <w:r>
        <w:rPr>
          <w:sz w:val="24"/>
          <w:szCs w:val="24"/>
        </w:rPr>
        <w:t>Accordingly, g</w:t>
      </w:r>
      <w:r w:rsidR="00E73258" w:rsidRPr="00863BF7">
        <w:rPr>
          <w:sz w:val="24"/>
          <w:szCs w:val="24"/>
        </w:rPr>
        <w:t xml:space="preserve">ranting </w:t>
      </w:r>
      <w:r w:rsidR="00D32E2A">
        <w:rPr>
          <w:sz w:val="24"/>
          <w:szCs w:val="24"/>
        </w:rPr>
        <w:t xml:space="preserve">Complainant’s petition for leave </w:t>
      </w:r>
      <w:r w:rsidR="00E73258" w:rsidRPr="00863BF7">
        <w:rPr>
          <w:sz w:val="24"/>
          <w:szCs w:val="24"/>
        </w:rPr>
        <w:t xml:space="preserve">to withdraw </w:t>
      </w:r>
      <w:r w:rsidR="008B6820">
        <w:rPr>
          <w:sz w:val="24"/>
          <w:szCs w:val="24"/>
        </w:rPr>
        <w:t>the</w:t>
      </w:r>
      <w:r>
        <w:rPr>
          <w:sz w:val="24"/>
          <w:szCs w:val="24"/>
        </w:rPr>
        <w:t xml:space="preserve"> complaint w</w:t>
      </w:r>
      <w:r w:rsidR="00E73258" w:rsidRPr="00863BF7">
        <w:rPr>
          <w:sz w:val="24"/>
          <w:szCs w:val="24"/>
        </w:rPr>
        <w:t xml:space="preserve">ill terminate the litigation, </w:t>
      </w:r>
      <w:r w:rsidR="00046465">
        <w:rPr>
          <w:sz w:val="24"/>
          <w:szCs w:val="24"/>
        </w:rPr>
        <w:t xml:space="preserve">and thereby </w:t>
      </w:r>
      <w:r>
        <w:rPr>
          <w:sz w:val="24"/>
          <w:szCs w:val="24"/>
        </w:rPr>
        <w:t xml:space="preserve">save the parties and the Commission </w:t>
      </w:r>
      <w:r w:rsidR="00E73258" w:rsidRPr="00863BF7">
        <w:rPr>
          <w:sz w:val="24"/>
          <w:szCs w:val="24"/>
        </w:rPr>
        <w:t xml:space="preserve">the costs in time and money </w:t>
      </w:r>
      <w:r w:rsidR="00561998">
        <w:rPr>
          <w:sz w:val="24"/>
          <w:szCs w:val="24"/>
        </w:rPr>
        <w:t xml:space="preserve">of </w:t>
      </w:r>
      <w:r>
        <w:rPr>
          <w:sz w:val="24"/>
          <w:szCs w:val="24"/>
        </w:rPr>
        <w:t>litigating this matter to conclusion</w:t>
      </w:r>
      <w:r w:rsidR="00046465">
        <w:rPr>
          <w:sz w:val="24"/>
          <w:szCs w:val="24"/>
        </w:rPr>
        <w:t xml:space="preserve"> </w:t>
      </w:r>
      <w:r>
        <w:rPr>
          <w:sz w:val="24"/>
          <w:szCs w:val="24"/>
        </w:rPr>
        <w:t xml:space="preserve">without impacting the public interest. </w:t>
      </w:r>
    </w:p>
    <w:p w:rsidR="00E73258" w:rsidRPr="00863BF7" w:rsidRDefault="00E73258" w:rsidP="00E73258">
      <w:pPr>
        <w:widowControl w:val="0"/>
        <w:tabs>
          <w:tab w:val="left" w:pos="1496"/>
        </w:tabs>
        <w:autoSpaceDE w:val="0"/>
        <w:autoSpaceDN w:val="0"/>
        <w:adjustRightInd w:val="0"/>
        <w:spacing w:line="360" w:lineRule="auto"/>
        <w:rPr>
          <w:sz w:val="24"/>
          <w:szCs w:val="24"/>
        </w:rPr>
      </w:pPr>
    </w:p>
    <w:p w:rsidR="00B92703" w:rsidRPr="00D7713D" w:rsidRDefault="00B92703" w:rsidP="00B92703">
      <w:pPr>
        <w:widowControl w:val="0"/>
        <w:tabs>
          <w:tab w:val="left" w:pos="1496"/>
        </w:tabs>
        <w:autoSpaceDE w:val="0"/>
        <w:autoSpaceDN w:val="0"/>
        <w:adjustRightInd w:val="0"/>
        <w:spacing w:line="360" w:lineRule="auto"/>
        <w:jc w:val="center"/>
        <w:outlineLvl w:val="0"/>
        <w:rPr>
          <w:sz w:val="24"/>
          <w:szCs w:val="24"/>
        </w:rPr>
      </w:pPr>
      <w:r w:rsidRPr="00D7713D">
        <w:rPr>
          <w:sz w:val="24"/>
          <w:szCs w:val="24"/>
          <w:u w:val="single"/>
        </w:rPr>
        <w:t>CONCLUSIONS OF LAW</w:t>
      </w:r>
    </w:p>
    <w:p w:rsidR="00B92703" w:rsidRPr="00D7713D" w:rsidRDefault="00B92703" w:rsidP="00B92703">
      <w:pPr>
        <w:tabs>
          <w:tab w:val="left" w:pos="1496"/>
        </w:tabs>
        <w:spacing w:line="360" w:lineRule="auto"/>
        <w:rPr>
          <w:sz w:val="24"/>
          <w:szCs w:val="24"/>
        </w:rPr>
      </w:pP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1.</w:t>
      </w:r>
      <w:r w:rsidRPr="00D7713D">
        <w:rPr>
          <w:sz w:val="24"/>
          <w:szCs w:val="24"/>
        </w:rPr>
        <w:tab/>
        <w:t>The Commission has jurisdiction over the subject matter and the parties to this proceeding.</w:t>
      </w:r>
      <w:r w:rsidR="00E40B61">
        <w:rPr>
          <w:sz w:val="24"/>
          <w:szCs w:val="24"/>
        </w:rPr>
        <w:t xml:space="preserve">  </w:t>
      </w:r>
      <w:proofErr w:type="gramStart"/>
      <w:r w:rsidR="00E40B61">
        <w:rPr>
          <w:sz w:val="24"/>
          <w:szCs w:val="24"/>
        </w:rPr>
        <w:t xml:space="preserve">66 </w:t>
      </w:r>
      <w:proofErr w:type="spellStart"/>
      <w:r w:rsidR="00E40B61">
        <w:rPr>
          <w:sz w:val="24"/>
          <w:szCs w:val="24"/>
        </w:rPr>
        <w:t>Pa.C.S</w:t>
      </w:r>
      <w:proofErr w:type="spellEnd"/>
      <w:r w:rsidR="00E40B61">
        <w:rPr>
          <w:sz w:val="24"/>
          <w:szCs w:val="24"/>
        </w:rPr>
        <w:t>.</w:t>
      </w:r>
      <w:proofErr w:type="gramEnd"/>
      <w:r w:rsidR="00E40B61">
        <w:rPr>
          <w:sz w:val="24"/>
          <w:szCs w:val="24"/>
        </w:rPr>
        <w:t xml:space="preserve"> § 701.</w:t>
      </w: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B92703" w:rsidRPr="00D7713D" w:rsidRDefault="00B92703" w:rsidP="004F46F1">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2.</w:t>
      </w:r>
      <w:r w:rsidRPr="00D7713D">
        <w:rPr>
          <w:sz w:val="24"/>
          <w:szCs w:val="24"/>
        </w:rPr>
        <w:tab/>
      </w:r>
      <w:r w:rsidR="00D1157C">
        <w:rPr>
          <w:sz w:val="24"/>
          <w:szCs w:val="24"/>
        </w:rPr>
        <w:t>Section 5.94</w:t>
      </w:r>
      <w:r w:rsidR="00BA24ED">
        <w:rPr>
          <w:sz w:val="24"/>
          <w:szCs w:val="24"/>
        </w:rPr>
        <w:t xml:space="preserve"> of the Commission’s </w:t>
      </w:r>
      <w:r w:rsidR="004F46F1" w:rsidRPr="004F46F1">
        <w:rPr>
          <w:sz w:val="24"/>
          <w:szCs w:val="24"/>
        </w:rPr>
        <w:t>Rules of Practice and Procedure</w:t>
      </w:r>
      <w:r w:rsidR="00BA24ED">
        <w:rPr>
          <w:sz w:val="24"/>
          <w:szCs w:val="24"/>
        </w:rPr>
        <w:t xml:space="preserve">, </w:t>
      </w:r>
      <w:r w:rsidRPr="00D7713D">
        <w:rPr>
          <w:sz w:val="24"/>
          <w:szCs w:val="24"/>
        </w:rPr>
        <w:t>52</w:t>
      </w:r>
      <w:r w:rsidR="003B67D5">
        <w:rPr>
          <w:sz w:val="24"/>
          <w:szCs w:val="24"/>
        </w:rPr>
        <w:t> </w:t>
      </w:r>
      <w:proofErr w:type="spellStart"/>
      <w:r w:rsidRPr="00D7713D">
        <w:rPr>
          <w:sz w:val="24"/>
          <w:szCs w:val="24"/>
        </w:rPr>
        <w:t>Pa.Code</w:t>
      </w:r>
      <w:proofErr w:type="spellEnd"/>
      <w:r w:rsidRPr="00D7713D">
        <w:rPr>
          <w:sz w:val="24"/>
          <w:szCs w:val="24"/>
        </w:rPr>
        <w:t xml:space="preserve"> §</w:t>
      </w:r>
      <w:r w:rsidR="006624D0">
        <w:rPr>
          <w:sz w:val="24"/>
          <w:szCs w:val="24"/>
        </w:rPr>
        <w:t xml:space="preserve"> </w:t>
      </w:r>
      <w:r w:rsidRPr="00D7713D">
        <w:rPr>
          <w:sz w:val="24"/>
          <w:szCs w:val="24"/>
        </w:rPr>
        <w:t>5.94</w:t>
      </w:r>
      <w:r w:rsidR="00BA24ED">
        <w:rPr>
          <w:sz w:val="24"/>
          <w:szCs w:val="24"/>
        </w:rPr>
        <w:t>,</w:t>
      </w:r>
      <w:r w:rsidRPr="00D7713D">
        <w:rPr>
          <w:sz w:val="24"/>
          <w:szCs w:val="24"/>
        </w:rPr>
        <w:t xml:space="preserve"> permit</w:t>
      </w:r>
      <w:r w:rsidR="00BA24ED">
        <w:rPr>
          <w:sz w:val="24"/>
          <w:szCs w:val="24"/>
        </w:rPr>
        <w:t>s</w:t>
      </w:r>
      <w:r w:rsidRPr="00D7713D">
        <w:rPr>
          <w:sz w:val="24"/>
          <w:szCs w:val="24"/>
        </w:rPr>
        <w:t xml:space="preserve"> </w:t>
      </w:r>
      <w:r w:rsidR="00BA24ED">
        <w:rPr>
          <w:sz w:val="24"/>
          <w:szCs w:val="24"/>
        </w:rPr>
        <w:t xml:space="preserve">a party </w:t>
      </w:r>
      <w:r w:rsidRPr="00D7713D">
        <w:rPr>
          <w:sz w:val="24"/>
          <w:szCs w:val="24"/>
        </w:rPr>
        <w:t>to withdraw</w:t>
      </w:r>
      <w:r w:rsidR="00BA24ED">
        <w:rPr>
          <w:sz w:val="24"/>
          <w:szCs w:val="24"/>
        </w:rPr>
        <w:t xml:space="preserve"> a pleading</w:t>
      </w:r>
      <w:r w:rsidRPr="00D7713D">
        <w:rPr>
          <w:sz w:val="24"/>
          <w:szCs w:val="24"/>
        </w:rPr>
        <w:t xml:space="preserve"> in a contested proceeding by permission</w:t>
      </w:r>
      <w:r w:rsidR="00BA24ED">
        <w:rPr>
          <w:sz w:val="24"/>
          <w:szCs w:val="24"/>
        </w:rPr>
        <w:t xml:space="preserve"> </w:t>
      </w:r>
      <w:r w:rsidRPr="00D7713D">
        <w:rPr>
          <w:sz w:val="24"/>
          <w:szCs w:val="24"/>
        </w:rPr>
        <w:t>of the presiding officer or Commission.</w:t>
      </w:r>
      <w:r w:rsidR="00E40B61">
        <w:rPr>
          <w:sz w:val="24"/>
          <w:szCs w:val="24"/>
        </w:rPr>
        <w:t xml:space="preserve">  </w:t>
      </w:r>
      <w:proofErr w:type="gramStart"/>
      <w:r w:rsidR="00E40B61">
        <w:rPr>
          <w:sz w:val="24"/>
          <w:szCs w:val="24"/>
        </w:rPr>
        <w:t xml:space="preserve">52 </w:t>
      </w:r>
      <w:proofErr w:type="spellStart"/>
      <w:r w:rsidR="00E40B61">
        <w:rPr>
          <w:sz w:val="24"/>
          <w:szCs w:val="24"/>
        </w:rPr>
        <w:t>Pa.Code</w:t>
      </w:r>
      <w:proofErr w:type="spellEnd"/>
      <w:r w:rsidR="00E40B61">
        <w:rPr>
          <w:sz w:val="24"/>
          <w:szCs w:val="24"/>
        </w:rPr>
        <w:t xml:space="preserve"> § 5.94.</w:t>
      </w:r>
      <w:proofErr w:type="gramEnd"/>
    </w:p>
    <w:p w:rsidR="00B92703" w:rsidRPr="00D7713D" w:rsidRDefault="00B92703" w:rsidP="00B92703">
      <w:pPr>
        <w:tabs>
          <w:tab w:val="left" w:pos="1496"/>
          <w:tab w:val="left" w:pos="2239"/>
        </w:tabs>
        <w:spacing w:line="360" w:lineRule="auto"/>
        <w:rPr>
          <w:sz w:val="24"/>
          <w:szCs w:val="24"/>
        </w:rPr>
      </w:pPr>
    </w:p>
    <w:p w:rsidR="00B92703" w:rsidRPr="00D7713D" w:rsidRDefault="00264A68" w:rsidP="00B92703">
      <w:pPr>
        <w:widowControl w:val="0"/>
        <w:tabs>
          <w:tab w:val="left" w:pos="1496"/>
          <w:tab w:val="left" w:pos="2239"/>
        </w:tabs>
        <w:autoSpaceDE w:val="0"/>
        <w:autoSpaceDN w:val="0"/>
        <w:adjustRightInd w:val="0"/>
        <w:spacing w:line="360" w:lineRule="auto"/>
        <w:ind w:firstLine="1496"/>
        <w:rPr>
          <w:sz w:val="24"/>
          <w:szCs w:val="24"/>
        </w:rPr>
      </w:pPr>
      <w:r>
        <w:rPr>
          <w:sz w:val="24"/>
          <w:szCs w:val="24"/>
        </w:rPr>
        <w:t>3</w:t>
      </w:r>
      <w:r w:rsidR="00B92703" w:rsidRPr="00D7713D">
        <w:rPr>
          <w:sz w:val="24"/>
          <w:szCs w:val="24"/>
        </w:rPr>
        <w:t>.</w:t>
      </w:r>
      <w:r w:rsidR="00B92703" w:rsidRPr="00D7713D">
        <w:rPr>
          <w:sz w:val="24"/>
          <w:szCs w:val="24"/>
        </w:rPr>
        <w:tab/>
        <w:t>In determining whether to permit withdrawal of the pleading, the presiding officer or Commission must consider the petition, any objections thereto and the public interest.</w:t>
      </w:r>
      <w:r w:rsidR="00E40B61">
        <w:rPr>
          <w:sz w:val="24"/>
          <w:szCs w:val="24"/>
        </w:rPr>
        <w:t xml:space="preserve">  </w:t>
      </w:r>
      <w:proofErr w:type="gramStart"/>
      <w:r w:rsidR="00E40B61">
        <w:rPr>
          <w:sz w:val="24"/>
          <w:szCs w:val="24"/>
        </w:rPr>
        <w:t xml:space="preserve">52 </w:t>
      </w:r>
      <w:proofErr w:type="spellStart"/>
      <w:r w:rsidR="00E40B61">
        <w:rPr>
          <w:sz w:val="24"/>
          <w:szCs w:val="24"/>
        </w:rPr>
        <w:t>Pa.Code</w:t>
      </w:r>
      <w:proofErr w:type="spellEnd"/>
      <w:r w:rsidR="00E40B61">
        <w:rPr>
          <w:sz w:val="24"/>
          <w:szCs w:val="24"/>
        </w:rPr>
        <w:t xml:space="preserve"> § 5.94(a).</w:t>
      </w:r>
      <w:proofErr w:type="gramEnd"/>
    </w:p>
    <w:p w:rsidR="00B92703"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BA24ED" w:rsidRDefault="00264A68" w:rsidP="008B6820">
      <w:pPr>
        <w:widowControl w:val="0"/>
        <w:tabs>
          <w:tab w:val="left" w:pos="1496"/>
          <w:tab w:val="left" w:pos="2239"/>
        </w:tabs>
        <w:autoSpaceDE w:val="0"/>
        <w:autoSpaceDN w:val="0"/>
        <w:adjustRightInd w:val="0"/>
        <w:spacing w:line="360" w:lineRule="auto"/>
        <w:ind w:firstLine="1496"/>
        <w:rPr>
          <w:sz w:val="24"/>
          <w:szCs w:val="24"/>
        </w:rPr>
      </w:pPr>
      <w:r>
        <w:rPr>
          <w:sz w:val="24"/>
          <w:szCs w:val="24"/>
        </w:rPr>
        <w:t>4</w:t>
      </w:r>
      <w:r w:rsidR="00BA24ED">
        <w:rPr>
          <w:sz w:val="24"/>
          <w:szCs w:val="24"/>
        </w:rPr>
        <w:t>.</w:t>
      </w:r>
      <w:r w:rsidR="00BA24ED">
        <w:rPr>
          <w:sz w:val="24"/>
          <w:szCs w:val="24"/>
        </w:rPr>
        <w:tab/>
        <w:t xml:space="preserve">Section 703(a) of the Public Utility Code, 66 </w:t>
      </w:r>
      <w:proofErr w:type="spellStart"/>
      <w:r w:rsidR="00BA24ED">
        <w:rPr>
          <w:sz w:val="24"/>
          <w:szCs w:val="24"/>
        </w:rPr>
        <w:t>Pa.C.S.A</w:t>
      </w:r>
      <w:proofErr w:type="spellEnd"/>
      <w:r w:rsidR="00BA24ED">
        <w:rPr>
          <w:sz w:val="24"/>
          <w:szCs w:val="24"/>
        </w:rPr>
        <w:t xml:space="preserve"> § 703(a), provides for dismissal of a complaint without a hearing, if in the Commission’s opinion, a hearing is not necessary in the public interest.</w:t>
      </w:r>
      <w:r w:rsidR="00E40B61">
        <w:rPr>
          <w:sz w:val="24"/>
          <w:szCs w:val="24"/>
        </w:rPr>
        <w:t xml:space="preserve">  </w:t>
      </w:r>
      <w:proofErr w:type="gramStart"/>
      <w:r w:rsidR="00E40B61">
        <w:rPr>
          <w:sz w:val="24"/>
          <w:szCs w:val="24"/>
        </w:rPr>
        <w:t xml:space="preserve">66 </w:t>
      </w:r>
      <w:proofErr w:type="spellStart"/>
      <w:r w:rsidR="00E40B61">
        <w:rPr>
          <w:sz w:val="24"/>
          <w:szCs w:val="24"/>
        </w:rPr>
        <w:t>Pa.C.S</w:t>
      </w:r>
      <w:proofErr w:type="spellEnd"/>
      <w:r w:rsidR="00E40B61">
        <w:rPr>
          <w:sz w:val="24"/>
          <w:szCs w:val="24"/>
        </w:rPr>
        <w:t>.</w:t>
      </w:r>
      <w:proofErr w:type="gramEnd"/>
      <w:r w:rsidR="00E40B61">
        <w:rPr>
          <w:sz w:val="24"/>
          <w:szCs w:val="24"/>
        </w:rPr>
        <w:t xml:space="preserve"> § 703(a).</w:t>
      </w:r>
      <w:r w:rsidR="00BA24ED">
        <w:rPr>
          <w:sz w:val="24"/>
          <w:szCs w:val="24"/>
        </w:rPr>
        <w:t xml:space="preserve"> </w:t>
      </w:r>
    </w:p>
    <w:p w:rsidR="00F1461A" w:rsidRDefault="00F1461A" w:rsidP="008B6820">
      <w:pPr>
        <w:widowControl w:val="0"/>
        <w:tabs>
          <w:tab w:val="left" w:pos="1496"/>
          <w:tab w:val="left" w:pos="2239"/>
        </w:tabs>
        <w:autoSpaceDE w:val="0"/>
        <w:autoSpaceDN w:val="0"/>
        <w:adjustRightInd w:val="0"/>
        <w:spacing w:line="360" w:lineRule="auto"/>
        <w:ind w:firstLine="1496"/>
        <w:rPr>
          <w:sz w:val="24"/>
          <w:szCs w:val="24"/>
        </w:rPr>
      </w:pPr>
    </w:p>
    <w:p w:rsidR="00F1461A" w:rsidRDefault="00F1461A" w:rsidP="008B6820">
      <w:pPr>
        <w:widowControl w:val="0"/>
        <w:tabs>
          <w:tab w:val="left" w:pos="1496"/>
          <w:tab w:val="left" w:pos="2239"/>
        </w:tabs>
        <w:autoSpaceDE w:val="0"/>
        <w:autoSpaceDN w:val="0"/>
        <w:adjustRightInd w:val="0"/>
        <w:spacing w:line="360" w:lineRule="auto"/>
        <w:ind w:firstLine="1496"/>
        <w:rPr>
          <w:sz w:val="24"/>
          <w:szCs w:val="24"/>
        </w:rPr>
      </w:pPr>
      <w:bookmarkStart w:id="0" w:name="_GoBack"/>
      <w:bookmarkEnd w:id="0"/>
    </w:p>
    <w:p w:rsidR="00B92703" w:rsidRPr="00D7713D" w:rsidRDefault="00B92703" w:rsidP="00B92703">
      <w:pPr>
        <w:widowControl w:val="0"/>
        <w:tabs>
          <w:tab w:val="left" w:pos="1496"/>
          <w:tab w:val="left" w:pos="2239"/>
        </w:tabs>
        <w:autoSpaceDE w:val="0"/>
        <w:autoSpaceDN w:val="0"/>
        <w:adjustRightInd w:val="0"/>
        <w:spacing w:line="360" w:lineRule="auto"/>
        <w:jc w:val="center"/>
        <w:outlineLvl w:val="0"/>
        <w:rPr>
          <w:sz w:val="24"/>
          <w:szCs w:val="24"/>
        </w:rPr>
      </w:pPr>
      <w:r w:rsidRPr="00D7713D">
        <w:rPr>
          <w:sz w:val="24"/>
          <w:szCs w:val="24"/>
          <w:u w:val="single"/>
        </w:rPr>
        <w:lastRenderedPageBreak/>
        <w:t>ORDER</w:t>
      </w:r>
    </w:p>
    <w:p w:rsidR="00B92703" w:rsidRDefault="00B92703" w:rsidP="00B92703">
      <w:pPr>
        <w:tabs>
          <w:tab w:val="left" w:pos="1496"/>
          <w:tab w:val="left" w:pos="2239"/>
        </w:tabs>
        <w:spacing w:line="360" w:lineRule="auto"/>
        <w:rPr>
          <w:sz w:val="24"/>
          <w:szCs w:val="24"/>
        </w:rPr>
      </w:pPr>
    </w:p>
    <w:p w:rsidR="00BA24ED" w:rsidRPr="00D7713D" w:rsidRDefault="00BA24ED" w:rsidP="00B92703">
      <w:pPr>
        <w:tabs>
          <w:tab w:val="left" w:pos="1496"/>
          <w:tab w:val="left" w:pos="2239"/>
        </w:tabs>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THEREFORE,</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IT IS ORDERED:</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t xml:space="preserve">That </w:t>
      </w:r>
      <w:r w:rsidR="008B6820">
        <w:rPr>
          <w:sz w:val="24"/>
          <w:szCs w:val="24"/>
        </w:rPr>
        <w:t xml:space="preserve">the </w:t>
      </w:r>
      <w:r w:rsidR="00561998">
        <w:rPr>
          <w:sz w:val="24"/>
          <w:szCs w:val="24"/>
        </w:rPr>
        <w:t>p</w:t>
      </w:r>
      <w:r w:rsidR="00BA24ED">
        <w:rPr>
          <w:sz w:val="24"/>
          <w:szCs w:val="24"/>
        </w:rPr>
        <w:t xml:space="preserve">etition </w:t>
      </w:r>
      <w:r w:rsidR="00A94EBC">
        <w:rPr>
          <w:sz w:val="24"/>
          <w:szCs w:val="24"/>
        </w:rPr>
        <w:t xml:space="preserve">for leave </w:t>
      </w:r>
      <w:r w:rsidR="00BA24ED">
        <w:rPr>
          <w:sz w:val="24"/>
          <w:szCs w:val="24"/>
        </w:rPr>
        <w:t xml:space="preserve">to </w:t>
      </w:r>
      <w:r w:rsidR="00561998">
        <w:rPr>
          <w:sz w:val="24"/>
          <w:szCs w:val="24"/>
        </w:rPr>
        <w:t>w</w:t>
      </w:r>
      <w:r w:rsidR="00BA24ED">
        <w:rPr>
          <w:sz w:val="24"/>
          <w:szCs w:val="24"/>
        </w:rPr>
        <w:t>ithdraw</w:t>
      </w:r>
      <w:r w:rsidR="007010C1">
        <w:rPr>
          <w:sz w:val="24"/>
          <w:szCs w:val="24"/>
        </w:rPr>
        <w:t xml:space="preserve"> </w:t>
      </w:r>
      <w:r w:rsidR="00561998">
        <w:rPr>
          <w:sz w:val="24"/>
          <w:szCs w:val="24"/>
        </w:rPr>
        <w:t>the c</w:t>
      </w:r>
      <w:r w:rsidR="00BA24ED">
        <w:rPr>
          <w:sz w:val="24"/>
          <w:szCs w:val="24"/>
        </w:rPr>
        <w:t xml:space="preserve">omplaint </w:t>
      </w:r>
      <w:r w:rsidR="00A94EBC">
        <w:rPr>
          <w:sz w:val="24"/>
          <w:szCs w:val="24"/>
        </w:rPr>
        <w:t xml:space="preserve">filed by Complainant, Superior Tire &amp; Rubber Corporation at </w:t>
      </w:r>
      <w:r w:rsidR="00BA24ED">
        <w:rPr>
          <w:sz w:val="24"/>
          <w:szCs w:val="24"/>
        </w:rPr>
        <w:t xml:space="preserve">Docket No. </w:t>
      </w:r>
      <w:r w:rsidR="008B6820">
        <w:rPr>
          <w:sz w:val="24"/>
          <w:szCs w:val="24"/>
        </w:rPr>
        <w:t>C-201</w:t>
      </w:r>
      <w:r w:rsidR="00A94EBC">
        <w:rPr>
          <w:sz w:val="24"/>
          <w:szCs w:val="24"/>
        </w:rPr>
        <w:t>4-</w:t>
      </w:r>
      <w:proofErr w:type="gramStart"/>
      <w:r w:rsidR="00A94EBC">
        <w:rPr>
          <w:sz w:val="24"/>
          <w:szCs w:val="24"/>
        </w:rPr>
        <w:t>2432346</w:t>
      </w:r>
      <w:r w:rsidR="000D40F4">
        <w:rPr>
          <w:sz w:val="24"/>
          <w:szCs w:val="24"/>
        </w:rPr>
        <w:t>,</w:t>
      </w:r>
      <w:proofErr w:type="gramEnd"/>
      <w:r w:rsidR="00BA24ED">
        <w:rPr>
          <w:sz w:val="24"/>
          <w:szCs w:val="24"/>
        </w:rPr>
        <w:t xml:space="preserve"> is gran</w:t>
      </w:r>
      <w:r w:rsidR="00D814F2">
        <w:rPr>
          <w:sz w:val="24"/>
          <w:szCs w:val="24"/>
        </w:rPr>
        <w:t>t</w:t>
      </w:r>
      <w:r w:rsidRPr="00863BF7">
        <w:rPr>
          <w:sz w:val="24"/>
          <w:szCs w:val="24"/>
        </w:rPr>
        <w:t>ed.</w:t>
      </w:r>
    </w:p>
    <w:p w:rsidR="00A94EBC" w:rsidRPr="00863BF7" w:rsidRDefault="00A94EBC" w:rsidP="00863BF7">
      <w:pPr>
        <w:widowControl w:val="0"/>
        <w:tabs>
          <w:tab w:val="left" w:pos="2160"/>
        </w:tabs>
        <w:autoSpaceDE w:val="0"/>
        <w:autoSpaceDN w:val="0"/>
        <w:adjustRightInd w:val="0"/>
        <w:spacing w:line="360" w:lineRule="auto"/>
        <w:ind w:firstLine="1440"/>
        <w:rPr>
          <w:sz w:val="24"/>
          <w:szCs w:val="24"/>
        </w:rPr>
      </w:pPr>
    </w:p>
    <w:p w:rsidR="002512AA" w:rsidRDefault="00863BF7" w:rsidP="00A94EBC">
      <w:pPr>
        <w:widowControl w:val="0"/>
        <w:tabs>
          <w:tab w:val="left" w:pos="2160"/>
        </w:tabs>
        <w:autoSpaceDE w:val="0"/>
        <w:autoSpaceDN w:val="0"/>
        <w:adjustRightInd w:val="0"/>
        <w:spacing w:line="360" w:lineRule="auto"/>
        <w:ind w:firstLine="1440"/>
        <w:rPr>
          <w:snapToGrid w:val="0"/>
          <w:sz w:val="24"/>
          <w:szCs w:val="24"/>
        </w:rPr>
      </w:pPr>
      <w:r w:rsidRPr="00863BF7">
        <w:rPr>
          <w:sz w:val="24"/>
          <w:szCs w:val="24"/>
        </w:rPr>
        <w:t>2.</w:t>
      </w:r>
      <w:r w:rsidRPr="00863BF7">
        <w:rPr>
          <w:sz w:val="24"/>
          <w:szCs w:val="24"/>
        </w:rPr>
        <w:tab/>
        <w:t xml:space="preserve">That the </w:t>
      </w:r>
      <w:r w:rsidR="000D40F4">
        <w:rPr>
          <w:sz w:val="24"/>
          <w:szCs w:val="24"/>
        </w:rPr>
        <w:t xml:space="preserve">Docket in this proceeding, Docket No. </w:t>
      </w:r>
      <w:r w:rsidR="00A94EBC">
        <w:rPr>
          <w:sz w:val="24"/>
          <w:szCs w:val="24"/>
        </w:rPr>
        <w:t>C-2014-2432346, be</w:t>
      </w:r>
      <w:r w:rsidR="000D40F4">
        <w:rPr>
          <w:sz w:val="24"/>
          <w:szCs w:val="24"/>
        </w:rPr>
        <w:t xml:space="preserve"> marked c</w:t>
      </w:r>
      <w:r w:rsidRPr="00863BF7">
        <w:rPr>
          <w:sz w:val="24"/>
          <w:szCs w:val="24"/>
        </w:rPr>
        <w:t>losed.</w:t>
      </w:r>
    </w:p>
    <w:p w:rsidR="002512AA" w:rsidRDefault="002512AA" w:rsidP="00FA335B">
      <w:pPr>
        <w:keepLines/>
        <w:spacing w:line="360" w:lineRule="auto"/>
        <w:ind w:firstLine="1440"/>
        <w:rPr>
          <w:snapToGrid w:val="0"/>
          <w:sz w:val="24"/>
          <w:szCs w:val="24"/>
        </w:rPr>
      </w:pPr>
    </w:p>
    <w:p w:rsidR="007D3B2D" w:rsidRDefault="007D3B2D" w:rsidP="00FA335B">
      <w:pPr>
        <w:keepLines/>
        <w:spacing w:line="360" w:lineRule="auto"/>
        <w:ind w:firstLine="1440"/>
        <w:rPr>
          <w:snapToGrid w:val="0"/>
          <w:sz w:val="24"/>
          <w:szCs w:val="24"/>
        </w:rPr>
      </w:pPr>
    </w:p>
    <w:p w:rsidR="007D3B2D" w:rsidRPr="00FA335B" w:rsidRDefault="007D3B2D" w:rsidP="00FA335B">
      <w:pPr>
        <w:keepLines/>
        <w:spacing w:line="360" w:lineRule="auto"/>
        <w:ind w:firstLine="1440"/>
        <w:rPr>
          <w:snapToGrid w:val="0"/>
          <w:sz w:val="24"/>
          <w:szCs w:val="24"/>
        </w:rPr>
      </w:pPr>
    </w:p>
    <w:p w:rsidR="00FA335B" w:rsidRPr="00FA335B" w:rsidRDefault="00FA335B" w:rsidP="00FA335B">
      <w:pPr>
        <w:keepLines/>
        <w:jc w:val="both"/>
        <w:rPr>
          <w:snapToGrid w:val="0"/>
          <w:sz w:val="24"/>
          <w:szCs w:val="24"/>
          <w:u w:val="single"/>
        </w:rPr>
      </w:pPr>
      <w:r w:rsidRPr="00FA335B">
        <w:rPr>
          <w:snapToGrid w:val="0"/>
          <w:sz w:val="24"/>
          <w:szCs w:val="24"/>
        </w:rPr>
        <w:t xml:space="preserve">Date:  </w:t>
      </w:r>
      <w:r w:rsidR="00A94EBC">
        <w:rPr>
          <w:snapToGrid w:val="0"/>
          <w:sz w:val="24"/>
          <w:szCs w:val="24"/>
          <w:u w:val="single"/>
        </w:rPr>
        <w:t>May 4</w:t>
      </w:r>
      <w:r w:rsidR="008B6820">
        <w:rPr>
          <w:snapToGrid w:val="0"/>
          <w:sz w:val="24"/>
          <w:szCs w:val="24"/>
          <w:u w:val="single"/>
        </w:rPr>
        <w:t>, 201</w:t>
      </w:r>
      <w:r w:rsidR="00A94EBC">
        <w:rPr>
          <w:snapToGrid w:val="0"/>
          <w:sz w:val="24"/>
          <w:szCs w:val="24"/>
          <w:u w:val="single"/>
        </w:rPr>
        <w:t>5</w:t>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002512AA">
        <w:rPr>
          <w:snapToGrid w:val="0"/>
          <w:sz w:val="24"/>
          <w:szCs w:val="24"/>
        </w:rPr>
        <w:tab/>
      </w:r>
      <w:r w:rsidR="002512AA">
        <w:rPr>
          <w:snapToGrid w:val="0"/>
          <w:sz w:val="24"/>
          <w:szCs w:val="24"/>
        </w:rPr>
        <w:tab/>
      </w:r>
      <w:r w:rsidRPr="00FA335B">
        <w:rPr>
          <w:snapToGrid w:val="0"/>
          <w:sz w:val="24"/>
          <w:szCs w:val="24"/>
          <w:u w:val="single"/>
        </w:rPr>
        <w:t xml:space="preserve">                        </w:t>
      </w:r>
      <w:r>
        <w:rPr>
          <w:snapToGrid w:val="0"/>
          <w:sz w:val="24"/>
          <w:szCs w:val="24"/>
          <w:u w:val="single"/>
        </w:rPr>
        <w:t xml:space="preserve">  </w:t>
      </w:r>
      <w:r w:rsidRPr="00FA335B">
        <w:rPr>
          <w:snapToGrid w:val="0"/>
          <w:sz w:val="24"/>
          <w:szCs w:val="24"/>
          <w:u w:val="single"/>
        </w:rPr>
        <w:t xml:space="preserve"> /s/</w:t>
      </w:r>
      <w:r w:rsidRPr="00FA335B">
        <w:rPr>
          <w:snapToGrid w:val="0"/>
          <w:sz w:val="24"/>
          <w:szCs w:val="24"/>
          <w:u w:val="single"/>
        </w:rPr>
        <w:tab/>
      </w:r>
      <w:r w:rsidRPr="00FA335B">
        <w:rPr>
          <w:snapToGrid w:val="0"/>
          <w:sz w:val="24"/>
          <w:szCs w:val="24"/>
          <w:u w:val="single"/>
        </w:rPr>
        <w:tab/>
      </w:r>
      <w:r w:rsidRPr="00FA335B">
        <w:rPr>
          <w:snapToGrid w:val="0"/>
          <w:sz w:val="24"/>
          <w:szCs w:val="24"/>
          <w:u w:val="single"/>
        </w:rPr>
        <w:tab/>
        <w:t xml:space="preserve">                                 </w:t>
      </w:r>
    </w:p>
    <w:p w:rsidR="00FA335B" w:rsidRPr="00FA335B" w:rsidRDefault="00FA335B" w:rsidP="00FA335B">
      <w:pPr>
        <w:keepLines/>
        <w:jc w:val="both"/>
        <w:rPr>
          <w:snapToGrid w:val="0"/>
          <w:sz w:val="24"/>
          <w:szCs w:val="24"/>
        </w:rPr>
      </w:pP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002512AA">
        <w:rPr>
          <w:snapToGrid w:val="0"/>
          <w:sz w:val="24"/>
          <w:szCs w:val="24"/>
        </w:rPr>
        <w:tab/>
      </w:r>
      <w:r w:rsidR="000D40F4">
        <w:rPr>
          <w:snapToGrid w:val="0"/>
          <w:sz w:val="24"/>
          <w:szCs w:val="24"/>
        </w:rPr>
        <w:t>Mark A. Hoyer</w:t>
      </w:r>
    </w:p>
    <w:p w:rsidR="00FA335B" w:rsidRPr="00FA335B" w:rsidRDefault="00FA335B" w:rsidP="00FA335B">
      <w:pPr>
        <w:keepLines/>
        <w:jc w:val="both"/>
        <w:rPr>
          <w:snapToGrid w:val="0"/>
          <w:sz w:val="24"/>
          <w:szCs w:val="24"/>
        </w:rPr>
      </w:pP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002512AA">
        <w:rPr>
          <w:snapToGrid w:val="0"/>
          <w:sz w:val="24"/>
        </w:rPr>
        <w:tab/>
      </w:r>
      <w:r w:rsidRPr="00FA335B">
        <w:rPr>
          <w:snapToGrid w:val="0"/>
          <w:sz w:val="24"/>
        </w:rPr>
        <w:t>Administrative Law Judge</w:t>
      </w:r>
    </w:p>
    <w:p w:rsidR="00D814F2" w:rsidRDefault="00D814F2" w:rsidP="00395DD7">
      <w:pPr>
        <w:widowControl w:val="0"/>
        <w:tabs>
          <w:tab w:val="left" w:pos="1496"/>
          <w:tab w:val="left" w:pos="2239"/>
        </w:tabs>
        <w:autoSpaceDE w:val="0"/>
        <w:autoSpaceDN w:val="0"/>
        <w:adjustRightInd w:val="0"/>
        <w:spacing w:line="360" w:lineRule="auto"/>
        <w:rPr>
          <w:sz w:val="24"/>
          <w:szCs w:val="24"/>
        </w:rPr>
      </w:pPr>
    </w:p>
    <w:p w:rsidR="00001E4D" w:rsidRDefault="00001E4D" w:rsidP="006624D0">
      <w:pPr>
        <w:rPr>
          <w:rFonts w:ascii="Microsoft Sans Serif" w:hAnsi="Microsoft Sans Serif" w:cs="Microsoft Sans Serif"/>
          <w:sz w:val="24"/>
          <w:szCs w:val="24"/>
        </w:rPr>
      </w:pPr>
    </w:p>
    <w:sectPr w:rsidR="00001E4D" w:rsidSect="00F1461A">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9FE" w:rsidRDefault="003829FE">
      <w:r>
        <w:separator/>
      </w:r>
    </w:p>
  </w:endnote>
  <w:endnote w:type="continuationSeparator" w:id="0">
    <w:p w:rsidR="003829FE" w:rsidRDefault="0038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49F0" w:rsidRDefault="001549F0">
    <w:pPr>
      <w:pStyle w:val="Footer"/>
    </w:pPr>
  </w:p>
  <w:p w:rsidR="001549F0" w:rsidRDefault="001549F0"/>
  <w:p w:rsidR="001549F0" w:rsidRDefault="001549F0"/>
  <w:p w:rsidR="001549F0" w:rsidRDefault="001549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rPr>
        <w:sz w:val="20"/>
        <w:szCs w:val="20"/>
      </w:rPr>
    </w:sdtEndPr>
    <w:sdtContent>
      <w:p w:rsidR="001549F0" w:rsidRPr="005C0E1E" w:rsidRDefault="001549F0">
        <w:pPr>
          <w:pStyle w:val="Footer"/>
          <w:jc w:val="center"/>
        </w:pPr>
        <w:r w:rsidRPr="005C0E1E">
          <w:fldChar w:fldCharType="begin"/>
        </w:r>
        <w:r w:rsidRPr="005C0E1E">
          <w:instrText xml:space="preserve"> PAGE   \* MERGEFORMAT </w:instrText>
        </w:r>
        <w:r w:rsidRPr="005C0E1E">
          <w:fldChar w:fldCharType="separate"/>
        </w:r>
        <w:r w:rsidR="00F1461A">
          <w:rPr>
            <w:noProof/>
          </w:rPr>
          <w:t>4</w:t>
        </w:r>
        <w:r w:rsidRPr="005C0E1E">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jc w:val="center"/>
    </w:pPr>
  </w:p>
  <w:p w:rsidR="001549F0" w:rsidRDefault="00154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9FE" w:rsidRDefault="003829FE">
      <w:r>
        <w:separator/>
      </w:r>
    </w:p>
  </w:footnote>
  <w:footnote w:type="continuationSeparator" w:id="0">
    <w:p w:rsidR="003829FE" w:rsidRDefault="00382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039C"/>
    <w:rsid w:val="00001E4D"/>
    <w:rsid w:val="0001066C"/>
    <w:rsid w:val="00012847"/>
    <w:rsid w:val="000129C1"/>
    <w:rsid w:val="000146B9"/>
    <w:rsid w:val="0001497D"/>
    <w:rsid w:val="000203D9"/>
    <w:rsid w:val="00030715"/>
    <w:rsid w:val="00046465"/>
    <w:rsid w:val="00052459"/>
    <w:rsid w:val="000524EA"/>
    <w:rsid w:val="000527E6"/>
    <w:rsid w:val="00070928"/>
    <w:rsid w:val="00076AB6"/>
    <w:rsid w:val="00085CF8"/>
    <w:rsid w:val="00086C13"/>
    <w:rsid w:val="000923F8"/>
    <w:rsid w:val="00092D95"/>
    <w:rsid w:val="0009671D"/>
    <w:rsid w:val="000A46E8"/>
    <w:rsid w:val="000B0E96"/>
    <w:rsid w:val="000C3664"/>
    <w:rsid w:val="000C3C7F"/>
    <w:rsid w:val="000D2A3C"/>
    <w:rsid w:val="000D40F4"/>
    <w:rsid w:val="000E683C"/>
    <w:rsid w:val="00100FD6"/>
    <w:rsid w:val="0010436D"/>
    <w:rsid w:val="00107D41"/>
    <w:rsid w:val="0011292C"/>
    <w:rsid w:val="00116DFB"/>
    <w:rsid w:val="00143187"/>
    <w:rsid w:val="00143935"/>
    <w:rsid w:val="00150069"/>
    <w:rsid w:val="001549F0"/>
    <w:rsid w:val="00156BF7"/>
    <w:rsid w:val="0015727D"/>
    <w:rsid w:val="0015745A"/>
    <w:rsid w:val="001601CE"/>
    <w:rsid w:val="001616D8"/>
    <w:rsid w:val="00165480"/>
    <w:rsid w:val="0017554E"/>
    <w:rsid w:val="001932F7"/>
    <w:rsid w:val="00193523"/>
    <w:rsid w:val="001A00E0"/>
    <w:rsid w:val="001A6FA9"/>
    <w:rsid w:val="001B231D"/>
    <w:rsid w:val="001C3CE8"/>
    <w:rsid w:val="001C5B09"/>
    <w:rsid w:val="001E222C"/>
    <w:rsid w:val="001E361B"/>
    <w:rsid w:val="001E59B9"/>
    <w:rsid w:val="001F1A09"/>
    <w:rsid w:val="001F4423"/>
    <w:rsid w:val="001F6BD5"/>
    <w:rsid w:val="00242923"/>
    <w:rsid w:val="00242A85"/>
    <w:rsid w:val="00247900"/>
    <w:rsid w:val="00251155"/>
    <w:rsid w:val="002512AA"/>
    <w:rsid w:val="00256B89"/>
    <w:rsid w:val="0026268C"/>
    <w:rsid w:val="00264A68"/>
    <w:rsid w:val="002662CE"/>
    <w:rsid w:val="00273ABB"/>
    <w:rsid w:val="00286975"/>
    <w:rsid w:val="002A2DB9"/>
    <w:rsid w:val="002A2FDC"/>
    <w:rsid w:val="002C13FC"/>
    <w:rsid w:val="002C1EE3"/>
    <w:rsid w:val="002C6DAC"/>
    <w:rsid w:val="002D01D7"/>
    <w:rsid w:val="002D5E29"/>
    <w:rsid w:val="002E0072"/>
    <w:rsid w:val="002E5F88"/>
    <w:rsid w:val="002F2801"/>
    <w:rsid w:val="003232B1"/>
    <w:rsid w:val="003245A3"/>
    <w:rsid w:val="003272B9"/>
    <w:rsid w:val="00330463"/>
    <w:rsid w:val="00331831"/>
    <w:rsid w:val="00332CA0"/>
    <w:rsid w:val="0035197C"/>
    <w:rsid w:val="00356F41"/>
    <w:rsid w:val="003607C0"/>
    <w:rsid w:val="003612E1"/>
    <w:rsid w:val="003650E3"/>
    <w:rsid w:val="00372B24"/>
    <w:rsid w:val="003779EE"/>
    <w:rsid w:val="003829FE"/>
    <w:rsid w:val="00395DD7"/>
    <w:rsid w:val="003B67D5"/>
    <w:rsid w:val="003C150F"/>
    <w:rsid w:val="003C2ED9"/>
    <w:rsid w:val="003C4264"/>
    <w:rsid w:val="003C5118"/>
    <w:rsid w:val="003D2772"/>
    <w:rsid w:val="003D3E0F"/>
    <w:rsid w:val="003D625B"/>
    <w:rsid w:val="003E7933"/>
    <w:rsid w:val="003F4F18"/>
    <w:rsid w:val="003F67E0"/>
    <w:rsid w:val="003F7A75"/>
    <w:rsid w:val="004024E6"/>
    <w:rsid w:val="00412B85"/>
    <w:rsid w:val="00413A5F"/>
    <w:rsid w:val="004145CC"/>
    <w:rsid w:val="00420F98"/>
    <w:rsid w:val="004462CA"/>
    <w:rsid w:val="0044702F"/>
    <w:rsid w:val="00450F44"/>
    <w:rsid w:val="004520FB"/>
    <w:rsid w:val="004530A5"/>
    <w:rsid w:val="004623BC"/>
    <w:rsid w:val="00462AEC"/>
    <w:rsid w:val="00463D3E"/>
    <w:rsid w:val="0046631B"/>
    <w:rsid w:val="004667E8"/>
    <w:rsid w:val="0047386A"/>
    <w:rsid w:val="004A2D9D"/>
    <w:rsid w:val="004A4A20"/>
    <w:rsid w:val="004A61DB"/>
    <w:rsid w:val="004B0FFB"/>
    <w:rsid w:val="004D22DE"/>
    <w:rsid w:val="004D2A8D"/>
    <w:rsid w:val="004E477C"/>
    <w:rsid w:val="004E4B16"/>
    <w:rsid w:val="004E59F9"/>
    <w:rsid w:val="004F46F1"/>
    <w:rsid w:val="0050222E"/>
    <w:rsid w:val="0051419B"/>
    <w:rsid w:val="00532199"/>
    <w:rsid w:val="00543385"/>
    <w:rsid w:val="00544331"/>
    <w:rsid w:val="00560DC5"/>
    <w:rsid w:val="00561998"/>
    <w:rsid w:val="00564503"/>
    <w:rsid w:val="00573F9D"/>
    <w:rsid w:val="00574D12"/>
    <w:rsid w:val="0057558E"/>
    <w:rsid w:val="00584B6B"/>
    <w:rsid w:val="00584F50"/>
    <w:rsid w:val="00595714"/>
    <w:rsid w:val="0059750A"/>
    <w:rsid w:val="005A6CDE"/>
    <w:rsid w:val="005B23DD"/>
    <w:rsid w:val="005C0B51"/>
    <w:rsid w:val="005C0E1E"/>
    <w:rsid w:val="005C3963"/>
    <w:rsid w:val="005D0199"/>
    <w:rsid w:val="005D0B93"/>
    <w:rsid w:val="005D3AC4"/>
    <w:rsid w:val="005D41E2"/>
    <w:rsid w:val="005E16C9"/>
    <w:rsid w:val="005E47C5"/>
    <w:rsid w:val="005F5504"/>
    <w:rsid w:val="00615BE5"/>
    <w:rsid w:val="00615E0E"/>
    <w:rsid w:val="006226F3"/>
    <w:rsid w:val="00652CA9"/>
    <w:rsid w:val="00656C39"/>
    <w:rsid w:val="006608A4"/>
    <w:rsid w:val="006610FB"/>
    <w:rsid w:val="006624D0"/>
    <w:rsid w:val="0066647F"/>
    <w:rsid w:val="006675F1"/>
    <w:rsid w:val="00671FD6"/>
    <w:rsid w:val="0067466A"/>
    <w:rsid w:val="006754D0"/>
    <w:rsid w:val="006764B9"/>
    <w:rsid w:val="00687145"/>
    <w:rsid w:val="0069793E"/>
    <w:rsid w:val="006A4143"/>
    <w:rsid w:val="006B09F0"/>
    <w:rsid w:val="006D7CAC"/>
    <w:rsid w:val="006E2126"/>
    <w:rsid w:val="006F47A9"/>
    <w:rsid w:val="007009ED"/>
    <w:rsid w:val="007010C1"/>
    <w:rsid w:val="007021B7"/>
    <w:rsid w:val="00730E05"/>
    <w:rsid w:val="00732D56"/>
    <w:rsid w:val="00740950"/>
    <w:rsid w:val="00743BFF"/>
    <w:rsid w:val="00745FA2"/>
    <w:rsid w:val="007539C9"/>
    <w:rsid w:val="00760961"/>
    <w:rsid w:val="0078056C"/>
    <w:rsid w:val="00780D98"/>
    <w:rsid w:val="007879EE"/>
    <w:rsid w:val="007932DC"/>
    <w:rsid w:val="007A01E4"/>
    <w:rsid w:val="007A3F1B"/>
    <w:rsid w:val="007B5C9E"/>
    <w:rsid w:val="007B7A28"/>
    <w:rsid w:val="007C0A7A"/>
    <w:rsid w:val="007D3B2D"/>
    <w:rsid w:val="007D3F4A"/>
    <w:rsid w:val="007E2C68"/>
    <w:rsid w:val="007F0BB8"/>
    <w:rsid w:val="007F138F"/>
    <w:rsid w:val="007F2FD2"/>
    <w:rsid w:val="008007CE"/>
    <w:rsid w:val="00802EFD"/>
    <w:rsid w:val="00803B70"/>
    <w:rsid w:val="00804CE0"/>
    <w:rsid w:val="0080557F"/>
    <w:rsid w:val="0082264A"/>
    <w:rsid w:val="00837972"/>
    <w:rsid w:val="00844F99"/>
    <w:rsid w:val="00845FB1"/>
    <w:rsid w:val="0086315C"/>
    <w:rsid w:val="00863BF7"/>
    <w:rsid w:val="00876C67"/>
    <w:rsid w:val="00877FC3"/>
    <w:rsid w:val="00880DFD"/>
    <w:rsid w:val="008A5A96"/>
    <w:rsid w:val="008B6820"/>
    <w:rsid w:val="008C3295"/>
    <w:rsid w:val="008C4B45"/>
    <w:rsid w:val="008D0B84"/>
    <w:rsid w:val="008D6D8C"/>
    <w:rsid w:val="008D7E61"/>
    <w:rsid w:val="008E3668"/>
    <w:rsid w:val="008E76CD"/>
    <w:rsid w:val="008E7ABD"/>
    <w:rsid w:val="008F2ED2"/>
    <w:rsid w:val="0090415D"/>
    <w:rsid w:val="00904E97"/>
    <w:rsid w:val="00915389"/>
    <w:rsid w:val="00926E97"/>
    <w:rsid w:val="00932C31"/>
    <w:rsid w:val="0093497E"/>
    <w:rsid w:val="00935B46"/>
    <w:rsid w:val="00950F37"/>
    <w:rsid w:val="00952C0A"/>
    <w:rsid w:val="00955600"/>
    <w:rsid w:val="00967100"/>
    <w:rsid w:val="0097296C"/>
    <w:rsid w:val="0098034A"/>
    <w:rsid w:val="00984C51"/>
    <w:rsid w:val="009A6209"/>
    <w:rsid w:val="009A7B6A"/>
    <w:rsid w:val="009B2DA0"/>
    <w:rsid w:val="009B36BE"/>
    <w:rsid w:val="009B5EE2"/>
    <w:rsid w:val="009C5968"/>
    <w:rsid w:val="009D7498"/>
    <w:rsid w:val="009E05E1"/>
    <w:rsid w:val="00A02129"/>
    <w:rsid w:val="00A07880"/>
    <w:rsid w:val="00A13B55"/>
    <w:rsid w:val="00A150DC"/>
    <w:rsid w:val="00A2485C"/>
    <w:rsid w:val="00A30A96"/>
    <w:rsid w:val="00A602D7"/>
    <w:rsid w:val="00A645F8"/>
    <w:rsid w:val="00A70419"/>
    <w:rsid w:val="00A73D2F"/>
    <w:rsid w:val="00A77085"/>
    <w:rsid w:val="00A841D9"/>
    <w:rsid w:val="00A94EBC"/>
    <w:rsid w:val="00A966B7"/>
    <w:rsid w:val="00A97A68"/>
    <w:rsid w:val="00AA760E"/>
    <w:rsid w:val="00AC5340"/>
    <w:rsid w:val="00AC540C"/>
    <w:rsid w:val="00AD0EFA"/>
    <w:rsid w:val="00AF29BB"/>
    <w:rsid w:val="00B05F72"/>
    <w:rsid w:val="00B13048"/>
    <w:rsid w:val="00B2265A"/>
    <w:rsid w:val="00B27AAA"/>
    <w:rsid w:val="00B415D9"/>
    <w:rsid w:val="00B427EB"/>
    <w:rsid w:val="00B5127B"/>
    <w:rsid w:val="00B51BB3"/>
    <w:rsid w:val="00B52669"/>
    <w:rsid w:val="00B539BE"/>
    <w:rsid w:val="00B5514C"/>
    <w:rsid w:val="00B56A3E"/>
    <w:rsid w:val="00B56A96"/>
    <w:rsid w:val="00B64556"/>
    <w:rsid w:val="00B64B4B"/>
    <w:rsid w:val="00B6621E"/>
    <w:rsid w:val="00B66296"/>
    <w:rsid w:val="00B847A5"/>
    <w:rsid w:val="00B859EF"/>
    <w:rsid w:val="00B911A7"/>
    <w:rsid w:val="00B9129F"/>
    <w:rsid w:val="00B92703"/>
    <w:rsid w:val="00BA24ED"/>
    <w:rsid w:val="00BA5202"/>
    <w:rsid w:val="00BB148A"/>
    <w:rsid w:val="00BC6DA1"/>
    <w:rsid w:val="00BD0DF4"/>
    <w:rsid w:val="00BD2428"/>
    <w:rsid w:val="00BD42BA"/>
    <w:rsid w:val="00BF4B3A"/>
    <w:rsid w:val="00BF4B6C"/>
    <w:rsid w:val="00BF6BE0"/>
    <w:rsid w:val="00C07EAD"/>
    <w:rsid w:val="00C1344F"/>
    <w:rsid w:val="00C262F7"/>
    <w:rsid w:val="00C35505"/>
    <w:rsid w:val="00C3620C"/>
    <w:rsid w:val="00C57E07"/>
    <w:rsid w:val="00C606BF"/>
    <w:rsid w:val="00C607C8"/>
    <w:rsid w:val="00C62E4F"/>
    <w:rsid w:val="00C66289"/>
    <w:rsid w:val="00C66CCC"/>
    <w:rsid w:val="00C670BC"/>
    <w:rsid w:val="00C710D3"/>
    <w:rsid w:val="00C71543"/>
    <w:rsid w:val="00C74351"/>
    <w:rsid w:val="00C77985"/>
    <w:rsid w:val="00C828D6"/>
    <w:rsid w:val="00C837A6"/>
    <w:rsid w:val="00C84E88"/>
    <w:rsid w:val="00C86EBF"/>
    <w:rsid w:val="00CA14CB"/>
    <w:rsid w:val="00CA17C0"/>
    <w:rsid w:val="00CB077E"/>
    <w:rsid w:val="00CB4175"/>
    <w:rsid w:val="00CD44B0"/>
    <w:rsid w:val="00CE0B3F"/>
    <w:rsid w:val="00CE6549"/>
    <w:rsid w:val="00D1157C"/>
    <w:rsid w:val="00D115B8"/>
    <w:rsid w:val="00D32E2A"/>
    <w:rsid w:val="00D37F6D"/>
    <w:rsid w:val="00D45B03"/>
    <w:rsid w:val="00D554E6"/>
    <w:rsid w:val="00D64EDE"/>
    <w:rsid w:val="00D64EFD"/>
    <w:rsid w:val="00D676E4"/>
    <w:rsid w:val="00D709D1"/>
    <w:rsid w:val="00D72F67"/>
    <w:rsid w:val="00D733A9"/>
    <w:rsid w:val="00D76BF7"/>
    <w:rsid w:val="00D7713D"/>
    <w:rsid w:val="00D814F2"/>
    <w:rsid w:val="00D93E5C"/>
    <w:rsid w:val="00DA0867"/>
    <w:rsid w:val="00DA0FE3"/>
    <w:rsid w:val="00DA5FFC"/>
    <w:rsid w:val="00DB08ED"/>
    <w:rsid w:val="00DC3080"/>
    <w:rsid w:val="00DD3849"/>
    <w:rsid w:val="00DD6C9B"/>
    <w:rsid w:val="00DE0BB0"/>
    <w:rsid w:val="00E0280F"/>
    <w:rsid w:val="00E1181B"/>
    <w:rsid w:val="00E13AB7"/>
    <w:rsid w:val="00E25E16"/>
    <w:rsid w:val="00E36407"/>
    <w:rsid w:val="00E40B61"/>
    <w:rsid w:val="00E42AC8"/>
    <w:rsid w:val="00E73258"/>
    <w:rsid w:val="00E754C7"/>
    <w:rsid w:val="00E82611"/>
    <w:rsid w:val="00E847C9"/>
    <w:rsid w:val="00E90EA5"/>
    <w:rsid w:val="00E91BBD"/>
    <w:rsid w:val="00EA2CE8"/>
    <w:rsid w:val="00ED1FF1"/>
    <w:rsid w:val="00EE596A"/>
    <w:rsid w:val="00EE74D4"/>
    <w:rsid w:val="00EF0207"/>
    <w:rsid w:val="00EF1A40"/>
    <w:rsid w:val="00F10D22"/>
    <w:rsid w:val="00F138AF"/>
    <w:rsid w:val="00F1461A"/>
    <w:rsid w:val="00F2750B"/>
    <w:rsid w:val="00F45549"/>
    <w:rsid w:val="00F46B96"/>
    <w:rsid w:val="00F471B3"/>
    <w:rsid w:val="00F5635B"/>
    <w:rsid w:val="00F61FD4"/>
    <w:rsid w:val="00F66E07"/>
    <w:rsid w:val="00F70414"/>
    <w:rsid w:val="00F81E08"/>
    <w:rsid w:val="00F85337"/>
    <w:rsid w:val="00F95409"/>
    <w:rsid w:val="00FA335B"/>
    <w:rsid w:val="00FA52E1"/>
    <w:rsid w:val="00FB2330"/>
    <w:rsid w:val="00FE0CB4"/>
    <w:rsid w:val="00FE7A9F"/>
    <w:rsid w:val="00FF117B"/>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47407">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38378-3053-479F-817A-7CC19A3E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22</cp:revision>
  <cp:lastPrinted>2015-05-12T12:55:00Z</cp:lastPrinted>
  <dcterms:created xsi:type="dcterms:W3CDTF">2015-05-04T14:41:00Z</dcterms:created>
  <dcterms:modified xsi:type="dcterms:W3CDTF">2015-05-12T13:00:00Z</dcterms:modified>
</cp:coreProperties>
</file>