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060513">
        <w:trPr>
          <w:trHeight w:val="990"/>
        </w:trPr>
        <w:tc>
          <w:tcPr>
            <w:tcW w:w="1363" w:type="dxa"/>
          </w:tcPr>
          <w:p w:rsidR="00060513" w:rsidRDefault="002E088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060513" w:rsidRDefault="0006051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60513" w:rsidRDefault="0006051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060513" w:rsidRDefault="0006051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060513" w:rsidRDefault="0006051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60513" w:rsidRDefault="00060513">
      <w:pPr>
        <w:rPr>
          <w:sz w:val="24"/>
        </w:rPr>
        <w:sectPr w:rsidR="00060513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3E1941" w:rsidRDefault="00136BC4" w:rsidP="00A47984">
      <w:pPr>
        <w:jc w:val="center"/>
        <w:rPr>
          <w:sz w:val="24"/>
        </w:rPr>
      </w:pPr>
      <w:r>
        <w:rPr>
          <w:sz w:val="24"/>
        </w:rPr>
        <w:lastRenderedPageBreak/>
        <w:t>May 13, 2015</w:t>
      </w:r>
    </w:p>
    <w:p w:rsidR="00B07E09" w:rsidRDefault="00B07E09" w:rsidP="00A47984">
      <w:pPr>
        <w:jc w:val="center"/>
        <w:rPr>
          <w:sz w:val="24"/>
        </w:rPr>
      </w:pPr>
    </w:p>
    <w:p w:rsidR="00B07E09" w:rsidRDefault="00B07E09" w:rsidP="00A47984">
      <w:pPr>
        <w:jc w:val="center"/>
        <w:rPr>
          <w:sz w:val="24"/>
        </w:rPr>
      </w:pPr>
    </w:p>
    <w:p w:rsidR="00A47984" w:rsidRDefault="009E4AF7" w:rsidP="00A47984">
      <w:pPr>
        <w:jc w:val="right"/>
        <w:rPr>
          <w:sz w:val="24"/>
        </w:rPr>
      </w:pPr>
      <w:r>
        <w:rPr>
          <w:sz w:val="24"/>
        </w:rPr>
        <w:t>A</w:t>
      </w:r>
      <w:r w:rsidR="00B11079">
        <w:rPr>
          <w:sz w:val="24"/>
        </w:rPr>
        <w:t>-20</w:t>
      </w:r>
      <w:r w:rsidR="00961230">
        <w:rPr>
          <w:sz w:val="24"/>
        </w:rPr>
        <w:t>1</w:t>
      </w:r>
      <w:r w:rsidR="0043301C">
        <w:rPr>
          <w:sz w:val="24"/>
        </w:rPr>
        <w:t>5</w:t>
      </w:r>
      <w:r w:rsidR="005D09A0">
        <w:rPr>
          <w:sz w:val="24"/>
        </w:rPr>
        <w:t>-2</w:t>
      </w:r>
      <w:r w:rsidR="005B2958">
        <w:rPr>
          <w:sz w:val="24"/>
        </w:rPr>
        <w:t>472427</w:t>
      </w:r>
    </w:p>
    <w:p w:rsidR="003A1B6E" w:rsidRDefault="003A1B6E" w:rsidP="00D4781D">
      <w:pPr>
        <w:rPr>
          <w:sz w:val="24"/>
        </w:rPr>
      </w:pPr>
    </w:p>
    <w:p w:rsidR="00D4781D" w:rsidRDefault="0043301C" w:rsidP="00D4781D">
      <w:pPr>
        <w:rPr>
          <w:sz w:val="24"/>
        </w:rPr>
      </w:pPr>
      <w:r>
        <w:rPr>
          <w:sz w:val="24"/>
        </w:rPr>
        <w:t>DENISE N SMITH</w:t>
      </w:r>
    </w:p>
    <w:p w:rsidR="00A47984" w:rsidRDefault="0043301C" w:rsidP="00A47984">
      <w:pPr>
        <w:rPr>
          <w:sz w:val="24"/>
        </w:rPr>
      </w:pPr>
      <w:r>
        <w:rPr>
          <w:sz w:val="24"/>
        </w:rPr>
        <w:t>KELLEY DRYE &amp; WARREN LLP</w:t>
      </w:r>
    </w:p>
    <w:p w:rsidR="00A47984" w:rsidRDefault="0043301C" w:rsidP="00A47984">
      <w:pPr>
        <w:rPr>
          <w:sz w:val="24"/>
        </w:rPr>
      </w:pPr>
      <w:r>
        <w:rPr>
          <w:sz w:val="24"/>
        </w:rPr>
        <w:t>3050 K ST NW SUITE 400</w:t>
      </w:r>
    </w:p>
    <w:p w:rsidR="00A47984" w:rsidRDefault="0043301C" w:rsidP="00A47984">
      <w:pPr>
        <w:rPr>
          <w:sz w:val="24"/>
        </w:rPr>
      </w:pPr>
      <w:r>
        <w:rPr>
          <w:sz w:val="24"/>
        </w:rPr>
        <w:t>WASHINGTON DC 20007</w:t>
      </w:r>
    </w:p>
    <w:p w:rsidR="00A47984" w:rsidRDefault="00A47984" w:rsidP="00A47984">
      <w:pPr>
        <w:rPr>
          <w:sz w:val="24"/>
        </w:rPr>
      </w:pPr>
    </w:p>
    <w:p w:rsidR="0013144A" w:rsidRPr="00930F79" w:rsidRDefault="0013144A" w:rsidP="00A47984">
      <w:pPr>
        <w:rPr>
          <w:sz w:val="24"/>
        </w:rPr>
      </w:pPr>
    </w:p>
    <w:p w:rsidR="00930F79" w:rsidRPr="00930F79" w:rsidRDefault="00A47984" w:rsidP="00930F79">
      <w:pPr>
        <w:rPr>
          <w:sz w:val="24"/>
        </w:rPr>
      </w:pPr>
      <w:r w:rsidRPr="00930F79">
        <w:rPr>
          <w:sz w:val="24"/>
          <w:szCs w:val="24"/>
        </w:rPr>
        <w:t xml:space="preserve">Re:  </w:t>
      </w:r>
      <w:r w:rsidR="00930F79" w:rsidRPr="00930F79">
        <w:rPr>
          <w:sz w:val="24"/>
        </w:rPr>
        <w:t xml:space="preserve">Application of </w:t>
      </w:r>
      <w:r w:rsidR="0018386D">
        <w:rPr>
          <w:sz w:val="24"/>
        </w:rPr>
        <w:t>Locus</w:t>
      </w:r>
      <w:r w:rsidR="004F6F45">
        <w:rPr>
          <w:sz w:val="24"/>
        </w:rPr>
        <w:t xml:space="preserve"> Telecommunications</w:t>
      </w:r>
      <w:r w:rsidR="00930F79" w:rsidRPr="00930F79">
        <w:rPr>
          <w:sz w:val="24"/>
        </w:rPr>
        <w:t>, Inc.</w:t>
      </w:r>
      <w:r w:rsidR="00930F79">
        <w:rPr>
          <w:sz w:val="24"/>
        </w:rPr>
        <w:t xml:space="preserve"> </w:t>
      </w:r>
      <w:r w:rsidR="00930F79" w:rsidRPr="00930F79">
        <w:rPr>
          <w:sz w:val="24"/>
        </w:rPr>
        <w:t xml:space="preserve">for approval of </w:t>
      </w:r>
      <w:r w:rsidR="00A15824">
        <w:rPr>
          <w:sz w:val="24"/>
        </w:rPr>
        <w:t>an Intra-Corporate Reorganization</w:t>
      </w:r>
      <w:r w:rsidR="0006241D">
        <w:rPr>
          <w:sz w:val="24"/>
        </w:rPr>
        <w:t xml:space="preserve"> </w:t>
      </w:r>
    </w:p>
    <w:p w:rsidR="0013144A" w:rsidRPr="00AC2EA8" w:rsidRDefault="0013144A" w:rsidP="00A47984">
      <w:pPr>
        <w:rPr>
          <w:sz w:val="24"/>
          <w:szCs w:val="24"/>
        </w:rPr>
      </w:pPr>
    </w:p>
    <w:p w:rsidR="00A47984" w:rsidRPr="00AC2EA8" w:rsidRDefault="00A47984" w:rsidP="00A47984">
      <w:pPr>
        <w:rPr>
          <w:sz w:val="24"/>
          <w:szCs w:val="24"/>
        </w:rPr>
      </w:pPr>
      <w:r w:rsidRPr="00AC2EA8">
        <w:rPr>
          <w:sz w:val="24"/>
          <w:szCs w:val="24"/>
        </w:rPr>
        <w:t>Dear M</w:t>
      </w:r>
      <w:r w:rsidR="00A15824">
        <w:rPr>
          <w:sz w:val="24"/>
          <w:szCs w:val="24"/>
        </w:rPr>
        <w:t>s</w:t>
      </w:r>
      <w:r w:rsidRPr="00AC2EA8">
        <w:rPr>
          <w:sz w:val="24"/>
          <w:szCs w:val="24"/>
        </w:rPr>
        <w:t xml:space="preserve">. </w:t>
      </w:r>
      <w:r w:rsidR="005D6D86">
        <w:rPr>
          <w:sz w:val="24"/>
          <w:szCs w:val="24"/>
        </w:rPr>
        <w:t>S</w:t>
      </w:r>
      <w:r w:rsidR="00A15824">
        <w:rPr>
          <w:sz w:val="24"/>
          <w:szCs w:val="24"/>
        </w:rPr>
        <w:t>mith</w:t>
      </w:r>
      <w:r w:rsidRPr="00AC2EA8">
        <w:rPr>
          <w:sz w:val="24"/>
          <w:szCs w:val="24"/>
        </w:rPr>
        <w:t>:</w:t>
      </w:r>
    </w:p>
    <w:p w:rsidR="00A47984" w:rsidRPr="00AC2EA8" w:rsidRDefault="00A47984" w:rsidP="00A47984">
      <w:pPr>
        <w:rPr>
          <w:sz w:val="24"/>
          <w:szCs w:val="24"/>
        </w:rPr>
      </w:pPr>
    </w:p>
    <w:p w:rsidR="00EE4C81" w:rsidRPr="00EE4C81" w:rsidRDefault="00EE4C81" w:rsidP="00EE4C81">
      <w:pPr>
        <w:ind w:firstLine="1440"/>
        <w:rPr>
          <w:sz w:val="24"/>
          <w:szCs w:val="24"/>
        </w:rPr>
      </w:pPr>
      <w:r w:rsidRPr="00EE4C81">
        <w:rPr>
          <w:sz w:val="24"/>
          <w:szCs w:val="24"/>
        </w:rPr>
        <w:t xml:space="preserve">On </w:t>
      </w:r>
      <w:r w:rsidR="00A15824">
        <w:rPr>
          <w:sz w:val="24"/>
          <w:szCs w:val="24"/>
        </w:rPr>
        <w:t>March 18, 2015</w:t>
      </w:r>
      <w:r w:rsidR="00930F79">
        <w:rPr>
          <w:sz w:val="24"/>
          <w:szCs w:val="24"/>
        </w:rPr>
        <w:t xml:space="preserve">, </w:t>
      </w:r>
      <w:r w:rsidR="008F3A10">
        <w:rPr>
          <w:sz w:val="24"/>
        </w:rPr>
        <w:t>Locus Telecommunications</w:t>
      </w:r>
      <w:r w:rsidR="00930F79">
        <w:rPr>
          <w:sz w:val="24"/>
          <w:szCs w:val="24"/>
        </w:rPr>
        <w:t>, Inc.</w:t>
      </w:r>
      <w:r w:rsidRPr="00EE4C81">
        <w:rPr>
          <w:sz w:val="24"/>
          <w:szCs w:val="24"/>
        </w:rPr>
        <w:t xml:space="preserve"> </w:t>
      </w:r>
      <w:r w:rsidR="00FF79E8">
        <w:rPr>
          <w:sz w:val="24"/>
        </w:rPr>
        <w:t>(</w:t>
      </w:r>
      <w:r w:rsidR="0018386D">
        <w:rPr>
          <w:sz w:val="24"/>
        </w:rPr>
        <w:t>L</w:t>
      </w:r>
      <w:r w:rsidR="007E0673">
        <w:rPr>
          <w:sz w:val="24"/>
        </w:rPr>
        <w:t xml:space="preserve">ocus </w:t>
      </w:r>
      <w:r w:rsidR="00A15824">
        <w:rPr>
          <w:sz w:val="24"/>
        </w:rPr>
        <w:t>or Applicant</w:t>
      </w:r>
      <w:r w:rsidR="00FF79E8">
        <w:rPr>
          <w:sz w:val="24"/>
        </w:rPr>
        <w:t>)</w:t>
      </w:r>
      <w:r w:rsidR="00FF79E8" w:rsidRPr="00930F79">
        <w:rPr>
          <w:sz w:val="24"/>
        </w:rPr>
        <w:t xml:space="preserve"> </w:t>
      </w:r>
      <w:r w:rsidR="00A15824">
        <w:rPr>
          <w:sz w:val="24"/>
          <w:szCs w:val="24"/>
        </w:rPr>
        <w:t>filed an</w:t>
      </w:r>
      <w:r w:rsidRPr="00EE4C81">
        <w:rPr>
          <w:sz w:val="24"/>
          <w:szCs w:val="24"/>
        </w:rPr>
        <w:t xml:space="preserve"> application pursuant to Chapter 11 of the Pennsylvania Public Utility Code, 66 Pa. C.S. §§ 1101-1103 </w:t>
      </w:r>
      <w:r w:rsidR="00930F79">
        <w:rPr>
          <w:sz w:val="24"/>
          <w:szCs w:val="24"/>
        </w:rPr>
        <w:t>and</w:t>
      </w:r>
      <w:r w:rsidR="00930F79" w:rsidRPr="00EE4C81">
        <w:rPr>
          <w:sz w:val="24"/>
          <w:szCs w:val="24"/>
        </w:rPr>
        <w:t xml:space="preserve"> the Commission’s Abbreviated Procedures for Review and Approval of Transfer of Control for Telecommunications Public Utilities.  The application was filed as a </w:t>
      </w:r>
      <w:r w:rsidR="00930F79" w:rsidRPr="00EE4C81">
        <w:rPr>
          <w:i/>
          <w:sz w:val="24"/>
          <w:szCs w:val="24"/>
        </w:rPr>
        <w:t>General Rule Transaction</w:t>
      </w:r>
      <w:r w:rsidR="00930F79">
        <w:rPr>
          <w:sz w:val="24"/>
          <w:szCs w:val="24"/>
        </w:rPr>
        <w:t xml:space="preserve"> pursuant to </w:t>
      </w:r>
      <w:r w:rsidR="00930F79" w:rsidRPr="00EE4C81">
        <w:rPr>
          <w:sz w:val="24"/>
          <w:szCs w:val="24"/>
        </w:rPr>
        <w:t>52 Pa. Code § 63.324</w:t>
      </w:r>
      <w:r w:rsidR="00826B6D">
        <w:rPr>
          <w:sz w:val="24"/>
          <w:szCs w:val="24"/>
        </w:rPr>
        <w:t xml:space="preserve"> </w:t>
      </w:r>
      <w:r w:rsidRPr="00EE4C81">
        <w:rPr>
          <w:sz w:val="24"/>
          <w:szCs w:val="24"/>
        </w:rPr>
        <w:t xml:space="preserve">seeking approval </w:t>
      </w:r>
      <w:r w:rsidR="00A15824">
        <w:rPr>
          <w:sz w:val="24"/>
          <w:szCs w:val="24"/>
        </w:rPr>
        <w:t>of an intra-corporate reorganization.</w:t>
      </w:r>
    </w:p>
    <w:p w:rsidR="00671827" w:rsidRPr="00EE4C81" w:rsidRDefault="00671827" w:rsidP="00FF79E8">
      <w:pPr>
        <w:rPr>
          <w:sz w:val="24"/>
          <w:szCs w:val="24"/>
        </w:rPr>
      </w:pPr>
    </w:p>
    <w:p w:rsidR="00EE4C81" w:rsidRPr="00EE4C81" w:rsidRDefault="00EE4C81" w:rsidP="00EE4C81">
      <w:pPr>
        <w:ind w:firstLine="1440"/>
        <w:rPr>
          <w:sz w:val="24"/>
          <w:szCs w:val="24"/>
        </w:rPr>
      </w:pPr>
      <w:r w:rsidRPr="00EE4C81">
        <w:rPr>
          <w:sz w:val="24"/>
          <w:szCs w:val="24"/>
        </w:rPr>
        <w:t xml:space="preserve">Pursuant to 52 Pa. Code § 5.14, relating to applications requiring notice, a notice of the application for </w:t>
      </w:r>
      <w:r w:rsidR="00442709">
        <w:rPr>
          <w:sz w:val="24"/>
          <w:szCs w:val="24"/>
        </w:rPr>
        <w:t xml:space="preserve">a transfer of </w:t>
      </w:r>
      <w:r w:rsidR="00B03556">
        <w:rPr>
          <w:sz w:val="24"/>
          <w:szCs w:val="24"/>
        </w:rPr>
        <w:t xml:space="preserve">control </w:t>
      </w:r>
      <w:r w:rsidRPr="00EE4C81">
        <w:rPr>
          <w:sz w:val="24"/>
          <w:szCs w:val="24"/>
        </w:rPr>
        <w:t xml:space="preserve">was published on </w:t>
      </w:r>
      <w:r w:rsidR="00AD367C">
        <w:rPr>
          <w:sz w:val="24"/>
          <w:szCs w:val="24"/>
        </w:rPr>
        <w:t>March 28</w:t>
      </w:r>
      <w:r w:rsidR="0006241D">
        <w:rPr>
          <w:sz w:val="24"/>
          <w:szCs w:val="24"/>
        </w:rPr>
        <w:t>, 2013</w:t>
      </w:r>
      <w:r w:rsidR="00AD367C">
        <w:rPr>
          <w:sz w:val="24"/>
          <w:szCs w:val="24"/>
        </w:rPr>
        <w:t>5</w:t>
      </w:r>
      <w:r w:rsidRPr="00EE4C81">
        <w:rPr>
          <w:sz w:val="24"/>
          <w:szCs w:val="24"/>
        </w:rPr>
        <w:t>, in Volume 4</w:t>
      </w:r>
      <w:r w:rsidR="00AD367C">
        <w:rPr>
          <w:sz w:val="24"/>
          <w:szCs w:val="24"/>
        </w:rPr>
        <w:t>5</w:t>
      </w:r>
      <w:r w:rsidRPr="00EE4C81">
        <w:rPr>
          <w:sz w:val="24"/>
          <w:szCs w:val="24"/>
        </w:rPr>
        <w:t xml:space="preserve"> of the </w:t>
      </w:r>
      <w:r w:rsidRPr="00EE4C81">
        <w:rPr>
          <w:i/>
          <w:sz w:val="24"/>
          <w:szCs w:val="24"/>
        </w:rPr>
        <w:t>Pennsylvania Bulletin</w:t>
      </w:r>
      <w:r w:rsidRPr="00EE4C81">
        <w:rPr>
          <w:sz w:val="24"/>
          <w:szCs w:val="24"/>
        </w:rPr>
        <w:t xml:space="preserve"> (4</w:t>
      </w:r>
      <w:r w:rsidR="00AD367C">
        <w:rPr>
          <w:sz w:val="24"/>
          <w:szCs w:val="24"/>
        </w:rPr>
        <w:t>5</w:t>
      </w:r>
      <w:r w:rsidRPr="00EE4C81">
        <w:rPr>
          <w:sz w:val="24"/>
          <w:szCs w:val="24"/>
        </w:rPr>
        <w:t xml:space="preserve"> </w:t>
      </w:r>
      <w:r w:rsidRPr="00EE4C81">
        <w:rPr>
          <w:i/>
          <w:sz w:val="24"/>
          <w:szCs w:val="24"/>
        </w:rPr>
        <w:t>Pa.B.</w:t>
      </w:r>
      <w:r w:rsidRPr="00EE4C81">
        <w:rPr>
          <w:sz w:val="24"/>
          <w:szCs w:val="24"/>
        </w:rPr>
        <w:t xml:space="preserve"> </w:t>
      </w:r>
      <w:r w:rsidR="00AD367C">
        <w:rPr>
          <w:sz w:val="24"/>
          <w:szCs w:val="24"/>
        </w:rPr>
        <w:t>1591</w:t>
      </w:r>
      <w:r w:rsidRPr="00EE4C81">
        <w:rPr>
          <w:sz w:val="24"/>
          <w:szCs w:val="24"/>
        </w:rPr>
        <w:t>).  Additionally, copies of the application were served upon the Of</w:t>
      </w:r>
      <w:r w:rsidR="0022060B">
        <w:rPr>
          <w:sz w:val="24"/>
          <w:szCs w:val="24"/>
        </w:rPr>
        <w:t xml:space="preserve">fice of Small Business Advocate, </w:t>
      </w:r>
      <w:r w:rsidRPr="00EE4C81">
        <w:rPr>
          <w:sz w:val="24"/>
          <w:szCs w:val="24"/>
        </w:rPr>
        <w:t>the Office of Consumer Advocate</w:t>
      </w:r>
      <w:r w:rsidR="0022060B">
        <w:rPr>
          <w:sz w:val="24"/>
          <w:szCs w:val="24"/>
        </w:rPr>
        <w:t>, and the Office of the Attorney General</w:t>
      </w:r>
      <w:r w:rsidRPr="00EE4C81">
        <w:rPr>
          <w:sz w:val="24"/>
          <w:szCs w:val="24"/>
        </w:rPr>
        <w:t>.  Further notice was not required and no protests or comments have been received.</w:t>
      </w:r>
    </w:p>
    <w:p w:rsidR="00FF79E8" w:rsidRDefault="00FF79E8" w:rsidP="00AD367C">
      <w:pPr>
        <w:autoSpaceDE w:val="0"/>
        <w:autoSpaceDN w:val="0"/>
        <w:adjustRightInd w:val="0"/>
        <w:rPr>
          <w:sz w:val="24"/>
          <w:szCs w:val="24"/>
        </w:rPr>
      </w:pPr>
    </w:p>
    <w:p w:rsidR="004F6F45" w:rsidRPr="004F6F45" w:rsidRDefault="0018386D" w:rsidP="0018386D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Locus</w:t>
      </w:r>
      <w:r w:rsidR="004F6F45" w:rsidRPr="004F6F45">
        <w:rPr>
          <w:sz w:val="24"/>
          <w:szCs w:val="24"/>
        </w:rPr>
        <w:t xml:space="preserve"> is a Delaware corporation based in Fort Lee, NJ that is authorized to provide telecommunications services in 12 states.  In Pennsylvania, </w:t>
      </w:r>
      <w:r>
        <w:rPr>
          <w:sz w:val="24"/>
          <w:szCs w:val="24"/>
        </w:rPr>
        <w:t>Locus</w:t>
      </w:r>
      <w:r w:rsidR="004F6F45" w:rsidRPr="004F6F45">
        <w:rPr>
          <w:sz w:val="24"/>
          <w:szCs w:val="24"/>
        </w:rPr>
        <w:t>, utility code 310375, is certified to provide service as an IXC reseller pursuant to authority granted by the Commission in an Order entered on July 18, 1996, at Docket No. A</w:t>
      </w:r>
      <w:r w:rsidR="004F6F45" w:rsidRPr="004F6F45">
        <w:rPr>
          <w:sz w:val="24"/>
          <w:szCs w:val="24"/>
        </w:rPr>
        <w:noBreakHyphen/>
        <w:t xml:space="preserve">310375.  </w:t>
      </w:r>
      <w:r>
        <w:rPr>
          <w:sz w:val="24"/>
          <w:szCs w:val="24"/>
        </w:rPr>
        <w:t>Locus</w:t>
      </w:r>
      <w:r w:rsidR="004F6F45" w:rsidRPr="004F6F45">
        <w:rPr>
          <w:sz w:val="24"/>
          <w:szCs w:val="24"/>
        </w:rPr>
        <w:t xml:space="preserve"> is a wholly owned subsidiary of KDDI America, Inc. (KDDI).</w:t>
      </w:r>
    </w:p>
    <w:p w:rsidR="0006241D" w:rsidRPr="0006241D" w:rsidRDefault="0006241D" w:rsidP="0006241D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06241D" w:rsidRPr="00FF79E8" w:rsidRDefault="0006241D" w:rsidP="00FF79E8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FF79E8" w:rsidRPr="00FF79E8" w:rsidRDefault="00FF79E8" w:rsidP="002B6D23">
      <w:pPr>
        <w:autoSpaceDE w:val="0"/>
        <w:autoSpaceDN w:val="0"/>
        <w:adjustRightInd w:val="0"/>
        <w:ind w:firstLine="1440"/>
        <w:rPr>
          <w:sz w:val="24"/>
          <w:szCs w:val="24"/>
        </w:rPr>
      </w:pPr>
      <w:r w:rsidRPr="00FF79E8">
        <w:rPr>
          <w:sz w:val="24"/>
          <w:szCs w:val="24"/>
        </w:rPr>
        <w:t>KDDI, utility code 311269, is a New York corporation headquartered in New York, NY.  The Applicant state</w:t>
      </w:r>
      <w:r w:rsidR="008F3A10">
        <w:rPr>
          <w:sz w:val="24"/>
          <w:szCs w:val="24"/>
        </w:rPr>
        <w:t>s</w:t>
      </w:r>
      <w:r w:rsidRPr="00FF79E8">
        <w:rPr>
          <w:sz w:val="24"/>
          <w:szCs w:val="24"/>
        </w:rPr>
        <w:t xml:space="preserve"> that KDDI is authorized to provide interexchange telecommunication services in 42 states.  In Pennsylvania, KDDI is certified to provide </w:t>
      </w:r>
      <w:r w:rsidR="00826B6D">
        <w:rPr>
          <w:sz w:val="24"/>
          <w:szCs w:val="24"/>
        </w:rPr>
        <w:t>telecommunications s</w:t>
      </w:r>
      <w:r w:rsidRPr="00FF79E8">
        <w:rPr>
          <w:sz w:val="24"/>
          <w:szCs w:val="24"/>
        </w:rPr>
        <w:t>ervices as a</w:t>
      </w:r>
      <w:r w:rsidR="00826B6D">
        <w:rPr>
          <w:sz w:val="24"/>
          <w:szCs w:val="24"/>
        </w:rPr>
        <w:t>n IXC pursuant to</w:t>
      </w:r>
      <w:r w:rsidRPr="00FF79E8">
        <w:rPr>
          <w:sz w:val="24"/>
          <w:szCs w:val="24"/>
        </w:rPr>
        <w:t xml:space="preserve"> </w:t>
      </w:r>
      <w:r w:rsidR="00A80784">
        <w:rPr>
          <w:sz w:val="24"/>
          <w:szCs w:val="24"/>
        </w:rPr>
        <w:t xml:space="preserve">authority granted by the Commission in </w:t>
      </w:r>
      <w:r w:rsidR="0009183C">
        <w:rPr>
          <w:sz w:val="24"/>
          <w:szCs w:val="24"/>
        </w:rPr>
        <w:t>an order entered on July 18</w:t>
      </w:r>
      <w:r w:rsidR="0009183C" w:rsidRPr="00FF79E8">
        <w:rPr>
          <w:sz w:val="24"/>
          <w:szCs w:val="24"/>
        </w:rPr>
        <w:t>, 2003</w:t>
      </w:r>
      <w:r w:rsidR="0009183C">
        <w:rPr>
          <w:sz w:val="24"/>
          <w:szCs w:val="24"/>
        </w:rPr>
        <w:t xml:space="preserve"> at </w:t>
      </w:r>
      <w:r w:rsidRPr="00FF79E8">
        <w:rPr>
          <w:sz w:val="24"/>
          <w:szCs w:val="24"/>
        </w:rPr>
        <w:t xml:space="preserve">Docket No. </w:t>
      </w:r>
      <w:proofErr w:type="gramStart"/>
      <w:r w:rsidRPr="00FF79E8">
        <w:rPr>
          <w:sz w:val="24"/>
          <w:szCs w:val="24"/>
        </w:rPr>
        <w:t>A-311269.</w:t>
      </w:r>
      <w:proofErr w:type="gramEnd"/>
      <w:r w:rsidR="0006241D">
        <w:rPr>
          <w:sz w:val="24"/>
          <w:szCs w:val="24"/>
        </w:rPr>
        <w:t xml:space="preserve"> </w:t>
      </w:r>
      <w:r w:rsidRPr="00FF79E8">
        <w:rPr>
          <w:sz w:val="24"/>
          <w:szCs w:val="24"/>
        </w:rPr>
        <w:t xml:space="preserve"> </w:t>
      </w:r>
      <w:r w:rsidR="0006241D">
        <w:rPr>
          <w:sz w:val="24"/>
          <w:szCs w:val="24"/>
        </w:rPr>
        <w:t>KDDI</w:t>
      </w:r>
      <w:r w:rsidR="0006241D" w:rsidRPr="00FF79E8">
        <w:rPr>
          <w:sz w:val="24"/>
          <w:szCs w:val="24"/>
        </w:rPr>
        <w:t xml:space="preserve"> is authorized to provide resold wireless services throughout the United States as well as domestic interstate and international </w:t>
      </w:r>
      <w:r w:rsidR="007E0673">
        <w:rPr>
          <w:sz w:val="24"/>
          <w:szCs w:val="24"/>
        </w:rPr>
        <w:t>telecommunications</w:t>
      </w:r>
      <w:r w:rsidR="0006241D" w:rsidRPr="00FF79E8">
        <w:rPr>
          <w:sz w:val="24"/>
          <w:szCs w:val="24"/>
        </w:rPr>
        <w:t xml:space="preserve"> services pursua</w:t>
      </w:r>
      <w:r w:rsidR="0006241D">
        <w:rPr>
          <w:sz w:val="24"/>
          <w:szCs w:val="24"/>
        </w:rPr>
        <w:t>nt to FCC rules and regulations.</w:t>
      </w:r>
      <w:r w:rsidR="0006241D" w:rsidRPr="00826B6D">
        <w:rPr>
          <w:sz w:val="24"/>
          <w:szCs w:val="24"/>
        </w:rPr>
        <w:t xml:space="preserve"> </w:t>
      </w:r>
      <w:r w:rsidR="0006241D">
        <w:rPr>
          <w:sz w:val="24"/>
          <w:szCs w:val="24"/>
        </w:rPr>
        <w:t xml:space="preserve"> </w:t>
      </w:r>
      <w:r w:rsidR="00826B6D">
        <w:rPr>
          <w:sz w:val="24"/>
          <w:szCs w:val="24"/>
        </w:rPr>
        <w:t>KDDI</w:t>
      </w:r>
      <w:r w:rsidRPr="00FF79E8">
        <w:rPr>
          <w:sz w:val="24"/>
          <w:szCs w:val="24"/>
        </w:rPr>
        <w:t xml:space="preserve"> is a wholly-owned subsidiary </w:t>
      </w:r>
      <w:r w:rsidR="0022060B">
        <w:rPr>
          <w:sz w:val="24"/>
          <w:szCs w:val="24"/>
        </w:rPr>
        <w:t xml:space="preserve">of </w:t>
      </w:r>
      <w:r w:rsidRPr="00FF79E8">
        <w:rPr>
          <w:sz w:val="24"/>
          <w:szCs w:val="24"/>
        </w:rPr>
        <w:t>KDDI Corporation</w:t>
      </w:r>
      <w:r w:rsidR="00826B6D">
        <w:rPr>
          <w:sz w:val="24"/>
          <w:szCs w:val="24"/>
        </w:rPr>
        <w:t>,</w:t>
      </w:r>
      <w:r w:rsidRPr="00FF79E8">
        <w:rPr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 w:rsidRPr="00FF79E8">
        <w:rPr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 w:rsidRPr="00FF79E8">
        <w:rPr>
          <w:sz w:val="24"/>
          <w:szCs w:val="24"/>
        </w:rPr>
        <w:t xml:space="preserve"> headquartered in Tokyo, Japan.  </w:t>
      </w:r>
    </w:p>
    <w:p w:rsidR="00FE71E7" w:rsidRDefault="00FE71E7" w:rsidP="00FF79E8">
      <w:pPr>
        <w:rPr>
          <w:sz w:val="24"/>
          <w:szCs w:val="24"/>
        </w:rPr>
      </w:pPr>
    </w:p>
    <w:p w:rsidR="00FE1F01" w:rsidRDefault="00DC3502" w:rsidP="00FE71E7">
      <w:pPr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Applicant proposes an internal </w:t>
      </w:r>
      <w:r w:rsidR="007E0673">
        <w:rPr>
          <w:sz w:val="24"/>
          <w:szCs w:val="24"/>
        </w:rPr>
        <w:t xml:space="preserve">corporate structure </w:t>
      </w:r>
      <w:r>
        <w:rPr>
          <w:sz w:val="24"/>
          <w:szCs w:val="24"/>
        </w:rPr>
        <w:t xml:space="preserve">reorganization that would add a </w:t>
      </w:r>
      <w:r w:rsidR="007E0673">
        <w:rPr>
          <w:sz w:val="24"/>
          <w:szCs w:val="24"/>
        </w:rPr>
        <w:t xml:space="preserve">new </w:t>
      </w:r>
      <w:r w:rsidR="00FE1F01">
        <w:rPr>
          <w:sz w:val="24"/>
          <w:szCs w:val="24"/>
        </w:rPr>
        <w:t xml:space="preserve">company between </w:t>
      </w:r>
      <w:r w:rsidR="0018386D">
        <w:rPr>
          <w:sz w:val="24"/>
          <w:szCs w:val="24"/>
        </w:rPr>
        <w:t>L</w:t>
      </w:r>
      <w:r w:rsidR="002B6D23">
        <w:rPr>
          <w:sz w:val="24"/>
          <w:szCs w:val="24"/>
        </w:rPr>
        <w:t>ocus</w:t>
      </w:r>
      <w:r w:rsidR="00FE1F01">
        <w:rPr>
          <w:sz w:val="24"/>
          <w:szCs w:val="24"/>
        </w:rPr>
        <w:t xml:space="preserve"> and KDDI.</w:t>
      </w:r>
      <w:r w:rsidR="007E0673" w:rsidRPr="007E0673">
        <w:rPr>
          <w:sz w:val="24"/>
          <w:szCs w:val="24"/>
          <w:vertAlign w:val="superscript"/>
        </w:rPr>
        <w:t xml:space="preserve"> </w:t>
      </w:r>
      <w:r w:rsidR="007E0673" w:rsidRPr="007E0673">
        <w:rPr>
          <w:sz w:val="24"/>
          <w:szCs w:val="24"/>
          <w:vertAlign w:val="superscript"/>
        </w:rPr>
        <w:footnoteReference w:id="1"/>
      </w:r>
      <w:r w:rsidR="007E0673" w:rsidRPr="007E0673">
        <w:rPr>
          <w:sz w:val="24"/>
          <w:szCs w:val="24"/>
        </w:rPr>
        <w:t xml:space="preserve"> </w:t>
      </w:r>
      <w:r w:rsidR="00FE1F01">
        <w:rPr>
          <w:sz w:val="24"/>
          <w:szCs w:val="24"/>
        </w:rPr>
        <w:t xml:space="preserve">  The new entity would be called KDDI US Holding, Inc. and would become the direct corporate parent of </w:t>
      </w:r>
      <w:r w:rsidR="0018386D">
        <w:rPr>
          <w:sz w:val="24"/>
          <w:szCs w:val="24"/>
        </w:rPr>
        <w:t>L</w:t>
      </w:r>
      <w:r w:rsidR="002B6D23">
        <w:rPr>
          <w:sz w:val="24"/>
          <w:szCs w:val="24"/>
        </w:rPr>
        <w:t>ocus</w:t>
      </w:r>
      <w:r w:rsidR="00FE1F01">
        <w:rPr>
          <w:sz w:val="24"/>
          <w:szCs w:val="24"/>
        </w:rPr>
        <w:t xml:space="preserve">.  Additionally, </w:t>
      </w:r>
      <w:r w:rsidR="0018386D">
        <w:rPr>
          <w:sz w:val="24"/>
          <w:szCs w:val="24"/>
        </w:rPr>
        <w:t>L</w:t>
      </w:r>
      <w:r w:rsidR="002B6D23">
        <w:rPr>
          <w:sz w:val="24"/>
          <w:szCs w:val="24"/>
        </w:rPr>
        <w:t>ocus</w:t>
      </w:r>
      <w:r w:rsidR="00FE1F01">
        <w:rPr>
          <w:sz w:val="24"/>
          <w:szCs w:val="24"/>
        </w:rPr>
        <w:t xml:space="preserve"> would convert from a corporation to a Delaware limited liability company.  </w:t>
      </w:r>
    </w:p>
    <w:p w:rsidR="00FE1F01" w:rsidRDefault="00FE1F01" w:rsidP="00FE71E7">
      <w:pPr>
        <w:ind w:firstLine="1440"/>
        <w:rPr>
          <w:sz w:val="24"/>
          <w:szCs w:val="24"/>
        </w:rPr>
      </w:pPr>
    </w:p>
    <w:p w:rsidR="00E160C0" w:rsidRDefault="00FE71E7" w:rsidP="00FE71E7">
      <w:pPr>
        <w:ind w:firstLine="1440"/>
        <w:rPr>
          <w:sz w:val="24"/>
          <w:szCs w:val="24"/>
        </w:rPr>
      </w:pPr>
      <w:r w:rsidRPr="00FE71E7">
        <w:rPr>
          <w:sz w:val="24"/>
          <w:szCs w:val="24"/>
        </w:rPr>
        <w:t xml:space="preserve">The </w:t>
      </w:r>
      <w:r w:rsidR="00FE1F01">
        <w:rPr>
          <w:sz w:val="24"/>
          <w:szCs w:val="24"/>
        </w:rPr>
        <w:t>Applicant</w:t>
      </w:r>
      <w:r w:rsidRPr="00FE71E7">
        <w:rPr>
          <w:sz w:val="24"/>
          <w:szCs w:val="24"/>
        </w:rPr>
        <w:t xml:space="preserve"> submit</w:t>
      </w:r>
      <w:r w:rsidR="00FE1F01">
        <w:rPr>
          <w:sz w:val="24"/>
          <w:szCs w:val="24"/>
        </w:rPr>
        <w:t>s</w:t>
      </w:r>
      <w:r w:rsidRPr="00FE71E7">
        <w:rPr>
          <w:sz w:val="24"/>
          <w:szCs w:val="24"/>
        </w:rPr>
        <w:t xml:space="preserve"> that the </w:t>
      </w:r>
      <w:r w:rsidR="00DC3502">
        <w:rPr>
          <w:sz w:val="24"/>
          <w:szCs w:val="24"/>
        </w:rPr>
        <w:t>intra-corporate re-organization</w:t>
      </w:r>
      <w:r w:rsidRPr="00FE71E7">
        <w:rPr>
          <w:sz w:val="24"/>
          <w:szCs w:val="24"/>
        </w:rPr>
        <w:t xml:space="preserve"> is in the public interest</w:t>
      </w:r>
      <w:r w:rsidR="00FF79E8">
        <w:rPr>
          <w:sz w:val="24"/>
          <w:szCs w:val="24"/>
        </w:rPr>
        <w:t xml:space="preserve"> and</w:t>
      </w:r>
      <w:r w:rsidRPr="00FE71E7">
        <w:rPr>
          <w:sz w:val="24"/>
          <w:szCs w:val="24"/>
        </w:rPr>
        <w:t xml:space="preserve"> will be transparent to the current customers, i.e., customers will continue to receive service without disruption under the same rates, terms and conditions.  The </w:t>
      </w:r>
      <w:r w:rsidR="00925A41">
        <w:rPr>
          <w:sz w:val="24"/>
          <w:szCs w:val="24"/>
        </w:rPr>
        <w:t>Applicant</w:t>
      </w:r>
      <w:r w:rsidRPr="00FE71E7">
        <w:rPr>
          <w:sz w:val="24"/>
          <w:szCs w:val="24"/>
        </w:rPr>
        <w:t xml:space="preserve"> aver</w:t>
      </w:r>
      <w:r w:rsidR="00925A41">
        <w:rPr>
          <w:sz w:val="24"/>
          <w:szCs w:val="24"/>
        </w:rPr>
        <w:t>s</w:t>
      </w:r>
      <w:r w:rsidRPr="00FE71E7">
        <w:rPr>
          <w:sz w:val="24"/>
          <w:szCs w:val="24"/>
        </w:rPr>
        <w:t xml:space="preserve"> that by permitting </w:t>
      </w:r>
      <w:r w:rsidR="00A00D4C">
        <w:rPr>
          <w:sz w:val="24"/>
          <w:szCs w:val="24"/>
        </w:rPr>
        <w:t xml:space="preserve">the </w:t>
      </w:r>
      <w:r w:rsidR="00925A41">
        <w:rPr>
          <w:sz w:val="24"/>
          <w:szCs w:val="24"/>
        </w:rPr>
        <w:t>corporate reorganization</w:t>
      </w:r>
      <w:r w:rsidR="00205228">
        <w:rPr>
          <w:sz w:val="24"/>
          <w:szCs w:val="24"/>
        </w:rPr>
        <w:t xml:space="preserve">, </w:t>
      </w:r>
      <w:r w:rsidR="0018386D">
        <w:rPr>
          <w:sz w:val="24"/>
          <w:szCs w:val="24"/>
        </w:rPr>
        <w:t>L</w:t>
      </w:r>
      <w:r w:rsidR="002B6D23">
        <w:rPr>
          <w:sz w:val="24"/>
          <w:szCs w:val="24"/>
        </w:rPr>
        <w:t>ocus</w:t>
      </w:r>
      <w:r w:rsidR="00E160C0">
        <w:rPr>
          <w:sz w:val="24"/>
          <w:szCs w:val="24"/>
        </w:rPr>
        <w:t xml:space="preserve"> </w:t>
      </w:r>
      <w:r w:rsidR="00925A41">
        <w:rPr>
          <w:sz w:val="24"/>
          <w:szCs w:val="24"/>
        </w:rPr>
        <w:t>is able to enhance the quality and availability of its services, which directly benefits the public</w:t>
      </w:r>
      <w:r w:rsidR="00E160C0">
        <w:rPr>
          <w:sz w:val="24"/>
          <w:szCs w:val="24"/>
        </w:rPr>
        <w:t xml:space="preserve">.  </w:t>
      </w:r>
    </w:p>
    <w:p w:rsidR="009E0843" w:rsidRPr="00AC2EA8" w:rsidRDefault="009E0843" w:rsidP="009E0843">
      <w:pPr>
        <w:ind w:firstLine="1440"/>
        <w:rPr>
          <w:sz w:val="24"/>
          <w:szCs w:val="24"/>
        </w:rPr>
      </w:pPr>
    </w:p>
    <w:p w:rsidR="00834B05" w:rsidRPr="00AC2EA8" w:rsidRDefault="002B6D23" w:rsidP="00F65B62">
      <w:pPr>
        <w:ind w:firstLine="1440"/>
        <w:rPr>
          <w:sz w:val="24"/>
          <w:szCs w:val="24"/>
        </w:rPr>
      </w:pPr>
      <w:r>
        <w:rPr>
          <w:sz w:val="24"/>
          <w:szCs w:val="24"/>
        </w:rPr>
        <w:t>Locus</w:t>
      </w:r>
      <w:r w:rsidR="00F65B62" w:rsidRPr="00AC2EA8">
        <w:rPr>
          <w:sz w:val="24"/>
          <w:szCs w:val="24"/>
        </w:rPr>
        <w:t xml:space="preserve"> </w:t>
      </w:r>
      <w:r w:rsidR="00F630A7" w:rsidRPr="00AC2EA8">
        <w:rPr>
          <w:sz w:val="24"/>
          <w:szCs w:val="24"/>
        </w:rPr>
        <w:t>state</w:t>
      </w:r>
      <w:r w:rsidR="00925A41">
        <w:rPr>
          <w:sz w:val="24"/>
          <w:szCs w:val="24"/>
        </w:rPr>
        <w:t>s</w:t>
      </w:r>
      <w:r w:rsidR="00F65B62" w:rsidRPr="00AC2EA8">
        <w:rPr>
          <w:sz w:val="24"/>
          <w:szCs w:val="24"/>
        </w:rPr>
        <w:t xml:space="preserve"> that </w:t>
      </w:r>
      <w:r w:rsidR="00925A41">
        <w:rPr>
          <w:sz w:val="24"/>
          <w:szCs w:val="24"/>
        </w:rPr>
        <w:t>it is</w:t>
      </w:r>
      <w:r w:rsidR="00313BE5">
        <w:rPr>
          <w:sz w:val="24"/>
          <w:szCs w:val="24"/>
        </w:rPr>
        <w:t xml:space="preserve"> not</w:t>
      </w:r>
      <w:r w:rsidR="00F65B62" w:rsidRPr="00AC2EA8">
        <w:rPr>
          <w:sz w:val="24"/>
          <w:szCs w:val="24"/>
        </w:rPr>
        <w:t xml:space="preserve"> subject to a broadband deployment commitment under state law.</w:t>
      </w:r>
      <w:r w:rsidR="00313BE5">
        <w:rPr>
          <w:sz w:val="24"/>
          <w:szCs w:val="24"/>
        </w:rPr>
        <w:t xml:space="preserve">  </w:t>
      </w:r>
      <w:r w:rsidR="00925A41">
        <w:rPr>
          <w:sz w:val="24"/>
          <w:szCs w:val="24"/>
        </w:rPr>
        <w:t>The Applicant</w:t>
      </w:r>
      <w:r w:rsidR="00F65B62" w:rsidRPr="00AC2EA8">
        <w:rPr>
          <w:sz w:val="24"/>
          <w:szCs w:val="24"/>
        </w:rPr>
        <w:t xml:space="preserve"> further assert</w:t>
      </w:r>
      <w:r w:rsidR="00925A41">
        <w:rPr>
          <w:sz w:val="24"/>
          <w:szCs w:val="24"/>
        </w:rPr>
        <w:t>s</w:t>
      </w:r>
      <w:r w:rsidR="00F65B62" w:rsidRPr="00AC2EA8">
        <w:rPr>
          <w:sz w:val="24"/>
          <w:szCs w:val="24"/>
        </w:rPr>
        <w:t xml:space="preserve"> that</w:t>
      </w:r>
      <w:r w:rsidR="00313BE5">
        <w:rPr>
          <w:sz w:val="24"/>
          <w:szCs w:val="24"/>
        </w:rPr>
        <w:t xml:space="preserve"> </w:t>
      </w:r>
      <w:r w:rsidR="00925A41">
        <w:rPr>
          <w:sz w:val="24"/>
          <w:szCs w:val="24"/>
        </w:rPr>
        <w:t>it does</w:t>
      </w:r>
      <w:r w:rsidR="00313BE5">
        <w:rPr>
          <w:sz w:val="24"/>
          <w:szCs w:val="24"/>
        </w:rPr>
        <w:t xml:space="preserve"> not have</w:t>
      </w:r>
      <w:r w:rsidR="00F65B62" w:rsidRPr="00AC2EA8">
        <w:rPr>
          <w:sz w:val="24"/>
          <w:szCs w:val="24"/>
        </w:rPr>
        <w:t xml:space="preserve"> eligible telecommunications carrier </w:t>
      </w:r>
      <w:r w:rsidR="00313BE5">
        <w:rPr>
          <w:sz w:val="24"/>
          <w:szCs w:val="24"/>
        </w:rPr>
        <w:t xml:space="preserve">status </w:t>
      </w:r>
      <w:r w:rsidR="00F65B62" w:rsidRPr="00AC2EA8">
        <w:rPr>
          <w:sz w:val="24"/>
          <w:szCs w:val="24"/>
        </w:rPr>
        <w:t xml:space="preserve">under Federal law and </w:t>
      </w:r>
      <w:r w:rsidR="002F6FE6">
        <w:rPr>
          <w:sz w:val="24"/>
          <w:szCs w:val="24"/>
        </w:rPr>
        <w:t>t</w:t>
      </w:r>
      <w:r w:rsidR="00F65B62" w:rsidRPr="00AC2EA8">
        <w:rPr>
          <w:sz w:val="24"/>
          <w:szCs w:val="24"/>
        </w:rPr>
        <w:t>he proposed transaction complies with the prohibition against cross-subsidization imposed under Federal and State law.</w:t>
      </w:r>
    </w:p>
    <w:p w:rsidR="00B45EFD" w:rsidRPr="00AC2EA8" w:rsidRDefault="00B45EFD" w:rsidP="00FB6B8C">
      <w:pPr>
        <w:rPr>
          <w:sz w:val="24"/>
          <w:szCs w:val="24"/>
        </w:rPr>
      </w:pPr>
    </w:p>
    <w:p w:rsidR="00271A9E" w:rsidRDefault="00477EFF" w:rsidP="00094F41">
      <w:pPr>
        <w:ind w:firstLine="1440"/>
        <w:rPr>
          <w:sz w:val="24"/>
          <w:szCs w:val="24"/>
        </w:rPr>
      </w:pPr>
      <w:r w:rsidRPr="00477EFF">
        <w:rPr>
          <w:sz w:val="24"/>
          <w:szCs w:val="24"/>
        </w:rPr>
        <w:t>As required by Section 63.32</w:t>
      </w:r>
      <w:r w:rsidR="00FF79E8">
        <w:rPr>
          <w:sz w:val="24"/>
          <w:szCs w:val="24"/>
        </w:rPr>
        <w:t>4</w:t>
      </w:r>
      <w:r w:rsidRPr="00477EFF">
        <w:rPr>
          <w:sz w:val="24"/>
          <w:szCs w:val="24"/>
        </w:rPr>
        <w:t>(k)(1) of our rules,</w:t>
      </w:r>
      <w:r w:rsidR="000A2233">
        <w:rPr>
          <w:sz w:val="24"/>
          <w:szCs w:val="24"/>
        </w:rPr>
        <w:t xml:space="preserve"> 52 Pa. Code</w:t>
      </w:r>
      <w:r w:rsidR="0022060B">
        <w:rPr>
          <w:sz w:val="24"/>
          <w:szCs w:val="24"/>
        </w:rPr>
        <w:t xml:space="preserve"> § 63.324</w:t>
      </w:r>
      <w:r w:rsidR="000A2233">
        <w:rPr>
          <w:sz w:val="24"/>
          <w:szCs w:val="24"/>
        </w:rPr>
        <w:t>(k)(1),</w:t>
      </w:r>
      <w:r w:rsidRPr="00477EFF">
        <w:rPr>
          <w:sz w:val="24"/>
          <w:szCs w:val="24"/>
        </w:rPr>
        <w:t xml:space="preserve"> we find that the record sufficiently supports the Applicant</w:t>
      </w:r>
      <w:r w:rsidR="00925A41">
        <w:rPr>
          <w:sz w:val="24"/>
          <w:szCs w:val="24"/>
        </w:rPr>
        <w:t>’</w:t>
      </w:r>
      <w:r w:rsidRPr="00477EFF">
        <w:rPr>
          <w:sz w:val="24"/>
          <w:szCs w:val="24"/>
        </w:rPr>
        <w:t xml:space="preserve">s claim that the </w:t>
      </w:r>
      <w:r w:rsidR="00925A41">
        <w:rPr>
          <w:sz w:val="24"/>
          <w:szCs w:val="24"/>
        </w:rPr>
        <w:t>reorganization</w:t>
      </w:r>
      <w:r w:rsidR="000213B8">
        <w:rPr>
          <w:sz w:val="24"/>
          <w:szCs w:val="24"/>
        </w:rPr>
        <w:t xml:space="preserve"> </w:t>
      </w:r>
      <w:r w:rsidR="000213B8" w:rsidRPr="000213B8">
        <w:rPr>
          <w:sz w:val="24"/>
          <w:szCs w:val="24"/>
        </w:rPr>
        <w:t>will benefit customers by providing continuity of service to existing customer</w:t>
      </w:r>
      <w:r w:rsidR="00826B6D">
        <w:rPr>
          <w:sz w:val="24"/>
          <w:szCs w:val="24"/>
        </w:rPr>
        <w:t>s</w:t>
      </w:r>
      <w:r w:rsidR="000213B8" w:rsidRPr="000213B8">
        <w:rPr>
          <w:sz w:val="24"/>
          <w:szCs w:val="24"/>
        </w:rPr>
        <w:t xml:space="preserve"> and will increase the financial and managerial resources available to these customers</w:t>
      </w:r>
      <w:r w:rsidR="009931DD">
        <w:rPr>
          <w:sz w:val="24"/>
          <w:szCs w:val="24"/>
        </w:rPr>
        <w:t>.</w:t>
      </w:r>
      <w:r w:rsidR="00DD153F" w:rsidRPr="00DD153F">
        <w:rPr>
          <w:sz w:val="24"/>
          <w:szCs w:val="24"/>
        </w:rPr>
        <w:t xml:space="preserve">  After the proposed transaction, </w:t>
      </w:r>
      <w:r w:rsidR="0018386D">
        <w:rPr>
          <w:sz w:val="24"/>
          <w:szCs w:val="24"/>
        </w:rPr>
        <w:t>L</w:t>
      </w:r>
      <w:r w:rsidR="002B6D23">
        <w:rPr>
          <w:sz w:val="24"/>
          <w:szCs w:val="24"/>
        </w:rPr>
        <w:t>ocus</w:t>
      </w:r>
      <w:r w:rsidR="00DD153F" w:rsidRPr="00DD153F">
        <w:rPr>
          <w:sz w:val="24"/>
          <w:szCs w:val="24"/>
        </w:rPr>
        <w:t xml:space="preserve"> will continue to provide telecommunication services at the same rates, terms and conditions and, therefore, the transaction will be transparent to current customers.  For the reasons advanced by the </w:t>
      </w:r>
      <w:r w:rsidR="00925A41">
        <w:rPr>
          <w:sz w:val="24"/>
          <w:szCs w:val="24"/>
        </w:rPr>
        <w:t>Applicant</w:t>
      </w:r>
      <w:r w:rsidR="00DD153F" w:rsidRPr="00DD153F">
        <w:rPr>
          <w:sz w:val="24"/>
          <w:szCs w:val="24"/>
        </w:rPr>
        <w:t xml:space="preserve">, we conclude that the record provides substantial evidence of affirmative public benefits sufficient to warrant approval of the proposed transaction under </w:t>
      </w:r>
      <w:r w:rsidR="00DD153F" w:rsidRPr="00DD153F">
        <w:rPr>
          <w:i/>
          <w:iCs/>
          <w:sz w:val="24"/>
          <w:szCs w:val="24"/>
        </w:rPr>
        <w:t>City of York v.</w:t>
      </w:r>
      <w:r w:rsidR="00DD153F" w:rsidRPr="00DD153F">
        <w:rPr>
          <w:i/>
          <w:sz w:val="24"/>
          <w:szCs w:val="24"/>
        </w:rPr>
        <w:t xml:space="preserve"> </w:t>
      </w:r>
      <w:r w:rsidR="005C5DD3">
        <w:rPr>
          <w:i/>
          <w:iCs/>
          <w:sz w:val="24"/>
          <w:szCs w:val="24"/>
        </w:rPr>
        <w:t>Pa. PUC</w:t>
      </w:r>
      <w:r w:rsidR="00DD153F" w:rsidRPr="00DD153F">
        <w:rPr>
          <w:iCs/>
          <w:sz w:val="24"/>
          <w:szCs w:val="24"/>
        </w:rPr>
        <w:t xml:space="preserve">, </w:t>
      </w:r>
      <w:r w:rsidR="00DD153F" w:rsidRPr="00DD153F">
        <w:rPr>
          <w:sz w:val="24"/>
          <w:szCs w:val="24"/>
        </w:rPr>
        <w:t xml:space="preserve">295 A.2d 825 (Pa. 1972) and </w:t>
      </w:r>
      <w:r w:rsidR="00DD153F" w:rsidRPr="00DD153F">
        <w:rPr>
          <w:i/>
          <w:sz w:val="24"/>
          <w:szCs w:val="24"/>
        </w:rPr>
        <w:t>I</w:t>
      </w:r>
      <w:r w:rsidR="00DD153F" w:rsidRPr="00DD153F">
        <w:rPr>
          <w:i/>
          <w:iCs/>
          <w:sz w:val="24"/>
          <w:szCs w:val="24"/>
        </w:rPr>
        <w:t>rwin A. Popowsky v.</w:t>
      </w:r>
      <w:r w:rsidR="00DD153F" w:rsidRPr="00DD153F">
        <w:rPr>
          <w:sz w:val="24"/>
          <w:szCs w:val="24"/>
        </w:rPr>
        <w:t xml:space="preserve"> </w:t>
      </w:r>
      <w:r w:rsidR="00DD153F" w:rsidRPr="00DD153F">
        <w:rPr>
          <w:i/>
          <w:iCs/>
          <w:sz w:val="24"/>
          <w:szCs w:val="24"/>
        </w:rPr>
        <w:t xml:space="preserve">Pa. PUC, </w:t>
      </w:r>
      <w:r w:rsidR="00DD153F" w:rsidRPr="00DD153F">
        <w:rPr>
          <w:iCs/>
          <w:sz w:val="24"/>
          <w:szCs w:val="24"/>
        </w:rPr>
        <w:t>937</w:t>
      </w:r>
      <w:r w:rsidR="00DD153F" w:rsidRPr="00DD153F">
        <w:rPr>
          <w:sz w:val="24"/>
          <w:szCs w:val="24"/>
        </w:rPr>
        <w:t> A.2d 1040 (Pa. 2007).</w:t>
      </w:r>
    </w:p>
    <w:p w:rsidR="00271A9E" w:rsidRDefault="00271A9E" w:rsidP="00094F41">
      <w:pPr>
        <w:ind w:firstLine="1440"/>
        <w:rPr>
          <w:sz w:val="24"/>
          <w:szCs w:val="24"/>
        </w:rPr>
      </w:pPr>
    </w:p>
    <w:p w:rsidR="00BF16DC" w:rsidRDefault="00BF16DC" w:rsidP="00094F41">
      <w:pPr>
        <w:ind w:firstLine="1440"/>
        <w:rPr>
          <w:sz w:val="24"/>
          <w:szCs w:val="24"/>
        </w:rPr>
      </w:pPr>
      <w:r w:rsidRPr="00BF16DC">
        <w:rPr>
          <w:sz w:val="24"/>
          <w:szCs w:val="24"/>
        </w:rPr>
        <w:t>The Commission finds that the transaction is necessary for the service, accommodation, convenience, or safety of the public as required by Section 63.32</w:t>
      </w:r>
      <w:r w:rsidR="009931DD">
        <w:rPr>
          <w:sz w:val="24"/>
          <w:szCs w:val="24"/>
        </w:rPr>
        <w:t>4</w:t>
      </w:r>
      <w:r w:rsidRPr="00BF16DC">
        <w:rPr>
          <w:sz w:val="24"/>
          <w:szCs w:val="24"/>
        </w:rPr>
        <w:t>(k</w:t>
      </w:r>
      <w:proofErr w:type="gramStart"/>
      <w:r w:rsidRPr="00BF16DC">
        <w:rPr>
          <w:sz w:val="24"/>
          <w:szCs w:val="24"/>
        </w:rPr>
        <w:t>)(</w:t>
      </w:r>
      <w:proofErr w:type="gramEnd"/>
      <w:r w:rsidRPr="00BF16DC">
        <w:rPr>
          <w:sz w:val="24"/>
          <w:szCs w:val="24"/>
        </w:rPr>
        <w:t xml:space="preserve">2) of the Commission’s rules. The Commission will issue </w:t>
      </w:r>
      <w:r w:rsidR="008F3A10">
        <w:rPr>
          <w:sz w:val="24"/>
          <w:szCs w:val="24"/>
        </w:rPr>
        <w:t xml:space="preserve">a </w:t>
      </w:r>
      <w:r w:rsidRPr="00BF16DC">
        <w:rPr>
          <w:sz w:val="24"/>
          <w:szCs w:val="24"/>
        </w:rPr>
        <w:t>certificate of public convenience a</w:t>
      </w:r>
      <w:r w:rsidR="00442709">
        <w:rPr>
          <w:sz w:val="24"/>
          <w:szCs w:val="24"/>
        </w:rPr>
        <w:t>pprov</w:t>
      </w:r>
      <w:r w:rsidRPr="00BF16DC">
        <w:rPr>
          <w:sz w:val="24"/>
          <w:szCs w:val="24"/>
        </w:rPr>
        <w:t xml:space="preserve">ing this transaction as required </w:t>
      </w:r>
      <w:r w:rsidR="00A63BC3">
        <w:rPr>
          <w:sz w:val="24"/>
          <w:szCs w:val="24"/>
        </w:rPr>
        <w:t>under</w:t>
      </w:r>
      <w:r w:rsidRPr="00BF16DC">
        <w:rPr>
          <w:sz w:val="24"/>
          <w:szCs w:val="24"/>
        </w:rPr>
        <w:t xml:space="preserve"> 66 Pa.</w:t>
      </w:r>
      <w:r w:rsidR="005C5DD3">
        <w:rPr>
          <w:sz w:val="24"/>
          <w:szCs w:val="24"/>
        </w:rPr>
        <w:t xml:space="preserve"> </w:t>
      </w:r>
      <w:r w:rsidRPr="00BF16DC">
        <w:rPr>
          <w:sz w:val="24"/>
          <w:szCs w:val="24"/>
        </w:rPr>
        <w:t>C.S. §§ 1102(a) and 1103</w:t>
      </w:r>
      <w:r w:rsidR="00A63BC3">
        <w:rPr>
          <w:sz w:val="24"/>
          <w:szCs w:val="24"/>
        </w:rPr>
        <w:t>,</w:t>
      </w:r>
      <w:r w:rsidRPr="00BF16DC">
        <w:rPr>
          <w:sz w:val="24"/>
          <w:szCs w:val="24"/>
        </w:rPr>
        <w:t xml:space="preserve"> and </w:t>
      </w:r>
      <w:r w:rsidR="00A63BC3">
        <w:rPr>
          <w:sz w:val="24"/>
          <w:szCs w:val="24"/>
        </w:rPr>
        <w:t xml:space="preserve">the Commission’s rules, </w:t>
      </w:r>
      <w:r w:rsidRPr="00BF16DC">
        <w:rPr>
          <w:sz w:val="24"/>
          <w:szCs w:val="24"/>
        </w:rPr>
        <w:t>52 Pa. Code § 63.324(k</w:t>
      </w:r>
      <w:proofErr w:type="gramStart"/>
      <w:r w:rsidRPr="00BF16DC">
        <w:rPr>
          <w:sz w:val="24"/>
          <w:szCs w:val="24"/>
        </w:rPr>
        <w:t>)(</w:t>
      </w:r>
      <w:proofErr w:type="gramEnd"/>
      <w:r w:rsidRPr="00BF16DC">
        <w:rPr>
          <w:sz w:val="24"/>
          <w:szCs w:val="24"/>
        </w:rPr>
        <w:t>2)</w:t>
      </w:r>
      <w:r w:rsidR="00A63BC3">
        <w:rPr>
          <w:sz w:val="24"/>
          <w:szCs w:val="24"/>
        </w:rPr>
        <w:t>.</w:t>
      </w:r>
    </w:p>
    <w:p w:rsidR="00BF16DC" w:rsidRDefault="00BF16DC" w:rsidP="00094F41">
      <w:pPr>
        <w:ind w:firstLine="1440"/>
        <w:rPr>
          <w:sz w:val="24"/>
          <w:szCs w:val="24"/>
        </w:rPr>
      </w:pPr>
    </w:p>
    <w:p w:rsidR="00296E11" w:rsidRDefault="00296E11" w:rsidP="00094F41">
      <w:pPr>
        <w:ind w:firstLine="1440"/>
        <w:rPr>
          <w:sz w:val="24"/>
          <w:szCs w:val="24"/>
        </w:rPr>
      </w:pPr>
      <w:r w:rsidRPr="00296E11">
        <w:rPr>
          <w:sz w:val="24"/>
          <w:szCs w:val="24"/>
        </w:rPr>
        <w:t>In addition, based upon the information provided in the</w:t>
      </w:r>
      <w:r w:rsidR="00C552D8">
        <w:rPr>
          <w:sz w:val="24"/>
          <w:szCs w:val="24"/>
        </w:rPr>
        <w:t xml:space="preserve"> </w:t>
      </w:r>
      <w:r w:rsidRPr="00296E11">
        <w:rPr>
          <w:sz w:val="24"/>
          <w:szCs w:val="24"/>
        </w:rPr>
        <w:t xml:space="preserve">application, the Commission finds that the transaction does not harm competition.  The Commission’s approval enhances </w:t>
      </w:r>
      <w:r w:rsidR="00253947">
        <w:rPr>
          <w:sz w:val="24"/>
          <w:szCs w:val="24"/>
        </w:rPr>
        <w:t>the Applicant</w:t>
      </w:r>
      <w:r w:rsidR="002B6D23">
        <w:rPr>
          <w:sz w:val="24"/>
          <w:szCs w:val="24"/>
        </w:rPr>
        <w:t>’</w:t>
      </w:r>
      <w:r w:rsidR="00253947">
        <w:rPr>
          <w:sz w:val="24"/>
          <w:szCs w:val="24"/>
        </w:rPr>
        <w:t>s</w:t>
      </w:r>
      <w:r w:rsidRPr="00296E11">
        <w:rPr>
          <w:sz w:val="24"/>
          <w:szCs w:val="24"/>
        </w:rPr>
        <w:t xml:space="preserve"> ability to compete in Pennsylvania without harm to consumers or Pennsylvania markets as required by Section 63.324(k</w:t>
      </w:r>
      <w:proofErr w:type="gramStart"/>
      <w:r w:rsidRPr="00296E11">
        <w:rPr>
          <w:sz w:val="24"/>
          <w:szCs w:val="24"/>
        </w:rPr>
        <w:t>)(</w:t>
      </w:r>
      <w:proofErr w:type="gramEnd"/>
      <w:r w:rsidRPr="00296E11">
        <w:rPr>
          <w:sz w:val="24"/>
          <w:szCs w:val="24"/>
        </w:rPr>
        <w:t xml:space="preserve">3) of our rules.  </w:t>
      </w:r>
      <w:r w:rsidR="000A2233">
        <w:rPr>
          <w:sz w:val="24"/>
          <w:szCs w:val="24"/>
        </w:rPr>
        <w:t>52 Pa. Code § 63.32</w:t>
      </w:r>
      <w:r w:rsidR="009931DD">
        <w:rPr>
          <w:sz w:val="24"/>
          <w:szCs w:val="24"/>
        </w:rPr>
        <w:t>4</w:t>
      </w:r>
      <w:r w:rsidR="000A2233">
        <w:rPr>
          <w:sz w:val="24"/>
          <w:szCs w:val="24"/>
        </w:rPr>
        <w:t>(k</w:t>
      </w:r>
      <w:proofErr w:type="gramStart"/>
      <w:r w:rsidR="000A2233">
        <w:rPr>
          <w:sz w:val="24"/>
          <w:szCs w:val="24"/>
        </w:rPr>
        <w:t>)(</w:t>
      </w:r>
      <w:proofErr w:type="gramEnd"/>
      <w:r w:rsidR="000A2233">
        <w:rPr>
          <w:sz w:val="24"/>
          <w:szCs w:val="24"/>
        </w:rPr>
        <w:t>3).</w:t>
      </w:r>
    </w:p>
    <w:p w:rsidR="004B53A5" w:rsidRDefault="004B53A5" w:rsidP="004B53A5">
      <w:pPr>
        <w:ind w:firstLine="1440"/>
        <w:rPr>
          <w:sz w:val="24"/>
          <w:szCs w:val="24"/>
        </w:rPr>
      </w:pPr>
    </w:p>
    <w:p w:rsidR="004B53A5" w:rsidRPr="004B53A5" w:rsidRDefault="004B53A5" w:rsidP="004B53A5">
      <w:pPr>
        <w:ind w:firstLine="1440"/>
        <w:rPr>
          <w:sz w:val="24"/>
          <w:szCs w:val="24"/>
        </w:rPr>
      </w:pPr>
      <w:r w:rsidRPr="004B53A5">
        <w:rPr>
          <w:sz w:val="24"/>
          <w:szCs w:val="24"/>
        </w:rPr>
        <w:t xml:space="preserve">The Commission has determined that </w:t>
      </w:r>
      <w:r w:rsidR="0022060B">
        <w:rPr>
          <w:sz w:val="24"/>
          <w:szCs w:val="24"/>
        </w:rPr>
        <w:t xml:space="preserve">the </w:t>
      </w:r>
      <w:r w:rsidR="00925A41">
        <w:rPr>
          <w:sz w:val="24"/>
          <w:szCs w:val="24"/>
        </w:rPr>
        <w:t>Applicant</w:t>
      </w:r>
      <w:r w:rsidRPr="004B53A5">
        <w:rPr>
          <w:sz w:val="24"/>
          <w:szCs w:val="24"/>
        </w:rPr>
        <w:t xml:space="preserve"> </w:t>
      </w:r>
      <w:r w:rsidR="00925A41">
        <w:rPr>
          <w:sz w:val="24"/>
          <w:szCs w:val="24"/>
        </w:rPr>
        <w:t>is</w:t>
      </w:r>
      <w:r w:rsidRPr="004B53A5">
        <w:rPr>
          <w:sz w:val="24"/>
          <w:szCs w:val="24"/>
        </w:rPr>
        <w:t xml:space="preserve"> current with </w:t>
      </w:r>
      <w:r w:rsidR="00925A41">
        <w:rPr>
          <w:sz w:val="24"/>
          <w:szCs w:val="24"/>
        </w:rPr>
        <w:t>its</w:t>
      </w:r>
      <w:r w:rsidRPr="004B53A5">
        <w:rPr>
          <w:sz w:val="24"/>
          <w:szCs w:val="24"/>
        </w:rPr>
        <w:t xml:space="preserve"> annual financial and Security Planning and Readiness Self Certification Form report filing requirements, and there are no outstanding Commission fines or assessments against </w:t>
      </w:r>
      <w:r w:rsidR="00925A41">
        <w:rPr>
          <w:sz w:val="24"/>
          <w:szCs w:val="24"/>
        </w:rPr>
        <w:t>it</w:t>
      </w:r>
      <w:r w:rsidRPr="004B53A5">
        <w:rPr>
          <w:sz w:val="24"/>
          <w:szCs w:val="24"/>
        </w:rPr>
        <w:t xml:space="preserve">. </w:t>
      </w:r>
    </w:p>
    <w:p w:rsidR="00296E11" w:rsidRDefault="00296E11" w:rsidP="00B53F7D">
      <w:pPr>
        <w:ind w:firstLine="1440"/>
        <w:rPr>
          <w:sz w:val="24"/>
          <w:szCs w:val="24"/>
        </w:rPr>
      </w:pPr>
    </w:p>
    <w:p w:rsidR="000E46EB" w:rsidRPr="000E46EB" w:rsidRDefault="003611EF" w:rsidP="000E46EB">
      <w:pPr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In summary</w:t>
      </w:r>
      <w:r w:rsidR="001047F8" w:rsidRPr="00AC2EA8">
        <w:rPr>
          <w:sz w:val="24"/>
          <w:szCs w:val="24"/>
        </w:rPr>
        <w:t xml:space="preserve">, we find that the application should be approved as a </w:t>
      </w:r>
      <w:r w:rsidR="004B53A5" w:rsidRPr="00826B6D">
        <w:rPr>
          <w:i/>
          <w:sz w:val="24"/>
          <w:szCs w:val="24"/>
        </w:rPr>
        <w:t>General Rule</w:t>
      </w:r>
      <w:r w:rsidR="00EA173E" w:rsidRPr="00826B6D">
        <w:rPr>
          <w:i/>
          <w:sz w:val="24"/>
          <w:szCs w:val="24"/>
        </w:rPr>
        <w:t xml:space="preserve"> T</w:t>
      </w:r>
      <w:r w:rsidR="001047F8" w:rsidRPr="00826B6D">
        <w:rPr>
          <w:i/>
          <w:sz w:val="24"/>
          <w:szCs w:val="24"/>
        </w:rPr>
        <w:t>ransaction</w:t>
      </w:r>
      <w:r w:rsidR="001047F8" w:rsidRPr="00AC2EA8">
        <w:rPr>
          <w:sz w:val="24"/>
          <w:szCs w:val="24"/>
        </w:rPr>
        <w:t xml:space="preserve"> under Section 63.32</w:t>
      </w:r>
      <w:r w:rsidR="004B53A5">
        <w:rPr>
          <w:sz w:val="24"/>
          <w:szCs w:val="24"/>
        </w:rPr>
        <w:t>4</w:t>
      </w:r>
      <w:r w:rsidR="001047F8" w:rsidRPr="00AC2EA8">
        <w:rPr>
          <w:sz w:val="24"/>
          <w:szCs w:val="24"/>
        </w:rPr>
        <w:t xml:space="preserve"> of the Commission’s rules as requested</w:t>
      </w:r>
      <w:r w:rsidR="003E113C">
        <w:rPr>
          <w:sz w:val="24"/>
          <w:szCs w:val="24"/>
        </w:rPr>
        <w:t>,</w:t>
      </w:r>
      <w:r w:rsidR="000A0CA9">
        <w:rPr>
          <w:sz w:val="24"/>
          <w:szCs w:val="24"/>
        </w:rPr>
        <w:t xml:space="preserve"> and</w:t>
      </w:r>
      <w:r w:rsidR="0029515B">
        <w:rPr>
          <w:sz w:val="24"/>
          <w:szCs w:val="24"/>
        </w:rPr>
        <w:t>,</w:t>
      </w:r>
      <w:r w:rsidR="00AD543E" w:rsidRPr="00AC2EA8">
        <w:rPr>
          <w:sz w:val="24"/>
          <w:szCs w:val="24"/>
        </w:rPr>
        <w:t xml:space="preserve"> that </w:t>
      </w:r>
      <w:r w:rsidR="008F3A10">
        <w:rPr>
          <w:sz w:val="24"/>
          <w:szCs w:val="24"/>
        </w:rPr>
        <w:t xml:space="preserve">a </w:t>
      </w:r>
      <w:r w:rsidR="00AD543E" w:rsidRPr="00AC2EA8">
        <w:rPr>
          <w:sz w:val="24"/>
          <w:szCs w:val="24"/>
        </w:rPr>
        <w:t>certificate of public convenience be issued to</w:t>
      </w:r>
      <w:r w:rsidR="000A0CA9">
        <w:rPr>
          <w:sz w:val="24"/>
          <w:szCs w:val="24"/>
        </w:rPr>
        <w:t xml:space="preserve"> </w:t>
      </w:r>
      <w:r w:rsidR="0018386D">
        <w:rPr>
          <w:sz w:val="24"/>
          <w:szCs w:val="24"/>
        </w:rPr>
        <w:t>Locus</w:t>
      </w:r>
      <w:r w:rsidR="004F6F45">
        <w:rPr>
          <w:sz w:val="24"/>
          <w:szCs w:val="24"/>
        </w:rPr>
        <w:t xml:space="preserve"> Telecommunications</w:t>
      </w:r>
      <w:r w:rsidR="00E55A99">
        <w:rPr>
          <w:sz w:val="24"/>
          <w:szCs w:val="24"/>
        </w:rPr>
        <w:t xml:space="preserve">, </w:t>
      </w:r>
      <w:r w:rsidR="00253947">
        <w:rPr>
          <w:sz w:val="24"/>
          <w:szCs w:val="24"/>
        </w:rPr>
        <w:t>Inc.</w:t>
      </w:r>
      <w:r w:rsidR="00E55A99">
        <w:rPr>
          <w:sz w:val="24"/>
          <w:szCs w:val="24"/>
        </w:rPr>
        <w:t xml:space="preserve"> </w:t>
      </w:r>
      <w:r w:rsidR="000A0CA9">
        <w:rPr>
          <w:sz w:val="24"/>
          <w:szCs w:val="24"/>
        </w:rPr>
        <w:t xml:space="preserve">evidencing our approval of the </w:t>
      </w:r>
      <w:r w:rsidR="00925A41">
        <w:rPr>
          <w:sz w:val="24"/>
          <w:szCs w:val="24"/>
        </w:rPr>
        <w:t>intra-corporate reorganization</w:t>
      </w:r>
      <w:r w:rsidR="00C864A7">
        <w:rPr>
          <w:sz w:val="24"/>
          <w:szCs w:val="24"/>
        </w:rPr>
        <w:t xml:space="preserve">.  </w:t>
      </w:r>
    </w:p>
    <w:p w:rsidR="001047F8" w:rsidRPr="00AC2EA8" w:rsidRDefault="00153395" w:rsidP="0022060B">
      <w:pPr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53F7D" w:rsidRPr="00B53F7D" w:rsidRDefault="008D7562" w:rsidP="00B53F7D">
      <w:pPr>
        <w:autoSpaceDE w:val="0"/>
        <w:autoSpaceDN w:val="0"/>
        <w:adjustRightInd w:val="0"/>
        <w:ind w:firstLine="1440"/>
        <w:rPr>
          <w:sz w:val="24"/>
          <w:szCs w:val="24"/>
        </w:rPr>
      </w:pPr>
      <w:r w:rsidRPr="008D7562">
        <w:rPr>
          <w:sz w:val="24"/>
          <w:szCs w:val="24"/>
        </w:rPr>
        <w:t>Therefore, the Commission directs the Applicant to file notice with this Commission within 30 days of the completion of the reorganization as well as a registration with the Department of State.  For each tariff on file with this Commission, the Applicant should file a new title page, list of modification page, and check sheet.  If the Applicant determines that the proposed transaction will not take place, it shall promptly so notify this Commission.</w:t>
      </w:r>
    </w:p>
    <w:p w:rsidR="00FB6B8C" w:rsidRPr="00B53F7D" w:rsidRDefault="00FB6B8C" w:rsidP="00B53F7D">
      <w:pPr>
        <w:ind w:firstLine="1440"/>
        <w:rPr>
          <w:sz w:val="24"/>
          <w:szCs w:val="24"/>
        </w:rPr>
      </w:pPr>
    </w:p>
    <w:p w:rsidR="00FB6B8C" w:rsidRPr="00AC2EA8" w:rsidRDefault="00FB6B8C" w:rsidP="00FB6B8C">
      <w:pPr>
        <w:rPr>
          <w:sz w:val="24"/>
          <w:szCs w:val="24"/>
        </w:rPr>
      </w:pPr>
    </w:p>
    <w:p w:rsidR="0098671C" w:rsidRDefault="00A47984" w:rsidP="00B07E09">
      <w:pPr>
        <w:ind w:left="720" w:firstLine="720"/>
        <w:rPr>
          <w:sz w:val="24"/>
        </w:rPr>
      </w:pPr>
      <w:r>
        <w:rPr>
          <w:sz w:val="24"/>
        </w:rPr>
        <w:t xml:space="preserve"> </w:t>
      </w:r>
    </w:p>
    <w:p w:rsidR="00A47984" w:rsidRDefault="00136BC4" w:rsidP="00A4798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143B1C" wp14:editId="722C67FA">
            <wp:simplePos x="0" y="0"/>
            <wp:positionH relativeFrom="column">
              <wp:posOffset>3152775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984">
        <w:rPr>
          <w:sz w:val="24"/>
        </w:rPr>
        <w:tab/>
      </w:r>
      <w:r w:rsidR="00A47984">
        <w:rPr>
          <w:sz w:val="24"/>
        </w:rPr>
        <w:tab/>
      </w:r>
      <w:r w:rsidR="00A47984">
        <w:rPr>
          <w:sz w:val="24"/>
        </w:rPr>
        <w:tab/>
      </w:r>
      <w:r w:rsidR="00A47984">
        <w:rPr>
          <w:sz w:val="24"/>
        </w:rPr>
        <w:tab/>
      </w:r>
      <w:r w:rsidR="00A47984">
        <w:rPr>
          <w:sz w:val="24"/>
        </w:rPr>
        <w:tab/>
      </w:r>
      <w:r w:rsidR="00A47984">
        <w:rPr>
          <w:sz w:val="24"/>
        </w:rPr>
        <w:tab/>
      </w:r>
      <w:r w:rsidR="00A47984">
        <w:rPr>
          <w:sz w:val="24"/>
        </w:rPr>
        <w:tab/>
        <w:t>BY THE COMMISSION,</w:t>
      </w:r>
    </w:p>
    <w:p w:rsidR="00A47984" w:rsidRDefault="00A47984" w:rsidP="00A47984">
      <w:pPr>
        <w:rPr>
          <w:sz w:val="24"/>
        </w:rPr>
      </w:pPr>
    </w:p>
    <w:p w:rsidR="00A47984" w:rsidRDefault="00A47984" w:rsidP="00A47984">
      <w:pPr>
        <w:rPr>
          <w:sz w:val="24"/>
        </w:rPr>
      </w:pPr>
      <w:bookmarkStart w:id="0" w:name="_GoBack"/>
      <w:bookmarkEnd w:id="0"/>
    </w:p>
    <w:p w:rsidR="00A47984" w:rsidRDefault="00A47984" w:rsidP="00A47984">
      <w:pPr>
        <w:rPr>
          <w:sz w:val="24"/>
        </w:rPr>
      </w:pPr>
    </w:p>
    <w:p w:rsidR="00A47984" w:rsidRDefault="00A47984" w:rsidP="00A4798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F725C">
        <w:rPr>
          <w:sz w:val="24"/>
        </w:rPr>
        <w:t>Rosemary Chiavetta</w:t>
      </w:r>
    </w:p>
    <w:p w:rsidR="00A47984" w:rsidRDefault="00A47984" w:rsidP="00A4798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387B02" w:rsidRDefault="00387B02" w:rsidP="00A47984">
      <w:pPr>
        <w:rPr>
          <w:sz w:val="24"/>
        </w:rPr>
      </w:pPr>
    </w:p>
    <w:p w:rsidR="00387B02" w:rsidRDefault="00387B02" w:rsidP="00A47984">
      <w:pPr>
        <w:rPr>
          <w:sz w:val="24"/>
        </w:rPr>
      </w:pPr>
    </w:p>
    <w:p w:rsidR="007E0673" w:rsidRDefault="0022060B" w:rsidP="00387B02">
      <w:pPr>
        <w:rPr>
          <w:sz w:val="24"/>
        </w:rPr>
      </w:pPr>
      <w:r>
        <w:rPr>
          <w:sz w:val="24"/>
        </w:rPr>
        <w:t xml:space="preserve">cc:  </w:t>
      </w:r>
      <w:r w:rsidR="00387B02">
        <w:rPr>
          <w:sz w:val="24"/>
        </w:rPr>
        <w:t xml:space="preserve"> </w:t>
      </w:r>
      <w:r>
        <w:rPr>
          <w:sz w:val="24"/>
        </w:rPr>
        <w:tab/>
      </w:r>
      <w:r w:rsidR="007E0673">
        <w:rPr>
          <w:sz w:val="24"/>
        </w:rPr>
        <w:t xml:space="preserve">Edward A. </w:t>
      </w:r>
      <w:proofErr w:type="spellStart"/>
      <w:r w:rsidR="007E0673">
        <w:rPr>
          <w:sz w:val="24"/>
        </w:rPr>
        <w:t>Yorkgitis</w:t>
      </w:r>
      <w:proofErr w:type="spellEnd"/>
      <w:r w:rsidR="007E0673">
        <w:rPr>
          <w:sz w:val="24"/>
        </w:rPr>
        <w:t>, Jr.</w:t>
      </w:r>
    </w:p>
    <w:p w:rsidR="007E0673" w:rsidRDefault="007E0673" w:rsidP="007E0673">
      <w:pPr>
        <w:ind w:firstLine="720"/>
        <w:rPr>
          <w:sz w:val="24"/>
        </w:rPr>
      </w:pPr>
      <w:r>
        <w:rPr>
          <w:sz w:val="24"/>
        </w:rPr>
        <w:t xml:space="preserve">Steven A. </w:t>
      </w:r>
      <w:proofErr w:type="spellStart"/>
      <w:r>
        <w:rPr>
          <w:sz w:val="24"/>
        </w:rPr>
        <w:t>Augustino</w:t>
      </w:r>
      <w:proofErr w:type="spellEnd"/>
    </w:p>
    <w:p w:rsidR="007E0673" w:rsidRDefault="007E0673" w:rsidP="007E0673">
      <w:pPr>
        <w:ind w:firstLine="720"/>
        <w:rPr>
          <w:sz w:val="24"/>
        </w:rPr>
      </w:pPr>
      <w:r>
        <w:rPr>
          <w:sz w:val="24"/>
        </w:rPr>
        <w:t>Keiko Nakajima</w:t>
      </w:r>
    </w:p>
    <w:p w:rsidR="005B7C2F" w:rsidRDefault="00253947" w:rsidP="007E0673">
      <w:pPr>
        <w:ind w:firstLine="720"/>
        <w:rPr>
          <w:sz w:val="24"/>
        </w:rPr>
      </w:pPr>
      <w:r>
        <w:rPr>
          <w:sz w:val="24"/>
        </w:rPr>
        <w:t>Melissa Derr</w:t>
      </w:r>
      <w:r w:rsidR="00826B6D">
        <w:rPr>
          <w:sz w:val="24"/>
        </w:rPr>
        <w:t>, TUS</w:t>
      </w:r>
    </w:p>
    <w:p w:rsidR="00387B02" w:rsidRDefault="007F35C8" w:rsidP="00A47984">
      <w:pPr>
        <w:rPr>
          <w:sz w:val="24"/>
        </w:rPr>
      </w:pPr>
      <w:r>
        <w:rPr>
          <w:sz w:val="24"/>
        </w:rPr>
        <w:tab/>
        <w:t>Pennsylvania Emergency Management Agency 911 (E911)</w:t>
      </w:r>
    </w:p>
    <w:p w:rsidR="007F35C8" w:rsidRDefault="007F35C8" w:rsidP="00A47984">
      <w:pPr>
        <w:rPr>
          <w:sz w:val="24"/>
        </w:rPr>
      </w:pPr>
    </w:p>
    <w:sectPr w:rsidR="007F35C8" w:rsidSect="009F374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73" w:rsidRDefault="006C4473">
      <w:r>
        <w:separator/>
      </w:r>
    </w:p>
  </w:endnote>
  <w:endnote w:type="continuationSeparator" w:id="0">
    <w:p w:rsidR="006C4473" w:rsidRDefault="006C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553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5DD3" w:rsidRDefault="005C5D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B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5DD3" w:rsidRDefault="005C5D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73" w:rsidRDefault="006C4473">
      <w:r>
        <w:separator/>
      </w:r>
    </w:p>
  </w:footnote>
  <w:footnote w:type="continuationSeparator" w:id="0">
    <w:p w:rsidR="006C4473" w:rsidRDefault="006C4473">
      <w:r>
        <w:continuationSeparator/>
      </w:r>
    </w:p>
  </w:footnote>
  <w:footnote w:id="1">
    <w:p w:rsidR="007E0673" w:rsidRDefault="007E0673" w:rsidP="007E0673">
      <w:pPr>
        <w:pStyle w:val="FootnoteText"/>
      </w:pPr>
      <w:r>
        <w:rPr>
          <w:rStyle w:val="FootnoteReference"/>
        </w:rPr>
        <w:footnoteRef/>
      </w:r>
      <w:r>
        <w:t xml:space="preserve"> We note that this internal corporate structure reorganization does not involve a new acquisition of any U.S.-based domestic telecommunications services firms by a foreign corporation (the KDDI Corporation, corporate parent of KDDI, is headquartered in Tokyo, Japan).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13"/>
    <w:rsid w:val="00002F8B"/>
    <w:rsid w:val="000213B8"/>
    <w:rsid w:val="0002387A"/>
    <w:rsid w:val="00060513"/>
    <w:rsid w:val="0006241D"/>
    <w:rsid w:val="00076251"/>
    <w:rsid w:val="0009183C"/>
    <w:rsid w:val="00094F41"/>
    <w:rsid w:val="00095860"/>
    <w:rsid w:val="000972DF"/>
    <w:rsid w:val="000A0CA9"/>
    <w:rsid w:val="000A2233"/>
    <w:rsid w:val="000A691C"/>
    <w:rsid w:val="000A7BE0"/>
    <w:rsid w:val="000D09B4"/>
    <w:rsid w:val="000E46EB"/>
    <w:rsid w:val="000E783E"/>
    <w:rsid w:val="00102FDF"/>
    <w:rsid w:val="001047F8"/>
    <w:rsid w:val="00107C97"/>
    <w:rsid w:val="0013144A"/>
    <w:rsid w:val="001316CE"/>
    <w:rsid w:val="00136BC4"/>
    <w:rsid w:val="00153395"/>
    <w:rsid w:val="00163748"/>
    <w:rsid w:val="001657AA"/>
    <w:rsid w:val="0018386D"/>
    <w:rsid w:val="00186176"/>
    <w:rsid w:val="00193E5D"/>
    <w:rsid w:val="001A3AA2"/>
    <w:rsid w:val="001D01B6"/>
    <w:rsid w:val="001D21AB"/>
    <w:rsid w:val="00205228"/>
    <w:rsid w:val="00213B60"/>
    <w:rsid w:val="0022060B"/>
    <w:rsid w:val="00235921"/>
    <w:rsid w:val="002463EF"/>
    <w:rsid w:val="00252BF3"/>
    <w:rsid w:val="00253947"/>
    <w:rsid w:val="00271A9E"/>
    <w:rsid w:val="00287D45"/>
    <w:rsid w:val="002915AD"/>
    <w:rsid w:val="0029515B"/>
    <w:rsid w:val="00296E11"/>
    <w:rsid w:val="002B6D23"/>
    <w:rsid w:val="002C3465"/>
    <w:rsid w:val="002E088B"/>
    <w:rsid w:val="002F6FE6"/>
    <w:rsid w:val="00306B18"/>
    <w:rsid w:val="00310EF8"/>
    <w:rsid w:val="00312ACC"/>
    <w:rsid w:val="00313BE5"/>
    <w:rsid w:val="003166B8"/>
    <w:rsid w:val="00356DE1"/>
    <w:rsid w:val="003611EF"/>
    <w:rsid w:val="0038401C"/>
    <w:rsid w:val="00387B02"/>
    <w:rsid w:val="003A1B6E"/>
    <w:rsid w:val="003B22C4"/>
    <w:rsid w:val="003C7667"/>
    <w:rsid w:val="003D135F"/>
    <w:rsid w:val="003D3802"/>
    <w:rsid w:val="003D3D79"/>
    <w:rsid w:val="003E113C"/>
    <w:rsid w:val="003E1941"/>
    <w:rsid w:val="004215B0"/>
    <w:rsid w:val="00432DC0"/>
    <w:rsid w:val="0043301C"/>
    <w:rsid w:val="00442709"/>
    <w:rsid w:val="00442C9D"/>
    <w:rsid w:val="00453BB7"/>
    <w:rsid w:val="00456521"/>
    <w:rsid w:val="00456DCC"/>
    <w:rsid w:val="00467BC7"/>
    <w:rsid w:val="00477EFF"/>
    <w:rsid w:val="00482089"/>
    <w:rsid w:val="004B4E85"/>
    <w:rsid w:val="004B53A5"/>
    <w:rsid w:val="004F6F45"/>
    <w:rsid w:val="004F7D5A"/>
    <w:rsid w:val="004F7F27"/>
    <w:rsid w:val="00501E89"/>
    <w:rsid w:val="0054427A"/>
    <w:rsid w:val="005542AD"/>
    <w:rsid w:val="00555F1B"/>
    <w:rsid w:val="00572046"/>
    <w:rsid w:val="00577217"/>
    <w:rsid w:val="0059660D"/>
    <w:rsid w:val="005A4E24"/>
    <w:rsid w:val="005B2958"/>
    <w:rsid w:val="005B7696"/>
    <w:rsid w:val="005B7C2F"/>
    <w:rsid w:val="005C5DD3"/>
    <w:rsid w:val="005D094C"/>
    <w:rsid w:val="005D09A0"/>
    <w:rsid w:val="005D3EBA"/>
    <w:rsid w:val="005D406E"/>
    <w:rsid w:val="005D6D86"/>
    <w:rsid w:val="005E00F7"/>
    <w:rsid w:val="005E2749"/>
    <w:rsid w:val="005E57CA"/>
    <w:rsid w:val="005E5C01"/>
    <w:rsid w:val="00603D20"/>
    <w:rsid w:val="00627F20"/>
    <w:rsid w:val="00634482"/>
    <w:rsid w:val="0063659C"/>
    <w:rsid w:val="0065334F"/>
    <w:rsid w:val="00654F0F"/>
    <w:rsid w:val="00671827"/>
    <w:rsid w:val="00675332"/>
    <w:rsid w:val="0068643D"/>
    <w:rsid w:val="006867CB"/>
    <w:rsid w:val="0069542A"/>
    <w:rsid w:val="006B663C"/>
    <w:rsid w:val="006C4473"/>
    <w:rsid w:val="006E01BA"/>
    <w:rsid w:val="006E709B"/>
    <w:rsid w:val="006F5CCF"/>
    <w:rsid w:val="0070125D"/>
    <w:rsid w:val="00707903"/>
    <w:rsid w:val="007136FD"/>
    <w:rsid w:val="00713A75"/>
    <w:rsid w:val="00720005"/>
    <w:rsid w:val="0075084C"/>
    <w:rsid w:val="00753658"/>
    <w:rsid w:val="0077268C"/>
    <w:rsid w:val="007909A6"/>
    <w:rsid w:val="007D66BF"/>
    <w:rsid w:val="007E0673"/>
    <w:rsid w:val="007F35C8"/>
    <w:rsid w:val="008145D8"/>
    <w:rsid w:val="00826B6D"/>
    <w:rsid w:val="00832E3D"/>
    <w:rsid w:val="00834B05"/>
    <w:rsid w:val="00834B13"/>
    <w:rsid w:val="0083570A"/>
    <w:rsid w:val="008566CB"/>
    <w:rsid w:val="0087796A"/>
    <w:rsid w:val="00895EB9"/>
    <w:rsid w:val="008A53CF"/>
    <w:rsid w:val="008D554D"/>
    <w:rsid w:val="008D7562"/>
    <w:rsid w:val="008E1AB8"/>
    <w:rsid w:val="008F298D"/>
    <w:rsid w:val="008F3A10"/>
    <w:rsid w:val="008F725C"/>
    <w:rsid w:val="008F7B5F"/>
    <w:rsid w:val="00925922"/>
    <w:rsid w:val="00925A41"/>
    <w:rsid w:val="00930F79"/>
    <w:rsid w:val="00932425"/>
    <w:rsid w:val="009420EF"/>
    <w:rsid w:val="00944598"/>
    <w:rsid w:val="00955D44"/>
    <w:rsid w:val="00961230"/>
    <w:rsid w:val="0098671C"/>
    <w:rsid w:val="009931DD"/>
    <w:rsid w:val="009E0427"/>
    <w:rsid w:val="009E0843"/>
    <w:rsid w:val="009E4AF7"/>
    <w:rsid w:val="009E5E74"/>
    <w:rsid w:val="009F374B"/>
    <w:rsid w:val="009F79B0"/>
    <w:rsid w:val="00A00D4C"/>
    <w:rsid w:val="00A04B7A"/>
    <w:rsid w:val="00A15824"/>
    <w:rsid w:val="00A175D1"/>
    <w:rsid w:val="00A24FDE"/>
    <w:rsid w:val="00A402A5"/>
    <w:rsid w:val="00A47253"/>
    <w:rsid w:val="00A47984"/>
    <w:rsid w:val="00A63BC3"/>
    <w:rsid w:val="00A80784"/>
    <w:rsid w:val="00A943C0"/>
    <w:rsid w:val="00AA40F4"/>
    <w:rsid w:val="00AA6CBD"/>
    <w:rsid w:val="00AC2EA8"/>
    <w:rsid w:val="00AC4892"/>
    <w:rsid w:val="00AD1B1E"/>
    <w:rsid w:val="00AD367C"/>
    <w:rsid w:val="00AD543E"/>
    <w:rsid w:val="00AE2939"/>
    <w:rsid w:val="00B03556"/>
    <w:rsid w:val="00B07E09"/>
    <w:rsid w:val="00B11079"/>
    <w:rsid w:val="00B43119"/>
    <w:rsid w:val="00B43B30"/>
    <w:rsid w:val="00B45EFD"/>
    <w:rsid w:val="00B53F7D"/>
    <w:rsid w:val="00B654AE"/>
    <w:rsid w:val="00B801B5"/>
    <w:rsid w:val="00B97B76"/>
    <w:rsid w:val="00BA07C3"/>
    <w:rsid w:val="00BE2BC6"/>
    <w:rsid w:val="00BE62BA"/>
    <w:rsid w:val="00BF16DC"/>
    <w:rsid w:val="00BF7A24"/>
    <w:rsid w:val="00C1152F"/>
    <w:rsid w:val="00C13A8F"/>
    <w:rsid w:val="00C14FD3"/>
    <w:rsid w:val="00C45F98"/>
    <w:rsid w:val="00C51709"/>
    <w:rsid w:val="00C52FE7"/>
    <w:rsid w:val="00C552D8"/>
    <w:rsid w:val="00C864A7"/>
    <w:rsid w:val="00C90224"/>
    <w:rsid w:val="00D02BE1"/>
    <w:rsid w:val="00D169FB"/>
    <w:rsid w:val="00D40F73"/>
    <w:rsid w:val="00D47255"/>
    <w:rsid w:val="00D4781D"/>
    <w:rsid w:val="00D73183"/>
    <w:rsid w:val="00D757A7"/>
    <w:rsid w:val="00D826F9"/>
    <w:rsid w:val="00DA085A"/>
    <w:rsid w:val="00DB031D"/>
    <w:rsid w:val="00DC3502"/>
    <w:rsid w:val="00DC7BCD"/>
    <w:rsid w:val="00DD153F"/>
    <w:rsid w:val="00DE1360"/>
    <w:rsid w:val="00DE6CEA"/>
    <w:rsid w:val="00E160C0"/>
    <w:rsid w:val="00E53685"/>
    <w:rsid w:val="00E55A99"/>
    <w:rsid w:val="00E633B3"/>
    <w:rsid w:val="00E63F4D"/>
    <w:rsid w:val="00E9684C"/>
    <w:rsid w:val="00EA173E"/>
    <w:rsid w:val="00EA1C10"/>
    <w:rsid w:val="00ED70B3"/>
    <w:rsid w:val="00ED7F68"/>
    <w:rsid w:val="00EE4C81"/>
    <w:rsid w:val="00EF0670"/>
    <w:rsid w:val="00F04567"/>
    <w:rsid w:val="00F53451"/>
    <w:rsid w:val="00F630A7"/>
    <w:rsid w:val="00F65B62"/>
    <w:rsid w:val="00F93DDD"/>
    <w:rsid w:val="00F94C61"/>
    <w:rsid w:val="00FB2F0F"/>
    <w:rsid w:val="00FB6B8C"/>
    <w:rsid w:val="00FE1F01"/>
    <w:rsid w:val="00FE71E7"/>
    <w:rsid w:val="00FF157E"/>
    <w:rsid w:val="00FF5D06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BE0"/>
  </w:style>
  <w:style w:type="paragraph" w:styleId="Heading1">
    <w:name w:val="heading 1"/>
    <w:basedOn w:val="Normal"/>
    <w:next w:val="Normal"/>
    <w:qFormat/>
    <w:rsid w:val="000A7BE0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A7BE0"/>
    <w:pPr>
      <w:ind w:left="360"/>
    </w:pPr>
    <w:rPr>
      <w:sz w:val="24"/>
    </w:rPr>
  </w:style>
  <w:style w:type="paragraph" w:styleId="Header">
    <w:name w:val="header"/>
    <w:basedOn w:val="Normal"/>
    <w:rsid w:val="000A7B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7B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8671C"/>
    <w:rPr>
      <w:rFonts w:ascii="Tahoma" w:hAnsi="Tahoma" w:cs="Tahoma"/>
      <w:sz w:val="16"/>
      <w:szCs w:val="16"/>
    </w:rPr>
  </w:style>
  <w:style w:type="paragraph" w:styleId="FootnoteText">
    <w:name w:val="footnote text"/>
    <w:aliases w:val="ft"/>
    <w:basedOn w:val="Normal"/>
    <w:link w:val="FootnoteTextChar"/>
    <w:rsid w:val="00453BB7"/>
  </w:style>
  <w:style w:type="character" w:customStyle="1" w:styleId="FootnoteTextChar">
    <w:name w:val="Footnote Text Char"/>
    <w:aliases w:val="ft Char"/>
    <w:basedOn w:val="DefaultParagraphFont"/>
    <w:link w:val="FootnoteText"/>
    <w:rsid w:val="00453BB7"/>
  </w:style>
  <w:style w:type="character" w:styleId="FootnoteReference">
    <w:name w:val="footnote reference"/>
    <w:basedOn w:val="DefaultParagraphFont"/>
    <w:rsid w:val="00453BB7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5C5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BE0"/>
  </w:style>
  <w:style w:type="paragraph" w:styleId="Heading1">
    <w:name w:val="heading 1"/>
    <w:basedOn w:val="Normal"/>
    <w:next w:val="Normal"/>
    <w:qFormat/>
    <w:rsid w:val="000A7BE0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A7BE0"/>
    <w:pPr>
      <w:ind w:left="360"/>
    </w:pPr>
    <w:rPr>
      <w:sz w:val="24"/>
    </w:rPr>
  </w:style>
  <w:style w:type="paragraph" w:styleId="Header">
    <w:name w:val="header"/>
    <w:basedOn w:val="Normal"/>
    <w:rsid w:val="000A7B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7B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8671C"/>
    <w:rPr>
      <w:rFonts w:ascii="Tahoma" w:hAnsi="Tahoma" w:cs="Tahoma"/>
      <w:sz w:val="16"/>
      <w:szCs w:val="16"/>
    </w:rPr>
  </w:style>
  <w:style w:type="paragraph" w:styleId="FootnoteText">
    <w:name w:val="footnote text"/>
    <w:aliases w:val="ft"/>
    <w:basedOn w:val="Normal"/>
    <w:link w:val="FootnoteTextChar"/>
    <w:rsid w:val="00453BB7"/>
  </w:style>
  <w:style w:type="character" w:customStyle="1" w:styleId="FootnoteTextChar">
    <w:name w:val="Footnote Text Char"/>
    <w:aliases w:val="ft Char"/>
    <w:basedOn w:val="DefaultParagraphFont"/>
    <w:link w:val="FootnoteText"/>
    <w:rsid w:val="00453BB7"/>
  </w:style>
  <w:style w:type="character" w:styleId="FootnoteReference">
    <w:name w:val="footnote reference"/>
    <w:basedOn w:val="DefaultParagraphFont"/>
    <w:rsid w:val="00453BB7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5C5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HUFF</dc:creator>
  <cp:lastModifiedBy>Wagner, Nathan R</cp:lastModifiedBy>
  <cp:revision>9</cp:revision>
  <cp:lastPrinted>2015-05-05T15:51:00Z</cp:lastPrinted>
  <dcterms:created xsi:type="dcterms:W3CDTF">2015-04-16T19:40:00Z</dcterms:created>
  <dcterms:modified xsi:type="dcterms:W3CDTF">2015-05-13T12:51:00Z</dcterms:modified>
</cp:coreProperties>
</file>