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D012AF" w:rsidP="00E126F9">
      <w:pPr>
        <w:spacing w:line="240" w:lineRule="auto"/>
        <w:rPr>
          <w:sz w:val="24"/>
          <w:szCs w:val="24"/>
        </w:rPr>
      </w:pPr>
      <w:r>
        <w:rPr>
          <w:sz w:val="24"/>
          <w:szCs w:val="24"/>
        </w:rPr>
        <w:t>Stephanie Hallman</w:t>
      </w:r>
      <w:r w:rsidR="00E04BE4">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r>
      <w:r w:rsidR="00FB004A">
        <w:rPr>
          <w:sz w:val="24"/>
          <w:szCs w:val="24"/>
        </w:rPr>
        <w:t>F-</w:t>
      </w:r>
      <w:r w:rsidR="00D012AF">
        <w:rPr>
          <w:sz w:val="24"/>
          <w:szCs w:val="24"/>
        </w:rPr>
        <w:t>2013-2393373</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FB004A" w:rsidP="00E126F9">
      <w:pPr>
        <w:spacing w:line="240" w:lineRule="auto"/>
        <w:rPr>
          <w:sz w:val="24"/>
          <w:szCs w:val="24"/>
        </w:rPr>
      </w:pPr>
      <w:r>
        <w:rPr>
          <w:sz w:val="24"/>
          <w:szCs w:val="24"/>
        </w:rPr>
        <w:t>PECO Energy</w:t>
      </w:r>
      <w:r w:rsidR="00DE2949" w:rsidRPr="00FB448C">
        <w:rPr>
          <w:sz w:val="24"/>
          <w:szCs w:val="24"/>
        </w:rPr>
        <w:t xml:space="preserve"> Company</w:t>
      </w:r>
      <w:r>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F29E1" w:rsidRDefault="00DE2949" w:rsidP="00E126F9">
      <w:pPr>
        <w:spacing w:line="240" w:lineRule="auto"/>
        <w:jc w:val="center"/>
        <w:rPr>
          <w:sz w:val="24"/>
          <w:szCs w:val="24"/>
        </w:rPr>
      </w:pPr>
      <w:r w:rsidRPr="00FF29E1">
        <w:rPr>
          <w:sz w:val="24"/>
          <w:szCs w:val="24"/>
        </w:rPr>
        <w:t>Before</w:t>
      </w:r>
    </w:p>
    <w:p w:rsidR="00DE2949" w:rsidRPr="00FF29E1" w:rsidRDefault="00DE2949" w:rsidP="00E126F9">
      <w:pPr>
        <w:spacing w:line="240" w:lineRule="auto"/>
        <w:jc w:val="center"/>
        <w:rPr>
          <w:sz w:val="24"/>
          <w:szCs w:val="24"/>
        </w:rPr>
      </w:pPr>
      <w:r w:rsidRPr="00FF29E1">
        <w:rPr>
          <w:sz w:val="24"/>
          <w:szCs w:val="24"/>
        </w:rPr>
        <w:t>Katrina L. Dunderdale</w:t>
      </w:r>
    </w:p>
    <w:p w:rsidR="00DE2949" w:rsidRPr="00FF29E1" w:rsidRDefault="00DE2949" w:rsidP="00E126F9">
      <w:pPr>
        <w:spacing w:line="240" w:lineRule="auto"/>
        <w:jc w:val="center"/>
        <w:rPr>
          <w:sz w:val="24"/>
          <w:szCs w:val="24"/>
        </w:rPr>
      </w:pPr>
      <w:r w:rsidRPr="00FF29E1">
        <w:rPr>
          <w:sz w:val="24"/>
          <w:szCs w:val="24"/>
        </w:rPr>
        <w:t>Administrative Law Judge</w:t>
      </w:r>
    </w:p>
    <w:p w:rsidR="00FF29E1" w:rsidRDefault="00FF29E1" w:rsidP="001F6338">
      <w:pPr>
        <w:spacing w:line="240" w:lineRule="auto"/>
        <w:jc w:val="center"/>
        <w:rPr>
          <w:sz w:val="24"/>
          <w:szCs w:val="24"/>
        </w:rPr>
      </w:pPr>
    </w:p>
    <w:p w:rsidR="001F6338" w:rsidRDefault="001F6338" w:rsidP="001F6338">
      <w:pPr>
        <w:spacing w:line="240" w:lineRule="auto"/>
        <w:jc w:val="center"/>
        <w:rPr>
          <w:sz w:val="24"/>
          <w:szCs w:val="24"/>
        </w:rPr>
      </w:pPr>
    </w:p>
    <w:p w:rsidR="00FF29E1" w:rsidRPr="00FF29E1" w:rsidRDefault="00FF29E1" w:rsidP="00FF29E1">
      <w:pPr>
        <w:jc w:val="center"/>
        <w:rPr>
          <w:sz w:val="24"/>
          <w:szCs w:val="24"/>
          <w:u w:val="single"/>
        </w:rPr>
      </w:pPr>
      <w:r w:rsidRPr="00FF29E1">
        <w:rPr>
          <w:sz w:val="24"/>
          <w:szCs w:val="24"/>
          <w:u w:val="single"/>
        </w:rPr>
        <w:t>INTRODUCTION</w:t>
      </w:r>
    </w:p>
    <w:p w:rsidR="00FF29E1" w:rsidRPr="00FF29E1" w:rsidRDefault="00FF29E1" w:rsidP="00FF29E1">
      <w:pPr>
        <w:rPr>
          <w:sz w:val="24"/>
          <w:szCs w:val="24"/>
        </w:rPr>
      </w:pPr>
    </w:p>
    <w:p w:rsidR="00FF29E1" w:rsidRPr="00FF29E1" w:rsidRDefault="00FF29E1" w:rsidP="00FF29E1">
      <w:pPr>
        <w:rPr>
          <w:sz w:val="24"/>
          <w:szCs w:val="24"/>
        </w:rPr>
      </w:pPr>
      <w:r w:rsidRPr="00FF29E1">
        <w:rPr>
          <w:sz w:val="24"/>
          <w:szCs w:val="24"/>
        </w:rPr>
        <w:tab/>
      </w:r>
      <w:r w:rsidRPr="00FF29E1">
        <w:rPr>
          <w:sz w:val="24"/>
          <w:szCs w:val="24"/>
        </w:rPr>
        <w:tab/>
        <w:t xml:space="preserve">This decision </w:t>
      </w:r>
      <w:r>
        <w:rPr>
          <w:sz w:val="24"/>
          <w:szCs w:val="24"/>
        </w:rPr>
        <w:t>sustains</w:t>
      </w:r>
      <w:r w:rsidRPr="00FF29E1">
        <w:rPr>
          <w:sz w:val="24"/>
          <w:szCs w:val="24"/>
        </w:rPr>
        <w:t xml:space="preserve"> the complaint and </w:t>
      </w:r>
      <w:r>
        <w:rPr>
          <w:sz w:val="24"/>
          <w:szCs w:val="24"/>
        </w:rPr>
        <w:t>grants</w:t>
      </w:r>
      <w:r w:rsidRPr="00FF29E1">
        <w:rPr>
          <w:sz w:val="24"/>
          <w:szCs w:val="24"/>
        </w:rPr>
        <w:t xml:space="preserve"> Complainant’s request </w:t>
      </w:r>
      <w:r w:rsidR="00FB2175">
        <w:rPr>
          <w:sz w:val="24"/>
          <w:szCs w:val="24"/>
        </w:rPr>
        <w:t>to require Respondent to reflect in its records that Complainant is not responsible to pay for service provided at the service address</w:t>
      </w:r>
      <w:r w:rsidRPr="00FF29E1">
        <w:rPr>
          <w:sz w:val="24"/>
          <w:szCs w:val="24"/>
        </w:rPr>
        <w:t xml:space="preserve">.  </w:t>
      </w:r>
      <w:r w:rsidR="00014F87">
        <w:rPr>
          <w:sz w:val="24"/>
          <w:szCs w:val="24"/>
        </w:rPr>
        <w:t>This decision also imposes a civil penalty against Respondent for failure to provide reasonable and adequate customer service.</w:t>
      </w:r>
    </w:p>
    <w:p w:rsidR="00DE2949" w:rsidRPr="00FF29E1" w:rsidRDefault="00DE2949" w:rsidP="007027DB">
      <w:pPr>
        <w:jc w:val="center"/>
        <w:rPr>
          <w:sz w:val="24"/>
          <w:szCs w:val="24"/>
        </w:rPr>
      </w:pPr>
    </w:p>
    <w:p w:rsidR="00DE2949" w:rsidRPr="00FF29E1" w:rsidRDefault="00DE2949" w:rsidP="00E126F9">
      <w:pPr>
        <w:pStyle w:val="Heading1"/>
        <w:rPr>
          <w:sz w:val="24"/>
          <w:szCs w:val="24"/>
          <w:u w:val="none"/>
        </w:rPr>
      </w:pPr>
      <w:r w:rsidRPr="00FF29E1">
        <w:rPr>
          <w:sz w:val="24"/>
          <w:szCs w:val="24"/>
        </w:rPr>
        <w:t>HISTORY OF THE PROCEEDING</w:t>
      </w:r>
    </w:p>
    <w:p w:rsidR="00DE2949" w:rsidRPr="00FF29E1" w:rsidRDefault="00DE2949" w:rsidP="00E126F9">
      <w:pPr>
        <w:spacing w:line="240" w:lineRule="auto"/>
        <w:ind w:firstLine="1440"/>
        <w:rPr>
          <w:sz w:val="24"/>
          <w:szCs w:val="24"/>
        </w:rPr>
      </w:pPr>
    </w:p>
    <w:p w:rsidR="00C44296" w:rsidRPr="00FF29E1" w:rsidRDefault="00C44296" w:rsidP="00C44296">
      <w:pPr>
        <w:spacing w:line="240" w:lineRule="auto"/>
        <w:ind w:firstLine="1440"/>
        <w:rPr>
          <w:sz w:val="24"/>
          <w:szCs w:val="24"/>
        </w:rPr>
      </w:pPr>
    </w:p>
    <w:p w:rsidR="00D012AF" w:rsidRDefault="00D012AF" w:rsidP="00D012AF">
      <w:pPr>
        <w:ind w:firstLine="1440"/>
        <w:rPr>
          <w:sz w:val="24"/>
          <w:szCs w:val="24"/>
        </w:rPr>
      </w:pPr>
      <w:r>
        <w:rPr>
          <w:sz w:val="24"/>
          <w:szCs w:val="24"/>
        </w:rPr>
        <w:t>On November 8, 2013, Stephanie Hallman (Complainant or Ms. Hallman)</w:t>
      </w:r>
      <w:r w:rsidR="00FF29E1">
        <w:rPr>
          <w:sz w:val="24"/>
          <w:szCs w:val="24"/>
        </w:rPr>
        <w:t xml:space="preserve"> filed a formal c</w:t>
      </w:r>
      <w:r>
        <w:rPr>
          <w:sz w:val="24"/>
          <w:szCs w:val="24"/>
        </w:rPr>
        <w:t xml:space="preserve">omplaint against PECO Energy Company </w:t>
      </w:r>
      <w:r w:rsidR="00FF29E1">
        <w:rPr>
          <w:sz w:val="24"/>
          <w:szCs w:val="24"/>
        </w:rPr>
        <w:t xml:space="preserve">(PECO) with the Public Utility Commission (Commission) </w:t>
      </w:r>
      <w:r>
        <w:rPr>
          <w:sz w:val="24"/>
          <w:szCs w:val="24"/>
        </w:rPr>
        <w:t xml:space="preserve">alleging </w:t>
      </w:r>
      <w:r w:rsidR="00FF29E1">
        <w:rPr>
          <w:sz w:val="24"/>
          <w:szCs w:val="24"/>
        </w:rPr>
        <w:t>PECO</w:t>
      </w:r>
      <w:r>
        <w:rPr>
          <w:sz w:val="24"/>
          <w:szCs w:val="24"/>
        </w:rPr>
        <w:t xml:space="preserve"> wants her to pay for an unpaid utility account for a service address where she never lived and for which she was never responsible.  Complainant alleged the service address is where her ex-boyfriend lived and the landlords </w:t>
      </w:r>
      <w:r w:rsidR="00DC140A">
        <w:rPr>
          <w:sz w:val="24"/>
          <w:szCs w:val="24"/>
        </w:rPr>
        <w:t xml:space="preserve">who said she lived at the service address </w:t>
      </w:r>
      <w:r>
        <w:rPr>
          <w:sz w:val="24"/>
          <w:szCs w:val="24"/>
        </w:rPr>
        <w:t xml:space="preserve">are the ex-boyfriend’s mother and step-father.  </w:t>
      </w:r>
      <w:r w:rsidR="00FB2175">
        <w:rPr>
          <w:sz w:val="24"/>
          <w:szCs w:val="24"/>
        </w:rPr>
        <w:t xml:space="preserve">Complainant requested the Commission order PECO to stop pursuing her for payment for service provided at the service address.  </w:t>
      </w:r>
      <w:r>
        <w:rPr>
          <w:sz w:val="24"/>
          <w:szCs w:val="24"/>
        </w:rPr>
        <w:t xml:space="preserve">On December 10, 2013, Respondent filed an Answer with the Commission.  </w:t>
      </w:r>
    </w:p>
    <w:p w:rsidR="00D012AF" w:rsidRDefault="00D012AF" w:rsidP="00D012AF">
      <w:pPr>
        <w:ind w:firstLine="1440"/>
        <w:rPr>
          <w:sz w:val="24"/>
          <w:szCs w:val="24"/>
        </w:rPr>
      </w:pPr>
      <w:r>
        <w:rPr>
          <w:sz w:val="24"/>
          <w:szCs w:val="24"/>
        </w:rPr>
        <w:lastRenderedPageBreak/>
        <w:t xml:space="preserve">On Wednesday, March 19, 2014, the undersigned convened the parties by telephone from the Commission’s offices in Pittsburgh and conducted an initial hearing.  </w:t>
      </w:r>
      <w:r w:rsidR="00FF29E1">
        <w:rPr>
          <w:sz w:val="24"/>
          <w:szCs w:val="24"/>
        </w:rPr>
        <w:t>Ms.</w:t>
      </w:r>
      <w:r w:rsidR="00D81835">
        <w:rPr>
          <w:sz w:val="24"/>
          <w:szCs w:val="24"/>
        </w:rPr>
        <w:t> </w:t>
      </w:r>
      <w:r w:rsidR="00FF29E1">
        <w:rPr>
          <w:sz w:val="24"/>
          <w:szCs w:val="24"/>
        </w:rPr>
        <w:t>Hallman</w:t>
      </w:r>
      <w:r w:rsidRPr="00B73D10">
        <w:rPr>
          <w:sz w:val="24"/>
          <w:szCs w:val="24"/>
        </w:rPr>
        <w:t xml:space="preserve"> appeared </w:t>
      </w:r>
      <w:r w:rsidRPr="00B73D10">
        <w:rPr>
          <w:i/>
          <w:sz w:val="24"/>
          <w:szCs w:val="24"/>
        </w:rPr>
        <w:t>pro se</w:t>
      </w:r>
      <w:r w:rsidRPr="00B73D10">
        <w:rPr>
          <w:sz w:val="24"/>
          <w:szCs w:val="24"/>
        </w:rPr>
        <w:t xml:space="preserve"> </w:t>
      </w:r>
      <w:r>
        <w:rPr>
          <w:sz w:val="24"/>
          <w:szCs w:val="24"/>
        </w:rPr>
        <w:t xml:space="preserve">and testified </w:t>
      </w:r>
      <w:r w:rsidRPr="00B73D10">
        <w:rPr>
          <w:sz w:val="24"/>
          <w:szCs w:val="24"/>
        </w:rPr>
        <w:t xml:space="preserve">on </w:t>
      </w:r>
      <w:r w:rsidR="00FF29E1">
        <w:rPr>
          <w:sz w:val="24"/>
          <w:szCs w:val="24"/>
        </w:rPr>
        <w:t>her</w:t>
      </w:r>
      <w:r w:rsidRPr="00B73D10">
        <w:rPr>
          <w:sz w:val="24"/>
          <w:szCs w:val="24"/>
        </w:rPr>
        <w:t xml:space="preserve"> own behalf.  Respondent was represented by </w:t>
      </w:r>
      <w:proofErr w:type="spellStart"/>
      <w:r w:rsidR="00FF29E1">
        <w:rPr>
          <w:sz w:val="24"/>
          <w:szCs w:val="24"/>
        </w:rPr>
        <w:t>Shawane</w:t>
      </w:r>
      <w:proofErr w:type="spellEnd"/>
      <w:r w:rsidR="00FF29E1">
        <w:rPr>
          <w:sz w:val="24"/>
          <w:szCs w:val="24"/>
        </w:rPr>
        <w:t xml:space="preserve"> L. Lee</w:t>
      </w:r>
      <w:r w:rsidRPr="00B73D10">
        <w:rPr>
          <w:sz w:val="24"/>
          <w:szCs w:val="24"/>
        </w:rPr>
        <w:t xml:space="preserve">, Esquire.  Attorney </w:t>
      </w:r>
      <w:r w:rsidR="00FF29E1">
        <w:rPr>
          <w:sz w:val="24"/>
          <w:szCs w:val="24"/>
        </w:rPr>
        <w:t>Lee</w:t>
      </w:r>
      <w:r>
        <w:rPr>
          <w:sz w:val="24"/>
          <w:szCs w:val="24"/>
        </w:rPr>
        <w:t xml:space="preserve"> presented the testimonies</w:t>
      </w:r>
      <w:r w:rsidRPr="00B73D10">
        <w:rPr>
          <w:sz w:val="24"/>
          <w:szCs w:val="24"/>
        </w:rPr>
        <w:t xml:space="preserve"> of </w:t>
      </w:r>
      <w:r>
        <w:rPr>
          <w:sz w:val="24"/>
          <w:szCs w:val="24"/>
        </w:rPr>
        <w:t>two</w:t>
      </w:r>
      <w:r w:rsidRPr="00B73D10">
        <w:rPr>
          <w:sz w:val="24"/>
          <w:szCs w:val="24"/>
        </w:rPr>
        <w:t xml:space="preserve"> witnesses, and offered </w:t>
      </w:r>
      <w:r w:rsidR="00FF29E1">
        <w:rPr>
          <w:sz w:val="24"/>
          <w:szCs w:val="24"/>
        </w:rPr>
        <w:t>eight</w:t>
      </w:r>
      <w:r w:rsidRPr="00B73D10">
        <w:rPr>
          <w:sz w:val="24"/>
          <w:szCs w:val="24"/>
        </w:rPr>
        <w:t xml:space="preserve"> exhibits, marked </w:t>
      </w:r>
      <w:r>
        <w:rPr>
          <w:sz w:val="24"/>
          <w:szCs w:val="24"/>
        </w:rPr>
        <w:t>PECO</w:t>
      </w:r>
      <w:r w:rsidRPr="00B73D10">
        <w:rPr>
          <w:sz w:val="24"/>
          <w:szCs w:val="24"/>
        </w:rPr>
        <w:t xml:space="preserve"> Exhibit</w:t>
      </w:r>
      <w:r>
        <w:rPr>
          <w:sz w:val="24"/>
          <w:szCs w:val="24"/>
        </w:rPr>
        <w:t>s 1</w:t>
      </w:r>
      <w:r w:rsidR="0077368A">
        <w:rPr>
          <w:sz w:val="24"/>
          <w:szCs w:val="24"/>
        </w:rPr>
        <w:t>, 2, 3, 6, and 7</w:t>
      </w:r>
      <w:r w:rsidRPr="00B73D10">
        <w:rPr>
          <w:sz w:val="24"/>
          <w:szCs w:val="24"/>
        </w:rPr>
        <w:t xml:space="preserve">, which exhibits were admitted into evidence on </w:t>
      </w:r>
      <w:r>
        <w:rPr>
          <w:sz w:val="24"/>
          <w:szCs w:val="24"/>
        </w:rPr>
        <w:t xml:space="preserve">March </w:t>
      </w:r>
      <w:r w:rsidR="00FF29E1">
        <w:rPr>
          <w:sz w:val="24"/>
          <w:szCs w:val="24"/>
        </w:rPr>
        <w:t>14, 2014</w:t>
      </w:r>
      <w:r w:rsidRPr="00B73D10">
        <w:rPr>
          <w:sz w:val="24"/>
          <w:szCs w:val="24"/>
        </w:rPr>
        <w:t xml:space="preserve">.  </w:t>
      </w:r>
    </w:p>
    <w:p w:rsidR="00D012AF" w:rsidRDefault="00D012AF" w:rsidP="00D012AF">
      <w:pPr>
        <w:ind w:firstLine="1440"/>
        <w:rPr>
          <w:sz w:val="24"/>
          <w:szCs w:val="24"/>
        </w:rPr>
      </w:pPr>
    </w:p>
    <w:p w:rsidR="00D012AF" w:rsidRDefault="00D012AF" w:rsidP="00D012AF">
      <w:pPr>
        <w:ind w:firstLine="1440"/>
        <w:rPr>
          <w:sz w:val="24"/>
          <w:szCs w:val="24"/>
        </w:rPr>
      </w:pPr>
      <w:r>
        <w:rPr>
          <w:sz w:val="24"/>
          <w:szCs w:val="24"/>
        </w:rPr>
        <w:t>During the initial hearing, Complainant testified she sent various types of documents to PECO as proof she resided at another address since 2006.  In response, PECO alleged it never received the documents allegedly sent or, if received, the documentation was illegible or outside the time frame when the disputed energy charges were incurred.</w:t>
      </w:r>
      <w:r w:rsidR="00FF29E1">
        <w:rPr>
          <w:sz w:val="24"/>
          <w:szCs w:val="24"/>
        </w:rPr>
        <w:t xml:space="preserve">  At the hearing, PECO and Complainant discussed the various documents Complainant possessed which she testified were sent to PECO.  PECO requested Complainant file a Motion to Admit Late-Filed Exhibits and the presiding officer agreed Complainant, who appeared </w:t>
      </w:r>
      <w:r w:rsidR="00FF29E1" w:rsidRPr="00867E27">
        <w:rPr>
          <w:i/>
          <w:sz w:val="24"/>
          <w:szCs w:val="24"/>
        </w:rPr>
        <w:t>pro se</w:t>
      </w:r>
      <w:r w:rsidR="00FF29E1">
        <w:rPr>
          <w:sz w:val="24"/>
          <w:szCs w:val="24"/>
        </w:rPr>
        <w:t xml:space="preserve">, should be given the opportunity to submit the documentation.   </w:t>
      </w:r>
    </w:p>
    <w:p w:rsidR="00D012AF" w:rsidRDefault="00D012AF" w:rsidP="00D012AF">
      <w:pPr>
        <w:ind w:firstLine="1440"/>
        <w:rPr>
          <w:sz w:val="24"/>
          <w:szCs w:val="24"/>
        </w:rPr>
      </w:pPr>
    </w:p>
    <w:p w:rsidR="00D012AF" w:rsidRDefault="00D012AF" w:rsidP="00D012AF">
      <w:pPr>
        <w:ind w:firstLine="1440"/>
        <w:rPr>
          <w:sz w:val="24"/>
          <w:szCs w:val="24"/>
        </w:rPr>
      </w:pPr>
      <w:r>
        <w:rPr>
          <w:sz w:val="24"/>
          <w:szCs w:val="24"/>
        </w:rPr>
        <w:t>On March 20, 2014, the presiding officer issued the First Post-Hearing Order in which Complainant was directed to submit the proposed exhibits on or before March 31, 2014, and PECO was provided with an opportunity to submit any objections to the exhibits in writing and/or to request a second day of hearing in which to cross-examine Complainant about the proposed exhibits, provided the objection and/or request was submitted prior to April 10, 2014.</w:t>
      </w:r>
    </w:p>
    <w:p w:rsidR="00D012AF" w:rsidRDefault="00D012AF" w:rsidP="00D012AF">
      <w:pPr>
        <w:ind w:firstLine="1440"/>
        <w:rPr>
          <w:sz w:val="24"/>
          <w:szCs w:val="24"/>
        </w:rPr>
      </w:pPr>
    </w:p>
    <w:p w:rsidR="00FF29E1" w:rsidRDefault="00D012AF" w:rsidP="00D012AF">
      <w:pPr>
        <w:ind w:firstLine="1440"/>
        <w:rPr>
          <w:sz w:val="24"/>
          <w:szCs w:val="24"/>
        </w:rPr>
      </w:pPr>
      <w:r>
        <w:rPr>
          <w:sz w:val="24"/>
          <w:szCs w:val="24"/>
        </w:rPr>
        <w:t xml:space="preserve">On March 24, 2014, Complainant submitted a copy of seven proposed exhibits to the presiding officer and Respondent’s attorney.  Respondent did not submit any objection to the admission of the proposed exhibits or request a second day of hearing.  </w:t>
      </w:r>
    </w:p>
    <w:p w:rsidR="00FF29E1" w:rsidRDefault="00FF29E1" w:rsidP="00D012AF">
      <w:pPr>
        <w:ind w:firstLine="1440"/>
        <w:rPr>
          <w:sz w:val="24"/>
          <w:szCs w:val="24"/>
        </w:rPr>
      </w:pPr>
    </w:p>
    <w:p w:rsidR="00D012AF" w:rsidRDefault="00D012AF" w:rsidP="00D012AF">
      <w:pPr>
        <w:ind w:firstLine="1440"/>
        <w:rPr>
          <w:sz w:val="24"/>
          <w:szCs w:val="24"/>
        </w:rPr>
      </w:pPr>
      <w:r>
        <w:rPr>
          <w:sz w:val="24"/>
          <w:szCs w:val="24"/>
        </w:rPr>
        <w:t xml:space="preserve">On April 9, 2014, the presiding officer received the transcript from the proceeding, which contains eighty-eight (88) pages.  On April 21, 2014, the presiding officer closed the hearing record by Interim Order Closing the Hearing Record.  </w:t>
      </w:r>
    </w:p>
    <w:p w:rsidR="00D012AF" w:rsidRDefault="00D012AF" w:rsidP="00D012AF">
      <w:pPr>
        <w:ind w:firstLine="1440"/>
        <w:rPr>
          <w:sz w:val="24"/>
          <w:szCs w:val="24"/>
        </w:rPr>
      </w:pPr>
    </w:p>
    <w:p w:rsidR="00D012AF" w:rsidRDefault="00D012AF" w:rsidP="00D012AF">
      <w:pPr>
        <w:ind w:firstLine="1440"/>
        <w:rPr>
          <w:sz w:val="24"/>
          <w:szCs w:val="24"/>
        </w:rPr>
      </w:pPr>
      <w:r>
        <w:rPr>
          <w:sz w:val="24"/>
          <w:szCs w:val="24"/>
        </w:rPr>
        <w:lastRenderedPageBreak/>
        <w:t xml:space="preserve">On April 23, 2014, the presiding officer issued the Second Post-Hearing Order which reopened the hearing record for the purpose of admitting into evidence Complainant’s Exhibits 1, 2, 4 and 7.  By the same Order, the presiding officer provided two copies of the exhibits to the Secretary’s Bureau for filing, and closed the hearing record.  </w:t>
      </w:r>
    </w:p>
    <w:p w:rsidR="00FB2F18" w:rsidRDefault="00FB2F18" w:rsidP="00FB2F18">
      <w:pPr>
        <w:rPr>
          <w:sz w:val="24"/>
          <w:szCs w:val="24"/>
        </w:rPr>
      </w:pPr>
    </w:p>
    <w:p w:rsidR="00C44296" w:rsidRPr="00B73D10" w:rsidRDefault="00C44296" w:rsidP="00C44296">
      <w:pPr>
        <w:tabs>
          <w:tab w:val="left" w:pos="2160"/>
        </w:tabs>
        <w:jc w:val="center"/>
        <w:rPr>
          <w:sz w:val="24"/>
          <w:szCs w:val="24"/>
          <w:u w:val="single"/>
        </w:rPr>
      </w:pPr>
      <w:r w:rsidRPr="00B73D10">
        <w:rPr>
          <w:sz w:val="24"/>
          <w:szCs w:val="24"/>
          <w:u w:val="single"/>
        </w:rPr>
        <w:t xml:space="preserve">FINDINGS OF </w:t>
      </w:r>
      <w:smartTag w:uri="urn:schemas-microsoft-com:office:smarttags" w:element="stockticker">
        <w:r w:rsidRPr="00B73D10">
          <w:rPr>
            <w:sz w:val="24"/>
            <w:szCs w:val="24"/>
            <w:u w:val="single"/>
          </w:rPr>
          <w:t>FACT</w:t>
        </w:r>
      </w:smartTag>
    </w:p>
    <w:p w:rsidR="00C44296" w:rsidRPr="00B73D10" w:rsidRDefault="00C44296" w:rsidP="00C44296">
      <w:pPr>
        <w:tabs>
          <w:tab w:val="left" w:pos="2160"/>
        </w:tabs>
        <w:rPr>
          <w:sz w:val="24"/>
          <w:szCs w:val="24"/>
          <w:u w:val="single"/>
        </w:rPr>
      </w:pPr>
    </w:p>
    <w:p w:rsidR="00C44296" w:rsidRDefault="00EB28CA" w:rsidP="00C44296">
      <w:pPr>
        <w:tabs>
          <w:tab w:val="left" w:pos="2160"/>
        </w:tabs>
        <w:ind w:firstLine="1440"/>
        <w:rPr>
          <w:sz w:val="24"/>
          <w:szCs w:val="24"/>
        </w:rPr>
      </w:pPr>
      <w:proofErr w:type="gramStart"/>
      <w:r>
        <w:rPr>
          <w:sz w:val="24"/>
          <w:szCs w:val="24"/>
        </w:rPr>
        <w:t>1.</w:t>
      </w:r>
      <w:r>
        <w:rPr>
          <w:sz w:val="24"/>
          <w:szCs w:val="24"/>
        </w:rPr>
        <w:tab/>
      </w:r>
      <w:r w:rsidR="00C44296" w:rsidRPr="00B73D10">
        <w:rPr>
          <w:sz w:val="24"/>
          <w:szCs w:val="24"/>
        </w:rPr>
        <w:t xml:space="preserve">Complainant, </w:t>
      </w:r>
      <w:r w:rsidR="00063980">
        <w:rPr>
          <w:sz w:val="24"/>
          <w:szCs w:val="24"/>
        </w:rPr>
        <w:t>Stephanie Hallman</w:t>
      </w:r>
      <w:r w:rsidR="00FB2F18">
        <w:rPr>
          <w:sz w:val="24"/>
          <w:szCs w:val="24"/>
        </w:rPr>
        <w:t>, resides</w:t>
      </w:r>
      <w:r w:rsidR="0065307F">
        <w:rPr>
          <w:sz w:val="24"/>
          <w:szCs w:val="24"/>
        </w:rPr>
        <w:t xml:space="preserve"> at </w:t>
      </w:r>
      <w:r w:rsidR="00063980">
        <w:rPr>
          <w:sz w:val="24"/>
          <w:szCs w:val="24"/>
        </w:rPr>
        <w:t>327 Seneca Street, Essington</w:t>
      </w:r>
      <w:r w:rsidR="00447294">
        <w:rPr>
          <w:sz w:val="24"/>
          <w:szCs w:val="24"/>
        </w:rPr>
        <w:t xml:space="preserve">, </w:t>
      </w:r>
      <w:r w:rsidR="00063980">
        <w:rPr>
          <w:sz w:val="24"/>
          <w:szCs w:val="24"/>
        </w:rPr>
        <w:t>Delaware County,</w:t>
      </w:r>
      <w:proofErr w:type="gramEnd"/>
      <w:r w:rsidR="00063980">
        <w:rPr>
          <w:sz w:val="24"/>
          <w:szCs w:val="24"/>
        </w:rPr>
        <w:t xml:space="preserve"> </w:t>
      </w:r>
      <w:r w:rsidR="00447294">
        <w:rPr>
          <w:sz w:val="24"/>
          <w:szCs w:val="24"/>
        </w:rPr>
        <w:t>Pennsylvania</w:t>
      </w:r>
      <w:r w:rsidR="00DC140A">
        <w:rPr>
          <w:sz w:val="24"/>
          <w:szCs w:val="24"/>
        </w:rPr>
        <w:t xml:space="preserve"> (327 Seneca Street)</w:t>
      </w:r>
      <w:r w:rsidR="00063980">
        <w:rPr>
          <w:sz w:val="24"/>
          <w:szCs w:val="24"/>
        </w:rPr>
        <w:t xml:space="preserve">, where she has resided since </w:t>
      </w:r>
      <w:r w:rsidR="00DC140A">
        <w:rPr>
          <w:sz w:val="24"/>
          <w:szCs w:val="24"/>
        </w:rPr>
        <w:t>June 21, 2006</w:t>
      </w:r>
      <w:r w:rsidR="0065307F">
        <w:rPr>
          <w:sz w:val="24"/>
          <w:szCs w:val="24"/>
        </w:rPr>
        <w:t>.</w:t>
      </w:r>
      <w:r w:rsidR="00C44296" w:rsidRPr="00B73D10">
        <w:rPr>
          <w:sz w:val="24"/>
          <w:szCs w:val="24"/>
        </w:rPr>
        <w:t xml:space="preserve">  </w:t>
      </w:r>
      <w:proofErr w:type="gramStart"/>
      <w:r w:rsidR="00C44296" w:rsidRPr="00B73D10">
        <w:rPr>
          <w:sz w:val="24"/>
          <w:szCs w:val="24"/>
        </w:rPr>
        <w:t xml:space="preserve">(Tr. </w:t>
      </w:r>
      <w:r w:rsidR="00063980">
        <w:rPr>
          <w:sz w:val="24"/>
          <w:szCs w:val="24"/>
        </w:rPr>
        <w:t xml:space="preserve">9, </w:t>
      </w:r>
      <w:r w:rsidR="000E0254">
        <w:rPr>
          <w:sz w:val="24"/>
          <w:szCs w:val="24"/>
        </w:rPr>
        <w:t xml:space="preserve">10, </w:t>
      </w:r>
      <w:r w:rsidR="00DC140A">
        <w:rPr>
          <w:sz w:val="24"/>
          <w:szCs w:val="24"/>
        </w:rPr>
        <w:t>21</w:t>
      </w:r>
      <w:r w:rsidR="00063980">
        <w:rPr>
          <w:sz w:val="24"/>
          <w:szCs w:val="24"/>
        </w:rPr>
        <w:t>; Complainant Exhibit</w:t>
      </w:r>
      <w:r w:rsidR="00AB71D8">
        <w:rPr>
          <w:sz w:val="24"/>
          <w:szCs w:val="24"/>
        </w:rPr>
        <w:t xml:space="preserve"> 1</w:t>
      </w:r>
      <w:r w:rsidR="00063980">
        <w:rPr>
          <w:sz w:val="24"/>
          <w:szCs w:val="24"/>
        </w:rPr>
        <w:t>).</w:t>
      </w:r>
      <w:proofErr w:type="gramEnd"/>
      <w:r w:rsidR="00063980">
        <w:rPr>
          <w:sz w:val="24"/>
          <w:szCs w:val="24"/>
        </w:rPr>
        <w:t xml:space="preserve">  </w:t>
      </w:r>
    </w:p>
    <w:p w:rsidR="0065307F" w:rsidRDefault="0065307F" w:rsidP="00C44296">
      <w:pPr>
        <w:tabs>
          <w:tab w:val="left" w:pos="2160"/>
        </w:tabs>
        <w:ind w:firstLine="1440"/>
        <w:rPr>
          <w:sz w:val="24"/>
          <w:szCs w:val="24"/>
        </w:rPr>
      </w:pPr>
    </w:p>
    <w:p w:rsidR="00063980" w:rsidRDefault="00063980" w:rsidP="00C44296">
      <w:pPr>
        <w:tabs>
          <w:tab w:val="left" w:pos="2160"/>
        </w:tabs>
        <w:ind w:firstLine="1440"/>
        <w:rPr>
          <w:sz w:val="24"/>
          <w:szCs w:val="24"/>
        </w:rPr>
      </w:pPr>
      <w:r>
        <w:rPr>
          <w:sz w:val="24"/>
          <w:szCs w:val="24"/>
        </w:rPr>
        <w:t xml:space="preserve">2. </w:t>
      </w:r>
      <w:r>
        <w:rPr>
          <w:sz w:val="24"/>
          <w:szCs w:val="24"/>
        </w:rPr>
        <w:tab/>
        <w:t>Complainant is not currently a customer of PECO and has not been a customer of PECO at any time</w:t>
      </w:r>
      <w:r w:rsidR="000E0254">
        <w:rPr>
          <w:sz w:val="24"/>
          <w:szCs w:val="24"/>
        </w:rPr>
        <w:t xml:space="preserve"> previously</w:t>
      </w:r>
      <w:r>
        <w:rPr>
          <w:sz w:val="24"/>
          <w:szCs w:val="24"/>
        </w:rPr>
        <w:t xml:space="preserve">.  </w:t>
      </w:r>
      <w:proofErr w:type="gramStart"/>
      <w:r>
        <w:rPr>
          <w:sz w:val="24"/>
          <w:szCs w:val="24"/>
        </w:rPr>
        <w:t>(Tr. 9).</w:t>
      </w:r>
      <w:proofErr w:type="gramEnd"/>
    </w:p>
    <w:p w:rsidR="00063980" w:rsidRDefault="00063980" w:rsidP="00C44296">
      <w:pPr>
        <w:tabs>
          <w:tab w:val="left" w:pos="2160"/>
        </w:tabs>
        <w:ind w:firstLine="1440"/>
        <w:rPr>
          <w:sz w:val="24"/>
          <w:szCs w:val="24"/>
        </w:rPr>
      </w:pPr>
    </w:p>
    <w:p w:rsidR="0065307F" w:rsidRDefault="00063980" w:rsidP="00C44296">
      <w:pPr>
        <w:tabs>
          <w:tab w:val="left" w:pos="2160"/>
        </w:tabs>
        <w:ind w:firstLine="1440"/>
        <w:rPr>
          <w:sz w:val="24"/>
          <w:szCs w:val="24"/>
        </w:rPr>
      </w:pPr>
      <w:r>
        <w:rPr>
          <w:sz w:val="24"/>
          <w:szCs w:val="24"/>
        </w:rPr>
        <w:t>3</w:t>
      </w:r>
      <w:r w:rsidR="0065307F">
        <w:rPr>
          <w:sz w:val="24"/>
          <w:szCs w:val="24"/>
        </w:rPr>
        <w:t>.</w:t>
      </w:r>
      <w:r w:rsidR="0065307F">
        <w:rPr>
          <w:sz w:val="24"/>
          <w:szCs w:val="24"/>
        </w:rPr>
        <w:tab/>
        <w:t xml:space="preserve">Respondent </w:t>
      </w:r>
      <w:r w:rsidR="00AB71D8">
        <w:rPr>
          <w:sz w:val="24"/>
          <w:szCs w:val="24"/>
        </w:rPr>
        <w:t>provided</w:t>
      </w:r>
      <w:r w:rsidR="0065307F">
        <w:rPr>
          <w:sz w:val="24"/>
          <w:szCs w:val="24"/>
        </w:rPr>
        <w:t xml:space="preserve"> natural gas and electric services at </w:t>
      </w:r>
      <w:r>
        <w:rPr>
          <w:sz w:val="24"/>
          <w:szCs w:val="24"/>
        </w:rPr>
        <w:t xml:space="preserve">133 </w:t>
      </w:r>
      <w:proofErr w:type="spellStart"/>
      <w:r>
        <w:rPr>
          <w:sz w:val="24"/>
          <w:szCs w:val="24"/>
        </w:rPr>
        <w:t>Carre</w:t>
      </w:r>
      <w:proofErr w:type="spellEnd"/>
      <w:r>
        <w:rPr>
          <w:sz w:val="24"/>
          <w:szCs w:val="24"/>
        </w:rPr>
        <w:t xml:space="preserve"> </w:t>
      </w:r>
      <w:r>
        <w:rPr>
          <w:sz w:val="24"/>
          <w:szCs w:val="24"/>
        </w:rPr>
        <w:br/>
        <w:t xml:space="preserve">Avenue, Essington, </w:t>
      </w:r>
      <w:r w:rsidR="000E0254">
        <w:rPr>
          <w:sz w:val="24"/>
          <w:szCs w:val="24"/>
        </w:rPr>
        <w:t xml:space="preserve">Delaware County, </w:t>
      </w:r>
      <w:r>
        <w:rPr>
          <w:sz w:val="24"/>
          <w:szCs w:val="24"/>
        </w:rPr>
        <w:t>Pennsylvania (service address)</w:t>
      </w:r>
      <w:r w:rsidR="00AB71D8">
        <w:rPr>
          <w:sz w:val="24"/>
          <w:szCs w:val="24"/>
        </w:rPr>
        <w:t xml:space="preserve"> from August 29, 2009 to April 16, 2013 in the name of “Stephanie Hallman”</w:t>
      </w:r>
      <w:r w:rsidR="0065307F">
        <w:rPr>
          <w:sz w:val="24"/>
          <w:szCs w:val="24"/>
        </w:rPr>
        <w:t xml:space="preserve">.  </w:t>
      </w:r>
      <w:proofErr w:type="gramStart"/>
      <w:r w:rsidR="0065307F">
        <w:rPr>
          <w:sz w:val="24"/>
          <w:szCs w:val="24"/>
        </w:rPr>
        <w:t xml:space="preserve">(Tr. </w:t>
      </w:r>
      <w:r w:rsidR="000E0254">
        <w:rPr>
          <w:sz w:val="24"/>
          <w:szCs w:val="24"/>
        </w:rPr>
        <w:t xml:space="preserve">10, </w:t>
      </w:r>
      <w:r w:rsidR="00F92BED">
        <w:rPr>
          <w:sz w:val="24"/>
          <w:szCs w:val="24"/>
        </w:rPr>
        <w:t>46</w:t>
      </w:r>
      <w:r w:rsidR="00AB71D8">
        <w:rPr>
          <w:sz w:val="24"/>
          <w:szCs w:val="24"/>
        </w:rPr>
        <w:t>, 56</w:t>
      </w:r>
      <w:r w:rsidR="00F92BED">
        <w:rPr>
          <w:sz w:val="24"/>
          <w:szCs w:val="24"/>
        </w:rPr>
        <w:t>; PECO Exhibit</w:t>
      </w:r>
      <w:r w:rsidR="00AB71D8">
        <w:rPr>
          <w:sz w:val="24"/>
          <w:szCs w:val="24"/>
        </w:rPr>
        <w:t>s</w:t>
      </w:r>
      <w:r w:rsidR="00F92BED">
        <w:rPr>
          <w:sz w:val="24"/>
          <w:szCs w:val="24"/>
        </w:rPr>
        <w:t xml:space="preserve"> 1</w:t>
      </w:r>
      <w:r w:rsidR="00AB71D8">
        <w:rPr>
          <w:sz w:val="24"/>
          <w:szCs w:val="24"/>
        </w:rPr>
        <w:t xml:space="preserve"> &amp; 6</w:t>
      </w:r>
      <w:r w:rsidR="0065307F">
        <w:rPr>
          <w:sz w:val="24"/>
          <w:szCs w:val="24"/>
        </w:rPr>
        <w:t>).</w:t>
      </w:r>
      <w:proofErr w:type="gramEnd"/>
    </w:p>
    <w:p w:rsidR="00B34327" w:rsidRPr="00B73D10" w:rsidRDefault="00B34327" w:rsidP="00B34327">
      <w:pPr>
        <w:pStyle w:val="BodyText"/>
        <w:jc w:val="left"/>
        <w:rPr>
          <w:sz w:val="24"/>
          <w:szCs w:val="24"/>
        </w:rPr>
      </w:pPr>
    </w:p>
    <w:p w:rsidR="006B1AA8" w:rsidRDefault="00B34327" w:rsidP="006B1AA8">
      <w:pPr>
        <w:pStyle w:val="BodyText"/>
        <w:jc w:val="left"/>
        <w:rPr>
          <w:sz w:val="24"/>
          <w:szCs w:val="24"/>
        </w:rPr>
      </w:pPr>
      <w:r w:rsidRPr="00B73D10">
        <w:rPr>
          <w:sz w:val="24"/>
          <w:szCs w:val="24"/>
        </w:rPr>
        <w:tab/>
      </w:r>
      <w:r w:rsidRPr="00B73D10">
        <w:rPr>
          <w:sz w:val="24"/>
          <w:szCs w:val="24"/>
        </w:rPr>
        <w:tab/>
      </w:r>
      <w:r w:rsidR="001D7301">
        <w:rPr>
          <w:sz w:val="24"/>
          <w:szCs w:val="24"/>
        </w:rPr>
        <w:t>4</w:t>
      </w:r>
      <w:r w:rsidRPr="00B73D10">
        <w:rPr>
          <w:sz w:val="24"/>
          <w:szCs w:val="24"/>
        </w:rPr>
        <w:t>.</w:t>
      </w:r>
      <w:r w:rsidRPr="00B73D10">
        <w:rPr>
          <w:sz w:val="24"/>
          <w:szCs w:val="24"/>
        </w:rPr>
        <w:tab/>
      </w:r>
      <w:r w:rsidR="00E8786A">
        <w:rPr>
          <w:sz w:val="24"/>
          <w:szCs w:val="24"/>
        </w:rPr>
        <w:t xml:space="preserve">In April 2013, Respondent contacted Complainant, requesting payment on an unpaid balance for </w:t>
      </w:r>
      <w:r w:rsidR="006B05F8">
        <w:rPr>
          <w:sz w:val="24"/>
          <w:szCs w:val="24"/>
        </w:rPr>
        <w:t xml:space="preserve">residential electric and gas </w:t>
      </w:r>
      <w:r w:rsidR="00E8786A">
        <w:rPr>
          <w:sz w:val="24"/>
          <w:szCs w:val="24"/>
        </w:rPr>
        <w:t xml:space="preserve">service provided at the service address.  </w:t>
      </w:r>
      <w:proofErr w:type="gramStart"/>
      <w:r w:rsidR="00E8786A">
        <w:rPr>
          <w:sz w:val="24"/>
          <w:szCs w:val="24"/>
        </w:rPr>
        <w:t>(Tr.</w:t>
      </w:r>
      <w:r w:rsidR="006415F8">
        <w:rPr>
          <w:sz w:val="24"/>
          <w:szCs w:val="24"/>
        </w:rPr>
        <w:t> </w:t>
      </w:r>
      <w:r w:rsidR="00E8786A">
        <w:rPr>
          <w:sz w:val="24"/>
          <w:szCs w:val="24"/>
        </w:rPr>
        <w:t>10,</w:t>
      </w:r>
      <w:r w:rsidR="006415F8">
        <w:rPr>
          <w:sz w:val="24"/>
          <w:szCs w:val="24"/>
        </w:rPr>
        <w:t> </w:t>
      </w:r>
      <w:r w:rsidR="006B05F8">
        <w:rPr>
          <w:sz w:val="24"/>
          <w:szCs w:val="24"/>
        </w:rPr>
        <w:t>11</w:t>
      </w:r>
      <w:r w:rsidR="00E8786A">
        <w:rPr>
          <w:sz w:val="24"/>
          <w:szCs w:val="24"/>
        </w:rPr>
        <w:t>).</w:t>
      </w:r>
      <w:proofErr w:type="gramEnd"/>
    </w:p>
    <w:p w:rsidR="006B1AA8" w:rsidRDefault="006B1AA8" w:rsidP="006B1AA8">
      <w:pPr>
        <w:tabs>
          <w:tab w:val="left" w:pos="2160"/>
        </w:tabs>
        <w:ind w:firstLine="1440"/>
        <w:rPr>
          <w:sz w:val="24"/>
          <w:szCs w:val="24"/>
        </w:rPr>
      </w:pPr>
    </w:p>
    <w:p w:rsidR="004B1116" w:rsidRDefault="004B1116" w:rsidP="006B1AA8">
      <w:pPr>
        <w:tabs>
          <w:tab w:val="left" w:pos="2160"/>
        </w:tabs>
        <w:ind w:firstLine="1440"/>
        <w:rPr>
          <w:sz w:val="24"/>
          <w:szCs w:val="24"/>
        </w:rPr>
      </w:pPr>
      <w:r>
        <w:rPr>
          <w:sz w:val="24"/>
          <w:szCs w:val="24"/>
        </w:rPr>
        <w:t>5.</w:t>
      </w:r>
      <w:r>
        <w:rPr>
          <w:sz w:val="24"/>
          <w:szCs w:val="24"/>
        </w:rPr>
        <w:tab/>
      </w:r>
      <w:r w:rsidR="00E8786A">
        <w:rPr>
          <w:sz w:val="24"/>
          <w:szCs w:val="24"/>
        </w:rPr>
        <w:t xml:space="preserve">Complainant’s boyfriend from 2008 to </w:t>
      </w:r>
      <w:r w:rsidR="001D16E0">
        <w:rPr>
          <w:sz w:val="24"/>
          <w:szCs w:val="24"/>
        </w:rPr>
        <w:t>April</w:t>
      </w:r>
      <w:r w:rsidR="00E8786A">
        <w:rPr>
          <w:sz w:val="24"/>
          <w:szCs w:val="24"/>
        </w:rPr>
        <w:t xml:space="preserve"> 2013 was Michael </w:t>
      </w:r>
      <w:proofErr w:type="spellStart"/>
      <w:r w:rsidR="00E8786A">
        <w:rPr>
          <w:sz w:val="24"/>
          <w:szCs w:val="24"/>
        </w:rPr>
        <w:t>Treichel</w:t>
      </w:r>
      <w:proofErr w:type="spellEnd"/>
      <w:r w:rsidR="00E8786A">
        <w:rPr>
          <w:sz w:val="24"/>
          <w:szCs w:val="24"/>
        </w:rPr>
        <w:t xml:space="preserve"> (</w:t>
      </w:r>
      <w:proofErr w:type="spellStart"/>
      <w:r w:rsidR="00E8786A">
        <w:rPr>
          <w:sz w:val="24"/>
          <w:szCs w:val="24"/>
        </w:rPr>
        <w:t>Treichel</w:t>
      </w:r>
      <w:proofErr w:type="spellEnd"/>
      <w:r w:rsidR="00E8786A">
        <w:rPr>
          <w:sz w:val="24"/>
          <w:szCs w:val="24"/>
        </w:rPr>
        <w:t xml:space="preserve">) and he lived at the service address.  </w:t>
      </w:r>
      <w:proofErr w:type="gramStart"/>
      <w:r w:rsidR="00E8786A">
        <w:rPr>
          <w:sz w:val="24"/>
          <w:szCs w:val="24"/>
        </w:rPr>
        <w:t>(Tr. 11, 12</w:t>
      </w:r>
      <w:r w:rsidR="001D16E0">
        <w:rPr>
          <w:sz w:val="24"/>
          <w:szCs w:val="24"/>
        </w:rPr>
        <w:t>, 35</w:t>
      </w:r>
      <w:r w:rsidR="00E8786A">
        <w:rPr>
          <w:sz w:val="24"/>
          <w:szCs w:val="24"/>
        </w:rPr>
        <w:t>).</w:t>
      </w:r>
      <w:proofErr w:type="gramEnd"/>
    </w:p>
    <w:p w:rsidR="004B1116" w:rsidRDefault="004B1116" w:rsidP="006B1AA8">
      <w:pPr>
        <w:tabs>
          <w:tab w:val="left" w:pos="2160"/>
        </w:tabs>
        <w:ind w:firstLine="1440"/>
        <w:rPr>
          <w:sz w:val="24"/>
          <w:szCs w:val="24"/>
        </w:rPr>
      </w:pPr>
    </w:p>
    <w:p w:rsidR="006B1AA8" w:rsidRDefault="0086046A" w:rsidP="006B1AA8">
      <w:pPr>
        <w:tabs>
          <w:tab w:val="left" w:pos="2160"/>
        </w:tabs>
        <w:ind w:firstLine="1440"/>
        <w:rPr>
          <w:sz w:val="24"/>
          <w:szCs w:val="24"/>
        </w:rPr>
      </w:pPr>
      <w:r>
        <w:rPr>
          <w:sz w:val="24"/>
          <w:szCs w:val="24"/>
        </w:rPr>
        <w:t>6</w:t>
      </w:r>
      <w:r w:rsidR="006B1AA8">
        <w:rPr>
          <w:sz w:val="24"/>
          <w:szCs w:val="24"/>
        </w:rPr>
        <w:t>.</w:t>
      </w:r>
      <w:r w:rsidR="006B1AA8">
        <w:rPr>
          <w:sz w:val="24"/>
          <w:szCs w:val="24"/>
        </w:rPr>
        <w:tab/>
      </w:r>
      <w:r w:rsidR="00E8786A">
        <w:rPr>
          <w:sz w:val="24"/>
          <w:szCs w:val="24"/>
        </w:rPr>
        <w:t xml:space="preserve">Complainant broke off her relationship </w:t>
      </w:r>
      <w:r w:rsidR="00AB71D8">
        <w:rPr>
          <w:sz w:val="24"/>
          <w:szCs w:val="24"/>
        </w:rPr>
        <w:t>with</w:t>
      </w:r>
      <w:r w:rsidR="00E8786A">
        <w:rPr>
          <w:sz w:val="24"/>
          <w:szCs w:val="24"/>
        </w:rPr>
        <w:t xml:space="preserve"> </w:t>
      </w:r>
      <w:proofErr w:type="spellStart"/>
      <w:r w:rsidR="00E8786A">
        <w:rPr>
          <w:sz w:val="24"/>
          <w:szCs w:val="24"/>
        </w:rPr>
        <w:t>Treichel</w:t>
      </w:r>
      <w:proofErr w:type="spellEnd"/>
      <w:r w:rsidR="00E8786A">
        <w:rPr>
          <w:sz w:val="24"/>
          <w:szCs w:val="24"/>
        </w:rPr>
        <w:t xml:space="preserve"> after Respondent informed Complainant that her name was on Respondent’s account at the service address.  (Tr.</w:t>
      </w:r>
      <w:r w:rsidR="00927135">
        <w:rPr>
          <w:sz w:val="24"/>
          <w:szCs w:val="24"/>
        </w:rPr>
        <w:t> </w:t>
      </w:r>
      <w:r w:rsidR="00E8786A">
        <w:rPr>
          <w:sz w:val="24"/>
          <w:szCs w:val="24"/>
        </w:rPr>
        <w:t>11-16).</w:t>
      </w:r>
    </w:p>
    <w:p w:rsidR="0086046A" w:rsidRDefault="0086046A" w:rsidP="0086046A">
      <w:pPr>
        <w:tabs>
          <w:tab w:val="left" w:pos="2160"/>
        </w:tabs>
        <w:ind w:firstLine="1440"/>
        <w:rPr>
          <w:sz w:val="24"/>
          <w:szCs w:val="24"/>
        </w:rPr>
      </w:pPr>
    </w:p>
    <w:p w:rsidR="0086046A" w:rsidRDefault="00DC7003" w:rsidP="0086046A">
      <w:pPr>
        <w:tabs>
          <w:tab w:val="left" w:pos="2160"/>
        </w:tabs>
        <w:ind w:firstLine="1440"/>
        <w:rPr>
          <w:sz w:val="24"/>
          <w:szCs w:val="24"/>
        </w:rPr>
      </w:pPr>
      <w:r>
        <w:rPr>
          <w:sz w:val="24"/>
          <w:szCs w:val="24"/>
        </w:rPr>
        <w:t>7</w:t>
      </w:r>
      <w:r w:rsidR="0086046A">
        <w:rPr>
          <w:sz w:val="24"/>
          <w:szCs w:val="24"/>
        </w:rPr>
        <w:t>.</w:t>
      </w:r>
      <w:r w:rsidR="0086046A">
        <w:rPr>
          <w:sz w:val="24"/>
          <w:szCs w:val="24"/>
        </w:rPr>
        <w:tab/>
      </w:r>
      <w:r w:rsidR="001D16E0">
        <w:rPr>
          <w:sz w:val="24"/>
          <w:szCs w:val="24"/>
        </w:rPr>
        <w:t>On June 21,</w:t>
      </w:r>
      <w:r w:rsidR="00E8786A">
        <w:rPr>
          <w:sz w:val="24"/>
          <w:szCs w:val="24"/>
        </w:rPr>
        <w:t xml:space="preserve"> 2013, Complainant filed a complaint with the </w:t>
      </w:r>
      <w:proofErr w:type="spellStart"/>
      <w:r w:rsidR="00E8786A">
        <w:rPr>
          <w:sz w:val="24"/>
          <w:szCs w:val="24"/>
        </w:rPr>
        <w:t>Tinicum</w:t>
      </w:r>
      <w:proofErr w:type="spellEnd"/>
      <w:r w:rsidR="00E8786A">
        <w:rPr>
          <w:sz w:val="24"/>
          <w:szCs w:val="24"/>
        </w:rPr>
        <w:t xml:space="preserve"> Township Police Department (</w:t>
      </w:r>
      <w:proofErr w:type="spellStart"/>
      <w:r w:rsidR="00E8786A">
        <w:rPr>
          <w:sz w:val="24"/>
          <w:szCs w:val="24"/>
        </w:rPr>
        <w:t>Tinicum</w:t>
      </w:r>
      <w:proofErr w:type="spellEnd"/>
      <w:r w:rsidR="00E8786A">
        <w:rPr>
          <w:sz w:val="24"/>
          <w:szCs w:val="24"/>
        </w:rPr>
        <w:t xml:space="preserve"> P.D.) against </w:t>
      </w:r>
      <w:proofErr w:type="spellStart"/>
      <w:r w:rsidR="00E8786A">
        <w:rPr>
          <w:sz w:val="24"/>
          <w:szCs w:val="24"/>
        </w:rPr>
        <w:t>Treichel</w:t>
      </w:r>
      <w:proofErr w:type="spellEnd"/>
      <w:r w:rsidR="00E8786A">
        <w:rPr>
          <w:sz w:val="24"/>
          <w:szCs w:val="24"/>
        </w:rPr>
        <w:t xml:space="preserve"> for allegedly using her name and </w:t>
      </w:r>
      <w:r w:rsidR="00E8786A">
        <w:rPr>
          <w:sz w:val="24"/>
          <w:szCs w:val="24"/>
        </w:rPr>
        <w:lastRenderedPageBreak/>
        <w:t xml:space="preserve">personal information on Respondent’s account for the service address but the </w:t>
      </w:r>
      <w:proofErr w:type="spellStart"/>
      <w:r w:rsidR="00E8786A">
        <w:rPr>
          <w:sz w:val="24"/>
          <w:szCs w:val="24"/>
        </w:rPr>
        <w:t>Tinicum</w:t>
      </w:r>
      <w:proofErr w:type="spellEnd"/>
      <w:r w:rsidR="00E8786A">
        <w:rPr>
          <w:sz w:val="24"/>
          <w:szCs w:val="24"/>
        </w:rPr>
        <w:t xml:space="preserve"> P.D. did not pursue the complaint.  </w:t>
      </w:r>
      <w:proofErr w:type="gramStart"/>
      <w:r w:rsidR="00E8786A">
        <w:rPr>
          <w:sz w:val="24"/>
          <w:szCs w:val="24"/>
        </w:rPr>
        <w:t>(Tr. 17, 18</w:t>
      </w:r>
      <w:r w:rsidR="001D16E0">
        <w:rPr>
          <w:sz w:val="24"/>
          <w:szCs w:val="24"/>
        </w:rPr>
        <w:t>, 35</w:t>
      </w:r>
      <w:r w:rsidR="00AB71D8">
        <w:rPr>
          <w:sz w:val="24"/>
          <w:szCs w:val="24"/>
        </w:rPr>
        <w:t>; Complainant Exhibit 7</w:t>
      </w:r>
      <w:r w:rsidR="00E8786A">
        <w:rPr>
          <w:sz w:val="24"/>
          <w:szCs w:val="24"/>
        </w:rPr>
        <w:t>).</w:t>
      </w:r>
      <w:proofErr w:type="gramEnd"/>
    </w:p>
    <w:p w:rsidR="00DC7003" w:rsidRDefault="00DC7003" w:rsidP="00DC7003">
      <w:pPr>
        <w:tabs>
          <w:tab w:val="left" w:pos="2160"/>
        </w:tabs>
        <w:ind w:firstLine="1440"/>
        <w:rPr>
          <w:sz w:val="24"/>
          <w:szCs w:val="24"/>
        </w:rPr>
      </w:pPr>
    </w:p>
    <w:p w:rsidR="0086046A" w:rsidRPr="00B73D10" w:rsidRDefault="00DC7003" w:rsidP="00DC140A">
      <w:pPr>
        <w:tabs>
          <w:tab w:val="left" w:pos="2160"/>
        </w:tabs>
        <w:ind w:firstLine="1440"/>
        <w:rPr>
          <w:sz w:val="24"/>
          <w:szCs w:val="24"/>
        </w:rPr>
      </w:pPr>
      <w:r>
        <w:rPr>
          <w:sz w:val="24"/>
          <w:szCs w:val="24"/>
        </w:rPr>
        <w:t>8</w:t>
      </w:r>
      <w:r w:rsidRPr="00B73D10">
        <w:rPr>
          <w:sz w:val="24"/>
          <w:szCs w:val="24"/>
        </w:rPr>
        <w:t>.</w:t>
      </w:r>
      <w:r w:rsidRPr="00B73D10">
        <w:rPr>
          <w:sz w:val="24"/>
          <w:szCs w:val="24"/>
        </w:rPr>
        <w:tab/>
        <w:t xml:space="preserve"> </w:t>
      </w:r>
      <w:r w:rsidR="00E8786A">
        <w:rPr>
          <w:sz w:val="24"/>
          <w:szCs w:val="24"/>
        </w:rPr>
        <w:t xml:space="preserve">On June 28, 2013, Ms. Hallman sent a copy of the </w:t>
      </w:r>
      <w:proofErr w:type="spellStart"/>
      <w:r w:rsidR="00E8786A">
        <w:rPr>
          <w:sz w:val="24"/>
          <w:szCs w:val="24"/>
        </w:rPr>
        <w:t>Tinicum</w:t>
      </w:r>
      <w:proofErr w:type="spellEnd"/>
      <w:r w:rsidR="00E8786A">
        <w:rPr>
          <w:sz w:val="24"/>
          <w:szCs w:val="24"/>
        </w:rPr>
        <w:t xml:space="preserve"> P.D. complaint to PECO via facsimile transmission along with a copy of her </w:t>
      </w:r>
      <w:r w:rsidR="00FB2175">
        <w:rPr>
          <w:sz w:val="24"/>
          <w:szCs w:val="24"/>
        </w:rPr>
        <w:t xml:space="preserve">three </w:t>
      </w:r>
      <w:r w:rsidR="00E8786A">
        <w:rPr>
          <w:sz w:val="24"/>
          <w:szCs w:val="24"/>
        </w:rPr>
        <w:t>credit report</w:t>
      </w:r>
      <w:r w:rsidR="00FB2175">
        <w:rPr>
          <w:sz w:val="24"/>
          <w:szCs w:val="24"/>
        </w:rPr>
        <w:t>s;</w:t>
      </w:r>
      <w:r w:rsidR="00E8786A">
        <w:rPr>
          <w:sz w:val="24"/>
          <w:szCs w:val="24"/>
        </w:rPr>
        <w:t xml:space="preserve"> a lease showing she lived at 327 Seneca Street</w:t>
      </w:r>
      <w:r w:rsidR="00DC140A">
        <w:rPr>
          <w:sz w:val="24"/>
          <w:szCs w:val="24"/>
        </w:rPr>
        <w:t xml:space="preserve"> from June 21, 2006</w:t>
      </w:r>
      <w:r w:rsidR="00FB2175">
        <w:rPr>
          <w:sz w:val="24"/>
          <w:szCs w:val="24"/>
        </w:rPr>
        <w:t xml:space="preserve">; a letter </w:t>
      </w:r>
      <w:r w:rsidR="001D16E0">
        <w:rPr>
          <w:sz w:val="24"/>
          <w:szCs w:val="24"/>
        </w:rPr>
        <w:t xml:space="preserve">from her landlord </w:t>
      </w:r>
      <w:r w:rsidR="00FB2175">
        <w:rPr>
          <w:sz w:val="24"/>
          <w:szCs w:val="24"/>
        </w:rPr>
        <w:t xml:space="preserve">indicating where she resided; a copy of her driver’s license; </w:t>
      </w:r>
      <w:r w:rsidR="001D16E0">
        <w:rPr>
          <w:sz w:val="24"/>
          <w:szCs w:val="24"/>
        </w:rPr>
        <w:t xml:space="preserve">an Individualized Education Program (IEP) form; </w:t>
      </w:r>
      <w:r w:rsidR="00FB2175">
        <w:rPr>
          <w:sz w:val="24"/>
          <w:szCs w:val="24"/>
        </w:rPr>
        <w:t>and her insurance card</w:t>
      </w:r>
      <w:r w:rsidR="00E8786A">
        <w:rPr>
          <w:sz w:val="24"/>
          <w:szCs w:val="24"/>
        </w:rPr>
        <w:t xml:space="preserve">.  </w:t>
      </w:r>
      <w:proofErr w:type="gramStart"/>
      <w:r w:rsidR="00E8786A">
        <w:rPr>
          <w:sz w:val="24"/>
          <w:szCs w:val="24"/>
        </w:rPr>
        <w:t>(Tr. 19</w:t>
      </w:r>
      <w:r w:rsidR="00DC140A">
        <w:rPr>
          <w:sz w:val="24"/>
          <w:szCs w:val="24"/>
        </w:rPr>
        <w:t>-21</w:t>
      </w:r>
      <w:r w:rsidR="00FB2175">
        <w:rPr>
          <w:sz w:val="24"/>
          <w:szCs w:val="24"/>
        </w:rPr>
        <w:t>, 31, 34</w:t>
      </w:r>
      <w:r w:rsidR="001D16E0">
        <w:rPr>
          <w:sz w:val="24"/>
          <w:szCs w:val="24"/>
        </w:rPr>
        <w:t>, 36, 39</w:t>
      </w:r>
      <w:r w:rsidR="00DC140A">
        <w:rPr>
          <w:sz w:val="24"/>
          <w:szCs w:val="24"/>
        </w:rPr>
        <w:t xml:space="preserve">; Complainant Exhibit </w:t>
      </w:r>
      <w:r w:rsidR="00AB71D8">
        <w:rPr>
          <w:sz w:val="24"/>
          <w:szCs w:val="24"/>
        </w:rPr>
        <w:t>2</w:t>
      </w:r>
      <w:r w:rsidR="00E8786A">
        <w:rPr>
          <w:sz w:val="24"/>
          <w:szCs w:val="24"/>
        </w:rPr>
        <w:t>).</w:t>
      </w:r>
      <w:proofErr w:type="gramEnd"/>
    </w:p>
    <w:p w:rsidR="00DC140A" w:rsidRDefault="00DC140A" w:rsidP="00DC7003">
      <w:pPr>
        <w:rPr>
          <w:sz w:val="24"/>
          <w:szCs w:val="24"/>
        </w:rPr>
      </w:pPr>
    </w:p>
    <w:p w:rsidR="00DC7003" w:rsidRDefault="00DC140A" w:rsidP="00DC7003">
      <w:pPr>
        <w:rPr>
          <w:sz w:val="24"/>
          <w:szCs w:val="24"/>
        </w:rPr>
      </w:pPr>
      <w:r>
        <w:rPr>
          <w:sz w:val="24"/>
          <w:szCs w:val="24"/>
        </w:rPr>
        <w:tab/>
      </w:r>
      <w:r>
        <w:rPr>
          <w:sz w:val="24"/>
          <w:szCs w:val="24"/>
        </w:rPr>
        <w:tab/>
        <w:t xml:space="preserve">9. </w:t>
      </w:r>
      <w:r>
        <w:rPr>
          <w:sz w:val="24"/>
          <w:szCs w:val="24"/>
        </w:rPr>
        <w:tab/>
        <w:t xml:space="preserve">On July 9, 2013, Complainant filed an informal complaint against PECO with the Bureau of Consumer Services (BCS) </w:t>
      </w:r>
      <w:r w:rsidR="00EB28CA">
        <w:rPr>
          <w:sz w:val="24"/>
          <w:szCs w:val="24"/>
        </w:rPr>
        <w:t xml:space="preserve">and on October 4, 2013, </w:t>
      </w:r>
      <w:r>
        <w:rPr>
          <w:sz w:val="24"/>
          <w:szCs w:val="24"/>
        </w:rPr>
        <w:t xml:space="preserve">BCS </w:t>
      </w:r>
      <w:r w:rsidR="00EB28CA">
        <w:rPr>
          <w:sz w:val="24"/>
          <w:szCs w:val="24"/>
        </w:rPr>
        <w:t xml:space="preserve">denied the informal complaint based upon </w:t>
      </w:r>
      <w:r>
        <w:rPr>
          <w:sz w:val="24"/>
          <w:szCs w:val="24"/>
        </w:rPr>
        <w:t>the landlords</w:t>
      </w:r>
      <w:r w:rsidR="00EB28CA">
        <w:rPr>
          <w:sz w:val="24"/>
          <w:szCs w:val="24"/>
        </w:rPr>
        <w:t>’ allegations</w:t>
      </w:r>
      <w:r>
        <w:rPr>
          <w:sz w:val="24"/>
          <w:szCs w:val="24"/>
        </w:rPr>
        <w:t xml:space="preserve"> Complainant lived at the service address and </w:t>
      </w:r>
      <w:r w:rsidR="00EB28CA">
        <w:rPr>
          <w:sz w:val="24"/>
          <w:szCs w:val="24"/>
        </w:rPr>
        <w:t xml:space="preserve">their allegations </w:t>
      </w:r>
      <w:r>
        <w:rPr>
          <w:sz w:val="24"/>
          <w:szCs w:val="24"/>
        </w:rPr>
        <w:t xml:space="preserve">there was a lease signed by Complainant for the service address back to 2008.  </w:t>
      </w:r>
      <w:proofErr w:type="gramStart"/>
      <w:r>
        <w:rPr>
          <w:sz w:val="24"/>
          <w:szCs w:val="24"/>
        </w:rPr>
        <w:t>(Tr. 21-23</w:t>
      </w:r>
      <w:r w:rsidR="00EB28CA">
        <w:rPr>
          <w:sz w:val="24"/>
          <w:szCs w:val="24"/>
        </w:rPr>
        <w:t>; PECO Exhibit 6</w:t>
      </w:r>
      <w:r>
        <w:rPr>
          <w:sz w:val="24"/>
          <w:szCs w:val="24"/>
        </w:rPr>
        <w:t>).</w:t>
      </w:r>
      <w:proofErr w:type="gramEnd"/>
    </w:p>
    <w:p w:rsidR="00DC140A" w:rsidRDefault="00DC140A" w:rsidP="00DC7003">
      <w:pPr>
        <w:rPr>
          <w:sz w:val="24"/>
          <w:szCs w:val="24"/>
        </w:rPr>
      </w:pPr>
    </w:p>
    <w:p w:rsidR="00FB2175" w:rsidRDefault="00FB2175" w:rsidP="00DC7003">
      <w:pPr>
        <w:rPr>
          <w:sz w:val="24"/>
          <w:szCs w:val="24"/>
        </w:rPr>
      </w:pPr>
      <w:r>
        <w:rPr>
          <w:sz w:val="24"/>
          <w:szCs w:val="24"/>
        </w:rPr>
        <w:tab/>
      </w:r>
      <w:r>
        <w:rPr>
          <w:sz w:val="24"/>
          <w:szCs w:val="24"/>
        </w:rPr>
        <w:tab/>
        <w:t xml:space="preserve">10. </w:t>
      </w:r>
      <w:r>
        <w:rPr>
          <w:sz w:val="24"/>
          <w:szCs w:val="24"/>
        </w:rPr>
        <w:tab/>
        <w:t xml:space="preserve">Complainant requested a copy of the lease </w:t>
      </w:r>
      <w:r w:rsidR="00C1378D">
        <w:rPr>
          <w:sz w:val="24"/>
          <w:szCs w:val="24"/>
        </w:rPr>
        <w:t xml:space="preserve">from PECO and BCS, </w:t>
      </w:r>
      <w:r>
        <w:rPr>
          <w:sz w:val="24"/>
          <w:szCs w:val="24"/>
        </w:rPr>
        <w:t>which</w:t>
      </w:r>
      <w:r w:rsidR="00C1378D">
        <w:rPr>
          <w:sz w:val="24"/>
          <w:szCs w:val="24"/>
        </w:rPr>
        <w:t xml:space="preserve"> lease the landlords </w:t>
      </w:r>
      <w:proofErr w:type="gramStart"/>
      <w:r w:rsidR="00C1378D">
        <w:rPr>
          <w:sz w:val="24"/>
          <w:szCs w:val="24"/>
        </w:rPr>
        <w:t>alleged</w:t>
      </w:r>
      <w:proofErr w:type="gramEnd"/>
      <w:r w:rsidR="00C1378D">
        <w:rPr>
          <w:sz w:val="24"/>
          <w:szCs w:val="24"/>
        </w:rPr>
        <w:t xml:space="preserve"> showed</w:t>
      </w:r>
      <w:r>
        <w:rPr>
          <w:sz w:val="24"/>
          <w:szCs w:val="24"/>
        </w:rPr>
        <w:t xml:space="preserve"> Ms. Hallman signed </w:t>
      </w:r>
      <w:r w:rsidR="00C1378D">
        <w:rPr>
          <w:sz w:val="24"/>
          <w:szCs w:val="24"/>
        </w:rPr>
        <w:t xml:space="preserve">a rental agreement </w:t>
      </w:r>
      <w:r>
        <w:rPr>
          <w:sz w:val="24"/>
          <w:szCs w:val="24"/>
        </w:rPr>
        <w:t>for the service address.  (Tr. 27-29).</w:t>
      </w:r>
    </w:p>
    <w:p w:rsidR="00FB2175" w:rsidRDefault="00FB2175" w:rsidP="00DC7003">
      <w:pPr>
        <w:rPr>
          <w:sz w:val="24"/>
          <w:szCs w:val="24"/>
        </w:rPr>
      </w:pPr>
    </w:p>
    <w:p w:rsidR="00DC7003" w:rsidRDefault="00DC7003" w:rsidP="00DC7003">
      <w:pPr>
        <w:rPr>
          <w:sz w:val="24"/>
          <w:szCs w:val="24"/>
        </w:rPr>
      </w:pPr>
      <w:r>
        <w:rPr>
          <w:sz w:val="24"/>
          <w:szCs w:val="24"/>
        </w:rPr>
        <w:tab/>
      </w:r>
      <w:r>
        <w:rPr>
          <w:sz w:val="24"/>
          <w:szCs w:val="24"/>
        </w:rPr>
        <w:tab/>
      </w:r>
      <w:r w:rsidR="00FB2175">
        <w:rPr>
          <w:sz w:val="24"/>
          <w:szCs w:val="24"/>
        </w:rPr>
        <w:t>11</w:t>
      </w:r>
      <w:r>
        <w:rPr>
          <w:sz w:val="24"/>
          <w:szCs w:val="24"/>
        </w:rPr>
        <w:t>.</w:t>
      </w:r>
      <w:r>
        <w:rPr>
          <w:sz w:val="24"/>
          <w:szCs w:val="24"/>
        </w:rPr>
        <w:tab/>
        <w:t xml:space="preserve"> </w:t>
      </w:r>
      <w:r w:rsidR="00DC140A">
        <w:rPr>
          <w:sz w:val="24"/>
          <w:szCs w:val="24"/>
        </w:rPr>
        <w:t xml:space="preserve">The landowners at the service address, </w:t>
      </w:r>
      <w:r w:rsidR="00C72746">
        <w:rPr>
          <w:sz w:val="24"/>
          <w:szCs w:val="24"/>
        </w:rPr>
        <w:t>Benjamin</w:t>
      </w:r>
      <w:r w:rsidR="00DC140A">
        <w:rPr>
          <w:sz w:val="24"/>
          <w:szCs w:val="24"/>
        </w:rPr>
        <w:t xml:space="preserve"> and June </w:t>
      </w:r>
      <w:proofErr w:type="spellStart"/>
      <w:r w:rsidR="00DC140A">
        <w:rPr>
          <w:sz w:val="24"/>
          <w:szCs w:val="24"/>
        </w:rPr>
        <w:t>Unkle</w:t>
      </w:r>
      <w:proofErr w:type="spellEnd"/>
      <w:r w:rsidR="00DC140A">
        <w:rPr>
          <w:sz w:val="24"/>
          <w:szCs w:val="24"/>
        </w:rPr>
        <w:t xml:space="preserve">, are the </w:t>
      </w:r>
      <w:r w:rsidR="00FB2175">
        <w:rPr>
          <w:sz w:val="24"/>
          <w:szCs w:val="24"/>
        </w:rPr>
        <w:t xml:space="preserve">step-father and </w:t>
      </w:r>
      <w:r w:rsidR="00DC140A">
        <w:rPr>
          <w:sz w:val="24"/>
          <w:szCs w:val="24"/>
        </w:rPr>
        <w:t>mother</w:t>
      </w:r>
      <w:r w:rsidR="00FB2175">
        <w:rPr>
          <w:sz w:val="24"/>
          <w:szCs w:val="24"/>
        </w:rPr>
        <w:t xml:space="preserve">, respectively, </w:t>
      </w:r>
      <w:r w:rsidR="00DC140A">
        <w:rPr>
          <w:sz w:val="24"/>
          <w:szCs w:val="24"/>
        </w:rPr>
        <w:t xml:space="preserve">of Michael </w:t>
      </w:r>
      <w:proofErr w:type="spellStart"/>
      <w:r w:rsidR="00DC140A">
        <w:rPr>
          <w:sz w:val="24"/>
          <w:szCs w:val="24"/>
        </w:rPr>
        <w:t>Treichel</w:t>
      </w:r>
      <w:proofErr w:type="spellEnd"/>
      <w:r w:rsidR="00DC140A">
        <w:rPr>
          <w:sz w:val="24"/>
          <w:szCs w:val="24"/>
        </w:rPr>
        <w:t xml:space="preserve"> and bought the service address in 2008.  </w:t>
      </w:r>
      <w:proofErr w:type="gramStart"/>
      <w:r w:rsidR="00DC140A">
        <w:rPr>
          <w:sz w:val="24"/>
          <w:szCs w:val="24"/>
        </w:rPr>
        <w:t xml:space="preserve">(Tr. 23, </w:t>
      </w:r>
      <w:r w:rsidR="00C72746">
        <w:rPr>
          <w:sz w:val="24"/>
          <w:szCs w:val="24"/>
        </w:rPr>
        <w:t>65</w:t>
      </w:r>
      <w:r w:rsidR="00FB2175">
        <w:rPr>
          <w:sz w:val="24"/>
          <w:szCs w:val="24"/>
        </w:rPr>
        <w:t xml:space="preserve">; PECO Exhibit </w:t>
      </w:r>
      <w:r w:rsidR="00C72746">
        <w:rPr>
          <w:sz w:val="24"/>
          <w:szCs w:val="24"/>
        </w:rPr>
        <w:t>2</w:t>
      </w:r>
      <w:r w:rsidR="00DC140A">
        <w:rPr>
          <w:sz w:val="24"/>
          <w:szCs w:val="24"/>
        </w:rPr>
        <w:t>).</w:t>
      </w:r>
      <w:proofErr w:type="gramEnd"/>
      <w:r w:rsidR="00DC140A">
        <w:rPr>
          <w:sz w:val="24"/>
          <w:szCs w:val="24"/>
        </w:rPr>
        <w:t xml:space="preserve"> </w:t>
      </w:r>
    </w:p>
    <w:p w:rsidR="00DC7003" w:rsidRDefault="00DC7003" w:rsidP="00DC7003">
      <w:pPr>
        <w:tabs>
          <w:tab w:val="left" w:pos="2160"/>
        </w:tabs>
        <w:ind w:firstLine="1440"/>
        <w:rPr>
          <w:sz w:val="24"/>
          <w:szCs w:val="24"/>
        </w:rPr>
      </w:pPr>
    </w:p>
    <w:p w:rsidR="00DC7003" w:rsidRDefault="00FB2175" w:rsidP="00DC7003">
      <w:pPr>
        <w:tabs>
          <w:tab w:val="left" w:pos="2160"/>
        </w:tabs>
        <w:ind w:firstLine="1440"/>
        <w:rPr>
          <w:sz w:val="24"/>
          <w:szCs w:val="24"/>
        </w:rPr>
      </w:pPr>
      <w:r>
        <w:rPr>
          <w:sz w:val="24"/>
          <w:szCs w:val="24"/>
        </w:rPr>
        <w:t>12</w:t>
      </w:r>
      <w:r w:rsidR="00DC7003">
        <w:rPr>
          <w:sz w:val="24"/>
          <w:szCs w:val="24"/>
        </w:rPr>
        <w:t>.</w:t>
      </w:r>
      <w:r w:rsidR="00DC7003">
        <w:rPr>
          <w:sz w:val="24"/>
          <w:szCs w:val="24"/>
        </w:rPr>
        <w:tab/>
      </w:r>
      <w:r w:rsidR="00DC140A">
        <w:rPr>
          <w:sz w:val="24"/>
          <w:szCs w:val="24"/>
        </w:rPr>
        <w:t xml:space="preserve">During the five years they dated, Complainant never moved into the service address with </w:t>
      </w:r>
      <w:proofErr w:type="spellStart"/>
      <w:r w:rsidR="00DC140A">
        <w:rPr>
          <w:sz w:val="24"/>
          <w:szCs w:val="24"/>
        </w:rPr>
        <w:t>Treichel</w:t>
      </w:r>
      <w:proofErr w:type="spellEnd"/>
      <w:r w:rsidR="00DC140A">
        <w:rPr>
          <w:sz w:val="24"/>
          <w:szCs w:val="24"/>
        </w:rPr>
        <w:t xml:space="preserve"> and she never spent the night at the service address.  </w:t>
      </w:r>
      <w:proofErr w:type="gramStart"/>
      <w:r w:rsidR="00DC140A">
        <w:rPr>
          <w:sz w:val="24"/>
          <w:szCs w:val="24"/>
        </w:rPr>
        <w:t>(Tr. 25, 26).</w:t>
      </w:r>
      <w:proofErr w:type="gramEnd"/>
    </w:p>
    <w:p w:rsidR="00A155BF" w:rsidRDefault="00A155BF" w:rsidP="00DC7003">
      <w:pPr>
        <w:tabs>
          <w:tab w:val="left" w:pos="2160"/>
        </w:tabs>
        <w:ind w:firstLine="1440"/>
        <w:rPr>
          <w:sz w:val="24"/>
          <w:szCs w:val="24"/>
        </w:rPr>
      </w:pPr>
    </w:p>
    <w:p w:rsidR="001215AB" w:rsidRDefault="00DC7003" w:rsidP="001215AB">
      <w:pPr>
        <w:tabs>
          <w:tab w:val="left" w:pos="2160"/>
        </w:tabs>
        <w:ind w:firstLine="1440"/>
        <w:rPr>
          <w:sz w:val="24"/>
          <w:szCs w:val="24"/>
        </w:rPr>
      </w:pPr>
      <w:r>
        <w:rPr>
          <w:sz w:val="24"/>
          <w:szCs w:val="24"/>
        </w:rPr>
        <w:t>13</w:t>
      </w:r>
      <w:r w:rsidR="001215AB">
        <w:rPr>
          <w:sz w:val="24"/>
          <w:szCs w:val="24"/>
        </w:rPr>
        <w:t>.</w:t>
      </w:r>
      <w:r w:rsidR="001215AB">
        <w:rPr>
          <w:sz w:val="24"/>
          <w:szCs w:val="24"/>
        </w:rPr>
        <w:tab/>
      </w:r>
      <w:r w:rsidR="00FB2175">
        <w:rPr>
          <w:sz w:val="24"/>
          <w:szCs w:val="24"/>
        </w:rPr>
        <w:t xml:space="preserve">The three credit reports which Complainant provided to PECO indicated Complainant had an unpaid debt totaling $1,821 owed to PECO for service provided at the service address.  </w:t>
      </w:r>
      <w:proofErr w:type="gramStart"/>
      <w:r w:rsidR="00FB2175">
        <w:rPr>
          <w:sz w:val="24"/>
          <w:szCs w:val="24"/>
        </w:rPr>
        <w:t>(Tr. 31, 32).</w:t>
      </w:r>
      <w:proofErr w:type="gramEnd"/>
      <w:r w:rsidR="00FB2175">
        <w:rPr>
          <w:sz w:val="24"/>
          <w:szCs w:val="24"/>
        </w:rPr>
        <w:t xml:space="preserve"> </w:t>
      </w:r>
    </w:p>
    <w:p w:rsidR="001215AB" w:rsidRPr="00B73D10" w:rsidRDefault="001215AB" w:rsidP="006B1AA8">
      <w:pPr>
        <w:tabs>
          <w:tab w:val="left" w:pos="2160"/>
        </w:tabs>
        <w:ind w:firstLine="1440"/>
        <w:rPr>
          <w:sz w:val="24"/>
          <w:szCs w:val="24"/>
        </w:rPr>
      </w:pPr>
    </w:p>
    <w:p w:rsidR="006B1AA8" w:rsidRDefault="00DC7003" w:rsidP="006B1AA8">
      <w:pPr>
        <w:tabs>
          <w:tab w:val="left" w:pos="2160"/>
        </w:tabs>
        <w:ind w:firstLine="1440"/>
        <w:rPr>
          <w:sz w:val="24"/>
          <w:szCs w:val="24"/>
        </w:rPr>
      </w:pPr>
      <w:r>
        <w:rPr>
          <w:sz w:val="24"/>
          <w:szCs w:val="24"/>
        </w:rPr>
        <w:lastRenderedPageBreak/>
        <w:t>14</w:t>
      </w:r>
      <w:r w:rsidR="006B1AA8">
        <w:rPr>
          <w:sz w:val="24"/>
          <w:szCs w:val="24"/>
        </w:rPr>
        <w:t>.</w:t>
      </w:r>
      <w:r w:rsidR="006B1AA8">
        <w:rPr>
          <w:sz w:val="24"/>
          <w:szCs w:val="24"/>
        </w:rPr>
        <w:tab/>
      </w:r>
      <w:r w:rsidR="001D16E0">
        <w:rPr>
          <w:sz w:val="24"/>
          <w:szCs w:val="24"/>
        </w:rPr>
        <w:t xml:space="preserve">Complainant resides with her parents and does not have any utility bills listed in her name.  </w:t>
      </w:r>
      <w:proofErr w:type="gramStart"/>
      <w:r w:rsidR="001D16E0">
        <w:rPr>
          <w:sz w:val="24"/>
          <w:szCs w:val="24"/>
        </w:rPr>
        <w:t>(Tr. 41</w:t>
      </w:r>
      <w:r w:rsidR="00AB71D8">
        <w:rPr>
          <w:sz w:val="24"/>
          <w:szCs w:val="24"/>
        </w:rPr>
        <w:t>; Complainant Exhibit 1</w:t>
      </w:r>
      <w:r w:rsidR="001D16E0">
        <w:rPr>
          <w:sz w:val="24"/>
          <w:szCs w:val="24"/>
        </w:rPr>
        <w:t>).</w:t>
      </w:r>
      <w:proofErr w:type="gramEnd"/>
      <w:r w:rsidR="001D16E0">
        <w:rPr>
          <w:sz w:val="24"/>
          <w:szCs w:val="24"/>
        </w:rPr>
        <w:t xml:space="preserve"> </w:t>
      </w:r>
    </w:p>
    <w:p w:rsidR="006B1AA8" w:rsidRDefault="006B1AA8" w:rsidP="006B1AA8">
      <w:pPr>
        <w:tabs>
          <w:tab w:val="left" w:pos="2160"/>
        </w:tabs>
        <w:ind w:firstLine="1440"/>
        <w:rPr>
          <w:sz w:val="24"/>
          <w:szCs w:val="24"/>
        </w:rPr>
      </w:pPr>
    </w:p>
    <w:p w:rsidR="00084096" w:rsidRPr="00B73D10" w:rsidRDefault="0086046A" w:rsidP="00AB71D8">
      <w:pPr>
        <w:pStyle w:val="BodyText"/>
        <w:ind w:firstLine="1440"/>
        <w:jc w:val="left"/>
        <w:rPr>
          <w:sz w:val="24"/>
          <w:szCs w:val="24"/>
        </w:rPr>
      </w:pPr>
      <w:r>
        <w:rPr>
          <w:sz w:val="24"/>
          <w:szCs w:val="24"/>
        </w:rPr>
        <w:t>1</w:t>
      </w:r>
      <w:r w:rsidR="00DC7003">
        <w:rPr>
          <w:sz w:val="24"/>
          <w:szCs w:val="24"/>
        </w:rPr>
        <w:t>5</w:t>
      </w:r>
      <w:r w:rsidR="001D7301">
        <w:rPr>
          <w:sz w:val="24"/>
          <w:szCs w:val="24"/>
        </w:rPr>
        <w:t>.</w:t>
      </w:r>
      <w:r w:rsidR="001D7301">
        <w:rPr>
          <w:sz w:val="24"/>
          <w:szCs w:val="24"/>
        </w:rPr>
        <w:tab/>
      </w:r>
      <w:r w:rsidR="00F92BED">
        <w:rPr>
          <w:sz w:val="24"/>
          <w:szCs w:val="24"/>
        </w:rPr>
        <w:t xml:space="preserve">PECO closed the service account at the service address on April 16, 2013.  (Tr. 46, </w:t>
      </w:r>
      <w:r w:rsidR="006B05F8">
        <w:rPr>
          <w:sz w:val="24"/>
          <w:szCs w:val="24"/>
        </w:rPr>
        <w:t>56</w:t>
      </w:r>
      <w:r w:rsidR="00F92BED">
        <w:rPr>
          <w:sz w:val="24"/>
          <w:szCs w:val="24"/>
        </w:rPr>
        <w:t xml:space="preserve">; PECO Exhibit 1).  </w:t>
      </w:r>
    </w:p>
    <w:p w:rsidR="000420ED" w:rsidRDefault="000420ED" w:rsidP="00C44296">
      <w:pPr>
        <w:tabs>
          <w:tab w:val="left" w:pos="2160"/>
        </w:tabs>
        <w:ind w:firstLine="1440"/>
        <w:rPr>
          <w:sz w:val="24"/>
          <w:szCs w:val="24"/>
        </w:rPr>
      </w:pPr>
    </w:p>
    <w:p w:rsidR="00DE09F3" w:rsidRDefault="0086046A" w:rsidP="00C44296">
      <w:pPr>
        <w:tabs>
          <w:tab w:val="left" w:pos="2160"/>
        </w:tabs>
        <w:ind w:firstLine="1440"/>
        <w:rPr>
          <w:sz w:val="24"/>
          <w:szCs w:val="24"/>
        </w:rPr>
      </w:pPr>
      <w:r>
        <w:rPr>
          <w:sz w:val="24"/>
          <w:szCs w:val="24"/>
        </w:rPr>
        <w:t>1</w:t>
      </w:r>
      <w:r w:rsidR="00EB28CA">
        <w:rPr>
          <w:sz w:val="24"/>
          <w:szCs w:val="24"/>
        </w:rPr>
        <w:t>6</w:t>
      </w:r>
      <w:r w:rsidR="00DE09F3">
        <w:rPr>
          <w:sz w:val="24"/>
          <w:szCs w:val="24"/>
        </w:rPr>
        <w:t>.</w:t>
      </w:r>
      <w:r w:rsidR="00DE09F3">
        <w:rPr>
          <w:sz w:val="24"/>
          <w:szCs w:val="24"/>
        </w:rPr>
        <w:tab/>
      </w:r>
      <w:r w:rsidR="00C1378D">
        <w:rPr>
          <w:sz w:val="24"/>
          <w:szCs w:val="24"/>
        </w:rPr>
        <w:t xml:space="preserve">PECO never </w:t>
      </w:r>
      <w:r w:rsidR="00EB28CA">
        <w:rPr>
          <w:sz w:val="24"/>
          <w:szCs w:val="24"/>
        </w:rPr>
        <w:t xml:space="preserve">saw or </w:t>
      </w:r>
      <w:r w:rsidR="00C1378D">
        <w:rPr>
          <w:sz w:val="24"/>
          <w:szCs w:val="24"/>
        </w:rPr>
        <w:t xml:space="preserve">received a copy of the lease which allegedly showed Ms. Hallman signed a rental agreement for the service address.  </w:t>
      </w:r>
      <w:proofErr w:type="gramStart"/>
      <w:r w:rsidR="00C1378D">
        <w:rPr>
          <w:sz w:val="24"/>
          <w:szCs w:val="24"/>
        </w:rPr>
        <w:t>(Tr. 61).</w:t>
      </w:r>
      <w:proofErr w:type="gramEnd"/>
      <w:r w:rsidR="00C1378D">
        <w:rPr>
          <w:sz w:val="24"/>
          <w:szCs w:val="24"/>
        </w:rPr>
        <w:t xml:space="preserve">  </w:t>
      </w:r>
    </w:p>
    <w:p w:rsidR="00AB2D65" w:rsidRDefault="00AB2D65" w:rsidP="00AB2D65">
      <w:pPr>
        <w:tabs>
          <w:tab w:val="left" w:pos="2160"/>
        </w:tabs>
        <w:ind w:firstLine="1440"/>
        <w:rPr>
          <w:sz w:val="24"/>
          <w:szCs w:val="24"/>
        </w:rPr>
      </w:pPr>
    </w:p>
    <w:p w:rsidR="00C44296" w:rsidRDefault="00EB28CA" w:rsidP="00DD6310">
      <w:pPr>
        <w:pStyle w:val="BodyText"/>
        <w:ind w:firstLine="1440"/>
        <w:jc w:val="left"/>
        <w:rPr>
          <w:sz w:val="24"/>
          <w:szCs w:val="24"/>
        </w:rPr>
      </w:pPr>
      <w:r>
        <w:rPr>
          <w:sz w:val="24"/>
          <w:szCs w:val="24"/>
        </w:rPr>
        <w:t>17</w:t>
      </w:r>
      <w:r w:rsidR="00C44296" w:rsidRPr="00B73D10">
        <w:rPr>
          <w:sz w:val="24"/>
          <w:szCs w:val="24"/>
        </w:rPr>
        <w:t>.</w:t>
      </w:r>
      <w:r w:rsidR="00C44296" w:rsidRPr="00B73D10">
        <w:rPr>
          <w:sz w:val="24"/>
          <w:szCs w:val="24"/>
        </w:rPr>
        <w:tab/>
        <w:t xml:space="preserve">On </w:t>
      </w:r>
      <w:r w:rsidR="00063980">
        <w:rPr>
          <w:sz w:val="24"/>
          <w:szCs w:val="24"/>
        </w:rPr>
        <w:t>November 8, 2013</w:t>
      </w:r>
      <w:r w:rsidR="00C44296" w:rsidRPr="00B73D10">
        <w:rPr>
          <w:sz w:val="24"/>
          <w:szCs w:val="24"/>
        </w:rPr>
        <w:t xml:space="preserve">, </w:t>
      </w:r>
      <w:r w:rsidR="00FF4A00">
        <w:rPr>
          <w:sz w:val="24"/>
          <w:szCs w:val="24"/>
        </w:rPr>
        <w:t>Complainant</w:t>
      </w:r>
      <w:r w:rsidR="00C44296" w:rsidRPr="00B73D10">
        <w:rPr>
          <w:sz w:val="24"/>
          <w:szCs w:val="24"/>
        </w:rPr>
        <w:t xml:space="preserve"> filed a formal complaint with the Commission </w:t>
      </w:r>
      <w:r w:rsidR="00650C28">
        <w:rPr>
          <w:sz w:val="24"/>
          <w:szCs w:val="24"/>
        </w:rPr>
        <w:t xml:space="preserve">against PECO </w:t>
      </w:r>
      <w:r w:rsidR="00063980">
        <w:rPr>
          <w:sz w:val="24"/>
          <w:szCs w:val="24"/>
        </w:rPr>
        <w:t>alleging PECO wants her to pay for an unpaid utility account for a service address where she never lived and for which she was never responsible</w:t>
      </w:r>
      <w:r w:rsidR="00DD6310" w:rsidRPr="00B73D10">
        <w:rPr>
          <w:sz w:val="24"/>
          <w:szCs w:val="24"/>
        </w:rPr>
        <w:t xml:space="preserve">.  </w:t>
      </w:r>
    </w:p>
    <w:p w:rsidR="00650C28" w:rsidRDefault="00650C28" w:rsidP="00DD6310">
      <w:pPr>
        <w:pStyle w:val="BodyText"/>
        <w:ind w:firstLine="1440"/>
        <w:jc w:val="left"/>
        <w:rPr>
          <w:sz w:val="24"/>
          <w:szCs w:val="24"/>
        </w:rPr>
      </w:pPr>
    </w:p>
    <w:p w:rsidR="00DE2949" w:rsidRPr="00FB448C" w:rsidRDefault="00DE2949">
      <w:pPr>
        <w:jc w:val="center"/>
        <w:rPr>
          <w:sz w:val="24"/>
          <w:szCs w:val="24"/>
        </w:rPr>
      </w:pPr>
      <w:r w:rsidRPr="00FB448C">
        <w:rPr>
          <w:sz w:val="24"/>
          <w:szCs w:val="24"/>
          <w:u w:val="single"/>
        </w:rPr>
        <w:t>DISCUSSION</w:t>
      </w:r>
    </w:p>
    <w:p w:rsidR="00DE2949" w:rsidRPr="00FB448C" w:rsidRDefault="00DE2949">
      <w:pPr>
        <w:jc w:val="center"/>
        <w:rPr>
          <w:sz w:val="24"/>
          <w:szCs w:val="24"/>
        </w:rPr>
      </w:pPr>
    </w:p>
    <w:p w:rsidR="00C354E5" w:rsidRPr="00FB448C" w:rsidRDefault="00A40F64" w:rsidP="00DC7003">
      <w:pPr>
        <w:ind w:firstLine="1440"/>
        <w:rPr>
          <w:spacing w:val="-3"/>
          <w:sz w:val="24"/>
          <w:szCs w:val="24"/>
        </w:rPr>
      </w:pPr>
      <w:r w:rsidRPr="00FB448C">
        <w:rPr>
          <w:sz w:val="24"/>
          <w:szCs w:val="24"/>
        </w:rPr>
        <w:t xml:space="preserve">In this matter, </w:t>
      </w:r>
      <w:r w:rsidR="00C354E5" w:rsidRPr="00FB448C">
        <w:rPr>
          <w:sz w:val="24"/>
          <w:szCs w:val="24"/>
        </w:rPr>
        <w:t>Complainant allege</w:t>
      </w:r>
      <w:r w:rsidR="00C44296">
        <w:rPr>
          <w:sz w:val="24"/>
          <w:szCs w:val="24"/>
        </w:rPr>
        <w:t>s</w:t>
      </w:r>
      <w:r w:rsidR="001576A5">
        <w:rPr>
          <w:sz w:val="24"/>
          <w:szCs w:val="24"/>
        </w:rPr>
        <w:t xml:space="preserve"> </w:t>
      </w:r>
      <w:r w:rsidR="00063980">
        <w:rPr>
          <w:sz w:val="24"/>
          <w:szCs w:val="24"/>
        </w:rPr>
        <w:t>PECO wants her to pay for an unpaid utility account for a service address where she never lived and for which she was never responsible</w:t>
      </w:r>
      <w:r w:rsidR="00C354E5" w:rsidRPr="00FB448C">
        <w:rPr>
          <w:sz w:val="24"/>
          <w:szCs w:val="24"/>
        </w:rPr>
        <w:t xml:space="preserve">.  </w:t>
      </w:r>
    </w:p>
    <w:p w:rsidR="00C354E5" w:rsidRDefault="00C354E5" w:rsidP="00DE2949">
      <w:pPr>
        <w:tabs>
          <w:tab w:val="left" w:pos="-1440"/>
          <w:tab w:val="left" w:pos="-720"/>
        </w:tabs>
        <w:suppressAutoHyphens/>
        <w:rPr>
          <w:sz w:val="24"/>
          <w:szCs w:val="24"/>
        </w:rPr>
      </w:pPr>
    </w:p>
    <w:p w:rsidR="008222E1" w:rsidRDefault="008222E1" w:rsidP="00DE2949">
      <w:pPr>
        <w:tabs>
          <w:tab w:val="left" w:pos="-1440"/>
          <w:tab w:val="left" w:pos="-720"/>
        </w:tabs>
        <w:suppressAutoHyphens/>
        <w:rPr>
          <w:sz w:val="24"/>
          <w:szCs w:val="24"/>
        </w:rPr>
      </w:pPr>
      <w:r>
        <w:rPr>
          <w:sz w:val="24"/>
          <w:szCs w:val="24"/>
          <w:u w:val="single"/>
        </w:rPr>
        <w:t>Complainant’s Position</w:t>
      </w:r>
    </w:p>
    <w:p w:rsidR="008222E1" w:rsidRPr="008222E1" w:rsidRDefault="008222E1" w:rsidP="00DE2949">
      <w:pPr>
        <w:tabs>
          <w:tab w:val="left" w:pos="-1440"/>
          <w:tab w:val="left" w:pos="-720"/>
        </w:tabs>
        <w:suppressAutoHyphens/>
        <w:rPr>
          <w:sz w:val="24"/>
          <w:szCs w:val="24"/>
        </w:rPr>
      </w:pPr>
    </w:p>
    <w:p w:rsidR="00C44296" w:rsidRPr="00FB448C" w:rsidRDefault="00C44296" w:rsidP="00DE2949">
      <w:pPr>
        <w:tabs>
          <w:tab w:val="left" w:pos="-1440"/>
          <w:tab w:val="left" w:pos="-720"/>
        </w:tabs>
        <w:suppressAutoHyphens/>
        <w:rPr>
          <w:spacing w:val="-3"/>
          <w:sz w:val="24"/>
          <w:szCs w:val="24"/>
        </w:rPr>
      </w:pPr>
      <w:r>
        <w:rPr>
          <w:spacing w:val="-3"/>
          <w:sz w:val="24"/>
          <w:szCs w:val="24"/>
        </w:rPr>
        <w:tab/>
      </w:r>
      <w:r>
        <w:rPr>
          <w:spacing w:val="-3"/>
          <w:sz w:val="24"/>
          <w:szCs w:val="24"/>
        </w:rPr>
        <w:tab/>
        <w:t>Complainant testified</w:t>
      </w:r>
      <w:r w:rsidR="00EB28CA">
        <w:rPr>
          <w:spacing w:val="-3"/>
          <w:sz w:val="24"/>
          <w:szCs w:val="24"/>
        </w:rPr>
        <w:t xml:space="preserve"> she never lived at the service address and never spent the night at that address while dating the man who did live there.  She contends she did not benefit from or enjoy the utility services except as a guest in her former boyfriend’s apartment.  She further testified that she had no idea how the account came to be established in her name but </w:t>
      </w:r>
      <w:r w:rsidR="009A3B17">
        <w:rPr>
          <w:spacing w:val="-3"/>
          <w:sz w:val="24"/>
          <w:szCs w:val="24"/>
        </w:rPr>
        <w:t>from 2006 to the present she has resided with her children at her parents’ home.  In addition, Complainant contends PECO was in error to refuse to accept her documentary proof which she provided to them on multiple occasions.  Lastly, Complainant argues PECO was in error to require her to pay for utility services when they did not possess a lease, whether signed by her or not, and relied entirely upon the unsubstantiated verbal statements of the landlords who were not made available to testify at the hearing.</w:t>
      </w:r>
    </w:p>
    <w:p w:rsidR="0043514B" w:rsidRDefault="0043514B" w:rsidP="00DE2949">
      <w:pPr>
        <w:tabs>
          <w:tab w:val="left" w:pos="-1440"/>
          <w:tab w:val="left" w:pos="-720"/>
        </w:tabs>
        <w:suppressAutoHyphens/>
        <w:rPr>
          <w:spacing w:val="-3"/>
          <w:sz w:val="24"/>
          <w:szCs w:val="24"/>
        </w:rPr>
      </w:pPr>
    </w:p>
    <w:p w:rsidR="008222E1" w:rsidRDefault="008222E1" w:rsidP="00DE2949">
      <w:pPr>
        <w:tabs>
          <w:tab w:val="left" w:pos="-1440"/>
          <w:tab w:val="left" w:pos="-720"/>
        </w:tabs>
        <w:suppressAutoHyphens/>
        <w:rPr>
          <w:spacing w:val="-3"/>
          <w:sz w:val="24"/>
          <w:szCs w:val="24"/>
          <w:u w:val="single"/>
        </w:rPr>
      </w:pPr>
      <w:r>
        <w:rPr>
          <w:spacing w:val="-3"/>
          <w:sz w:val="24"/>
          <w:szCs w:val="24"/>
          <w:u w:val="single"/>
        </w:rPr>
        <w:lastRenderedPageBreak/>
        <w:t>Respondent’s Position</w:t>
      </w:r>
    </w:p>
    <w:p w:rsidR="008222E1" w:rsidRPr="008222E1" w:rsidRDefault="008222E1" w:rsidP="00DE2949">
      <w:pPr>
        <w:tabs>
          <w:tab w:val="left" w:pos="-1440"/>
          <w:tab w:val="left" w:pos="-720"/>
        </w:tabs>
        <w:suppressAutoHyphens/>
        <w:rPr>
          <w:spacing w:val="-3"/>
          <w:sz w:val="24"/>
          <w:szCs w:val="24"/>
          <w:u w:val="single"/>
        </w:rPr>
      </w:pPr>
    </w:p>
    <w:p w:rsidR="008222E1" w:rsidRPr="00FB448C" w:rsidRDefault="00DE2949" w:rsidP="00386F30">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Respondent’s witness</w:t>
      </w:r>
      <w:r w:rsidR="00FA367A" w:rsidRPr="00FB448C">
        <w:rPr>
          <w:spacing w:val="-3"/>
          <w:sz w:val="24"/>
          <w:szCs w:val="24"/>
        </w:rPr>
        <w:t>es</w:t>
      </w:r>
      <w:r w:rsidRPr="00FB448C">
        <w:rPr>
          <w:spacing w:val="-3"/>
          <w:sz w:val="24"/>
          <w:szCs w:val="24"/>
        </w:rPr>
        <w:t xml:space="preserve"> testified</w:t>
      </w:r>
      <w:r w:rsidR="009A3B17">
        <w:rPr>
          <w:spacing w:val="-3"/>
          <w:sz w:val="24"/>
          <w:szCs w:val="24"/>
        </w:rPr>
        <w:t xml:space="preserve"> they received calls and correspondence from Complainant when establishing the account and denied Complainant provided documentation that she lived elsewhere.  In addition, Respondent contends it was correct to rely upon the statements of the landlords who indicated Complainant resided at the service address.</w:t>
      </w:r>
    </w:p>
    <w:p w:rsidR="00DE2949" w:rsidRPr="00FB448C" w:rsidRDefault="00DE2949" w:rsidP="00DE2949">
      <w:pPr>
        <w:tabs>
          <w:tab w:val="left" w:pos="-1440"/>
          <w:tab w:val="left" w:pos="-720"/>
        </w:tabs>
        <w:suppressAutoHyphens/>
        <w:rPr>
          <w:sz w:val="24"/>
          <w:szCs w:val="24"/>
        </w:rPr>
      </w:pPr>
    </w:p>
    <w:p w:rsidR="00B21A12" w:rsidRPr="00FB448C" w:rsidRDefault="00184F61" w:rsidP="00DE2949">
      <w:pPr>
        <w:tabs>
          <w:tab w:val="left" w:pos="-1440"/>
          <w:tab w:val="left" w:pos="-720"/>
        </w:tabs>
        <w:suppressAutoHyphens/>
        <w:rPr>
          <w:sz w:val="24"/>
          <w:szCs w:val="24"/>
        </w:rPr>
      </w:pPr>
      <w:r>
        <w:rPr>
          <w:sz w:val="24"/>
          <w:szCs w:val="24"/>
          <w:u w:val="single"/>
        </w:rPr>
        <w:t xml:space="preserve">Burden of Proof </w:t>
      </w:r>
    </w:p>
    <w:p w:rsidR="000A34DF" w:rsidRDefault="000A34DF" w:rsidP="000A34DF">
      <w:pPr>
        <w:tabs>
          <w:tab w:val="left" w:pos="-1440"/>
          <w:tab w:val="left" w:pos="-720"/>
        </w:tabs>
        <w:suppressAutoHyphens/>
        <w:rPr>
          <w:sz w:val="24"/>
          <w:szCs w:val="24"/>
        </w:rPr>
      </w:pPr>
    </w:p>
    <w:p w:rsidR="000A34DF" w:rsidRDefault="000A34DF" w:rsidP="000A34DF">
      <w:pPr>
        <w:tabs>
          <w:tab w:val="left" w:pos="-1440"/>
          <w:tab w:val="left" w:pos="-720"/>
        </w:tabs>
        <w:suppressAutoHyphens/>
        <w:rPr>
          <w:spacing w:val="-3"/>
          <w:sz w:val="24"/>
          <w:szCs w:val="24"/>
        </w:rPr>
      </w:pPr>
      <w:r w:rsidRPr="00FB448C">
        <w:rPr>
          <w:sz w:val="24"/>
          <w:szCs w:val="24"/>
        </w:rPr>
        <w:tab/>
      </w:r>
      <w:r w:rsidRPr="00FB448C">
        <w:rPr>
          <w:sz w:val="24"/>
          <w:szCs w:val="24"/>
        </w:rPr>
        <w:tab/>
        <w:t>As the party seeking the intervention fr</w:t>
      </w:r>
      <w:r w:rsidR="00C44296">
        <w:rPr>
          <w:sz w:val="24"/>
          <w:szCs w:val="24"/>
        </w:rPr>
        <w:t>om this Commission, Complainant</w:t>
      </w:r>
      <w:r w:rsidRPr="00FB448C">
        <w:rPr>
          <w:sz w:val="24"/>
          <w:szCs w:val="24"/>
        </w:rPr>
        <w:t xml:space="preserve"> bear</w:t>
      </w:r>
      <w:r w:rsidR="00C44296">
        <w:rPr>
          <w:sz w:val="24"/>
          <w:szCs w:val="24"/>
        </w:rPr>
        <w:t>s</w:t>
      </w:r>
      <w:r w:rsidRPr="00FB448C">
        <w:rPr>
          <w:sz w:val="24"/>
          <w:szCs w:val="24"/>
        </w:rPr>
        <w:t xml:space="preserve"> the burden of proving Respondent violated provisions of the Public Utility Code or the Public Utility Commission’s regulations in some fashion.</w:t>
      </w:r>
      <w:r w:rsidRPr="00FB448C">
        <w:rPr>
          <w:rStyle w:val="FootnoteReference"/>
          <w:sz w:val="24"/>
          <w:szCs w:val="24"/>
        </w:rPr>
        <w:footnoteReference w:id="1"/>
      </w:r>
      <w:r w:rsidRPr="00FB448C">
        <w:rPr>
          <w:sz w:val="24"/>
          <w:szCs w:val="24"/>
        </w:rPr>
        <w:t xml:space="preserve">  </w:t>
      </w:r>
      <w:r w:rsidRPr="00FB448C">
        <w:rPr>
          <w:spacing w:val="-3"/>
          <w:sz w:val="24"/>
          <w:szCs w:val="24"/>
        </w:rPr>
        <w:t xml:space="preserve">To establish a sufficient case and satisfy the </w:t>
      </w:r>
      <w:r w:rsidR="00C44296">
        <w:rPr>
          <w:spacing w:val="-3"/>
          <w:sz w:val="24"/>
          <w:szCs w:val="24"/>
        </w:rPr>
        <w:t>burden of proof, Complainant</w:t>
      </w:r>
      <w:r w:rsidRPr="00FB448C">
        <w:rPr>
          <w:spacing w:val="-3"/>
          <w:sz w:val="24"/>
          <w:szCs w:val="24"/>
        </w:rPr>
        <w:t xml:space="preserve"> must show the public utility is responsible or accountable for the problem described in the Complaint.</w:t>
      </w:r>
      <w:r w:rsidRPr="00FB448C">
        <w:rPr>
          <w:rStyle w:val="FootnoteReference"/>
          <w:spacing w:val="-3"/>
          <w:sz w:val="24"/>
          <w:szCs w:val="24"/>
        </w:rPr>
        <w:footnoteReference w:id="2"/>
      </w:r>
      <w:r w:rsidRPr="00FB448C">
        <w:rPr>
          <w:spacing w:val="-3"/>
          <w:sz w:val="24"/>
          <w:szCs w:val="24"/>
        </w:rPr>
        <w:t xml:space="preserve">  Such a showing must be by a preponderance of the evidence</w:t>
      </w:r>
      <w:r w:rsidR="00001B91">
        <w:rPr>
          <w:spacing w:val="-3"/>
          <w:sz w:val="24"/>
          <w:szCs w:val="24"/>
        </w:rPr>
        <w:t>.</w:t>
      </w:r>
      <w:r w:rsidRPr="00FB448C">
        <w:rPr>
          <w:rStyle w:val="FootnoteReference"/>
          <w:spacing w:val="-3"/>
          <w:sz w:val="24"/>
          <w:szCs w:val="24"/>
        </w:rPr>
        <w:footnoteReference w:id="3"/>
      </w:r>
      <w:r w:rsidR="00C44296">
        <w:rPr>
          <w:spacing w:val="-3"/>
          <w:sz w:val="24"/>
          <w:szCs w:val="24"/>
        </w:rPr>
        <w:t xml:space="preserve">  Complainant</w:t>
      </w:r>
      <w:r w:rsidRPr="00FB448C">
        <w:rPr>
          <w:spacing w:val="-3"/>
          <w:sz w:val="24"/>
          <w:szCs w:val="24"/>
        </w:rPr>
        <w:t xml:space="preserve"> can meet that burden if </w:t>
      </w:r>
      <w:r w:rsidR="00063980">
        <w:rPr>
          <w:spacing w:val="-3"/>
          <w:sz w:val="24"/>
          <w:szCs w:val="24"/>
        </w:rPr>
        <w:t>s</w:t>
      </w:r>
      <w:r w:rsidR="00C44296">
        <w:rPr>
          <w:spacing w:val="-3"/>
          <w:sz w:val="24"/>
          <w:szCs w:val="24"/>
        </w:rPr>
        <w:t>he</w:t>
      </w:r>
      <w:r w:rsidRPr="00FB448C">
        <w:rPr>
          <w:spacing w:val="-3"/>
          <w:sz w:val="24"/>
          <w:szCs w:val="24"/>
        </w:rPr>
        <w:t xml:space="preserve"> present</w:t>
      </w:r>
      <w:r w:rsidR="00C44296">
        <w:rPr>
          <w:spacing w:val="-3"/>
          <w:sz w:val="24"/>
          <w:szCs w:val="24"/>
        </w:rPr>
        <w:t>s</w:t>
      </w:r>
      <w:r w:rsidRPr="00FB448C">
        <w:rPr>
          <w:spacing w:val="-3"/>
          <w:sz w:val="24"/>
          <w:szCs w:val="24"/>
        </w:rPr>
        <w:t xml:space="preserve"> evidence more convincing, by even the smallest amount, than that evidence presented by Respondent.</w:t>
      </w:r>
      <w:r w:rsidRPr="00FB448C">
        <w:rPr>
          <w:rStyle w:val="FootnoteReference"/>
          <w:spacing w:val="-3"/>
          <w:sz w:val="24"/>
          <w:szCs w:val="24"/>
        </w:rPr>
        <w:footnoteReference w:id="4"/>
      </w:r>
      <w:r w:rsidRPr="00FB448C">
        <w:rPr>
          <w:spacing w:val="-3"/>
          <w:sz w:val="24"/>
          <w:szCs w:val="24"/>
        </w:rPr>
        <w:t xml:space="preserve">  </w:t>
      </w:r>
    </w:p>
    <w:p w:rsidR="00063980" w:rsidRDefault="00063980" w:rsidP="006C2C49">
      <w:pPr>
        <w:tabs>
          <w:tab w:val="left" w:pos="-1440"/>
          <w:tab w:val="left" w:pos="-720"/>
        </w:tabs>
        <w:suppressAutoHyphens/>
        <w:rPr>
          <w:sz w:val="24"/>
          <w:szCs w:val="24"/>
          <w:u w:val="single"/>
        </w:rPr>
      </w:pPr>
    </w:p>
    <w:p w:rsidR="00184F61" w:rsidRDefault="00063980" w:rsidP="006C2C49">
      <w:pPr>
        <w:tabs>
          <w:tab w:val="left" w:pos="-1440"/>
          <w:tab w:val="left" w:pos="-720"/>
        </w:tabs>
        <w:suppressAutoHyphens/>
        <w:rPr>
          <w:sz w:val="24"/>
          <w:szCs w:val="24"/>
        </w:rPr>
      </w:pPr>
      <w:r>
        <w:rPr>
          <w:sz w:val="24"/>
          <w:szCs w:val="24"/>
          <w:u w:val="single"/>
        </w:rPr>
        <w:t>Analysis of Formal</w:t>
      </w:r>
      <w:r w:rsidR="006C4068">
        <w:rPr>
          <w:sz w:val="24"/>
          <w:szCs w:val="24"/>
          <w:u w:val="single"/>
        </w:rPr>
        <w:t xml:space="preserve"> Complaint</w:t>
      </w:r>
    </w:p>
    <w:p w:rsidR="006C2C49" w:rsidRDefault="006C2C49" w:rsidP="006C2C49">
      <w:pPr>
        <w:ind w:firstLine="720"/>
        <w:rPr>
          <w:sz w:val="24"/>
          <w:szCs w:val="24"/>
        </w:rPr>
      </w:pPr>
    </w:p>
    <w:p w:rsidR="00BB4206" w:rsidRDefault="006C2C49" w:rsidP="006C2C49">
      <w:pPr>
        <w:ind w:firstLine="1440"/>
        <w:rPr>
          <w:sz w:val="24"/>
          <w:szCs w:val="24"/>
        </w:rPr>
      </w:pPr>
      <w:r w:rsidRPr="00B73D10">
        <w:rPr>
          <w:sz w:val="24"/>
          <w:szCs w:val="24"/>
        </w:rPr>
        <w:t>The</w:t>
      </w:r>
      <w:r w:rsidR="00BD0AF8">
        <w:rPr>
          <w:sz w:val="24"/>
          <w:szCs w:val="24"/>
        </w:rPr>
        <w:t xml:space="preserve"> evidence provided in this proceeding </w:t>
      </w:r>
      <w:r w:rsidR="00723D2E">
        <w:rPr>
          <w:sz w:val="24"/>
          <w:szCs w:val="24"/>
        </w:rPr>
        <w:t xml:space="preserve">consisted of </w:t>
      </w:r>
      <w:r w:rsidR="00DC7003">
        <w:rPr>
          <w:sz w:val="24"/>
          <w:szCs w:val="24"/>
        </w:rPr>
        <w:t xml:space="preserve">Complainant’s credible testimony </w:t>
      </w:r>
      <w:r w:rsidR="009A3B17">
        <w:rPr>
          <w:sz w:val="24"/>
          <w:szCs w:val="24"/>
        </w:rPr>
        <w:t>that she lived with her parents since 2006</w:t>
      </w:r>
      <w:r w:rsidR="00723D2E">
        <w:rPr>
          <w:sz w:val="24"/>
          <w:szCs w:val="24"/>
        </w:rPr>
        <w:t>.</w:t>
      </w:r>
      <w:r w:rsidR="009A3B17">
        <w:rPr>
          <w:sz w:val="24"/>
          <w:szCs w:val="24"/>
        </w:rPr>
        <w:t xml:space="preserve">  Most importantly, Complainant’s Exhibit 1 shows</w:t>
      </w:r>
      <w:r w:rsidR="00BB4206">
        <w:rPr>
          <w:sz w:val="24"/>
          <w:szCs w:val="24"/>
        </w:rPr>
        <w:t xml:space="preserve"> leases which reflect</w:t>
      </w:r>
      <w:r w:rsidR="009A3B17">
        <w:rPr>
          <w:sz w:val="24"/>
          <w:szCs w:val="24"/>
        </w:rPr>
        <w:t xml:space="preserve"> Complainant resided with her parents </w:t>
      </w:r>
      <w:r w:rsidR="00BB4206">
        <w:rPr>
          <w:sz w:val="24"/>
          <w:szCs w:val="24"/>
        </w:rPr>
        <w:t>from at least 2008</w:t>
      </w:r>
      <w:r w:rsidR="009A3B17">
        <w:rPr>
          <w:sz w:val="24"/>
          <w:szCs w:val="24"/>
        </w:rPr>
        <w:t xml:space="preserve"> and, having presented that exhibit, Respondent needed to provide contrary evidence that would outweigh the strength of the evidence in the leases Complainant provided.  Respondent could have provided the testimony of the landlords or </w:t>
      </w:r>
      <w:r w:rsidR="00BB4206">
        <w:rPr>
          <w:sz w:val="24"/>
          <w:szCs w:val="24"/>
        </w:rPr>
        <w:t xml:space="preserve">Respondent could have </w:t>
      </w:r>
      <w:r w:rsidR="009A3B17">
        <w:rPr>
          <w:sz w:val="24"/>
          <w:szCs w:val="24"/>
        </w:rPr>
        <w:t xml:space="preserve">provided a copy of the lease which </w:t>
      </w:r>
      <w:r w:rsidR="00BB4206">
        <w:rPr>
          <w:sz w:val="24"/>
          <w:szCs w:val="24"/>
        </w:rPr>
        <w:lastRenderedPageBreak/>
        <w:t>PECO alleged</w:t>
      </w:r>
      <w:r w:rsidR="009A3B17">
        <w:rPr>
          <w:sz w:val="24"/>
          <w:szCs w:val="24"/>
        </w:rPr>
        <w:t xml:space="preserve"> showed Complainant’s signature</w:t>
      </w:r>
      <w:r w:rsidR="00BB4206">
        <w:rPr>
          <w:sz w:val="24"/>
          <w:szCs w:val="24"/>
        </w:rPr>
        <w:t xml:space="preserve"> on a lease for the service address and which PECO used as justification for its continued insistence that Complainant resided at the service address until 2013</w:t>
      </w:r>
      <w:r w:rsidR="009A3B17">
        <w:rPr>
          <w:sz w:val="24"/>
          <w:szCs w:val="24"/>
        </w:rPr>
        <w:t xml:space="preserve">.  </w:t>
      </w:r>
    </w:p>
    <w:p w:rsidR="00BB4206" w:rsidRDefault="00BB4206" w:rsidP="006C2C49">
      <w:pPr>
        <w:ind w:firstLine="1440"/>
        <w:rPr>
          <w:sz w:val="24"/>
          <w:szCs w:val="24"/>
        </w:rPr>
      </w:pPr>
    </w:p>
    <w:p w:rsidR="006C4068" w:rsidRDefault="009A3B17" w:rsidP="006C2C49">
      <w:pPr>
        <w:ind w:firstLine="1440"/>
        <w:rPr>
          <w:sz w:val="24"/>
          <w:szCs w:val="24"/>
        </w:rPr>
      </w:pPr>
      <w:r>
        <w:rPr>
          <w:sz w:val="24"/>
          <w:szCs w:val="24"/>
        </w:rPr>
        <w:t xml:space="preserve">The formal complaint clearly shows Complainant contested PECO’s </w:t>
      </w:r>
      <w:r w:rsidR="003B1256">
        <w:rPr>
          <w:sz w:val="24"/>
          <w:szCs w:val="24"/>
        </w:rPr>
        <w:t>insistence it had</w:t>
      </w:r>
      <w:r>
        <w:rPr>
          <w:sz w:val="24"/>
          <w:szCs w:val="24"/>
        </w:rPr>
        <w:t xml:space="preserve"> evidence showing she lived at the service address</w:t>
      </w:r>
      <w:r w:rsidR="003B1256">
        <w:rPr>
          <w:sz w:val="24"/>
          <w:szCs w:val="24"/>
        </w:rPr>
        <w:t xml:space="preserve">. </w:t>
      </w:r>
      <w:r w:rsidR="003822C2">
        <w:rPr>
          <w:sz w:val="24"/>
          <w:szCs w:val="24"/>
        </w:rPr>
        <w:t xml:space="preserve"> </w:t>
      </w:r>
      <w:r w:rsidR="003B1256">
        <w:rPr>
          <w:sz w:val="24"/>
          <w:szCs w:val="24"/>
        </w:rPr>
        <w:t>Consequently</w:t>
      </w:r>
      <w:r>
        <w:rPr>
          <w:sz w:val="24"/>
          <w:szCs w:val="24"/>
        </w:rPr>
        <w:t xml:space="preserve">, PECO was on notice evidence would be needed to contradict Complainant’s allegations.  None of the </w:t>
      </w:r>
      <w:r w:rsidR="00723D2E">
        <w:rPr>
          <w:sz w:val="24"/>
          <w:szCs w:val="24"/>
        </w:rPr>
        <w:t xml:space="preserve">evidence </w:t>
      </w:r>
      <w:r>
        <w:rPr>
          <w:sz w:val="24"/>
          <w:szCs w:val="24"/>
        </w:rPr>
        <w:t>provided by PECO showed Complainant’s signature or anything which would tie Complainant to the service address</w:t>
      </w:r>
      <w:r w:rsidR="00BB4206">
        <w:rPr>
          <w:sz w:val="24"/>
          <w:szCs w:val="24"/>
        </w:rPr>
        <w:t>.  No</w:t>
      </w:r>
      <w:r w:rsidR="003B1256">
        <w:rPr>
          <w:sz w:val="24"/>
          <w:szCs w:val="24"/>
        </w:rPr>
        <w:t xml:space="preserve"> evidence</w:t>
      </w:r>
      <w:r w:rsidR="00BB4206">
        <w:rPr>
          <w:sz w:val="24"/>
          <w:szCs w:val="24"/>
        </w:rPr>
        <w:t xml:space="preserve"> PECO provided </w:t>
      </w:r>
      <w:r w:rsidR="003B1256">
        <w:rPr>
          <w:sz w:val="24"/>
          <w:szCs w:val="24"/>
        </w:rPr>
        <w:t xml:space="preserve">at the hearing </w:t>
      </w:r>
      <w:r w:rsidR="00BB4206">
        <w:rPr>
          <w:sz w:val="24"/>
          <w:szCs w:val="24"/>
        </w:rPr>
        <w:t xml:space="preserve">showed </w:t>
      </w:r>
      <w:r>
        <w:rPr>
          <w:sz w:val="24"/>
          <w:szCs w:val="24"/>
        </w:rPr>
        <w:t xml:space="preserve">Complainant benefitted </w:t>
      </w:r>
      <w:r w:rsidR="003B1256">
        <w:rPr>
          <w:sz w:val="24"/>
          <w:szCs w:val="24"/>
        </w:rPr>
        <w:t xml:space="preserve">personally </w:t>
      </w:r>
      <w:r>
        <w:rPr>
          <w:sz w:val="24"/>
          <w:szCs w:val="24"/>
        </w:rPr>
        <w:t>from the provision of electric and natural gas service by PECO</w:t>
      </w:r>
      <w:r w:rsidR="003B1256">
        <w:rPr>
          <w:sz w:val="24"/>
          <w:szCs w:val="24"/>
        </w:rPr>
        <w:t xml:space="preserve"> as either the ratepayer of record or as an adult occupant</w:t>
      </w:r>
      <w:r w:rsidR="00723D2E">
        <w:rPr>
          <w:sz w:val="24"/>
          <w:szCs w:val="24"/>
        </w:rPr>
        <w:t xml:space="preserve">.  </w:t>
      </w:r>
      <w:r w:rsidR="00BB4206">
        <w:rPr>
          <w:sz w:val="24"/>
          <w:szCs w:val="24"/>
        </w:rPr>
        <w:t xml:space="preserve">The extent of PECO’s contradictory evidence is mere hearsay, consisting primarily of statements made </w:t>
      </w:r>
      <w:r w:rsidR="004D3FC7">
        <w:rPr>
          <w:sz w:val="24"/>
          <w:szCs w:val="24"/>
        </w:rPr>
        <w:t xml:space="preserve">to PECO’s call center or to BCS from </w:t>
      </w:r>
      <w:r w:rsidR="00BB4206">
        <w:rPr>
          <w:sz w:val="24"/>
          <w:szCs w:val="24"/>
        </w:rPr>
        <w:t xml:space="preserve">the landlords and statements made by </w:t>
      </w:r>
      <w:r w:rsidR="004D3FC7">
        <w:rPr>
          <w:sz w:val="24"/>
          <w:szCs w:val="24"/>
        </w:rPr>
        <w:t xml:space="preserve">a female </w:t>
      </w:r>
      <w:r w:rsidR="00BB4206">
        <w:rPr>
          <w:sz w:val="24"/>
          <w:szCs w:val="24"/>
        </w:rPr>
        <w:t>individual calling into PECO’s call center, alleging the caller was Complainant.</w:t>
      </w:r>
    </w:p>
    <w:p w:rsidR="006C4068" w:rsidRDefault="006C4068" w:rsidP="006C2C49">
      <w:pPr>
        <w:ind w:firstLine="1440"/>
        <w:rPr>
          <w:sz w:val="24"/>
          <w:szCs w:val="24"/>
        </w:rPr>
      </w:pPr>
    </w:p>
    <w:p w:rsidR="00063980" w:rsidRDefault="00E11531" w:rsidP="00063980">
      <w:pPr>
        <w:ind w:firstLine="1440"/>
        <w:rPr>
          <w:sz w:val="24"/>
          <w:szCs w:val="24"/>
        </w:rPr>
      </w:pPr>
      <w:r>
        <w:rPr>
          <w:sz w:val="24"/>
          <w:szCs w:val="24"/>
        </w:rPr>
        <w:t>The evidence proves</w:t>
      </w:r>
      <w:r w:rsidR="001036B8">
        <w:rPr>
          <w:sz w:val="24"/>
          <w:szCs w:val="24"/>
        </w:rPr>
        <w:t xml:space="preserve"> </w:t>
      </w:r>
      <w:r w:rsidR="009A3B17">
        <w:rPr>
          <w:sz w:val="24"/>
          <w:szCs w:val="24"/>
        </w:rPr>
        <w:t xml:space="preserve">PECO was in error to </w:t>
      </w:r>
      <w:r w:rsidR="001036B8">
        <w:rPr>
          <w:sz w:val="24"/>
          <w:szCs w:val="24"/>
        </w:rPr>
        <w:t xml:space="preserve">hold Complainant responsible for utility services provided at the service address.  In addition, PECO was in error to file negative reports with the credit reporting agencies, </w:t>
      </w:r>
      <w:r w:rsidR="003B1256">
        <w:rPr>
          <w:sz w:val="24"/>
          <w:szCs w:val="24"/>
        </w:rPr>
        <w:t xml:space="preserve">averring </w:t>
      </w:r>
      <w:r w:rsidR="001036B8">
        <w:rPr>
          <w:sz w:val="24"/>
          <w:szCs w:val="24"/>
        </w:rPr>
        <w:t xml:space="preserve">Complainant owes over $1800 in unpaid and uncollected debt.  </w:t>
      </w:r>
      <w:r w:rsidR="006C2C49" w:rsidRPr="00B73D10">
        <w:rPr>
          <w:sz w:val="24"/>
          <w:szCs w:val="24"/>
        </w:rPr>
        <w:t xml:space="preserve">Complainant </w:t>
      </w:r>
      <w:r>
        <w:rPr>
          <w:sz w:val="24"/>
          <w:szCs w:val="24"/>
        </w:rPr>
        <w:t>met</w:t>
      </w:r>
      <w:r w:rsidR="006C2C49" w:rsidRPr="00B73D10">
        <w:rPr>
          <w:sz w:val="24"/>
          <w:szCs w:val="24"/>
        </w:rPr>
        <w:t xml:space="preserve"> </w:t>
      </w:r>
      <w:r w:rsidR="00063980">
        <w:rPr>
          <w:sz w:val="24"/>
          <w:szCs w:val="24"/>
        </w:rPr>
        <w:t>her</w:t>
      </w:r>
      <w:r w:rsidR="006C2C49" w:rsidRPr="00B73D10">
        <w:rPr>
          <w:sz w:val="24"/>
          <w:szCs w:val="24"/>
        </w:rPr>
        <w:t xml:space="preserve"> burden of proof in this proceeding</w:t>
      </w:r>
      <w:r w:rsidR="00063980">
        <w:rPr>
          <w:sz w:val="24"/>
          <w:szCs w:val="24"/>
        </w:rPr>
        <w:t xml:space="preserve"> pursuant to</w:t>
      </w:r>
      <w:r w:rsidR="006C2C49" w:rsidRPr="00B73D10">
        <w:rPr>
          <w:sz w:val="24"/>
          <w:szCs w:val="24"/>
        </w:rPr>
        <w:t xml:space="preserve"> 66 </w:t>
      </w:r>
      <w:proofErr w:type="spellStart"/>
      <w:r w:rsidR="006C2C49" w:rsidRPr="00B73D10">
        <w:rPr>
          <w:sz w:val="24"/>
          <w:szCs w:val="24"/>
        </w:rPr>
        <w:t>Pa.C.S.</w:t>
      </w:r>
      <w:r w:rsidR="00063980">
        <w:rPr>
          <w:sz w:val="24"/>
          <w:szCs w:val="24"/>
        </w:rPr>
        <w:t>A</w:t>
      </w:r>
      <w:proofErr w:type="spellEnd"/>
      <w:r w:rsidR="00063980">
        <w:rPr>
          <w:sz w:val="24"/>
          <w:szCs w:val="24"/>
        </w:rPr>
        <w:t>.</w:t>
      </w:r>
      <w:r w:rsidR="006C2C49" w:rsidRPr="00B73D10">
        <w:rPr>
          <w:sz w:val="24"/>
          <w:szCs w:val="24"/>
        </w:rPr>
        <w:t xml:space="preserve"> §</w:t>
      </w:r>
      <w:r w:rsidR="00063980">
        <w:rPr>
          <w:sz w:val="24"/>
          <w:szCs w:val="24"/>
        </w:rPr>
        <w:t xml:space="preserve"> </w:t>
      </w:r>
      <w:r w:rsidR="006C2C49" w:rsidRPr="00B73D10">
        <w:rPr>
          <w:sz w:val="24"/>
          <w:szCs w:val="24"/>
        </w:rPr>
        <w:t>332(a).</w:t>
      </w:r>
      <w:r w:rsidR="00F022CE">
        <w:rPr>
          <w:sz w:val="24"/>
          <w:szCs w:val="24"/>
        </w:rPr>
        <w:t xml:space="preserve">  </w:t>
      </w:r>
    </w:p>
    <w:p w:rsidR="0010579B" w:rsidRDefault="0010579B" w:rsidP="00F022CE">
      <w:pPr>
        <w:ind w:firstLine="1440"/>
        <w:rPr>
          <w:sz w:val="24"/>
          <w:szCs w:val="24"/>
        </w:rPr>
      </w:pPr>
    </w:p>
    <w:p w:rsidR="00094683" w:rsidRDefault="00F022CE" w:rsidP="00F022CE">
      <w:pPr>
        <w:ind w:firstLine="1440"/>
        <w:rPr>
          <w:sz w:val="24"/>
          <w:szCs w:val="24"/>
        </w:rPr>
      </w:pPr>
      <w:r>
        <w:rPr>
          <w:sz w:val="24"/>
          <w:szCs w:val="24"/>
        </w:rPr>
        <w:t>In</w:t>
      </w:r>
      <w:r w:rsidR="006C2C49" w:rsidRPr="00B73D10">
        <w:rPr>
          <w:sz w:val="24"/>
          <w:szCs w:val="24"/>
        </w:rPr>
        <w:t xml:space="preserve"> the ordering paragraphs to follow, the </w:t>
      </w:r>
      <w:r w:rsidR="00074986">
        <w:rPr>
          <w:sz w:val="24"/>
          <w:szCs w:val="24"/>
        </w:rPr>
        <w:t>formal</w:t>
      </w:r>
      <w:r w:rsidR="006C2C49" w:rsidRPr="00B73D10">
        <w:rPr>
          <w:sz w:val="24"/>
          <w:szCs w:val="24"/>
        </w:rPr>
        <w:t xml:space="preserve"> complaint is </w:t>
      </w:r>
      <w:r w:rsidR="003C1C70">
        <w:rPr>
          <w:sz w:val="24"/>
          <w:szCs w:val="24"/>
        </w:rPr>
        <w:t>sustained</w:t>
      </w:r>
      <w:r w:rsidR="006C2C49" w:rsidRPr="00B73D10">
        <w:rPr>
          <w:sz w:val="24"/>
          <w:szCs w:val="24"/>
        </w:rPr>
        <w:t xml:space="preserve"> </w:t>
      </w:r>
      <w:r w:rsidR="00074986">
        <w:rPr>
          <w:sz w:val="24"/>
          <w:szCs w:val="24"/>
        </w:rPr>
        <w:t xml:space="preserve">because </w:t>
      </w:r>
      <w:r w:rsidR="00886880">
        <w:rPr>
          <w:sz w:val="24"/>
          <w:szCs w:val="24"/>
        </w:rPr>
        <w:t>Respondent, as a public utility, is charged with providing “adequate, efficient, safe, and reasonable service” to its ratepayers.</w:t>
      </w:r>
      <w:r w:rsidR="00886880">
        <w:rPr>
          <w:rStyle w:val="FootnoteReference"/>
          <w:sz w:val="24"/>
          <w:szCs w:val="24"/>
        </w:rPr>
        <w:footnoteReference w:id="5"/>
      </w:r>
      <w:r w:rsidR="00BD7D1B">
        <w:rPr>
          <w:sz w:val="24"/>
          <w:szCs w:val="24"/>
        </w:rPr>
        <w:t xml:space="preserve">  </w:t>
      </w:r>
      <w:r w:rsidR="00074986">
        <w:rPr>
          <w:sz w:val="24"/>
          <w:szCs w:val="24"/>
        </w:rPr>
        <w:t>In this proceeding,</w:t>
      </w:r>
      <w:r w:rsidR="00094683">
        <w:rPr>
          <w:sz w:val="24"/>
          <w:szCs w:val="24"/>
        </w:rPr>
        <w:t xml:space="preserve"> PECO failed to provide reasonable and adequate customer service when it </w:t>
      </w:r>
      <w:r w:rsidR="001036B8">
        <w:rPr>
          <w:sz w:val="24"/>
          <w:szCs w:val="24"/>
        </w:rPr>
        <w:t xml:space="preserve">failed to </w:t>
      </w:r>
      <w:r w:rsidR="003B1256">
        <w:rPr>
          <w:sz w:val="24"/>
          <w:szCs w:val="24"/>
        </w:rPr>
        <w:t>use</w:t>
      </w:r>
      <w:r w:rsidR="001036B8">
        <w:rPr>
          <w:sz w:val="24"/>
          <w:szCs w:val="24"/>
        </w:rPr>
        <w:t xml:space="preserve"> reliable evidence that Complainant lived at the service address before opening an account in her name.  PECO was also in error to file a negative report against Complainant with the credit reporting agencies.  </w:t>
      </w:r>
      <w:r w:rsidR="00074986">
        <w:rPr>
          <w:sz w:val="24"/>
          <w:szCs w:val="24"/>
        </w:rPr>
        <w:t>A</w:t>
      </w:r>
      <w:r w:rsidR="00094683">
        <w:rPr>
          <w:sz w:val="24"/>
          <w:szCs w:val="24"/>
        </w:rPr>
        <w:t xml:space="preserve">ccordingly, </w:t>
      </w:r>
      <w:r w:rsidR="001036B8">
        <w:rPr>
          <w:sz w:val="24"/>
          <w:szCs w:val="24"/>
        </w:rPr>
        <w:t xml:space="preserve">PECO will be required to remove all negative reports concerning the unpaid balance for the service address.  Furthermore, </w:t>
      </w:r>
      <w:r w:rsidR="00094683">
        <w:rPr>
          <w:sz w:val="24"/>
          <w:szCs w:val="24"/>
        </w:rPr>
        <w:t xml:space="preserve">a civil penalty </w:t>
      </w:r>
      <w:r w:rsidR="001036B8">
        <w:rPr>
          <w:sz w:val="24"/>
          <w:szCs w:val="24"/>
        </w:rPr>
        <w:t>is</w:t>
      </w:r>
      <w:r w:rsidR="00094683">
        <w:rPr>
          <w:sz w:val="24"/>
          <w:szCs w:val="24"/>
        </w:rPr>
        <w:t xml:space="preserve"> appropriate</w:t>
      </w:r>
      <w:r w:rsidR="001036B8">
        <w:rPr>
          <w:sz w:val="24"/>
          <w:szCs w:val="24"/>
        </w:rPr>
        <w:t xml:space="preserve"> and will be discussed below</w:t>
      </w:r>
      <w:r w:rsidR="00094683">
        <w:rPr>
          <w:sz w:val="24"/>
          <w:szCs w:val="24"/>
        </w:rPr>
        <w:t>.</w:t>
      </w:r>
    </w:p>
    <w:p w:rsidR="00891398" w:rsidRDefault="00891398" w:rsidP="00891398">
      <w:pPr>
        <w:rPr>
          <w:bCs/>
          <w:iCs/>
          <w:color w:val="000000"/>
          <w:sz w:val="24"/>
          <w:szCs w:val="24"/>
        </w:rPr>
      </w:pPr>
    </w:p>
    <w:p w:rsidR="003C3851" w:rsidRPr="003B1256" w:rsidRDefault="003C3851" w:rsidP="00891398">
      <w:pPr>
        <w:rPr>
          <w:bCs/>
          <w:iCs/>
          <w:color w:val="000000"/>
          <w:sz w:val="24"/>
          <w:szCs w:val="24"/>
          <w:u w:val="single"/>
        </w:rPr>
      </w:pPr>
      <w:bookmarkStart w:id="0" w:name="_GoBack"/>
      <w:bookmarkEnd w:id="0"/>
      <w:r w:rsidRPr="003B1256">
        <w:rPr>
          <w:bCs/>
          <w:iCs/>
          <w:color w:val="000000"/>
          <w:sz w:val="24"/>
          <w:szCs w:val="24"/>
          <w:u w:val="single"/>
        </w:rPr>
        <w:lastRenderedPageBreak/>
        <w:t>Civil Penalty</w:t>
      </w:r>
    </w:p>
    <w:p w:rsidR="00973248" w:rsidRPr="003B1256" w:rsidRDefault="003C3851" w:rsidP="00973248">
      <w:pPr>
        <w:suppressAutoHyphens/>
        <w:rPr>
          <w:sz w:val="24"/>
          <w:szCs w:val="24"/>
        </w:rPr>
      </w:pPr>
      <w:r w:rsidRPr="003B1256">
        <w:rPr>
          <w:spacing w:val="-3"/>
          <w:sz w:val="24"/>
          <w:szCs w:val="24"/>
        </w:rPr>
        <w:tab/>
      </w:r>
    </w:p>
    <w:p w:rsidR="003B1256" w:rsidRPr="003B1256" w:rsidRDefault="003B1256" w:rsidP="003B1256">
      <w:pPr>
        <w:pStyle w:val="BodyText"/>
        <w:ind w:firstLine="1440"/>
        <w:jc w:val="left"/>
        <w:rPr>
          <w:sz w:val="24"/>
          <w:szCs w:val="24"/>
        </w:rPr>
      </w:pPr>
      <w:r w:rsidRPr="003B1256">
        <w:rPr>
          <w:sz w:val="24"/>
          <w:szCs w:val="24"/>
        </w:rPr>
        <w:t>Public utility companies are required to provide reasonable service to their customers pursuant to Section 1501 of the Code.</w:t>
      </w:r>
      <w:r w:rsidRPr="003B1256">
        <w:rPr>
          <w:rStyle w:val="FootnoteReference"/>
          <w:sz w:val="24"/>
          <w:szCs w:val="24"/>
        </w:rPr>
        <w:footnoteReference w:id="6"/>
      </w:r>
      <w:r w:rsidRPr="003B1256">
        <w:rPr>
          <w:sz w:val="24"/>
          <w:szCs w:val="24"/>
        </w:rPr>
        <w:t xml:space="preserve">  The Commission has exclusive jurisdiction to determine the reasonableness, adequacy and sufficiency of a public utility’s services and facilities.</w:t>
      </w:r>
      <w:r w:rsidRPr="003B1256">
        <w:rPr>
          <w:rStyle w:val="FootnoteReference"/>
          <w:sz w:val="24"/>
          <w:szCs w:val="24"/>
        </w:rPr>
        <w:footnoteReference w:id="7"/>
      </w:r>
      <w:r w:rsidRPr="003B1256">
        <w:rPr>
          <w:sz w:val="24"/>
          <w:szCs w:val="24"/>
        </w:rPr>
        <w:t xml:space="preserve">  The term “service” should be “used in its broadest and most inclusive sense, including any and all acts done, rendered, or performed, and any and all things furnished or supplied…by public utilities…in the performance of their duties under the Public Utility Code.…”</w:t>
      </w:r>
      <w:r w:rsidRPr="003B1256">
        <w:rPr>
          <w:rStyle w:val="FootnoteReference"/>
          <w:sz w:val="24"/>
          <w:szCs w:val="24"/>
        </w:rPr>
        <w:footnoteReference w:id="8"/>
      </w:r>
      <w:r w:rsidRPr="003B1256">
        <w:rPr>
          <w:sz w:val="24"/>
          <w:szCs w:val="24"/>
        </w:rPr>
        <w:t xml:space="preserve">  Thus, a utility company’s practices – including, </w:t>
      </w:r>
      <w:r w:rsidRPr="003B1256">
        <w:rPr>
          <w:i/>
          <w:sz w:val="24"/>
          <w:szCs w:val="24"/>
        </w:rPr>
        <w:t>inter alia</w:t>
      </w:r>
      <w:r w:rsidRPr="003B1256">
        <w:rPr>
          <w:sz w:val="24"/>
          <w:szCs w:val="24"/>
        </w:rPr>
        <w:t>, billing customers, sending accurate final bills and reporting credit information to credit reporting agencies – must be reasonable, adequate and sufficient.  A violation occurs when a utility company fails to report correct and accurate information about a customer to a credit reporting agency.</w:t>
      </w:r>
    </w:p>
    <w:p w:rsidR="003B1256" w:rsidRPr="003B1256" w:rsidRDefault="003B1256" w:rsidP="003B1256">
      <w:pPr>
        <w:pStyle w:val="BodyText"/>
        <w:ind w:firstLine="1440"/>
        <w:jc w:val="left"/>
        <w:rPr>
          <w:sz w:val="24"/>
          <w:szCs w:val="24"/>
        </w:rPr>
      </w:pPr>
    </w:p>
    <w:p w:rsidR="003B1256" w:rsidRPr="003B1256" w:rsidRDefault="003B1256" w:rsidP="003B1256">
      <w:pPr>
        <w:ind w:firstLine="1440"/>
        <w:rPr>
          <w:sz w:val="24"/>
          <w:szCs w:val="24"/>
        </w:rPr>
      </w:pPr>
      <w:proofErr w:type="gramStart"/>
      <w:r w:rsidRPr="003B1256">
        <w:rPr>
          <w:sz w:val="24"/>
          <w:szCs w:val="24"/>
        </w:rPr>
        <w:t xml:space="preserve">Sections 3301(a) and (b) of </w:t>
      </w:r>
      <w:r>
        <w:rPr>
          <w:sz w:val="24"/>
          <w:szCs w:val="24"/>
        </w:rPr>
        <w:t xml:space="preserve">the Public Utility Code, 66 </w:t>
      </w:r>
      <w:proofErr w:type="spellStart"/>
      <w:r>
        <w:rPr>
          <w:sz w:val="24"/>
          <w:szCs w:val="24"/>
        </w:rPr>
        <w:t>Pa.</w:t>
      </w:r>
      <w:r w:rsidRPr="003B1256">
        <w:rPr>
          <w:sz w:val="24"/>
          <w:szCs w:val="24"/>
        </w:rPr>
        <w:t>C.S.A</w:t>
      </w:r>
      <w:proofErr w:type="spellEnd"/>
      <w:r w:rsidRPr="003B1256">
        <w:rPr>
          <w:sz w:val="24"/>
          <w:szCs w:val="24"/>
        </w:rPr>
        <w:t>.</w:t>
      </w:r>
      <w:proofErr w:type="gramEnd"/>
      <w:r w:rsidRPr="003B1256">
        <w:rPr>
          <w:sz w:val="24"/>
          <w:szCs w:val="24"/>
        </w:rPr>
        <w:t xml:space="preserve"> §</w:t>
      </w:r>
      <w:r>
        <w:rPr>
          <w:sz w:val="24"/>
          <w:szCs w:val="24"/>
        </w:rPr>
        <w:t xml:space="preserve"> </w:t>
      </w:r>
      <w:r w:rsidRPr="003B1256">
        <w:rPr>
          <w:sz w:val="24"/>
          <w:szCs w:val="24"/>
        </w:rPr>
        <w:t>3301(a) and (b</w:t>
      </w:r>
      <w:proofErr w:type="gramStart"/>
      <w:r w:rsidRPr="003B1256">
        <w:rPr>
          <w:sz w:val="24"/>
          <w:szCs w:val="24"/>
        </w:rPr>
        <w:t>),</w:t>
      </w:r>
      <w:proofErr w:type="gramEnd"/>
      <w:r w:rsidRPr="003B1256">
        <w:rPr>
          <w:sz w:val="24"/>
          <w:szCs w:val="24"/>
        </w:rPr>
        <w:t xml:space="preserve"> authorize the Commission to impose a maximum civil penalty of $1,000.00 per day for violations of its statutes, regulations and orders.  The Commission has adopted certain standards that are to be applied in determining the amount of civil penalties when violations are admitted or determined to have occurred.  There are ten standards which the Commission first articulated in </w:t>
      </w:r>
      <w:r w:rsidRPr="003B1256">
        <w:rPr>
          <w:sz w:val="24"/>
          <w:szCs w:val="24"/>
          <w:u w:val="single"/>
        </w:rPr>
        <w:t xml:space="preserve">Joseph A. </w:t>
      </w:r>
      <w:proofErr w:type="spellStart"/>
      <w:r w:rsidRPr="003B1256">
        <w:rPr>
          <w:sz w:val="24"/>
          <w:szCs w:val="24"/>
          <w:u w:val="single"/>
        </w:rPr>
        <w:t>Rosi</w:t>
      </w:r>
      <w:proofErr w:type="spellEnd"/>
      <w:r w:rsidRPr="003B1256">
        <w:rPr>
          <w:sz w:val="24"/>
          <w:szCs w:val="24"/>
          <w:u w:val="single"/>
        </w:rPr>
        <w:t xml:space="preserve"> v. Bell Atlantic-Pa., Inc. and Sprint Communica</w:t>
      </w:r>
      <w:r w:rsidRPr="003B1256">
        <w:rPr>
          <w:sz w:val="24"/>
          <w:szCs w:val="24"/>
          <w:u w:val="single"/>
        </w:rPr>
        <w:softHyphen/>
        <w:t>tions Company</w:t>
      </w:r>
      <w:r w:rsidRPr="003B1256">
        <w:rPr>
          <w:sz w:val="24"/>
          <w:szCs w:val="24"/>
        </w:rPr>
        <w:t>, Docket No. C</w:t>
      </w:r>
      <w:r w:rsidRPr="003B1256">
        <w:rPr>
          <w:sz w:val="24"/>
          <w:szCs w:val="24"/>
        </w:rPr>
        <w:noBreakHyphen/>
        <w:t>00992409 (Order entered February 10, 2000) (</w:t>
      </w:r>
      <w:proofErr w:type="spellStart"/>
      <w:r w:rsidRPr="003B1256">
        <w:rPr>
          <w:sz w:val="24"/>
          <w:szCs w:val="24"/>
          <w:u w:val="single"/>
        </w:rPr>
        <w:t>Rosi</w:t>
      </w:r>
      <w:proofErr w:type="spellEnd"/>
      <w:r w:rsidRPr="003B1256">
        <w:rPr>
          <w:sz w:val="24"/>
          <w:szCs w:val="24"/>
        </w:rPr>
        <w:t>) and which are now published at 52 </w:t>
      </w:r>
      <w:proofErr w:type="spellStart"/>
      <w:r>
        <w:rPr>
          <w:sz w:val="24"/>
          <w:szCs w:val="24"/>
        </w:rPr>
        <w:t>Pa.</w:t>
      </w:r>
      <w:r w:rsidRPr="003B1256">
        <w:rPr>
          <w:sz w:val="24"/>
          <w:szCs w:val="24"/>
        </w:rPr>
        <w:t>Code</w:t>
      </w:r>
      <w:proofErr w:type="spellEnd"/>
      <w:r w:rsidRPr="003B1256">
        <w:rPr>
          <w:sz w:val="24"/>
          <w:szCs w:val="24"/>
        </w:rPr>
        <w:t xml:space="preserve"> §</w:t>
      </w:r>
      <w:r>
        <w:rPr>
          <w:sz w:val="24"/>
          <w:szCs w:val="24"/>
        </w:rPr>
        <w:t xml:space="preserve"> </w:t>
      </w:r>
      <w:r w:rsidRPr="003B1256">
        <w:rPr>
          <w:sz w:val="24"/>
          <w:szCs w:val="24"/>
        </w:rPr>
        <w:t xml:space="preserve">69.1201 in the Commission’s Policy Statements and Guidelines.  </w:t>
      </w:r>
    </w:p>
    <w:p w:rsidR="009E13B5" w:rsidRPr="009E13B5" w:rsidRDefault="009E13B5" w:rsidP="009E13B5">
      <w:pPr>
        <w:rPr>
          <w:sz w:val="24"/>
          <w:szCs w:val="24"/>
        </w:rPr>
      </w:pPr>
    </w:p>
    <w:p w:rsidR="009E13B5" w:rsidRPr="009E13B5" w:rsidRDefault="009E13B5" w:rsidP="009E13B5">
      <w:pPr>
        <w:suppressAutoHyphens/>
        <w:rPr>
          <w:spacing w:val="-3"/>
          <w:sz w:val="24"/>
          <w:szCs w:val="24"/>
        </w:rPr>
      </w:pPr>
      <w:r w:rsidRPr="009E13B5">
        <w:rPr>
          <w:spacing w:val="-3"/>
          <w:sz w:val="24"/>
          <w:szCs w:val="24"/>
        </w:rPr>
        <w:tab/>
      </w:r>
      <w:r w:rsidRPr="009E13B5">
        <w:rPr>
          <w:spacing w:val="-3"/>
          <w:sz w:val="24"/>
          <w:szCs w:val="24"/>
        </w:rPr>
        <w:tab/>
        <w:t>The first criterion to consider is whether the violation was of a serious nature or whether it was less egregious, such as an administrative or technical error.  Complainant</w:t>
      </w:r>
      <w:r w:rsidR="000F2894">
        <w:rPr>
          <w:spacing w:val="-3"/>
          <w:sz w:val="24"/>
          <w:szCs w:val="24"/>
        </w:rPr>
        <w:t xml:space="preserve"> spent considerable time and trouble obtaining a long list of documents requested by PECO which would show where Complainant lived at all relevant times.  Having collected and then faxed these documents to PECO, </w:t>
      </w:r>
      <w:r w:rsidR="000553B1">
        <w:rPr>
          <w:spacing w:val="-3"/>
          <w:sz w:val="24"/>
          <w:szCs w:val="24"/>
        </w:rPr>
        <w:t xml:space="preserve">PECO denied having received the documents and caused negative credit </w:t>
      </w:r>
      <w:r w:rsidR="000553B1">
        <w:rPr>
          <w:spacing w:val="-3"/>
          <w:sz w:val="24"/>
          <w:szCs w:val="24"/>
        </w:rPr>
        <w:lastRenderedPageBreak/>
        <w:t>reports to be filed against Complainant’s</w:t>
      </w:r>
      <w:r>
        <w:rPr>
          <w:spacing w:val="-3"/>
          <w:sz w:val="24"/>
          <w:szCs w:val="24"/>
        </w:rPr>
        <w:t xml:space="preserve"> credit rating</w:t>
      </w:r>
      <w:r w:rsidRPr="009E13B5">
        <w:rPr>
          <w:spacing w:val="-3"/>
          <w:sz w:val="24"/>
          <w:szCs w:val="24"/>
        </w:rPr>
        <w:t xml:space="preserve">.  </w:t>
      </w:r>
      <w:r w:rsidR="000553B1">
        <w:rPr>
          <w:spacing w:val="-3"/>
          <w:sz w:val="24"/>
          <w:szCs w:val="24"/>
        </w:rPr>
        <w:t xml:space="preserve">Having learned Complainant contests the unpaid balance on the grounds she never resided at the service </w:t>
      </w:r>
      <w:proofErr w:type="gramStart"/>
      <w:r w:rsidR="000553B1">
        <w:rPr>
          <w:spacing w:val="-3"/>
          <w:sz w:val="24"/>
          <w:szCs w:val="24"/>
        </w:rPr>
        <w:t>address,</w:t>
      </w:r>
      <w:proofErr w:type="gramEnd"/>
      <w:r w:rsidR="000553B1">
        <w:rPr>
          <w:spacing w:val="-3"/>
          <w:sz w:val="24"/>
          <w:szCs w:val="24"/>
        </w:rPr>
        <w:t xml:space="preserve"> Respondent should have produced or attempted to produce the purported lease which the landlords (out of court declarants) alleged Complainant signed.  </w:t>
      </w:r>
      <w:r w:rsidRPr="009E13B5">
        <w:rPr>
          <w:spacing w:val="-3"/>
          <w:sz w:val="24"/>
          <w:szCs w:val="24"/>
        </w:rPr>
        <w:t>Thus, I conclude this violation was serious in nature and warrants a higher penalty.</w:t>
      </w:r>
    </w:p>
    <w:p w:rsidR="009E13B5" w:rsidRPr="009E13B5" w:rsidRDefault="009E13B5" w:rsidP="009E13B5">
      <w:pPr>
        <w:suppressAutoHyphens/>
        <w:rPr>
          <w:spacing w:val="-3"/>
          <w:sz w:val="24"/>
          <w:szCs w:val="24"/>
        </w:rPr>
      </w:pPr>
    </w:p>
    <w:p w:rsidR="009E13B5" w:rsidRPr="009E13B5" w:rsidRDefault="009E13B5" w:rsidP="009E13B5">
      <w:pPr>
        <w:suppressAutoHyphens/>
        <w:rPr>
          <w:spacing w:val="-3"/>
          <w:sz w:val="24"/>
          <w:szCs w:val="24"/>
        </w:rPr>
      </w:pPr>
      <w:r w:rsidRPr="009E13B5">
        <w:rPr>
          <w:spacing w:val="-3"/>
          <w:sz w:val="24"/>
          <w:szCs w:val="24"/>
        </w:rPr>
        <w:tab/>
      </w:r>
      <w:r w:rsidRPr="009E13B5">
        <w:rPr>
          <w:spacing w:val="-3"/>
          <w:sz w:val="24"/>
          <w:szCs w:val="24"/>
        </w:rPr>
        <w:tab/>
        <w:t xml:space="preserve">The second criterion is whether the resulting consequences of the conduct were of a serious nature, such as personal injury or property damage.  Complainant has sustained </w:t>
      </w:r>
      <w:r w:rsidR="000553B1">
        <w:rPr>
          <w:spacing w:val="-3"/>
          <w:sz w:val="24"/>
          <w:szCs w:val="24"/>
        </w:rPr>
        <w:t xml:space="preserve">negative reports against her with the credit reporting agencies, and she had to make copies and fax various documents.  However, there is no evidence she sustained </w:t>
      </w:r>
      <w:r w:rsidRPr="009E13B5">
        <w:rPr>
          <w:spacing w:val="-3"/>
          <w:sz w:val="24"/>
          <w:szCs w:val="24"/>
        </w:rPr>
        <w:t xml:space="preserve">damage to </w:t>
      </w:r>
      <w:r w:rsidR="000553B1">
        <w:rPr>
          <w:spacing w:val="-3"/>
          <w:sz w:val="24"/>
          <w:szCs w:val="24"/>
        </w:rPr>
        <w:t>her</w:t>
      </w:r>
      <w:r w:rsidRPr="009E13B5">
        <w:rPr>
          <w:spacing w:val="-3"/>
          <w:sz w:val="24"/>
          <w:szCs w:val="24"/>
        </w:rPr>
        <w:t xml:space="preserve"> property interests due to Respondent’s error.  Thus, I conclude the consequences are </w:t>
      </w:r>
      <w:r w:rsidR="000553B1">
        <w:rPr>
          <w:spacing w:val="-3"/>
          <w:sz w:val="24"/>
          <w:szCs w:val="24"/>
        </w:rPr>
        <w:t xml:space="preserve">not </w:t>
      </w:r>
      <w:r w:rsidRPr="009E13B5">
        <w:rPr>
          <w:spacing w:val="-3"/>
          <w:sz w:val="24"/>
          <w:szCs w:val="24"/>
        </w:rPr>
        <w:t xml:space="preserve">of a serious nature and warrant a </w:t>
      </w:r>
      <w:r w:rsidR="000553B1">
        <w:rPr>
          <w:spacing w:val="-3"/>
          <w:sz w:val="24"/>
          <w:szCs w:val="24"/>
        </w:rPr>
        <w:t>lower</w:t>
      </w:r>
      <w:r w:rsidRPr="009E13B5">
        <w:rPr>
          <w:spacing w:val="-3"/>
          <w:sz w:val="24"/>
          <w:szCs w:val="24"/>
        </w:rPr>
        <w:t xml:space="preserve"> penalty.</w:t>
      </w:r>
    </w:p>
    <w:p w:rsidR="009E13B5" w:rsidRPr="009E13B5" w:rsidRDefault="009E13B5" w:rsidP="009E13B5">
      <w:pPr>
        <w:suppressAutoHyphens/>
        <w:rPr>
          <w:spacing w:val="-3"/>
          <w:sz w:val="24"/>
          <w:szCs w:val="24"/>
        </w:rPr>
      </w:pPr>
    </w:p>
    <w:p w:rsidR="009E13B5" w:rsidRPr="009E13B5" w:rsidRDefault="009E13B5" w:rsidP="009E13B5">
      <w:pPr>
        <w:suppressAutoHyphens/>
        <w:rPr>
          <w:spacing w:val="-3"/>
          <w:sz w:val="24"/>
          <w:szCs w:val="24"/>
        </w:rPr>
      </w:pPr>
      <w:r w:rsidRPr="009E13B5">
        <w:rPr>
          <w:spacing w:val="-3"/>
          <w:sz w:val="24"/>
          <w:szCs w:val="24"/>
        </w:rPr>
        <w:tab/>
      </w:r>
      <w:r w:rsidRPr="009E13B5">
        <w:rPr>
          <w:spacing w:val="-3"/>
          <w:sz w:val="24"/>
          <w:szCs w:val="24"/>
        </w:rPr>
        <w:tab/>
        <w:t xml:space="preserve">The third criterion is whether the conduct at issue was deemed intentional or negligent.  </w:t>
      </w:r>
      <w:r w:rsidR="0070392B">
        <w:rPr>
          <w:spacing w:val="-3"/>
          <w:sz w:val="24"/>
          <w:szCs w:val="24"/>
        </w:rPr>
        <w:t>PECO’s</w:t>
      </w:r>
      <w:r w:rsidRPr="009E13B5">
        <w:rPr>
          <w:spacing w:val="-3"/>
          <w:sz w:val="24"/>
          <w:szCs w:val="24"/>
        </w:rPr>
        <w:t xml:space="preserve"> conduct here was negligent </w:t>
      </w:r>
      <w:r w:rsidR="0070392B">
        <w:rPr>
          <w:spacing w:val="-3"/>
          <w:sz w:val="24"/>
          <w:szCs w:val="24"/>
        </w:rPr>
        <w:t>although there did appear to be a flippant</w:t>
      </w:r>
      <w:r w:rsidRPr="009E13B5">
        <w:rPr>
          <w:spacing w:val="-3"/>
          <w:sz w:val="24"/>
          <w:szCs w:val="24"/>
        </w:rPr>
        <w:t xml:space="preserve"> disregard for </w:t>
      </w:r>
      <w:r w:rsidR="000553B1">
        <w:rPr>
          <w:spacing w:val="-3"/>
          <w:sz w:val="24"/>
          <w:szCs w:val="24"/>
        </w:rPr>
        <w:t>obtaining accurate information</w:t>
      </w:r>
      <w:r w:rsidR="0070392B">
        <w:rPr>
          <w:spacing w:val="-3"/>
          <w:sz w:val="24"/>
          <w:szCs w:val="24"/>
        </w:rPr>
        <w:t xml:space="preserve"> and obtaining documentation to justify placing the account in Complainant’s name.  However, </w:t>
      </w:r>
      <w:r w:rsidRPr="009E13B5">
        <w:rPr>
          <w:spacing w:val="-3"/>
          <w:sz w:val="24"/>
          <w:szCs w:val="24"/>
        </w:rPr>
        <w:t>I conclude the conduct</w:t>
      </w:r>
      <w:r w:rsidR="0070392B">
        <w:rPr>
          <w:spacing w:val="-3"/>
          <w:sz w:val="24"/>
          <w:szCs w:val="24"/>
        </w:rPr>
        <w:t xml:space="preserve"> neither warrants a higher nor </w:t>
      </w:r>
      <w:proofErr w:type="gramStart"/>
      <w:r w:rsidR="0070392B">
        <w:rPr>
          <w:spacing w:val="-3"/>
          <w:sz w:val="24"/>
          <w:szCs w:val="24"/>
        </w:rPr>
        <w:t xml:space="preserve">lower </w:t>
      </w:r>
      <w:r w:rsidRPr="009E13B5">
        <w:rPr>
          <w:spacing w:val="-3"/>
          <w:sz w:val="24"/>
          <w:szCs w:val="24"/>
        </w:rPr>
        <w:t xml:space="preserve"> penalty</w:t>
      </w:r>
      <w:proofErr w:type="gramEnd"/>
      <w:r w:rsidRPr="009E13B5">
        <w:rPr>
          <w:spacing w:val="-3"/>
          <w:sz w:val="24"/>
          <w:szCs w:val="24"/>
        </w:rPr>
        <w:t>.</w:t>
      </w:r>
    </w:p>
    <w:p w:rsidR="009E13B5" w:rsidRPr="009E13B5" w:rsidRDefault="009E13B5" w:rsidP="009E13B5">
      <w:pPr>
        <w:suppressAutoHyphens/>
        <w:rPr>
          <w:spacing w:val="-3"/>
          <w:sz w:val="24"/>
          <w:szCs w:val="24"/>
        </w:rPr>
      </w:pPr>
    </w:p>
    <w:p w:rsidR="009E13B5" w:rsidRPr="009E13B5" w:rsidRDefault="009E13B5" w:rsidP="009E13B5">
      <w:pPr>
        <w:suppressAutoHyphens/>
        <w:rPr>
          <w:spacing w:val="-3"/>
          <w:sz w:val="24"/>
          <w:szCs w:val="24"/>
        </w:rPr>
      </w:pPr>
      <w:r w:rsidRPr="009E13B5">
        <w:rPr>
          <w:spacing w:val="-3"/>
          <w:sz w:val="24"/>
          <w:szCs w:val="24"/>
        </w:rPr>
        <w:tab/>
      </w:r>
      <w:r w:rsidRPr="009E13B5">
        <w:rPr>
          <w:spacing w:val="-3"/>
          <w:sz w:val="24"/>
          <w:szCs w:val="24"/>
        </w:rPr>
        <w:tab/>
        <w:t xml:space="preserve">The fourth criterion is whether the utility made efforts to modify internal practices and procedures to address the conduct and prevent similar conduct, and the amount of time it took for the implementation of these measures.  There is no evidence </w:t>
      </w:r>
      <w:r w:rsidR="0070392B">
        <w:rPr>
          <w:spacing w:val="-3"/>
          <w:sz w:val="24"/>
          <w:szCs w:val="24"/>
        </w:rPr>
        <w:t>PECO</w:t>
      </w:r>
      <w:r w:rsidRPr="009E13B5">
        <w:rPr>
          <w:spacing w:val="-3"/>
          <w:sz w:val="24"/>
          <w:szCs w:val="24"/>
        </w:rPr>
        <w:t xml:space="preserve"> recognizes its failure to provide adequate customer service here</w:t>
      </w:r>
      <w:r w:rsidR="0070392B">
        <w:rPr>
          <w:spacing w:val="-3"/>
          <w:sz w:val="24"/>
          <w:szCs w:val="24"/>
        </w:rPr>
        <w:t xml:space="preserve">.  It has made no apparent </w:t>
      </w:r>
      <w:r w:rsidRPr="009E13B5">
        <w:rPr>
          <w:spacing w:val="-3"/>
          <w:sz w:val="24"/>
          <w:szCs w:val="24"/>
        </w:rPr>
        <w:t xml:space="preserve">effort to modify its internal practices in order to avoid </w:t>
      </w:r>
      <w:r w:rsidR="0070392B">
        <w:rPr>
          <w:spacing w:val="-3"/>
          <w:sz w:val="24"/>
          <w:szCs w:val="24"/>
        </w:rPr>
        <w:t xml:space="preserve">inflicting a </w:t>
      </w:r>
      <w:r w:rsidRPr="009E13B5">
        <w:rPr>
          <w:spacing w:val="-3"/>
          <w:sz w:val="24"/>
          <w:szCs w:val="24"/>
        </w:rPr>
        <w:t xml:space="preserve">similar </w:t>
      </w:r>
      <w:r w:rsidR="0070392B">
        <w:rPr>
          <w:spacing w:val="-3"/>
          <w:sz w:val="24"/>
          <w:szCs w:val="24"/>
        </w:rPr>
        <w:t>problem for o</w:t>
      </w:r>
      <w:r w:rsidRPr="009E13B5">
        <w:rPr>
          <w:spacing w:val="-3"/>
          <w:sz w:val="24"/>
          <w:szCs w:val="24"/>
        </w:rPr>
        <w:t xml:space="preserve">ther ratepayers </w:t>
      </w:r>
      <w:r w:rsidR="0070392B">
        <w:rPr>
          <w:spacing w:val="-3"/>
          <w:sz w:val="24"/>
          <w:szCs w:val="24"/>
        </w:rPr>
        <w:t xml:space="preserve">and Commonwealth citizens </w:t>
      </w:r>
      <w:r w:rsidRPr="009E13B5">
        <w:rPr>
          <w:spacing w:val="-3"/>
          <w:sz w:val="24"/>
          <w:szCs w:val="24"/>
        </w:rPr>
        <w:t xml:space="preserve">in the future.  Thus I conclude a higher penalty is warranted.  </w:t>
      </w:r>
    </w:p>
    <w:p w:rsidR="009E13B5" w:rsidRPr="009E13B5" w:rsidRDefault="009E13B5" w:rsidP="009E13B5">
      <w:pPr>
        <w:suppressAutoHyphens/>
        <w:rPr>
          <w:spacing w:val="-3"/>
          <w:sz w:val="24"/>
          <w:szCs w:val="24"/>
        </w:rPr>
      </w:pPr>
    </w:p>
    <w:p w:rsidR="009E13B5" w:rsidRDefault="009E13B5" w:rsidP="009E13B5">
      <w:pPr>
        <w:suppressAutoHyphens/>
        <w:rPr>
          <w:spacing w:val="-3"/>
          <w:sz w:val="24"/>
          <w:szCs w:val="24"/>
        </w:rPr>
      </w:pPr>
      <w:r w:rsidRPr="009E13B5">
        <w:rPr>
          <w:spacing w:val="-3"/>
          <w:sz w:val="24"/>
          <w:szCs w:val="24"/>
        </w:rPr>
        <w:tab/>
      </w:r>
      <w:r w:rsidRPr="009E13B5">
        <w:rPr>
          <w:spacing w:val="-3"/>
          <w:sz w:val="24"/>
          <w:szCs w:val="24"/>
        </w:rPr>
        <w:tab/>
        <w:t xml:space="preserve">The fifth criterion is the number of customers affected.  According to the record evidence, only Complainant was impacted.  </w:t>
      </w:r>
    </w:p>
    <w:p w:rsidR="00FB26D3" w:rsidRPr="009E13B5" w:rsidRDefault="00FB26D3" w:rsidP="009E13B5">
      <w:pPr>
        <w:suppressAutoHyphens/>
        <w:rPr>
          <w:spacing w:val="-3"/>
          <w:sz w:val="24"/>
          <w:szCs w:val="24"/>
        </w:rPr>
      </w:pPr>
    </w:p>
    <w:p w:rsidR="009E13B5" w:rsidRPr="009E13B5" w:rsidRDefault="009E13B5" w:rsidP="009E13B5">
      <w:pPr>
        <w:suppressAutoHyphens/>
        <w:rPr>
          <w:spacing w:val="-3"/>
          <w:sz w:val="24"/>
          <w:szCs w:val="24"/>
        </w:rPr>
      </w:pPr>
      <w:r w:rsidRPr="009E13B5">
        <w:rPr>
          <w:spacing w:val="-3"/>
          <w:sz w:val="24"/>
          <w:szCs w:val="24"/>
        </w:rPr>
        <w:lastRenderedPageBreak/>
        <w:tab/>
      </w:r>
      <w:r w:rsidRPr="009E13B5">
        <w:rPr>
          <w:spacing w:val="-3"/>
          <w:sz w:val="24"/>
          <w:szCs w:val="24"/>
        </w:rPr>
        <w:tab/>
        <w:t xml:space="preserve">The sixth criterion is a consideration of </w:t>
      </w:r>
      <w:r w:rsidR="0070392B">
        <w:rPr>
          <w:spacing w:val="-3"/>
          <w:sz w:val="24"/>
          <w:szCs w:val="24"/>
        </w:rPr>
        <w:t>PECO’s</w:t>
      </w:r>
      <w:r w:rsidRPr="009E13B5">
        <w:rPr>
          <w:spacing w:val="-3"/>
          <w:sz w:val="24"/>
          <w:szCs w:val="24"/>
        </w:rPr>
        <w:t xml:space="preserve"> compliance history.  No evidence was presented that </w:t>
      </w:r>
      <w:r w:rsidR="0070392B">
        <w:rPr>
          <w:spacing w:val="-3"/>
          <w:sz w:val="24"/>
          <w:szCs w:val="24"/>
        </w:rPr>
        <w:t>PECO</w:t>
      </w:r>
      <w:r w:rsidRPr="009E13B5">
        <w:rPr>
          <w:spacing w:val="-3"/>
          <w:sz w:val="24"/>
          <w:szCs w:val="24"/>
        </w:rPr>
        <w:t xml:space="preserve"> has a poor compliance record</w:t>
      </w:r>
      <w:r w:rsidR="0070392B">
        <w:rPr>
          <w:spacing w:val="-3"/>
          <w:sz w:val="24"/>
          <w:szCs w:val="24"/>
        </w:rPr>
        <w:t xml:space="preserve">.  </w:t>
      </w:r>
      <w:r w:rsidRPr="009E13B5">
        <w:rPr>
          <w:spacing w:val="-3"/>
          <w:sz w:val="24"/>
          <w:szCs w:val="24"/>
        </w:rPr>
        <w:t xml:space="preserve">Therefore, I conclude a </w:t>
      </w:r>
      <w:r w:rsidR="0070392B">
        <w:rPr>
          <w:spacing w:val="-3"/>
          <w:sz w:val="24"/>
          <w:szCs w:val="24"/>
        </w:rPr>
        <w:t>lower</w:t>
      </w:r>
      <w:r w:rsidRPr="009E13B5">
        <w:rPr>
          <w:spacing w:val="-3"/>
          <w:sz w:val="24"/>
          <w:szCs w:val="24"/>
        </w:rPr>
        <w:t xml:space="preserve"> penalty is warranted.</w:t>
      </w:r>
    </w:p>
    <w:p w:rsidR="009E13B5" w:rsidRPr="009E13B5" w:rsidRDefault="009E13B5" w:rsidP="009E13B5">
      <w:pPr>
        <w:suppressAutoHyphens/>
        <w:rPr>
          <w:spacing w:val="-3"/>
          <w:sz w:val="24"/>
          <w:szCs w:val="24"/>
        </w:rPr>
      </w:pPr>
    </w:p>
    <w:p w:rsidR="009E13B5" w:rsidRPr="009E13B5" w:rsidRDefault="009E13B5" w:rsidP="009E13B5">
      <w:pPr>
        <w:suppressAutoHyphens/>
        <w:rPr>
          <w:spacing w:val="-3"/>
          <w:sz w:val="24"/>
          <w:szCs w:val="24"/>
        </w:rPr>
      </w:pPr>
      <w:r w:rsidRPr="009E13B5">
        <w:rPr>
          <w:spacing w:val="-3"/>
          <w:sz w:val="24"/>
          <w:szCs w:val="24"/>
        </w:rPr>
        <w:tab/>
      </w:r>
      <w:r w:rsidRPr="009E13B5">
        <w:rPr>
          <w:spacing w:val="-3"/>
          <w:sz w:val="24"/>
          <w:szCs w:val="24"/>
        </w:rPr>
        <w:tab/>
        <w:t xml:space="preserve">The seventh criterion is whether the regulated entity cooperated with the Commission’s investigation.  There was no investigation by the Commission and therefore this criterion works neither to mitigate nor to aggravate the penalty to be imposed.  </w:t>
      </w:r>
    </w:p>
    <w:p w:rsidR="009E13B5" w:rsidRPr="009E13B5" w:rsidRDefault="009E13B5" w:rsidP="009E13B5">
      <w:pPr>
        <w:suppressAutoHyphens/>
        <w:rPr>
          <w:spacing w:val="-3"/>
          <w:sz w:val="24"/>
          <w:szCs w:val="24"/>
        </w:rPr>
      </w:pPr>
    </w:p>
    <w:p w:rsidR="009E13B5" w:rsidRPr="009E13B5" w:rsidRDefault="009E13B5" w:rsidP="009E13B5">
      <w:pPr>
        <w:suppressAutoHyphens/>
        <w:rPr>
          <w:spacing w:val="-3"/>
          <w:sz w:val="24"/>
          <w:szCs w:val="24"/>
        </w:rPr>
      </w:pPr>
      <w:r w:rsidRPr="009E13B5">
        <w:rPr>
          <w:spacing w:val="-3"/>
          <w:sz w:val="24"/>
          <w:szCs w:val="24"/>
        </w:rPr>
        <w:tab/>
      </w:r>
      <w:r w:rsidRPr="009E13B5">
        <w:rPr>
          <w:spacing w:val="-3"/>
          <w:sz w:val="24"/>
          <w:szCs w:val="24"/>
        </w:rPr>
        <w:tab/>
        <w:t xml:space="preserve">  The eighth criterion is the amount of the civil penalty or fine necessary to deter future violations, with consideration of the size of the utility.  </w:t>
      </w:r>
      <w:r w:rsidR="0070392B">
        <w:rPr>
          <w:spacing w:val="-3"/>
          <w:sz w:val="24"/>
          <w:szCs w:val="24"/>
        </w:rPr>
        <w:t>PECO</w:t>
      </w:r>
      <w:r w:rsidRPr="009E13B5">
        <w:rPr>
          <w:spacing w:val="-3"/>
          <w:sz w:val="24"/>
          <w:szCs w:val="24"/>
        </w:rPr>
        <w:t xml:space="preserve"> is a large utility with an extensive territory.  In light of </w:t>
      </w:r>
      <w:r w:rsidR="0070392B">
        <w:rPr>
          <w:spacing w:val="-3"/>
          <w:sz w:val="24"/>
          <w:szCs w:val="24"/>
        </w:rPr>
        <w:t>PECO’s</w:t>
      </w:r>
      <w:r w:rsidRPr="009E13B5">
        <w:rPr>
          <w:spacing w:val="-3"/>
          <w:sz w:val="24"/>
          <w:szCs w:val="24"/>
        </w:rPr>
        <w:t xml:space="preserve"> size and the damage it inflicted on </w:t>
      </w:r>
      <w:r w:rsidR="0070392B">
        <w:rPr>
          <w:spacing w:val="-3"/>
          <w:sz w:val="24"/>
          <w:szCs w:val="24"/>
        </w:rPr>
        <w:t>Complainant</w:t>
      </w:r>
      <w:r w:rsidR="000E2DFB">
        <w:rPr>
          <w:spacing w:val="-3"/>
          <w:sz w:val="24"/>
          <w:szCs w:val="24"/>
        </w:rPr>
        <w:t xml:space="preserve"> and her credit rating</w:t>
      </w:r>
      <w:r w:rsidRPr="009E13B5">
        <w:rPr>
          <w:spacing w:val="-3"/>
          <w:sz w:val="24"/>
          <w:szCs w:val="24"/>
        </w:rPr>
        <w:t xml:space="preserve">, the penalty should </w:t>
      </w:r>
      <w:r w:rsidR="0071023E">
        <w:rPr>
          <w:spacing w:val="-3"/>
          <w:sz w:val="24"/>
          <w:szCs w:val="24"/>
        </w:rPr>
        <w:t>be $1,000.00</w:t>
      </w:r>
      <w:r w:rsidRPr="009E13B5">
        <w:rPr>
          <w:spacing w:val="-3"/>
          <w:sz w:val="24"/>
          <w:szCs w:val="24"/>
        </w:rPr>
        <w:t xml:space="preserve">.  This amount </w:t>
      </w:r>
      <w:r w:rsidR="0071023E">
        <w:rPr>
          <w:spacing w:val="-3"/>
          <w:sz w:val="24"/>
          <w:szCs w:val="24"/>
        </w:rPr>
        <w:t>is neither</w:t>
      </w:r>
      <w:r w:rsidRPr="009E13B5">
        <w:rPr>
          <w:spacing w:val="-3"/>
          <w:sz w:val="24"/>
          <w:szCs w:val="24"/>
        </w:rPr>
        <w:t xml:space="preserve"> excessive </w:t>
      </w:r>
      <w:r w:rsidR="0071023E">
        <w:rPr>
          <w:spacing w:val="-3"/>
          <w:sz w:val="24"/>
          <w:szCs w:val="24"/>
        </w:rPr>
        <w:t>n</w:t>
      </w:r>
      <w:r w:rsidRPr="009E13B5">
        <w:rPr>
          <w:spacing w:val="-3"/>
          <w:sz w:val="24"/>
          <w:szCs w:val="24"/>
        </w:rPr>
        <w:t>or arbitrary</w:t>
      </w:r>
      <w:r w:rsidR="0071023E">
        <w:rPr>
          <w:spacing w:val="-3"/>
          <w:sz w:val="24"/>
          <w:szCs w:val="24"/>
        </w:rPr>
        <w:t xml:space="preserve">, given the wealth of contrary documentation made available from Complainant, coupled with the basic </w:t>
      </w:r>
      <w:r w:rsidRPr="009E13B5">
        <w:rPr>
          <w:spacing w:val="-3"/>
          <w:sz w:val="24"/>
          <w:szCs w:val="24"/>
        </w:rPr>
        <w:t>seriousness of the consequences</w:t>
      </w:r>
      <w:r w:rsidR="0071023E">
        <w:rPr>
          <w:spacing w:val="-3"/>
          <w:sz w:val="24"/>
          <w:szCs w:val="24"/>
        </w:rPr>
        <w:t xml:space="preserve"> from Respondent’s insistence to rely on unreliable, unsubstantiated hearsay evidence from the landlords</w:t>
      </w:r>
      <w:r w:rsidRPr="009E13B5">
        <w:rPr>
          <w:spacing w:val="-3"/>
          <w:sz w:val="24"/>
          <w:szCs w:val="24"/>
        </w:rPr>
        <w:t xml:space="preserve">.  </w:t>
      </w:r>
      <w:r w:rsidR="0071023E">
        <w:rPr>
          <w:spacing w:val="-3"/>
          <w:sz w:val="24"/>
          <w:szCs w:val="24"/>
        </w:rPr>
        <w:t xml:space="preserve">Three facts in particular weighed heavy in the calculation of this criterion: </w:t>
      </w:r>
      <w:r w:rsidR="001B69EE">
        <w:rPr>
          <w:spacing w:val="-3"/>
          <w:sz w:val="24"/>
          <w:szCs w:val="24"/>
        </w:rPr>
        <w:t xml:space="preserve"> </w:t>
      </w:r>
      <w:r w:rsidRPr="009E13B5">
        <w:rPr>
          <w:spacing w:val="-3"/>
          <w:sz w:val="24"/>
          <w:szCs w:val="24"/>
        </w:rPr>
        <w:t xml:space="preserve">(1) Respondent’s </w:t>
      </w:r>
      <w:r w:rsidR="0071023E">
        <w:rPr>
          <w:spacing w:val="-3"/>
          <w:sz w:val="24"/>
          <w:szCs w:val="24"/>
        </w:rPr>
        <w:t>failure to obtain or attempt to obtain the testimony of the landlords;</w:t>
      </w:r>
      <w:r w:rsidRPr="009E13B5">
        <w:rPr>
          <w:spacing w:val="-3"/>
          <w:sz w:val="24"/>
          <w:szCs w:val="24"/>
        </w:rPr>
        <w:t xml:space="preserve"> (2) Respondent’s failure to</w:t>
      </w:r>
      <w:r w:rsidR="0071023E">
        <w:rPr>
          <w:spacing w:val="-3"/>
          <w:sz w:val="24"/>
          <w:szCs w:val="24"/>
        </w:rPr>
        <w:t xml:space="preserve"> request or obtain a copy of the lease which Complainant allegedly signed for the service address; and (3) Respondent’s filing of negative credit reports with the three credit reporting agencies.  </w:t>
      </w:r>
      <w:r w:rsidRPr="009E13B5">
        <w:rPr>
          <w:spacing w:val="-3"/>
          <w:sz w:val="24"/>
          <w:szCs w:val="24"/>
        </w:rPr>
        <w:t>Thus, in consideration of all the other relevant factors, I conclude a penalty of $</w:t>
      </w:r>
      <w:r w:rsidR="0071023E">
        <w:rPr>
          <w:spacing w:val="-3"/>
          <w:sz w:val="24"/>
          <w:szCs w:val="24"/>
        </w:rPr>
        <w:t>1</w:t>
      </w:r>
      <w:r w:rsidRPr="009E13B5">
        <w:rPr>
          <w:spacing w:val="-3"/>
          <w:sz w:val="24"/>
          <w:szCs w:val="24"/>
        </w:rPr>
        <w:t>,000.00 is sufficient to deter future violations.</w:t>
      </w:r>
    </w:p>
    <w:p w:rsidR="009E13B5" w:rsidRPr="009E13B5" w:rsidRDefault="009E13B5" w:rsidP="009E13B5">
      <w:pPr>
        <w:suppressAutoHyphens/>
        <w:rPr>
          <w:spacing w:val="-3"/>
          <w:sz w:val="24"/>
          <w:szCs w:val="24"/>
        </w:rPr>
      </w:pPr>
    </w:p>
    <w:p w:rsidR="009E13B5" w:rsidRPr="009E13B5" w:rsidRDefault="009E13B5" w:rsidP="009E13B5">
      <w:pPr>
        <w:suppressAutoHyphens/>
        <w:rPr>
          <w:spacing w:val="-3"/>
          <w:sz w:val="24"/>
          <w:szCs w:val="24"/>
        </w:rPr>
      </w:pPr>
      <w:r w:rsidRPr="009E13B5">
        <w:rPr>
          <w:spacing w:val="-3"/>
          <w:sz w:val="24"/>
          <w:szCs w:val="24"/>
        </w:rPr>
        <w:tab/>
      </w:r>
      <w:r w:rsidRPr="009E13B5">
        <w:rPr>
          <w:spacing w:val="-3"/>
          <w:sz w:val="24"/>
          <w:szCs w:val="24"/>
        </w:rPr>
        <w:tab/>
        <w:t xml:space="preserve">The ninth criterion is past Commission decisions.  No party has cited to any prior Commission decisions involving unreasonable customer service in how </w:t>
      </w:r>
      <w:r w:rsidR="0071023E">
        <w:rPr>
          <w:spacing w:val="-3"/>
          <w:sz w:val="24"/>
          <w:szCs w:val="24"/>
        </w:rPr>
        <w:t xml:space="preserve">a utility verifies adult occupants at a service address or when </w:t>
      </w:r>
      <w:r w:rsidRPr="009E13B5">
        <w:rPr>
          <w:spacing w:val="-3"/>
          <w:sz w:val="24"/>
          <w:szCs w:val="24"/>
        </w:rPr>
        <w:t xml:space="preserve">a utility </w:t>
      </w:r>
      <w:r w:rsidR="0071023E">
        <w:rPr>
          <w:spacing w:val="-3"/>
          <w:sz w:val="24"/>
          <w:szCs w:val="24"/>
        </w:rPr>
        <w:t xml:space="preserve">may </w:t>
      </w:r>
      <w:r w:rsidRPr="009E13B5">
        <w:rPr>
          <w:spacing w:val="-3"/>
          <w:sz w:val="24"/>
          <w:szCs w:val="24"/>
        </w:rPr>
        <w:t xml:space="preserve">report information to credit reporting agencies.  </w:t>
      </w:r>
    </w:p>
    <w:p w:rsidR="009E13B5" w:rsidRPr="009E13B5" w:rsidRDefault="009E13B5" w:rsidP="009E13B5">
      <w:pPr>
        <w:suppressAutoHyphens/>
        <w:rPr>
          <w:spacing w:val="-3"/>
          <w:sz w:val="24"/>
          <w:szCs w:val="24"/>
        </w:rPr>
      </w:pPr>
    </w:p>
    <w:p w:rsidR="009E13B5" w:rsidRPr="009E13B5" w:rsidRDefault="009E13B5" w:rsidP="009E13B5">
      <w:pPr>
        <w:suppressAutoHyphens/>
        <w:rPr>
          <w:spacing w:val="-3"/>
          <w:sz w:val="24"/>
          <w:szCs w:val="24"/>
        </w:rPr>
      </w:pPr>
      <w:r w:rsidRPr="009E13B5">
        <w:rPr>
          <w:spacing w:val="-3"/>
          <w:sz w:val="24"/>
          <w:szCs w:val="24"/>
        </w:rPr>
        <w:tab/>
      </w:r>
      <w:r w:rsidRPr="009E13B5">
        <w:rPr>
          <w:spacing w:val="-3"/>
          <w:sz w:val="24"/>
          <w:szCs w:val="24"/>
        </w:rPr>
        <w:tab/>
        <w:t>The tenth criterion is other relevant factors</w:t>
      </w:r>
      <w:r w:rsidR="0071023E">
        <w:rPr>
          <w:spacing w:val="-3"/>
          <w:sz w:val="24"/>
          <w:szCs w:val="24"/>
        </w:rPr>
        <w:t>.  N</w:t>
      </w:r>
      <w:r w:rsidRPr="009E13B5">
        <w:rPr>
          <w:spacing w:val="-3"/>
          <w:sz w:val="24"/>
          <w:szCs w:val="24"/>
        </w:rPr>
        <w:t>one have been suggested or considered other than those previously discussed.</w:t>
      </w:r>
    </w:p>
    <w:p w:rsidR="009E13B5" w:rsidRPr="009E13B5" w:rsidRDefault="009E13B5" w:rsidP="009E13B5">
      <w:pPr>
        <w:rPr>
          <w:sz w:val="24"/>
          <w:szCs w:val="24"/>
        </w:rPr>
      </w:pPr>
    </w:p>
    <w:p w:rsidR="009E13B5" w:rsidRPr="001B1713" w:rsidRDefault="009E13B5" w:rsidP="009E13B5">
      <w:pPr>
        <w:pStyle w:val="PlainText"/>
        <w:spacing w:line="360" w:lineRule="auto"/>
        <w:ind w:firstLine="1440"/>
        <w:rPr>
          <w:rFonts w:ascii="Times New Roman" w:hAnsi="Times New Roman" w:cs="Times New Roman"/>
          <w:sz w:val="24"/>
          <w:szCs w:val="24"/>
        </w:rPr>
      </w:pPr>
      <w:r w:rsidRPr="009E13B5">
        <w:rPr>
          <w:rFonts w:ascii="Times New Roman" w:hAnsi="Times New Roman" w:cs="Times New Roman"/>
          <w:sz w:val="24"/>
          <w:szCs w:val="24"/>
        </w:rPr>
        <w:t>In any case in which a civil penalty is assessed, these ten factors must be</w:t>
      </w:r>
      <w:r w:rsidRPr="001B1713">
        <w:rPr>
          <w:rFonts w:ascii="Times New Roman" w:hAnsi="Times New Roman" w:cs="Times New Roman"/>
          <w:sz w:val="24"/>
          <w:szCs w:val="24"/>
        </w:rPr>
        <w:t xml:space="preserve"> considered when calculating </w:t>
      </w:r>
      <w:r>
        <w:rPr>
          <w:rFonts w:ascii="Times New Roman" w:hAnsi="Times New Roman" w:cs="Times New Roman"/>
          <w:sz w:val="24"/>
          <w:szCs w:val="24"/>
        </w:rPr>
        <w:t>the amount of the penalty.  Th</w:t>
      </w:r>
      <w:r w:rsidRPr="001B1713">
        <w:rPr>
          <w:rFonts w:ascii="Times New Roman" w:hAnsi="Times New Roman" w:cs="Times New Roman"/>
          <w:sz w:val="24"/>
          <w:szCs w:val="24"/>
        </w:rPr>
        <w:t xml:space="preserve">e factors are meant to ascertain, in general, how serious was the conduct and intention of the utility, how the individual consumer </w:t>
      </w:r>
      <w:r w:rsidRPr="001B1713">
        <w:rPr>
          <w:rFonts w:ascii="Times New Roman" w:hAnsi="Times New Roman" w:cs="Times New Roman"/>
          <w:sz w:val="24"/>
          <w:szCs w:val="24"/>
        </w:rPr>
        <w:lastRenderedPageBreak/>
        <w:t xml:space="preserve">was affected and how the utility’s conduct may bode </w:t>
      </w:r>
      <w:r>
        <w:rPr>
          <w:rFonts w:ascii="Times New Roman" w:hAnsi="Times New Roman" w:cs="Times New Roman"/>
          <w:sz w:val="24"/>
          <w:szCs w:val="24"/>
        </w:rPr>
        <w:t>for</w:t>
      </w:r>
      <w:r w:rsidRPr="001B1713">
        <w:rPr>
          <w:rFonts w:ascii="Times New Roman" w:hAnsi="Times New Roman" w:cs="Times New Roman"/>
          <w:sz w:val="24"/>
          <w:szCs w:val="24"/>
        </w:rPr>
        <w:t xml:space="preserve"> similar future situations.  In this proceeding, </w:t>
      </w:r>
      <w:r>
        <w:rPr>
          <w:rFonts w:ascii="Times New Roman" w:hAnsi="Times New Roman" w:cs="Times New Roman"/>
          <w:sz w:val="24"/>
          <w:szCs w:val="24"/>
        </w:rPr>
        <w:t>P</w:t>
      </w:r>
      <w:r w:rsidR="003E3A5D">
        <w:rPr>
          <w:rFonts w:ascii="Times New Roman" w:hAnsi="Times New Roman" w:cs="Times New Roman"/>
          <w:sz w:val="24"/>
          <w:szCs w:val="24"/>
        </w:rPr>
        <w:t>E</w:t>
      </w:r>
      <w:r>
        <w:rPr>
          <w:rFonts w:ascii="Times New Roman" w:hAnsi="Times New Roman" w:cs="Times New Roman"/>
          <w:sz w:val="24"/>
          <w:szCs w:val="24"/>
        </w:rPr>
        <w:t>CO’s</w:t>
      </w:r>
      <w:r w:rsidRPr="001B1713">
        <w:rPr>
          <w:rFonts w:ascii="Times New Roman" w:hAnsi="Times New Roman" w:cs="Times New Roman"/>
          <w:sz w:val="24"/>
          <w:szCs w:val="24"/>
        </w:rPr>
        <w:t xml:space="preserve"> actions</w:t>
      </w:r>
      <w:r>
        <w:rPr>
          <w:rFonts w:ascii="Times New Roman" w:hAnsi="Times New Roman" w:cs="Times New Roman"/>
          <w:sz w:val="24"/>
          <w:szCs w:val="24"/>
        </w:rPr>
        <w:t xml:space="preserve"> – to </w:t>
      </w:r>
      <w:r w:rsidR="0071023E">
        <w:rPr>
          <w:rFonts w:ascii="Times New Roman" w:hAnsi="Times New Roman" w:cs="Times New Roman"/>
          <w:sz w:val="24"/>
          <w:szCs w:val="24"/>
        </w:rPr>
        <w:t>open an account in Complainant’s name without verification, to refuse to remove her name from the account after presented with contrary evidence (i.e., leases), and to file negative credit reports against her name with the credit reporting agencies</w:t>
      </w:r>
      <w:r>
        <w:rPr>
          <w:rFonts w:ascii="Times New Roman" w:hAnsi="Times New Roman" w:cs="Times New Roman"/>
          <w:sz w:val="24"/>
          <w:szCs w:val="24"/>
        </w:rPr>
        <w:t xml:space="preserve"> –</w:t>
      </w:r>
      <w:r w:rsidRPr="001B1713">
        <w:rPr>
          <w:rFonts w:ascii="Times New Roman" w:hAnsi="Times New Roman" w:cs="Times New Roman"/>
          <w:sz w:val="24"/>
          <w:szCs w:val="24"/>
        </w:rPr>
        <w:t xml:space="preserve"> were serious and warrant a higher penalty.  </w:t>
      </w:r>
      <w:r>
        <w:rPr>
          <w:rFonts w:ascii="Times New Roman" w:hAnsi="Times New Roman" w:cs="Times New Roman"/>
          <w:sz w:val="24"/>
          <w:szCs w:val="24"/>
        </w:rPr>
        <w:t>PECO</w:t>
      </w:r>
      <w:r w:rsidRPr="001B1713">
        <w:rPr>
          <w:rFonts w:ascii="Times New Roman" w:hAnsi="Times New Roman" w:cs="Times New Roman"/>
          <w:sz w:val="24"/>
          <w:szCs w:val="24"/>
        </w:rPr>
        <w:t xml:space="preserve"> </w:t>
      </w:r>
      <w:r>
        <w:rPr>
          <w:rFonts w:ascii="Times New Roman" w:hAnsi="Times New Roman" w:cs="Times New Roman"/>
          <w:sz w:val="24"/>
          <w:szCs w:val="24"/>
        </w:rPr>
        <w:t xml:space="preserve">caused </w:t>
      </w:r>
      <w:r w:rsidRPr="001B1713">
        <w:rPr>
          <w:rFonts w:ascii="Times New Roman" w:hAnsi="Times New Roman" w:cs="Times New Roman"/>
          <w:sz w:val="24"/>
          <w:szCs w:val="24"/>
        </w:rPr>
        <w:t xml:space="preserve">incorrect, adverse information to </w:t>
      </w:r>
      <w:r>
        <w:rPr>
          <w:rFonts w:ascii="Times New Roman" w:hAnsi="Times New Roman" w:cs="Times New Roman"/>
          <w:sz w:val="24"/>
          <w:szCs w:val="24"/>
        </w:rPr>
        <w:t>be placed on Complainant’s credit rating report with the credit reporting agencies</w:t>
      </w:r>
      <w:r w:rsidRPr="001B1713">
        <w:rPr>
          <w:rFonts w:ascii="Times New Roman" w:hAnsi="Times New Roman" w:cs="Times New Roman"/>
          <w:sz w:val="24"/>
          <w:szCs w:val="24"/>
        </w:rPr>
        <w:t xml:space="preserve">.    </w:t>
      </w:r>
    </w:p>
    <w:p w:rsidR="009E13B5" w:rsidRPr="001B1713" w:rsidRDefault="009E13B5" w:rsidP="009E13B5">
      <w:pPr>
        <w:pStyle w:val="PlainText"/>
        <w:spacing w:line="360" w:lineRule="auto"/>
        <w:rPr>
          <w:rFonts w:ascii="Times New Roman" w:hAnsi="Times New Roman" w:cs="Times New Roman"/>
          <w:sz w:val="24"/>
          <w:szCs w:val="24"/>
        </w:rPr>
      </w:pPr>
    </w:p>
    <w:p w:rsidR="009E13B5" w:rsidRPr="001B1713" w:rsidRDefault="0071023E" w:rsidP="009E13B5">
      <w:pPr>
        <w:pStyle w:val="PlainText"/>
        <w:spacing w:line="360" w:lineRule="auto"/>
        <w:ind w:firstLine="1440"/>
        <w:rPr>
          <w:rFonts w:ascii="Times New Roman" w:hAnsi="Times New Roman" w:cs="Times New Roman"/>
          <w:sz w:val="24"/>
          <w:szCs w:val="24"/>
        </w:rPr>
      </w:pPr>
      <w:r>
        <w:rPr>
          <w:rFonts w:ascii="Times New Roman" w:hAnsi="Times New Roman" w:cs="Times New Roman"/>
          <w:sz w:val="24"/>
          <w:szCs w:val="24"/>
        </w:rPr>
        <w:t>A</w:t>
      </w:r>
      <w:r w:rsidR="009E13B5" w:rsidRPr="001B1713">
        <w:rPr>
          <w:rFonts w:ascii="Times New Roman" w:hAnsi="Times New Roman" w:cs="Times New Roman"/>
          <w:sz w:val="24"/>
          <w:szCs w:val="24"/>
        </w:rPr>
        <w:t xml:space="preserve"> civil penalty is necessary to deter similar future violations, especially in light of the serious consequences </w:t>
      </w:r>
      <w:r w:rsidR="009E13B5">
        <w:rPr>
          <w:rFonts w:ascii="Times New Roman" w:hAnsi="Times New Roman" w:cs="Times New Roman"/>
          <w:sz w:val="24"/>
          <w:szCs w:val="24"/>
        </w:rPr>
        <w:t>caused by PECO</w:t>
      </w:r>
      <w:r w:rsidR="009E13B5" w:rsidRPr="001B1713">
        <w:rPr>
          <w:rFonts w:ascii="Times New Roman" w:hAnsi="Times New Roman" w:cs="Times New Roman"/>
          <w:sz w:val="24"/>
          <w:szCs w:val="24"/>
        </w:rPr>
        <w:t xml:space="preserve"> adversely impacting a</w:t>
      </w:r>
      <w:r w:rsidR="009E13B5">
        <w:rPr>
          <w:rFonts w:ascii="Times New Roman" w:hAnsi="Times New Roman" w:cs="Times New Roman"/>
          <w:sz w:val="24"/>
          <w:szCs w:val="24"/>
        </w:rPr>
        <w:t xml:space="preserve"> ratepayer’s</w:t>
      </w:r>
      <w:r w:rsidR="009E13B5" w:rsidRPr="001B1713">
        <w:rPr>
          <w:rFonts w:ascii="Times New Roman" w:hAnsi="Times New Roman" w:cs="Times New Roman"/>
          <w:sz w:val="24"/>
          <w:szCs w:val="24"/>
        </w:rPr>
        <w:t xml:space="preserve"> credit report.  The evidence presented and taken as a whole proves a civil penalty is necessary to deter future violations.  Therefore, I am assessing a </w:t>
      </w:r>
      <w:r>
        <w:rPr>
          <w:rFonts w:ascii="Times New Roman" w:hAnsi="Times New Roman" w:cs="Times New Roman"/>
          <w:sz w:val="24"/>
          <w:szCs w:val="24"/>
        </w:rPr>
        <w:t xml:space="preserve">One Thousand </w:t>
      </w:r>
      <w:r w:rsidR="009E13B5">
        <w:rPr>
          <w:rFonts w:ascii="Times New Roman" w:hAnsi="Times New Roman" w:cs="Times New Roman"/>
          <w:sz w:val="24"/>
          <w:szCs w:val="24"/>
        </w:rPr>
        <w:t>D</w:t>
      </w:r>
      <w:r w:rsidR="009E13B5" w:rsidRPr="001B1713">
        <w:rPr>
          <w:rFonts w:ascii="Times New Roman" w:hAnsi="Times New Roman" w:cs="Times New Roman"/>
          <w:sz w:val="24"/>
          <w:szCs w:val="24"/>
        </w:rPr>
        <w:t>ollar ($</w:t>
      </w:r>
      <w:r>
        <w:rPr>
          <w:rFonts w:ascii="Times New Roman" w:hAnsi="Times New Roman" w:cs="Times New Roman"/>
          <w:sz w:val="24"/>
          <w:szCs w:val="24"/>
        </w:rPr>
        <w:t>1,000.00</w:t>
      </w:r>
      <w:r w:rsidR="009E13B5" w:rsidRPr="001B1713">
        <w:rPr>
          <w:rFonts w:ascii="Times New Roman" w:hAnsi="Times New Roman" w:cs="Times New Roman"/>
          <w:sz w:val="24"/>
          <w:szCs w:val="24"/>
        </w:rPr>
        <w:t>) civil penalty against Respondent</w:t>
      </w:r>
      <w:r w:rsidR="009E13B5">
        <w:rPr>
          <w:rFonts w:ascii="Times New Roman" w:hAnsi="Times New Roman" w:cs="Times New Roman"/>
          <w:sz w:val="24"/>
          <w:szCs w:val="24"/>
        </w:rPr>
        <w:t xml:space="preserve">.  This penalty </w:t>
      </w:r>
      <w:r w:rsidR="009E13B5" w:rsidRPr="001B1713">
        <w:rPr>
          <w:rFonts w:ascii="Times New Roman" w:hAnsi="Times New Roman" w:cs="Times New Roman"/>
          <w:sz w:val="24"/>
          <w:szCs w:val="24"/>
        </w:rPr>
        <w:t xml:space="preserve">takes into consideration Respondent’s </w:t>
      </w:r>
      <w:r w:rsidR="009E13B5">
        <w:rPr>
          <w:rFonts w:ascii="Times New Roman" w:hAnsi="Times New Roman" w:cs="Times New Roman"/>
          <w:sz w:val="24"/>
          <w:szCs w:val="24"/>
        </w:rPr>
        <w:t>failure</w:t>
      </w:r>
      <w:r w:rsidR="009E13B5" w:rsidRPr="001B1713">
        <w:rPr>
          <w:rFonts w:ascii="Times New Roman" w:hAnsi="Times New Roman" w:cs="Times New Roman"/>
          <w:sz w:val="24"/>
          <w:szCs w:val="24"/>
        </w:rPr>
        <w:t xml:space="preserve"> to</w:t>
      </w:r>
      <w:r w:rsidR="009E13B5">
        <w:rPr>
          <w:rFonts w:ascii="Times New Roman" w:hAnsi="Times New Roman" w:cs="Times New Roman"/>
          <w:sz w:val="24"/>
          <w:szCs w:val="24"/>
        </w:rPr>
        <w:t xml:space="preserve"> correct the error, acknowledge its responsibility to correct the error, and its failure to verify the accuracy of the information received from the landlords.  </w:t>
      </w:r>
      <w:r w:rsidR="009E13B5" w:rsidRPr="001B1713">
        <w:rPr>
          <w:rFonts w:ascii="Times New Roman" w:hAnsi="Times New Roman" w:cs="Times New Roman"/>
          <w:sz w:val="24"/>
          <w:szCs w:val="24"/>
        </w:rPr>
        <w:t xml:space="preserve">     </w:t>
      </w:r>
    </w:p>
    <w:p w:rsidR="009E13B5" w:rsidRPr="006E0E7F" w:rsidRDefault="009E13B5" w:rsidP="009E13B5">
      <w:pPr>
        <w:pStyle w:val="BodyText"/>
        <w:ind w:firstLine="1440"/>
        <w:jc w:val="left"/>
        <w:rPr>
          <w:sz w:val="24"/>
          <w:szCs w:val="24"/>
        </w:rPr>
      </w:pPr>
    </w:p>
    <w:p w:rsidR="009E13B5" w:rsidRPr="006E0E7F" w:rsidRDefault="009E13B5" w:rsidP="009E13B5">
      <w:pPr>
        <w:pStyle w:val="BodyText"/>
        <w:ind w:firstLine="1440"/>
        <w:jc w:val="left"/>
        <w:rPr>
          <w:sz w:val="24"/>
          <w:szCs w:val="24"/>
        </w:rPr>
      </w:pPr>
      <w:r w:rsidRPr="006E0E7F">
        <w:rPr>
          <w:sz w:val="24"/>
          <w:szCs w:val="24"/>
        </w:rPr>
        <w:t>Accordingly the complaint is sustained in the ordering paragraphs below</w:t>
      </w:r>
      <w:r>
        <w:rPr>
          <w:sz w:val="24"/>
          <w:szCs w:val="24"/>
        </w:rPr>
        <w:t xml:space="preserve"> and Respondent is ordered to pay a civil penalty</w:t>
      </w:r>
      <w:r w:rsidRPr="006E0E7F">
        <w:rPr>
          <w:sz w:val="24"/>
          <w:szCs w:val="24"/>
        </w:rPr>
        <w:t xml:space="preserve">. </w:t>
      </w:r>
    </w:p>
    <w:p w:rsidR="006C2C49" w:rsidRPr="00973248" w:rsidRDefault="006C2C49" w:rsidP="006C2C49">
      <w:pPr>
        <w:spacing w:line="240" w:lineRule="auto"/>
        <w:rPr>
          <w:sz w:val="24"/>
          <w:szCs w:val="24"/>
          <w:u w:val="single"/>
        </w:rPr>
      </w:pPr>
    </w:p>
    <w:p w:rsidR="00973248" w:rsidRPr="00973248" w:rsidRDefault="00973248" w:rsidP="006C2C49">
      <w:pPr>
        <w:spacing w:line="240" w:lineRule="auto"/>
        <w:rPr>
          <w:sz w:val="24"/>
          <w:szCs w:val="24"/>
          <w:u w:val="single"/>
        </w:rPr>
      </w:pPr>
    </w:p>
    <w:p w:rsidR="006C2C49" w:rsidRPr="00973248" w:rsidRDefault="006C2C49" w:rsidP="006C2C49">
      <w:pPr>
        <w:pStyle w:val="Heading1"/>
        <w:spacing w:line="360" w:lineRule="auto"/>
        <w:rPr>
          <w:sz w:val="24"/>
          <w:szCs w:val="24"/>
        </w:rPr>
      </w:pPr>
      <w:r w:rsidRPr="00973248">
        <w:rPr>
          <w:sz w:val="24"/>
          <w:szCs w:val="24"/>
        </w:rPr>
        <w:t>CONCLUSIONS OF LAW</w:t>
      </w:r>
    </w:p>
    <w:p w:rsidR="006C2C49" w:rsidRPr="00973248" w:rsidRDefault="006C2C49" w:rsidP="006C2C49">
      <w:pPr>
        <w:rPr>
          <w:sz w:val="24"/>
          <w:szCs w:val="24"/>
        </w:rPr>
      </w:pPr>
    </w:p>
    <w:p w:rsidR="006C2C49" w:rsidRPr="00973248" w:rsidRDefault="00E31737" w:rsidP="006C2C49">
      <w:pPr>
        <w:numPr>
          <w:ilvl w:val="0"/>
          <w:numId w:val="2"/>
        </w:numPr>
        <w:tabs>
          <w:tab w:val="clear" w:pos="1440"/>
          <w:tab w:val="num" w:pos="2160"/>
        </w:tabs>
        <w:ind w:left="0" w:firstLine="1440"/>
        <w:rPr>
          <w:sz w:val="24"/>
          <w:szCs w:val="24"/>
        </w:rPr>
      </w:pPr>
      <w:r w:rsidRPr="00973248">
        <w:rPr>
          <w:sz w:val="24"/>
          <w:szCs w:val="24"/>
        </w:rPr>
        <w:t>That the</w:t>
      </w:r>
      <w:r w:rsidR="006C2C49" w:rsidRPr="00973248">
        <w:rPr>
          <w:sz w:val="24"/>
          <w:szCs w:val="24"/>
        </w:rPr>
        <w:t xml:space="preserve"> Commission has jurisdiction over the parties to and subje</w:t>
      </w:r>
      <w:r w:rsidR="0071023E">
        <w:rPr>
          <w:sz w:val="24"/>
          <w:szCs w:val="24"/>
        </w:rPr>
        <w:t xml:space="preserve">ct matter of this case.  </w:t>
      </w:r>
      <w:proofErr w:type="gramStart"/>
      <w:r w:rsidR="0071023E">
        <w:rPr>
          <w:sz w:val="24"/>
          <w:szCs w:val="24"/>
        </w:rPr>
        <w:t xml:space="preserve">66 </w:t>
      </w:r>
      <w:proofErr w:type="spellStart"/>
      <w:r w:rsidR="0071023E">
        <w:rPr>
          <w:sz w:val="24"/>
          <w:szCs w:val="24"/>
        </w:rPr>
        <w:t>Pa.</w:t>
      </w:r>
      <w:r w:rsidR="006C2C49" w:rsidRPr="00973248">
        <w:rPr>
          <w:sz w:val="24"/>
          <w:szCs w:val="24"/>
        </w:rPr>
        <w:t>C.S.</w:t>
      </w:r>
      <w:r w:rsidR="0071023E">
        <w:rPr>
          <w:sz w:val="24"/>
          <w:szCs w:val="24"/>
        </w:rPr>
        <w:t>A</w:t>
      </w:r>
      <w:proofErr w:type="spellEnd"/>
      <w:r w:rsidR="0071023E">
        <w:rPr>
          <w:sz w:val="24"/>
          <w:szCs w:val="24"/>
        </w:rPr>
        <w:t>.</w:t>
      </w:r>
      <w:proofErr w:type="gramEnd"/>
      <w:r w:rsidR="006C2C49" w:rsidRPr="00973248">
        <w:rPr>
          <w:sz w:val="24"/>
          <w:szCs w:val="24"/>
        </w:rPr>
        <w:t xml:space="preserve"> §</w:t>
      </w:r>
      <w:r w:rsidR="0071023E">
        <w:rPr>
          <w:sz w:val="24"/>
          <w:szCs w:val="24"/>
        </w:rPr>
        <w:t xml:space="preserve"> </w:t>
      </w:r>
      <w:r w:rsidR="006C2C49" w:rsidRPr="00973248">
        <w:rPr>
          <w:sz w:val="24"/>
          <w:szCs w:val="24"/>
        </w:rPr>
        <w:t>701.</w:t>
      </w:r>
    </w:p>
    <w:p w:rsidR="006C2C49" w:rsidRPr="00B73D10" w:rsidRDefault="006C2C49" w:rsidP="006C2C49">
      <w:pPr>
        <w:rPr>
          <w:sz w:val="24"/>
          <w:szCs w:val="24"/>
        </w:rPr>
      </w:pPr>
    </w:p>
    <w:p w:rsidR="006C2C49" w:rsidRDefault="00E31737" w:rsidP="006C2C49">
      <w:pPr>
        <w:numPr>
          <w:ilvl w:val="0"/>
          <w:numId w:val="2"/>
        </w:numPr>
        <w:tabs>
          <w:tab w:val="clear" w:pos="1440"/>
          <w:tab w:val="left" w:pos="0"/>
        </w:tabs>
        <w:ind w:left="0" w:firstLine="1440"/>
        <w:rPr>
          <w:sz w:val="24"/>
          <w:szCs w:val="24"/>
        </w:rPr>
      </w:pPr>
      <w:r>
        <w:rPr>
          <w:sz w:val="24"/>
          <w:szCs w:val="24"/>
        </w:rPr>
        <w:t xml:space="preserve">That </w:t>
      </w:r>
      <w:r w:rsidR="006C2C49" w:rsidRPr="00B73D10">
        <w:rPr>
          <w:sz w:val="24"/>
          <w:szCs w:val="24"/>
        </w:rPr>
        <w:t>Complainant has the burden of proving Respondent is not providing reasonabl</w:t>
      </w:r>
      <w:r w:rsidR="0071023E">
        <w:rPr>
          <w:sz w:val="24"/>
          <w:szCs w:val="24"/>
        </w:rPr>
        <w:t xml:space="preserve">e and adequate service.  </w:t>
      </w:r>
      <w:proofErr w:type="gramStart"/>
      <w:r w:rsidR="0071023E">
        <w:rPr>
          <w:sz w:val="24"/>
          <w:szCs w:val="24"/>
        </w:rPr>
        <w:t xml:space="preserve">66 </w:t>
      </w:r>
      <w:proofErr w:type="spellStart"/>
      <w:r w:rsidR="0071023E">
        <w:rPr>
          <w:sz w:val="24"/>
          <w:szCs w:val="24"/>
        </w:rPr>
        <w:t>Pa.</w:t>
      </w:r>
      <w:r w:rsidR="006C2C49" w:rsidRPr="00B73D10">
        <w:rPr>
          <w:sz w:val="24"/>
          <w:szCs w:val="24"/>
        </w:rPr>
        <w:t>C.S.A</w:t>
      </w:r>
      <w:proofErr w:type="spellEnd"/>
      <w:r w:rsidR="006C2C49" w:rsidRPr="00B73D10">
        <w:rPr>
          <w:sz w:val="24"/>
          <w:szCs w:val="24"/>
        </w:rPr>
        <w:t>.</w:t>
      </w:r>
      <w:proofErr w:type="gramEnd"/>
      <w:r w:rsidR="006C2C49" w:rsidRPr="00B73D10">
        <w:rPr>
          <w:sz w:val="24"/>
          <w:szCs w:val="24"/>
        </w:rPr>
        <w:t xml:space="preserve"> §</w:t>
      </w:r>
      <w:r w:rsidR="0071023E">
        <w:rPr>
          <w:sz w:val="24"/>
          <w:szCs w:val="24"/>
        </w:rPr>
        <w:t xml:space="preserve"> </w:t>
      </w:r>
      <w:r w:rsidR="006C2C49" w:rsidRPr="00B73D10">
        <w:rPr>
          <w:sz w:val="24"/>
          <w:szCs w:val="24"/>
        </w:rPr>
        <w:t>332(a).</w:t>
      </w:r>
    </w:p>
    <w:p w:rsidR="006C2C49" w:rsidRDefault="006C2C49" w:rsidP="006C2C49">
      <w:pPr>
        <w:pStyle w:val="ListParagraph"/>
        <w:rPr>
          <w:sz w:val="24"/>
          <w:szCs w:val="24"/>
        </w:rPr>
      </w:pPr>
    </w:p>
    <w:p w:rsidR="006C2C49" w:rsidRPr="00325EB8" w:rsidRDefault="006C2C49" w:rsidP="006C2C49">
      <w:pPr>
        <w:tabs>
          <w:tab w:val="left" w:pos="0"/>
        </w:tabs>
        <w:rPr>
          <w:sz w:val="24"/>
          <w:szCs w:val="24"/>
        </w:rPr>
      </w:pPr>
      <w:r w:rsidRPr="00B73D10">
        <w:rPr>
          <w:sz w:val="24"/>
          <w:szCs w:val="24"/>
        </w:rPr>
        <w:tab/>
      </w:r>
      <w:r w:rsidRPr="00B73D10">
        <w:rPr>
          <w:sz w:val="24"/>
          <w:szCs w:val="24"/>
        </w:rPr>
        <w:tab/>
        <w:t>3.</w:t>
      </w:r>
      <w:r w:rsidRPr="00B73D10">
        <w:rPr>
          <w:sz w:val="24"/>
          <w:szCs w:val="24"/>
        </w:rPr>
        <w:tab/>
      </w:r>
      <w:r w:rsidR="00E31737">
        <w:rPr>
          <w:sz w:val="24"/>
          <w:szCs w:val="24"/>
        </w:rPr>
        <w:t xml:space="preserve">That </w:t>
      </w:r>
      <w:r w:rsidRPr="00B73D10">
        <w:rPr>
          <w:sz w:val="24"/>
          <w:szCs w:val="24"/>
        </w:rPr>
        <w:t xml:space="preserve">Complainant </w:t>
      </w:r>
      <w:r w:rsidR="00E555CB">
        <w:rPr>
          <w:sz w:val="24"/>
          <w:szCs w:val="24"/>
        </w:rPr>
        <w:t>m</w:t>
      </w:r>
      <w:r w:rsidR="00F022CE">
        <w:rPr>
          <w:sz w:val="24"/>
          <w:szCs w:val="24"/>
        </w:rPr>
        <w:t>e</w:t>
      </w:r>
      <w:r w:rsidRPr="00B73D10">
        <w:rPr>
          <w:sz w:val="24"/>
          <w:szCs w:val="24"/>
        </w:rPr>
        <w:t xml:space="preserve">t the burden of proving </w:t>
      </w:r>
      <w:r w:rsidR="00074986">
        <w:rPr>
          <w:sz w:val="24"/>
          <w:szCs w:val="24"/>
        </w:rPr>
        <w:t>s</w:t>
      </w:r>
      <w:r w:rsidRPr="00B73D10">
        <w:rPr>
          <w:sz w:val="24"/>
          <w:szCs w:val="24"/>
        </w:rPr>
        <w:t>he was</w:t>
      </w:r>
      <w:r w:rsidR="00074986">
        <w:rPr>
          <w:sz w:val="24"/>
          <w:szCs w:val="24"/>
        </w:rPr>
        <w:t xml:space="preserve"> </w:t>
      </w:r>
      <w:r w:rsidRPr="00B73D10">
        <w:rPr>
          <w:sz w:val="24"/>
          <w:szCs w:val="24"/>
        </w:rPr>
        <w:t xml:space="preserve">charged </w:t>
      </w:r>
      <w:r w:rsidR="00074986">
        <w:rPr>
          <w:sz w:val="24"/>
          <w:szCs w:val="24"/>
        </w:rPr>
        <w:t xml:space="preserve">inappropriately and unreasonably </w:t>
      </w:r>
      <w:r w:rsidRPr="00B73D10">
        <w:rPr>
          <w:sz w:val="24"/>
          <w:szCs w:val="24"/>
        </w:rPr>
        <w:t xml:space="preserve">for electric utility service </w:t>
      </w:r>
      <w:r w:rsidR="00074986">
        <w:rPr>
          <w:sz w:val="24"/>
          <w:szCs w:val="24"/>
        </w:rPr>
        <w:t>which Respondent did not provide to her or for her benefit</w:t>
      </w:r>
      <w:r w:rsidRPr="00325EB8">
        <w:rPr>
          <w:sz w:val="24"/>
          <w:szCs w:val="24"/>
        </w:rPr>
        <w:t xml:space="preserve">.  </w:t>
      </w:r>
    </w:p>
    <w:p w:rsidR="006C2C49" w:rsidRDefault="006C2C49" w:rsidP="006C2C49">
      <w:pPr>
        <w:tabs>
          <w:tab w:val="left" w:pos="0"/>
        </w:tabs>
        <w:rPr>
          <w:sz w:val="24"/>
          <w:szCs w:val="24"/>
        </w:rPr>
      </w:pPr>
    </w:p>
    <w:p w:rsidR="00E31737" w:rsidRDefault="00E31737" w:rsidP="006C2C49">
      <w:pPr>
        <w:tabs>
          <w:tab w:val="left" w:pos="0"/>
        </w:tabs>
        <w:rPr>
          <w:sz w:val="24"/>
          <w:szCs w:val="24"/>
        </w:rPr>
      </w:pPr>
      <w:r>
        <w:rPr>
          <w:sz w:val="24"/>
          <w:szCs w:val="24"/>
        </w:rPr>
        <w:lastRenderedPageBreak/>
        <w:tab/>
      </w:r>
      <w:r>
        <w:rPr>
          <w:sz w:val="24"/>
          <w:szCs w:val="24"/>
        </w:rPr>
        <w:tab/>
        <w:t>4.</w:t>
      </w:r>
      <w:r>
        <w:rPr>
          <w:sz w:val="24"/>
          <w:szCs w:val="24"/>
        </w:rPr>
        <w:tab/>
        <w:t xml:space="preserve">That Complainant met the burden of proving PECO Energy Company did not provide reasonable and adequate customer service.  </w:t>
      </w:r>
      <w:proofErr w:type="gramStart"/>
      <w:r w:rsidR="00074986">
        <w:rPr>
          <w:sz w:val="24"/>
          <w:szCs w:val="24"/>
        </w:rPr>
        <w:t xml:space="preserve">66 </w:t>
      </w:r>
      <w:proofErr w:type="spellStart"/>
      <w:r w:rsidR="00074986">
        <w:rPr>
          <w:sz w:val="24"/>
          <w:szCs w:val="24"/>
        </w:rPr>
        <w:t>Pa.</w:t>
      </w:r>
      <w:r w:rsidRPr="00B73D10">
        <w:rPr>
          <w:sz w:val="24"/>
          <w:szCs w:val="24"/>
        </w:rPr>
        <w:t>C.S.A</w:t>
      </w:r>
      <w:proofErr w:type="spellEnd"/>
      <w:r w:rsidRPr="00B73D10">
        <w:rPr>
          <w:sz w:val="24"/>
          <w:szCs w:val="24"/>
        </w:rPr>
        <w:t>.</w:t>
      </w:r>
      <w:proofErr w:type="gramEnd"/>
      <w:r w:rsidRPr="00B73D10">
        <w:rPr>
          <w:sz w:val="24"/>
          <w:szCs w:val="24"/>
        </w:rPr>
        <w:t xml:space="preserve"> §</w:t>
      </w:r>
      <w:r w:rsidR="00074986">
        <w:rPr>
          <w:sz w:val="24"/>
          <w:szCs w:val="24"/>
        </w:rPr>
        <w:t xml:space="preserve"> </w:t>
      </w:r>
      <w:r w:rsidRPr="00B73D10">
        <w:rPr>
          <w:sz w:val="24"/>
          <w:szCs w:val="24"/>
        </w:rPr>
        <w:t>332(a)</w:t>
      </w:r>
      <w:r w:rsidR="00074986">
        <w:rPr>
          <w:sz w:val="24"/>
          <w:szCs w:val="24"/>
        </w:rPr>
        <w:t xml:space="preserve"> and 66 </w:t>
      </w:r>
      <w:proofErr w:type="spellStart"/>
      <w:r w:rsidR="00074986">
        <w:rPr>
          <w:sz w:val="24"/>
          <w:szCs w:val="24"/>
        </w:rPr>
        <w:t>Pa.</w:t>
      </w:r>
      <w:r w:rsidR="007A37F2">
        <w:rPr>
          <w:sz w:val="24"/>
          <w:szCs w:val="24"/>
        </w:rPr>
        <w:t>C.S.A</w:t>
      </w:r>
      <w:proofErr w:type="spellEnd"/>
      <w:r w:rsidRPr="00B73D10">
        <w:rPr>
          <w:sz w:val="24"/>
          <w:szCs w:val="24"/>
        </w:rPr>
        <w:t>.</w:t>
      </w:r>
      <w:r w:rsidR="007A37F2">
        <w:rPr>
          <w:sz w:val="24"/>
          <w:szCs w:val="24"/>
        </w:rPr>
        <w:t xml:space="preserve"> §</w:t>
      </w:r>
      <w:r w:rsidR="00074986">
        <w:rPr>
          <w:sz w:val="24"/>
          <w:szCs w:val="24"/>
        </w:rPr>
        <w:t xml:space="preserve"> </w:t>
      </w:r>
      <w:r w:rsidR="007A37F2">
        <w:rPr>
          <w:sz w:val="24"/>
          <w:szCs w:val="24"/>
        </w:rPr>
        <w:t>1501.</w:t>
      </w:r>
    </w:p>
    <w:p w:rsidR="00E31737" w:rsidRPr="00325EB8" w:rsidRDefault="00E31737" w:rsidP="006C2C49">
      <w:pPr>
        <w:tabs>
          <w:tab w:val="left" w:pos="0"/>
        </w:tabs>
        <w:rPr>
          <w:sz w:val="24"/>
          <w:szCs w:val="24"/>
        </w:rPr>
      </w:pPr>
    </w:p>
    <w:p w:rsidR="006C2C49" w:rsidRPr="00325EB8" w:rsidRDefault="006C2C49" w:rsidP="00E31737">
      <w:pPr>
        <w:suppressAutoHyphens/>
        <w:rPr>
          <w:sz w:val="24"/>
          <w:szCs w:val="24"/>
        </w:rPr>
      </w:pPr>
      <w:r w:rsidRPr="00325EB8">
        <w:rPr>
          <w:sz w:val="24"/>
          <w:szCs w:val="24"/>
        </w:rPr>
        <w:tab/>
      </w:r>
      <w:r w:rsidRPr="00325EB8">
        <w:rPr>
          <w:sz w:val="24"/>
          <w:szCs w:val="24"/>
        </w:rPr>
        <w:tab/>
      </w:r>
      <w:r w:rsidR="00E31737">
        <w:rPr>
          <w:sz w:val="24"/>
          <w:szCs w:val="24"/>
        </w:rPr>
        <w:t>5</w:t>
      </w:r>
      <w:r w:rsidRPr="00325EB8">
        <w:rPr>
          <w:sz w:val="24"/>
          <w:szCs w:val="24"/>
        </w:rPr>
        <w:t>.</w:t>
      </w:r>
      <w:r w:rsidRPr="00325EB8">
        <w:rPr>
          <w:sz w:val="24"/>
          <w:szCs w:val="24"/>
        </w:rPr>
        <w:tab/>
      </w:r>
      <w:r w:rsidR="00E31737">
        <w:rPr>
          <w:sz w:val="24"/>
          <w:szCs w:val="24"/>
        </w:rPr>
        <w:t xml:space="preserve">That </w:t>
      </w:r>
      <w:r w:rsidR="00074986">
        <w:rPr>
          <w:sz w:val="24"/>
          <w:szCs w:val="24"/>
        </w:rPr>
        <w:t xml:space="preserve">a civil penalty is appropriate as PECO Energy Company violated the </w:t>
      </w:r>
      <w:r w:rsidR="00E31737">
        <w:rPr>
          <w:sz w:val="24"/>
          <w:szCs w:val="24"/>
        </w:rPr>
        <w:t>Public Utility Code.</w:t>
      </w:r>
    </w:p>
    <w:p w:rsidR="006C2C49" w:rsidRPr="00325EB8" w:rsidRDefault="006C2C49" w:rsidP="006C2C49">
      <w:pPr>
        <w:tabs>
          <w:tab w:val="left" w:pos="0"/>
        </w:tabs>
        <w:rPr>
          <w:sz w:val="24"/>
          <w:szCs w:val="24"/>
        </w:rPr>
      </w:pPr>
    </w:p>
    <w:p w:rsidR="006C2C49" w:rsidRPr="00325EB8" w:rsidRDefault="006C2C49" w:rsidP="006C2C49">
      <w:pPr>
        <w:jc w:val="center"/>
        <w:rPr>
          <w:sz w:val="24"/>
          <w:szCs w:val="24"/>
          <w:u w:val="single"/>
        </w:rPr>
      </w:pPr>
      <w:r w:rsidRPr="00325EB8">
        <w:rPr>
          <w:sz w:val="24"/>
          <w:szCs w:val="24"/>
          <w:u w:val="single"/>
        </w:rPr>
        <w:t>ORDER</w:t>
      </w:r>
    </w:p>
    <w:p w:rsidR="006C2C49" w:rsidRPr="00325EB8" w:rsidRDefault="006C2C49" w:rsidP="006C2C49">
      <w:pPr>
        <w:jc w:val="center"/>
        <w:rPr>
          <w:sz w:val="24"/>
          <w:szCs w:val="24"/>
        </w:rPr>
      </w:pPr>
    </w:p>
    <w:p w:rsidR="006C2C49" w:rsidRPr="00325EB8" w:rsidRDefault="006C2C49" w:rsidP="006C2C49">
      <w:pPr>
        <w:rPr>
          <w:sz w:val="24"/>
          <w:szCs w:val="24"/>
        </w:rPr>
      </w:pPr>
    </w:p>
    <w:p w:rsidR="006C2C49" w:rsidRPr="00325EB8" w:rsidRDefault="006C2C49" w:rsidP="006C2C49">
      <w:pPr>
        <w:rPr>
          <w:sz w:val="24"/>
          <w:szCs w:val="24"/>
        </w:rPr>
      </w:pPr>
      <w:r w:rsidRPr="00325EB8">
        <w:rPr>
          <w:sz w:val="24"/>
          <w:szCs w:val="24"/>
        </w:rPr>
        <w:tab/>
      </w:r>
      <w:r w:rsidRPr="00325EB8">
        <w:rPr>
          <w:sz w:val="24"/>
          <w:szCs w:val="24"/>
        </w:rPr>
        <w:tab/>
        <w:t>THEREFORE,</w:t>
      </w:r>
    </w:p>
    <w:p w:rsidR="006C2C49" w:rsidRPr="00325EB8" w:rsidRDefault="006C2C49" w:rsidP="006C2C49">
      <w:pPr>
        <w:rPr>
          <w:sz w:val="24"/>
          <w:szCs w:val="24"/>
        </w:rPr>
      </w:pPr>
    </w:p>
    <w:p w:rsidR="006C2C49" w:rsidRPr="00325EB8" w:rsidRDefault="006C2C49" w:rsidP="006C2C49">
      <w:pPr>
        <w:rPr>
          <w:sz w:val="24"/>
          <w:szCs w:val="24"/>
        </w:rPr>
      </w:pPr>
      <w:r w:rsidRPr="00325EB8">
        <w:rPr>
          <w:sz w:val="24"/>
          <w:szCs w:val="24"/>
        </w:rPr>
        <w:tab/>
      </w:r>
      <w:r w:rsidRPr="00325EB8">
        <w:rPr>
          <w:sz w:val="24"/>
          <w:szCs w:val="24"/>
        </w:rPr>
        <w:tab/>
        <w:t>IT IS ORDERED:</w:t>
      </w:r>
    </w:p>
    <w:p w:rsidR="006C2C49" w:rsidRPr="00325EB8" w:rsidRDefault="006C2C49" w:rsidP="006C2C49">
      <w:pPr>
        <w:rPr>
          <w:sz w:val="24"/>
          <w:szCs w:val="24"/>
        </w:rPr>
      </w:pPr>
    </w:p>
    <w:p w:rsidR="006C2C49" w:rsidRPr="000E4D0E" w:rsidRDefault="006C2C49" w:rsidP="00F418AB">
      <w:pPr>
        <w:pStyle w:val="ListParagraph"/>
        <w:numPr>
          <w:ilvl w:val="0"/>
          <w:numId w:val="15"/>
        </w:numPr>
        <w:ind w:left="0" w:firstLine="1440"/>
        <w:rPr>
          <w:sz w:val="24"/>
          <w:szCs w:val="24"/>
        </w:rPr>
      </w:pPr>
      <w:r w:rsidRPr="000E4D0E">
        <w:rPr>
          <w:sz w:val="24"/>
          <w:szCs w:val="24"/>
        </w:rPr>
        <w:t xml:space="preserve">That the complaint of </w:t>
      </w:r>
      <w:r w:rsidR="00074986" w:rsidRPr="000E4D0E">
        <w:rPr>
          <w:sz w:val="24"/>
          <w:szCs w:val="24"/>
        </w:rPr>
        <w:t>Stephanie Hallman</w:t>
      </w:r>
      <w:r w:rsidRPr="000E4D0E">
        <w:rPr>
          <w:sz w:val="24"/>
          <w:szCs w:val="24"/>
        </w:rPr>
        <w:t xml:space="preserve"> versus </w:t>
      </w:r>
      <w:r w:rsidR="00F022CE" w:rsidRPr="000E4D0E">
        <w:rPr>
          <w:sz w:val="24"/>
          <w:szCs w:val="24"/>
        </w:rPr>
        <w:t>PECO Energy</w:t>
      </w:r>
      <w:r w:rsidRPr="000E4D0E">
        <w:rPr>
          <w:sz w:val="24"/>
          <w:szCs w:val="24"/>
        </w:rPr>
        <w:t xml:space="preserve"> Company at Docket No. </w:t>
      </w:r>
      <w:r w:rsidR="00F022CE" w:rsidRPr="000E4D0E">
        <w:rPr>
          <w:sz w:val="24"/>
          <w:szCs w:val="24"/>
        </w:rPr>
        <w:t>F</w:t>
      </w:r>
      <w:r w:rsidR="00BD0AF8" w:rsidRPr="000E4D0E">
        <w:rPr>
          <w:sz w:val="24"/>
          <w:szCs w:val="24"/>
        </w:rPr>
        <w:t>-</w:t>
      </w:r>
      <w:r w:rsidR="00074986" w:rsidRPr="000E4D0E">
        <w:rPr>
          <w:sz w:val="24"/>
          <w:szCs w:val="24"/>
        </w:rPr>
        <w:t>2013-2393373</w:t>
      </w:r>
      <w:r w:rsidRPr="000E4D0E">
        <w:rPr>
          <w:sz w:val="24"/>
          <w:szCs w:val="24"/>
        </w:rPr>
        <w:t xml:space="preserve"> is hereby </w:t>
      </w:r>
      <w:r w:rsidR="00325EB8" w:rsidRPr="000E4D0E">
        <w:rPr>
          <w:sz w:val="24"/>
          <w:szCs w:val="24"/>
        </w:rPr>
        <w:t>sustained</w:t>
      </w:r>
      <w:r w:rsidR="00074986" w:rsidRPr="000E4D0E">
        <w:rPr>
          <w:sz w:val="24"/>
          <w:szCs w:val="24"/>
        </w:rPr>
        <w:t xml:space="preserve"> in that PECO Energy Company did fail to provide reasonable and adequate customer service</w:t>
      </w:r>
      <w:r w:rsidRPr="000E4D0E">
        <w:rPr>
          <w:sz w:val="24"/>
          <w:szCs w:val="24"/>
        </w:rPr>
        <w:t>.</w:t>
      </w:r>
    </w:p>
    <w:p w:rsidR="00B52A3C" w:rsidRPr="000E4D0E" w:rsidRDefault="00B52A3C" w:rsidP="000E4D0E">
      <w:pPr>
        <w:tabs>
          <w:tab w:val="num" w:pos="0"/>
        </w:tabs>
        <w:rPr>
          <w:sz w:val="24"/>
          <w:szCs w:val="24"/>
        </w:rPr>
      </w:pPr>
    </w:p>
    <w:p w:rsidR="000E4D0E" w:rsidRPr="000E4D0E" w:rsidRDefault="000E4D0E" w:rsidP="000F2894">
      <w:pPr>
        <w:tabs>
          <w:tab w:val="num" w:pos="0"/>
        </w:tabs>
        <w:rPr>
          <w:sz w:val="24"/>
          <w:szCs w:val="24"/>
        </w:rPr>
      </w:pPr>
      <w:r w:rsidRPr="000E4D0E">
        <w:rPr>
          <w:sz w:val="24"/>
          <w:szCs w:val="24"/>
        </w:rPr>
        <w:tab/>
      </w:r>
      <w:r w:rsidRPr="000E4D0E">
        <w:rPr>
          <w:sz w:val="24"/>
          <w:szCs w:val="24"/>
        </w:rPr>
        <w:tab/>
        <w:t xml:space="preserve">2. </w:t>
      </w:r>
      <w:r w:rsidRPr="000E4D0E">
        <w:rPr>
          <w:sz w:val="24"/>
          <w:szCs w:val="24"/>
        </w:rPr>
        <w:tab/>
        <w:t xml:space="preserve">That PECO Energy Company is hereby assessed the penalty of </w:t>
      </w:r>
      <w:r w:rsidR="0071023E">
        <w:rPr>
          <w:sz w:val="24"/>
          <w:szCs w:val="24"/>
        </w:rPr>
        <w:t>One Thousand</w:t>
      </w:r>
      <w:r w:rsidRPr="000E4D0E">
        <w:rPr>
          <w:sz w:val="24"/>
          <w:szCs w:val="24"/>
        </w:rPr>
        <w:t xml:space="preserve"> Dollars ($</w:t>
      </w:r>
      <w:r w:rsidR="0071023E">
        <w:rPr>
          <w:sz w:val="24"/>
          <w:szCs w:val="24"/>
        </w:rPr>
        <w:t>1,000.00</w:t>
      </w:r>
      <w:r w:rsidRPr="000E4D0E">
        <w:rPr>
          <w:sz w:val="24"/>
          <w:szCs w:val="24"/>
        </w:rPr>
        <w:t>) because Respondent failed to provide reasonable and adequate customer service in how it</w:t>
      </w:r>
      <w:r w:rsidR="0071023E">
        <w:rPr>
          <w:sz w:val="24"/>
          <w:szCs w:val="24"/>
        </w:rPr>
        <w:t xml:space="preserve"> verified the occupants of the service address</w:t>
      </w:r>
      <w:r w:rsidRPr="000E4D0E">
        <w:rPr>
          <w:sz w:val="24"/>
          <w:szCs w:val="24"/>
        </w:rPr>
        <w:t xml:space="preserve">. </w:t>
      </w:r>
    </w:p>
    <w:p w:rsidR="000E4D0E" w:rsidRPr="000E4D0E" w:rsidRDefault="000E4D0E" w:rsidP="000F2894">
      <w:pPr>
        <w:tabs>
          <w:tab w:val="num" w:pos="0"/>
        </w:tabs>
        <w:rPr>
          <w:sz w:val="24"/>
          <w:szCs w:val="24"/>
        </w:rPr>
      </w:pPr>
    </w:p>
    <w:p w:rsidR="000E4D0E" w:rsidRPr="000E4D0E" w:rsidRDefault="000E4D0E" w:rsidP="000F2894">
      <w:pPr>
        <w:tabs>
          <w:tab w:val="num" w:pos="0"/>
        </w:tabs>
        <w:rPr>
          <w:sz w:val="24"/>
          <w:szCs w:val="24"/>
        </w:rPr>
      </w:pPr>
      <w:r w:rsidRPr="000E4D0E">
        <w:rPr>
          <w:sz w:val="24"/>
          <w:szCs w:val="24"/>
        </w:rPr>
        <w:tab/>
      </w:r>
      <w:r w:rsidRPr="000E4D0E">
        <w:rPr>
          <w:sz w:val="24"/>
          <w:szCs w:val="24"/>
        </w:rPr>
        <w:tab/>
        <w:t xml:space="preserve">3. </w:t>
      </w:r>
      <w:r w:rsidRPr="000E4D0E">
        <w:rPr>
          <w:sz w:val="24"/>
          <w:szCs w:val="24"/>
        </w:rPr>
        <w:tab/>
        <w:t xml:space="preserve">That PECO Energy Company within thirty (30) days of the Commission’s Order in this case shall pay a civil penalty in the amount of </w:t>
      </w:r>
      <w:r w:rsidR="0071023E">
        <w:rPr>
          <w:sz w:val="24"/>
          <w:szCs w:val="24"/>
        </w:rPr>
        <w:t>One Thousand</w:t>
      </w:r>
      <w:r w:rsidRPr="000E4D0E">
        <w:rPr>
          <w:sz w:val="24"/>
          <w:szCs w:val="24"/>
        </w:rPr>
        <w:t xml:space="preserve"> Dollars ($</w:t>
      </w:r>
      <w:r w:rsidR="0071023E">
        <w:rPr>
          <w:sz w:val="24"/>
          <w:szCs w:val="24"/>
        </w:rPr>
        <w:t>1,000.00</w:t>
      </w:r>
      <w:r w:rsidRPr="000E4D0E">
        <w:rPr>
          <w:sz w:val="24"/>
          <w:szCs w:val="24"/>
        </w:rPr>
        <w:t xml:space="preserve">) by sending a certified check or money order payable to the </w:t>
      </w:r>
      <w:r w:rsidR="00A16597">
        <w:rPr>
          <w:sz w:val="24"/>
          <w:szCs w:val="24"/>
        </w:rPr>
        <w:t xml:space="preserve">Commonwealth of </w:t>
      </w:r>
      <w:r w:rsidRPr="000E4D0E">
        <w:rPr>
          <w:sz w:val="24"/>
          <w:szCs w:val="24"/>
        </w:rPr>
        <w:t>Pennsylvania addressed to:</w:t>
      </w:r>
    </w:p>
    <w:p w:rsidR="000E4D0E" w:rsidRPr="000E4D0E" w:rsidRDefault="00A16597" w:rsidP="000E4D0E">
      <w:pPr>
        <w:pStyle w:val="ListParagraph"/>
        <w:tabs>
          <w:tab w:val="num" w:pos="2160"/>
        </w:tabs>
        <w:spacing w:line="240" w:lineRule="auto"/>
        <w:ind w:left="2160"/>
        <w:rPr>
          <w:sz w:val="24"/>
          <w:szCs w:val="24"/>
        </w:rPr>
      </w:pPr>
      <w:r>
        <w:rPr>
          <w:sz w:val="24"/>
          <w:szCs w:val="24"/>
        </w:rPr>
        <w:t>Secretary</w:t>
      </w:r>
    </w:p>
    <w:p w:rsidR="000E4D0E" w:rsidRPr="000E4D0E" w:rsidRDefault="000E4D0E" w:rsidP="000E4D0E">
      <w:pPr>
        <w:pStyle w:val="ListParagraph"/>
        <w:tabs>
          <w:tab w:val="num" w:pos="2160"/>
        </w:tabs>
        <w:spacing w:line="240" w:lineRule="auto"/>
        <w:ind w:left="2160"/>
        <w:rPr>
          <w:sz w:val="24"/>
          <w:szCs w:val="24"/>
        </w:rPr>
      </w:pPr>
      <w:r w:rsidRPr="000E4D0E">
        <w:rPr>
          <w:sz w:val="24"/>
          <w:szCs w:val="24"/>
        </w:rPr>
        <w:t>Pennsylvania Public Utility Commission</w:t>
      </w:r>
    </w:p>
    <w:p w:rsidR="000E4D0E" w:rsidRPr="000E4D0E" w:rsidRDefault="000E4D0E" w:rsidP="000E4D0E">
      <w:pPr>
        <w:pStyle w:val="ListParagraph"/>
        <w:tabs>
          <w:tab w:val="num" w:pos="2160"/>
        </w:tabs>
        <w:spacing w:line="240" w:lineRule="auto"/>
        <w:ind w:left="2160"/>
        <w:rPr>
          <w:sz w:val="24"/>
          <w:szCs w:val="24"/>
        </w:rPr>
      </w:pPr>
      <w:r w:rsidRPr="000E4D0E">
        <w:rPr>
          <w:sz w:val="24"/>
          <w:szCs w:val="24"/>
        </w:rPr>
        <w:t>P.O. Box 3265</w:t>
      </w:r>
    </w:p>
    <w:p w:rsidR="000E4D0E" w:rsidRPr="000E4D0E" w:rsidRDefault="000E4D0E" w:rsidP="000E4D0E">
      <w:pPr>
        <w:tabs>
          <w:tab w:val="num" w:pos="0"/>
        </w:tabs>
        <w:spacing w:line="240" w:lineRule="auto"/>
        <w:rPr>
          <w:sz w:val="24"/>
          <w:szCs w:val="24"/>
        </w:rPr>
      </w:pPr>
      <w:r w:rsidRPr="000E4D0E">
        <w:rPr>
          <w:sz w:val="24"/>
          <w:szCs w:val="24"/>
        </w:rPr>
        <w:tab/>
      </w:r>
      <w:r w:rsidRPr="000E4D0E">
        <w:rPr>
          <w:sz w:val="24"/>
          <w:szCs w:val="24"/>
        </w:rPr>
        <w:tab/>
      </w:r>
      <w:r w:rsidRPr="000E4D0E">
        <w:rPr>
          <w:sz w:val="24"/>
          <w:szCs w:val="24"/>
        </w:rPr>
        <w:tab/>
        <w:t>Harrisburg, PA 17105-3265</w:t>
      </w:r>
    </w:p>
    <w:p w:rsidR="000E4D0E" w:rsidRPr="000E4D0E" w:rsidRDefault="000E4D0E" w:rsidP="000E4D0E">
      <w:pPr>
        <w:tabs>
          <w:tab w:val="num" w:pos="0"/>
        </w:tabs>
        <w:rPr>
          <w:sz w:val="24"/>
          <w:szCs w:val="24"/>
        </w:rPr>
      </w:pPr>
    </w:p>
    <w:p w:rsidR="000E4D0E" w:rsidRDefault="000E4D0E" w:rsidP="000F2894">
      <w:pPr>
        <w:tabs>
          <w:tab w:val="num" w:pos="0"/>
        </w:tabs>
        <w:rPr>
          <w:sz w:val="24"/>
          <w:szCs w:val="24"/>
        </w:rPr>
      </w:pPr>
      <w:r w:rsidRPr="000E4D0E">
        <w:rPr>
          <w:sz w:val="24"/>
          <w:szCs w:val="24"/>
        </w:rPr>
        <w:lastRenderedPageBreak/>
        <w:tab/>
      </w:r>
      <w:r w:rsidRPr="000E4D0E">
        <w:rPr>
          <w:sz w:val="24"/>
          <w:szCs w:val="24"/>
        </w:rPr>
        <w:tab/>
        <w:t xml:space="preserve">4. </w:t>
      </w:r>
      <w:r w:rsidRPr="000E4D0E">
        <w:rPr>
          <w:sz w:val="24"/>
          <w:szCs w:val="24"/>
        </w:rPr>
        <w:tab/>
        <w:t xml:space="preserve">That PECO Energy Company is hereby directed to cease and desist from further violations of the Public Utility Code, 66 </w:t>
      </w:r>
      <w:proofErr w:type="spellStart"/>
      <w:r w:rsidRPr="000E4D0E">
        <w:rPr>
          <w:sz w:val="24"/>
          <w:szCs w:val="24"/>
        </w:rPr>
        <w:t>Pa.C.S.A</w:t>
      </w:r>
      <w:proofErr w:type="spellEnd"/>
      <w:r w:rsidRPr="000E4D0E">
        <w:rPr>
          <w:sz w:val="24"/>
          <w:szCs w:val="24"/>
        </w:rPr>
        <w:t xml:space="preserve">. </w:t>
      </w:r>
      <w:proofErr w:type="gramStart"/>
      <w:r w:rsidRPr="000E4D0E">
        <w:rPr>
          <w:sz w:val="24"/>
          <w:szCs w:val="24"/>
        </w:rPr>
        <w:t xml:space="preserve">§§ 101, </w:t>
      </w:r>
      <w:r w:rsidRPr="000E4D0E">
        <w:rPr>
          <w:i/>
          <w:sz w:val="24"/>
          <w:szCs w:val="24"/>
        </w:rPr>
        <w:t>et seq.</w:t>
      </w:r>
      <w:r w:rsidRPr="000E4D0E">
        <w:rPr>
          <w:sz w:val="24"/>
          <w:szCs w:val="24"/>
        </w:rPr>
        <w:t>, and the regulations of this Commission, 52 </w:t>
      </w:r>
      <w:proofErr w:type="spellStart"/>
      <w:r w:rsidRPr="000E4D0E">
        <w:rPr>
          <w:sz w:val="24"/>
          <w:szCs w:val="24"/>
        </w:rPr>
        <w:t>Pa.Code</w:t>
      </w:r>
      <w:proofErr w:type="spellEnd"/>
      <w:r w:rsidRPr="000E4D0E">
        <w:rPr>
          <w:sz w:val="24"/>
          <w:szCs w:val="24"/>
        </w:rPr>
        <w:t xml:space="preserve"> §§ 1.1, </w:t>
      </w:r>
      <w:r w:rsidRPr="000E4D0E">
        <w:rPr>
          <w:i/>
          <w:sz w:val="24"/>
          <w:szCs w:val="24"/>
        </w:rPr>
        <w:t>et seq</w:t>
      </w:r>
      <w:r w:rsidRPr="000E4D0E">
        <w:rPr>
          <w:sz w:val="24"/>
          <w:szCs w:val="24"/>
        </w:rPr>
        <w:t>.</w:t>
      </w:r>
      <w:proofErr w:type="gramEnd"/>
    </w:p>
    <w:p w:rsidR="00106AD7" w:rsidRDefault="00106AD7" w:rsidP="000F2894">
      <w:pPr>
        <w:tabs>
          <w:tab w:val="num" w:pos="0"/>
        </w:tabs>
        <w:rPr>
          <w:sz w:val="24"/>
          <w:szCs w:val="24"/>
        </w:rPr>
      </w:pPr>
    </w:p>
    <w:p w:rsidR="00106AD7" w:rsidRDefault="00106AD7" w:rsidP="000F2894">
      <w:pPr>
        <w:tabs>
          <w:tab w:val="num" w:pos="0"/>
        </w:tabs>
        <w:rPr>
          <w:sz w:val="24"/>
          <w:szCs w:val="24"/>
        </w:rPr>
      </w:pPr>
      <w:r>
        <w:rPr>
          <w:sz w:val="24"/>
          <w:szCs w:val="24"/>
        </w:rPr>
        <w:tab/>
      </w:r>
      <w:r>
        <w:rPr>
          <w:sz w:val="24"/>
          <w:szCs w:val="24"/>
        </w:rPr>
        <w:tab/>
        <w:t xml:space="preserve">5. </w:t>
      </w:r>
      <w:r>
        <w:rPr>
          <w:sz w:val="24"/>
          <w:szCs w:val="24"/>
        </w:rPr>
        <w:tab/>
        <w:t>That PECO Energy Company within thirty (30) days of the Commission’s Order in this case shall cause to be removed all negative credit reports filed by PECO Energy Company concerning the service address with the three credit reporting agencies, and serve notice upon Complainant when the negative credit reports are removed.</w:t>
      </w:r>
    </w:p>
    <w:p w:rsidR="00106AD7" w:rsidRDefault="00106AD7" w:rsidP="000F2894">
      <w:pPr>
        <w:tabs>
          <w:tab w:val="num" w:pos="0"/>
        </w:tabs>
        <w:rPr>
          <w:sz w:val="24"/>
          <w:szCs w:val="24"/>
        </w:rPr>
      </w:pPr>
    </w:p>
    <w:p w:rsidR="00106AD7" w:rsidRPr="000E4D0E" w:rsidRDefault="00106AD7" w:rsidP="000F2894">
      <w:pPr>
        <w:tabs>
          <w:tab w:val="num" w:pos="0"/>
        </w:tabs>
        <w:rPr>
          <w:sz w:val="24"/>
          <w:szCs w:val="24"/>
        </w:rPr>
      </w:pPr>
      <w:r>
        <w:rPr>
          <w:sz w:val="24"/>
          <w:szCs w:val="24"/>
        </w:rPr>
        <w:tab/>
      </w:r>
      <w:r>
        <w:rPr>
          <w:sz w:val="24"/>
          <w:szCs w:val="24"/>
        </w:rPr>
        <w:tab/>
        <w:t xml:space="preserve">6. </w:t>
      </w:r>
      <w:r>
        <w:rPr>
          <w:sz w:val="24"/>
          <w:szCs w:val="24"/>
        </w:rPr>
        <w:tab/>
        <w:t>That Complainant, within thirty (30) days of when PECO Energy Company removes the negative credit reports, shall request a copy of her credit history from at least one of the credit reporting agencies to verify the negative credit reports were removed.</w:t>
      </w:r>
    </w:p>
    <w:p w:rsidR="000E4D0E" w:rsidRPr="000E4D0E" w:rsidRDefault="000E4D0E" w:rsidP="000F2894">
      <w:pPr>
        <w:tabs>
          <w:tab w:val="num" w:pos="2160"/>
        </w:tabs>
        <w:rPr>
          <w:sz w:val="24"/>
          <w:szCs w:val="24"/>
        </w:rPr>
      </w:pPr>
    </w:p>
    <w:p w:rsidR="00B52A3C" w:rsidRPr="000E4D0E" w:rsidRDefault="00B52A3C" w:rsidP="000F2894">
      <w:pPr>
        <w:rPr>
          <w:sz w:val="24"/>
          <w:szCs w:val="24"/>
        </w:rPr>
      </w:pPr>
      <w:r w:rsidRPr="000E4D0E">
        <w:rPr>
          <w:sz w:val="24"/>
          <w:szCs w:val="24"/>
        </w:rPr>
        <w:tab/>
      </w:r>
      <w:r w:rsidRPr="000E4D0E">
        <w:rPr>
          <w:sz w:val="24"/>
          <w:szCs w:val="24"/>
        </w:rPr>
        <w:tab/>
      </w:r>
      <w:r w:rsidR="00106AD7">
        <w:rPr>
          <w:sz w:val="24"/>
          <w:szCs w:val="24"/>
        </w:rPr>
        <w:t>7.</w:t>
      </w:r>
      <w:r w:rsidRPr="000E4D0E">
        <w:rPr>
          <w:sz w:val="24"/>
          <w:szCs w:val="24"/>
        </w:rPr>
        <w:t xml:space="preserve"> </w:t>
      </w:r>
      <w:r w:rsidRPr="000E4D0E">
        <w:rPr>
          <w:sz w:val="24"/>
          <w:szCs w:val="24"/>
        </w:rPr>
        <w:tab/>
        <w:t xml:space="preserve">That </w:t>
      </w:r>
      <w:r w:rsidRPr="000E4D0E">
        <w:rPr>
          <w:spacing w:val="-3"/>
          <w:sz w:val="24"/>
          <w:szCs w:val="24"/>
        </w:rPr>
        <w:t>this docket be marked closed and discontinued.</w:t>
      </w:r>
    </w:p>
    <w:p w:rsidR="006C2C49" w:rsidRPr="000E4D0E" w:rsidRDefault="006C2C49" w:rsidP="000F2894">
      <w:pPr>
        <w:rPr>
          <w:sz w:val="24"/>
          <w:szCs w:val="24"/>
        </w:rPr>
      </w:pPr>
    </w:p>
    <w:p w:rsidR="006C2C49" w:rsidRDefault="006C2C49" w:rsidP="006C2C49">
      <w:pPr>
        <w:spacing w:line="240" w:lineRule="auto"/>
        <w:rPr>
          <w:sz w:val="24"/>
          <w:szCs w:val="24"/>
        </w:rPr>
      </w:pPr>
    </w:p>
    <w:p w:rsidR="00106AD7" w:rsidRDefault="00106AD7" w:rsidP="006C2C49">
      <w:pPr>
        <w:spacing w:line="240" w:lineRule="auto"/>
        <w:rPr>
          <w:sz w:val="24"/>
          <w:szCs w:val="24"/>
        </w:rPr>
      </w:pPr>
    </w:p>
    <w:p w:rsidR="00AA758A" w:rsidRPr="00AA758A" w:rsidRDefault="006C2C49" w:rsidP="00AA758A">
      <w:pPr>
        <w:spacing w:line="240" w:lineRule="auto"/>
        <w:rPr>
          <w:sz w:val="24"/>
          <w:szCs w:val="24"/>
        </w:rPr>
      </w:pPr>
      <w:r w:rsidRPr="00B73D10">
        <w:rPr>
          <w:sz w:val="24"/>
          <w:szCs w:val="24"/>
        </w:rPr>
        <w:t xml:space="preserve">Date:  </w:t>
      </w:r>
      <w:r w:rsidR="000F2894">
        <w:rPr>
          <w:sz w:val="24"/>
          <w:szCs w:val="24"/>
          <w:u w:val="single"/>
        </w:rPr>
        <w:t>June 23</w:t>
      </w:r>
      <w:r w:rsidR="00074986">
        <w:rPr>
          <w:sz w:val="24"/>
          <w:szCs w:val="24"/>
          <w:u w:val="single"/>
        </w:rPr>
        <w:t>, 2014</w:t>
      </w:r>
      <w:r w:rsidRPr="00B73D10">
        <w:rPr>
          <w:sz w:val="24"/>
          <w:szCs w:val="24"/>
        </w:rPr>
        <w:tab/>
      </w:r>
      <w:r w:rsidRPr="00B73D10">
        <w:rPr>
          <w:sz w:val="24"/>
          <w:szCs w:val="24"/>
        </w:rPr>
        <w:tab/>
      </w:r>
      <w:r w:rsidR="000A46F8">
        <w:rPr>
          <w:sz w:val="24"/>
          <w:szCs w:val="24"/>
        </w:rPr>
        <w:tab/>
      </w:r>
      <w:r w:rsidRPr="00B73D10">
        <w:rPr>
          <w:sz w:val="24"/>
          <w:szCs w:val="24"/>
        </w:rPr>
        <w:tab/>
      </w:r>
      <w:r w:rsidRPr="00B73D10">
        <w:rPr>
          <w:sz w:val="24"/>
          <w:szCs w:val="24"/>
        </w:rPr>
        <w:tab/>
      </w:r>
      <w:r w:rsidR="00FE72C6">
        <w:rPr>
          <w:sz w:val="24"/>
          <w:szCs w:val="24"/>
        </w:rPr>
        <w:tab/>
      </w:r>
      <w:r w:rsidR="00AA758A" w:rsidRPr="00AA758A">
        <w:rPr>
          <w:sz w:val="24"/>
          <w:szCs w:val="24"/>
          <w:u w:val="single"/>
        </w:rPr>
        <w:tab/>
      </w:r>
      <w:r w:rsidR="00AA758A" w:rsidRPr="00AA758A">
        <w:rPr>
          <w:sz w:val="24"/>
          <w:szCs w:val="24"/>
          <w:u w:val="single"/>
        </w:rPr>
        <w:tab/>
        <w:t>/s/</w:t>
      </w:r>
      <w:r w:rsidR="00AA758A" w:rsidRPr="00AA758A">
        <w:rPr>
          <w:sz w:val="24"/>
          <w:szCs w:val="24"/>
          <w:u w:val="single"/>
        </w:rPr>
        <w:tab/>
      </w:r>
      <w:r w:rsidR="00AA758A" w:rsidRPr="00AA758A">
        <w:rPr>
          <w:sz w:val="24"/>
          <w:szCs w:val="24"/>
          <w:u w:val="single"/>
        </w:rPr>
        <w:tab/>
      </w:r>
      <w:r w:rsidR="00AA758A" w:rsidRPr="00AA758A">
        <w:rPr>
          <w:sz w:val="24"/>
          <w:szCs w:val="24"/>
          <w:u w:val="single"/>
        </w:rPr>
        <w:tab/>
      </w:r>
    </w:p>
    <w:p w:rsidR="006C2C49" w:rsidRPr="00B73D10" w:rsidRDefault="006C2C49" w:rsidP="00AA758A">
      <w:pPr>
        <w:spacing w:line="240" w:lineRule="auto"/>
        <w:rPr>
          <w:sz w:val="24"/>
          <w:szCs w:val="24"/>
          <w:u w:val="single"/>
        </w:rPr>
      </w:pP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t>Katrina L. Dunderdale</w:t>
      </w:r>
    </w:p>
    <w:p w:rsidR="00DE2949" w:rsidRPr="00FB448C" w:rsidRDefault="006C2C49" w:rsidP="00AA758A">
      <w:pPr>
        <w:spacing w:line="240" w:lineRule="auto"/>
        <w:rPr>
          <w:sz w:val="24"/>
          <w:szCs w:val="24"/>
        </w:rPr>
      </w:pP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00FE72C6">
        <w:rPr>
          <w:sz w:val="24"/>
          <w:szCs w:val="24"/>
        </w:rPr>
        <w:tab/>
      </w:r>
      <w:r w:rsidRPr="00B73D10">
        <w:rPr>
          <w:sz w:val="24"/>
          <w:szCs w:val="24"/>
        </w:rPr>
        <w:t>Administrative Law Judge</w:t>
      </w:r>
    </w:p>
    <w:sectPr w:rsidR="00DE2949" w:rsidRPr="00FB448C" w:rsidSect="00DE294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DED" w:rsidRDefault="00B56DED">
      <w:r>
        <w:separator/>
      </w:r>
    </w:p>
  </w:endnote>
  <w:endnote w:type="continuationSeparator" w:id="0">
    <w:p w:rsidR="00B56DED" w:rsidRDefault="00B5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347FF4" w:rsidRDefault="00BF7A4B">
    <w:pPr>
      <w:pStyle w:val="Footer"/>
      <w:framePr w:wrap="around" w:vAnchor="text" w:hAnchor="margin" w:xAlign="center" w:y="1"/>
      <w:rPr>
        <w:rStyle w:val="PageNumber"/>
        <w:sz w:val="20"/>
      </w:rPr>
    </w:pPr>
    <w:r w:rsidRPr="00347FF4">
      <w:rPr>
        <w:rStyle w:val="PageNumber"/>
        <w:sz w:val="20"/>
      </w:rPr>
      <w:fldChar w:fldCharType="begin"/>
    </w:r>
    <w:r w:rsidRPr="00347FF4">
      <w:rPr>
        <w:rStyle w:val="PageNumber"/>
        <w:sz w:val="20"/>
      </w:rPr>
      <w:instrText xml:space="preserve">PAGE  </w:instrText>
    </w:r>
    <w:r w:rsidRPr="00347FF4">
      <w:rPr>
        <w:rStyle w:val="PageNumber"/>
        <w:sz w:val="20"/>
      </w:rPr>
      <w:fldChar w:fldCharType="separate"/>
    </w:r>
    <w:r w:rsidR="00381350">
      <w:rPr>
        <w:rStyle w:val="PageNumber"/>
        <w:noProof/>
        <w:sz w:val="20"/>
      </w:rPr>
      <w:t>9</w:t>
    </w:r>
    <w:r w:rsidRPr="00347FF4">
      <w:rPr>
        <w:rStyle w:val="PageNumber"/>
        <w:sz w:val="20"/>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DED" w:rsidRDefault="00B56DED">
      <w:r>
        <w:separator/>
      </w:r>
    </w:p>
  </w:footnote>
  <w:footnote w:type="continuationSeparator" w:id="0">
    <w:p w:rsidR="00B56DED" w:rsidRDefault="00B56DED">
      <w:r>
        <w:continuationSeparator/>
      </w:r>
    </w:p>
  </w:footnote>
  <w:footnote w:id="1">
    <w:p w:rsidR="00BF7A4B" w:rsidRDefault="00BF7A4B" w:rsidP="000A34DF">
      <w:pPr>
        <w:pStyle w:val="FootnoteText"/>
        <w:ind w:firstLine="720"/>
      </w:pPr>
      <w:r>
        <w:rPr>
          <w:rStyle w:val="FootnoteReference"/>
        </w:rPr>
        <w:footnoteRef/>
      </w:r>
      <w:r>
        <w:t xml:space="preserve"> </w:t>
      </w:r>
      <w:r>
        <w:tab/>
      </w:r>
      <w:r w:rsidRPr="00EC0D25">
        <w:t xml:space="preserve">Section 332(a) of the Public Utility Code, </w:t>
      </w:r>
      <w:proofErr w:type="gramStart"/>
      <w:r w:rsidRPr="00EC0D25">
        <w:t xml:space="preserve">66 </w:t>
      </w:r>
      <w:proofErr w:type="spellStart"/>
      <w:r w:rsidRPr="00EC0D25">
        <w:t>Pa.C.S</w:t>
      </w:r>
      <w:proofErr w:type="spellEnd"/>
      <w:proofErr w:type="gramEnd"/>
      <w:r w:rsidRPr="00EC0D25">
        <w:t>. §</w:t>
      </w:r>
      <w:r w:rsidR="00C70FB1">
        <w:t xml:space="preserve"> </w:t>
      </w:r>
      <w:r w:rsidRPr="00EC0D25">
        <w:t>332(a).</w:t>
      </w:r>
    </w:p>
    <w:p w:rsidR="00BF7A4B" w:rsidRPr="00EC0D25" w:rsidRDefault="00BF7A4B" w:rsidP="000A34DF">
      <w:pPr>
        <w:pStyle w:val="FootnoteText"/>
        <w:ind w:firstLine="720"/>
      </w:pPr>
    </w:p>
  </w:footnote>
  <w:footnote w:id="2">
    <w:p w:rsidR="00BF7A4B" w:rsidRDefault="00BF7A4B" w:rsidP="000A34DF">
      <w:pPr>
        <w:pStyle w:val="FootnoteText"/>
        <w:ind w:firstLine="720"/>
        <w:rPr>
          <w:spacing w:val="-3"/>
          <w:sz w:val="24"/>
          <w:szCs w:val="24"/>
        </w:rPr>
      </w:pPr>
      <w:r>
        <w:rPr>
          <w:rStyle w:val="FootnoteReference"/>
        </w:rPr>
        <w:footnoteRef/>
      </w:r>
      <w:r>
        <w:t xml:space="preserve"> </w:t>
      </w:r>
      <w:r>
        <w:tab/>
      </w:r>
      <w:proofErr w:type="gramStart"/>
      <w:r w:rsidRPr="0058651A">
        <w:rPr>
          <w:spacing w:val="-3"/>
          <w:u w:val="single"/>
        </w:rPr>
        <w:t>Patterson v. Bell Telephone Company of Pennsylvania</w:t>
      </w:r>
      <w:r w:rsidRPr="0058651A">
        <w:rPr>
          <w:spacing w:val="-3"/>
        </w:rPr>
        <w:t>, 72 P</w:t>
      </w:r>
      <w:r w:rsidR="00CF24F1">
        <w:rPr>
          <w:spacing w:val="-3"/>
        </w:rPr>
        <w:t>a.</w:t>
      </w:r>
      <w:r w:rsidRPr="0058651A">
        <w:rPr>
          <w:spacing w:val="-3"/>
        </w:rPr>
        <w:t xml:space="preserve"> PUC 196 (1990), </w:t>
      </w:r>
      <w:r w:rsidRPr="0058651A">
        <w:rPr>
          <w:spacing w:val="-3"/>
          <w:u w:val="single"/>
        </w:rPr>
        <w:t>Feinstein v. Philadelphia Suburban Water Company</w:t>
      </w:r>
      <w:r w:rsidRPr="0058651A">
        <w:rPr>
          <w:spacing w:val="-3"/>
        </w:rPr>
        <w:t>, 50 P</w:t>
      </w:r>
      <w:r w:rsidR="00C70FB1">
        <w:rPr>
          <w:spacing w:val="-3"/>
        </w:rPr>
        <w:t>a.</w:t>
      </w:r>
      <w:r w:rsidRPr="0058651A">
        <w:rPr>
          <w:spacing w:val="-3"/>
        </w:rPr>
        <w:t xml:space="preserve"> PUC 300 (1976).</w:t>
      </w:r>
      <w:proofErr w:type="gramEnd"/>
      <w:r w:rsidRPr="00D27E1B">
        <w:rPr>
          <w:spacing w:val="-3"/>
          <w:sz w:val="24"/>
          <w:szCs w:val="24"/>
        </w:rPr>
        <w:t xml:space="preserve">  </w:t>
      </w:r>
    </w:p>
    <w:p w:rsidR="00C70FB1" w:rsidRDefault="00C70FB1" w:rsidP="000A34DF">
      <w:pPr>
        <w:pStyle w:val="FootnoteText"/>
        <w:ind w:firstLine="720"/>
      </w:pPr>
    </w:p>
  </w:footnote>
  <w:footnote w:id="3">
    <w:p w:rsidR="00BF7A4B" w:rsidRDefault="00BF7A4B" w:rsidP="000A34DF">
      <w:pPr>
        <w:pStyle w:val="FootnoteText"/>
        <w:ind w:firstLine="720"/>
        <w:rPr>
          <w:spacing w:val="-3"/>
        </w:rPr>
      </w:pPr>
      <w:r>
        <w:rPr>
          <w:rStyle w:val="FootnoteReference"/>
        </w:rPr>
        <w:footnoteRef/>
      </w:r>
      <w:r>
        <w:t xml:space="preserve"> </w:t>
      </w:r>
      <w:r>
        <w:tab/>
      </w:r>
      <w:proofErr w:type="gramStart"/>
      <w:r w:rsidRPr="00EC0D25">
        <w:rPr>
          <w:spacing w:val="-3"/>
          <w:u w:val="single"/>
        </w:rPr>
        <w:t xml:space="preserve">Samuel J. </w:t>
      </w:r>
      <w:proofErr w:type="spellStart"/>
      <w:r w:rsidRPr="00EC0D25">
        <w:rPr>
          <w:spacing w:val="-3"/>
          <w:u w:val="single"/>
        </w:rPr>
        <w:t>Lansberry</w:t>
      </w:r>
      <w:proofErr w:type="spellEnd"/>
      <w:r w:rsidRPr="00EC0D25">
        <w:rPr>
          <w:spacing w:val="-3"/>
          <w:u w:val="single"/>
        </w:rPr>
        <w:t>, Inc. v. Pa. Pub</w:t>
      </w:r>
      <w:r w:rsidR="00C70FB1">
        <w:rPr>
          <w:spacing w:val="-3"/>
          <w:u w:val="single"/>
        </w:rPr>
        <w:t>.</w:t>
      </w:r>
      <w:proofErr w:type="gramEnd"/>
      <w:r w:rsidRPr="00EC0D25">
        <w:rPr>
          <w:spacing w:val="-3"/>
          <w:u w:val="single"/>
        </w:rPr>
        <w:t xml:space="preserve"> Util</w:t>
      </w:r>
      <w:r w:rsidR="00C70FB1">
        <w:rPr>
          <w:spacing w:val="-3"/>
          <w:u w:val="single"/>
        </w:rPr>
        <w:t xml:space="preserve">. </w:t>
      </w:r>
      <w:proofErr w:type="spellStart"/>
      <w:r w:rsidRPr="00EC0D25">
        <w:rPr>
          <w:spacing w:val="-3"/>
          <w:u w:val="single"/>
        </w:rPr>
        <w:t>Comm’n</w:t>
      </w:r>
      <w:proofErr w:type="spellEnd"/>
      <w:r w:rsidRPr="00EC0D25">
        <w:rPr>
          <w:spacing w:val="-3"/>
        </w:rPr>
        <w:t xml:space="preserve">, </w:t>
      </w:r>
      <w:proofErr w:type="gramStart"/>
      <w:r w:rsidRPr="00EC0D25">
        <w:rPr>
          <w:spacing w:val="-3"/>
        </w:rPr>
        <w:t xml:space="preserve">134 </w:t>
      </w:r>
      <w:proofErr w:type="spellStart"/>
      <w:r w:rsidRPr="00EC0D25">
        <w:rPr>
          <w:spacing w:val="-3"/>
        </w:rPr>
        <w:t>Pa.C</w:t>
      </w:r>
      <w:r w:rsidR="00C70FB1">
        <w:rPr>
          <w:spacing w:val="-3"/>
        </w:rPr>
        <w:t>mwlth</w:t>
      </w:r>
      <w:proofErr w:type="spellEnd"/>
      <w:proofErr w:type="gramEnd"/>
      <w:r w:rsidRPr="00EC0D25">
        <w:rPr>
          <w:spacing w:val="-3"/>
        </w:rPr>
        <w:t xml:space="preserve">. </w:t>
      </w:r>
      <w:proofErr w:type="gramStart"/>
      <w:r w:rsidRPr="00EC0D25">
        <w:rPr>
          <w:spacing w:val="-3"/>
        </w:rPr>
        <w:t xml:space="preserve">218; 221-222, 578 A.2d 600; 602 (1990), </w:t>
      </w:r>
      <w:proofErr w:type="spellStart"/>
      <w:r w:rsidRPr="00EC0D25">
        <w:rPr>
          <w:i/>
          <w:iCs/>
          <w:spacing w:val="-3"/>
        </w:rPr>
        <w:t>alloc</w:t>
      </w:r>
      <w:proofErr w:type="spellEnd"/>
      <w:r w:rsidRPr="00EC0D25">
        <w:rPr>
          <w:i/>
          <w:iCs/>
          <w:spacing w:val="-3"/>
        </w:rPr>
        <w:t>.</w:t>
      </w:r>
      <w:proofErr w:type="gram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BF7A4B" w:rsidRPr="00EC0D25" w:rsidRDefault="00BF7A4B" w:rsidP="000A34DF">
      <w:pPr>
        <w:pStyle w:val="FootnoteText"/>
        <w:ind w:firstLine="720"/>
      </w:pPr>
    </w:p>
  </w:footnote>
  <w:footnote w:id="4">
    <w:p w:rsidR="00BF7A4B" w:rsidRPr="00A964A8" w:rsidRDefault="00BF7A4B" w:rsidP="000A34DF">
      <w:pPr>
        <w:tabs>
          <w:tab w:val="left" w:pos="-1440"/>
          <w:tab w:val="left" w:pos="-720"/>
        </w:tabs>
        <w:suppressAutoHyphens/>
        <w:spacing w:line="240" w:lineRule="auto"/>
        <w:rPr>
          <w:sz w:val="24"/>
          <w:szCs w:val="24"/>
        </w:rPr>
      </w:pPr>
      <w:r>
        <w:tab/>
      </w:r>
      <w:r w:rsidRPr="007538B8">
        <w:rPr>
          <w:rStyle w:val="FootnoteReference"/>
          <w:sz w:val="20"/>
        </w:rPr>
        <w:footnoteRef/>
      </w:r>
      <w:r w:rsidRPr="007538B8">
        <w:rPr>
          <w:sz w:val="20"/>
        </w:rPr>
        <w:t xml:space="preserve"> </w:t>
      </w:r>
      <w:r>
        <w:tab/>
      </w:r>
      <w:proofErr w:type="gramStart"/>
      <w:r w:rsidRPr="009828D3">
        <w:rPr>
          <w:spacing w:val="-3"/>
          <w:sz w:val="20"/>
          <w:u w:val="single"/>
        </w:rPr>
        <w:t>Se-Ling Hosiery v. Margulies</w:t>
      </w:r>
      <w:r w:rsidRPr="009828D3">
        <w:rPr>
          <w:spacing w:val="-3"/>
          <w:sz w:val="20"/>
        </w:rPr>
        <w:t>, 364 Pa. 45, 70 A.2d 854 (1950).</w:t>
      </w:r>
      <w:proofErr w:type="gramEnd"/>
      <w:r w:rsidRPr="009828D3">
        <w:rPr>
          <w:spacing w:val="-3"/>
          <w:sz w:val="20"/>
        </w:rPr>
        <w:t xml:space="preserve">  </w:t>
      </w:r>
    </w:p>
  </w:footnote>
  <w:footnote w:id="5">
    <w:p w:rsidR="00886880" w:rsidRDefault="00886880" w:rsidP="00886880">
      <w:pPr>
        <w:pStyle w:val="FootnoteText"/>
        <w:ind w:firstLine="720"/>
      </w:pPr>
      <w:r>
        <w:rPr>
          <w:rStyle w:val="FootnoteReference"/>
        </w:rPr>
        <w:footnoteRef/>
      </w:r>
      <w:r>
        <w:t xml:space="preserve"> </w:t>
      </w:r>
      <w:r>
        <w:tab/>
        <w:t xml:space="preserve">See </w:t>
      </w:r>
      <w:proofErr w:type="gramStart"/>
      <w:r>
        <w:t xml:space="preserve">66 </w:t>
      </w:r>
      <w:proofErr w:type="spellStart"/>
      <w:r>
        <w:t>Pa.C.S.A</w:t>
      </w:r>
      <w:proofErr w:type="spellEnd"/>
      <w:proofErr w:type="gramEnd"/>
      <w:r>
        <w:t>. §</w:t>
      </w:r>
      <w:r w:rsidR="00EA6325">
        <w:t xml:space="preserve"> </w:t>
      </w:r>
      <w:r>
        <w:t>1501.</w:t>
      </w:r>
    </w:p>
  </w:footnote>
  <w:footnote w:id="6">
    <w:p w:rsidR="003B1256" w:rsidRDefault="003B1256" w:rsidP="003B1256">
      <w:pPr>
        <w:pStyle w:val="FootnoteText"/>
        <w:ind w:firstLine="720"/>
      </w:pPr>
      <w:r>
        <w:rPr>
          <w:rStyle w:val="FootnoteReference"/>
        </w:rPr>
        <w:footnoteRef/>
      </w:r>
      <w:r>
        <w:t xml:space="preserve"> </w:t>
      </w:r>
      <w:r>
        <w:tab/>
      </w:r>
      <w:proofErr w:type="gramStart"/>
      <w:r>
        <w:t xml:space="preserve">66 </w:t>
      </w:r>
      <w:proofErr w:type="spellStart"/>
      <w:r>
        <w:t>Pa.</w:t>
      </w:r>
      <w:r w:rsidRPr="00E73118">
        <w:t>C.S.</w:t>
      </w:r>
      <w:r>
        <w:t>A</w:t>
      </w:r>
      <w:proofErr w:type="spellEnd"/>
      <w:r>
        <w:t>.</w:t>
      </w:r>
      <w:proofErr w:type="gramEnd"/>
      <w:r w:rsidRPr="00E73118">
        <w:t xml:space="preserve"> §</w:t>
      </w:r>
      <w:r>
        <w:t xml:space="preserve"> </w:t>
      </w:r>
      <w:r w:rsidRPr="00E73118">
        <w:t>1501.</w:t>
      </w:r>
    </w:p>
  </w:footnote>
  <w:footnote w:id="7">
    <w:p w:rsidR="003B1256" w:rsidRDefault="003B1256" w:rsidP="003B1256">
      <w:pPr>
        <w:pStyle w:val="FootnoteText"/>
      </w:pPr>
    </w:p>
    <w:p w:rsidR="003B1256" w:rsidRDefault="003B1256" w:rsidP="003B1256">
      <w:pPr>
        <w:pStyle w:val="FootnoteText"/>
        <w:ind w:firstLine="720"/>
        <w:rPr>
          <w:sz w:val="24"/>
          <w:szCs w:val="24"/>
        </w:rPr>
      </w:pPr>
      <w:r>
        <w:rPr>
          <w:rStyle w:val="FootnoteReference"/>
        </w:rPr>
        <w:footnoteRef/>
      </w:r>
      <w:r>
        <w:t xml:space="preserve"> </w:t>
      </w:r>
      <w:r>
        <w:tab/>
      </w:r>
      <w:proofErr w:type="gramStart"/>
      <w:r w:rsidRPr="00E73118">
        <w:rPr>
          <w:u w:val="single"/>
        </w:rPr>
        <w:t>Elkin v. Bell of Pa.</w:t>
      </w:r>
      <w:r w:rsidRPr="00E73118">
        <w:t>,</w:t>
      </w:r>
      <w:r w:rsidRPr="00E73118">
        <w:rPr>
          <w:i/>
        </w:rPr>
        <w:t xml:space="preserve"> </w:t>
      </w:r>
      <w:r w:rsidRPr="00E73118">
        <w:t>491 Pa. 123, 420 A.2d 371 (1980).</w:t>
      </w:r>
      <w:proofErr w:type="gramEnd"/>
      <w:r w:rsidRPr="006E0E7F">
        <w:rPr>
          <w:sz w:val="24"/>
          <w:szCs w:val="24"/>
        </w:rPr>
        <w:t xml:space="preserve">  </w:t>
      </w:r>
    </w:p>
    <w:p w:rsidR="003B1256" w:rsidRDefault="003B1256" w:rsidP="003B1256">
      <w:pPr>
        <w:pStyle w:val="FootnoteText"/>
        <w:ind w:firstLine="720"/>
      </w:pPr>
    </w:p>
  </w:footnote>
  <w:footnote w:id="8">
    <w:p w:rsidR="003B1256" w:rsidRPr="00E73118" w:rsidRDefault="003B1256" w:rsidP="003B1256">
      <w:pPr>
        <w:pStyle w:val="FootnoteText"/>
        <w:ind w:firstLine="720"/>
      </w:pPr>
      <w:r w:rsidRPr="00E73118">
        <w:rPr>
          <w:rStyle w:val="FootnoteReference"/>
        </w:rPr>
        <w:footnoteRef/>
      </w:r>
      <w:r>
        <w:t xml:space="preserve"> </w:t>
      </w:r>
      <w:r>
        <w:tab/>
      </w:r>
      <w:proofErr w:type="gramStart"/>
      <w:r>
        <w:t xml:space="preserve">66 </w:t>
      </w:r>
      <w:proofErr w:type="spellStart"/>
      <w:r>
        <w:t>Pa.</w:t>
      </w:r>
      <w:r w:rsidRPr="00E73118">
        <w:t>C.S.</w:t>
      </w:r>
      <w:r>
        <w:t>A</w:t>
      </w:r>
      <w:proofErr w:type="spellEnd"/>
      <w:r>
        <w:t>.</w:t>
      </w:r>
      <w:proofErr w:type="gramEnd"/>
      <w:r w:rsidRPr="00E73118">
        <w:t xml:space="preserve"> §</w:t>
      </w:r>
      <w:r>
        <w:t xml:space="preserve"> </w:t>
      </w:r>
      <w:r w:rsidRPr="00E73118">
        <w:t xml:space="preserve">102.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072F"/>
    <w:multiLevelType w:val="hybridMultilevel"/>
    <w:tmpl w:val="CB5E6FEA"/>
    <w:lvl w:ilvl="0" w:tplc="D374AC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1980"/>
        </w:tabs>
        <w:ind w:left="1980" w:hanging="360"/>
      </w:pPr>
    </w:lvl>
  </w:abstractNum>
  <w:abstractNum w:abstractNumId="3">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4">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5">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7">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8">
    <w:nsid w:val="6F444A73"/>
    <w:multiLevelType w:val="hybridMultilevel"/>
    <w:tmpl w:val="D4A2CB76"/>
    <w:lvl w:ilvl="0" w:tplc="E182C6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33464E5"/>
    <w:multiLevelType w:val="hybridMultilevel"/>
    <w:tmpl w:val="D4A2CB76"/>
    <w:lvl w:ilvl="0" w:tplc="E182C6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2">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3"/>
  </w:num>
  <w:num w:numId="4">
    <w:abstractNumId w:val="4"/>
  </w:num>
  <w:num w:numId="5">
    <w:abstractNumId w:val="11"/>
  </w:num>
  <w:num w:numId="6">
    <w:abstractNumId w:val="7"/>
    <w:lvlOverride w:ilvl="0">
      <w:startOverride w:val="1"/>
    </w:lvlOverride>
  </w:num>
  <w:num w:numId="7">
    <w:abstractNumId w:val="3"/>
    <w:lvlOverride w:ilvl="0">
      <w:startOverride w:val="1"/>
    </w:lvlOverride>
  </w:num>
  <w:num w:numId="8">
    <w:abstractNumId w:val="11"/>
    <w:lvlOverride w:ilvl="0">
      <w:startOverride w:val="2"/>
    </w:lvlOverride>
  </w:num>
  <w:num w:numId="9">
    <w:abstractNumId w:val="2"/>
  </w:num>
  <w:num w:numId="10">
    <w:abstractNumId w:val="12"/>
  </w:num>
  <w:num w:numId="11">
    <w:abstractNumId w:val="9"/>
  </w:num>
  <w:num w:numId="12">
    <w:abstractNumId w:val="1"/>
  </w:num>
  <w:num w:numId="13">
    <w:abstractNumId w:val="5"/>
  </w:num>
  <w:num w:numId="14">
    <w:abstractNumId w:val="0"/>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1B91"/>
    <w:rsid w:val="000024B6"/>
    <w:rsid w:val="00014F87"/>
    <w:rsid w:val="000268F4"/>
    <w:rsid w:val="0003169F"/>
    <w:rsid w:val="000334F0"/>
    <w:rsid w:val="000420ED"/>
    <w:rsid w:val="00044200"/>
    <w:rsid w:val="00044B8E"/>
    <w:rsid w:val="000542CD"/>
    <w:rsid w:val="000553B1"/>
    <w:rsid w:val="00057B9D"/>
    <w:rsid w:val="00060B8B"/>
    <w:rsid w:val="0006129D"/>
    <w:rsid w:val="00063980"/>
    <w:rsid w:val="00064401"/>
    <w:rsid w:val="000721D2"/>
    <w:rsid w:val="00074986"/>
    <w:rsid w:val="000754C8"/>
    <w:rsid w:val="000755DB"/>
    <w:rsid w:val="00083078"/>
    <w:rsid w:val="00084096"/>
    <w:rsid w:val="00084C98"/>
    <w:rsid w:val="00094683"/>
    <w:rsid w:val="000961CD"/>
    <w:rsid w:val="000A1439"/>
    <w:rsid w:val="000A26B1"/>
    <w:rsid w:val="000A34DF"/>
    <w:rsid w:val="000A46F8"/>
    <w:rsid w:val="000C4F99"/>
    <w:rsid w:val="000C55C5"/>
    <w:rsid w:val="000D6D9C"/>
    <w:rsid w:val="000E0254"/>
    <w:rsid w:val="000E2DFB"/>
    <w:rsid w:val="000E4D0E"/>
    <w:rsid w:val="000F202B"/>
    <w:rsid w:val="000F2894"/>
    <w:rsid w:val="001036B8"/>
    <w:rsid w:val="001047BE"/>
    <w:rsid w:val="001056A1"/>
    <w:rsid w:val="0010579B"/>
    <w:rsid w:val="00106AD7"/>
    <w:rsid w:val="00113941"/>
    <w:rsid w:val="00114B22"/>
    <w:rsid w:val="0011768F"/>
    <w:rsid w:val="001215AB"/>
    <w:rsid w:val="001339A3"/>
    <w:rsid w:val="00146153"/>
    <w:rsid w:val="0014638B"/>
    <w:rsid w:val="00150F71"/>
    <w:rsid w:val="001576A5"/>
    <w:rsid w:val="001635F9"/>
    <w:rsid w:val="00166694"/>
    <w:rsid w:val="00174631"/>
    <w:rsid w:val="001760E3"/>
    <w:rsid w:val="0017796A"/>
    <w:rsid w:val="001837DE"/>
    <w:rsid w:val="00184F61"/>
    <w:rsid w:val="00187E50"/>
    <w:rsid w:val="001908AF"/>
    <w:rsid w:val="00192CF9"/>
    <w:rsid w:val="00195CBA"/>
    <w:rsid w:val="00195D67"/>
    <w:rsid w:val="001B2A30"/>
    <w:rsid w:val="001B55FD"/>
    <w:rsid w:val="001B69EE"/>
    <w:rsid w:val="001C3009"/>
    <w:rsid w:val="001D16E0"/>
    <w:rsid w:val="001D457F"/>
    <w:rsid w:val="001D7301"/>
    <w:rsid w:val="001E2C0B"/>
    <w:rsid w:val="001E61EF"/>
    <w:rsid w:val="001F16E2"/>
    <w:rsid w:val="001F6338"/>
    <w:rsid w:val="00203680"/>
    <w:rsid w:val="002135C1"/>
    <w:rsid w:val="00213C20"/>
    <w:rsid w:val="002255B2"/>
    <w:rsid w:val="0024448A"/>
    <w:rsid w:val="0025693E"/>
    <w:rsid w:val="00257E91"/>
    <w:rsid w:val="00267B07"/>
    <w:rsid w:val="002721E6"/>
    <w:rsid w:val="00273706"/>
    <w:rsid w:val="00294359"/>
    <w:rsid w:val="002A1305"/>
    <w:rsid w:val="002A59BF"/>
    <w:rsid w:val="002B50AB"/>
    <w:rsid w:val="002B5F24"/>
    <w:rsid w:val="002C5C8D"/>
    <w:rsid w:val="002D70CA"/>
    <w:rsid w:val="002E25F3"/>
    <w:rsid w:val="002E2700"/>
    <w:rsid w:val="002F1E9A"/>
    <w:rsid w:val="002F5854"/>
    <w:rsid w:val="00303242"/>
    <w:rsid w:val="00305F0D"/>
    <w:rsid w:val="00325EB8"/>
    <w:rsid w:val="00340071"/>
    <w:rsid w:val="00341B79"/>
    <w:rsid w:val="003460CC"/>
    <w:rsid w:val="00347FF4"/>
    <w:rsid w:val="00355E33"/>
    <w:rsid w:val="003611E4"/>
    <w:rsid w:val="00373DE0"/>
    <w:rsid w:val="00381350"/>
    <w:rsid w:val="00382023"/>
    <w:rsid w:val="003822C2"/>
    <w:rsid w:val="00386F30"/>
    <w:rsid w:val="00395B5D"/>
    <w:rsid w:val="003962EA"/>
    <w:rsid w:val="003A2086"/>
    <w:rsid w:val="003A2C39"/>
    <w:rsid w:val="003A31A9"/>
    <w:rsid w:val="003A322E"/>
    <w:rsid w:val="003A33F5"/>
    <w:rsid w:val="003B1256"/>
    <w:rsid w:val="003C1C70"/>
    <w:rsid w:val="003C3851"/>
    <w:rsid w:val="003C7183"/>
    <w:rsid w:val="003D3AA4"/>
    <w:rsid w:val="003E358E"/>
    <w:rsid w:val="003E3A5D"/>
    <w:rsid w:val="003F0643"/>
    <w:rsid w:val="003F0927"/>
    <w:rsid w:val="003F68A9"/>
    <w:rsid w:val="00400F84"/>
    <w:rsid w:val="004012A8"/>
    <w:rsid w:val="0041141D"/>
    <w:rsid w:val="00412886"/>
    <w:rsid w:val="0042086F"/>
    <w:rsid w:val="004222C6"/>
    <w:rsid w:val="0043056E"/>
    <w:rsid w:val="00433CEC"/>
    <w:rsid w:val="0043514B"/>
    <w:rsid w:val="00437CE0"/>
    <w:rsid w:val="004415A2"/>
    <w:rsid w:val="00447294"/>
    <w:rsid w:val="004477EB"/>
    <w:rsid w:val="00451160"/>
    <w:rsid w:val="00452510"/>
    <w:rsid w:val="00452A48"/>
    <w:rsid w:val="004768C7"/>
    <w:rsid w:val="00483E99"/>
    <w:rsid w:val="00486D04"/>
    <w:rsid w:val="004872CE"/>
    <w:rsid w:val="00493482"/>
    <w:rsid w:val="00495344"/>
    <w:rsid w:val="004A287A"/>
    <w:rsid w:val="004A5400"/>
    <w:rsid w:val="004B1116"/>
    <w:rsid w:val="004B418C"/>
    <w:rsid w:val="004C0960"/>
    <w:rsid w:val="004C5619"/>
    <w:rsid w:val="004D0D4F"/>
    <w:rsid w:val="004D3FC7"/>
    <w:rsid w:val="004D6317"/>
    <w:rsid w:val="004D63DC"/>
    <w:rsid w:val="004E3DB9"/>
    <w:rsid w:val="004F4E74"/>
    <w:rsid w:val="004F511D"/>
    <w:rsid w:val="004F5971"/>
    <w:rsid w:val="004F61B3"/>
    <w:rsid w:val="004F6DF0"/>
    <w:rsid w:val="0051319E"/>
    <w:rsid w:val="00530A02"/>
    <w:rsid w:val="0053127E"/>
    <w:rsid w:val="00540947"/>
    <w:rsid w:val="00556E9A"/>
    <w:rsid w:val="005609B8"/>
    <w:rsid w:val="00560FDD"/>
    <w:rsid w:val="00567C6F"/>
    <w:rsid w:val="00567DB8"/>
    <w:rsid w:val="0057017B"/>
    <w:rsid w:val="00573927"/>
    <w:rsid w:val="005745EB"/>
    <w:rsid w:val="00574E22"/>
    <w:rsid w:val="00576E65"/>
    <w:rsid w:val="0058651A"/>
    <w:rsid w:val="00593D95"/>
    <w:rsid w:val="005A090A"/>
    <w:rsid w:val="005A3135"/>
    <w:rsid w:val="005A4743"/>
    <w:rsid w:val="005B1338"/>
    <w:rsid w:val="005B4757"/>
    <w:rsid w:val="005B5748"/>
    <w:rsid w:val="005D0A85"/>
    <w:rsid w:val="005D3D7F"/>
    <w:rsid w:val="005D4A01"/>
    <w:rsid w:val="005D6663"/>
    <w:rsid w:val="005E12B1"/>
    <w:rsid w:val="005E6BBB"/>
    <w:rsid w:val="005F5C9E"/>
    <w:rsid w:val="005F5DD5"/>
    <w:rsid w:val="00601B51"/>
    <w:rsid w:val="00606BD0"/>
    <w:rsid w:val="00620C7B"/>
    <w:rsid w:val="006415F8"/>
    <w:rsid w:val="00643108"/>
    <w:rsid w:val="00646B0D"/>
    <w:rsid w:val="00650C28"/>
    <w:rsid w:val="0065307F"/>
    <w:rsid w:val="00655AE4"/>
    <w:rsid w:val="006647CC"/>
    <w:rsid w:val="00666204"/>
    <w:rsid w:val="00674464"/>
    <w:rsid w:val="0068274D"/>
    <w:rsid w:val="006837EE"/>
    <w:rsid w:val="0068619C"/>
    <w:rsid w:val="006930B8"/>
    <w:rsid w:val="006A0486"/>
    <w:rsid w:val="006B05F8"/>
    <w:rsid w:val="006B1AA8"/>
    <w:rsid w:val="006B3FEA"/>
    <w:rsid w:val="006C11F9"/>
    <w:rsid w:val="006C2403"/>
    <w:rsid w:val="006C2C49"/>
    <w:rsid w:val="006C3565"/>
    <w:rsid w:val="006C4068"/>
    <w:rsid w:val="006D0E2D"/>
    <w:rsid w:val="006D252C"/>
    <w:rsid w:val="006D548B"/>
    <w:rsid w:val="006D7DE2"/>
    <w:rsid w:val="006E1F15"/>
    <w:rsid w:val="006F0985"/>
    <w:rsid w:val="006F5CB0"/>
    <w:rsid w:val="006F6BB8"/>
    <w:rsid w:val="007027DB"/>
    <w:rsid w:val="0070392B"/>
    <w:rsid w:val="0071023E"/>
    <w:rsid w:val="00720264"/>
    <w:rsid w:val="007230FA"/>
    <w:rsid w:val="00723D2E"/>
    <w:rsid w:val="007240AC"/>
    <w:rsid w:val="0072437C"/>
    <w:rsid w:val="00744E9B"/>
    <w:rsid w:val="00747019"/>
    <w:rsid w:val="007538B8"/>
    <w:rsid w:val="00757BEB"/>
    <w:rsid w:val="007618E6"/>
    <w:rsid w:val="00766107"/>
    <w:rsid w:val="00771580"/>
    <w:rsid w:val="0077368A"/>
    <w:rsid w:val="00777614"/>
    <w:rsid w:val="00777AD8"/>
    <w:rsid w:val="007A01A8"/>
    <w:rsid w:val="007A04A6"/>
    <w:rsid w:val="007A37F2"/>
    <w:rsid w:val="007B5294"/>
    <w:rsid w:val="007C4CD8"/>
    <w:rsid w:val="007D0A39"/>
    <w:rsid w:val="007D2AE4"/>
    <w:rsid w:val="007D5F4A"/>
    <w:rsid w:val="007F30E1"/>
    <w:rsid w:val="007F46D2"/>
    <w:rsid w:val="008032D4"/>
    <w:rsid w:val="00803E31"/>
    <w:rsid w:val="00804DAB"/>
    <w:rsid w:val="00805247"/>
    <w:rsid w:val="00806C9B"/>
    <w:rsid w:val="00806DC8"/>
    <w:rsid w:val="008222E1"/>
    <w:rsid w:val="0083441D"/>
    <w:rsid w:val="008509B1"/>
    <w:rsid w:val="00850A24"/>
    <w:rsid w:val="0086046A"/>
    <w:rsid w:val="00861356"/>
    <w:rsid w:val="00861A19"/>
    <w:rsid w:val="00862A3E"/>
    <w:rsid w:val="008648D6"/>
    <w:rsid w:val="00867E27"/>
    <w:rsid w:val="00867FD3"/>
    <w:rsid w:val="00874C96"/>
    <w:rsid w:val="00877C75"/>
    <w:rsid w:val="00881239"/>
    <w:rsid w:val="0088541A"/>
    <w:rsid w:val="00886880"/>
    <w:rsid w:val="00891398"/>
    <w:rsid w:val="008A7257"/>
    <w:rsid w:val="008B608C"/>
    <w:rsid w:val="008C21DB"/>
    <w:rsid w:val="008C2C84"/>
    <w:rsid w:val="008E3177"/>
    <w:rsid w:val="008E759A"/>
    <w:rsid w:val="008F030B"/>
    <w:rsid w:val="0091247C"/>
    <w:rsid w:val="0091322F"/>
    <w:rsid w:val="00913CED"/>
    <w:rsid w:val="0092244E"/>
    <w:rsid w:val="00927135"/>
    <w:rsid w:val="009464AA"/>
    <w:rsid w:val="00946C11"/>
    <w:rsid w:val="009504A6"/>
    <w:rsid w:val="00951CFC"/>
    <w:rsid w:val="009639E5"/>
    <w:rsid w:val="00973248"/>
    <w:rsid w:val="009753B7"/>
    <w:rsid w:val="00977B94"/>
    <w:rsid w:val="00977BB6"/>
    <w:rsid w:val="00981D91"/>
    <w:rsid w:val="009828D3"/>
    <w:rsid w:val="009853BE"/>
    <w:rsid w:val="00992A72"/>
    <w:rsid w:val="00994613"/>
    <w:rsid w:val="00996FB5"/>
    <w:rsid w:val="00997FD4"/>
    <w:rsid w:val="009A3B17"/>
    <w:rsid w:val="009A3D9F"/>
    <w:rsid w:val="009C353C"/>
    <w:rsid w:val="009D6921"/>
    <w:rsid w:val="009D7777"/>
    <w:rsid w:val="009E13B5"/>
    <w:rsid w:val="009E1902"/>
    <w:rsid w:val="009E3042"/>
    <w:rsid w:val="009E7E5F"/>
    <w:rsid w:val="009F5506"/>
    <w:rsid w:val="00A155BF"/>
    <w:rsid w:val="00A16597"/>
    <w:rsid w:val="00A220F9"/>
    <w:rsid w:val="00A273F5"/>
    <w:rsid w:val="00A40F64"/>
    <w:rsid w:val="00A450CB"/>
    <w:rsid w:val="00A508D1"/>
    <w:rsid w:val="00A5362D"/>
    <w:rsid w:val="00A550B5"/>
    <w:rsid w:val="00A56B07"/>
    <w:rsid w:val="00A60625"/>
    <w:rsid w:val="00A648CB"/>
    <w:rsid w:val="00A66258"/>
    <w:rsid w:val="00A70CAC"/>
    <w:rsid w:val="00A75695"/>
    <w:rsid w:val="00A75EB0"/>
    <w:rsid w:val="00A904A7"/>
    <w:rsid w:val="00A92833"/>
    <w:rsid w:val="00A964A8"/>
    <w:rsid w:val="00AA22B4"/>
    <w:rsid w:val="00AA3795"/>
    <w:rsid w:val="00AA758A"/>
    <w:rsid w:val="00AB0456"/>
    <w:rsid w:val="00AB0FF6"/>
    <w:rsid w:val="00AB2D65"/>
    <w:rsid w:val="00AB71D8"/>
    <w:rsid w:val="00AB73D1"/>
    <w:rsid w:val="00AC1F69"/>
    <w:rsid w:val="00AC390D"/>
    <w:rsid w:val="00AC5192"/>
    <w:rsid w:val="00AC778F"/>
    <w:rsid w:val="00AD671E"/>
    <w:rsid w:val="00AE0EA3"/>
    <w:rsid w:val="00AF7930"/>
    <w:rsid w:val="00B07ED7"/>
    <w:rsid w:val="00B20BB1"/>
    <w:rsid w:val="00B21A12"/>
    <w:rsid w:val="00B30F45"/>
    <w:rsid w:val="00B34327"/>
    <w:rsid w:val="00B352E6"/>
    <w:rsid w:val="00B450A0"/>
    <w:rsid w:val="00B45783"/>
    <w:rsid w:val="00B52A3C"/>
    <w:rsid w:val="00B56DED"/>
    <w:rsid w:val="00B67D11"/>
    <w:rsid w:val="00B80E5B"/>
    <w:rsid w:val="00B839E8"/>
    <w:rsid w:val="00B84EE4"/>
    <w:rsid w:val="00B86FC8"/>
    <w:rsid w:val="00B93AED"/>
    <w:rsid w:val="00B96704"/>
    <w:rsid w:val="00BB126E"/>
    <w:rsid w:val="00BB4206"/>
    <w:rsid w:val="00BC3D4F"/>
    <w:rsid w:val="00BC6609"/>
    <w:rsid w:val="00BD0AF8"/>
    <w:rsid w:val="00BD1626"/>
    <w:rsid w:val="00BD656E"/>
    <w:rsid w:val="00BD7D1B"/>
    <w:rsid w:val="00BE0C66"/>
    <w:rsid w:val="00BF7A4B"/>
    <w:rsid w:val="00C1378D"/>
    <w:rsid w:val="00C146D5"/>
    <w:rsid w:val="00C1597F"/>
    <w:rsid w:val="00C34BE2"/>
    <w:rsid w:val="00C354E5"/>
    <w:rsid w:val="00C4263B"/>
    <w:rsid w:val="00C44296"/>
    <w:rsid w:val="00C44F74"/>
    <w:rsid w:val="00C52E75"/>
    <w:rsid w:val="00C6661E"/>
    <w:rsid w:val="00C70FB1"/>
    <w:rsid w:val="00C72198"/>
    <w:rsid w:val="00C72746"/>
    <w:rsid w:val="00C7317C"/>
    <w:rsid w:val="00C9371A"/>
    <w:rsid w:val="00C97273"/>
    <w:rsid w:val="00CA1BFD"/>
    <w:rsid w:val="00CA400B"/>
    <w:rsid w:val="00CA4DF4"/>
    <w:rsid w:val="00CA5FBB"/>
    <w:rsid w:val="00CB52B2"/>
    <w:rsid w:val="00CB775B"/>
    <w:rsid w:val="00CC052C"/>
    <w:rsid w:val="00CC11CD"/>
    <w:rsid w:val="00CC7273"/>
    <w:rsid w:val="00CC7EAF"/>
    <w:rsid w:val="00CE7E68"/>
    <w:rsid w:val="00CF24F1"/>
    <w:rsid w:val="00D0052C"/>
    <w:rsid w:val="00D012AF"/>
    <w:rsid w:val="00D02672"/>
    <w:rsid w:val="00D04E2C"/>
    <w:rsid w:val="00D16EE5"/>
    <w:rsid w:val="00D204D8"/>
    <w:rsid w:val="00D236A3"/>
    <w:rsid w:val="00D26801"/>
    <w:rsid w:val="00D30C6D"/>
    <w:rsid w:val="00D3476C"/>
    <w:rsid w:val="00D44704"/>
    <w:rsid w:val="00D47332"/>
    <w:rsid w:val="00D63ADB"/>
    <w:rsid w:val="00D64DCB"/>
    <w:rsid w:val="00D66FE4"/>
    <w:rsid w:val="00D7007A"/>
    <w:rsid w:val="00D81835"/>
    <w:rsid w:val="00D82C44"/>
    <w:rsid w:val="00D86982"/>
    <w:rsid w:val="00D93C45"/>
    <w:rsid w:val="00D95DB1"/>
    <w:rsid w:val="00DA16D1"/>
    <w:rsid w:val="00DA5000"/>
    <w:rsid w:val="00DA6365"/>
    <w:rsid w:val="00DB1D2E"/>
    <w:rsid w:val="00DC140A"/>
    <w:rsid w:val="00DC7003"/>
    <w:rsid w:val="00DD6310"/>
    <w:rsid w:val="00DE09F3"/>
    <w:rsid w:val="00DE1C0F"/>
    <w:rsid w:val="00DE2170"/>
    <w:rsid w:val="00DE2266"/>
    <w:rsid w:val="00DE2949"/>
    <w:rsid w:val="00DE4971"/>
    <w:rsid w:val="00DE7F93"/>
    <w:rsid w:val="00DF04BF"/>
    <w:rsid w:val="00DF4ADB"/>
    <w:rsid w:val="00E02815"/>
    <w:rsid w:val="00E03BB5"/>
    <w:rsid w:val="00E04BE4"/>
    <w:rsid w:val="00E0580F"/>
    <w:rsid w:val="00E1062D"/>
    <w:rsid w:val="00E11531"/>
    <w:rsid w:val="00E126F9"/>
    <w:rsid w:val="00E31737"/>
    <w:rsid w:val="00E33BA9"/>
    <w:rsid w:val="00E366C3"/>
    <w:rsid w:val="00E36D01"/>
    <w:rsid w:val="00E45AE4"/>
    <w:rsid w:val="00E500AF"/>
    <w:rsid w:val="00E5034B"/>
    <w:rsid w:val="00E555CB"/>
    <w:rsid w:val="00E56FC5"/>
    <w:rsid w:val="00E63B66"/>
    <w:rsid w:val="00E77421"/>
    <w:rsid w:val="00E80B68"/>
    <w:rsid w:val="00E85864"/>
    <w:rsid w:val="00E8786A"/>
    <w:rsid w:val="00E91CE3"/>
    <w:rsid w:val="00E929FA"/>
    <w:rsid w:val="00E9331E"/>
    <w:rsid w:val="00E941D2"/>
    <w:rsid w:val="00EA030D"/>
    <w:rsid w:val="00EA6325"/>
    <w:rsid w:val="00EA7153"/>
    <w:rsid w:val="00EB28CA"/>
    <w:rsid w:val="00EC0D25"/>
    <w:rsid w:val="00EC46E0"/>
    <w:rsid w:val="00EC4BF1"/>
    <w:rsid w:val="00EC6BFE"/>
    <w:rsid w:val="00ED0CBE"/>
    <w:rsid w:val="00ED1AA9"/>
    <w:rsid w:val="00ED652F"/>
    <w:rsid w:val="00ED6B35"/>
    <w:rsid w:val="00EE0FF3"/>
    <w:rsid w:val="00EE2B74"/>
    <w:rsid w:val="00EE480E"/>
    <w:rsid w:val="00EF3B1E"/>
    <w:rsid w:val="00F01C8E"/>
    <w:rsid w:val="00F022CE"/>
    <w:rsid w:val="00F03B46"/>
    <w:rsid w:val="00F04892"/>
    <w:rsid w:val="00F138E7"/>
    <w:rsid w:val="00F220CF"/>
    <w:rsid w:val="00F418AB"/>
    <w:rsid w:val="00F43B77"/>
    <w:rsid w:val="00F61BC2"/>
    <w:rsid w:val="00F72B2B"/>
    <w:rsid w:val="00F73C62"/>
    <w:rsid w:val="00F83FA6"/>
    <w:rsid w:val="00F84C36"/>
    <w:rsid w:val="00F92BED"/>
    <w:rsid w:val="00FA2CDB"/>
    <w:rsid w:val="00FA367A"/>
    <w:rsid w:val="00FA5E8F"/>
    <w:rsid w:val="00FA6063"/>
    <w:rsid w:val="00FB004A"/>
    <w:rsid w:val="00FB2175"/>
    <w:rsid w:val="00FB26D3"/>
    <w:rsid w:val="00FB2F18"/>
    <w:rsid w:val="00FB448C"/>
    <w:rsid w:val="00FB7AFF"/>
    <w:rsid w:val="00FC013C"/>
    <w:rsid w:val="00FC42F5"/>
    <w:rsid w:val="00FC5BB9"/>
    <w:rsid w:val="00FD5835"/>
    <w:rsid w:val="00FE032D"/>
    <w:rsid w:val="00FE627C"/>
    <w:rsid w:val="00FE72C6"/>
    <w:rsid w:val="00FF26FD"/>
    <w:rsid w:val="00FF29E1"/>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49534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95344"/>
    <w:rPr>
      <w:rFonts w:ascii="Tahoma" w:hAnsi="Tahoma" w:cs="Tahoma"/>
      <w:sz w:val="16"/>
      <w:szCs w:val="16"/>
    </w:rPr>
  </w:style>
  <w:style w:type="paragraph" w:styleId="PlainText">
    <w:name w:val="Plain Text"/>
    <w:basedOn w:val="Normal"/>
    <w:link w:val="PlainTextChar"/>
    <w:uiPriority w:val="99"/>
    <w:unhideWhenUsed/>
    <w:rsid w:val="009E13B5"/>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E13B5"/>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49534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95344"/>
    <w:rPr>
      <w:rFonts w:ascii="Tahoma" w:hAnsi="Tahoma" w:cs="Tahoma"/>
      <w:sz w:val="16"/>
      <w:szCs w:val="16"/>
    </w:rPr>
  </w:style>
  <w:style w:type="paragraph" w:styleId="PlainText">
    <w:name w:val="Plain Text"/>
    <w:basedOn w:val="Normal"/>
    <w:link w:val="PlainTextChar"/>
    <w:uiPriority w:val="99"/>
    <w:unhideWhenUsed/>
    <w:rsid w:val="009E13B5"/>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E13B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300FE-A4CE-490F-9ADA-90B0666E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3336</Words>
  <Characters>19019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22311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sandra elizabeth oldynski</cp:lastModifiedBy>
  <cp:revision>37</cp:revision>
  <cp:lastPrinted>2012-03-20T14:11:00Z</cp:lastPrinted>
  <dcterms:created xsi:type="dcterms:W3CDTF">2014-06-20T14:02:00Z</dcterms:created>
  <dcterms:modified xsi:type="dcterms:W3CDTF">2014-07-01T18:47:00Z</dcterms:modified>
</cp:coreProperties>
</file>