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3A0" w:rsidRDefault="009433A0" w:rsidP="009433A0">
      <w:pPr>
        <w:jc w:val="center"/>
        <w:outlineLvl w:val="0"/>
        <w:rPr>
          <w:b/>
          <w:sz w:val="24"/>
          <w:szCs w:val="24"/>
        </w:rPr>
      </w:pPr>
      <w:r>
        <w:rPr>
          <w:b/>
          <w:sz w:val="24"/>
          <w:szCs w:val="24"/>
        </w:rPr>
        <w:t>BEFORE THE</w:t>
      </w:r>
    </w:p>
    <w:p w:rsidR="009433A0" w:rsidRDefault="009433A0" w:rsidP="009433A0">
      <w:pPr>
        <w:jc w:val="center"/>
        <w:outlineLvl w:val="0"/>
        <w:rPr>
          <w:b/>
          <w:sz w:val="24"/>
          <w:szCs w:val="24"/>
        </w:rPr>
      </w:pPr>
      <w:r>
        <w:rPr>
          <w:b/>
          <w:sz w:val="24"/>
          <w:szCs w:val="24"/>
        </w:rPr>
        <w:t>PENNSYLVANIA PUBLIC UTILITY COMMISSION</w:t>
      </w:r>
    </w:p>
    <w:p w:rsidR="009433A0" w:rsidRDefault="009433A0" w:rsidP="009433A0">
      <w:pPr>
        <w:jc w:val="center"/>
        <w:rPr>
          <w:sz w:val="24"/>
          <w:szCs w:val="24"/>
        </w:rPr>
      </w:pPr>
    </w:p>
    <w:p w:rsidR="009433A0" w:rsidRDefault="009433A0" w:rsidP="009433A0">
      <w:pPr>
        <w:jc w:val="center"/>
        <w:rPr>
          <w:sz w:val="24"/>
          <w:szCs w:val="24"/>
        </w:rPr>
      </w:pPr>
    </w:p>
    <w:p w:rsidR="009433A0" w:rsidRDefault="009433A0" w:rsidP="009433A0">
      <w:pPr>
        <w:jc w:val="center"/>
        <w:rPr>
          <w:sz w:val="24"/>
          <w:szCs w:val="24"/>
        </w:rPr>
      </w:pPr>
    </w:p>
    <w:p w:rsidR="009C2FDD" w:rsidRDefault="004E56BB" w:rsidP="009433A0">
      <w:pPr>
        <w:tabs>
          <w:tab w:val="left" w:pos="-720"/>
        </w:tabs>
        <w:suppressAutoHyphens/>
        <w:rPr>
          <w:spacing w:val="-3"/>
          <w:sz w:val="24"/>
          <w:szCs w:val="20"/>
        </w:rPr>
      </w:pPr>
      <w:r>
        <w:rPr>
          <w:sz w:val="24"/>
          <w:szCs w:val="24"/>
        </w:rPr>
        <w:t>Pennsylvania Public Utility Commission</w:t>
      </w:r>
      <w:r w:rsidR="00723A96">
        <w:rPr>
          <w:bCs/>
          <w:spacing w:val="-3"/>
          <w:sz w:val="24"/>
          <w:szCs w:val="24"/>
        </w:rPr>
        <w:tab/>
      </w:r>
      <w:r w:rsidR="00CB4639">
        <w:rPr>
          <w:bCs/>
          <w:spacing w:val="-3"/>
          <w:sz w:val="24"/>
          <w:szCs w:val="24"/>
        </w:rPr>
        <w:tab/>
      </w:r>
      <w:r w:rsidR="00723A96">
        <w:rPr>
          <w:bCs/>
          <w:spacing w:val="-3"/>
          <w:sz w:val="24"/>
          <w:szCs w:val="24"/>
        </w:rPr>
        <w:t>:</w:t>
      </w:r>
      <w:r w:rsidR="009433A0">
        <w:rPr>
          <w:bCs/>
          <w:spacing w:val="-3"/>
          <w:sz w:val="24"/>
          <w:szCs w:val="24"/>
        </w:rPr>
        <w:tab/>
      </w:r>
      <w:r w:rsidR="00485C46">
        <w:rPr>
          <w:bCs/>
          <w:spacing w:val="-3"/>
          <w:sz w:val="24"/>
          <w:szCs w:val="24"/>
        </w:rPr>
        <w:tab/>
      </w:r>
      <w:r w:rsidR="009433A0">
        <w:rPr>
          <w:spacing w:val="-3"/>
          <w:sz w:val="24"/>
          <w:szCs w:val="20"/>
        </w:rPr>
        <w:t>R-2014-2452705</w:t>
      </w:r>
    </w:p>
    <w:p w:rsidR="009433A0" w:rsidRDefault="009C2FDD" w:rsidP="009433A0">
      <w:pPr>
        <w:tabs>
          <w:tab w:val="left" w:pos="-720"/>
        </w:tabs>
        <w:suppressAutoHyphens/>
        <w:rPr>
          <w:spacing w:val="-3"/>
          <w:sz w:val="24"/>
          <w:szCs w:val="24"/>
        </w:rPr>
      </w:pPr>
      <w:r>
        <w:rPr>
          <w:spacing w:val="-3"/>
          <w:sz w:val="24"/>
          <w:szCs w:val="20"/>
        </w:rPr>
        <w:t>Office of the Consumer Advocate</w:t>
      </w:r>
      <w:r>
        <w:rPr>
          <w:spacing w:val="-3"/>
          <w:sz w:val="24"/>
          <w:szCs w:val="20"/>
        </w:rPr>
        <w:tab/>
      </w:r>
      <w:r>
        <w:rPr>
          <w:spacing w:val="-3"/>
          <w:sz w:val="24"/>
          <w:szCs w:val="20"/>
        </w:rPr>
        <w:tab/>
      </w:r>
      <w:r w:rsidR="00CB4639">
        <w:rPr>
          <w:spacing w:val="-3"/>
          <w:sz w:val="24"/>
          <w:szCs w:val="20"/>
        </w:rPr>
        <w:tab/>
      </w:r>
      <w:r>
        <w:rPr>
          <w:spacing w:val="-3"/>
          <w:sz w:val="24"/>
          <w:szCs w:val="20"/>
        </w:rPr>
        <w:t>:</w:t>
      </w:r>
      <w:r>
        <w:rPr>
          <w:spacing w:val="-3"/>
          <w:sz w:val="24"/>
          <w:szCs w:val="20"/>
        </w:rPr>
        <w:tab/>
      </w:r>
      <w:r w:rsidR="00485C46">
        <w:rPr>
          <w:spacing w:val="-3"/>
          <w:sz w:val="24"/>
          <w:szCs w:val="20"/>
        </w:rPr>
        <w:tab/>
      </w:r>
      <w:r w:rsidR="009433A0">
        <w:rPr>
          <w:spacing w:val="-3"/>
          <w:sz w:val="24"/>
          <w:szCs w:val="20"/>
        </w:rPr>
        <w:t>C-2014-2454751</w:t>
      </w:r>
    </w:p>
    <w:p w:rsidR="009C2FDD" w:rsidRDefault="009C2FDD" w:rsidP="009433A0">
      <w:r w:rsidRPr="00485C46">
        <w:rPr>
          <w:sz w:val="24"/>
          <w:szCs w:val="24"/>
        </w:rPr>
        <w:t>Robert Autore</w:t>
      </w:r>
      <w:r w:rsidR="004E56BB">
        <w:tab/>
      </w:r>
      <w:r w:rsidR="004E56BB">
        <w:tab/>
      </w:r>
      <w:r w:rsidR="004E56BB">
        <w:tab/>
      </w:r>
      <w:r w:rsidR="009433A0">
        <w:tab/>
      </w:r>
      <w:r w:rsidR="00CB4639" w:rsidRPr="00485C46">
        <w:rPr>
          <w:sz w:val="24"/>
          <w:szCs w:val="24"/>
        </w:rPr>
        <w:tab/>
      </w:r>
      <w:r w:rsidR="00485C46">
        <w:rPr>
          <w:sz w:val="24"/>
          <w:szCs w:val="24"/>
        </w:rPr>
        <w:tab/>
      </w:r>
      <w:r w:rsidR="009433A0" w:rsidRPr="00485C46">
        <w:rPr>
          <w:sz w:val="24"/>
          <w:szCs w:val="24"/>
        </w:rPr>
        <w:t>:</w:t>
      </w:r>
      <w:r w:rsidR="009433A0" w:rsidRPr="00485C46">
        <w:rPr>
          <w:sz w:val="24"/>
          <w:szCs w:val="24"/>
        </w:rPr>
        <w:tab/>
      </w:r>
      <w:r w:rsidR="00485C46">
        <w:rPr>
          <w:sz w:val="24"/>
          <w:szCs w:val="24"/>
        </w:rPr>
        <w:tab/>
      </w:r>
      <w:r w:rsidR="009433A0" w:rsidRPr="009433A0">
        <w:rPr>
          <w:sz w:val="24"/>
          <w:szCs w:val="24"/>
        </w:rPr>
        <w:t>C-2014-2457963</w:t>
      </w:r>
    </w:p>
    <w:p w:rsidR="009433A0" w:rsidRDefault="009C2FDD" w:rsidP="009433A0">
      <w:r>
        <w:rPr>
          <w:sz w:val="24"/>
          <w:szCs w:val="24"/>
        </w:rPr>
        <w:t xml:space="preserve">Debra </w:t>
      </w:r>
      <w:r w:rsidR="00E018E8">
        <w:rPr>
          <w:sz w:val="24"/>
          <w:szCs w:val="24"/>
        </w:rPr>
        <w:t>Michell</w:t>
      </w:r>
      <w:r>
        <w:rPr>
          <w:sz w:val="24"/>
          <w:szCs w:val="24"/>
        </w:rPr>
        <w:tab/>
      </w:r>
      <w:r>
        <w:rPr>
          <w:sz w:val="24"/>
          <w:szCs w:val="24"/>
        </w:rPr>
        <w:tab/>
      </w:r>
      <w:r w:rsidR="00A87079">
        <w:rPr>
          <w:sz w:val="24"/>
          <w:szCs w:val="24"/>
        </w:rPr>
        <w:tab/>
      </w:r>
      <w:r>
        <w:rPr>
          <w:sz w:val="24"/>
          <w:szCs w:val="24"/>
        </w:rPr>
        <w:tab/>
      </w:r>
      <w:r>
        <w:rPr>
          <w:sz w:val="24"/>
          <w:szCs w:val="24"/>
        </w:rPr>
        <w:tab/>
      </w:r>
      <w:r w:rsidR="00CB4639">
        <w:rPr>
          <w:sz w:val="24"/>
          <w:szCs w:val="24"/>
        </w:rPr>
        <w:tab/>
      </w:r>
      <w:r>
        <w:rPr>
          <w:sz w:val="24"/>
          <w:szCs w:val="24"/>
        </w:rPr>
        <w:t>:</w:t>
      </w:r>
      <w:r>
        <w:rPr>
          <w:sz w:val="24"/>
          <w:szCs w:val="24"/>
        </w:rPr>
        <w:tab/>
      </w:r>
      <w:r w:rsidR="00485C46">
        <w:rPr>
          <w:sz w:val="24"/>
          <w:szCs w:val="24"/>
        </w:rPr>
        <w:tab/>
      </w:r>
      <w:r w:rsidR="009433A0" w:rsidRPr="009433A0">
        <w:rPr>
          <w:sz w:val="24"/>
          <w:szCs w:val="24"/>
        </w:rPr>
        <w:t>C-2014-2457964</w:t>
      </w:r>
    </w:p>
    <w:p w:rsidR="009C2FDD" w:rsidRDefault="009C2FDD" w:rsidP="009433A0">
      <w:pPr>
        <w:tabs>
          <w:tab w:val="left" w:pos="-720"/>
        </w:tabs>
        <w:suppressAutoHyphens/>
        <w:rPr>
          <w:spacing w:val="-3"/>
          <w:sz w:val="24"/>
          <w:szCs w:val="20"/>
        </w:rPr>
      </w:pPr>
      <w:r>
        <w:rPr>
          <w:spacing w:val="-3"/>
          <w:sz w:val="24"/>
          <w:szCs w:val="20"/>
        </w:rPr>
        <w:t>Frank Gorman</w:t>
      </w:r>
      <w:r>
        <w:rPr>
          <w:spacing w:val="-3"/>
          <w:sz w:val="24"/>
          <w:szCs w:val="20"/>
        </w:rPr>
        <w:tab/>
      </w:r>
      <w:r w:rsidR="007D4EBF">
        <w:rPr>
          <w:spacing w:val="-3"/>
          <w:sz w:val="24"/>
          <w:szCs w:val="20"/>
        </w:rPr>
        <w:tab/>
      </w:r>
      <w:r w:rsidR="007D4EBF">
        <w:rPr>
          <w:spacing w:val="-3"/>
          <w:sz w:val="24"/>
          <w:szCs w:val="20"/>
        </w:rPr>
        <w:tab/>
      </w:r>
      <w:r w:rsidR="007D4EBF">
        <w:rPr>
          <w:spacing w:val="-3"/>
          <w:sz w:val="24"/>
          <w:szCs w:val="20"/>
        </w:rPr>
        <w:tab/>
      </w:r>
      <w:r w:rsidR="007D4EBF">
        <w:rPr>
          <w:spacing w:val="-3"/>
          <w:sz w:val="24"/>
          <w:szCs w:val="20"/>
        </w:rPr>
        <w:tab/>
      </w:r>
      <w:r w:rsidR="00CB4639">
        <w:rPr>
          <w:spacing w:val="-3"/>
          <w:sz w:val="24"/>
          <w:szCs w:val="20"/>
        </w:rPr>
        <w:tab/>
      </w:r>
      <w:r w:rsidR="007D4EBF">
        <w:rPr>
          <w:spacing w:val="-3"/>
          <w:sz w:val="24"/>
          <w:szCs w:val="20"/>
        </w:rPr>
        <w:t>:</w:t>
      </w:r>
      <w:r w:rsidR="009433A0">
        <w:rPr>
          <w:spacing w:val="-3"/>
          <w:sz w:val="24"/>
          <w:szCs w:val="20"/>
        </w:rPr>
        <w:tab/>
      </w:r>
      <w:r w:rsidR="00485C46">
        <w:rPr>
          <w:spacing w:val="-3"/>
          <w:sz w:val="24"/>
          <w:szCs w:val="20"/>
        </w:rPr>
        <w:tab/>
      </w:r>
      <w:r w:rsidR="009433A0">
        <w:rPr>
          <w:spacing w:val="-3"/>
          <w:sz w:val="24"/>
          <w:szCs w:val="20"/>
        </w:rPr>
        <w:t>C-2014-2457976</w:t>
      </w:r>
    </w:p>
    <w:p w:rsidR="009433A0" w:rsidRDefault="009C2FDD" w:rsidP="009433A0">
      <w:pPr>
        <w:tabs>
          <w:tab w:val="left" w:pos="-720"/>
        </w:tabs>
        <w:suppressAutoHyphens/>
        <w:rPr>
          <w:spacing w:val="-3"/>
          <w:sz w:val="24"/>
          <w:szCs w:val="20"/>
        </w:rPr>
      </w:pPr>
      <w:r>
        <w:rPr>
          <w:spacing w:val="-3"/>
          <w:sz w:val="24"/>
          <w:szCs w:val="20"/>
        </w:rPr>
        <w:t>Elizabeth Triplett</w:t>
      </w:r>
      <w:r>
        <w:rPr>
          <w:spacing w:val="-3"/>
          <w:sz w:val="24"/>
          <w:szCs w:val="20"/>
        </w:rPr>
        <w:tab/>
      </w:r>
      <w:r>
        <w:rPr>
          <w:spacing w:val="-3"/>
          <w:sz w:val="24"/>
          <w:szCs w:val="20"/>
        </w:rPr>
        <w:tab/>
      </w:r>
      <w:r>
        <w:rPr>
          <w:spacing w:val="-3"/>
          <w:sz w:val="24"/>
          <w:szCs w:val="20"/>
        </w:rPr>
        <w:tab/>
      </w:r>
      <w:r>
        <w:rPr>
          <w:spacing w:val="-3"/>
          <w:sz w:val="24"/>
          <w:szCs w:val="20"/>
        </w:rPr>
        <w:tab/>
      </w:r>
      <w:r w:rsidR="00CB4639">
        <w:rPr>
          <w:spacing w:val="-3"/>
          <w:sz w:val="24"/>
          <w:szCs w:val="20"/>
        </w:rPr>
        <w:tab/>
      </w:r>
      <w:r>
        <w:rPr>
          <w:spacing w:val="-3"/>
          <w:sz w:val="24"/>
          <w:szCs w:val="20"/>
        </w:rPr>
        <w:t>:</w:t>
      </w:r>
      <w:r>
        <w:rPr>
          <w:spacing w:val="-3"/>
          <w:sz w:val="24"/>
          <w:szCs w:val="20"/>
        </w:rPr>
        <w:tab/>
      </w:r>
      <w:r w:rsidR="00485C46">
        <w:rPr>
          <w:spacing w:val="-3"/>
          <w:sz w:val="24"/>
          <w:szCs w:val="20"/>
        </w:rPr>
        <w:tab/>
      </w:r>
      <w:r w:rsidR="009433A0">
        <w:rPr>
          <w:spacing w:val="-3"/>
          <w:sz w:val="24"/>
          <w:szCs w:val="20"/>
        </w:rPr>
        <w:t>C-2014-2457983</w:t>
      </w:r>
    </w:p>
    <w:p w:rsidR="009C2FDD" w:rsidRDefault="009C2FDD" w:rsidP="009433A0">
      <w:pPr>
        <w:tabs>
          <w:tab w:val="left" w:pos="-720"/>
        </w:tabs>
        <w:suppressAutoHyphens/>
        <w:rPr>
          <w:spacing w:val="-3"/>
          <w:sz w:val="24"/>
          <w:szCs w:val="20"/>
        </w:rPr>
      </w:pPr>
      <w:r>
        <w:rPr>
          <w:sz w:val="24"/>
          <w:szCs w:val="24"/>
        </w:rPr>
        <w:t>Svetlana Perminova and Viktor Ushenko</w:t>
      </w:r>
      <w:r w:rsidR="007D4EBF">
        <w:rPr>
          <w:spacing w:val="-3"/>
          <w:sz w:val="24"/>
          <w:szCs w:val="20"/>
        </w:rPr>
        <w:tab/>
      </w:r>
      <w:r w:rsidR="00CB4639">
        <w:rPr>
          <w:spacing w:val="-3"/>
          <w:sz w:val="24"/>
          <w:szCs w:val="20"/>
        </w:rPr>
        <w:tab/>
      </w:r>
      <w:r w:rsidR="007D4EBF">
        <w:rPr>
          <w:spacing w:val="-3"/>
          <w:sz w:val="24"/>
          <w:szCs w:val="20"/>
        </w:rPr>
        <w:t>:</w:t>
      </w:r>
      <w:r w:rsidR="007D4EBF">
        <w:rPr>
          <w:spacing w:val="-3"/>
          <w:sz w:val="24"/>
          <w:szCs w:val="20"/>
        </w:rPr>
        <w:tab/>
      </w:r>
      <w:r w:rsidR="00485C46">
        <w:rPr>
          <w:spacing w:val="-3"/>
          <w:sz w:val="24"/>
          <w:szCs w:val="20"/>
        </w:rPr>
        <w:tab/>
      </w:r>
      <w:r w:rsidR="007D4EBF">
        <w:rPr>
          <w:spacing w:val="-3"/>
          <w:sz w:val="24"/>
          <w:szCs w:val="20"/>
        </w:rPr>
        <w:t>C-2014-2458029</w:t>
      </w:r>
    </w:p>
    <w:p w:rsidR="009433A0" w:rsidRDefault="009C2FDD" w:rsidP="009433A0">
      <w:pPr>
        <w:tabs>
          <w:tab w:val="left" w:pos="-720"/>
        </w:tabs>
        <w:suppressAutoHyphens/>
        <w:rPr>
          <w:spacing w:val="-3"/>
          <w:sz w:val="24"/>
          <w:szCs w:val="20"/>
        </w:rPr>
      </w:pPr>
      <w:r>
        <w:rPr>
          <w:sz w:val="24"/>
          <w:szCs w:val="24"/>
        </w:rPr>
        <w:t xml:space="preserve">James and Michelle Conklin </w:t>
      </w:r>
      <w:r>
        <w:rPr>
          <w:sz w:val="24"/>
          <w:szCs w:val="24"/>
        </w:rPr>
        <w:tab/>
      </w:r>
      <w:r>
        <w:rPr>
          <w:sz w:val="24"/>
          <w:szCs w:val="24"/>
        </w:rPr>
        <w:tab/>
      </w:r>
      <w:r>
        <w:rPr>
          <w:sz w:val="24"/>
          <w:szCs w:val="24"/>
        </w:rPr>
        <w:tab/>
      </w:r>
      <w:r w:rsidR="00CB4639">
        <w:rPr>
          <w:sz w:val="24"/>
          <w:szCs w:val="24"/>
        </w:rPr>
        <w:tab/>
      </w:r>
      <w:r>
        <w:rPr>
          <w:sz w:val="24"/>
          <w:szCs w:val="24"/>
        </w:rPr>
        <w:t>:</w:t>
      </w:r>
      <w:r>
        <w:rPr>
          <w:sz w:val="24"/>
          <w:szCs w:val="24"/>
        </w:rPr>
        <w:tab/>
      </w:r>
      <w:r w:rsidR="00485C46">
        <w:rPr>
          <w:sz w:val="24"/>
          <w:szCs w:val="24"/>
        </w:rPr>
        <w:tab/>
      </w:r>
      <w:r w:rsidR="009433A0">
        <w:rPr>
          <w:spacing w:val="-3"/>
          <w:sz w:val="24"/>
          <w:szCs w:val="20"/>
        </w:rPr>
        <w:t>C-2014-2458122</w:t>
      </w:r>
    </w:p>
    <w:p w:rsidR="009C2FDD" w:rsidRDefault="009C2FDD" w:rsidP="009433A0">
      <w:pPr>
        <w:tabs>
          <w:tab w:val="left" w:pos="-720"/>
        </w:tabs>
        <w:suppressAutoHyphens/>
        <w:rPr>
          <w:spacing w:val="-3"/>
          <w:sz w:val="24"/>
          <w:szCs w:val="20"/>
        </w:rPr>
      </w:pPr>
      <w:r>
        <w:rPr>
          <w:spacing w:val="-3"/>
          <w:sz w:val="24"/>
          <w:szCs w:val="20"/>
        </w:rPr>
        <w:t xml:space="preserve">Robert </w:t>
      </w:r>
      <w:r w:rsidR="00E018E8">
        <w:rPr>
          <w:spacing w:val="-3"/>
          <w:sz w:val="24"/>
          <w:szCs w:val="20"/>
        </w:rPr>
        <w:t>Klayn</w:t>
      </w:r>
      <w:r w:rsidR="009433A0">
        <w:rPr>
          <w:spacing w:val="-3"/>
          <w:sz w:val="24"/>
          <w:szCs w:val="20"/>
        </w:rPr>
        <w:tab/>
      </w:r>
      <w:r w:rsidR="009433A0">
        <w:rPr>
          <w:spacing w:val="-3"/>
          <w:sz w:val="24"/>
          <w:szCs w:val="20"/>
        </w:rPr>
        <w:tab/>
      </w:r>
      <w:r w:rsidR="009433A0">
        <w:rPr>
          <w:spacing w:val="-3"/>
          <w:sz w:val="24"/>
          <w:szCs w:val="20"/>
        </w:rPr>
        <w:tab/>
      </w:r>
      <w:r w:rsidR="009433A0">
        <w:rPr>
          <w:spacing w:val="-3"/>
          <w:sz w:val="24"/>
          <w:szCs w:val="20"/>
        </w:rPr>
        <w:tab/>
      </w:r>
      <w:r w:rsidR="009433A0">
        <w:rPr>
          <w:spacing w:val="-3"/>
          <w:sz w:val="24"/>
          <w:szCs w:val="20"/>
        </w:rPr>
        <w:tab/>
      </w:r>
      <w:r w:rsidR="00CB4639">
        <w:rPr>
          <w:spacing w:val="-3"/>
          <w:sz w:val="24"/>
          <w:szCs w:val="20"/>
        </w:rPr>
        <w:tab/>
      </w:r>
      <w:r w:rsidR="009433A0">
        <w:rPr>
          <w:spacing w:val="-3"/>
          <w:sz w:val="24"/>
          <w:szCs w:val="20"/>
        </w:rPr>
        <w:t>:</w:t>
      </w:r>
      <w:r w:rsidR="009433A0">
        <w:rPr>
          <w:spacing w:val="-3"/>
          <w:sz w:val="24"/>
          <w:szCs w:val="20"/>
        </w:rPr>
        <w:tab/>
      </w:r>
      <w:r w:rsidR="00485C46">
        <w:rPr>
          <w:spacing w:val="-3"/>
          <w:sz w:val="24"/>
          <w:szCs w:val="20"/>
        </w:rPr>
        <w:tab/>
      </w:r>
      <w:r w:rsidR="009433A0">
        <w:rPr>
          <w:spacing w:val="-3"/>
          <w:sz w:val="24"/>
          <w:szCs w:val="20"/>
        </w:rPr>
        <w:t>C-2014-2458135</w:t>
      </w:r>
    </w:p>
    <w:p w:rsidR="009433A0" w:rsidRDefault="009C2FDD" w:rsidP="009433A0">
      <w:pPr>
        <w:tabs>
          <w:tab w:val="left" w:pos="-720"/>
        </w:tabs>
        <w:suppressAutoHyphens/>
        <w:rPr>
          <w:spacing w:val="-3"/>
          <w:sz w:val="24"/>
          <w:szCs w:val="20"/>
        </w:rPr>
      </w:pPr>
      <w:r>
        <w:rPr>
          <w:sz w:val="24"/>
          <w:szCs w:val="24"/>
        </w:rPr>
        <w:t>George McGettigan</w:t>
      </w:r>
      <w:r>
        <w:rPr>
          <w:sz w:val="24"/>
          <w:szCs w:val="24"/>
        </w:rPr>
        <w:tab/>
      </w:r>
      <w:r>
        <w:rPr>
          <w:sz w:val="24"/>
          <w:szCs w:val="24"/>
        </w:rPr>
        <w:tab/>
      </w:r>
      <w:r>
        <w:rPr>
          <w:sz w:val="24"/>
          <w:szCs w:val="24"/>
        </w:rPr>
        <w:tab/>
      </w:r>
      <w:r>
        <w:rPr>
          <w:sz w:val="24"/>
          <w:szCs w:val="24"/>
        </w:rPr>
        <w:tab/>
      </w:r>
      <w:r w:rsidR="00CB4639">
        <w:rPr>
          <w:sz w:val="24"/>
          <w:szCs w:val="24"/>
        </w:rPr>
        <w:tab/>
      </w:r>
      <w:r>
        <w:rPr>
          <w:sz w:val="24"/>
          <w:szCs w:val="24"/>
        </w:rPr>
        <w:t>:</w:t>
      </w:r>
      <w:r>
        <w:rPr>
          <w:sz w:val="24"/>
          <w:szCs w:val="24"/>
        </w:rPr>
        <w:tab/>
      </w:r>
      <w:r w:rsidR="00485C46">
        <w:rPr>
          <w:sz w:val="24"/>
          <w:szCs w:val="24"/>
        </w:rPr>
        <w:tab/>
      </w:r>
      <w:r w:rsidR="009433A0">
        <w:rPr>
          <w:spacing w:val="-3"/>
          <w:sz w:val="24"/>
          <w:szCs w:val="20"/>
        </w:rPr>
        <w:t>C-2014-2458330</w:t>
      </w:r>
    </w:p>
    <w:p w:rsidR="009C2FDD" w:rsidRDefault="003F6830" w:rsidP="009433A0">
      <w:pPr>
        <w:tabs>
          <w:tab w:val="left" w:pos="-720"/>
        </w:tabs>
        <w:suppressAutoHyphens/>
        <w:rPr>
          <w:spacing w:val="-3"/>
          <w:sz w:val="24"/>
          <w:szCs w:val="20"/>
        </w:rPr>
      </w:pPr>
      <w:r>
        <w:rPr>
          <w:spacing w:val="-3"/>
          <w:sz w:val="24"/>
          <w:szCs w:val="20"/>
        </w:rPr>
        <w:t>Grace Doll</w:t>
      </w:r>
      <w:r w:rsidR="009433A0">
        <w:rPr>
          <w:spacing w:val="-3"/>
          <w:sz w:val="24"/>
          <w:szCs w:val="20"/>
        </w:rPr>
        <w:tab/>
      </w:r>
      <w:r w:rsidR="009433A0">
        <w:rPr>
          <w:spacing w:val="-3"/>
          <w:sz w:val="24"/>
          <w:szCs w:val="20"/>
        </w:rPr>
        <w:tab/>
      </w:r>
      <w:r w:rsidR="009433A0">
        <w:rPr>
          <w:spacing w:val="-3"/>
          <w:sz w:val="24"/>
          <w:szCs w:val="20"/>
        </w:rPr>
        <w:tab/>
      </w:r>
      <w:r w:rsidR="009433A0">
        <w:rPr>
          <w:spacing w:val="-3"/>
          <w:sz w:val="24"/>
          <w:szCs w:val="20"/>
        </w:rPr>
        <w:tab/>
      </w:r>
      <w:r w:rsidR="009433A0">
        <w:rPr>
          <w:spacing w:val="-3"/>
          <w:sz w:val="24"/>
          <w:szCs w:val="20"/>
        </w:rPr>
        <w:tab/>
      </w:r>
      <w:r w:rsidR="00CB4639">
        <w:rPr>
          <w:spacing w:val="-3"/>
          <w:sz w:val="24"/>
          <w:szCs w:val="20"/>
        </w:rPr>
        <w:tab/>
      </w:r>
      <w:r w:rsidR="009433A0">
        <w:rPr>
          <w:spacing w:val="-3"/>
          <w:sz w:val="24"/>
          <w:szCs w:val="20"/>
        </w:rPr>
        <w:t>:</w:t>
      </w:r>
      <w:r w:rsidR="009433A0">
        <w:rPr>
          <w:spacing w:val="-3"/>
          <w:sz w:val="24"/>
          <w:szCs w:val="20"/>
        </w:rPr>
        <w:tab/>
      </w:r>
      <w:r w:rsidR="00485C46">
        <w:rPr>
          <w:spacing w:val="-3"/>
          <w:sz w:val="24"/>
          <w:szCs w:val="20"/>
        </w:rPr>
        <w:tab/>
      </w:r>
      <w:r w:rsidR="009433A0">
        <w:rPr>
          <w:spacing w:val="-3"/>
          <w:sz w:val="24"/>
          <w:szCs w:val="20"/>
        </w:rPr>
        <w:t>C-2014-2458745</w:t>
      </w:r>
    </w:p>
    <w:p w:rsidR="009433A0" w:rsidRDefault="009C2FDD" w:rsidP="009433A0">
      <w:pPr>
        <w:tabs>
          <w:tab w:val="left" w:pos="-720"/>
        </w:tabs>
        <w:suppressAutoHyphens/>
        <w:rPr>
          <w:spacing w:val="-3"/>
          <w:sz w:val="24"/>
          <w:szCs w:val="20"/>
        </w:rPr>
      </w:pPr>
      <w:r>
        <w:rPr>
          <w:sz w:val="24"/>
          <w:szCs w:val="24"/>
        </w:rPr>
        <w:t>Janet McGettigan</w:t>
      </w:r>
      <w:r>
        <w:rPr>
          <w:sz w:val="24"/>
          <w:szCs w:val="24"/>
        </w:rPr>
        <w:tab/>
      </w:r>
      <w:r>
        <w:rPr>
          <w:sz w:val="24"/>
          <w:szCs w:val="24"/>
        </w:rPr>
        <w:tab/>
      </w:r>
      <w:r>
        <w:rPr>
          <w:sz w:val="24"/>
          <w:szCs w:val="24"/>
        </w:rPr>
        <w:tab/>
      </w:r>
      <w:r>
        <w:rPr>
          <w:sz w:val="24"/>
          <w:szCs w:val="24"/>
        </w:rPr>
        <w:tab/>
      </w:r>
      <w:r w:rsidR="00CB4639">
        <w:rPr>
          <w:sz w:val="24"/>
          <w:szCs w:val="24"/>
        </w:rPr>
        <w:tab/>
      </w:r>
      <w:r>
        <w:rPr>
          <w:sz w:val="24"/>
          <w:szCs w:val="24"/>
        </w:rPr>
        <w:t>:</w:t>
      </w:r>
      <w:r w:rsidR="009433A0">
        <w:rPr>
          <w:spacing w:val="-3"/>
          <w:sz w:val="24"/>
          <w:szCs w:val="20"/>
        </w:rPr>
        <w:tab/>
      </w:r>
      <w:r w:rsidR="00485C46">
        <w:rPr>
          <w:spacing w:val="-3"/>
          <w:sz w:val="24"/>
          <w:szCs w:val="20"/>
        </w:rPr>
        <w:tab/>
      </w:r>
      <w:r w:rsidR="009433A0">
        <w:rPr>
          <w:spacing w:val="-3"/>
          <w:sz w:val="24"/>
          <w:szCs w:val="20"/>
        </w:rPr>
        <w:t>C-2014-2458782</w:t>
      </w:r>
    </w:p>
    <w:p w:rsidR="00BE24E5" w:rsidRDefault="00BE24E5" w:rsidP="009433A0">
      <w:pPr>
        <w:tabs>
          <w:tab w:val="left" w:pos="-720"/>
        </w:tabs>
        <w:suppressAutoHyphens/>
        <w:rPr>
          <w:spacing w:val="-3"/>
          <w:sz w:val="24"/>
          <w:szCs w:val="24"/>
        </w:rPr>
      </w:pPr>
      <w:r>
        <w:rPr>
          <w:sz w:val="24"/>
          <w:szCs w:val="24"/>
        </w:rPr>
        <w:t xml:space="preserve">Edward </w:t>
      </w:r>
      <w:r w:rsidR="00E018E8">
        <w:rPr>
          <w:sz w:val="24"/>
          <w:szCs w:val="24"/>
        </w:rPr>
        <w:t>Cantamessa</w:t>
      </w:r>
      <w:r w:rsidR="009433A0">
        <w:rPr>
          <w:spacing w:val="-3"/>
          <w:sz w:val="24"/>
          <w:szCs w:val="20"/>
        </w:rPr>
        <w:tab/>
      </w:r>
      <w:r w:rsidR="009433A0">
        <w:rPr>
          <w:spacing w:val="-3"/>
          <w:sz w:val="24"/>
          <w:szCs w:val="20"/>
        </w:rPr>
        <w:tab/>
      </w:r>
      <w:r w:rsidR="009433A0">
        <w:rPr>
          <w:spacing w:val="-3"/>
          <w:sz w:val="24"/>
          <w:szCs w:val="20"/>
        </w:rPr>
        <w:tab/>
      </w:r>
      <w:r w:rsidR="009433A0">
        <w:rPr>
          <w:spacing w:val="-3"/>
          <w:sz w:val="24"/>
          <w:szCs w:val="20"/>
        </w:rPr>
        <w:tab/>
      </w:r>
      <w:r w:rsidR="00CB4639">
        <w:rPr>
          <w:spacing w:val="-3"/>
          <w:sz w:val="24"/>
          <w:szCs w:val="20"/>
        </w:rPr>
        <w:tab/>
      </w:r>
      <w:r w:rsidR="009433A0">
        <w:rPr>
          <w:spacing w:val="-3"/>
          <w:sz w:val="24"/>
          <w:szCs w:val="20"/>
        </w:rPr>
        <w:t>:</w:t>
      </w:r>
      <w:r w:rsidR="009433A0">
        <w:rPr>
          <w:spacing w:val="-3"/>
          <w:sz w:val="24"/>
          <w:szCs w:val="24"/>
        </w:rPr>
        <w:tab/>
      </w:r>
      <w:r w:rsidR="00485C46">
        <w:rPr>
          <w:spacing w:val="-3"/>
          <w:sz w:val="24"/>
          <w:szCs w:val="24"/>
        </w:rPr>
        <w:tab/>
      </w:r>
      <w:r w:rsidR="009433A0">
        <w:rPr>
          <w:spacing w:val="-3"/>
          <w:sz w:val="24"/>
          <w:szCs w:val="24"/>
        </w:rPr>
        <w:t>C-2014-2459896</w:t>
      </w:r>
    </w:p>
    <w:p w:rsidR="009433A0" w:rsidRPr="00BE24E5" w:rsidRDefault="003F6830" w:rsidP="009433A0">
      <w:pPr>
        <w:tabs>
          <w:tab w:val="left" w:pos="-720"/>
        </w:tabs>
        <w:suppressAutoHyphens/>
        <w:rPr>
          <w:spacing w:val="-3"/>
          <w:sz w:val="24"/>
          <w:szCs w:val="24"/>
        </w:rPr>
      </w:pPr>
      <w:r>
        <w:rPr>
          <w:spacing w:val="-3"/>
          <w:sz w:val="24"/>
          <w:szCs w:val="24"/>
        </w:rPr>
        <w:t>Mary Ellen Templin</w:t>
      </w:r>
      <w:r>
        <w:rPr>
          <w:spacing w:val="-3"/>
          <w:sz w:val="24"/>
          <w:szCs w:val="24"/>
        </w:rPr>
        <w:tab/>
      </w:r>
      <w:r>
        <w:rPr>
          <w:spacing w:val="-3"/>
          <w:sz w:val="24"/>
          <w:szCs w:val="24"/>
        </w:rPr>
        <w:tab/>
      </w:r>
      <w:r>
        <w:rPr>
          <w:spacing w:val="-3"/>
          <w:sz w:val="24"/>
          <w:szCs w:val="24"/>
        </w:rPr>
        <w:tab/>
      </w:r>
      <w:r>
        <w:rPr>
          <w:spacing w:val="-3"/>
          <w:sz w:val="24"/>
          <w:szCs w:val="24"/>
        </w:rPr>
        <w:tab/>
      </w:r>
      <w:r w:rsidR="00CB4639">
        <w:rPr>
          <w:spacing w:val="-3"/>
          <w:sz w:val="24"/>
          <w:szCs w:val="24"/>
        </w:rPr>
        <w:tab/>
      </w:r>
      <w:r>
        <w:rPr>
          <w:spacing w:val="-3"/>
          <w:sz w:val="24"/>
          <w:szCs w:val="24"/>
        </w:rPr>
        <w:t>:</w:t>
      </w:r>
      <w:r w:rsidR="00BE24E5" w:rsidRPr="00BE24E5">
        <w:rPr>
          <w:spacing w:val="-3"/>
          <w:sz w:val="24"/>
          <w:szCs w:val="24"/>
        </w:rPr>
        <w:tab/>
      </w:r>
      <w:r w:rsidR="00485C46">
        <w:rPr>
          <w:spacing w:val="-3"/>
          <w:sz w:val="24"/>
          <w:szCs w:val="24"/>
        </w:rPr>
        <w:tab/>
      </w:r>
      <w:r w:rsidR="009433A0" w:rsidRPr="00BE24E5">
        <w:rPr>
          <w:spacing w:val="-3"/>
          <w:sz w:val="24"/>
          <w:szCs w:val="24"/>
        </w:rPr>
        <w:t>C-2014-2460141</w:t>
      </w:r>
    </w:p>
    <w:p w:rsidR="00BE24E5" w:rsidRPr="00BE24E5" w:rsidRDefault="00BE24E5" w:rsidP="009433A0">
      <w:pPr>
        <w:tabs>
          <w:tab w:val="left" w:pos="-720"/>
        </w:tabs>
        <w:suppressAutoHyphens/>
        <w:rPr>
          <w:spacing w:val="-3"/>
          <w:sz w:val="24"/>
          <w:szCs w:val="24"/>
        </w:rPr>
      </w:pPr>
      <w:r w:rsidRPr="00BE24E5">
        <w:rPr>
          <w:sz w:val="24"/>
          <w:szCs w:val="24"/>
        </w:rPr>
        <w:t xml:space="preserve">Edward </w:t>
      </w:r>
      <w:r w:rsidR="00E018E8">
        <w:rPr>
          <w:sz w:val="24"/>
          <w:szCs w:val="24"/>
        </w:rPr>
        <w:t>O’Connor</w:t>
      </w:r>
      <w:r w:rsidRPr="00BE24E5">
        <w:rPr>
          <w:sz w:val="24"/>
          <w:szCs w:val="24"/>
        </w:rPr>
        <w:t xml:space="preserve"> </w:t>
      </w:r>
      <w:r w:rsidRPr="00BE24E5">
        <w:rPr>
          <w:sz w:val="24"/>
          <w:szCs w:val="24"/>
        </w:rPr>
        <w:tab/>
      </w:r>
      <w:r w:rsidRPr="00BE24E5">
        <w:rPr>
          <w:sz w:val="24"/>
          <w:szCs w:val="24"/>
        </w:rPr>
        <w:tab/>
      </w:r>
      <w:r w:rsidRPr="00BE24E5">
        <w:rPr>
          <w:sz w:val="24"/>
          <w:szCs w:val="24"/>
        </w:rPr>
        <w:tab/>
      </w:r>
      <w:r w:rsidRPr="00BE24E5">
        <w:rPr>
          <w:sz w:val="24"/>
          <w:szCs w:val="24"/>
        </w:rPr>
        <w:tab/>
      </w:r>
      <w:r w:rsidR="00CB4639">
        <w:rPr>
          <w:sz w:val="24"/>
          <w:szCs w:val="24"/>
        </w:rPr>
        <w:tab/>
      </w:r>
      <w:r w:rsidRPr="00BE24E5">
        <w:rPr>
          <w:sz w:val="24"/>
          <w:szCs w:val="24"/>
        </w:rPr>
        <w:t>:</w:t>
      </w:r>
      <w:r w:rsidRPr="00BE24E5">
        <w:rPr>
          <w:sz w:val="24"/>
          <w:szCs w:val="24"/>
        </w:rPr>
        <w:tab/>
      </w:r>
      <w:r w:rsidR="00485C46">
        <w:rPr>
          <w:sz w:val="24"/>
          <w:szCs w:val="24"/>
        </w:rPr>
        <w:tab/>
      </w:r>
      <w:r w:rsidR="009433A0" w:rsidRPr="00BE24E5">
        <w:rPr>
          <w:spacing w:val="-3"/>
          <w:sz w:val="24"/>
          <w:szCs w:val="24"/>
        </w:rPr>
        <w:t>C-2014-2460166</w:t>
      </w:r>
    </w:p>
    <w:p w:rsidR="009433A0" w:rsidRPr="00BE24E5" w:rsidRDefault="00BE24E5" w:rsidP="009433A0">
      <w:pPr>
        <w:tabs>
          <w:tab w:val="left" w:pos="-720"/>
        </w:tabs>
        <w:suppressAutoHyphens/>
        <w:rPr>
          <w:spacing w:val="-3"/>
          <w:sz w:val="24"/>
          <w:szCs w:val="24"/>
        </w:rPr>
      </w:pPr>
      <w:r>
        <w:rPr>
          <w:spacing w:val="-3"/>
          <w:sz w:val="24"/>
          <w:szCs w:val="24"/>
        </w:rPr>
        <w:t>Emma Dolan</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CB4639">
        <w:rPr>
          <w:spacing w:val="-3"/>
          <w:sz w:val="24"/>
          <w:szCs w:val="24"/>
        </w:rPr>
        <w:tab/>
      </w:r>
      <w:r>
        <w:rPr>
          <w:spacing w:val="-3"/>
          <w:sz w:val="24"/>
          <w:szCs w:val="24"/>
        </w:rPr>
        <w:t>:</w:t>
      </w:r>
      <w:r>
        <w:rPr>
          <w:spacing w:val="-3"/>
          <w:sz w:val="24"/>
          <w:szCs w:val="24"/>
        </w:rPr>
        <w:tab/>
      </w:r>
      <w:r w:rsidR="00485C46">
        <w:rPr>
          <w:spacing w:val="-3"/>
          <w:sz w:val="24"/>
          <w:szCs w:val="24"/>
        </w:rPr>
        <w:tab/>
      </w:r>
      <w:r w:rsidR="009433A0" w:rsidRPr="00BE24E5">
        <w:rPr>
          <w:spacing w:val="-3"/>
          <w:sz w:val="24"/>
          <w:szCs w:val="24"/>
        </w:rPr>
        <w:t>C-2014-2460197</w:t>
      </w:r>
    </w:p>
    <w:p w:rsidR="00BE24E5" w:rsidRDefault="00BE24E5">
      <w:pPr>
        <w:rPr>
          <w:sz w:val="24"/>
          <w:szCs w:val="24"/>
        </w:rPr>
      </w:pPr>
      <w:r w:rsidRPr="00BE24E5">
        <w:rPr>
          <w:sz w:val="24"/>
          <w:szCs w:val="24"/>
        </w:rPr>
        <w:t>Cindy Luke</w:t>
      </w:r>
      <w:r w:rsidR="009433A0">
        <w:tab/>
      </w:r>
      <w:r w:rsidR="009433A0">
        <w:tab/>
      </w:r>
      <w:r w:rsidR="009433A0">
        <w:tab/>
      </w:r>
      <w:r w:rsidR="009433A0">
        <w:tab/>
      </w:r>
      <w:r w:rsidR="009433A0">
        <w:tab/>
      </w:r>
      <w:r w:rsidR="00CB4639">
        <w:tab/>
      </w:r>
      <w:r w:rsidR="009433A0" w:rsidRPr="00CB4639">
        <w:rPr>
          <w:sz w:val="24"/>
          <w:szCs w:val="24"/>
        </w:rPr>
        <w:t>:</w:t>
      </w:r>
      <w:r w:rsidR="009433A0">
        <w:tab/>
      </w:r>
      <w:r w:rsidR="00485C46">
        <w:tab/>
      </w:r>
      <w:r w:rsidR="009433A0" w:rsidRPr="009433A0">
        <w:rPr>
          <w:sz w:val="24"/>
          <w:szCs w:val="24"/>
        </w:rPr>
        <w:t>C-2014-2460595</w:t>
      </w:r>
    </w:p>
    <w:p w:rsidR="009433A0" w:rsidRDefault="00BE24E5">
      <w:pPr>
        <w:rPr>
          <w:sz w:val="24"/>
          <w:szCs w:val="24"/>
        </w:rPr>
      </w:pPr>
      <w:r>
        <w:rPr>
          <w:sz w:val="24"/>
          <w:szCs w:val="24"/>
        </w:rPr>
        <w:t xml:space="preserve">Robert Bajkowski </w:t>
      </w:r>
      <w:r>
        <w:rPr>
          <w:sz w:val="24"/>
          <w:szCs w:val="24"/>
        </w:rPr>
        <w:tab/>
      </w:r>
      <w:r>
        <w:rPr>
          <w:sz w:val="24"/>
          <w:szCs w:val="24"/>
        </w:rPr>
        <w:tab/>
      </w:r>
      <w:r>
        <w:rPr>
          <w:sz w:val="24"/>
          <w:szCs w:val="24"/>
        </w:rPr>
        <w:tab/>
      </w:r>
      <w:r>
        <w:rPr>
          <w:sz w:val="24"/>
          <w:szCs w:val="24"/>
        </w:rPr>
        <w:tab/>
      </w:r>
      <w:r w:rsidR="00CB4639">
        <w:rPr>
          <w:sz w:val="24"/>
          <w:szCs w:val="24"/>
        </w:rPr>
        <w:tab/>
      </w:r>
      <w:r>
        <w:rPr>
          <w:sz w:val="24"/>
          <w:szCs w:val="24"/>
        </w:rPr>
        <w:t>:</w:t>
      </w:r>
      <w:r>
        <w:rPr>
          <w:sz w:val="24"/>
          <w:szCs w:val="24"/>
        </w:rPr>
        <w:tab/>
      </w:r>
      <w:r w:rsidR="00485C46">
        <w:rPr>
          <w:sz w:val="24"/>
          <w:szCs w:val="24"/>
        </w:rPr>
        <w:tab/>
      </w:r>
      <w:r w:rsidR="009433A0" w:rsidRPr="009433A0">
        <w:rPr>
          <w:sz w:val="24"/>
          <w:szCs w:val="24"/>
        </w:rPr>
        <w:t>C-2014-2460601</w:t>
      </w:r>
    </w:p>
    <w:p w:rsidR="00BE24E5" w:rsidRDefault="00BE24E5" w:rsidP="00BE24E5">
      <w:pPr>
        <w:rPr>
          <w:sz w:val="24"/>
          <w:szCs w:val="24"/>
        </w:rPr>
      </w:pPr>
      <w:r>
        <w:rPr>
          <w:sz w:val="24"/>
          <w:szCs w:val="24"/>
        </w:rPr>
        <w:t>Anthony and Sandra Barlotta</w:t>
      </w:r>
      <w:r>
        <w:rPr>
          <w:sz w:val="24"/>
          <w:szCs w:val="24"/>
        </w:rPr>
        <w:tab/>
      </w:r>
      <w:r>
        <w:rPr>
          <w:sz w:val="24"/>
          <w:szCs w:val="24"/>
        </w:rPr>
        <w:tab/>
      </w:r>
      <w:r>
        <w:rPr>
          <w:sz w:val="24"/>
          <w:szCs w:val="24"/>
        </w:rPr>
        <w:tab/>
      </w:r>
      <w:r w:rsidR="00CB4639">
        <w:rPr>
          <w:sz w:val="24"/>
          <w:szCs w:val="24"/>
        </w:rPr>
        <w:tab/>
      </w:r>
      <w:r>
        <w:rPr>
          <w:sz w:val="24"/>
          <w:szCs w:val="24"/>
        </w:rPr>
        <w:t>:</w:t>
      </w:r>
      <w:r>
        <w:rPr>
          <w:sz w:val="24"/>
          <w:szCs w:val="24"/>
        </w:rPr>
        <w:tab/>
      </w:r>
      <w:r w:rsidR="00485C46">
        <w:rPr>
          <w:sz w:val="24"/>
          <w:szCs w:val="24"/>
        </w:rPr>
        <w:tab/>
      </w:r>
      <w:r>
        <w:rPr>
          <w:sz w:val="24"/>
          <w:szCs w:val="24"/>
        </w:rPr>
        <w:t>C-2014-2461561</w:t>
      </w:r>
    </w:p>
    <w:p w:rsidR="003F6830" w:rsidRDefault="00F148C8" w:rsidP="00BE24E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3F6830" w:rsidRDefault="00CB4639" w:rsidP="00BE24E5">
      <w:pPr>
        <w:rPr>
          <w:sz w:val="24"/>
          <w:szCs w:val="24"/>
        </w:rPr>
      </w:pPr>
      <w:r>
        <w:rPr>
          <w:sz w:val="24"/>
          <w:szCs w:val="24"/>
        </w:rPr>
        <w:tab/>
      </w:r>
      <w:r w:rsidR="003F6830">
        <w:rPr>
          <w:sz w:val="24"/>
          <w:szCs w:val="24"/>
        </w:rPr>
        <w:t>v.</w:t>
      </w:r>
      <w:r w:rsidR="00F148C8">
        <w:rPr>
          <w:sz w:val="24"/>
          <w:szCs w:val="24"/>
        </w:rPr>
        <w:tab/>
      </w:r>
      <w:r w:rsidR="00F148C8">
        <w:rPr>
          <w:sz w:val="24"/>
          <w:szCs w:val="24"/>
        </w:rPr>
        <w:tab/>
      </w:r>
      <w:r w:rsidR="00F148C8">
        <w:rPr>
          <w:sz w:val="24"/>
          <w:szCs w:val="24"/>
        </w:rPr>
        <w:tab/>
      </w:r>
      <w:r w:rsidR="00F148C8">
        <w:rPr>
          <w:sz w:val="24"/>
          <w:szCs w:val="24"/>
        </w:rPr>
        <w:tab/>
      </w:r>
      <w:r w:rsidR="00F148C8">
        <w:rPr>
          <w:sz w:val="24"/>
          <w:szCs w:val="24"/>
        </w:rPr>
        <w:tab/>
      </w:r>
      <w:r w:rsidR="00F148C8">
        <w:rPr>
          <w:sz w:val="24"/>
          <w:szCs w:val="24"/>
        </w:rPr>
        <w:tab/>
        <w:t>:</w:t>
      </w:r>
    </w:p>
    <w:p w:rsidR="003F6830" w:rsidRDefault="00F148C8" w:rsidP="00BE24E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3F6830" w:rsidRDefault="003F6830" w:rsidP="00BE24E5">
      <w:pPr>
        <w:rPr>
          <w:sz w:val="24"/>
          <w:szCs w:val="24"/>
        </w:rPr>
      </w:pPr>
      <w:r>
        <w:rPr>
          <w:sz w:val="24"/>
          <w:szCs w:val="24"/>
        </w:rPr>
        <w:t>Delaware Sewer Company</w:t>
      </w:r>
      <w:r w:rsidR="00F148C8">
        <w:rPr>
          <w:sz w:val="24"/>
          <w:szCs w:val="24"/>
        </w:rPr>
        <w:tab/>
      </w:r>
      <w:r w:rsidR="00F148C8">
        <w:rPr>
          <w:sz w:val="24"/>
          <w:szCs w:val="24"/>
        </w:rPr>
        <w:tab/>
      </w:r>
      <w:r w:rsidR="00F148C8">
        <w:rPr>
          <w:sz w:val="24"/>
          <w:szCs w:val="24"/>
        </w:rPr>
        <w:tab/>
      </w:r>
      <w:r w:rsidR="00F148C8">
        <w:rPr>
          <w:sz w:val="24"/>
          <w:szCs w:val="24"/>
        </w:rPr>
        <w:tab/>
        <w:t>:</w:t>
      </w:r>
    </w:p>
    <w:p w:rsidR="004E56BB" w:rsidRDefault="004E56BB">
      <w:pPr>
        <w:rPr>
          <w:sz w:val="24"/>
          <w:szCs w:val="24"/>
        </w:rPr>
      </w:pPr>
    </w:p>
    <w:p w:rsidR="001713DF" w:rsidRDefault="001713DF">
      <w:pPr>
        <w:rPr>
          <w:sz w:val="24"/>
          <w:szCs w:val="24"/>
        </w:rPr>
      </w:pPr>
    </w:p>
    <w:p w:rsidR="009433A0" w:rsidRDefault="009433A0">
      <w:pPr>
        <w:rPr>
          <w:sz w:val="24"/>
          <w:szCs w:val="24"/>
        </w:rPr>
      </w:pPr>
    </w:p>
    <w:p w:rsidR="00266117" w:rsidRDefault="009433A0" w:rsidP="009433A0">
      <w:pPr>
        <w:jc w:val="center"/>
        <w:rPr>
          <w:b/>
          <w:sz w:val="24"/>
          <w:szCs w:val="24"/>
          <w:u w:val="single"/>
        </w:rPr>
      </w:pPr>
      <w:r w:rsidRPr="009433A0">
        <w:rPr>
          <w:b/>
          <w:sz w:val="24"/>
          <w:szCs w:val="24"/>
          <w:u w:val="single"/>
        </w:rPr>
        <w:t>RECOMMENDED DECISION</w:t>
      </w:r>
    </w:p>
    <w:p w:rsidR="00473236" w:rsidRDefault="00473236" w:rsidP="009433A0">
      <w:pPr>
        <w:jc w:val="center"/>
        <w:rPr>
          <w:b/>
          <w:sz w:val="24"/>
          <w:szCs w:val="24"/>
          <w:u w:val="single"/>
        </w:rPr>
      </w:pPr>
    </w:p>
    <w:p w:rsidR="00CB4639" w:rsidRPr="009433A0" w:rsidRDefault="00CB4639" w:rsidP="009433A0">
      <w:pPr>
        <w:jc w:val="center"/>
        <w:rPr>
          <w:b/>
          <w:sz w:val="24"/>
          <w:szCs w:val="24"/>
          <w:u w:val="single"/>
        </w:rPr>
      </w:pPr>
    </w:p>
    <w:p w:rsidR="009433A0" w:rsidRPr="00DE562E" w:rsidRDefault="009433A0" w:rsidP="009433A0">
      <w:pPr>
        <w:jc w:val="center"/>
        <w:outlineLvl w:val="0"/>
        <w:rPr>
          <w:sz w:val="24"/>
          <w:szCs w:val="24"/>
        </w:rPr>
      </w:pPr>
      <w:r w:rsidRPr="00DE562E">
        <w:rPr>
          <w:sz w:val="24"/>
          <w:szCs w:val="24"/>
        </w:rPr>
        <w:t>Before</w:t>
      </w:r>
    </w:p>
    <w:p w:rsidR="009433A0" w:rsidRPr="00DE562E" w:rsidRDefault="009433A0" w:rsidP="009433A0">
      <w:pPr>
        <w:jc w:val="center"/>
        <w:rPr>
          <w:sz w:val="24"/>
          <w:szCs w:val="24"/>
        </w:rPr>
      </w:pPr>
      <w:r>
        <w:rPr>
          <w:sz w:val="24"/>
          <w:szCs w:val="24"/>
        </w:rPr>
        <w:t>Ember S. Jandebeur</w:t>
      </w:r>
    </w:p>
    <w:p w:rsidR="00216626" w:rsidRDefault="009433A0" w:rsidP="009433A0">
      <w:pPr>
        <w:jc w:val="center"/>
        <w:rPr>
          <w:sz w:val="24"/>
          <w:szCs w:val="24"/>
        </w:rPr>
      </w:pPr>
      <w:r w:rsidRPr="00DE562E">
        <w:rPr>
          <w:sz w:val="24"/>
          <w:szCs w:val="24"/>
        </w:rPr>
        <w:t>Administrative Law Judge</w:t>
      </w:r>
      <w:r>
        <w:rPr>
          <w:sz w:val="24"/>
          <w:szCs w:val="24"/>
        </w:rPr>
        <w:t xml:space="preserve"> </w:t>
      </w:r>
    </w:p>
    <w:p w:rsidR="00216626" w:rsidRDefault="00216626">
      <w:pPr>
        <w:spacing w:after="200" w:line="276" w:lineRule="auto"/>
        <w:rPr>
          <w:sz w:val="24"/>
          <w:szCs w:val="24"/>
        </w:rPr>
      </w:pPr>
    </w:p>
    <w:p w:rsidR="009433A0" w:rsidRPr="00AC778E" w:rsidRDefault="00AC778E" w:rsidP="00AC778E">
      <w:pPr>
        <w:jc w:val="center"/>
        <w:rPr>
          <w:sz w:val="24"/>
          <w:szCs w:val="24"/>
          <w:u w:val="single"/>
        </w:rPr>
      </w:pPr>
      <w:r w:rsidRPr="00AC778E">
        <w:rPr>
          <w:sz w:val="24"/>
          <w:szCs w:val="24"/>
          <w:u w:val="single"/>
        </w:rPr>
        <w:t>INTRODUCTION</w:t>
      </w:r>
    </w:p>
    <w:p w:rsidR="00AC778E" w:rsidRDefault="00AC778E" w:rsidP="00AC778E">
      <w:pPr>
        <w:spacing w:line="360" w:lineRule="auto"/>
        <w:ind w:firstLine="1440"/>
        <w:rPr>
          <w:szCs w:val="24"/>
        </w:rPr>
      </w:pPr>
    </w:p>
    <w:p w:rsidR="00AC778E" w:rsidRPr="00AC778E" w:rsidRDefault="00AC778E" w:rsidP="00AC778E">
      <w:pPr>
        <w:spacing w:line="360" w:lineRule="auto"/>
        <w:ind w:firstLine="1440"/>
        <w:rPr>
          <w:sz w:val="24"/>
          <w:szCs w:val="24"/>
        </w:rPr>
      </w:pPr>
      <w:r w:rsidRPr="00AC778E">
        <w:rPr>
          <w:sz w:val="24"/>
          <w:szCs w:val="24"/>
        </w:rPr>
        <w:t xml:space="preserve">On November 7, 2014, Delaware Sewer Company (DSC) filed for permission to increase </w:t>
      </w:r>
      <w:r w:rsidR="00746586">
        <w:rPr>
          <w:sz w:val="24"/>
          <w:szCs w:val="24"/>
        </w:rPr>
        <w:t xml:space="preserve">its </w:t>
      </w:r>
      <w:r w:rsidRPr="00AC778E">
        <w:rPr>
          <w:sz w:val="24"/>
          <w:szCs w:val="24"/>
        </w:rPr>
        <w:t>rates by $</w:t>
      </w:r>
      <w:r w:rsidR="00A27948">
        <w:rPr>
          <w:sz w:val="24"/>
          <w:szCs w:val="24"/>
        </w:rPr>
        <w:t>67,663 or 258%</w:t>
      </w:r>
      <w:r w:rsidR="00746586">
        <w:rPr>
          <w:sz w:val="24"/>
          <w:szCs w:val="24"/>
        </w:rPr>
        <w:t xml:space="preserve">. </w:t>
      </w:r>
      <w:r w:rsidRPr="00AC778E">
        <w:rPr>
          <w:sz w:val="24"/>
          <w:szCs w:val="24"/>
        </w:rPr>
        <w:t xml:space="preserve"> </w:t>
      </w:r>
      <w:r w:rsidR="00746586">
        <w:rPr>
          <w:sz w:val="24"/>
          <w:szCs w:val="24"/>
        </w:rPr>
        <w:t>A</w:t>
      </w:r>
      <w:r w:rsidRPr="00AC778E">
        <w:rPr>
          <w:sz w:val="24"/>
          <w:szCs w:val="24"/>
        </w:rPr>
        <w:t xml:space="preserve">t the public meeting of </w:t>
      </w:r>
      <w:r>
        <w:rPr>
          <w:sz w:val="24"/>
          <w:szCs w:val="24"/>
        </w:rPr>
        <w:t>December 18, 2014</w:t>
      </w:r>
      <w:r w:rsidRPr="00AC778E">
        <w:rPr>
          <w:sz w:val="24"/>
          <w:szCs w:val="24"/>
        </w:rPr>
        <w:t>, the Commission suspended the filing for investigation</w:t>
      </w:r>
      <w:r w:rsidR="00A27948">
        <w:rPr>
          <w:sz w:val="24"/>
          <w:szCs w:val="24"/>
        </w:rPr>
        <w:t xml:space="preserve"> until</w:t>
      </w:r>
      <w:r w:rsidRPr="00AC778E">
        <w:rPr>
          <w:sz w:val="24"/>
          <w:szCs w:val="24"/>
        </w:rPr>
        <w:t xml:space="preserve"> </w:t>
      </w:r>
      <w:r>
        <w:rPr>
          <w:sz w:val="24"/>
          <w:szCs w:val="24"/>
        </w:rPr>
        <w:t>August 7, 2015</w:t>
      </w:r>
      <w:r w:rsidRPr="00AC778E">
        <w:rPr>
          <w:sz w:val="24"/>
          <w:szCs w:val="24"/>
        </w:rPr>
        <w:t>.</w:t>
      </w:r>
    </w:p>
    <w:p w:rsidR="00AC778E" w:rsidRPr="00AC778E" w:rsidRDefault="00AC778E" w:rsidP="00AC778E">
      <w:pPr>
        <w:spacing w:line="360" w:lineRule="auto"/>
        <w:ind w:firstLine="1440"/>
        <w:rPr>
          <w:sz w:val="24"/>
          <w:szCs w:val="24"/>
        </w:rPr>
      </w:pPr>
      <w:r w:rsidRPr="00AC778E">
        <w:rPr>
          <w:sz w:val="24"/>
          <w:szCs w:val="24"/>
        </w:rPr>
        <w:lastRenderedPageBreak/>
        <w:t xml:space="preserve">Other parties have made alternative recommendations.  The Office of Consumer Advocate (OCA) stated </w:t>
      </w:r>
      <w:r w:rsidR="007A4ED1">
        <w:rPr>
          <w:sz w:val="24"/>
          <w:szCs w:val="24"/>
        </w:rPr>
        <w:t>that DSC</w:t>
      </w:r>
      <w:r w:rsidRPr="00AC778E">
        <w:rPr>
          <w:sz w:val="24"/>
          <w:szCs w:val="24"/>
        </w:rPr>
        <w:t xml:space="preserve"> </w:t>
      </w:r>
      <w:r w:rsidR="00A27948">
        <w:rPr>
          <w:sz w:val="24"/>
          <w:szCs w:val="24"/>
        </w:rPr>
        <w:t xml:space="preserve">should not be given a rate increase because it has not </w:t>
      </w:r>
      <w:r w:rsidR="003927FD">
        <w:rPr>
          <w:sz w:val="24"/>
          <w:szCs w:val="24"/>
        </w:rPr>
        <w:t xml:space="preserve">properly </w:t>
      </w:r>
      <w:r w:rsidR="00A27948">
        <w:rPr>
          <w:sz w:val="24"/>
          <w:szCs w:val="24"/>
        </w:rPr>
        <w:t xml:space="preserve">operated and managed </w:t>
      </w:r>
      <w:r w:rsidR="007A4ED1">
        <w:rPr>
          <w:sz w:val="24"/>
          <w:szCs w:val="24"/>
        </w:rPr>
        <w:t>DSC</w:t>
      </w:r>
      <w:r w:rsidR="003927FD">
        <w:rPr>
          <w:sz w:val="24"/>
          <w:szCs w:val="24"/>
        </w:rPr>
        <w:t xml:space="preserve">.  </w:t>
      </w:r>
      <w:r w:rsidRPr="00AC778E">
        <w:rPr>
          <w:sz w:val="24"/>
          <w:szCs w:val="24"/>
        </w:rPr>
        <w:t xml:space="preserve">  </w:t>
      </w:r>
    </w:p>
    <w:p w:rsidR="00AC778E" w:rsidRPr="00AC778E" w:rsidRDefault="00AC778E" w:rsidP="00AC778E">
      <w:pPr>
        <w:spacing w:line="360" w:lineRule="auto"/>
        <w:ind w:firstLine="1440"/>
        <w:rPr>
          <w:sz w:val="24"/>
          <w:szCs w:val="24"/>
        </w:rPr>
      </w:pPr>
    </w:p>
    <w:p w:rsidR="00AC778E" w:rsidRDefault="003927FD" w:rsidP="00AC778E">
      <w:pPr>
        <w:spacing w:line="360" w:lineRule="auto"/>
        <w:ind w:firstLine="1440"/>
        <w:rPr>
          <w:sz w:val="24"/>
          <w:szCs w:val="24"/>
        </w:rPr>
      </w:pPr>
      <w:r>
        <w:rPr>
          <w:sz w:val="24"/>
          <w:szCs w:val="24"/>
        </w:rPr>
        <w:t>T</w:t>
      </w:r>
      <w:r w:rsidR="00AC778E" w:rsidRPr="00AC778E">
        <w:rPr>
          <w:sz w:val="24"/>
          <w:szCs w:val="24"/>
        </w:rPr>
        <w:t>he Commission</w:t>
      </w:r>
      <w:r w:rsidR="00F4492F">
        <w:rPr>
          <w:sz w:val="24"/>
          <w:szCs w:val="24"/>
        </w:rPr>
        <w:t>’</w:t>
      </w:r>
      <w:r w:rsidR="00AC778E" w:rsidRPr="00AC778E">
        <w:rPr>
          <w:sz w:val="24"/>
          <w:szCs w:val="24"/>
        </w:rPr>
        <w:t>s Bureau of I</w:t>
      </w:r>
      <w:r>
        <w:rPr>
          <w:sz w:val="24"/>
          <w:szCs w:val="24"/>
        </w:rPr>
        <w:t>nvestigation and Enforcement (BI&amp;E)</w:t>
      </w:r>
      <w:r w:rsidR="00AC778E" w:rsidRPr="00AC778E">
        <w:rPr>
          <w:sz w:val="24"/>
          <w:szCs w:val="24"/>
        </w:rPr>
        <w:t xml:space="preserve"> argues that the </w:t>
      </w:r>
      <w:r>
        <w:rPr>
          <w:sz w:val="24"/>
          <w:szCs w:val="24"/>
        </w:rPr>
        <w:t>DSC</w:t>
      </w:r>
      <w:r w:rsidR="00AC778E" w:rsidRPr="00AC778E">
        <w:rPr>
          <w:sz w:val="24"/>
          <w:szCs w:val="24"/>
        </w:rPr>
        <w:t xml:space="preserve"> has failed to prove that it is entitled to the amount proposed</w:t>
      </w:r>
      <w:r>
        <w:rPr>
          <w:sz w:val="24"/>
          <w:szCs w:val="24"/>
        </w:rPr>
        <w:t xml:space="preserve"> and proposes a lesser amount.</w:t>
      </w:r>
    </w:p>
    <w:p w:rsidR="0016524F" w:rsidRDefault="0016524F" w:rsidP="00AC778E">
      <w:pPr>
        <w:spacing w:line="360" w:lineRule="auto"/>
        <w:ind w:firstLine="1440"/>
        <w:rPr>
          <w:sz w:val="24"/>
          <w:szCs w:val="24"/>
        </w:rPr>
      </w:pPr>
      <w:r>
        <w:rPr>
          <w:sz w:val="24"/>
          <w:szCs w:val="24"/>
        </w:rPr>
        <w:t>DSC serves 38 flat rate</w:t>
      </w:r>
      <w:r w:rsidR="00FF0596">
        <w:rPr>
          <w:sz w:val="24"/>
          <w:szCs w:val="24"/>
        </w:rPr>
        <w:t xml:space="preserve"> residential</w:t>
      </w:r>
      <w:r>
        <w:rPr>
          <w:sz w:val="24"/>
          <w:szCs w:val="24"/>
        </w:rPr>
        <w:t xml:space="preserve"> customers. </w:t>
      </w:r>
    </w:p>
    <w:p w:rsidR="007A07C1" w:rsidRPr="00AC778E" w:rsidRDefault="007A07C1" w:rsidP="00AC778E">
      <w:pPr>
        <w:spacing w:line="360" w:lineRule="auto"/>
        <w:ind w:firstLine="1440"/>
        <w:rPr>
          <w:sz w:val="24"/>
          <w:szCs w:val="24"/>
        </w:rPr>
      </w:pPr>
    </w:p>
    <w:p w:rsidR="00AC778E" w:rsidRDefault="00AC778E" w:rsidP="00640060">
      <w:pPr>
        <w:spacing w:line="360" w:lineRule="auto"/>
        <w:ind w:firstLine="1440"/>
        <w:rPr>
          <w:b/>
          <w:sz w:val="24"/>
          <w:szCs w:val="24"/>
        </w:rPr>
      </w:pPr>
      <w:r w:rsidRPr="00AC778E">
        <w:rPr>
          <w:sz w:val="24"/>
          <w:szCs w:val="24"/>
        </w:rPr>
        <w:t xml:space="preserve">For the reasons set forth in the Recommended Decision below, </w:t>
      </w:r>
      <w:r w:rsidR="003927FD">
        <w:rPr>
          <w:sz w:val="24"/>
          <w:szCs w:val="24"/>
        </w:rPr>
        <w:t>D</w:t>
      </w:r>
      <w:r w:rsidR="00F4492F">
        <w:rPr>
          <w:sz w:val="24"/>
          <w:szCs w:val="24"/>
        </w:rPr>
        <w:t>SC</w:t>
      </w:r>
      <w:r w:rsidR="003927FD">
        <w:rPr>
          <w:sz w:val="24"/>
          <w:szCs w:val="24"/>
        </w:rPr>
        <w:t xml:space="preserve"> should be allowed a r</w:t>
      </w:r>
      <w:r w:rsidR="007B2CDD">
        <w:rPr>
          <w:sz w:val="24"/>
          <w:szCs w:val="24"/>
        </w:rPr>
        <w:t>ate increase</w:t>
      </w:r>
      <w:r w:rsidR="00170D58">
        <w:rPr>
          <w:sz w:val="24"/>
          <w:szCs w:val="24"/>
        </w:rPr>
        <w:t xml:space="preserve"> that brings the customer’s monthly bill from $52 per month to $85.90 monthly</w:t>
      </w:r>
      <w:r w:rsidR="00F44E47">
        <w:rPr>
          <w:sz w:val="24"/>
          <w:szCs w:val="24"/>
        </w:rPr>
        <w:t xml:space="preserve"> or a 65% </w:t>
      </w:r>
      <w:r w:rsidR="00CF12E8">
        <w:rPr>
          <w:sz w:val="24"/>
          <w:szCs w:val="24"/>
        </w:rPr>
        <w:t>increase</w:t>
      </w:r>
      <w:r w:rsidR="007B2CDD">
        <w:rPr>
          <w:sz w:val="24"/>
          <w:szCs w:val="24"/>
        </w:rPr>
        <w:t>.</w:t>
      </w:r>
      <w:r w:rsidR="005A5103">
        <w:rPr>
          <w:sz w:val="24"/>
          <w:szCs w:val="24"/>
        </w:rPr>
        <w:t xml:space="preserve"> </w:t>
      </w:r>
      <w:r w:rsidR="004D0E3E">
        <w:rPr>
          <w:sz w:val="24"/>
          <w:szCs w:val="24"/>
        </w:rPr>
        <w:t>DSC’s current annual income is $23,825, my recommended annual income is $39,171 or a 64.4% increase.</w:t>
      </w:r>
    </w:p>
    <w:p w:rsidR="00AC778E" w:rsidRPr="006A21C2" w:rsidRDefault="00AC778E" w:rsidP="00AC778E">
      <w:pPr>
        <w:rPr>
          <w:b/>
          <w:sz w:val="24"/>
          <w:szCs w:val="24"/>
        </w:rPr>
      </w:pPr>
    </w:p>
    <w:p w:rsidR="009433A0" w:rsidRDefault="009433A0" w:rsidP="009433A0">
      <w:pPr>
        <w:spacing w:line="360" w:lineRule="auto"/>
        <w:jc w:val="center"/>
        <w:rPr>
          <w:sz w:val="24"/>
          <w:szCs w:val="24"/>
          <w:u w:val="single"/>
        </w:rPr>
      </w:pPr>
      <w:r>
        <w:rPr>
          <w:sz w:val="24"/>
          <w:szCs w:val="24"/>
          <w:u w:val="single"/>
        </w:rPr>
        <w:t>HISTORY OF THE PROCEEDINGS</w:t>
      </w:r>
    </w:p>
    <w:p w:rsidR="00473236" w:rsidRDefault="00473236" w:rsidP="009433A0">
      <w:pPr>
        <w:spacing w:line="360" w:lineRule="auto"/>
        <w:jc w:val="center"/>
        <w:rPr>
          <w:sz w:val="24"/>
          <w:szCs w:val="24"/>
          <w:u w:val="single"/>
        </w:rPr>
      </w:pPr>
    </w:p>
    <w:p w:rsidR="009433A0" w:rsidRDefault="00473236" w:rsidP="009433A0">
      <w:pPr>
        <w:spacing w:line="360" w:lineRule="auto"/>
        <w:ind w:firstLine="1440"/>
        <w:rPr>
          <w:sz w:val="24"/>
          <w:szCs w:val="24"/>
        </w:rPr>
      </w:pPr>
      <w:r w:rsidRPr="00473236">
        <w:rPr>
          <w:sz w:val="24"/>
          <w:szCs w:val="24"/>
        </w:rPr>
        <w:t>On November 7, 2014,</w:t>
      </w:r>
      <w:r>
        <w:rPr>
          <w:sz w:val="24"/>
          <w:szCs w:val="24"/>
        </w:rPr>
        <w:t xml:space="preserve"> Delaware Sewer Company filed its Supplement No. 1 to Tariff Sewer – Pa. P.U.C. No. 1 to become effective January 7, 2015.  Supplement No. 1 proposes an increase</w:t>
      </w:r>
      <w:r w:rsidR="004E7265">
        <w:rPr>
          <w:sz w:val="24"/>
          <w:szCs w:val="24"/>
        </w:rPr>
        <w:t xml:space="preserve"> of additional revenues of $67,</w:t>
      </w:r>
      <w:r>
        <w:rPr>
          <w:sz w:val="24"/>
          <w:szCs w:val="24"/>
        </w:rPr>
        <w:t xml:space="preserve">663 or an approximate 285% increase. </w:t>
      </w:r>
    </w:p>
    <w:p w:rsidR="00473236" w:rsidRDefault="00473236" w:rsidP="009433A0">
      <w:pPr>
        <w:spacing w:line="360" w:lineRule="auto"/>
        <w:ind w:firstLine="1440"/>
        <w:rPr>
          <w:sz w:val="24"/>
          <w:szCs w:val="24"/>
        </w:rPr>
      </w:pPr>
    </w:p>
    <w:p w:rsidR="00473236" w:rsidRDefault="00473236" w:rsidP="009433A0">
      <w:pPr>
        <w:spacing w:line="360" w:lineRule="auto"/>
        <w:ind w:firstLine="1440"/>
        <w:rPr>
          <w:sz w:val="24"/>
          <w:szCs w:val="24"/>
        </w:rPr>
      </w:pPr>
      <w:r>
        <w:rPr>
          <w:sz w:val="24"/>
          <w:szCs w:val="24"/>
        </w:rPr>
        <w:t xml:space="preserve">On November 21, 2014, the Office of Consumer Advocate </w:t>
      </w:r>
      <w:r w:rsidR="007B2CDD">
        <w:rPr>
          <w:sz w:val="24"/>
          <w:szCs w:val="24"/>
        </w:rPr>
        <w:t>fil</w:t>
      </w:r>
      <w:r>
        <w:rPr>
          <w:sz w:val="24"/>
          <w:szCs w:val="24"/>
        </w:rPr>
        <w:t>ed a Formal Complaint at Docket No. C-2014-2454751.</w:t>
      </w:r>
    </w:p>
    <w:p w:rsidR="00FF5C2F" w:rsidRDefault="00FF5C2F" w:rsidP="009433A0">
      <w:pPr>
        <w:spacing w:line="360" w:lineRule="auto"/>
        <w:ind w:firstLine="1440"/>
        <w:rPr>
          <w:sz w:val="24"/>
          <w:szCs w:val="24"/>
        </w:rPr>
      </w:pPr>
    </w:p>
    <w:p w:rsidR="00FF5C2F" w:rsidRDefault="00FF5C2F" w:rsidP="009433A0">
      <w:pPr>
        <w:spacing w:line="360" w:lineRule="auto"/>
        <w:ind w:firstLine="1440"/>
        <w:rPr>
          <w:sz w:val="24"/>
          <w:szCs w:val="24"/>
        </w:rPr>
      </w:pPr>
      <w:r>
        <w:rPr>
          <w:sz w:val="24"/>
          <w:szCs w:val="24"/>
        </w:rPr>
        <w:t>On December 11, 2014, Scott B. Granger, Esq. filed a Notice of Appearance on behalf of the Commission’s Bureau</w:t>
      </w:r>
      <w:r w:rsidR="007B2CDD">
        <w:rPr>
          <w:sz w:val="24"/>
          <w:szCs w:val="24"/>
        </w:rPr>
        <w:t xml:space="preserve"> of Investigation &amp; Enforcement</w:t>
      </w:r>
      <w:r>
        <w:rPr>
          <w:sz w:val="24"/>
          <w:szCs w:val="24"/>
        </w:rPr>
        <w:t>.</w:t>
      </w:r>
    </w:p>
    <w:p w:rsidR="00473236" w:rsidRDefault="00473236" w:rsidP="009433A0">
      <w:pPr>
        <w:spacing w:line="360" w:lineRule="auto"/>
        <w:ind w:firstLine="1440"/>
        <w:rPr>
          <w:sz w:val="24"/>
          <w:szCs w:val="24"/>
        </w:rPr>
      </w:pPr>
    </w:p>
    <w:p w:rsidR="004E56BB" w:rsidRDefault="004E56BB" w:rsidP="009433A0">
      <w:pPr>
        <w:spacing w:line="360" w:lineRule="auto"/>
        <w:ind w:firstLine="1440"/>
        <w:rPr>
          <w:sz w:val="24"/>
          <w:szCs w:val="24"/>
        </w:rPr>
      </w:pPr>
      <w:r>
        <w:rPr>
          <w:sz w:val="24"/>
          <w:szCs w:val="24"/>
        </w:rPr>
        <w:t xml:space="preserve">On December 4, 2014, Debra </w:t>
      </w:r>
      <w:r w:rsidR="00E018E8">
        <w:rPr>
          <w:sz w:val="24"/>
          <w:szCs w:val="24"/>
        </w:rPr>
        <w:t>Michell</w:t>
      </w:r>
      <w:r>
        <w:rPr>
          <w:sz w:val="24"/>
          <w:szCs w:val="24"/>
        </w:rPr>
        <w:t xml:space="preserve"> filed a Formal Complaint at Docket No. C</w:t>
      </w:r>
      <w:r w:rsidR="00D45C46">
        <w:rPr>
          <w:sz w:val="24"/>
          <w:szCs w:val="24"/>
        </w:rPr>
        <w:noBreakHyphen/>
      </w:r>
      <w:r>
        <w:rPr>
          <w:sz w:val="24"/>
          <w:szCs w:val="24"/>
        </w:rPr>
        <w:t>2014-2457964, alleging that the rate increase requested is too extreme and that she is on a fixed income.</w:t>
      </w:r>
    </w:p>
    <w:p w:rsidR="004E56BB" w:rsidRDefault="004E56BB" w:rsidP="009433A0">
      <w:pPr>
        <w:spacing w:line="360" w:lineRule="auto"/>
        <w:ind w:firstLine="1440"/>
        <w:rPr>
          <w:sz w:val="24"/>
          <w:szCs w:val="24"/>
        </w:rPr>
      </w:pPr>
    </w:p>
    <w:p w:rsidR="004E56BB" w:rsidRDefault="004E56BB" w:rsidP="009433A0">
      <w:pPr>
        <w:spacing w:line="360" w:lineRule="auto"/>
        <w:ind w:firstLine="1440"/>
        <w:rPr>
          <w:sz w:val="24"/>
          <w:szCs w:val="24"/>
        </w:rPr>
      </w:pPr>
      <w:r>
        <w:rPr>
          <w:sz w:val="24"/>
          <w:szCs w:val="24"/>
        </w:rPr>
        <w:t>On December 5, 2014, Elizabeth Triplett filed a Formal Complaint at Docket No. C-2014-2457983, alleging that the rate increase requested is unfeasible and unfair.</w:t>
      </w:r>
    </w:p>
    <w:p w:rsidR="006B6716" w:rsidRDefault="006B6716" w:rsidP="009433A0">
      <w:pPr>
        <w:spacing w:line="360" w:lineRule="auto"/>
        <w:ind w:firstLine="1440"/>
        <w:rPr>
          <w:sz w:val="24"/>
          <w:szCs w:val="24"/>
        </w:rPr>
      </w:pPr>
    </w:p>
    <w:p w:rsidR="004E56BB" w:rsidRDefault="004E56BB" w:rsidP="009433A0">
      <w:pPr>
        <w:spacing w:line="360" w:lineRule="auto"/>
        <w:ind w:firstLine="1440"/>
        <w:rPr>
          <w:sz w:val="24"/>
          <w:szCs w:val="24"/>
        </w:rPr>
      </w:pPr>
      <w:r>
        <w:rPr>
          <w:sz w:val="24"/>
          <w:szCs w:val="24"/>
        </w:rPr>
        <w:t>On December 8, 2014, Frank Gorman filed a Formal Complaint at Docket No. C</w:t>
      </w:r>
      <w:r w:rsidR="001A124B">
        <w:rPr>
          <w:sz w:val="24"/>
          <w:szCs w:val="24"/>
        </w:rPr>
        <w:noBreakHyphen/>
      </w:r>
      <w:r>
        <w:rPr>
          <w:sz w:val="24"/>
          <w:szCs w:val="24"/>
        </w:rPr>
        <w:t>2014-2457976, objecting to the rate increase.</w:t>
      </w:r>
    </w:p>
    <w:p w:rsidR="004E56BB" w:rsidRDefault="004E56BB" w:rsidP="009433A0">
      <w:pPr>
        <w:spacing w:line="360" w:lineRule="auto"/>
        <w:ind w:firstLine="1440"/>
        <w:rPr>
          <w:sz w:val="24"/>
          <w:szCs w:val="24"/>
        </w:rPr>
      </w:pPr>
    </w:p>
    <w:p w:rsidR="004E56BB" w:rsidRDefault="004E56BB" w:rsidP="009433A0">
      <w:pPr>
        <w:spacing w:line="360" w:lineRule="auto"/>
        <w:ind w:firstLine="1440"/>
        <w:rPr>
          <w:sz w:val="24"/>
          <w:szCs w:val="24"/>
        </w:rPr>
      </w:pPr>
      <w:r>
        <w:rPr>
          <w:sz w:val="24"/>
          <w:szCs w:val="24"/>
        </w:rPr>
        <w:t>On December 8, 2014, Svetlana Perminova and Viktor Ushenko filed a Formal Complaint at Docket No. C-2014-2458029, alleging that the rate increase requested is ridiculous and unaffordable.</w:t>
      </w:r>
    </w:p>
    <w:p w:rsidR="00895FE2" w:rsidRDefault="00895FE2" w:rsidP="009433A0">
      <w:pPr>
        <w:spacing w:line="360" w:lineRule="auto"/>
        <w:ind w:firstLine="1440"/>
        <w:rPr>
          <w:sz w:val="24"/>
          <w:szCs w:val="24"/>
        </w:rPr>
      </w:pPr>
      <w:r>
        <w:rPr>
          <w:sz w:val="24"/>
          <w:szCs w:val="24"/>
        </w:rPr>
        <w:t xml:space="preserve"> </w:t>
      </w:r>
    </w:p>
    <w:p w:rsidR="00895FE2" w:rsidRDefault="00895FE2" w:rsidP="009433A0">
      <w:pPr>
        <w:spacing w:line="360" w:lineRule="auto"/>
        <w:ind w:firstLine="1440"/>
        <w:rPr>
          <w:sz w:val="24"/>
          <w:szCs w:val="24"/>
        </w:rPr>
      </w:pPr>
      <w:r>
        <w:rPr>
          <w:sz w:val="24"/>
          <w:szCs w:val="24"/>
        </w:rPr>
        <w:t>On December 11, 2014, Robert Autore filed a Formal Complaint at Docket No. C-2014-2457963, objecting to the requested rate increase.</w:t>
      </w:r>
    </w:p>
    <w:p w:rsidR="00895FE2" w:rsidRDefault="00895FE2" w:rsidP="009433A0">
      <w:pPr>
        <w:spacing w:line="360" w:lineRule="auto"/>
        <w:ind w:firstLine="1440"/>
        <w:rPr>
          <w:sz w:val="24"/>
          <w:szCs w:val="24"/>
        </w:rPr>
      </w:pPr>
    </w:p>
    <w:p w:rsidR="00895FE2" w:rsidRDefault="00895FE2" w:rsidP="009433A0">
      <w:pPr>
        <w:spacing w:line="360" w:lineRule="auto"/>
        <w:ind w:firstLine="1440"/>
        <w:rPr>
          <w:sz w:val="24"/>
          <w:szCs w:val="24"/>
        </w:rPr>
      </w:pPr>
      <w:r>
        <w:rPr>
          <w:sz w:val="24"/>
          <w:szCs w:val="24"/>
        </w:rPr>
        <w:t>On December 11, 2014, Grace Doll filed a Formal Complaint at Docket No. C</w:t>
      </w:r>
      <w:r w:rsidR="001A124B">
        <w:rPr>
          <w:sz w:val="24"/>
          <w:szCs w:val="24"/>
        </w:rPr>
        <w:noBreakHyphen/>
      </w:r>
      <w:r>
        <w:rPr>
          <w:sz w:val="24"/>
          <w:szCs w:val="24"/>
        </w:rPr>
        <w:t>2014-2458745, alleging that the requested rate increase is unreasonable.</w:t>
      </w:r>
    </w:p>
    <w:p w:rsidR="00895FE2" w:rsidRDefault="00895FE2" w:rsidP="009433A0">
      <w:pPr>
        <w:spacing w:line="360" w:lineRule="auto"/>
        <w:ind w:firstLine="1440"/>
        <w:rPr>
          <w:sz w:val="24"/>
          <w:szCs w:val="24"/>
        </w:rPr>
      </w:pPr>
    </w:p>
    <w:p w:rsidR="00895FE2" w:rsidRDefault="00895FE2" w:rsidP="009433A0">
      <w:pPr>
        <w:spacing w:line="360" w:lineRule="auto"/>
        <w:ind w:firstLine="1440"/>
        <w:rPr>
          <w:sz w:val="24"/>
          <w:szCs w:val="24"/>
        </w:rPr>
      </w:pPr>
      <w:r>
        <w:rPr>
          <w:sz w:val="24"/>
          <w:szCs w:val="24"/>
        </w:rPr>
        <w:t>On December 12, 2014, James and Michelle Conklin filed a Formal Complaint at Docket No. C-2014-2458122, alleging that the requested rate increase is absurd and that the utility should reconsider.</w:t>
      </w:r>
    </w:p>
    <w:p w:rsidR="00895FE2" w:rsidRDefault="00895FE2" w:rsidP="009433A0">
      <w:pPr>
        <w:spacing w:line="360" w:lineRule="auto"/>
        <w:ind w:firstLine="1440"/>
        <w:rPr>
          <w:sz w:val="24"/>
          <w:szCs w:val="24"/>
        </w:rPr>
      </w:pPr>
    </w:p>
    <w:p w:rsidR="00895FE2" w:rsidRDefault="00895FE2" w:rsidP="009433A0">
      <w:pPr>
        <w:spacing w:line="360" w:lineRule="auto"/>
        <w:ind w:firstLine="1440"/>
        <w:rPr>
          <w:sz w:val="24"/>
          <w:szCs w:val="24"/>
        </w:rPr>
      </w:pPr>
      <w:r>
        <w:rPr>
          <w:sz w:val="24"/>
          <w:szCs w:val="24"/>
        </w:rPr>
        <w:t xml:space="preserve">On December 12, 2014, Robert </w:t>
      </w:r>
      <w:r w:rsidR="00E018E8">
        <w:rPr>
          <w:sz w:val="24"/>
          <w:szCs w:val="24"/>
        </w:rPr>
        <w:t>Klayn</w:t>
      </w:r>
      <w:r>
        <w:rPr>
          <w:sz w:val="24"/>
          <w:szCs w:val="24"/>
        </w:rPr>
        <w:t xml:space="preserve"> filed a Formal Complaint at Docket No. C</w:t>
      </w:r>
      <w:r w:rsidR="001A124B">
        <w:rPr>
          <w:sz w:val="24"/>
          <w:szCs w:val="24"/>
        </w:rPr>
        <w:noBreakHyphen/>
      </w:r>
      <w:r>
        <w:rPr>
          <w:sz w:val="24"/>
          <w:szCs w:val="24"/>
        </w:rPr>
        <w:t>2014-2458135, alleging that the requested rate increase was unrealistic.</w:t>
      </w:r>
    </w:p>
    <w:p w:rsidR="00895FE2" w:rsidRDefault="00895FE2" w:rsidP="009433A0">
      <w:pPr>
        <w:spacing w:line="360" w:lineRule="auto"/>
        <w:ind w:firstLine="1440"/>
        <w:rPr>
          <w:sz w:val="24"/>
          <w:szCs w:val="24"/>
        </w:rPr>
      </w:pPr>
    </w:p>
    <w:p w:rsidR="00895FE2" w:rsidRDefault="00895FE2" w:rsidP="009433A0">
      <w:pPr>
        <w:spacing w:line="360" w:lineRule="auto"/>
        <w:ind w:firstLine="1440"/>
        <w:rPr>
          <w:sz w:val="24"/>
          <w:szCs w:val="24"/>
        </w:rPr>
      </w:pPr>
      <w:r>
        <w:rPr>
          <w:sz w:val="24"/>
          <w:szCs w:val="24"/>
        </w:rPr>
        <w:t>On December 15, 2014, George McGettigan filed a Formal Complaint at Docket No. C-2014-2458330, strongly objecting to the requested rate increase.</w:t>
      </w:r>
    </w:p>
    <w:p w:rsidR="00895FE2" w:rsidRDefault="00895FE2" w:rsidP="009433A0">
      <w:pPr>
        <w:spacing w:line="360" w:lineRule="auto"/>
        <w:ind w:firstLine="1440"/>
        <w:rPr>
          <w:sz w:val="24"/>
          <w:szCs w:val="24"/>
        </w:rPr>
      </w:pPr>
    </w:p>
    <w:p w:rsidR="00895FE2" w:rsidRDefault="00895FE2" w:rsidP="00895FE2">
      <w:pPr>
        <w:spacing w:line="360" w:lineRule="auto"/>
        <w:ind w:firstLine="1440"/>
        <w:rPr>
          <w:sz w:val="24"/>
          <w:szCs w:val="24"/>
        </w:rPr>
      </w:pPr>
      <w:r>
        <w:rPr>
          <w:sz w:val="24"/>
          <w:szCs w:val="24"/>
        </w:rPr>
        <w:t>On December 15, 2014, Janet McGettigan filed a Formal Complaint at Docket No. C-2014-2458</w:t>
      </w:r>
      <w:r w:rsidR="00BE24E5">
        <w:rPr>
          <w:sz w:val="24"/>
          <w:szCs w:val="24"/>
        </w:rPr>
        <w:t>7</w:t>
      </w:r>
      <w:r>
        <w:rPr>
          <w:sz w:val="24"/>
          <w:szCs w:val="24"/>
        </w:rPr>
        <w:t>82, objecting to the requested rate increase.</w:t>
      </w:r>
    </w:p>
    <w:p w:rsidR="00895FE2" w:rsidRDefault="00895FE2" w:rsidP="00895FE2">
      <w:pPr>
        <w:spacing w:line="360" w:lineRule="auto"/>
        <w:ind w:firstLine="1440"/>
        <w:rPr>
          <w:sz w:val="24"/>
          <w:szCs w:val="24"/>
        </w:rPr>
      </w:pPr>
    </w:p>
    <w:p w:rsidR="00895FE2" w:rsidRDefault="00895FE2" w:rsidP="00895FE2">
      <w:pPr>
        <w:spacing w:line="360" w:lineRule="auto"/>
        <w:ind w:firstLine="1440"/>
        <w:rPr>
          <w:sz w:val="24"/>
          <w:szCs w:val="24"/>
        </w:rPr>
      </w:pPr>
      <w:r>
        <w:rPr>
          <w:sz w:val="24"/>
          <w:szCs w:val="24"/>
        </w:rPr>
        <w:t xml:space="preserve">On December 18, 2014, Edward </w:t>
      </w:r>
      <w:r w:rsidR="00E018E8">
        <w:rPr>
          <w:sz w:val="24"/>
          <w:szCs w:val="24"/>
        </w:rPr>
        <w:t>Cantamessa</w:t>
      </w:r>
      <w:r>
        <w:rPr>
          <w:sz w:val="24"/>
          <w:szCs w:val="24"/>
        </w:rPr>
        <w:t xml:space="preserve"> filed a Formal Complaint at Docket No. C-2014-2459896,</w:t>
      </w:r>
      <w:r w:rsidR="007302A8">
        <w:rPr>
          <w:sz w:val="24"/>
          <w:szCs w:val="24"/>
        </w:rPr>
        <w:t xml:space="preserve"> </w:t>
      </w:r>
      <w:r>
        <w:rPr>
          <w:sz w:val="24"/>
          <w:szCs w:val="24"/>
        </w:rPr>
        <w:t>alleging that the requested rate increase would be a financial burden and requesting that it be denied.</w:t>
      </w:r>
    </w:p>
    <w:p w:rsidR="00932003" w:rsidRDefault="00932003" w:rsidP="00895FE2">
      <w:pPr>
        <w:spacing w:line="360" w:lineRule="auto"/>
        <w:ind w:firstLine="1440"/>
        <w:rPr>
          <w:sz w:val="24"/>
          <w:szCs w:val="24"/>
        </w:rPr>
      </w:pPr>
    </w:p>
    <w:p w:rsidR="003927FD" w:rsidRDefault="003927FD" w:rsidP="00932003">
      <w:pPr>
        <w:spacing w:line="360" w:lineRule="auto"/>
        <w:ind w:firstLine="1440"/>
        <w:rPr>
          <w:sz w:val="24"/>
          <w:szCs w:val="24"/>
        </w:rPr>
      </w:pPr>
      <w:r>
        <w:rPr>
          <w:sz w:val="24"/>
          <w:szCs w:val="24"/>
        </w:rPr>
        <w:t xml:space="preserve">On December 19, 2014, Mary Ellen Templin filed a Formal Complaint at </w:t>
      </w:r>
      <w:r w:rsidR="00F4492F">
        <w:rPr>
          <w:sz w:val="24"/>
          <w:szCs w:val="24"/>
        </w:rPr>
        <w:t>D</w:t>
      </w:r>
      <w:r>
        <w:rPr>
          <w:sz w:val="24"/>
          <w:szCs w:val="24"/>
        </w:rPr>
        <w:t>ocket No. C-2014-2460141 requesting that the rate increase be denied.</w:t>
      </w:r>
    </w:p>
    <w:p w:rsidR="007A07C1" w:rsidRDefault="007A07C1" w:rsidP="00932003">
      <w:pPr>
        <w:spacing w:line="360" w:lineRule="auto"/>
        <w:ind w:firstLine="1440"/>
        <w:rPr>
          <w:sz w:val="24"/>
          <w:szCs w:val="24"/>
        </w:rPr>
      </w:pPr>
    </w:p>
    <w:p w:rsidR="00932003" w:rsidRDefault="00932003" w:rsidP="00932003">
      <w:pPr>
        <w:spacing w:line="360" w:lineRule="auto"/>
        <w:ind w:firstLine="1440"/>
        <w:rPr>
          <w:sz w:val="24"/>
          <w:szCs w:val="24"/>
        </w:rPr>
      </w:pPr>
      <w:r>
        <w:rPr>
          <w:sz w:val="24"/>
          <w:szCs w:val="24"/>
        </w:rPr>
        <w:t xml:space="preserve">On December 19, 2014, Edward </w:t>
      </w:r>
      <w:r w:rsidR="00E018E8">
        <w:rPr>
          <w:sz w:val="24"/>
          <w:szCs w:val="24"/>
        </w:rPr>
        <w:t>O’Connor</w:t>
      </w:r>
      <w:r>
        <w:rPr>
          <w:sz w:val="24"/>
          <w:szCs w:val="24"/>
        </w:rPr>
        <w:t xml:space="preserve"> filed a Formal Complaint at Docket No. C-2014-2460166, alleging that the requested rate increase is extreme and ridiculous and requesting that it stay the same.</w:t>
      </w:r>
    </w:p>
    <w:p w:rsidR="00932003" w:rsidRDefault="00932003" w:rsidP="00932003">
      <w:pPr>
        <w:spacing w:line="360" w:lineRule="auto"/>
        <w:ind w:firstLine="1440"/>
        <w:rPr>
          <w:sz w:val="24"/>
          <w:szCs w:val="24"/>
        </w:rPr>
      </w:pPr>
    </w:p>
    <w:p w:rsidR="00932003" w:rsidRDefault="00932003" w:rsidP="00932003">
      <w:pPr>
        <w:spacing w:line="360" w:lineRule="auto"/>
        <w:ind w:firstLine="1440"/>
        <w:rPr>
          <w:sz w:val="24"/>
          <w:szCs w:val="24"/>
        </w:rPr>
      </w:pPr>
      <w:r>
        <w:rPr>
          <w:sz w:val="24"/>
          <w:szCs w:val="24"/>
        </w:rPr>
        <w:t>On December 22, 2014, Cindy Luke filed a Formal Complaint at Docket No. C</w:t>
      </w:r>
      <w:r w:rsidR="008C5B76">
        <w:rPr>
          <w:sz w:val="24"/>
          <w:szCs w:val="24"/>
        </w:rPr>
        <w:noBreakHyphen/>
      </w:r>
      <w:r>
        <w:rPr>
          <w:sz w:val="24"/>
          <w:szCs w:val="24"/>
        </w:rPr>
        <w:t>2014-2460595, alleging that the requested rate increase is excessive and unaffordable and wants it made more fair and affordable.</w:t>
      </w:r>
    </w:p>
    <w:p w:rsidR="00932003" w:rsidRDefault="00932003" w:rsidP="00932003">
      <w:pPr>
        <w:spacing w:line="360" w:lineRule="auto"/>
        <w:ind w:firstLine="1440"/>
        <w:rPr>
          <w:sz w:val="24"/>
          <w:szCs w:val="24"/>
        </w:rPr>
      </w:pPr>
    </w:p>
    <w:p w:rsidR="00932003" w:rsidRDefault="00932003" w:rsidP="00932003">
      <w:pPr>
        <w:spacing w:line="360" w:lineRule="auto"/>
        <w:ind w:firstLine="1440"/>
        <w:rPr>
          <w:sz w:val="24"/>
          <w:szCs w:val="24"/>
        </w:rPr>
      </w:pPr>
      <w:r>
        <w:rPr>
          <w:sz w:val="24"/>
          <w:szCs w:val="24"/>
        </w:rPr>
        <w:t>On December 22, 2014, Robert Bajkowski filed a Formal Complaint at Docket No. C-2014-2460601, alleging that the requested rate increase will financially devastate him and requesting that it not be approved.</w:t>
      </w:r>
    </w:p>
    <w:p w:rsidR="00932003" w:rsidRDefault="00932003" w:rsidP="00932003">
      <w:pPr>
        <w:spacing w:line="360" w:lineRule="auto"/>
        <w:ind w:firstLine="1440"/>
        <w:rPr>
          <w:sz w:val="24"/>
          <w:szCs w:val="24"/>
        </w:rPr>
      </w:pPr>
    </w:p>
    <w:p w:rsidR="004E5416" w:rsidRDefault="004E5416" w:rsidP="004E5416">
      <w:pPr>
        <w:spacing w:line="360" w:lineRule="auto"/>
        <w:ind w:firstLine="1440"/>
        <w:rPr>
          <w:sz w:val="24"/>
          <w:szCs w:val="24"/>
        </w:rPr>
      </w:pPr>
      <w:r>
        <w:rPr>
          <w:sz w:val="24"/>
          <w:szCs w:val="24"/>
        </w:rPr>
        <w:t>On December 30, 2014, Emma Dolan filed a Formal Complaint at Docket No. C</w:t>
      </w:r>
      <w:r w:rsidR="000C53D6">
        <w:rPr>
          <w:sz w:val="24"/>
          <w:szCs w:val="24"/>
        </w:rPr>
        <w:noBreakHyphen/>
      </w:r>
      <w:r>
        <w:rPr>
          <w:sz w:val="24"/>
          <w:szCs w:val="24"/>
        </w:rPr>
        <w:t>2014-2460197, alleging that the requested rate increase is preposterous and requesting that it stay the same.</w:t>
      </w:r>
    </w:p>
    <w:p w:rsidR="004E5416" w:rsidRDefault="004E5416" w:rsidP="00932003">
      <w:pPr>
        <w:spacing w:line="360" w:lineRule="auto"/>
        <w:ind w:firstLine="1440"/>
        <w:rPr>
          <w:sz w:val="24"/>
          <w:szCs w:val="24"/>
        </w:rPr>
      </w:pPr>
    </w:p>
    <w:p w:rsidR="00932003" w:rsidRDefault="00932003" w:rsidP="00932003">
      <w:pPr>
        <w:spacing w:line="360" w:lineRule="auto"/>
        <w:ind w:firstLine="1440"/>
        <w:rPr>
          <w:sz w:val="24"/>
          <w:szCs w:val="24"/>
        </w:rPr>
      </w:pPr>
      <w:r>
        <w:rPr>
          <w:sz w:val="24"/>
          <w:szCs w:val="24"/>
        </w:rPr>
        <w:t xml:space="preserve">On January 7, 2015, Anthony and Sandra Barlotta file a Formal Complaint </w:t>
      </w:r>
      <w:r w:rsidR="004E5416">
        <w:rPr>
          <w:sz w:val="24"/>
          <w:szCs w:val="24"/>
        </w:rPr>
        <w:t xml:space="preserve">at Docket No. C-2015-2461561, </w:t>
      </w:r>
      <w:r>
        <w:rPr>
          <w:sz w:val="24"/>
          <w:szCs w:val="24"/>
        </w:rPr>
        <w:t>alleging that the requested rate increase is too expensive and asking that it stay as it is.</w:t>
      </w:r>
    </w:p>
    <w:p w:rsidR="00932003" w:rsidRDefault="00932003" w:rsidP="00932003">
      <w:pPr>
        <w:spacing w:line="360" w:lineRule="auto"/>
        <w:ind w:firstLine="1440"/>
        <w:rPr>
          <w:sz w:val="24"/>
          <w:szCs w:val="24"/>
        </w:rPr>
      </w:pPr>
    </w:p>
    <w:p w:rsidR="00473236" w:rsidRDefault="00473236" w:rsidP="00932003">
      <w:pPr>
        <w:spacing w:line="360" w:lineRule="auto"/>
        <w:ind w:firstLine="1440"/>
        <w:rPr>
          <w:sz w:val="24"/>
          <w:szCs w:val="24"/>
        </w:rPr>
      </w:pPr>
      <w:r>
        <w:rPr>
          <w:sz w:val="24"/>
          <w:szCs w:val="24"/>
        </w:rPr>
        <w:t>On December 18, 2014</w:t>
      </w:r>
      <w:r w:rsidR="004E7265">
        <w:rPr>
          <w:sz w:val="24"/>
          <w:szCs w:val="24"/>
        </w:rPr>
        <w:t>,</w:t>
      </w:r>
      <w:r>
        <w:rPr>
          <w:sz w:val="24"/>
          <w:szCs w:val="24"/>
        </w:rPr>
        <w:t xml:space="preserve"> the Commission entered an Order instituting an investigation to determine the lawfulness, justness, and reasonableness of the rates, rules and regulations contained in Supplement No. 1 to Tariff Sewer-Pa. P.U.C. No. 1</w:t>
      </w:r>
      <w:r w:rsidR="004E7265">
        <w:rPr>
          <w:sz w:val="24"/>
          <w:szCs w:val="24"/>
        </w:rPr>
        <w:t xml:space="preserve"> (Tariff)</w:t>
      </w:r>
      <w:r>
        <w:rPr>
          <w:sz w:val="24"/>
          <w:szCs w:val="24"/>
        </w:rPr>
        <w:t>.  That same o</w:t>
      </w:r>
      <w:r w:rsidR="007B278E">
        <w:rPr>
          <w:sz w:val="24"/>
          <w:szCs w:val="24"/>
        </w:rPr>
        <w:t>r</w:t>
      </w:r>
      <w:r>
        <w:rPr>
          <w:sz w:val="24"/>
          <w:szCs w:val="24"/>
        </w:rPr>
        <w:t>der suspended the Tariff by operation of law until A</w:t>
      </w:r>
      <w:r w:rsidR="007B278E">
        <w:rPr>
          <w:sz w:val="24"/>
          <w:szCs w:val="24"/>
        </w:rPr>
        <w:t>u</w:t>
      </w:r>
      <w:r>
        <w:rPr>
          <w:sz w:val="24"/>
          <w:szCs w:val="24"/>
        </w:rPr>
        <w:t>gust 7, 2015</w:t>
      </w:r>
      <w:r w:rsidR="007B278E">
        <w:rPr>
          <w:sz w:val="24"/>
          <w:szCs w:val="24"/>
        </w:rPr>
        <w:t>.</w:t>
      </w:r>
    </w:p>
    <w:p w:rsidR="00FF5C2F" w:rsidRDefault="007B278E" w:rsidP="009433A0">
      <w:pPr>
        <w:spacing w:line="360" w:lineRule="auto"/>
        <w:ind w:firstLine="1440"/>
        <w:rPr>
          <w:sz w:val="24"/>
          <w:szCs w:val="24"/>
        </w:rPr>
      </w:pPr>
      <w:r>
        <w:rPr>
          <w:sz w:val="24"/>
          <w:szCs w:val="24"/>
        </w:rPr>
        <w:t>On January 14, 2015, a Notice was mailed to the parties adv</w:t>
      </w:r>
      <w:r w:rsidR="00ED7507">
        <w:rPr>
          <w:sz w:val="24"/>
          <w:szCs w:val="24"/>
        </w:rPr>
        <w:t>ising them that a prehearing c</w:t>
      </w:r>
      <w:r>
        <w:rPr>
          <w:sz w:val="24"/>
          <w:szCs w:val="24"/>
        </w:rPr>
        <w:t>onference would be held on January 28, 2015</w:t>
      </w:r>
      <w:r w:rsidR="004E7265">
        <w:rPr>
          <w:sz w:val="24"/>
          <w:szCs w:val="24"/>
        </w:rPr>
        <w:t>,</w:t>
      </w:r>
      <w:r w:rsidR="0037425F">
        <w:rPr>
          <w:sz w:val="24"/>
          <w:szCs w:val="24"/>
        </w:rPr>
        <w:t xml:space="preserve"> and the matter was assigned to me</w:t>
      </w:r>
      <w:r>
        <w:rPr>
          <w:sz w:val="24"/>
          <w:szCs w:val="24"/>
        </w:rPr>
        <w:t xml:space="preserve">.  </w:t>
      </w:r>
      <w:r w:rsidR="00FF5C2F">
        <w:rPr>
          <w:sz w:val="24"/>
          <w:szCs w:val="24"/>
        </w:rPr>
        <w:t>Also on January 14, 2015, a Prehearing Order was issued to the parties advising them of procedural rules.</w:t>
      </w:r>
    </w:p>
    <w:p w:rsidR="006B6716" w:rsidRDefault="006B6716" w:rsidP="009433A0">
      <w:pPr>
        <w:spacing w:line="360" w:lineRule="auto"/>
        <w:ind w:firstLine="1440"/>
        <w:rPr>
          <w:sz w:val="24"/>
          <w:szCs w:val="24"/>
        </w:rPr>
      </w:pPr>
    </w:p>
    <w:p w:rsidR="007B278E" w:rsidRDefault="007B278E" w:rsidP="009433A0">
      <w:pPr>
        <w:spacing w:line="360" w:lineRule="auto"/>
        <w:ind w:firstLine="1440"/>
        <w:rPr>
          <w:sz w:val="24"/>
          <w:szCs w:val="24"/>
        </w:rPr>
      </w:pPr>
      <w:r>
        <w:rPr>
          <w:sz w:val="24"/>
          <w:szCs w:val="24"/>
        </w:rPr>
        <w:t>On January 23, 2015, a Hearing Cancellation/Reschedule Notice was mailed to the parties advising that the date was changed to January 29, 2015, due to a scheduling conflict with the OCA.</w:t>
      </w:r>
      <w:r w:rsidR="0037425F">
        <w:rPr>
          <w:sz w:val="24"/>
          <w:szCs w:val="24"/>
        </w:rPr>
        <w:t xml:space="preserve">  </w:t>
      </w:r>
    </w:p>
    <w:p w:rsidR="00FF5C2F" w:rsidRDefault="00FF5C2F" w:rsidP="0092110B">
      <w:pPr>
        <w:spacing w:line="360" w:lineRule="auto"/>
        <w:ind w:firstLine="1440"/>
        <w:rPr>
          <w:sz w:val="24"/>
          <w:szCs w:val="24"/>
        </w:rPr>
      </w:pPr>
    </w:p>
    <w:p w:rsidR="0092110B" w:rsidRDefault="0037425F" w:rsidP="0092110B">
      <w:pPr>
        <w:spacing w:line="360" w:lineRule="auto"/>
        <w:ind w:firstLine="1440"/>
        <w:rPr>
          <w:sz w:val="24"/>
          <w:szCs w:val="24"/>
        </w:rPr>
      </w:pPr>
      <w:r>
        <w:rPr>
          <w:sz w:val="24"/>
          <w:szCs w:val="24"/>
        </w:rPr>
        <w:t xml:space="preserve">On January 29, 2015, the prehearing conference was held and was attended by Thomas T. Niesen, Esq. for DSC, Christine Hoover, Esq. for OCA, Scott Granger, Esq. for BI&amp;E, and the following </w:t>
      </w:r>
      <w:r w:rsidR="006279CE">
        <w:rPr>
          <w:sz w:val="24"/>
          <w:szCs w:val="24"/>
        </w:rPr>
        <w:t xml:space="preserve">Formal </w:t>
      </w:r>
      <w:r>
        <w:rPr>
          <w:sz w:val="24"/>
          <w:szCs w:val="24"/>
        </w:rPr>
        <w:t xml:space="preserve">Complainants: </w:t>
      </w:r>
      <w:r w:rsidR="00F4492F">
        <w:rPr>
          <w:sz w:val="24"/>
          <w:szCs w:val="24"/>
        </w:rPr>
        <w:t xml:space="preserve"> </w:t>
      </w:r>
      <w:r>
        <w:rPr>
          <w:sz w:val="24"/>
          <w:szCs w:val="24"/>
        </w:rPr>
        <w:t xml:space="preserve">Robert Autore, Frank Gorman, Mary Ellen Templin and Edward </w:t>
      </w:r>
      <w:r w:rsidR="00E018E8">
        <w:rPr>
          <w:sz w:val="24"/>
          <w:szCs w:val="24"/>
        </w:rPr>
        <w:t>O’Connor</w:t>
      </w:r>
      <w:r>
        <w:rPr>
          <w:sz w:val="24"/>
          <w:szCs w:val="24"/>
        </w:rPr>
        <w:t>.</w:t>
      </w:r>
      <w:r w:rsidR="0092110B">
        <w:rPr>
          <w:sz w:val="24"/>
          <w:szCs w:val="24"/>
        </w:rPr>
        <w:t xml:space="preserve">  </w:t>
      </w:r>
      <w:r w:rsidR="0092110B" w:rsidRPr="0092110B">
        <w:rPr>
          <w:sz w:val="24"/>
          <w:szCs w:val="24"/>
        </w:rPr>
        <w:t>The parties agreed upon a litigation schedule which w</w:t>
      </w:r>
      <w:r w:rsidR="0092110B">
        <w:rPr>
          <w:sz w:val="24"/>
          <w:szCs w:val="24"/>
        </w:rPr>
        <w:t>as</w:t>
      </w:r>
      <w:r w:rsidR="0092110B" w:rsidRPr="0092110B">
        <w:rPr>
          <w:sz w:val="24"/>
          <w:szCs w:val="24"/>
        </w:rPr>
        <w:t xml:space="preserve"> memorialized in a Scheduling Order issued </w:t>
      </w:r>
      <w:r w:rsidR="0092110B">
        <w:rPr>
          <w:sz w:val="24"/>
          <w:szCs w:val="24"/>
        </w:rPr>
        <w:t>January 30, 2015</w:t>
      </w:r>
      <w:r w:rsidR="0092110B" w:rsidRPr="0092110B">
        <w:rPr>
          <w:sz w:val="24"/>
          <w:szCs w:val="24"/>
        </w:rPr>
        <w:t xml:space="preserve">.  </w:t>
      </w:r>
    </w:p>
    <w:p w:rsidR="006B6716" w:rsidRDefault="006B6716" w:rsidP="0092110B">
      <w:pPr>
        <w:spacing w:line="360" w:lineRule="auto"/>
        <w:ind w:firstLine="1440"/>
        <w:rPr>
          <w:sz w:val="24"/>
          <w:szCs w:val="24"/>
        </w:rPr>
      </w:pPr>
    </w:p>
    <w:p w:rsidR="006B6716" w:rsidRPr="0092110B" w:rsidRDefault="006B6716" w:rsidP="0092110B">
      <w:pPr>
        <w:spacing w:line="360" w:lineRule="auto"/>
        <w:ind w:firstLine="1440"/>
        <w:rPr>
          <w:sz w:val="24"/>
          <w:szCs w:val="24"/>
        </w:rPr>
      </w:pPr>
      <w:r>
        <w:rPr>
          <w:sz w:val="24"/>
          <w:szCs w:val="24"/>
        </w:rPr>
        <w:t>On February 26, 2015</w:t>
      </w:r>
      <w:r w:rsidR="007B2CDD">
        <w:rPr>
          <w:sz w:val="24"/>
          <w:szCs w:val="24"/>
        </w:rPr>
        <w:t>,</w:t>
      </w:r>
      <w:r>
        <w:rPr>
          <w:sz w:val="24"/>
          <w:szCs w:val="24"/>
        </w:rPr>
        <w:t xml:space="preserve"> a public input hearing was conducted at the Delaware Township Building.  DSC, OCA, and BI&amp;E were represented.  The following Formal Complainants gave sworn</w:t>
      </w:r>
      <w:r w:rsidR="004E7265">
        <w:rPr>
          <w:sz w:val="24"/>
          <w:szCs w:val="24"/>
        </w:rPr>
        <w:t xml:space="preserve"> or affirmed </w:t>
      </w:r>
      <w:r>
        <w:rPr>
          <w:sz w:val="24"/>
          <w:szCs w:val="24"/>
        </w:rPr>
        <w:t xml:space="preserve">testimony:  Edward </w:t>
      </w:r>
      <w:r w:rsidR="00E018E8">
        <w:rPr>
          <w:sz w:val="24"/>
          <w:szCs w:val="24"/>
        </w:rPr>
        <w:t>O’Connor</w:t>
      </w:r>
      <w:r>
        <w:rPr>
          <w:sz w:val="24"/>
          <w:szCs w:val="24"/>
        </w:rPr>
        <w:t xml:space="preserve">, Mary Ellen Templin, Debra </w:t>
      </w:r>
      <w:r w:rsidR="00E018E8">
        <w:rPr>
          <w:sz w:val="24"/>
          <w:szCs w:val="24"/>
        </w:rPr>
        <w:t>Michell</w:t>
      </w:r>
      <w:r>
        <w:rPr>
          <w:sz w:val="24"/>
          <w:szCs w:val="24"/>
        </w:rPr>
        <w:t>, Emma Dolan, and Robert Bajkowski.  A written transcript of the hearing was produced and comprised 41 pages.  On March 12, 2015, OCA submitted corr</w:t>
      </w:r>
      <w:r w:rsidR="008C37A2">
        <w:rPr>
          <w:sz w:val="24"/>
          <w:szCs w:val="24"/>
        </w:rPr>
        <w:t>ections to the transcript.  The corrections</w:t>
      </w:r>
      <w:r>
        <w:rPr>
          <w:sz w:val="24"/>
          <w:szCs w:val="24"/>
        </w:rPr>
        <w:t xml:space="preserve"> were accepted by operation of law.  52 Pa.Code § 5.253(f)(2).  </w:t>
      </w:r>
    </w:p>
    <w:p w:rsidR="0092110B" w:rsidRPr="0092110B" w:rsidRDefault="0092110B" w:rsidP="0092110B">
      <w:pPr>
        <w:spacing w:line="360" w:lineRule="auto"/>
        <w:ind w:firstLine="1440"/>
        <w:contextualSpacing/>
        <w:rPr>
          <w:sz w:val="24"/>
          <w:szCs w:val="24"/>
        </w:rPr>
      </w:pPr>
    </w:p>
    <w:p w:rsidR="0092110B" w:rsidRDefault="0092110B" w:rsidP="0092110B">
      <w:pPr>
        <w:spacing w:line="360" w:lineRule="auto"/>
        <w:ind w:firstLine="1440"/>
        <w:contextualSpacing/>
        <w:rPr>
          <w:sz w:val="24"/>
          <w:szCs w:val="24"/>
        </w:rPr>
      </w:pPr>
      <w:r w:rsidRPr="0092110B">
        <w:rPr>
          <w:sz w:val="24"/>
          <w:szCs w:val="24"/>
        </w:rPr>
        <w:t xml:space="preserve">The evidentiary hearing was held on </w:t>
      </w:r>
      <w:r>
        <w:rPr>
          <w:sz w:val="24"/>
          <w:szCs w:val="24"/>
        </w:rPr>
        <w:t>April 2, 2015</w:t>
      </w:r>
      <w:r w:rsidRPr="0092110B">
        <w:rPr>
          <w:sz w:val="24"/>
          <w:szCs w:val="24"/>
        </w:rPr>
        <w:t>, and the following testimony was accepted into the record:</w:t>
      </w:r>
    </w:p>
    <w:p w:rsidR="00522707" w:rsidRDefault="00522707" w:rsidP="0092110B">
      <w:pPr>
        <w:spacing w:line="360" w:lineRule="auto"/>
        <w:ind w:firstLine="1440"/>
        <w:contextualSpacing/>
        <w:rPr>
          <w:sz w:val="24"/>
          <w:szCs w:val="24"/>
        </w:rPr>
      </w:pPr>
    </w:p>
    <w:p w:rsidR="00522707" w:rsidRDefault="00522707" w:rsidP="0092110B">
      <w:pPr>
        <w:spacing w:line="360" w:lineRule="auto"/>
        <w:ind w:firstLine="1440"/>
        <w:contextualSpacing/>
        <w:rPr>
          <w:sz w:val="24"/>
          <w:szCs w:val="24"/>
        </w:rPr>
      </w:pPr>
      <w:r>
        <w:rPr>
          <w:sz w:val="24"/>
          <w:szCs w:val="24"/>
        </w:rPr>
        <w:t>For DSC:</w:t>
      </w:r>
    </w:p>
    <w:p w:rsidR="00522707" w:rsidRDefault="00522707" w:rsidP="0092110B">
      <w:pPr>
        <w:spacing w:line="360" w:lineRule="auto"/>
        <w:ind w:firstLine="1440"/>
        <w:contextualSpacing/>
        <w:rPr>
          <w:sz w:val="24"/>
          <w:szCs w:val="24"/>
        </w:rPr>
      </w:pPr>
      <w:r>
        <w:rPr>
          <w:sz w:val="24"/>
          <w:szCs w:val="24"/>
        </w:rPr>
        <w:t>DSC – DMK-1 Direct of Dennis M. Kalbarczyk</w:t>
      </w:r>
    </w:p>
    <w:p w:rsidR="00522707" w:rsidRDefault="00522707" w:rsidP="0092110B">
      <w:pPr>
        <w:spacing w:line="360" w:lineRule="auto"/>
        <w:ind w:firstLine="1440"/>
        <w:contextualSpacing/>
        <w:rPr>
          <w:sz w:val="24"/>
          <w:szCs w:val="24"/>
        </w:rPr>
      </w:pPr>
      <w:r>
        <w:rPr>
          <w:sz w:val="24"/>
          <w:szCs w:val="24"/>
        </w:rPr>
        <w:t>DSC – DMK-1R Rebuttal of Dennis M. Kalbarczyk</w:t>
      </w:r>
    </w:p>
    <w:p w:rsidR="00522707" w:rsidRDefault="00522707" w:rsidP="0092110B">
      <w:pPr>
        <w:spacing w:line="360" w:lineRule="auto"/>
        <w:ind w:firstLine="1440"/>
        <w:contextualSpacing/>
        <w:rPr>
          <w:sz w:val="24"/>
          <w:szCs w:val="24"/>
        </w:rPr>
      </w:pPr>
      <w:r>
        <w:rPr>
          <w:sz w:val="24"/>
          <w:szCs w:val="24"/>
        </w:rPr>
        <w:t>DSC – DMK</w:t>
      </w:r>
      <w:r w:rsidR="008C7039">
        <w:rPr>
          <w:sz w:val="24"/>
          <w:szCs w:val="24"/>
        </w:rPr>
        <w:t>-</w:t>
      </w:r>
      <w:r>
        <w:rPr>
          <w:sz w:val="24"/>
          <w:szCs w:val="24"/>
        </w:rPr>
        <w:t>1RJ Rejoinder Outline of Dennis M. Kalbarczyk</w:t>
      </w:r>
    </w:p>
    <w:p w:rsidR="00522707" w:rsidRDefault="00522707" w:rsidP="00522707">
      <w:pPr>
        <w:spacing w:line="360" w:lineRule="auto"/>
        <w:ind w:firstLine="1440"/>
        <w:contextualSpacing/>
        <w:rPr>
          <w:sz w:val="24"/>
          <w:szCs w:val="24"/>
        </w:rPr>
      </w:pPr>
      <w:r>
        <w:rPr>
          <w:sz w:val="24"/>
          <w:szCs w:val="24"/>
        </w:rPr>
        <w:t>DSC – SFL-1 Direct of Scott F. Linde</w:t>
      </w:r>
    </w:p>
    <w:p w:rsidR="00522707" w:rsidRDefault="00522707" w:rsidP="00522707">
      <w:pPr>
        <w:spacing w:line="360" w:lineRule="auto"/>
        <w:ind w:firstLine="1440"/>
        <w:contextualSpacing/>
        <w:rPr>
          <w:sz w:val="24"/>
          <w:szCs w:val="24"/>
        </w:rPr>
      </w:pPr>
      <w:r>
        <w:rPr>
          <w:sz w:val="24"/>
          <w:szCs w:val="24"/>
        </w:rPr>
        <w:t>DSC – SFL-1R Rebuttal of Scott F. Linde</w:t>
      </w:r>
    </w:p>
    <w:p w:rsidR="00522707" w:rsidRDefault="00522707" w:rsidP="00522707">
      <w:pPr>
        <w:spacing w:line="360" w:lineRule="auto"/>
        <w:ind w:firstLine="1440"/>
        <w:contextualSpacing/>
        <w:rPr>
          <w:sz w:val="24"/>
          <w:szCs w:val="24"/>
        </w:rPr>
      </w:pPr>
      <w:r>
        <w:rPr>
          <w:sz w:val="24"/>
          <w:szCs w:val="24"/>
        </w:rPr>
        <w:t>DSC</w:t>
      </w:r>
      <w:r w:rsidR="008C7039">
        <w:rPr>
          <w:sz w:val="24"/>
          <w:szCs w:val="24"/>
        </w:rPr>
        <w:t xml:space="preserve"> –</w:t>
      </w:r>
      <w:r>
        <w:rPr>
          <w:sz w:val="24"/>
          <w:szCs w:val="24"/>
        </w:rPr>
        <w:t xml:space="preserve"> SFL-1RJ Rejoinder Outline of Scott F. Linde</w:t>
      </w:r>
    </w:p>
    <w:p w:rsidR="006244A2" w:rsidRDefault="006244A2" w:rsidP="00522707">
      <w:pPr>
        <w:spacing w:line="360" w:lineRule="auto"/>
        <w:ind w:firstLine="1440"/>
        <w:contextualSpacing/>
        <w:rPr>
          <w:sz w:val="24"/>
          <w:szCs w:val="24"/>
        </w:rPr>
      </w:pPr>
      <w:r>
        <w:rPr>
          <w:sz w:val="24"/>
          <w:szCs w:val="24"/>
        </w:rPr>
        <w:t>DSC – Exhibit 1 - Tariff filing</w:t>
      </w:r>
    </w:p>
    <w:p w:rsidR="006244A2" w:rsidRDefault="006244A2" w:rsidP="00522707">
      <w:pPr>
        <w:spacing w:line="360" w:lineRule="auto"/>
        <w:ind w:firstLine="1440"/>
        <w:contextualSpacing/>
        <w:rPr>
          <w:sz w:val="24"/>
          <w:szCs w:val="24"/>
        </w:rPr>
      </w:pPr>
      <w:r>
        <w:rPr>
          <w:sz w:val="24"/>
          <w:szCs w:val="24"/>
        </w:rPr>
        <w:t>DSC – Exhibit 2- Schedule F-1 updated 4/2/2015</w:t>
      </w:r>
    </w:p>
    <w:p w:rsidR="006244A2" w:rsidRDefault="006244A2" w:rsidP="00522707">
      <w:pPr>
        <w:spacing w:line="360" w:lineRule="auto"/>
        <w:ind w:firstLine="1440"/>
        <w:contextualSpacing/>
        <w:rPr>
          <w:sz w:val="24"/>
          <w:szCs w:val="24"/>
        </w:rPr>
      </w:pPr>
    </w:p>
    <w:p w:rsidR="006244A2" w:rsidRDefault="006244A2" w:rsidP="00522707">
      <w:pPr>
        <w:spacing w:line="360" w:lineRule="auto"/>
        <w:ind w:firstLine="1440"/>
        <w:contextualSpacing/>
        <w:rPr>
          <w:sz w:val="24"/>
          <w:szCs w:val="24"/>
        </w:rPr>
      </w:pPr>
      <w:r>
        <w:rPr>
          <w:sz w:val="24"/>
          <w:szCs w:val="24"/>
        </w:rPr>
        <w:t>For Bureau of Investigation &amp; Enforcement:</w:t>
      </w:r>
    </w:p>
    <w:p w:rsidR="006244A2" w:rsidRDefault="006244A2" w:rsidP="00522707">
      <w:pPr>
        <w:spacing w:line="360" w:lineRule="auto"/>
        <w:ind w:firstLine="1440"/>
        <w:contextualSpacing/>
        <w:rPr>
          <w:sz w:val="24"/>
          <w:szCs w:val="24"/>
        </w:rPr>
      </w:pPr>
      <w:r>
        <w:rPr>
          <w:sz w:val="24"/>
          <w:szCs w:val="24"/>
        </w:rPr>
        <w:t>I&amp;E – 1 Direct of Anthony D. Spadacchio</w:t>
      </w:r>
    </w:p>
    <w:p w:rsidR="006244A2" w:rsidRDefault="006244A2" w:rsidP="00522707">
      <w:pPr>
        <w:spacing w:line="360" w:lineRule="auto"/>
        <w:ind w:firstLine="1440"/>
        <w:contextualSpacing/>
        <w:rPr>
          <w:sz w:val="24"/>
          <w:szCs w:val="24"/>
        </w:rPr>
      </w:pPr>
      <w:r>
        <w:rPr>
          <w:sz w:val="24"/>
          <w:szCs w:val="24"/>
        </w:rPr>
        <w:t>I&amp;E – 1 SR Surrebuttal of Anthony D. Spadaccio</w:t>
      </w:r>
    </w:p>
    <w:p w:rsidR="006244A2" w:rsidRDefault="006244A2" w:rsidP="00522707">
      <w:pPr>
        <w:spacing w:line="360" w:lineRule="auto"/>
        <w:ind w:firstLine="1440"/>
        <w:contextualSpacing/>
        <w:rPr>
          <w:sz w:val="24"/>
          <w:szCs w:val="24"/>
        </w:rPr>
      </w:pPr>
      <w:r>
        <w:rPr>
          <w:sz w:val="24"/>
          <w:szCs w:val="24"/>
        </w:rPr>
        <w:t>I&amp;E – 2 Direct of Christopher Keller</w:t>
      </w:r>
    </w:p>
    <w:p w:rsidR="006244A2" w:rsidRDefault="006244A2" w:rsidP="00522707">
      <w:pPr>
        <w:spacing w:line="360" w:lineRule="auto"/>
        <w:ind w:firstLine="1440"/>
        <w:contextualSpacing/>
        <w:rPr>
          <w:sz w:val="24"/>
          <w:szCs w:val="24"/>
        </w:rPr>
      </w:pPr>
      <w:r>
        <w:rPr>
          <w:sz w:val="24"/>
          <w:szCs w:val="24"/>
        </w:rPr>
        <w:t>I&amp;E – Exhibit 2 to accompany the Direct of Christopher Keller</w:t>
      </w:r>
    </w:p>
    <w:p w:rsidR="006244A2" w:rsidRDefault="006244A2" w:rsidP="00522707">
      <w:pPr>
        <w:spacing w:line="360" w:lineRule="auto"/>
        <w:ind w:firstLine="1440"/>
        <w:contextualSpacing/>
        <w:rPr>
          <w:sz w:val="24"/>
          <w:szCs w:val="24"/>
        </w:rPr>
      </w:pPr>
      <w:r>
        <w:rPr>
          <w:sz w:val="24"/>
          <w:szCs w:val="24"/>
        </w:rPr>
        <w:t>I&amp;E – 2 – SR Surrebuttal of Christopher Keller</w:t>
      </w:r>
    </w:p>
    <w:p w:rsidR="006244A2" w:rsidRDefault="006244A2" w:rsidP="00522707">
      <w:pPr>
        <w:spacing w:line="360" w:lineRule="auto"/>
        <w:ind w:firstLine="1440"/>
        <w:contextualSpacing/>
        <w:rPr>
          <w:sz w:val="24"/>
          <w:szCs w:val="24"/>
        </w:rPr>
      </w:pPr>
      <w:r>
        <w:rPr>
          <w:sz w:val="24"/>
          <w:szCs w:val="24"/>
        </w:rPr>
        <w:t>I&amp;E – Exhibit 2 – SR to accompany surrebuttal of Christopher Keller</w:t>
      </w:r>
    </w:p>
    <w:p w:rsidR="006244A2" w:rsidRDefault="006244A2" w:rsidP="00522707">
      <w:pPr>
        <w:spacing w:line="360" w:lineRule="auto"/>
        <w:ind w:firstLine="1440"/>
        <w:contextualSpacing/>
        <w:rPr>
          <w:sz w:val="24"/>
          <w:szCs w:val="24"/>
        </w:rPr>
      </w:pPr>
      <w:r>
        <w:rPr>
          <w:sz w:val="24"/>
          <w:szCs w:val="24"/>
        </w:rPr>
        <w:t>I&amp;E – Direct of Kokou M. Apetoh</w:t>
      </w:r>
    </w:p>
    <w:p w:rsidR="00FB6FE5" w:rsidRDefault="00FB6FE5" w:rsidP="00522707">
      <w:pPr>
        <w:spacing w:line="360" w:lineRule="auto"/>
        <w:ind w:firstLine="1440"/>
        <w:contextualSpacing/>
        <w:rPr>
          <w:sz w:val="24"/>
          <w:szCs w:val="24"/>
        </w:rPr>
      </w:pPr>
    </w:p>
    <w:p w:rsidR="00FB6FE5" w:rsidRDefault="00FB6FE5" w:rsidP="00522707">
      <w:pPr>
        <w:spacing w:line="360" w:lineRule="auto"/>
        <w:ind w:firstLine="1440"/>
        <w:contextualSpacing/>
        <w:rPr>
          <w:sz w:val="24"/>
          <w:szCs w:val="24"/>
        </w:rPr>
      </w:pPr>
      <w:r>
        <w:rPr>
          <w:sz w:val="24"/>
          <w:szCs w:val="24"/>
        </w:rPr>
        <w:t>For Office of Consumer Advocate:</w:t>
      </w:r>
    </w:p>
    <w:p w:rsidR="00FB6FE5" w:rsidRDefault="00FB6FE5" w:rsidP="00522707">
      <w:pPr>
        <w:spacing w:line="360" w:lineRule="auto"/>
        <w:ind w:firstLine="1440"/>
        <w:contextualSpacing/>
        <w:rPr>
          <w:sz w:val="24"/>
          <w:szCs w:val="24"/>
        </w:rPr>
      </w:pPr>
      <w:r>
        <w:rPr>
          <w:sz w:val="24"/>
          <w:szCs w:val="24"/>
        </w:rPr>
        <w:t>OCA – 1 Direct of Ashley E. Everette</w:t>
      </w:r>
    </w:p>
    <w:p w:rsidR="00FB6FE5" w:rsidRDefault="00FB6FE5" w:rsidP="00522707">
      <w:pPr>
        <w:spacing w:line="360" w:lineRule="auto"/>
        <w:ind w:firstLine="1440"/>
        <w:contextualSpacing/>
        <w:rPr>
          <w:sz w:val="24"/>
          <w:szCs w:val="24"/>
        </w:rPr>
      </w:pPr>
      <w:r>
        <w:rPr>
          <w:sz w:val="24"/>
          <w:szCs w:val="24"/>
        </w:rPr>
        <w:t xml:space="preserve">OCA </w:t>
      </w:r>
      <w:r w:rsidR="001257D5">
        <w:rPr>
          <w:sz w:val="24"/>
          <w:szCs w:val="24"/>
        </w:rPr>
        <w:t>–</w:t>
      </w:r>
      <w:r>
        <w:rPr>
          <w:sz w:val="24"/>
          <w:szCs w:val="24"/>
        </w:rPr>
        <w:t xml:space="preserve"> 1S Surrebuttal of Ashley E. Everette</w:t>
      </w:r>
    </w:p>
    <w:p w:rsidR="00FB6FE5" w:rsidRDefault="00FB6FE5" w:rsidP="00522707">
      <w:pPr>
        <w:spacing w:line="360" w:lineRule="auto"/>
        <w:ind w:firstLine="1440"/>
        <w:contextualSpacing/>
        <w:rPr>
          <w:sz w:val="24"/>
          <w:szCs w:val="24"/>
        </w:rPr>
      </w:pPr>
      <w:r>
        <w:rPr>
          <w:sz w:val="24"/>
          <w:szCs w:val="24"/>
        </w:rPr>
        <w:t>OCA – 2 Direct of Terry L. Fought</w:t>
      </w:r>
    </w:p>
    <w:p w:rsidR="00FB6FE5" w:rsidRDefault="00FB6FE5" w:rsidP="00522707">
      <w:pPr>
        <w:spacing w:line="360" w:lineRule="auto"/>
        <w:ind w:firstLine="1440"/>
        <w:contextualSpacing/>
        <w:rPr>
          <w:sz w:val="24"/>
          <w:szCs w:val="24"/>
        </w:rPr>
      </w:pPr>
      <w:r>
        <w:rPr>
          <w:sz w:val="24"/>
          <w:szCs w:val="24"/>
        </w:rPr>
        <w:t>OCA – 2S Surrebuttal of Terry L. Fought</w:t>
      </w:r>
    </w:p>
    <w:p w:rsidR="006B6716" w:rsidRDefault="006B6716" w:rsidP="00522707">
      <w:pPr>
        <w:spacing w:line="360" w:lineRule="auto"/>
        <w:ind w:firstLine="1440"/>
        <w:contextualSpacing/>
        <w:rPr>
          <w:sz w:val="24"/>
          <w:szCs w:val="24"/>
        </w:rPr>
      </w:pPr>
    </w:p>
    <w:p w:rsidR="006B6716" w:rsidRDefault="006B6716" w:rsidP="00522707">
      <w:pPr>
        <w:spacing w:line="360" w:lineRule="auto"/>
        <w:ind w:firstLine="1440"/>
        <w:contextualSpacing/>
        <w:rPr>
          <w:sz w:val="24"/>
          <w:szCs w:val="24"/>
        </w:rPr>
      </w:pPr>
      <w:r>
        <w:rPr>
          <w:sz w:val="24"/>
          <w:szCs w:val="24"/>
        </w:rPr>
        <w:t>No Formal Complainants appeared at the evidentiary hearing.</w:t>
      </w:r>
    </w:p>
    <w:p w:rsidR="008C13F1" w:rsidRDefault="008C13F1" w:rsidP="00522707">
      <w:pPr>
        <w:spacing w:line="360" w:lineRule="auto"/>
        <w:ind w:firstLine="1440"/>
        <w:contextualSpacing/>
        <w:rPr>
          <w:sz w:val="24"/>
          <w:szCs w:val="24"/>
        </w:rPr>
      </w:pPr>
    </w:p>
    <w:p w:rsidR="00A37160" w:rsidRDefault="008C13F1" w:rsidP="00522707">
      <w:pPr>
        <w:spacing w:line="360" w:lineRule="auto"/>
        <w:ind w:firstLine="1440"/>
        <w:contextualSpacing/>
        <w:rPr>
          <w:sz w:val="24"/>
          <w:szCs w:val="24"/>
        </w:rPr>
      </w:pPr>
      <w:r>
        <w:rPr>
          <w:sz w:val="24"/>
          <w:szCs w:val="24"/>
        </w:rPr>
        <w:t>Main briefs were filed on April 24, 2015, and Reply briefs were filed on May 5, 2015.</w:t>
      </w:r>
      <w:r w:rsidR="00E018E8">
        <w:rPr>
          <w:sz w:val="24"/>
          <w:szCs w:val="24"/>
        </w:rPr>
        <w:t xml:space="preserve">  The record closed on May 5, 2015 with receipt of Reply briefs.</w:t>
      </w:r>
    </w:p>
    <w:p w:rsidR="00170D58" w:rsidRPr="00A37160" w:rsidRDefault="00170D58" w:rsidP="00522707">
      <w:pPr>
        <w:spacing w:line="360" w:lineRule="auto"/>
        <w:ind w:firstLine="1440"/>
        <w:contextualSpacing/>
        <w:rPr>
          <w:sz w:val="24"/>
          <w:szCs w:val="24"/>
          <w:u w:val="single"/>
        </w:rPr>
      </w:pPr>
    </w:p>
    <w:p w:rsidR="00A37160" w:rsidRDefault="00A37160" w:rsidP="00A37160">
      <w:pPr>
        <w:spacing w:line="360" w:lineRule="auto"/>
        <w:contextualSpacing/>
        <w:jc w:val="center"/>
        <w:rPr>
          <w:sz w:val="24"/>
          <w:szCs w:val="24"/>
          <w:u w:val="single"/>
        </w:rPr>
      </w:pPr>
      <w:r w:rsidRPr="00A37160">
        <w:rPr>
          <w:sz w:val="24"/>
          <w:szCs w:val="24"/>
          <w:u w:val="single"/>
        </w:rPr>
        <w:t>FINDINGS OF FACT</w:t>
      </w:r>
    </w:p>
    <w:p w:rsidR="00FF5C2F" w:rsidRDefault="00FF5C2F" w:rsidP="00A37160">
      <w:pPr>
        <w:spacing w:line="360" w:lineRule="auto"/>
        <w:contextualSpacing/>
        <w:jc w:val="center"/>
        <w:rPr>
          <w:sz w:val="24"/>
          <w:szCs w:val="24"/>
          <w:u w:val="single"/>
        </w:rPr>
      </w:pPr>
    </w:p>
    <w:p w:rsidR="004F4C2D" w:rsidRDefault="004F4C2D" w:rsidP="00A37160">
      <w:pPr>
        <w:pStyle w:val="ListParagraph"/>
        <w:numPr>
          <w:ilvl w:val="0"/>
          <w:numId w:val="1"/>
        </w:numPr>
        <w:spacing w:line="360" w:lineRule="auto"/>
        <w:ind w:left="0" w:firstLine="1440"/>
        <w:rPr>
          <w:sz w:val="24"/>
          <w:szCs w:val="24"/>
        </w:rPr>
      </w:pPr>
      <w:r w:rsidRPr="004F4C2D">
        <w:rPr>
          <w:sz w:val="24"/>
          <w:szCs w:val="24"/>
        </w:rPr>
        <w:t>Delaware Sewer</w:t>
      </w:r>
      <w:r>
        <w:rPr>
          <w:sz w:val="24"/>
          <w:szCs w:val="24"/>
        </w:rPr>
        <w:t xml:space="preserve"> Company is a jurisdictional utility providing sewage service to 38 </w:t>
      </w:r>
      <w:r w:rsidR="00FF5C2F">
        <w:rPr>
          <w:sz w:val="24"/>
          <w:szCs w:val="24"/>
        </w:rPr>
        <w:t xml:space="preserve">Pennsylvania </w:t>
      </w:r>
      <w:r>
        <w:rPr>
          <w:sz w:val="24"/>
          <w:szCs w:val="24"/>
        </w:rPr>
        <w:t>customers</w:t>
      </w:r>
      <w:r w:rsidR="003927FD">
        <w:rPr>
          <w:sz w:val="24"/>
          <w:szCs w:val="24"/>
        </w:rPr>
        <w:t xml:space="preserve"> in Delaware Township, Pike County</w:t>
      </w:r>
      <w:r>
        <w:rPr>
          <w:sz w:val="24"/>
          <w:szCs w:val="24"/>
        </w:rPr>
        <w:t>.</w:t>
      </w:r>
    </w:p>
    <w:p w:rsidR="004F4C2D" w:rsidRDefault="004F4C2D" w:rsidP="004F4C2D">
      <w:pPr>
        <w:pStyle w:val="ListParagraph"/>
        <w:spacing w:line="360" w:lineRule="auto"/>
        <w:ind w:left="1440"/>
        <w:rPr>
          <w:sz w:val="24"/>
          <w:szCs w:val="24"/>
        </w:rPr>
      </w:pPr>
    </w:p>
    <w:p w:rsidR="00A37160" w:rsidRDefault="004F4C2D" w:rsidP="00FF0596">
      <w:pPr>
        <w:pStyle w:val="ListParagraph"/>
        <w:numPr>
          <w:ilvl w:val="0"/>
          <w:numId w:val="1"/>
        </w:numPr>
        <w:spacing w:line="360" w:lineRule="auto"/>
        <w:ind w:left="0" w:firstLine="1440"/>
        <w:rPr>
          <w:sz w:val="24"/>
          <w:szCs w:val="24"/>
        </w:rPr>
      </w:pPr>
      <w:r w:rsidRPr="004F4C2D">
        <w:rPr>
          <w:sz w:val="24"/>
          <w:szCs w:val="24"/>
        </w:rPr>
        <w:t>OCA is a statutorily created public advocate empowered to represent the interests of consumers before the Public Utility Commission</w:t>
      </w:r>
      <w:r w:rsidRPr="004F4C2D">
        <w:rPr>
          <w:i/>
          <w:sz w:val="24"/>
          <w:szCs w:val="24"/>
        </w:rPr>
        <w:t>.</w:t>
      </w:r>
      <w:r w:rsidRPr="004F4C2D">
        <w:rPr>
          <w:sz w:val="24"/>
          <w:szCs w:val="24"/>
        </w:rPr>
        <w:t xml:space="preserve">  </w:t>
      </w:r>
    </w:p>
    <w:p w:rsidR="004F4C2D" w:rsidRDefault="008C37A2" w:rsidP="00FF0596">
      <w:pPr>
        <w:pStyle w:val="ListParagraph"/>
        <w:numPr>
          <w:ilvl w:val="0"/>
          <w:numId w:val="1"/>
        </w:numPr>
        <w:spacing w:line="360" w:lineRule="auto"/>
        <w:ind w:left="0" w:firstLine="1440"/>
        <w:rPr>
          <w:sz w:val="24"/>
          <w:szCs w:val="24"/>
        </w:rPr>
      </w:pPr>
      <w:r>
        <w:rPr>
          <w:sz w:val="24"/>
          <w:szCs w:val="24"/>
        </w:rPr>
        <w:t>BI&amp;E</w:t>
      </w:r>
      <w:r w:rsidR="004F4C2D" w:rsidRPr="004F4C2D">
        <w:rPr>
          <w:sz w:val="24"/>
          <w:szCs w:val="24"/>
        </w:rPr>
        <w:t xml:space="preserve"> filed its Notice of Appearance</w:t>
      </w:r>
      <w:r>
        <w:rPr>
          <w:sz w:val="24"/>
          <w:szCs w:val="24"/>
        </w:rPr>
        <w:t xml:space="preserve"> on December 11, 2014</w:t>
      </w:r>
      <w:r w:rsidR="004F4C2D" w:rsidRPr="004F4C2D">
        <w:rPr>
          <w:sz w:val="24"/>
          <w:szCs w:val="24"/>
        </w:rPr>
        <w:t>.</w:t>
      </w:r>
    </w:p>
    <w:p w:rsidR="00FF0596" w:rsidRDefault="00FF0596" w:rsidP="00FF0596">
      <w:pPr>
        <w:pStyle w:val="ListParagraph"/>
        <w:spacing w:line="360" w:lineRule="auto"/>
        <w:ind w:left="1440"/>
        <w:rPr>
          <w:sz w:val="24"/>
          <w:szCs w:val="24"/>
        </w:rPr>
      </w:pPr>
    </w:p>
    <w:p w:rsidR="008C37A2" w:rsidRDefault="00210E1B" w:rsidP="00FF0596">
      <w:pPr>
        <w:pStyle w:val="ListParagraph"/>
        <w:numPr>
          <w:ilvl w:val="0"/>
          <w:numId w:val="1"/>
        </w:numPr>
        <w:spacing w:line="360" w:lineRule="auto"/>
        <w:ind w:left="0" w:firstLine="1440"/>
        <w:rPr>
          <w:sz w:val="24"/>
          <w:szCs w:val="24"/>
        </w:rPr>
      </w:pPr>
      <w:r>
        <w:rPr>
          <w:sz w:val="24"/>
          <w:szCs w:val="24"/>
        </w:rPr>
        <w:t xml:space="preserve">Edward </w:t>
      </w:r>
      <w:r w:rsidR="00E018E8">
        <w:rPr>
          <w:sz w:val="24"/>
          <w:szCs w:val="24"/>
        </w:rPr>
        <w:t>O’Connor</w:t>
      </w:r>
      <w:r>
        <w:rPr>
          <w:sz w:val="24"/>
          <w:szCs w:val="24"/>
        </w:rPr>
        <w:t xml:space="preserve">, Mary Ellen Templin, Debra </w:t>
      </w:r>
      <w:r w:rsidR="00E018E8">
        <w:rPr>
          <w:sz w:val="24"/>
          <w:szCs w:val="24"/>
        </w:rPr>
        <w:t>Michell</w:t>
      </w:r>
      <w:r>
        <w:rPr>
          <w:sz w:val="24"/>
          <w:szCs w:val="24"/>
        </w:rPr>
        <w:t>, Emma Dolan and Robert Bajkowski testified at the public input hearing held on February 26, 201</w:t>
      </w:r>
      <w:r w:rsidR="00051690">
        <w:rPr>
          <w:sz w:val="24"/>
          <w:szCs w:val="24"/>
        </w:rPr>
        <w:t>5</w:t>
      </w:r>
      <w:r>
        <w:rPr>
          <w:sz w:val="24"/>
          <w:szCs w:val="24"/>
        </w:rPr>
        <w:t>.</w:t>
      </w:r>
    </w:p>
    <w:p w:rsidR="00D65172" w:rsidRDefault="00D65172" w:rsidP="00FF0596">
      <w:pPr>
        <w:pStyle w:val="ListParagraph"/>
        <w:spacing w:line="360" w:lineRule="auto"/>
        <w:ind w:left="1440"/>
        <w:rPr>
          <w:sz w:val="24"/>
          <w:szCs w:val="24"/>
        </w:rPr>
      </w:pPr>
    </w:p>
    <w:p w:rsidR="00210E1B" w:rsidRDefault="00210E1B" w:rsidP="00FF0596">
      <w:pPr>
        <w:pStyle w:val="ListParagraph"/>
        <w:numPr>
          <w:ilvl w:val="0"/>
          <w:numId w:val="1"/>
        </w:numPr>
        <w:spacing w:line="360" w:lineRule="auto"/>
        <w:ind w:left="0" w:firstLine="1440"/>
        <w:rPr>
          <w:sz w:val="24"/>
          <w:szCs w:val="24"/>
        </w:rPr>
      </w:pPr>
      <w:r>
        <w:rPr>
          <w:sz w:val="24"/>
          <w:szCs w:val="24"/>
        </w:rPr>
        <w:t xml:space="preserve">No </w:t>
      </w:r>
      <w:r w:rsidR="006279CE" w:rsidRPr="006279CE">
        <w:rPr>
          <w:sz w:val="24"/>
          <w:szCs w:val="24"/>
        </w:rPr>
        <w:t>Formal</w:t>
      </w:r>
      <w:r w:rsidR="00733938" w:rsidRPr="006279CE">
        <w:rPr>
          <w:sz w:val="24"/>
          <w:szCs w:val="24"/>
        </w:rPr>
        <w:t xml:space="preserve"> </w:t>
      </w:r>
      <w:r w:rsidR="006279CE">
        <w:rPr>
          <w:sz w:val="24"/>
          <w:szCs w:val="24"/>
        </w:rPr>
        <w:t>C</w:t>
      </w:r>
      <w:r w:rsidR="00733938">
        <w:rPr>
          <w:sz w:val="24"/>
          <w:szCs w:val="24"/>
        </w:rPr>
        <w:t>omplainants attended or testified at the evidentiary hearing held on April 2, 2015.</w:t>
      </w:r>
    </w:p>
    <w:p w:rsidR="00733938" w:rsidRPr="00733938" w:rsidRDefault="00733938" w:rsidP="00FF0596">
      <w:pPr>
        <w:pStyle w:val="ListParagraph"/>
        <w:spacing w:line="360" w:lineRule="auto"/>
        <w:rPr>
          <w:sz w:val="24"/>
          <w:szCs w:val="24"/>
        </w:rPr>
      </w:pPr>
    </w:p>
    <w:p w:rsidR="00C53E2A" w:rsidRDefault="00C53E2A" w:rsidP="00FF0596">
      <w:pPr>
        <w:pStyle w:val="ListParagraph"/>
        <w:numPr>
          <w:ilvl w:val="0"/>
          <w:numId w:val="1"/>
        </w:numPr>
        <w:spacing w:line="360" w:lineRule="auto"/>
        <w:ind w:left="0" w:firstLine="1440"/>
        <w:rPr>
          <w:sz w:val="24"/>
          <w:szCs w:val="24"/>
        </w:rPr>
      </w:pPr>
      <w:r>
        <w:rPr>
          <w:sz w:val="24"/>
          <w:szCs w:val="24"/>
        </w:rPr>
        <w:t xml:space="preserve">Formal Complainants Elizabeth Triplett, Svetlana Perminova and Viktor Ushenko, Robert Autore, Frank Gorman, James and Michelle Conklin, Robert </w:t>
      </w:r>
      <w:r w:rsidR="00E018E8">
        <w:rPr>
          <w:sz w:val="24"/>
          <w:szCs w:val="24"/>
        </w:rPr>
        <w:t>Klayn</w:t>
      </w:r>
      <w:r>
        <w:rPr>
          <w:sz w:val="24"/>
          <w:szCs w:val="24"/>
        </w:rPr>
        <w:t xml:space="preserve">, George McGettigan, Grace Doll, Janet McGettigan, Edward </w:t>
      </w:r>
      <w:r w:rsidR="00E018E8">
        <w:rPr>
          <w:sz w:val="24"/>
          <w:szCs w:val="24"/>
        </w:rPr>
        <w:t>Cantamessa</w:t>
      </w:r>
      <w:r>
        <w:rPr>
          <w:sz w:val="24"/>
          <w:szCs w:val="24"/>
        </w:rPr>
        <w:t>, Cindy Luke and Anthony and Sandra Barlotta provided no testamentary or documentary evidence to support their formal complaint.</w:t>
      </w:r>
    </w:p>
    <w:p w:rsidR="00C53E2A" w:rsidRPr="00C53E2A" w:rsidRDefault="00C53E2A" w:rsidP="00C53E2A">
      <w:pPr>
        <w:pStyle w:val="ListParagraph"/>
        <w:rPr>
          <w:sz w:val="24"/>
          <w:szCs w:val="24"/>
        </w:rPr>
      </w:pPr>
    </w:p>
    <w:p w:rsidR="008C37A2" w:rsidRDefault="008C37A2" w:rsidP="008C37A2">
      <w:pPr>
        <w:pStyle w:val="ListParagraph"/>
        <w:spacing w:line="360" w:lineRule="auto"/>
        <w:ind w:left="0"/>
        <w:jc w:val="center"/>
        <w:rPr>
          <w:u w:val="single"/>
        </w:rPr>
      </w:pPr>
      <w:r>
        <w:rPr>
          <w:u w:val="single"/>
        </w:rPr>
        <w:t>DISCUSSION</w:t>
      </w:r>
    </w:p>
    <w:p w:rsidR="00D34788" w:rsidRDefault="00D34788" w:rsidP="008C37A2">
      <w:pPr>
        <w:pStyle w:val="ListParagraph"/>
        <w:spacing w:line="360" w:lineRule="auto"/>
        <w:ind w:left="0"/>
        <w:jc w:val="center"/>
        <w:rPr>
          <w:u w:val="single"/>
        </w:rPr>
      </w:pPr>
    </w:p>
    <w:p w:rsidR="008E4D50" w:rsidRPr="008E4D50" w:rsidRDefault="008E4D50" w:rsidP="00942146">
      <w:pPr>
        <w:spacing w:line="360" w:lineRule="auto"/>
        <w:contextualSpacing/>
      </w:pPr>
      <w:r w:rsidRPr="008E4D50">
        <w:rPr>
          <w:sz w:val="24"/>
          <w:szCs w:val="24"/>
          <w:u w:val="single"/>
        </w:rPr>
        <w:t>Burden of Proof</w:t>
      </w:r>
    </w:p>
    <w:p w:rsidR="008E4D50" w:rsidRPr="008E4D50" w:rsidRDefault="008E4D50" w:rsidP="008E4D50">
      <w:pPr>
        <w:contextualSpacing/>
      </w:pPr>
    </w:p>
    <w:p w:rsidR="008E4D50" w:rsidRPr="008E4D50" w:rsidRDefault="008E4D50" w:rsidP="008E4D50">
      <w:pPr>
        <w:spacing w:line="360" w:lineRule="auto"/>
        <w:contextualSpacing/>
        <w:rPr>
          <w:spacing w:val="-3"/>
          <w:sz w:val="24"/>
          <w:szCs w:val="24"/>
        </w:rPr>
      </w:pPr>
      <w:r w:rsidRPr="008E4D50">
        <w:tab/>
      </w:r>
      <w:r w:rsidRPr="008E4D50">
        <w:tab/>
      </w:r>
      <w:r w:rsidRPr="008E4D50">
        <w:rPr>
          <w:sz w:val="24"/>
          <w:szCs w:val="24"/>
        </w:rPr>
        <w:t>Section 1301 of the Public Utility Code, 66 Pa.C.S. § 1301, provides:</w:t>
      </w:r>
      <w:r w:rsidR="00051690">
        <w:rPr>
          <w:sz w:val="24"/>
          <w:szCs w:val="24"/>
        </w:rPr>
        <w:t xml:space="preserve"> </w:t>
      </w:r>
      <w:r w:rsidRPr="008E4D50">
        <w:rPr>
          <w:sz w:val="24"/>
          <w:szCs w:val="24"/>
        </w:rPr>
        <w:t xml:space="preserve"> “every rate made, demanded, or received by any public utility, or by any two or more public utilities jointly, shall be just and reasonable, and in conformity with regulations or orders of the commission.”  </w:t>
      </w:r>
    </w:p>
    <w:p w:rsidR="008E4D50" w:rsidRPr="008E4D50" w:rsidRDefault="008E4D50" w:rsidP="008E4D50">
      <w:pPr>
        <w:widowControl w:val="0"/>
        <w:spacing w:line="360" w:lineRule="auto"/>
        <w:ind w:firstLine="1440"/>
        <w:rPr>
          <w:sz w:val="24"/>
          <w:szCs w:val="24"/>
        </w:rPr>
      </w:pPr>
    </w:p>
    <w:p w:rsidR="008E4D50" w:rsidRPr="008E4D50" w:rsidRDefault="008E4D50" w:rsidP="008E4D50">
      <w:pPr>
        <w:widowControl w:val="0"/>
        <w:spacing w:line="360" w:lineRule="auto"/>
        <w:rPr>
          <w:color w:val="000000"/>
          <w:sz w:val="24"/>
          <w:szCs w:val="24"/>
        </w:rPr>
      </w:pPr>
      <w:r w:rsidRPr="008E4D50">
        <w:rPr>
          <w:sz w:val="24"/>
          <w:szCs w:val="24"/>
        </w:rPr>
        <w:tab/>
      </w:r>
      <w:r w:rsidRPr="008E4D50">
        <w:rPr>
          <w:sz w:val="24"/>
          <w:szCs w:val="24"/>
        </w:rPr>
        <w:tab/>
        <w:t xml:space="preserve">While the burden of proof remains with the public utility throughout the rate proceeding, the Commission has stated that where a party proposes an adjustment to a ratemaking claim of a utility, the proposing party bears the </w:t>
      </w:r>
      <w:r w:rsidRPr="008E4D50">
        <w:rPr>
          <w:bCs/>
          <w:sz w:val="24"/>
          <w:szCs w:val="24"/>
        </w:rPr>
        <w:t>burden</w:t>
      </w:r>
      <w:r w:rsidRPr="008E4D50">
        <w:rPr>
          <w:sz w:val="24"/>
          <w:szCs w:val="24"/>
        </w:rPr>
        <w:t xml:space="preserve"> of presenting some evidence or analysis tending to demonstrate the reasonableness of the adjustment.  </w:t>
      </w:r>
      <w:r w:rsidRPr="008E4D50">
        <w:rPr>
          <w:i/>
          <w:sz w:val="24"/>
          <w:szCs w:val="24"/>
        </w:rPr>
        <w:t>Pa</w:t>
      </w:r>
      <w:r w:rsidR="00051690">
        <w:rPr>
          <w:i/>
          <w:sz w:val="24"/>
          <w:szCs w:val="24"/>
        </w:rPr>
        <w:t>.</w:t>
      </w:r>
      <w:r w:rsidRPr="008E4D50">
        <w:rPr>
          <w:i/>
          <w:sz w:val="24"/>
          <w:szCs w:val="24"/>
        </w:rPr>
        <w:t xml:space="preserve"> Pub. Util. Comm’n</w:t>
      </w:r>
      <w:r w:rsidR="002138A1">
        <w:rPr>
          <w:i/>
          <w:sz w:val="24"/>
          <w:szCs w:val="24"/>
        </w:rPr>
        <w:t> </w:t>
      </w:r>
      <w:r w:rsidRPr="008E4D50">
        <w:rPr>
          <w:i/>
          <w:sz w:val="24"/>
          <w:szCs w:val="24"/>
        </w:rPr>
        <w:t>v. Aqua Pennsylvania, Inc</w:t>
      </w:r>
      <w:r w:rsidRPr="008E4D50">
        <w:rPr>
          <w:sz w:val="24"/>
          <w:szCs w:val="24"/>
        </w:rPr>
        <w:t xml:space="preserve">., Docket No. R-00072711 (Commission Opinion and Order entered July 17, 2008).  As stated in </w:t>
      </w:r>
      <w:r w:rsidRPr="008E4D50">
        <w:rPr>
          <w:i/>
          <w:sz w:val="24"/>
          <w:szCs w:val="24"/>
        </w:rPr>
        <w:t>Pa</w:t>
      </w:r>
      <w:r w:rsidR="00051690">
        <w:rPr>
          <w:i/>
          <w:sz w:val="24"/>
          <w:szCs w:val="24"/>
        </w:rPr>
        <w:t>.</w:t>
      </w:r>
      <w:r w:rsidRPr="008E4D50">
        <w:rPr>
          <w:i/>
          <w:sz w:val="24"/>
          <w:szCs w:val="24"/>
        </w:rPr>
        <w:t xml:space="preserve"> Pub. Util. Comm</w:t>
      </w:r>
      <w:r w:rsidR="00051690">
        <w:rPr>
          <w:i/>
          <w:sz w:val="24"/>
          <w:szCs w:val="24"/>
        </w:rPr>
        <w:t>’</w:t>
      </w:r>
      <w:r w:rsidRPr="008E4D50">
        <w:rPr>
          <w:i/>
          <w:sz w:val="24"/>
          <w:szCs w:val="24"/>
        </w:rPr>
        <w:t>n</w:t>
      </w:r>
      <w:r w:rsidRPr="008E4D50">
        <w:rPr>
          <w:sz w:val="24"/>
          <w:szCs w:val="24"/>
        </w:rPr>
        <w:t xml:space="preserve"> </w:t>
      </w:r>
      <w:r w:rsidRPr="00051690">
        <w:rPr>
          <w:i/>
          <w:sz w:val="24"/>
          <w:szCs w:val="24"/>
        </w:rPr>
        <w:t>v.</w:t>
      </w:r>
      <w:r w:rsidRPr="008E4D50">
        <w:rPr>
          <w:sz w:val="24"/>
          <w:szCs w:val="24"/>
        </w:rPr>
        <w:t xml:space="preserve"> </w:t>
      </w:r>
      <w:r w:rsidRPr="008E4D50">
        <w:rPr>
          <w:i/>
          <w:sz w:val="24"/>
          <w:szCs w:val="24"/>
        </w:rPr>
        <w:t>Philadelphia Gas Works</w:t>
      </w:r>
      <w:r w:rsidRPr="008E4D50">
        <w:rPr>
          <w:sz w:val="24"/>
          <w:szCs w:val="24"/>
        </w:rPr>
        <w:t>, Docket No. R-00061931 (Opinion and Order entered September 28, 2007) at 12:  “</w:t>
      </w:r>
      <w:r w:rsidRPr="008E4D50">
        <w:rPr>
          <w:color w:val="000000"/>
          <w:sz w:val="24"/>
          <w:szCs w:val="24"/>
        </w:rPr>
        <w:t xml:space="preserve">Section 315(a) of the Code, 66 Pa.C.S. § 315(a), applies since this is a proceeding on Commission Motion.  However, after the utility establishes a </w:t>
      </w:r>
      <w:r w:rsidRPr="004E7265">
        <w:rPr>
          <w:i/>
          <w:color w:val="000000"/>
          <w:sz w:val="24"/>
          <w:szCs w:val="24"/>
        </w:rPr>
        <w:t>prima facie</w:t>
      </w:r>
      <w:r w:rsidRPr="008E4D50">
        <w:rPr>
          <w:color w:val="000000"/>
          <w:sz w:val="24"/>
          <w:szCs w:val="24"/>
        </w:rPr>
        <w:t xml:space="preserve"> case, the burden of going forward or the burden of persuasion shifts to the other parties to rebut the </w:t>
      </w:r>
      <w:r w:rsidRPr="004E7265">
        <w:rPr>
          <w:i/>
          <w:color w:val="000000"/>
          <w:sz w:val="24"/>
          <w:szCs w:val="24"/>
        </w:rPr>
        <w:t>prima facie</w:t>
      </w:r>
      <w:r w:rsidRPr="008E4D50">
        <w:rPr>
          <w:color w:val="000000"/>
          <w:sz w:val="24"/>
          <w:szCs w:val="24"/>
        </w:rPr>
        <w:t xml:space="preserve"> case.”</w:t>
      </w:r>
    </w:p>
    <w:p w:rsidR="008E4D50" w:rsidRPr="008E4D50" w:rsidRDefault="008E4D50" w:rsidP="008E4D50">
      <w:pPr>
        <w:spacing w:line="360" w:lineRule="auto"/>
        <w:rPr>
          <w:sz w:val="24"/>
          <w:szCs w:val="24"/>
        </w:rPr>
      </w:pPr>
      <w:r w:rsidRPr="008E4D50">
        <w:rPr>
          <w:sz w:val="24"/>
          <w:szCs w:val="24"/>
        </w:rPr>
        <w:tab/>
      </w:r>
      <w:r w:rsidRPr="008E4D50">
        <w:rPr>
          <w:sz w:val="24"/>
          <w:szCs w:val="24"/>
        </w:rPr>
        <w:tab/>
        <w:t xml:space="preserve">It is well-established that “[a] litigant’s burden of proof before administrative tribunals as well as before most civil proceedings is satisfied by establishing a preponderance of evidence which is substantial and legally credible.”  </w:t>
      </w:r>
      <w:r w:rsidRPr="008E4D50">
        <w:rPr>
          <w:i/>
          <w:sz w:val="24"/>
          <w:szCs w:val="24"/>
        </w:rPr>
        <w:t>Samuel J. Lansberry, Inc. v. Pa. Pub. Util. Comm</w:t>
      </w:r>
      <w:r w:rsidR="00051690">
        <w:rPr>
          <w:i/>
          <w:sz w:val="24"/>
          <w:szCs w:val="24"/>
        </w:rPr>
        <w:t>’</w:t>
      </w:r>
      <w:r w:rsidRPr="008E4D50">
        <w:rPr>
          <w:i/>
          <w:sz w:val="24"/>
          <w:szCs w:val="24"/>
        </w:rPr>
        <w:t>n</w:t>
      </w:r>
      <w:r w:rsidRPr="008E4D50">
        <w:rPr>
          <w:sz w:val="24"/>
          <w:szCs w:val="24"/>
        </w:rPr>
        <w:t xml:space="preserve">, 578 A.2d 600, 602 (Pa.Cmwlth. 1990).  </w:t>
      </w:r>
    </w:p>
    <w:p w:rsidR="008E4D50" w:rsidRPr="008E4D50" w:rsidRDefault="008E4D50" w:rsidP="008E4D50">
      <w:pPr>
        <w:spacing w:line="360" w:lineRule="auto"/>
        <w:rPr>
          <w:sz w:val="24"/>
          <w:szCs w:val="24"/>
        </w:rPr>
      </w:pPr>
    </w:p>
    <w:p w:rsidR="008E4D50" w:rsidRDefault="008E4D50" w:rsidP="008E4D50">
      <w:pPr>
        <w:spacing w:line="360" w:lineRule="auto"/>
        <w:rPr>
          <w:sz w:val="24"/>
          <w:szCs w:val="24"/>
        </w:rPr>
      </w:pPr>
      <w:r w:rsidRPr="008E4D50">
        <w:rPr>
          <w:sz w:val="24"/>
          <w:szCs w:val="24"/>
        </w:rPr>
        <w:tab/>
      </w:r>
      <w:r w:rsidRPr="008E4D50">
        <w:rPr>
          <w:sz w:val="24"/>
          <w:szCs w:val="24"/>
        </w:rPr>
        <w:tab/>
      </w:r>
      <w:r w:rsidR="00D4062E">
        <w:rPr>
          <w:sz w:val="24"/>
          <w:szCs w:val="24"/>
        </w:rPr>
        <w:t>DSC</w:t>
      </w:r>
      <w:r w:rsidRPr="008E4D50">
        <w:rPr>
          <w:sz w:val="24"/>
          <w:szCs w:val="24"/>
        </w:rPr>
        <w:t xml:space="preserve"> has the burden of proving that its proposed filing is just and reasonable.</w:t>
      </w:r>
    </w:p>
    <w:p w:rsidR="008E4D50" w:rsidRDefault="008E4D50" w:rsidP="008E4D50">
      <w:pPr>
        <w:spacing w:line="360" w:lineRule="auto"/>
        <w:contextualSpacing/>
        <w:rPr>
          <w:sz w:val="24"/>
          <w:szCs w:val="24"/>
        </w:rPr>
      </w:pPr>
    </w:p>
    <w:p w:rsidR="000A6948" w:rsidRPr="000137AD" w:rsidRDefault="000A6948" w:rsidP="000A6948">
      <w:pPr>
        <w:pStyle w:val="Pleading2L3"/>
        <w:numPr>
          <w:ilvl w:val="0"/>
          <w:numId w:val="0"/>
        </w:numPr>
        <w:tabs>
          <w:tab w:val="num" w:pos="0"/>
        </w:tabs>
        <w:spacing w:line="360" w:lineRule="auto"/>
        <w:contextualSpacing/>
        <w:rPr>
          <w:szCs w:val="24"/>
          <w:u w:val="single"/>
        </w:rPr>
      </w:pPr>
      <w:r w:rsidRPr="000137AD">
        <w:rPr>
          <w:szCs w:val="24"/>
          <w:u w:val="single"/>
        </w:rPr>
        <w:t xml:space="preserve">Summary of </w:t>
      </w:r>
      <w:r w:rsidR="00D06919">
        <w:rPr>
          <w:szCs w:val="24"/>
          <w:u w:val="single"/>
        </w:rPr>
        <w:t>P</w:t>
      </w:r>
      <w:r w:rsidRPr="000137AD">
        <w:rPr>
          <w:szCs w:val="24"/>
          <w:u w:val="single"/>
        </w:rPr>
        <w:t xml:space="preserve">ublic </w:t>
      </w:r>
      <w:r w:rsidR="00D06919">
        <w:rPr>
          <w:szCs w:val="24"/>
          <w:u w:val="single"/>
        </w:rPr>
        <w:t>I</w:t>
      </w:r>
      <w:r w:rsidRPr="000137AD">
        <w:rPr>
          <w:szCs w:val="24"/>
          <w:u w:val="single"/>
        </w:rPr>
        <w:t xml:space="preserve">nput </w:t>
      </w:r>
      <w:r w:rsidR="00D06919">
        <w:rPr>
          <w:szCs w:val="24"/>
          <w:u w:val="single"/>
        </w:rPr>
        <w:t>H</w:t>
      </w:r>
      <w:r w:rsidRPr="000137AD">
        <w:rPr>
          <w:szCs w:val="24"/>
          <w:u w:val="single"/>
        </w:rPr>
        <w:t>earing</w:t>
      </w:r>
      <w:r w:rsidR="002945A8">
        <w:rPr>
          <w:szCs w:val="24"/>
          <w:u w:val="single"/>
        </w:rPr>
        <w:t>s</w:t>
      </w:r>
      <w:r>
        <w:rPr>
          <w:szCs w:val="24"/>
          <w:u w:val="single"/>
        </w:rPr>
        <w:fldChar w:fldCharType="begin"/>
      </w:r>
      <w:r>
        <w:instrText xml:space="preserve"> TC "</w:instrText>
      </w:r>
      <w:bookmarkStart w:id="0" w:name="_Toc338312824"/>
      <w:bookmarkStart w:id="1" w:name="_Toc338333743"/>
      <w:bookmarkStart w:id="2" w:name="_Toc338334878"/>
      <w:bookmarkStart w:id="3" w:name="_Toc338335004"/>
      <w:bookmarkStart w:id="4" w:name="_Toc338410144"/>
      <w:bookmarkStart w:id="5" w:name="_Toc338410238"/>
      <w:bookmarkStart w:id="6" w:name="_Toc338410499"/>
      <w:r w:rsidRPr="003F21F6">
        <w:rPr>
          <w:szCs w:val="24"/>
        </w:rPr>
        <w:instrText>III.</w:instrText>
      </w:r>
      <w:r w:rsidRPr="003F21F6">
        <w:rPr>
          <w:szCs w:val="24"/>
        </w:rPr>
        <w:tab/>
      </w:r>
      <w:r w:rsidRPr="003F21F6">
        <w:rPr>
          <w:szCs w:val="24"/>
          <w:u w:val="single"/>
        </w:rPr>
        <w:instrText>SUMMARY OF PUBLIC INPUT HEARINGS</w:instrText>
      </w:r>
      <w:bookmarkEnd w:id="0"/>
      <w:bookmarkEnd w:id="1"/>
      <w:bookmarkEnd w:id="2"/>
      <w:bookmarkEnd w:id="3"/>
      <w:bookmarkEnd w:id="4"/>
      <w:bookmarkEnd w:id="5"/>
      <w:bookmarkEnd w:id="6"/>
      <w:r>
        <w:instrText xml:space="preserve">" \f C \l "1" </w:instrText>
      </w:r>
      <w:r>
        <w:rPr>
          <w:szCs w:val="24"/>
          <w:u w:val="single"/>
        </w:rPr>
        <w:fldChar w:fldCharType="end"/>
      </w:r>
    </w:p>
    <w:p w:rsidR="000A6948" w:rsidRPr="000137AD" w:rsidRDefault="000A6948" w:rsidP="000A6948">
      <w:pPr>
        <w:pStyle w:val="Pleading2L3"/>
        <w:numPr>
          <w:ilvl w:val="0"/>
          <w:numId w:val="0"/>
        </w:numPr>
        <w:tabs>
          <w:tab w:val="num" w:pos="0"/>
        </w:tabs>
        <w:spacing w:line="360" w:lineRule="auto"/>
        <w:contextualSpacing/>
        <w:jc w:val="center"/>
        <w:rPr>
          <w:szCs w:val="24"/>
          <w:u w:val="single"/>
        </w:rPr>
      </w:pPr>
    </w:p>
    <w:p w:rsidR="000A6948" w:rsidRDefault="000A6948" w:rsidP="000A6948">
      <w:pPr>
        <w:pStyle w:val="Pleading2L3"/>
        <w:numPr>
          <w:ilvl w:val="0"/>
          <w:numId w:val="0"/>
        </w:numPr>
        <w:tabs>
          <w:tab w:val="num" w:pos="0"/>
        </w:tabs>
        <w:spacing w:line="360" w:lineRule="auto"/>
        <w:contextualSpacing/>
        <w:rPr>
          <w:szCs w:val="24"/>
        </w:rPr>
      </w:pPr>
      <w:r w:rsidRPr="000137AD">
        <w:rPr>
          <w:szCs w:val="24"/>
        </w:rPr>
        <w:tab/>
      </w:r>
      <w:r w:rsidRPr="000137AD">
        <w:rPr>
          <w:szCs w:val="24"/>
        </w:rPr>
        <w:tab/>
      </w:r>
      <w:r>
        <w:rPr>
          <w:szCs w:val="24"/>
        </w:rPr>
        <w:t>One public input hearing</w:t>
      </w:r>
      <w:r w:rsidRPr="000137AD">
        <w:rPr>
          <w:szCs w:val="24"/>
        </w:rPr>
        <w:t xml:space="preserve"> w</w:t>
      </w:r>
      <w:r>
        <w:rPr>
          <w:szCs w:val="24"/>
        </w:rPr>
        <w:t>as held on February 26, 2015</w:t>
      </w:r>
      <w:r w:rsidR="004E7265">
        <w:rPr>
          <w:szCs w:val="24"/>
        </w:rPr>
        <w:t>,</w:t>
      </w:r>
      <w:r>
        <w:rPr>
          <w:szCs w:val="24"/>
        </w:rPr>
        <w:t xml:space="preserve"> at the Delaware Township Building in Dingman’s Ferry</w:t>
      </w:r>
      <w:r w:rsidRPr="000137AD">
        <w:rPr>
          <w:szCs w:val="24"/>
        </w:rPr>
        <w:t xml:space="preserve">.  </w:t>
      </w:r>
      <w:r w:rsidR="007A4ED1">
        <w:rPr>
          <w:szCs w:val="24"/>
        </w:rPr>
        <w:t xml:space="preserve">Five individuals, each a Formal Complainant testified at the public input hearing.  </w:t>
      </w:r>
      <w:r w:rsidRPr="000137AD">
        <w:rPr>
          <w:szCs w:val="24"/>
        </w:rPr>
        <w:t>The following is a summary of the testimony given:</w:t>
      </w:r>
    </w:p>
    <w:p w:rsidR="000A6948" w:rsidRDefault="000A6948" w:rsidP="000A6948">
      <w:pPr>
        <w:pStyle w:val="Pleading2L3"/>
        <w:numPr>
          <w:ilvl w:val="0"/>
          <w:numId w:val="0"/>
        </w:numPr>
        <w:tabs>
          <w:tab w:val="num" w:pos="0"/>
        </w:tabs>
        <w:spacing w:line="360" w:lineRule="auto"/>
        <w:contextualSpacing/>
        <w:rPr>
          <w:szCs w:val="24"/>
        </w:rPr>
      </w:pPr>
    </w:p>
    <w:p w:rsidR="000A6948" w:rsidRDefault="000A6948" w:rsidP="000A6948">
      <w:pPr>
        <w:pStyle w:val="Pleading2L3"/>
        <w:numPr>
          <w:ilvl w:val="0"/>
          <w:numId w:val="0"/>
        </w:numPr>
        <w:tabs>
          <w:tab w:val="num" w:pos="0"/>
        </w:tabs>
        <w:spacing w:line="360" w:lineRule="auto"/>
        <w:contextualSpacing/>
        <w:rPr>
          <w:szCs w:val="24"/>
        </w:rPr>
      </w:pPr>
      <w:r w:rsidRPr="005B2F21">
        <w:rPr>
          <w:szCs w:val="24"/>
          <w:u w:val="single"/>
        </w:rPr>
        <w:t xml:space="preserve">Edward </w:t>
      </w:r>
      <w:r w:rsidR="00E018E8">
        <w:rPr>
          <w:szCs w:val="24"/>
          <w:u w:val="single"/>
        </w:rPr>
        <w:t>O’Connor</w:t>
      </w:r>
      <w:r>
        <w:rPr>
          <w:szCs w:val="24"/>
        </w:rPr>
        <w:t xml:space="preserve"> testified that the increase is too tremendous, that it is outrageous.  Tr. at 31.</w:t>
      </w:r>
    </w:p>
    <w:p w:rsidR="00D464B9" w:rsidRDefault="00D464B9" w:rsidP="000A6948">
      <w:pPr>
        <w:pStyle w:val="Pleading2L3"/>
        <w:numPr>
          <w:ilvl w:val="0"/>
          <w:numId w:val="0"/>
        </w:numPr>
        <w:tabs>
          <w:tab w:val="num" w:pos="0"/>
        </w:tabs>
        <w:spacing w:line="360" w:lineRule="auto"/>
        <w:contextualSpacing/>
        <w:rPr>
          <w:szCs w:val="24"/>
        </w:rPr>
      </w:pPr>
    </w:p>
    <w:p w:rsidR="000A6948" w:rsidRDefault="000A6948" w:rsidP="000A6948">
      <w:pPr>
        <w:pStyle w:val="Pleading2L3"/>
        <w:numPr>
          <w:ilvl w:val="0"/>
          <w:numId w:val="0"/>
        </w:numPr>
        <w:tabs>
          <w:tab w:val="num" w:pos="0"/>
        </w:tabs>
        <w:spacing w:line="360" w:lineRule="auto"/>
        <w:contextualSpacing/>
        <w:rPr>
          <w:szCs w:val="24"/>
        </w:rPr>
      </w:pPr>
      <w:r w:rsidRPr="005B2F21">
        <w:rPr>
          <w:szCs w:val="24"/>
          <w:u w:val="single"/>
        </w:rPr>
        <w:t>Mary Ellen Templin</w:t>
      </w:r>
      <w:r w:rsidR="005B2F21">
        <w:rPr>
          <w:szCs w:val="24"/>
        </w:rPr>
        <w:t xml:space="preserve"> s</w:t>
      </w:r>
      <w:r>
        <w:rPr>
          <w:szCs w:val="24"/>
        </w:rPr>
        <w:t>tated that the economy in Dingman’s Ferry is not good and that the proposed increase is outlandish.</w:t>
      </w:r>
      <w:r w:rsidR="005B2F21">
        <w:rPr>
          <w:szCs w:val="24"/>
        </w:rPr>
        <w:t xml:space="preserve">  Tr. at 32.</w:t>
      </w:r>
    </w:p>
    <w:p w:rsidR="00D464B9" w:rsidRDefault="00D464B9" w:rsidP="000A6948">
      <w:pPr>
        <w:pStyle w:val="Pleading2L3"/>
        <w:numPr>
          <w:ilvl w:val="0"/>
          <w:numId w:val="0"/>
        </w:numPr>
        <w:tabs>
          <w:tab w:val="num" w:pos="0"/>
        </w:tabs>
        <w:spacing w:line="360" w:lineRule="auto"/>
        <w:contextualSpacing/>
        <w:rPr>
          <w:szCs w:val="24"/>
        </w:rPr>
      </w:pPr>
    </w:p>
    <w:p w:rsidR="005B2F21" w:rsidRDefault="005B2F21" w:rsidP="000A6948">
      <w:pPr>
        <w:pStyle w:val="Pleading2L3"/>
        <w:numPr>
          <w:ilvl w:val="0"/>
          <w:numId w:val="0"/>
        </w:numPr>
        <w:tabs>
          <w:tab w:val="num" w:pos="0"/>
        </w:tabs>
        <w:spacing w:line="360" w:lineRule="auto"/>
        <w:contextualSpacing/>
        <w:rPr>
          <w:szCs w:val="24"/>
        </w:rPr>
      </w:pPr>
      <w:r w:rsidRPr="005B2F21">
        <w:rPr>
          <w:szCs w:val="24"/>
          <w:u w:val="single"/>
        </w:rPr>
        <w:t xml:space="preserve">Debra </w:t>
      </w:r>
      <w:r w:rsidR="00E018E8">
        <w:rPr>
          <w:szCs w:val="24"/>
          <w:u w:val="single"/>
        </w:rPr>
        <w:t>Michell</w:t>
      </w:r>
      <w:r>
        <w:rPr>
          <w:szCs w:val="24"/>
        </w:rPr>
        <w:t xml:space="preserve"> explained that she is retired and on a fixed income, struggling to maintain her residence.  She stated that the proposed increase is unjust and that she would not be able to maintain her home with the increase.  Tr. 33-34.</w:t>
      </w:r>
    </w:p>
    <w:p w:rsidR="00D464B9" w:rsidRDefault="00D464B9" w:rsidP="000A6948">
      <w:pPr>
        <w:pStyle w:val="Pleading2L3"/>
        <w:numPr>
          <w:ilvl w:val="0"/>
          <w:numId w:val="0"/>
        </w:numPr>
        <w:tabs>
          <w:tab w:val="num" w:pos="0"/>
        </w:tabs>
        <w:spacing w:line="360" w:lineRule="auto"/>
        <w:contextualSpacing/>
        <w:rPr>
          <w:szCs w:val="24"/>
        </w:rPr>
      </w:pPr>
    </w:p>
    <w:p w:rsidR="000A6948" w:rsidRDefault="005B2F21" w:rsidP="000A6948">
      <w:pPr>
        <w:pStyle w:val="Pleading2L3"/>
        <w:numPr>
          <w:ilvl w:val="0"/>
          <w:numId w:val="0"/>
        </w:numPr>
        <w:tabs>
          <w:tab w:val="num" w:pos="0"/>
        </w:tabs>
        <w:spacing w:line="360" w:lineRule="auto"/>
        <w:contextualSpacing/>
        <w:rPr>
          <w:szCs w:val="24"/>
        </w:rPr>
      </w:pPr>
      <w:r w:rsidRPr="005B2F21">
        <w:rPr>
          <w:szCs w:val="24"/>
          <w:u w:val="single"/>
        </w:rPr>
        <w:t>Emma Dolan</w:t>
      </w:r>
      <w:r>
        <w:rPr>
          <w:szCs w:val="24"/>
        </w:rPr>
        <w:t xml:space="preserve"> stated she has never had a problem with DSC.  She also wondered why a small amount </w:t>
      </w:r>
      <w:r w:rsidR="007B2CDD">
        <w:rPr>
          <w:szCs w:val="24"/>
        </w:rPr>
        <w:t xml:space="preserve">[of money] wasn’t </w:t>
      </w:r>
      <w:r>
        <w:rPr>
          <w:szCs w:val="24"/>
        </w:rPr>
        <w:t>taken</w:t>
      </w:r>
      <w:r w:rsidR="007B2CDD">
        <w:rPr>
          <w:szCs w:val="24"/>
        </w:rPr>
        <w:t xml:space="preserve"> out of their fees </w:t>
      </w:r>
      <w:r>
        <w:rPr>
          <w:szCs w:val="24"/>
        </w:rPr>
        <w:t>for updates</w:t>
      </w:r>
      <w:r w:rsidR="007B2CDD">
        <w:rPr>
          <w:szCs w:val="24"/>
        </w:rPr>
        <w:t xml:space="preserve"> – which she thought </w:t>
      </w:r>
      <w:r>
        <w:rPr>
          <w:szCs w:val="24"/>
        </w:rPr>
        <w:t>would have seemed more sensible</w:t>
      </w:r>
      <w:r w:rsidR="007B2CDD">
        <w:rPr>
          <w:szCs w:val="24"/>
        </w:rPr>
        <w:t xml:space="preserve"> than a 288% </w:t>
      </w:r>
      <w:r w:rsidR="00051690">
        <w:rPr>
          <w:szCs w:val="24"/>
        </w:rPr>
        <w:t>[</w:t>
      </w:r>
      <w:r w:rsidR="007B2CDD" w:rsidRPr="007B2CDD">
        <w:rPr>
          <w:i/>
          <w:szCs w:val="24"/>
        </w:rPr>
        <w:t>sic</w:t>
      </w:r>
      <w:r w:rsidR="00051690" w:rsidRPr="00104F15">
        <w:rPr>
          <w:szCs w:val="24"/>
        </w:rPr>
        <w:t>]</w:t>
      </w:r>
      <w:r w:rsidR="007B2CDD">
        <w:rPr>
          <w:szCs w:val="24"/>
        </w:rPr>
        <w:t xml:space="preserve"> increase</w:t>
      </w:r>
      <w:r>
        <w:rPr>
          <w:szCs w:val="24"/>
        </w:rPr>
        <w:t>.  Tr. at 36.  She further testified that the proposed increase would force her out of her house, but that she could handle a small amount.  Tr. at 36.</w:t>
      </w:r>
    </w:p>
    <w:p w:rsidR="00D464B9" w:rsidRDefault="00D464B9" w:rsidP="000A6948">
      <w:pPr>
        <w:pStyle w:val="Pleading2L3"/>
        <w:numPr>
          <w:ilvl w:val="0"/>
          <w:numId w:val="0"/>
        </w:numPr>
        <w:tabs>
          <w:tab w:val="num" w:pos="0"/>
        </w:tabs>
        <w:spacing w:line="360" w:lineRule="auto"/>
        <w:contextualSpacing/>
        <w:rPr>
          <w:szCs w:val="24"/>
        </w:rPr>
      </w:pPr>
    </w:p>
    <w:p w:rsidR="005B2F21" w:rsidRDefault="005B2F21" w:rsidP="000A6948">
      <w:pPr>
        <w:pStyle w:val="Pleading2L3"/>
        <w:numPr>
          <w:ilvl w:val="0"/>
          <w:numId w:val="0"/>
        </w:numPr>
        <w:tabs>
          <w:tab w:val="num" w:pos="0"/>
        </w:tabs>
        <w:spacing w:line="360" w:lineRule="auto"/>
        <w:contextualSpacing/>
        <w:rPr>
          <w:szCs w:val="24"/>
        </w:rPr>
      </w:pPr>
      <w:r w:rsidRPr="005B2F21">
        <w:rPr>
          <w:szCs w:val="24"/>
          <w:u w:val="single"/>
        </w:rPr>
        <w:t>Robert Bajkowski</w:t>
      </w:r>
      <w:r>
        <w:rPr>
          <w:szCs w:val="24"/>
        </w:rPr>
        <w:t xml:space="preserve"> stated that he has owned his home for 20 years.  He stated that the proposed increase was unfathomable.  Tr. at 38.</w:t>
      </w:r>
    </w:p>
    <w:p w:rsidR="00C93656" w:rsidRDefault="00C93656" w:rsidP="000A6948">
      <w:pPr>
        <w:pStyle w:val="Pleading2L3"/>
        <w:numPr>
          <w:ilvl w:val="0"/>
          <w:numId w:val="0"/>
        </w:numPr>
        <w:tabs>
          <w:tab w:val="num" w:pos="0"/>
        </w:tabs>
        <w:spacing w:line="360" w:lineRule="auto"/>
        <w:contextualSpacing/>
        <w:rPr>
          <w:szCs w:val="24"/>
        </w:rPr>
      </w:pPr>
    </w:p>
    <w:p w:rsidR="00C93656" w:rsidRDefault="00C93656" w:rsidP="00C93656">
      <w:pPr>
        <w:spacing w:line="360" w:lineRule="auto"/>
        <w:ind w:firstLine="1440"/>
        <w:rPr>
          <w:sz w:val="24"/>
          <w:szCs w:val="24"/>
        </w:rPr>
      </w:pPr>
      <w:r w:rsidRPr="00C93656">
        <w:rPr>
          <w:sz w:val="24"/>
          <w:szCs w:val="24"/>
        </w:rPr>
        <w:t xml:space="preserve">No other </w:t>
      </w:r>
      <w:r w:rsidR="007A4ED1">
        <w:rPr>
          <w:sz w:val="24"/>
          <w:szCs w:val="24"/>
        </w:rPr>
        <w:t xml:space="preserve">individuals </w:t>
      </w:r>
      <w:r w:rsidRPr="00C93656">
        <w:rPr>
          <w:sz w:val="24"/>
          <w:szCs w:val="24"/>
        </w:rPr>
        <w:t>testified at the public input hearing or the evidentiary hearing on April 2, 2015.  Without providing testimony co</w:t>
      </w:r>
      <w:r w:rsidR="007A4ED1">
        <w:rPr>
          <w:sz w:val="24"/>
          <w:szCs w:val="24"/>
        </w:rPr>
        <w:t>ncerning their Formal Complaints</w:t>
      </w:r>
      <w:r w:rsidRPr="00C93656">
        <w:rPr>
          <w:sz w:val="24"/>
          <w:szCs w:val="24"/>
        </w:rPr>
        <w:t xml:space="preserve"> their Formal Complaints must be denied and dismissed</w:t>
      </w:r>
      <w:r w:rsidR="007A4ED1">
        <w:rPr>
          <w:sz w:val="24"/>
          <w:szCs w:val="24"/>
        </w:rPr>
        <w:t>.</w:t>
      </w:r>
      <w:r w:rsidRPr="00C93656">
        <w:rPr>
          <w:sz w:val="24"/>
          <w:szCs w:val="24"/>
        </w:rPr>
        <w:t xml:space="preserve">  Formal Complainants Elizabeth Triplett, Svetlana Perminova and Viktor Ushenko, Robert Autore, Frank Gorman, James and Michelle Conklin, Robert </w:t>
      </w:r>
      <w:r w:rsidR="00E018E8">
        <w:rPr>
          <w:sz w:val="24"/>
          <w:szCs w:val="24"/>
        </w:rPr>
        <w:t>Klayn</w:t>
      </w:r>
      <w:r w:rsidRPr="00C93656">
        <w:rPr>
          <w:sz w:val="24"/>
          <w:szCs w:val="24"/>
        </w:rPr>
        <w:t xml:space="preserve">, George McGettigan, Grace Doll, Janet McGettigan, Edward </w:t>
      </w:r>
      <w:r w:rsidR="00E018E8">
        <w:rPr>
          <w:sz w:val="24"/>
          <w:szCs w:val="24"/>
        </w:rPr>
        <w:t>Cantamessa</w:t>
      </w:r>
      <w:r w:rsidRPr="00C93656">
        <w:rPr>
          <w:sz w:val="24"/>
          <w:szCs w:val="24"/>
        </w:rPr>
        <w:t>, Cindy Luke and Anthony and Sandra Barlotta provided no testamentary or documentary ev</w:t>
      </w:r>
      <w:r>
        <w:rPr>
          <w:sz w:val="24"/>
          <w:szCs w:val="24"/>
        </w:rPr>
        <w:t>idence to support their Formal C</w:t>
      </w:r>
      <w:r w:rsidRPr="00C93656">
        <w:rPr>
          <w:sz w:val="24"/>
          <w:szCs w:val="24"/>
        </w:rPr>
        <w:t>omplaint</w:t>
      </w:r>
      <w:r>
        <w:rPr>
          <w:sz w:val="24"/>
          <w:szCs w:val="24"/>
        </w:rPr>
        <w:t xml:space="preserve"> and their complaints will be dismissed in the ordering paragraphs below.</w:t>
      </w:r>
    </w:p>
    <w:p w:rsidR="00FD3828" w:rsidRPr="00FD3828" w:rsidRDefault="00FD3828" w:rsidP="00C93656">
      <w:pPr>
        <w:spacing w:line="360" w:lineRule="auto"/>
        <w:ind w:firstLine="1440"/>
        <w:rPr>
          <w:sz w:val="24"/>
          <w:szCs w:val="24"/>
          <w:u w:val="single"/>
        </w:rPr>
      </w:pPr>
    </w:p>
    <w:p w:rsidR="00FD3828" w:rsidRDefault="00FD3828" w:rsidP="00942146">
      <w:pPr>
        <w:spacing w:line="360" w:lineRule="auto"/>
        <w:rPr>
          <w:sz w:val="24"/>
          <w:szCs w:val="24"/>
        </w:rPr>
      </w:pPr>
      <w:r w:rsidRPr="00FD3828">
        <w:rPr>
          <w:sz w:val="24"/>
          <w:szCs w:val="24"/>
          <w:u w:val="single"/>
        </w:rPr>
        <w:t>Legal Standard</w:t>
      </w:r>
    </w:p>
    <w:p w:rsidR="00942146" w:rsidRDefault="00942146" w:rsidP="00942146">
      <w:pPr>
        <w:spacing w:line="360" w:lineRule="auto"/>
        <w:rPr>
          <w:sz w:val="24"/>
          <w:szCs w:val="24"/>
        </w:rPr>
      </w:pPr>
    </w:p>
    <w:p w:rsidR="00FD3828" w:rsidRPr="00FD3828" w:rsidRDefault="00FD3828" w:rsidP="00FD3828">
      <w:pPr>
        <w:tabs>
          <w:tab w:val="left" w:pos="-720"/>
        </w:tabs>
        <w:suppressAutoHyphens/>
        <w:spacing w:line="360" w:lineRule="auto"/>
        <w:ind w:firstLine="1440"/>
        <w:rPr>
          <w:sz w:val="24"/>
          <w:szCs w:val="24"/>
        </w:rPr>
      </w:pPr>
      <w:r w:rsidRPr="00FD3828">
        <w:rPr>
          <w:sz w:val="24"/>
          <w:szCs w:val="24"/>
        </w:rPr>
        <w:t xml:space="preserve">Section 1301 of the Public Utility Code, 66 Pa.C.S. § 1301, provides:  “every rate made, demanded, or received by any public utility, or by any two or more public utilities jointly, </w:t>
      </w:r>
    </w:p>
    <w:p w:rsidR="00FD3828" w:rsidRPr="00FD3828" w:rsidRDefault="00FD3828" w:rsidP="00FD3828">
      <w:pPr>
        <w:tabs>
          <w:tab w:val="left" w:pos="-720"/>
        </w:tabs>
        <w:suppressAutoHyphens/>
        <w:spacing w:line="360" w:lineRule="auto"/>
        <w:rPr>
          <w:spacing w:val="-3"/>
          <w:sz w:val="24"/>
          <w:szCs w:val="24"/>
        </w:rPr>
      </w:pPr>
      <w:r w:rsidRPr="00FD3828">
        <w:rPr>
          <w:sz w:val="24"/>
          <w:szCs w:val="24"/>
        </w:rPr>
        <w:t xml:space="preserve">shall be just and reasonable, and in conformity with regulations or orders of the commission.”  </w:t>
      </w:r>
      <w:r w:rsidRPr="00FD3828">
        <w:rPr>
          <w:spacing w:val="-3"/>
          <w:sz w:val="24"/>
          <w:szCs w:val="24"/>
        </w:rPr>
        <w:t xml:space="preserve">In deciding any general rate increase case brought under Section 1308(d) of the Code, 66 Pa.C.S. </w:t>
      </w:r>
    </w:p>
    <w:p w:rsidR="00FD3828" w:rsidRPr="00FD3828" w:rsidRDefault="00FD3828" w:rsidP="00FD3828">
      <w:pPr>
        <w:tabs>
          <w:tab w:val="left" w:pos="-720"/>
        </w:tabs>
        <w:suppressAutoHyphens/>
        <w:spacing w:line="360" w:lineRule="auto"/>
        <w:rPr>
          <w:spacing w:val="-3"/>
          <w:sz w:val="24"/>
          <w:szCs w:val="24"/>
        </w:rPr>
      </w:pPr>
      <w:r w:rsidRPr="00FD3828">
        <w:rPr>
          <w:spacing w:val="-3"/>
          <w:sz w:val="24"/>
          <w:szCs w:val="24"/>
        </w:rPr>
        <w:t xml:space="preserve">§ 101 </w:t>
      </w:r>
      <w:r w:rsidRPr="00FD3828">
        <w:rPr>
          <w:i/>
          <w:spacing w:val="-3"/>
          <w:sz w:val="24"/>
          <w:szCs w:val="24"/>
        </w:rPr>
        <w:t>et seq.</w:t>
      </w:r>
      <w:r w:rsidRPr="00FD3828">
        <w:rPr>
          <w:spacing w:val="-3"/>
          <w:sz w:val="24"/>
          <w:szCs w:val="24"/>
        </w:rPr>
        <w:t xml:space="preserve">, certain general legal standards always apply.  </w:t>
      </w:r>
    </w:p>
    <w:p w:rsidR="00FD3828" w:rsidRPr="00FD3828" w:rsidRDefault="00FD3828" w:rsidP="00FD3828">
      <w:pPr>
        <w:spacing w:line="360" w:lineRule="auto"/>
        <w:ind w:firstLine="1440"/>
        <w:rPr>
          <w:sz w:val="24"/>
          <w:szCs w:val="24"/>
        </w:rPr>
      </w:pPr>
    </w:p>
    <w:p w:rsidR="00FD3828" w:rsidRPr="00FD3828" w:rsidRDefault="00FD3828" w:rsidP="00FD3828">
      <w:pPr>
        <w:spacing w:line="360" w:lineRule="auto"/>
        <w:ind w:firstLine="1440"/>
        <w:rPr>
          <w:sz w:val="24"/>
          <w:szCs w:val="24"/>
        </w:rPr>
      </w:pPr>
      <w:r w:rsidRPr="00FD3828">
        <w:rPr>
          <w:sz w:val="24"/>
          <w:szCs w:val="24"/>
        </w:rPr>
        <w:t xml:space="preserve">The burden of proof to establish the justness and reasonableness of every element of the utility’s rate increase rests solely upon the public utility.  66 Pa.C.S. § 315(a).  “It is well-established that the evidence adduced by a utility to meet this burden must be substantial.”  </w:t>
      </w:r>
      <w:r w:rsidRPr="00FD3828">
        <w:rPr>
          <w:i/>
          <w:sz w:val="24"/>
          <w:szCs w:val="24"/>
        </w:rPr>
        <w:t>Lower Frederick Twp. v. Pa. Pub. Util. Comm’n</w:t>
      </w:r>
      <w:r w:rsidRPr="00FD3828">
        <w:rPr>
          <w:sz w:val="24"/>
          <w:szCs w:val="24"/>
        </w:rPr>
        <w:t>, 409 A.2d 505, 507 (Pa.Cmwlth. Ct.</w:t>
      </w:r>
      <w:r w:rsidR="00CF77A6">
        <w:rPr>
          <w:sz w:val="24"/>
          <w:szCs w:val="24"/>
        </w:rPr>
        <w:t xml:space="preserve"> </w:t>
      </w:r>
      <w:r w:rsidRPr="00FD3828">
        <w:rPr>
          <w:sz w:val="24"/>
          <w:szCs w:val="24"/>
        </w:rPr>
        <w:t xml:space="preserve">1980).  </w:t>
      </w:r>
    </w:p>
    <w:p w:rsidR="00FD3828" w:rsidRPr="00FD3828" w:rsidRDefault="00FD3828" w:rsidP="00FD3828">
      <w:pPr>
        <w:spacing w:line="360" w:lineRule="auto"/>
        <w:ind w:firstLine="1440"/>
        <w:rPr>
          <w:sz w:val="24"/>
          <w:szCs w:val="24"/>
        </w:rPr>
      </w:pPr>
    </w:p>
    <w:p w:rsidR="00FD3828" w:rsidRPr="00FD3828" w:rsidRDefault="00FD3828" w:rsidP="004E7265">
      <w:pPr>
        <w:spacing w:line="360" w:lineRule="auto"/>
        <w:rPr>
          <w:spacing w:val="-3"/>
          <w:sz w:val="24"/>
          <w:szCs w:val="24"/>
        </w:rPr>
      </w:pPr>
      <w:r w:rsidRPr="00FD3828">
        <w:rPr>
          <w:sz w:val="24"/>
          <w:szCs w:val="24"/>
        </w:rPr>
        <w:tab/>
      </w:r>
      <w:r w:rsidRPr="00FD3828">
        <w:rPr>
          <w:sz w:val="24"/>
          <w:szCs w:val="24"/>
        </w:rPr>
        <w:tab/>
        <w:t xml:space="preserve">Section 523 of the Public Utility Code, 66 Pa.C.S. § 523, requires the Commission to “consider . . . the efficiency, effectiveness and adequacy of service of each utility when determining just and reasonable rates. . . .”  In exchange for customers paying rates for service, which include the cost of utility plant in service and a rate of return, a public utility is obligated to provide safe, adequate and reasonable service.  “[I]n exchange for the utility’s provision of safe, adequate and reasonable service, the ratepayers are obligated to pay rates which cover the cost of service </w:t>
      </w:r>
      <w:r w:rsidRPr="007B2CDD">
        <w:rPr>
          <w:b/>
          <w:sz w:val="24"/>
          <w:szCs w:val="24"/>
        </w:rPr>
        <w:t>which includes reasonable operation and maintenance expenses</w:t>
      </w:r>
      <w:r w:rsidRPr="00FD3828">
        <w:rPr>
          <w:sz w:val="24"/>
          <w:szCs w:val="24"/>
        </w:rPr>
        <w:t xml:space="preserve">, depreciation, taxes and a fair rate of return for the utility’s investors . . .  In return for providing safe and adequate service, the utility is entitled to recover, through rates, these enumerated costs.”  </w:t>
      </w:r>
      <w:r w:rsidRPr="00FD3828">
        <w:rPr>
          <w:i/>
          <w:spacing w:val="-3"/>
          <w:sz w:val="24"/>
          <w:szCs w:val="24"/>
        </w:rPr>
        <w:t>Pa</w:t>
      </w:r>
      <w:r w:rsidR="007B2CDD">
        <w:rPr>
          <w:i/>
          <w:spacing w:val="-3"/>
          <w:sz w:val="24"/>
          <w:szCs w:val="24"/>
        </w:rPr>
        <w:t>.</w:t>
      </w:r>
      <w:r w:rsidRPr="00FD3828">
        <w:rPr>
          <w:i/>
          <w:spacing w:val="-3"/>
          <w:sz w:val="24"/>
          <w:szCs w:val="24"/>
        </w:rPr>
        <w:t xml:space="preserve"> Pub. Util. Comm’n </w:t>
      </w:r>
      <w:r w:rsidRPr="00FD3828">
        <w:rPr>
          <w:i/>
          <w:sz w:val="24"/>
          <w:szCs w:val="24"/>
        </w:rPr>
        <w:t xml:space="preserve">v. Pennsylvania Gas &amp; Water Co., </w:t>
      </w:r>
      <w:r w:rsidRPr="00FD3828">
        <w:rPr>
          <w:sz w:val="24"/>
          <w:szCs w:val="24"/>
        </w:rPr>
        <w:t>61 Pa. PUC 409, 415-16 (1986)</w:t>
      </w:r>
      <w:r w:rsidR="000C1A15">
        <w:rPr>
          <w:sz w:val="24"/>
          <w:szCs w:val="24"/>
        </w:rPr>
        <w:t xml:space="preserve"> </w:t>
      </w:r>
      <w:r w:rsidR="007B2CDD">
        <w:rPr>
          <w:sz w:val="24"/>
          <w:szCs w:val="24"/>
        </w:rPr>
        <w:t>(Emphasis added)</w:t>
      </w:r>
      <w:r w:rsidRPr="00FD3828">
        <w:rPr>
          <w:sz w:val="24"/>
          <w:szCs w:val="24"/>
        </w:rPr>
        <w:t>; 66 Pa.C.S. § 1501.  Accordingly, the General Assembly has given the Commission discretionary authority to deny a proposed rate increase, in whole or in part, if the Commission finds “that the service rendered by the public utility is inadequate.”  66 Pa.C.S. § 526(a).</w:t>
      </w:r>
    </w:p>
    <w:p w:rsidR="00FD3828" w:rsidRPr="00FD3828" w:rsidRDefault="00FD3828" w:rsidP="00FD3828">
      <w:pPr>
        <w:tabs>
          <w:tab w:val="left" w:pos="-720"/>
        </w:tabs>
        <w:suppressAutoHyphens/>
        <w:spacing w:line="360" w:lineRule="auto"/>
        <w:ind w:firstLine="1440"/>
        <w:rPr>
          <w:spacing w:val="-3"/>
          <w:sz w:val="24"/>
          <w:szCs w:val="24"/>
        </w:rPr>
      </w:pPr>
    </w:p>
    <w:p w:rsidR="00FD3828" w:rsidRPr="00FD3828" w:rsidRDefault="00FD3828" w:rsidP="00FD3828">
      <w:pPr>
        <w:spacing w:line="360" w:lineRule="auto"/>
        <w:rPr>
          <w:spacing w:val="-3"/>
          <w:sz w:val="24"/>
          <w:szCs w:val="24"/>
        </w:rPr>
      </w:pPr>
      <w:r w:rsidRPr="00FD3828">
        <w:rPr>
          <w:spacing w:val="-3"/>
          <w:sz w:val="24"/>
          <w:szCs w:val="24"/>
        </w:rPr>
        <w:tab/>
      </w:r>
      <w:r w:rsidRPr="00FD3828">
        <w:rPr>
          <w:spacing w:val="-3"/>
          <w:sz w:val="24"/>
          <w:szCs w:val="24"/>
        </w:rPr>
        <w:tab/>
        <w:t xml:space="preserve">A public utility need not affirmatively defend every claim it has made in its filing, even those which no other party has questioned absent prior notice that such action is to be challenged.  </w:t>
      </w:r>
      <w:r w:rsidRPr="00FD3828">
        <w:rPr>
          <w:i/>
          <w:spacing w:val="-3"/>
          <w:sz w:val="24"/>
          <w:szCs w:val="24"/>
        </w:rPr>
        <w:t>Allegheny Center Assocs. v. Pa. Pub. Util. Comm’n,</w:t>
      </w:r>
      <w:r w:rsidRPr="00FD3828">
        <w:rPr>
          <w:spacing w:val="-3"/>
          <w:sz w:val="24"/>
          <w:szCs w:val="24"/>
        </w:rPr>
        <w:t xml:space="preserve"> 131 Pa.Cmwlth. 352, 359, 570 A.2d 149, 153 (1990).  </w:t>
      </w:r>
      <w:r w:rsidRPr="00FD3828">
        <w:rPr>
          <w:i/>
          <w:spacing w:val="-3"/>
          <w:sz w:val="24"/>
          <w:szCs w:val="24"/>
        </w:rPr>
        <w:t>See also, Pa. Pub. Util. Comm’n v. Equitable Gas Co</w:t>
      </w:r>
      <w:r w:rsidRPr="00FD3828">
        <w:rPr>
          <w:spacing w:val="-3"/>
          <w:sz w:val="24"/>
          <w:szCs w:val="24"/>
        </w:rPr>
        <w:t>., 73 Pa. PUC 310, 359 – 360 (1990).</w:t>
      </w:r>
    </w:p>
    <w:p w:rsidR="00FD3828" w:rsidRPr="00FD3828" w:rsidRDefault="00FD3828" w:rsidP="00FD3828">
      <w:pPr>
        <w:spacing w:line="360" w:lineRule="auto"/>
        <w:ind w:firstLine="1440"/>
        <w:rPr>
          <w:spacing w:val="-3"/>
          <w:sz w:val="24"/>
          <w:szCs w:val="24"/>
        </w:rPr>
      </w:pPr>
    </w:p>
    <w:p w:rsidR="00FD3828" w:rsidRDefault="00FD3828" w:rsidP="00FD3828">
      <w:pPr>
        <w:tabs>
          <w:tab w:val="left" w:pos="-720"/>
        </w:tabs>
        <w:suppressAutoHyphens/>
        <w:spacing w:line="360" w:lineRule="auto"/>
        <w:ind w:firstLine="1440"/>
        <w:rPr>
          <w:sz w:val="24"/>
          <w:szCs w:val="24"/>
        </w:rPr>
      </w:pPr>
      <w:r w:rsidRPr="00FD3828">
        <w:rPr>
          <w:sz w:val="24"/>
          <w:szCs w:val="24"/>
        </w:rPr>
        <w:t xml:space="preserve">The Commission is not required to consider expressly and at length each contention and authority brought forth by each party to the proceeding.  </w:t>
      </w:r>
      <w:r w:rsidRPr="00FD3828">
        <w:rPr>
          <w:i/>
          <w:sz w:val="24"/>
          <w:szCs w:val="24"/>
        </w:rPr>
        <w:t>University of Pennsylvania v. Pa</w:t>
      </w:r>
      <w:r w:rsidR="00EE5C4E">
        <w:rPr>
          <w:i/>
          <w:sz w:val="24"/>
          <w:szCs w:val="24"/>
        </w:rPr>
        <w:t>.</w:t>
      </w:r>
      <w:r w:rsidRPr="00FD3828">
        <w:rPr>
          <w:i/>
          <w:sz w:val="24"/>
          <w:szCs w:val="24"/>
        </w:rPr>
        <w:t xml:space="preserve"> Pub. Util. Comm’n</w:t>
      </w:r>
      <w:r w:rsidRPr="00FD3828">
        <w:rPr>
          <w:sz w:val="24"/>
          <w:szCs w:val="24"/>
        </w:rPr>
        <w:t xml:space="preserve">, 86 Pa.Cmwlth. 410, 485 A.2d 1217 (1984).  “A voluminous record does not create, by its bulk alone, a multitude of real issues demanding individual attention . . . .”  </w:t>
      </w:r>
      <w:r w:rsidRPr="00FD3828">
        <w:rPr>
          <w:i/>
          <w:sz w:val="24"/>
          <w:szCs w:val="24"/>
        </w:rPr>
        <w:t>Application of Midwestern Fidelity Corp.</w:t>
      </w:r>
      <w:r w:rsidRPr="00FD3828">
        <w:rPr>
          <w:sz w:val="24"/>
          <w:szCs w:val="24"/>
        </w:rPr>
        <w:t>, 26 Pa.Cmwlth. 211, 230 fn.</w:t>
      </w:r>
      <w:r w:rsidR="000C1A15">
        <w:rPr>
          <w:sz w:val="24"/>
          <w:szCs w:val="24"/>
        </w:rPr>
        <w:t> </w:t>
      </w:r>
      <w:r w:rsidRPr="00FD3828">
        <w:rPr>
          <w:sz w:val="24"/>
          <w:szCs w:val="24"/>
        </w:rPr>
        <w:t>6, 363 A.2d 892, 902, fn.</w:t>
      </w:r>
      <w:r w:rsidR="000C1A15">
        <w:rPr>
          <w:sz w:val="24"/>
          <w:szCs w:val="24"/>
        </w:rPr>
        <w:t xml:space="preserve"> </w:t>
      </w:r>
      <w:r w:rsidRPr="00FD3828">
        <w:rPr>
          <w:sz w:val="24"/>
          <w:szCs w:val="24"/>
        </w:rPr>
        <w:t>6 (1976).  Further, a Commission decision is adequate where, on each of the issues raised, the Commission was merely presented with a choice of actions, each fully developed in the record, and its choice on each issue amounted to an implicit acceptance of one party</w:t>
      </w:r>
      <w:r w:rsidR="000C1A15">
        <w:rPr>
          <w:sz w:val="24"/>
          <w:szCs w:val="24"/>
        </w:rPr>
        <w:t>’</w:t>
      </w:r>
      <w:r w:rsidRPr="00FD3828">
        <w:rPr>
          <w:sz w:val="24"/>
          <w:szCs w:val="24"/>
        </w:rPr>
        <w:t>s thesis and rejection of the other party</w:t>
      </w:r>
      <w:r w:rsidR="000C1A15">
        <w:rPr>
          <w:sz w:val="24"/>
          <w:szCs w:val="24"/>
        </w:rPr>
        <w:t>’</w:t>
      </w:r>
      <w:r w:rsidRPr="00FD3828">
        <w:rPr>
          <w:sz w:val="24"/>
          <w:szCs w:val="24"/>
        </w:rPr>
        <w:t xml:space="preserve">s contention. </w:t>
      </w:r>
      <w:r w:rsidR="000C1A15">
        <w:rPr>
          <w:sz w:val="24"/>
          <w:szCs w:val="24"/>
        </w:rPr>
        <w:t xml:space="preserve"> </w:t>
      </w:r>
      <w:r w:rsidRPr="00FD3828">
        <w:rPr>
          <w:i/>
          <w:sz w:val="24"/>
          <w:szCs w:val="24"/>
        </w:rPr>
        <w:t>Popowsky, et al. v. Pa. Pub. Util. Comm</w:t>
      </w:r>
      <w:r w:rsidR="00CB6A0B">
        <w:rPr>
          <w:i/>
          <w:sz w:val="24"/>
          <w:szCs w:val="24"/>
        </w:rPr>
        <w:t>’</w:t>
      </w:r>
      <w:r w:rsidRPr="00FD3828">
        <w:rPr>
          <w:i/>
          <w:sz w:val="24"/>
          <w:szCs w:val="24"/>
        </w:rPr>
        <w:t>n</w:t>
      </w:r>
      <w:r w:rsidRPr="00FD3828">
        <w:rPr>
          <w:sz w:val="24"/>
          <w:szCs w:val="24"/>
        </w:rPr>
        <w:t xml:space="preserve">, 550 Pa. 449, 706 A.2d 1197 (1997), 1997 Pa. LEXIS 2756. </w:t>
      </w:r>
    </w:p>
    <w:p w:rsidR="004F54AF" w:rsidRDefault="004F54AF" w:rsidP="005E2733">
      <w:pPr>
        <w:tabs>
          <w:tab w:val="left" w:pos="-720"/>
        </w:tabs>
        <w:suppressAutoHyphens/>
        <w:spacing w:line="360" w:lineRule="auto"/>
        <w:rPr>
          <w:sz w:val="24"/>
          <w:szCs w:val="24"/>
          <w:u w:val="single"/>
        </w:rPr>
      </w:pPr>
    </w:p>
    <w:p w:rsidR="005E2733" w:rsidRDefault="005E2733" w:rsidP="005E2733">
      <w:pPr>
        <w:tabs>
          <w:tab w:val="left" w:pos="-720"/>
        </w:tabs>
        <w:suppressAutoHyphens/>
        <w:spacing w:line="360" w:lineRule="auto"/>
        <w:rPr>
          <w:sz w:val="24"/>
          <w:szCs w:val="24"/>
        </w:rPr>
      </w:pPr>
      <w:r w:rsidRPr="005E2733">
        <w:rPr>
          <w:sz w:val="24"/>
          <w:szCs w:val="24"/>
          <w:u w:val="single"/>
        </w:rPr>
        <w:t xml:space="preserve">Quality of </w:t>
      </w:r>
      <w:r w:rsidR="00D271F1">
        <w:rPr>
          <w:sz w:val="24"/>
          <w:szCs w:val="24"/>
          <w:u w:val="single"/>
        </w:rPr>
        <w:t>S</w:t>
      </w:r>
      <w:r w:rsidRPr="005E2733">
        <w:rPr>
          <w:sz w:val="24"/>
          <w:szCs w:val="24"/>
          <w:u w:val="single"/>
        </w:rPr>
        <w:t>ervice</w:t>
      </w:r>
    </w:p>
    <w:p w:rsidR="00B81282" w:rsidRDefault="00B81282" w:rsidP="005E2733">
      <w:pPr>
        <w:tabs>
          <w:tab w:val="left" w:pos="-720"/>
        </w:tabs>
        <w:suppressAutoHyphens/>
        <w:spacing w:line="360" w:lineRule="auto"/>
        <w:rPr>
          <w:sz w:val="24"/>
          <w:szCs w:val="24"/>
        </w:rPr>
      </w:pPr>
    </w:p>
    <w:p w:rsidR="005E2733" w:rsidRDefault="005E2733" w:rsidP="005E2733">
      <w:pPr>
        <w:tabs>
          <w:tab w:val="left" w:pos="-720"/>
        </w:tabs>
        <w:suppressAutoHyphens/>
        <w:spacing w:line="360" w:lineRule="auto"/>
        <w:ind w:firstLine="1440"/>
        <w:rPr>
          <w:sz w:val="24"/>
          <w:szCs w:val="24"/>
        </w:rPr>
      </w:pPr>
      <w:r>
        <w:rPr>
          <w:sz w:val="24"/>
          <w:szCs w:val="24"/>
        </w:rPr>
        <w:t xml:space="preserve">The OCA argues that DSC should not receive a rate increase because it is not a viable system, in that it </w:t>
      </w:r>
      <w:r w:rsidR="00141623">
        <w:rPr>
          <w:sz w:val="24"/>
          <w:szCs w:val="24"/>
        </w:rPr>
        <w:t>is not</w:t>
      </w:r>
      <w:r>
        <w:rPr>
          <w:sz w:val="24"/>
          <w:szCs w:val="24"/>
        </w:rPr>
        <w:t xml:space="preserve"> self-sustaining and </w:t>
      </w:r>
      <w:r w:rsidR="00141623">
        <w:rPr>
          <w:sz w:val="24"/>
          <w:szCs w:val="24"/>
        </w:rPr>
        <w:t>does not</w:t>
      </w:r>
      <w:r>
        <w:rPr>
          <w:sz w:val="24"/>
          <w:szCs w:val="24"/>
        </w:rPr>
        <w:t xml:space="preserve"> </w:t>
      </w:r>
      <w:r w:rsidR="004E7265">
        <w:rPr>
          <w:sz w:val="24"/>
          <w:szCs w:val="24"/>
        </w:rPr>
        <w:t xml:space="preserve">have </w:t>
      </w:r>
      <w:r>
        <w:rPr>
          <w:sz w:val="24"/>
          <w:szCs w:val="24"/>
        </w:rPr>
        <w:t>the</w:t>
      </w:r>
      <w:r w:rsidR="004E7265">
        <w:rPr>
          <w:sz w:val="24"/>
          <w:szCs w:val="24"/>
        </w:rPr>
        <w:t xml:space="preserve"> requisite</w:t>
      </w:r>
      <w:r>
        <w:rPr>
          <w:sz w:val="24"/>
          <w:szCs w:val="24"/>
        </w:rPr>
        <w:t xml:space="preserve"> financial, managerial and technical capabilities to meet Commission and DEP requirements.  </w:t>
      </w:r>
      <w:r w:rsidRPr="00141623">
        <w:rPr>
          <w:sz w:val="24"/>
          <w:szCs w:val="24"/>
          <w:u w:val="single"/>
        </w:rPr>
        <w:t xml:space="preserve">Policy Statement re: Small Drinking </w:t>
      </w:r>
      <w:r w:rsidR="00141623" w:rsidRPr="00141623">
        <w:rPr>
          <w:sz w:val="24"/>
          <w:szCs w:val="24"/>
          <w:u w:val="single"/>
        </w:rPr>
        <w:t>W</w:t>
      </w:r>
      <w:r w:rsidRPr="00141623">
        <w:rPr>
          <w:sz w:val="24"/>
          <w:szCs w:val="24"/>
          <w:u w:val="single"/>
        </w:rPr>
        <w:t xml:space="preserve">ater </w:t>
      </w:r>
      <w:r w:rsidR="00141623" w:rsidRPr="00141623">
        <w:rPr>
          <w:sz w:val="24"/>
          <w:szCs w:val="24"/>
          <w:u w:val="single"/>
        </w:rPr>
        <w:t>S</w:t>
      </w:r>
      <w:r w:rsidRPr="00141623">
        <w:rPr>
          <w:sz w:val="24"/>
          <w:szCs w:val="24"/>
          <w:u w:val="single"/>
        </w:rPr>
        <w:t>ystems Viability and Memorandum of Understanding between Department of Environmental Protection and Pennsylvania Public Utility Commission</w:t>
      </w:r>
      <w:r>
        <w:rPr>
          <w:sz w:val="24"/>
          <w:szCs w:val="24"/>
        </w:rPr>
        <w:t>.  52 Pa.Code § 69.701</w:t>
      </w:r>
      <w:r w:rsidR="00141623">
        <w:rPr>
          <w:sz w:val="24"/>
          <w:szCs w:val="24"/>
        </w:rPr>
        <w:t xml:space="preserve">.  OCA further argues that case law supports analysis of the linkage between just and reasonable rates and the quality of the service received.  </w:t>
      </w:r>
      <w:r w:rsidR="00141623" w:rsidRPr="00367420">
        <w:rPr>
          <w:i/>
          <w:sz w:val="24"/>
          <w:szCs w:val="24"/>
        </w:rPr>
        <w:t>Market Street Railway Co. v. Railroad Commission of California,</w:t>
      </w:r>
      <w:r w:rsidR="00141623">
        <w:rPr>
          <w:sz w:val="24"/>
          <w:szCs w:val="24"/>
        </w:rPr>
        <w:t xml:space="preserve"> 324 U.S. 548 (1945)</w:t>
      </w:r>
      <w:r w:rsidR="000921F4">
        <w:rPr>
          <w:sz w:val="24"/>
          <w:szCs w:val="24"/>
        </w:rPr>
        <w:t>.  OCA noted that the DSC</w:t>
      </w:r>
      <w:r w:rsidR="007A4ED1">
        <w:rPr>
          <w:sz w:val="24"/>
          <w:szCs w:val="24"/>
        </w:rPr>
        <w:t>’s</w:t>
      </w:r>
      <w:r w:rsidR="000921F4">
        <w:rPr>
          <w:sz w:val="24"/>
          <w:szCs w:val="24"/>
        </w:rPr>
        <w:t xml:space="preserve"> for</w:t>
      </w:r>
      <w:r w:rsidR="008C13F1">
        <w:rPr>
          <w:sz w:val="24"/>
          <w:szCs w:val="24"/>
        </w:rPr>
        <w:t>mer affiliate Clean Stream Sewage</w:t>
      </w:r>
      <w:r w:rsidR="000921F4">
        <w:rPr>
          <w:sz w:val="24"/>
          <w:szCs w:val="24"/>
        </w:rPr>
        <w:t xml:space="preserve"> Company was denied a rate increase due to lack of quality service.  </w:t>
      </w:r>
      <w:r w:rsidR="007B2CDD">
        <w:rPr>
          <w:i/>
          <w:sz w:val="24"/>
          <w:szCs w:val="24"/>
        </w:rPr>
        <w:t>Pa. P</w:t>
      </w:r>
      <w:r w:rsidR="000D2BF9">
        <w:rPr>
          <w:i/>
          <w:sz w:val="24"/>
          <w:szCs w:val="24"/>
        </w:rPr>
        <w:t>ub. Util. Comm’n</w:t>
      </w:r>
      <w:r w:rsidR="007B2CDD">
        <w:rPr>
          <w:i/>
          <w:sz w:val="24"/>
          <w:szCs w:val="24"/>
        </w:rPr>
        <w:t xml:space="preserve"> v. Clean Treatment Sewage</w:t>
      </w:r>
      <w:r w:rsidR="000921F4" w:rsidRPr="00367420">
        <w:rPr>
          <w:i/>
          <w:sz w:val="24"/>
          <w:szCs w:val="24"/>
        </w:rPr>
        <w:t xml:space="preserve"> Co.</w:t>
      </w:r>
      <w:r w:rsidR="000921F4">
        <w:rPr>
          <w:sz w:val="24"/>
          <w:szCs w:val="24"/>
        </w:rPr>
        <w:t xml:space="preserve"> Docket No. R-2009-2121928 (Order entered April 22, 2010).</w:t>
      </w:r>
      <w:r w:rsidR="002D0E45">
        <w:rPr>
          <w:sz w:val="24"/>
          <w:szCs w:val="24"/>
        </w:rPr>
        <w:t xml:space="preserve">  The OCA further argues that a Petition filed by DSC seeking that the Commission open a 529 investigation is proof that DSC cannot provide safe and adequate service.  </w:t>
      </w:r>
      <w:r w:rsidR="00F11C77">
        <w:rPr>
          <w:sz w:val="24"/>
          <w:szCs w:val="24"/>
        </w:rPr>
        <w:t xml:space="preserve">Main Brief at 18.  </w:t>
      </w:r>
      <w:r w:rsidR="002D0E45">
        <w:rPr>
          <w:sz w:val="24"/>
          <w:szCs w:val="24"/>
        </w:rPr>
        <w:t xml:space="preserve">A 529 proceeding is an investigation into whether a capable utility should </w:t>
      </w:r>
      <w:r w:rsidR="00F11C77">
        <w:rPr>
          <w:sz w:val="24"/>
          <w:szCs w:val="24"/>
        </w:rPr>
        <w:t>be ordered to acquire a small water or sewer utility</w:t>
      </w:r>
      <w:r w:rsidR="002D0E45">
        <w:rPr>
          <w:sz w:val="24"/>
          <w:szCs w:val="24"/>
        </w:rPr>
        <w:t xml:space="preserve">.  </w:t>
      </w:r>
      <w:r w:rsidR="00F11C77">
        <w:rPr>
          <w:sz w:val="24"/>
          <w:szCs w:val="24"/>
        </w:rPr>
        <w:t>The Petition is ongoing.</w:t>
      </w:r>
      <w:r w:rsidR="00D61183">
        <w:rPr>
          <w:rStyle w:val="FootnoteReference"/>
          <w:sz w:val="24"/>
          <w:szCs w:val="24"/>
        </w:rPr>
        <w:footnoteReference w:id="1"/>
      </w:r>
    </w:p>
    <w:p w:rsidR="000921F4" w:rsidRDefault="000921F4" w:rsidP="005E2733">
      <w:pPr>
        <w:tabs>
          <w:tab w:val="left" w:pos="-720"/>
        </w:tabs>
        <w:suppressAutoHyphens/>
        <w:spacing w:line="360" w:lineRule="auto"/>
        <w:ind w:firstLine="1440"/>
        <w:rPr>
          <w:sz w:val="24"/>
          <w:szCs w:val="24"/>
        </w:rPr>
      </w:pPr>
    </w:p>
    <w:p w:rsidR="000921F4" w:rsidRDefault="000921F4" w:rsidP="005E2733">
      <w:pPr>
        <w:tabs>
          <w:tab w:val="left" w:pos="-720"/>
        </w:tabs>
        <w:suppressAutoHyphens/>
        <w:spacing w:line="360" w:lineRule="auto"/>
        <w:ind w:firstLine="1440"/>
        <w:rPr>
          <w:sz w:val="24"/>
          <w:szCs w:val="24"/>
        </w:rPr>
      </w:pPr>
      <w:r>
        <w:rPr>
          <w:sz w:val="24"/>
          <w:szCs w:val="24"/>
        </w:rPr>
        <w:t>BI&amp;E makes no similar argument</w:t>
      </w:r>
      <w:r w:rsidR="00170D58">
        <w:rPr>
          <w:sz w:val="24"/>
          <w:szCs w:val="24"/>
        </w:rPr>
        <w:t xml:space="preserve"> regarding quality of service</w:t>
      </w:r>
      <w:r>
        <w:rPr>
          <w:sz w:val="24"/>
          <w:szCs w:val="24"/>
        </w:rPr>
        <w:t>.</w:t>
      </w:r>
    </w:p>
    <w:p w:rsidR="008C13F1" w:rsidRDefault="008C13F1" w:rsidP="008C13F1">
      <w:pPr>
        <w:pStyle w:val="ListParagraph"/>
        <w:tabs>
          <w:tab w:val="left" w:pos="2160"/>
        </w:tabs>
        <w:spacing w:line="360" w:lineRule="auto"/>
        <w:ind w:left="1440"/>
        <w:rPr>
          <w:sz w:val="24"/>
          <w:szCs w:val="24"/>
        </w:rPr>
      </w:pPr>
    </w:p>
    <w:p w:rsidR="00094F01" w:rsidRPr="00241E21" w:rsidRDefault="00E018E8" w:rsidP="008C13F1">
      <w:pPr>
        <w:pStyle w:val="ListParagraph"/>
        <w:tabs>
          <w:tab w:val="left" w:pos="2160"/>
        </w:tabs>
        <w:spacing w:line="360" w:lineRule="auto"/>
        <w:ind w:left="0" w:firstLine="1440"/>
        <w:rPr>
          <w:sz w:val="24"/>
          <w:szCs w:val="24"/>
        </w:rPr>
      </w:pPr>
      <w:r>
        <w:rPr>
          <w:sz w:val="24"/>
          <w:szCs w:val="24"/>
        </w:rPr>
        <w:t>T</w:t>
      </w:r>
      <w:r w:rsidR="000921F4">
        <w:rPr>
          <w:sz w:val="24"/>
          <w:szCs w:val="24"/>
        </w:rPr>
        <w:t>here is a cost of providing the service</w:t>
      </w:r>
      <w:r w:rsidR="004E7265">
        <w:rPr>
          <w:sz w:val="24"/>
          <w:szCs w:val="24"/>
        </w:rPr>
        <w:t xml:space="preserve"> as it is currently being provided</w:t>
      </w:r>
      <w:r w:rsidR="000921F4">
        <w:rPr>
          <w:sz w:val="24"/>
          <w:szCs w:val="24"/>
        </w:rPr>
        <w:t>, and th</w:t>
      </w:r>
      <w:r w:rsidR="00F77896">
        <w:rPr>
          <w:sz w:val="24"/>
          <w:szCs w:val="24"/>
        </w:rPr>
        <w:t>ose</w:t>
      </w:r>
      <w:r w:rsidR="000921F4">
        <w:rPr>
          <w:sz w:val="24"/>
          <w:szCs w:val="24"/>
        </w:rPr>
        <w:t xml:space="preserve"> cost</w:t>
      </w:r>
      <w:r w:rsidR="00F77896">
        <w:rPr>
          <w:sz w:val="24"/>
          <w:szCs w:val="24"/>
        </w:rPr>
        <w:t>s</w:t>
      </w:r>
      <w:r w:rsidR="000921F4">
        <w:rPr>
          <w:sz w:val="24"/>
          <w:szCs w:val="24"/>
        </w:rPr>
        <w:t xml:space="preserve"> </w:t>
      </w:r>
      <w:r w:rsidR="00F77896">
        <w:rPr>
          <w:sz w:val="24"/>
          <w:szCs w:val="24"/>
        </w:rPr>
        <w:t>are not</w:t>
      </w:r>
      <w:r w:rsidR="000921F4">
        <w:rPr>
          <w:sz w:val="24"/>
          <w:szCs w:val="24"/>
        </w:rPr>
        <w:t xml:space="preserve"> being covered by the current </w:t>
      </w:r>
      <w:r w:rsidR="004E7265">
        <w:rPr>
          <w:sz w:val="24"/>
          <w:szCs w:val="24"/>
        </w:rPr>
        <w:t xml:space="preserve">customer monthly </w:t>
      </w:r>
      <w:r w:rsidR="000921F4">
        <w:rPr>
          <w:sz w:val="24"/>
          <w:szCs w:val="24"/>
        </w:rPr>
        <w:t xml:space="preserve">rate.  </w:t>
      </w:r>
      <w:r w:rsidR="00D54A8B">
        <w:rPr>
          <w:sz w:val="24"/>
          <w:szCs w:val="24"/>
        </w:rPr>
        <w:t xml:space="preserve">Moreover, none of the Formal Complainants complained about service, they simply find the rate increase request indefensible. </w:t>
      </w:r>
      <w:r w:rsidR="000921F4">
        <w:rPr>
          <w:sz w:val="24"/>
          <w:szCs w:val="24"/>
        </w:rPr>
        <w:t>A just and reasonable rate is one that also covers the cost of providing the service. Because DSC has not regularly applied for appropriate rate increases, we are put i</w:t>
      </w:r>
      <w:r w:rsidR="00367420">
        <w:rPr>
          <w:sz w:val="24"/>
          <w:szCs w:val="24"/>
        </w:rPr>
        <w:t>n</w:t>
      </w:r>
      <w:r w:rsidR="000921F4">
        <w:rPr>
          <w:sz w:val="24"/>
          <w:szCs w:val="24"/>
        </w:rPr>
        <w:t xml:space="preserve"> a nearly untenable position of trying to catch-up</w:t>
      </w:r>
      <w:r w:rsidR="00B872D8">
        <w:rPr>
          <w:sz w:val="24"/>
          <w:szCs w:val="24"/>
        </w:rPr>
        <w:t xml:space="preserve"> </w:t>
      </w:r>
      <w:r w:rsidR="00D34788">
        <w:rPr>
          <w:sz w:val="24"/>
          <w:szCs w:val="24"/>
        </w:rPr>
        <w:t>to</w:t>
      </w:r>
      <w:r w:rsidR="00B872D8">
        <w:rPr>
          <w:sz w:val="24"/>
          <w:szCs w:val="24"/>
        </w:rPr>
        <w:t xml:space="preserve"> reflect current market costs</w:t>
      </w:r>
      <w:r w:rsidR="00D34788">
        <w:rPr>
          <w:sz w:val="24"/>
          <w:szCs w:val="24"/>
        </w:rPr>
        <w:t xml:space="preserve"> of providing the service</w:t>
      </w:r>
      <w:r w:rsidR="000921F4">
        <w:rPr>
          <w:sz w:val="24"/>
          <w:szCs w:val="24"/>
        </w:rPr>
        <w:t xml:space="preserve">.  </w:t>
      </w:r>
      <w:r w:rsidR="00B872D8">
        <w:rPr>
          <w:sz w:val="24"/>
          <w:szCs w:val="24"/>
        </w:rPr>
        <w:t>Among other costs, the cost of this rate case must be calculated into the cost of providing the service.  The $52 per month rate to the customers is not covering enough of the costs of providing the service to them.  DSC is correct to seek a rate increase and should have done so on a regular basis.  Therefore, I do not agree with the OCA</w:t>
      </w:r>
      <w:r w:rsidR="00640060">
        <w:rPr>
          <w:sz w:val="24"/>
          <w:szCs w:val="24"/>
        </w:rPr>
        <w:t xml:space="preserve"> and I find it telling that BI&amp;E did not address the quality of service.  </w:t>
      </w:r>
      <w:r w:rsidR="00B21832">
        <w:rPr>
          <w:sz w:val="24"/>
          <w:szCs w:val="24"/>
        </w:rPr>
        <w:t xml:space="preserve">The service </w:t>
      </w:r>
      <w:r w:rsidR="00D54A8B">
        <w:rPr>
          <w:sz w:val="24"/>
          <w:szCs w:val="24"/>
        </w:rPr>
        <w:t xml:space="preserve">rendered by DSC </w:t>
      </w:r>
      <w:r w:rsidR="00B21832">
        <w:rPr>
          <w:sz w:val="24"/>
          <w:szCs w:val="24"/>
        </w:rPr>
        <w:t xml:space="preserve">is </w:t>
      </w:r>
      <w:r w:rsidR="00CF299F">
        <w:rPr>
          <w:sz w:val="24"/>
          <w:szCs w:val="24"/>
        </w:rPr>
        <w:t xml:space="preserve">required.  There are reasonable </w:t>
      </w:r>
      <w:r w:rsidR="00B21832">
        <w:rPr>
          <w:sz w:val="24"/>
          <w:szCs w:val="24"/>
        </w:rPr>
        <w:t>cost</w:t>
      </w:r>
      <w:r w:rsidR="00CF299F">
        <w:rPr>
          <w:sz w:val="24"/>
          <w:szCs w:val="24"/>
        </w:rPr>
        <w:t>s</w:t>
      </w:r>
      <w:r w:rsidR="00B21832">
        <w:rPr>
          <w:sz w:val="24"/>
          <w:szCs w:val="24"/>
        </w:rPr>
        <w:t xml:space="preserve"> to </w:t>
      </w:r>
      <w:r w:rsidR="00CF299F">
        <w:rPr>
          <w:sz w:val="24"/>
          <w:szCs w:val="24"/>
        </w:rPr>
        <w:t xml:space="preserve">providing </w:t>
      </w:r>
      <w:r w:rsidR="00B21832">
        <w:rPr>
          <w:sz w:val="24"/>
          <w:szCs w:val="24"/>
        </w:rPr>
        <w:t xml:space="preserve">the service; </w:t>
      </w:r>
      <w:r w:rsidR="00D34788">
        <w:rPr>
          <w:sz w:val="24"/>
          <w:szCs w:val="24"/>
        </w:rPr>
        <w:t xml:space="preserve">the reasonable and prudent costs </w:t>
      </w:r>
      <w:r w:rsidR="00B21832">
        <w:rPr>
          <w:sz w:val="24"/>
          <w:szCs w:val="24"/>
        </w:rPr>
        <w:t xml:space="preserve">should be covered by the customer rates.  </w:t>
      </w:r>
      <w:r w:rsidR="00094F01" w:rsidRPr="007D4EBF">
        <w:rPr>
          <w:sz w:val="24"/>
          <w:szCs w:val="24"/>
        </w:rPr>
        <w:t xml:space="preserve">The basic factor in allocating revenue is to have the rates reflect the cost of service.  </w:t>
      </w:r>
      <w:r w:rsidR="00094F01" w:rsidRPr="007D4EBF">
        <w:rPr>
          <w:i/>
          <w:sz w:val="24"/>
          <w:szCs w:val="24"/>
        </w:rPr>
        <w:t>Lloyd v. Pa. Pub. Util. Comm</w:t>
      </w:r>
      <w:r w:rsidR="000C1A15">
        <w:rPr>
          <w:i/>
          <w:sz w:val="24"/>
          <w:szCs w:val="24"/>
        </w:rPr>
        <w:t>’</w:t>
      </w:r>
      <w:r w:rsidR="00094F01" w:rsidRPr="007D4EBF">
        <w:rPr>
          <w:i/>
          <w:sz w:val="24"/>
          <w:szCs w:val="24"/>
        </w:rPr>
        <w:t>n</w:t>
      </w:r>
      <w:r w:rsidR="00094F01" w:rsidRPr="007D4EBF">
        <w:rPr>
          <w:i/>
        </w:rPr>
        <w:t xml:space="preserve">, </w:t>
      </w:r>
      <w:r w:rsidR="00094F01" w:rsidRPr="00241E21">
        <w:rPr>
          <w:sz w:val="24"/>
          <w:szCs w:val="24"/>
        </w:rPr>
        <w:t>904 A.2d 1010, 1020 (Pa.Cmwlth. Ct. 2006).</w:t>
      </w:r>
    </w:p>
    <w:p w:rsidR="000D2BF9" w:rsidRDefault="000D2BF9">
      <w:pPr>
        <w:spacing w:after="200" w:line="276" w:lineRule="auto"/>
        <w:rPr>
          <w:sz w:val="24"/>
          <w:szCs w:val="24"/>
          <w:u w:val="single"/>
        </w:rPr>
      </w:pPr>
    </w:p>
    <w:p w:rsidR="00BE3658" w:rsidRDefault="00BE3658" w:rsidP="00BE3658">
      <w:pPr>
        <w:pStyle w:val="Pleading"/>
        <w:spacing w:line="360" w:lineRule="auto"/>
        <w:ind w:firstLine="0"/>
      </w:pPr>
      <w:r w:rsidRPr="00BE3658">
        <w:rPr>
          <w:u w:val="single"/>
        </w:rPr>
        <w:t>Revenue Requirement</w:t>
      </w:r>
    </w:p>
    <w:p w:rsidR="000D2BF9" w:rsidRPr="00FD3828" w:rsidRDefault="000D2BF9" w:rsidP="00BE3658">
      <w:pPr>
        <w:pStyle w:val="Pleading"/>
        <w:spacing w:line="360" w:lineRule="auto"/>
        <w:ind w:firstLine="0"/>
      </w:pPr>
    </w:p>
    <w:p w:rsidR="00FD3828" w:rsidRPr="00FD3828" w:rsidRDefault="00FD3828" w:rsidP="00FD3828">
      <w:pPr>
        <w:spacing w:line="360" w:lineRule="auto"/>
        <w:rPr>
          <w:sz w:val="24"/>
          <w:szCs w:val="24"/>
        </w:rPr>
      </w:pPr>
      <w:r w:rsidRPr="00FD3828">
        <w:rPr>
          <w:sz w:val="24"/>
          <w:szCs w:val="24"/>
        </w:rPr>
        <w:tab/>
        <w:t>The standard formula for determining a utility</w:t>
      </w:r>
      <w:r w:rsidR="000C1A15">
        <w:rPr>
          <w:sz w:val="24"/>
          <w:szCs w:val="24"/>
        </w:rPr>
        <w:t>’</w:t>
      </w:r>
      <w:r w:rsidRPr="00FD3828">
        <w:rPr>
          <w:sz w:val="24"/>
          <w:szCs w:val="24"/>
        </w:rPr>
        <w:t>s base rate revenue requirement is:</w:t>
      </w:r>
    </w:p>
    <w:p w:rsidR="00FD3828" w:rsidRPr="00FD3828" w:rsidRDefault="00FD3828" w:rsidP="00FD3828">
      <w:pPr>
        <w:spacing w:line="360" w:lineRule="auto"/>
        <w:rPr>
          <w:sz w:val="24"/>
          <w:szCs w:val="24"/>
        </w:rPr>
      </w:pPr>
      <w:r w:rsidRPr="00FD3828">
        <w:rPr>
          <w:sz w:val="24"/>
          <w:szCs w:val="24"/>
        </w:rPr>
        <w:tab/>
      </w:r>
      <w:r w:rsidRPr="00FD3828">
        <w:rPr>
          <w:sz w:val="24"/>
          <w:szCs w:val="24"/>
        </w:rPr>
        <w:tab/>
        <w:t>RR = E + D + T + (RB x ROR)</w:t>
      </w:r>
    </w:p>
    <w:p w:rsidR="00FD3828" w:rsidRPr="00FD3828" w:rsidRDefault="00FD3828" w:rsidP="00772973">
      <w:pPr>
        <w:spacing w:line="360" w:lineRule="auto"/>
        <w:ind w:left="720" w:firstLine="720"/>
        <w:rPr>
          <w:sz w:val="24"/>
          <w:szCs w:val="24"/>
        </w:rPr>
      </w:pPr>
      <w:r w:rsidRPr="00FD3828">
        <w:rPr>
          <w:sz w:val="24"/>
          <w:szCs w:val="24"/>
        </w:rPr>
        <w:t xml:space="preserve">RR: </w:t>
      </w:r>
      <w:r w:rsidRPr="00FD3828">
        <w:rPr>
          <w:sz w:val="24"/>
          <w:szCs w:val="24"/>
        </w:rPr>
        <w:tab/>
        <w:t>Revenue Requirement</w:t>
      </w:r>
    </w:p>
    <w:p w:rsidR="00FD3828" w:rsidRPr="00FD3828" w:rsidRDefault="00FD3828" w:rsidP="00772973">
      <w:pPr>
        <w:spacing w:line="360" w:lineRule="auto"/>
        <w:ind w:left="720" w:firstLine="720"/>
        <w:rPr>
          <w:sz w:val="24"/>
          <w:szCs w:val="24"/>
        </w:rPr>
      </w:pPr>
      <w:r w:rsidRPr="00FD3828">
        <w:rPr>
          <w:sz w:val="24"/>
          <w:szCs w:val="24"/>
        </w:rPr>
        <w:t>E:</w:t>
      </w:r>
      <w:r w:rsidRPr="00FD3828">
        <w:rPr>
          <w:sz w:val="24"/>
          <w:szCs w:val="24"/>
        </w:rPr>
        <w:tab/>
        <w:t>Operating Expense</w:t>
      </w:r>
    </w:p>
    <w:p w:rsidR="00FD3828" w:rsidRPr="00FD3828" w:rsidRDefault="00FD3828" w:rsidP="00772973">
      <w:pPr>
        <w:spacing w:line="360" w:lineRule="auto"/>
        <w:ind w:left="720" w:firstLine="720"/>
        <w:rPr>
          <w:sz w:val="24"/>
          <w:szCs w:val="24"/>
        </w:rPr>
      </w:pPr>
      <w:r w:rsidRPr="00FD3828">
        <w:rPr>
          <w:sz w:val="24"/>
          <w:szCs w:val="24"/>
        </w:rPr>
        <w:t>D:</w:t>
      </w:r>
      <w:r w:rsidRPr="00FD3828">
        <w:rPr>
          <w:sz w:val="24"/>
          <w:szCs w:val="24"/>
        </w:rPr>
        <w:tab/>
        <w:t>Depreciation Expense</w:t>
      </w:r>
    </w:p>
    <w:p w:rsidR="00FD3828" w:rsidRPr="00FD3828" w:rsidRDefault="00FD3828" w:rsidP="00772973">
      <w:pPr>
        <w:spacing w:line="360" w:lineRule="auto"/>
        <w:ind w:left="720" w:firstLine="720"/>
        <w:rPr>
          <w:sz w:val="24"/>
          <w:szCs w:val="24"/>
        </w:rPr>
      </w:pPr>
      <w:r w:rsidRPr="00FD3828">
        <w:rPr>
          <w:sz w:val="24"/>
          <w:szCs w:val="24"/>
        </w:rPr>
        <w:t>T:</w:t>
      </w:r>
      <w:r w:rsidRPr="00FD3828">
        <w:rPr>
          <w:sz w:val="24"/>
          <w:szCs w:val="24"/>
        </w:rPr>
        <w:tab/>
        <w:t>Taxes</w:t>
      </w:r>
    </w:p>
    <w:p w:rsidR="00FD3828" w:rsidRPr="00FD3828" w:rsidRDefault="00FD3828" w:rsidP="00772973">
      <w:pPr>
        <w:spacing w:line="360" w:lineRule="auto"/>
        <w:ind w:left="720" w:firstLine="720"/>
        <w:rPr>
          <w:sz w:val="24"/>
          <w:szCs w:val="24"/>
        </w:rPr>
      </w:pPr>
      <w:r w:rsidRPr="00FD3828">
        <w:rPr>
          <w:sz w:val="24"/>
          <w:szCs w:val="24"/>
        </w:rPr>
        <w:t>RB:</w:t>
      </w:r>
      <w:r w:rsidRPr="00FD3828">
        <w:rPr>
          <w:sz w:val="24"/>
          <w:szCs w:val="24"/>
        </w:rPr>
        <w:tab/>
        <w:t>Rate Base</w:t>
      </w:r>
    </w:p>
    <w:p w:rsidR="00FD3828" w:rsidRPr="00FD3828" w:rsidRDefault="00772973" w:rsidP="00772973">
      <w:pPr>
        <w:tabs>
          <w:tab w:val="left" w:pos="720"/>
          <w:tab w:val="left" w:pos="1440"/>
          <w:tab w:val="left" w:pos="2160"/>
          <w:tab w:val="left" w:pos="2880"/>
          <w:tab w:val="left" w:pos="3435"/>
        </w:tabs>
        <w:spacing w:line="360" w:lineRule="auto"/>
        <w:rPr>
          <w:sz w:val="24"/>
          <w:szCs w:val="24"/>
        </w:rPr>
      </w:pPr>
      <w:r>
        <w:rPr>
          <w:sz w:val="24"/>
          <w:szCs w:val="24"/>
        </w:rPr>
        <w:tab/>
      </w:r>
      <w:r>
        <w:rPr>
          <w:sz w:val="24"/>
          <w:szCs w:val="24"/>
        </w:rPr>
        <w:tab/>
      </w:r>
      <w:r w:rsidR="00FD3828" w:rsidRPr="00FD3828">
        <w:rPr>
          <w:sz w:val="24"/>
          <w:szCs w:val="24"/>
        </w:rPr>
        <w:t>ROR:</w:t>
      </w:r>
      <w:r w:rsidR="00FD3828" w:rsidRPr="00FD3828">
        <w:rPr>
          <w:sz w:val="24"/>
          <w:szCs w:val="24"/>
        </w:rPr>
        <w:tab/>
        <w:t>Overall Rate of Return</w:t>
      </w:r>
    </w:p>
    <w:p w:rsidR="00FD3828" w:rsidRPr="00FD3828" w:rsidRDefault="00FD3828" w:rsidP="00FD3828">
      <w:pPr>
        <w:tabs>
          <w:tab w:val="left" w:pos="720"/>
          <w:tab w:val="left" w:pos="1440"/>
          <w:tab w:val="left" w:pos="2160"/>
          <w:tab w:val="left" w:pos="2880"/>
          <w:tab w:val="left" w:pos="3435"/>
        </w:tabs>
        <w:spacing w:line="360" w:lineRule="auto"/>
        <w:rPr>
          <w:sz w:val="24"/>
          <w:szCs w:val="24"/>
        </w:rPr>
      </w:pPr>
    </w:p>
    <w:p w:rsidR="00772973" w:rsidRDefault="00FD3828" w:rsidP="00772973">
      <w:pPr>
        <w:spacing w:line="360" w:lineRule="auto"/>
        <w:rPr>
          <w:sz w:val="24"/>
          <w:szCs w:val="24"/>
        </w:rPr>
      </w:pPr>
      <w:r w:rsidRPr="00FD3828">
        <w:rPr>
          <w:sz w:val="24"/>
          <w:szCs w:val="24"/>
        </w:rPr>
        <w:tab/>
      </w:r>
      <w:r w:rsidRPr="00FD3828">
        <w:rPr>
          <w:sz w:val="24"/>
          <w:szCs w:val="24"/>
        </w:rPr>
        <w:tab/>
        <w:t>The focus of a base rate case is to determine the correct values to insert into the formula above.  After determining the correct revenue requirement, the appropriate allocation of that revenue among the rate classes will be determined</w:t>
      </w:r>
      <w:r w:rsidRPr="000137AD">
        <w:rPr>
          <w:szCs w:val="24"/>
        </w:rPr>
        <w:t>.</w:t>
      </w:r>
      <w:r>
        <w:rPr>
          <w:szCs w:val="24"/>
        </w:rPr>
        <w:t xml:space="preserve">  </w:t>
      </w:r>
      <w:r w:rsidRPr="00FD3828">
        <w:rPr>
          <w:sz w:val="24"/>
          <w:szCs w:val="24"/>
        </w:rPr>
        <w:t xml:space="preserve">Here, DSC does not have a rate base and </w:t>
      </w:r>
      <w:r w:rsidR="00562192">
        <w:rPr>
          <w:sz w:val="24"/>
          <w:szCs w:val="24"/>
        </w:rPr>
        <w:t xml:space="preserve">did not present a traditional rate of return claim.  DSC </w:t>
      </w:r>
      <w:r w:rsidRPr="00FD3828">
        <w:rPr>
          <w:sz w:val="24"/>
          <w:szCs w:val="24"/>
        </w:rPr>
        <w:t>has chosen to use another methodology</w:t>
      </w:r>
      <w:r w:rsidR="00D03C23">
        <w:rPr>
          <w:sz w:val="24"/>
          <w:szCs w:val="24"/>
        </w:rPr>
        <w:t xml:space="preserve"> </w:t>
      </w:r>
      <w:r w:rsidR="00E018E8">
        <w:rPr>
          <w:sz w:val="24"/>
          <w:szCs w:val="24"/>
        </w:rPr>
        <w:t>permitted</w:t>
      </w:r>
      <w:r w:rsidR="00D03C23">
        <w:rPr>
          <w:sz w:val="24"/>
          <w:szCs w:val="24"/>
        </w:rPr>
        <w:t xml:space="preserve"> by Commission regulation</w:t>
      </w:r>
      <w:r w:rsidR="00562192">
        <w:rPr>
          <w:sz w:val="24"/>
          <w:szCs w:val="24"/>
        </w:rPr>
        <w:t xml:space="preserve">, namely, </w:t>
      </w:r>
      <w:r w:rsidR="00093549">
        <w:rPr>
          <w:sz w:val="24"/>
          <w:szCs w:val="24"/>
        </w:rPr>
        <w:t>the o</w:t>
      </w:r>
      <w:r w:rsidR="00562192">
        <w:rPr>
          <w:sz w:val="24"/>
          <w:szCs w:val="24"/>
        </w:rPr>
        <w:t>perating ratio</w:t>
      </w:r>
      <w:r w:rsidR="00093549">
        <w:rPr>
          <w:sz w:val="24"/>
          <w:szCs w:val="24"/>
        </w:rPr>
        <w:t xml:space="preserve"> methodology</w:t>
      </w:r>
      <w:r w:rsidR="00D03C23">
        <w:rPr>
          <w:sz w:val="24"/>
          <w:szCs w:val="24"/>
        </w:rPr>
        <w:t>.</w:t>
      </w:r>
      <w:r w:rsidR="00562192">
        <w:rPr>
          <w:sz w:val="24"/>
          <w:szCs w:val="24"/>
        </w:rPr>
        <w:t xml:space="preserve">  The operating ratio method</w:t>
      </w:r>
      <w:bookmarkStart w:id="7" w:name="53.54."/>
      <w:r w:rsidR="00772973">
        <w:rPr>
          <w:sz w:val="24"/>
          <w:szCs w:val="24"/>
        </w:rPr>
        <w:t xml:space="preserve">ology develops a revenue requirement where little or no rate base exists.  52 Pa.Code  § 53.54(b).  </w:t>
      </w:r>
    </w:p>
    <w:p w:rsidR="00093549" w:rsidRDefault="00093549" w:rsidP="00093549">
      <w:pPr>
        <w:pStyle w:val="NormalWeb"/>
        <w:spacing w:line="360" w:lineRule="auto"/>
        <w:ind w:left="1440"/>
      </w:pPr>
      <w:r>
        <w:rPr>
          <w:i/>
          <w:iCs/>
        </w:rPr>
        <w:t xml:space="preserve">(b) </w:t>
      </w:r>
      <w:r w:rsidR="00772973">
        <w:rPr>
          <w:i/>
          <w:iCs/>
        </w:rPr>
        <w:t>Operating ratio methodology.</w:t>
      </w:r>
      <w:r w:rsidR="00772973">
        <w:t xml:space="preserve"> </w:t>
      </w:r>
    </w:p>
    <w:p w:rsidR="00772973" w:rsidRDefault="00772973" w:rsidP="00434258">
      <w:pPr>
        <w:pStyle w:val="NormalWeb"/>
        <w:ind w:left="1440" w:firstLine="360"/>
      </w:pPr>
      <w:r>
        <w:t xml:space="preserve">(1) This ratemaking method develops a revenue requirement where little or no rate base exists. The operating ratio at present rates shall be calculated as a ratio of operating expenses to operating revenues, where the numerator shall include operations and maintenance expense, annual depreciation on noncontributed facilities, amortization of multiyear expenses and applicable taxes and the denominator shall consist of the utility’s operating revenues at present rates. </w:t>
      </w:r>
    </w:p>
    <w:p w:rsidR="00772973" w:rsidRDefault="00772973" w:rsidP="00434258">
      <w:pPr>
        <w:pStyle w:val="NormalWeb"/>
        <w:ind w:left="1440" w:firstLine="360"/>
      </w:pPr>
      <w:r>
        <w:t xml:space="preserve">(2) The appropriate target operating ratio in a particular case shall be determined by considering at least the following factors: </w:t>
      </w:r>
    </w:p>
    <w:p w:rsidR="00772973" w:rsidRDefault="00772973" w:rsidP="00434258">
      <w:pPr>
        <w:pStyle w:val="NormalWeb"/>
        <w:ind w:left="1440" w:firstLine="720"/>
      </w:pPr>
      <w:r>
        <w:t xml:space="preserve">(i) The operating ratios of comparable water or wastewater utilities. </w:t>
      </w:r>
    </w:p>
    <w:p w:rsidR="00772973" w:rsidRDefault="00772973" w:rsidP="00434258">
      <w:pPr>
        <w:pStyle w:val="NormalWeb"/>
        <w:ind w:left="1440" w:firstLine="720"/>
      </w:pPr>
      <w:r>
        <w:t xml:space="preserve">(ii) Coverage of actual hypothetical, or both, interest expense. </w:t>
      </w:r>
    </w:p>
    <w:p w:rsidR="00772973" w:rsidRDefault="000E7054" w:rsidP="00772973">
      <w:pPr>
        <w:pStyle w:val="NormalWeb"/>
        <w:ind w:left="1440"/>
      </w:pPr>
      <w:r>
        <w:tab/>
      </w:r>
      <w:r w:rsidR="00772973">
        <w:t xml:space="preserve">(iii) A comparison of the cost of service with the cost of service of similar companies which do not employ an operating ratio rate methodology. </w:t>
      </w:r>
    </w:p>
    <w:p w:rsidR="00772973" w:rsidRDefault="000E7054" w:rsidP="00772973">
      <w:pPr>
        <w:pStyle w:val="NormalWeb"/>
        <w:ind w:left="1440"/>
      </w:pPr>
      <w:r>
        <w:tab/>
      </w:r>
      <w:r w:rsidR="00772973">
        <w:t xml:space="preserve">(iv) Current market conditions, including price inflation. </w:t>
      </w:r>
    </w:p>
    <w:p w:rsidR="00772973" w:rsidRDefault="000E7054" w:rsidP="00772973">
      <w:pPr>
        <w:pStyle w:val="NormalWeb"/>
        <w:ind w:left="1440"/>
      </w:pPr>
      <w:r>
        <w:tab/>
      </w:r>
      <w:r w:rsidR="00772973">
        <w:t xml:space="preserve">(v) The quality of service and efficiency of operations. </w:t>
      </w:r>
    </w:p>
    <w:p w:rsidR="00772973" w:rsidRDefault="000E7054" w:rsidP="00772973">
      <w:pPr>
        <w:pStyle w:val="NormalWeb"/>
        <w:ind w:left="1440"/>
      </w:pPr>
      <w:r>
        <w:tab/>
      </w:r>
      <w:r w:rsidR="00772973">
        <w:t xml:space="preserve">(vi) The rate case history. </w:t>
      </w:r>
    </w:p>
    <w:p w:rsidR="00772973" w:rsidRDefault="000E7054" w:rsidP="00772973">
      <w:pPr>
        <w:pStyle w:val="NormalWeb"/>
        <w:ind w:left="1440"/>
      </w:pPr>
      <w:r>
        <w:tab/>
      </w:r>
      <w:r w:rsidR="00772973">
        <w:t xml:space="preserve">(vii) Whether there is any rate base and, if so, whether any depreciation expense is being claimed in the filing. </w:t>
      </w:r>
    </w:p>
    <w:p w:rsidR="00772973" w:rsidRDefault="000E7054" w:rsidP="00772973">
      <w:pPr>
        <w:pStyle w:val="NormalWeb"/>
        <w:ind w:left="1440"/>
      </w:pPr>
      <w:r>
        <w:tab/>
      </w:r>
      <w:r w:rsidR="00772973">
        <w:t xml:space="preserve">(viii) An acquisition adjustment, if any. </w:t>
      </w:r>
    </w:p>
    <w:p w:rsidR="00772973" w:rsidRDefault="000E7054" w:rsidP="00772973">
      <w:pPr>
        <w:pStyle w:val="NormalWeb"/>
        <w:ind w:left="1440"/>
      </w:pPr>
      <w:r>
        <w:tab/>
      </w:r>
      <w:r w:rsidR="00772973">
        <w:t xml:space="preserve">(ix) Financial resources. </w:t>
      </w:r>
    </w:p>
    <w:p w:rsidR="00772973" w:rsidRDefault="000E7054" w:rsidP="00772973">
      <w:pPr>
        <w:pStyle w:val="NormalWeb"/>
        <w:ind w:left="1440"/>
      </w:pPr>
      <w:r>
        <w:tab/>
      </w:r>
      <w:r w:rsidR="00772973">
        <w:t xml:space="preserve">(x) The fairness of the resulting return. </w:t>
      </w:r>
    </w:p>
    <w:p w:rsidR="00772973" w:rsidRDefault="00772973" w:rsidP="000E7054">
      <w:pPr>
        <w:pStyle w:val="NormalWeb"/>
        <w:ind w:left="1440" w:firstLine="360"/>
      </w:pPr>
      <w:r>
        <w:t xml:space="preserve">(3) An increase or decrease in operating revenues shall be determined by dividing the utility’s reasonable and legitimate operating expenses by the target operating ratio determined in paragraph (2), and subtracting that amount from the test period operating revenues. </w:t>
      </w:r>
    </w:p>
    <w:p w:rsidR="00772973" w:rsidRDefault="00772973" w:rsidP="000E7054">
      <w:pPr>
        <w:pStyle w:val="NormalWeb"/>
        <w:ind w:left="1440" w:firstLine="360"/>
      </w:pPr>
      <w:r>
        <w:t xml:space="preserve">(4) The operating ratio methodology shall be available to water and wastewater utilities with annual gross revenues (excluding current year Contributions In Aid of Construction (CIAC)) of less than $250,000. If a water or wastewater utility wishes to employ an operating ratio methodology in calculating its rates, it shall make this request in the context of a rate case, and shall bear the burden of proving all necessary elements thereof. </w:t>
      </w:r>
    </w:p>
    <w:p w:rsidR="00772973" w:rsidRDefault="00093549" w:rsidP="00772973">
      <w:pPr>
        <w:pStyle w:val="NormalWeb"/>
        <w:ind w:left="1440"/>
      </w:pPr>
      <w:r>
        <w:t>52 Pa.</w:t>
      </w:r>
      <w:r w:rsidR="00772973">
        <w:t>Code § 53.54</w:t>
      </w:r>
      <w:r>
        <w:t>(b)</w:t>
      </w:r>
      <w:r w:rsidR="00EE58F2">
        <w:t>.</w:t>
      </w:r>
    </w:p>
    <w:bookmarkEnd w:id="7"/>
    <w:p w:rsidR="00772973" w:rsidRDefault="00772973" w:rsidP="00EE58F2">
      <w:pPr>
        <w:rPr>
          <w:sz w:val="24"/>
          <w:szCs w:val="24"/>
        </w:rPr>
      </w:pPr>
    </w:p>
    <w:p w:rsidR="00562192" w:rsidRDefault="00D040C4" w:rsidP="00093549">
      <w:pPr>
        <w:spacing w:line="360" w:lineRule="auto"/>
        <w:ind w:firstLine="1440"/>
        <w:rPr>
          <w:sz w:val="24"/>
          <w:szCs w:val="24"/>
        </w:rPr>
      </w:pPr>
      <w:r>
        <w:rPr>
          <w:sz w:val="24"/>
          <w:szCs w:val="24"/>
        </w:rPr>
        <w:t xml:space="preserve">The operating ratio methodology allows DSC to include in its revenues a margin over its expenses.  DSC </w:t>
      </w:r>
      <w:r w:rsidR="00446F0A">
        <w:rPr>
          <w:sz w:val="24"/>
          <w:szCs w:val="24"/>
        </w:rPr>
        <w:t xml:space="preserve">however used both operating ratio and cash working capital methodologies.  Section 53.54 does not allow combining methodologies therefore this recommended decision will rework </w:t>
      </w:r>
      <w:r w:rsidR="00367420">
        <w:rPr>
          <w:sz w:val="24"/>
          <w:szCs w:val="24"/>
        </w:rPr>
        <w:t>allowable</w:t>
      </w:r>
      <w:r w:rsidR="00446F0A">
        <w:rPr>
          <w:sz w:val="24"/>
          <w:szCs w:val="24"/>
        </w:rPr>
        <w:t xml:space="preserve"> numbers using only the operating ratio methodology and the claim for cash working capital (CWC) is disallowed.</w:t>
      </w:r>
    </w:p>
    <w:p w:rsidR="00446F0A" w:rsidRDefault="00446F0A" w:rsidP="00FD3828">
      <w:pPr>
        <w:spacing w:line="360" w:lineRule="auto"/>
        <w:rPr>
          <w:sz w:val="24"/>
          <w:szCs w:val="24"/>
        </w:rPr>
      </w:pPr>
    </w:p>
    <w:p w:rsidR="000A6948" w:rsidRDefault="00446F0A" w:rsidP="00772973">
      <w:pPr>
        <w:spacing w:line="360" w:lineRule="auto"/>
        <w:ind w:firstLine="1440"/>
        <w:rPr>
          <w:sz w:val="24"/>
          <w:szCs w:val="24"/>
        </w:rPr>
      </w:pPr>
      <w:r>
        <w:rPr>
          <w:sz w:val="24"/>
          <w:szCs w:val="24"/>
        </w:rPr>
        <w:t xml:space="preserve">The operating methodology requires the operating ratio at present rates be calculated as a ratio of operating expenses to operating revenues.  The numerator includes </w:t>
      </w:r>
      <w:r w:rsidR="00772973">
        <w:rPr>
          <w:sz w:val="24"/>
          <w:szCs w:val="24"/>
        </w:rPr>
        <w:t>operations and maintenance</w:t>
      </w:r>
      <w:r>
        <w:rPr>
          <w:sz w:val="24"/>
          <w:szCs w:val="24"/>
        </w:rPr>
        <w:t xml:space="preserve"> expenses, annual depreciation</w:t>
      </w:r>
      <w:r w:rsidR="00772973">
        <w:rPr>
          <w:sz w:val="24"/>
          <w:szCs w:val="24"/>
        </w:rPr>
        <w:t xml:space="preserve"> on non</w:t>
      </w:r>
      <w:r>
        <w:rPr>
          <w:sz w:val="24"/>
          <w:szCs w:val="24"/>
        </w:rPr>
        <w:t>contributed fa</w:t>
      </w:r>
      <w:r w:rsidR="00772973">
        <w:rPr>
          <w:sz w:val="24"/>
          <w:szCs w:val="24"/>
        </w:rPr>
        <w:t>cilities, amortization of multi</w:t>
      </w:r>
      <w:r>
        <w:rPr>
          <w:sz w:val="24"/>
          <w:szCs w:val="24"/>
        </w:rPr>
        <w:t>year expenses and applicable taxes, and the denominator comprises the utilities operating revenue at present rate.</w:t>
      </w:r>
      <w:r w:rsidR="007C4086">
        <w:rPr>
          <w:sz w:val="24"/>
          <w:szCs w:val="24"/>
        </w:rPr>
        <w:t xml:space="preserve">  </w:t>
      </w:r>
      <w:r w:rsidR="00367420">
        <w:rPr>
          <w:sz w:val="24"/>
          <w:szCs w:val="24"/>
        </w:rPr>
        <w:t>Thus</w:t>
      </w:r>
      <w:r w:rsidR="007C4086">
        <w:rPr>
          <w:sz w:val="24"/>
          <w:szCs w:val="24"/>
        </w:rPr>
        <w:t xml:space="preserve">, the expense figures </w:t>
      </w:r>
      <w:r w:rsidR="00367420">
        <w:rPr>
          <w:sz w:val="24"/>
          <w:szCs w:val="24"/>
        </w:rPr>
        <w:t xml:space="preserve">used </w:t>
      </w:r>
      <w:r w:rsidR="007C4086">
        <w:rPr>
          <w:sz w:val="24"/>
          <w:szCs w:val="24"/>
        </w:rPr>
        <w:t>are crucial to th</w:t>
      </w:r>
      <w:r w:rsidR="004E7265">
        <w:rPr>
          <w:sz w:val="24"/>
          <w:szCs w:val="24"/>
        </w:rPr>
        <w:t>e operating ratio</w:t>
      </w:r>
      <w:r w:rsidR="007C4086">
        <w:rPr>
          <w:sz w:val="24"/>
          <w:szCs w:val="24"/>
        </w:rPr>
        <w:t xml:space="preserve"> calculation.  </w:t>
      </w:r>
    </w:p>
    <w:p w:rsidR="00C539C2" w:rsidRDefault="00C539C2">
      <w:pPr>
        <w:spacing w:after="200" w:line="276" w:lineRule="auto"/>
        <w:rPr>
          <w:sz w:val="24"/>
          <w:szCs w:val="24"/>
          <w:u w:val="single"/>
        </w:rPr>
      </w:pPr>
      <w:r>
        <w:rPr>
          <w:sz w:val="24"/>
          <w:szCs w:val="24"/>
          <w:u w:val="single"/>
        </w:rPr>
        <w:br w:type="page"/>
      </w:r>
    </w:p>
    <w:p w:rsidR="00B721C8" w:rsidRDefault="00BE3658" w:rsidP="00B721C8">
      <w:pPr>
        <w:spacing w:line="360" w:lineRule="auto"/>
        <w:rPr>
          <w:sz w:val="24"/>
          <w:szCs w:val="24"/>
        </w:rPr>
      </w:pPr>
      <w:r w:rsidRPr="00BE3658">
        <w:rPr>
          <w:sz w:val="24"/>
          <w:szCs w:val="24"/>
          <w:u w:val="single"/>
        </w:rPr>
        <w:t>Expenses</w:t>
      </w:r>
    </w:p>
    <w:p w:rsidR="00B721C8" w:rsidRDefault="00B721C8" w:rsidP="00B721C8">
      <w:pPr>
        <w:spacing w:line="360" w:lineRule="auto"/>
        <w:rPr>
          <w:sz w:val="24"/>
          <w:szCs w:val="24"/>
        </w:rPr>
      </w:pPr>
    </w:p>
    <w:p w:rsidR="00BE3658" w:rsidRDefault="00B721C8" w:rsidP="00B721C8">
      <w:pPr>
        <w:spacing w:line="360" w:lineRule="auto"/>
        <w:rPr>
          <w:sz w:val="24"/>
          <w:szCs w:val="24"/>
        </w:rPr>
      </w:pPr>
      <w:r>
        <w:rPr>
          <w:sz w:val="24"/>
          <w:szCs w:val="24"/>
        </w:rPr>
        <w:tab/>
      </w:r>
      <w:r>
        <w:rPr>
          <w:sz w:val="24"/>
          <w:szCs w:val="24"/>
        </w:rPr>
        <w:tab/>
      </w:r>
      <w:r w:rsidR="007C4086">
        <w:rPr>
          <w:sz w:val="24"/>
          <w:szCs w:val="24"/>
        </w:rPr>
        <w:t>I agree with OCA and BI&amp;E that several expenses are overstated</w:t>
      </w:r>
      <w:r w:rsidR="00CF299F">
        <w:rPr>
          <w:sz w:val="24"/>
          <w:szCs w:val="24"/>
        </w:rPr>
        <w:t xml:space="preserve">, </w:t>
      </w:r>
      <w:r w:rsidR="007C4086">
        <w:rPr>
          <w:sz w:val="24"/>
          <w:szCs w:val="24"/>
        </w:rPr>
        <w:t xml:space="preserve">not </w:t>
      </w:r>
      <w:r w:rsidR="00CF299F">
        <w:rPr>
          <w:sz w:val="24"/>
          <w:szCs w:val="24"/>
        </w:rPr>
        <w:t>reasonable, or are im</w:t>
      </w:r>
      <w:r w:rsidR="007C4086">
        <w:rPr>
          <w:sz w:val="24"/>
          <w:szCs w:val="24"/>
        </w:rPr>
        <w:t>prudent</w:t>
      </w:r>
      <w:r w:rsidR="008F0562">
        <w:rPr>
          <w:sz w:val="24"/>
          <w:szCs w:val="24"/>
        </w:rPr>
        <w:t>ly incurred</w:t>
      </w:r>
      <w:r w:rsidR="00367420">
        <w:rPr>
          <w:sz w:val="24"/>
          <w:szCs w:val="24"/>
        </w:rPr>
        <w:t xml:space="preserve"> or </w:t>
      </w:r>
      <w:r w:rsidR="00CF299F">
        <w:rPr>
          <w:sz w:val="24"/>
          <w:szCs w:val="24"/>
        </w:rPr>
        <w:t xml:space="preserve">otherwise not </w:t>
      </w:r>
      <w:r w:rsidR="00367420">
        <w:rPr>
          <w:sz w:val="24"/>
          <w:szCs w:val="24"/>
        </w:rPr>
        <w:t>supportable</w:t>
      </w:r>
      <w:r w:rsidR="007C4086">
        <w:rPr>
          <w:sz w:val="24"/>
          <w:szCs w:val="24"/>
        </w:rPr>
        <w:t xml:space="preserve">.  I will review each </w:t>
      </w:r>
      <w:r w:rsidR="00E018E8">
        <w:rPr>
          <w:sz w:val="24"/>
          <w:szCs w:val="24"/>
        </w:rPr>
        <w:t xml:space="preserve">overstated expense </w:t>
      </w:r>
      <w:r w:rsidR="007C4086">
        <w:rPr>
          <w:sz w:val="24"/>
          <w:szCs w:val="24"/>
        </w:rPr>
        <w:t>in turn.</w:t>
      </w:r>
      <w:r w:rsidR="00E018E8">
        <w:rPr>
          <w:sz w:val="24"/>
          <w:szCs w:val="24"/>
        </w:rPr>
        <w:t xml:space="preserve">  I do not address the expenses that are accepted as submitted.</w:t>
      </w:r>
      <w:r w:rsidR="00E018E8">
        <w:rPr>
          <w:rStyle w:val="FootnoteReference"/>
          <w:sz w:val="24"/>
          <w:szCs w:val="24"/>
        </w:rPr>
        <w:footnoteReference w:id="2"/>
      </w:r>
      <w:r w:rsidR="00E018E8">
        <w:rPr>
          <w:sz w:val="24"/>
          <w:szCs w:val="24"/>
        </w:rPr>
        <w:t xml:space="preserve">  </w:t>
      </w:r>
    </w:p>
    <w:p w:rsidR="00946377" w:rsidRPr="00946377" w:rsidRDefault="00946377" w:rsidP="00946377">
      <w:pPr>
        <w:pStyle w:val="ListParagraph"/>
        <w:tabs>
          <w:tab w:val="left" w:pos="0"/>
        </w:tabs>
        <w:spacing w:line="480" w:lineRule="auto"/>
        <w:ind w:left="0" w:firstLine="1440"/>
        <w:rPr>
          <w:rFonts w:eastAsia="Calibri"/>
          <w:sz w:val="24"/>
          <w:szCs w:val="24"/>
        </w:rPr>
      </w:pPr>
    </w:p>
    <w:p w:rsidR="004E3283" w:rsidRPr="00AD1FD4" w:rsidRDefault="008F0562" w:rsidP="00457EFE">
      <w:pPr>
        <w:pStyle w:val="ListParagraph"/>
        <w:numPr>
          <w:ilvl w:val="0"/>
          <w:numId w:val="5"/>
        </w:numPr>
        <w:spacing w:line="360" w:lineRule="auto"/>
        <w:ind w:left="0" w:firstLine="720"/>
        <w:rPr>
          <w:rFonts w:eastAsia="Calibri"/>
          <w:sz w:val="24"/>
          <w:szCs w:val="24"/>
        </w:rPr>
      </w:pPr>
      <w:r w:rsidRPr="00946377">
        <w:rPr>
          <w:sz w:val="24"/>
          <w:szCs w:val="24"/>
          <w:u w:val="single"/>
        </w:rPr>
        <w:t>Officers and directors salaries</w:t>
      </w:r>
    </w:p>
    <w:p w:rsidR="00AD1FD4" w:rsidRPr="004E3283" w:rsidRDefault="00AD1FD4" w:rsidP="00AD1FD4">
      <w:pPr>
        <w:pStyle w:val="ListParagraph"/>
        <w:spacing w:line="360" w:lineRule="auto"/>
        <w:rPr>
          <w:rFonts w:eastAsia="Calibri"/>
          <w:sz w:val="24"/>
          <w:szCs w:val="24"/>
        </w:rPr>
      </w:pPr>
    </w:p>
    <w:p w:rsidR="008F0562" w:rsidRPr="00946377" w:rsidRDefault="008F0562" w:rsidP="004E3283">
      <w:pPr>
        <w:pStyle w:val="ListParagraph"/>
        <w:tabs>
          <w:tab w:val="left" w:pos="2160"/>
        </w:tabs>
        <w:spacing w:line="360" w:lineRule="auto"/>
        <w:ind w:left="0" w:firstLine="1440"/>
        <w:rPr>
          <w:rFonts w:eastAsia="Calibri"/>
          <w:sz w:val="24"/>
          <w:szCs w:val="24"/>
        </w:rPr>
      </w:pPr>
      <w:r w:rsidRPr="00946377">
        <w:rPr>
          <w:sz w:val="24"/>
          <w:szCs w:val="24"/>
        </w:rPr>
        <w:t xml:space="preserve"> </w:t>
      </w:r>
      <w:r w:rsidR="00B721C8">
        <w:rPr>
          <w:sz w:val="24"/>
          <w:szCs w:val="24"/>
        </w:rPr>
        <w:t xml:space="preserve"> </w:t>
      </w:r>
      <w:r w:rsidRPr="00946377">
        <w:rPr>
          <w:rFonts w:eastAsia="Calibri"/>
          <w:sz w:val="24"/>
          <w:szCs w:val="24"/>
        </w:rPr>
        <w:t xml:space="preserve">DSC claimed $14,400 for officers and directors salaries, which represents an increase of 126% since 2012.  The expense increased by 50% between 2012 and 2013, and then by 52% between 2013 and 2014.  The increase from $6,385 per year would result in an increase of $211 per customer per year for this expense item on top of the current amount of $168 per customer per year for officers and directors salaries.  OCA St. 1 at 14. </w:t>
      </w:r>
    </w:p>
    <w:p w:rsidR="00B721C8" w:rsidRDefault="008F0562" w:rsidP="00457EFE">
      <w:pPr>
        <w:spacing w:line="360" w:lineRule="auto"/>
        <w:ind w:firstLine="720"/>
        <w:rPr>
          <w:rFonts w:eastAsia="Calibri"/>
          <w:sz w:val="24"/>
          <w:szCs w:val="24"/>
        </w:rPr>
      </w:pPr>
      <w:r w:rsidRPr="008F0562">
        <w:rPr>
          <w:rFonts w:eastAsia="Calibri"/>
          <w:sz w:val="24"/>
          <w:szCs w:val="24"/>
        </w:rPr>
        <w:tab/>
      </w:r>
    </w:p>
    <w:p w:rsidR="008F0562" w:rsidRPr="008F0562" w:rsidRDefault="00B721C8" w:rsidP="00457EFE">
      <w:pPr>
        <w:spacing w:line="360" w:lineRule="auto"/>
        <w:ind w:firstLine="720"/>
        <w:rPr>
          <w:rFonts w:eastAsia="Calibri"/>
          <w:sz w:val="24"/>
          <w:szCs w:val="24"/>
        </w:rPr>
      </w:pPr>
      <w:r>
        <w:rPr>
          <w:rFonts w:eastAsia="Calibri"/>
          <w:sz w:val="24"/>
          <w:szCs w:val="24"/>
        </w:rPr>
        <w:tab/>
      </w:r>
      <w:r w:rsidR="008F0562" w:rsidRPr="008F0562">
        <w:rPr>
          <w:rFonts w:eastAsia="Calibri"/>
          <w:sz w:val="24"/>
          <w:szCs w:val="24"/>
        </w:rPr>
        <w:t>Scott Linde is DSC’s only officer/director and he is also a 90% owner of DSC.</w:t>
      </w:r>
      <w:r w:rsidR="008F0562">
        <w:rPr>
          <w:rFonts w:eastAsia="Calibri"/>
          <w:sz w:val="24"/>
          <w:szCs w:val="24"/>
        </w:rPr>
        <w:t xml:space="preserve"> </w:t>
      </w:r>
      <w:r w:rsidR="008F0562" w:rsidRPr="008F0562">
        <w:rPr>
          <w:rFonts w:eastAsia="Calibri"/>
          <w:sz w:val="24"/>
          <w:szCs w:val="24"/>
        </w:rPr>
        <w:t xml:space="preserve"> </w:t>
      </w:r>
      <w:r w:rsidR="00CF299F">
        <w:rPr>
          <w:rFonts w:eastAsia="Calibri"/>
          <w:sz w:val="24"/>
          <w:szCs w:val="24"/>
        </w:rPr>
        <w:t>DSC</w:t>
      </w:r>
      <w:r w:rsidR="008F0562" w:rsidRPr="008F0562">
        <w:rPr>
          <w:rFonts w:eastAsia="Calibri"/>
          <w:sz w:val="24"/>
          <w:szCs w:val="24"/>
        </w:rPr>
        <w:t xml:space="preserve"> has not provided any explanation to support the significant increase in this expense.  The services provided by Mr. Linde have not changed during 2013 and 2014, after the sale of </w:t>
      </w:r>
      <w:r w:rsidR="000C1A15" w:rsidRPr="008F0562">
        <w:rPr>
          <w:rFonts w:eastAsia="Calibri"/>
          <w:sz w:val="24"/>
          <w:szCs w:val="24"/>
        </w:rPr>
        <w:t>C</w:t>
      </w:r>
      <w:r w:rsidR="000C1A15">
        <w:rPr>
          <w:rFonts w:eastAsia="Calibri"/>
          <w:sz w:val="24"/>
          <w:szCs w:val="24"/>
        </w:rPr>
        <w:t xml:space="preserve">lean </w:t>
      </w:r>
      <w:r w:rsidR="000C1A15" w:rsidRPr="008F0562">
        <w:rPr>
          <w:rFonts w:eastAsia="Calibri"/>
          <w:sz w:val="24"/>
          <w:szCs w:val="24"/>
        </w:rPr>
        <w:t>T</w:t>
      </w:r>
      <w:r w:rsidR="000C1A15">
        <w:rPr>
          <w:rFonts w:eastAsia="Calibri"/>
          <w:sz w:val="24"/>
          <w:szCs w:val="24"/>
        </w:rPr>
        <w:t xml:space="preserve">reatment </w:t>
      </w:r>
      <w:r w:rsidR="000C1A15" w:rsidRPr="008F0562">
        <w:rPr>
          <w:rFonts w:eastAsia="Calibri"/>
          <w:sz w:val="24"/>
          <w:szCs w:val="24"/>
        </w:rPr>
        <w:t>S</w:t>
      </w:r>
      <w:r w:rsidR="000C1A15">
        <w:rPr>
          <w:rFonts w:eastAsia="Calibri"/>
          <w:sz w:val="24"/>
          <w:szCs w:val="24"/>
        </w:rPr>
        <w:t xml:space="preserve">ewage </w:t>
      </w:r>
      <w:r w:rsidR="000C1A15" w:rsidRPr="008F0562">
        <w:rPr>
          <w:rFonts w:eastAsia="Calibri"/>
          <w:sz w:val="24"/>
          <w:szCs w:val="24"/>
        </w:rPr>
        <w:t>C</w:t>
      </w:r>
      <w:r w:rsidR="000C1A15">
        <w:rPr>
          <w:rFonts w:eastAsia="Calibri"/>
          <w:sz w:val="24"/>
          <w:szCs w:val="24"/>
        </w:rPr>
        <w:t>ompany</w:t>
      </w:r>
      <w:r w:rsidR="000C1A15" w:rsidRPr="008F0562">
        <w:rPr>
          <w:rFonts w:eastAsia="Calibri"/>
          <w:sz w:val="24"/>
          <w:szCs w:val="24"/>
        </w:rPr>
        <w:t xml:space="preserve"> </w:t>
      </w:r>
      <w:r w:rsidR="000C1A15">
        <w:rPr>
          <w:rFonts w:eastAsia="Calibri"/>
          <w:sz w:val="24"/>
          <w:szCs w:val="24"/>
        </w:rPr>
        <w:t>(</w:t>
      </w:r>
      <w:r w:rsidR="008F0562" w:rsidRPr="008F0562">
        <w:rPr>
          <w:rFonts w:eastAsia="Calibri"/>
          <w:sz w:val="24"/>
          <w:szCs w:val="24"/>
        </w:rPr>
        <w:t>CTSC</w:t>
      </w:r>
      <w:r w:rsidR="000C1A15">
        <w:rPr>
          <w:rFonts w:eastAsia="Calibri"/>
          <w:sz w:val="24"/>
          <w:szCs w:val="24"/>
        </w:rPr>
        <w:t>)</w:t>
      </w:r>
      <w:r w:rsidR="008F0562" w:rsidRPr="008F0562">
        <w:rPr>
          <w:rFonts w:eastAsia="Calibri"/>
          <w:sz w:val="24"/>
          <w:szCs w:val="24"/>
        </w:rPr>
        <w:t xml:space="preserve">.  It is not reasonable to charge DSC customers 126% more for the same services that have been provided in prior years.  It appears that the increase is a result of increasing the compensation paid by DSC following the sale of </w:t>
      </w:r>
      <w:r w:rsidR="00367420">
        <w:rPr>
          <w:rFonts w:eastAsia="Calibri"/>
          <w:sz w:val="24"/>
          <w:szCs w:val="24"/>
        </w:rPr>
        <w:t>a sister company, CTSC</w:t>
      </w:r>
      <w:r w:rsidR="008F0562" w:rsidRPr="008F0562">
        <w:rPr>
          <w:rFonts w:eastAsia="Calibri"/>
          <w:sz w:val="24"/>
          <w:szCs w:val="24"/>
        </w:rPr>
        <w:t xml:space="preserve">.  </w:t>
      </w:r>
      <w:r w:rsidR="00367420">
        <w:rPr>
          <w:rFonts w:eastAsia="Calibri"/>
          <w:sz w:val="24"/>
          <w:szCs w:val="24"/>
        </w:rPr>
        <w:t>DSC</w:t>
      </w:r>
      <w:r w:rsidR="008F0562" w:rsidRPr="008F0562">
        <w:rPr>
          <w:rFonts w:eastAsia="Calibri"/>
          <w:sz w:val="24"/>
          <w:szCs w:val="24"/>
        </w:rPr>
        <w:t xml:space="preserve"> acknowledges that the expense to DSC increased when CTSC was sold.  DSC St. DMK-1R at 5-6.  It is not reasonable to increase the costs to DSC customers because of the sale of CTSC.  OCA St. 1S at 4.  As </w:t>
      </w:r>
      <w:r w:rsidR="00CF299F">
        <w:rPr>
          <w:rFonts w:eastAsia="Calibri"/>
          <w:sz w:val="24"/>
          <w:szCs w:val="24"/>
        </w:rPr>
        <w:t xml:space="preserve">OCA witness </w:t>
      </w:r>
      <w:r w:rsidR="008F0562" w:rsidRPr="008F0562">
        <w:rPr>
          <w:rFonts w:eastAsia="Calibri"/>
          <w:sz w:val="24"/>
          <w:szCs w:val="24"/>
        </w:rPr>
        <w:t xml:space="preserve">Everette explained: </w:t>
      </w:r>
    </w:p>
    <w:p w:rsidR="00D10913" w:rsidRDefault="00B721C8" w:rsidP="008F0562">
      <w:pPr>
        <w:ind w:left="720" w:right="720"/>
        <w:contextualSpacing/>
        <w:rPr>
          <w:sz w:val="24"/>
          <w:szCs w:val="24"/>
        </w:rPr>
      </w:pPr>
      <w:r>
        <w:rPr>
          <w:sz w:val="24"/>
          <w:szCs w:val="24"/>
        </w:rPr>
        <w:tab/>
      </w:r>
      <w:r>
        <w:rPr>
          <w:sz w:val="24"/>
          <w:szCs w:val="24"/>
        </w:rPr>
        <w:tab/>
      </w:r>
      <w:r w:rsidR="008F0562" w:rsidRPr="008F0562">
        <w:rPr>
          <w:sz w:val="24"/>
          <w:szCs w:val="24"/>
        </w:rPr>
        <w:t xml:space="preserve">All of these functions would have been necessary prior to the sale </w:t>
      </w:r>
      <w:r>
        <w:rPr>
          <w:sz w:val="24"/>
          <w:szCs w:val="24"/>
        </w:rPr>
        <w:tab/>
      </w:r>
      <w:r w:rsidR="008F0562" w:rsidRPr="008F0562">
        <w:rPr>
          <w:sz w:val="24"/>
          <w:szCs w:val="24"/>
        </w:rPr>
        <w:t xml:space="preserve">of CTSC. The sale of CTSC would not increase the duties of any of these </w:t>
      </w:r>
      <w:r>
        <w:rPr>
          <w:sz w:val="24"/>
          <w:szCs w:val="24"/>
        </w:rPr>
        <w:tab/>
      </w:r>
      <w:r w:rsidR="008F0562" w:rsidRPr="008F0562">
        <w:rPr>
          <w:sz w:val="24"/>
          <w:szCs w:val="24"/>
        </w:rPr>
        <w:t xml:space="preserve">functions. For example, there would be no change in relations with DSC’s </w:t>
      </w:r>
      <w:r>
        <w:rPr>
          <w:sz w:val="24"/>
          <w:szCs w:val="24"/>
        </w:rPr>
        <w:tab/>
      </w:r>
      <w:r w:rsidR="008F0562" w:rsidRPr="008F0562">
        <w:rPr>
          <w:sz w:val="24"/>
          <w:szCs w:val="24"/>
        </w:rPr>
        <w:t xml:space="preserve">38 customers as a result of CTSC being sold. It is not appropriate, nor is it </w:t>
      </w:r>
      <w:r>
        <w:rPr>
          <w:sz w:val="24"/>
          <w:szCs w:val="24"/>
        </w:rPr>
        <w:tab/>
      </w:r>
    </w:p>
    <w:p w:rsidR="008F0562" w:rsidRPr="008F0562" w:rsidRDefault="00D10913" w:rsidP="008F0562">
      <w:pPr>
        <w:ind w:left="720" w:right="720"/>
        <w:contextualSpacing/>
        <w:rPr>
          <w:rFonts w:eastAsiaTheme="minorHAnsi" w:cstheme="minorBidi"/>
          <w:sz w:val="24"/>
          <w:szCs w:val="24"/>
        </w:rPr>
      </w:pPr>
      <w:r>
        <w:rPr>
          <w:sz w:val="24"/>
          <w:szCs w:val="24"/>
        </w:rPr>
        <w:tab/>
      </w:r>
      <w:r w:rsidR="008F0562" w:rsidRPr="008F0562">
        <w:rPr>
          <w:sz w:val="24"/>
          <w:szCs w:val="24"/>
        </w:rPr>
        <w:t xml:space="preserve">logical, to reflect for ratemaking purposes an increased salary to the </w:t>
      </w:r>
      <w:r w:rsidR="00B721C8">
        <w:rPr>
          <w:sz w:val="24"/>
          <w:szCs w:val="24"/>
        </w:rPr>
        <w:tab/>
      </w:r>
      <w:r w:rsidR="008F0562" w:rsidRPr="008F0562">
        <w:rPr>
          <w:sz w:val="24"/>
          <w:szCs w:val="24"/>
        </w:rPr>
        <w:t>Company President as a result of the sale of another company.</w:t>
      </w:r>
    </w:p>
    <w:p w:rsidR="008F0562" w:rsidRPr="008F0562" w:rsidRDefault="008F0562" w:rsidP="008F0562">
      <w:pPr>
        <w:ind w:left="720" w:right="720"/>
        <w:contextualSpacing/>
        <w:rPr>
          <w:rFonts w:eastAsia="Calibri"/>
          <w:sz w:val="24"/>
          <w:szCs w:val="24"/>
        </w:rPr>
      </w:pPr>
    </w:p>
    <w:p w:rsidR="008F0562" w:rsidRPr="008F0562" w:rsidRDefault="008F0562" w:rsidP="00035B1C">
      <w:pPr>
        <w:spacing w:line="360" w:lineRule="auto"/>
        <w:ind w:right="720"/>
        <w:contextualSpacing/>
        <w:rPr>
          <w:rFonts w:eastAsia="Calibri"/>
          <w:sz w:val="24"/>
          <w:szCs w:val="24"/>
        </w:rPr>
      </w:pPr>
      <w:r w:rsidRPr="008F0562">
        <w:rPr>
          <w:rFonts w:eastAsia="Calibri"/>
          <w:sz w:val="24"/>
          <w:szCs w:val="24"/>
        </w:rPr>
        <w:t>OCA St. 1 at 15.</w:t>
      </w:r>
    </w:p>
    <w:p w:rsidR="00D34788" w:rsidRDefault="00D34788" w:rsidP="00457EFE">
      <w:pPr>
        <w:spacing w:line="360" w:lineRule="auto"/>
        <w:ind w:firstLine="1440"/>
        <w:rPr>
          <w:rFonts w:eastAsia="Calibri"/>
          <w:sz w:val="24"/>
          <w:szCs w:val="24"/>
        </w:rPr>
      </w:pPr>
      <w:r>
        <w:rPr>
          <w:rFonts w:eastAsia="Calibri"/>
          <w:sz w:val="24"/>
          <w:szCs w:val="24"/>
        </w:rPr>
        <w:t>BI&amp;E recommended a reduction by half.  That is, they recommended Mr. Linde be remunerated at the rate of $100 per hour x 6 hours x 12 months</w:t>
      </w:r>
      <w:r w:rsidR="00A87490">
        <w:rPr>
          <w:rFonts w:eastAsia="Calibri"/>
          <w:sz w:val="24"/>
          <w:szCs w:val="24"/>
        </w:rPr>
        <w:t xml:space="preserve"> or $7,200.  Main Brief at 24.</w:t>
      </w:r>
    </w:p>
    <w:p w:rsidR="00A87490" w:rsidRDefault="00A87490" w:rsidP="00457EFE">
      <w:pPr>
        <w:spacing w:line="360" w:lineRule="auto"/>
        <w:ind w:firstLine="1440"/>
        <w:rPr>
          <w:rFonts w:eastAsia="Calibri"/>
          <w:sz w:val="24"/>
          <w:szCs w:val="24"/>
        </w:rPr>
      </w:pPr>
    </w:p>
    <w:p w:rsidR="008F0562" w:rsidRDefault="004E7265" w:rsidP="00457EFE">
      <w:pPr>
        <w:spacing w:line="360" w:lineRule="auto"/>
        <w:ind w:firstLine="1440"/>
        <w:rPr>
          <w:rFonts w:eastAsia="Calibri"/>
          <w:sz w:val="24"/>
          <w:szCs w:val="24"/>
        </w:rPr>
      </w:pPr>
      <w:r>
        <w:rPr>
          <w:rFonts w:eastAsia="Calibri"/>
          <w:sz w:val="24"/>
          <w:szCs w:val="24"/>
        </w:rPr>
        <w:t>DSC</w:t>
      </w:r>
      <w:r w:rsidR="008F0562" w:rsidRPr="008F0562">
        <w:rPr>
          <w:rFonts w:eastAsia="Calibri"/>
          <w:sz w:val="24"/>
          <w:szCs w:val="24"/>
        </w:rPr>
        <w:t xml:space="preserve"> argued that the hourly rate was appropriate because </w:t>
      </w:r>
      <w:r>
        <w:rPr>
          <w:rFonts w:eastAsia="Calibri"/>
          <w:sz w:val="24"/>
          <w:szCs w:val="24"/>
        </w:rPr>
        <w:t>DSC</w:t>
      </w:r>
      <w:r w:rsidR="008F0562" w:rsidRPr="008F0562">
        <w:rPr>
          <w:rFonts w:eastAsia="Calibri"/>
          <w:sz w:val="24"/>
          <w:szCs w:val="24"/>
        </w:rPr>
        <w:t xml:space="preserve"> witness Kalbarczyck has seen similar rates for senior accountants and bookkeepers.  OCA St. 1S at 2-3.  However, </w:t>
      </w:r>
      <w:r w:rsidR="004E3283">
        <w:rPr>
          <w:rFonts w:eastAsia="Calibri"/>
          <w:sz w:val="24"/>
          <w:szCs w:val="24"/>
        </w:rPr>
        <w:t>DSC’s</w:t>
      </w:r>
      <w:r w:rsidR="008F0562" w:rsidRPr="008F0562">
        <w:rPr>
          <w:rFonts w:eastAsia="Calibri"/>
          <w:sz w:val="24"/>
          <w:szCs w:val="24"/>
        </w:rPr>
        <w:t xml:space="preserve"> claim is not based on the hours worked by Mr. Linde because those hours are not recorded.  OCA St. 1S at 3.  Mr. Linde bills DSC on a flat rate basis, thus, the hourly rate justifications are not relevant.</w:t>
      </w:r>
      <w:r w:rsidR="00723A96">
        <w:rPr>
          <w:rFonts w:eastAsia="Calibri"/>
          <w:sz w:val="24"/>
          <w:szCs w:val="24"/>
        </w:rPr>
        <w:t xml:space="preserve">  </w:t>
      </w:r>
      <w:r w:rsidR="00886F6A">
        <w:rPr>
          <w:rFonts w:eastAsia="Calibri"/>
          <w:sz w:val="24"/>
          <w:szCs w:val="24"/>
        </w:rPr>
        <w:t>OCA recommends that the officer and director sal</w:t>
      </w:r>
      <w:r w:rsidR="00A87490">
        <w:rPr>
          <w:rFonts w:eastAsia="Calibri"/>
          <w:sz w:val="24"/>
          <w:szCs w:val="24"/>
        </w:rPr>
        <w:t>a</w:t>
      </w:r>
      <w:r w:rsidR="00886F6A">
        <w:rPr>
          <w:rFonts w:eastAsia="Calibri"/>
          <w:sz w:val="24"/>
          <w:szCs w:val="24"/>
        </w:rPr>
        <w:t>ries be allowed at $6,385.  BI&amp;E recommends that it be set at $7,200 or $100 per hour x 6 hours x 12 months.</w:t>
      </w:r>
    </w:p>
    <w:p w:rsidR="00A87490" w:rsidRDefault="00A87490" w:rsidP="00457EFE">
      <w:pPr>
        <w:spacing w:line="360" w:lineRule="auto"/>
        <w:ind w:firstLine="1440"/>
        <w:rPr>
          <w:rFonts w:eastAsia="Calibri"/>
          <w:sz w:val="24"/>
          <w:szCs w:val="24"/>
        </w:rPr>
      </w:pPr>
    </w:p>
    <w:p w:rsidR="00367420" w:rsidRDefault="00367420" w:rsidP="00457EFE">
      <w:pPr>
        <w:spacing w:line="360" w:lineRule="auto"/>
        <w:ind w:firstLine="1440"/>
        <w:rPr>
          <w:rFonts w:eastAsia="Calibri"/>
          <w:sz w:val="24"/>
          <w:szCs w:val="24"/>
        </w:rPr>
      </w:pPr>
      <w:r>
        <w:rPr>
          <w:rFonts w:eastAsia="Calibri"/>
          <w:sz w:val="24"/>
          <w:szCs w:val="24"/>
        </w:rPr>
        <w:t xml:space="preserve">Mr. Linde should be paid for his services, but at a rate </w:t>
      </w:r>
      <w:r w:rsidR="00EE5C4E">
        <w:rPr>
          <w:rFonts w:eastAsia="Calibri"/>
          <w:sz w:val="24"/>
          <w:szCs w:val="24"/>
        </w:rPr>
        <w:t>this</w:t>
      </w:r>
      <w:r>
        <w:rPr>
          <w:rFonts w:eastAsia="Calibri"/>
          <w:sz w:val="24"/>
          <w:szCs w:val="24"/>
        </w:rPr>
        <w:t xml:space="preserve"> small company with only 38 customers can afford, and at a rate that </w:t>
      </w:r>
      <w:r w:rsidR="00EE5C4E">
        <w:rPr>
          <w:rFonts w:eastAsia="Calibri"/>
          <w:sz w:val="24"/>
          <w:szCs w:val="24"/>
        </w:rPr>
        <w:t xml:space="preserve">practically </w:t>
      </w:r>
      <w:r>
        <w:rPr>
          <w:rFonts w:eastAsia="Calibri"/>
          <w:sz w:val="24"/>
          <w:szCs w:val="24"/>
        </w:rPr>
        <w:t xml:space="preserve">reflects </w:t>
      </w:r>
      <w:r w:rsidR="004E3283">
        <w:rPr>
          <w:rFonts w:eastAsia="Calibri"/>
          <w:sz w:val="24"/>
          <w:szCs w:val="24"/>
        </w:rPr>
        <w:t>DSC’s</w:t>
      </w:r>
      <w:r w:rsidR="00886F6A">
        <w:rPr>
          <w:rFonts w:eastAsia="Calibri"/>
          <w:sz w:val="24"/>
          <w:szCs w:val="24"/>
        </w:rPr>
        <w:t xml:space="preserve"> ability to pay</w:t>
      </w:r>
      <w:r>
        <w:rPr>
          <w:rFonts w:eastAsia="Calibri"/>
          <w:sz w:val="24"/>
          <w:szCs w:val="24"/>
        </w:rPr>
        <w:t>.  Therefore, I recommend officer and director salaries be held at $6,385.</w:t>
      </w:r>
    </w:p>
    <w:p w:rsidR="00457EFE" w:rsidRPr="008F0562" w:rsidRDefault="00457EFE" w:rsidP="00457EFE">
      <w:pPr>
        <w:spacing w:line="360" w:lineRule="auto"/>
        <w:ind w:firstLine="1440"/>
        <w:rPr>
          <w:rFonts w:eastAsia="Calibri"/>
          <w:sz w:val="24"/>
          <w:szCs w:val="24"/>
        </w:rPr>
      </w:pPr>
    </w:p>
    <w:p w:rsidR="00250947" w:rsidRDefault="00946377" w:rsidP="00457EFE">
      <w:pPr>
        <w:spacing w:line="360" w:lineRule="auto"/>
        <w:rPr>
          <w:rFonts w:eastAsia="Calibri"/>
          <w:sz w:val="24"/>
          <w:szCs w:val="24"/>
          <w:u w:val="single"/>
        </w:rPr>
      </w:pPr>
      <w:r>
        <w:rPr>
          <w:rFonts w:eastAsia="Calibri"/>
          <w:sz w:val="24"/>
          <w:szCs w:val="24"/>
        </w:rPr>
        <w:tab/>
      </w:r>
      <w:r w:rsidR="008F0562" w:rsidRPr="008F0562">
        <w:rPr>
          <w:rFonts w:eastAsia="Calibri"/>
          <w:sz w:val="24"/>
          <w:szCs w:val="24"/>
        </w:rPr>
        <w:t>b.</w:t>
      </w:r>
      <w:r w:rsidR="008F0562" w:rsidRPr="008F0562">
        <w:rPr>
          <w:rFonts w:eastAsia="Calibri"/>
          <w:sz w:val="24"/>
          <w:szCs w:val="24"/>
        </w:rPr>
        <w:tab/>
      </w:r>
      <w:r w:rsidRPr="00946377">
        <w:rPr>
          <w:rFonts w:eastAsia="Calibri"/>
          <w:sz w:val="24"/>
          <w:szCs w:val="24"/>
          <w:u w:val="single"/>
        </w:rPr>
        <w:t>C</w:t>
      </w:r>
      <w:r>
        <w:rPr>
          <w:rFonts w:eastAsia="Calibri"/>
          <w:sz w:val="24"/>
          <w:szCs w:val="24"/>
          <w:u w:val="single"/>
        </w:rPr>
        <w:t>ontracted a</w:t>
      </w:r>
      <w:r w:rsidR="008F0562" w:rsidRPr="008F0562">
        <w:rPr>
          <w:rFonts w:eastAsia="Calibri"/>
          <w:sz w:val="24"/>
          <w:szCs w:val="24"/>
          <w:u w:val="single"/>
        </w:rPr>
        <w:t xml:space="preserve">dministrative </w:t>
      </w:r>
      <w:r>
        <w:rPr>
          <w:rFonts w:eastAsia="Calibri"/>
          <w:sz w:val="24"/>
          <w:szCs w:val="24"/>
          <w:u w:val="single"/>
        </w:rPr>
        <w:t>s</w:t>
      </w:r>
      <w:r w:rsidR="008F0562" w:rsidRPr="008F0562">
        <w:rPr>
          <w:rFonts w:eastAsia="Calibri"/>
          <w:sz w:val="24"/>
          <w:szCs w:val="24"/>
          <w:u w:val="single"/>
        </w:rPr>
        <w:t xml:space="preserve">ervices </w:t>
      </w:r>
    </w:p>
    <w:p w:rsidR="008F0562" w:rsidRPr="008F0562" w:rsidRDefault="008F0562" w:rsidP="00457EFE">
      <w:pPr>
        <w:spacing w:line="360" w:lineRule="auto"/>
        <w:rPr>
          <w:rFonts w:eastAsia="Calibri"/>
          <w:sz w:val="24"/>
          <w:szCs w:val="24"/>
        </w:rPr>
      </w:pPr>
      <w:r w:rsidRPr="008F0562">
        <w:rPr>
          <w:rFonts w:eastAsia="Calibri"/>
          <w:sz w:val="24"/>
          <w:szCs w:val="24"/>
          <w:u w:val="single"/>
        </w:rPr>
        <w:fldChar w:fldCharType="begin"/>
      </w:r>
      <w:r w:rsidRPr="008F0562">
        <w:rPr>
          <w:sz w:val="24"/>
          <w:szCs w:val="24"/>
        </w:rPr>
        <w:instrText xml:space="preserve"> TC "</w:instrText>
      </w:r>
      <w:bookmarkStart w:id="8" w:name="_Toc417642161"/>
      <w:r w:rsidRPr="008F0562">
        <w:rPr>
          <w:rFonts w:eastAsia="Calibri"/>
          <w:sz w:val="24"/>
          <w:szCs w:val="24"/>
        </w:rPr>
        <w:instrText xml:space="preserve">b. </w:instrText>
      </w:r>
      <w:r w:rsidRPr="008F0562">
        <w:rPr>
          <w:rFonts w:eastAsia="Calibri"/>
          <w:sz w:val="24"/>
          <w:szCs w:val="24"/>
          <w:u w:val="single"/>
        </w:rPr>
        <w:instrText>DSC’s Claim for Contracted Administrative Services Is Overstated</w:instrText>
      </w:r>
      <w:bookmarkEnd w:id="8"/>
      <w:r w:rsidRPr="008F0562">
        <w:rPr>
          <w:sz w:val="24"/>
          <w:szCs w:val="24"/>
        </w:rPr>
        <w:instrText xml:space="preserve">" \f C \l "4" </w:instrText>
      </w:r>
      <w:r w:rsidRPr="008F0562">
        <w:rPr>
          <w:rFonts w:eastAsia="Calibri"/>
          <w:sz w:val="24"/>
          <w:szCs w:val="24"/>
          <w:u w:val="single"/>
        </w:rPr>
        <w:fldChar w:fldCharType="end"/>
      </w:r>
    </w:p>
    <w:p w:rsidR="008F0562" w:rsidRDefault="008F0562" w:rsidP="00457EFE">
      <w:pPr>
        <w:spacing w:line="360" w:lineRule="auto"/>
        <w:ind w:firstLine="1440"/>
        <w:rPr>
          <w:rFonts w:eastAsia="Calibri"/>
          <w:sz w:val="24"/>
          <w:szCs w:val="24"/>
        </w:rPr>
      </w:pPr>
      <w:r w:rsidRPr="008F0562">
        <w:rPr>
          <w:rFonts w:eastAsia="Calibri"/>
          <w:sz w:val="24"/>
          <w:szCs w:val="24"/>
        </w:rPr>
        <w:t>DSC is claiming $39,000 for contracted administrative services.  Prior to the sale of CTSC, the expense was $2,849.  The claim represents an increase of 1269%.  The increase from $2,849 per year would result in an increase of $951 per customer per year for this expense item on top of the current amount of $75 per customer per year for contracted administrative services.  These expenses are for bookkeeping and office management services including billing the 38 flat rate customers.  A.D.S. Support Services, a sole proprietorship, provides services only to DSC.  The services provided in 2015</w:t>
      </w:r>
      <w:r w:rsidR="004E7265">
        <w:rPr>
          <w:rFonts w:eastAsia="Calibri"/>
          <w:sz w:val="24"/>
          <w:szCs w:val="24"/>
        </w:rPr>
        <w:t>,</w:t>
      </w:r>
      <w:r w:rsidRPr="008F0562">
        <w:rPr>
          <w:rFonts w:eastAsia="Calibri"/>
          <w:sz w:val="24"/>
          <w:szCs w:val="24"/>
        </w:rPr>
        <w:t xml:space="preserve"> are the same as the services provided in 2012, 2013, and 2014.  OCA St. 1 at 16-17.  The increase in this expense item changed significantly in October 2013.  </w:t>
      </w:r>
      <w:r w:rsidRPr="008F0562">
        <w:rPr>
          <w:rFonts w:eastAsia="Calibri"/>
          <w:sz w:val="24"/>
          <w:szCs w:val="24"/>
          <w:u w:val="single"/>
        </w:rPr>
        <w:t>See</w:t>
      </w:r>
      <w:r w:rsidRPr="008F0562">
        <w:rPr>
          <w:rFonts w:eastAsia="Calibri"/>
          <w:sz w:val="24"/>
          <w:szCs w:val="24"/>
        </w:rPr>
        <w:t xml:space="preserve"> OCA St. 1 at 18.  Again, the reason appears to be the sale of CTSC in August 2013, after which costs could not be shared between CTSC and DSC.  It is not reasonable to shift the costs that were being charged to CTSC to the DSC customers.  DSC’s customers should not have to pay 1269% more for the same services.  </w:t>
      </w:r>
    </w:p>
    <w:p w:rsidR="00B21832" w:rsidRPr="008F0562" w:rsidRDefault="00B21832" w:rsidP="00457EFE">
      <w:pPr>
        <w:spacing w:line="360" w:lineRule="auto"/>
        <w:ind w:firstLine="1440"/>
        <w:rPr>
          <w:rFonts w:eastAsia="Calibri"/>
          <w:sz w:val="24"/>
          <w:szCs w:val="24"/>
        </w:rPr>
      </w:pPr>
    </w:p>
    <w:p w:rsidR="00A87490" w:rsidRDefault="008F0562" w:rsidP="00946377">
      <w:pPr>
        <w:spacing w:line="360" w:lineRule="auto"/>
        <w:ind w:firstLine="1440"/>
        <w:rPr>
          <w:rFonts w:eastAsia="Calibri"/>
          <w:sz w:val="24"/>
          <w:szCs w:val="24"/>
          <w:u w:val="single"/>
        </w:rPr>
      </w:pPr>
      <w:r w:rsidRPr="008F0562">
        <w:rPr>
          <w:rFonts w:eastAsia="Calibri"/>
          <w:sz w:val="24"/>
          <w:szCs w:val="24"/>
        </w:rPr>
        <w:t xml:space="preserve">According to DSC, the increase of 1269% “reflects the current level of compensation required by the service provider” and “the Company’s understanding of the current competitive market rate”.  OCA St. 1 at 17. </w:t>
      </w:r>
      <w:r w:rsidR="005F52E9">
        <w:rPr>
          <w:rFonts w:eastAsia="Calibri"/>
          <w:sz w:val="24"/>
          <w:szCs w:val="24"/>
        </w:rPr>
        <w:t xml:space="preserve"> </w:t>
      </w:r>
      <w:r w:rsidRPr="008F0562">
        <w:rPr>
          <w:rFonts w:eastAsia="Calibri"/>
          <w:sz w:val="24"/>
          <w:szCs w:val="24"/>
        </w:rPr>
        <w:t xml:space="preserve">As </w:t>
      </w:r>
      <w:r w:rsidR="00946377">
        <w:rPr>
          <w:rFonts w:eastAsia="Calibri"/>
          <w:sz w:val="24"/>
          <w:szCs w:val="24"/>
        </w:rPr>
        <w:t xml:space="preserve">the OCA’s </w:t>
      </w:r>
      <w:r w:rsidR="005F52E9">
        <w:rPr>
          <w:rFonts w:eastAsia="Calibri"/>
          <w:sz w:val="24"/>
          <w:szCs w:val="24"/>
        </w:rPr>
        <w:t xml:space="preserve">witness </w:t>
      </w:r>
      <w:r w:rsidRPr="008F0562">
        <w:rPr>
          <w:rFonts w:eastAsia="Calibri"/>
          <w:sz w:val="24"/>
          <w:szCs w:val="24"/>
        </w:rPr>
        <w:t xml:space="preserve">Ms. Everette explained, </w:t>
      </w:r>
      <w:r w:rsidR="004E3283">
        <w:rPr>
          <w:rFonts w:eastAsia="Calibri"/>
          <w:sz w:val="24"/>
          <w:szCs w:val="24"/>
        </w:rPr>
        <w:t>DSC</w:t>
      </w:r>
      <w:r w:rsidRPr="008F0562">
        <w:rPr>
          <w:rFonts w:eastAsia="Calibri"/>
          <w:sz w:val="24"/>
          <w:szCs w:val="24"/>
        </w:rPr>
        <w:t xml:space="preserve"> has not supported its claim that the costs represent current competitive market rates to bill 38 flat rate customers and do bookkeeping for a company with 38 customers.  OCA St. 1 at 19.  In addition, it is not prudent to simply pay whatever a vendor requires without searching for a more reasonable proposal.  </w:t>
      </w:r>
      <w:r w:rsidRPr="008F0562">
        <w:rPr>
          <w:rFonts w:eastAsia="Calibri"/>
          <w:sz w:val="24"/>
          <w:szCs w:val="24"/>
          <w:u w:val="single"/>
        </w:rPr>
        <w:t xml:space="preserve">Id.  </w:t>
      </w:r>
    </w:p>
    <w:p w:rsidR="00A87490" w:rsidRPr="00A87490" w:rsidRDefault="00A87490" w:rsidP="00946377">
      <w:pPr>
        <w:spacing w:line="360" w:lineRule="auto"/>
        <w:ind w:firstLine="1440"/>
        <w:rPr>
          <w:rFonts w:eastAsia="Calibri"/>
          <w:sz w:val="24"/>
          <w:szCs w:val="24"/>
        </w:rPr>
      </w:pPr>
    </w:p>
    <w:p w:rsidR="008F0562" w:rsidRDefault="00A87490" w:rsidP="00946377">
      <w:pPr>
        <w:spacing w:line="360" w:lineRule="auto"/>
        <w:ind w:firstLine="1440"/>
        <w:rPr>
          <w:rFonts w:eastAsia="Calibri"/>
          <w:sz w:val="24"/>
          <w:szCs w:val="24"/>
        </w:rPr>
      </w:pPr>
      <w:r w:rsidRPr="00A87490">
        <w:rPr>
          <w:rFonts w:eastAsia="Calibri"/>
          <w:sz w:val="24"/>
          <w:szCs w:val="24"/>
        </w:rPr>
        <w:t>BI&amp;</w:t>
      </w:r>
      <w:r>
        <w:rPr>
          <w:rFonts w:eastAsia="Calibri"/>
          <w:sz w:val="24"/>
          <w:szCs w:val="24"/>
        </w:rPr>
        <w:t>E recommends $21,949 for contra</w:t>
      </w:r>
      <w:r w:rsidRPr="00A87490">
        <w:rPr>
          <w:rFonts w:eastAsia="Calibri"/>
          <w:sz w:val="24"/>
          <w:szCs w:val="24"/>
        </w:rPr>
        <w:t>cted administrative services.</w:t>
      </w:r>
      <w:r w:rsidR="008F0562" w:rsidRPr="008F0562">
        <w:rPr>
          <w:rFonts w:eastAsia="Calibri"/>
          <w:sz w:val="24"/>
          <w:szCs w:val="24"/>
        </w:rPr>
        <w:t xml:space="preserve"> </w:t>
      </w:r>
      <w:r w:rsidR="005F52E9">
        <w:rPr>
          <w:rFonts w:eastAsia="Calibri"/>
          <w:sz w:val="24"/>
          <w:szCs w:val="24"/>
        </w:rPr>
        <w:t xml:space="preserve"> </w:t>
      </w:r>
      <w:r>
        <w:rPr>
          <w:rFonts w:eastAsia="Calibri"/>
          <w:sz w:val="24"/>
          <w:szCs w:val="24"/>
        </w:rPr>
        <w:t>That number is based upon the Bureau of Labor and Statistics hourly rate of $28.14.  ($28.14 x 15 hours x 52 weeks).  BI&amp;E asserts that DSC failed to provide support for this expense and the services provided over the past several years has not changed.  Main Brief at 29.</w:t>
      </w:r>
    </w:p>
    <w:p w:rsidR="00723A96" w:rsidRPr="008F0562" w:rsidRDefault="00723A96" w:rsidP="00946377">
      <w:pPr>
        <w:spacing w:line="360" w:lineRule="auto"/>
        <w:ind w:firstLine="1440"/>
        <w:rPr>
          <w:rFonts w:eastAsia="Calibri"/>
          <w:sz w:val="24"/>
          <w:szCs w:val="24"/>
        </w:rPr>
      </w:pPr>
    </w:p>
    <w:p w:rsidR="008F0562" w:rsidRDefault="004E7265" w:rsidP="00946377">
      <w:pPr>
        <w:spacing w:line="360" w:lineRule="auto"/>
        <w:ind w:firstLine="1440"/>
        <w:rPr>
          <w:rFonts w:eastAsia="Calibri"/>
          <w:sz w:val="24"/>
          <w:szCs w:val="24"/>
        </w:rPr>
      </w:pPr>
      <w:r>
        <w:rPr>
          <w:rFonts w:eastAsia="Calibri"/>
          <w:sz w:val="24"/>
          <w:szCs w:val="24"/>
        </w:rPr>
        <w:t>DSC</w:t>
      </w:r>
      <w:r w:rsidR="008F0562" w:rsidRPr="008F0562">
        <w:rPr>
          <w:rFonts w:eastAsia="Calibri"/>
          <w:sz w:val="24"/>
          <w:szCs w:val="24"/>
        </w:rPr>
        <w:t xml:space="preserve"> argued that the hourly rates for other bookkeepers were similar to the $50 per hour claim that was presented in this proceeding.  DSC St. DMK-1R at 4-6.  However, this argument is without support.  A.D.S. Support Services does not track its hours or provide services on an hourly basis.  OCA St. 1S at 6-7 citing OCA V-2, attached to OCA Statement 1S.  Thus, the discussion of the comparability of the hourly rate is not relevant.  </w:t>
      </w:r>
    </w:p>
    <w:p w:rsidR="00723A96" w:rsidRPr="008F0562" w:rsidRDefault="00723A96" w:rsidP="00946377">
      <w:pPr>
        <w:spacing w:line="360" w:lineRule="auto"/>
        <w:ind w:firstLine="1440"/>
        <w:rPr>
          <w:rFonts w:eastAsia="Calibri"/>
          <w:sz w:val="24"/>
          <w:szCs w:val="24"/>
        </w:rPr>
      </w:pPr>
    </w:p>
    <w:p w:rsidR="003644A1" w:rsidRDefault="001457A6" w:rsidP="00AD1FD4">
      <w:pPr>
        <w:spacing w:line="360" w:lineRule="auto"/>
        <w:ind w:firstLine="1440"/>
        <w:rPr>
          <w:rFonts w:eastAsia="Calibri"/>
          <w:sz w:val="24"/>
          <w:szCs w:val="24"/>
        </w:rPr>
      </w:pPr>
      <w:r>
        <w:rPr>
          <w:rFonts w:eastAsia="Calibri"/>
          <w:sz w:val="24"/>
          <w:szCs w:val="24"/>
        </w:rPr>
        <w:t>OCA’s</w:t>
      </w:r>
      <w:r w:rsidR="00886F6A">
        <w:rPr>
          <w:rFonts w:eastAsia="Calibri"/>
          <w:sz w:val="24"/>
          <w:szCs w:val="24"/>
        </w:rPr>
        <w:t xml:space="preserve"> witness</w:t>
      </w:r>
      <w:r w:rsidR="008F0562" w:rsidRPr="008F0562">
        <w:rPr>
          <w:rFonts w:eastAsia="Calibri"/>
          <w:sz w:val="24"/>
          <w:szCs w:val="24"/>
        </w:rPr>
        <w:t xml:space="preserve"> Everette recommended that the contracted administrative services level from 2012 of $2,849 be used for ratemaking purposes.  OCA St. 1 at 20.  The resulting adjustment is $36,151 to the </w:t>
      </w:r>
      <w:r w:rsidR="004E7265">
        <w:rPr>
          <w:rFonts w:eastAsia="Calibri"/>
          <w:sz w:val="24"/>
          <w:szCs w:val="24"/>
        </w:rPr>
        <w:t>DSC</w:t>
      </w:r>
      <w:r w:rsidR="008F0562" w:rsidRPr="008F0562">
        <w:rPr>
          <w:rFonts w:eastAsia="Calibri"/>
          <w:sz w:val="24"/>
          <w:szCs w:val="24"/>
        </w:rPr>
        <w:t xml:space="preserve">’s claim of $39,000.  </w:t>
      </w:r>
      <w:r w:rsidR="008F0562" w:rsidRPr="008F0562">
        <w:rPr>
          <w:rFonts w:eastAsia="Calibri"/>
          <w:sz w:val="24"/>
          <w:szCs w:val="24"/>
          <w:u w:val="single"/>
        </w:rPr>
        <w:t>See</w:t>
      </w:r>
      <w:r w:rsidR="008F0562" w:rsidRPr="008F0562">
        <w:rPr>
          <w:rFonts w:eastAsia="Calibri"/>
          <w:sz w:val="24"/>
          <w:szCs w:val="24"/>
        </w:rPr>
        <w:t xml:space="preserve"> Table III, l. 18; OCA Exh. AEE-1, l. 10. </w:t>
      </w:r>
      <w:r w:rsidR="00946377">
        <w:rPr>
          <w:rFonts w:eastAsia="Calibri"/>
          <w:sz w:val="24"/>
          <w:szCs w:val="24"/>
        </w:rPr>
        <w:t xml:space="preserve"> I agree with </w:t>
      </w:r>
      <w:r>
        <w:rPr>
          <w:rFonts w:eastAsia="Calibri"/>
          <w:sz w:val="24"/>
          <w:szCs w:val="24"/>
        </w:rPr>
        <w:t>the OCA</w:t>
      </w:r>
      <w:r w:rsidR="00946377">
        <w:rPr>
          <w:rFonts w:eastAsia="Calibri"/>
          <w:sz w:val="24"/>
          <w:szCs w:val="24"/>
        </w:rPr>
        <w:t xml:space="preserve"> analysis and assessment.</w:t>
      </w:r>
      <w:r w:rsidR="00886F6A">
        <w:rPr>
          <w:rFonts w:eastAsia="Calibri"/>
          <w:sz w:val="24"/>
          <w:szCs w:val="24"/>
        </w:rPr>
        <w:t xml:space="preserve">  I recommend that the Commission accept $2,849 as the reasonable expense for contracted administrative services.</w:t>
      </w:r>
      <w:r w:rsidR="00457EFE">
        <w:rPr>
          <w:rFonts w:eastAsia="Calibri"/>
          <w:sz w:val="24"/>
          <w:szCs w:val="24"/>
        </w:rPr>
        <w:tab/>
      </w:r>
    </w:p>
    <w:p w:rsidR="003644A1" w:rsidRDefault="003644A1" w:rsidP="00946377">
      <w:pPr>
        <w:spacing w:line="360" w:lineRule="auto"/>
        <w:rPr>
          <w:rFonts w:eastAsia="Calibri"/>
          <w:sz w:val="24"/>
          <w:szCs w:val="24"/>
        </w:rPr>
      </w:pPr>
    </w:p>
    <w:p w:rsidR="00CB6E66" w:rsidRDefault="003644A1" w:rsidP="00946377">
      <w:pPr>
        <w:spacing w:line="360" w:lineRule="auto"/>
        <w:rPr>
          <w:rFonts w:eastAsia="Calibri"/>
          <w:sz w:val="24"/>
          <w:szCs w:val="24"/>
          <w:u w:val="single"/>
        </w:rPr>
      </w:pPr>
      <w:r>
        <w:rPr>
          <w:rFonts w:eastAsia="Calibri"/>
          <w:sz w:val="24"/>
          <w:szCs w:val="24"/>
        </w:rPr>
        <w:tab/>
      </w:r>
      <w:r w:rsidR="008F0562" w:rsidRPr="008F0562">
        <w:rPr>
          <w:rFonts w:eastAsia="Calibri"/>
          <w:sz w:val="24"/>
          <w:szCs w:val="24"/>
        </w:rPr>
        <w:t>c.</w:t>
      </w:r>
      <w:r w:rsidR="008F0562" w:rsidRPr="008F0562">
        <w:rPr>
          <w:rFonts w:eastAsia="Calibri"/>
          <w:sz w:val="24"/>
          <w:szCs w:val="24"/>
        </w:rPr>
        <w:tab/>
      </w:r>
      <w:r w:rsidR="00A87490">
        <w:rPr>
          <w:rFonts w:eastAsia="Calibri"/>
          <w:sz w:val="24"/>
          <w:szCs w:val="24"/>
          <w:u w:val="single"/>
        </w:rPr>
        <w:t xml:space="preserve">Operations </w:t>
      </w:r>
      <w:r w:rsidR="00503F3E">
        <w:rPr>
          <w:rFonts w:eastAsia="Calibri"/>
          <w:sz w:val="24"/>
          <w:szCs w:val="24"/>
          <w:u w:val="single"/>
        </w:rPr>
        <w:t>m</w:t>
      </w:r>
      <w:r w:rsidR="00A87490">
        <w:rPr>
          <w:rFonts w:eastAsia="Calibri"/>
          <w:sz w:val="24"/>
          <w:szCs w:val="24"/>
          <w:u w:val="single"/>
        </w:rPr>
        <w:t>anagement</w:t>
      </w:r>
      <w:r w:rsidR="008F0562" w:rsidRPr="008F0562">
        <w:rPr>
          <w:rFonts w:eastAsia="Calibri"/>
          <w:sz w:val="24"/>
          <w:szCs w:val="24"/>
          <w:u w:val="single"/>
        </w:rPr>
        <w:t xml:space="preserve"> </w:t>
      </w:r>
    </w:p>
    <w:p w:rsidR="008F0562" w:rsidRPr="008F0562" w:rsidRDefault="008F0562" w:rsidP="00946377">
      <w:pPr>
        <w:spacing w:line="360" w:lineRule="auto"/>
        <w:rPr>
          <w:rFonts w:eastAsia="Calibri"/>
          <w:sz w:val="24"/>
          <w:szCs w:val="24"/>
        </w:rPr>
      </w:pPr>
      <w:r w:rsidRPr="008F0562">
        <w:rPr>
          <w:rFonts w:eastAsia="Calibri"/>
          <w:sz w:val="24"/>
          <w:szCs w:val="24"/>
          <w:u w:val="single"/>
        </w:rPr>
        <w:fldChar w:fldCharType="begin"/>
      </w:r>
      <w:r w:rsidRPr="008F0562">
        <w:rPr>
          <w:sz w:val="24"/>
          <w:szCs w:val="24"/>
        </w:rPr>
        <w:instrText xml:space="preserve"> TC "</w:instrText>
      </w:r>
      <w:bookmarkStart w:id="9" w:name="_Toc417642162"/>
      <w:r w:rsidRPr="008F0562">
        <w:rPr>
          <w:rFonts w:eastAsia="Calibri"/>
          <w:sz w:val="24"/>
          <w:szCs w:val="24"/>
        </w:rPr>
        <w:instrText xml:space="preserve">c. </w:instrText>
      </w:r>
      <w:r w:rsidRPr="008F0562">
        <w:rPr>
          <w:rFonts w:eastAsia="Calibri"/>
          <w:sz w:val="24"/>
          <w:szCs w:val="24"/>
          <w:u w:val="single"/>
        </w:rPr>
        <w:instrText>DSC’s Claim for Operations Management Expense Is Overstated</w:instrText>
      </w:r>
      <w:bookmarkEnd w:id="9"/>
      <w:r w:rsidRPr="008F0562">
        <w:rPr>
          <w:sz w:val="24"/>
          <w:szCs w:val="24"/>
        </w:rPr>
        <w:instrText xml:space="preserve">" \f C \l "4" </w:instrText>
      </w:r>
      <w:r w:rsidRPr="008F0562">
        <w:rPr>
          <w:rFonts w:eastAsia="Calibri"/>
          <w:sz w:val="24"/>
          <w:szCs w:val="24"/>
          <w:u w:val="single"/>
        </w:rPr>
        <w:fldChar w:fldCharType="end"/>
      </w:r>
    </w:p>
    <w:p w:rsidR="00886F6A" w:rsidRDefault="008F0562" w:rsidP="00457EFE">
      <w:pPr>
        <w:spacing w:line="360" w:lineRule="auto"/>
        <w:ind w:firstLine="1440"/>
        <w:rPr>
          <w:rFonts w:eastAsia="Calibri"/>
          <w:sz w:val="24"/>
          <w:szCs w:val="24"/>
        </w:rPr>
      </w:pPr>
      <w:r w:rsidRPr="008F0562">
        <w:rPr>
          <w:rFonts w:eastAsia="Calibri"/>
          <w:sz w:val="24"/>
          <w:szCs w:val="24"/>
        </w:rPr>
        <w:t xml:space="preserve">DSC claimed $9,600 for operations management, which is an increase of $5,930 or 237% over the 2012 expense of $3,670.  </w:t>
      </w:r>
      <w:r w:rsidR="00946377">
        <w:rPr>
          <w:rFonts w:eastAsia="Calibri"/>
          <w:sz w:val="24"/>
          <w:szCs w:val="24"/>
        </w:rPr>
        <w:t>The</w:t>
      </w:r>
      <w:r w:rsidR="00737039">
        <w:rPr>
          <w:rFonts w:eastAsia="Calibri"/>
          <w:sz w:val="24"/>
          <w:szCs w:val="24"/>
        </w:rPr>
        <w:t xml:space="preserve"> OCA’s </w:t>
      </w:r>
      <w:r w:rsidR="005F52E9">
        <w:rPr>
          <w:rFonts w:eastAsia="Calibri"/>
          <w:sz w:val="24"/>
          <w:szCs w:val="24"/>
        </w:rPr>
        <w:t xml:space="preserve">witness </w:t>
      </w:r>
      <w:r w:rsidR="00946377">
        <w:rPr>
          <w:rFonts w:eastAsia="Calibri"/>
          <w:sz w:val="24"/>
          <w:szCs w:val="24"/>
        </w:rPr>
        <w:t>Everette</w:t>
      </w:r>
      <w:r w:rsidRPr="008F0562">
        <w:rPr>
          <w:rFonts w:eastAsia="Calibri"/>
          <w:sz w:val="24"/>
          <w:szCs w:val="24"/>
        </w:rPr>
        <w:t xml:space="preserve"> noted that this in</w:t>
      </w:r>
      <w:r w:rsidR="00457EFE">
        <w:rPr>
          <w:rFonts w:eastAsia="Calibri"/>
          <w:sz w:val="24"/>
          <w:szCs w:val="24"/>
        </w:rPr>
        <w:t>creased expense claim, as with o</w:t>
      </w:r>
      <w:r w:rsidRPr="008F0562">
        <w:rPr>
          <w:rFonts w:eastAsia="Calibri"/>
          <w:sz w:val="24"/>
          <w:szCs w:val="24"/>
        </w:rPr>
        <w:t xml:space="preserve">fficers and </w:t>
      </w:r>
      <w:r w:rsidR="00457EFE">
        <w:rPr>
          <w:rFonts w:eastAsia="Calibri"/>
          <w:sz w:val="24"/>
          <w:szCs w:val="24"/>
        </w:rPr>
        <w:t>d</w:t>
      </w:r>
      <w:r w:rsidRPr="008F0562">
        <w:rPr>
          <w:rFonts w:eastAsia="Calibri"/>
          <w:sz w:val="24"/>
          <w:szCs w:val="24"/>
        </w:rPr>
        <w:t xml:space="preserve">irectors </w:t>
      </w:r>
      <w:r w:rsidR="00457EFE">
        <w:rPr>
          <w:rFonts w:eastAsia="Calibri"/>
          <w:sz w:val="24"/>
          <w:szCs w:val="24"/>
        </w:rPr>
        <w:t>expenses</w:t>
      </w:r>
      <w:r w:rsidRPr="008F0562">
        <w:rPr>
          <w:rFonts w:eastAsia="Calibri"/>
          <w:sz w:val="24"/>
          <w:szCs w:val="24"/>
        </w:rPr>
        <w:t xml:space="preserve"> and </w:t>
      </w:r>
      <w:r w:rsidR="00457EFE">
        <w:rPr>
          <w:rFonts w:eastAsia="Calibri"/>
          <w:sz w:val="24"/>
          <w:szCs w:val="24"/>
        </w:rPr>
        <w:t>contracted administrative s</w:t>
      </w:r>
      <w:r w:rsidRPr="008F0562">
        <w:rPr>
          <w:rFonts w:eastAsia="Calibri"/>
          <w:sz w:val="24"/>
          <w:szCs w:val="24"/>
        </w:rPr>
        <w:t>ervices, is due to the shifting of costs from CTSC to DSC’s customers.  OCA St. 1 at 20.  This expense fluctuated very little prior to the sale of CTSC.  OCA St. 1 at 20.  There has not been a change in the services provided to DSC customers.</w:t>
      </w:r>
    </w:p>
    <w:p w:rsidR="008F0562" w:rsidRDefault="00886F6A" w:rsidP="00457EFE">
      <w:pPr>
        <w:spacing w:line="360" w:lineRule="auto"/>
        <w:ind w:firstLine="1440"/>
        <w:rPr>
          <w:rFonts w:eastAsia="Calibri"/>
          <w:sz w:val="24"/>
          <w:szCs w:val="24"/>
        </w:rPr>
      </w:pPr>
      <w:r>
        <w:rPr>
          <w:rFonts w:eastAsia="Calibri"/>
          <w:sz w:val="24"/>
          <w:szCs w:val="24"/>
        </w:rPr>
        <w:t>BI&amp;E suggested $5,823 or $485 per month.</w:t>
      </w:r>
      <w:r w:rsidR="008F0562" w:rsidRPr="008F0562">
        <w:rPr>
          <w:rFonts w:eastAsia="Calibri"/>
          <w:sz w:val="24"/>
          <w:szCs w:val="24"/>
        </w:rPr>
        <w:t xml:space="preserve"> </w:t>
      </w:r>
    </w:p>
    <w:p w:rsidR="00723A96" w:rsidRPr="008F0562" w:rsidRDefault="00723A96" w:rsidP="00457EFE">
      <w:pPr>
        <w:spacing w:line="360" w:lineRule="auto"/>
        <w:ind w:firstLine="1440"/>
        <w:rPr>
          <w:rFonts w:eastAsia="Calibri"/>
          <w:sz w:val="24"/>
          <w:szCs w:val="24"/>
        </w:rPr>
      </w:pPr>
    </w:p>
    <w:p w:rsidR="008F0562" w:rsidRDefault="008F0562" w:rsidP="00946377">
      <w:pPr>
        <w:spacing w:line="360" w:lineRule="auto"/>
        <w:rPr>
          <w:rFonts w:eastAsia="Calibri"/>
          <w:sz w:val="24"/>
          <w:szCs w:val="24"/>
        </w:rPr>
      </w:pPr>
      <w:r w:rsidRPr="008F0562">
        <w:rPr>
          <w:rFonts w:eastAsia="Calibri"/>
          <w:sz w:val="24"/>
          <w:szCs w:val="24"/>
        </w:rPr>
        <w:tab/>
      </w:r>
      <w:r w:rsidR="005F52E9">
        <w:rPr>
          <w:rFonts w:eastAsia="Calibri"/>
          <w:sz w:val="24"/>
          <w:szCs w:val="24"/>
        </w:rPr>
        <w:tab/>
      </w:r>
      <w:r w:rsidR="00886F6A">
        <w:rPr>
          <w:rFonts w:eastAsia="Calibri"/>
          <w:sz w:val="24"/>
          <w:szCs w:val="24"/>
        </w:rPr>
        <w:t xml:space="preserve">The OCA’s numbers </w:t>
      </w:r>
      <w:r w:rsidR="00A87490">
        <w:rPr>
          <w:rFonts w:eastAsia="Calibri"/>
          <w:sz w:val="24"/>
          <w:szCs w:val="24"/>
        </w:rPr>
        <w:t xml:space="preserve">and analysis </w:t>
      </w:r>
      <w:r w:rsidR="00886F6A">
        <w:rPr>
          <w:rFonts w:eastAsia="Calibri"/>
          <w:sz w:val="24"/>
          <w:szCs w:val="24"/>
        </w:rPr>
        <w:t xml:space="preserve">are accepted as reasonable and supportable.  </w:t>
      </w:r>
      <w:r w:rsidR="00946377">
        <w:rPr>
          <w:rFonts w:eastAsia="Calibri"/>
          <w:sz w:val="24"/>
          <w:szCs w:val="24"/>
        </w:rPr>
        <w:t>T</w:t>
      </w:r>
      <w:r w:rsidRPr="008F0562">
        <w:rPr>
          <w:rFonts w:eastAsia="Calibri"/>
          <w:sz w:val="24"/>
          <w:szCs w:val="24"/>
        </w:rPr>
        <w:t xml:space="preserve">his claim </w:t>
      </w:r>
      <w:r w:rsidR="00946377">
        <w:rPr>
          <w:rFonts w:eastAsia="Calibri"/>
          <w:sz w:val="24"/>
          <w:szCs w:val="24"/>
        </w:rPr>
        <w:t xml:space="preserve">is adjusted </w:t>
      </w:r>
      <w:r w:rsidRPr="008F0562">
        <w:rPr>
          <w:rFonts w:eastAsia="Calibri"/>
          <w:sz w:val="24"/>
          <w:szCs w:val="24"/>
        </w:rPr>
        <w:t xml:space="preserve">to reflect the 2012 level of $3,670, which results in an adjustment of $5,930.  </w:t>
      </w:r>
    </w:p>
    <w:p w:rsidR="00457EFE" w:rsidRDefault="00457EFE" w:rsidP="00946377">
      <w:pPr>
        <w:spacing w:line="360" w:lineRule="auto"/>
        <w:rPr>
          <w:rFonts w:eastAsia="Calibri"/>
          <w:sz w:val="24"/>
          <w:szCs w:val="24"/>
        </w:rPr>
      </w:pPr>
      <w:r>
        <w:rPr>
          <w:rFonts w:eastAsia="Calibri"/>
          <w:sz w:val="24"/>
          <w:szCs w:val="24"/>
        </w:rPr>
        <w:tab/>
      </w:r>
    </w:p>
    <w:p w:rsidR="00457EFE" w:rsidRDefault="00457EFE" w:rsidP="00457EFE">
      <w:pPr>
        <w:tabs>
          <w:tab w:val="left" w:pos="1440"/>
        </w:tabs>
        <w:spacing w:line="360" w:lineRule="auto"/>
        <w:ind w:firstLine="720"/>
        <w:rPr>
          <w:rFonts w:eastAsia="Calibri"/>
          <w:sz w:val="24"/>
          <w:szCs w:val="24"/>
        </w:rPr>
      </w:pPr>
      <w:r>
        <w:rPr>
          <w:rFonts w:eastAsia="Calibri"/>
          <w:sz w:val="24"/>
          <w:szCs w:val="24"/>
        </w:rPr>
        <w:t>d.</w:t>
      </w:r>
      <w:r>
        <w:rPr>
          <w:rFonts w:eastAsia="Calibri"/>
          <w:sz w:val="24"/>
          <w:szCs w:val="24"/>
        </w:rPr>
        <w:tab/>
      </w:r>
      <w:r w:rsidR="007B4D4E" w:rsidRPr="007B4D4E">
        <w:rPr>
          <w:rFonts w:eastAsia="Calibri"/>
          <w:sz w:val="24"/>
          <w:szCs w:val="24"/>
          <w:u w:val="single"/>
        </w:rPr>
        <w:t>Non-rate case legal fees</w:t>
      </w:r>
    </w:p>
    <w:p w:rsidR="005E40E9" w:rsidRDefault="005E40E9" w:rsidP="00457EFE">
      <w:pPr>
        <w:tabs>
          <w:tab w:val="left" w:pos="1440"/>
        </w:tabs>
        <w:spacing w:line="360" w:lineRule="auto"/>
        <w:ind w:firstLine="720"/>
        <w:rPr>
          <w:rFonts w:eastAsia="Calibri"/>
          <w:sz w:val="24"/>
          <w:szCs w:val="24"/>
        </w:rPr>
      </w:pPr>
    </w:p>
    <w:p w:rsidR="007B4D4E" w:rsidRDefault="007B4D4E" w:rsidP="00457EFE">
      <w:pPr>
        <w:tabs>
          <w:tab w:val="left" w:pos="1440"/>
        </w:tabs>
        <w:spacing w:line="360" w:lineRule="auto"/>
        <w:ind w:firstLine="720"/>
        <w:rPr>
          <w:rFonts w:eastAsia="Calibri"/>
          <w:sz w:val="24"/>
          <w:szCs w:val="24"/>
        </w:rPr>
      </w:pPr>
      <w:r>
        <w:rPr>
          <w:rFonts w:eastAsia="Calibri"/>
          <w:sz w:val="24"/>
          <w:szCs w:val="24"/>
        </w:rPr>
        <w:tab/>
        <w:t>This amount of expense is disallowed in total.  Both OCA and BI&amp;E noted that this expense is related to DSC</w:t>
      </w:r>
      <w:r w:rsidR="00886F6A">
        <w:rPr>
          <w:rFonts w:eastAsia="Calibri"/>
          <w:sz w:val="24"/>
          <w:szCs w:val="24"/>
        </w:rPr>
        <w:t>’s</w:t>
      </w:r>
      <w:r>
        <w:rPr>
          <w:rFonts w:eastAsia="Calibri"/>
          <w:sz w:val="24"/>
          <w:szCs w:val="24"/>
        </w:rPr>
        <w:t xml:space="preserve"> 529 proceeding that DSC filed with the Commission in February 2014.  That matter is ongoing.  The expenses in the 529 proceeding are also ongoing and not final.  </w:t>
      </w:r>
      <w:r w:rsidR="00A87490">
        <w:rPr>
          <w:rFonts w:eastAsia="Calibri"/>
          <w:sz w:val="24"/>
          <w:szCs w:val="24"/>
        </w:rPr>
        <w:t>Tr. at 11.</w:t>
      </w:r>
      <w:r w:rsidR="005F52E9">
        <w:rPr>
          <w:rFonts w:eastAsia="Calibri"/>
          <w:sz w:val="24"/>
          <w:szCs w:val="24"/>
        </w:rPr>
        <w:t xml:space="preserve">  </w:t>
      </w:r>
      <w:r>
        <w:rPr>
          <w:rFonts w:eastAsia="Calibri"/>
          <w:sz w:val="24"/>
          <w:szCs w:val="24"/>
        </w:rPr>
        <w:t xml:space="preserve">Moreover, the 529 </w:t>
      </w:r>
      <w:r w:rsidR="00A87079">
        <w:rPr>
          <w:rFonts w:eastAsia="Calibri"/>
          <w:sz w:val="24"/>
          <w:szCs w:val="24"/>
        </w:rPr>
        <w:t xml:space="preserve">proceeding </w:t>
      </w:r>
      <w:r>
        <w:rPr>
          <w:rFonts w:eastAsia="Calibri"/>
          <w:sz w:val="24"/>
          <w:szCs w:val="24"/>
        </w:rPr>
        <w:t xml:space="preserve">expenses </w:t>
      </w:r>
      <w:r w:rsidR="00B7620D">
        <w:rPr>
          <w:rFonts w:eastAsia="Calibri"/>
          <w:sz w:val="24"/>
          <w:szCs w:val="24"/>
        </w:rPr>
        <w:t>are</w:t>
      </w:r>
      <w:r>
        <w:rPr>
          <w:rFonts w:eastAsia="Calibri"/>
          <w:sz w:val="24"/>
          <w:szCs w:val="24"/>
        </w:rPr>
        <w:t xml:space="preserve"> not </w:t>
      </w:r>
      <w:r w:rsidR="00A87490">
        <w:rPr>
          <w:rFonts w:eastAsia="Calibri"/>
          <w:sz w:val="24"/>
          <w:szCs w:val="24"/>
        </w:rPr>
        <w:t xml:space="preserve">be </w:t>
      </w:r>
      <w:r>
        <w:rPr>
          <w:rFonts w:eastAsia="Calibri"/>
          <w:sz w:val="24"/>
          <w:szCs w:val="24"/>
        </w:rPr>
        <w:t>recoverable as legal general regulatory non-rate case expenses as they are not reasonable and normal expenses incurred by providing regulated service.  Secondly, this rate case should only include the recovery of costs associated with normalized expenses directly related to calculating the operating ratio and revenue requirement.</w:t>
      </w:r>
    </w:p>
    <w:p w:rsidR="007B4D4E" w:rsidRDefault="007B4D4E" w:rsidP="00457EFE">
      <w:pPr>
        <w:tabs>
          <w:tab w:val="left" w:pos="1440"/>
        </w:tabs>
        <w:spacing w:line="360" w:lineRule="auto"/>
        <w:ind w:firstLine="720"/>
        <w:rPr>
          <w:rFonts w:eastAsia="Calibri"/>
          <w:sz w:val="24"/>
          <w:szCs w:val="24"/>
        </w:rPr>
      </w:pPr>
    </w:p>
    <w:p w:rsidR="007B4D4E" w:rsidRDefault="007B4D4E" w:rsidP="00457EFE">
      <w:pPr>
        <w:tabs>
          <w:tab w:val="left" w:pos="1440"/>
        </w:tabs>
        <w:spacing w:line="360" w:lineRule="auto"/>
        <w:ind w:firstLine="720"/>
        <w:rPr>
          <w:rFonts w:eastAsia="Calibri"/>
          <w:sz w:val="24"/>
          <w:szCs w:val="24"/>
        </w:rPr>
      </w:pPr>
      <w:r>
        <w:rPr>
          <w:rFonts w:eastAsia="Calibri"/>
          <w:sz w:val="24"/>
          <w:szCs w:val="24"/>
        </w:rPr>
        <w:t>e.</w:t>
      </w:r>
      <w:r>
        <w:rPr>
          <w:rFonts w:eastAsia="Calibri"/>
          <w:sz w:val="24"/>
          <w:szCs w:val="24"/>
        </w:rPr>
        <w:tab/>
      </w:r>
      <w:r w:rsidR="00D422C3" w:rsidRPr="00D422C3">
        <w:rPr>
          <w:rFonts w:eastAsia="Calibri"/>
          <w:sz w:val="24"/>
          <w:szCs w:val="24"/>
          <w:u w:val="single"/>
        </w:rPr>
        <w:t>Rate case expense</w:t>
      </w:r>
    </w:p>
    <w:p w:rsidR="003B1E44" w:rsidRDefault="003B1E44" w:rsidP="00457EFE">
      <w:pPr>
        <w:tabs>
          <w:tab w:val="left" w:pos="1440"/>
        </w:tabs>
        <w:spacing w:line="360" w:lineRule="auto"/>
        <w:ind w:firstLine="720"/>
        <w:rPr>
          <w:rFonts w:eastAsia="Calibri"/>
          <w:sz w:val="24"/>
          <w:szCs w:val="24"/>
        </w:rPr>
      </w:pPr>
    </w:p>
    <w:p w:rsidR="00D422C3" w:rsidRDefault="00D422C3" w:rsidP="00457EFE">
      <w:pPr>
        <w:tabs>
          <w:tab w:val="left" w:pos="1440"/>
        </w:tabs>
        <w:spacing w:line="360" w:lineRule="auto"/>
        <w:ind w:firstLine="720"/>
        <w:rPr>
          <w:rFonts w:eastAsia="Calibri"/>
          <w:sz w:val="24"/>
          <w:szCs w:val="24"/>
        </w:rPr>
      </w:pPr>
      <w:r>
        <w:rPr>
          <w:rFonts w:eastAsia="Calibri"/>
          <w:sz w:val="24"/>
          <w:szCs w:val="24"/>
        </w:rPr>
        <w:tab/>
        <w:t xml:space="preserve">DSC updated its rate case expense </w:t>
      </w:r>
      <w:r w:rsidR="00A87490">
        <w:rPr>
          <w:rFonts w:eastAsia="Calibri"/>
          <w:sz w:val="24"/>
          <w:szCs w:val="24"/>
        </w:rPr>
        <w:t xml:space="preserve">to $23,600 </w:t>
      </w:r>
      <w:r>
        <w:rPr>
          <w:rFonts w:eastAsia="Calibri"/>
          <w:sz w:val="24"/>
          <w:szCs w:val="24"/>
        </w:rPr>
        <w:t>at the April 2, 2015</w:t>
      </w:r>
      <w:r w:rsidR="008C13F1">
        <w:rPr>
          <w:rFonts w:eastAsia="Calibri"/>
          <w:sz w:val="24"/>
          <w:szCs w:val="24"/>
        </w:rPr>
        <w:t>,</w:t>
      </w:r>
      <w:r>
        <w:rPr>
          <w:rFonts w:eastAsia="Calibri"/>
          <w:sz w:val="24"/>
          <w:szCs w:val="24"/>
        </w:rPr>
        <w:t xml:space="preserve"> evidentiary hearing.  DSC requests a normalization period of three years.  OCA recommends a normalization period of six years; BI&amp;E recommends a normalization period of five years.  Both opine about DSC</w:t>
      </w:r>
      <w:r w:rsidR="00303F11">
        <w:rPr>
          <w:rFonts w:eastAsia="Calibri"/>
          <w:sz w:val="24"/>
          <w:szCs w:val="24"/>
        </w:rPr>
        <w:t>’s</w:t>
      </w:r>
      <w:r>
        <w:rPr>
          <w:rFonts w:eastAsia="Calibri"/>
          <w:sz w:val="24"/>
          <w:szCs w:val="24"/>
        </w:rPr>
        <w:t xml:space="preserve"> lack of rate case filings.  Indeed, DSC has not filed since it began operating in 1996, or eighteen years. </w:t>
      </w:r>
      <w:r w:rsidR="00C01478">
        <w:rPr>
          <w:rFonts w:eastAsia="Calibri"/>
          <w:sz w:val="24"/>
          <w:szCs w:val="24"/>
        </w:rPr>
        <w:t xml:space="preserve"> </w:t>
      </w:r>
      <w:r>
        <w:rPr>
          <w:rFonts w:eastAsia="Calibri"/>
          <w:sz w:val="24"/>
          <w:szCs w:val="24"/>
        </w:rPr>
        <w:t>Neither OCA nor BI&amp;E recommend</w:t>
      </w:r>
      <w:r w:rsidR="00303F11">
        <w:rPr>
          <w:rFonts w:eastAsia="Calibri"/>
          <w:sz w:val="24"/>
          <w:szCs w:val="24"/>
        </w:rPr>
        <w:t>ed</w:t>
      </w:r>
      <w:r>
        <w:rPr>
          <w:rFonts w:eastAsia="Calibri"/>
          <w:sz w:val="24"/>
          <w:szCs w:val="24"/>
        </w:rPr>
        <w:t xml:space="preserve"> any adjustment to the $23,600 total rate case expense claimed. OCA’s recommendation results in an annualized cost of $3,933</w:t>
      </w:r>
      <w:r w:rsidR="00241D08">
        <w:rPr>
          <w:rFonts w:eastAsia="Calibri"/>
          <w:sz w:val="24"/>
          <w:szCs w:val="24"/>
        </w:rPr>
        <w:t xml:space="preserve"> (</w:t>
      </w:r>
      <w:r w:rsidR="00C01478">
        <w:rPr>
          <w:rFonts w:eastAsia="Calibri"/>
          <w:sz w:val="24"/>
          <w:szCs w:val="24"/>
        </w:rPr>
        <w:t>$</w:t>
      </w:r>
      <w:r w:rsidR="00241D08">
        <w:rPr>
          <w:rFonts w:eastAsia="Calibri"/>
          <w:sz w:val="24"/>
          <w:szCs w:val="24"/>
        </w:rPr>
        <w:t>23,600</w:t>
      </w:r>
      <w:r w:rsidR="00C01478">
        <w:rPr>
          <w:rFonts w:eastAsia="Calibri"/>
          <w:sz w:val="24"/>
          <w:szCs w:val="24"/>
        </w:rPr>
        <w:t xml:space="preserve"> </w:t>
      </w:r>
      <w:r w:rsidR="00241D08">
        <w:rPr>
          <w:rFonts w:eastAsia="Calibri"/>
          <w:sz w:val="24"/>
          <w:szCs w:val="24"/>
        </w:rPr>
        <w:t>÷</w:t>
      </w:r>
      <w:r w:rsidR="00C01478">
        <w:rPr>
          <w:rFonts w:eastAsia="Calibri"/>
          <w:sz w:val="24"/>
          <w:szCs w:val="24"/>
        </w:rPr>
        <w:t xml:space="preserve"> </w:t>
      </w:r>
      <w:r w:rsidR="00241D08">
        <w:rPr>
          <w:rFonts w:eastAsia="Calibri"/>
          <w:sz w:val="24"/>
          <w:szCs w:val="24"/>
        </w:rPr>
        <w:t>6</w:t>
      </w:r>
      <w:r w:rsidR="00C01478">
        <w:rPr>
          <w:rFonts w:eastAsia="Calibri"/>
          <w:sz w:val="24"/>
          <w:szCs w:val="24"/>
        </w:rPr>
        <w:t xml:space="preserve"> </w:t>
      </w:r>
      <w:r w:rsidR="00241D08">
        <w:rPr>
          <w:rFonts w:eastAsia="Calibri"/>
          <w:sz w:val="24"/>
          <w:szCs w:val="24"/>
        </w:rPr>
        <w:t>=</w:t>
      </w:r>
      <w:r w:rsidR="00C01478">
        <w:rPr>
          <w:rFonts w:eastAsia="Calibri"/>
          <w:sz w:val="24"/>
          <w:szCs w:val="24"/>
        </w:rPr>
        <w:t xml:space="preserve"> $</w:t>
      </w:r>
      <w:r w:rsidR="00241D08">
        <w:rPr>
          <w:rFonts w:eastAsia="Calibri"/>
          <w:sz w:val="24"/>
          <w:szCs w:val="24"/>
        </w:rPr>
        <w:t>3,933)</w:t>
      </w:r>
      <w:r>
        <w:rPr>
          <w:rFonts w:eastAsia="Calibri"/>
          <w:sz w:val="24"/>
          <w:szCs w:val="24"/>
        </w:rPr>
        <w:t xml:space="preserve">, BI&amp;E’s results in an annualized expense of </w:t>
      </w:r>
      <w:r w:rsidR="00241D08">
        <w:rPr>
          <w:rFonts w:eastAsia="Calibri"/>
          <w:sz w:val="24"/>
          <w:szCs w:val="24"/>
        </w:rPr>
        <w:t>$4,720.  (</w:t>
      </w:r>
      <w:r w:rsidR="00C01478">
        <w:rPr>
          <w:rFonts w:eastAsia="Calibri"/>
          <w:sz w:val="24"/>
          <w:szCs w:val="24"/>
        </w:rPr>
        <w:t>$</w:t>
      </w:r>
      <w:r w:rsidR="00241D08">
        <w:rPr>
          <w:rFonts w:eastAsia="Calibri"/>
          <w:sz w:val="24"/>
          <w:szCs w:val="24"/>
        </w:rPr>
        <w:t>23,600</w:t>
      </w:r>
      <w:r w:rsidR="00C01478">
        <w:rPr>
          <w:rFonts w:eastAsia="Calibri"/>
          <w:sz w:val="24"/>
          <w:szCs w:val="24"/>
        </w:rPr>
        <w:t xml:space="preserve"> </w:t>
      </w:r>
      <w:r w:rsidR="00241D08">
        <w:rPr>
          <w:rFonts w:eastAsia="Calibri"/>
          <w:sz w:val="24"/>
          <w:szCs w:val="24"/>
        </w:rPr>
        <w:t>÷</w:t>
      </w:r>
      <w:r w:rsidR="00C01478">
        <w:rPr>
          <w:rFonts w:eastAsia="Calibri"/>
          <w:sz w:val="24"/>
          <w:szCs w:val="24"/>
        </w:rPr>
        <w:t xml:space="preserve"> </w:t>
      </w:r>
      <w:r w:rsidR="00241D08">
        <w:rPr>
          <w:rFonts w:eastAsia="Calibri"/>
          <w:sz w:val="24"/>
          <w:szCs w:val="24"/>
        </w:rPr>
        <w:t>5</w:t>
      </w:r>
      <w:r w:rsidR="00C01478">
        <w:rPr>
          <w:rFonts w:eastAsia="Calibri"/>
          <w:sz w:val="24"/>
          <w:szCs w:val="24"/>
        </w:rPr>
        <w:t xml:space="preserve"> </w:t>
      </w:r>
      <w:r w:rsidR="00241D08">
        <w:rPr>
          <w:rFonts w:eastAsia="Calibri"/>
          <w:sz w:val="24"/>
          <w:szCs w:val="24"/>
        </w:rPr>
        <w:t>=</w:t>
      </w:r>
      <w:r w:rsidR="00C01478">
        <w:rPr>
          <w:rFonts w:eastAsia="Calibri"/>
          <w:sz w:val="24"/>
          <w:szCs w:val="24"/>
        </w:rPr>
        <w:t xml:space="preserve"> $</w:t>
      </w:r>
      <w:r w:rsidR="00241D08">
        <w:rPr>
          <w:rFonts w:eastAsia="Calibri"/>
          <w:sz w:val="24"/>
          <w:szCs w:val="24"/>
        </w:rPr>
        <w:t>4,720).</w:t>
      </w:r>
    </w:p>
    <w:p w:rsidR="00723A96" w:rsidRDefault="00723A96" w:rsidP="00457EFE">
      <w:pPr>
        <w:tabs>
          <w:tab w:val="left" w:pos="1440"/>
        </w:tabs>
        <w:spacing w:line="360" w:lineRule="auto"/>
        <w:ind w:firstLine="720"/>
        <w:rPr>
          <w:rFonts w:eastAsia="Calibri"/>
          <w:sz w:val="24"/>
          <w:szCs w:val="24"/>
        </w:rPr>
      </w:pPr>
    </w:p>
    <w:p w:rsidR="00094F01" w:rsidRPr="003C2B04" w:rsidRDefault="00241D08" w:rsidP="00094F01">
      <w:pPr>
        <w:pStyle w:val="ListParagraph"/>
        <w:tabs>
          <w:tab w:val="left" w:pos="2160"/>
        </w:tabs>
        <w:spacing w:line="360" w:lineRule="auto"/>
        <w:ind w:left="0" w:firstLine="1350"/>
        <w:rPr>
          <w:sz w:val="24"/>
          <w:szCs w:val="24"/>
        </w:rPr>
      </w:pPr>
      <w:r>
        <w:rPr>
          <w:rFonts w:eastAsia="Calibri"/>
          <w:sz w:val="24"/>
          <w:szCs w:val="24"/>
        </w:rPr>
        <w:t xml:space="preserve">It is clear that the future </w:t>
      </w:r>
      <w:r w:rsidR="00AF5C08">
        <w:rPr>
          <w:rFonts w:eastAsia="Calibri"/>
          <w:sz w:val="24"/>
          <w:szCs w:val="24"/>
        </w:rPr>
        <w:t xml:space="preserve">of </w:t>
      </w:r>
      <w:r>
        <w:rPr>
          <w:rFonts w:eastAsia="Calibri"/>
          <w:sz w:val="24"/>
          <w:szCs w:val="24"/>
        </w:rPr>
        <w:t xml:space="preserve">DSC is in flux.  The customers are not to blame for the lack of rate case filings throughout the </w:t>
      </w:r>
      <w:r w:rsidR="001457A6">
        <w:rPr>
          <w:rFonts w:eastAsia="Calibri"/>
          <w:sz w:val="24"/>
          <w:szCs w:val="24"/>
        </w:rPr>
        <w:t xml:space="preserve">eighteen year </w:t>
      </w:r>
      <w:r>
        <w:rPr>
          <w:rFonts w:eastAsia="Calibri"/>
          <w:sz w:val="24"/>
          <w:szCs w:val="24"/>
        </w:rPr>
        <w:t>history of DSC.  The rate case expense must be normalized over a longer period to accurately reflect the patterns of the company.  Therefore, the rate case expense</w:t>
      </w:r>
      <w:r w:rsidR="00AF5C08">
        <w:rPr>
          <w:rFonts w:eastAsia="Calibri"/>
          <w:sz w:val="24"/>
          <w:szCs w:val="24"/>
        </w:rPr>
        <w:t>, $23,600 is accepted as proffered,</w:t>
      </w:r>
      <w:r w:rsidR="005E2733">
        <w:rPr>
          <w:rFonts w:eastAsia="Calibri"/>
          <w:sz w:val="24"/>
          <w:szCs w:val="24"/>
        </w:rPr>
        <w:t xml:space="preserve"> and</w:t>
      </w:r>
      <w:r>
        <w:rPr>
          <w:rFonts w:eastAsia="Calibri"/>
          <w:sz w:val="24"/>
          <w:szCs w:val="24"/>
        </w:rPr>
        <w:t xml:space="preserve"> will be </w:t>
      </w:r>
      <w:r w:rsidR="00AF5C08">
        <w:rPr>
          <w:rFonts w:eastAsia="Calibri"/>
          <w:sz w:val="24"/>
          <w:szCs w:val="24"/>
        </w:rPr>
        <w:t>n</w:t>
      </w:r>
      <w:r>
        <w:rPr>
          <w:rFonts w:eastAsia="Calibri"/>
          <w:sz w:val="24"/>
          <w:szCs w:val="24"/>
        </w:rPr>
        <w:t>ormaliz</w:t>
      </w:r>
      <w:r w:rsidR="005E2733">
        <w:rPr>
          <w:rFonts w:eastAsia="Calibri"/>
          <w:sz w:val="24"/>
          <w:szCs w:val="24"/>
        </w:rPr>
        <w:t>ed</w:t>
      </w:r>
      <w:r w:rsidR="00AF5C08">
        <w:rPr>
          <w:rFonts w:eastAsia="Calibri"/>
          <w:sz w:val="24"/>
          <w:szCs w:val="24"/>
        </w:rPr>
        <w:t xml:space="preserve"> over a six year</w:t>
      </w:r>
      <w:r>
        <w:rPr>
          <w:rFonts w:eastAsia="Calibri"/>
          <w:sz w:val="24"/>
          <w:szCs w:val="24"/>
        </w:rPr>
        <w:t xml:space="preserve"> period </w:t>
      </w:r>
      <w:r w:rsidR="005E2733">
        <w:rPr>
          <w:rFonts w:eastAsia="Calibri"/>
          <w:sz w:val="24"/>
          <w:szCs w:val="24"/>
        </w:rPr>
        <w:t xml:space="preserve">thus </w:t>
      </w:r>
      <w:r w:rsidR="00AF5C08">
        <w:rPr>
          <w:rFonts w:eastAsia="Calibri"/>
          <w:sz w:val="24"/>
          <w:szCs w:val="24"/>
        </w:rPr>
        <w:t xml:space="preserve">providing an </w:t>
      </w:r>
      <w:r>
        <w:rPr>
          <w:rFonts w:eastAsia="Calibri"/>
          <w:sz w:val="24"/>
          <w:szCs w:val="24"/>
        </w:rPr>
        <w:t>annualized cost of $3,933.</w:t>
      </w:r>
      <w:r w:rsidR="00094F01">
        <w:rPr>
          <w:rFonts w:eastAsia="Calibri"/>
          <w:sz w:val="24"/>
          <w:szCs w:val="24"/>
        </w:rPr>
        <w:t xml:space="preserve">  </w:t>
      </w:r>
      <w:r w:rsidR="00094F01" w:rsidRPr="003C2B04">
        <w:rPr>
          <w:sz w:val="24"/>
          <w:szCs w:val="24"/>
        </w:rPr>
        <w:t xml:space="preserve">It is the historical filings, not the actual intentions of the utility, which will guide the determination of the normalization period.  </w:t>
      </w:r>
      <w:r w:rsidR="00094F01" w:rsidRPr="003C2B04">
        <w:rPr>
          <w:i/>
          <w:sz w:val="24"/>
          <w:szCs w:val="24"/>
        </w:rPr>
        <w:t>Pa. Pub. Util. Comm</w:t>
      </w:r>
      <w:r w:rsidR="00971DF4">
        <w:rPr>
          <w:i/>
          <w:sz w:val="24"/>
          <w:szCs w:val="24"/>
        </w:rPr>
        <w:t>’</w:t>
      </w:r>
      <w:r w:rsidR="00094F01" w:rsidRPr="003C2B04">
        <w:rPr>
          <w:i/>
          <w:sz w:val="24"/>
          <w:szCs w:val="24"/>
        </w:rPr>
        <w:t>n v. City of Lancaster,</w:t>
      </w:r>
      <w:r w:rsidR="00094F01" w:rsidRPr="003C2B04">
        <w:rPr>
          <w:sz w:val="24"/>
          <w:szCs w:val="24"/>
        </w:rPr>
        <w:t xml:space="preserve"> R-2010-2179103, et al. (Opinion and Order entered July</w:t>
      </w:r>
      <w:r w:rsidR="00971DF4">
        <w:rPr>
          <w:sz w:val="24"/>
          <w:szCs w:val="24"/>
        </w:rPr>
        <w:t> </w:t>
      </w:r>
      <w:r w:rsidR="00094F01" w:rsidRPr="003C2B04">
        <w:rPr>
          <w:sz w:val="24"/>
          <w:szCs w:val="24"/>
        </w:rPr>
        <w:t xml:space="preserve">14, 2011), 2011 Pa. PUC LEXIS 1685; </w:t>
      </w:r>
      <w:r w:rsidR="00094F01" w:rsidRPr="003C2B04">
        <w:rPr>
          <w:i/>
          <w:sz w:val="24"/>
          <w:szCs w:val="24"/>
        </w:rPr>
        <w:t>Pa. Pub. Util</w:t>
      </w:r>
      <w:r w:rsidR="006F4FA1">
        <w:rPr>
          <w:i/>
          <w:sz w:val="24"/>
          <w:szCs w:val="24"/>
        </w:rPr>
        <w:t>.</w:t>
      </w:r>
      <w:r w:rsidR="00094F01" w:rsidRPr="003C2B04">
        <w:rPr>
          <w:i/>
          <w:sz w:val="24"/>
          <w:szCs w:val="24"/>
        </w:rPr>
        <w:t xml:space="preserve"> Comm</w:t>
      </w:r>
      <w:r w:rsidR="00971DF4">
        <w:rPr>
          <w:i/>
          <w:sz w:val="24"/>
          <w:szCs w:val="24"/>
        </w:rPr>
        <w:t>’</w:t>
      </w:r>
      <w:r w:rsidR="00094F01" w:rsidRPr="003C2B04">
        <w:rPr>
          <w:i/>
          <w:sz w:val="24"/>
          <w:szCs w:val="24"/>
        </w:rPr>
        <w:t xml:space="preserve">n v. Metropolitan Edison Company, </w:t>
      </w:r>
      <w:r w:rsidR="00094F01" w:rsidRPr="003C2B04">
        <w:rPr>
          <w:sz w:val="24"/>
          <w:szCs w:val="24"/>
        </w:rPr>
        <w:t>R-00061366, et al. (Opinion and Order entered January 4, 2077), 2007 Pa. PUC LEXIS 5.</w:t>
      </w:r>
    </w:p>
    <w:p w:rsidR="00094F01" w:rsidRDefault="00094F01" w:rsidP="00241D08">
      <w:pPr>
        <w:tabs>
          <w:tab w:val="left" w:pos="1440"/>
        </w:tabs>
        <w:spacing w:line="360" w:lineRule="auto"/>
        <w:ind w:firstLine="1440"/>
        <w:rPr>
          <w:rFonts w:eastAsia="Calibri"/>
          <w:sz w:val="24"/>
          <w:szCs w:val="24"/>
        </w:rPr>
      </w:pPr>
    </w:p>
    <w:p w:rsidR="00094F01" w:rsidRDefault="00094F01" w:rsidP="00241D08">
      <w:pPr>
        <w:tabs>
          <w:tab w:val="left" w:pos="1440"/>
        </w:tabs>
        <w:spacing w:line="360" w:lineRule="auto"/>
        <w:ind w:firstLine="1440"/>
        <w:rPr>
          <w:rFonts w:eastAsia="Calibri"/>
          <w:sz w:val="24"/>
          <w:szCs w:val="24"/>
        </w:rPr>
      </w:pPr>
      <w:r>
        <w:rPr>
          <w:rFonts w:eastAsia="Calibri"/>
          <w:sz w:val="24"/>
          <w:szCs w:val="24"/>
        </w:rPr>
        <w:t>The remaining expenses are accepted without revision.</w:t>
      </w:r>
      <w:r w:rsidR="00E018E8">
        <w:rPr>
          <w:rFonts w:eastAsia="Calibri"/>
          <w:sz w:val="24"/>
          <w:szCs w:val="24"/>
        </w:rPr>
        <w:t xml:space="preserve">  </w:t>
      </w:r>
    </w:p>
    <w:p w:rsidR="006C2639" w:rsidRDefault="006C2639" w:rsidP="00241D08">
      <w:pPr>
        <w:tabs>
          <w:tab w:val="left" w:pos="1440"/>
        </w:tabs>
        <w:spacing w:line="360" w:lineRule="auto"/>
        <w:ind w:firstLine="1440"/>
        <w:rPr>
          <w:rFonts w:eastAsia="Calibri"/>
          <w:sz w:val="24"/>
          <w:szCs w:val="24"/>
        </w:rPr>
      </w:pPr>
    </w:p>
    <w:p w:rsidR="006C2639" w:rsidRDefault="006C2639" w:rsidP="006C2639">
      <w:pPr>
        <w:spacing w:line="360" w:lineRule="auto"/>
        <w:rPr>
          <w:sz w:val="24"/>
          <w:szCs w:val="24"/>
        </w:rPr>
      </w:pPr>
      <w:r w:rsidRPr="006C2639">
        <w:rPr>
          <w:sz w:val="24"/>
          <w:szCs w:val="24"/>
          <w:u w:val="single"/>
        </w:rPr>
        <w:t>Conclusion</w:t>
      </w:r>
      <w:r>
        <w:rPr>
          <w:sz w:val="24"/>
          <w:szCs w:val="24"/>
        </w:rPr>
        <w:tab/>
      </w:r>
    </w:p>
    <w:p w:rsidR="003B1E44" w:rsidRDefault="003B1E44" w:rsidP="006C2639">
      <w:pPr>
        <w:spacing w:line="360" w:lineRule="auto"/>
        <w:rPr>
          <w:sz w:val="24"/>
          <w:szCs w:val="24"/>
        </w:rPr>
      </w:pPr>
    </w:p>
    <w:p w:rsidR="00094F01" w:rsidRPr="00303F11" w:rsidRDefault="006C2639" w:rsidP="00303F11">
      <w:pPr>
        <w:tabs>
          <w:tab w:val="left" w:pos="2160"/>
        </w:tabs>
        <w:spacing w:line="360" w:lineRule="auto"/>
        <w:ind w:firstLine="1440"/>
        <w:rPr>
          <w:sz w:val="24"/>
          <w:szCs w:val="24"/>
          <w:lang w:eastAsia="ja-JP"/>
        </w:rPr>
      </w:pPr>
      <w:r w:rsidRPr="00303F11">
        <w:rPr>
          <w:sz w:val="24"/>
          <w:szCs w:val="24"/>
        </w:rPr>
        <w:t>DSC has failed to provide substantial evidence to</w:t>
      </w:r>
      <w:r w:rsidR="003D6679" w:rsidRPr="00303F11">
        <w:rPr>
          <w:sz w:val="24"/>
          <w:szCs w:val="24"/>
        </w:rPr>
        <w:t xml:space="preserve"> meet the burden of proving </w:t>
      </w:r>
      <w:r w:rsidRPr="00303F11">
        <w:rPr>
          <w:sz w:val="24"/>
          <w:szCs w:val="24"/>
        </w:rPr>
        <w:t>the justness and reasonableness of their proposed rate increase.  Failing to satisfy this burden, DSC’s proposed rate increase is not in the public interest.  DSC’s use of a hybrid rate of return/operating ratio ratemaking method is rejected as contrary to law.  DSC’s inclusion of a cash working capital element in an operating ratio methodology is rejected.  DSC’s claimed expenses (rate case expense; legal-general regulatory non-rate case expense; officers and directors salaries; operations management; contracted administrative services; and cash working capital) are adjusted or rejected</w:t>
      </w:r>
      <w:r w:rsidR="00886F6A" w:rsidRPr="00303F11">
        <w:rPr>
          <w:sz w:val="24"/>
          <w:szCs w:val="24"/>
        </w:rPr>
        <w:t xml:space="preserve"> as discussed above</w:t>
      </w:r>
      <w:r w:rsidRPr="00303F11">
        <w:rPr>
          <w:sz w:val="24"/>
          <w:szCs w:val="24"/>
        </w:rPr>
        <w:t xml:space="preserve">.  </w:t>
      </w:r>
      <w:r w:rsidR="00094F01" w:rsidRPr="00303F11">
        <w:rPr>
          <w:sz w:val="24"/>
          <w:szCs w:val="24"/>
        </w:rPr>
        <w:t>DSC</w:t>
      </w:r>
      <w:r w:rsidRPr="00303F11">
        <w:rPr>
          <w:sz w:val="24"/>
          <w:szCs w:val="24"/>
        </w:rPr>
        <w:t xml:space="preserve"> failed to provide substantial evidence showing certain claimed expenses are reasonable</w:t>
      </w:r>
      <w:r w:rsidR="007F2C5B" w:rsidRPr="00303F11">
        <w:rPr>
          <w:sz w:val="24"/>
          <w:szCs w:val="24"/>
        </w:rPr>
        <w:t>, prudent</w:t>
      </w:r>
      <w:r w:rsidRPr="00303F11">
        <w:rPr>
          <w:sz w:val="24"/>
          <w:szCs w:val="24"/>
        </w:rPr>
        <w:t xml:space="preserve"> and normal expenses incurred by DSC by providing regulated services.  </w:t>
      </w:r>
      <w:r w:rsidR="00094F01" w:rsidRPr="00303F11">
        <w:rPr>
          <w:sz w:val="24"/>
          <w:szCs w:val="24"/>
          <w:lang w:eastAsia="ja-JP"/>
        </w:rPr>
        <w:t>Determination of a fair rate of return for a public utility requires the exercise of informed judgment based upon an evaluation of the particular facts presented in each proceeding.  There is no one precise answer to the question as to what constitutes the proper ra</w:t>
      </w:r>
      <w:r w:rsidR="00303F11" w:rsidRPr="00303F11">
        <w:rPr>
          <w:sz w:val="24"/>
          <w:szCs w:val="24"/>
          <w:lang w:eastAsia="ja-JP"/>
        </w:rPr>
        <w:t>te of return.  The interests of the company</w:t>
      </w:r>
      <w:r w:rsidR="00094F01" w:rsidRPr="00303F11">
        <w:rPr>
          <w:sz w:val="24"/>
          <w:szCs w:val="24"/>
          <w:lang w:eastAsia="ja-JP"/>
        </w:rPr>
        <w:t xml:space="preserve"> and its investors are to be considered along with those of the customers, all to the end of assuring adequate service to the public at the least cost, while at the same time maintaining the financial integrity of the utility involved.  </w:t>
      </w:r>
      <w:r w:rsidR="00094F01" w:rsidRPr="00303F11">
        <w:rPr>
          <w:i/>
          <w:sz w:val="24"/>
          <w:szCs w:val="24"/>
          <w:lang w:eastAsia="ja-JP"/>
        </w:rPr>
        <w:t>Pa. Pub. Util. Co</w:t>
      </w:r>
      <w:r w:rsidR="00971DF4" w:rsidRPr="00303F11">
        <w:rPr>
          <w:i/>
          <w:sz w:val="24"/>
          <w:szCs w:val="24"/>
          <w:lang w:eastAsia="ja-JP"/>
        </w:rPr>
        <w:t>mm’n</w:t>
      </w:r>
      <w:r w:rsidR="00094F01" w:rsidRPr="00303F11">
        <w:rPr>
          <w:i/>
          <w:sz w:val="24"/>
          <w:szCs w:val="24"/>
          <w:lang w:eastAsia="ja-JP"/>
        </w:rPr>
        <w:t>. v. Pennsylvania Power Co</w:t>
      </w:r>
      <w:r w:rsidR="00094F01" w:rsidRPr="00303F11">
        <w:rPr>
          <w:sz w:val="24"/>
          <w:szCs w:val="24"/>
          <w:lang w:eastAsia="ja-JP"/>
        </w:rPr>
        <w:t>., 55 Pa. PUC 552, 579 (1982)</w:t>
      </w:r>
      <w:r w:rsidR="00094F01" w:rsidRPr="00303F11">
        <w:rPr>
          <w:sz w:val="24"/>
          <w:szCs w:val="24"/>
          <w:lang w:eastAsia="ja-JP"/>
        </w:rPr>
        <w:fldChar w:fldCharType="begin"/>
      </w:r>
      <w:r w:rsidR="00094F01" w:rsidRPr="00303F11">
        <w:rPr>
          <w:sz w:val="24"/>
          <w:szCs w:val="24"/>
        </w:rPr>
        <w:instrText xml:space="preserve"> TA \l "</w:instrText>
      </w:r>
      <w:r w:rsidR="00094F01" w:rsidRPr="00303F11">
        <w:rPr>
          <w:sz w:val="24"/>
          <w:szCs w:val="24"/>
          <w:u w:val="single"/>
          <w:lang w:eastAsia="ja-JP"/>
        </w:rPr>
        <w:instrText>Pa. PUC v. Pennsylvania Power Co.</w:instrText>
      </w:r>
      <w:r w:rsidR="00094F01" w:rsidRPr="00303F11">
        <w:rPr>
          <w:sz w:val="24"/>
          <w:szCs w:val="24"/>
          <w:lang w:eastAsia="ja-JP"/>
        </w:rPr>
        <w:instrText>, 55 Pa. PUC 552, 579 (1982)</w:instrText>
      </w:r>
      <w:r w:rsidR="00094F01" w:rsidRPr="00303F11">
        <w:rPr>
          <w:sz w:val="24"/>
          <w:szCs w:val="24"/>
        </w:rPr>
        <w:instrText xml:space="preserve">" \s "Pa. PUC v. Pennsylvania Power Co." \c 2 </w:instrText>
      </w:r>
      <w:r w:rsidR="00094F01" w:rsidRPr="00303F11">
        <w:rPr>
          <w:sz w:val="24"/>
          <w:szCs w:val="24"/>
          <w:lang w:eastAsia="ja-JP"/>
        </w:rPr>
        <w:fldChar w:fldCharType="end"/>
      </w:r>
      <w:r w:rsidR="00094F01" w:rsidRPr="00303F11">
        <w:rPr>
          <w:sz w:val="24"/>
          <w:szCs w:val="24"/>
          <w:lang w:eastAsia="ja-JP"/>
        </w:rPr>
        <w:t xml:space="preserve">.  </w:t>
      </w:r>
      <w:r w:rsidR="00094F01" w:rsidRPr="00303F11">
        <w:rPr>
          <w:sz w:val="24"/>
          <w:szCs w:val="24"/>
          <w:u w:val="single"/>
          <w:lang w:eastAsia="ja-JP"/>
        </w:rPr>
        <w:t>See</w:t>
      </w:r>
      <w:r w:rsidR="00094F01" w:rsidRPr="00303F11">
        <w:rPr>
          <w:sz w:val="24"/>
          <w:szCs w:val="24"/>
          <w:lang w:eastAsia="ja-JP"/>
        </w:rPr>
        <w:t xml:space="preserve"> </w:t>
      </w:r>
      <w:r w:rsidR="00094F01" w:rsidRPr="00303F11">
        <w:rPr>
          <w:sz w:val="24"/>
          <w:szCs w:val="24"/>
          <w:u w:val="single"/>
          <w:lang w:eastAsia="ja-JP"/>
        </w:rPr>
        <w:t>also</w:t>
      </w:r>
      <w:r w:rsidR="00094F01" w:rsidRPr="00303F11">
        <w:rPr>
          <w:sz w:val="24"/>
          <w:szCs w:val="24"/>
          <w:lang w:eastAsia="ja-JP"/>
        </w:rPr>
        <w:t xml:space="preserve"> </w:t>
      </w:r>
      <w:r w:rsidR="00094F01" w:rsidRPr="00303F11">
        <w:rPr>
          <w:i/>
          <w:sz w:val="24"/>
          <w:szCs w:val="24"/>
          <w:lang w:eastAsia="ja-JP"/>
        </w:rPr>
        <w:t>Pa. Pub. Util. Comm’n</w:t>
      </w:r>
      <w:r w:rsidR="00D64D4B" w:rsidRPr="00303F11">
        <w:rPr>
          <w:i/>
          <w:sz w:val="24"/>
          <w:szCs w:val="24"/>
          <w:lang w:eastAsia="ja-JP"/>
        </w:rPr>
        <w:t> </w:t>
      </w:r>
      <w:r w:rsidR="00094F01" w:rsidRPr="00303F11">
        <w:rPr>
          <w:i/>
          <w:sz w:val="24"/>
          <w:szCs w:val="24"/>
          <w:lang w:eastAsia="ja-JP"/>
        </w:rPr>
        <w:t>v. National Fuel Gas Dist. Corp</w:t>
      </w:r>
      <w:r w:rsidR="00094F01" w:rsidRPr="00303F11">
        <w:rPr>
          <w:sz w:val="24"/>
          <w:szCs w:val="24"/>
          <w:lang w:eastAsia="ja-JP"/>
        </w:rPr>
        <w:t>., 73 Pa. PUC 552, 603-605 (1990)</w:t>
      </w:r>
      <w:r w:rsidR="00094F01" w:rsidRPr="00303F11">
        <w:rPr>
          <w:sz w:val="24"/>
          <w:szCs w:val="24"/>
          <w:lang w:eastAsia="ja-JP"/>
        </w:rPr>
        <w:fldChar w:fldCharType="begin"/>
      </w:r>
      <w:r w:rsidR="00094F01" w:rsidRPr="00303F11">
        <w:rPr>
          <w:sz w:val="24"/>
          <w:szCs w:val="24"/>
        </w:rPr>
        <w:instrText xml:space="preserve"> TA \s "Pa. PUC v. National Fuel Gas Dist. Corp." </w:instrText>
      </w:r>
      <w:r w:rsidR="00094F01" w:rsidRPr="00303F11">
        <w:rPr>
          <w:sz w:val="24"/>
          <w:szCs w:val="24"/>
          <w:lang w:eastAsia="ja-JP"/>
        </w:rPr>
        <w:fldChar w:fldCharType="end"/>
      </w:r>
      <w:r w:rsidR="00094F01" w:rsidRPr="00303F11">
        <w:rPr>
          <w:sz w:val="24"/>
          <w:szCs w:val="24"/>
          <w:lang w:eastAsia="ja-JP"/>
        </w:rPr>
        <w:t xml:space="preserve">. </w:t>
      </w:r>
    </w:p>
    <w:p w:rsidR="00EE5C4E" w:rsidRDefault="00EE5C4E" w:rsidP="006C2639">
      <w:pPr>
        <w:spacing w:line="360" w:lineRule="auto"/>
        <w:ind w:firstLine="1440"/>
        <w:rPr>
          <w:sz w:val="24"/>
          <w:szCs w:val="24"/>
        </w:rPr>
      </w:pPr>
    </w:p>
    <w:p w:rsidR="000A114D" w:rsidRDefault="00EE5C4E" w:rsidP="006C2639">
      <w:pPr>
        <w:spacing w:line="360" w:lineRule="auto"/>
        <w:ind w:firstLine="1440"/>
        <w:rPr>
          <w:sz w:val="24"/>
          <w:szCs w:val="24"/>
        </w:rPr>
      </w:pPr>
      <w:r>
        <w:rPr>
          <w:sz w:val="24"/>
          <w:szCs w:val="24"/>
        </w:rPr>
        <w:t xml:space="preserve">I recommend that the Commission use the operating ratio methodology as set out in 52 Pa.Code § 53.54(b) and reject DSC’s </w:t>
      </w:r>
      <w:r w:rsidR="000A114D">
        <w:rPr>
          <w:sz w:val="24"/>
          <w:szCs w:val="24"/>
        </w:rPr>
        <w:t xml:space="preserve">hybrid approach and </w:t>
      </w:r>
      <w:r>
        <w:rPr>
          <w:sz w:val="24"/>
          <w:szCs w:val="24"/>
        </w:rPr>
        <w:t xml:space="preserve">use of cash working capital.  I recommend total expenses of </w:t>
      </w:r>
      <w:r w:rsidR="00B07221">
        <w:rPr>
          <w:sz w:val="24"/>
          <w:szCs w:val="24"/>
        </w:rPr>
        <w:t>$38,133</w:t>
      </w:r>
      <w:r>
        <w:rPr>
          <w:sz w:val="24"/>
          <w:szCs w:val="24"/>
        </w:rPr>
        <w:t xml:space="preserve"> and </w:t>
      </w:r>
      <w:r w:rsidR="00B07221">
        <w:rPr>
          <w:sz w:val="24"/>
          <w:szCs w:val="24"/>
        </w:rPr>
        <w:t xml:space="preserve">operating </w:t>
      </w:r>
      <w:r>
        <w:rPr>
          <w:sz w:val="24"/>
          <w:szCs w:val="24"/>
        </w:rPr>
        <w:t xml:space="preserve">revenues totaling </w:t>
      </w:r>
      <w:r w:rsidR="00B07221">
        <w:rPr>
          <w:sz w:val="24"/>
          <w:szCs w:val="24"/>
        </w:rPr>
        <w:t>$39,171</w:t>
      </w:r>
      <w:r>
        <w:rPr>
          <w:sz w:val="24"/>
          <w:szCs w:val="24"/>
        </w:rPr>
        <w:t xml:space="preserve"> with a 2.65% operating ratio.  This results in a</w:t>
      </w:r>
      <w:r w:rsidR="000A114D">
        <w:rPr>
          <w:sz w:val="24"/>
          <w:szCs w:val="24"/>
        </w:rPr>
        <w:t>n</w:t>
      </w:r>
      <w:r>
        <w:rPr>
          <w:sz w:val="24"/>
          <w:szCs w:val="24"/>
        </w:rPr>
        <w:t xml:space="preserve"> $</w:t>
      </w:r>
      <w:r w:rsidR="00B07221">
        <w:rPr>
          <w:sz w:val="24"/>
          <w:szCs w:val="24"/>
        </w:rPr>
        <w:t>85.90</w:t>
      </w:r>
      <w:r>
        <w:rPr>
          <w:sz w:val="24"/>
          <w:szCs w:val="24"/>
        </w:rPr>
        <w:t xml:space="preserve"> monthly bill to DSC customers</w:t>
      </w:r>
      <w:r w:rsidR="005574B8">
        <w:rPr>
          <w:sz w:val="24"/>
          <w:szCs w:val="24"/>
        </w:rPr>
        <w:t xml:space="preserve"> or a 65% raise from their current bill of $52 monthly</w:t>
      </w:r>
      <w:r>
        <w:rPr>
          <w:sz w:val="24"/>
          <w:szCs w:val="24"/>
        </w:rPr>
        <w:t>.</w:t>
      </w:r>
      <w:r w:rsidR="00094F01">
        <w:rPr>
          <w:sz w:val="24"/>
          <w:szCs w:val="24"/>
        </w:rPr>
        <w:t xml:space="preserve">  ($39,171 ÷ 38</w:t>
      </w:r>
      <w:r w:rsidR="00894ACC">
        <w:rPr>
          <w:sz w:val="24"/>
          <w:szCs w:val="24"/>
        </w:rPr>
        <w:t>÷12</w:t>
      </w:r>
      <w:r w:rsidR="00094F01">
        <w:rPr>
          <w:sz w:val="24"/>
          <w:szCs w:val="24"/>
        </w:rPr>
        <w:t>).</w:t>
      </w:r>
      <w:r w:rsidR="00303F11">
        <w:rPr>
          <w:sz w:val="24"/>
          <w:szCs w:val="24"/>
        </w:rPr>
        <w:t xml:space="preserve">  </w:t>
      </w:r>
    </w:p>
    <w:p w:rsidR="00B07221" w:rsidRPr="006C2639" w:rsidRDefault="006C2639" w:rsidP="00B07221">
      <w:pPr>
        <w:spacing w:line="360" w:lineRule="auto"/>
        <w:rPr>
          <w:color w:val="000000" w:themeColor="text1"/>
          <w:sz w:val="24"/>
          <w:szCs w:val="24"/>
        </w:rPr>
      </w:pPr>
      <w:r w:rsidRPr="006C2639">
        <w:rPr>
          <w:sz w:val="24"/>
          <w:szCs w:val="24"/>
        </w:rPr>
        <w:t xml:space="preserve">  </w:t>
      </w:r>
      <w:r w:rsidR="008343F4">
        <w:rPr>
          <w:sz w:val="24"/>
          <w:szCs w:val="24"/>
        </w:rPr>
        <w:t>Table 1</w:t>
      </w:r>
    </w:p>
    <w:tbl>
      <w:tblPr>
        <w:tblStyle w:val="TableGrid"/>
        <w:tblW w:w="0" w:type="auto"/>
        <w:tblLook w:val="04A0" w:firstRow="1" w:lastRow="0" w:firstColumn="1" w:lastColumn="0" w:noHBand="0" w:noVBand="1"/>
      </w:tblPr>
      <w:tblGrid>
        <w:gridCol w:w="4068"/>
        <w:gridCol w:w="1440"/>
        <w:gridCol w:w="1890"/>
        <w:gridCol w:w="1980"/>
      </w:tblGrid>
      <w:tr w:rsidR="00B07221" w:rsidRPr="00B07221" w:rsidTr="000A0C86">
        <w:trPr>
          <w:trHeight w:val="288"/>
        </w:trPr>
        <w:tc>
          <w:tcPr>
            <w:tcW w:w="4068" w:type="dxa"/>
            <w:tcBorders>
              <w:top w:val="single" w:sz="4" w:space="0" w:color="auto"/>
              <w:left w:val="single" w:sz="4" w:space="0" w:color="auto"/>
              <w:bottom w:val="single" w:sz="4" w:space="0" w:color="auto"/>
              <w:right w:val="single" w:sz="4" w:space="0" w:color="auto"/>
            </w:tcBorders>
            <w:noWrap/>
            <w:hideMark/>
          </w:tcPr>
          <w:p w:rsidR="00B07221" w:rsidRPr="00B07221" w:rsidRDefault="00B07221" w:rsidP="00E018E8">
            <w:pPr>
              <w:rPr>
                <w:sz w:val="22"/>
                <w:szCs w:val="22"/>
              </w:rPr>
            </w:pPr>
          </w:p>
        </w:tc>
        <w:tc>
          <w:tcPr>
            <w:tcW w:w="1440" w:type="dxa"/>
            <w:tcBorders>
              <w:top w:val="single" w:sz="4" w:space="0" w:color="auto"/>
              <w:left w:val="single" w:sz="4" w:space="0" w:color="auto"/>
              <w:bottom w:val="single" w:sz="4" w:space="0" w:color="auto"/>
              <w:right w:val="single" w:sz="4" w:space="0" w:color="auto"/>
            </w:tcBorders>
            <w:noWrap/>
            <w:hideMark/>
          </w:tcPr>
          <w:p w:rsidR="00B07221" w:rsidRPr="00B07221" w:rsidRDefault="00B07221" w:rsidP="00E018E8">
            <w:pPr>
              <w:jc w:val="center"/>
              <w:rPr>
                <w:sz w:val="22"/>
                <w:szCs w:val="22"/>
              </w:rPr>
            </w:pPr>
            <w:r w:rsidRPr="00B07221">
              <w:rPr>
                <w:sz w:val="22"/>
                <w:szCs w:val="22"/>
              </w:rPr>
              <w:t>Updated</w:t>
            </w:r>
          </w:p>
        </w:tc>
        <w:tc>
          <w:tcPr>
            <w:tcW w:w="1890" w:type="dxa"/>
            <w:tcBorders>
              <w:top w:val="single" w:sz="4" w:space="0" w:color="auto"/>
              <w:left w:val="single" w:sz="4" w:space="0" w:color="auto"/>
              <w:bottom w:val="single" w:sz="4" w:space="0" w:color="auto"/>
              <w:right w:val="single" w:sz="4" w:space="0" w:color="auto"/>
            </w:tcBorders>
            <w:noWrap/>
            <w:hideMark/>
          </w:tcPr>
          <w:p w:rsidR="00B07221" w:rsidRPr="00B07221" w:rsidRDefault="00894ACC" w:rsidP="00E018E8">
            <w:pPr>
              <w:jc w:val="center"/>
              <w:rPr>
                <w:sz w:val="22"/>
                <w:szCs w:val="22"/>
              </w:rPr>
            </w:pPr>
            <w:r>
              <w:rPr>
                <w:sz w:val="22"/>
                <w:szCs w:val="22"/>
              </w:rPr>
              <w:t>ALJ</w:t>
            </w:r>
          </w:p>
        </w:tc>
        <w:tc>
          <w:tcPr>
            <w:tcW w:w="1980" w:type="dxa"/>
            <w:tcBorders>
              <w:top w:val="single" w:sz="4" w:space="0" w:color="auto"/>
              <w:left w:val="single" w:sz="4" w:space="0" w:color="auto"/>
              <w:bottom w:val="single" w:sz="4" w:space="0" w:color="auto"/>
              <w:right w:val="single" w:sz="4" w:space="0" w:color="auto"/>
            </w:tcBorders>
            <w:noWrap/>
            <w:hideMark/>
          </w:tcPr>
          <w:p w:rsidR="00B07221" w:rsidRPr="00B07221" w:rsidRDefault="00894ACC" w:rsidP="00E018E8">
            <w:pPr>
              <w:jc w:val="center"/>
              <w:rPr>
                <w:sz w:val="22"/>
                <w:szCs w:val="22"/>
              </w:rPr>
            </w:pPr>
            <w:r>
              <w:rPr>
                <w:sz w:val="22"/>
                <w:szCs w:val="22"/>
              </w:rPr>
              <w:t>ALJ</w:t>
            </w:r>
          </w:p>
        </w:tc>
      </w:tr>
      <w:tr w:rsidR="00B07221" w:rsidRPr="00B07221" w:rsidTr="000A0C86">
        <w:trPr>
          <w:trHeight w:val="288"/>
        </w:trPr>
        <w:tc>
          <w:tcPr>
            <w:tcW w:w="4068" w:type="dxa"/>
            <w:tcBorders>
              <w:top w:val="single" w:sz="4" w:space="0" w:color="auto"/>
              <w:left w:val="single" w:sz="4" w:space="0" w:color="auto"/>
              <w:bottom w:val="single" w:sz="4" w:space="0" w:color="auto"/>
              <w:right w:val="single" w:sz="4" w:space="0" w:color="auto"/>
            </w:tcBorders>
            <w:noWrap/>
            <w:hideMark/>
          </w:tcPr>
          <w:p w:rsidR="00B07221" w:rsidRPr="00B07221" w:rsidRDefault="00B07221" w:rsidP="00E018E8">
            <w:pPr>
              <w:rPr>
                <w:sz w:val="22"/>
                <w:szCs w:val="22"/>
              </w:rPr>
            </w:pPr>
          </w:p>
        </w:tc>
        <w:tc>
          <w:tcPr>
            <w:tcW w:w="1440" w:type="dxa"/>
            <w:tcBorders>
              <w:top w:val="nil"/>
              <w:left w:val="single" w:sz="4" w:space="0" w:color="auto"/>
              <w:bottom w:val="single" w:sz="4" w:space="0" w:color="auto"/>
              <w:right w:val="single" w:sz="4" w:space="0" w:color="auto"/>
            </w:tcBorders>
            <w:noWrap/>
            <w:hideMark/>
          </w:tcPr>
          <w:p w:rsidR="00B07221" w:rsidRPr="00B07221" w:rsidRDefault="00B07221" w:rsidP="00E018E8">
            <w:pPr>
              <w:jc w:val="center"/>
              <w:rPr>
                <w:sz w:val="22"/>
                <w:szCs w:val="22"/>
                <w:u w:val="single"/>
              </w:rPr>
            </w:pPr>
            <w:r w:rsidRPr="00B07221">
              <w:rPr>
                <w:sz w:val="22"/>
                <w:szCs w:val="22"/>
                <w:u w:val="single"/>
              </w:rPr>
              <w:t>Totals</w:t>
            </w:r>
          </w:p>
        </w:tc>
        <w:tc>
          <w:tcPr>
            <w:tcW w:w="1890" w:type="dxa"/>
            <w:tcBorders>
              <w:top w:val="single" w:sz="4" w:space="0" w:color="auto"/>
              <w:left w:val="single" w:sz="4" w:space="0" w:color="auto"/>
              <w:bottom w:val="single" w:sz="4" w:space="0" w:color="auto"/>
              <w:right w:val="single" w:sz="4" w:space="0" w:color="auto"/>
            </w:tcBorders>
            <w:noWrap/>
            <w:hideMark/>
          </w:tcPr>
          <w:p w:rsidR="00B07221" w:rsidRPr="00B07221" w:rsidRDefault="00B07221" w:rsidP="00E018E8">
            <w:pPr>
              <w:jc w:val="center"/>
              <w:rPr>
                <w:sz w:val="22"/>
                <w:szCs w:val="22"/>
                <w:u w:val="single"/>
              </w:rPr>
            </w:pPr>
            <w:r w:rsidRPr="00B07221">
              <w:rPr>
                <w:sz w:val="22"/>
                <w:szCs w:val="22"/>
                <w:u w:val="single"/>
              </w:rPr>
              <w:t>Adjustments</w:t>
            </w:r>
          </w:p>
        </w:tc>
        <w:tc>
          <w:tcPr>
            <w:tcW w:w="1980" w:type="dxa"/>
            <w:tcBorders>
              <w:top w:val="single" w:sz="4" w:space="0" w:color="auto"/>
              <w:left w:val="single" w:sz="4" w:space="0" w:color="auto"/>
              <w:bottom w:val="single" w:sz="4" w:space="0" w:color="auto"/>
              <w:right w:val="single" w:sz="4" w:space="0" w:color="auto"/>
            </w:tcBorders>
            <w:noWrap/>
            <w:hideMark/>
          </w:tcPr>
          <w:p w:rsidR="00B07221" w:rsidRPr="00B07221" w:rsidRDefault="00B07221" w:rsidP="00E018E8">
            <w:pPr>
              <w:jc w:val="center"/>
              <w:rPr>
                <w:sz w:val="22"/>
                <w:szCs w:val="22"/>
                <w:u w:val="single"/>
              </w:rPr>
            </w:pPr>
            <w:r w:rsidRPr="00B07221">
              <w:rPr>
                <w:sz w:val="22"/>
                <w:szCs w:val="22"/>
                <w:u w:val="single"/>
              </w:rPr>
              <w:t>Recommendation</w:t>
            </w:r>
          </w:p>
        </w:tc>
      </w:tr>
      <w:tr w:rsidR="00B07221" w:rsidRPr="00B07221" w:rsidTr="00D87BDC">
        <w:trPr>
          <w:trHeight w:val="288"/>
        </w:trPr>
        <w:tc>
          <w:tcPr>
            <w:tcW w:w="4068" w:type="dxa"/>
            <w:tcBorders>
              <w:top w:val="single" w:sz="4" w:space="0" w:color="auto"/>
            </w:tcBorders>
            <w:noWrap/>
            <w:hideMark/>
          </w:tcPr>
          <w:p w:rsidR="00B07221" w:rsidRPr="00B07221" w:rsidRDefault="00B07221" w:rsidP="00E018E8">
            <w:pPr>
              <w:rPr>
                <w:b/>
                <w:bCs/>
                <w:sz w:val="22"/>
                <w:szCs w:val="22"/>
                <w:u w:val="single"/>
              </w:rPr>
            </w:pPr>
            <w:r w:rsidRPr="00B07221">
              <w:rPr>
                <w:b/>
                <w:bCs/>
                <w:sz w:val="22"/>
                <w:szCs w:val="22"/>
                <w:u w:val="single"/>
              </w:rPr>
              <w:t>Operating Revenues:</w:t>
            </w:r>
          </w:p>
        </w:tc>
        <w:tc>
          <w:tcPr>
            <w:tcW w:w="1440" w:type="dxa"/>
            <w:tcBorders>
              <w:top w:val="nil"/>
            </w:tcBorders>
            <w:noWrap/>
            <w:hideMark/>
          </w:tcPr>
          <w:p w:rsidR="00B07221" w:rsidRPr="00B07221" w:rsidRDefault="00B07221" w:rsidP="00E018E8">
            <w:pPr>
              <w:rPr>
                <w:sz w:val="22"/>
                <w:szCs w:val="22"/>
              </w:rPr>
            </w:pPr>
            <w:r w:rsidRPr="00B07221">
              <w:rPr>
                <w:sz w:val="22"/>
                <w:szCs w:val="22"/>
              </w:rPr>
              <w:t> </w:t>
            </w:r>
          </w:p>
        </w:tc>
        <w:tc>
          <w:tcPr>
            <w:tcW w:w="1890" w:type="dxa"/>
            <w:tcBorders>
              <w:top w:val="nil"/>
            </w:tcBorders>
            <w:noWrap/>
            <w:hideMark/>
          </w:tcPr>
          <w:p w:rsidR="00B07221" w:rsidRPr="00B07221" w:rsidRDefault="00B07221" w:rsidP="00E018E8">
            <w:pPr>
              <w:rPr>
                <w:sz w:val="22"/>
                <w:szCs w:val="22"/>
              </w:rPr>
            </w:pPr>
          </w:p>
        </w:tc>
        <w:tc>
          <w:tcPr>
            <w:tcW w:w="1980" w:type="dxa"/>
            <w:tcBorders>
              <w:top w:val="nil"/>
            </w:tcBorders>
            <w:noWrap/>
            <w:hideMark/>
          </w:tcPr>
          <w:p w:rsidR="00B07221" w:rsidRPr="00B07221" w:rsidRDefault="00B07221" w:rsidP="00E018E8">
            <w:pPr>
              <w:rPr>
                <w:sz w:val="22"/>
                <w:szCs w:val="22"/>
              </w:rPr>
            </w:pPr>
          </w:p>
        </w:tc>
      </w:tr>
      <w:tr w:rsidR="00B07221" w:rsidRPr="00B07221" w:rsidTr="00765A8B">
        <w:trPr>
          <w:trHeight w:val="288"/>
        </w:trPr>
        <w:tc>
          <w:tcPr>
            <w:tcW w:w="4068" w:type="dxa"/>
            <w:noWrap/>
            <w:hideMark/>
          </w:tcPr>
          <w:p w:rsidR="00B07221" w:rsidRPr="00B07221" w:rsidRDefault="00B07221" w:rsidP="00E018E8">
            <w:pPr>
              <w:rPr>
                <w:sz w:val="22"/>
                <w:szCs w:val="22"/>
              </w:rPr>
            </w:pPr>
            <w:r w:rsidRPr="00B07221">
              <w:rPr>
                <w:sz w:val="22"/>
                <w:szCs w:val="22"/>
              </w:rPr>
              <w:t>Residential Revenues</w:t>
            </w:r>
          </w:p>
        </w:tc>
        <w:tc>
          <w:tcPr>
            <w:tcW w:w="1440" w:type="dxa"/>
            <w:noWrap/>
            <w:hideMark/>
          </w:tcPr>
          <w:p w:rsidR="00B07221" w:rsidRPr="00B07221" w:rsidRDefault="00B07221" w:rsidP="00E018E8">
            <w:pPr>
              <w:rPr>
                <w:sz w:val="22"/>
                <w:szCs w:val="22"/>
              </w:rPr>
            </w:pPr>
            <w:r w:rsidRPr="00B07221">
              <w:rPr>
                <w:sz w:val="22"/>
                <w:szCs w:val="22"/>
              </w:rPr>
              <w:t xml:space="preserve"> $     91,375 </w:t>
            </w:r>
          </w:p>
        </w:tc>
        <w:tc>
          <w:tcPr>
            <w:tcW w:w="1890" w:type="dxa"/>
            <w:tcBorders>
              <w:bottom w:val="single" w:sz="4" w:space="0" w:color="auto"/>
            </w:tcBorders>
            <w:noWrap/>
            <w:hideMark/>
          </w:tcPr>
          <w:p w:rsidR="00B07221" w:rsidRPr="00B07221" w:rsidRDefault="00B07221" w:rsidP="00E018E8">
            <w:pPr>
              <w:rPr>
                <w:sz w:val="22"/>
                <w:szCs w:val="22"/>
              </w:rPr>
            </w:pPr>
            <w:r w:rsidRPr="00B07221">
              <w:rPr>
                <w:sz w:val="22"/>
                <w:szCs w:val="22"/>
              </w:rPr>
              <w:t xml:space="preserve"> $            (52,317)</w:t>
            </w:r>
          </w:p>
        </w:tc>
        <w:tc>
          <w:tcPr>
            <w:tcW w:w="1980" w:type="dxa"/>
            <w:tcBorders>
              <w:bottom w:val="single" w:sz="4" w:space="0" w:color="auto"/>
            </w:tcBorders>
            <w:noWrap/>
            <w:hideMark/>
          </w:tcPr>
          <w:p w:rsidR="00B07221" w:rsidRPr="00B07221" w:rsidRDefault="00B07221" w:rsidP="00E018E8">
            <w:pPr>
              <w:rPr>
                <w:sz w:val="22"/>
                <w:szCs w:val="22"/>
              </w:rPr>
            </w:pPr>
            <w:r w:rsidRPr="00B07221">
              <w:rPr>
                <w:sz w:val="22"/>
                <w:szCs w:val="22"/>
              </w:rPr>
              <w:t xml:space="preserve"> $                 39,058 </w:t>
            </w:r>
          </w:p>
        </w:tc>
      </w:tr>
      <w:tr w:rsidR="00B07221" w:rsidRPr="00B07221" w:rsidTr="00765A8B">
        <w:trPr>
          <w:trHeight w:val="288"/>
        </w:trPr>
        <w:tc>
          <w:tcPr>
            <w:tcW w:w="4068" w:type="dxa"/>
            <w:noWrap/>
            <w:hideMark/>
          </w:tcPr>
          <w:p w:rsidR="00B07221" w:rsidRPr="00B07221" w:rsidRDefault="00B07221" w:rsidP="00E018E8">
            <w:pPr>
              <w:rPr>
                <w:sz w:val="22"/>
                <w:szCs w:val="22"/>
              </w:rPr>
            </w:pPr>
            <w:r w:rsidRPr="00B07221">
              <w:rPr>
                <w:sz w:val="22"/>
                <w:szCs w:val="22"/>
              </w:rPr>
              <w:t>Other - Penalties, NSF</w:t>
            </w:r>
          </w:p>
        </w:tc>
        <w:tc>
          <w:tcPr>
            <w:tcW w:w="1440" w:type="dxa"/>
            <w:noWrap/>
            <w:hideMark/>
          </w:tcPr>
          <w:p w:rsidR="00B07221" w:rsidRPr="00B07221" w:rsidRDefault="00B07221" w:rsidP="00432726">
            <w:pPr>
              <w:rPr>
                <w:sz w:val="22"/>
                <w:szCs w:val="22"/>
              </w:rPr>
            </w:pPr>
            <w:r w:rsidRPr="00B07221">
              <w:rPr>
                <w:sz w:val="22"/>
                <w:szCs w:val="22"/>
              </w:rPr>
              <w:t xml:space="preserve"> $       </w:t>
            </w:r>
            <w:r w:rsidR="00432726">
              <w:rPr>
                <w:sz w:val="22"/>
                <w:szCs w:val="22"/>
              </w:rPr>
              <w:t xml:space="preserve"> </w:t>
            </w:r>
            <w:r w:rsidRPr="00B07221">
              <w:rPr>
                <w:sz w:val="22"/>
                <w:szCs w:val="22"/>
              </w:rPr>
              <w:t xml:space="preserve">  113 </w:t>
            </w:r>
          </w:p>
        </w:tc>
        <w:tc>
          <w:tcPr>
            <w:tcW w:w="1890" w:type="dxa"/>
            <w:tcBorders>
              <w:right w:val="single" w:sz="4" w:space="0" w:color="auto"/>
            </w:tcBorders>
            <w:noWrap/>
            <w:hideMark/>
          </w:tcPr>
          <w:p w:rsidR="00B07221" w:rsidRPr="00B07221" w:rsidRDefault="00B07221" w:rsidP="00E018E8">
            <w:pPr>
              <w:rPr>
                <w:sz w:val="22"/>
                <w:szCs w:val="22"/>
              </w:rPr>
            </w:pPr>
          </w:p>
        </w:tc>
        <w:tc>
          <w:tcPr>
            <w:tcW w:w="1980" w:type="dxa"/>
            <w:tcBorders>
              <w:top w:val="nil"/>
              <w:left w:val="single" w:sz="4" w:space="0" w:color="auto"/>
              <w:bottom w:val="single" w:sz="4" w:space="0" w:color="auto"/>
              <w:right w:val="single" w:sz="4" w:space="0" w:color="auto"/>
            </w:tcBorders>
            <w:noWrap/>
            <w:hideMark/>
          </w:tcPr>
          <w:p w:rsidR="00B07221" w:rsidRPr="00B07221" w:rsidRDefault="00B07221" w:rsidP="00432726">
            <w:pPr>
              <w:rPr>
                <w:sz w:val="22"/>
                <w:szCs w:val="22"/>
              </w:rPr>
            </w:pPr>
            <w:r w:rsidRPr="00B07221">
              <w:rPr>
                <w:sz w:val="22"/>
                <w:szCs w:val="22"/>
              </w:rPr>
              <w:t xml:space="preserve"> $                      113 </w:t>
            </w:r>
          </w:p>
        </w:tc>
      </w:tr>
      <w:tr w:rsidR="00432726" w:rsidRPr="00B07221" w:rsidTr="00765A8B">
        <w:trPr>
          <w:trHeight w:val="288"/>
        </w:trPr>
        <w:tc>
          <w:tcPr>
            <w:tcW w:w="4068" w:type="dxa"/>
            <w:noWrap/>
            <w:hideMark/>
          </w:tcPr>
          <w:p w:rsidR="00432726" w:rsidRPr="00B07221" w:rsidRDefault="00432726" w:rsidP="00E018E8">
            <w:pPr>
              <w:rPr>
                <w:sz w:val="22"/>
                <w:szCs w:val="22"/>
              </w:rPr>
            </w:pPr>
          </w:p>
        </w:tc>
        <w:tc>
          <w:tcPr>
            <w:tcW w:w="1440" w:type="dxa"/>
            <w:vMerge w:val="restart"/>
            <w:noWrap/>
          </w:tcPr>
          <w:p w:rsidR="00432726" w:rsidRDefault="00432726" w:rsidP="00E018E8">
            <w:pPr>
              <w:rPr>
                <w:sz w:val="22"/>
                <w:szCs w:val="22"/>
              </w:rPr>
            </w:pPr>
            <w:r w:rsidRPr="00B07221">
              <w:rPr>
                <w:sz w:val="22"/>
                <w:szCs w:val="22"/>
              </w:rPr>
              <w:t xml:space="preserve"> </w:t>
            </w:r>
          </w:p>
          <w:p w:rsidR="00432726" w:rsidRPr="00B07221" w:rsidRDefault="00432726" w:rsidP="00E018E8">
            <w:pPr>
              <w:rPr>
                <w:sz w:val="22"/>
                <w:szCs w:val="22"/>
              </w:rPr>
            </w:pPr>
            <w:r w:rsidRPr="00B07221">
              <w:rPr>
                <w:sz w:val="22"/>
                <w:szCs w:val="22"/>
              </w:rPr>
              <w:t xml:space="preserve">$   </w:t>
            </w:r>
            <w:r w:rsidR="00795DBB">
              <w:rPr>
                <w:sz w:val="22"/>
                <w:szCs w:val="22"/>
              </w:rPr>
              <w:t xml:space="preserve"> </w:t>
            </w:r>
            <w:r w:rsidRPr="00B07221">
              <w:rPr>
                <w:sz w:val="22"/>
                <w:szCs w:val="22"/>
              </w:rPr>
              <w:t xml:space="preserve">  91,488 </w:t>
            </w:r>
          </w:p>
        </w:tc>
        <w:tc>
          <w:tcPr>
            <w:tcW w:w="1890" w:type="dxa"/>
            <w:vMerge w:val="restart"/>
            <w:noWrap/>
          </w:tcPr>
          <w:p w:rsidR="00432726" w:rsidRDefault="00432726" w:rsidP="00E018E8">
            <w:pPr>
              <w:rPr>
                <w:sz w:val="22"/>
                <w:szCs w:val="22"/>
              </w:rPr>
            </w:pPr>
          </w:p>
          <w:p w:rsidR="00432726" w:rsidRPr="00B07221" w:rsidRDefault="00432726" w:rsidP="00E018E8">
            <w:pPr>
              <w:rPr>
                <w:sz w:val="22"/>
                <w:szCs w:val="22"/>
              </w:rPr>
            </w:pPr>
            <w:r w:rsidRPr="00B07221">
              <w:rPr>
                <w:sz w:val="22"/>
                <w:szCs w:val="22"/>
              </w:rPr>
              <w:t xml:space="preserve"> $            (52,317)</w:t>
            </w:r>
          </w:p>
        </w:tc>
        <w:tc>
          <w:tcPr>
            <w:tcW w:w="1980" w:type="dxa"/>
            <w:vMerge w:val="restart"/>
            <w:tcBorders>
              <w:top w:val="single" w:sz="4" w:space="0" w:color="auto"/>
            </w:tcBorders>
            <w:noWrap/>
          </w:tcPr>
          <w:p w:rsidR="00432726" w:rsidRDefault="00432726" w:rsidP="00E018E8">
            <w:pPr>
              <w:rPr>
                <w:sz w:val="22"/>
                <w:szCs w:val="22"/>
              </w:rPr>
            </w:pPr>
            <w:r w:rsidRPr="00B07221">
              <w:rPr>
                <w:sz w:val="22"/>
                <w:szCs w:val="22"/>
              </w:rPr>
              <w:t xml:space="preserve"> </w:t>
            </w:r>
          </w:p>
          <w:p w:rsidR="00432726" w:rsidRPr="00B07221" w:rsidRDefault="00432726" w:rsidP="00E018E8">
            <w:pPr>
              <w:rPr>
                <w:sz w:val="22"/>
                <w:szCs w:val="22"/>
              </w:rPr>
            </w:pPr>
            <w:r w:rsidRPr="00B07221">
              <w:rPr>
                <w:sz w:val="22"/>
                <w:szCs w:val="22"/>
              </w:rPr>
              <w:t xml:space="preserve">$                 </w:t>
            </w:r>
            <w:r w:rsidR="00795DBB">
              <w:rPr>
                <w:sz w:val="22"/>
                <w:szCs w:val="22"/>
              </w:rPr>
              <w:t xml:space="preserve"> </w:t>
            </w:r>
            <w:r w:rsidRPr="00B07221">
              <w:rPr>
                <w:sz w:val="22"/>
                <w:szCs w:val="22"/>
              </w:rPr>
              <w:t xml:space="preserve">39,171 </w:t>
            </w:r>
          </w:p>
        </w:tc>
      </w:tr>
      <w:tr w:rsidR="00432726" w:rsidRPr="00B07221" w:rsidTr="00765A8B">
        <w:trPr>
          <w:trHeight w:val="288"/>
        </w:trPr>
        <w:tc>
          <w:tcPr>
            <w:tcW w:w="4068" w:type="dxa"/>
            <w:tcBorders>
              <w:bottom w:val="single" w:sz="4" w:space="0" w:color="auto"/>
            </w:tcBorders>
            <w:noWrap/>
            <w:hideMark/>
          </w:tcPr>
          <w:p w:rsidR="00432726" w:rsidRPr="00B07221" w:rsidRDefault="00432726" w:rsidP="00E018E8">
            <w:pPr>
              <w:rPr>
                <w:sz w:val="22"/>
                <w:szCs w:val="22"/>
              </w:rPr>
            </w:pPr>
            <w:r w:rsidRPr="00B07221">
              <w:rPr>
                <w:sz w:val="22"/>
                <w:szCs w:val="22"/>
              </w:rPr>
              <w:t xml:space="preserve">Total Operating Revenues </w:t>
            </w:r>
          </w:p>
        </w:tc>
        <w:tc>
          <w:tcPr>
            <w:tcW w:w="1440" w:type="dxa"/>
            <w:vMerge/>
            <w:tcBorders>
              <w:bottom w:val="single" w:sz="4" w:space="0" w:color="auto"/>
            </w:tcBorders>
            <w:noWrap/>
            <w:hideMark/>
          </w:tcPr>
          <w:p w:rsidR="00432726" w:rsidRPr="00B07221" w:rsidRDefault="00432726" w:rsidP="00E018E8">
            <w:pPr>
              <w:rPr>
                <w:sz w:val="22"/>
                <w:szCs w:val="22"/>
              </w:rPr>
            </w:pPr>
          </w:p>
        </w:tc>
        <w:tc>
          <w:tcPr>
            <w:tcW w:w="1890" w:type="dxa"/>
            <w:vMerge/>
            <w:tcBorders>
              <w:bottom w:val="single" w:sz="4" w:space="0" w:color="auto"/>
            </w:tcBorders>
            <w:noWrap/>
            <w:hideMark/>
          </w:tcPr>
          <w:p w:rsidR="00432726" w:rsidRPr="00B07221" w:rsidRDefault="00432726" w:rsidP="00E018E8">
            <w:pPr>
              <w:rPr>
                <w:sz w:val="22"/>
                <w:szCs w:val="22"/>
              </w:rPr>
            </w:pPr>
          </w:p>
        </w:tc>
        <w:tc>
          <w:tcPr>
            <w:tcW w:w="1980" w:type="dxa"/>
            <w:vMerge/>
            <w:tcBorders>
              <w:bottom w:val="single" w:sz="4" w:space="0" w:color="auto"/>
            </w:tcBorders>
            <w:noWrap/>
            <w:hideMark/>
          </w:tcPr>
          <w:p w:rsidR="00432726" w:rsidRPr="00B07221" w:rsidRDefault="00432726" w:rsidP="00E018E8">
            <w:pPr>
              <w:rPr>
                <w:sz w:val="22"/>
                <w:szCs w:val="22"/>
              </w:rPr>
            </w:pPr>
          </w:p>
        </w:tc>
      </w:tr>
      <w:tr w:rsidR="00B07221" w:rsidRPr="00B07221" w:rsidTr="005D203B">
        <w:trPr>
          <w:trHeight w:val="288"/>
        </w:trPr>
        <w:tc>
          <w:tcPr>
            <w:tcW w:w="4068" w:type="dxa"/>
            <w:tcBorders>
              <w:top w:val="single" w:sz="4" w:space="0" w:color="auto"/>
              <w:bottom w:val="single" w:sz="4" w:space="0" w:color="auto"/>
              <w:right w:val="single" w:sz="4" w:space="0" w:color="auto"/>
            </w:tcBorders>
            <w:noWrap/>
            <w:hideMark/>
          </w:tcPr>
          <w:p w:rsidR="00B07221" w:rsidRPr="00B07221" w:rsidRDefault="00B07221" w:rsidP="00E018E8">
            <w:pPr>
              <w:rPr>
                <w:sz w:val="22"/>
                <w:szCs w:val="22"/>
              </w:rPr>
            </w:pPr>
          </w:p>
        </w:tc>
        <w:tc>
          <w:tcPr>
            <w:tcW w:w="1440" w:type="dxa"/>
            <w:tcBorders>
              <w:top w:val="single" w:sz="4" w:space="0" w:color="auto"/>
              <w:left w:val="single" w:sz="4" w:space="0" w:color="auto"/>
              <w:bottom w:val="single" w:sz="4" w:space="0" w:color="auto"/>
              <w:right w:val="single" w:sz="4" w:space="0" w:color="auto"/>
            </w:tcBorders>
            <w:noWrap/>
            <w:hideMark/>
          </w:tcPr>
          <w:p w:rsidR="00B07221" w:rsidRPr="00B07221" w:rsidRDefault="00B07221" w:rsidP="00E018E8">
            <w:pPr>
              <w:rPr>
                <w:sz w:val="22"/>
                <w:szCs w:val="22"/>
              </w:rPr>
            </w:pPr>
            <w:r w:rsidRPr="00B07221">
              <w:rPr>
                <w:sz w:val="22"/>
                <w:szCs w:val="22"/>
              </w:rPr>
              <w:t> </w:t>
            </w:r>
          </w:p>
        </w:tc>
        <w:tc>
          <w:tcPr>
            <w:tcW w:w="1890" w:type="dxa"/>
            <w:tcBorders>
              <w:top w:val="nil"/>
              <w:left w:val="single" w:sz="4" w:space="0" w:color="auto"/>
            </w:tcBorders>
            <w:noWrap/>
            <w:hideMark/>
          </w:tcPr>
          <w:p w:rsidR="00B07221" w:rsidRPr="00B07221" w:rsidRDefault="00B07221" w:rsidP="00E018E8">
            <w:pPr>
              <w:rPr>
                <w:sz w:val="22"/>
                <w:szCs w:val="22"/>
              </w:rPr>
            </w:pPr>
          </w:p>
        </w:tc>
        <w:tc>
          <w:tcPr>
            <w:tcW w:w="1980" w:type="dxa"/>
            <w:tcBorders>
              <w:top w:val="single" w:sz="4" w:space="0" w:color="auto"/>
            </w:tcBorders>
            <w:noWrap/>
            <w:hideMark/>
          </w:tcPr>
          <w:p w:rsidR="00B07221" w:rsidRPr="00B07221" w:rsidRDefault="00B07221" w:rsidP="00E018E8">
            <w:pPr>
              <w:rPr>
                <w:sz w:val="22"/>
                <w:szCs w:val="22"/>
              </w:rPr>
            </w:pPr>
          </w:p>
        </w:tc>
      </w:tr>
      <w:tr w:rsidR="00B07221" w:rsidRPr="00B07221" w:rsidTr="00765A8B">
        <w:trPr>
          <w:trHeight w:val="288"/>
        </w:trPr>
        <w:tc>
          <w:tcPr>
            <w:tcW w:w="4068" w:type="dxa"/>
            <w:tcBorders>
              <w:top w:val="single" w:sz="4" w:space="0" w:color="auto"/>
            </w:tcBorders>
            <w:noWrap/>
            <w:hideMark/>
          </w:tcPr>
          <w:p w:rsidR="00B07221" w:rsidRPr="00B07221" w:rsidRDefault="00B07221" w:rsidP="00E018E8">
            <w:pPr>
              <w:rPr>
                <w:b/>
                <w:bCs/>
                <w:sz w:val="22"/>
                <w:szCs w:val="22"/>
                <w:u w:val="single"/>
              </w:rPr>
            </w:pPr>
            <w:r w:rsidRPr="00B07221">
              <w:rPr>
                <w:b/>
                <w:bCs/>
                <w:sz w:val="22"/>
                <w:szCs w:val="22"/>
                <w:u w:val="single"/>
              </w:rPr>
              <w:t>Expenses:</w:t>
            </w:r>
          </w:p>
        </w:tc>
        <w:tc>
          <w:tcPr>
            <w:tcW w:w="1440" w:type="dxa"/>
            <w:tcBorders>
              <w:top w:val="single" w:sz="4" w:space="0" w:color="auto"/>
            </w:tcBorders>
            <w:noWrap/>
            <w:hideMark/>
          </w:tcPr>
          <w:p w:rsidR="00B07221" w:rsidRPr="00B07221" w:rsidRDefault="00B07221" w:rsidP="00E018E8">
            <w:pPr>
              <w:rPr>
                <w:sz w:val="22"/>
                <w:szCs w:val="22"/>
              </w:rPr>
            </w:pPr>
            <w:r w:rsidRPr="00B07221">
              <w:rPr>
                <w:sz w:val="22"/>
                <w:szCs w:val="22"/>
              </w:rPr>
              <w:t> </w:t>
            </w:r>
          </w:p>
        </w:tc>
        <w:tc>
          <w:tcPr>
            <w:tcW w:w="1890" w:type="dxa"/>
            <w:noWrap/>
            <w:hideMark/>
          </w:tcPr>
          <w:p w:rsidR="00B07221" w:rsidRPr="00B07221" w:rsidRDefault="00B07221" w:rsidP="00E018E8">
            <w:pPr>
              <w:rPr>
                <w:sz w:val="22"/>
                <w:szCs w:val="22"/>
              </w:rPr>
            </w:pPr>
          </w:p>
        </w:tc>
        <w:tc>
          <w:tcPr>
            <w:tcW w:w="1980" w:type="dxa"/>
            <w:noWrap/>
            <w:hideMark/>
          </w:tcPr>
          <w:p w:rsidR="00B07221" w:rsidRPr="00B07221" w:rsidRDefault="00B07221" w:rsidP="00E018E8">
            <w:pPr>
              <w:rPr>
                <w:sz w:val="22"/>
                <w:szCs w:val="22"/>
              </w:rPr>
            </w:pP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Officers, Directors Salaries</w:t>
            </w:r>
          </w:p>
        </w:tc>
        <w:tc>
          <w:tcPr>
            <w:tcW w:w="1440" w:type="dxa"/>
            <w:noWrap/>
            <w:hideMark/>
          </w:tcPr>
          <w:p w:rsidR="00B07221" w:rsidRPr="00B07221" w:rsidRDefault="00B07221" w:rsidP="00795DBB">
            <w:pPr>
              <w:rPr>
                <w:sz w:val="22"/>
                <w:szCs w:val="22"/>
              </w:rPr>
            </w:pPr>
            <w:r w:rsidRPr="00B07221">
              <w:rPr>
                <w:sz w:val="22"/>
                <w:szCs w:val="22"/>
              </w:rPr>
              <w:t xml:space="preserve"> $     14,400 </w:t>
            </w:r>
          </w:p>
        </w:tc>
        <w:tc>
          <w:tcPr>
            <w:tcW w:w="1890" w:type="dxa"/>
            <w:noWrap/>
            <w:hideMark/>
          </w:tcPr>
          <w:p w:rsidR="00B07221" w:rsidRPr="00B07221" w:rsidRDefault="00B07221" w:rsidP="00E018E8">
            <w:pPr>
              <w:rPr>
                <w:sz w:val="22"/>
                <w:szCs w:val="22"/>
              </w:rPr>
            </w:pPr>
            <w:r w:rsidRPr="00B07221">
              <w:rPr>
                <w:sz w:val="22"/>
                <w:szCs w:val="22"/>
              </w:rPr>
              <w:t xml:space="preserve"> $              (8,015)</w:t>
            </w:r>
          </w:p>
        </w:tc>
        <w:tc>
          <w:tcPr>
            <w:tcW w:w="1980" w:type="dxa"/>
            <w:noWrap/>
            <w:hideMark/>
          </w:tcPr>
          <w:p w:rsidR="00B07221" w:rsidRPr="00B07221" w:rsidRDefault="00B07221" w:rsidP="00795DBB">
            <w:pPr>
              <w:rPr>
                <w:sz w:val="22"/>
                <w:szCs w:val="22"/>
              </w:rPr>
            </w:pPr>
            <w:r w:rsidRPr="00B07221">
              <w:rPr>
                <w:sz w:val="22"/>
                <w:szCs w:val="22"/>
              </w:rPr>
              <w:t xml:space="preserve"> $                   6,385 </w:t>
            </w: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Purchased Power</w:t>
            </w:r>
          </w:p>
        </w:tc>
        <w:tc>
          <w:tcPr>
            <w:tcW w:w="1440" w:type="dxa"/>
            <w:noWrap/>
            <w:hideMark/>
          </w:tcPr>
          <w:p w:rsidR="00B07221" w:rsidRPr="00B07221" w:rsidRDefault="00B07221" w:rsidP="00795DBB">
            <w:pPr>
              <w:rPr>
                <w:sz w:val="22"/>
                <w:szCs w:val="22"/>
              </w:rPr>
            </w:pPr>
            <w:r w:rsidRPr="00B07221">
              <w:rPr>
                <w:sz w:val="22"/>
                <w:szCs w:val="22"/>
              </w:rPr>
              <w:t xml:space="preserve"> $       2,178 </w:t>
            </w:r>
          </w:p>
        </w:tc>
        <w:tc>
          <w:tcPr>
            <w:tcW w:w="1890" w:type="dxa"/>
            <w:noWrap/>
            <w:hideMark/>
          </w:tcPr>
          <w:p w:rsidR="00B07221" w:rsidRPr="00B07221" w:rsidRDefault="00B07221" w:rsidP="00E018E8">
            <w:pPr>
              <w:rPr>
                <w:sz w:val="22"/>
                <w:szCs w:val="22"/>
              </w:rPr>
            </w:pPr>
          </w:p>
        </w:tc>
        <w:tc>
          <w:tcPr>
            <w:tcW w:w="1980" w:type="dxa"/>
            <w:noWrap/>
            <w:hideMark/>
          </w:tcPr>
          <w:p w:rsidR="00B07221" w:rsidRPr="00B07221" w:rsidRDefault="00B07221" w:rsidP="00795DBB">
            <w:pPr>
              <w:rPr>
                <w:sz w:val="22"/>
                <w:szCs w:val="22"/>
              </w:rPr>
            </w:pPr>
            <w:r w:rsidRPr="00B07221">
              <w:rPr>
                <w:sz w:val="22"/>
                <w:szCs w:val="22"/>
              </w:rPr>
              <w:t xml:space="preserve"> $                   2,178 </w:t>
            </w: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Accounting &amp; Tax Return Preparation</w:t>
            </w:r>
          </w:p>
        </w:tc>
        <w:tc>
          <w:tcPr>
            <w:tcW w:w="1440" w:type="dxa"/>
            <w:noWrap/>
            <w:hideMark/>
          </w:tcPr>
          <w:p w:rsidR="00B07221" w:rsidRPr="00B07221" w:rsidRDefault="00B07221" w:rsidP="00795DBB">
            <w:pPr>
              <w:rPr>
                <w:sz w:val="22"/>
                <w:szCs w:val="22"/>
              </w:rPr>
            </w:pPr>
            <w:r w:rsidRPr="00B07221">
              <w:rPr>
                <w:sz w:val="22"/>
                <w:szCs w:val="22"/>
              </w:rPr>
              <w:t xml:space="preserve"> $       2,000 </w:t>
            </w:r>
          </w:p>
        </w:tc>
        <w:tc>
          <w:tcPr>
            <w:tcW w:w="1890" w:type="dxa"/>
            <w:noWrap/>
            <w:hideMark/>
          </w:tcPr>
          <w:p w:rsidR="00B07221" w:rsidRPr="00B07221" w:rsidRDefault="00B07221" w:rsidP="00E018E8">
            <w:pPr>
              <w:rPr>
                <w:sz w:val="22"/>
                <w:szCs w:val="22"/>
              </w:rPr>
            </w:pPr>
          </w:p>
        </w:tc>
        <w:tc>
          <w:tcPr>
            <w:tcW w:w="1980" w:type="dxa"/>
            <w:noWrap/>
            <w:hideMark/>
          </w:tcPr>
          <w:p w:rsidR="00B07221" w:rsidRPr="00B07221" w:rsidRDefault="00B07221" w:rsidP="00795DBB">
            <w:pPr>
              <w:rPr>
                <w:sz w:val="22"/>
                <w:szCs w:val="22"/>
              </w:rPr>
            </w:pPr>
            <w:r w:rsidRPr="00B07221">
              <w:rPr>
                <w:sz w:val="22"/>
                <w:szCs w:val="22"/>
              </w:rPr>
              <w:t xml:space="preserve"> $                   2,000 </w:t>
            </w: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Legal - General Regulatory Non-Rate Case</w:t>
            </w:r>
          </w:p>
        </w:tc>
        <w:tc>
          <w:tcPr>
            <w:tcW w:w="1440" w:type="dxa"/>
            <w:noWrap/>
            <w:hideMark/>
          </w:tcPr>
          <w:p w:rsidR="00B07221" w:rsidRPr="00B07221" w:rsidRDefault="00B07221" w:rsidP="00795DBB">
            <w:pPr>
              <w:rPr>
                <w:sz w:val="22"/>
                <w:szCs w:val="22"/>
              </w:rPr>
            </w:pPr>
            <w:r w:rsidRPr="00B07221">
              <w:rPr>
                <w:sz w:val="22"/>
                <w:szCs w:val="22"/>
              </w:rPr>
              <w:t xml:space="preserve"> $       1,569 </w:t>
            </w:r>
          </w:p>
        </w:tc>
        <w:tc>
          <w:tcPr>
            <w:tcW w:w="1890" w:type="dxa"/>
            <w:noWrap/>
            <w:hideMark/>
          </w:tcPr>
          <w:p w:rsidR="00B07221" w:rsidRPr="00B07221" w:rsidRDefault="00B07221" w:rsidP="00E018E8">
            <w:pPr>
              <w:rPr>
                <w:sz w:val="22"/>
                <w:szCs w:val="22"/>
              </w:rPr>
            </w:pPr>
            <w:r w:rsidRPr="00B07221">
              <w:rPr>
                <w:sz w:val="22"/>
                <w:szCs w:val="22"/>
              </w:rPr>
              <w:t xml:space="preserve"> $              (1,569)</w:t>
            </w:r>
          </w:p>
        </w:tc>
        <w:tc>
          <w:tcPr>
            <w:tcW w:w="1980" w:type="dxa"/>
            <w:noWrap/>
            <w:hideMark/>
          </w:tcPr>
          <w:p w:rsidR="00B07221" w:rsidRPr="00B07221" w:rsidRDefault="00B07221" w:rsidP="00E018E8">
            <w:pPr>
              <w:rPr>
                <w:sz w:val="22"/>
                <w:szCs w:val="22"/>
              </w:rPr>
            </w:pPr>
            <w:r w:rsidRPr="00B07221">
              <w:rPr>
                <w:sz w:val="22"/>
                <w:szCs w:val="22"/>
              </w:rPr>
              <w:t xml:space="preserve"> $                            - </w:t>
            </w: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Rate Case Expense</w:t>
            </w:r>
          </w:p>
        </w:tc>
        <w:tc>
          <w:tcPr>
            <w:tcW w:w="1440" w:type="dxa"/>
            <w:noWrap/>
            <w:hideMark/>
          </w:tcPr>
          <w:p w:rsidR="00B07221" w:rsidRPr="00B07221" w:rsidRDefault="00B07221" w:rsidP="00795DBB">
            <w:pPr>
              <w:rPr>
                <w:sz w:val="22"/>
                <w:szCs w:val="22"/>
              </w:rPr>
            </w:pPr>
            <w:r w:rsidRPr="00B07221">
              <w:rPr>
                <w:sz w:val="22"/>
                <w:szCs w:val="22"/>
              </w:rPr>
              <w:t xml:space="preserve"> $       7,866 </w:t>
            </w:r>
          </w:p>
        </w:tc>
        <w:tc>
          <w:tcPr>
            <w:tcW w:w="1890" w:type="dxa"/>
            <w:noWrap/>
            <w:hideMark/>
          </w:tcPr>
          <w:p w:rsidR="00B07221" w:rsidRPr="00B07221" w:rsidRDefault="00B07221" w:rsidP="00E018E8">
            <w:pPr>
              <w:rPr>
                <w:sz w:val="22"/>
                <w:szCs w:val="22"/>
              </w:rPr>
            </w:pPr>
            <w:r w:rsidRPr="00B07221">
              <w:rPr>
                <w:sz w:val="22"/>
                <w:szCs w:val="22"/>
              </w:rPr>
              <w:t xml:space="preserve"> $              (3,933)</w:t>
            </w:r>
          </w:p>
        </w:tc>
        <w:tc>
          <w:tcPr>
            <w:tcW w:w="1980" w:type="dxa"/>
            <w:noWrap/>
            <w:hideMark/>
          </w:tcPr>
          <w:p w:rsidR="00B07221" w:rsidRPr="00B07221" w:rsidRDefault="00B07221" w:rsidP="00795DBB">
            <w:pPr>
              <w:rPr>
                <w:sz w:val="22"/>
                <w:szCs w:val="22"/>
              </w:rPr>
            </w:pPr>
            <w:r w:rsidRPr="00B07221">
              <w:rPr>
                <w:sz w:val="22"/>
                <w:szCs w:val="22"/>
              </w:rPr>
              <w:t xml:space="preserve"> $                   3,933 </w:t>
            </w: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Operations Management</w:t>
            </w:r>
          </w:p>
        </w:tc>
        <w:tc>
          <w:tcPr>
            <w:tcW w:w="1440" w:type="dxa"/>
            <w:noWrap/>
            <w:hideMark/>
          </w:tcPr>
          <w:p w:rsidR="00B07221" w:rsidRPr="00B07221" w:rsidRDefault="00B07221" w:rsidP="00795DBB">
            <w:pPr>
              <w:rPr>
                <w:sz w:val="22"/>
                <w:szCs w:val="22"/>
              </w:rPr>
            </w:pPr>
            <w:r w:rsidRPr="00B07221">
              <w:rPr>
                <w:sz w:val="22"/>
                <w:szCs w:val="22"/>
              </w:rPr>
              <w:t xml:space="preserve"> $       9,600 </w:t>
            </w:r>
          </w:p>
        </w:tc>
        <w:tc>
          <w:tcPr>
            <w:tcW w:w="1890" w:type="dxa"/>
            <w:noWrap/>
            <w:hideMark/>
          </w:tcPr>
          <w:p w:rsidR="00B07221" w:rsidRPr="00B07221" w:rsidRDefault="00B07221" w:rsidP="00E018E8">
            <w:pPr>
              <w:rPr>
                <w:sz w:val="22"/>
                <w:szCs w:val="22"/>
              </w:rPr>
            </w:pPr>
            <w:r w:rsidRPr="00B07221">
              <w:rPr>
                <w:sz w:val="22"/>
                <w:szCs w:val="22"/>
              </w:rPr>
              <w:t xml:space="preserve"> $              (5,930)</w:t>
            </w:r>
          </w:p>
        </w:tc>
        <w:tc>
          <w:tcPr>
            <w:tcW w:w="1980" w:type="dxa"/>
            <w:noWrap/>
            <w:hideMark/>
          </w:tcPr>
          <w:p w:rsidR="00B07221" w:rsidRPr="00B07221" w:rsidRDefault="00B07221" w:rsidP="00795DBB">
            <w:pPr>
              <w:rPr>
                <w:sz w:val="22"/>
                <w:szCs w:val="22"/>
              </w:rPr>
            </w:pPr>
            <w:r w:rsidRPr="00B07221">
              <w:rPr>
                <w:sz w:val="22"/>
                <w:szCs w:val="22"/>
              </w:rPr>
              <w:t xml:space="preserve"> $                   3,670 </w:t>
            </w: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Contracted Administrative Services</w:t>
            </w:r>
          </w:p>
        </w:tc>
        <w:tc>
          <w:tcPr>
            <w:tcW w:w="1440" w:type="dxa"/>
            <w:noWrap/>
            <w:hideMark/>
          </w:tcPr>
          <w:p w:rsidR="00B07221" w:rsidRPr="00B07221" w:rsidRDefault="00B07221" w:rsidP="00795DBB">
            <w:pPr>
              <w:rPr>
                <w:sz w:val="22"/>
                <w:szCs w:val="22"/>
              </w:rPr>
            </w:pPr>
            <w:r w:rsidRPr="00B07221">
              <w:rPr>
                <w:sz w:val="22"/>
                <w:szCs w:val="22"/>
              </w:rPr>
              <w:t xml:space="preserve"> $     39,000 </w:t>
            </w:r>
          </w:p>
        </w:tc>
        <w:tc>
          <w:tcPr>
            <w:tcW w:w="1890" w:type="dxa"/>
            <w:noWrap/>
            <w:hideMark/>
          </w:tcPr>
          <w:p w:rsidR="00B07221" w:rsidRPr="00B07221" w:rsidRDefault="00B07221" w:rsidP="00E018E8">
            <w:pPr>
              <w:rPr>
                <w:sz w:val="22"/>
                <w:szCs w:val="22"/>
              </w:rPr>
            </w:pPr>
            <w:r w:rsidRPr="00B07221">
              <w:rPr>
                <w:sz w:val="22"/>
                <w:szCs w:val="22"/>
              </w:rPr>
              <w:t xml:space="preserve"> $            (36,151)</w:t>
            </w:r>
          </w:p>
        </w:tc>
        <w:tc>
          <w:tcPr>
            <w:tcW w:w="1980" w:type="dxa"/>
            <w:noWrap/>
            <w:hideMark/>
          </w:tcPr>
          <w:p w:rsidR="00B07221" w:rsidRPr="00B07221" w:rsidRDefault="00B07221" w:rsidP="00795DBB">
            <w:pPr>
              <w:rPr>
                <w:sz w:val="22"/>
                <w:szCs w:val="22"/>
              </w:rPr>
            </w:pPr>
            <w:r w:rsidRPr="00B07221">
              <w:rPr>
                <w:sz w:val="22"/>
                <w:szCs w:val="22"/>
              </w:rPr>
              <w:t xml:space="preserve"> $                   2,849 </w:t>
            </w: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Grounds Maintenance</w:t>
            </w:r>
          </w:p>
        </w:tc>
        <w:tc>
          <w:tcPr>
            <w:tcW w:w="1440" w:type="dxa"/>
            <w:noWrap/>
            <w:hideMark/>
          </w:tcPr>
          <w:p w:rsidR="00B07221" w:rsidRPr="00B07221" w:rsidRDefault="00B07221" w:rsidP="00795DBB">
            <w:pPr>
              <w:rPr>
                <w:sz w:val="22"/>
                <w:szCs w:val="22"/>
              </w:rPr>
            </w:pPr>
            <w:r w:rsidRPr="00B07221">
              <w:rPr>
                <w:sz w:val="22"/>
                <w:szCs w:val="22"/>
              </w:rPr>
              <w:t xml:space="preserve"> $       1,000 </w:t>
            </w:r>
          </w:p>
        </w:tc>
        <w:tc>
          <w:tcPr>
            <w:tcW w:w="1890" w:type="dxa"/>
            <w:noWrap/>
            <w:hideMark/>
          </w:tcPr>
          <w:p w:rsidR="00B07221" w:rsidRPr="00B07221" w:rsidRDefault="00B07221" w:rsidP="00E018E8">
            <w:pPr>
              <w:rPr>
                <w:sz w:val="22"/>
                <w:szCs w:val="22"/>
              </w:rPr>
            </w:pPr>
          </w:p>
        </w:tc>
        <w:tc>
          <w:tcPr>
            <w:tcW w:w="1980" w:type="dxa"/>
            <w:noWrap/>
            <w:hideMark/>
          </w:tcPr>
          <w:p w:rsidR="00B07221" w:rsidRPr="00B07221" w:rsidRDefault="00B07221" w:rsidP="00795DBB">
            <w:pPr>
              <w:rPr>
                <w:sz w:val="22"/>
                <w:szCs w:val="22"/>
              </w:rPr>
            </w:pPr>
            <w:r w:rsidRPr="00B07221">
              <w:rPr>
                <w:sz w:val="22"/>
                <w:szCs w:val="22"/>
              </w:rPr>
              <w:t xml:space="preserve"> $                   1,000 </w:t>
            </w:r>
          </w:p>
        </w:tc>
      </w:tr>
      <w:tr w:rsidR="00B07221" w:rsidRPr="00B07221" w:rsidTr="00E018E8">
        <w:trPr>
          <w:trHeight w:val="288"/>
        </w:trPr>
        <w:tc>
          <w:tcPr>
            <w:tcW w:w="4068" w:type="dxa"/>
            <w:noWrap/>
            <w:hideMark/>
          </w:tcPr>
          <w:p w:rsidR="00B07221" w:rsidRPr="00B07221" w:rsidRDefault="00B07221" w:rsidP="00E018E8">
            <w:pPr>
              <w:rPr>
                <w:sz w:val="22"/>
                <w:szCs w:val="22"/>
              </w:rPr>
            </w:pPr>
          </w:p>
        </w:tc>
        <w:tc>
          <w:tcPr>
            <w:tcW w:w="1440" w:type="dxa"/>
            <w:noWrap/>
            <w:hideMark/>
          </w:tcPr>
          <w:p w:rsidR="00B07221" w:rsidRPr="00B07221" w:rsidRDefault="00B07221" w:rsidP="00E018E8">
            <w:pPr>
              <w:rPr>
                <w:sz w:val="22"/>
                <w:szCs w:val="22"/>
              </w:rPr>
            </w:pPr>
            <w:r w:rsidRPr="00B07221">
              <w:rPr>
                <w:sz w:val="22"/>
                <w:szCs w:val="22"/>
              </w:rPr>
              <w:t> </w:t>
            </w:r>
          </w:p>
        </w:tc>
        <w:tc>
          <w:tcPr>
            <w:tcW w:w="1890" w:type="dxa"/>
            <w:noWrap/>
            <w:hideMark/>
          </w:tcPr>
          <w:p w:rsidR="00B07221" w:rsidRPr="00B07221" w:rsidRDefault="00B07221" w:rsidP="00E018E8">
            <w:pPr>
              <w:rPr>
                <w:sz w:val="22"/>
                <w:szCs w:val="22"/>
              </w:rPr>
            </w:pPr>
          </w:p>
        </w:tc>
        <w:tc>
          <w:tcPr>
            <w:tcW w:w="1980" w:type="dxa"/>
            <w:noWrap/>
            <w:hideMark/>
          </w:tcPr>
          <w:p w:rsidR="00B07221" w:rsidRPr="00B07221" w:rsidRDefault="00B07221" w:rsidP="00E018E8">
            <w:pPr>
              <w:rPr>
                <w:sz w:val="22"/>
                <w:szCs w:val="22"/>
              </w:rPr>
            </w:pPr>
            <w:r w:rsidRPr="00B07221">
              <w:rPr>
                <w:sz w:val="22"/>
                <w:szCs w:val="22"/>
              </w:rPr>
              <w:t xml:space="preserve"> </w:t>
            </w: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Maintenance &amp; Repairs</w:t>
            </w:r>
          </w:p>
        </w:tc>
        <w:tc>
          <w:tcPr>
            <w:tcW w:w="1440" w:type="dxa"/>
            <w:noWrap/>
            <w:hideMark/>
          </w:tcPr>
          <w:p w:rsidR="00B07221" w:rsidRPr="00B07221" w:rsidRDefault="00B07221" w:rsidP="00795DBB">
            <w:pPr>
              <w:rPr>
                <w:sz w:val="22"/>
                <w:szCs w:val="22"/>
              </w:rPr>
            </w:pPr>
            <w:r w:rsidRPr="00B07221">
              <w:rPr>
                <w:sz w:val="22"/>
                <w:szCs w:val="22"/>
              </w:rPr>
              <w:t xml:space="preserve"> $  </w:t>
            </w:r>
            <w:r w:rsidR="00432726">
              <w:rPr>
                <w:sz w:val="22"/>
                <w:szCs w:val="22"/>
              </w:rPr>
              <w:t xml:space="preserve"> </w:t>
            </w:r>
            <w:r w:rsidRPr="00B07221">
              <w:rPr>
                <w:sz w:val="22"/>
                <w:szCs w:val="22"/>
              </w:rPr>
              <w:t xml:space="preserve">  14,127 </w:t>
            </w:r>
          </w:p>
        </w:tc>
        <w:tc>
          <w:tcPr>
            <w:tcW w:w="1890" w:type="dxa"/>
            <w:noWrap/>
            <w:hideMark/>
          </w:tcPr>
          <w:p w:rsidR="00B07221" w:rsidRPr="00B07221" w:rsidRDefault="00B07221" w:rsidP="00E018E8">
            <w:pPr>
              <w:rPr>
                <w:sz w:val="22"/>
                <w:szCs w:val="22"/>
              </w:rPr>
            </w:pPr>
          </w:p>
        </w:tc>
        <w:tc>
          <w:tcPr>
            <w:tcW w:w="1980" w:type="dxa"/>
            <w:noWrap/>
            <w:hideMark/>
          </w:tcPr>
          <w:p w:rsidR="00B07221" w:rsidRPr="00B07221" w:rsidRDefault="00B07221" w:rsidP="00E018E8">
            <w:pPr>
              <w:rPr>
                <w:sz w:val="22"/>
                <w:szCs w:val="22"/>
              </w:rPr>
            </w:pPr>
            <w:r w:rsidRPr="00B07221">
              <w:rPr>
                <w:sz w:val="22"/>
                <w:szCs w:val="22"/>
              </w:rPr>
              <w:t xml:space="preserve"> $                 14,127 </w:t>
            </w: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Office Expenses:</w:t>
            </w:r>
          </w:p>
        </w:tc>
        <w:tc>
          <w:tcPr>
            <w:tcW w:w="1440" w:type="dxa"/>
            <w:noWrap/>
            <w:hideMark/>
          </w:tcPr>
          <w:p w:rsidR="00B07221" w:rsidRPr="00B07221" w:rsidRDefault="00B07221" w:rsidP="00E018E8">
            <w:pPr>
              <w:rPr>
                <w:sz w:val="22"/>
                <w:szCs w:val="22"/>
              </w:rPr>
            </w:pPr>
            <w:r w:rsidRPr="00B07221">
              <w:rPr>
                <w:sz w:val="22"/>
                <w:szCs w:val="22"/>
              </w:rPr>
              <w:t> </w:t>
            </w:r>
          </w:p>
        </w:tc>
        <w:tc>
          <w:tcPr>
            <w:tcW w:w="1890" w:type="dxa"/>
            <w:noWrap/>
            <w:hideMark/>
          </w:tcPr>
          <w:p w:rsidR="00B07221" w:rsidRPr="00B07221" w:rsidRDefault="00B07221" w:rsidP="00E018E8">
            <w:pPr>
              <w:rPr>
                <w:sz w:val="22"/>
                <w:szCs w:val="22"/>
              </w:rPr>
            </w:pPr>
          </w:p>
        </w:tc>
        <w:tc>
          <w:tcPr>
            <w:tcW w:w="1980" w:type="dxa"/>
            <w:noWrap/>
            <w:hideMark/>
          </w:tcPr>
          <w:p w:rsidR="00B07221" w:rsidRPr="00B07221" w:rsidRDefault="00B07221" w:rsidP="00E018E8">
            <w:pPr>
              <w:rPr>
                <w:sz w:val="22"/>
                <w:szCs w:val="22"/>
              </w:rPr>
            </w:pP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Bank Charges</w:t>
            </w:r>
          </w:p>
        </w:tc>
        <w:tc>
          <w:tcPr>
            <w:tcW w:w="1440" w:type="dxa"/>
            <w:noWrap/>
            <w:hideMark/>
          </w:tcPr>
          <w:p w:rsidR="00B07221" w:rsidRPr="00B07221" w:rsidRDefault="00B07221" w:rsidP="00031697">
            <w:pPr>
              <w:rPr>
                <w:sz w:val="22"/>
                <w:szCs w:val="22"/>
              </w:rPr>
            </w:pPr>
            <w:r w:rsidRPr="00B07221">
              <w:rPr>
                <w:sz w:val="22"/>
                <w:szCs w:val="22"/>
              </w:rPr>
              <w:t xml:space="preserve"> $          </w:t>
            </w:r>
            <w:r w:rsidR="00031697">
              <w:rPr>
                <w:sz w:val="22"/>
                <w:szCs w:val="22"/>
              </w:rPr>
              <w:t xml:space="preserve"> </w:t>
            </w:r>
            <w:r w:rsidRPr="00B07221">
              <w:rPr>
                <w:sz w:val="22"/>
                <w:szCs w:val="22"/>
              </w:rPr>
              <w:t xml:space="preserve">76 </w:t>
            </w:r>
          </w:p>
        </w:tc>
        <w:tc>
          <w:tcPr>
            <w:tcW w:w="1890" w:type="dxa"/>
            <w:noWrap/>
            <w:hideMark/>
          </w:tcPr>
          <w:p w:rsidR="00B07221" w:rsidRPr="00B07221" w:rsidRDefault="00B07221" w:rsidP="00E018E8">
            <w:pPr>
              <w:rPr>
                <w:sz w:val="22"/>
                <w:szCs w:val="22"/>
              </w:rPr>
            </w:pPr>
          </w:p>
        </w:tc>
        <w:tc>
          <w:tcPr>
            <w:tcW w:w="1980" w:type="dxa"/>
            <w:noWrap/>
            <w:hideMark/>
          </w:tcPr>
          <w:p w:rsidR="00B07221" w:rsidRPr="00B07221" w:rsidRDefault="00B07221" w:rsidP="00795DBB">
            <w:pPr>
              <w:rPr>
                <w:sz w:val="22"/>
                <w:szCs w:val="22"/>
              </w:rPr>
            </w:pPr>
            <w:r w:rsidRPr="00B07221">
              <w:rPr>
                <w:sz w:val="22"/>
                <w:szCs w:val="22"/>
              </w:rPr>
              <w:t xml:space="preserve"> $                        76 </w:t>
            </w: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Postage &amp; Mailing</w:t>
            </w:r>
          </w:p>
        </w:tc>
        <w:tc>
          <w:tcPr>
            <w:tcW w:w="1440" w:type="dxa"/>
            <w:noWrap/>
            <w:hideMark/>
          </w:tcPr>
          <w:p w:rsidR="00B07221" w:rsidRPr="00B07221" w:rsidRDefault="00B07221" w:rsidP="00031697">
            <w:pPr>
              <w:rPr>
                <w:sz w:val="22"/>
                <w:szCs w:val="22"/>
              </w:rPr>
            </w:pPr>
            <w:r w:rsidRPr="00B07221">
              <w:rPr>
                <w:sz w:val="22"/>
                <w:szCs w:val="22"/>
              </w:rPr>
              <w:t xml:space="preserve"> $          363 </w:t>
            </w:r>
          </w:p>
        </w:tc>
        <w:tc>
          <w:tcPr>
            <w:tcW w:w="1890" w:type="dxa"/>
            <w:noWrap/>
            <w:hideMark/>
          </w:tcPr>
          <w:p w:rsidR="00B07221" w:rsidRPr="00B07221" w:rsidRDefault="00B07221" w:rsidP="00E018E8">
            <w:pPr>
              <w:rPr>
                <w:sz w:val="22"/>
                <w:szCs w:val="22"/>
              </w:rPr>
            </w:pPr>
          </w:p>
        </w:tc>
        <w:tc>
          <w:tcPr>
            <w:tcW w:w="1980" w:type="dxa"/>
            <w:noWrap/>
            <w:hideMark/>
          </w:tcPr>
          <w:p w:rsidR="00B07221" w:rsidRPr="00B07221" w:rsidRDefault="00B07221" w:rsidP="00E018E8">
            <w:pPr>
              <w:rPr>
                <w:sz w:val="22"/>
                <w:szCs w:val="22"/>
              </w:rPr>
            </w:pPr>
            <w:r w:rsidRPr="00B07221">
              <w:rPr>
                <w:sz w:val="22"/>
                <w:szCs w:val="22"/>
              </w:rPr>
              <w:t xml:space="preserve"> $                       363 </w:t>
            </w: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Subscriptions</w:t>
            </w:r>
          </w:p>
        </w:tc>
        <w:tc>
          <w:tcPr>
            <w:tcW w:w="1440" w:type="dxa"/>
            <w:noWrap/>
            <w:hideMark/>
          </w:tcPr>
          <w:p w:rsidR="00B07221" w:rsidRPr="00B07221" w:rsidRDefault="00B07221" w:rsidP="00031697">
            <w:pPr>
              <w:rPr>
                <w:sz w:val="22"/>
                <w:szCs w:val="22"/>
              </w:rPr>
            </w:pPr>
            <w:r w:rsidRPr="00B07221">
              <w:rPr>
                <w:sz w:val="22"/>
                <w:szCs w:val="22"/>
              </w:rPr>
              <w:t xml:space="preserve"> $           65 </w:t>
            </w:r>
          </w:p>
        </w:tc>
        <w:tc>
          <w:tcPr>
            <w:tcW w:w="1890" w:type="dxa"/>
            <w:noWrap/>
            <w:hideMark/>
          </w:tcPr>
          <w:p w:rsidR="00B07221" w:rsidRPr="00B07221" w:rsidRDefault="00B07221" w:rsidP="00E018E8">
            <w:pPr>
              <w:rPr>
                <w:sz w:val="22"/>
                <w:szCs w:val="22"/>
              </w:rPr>
            </w:pPr>
          </w:p>
        </w:tc>
        <w:tc>
          <w:tcPr>
            <w:tcW w:w="1980" w:type="dxa"/>
            <w:noWrap/>
            <w:hideMark/>
          </w:tcPr>
          <w:p w:rsidR="00B07221" w:rsidRPr="00B07221" w:rsidRDefault="00B07221" w:rsidP="00795DBB">
            <w:pPr>
              <w:rPr>
                <w:sz w:val="22"/>
                <w:szCs w:val="22"/>
              </w:rPr>
            </w:pPr>
            <w:r w:rsidRPr="00B07221">
              <w:rPr>
                <w:sz w:val="22"/>
                <w:szCs w:val="22"/>
              </w:rPr>
              <w:t xml:space="preserve"> $                        65 </w:t>
            </w: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Internet Fees</w:t>
            </w:r>
          </w:p>
        </w:tc>
        <w:tc>
          <w:tcPr>
            <w:tcW w:w="1440" w:type="dxa"/>
            <w:noWrap/>
            <w:hideMark/>
          </w:tcPr>
          <w:p w:rsidR="00B07221" w:rsidRPr="00B07221" w:rsidRDefault="00B07221" w:rsidP="00031697">
            <w:pPr>
              <w:rPr>
                <w:sz w:val="22"/>
                <w:szCs w:val="22"/>
              </w:rPr>
            </w:pPr>
            <w:r w:rsidRPr="00B07221">
              <w:rPr>
                <w:sz w:val="22"/>
                <w:szCs w:val="22"/>
              </w:rPr>
              <w:t xml:space="preserve"> $           66 </w:t>
            </w:r>
          </w:p>
        </w:tc>
        <w:tc>
          <w:tcPr>
            <w:tcW w:w="1890" w:type="dxa"/>
            <w:noWrap/>
            <w:hideMark/>
          </w:tcPr>
          <w:p w:rsidR="00B07221" w:rsidRPr="00B07221" w:rsidRDefault="00B07221" w:rsidP="00E018E8">
            <w:pPr>
              <w:rPr>
                <w:sz w:val="22"/>
                <w:szCs w:val="22"/>
              </w:rPr>
            </w:pPr>
          </w:p>
        </w:tc>
        <w:tc>
          <w:tcPr>
            <w:tcW w:w="1980" w:type="dxa"/>
            <w:noWrap/>
            <w:hideMark/>
          </w:tcPr>
          <w:p w:rsidR="00B07221" w:rsidRPr="00B07221" w:rsidRDefault="00B07221" w:rsidP="00795DBB">
            <w:pPr>
              <w:rPr>
                <w:sz w:val="22"/>
                <w:szCs w:val="22"/>
              </w:rPr>
            </w:pPr>
            <w:r w:rsidRPr="00B07221">
              <w:rPr>
                <w:sz w:val="22"/>
                <w:szCs w:val="22"/>
              </w:rPr>
              <w:t xml:space="preserve"> $                        66 </w:t>
            </w: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Office Supplies</w:t>
            </w:r>
          </w:p>
        </w:tc>
        <w:tc>
          <w:tcPr>
            <w:tcW w:w="1440" w:type="dxa"/>
            <w:noWrap/>
            <w:hideMark/>
          </w:tcPr>
          <w:p w:rsidR="00B07221" w:rsidRPr="00B07221" w:rsidRDefault="00B07221" w:rsidP="00031697">
            <w:pPr>
              <w:rPr>
                <w:sz w:val="22"/>
                <w:szCs w:val="22"/>
              </w:rPr>
            </w:pPr>
            <w:r w:rsidRPr="00B07221">
              <w:rPr>
                <w:sz w:val="22"/>
                <w:szCs w:val="22"/>
              </w:rPr>
              <w:t xml:space="preserve"> $          195 </w:t>
            </w:r>
          </w:p>
        </w:tc>
        <w:tc>
          <w:tcPr>
            <w:tcW w:w="1890" w:type="dxa"/>
            <w:noWrap/>
            <w:hideMark/>
          </w:tcPr>
          <w:p w:rsidR="00B07221" w:rsidRPr="00B07221" w:rsidRDefault="00B07221" w:rsidP="00E018E8">
            <w:pPr>
              <w:rPr>
                <w:sz w:val="22"/>
                <w:szCs w:val="22"/>
              </w:rPr>
            </w:pPr>
          </w:p>
        </w:tc>
        <w:tc>
          <w:tcPr>
            <w:tcW w:w="1980" w:type="dxa"/>
            <w:noWrap/>
            <w:hideMark/>
          </w:tcPr>
          <w:p w:rsidR="00B07221" w:rsidRPr="00B07221" w:rsidRDefault="00B07221" w:rsidP="00E018E8">
            <w:pPr>
              <w:rPr>
                <w:sz w:val="22"/>
                <w:szCs w:val="22"/>
              </w:rPr>
            </w:pPr>
            <w:r w:rsidRPr="00B07221">
              <w:rPr>
                <w:sz w:val="22"/>
                <w:szCs w:val="22"/>
              </w:rPr>
              <w:t xml:space="preserve"> $                       195 </w:t>
            </w: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Telephone Charges</w:t>
            </w:r>
          </w:p>
        </w:tc>
        <w:tc>
          <w:tcPr>
            <w:tcW w:w="1440" w:type="dxa"/>
            <w:noWrap/>
            <w:hideMark/>
          </w:tcPr>
          <w:p w:rsidR="00B07221" w:rsidRPr="00B07221" w:rsidRDefault="00B07221" w:rsidP="00031697">
            <w:pPr>
              <w:rPr>
                <w:sz w:val="22"/>
                <w:szCs w:val="22"/>
              </w:rPr>
            </w:pPr>
            <w:r w:rsidRPr="00B07221">
              <w:rPr>
                <w:sz w:val="22"/>
                <w:szCs w:val="22"/>
              </w:rPr>
              <w:t xml:space="preserve"> $          104 </w:t>
            </w:r>
          </w:p>
        </w:tc>
        <w:tc>
          <w:tcPr>
            <w:tcW w:w="1890" w:type="dxa"/>
            <w:noWrap/>
            <w:hideMark/>
          </w:tcPr>
          <w:p w:rsidR="00B07221" w:rsidRPr="00B07221" w:rsidRDefault="00B07221" w:rsidP="00E018E8">
            <w:pPr>
              <w:rPr>
                <w:sz w:val="22"/>
                <w:szCs w:val="22"/>
              </w:rPr>
            </w:pPr>
          </w:p>
        </w:tc>
        <w:tc>
          <w:tcPr>
            <w:tcW w:w="1980" w:type="dxa"/>
            <w:noWrap/>
            <w:hideMark/>
          </w:tcPr>
          <w:p w:rsidR="00B07221" w:rsidRPr="00B07221" w:rsidRDefault="00B07221" w:rsidP="00E018E8">
            <w:pPr>
              <w:rPr>
                <w:sz w:val="22"/>
                <w:szCs w:val="22"/>
              </w:rPr>
            </w:pPr>
            <w:r w:rsidRPr="00B07221">
              <w:rPr>
                <w:sz w:val="22"/>
                <w:szCs w:val="22"/>
              </w:rPr>
              <w:t xml:space="preserve"> $                       104 </w:t>
            </w: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Customer Collection Expenses</w:t>
            </w:r>
          </w:p>
        </w:tc>
        <w:tc>
          <w:tcPr>
            <w:tcW w:w="1440" w:type="dxa"/>
            <w:noWrap/>
            <w:hideMark/>
          </w:tcPr>
          <w:p w:rsidR="00B07221" w:rsidRPr="00B07221" w:rsidRDefault="00B07221" w:rsidP="00E018E8">
            <w:pPr>
              <w:rPr>
                <w:sz w:val="22"/>
                <w:szCs w:val="22"/>
              </w:rPr>
            </w:pPr>
            <w:r w:rsidRPr="00B07221">
              <w:rPr>
                <w:sz w:val="22"/>
                <w:szCs w:val="22"/>
              </w:rPr>
              <w:t> </w:t>
            </w:r>
          </w:p>
        </w:tc>
        <w:tc>
          <w:tcPr>
            <w:tcW w:w="1890" w:type="dxa"/>
            <w:noWrap/>
            <w:hideMark/>
          </w:tcPr>
          <w:p w:rsidR="00B07221" w:rsidRPr="00B07221" w:rsidRDefault="00B07221" w:rsidP="00E018E8">
            <w:pPr>
              <w:rPr>
                <w:sz w:val="22"/>
                <w:szCs w:val="22"/>
              </w:rPr>
            </w:pPr>
          </w:p>
        </w:tc>
        <w:tc>
          <w:tcPr>
            <w:tcW w:w="1980" w:type="dxa"/>
            <w:noWrap/>
            <w:hideMark/>
          </w:tcPr>
          <w:p w:rsidR="00B07221" w:rsidRPr="00B07221" w:rsidRDefault="00B07221" w:rsidP="00E018E8">
            <w:pPr>
              <w:rPr>
                <w:sz w:val="22"/>
                <w:szCs w:val="22"/>
              </w:rPr>
            </w:pPr>
            <w:r w:rsidRPr="00B07221">
              <w:rPr>
                <w:sz w:val="22"/>
                <w:szCs w:val="22"/>
              </w:rPr>
              <w:t xml:space="preserve"> $                            - </w:t>
            </w: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Printing &amp; Reproduction</w:t>
            </w:r>
          </w:p>
        </w:tc>
        <w:tc>
          <w:tcPr>
            <w:tcW w:w="1440" w:type="dxa"/>
            <w:noWrap/>
            <w:hideMark/>
          </w:tcPr>
          <w:p w:rsidR="00B07221" w:rsidRPr="00B07221" w:rsidRDefault="00B07221" w:rsidP="00E018E8">
            <w:pPr>
              <w:rPr>
                <w:sz w:val="22"/>
                <w:szCs w:val="22"/>
              </w:rPr>
            </w:pPr>
            <w:r w:rsidRPr="00B07221">
              <w:rPr>
                <w:sz w:val="22"/>
                <w:szCs w:val="22"/>
              </w:rPr>
              <w:t xml:space="preserve"> $             12 </w:t>
            </w:r>
          </w:p>
        </w:tc>
        <w:tc>
          <w:tcPr>
            <w:tcW w:w="1890" w:type="dxa"/>
            <w:noWrap/>
            <w:hideMark/>
          </w:tcPr>
          <w:p w:rsidR="00B07221" w:rsidRPr="00B07221" w:rsidRDefault="00B07221" w:rsidP="00E018E8">
            <w:pPr>
              <w:rPr>
                <w:sz w:val="22"/>
                <w:szCs w:val="22"/>
              </w:rPr>
            </w:pPr>
          </w:p>
        </w:tc>
        <w:tc>
          <w:tcPr>
            <w:tcW w:w="1980" w:type="dxa"/>
            <w:noWrap/>
            <w:hideMark/>
          </w:tcPr>
          <w:p w:rsidR="00B07221" w:rsidRPr="00B07221" w:rsidRDefault="00B07221" w:rsidP="00E018E8">
            <w:pPr>
              <w:rPr>
                <w:sz w:val="22"/>
                <w:szCs w:val="22"/>
              </w:rPr>
            </w:pPr>
            <w:r w:rsidRPr="00B07221">
              <w:rPr>
                <w:sz w:val="22"/>
                <w:szCs w:val="22"/>
              </w:rPr>
              <w:t xml:space="preserve"> $                         12 </w:t>
            </w: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Depreciation Expense</w:t>
            </w:r>
          </w:p>
        </w:tc>
        <w:tc>
          <w:tcPr>
            <w:tcW w:w="1440" w:type="dxa"/>
            <w:noWrap/>
            <w:hideMark/>
          </w:tcPr>
          <w:p w:rsidR="00B07221" w:rsidRPr="00B07221" w:rsidRDefault="00B07221" w:rsidP="00E018E8">
            <w:pPr>
              <w:rPr>
                <w:sz w:val="22"/>
                <w:szCs w:val="22"/>
              </w:rPr>
            </w:pPr>
            <w:r w:rsidRPr="00B07221">
              <w:rPr>
                <w:sz w:val="22"/>
                <w:szCs w:val="22"/>
              </w:rPr>
              <w:t> </w:t>
            </w:r>
          </w:p>
        </w:tc>
        <w:tc>
          <w:tcPr>
            <w:tcW w:w="1890" w:type="dxa"/>
            <w:noWrap/>
            <w:hideMark/>
          </w:tcPr>
          <w:p w:rsidR="00B07221" w:rsidRPr="00B07221" w:rsidRDefault="00B07221" w:rsidP="00E018E8">
            <w:pPr>
              <w:rPr>
                <w:sz w:val="22"/>
                <w:szCs w:val="22"/>
              </w:rPr>
            </w:pPr>
          </w:p>
        </w:tc>
        <w:tc>
          <w:tcPr>
            <w:tcW w:w="1980" w:type="dxa"/>
            <w:noWrap/>
            <w:hideMark/>
          </w:tcPr>
          <w:p w:rsidR="00B07221" w:rsidRPr="00B07221" w:rsidRDefault="00B07221" w:rsidP="00E018E8">
            <w:pPr>
              <w:rPr>
                <w:sz w:val="22"/>
                <w:szCs w:val="22"/>
              </w:rPr>
            </w:pPr>
            <w:r w:rsidRPr="00B07221">
              <w:rPr>
                <w:sz w:val="22"/>
                <w:szCs w:val="22"/>
              </w:rPr>
              <w:t xml:space="preserve"> $                            - </w:t>
            </w: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Bad Debt Expenses</w:t>
            </w:r>
          </w:p>
        </w:tc>
        <w:tc>
          <w:tcPr>
            <w:tcW w:w="1440" w:type="dxa"/>
            <w:noWrap/>
            <w:hideMark/>
          </w:tcPr>
          <w:p w:rsidR="00B07221" w:rsidRPr="00B07221" w:rsidRDefault="00B07221" w:rsidP="00E018E8">
            <w:pPr>
              <w:rPr>
                <w:sz w:val="22"/>
                <w:szCs w:val="22"/>
              </w:rPr>
            </w:pPr>
            <w:r w:rsidRPr="00B07221">
              <w:rPr>
                <w:sz w:val="22"/>
                <w:szCs w:val="22"/>
              </w:rPr>
              <w:t xml:space="preserve"> $           731 </w:t>
            </w:r>
          </w:p>
        </w:tc>
        <w:tc>
          <w:tcPr>
            <w:tcW w:w="1890" w:type="dxa"/>
            <w:noWrap/>
            <w:hideMark/>
          </w:tcPr>
          <w:p w:rsidR="00B07221" w:rsidRPr="00B07221" w:rsidRDefault="00B07221" w:rsidP="00E018E8">
            <w:pPr>
              <w:rPr>
                <w:sz w:val="22"/>
                <w:szCs w:val="22"/>
              </w:rPr>
            </w:pPr>
          </w:p>
        </w:tc>
        <w:tc>
          <w:tcPr>
            <w:tcW w:w="1980" w:type="dxa"/>
            <w:noWrap/>
            <w:hideMark/>
          </w:tcPr>
          <w:p w:rsidR="00B07221" w:rsidRPr="00B07221" w:rsidRDefault="00B07221" w:rsidP="00E018E8">
            <w:pPr>
              <w:rPr>
                <w:sz w:val="22"/>
                <w:szCs w:val="22"/>
              </w:rPr>
            </w:pPr>
            <w:r w:rsidRPr="00B07221">
              <w:rPr>
                <w:sz w:val="22"/>
                <w:szCs w:val="22"/>
              </w:rPr>
              <w:t xml:space="preserve"> $                       731 </w:t>
            </w: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PaPUC Assessment</w:t>
            </w:r>
          </w:p>
        </w:tc>
        <w:tc>
          <w:tcPr>
            <w:tcW w:w="1440" w:type="dxa"/>
            <w:noWrap/>
            <w:hideMark/>
          </w:tcPr>
          <w:p w:rsidR="00B07221" w:rsidRPr="00B07221" w:rsidRDefault="00B07221" w:rsidP="00E018E8">
            <w:pPr>
              <w:rPr>
                <w:sz w:val="22"/>
                <w:szCs w:val="22"/>
              </w:rPr>
            </w:pPr>
            <w:r w:rsidRPr="00B07221">
              <w:rPr>
                <w:sz w:val="22"/>
                <w:szCs w:val="22"/>
              </w:rPr>
              <w:t xml:space="preserve"> $           121 </w:t>
            </w:r>
          </w:p>
        </w:tc>
        <w:tc>
          <w:tcPr>
            <w:tcW w:w="1890" w:type="dxa"/>
            <w:noWrap/>
            <w:hideMark/>
          </w:tcPr>
          <w:p w:rsidR="00B07221" w:rsidRPr="00B07221" w:rsidRDefault="00B07221" w:rsidP="00E018E8">
            <w:pPr>
              <w:rPr>
                <w:sz w:val="22"/>
                <w:szCs w:val="22"/>
              </w:rPr>
            </w:pPr>
          </w:p>
        </w:tc>
        <w:tc>
          <w:tcPr>
            <w:tcW w:w="1980" w:type="dxa"/>
            <w:noWrap/>
            <w:hideMark/>
          </w:tcPr>
          <w:p w:rsidR="00B07221" w:rsidRPr="00B07221" w:rsidRDefault="00B07221" w:rsidP="00E018E8">
            <w:pPr>
              <w:rPr>
                <w:sz w:val="22"/>
                <w:szCs w:val="22"/>
              </w:rPr>
            </w:pPr>
            <w:r w:rsidRPr="00B07221">
              <w:rPr>
                <w:sz w:val="22"/>
                <w:szCs w:val="22"/>
              </w:rPr>
              <w:t xml:space="preserve"> $                       121 </w:t>
            </w:r>
          </w:p>
        </w:tc>
      </w:tr>
      <w:tr w:rsidR="00B07221" w:rsidRPr="00B07221" w:rsidTr="00FF46C3">
        <w:trPr>
          <w:trHeight w:val="288"/>
        </w:trPr>
        <w:tc>
          <w:tcPr>
            <w:tcW w:w="4068" w:type="dxa"/>
            <w:noWrap/>
            <w:hideMark/>
          </w:tcPr>
          <w:p w:rsidR="00B07221" w:rsidRPr="00B07221" w:rsidRDefault="00B07221" w:rsidP="00E018E8">
            <w:pPr>
              <w:rPr>
                <w:sz w:val="22"/>
                <w:szCs w:val="22"/>
              </w:rPr>
            </w:pPr>
            <w:r w:rsidRPr="00B07221">
              <w:rPr>
                <w:sz w:val="22"/>
                <w:szCs w:val="22"/>
              </w:rPr>
              <w:t>Other Taxes - Real Estate Taxes</w:t>
            </w:r>
          </w:p>
        </w:tc>
        <w:tc>
          <w:tcPr>
            <w:tcW w:w="1440" w:type="dxa"/>
            <w:tcBorders>
              <w:bottom w:val="single" w:sz="4" w:space="0" w:color="auto"/>
            </w:tcBorders>
            <w:noWrap/>
            <w:hideMark/>
          </w:tcPr>
          <w:p w:rsidR="00B07221" w:rsidRPr="00B07221" w:rsidRDefault="00B07221" w:rsidP="00E018E8">
            <w:pPr>
              <w:rPr>
                <w:sz w:val="22"/>
                <w:szCs w:val="22"/>
              </w:rPr>
            </w:pPr>
            <w:r w:rsidRPr="00B07221">
              <w:rPr>
                <w:sz w:val="22"/>
                <w:szCs w:val="22"/>
              </w:rPr>
              <w:t xml:space="preserve"> $           258 </w:t>
            </w:r>
          </w:p>
        </w:tc>
        <w:tc>
          <w:tcPr>
            <w:tcW w:w="1890" w:type="dxa"/>
            <w:tcBorders>
              <w:bottom w:val="single" w:sz="4" w:space="0" w:color="auto"/>
            </w:tcBorders>
            <w:noWrap/>
            <w:hideMark/>
          </w:tcPr>
          <w:p w:rsidR="00B07221" w:rsidRPr="00B07221" w:rsidRDefault="00B07221" w:rsidP="00E018E8">
            <w:pPr>
              <w:rPr>
                <w:sz w:val="22"/>
                <w:szCs w:val="22"/>
              </w:rPr>
            </w:pPr>
          </w:p>
        </w:tc>
        <w:tc>
          <w:tcPr>
            <w:tcW w:w="1980" w:type="dxa"/>
            <w:tcBorders>
              <w:bottom w:val="single" w:sz="4" w:space="0" w:color="auto"/>
            </w:tcBorders>
            <w:noWrap/>
            <w:hideMark/>
          </w:tcPr>
          <w:p w:rsidR="00B07221" w:rsidRPr="00B07221" w:rsidRDefault="00B07221" w:rsidP="00E018E8">
            <w:pPr>
              <w:rPr>
                <w:sz w:val="22"/>
                <w:szCs w:val="22"/>
              </w:rPr>
            </w:pPr>
            <w:r w:rsidRPr="00B07221">
              <w:rPr>
                <w:sz w:val="22"/>
                <w:szCs w:val="22"/>
              </w:rPr>
              <w:t xml:space="preserve"> $                       258 </w:t>
            </w:r>
          </w:p>
        </w:tc>
      </w:tr>
      <w:tr w:rsidR="00FF46C3" w:rsidRPr="00B07221" w:rsidTr="00E018E8">
        <w:trPr>
          <w:trHeight w:val="288"/>
        </w:trPr>
        <w:tc>
          <w:tcPr>
            <w:tcW w:w="4068" w:type="dxa"/>
            <w:tcBorders>
              <w:right w:val="single" w:sz="4" w:space="0" w:color="auto"/>
            </w:tcBorders>
            <w:noWrap/>
            <w:hideMark/>
          </w:tcPr>
          <w:p w:rsidR="00FF46C3" w:rsidRPr="00B07221" w:rsidRDefault="00FF46C3" w:rsidP="00E018E8">
            <w:pPr>
              <w:rPr>
                <w:b/>
                <w:bCs/>
                <w:sz w:val="22"/>
                <w:szCs w:val="22"/>
              </w:rPr>
            </w:pPr>
            <w:r w:rsidRPr="00B07221">
              <w:rPr>
                <w:b/>
                <w:bCs/>
                <w:sz w:val="22"/>
                <w:szCs w:val="22"/>
              </w:rPr>
              <w:t>Total Expenses</w:t>
            </w:r>
          </w:p>
        </w:tc>
        <w:tc>
          <w:tcPr>
            <w:tcW w:w="1440" w:type="dxa"/>
            <w:tcBorders>
              <w:top w:val="single" w:sz="4" w:space="0" w:color="auto"/>
              <w:left w:val="single" w:sz="4" w:space="0" w:color="auto"/>
              <w:right w:val="single" w:sz="4" w:space="0" w:color="auto"/>
            </w:tcBorders>
            <w:noWrap/>
            <w:hideMark/>
          </w:tcPr>
          <w:p w:rsidR="00FF46C3" w:rsidRPr="00B07221" w:rsidRDefault="00FF46C3" w:rsidP="00E018E8">
            <w:pPr>
              <w:rPr>
                <w:sz w:val="22"/>
                <w:szCs w:val="22"/>
              </w:rPr>
            </w:pPr>
            <w:r w:rsidRPr="00B07221">
              <w:rPr>
                <w:sz w:val="22"/>
                <w:szCs w:val="22"/>
              </w:rPr>
              <w:t xml:space="preserve"> $     </w:t>
            </w:r>
            <w:r>
              <w:rPr>
                <w:sz w:val="22"/>
                <w:szCs w:val="22"/>
              </w:rPr>
              <w:t xml:space="preserve"> </w:t>
            </w:r>
            <w:r w:rsidRPr="00B07221">
              <w:rPr>
                <w:sz w:val="22"/>
                <w:szCs w:val="22"/>
              </w:rPr>
              <w:t xml:space="preserve">93,731 </w:t>
            </w:r>
          </w:p>
        </w:tc>
        <w:tc>
          <w:tcPr>
            <w:tcW w:w="1890" w:type="dxa"/>
            <w:tcBorders>
              <w:top w:val="single" w:sz="4" w:space="0" w:color="auto"/>
              <w:left w:val="single" w:sz="4" w:space="0" w:color="auto"/>
              <w:right w:val="single" w:sz="4" w:space="0" w:color="auto"/>
            </w:tcBorders>
            <w:noWrap/>
            <w:hideMark/>
          </w:tcPr>
          <w:p w:rsidR="00FF46C3" w:rsidRPr="00B07221" w:rsidRDefault="00FF46C3" w:rsidP="00E018E8">
            <w:pPr>
              <w:rPr>
                <w:sz w:val="22"/>
                <w:szCs w:val="22"/>
              </w:rPr>
            </w:pPr>
            <w:r w:rsidRPr="00B07221">
              <w:rPr>
                <w:sz w:val="22"/>
                <w:szCs w:val="22"/>
              </w:rPr>
              <w:t xml:space="preserve"> $            (55,598)</w:t>
            </w:r>
          </w:p>
        </w:tc>
        <w:tc>
          <w:tcPr>
            <w:tcW w:w="1980" w:type="dxa"/>
            <w:tcBorders>
              <w:top w:val="single" w:sz="4" w:space="0" w:color="auto"/>
              <w:left w:val="single" w:sz="4" w:space="0" w:color="auto"/>
              <w:right w:val="single" w:sz="4" w:space="0" w:color="auto"/>
            </w:tcBorders>
            <w:noWrap/>
            <w:hideMark/>
          </w:tcPr>
          <w:p w:rsidR="00FF46C3" w:rsidRPr="00B07221" w:rsidRDefault="00FF46C3" w:rsidP="001A3D52">
            <w:pPr>
              <w:rPr>
                <w:sz w:val="22"/>
                <w:szCs w:val="22"/>
              </w:rPr>
            </w:pPr>
            <w:r w:rsidRPr="00B07221">
              <w:rPr>
                <w:sz w:val="22"/>
                <w:szCs w:val="22"/>
              </w:rPr>
              <w:t xml:space="preserve"> $               </w:t>
            </w:r>
            <w:r>
              <w:rPr>
                <w:sz w:val="22"/>
                <w:szCs w:val="22"/>
              </w:rPr>
              <w:t xml:space="preserve"> </w:t>
            </w:r>
            <w:r w:rsidRPr="00B07221">
              <w:rPr>
                <w:sz w:val="22"/>
                <w:szCs w:val="22"/>
              </w:rPr>
              <w:t xml:space="preserve"> </w:t>
            </w:r>
            <w:r>
              <w:rPr>
                <w:sz w:val="22"/>
                <w:szCs w:val="22"/>
              </w:rPr>
              <w:t xml:space="preserve"> </w:t>
            </w:r>
            <w:r w:rsidRPr="00B07221">
              <w:rPr>
                <w:sz w:val="22"/>
                <w:szCs w:val="22"/>
              </w:rPr>
              <w:t>38,133</w:t>
            </w:r>
          </w:p>
        </w:tc>
      </w:tr>
    </w:tbl>
    <w:p w:rsidR="00C539C2" w:rsidRDefault="00C539C2" w:rsidP="00E018E8">
      <w:pPr>
        <w:rPr>
          <w:sz w:val="22"/>
          <w:szCs w:val="22"/>
        </w:rPr>
        <w:sectPr w:rsidR="00C539C2" w:rsidSect="00C43278">
          <w:footerReference w:type="default" r:id="rId9"/>
          <w:footerReference w:type="first" r:id="rId10"/>
          <w:pgSz w:w="12240" w:h="15840"/>
          <w:pgMar w:top="1440" w:right="1440" w:bottom="1440" w:left="1440" w:header="720" w:footer="720" w:gutter="0"/>
          <w:pgNumType w:start="1"/>
          <w:cols w:space="720"/>
          <w:titlePg/>
          <w:docGrid w:linePitch="360"/>
        </w:sectPr>
      </w:pPr>
    </w:p>
    <w:tbl>
      <w:tblPr>
        <w:tblStyle w:val="TableGrid"/>
        <w:tblW w:w="0" w:type="auto"/>
        <w:tblLook w:val="04A0" w:firstRow="1" w:lastRow="0" w:firstColumn="1" w:lastColumn="0" w:noHBand="0" w:noVBand="1"/>
      </w:tblPr>
      <w:tblGrid>
        <w:gridCol w:w="4068"/>
        <w:gridCol w:w="1440"/>
        <w:gridCol w:w="1890"/>
        <w:gridCol w:w="1980"/>
      </w:tblGrid>
      <w:tr w:rsidR="00FF46C3" w:rsidRPr="00B07221" w:rsidTr="00E018E8">
        <w:trPr>
          <w:trHeight w:val="586"/>
        </w:trPr>
        <w:tc>
          <w:tcPr>
            <w:tcW w:w="4068" w:type="dxa"/>
            <w:tcBorders>
              <w:bottom w:val="single" w:sz="4" w:space="0" w:color="auto"/>
              <w:right w:val="single" w:sz="4" w:space="0" w:color="auto"/>
            </w:tcBorders>
            <w:noWrap/>
            <w:hideMark/>
          </w:tcPr>
          <w:p w:rsidR="00FF46C3" w:rsidRDefault="00FF46C3" w:rsidP="00E018E8">
            <w:pPr>
              <w:rPr>
                <w:sz w:val="22"/>
                <w:szCs w:val="22"/>
              </w:rPr>
            </w:pPr>
          </w:p>
          <w:p w:rsidR="00FF46C3" w:rsidRPr="00B07221" w:rsidRDefault="00FF46C3" w:rsidP="00E018E8">
            <w:pPr>
              <w:rPr>
                <w:sz w:val="22"/>
                <w:szCs w:val="22"/>
              </w:rPr>
            </w:pPr>
            <w:r w:rsidRPr="00B07221">
              <w:rPr>
                <w:sz w:val="22"/>
                <w:szCs w:val="22"/>
              </w:rPr>
              <w:t>Net Operating Income Before Taxes</w:t>
            </w:r>
          </w:p>
        </w:tc>
        <w:tc>
          <w:tcPr>
            <w:tcW w:w="1440" w:type="dxa"/>
            <w:tcBorders>
              <w:left w:val="single" w:sz="4" w:space="0" w:color="auto"/>
              <w:bottom w:val="single" w:sz="4" w:space="0" w:color="auto"/>
              <w:right w:val="single" w:sz="4" w:space="0" w:color="auto"/>
            </w:tcBorders>
            <w:noWrap/>
            <w:hideMark/>
          </w:tcPr>
          <w:p w:rsidR="00FF46C3" w:rsidRPr="00B07221" w:rsidRDefault="00FF46C3" w:rsidP="00E018E8">
            <w:pPr>
              <w:rPr>
                <w:sz w:val="22"/>
                <w:szCs w:val="22"/>
              </w:rPr>
            </w:pPr>
            <w:r w:rsidRPr="00B07221">
              <w:rPr>
                <w:sz w:val="22"/>
                <w:szCs w:val="22"/>
              </w:rPr>
              <w:t> </w:t>
            </w:r>
          </w:p>
          <w:p w:rsidR="00FF46C3" w:rsidRPr="00B07221" w:rsidRDefault="00FF46C3" w:rsidP="00E018E8">
            <w:pPr>
              <w:rPr>
                <w:sz w:val="22"/>
                <w:szCs w:val="22"/>
              </w:rPr>
            </w:pPr>
            <w:r w:rsidRPr="00B07221">
              <w:rPr>
                <w:sz w:val="22"/>
                <w:szCs w:val="22"/>
              </w:rPr>
              <w:t xml:space="preserve"> $      (2,243)</w:t>
            </w:r>
          </w:p>
        </w:tc>
        <w:tc>
          <w:tcPr>
            <w:tcW w:w="1890" w:type="dxa"/>
            <w:tcBorders>
              <w:left w:val="single" w:sz="4" w:space="0" w:color="auto"/>
              <w:bottom w:val="single" w:sz="4" w:space="0" w:color="auto"/>
              <w:right w:val="single" w:sz="4" w:space="0" w:color="auto"/>
            </w:tcBorders>
            <w:noWrap/>
            <w:hideMark/>
          </w:tcPr>
          <w:p w:rsidR="00FF46C3" w:rsidRPr="00B07221" w:rsidRDefault="00FF46C3" w:rsidP="00E018E8">
            <w:pPr>
              <w:rPr>
                <w:sz w:val="22"/>
                <w:szCs w:val="22"/>
              </w:rPr>
            </w:pPr>
            <w:r w:rsidRPr="00B07221">
              <w:rPr>
                <w:sz w:val="22"/>
                <w:szCs w:val="22"/>
              </w:rPr>
              <w:t xml:space="preserve">       </w:t>
            </w:r>
          </w:p>
        </w:tc>
        <w:tc>
          <w:tcPr>
            <w:tcW w:w="1980" w:type="dxa"/>
            <w:tcBorders>
              <w:left w:val="single" w:sz="4" w:space="0" w:color="auto"/>
              <w:bottom w:val="single" w:sz="4" w:space="0" w:color="auto"/>
              <w:right w:val="single" w:sz="4" w:space="0" w:color="auto"/>
            </w:tcBorders>
            <w:noWrap/>
            <w:hideMark/>
          </w:tcPr>
          <w:p w:rsidR="00FF46C3" w:rsidRPr="00B07221" w:rsidRDefault="00FF46C3" w:rsidP="001A3D52">
            <w:pPr>
              <w:rPr>
                <w:sz w:val="22"/>
                <w:szCs w:val="22"/>
              </w:rPr>
            </w:pPr>
            <w:r w:rsidRPr="00B07221">
              <w:rPr>
                <w:sz w:val="22"/>
                <w:szCs w:val="22"/>
              </w:rPr>
              <w:t xml:space="preserve"> </w:t>
            </w:r>
          </w:p>
          <w:p w:rsidR="00FF46C3" w:rsidRPr="00B07221" w:rsidRDefault="00FF46C3" w:rsidP="00E018E8">
            <w:pPr>
              <w:rPr>
                <w:sz w:val="22"/>
                <w:szCs w:val="22"/>
              </w:rPr>
            </w:pPr>
            <w:r w:rsidRPr="00B07221">
              <w:rPr>
                <w:sz w:val="22"/>
                <w:szCs w:val="22"/>
              </w:rPr>
              <w:t xml:space="preserve"> $                    1,038 </w:t>
            </w: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State Income Taxes</w:t>
            </w:r>
          </w:p>
        </w:tc>
        <w:tc>
          <w:tcPr>
            <w:tcW w:w="1440" w:type="dxa"/>
            <w:noWrap/>
            <w:hideMark/>
          </w:tcPr>
          <w:p w:rsidR="00B07221" w:rsidRPr="00B07221" w:rsidRDefault="00B07221" w:rsidP="00E018E8">
            <w:pPr>
              <w:rPr>
                <w:sz w:val="22"/>
                <w:szCs w:val="22"/>
              </w:rPr>
            </w:pPr>
            <w:r w:rsidRPr="00B07221">
              <w:rPr>
                <w:sz w:val="22"/>
                <w:szCs w:val="22"/>
              </w:rPr>
              <w:t> </w:t>
            </w:r>
          </w:p>
        </w:tc>
        <w:tc>
          <w:tcPr>
            <w:tcW w:w="1890" w:type="dxa"/>
            <w:noWrap/>
            <w:hideMark/>
          </w:tcPr>
          <w:p w:rsidR="00B07221" w:rsidRPr="00B07221" w:rsidRDefault="00B07221" w:rsidP="00E018E8">
            <w:pPr>
              <w:rPr>
                <w:sz w:val="22"/>
                <w:szCs w:val="22"/>
              </w:rPr>
            </w:pPr>
          </w:p>
        </w:tc>
        <w:tc>
          <w:tcPr>
            <w:tcW w:w="1980" w:type="dxa"/>
            <w:noWrap/>
            <w:hideMark/>
          </w:tcPr>
          <w:p w:rsidR="00B07221" w:rsidRPr="00B07221" w:rsidRDefault="00B07221" w:rsidP="00E018E8">
            <w:pPr>
              <w:rPr>
                <w:sz w:val="22"/>
                <w:szCs w:val="22"/>
              </w:rPr>
            </w:pPr>
          </w:p>
        </w:tc>
      </w:tr>
      <w:tr w:rsidR="00B07221" w:rsidRPr="00B07221" w:rsidTr="00E018E8">
        <w:trPr>
          <w:trHeight w:val="288"/>
        </w:trPr>
        <w:tc>
          <w:tcPr>
            <w:tcW w:w="4068" w:type="dxa"/>
            <w:noWrap/>
            <w:hideMark/>
          </w:tcPr>
          <w:p w:rsidR="00B07221" w:rsidRPr="00B07221" w:rsidRDefault="00B07221" w:rsidP="00E018E8">
            <w:pPr>
              <w:rPr>
                <w:sz w:val="22"/>
                <w:szCs w:val="22"/>
              </w:rPr>
            </w:pPr>
            <w:r w:rsidRPr="00B07221">
              <w:rPr>
                <w:sz w:val="22"/>
                <w:szCs w:val="22"/>
              </w:rPr>
              <w:t>Federal Income Taxes</w:t>
            </w:r>
          </w:p>
        </w:tc>
        <w:tc>
          <w:tcPr>
            <w:tcW w:w="1440" w:type="dxa"/>
            <w:noWrap/>
            <w:hideMark/>
          </w:tcPr>
          <w:p w:rsidR="00B07221" w:rsidRPr="00B07221" w:rsidRDefault="00B07221" w:rsidP="00E018E8">
            <w:pPr>
              <w:rPr>
                <w:sz w:val="22"/>
                <w:szCs w:val="22"/>
              </w:rPr>
            </w:pPr>
            <w:r w:rsidRPr="00B07221">
              <w:rPr>
                <w:sz w:val="22"/>
                <w:szCs w:val="22"/>
              </w:rPr>
              <w:t> </w:t>
            </w:r>
          </w:p>
        </w:tc>
        <w:tc>
          <w:tcPr>
            <w:tcW w:w="1890" w:type="dxa"/>
            <w:noWrap/>
            <w:hideMark/>
          </w:tcPr>
          <w:p w:rsidR="00B07221" w:rsidRPr="00B07221" w:rsidRDefault="00B07221" w:rsidP="00E018E8">
            <w:pPr>
              <w:rPr>
                <w:sz w:val="22"/>
                <w:szCs w:val="22"/>
              </w:rPr>
            </w:pPr>
            <w:r w:rsidRPr="00B07221">
              <w:rPr>
                <w:sz w:val="22"/>
                <w:szCs w:val="22"/>
              </w:rPr>
              <w:t> </w:t>
            </w:r>
          </w:p>
        </w:tc>
        <w:tc>
          <w:tcPr>
            <w:tcW w:w="1980" w:type="dxa"/>
            <w:noWrap/>
            <w:hideMark/>
          </w:tcPr>
          <w:p w:rsidR="00B07221" w:rsidRPr="00B07221" w:rsidRDefault="00B07221" w:rsidP="00E018E8">
            <w:pPr>
              <w:rPr>
                <w:sz w:val="22"/>
                <w:szCs w:val="22"/>
              </w:rPr>
            </w:pPr>
            <w:r w:rsidRPr="00B07221">
              <w:rPr>
                <w:sz w:val="22"/>
                <w:szCs w:val="22"/>
              </w:rPr>
              <w:t> </w:t>
            </w:r>
          </w:p>
        </w:tc>
      </w:tr>
      <w:tr w:rsidR="00B07221" w:rsidRPr="00B07221" w:rsidTr="00E018E8">
        <w:trPr>
          <w:trHeight w:val="300"/>
        </w:trPr>
        <w:tc>
          <w:tcPr>
            <w:tcW w:w="4068" w:type="dxa"/>
            <w:noWrap/>
            <w:hideMark/>
          </w:tcPr>
          <w:p w:rsidR="00B07221" w:rsidRPr="00B07221" w:rsidRDefault="00B07221" w:rsidP="00E018E8">
            <w:pPr>
              <w:rPr>
                <w:sz w:val="22"/>
                <w:szCs w:val="22"/>
              </w:rPr>
            </w:pPr>
            <w:r w:rsidRPr="00B07221">
              <w:rPr>
                <w:sz w:val="22"/>
                <w:szCs w:val="22"/>
              </w:rPr>
              <w:t>Net Operating Income</w:t>
            </w:r>
          </w:p>
        </w:tc>
        <w:tc>
          <w:tcPr>
            <w:tcW w:w="1440" w:type="dxa"/>
            <w:noWrap/>
            <w:hideMark/>
          </w:tcPr>
          <w:p w:rsidR="00B07221" w:rsidRPr="00B07221" w:rsidRDefault="00B07221" w:rsidP="00E018E8">
            <w:pPr>
              <w:rPr>
                <w:sz w:val="22"/>
                <w:szCs w:val="22"/>
              </w:rPr>
            </w:pPr>
            <w:r w:rsidRPr="00B07221">
              <w:rPr>
                <w:sz w:val="22"/>
                <w:szCs w:val="22"/>
              </w:rPr>
              <w:t xml:space="preserve"> $      (2,243)</w:t>
            </w:r>
          </w:p>
        </w:tc>
        <w:tc>
          <w:tcPr>
            <w:tcW w:w="1890" w:type="dxa"/>
            <w:noWrap/>
            <w:hideMark/>
          </w:tcPr>
          <w:p w:rsidR="00B07221" w:rsidRPr="00B07221" w:rsidRDefault="00B07221" w:rsidP="00E018E8">
            <w:pPr>
              <w:rPr>
                <w:sz w:val="22"/>
                <w:szCs w:val="22"/>
              </w:rPr>
            </w:pPr>
            <w:r w:rsidRPr="00B07221">
              <w:rPr>
                <w:sz w:val="22"/>
                <w:szCs w:val="22"/>
              </w:rPr>
              <w:t> </w:t>
            </w:r>
          </w:p>
        </w:tc>
        <w:tc>
          <w:tcPr>
            <w:tcW w:w="1980" w:type="dxa"/>
            <w:noWrap/>
            <w:hideMark/>
          </w:tcPr>
          <w:p w:rsidR="00B07221" w:rsidRPr="00B07221" w:rsidRDefault="00B07221" w:rsidP="00E018E8">
            <w:pPr>
              <w:rPr>
                <w:sz w:val="22"/>
                <w:szCs w:val="22"/>
              </w:rPr>
            </w:pPr>
            <w:r w:rsidRPr="00B07221">
              <w:rPr>
                <w:sz w:val="22"/>
                <w:szCs w:val="22"/>
              </w:rPr>
              <w:t xml:space="preserve"> $                    1,038 </w:t>
            </w:r>
          </w:p>
        </w:tc>
      </w:tr>
    </w:tbl>
    <w:p w:rsidR="006C2639" w:rsidRPr="00B07221" w:rsidRDefault="006C2639" w:rsidP="00B07221">
      <w:pPr>
        <w:spacing w:line="360" w:lineRule="auto"/>
        <w:rPr>
          <w:color w:val="000000" w:themeColor="text1"/>
          <w:sz w:val="22"/>
          <w:szCs w:val="22"/>
        </w:rPr>
      </w:pPr>
    </w:p>
    <w:p w:rsidR="00AF5C08" w:rsidRDefault="00AF5C08" w:rsidP="00241D08">
      <w:pPr>
        <w:tabs>
          <w:tab w:val="left" w:pos="1440"/>
        </w:tabs>
        <w:spacing w:line="360" w:lineRule="auto"/>
        <w:ind w:firstLine="1440"/>
        <w:rPr>
          <w:rFonts w:eastAsia="Calibri"/>
          <w:sz w:val="24"/>
          <w:szCs w:val="24"/>
        </w:rPr>
      </w:pPr>
    </w:p>
    <w:p w:rsidR="008C37A2" w:rsidRPr="005F13BC" w:rsidRDefault="008C37A2" w:rsidP="008C37A2">
      <w:pPr>
        <w:pStyle w:val="ListParagraph"/>
        <w:spacing w:line="360" w:lineRule="auto"/>
        <w:ind w:left="0"/>
        <w:jc w:val="center"/>
        <w:rPr>
          <w:sz w:val="24"/>
          <w:szCs w:val="24"/>
          <w:u w:val="single"/>
        </w:rPr>
      </w:pPr>
      <w:r w:rsidRPr="005F13BC">
        <w:rPr>
          <w:sz w:val="24"/>
          <w:szCs w:val="24"/>
          <w:u w:val="single"/>
        </w:rPr>
        <w:t>CONCLUSIONS OF LAW</w:t>
      </w:r>
    </w:p>
    <w:p w:rsidR="004C4F24" w:rsidRDefault="004C4F24" w:rsidP="008C37A2">
      <w:pPr>
        <w:pStyle w:val="ListParagraph"/>
        <w:spacing w:line="360" w:lineRule="auto"/>
        <w:ind w:left="0"/>
        <w:jc w:val="center"/>
        <w:rPr>
          <w:u w:val="single"/>
        </w:rPr>
      </w:pPr>
    </w:p>
    <w:p w:rsidR="004C4F24" w:rsidRPr="003C2B04" w:rsidRDefault="004C4F24" w:rsidP="003C2B04">
      <w:pPr>
        <w:pStyle w:val="ListParagraph"/>
        <w:numPr>
          <w:ilvl w:val="0"/>
          <w:numId w:val="7"/>
        </w:numPr>
        <w:tabs>
          <w:tab w:val="left" w:pos="2160"/>
        </w:tabs>
        <w:spacing w:line="360" w:lineRule="auto"/>
        <w:ind w:left="0" w:firstLine="1440"/>
        <w:rPr>
          <w:sz w:val="24"/>
          <w:szCs w:val="24"/>
        </w:rPr>
      </w:pPr>
      <w:r w:rsidRPr="003C2B04">
        <w:rPr>
          <w:sz w:val="24"/>
          <w:szCs w:val="24"/>
        </w:rPr>
        <w:t>Every rate made, demanded, or received by any public utility, or by any two or more public utilities jointly, shall be just and reasonable, and in conformity with regulations or orders of the commission.  66 Pa.C.S. § 1301.</w:t>
      </w:r>
      <w:r w:rsidRPr="003C2B04">
        <w:rPr>
          <w:sz w:val="24"/>
          <w:szCs w:val="24"/>
        </w:rPr>
        <w:br/>
      </w:r>
    </w:p>
    <w:p w:rsidR="004C4F24" w:rsidRPr="003C2B04" w:rsidRDefault="004C4F24" w:rsidP="003C2B04">
      <w:pPr>
        <w:pStyle w:val="ListParagraph"/>
        <w:numPr>
          <w:ilvl w:val="0"/>
          <w:numId w:val="7"/>
        </w:numPr>
        <w:tabs>
          <w:tab w:val="left" w:pos="2160"/>
        </w:tabs>
        <w:spacing w:line="360" w:lineRule="auto"/>
        <w:ind w:left="0" w:firstLine="1440"/>
        <w:rPr>
          <w:sz w:val="24"/>
          <w:szCs w:val="24"/>
        </w:rPr>
      </w:pPr>
      <w:r w:rsidRPr="003C2B04">
        <w:rPr>
          <w:sz w:val="24"/>
          <w:szCs w:val="24"/>
        </w:rPr>
        <w:t>The burden of proving the justness and reasonableness of every element of the utility</w:t>
      </w:r>
      <w:r w:rsidR="00971DF4">
        <w:rPr>
          <w:sz w:val="24"/>
          <w:szCs w:val="24"/>
        </w:rPr>
        <w:t>’</w:t>
      </w:r>
      <w:r w:rsidRPr="003C2B04">
        <w:rPr>
          <w:sz w:val="24"/>
          <w:szCs w:val="24"/>
        </w:rPr>
        <w:t xml:space="preserve">s rate increase rests solely upon the public utility.  66 Pa.C.S. § 315(a); </w:t>
      </w:r>
      <w:r w:rsidRPr="003C2B04">
        <w:rPr>
          <w:i/>
          <w:sz w:val="24"/>
          <w:szCs w:val="24"/>
        </w:rPr>
        <w:t xml:space="preserve">Lower Frederick Twp. </w:t>
      </w:r>
      <w:r w:rsidR="004E7265">
        <w:rPr>
          <w:i/>
          <w:sz w:val="24"/>
          <w:szCs w:val="24"/>
        </w:rPr>
        <w:t>v</w:t>
      </w:r>
      <w:r w:rsidRPr="003C2B04">
        <w:rPr>
          <w:i/>
          <w:sz w:val="24"/>
          <w:szCs w:val="24"/>
        </w:rPr>
        <w:t>. Pa. Pub. Util. Comm</w:t>
      </w:r>
      <w:r w:rsidR="00971DF4">
        <w:rPr>
          <w:i/>
          <w:sz w:val="24"/>
          <w:szCs w:val="24"/>
        </w:rPr>
        <w:t>’</w:t>
      </w:r>
      <w:r w:rsidRPr="003C2B04">
        <w:rPr>
          <w:i/>
          <w:sz w:val="24"/>
          <w:szCs w:val="24"/>
        </w:rPr>
        <w:t>n</w:t>
      </w:r>
      <w:r w:rsidRPr="003C2B04">
        <w:rPr>
          <w:sz w:val="24"/>
          <w:szCs w:val="24"/>
        </w:rPr>
        <w:t>, 409 A.2d 505 (Pa</w:t>
      </w:r>
      <w:r w:rsidR="00971DF4">
        <w:rPr>
          <w:sz w:val="24"/>
          <w:szCs w:val="24"/>
        </w:rPr>
        <w:t>.</w:t>
      </w:r>
      <w:r w:rsidRPr="003C2B04">
        <w:rPr>
          <w:sz w:val="24"/>
          <w:szCs w:val="24"/>
        </w:rPr>
        <w:t>Cmwlth. Ct. 1980).</w:t>
      </w:r>
    </w:p>
    <w:p w:rsidR="004C4F24" w:rsidRPr="004C4F24" w:rsidRDefault="004C4F24" w:rsidP="003C2B04">
      <w:pPr>
        <w:tabs>
          <w:tab w:val="left" w:pos="2160"/>
        </w:tabs>
        <w:spacing w:line="360" w:lineRule="auto"/>
        <w:ind w:firstLine="1440"/>
        <w:rPr>
          <w:sz w:val="24"/>
          <w:szCs w:val="24"/>
        </w:rPr>
      </w:pPr>
    </w:p>
    <w:p w:rsidR="004C4F24" w:rsidRPr="003C2B04" w:rsidRDefault="004C4F24" w:rsidP="003C2B04">
      <w:pPr>
        <w:pStyle w:val="ListParagraph"/>
        <w:numPr>
          <w:ilvl w:val="0"/>
          <w:numId w:val="7"/>
        </w:numPr>
        <w:tabs>
          <w:tab w:val="left" w:pos="2160"/>
        </w:tabs>
        <w:spacing w:line="360" w:lineRule="auto"/>
        <w:ind w:left="0" w:firstLine="1440"/>
        <w:rPr>
          <w:sz w:val="24"/>
          <w:szCs w:val="24"/>
        </w:rPr>
      </w:pPr>
      <w:r w:rsidRPr="003C2B04">
        <w:rPr>
          <w:sz w:val="24"/>
          <w:szCs w:val="24"/>
        </w:rPr>
        <w:t xml:space="preserve">While the burden of proof remains with the public utility throughout the rate proceeding, the Commission has stated that where a party proposes an adjustment to a ratemaking claim of a utility, the proposing party bears the </w:t>
      </w:r>
      <w:r w:rsidRPr="003C2B04">
        <w:rPr>
          <w:bCs/>
          <w:sz w:val="24"/>
          <w:szCs w:val="24"/>
        </w:rPr>
        <w:t>burden</w:t>
      </w:r>
      <w:r w:rsidRPr="003C2B04">
        <w:rPr>
          <w:sz w:val="24"/>
          <w:szCs w:val="24"/>
        </w:rPr>
        <w:t xml:space="preserve"> of presenting some evidence or analysis tending to demonstrate the rea</w:t>
      </w:r>
      <w:r w:rsidR="004E7265">
        <w:rPr>
          <w:sz w:val="24"/>
          <w:szCs w:val="24"/>
        </w:rPr>
        <w:t xml:space="preserve">sonableness of the adjustment.  </w:t>
      </w:r>
      <w:r w:rsidR="004E7265" w:rsidRPr="004E7265">
        <w:rPr>
          <w:i/>
          <w:sz w:val="24"/>
          <w:szCs w:val="24"/>
        </w:rPr>
        <w:t>P</w:t>
      </w:r>
      <w:r w:rsidRPr="003C2B04">
        <w:rPr>
          <w:i/>
          <w:sz w:val="24"/>
          <w:szCs w:val="24"/>
        </w:rPr>
        <w:t>a</w:t>
      </w:r>
      <w:r w:rsidR="004E7265">
        <w:rPr>
          <w:i/>
          <w:sz w:val="24"/>
          <w:szCs w:val="24"/>
        </w:rPr>
        <w:t>.</w:t>
      </w:r>
      <w:r w:rsidRPr="003C2B04">
        <w:rPr>
          <w:i/>
          <w:sz w:val="24"/>
          <w:szCs w:val="24"/>
        </w:rPr>
        <w:t xml:space="preserve"> Pub. Util. Comm’n</w:t>
      </w:r>
      <w:r w:rsidR="005F13BC">
        <w:rPr>
          <w:i/>
          <w:sz w:val="24"/>
          <w:szCs w:val="24"/>
        </w:rPr>
        <w:t> </w:t>
      </w:r>
      <w:r w:rsidRPr="003C2B04">
        <w:rPr>
          <w:i/>
          <w:sz w:val="24"/>
          <w:szCs w:val="24"/>
        </w:rPr>
        <w:t>v. Aqua Pennsylvania, Inc</w:t>
      </w:r>
      <w:r w:rsidRPr="003C2B04">
        <w:rPr>
          <w:sz w:val="24"/>
          <w:szCs w:val="24"/>
        </w:rPr>
        <w:t xml:space="preserve">., Docket No. R-00072711 (Commission Opinion and Order entered July 17, 2008).  </w:t>
      </w:r>
    </w:p>
    <w:p w:rsidR="004C4F24" w:rsidRPr="004C4F24" w:rsidRDefault="004C4F24" w:rsidP="003C2B04">
      <w:pPr>
        <w:tabs>
          <w:tab w:val="left" w:pos="2160"/>
        </w:tabs>
        <w:spacing w:line="360" w:lineRule="auto"/>
        <w:ind w:firstLine="1440"/>
        <w:rPr>
          <w:sz w:val="24"/>
          <w:szCs w:val="24"/>
        </w:rPr>
      </w:pPr>
    </w:p>
    <w:p w:rsidR="004C4F24" w:rsidRPr="003C2B04" w:rsidRDefault="004C4F24" w:rsidP="003C2B04">
      <w:pPr>
        <w:pStyle w:val="ListParagraph"/>
        <w:numPr>
          <w:ilvl w:val="0"/>
          <w:numId w:val="7"/>
        </w:numPr>
        <w:tabs>
          <w:tab w:val="left" w:pos="2160"/>
        </w:tabs>
        <w:spacing w:line="360" w:lineRule="auto"/>
        <w:ind w:left="0" w:firstLine="1440"/>
        <w:rPr>
          <w:sz w:val="24"/>
          <w:szCs w:val="24"/>
        </w:rPr>
      </w:pPr>
      <w:r w:rsidRPr="003C2B04">
        <w:rPr>
          <w:sz w:val="24"/>
          <w:szCs w:val="24"/>
        </w:rPr>
        <w:t>The Commission must consider the efficiency, effectiveness and adequacy of service of each utility when determining just and reasonable rates in exchange for customers paying rates for service, which include the cost of utility plant in service and a rate of return.  66 Pa.C.S. § 523.</w:t>
      </w:r>
    </w:p>
    <w:p w:rsidR="004C4F24" w:rsidRPr="004C4F24" w:rsidRDefault="004C4F24" w:rsidP="003C2B04">
      <w:pPr>
        <w:tabs>
          <w:tab w:val="left" w:pos="2160"/>
        </w:tabs>
        <w:spacing w:line="360" w:lineRule="auto"/>
        <w:ind w:firstLine="1440"/>
        <w:rPr>
          <w:sz w:val="24"/>
          <w:szCs w:val="24"/>
        </w:rPr>
      </w:pPr>
    </w:p>
    <w:p w:rsidR="004C4F24" w:rsidRDefault="004C4F24" w:rsidP="003C2B04">
      <w:pPr>
        <w:pStyle w:val="ListParagraph"/>
        <w:numPr>
          <w:ilvl w:val="0"/>
          <w:numId w:val="7"/>
        </w:numPr>
        <w:tabs>
          <w:tab w:val="left" w:pos="2160"/>
        </w:tabs>
        <w:spacing w:line="360" w:lineRule="auto"/>
        <w:ind w:left="0" w:firstLine="1440"/>
        <w:rPr>
          <w:sz w:val="24"/>
          <w:szCs w:val="24"/>
        </w:rPr>
      </w:pPr>
      <w:r w:rsidRPr="003C2B04">
        <w:rPr>
          <w:sz w:val="24"/>
          <w:szCs w:val="24"/>
        </w:rPr>
        <w:t>In exchange for the utility’s provision of safe, adequate and reasonable service, the ratepayers are obligated to pay rates which cover the cost of service which includes reasonable operation and maintenance expenses, depr</w:t>
      </w:r>
      <w:bookmarkStart w:id="10" w:name="_GoBack"/>
      <w:bookmarkEnd w:id="10"/>
      <w:r w:rsidRPr="003C2B04">
        <w:rPr>
          <w:sz w:val="24"/>
          <w:szCs w:val="24"/>
        </w:rPr>
        <w:t xml:space="preserve">eciation, taxes and a fair rate of return for the utility’s investors.  </w:t>
      </w:r>
      <w:r w:rsidRPr="003C2B04">
        <w:rPr>
          <w:i/>
          <w:spacing w:val="-3"/>
          <w:sz w:val="24"/>
          <w:szCs w:val="24"/>
        </w:rPr>
        <w:t xml:space="preserve">Pa. Pub. Util. Comm’n </w:t>
      </w:r>
      <w:r w:rsidRPr="003C2B04">
        <w:rPr>
          <w:i/>
          <w:sz w:val="24"/>
          <w:szCs w:val="24"/>
        </w:rPr>
        <w:t xml:space="preserve"> v. Pennsylvania Gas &amp; Water Co., </w:t>
      </w:r>
      <w:r w:rsidRPr="003C2B04">
        <w:rPr>
          <w:sz w:val="24"/>
          <w:szCs w:val="24"/>
        </w:rPr>
        <w:t xml:space="preserve">61 Pa. PUC 409, 415-16 (1986); 66 Pa.C.S. § 1501.  </w:t>
      </w:r>
    </w:p>
    <w:p w:rsidR="00C539C2" w:rsidRPr="003C2B04" w:rsidRDefault="00C539C2" w:rsidP="00C539C2">
      <w:pPr>
        <w:pStyle w:val="ListParagraph"/>
        <w:tabs>
          <w:tab w:val="left" w:pos="2160"/>
        </w:tabs>
        <w:spacing w:line="360" w:lineRule="auto"/>
        <w:ind w:left="1440"/>
        <w:rPr>
          <w:sz w:val="24"/>
          <w:szCs w:val="24"/>
        </w:rPr>
      </w:pPr>
    </w:p>
    <w:p w:rsidR="004C4F24" w:rsidRPr="003C2B04" w:rsidRDefault="004C4F24" w:rsidP="003C2B04">
      <w:pPr>
        <w:pStyle w:val="ListParagraph"/>
        <w:numPr>
          <w:ilvl w:val="0"/>
          <w:numId w:val="7"/>
        </w:numPr>
        <w:tabs>
          <w:tab w:val="left" w:pos="2160"/>
        </w:tabs>
        <w:spacing w:line="360" w:lineRule="auto"/>
        <w:ind w:left="0" w:firstLine="1440"/>
        <w:rPr>
          <w:sz w:val="24"/>
          <w:szCs w:val="24"/>
        </w:rPr>
      </w:pPr>
      <w:r w:rsidRPr="003C2B04">
        <w:rPr>
          <w:sz w:val="24"/>
          <w:szCs w:val="24"/>
        </w:rPr>
        <w:t>The Commission has the discretionary authority to deny a proposed rate increase, in whole or in part, if the Commission finds that the service rendered by the public utility is inadequate.  66 Pa.C.S. § 526(a).</w:t>
      </w:r>
    </w:p>
    <w:p w:rsidR="004C4F24" w:rsidRPr="004C4F24" w:rsidRDefault="004C4F24" w:rsidP="003C2B04">
      <w:pPr>
        <w:tabs>
          <w:tab w:val="left" w:pos="2160"/>
        </w:tabs>
        <w:spacing w:line="360" w:lineRule="auto"/>
        <w:ind w:firstLine="1440"/>
        <w:rPr>
          <w:sz w:val="24"/>
          <w:szCs w:val="24"/>
        </w:rPr>
      </w:pPr>
    </w:p>
    <w:p w:rsidR="004C4F24" w:rsidRPr="003C2B04" w:rsidRDefault="004C4F24" w:rsidP="003C2B04">
      <w:pPr>
        <w:pStyle w:val="ListParagraph"/>
        <w:numPr>
          <w:ilvl w:val="0"/>
          <w:numId w:val="7"/>
        </w:numPr>
        <w:tabs>
          <w:tab w:val="left" w:pos="2160"/>
        </w:tabs>
        <w:spacing w:line="360" w:lineRule="auto"/>
        <w:ind w:left="0" w:firstLine="1440"/>
        <w:rPr>
          <w:spacing w:val="-3"/>
          <w:sz w:val="24"/>
          <w:szCs w:val="24"/>
        </w:rPr>
      </w:pPr>
      <w:r w:rsidRPr="003C2B04">
        <w:rPr>
          <w:sz w:val="24"/>
          <w:szCs w:val="24"/>
        </w:rPr>
        <w:t>I</w:t>
      </w:r>
      <w:r w:rsidRPr="003C2B04">
        <w:rPr>
          <w:spacing w:val="-3"/>
          <w:sz w:val="24"/>
          <w:szCs w:val="24"/>
        </w:rPr>
        <w:t xml:space="preserve">n proving that its proposed rates are just and reasonable, a public utility need not affirmatively defend every claim it has made in its filing, even those which no other party has questioned.  </w:t>
      </w:r>
      <w:r w:rsidRPr="003C2B04">
        <w:rPr>
          <w:i/>
          <w:spacing w:val="-3"/>
          <w:sz w:val="24"/>
          <w:szCs w:val="24"/>
        </w:rPr>
        <w:t>Allegheny Center Assocs. v. Pa</w:t>
      </w:r>
      <w:r w:rsidR="004E7265">
        <w:rPr>
          <w:i/>
          <w:spacing w:val="-3"/>
          <w:sz w:val="24"/>
          <w:szCs w:val="24"/>
        </w:rPr>
        <w:t>.</w:t>
      </w:r>
      <w:r w:rsidRPr="003C2B04">
        <w:rPr>
          <w:i/>
          <w:spacing w:val="-3"/>
          <w:sz w:val="24"/>
          <w:szCs w:val="24"/>
        </w:rPr>
        <w:t xml:space="preserve"> Pub. Util. Comm’n</w:t>
      </w:r>
      <w:r w:rsidRPr="003C2B04">
        <w:rPr>
          <w:spacing w:val="-3"/>
          <w:sz w:val="24"/>
          <w:szCs w:val="24"/>
        </w:rPr>
        <w:t xml:space="preserve">, 131 Pa.Cmwlth. 352, 359, 570 A.2d 149, 153 (1990) (citation omitted).  </w:t>
      </w:r>
      <w:r w:rsidRPr="003C2B04">
        <w:rPr>
          <w:i/>
          <w:spacing w:val="-3"/>
          <w:sz w:val="24"/>
          <w:szCs w:val="24"/>
        </w:rPr>
        <w:t>See also, Pa</w:t>
      </w:r>
      <w:r w:rsidR="004E7265">
        <w:rPr>
          <w:i/>
          <w:spacing w:val="-3"/>
          <w:sz w:val="24"/>
          <w:szCs w:val="24"/>
        </w:rPr>
        <w:t>.</w:t>
      </w:r>
      <w:r w:rsidRPr="003C2B04">
        <w:rPr>
          <w:i/>
          <w:spacing w:val="-3"/>
          <w:sz w:val="24"/>
          <w:szCs w:val="24"/>
        </w:rPr>
        <w:t xml:space="preserve"> Pub. Util. Comm’n v. Equitable Gas Co.</w:t>
      </w:r>
      <w:r w:rsidRPr="003C2B04">
        <w:rPr>
          <w:spacing w:val="-3"/>
          <w:sz w:val="24"/>
          <w:szCs w:val="24"/>
        </w:rPr>
        <w:t>, 73 Pa. PUC 310, 359</w:t>
      </w:r>
      <w:r w:rsidR="00971DF4">
        <w:rPr>
          <w:spacing w:val="-3"/>
          <w:sz w:val="24"/>
          <w:szCs w:val="24"/>
        </w:rPr>
        <w:t>-</w:t>
      </w:r>
      <w:r w:rsidRPr="003C2B04">
        <w:rPr>
          <w:spacing w:val="-3"/>
          <w:sz w:val="24"/>
          <w:szCs w:val="24"/>
        </w:rPr>
        <w:t>360 (1990).</w:t>
      </w:r>
    </w:p>
    <w:p w:rsidR="004C4F24" w:rsidRPr="004C4F24" w:rsidRDefault="004C4F24" w:rsidP="003C2B04">
      <w:pPr>
        <w:tabs>
          <w:tab w:val="left" w:pos="2160"/>
        </w:tabs>
        <w:spacing w:line="360" w:lineRule="auto"/>
        <w:ind w:firstLine="1440"/>
        <w:rPr>
          <w:spacing w:val="-3"/>
          <w:sz w:val="24"/>
          <w:szCs w:val="24"/>
        </w:rPr>
      </w:pPr>
    </w:p>
    <w:p w:rsidR="004C4F24" w:rsidRPr="003C2B04" w:rsidRDefault="004C4F24" w:rsidP="003C2B04">
      <w:pPr>
        <w:pStyle w:val="ListParagraph"/>
        <w:numPr>
          <w:ilvl w:val="0"/>
          <w:numId w:val="7"/>
        </w:numPr>
        <w:tabs>
          <w:tab w:val="left" w:pos="2160"/>
        </w:tabs>
        <w:spacing w:line="360" w:lineRule="auto"/>
        <w:ind w:left="0" w:firstLine="1440"/>
        <w:rPr>
          <w:sz w:val="24"/>
          <w:szCs w:val="24"/>
        </w:rPr>
      </w:pPr>
      <w:r w:rsidRPr="003C2B04">
        <w:rPr>
          <w:sz w:val="24"/>
          <w:szCs w:val="24"/>
        </w:rPr>
        <w:t xml:space="preserve">The Commission is not required to consider expressly and at length each contention and authority brought forth by each party to the proceeding.  </w:t>
      </w:r>
      <w:r w:rsidRPr="003C2B04">
        <w:rPr>
          <w:i/>
          <w:sz w:val="24"/>
          <w:szCs w:val="24"/>
        </w:rPr>
        <w:t>University of Pennsylvania v. Pa</w:t>
      </w:r>
      <w:r w:rsidR="004E7265">
        <w:rPr>
          <w:i/>
          <w:sz w:val="24"/>
          <w:szCs w:val="24"/>
        </w:rPr>
        <w:t>.</w:t>
      </w:r>
      <w:r w:rsidRPr="003C2B04">
        <w:rPr>
          <w:i/>
          <w:sz w:val="24"/>
          <w:szCs w:val="24"/>
        </w:rPr>
        <w:t xml:space="preserve"> Pub. Util. Comm’n</w:t>
      </w:r>
      <w:r w:rsidRPr="003C2B04">
        <w:rPr>
          <w:sz w:val="24"/>
          <w:szCs w:val="24"/>
        </w:rPr>
        <w:t xml:space="preserve">, 86 Pa.Cmwlth. 410, 485 A.2d 1217 (1984).  “A voluminous record does not create, by its bulk alone, a multitude of real issues demanding individual attention . . . .”  </w:t>
      </w:r>
      <w:r w:rsidRPr="003C2B04">
        <w:rPr>
          <w:i/>
          <w:sz w:val="24"/>
          <w:szCs w:val="24"/>
        </w:rPr>
        <w:t>Application of Midwestern Fidelity Corp.</w:t>
      </w:r>
      <w:r w:rsidRPr="003C2B04">
        <w:rPr>
          <w:sz w:val="24"/>
          <w:szCs w:val="24"/>
        </w:rPr>
        <w:t>, 26 Pa.Cmwlth. 211, 230 fn.</w:t>
      </w:r>
      <w:r w:rsidR="00971DF4">
        <w:rPr>
          <w:sz w:val="24"/>
          <w:szCs w:val="24"/>
        </w:rPr>
        <w:t> </w:t>
      </w:r>
      <w:r w:rsidRPr="003C2B04">
        <w:rPr>
          <w:sz w:val="24"/>
          <w:szCs w:val="24"/>
        </w:rPr>
        <w:t>6, 363 A.2d 892, 902, fn.</w:t>
      </w:r>
      <w:r w:rsidR="00971DF4">
        <w:rPr>
          <w:sz w:val="24"/>
          <w:szCs w:val="24"/>
        </w:rPr>
        <w:t xml:space="preserve"> </w:t>
      </w:r>
      <w:r w:rsidRPr="003C2B04">
        <w:rPr>
          <w:sz w:val="24"/>
          <w:szCs w:val="24"/>
        </w:rPr>
        <w:t xml:space="preserve">6 (1976).  </w:t>
      </w:r>
    </w:p>
    <w:p w:rsidR="004C4F24" w:rsidRPr="004C4F24" w:rsidRDefault="004C4F24" w:rsidP="003C2B04">
      <w:pPr>
        <w:tabs>
          <w:tab w:val="left" w:pos="-720"/>
          <w:tab w:val="left" w:pos="2160"/>
        </w:tabs>
        <w:suppressAutoHyphens/>
        <w:spacing w:line="360" w:lineRule="auto"/>
        <w:ind w:firstLine="1440"/>
        <w:rPr>
          <w:sz w:val="24"/>
          <w:szCs w:val="24"/>
        </w:rPr>
      </w:pPr>
    </w:p>
    <w:p w:rsidR="004C4F24" w:rsidRDefault="004C4F24" w:rsidP="003C2B04">
      <w:pPr>
        <w:pStyle w:val="ListParagraph"/>
        <w:numPr>
          <w:ilvl w:val="0"/>
          <w:numId w:val="7"/>
        </w:numPr>
        <w:tabs>
          <w:tab w:val="left" w:pos="-720"/>
          <w:tab w:val="left" w:pos="2160"/>
        </w:tabs>
        <w:suppressAutoHyphens/>
        <w:spacing w:line="360" w:lineRule="auto"/>
        <w:ind w:left="0" w:firstLine="1440"/>
        <w:rPr>
          <w:sz w:val="24"/>
          <w:szCs w:val="24"/>
        </w:rPr>
      </w:pPr>
      <w:r w:rsidRPr="003C2B04">
        <w:rPr>
          <w:sz w:val="24"/>
          <w:szCs w:val="24"/>
        </w:rPr>
        <w:t>A Commission decision is adequate where, on each of the issues raised, the Commission was merely presented with a choice of actions, each fully developed in the record, and its choice on each issue amounted to an implicit acceptance of one party</w:t>
      </w:r>
      <w:r w:rsidR="00971DF4">
        <w:rPr>
          <w:sz w:val="24"/>
          <w:szCs w:val="24"/>
        </w:rPr>
        <w:t>’</w:t>
      </w:r>
      <w:r w:rsidRPr="003C2B04">
        <w:rPr>
          <w:sz w:val="24"/>
          <w:szCs w:val="24"/>
        </w:rPr>
        <w:t>s thesis and rejection of the other party</w:t>
      </w:r>
      <w:r w:rsidR="00971DF4">
        <w:rPr>
          <w:sz w:val="24"/>
          <w:szCs w:val="24"/>
        </w:rPr>
        <w:t>’</w:t>
      </w:r>
      <w:r w:rsidRPr="003C2B04">
        <w:rPr>
          <w:sz w:val="24"/>
          <w:szCs w:val="24"/>
        </w:rPr>
        <w:t xml:space="preserve">s contention. </w:t>
      </w:r>
      <w:r w:rsidR="00971DF4">
        <w:rPr>
          <w:sz w:val="24"/>
          <w:szCs w:val="24"/>
        </w:rPr>
        <w:t xml:space="preserve"> </w:t>
      </w:r>
      <w:r w:rsidRPr="003C2B04">
        <w:rPr>
          <w:i/>
          <w:sz w:val="24"/>
          <w:szCs w:val="24"/>
        </w:rPr>
        <w:t>Popowsky, et al. v. Pa. Pub. Util. Comm</w:t>
      </w:r>
      <w:r w:rsidR="005F13BC">
        <w:rPr>
          <w:i/>
          <w:sz w:val="24"/>
          <w:szCs w:val="24"/>
        </w:rPr>
        <w:t>’</w:t>
      </w:r>
      <w:r w:rsidRPr="003C2B04">
        <w:rPr>
          <w:i/>
          <w:sz w:val="24"/>
          <w:szCs w:val="24"/>
        </w:rPr>
        <w:t>n</w:t>
      </w:r>
      <w:r w:rsidRPr="003C2B04">
        <w:rPr>
          <w:sz w:val="24"/>
          <w:szCs w:val="24"/>
        </w:rPr>
        <w:t xml:space="preserve">, 550 Pa. 449, 706 A.2d 1197 (1997), 1997 Pa. LEXIS 2756. </w:t>
      </w:r>
    </w:p>
    <w:p w:rsidR="00A87079" w:rsidRPr="00A87079" w:rsidRDefault="00A87079" w:rsidP="00A87079">
      <w:pPr>
        <w:pStyle w:val="ListParagraph"/>
        <w:rPr>
          <w:sz w:val="24"/>
          <w:szCs w:val="24"/>
        </w:rPr>
      </w:pPr>
    </w:p>
    <w:p w:rsidR="004C4F24" w:rsidRPr="003C2B04" w:rsidRDefault="004C4F24" w:rsidP="003C2B04">
      <w:pPr>
        <w:pStyle w:val="ListParagraph"/>
        <w:numPr>
          <w:ilvl w:val="0"/>
          <w:numId w:val="7"/>
        </w:numPr>
        <w:tabs>
          <w:tab w:val="left" w:pos="2160"/>
        </w:tabs>
        <w:spacing w:line="360" w:lineRule="auto"/>
        <w:ind w:left="0" w:firstLine="1440"/>
        <w:rPr>
          <w:sz w:val="24"/>
          <w:szCs w:val="24"/>
        </w:rPr>
      </w:pPr>
      <w:r w:rsidRPr="003C2B04">
        <w:rPr>
          <w:sz w:val="24"/>
          <w:szCs w:val="24"/>
        </w:rPr>
        <w:t>The standard formula for determining a utility</w:t>
      </w:r>
      <w:r w:rsidR="00971DF4">
        <w:rPr>
          <w:sz w:val="24"/>
          <w:szCs w:val="24"/>
        </w:rPr>
        <w:t>’</w:t>
      </w:r>
      <w:r w:rsidRPr="003C2B04">
        <w:rPr>
          <w:sz w:val="24"/>
          <w:szCs w:val="24"/>
        </w:rPr>
        <w:t>s base rate revenue requirement is:</w:t>
      </w:r>
    </w:p>
    <w:p w:rsidR="004C4F24" w:rsidRPr="004C4F24" w:rsidRDefault="004C4F24" w:rsidP="00A13FD1">
      <w:pPr>
        <w:tabs>
          <w:tab w:val="left" w:pos="2160"/>
        </w:tabs>
        <w:ind w:firstLine="1440"/>
        <w:rPr>
          <w:sz w:val="24"/>
          <w:szCs w:val="24"/>
        </w:rPr>
      </w:pPr>
    </w:p>
    <w:p w:rsidR="004C4F24" w:rsidRPr="00A13FD1" w:rsidRDefault="00A13FD1" w:rsidP="00A13FD1">
      <w:pPr>
        <w:pStyle w:val="ListParagraph"/>
        <w:numPr>
          <w:ilvl w:val="2"/>
          <w:numId w:val="7"/>
        </w:numPr>
        <w:tabs>
          <w:tab w:val="left" w:pos="2160"/>
        </w:tabs>
        <w:spacing w:line="360" w:lineRule="auto"/>
        <w:ind w:left="0" w:firstLine="2160"/>
        <w:rPr>
          <w:sz w:val="24"/>
          <w:szCs w:val="24"/>
        </w:rPr>
      </w:pPr>
      <w:r w:rsidRPr="00A13FD1">
        <w:rPr>
          <w:sz w:val="24"/>
          <w:szCs w:val="24"/>
        </w:rPr>
        <w:tab/>
      </w:r>
      <w:r w:rsidR="004C4F24" w:rsidRPr="00A13FD1">
        <w:rPr>
          <w:sz w:val="24"/>
          <w:szCs w:val="24"/>
        </w:rPr>
        <w:t>RR = E + D + T + (RB x ROR)</w:t>
      </w:r>
    </w:p>
    <w:p w:rsidR="004C4F24" w:rsidRPr="003C2B04" w:rsidRDefault="00A13FD1" w:rsidP="00A13FD1">
      <w:pPr>
        <w:pStyle w:val="ListParagraph"/>
        <w:numPr>
          <w:ilvl w:val="2"/>
          <w:numId w:val="7"/>
        </w:numPr>
        <w:tabs>
          <w:tab w:val="left" w:pos="2160"/>
        </w:tabs>
        <w:spacing w:line="360" w:lineRule="auto"/>
        <w:ind w:left="0" w:firstLine="2160"/>
        <w:rPr>
          <w:sz w:val="24"/>
          <w:szCs w:val="24"/>
        </w:rPr>
      </w:pPr>
      <w:r>
        <w:rPr>
          <w:sz w:val="24"/>
          <w:szCs w:val="24"/>
        </w:rPr>
        <w:tab/>
      </w:r>
      <w:r w:rsidR="004C4F24" w:rsidRPr="003C2B04">
        <w:rPr>
          <w:sz w:val="24"/>
          <w:szCs w:val="24"/>
        </w:rPr>
        <w:t xml:space="preserve">RR: </w:t>
      </w:r>
      <w:r w:rsidR="004C4F24" w:rsidRPr="003C2B04">
        <w:rPr>
          <w:sz w:val="24"/>
          <w:szCs w:val="24"/>
        </w:rPr>
        <w:tab/>
        <w:t>Revenue Requirement</w:t>
      </w:r>
    </w:p>
    <w:p w:rsidR="004C4F24" w:rsidRPr="003C2B04" w:rsidRDefault="00A13FD1" w:rsidP="00A13FD1">
      <w:pPr>
        <w:pStyle w:val="ListParagraph"/>
        <w:numPr>
          <w:ilvl w:val="2"/>
          <w:numId w:val="7"/>
        </w:numPr>
        <w:tabs>
          <w:tab w:val="left" w:pos="2160"/>
        </w:tabs>
        <w:spacing w:line="360" w:lineRule="auto"/>
        <w:ind w:left="0" w:firstLine="2160"/>
        <w:rPr>
          <w:sz w:val="24"/>
          <w:szCs w:val="24"/>
        </w:rPr>
      </w:pPr>
      <w:r>
        <w:rPr>
          <w:sz w:val="24"/>
          <w:szCs w:val="24"/>
        </w:rPr>
        <w:tab/>
      </w:r>
      <w:r w:rsidR="004C4F24" w:rsidRPr="003C2B04">
        <w:rPr>
          <w:sz w:val="24"/>
          <w:szCs w:val="24"/>
        </w:rPr>
        <w:t>E:</w:t>
      </w:r>
      <w:r w:rsidR="004C4F24" w:rsidRPr="003C2B04">
        <w:rPr>
          <w:sz w:val="24"/>
          <w:szCs w:val="24"/>
        </w:rPr>
        <w:tab/>
        <w:t>Operating Expense</w:t>
      </w:r>
    </w:p>
    <w:p w:rsidR="004C4F24" w:rsidRPr="003C2B04" w:rsidRDefault="00A13FD1" w:rsidP="00A13FD1">
      <w:pPr>
        <w:pStyle w:val="ListParagraph"/>
        <w:numPr>
          <w:ilvl w:val="2"/>
          <w:numId w:val="7"/>
        </w:numPr>
        <w:tabs>
          <w:tab w:val="left" w:pos="2160"/>
        </w:tabs>
        <w:spacing w:line="360" w:lineRule="auto"/>
        <w:ind w:left="0" w:firstLine="2160"/>
        <w:rPr>
          <w:sz w:val="24"/>
          <w:szCs w:val="24"/>
        </w:rPr>
      </w:pPr>
      <w:r>
        <w:rPr>
          <w:sz w:val="24"/>
          <w:szCs w:val="24"/>
        </w:rPr>
        <w:tab/>
      </w:r>
      <w:r w:rsidR="004C4F24" w:rsidRPr="003C2B04">
        <w:rPr>
          <w:sz w:val="24"/>
          <w:szCs w:val="24"/>
        </w:rPr>
        <w:t>D:</w:t>
      </w:r>
      <w:r w:rsidR="004C4F24" w:rsidRPr="003C2B04">
        <w:rPr>
          <w:sz w:val="24"/>
          <w:szCs w:val="24"/>
        </w:rPr>
        <w:tab/>
        <w:t>Depreciation Expense</w:t>
      </w:r>
    </w:p>
    <w:p w:rsidR="004C4F24" w:rsidRPr="003C2B04" w:rsidRDefault="00A13FD1" w:rsidP="00A13FD1">
      <w:pPr>
        <w:pStyle w:val="ListParagraph"/>
        <w:numPr>
          <w:ilvl w:val="2"/>
          <w:numId w:val="7"/>
        </w:numPr>
        <w:tabs>
          <w:tab w:val="left" w:pos="2160"/>
        </w:tabs>
        <w:spacing w:line="360" w:lineRule="auto"/>
        <w:ind w:left="0" w:firstLine="2160"/>
        <w:rPr>
          <w:sz w:val="24"/>
          <w:szCs w:val="24"/>
        </w:rPr>
      </w:pPr>
      <w:r>
        <w:rPr>
          <w:sz w:val="24"/>
          <w:szCs w:val="24"/>
        </w:rPr>
        <w:tab/>
      </w:r>
      <w:r w:rsidR="004C4F24" w:rsidRPr="003C2B04">
        <w:rPr>
          <w:sz w:val="24"/>
          <w:szCs w:val="24"/>
        </w:rPr>
        <w:t>T:</w:t>
      </w:r>
      <w:r w:rsidR="004C4F24" w:rsidRPr="003C2B04">
        <w:rPr>
          <w:sz w:val="24"/>
          <w:szCs w:val="24"/>
        </w:rPr>
        <w:tab/>
        <w:t>Taxes</w:t>
      </w:r>
    </w:p>
    <w:p w:rsidR="004C4F24" w:rsidRPr="003C2B04" w:rsidRDefault="00A13FD1" w:rsidP="00A13FD1">
      <w:pPr>
        <w:pStyle w:val="ListParagraph"/>
        <w:numPr>
          <w:ilvl w:val="2"/>
          <w:numId w:val="7"/>
        </w:numPr>
        <w:tabs>
          <w:tab w:val="left" w:pos="2160"/>
        </w:tabs>
        <w:spacing w:line="360" w:lineRule="auto"/>
        <w:ind w:left="0" w:firstLine="2160"/>
        <w:rPr>
          <w:sz w:val="24"/>
          <w:szCs w:val="24"/>
        </w:rPr>
      </w:pPr>
      <w:r>
        <w:rPr>
          <w:sz w:val="24"/>
          <w:szCs w:val="24"/>
        </w:rPr>
        <w:tab/>
      </w:r>
      <w:r w:rsidR="004C4F24" w:rsidRPr="003C2B04">
        <w:rPr>
          <w:sz w:val="24"/>
          <w:szCs w:val="24"/>
        </w:rPr>
        <w:t>RB:</w:t>
      </w:r>
      <w:r w:rsidR="004C4F24" w:rsidRPr="003C2B04">
        <w:rPr>
          <w:sz w:val="24"/>
          <w:szCs w:val="24"/>
        </w:rPr>
        <w:tab/>
        <w:t>Rate Base</w:t>
      </w:r>
    </w:p>
    <w:p w:rsidR="004C4F24" w:rsidRPr="003C2B04" w:rsidRDefault="00D53925" w:rsidP="00A13FD1">
      <w:pPr>
        <w:pStyle w:val="ListParagraph"/>
        <w:numPr>
          <w:ilvl w:val="2"/>
          <w:numId w:val="7"/>
        </w:numPr>
        <w:tabs>
          <w:tab w:val="left" w:pos="720"/>
          <w:tab w:val="left" w:pos="1440"/>
          <w:tab w:val="left" w:pos="2160"/>
          <w:tab w:val="left" w:pos="2880"/>
          <w:tab w:val="left" w:pos="3435"/>
        </w:tabs>
        <w:spacing w:line="360" w:lineRule="auto"/>
        <w:ind w:left="0" w:firstLine="2160"/>
        <w:rPr>
          <w:sz w:val="24"/>
          <w:szCs w:val="24"/>
        </w:rPr>
      </w:pPr>
      <w:r>
        <w:rPr>
          <w:sz w:val="24"/>
          <w:szCs w:val="24"/>
        </w:rPr>
        <w:t xml:space="preserve">            </w:t>
      </w:r>
      <w:r w:rsidR="004C4F24" w:rsidRPr="003C2B04">
        <w:rPr>
          <w:sz w:val="24"/>
          <w:szCs w:val="24"/>
        </w:rPr>
        <w:t>ROR:</w:t>
      </w:r>
      <w:r w:rsidR="004C4F24" w:rsidRPr="003C2B04">
        <w:rPr>
          <w:sz w:val="24"/>
          <w:szCs w:val="24"/>
        </w:rPr>
        <w:tab/>
        <w:t>Overall Rate of Return</w:t>
      </w:r>
    </w:p>
    <w:p w:rsidR="004C4F24" w:rsidRPr="004C4F24" w:rsidRDefault="004C4F24" w:rsidP="003C2B04">
      <w:pPr>
        <w:tabs>
          <w:tab w:val="left" w:pos="720"/>
          <w:tab w:val="left" w:pos="1440"/>
          <w:tab w:val="left" w:pos="2160"/>
          <w:tab w:val="left" w:pos="2880"/>
          <w:tab w:val="left" w:pos="3435"/>
        </w:tabs>
        <w:spacing w:line="360" w:lineRule="auto"/>
        <w:ind w:firstLine="1440"/>
        <w:rPr>
          <w:sz w:val="24"/>
          <w:szCs w:val="24"/>
        </w:rPr>
      </w:pPr>
    </w:p>
    <w:p w:rsidR="004C4F24" w:rsidRPr="003C2B04" w:rsidRDefault="004C4F24" w:rsidP="003C2B04">
      <w:pPr>
        <w:pStyle w:val="ListParagraph"/>
        <w:numPr>
          <w:ilvl w:val="0"/>
          <w:numId w:val="7"/>
        </w:numPr>
        <w:tabs>
          <w:tab w:val="left" w:pos="-720"/>
          <w:tab w:val="left" w:pos="2160"/>
        </w:tabs>
        <w:suppressAutoHyphens/>
        <w:spacing w:line="360" w:lineRule="auto"/>
        <w:ind w:left="0" w:firstLine="1440"/>
        <w:rPr>
          <w:sz w:val="24"/>
          <w:szCs w:val="24"/>
        </w:rPr>
      </w:pPr>
      <w:r w:rsidRPr="003C2B04">
        <w:rPr>
          <w:sz w:val="24"/>
          <w:szCs w:val="24"/>
        </w:rPr>
        <w:t xml:space="preserve">The law is clear that a utility is entitled to recover its reasonably incurred expenses.  </w:t>
      </w:r>
      <w:r w:rsidRPr="003C2B04">
        <w:rPr>
          <w:i/>
          <w:sz w:val="24"/>
          <w:szCs w:val="24"/>
        </w:rPr>
        <w:t>UGI Corp. v. Pa. Pub. Util. Comm</w:t>
      </w:r>
      <w:r w:rsidR="00A13FD1">
        <w:rPr>
          <w:i/>
          <w:sz w:val="24"/>
          <w:szCs w:val="24"/>
        </w:rPr>
        <w:t>’</w:t>
      </w:r>
      <w:r w:rsidRPr="003C2B04">
        <w:rPr>
          <w:i/>
          <w:sz w:val="24"/>
          <w:szCs w:val="24"/>
        </w:rPr>
        <w:t xml:space="preserve">n, </w:t>
      </w:r>
      <w:r w:rsidRPr="003C2B04">
        <w:rPr>
          <w:sz w:val="24"/>
          <w:szCs w:val="24"/>
        </w:rPr>
        <w:t xml:space="preserve">410 A.2d 923 (Pa.Cmwlth. 1980).  Expenses include such items as the cost of operations and maintenance (labor, fuel and administrative costs, e.g.), depreciation and taxes.  </w:t>
      </w:r>
      <w:r w:rsidRPr="003C2B04">
        <w:rPr>
          <w:i/>
          <w:sz w:val="24"/>
          <w:szCs w:val="24"/>
        </w:rPr>
        <w:t>Pennsylvania Power Company v. Pa. Pub. Util. Comm</w:t>
      </w:r>
      <w:r w:rsidR="00A13FD1">
        <w:rPr>
          <w:i/>
          <w:sz w:val="24"/>
          <w:szCs w:val="24"/>
        </w:rPr>
        <w:t>’</w:t>
      </w:r>
      <w:r w:rsidRPr="003C2B04">
        <w:rPr>
          <w:i/>
          <w:sz w:val="24"/>
          <w:szCs w:val="24"/>
        </w:rPr>
        <w:t xml:space="preserve">n, </w:t>
      </w:r>
      <w:r w:rsidRPr="003C2B04">
        <w:rPr>
          <w:sz w:val="24"/>
          <w:szCs w:val="24"/>
        </w:rPr>
        <w:t xml:space="preserve">561 A.2d 43, 47 (Pa.Cmwlth. Ct. 1989). </w:t>
      </w:r>
    </w:p>
    <w:p w:rsidR="004C4F24" w:rsidRPr="004C4F24" w:rsidRDefault="004C4F24" w:rsidP="003C2B04">
      <w:pPr>
        <w:tabs>
          <w:tab w:val="left" w:pos="2160"/>
        </w:tabs>
        <w:spacing w:line="360" w:lineRule="auto"/>
        <w:ind w:firstLine="1440"/>
        <w:rPr>
          <w:sz w:val="24"/>
          <w:szCs w:val="24"/>
        </w:rPr>
      </w:pPr>
    </w:p>
    <w:p w:rsidR="004C4F24" w:rsidRPr="003C2B04" w:rsidRDefault="004C4F24" w:rsidP="003C2B04">
      <w:pPr>
        <w:pStyle w:val="ListParagraph"/>
        <w:numPr>
          <w:ilvl w:val="0"/>
          <w:numId w:val="7"/>
        </w:numPr>
        <w:tabs>
          <w:tab w:val="left" w:pos="2160"/>
        </w:tabs>
        <w:spacing w:line="360" w:lineRule="auto"/>
        <w:ind w:left="0" w:firstLine="1440"/>
        <w:rPr>
          <w:sz w:val="24"/>
          <w:szCs w:val="24"/>
        </w:rPr>
      </w:pPr>
      <w:r w:rsidRPr="003C2B04">
        <w:rPr>
          <w:sz w:val="24"/>
          <w:szCs w:val="24"/>
        </w:rPr>
        <w:t xml:space="preserve">It is the historical filings, not the actual intentions of the utility, which will guide the determination of the normalization period.  </w:t>
      </w:r>
      <w:r w:rsidRPr="003C2B04">
        <w:rPr>
          <w:i/>
          <w:sz w:val="24"/>
          <w:szCs w:val="24"/>
        </w:rPr>
        <w:t>Pa. Pub. Util. Comm</w:t>
      </w:r>
      <w:r w:rsidR="00A13FD1">
        <w:rPr>
          <w:i/>
          <w:sz w:val="24"/>
          <w:szCs w:val="24"/>
        </w:rPr>
        <w:t>’</w:t>
      </w:r>
      <w:r w:rsidRPr="003C2B04">
        <w:rPr>
          <w:i/>
          <w:sz w:val="24"/>
          <w:szCs w:val="24"/>
        </w:rPr>
        <w:t>n v. City of Lancaster,</w:t>
      </w:r>
      <w:r w:rsidRPr="003C2B04">
        <w:rPr>
          <w:sz w:val="24"/>
          <w:szCs w:val="24"/>
        </w:rPr>
        <w:t xml:space="preserve"> R-2010-2179103, et al. (Opinion and Order entered July 14, 2011), 2011 Pa. PUC LEXIS 1685; </w:t>
      </w:r>
      <w:r w:rsidRPr="003C2B04">
        <w:rPr>
          <w:i/>
          <w:sz w:val="24"/>
          <w:szCs w:val="24"/>
        </w:rPr>
        <w:t>Pa. Pub. Utility Comm</w:t>
      </w:r>
      <w:r w:rsidR="00A13FD1">
        <w:rPr>
          <w:i/>
          <w:sz w:val="24"/>
          <w:szCs w:val="24"/>
        </w:rPr>
        <w:t>’</w:t>
      </w:r>
      <w:r w:rsidRPr="003C2B04">
        <w:rPr>
          <w:i/>
          <w:sz w:val="24"/>
          <w:szCs w:val="24"/>
        </w:rPr>
        <w:t xml:space="preserve">n v. Metropolitan Edison Company, </w:t>
      </w:r>
      <w:r w:rsidRPr="003C2B04">
        <w:rPr>
          <w:sz w:val="24"/>
          <w:szCs w:val="24"/>
        </w:rPr>
        <w:t>R-00061366, et al. (Opinion and Order entered January 4, 2077), 2007 Pa. PUC LEXIS 5.</w:t>
      </w:r>
    </w:p>
    <w:p w:rsidR="003C2B04" w:rsidRDefault="003C2B04" w:rsidP="003C2B04">
      <w:pPr>
        <w:pStyle w:val="ListParagraph"/>
        <w:tabs>
          <w:tab w:val="left" w:pos="2160"/>
        </w:tabs>
        <w:spacing w:line="360" w:lineRule="auto"/>
        <w:ind w:left="1440"/>
        <w:rPr>
          <w:sz w:val="24"/>
          <w:szCs w:val="24"/>
        </w:rPr>
      </w:pPr>
    </w:p>
    <w:p w:rsidR="004C4F24" w:rsidRDefault="003C2B04" w:rsidP="00A13FD1">
      <w:pPr>
        <w:pStyle w:val="ListParagraph"/>
        <w:numPr>
          <w:ilvl w:val="0"/>
          <w:numId w:val="7"/>
        </w:numPr>
        <w:tabs>
          <w:tab w:val="left" w:pos="2160"/>
        </w:tabs>
        <w:spacing w:line="360" w:lineRule="auto"/>
        <w:ind w:left="0" w:firstLine="1440"/>
        <w:rPr>
          <w:sz w:val="24"/>
          <w:szCs w:val="24"/>
          <w:lang w:eastAsia="ja-JP"/>
        </w:rPr>
      </w:pPr>
      <w:r>
        <w:rPr>
          <w:sz w:val="24"/>
          <w:szCs w:val="24"/>
        </w:rPr>
        <w:t>T</w:t>
      </w:r>
      <w:r w:rsidR="004C4F24" w:rsidRPr="003C2B04">
        <w:rPr>
          <w:sz w:val="24"/>
          <w:szCs w:val="24"/>
          <w:lang w:eastAsia="ja-JP"/>
        </w:rPr>
        <w:t xml:space="preserve">he Commission is charged with the duty of protecting the rights of the public.  As a general rule, a public utility, whose facilities and assets have been dedicated to public service, is entitled to </w:t>
      </w:r>
      <w:r w:rsidR="004C4F24" w:rsidRPr="003C2B04">
        <w:rPr>
          <w:i/>
          <w:sz w:val="24"/>
          <w:szCs w:val="24"/>
          <w:lang w:eastAsia="ja-JP"/>
        </w:rPr>
        <w:t>no more than</w:t>
      </w:r>
      <w:r w:rsidR="004C4F24" w:rsidRPr="003C2B04">
        <w:rPr>
          <w:sz w:val="24"/>
          <w:szCs w:val="24"/>
          <w:lang w:eastAsia="ja-JP"/>
        </w:rPr>
        <w:t xml:space="preserve"> a reasonable opportunity to earn a fair rate of return on shareholder investment.  It is the function of the commission in fixing a fair rate of return to consider not only the interest of the utility but that of the general public as well.  The commission stands between the public and the utility.” </w:t>
      </w:r>
      <w:r w:rsidR="00971DF4">
        <w:rPr>
          <w:sz w:val="24"/>
          <w:szCs w:val="24"/>
          <w:lang w:eastAsia="ja-JP"/>
        </w:rPr>
        <w:t xml:space="preserve"> </w:t>
      </w:r>
      <w:r w:rsidR="004C4F24" w:rsidRPr="003C2B04">
        <w:rPr>
          <w:i/>
          <w:sz w:val="24"/>
          <w:szCs w:val="24"/>
          <w:lang w:eastAsia="ja-JP"/>
        </w:rPr>
        <w:t xml:space="preserve">City of Pittsburgh v. Pa. </w:t>
      </w:r>
      <w:r w:rsidR="00AA085B">
        <w:rPr>
          <w:i/>
          <w:sz w:val="24"/>
          <w:szCs w:val="24"/>
          <w:lang w:eastAsia="ja-JP"/>
        </w:rPr>
        <w:t>Pub. Util. Comm’n</w:t>
      </w:r>
      <w:r w:rsidR="004C4F24" w:rsidRPr="003C2B04">
        <w:rPr>
          <w:sz w:val="24"/>
          <w:szCs w:val="24"/>
          <w:lang w:eastAsia="ja-JP"/>
        </w:rPr>
        <w:t>, 126 A.2d 777, 785 (Pa.Super. 1956)</w:t>
      </w:r>
      <w:r w:rsidR="004C4F24" w:rsidRPr="003C2B04">
        <w:rPr>
          <w:sz w:val="24"/>
          <w:szCs w:val="24"/>
          <w:lang w:eastAsia="ja-JP"/>
        </w:rPr>
        <w:fldChar w:fldCharType="begin"/>
      </w:r>
      <w:r w:rsidR="004C4F24" w:rsidRPr="003C2B04">
        <w:rPr>
          <w:sz w:val="24"/>
          <w:szCs w:val="24"/>
        </w:rPr>
        <w:instrText xml:space="preserve"> TA \l "</w:instrText>
      </w:r>
      <w:r w:rsidR="004C4F24" w:rsidRPr="003C2B04">
        <w:rPr>
          <w:sz w:val="24"/>
          <w:szCs w:val="24"/>
          <w:u w:val="single"/>
          <w:lang w:eastAsia="ja-JP"/>
        </w:rPr>
        <w:instrText>City of Pittsburgh v. Pa. PUC</w:instrText>
      </w:r>
      <w:r w:rsidR="004C4F24" w:rsidRPr="003C2B04">
        <w:rPr>
          <w:sz w:val="24"/>
          <w:szCs w:val="24"/>
          <w:lang w:eastAsia="ja-JP"/>
        </w:rPr>
        <w:instrText>, 126 A.2d 777, 785 (Pa. Super. 1956)</w:instrText>
      </w:r>
      <w:r w:rsidR="004C4F24" w:rsidRPr="003C2B04">
        <w:rPr>
          <w:sz w:val="24"/>
          <w:szCs w:val="24"/>
        </w:rPr>
        <w:instrText xml:space="preserve">" \s "City of Pittsburgh II" \c 1 </w:instrText>
      </w:r>
      <w:r w:rsidR="004C4F24" w:rsidRPr="003C2B04">
        <w:rPr>
          <w:sz w:val="24"/>
          <w:szCs w:val="24"/>
          <w:lang w:eastAsia="ja-JP"/>
        </w:rPr>
        <w:fldChar w:fldCharType="end"/>
      </w:r>
      <w:r w:rsidR="004C4F24" w:rsidRPr="003C2B04">
        <w:rPr>
          <w:sz w:val="24"/>
          <w:szCs w:val="24"/>
          <w:lang w:eastAsia="ja-JP"/>
        </w:rPr>
        <w:t xml:space="preserve">. </w:t>
      </w:r>
    </w:p>
    <w:p w:rsidR="00A87079" w:rsidRPr="00A87079" w:rsidRDefault="00A87079" w:rsidP="00A87079">
      <w:pPr>
        <w:pStyle w:val="ListParagraph"/>
        <w:rPr>
          <w:sz w:val="24"/>
          <w:szCs w:val="24"/>
          <w:lang w:eastAsia="ja-JP"/>
        </w:rPr>
      </w:pPr>
    </w:p>
    <w:p w:rsidR="004C4F24" w:rsidRDefault="00A13FD1" w:rsidP="00A13FD1">
      <w:pPr>
        <w:tabs>
          <w:tab w:val="left" w:pos="1440"/>
        </w:tabs>
        <w:spacing w:line="360" w:lineRule="auto"/>
        <w:ind w:firstLine="1440"/>
        <w:rPr>
          <w:sz w:val="24"/>
          <w:szCs w:val="24"/>
          <w:lang w:eastAsia="ja-JP"/>
        </w:rPr>
      </w:pPr>
      <w:r>
        <w:rPr>
          <w:sz w:val="24"/>
          <w:szCs w:val="24"/>
          <w:lang w:eastAsia="ja-JP"/>
        </w:rPr>
        <w:t>14.</w:t>
      </w:r>
      <w:r>
        <w:rPr>
          <w:sz w:val="24"/>
          <w:szCs w:val="24"/>
          <w:lang w:eastAsia="ja-JP"/>
        </w:rPr>
        <w:tab/>
      </w:r>
      <w:r w:rsidR="004C4F24" w:rsidRPr="00A13FD1">
        <w:rPr>
          <w:sz w:val="24"/>
          <w:szCs w:val="24"/>
          <w:lang w:eastAsia="ja-JP"/>
        </w:rPr>
        <w:t xml:space="preserve">The return should be reasonably sufficient to assure confidence in the financial soundness of the utility, and should be adequate, under efficient and economical management…to raise the money necessary for the proper discharge of public duties.  </w:t>
      </w:r>
      <w:r w:rsidR="004C4F24" w:rsidRPr="00A13FD1">
        <w:rPr>
          <w:i/>
          <w:sz w:val="24"/>
          <w:szCs w:val="24"/>
          <w:lang w:eastAsia="ja-JP"/>
        </w:rPr>
        <w:t>Bluefield Waterworks &amp; Improvement Co. v. Public Service Comm’n of West Virginia,</w:t>
      </w:r>
      <w:r w:rsidR="004C4F24" w:rsidRPr="00A13FD1">
        <w:rPr>
          <w:sz w:val="24"/>
          <w:szCs w:val="24"/>
          <w:lang w:eastAsia="ja-JP"/>
        </w:rPr>
        <w:t xml:space="preserve"> 262 U.S. 679 (1923)</w:t>
      </w:r>
      <w:r w:rsidR="004C4F24" w:rsidRPr="00A13FD1">
        <w:rPr>
          <w:sz w:val="24"/>
          <w:szCs w:val="24"/>
          <w:lang w:eastAsia="ja-JP"/>
        </w:rPr>
        <w:fldChar w:fldCharType="begin"/>
      </w:r>
      <w:r w:rsidR="004C4F24" w:rsidRPr="00A13FD1">
        <w:rPr>
          <w:sz w:val="24"/>
          <w:szCs w:val="24"/>
        </w:rPr>
        <w:instrText xml:space="preserve"> TA \l "</w:instrText>
      </w:r>
      <w:r w:rsidR="004C4F24" w:rsidRPr="00A13FD1">
        <w:rPr>
          <w:sz w:val="24"/>
          <w:szCs w:val="24"/>
          <w:u w:val="single"/>
          <w:lang w:eastAsia="ja-JP"/>
        </w:rPr>
        <w:instrText>Bluefield Waterworks &amp; Improvement Co. v. Public Service Comm’n of West Virginia</w:instrText>
      </w:r>
      <w:r w:rsidR="004C4F24" w:rsidRPr="00A13FD1">
        <w:rPr>
          <w:sz w:val="24"/>
          <w:szCs w:val="24"/>
          <w:lang w:eastAsia="ja-JP"/>
        </w:rPr>
        <w:instrText>, 262 U.S. 679 (1923)</w:instrText>
      </w:r>
      <w:r w:rsidR="004C4F24" w:rsidRPr="00A13FD1">
        <w:rPr>
          <w:sz w:val="24"/>
          <w:szCs w:val="24"/>
        </w:rPr>
        <w:instrText xml:space="preserve">" \s "Bluefield" \c 1 </w:instrText>
      </w:r>
      <w:r w:rsidR="004C4F24" w:rsidRPr="00A13FD1">
        <w:rPr>
          <w:sz w:val="24"/>
          <w:szCs w:val="24"/>
          <w:lang w:eastAsia="ja-JP"/>
        </w:rPr>
        <w:fldChar w:fldCharType="end"/>
      </w:r>
      <w:r w:rsidR="004C4F24" w:rsidRPr="00A13FD1">
        <w:rPr>
          <w:sz w:val="24"/>
          <w:szCs w:val="24"/>
          <w:lang w:eastAsia="ja-JP"/>
        </w:rPr>
        <w:t>.</w:t>
      </w:r>
    </w:p>
    <w:p w:rsidR="00A13FD1" w:rsidRPr="00A13FD1" w:rsidRDefault="00A13FD1" w:rsidP="00A13FD1">
      <w:pPr>
        <w:tabs>
          <w:tab w:val="left" w:pos="1440"/>
        </w:tabs>
        <w:spacing w:line="360" w:lineRule="auto"/>
        <w:ind w:firstLine="1440"/>
        <w:rPr>
          <w:sz w:val="24"/>
          <w:szCs w:val="24"/>
          <w:lang w:eastAsia="ja-JP"/>
        </w:rPr>
      </w:pPr>
    </w:p>
    <w:p w:rsidR="007D4EBF" w:rsidRPr="00A13FD1" w:rsidRDefault="00A13FD1" w:rsidP="00A13FD1">
      <w:pPr>
        <w:spacing w:line="360" w:lineRule="auto"/>
        <w:ind w:firstLine="1440"/>
        <w:rPr>
          <w:sz w:val="24"/>
          <w:szCs w:val="24"/>
          <w:lang w:eastAsia="ja-JP"/>
        </w:rPr>
      </w:pPr>
      <w:r>
        <w:rPr>
          <w:sz w:val="24"/>
          <w:szCs w:val="24"/>
          <w:lang w:eastAsia="ja-JP"/>
        </w:rPr>
        <w:t>15.</w:t>
      </w:r>
      <w:r>
        <w:rPr>
          <w:sz w:val="24"/>
          <w:szCs w:val="24"/>
          <w:lang w:eastAsia="ja-JP"/>
        </w:rPr>
        <w:tab/>
      </w:r>
      <w:r w:rsidR="004C4F24" w:rsidRPr="00A13FD1">
        <w:rPr>
          <w:sz w:val="24"/>
          <w:szCs w:val="24"/>
          <w:lang w:eastAsia="ja-JP"/>
        </w:rPr>
        <w:t>Determination of a fair rate of return for a public utility requires the exercise of informed judgment based upon an evaluation of the particular facts presented in each proceeding.  There is no one precise answer to the question as to what constitutes the proper rate of</w:t>
      </w:r>
      <w:r w:rsidR="004E3283">
        <w:rPr>
          <w:sz w:val="24"/>
          <w:szCs w:val="24"/>
          <w:lang w:eastAsia="ja-JP"/>
        </w:rPr>
        <w:t xml:space="preserve"> return.  The interests of the c</w:t>
      </w:r>
      <w:r w:rsidR="004C4F24" w:rsidRPr="00A13FD1">
        <w:rPr>
          <w:sz w:val="24"/>
          <w:szCs w:val="24"/>
          <w:lang w:eastAsia="ja-JP"/>
        </w:rPr>
        <w:t xml:space="preserve">ompany and its investors are to be considered along with those of the customers, all to the end of assuring adequate service to the public at the least cost, while at the same time maintaining the financial integrity of the utility involved.  </w:t>
      </w:r>
      <w:r w:rsidR="004C4F24" w:rsidRPr="00A13FD1">
        <w:rPr>
          <w:i/>
          <w:sz w:val="24"/>
          <w:szCs w:val="24"/>
          <w:lang w:eastAsia="ja-JP"/>
        </w:rPr>
        <w:t>Pa. Pub. Util. Co</w:t>
      </w:r>
      <w:r w:rsidR="00971DF4">
        <w:rPr>
          <w:i/>
          <w:sz w:val="24"/>
          <w:szCs w:val="24"/>
          <w:lang w:eastAsia="ja-JP"/>
        </w:rPr>
        <w:t>mm’n</w:t>
      </w:r>
      <w:r>
        <w:rPr>
          <w:i/>
          <w:sz w:val="24"/>
          <w:szCs w:val="24"/>
          <w:lang w:eastAsia="ja-JP"/>
        </w:rPr>
        <w:t> </w:t>
      </w:r>
      <w:r w:rsidR="004C4F24" w:rsidRPr="00A13FD1">
        <w:rPr>
          <w:i/>
          <w:sz w:val="24"/>
          <w:szCs w:val="24"/>
          <w:lang w:eastAsia="ja-JP"/>
        </w:rPr>
        <w:t>v. Pennsylvania Power Co</w:t>
      </w:r>
      <w:r w:rsidR="004C4F24" w:rsidRPr="00A13FD1">
        <w:rPr>
          <w:sz w:val="24"/>
          <w:szCs w:val="24"/>
          <w:lang w:eastAsia="ja-JP"/>
        </w:rPr>
        <w:t>., 55 Pa. PUC 552, 579 (1982)</w:t>
      </w:r>
      <w:r w:rsidR="004C4F24" w:rsidRPr="00A13FD1">
        <w:rPr>
          <w:sz w:val="24"/>
          <w:szCs w:val="24"/>
          <w:lang w:eastAsia="ja-JP"/>
        </w:rPr>
        <w:fldChar w:fldCharType="begin"/>
      </w:r>
      <w:r w:rsidR="004C4F24" w:rsidRPr="00A13FD1">
        <w:rPr>
          <w:sz w:val="24"/>
          <w:szCs w:val="24"/>
        </w:rPr>
        <w:instrText xml:space="preserve"> TA \l "</w:instrText>
      </w:r>
      <w:r w:rsidR="004C4F24" w:rsidRPr="00A13FD1">
        <w:rPr>
          <w:sz w:val="24"/>
          <w:szCs w:val="24"/>
          <w:u w:val="single"/>
          <w:lang w:eastAsia="ja-JP"/>
        </w:rPr>
        <w:instrText>Pa. PUC v. Pennsylvania Power Co.</w:instrText>
      </w:r>
      <w:r w:rsidR="004C4F24" w:rsidRPr="00A13FD1">
        <w:rPr>
          <w:sz w:val="24"/>
          <w:szCs w:val="24"/>
          <w:lang w:eastAsia="ja-JP"/>
        </w:rPr>
        <w:instrText>, 55 Pa. PUC 552, 579 (1982)</w:instrText>
      </w:r>
      <w:r w:rsidR="004C4F24" w:rsidRPr="00A13FD1">
        <w:rPr>
          <w:sz w:val="24"/>
          <w:szCs w:val="24"/>
        </w:rPr>
        <w:instrText xml:space="preserve">" \s "Pa. PUC v. Pennsylvania Power Co." \c 2 </w:instrText>
      </w:r>
      <w:r w:rsidR="004C4F24" w:rsidRPr="00A13FD1">
        <w:rPr>
          <w:sz w:val="24"/>
          <w:szCs w:val="24"/>
          <w:lang w:eastAsia="ja-JP"/>
        </w:rPr>
        <w:fldChar w:fldCharType="end"/>
      </w:r>
      <w:r w:rsidR="004C4F24" w:rsidRPr="00A13FD1">
        <w:rPr>
          <w:sz w:val="24"/>
          <w:szCs w:val="24"/>
          <w:lang w:eastAsia="ja-JP"/>
        </w:rPr>
        <w:t xml:space="preserve">.  </w:t>
      </w:r>
      <w:r w:rsidR="004C4F24" w:rsidRPr="00A13FD1">
        <w:rPr>
          <w:sz w:val="24"/>
          <w:szCs w:val="24"/>
          <w:u w:val="single"/>
          <w:lang w:eastAsia="ja-JP"/>
        </w:rPr>
        <w:t>See</w:t>
      </w:r>
      <w:r w:rsidR="004C4F24" w:rsidRPr="00A13FD1">
        <w:rPr>
          <w:sz w:val="24"/>
          <w:szCs w:val="24"/>
          <w:lang w:eastAsia="ja-JP"/>
        </w:rPr>
        <w:t xml:space="preserve"> </w:t>
      </w:r>
      <w:r w:rsidR="004C4F24" w:rsidRPr="00A13FD1">
        <w:rPr>
          <w:sz w:val="24"/>
          <w:szCs w:val="24"/>
          <w:u w:val="single"/>
          <w:lang w:eastAsia="ja-JP"/>
        </w:rPr>
        <w:t>also</w:t>
      </w:r>
      <w:r w:rsidR="004C4F24" w:rsidRPr="00A13FD1">
        <w:rPr>
          <w:sz w:val="24"/>
          <w:szCs w:val="24"/>
          <w:lang w:eastAsia="ja-JP"/>
        </w:rPr>
        <w:t xml:space="preserve"> </w:t>
      </w:r>
      <w:r w:rsidR="004C4F24" w:rsidRPr="00A13FD1">
        <w:rPr>
          <w:i/>
          <w:sz w:val="24"/>
          <w:szCs w:val="24"/>
          <w:lang w:eastAsia="ja-JP"/>
        </w:rPr>
        <w:t xml:space="preserve">Pa. </w:t>
      </w:r>
      <w:r w:rsidR="00AA085B" w:rsidRPr="00A13FD1">
        <w:rPr>
          <w:i/>
          <w:sz w:val="24"/>
          <w:szCs w:val="24"/>
          <w:lang w:eastAsia="ja-JP"/>
        </w:rPr>
        <w:t>Pub. Util. Comm’n</w:t>
      </w:r>
      <w:r>
        <w:rPr>
          <w:i/>
          <w:sz w:val="24"/>
          <w:szCs w:val="24"/>
          <w:lang w:eastAsia="ja-JP"/>
        </w:rPr>
        <w:t> </w:t>
      </w:r>
      <w:r w:rsidR="004C4F24" w:rsidRPr="00A13FD1">
        <w:rPr>
          <w:i/>
          <w:sz w:val="24"/>
          <w:szCs w:val="24"/>
          <w:lang w:eastAsia="ja-JP"/>
        </w:rPr>
        <w:t>v. National Fuel Gas Dist. Corp</w:t>
      </w:r>
      <w:r w:rsidR="004C4F24" w:rsidRPr="00A13FD1">
        <w:rPr>
          <w:sz w:val="24"/>
          <w:szCs w:val="24"/>
          <w:lang w:eastAsia="ja-JP"/>
        </w:rPr>
        <w:t>., 73 Pa. PUC 552, 603-605 (1990)</w:t>
      </w:r>
      <w:r w:rsidR="004C4F24" w:rsidRPr="00A13FD1">
        <w:rPr>
          <w:sz w:val="24"/>
          <w:szCs w:val="24"/>
          <w:lang w:eastAsia="ja-JP"/>
        </w:rPr>
        <w:fldChar w:fldCharType="begin"/>
      </w:r>
      <w:r w:rsidR="004C4F24" w:rsidRPr="00A13FD1">
        <w:rPr>
          <w:sz w:val="24"/>
          <w:szCs w:val="24"/>
        </w:rPr>
        <w:instrText xml:space="preserve"> TA \s "Pa. PUC v. National Fuel Gas Dist. Corp." </w:instrText>
      </w:r>
      <w:r w:rsidR="004C4F24" w:rsidRPr="00A13FD1">
        <w:rPr>
          <w:sz w:val="24"/>
          <w:szCs w:val="24"/>
          <w:lang w:eastAsia="ja-JP"/>
        </w:rPr>
        <w:fldChar w:fldCharType="end"/>
      </w:r>
      <w:r w:rsidR="004C4F24" w:rsidRPr="00A13FD1">
        <w:rPr>
          <w:sz w:val="24"/>
          <w:szCs w:val="24"/>
          <w:lang w:eastAsia="ja-JP"/>
        </w:rPr>
        <w:t xml:space="preserve">. </w:t>
      </w:r>
    </w:p>
    <w:p w:rsidR="007D4EBF" w:rsidRDefault="007D4EBF" w:rsidP="007D4EBF">
      <w:pPr>
        <w:pStyle w:val="ListParagraph"/>
        <w:spacing w:line="360" w:lineRule="auto"/>
        <w:ind w:left="1440"/>
        <w:rPr>
          <w:sz w:val="24"/>
          <w:szCs w:val="24"/>
          <w:lang w:eastAsia="ja-JP"/>
        </w:rPr>
      </w:pPr>
      <w:r>
        <w:rPr>
          <w:sz w:val="24"/>
          <w:szCs w:val="24"/>
          <w:lang w:eastAsia="ja-JP"/>
        </w:rPr>
        <w:t xml:space="preserve"> </w:t>
      </w:r>
    </w:p>
    <w:p w:rsidR="007D4EBF" w:rsidRPr="00A13FD1" w:rsidRDefault="00A13FD1" w:rsidP="00A13FD1">
      <w:pPr>
        <w:tabs>
          <w:tab w:val="left" w:pos="2160"/>
        </w:tabs>
        <w:spacing w:line="360" w:lineRule="auto"/>
        <w:ind w:firstLine="1440"/>
        <w:rPr>
          <w:vanish/>
          <w:sz w:val="24"/>
          <w:szCs w:val="24"/>
        </w:rPr>
      </w:pPr>
      <w:r>
        <w:rPr>
          <w:sz w:val="24"/>
          <w:szCs w:val="24"/>
        </w:rPr>
        <w:t>16.</w:t>
      </w:r>
      <w:r>
        <w:rPr>
          <w:sz w:val="24"/>
          <w:szCs w:val="24"/>
        </w:rPr>
        <w:tab/>
      </w:r>
      <w:r w:rsidR="004C4F24" w:rsidRPr="00A13FD1">
        <w:rPr>
          <w:sz w:val="24"/>
          <w:szCs w:val="24"/>
        </w:rPr>
        <w:t xml:space="preserve">Establishment of a rate structure is an administrative function peculiarly within the expertise of the Commission.  </w:t>
      </w:r>
      <w:r w:rsidR="004C4F24" w:rsidRPr="00A13FD1">
        <w:rPr>
          <w:i/>
          <w:sz w:val="24"/>
          <w:szCs w:val="24"/>
        </w:rPr>
        <w:t>Emporium Water Company v. Pa. Pub. Util. Comm</w:t>
      </w:r>
      <w:r w:rsidR="00971DF4">
        <w:rPr>
          <w:i/>
          <w:sz w:val="24"/>
          <w:szCs w:val="24"/>
        </w:rPr>
        <w:t>’</w:t>
      </w:r>
      <w:r w:rsidR="004C4F24" w:rsidRPr="00A13FD1">
        <w:rPr>
          <w:i/>
          <w:sz w:val="24"/>
          <w:szCs w:val="24"/>
        </w:rPr>
        <w:t xml:space="preserve">n, </w:t>
      </w:r>
      <w:r w:rsidR="004C4F24" w:rsidRPr="00A13FD1">
        <w:rPr>
          <w:sz w:val="24"/>
          <w:szCs w:val="24"/>
        </w:rPr>
        <w:t xml:space="preserve">955 A.2d 456, 461 (Pa.Cmwlth. Ct. 2008); </w:t>
      </w:r>
      <w:r w:rsidR="004C4F24" w:rsidRPr="00A13FD1">
        <w:rPr>
          <w:i/>
          <w:sz w:val="24"/>
          <w:szCs w:val="24"/>
        </w:rPr>
        <w:t>City of Lancaster v. Pa. Pub. Util. Comm</w:t>
      </w:r>
      <w:r w:rsidR="00971DF4">
        <w:rPr>
          <w:i/>
          <w:sz w:val="24"/>
          <w:szCs w:val="24"/>
        </w:rPr>
        <w:t>’</w:t>
      </w:r>
      <w:r w:rsidR="004C4F24" w:rsidRPr="00A13FD1">
        <w:rPr>
          <w:i/>
          <w:sz w:val="24"/>
          <w:szCs w:val="24"/>
        </w:rPr>
        <w:t>n</w:t>
      </w:r>
      <w:r w:rsidR="004C4F24" w:rsidRPr="00A13FD1">
        <w:rPr>
          <w:sz w:val="24"/>
          <w:szCs w:val="24"/>
        </w:rPr>
        <w:t xml:space="preserve">, 769 A.2d 567, 571-72 (Pa.Cmwlth. Ct. 2001).  The question of reasonableness of rates and the difference between rates in their respective classes is an administrative question for the Commission to decide.  </w:t>
      </w:r>
      <w:r w:rsidR="004C4F24" w:rsidRPr="00A13FD1">
        <w:rPr>
          <w:i/>
          <w:sz w:val="24"/>
          <w:szCs w:val="24"/>
        </w:rPr>
        <w:t>Pennsylvania Power &amp; Light Co. v. Pa. Pub. Util. Comm</w:t>
      </w:r>
      <w:r w:rsidR="00971DF4">
        <w:rPr>
          <w:i/>
          <w:sz w:val="24"/>
          <w:szCs w:val="24"/>
        </w:rPr>
        <w:t>’</w:t>
      </w:r>
      <w:r w:rsidR="004C4F24" w:rsidRPr="00A13FD1">
        <w:rPr>
          <w:i/>
          <w:sz w:val="24"/>
          <w:szCs w:val="24"/>
        </w:rPr>
        <w:t xml:space="preserve">n, </w:t>
      </w:r>
      <w:r w:rsidR="004C4F24" w:rsidRPr="00A13FD1">
        <w:rPr>
          <w:sz w:val="24"/>
          <w:szCs w:val="24"/>
        </w:rPr>
        <w:t xml:space="preserve">516 A.2d 426 (Pa.Cmwlth. Ct. 1986); </w:t>
      </w:r>
      <w:r w:rsidR="004C4F24" w:rsidRPr="00A13FD1">
        <w:rPr>
          <w:i/>
          <w:sz w:val="24"/>
          <w:szCs w:val="24"/>
        </w:rPr>
        <w:t>Park Towne v. Pa. Pub. Util. Comm</w:t>
      </w:r>
      <w:r w:rsidR="00AC3F7D">
        <w:rPr>
          <w:i/>
          <w:sz w:val="24"/>
          <w:szCs w:val="24"/>
        </w:rPr>
        <w:t>’</w:t>
      </w:r>
      <w:r w:rsidR="004C4F24" w:rsidRPr="00A13FD1">
        <w:rPr>
          <w:i/>
          <w:sz w:val="24"/>
          <w:szCs w:val="24"/>
        </w:rPr>
        <w:t xml:space="preserve">n, </w:t>
      </w:r>
      <w:r w:rsidR="004C4F24" w:rsidRPr="00A13FD1">
        <w:rPr>
          <w:sz w:val="24"/>
          <w:szCs w:val="24"/>
        </w:rPr>
        <w:t>43 A.2d 610 (1981).</w:t>
      </w:r>
    </w:p>
    <w:p w:rsidR="007D4EBF" w:rsidRDefault="007D4EBF" w:rsidP="007D4EBF">
      <w:pPr>
        <w:spacing w:line="360" w:lineRule="auto"/>
        <w:ind w:firstLine="1440"/>
        <w:rPr>
          <w:sz w:val="24"/>
          <w:szCs w:val="24"/>
        </w:rPr>
      </w:pPr>
    </w:p>
    <w:p w:rsidR="00CD13F7" w:rsidRDefault="00CD13F7" w:rsidP="007D4EBF">
      <w:pPr>
        <w:spacing w:line="360" w:lineRule="auto"/>
        <w:ind w:firstLine="1440"/>
        <w:rPr>
          <w:sz w:val="24"/>
          <w:szCs w:val="24"/>
        </w:rPr>
      </w:pPr>
    </w:p>
    <w:p w:rsidR="004C4F24" w:rsidRPr="00971DF4" w:rsidRDefault="00A13FD1" w:rsidP="00A13FD1">
      <w:pPr>
        <w:tabs>
          <w:tab w:val="left" w:pos="2160"/>
        </w:tabs>
        <w:spacing w:line="360" w:lineRule="auto"/>
        <w:ind w:firstLine="1440"/>
        <w:rPr>
          <w:sz w:val="24"/>
          <w:szCs w:val="24"/>
        </w:rPr>
      </w:pPr>
      <w:r>
        <w:rPr>
          <w:sz w:val="24"/>
          <w:szCs w:val="24"/>
        </w:rPr>
        <w:t>17.</w:t>
      </w:r>
      <w:r>
        <w:rPr>
          <w:sz w:val="24"/>
          <w:szCs w:val="24"/>
        </w:rPr>
        <w:tab/>
      </w:r>
      <w:r w:rsidR="007D4EBF" w:rsidRPr="00A13FD1">
        <w:rPr>
          <w:sz w:val="24"/>
          <w:szCs w:val="24"/>
        </w:rPr>
        <w:t xml:space="preserve"> Th</w:t>
      </w:r>
      <w:r w:rsidR="004C4F24" w:rsidRPr="00A13FD1">
        <w:rPr>
          <w:sz w:val="24"/>
          <w:szCs w:val="24"/>
        </w:rPr>
        <w:t xml:space="preserve">e basic factor in allocating revenue is to have the rates reflect the cost of service.  </w:t>
      </w:r>
      <w:r w:rsidR="004C4F24" w:rsidRPr="00A13FD1">
        <w:rPr>
          <w:i/>
          <w:sz w:val="24"/>
          <w:szCs w:val="24"/>
        </w:rPr>
        <w:t>Lloyd v. Pa. Pub. Util. Comm</w:t>
      </w:r>
      <w:r w:rsidR="00971DF4">
        <w:rPr>
          <w:i/>
          <w:sz w:val="24"/>
          <w:szCs w:val="24"/>
        </w:rPr>
        <w:t>’</w:t>
      </w:r>
      <w:r w:rsidR="004C4F24" w:rsidRPr="00A13FD1">
        <w:rPr>
          <w:i/>
          <w:sz w:val="24"/>
          <w:szCs w:val="24"/>
        </w:rPr>
        <w:t>n</w:t>
      </w:r>
      <w:r w:rsidR="004C4F24" w:rsidRPr="00971DF4">
        <w:rPr>
          <w:i/>
          <w:sz w:val="24"/>
          <w:szCs w:val="24"/>
        </w:rPr>
        <w:t xml:space="preserve">, </w:t>
      </w:r>
      <w:r w:rsidR="004C4F24" w:rsidRPr="00971DF4">
        <w:rPr>
          <w:sz w:val="24"/>
          <w:szCs w:val="24"/>
        </w:rPr>
        <w:t>904 A.2d 1010, 1020 (Pa.Cmwlth. Ct. 2006).</w:t>
      </w:r>
    </w:p>
    <w:p w:rsidR="000C1428" w:rsidRDefault="000C1428" w:rsidP="000C1428">
      <w:pPr>
        <w:pStyle w:val="ListParagraph"/>
        <w:tabs>
          <w:tab w:val="left" w:pos="2160"/>
        </w:tabs>
        <w:spacing w:line="360" w:lineRule="auto"/>
        <w:ind w:left="1440"/>
      </w:pPr>
      <w:r>
        <w:t xml:space="preserve"> </w:t>
      </w:r>
    </w:p>
    <w:p w:rsidR="000C1428" w:rsidRPr="003641C6" w:rsidRDefault="003641C6" w:rsidP="003641C6">
      <w:pPr>
        <w:tabs>
          <w:tab w:val="left" w:pos="2160"/>
        </w:tabs>
        <w:spacing w:line="360" w:lineRule="auto"/>
        <w:ind w:left="2160" w:hanging="720"/>
        <w:rPr>
          <w:sz w:val="24"/>
          <w:szCs w:val="24"/>
        </w:rPr>
      </w:pPr>
      <w:r>
        <w:rPr>
          <w:sz w:val="24"/>
          <w:szCs w:val="24"/>
        </w:rPr>
        <w:t>18.</w:t>
      </w:r>
      <w:r>
        <w:rPr>
          <w:sz w:val="24"/>
          <w:szCs w:val="24"/>
        </w:rPr>
        <w:tab/>
      </w:r>
      <w:r w:rsidR="000C1428" w:rsidRPr="003641C6">
        <w:rPr>
          <w:sz w:val="24"/>
          <w:szCs w:val="24"/>
        </w:rPr>
        <w:t>Delaware Sewer Company did not meet the burden of proof.</w:t>
      </w:r>
    </w:p>
    <w:p w:rsidR="00D34788" w:rsidRPr="00875B3B" w:rsidRDefault="00D34788" w:rsidP="00D34788">
      <w:pPr>
        <w:pStyle w:val="ListParagraph"/>
        <w:tabs>
          <w:tab w:val="left" w:pos="2160"/>
        </w:tabs>
        <w:spacing w:line="360" w:lineRule="auto"/>
        <w:ind w:left="1440"/>
        <w:rPr>
          <w:sz w:val="24"/>
          <w:szCs w:val="24"/>
        </w:rPr>
      </w:pPr>
    </w:p>
    <w:p w:rsidR="00D34788" w:rsidRPr="000137AD" w:rsidRDefault="00875B3B" w:rsidP="00875B3B">
      <w:pPr>
        <w:pStyle w:val="ListParagraph"/>
        <w:tabs>
          <w:tab w:val="left" w:pos="2160"/>
        </w:tabs>
        <w:spacing w:line="360" w:lineRule="auto"/>
        <w:ind w:left="0" w:firstLine="1440"/>
      </w:pPr>
      <w:r>
        <w:rPr>
          <w:sz w:val="24"/>
          <w:szCs w:val="24"/>
        </w:rPr>
        <w:t>19.</w:t>
      </w:r>
      <w:r>
        <w:rPr>
          <w:sz w:val="24"/>
          <w:szCs w:val="24"/>
        </w:rPr>
        <w:tab/>
      </w:r>
      <w:r w:rsidR="00D34788" w:rsidRPr="00875B3B">
        <w:rPr>
          <w:sz w:val="24"/>
          <w:szCs w:val="24"/>
        </w:rPr>
        <w:t xml:space="preserve">That the Formal Complaints at Dockets Nos. </w:t>
      </w:r>
      <w:r w:rsidR="00A87079">
        <w:rPr>
          <w:sz w:val="24"/>
          <w:szCs w:val="24"/>
        </w:rPr>
        <w:t xml:space="preserve">Robert Autore </w:t>
      </w:r>
      <w:r w:rsidR="00D34788" w:rsidRPr="00875B3B">
        <w:rPr>
          <w:sz w:val="24"/>
          <w:szCs w:val="24"/>
        </w:rPr>
        <w:t xml:space="preserve">C-2014-2457963, </w:t>
      </w:r>
      <w:r w:rsidR="00A87079">
        <w:rPr>
          <w:sz w:val="24"/>
          <w:szCs w:val="24"/>
        </w:rPr>
        <w:t xml:space="preserve">Frank Gorman </w:t>
      </w:r>
      <w:r w:rsidR="00D34788" w:rsidRPr="00875B3B">
        <w:rPr>
          <w:sz w:val="24"/>
          <w:szCs w:val="24"/>
        </w:rPr>
        <w:t xml:space="preserve">C-2014-2457976, </w:t>
      </w:r>
      <w:r w:rsidR="00A87079">
        <w:rPr>
          <w:sz w:val="24"/>
          <w:szCs w:val="24"/>
        </w:rPr>
        <w:t xml:space="preserve">Elizabeth Triplett </w:t>
      </w:r>
      <w:r w:rsidR="00D34788" w:rsidRPr="00875B3B">
        <w:rPr>
          <w:sz w:val="24"/>
          <w:szCs w:val="24"/>
        </w:rPr>
        <w:t xml:space="preserve">C-2014-2457983, </w:t>
      </w:r>
      <w:r w:rsidR="00A87079">
        <w:rPr>
          <w:sz w:val="24"/>
          <w:szCs w:val="24"/>
        </w:rPr>
        <w:t xml:space="preserve">Svetlana Perminove and Viktor Ushenko </w:t>
      </w:r>
      <w:r w:rsidR="00D34788" w:rsidRPr="00875B3B">
        <w:rPr>
          <w:sz w:val="24"/>
          <w:szCs w:val="24"/>
        </w:rPr>
        <w:t xml:space="preserve">C-2014-2458029, </w:t>
      </w:r>
      <w:r w:rsidR="00A87079">
        <w:rPr>
          <w:sz w:val="24"/>
          <w:szCs w:val="24"/>
        </w:rPr>
        <w:t xml:space="preserve">James and Michelle Conklin </w:t>
      </w:r>
      <w:r w:rsidR="00D34788" w:rsidRPr="00875B3B">
        <w:rPr>
          <w:sz w:val="24"/>
          <w:szCs w:val="24"/>
        </w:rPr>
        <w:t xml:space="preserve">C-2014-2458122, </w:t>
      </w:r>
      <w:r w:rsidR="00A87079">
        <w:rPr>
          <w:sz w:val="24"/>
          <w:szCs w:val="24"/>
        </w:rPr>
        <w:t xml:space="preserve">Robert Klayn </w:t>
      </w:r>
      <w:r w:rsidR="00D34788" w:rsidRPr="00875B3B">
        <w:rPr>
          <w:sz w:val="24"/>
          <w:szCs w:val="24"/>
        </w:rPr>
        <w:t xml:space="preserve">C-2014-2458135, </w:t>
      </w:r>
      <w:r w:rsidR="00A87079">
        <w:rPr>
          <w:sz w:val="24"/>
          <w:szCs w:val="24"/>
        </w:rPr>
        <w:t xml:space="preserve">George McGettigan </w:t>
      </w:r>
      <w:r w:rsidR="00D34788" w:rsidRPr="00875B3B">
        <w:rPr>
          <w:sz w:val="24"/>
          <w:szCs w:val="24"/>
        </w:rPr>
        <w:t>C-2014-</w:t>
      </w:r>
      <w:r w:rsidR="00D34788">
        <w:rPr>
          <w:sz w:val="24"/>
          <w:szCs w:val="24"/>
        </w:rPr>
        <w:t xml:space="preserve">2458330, </w:t>
      </w:r>
      <w:r w:rsidR="00A87079">
        <w:rPr>
          <w:sz w:val="24"/>
          <w:szCs w:val="24"/>
        </w:rPr>
        <w:t xml:space="preserve">Grace Doll </w:t>
      </w:r>
      <w:r w:rsidR="00D34788">
        <w:rPr>
          <w:sz w:val="24"/>
          <w:szCs w:val="24"/>
        </w:rPr>
        <w:t xml:space="preserve">C-2014-2458745, </w:t>
      </w:r>
      <w:r w:rsidR="00A87079">
        <w:rPr>
          <w:sz w:val="24"/>
          <w:szCs w:val="24"/>
        </w:rPr>
        <w:t xml:space="preserve">Janet McGettigan </w:t>
      </w:r>
      <w:r w:rsidR="00D34788">
        <w:rPr>
          <w:sz w:val="24"/>
          <w:szCs w:val="24"/>
        </w:rPr>
        <w:t xml:space="preserve">C-2014-2458782, </w:t>
      </w:r>
      <w:r w:rsidR="00A87079">
        <w:rPr>
          <w:sz w:val="24"/>
          <w:szCs w:val="24"/>
        </w:rPr>
        <w:t xml:space="preserve">Edward Cantamessa </w:t>
      </w:r>
      <w:r w:rsidR="00D34788">
        <w:rPr>
          <w:sz w:val="24"/>
          <w:szCs w:val="24"/>
        </w:rPr>
        <w:t xml:space="preserve">C-2014-2459896, </w:t>
      </w:r>
      <w:r w:rsidR="00A87079">
        <w:rPr>
          <w:sz w:val="24"/>
          <w:szCs w:val="24"/>
        </w:rPr>
        <w:t xml:space="preserve">Cindy Luke </w:t>
      </w:r>
      <w:r w:rsidR="00D34788">
        <w:rPr>
          <w:sz w:val="24"/>
          <w:szCs w:val="24"/>
        </w:rPr>
        <w:t xml:space="preserve">C-2014-2460595, and </w:t>
      </w:r>
      <w:r w:rsidR="00A87079">
        <w:rPr>
          <w:sz w:val="24"/>
          <w:szCs w:val="24"/>
        </w:rPr>
        <w:t xml:space="preserve">Anthony and Sandra Barlotta </w:t>
      </w:r>
      <w:r w:rsidR="00D34788">
        <w:rPr>
          <w:sz w:val="24"/>
          <w:szCs w:val="24"/>
        </w:rPr>
        <w:t>C-2014-2461561 are denied and dismissed for failure to meet the burden of proof.</w:t>
      </w:r>
    </w:p>
    <w:p w:rsidR="00241D08" w:rsidRDefault="00241D08" w:rsidP="004C4F24">
      <w:pPr>
        <w:pStyle w:val="ListParagraph"/>
        <w:spacing w:line="360" w:lineRule="auto"/>
        <w:ind w:left="1440"/>
        <w:rPr>
          <w:u w:val="single"/>
        </w:rPr>
      </w:pPr>
    </w:p>
    <w:p w:rsidR="00AD1FD4" w:rsidRDefault="00AD1FD4">
      <w:pPr>
        <w:spacing w:after="200" w:line="276" w:lineRule="auto"/>
        <w:rPr>
          <w:sz w:val="24"/>
          <w:szCs w:val="24"/>
          <w:u w:val="single"/>
        </w:rPr>
      </w:pPr>
      <w:r>
        <w:rPr>
          <w:sz w:val="24"/>
          <w:szCs w:val="24"/>
          <w:u w:val="single"/>
        </w:rPr>
        <w:br w:type="page"/>
      </w:r>
    </w:p>
    <w:p w:rsidR="008C37A2" w:rsidRDefault="008C37A2" w:rsidP="008C37A2">
      <w:pPr>
        <w:pStyle w:val="ListParagraph"/>
        <w:spacing w:line="360" w:lineRule="auto"/>
        <w:ind w:left="0"/>
        <w:jc w:val="center"/>
        <w:rPr>
          <w:sz w:val="24"/>
          <w:szCs w:val="24"/>
          <w:u w:val="single"/>
        </w:rPr>
      </w:pPr>
      <w:r w:rsidRPr="004A5F91">
        <w:rPr>
          <w:sz w:val="24"/>
          <w:szCs w:val="24"/>
          <w:u w:val="single"/>
        </w:rPr>
        <w:t>ORDER</w:t>
      </w:r>
    </w:p>
    <w:p w:rsidR="00875B3B" w:rsidRDefault="00875B3B" w:rsidP="008C37A2">
      <w:pPr>
        <w:pStyle w:val="ListParagraph"/>
        <w:spacing w:line="360" w:lineRule="auto"/>
        <w:ind w:left="0"/>
        <w:jc w:val="center"/>
        <w:rPr>
          <w:sz w:val="24"/>
          <w:szCs w:val="24"/>
          <w:u w:val="single"/>
        </w:rPr>
      </w:pPr>
    </w:p>
    <w:p w:rsidR="004A5F91" w:rsidRPr="004A5F91" w:rsidRDefault="004A5F91" w:rsidP="004A5F91">
      <w:pPr>
        <w:pStyle w:val="ListParagraph"/>
        <w:spacing w:line="360" w:lineRule="auto"/>
        <w:ind w:left="0"/>
        <w:rPr>
          <w:sz w:val="24"/>
          <w:szCs w:val="24"/>
        </w:rPr>
      </w:pPr>
      <w:r>
        <w:rPr>
          <w:sz w:val="24"/>
          <w:szCs w:val="24"/>
        </w:rPr>
        <w:tab/>
      </w:r>
      <w:r>
        <w:rPr>
          <w:sz w:val="24"/>
          <w:szCs w:val="24"/>
        </w:rPr>
        <w:tab/>
      </w:r>
      <w:r w:rsidRPr="004A5F91">
        <w:rPr>
          <w:sz w:val="24"/>
          <w:szCs w:val="24"/>
        </w:rPr>
        <w:t>THEREFORE,</w:t>
      </w:r>
    </w:p>
    <w:p w:rsidR="004A5F91" w:rsidRPr="004A5F91" w:rsidRDefault="004A5F91" w:rsidP="004A5F91">
      <w:pPr>
        <w:pStyle w:val="ListParagraph"/>
        <w:spacing w:line="360" w:lineRule="auto"/>
        <w:ind w:left="0"/>
        <w:rPr>
          <w:sz w:val="24"/>
          <w:szCs w:val="24"/>
        </w:rPr>
      </w:pPr>
    </w:p>
    <w:p w:rsidR="004A5F91" w:rsidRPr="004A5F91" w:rsidRDefault="004A5F91" w:rsidP="004A5F91">
      <w:pPr>
        <w:pStyle w:val="ListParagraph"/>
        <w:spacing w:line="360" w:lineRule="auto"/>
        <w:ind w:left="0"/>
        <w:rPr>
          <w:sz w:val="24"/>
          <w:szCs w:val="24"/>
        </w:rPr>
      </w:pPr>
      <w:r>
        <w:rPr>
          <w:sz w:val="24"/>
          <w:szCs w:val="24"/>
        </w:rPr>
        <w:tab/>
      </w:r>
      <w:r>
        <w:rPr>
          <w:sz w:val="24"/>
          <w:szCs w:val="24"/>
        </w:rPr>
        <w:tab/>
      </w:r>
      <w:r w:rsidRPr="004A5F91">
        <w:rPr>
          <w:sz w:val="24"/>
          <w:szCs w:val="24"/>
        </w:rPr>
        <w:t>IT IS RECOMMENDED:</w:t>
      </w:r>
    </w:p>
    <w:p w:rsidR="00F8195F" w:rsidRDefault="00F8195F" w:rsidP="008C37A2">
      <w:pPr>
        <w:pStyle w:val="ListParagraph"/>
        <w:spacing w:line="360" w:lineRule="auto"/>
        <w:ind w:left="0"/>
        <w:jc w:val="center"/>
        <w:rPr>
          <w:u w:val="single"/>
        </w:rPr>
      </w:pPr>
    </w:p>
    <w:p w:rsidR="00F8195F" w:rsidRPr="00F8195F" w:rsidRDefault="00F8195F" w:rsidP="00094F01">
      <w:pPr>
        <w:pStyle w:val="ListParagraph"/>
        <w:numPr>
          <w:ilvl w:val="0"/>
          <w:numId w:val="19"/>
        </w:numPr>
        <w:tabs>
          <w:tab w:val="left" w:pos="2160"/>
        </w:tabs>
        <w:spacing w:line="360" w:lineRule="auto"/>
        <w:ind w:left="0" w:firstLine="1440"/>
        <w:rPr>
          <w:sz w:val="24"/>
          <w:szCs w:val="24"/>
        </w:rPr>
      </w:pPr>
      <w:r w:rsidRPr="00F8195F">
        <w:rPr>
          <w:sz w:val="24"/>
          <w:szCs w:val="24"/>
        </w:rPr>
        <w:t xml:space="preserve">That </w:t>
      </w:r>
      <w:r>
        <w:rPr>
          <w:sz w:val="24"/>
          <w:szCs w:val="24"/>
        </w:rPr>
        <w:t>Delaware Sewer Company</w:t>
      </w:r>
      <w:r w:rsidRPr="00F8195F">
        <w:rPr>
          <w:sz w:val="24"/>
          <w:szCs w:val="24"/>
        </w:rPr>
        <w:t xml:space="preserve"> shall not place into effect the rules, rates and regulations contained in Supplement No. 1 to Tariff </w:t>
      </w:r>
      <w:r w:rsidR="00923644">
        <w:rPr>
          <w:sz w:val="24"/>
          <w:szCs w:val="24"/>
        </w:rPr>
        <w:t>Sewer</w:t>
      </w:r>
      <w:r w:rsidRPr="00F8195F">
        <w:rPr>
          <w:sz w:val="24"/>
          <w:szCs w:val="24"/>
        </w:rPr>
        <w:t>- Pa. P.U.C. No. 1.</w:t>
      </w:r>
    </w:p>
    <w:p w:rsidR="00F8195F" w:rsidRPr="00F8195F" w:rsidRDefault="00F8195F" w:rsidP="00094F01">
      <w:pPr>
        <w:tabs>
          <w:tab w:val="left" w:pos="2160"/>
        </w:tabs>
        <w:spacing w:line="360" w:lineRule="auto"/>
        <w:ind w:firstLine="1440"/>
        <w:rPr>
          <w:sz w:val="24"/>
          <w:szCs w:val="24"/>
        </w:rPr>
      </w:pPr>
    </w:p>
    <w:p w:rsidR="00F8195F" w:rsidRPr="002106AB" w:rsidRDefault="00F8195F" w:rsidP="00094F01">
      <w:pPr>
        <w:pStyle w:val="ListParagraph"/>
        <w:numPr>
          <w:ilvl w:val="0"/>
          <w:numId w:val="19"/>
        </w:numPr>
        <w:tabs>
          <w:tab w:val="left" w:pos="2160"/>
        </w:tabs>
        <w:spacing w:line="360" w:lineRule="auto"/>
        <w:ind w:left="0" w:firstLine="1440"/>
        <w:rPr>
          <w:sz w:val="24"/>
          <w:szCs w:val="24"/>
        </w:rPr>
      </w:pPr>
      <w:r w:rsidRPr="002106AB">
        <w:rPr>
          <w:sz w:val="24"/>
          <w:szCs w:val="24"/>
        </w:rPr>
        <w:t xml:space="preserve">That </w:t>
      </w:r>
      <w:r w:rsidR="00923644" w:rsidRPr="002106AB">
        <w:rPr>
          <w:sz w:val="24"/>
          <w:szCs w:val="24"/>
        </w:rPr>
        <w:t>Delaware Sewer Company</w:t>
      </w:r>
      <w:r w:rsidR="002106AB" w:rsidRPr="002106AB">
        <w:rPr>
          <w:sz w:val="24"/>
          <w:szCs w:val="24"/>
        </w:rPr>
        <w:t xml:space="preserve"> </w:t>
      </w:r>
      <w:r w:rsidRPr="002106AB">
        <w:rPr>
          <w:sz w:val="24"/>
          <w:szCs w:val="24"/>
        </w:rPr>
        <w:t>is authorized to file tariffs, tariff supplements or tariff revisions containing rates, rules and regulations, consistent with the findings herein</w:t>
      </w:r>
      <w:r w:rsidR="00D15255">
        <w:rPr>
          <w:sz w:val="24"/>
          <w:szCs w:val="24"/>
        </w:rPr>
        <w:t xml:space="preserve"> and Table 1</w:t>
      </w:r>
      <w:r w:rsidRPr="002106AB">
        <w:rPr>
          <w:sz w:val="24"/>
          <w:szCs w:val="24"/>
        </w:rPr>
        <w:t xml:space="preserve">, to produce </w:t>
      </w:r>
      <w:r w:rsidR="00CF12E8">
        <w:rPr>
          <w:sz w:val="24"/>
          <w:szCs w:val="24"/>
        </w:rPr>
        <w:t xml:space="preserve">an increase in annual </w:t>
      </w:r>
      <w:r w:rsidR="002106AB" w:rsidRPr="002106AB">
        <w:rPr>
          <w:sz w:val="24"/>
          <w:szCs w:val="24"/>
        </w:rPr>
        <w:t xml:space="preserve">operating </w:t>
      </w:r>
      <w:r w:rsidRPr="002106AB">
        <w:rPr>
          <w:sz w:val="24"/>
          <w:szCs w:val="24"/>
        </w:rPr>
        <w:t>revenues not in excess of $</w:t>
      </w:r>
      <w:r w:rsidR="00F913EB">
        <w:rPr>
          <w:sz w:val="24"/>
          <w:szCs w:val="24"/>
        </w:rPr>
        <w:t>39</w:t>
      </w:r>
      <w:r w:rsidR="002106AB" w:rsidRPr="002106AB">
        <w:rPr>
          <w:sz w:val="24"/>
          <w:szCs w:val="24"/>
        </w:rPr>
        <w:t>,171.</w:t>
      </w:r>
    </w:p>
    <w:p w:rsidR="002106AB" w:rsidRPr="002106AB" w:rsidRDefault="002106AB" w:rsidP="007C60AF">
      <w:pPr>
        <w:pStyle w:val="ListParagraph"/>
        <w:spacing w:line="360" w:lineRule="auto"/>
        <w:ind w:left="0" w:firstLine="1440"/>
        <w:rPr>
          <w:sz w:val="24"/>
          <w:szCs w:val="24"/>
        </w:rPr>
      </w:pPr>
    </w:p>
    <w:p w:rsidR="002106AB" w:rsidRPr="000C1428" w:rsidRDefault="002106AB" w:rsidP="00094F01">
      <w:pPr>
        <w:pStyle w:val="ListParagraph"/>
        <w:numPr>
          <w:ilvl w:val="0"/>
          <w:numId w:val="19"/>
        </w:numPr>
        <w:tabs>
          <w:tab w:val="left" w:pos="2160"/>
        </w:tabs>
        <w:spacing w:line="360" w:lineRule="auto"/>
        <w:ind w:left="0" w:firstLine="1440"/>
        <w:rPr>
          <w:sz w:val="24"/>
          <w:szCs w:val="24"/>
        </w:rPr>
      </w:pPr>
      <w:r w:rsidRPr="002106AB">
        <w:rPr>
          <w:sz w:val="24"/>
          <w:szCs w:val="24"/>
        </w:rPr>
        <w:t xml:space="preserve"> </w:t>
      </w:r>
      <w:r w:rsidR="00F8195F" w:rsidRPr="002106AB">
        <w:rPr>
          <w:sz w:val="24"/>
          <w:szCs w:val="24"/>
        </w:rPr>
        <w:t xml:space="preserve">That </w:t>
      </w:r>
      <w:r w:rsidRPr="002106AB">
        <w:rPr>
          <w:sz w:val="24"/>
          <w:szCs w:val="24"/>
        </w:rPr>
        <w:t xml:space="preserve">Delaware Sewer </w:t>
      </w:r>
      <w:r w:rsidR="00F8195F" w:rsidRPr="002106AB">
        <w:rPr>
          <w:sz w:val="24"/>
          <w:szCs w:val="24"/>
        </w:rPr>
        <w:t>tariffs, tariff supplements and/or tariff revisions may be filed on less than statutory notice, and pursuant to the provisions of 52 Pa.Code §</w:t>
      </w:r>
      <w:r w:rsidR="000F1710">
        <w:rPr>
          <w:sz w:val="24"/>
          <w:szCs w:val="24"/>
        </w:rPr>
        <w:t>§</w:t>
      </w:r>
      <w:r w:rsidR="00971DF4">
        <w:rPr>
          <w:sz w:val="24"/>
          <w:szCs w:val="24"/>
        </w:rPr>
        <w:t xml:space="preserve"> </w:t>
      </w:r>
      <w:r w:rsidR="00F8195F" w:rsidRPr="002106AB">
        <w:rPr>
          <w:sz w:val="24"/>
          <w:szCs w:val="24"/>
        </w:rPr>
        <w:t xml:space="preserve">53.1, </w:t>
      </w:r>
      <w:r w:rsidR="00F8195F" w:rsidRPr="002106AB">
        <w:rPr>
          <w:i/>
          <w:sz w:val="24"/>
          <w:szCs w:val="24"/>
        </w:rPr>
        <w:t>et</w:t>
      </w:r>
      <w:r w:rsidR="00667FD1">
        <w:rPr>
          <w:i/>
          <w:sz w:val="24"/>
          <w:szCs w:val="24"/>
        </w:rPr>
        <w:t> </w:t>
      </w:r>
      <w:r w:rsidR="00F8195F" w:rsidRPr="002106AB">
        <w:rPr>
          <w:i/>
          <w:sz w:val="24"/>
          <w:szCs w:val="24"/>
        </w:rPr>
        <w:t>seq.</w:t>
      </w:r>
      <w:r w:rsidR="00F8195F" w:rsidRPr="002106AB">
        <w:rPr>
          <w:sz w:val="24"/>
          <w:szCs w:val="24"/>
        </w:rPr>
        <w:t>, and 53.101</w:t>
      </w:r>
      <w:r w:rsidR="000F1710">
        <w:rPr>
          <w:sz w:val="24"/>
          <w:szCs w:val="24"/>
        </w:rPr>
        <w:t xml:space="preserve"> and 53.102</w:t>
      </w:r>
      <w:r w:rsidRPr="002106AB">
        <w:rPr>
          <w:szCs w:val="24"/>
        </w:rPr>
        <w:t>.</w:t>
      </w:r>
    </w:p>
    <w:p w:rsidR="000C1428" w:rsidRPr="000C1428" w:rsidRDefault="000C1428" w:rsidP="007C60AF">
      <w:pPr>
        <w:pStyle w:val="ListParagraph"/>
        <w:spacing w:line="360" w:lineRule="auto"/>
        <w:rPr>
          <w:sz w:val="24"/>
          <w:szCs w:val="24"/>
        </w:rPr>
      </w:pPr>
    </w:p>
    <w:p w:rsidR="00F8195F" w:rsidRDefault="002106AB" w:rsidP="00094F01">
      <w:pPr>
        <w:pStyle w:val="ListParagraph"/>
        <w:numPr>
          <w:ilvl w:val="0"/>
          <w:numId w:val="19"/>
        </w:numPr>
        <w:tabs>
          <w:tab w:val="left" w:pos="2160"/>
        </w:tabs>
        <w:spacing w:line="360" w:lineRule="auto"/>
        <w:ind w:left="0" w:firstLine="1440"/>
        <w:rPr>
          <w:sz w:val="24"/>
          <w:szCs w:val="24"/>
        </w:rPr>
      </w:pPr>
      <w:r w:rsidRPr="002106AB">
        <w:rPr>
          <w:sz w:val="24"/>
          <w:szCs w:val="24"/>
        </w:rPr>
        <w:t xml:space="preserve"> </w:t>
      </w:r>
      <w:r w:rsidR="00E62431" w:rsidRPr="00875B3B">
        <w:rPr>
          <w:sz w:val="24"/>
          <w:szCs w:val="24"/>
        </w:rPr>
        <w:t xml:space="preserve">That the Formal Complaints at Dockets Nos. </w:t>
      </w:r>
      <w:r w:rsidR="00E62431">
        <w:rPr>
          <w:sz w:val="24"/>
          <w:szCs w:val="24"/>
        </w:rPr>
        <w:t xml:space="preserve">Robert Autore </w:t>
      </w:r>
      <w:r w:rsidR="00E62431" w:rsidRPr="00875B3B">
        <w:rPr>
          <w:sz w:val="24"/>
          <w:szCs w:val="24"/>
        </w:rPr>
        <w:t xml:space="preserve">C-2014-2457963, </w:t>
      </w:r>
      <w:r w:rsidR="00E62431">
        <w:rPr>
          <w:sz w:val="24"/>
          <w:szCs w:val="24"/>
        </w:rPr>
        <w:t xml:space="preserve">Frank Gorman </w:t>
      </w:r>
      <w:r w:rsidR="00E62431" w:rsidRPr="00875B3B">
        <w:rPr>
          <w:sz w:val="24"/>
          <w:szCs w:val="24"/>
        </w:rPr>
        <w:t xml:space="preserve">C-2014-2457976, </w:t>
      </w:r>
      <w:r w:rsidR="00E62431">
        <w:rPr>
          <w:sz w:val="24"/>
          <w:szCs w:val="24"/>
        </w:rPr>
        <w:t xml:space="preserve">Elizabeth Triplett </w:t>
      </w:r>
      <w:r w:rsidR="00E62431" w:rsidRPr="00875B3B">
        <w:rPr>
          <w:sz w:val="24"/>
          <w:szCs w:val="24"/>
        </w:rPr>
        <w:t xml:space="preserve">C-2014-2457983, </w:t>
      </w:r>
      <w:r w:rsidR="00E62431">
        <w:rPr>
          <w:sz w:val="24"/>
          <w:szCs w:val="24"/>
        </w:rPr>
        <w:t xml:space="preserve">Svetlana Perminove and Viktor Ushenko </w:t>
      </w:r>
      <w:r w:rsidR="00E62431" w:rsidRPr="00875B3B">
        <w:rPr>
          <w:sz w:val="24"/>
          <w:szCs w:val="24"/>
        </w:rPr>
        <w:t xml:space="preserve">C-2014-2458029, </w:t>
      </w:r>
      <w:r w:rsidR="00E62431">
        <w:rPr>
          <w:sz w:val="24"/>
          <w:szCs w:val="24"/>
        </w:rPr>
        <w:t xml:space="preserve">James and Michelle Conklin </w:t>
      </w:r>
      <w:r w:rsidR="00E62431" w:rsidRPr="00875B3B">
        <w:rPr>
          <w:sz w:val="24"/>
          <w:szCs w:val="24"/>
        </w:rPr>
        <w:t xml:space="preserve">C-2014-2458122, </w:t>
      </w:r>
      <w:r w:rsidR="00E62431">
        <w:rPr>
          <w:sz w:val="24"/>
          <w:szCs w:val="24"/>
        </w:rPr>
        <w:t xml:space="preserve">Robert Klayn </w:t>
      </w:r>
      <w:r w:rsidR="00E62431" w:rsidRPr="00875B3B">
        <w:rPr>
          <w:sz w:val="24"/>
          <w:szCs w:val="24"/>
        </w:rPr>
        <w:t xml:space="preserve">C-2014-2458135, </w:t>
      </w:r>
      <w:r w:rsidR="00E62431">
        <w:rPr>
          <w:sz w:val="24"/>
          <w:szCs w:val="24"/>
        </w:rPr>
        <w:t xml:space="preserve">George McGettigan </w:t>
      </w:r>
      <w:r w:rsidR="00E62431" w:rsidRPr="00875B3B">
        <w:rPr>
          <w:sz w:val="24"/>
          <w:szCs w:val="24"/>
        </w:rPr>
        <w:t>C-2014-</w:t>
      </w:r>
      <w:r w:rsidR="00E62431">
        <w:rPr>
          <w:sz w:val="24"/>
          <w:szCs w:val="24"/>
        </w:rPr>
        <w:t xml:space="preserve">2458330, Grace Doll C-2014-2458745, Janet McGettigan C-2014-2458782, Edward Cantamessa C-2014-2459896, Cindy Luke C-2014-2460595, and Anthony and Sandra Barlotta C-2014-2461561 </w:t>
      </w:r>
      <w:r w:rsidR="00D34788">
        <w:rPr>
          <w:sz w:val="24"/>
          <w:szCs w:val="24"/>
        </w:rPr>
        <w:t>shall be marked closed.</w:t>
      </w:r>
      <w:r w:rsidRPr="002106AB">
        <w:rPr>
          <w:sz w:val="24"/>
          <w:szCs w:val="24"/>
        </w:rPr>
        <w:t xml:space="preserve"> </w:t>
      </w:r>
    </w:p>
    <w:p w:rsidR="00C121E6" w:rsidRPr="00C121E6" w:rsidRDefault="00C121E6" w:rsidP="00C121E6">
      <w:pPr>
        <w:pStyle w:val="ListParagraph"/>
        <w:rPr>
          <w:sz w:val="24"/>
          <w:szCs w:val="24"/>
        </w:rPr>
      </w:pPr>
    </w:p>
    <w:p w:rsidR="00C121E6" w:rsidRDefault="00C121E6" w:rsidP="00094F01">
      <w:pPr>
        <w:pStyle w:val="ListParagraph"/>
        <w:numPr>
          <w:ilvl w:val="0"/>
          <w:numId w:val="19"/>
        </w:numPr>
        <w:tabs>
          <w:tab w:val="left" w:pos="2160"/>
        </w:tabs>
        <w:spacing w:line="360" w:lineRule="auto"/>
        <w:ind w:left="0" w:firstLine="1440"/>
        <w:rPr>
          <w:sz w:val="24"/>
          <w:szCs w:val="24"/>
        </w:rPr>
      </w:pPr>
      <w:r>
        <w:rPr>
          <w:sz w:val="24"/>
          <w:szCs w:val="24"/>
        </w:rPr>
        <w:t xml:space="preserve">That the Formal Complaints at Docket Nos. </w:t>
      </w:r>
      <w:r w:rsidR="00E62431">
        <w:rPr>
          <w:sz w:val="24"/>
          <w:szCs w:val="24"/>
        </w:rPr>
        <w:t xml:space="preserve">Office of the Consumer Advocate </w:t>
      </w:r>
      <w:r>
        <w:rPr>
          <w:sz w:val="24"/>
          <w:szCs w:val="24"/>
        </w:rPr>
        <w:t xml:space="preserve">C-2014-2454751, </w:t>
      </w:r>
      <w:r w:rsidR="00E62431">
        <w:rPr>
          <w:sz w:val="24"/>
          <w:szCs w:val="24"/>
        </w:rPr>
        <w:t xml:space="preserve">Debra Michell </w:t>
      </w:r>
      <w:r>
        <w:rPr>
          <w:sz w:val="24"/>
          <w:szCs w:val="24"/>
        </w:rPr>
        <w:t xml:space="preserve">C-2014-2457964, </w:t>
      </w:r>
      <w:r w:rsidR="00E62431">
        <w:rPr>
          <w:sz w:val="24"/>
          <w:szCs w:val="24"/>
        </w:rPr>
        <w:t xml:space="preserve">Mary Ellen Templin </w:t>
      </w:r>
      <w:r>
        <w:rPr>
          <w:sz w:val="24"/>
          <w:szCs w:val="24"/>
        </w:rPr>
        <w:t xml:space="preserve">C-2014-2460141, </w:t>
      </w:r>
      <w:r w:rsidR="00E62431">
        <w:rPr>
          <w:sz w:val="24"/>
          <w:szCs w:val="24"/>
        </w:rPr>
        <w:t xml:space="preserve">Edward O’Connor </w:t>
      </w:r>
      <w:r>
        <w:rPr>
          <w:sz w:val="24"/>
          <w:szCs w:val="24"/>
        </w:rPr>
        <w:t xml:space="preserve">C-2014-2460166, </w:t>
      </w:r>
      <w:r w:rsidR="00E62431">
        <w:rPr>
          <w:sz w:val="24"/>
          <w:szCs w:val="24"/>
        </w:rPr>
        <w:t xml:space="preserve">Emma Dolan </w:t>
      </w:r>
      <w:r>
        <w:rPr>
          <w:sz w:val="24"/>
          <w:szCs w:val="24"/>
        </w:rPr>
        <w:t xml:space="preserve">C-2014-2460197 and </w:t>
      </w:r>
      <w:r w:rsidR="00E62431">
        <w:rPr>
          <w:sz w:val="24"/>
          <w:szCs w:val="24"/>
        </w:rPr>
        <w:t xml:space="preserve">Robert Bajkowski </w:t>
      </w:r>
      <w:r>
        <w:rPr>
          <w:sz w:val="24"/>
          <w:szCs w:val="24"/>
        </w:rPr>
        <w:t>C-2014-2460601 are sustained consistent with this recommended decision</w:t>
      </w:r>
      <w:r w:rsidR="00E62431">
        <w:rPr>
          <w:sz w:val="24"/>
          <w:szCs w:val="24"/>
        </w:rPr>
        <w:t xml:space="preserve"> and shall be marked closed</w:t>
      </w:r>
      <w:r>
        <w:rPr>
          <w:sz w:val="24"/>
          <w:szCs w:val="24"/>
        </w:rPr>
        <w:t>.</w:t>
      </w:r>
    </w:p>
    <w:p w:rsidR="00C121E6" w:rsidRPr="00C121E6" w:rsidRDefault="00C121E6" w:rsidP="00C121E6">
      <w:pPr>
        <w:pStyle w:val="ListParagraph"/>
        <w:numPr>
          <w:ilvl w:val="0"/>
          <w:numId w:val="19"/>
        </w:numPr>
        <w:tabs>
          <w:tab w:val="left" w:pos="2160"/>
        </w:tabs>
        <w:spacing w:line="360" w:lineRule="auto"/>
        <w:ind w:left="0" w:firstLine="1440"/>
        <w:rPr>
          <w:sz w:val="24"/>
          <w:szCs w:val="24"/>
        </w:rPr>
      </w:pPr>
      <w:r w:rsidRPr="00C121E6">
        <w:rPr>
          <w:sz w:val="24"/>
          <w:szCs w:val="24"/>
        </w:rPr>
        <w:t>That the Commission’s investigation at Docket No. R-2014-2452705 be marked closed.</w:t>
      </w:r>
    </w:p>
    <w:p w:rsidR="00C121E6" w:rsidRPr="002106AB" w:rsidRDefault="00C121E6" w:rsidP="00C121E6">
      <w:pPr>
        <w:pStyle w:val="ListParagraph"/>
        <w:tabs>
          <w:tab w:val="left" w:pos="2160"/>
        </w:tabs>
        <w:spacing w:line="360" w:lineRule="auto"/>
        <w:ind w:left="1440"/>
        <w:rPr>
          <w:sz w:val="24"/>
          <w:szCs w:val="24"/>
        </w:rPr>
      </w:pPr>
    </w:p>
    <w:p w:rsidR="008C37A2" w:rsidRDefault="008C37A2" w:rsidP="008C37A2">
      <w:pPr>
        <w:pStyle w:val="ListParagraph"/>
        <w:spacing w:line="360" w:lineRule="auto"/>
        <w:ind w:left="0"/>
        <w:jc w:val="center"/>
        <w:rPr>
          <w:u w:val="single"/>
        </w:rPr>
      </w:pPr>
    </w:p>
    <w:p w:rsidR="00941498" w:rsidRDefault="008C37A2" w:rsidP="009B656E">
      <w:pPr>
        <w:rPr>
          <w:sz w:val="24"/>
          <w:szCs w:val="24"/>
        </w:rPr>
      </w:pPr>
      <w:r w:rsidRPr="004A5F91">
        <w:rPr>
          <w:sz w:val="24"/>
          <w:szCs w:val="24"/>
        </w:rPr>
        <w:t>Date:</w:t>
      </w:r>
      <w:r w:rsidR="004A5F91">
        <w:rPr>
          <w:sz w:val="24"/>
          <w:szCs w:val="24"/>
        </w:rPr>
        <w:t xml:space="preserve">  </w:t>
      </w:r>
      <w:r w:rsidR="00E62431">
        <w:rPr>
          <w:sz w:val="24"/>
          <w:szCs w:val="24"/>
          <w:u w:val="single"/>
        </w:rPr>
        <w:t>May 26</w:t>
      </w:r>
      <w:r w:rsidR="00D34788" w:rsidRPr="004A5F91">
        <w:rPr>
          <w:sz w:val="24"/>
          <w:szCs w:val="24"/>
          <w:u w:val="single"/>
        </w:rPr>
        <w:t>, 2015</w:t>
      </w:r>
      <w:r w:rsidRPr="004A5F91">
        <w:rPr>
          <w:sz w:val="24"/>
          <w:szCs w:val="24"/>
        </w:rPr>
        <w:tab/>
      </w:r>
      <w:r w:rsidRPr="004A5F91">
        <w:rPr>
          <w:sz w:val="24"/>
          <w:szCs w:val="24"/>
        </w:rPr>
        <w:tab/>
      </w:r>
      <w:r w:rsidRPr="004A5F91">
        <w:rPr>
          <w:sz w:val="24"/>
          <w:szCs w:val="24"/>
        </w:rPr>
        <w:tab/>
      </w:r>
      <w:r w:rsidRPr="004A5F91">
        <w:rPr>
          <w:sz w:val="24"/>
          <w:szCs w:val="24"/>
        </w:rPr>
        <w:tab/>
      </w:r>
      <w:r w:rsidRPr="004A5F91">
        <w:rPr>
          <w:sz w:val="24"/>
          <w:szCs w:val="24"/>
        </w:rPr>
        <w:tab/>
      </w:r>
      <w:r w:rsidR="009B656E">
        <w:rPr>
          <w:sz w:val="24"/>
          <w:szCs w:val="24"/>
        </w:rPr>
        <w:tab/>
      </w:r>
      <w:r w:rsidR="00B12028">
        <w:rPr>
          <w:sz w:val="24"/>
          <w:szCs w:val="24"/>
        </w:rPr>
        <w:tab/>
      </w:r>
      <w:r w:rsidR="009B656E" w:rsidRPr="009B656E">
        <w:rPr>
          <w:sz w:val="24"/>
          <w:szCs w:val="24"/>
          <w:u w:val="single"/>
        </w:rPr>
        <w:tab/>
      </w:r>
      <w:r w:rsidR="009B656E" w:rsidRPr="009B656E">
        <w:rPr>
          <w:sz w:val="24"/>
          <w:szCs w:val="24"/>
          <w:u w:val="single"/>
        </w:rPr>
        <w:tab/>
        <w:t>/s/</w:t>
      </w:r>
      <w:r w:rsidR="009B656E" w:rsidRPr="009B656E">
        <w:rPr>
          <w:sz w:val="24"/>
          <w:szCs w:val="24"/>
          <w:u w:val="single"/>
        </w:rPr>
        <w:tab/>
      </w:r>
      <w:r w:rsidR="009B656E" w:rsidRPr="009B656E">
        <w:rPr>
          <w:sz w:val="24"/>
          <w:szCs w:val="24"/>
          <w:u w:val="single"/>
        </w:rPr>
        <w:tab/>
      </w:r>
      <w:r w:rsidR="009B656E">
        <w:rPr>
          <w:sz w:val="24"/>
          <w:szCs w:val="24"/>
        </w:rPr>
        <w:tab/>
      </w:r>
      <w:r w:rsidRPr="008C37A2">
        <w:rPr>
          <w:sz w:val="24"/>
          <w:szCs w:val="24"/>
        </w:rPr>
        <w:tab/>
      </w:r>
      <w:r w:rsidRPr="008C37A2">
        <w:rPr>
          <w:sz w:val="24"/>
          <w:szCs w:val="24"/>
        </w:rPr>
        <w:tab/>
      </w:r>
      <w:r w:rsidRPr="008C37A2">
        <w:rPr>
          <w:sz w:val="24"/>
          <w:szCs w:val="24"/>
        </w:rPr>
        <w:tab/>
      </w:r>
      <w:r w:rsidRPr="008C37A2">
        <w:rPr>
          <w:sz w:val="24"/>
          <w:szCs w:val="24"/>
        </w:rPr>
        <w:tab/>
      </w:r>
      <w:r w:rsidRPr="008C37A2">
        <w:rPr>
          <w:sz w:val="24"/>
          <w:szCs w:val="24"/>
        </w:rPr>
        <w:tab/>
      </w:r>
      <w:r w:rsidRPr="008C37A2">
        <w:rPr>
          <w:sz w:val="24"/>
          <w:szCs w:val="24"/>
        </w:rPr>
        <w:tab/>
      </w:r>
      <w:r w:rsidRPr="008C37A2">
        <w:rPr>
          <w:sz w:val="24"/>
          <w:szCs w:val="24"/>
        </w:rPr>
        <w:tab/>
      </w:r>
      <w:r w:rsidR="00B12028">
        <w:rPr>
          <w:sz w:val="24"/>
          <w:szCs w:val="24"/>
        </w:rPr>
        <w:tab/>
      </w:r>
      <w:r w:rsidRPr="008C37A2">
        <w:rPr>
          <w:sz w:val="24"/>
          <w:szCs w:val="24"/>
        </w:rPr>
        <w:t>Ember S. Jandebeur</w:t>
      </w:r>
    </w:p>
    <w:p w:rsidR="009B656E" w:rsidRDefault="009B656E" w:rsidP="009B656E">
      <w:pPr>
        <w:pStyle w:val="ListParagraph"/>
        <w:ind w:lef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12028">
        <w:rPr>
          <w:sz w:val="24"/>
          <w:szCs w:val="24"/>
        </w:rPr>
        <w:tab/>
      </w:r>
      <w:r w:rsidRPr="008C37A2">
        <w:rPr>
          <w:sz w:val="24"/>
          <w:szCs w:val="24"/>
        </w:rPr>
        <w:t>Administrative Law Judge</w:t>
      </w:r>
    </w:p>
    <w:p w:rsidR="00F11C77" w:rsidRDefault="00F11C77">
      <w:pPr>
        <w:spacing w:after="200" w:line="276" w:lineRule="auto"/>
        <w:rPr>
          <w:sz w:val="24"/>
          <w:szCs w:val="24"/>
        </w:rPr>
      </w:pPr>
      <w:r>
        <w:rPr>
          <w:sz w:val="24"/>
          <w:szCs w:val="24"/>
        </w:rPr>
        <w:br w:type="page"/>
      </w:r>
    </w:p>
    <w:p w:rsidR="00941498" w:rsidRDefault="00AD1FD4" w:rsidP="00F11C77">
      <w:pPr>
        <w:spacing w:after="200" w:line="276" w:lineRule="auto"/>
        <w:jc w:val="center"/>
        <w:rPr>
          <w:sz w:val="24"/>
          <w:szCs w:val="24"/>
        </w:rPr>
      </w:pPr>
      <w:r>
        <w:rPr>
          <w:sz w:val="24"/>
          <w:szCs w:val="24"/>
        </w:rPr>
        <w:t>TABLE</w:t>
      </w:r>
      <w:r w:rsidR="00F11C77">
        <w:rPr>
          <w:sz w:val="24"/>
          <w:szCs w:val="24"/>
        </w:rPr>
        <w:t xml:space="preserve"> 1</w:t>
      </w:r>
      <w:r w:rsidR="00F11C77">
        <w:rPr>
          <w:rStyle w:val="FootnoteReference"/>
          <w:sz w:val="24"/>
          <w:szCs w:val="24"/>
        </w:rPr>
        <w:footnoteReference w:id="3"/>
      </w:r>
    </w:p>
    <w:p w:rsidR="00F11C77" w:rsidRDefault="00F11C77">
      <w:pPr>
        <w:spacing w:after="200" w:line="276" w:lineRule="auto"/>
        <w:rPr>
          <w:sz w:val="24"/>
          <w:szCs w:val="24"/>
        </w:rPr>
      </w:pPr>
      <w:r>
        <w:rPr>
          <w:sz w:val="24"/>
          <w:szCs w:val="24"/>
        </w:rPr>
        <w:br w:type="page"/>
      </w:r>
    </w:p>
    <w:tbl>
      <w:tblPr>
        <w:tblStyle w:val="TableGrid"/>
        <w:tblW w:w="0" w:type="auto"/>
        <w:tblLook w:val="04A0" w:firstRow="1" w:lastRow="0" w:firstColumn="1" w:lastColumn="0" w:noHBand="0" w:noVBand="1"/>
      </w:tblPr>
      <w:tblGrid>
        <w:gridCol w:w="4068"/>
        <w:gridCol w:w="1440"/>
        <w:gridCol w:w="1890"/>
        <w:gridCol w:w="1980"/>
      </w:tblGrid>
      <w:tr w:rsidR="00F11C77" w:rsidRPr="00B07221" w:rsidTr="00CF12E8">
        <w:trPr>
          <w:trHeight w:val="288"/>
        </w:trPr>
        <w:tc>
          <w:tcPr>
            <w:tcW w:w="4068" w:type="dxa"/>
            <w:tcBorders>
              <w:top w:val="single" w:sz="4" w:space="0" w:color="auto"/>
              <w:left w:val="single" w:sz="4" w:space="0" w:color="auto"/>
              <w:bottom w:val="single" w:sz="4" w:space="0" w:color="auto"/>
              <w:right w:val="single" w:sz="4" w:space="0" w:color="auto"/>
            </w:tcBorders>
            <w:noWrap/>
            <w:hideMark/>
          </w:tcPr>
          <w:p w:rsidR="00F11C77" w:rsidRPr="00B07221" w:rsidRDefault="00454264" w:rsidP="00CF12E8">
            <w:pPr>
              <w:rPr>
                <w:sz w:val="22"/>
                <w:szCs w:val="22"/>
              </w:rPr>
            </w:pPr>
            <w:r>
              <w:rPr>
                <w:sz w:val="22"/>
                <w:szCs w:val="22"/>
              </w:rPr>
              <w:t>Table 1</w:t>
            </w:r>
          </w:p>
        </w:tc>
        <w:tc>
          <w:tcPr>
            <w:tcW w:w="1440" w:type="dxa"/>
            <w:tcBorders>
              <w:top w:val="single" w:sz="4" w:space="0" w:color="auto"/>
              <w:left w:val="single" w:sz="4" w:space="0" w:color="auto"/>
              <w:bottom w:val="single" w:sz="4" w:space="0" w:color="auto"/>
              <w:right w:val="single" w:sz="4" w:space="0" w:color="auto"/>
            </w:tcBorders>
            <w:noWrap/>
            <w:hideMark/>
          </w:tcPr>
          <w:p w:rsidR="00F11C77" w:rsidRPr="00B07221" w:rsidRDefault="00F11C77" w:rsidP="00CF12E8">
            <w:pPr>
              <w:jc w:val="center"/>
              <w:rPr>
                <w:sz w:val="22"/>
                <w:szCs w:val="22"/>
              </w:rPr>
            </w:pPr>
            <w:r w:rsidRPr="00B07221">
              <w:rPr>
                <w:sz w:val="22"/>
                <w:szCs w:val="22"/>
              </w:rPr>
              <w:t>Updated</w:t>
            </w:r>
          </w:p>
        </w:tc>
        <w:tc>
          <w:tcPr>
            <w:tcW w:w="1890" w:type="dxa"/>
            <w:tcBorders>
              <w:top w:val="single" w:sz="4" w:space="0" w:color="auto"/>
              <w:left w:val="single" w:sz="4" w:space="0" w:color="auto"/>
              <w:bottom w:val="single" w:sz="4" w:space="0" w:color="auto"/>
              <w:right w:val="single" w:sz="4" w:space="0" w:color="auto"/>
            </w:tcBorders>
            <w:noWrap/>
            <w:hideMark/>
          </w:tcPr>
          <w:p w:rsidR="00F11C77" w:rsidRPr="00B07221" w:rsidRDefault="00F11C77" w:rsidP="00CF12E8">
            <w:pPr>
              <w:jc w:val="center"/>
              <w:rPr>
                <w:sz w:val="22"/>
                <w:szCs w:val="22"/>
              </w:rPr>
            </w:pPr>
            <w:r>
              <w:rPr>
                <w:sz w:val="22"/>
                <w:szCs w:val="22"/>
              </w:rPr>
              <w:t>ALJ</w:t>
            </w:r>
          </w:p>
        </w:tc>
        <w:tc>
          <w:tcPr>
            <w:tcW w:w="1980" w:type="dxa"/>
            <w:tcBorders>
              <w:top w:val="single" w:sz="4" w:space="0" w:color="auto"/>
              <w:left w:val="single" w:sz="4" w:space="0" w:color="auto"/>
              <w:bottom w:val="single" w:sz="4" w:space="0" w:color="auto"/>
              <w:right w:val="single" w:sz="4" w:space="0" w:color="auto"/>
            </w:tcBorders>
            <w:noWrap/>
            <w:hideMark/>
          </w:tcPr>
          <w:p w:rsidR="00F11C77" w:rsidRPr="00B07221" w:rsidRDefault="00F11C77" w:rsidP="00CF12E8">
            <w:pPr>
              <w:jc w:val="center"/>
              <w:rPr>
                <w:sz w:val="22"/>
                <w:szCs w:val="22"/>
              </w:rPr>
            </w:pPr>
            <w:r>
              <w:rPr>
                <w:sz w:val="22"/>
                <w:szCs w:val="22"/>
              </w:rPr>
              <w:t>ALJ</w:t>
            </w:r>
          </w:p>
        </w:tc>
      </w:tr>
      <w:tr w:rsidR="00F11C77" w:rsidRPr="00B07221" w:rsidTr="00CF12E8">
        <w:trPr>
          <w:trHeight w:val="288"/>
        </w:trPr>
        <w:tc>
          <w:tcPr>
            <w:tcW w:w="4068" w:type="dxa"/>
            <w:tcBorders>
              <w:top w:val="single" w:sz="4" w:space="0" w:color="auto"/>
              <w:left w:val="single" w:sz="4" w:space="0" w:color="auto"/>
              <w:bottom w:val="single" w:sz="4" w:space="0" w:color="auto"/>
              <w:right w:val="single" w:sz="4" w:space="0" w:color="auto"/>
            </w:tcBorders>
            <w:noWrap/>
            <w:hideMark/>
          </w:tcPr>
          <w:p w:rsidR="00F11C77" w:rsidRPr="00B07221" w:rsidRDefault="00F11C77" w:rsidP="00CF12E8">
            <w:pPr>
              <w:rPr>
                <w:sz w:val="22"/>
                <w:szCs w:val="22"/>
              </w:rPr>
            </w:pPr>
          </w:p>
        </w:tc>
        <w:tc>
          <w:tcPr>
            <w:tcW w:w="1440" w:type="dxa"/>
            <w:tcBorders>
              <w:top w:val="nil"/>
              <w:left w:val="single" w:sz="4" w:space="0" w:color="auto"/>
              <w:bottom w:val="single" w:sz="4" w:space="0" w:color="auto"/>
              <w:right w:val="single" w:sz="4" w:space="0" w:color="auto"/>
            </w:tcBorders>
            <w:noWrap/>
            <w:hideMark/>
          </w:tcPr>
          <w:p w:rsidR="00F11C77" w:rsidRPr="00B07221" w:rsidRDefault="00F11C77" w:rsidP="00CF12E8">
            <w:pPr>
              <w:jc w:val="center"/>
              <w:rPr>
                <w:sz w:val="22"/>
                <w:szCs w:val="22"/>
                <w:u w:val="single"/>
              </w:rPr>
            </w:pPr>
            <w:r w:rsidRPr="00B07221">
              <w:rPr>
                <w:sz w:val="22"/>
                <w:szCs w:val="22"/>
                <w:u w:val="single"/>
              </w:rPr>
              <w:t>Totals</w:t>
            </w:r>
          </w:p>
        </w:tc>
        <w:tc>
          <w:tcPr>
            <w:tcW w:w="1890" w:type="dxa"/>
            <w:tcBorders>
              <w:top w:val="single" w:sz="4" w:space="0" w:color="auto"/>
              <w:left w:val="single" w:sz="4" w:space="0" w:color="auto"/>
              <w:bottom w:val="single" w:sz="4" w:space="0" w:color="auto"/>
              <w:right w:val="single" w:sz="4" w:space="0" w:color="auto"/>
            </w:tcBorders>
            <w:noWrap/>
            <w:hideMark/>
          </w:tcPr>
          <w:p w:rsidR="00F11C77" w:rsidRPr="00B07221" w:rsidRDefault="00F11C77" w:rsidP="00CF12E8">
            <w:pPr>
              <w:jc w:val="center"/>
              <w:rPr>
                <w:sz w:val="22"/>
                <w:szCs w:val="22"/>
                <w:u w:val="single"/>
              </w:rPr>
            </w:pPr>
            <w:r w:rsidRPr="00B07221">
              <w:rPr>
                <w:sz w:val="22"/>
                <w:szCs w:val="22"/>
                <w:u w:val="single"/>
              </w:rPr>
              <w:t>Adjustments</w:t>
            </w:r>
          </w:p>
        </w:tc>
        <w:tc>
          <w:tcPr>
            <w:tcW w:w="1980" w:type="dxa"/>
            <w:tcBorders>
              <w:top w:val="single" w:sz="4" w:space="0" w:color="auto"/>
              <w:left w:val="single" w:sz="4" w:space="0" w:color="auto"/>
              <w:bottom w:val="single" w:sz="4" w:space="0" w:color="auto"/>
              <w:right w:val="single" w:sz="4" w:space="0" w:color="auto"/>
            </w:tcBorders>
            <w:noWrap/>
            <w:hideMark/>
          </w:tcPr>
          <w:p w:rsidR="00F11C77" w:rsidRPr="00B07221" w:rsidRDefault="00F11C77" w:rsidP="00CF12E8">
            <w:pPr>
              <w:jc w:val="center"/>
              <w:rPr>
                <w:sz w:val="22"/>
                <w:szCs w:val="22"/>
                <w:u w:val="single"/>
              </w:rPr>
            </w:pPr>
            <w:r w:rsidRPr="00B07221">
              <w:rPr>
                <w:sz w:val="22"/>
                <w:szCs w:val="22"/>
                <w:u w:val="single"/>
              </w:rPr>
              <w:t>Recommendation</w:t>
            </w:r>
          </w:p>
        </w:tc>
      </w:tr>
      <w:tr w:rsidR="00F11C77" w:rsidRPr="00B07221" w:rsidTr="00CF12E8">
        <w:trPr>
          <w:trHeight w:val="288"/>
        </w:trPr>
        <w:tc>
          <w:tcPr>
            <w:tcW w:w="4068" w:type="dxa"/>
            <w:tcBorders>
              <w:top w:val="single" w:sz="4" w:space="0" w:color="auto"/>
            </w:tcBorders>
            <w:noWrap/>
            <w:hideMark/>
          </w:tcPr>
          <w:p w:rsidR="00F11C77" w:rsidRPr="00B07221" w:rsidRDefault="00F11C77" w:rsidP="00CF12E8">
            <w:pPr>
              <w:rPr>
                <w:b/>
                <w:bCs/>
                <w:sz w:val="22"/>
                <w:szCs w:val="22"/>
                <w:u w:val="single"/>
              </w:rPr>
            </w:pPr>
            <w:r w:rsidRPr="00B07221">
              <w:rPr>
                <w:b/>
                <w:bCs/>
                <w:sz w:val="22"/>
                <w:szCs w:val="22"/>
                <w:u w:val="single"/>
              </w:rPr>
              <w:t>Operating Revenues:</w:t>
            </w:r>
          </w:p>
        </w:tc>
        <w:tc>
          <w:tcPr>
            <w:tcW w:w="1440" w:type="dxa"/>
            <w:tcBorders>
              <w:top w:val="nil"/>
            </w:tcBorders>
            <w:noWrap/>
            <w:hideMark/>
          </w:tcPr>
          <w:p w:rsidR="00F11C77" w:rsidRPr="00B07221" w:rsidRDefault="00F11C77" w:rsidP="00CF12E8">
            <w:pPr>
              <w:rPr>
                <w:sz w:val="22"/>
                <w:szCs w:val="22"/>
              </w:rPr>
            </w:pPr>
            <w:r w:rsidRPr="00B07221">
              <w:rPr>
                <w:sz w:val="22"/>
                <w:szCs w:val="22"/>
              </w:rPr>
              <w:t> </w:t>
            </w:r>
          </w:p>
        </w:tc>
        <w:tc>
          <w:tcPr>
            <w:tcW w:w="1890" w:type="dxa"/>
            <w:tcBorders>
              <w:top w:val="nil"/>
            </w:tcBorders>
            <w:noWrap/>
            <w:hideMark/>
          </w:tcPr>
          <w:p w:rsidR="00F11C77" w:rsidRPr="00B07221" w:rsidRDefault="00F11C77" w:rsidP="00CF12E8">
            <w:pPr>
              <w:rPr>
                <w:sz w:val="22"/>
                <w:szCs w:val="22"/>
              </w:rPr>
            </w:pPr>
          </w:p>
        </w:tc>
        <w:tc>
          <w:tcPr>
            <w:tcW w:w="1980" w:type="dxa"/>
            <w:tcBorders>
              <w:top w:val="nil"/>
            </w:tcBorders>
            <w:noWrap/>
            <w:hideMark/>
          </w:tcPr>
          <w:p w:rsidR="00F11C77" w:rsidRPr="00B07221" w:rsidRDefault="00F11C77" w:rsidP="00CF12E8">
            <w:pPr>
              <w:rPr>
                <w:sz w:val="22"/>
                <w:szCs w:val="22"/>
              </w:rPr>
            </w:pP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Residential Revenues</w:t>
            </w:r>
          </w:p>
        </w:tc>
        <w:tc>
          <w:tcPr>
            <w:tcW w:w="1440" w:type="dxa"/>
            <w:noWrap/>
            <w:hideMark/>
          </w:tcPr>
          <w:p w:rsidR="00F11C77" w:rsidRPr="00B07221" w:rsidRDefault="00F11C77" w:rsidP="00CF12E8">
            <w:pPr>
              <w:rPr>
                <w:sz w:val="22"/>
                <w:szCs w:val="22"/>
              </w:rPr>
            </w:pPr>
            <w:r w:rsidRPr="00B07221">
              <w:rPr>
                <w:sz w:val="22"/>
                <w:szCs w:val="22"/>
              </w:rPr>
              <w:t xml:space="preserve"> $     91,375 </w:t>
            </w:r>
          </w:p>
        </w:tc>
        <w:tc>
          <w:tcPr>
            <w:tcW w:w="1890" w:type="dxa"/>
            <w:tcBorders>
              <w:bottom w:val="single" w:sz="4" w:space="0" w:color="auto"/>
            </w:tcBorders>
            <w:noWrap/>
            <w:hideMark/>
          </w:tcPr>
          <w:p w:rsidR="00F11C77" w:rsidRPr="00B07221" w:rsidRDefault="00F11C77" w:rsidP="00CF12E8">
            <w:pPr>
              <w:rPr>
                <w:sz w:val="22"/>
                <w:szCs w:val="22"/>
              </w:rPr>
            </w:pPr>
            <w:r w:rsidRPr="00B07221">
              <w:rPr>
                <w:sz w:val="22"/>
                <w:szCs w:val="22"/>
              </w:rPr>
              <w:t xml:space="preserve"> $            (52,317)</w:t>
            </w:r>
          </w:p>
        </w:tc>
        <w:tc>
          <w:tcPr>
            <w:tcW w:w="1980" w:type="dxa"/>
            <w:tcBorders>
              <w:bottom w:val="single" w:sz="4" w:space="0" w:color="auto"/>
            </w:tcBorders>
            <w:noWrap/>
            <w:hideMark/>
          </w:tcPr>
          <w:p w:rsidR="00F11C77" w:rsidRPr="00B07221" w:rsidRDefault="00F11C77" w:rsidP="00CF12E8">
            <w:pPr>
              <w:rPr>
                <w:sz w:val="22"/>
                <w:szCs w:val="22"/>
              </w:rPr>
            </w:pPr>
            <w:r w:rsidRPr="00B07221">
              <w:rPr>
                <w:sz w:val="22"/>
                <w:szCs w:val="22"/>
              </w:rPr>
              <w:t xml:space="preserve"> $                 39,058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Other - Penalties, NSF</w:t>
            </w:r>
          </w:p>
        </w:tc>
        <w:tc>
          <w:tcPr>
            <w:tcW w:w="1440" w:type="dxa"/>
            <w:noWrap/>
            <w:hideMark/>
          </w:tcPr>
          <w:p w:rsidR="00F11C77" w:rsidRPr="00B07221" w:rsidRDefault="00F11C77" w:rsidP="00CF12E8">
            <w:pPr>
              <w:rPr>
                <w:sz w:val="22"/>
                <w:szCs w:val="22"/>
              </w:rPr>
            </w:pPr>
            <w:r w:rsidRPr="00B07221">
              <w:rPr>
                <w:sz w:val="22"/>
                <w:szCs w:val="22"/>
              </w:rPr>
              <w:t xml:space="preserve"> $       </w:t>
            </w:r>
            <w:r>
              <w:rPr>
                <w:sz w:val="22"/>
                <w:szCs w:val="22"/>
              </w:rPr>
              <w:t xml:space="preserve"> </w:t>
            </w:r>
            <w:r w:rsidRPr="00B07221">
              <w:rPr>
                <w:sz w:val="22"/>
                <w:szCs w:val="22"/>
              </w:rPr>
              <w:t xml:space="preserve">  113 </w:t>
            </w:r>
          </w:p>
        </w:tc>
        <w:tc>
          <w:tcPr>
            <w:tcW w:w="1890" w:type="dxa"/>
            <w:tcBorders>
              <w:right w:val="single" w:sz="4" w:space="0" w:color="auto"/>
            </w:tcBorders>
            <w:noWrap/>
            <w:hideMark/>
          </w:tcPr>
          <w:p w:rsidR="00F11C77" w:rsidRPr="00B07221" w:rsidRDefault="00F11C77" w:rsidP="00CF12E8">
            <w:pPr>
              <w:rPr>
                <w:sz w:val="22"/>
                <w:szCs w:val="22"/>
              </w:rPr>
            </w:pPr>
          </w:p>
        </w:tc>
        <w:tc>
          <w:tcPr>
            <w:tcW w:w="1980" w:type="dxa"/>
            <w:tcBorders>
              <w:top w:val="nil"/>
              <w:left w:val="single" w:sz="4" w:space="0" w:color="auto"/>
              <w:bottom w:val="single" w:sz="4" w:space="0" w:color="auto"/>
              <w:right w:val="single" w:sz="4" w:space="0" w:color="auto"/>
            </w:tcBorders>
            <w:noWrap/>
            <w:hideMark/>
          </w:tcPr>
          <w:p w:rsidR="00F11C77" w:rsidRPr="00B07221" w:rsidRDefault="00F11C77" w:rsidP="00CF12E8">
            <w:pPr>
              <w:rPr>
                <w:sz w:val="22"/>
                <w:szCs w:val="22"/>
              </w:rPr>
            </w:pPr>
            <w:r w:rsidRPr="00B07221">
              <w:rPr>
                <w:sz w:val="22"/>
                <w:szCs w:val="22"/>
              </w:rPr>
              <w:t xml:space="preserve"> $                      113 </w:t>
            </w:r>
          </w:p>
        </w:tc>
      </w:tr>
      <w:tr w:rsidR="00F11C77" w:rsidRPr="00B07221" w:rsidTr="00CF12E8">
        <w:trPr>
          <w:trHeight w:val="288"/>
        </w:trPr>
        <w:tc>
          <w:tcPr>
            <w:tcW w:w="4068" w:type="dxa"/>
            <w:noWrap/>
            <w:hideMark/>
          </w:tcPr>
          <w:p w:rsidR="00F11C77" w:rsidRPr="00B07221" w:rsidRDefault="00F11C77" w:rsidP="00CF12E8">
            <w:pPr>
              <w:rPr>
                <w:sz w:val="22"/>
                <w:szCs w:val="22"/>
              </w:rPr>
            </w:pPr>
          </w:p>
        </w:tc>
        <w:tc>
          <w:tcPr>
            <w:tcW w:w="1440" w:type="dxa"/>
            <w:vMerge w:val="restart"/>
            <w:noWrap/>
          </w:tcPr>
          <w:p w:rsidR="00F11C77" w:rsidRDefault="00F11C77" w:rsidP="00CF12E8">
            <w:pPr>
              <w:rPr>
                <w:sz w:val="22"/>
                <w:szCs w:val="22"/>
              </w:rPr>
            </w:pPr>
            <w:r w:rsidRPr="00B07221">
              <w:rPr>
                <w:sz w:val="22"/>
                <w:szCs w:val="22"/>
              </w:rPr>
              <w:t xml:space="preserve"> </w:t>
            </w:r>
          </w:p>
          <w:p w:rsidR="00F11C77" w:rsidRPr="00B07221" w:rsidRDefault="00F11C77" w:rsidP="00CF12E8">
            <w:pPr>
              <w:rPr>
                <w:sz w:val="22"/>
                <w:szCs w:val="22"/>
              </w:rPr>
            </w:pPr>
            <w:r w:rsidRPr="00B07221">
              <w:rPr>
                <w:sz w:val="22"/>
                <w:szCs w:val="22"/>
              </w:rPr>
              <w:t xml:space="preserve">$   </w:t>
            </w:r>
            <w:r>
              <w:rPr>
                <w:sz w:val="22"/>
                <w:szCs w:val="22"/>
              </w:rPr>
              <w:t xml:space="preserve"> </w:t>
            </w:r>
            <w:r w:rsidRPr="00B07221">
              <w:rPr>
                <w:sz w:val="22"/>
                <w:szCs w:val="22"/>
              </w:rPr>
              <w:t xml:space="preserve">  91,488 </w:t>
            </w:r>
          </w:p>
        </w:tc>
        <w:tc>
          <w:tcPr>
            <w:tcW w:w="1890" w:type="dxa"/>
            <w:vMerge w:val="restart"/>
            <w:noWrap/>
          </w:tcPr>
          <w:p w:rsidR="00F11C77" w:rsidRDefault="00F11C77" w:rsidP="00CF12E8">
            <w:pPr>
              <w:rPr>
                <w:sz w:val="22"/>
                <w:szCs w:val="22"/>
              </w:rPr>
            </w:pPr>
          </w:p>
          <w:p w:rsidR="00F11C77" w:rsidRPr="00B07221" w:rsidRDefault="00F11C77" w:rsidP="00CF12E8">
            <w:pPr>
              <w:rPr>
                <w:sz w:val="22"/>
                <w:szCs w:val="22"/>
              </w:rPr>
            </w:pPr>
            <w:r w:rsidRPr="00B07221">
              <w:rPr>
                <w:sz w:val="22"/>
                <w:szCs w:val="22"/>
              </w:rPr>
              <w:t xml:space="preserve"> $            (52,317)</w:t>
            </w:r>
          </w:p>
        </w:tc>
        <w:tc>
          <w:tcPr>
            <w:tcW w:w="1980" w:type="dxa"/>
            <w:vMerge w:val="restart"/>
            <w:tcBorders>
              <w:top w:val="single" w:sz="4" w:space="0" w:color="auto"/>
            </w:tcBorders>
            <w:noWrap/>
          </w:tcPr>
          <w:p w:rsidR="00F11C77" w:rsidRDefault="00F11C77" w:rsidP="00CF12E8">
            <w:pPr>
              <w:rPr>
                <w:sz w:val="22"/>
                <w:szCs w:val="22"/>
              </w:rPr>
            </w:pPr>
            <w:r w:rsidRPr="00B07221">
              <w:rPr>
                <w:sz w:val="22"/>
                <w:szCs w:val="22"/>
              </w:rPr>
              <w:t xml:space="preserve"> </w:t>
            </w:r>
          </w:p>
          <w:p w:rsidR="00F11C77" w:rsidRPr="00B07221" w:rsidRDefault="00F11C77" w:rsidP="00CF12E8">
            <w:pPr>
              <w:rPr>
                <w:sz w:val="22"/>
                <w:szCs w:val="22"/>
              </w:rPr>
            </w:pPr>
            <w:r w:rsidRPr="00B07221">
              <w:rPr>
                <w:sz w:val="22"/>
                <w:szCs w:val="22"/>
              </w:rPr>
              <w:t xml:space="preserve">$                 </w:t>
            </w:r>
            <w:r>
              <w:rPr>
                <w:sz w:val="22"/>
                <w:szCs w:val="22"/>
              </w:rPr>
              <w:t xml:space="preserve"> </w:t>
            </w:r>
            <w:r w:rsidRPr="00B07221">
              <w:rPr>
                <w:sz w:val="22"/>
                <w:szCs w:val="22"/>
              </w:rPr>
              <w:t xml:space="preserve">39,171 </w:t>
            </w:r>
          </w:p>
        </w:tc>
      </w:tr>
      <w:tr w:rsidR="00F11C77" w:rsidRPr="00B07221" w:rsidTr="00CF12E8">
        <w:trPr>
          <w:trHeight w:val="288"/>
        </w:trPr>
        <w:tc>
          <w:tcPr>
            <w:tcW w:w="4068" w:type="dxa"/>
            <w:tcBorders>
              <w:bottom w:val="single" w:sz="4" w:space="0" w:color="auto"/>
            </w:tcBorders>
            <w:noWrap/>
            <w:hideMark/>
          </w:tcPr>
          <w:p w:rsidR="00F11C77" w:rsidRPr="00B07221" w:rsidRDefault="00F11C77" w:rsidP="00CF12E8">
            <w:pPr>
              <w:rPr>
                <w:sz w:val="22"/>
                <w:szCs w:val="22"/>
              </w:rPr>
            </w:pPr>
            <w:r w:rsidRPr="00B07221">
              <w:rPr>
                <w:sz w:val="22"/>
                <w:szCs w:val="22"/>
              </w:rPr>
              <w:t xml:space="preserve">Total Operating Revenues </w:t>
            </w:r>
          </w:p>
        </w:tc>
        <w:tc>
          <w:tcPr>
            <w:tcW w:w="1440" w:type="dxa"/>
            <w:vMerge/>
            <w:tcBorders>
              <w:bottom w:val="single" w:sz="4" w:space="0" w:color="auto"/>
            </w:tcBorders>
            <w:noWrap/>
            <w:hideMark/>
          </w:tcPr>
          <w:p w:rsidR="00F11C77" w:rsidRPr="00B07221" w:rsidRDefault="00F11C77" w:rsidP="00CF12E8">
            <w:pPr>
              <w:rPr>
                <w:sz w:val="22"/>
                <w:szCs w:val="22"/>
              </w:rPr>
            </w:pPr>
          </w:p>
        </w:tc>
        <w:tc>
          <w:tcPr>
            <w:tcW w:w="1890" w:type="dxa"/>
            <w:vMerge/>
            <w:tcBorders>
              <w:bottom w:val="single" w:sz="4" w:space="0" w:color="auto"/>
            </w:tcBorders>
            <w:noWrap/>
            <w:hideMark/>
          </w:tcPr>
          <w:p w:rsidR="00F11C77" w:rsidRPr="00B07221" w:rsidRDefault="00F11C77" w:rsidP="00CF12E8">
            <w:pPr>
              <w:rPr>
                <w:sz w:val="22"/>
                <w:szCs w:val="22"/>
              </w:rPr>
            </w:pPr>
          </w:p>
        </w:tc>
        <w:tc>
          <w:tcPr>
            <w:tcW w:w="1980" w:type="dxa"/>
            <w:vMerge/>
            <w:tcBorders>
              <w:bottom w:val="single" w:sz="4" w:space="0" w:color="auto"/>
            </w:tcBorders>
            <w:noWrap/>
            <w:hideMark/>
          </w:tcPr>
          <w:p w:rsidR="00F11C77" w:rsidRPr="00B07221" w:rsidRDefault="00F11C77" w:rsidP="00CF12E8">
            <w:pPr>
              <w:rPr>
                <w:sz w:val="22"/>
                <w:szCs w:val="22"/>
              </w:rPr>
            </w:pPr>
          </w:p>
        </w:tc>
      </w:tr>
      <w:tr w:rsidR="00F11C77" w:rsidRPr="00B07221" w:rsidTr="00CF12E8">
        <w:trPr>
          <w:trHeight w:val="288"/>
        </w:trPr>
        <w:tc>
          <w:tcPr>
            <w:tcW w:w="4068" w:type="dxa"/>
            <w:tcBorders>
              <w:top w:val="single" w:sz="4" w:space="0" w:color="auto"/>
              <w:bottom w:val="single" w:sz="4" w:space="0" w:color="auto"/>
              <w:right w:val="single" w:sz="4" w:space="0" w:color="auto"/>
            </w:tcBorders>
            <w:noWrap/>
            <w:hideMark/>
          </w:tcPr>
          <w:p w:rsidR="00F11C77" w:rsidRPr="00B07221" w:rsidRDefault="00F11C77" w:rsidP="00CF12E8">
            <w:pPr>
              <w:rPr>
                <w:sz w:val="22"/>
                <w:szCs w:val="22"/>
              </w:rPr>
            </w:pPr>
          </w:p>
        </w:tc>
        <w:tc>
          <w:tcPr>
            <w:tcW w:w="1440" w:type="dxa"/>
            <w:tcBorders>
              <w:top w:val="single" w:sz="4" w:space="0" w:color="auto"/>
              <w:left w:val="single" w:sz="4" w:space="0" w:color="auto"/>
              <w:bottom w:val="single" w:sz="4" w:space="0" w:color="auto"/>
              <w:right w:val="single" w:sz="4" w:space="0" w:color="auto"/>
            </w:tcBorders>
            <w:noWrap/>
            <w:hideMark/>
          </w:tcPr>
          <w:p w:rsidR="00F11C77" w:rsidRPr="00B07221" w:rsidRDefault="00F11C77" w:rsidP="00CF12E8">
            <w:pPr>
              <w:rPr>
                <w:sz w:val="22"/>
                <w:szCs w:val="22"/>
              </w:rPr>
            </w:pPr>
            <w:r w:rsidRPr="00B07221">
              <w:rPr>
                <w:sz w:val="22"/>
                <w:szCs w:val="22"/>
              </w:rPr>
              <w:t> </w:t>
            </w:r>
          </w:p>
        </w:tc>
        <w:tc>
          <w:tcPr>
            <w:tcW w:w="1890" w:type="dxa"/>
            <w:tcBorders>
              <w:top w:val="nil"/>
              <w:left w:val="single" w:sz="4" w:space="0" w:color="auto"/>
            </w:tcBorders>
            <w:noWrap/>
            <w:hideMark/>
          </w:tcPr>
          <w:p w:rsidR="00F11C77" w:rsidRPr="00B07221" w:rsidRDefault="00F11C77" w:rsidP="00CF12E8">
            <w:pPr>
              <w:rPr>
                <w:sz w:val="22"/>
                <w:szCs w:val="22"/>
              </w:rPr>
            </w:pPr>
          </w:p>
        </w:tc>
        <w:tc>
          <w:tcPr>
            <w:tcW w:w="1980" w:type="dxa"/>
            <w:tcBorders>
              <w:top w:val="single" w:sz="4" w:space="0" w:color="auto"/>
            </w:tcBorders>
            <w:noWrap/>
            <w:hideMark/>
          </w:tcPr>
          <w:p w:rsidR="00F11C77" w:rsidRPr="00B07221" w:rsidRDefault="00F11C77" w:rsidP="00CF12E8">
            <w:pPr>
              <w:rPr>
                <w:sz w:val="22"/>
                <w:szCs w:val="22"/>
              </w:rPr>
            </w:pPr>
          </w:p>
        </w:tc>
      </w:tr>
      <w:tr w:rsidR="00F11C77" w:rsidRPr="00B07221" w:rsidTr="00CF12E8">
        <w:trPr>
          <w:trHeight w:val="288"/>
        </w:trPr>
        <w:tc>
          <w:tcPr>
            <w:tcW w:w="4068" w:type="dxa"/>
            <w:tcBorders>
              <w:top w:val="single" w:sz="4" w:space="0" w:color="auto"/>
            </w:tcBorders>
            <w:noWrap/>
            <w:hideMark/>
          </w:tcPr>
          <w:p w:rsidR="00F11C77" w:rsidRPr="00B07221" w:rsidRDefault="00F11C77" w:rsidP="00CF12E8">
            <w:pPr>
              <w:rPr>
                <w:b/>
                <w:bCs/>
                <w:sz w:val="22"/>
                <w:szCs w:val="22"/>
                <w:u w:val="single"/>
              </w:rPr>
            </w:pPr>
            <w:r w:rsidRPr="00B07221">
              <w:rPr>
                <w:b/>
                <w:bCs/>
                <w:sz w:val="22"/>
                <w:szCs w:val="22"/>
                <w:u w:val="single"/>
              </w:rPr>
              <w:t>Expenses:</w:t>
            </w:r>
          </w:p>
        </w:tc>
        <w:tc>
          <w:tcPr>
            <w:tcW w:w="1440" w:type="dxa"/>
            <w:tcBorders>
              <w:top w:val="single" w:sz="4" w:space="0" w:color="auto"/>
            </w:tcBorders>
            <w:noWrap/>
            <w:hideMark/>
          </w:tcPr>
          <w:p w:rsidR="00F11C77" w:rsidRPr="00B07221" w:rsidRDefault="00F11C77" w:rsidP="00CF12E8">
            <w:pPr>
              <w:rPr>
                <w:sz w:val="22"/>
                <w:szCs w:val="22"/>
              </w:rPr>
            </w:pPr>
            <w:r w:rsidRPr="00B07221">
              <w:rPr>
                <w:sz w:val="22"/>
                <w:szCs w:val="22"/>
              </w:rPr>
              <w:t> </w:t>
            </w:r>
          </w:p>
        </w:tc>
        <w:tc>
          <w:tcPr>
            <w:tcW w:w="1890" w:type="dxa"/>
            <w:noWrap/>
            <w:hideMark/>
          </w:tcPr>
          <w:p w:rsidR="00F11C77" w:rsidRPr="00B07221" w:rsidRDefault="00F11C77" w:rsidP="00CF12E8">
            <w:pPr>
              <w:rPr>
                <w:sz w:val="22"/>
                <w:szCs w:val="22"/>
              </w:rPr>
            </w:pPr>
          </w:p>
        </w:tc>
        <w:tc>
          <w:tcPr>
            <w:tcW w:w="1980" w:type="dxa"/>
            <w:noWrap/>
            <w:hideMark/>
          </w:tcPr>
          <w:p w:rsidR="00F11C77" w:rsidRPr="00B07221" w:rsidRDefault="00F11C77" w:rsidP="00CF12E8">
            <w:pPr>
              <w:rPr>
                <w:sz w:val="22"/>
                <w:szCs w:val="22"/>
              </w:rPr>
            </w:pP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Officers, Directors Salaries</w:t>
            </w:r>
          </w:p>
        </w:tc>
        <w:tc>
          <w:tcPr>
            <w:tcW w:w="1440" w:type="dxa"/>
            <w:noWrap/>
            <w:hideMark/>
          </w:tcPr>
          <w:p w:rsidR="00F11C77" w:rsidRPr="00B07221" w:rsidRDefault="00F11C77" w:rsidP="00CF12E8">
            <w:pPr>
              <w:rPr>
                <w:sz w:val="22"/>
                <w:szCs w:val="22"/>
              </w:rPr>
            </w:pPr>
            <w:r w:rsidRPr="00B07221">
              <w:rPr>
                <w:sz w:val="22"/>
                <w:szCs w:val="22"/>
              </w:rPr>
              <w:t xml:space="preserve"> $     14,400 </w:t>
            </w:r>
          </w:p>
        </w:tc>
        <w:tc>
          <w:tcPr>
            <w:tcW w:w="1890" w:type="dxa"/>
            <w:noWrap/>
            <w:hideMark/>
          </w:tcPr>
          <w:p w:rsidR="00F11C77" w:rsidRPr="00B07221" w:rsidRDefault="00F11C77" w:rsidP="00CF12E8">
            <w:pPr>
              <w:rPr>
                <w:sz w:val="22"/>
                <w:szCs w:val="22"/>
              </w:rPr>
            </w:pPr>
            <w:r w:rsidRPr="00B07221">
              <w:rPr>
                <w:sz w:val="22"/>
                <w:szCs w:val="22"/>
              </w:rPr>
              <w:t xml:space="preserve"> $              (8,015)</w:t>
            </w:r>
          </w:p>
        </w:tc>
        <w:tc>
          <w:tcPr>
            <w:tcW w:w="1980" w:type="dxa"/>
            <w:noWrap/>
            <w:hideMark/>
          </w:tcPr>
          <w:p w:rsidR="00F11C77" w:rsidRPr="00B07221" w:rsidRDefault="00F11C77" w:rsidP="00CF12E8">
            <w:pPr>
              <w:rPr>
                <w:sz w:val="22"/>
                <w:szCs w:val="22"/>
              </w:rPr>
            </w:pPr>
            <w:r w:rsidRPr="00B07221">
              <w:rPr>
                <w:sz w:val="22"/>
                <w:szCs w:val="22"/>
              </w:rPr>
              <w:t xml:space="preserve"> $                   6,385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Purchased Power</w:t>
            </w:r>
          </w:p>
        </w:tc>
        <w:tc>
          <w:tcPr>
            <w:tcW w:w="1440" w:type="dxa"/>
            <w:noWrap/>
            <w:hideMark/>
          </w:tcPr>
          <w:p w:rsidR="00F11C77" w:rsidRPr="00B07221" w:rsidRDefault="00F11C77" w:rsidP="00CF12E8">
            <w:pPr>
              <w:rPr>
                <w:sz w:val="22"/>
                <w:szCs w:val="22"/>
              </w:rPr>
            </w:pPr>
            <w:r w:rsidRPr="00B07221">
              <w:rPr>
                <w:sz w:val="22"/>
                <w:szCs w:val="22"/>
              </w:rPr>
              <w:t xml:space="preserve"> $       2,178 </w:t>
            </w:r>
          </w:p>
        </w:tc>
        <w:tc>
          <w:tcPr>
            <w:tcW w:w="1890" w:type="dxa"/>
            <w:noWrap/>
            <w:hideMark/>
          </w:tcPr>
          <w:p w:rsidR="00F11C77" w:rsidRPr="00B07221" w:rsidRDefault="00F11C77" w:rsidP="00CF12E8">
            <w:pPr>
              <w:rPr>
                <w:sz w:val="22"/>
                <w:szCs w:val="22"/>
              </w:rPr>
            </w:pPr>
          </w:p>
        </w:tc>
        <w:tc>
          <w:tcPr>
            <w:tcW w:w="1980" w:type="dxa"/>
            <w:noWrap/>
            <w:hideMark/>
          </w:tcPr>
          <w:p w:rsidR="00F11C77" w:rsidRPr="00B07221" w:rsidRDefault="00F11C77" w:rsidP="00CF12E8">
            <w:pPr>
              <w:rPr>
                <w:sz w:val="22"/>
                <w:szCs w:val="22"/>
              </w:rPr>
            </w:pPr>
            <w:r w:rsidRPr="00B07221">
              <w:rPr>
                <w:sz w:val="22"/>
                <w:szCs w:val="22"/>
              </w:rPr>
              <w:t xml:space="preserve"> $                   2,178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Accounting &amp; Tax Return Preparation</w:t>
            </w:r>
          </w:p>
        </w:tc>
        <w:tc>
          <w:tcPr>
            <w:tcW w:w="1440" w:type="dxa"/>
            <w:noWrap/>
            <w:hideMark/>
          </w:tcPr>
          <w:p w:rsidR="00F11C77" w:rsidRPr="00B07221" w:rsidRDefault="00F11C77" w:rsidP="00CF12E8">
            <w:pPr>
              <w:rPr>
                <w:sz w:val="22"/>
                <w:szCs w:val="22"/>
              </w:rPr>
            </w:pPr>
            <w:r w:rsidRPr="00B07221">
              <w:rPr>
                <w:sz w:val="22"/>
                <w:szCs w:val="22"/>
              </w:rPr>
              <w:t xml:space="preserve"> $       2,000 </w:t>
            </w:r>
          </w:p>
        </w:tc>
        <w:tc>
          <w:tcPr>
            <w:tcW w:w="1890" w:type="dxa"/>
            <w:noWrap/>
            <w:hideMark/>
          </w:tcPr>
          <w:p w:rsidR="00F11C77" w:rsidRPr="00B07221" w:rsidRDefault="00F11C77" w:rsidP="00CF12E8">
            <w:pPr>
              <w:rPr>
                <w:sz w:val="22"/>
                <w:szCs w:val="22"/>
              </w:rPr>
            </w:pPr>
          </w:p>
        </w:tc>
        <w:tc>
          <w:tcPr>
            <w:tcW w:w="1980" w:type="dxa"/>
            <w:noWrap/>
            <w:hideMark/>
          </w:tcPr>
          <w:p w:rsidR="00F11C77" w:rsidRPr="00B07221" w:rsidRDefault="00F11C77" w:rsidP="00CF12E8">
            <w:pPr>
              <w:rPr>
                <w:sz w:val="22"/>
                <w:szCs w:val="22"/>
              </w:rPr>
            </w:pPr>
            <w:r w:rsidRPr="00B07221">
              <w:rPr>
                <w:sz w:val="22"/>
                <w:szCs w:val="22"/>
              </w:rPr>
              <w:t xml:space="preserve"> $                   2,000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Legal - General Regulatory Non-Rate Case</w:t>
            </w:r>
          </w:p>
        </w:tc>
        <w:tc>
          <w:tcPr>
            <w:tcW w:w="1440" w:type="dxa"/>
            <w:noWrap/>
            <w:hideMark/>
          </w:tcPr>
          <w:p w:rsidR="00F11C77" w:rsidRPr="00B07221" w:rsidRDefault="00F11C77" w:rsidP="00CF12E8">
            <w:pPr>
              <w:rPr>
                <w:sz w:val="22"/>
                <w:szCs w:val="22"/>
              </w:rPr>
            </w:pPr>
            <w:r w:rsidRPr="00B07221">
              <w:rPr>
                <w:sz w:val="22"/>
                <w:szCs w:val="22"/>
              </w:rPr>
              <w:t xml:space="preserve"> $       1,569 </w:t>
            </w:r>
          </w:p>
        </w:tc>
        <w:tc>
          <w:tcPr>
            <w:tcW w:w="1890" w:type="dxa"/>
            <w:noWrap/>
            <w:hideMark/>
          </w:tcPr>
          <w:p w:rsidR="00F11C77" w:rsidRPr="00B07221" w:rsidRDefault="00F11C77" w:rsidP="00CF12E8">
            <w:pPr>
              <w:rPr>
                <w:sz w:val="22"/>
                <w:szCs w:val="22"/>
              </w:rPr>
            </w:pPr>
            <w:r w:rsidRPr="00B07221">
              <w:rPr>
                <w:sz w:val="22"/>
                <w:szCs w:val="22"/>
              </w:rPr>
              <w:t xml:space="preserve"> $              (1,569)</w:t>
            </w:r>
          </w:p>
        </w:tc>
        <w:tc>
          <w:tcPr>
            <w:tcW w:w="1980" w:type="dxa"/>
            <w:noWrap/>
            <w:hideMark/>
          </w:tcPr>
          <w:p w:rsidR="00F11C77" w:rsidRPr="00B07221" w:rsidRDefault="00F11C77" w:rsidP="00CF12E8">
            <w:pPr>
              <w:rPr>
                <w:sz w:val="22"/>
                <w:szCs w:val="22"/>
              </w:rPr>
            </w:pPr>
            <w:r w:rsidRPr="00B07221">
              <w:rPr>
                <w:sz w:val="22"/>
                <w:szCs w:val="22"/>
              </w:rPr>
              <w:t xml:space="preserve"> $                            -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Rate Case Expense</w:t>
            </w:r>
          </w:p>
        </w:tc>
        <w:tc>
          <w:tcPr>
            <w:tcW w:w="1440" w:type="dxa"/>
            <w:noWrap/>
            <w:hideMark/>
          </w:tcPr>
          <w:p w:rsidR="00F11C77" w:rsidRPr="00B07221" w:rsidRDefault="00F11C77" w:rsidP="00CF12E8">
            <w:pPr>
              <w:rPr>
                <w:sz w:val="22"/>
                <w:szCs w:val="22"/>
              </w:rPr>
            </w:pPr>
            <w:r w:rsidRPr="00B07221">
              <w:rPr>
                <w:sz w:val="22"/>
                <w:szCs w:val="22"/>
              </w:rPr>
              <w:t xml:space="preserve"> $       7,866 </w:t>
            </w:r>
          </w:p>
        </w:tc>
        <w:tc>
          <w:tcPr>
            <w:tcW w:w="1890" w:type="dxa"/>
            <w:noWrap/>
            <w:hideMark/>
          </w:tcPr>
          <w:p w:rsidR="00F11C77" w:rsidRPr="00B07221" w:rsidRDefault="00F11C77" w:rsidP="00CF12E8">
            <w:pPr>
              <w:rPr>
                <w:sz w:val="22"/>
                <w:szCs w:val="22"/>
              </w:rPr>
            </w:pPr>
            <w:r w:rsidRPr="00B07221">
              <w:rPr>
                <w:sz w:val="22"/>
                <w:szCs w:val="22"/>
              </w:rPr>
              <w:t xml:space="preserve"> $              (3,933)</w:t>
            </w:r>
          </w:p>
        </w:tc>
        <w:tc>
          <w:tcPr>
            <w:tcW w:w="1980" w:type="dxa"/>
            <w:noWrap/>
            <w:hideMark/>
          </w:tcPr>
          <w:p w:rsidR="00F11C77" w:rsidRPr="00B07221" w:rsidRDefault="00F11C77" w:rsidP="00CF12E8">
            <w:pPr>
              <w:rPr>
                <w:sz w:val="22"/>
                <w:szCs w:val="22"/>
              </w:rPr>
            </w:pPr>
            <w:r w:rsidRPr="00B07221">
              <w:rPr>
                <w:sz w:val="22"/>
                <w:szCs w:val="22"/>
              </w:rPr>
              <w:t xml:space="preserve"> $                   3,933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Operations Management</w:t>
            </w:r>
          </w:p>
        </w:tc>
        <w:tc>
          <w:tcPr>
            <w:tcW w:w="1440" w:type="dxa"/>
            <w:noWrap/>
            <w:hideMark/>
          </w:tcPr>
          <w:p w:rsidR="00F11C77" w:rsidRPr="00B07221" w:rsidRDefault="00F11C77" w:rsidP="00CF12E8">
            <w:pPr>
              <w:rPr>
                <w:sz w:val="22"/>
                <w:szCs w:val="22"/>
              </w:rPr>
            </w:pPr>
            <w:r w:rsidRPr="00B07221">
              <w:rPr>
                <w:sz w:val="22"/>
                <w:szCs w:val="22"/>
              </w:rPr>
              <w:t xml:space="preserve"> $       9,600 </w:t>
            </w:r>
          </w:p>
        </w:tc>
        <w:tc>
          <w:tcPr>
            <w:tcW w:w="1890" w:type="dxa"/>
            <w:noWrap/>
            <w:hideMark/>
          </w:tcPr>
          <w:p w:rsidR="00F11C77" w:rsidRPr="00B07221" w:rsidRDefault="00F11C77" w:rsidP="00CF12E8">
            <w:pPr>
              <w:rPr>
                <w:sz w:val="22"/>
                <w:szCs w:val="22"/>
              </w:rPr>
            </w:pPr>
            <w:r w:rsidRPr="00B07221">
              <w:rPr>
                <w:sz w:val="22"/>
                <w:szCs w:val="22"/>
              </w:rPr>
              <w:t xml:space="preserve"> $              (5,930)</w:t>
            </w:r>
          </w:p>
        </w:tc>
        <w:tc>
          <w:tcPr>
            <w:tcW w:w="1980" w:type="dxa"/>
            <w:noWrap/>
            <w:hideMark/>
          </w:tcPr>
          <w:p w:rsidR="00F11C77" w:rsidRPr="00B07221" w:rsidRDefault="00F11C77" w:rsidP="00CF12E8">
            <w:pPr>
              <w:rPr>
                <w:sz w:val="22"/>
                <w:szCs w:val="22"/>
              </w:rPr>
            </w:pPr>
            <w:r w:rsidRPr="00B07221">
              <w:rPr>
                <w:sz w:val="22"/>
                <w:szCs w:val="22"/>
              </w:rPr>
              <w:t xml:space="preserve"> $                   3,670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Contracted Administrative Services</w:t>
            </w:r>
          </w:p>
        </w:tc>
        <w:tc>
          <w:tcPr>
            <w:tcW w:w="1440" w:type="dxa"/>
            <w:noWrap/>
            <w:hideMark/>
          </w:tcPr>
          <w:p w:rsidR="00F11C77" w:rsidRPr="00B07221" w:rsidRDefault="00F11C77" w:rsidP="00CF12E8">
            <w:pPr>
              <w:rPr>
                <w:sz w:val="22"/>
                <w:szCs w:val="22"/>
              </w:rPr>
            </w:pPr>
            <w:r w:rsidRPr="00B07221">
              <w:rPr>
                <w:sz w:val="22"/>
                <w:szCs w:val="22"/>
              </w:rPr>
              <w:t xml:space="preserve"> $     39,000 </w:t>
            </w:r>
          </w:p>
        </w:tc>
        <w:tc>
          <w:tcPr>
            <w:tcW w:w="1890" w:type="dxa"/>
            <w:noWrap/>
            <w:hideMark/>
          </w:tcPr>
          <w:p w:rsidR="00F11C77" w:rsidRPr="00B07221" w:rsidRDefault="00F11C77" w:rsidP="00CF12E8">
            <w:pPr>
              <w:rPr>
                <w:sz w:val="22"/>
                <w:szCs w:val="22"/>
              </w:rPr>
            </w:pPr>
            <w:r w:rsidRPr="00B07221">
              <w:rPr>
                <w:sz w:val="22"/>
                <w:szCs w:val="22"/>
              </w:rPr>
              <w:t xml:space="preserve"> $            (36,151)</w:t>
            </w:r>
          </w:p>
        </w:tc>
        <w:tc>
          <w:tcPr>
            <w:tcW w:w="1980" w:type="dxa"/>
            <w:noWrap/>
            <w:hideMark/>
          </w:tcPr>
          <w:p w:rsidR="00F11C77" w:rsidRPr="00B07221" w:rsidRDefault="00F11C77" w:rsidP="00CF12E8">
            <w:pPr>
              <w:rPr>
                <w:sz w:val="22"/>
                <w:szCs w:val="22"/>
              </w:rPr>
            </w:pPr>
            <w:r w:rsidRPr="00B07221">
              <w:rPr>
                <w:sz w:val="22"/>
                <w:szCs w:val="22"/>
              </w:rPr>
              <w:t xml:space="preserve"> $                   2,849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Grounds Maintenance</w:t>
            </w:r>
          </w:p>
        </w:tc>
        <w:tc>
          <w:tcPr>
            <w:tcW w:w="1440" w:type="dxa"/>
            <w:noWrap/>
            <w:hideMark/>
          </w:tcPr>
          <w:p w:rsidR="00F11C77" w:rsidRPr="00B07221" w:rsidRDefault="00F11C77" w:rsidP="00CF12E8">
            <w:pPr>
              <w:rPr>
                <w:sz w:val="22"/>
                <w:szCs w:val="22"/>
              </w:rPr>
            </w:pPr>
            <w:r w:rsidRPr="00B07221">
              <w:rPr>
                <w:sz w:val="22"/>
                <w:szCs w:val="22"/>
              </w:rPr>
              <w:t xml:space="preserve"> $       1,000 </w:t>
            </w:r>
          </w:p>
        </w:tc>
        <w:tc>
          <w:tcPr>
            <w:tcW w:w="1890" w:type="dxa"/>
            <w:noWrap/>
            <w:hideMark/>
          </w:tcPr>
          <w:p w:rsidR="00F11C77" w:rsidRPr="00B07221" w:rsidRDefault="00F11C77" w:rsidP="00CF12E8">
            <w:pPr>
              <w:rPr>
                <w:sz w:val="22"/>
                <w:szCs w:val="22"/>
              </w:rPr>
            </w:pPr>
          </w:p>
        </w:tc>
        <w:tc>
          <w:tcPr>
            <w:tcW w:w="1980" w:type="dxa"/>
            <w:noWrap/>
            <w:hideMark/>
          </w:tcPr>
          <w:p w:rsidR="00F11C77" w:rsidRPr="00B07221" w:rsidRDefault="00F11C77" w:rsidP="00CF12E8">
            <w:pPr>
              <w:rPr>
                <w:sz w:val="22"/>
                <w:szCs w:val="22"/>
              </w:rPr>
            </w:pPr>
            <w:r w:rsidRPr="00B07221">
              <w:rPr>
                <w:sz w:val="22"/>
                <w:szCs w:val="22"/>
              </w:rPr>
              <w:t xml:space="preserve"> $                   1,000 </w:t>
            </w:r>
          </w:p>
        </w:tc>
      </w:tr>
      <w:tr w:rsidR="00F11C77" w:rsidRPr="00B07221" w:rsidTr="00CF12E8">
        <w:trPr>
          <w:trHeight w:val="288"/>
        </w:trPr>
        <w:tc>
          <w:tcPr>
            <w:tcW w:w="4068" w:type="dxa"/>
            <w:noWrap/>
            <w:hideMark/>
          </w:tcPr>
          <w:p w:rsidR="00F11C77" w:rsidRPr="00B07221" w:rsidRDefault="00F11C77" w:rsidP="00CF12E8">
            <w:pPr>
              <w:rPr>
                <w:sz w:val="22"/>
                <w:szCs w:val="22"/>
              </w:rPr>
            </w:pPr>
          </w:p>
        </w:tc>
        <w:tc>
          <w:tcPr>
            <w:tcW w:w="1440" w:type="dxa"/>
            <w:noWrap/>
            <w:hideMark/>
          </w:tcPr>
          <w:p w:rsidR="00F11C77" w:rsidRPr="00B07221" w:rsidRDefault="00F11C77" w:rsidP="00CF12E8">
            <w:pPr>
              <w:rPr>
                <w:sz w:val="22"/>
                <w:szCs w:val="22"/>
              </w:rPr>
            </w:pPr>
            <w:r w:rsidRPr="00B07221">
              <w:rPr>
                <w:sz w:val="22"/>
                <w:szCs w:val="22"/>
              </w:rPr>
              <w:t> </w:t>
            </w:r>
          </w:p>
        </w:tc>
        <w:tc>
          <w:tcPr>
            <w:tcW w:w="1890" w:type="dxa"/>
            <w:noWrap/>
            <w:hideMark/>
          </w:tcPr>
          <w:p w:rsidR="00F11C77" w:rsidRPr="00B07221" w:rsidRDefault="00F11C77" w:rsidP="00CF12E8">
            <w:pPr>
              <w:rPr>
                <w:sz w:val="22"/>
                <w:szCs w:val="22"/>
              </w:rPr>
            </w:pPr>
          </w:p>
        </w:tc>
        <w:tc>
          <w:tcPr>
            <w:tcW w:w="1980" w:type="dxa"/>
            <w:noWrap/>
            <w:hideMark/>
          </w:tcPr>
          <w:p w:rsidR="00F11C77" w:rsidRPr="00B07221" w:rsidRDefault="00F11C77" w:rsidP="00CF12E8">
            <w:pPr>
              <w:rPr>
                <w:sz w:val="22"/>
                <w:szCs w:val="22"/>
              </w:rPr>
            </w:pPr>
            <w:r w:rsidRPr="00B07221">
              <w:rPr>
                <w:sz w:val="22"/>
                <w:szCs w:val="22"/>
              </w:rPr>
              <w:t xml:space="preserve">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Maintenance &amp; Repairs</w:t>
            </w:r>
          </w:p>
        </w:tc>
        <w:tc>
          <w:tcPr>
            <w:tcW w:w="1440" w:type="dxa"/>
            <w:noWrap/>
            <w:hideMark/>
          </w:tcPr>
          <w:p w:rsidR="00F11C77" w:rsidRPr="00B07221" w:rsidRDefault="00F11C77" w:rsidP="00CF12E8">
            <w:pPr>
              <w:rPr>
                <w:sz w:val="22"/>
                <w:szCs w:val="22"/>
              </w:rPr>
            </w:pPr>
            <w:r w:rsidRPr="00B07221">
              <w:rPr>
                <w:sz w:val="22"/>
                <w:szCs w:val="22"/>
              </w:rPr>
              <w:t xml:space="preserve"> $  </w:t>
            </w:r>
            <w:r>
              <w:rPr>
                <w:sz w:val="22"/>
                <w:szCs w:val="22"/>
              </w:rPr>
              <w:t xml:space="preserve"> </w:t>
            </w:r>
            <w:r w:rsidRPr="00B07221">
              <w:rPr>
                <w:sz w:val="22"/>
                <w:szCs w:val="22"/>
              </w:rPr>
              <w:t xml:space="preserve">  14,127 </w:t>
            </w:r>
          </w:p>
        </w:tc>
        <w:tc>
          <w:tcPr>
            <w:tcW w:w="1890" w:type="dxa"/>
            <w:noWrap/>
            <w:hideMark/>
          </w:tcPr>
          <w:p w:rsidR="00F11C77" w:rsidRPr="00B07221" w:rsidRDefault="00F11C77" w:rsidP="00CF12E8">
            <w:pPr>
              <w:rPr>
                <w:sz w:val="22"/>
                <w:szCs w:val="22"/>
              </w:rPr>
            </w:pPr>
          </w:p>
        </w:tc>
        <w:tc>
          <w:tcPr>
            <w:tcW w:w="1980" w:type="dxa"/>
            <w:noWrap/>
            <w:hideMark/>
          </w:tcPr>
          <w:p w:rsidR="00F11C77" w:rsidRPr="00B07221" w:rsidRDefault="00F11C77" w:rsidP="00CF12E8">
            <w:pPr>
              <w:rPr>
                <w:sz w:val="22"/>
                <w:szCs w:val="22"/>
              </w:rPr>
            </w:pPr>
            <w:r w:rsidRPr="00B07221">
              <w:rPr>
                <w:sz w:val="22"/>
                <w:szCs w:val="22"/>
              </w:rPr>
              <w:t xml:space="preserve"> $                 14,127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Office Expenses:</w:t>
            </w:r>
          </w:p>
        </w:tc>
        <w:tc>
          <w:tcPr>
            <w:tcW w:w="1440" w:type="dxa"/>
            <w:noWrap/>
            <w:hideMark/>
          </w:tcPr>
          <w:p w:rsidR="00F11C77" w:rsidRPr="00B07221" w:rsidRDefault="00F11C77" w:rsidP="00CF12E8">
            <w:pPr>
              <w:rPr>
                <w:sz w:val="22"/>
                <w:szCs w:val="22"/>
              </w:rPr>
            </w:pPr>
            <w:r w:rsidRPr="00B07221">
              <w:rPr>
                <w:sz w:val="22"/>
                <w:szCs w:val="22"/>
              </w:rPr>
              <w:t> </w:t>
            </w:r>
          </w:p>
        </w:tc>
        <w:tc>
          <w:tcPr>
            <w:tcW w:w="1890" w:type="dxa"/>
            <w:noWrap/>
            <w:hideMark/>
          </w:tcPr>
          <w:p w:rsidR="00F11C77" w:rsidRPr="00B07221" w:rsidRDefault="00F11C77" w:rsidP="00CF12E8">
            <w:pPr>
              <w:rPr>
                <w:sz w:val="22"/>
                <w:szCs w:val="22"/>
              </w:rPr>
            </w:pPr>
          </w:p>
        </w:tc>
        <w:tc>
          <w:tcPr>
            <w:tcW w:w="1980" w:type="dxa"/>
            <w:noWrap/>
            <w:hideMark/>
          </w:tcPr>
          <w:p w:rsidR="00F11C77" w:rsidRPr="00B07221" w:rsidRDefault="00F11C77" w:rsidP="00CF12E8">
            <w:pPr>
              <w:rPr>
                <w:sz w:val="22"/>
                <w:szCs w:val="22"/>
              </w:rPr>
            </w:pP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Bank Charges</w:t>
            </w:r>
          </w:p>
        </w:tc>
        <w:tc>
          <w:tcPr>
            <w:tcW w:w="1440" w:type="dxa"/>
            <w:noWrap/>
            <w:hideMark/>
          </w:tcPr>
          <w:p w:rsidR="00F11C77" w:rsidRPr="00B07221" w:rsidRDefault="00F11C77" w:rsidP="00CF12E8">
            <w:pPr>
              <w:rPr>
                <w:sz w:val="22"/>
                <w:szCs w:val="22"/>
              </w:rPr>
            </w:pPr>
            <w:r w:rsidRPr="00B07221">
              <w:rPr>
                <w:sz w:val="22"/>
                <w:szCs w:val="22"/>
              </w:rPr>
              <w:t xml:space="preserve"> $          </w:t>
            </w:r>
            <w:r>
              <w:rPr>
                <w:sz w:val="22"/>
                <w:szCs w:val="22"/>
              </w:rPr>
              <w:t xml:space="preserve"> </w:t>
            </w:r>
            <w:r w:rsidRPr="00B07221">
              <w:rPr>
                <w:sz w:val="22"/>
                <w:szCs w:val="22"/>
              </w:rPr>
              <w:t xml:space="preserve">76 </w:t>
            </w:r>
          </w:p>
        </w:tc>
        <w:tc>
          <w:tcPr>
            <w:tcW w:w="1890" w:type="dxa"/>
            <w:noWrap/>
            <w:hideMark/>
          </w:tcPr>
          <w:p w:rsidR="00F11C77" w:rsidRPr="00B07221" w:rsidRDefault="00F11C77" w:rsidP="00CF12E8">
            <w:pPr>
              <w:rPr>
                <w:sz w:val="22"/>
                <w:szCs w:val="22"/>
              </w:rPr>
            </w:pPr>
          </w:p>
        </w:tc>
        <w:tc>
          <w:tcPr>
            <w:tcW w:w="1980" w:type="dxa"/>
            <w:noWrap/>
            <w:hideMark/>
          </w:tcPr>
          <w:p w:rsidR="00F11C77" w:rsidRPr="00B07221" w:rsidRDefault="00F11C77" w:rsidP="00CF12E8">
            <w:pPr>
              <w:rPr>
                <w:sz w:val="22"/>
                <w:szCs w:val="22"/>
              </w:rPr>
            </w:pPr>
            <w:r w:rsidRPr="00B07221">
              <w:rPr>
                <w:sz w:val="22"/>
                <w:szCs w:val="22"/>
              </w:rPr>
              <w:t xml:space="preserve"> $                        76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Postage &amp; Mailing</w:t>
            </w:r>
          </w:p>
        </w:tc>
        <w:tc>
          <w:tcPr>
            <w:tcW w:w="1440" w:type="dxa"/>
            <w:noWrap/>
            <w:hideMark/>
          </w:tcPr>
          <w:p w:rsidR="00F11C77" w:rsidRPr="00B07221" w:rsidRDefault="00F11C77" w:rsidP="00CF12E8">
            <w:pPr>
              <w:rPr>
                <w:sz w:val="22"/>
                <w:szCs w:val="22"/>
              </w:rPr>
            </w:pPr>
            <w:r w:rsidRPr="00B07221">
              <w:rPr>
                <w:sz w:val="22"/>
                <w:szCs w:val="22"/>
              </w:rPr>
              <w:t xml:space="preserve"> $          363 </w:t>
            </w:r>
          </w:p>
        </w:tc>
        <w:tc>
          <w:tcPr>
            <w:tcW w:w="1890" w:type="dxa"/>
            <w:noWrap/>
            <w:hideMark/>
          </w:tcPr>
          <w:p w:rsidR="00F11C77" w:rsidRPr="00B07221" w:rsidRDefault="00F11C77" w:rsidP="00CF12E8">
            <w:pPr>
              <w:rPr>
                <w:sz w:val="22"/>
                <w:szCs w:val="22"/>
              </w:rPr>
            </w:pPr>
          </w:p>
        </w:tc>
        <w:tc>
          <w:tcPr>
            <w:tcW w:w="1980" w:type="dxa"/>
            <w:noWrap/>
            <w:hideMark/>
          </w:tcPr>
          <w:p w:rsidR="00F11C77" w:rsidRPr="00B07221" w:rsidRDefault="00F11C77" w:rsidP="00CF12E8">
            <w:pPr>
              <w:rPr>
                <w:sz w:val="22"/>
                <w:szCs w:val="22"/>
              </w:rPr>
            </w:pPr>
            <w:r w:rsidRPr="00B07221">
              <w:rPr>
                <w:sz w:val="22"/>
                <w:szCs w:val="22"/>
              </w:rPr>
              <w:t xml:space="preserve"> $                       363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Subscriptions</w:t>
            </w:r>
          </w:p>
        </w:tc>
        <w:tc>
          <w:tcPr>
            <w:tcW w:w="1440" w:type="dxa"/>
            <w:noWrap/>
            <w:hideMark/>
          </w:tcPr>
          <w:p w:rsidR="00F11C77" w:rsidRPr="00B07221" w:rsidRDefault="00F11C77" w:rsidP="00CF12E8">
            <w:pPr>
              <w:rPr>
                <w:sz w:val="22"/>
                <w:szCs w:val="22"/>
              </w:rPr>
            </w:pPr>
            <w:r w:rsidRPr="00B07221">
              <w:rPr>
                <w:sz w:val="22"/>
                <w:szCs w:val="22"/>
              </w:rPr>
              <w:t xml:space="preserve"> $           65 </w:t>
            </w:r>
          </w:p>
        </w:tc>
        <w:tc>
          <w:tcPr>
            <w:tcW w:w="1890" w:type="dxa"/>
            <w:noWrap/>
            <w:hideMark/>
          </w:tcPr>
          <w:p w:rsidR="00F11C77" w:rsidRPr="00B07221" w:rsidRDefault="00F11C77" w:rsidP="00CF12E8">
            <w:pPr>
              <w:rPr>
                <w:sz w:val="22"/>
                <w:szCs w:val="22"/>
              </w:rPr>
            </w:pPr>
          </w:p>
        </w:tc>
        <w:tc>
          <w:tcPr>
            <w:tcW w:w="1980" w:type="dxa"/>
            <w:noWrap/>
            <w:hideMark/>
          </w:tcPr>
          <w:p w:rsidR="00F11C77" w:rsidRPr="00B07221" w:rsidRDefault="00F11C77" w:rsidP="00CF12E8">
            <w:pPr>
              <w:rPr>
                <w:sz w:val="22"/>
                <w:szCs w:val="22"/>
              </w:rPr>
            </w:pPr>
            <w:r w:rsidRPr="00B07221">
              <w:rPr>
                <w:sz w:val="22"/>
                <w:szCs w:val="22"/>
              </w:rPr>
              <w:t xml:space="preserve"> $                        65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Internet Fees</w:t>
            </w:r>
          </w:p>
        </w:tc>
        <w:tc>
          <w:tcPr>
            <w:tcW w:w="1440" w:type="dxa"/>
            <w:noWrap/>
            <w:hideMark/>
          </w:tcPr>
          <w:p w:rsidR="00F11C77" w:rsidRPr="00B07221" w:rsidRDefault="00F11C77" w:rsidP="00CF12E8">
            <w:pPr>
              <w:rPr>
                <w:sz w:val="22"/>
                <w:szCs w:val="22"/>
              </w:rPr>
            </w:pPr>
            <w:r w:rsidRPr="00B07221">
              <w:rPr>
                <w:sz w:val="22"/>
                <w:szCs w:val="22"/>
              </w:rPr>
              <w:t xml:space="preserve"> $           66 </w:t>
            </w:r>
          </w:p>
        </w:tc>
        <w:tc>
          <w:tcPr>
            <w:tcW w:w="1890" w:type="dxa"/>
            <w:noWrap/>
            <w:hideMark/>
          </w:tcPr>
          <w:p w:rsidR="00F11C77" w:rsidRPr="00B07221" w:rsidRDefault="00F11C77" w:rsidP="00CF12E8">
            <w:pPr>
              <w:rPr>
                <w:sz w:val="22"/>
                <w:szCs w:val="22"/>
              </w:rPr>
            </w:pPr>
          </w:p>
        </w:tc>
        <w:tc>
          <w:tcPr>
            <w:tcW w:w="1980" w:type="dxa"/>
            <w:noWrap/>
            <w:hideMark/>
          </w:tcPr>
          <w:p w:rsidR="00F11C77" w:rsidRPr="00B07221" w:rsidRDefault="00F11C77" w:rsidP="00CF12E8">
            <w:pPr>
              <w:rPr>
                <w:sz w:val="22"/>
                <w:szCs w:val="22"/>
              </w:rPr>
            </w:pPr>
            <w:r w:rsidRPr="00B07221">
              <w:rPr>
                <w:sz w:val="22"/>
                <w:szCs w:val="22"/>
              </w:rPr>
              <w:t xml:space="preserve"> $                        66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Office Supplies</w:t>
            </w:r>
          </w:p>
        </w:tc>
        <w:tc>
          <w:tcPr>
            <w:tcW w:w="1440" w:type="dxa"/>
            <w:noWrap/>
            <w:hideMark/>
          </w:tcPr>
          <w:p w:rsidR="00F11C77" w:rsidRPr="00B07221" w:rsidRDefault="00F11C77" w:rsidP="00CF12E8">
            <w:pPr>
              <w:rPr>
                <w:sz w:val="22"/>
                <w:szCs w:val="22"/>
              </w:rPr>
            </w:pPr>
            <w:r w:rsidRPr="00B07221">
              <w:rPr>
                <w:sz w:val="22"/>
                <w:szCs w:val="22"/>
              </w:rPr>
              <w:t xml:space="preserve"> $          195 </w:t>
            </w:r>
          </w:p>
        </w:tc>
        <w:tc>
          <w:tcPr>
            <w:tcW w:w="1890" w:type="dxa"/>
            <w:noWrap/>
            <w:hideMark/>
          </w:tcPr>
          <w:p w:rsidR="00F11C77" w:rsidRPr="00B07221" w:rsidRDefault="00F11C77" w:rsidP="00CF12E8">
            <w:pPr>
              <w:rPr>
                <w:sz w:val="22"/>
                <w:szCs w:val="22"/>
              </w:rPr>
            </w:pPr>
          </w:p>
        </w:tc>
        <w:tc>
          <w:tcPr>
            <w:tcW w:w="1980" w:type="dxa"/>
            <w:noWrap/>
            <w:hideMark/>
          </w:tcPr>
          <w:p w:rsidR="00F11C77" w:rsidRPr="00B07221" w:rsidRDefault="00F11C77" w:rsidP="00CF12E8">
            <w:pPr>
              <w:rPr>
                <w:sz w:val="22"/>
                <w:szCs w:val="22"/>
              </w:rPr>
            </w:pPr>
            <w:r w:rsidRPr="00B07221">
              <w:rPr>
                <w:sz w:val="22"/>
                <w:szCs w:val="22"/>
              </w:rPr>
              <w:t xml:space="preserve"> $                       195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Telephone Charges</w:t>
            </w:r>
          </w:p>
        </w:tc>
        <w:tc>
          <w:tcPr>
            <w:tcW w:w="1440" w:type="dxa"/>
            <w:noWrap/>
            <w:hideMark/>
          </w:tcPr>
          <w:p w:rsidR="00F11C77" w:rsidRPr="00B07221" w:rsidRDefault="00F11C77" w:rsidP="00CF12E8">
            <w:pPr>
              <w:rPr>
                <w:sz w:val="22"/>
                <w:szCs w:val="22"/>
              </w:rPr>
            </w:pPr>
            <w:r w:rsidRPr="00B07221">
              <w:rPr>
                <w:sz w:val="22"/>
                <w:szCs w:val="22"/>
              </w:rPr>
              <w:t xml:space="preserve"> $          104 </w:t>
            </w:r>
          </w:p>
        </w:tc>
        <w:tc>
          <w:tcPr>
            <w:tcW w:w="1890" w:type="dxa"/>
            <w:noWrap/>
            <w:hideMark/>
          </w:tcPr>
          <w:p w:rsidR="00F11C77" w:rsidRPr="00B07221" w:rsidRDefault="00F11C77" w:rsidP="00CF12E8">
            <w:pPr>
              <w:rPr>
                <w:sz w:val="22"/>
                <w:szCs w:val="22"/>
              </w:rPr>
            </w:pPr>
          </w:p>
        </w:tc>
        <w:tc>
          <w:tcPr>
            <w:tcW w:w="1980" w:type="dxa"/>
            <w:noWrap/>
            <w:hideMark/>
          </w:tcPr>
          <w:p w:rsidR="00F11C77" w:rsidRPr="00B07221" w:rsidRDefault="00F11C77" w:rsidP="00CF12E8">
            <w:pPr>
              <w:rPr>
                <w:sz w:val="22"/>
                <w:szCs w:val="22"/>
              </w:rPr>
            </w:pPr>
            <w:r w:rsidRPr="00B07221">
              <w:rPr>
                <w:sz w:val="22"/>
                <w:szCs w:val="22"/>
              </w:rPr>
              <w:t xml:space="preserve"> $                       104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Customer Collection Expenses</w:t>
            </w:r>
          </w:p>
        </w:tc>
        <w:tc>
          <w:tcPr>
            <w:tcW w:w="1440" w:type="dxa"/>
            <w:noWrap/>
            <w:hideMark/>
          </w:tcPr>
          <w:p w:rsidR="00F11C77" w:rsidRPr="00B07221" w:rsidRDefault="00F11C77" w:rsidP="00CF12E8">
            <w:pPr>
              <w:rPr>
                <w:sz w:val="22"/>
                <w:szCs w:val="22"/>
              </w:rPr>
            </w:pPr>
            <w:r w:rsidRPr="00B07221">
              <w:rPr>
                <w:sz w:val="22"/>
                <w:szCs w:val="22"/>
              </w:rPr>
              <w:t> </w:t>
            </w:r>
          </w:p>
        </w:tc>
        <w:tc>
          <w:tcPr>
            <w:tcW w:w="1890" w:type="dxa"/>
            <w:noWrap/>
            <w:hideMark/>
          </w:tcPr>
          <w:p w:rsidR="00F11C77" w:rsidRPr="00B07221" w:rsidRDefault="00F11C77" w:rsidP="00CF12E8">
            <w:pPr>
              <w:rPr>
                <w:sz w:val="22"/>
                <w:szCs w:val="22"/>
              </w:rPr>
            </w:pPr>
          </w:p>
        </w:tc>
        <w:tc>
          <w:tcPr>
            <w:tcW w:w="1980" w:type="dxa"/>
            <w:noWrap/>
            <w:hideMark/>
          </w:tcPr>
          <w:p w:rsidR="00F11C77" w:rsidRPr="00B07221" w:rsidRDefault="00F11C77" w:rsidP="00CF12E8">
            <w:pPr>
              <w:rPr>
                <w:sz w:val="22"/>
                <w:szCs w:val="22"/>
              </w:rPr>
            </w:pPr>
            <w:r w:rsidRPr="00B07221">
              <w:rPr>
                <w:sz w:val="22"/>
                <w:szCs w:val="22"/>
              </w:rPr>
              <w:t xml:space="preserve"> $                            -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Printing &amp; Reproduction</w:t>
            </w:r>
          </w:p>
        </w:tc>
        <w:tc>
          <w:tcPr>
            <w:tcW w:w="1440" w:type="dxa"/>
            <w:noWrap/>
            <w:hideMark/>
          </w:tcPr>
          <w:p w:rsidR="00F11C77" w:rsidRPr="00B07221" w:rsidRDefault="00F11C77" w:rsidP="00CF12E8">
            <w:pPr>
              <w:rPr>
                <w:sz w:val="22"/>
                <w:szCs w:val="22"/>
              </w:rPr>
            </w:pPr>
            <w:r w:rsidRPr="00B07221">
              <w:rPr>
                <w:sz w:val="22"/>
                <w:szCs w:val="22"/>
              </w:rPr>
              <w:t xml:space="preserve"> $             12 </w:t>
            </w:r>
          </w:p>
        </w:tc>
        <w:tc>
          <w:tcPr>
            <w:tcW w:w="1890" w:type="dxa"/>
            <w:noWrap/>
            <w:hideMark/>
          </w:tcPr>
          <w:p w:rsidR="00F11C77" w:rsidRPr="00B07221" w:rsidRDefault="00F11C77" w:rsidP="00CF12E8">
            <w:pPr>
              <w:rPr>
                <w:sz w:val="22"/>
                <w:szCs w:val="22"/>
              </w:rPr>
            </w:pPr>
          </w:p>
        </w:tc>
        <w:tc>
          <w:tcPr>
            <w:tcW w:w="1980" w:type="dxa"/>
            <w:noWrap/>
            <w:hideMark/>
          </w:tcPr>
          <w:p w:rsidR="00F11C77" w:rsidRPr="00B07221" w:rsidRDefault="00F11C77" w:rsidP="00CF12E8">
            <w:pPr>
              <w:rPr>
                <w:sz w:val="22"/>
                <w:szCs w:val="22"/>
              </w:rPr>
            </w:pPr>
            <w:r w:rsidRPr="00B07221">
              <w:rPr>
                <w:sz w:val="22"/>
                <w:szCs w:val="22"/>
              </w:rPr>
              <w:t xml:space="preserve"> $                         12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Depreciation Expense</w:t>
            </w:r>
          </w:p>
        </w:tc>
        <w:tc>
          <w:tcPr>
            <w:tcW w:w="1440" w:type="dxa"/>
            <w:noWrap/>
            <w:hideMark/>
          </w:tcPr>
          <w:p w:rsidR="00F11C77" w:rsidRPr="00B07221" w:rsidRDefault="00F11C77" w:rsidP="00CF12E8">
            <w:pPr>
              <w:rPr>
                <w:sz w:val="22"/>
                <w:szCs w:val="22"/>
              </w:rPr>
            </w:pPr>
            <w:r w:rsidRPr="00B07221">
              <w:rPr>
                <w:sz w:val="22"/>
                <w:szCs w:val="22"/>
              </w:rPr>
              <w:t> </w:t>
            </w:r>
          </w:p>
        </w:tc>
        <w:tc>
          <w:tcPr>
            <w:tcW w:w="1890" w:type="dxa"/>
            <w:noWrap/>
            <w:hideMark/>
          </w:tcPr>
          <w:p w:rsidR="00F11C77" w:rsidRPr="00B07221" w:rsidRDefault="00F11C77" w:rsidP="00CF12E8">
            <w:pPr>
              <w:rPr>
                <w:sz w:val="22"/>
                <w:szCs w:val="22"/>
              </w:rPr>
            </w:pPr>
          </w:p>
        </w:tc>
        <w:tc>
          <w:tcPr>
            <w:tcW w:w="1980" w:type="dxa"/>
            <w:noWrap/>
            <w:hideMark/>
          </w:tcPr>
          <w:p w:rsidR="00F11C77" w:rsidRPr="00B07221" w:rsidRDefault="00F11C77" w:rsidP="00CF12E8">
            <w:pPr>
              <w:rPr>
                <w:sz w:val="22"/>
                <w:szCs w:val="22"/>
              </w:rPr>
            </w:pPr>
            <w:r w:rsidRPr="00B07221">
              <w:rPr>
                <w:sz w:val="22"/>
                <w:szCs w:val="22"/>
              </w:rPr>
              <w:t xml:space="preserve"> $                            -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Bad Debt Expenses</w:t>
            </w:r>
          </w:p>
        </w:tc>
        <w:tc>
          <w:tcPr>
            <w:tcW w:w="1440" w:type="dxa"/>
            <w:noWrap/>
            <w:hideMark/>
          </w:tcPr>
          <w:p w:rsidR="00F11C77" w:rsidRPr="00B07221" w:rsidRDefault="00F11C77" w:rsidP="00CF12E8">
            <w:pPr>
              <w:rPr>
                <w:sz w:val="22"/>
                <w:szCs w:val="22"/>
              </w:rPr>
            </w:pPr>
            <w:r w:rsidRPr="00B07221">
              <w:rPr>
                <w:sz w:val="22"/>
                <w:szCs w:val="22"/>
              </w:rPr>
              <w:t xml:space="preserve"> $           731 </w:t>
            </w:r>
          </w:p>
        </w:tc>
        <w:tc>
          <w:tcPr>
            <w:tcW w:w="1890" w:type="dxa"/>
            <w:noWrap/>
            <w:hideMark/>
          </w:tcPr>
          <w:p w:rsidR="00F11C77" w:rsidRPr="00B07221" w:rsidRDefault="00F11C77" w:rsidP="00CF12E8">
            <w:pPr>
              <w:rPr>
                <w:sz w:val="22"/>
                <w:szCs w:val="22"/>
              </w:rPr>
            </w:pPr>
          </w:p>
        </w:tc>
        <w:tc>
          <w:tcPr>
            <w:tcW w:w="1980" w:type="dxa"/>
            <w:noWrap/>
            <w:hideMark/>
          </w:tcPr>
          <w:p w:rsidR="00F11C77" w:rsidRPr="00B07221" w:rsidRDefault="00F11C77" w:rsidP="00CF12E8">
            <w:pPr>
              <w:rPr>
                <w:sz w:val="22"/>
                <w:szCs w:val="22"/>
              </w:rPr>
            </w:pPr>
            <w:r w:rsidRPr="00B07221">
              <w:rPr>
                <w:sz w:val="22"/>
                <w:szCs w:val="22"/>
              </w:rPr>
              <w:t xml:space="preserve"> $                       731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PaPUC Assessment</w:t>
            </w:r>
          </w:p>
        </w:tc>
        <w:tc>
          <w:tcPr>
            <w:tcW w:w="1440" w:type="dxa"/>
            <w:noWrap/>
            <w:hideMark/>
          </w:tcPr>
          <w:p w:rsidR="00F11C77" w:rsidRPr="00B07221" w:rsidRDefault="00F11C77" w:rsidP="00CF12E8">
            <w:pPr>
              <w:rPr>
                <w:sz w:val="22"/>
                <w:szCs w:val="22"/>
              </w:rPr>
            </w:pPr>
            <w:r w:rsidRPr="00B07221">
              <w:rPr>
                <w:sz w:val="22"/>
                <w:szCs w:val="22"/>
              </w:rPr>
              <w:t xml:space="preserve"> $           121 </w:t>
            </w:r>
          </w:p>
        </w:tc>
        <w:tc>
          <w:tcPr>
            <w:tcW w:w="1890" w:type="dxa"/>
            <w:noWrap/>
            <w:hideMark/>
          </w:tcPr>
          <w:p w:rsidR="00F11C77" w:rsidRPr="00B07221" w:rsidRDefault="00F11C77" w:rsidP="00CF12E8">
            <w:pPr>
              <w:rPr>
                <w:sz w:val="22"/>
                <w:szCs w:val="22"/>
              </w:rPr>
            </w:pPr>
          </w:p>
        </w:tc>
        <w:tc>
          <w:tcPr>
            <w:tcW w:w="1980" w:type="dxa"/>
            <w:noWrap/>
            <w:hideMark/>
          </w:tcPr>
          <w:p w:rsidR="00F11C77" w:rsidRPr="00B07221" w:rsidRDefault="00F11C77" w:rsidP="00CF12E8">
            <w:pPr>
              <w:rPr>
                <w:sz w:val="22"/>
                <w:szCs w:val="22"/>
              </w:rPr>
            </w:pPr>
            <w:r w:rsidRPr="00B07221">
              <w:rPr>
                <w:sz w:val="22"/>
                <w:szCs w:val="22"/>
              </w:rPr>
              <w:t xml:space="preserve"> $                       121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Other Taxes - Real Estate Taxes</w:t>
            </w:r>
          </w:p>
        </w:tc>
        <w:tc>
          <w:tcPr>
            <w:tcW w:w="1440" w:type="dxa"/>
            <w:tcBorders>
              <w:bottom w:val="single" w:sz="4" w:space="0" w:color="auto"/>
            </w:tcBorders>
            <w:noWrap/>
            <w:hideMark/>
          </w:tcPr>
          <w:p w:rsidR="00F11C77" w:rsidRPr="00B07221" w:rsidRDefault="00F11C77" w:rsidP="00CF12E8">
            <w:pPr>
              <w:rPr>
                <w:sz w:val="22"/>
                <w:szCs w:val="22"/>
              </w:rPr>
            </w:pPr>
            <w:r w:rsidRPr="00B07221">
              <w:rPr>
                <w:sz w:val="22"/>
                <w:szCs w:val="22"/>
              </w:rPr>
              <w:t xml:space="preserve"> $           258 </w:t>
            </w:r>
          </w:p>
        </w:tc>
        <w:tc>
          <w:tcPr>
            <w:tcW w:w="1890" w:type="dxa"/>
            <w:tcBorders>
              <w:bottom w:val="single" w:sz="4" w:space="0" w:color="auto"/>
            </w:tcBorders>
            <w:noWrap/>
            <w:hideMark/>
          </w:tcPr>
          <w:p w:rsidR="00F11C77" w:rsidRPr="00B07221" w:rsidRDefault="00F11C77" w:rsidP="00CF12E8">
            <w:pPr>
              <w:rPr>
                <w:sz w:val="22"/>
                <w:szCs w:val="22"/>
              </w:rPr>
            </w:pPr>
          </w:p>
        </w:tc>
        <w:tc>
          <w:tcPr>
            <w:tcW w:w="1980" w:type="dxa"/>
            <w:tcBorders>
              <w:bottom w:val="single" w:sz="4" w:space="0" w:color="auto"/>
            </w:tcBorders>
            <w:noWrap/>
            <w:hideMark/>
          </w:tcPr>
          <w:p w:rsidR="00F11C77" w:rsidRPr="00B07221" w:rsidRDefault="00F11C77" w:rsidP="00CF12E8">
            <w:pPr>
              <w:rPr>
                <w:sz w:val="22"/>
                <w:szCs w:val="22"/>
              </w:rPr>
            </w:pPr>
            <w:r w:rsidRPr="00B07221">
              <w:rPr>
                <w:sz w:val="22"/>
                <w:szCs w:val="22"/>
              </w:rPr>
              <w:t xml:space="preserve"> $                       258 </w:t>
            </w:r>
          </w:p>
        </w:tc>
      </w:tr>
      <w:tr w:rsidR="00F11C77" w:rsidRPr="00B07221" w:rsidTr="00CF12E8">
        <w:trPr>
          <w:trHeight w:val="288"/>
        </w:trPr>
        <w:tc>
          <w:tcPr>
            <w:tcW w:w="4068" w:type="dxa"/>
            <w:tcBorders>
              <w:right w:val="single" w:sz="4" w:space="0" w:color="auto"/>
            </w:tcBorders>
            <w:noWrap/>
            <w:hideMark/>
          </w:tcPr>
          <w:p w:rsidR="00F11C77" w:rsidRPr="00B07221" w:rsidRDefault="00F11C77" w:rsidP="00CF12E8">
            <w:pPr>
              <w:rPr>
                <w:b/>
                <w:bCs/>
                <w:sz w:val="22"/>
                <w:szCs w:val="22"/>
              </w:rPr>
            </w:pPr>
            <w:r w:rsidRPr="00B07221">
              <w:rPr>
                <w:b/>
                <w:bCs/>
                <w:sz w:val="22"/>
                <w:szCs w:val="22"/>
              </w:rPr>
              <w:t>Total Expenses</w:t>
            </w:r>
          </w:p>
        </w:tc>
        <w:tc>
          <w:tcPr>
            <w:tcW w:w="1440" w:type="dxa"/>
            <w:tcBorders>
              <w:top w:val="single" w:sz="4" w:space="0" w:color="auto"/>
              <w:left w:val="single" w:sz="4" w:space="0" w:color="auto"/>
              <w:right w:val="single" w:sz="4" w:space="0" w:color="auto"/>
            </w:tcBorders>
            <w:noWrap/>
            <w:hideMark/>
          </w:tcPr>
          <w:p w:rsidR="00F11C77" w:rsidRPr="00B07221" w:rsidRDefault="00F11C77" w:rsidP="00CF12E8">
            <w:pPr>
              <w:rPr>
                <w:sz w:val="22"/>
                <w:szCs w:val="22"/>
              </w:rPr>
            </w:pPr>
            <w:r w:rsidRPr="00B07221">
              <w:rPr>
                <w:sz w:val="22"/>
                <w:szCs w:val="22"/>
              </w:rPr>
              <w:t xml:space="preserve"> $     </w:t>
            </w:r>
            <w:r>
              <w:rPr>
                <w:sz w:val="22"/>
                <w:szCs w:val="22"/>
              </w:rPr>
              <w:t xml:space="preserve"> </w:t>
            </w:r>
            <w:r w:rsidRPr="00B07221">
              <w:rPr>
                <w:sz w:val="22"/>
                <w:szCs w:val="22"/>
              </w:rPr>
              <w:t xml:space="preserve">93,731 </w:t>
            </w:r>
          </w:p>
        </w:tc>
        <w:tc>
          <w:tcPr>
            <w:tcW w:w="1890" w:type="dxa"/>
            <w:tcBorders>
              <w:top w:val="single" w:sz="4" w:space="0" w:color="auto"/>
              <w:left w:val="single" w:sz="4" w:space="0" w:color="auto"/>
              <w:right w:val="single" w:sz="4" w:space="0" w:color="auto"/>
            </w:tcBorders>
            <w:noWrap/>
            <w:hideMark/>
          </w:tcPr>
          <w:p w:rsidR="00F11C77" w:rsidRPr="00B07221" w:rsidRDefault="00F11C77" w:rsidP="00CF12E8">
            <w:pPr>
              <w:rPr>
                <w:sz w:val="22"/>
                <w:szCs w:val="22"/>
              </w:rPr>
            </w:pPr>
            <w:r w:rsidRPr="00B07221">
              <w:rPr>
                <w:sz w:val="22"/>
                <w:szCs w:val="22"/>
              </w:rPr>
              <w:t xml:space="preserve"> $            (55,598)</w:t>
            </w:r>
          </w:p>
        </w:tc>
        <w:tc>
          <w:tcPr>
            <w:tcW w:w="1980" w:type="dxa"/>
            <w:tcBorders>
              <w:top w:val="single" w:sz="4" w:space="0" w:color="auto"/>
              <w:left w:val="single" w:sz="4" w:space="0" w:color="auto"/>
              <w:right w:val="single" w:sz="4" w:space="0" w:color="auto"/>
            </w:tcBorders>
            <w:noWrap/>
            <w:hideMark/>
          </w:tcPr>
          <w:p w:rsidR="00F11C77" w:rsidRPr="00B07221" w:rsidRDefault="00F11C77" w:rsidP="00CF12E8">
            <w:pPr>
              <w:rPr>
                <w:sz w:val="22"/>
                <w:szCs w:val="22"/>
              </w:rPr>
            </w:pPr>
            <w:r w:rsidRPr="00B07221">
              <w:rPr>
                <w:sz w:val="22"/>
                <w:szCs w:val="22"/>
              </w:rPr>
              <w:t xml:space="preserve"> $               </w:t>
            </w:r>
            <w:r>
              <w:rPr>
                <w:sz w:val="22"/>
                <w:szCs w:val="22"/>
              </w:rPr>
              <w:t xml:space="preserve"> </w:t>
            </w:r>
            <w:r w:rsidRPr="00B07221">
              <w:rPr>
                <w:sz w:val="22"/>
                <w:szCs w:val="22"/>
              </w:rPr>
              <w:t xml:space="preserve"> </w:t>
            </w:r>
            <w:r>
              <w:rPr>
                <w:sz w:val="22"/>
                <w:szCs w:val="22"/>
              </w:rPr>
              <w:t xml:space="preserve"> </w:t>
            </w:r>
            <w:r w:rsidRPr="00B07221">
              <w:rPr>
                <w:sz w:val="22"/>
                <w:szCs w:val="22"/>
              </w:rPr>
              <w:t>38,133</w:t>
            </w:r>
          </w:p>
        </w:tc>
      </w:tr>
      <w:tr w:rsidR="00F11C77" w:rsidRPr="00B07221" w:rsidTr="00CF12E8">
        <w:trPr>
          <w:trHeight w:val="586"/>
        </w:trPr>
        <w:tc>
          <w:tcPr>
            <w:tcW w:w="4068" w:type="dxa"/>
            <w:tcBorders>
              <w:bottom w:val="single" w:sz="4" w:space="0" w:color="auto"/>
              <w:right w:val="single" w:sz="4" w:space="0" w:color="auto"/>
            </w:tcBorders>
            <w:noWrap/>
            <w:hideMark/>
          </w:tcPr>
          <w:p w:rsidR="00F11C77" w:rsidRDefault="00F11C77" w:rsidP="00CF12E8">
            <w:pPr>
              <w:rPr>
                <w:sz w:val="22"/>
                <w:szCs w:val="22"/>
              </w:rPr>
            </w:pPr>
          </w:p>
          <w:p w:rsidR="00F11C77" w:rsidRPr="00B07221" w:rsidRDefault="00F11C77" w:rsidP="00CF12E8">
            <w:pPr>
              <w:rPr>
                <w:sz w:val="22"/>
                <w:szCs w:val="22"/>
              </w:rPr>
            </w:pPr>
            <w:r w:rsidRPr="00B07221">
              <w:rPr>
                <w:sz w:val="22"/>
                <w:szCs w:val="22"/>
              </w:rPr>
              <w:t>Net Operating Income Before Taxes</w:t>
            </w:r>
          </w:p>
        </w:tc>
        <w:tc>
          <w:tcPr>
            <w:tcW w:w="1440" w:type="dxa"/>
            <w:tcBorders>
              <w:left w:val="single" w:sz="4" w:space="0" w:color="auto"/>
              <w:bottom w:val="single" w:sz="4" w:space="0" w:color="auto"/>
              <w:right w:val="single" w:sz="4" w:space="0" w:color="auto"/>
            </w:tcBorders>
            <w:noWrap/>
            <w:hideMark/>
          </w:tcPr>
          <w:p w:rsidR="00F11C77" w:rsidRPr="00B07221" w:rsidRDefault="00F11C77" w:rsidP="00CF12E8">
            <w:pPr>
              <w:rPr>
                <w:sz w:val="22"/>
                <w:szCs w:val="22"/>
              </w:rPr>
            </w:pPr>
            <w:r w:rsidRPr="00B07221">
              <w:rPr>
                <w:sz w:val="22"/>
                <w:szCs w:val="22"/>
              </w:rPr>
              <w:t> </w:t>
            </w:r>
          </w:p>
          <w:p w:rsidR="00F11C77" w:rsidRPr="00B07221" w:rsidRDefault="00F11C77" w:rsidP="00CF12E8">
            <w:pPr>
              <w:rPr>
                <w:sz w:val="22"/>
                <w:szCs w:val="22"/>
              </w:rPr>
            </w:pPr>
            <w:r w:rsidRPr="00B07221">
              <w:rPr>
                <w:sz w:val="22"/>
                <w:szCs w:val="22"/>
              </w:rPr>
              <w:t xml:space="preserve"> $      (2,243)</w:t>
            </w:r>
          </w:p>
        </w:tc>
        <w:tc>
          <w:tcPr>
            <w:tcW w:w="1890" w:type="dxa"/>
            <w:tcBorders>
              <w:left w:val="single" w:sz="4" w:space="0" w:color="auto"/>
              <w:bottom w:val="single" w:sz="4" w:space="0" w:color="auto"/>
              <w:right w:val="single" w:sz="4" w:space="0" w:color="auto"/>
            </w:tcBorders>
            <w:noWrap/>
            <w:hideMark/>
          </w:tcPr>
          <w:p w:rsidR="00F11C77" w:rsidRPr="00B07221" w:rsidRDefault="00F11C77" w:rsidP="00CF12E8">
            <w:pPr>
              <w:rPr>
                <w:sz w:val="22"/>
                <w:szCs w:val="22"/>
              </w:rPr>
            </w:pPr>
            <w:r w:rsidRPr="00B07221">
              <w:rPr>
                <w:sz w:val="22"/>
                <w:szCs w:val="22"/>
              </w:rPr>
              <w:t xml:space="preserve">       </w:t>
            </w:r>
          </w:p>
        </w:tc>
        <w:tc>
          <w:tcPr>
            <w:tcW w:w="1980" w:type="dxa"/>
            <w:tcBorders>
              <w:left w:val="single" w:sz="4" w:space="0" w:color="auto"/>
              <w:bottom w:val="single" w:sz="4" w:space="0" w:color="auto"/>
              <w:right w:val="single" w:sz="4" w:space="0" w:color="auto"/>
            </w:tcBorders>
            <w:noWrap/>
            <w:hideMark/>
          </w:tcPr>
          <w:p w:rsidR="00F11C77" w:rsidRPr="00B07221" w:rsidRDefault="00F11C77" w:rsidP="00CF12E8">
            <w:pPr>
              <w:rPr>
                <w:sz w:val="22"/>
                <w:szCs w:val="22"/>
              </w:rPr>
            </w:pPr>
            <w:r w:rsidRPr="00B07221">
              <w:rPr>
                <w:sz w:val="22"/>
                <w:szCs w:val="22"/>
              </w:rPr>
              <w:t xml:space="preserve"> </w:t>
            </w:r>
          </w:p>
          <w:p w:rsidR="00F11C77" w:rsidRPr="00B07221" w:rsidRDefault="00F11C77" w:rsidP="00CF12E8">
            <w:pPr>
              <w:rPr>
                <w:sz w:val="22"/>
                <w:szCs w:val="22"/>
              </w:rPr>
            </w:pPr>
            <w:r w:rsidRPr="00B07221">
              <w:rPr>
                <w:sz w:val="22"/>
                <w:szCs w:val="22"/>
              </w:rPr>
              <w:t xml:space="preserve"> $                    1,038 </w:t>
            </w: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State Income Taxes</w:t>
            </w:r>
          </w:p>
        </w:tc>
        <w:tc>
          <w:tcPr>
            <w:tcW w:w="1440" w:type="dxa"/>
            <w:noWrap/>
            <w:hideMark/>
          </w:tcPr>
          <w:p w:rsidR="00F11C77" w:rsidRPr="00B07221" w:rsidRDefault="00F11C77" w:rsidP="00CF12E8">
            <w:pPr>
              <w:rPr>
                <w:sz w:val="22"/>
                <w:szCs w:val="22"/>
              </w:rPr>
            </w:pPr>
            <w:r w:rsidRPr="00B07221">
              <w:rPr>
                <w:sz w:val="22"/>
                <w:szCs w:val="22"/>
              </w:rPr>
              <w:t> </w:t>
            </w:r>
          </w:p>
        </w:tc>
        <w:tc>
          <w:tcPr>
            <w:tcW w:w="1890" w:type="dxa"/>
            <w:noWrap/>
            <w:hideMark/>
          </w:tcPr>
          <w:p w:rsidR="00F11C77" w:rsidRPr="00B07221" w:rsidRDefault="00F11C77" w:rsidP="00CF12E8">
            <w:pPr>
              <w:rPr>
                <w:sz w:val="22"/>
                <w:szCs w:val="22"/>
              </w:rPr>
            </w:pPr>
          </w:p>
        </w:tc>
        <w:tc>
          <w:tcPr>
            <w:tcW w:w="1980" w:type="dxa"/>
            <w:noWrap/>
            <w:hideMark/>
          </w:tcPr>
          <w:p w:rsidR="00F11C77" w:rsidRPr="00B07221" w:rsidRDefault="00F11C77" w:rsidP="00CF12E8">
            <w:pPr>
              <w:rPr>
                <w:sz w:val="22"/>
                <w:szCs w:val="22"/>
              </w:rPr>
            </w:pPr>
          </w:p>
        </w:tc>
      </w:tr>
      <w:tr w:rsidR="00F11C77" w:rsidRPr="00B07221" w:rsidTr="00CF12E8">
        <w:trPr>
          <w:trHeight w:val="288"/>
        </w:trPr>
        <w:tc>
          <w:tcPr>
            <w:tcW w:w="4068" w:type="dxa"/>
            <w:noWrap/>
            <w:hideMark/>
          </w:tcPr>
          <w:p w:rsidR="00F11C77" w:rsidRPr="00B07221" w:rsidRDefault="00F11C77" w:rsidP="00CF12E8">
            <w:pPr>
              <w:rPr>
                <w:sz w:val="22"/>
                <w:szCs w:val="22"/>
              </w:rPr>
            </w:pPr>
            <w:r w:rsidRPr="00B07221">
              <w:rPr>
                <w:sz w:val="22"/>
                <w:szCs w:val="22"/>
              </w:rPr>
              <w:t>Federal Income Taxes</w:t>
            </w:r>
          </w:p>
        </w:tc>
        <w:tc>
          <w:tcPr>
            <w:tcW w:w="1440" w:type="dxa"/>
            <w:noWrap/>
            <w:hideMark/>
          </w:tcPr>
          <w:p w:rsidR="00F11C77" w:rsidRPr="00B07221" w:rsidRDefault="00F11C77" w:rsidP="00CF12E8">
            <w:pPr>
              <w:rPr>
                <w:sz w:val="22"/>
                <w:szCs w:val="22"/>
              </w:rPr>
            </w:pPr>
            <w:r w:rsidRPr="00B07221">
              <w:rPr>
                <w:sz w:val="22"/>
                <w:szCs w:val="22"/>
              </w:rPr>
              <w:t> </w:t>
            </w:r>
          </w:p>
        </w:tc>
        <w:tc>
          <w:tcPr>
            <w:tcW w:w="1890" w:type="dxa"/>
            <w:noWrap/>
            <w:hideMark/>
          </w:tcPr>
          <w:p w:rsidR="00F11C77" w:rsidRPr="00B07221" w:rsidRDefault="00F11C77" w:rsidP="00CF12E8">
            <w:pPr>
              <w:rPr>
                <w:sz w:val="22"/>
                <w:szCs w:val="22"/>
              </w:rPr>
            </w:pPr>
            <w:r w:rsidRPr="00B07221">
              <w:rPr>
                <w:sz w:val="22"/>
                <w:szCs w:val="22"/>
              </w:rPr>
              <w:t> </w:t>
            </w:r>
          </w:p>
        </w:tc>
        <w:tc>
          <w:tcPr>
            <w:tcW w:w="1980" w:type="dxa"/>
            <w:noWrap/>
            <w:hideMark/>
          </w:tcPr>
          <w:p w:rsidR="00F11C77" w:rsidRPr="00B07221" w:rsidRDefault="00F11C77" w:rsidP="00CF12E8">
            <w:pPr>
              <w:rPr>
                <w:sz w:val="22"/>
                <w:szCs w:val="22"/>
              </w:rPr>
            </w:pPr>
            <w:r w:rsidRPr="00B07221">
              <w:rPr>
                <w:sz w:val="22"/>
                <w:szCs w:val="22"/>
              </w:rPr>
              <w:t> </w:t>
            </w:r>
          </w:p>
        </w:tc>
      </w:tr>
      <w:tr w:rsidR="00F11C77" w:rsidRPr="00B07221" w:rsidTr="00CF12E8">
        <w:trPr>
          <w:trHeight w:val="300"/>
        </w:trPr>
        <w:tc>
          <w:tcPr>
            <w:tcW w:w="4068" w:type="dxa"/>
            <w:noWrap/>
            <w:hideMark/>
          </w:tcPr>
          <w:p w:rsidR="00F11C77" w:rsidRPr="00B07221" w:rsidRDefault="00F11C77" w:rsidP="00CF12E8">
            <w:pPr>
              <w:rPr>
                <w:sz w:val="22"/>
                <w:szCs w:val="22"/>
              </w:rPr>
            </w:pPr>
            <w:r w:rsidRPr="00B07221">
              <w:rPr>
                <w:sz w:val="22"/>
                <w:szCs w:val="22"/>
              </w:rPr>
              <w:t>Net Operating Income</w:t>
            </w:r>
          </w:p>
        </w:tc>
        <w:tc>
          <w:tcPr>
            <w:tcW w:w="1440" w:type="dxa"/>
            <w:noWrap/>
            <w:hideMark/>
          </w:tcPr>
          <w:p w:rsidR="00F11C77" w:rsidRPr="00B07221" w:rsidRDefault="00F11C77" w:rsidP="00CF12E8">
            <w:pPr>
              <w:rPr>
                <w:sz w:val="22"/>
                <w:szCs w:val="22"/>
              </w:rPr>
            </w:pPr>
            <w:r w:rsidRPr="00B07221">
              <w:rPr>
                <w:sz w:val="22"/>
                <w:szCs w:val="22"/>
              </w:rPr>
              <w:t xml:space="preserve"> $      (2,243)</w:t>
            </w:r>
          </w:p>
        </w:tc>
        <w:tc>
          <w:tcPr>
            <w:tcW w:w="1890" w:type="dxa"/>
            <w:noWrap/>
            <w:hideMark/>
          </w:tcPr>
          <w:p w:rsidR="00F11C77" w:rsidRPr="00B07221" w:rsidRDefault="00F11C77" w:rsidP="00CF12E8">
            <w:pPr>
              <w:rPr>
                <w:sz w:val="22"/>
                <w:szCs w:val="22"/>
              </w:rPr>
            </w:pPr>
            <w:r w:rsidRPr="00B07221">
              <w:rPr>
                <w:sz w:val="22"/>
                <w:szCs w:val="22"/>
              </w:rPr>
              <w:t> </w:t>
            </w:r>
          </w:p>
        </w:tc>
        <w:tc>
          <w:tcPr>
            <w:tcW w:w="1980" w:type="dxa"/>
            <w:noWrap/>
            <w:hideMark/>
          </w:tcPr>
          <w:p w:rsidR="00F11C77" w:rsidRPr="00B07221" w:rsidRDefault="00F11C77" w:rsidP="00CF12E8">
            <w:pPr>
              <w:rPr>
                <w:sz w:val="22"/>
                <w:szCs w:val="22"/>
              </w:rPr>
            </w:pPr>
            <w:r w:rsidRPr="00B07221">
              <w:rPr>
                <w:sz w:val="22"/>
                <w:szCs w:val="22"/>
              </w:rPr>
              <w:t xml:space="preserve"> $                    1,038 </w:t>
            </w:r>
          </w:p>
        </w:tc>
      </w:tr>
    </w:tbl>
    <w:p w:rsidR="00F11C77" w:rsidRPr="00B07221" w:rsidRDefault="00F11C77" w:rsidP="00F11C77">
      <w:pPr>
        <w:spacing w:line="360" w:lineRule="auto"/>
        <w:rPr>
          <w:color w:val="000000" w:themeColor="text1"/>
          <w:sz w:val="22"/>
          <w:szCs w:val="22"/>
        </w:rPr>
      </w:pPr>
    </w:p>
    <w:p w:rsidR="00F11C77" w:rsidRDefault="00F11C77" w:rsidP="00F11C77">
      <w:pPr>
        <w:spacing w:after="200" w:line="276" w:lineRule="auto"/>
        <w:jc w:val="center"/>
        <w:rPr>
          <w:sz w:val="24"/>
          <w:szCs w:val="24"/>
        </w:rPr>
      </w:pPr>
    </w:p>
    <w:sectPr w:rsidR="00F11C77" w:rsidSect="005154E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B54" w:rsidRDefault="00126B54" w:rsidP="00FD3828">
      <w:r>
        <w:separator/>
      </w:r>
    </w:p>
  </w:endnote>
  <w:endnote w:type="continuationSeparator" w:id="0">
    <w:p w:rsidR="00126B54" w:rsidRDefault="00126B54" w:rsidP="00FD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905925"/>
      <w:docPartObj>
        <w:docPartGallery w:val="Page Numbers (Bottom of Page)"/>
        <w:docPartUnique/>
      </w:docPartObj>
    </w:sdtPr>
    <w:sdtEndPr>
      <w:rPr>
        <w:noProof/>
        <w:sz w:val="20"/>
        <w:szCs w:val="20"/>
      </w:rPr>
    </w:sdtEndPr>
    <w:sdtContent>
      <w:p w:rsidR="00FF0596" w:rsidRPr="00EA0722" w:rsidRDefault="00FF0596">
        <w:pPr>
          <w:pStyle w:val="Footer"/>
          <w:jc w:val="center"/>
          <w:rPr>
            <w:sz w:val="20"/>
            <w:szCs w:val="20"/>
          </w:rPr>
        </w:pPr>
        <w:r w:rsidRPr="00EA0722">
          <w:rPr>
            <w:sz w:val="20"/>
            <w:szCs w:val="20"/>
          </w:rPr>
          <w:fldChar w:fldCharType="begin"/>
        </w:r>
        <w:r w:rsidRPr="00EA0722">
          <w:rPr>
            <w:sz w:val="20"/>
            <w:szCs w:val="20"/>
          </w:rPr>
          <w:instrText xml:space="preserve"> PAGE   \* MERGEFORMAT </w:instrText>
        </w:r>
        <w:r w:rsidRPr="00EA0722">
          <w:rPr>
            <w:sz w:val="20"/>
            <w:szCs w:val="20"/>
          </w:rPr>
          <w:fldChar w:fldCharType="separate"/>
        </w:r>
        <w:r w:rsidR="005154E7">
          <w:rPr>
            <w:noProof/>
            <w:sz w:val="20"/>
            <w:szCs w:val="20"/>
          </w:rPr>
          <w:t>27</w:t>
        </w:r>
        <w:r w:rsidRPr="00EA0722">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497255"/>
      <w:docPartObj>
        <w:docPartGallery w:val="Page Numbers (Bottom of Page)"/>
        <w:docPartUnique/>
      </w:docPartObj>
    </w:sdtPr>
    <w:sdtEndPr>
      <w:rPr>
        <w:noProof/>
        <w:sz w:val="20"/>
        <w:szCs w:val="20"/>
      </w:rPr>
    </w:sdtEndPr>
    <w:sdtContent>
      <w:p w:rsidR="005154E7" w:rsidRPr="005154E7" w:rsidRDefault="005154E7">
        <w:pPr>
          <w:pStyle w:val="Footer"/>
          <w:jc w:val="center"/>
          <w:rPr>
            <w:sz w:val="20"/>
            <w:szCs w:val="20"/>
          </w:rPr>
        </w:pPr>
        <w:r w:rsidRPr="005154E7">
          <w:rPr>
            <w:sz w:val="20"/>
            <w:szCs w:val="20"/>
          </w:rPr>
          <w:fldChar w:fldCharType="begin"/>
        </w:r>
        <w:r w:rsidRPr="005154E7">
          <w:rPr>
            <w:sz w:val="20"/>
            <w:szCs w:val="20"/>
          </w:rPr>
          <w:instrText xml:space="preserve"> PAGE   \* MERGEFORMAT </w:instrText>
        </w:r>
        <w:r w:rsidRPr="005154E7">
          <w:rPr>
            <w:sz w:val="20"/>
            <w:szCs w:val="20"/>
          </w:rPr>
          <w:fldChar w:fldCharType="separate"/>
        </w:r>
        <w:r w:rsidR="00126B54">
          <w:rPr>
            <w:noProof/>
            <w:sz w:val="20"/>
            <w:szCs w:val="20"/>
          </w:rPr>
          <w:t>1</w:t>
        </w:r>
        <w:r w:rsidRPr="005154E7">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B54" w:rsidRDefault="00126B54" w:rsidP="00FD3828">
      <w:r>
        <w:separator/>
      </w:r>
    </w:p>
  </w:footnote>
  <w:footnote w:type="continuationSeparator" w:id="0">
    <w:p w:rsidR="00126B54" w:rsidRDefault="00126B54" w:rsidP="00FD3828">
      <w:r>
        <w:continuationSeparator/>
      </w:r>
    </w:p>
  </w:footnote>
  <w:footnote w:id="1">
    <w:p w:rsidR="00FF0596" w:rsidRDefault="00FF0596">
      <w:pPr>
        <w:pStyle w:val="FootnoteText"/>
      </w:pPr>
      <w:r>
        <w:rPr>
          <w:rStyle w:val="FootnoteReference"/>
        </w:rPr>
        <w:footnoteRef/>
      </w:r>
      <w:r>
        <w:t xml:space="preserve"> The 529 Petition was filed by DSC on February 6, 2014.  The parties to the Petition include DSC, OCA, BI&amp;E, and Pennsylvania American Water Company.  </w:t>
      </w:r>
    </w:p>
  </w:footnote>
  <w:footnote w:id="2">
    <w:p w:rsidR="00FF0596" w:rsidRDefault="00FF0596">
      <w:pPr>
        <w:pStyle w:val="FootnoteText"/>
      </w:pPr>
      <w:r>
        <w:rPr>
          <w:rStyle w:val="FootnoteReference"/>
        </w:rPr>
        <w:footnoteRef/>
      </w:r>
      <w:r>
        <w:t xml:space="preserve"> Those expenses are: Tax preparation, Purchased Power, Legal non-rate case, Grounds maintenance, Maintenance and repairs, Bank charges, Postage, Subscriptions, Internet, Office supplies, Telephone charges, Printing, Bad debt expense, PUC assessment, Real estate taxes. </w:t>
      </w:r>
    </w:p>
  </w:footnote>
  <w:footnote w:id="3">
    <w:p w:rsidR="00FF0596" w:rsidRDefault="00FF0596">
      <w:pPr>
        <w:pStyle w:val="FootnoteText"/>
      </w:pPr>
      <w:r>
        <w:rPr>
          <w:rStyle w:val="FootnoteReference"/>
        </w:rPr>
        <w:footnoteRef/>
      </w:r>
      <w:r>
        <w:t xml:space="preserve"> This chart also appears in the body of the Recommended Decision.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5A29C6A"/>
    <w:lvl w:ilvl="0">
      <w:start w:val="1"/>
      <w:numFmt w:val="decimal"/>
      <w:pStyle w:val="ListNumber"/>
      <w:lvlText w:val="%1."/>
      <w:lvlJc w:val="left"/>
      <w:pPr>
        <w:tabs>
          <w:tab w:val="num" w:pos="450"/>
        </w:tabs>
        <w:ind w:left="450" w:hanging="360"/>
      </w:pPr>
    </w:lvl>
  </w:abstractNum>
  <w:abstractNum w:abstractNumId="1">
    <w:nsid w:val="077A08E4"/>
    <w:multiLevelType w:val="hybridMultilevel"/>
    <w:tmpl w:val="8FF64B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67B12A9"/>
    <w:multiLevelType w:val="hybridMultilevel"/>
    <w:tmpl w:val="96BC53BE"/>
    <w:lvl w:ilvl="0" w:tplc="577CCBF2">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F736C6"/>
    <w:multiLevelType w:val="hybridMultilevel"/>
    <w:tmpl w:val="129AD9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1353389"/>
    <w:multiLevelType w:val="hybridMultilevel"/>
    <w:tmpl w:val="7B4CA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4F0253"/>
    <w:multiLevelType w:val="hybridMultilevel"/>
    <w:tmpl w:val="9BDCB61C"/>
    <w:lvl w:ilvl="0" w:tplc="7264D77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AE284C"/>
    <w:multiLevelType w:val="hybridMultilevel"/>
    <w:tmpl w:val="4B404202"/>
    <w:lvl w:ilvl="0" w:tplc="98823226">
      <w:start w:val="15"/>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3A3E38"/>
    <w:multiLevelType w:val="hybridMultilevel"/>
    <w:tmpl w:val="342E4F50"/>
    <w:lvl w:ilvl="0" w:tplc="2B4660DE">
      <w:start w:val="1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abstractNum w:abstractNumId="9">
    <w:nsid w:val="45E367E4"/>
    <w:multiLevelType w:val="hybridMultilevel"/>
    <w:tmpl w:val="DDA0CEE4"/>
    <w:lvl w:ilvl="0" w:tplc="7264D77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6E03125"/>
    <w:multiLevelType w:val="hybridMultilevel"/>
    <w:tmpl w:val="705CFC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C953C38"/>
    <w:multiLevelType w:val="hybridMultilevel"/>
    <w:tmpl w:val="E2A21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F517FE"/>
    <w:multiLevelType w:val="hybridMultilevel"/>
    <w:tmpl w:val="05863B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59AB4BFB"/>
    <w:multiLevelType w:val="hybridMultilevel"/>
    <w:tmpl w:val="2D00C80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623C5288"/>
    <w:multiLevelType w:val="hybridMultilevel"/>
    <w:tmpl w:val="E40431E4"/>
    <w:lvl w:ilvl="0" w:tplc="7264D77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0409000F">
      <w:start w:val="1"/>
      <w:numFmt w:val="decimal"/>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848657C"/>
    <w:multiLevelType w:val="hybridMultilevel"/>
    <w:tmpl w:val="19506DA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A976BBB"/>
    <w:multiLevelType w:val="hybridMultilevel"/>
    <w:tmpl w:val="26F858E6"/>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C30D76"/>
    <w:multiLevelType w:val="hybridMultilevel"/>
    <w:tmpl w:val="3B0E03BC"/>
    <w:lvl w:ilvl="0" w:tplc="C85C29E6">
      <w:start w:val="16"/>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0E667C"/>
    <w:multiLevelType w:val="hybridMultilevel"/>
    <w:tmpl w:val="5070602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896779"/>
    <w:multiLevelType w:val="hybridMultilevel"/>
    <w:tmpl w:val="D1CAB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2"/>
  </w:num>
  <w:num w:numId="4">
    <w:abstractNumId w:val="3"/>
  </w:num>
  <w:num w:numId="5">
    <w:abstractNumId w:val="16"/>
  </w:num>
  <w:num w:numId="6">
    <w:abstractNumId w:val="11"/>
  </w:num>
  <w:num w:numId="7">
    <w:abstractNumId w:val="2"/>
  </w:num>
  <w:num w:numId="8">
    <w:abstractNumId w:val="5"/>
  </w:num>
  <w:num w:numId="9">
    <w:abstractNumId w:val="9"/>
  </w:num>
  <w:num w:numId="10">
    <w:abstractNumId w:val="14"/>
  </w:num>
  <w:num w:numId="11">
    <w:abstractNumId w:val="1"/>
  </w:num>
  <w:num w:numId="12">
    <w:abstractNumId w:val="7"/>
  </w:num>
  <w:num w:numId="13">
    <w:abstractNumId w:val="4"/>
  </w:num>
  <w:num w:numId="14">
    <w:abstractNumId w:val="15"/>
  </w:num>
  <w:num w:numId="15">
    <w:abstractNumId w:val="19"/>
  </w:num>
  <w:num w:numId="16">
    <w:abstractNumId w:val="6"/>
  </w:num>
  <w:num w:numId="17">
    <w:abstractNumId w:val="13"/>
  </w:num>
  <w:num w:numId="18">
    <w:abstractNumId w:val="17"/>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3A0"/>
    <w:rsid w:val="00010223"/>
    <w:rsid w:val="00031697"/>
    <w:rsid w:val="00035B1C"/>
    <w:rsid w:val="00051690"/>
    <w:rsid w:val="000734EF"/>
    <w:rsid w:val="000921F4"/>
    <w:rsid w:val="00093549"/>
    <w:rsid w:val="00094F01"/>
    <w:rsid w:val="000A0C86"/>
    <w:rsid w:val="000A114D"/>
    <w:rsid w:val="000A6948"/>
    <w:rsid w:val="000B7E6E"/>
    <w:rsid w:val="000C1428"/>
    <w:rsid w:val="000C1A15"/>
    <w:rsid w:val="000C53D6"/>
    <w:rsid w:val="000D2BF9"/>
    <w:rsid w:val="000E4EDC"/>
    <w:rsid w:val="000E7054"/>
    <w:rsid w:val="000F1710"/>
    <w:rsid w:val="00104F15"/>
    <w:rsid w:val="00113AF1"/>
    <w:rsid w:val="001257D5"/>
    <w:rsid w:val="00126B54"/>
    <w:rsid w:val="00141623"/>
    <w:rsid w:val="001457A6"/>
    <w:rsid w:val="0016524F"/>
    <w:rsid w:val="00170D58"/>
    <w:rsid w:val="001713DF"/>
    <w:rsid w:val="00173DE2"/>
    <w:rsid w:val="001A124B"/>
    <w:rsid w:val="001A3D52"/>
    <w:rsid w:val="001C1DFD"/>
    <w:rsid w:val="001F43FD"/>
    <w:rsid w:val="00200352"/>
    <w:rsid w:val="002106AB"/>
    <w:rsid w:val="00210D95"/>
    <w:rsid w:val="00210E1B"/>
    <w:rsid w:val="0021338C"/>
    <w:rsid w:val="002138A1"/>
    <w:rsid w:val="00214DF6"/>
    <w:rsid w:val="00216626"/>
    <w:rsid w:val="00241D08"/>
    <w:rsid w:val="00241E21"/>
    <w:rsid w:val="00246C30"/>
    <w:rsid w:val="00250947"/>
    <w:rsid w:val="002528AA"/>
    <w:rsid w:val="00266117"/>
    <w:rsid w:val="002945A8"/>
    <w:rsid w:val="002B1359"/>
    <w:rsid w:val="002B1DC5"/>
    <w:rsid w:val="002D0E45"/>
    <w:rsid w:val="002D6A7F"/>
    <w:rsid w:val="002F1D23"/>
    <w:rsid w:val="002F2631"/>
    <w:rsid w:val="00303F11"/>
    <w:rsid w:val="00307FC9"/>
    <w:rsid w:val="003153B7"/>
    <w:rsid w:val="003161F3"/>
    <w:rsid w:val="00332F1B"/>
    <w:rsid w:val="0034735E"/>
    <w:rsid w:val="003641C6"/>
    <w:rsid w:val="003644A1"/>
    <w:rsid w:val="00367420"/>
    <w:rsid w:val="0037425F"/>
    <w:rsid w:val="0038143A"/>
    <w:rsid w:val="003927FD"/>
    <w:rsid w:val="003A27C7"/>
    <w:rsid w:val="003B1E44"/>
    <w:rsid w:val="003C2B04"/>
    <w:rsid w:val="003D6679"/>
    <w:rsid w:val="003F2AAA"/>
    <w:rsid w:val="003F6830"/>
    <w:rsid w:val="00407E11"/>
    <w:rsid w:val="00432726"/>
    <w:rsid w:val="00434258"/>
    <w:rsid w:val="00446F0A"/>
    <w:rsid w:val="00454264"/>
    <w:rsid w:val="00457EFE"/>
    <w:rsid w:val="00473236"/>
    <w:rsid w:val="00485C46"/>
    <w:rsid w:val="004A4954"/>
    <w:rsid w:val="004A5F91"/>
    <w:rsid w:val="004B035A"/>
    <w:rsid w:val="004C4F24"/>
    <w:rsid w:val="004D0E3E"/>
    <w:rsid w:val="004D51D2"/>
    <w:rsid w:val="004D5E18"/>
    <w:rsid w:val="004D77FB"/>
    <w:rsid w:val="004E3283"/>
    <w:rsid w:val="004E5416"/>
    <w:rsid w:val="004E56BB"/>
    <w:rsid w:val="004E7265"/>
    <w:rsid w:val="004F4C2D"/>
    <w:rsid w:val="004F54AF"/>
    <w:rsid w:val="00503F3E"/>
    <w:rsid w:val="005154E7"/>
    <w:rsid w:val="00522707"/>
    <w:rsid w:val="005574B8"/>
    <w:rsid w:val="005609FE"/>
    <w:rsid w:val="00560A28"/>
    <w:rsid w:val="00562192"/>
    <w:rsid w:val="00563899"/>
    <w:rsid w:val="00567FB0"/>
    <w:rsid w:val="005910A1"/>
    <w:rsid w:val="005968F7"/>
    <w:rsid w:val="005A5103"/>
    <w:rsid w:val="005B2F21"/>
    <w:rsid w:val="005B6138"/>
    <w:rsid w:val="005D203B"/>
    <w:rsid w:val="005D67FA"/>
    <w:rsid w:val="005E2733"/>
    <w:rsid w:val="005E40E9"/>
    <w:rsid w:val="005F13BC"/>
    <w:rsid w:val="005F20E5"/>
    <w:rsid w:val="005F52E9"/>
    <w:rsid w:val="006244A2"/>
    <w:rsid w:val="006279CE"/>
    <w:rsid w:val="00631A5A"/>
    <w:rsid w:val="00631B68"/>
    <w:rsid w:val="00633E28"/>
    <w:rsid w:val="00640060"/>
    <w:rsid w:val="00640275"/>
    <w:rsid w:val="00667FD1"/>
    <w:rsid w:val="006B6716"/>
    <w:rsid w:val="006C2639"/>
    <w:rsid w:val="006D47CF"/>
    <w:rsid w:val="006F4FA1"/>
    <w:rsid w:val="00723A96"/>
    <w:rsid w:val="007302A8"/>
    <w:rsid w:val="00733938"/>
    <w:rsid w:val="007369FC"/>
    <w:rsid w:val="00737039"/>
    <w:rsid w:val="00742948"/>
    <w:rsid w:val="00746586"/>
    <w:rsid w:val="00765A8B"/>
    <w:rsid w:val="00772973"/>
    <w:rsid w:val="007775C3"/>
    <w:rsid w:val="00795DBB"/>
    <w:rsid w:val="007A07C1"/>
    <w:rsid w:val="007A4ED1"/>
    <w:rsid w:val="007A74E9"/>
    <w:rsid w:val="007B278E"/>
    <w:rsid w:val="007B2CDD"/>
    <w:rsid w:val="007B4D4E"/>
    <w:rsid w:val="007C4086"/>
    <w:rsid w:val="007C60AF"/>
    <w:rsid w:val="007D4EBF"/>
    <w:rsid w:val="007E5FCB"/>
    <w:rsid w:val="007F2C5B"/>
    <w:rsid w:val="00803EB2"/>
    <w:rsid w:val="008343F4"/>
    <w:rsid w:val="00864D22"/>
    <w:rsid w:val="00875B3B"/>
    <w:rsid w:val="00886F6A"/>
    <w:rsid w:val="00891A93"/>
    <w:rsid w:val="00894ACC"/>
    <w:rsid w:val="00895FE2"/>
    <w:rsid w:val="008C13F1"/>
    <w:rsid w:val="008C37A2"/>
    <w:rsid w:val="008C5B76"/>
    <w:rsid w:val="008C7039"/>
    <w:rsid w:val="008E4D50"/>
    <w:rsid w:val="008F0562"/>
    <w:rsid w:val="008F2773"/>
    <w:rsid w:val="008F64EC"/>
    <w:rsid w:val="0092110B"/>
    <w:rsid w:val="00923644"/>
    <w:rsid w:val="00932003"/>
    <w:rsid w:val="00941498"/>
    <w:rsid w:val="00942146"/>
    <w:rsid w:val="009433A0"/>
    <w:rsid w:val="00945641"/>
    <w:rsid w:val="00946377"/>
    <w:rsid w:val="009542BB"/>
    <w:rsid w:val="00971DF4"/>
    <w:rsid w:val="009B18E5"/>
    <w:rsid w:val="009B656E"/>
    <w:rsid w:val="009C2FDD"/>
    <w:rsid w:val="009D6055"/>
    <w:rsid w:val="00A02AA9"/>
    <w:rsid w:val="00A13FD1"/>
    <w:rsid w:val="00A231F0"/>
    <w:rsid w:val="00A27948"/>
    <w:rsid w:val="00A37160"/>
    <w:rsid w:val="00A613E7"/>
    <w:rsid w:val="00A62910"/>
    <w:rsid w:val="00A87079"/>
    <w:rsid w:val="00A87490"/>
    <w:rsid w:val="00AA085B"/>
    <w:rsid w:val="00AB1E17"/>
    <w:rsid w:val="00AB36BF"/>
    <w:rsid w:val="00AC3F7D"/>
    <w:rsid w:val="00AC778E"/>
    <w:rsid w:val="00AD1FD4"/>
    <w:rsid w:val="00AD3B49"/>
    <w:rsid w:val="00AE434B"/>
    <w:rsid w:val="00AF5C08"/>
    <w:rsid w:val="00B07221"/>
    <w:rsid w:val="00B12028"/>
    <w:rsid w:val="00B21832"/>
    <w:rsid w:val="00B31F77"/>
    <w:rsid w:val="00B714ED"/>
    <w:rsid w:val="00B721C8"/>
    <w:rsid w:val="00B7620D"/>
    <w:rsid w:val="00B81282"/>
    <w:rsid w:val="00B85865"/>
    <w:rsid w:val="00B872D8"/>
    <w:rsid w:val="00BC552B"/>
    <w:rsid w:val="00BE24E5"/>
    <w:rsid w:val="00BE3658"/>
    <w:rsid w:val="00BE65D3"/>
    <w:rsid w:val="00C01478"/>
    <w:rsid w:val="00C121E6"/>
    <w:rsid w:val="00C305AF"/>
    <w:rsid w:val="00C43278"/>
    <w:rsid w:val="00C539C2"/>
    <w:rsid w:val="00C53E2A"/>
    <w:rsid w:val="00C934C3"/>
    <w:rsid w:val="00C93656"/>
    <w:rsid w:val="00CA6B90"/>
    <w:rsid w:val="00CB4639"/>
    <w:rsid w:val="00CB6A0B"/>
    <w:rsid w:val="00CB6E66"/>
    <w:rsid w:val="00CD13F7"/>
    <w:rsid w:val="00CF12E8"/>
    <w:rsid w:val="00CF299F"/>
    <w:rsid w:val="00CF77A6"/>
    <w:rsid w:val="00D03C23"/>
    <w:rsid w:val="00D040C4"/>
    <w:rsid w:val="00D06919"/>
    <w:rsid w:val="00D10913"/>
    <w:rsid w:val="00D1298B"/>
    <w:rsid w:val="00D15255"/>
    <w:rsid w:val="00D271F1"/>
    <w:rsid w:val="00D34788"/>
    <w:rsid w:val="00D4062E"/>
    <w:rsid w:val="00D422C3"/>
    <w:rsid w:val="00D45C46"/>
    <w:rsid w:val="00D464B9"/>
    <w:rsid w:val="00D53925"/>
    <w:rsid w:val="00D54A8B"/>
    <w:rsid w:val="00D61183"/>
    <w:rsid w:val="00D64D4B"/>
    <w:rsid w:val="00D65172"/>
    <w:rsid w:val="00D75143"/>
    <w:rsid w:val="00D87BDC"/>
    <w:rsid w:val="00DD75AA"/>
    <w:rsid w:val="00E018E8"/>
    <w:rsid w:val="00E446F0"/>
    <w:rsid w:val="00E50ACF"/>
    <w:rsid w:val="00E55F23"/>
    <w:rsid w:val="00E62431"/>
    <w:rsid w:val="00E74A10"/>
    <w:rsid w:val="00E80C75"/>
    <w:rsid w:val="00EA0722"/>
    <w:rsid w:val="00EC39B2"/>
    <w:rsid w:val="00ED7507"/>
    <w:rsid w:val="00EE58F2"/>
    <w:rsid w:val="00EE5C4E"/>
    <w:rsid w:val="00F11C77"/>
    <w:rsid w:val="00F148C8"/>
    <w:rsid w:val="00F22CD2"/>
    <w:rsid w:val="00F23230"/>
    <w:rsid w:val="00F4492F"/>
    <w:rsid w:val="00F44E47"/>
    <w:rsid w:val="00F46A66"/>
    <w:rsid w:val="00F618FC"/>
    <w:rsid w:val="00F716D3"/>
    <w:rsid w:val="00F7241C"/>
    <w:rsid w:val="00F77896"/>
    <w:rsid w:val="00F8195F"/>
    <w:rsid w:val="00F913EB"/>
    <w:rsid w:val="00FB6FE5"/>
    <w:rsid w:val="00FD3828"/>
    <w:rsid w:val="00FE67D0"/>
    <w:rsid w:val="00FF0596"/>
    <w:rsid w:val="00FF46C3"/>
    <w:rsid w:val="00FF5C2F"/>
    <w:rsid w:val="00FF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3A0"/>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160"/>
    <w:pPr>
      <w:ind w:left="720"/>
      <w:contextualSpacing/>
    </w:pPr>
  </w:style>
  <w:style w:type="paragraph" w:customStyle="1" w:styleId="Pleading2L1">
    <w:name w:val="Pleading2_L1"/>
    <w:basedOn w:val="Normal"/>
    <w:next w:val="BodyText"/>
    <w:rsid w:val="000A6948"/>
    <w:pPr>
      <w:numPr>
        <w:numId w:val="2"/>
      </w:numPr>
      <w:spacing w:after="240"/>
      <w:jc w:val="center"/>
      <w:outlineLvl w:val="0"/>
    </w:pPr>
    <w:rPr>
      <w:b/>
      <w:caps/>
      <w:sz w:val="24"/>
      <w:szCs w:val="20"/>
      <w:u w:val="single"/>
    </w:rPr>
  </w:style>
  <w:style w:type="paragraph" w:customStyle="1" w:styleId="Pleading2L2">
    <w:name w:val="Pleading2_L2"/>
    <w:basedOn w:val="Pleading2L1"/>
    <w:rsid w:val="000A6948"/>
    <w:pPr>
      <w:numPr>
        <w:ilvl w:val="1"/>
      </w:numPr>
      <w:spacing w:after="0" w:line="480" w:lineRule="auto"/>
      <w:jc w:val="left"/>
      <w:outlineLvl w:val="1"/>
    </w:pPr>
    <w:rPr>
      <w:b w:val="0"/>
      <w:caps w:val="0"/>
      <w:u w:val="none"/>
    </w:rPr>
  </w:style>
  <w:style w:type="paragraph" w:customStyle="1" w:styleId="Pleading2L3">
    <w:name w:val="Pleading2_L3"/>
    <w:basedOn w:val="Pleading2L2"/>
    <w:rsid w:val="000A6948"/>
    <w:pPr>
      <w:numPr>
        <w:ilvl w:val="2"/>
      </w:numPr>
      <w:outlineLvl w:val="2"/>
    </w:pPr>
  </w:style>
  <w:style w:type="paragraph" w:customStyle="1" w:styleId="Pleading2L4">
    <w:name w:val="Pleading2_L4"/>
    <w:basedOn w:val="Pleading2L3"/>
    <w:rsid w:val="000A6948"/>
    <w:pPr>
      <w:numPr>
        <w:ilvl w:val="3"/>
      </w:numPr>
      <w:outlineLvl w:val="3"/>
    </w:pPr>
  </w:style>
  <w:style w:type="paragraph" w:customStyle="1" w:styleId="Pleading2L5">
    <w:name w:val="Pleading2_L5"/>
    <w:basedOn w:val="Pleading2L4"/>
    <w:rsid w:val="000A6948"/>
    <w:pPr>
      <w:keepNext/>
      <w:keepLines/>
      <w:widowControl w:val="0"/>
      <w:numPr>
        <w:ilvl w:val="4"/>
      </w:numPr>
      <w:spacing w:after="240" w:line="240" w:lineRule="auto"/>
      <w:outlineLvl w:val="4"/>
    </w:pPr>
  </w:style>
  <w:style w:type="paragraph" w:customStyle="1" w:styleId="Pleading2L6">
    <w:name w:val="Pleading2_L6"/>
    <w:basedOn w:val="Pleading2L5"/>
    <w:rsid w:val="000A6948"/>
    <w:pPr>
      <w:numPr>
        <w:ilvl w:val="5"/>
      </w:numPr>
      <w:outlineLvl w:val="5"/>
    </w:pPr>
  </w:style>
  <w:style w:type="paragraph" w:customStyle="1" w:styleId="Pleading2L7">
    <w:name w:val="Pleading2_L7"/>
    <w:basedOn w:val="Pleading2L6"/>
    <w:rsid w:val="000A6948"/>
    <w:pPr>
      <w:numPr>
        <w:ilvl w:val="6"/>
      </w:numPr>
      <w:outlineLvl w:val="6"/>
    </w:pPr>
  </w:style>
  <w:style w:type="paragraph" w:customStyle="1" w:styleId="Pleading2L8">
    <w:name w:val="Pleading2_L8"/>
    <w:basedOn w:val="Pleading2L7"/>
    <w:rsid w:val="000A6948"/>
    <w:pPr>
      <w:numPr>
        <w:ilvl w:val="7"/>
      </w:numPr>
      <w:outlineLvl w:val="7"/>
    </w:pPr>
  </w:style>
  <w:style w:type="paragraph" w:customStyle="1" w:styleId="Pleading2L9">
    <w:name w:val="Pleading2_L9"/>
    <w:basedOn w:val="Pleading2L8"/>
    <w:rsid w:val="000A6948"/>
    <w:pPr>
      <w:numPr>
        <w:ilvl w:val="8"/>
      </w:numPr>
      <w:outlineLvl w:val="8"/>
    </w:pPr>
  </w:style>
  <w:style w:type="paragraph" w:styleId="BodyText">
    <w:name w:val="Body Text"/>
    <w:basedOn w:val="Normal"/>
    <w:link w:val="BodyTextChar"/>
    <w:uiPriority w:val="99"/>
    <w:semiHidden/>
    <w:unhideWhenUsed/>
    <w:rsid w:val="000A6948"/>
    <w:pPr>
      <w:spacing w:after="120"/>
    </w:pPr>
  </w:style>
  <w:style w:type="character" w:customStyle="1" w:styleId="BodyTextChar">
    <w:name w:val="Body Text Char"/>
    <w:basedOn w:val="DefaultParagraphFont"/>
    <w:link w:val="BodyText"/>
    <w:uiPriority w:val="99"/>
    <w:semiHidden/>
    <w:rsid w:val="000A6948"/>
    <w:rPr>
      <w:rFonts w:ascii="Times New Roman" w:eastAsia="Times New Roman" w:hAnsi="Times New Roman" w:cs="Times New Roman"/>
      <w:sz w:val="26"/>
      <w:szCs w:val="26"/>
    </w:rPr>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Footnote Text Cha"/>
    <w:basedOn w:val="Normal"/>
    <w:link w:val="FootnoteTextChar"/>
    <w:uiPriority w:val="99"/>
    <w:unhideWhenUsed/>
    <w:rsid w:val="00FD3828"/>
    <w:pPr>
      <w:autoSpaceDE w:val="0"/>
      <w:autoSpaceDN w:val="0"/>
    </w:pPr>
    <w:rPr>
      <w:sz w:val="20"/>
      <w:szCs w:val="20"/>
    </w:rPr>
  </w:style>
  <w:style w:type="character" w:customStyle="1" w:styleId="FootnoteTextChar">
    <w:name w:val="Footnote Text Char"/>
    <w:aliases w:val="Footnote Text Char4 Char Char,Footnote Text Char Char4 Char Char,Footnote Text Char4 Char1 Char Char Char,Footnote Text Char Char4 Char1 Char Char Char,Footnote Text Char5 Char1 Char Char Char Char Char Char,Footnote Text Char2 Char"/>
    <w:basedOn w:val="DefaultParagraphFont"/>
    <w:link w:val="FootnoteText"/>
    <w:uiPriority w:val="99"/>
    <w:rsid w:val="00FD3828"/>
    <w:rPr>
      <w:rFonts w:ascii="Times New Roman" w:eastAsia="Times New Roman" w:hAnsi="Times New Roman" w:cs="Times New Roman"/>
      <w:sz w:val="20"/>
      <w:szCs w:val="20"/>
    </w:rPr>
  </w:style>
  <w:style w:type="character" w:styleId="FootnoteReference">
    <w:name w:val="footnote reference"/>
    <w:aliases w:val="o"/>
    <w:basedOn w:val="DefaultParagraphFont"/>
    <w:uiPriority w:val="99"/>
    <w:unhideWhenUsed/>
    <w:rsid w:val="00FD3828"/>
    <w:rPr>
      <w:vertAlign w:val="superscript"/>
    </w:rPr>
  </w:style>
  <w:style w:type="paragraph" w:customStyle="1" w:styleId="Pleading">
    <w:name w:val="Pleading"/>
    <w:basedOn w:val="BodyText"/>
    <w:rsid w:val="00FD3828"/>
    <w:pPr>
      <w:spacing w:after="0" w:line="480" w:lineRule="auto"/>
      <w:ind w:firstLine="720"/>
      <w:jc w:val="both"/>
    </w:pPr>
    <w:rPr>
      <w:sz w:val="24"/>
      <w:szCs w:val="24"/>
    </w:rPr>
  </w:style>
  <w:style w:type="paragraph" w:styleId="NormalWeb">
    <w:name w:val="Normal (Web)"/>
    <w:basedOn w:val="Normal"/>
    <w:uiPriority w:val="99"/>
    <w:semiHidden/>
    <w:unhideWhenUsed/>
    <w:rsid w:val="00772973"/>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67420"/>
    <w:rPr>
      <w:rFonts w:ascii="Tahoma" w:hAnsi="Tahoma" w:cs="Tahoma"/>
      <w:sz w:val="16"/>
      <w:szCs w:val="16"/>
    </w:rPr>
  </w:style>
  <w:style w:type="character" w:customStyle="1" w:styleId="BalloonTextChar">
    <w:name w:val="Balloon Text Char"/>
    <w:basedOn w:val="DefaultParagraphFont"/>
    <w:link w:val="BalloonText"/>
    <w:uiPriority w:val="99"/>
    <w:semiHidden/>
    <w:rsid w:val="00367420"/>
    <w:rPr>
      <w:rFonts w:ascii="Tahoma" w:eastAsia="Times New Roman" w:hAnsi="Tahoma" w:cs="Tahoma"/>
      <w:sz w:val="16"/>
      <w:szCs w:val="16"/>
    </w:rPr>
  </w:style>
  <w:style w:type="table" w:styleId="TableGrid">
    <w:name w:val="Table Grid"/>
    <w:basedOn w:val="TableNormal"/>
    <w:uiPriority w:val="59"/>
    <w:rsid w:val="00B07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41498"/>
    <w:rPr>
      <w:rFonts w:ascii="Courier" w:hAnsi="Courier"/>
      <w:sz w:val="24"/>
      <w:szCs w:val="20"/>
    </w:rPr>
  </w:style>
  <w:style w:type="character" w:customStyle="1" w:styleId="EndnoteTextChar">
    <w:name w:val="Endnote Text Char"/>
    <w:basedOn w:val="DefaultParagraphFont"/>
    <w:link w:val="EndnoteText"/>
    <w:rsid w:val="00941498"/>
    <w:rPr>
      <w:rFonts w:ascii="Courier" w:eastAsia="Times New Roman" w:hAnsi="Courier" w:cs="Times New Roman"/>
      <w:sz w:val="24"/>
      <w:szCs w:val="20"/>
    </w:rPr>
  </w:style>
  <w:style w:type="paragraph" w:styleId="ListNumber">
    <w:name w:val="List Number"/>
    <w:basedOn w:val="Normal"/>
    <w:rsid w:val="00C121E6"/>
    <w:pPr>
      <w:numPr>
        <w:numId w:val="20"/>
      </w:numPr>
      <w:spacing w:line="480" w:lineRule="auto"/>
      <w:ind w:left="0" w:firstLine="720"/>
    </w:pPr>
    <w:rPr>
      <w:sz w:val="24"/>
      <w:szCs w:val="24"/>
    </w:rPr>
  </w:style>
  <w:style w:type="paragraph" w:styleId="Header">
    <w:name w:val="header"/>
    <w:basedOn w:val="Normal"/>
    <w:link w:val="HeaderChar"/>
    <w:uiPriority w:val="99"/>
    <w:unhideWhenUsed/>
    <w:rsid w:val="00B714ED"/>
    <w:pPr>
      <w:tabs>
        <w:tab w:val="center" w:pos="4680"/>
        <w:tab w:val="right" w:pos="9360"/>
      </w:tabs>
    </w:pPr>
  </w:style>
  <w:style w:type="character" w:customStyle="1" w:styleId="HeaderChar">
    <w:name w:val="Header Char"/>
    <w:basedOn w:val="DefaultParagraphFont"/>
    <w:link w:val="Header"/>
    <w:uiPriority w:val="99"/>
    <w:rsid w:val="00B714ED"/>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B714ED"/>
    <w:pPr>
      <w:tabs>
        <w:tab w:val="center" w:pos="4680"/>
        <w:tab w:val="right" w:pos="9360"/>
      </w:tabs>
    </w:pPr>
  </w:style>
  <w:style w:type="character" w:customStyle="1" w:styleId="FooterChar">
    <w:name w:val="Footer Char"/>
    <w:basedOn w:val="DefaultParagraphFont"/>
    <w:link w:val="Footer"/>
    <w:uiPriority w:val="99"/>
    <w:rsid w:val="00B714ED"/>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3A0"/>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160"/>
    <w:pPr>
      <w:ind w:left="720"/>
      <w:contextualSpacing/>
    </w:pPr>
  </w:style>
  <w:style w:type="paragraph" w:customStyle="1" w:styleId="Pleading2L1">
    <w:name w:val="Pleading2_L1"/>
    <w:basedOn w:val="Normal"/>
    <w:next w:val="BodyText"/>
    <w:rsid w:val="000A6948"/>
    <w:pPr>
      <w:numPr>
        <w:numId w:val="2"/>
      </w:numPr>
      <w:spacing w:after="240"/>
      <w:jc w:val="center"/>
      <w:outlineLvl w:val="0"/>
    </w:pPr>
    <w:rPr>
      <w:b/>
      <w:caps/>
      <w:sz w:val="24"/>
      <w:szCs w:val="20"/>
      <w:u w:val="single"/>
    </w:rPr>
  </w:style>
  <w:style w:type="paragraph" w:customStyle="1" w:styleId="Pleading2L2">
    <w:name w:val="Pleading2_L2"/>
    <w:basedOn w:val="Pleading2L1"/>
    <w:rsid w:val="000A6948"/>
    <w:pPr>
      <w:numPr>
        <w:ilvl w:val="1"/>
      </w:numPr>
      <w:spacing w:after="0" w:line="480" w:lineRule="auto"/>
      <w:jc w:val="left"/>
      <w:outlineLvl w:val="1"/>
    </w:pPr>
    <w:rPr>
      <w:b w:val="0"/>
      <w:caps w:val="0"/>
      <w:u w:val="none"/>
    </w:rPr>
  </w:style>
  <w:style w:type="paragraph" w:customStyle="1" w:styleId="Pleading2L3">
    <w:name w:val="Pleading2_L3"/>
    <w:basedOn w:val="Pleading2L2"/>
    <w:rsid w:val="000A6948"/>
    <w:pPr>
      <w:numPr>
        <w:ilvl w:val="2"/>
      </w:numPr>
      <w:outlineLvl w:val="2"/>
    </w:pPr>
  </w:style>
  <w:style w:type="paragraph" w:customStyle="1" w:styleId="Pleading2L4">
    <w:name w:val="Pleading2_L4"/>
    <w:basedOn w:val="Pleading2L3"/>
    <w:rsid w:val="000A6948"/>
    <w:pPr>
      <w:numPr>
        <w:ilvl w:val="3"/>
      </w:numPr>
      <w:outlineLvl w:val="3"/>
    </w:pPr>
  </w:style>
  <w:style w:type="paragraph" w:customStyle="1" w:styleId="Pleading2L5">
    <w:name w:val="Pleading2_L5"/>
    <w:basedOn w:val="Pleading2L4"/>
    <w:rsid w:val="000A6948"/>
    <w:pPr>
      <w:keepNext/>
      <w:keepLines/>
      <w:widowControl w:val="0"/>
      <w:numPr>
        <w:ilvl w:val="4"/>
      </w:numPr>
      <w:spacing w:after="240" w:line="240" w:lineRule="auto"/>
      <w:outlineLvl w:val="4"/>
    </w:pPr>
  </w:style>
  <w:style w:type="paragraph" w:customStyle="1" w:styleId="Pleading2L6">
    <w:name w:val="Pleading2_L6"/>
    <w:basedOn w:val="Pleading2L5"/>
    <w:rsid w:val="000A6948"/>
    <w:pPr>
      <w:numPr>
        <w:ilvl w:val="5"/>
      </w:numPr>
      <w:outlineLvl w:val="5"/>
    </w:pPr>
  </w:style>
  <w:style w:type="paragraph" w:customStyle="1" w:styleId="Pleading2L7">
    <w:name w:val="Pleading2_L7"/>
    <w:basedOn w:val="Pleading2L6"/>
    <w:rsid w:val="000A6948"/>
    <w:pPr>
      <w:numPr>
        <w:ilvl w:val="6"/>
      </w:numPr>
      <w:outlineLvl w:val="6"/>
    </w:pPr>
  </w:style>
  <w:style w:type="paragraph" w:customStyle="1" w:styleId="Pleading2L8">
    <w:name w:val="Pleading2_L8"/>
    <w:basedOn w:val="Pleading2L7"/>
    <w:rsid w:val="000A6948"/>
    <w:pPr>
      <w:numPr>
        <w:ilvl w:val="7"/>
      </w:numPr>
      <w:outlineLvl w:val="7"/>
    </w:pPr>
  </w:style>
  <w:style w:type="paragraph" w:customStyle="1" w:styleId="Pleading2L9">
    <w:name w:val="Pleading2_L9"/>
    <w:basedOn w:val="Pleading2L8"/>
    <w:rsid w:val="000A6948"/>
    <w:pPr>
      <w:numPr>
        <w:ilvl w:val="8"/>
      </w:numPr>
      <w:outlineLvl w:val="8"/>
    </w:pPr>
  </w:style>
  <w:style w:type="paragraph" w:styleId="BodyText">
    <w:name w:val="Body Text"/>
    <w:basedOn w:val="Normal"/>
    <w:link w:val="BodyTextChar"/>
    <w:uiPriority w:val="99"/>
    <w:semiHidden/>
    <w:unhideWhenUsed/>
    <w:rsid w:val="000A6948"/>
    <w:pPr>
      <w:spacing w:after="120"/>
    </w:pPr>
  </w:style>
  <w:style w:type="character" w:customStyle="1" w:styleId="BodyTextChar">
    <w:name w:val="Body Text Char"/>
    <w:basedOn w:val="DefaultParagraphFont"/>
    <w:link w:val="BodyText"/>
    <w:uiPriority w:val="99"/>
    <w:semiHidden/>
    <w:rsid w:val="000A6948"/>
    <w:rPr>
      <w:rFonts w:ascii="Times New Roman" w:eastAsia="Times New Roman" w:hAnsi="Times New Roman" w:cs="Times New Roman"/>
      <w:sz w:val="26"/>
      <w:szCs w:val="26"/>
    </w:rPr>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Footnote Text Cha"/>
    <w:basedOn w:val="Normal"/>
    <w:link w:val="FootnoteTextChar"/>
    <w:uiPriority w:val="99"/>
    <w:unhideWhenUsed/>
    <w:rsid w:val="00FD3828"/>
    <w:pPr>
      <w:autoSpaceDE w:val="0"/>
      <w:autoSpaceDN w:val="0"/>
    </w:pPr>
    <w:rPr>
      <w:sz w:val="20"/>
      <w:szCs w:val="20"/>
    </w:rPr>
  </w:style>
  <w:style w:type="character" w:customStyle="1" w:styleId="FootnoteTextChar">
    <w:name w:val="Footnote Text Char"/>
    <w:aliases w:val="Footnote Text Char4 Char Char,Footnote Text Char Char4 Char Char,Footnote Text Char4 Char1 Char Char Char,Footnote Text Char Char4 Char1 Char Char Char,Footnote Text Char5 Char1 Char Char Char Char Char Char,Footnote Text Char2 Char"/>
    <w:basedOn w:val="DefaultParagraphFont"/>
    <w:link w:val="FootnoteText"/>
    <w:uiPriority w:val="99"/>
    <w:rsid w:val="00FD3828"/>
    <w:rPr>
      <w:rFonts w:ascii="Times New Roman" w:eastAsia="Times New Roman" w:hAnsi="Times New Roman" w:cs="Times New Roman"/>
      <w:sz w:val="20"/>
      <w:szCs w:val="20"/>
    </w:rPr>
  </w:style>
  <w:style w:type="character" w:styleId="FootnoteReference">
    <w:name w:val="footnote reference"/>
    <w:aliases w:val="o"/>
    <w:basedOn w:val="DefaultParagraphFont"/>
    <w:uiPriority w:val="99"/>
    <w:unhideWhenUsed/>
    <w:rsid w:val="00FD3828"/>
    <w:rPr>
      <w:vertAlign w:val="superscript"/>
    </w:rPr>
  </w:style>
  <w:style w:type="paragraph" w:customStyle="1" w:styleId="Pleading">
    <w:name w:val="Pleading"/>
    <w:basedOn w:val="BodyText"/>
    <w:rsid w:val="00FD3828"/>
    <w:pPr>
      <w:spacing w:after="0" w:line="480" w:lineRule="auto"/>
      <w:ind w:firstLine="720"/>
      <w:jc w:val="both"/>
    </w:pPr>
    <w:rPr>
      <w:sz w:val="24"/>
      <w:szCs w:val="24"/>
    </w:rPr>
  </w:style>
  <w:style w:type="paragraph" w:styleId="NormalWeb">
    <w:name w:val="Normal (Web)"/>
    <w:basedOn w:val="Normal"/>
    <w:uiPriority w:val="99"/>
    <w:semiHidden/>
    <w:unhideWhenUsed/>
    <w:rsid w:val="00772973"/>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67420"/>
    <w:rPr>
      <w:rFonts w:ascii="Tahoma" w:hAnsi="Tahoma" w:cs="Tahoma"/>
      <w:sz w:val="16"/>
      <w:szCs w:val="16"/>
    </w:rPr>
  </w:style>
  <w:style w:type="character" w:customStyle="1" w:styleId="BalloonTextChar">
    <w:name w:val="Balloon Text Char"/>
    <w:basedOn w:val="DefaultParagraphFont"/>
    <w:link w:val="BalloonText"/>
    <w:uiPriority w:val="99"/>
    <w:semiHidden/>
    <w:rsid w:val="00367420"/>
    <w:rPr>
      <w:rFonts w:ascii="Tahoma" w:eastAsia="Times New Roman" w:hAnsi="Tahoma" w:cs="Tahoma"/>
      <w:sz w:val="16"/>
      <w:szCs w:val="16"/>
    </w:rPr>
  </w:style>
  <w:style w:type="table" w:styleId="TableGrid">
    <w:name w:val="Table Grid"/>
    <w:basedOn w:val="TableNormal"/>
    <w:uiPriority w:val="59"/>
    <w:rsid w:val="00B07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41498"/>
    <w:rPr>
      <w:rFonts w:ascii="Courier" w:hAnsi="Courier"/>
      <w:sz w:val="24"/>
      <w:szCs w:val="20"/>
    </w:rPr>
  </w:style>
  <w:style w:type="character" w:customStyle="1" w:styleId="EndnoteTextChar">
    <w:name w:val="Endnote Text Char"/>
    <w:basedOn w:val="DefaultParagraphFont"/>
    <w:link w:val="EndnoteText"/>
    <w:rsid w:val="00941498"/>
    <w:rPr>
      <w:rFonts w:ascii="Courier" w:eastAsia="Times New Roman" w:hAnsi="Courier" w:cs="Times New Roman"/>
      <w:sz w:val="24"/>
      <w:szCs w:val="20"/>
    </w:rPr>
  </w:style>
  <w:style w:type="paragraph" w:styleId="ListNumber">
    <w:name w:val="List Number"/>
    <w:basedOn w:val="Normal"/>
    <w:rsid w:val="00C121E6"/>
    <w:pPr>
      <w:numPr>
        <w:numId w:val="20"/>
      </w:numPr>
      <w:spacing w:line="480" w:lineRule="auto"/>
      <w:ind w:left="0" w:firstLine="720"/>
    </w:pPr>
    <w:rPr>
      <w:sz w:val="24"/>
      <w:szCs w:val="24"/>
    </w:rPr>
  </w:style>
  <w:style w:type="paragraph" w:styleId="Header">
    <w:name w:val="header"/>
    <w:basedOn w:val="Normal"/>
    <w:link w:val="HeaderChar"/>
    <w:uiPriority w:val="99"/>
    <w:unhideWhenUsed/>
    <w:rsid w:val="00B714ED"/>
    <w:pPr>
      <w:tabs>
        <w:tab w:val="center" w:pos="4680"/>
        <w:tab w:val="right" w:pos="9360"/>
      </w:tabs>
    </w:pPr>
  </w:style>
  <w:style w:type="character" w:customStyle="1" w:styleId="HeaderChar">
    <w:name w:val="Header Char"/>
    <w:basedOn w:val="DefaultParagraphFont"/>
    <w:link w:val="Header"/>
    <w:uiPriority w:val="99"/>
    <w:rsid w:val="00B714ED"/>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B714ED"/>
    <w:pPr>
      <w:tabs>
        <w:tab w:val="center" w:pos="4680"/>
        <w:tab w:val="right" w:pos="9360"/>
      </w:tabs>
    </w:pPr>
  </w:style>
  <w:style w:type="character" w:customStyle="1" w:styleId="FooterChar">
    <w:name w:val="Footer Char"/>
    <w:basedOn w:val="DefaultParagraphFont"/>
    <w:link w:val="Footer"/>
    <w:uiPriority w:val="99"/>
    <w:rsid w:val="00B714ED"/>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4824">
      <w:bodyDiv w:val="1"/>
      <w:marLeft w:val="0"/>
      <w:marRight w:val="0"/>
      <w:marTop w:val="0"/>
      <w:marBottom w:val="0"/>
      <w:divBdr>
        <w:top w:val="none" w:sz="0" w:space="0" w:color="auto"/>
        <w:left w:val="none" w:sz="0" w:space="0" w:color="auto"/>
        <w:bottom w:val="none" w:sz="0" w:space="0" w:color="auto"/>
        <w:right w:val="none" w:sz="0" w:space="0" w:color="auto"/>
      </w:divBdr>
      <w:divsChild>
        <w:div w:id="145703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251959">
      <w:bodyDiv w:val="1"/>
      <w:marLeft w:val="0"/>
      <w:marRight w:val="0"/>
      <w:marTop w:val="0"/>
      <w:marBottom w:val="0"/>
      <w:divBdr>
        <w:top w:val="none" w:sz="0" w:space="0" w:color="auto"/>
        <w:left w:val="none" w:sz="0" w:space="0" w:color="auto"/>
        <w:bottom w:val="none" w:sz="0" w:space="0" w:color="auto"/>
        <w:right w:val="none" w:sz="0" w:space="0" w:color="auto"/>
      </w:divBdr>
    </w:div>
    <w:div w:id="193871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887F7-A61C-412D-B140-832D77C8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7121</Words>
  <Characters>40593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ejandebeur</dc:creator>
  <cp:lastModifiedBy>shoffner</cp:lastModifiedBy>
  <cp:revision>4</cp:revision>
  <cp:lastPrinted>2015-05-19T17:37:00Z</cp:lastPrinted>
  <dcterms:created xsi:type="dcterms:W3CDTF">2015-05-27T15:26:00Z</dcterms:created>
  <dcterms:modified xsi:type="dcterms:W3CDTF">2015-05-27T16:17:00Z</dcterms:modified>
</cp:coreProperties>
</file>