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748" w:rsidRPr="005C3052" w:rsidRDefault="00AC1748" w:rsidP="00AC1748">
      <w:pPr>
        <w:tabs>
          <w:tab w:val="center" w:pos="4680"/>
        </w:tabs>
        <w:spacing w:after="0" w:line="240" w:lineRule="auto"/>
        <w:jc w:val="center"/>
        <w:rPr>
          <w:rFonts w:ascii="Times New Roman" w:eastAsia="Times New Roman" w:hAnsi="Times New Roman" w:cs="Times New Roman"/>
          <w:b/>
          <w:sz w:val="24"/>
          <w:szCs w:val="24"/>
        </w:rPr>
      </w:pPr>
      <w:r w:rsidRPr="005C3052">
        <w:rPr>
          <w:rFonts w:ascii="Times New Roman" w:eastAsia="Times New Roman" w:hAnsi="Times New Roman" w:cs="Times New Roman"/>
          <w:b/>
          <w:sz w:val="24"/>
          <w:szCs w:val="24"/>
        </w:rPr>
        <w:t>BEFORE THE</w:t>
      </w:r>
    </w:p>
    <w:p w:rsidR="00AC1748" w:rsidRPr="005C3052" w:rsidRDefault="00AC1748" w:rsidP="00AC1748">
      <w:pPr>
        <w:tabs>
          <w:tab w:val="center" w:pos="4680"/>
        </w:tabs>
        <w:spacing w:after="0" w:line="240" w:lineRule="auto"/>
        <w:jc w:val="both"/>
        <w:rPr>
          <w:rFonts w:ascii="Times New Roman" w:eastAsia="Times New Roman" w:hAnsi="Times New Roman" w:cs="Times New Roman"/>
          <w:b/>
          <w:sz w:val="24"/>
          <w:szCs w:val="24"/>
        </w:rPr>
      </w:pPr>
      <w:r w:rsidRPr="005C3052">
        <w:rPr>
          <w:rFonts w:ascii="Times New Roman" w:eastAsia="Times New Roman" w:hAnsi="Times New Roman" w:cs="Times New Roman"/>
          <w:b/>
          <w:sz w:val="24"/>
          <w:szCs w:val="24"/>
        </w:rPr>
        <w:tab/>
        <w:t>PENNSYLVANIA PUBLIC UTILITY COMMISSION</w:t>
      </w:r>
    </w:p>
    <w:p w:rsidR="00AC1748" w:rsidRPr="005C3052" w:rsidRDefault="00AC1748" w:rsidP="00AC1748">
      <w:pPr>
        <w:tabs>
          <w:tab w:val="center" w:pos="4680"/>
        </w:tabs>
        <w:spacing w:after="0" w:line="240" w:lineRule="auto"/>
        <w:jc w:val="both"/>
        <w:rPr>
          <w:rFonts w:ascii="Times New Roman" w:eastAsia="Times New Roman" w:hAnsi="Times New Roman" w:cs="Times New Roman"/>
          <w:sz w:val="24"/>
          <w:szCs w:val="24"/>
        </w:rPr>
      </w:pPr>
    </w:p>
    <w:p w:rsidR="00AC1748" w:rsidRPr="005C3052" w:rsidRDefault="00AC1748" w:rsidP="00AC1748">
      <w:pPr>
        <w:spacing w:after="0" w:line="240" w:lineRule="auto"/>
        <w:jc w:val="both"/>
        <w:rPr>
          <w:rFonts w:ascii="Times New Roman" w:eastAsia="Times New Roman" w:hAnsi="Times New Roman" w:cs="Times New Roman"/>
          <w:sz w:val="24"/>
          <w:szCs w:val="24"/>
        </w:rPr>
      </w:pPr>
    </w:p>
    <w:p w:rsidR="00AC1748" w:rsidRPr="005C3052" w:rsidRDefault="00AC1748" w:rsidP="00AC1748">
      <w:pPr>
        <w:tabs>
          <w:tab w:val="left" w:pos="-720"/>
        </w:tabs>
        <w:suppressAutoHyphens/>
        <w:spacing w:after="0" w:line="240" w:lineRule="auto"/>
        <w:rPr>
          <w:rFonts w:ascii="Times New Roman" w:eastAsia="Times New Roman" w:hAnsi="Times New Roman" w:cs="Times New Roman"/>
          <w:spacing w:val="-3"/>
          <w:sz w:val="24"/>
          <w:szCs w:val="24"/>
        </w:rPr>
      </w:pPr>
    </w:p>
    <w:p w:rsidR="00AC1748" w:rsidRPr="005C3052" w:rsidRDefault="00AC1748" w:rsidP="00AC1748">
      <w:pPr>
        <w:tabs>
          <w:tab w:val="left" w:pos="-720"/>
        </w:tabs>
        <w:suppressAutoHyphens/>
        <w:spacing w:after="0" w:line="240" w:lineRule="auto"/>
        <w:rPr>
          <w:rFonts w:ascii="Times New Roman" w:eastAsia="Times New Roman" w:hAnsi="Times New Roman" w:cs="Times New Roman"/>
          <w:spacing w:val="-3"/>
          <w:sz w:val="24"/>
          <w:szCs w:val="24"/>
        </w:rPr>
      </w:pPr>
      <w:r w:rsidRPr="005C3052">
        <w:rPr>
          <w:rFonts w:ascii="Times New Roman" w:eastAsia="Times New Roman" w:hAnsi="Times New Roman" w:cs="Times New Roman"/>
          <w:spacing w:val="-3"/>
          <w:sz w:val="24"/>
          <w:szCs w:val="24"/>
        </w:rPr>
        <w:t>Pennsylvania Public Utility Commission</w:t>
      </w:r>
      <w:r w:rsidRPr="005C3052">
        <w:rPr>
          <w:rFonts w:ascii="Times New Roman" w:eastAsia="Times New Roman" w:hAnsi="Times New Roman" w:cs="Times New Roman"/>
          <w:spacing w:val="-3"/>
          <w:sz w:val="24"/>
          <w:szCs w:val="24"/>
        </w:rPr>
        <w:tab/>
      </w:r>
      <w:r w:rsidRPr="005C3052">
        <w:rPr>
          <w:rFonts w:ascii="Times New Roman" w:eastAsia="Times New Roman" w:hAnsi="Times New Roman" w:cs="Times New Roman"/>
          <w:spacing w:val="-3"/>
          <w:sz w:val="24"/>
          <w:szCs w:val="24"/>
        </w:rPr>
        <w:tab/>
        <w:t>:</w:t>
      </w:r>
      <w:r w:rsidRPr="005C3052">
        <w:rPr>
          <w:rFonts w:ascii="Times New Roman" w:eastAsia="Times New Roman" w:hAnsi="Times New Roman" w:cs="Times New Roman"/>
          <w:spacing w:val="-3"/>
          <w:sz w:val="24"/>
          <w:szCs w:val="24"/>
        </w:rPr>
        <w:tab/>
      </w:r>
      <w:r w:rsidRPr="005C3052">
        <w:rPr>
          <w:rFonts w:ascii="Times New Roman" w:eastAsia="Times New Roman" w:hAnsi="Times New Roman" w:cs="Times New Roman"/>
          <w:spacing w:val="-3"/>
          <w:sz w:val="24"/>
          <w:szCs w:val="24"/>
        </w:rPr>
        <w:tab/>
        <w:t>R-2014-2456648</w:t>
      </w:r>
    </w:p>
    <w:p w:rsidR="00AC1748" w:rsidRPr="005C3052" w:rsidRDefault="00AC1748" w:rsidP="00AC1748">
      <w:pPr>
        <w:tabs>
          <w:tab w:val="left" w:pos="-720"/>
        </w:tabs>
        <w:suppressAutoHyphens/>
        <w:spacing w:after="0" w:line="240" w:lineRule="auto"/>
        <w:rPr>
          <w:rFonts w:ascii="Times New Roman" w:eastAsia="Times New Roman" w:hAnsi="Times New Roman" w:cs="Times New Roman"/>
          <w:spacing w:val="-3"/>
          <w:sz w:val="24"/>
          <w:szCs w:val="24"/>
        </w:rPr>
      </w:pPr>
      <w:r w:rsidRPr="005C3052">
        <w:rPr>
          <w:rFonts w:ascii="Times New Roman" w:eastAsia="Times New Roman" w:hAnsi="Times New Roman" w:cs="Times New Roman"/>
          <w:spacing w:val="-3"/>
          <w:sz w:val="24"/>
          <w:szCs w:val="24"/>
        </w:rPr>
        <w:t>Office of Consumer Advocate</w:t>
      </w:r>
      <w:r w:rsidRPr="005C3052">
        <w:rPr>
          <w:rFonts w:ascii="Times New Roman" w:eastAsia="Times New Roman" w:hAnsi="Times New Roman" w:cs="Times New Roman"/>
          <w:spacing w:val="-3"/>
          <w:sz w:val="24"/>
          <w:szCs w:val="24"/>
        </w:rPr>
        <w:tab/>
      </w:r>
      <w:r w:rsidRPr="005C3052">
        <w:rPr>
          <w:rFonts w:ascii="Times New Roman" w:eastAsia="Times New Roman" w:hAnsi="Times New Roman" w:cs="Times New Roman"/>
          <w:spacing w:val="-3"/>
          <w:sz w:val="24"/>
          <w:szCs w:val="24"/>
        </w:rPr>
        <w:tab/>
      </w:r>
      <w:r w:rsidRPr="005C3052">
        <w:rPr>
          <w:rFonts w:ascii="Times New Roman" w:eastAsia="Times New Roman" w:hAnsi="Times New Roman" w:cs="Times New Roman"/>
          <w:spacing w:val="-3"/>
          <w:sz w:val="24"/>
          <w:szCs w:val="24"/>
        </w:rPr>
        <w:tab/>
      </w:r>
      <w:r w:rsidRPr="005C3052">
        <w:rPr>
          <w:rFonts w:ascii="Times New Roman" w:eastAsia="Times New Roman" w:hAnsi="Times New Roman" w:cs="Times New Roman"/>
          <w:spacing w:val="-3"/>
          <w:sz w:val="24"/>
          <w:szCs w:val="24"/>
        </w:rPr>
        <w:tab/>
      </w:r>
      <w:r w:rsidR="00046E54">
        <w:rPr>
          <w:rFonts w:ascii="Times New Roman" w:eastAsia="Times New Roman" w:hAnsi="Times New Roman" w:cs="Times New Roman"/>
          <w:spacing w:val="-3"/>
          <w:sz w:val="24"/>
          <w:szCs w:val="24"/>
        </w:rPr>
        <w:t>:</w:t>
      </w:r>
      <w:r w:rsidR="00046E54">
        <w:rPr>
          <w:rFonts w:ascii="Times New Roman" w:eastAsia="Times New Roman" w:hAnsi="Times New Roman" w:cs="Times New Roman"/>
          <w:spacing w:val="-3"/>
          <w:sz w:val="24"/>
          <w:szCs w:val="24"/>
        </w:rPr>
        <w:tab/>
      </w:r>
      <w:r w:rsidR="00046E54">
        <w:rPr>
          <w:rFonts w:ascii="Times New Roman" w:eastAsia="Times New Roman" w:hAnsi="Times New Roman" w:cs="Times New Roman"/>
          <w:spacing w:val="-3"/>
          <w:sz w:val="24"/>
          <w:szCs w:val="24"/>
        </w:rPr>
        <w:tab/>
        <w:t>C-2015</w:t>
      </w:r>
      <w:r>
        <w:rPr>
          <w:rFonts w:ascii="Times New Roman" w:eastAsia="Times New Roman" w:hAnsi="Times New Roman" w:cs="Times New Roman"/>
          <w:spacing w:val="-3"/>
          <w:sz w:val="24"/>
          <w:szCs w:val="24"/>
        </w:rPr>
        <w:t>-2464412</w:t>
      </w:r>
    </w:p>
    <w:p w:rsidR="00AC1748" w:rsidRPr="005C3052" w:rsidRDefault="00AC1748" w:rsidP="00AC1748">
      <w:pPr>
        <w:tabs>
          <w:tab w:val="left" w:pos="5040"/>
        </w:tabs>
        <w:spacing w:after="0" w:line="240" w:lineRule="auto"/>
        <w:jc w:val="both"/>
        <w:rPr>
          <w:rFonts w:ascii="Times New Roman" w:eastAsia="Times New Roman" w:hAnsi="Times New Roman" w:cs="Times New Roman"/>
          <w:sz w:val="24"/>
          <w:szCs w:val="20"/>
        </w:rPr>
      </w:pPr>
      <w:r w:rsidRPr="005C3052">
        <w:rPr>
          <w:rFonts w:ascii="Times New Roman" w:eastAsia="Times New Roman" w:hAnsi="Times New Roman" w:cs="Times New Roman"/>
          <w:sz w:val="24"/>
          <w:szCs w:val="20"/>
        </w:rPr>
        <w:t>Office of Small Business</w:t>
      </w:r>
      <w:r w:rsidR="00046E54">
        <w:rPr>
          <w:rFonts w:ascii="Times New Roman" w:eastAsia="Times New Roman" w:hAnsi="Times New Roman" w:cs="Times New Roman"/>
          <w:sz w:val="24"/>
          <w:szCs w:val="20"/>
        </w:rPr>
        <w:t xml:space="preserve"> Advocate</w:t>
      </w:r>
      <w:r w:rsidR="00046E54">
        <w:rPr>
          <w:rFonts w:ascii="Times New Roman" w:eastAsia="Times New Roman" w:hAnsi="Times New Roman" w:cs="Times New Roman"/>
          <w:sz w:val="24"/>
          <w:szCs w:val="20"/>
        </w:rPr>
        <w:tab/>
        <w:t>:</w:t>
      </w:r>
      <w:r w:rsidR="00046E54">
        <w:rPr>
          <w:rFonts w:ascii="Times New Roman" w:eastAsia="Times New Roman" w:hAnsi="Times New Roman" w:cs="Times New Roman"/>
          <w:sz w:val="24"/>
          <w:szCs w:val="20"/>
        </w:rPr>
        <w:tab/>
      </w:r>
      <w:r w:rsidR="00046E54">
        <w:rPr>
          <w:rFonts w:ascii="Times New Roman" w:eastAsia="Times New Roman" w:hAnsi="Times New Roman" w:cs="Times New Roman"/>
          <w:sz w:val="24"/>
          <w:szCs w:val="20"/>
        </w:rPr>
        <w:tab/>
        <w:t>C-2015</w:t>
      </w:r>
      <w:r w:rsidRPr="005C3052">
        <w:rPr>
          <w:rFonts w:ascii="Times New Roman" w:eastAsia="Times New Roman" w:hAnsi="Times New Roman" w:cs="Times New Roman"/>
          <w:sz w:val="24"/>
          <w:szCs w:val="20"/>
        </w:rPr>
        <w:t>-2464270</w:t>
      </w:r>
    </w:p>
    <w:p w:rsidR="00AC1748" w:rsidRPr="005C3052" w:rsidRDefault="00AC1748" w:rsidP="00AC1748">
      <w:pPr>
        <w:tabs>
          <w:tab w:val="left" w:pos="-720"/>
        </w:tabs>
        <w:suppressAutoHyphens/>
        <w:spacing w:after="0" w:line="240" w:lineRule="auto"/>
        <w:rPr>
          <w:rFonts w:ascii="Times New Roman" w:eastAsia="Times New Roman" w:hAnsi="Times New Roman" w:cs="Times New Roman"/>
          <w:spacing w:val="-3"/>
          <w:sz w:val="24"/>
          <w:szCs w:val="24"/>
        </w:rPr>
      </w:pPr>
      <w:r w:rsidRPr="005C3052">
        <w:rPr>
          <w:rFonts w:ascii="Times New Roman" w:eastAsia="Times New Roman" w:hAnsi="Times New Roman" w:cs="Times New Roman"/>
          <w:spacing w:val="-3"/>
          <w:sz w:val="24"/>
          <w:szCs w:val="24"/>
        </w:rPr>
        <w:tab/>
      </w:r>
      <w:r w:rsidRPr="005C3052">
        <w:rPr>
          <w:rFonts w:ascii="Times New Roman" w:eastAsia="Times New Roman" w:hAnsi="Times New Roman" w:cs="Times New Roman"/>
          <w:spacing w:val="-3"/>
          <w:sz w:val="24"/>
          <w:szCs w:val="24"/>
        </w:rPr>
        <w:tab/>
      </w:r>
      <w:r w:rsidRPr="005C3052">
        <w:rPr>
          <w:rFonts w:ascii="Times New Roman" w:eastAsia="Times New Roman" w:hAnsi="Times New Roman" w:cs="Times New Roman"/>
          <w:spacing w:val="-3"/>
          <w:sz w:val="24"/>
          <w:szCs w:val="24"/>
        </w:rPr>
        <w:tab/>
      </w:r>
      <w:r w:rsidRPr="005C3052">
        <w:rPr>
          <w:rFonts w:ascii="Times New Roman" w:eastAsia="Times New Roman" w:hAnsi="Times New Roman" w:cs="Times New Roman"/>
          <w:spacing w:val="-3"/>
          <w:sz w:val="24"/>
          <w:szCs w:val="24"/>
        </w:rPr>
        <w:tab/>
      </w:r>
      <w:r w:rsidRPr="005C3052">
        <w:rPr>
          <w:rFonts w:ascii="Times New Roman" w:eastAsia="Times New Roman" w:hAnsi="Times New Roman" w:cs="Times New Roman"/>
          <w:spacing w:val="-3"/>
          <w:sz w:val="24"/>
          <w:szCs w:val="24"/>
        </w:rPr>
        <w:tab/>
      </w:r>
      <w:r w:rsidRPr="005C3052">
        <w:rPr>
          <w:rFonts w:ascii="Times New Roman" w:eastAsia="Times New Roman" w:hAnsi="Times New Roman" w:cs="Times New Roman"/>
          <w:spacing w:val="-3"/>
          <w:sz w:val="24"/>
          <w:szCs w:val="24"/>
        </w:rPr>
        <w:tab/>
      </w:r>
      <w:r w:rsidRPr="005C3052">
        <w:rPr>
          <w:rFonts w:ascii="Times New Roman" w:eastAsia="Times New Roman" w:hAnsi="Times New Roman" w:cs="Times New Roman"/>
          <w:spacing w:val="-3"/>
          <w:sz w:val="24"/>
          <w:szCs w:val="24"/>
        </w:rPr>
        <w:tab/>
        <w:t>:</w:t>
      </w:r>
    </w:p>
    <w:p w:rsidR="00AC1748" w:rsidRPr="005C3052" w:rsidRDefault="00AC1748" w:rsidP="00AC1748">
      <w:pPr>
        <w:tabs>
          <w:tab w:val="left" w:pos="-720"/>
        </w:tabs>
        <w:suppressAutoHyphens/>
        <w:spacing w:after="0" w:line="240" w:lineRule="auto"/>
        <w:rPr>
          <w:rFonts w:ascii="Times New Roman" w:eastAsia="Times New Roman" w:hAnsi="Times New Roman" w:cs="Times New Roman"/>
          <w:spacing w:val="-3"/>
          <w:sz w:val="24"/>
          <w:szCs w:val="24"/>
        </w:rPr>
      </w:pPr>
      <w:r w:rsidRPr="005C3052">
        <w:rPr>
          <w:rFonts w:ascii="Times New Roman" w:eastAsia="Times New Roman" w:hAnsi="Times New Roman" w:cs="Times New Roman"/>
          <w:spacing w:val="-3"/>
          <w:sz w:val="24"/>
          <w:szCs w:val="24"/>
        </w:rPr>
        <w:tab/>
        <w:t>v.</w:t>
      </w:r>
      <w:r w:rsidRPr="005C3052">
        <w:rPr>
          <w:rFonts w:ascii="Times New Roman" w:eastAsia="Times New Roman" w:hAnsi="Times New Roman" w:cs="Times New Roman"/>
          <w:spacing w:val="-3"/>
          <w:sz w:val="24"/>
          <w:szCs w:val="24"/>
        </w:rPr>
        <w:tab/>
      </w:r>
      <w:r w:rsidRPr="005C3052">
        <w:rPr>
          <w:rFonts w:ascii="Times New Roman" w:eastAsia="Times New Roman" w:hAnsi="Times New Roman" w:cs="Times New Roman"/>
          <w:spacing w:val="-3"/>
          <w:sz w:val="24"/>
          <w:szCs w:val="24"/>
        </w:rPr>
        <w:tab/>
      </w:r>
      <w:r w:rsidRPr="005C3052">
        <w:rPr>
          <w:rFonts w:ascii="Times New Roman" w:eastAsia="Times New Roman" w:hAnsi="Times New Roman" w:cs="Times New Roman"/>
          <w:spacing w:val="-3"/>
          <w:sz w:val="24"/>
          <w:szCs w:val="24"/>
        </w:rPr>
        <w:tab/>
      </w:r>
      <w:r w:rsidRPr="005C3052">
        <w:rPr>
          <w:rFonts w:ascii="Times New Roman" w:eastAsia="Times New Roman" w:hAnsi="Times New Roman" w:cs="Times New Roman"/>
          <w:spacing w:val="-3"/>
          <w:sz w:val="24"/>
          <w:szCs w:val="24"/>
        </w:rPr>
        <w:tab/>
      </w:r>
      <w:r w:rsidRPr="005C3052">
        <w:rPr>
          <w:rFonts w:ascii="Times New Roman" w:eastAsia="Times New Roman" w:hAnsi="Times New Roman" w:cs="Times New Roman"/>
          <w:spacing w:val="-3"/>
          <w:sz w:val="24"/>
          <w:szCs w:val="24"/>
        </w:rPr>
        <w:tab/>
      </w:r>
      <w:r w:rsidRPr="005C3052">
        <w:rPr>
          <w:rFonts w:ascii="Times New Roman" w:eastAsia="Times New Roman" w:hAnsi="Times New Roman" w:cs="Times New Roman"/>
          <w:spacing w:val="-3"/>
          <w:sz w:val="24"/>
          <w:szCs w:val="24"/>
        </w:rPr>
        <w:tab/>
        <w:t>:</w:t>
      </w:r>
      <w:r w:rsidRPr="005C3052">
        <w:rPr>
          <w:rFonts w:ascii="Times New Roman" w:eastAsia="Times New Roman" w:hAnsi="Times New Roman" w:cs="Times New Roman"/>
          <w:spacing w:val="-3"/>
          <w:sz w:val="24"/>
          <w:szCs w:val="24"/>
        </w:rPr>
        <w:tab/>
      </w:r>
      <w:r w:rsidRPr="005C3052">
        <w:rPr>
          <w:rFonts w:ascii="Times New Roman" w:eastAsia="Times New Roman" w:hAnsi="Times New Roman" w:cs="Times New Roman"/>
          <w:spacing w:val="-3"/>
          <w:sz w:val="24"/>
          <w:szCs w:val="24"/>
        </w:rPr>
        <w:tab/>
      </w:r>
    </w:p>
    <w:p w:rsidR="00AC1748" w:rsidRPr="005C3052" w:rsidRDefault="00AC1748" w:rsidP="00AC1748">
      <w:pPr>
        <w:tabs>
          <w:tab w:val="left" w:pos="-720"/>
        </w:tabs>
        <w:suppressAutoHyphens/>
        <w:spacing w:after="0" w:line="240" w:lineRule="auto"/>
        <w:rPr>
          <w:rFonts w:ascii="Times New Roman" w:eastAsia="Times New Roman" w:hAnsi="Times New Roman" w:cs="Times New Roman"/>
          <w:spacing w:val="-3"/>
          <w:sz w:val="24"/>
          <w:szCs w:val="24"/>
        </w:rPr>
      </w:pPr>
      <w:r w:rsidRPr="005C3052">
        <w:rPr>
          <w:rFonts w:ascii="Times New Roman" w:eastAsia="Times New Roman" w:hAnsi="Times New Roman" w:cs="Times New Roman"/>
          <w:spacing w:val="-3"/>
          <w:sz w:val="24"/>
          <w:szCs w:val="24"/>
        </w:rPr>
        <w:tab/>
      </w:r>
      <w:r w:rsidRPr="005C3052">
        <w:rPr>
          <w:rFonts w:ascii="Times New Roman" w:eastAsia="Times New Roman" w:hAnsi="Times New Roman" w:cs="Times New Roman"/>
          <w:spacing w:val="-3"/>
          <w:sz w:val="24"/>
          <w:szCs w:val="24"/>
        </w:rPr>
        <w:tab/>
      </w:r>
      <w:r w:rsidRPr="005C3052">
        <w:rPr>
          <w:rFonts w:ascii="Times New Roman" w:eastAsia="Times New Roman" w:hAnsi="Times New Roman" w:cs="Times New Roman"/>
          <w:spacing w:val="-3"/>
          <w:sz w:val="24"/>
          <w:szCs w:val="24"/>
        </w:rPr>
        <w:tab/>
      </w:r>
      <w:r w:rsidRPr="005C3052">
        <w:rPr>
          <w:rFonts w:ascii="Times New Roman" w:eastAsia="Times New Roman" w:hAnsi="Times New Roman" w:cs="Times New Roman"/>
          <w:spacing w:val="-3"/>
          <w:sz w:val="24"/>
          <w:szCs w:val="24"/>
        </w:rPr>
        <w:tab/>
      </w:r>
      <w:r w:rsidRPr="005C3052">
        <w:rPr>
          <w:rFonts w:ascii="Times New Roman" w:eastAsia="Times New Roman" w:hAnsi="Times New Roman" w:cs="Times New Roman"/>
          <w:spacing w:val="-3"/>
          <w:sz w:val="24"/>
          <w:szCs w:val="24"/>
        </w:rPr>
        <w:tab/>
      </w:r>
      <w:r w:rsidRPr="005C3052">
        <w:rPr>
          <w:rFonts w:ascii="Times New Roman" w:eastAsia="Times New Roman" w:hAnsi="Times New Roman" w:cs="Times New Roman"/>
          <w:spacing w:val="-3"/>
          <w:sz w:val="24"/>
          <w:szCs w:val="24"/>
        </w:rPr>
        <w:tab/>
      </w:r>
      <w:r w:rsidRPr="005C3052">
        <w:rPr>
          <w:rFonts w:ascii="Times New Roman" w:eastAsia="Times New Roman" w:hAnsi="Times New Roman" w:cs="Times New Roman"/>
          <w:spacing w:val="-3"/>
          <w:sz w:val="24"/>
          <w:szCs w:val="24"/>
        </w:rPr>
        <w:tab/>
        <w:t>:</w:t>
      </w:r>
      <w:r w:rsidRPr="005C3052">
        <w:rPr>
          <w:rFonts w:ascii="Times New Roman" w:eastAsia="Times New Roman" w:hAnsi="Times New Roman" w:cs="Times New Roman"/>
          <w:spacing w:val="-3"/>
          <w:sz w:val="24"/>
          <w:szCs w:val="24"/>
        </w:rPr>
        <w:tab/>
      </w:r>
      <w:r w:rsidRPr="005C3052">
        <w:rPr>
          <w:rFonts w:ascii="Times New Roman" w:eastAsia="Times New Roman" w:hAnsi="Times New Roman" w:cs="Times New Roman"/>
          <w:spacing w:val="-3"/>
          <w:sz w:val="24"/>
          <w:szCs w:val="24"/>
        </w:rPr>
        <w:tab/>
      </w:r>
    </w:p>
    <w:p w:rsidR="00AC1748" w:rsidRPr="005C3052" w:rsidRDefault="00AC1748" w:rsidP="00AC1748">
      <w:pPr>
        <w:tabs>
          <w:tab w:val="left" w:pos="-720"/>
        </w:tabs>
        <w:suppressAutoHyphens/>
        <w:spacing w:after="0" w:line="240" w:lineRule="auto"/>
        <w:rPr>
          <w:rFonts w:ascii="Times New Roman" w:eastAsia="Times New Roman" w:hAnsi="Times New Roman" w:cs="Times New Roman"/>
          <w:spacing w:val="-3"/>
          <w:sz w:val="24"/>
          <w:szCs w:val="24"/>
        </w:rPr>
      </w:pPr>
      <w:r w:rsidRPr="005C3052">
        <w:rPr>
          <w:rFonts w:ascii="Times New Roman" w:eastAsia="Times New Roman" w:hAnsi="Times New Roman" w:cs="Times New Roman"/>
          <w:spacing w:val="-3"/>
          <w:sz w:val="24"/>
          <w:szCs w:val="24"/>
        </w:rPr>
        <w:t xml:space="preserve">Peoples TWP LLC  </w:t>
      </w:r>
      <w:r w:rsidRPr="005C3052">
        <w:rPr>
          <w:rFonts w:ascii="Times New Roman" w:eastAsia="Times New Roman" w:hAnsi="Times New Roman" w:cs="Times New Roman"/>
          <w:spacing w:val="-3"/>
          <w:sz w:val="24"/>
          <w:szCs w:val="24"/>
        </w:rPr>
        <w:tab/>
      </w:r>
      <w:r w:rsidRPr="005C3052">
        <w:rPr>
          <w:rFonts w:ascii="Times New Roman" w:eastAsia="Times New Roman" w:hAnsi="Times New Roman" w:cs="Times New Roman"/>
          <w:spacing w:val="-3"/>
          <w:sz w:val="24"/>
          <w:szCs w:val="24"/>
        </w:rPr>
        <w:tab/>
      </w:r>
      <w:r w:rsidRPr="005C3052">
        <w:rPr>
          <w:rFonts w:ascii="Times New Roman" w:eastAsia="Times New Roman" w:hAnsi="Times New Roman" w:cs="Times New Roman"/>
          <w:spacing w:val="-3"/>
          <w:sz w:val="24"/>
          <w:szCs w:val="24"/>
        </w:rPr>
        <w:tab/>
      </w:r>
      <w:r w:rsidRPr="005C3052">
        <w:rPr>
          <w:rFonts w:ascii="Times New Roman" w:eastAsia="Times New Roman" w:hAnsi="Times New Roman" w:cs="Times New Roman"/>
          <w:spacing w:val="-3"/>
          <w:sz w:val="24"/>
          <w:szCs w:val="24"/>
        </w:rPr>
        <w:tab/>
      </w:r>
      <w:r w:rsidRPr="005C3052">
        <w:rPr>
          <w:rFonts w:ascii="Times New Roman" w:eastAsia="Times New Roman" w:hAnsi="Times New Roman" w:cs="Times New Roman"/>
          <w:spacing w:val="-3"/>
          <w:sz w:val="24"/>
          <w:szCs w:val="24"/>
        </w:rPr>
        <w:tab/>
        <w:t>:</w:t>
      </w:r>
    </w:p>
    <w:p w:rsidR="00AC1748" w:rsidRPr="005C3052" w:rsidRDefault="00AC1748" w:rsidP="00AC1748">
      <w:pPr>
        <w:tabs>
          <w:tab w:val="left" w:pos="-720"/>
        </w:tabs>
        <w:suppressAutoHyphens/>
        <w:spacing w:after="0" w:line="240" w:lineRule="auto"/>
        <w:rPr>
          <w:rFonts w:ascii="Times New Roman" w:eastAsia="Times New Roman" w:hAnsi="Times New Roman" w:cs="Times New Roman"/>
          <w:spacing w:val="-3"/>
          <w:sz w:val="20"/>
          <w:szCs w:val="20"/>
        </w:rPr>
      </w:pPr>
    </w:p>
    <w:p w:rsidR="00AC1748" w:rsidRPr="005C3052" w:rsidRDefault="00AC1748" w:rsidP="00AC1748">
      <w:pPr>
        <w:tabs>
          <w:tab w:val="left" w:pos="-720"/>
        </w:tabs>
        <w:suppressAutoHyphens/>
        <w:spacing w:after="0" w:line="240" w:lineRule="auto"/>
        <w:rPr>
          <w:rFonts w:ascii="Times New Roman" w:eastAsia="Times New Roman" w:hAnsi="Times New Roman" w:cs="Times New Roman"/>
          <w:spacing w:val="-3"/>
          <w:sz w:val="24"/>
          <w:szCs w:val="24"/>
        </w:rPr>
      </w:pPr>
      <w:r w:rsidRPr="005C3052">
        <w:rPr>
          <w:rFonts w:ascii="Times New Roman" w:eastAsia="Times New Roman" w:hAnsi="Times New Roman" w:cs="Times New Roman"/>
          <w:spacing w:val="-3"/>
          <w:sz w:val="24"/>
          <w:szCs w:val="24"/>
        </w:rPr>
        <w:tab/>
      </w:r>
      <w:r w:rsidRPr="005C3052">
        <w:rPr>
          <w:rFonts w:ascii="Times New Roman" w:eastAsia="Times New Roman" w:hAnsi="Times New Roman" w:cs="Times New Roman"/>
          <w:spacing w:val="-3"/>
          <w:sz w:val="24"/>
          <w:szCs w:val="24"/>
        </w:rPr>
        <w:tab/>
      </w:r>
    </w:p>
    <w:p w:rsidR="00AC1748" w:rsidRPr="005C3052" w:rsidRDefault="00AC1748" w:rsidP="00AC1748">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AC1748" w:rsidRPr="005C3052" w:rsidRDefault="00AC1748" w:rsidP="00AC1748">
      <w:pPr>
        <w:spacing w:after="0" w:line="240" w:lineRule="auto"/>
        <w:jc w:val="center"/>
        <w:rPr>
          <w:rFonts w:ascii="Times New Roman" w:eastAsia="Times New Roman" w:hAnsi="Times New Roman" w:cs="Times New Roman"/>
          <w:sz w:val="24"/>
          <w:szCs w:val="24"/>
          <w:u w:val="single"/>
        </w:rPr>
      </w:pPr>
      <w:r w:rsidRPr="005C3052">
        <w:rPr>
          <w:rFonts w:ascii="Times New Roman" w:eastAsia="Times New Roman" w:hAnsi="Times New Roman" w:cs="Times New Roman"/>
          <w:b/>
          <w:sz w:val="24"/>
          <w:szCs w:val="24"/>
          <w:u w:val="single"/>
        </w:rPr>
        <w:t>RECOMMENDED DECISION</w:t>
      </w:r>
    </w:p>
    <w:p w:rsidR="00AC1748" w:rsidRPr="005C3052" w:rsidRDefault="00AC1748" w:rsidP="00AC1748">
      <w:pPr>
        <w:spacing w:after="0" w:line="240" w:lineRule="auto"/>
        <w:rPr>
          <w:rFonts w:ascii="Times New Roman" w:eastAsia="Times New Roman" w:hAnsi="Times New Roman" w:cs="Times New Roman"/>
          <w:sz w:val="24"/>
          <w:szCs w:val="24"/>
        </w:rPr>
      </w:pPr>
    </w:p>
    <w:p w:rsidR="00AC1748" w:rsidRPr="005C3052" w:rsidRDefault="00AC1748" w:rsidP="00AC1748">
      <w:pPr>
        <w:spacing w:after="0" w:line="240" w:lineRule="auto"/>
        <w:rPr>
          <w:rFonts w:ascii="Times New Roman" w:eastAsia="Times New Roman" w:hAnsi="Times New Roman" w:cs="Times New Roman"/>
          <w:sz w:val="24"/>
          <w:szCs w:val="24"/>
        </w:rPr>
      </w:pPr>
    </w:p>
    <w:p w:rsidR="00AC1748" w:rsidRPr="005C3052" w:rsidRDefault="00AC1748" w:rsidP="00AC1748">
      <w:pPr>
        <w:spacing w:after="0" w:line="240" w:lineRule="auto"/>
        <w:jc w:val="center"/>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Before</w:t>
      </w:r>
    </w:p>
    <w:p w:rsidR="00AC1748" w:rsidRPr="005C3052" w:rsidRDefault="00AC1748" w:rsidP="00AC1748">
      <w:pPr>
        <w:spacing w:after="0" w:line="240" w:lineRule="auto"/>
        <w:jc w:val="center"/>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Jeffrey A. Watson</w:t>
      </w:r>
    </w:p>
    <w:p w:rsidR="00AC1748" w:rsidRPr="005C3052" w:rsidRDefault="00AC1748" w:rsidP="00AC1748">
      <w:pPr>
        <w:spacing w:after="0" w:line="240" w:lineRule="auto"/>
        <w:jc w:val="center"/>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Administrative Law Judge</w:t>
      </w:r>
    </w:p>
    <w:p w:rsidR="00AC1748" w:rsidRPr="005C3052" w:rsidRDefault="00AC1748" w:rsidP="00AC1748">
      <w:pPr>
        <w:spacing w:after="0" w:line="240" w:lineRule="auto"/>
        <w:rPr>
          <w:rFonts w:ascii="Times New Roman" w:eastAsia="Times New Roman" w:hAnsi="Times New Roman" w:cs="Times New Roman"/>
          <w:sz w:val="24"/>
          <w:szCs w:val="24"/>
        </w:rPr>
      </w:pPr>
    </w:p>
    <w:p w:rsidR="00AC1748" w:rsidRPr="005C3052" w:rsidRDefault="00AC1748" w:rsidP="00AC1748">
      <w:pPr>
        <w:spacing w:after="0" w:line="240" w:lineRule="auto"/>
        <w:jc w:val="center"/>
        <w:rPr>
          <w:rFonts w:ascii="Times New Roman" w:eastAsia="Times New Roman" w:hAnsi="Times New Roman" w:cs="Times New Roman"/>
          <w:sz w:val="24"/>
          <w:szCs w:val="24"/>
        </w:rPr>
      </w:pPr>
    </w:p>
    <w:p w:rsidR="00AC1748" w:rsidRPr="005C3052" w:rsidRDefault="00AC1748" w:rsidP="00AC1748">
      <w:pPr>
        <w:spacing w:after="0" w:line="240" w:lineRule="auto"/>
        <w:jc w:val="center"/>
        <w:rPr>
          <w:rFonts w:ascii="Times New Roman" w:eastAsia="Times New Roman" w:hAnsi="Times New Roman" w:cs="Times New Roman"/>
          <w:sz w:val="24"/>
          <w:szCs w:val="24"/>
        </w:rPr>
        <w:sectPr w:rsidR="00AC1748" w:rsidRPr="005C3052" w:rsidSect="00A84853">
          <w:footerReference w:type="even" r:id="rId9"/>
          <w:footerReference w:type="default" r:id="rId10"/>
          <w:pgSz w:w="12240" w:h="15840"/>
          <w:pgMar w:top="1440" w:right="1440" w:bottom="1440" w:left="1440" w:header="720" w:footer="720" w:gutter="0"/>
          <w:pgNumType w:start="1"/>
          <w:cols w:space="720"/>
          <w:titlePg/>
          <w:docGrid w:linePitch="360"/>
        </w:sectPr>
      </w:pPr>
    </w:p>
    <w:p w:rsidR="00AC1748" w:rsidRDefault="00AC1748" w:rsidP="00AC1748">
      <w:pPr>
        <w:tabs>
          <w:tab w:val="left" w:pos="720"/>
          <w:tab w:val="left" w:pos="1440"/>
          <w:tab w:val="left" w:pos="2160"/>
          <w:tab w:val="center" w:pos="4680"/>
        </w:tabs>
        <w:spacing w:after="0" w:line="240" w:lineRule="auto"/>
        <w:jc w:val="center"/>
        <w:rPr>
          <w:rFonts w:ascii="Times New Roman" w:eastAsia="Times New Roman" w:hAnsi="Times New Roman" w:cs="Times New Roman"/>
          <w:b/>
          <w:sz w:val="24"/>
          <w:szCs w:val="24"/>
          <w:u w:val="single"/>
        </w:rPr>
      </w:pPr>
      <w:r w:rsidRPr="005C3052">
        <w:rPr>
          <w:rFonts w:ascii="Times New Roman" w:eastAsia="Times New Roman" w:hAnsi="Times New Roman" w:cs="Times New Roman"/>
          <w:b/>
          <w:sz w:val="24"/>
          <w:szCs w:val="24"/>
          <w:u w:val="single"/>
        </w:rPr>
        <w:lastRenderedPageBreak/>
        <w:t>TABLE OF CONTENTS</w:t>
      </w:r>
    </w:p>
    <w:p w:rsidR="00AC1748" w:rsidRDefault="00AC1748" w:rsidP="00AC1748">
      <w:pPr>
        <w:tabs>
          <w:tab w:val="left" w:pos="720"/>
          <w:tab w:val="left" w:pos="1440"/>
          <w:tab w:val="left" w:pos="2160"/>
          <w:tab w:val="center" w:pos="4680"/>
        </w:tabs>
        <w:spacing w:after="0" w:line="240" w:lineRule="auto"/>
        <w:jc w:val="center"/>
        <w:rPr>
          <w:rFonts w:ascii="Times New Roman" w:eastAsia="Times New Roman" w:hAnsi="Times New Roman" w:cs="Times New Roman"/>
          <w:b/>
          <w:sz w:val="24"/>
          <w:szCs w:val="24"/>
          <w:u w:val="single"/>
        </w:rPr>
      </w:pPr>
    </w:p>
    <w:p w:rsidR="00AC1748" w:rsidRPr="00001E51" w:rsidRDefault="00AC1748" w:rsidP="00AC1748">
      <w:pPr>
        <w:tabs>
          <w:tab w:val="left" w:pos="720"/>
          <w:tab w:val="left" w:pos="1440"/>
          <w:tab w:val="left" w:pos="2160"/>
          <w:tab w:val="center" w:pos="4680"/>
        </w:tabs>
        <w:spacing w:after="0" w:line="240" w:lineRule="auto"/>
        <w:rPr>
          <w:rFonts w:ascii="Times New Roman" w:eastAsia="Times New Roman" w:hAnsi="Times New Roman" w:cs="Times New Roman"/>
          <w:b/>
          <w:sz w:val="24"/>
          <w:szCs w:val="24"/>
          <w:u w:val="single"/>
        </w:rPr>
      </w:pPr>
    </w:p>
    <w:p w:rsidR="00AC1748" w:rsidRPr="00001E51" w:rsidRDefault="00AC1748" w:rsidP="00AC1748">
      <w:pPr>
        <w:tabs>
          <w:tab w:val="left" w:pos="720"/>
          <w:tab w:val="left" w:pos="1440"/>
          <w:tab w:val="left" w:pos="2160"/>
          <w:tab w:val="right" w:leader="dot" w:pos="9360"/>
        </w:tabs>
        <w:spacing w:line="360" w:lineRule="auto"/>
        <w:rPr>
          <w:rFonts w:ascii="Times New Roman" w:hAnsi="Times New Roman" w:cs="Times New Roman"/>
          <w:sz w:val="24"/>
          <w:szCs w:val="24"/>
        </w:rPr>
      </w:pPr>
      <w:r w:rsidRPr="00001E51">
        <w:rPr>
          <w:rFonts w:ascii="Times New Roman" w:hAnsi="Times New Roman" w:cs="Times New Roman"/>
          <w:sz w:val="24"/>
          <w:szCs w:val="24"/>
        </w:rPr>
        <w:t>I.</w:t>
      </w:r>
      <w:r w:rsidRPr="00001E51">
        <w:rPr>
          <w:rFonts w:ascii="Times New Roman" w:hAnsi="Times New Roman" w:cs="Times New Roman"/>
          <w:sz w:val="24"/>
          <w:szCs w:val="24"/>
        </w:rPr>
        <w:tab/>
      </w:r>
      <w:r>
        <w:rPr>
          <w:rFonts w:ascii="Times New Roman" w:hAnsi="Times New Roman" w:cs="Times New Roman"/>
          <w:caps/>
          <w:sz w:val="24"/>
          <w:szCs w:val="24"/>
        </w:rPr>
        <w:t>HISTORY OF THE PROCEEDING</w:t>
      </w:r>
      <w:r w:rsidRPr="00001E51">
        <w:rPr>
          <w:rFonts w:ascii="Times New Roman" w:hAnsi="Times New Roman" w:cs="Times New Roman"/>
          <w:sz w:val="24"/>
          <w:szCs w:val="24"/>
        </w:rPr>
        <w:tab/>
        <w:t>1</w:t>
      </w:r>
    </w:p>
    <w:p w:rsidR="00AC1748" w:rsidRPr="00001E51" w:rsidRDefault="00AC1748" w:rsidP="00AC1748">
      <w:pPr>
        <w:tabs>
          <w:tab w:val="left" w:pos="720"/>
          <w:tab w:val="left" w:pos="1440"/>
          <w:tab w:val="left" w:pos="2160"/>
          <w:tab w:val="right" w:leader="dot" w:pos="9360"/>
        </w:tabs>
        <w:spacing w:line="360" w:lineRule="auto"/>
        <w:rPr>
          <w:rFonts w:ascii="Times New Roman" w:hAnsi="Times New Roman" w:cs="Times New Roman"/>
          <w:sz w:val="24"/>
          <w:szCs w:val="24"/>
        </w:rPr>
      </w:pPr>
      <w:r w:rsidRPr="00001E51">
        <w:rPr>
          <w:rFonts w:ascii="Times New Roman" w:hAnsi="Times New Roman" w:cs="Times New Roman"/>
          <w:sz w:val="24"/>
          <w:szCs w:val="24"/>
        </w:rPr>
        <w:tab/>
        <w:t>A.</w:t>
      </w:r>
      <w:r w:rsidRPr="00001E51">
        <w:rPr>
          <w:rFonts w:ascii="Times New Roman" w:hAnsi="Times New Roman" w:cs="Times New Roman"/>
          <w:sz w:val="24"/>
          <w:szCs w:val="24"/>
        </w:rPr>
        <w:tab/>
      </w:r>
      <w:r>
        <w:rPr>
          <w:rFonts w:ascii="Times New Roman" w:hAnsi="Times New Roman" w:cs="Times New Roman"/>
          <w:sz w:val="24"/>
          <w:szCs w:val="24"/>
        </w:rPr>
        <w:t>The Filings and Procedural History</w:t>
      </w:r>
      <w:r w:rsidRPr="00001E51">
        <w:rPr>
          <w:rFonts w:ascii="Times New Roman" w:hAnsi="Times New Roman" w:cs="Times New Roman"/>
          <w:sz w:val="24"/>
          <w:szCs w:val="24"/>
        </w:rPr>
        <w:tab/>
        <w:t>1</w:t>
      </w:r>
    </w:p>
    <w:p w:rsidR="00AC1748" w:rsidRPr="00001E51" w:rsidRDefault="00AC1748" w:rsidP="00AC1748">
      <w:pPr>
        <w:tabs>
          <w:tab w:val="left" w:pos="720"/>
          <w:tab w:val="left" w:pos="1440"/>
          <w:tab w:val="right" w:leader="dot" w:pos="9360"/>
        </w:tabs>
        <w:spacing w:line="360" w:lineRule="auto"/>
        <w:rPr>
          <w:rFonts w:ascii="Times New Roman" w:hAnsi="Times New Roman" w:cs="Times New Roman"/>
          <w:sz w:val="24"/>
          <w:szCs w:val="24"/>
        </w:rPr>
      </w:pPr>
      <w:r w:rsidRPr="00001E51">
        <w:rPr>
          <w:rFonts w:ascii="Times New Roman" w:hAnsi="Times New Roman" w:cs="Times New Roman"/>
          <w:sz w:val="24"/>
          <w:szCs w:val="24"/>
        </w:rPr>
        <w:tab/>
        <w:t>B.</w:t>
      </w:r>
      <w:r w:rsidRPr="00001E51">
        <w:rPr>
          <w:rFonts w:ascii="Times New Roman" w:hAnsi="Times New Roman" w:cs="Times New Roman"/>
          <w:sz w:val="24"/>
          <w:szCs w:val="24"/>
        </w:rPr>
        <w:tab/>
      </w:r>
      <w:r>
        <w:rPr>
          <w:rFonts w:ascii="Times New Roman" w:hAnsi="Times New Roman" w:cs="Times New Roman"/>
          <w:sz w:val="24"/>
          <w:szCs w:val="24"/>
        </w:rPr>
        <w:t>Prehearing Conference</w:t>
      </w:r>
      <w:r w:rsidR="00355E70">
        <w:rPr>
          <w:rFonts w:ascii="Times New Roman" w:hAnsi="Times New Roman" w:cs="Times New Roman"/>
          <w:sz w:val="24"/>
          <w:szCs w:val="24"/>
        </w:rPr>
        <w:t xml:space="preserve"> and Evidentiary Hearing</w:t>
      </w:r>
      <w:r w:rsidRPr="00001E51">
        <w:rPr>
          <w:rFonts w:ascii="Times New Roman" w:hAnsi="Times New Roman" w:cs="Times New Roman"/>
          <w:sz w:val="24"/>
          <w:szCs w:val="24"/>
        </w:rPr>
        <w:tab/>
      </w:r>
      <w:r>
        <w:rPr>
          <w:rFonts w:ascii="Times New Roman" w:hAnsi="Times New Roman" w:cs="Times New Roman"/>
          <w:sz w:val="24"/>
          <w:szCs w:val="24"/>
        </w:rPr>
        <w:t>3</w:t>
      </w:r>
    </w:p>
    <w:p w:rsidR="00AC1748" w:rsidRDefault="00AC1748" w:rsidP="00AC1748">
      <w:pPr>
        <w:tabs>
          <w:tab w:val="left" w:pos="720"/>
          <w:tab w:val="left" w:pos="1440"/>
          <w:tab w:val="left" w:pos="2160"/>
          <w:tab w:val="right" w:leader="dot" w:pos="9360"/>
        </w:tabs>
        <w:spacing w:line="360" w:lineRule="auto"/>
        <w:rPr>
          <w:rFonts w:ascii="Times New Roman" w:hAnsi="Times New Roman" w:cs="Times New Roman"/>
          <w:sz w:val="24"/>
          <w:szCs w:val="24"/>
        </w:rPr>
      </w:pPr>
      <w:r w:rsidRPr="00001E51">
        <w:rPr>
          <w:rFonts w:ascii="Times New Roman" w:hAnsi="Times New Roman" w:cs="Times New Roman"/>
          <w:sz w:val="24"/>
          <w:szCs w:val="24"/>
        </w:rPr>
        <w:tab/>
      </w:r>
      <w:r w:rsidR="00355E70">
        <w:rPr>
          <w:rFonts w:ascii="Times New Roman" w:hAnsi="Times New Roman" w:cs="Times New Roman"/>
          <w:sz w:val="24"/>
          <w:szCs w:val="24"/>
        </w:rPr>
        <w:t>C</w:t>
      </w:r>
      <w:r w:rsidRPr="00001E51">
        <w:rPr>
          <w:rFonts w:ascii="Times New Roman" w:hAnsi="Times New Roman" w:cs="Times New Roman"/>
          <w:sz w:val="24"/>
          <w:szCs w:val="24"/>
        </w:rPr>
        <w:t>.</w:t>
      </w:r>
      <w:r w:rsidRPr="00001E51">
        <w:rPr>
          <w:rFonts w:ascii="Times New Roman" w:hAnsi="Times New Roman" w:cs="Times New Roman"/>
          <w:sz w:val="24"/>
          <w:szCs w:val="24"/>
        </w:rPr>
        <w:tab/>
      </w:r>
      <w:r>
        <w:rPr>
          <w:rFonts w:ascii="Times New Roman" w:hAnsi="Times New Roman" w:cs="Times New Roman"/>
          <w:sz w:val="24"/>
          <w:szCs w:val="24"/>
        </w:rPr>
        <w:t>Settlement Petition Filing and the Record</w:t>
      </w:r>
      <w:r w:rsidRPr="00001E51">
        <w:rPr>
          <w:rFonts w:ascii="Times New Roman" w:hAnsi="Times New Roman" w:cs="Times New Roman"/>
          <w:sz w:val="24"/>
          <w:szCs w:val="24"/>
        </w:rPr>
        <w:tab/>
      </w:r>
      <w:r>
        <w:rPr>
          <w:rFonts w:ascii="Times New Roman" w:hAnsi="Times New Roman" w:cs="Times New Roman"/>
          <w:sz w:val="24"/>
          <w:szCs w:val="24"/>
        </w:rPr>
        <w:t>4</w:t>
      </w:r>
    </w:p>
    <w:p w:rsidR="00CB43B1" w:rsidRPr="00001E51" w:rsidRDefault="00CB43B1" w:rsidP="00CB43B1">
      <w:pPr>
        <w:tabs>
          <w:tab w:val="left" w:pos="720"/>
          <w:tab w:val="left" w:pos="1440"/>
          <w:tab w:val="right" w:leader="dot" w:pos="9360"/>
        </w:tabs>
        <w:spacing w:line="360" w:lineRule="auto"/>
        <w:rPr>
          <w:rFonts w:ascii="Times New Roman" w:hAnsi="Times New Roman" w:cs="Times New Roman"/>
          <w:sz w:val="24"/>
          <w:szCs w:val="24"/>
        </w:rPr>
      </w:pPr>
      <w:r>
        <w:rPr>
          <w:rFonts w:ascii="Times New Roman" w:hAnsi="Times New Roman" w:cs="Times New Roman"/>
          <w:sz w:val="24"/>
          <w:szCs w:val="24"/>
        </w:rPr>
        <w:t>II.</w:t>
      </w:r>
      <w:r w:rsidRPr="00001E51">
        <w:rPr>
          <w:rFonts w:ascii="Times New Roman" w:hAnsi="Times New Roman" w:cs="Times New Roman"/>
          <w:sz w:val="24"/>
          <w:szCs w:val="24"/>
        </w:rPr>
        <w:tab/>
      </w:r>
      <w:r>
        <w:rPr>
          <w:rFonts w:ascii="Times New Roman" w:hAnsi="Times New Roman" w:cs="Times New Roman"/>
          <w:sz w:val="24"/>
          <w:szCs w:val="24"/>
        </w:rPr>
        <w:t>FINDINGS OF FACT</w:t>
      </w:r>
      <w:r w:rsidRPr="00001E51">
        <w:rPr>
          <w:rFonts w:ascii="Times New Roman" w:hAnsi="Times New Roman" w:cs="Times New Roman"/>
          <w:sz w:val="24"/>
          <w:szCs w:val="24"/>
        </w:rPr>
        <w:tab/>
      </w:r>
      <w:r>
        <w:rPr>
          <w:rFonts w:ascii="Times New Roman" w:hAnsi="Times New Roman" w:cs="Times New Roman"/>
          <w:sz w:val="24"/>
          <w:szCs w:val="24"/>
        </w:rPr>
        <w:t>5</w:t>
      </w:r>
    </w:p>
    <w:p w:rsidR="00AC1748" w:rsidRPr="00001E51" w:rsidRDefault="00CB43B1" w:rsidP="00AC1748">
      <w:pPr>
        <w:tabs>
          <w:tab w:val="left" w:pos="720"/>
          <w:tab w:val="left" w:pos="1440"/>
          <w:tab w:val="right" w:leader="dot" w:pos="9360"/>
        </w:tabs>
        <w:spacing w:line="360" w:lineRule="auto"/>
        <w:rPr>
          <w:rFonts w:ascii="Times New Roman" w:hAnsi="Times New Roman" w:cs="Times New Roman"/>
          <w:sz w:val="24"/>
          <w:szCs w:val="24"/>
        </w:rPr>
      </w:pPr>
      <w:r>
        <w:rPr>
          <w:rFonts w:ascii="Times New Roman" w:hAnsi="Times New Roman" w:cs="Times New Roman"/>
          <w:sz w:val="24"/>
          <w:szCs w:val="24"/>
        </w:rPr>
        <w:t>I</w:t>
      </w:r>
      <w:r w:rsidR="00AC1748" w:rsidRPr="00001E51">
        <w:rPr>
          <w:rFonts w:ascii="Times New Roman" w:hAnsi="Times New Roman" w:cs="Times New Roman"/>
          <w:sz w:val="24"/>
          <w:szCs w:val="24"/>
        </w:rPr>
        <w:t>II.</w:t>
      </w:r>
      <w:r w:rsidR="00AC1748" w:rsidRPr="00001E51">
        <w:rPr>
          <w:rFonts w:ascii="Times New Roman" w:hAnsi="Times New Roman" w:cs="Times New Roman"/>
          <w:sz w:val="24"/>
          <w:szCs w:val="24"/>
        </w:rPr>
        <w:tab/>
      </w:r>
      <w:r w:rsidR="00AC1748">
        <w:rPr>
          <w:rFonts w:ascii="Times New Roman" w:hAnsi="Times New Roman" w:cs="Times New Roman"/>
          <w:sz w:val="24"/>
          <w:szCs w:val="24"/>
        </w:rPr>
        <w:t>TERMS OF THE SETTLEMENT</w:t>
      </w:r>
      <w:r w:rsidR="00AC1748" w:rsidRPr="00001E51">
        <w:rPr>
          <w:rFonts w:ascii="Times New Roman" w:hAnsi="Times New Roman" w:cs="Times New Roman"/>
          <w:sz w:val="24"/>
          <w:szCs w:val="24"/>
        </w:rPr>
        <w:tab/>
      </w:r>
      <w:r w:rsidR="00A004C6">
        <w:rPr>
          <w:rFonts w:ascii="Times New Roman" w:hAnsi="Times New Roman" w:cs="Times New Roman"/>
          <w:sz w:val="24"/>
          <w:szCs w:val="24"/>
        </w:rPr>
        <w:t>10</w:t>
      </w:r>
    </w:p>
    <w:p w:rsidR="00AC1748" w:rsidRPr="00001E51" w:rsidRDefault="00AC1748" w:rsidP="00AC1748">
      <w:pPr>
        <w:tabs>
          <w:tab w:val="left" w:pos="720"/>
          <w:tab w:val="left" w:pos="1440"/>
          <w:tab w:val="right" w:leader="dot" w:pos="9360"/>
        </w:tabs>
        <w:spacing w:line="360" w:lineRule="auto"/>
        <w:rPr>
          <w:rFonts w:ascii="Times New Roman" w:hAnsi="Times New Roman" w:cs="Times New Roman"/>
          <w:sz w:val="24"/>
          <w:szCs w:val="24"/>
        </w:rPr>
      </w:pPr>
      <w:r w:rsidRPr="00001E51">
        <w:rPr>
          <w:rFonts w:ascii="Times New Roman" w:hAnsi="Times New Roman" w:cs="Times New Roman"/>
          <w:sz w:val="24"/>
          <w:szCs w:val="24"/>
        </w:rPr>
        <w:tab/>
        <w:t>A.</w:t>
      </w:r>
      <w:r w:rsidRPr="00001E51">
        <w:rPr>
          <w:rFonts w:ascii="Times New Roman" w:hAnsi="Times New Roman" w:cs="Times New Roman"/>
          <w:sz w:val="24"/>
          <w:szCs w:val="24"/>
        </w:rPr>
        <w:tab/>
      </w:r>
      <w:r>
        <w:rPr>
          <w:rFonts w:ascii="Times New Roman" w:hAnsi="Times New Roman" w:cs="Times New Roman"/>
          <w:sz w:val="24"/>
          <w:szCs w:val="24"/>
        </w:rPr>
        <w:t>Retainage</w:t>
      </w:r>
      <w:r w:rsidRPr="00001E51">
        <w:rPr>
          <w:rFonts w:ascii="Times New Roman" w:hAnsi="Times New Roman" w:cs="Times New Roman"/>
          <w:sz w:val="24"/>
          <w:szCs w:val="24"/>
        </w:rPr>
        <w:tab/>
      </w:r>
      <w:r w:rsidR="00A004C6">
        <w:rPr>
          <w:rFonts w:ascii="Times New Roman" w:hAnsi="Times New Roman" w:cs="Times New Roman"/>
          <w:sz w:val="24"/>
          <w:szCs w:val="24"/>
        </w:rPr>
        <w:t>10</w:t>
      </w:r>
    </w:p>
    <w:p w:rsidR="00AC1748" w:rsidRPr="00001E51" w:rsidRDefault="00AC1748" w:rsidP="00AC1748">
      <w:pPr>
        <w:tabs>
          <w:tab w:val="left" w:pos="720"/>
          <w:tab w:val="left" w:pos="1440"/>
          <w:tab w:val="left" w:pos="2160"/>
          <w:tab w:val="right" w:leader="dot" w:pos="9360"/>
        </w:tabs>
        <w:spacing w:line="360" w:lineRule="auto"/>
        <w:rPr>
          <w:rFonts w:ascii="Times New Roman" w:hAnsi="Times New Roman" w:cs="Times New Roman"/>
          <w:sz w:val="24"/>
          <w:szCs w:val="24"/>
        </w:rPr>
      </w:pPr>
      <w:r w:rsidRPr="00001E51">
        <w:rPr>
          <w:rFonts w:ascii="Times New Roman" w:hAnsi="Times New Roman" w:cs="Times New Roman"/>
          <w:sz w:val="24"/>
          <w:szCs w:val="24"/>
        </w:rPr>
        <w:tab/>
        <w:t>B.</w:t>
      </w:r>
      <w:r w:rsidRPr="00001E51">
        <w:rPr>
          <w:rFonts w:ascii="Times New Roman" w:hAnsi="Times New Roman" w:cs="Times New Roman"/>
          <w:sz w:val="24"/>
          <w:szCs w:val="24"/>
        </w:rPr>
        <w:tab/>
      </w:r>
      <w:r>
        <w:rPr>
          <w:rFonts w:ascii="Times New Roman" w:hAnsi="Times New Roman" w:cs="Times New Roman"/>
          <w:sz w:val="24"/>
          <w:szCs w:val="24"/>
        </w:rPr>
        <w:t>Balancing and Demand Charges</w:t>
      </w:r>
      <w:r w:rsidRPr="00001E51">
        <w:rPr>
          <w:rFonts w:ascii="Times New Roman" w:hAnsi="Times New Roman" w:cs="Times New Roman"/>
          <w:sz w:val="24"/>
          <w:szCs w:val="24"/>
        </w:rPr>
        <w:tab/>
      </w:r>
      <w:r w:rsidR="00A004C6">
        <w:rPr>
          <w:rFonts w:ascii="Times New Roman" w:hAnsi="Times New Roman" w:cs="Times New Roman"/>
          <w:sz w:val="24"/>
          <w:szCs w:val="24"/>
        </w:rPr>
        <w:t>10</w:t>
      </w:r>
    </w:p>
    <w:p w:rsidR="00AC1748" w:rsidRDefault="00AC1748" w:rsidP="00AC1748">
      <w:pPr>
        <w:tabs>
          <w:tab w:val="left" w:pos="720"/>
          <w:tab w:val="left" w:pos="1440"/>
          <w:tab w:val="left" w:pos="2160"/>
          <w:tab w:val="right" w:leader="dot" w:pos="9360"/>
        </w:tabs>
        <w:spacing w:line="360" w:lineRule="auto"/>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Renewal and Addition of Capacity</w:t>
      </w:r>
      <w:r w:rsidRPr="00001E51">
        <w:rPr>
          <w:rFonts w:ascii="Times New Roman" w:hAnsi="Times New Roman" w:cs="Times New Roman"/>
          <w:sz w:val="24"/>
          <w:szCs w:val="24"/>
        </w:rPr>
        <w:tab/>
      </w:r>
      <w:r w:rsidR="00A004C6">
        <w:rPr>
          <w:rFonts w:ascii="Times New Roman" w:hAnsi="Times New Roman" w:cs="Times New Roman"/>
          <w:sz w:val="24"/>
          <w:szCs w:val="24"/>
        </w:rPr>
        <w:t>11</w:t>
      </w:r>
    </w:p>
    <w:p w:rsidR="00AC1748" w:rsidRDefault="00AC1748" w:rsidP="00AC1748">
      <w:pPr>
        <w:tabs>
          <w:tab w:val="left" w:pos="720"/>
          <w:tab w:val="left" w:pos="1440"/>
          <w:tab w:val="left" w:pos="2160"/>
          <w:tab w:val="right" w:leader="dot" w:pos="9360"/>
        </w:tabs>
        <w:spacing w:line="360" w:lineRule="auto"/>
        <w:rPr>
          <w:rFonts w:ascii="Times New Roman" w:hAnsi="Times New Roman" w:cs="Times New Roman"/>
          <w:sz w:val="24"/>
          <w:szCs w:val="24"/>
        </w:rPr>
      </w:pPr>
      <w:r>
        <w:rPr>
          <w:rFonts w:ascii="Times New Roman" w:hAnsi="Times New Roman" w:cs="Times New Roman"/>
          <w:sz w:val="24"/>
          <w:szCs w:val="24"/>
        </w:rPr>
        <w:tab/>
        <w:t>D</w:t>
      </w:r>
      <w:r w:rsidRPr="00001E51">
        <w:rPr>
          <w:rFonts w:ascii="Times New Roman" w:hAnsi="Times New Roman" w:cs="Times New Roman"/>
          <w:sz w:val="24"/>
          <w:szCs w:val="24"/>
        </w:rPr>
        <w:t>.</w:t>
      </w:r>
      <w:r w:rsidRPr="00001E51">
        <w:rPr>
          <w:rFonts w:ascii="Times New Roman" w:hAnsi="Times New Roman" w:cs="Times New Roman"/>
          <w:sz w:val="24"/>
          <w:szCs w:val="24"/>
        </w:rPr>
        <w:tab/>
      </w:r>
      <w:r>
        <w:rPr>
          <w:rFonts w:ascii="Times New Roman" w:hAnsi="Times New Roman" w:cs="Times New Roman"/>
          <w:sz w:val="24"/>
          <w:szCs w:val="24"/>
        </w:rPr>
        <w:t>Design Day</w:t>
      </w:r>
      <w:r w:rsidRPr="00001E51">
        <w:rPr>
          <w:rFonts w:ascii="Times New Roman" w:hAnsi="Times New Roman" w:cs="Times New Roman"/>
          <w:sz w:val="24"/>
          <w:szCs w:val="24"/>
        </w:rPr>
        <w:tab/>
      </w:r>
      <w:r w:rsidR="00A004C6">
        <w:rPr>
          <w:rFonts w:ascii="Times New Roman" w:hAnsi="Times New Roman" w:cs="Times New Roman"/>
          <w:sz w:val="24"/>
          <w:szCs w:val="24"/>
        </w:rPr>
        <w:t>12</w:t>
      </w:r>
    </w:p>
    <w:p w:rsidR="00AC1748" w:rsidRDefault="00AC1748" w:rsidP="00AC1748">
      <w:pPr>
        <w:tabs>
          <w:tab w:val="left" w:pos="720"/>
          <w:tab w:val="left" w:pos="1440"/>
          <w:tab w:val="left" w:pos="2160"/>
          <w:tab w:val="right" w:leader="dot" w:pos="9360"/>
        </w:tabs>
        <w:spacing w:line="360" w:lineRule="auto"/>
        <w:rPr>
          <w:rFonts w:ascii="Times New Roman" w:hAnsi="Times New Roman" w:cs="Times New Roman"/>
          <w:sz w:val="24"/>
          <w:szCs w:val="24"/>
        </w:rPr>
      </w:pPr>
      <w:r>
        <w:rPr>
          <w:rFonts w:ascii="Times New Roman" w:hAnsi="Times New Roman" w:cs="Times New Roman"/>
          <w:sz w:val="24"/>
          <w:szCs w:val="24"/>
        </w:rPr>
        <w:tab/>
        <w:t>E</w:t>
      </w:r>
      <w:r w:rsidRPr="00001E51">
        <w:rPr>
          <w:rFonts w:ascii="Times New Roman" w:hAnsi="Times New Roman" w:cs="Times New Roman"/>
          <w:sz w:val="24"/>
          <w:szCs w:val="24"/>
        </w:rPr>
        <w:t>.</w:t>
      </w:r>
      <w:r w:rsidRPr="00001E51">
        <w:rPr>
          <w:rFonts w:ascii="Times New Roman" w:hAnsi="Times New Roman" w:cs="Times New Roman"/>
          <w:sz w:val="24"/>
          <w:szCs w:val="24"/>
        </w:rPr>
        <w:tab/>
      </w:r>
      <w:r>
        <w:rPr>
          <w:rFonts w:ascii="Times New Roman" w:hAnsi="Times New Roman" w:cs="Times New Roman"/>
          <w:sz w:val="24"/>
          <w:szCs w:val="24"/>
        </w:rPr>
        <w:t>Exchange Meters</w:t>
      </w:r>
      <w:r w:rsidRPr="00001E51">
        <w:rPr>
          <w:rFonts w:ascii="Times New Roman" w:hAnsi="Times New Roman" w:cs="Times New Roman"/>
          <w:sz w:val="24"/>
          <w:szCs w:val="24"/>
        </w:rPr>
        <w:tab/>
      </w:r>
      <w:r w:rsidR="00A004C6">
        <w:rPr>
          <w:rFonts w:ascii="Times New Roman" w:hAnsi="Times New Roman" w:cs="Times New Roman"/>
          <w:sz w:val="24"/>
          <w:szCs w:val="24"/>
        </w:rPr>
        <w:t>12</w:t>
      </w:r>
    </w:p>
    <w:p w:rsidR="00AC1748" w:rsidRDefault="00AC1748" w:rsidP="00AC1748">
      <w:pPr>
        <w:tabs>
          <w:tab w:val="left" w:pos="720"/>
          <w:tab w:val="left" w:pos="1440"/>
          <w:tab w:val="left" w:pos="2160"/>
          <w:tab w:val="right" w:leader="dot" w:pos="9360"/>
        </w:tabs>
        <w:spacing w:line="360" w:lineRule="auto"/>
        <w:rPr>
          <w:rFonts w:ascii="Times New Roman" w:hAnsi="Times New Roman" w:cs="Times New Roman"/>
          <w:sz w:val="24"/>
          <w:szCs w:val="24"/>
        </w:rPr>
      </w:pPr>
      <w:r>
        <w:rPr>
          <w:rFonts w:ascii="Times New Roman" w:hAnsi="Times New Roman" w:cs="Times New Roman"/>
          <w:sz w:val="24"/>
          <w:szCs w:val="24"/>
        </w:rPr>
        <w:tab/>
        <w:t>F</w:t>
      </w:r>
      <w:r w:rsidRPr="00001E51">
        <w:rPr>
          <w:rFonts w:ascii="Times New Roman" w:hAnsi="Times New Roman" w:cs="Times New Roman"/>
          <w:sz w:val="24"/>
          <w:szCs w:val="24"/>
        </w:rPr>
        <w:t>.</w:t>
      </w:r>
      <w:r w:rsidRPr="00001E51">
        <w:rPr>
          <w:rFonts w:ascii="Times New Roman" w:hAnsi="Times New Roman" w:cs="Times New Roman"/>
          <w:sz w:val="24"/>
          <w:szCs w:val="24"/>
        </w:rPr>
        <w:tab/>
      </w:r>
      <w:r>
        <w:rPr>
          <w:rFonts w:ascii="Times New Roman" w:hAnsi="Times New Roman" w:cs="Times New Roman"/>
          <w:sz w:val="24"/>
          <w:szCs w:val="24"/>
        </w:rPr>
        <w:t>General</w:t>
      </w:r>
      <w:r w:rsidRPr="00001E51">
        <w:rPr>
          <w:rFonts w:ascii="Times New Roman" w:hAnsi="Times New Roman" w:cs="Times New Roman"/>
          <w:sz w:val="24"/>
          <w:szCs w:val="24"/>
        </w:rPr>
        <w:tab/>
      </w:r>
      <w:r w:rsidR="00A004C6">
        <w:rPr>
          <w:rFonts w:ascii="Times New Roman" w:hAnsi="Times New Roman" w:cs="Times New Roman"/>
          <w:sz w:val="24"/>
          <w:szCs w:val="24"/>
        </w:rPr>
        <w:t>13</w:t>
      </w:r>
    </w:p>
    <w:p w:rsidR="00AC1748" w:rsidRDefault="00AC1748" w:rsidP="00AC1748">
      <w:pPr>
        <w:tabs>
          <w:tab w:val="left" w:pos="720"/>
          <w:tab w:val="left" w:pos="1440"/>
          <w:tab w:val="right" w:leader="dot" w:pos="9360"/>
        </w:tabs>
        <w:spacing w:line="360" w:lineRule="auto"/>
        <w:rPr>
          <w:rFonts w:ascii="Times New Roman" w:hAnsi="Times New Roman" w:cs="Times New Roman"/>
          <w:sz w:val="24"/>
          <w:szCs w:val="24"/>
        </w:rPr>
      </w:pPr>
      <w:r>
        <w:rPr>
          <w:rFonts w:ascii="Times New Roman" w:hAnsi="Times New Roman" w:cs="Times New Roman"/>
          <w:sz w:val="24"/>
          <w:szCs w:val="24"/>
        </w:rPr>
        <w:t>IV.</w:t>
      </w:r>
      <w:r w:rsidRPr="00001E51">
        <w:rPr>
          <w:rFonts w:ascii="Times New Roman" w:hAnsi="Times New Roman" w:cs="Times New Roman"/>
          <w:sz w:val="24"/>
          <w:szCs w:val="24"/>
        </w:rPr>
        <w:tab/>
      </w:r>
      <w:r>
        <w:rPr>
          <w:rFonts w:ascii="Times New Roman" w:hAnsi="Times New Roman" w:cs="Times New Roman"/>
          <w:sz w:val="24"/>
          <w:szCs w:val="24"/>
        </w:rPr>
        <w:t>STANDARDS AND FILINGS</w:t>
      </w:r>
      <w:r w:rsidRPr="00001E51">
        <w:rPr>
          <w:rFonts w:ascii="Times New Roman" w:hAnsi="Times New Roman" w:cs="Times New Roman"/>
          <w:sz w:val="24"/>
          <w:szCs w:val="24"/>
        </w:rPr>
        <w:tab/>
      </w:r>
      <w:r>
        <w:rPr>
          <w:rFonts w:ascii="Times New Roman" w:hAnsi="Times New Roman" w:cs="Times New Roman"/>
          <w:sz w:val="24"/>
          <w:szCs w:val="24"/>
        </w:rPr>
        <w:t>1</w:t>
      </w:r>
      <w:r w:rsidR="00A004C6">
        <w:rPr>
          <w:rFonts w:ascii="Times New Roman" w:hAnsi="Times New Roman" w:cs="Times New Roman"/>
          <w:sz w:val="24"/>
          <w:szCs w:val="24"/>
        </w:rPr>
        <w:t>3</w:t>
      </w:r>
    </w:p>
    <w:p w:rsidR="00AC1748" w:rsidRPr="00001E51" w:rsidRDefault="00AC1748" w:rsidP="00AC1748">
      <w:pPr>
        <w:tabs>
          <w:tab w:val="left" w:pos="720"/>
          <w:tab w:val="left" w:pos="1440"/>
          <w:tab w:val="right" w:leader="dot" w:pos="9360"/>
        </w:tabs>
        <w:spacing w:line="360" w:lineRule="auto"/>
        <w:rPr>
          <w:rFonts w:ascii="Times New Roman" w:hAnsi="Times New Roman" w:cs="Times New Roman"/>
          <w:sz w:val="24"/>
          <w:szCs w:val="24"/>
        </w:rPr>
      </w:pPr>
      <w:r>
        <w:rPr>
          <w:rFonts w:ascii="Times New Roman" w:hAnsi="Times New Roman" w:cs="Times New Roman"/>
          <w:sz w:val="24"/>
          <w:szCs w:val="24"/>
        </w:rPr>
        <w:tab/>
      </w:r>
      <w:r w:rsidRPr="00001E51">
        <w:rPr>
          <w:rFonts w:ascii="Times New Roman" w:hAnsi="Times New Roman" w:cs="Times New Roman"/>
          <w:sz w:val="24"/>
          <w:szCs w:val="24"/>
        </w:rPr>
        <w:t>A.</w:t>
      </w:r>
      <w:r w:rsidRPr="00001E51">
        <w:rPr>
          <w:rFonts w:ascii="Times New Roman" w:hAnsi="Times New Roman" w:cs="Times New Roman"/>
          <w:sz w:val="24"/>
          <w:szCs w:val="24"/>
        </w:rPr>
        <w:tab/>
      </w:r>
      <w:r>
        <w:rPr>
          <w:rFonts w:ascii="Times New Roman" w:hAnsi="Times New Roman" w:cs="Times New Roman"/>
          <w:sz w:val="24"/>
          <w:szCs w:val="24"/>
        </w:rPr>
        <w:t>Historical Reconciliation Period and Standards</w:t>
      </w:r>
      <w:r w:rsidRPr="00001E51">
        <w:rPr>
          <w:rFonts w:ascii="Times New Roman" w:hAnsi="Times New Roman" w:cs="Times New Roman"/>
          <w:sz w:val="24"/>
          <w:szCs w:val="24"/>
        </w:rPr>
        <w:tab/>
      </w:r>
      <w:r>
        <w:rPr>
          <w:rFonts w:ascii="Times New Roman" w:hAnsi="Times New Roman" w:cs="Times New Roman"/>
          <w:sz w:val="24"/>
          <w:szCs w:val="24"/>
        </w:rPr>
        <w:t>1</w:t>
      </w:r>
      <w:r w:rsidR="00A004C6">
        <w:rPr>
          <w:rFonts w:ascii="Times New Roman" w:hAnsi="Times New Roman" w:cs="Times New Roman"/>
          <w:sz w:val="24"/>
          <w:szCs w:val="24"/>
        </w:rPr>
        <w:t>3</w:t>
      </w:r>
    </w:p>
    <w:p w:rsidR="00AC1748" w:rsidRDefault="00AC1748" w:rsidP="00AC1748">
      <w:pPr>
        <w:tabs>
          <w:tab w:val="left" w:pos="720"/>
          <w:tab w:val="left" w:pos="1440"/>
          <w:tab w:val="left" w:pos="2160"/>
          <w:tab w:val="right" w:leader="dot" w:pos="9360"/>
        </w:tabs>
        <w:spacing w:line="360" w:lineRule="auto"/>
        <w:rPr>
          <w:rFonts w:ascii="Times New Roman" w:hAnsi="Times New Roman" w:cs="Times New Roman"/>
          <w:sz w:val="24"/>
          <w:szCs w:val="24"/>
        </w:rPr>
      </w:pPr>
      <w:r w:rsidRPr="00001E51">
        <w:rPr>
          <w:rFonts w:ascii="Times New Roman" w:hAnsi="Times New Roman" w:cs="Times New Roman"/>
          <w:sz w:val="24"/>
          <w:szCs w:val="24"/>
        </w:rPr>
        <w:tab/>
        <w:t>B.</w:t>
      </w:r>
      <w:r w:rsidRPr="00001E51">
        <w:rPr>
          <w:rFonts w:ascii="Times New Roman" w:hAnsi="Times New Roman" w:cs="Times New Roman"/>
          <w:sz w:val="24"/>
          <w:szCs w:val="24"/>
        </w:rPr>
        <w:tab/>
      </w:r>
      <w:r>
        <w:rPr>
          <w:rFonts w:ascii="Times New Roman" w:hAnsi="Times New Roman" w:cs="Times New Roman"/>
          <w:sz w:val="24"/>
          <w:szCs w:val="24"/>
        </w:rPr>
        <w:t>Interim and Projected Period Findings</w:t>
      </w:r>
      <w:r w:rsidRPr="00001E51">
        <w:rPr>
          <w:rFonts w:ascii="Times New Roman" w:hAnsi="Times New Roman" w:cs="Times New Roman"/>
          <w:sz w:val="24"/>
          <w:szCs w:val="24"/>
        </w:rPr>
        <w:tab/>
      </w:r>
      <w:r>
        <w:rPr>
          <w:rFonts w:ascii="Times New Roman" w:hAnsi="Times New Roman" w:cs="Times New Roman"/>
          <w:sz w:val="24"/>
          <w:szCs w:val="24"/>
        </w:rPr>
        <w:t>14</w:t>
      </w:r>
    </w:p>
    <w:p w:rsidR="00AC1748" w:rsidRDefault="00AC1748" w:rsidP="00AC1748">
      <w:pPr>
        <w:tabs>
          <w:tab w:val="left" w:pos="720"/>
          <w:tab w:val="left" w:pos="1440"/>
          <w:tab w:val="right" w:leader="dot" w:pos="9360"/>
        </w:tabs>
        <w:spacing w:line="360" w:lineRule="auto"/>
        <w:rPr>
          <w:rFonts w:ascii="Times New Roman" w:hAnsi="Times New Roman" w:cs="Times New Roman"/>
          <w:sz w:val="24"/>
          <w:szCs w:val="24"/>
        </w:rPr>
      </w:pPr>
      <w:r>
        <w:rPr>
          <w:rFonts w:ascii="Times New Roman" w:hAnsi="Times New Roman" w:cs="Times New Roman"/>
          <w:sz w:val="24"/>
          <w:szCs w:val="24"/>
        </w:rPr>
        <w:t>V.</w:t>
      </w:r>
      <w:r w:rsidRPr="00001E51">
        <w:rPr>
          <w:rFonts w:ascii="Times New Roman" w:hAnsi="Times New Roman" w:cs="Times New Roman"/>
          <w:sz w:val="24"/>
          <w:szCs w:val="24"/>
        </w:rPr>
        <w:tab/>
      </w:r>
      <w:r>
        <w:rPr>
          <w:rFonts w:ascii="Times New Roman" w:hAnsi="Times New Roman" w:cs="Times New Roman"/>
          <w:sz w:val="24"/>
          <w:szCs w:val="24"/>
        </w:rPr>
        <w:t>CONDITIONS OF SETTLEMENT</w:t>
      </w:r>
      <w:r w:rsidRPr="00001E51">
        <w:rPr>
          <w:rFonts w:ascii="Times New Roman" w:hAnsi="Times New Roman" w:cs="Times New Roman"/>
          <w:sz w:val="24"/>
          <w:szCs w:val="24"/>
        </w:rPr>
        <w:tab/>
      </w:r>
      <w:r>
        <w:rPr>
          <w:rFonts w:ascii="Times New Roman" w:hAnsi="Times New Roman" w:cs="Times New Roman"/>
          <w:sz w:val="24"/>
          <w:szCs w:val="24"/>
        </w:rPr>
        <w:t>15</w:t>
      </w:r>
    </w:p>
    <w:p w:rsidR="00AC1748" w:rsidRDefault="00AC1748" w:rsidP="00AC1748">
      <w:pPr>
        <w:tabs>
          <w:tab w:val="left" w:pos="720"/>
          <w:tab w:val="left" w:pos="1440"/>
          <w:tab w:val="right" w:leader="dot" w:pos="9360"/>
        </w:tabs>
        <w:spacing w:line="360" w:lineRule="auto"/>
        <w:rPr>
          <w:rFonts w:ascii="Times New Roman" w:hAnsi="Times New Roman" w:cs="Times New Roman"/>
          <w:sz w:val="24"/>
          <w:szCs w:val="24"/>
        </w:rPr>
      </w:pPr>
      <w:r>
        <w:rPr>
          <w:rFonts w:ascii="Times New Roman" w:hAnsi="Times New Roman" w:cs="Times New Roman"/>
          <w:sz w:val="24"/>
          <w:szCs w:val="24"/>
        </w:rPr>
        <w:t>VI.</w:t>
      </w:r>
      <w:r w:rsidRPr="00001E51">
        <w:rPr>
          <w:rFonts w:ascii="Times New Roman" w:hAnsi="Times New Roman" w:cs="Times New Roman"/>
          <w:sz w:val="24"/>
          <w:szCs w:val="24"/>
        </w:rPr>
        <w:tab/>
      </w:r>
      <w:r>
        <w:rPr>
          <w:rFonts w:ascii="Times New Roman" w:hAnsi="Times New Roman" w:cs="Times New Roman"/>
          <w:sz w:val="24"/>
          <w:szCs w:val="24"/>
        </w:rPr>
        <w:t>DISCUSSION</w:t>
      </w:r>
      <w:r w:rsidRPr="00001E51">
        <w:rPr>
          <w:rFonts w:ascii="Times New Roman" w:hAnsi="Times New Roman" w:cs="Times New Roman"/>
          <w:sz w:val="24"/>
          <w:szCs w:val="24"/>
        </w:rPr>
        <w:tab/>
      </w:r>
      <w:r>
        <w:rPr>
          <w:rFonts w:ascii="Times New Roman" w:hAnsi="Times New Roman" w:cs="Times New Roman"/>
          <w:sz w:val="24"/>
          <w:szCs w:val="24"/>
        </w:rPr>
        <w:t>17</w:t>
      </w:r>
    </w:p>
    <w:p w:rsidR="00AC1748" w:rsidRPr="00001E51" w:rsidRDefault="00AC1748" w:rsidP="00AC1748">
      <w:pPr>
        <w:tabs>
          <w:tab w:val="left" w:pos="720"/>
          <w:tab w:val="left" w:pos="1440"/>
          <w:tab w:val="right" w:leader="dot" w:pos="9360"/>
        </w:tabs>
        <w:spacing w:line="360" w:lineRule="auto"/>
        <w:rPr>
          <w:rFonts w:ascii="Times New Roman" w:hAnsi="Times New Roman" w:cs="Times New Roman"/>
          <w:sz w:val="24"/>
          <w:szCs w:val="24"/>
        </w:rPr>
      </w:pPr>
      <w:r>
        <w:rPr>
          <w:rFonts w:ascii="Times New Roman" w:hAnsi="Times New Roman" w:cs="Times New Roman"/>
          <w:sz w:val="24"/>
          <w:szCs w:val="24"/>
        </w:rPr>
        <w:tab/>
      </w:r>
      <w:r w:rsidRPr="00001E51">
        <w:rPr>
          <w:rFonts w:ascii="Times New Roman" w:hAnsi="Times New Roman" w:cs="Times New Roman"/>
          <w:sz w:val="24"/>
          <w:szCs w:val="24"/>
        </w:rPr>
        <w:t>A.</w:t>
      </w:r>
      <w:r w:rsidRPr="00001E51">
        <w:rPr>
          <w:rFonts w:ascii="Times New Roman" w:hAnsi="Times New Roman" w:cs="Times New Roman"/>
          <w:sz w:val="24"/>
          <w:szCs w:val="24"/>
        </w:rPr>
        <w:tab/>
      </w:r>
      <w:r>
        <w:rPr>
          <w:rFonts w:ascii="Times New Roman" w:hAnsi="Times New Roman" w:cs="Times New Roman"/>
          <w:sz w:val="24"/>
          <w:szCs w:val="24"/>
        </w:rPr>
        <w:t>Applicable Legal Principles</w:t>
      </w:r>
      <w:r w:rsidRPr="00001E51">
        <w:rPr>
          <w:rFonts w:ascii="Times New Roman" w:hAnsi="Times New Roman" w:cs="Times New Roman"/>
          <w:sz w:val="24"/>
          <w:szCs w:val="24"/>
        </w:rPr>
        <w:tab/>
      </w:r>
      <w:r>
        <w:rPr>
          <w:rFonts w:ascii="Times New Roman" w:hAnsi="Times New Roman" w:cs="Times New Roman"/>
          <w:sz w:val="24"/>
          <w:szCs w:val="24"/>
        </w:rPr>
        <w:t>17</w:t>
      </w:r>
    </w:p>
    <w:p w:rsidR="00AC1748" w:rsidRDefault="00AC1748" w:rsidP="00AC1748">
      <w:pPr>
        <w:tabs>
          <w:tab w:val="left" w:pos="720"/>
          <w:tab w:val="left" w:pos="1440"/>
          <w:tab w:val="left" w:pos="2160"/>
          <w:tab w:val="right" w:leader="dot" w:pos="9360"/>
        </w:tabs>
        <w:spacing w:line="360" w:lineRule="auto"/>
        <w:rPr>
          <w:rFonts w:ascii="Times New Roman" w:hAnsi="Times New Roman" w:cs="Times New Roman"/>
          <w:sz w:val="24"/>
          <w:szCs w:val="24"/>
        </w:rPr>
      </w:pPr>
      <w:r w:rsidRPr="00001E51">
        <w:rPr>
          <w:rFonts w:ascii="Times New Roman" w:hAnsi="Times New Roman" w:cs="Times New Roman"/>
          <w:sz w:val="24"/>
          <w:szCs w:val="24"/>
        </w:rPr>
        <w:tab/>
        <w:t>B.</w:t>
      </w:r>
      <w:r w:rsidRPr="00001E51">
        <w:rPr>
          <w:rFonts w:ascii="Times New Roman" w:hAnsi="Times New Roman" w:cs="Times New Roman"/>
          <w:sz w:val="24"/>
          <w:szCs w:val="24"/>
        </w:rPr>
        <w:tab/>
      </w:r>
      <w:r>
        <w:rPr>
          <w:rFonts w:ascii="Times New Roman" w:hAnsi="Times New Roman" w:cs="Times New Roman"/>
          <w:sz w:val="24"/>
          <w:szCs w:val="24"/>
        </w:rPr>
        <w:t>Statements of the Parties in Support of the Settlement</w:t>
      </w:r>
      <w:r w:rsidRPr="00001E51">
        <w:rPr>
          <w:rFonts w:ascii="Times New Roman" w:hAnsi="Times New Roman" w:cs="Times New Roman"/>
          <w:sz w:val="24"/>
          <w:szCs w:val="24"/>
        </w:rPr>
        <w:tab/>
      </w:r>
      <w:r>
        <w:rPr>
          <w:rFonts w:ascii="Times New Roman" w:hAnsi="Times New Roman" w:cs="Times New Roman"/>
          <w:sz w:val="24"/>
          <w:szCs w:val="24"/>
        </w:rPr>
        <w:t>17</w:t>
      </w:r>
    </w:p>
    <w:p w:rsidR="00A004C6" w:rsidRDefault="00A004C6" w:rsidP="00AC1748">
      <w:pPr>
        <w:tabs>
          <w:tab w:val="left" w:pos="720"/>
          <w:tab w:val="left" w:pos="1440"/>
          <w:tab w:val="left" w:pos="2160"/>
          <w:tab w:val="right" w:leader="dot" w:pos="9360"/>
        </w:tabs>
        <w:spacing w:line="360" w:lineRule="auto"/>
        <w:rPr>
          <w:rFonts w:ascii="Times New Roman" w:eastAsia="Times New Roman" w:hAnsi="Times New Roman" w:cs="Times New Roman"/>
          <w:sz w:val="24"/>
          <w:szCs w:val="24"/>
        </w:rPr>
      </w:pPr>
    </w:p>
    <w:p w:rsidR="00AC1748" w:rsidRDefault="00AC1748" w:rsidP="00AC1748">
      <w:pPr>
        <w:tabs>
          <w:tab w:val="left" w:pos="720"/>
          <w:tab w:val="left" w:pos="1440"/>
          <w:tab w:val="right" w:leader="dot" w:pos="9360"/>
        </w:tabs>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t>C</w:t>
      </w:r>
      <w:r w:rsidRPr="00001E51">
        <w:rPr>
          <w:rFonts w:ascii="Times New Roman" w:hAnsi="Times New Roman" w:cs="Times New Roman"/>
          <w:sz w:val="24"/>
          <w:szCs w:val="24"/>
        </w:rPr>
        <w:t>.</w:t>
      </w:r>
      <w:r w:rsidRPr="00001E51">
        <w:rPr>
          <w:rFonts w:ascii="Times New Roman" w:hAnsi="Times New Roman" w:cs="Times New Roman"/>
          <w:sz w:val="24"/>
          <w:szCs w:val="24"/>
        </w:rPr>
        <w:tab/>
      </w:r>
      <w:r>
        <w:rPr>
          <w:rFonts w:ascii="Times New Roman" w:hAnsi="Times New Roman" w:cs="Times New Roman"/>
          <w:sz w:val="24"/>
          <w:szCs w:val="24"/>
        </w:rPr>
        <w:t>Retainage</w:t>
      </w:r>
      <w:r w:rsidRPr="00001E51">
        <w:rPr>
          <w:rFonts w:ascii="Times New Roman" w:hAnsi="Times New Roman" w:cs="Times New Roman"/>
          <w:sz w:val="24"/>
          <w:szCs w:val="24"/>
        </w:rPr>
        <w:tab/>
      </w:r>
      <w:r>
        <w:rPr>
          <w:rFonts w:ascii="Times New Roman" w:hAnsi="Times New Roman" w:cs="Times New Roman"/>
          <w:sz w:val="24"/>
          <w:szCs w:val="24"/>
        </w:rPr>
        <w:t>18</w:t>
      </w:r>
    </w:p>
    <w:p w:rsidR="00AC1748" w:rsidRDefault="00AC1748" w:rsidP="00AC1748">
      <w:pPr>
        <w:tabs>
          <w:tab w:val="left" w:pos="720"/>
          <w:tab w:val="left" w:pos="1440"/>
          <w:tab w:val="left" w:pos="2160"/>
          <w:tab w:val="right" w:leader="dot" w:pos="936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t>Peoples TWP’s Position</w:t>
      </w:r>
      <w:r>
        <w:rPr>
          <w:rFonts w:ascii="Times New Roman" w:hAnsi="Times New Roman" w:cs="Times New Roman"/>
          <w:sz w:val="24"/>
          <w:szCs w:val="24"/>
        </w:rPr>
        <w:tab/>
        <w:t>18</w:t>
      </w:r>
    </w:p>
    <w:p w:rsidR="00AC1748" w:rsidRDefault="00AC1748" w:rsidP="00AC1748">
      <w:pPr>
        <w:tabs>
          <w:tab w:val="left" w:pos="720"/>
          <w:tab w:val="left" w:pos="1440"/>
          <w:tab w:val="left" w:pos="2160"/>
          <w:tab w:val="right" w:leader="dot" w:pos="936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t>OCA’s Position</w:t>
      </w:r>
      <w:r>
        <w:rPr>
          <w:rFonts w:ascii="Times New Roman" w:hAnsi="Times New Roman" w:cs="Times New Roman"/>
          <w:sz w:val="24"/>
          <w:szCs w:val="24"/>
        </w:rPr>
        <w:tab/>
      </w:r>
      <w:r w:rsidR="00A004C6">
        <w:rPr>
          <w:rFonts w:ascii="Times New Roman" w:hAnsi="Times New Roman" w:cs="Times New Roman"/>
          <w:sz w:val="24"/>
          <w:szCs w:val="24"/>
        </w:rPr>
        <w:t>19</w:t>
      </w:r>
    </w:p>
    <w:p w:rsidR="00AC1748" w:rsidRDefault="00AC1748" w:rsidP="00AC1748">
      <w:pPr>
        <w:tabs>
          <w:tab w:val="left" w:pos="720"/>
          <w:tab w:val="left" w:pos="1440"/>
          <w:tab w:val="left" w:pos="2160"/>
          <w:tab w:val="right" w:leader="dot" w:pos="936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t>OSBA’s Position</w:t>
      </w:r>
      <w:r>
        <w:rPr>
          <w:rFonts w:ascii="Times New Roman" w:hAnsi="Times New Roman" w:cs="Times New Roman"/>
          <w:sz w:val="24"/>
          <w:szCs w:val="24"/>
        </w:rPr>
        <w:tab/>
        <w:t>20</w:t>
      </w:r>
    </w:p>
    <w:p w:rsidR="00AC1748" w:rsidRDefault="00AC1748" w:rsidP="00AC1748">
      <w:pPr>
        <w:tabs>
          <w:tab w:val="left" w:pos="720"/>
          <w:tab w:val="left" w:pos="1440"/>
          <w:tab w:val="left" w:pos="2160"/>
          <w:tab w:val="right" w:leader="dot" w:pos="936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w:t>
      </w:r>
      <w:r>
        <w:rPr>
          <w:rFonts w:ascii="Times New Roman" w:hAnsi="Times New Roman" w:cs="Times New Roman"/>
          <w:sz w:val="24"/>
          <w:szCs w:val="24"/>
        </w:rPr>
        <w:tab/>
        <w:t>I&amp;E’s Position</w:t>
      </w:r>
      <w:r>
        <w:rPr>
          <w:rFonts w:ascii="Times New Roman" w:hAnsi="Times New Roman" w:cs="Times New Roman"/>
          <w:sz w:val="24"/>
          <w:szCs w:val="24"/>
        </w:rPr>
        <w:tab/>
        <w:t xml:space="preserve">21 </w:t>
      </w:r>
    </w:p>
    <w:p w:rsidR="00AC1748" w:rsidRDefault="00AC1748" w:rsidP="00AC1748">
      <w:pPr>
        <w:tabs>
          <w:tab w:val="left" w:pos="720"/>
          <w:tab w:val="left" w:pos="1440"/>
          <w:tab w:val="right" w:leader="dot" w:pos="9360"/>
        </w:tabs>
        <w:spacing w:line="360" w:lineRule="auto"/>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Balancing and Demand Charges</w:t>
      </w:r>
      <w:r>
        <w:rPr>
          <w:rFonts w:ascii="Times New Roman" w:hAnsi="Times New Roman" w:cs="Times New Roman"/>
          <w:sz w:val="24"/>
          <w:szCs w:val="24"/>
        </w:rPr>
        <w:tab/>
        <w:t>22</w:t>
      </w:r>
    </w:p>
    <w:p w:rsidR="00AC1748" w:rsidRDefault="00AC1748" w:rsidP="00AC1748">
      <w:pPr>
        <w:tabs>
          <w:tab w:val="left" w:pos="720"/>
          <w:tab w:val="left" w:pos="1440"/>
          <w:tab w:val="left" w:pos="2160"/>
          <w:tab w:val="right" w:leader="dot" w:pos="936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t>Peoples TWP’s Position</w:t>
      </w:r>
      <w:r>
        <w:rPr>
          <w:rFonts w:ascii="Times New Roman" w:hAnsi="Times New Roman" w:cs="Times New Roman"/>
          <w:sz w:val="24"/>
          <w:szCs w:val="24"/>
        </w:rPr>
        <w:tab/>
        <w:t>22</w:t>
      </w:r>
    </w:p>
    <w:p w:rsidR="00AC1748" w:rsidRDefault="00AC1748" w:rsidP="00AC1748">
      <w:pPr>
        <w:tabs>
          <w:tab w:val="left" w:pos="720"/>
          <w:tab w:val="left" w:pos="1440"/>
          <w:tab w:val="left" w:pos="2160"/>
          <w:tab w:val="right" w:leader="dot" w:pos="936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t>OCA’s Position</w:t>
      </w:r>
      <w:r>
        <w:rPr>
          <w:rFonts w:ascii="Times New Roman" w:hAnsi="Times New Roman" w:cs="Times New Roman"/>
          <w:sz w:val="24"/>
          <w:szCs w:val="24"/>
        </w:rPr>
        <w:tab/>
        <w:t>27</w:t>
      </w:r>
    </w:p>
    <w:p w:rsidR="00AC1748" w:rsidRDefault="00AC1748" w:rsidP="00AC1748">
      <w:pPr>
        <w:tabs>
          <w:tab w:val="left" w:pos="720"/>
          <w:tab w:val="left" w:pos="1440"/>
          <w:tab w:val="left" w:pos="2160"/>
          <w:tab w:val="right" w:leader="dot" w:pos="936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t>OSBA’s Position</w:t>
      </w:r>
      <w:r>
        <w:rPr>
          <w:rFonts w:ascii="Times New Roman" w:hAnsi="Times New Roman" w:cs="Times New Roman"/>
          <w:sz w:val="24"/>
          <w:szCs w:val="24"/>
        </w:rPr>
        <w:tab/>
        <w:t>28</w:t>
      </w:r>
    </w:p>
    <w:p w:rsidR="00AC1748" w:rsidRDefault="00AC1748" w:rsidP="00AC1748">
      <w:pPr>
        <w:tabs>
          <w:tab w:val="left" w:pos="720"/>
          <w:tab w:val="left" w:pos="1440"/>
          <w:tab w:val="left" w:pos="2160"/>
          <w:tab w:val="right" w:leader="dot" w:pos="936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w:t>
      </w:r>
      <w:r>
        <w:rPr>
          <w:rFonts w:ascii="Times New Roman" w:hAnsi="Times New Roman" w:cs="Times New Roman"/>
          <w:sz w:val="24"/>
          <w:szCs w:val="24"/>
        </w:rPr>
        <w:tab/>
        <w:t>I&amp;E’s Position</w:t>
      </w:r>
      <w:r>
        <w:rPr>
          <w:rFonts w:ascii="Times New Roman" w:hAnsi="Times New Roman" w:cs="Times New Roman"/>
          <w:sz w:val="24"/>
          <w:szCs w:val="24"/>
        </w:rPr>
        <w:tab/>
        <w:t>30</w:t>
      </w:r>
    </w:p>
    <w:p w:rsidR="00AC1748" w:rsidRDefault="00AC1748" w:rsidP="00AC1748">
      <w:pPr>
        <w:tabs>
          <w:tab w:val="left" w:pos="720"/>
          <w:tab w:val="left" w:pos="1440"/>
          <w:tab w:val="left" w:pos="2160"/>
          <w:tab w:val="right" w:leader="dot" w:pos="9360"/>
        </w:tabs>
        <w:spacing w:line="360" w:lineRule="auto"/>
        <w:rPr>
          <w:rFonts w:ascii="Times New Roman" w:hAnsi="Times New Roman" w:cs="Times New Roman"/>
          <w:sz w:val="24"/>
          <w:szCs w:val="24"/>
        </w:rPr>
      </w:pPr>
      <w:r>
        <w:rPr>
          <w:rFonts w:ascii="Times New Roman" w:hAnsi="Times New Roman" w:cs="Times New Roman"/>
          <w:sz w:val="24"/>
          <w:szCs w:val="24"/>
        </w:rPr>
        <w:tab/>
        <w:t>E.</w:t>
      </w:r>
      <w:r>
        <w:rPr>
          <w:rFonts w:ascii="Times New Roman" w:hAnsi="Times New Roman" w:cs="Times New Roman"/>
          <w:sz w:val="24"/>
          <w:szCs w:val="24"/>
        </w:rPr>
        <w:tab/>
        <w:t>Renewal and Addition of Capacity</w:t>
      </w:r>
      <w:r>
        <w:rPr>
          <w:rFonts w:ascii="Times New Roman" w:hAnsi="Times New Roman" w:cs="Times New Roman"/>
          <w:sz w:val="24"/>
          <w:szCs w:val="24"/>
        </w:rPr>
        <w:tab/>
        <w:t>30</w:t>
      </w:r>
    </w:p>
    <w:p w:rsidR="00AC1748" w:rsidRDefault="00AC1748" w:rsidP="00AC1748">
      <w:pPr>
        <w:tabs>
          <w:tab w:val="left" w:pos="720"/>
          <w:tab w:val="left" w:pos="1440"/>
          <w:tab w:val="left" w:pos="2160"/>
          <w:tab w:val="right" w:leader="dot" w:pos="936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t>Peoples TWP’s Position</w:t>
      </w:r>
      <w:r>
        <w:rPr>
          <w:rFonts w:ascii="Times New Roman" w:hAnsi="Times New Roman" w:cs="Times New Roman"/>
          <w:sz w:val="24"/>
          <w:szCs w:val="24"/>
        </w:rPr>
        <w:tab/>
        <w:t>30</w:t>
      </w:r>
    </w:p>
    <w:p w:rsidR="00AC1748" w:rsidRDefault="00AC1748" w:rsidP="00AC1748">
      <w:pPr>
        <w:tabs>
          <w:tab w:val="left" w:pos="720"/>
          <w:tab w:val="left" w:pos="1440"/>
          <w:tab w:val="left" w:pos="2160"/>
          <w:tab w:val="right" w:leader="dot" w:pos="936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t>OCA’s Position</w:t>
      </w:r>
      <w:r>
        <w:rPr>
          <w:rFonts w:ascii="Times New Roman" w:hAnsi="Times New Roman" w:cs="Times New Roman"/>
          <w:sz w:val="24"/>
          <w:szCs w:val="24"/>
        </w:rPr>
        <w:tab/>
        <w:t>33</w:t>
      </w:r>
    </w:p>
    <w:p w:rsidR="00AC1748" w:rsidRDefault="00AC1748" w:rsidP="00AC1748">
      <w:pPr>
        <w:tabs>
          <w:tab w:val="left" w:pos="720"/>
          <w:tab w:val="left" w:pos="1440"/>
          <w:tab w:val="right" w:leader="dot" w:pos="9360"/>
        </w:tabs>
        <w:spacing w:line="360" w:lineRule="auto"/>
        <w:rPr>
          <w:rFonts w:ascii="Times New Roman" w:hAnsi="Times New Roman" w:cs="Times New Roman"/>
          <w:sz w:val="24"/>
          <w:szCs w:val="24"/>
        </w:rPr>
      </w:pPr>
      <w:r>
        <w:rPr>
          <w:rFonts w:ascii="Times New Roman" w:hAnsi="Times New Roman" w:cs="Times New Roman"/>
          <w:sz w:val="24"/>
          <w:szCs w:val="24"/>
        </w:rPr>
        <w:tab/>
        <w:t>F.</w:t>
      </w:r>
      <w:r>
        <w:rPr>
          <w:rFonts w:ascii="Times New Roman" w:hAnsi="Times New Roman" w:cs="Times New Roman"/>
          <w:sz w:val="24"/>
          <w:szCs w:val="24"/>
        </w:rPr>
        <w:tab/>
        <w:t>Design Day</w:t>
      </w:r>
      <w:r>
        <w:rPr>
          <w:rFonts w:ascii="Times New Roman" w:hAnsi="Times New Roman" w:cs="Times New Roman"/>
          <w:sz w:val="24"/>
          <w:szCs w:val="24"/>
        </w:rPr>
        <w:tab/>
        <w:t>35</w:t>
      </w:r>
    </w:p>
    <w:p w:rsidR="00AC1748" w:rsidRDefault="00AC1748" w:rsidP="00AC1748">
      <w:pPr>
        <w:tabs>
          <w:tab w:val="left" w:pos="720"/>
          <w:tab w:val="left" w:pos="1440"/>
          <w:tab w:val="left" w:pos="2160"/>
          <w:tab w:val="right" w:leader="dot" w:pos="936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t>Peoples TWP’s Position</w:t>
      </w:r>
      <w:r>
        <w:rPr>
          <w:rFonts w:ascii="Times New Roman" w:hAnsi="Times New Roman" w:cs="Times New Roman"/>
          <w:sz w:val="24"/>
          <w:szCs w:val="24"/>
        </w:rPr>
        <w:tab/>
        <w:t>35</w:t>
      </w:r>
    </w:p>
    <w:p w:rsidR="00AC1748" w:rsidRDefault="00AC1748" w:rsidP="00AC1748">
      <w:pPr>
        <w:tabs>
          <w:tab w:val="left" w:pos="720"/>
          <w:tab w:val="left" w:pos="1440"/>
          <w:tab w:val="left" w:pos="2160"/>
          <w:tab w:val="right" w:leader="dot" w:pos="936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t>OCA’s Position</w:t>
      </w:r>
      <w:r>
        <w:rPr>
          <w:rFonts w:ascii="Times New Roman" w:hAnsi="Times New Roman" w:cs="Times New Roman"/>
          <w:sz w:val="24"/>
          <w:szCs w:val="24"/>
        </w:rPr>
        <w:tab/>
        <w:t>37</w:t>
      </w:r>
    </w:p>
    <w:p w:rsidR="00AC1748" w:rsidRDefault="00AC1748" w:rsidP="00AC1748">
      <w:pPr>
        <w:tabs>
          <w:tab w:val="left" w:pos="720"/>
          <w:tab w:val="left" w:pos="1440"/>
          <w:tab w:val="left" w:pos="2160"/>
          <w:tab w:val="right" w:leader="dot" w:pos="936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t>OSBA’s Position</w:t>
      </w:r>
      <w:r>
        <w:rPr>
          <w:rFonts w:ascii="Times New Roman" w:hAnsi="Times New Roman" w:cs="Times New Roman"/>
          <w:sz w:val="24"/>
          <w:szCs w:val="24"/>
        </w:rPr>
        <w:tab/>
        <w:t>41</w:t>
      </w:r>
    </w:p>
    <w:p w:rsidR="00AC1748" w:rsidRDefault="00AC1748" w:rsidP="00AC1748">
      <w:pPr>
        <w:tabs>
          <w:tab w:val="left" w:pos="720"/>
          <w:tab w:val="left" w:pos="1440"/>
          <w:tab w:val="left" w:pos="2160"/>
          <w:tab w:val="right" w:leader="dot" w:pos="9360"/>
        </w:tabs>
        <w:spacing w:line="360" w:lineRule="auto"/>
        <w:rPr>
          <w:rFonts w:ascii="Times New Roman" w:hAnsi="Times New Roman" w:cs="Times New Roman"/>
          <w:sz w:val="24"/>
          <w:szCs w:val="24"/>
        </w:rPr>
      </w:pPr>
      <w:r>
        <w:rPr>
          <w:rFonts w:ascii="Times New Roman" w:hAnsi="Times New Roman" w:cs="Times New Roman"/>
          <w:sz w:val="24"/>
          <w:szCs w:val="24"/>
        </w:rPr>
        <w:tab/>
        <w:t>G.</w:t>
      </w:r>
      <w:r>
        <w:rPr>
          <w:rFonts w:ascii="Times New Roman" w:hAnsi="Times New Roman" w:cs="Times New Roman"/>
          <w:sz w:val="24"/>
          <w:szCs w:val="24"/>
        </w:rPr>
        <w:tab/>
        <w:t>Exchange Meters</w:t>
      </w:r>
      <w:r>
        <w:rPr>
          <w:rFonts w:ascii="Times New Roman" w:hAnsi="Times New Roman" w:cs="Times New Roman"/>
          <w:sz w:val="24"/>
          <w:szCs w:val="24"/>
        </w:rPr>
        <w:tab/>
        <w:t>42</w:t>
      </w:r>
    </w:p>
    <w:p w:rsidR="00AC1748" w:rsidRDefault="00AC1748" w:rsidP="00AC1748">
      <w:pPr>
        <w:tabs>
          <w:tab w:val="left" w:pos="720"/>
          <w:tab w:val="left" w:pos="1440"/>
          <w:tab w:val="left" w:pos="2160"/>
          <w:tab w:val="right" w:leader="dot" w:pos="936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t>Peoples TWP’s Position</w:t>
      </w:r>
      <w:r>
        <w:rPr>
          <w:rFonts w:ascii="Times New Roman" w:hAnsi="Times New Roman" w:cs="Times New Roman"/>
          <w:sz w:val="24"/>
          <w:szCs w:val="24"/>
        </w:rPr>
        <w:tab/>
        <w:t>42</w:t>
      </w:r>
    </w:p>
    <w:p w:rsidR="00AC1748" w:rsidRDefault="00AC1748" w:rsidP="00AC1748">
      <w:pPr>
        <w:tabs>
          <w:tab w:val="left" w:pos="720"/>
          <w:tab w:val="left" w:pos="1440"/>
          <w:tab w:val="left" w:pos="2160"/>
          <w:tab w:val="right" w:leader="dot" w:pos="936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t>OCA’s Position</w:t>
      </w:r>
      <w:r>
        <w:rPr>
          <w:rFonts w:ascii="Times New Roman" w:hAnsi="Times New Roman" w:cs="Times New Roman"/>
          <w:sz w:val="24"/>
          <w:szCs w:val="24"/>
        </w:rPr>
        <w:tab/>
        <w:t>43</w:t>
      </w:r>
    </w:p>
    <w:p w:rsidR="00AC1748" w:rsidRDefault="00AC1748" w:rsidP="00AC1748">
      <w:pPr>
        <w:tabs>
          <w:tab w:val="left" w:pos="720"/>
          <w:tab w:val="left" w:pos="1440"/>
          <w:tab w:val="left" w:pos="2160"/>
          <w:tab w:val="right" w:leader="dot" w:pos="9360"/>
        </w:tabs>
        <w:spacing w:line="360" w:lineRule="auto"/>
        <w:rPr>
          <w:rFonts w:ascii="Times New Roman" w:hAnsi="Times New Roman" w:cs="Times New Roman"/>
          <w:sz w:val="24"/>
          <w:szCs w:val="24"/>
        </w:rPr>
      </w:pPr>
    </w:p>
    <w:p w:rsidR="00AC1748" w:rsidRDefault="00AC1748" w:rsidP="00AC1748">
      <w:pPr>
        <w:tabs>
          <w:tab w:val="left" w:pos="720"/>
          <w:tab w:val="left" w:pos="1440"/>
          <w:tab w:val="left" w:pos="2160"/>
          <w:tab w:val="right" w:leader="dot" w:pos="9360"/>
        </w:tabs>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t>H.</w:t>
      </w:r>
      <w:r>
        <w:rPr>
          <w:rFonts w:ascii="Times New Roman" w:hAnsi="Times New Roman" w:cs="Times New Roman"/>
          <w:sz w:val="24"/>
          <w:szCs w:val="24"/>
        </w:rPr>
        <w:tab/>
        <w:t>General Settlement Provisions</w:t>
      </w:r>
      <w:r>
        <w:rPr>
          <w:rFonts w:ascii="Times New Roman" w:hAnsi="Times New Roman" w:cs="Times New Roman"/>
          <w:sz w:val="24"/>
          <w:szCs w:val="24"/>
        </w:rPr>
        <w:tab/>
        <w:t>45</w:t>
      </w:r>
    </w:p>
    <w:p w:rsidR="00AC1748" w:rsidRDefault="00AC1748" w:rsidP="00AC1748">
      <w:pPr>
        <w:tabs>
          <w:tab w:val="left" w:pos="720"/>
          <w:tab w:val="left" w:pos="1440"/>
          <w:tab w:val="left" w:pos="2160"/>
          <w:tab w:val="right" w:leader="dot" w:pos="936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t>Peoples TWP’s Position</w:t>
      </w:r>
      <w:r>
        <w:rPr>
          <w:rFonts w:ascii="Times New Roman" w:hAnsi="Times New Roman" w:cs="Times New Roman"/>
          <w:sz w:val="24"/>
          <w:szCs w:val="24"/>
        </w:rPr>
        <w:tab/>
        <w:t>45</w:t>
      </w:r>
    </w:p>
    <w:p w:rsidR="00AC1748" w:rsidRDefault="00AC1748" w:rsidP="00AC1748">
      <w:pPr>
        <w:tabs>
          <w:tab w:val="left" w:pos="720"/>
          <w:tab w:val="left" w:pos="1440"/>
          <w:tab w:val="left" w:pos="2160"/>
          <w:tab w:val="right" w:leader="dot" w:pos="936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t>OCA’s Position</w:t>
      </w:r>
      <w:r>
        <w:rPr>
          <w:rFonts w:ascii="Times New Roman" w:hAnsi="Times New Roman" w:cs="Times New Roman"/>
          <w:sz w:val="24"/>
          <w:szCs w:val="24"/>
        </w:rPr>
        <w:tab/>
        <w:t>46</w:t>
      </w:r>
    </w:p>
    <w:p w:rsidR="00AC1748" w:rsidRDefault="00AC1748" w:rsidP="00AC1748">
      <w:pPr>
        <w:tabs>
          <w:tab w:val="left" w:pos="720"/>
          <w:tab w:val="left" w:pos="1440"/>
          <w:tab w:val="left" w:pos="2160"/>
          <w:tab w:val="right" w:leader="dot" w:pos="9360"/>
        </w:tabs>
        <w:spacing w:line="360" w:lineRule="auto"/>
        <w:rPr>
          <w:rFonts w:ascii="Times New Roman" w:hAnsi="Times New Roman" w:cs="Times New Roman"/>
          <w:sz w:val="24"/>
          <w:szCs w:val="24"/>
        </w:rPr>
      </w:pPr>
      <w:r>
        <w:rPr>
          <w:rFonts w:ascii="Times New Roman" w:hAnsi="Times New Roman" w:cs="Times New Roman"/>
          <w:sz w:val="24"/>
          <w:szCs w:val="24"/>
        </w:rPr>
        <w:tab/>
        <w:t>I.</w:t>
      </w:r>
      <w:r>
        <w:rPr>
          <w:rFonts w:ascii="Times New Roman" w:hAnsi="Times New Roman" w:cs="Times New Roman"/>
          <w:sz w:val="24"/>
          <w:szCs w:val="24"/>
        </w:rPr>
        <w:tab/>
        <w:t>Section 1318 Requirements</w:t>
      </w:r>
      <w:r>
        <w:rPr>
          <w:rFonts w:ascii="Times New Roman" w:hAnsi="Times New Roman" w:cs="Times New Roman"/>
          <w:sz w:val="24"/>
          <w:szCs w:val="24"/>
        </w:rPr>
        <w:tab/>
        <w:t>46</w:t>
      </w:r>
    </w:p>
    <w:p w:rsidR="00AC1748" w:rsidRDefault="00AC1748" w:rsidP="00AC1748">
      <w:pPr>
        <w:tabs>
          <w:tab w:val="left" w:pos="720"/>
          <w:tab w:val="left" w:pos="1440"/>
          <w:tab w:val="right" w:leader="dot" w:pos="9360"/>
        </w:tabs>
        <w:spacing w:line="360" w:lineRule="auto"/>
        <w:rPr>
          <w:rFonts w:ascii="Times New Roman" w:hAnsi="Times New Roman" w:cs="Times New Roman"/>
          <w:sz w:val="24"/>
          <w:szCs w:val="24"/>
        </w:rPr>
      </w:pPr>
      <w:r>
        <w:rPr>
          <w:rFonts w:ascii="Times New Roman" w:hAnsi="Times New Roman" w:cs="Times New Roman"/>
          <w:sz w:val="24"/>
          <w:szCs w:val="24"/>
        </w:rPr>
        <w:tab/>
        <w:t>J.</w:t>
      </w:r>
      <w:r>
        <w:rPr>
          <w:rFonts w:ascii="Times New Roman" w:hAnsi="Times New Roman" w:cs="Times New Roman"/>
          <w:sz w:val="24"/>
          <w:szCs w:val="24"/>
        </w:rPr>
        <w:tab/>
        <w:t>Summary</w:t>
      </w:r>
      <w:r>
        <w:rPr>
          <w:rFonts w:ascii="Times New Roman" w:hAnsi="Times New Roman" w:cs="Times New Roman"/>
          <w:sz w:val="24"/>
          <w:szCs w:val="24"/>
        </w:rPr>
        <w:tab/>
        <w:t>47</w:t>
      </w:r>
    </w:p>
    <w:p w:rsidR="00AC1748" w:rsidRDefault="00AC1748" w:rsidP="00AC1748">
      <w:pPr>
        <w:tabs>
          <w:tab w:val="left" w:pos="720"/>
          <w:tab w:val="left" w:pos="1440"/>
          <w:tab w:val="right" w:leader="dot" w:pos="9360"/>
        </w:tabs>
        <w:spacing w:line="360" w:lineRule="auto"/>
        <w:rPr>
          <w:rFonts w:ascii="Times New Roman" w:hAnsi="Times New Roman" w:cs="Times New Roman"/>
          <w:sz w:val="24"/>
          <w:szCs w:val="24"/>
        </w:rPr>
      </w:pPr>
      <w:r>
        <w:rPr>
          <w:rFonts w:ascii="Times New Roman" w:hAnsi="Times New Roman" w:cs="Times New Roman"/>
          <w:sz w:val="24"/>
          <w:szCs w:val="24"/>
        </w:rPr>
        <w:tab/>
        <w:t>K.</w:t>
      </w:r>
      <w:r>
        <w:rPr>
          <w:rFonts w:ascii="Times New Roman" w:hAnsi="Times New Roman" w:cs="Times New Roman"/>
          <w:sz w:val="24"/>
          <w:szCs w:val="24"/>
        </w:rPr>
        <w:tab/>
        <w:t>Recommendation</w:t>
      </w:r>
      <w:r>
        <w:rPr>
          <w:rFonts w:ascii="Times New Roman" w:hAnsi="Times New Roman" w:cs="Times New Roman"/>
          <w:sz w:val="24"/>
          <w:szCs w:val="24"/>
        </w:rPr>
        <w:tab/>
        <w:t>48</w:t>
      </w:r>
    </w:p>
    <w:p w:rsidR="00AC1748" w:rsidRDefault="00AC1748" w:rsidP="00AC1748">
      <w:pPr>
        <w:tabs>
          <w:tab w:val="left" w:pos="720"/>
          <w:tab w:val="left" w:pos="1440"/>
          <w:tab w:val="left" w:pos="3330"/>
          <w:tab w:val="right" w:leader="dot" w:pos="9360"/>
        </w:tabs>
        <w:spacing w:line="360" w:lineRule="auto"/>
        <w:rPr>
          <w:rFonts w:ascii="Times New Roman" w:hAnsi="Times New Roman" w:cs="Times New Roman"/>
          <w:sz w:val="24"/>
          <w:szCs w:val="24"/>
        </w:rPr>
      </w:pPr>
      <w:r>
        <w:rPr>
          <w:rFonts w:ascii="Times New Roman" w:hAnsi="Times New Roman" w:cs="Times New Roman"/>
          <w:sz w:val="24"/>
          <w:szCs w:val="24"/>
        </w:rPr>
        <w:t>VII.</w:t>
      </w:r>
      <w:r w:rsidRPr="00001E51">
        <w:rPr>
          <w:rFonts w:ascii="Times New Roman" w:hAnsi="Times New Roman" w:cs="Times New Roman"/>
          <w:sz w:val="24"/>
          <w:szCs w:val="24"/>
        </w:rPr>
        <w:tab/>
      </w:r>
      <w:r>
        <w:rPr>
          <w:rFonts w:ascii="Times New Roman" w:hAnsi="Times New Roman" w:cs="Times New Roman"/>
          <w:sz w:val="24"/>
          <w:szCs w:val="24"/>
        </w:rPr>
        <w:t>CONCLUSIONS OF LAW</w:t>
      </w:r>
      <w:r>
        <w:rPr>
          <w:rFonts w:ascii="Times New Roman" w:hAnsi="Times New Roman" w:cs="Times New Roman"/>
          <w:sz w:val="24"/>
          <w:szCs w:val="24"/>
        </w:rPr>
        <w:tab/>
        <w:t>50</w:t>
      </w:r>
    </w:p>
    <w:p w:rsidR="00AC1748" w:rsidRDefault="00AC1748" w:rsidP="00AC1748">
      <w:pPr>
        <w:tabs>
          <w:tab w:val="left" w:pos="720"/>
          <w:tab w:val="left" w:pos="1440"/>
          <w:tab w:val="right" w:leader="dot" w:pos="9360"/>
        </w:tabs>
        <w:spacing w:line="360" w:lineRule="auto"/>
        <w:rPr>
          <w:rFonts w:ascii="Times New Roman" w:hAnsi="Times New Roman" w:cs="Times New Roman"/>
          <w:sz w:val="24"/>
          <w:szCs w:val="24"/>
        </w:rPr>
      </w:pPr>
      <w:r>
        <w:rPr>
          <w:rFonts w:ascii="Times New Roman" w:hAnsi="Times New Roman" w:cs="Times New Roman"/>
          <w:sz w:val="24"/>
          <w:szCs w:val="24"/>
        </w:rPr>
        <w:t>VIII.</w:t>
      </w:r>
      <w:r>
        <w:rPr>
          <w:rFonts w:ascii="Times New Roman" w:hAnsi="Times New Roman" w:cs="Times New Roman"/>
          <w:sz w:val="24"/>
          <w:szCs w:val="24"/>
        </w:rPr>
        <w:tab/>
        <w:t>ORDER</w:t>
      </w:r>
      <w:r>
        <w:rPr>
          <w:rFonts w:ascii="Times New Roman" w:hAnsi="Times New Roman" w:cs="Times New Roman"/>
          <w:sz w:val="24"/>
          <w:szCs w:val="24"/>
        </w:rPr>
        <w:tab/>
        <w:t>52</w:t>
      </w:r>
    </w:p>
    <w:p w:rsidR="00AC1748" w:rsidRPr="00001E51" w:rsidRDefault="00AC1748" w:rsidP="00AC1748">
      <w:pPr>
        <w:tabs>
          <w:tab w:val="left" w:pos="720"/>
          <w:tab w:val="left" w:pos="1440"/>
          <w:tab w:val="left" w:pos="2160"/>
          <w:tab w:val="left" w:pos="2880"/>
          <w:tab w:val="left" w:pos="3600"/>
          <w:tab w:val="right" w:leader="dot" w:pos="9360"/>
        </w:tabs>
        <w:spacing w:line="360" w:lineRule="auto"/>
        <w:rPr>
          <w:rFonts w:ascii="Times New Roman" w:hAnsi="Times New Roman" w:cs="Times New Roman"/>
          <w:sz w:val="24"/>
          <w:szCs w:val="24"/>
        </w:rPr>
      </w:pPr>
      <w:r w:rsidRPr="00001E51">
        <w:rPr>
          <w:rFonts w:ascii="Times New Roman" w:hAnsi="Times New Roman" w:cs="Times New Roman"/>
          <w:sz w:val="24"/>
          <w:szCs w:val="24"/>
        </w:rPr>
        <w:tab/>
      </w:r>
      <w:r w:rsidRPr="00001E51">
        <w:rPr>
          <w:rFonts w:ascii="Times New Roman" w:hAnsi="Times New Roman" w:cs="Times New Roman"/>
          <w:sz w:val="24"/>
          <w:szCs w:val="24"/>
        </w:rPr>
        <w:tab/>
      </w:r>
      <w:r w:rsidRPr="00001E51">
        <w:rPr>
          <w:rFonts w:ascii="Times New Roman" w:hAnsi="Times New Roman" w:cs="Times New Roman"/>
          <w:sz w:val="24"/>
          <w:szCs w:val="24"/>
        </w:rPr>
        <w:tab/>
      </w:r>
      <w:r w:rsidRPr="00001E51">
        <w:rPr>
          <w:rFonts w:ascii="Times New Roman" w:hAnsi="Times New Roman" w:cs="Times New Roman"/>
          <w:sz w:val="24"/>
          <w:szCs w:val="24"/>
        </w:rPr>
        <w:tab/>
      </w:r>
    </w:p>
    <w:p w:rsidR="002372B4" w:rsidRDefault="002372B4" w:rsidP="005C3052">
      <w:pPr>
        <w:spacing w:after="0" w:line="360" w:lineRule="auto"/>
        <w:rPr>
          <w:rFonts w:ascii="Times New Roman" w:eastAsia="Times New Roman" w:hAnsi="Times New Roman" w:cs="Times New Roman"/>
          <w:sz w:val="24"/>
          <w:szCs w:val="24"/>
        </w:rPr>
        <w:sectPr w:rsidR="002372B4" w:rsidSect="00B84F90">
          <w:footerReference w:type="even" r:id="rId11"/>
          <w:footerReference w:type="default" r:id="rId12"/>
          <w:footerReference w:type="first" r:id="rId13"/>
          <w:pgSz w:w="12240" w:h="15840"/>
          <w:pgMar w:top="1440" w:right="1440" w:bottom="1440" w:left="1440" w:header="720" w:footer="720" w:gutter="0"/>
          <w:pgNumType w:fmt="lowerRoman" w:start="1"/>
          <w:cols w:space="720"/>
          <w:docGrid w:linePitch="360"/>
        </w:sectPr>
      </w:pPr>
      <w:r>
        <w:rPr>
          <w:rFonts w:ascii="Times New Roman" w:eastAsia="Times New Roman" w:hAnsi="Times New Roman" w:cs="Times New Roman"/>
          <w:sz w:val="24"/>
          <w:szCs w:val="24"/>
        </w:rPr>
        <w:tab/>
      </w:r>
      <w:r w:rsidR="00837140">
        <w:rPr>
          <w:rFonts w:ascii="Times New Roman" w:eastAsia="Times New Roman" w:hAnsi="Times New Roman" w:cs="Times New Roman"/>
          <w:sz w:val="24"/>
          <w:szCs w:val="24"/>
        </w:rPr>
        <w:tab/>
      </w:r>
    </w:p>
    <w:p w:rsidR="005C3052" w:rsidRPr="005C3052" w:rsidRDefault="002372B4" w:rsidP="005C3052">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sidR="005C3052" w:rsidRPr="005C3052">
        <w:rPr>
          <w:rFonts w:ascii="Times New Roman" w:eastAsia="Times New Roman" w:hAnsi="Times New Roman" w:cs="Times New Roman"/>
          <w:sz w:val="24"/>
          <w:szCs w:val="24"/>
        </w:rPr>
        <w:t xml:space="preserve">This decision recommends approval of the Joint Petition </w:t>
      </w:r>
      <w:proofErr w:type="gramStart"/>
      <w:r w:rsidR="005C3052" w:rsidRPr="005C3052">
        <w:rPr>
          <w:rFonts w:ascii="Times New Roman" w:eastAsia="Times New Roman" w:hAnsi="Times New Roman" w:cs="Times New Roman"/>
          <w:sz w:val="24"/>
          <w:szCs w:val="24"/>
        </w:rPr>
        <w:t>For</w:t>
      </w:r>
      <w:proofErr w:type="gramEnd"/>
      <w:r w:rsidR="005C3052" w:rsidRPr="005C3052">
        <w:rPr>
          <w:rFonts w:ascii="Times New Roman" w:eastAsia="Times New Roman" w:hAnsi="Times New Roman" w:cs="Times New Roman"/>
          <w:sz w:val="24"/>
          <w:szCs w:val="24"/>
        </w:rPr>
        <w:t xml:space="preserve"> Settlement of All Issues of the Rate Investigation Pursuant to 66 Pa.C.S. § 1307(f) (Joint Petition, Joint Settlement Petition, Settlement Petition or Settlement) submitted in this proceeding by Peoples TWP LLC (Peoples TWP or Company), the Office of Consumer Advocate (OCA), the Office of Small Business Advocate (OSBA), and the Bureau of Investigation and Enforcement (I&amp;E) of the Pennsylvania Public Utility Commission (hereinafter, collectively referred to as the Parties or the Settling Parties</w:t>
      </w:r>
      <w:r w:rsidR="005C3052" w:rsidRPr="005C3052">
        <w:rPr>
          <w:rFonts w:ascii="Times New Roman" w:eastAsia="Times New Roman" w:hAnsi="Times New Roman" w:cs="Times New Roman"/>
          <w:color w:val="000000"/>
          <w:w w:val="108"/>
          <w:sz w:val="24"/>
          <w:szCs w:val="24"/>
        </w:rPr>
        <w:t>)</w:t>
      </w:r>
      <w:r w:rsidR="005C3052" w:rsidRPr="005C3052">
        <w:rPr>
          <w:rFonts w:ascii="Times New Roman" w:eastAsia="Times New Roman" w:hAnsi="Times New Roman" w:cs="Times New Roman"/>
          <w:sz w:val="24"/>
          <w:szCs w:val="24"/>
        </w:rPr>
        <w:t>.  The Parties have requested that a Final Order be entered directing Peoples TWP to reflect rates in the final tariffs effective for service to be rendered on or after August 1, 2015, consistent with the terms of the settlement.</w:t>
      </w:r>
    </w:p>
    <w:p w:rsidR="005C3052" w:rsidRPr="005C3052" w:rsidRDefault="005C3052" w:rsidP="005C3052">
      <w:pPr>
        <w:spacing w:after="0" w:line="360" w:lineRule="auto"/>
        <w:rPr>
          <w:rFonts w:ascii="Times New Roman" w:eastAsia="Times New Roman" w:hAnsi="Times New Roman" w:cs="Times New Roman"/>
          <w:sz w:val="24"/>
          <w:szCs w:val="24"/>
        </w:rPr>
      </w:pPr>
    </w:p>
    <w:p w:rsidR="005C3052" w:rsidRPr="005C3052" w:rsidRDefault="005C3052" w:rsidP="005C3052">
      <w:pPr>
        <w:spacing w:after="0" w:line="360" w:lineRule="auto"/>
        <w:jc w:val="center"/>
        <w:rPr>
          <w:rFonts w:ascii="Times New Roman" w:eastAsia="Times New Roman" w:hAnsi="Times New Roman" w:cs="Times New Roman"/>
          <w:sz w:val="24"/>
          <w:szCs w:val="24"/>
          <w:u w:val="single"/>
        </w:rPr>
      </w:pPr>
      <w:r w:rsidRPr="005C3052">
        <w:rPr>
          <w:rFonts w:ascii="Times New Roman" w:eastAsia="Times New Roman" w:hAnsi="Times New Roman" w:cs="Times New Roman"/>
          <w:sz w:val="24"/>
          <w:szCs w:val="24"/>
        </w:rPr>
        <w:t>I.</w:t>
      </w:r>
      <w:r w:rsidRPr="005C3052">
        <w:rPr>
          <w:rFonts w:ascii="Times New Roman" w:eastAsia="Times New Roman" w:hAnsi="Times New Roman" w:cs="Times New Roman"/>
          <w:sz w:val="24"/>
          <w:szCs w:val="24"/>
        </w:rPr>
        <w:tab/>
      </w:r>
      <w:r w:rsidRPr="005C3052">
        <w:rPr>
          <w:rFonts w:ascii="Times New Roman" w:eastAsia="Times New Roman" w:hAnsi="Times New Roman" w:cs="Times New Roman"/>
          <w:sz w:val="24"/>
          <w:szCs w:val="24"/>
          <w:u w:val="single"/>
        </w:rPr>
        <w:t>HISTORY OF THE PROCEEDING</w:t>
      </w:r>
    </w:p>
    <w:p w:rsidR="005C3052" w:rsidRPr="005C3052" w:rsidRDefault="005C3052" w:rsidP="005C3052">
      <w:pPr>
        <w:spacing w:after="0" w:line="360" w:lineRule="auto"/>
        <w:rPr>
          <w:rFonts w:ascii="Times New Roman" w:eastAsia="Times New Roman" w:hAnsi="Times New Roman" w:cs="Times New Roman"/>
          <w:sz w:val="24"/>
          <w:szCs w:val="24"/>
        </w:rPr>
      </w:pPr>
    </w:p>
    <w:p w:rsidR="005C3052" w:rsidRPr="005C3052" w:rsidRDefault="005C3052" w:rsidP="005C3052">
      <w:pPr>
        <w:spacing w:after="0" w:line="360" w:lineRule="auto"/>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A.</w:t>
      </w:r>
      <w:r w:rsidRPr="005C3052">
        <w:rPr>
          <w:rFonts w:ascii="Times New Roman" w:eastAsia="Times New Roman" w:hAnsi="Times New Roman" w:cs="Times New Roman"/>
          <w:sz w:val="24"/>
          <w:szCs w:val="24"/>
        </w:rPr>
        <w:tab/>
      </w:r>
      <w:r w:rsidRPr="005C3052">
        <w:rPr>
          <w:rFonts w:ascii="Times New Roman" w:eastAsia="Times New Roman" w:hAnsi="Times New Roman" w:cs="Times New Roman"/>
          <w:sz w:val="24"/>
          <w:szCs w:val="24"/>
          <w:u w:val="single"/>
        </w:rPr>
        <w:t>The Filings and Procedural History</w:t>
      </w:r>
    </w:p>
    <w:p w:rsidR="005C3052" w:rsidRPr="005C3052" w:rsidRDefault="005C3052" w:rsidP="00A9353A">
      <w:pPr>
        <w:spacing w:after="0" w:line="360" w:lineRule="auto"/>
        <w:rPr>
          <w:rFonts w:ascii="Times New Roman" w:eastAsia="Times New Roman" w:hAnsi="Times New Roman" w:cs="Times New Roman"/>
          <w:sz w:val="24"/>
          <w:szCs w:val="24"/>
        </w:rPr>
      </w:pPr>
    </w:p>
    <w:p w:rsidR="005C3052" w:rsidRPr="005C3052" w:rsidRDefault="005C3052" w:rsidP="005C3052">
      <w:pPr>
        <w:spacing w:after="0" w:line="360" w:lineRule="auto"/>
        <w:ind w:firstLine="1440"/>
        <w:contextualSpacing/>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 xml:space="preserve"> Peoples TWP is a limited liability company formed under the laws of the Commonwealth of Pennsylvania for the purpose of providing natural gas transmission, distribution, and supplier of last resort services subject to the Commission’s regulatory jurisdiction.  </w:t>
      </w:r>
      <w:proofErr w:type="gramStart"/>
      <w:r w:rsidRPr="005C3052">
        <w:rPr>
          <w:rFonts w:ascii="Times New Roman" w:eastAsia="Times New Roman" w:hAnsi="Times New Roman" w:cs="Times New Roman"/>
          <w:sz w:val="24"/>
          <w:szCs w:val="24"/>
        </w:rPr>
        <w:t>Peoples TWP is</w:t>
      </w:r>
      <w:proofErr w:type="gramEnd"/>
      <w:r w:rsidRPr="005C3052">
        <w:rPr>
          <w:rFonts w:ascii="Times New Roman" w:eastAsia="Times New Roman" w:hAnsi="Times New Roman" w:cs="Times New Roman"/>
          <w:sz w:val="24"/>
          <w:szCs w:val="24"/>
        </w:rPr>
        <w:t xml:space="preserve"> an affiliate of Peoples Natural Gas Company LLC (Peoples).  </w:t>
      </w:r>
      <w:proofErr w:type="gramStart"/>
      <w:r w:rsidR="0037183B">
        <w:rPr>
          <w:rFonts w:ascii="Times New Roman" w:eastAsia="Times New Roman" w:hAnsi="Times New Roman" w:cs="Times New Roman"/>
          <w:sz w:val="24"/>
          <w:szCs w:val="24"/>
        </w:rPr>
        <w:t>(</w:t>
      </w:r>
      <w:r w:rsidRPr="005C3052">
        <w:rPr>
          <w:rFonts w:ascii="Times New Roman" w:eastAsia="Times New Roman" w:hAnsi="Times New Roman" w:cs="Times New Roman"/>
          <w:sz w:val="24"/>
          <w:szCs w:val="24"/>
        </w:rPr>
        <w:t>Joint Petition, p. 2.</w:t>
      </w:r>
      <w:r w:rsidR="0037183B">
        <w:rPr>
          <w:rFonts w:ascii="Times New Roman" w:eastAsia="Times New Roman" w:hAnsi="Times New Roman" w:cs="Times New Roman"/>
          <w:sz w:val="24"/>
          <w:szCs w:val="24"/>
        </w:rPr>
        <w:t>)</w:t>
      </w:r>
      <w:proofErr w:type="gramEnd"/>
    </w:p>
    <w:p w:rsidR="005C3052" w:rsidRPr="005C3052" w:rsidRDefault="005C3052" w:rsidP="005C3052">
      <w:pPr>
        <w:spacing w:after="0" w:line="360" w:lineRule="auto"/>
        <w:ind w:firstLine="1440"/>
        <w:contextualSpacing/>
        <w:rPr>
          <w:rFonts w:ascii="Times New Roman" w:eastAsia="Times New Roman" w:hAnsi="Times New Roman" w:cs="Times New Roman"/>
          <w:sz w:val="24"/>
          <w:szCs w:val="24"/>
        </w:rPr>
      </w:pPr>
    </w:p>
    <w:p w:rsidR="00463B6C" w:rsidRDefault="005C3052" w:rsidP="005C3052">
      <w:pPr>
        <w:spacing w:after="0" w:line="360" w:lineRule="auto"/>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ab/>
      </w:r>
      <w:r w:rsidRPr="005C3052">
        <w:rPr>
          <w:rFonts w:ascii="Times New Roman" w:eastAsia="Times New Roman" w:hAnsi="Times New Roman" w:cs="Times New Roman"/>
          <w:sz w:val="24"/>
          <w:szCs w:val="24"/>
        </w:rPr>
        <w:tab/>
      </w:r>
      <w:proofErr w:type="gramStart"/>
      <w:r w:rsidRPr="005C3052">
        <w:rPr>
          <w:rFonts w:ascii="Times New Roman" w:eastAsia="Times New Roman" w:hAnsi="Times New Roman" w:cs="Times New Roman"/>
          <w:sz w:val="24"/>
          <w:szCs w:val="24"/>
        </w:rPr>
        <w:t>Peoples TWP is</w:t>
      </w:r>
      <w:proofErr w:type="gramEnd"/>
      <w:r w:rsidRPr="005C3052">
        <w:rPr>
          <w:rFonts w:ascii="Times New Roman" w:eastAsia="Times New Roman" w:hAnsi="Times New Roman" w:cs="Times New Roman"/>
          <w:sz w:val="24"/>
          <w:szCs w:val="24"/>
        </w:rPr>
        <w:t xml:space="preserve"> a “public utility” and a “natural gas distribution company” as those terms are defined in Sections 102 and 2202 of the Pennsylvania Public Utility Code (Code), 66 Pa.C.S. </w:t>
      </w:r>
      <w:proofErr w:type="gramStart"/>
      <w:r w:rsidRPr="005C3052">
        <w:rPr>
          <w:rFonts w:ascii="Times New Roman" w:eastAsia="Times New Roman" w:hAnsi="Times New Roman" w:cs="Times New Roman"/>
          <w:sz w:val="24"/>
          <w:szCs w:val="24"/>
        </w:rPr>
        <w:t>§§ 102, 2202.</w:t>
      </w:r>
      <w:proofErr w:type="gramEnd"/>
      <w:r w:rsidRPr="005C3052">
        <w:rPr>
          <w:rFonts w:ascii="Times New Roman" w:eastAsia="Times New Roman" w:hAnsi="Times New Roman" w:cs="Times New Roman"/>
          <w:sz w:val="24"/>
          <w:szCs w:val="24"/>
        </w:rPr>
        <w:t xml:space="preserve">  Peoples TWP provides retail natural gas sales and transportation services to approximately 60,700 customers throughout its service territory, which includes all or portions of the following Pennsylvania counties:  Allegheny, Armstrong, Beaver, Butler, Cambria, Clarion, Clearfield, Indiana, Jefferson, and Westmoreland.  </w:t>
      </w:r>
      <w:r w:rsidR="00691BA4">
        <w:rPr>
          <w:rFonts w:ascii="Times New Roman" w:eastAsia="Times New Roman" w:hAnsi="Times New Roman" w:cs="Times New Roman"/>
          <w:sz w:val="24"/>
          <w:szCs w:val="24"/>
        </w:rPr>
        <w:t>(</w:t>
      </w:r>
      <w:r w:rsidRPr="005C3052">
        <w:rPr>
          <w:rFonts w:ascii="Times New Roman" w:eastAsia="Times New Roman" w:hAnsi="Times New Roman" w:cs="Times New Roman"/>
          <w:sz w:val="24"/>
          <w:szCs w:val="24"/>
        </w:rPr>
        <w:t xml:space="preserve">Joint Petition, </w:t>
      </w:r>
    </w:p>
    <w:p w:rsidR="005C3052" w:rsidRPr="005C3052" w:rsidRDefault="005C3052" w:rsidP="005C3052">
      <w:pPr>
        <w:spacing w:after="0" w:line="360" w:lineRule="auto"/>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p. 2.</w:t>
      </w:r>
      <w:r w:rsidR="00691BA4">
        <w:rPr>
          <w:rFonts w:ascii="Times New Roman" w:eastAsia="Times New Roman" w:hAnsi="Times New Roman" w:cs="Times New Roman"/>
          <w:sz w:val="24"/>
          <w:szCs w:val="24"/>
        </w:rPr>
        <w:t>)</w:t>
      </w:r>
    </w:p>
    <w:p w:rsidR="005C3052" w:rsidRPr="005C3052" w:rsidRDefault="005C3052" w:rsidP="005C3052">
      <w:pPr>
        <w:spacing w:after="0" w:line="360" w:lineRule="auto"/>
        <w:rPr>
          <w:rFonts w:ascii="Times New Roman" w:eastAsia="Times New Roman" w:hAnsi="Times New Roman" w:cs="Times New Roman"/>
          <w:sz w:val="24"/>
          <w:szCs w:val="24"/>
        </w:rPr>
      </w:pPr>
    </w:p>
    <w:p w:rsidR="00A821D9" w:rsidRDefault="005C3052" w:rsidP="00A821D9">
      <w:pPr>
        <w:spacing w:after="0" w:line="360" w:lineRule="auto"/>
        <w:ind w:firstLine="1440"/>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 xml:space="preserve">Because Peoples TWP’s annual operating revenues, derived from providing gas service to customers in Pennsylvania, exceed $40 million, Peoples TWP’s recovery of purchased </w:t>
      </w:r>
      <w:r w:rsidRPr="005C3052">
        <w:rPr>
          <w:rFonts w:ascii="Times New Roman" w:eastAsia="Times New Roman" w:hAnsi="Times New Roman" w:cs="Times New Roman"/>
          <w:sz w:val="24"/>
          <w:szCs w:val="24"/>
        </w:rPr>
        <w:lastRenderedPageBreak/>
        <w:t xml:space="preserve">gas costs is governed by Section 1307(f) of the Public Utility Code, 66 Pa.C.S. § 1307(f), and the Commission’s regulations at 52 Pa.Code §§ 53.61-53.65 and 53.68.  </w:t>
      </w:r>
      <w:r w:rsidR="00691BA4">
        <w:rPr>
          <w:rFonts w:ascii="Times New Roman" w:eastAsia="Times New Roman" w:hAnsi="Times New Roman" w:cs="Times New Roman"/>
          <w:sz w:val="24"/>
          <w:szCs w:val="24"/>
        </w:rPr>
        <w:t>(</w:t>
      </w:r>
      <w:r w:rsidRPr="005C3052">
        <w:rPr>
          <w:rFonts w:ascii="Times New Roman" w:eastAsia="Times New Roman" w:hAnsi="Times New Roman" w:cs="Times New Roman"/>
          <w:sz w:val="24"/>
          <w:szCs w:val="24"/>
        </w:rPr>
        <w:t>Joint Petition, p. 2.</w:t>
      </w:r>
      <w:r w:rsidR="00691BA4">
        <w:rPr>
          <w:rFonts w:ascii="Times New Roman" w:eastAsia="Times New Roman" w:hAnsi="Times New Roman" w:cs="Times New Roman"/>
          <w:sz w:val="24"/>
          <w:szCs w:val="24"/>
        </w:rPr>
        <w:t>)</w:t>
      </w:r>
    </w:p>
    <w:p w:rsidR="00A821D9" w:rsidRDefault="00A821D9" w:rsidP="00A821D9">
      <w:pPr>
        <w:spacing w:after="0" w:line="360" w:lineRule="auto"/>
        <w:ind w:firstLine="1440"/>
        <w:rPr>
          <w:rFonts w:ascii="Times New Roman" w:eastAsia="Times New Roman" w:hAnsi="Times New Roman" w:cs="Times New Roman"/>
          <w:sz w:val="24"/>
          <w:szCs w:val="24"/>
        </w:rPr>
      </w:pPr>
    </w:p>
    <w:p w:rsidR="005C3052" w:rsidRPr="005C3052" w:rsidRDefault="005C3052" w:rsidP="00A821D9">
      <w:pPr>
        <w:spacing w:after="0" w:line="360" w:lineRule="auto"/>
        <w:ind w:firstLine="1440"/>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 xml:space="preserve">On January 2, 2015, Peoples TWP submitted to the Commission, as required under 52 Pa.Code §§ 53.64 and 53.65, pre-filing data in support of a tariff supplement proposing changes in rates for recovery of purchased gas costs (PGC).  </w:t>
      </w:r>
    </w:p>
    <w:p w:rsidR="005C3052" w:rsidRPr="005C3052" w:rsidRDefault="005C3052" w:rsidP="00D63BE7">
      <w:pPr>
        <w:spacing w:after="0" w:line="360" w:lineRule="auto"/>
        <w:ind w:firstLine="720"/>
        <w:rPr>
          <w:rFonts w:ascii="Times New Roman" w:eastAsia="Times New Roman" w:hAnsi="Times New Roman" w:cs="Times New Roman"/>
          <w:sz w:val="24"/>
          <w:szCs w:val="24"/>
        </w:rPr>
      </w:pPr>
    </w:p>
    <w:p w:rsidR="005C3052" w:rsidRPr="005C3052" w:rsidRDefault="005C3052" w:rsidP="00D63BE7">
      <w:pPr>
        <w:spacing w:after="0" w:line="360" w:lineRule="auto"/>
        <w:rPr>
          <w:rFonts w:ascii="Times New Roman" w:eastAsia="Times New Roman" w:hAnsi="Times New Roman" w:cs="Times New Roman"/>
          <w:strike/>
          <w:sz w:val="24"/>
          <w:szCs w:val="24"/>
        </w:rPr>
      </w:pPr>
      <w:r w:rsidRPr="005C3052">
        <w:rPr>
          <w:rFonts w:ascii="Times New Roman" w:eastAsia="Times New Roman" w:hAnsi="Times New Roman" w:cs="Times New Roman"/>
          <w:sz w:val="24"/>
          <w:szCs w:val="24"/>
        </w:rPr>
        <w:tab/>
      </w:r>
      <w:r w:rsidR="00B84F90">
        <w:rPr>
          <w:rFonts w:ascii="Times New Roman" w:eastAsia="Times New Roman" w:hAnsi="Times New Roman" w:cs="Times New Roman"/>
          <w:sz w:val="24"/>
          <w:szCs w:val="24"/>
        </w:rPr>
        <w:tab/>
      </w:r>
      <w:r w:rsidRPr="005C3052">
        <w:rPr>
          <w:rFonts w:ascii="Times New Roman" w:eastAsia="Times New Roman" w:hAnsi="Times New Roman" w:cs="Times New Roman"/>
          <w:sz w:val="24"/>
          <w:szCs w:val="24"/>
        </w:rPr>
        <w:t>T</w:t>
      </w:r>
      <w:r w:rsidRPr="005C3052">
        <w:rPr>
          <w:rFonts w:ascii="Times New Roman" w:eastAsia="Times New Roman" w:hAnsi="Times New Roman" w:cs="Times New Roman"/>
          <w:sz w:val="24"/>
          <w:szCs w:val="20"/>
        </w:rPr>
        <w:t xml:space="preserve">he </w:t>
      </w:r>
      <w:r w:rsidRPr="005C3052">
        <w:rPr>
          <w:rFonts w:ascii="Times New Roman" w:eastAsia="Times New Roman" w:hAnsi="Times New Roman" w:cs="Times New Roman"/>
          <w:sz w:val="24"/>
          <w:szCs w:val="24"/>
        </w:rPr>
        <w:t>Office of Small Business Advocate filed a formal complaint to this filing on Janua</w:t>
      </w:r>
      <w:r w:rsidR="00A821D9">
        <w:rPr>
          <w:rFonts w:ascii="Times New Roman" w:eastAsia="Times New Roman" w:hAnsi="Times New Roman" w:cs="Times New Roman"/>
          <w:sz w:val="24"/>
          <w:szCs w:val="24"/>
        </w:rPr>
        <w:t xml:space="preserve">ry 21, 2015 at Docket No. </w:t>
      </w:r>
      <w:proofErr w:type="gramStart"/>
      <w:r w:rsidR="00A821D9">
        <w:rPr>
          <w:rFonts w:ascii="Times New Roman" w:eastAsia="Times New Roman" w:hAnsi="Times New Roman" w:cs="Times New Roman"/>
          <w:sz w:val="24"/>
          <w:szCs w:val="24"/>
        </w:rPr>
        <w:t>C-2015</w:t>
      </w:r>
      <w:r w:rsidRPr="005C3052">
        <w:rPr>
          <w:rFonts w:ascii="Times New Roman" w:eastAsia="Times New Roman" w:hAnsi="Times New Roman" w:cs="Times New Roman"/>
          <w:sz w:val="24"/>
          <w:szCs w:val="24"/>
        </w:rPr>
        <w:t>-2464270</w:t>
      </w:r>
      <w:r w:rsidRPr="005C3052">
        <w:rPr>
          <w:rFonts w:ascii="Times New Roman" w:eastAsia="Times New Roman" w:hAnsi="Times New Roman" w:cs="Times New Roman"/>
          <w:sz w:val="24"/>
          <w:szCs w:val="20"/>
        </w:rPr>
        <w:t>.</w:t>
      </w:r>
      <w:proofErr w:type="gramEnd"/>
      <w:r w:rsidRPr="005C3052">
        <w:rPr>
          <w:rFonts w:ascii="Times New Roman" w:eastAsia="Times New Roman" w:hAnsi="Times New Roman" w:cs="Times New Roman"/>
          <w:sz w:val="24"/>
          <w:szCs w:val="20"/>
        </w:rPr>
        <w:t xml:space="preserve">  </w:t>
      </w:r>
      <w:r w:rsidRPr="005C3052">
        <w:rPr>
          <w:rFonts w:ascii="Times New Roman" w:eastAsia="Times New Roman" w:hAnsi="Times New Roman" w:cs="Times New Roman"/>
          <w:sz w:val="24"/>
          <w:szCs w:val="24"/>
        </w:rPr>
        <w:t>The Office of Consumer Advocate filed a formal complaint to this filing on January 27, 2015,</w:t>
      </w:r>
      <w:r w:rsidRPr="005C3052">
        <w:rPr>
          <w:rFonts w:ascii="Times New Roman" w:eastAsia="Times New Roman" w:hAnsi="Times New Roman" w:cs="Times New Roman"/>
          <w:color w:val="FF0000"/>
          <w:sz w:val="24"/>
          <w:szCs w:val="24"/>
        </w:rPr>
        <w:t xml:space="preserve"> </w:t>
      </w:r>
      <w:r w:rsidRPr="005C3052">
        <w:rPr>
          <w:rFonts w:ascii="Times New Roman" w:eastAsia="Times New Roman" w:hAnsi="Times New Roman" w:cs="Times New Roman"/>
          <w:sz w:val="24"/>
          <w:szCs w:val="24"/>
        </w:rPr>
        <w:t xml:space="preserve">at Docket No. </w:t>
      </w:r>
      <w:proofErr w:type="gramStart"/>
      <w:r w:rsidRPr="005C3052">
        <w:rPr>
          <w:rFonts w:ascii="Times New Roman" w:eastAsia="Times New Roman" w:hAnsi="Times New Roman" w:cs="Times New Roman"/>
          <w:sz w:val="24"/>
          <w:szCs w:val="20"/>
        </w:rPr>
        <w:t>C-201</w:t>
      </w:r>
      <w:r w:rsidR="00A821D9">
        <w:rPr>
          <w:rFonts w:ascii="Times New Roman" w:eastAsia="Times New Roman" w:hAnsi="Times New Roman" w:cs="Times New Roman"/>
          <w:sz w:val="24"/>
          <w:szCs w:val="20"/>
        </w:rPr>
        <w:t>5</w:t>
      </w:r>
      <w:r w:rsidRPr="005C3052">
        <w:rPr>
          <w:rFonts w:ascii="Times New Roman" w:eastAsia="Times New Roman" w:hAnsi="Times New Roman" w:cs="Times New Roman"/>
          <w:sz w:val="24"/>
          <w:szCs w:val="20"/>
        </w:rPr>
        <w:t>-2464412.</w:t>
      </w:r>
      <w:proofErr w:type="gramEnd"/>
      <w:r w:rsidRPr="005C3052">
        <w:rPr>
          <w:rFonts w:ascii="Times New Roman" w:eastAsia="Times New Roman" w:hAnsi="Times New Roman" w:cs="Times New Roman"/>
          <w:sz w:val="24"/>
          <w:szCs w:val="20"/>
        </w:rPr>
        <w:t xml:space="preserve">  </w:t>
      </w:r>
      <w:r w:rsidRPr="005C3052">
        <w:rPr>
          <w:rFonts w:ascii="Times New Roman" w:eastAsia="Times New Roman" w:hAnsi="Times New Roman" w:cs="Times New Roman"/>
          <w:sz w:val="24"/>
          <w:szCs w:val="24"/>
        </w:rPr>
        <w:t xml:space="preserve">The Commission’s Bureau of Investigation and Enforcement entered its appearance in this proceeding on February 3, 2015.  </w:t>
      </w:r>
      <w:r w:rsidRPr="005C3052">
        <w:rPr>
          <w:rFonts w:ascii="Times New Roman" w:eastAsia="Times New Roman" w:hAnsi="Times New Roman" w:cs="Times New Roman"/>
          <w:sz w:val="24"/>
          <w:szCs w:val="20"/>
        </w:rPr>
        <w:t xml:space="preserve">  </w:t>
      </w:r>
    </w:p>
    <w:p w:rsidR="005C3052" w:rsidRPr="005C3052" w:rsidRDefault="005C3052" w:rsidP="00D63BE7">
      <w:pPr>
        <w:spacing w:after="0" w:line="360" w:lineRule="auto"/>
        <w:ind w:firstLine="720"/>
        <w:rPr>
          <w:rFonts w:ascii="Times New Roman" w:eastAsia="Times New Roman" w:hAnsi="Times New Roman" w:cs="Times New Roman"/>
          <w:sz w:val="24"/>
          <w:szCs w:val="24"/>
        </w:rPr>
      </w:pPr>
    </w:p>
    <w:p w:rsidR="005C3052" w:rsidRPr="005C3052" w:rsidRDefault="00B84F90" w:rsidP="00D63BE7">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C3052" w:rsidRPr="005C3052">
        <w:rPr>
          <w:rFonts w:ascii="Times New Roman" w:eastAsia="Times New Roman" w:hAnsi="Times New Roman" w:cs="Times New Roman"/>
          <w:sz w:val="24"/>
          <w:szCs w:val="24"/>
        </w:rPr>
        <w:t xml:space="preserve">On January 30, 2015, a Notice was issued and provided to the </w:t>
      </w:r>
      <w:r w:rsidR="00837499">
        <w:rPr>
          <w:rFonts w:ascii="Times New Roman" w:eastAsia="Times New Roman" w:hAnsi="Times New Roman" w:cs="Times New Roman"/>
          <w:sz w:val="24"/>
          <w:szCs w:val="24"/>
        </w:rPr>
        <w:t>P</w:t>
      </w:r>
      <w:r w:rsidR="005C3052" w:rsidRPr="005C3052">
        <w:rPr>
          <w:rFonts w:ascii="Times New Roman" w:eastAsia="Times New Roman" w:hAnsi="Times New Roman" w:cs="Times New Roman"/>
          <w:sz w:val="24"/>
          <w:szCs w:val="24"/>
        </w:rPr>
        <w:t xml:space="preserve">arties, scheduling an initial prehearing conference for Monday, February 9, 2015 at 10:00 a.m. </w:t>
      </w:r>
    </w:p>
    <w:p w:rsidR="005C3052" w:rsidRPr="005C3052" w:rsidRDefault="005C3052" w:rsidP="00D63BE7">
      <w:pPr>
        <w:spacing w:after="0" w:line="360" w:lineRule="auto"/>
        <w:ind w:firstLine="720"/>
        <w:rPr>
          <w:rFonts w:ascii="Times New Roman" w:eastAsia="Times New Roman" w:hAnsi="Times New Roman" w:cs="Times New Roman"/>
          <w:sz w:val="24"/>
          <w:szCs w:val="24"/>
        </w:rPr>
      </w:pPr>
    </w:p>
    <w:p w:rsidR="0093695C" w:rsidRDefault="00B84F90" w:rsidP="00A01AE0">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C3052" w:rsidRPr="005C3052">
        <w:rPr>
          <w:rFonts w:ascii="Times New Roman" w:eastAsia="Times New Roman" w:hAnsi="Times New Roman" w:cs="Times New Roman"/>
          <w:sz w:val="24"/>
          <w:szCs w:val="24"/>
        </w:rPr>
        <w:t xml:space="preserve">On February 2, 2015, Peoples TWP filed with the Commission its unnumbered and undated supplement to Tariff Gas – Pa. P.U.C. No. 8 as required by Section 1307(f) to provide for projected changes in tariff rates resulting in its rates for recovery of PGC.  In the supplement, the Company proposed a decrease in its rates for recovery of PGC applicable to residential sales service customers of $0.9662/Mcf, from the PGC rates in effect as of </w:t>
      </w:r>
    </w:p>
    <w:p w:rsidR="005C3052" w:rsidRPr="005C3052" w:rsidRDefault="005C3052" w:rsidP="00563575">
      <w:pPr>
        <w:spacing w:after="0" w:line="360" w:lineRule="auto"/>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November 1, 2014.  Rate changes related to the recovery of PGC were proposed for other customer classes.  Peoples TWP proposed that the new rates become effective on August 1, 2015.</w:t>
      </w:r>
      <w:r w:rsidRPr="005C3052">
        <w:rPr>
          <w:rFonts w:ascii="Times New Roman" w:eastAsia="Times New Roman" w:hAnsi="Times New Roman" w:cs="Times New Roman"/>
          <w:b/>
          <w:sz w:val="24"/>
          <w:szCs w:val="24"/>
        </w:rPr>
        <w:t xml:space="preserve">  </w:t>
      </w:r>
      <w:proofErr w:type="gramStart"/>
      <w:r w:rsidR="00A821D9">
        <w:rPr>
          <w:rFonts w:ascii="Times New Roman" w:eastAsia="Times New Roman" w:hAnsi="Times New Roman" w:cs="Times New Roman"/>
          <w:b/>
          <w:sz w:val="24"/>
          <w:szCs w:val="24"/>
        </w:rPr>
        <w:t>(</w:t>
      </w:r>
      <w:r w:rsidRPr="005C3052">
        <w:rPr>
          <w:rFonts w:ascii="Times New Roman" w:eastAsia="Times New Roman" w:hAnsi="Times New Roman" w:cs="Times New Roman"/>
          <w:sz w:val="24"/>
          <w:szCs w:val="24"/>
        </w:rPr>
        <w:t>Joint Petition, pp. 1,</w:t>
      </w:r>
      <w:r w:rsidR="00D63BE7">
        <w:rPr>
          <w:rFonts w:ascii="Times New Roman" w:eastAsia="Times New Roman" w:hAnsi="Times New Roman" w:cs="Times New Roman"/>
          <w:sz w:val="24"/>
          <w:szCs w:val="24"/>
        </w:rPr>
        <w:t xml:space="preserve"> </w:t>
      </w:r>
      <w:r w:rsidRPr="005C3052">
        <w:rPr>
          <w:rFonts w:ascii="Times New Roman" w:eastAsia="Times New Roman" w:hAnsi="Times New Roman" w:cs="Times New Roman"/>
          <w:sz w:val="24"/>
          <w:szCs w:val="24"/>
        </w:rPr>
        <w:t>3.</w:t>
      </w:r>
      <w:r w:rsidR="00A821D9">
        <w:rPr>
          <w:rFonts w:ascii="Times New Roman" w:eastAsia="Times New Roman" w:hAnsi="Times New Roman" w:cs="Times New Roman"/>
          <w:sz w:val="24"/>
          <w:szCs w:val="24"/>
        </w:rPr>
        <w:t>)</w:t>
      </w:r>
      <w:proofErr w:type="gramEnd"/>
    </w:p>
    <w:p w:rsidR="005C3052" w:rsidRPr="005C3052" w:rsidRDefault="005C3052" w:rsidP="00563575">
      <w:pPr>
        <w:spacing w:after="0" w:line="360" w:lineRule="auto"/>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 xml:space="preserve">   </w:t>
      </w:r>
    </w:p>
    <w:p w:rsidR="005C3052" w:rsidRDefault="005C3052" w:rsidP="00563575">
      <w:pPr>
        <w:spacing w:after="0" w:line="360" w:lineRule="auto"/>
        <w:rPr>
          <w:rFonts w:ascii="Times New Roman" w:eastAsia="Times New Roman" w:hAnsi="Times New Roman" w:cs="Times New Roman"/>
          <w:sz w:val="24"/>
          <w:szCs w:val="24"/>
        </w:rPr>
      </w:pPr>
      <w:r w:rsidRPr="005C3052">
        <w:rPr>
          <w:rFonts w:ascii="Times New Roman" w:eastAsia="Times New Roman" w:hAnsi="Times New Roman" w:cs="Times New Roman"/>
          <w:sz w:val="20"/>
          <w:szCs w:val="20"/>
        </w:rPr>
        <w:tab/>
      </w:r>
      <w:r w:rsidRPr="005C3052">
        <w:rPr>
          <w:rFonts w:ascii="Times New Roman" w:eastAsia="Times New Roman" w:hAnsi="Times New Roman" w:cs="Times New Roman"/>
          <w:sz w:val="20"/>
          <w:szCs w:val="20"/>
        </w:rPr>
        <w:tab/>
      </w:r>
      <w:r w:rsidRPr="005C3052">
        <w:rPr>
          <w:rFonts w:ascii="Times New Roman" w:eastAsia="Times New Roman" w:hAnsi="Times New Roman" w:cs="Times New Roman"/>
          <w:sz w:val="24"/>
          <w:szCs w:val="24"/>
        </w:rPr>
        <w:t xml:space="preserve">By Prehearing Conference Order dated February 2, 2015, Peoples TWP, OCA, OSBA and I&amp;E were notified that the proceeding was assigned to the undersigned Administrative Law Judge (ALJ) for a telephonic Prehearing Conference conducted from the Commission’s Pittsburgh Hearing Room on February 9, 2015, at 1:00 p.m.  In accordance with the regulations pertaining to prehearing conferences, 52 Pa.Code §§ 5.221-5.224, the </w:t>
      </w:r>
      <w:r w:rsidR="00837499">
        <w:rPr>
          <w:rFonts w:ascii="Times New Roman" w:eastAsia="Times New Roman" w:hAnsi="Times New Roman" w:cs="Times New Roman"/>
          <w:sz w:val="24"/>
          <w:szCs w:val="24"/>
        </w:rPr>
        <w:t>P</w:t>
      </w:r>
      <w:r w:rsidRPr="005C3052">
        <w:rPr>
          <w:rFonts w:ascii="Times New Roman" w:eastAsia="Times New Roman" w:hAnsi="Times New Roman" w:cs="Times New Roman"/>
          <w:sz w:val="24"/>
          <w:szCs w:val="24"/>
        </w:rPr>
        <w:t xml:space="preserve">arties </w:t>
      </w:r>
      <w:r w:rsidRPr="005C3052">
        <w:rPr>
          <w:rFonts w:ascii="Times New Roman" w:eastAsia="Times New Roman" w:hAnsi="Times New Roman" w:cs="Times New Roman"/>
          <w:sz w:val="24"/>
          <w:szCs w:val="24"/>
        </w:rPr>
        <w:lastRenderedPageBreak/>
        <w:t xml:space="preserve">were directed to file their prehearing memorandums on or before February 6, 2015.  The Prehearing Conference proceeded as scheduled on February 9, 2015.  </w:t>
      </w:r>
    </w:p>
    <w:p w:rsidR="00A821D9" w:rsidRPr="005C3052" w:rsidRDefault="00A821D9" w:rsidP="00563575">
      <w:pPr>
        <w:spacing w:after="0" w:line="360" w:lineRule="auto"/>
        <w:rPr>
          <w:rFonts w:ascii="Times New Roman" w:eastAsia="Times New Roman" w:hAnsi="Times New Roman" w:cs="Times New Roman"/>
          <w:sz w:val="24"/>
          <w:szCs w:val="24"/>
        </w:rPr>
      </w:pPr>
    </w:p>
    <w:p w:rsidR="005C3052" w:rsidRPr="005C3052" w:rsidRDefault="005C3052" w:rsidP="00A01AE0">
      <w:pPr>
        <w:spacing w:after="0" w:line="360" w:lineRule="auto"/>
        <w:ind w:firstLine="1440"/>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 xml:space="preserve">Formal discovery requests were propounded by the Parties.  The Parties also exchanged information through informal discovery.  </w:t>
      </w:r>
      <w:proofErr w:type="gramStart"/>
      <w:r w:rsidR="00A821D9">
        <w:rPr>
          <w:rFonts w:ascii="Times New Roman" w:eastAsia="Times New Roman" w:hAnsi="Times New Roman" w:cs="Times New Roman"/>
          <w:sz w:val="24"/>
          <w:szCs w:val="24"/>
        </w:rPr>
        <w:t>(</w:t>
      </w:r>
      <w:r w:rsidRPr="005C3052">
        <w:rPr>
          <w:rFonts w:ascii="Times New Roman" w:eastAsia="Times New Roman" w:hAnsi="Times New Roman" w:cs="Times New Roman"/>
          <w:sz w:val="24"/>
          <w:szCs w:val="24"/>
        </w:rPr>
        <w:t>Joint Petition, p. 3.</w:t>
      </w:r>
      <w:r w:rsidR="00A821D9">
        <w:rPr>
          <w:rFonts w:ascii="Times New Roman" w:eastAsia="Times New Roman" w:hAnsi="Times New Roman" w:cs="Times New Roman"/>
          <w:sz w:val="24"/>
          <w:szCs w:val="24"/>
        </w:rPr>
        <w:t>)</w:t>
      </w:r>
      <w:proofErr w:type="gramEnd"/>
    </w:p>
    <w:p w:rsidR="005C3052" w:rsidRPr="005C3052" w:rsidRDefault="005C3052" w:rsidP="00A9353A">
      <w:pPr>
        <w:tabs>
          <w:tab w:val="num" w:pos="1440"/>
        </w:tabs>
        <w:spacing w:after="0" w:line="360" w:lineRule="auto"/>
        <w:ind w:firstLine="720"/>
        <w:rPr>
          <w:rFonts w:ascii="Times New Roman" w:eastAsia="Times New Roman" w:hAnsi="Times New Roman" w:cs="Times New Roman"/>
          <w:sz w:val="24"/>
          <w:szCs w:val="24"/>
        </w:rPr>
      </w:pPr>
      <w:r w:rsidRPr="005C3052">
        <w:rPr>
          <w:rFonts w:ascii="Times New Roman" w:eastAsia="Times New Roman" w:hAnsi="Times New Roman" w:cs="Times New Roman"/>
          <w:b/>
          <w:sz w:val="24"/>
          <w:szCs w:val="24"/>
        </w:rPr>
        <w:tab/>
      </w:r>
    </w:p>
    <w:p w:rsidR="005C3052" w:rsidRPr="005C3052" w:rsidRDefault="005C3052" w:rsidP="00A01AE0">
      <w:pPr>
        <w:spacing w:after="0" w:line="360" w:lineRule="auto"/>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B.</w:t>
      </w:r>
      <w:r w:rsidRPr="005C3052">
        <w:rPr>
          <w:rFonts w:ascii="Times New Roman" w:eastAsia="Times New Roman" w:hAnsi="Times New Roman" w:cs="Times New Roman"/>
          <w:sz w:val="24"/>
          <w:szCs w:val="24"/>
        </w:rPr>
        <w:tab/>
      </w:r>
      <w:r w:rsidR="00A821D9">
        <w:rPr>
          <w:rFonts w:ascii="Times New Roman" w:eastAsia="Times New Roman" w:hAnsi="Times New Roman" w:cs="Times New Roman"/>
          <w:sz w:val="24"/>
          <w:szCs w:val="24"/>
          <w:u w:val="single"/>
        </w:rPr>
        <w:t>Prehearing Conference and Evidentiary Hearing</w:t>
      </w:r>
      <w:r w:rsidRPr="005C3052">
        <w:rPr>
          <w:rFonts w:ascii="Times New Roman" w:eastAsia="Times New Roman" w:hAnsi="Times New Roman" w:cs="Times New Roman"/>
          <w:sz w:val="24"/>
          <w:szCs w:val="24"/>
          <w:u w:val="single"/>
        </w:rPr>
        <w:t xml:space="preserve"> </w:t>
      </w:r>
    </w:p>
    <w:p w:rsidR="005C3052" w:rsidRPr="005C3052" w:rsidRDefault="005C3052" w:rsidP="00B71B80">
      <w:pPr>
        <w:spacing w:after="0" w:line="360" w:lineRule="auto"/>
        <w:rPr>
          <w:rFonts w:ascii="Times New Roman" w:eastAsia="Times New Roman" w:hAnsi="Times New Roman" w:cs="Times New Roman"/>
          <w:b/>
          <w:sz w:val="24"/>
          <w:szCs w:val="24"/>
        </w:rPr>
      </w:pPr>
    </w:p>
    <w:p w:rsidR="005C3052" w:rsidRPr="005C3052" w:rsidRDefault="005C3052" w:rsidP="00F36178">
      <w:pPr>
        <w:widowControl w:val="0"/>
        <w:adjustRightInd w:val="0"/>
        <w:spacing w:after="0" w:line="360" w:lineRule="auto"/>
        <w:rPr>
          <w:rFonts w:ascii="Times New Roman" w:eastAsia="Times New Roman" w:hAnsi="Times New Roman" w:cs="Times New Roman"/>
          <w:sz w:val="24"/>
          <w:szCs w:val="24"/>
        </w:rPr>
      </w:pPr>
      <w:r w:rsidRPr="005C3052">
        <w:rPr>
          <w:rFonts w:ascii="Times New Roman" w:eastAsia="Times New Roman" w:hAnsi="Times New Roman" w:cs="Times New Roman"/>
          <w:b/>
          <w:sz w:val="24"/>
          <w:szCs w:val="24"/>
        </w:rPr>
        <w:tab/>
      </w:r>
      <w:r w:rsidRPr="005C3052">
        <w:rPr>
          <w:rFonts w:ascii="Times New Roman" w:eastAsia="Times New Roman" w:hAnsi="Times New Roman" w:cs="Times New Roman"/>
          <w:b/>
          <w:sz w:val="24"/>
          <w:szCs w:val="24"/>
        </w:rPr>
        <w:tab/>
      </w:r>
      <w:r w:rsidRPr="005C3052">
        <w:rPr>
          <w:rFonts w:ascii="Times New Roman" w:eastAsia="Times New Roman" w:hAnsi="Times New Roman" w:cs="Times New Roman"/>
          <w:sz w:val="24"/>
          <w:szCs w:val="24"/>
        </w:rPr>
        <w:t>The Prehearing Conference was held as scheduled on February 9, 2015.  Counsel for the Company and the Parties participated in the Prehearing Conference, which resulted in the establishment of a litigation schedule, which included evidentiary hearings to be held on April 9-10, 2015.</w:t>
      </w:r>
    </w:p>
    <w:p w:rsidR="005C3052" w:rsidRPr="005C3052" w:rsidRDefault="005C3052" w:rsidP="00F36178">
      <w:pPr>
        <w:tabs>
          <w:tab w:val="left" w:pos="4410"/>
        </w:tabs>
        <w:spacing w:after="0" w:line="360" w:lineRule="auto"/>
        <w:rPr>
          <w:rFonts w:ascii="Times New Roman" w:eastAsia="Times New Roman" w:hAnsi="Times New Roman" w:cs="Times New Roman"/>
          <w:sz w:val="24"/>
          <w:szCs w:val="24"/>
        </w:rPr>
      </w:pPr>
    </w:p>
    <w:p w:rsidR="005C3052" w:rsidRPr="005C3052" w:rsidRDefault="005C3052" w:rsidP="005C3052">
      <w:pPr>
        <w:spacing w:after="0" w:line="360" w:lineRule="auto"/>
        <w:ind w:firstLine="1440"/>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 xml:space="preserve">On February 10, 2015, a Prehearing Order Setting Litigation Schedule </w:t>
      </w:r>
      <w:proofErr w:type="gramStart"/>
      <w:r w:rsidRPr="005C3052">
        <w:rPr>
          <w:rFonts w:ascii="Times New Roman" w:eastAsia="Times New Roman" w:hAnsi="Times New Roman" w:cs="Times New Roman"/>
          <w:sz w:val="24"/>
          <w:szCs w:val="24"/>
        </w:rPr>
        <w:t>And</w:t>
      </w:r>
      <w:proofErr w:type="gramEnd"/>
      <w:r w:rsidRPr="005C3052">
        <w:rPr>
          <w:rFonts w:ascii="Times New Roman" w:eastAsia="Times New Roman" w:hAnsi="Times New Roman" w:cs="Times New Roman"/>
          <w:sz w:val="24"/>
          <w:szCs w:val="24"/>
        </w:rPr>
        <w:t xml:space="preserve"> Consolidating Complaints was issued.  The Formal Complaints of OCA at Docket No. C</w:t>
      </w:r>
      <w:r w:rsidRPr="005C3052">
        <w:rPr>
          <w:rFonts w:ascii="Times New Roman" w:eastAsia="Times New Roman" w:hAnsi="Times New Roman" w:cs="Times New Roman"/>
          <w:spacing w:val="-3"/>
          <w:sz w:val="24"/>
          <w:szCs w:val="24"/>
        </w:rPr>
        <w:noBreakHyphen/>
        <w:t>201</w:t>
      </w:r>
      <w:r w:rsidR="00CF7D1B">
        <w:rPr>
          <w:rFonts w:ascii="Times New Roman" w:eastAsia="Times New Roman" w:hAnsi="Times New Roman" w:cs="Times New Roman"/>
          <w:spacing w:val="-3"/>
          <w:sz w:val="24"/>
          <w:szCs w:val="24"/>
        </w:rPr>
        <w:t>5</w:t>
      </w:r>
      <w:r w:rsidRPr="005C3052">
        <w:rPr>
          <w:rFonts w:ascii="Times New Roman" w:eastAsia="Times New Roman" w:hAnsi="Times New Roman" w:cs="Times New Roman"/>
          <w:sz w:val="24"/>
          <w:szCs w:val="24"/>
        </w:rPr>
        <w:noBreakHyphen/>
        <w:t xml:space="preserve">2464412 and OSBA at Docket No. </w:t>
      </w:r>
      <w:r w:rsidR="00CF7D1B">
        <w:rPr>
          <w:rFonts w:ascii="Times New Roman" w:eastAsia="Times New Roman" w:hAnsi="Times New Roman" w:cs="Times New Roman"/>
          <w:sz w:val="24"/>
          <w:szCs w:val="24"/>
        </w:rPr>
        <w:t>C-2015-2464270</w:t>
      </w:r>
      <w:r w:rsidRPr="005C3052">
        <w:rPr>
          <w:rFonts w:ascii="Times New Roman" w:eastAsia="Times New Roman" w:hAnsi="Times New Roman" w:cs="Times New Roman"/>
          <w:sz w:val="24"/>
          <w:szCs w:val="24"/>
        </w:rPr>
        <w:t xml:space="preserve"> were consolidated with Peoples TWP’s Purchased Gas Costs (PGC) filing pursuant to 66 Pa.C.S. § 1307(f) at Docket No. </w:t>
      </w:r>
      <w:proofErr w:type="gramStart"/>
      <w:r w:rsidRPr="005C3052">
        <w:rPr>
          <w:rFonts w:ascii="Times New Roman" w:eastAsia="Times New Roman" w:hAnsi="Times New Roman" w:cs="Times New Roman"/>
          <w:spacing w:val="-3"/>
          <w:sz w:val="24"/>
          <w:szCs w:val="24"/>
        </w:rPr>
        <w:t>R</w:t>
      </w:r>
      <w:r w:rsidRPr="005C3052">
        <w:rPr>
          <w:rFonts w:ascii="Times New Roman" w:eastAsia="Times New Roman" w:hAnsi="Times New Roman" w:cs="Times New Roman"/>
          <w:spacing w:val="-3"/>
          <w:sz w:val="24"/>
          <w:szCs w:val="24"/>
        </w:rPr>
        <w:noBreakHyphen/>
        <w:t>2014</w:t>
      </w:r>
      <w:r w:rsidRPr="005C3052">
        <w:rPr>
          <w:rFonts w:ascii="Times New Roman" w:eastAsia="Times New Roman" w:hAnsi="Times New Roman" w:cs="Times New Roman"/>
          <w:sz w:val="24"/>
          <w:szCs w:val="24"/>
        </w:rPr>
        <w:t>-2456648.</w:t>
      </w:r>
      <w:proofErr w:type="gramEnd"/>
      <w:r w:rsidRPr="005C3052">
        <w:rPr>
          <w:rFonts w:ascii="Times New Roman" w:eastAsia="Times New Roman" w:hAnsi="Times New Roman" w:cs="Times New Roman"/>
          <w:sz w:val="24"/>
          <w:szCs w:val="24"/>
        </w:rPr>
        <w:t xml:space="preserve">  No Petitions to Intervene were filed in this matter.</w:t>
      </w:r>
    </w:p>
    <w:p w:rsidR="005C3052" w:rsidRPr="005C3052" w:rsidRDefault="005C3052" w:rsidP="005C3052">
      <w:pPr>
        <w:spacing w:after="0" w:line="360" w:lineRule="auto"/>
        <w:ind w:firstLine="1440"/>
        <w:rPr>
          <w:rFonts w:ascii="Times New Roman" w:eastAsia="Times New Roman" w:hAnsi="Times New Roman" w:cs="Times New Roman"/>
          <w:sz w:val="24"/>
          <w:szCs w:val="24"/>
        </w:rPr>
      </w:pPr>
    </w:p>
    <w:p w:rsidR="005C3052" w:rsidRPr="005C3052" w:rsidRDefault="005C3052" w:rsidP="005C3052">
      <w:pPr>
        <w:spacing w:after="0" w:line="360" w:lineRule="auto"/>
        <w:ind w:firstLine="1440"/>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On February 19, 2015, a Hearing Notice was issued, scheduling the initial hearing in this proceeding for April 9-10, 2015 in Harrisburg, Pennsylvania.</w:t>
      </w:r>
    </w:p>
    <w:p w:rsidR="005C3052" w:rsidRPr="005C3052" w:rsidRDefault="005C3052" w:rsidP="00F32D52">
      <w:pPr>
        <w:spacing w:after="0" w:line="360" w:lineRule="auto"/>
        <w:rPr>
          <w:rFonts w:ascii="Times New Roman" w:eastAsia="Times New Roman" w:hAnsi="Times New Roman" w:cs="Times New Roman"/>
          <w:b/>
          <w:sz w:val="24"/>
          <w:szCs w:val="24"/>
        </w:rPr>
      </w:pPr>
    </w:p>
    <w:p w:rsidR="005C3052" w:rsidRPr="005C3052" w:rsidRDefault="005C3052" w:rsidP="005C3052">
      <w:pPr>
        <w:spacing w:after="0" w:line="360" w:lineRule="auto"/>
        <w:rPr>
          <w:rFonts w:ascii="Times New Roman" w:eastAsia="Times New Roman" w:hAnsi="Times New Roman" w:cs="Times New Roman"/>
          <w:sz w:val="24"/>
          <w:szCs w:val="24"/>
        </w:rPr>
      </w:pPr>
      <w:r w:rsidRPr="005C3052">
        <w:rPr>
          <w:rFonts w:ascii="Times New Roman" w:eastAsia="Times New Roman" w:hAnsi="Times New Roman" w:cs="Times New Roman"/>
          <w:b/>
          <w:sz w:val="24"/>
          <w:szCs w:val="24"/>
        </w:rPr>
        <w:tab/>
      </w:r>
      <w:r w:rsidRPr="005C3052">
        <w:rPr>
          <w:rFonts w:ascii="Times New Roman" w:eastAsia="Times New Roman" w:hAnsi="Times New Roman" w:cs="Times New Roman"/>
          <w:b/>
          <w:sz w:val="24"/>
          <w:szCs w:val="24"/>
        </w:rPr>
        <w:tab/>
      </w:r>
      <w:r w:rsidRPr="005C3052">
        <w:rPr>
          <w:rFonts w:ascii="Times New Roman" w:eastAsia="Times New Roman" w:hAnsi="Times New Roman" w:cs="Times New Roman"/>
          <w:sz w:val="24"/>
          <w:szCs w:val="24"/>
        </w:rPr>
        <w:t>On April 8, 2015, the undersigned ALJ received a telephone call from counsel for the Company, advising that the Parties had reached a settlement in principle and requested that the hearing scheduled for April 10, 2015, be cancelled.  Accordingly, on April 8, 2015, a Cancellation Notice was issued, cancelling the second day for hearings, scheduled for April 10, 2015.</w:t>
      </w:r>
    </w:p>
    <w:p w:rsidR="005C3052" w:rsidRPr="005C3052" w:rsidRDefault="005C3052" w:rsidP="005C3052">
      <w:pPr>
        <w:spacing w:after="0" w:line="360" w:lineRule="auto"/>
        <w:rPr>
          <w:rFonts w:ascii="Times New Roman" w:eastAsia="Times New Roman" w:hAnsi="Times New Roman" w:cs="Times New Roman"/>
          <w:sz w:val="24"/>
          <w:szCs w:val="24"/>
        </w:rPr>
      </w:pPr>
    </w:p>
    <w:p w:rsidR="005C3052" w:rsidRPr="005C3052" w:rsidRDefault="005C3052" w:rsidP="005C3052">
      <w:pPr>
        <w:spacing w:after="0" w:line="360" w:lineRule="auto"/>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ab/>
      </w:r>
      <w:r w:rsidR="00B84F90">
        <w:rPr>
          <w:rFonts w:ascii="Times New Roman" w:eastAsia="Times New Roman" w:hAnsi="Times New Roman" w:cs="Times New Roman"/>
          <w:sz w:val="24"/>
          <w:szCs w:val="24"/>
        </w:rPr>
        <w:tab/>
      </w:r>
      <w:r w:rsidRPr="005C3052">
        <w:rPr>
          <w:rFonts w:ascii="Times New Roman" w:eastAsia="Times New Roman" w:hAnsi="Times New Roman" w:cs="Times New Roman"/>
          <w:sz w:val="24"/>
          <w:szCs w:val="24"/>
        </w:rPr>
        <w:t xml:space="preserve">On April 8, 2015, Peoples TWP filed a Motion </w:t>
      </w:r>
      <w:proofErr w:type="gramStart"/>
      <w:r w:rsidRPr="005C3052">
        <w:rPr>
          <w:rFonts w:ascii="Times New Roman" w:eastAsia="Times New Roman" w:hAnsi="Times New Roman" w:cs="Times New Roman"/>
          <w:sz w:val="24"/>
          <w:szCs w:val="24"/>
        </w:rPr>
        <w:t>For</w:t>
      </w:r>
      <w:proofErr w:type="gramEnd"/>
      <w:r w:rsidRPr="005C3052">
        <w:rPr>
          <w:rFonts w:ascii="Times New Roman" w:eastAsia="Times New Roman" w:hAnsi="Times New Roman" w:cs="Times New Roman"/>
          <w:sz w:val="24"/>
          <w:szCs w:val="24"/>
        </w:rPr>
        <w:t xml:space="preserve"> Protective Order.  The Parties were in agreement with the issuance of the Protective Order proposed by the Company.  Accordingly, a Protective Order was issued on April 9, 2015.</w:t>
      </w:r>
    </w:p>
    <w:p w:rsidR="005C3052" w:rsidRPr="005C3052" w:rsidRDefault="005C3052" w:rsidP="005C3052">
      <w:pPr>
        <w:spacing w:after="0" w:line="360" w:lineRule="auto"/>
        <w:rPr>
          <w:rFonts w:ascii="Times New Roman" w:eastAsia="Times New Roman" w:hAnsi="Times New Roman" w:cs="Times New Roman"/>
          <w:sz w:val="24"/>
          <w:szCs w:val="24"/>
        </w:rPr>
      </w:pPr>
      <w:r w:rsidRPr="005C3052">
        <w:rPr>
          <w:rFonts w:ascii="Times New Roman" w:eastAsia="Times New Roman" w:hAnsi="Times New Roman" w:cs="Times New Roman"/>
          <w:b/>
          <w:sz w:val="24"/>
          <w:szCs w:val="24"/>
        </w:rPr>
        <w:lastRenderedPageBreak/>
        <w:tab/>
      </w:r>
      <w:r w:rsidRPr="005C3052">
        <w:rPr>
          <w:rFonts w:ascii="Times New Roman" w:eastAsia="Times New Roman" w:hAnsi="Times New Roman" w:cs="Times New Roman"/>
          <w:b/>
          <w:sz w:val="24"/>
          <w:szCs w:val="24"/>
        </w:rPr>
        <w:tab/>
      </w:r>
      <w:r w:rsidRPr="005C3052">
        <w:rPr>
          <w:rFonts w:ascii="Times New Roman" w:eastAsia="Times New Roman" w:hAnsi="Times New Roman" w:cs="Times New Roman"/>
          <w:sz w:val="24"/>
          <w:szCs w:val="24"/>
        </w:rPr>
        <w:t>On</w:t>
      </w:r>
      <w:r w:rsidRPr="005C3052">
        <w:rPr>
          <w:rFonts w:ascii="Times New Roman" w:eastAsia="Times New Roman" w:hAnsi="Times New Roman" w:cs="Times New Roman"/>
          <w:b/>
          <w:sz w:val="24"/>
          <w:szCs w:val="24"/>
        </w:rPr>
        <w:t xml:space="preserve"> </w:t>
      </w:r>
      <w:r w:rsidRPr="005C3052">
        <w:rPr>
          <w:rFonts w:ascii="Times New Roman" w:eastAsia="Times New Roman" w:hAnsi="Times New Roman" w:cs="Times New Roman"/>
          <w:sz w:val="24"/>
          <w:szCs w:val="24"/>
        </w:rPr>
        <w:t>April 9, 2015, an</w:t>
      </w:r>
      <w:r w:rsidRPr="005C3052">
        <w:rPr>
          <w:rFonts w:ascii="Times New Roman" w:eastAsia="Times New Roman" w:hAnsi="Times New Roman" w:cs="Times New Roman"/>
          <w:color w:val="C00000"/>
          <w:sz w:val="24"/>
          <w:szCs w:val="24"/>
        </w:rPr>
        <w:t xml:space="preserve"> </w:t>
      </w:r>
      <w:r w:rsidRPr="005C3052">
        <w:rPr>
          <w:rFonts w:ascii="Times New Roman" w:eastAsia="Times New Roman" w:hAnsi="Times New Roman" w:cs="Times New Roman"/>
          <w:sz w:val="24"/>
          <w:szCs w:val="24"/>
        </w:rPr>
        <w:t xml:space="preserve">evidentiary hearing was conducted telephonically in order to admit testimony and exhibits into the record, with the presiding ALJ sitting in Pittsburgh and counsel for Peoples TWP, I&amp;E, OSBA, and OCA participating from the Commission’s Hearing Room 2 in Harrisburg, Pennsylvania.  </w:t>
      </w:r>
    </w:p>
    <w:p w:rsidR="005C3052" w:rsidRPr="005C3052" w:rsidRDefault="005C3052" w:rsidP="006A47DA">
      <w:pPr>
        <w:spacing w:after="0" w:line="360" w:lineRule="auto"/>
        <w:rPr>
          <w:rFonts w:ascii="Times New Roman" w:eastAsia="Times New Roman" w:hAnsi="Times New Roman" w:cs="Times New Roman"/>
          <w:sz w:val="24"/>
          <w:szCs w:val="24"/>
        </w:rPr>
      </w:pPr>
    </w:p>
    <w:p w:rsidR="005C3052" w:rsidRPr="005C3052" w:rsidRDefault="005C3052" w:rsidP="00F36178">
      <w:pPr>
        <w:spacing w:after="0" w:line="360" w:lineRule="auto"/>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ab/>
      </w:r>
      <w:r w:rsidRPr="005C3052">
        <w:rPr>
          <w:rFonts w:ascii="Times New Roman" w:eastAsia="Times New Roman" w:hAnsi="Times New Roman" w:cs="Times New Roman"/>
          <w:sz w:val="24"/>
          <w:szCs w:val="24"/>
        </w:rPr>
        <w:tab/>
        <w:t>Counsel for Peoples TWP, I&amp;E, OCA and OSBA offered for admission into the record Statements and Exhibits, together with respective verifications, which were admitted into the record, without objection.</w:t>
      </w:r>
    </w:p>
    <w:p w:rsidR="005C3052" w:rsidRPr="005C3052" w:rsidRDefault="005C3052" w:rsidP="00F36178">
      <w:pPr>
        <w:spacing w:after="0" w:line="360" w:lineRule="auto"/>
        <w:rPr>
          <w:rFonts w:ascii="Times New Roman" w:eastAsia="Times New Roman" w:hAnsi="Times New Roman" w:cs="Times New Roman"/>
          <w:b/>
          <w:sz w:val="24"/>
          <w:szCs w:val="24"/>
        </w:rPr>
      </w:pPr>
      <w:r w:rsidRPr="005C3052">
        <w:rPr>
          <w:rFonts w:ascii="Times New Roman" w:eastAsia="Times New Roman" w:hAnsi="Times New Roman" w:cs="Times New Roman"/>
          <w:sz w:val="24"/>
          <w:szCs w:val="24"/>
        </w:rPr>
        <w:tab/>
      </w:r>
      <w:r w:rsidRPr="005C3052">
        <w:rPr>
          <w:rFonts w:ascii="Times New Roman" w:eastAsia="Times New Roman" w:hAnsi="Times New Roman" w:cs="Times New Roman"/>
          <w:sz w:val="24"/>
          <w:szCs w:val="24"/>
        </w:rPr>
        <w:tab/>
      </w:r>
    </w:p>
    <w:p w:rsidR="005C3052" w:rsidRPr="005C3052" w:rsidRDefault="00A821D9" w:rsidP="00F36178">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5C3052" w:rsidRPr="005C3052">
        <w:rPr>
          <w:rFonts w:ascii="Times New Roman" w:eastAsia="Times New Roman" w:hAnsi="Times New Roman" w:cs="Times New Roman"/>
          <w:sz w:val="24"/>
          <w:szCs w:val="24"/>
        </w:rPr>
        <w:t>.</w:t>
      </w:r>
      <w:r w:rsidR="005C3052" w:rsidRPr="005C3052">
        <w:rPr>
          <w:rFonts w:ascii="Times New Roman" w:eastAsia="Times New Roman" w:hAnsi="Times New Roman" w:cs="Times New Roman"/>
          <w:sz w:val="24"/>
          <w:szCs w:val="24"/>
        </w:rPr>
        <w:tab/>
      </w:r>
      <w:r w:rsidR="005C3052" w:rsidRPr="005C3052">
        <w:rPr>
          <w:rFonts w:ascii="Times New Roman" w:eastAsia="Times New Roman" w:hAnsi="Times New Roman" w:cs="Times New Roman"/>
          <w:sz w:val="24"/>
          <w:szCs w:val="24"/>
          <w:u w:val="single"/>
        </w:rPr>
        <w:t>Settlement Petition Filing and the Record</w:t>
      </w:r>
    </w:p>
    <w:p w:rsidR="005C3052" w:rsidRPr="005C3052" w:rsidRDefault="005C3052" w:rsidP="00F36178">
      <w:pPr>
        <w:spacing w:after="0" w:line="360" w:lineRule="auto"/>
        <w:rPr>
          <w:rFonts w:ascii="Times New Roman" w:eastAsia="Times New Roman" w:hAnsi="Times New Roman" w:cs="Times New Roman"/>
          <w:sz w:val="24"/>
          <w:szCs w:val="24"/>
        </w:rPr>
      </w:pPr>
    </w:p>
    <w:p w:rsidR="005C3052" w:rsidRPr="005C3052" w:rsidRDefault="005C3052" w:rsidP="00F36178">
      <w:pPr>
        <w:spacing w:after="0" w:line="360" w:lineRule="auto"/>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ab/>
      </w:r>
      <w:r w:rsidRPr="005C3052">
        <w:rPr>
          <w:rFonts w:ascii="Times New Roman" w:eastAsia="Times New Roman" w:hAnsi="Times New Roman" w:cs="Times New Roman"/>
          <w:sz w:val="24"/>
          <w:szCs w:val="24"/>
        </w:rPr>
        <w:tab/>
        <w:t xml:space="preserve">On May 6, 2015, the Parties filed with the Secretary’s Bureau, for the undersigned ALJ’s recommendation and Commission’s approval, their Joint Petition </w:t>
      </w:r>
      <w:proofErr w:type="gramStart"/>
      <w:r w:rsidRPr="005C3052">
        <w:rPr>
          <w:rFonts w:ascii="Times New Roman" w:eastAsia="Times New Roman" w:hAnsi="Times New Roman" w:cs="Times New Roman"/>
          <w:sz w:val="24"/>
          <w:szCs w:val="24"/>
        </w:rPr>
        <w:t>For</w:t>
      </w:r>
      <w:proofErr w:type="gramEnd"/>
      <w:r w:rsidRPr="005C3052">
        <w:rPr>
          <w:rFonts w:ascii="Times New Roman" w:eastAsia="Times New Roman" w:hAnsi="Times New Roman" w:cs="Times New Roman"/>
          <w:sz w:val="24"/>
          <w:szCs w:val="24"/>
        </w:rPr>
        <w:t xml:space="preserve"> Settlement of All Issues of the Rate Investigation Pursuant to 66 Pa.C.S. § 1307(f), proposing a full settlement of this case, together with their respective Supporting Statements.  The Parties represent they are in full agreement that the Settlement is in the best interest of Peoples TWP’s customers.  They request approval of the Settlement without modification and that OCA’s and OSBA’s formal complaints be marked closed.  Counsel for Peoples TWP attached a certificate of service to the Settlement Petition, certifying that the Parties were duly served with a copy of the Settlement Petition on May 6, 2015.  </w:t>
      </w:r>
    </w:p>
    <w:p w:rsidR="005C3052" w:rsidRPr="005C3052" w:rsidRDefault="005C3052" w:rsidP="005C3052">
      <w:pPr>
        <w:spacing w:after="0" w:line="360" w:lineRule="auto"/>
        <w:rPr>
          <w:rFonts w:ascii="Times New Roman" w:eastAsia="Times New Roman" w:hAnsi="Times New Roman" w:cs="Times New Roman"/>
          <w:sz w:val="24"/>
          <w:szCs w:val="24"/>
        </w:rPr>
      </w:pPr>
    </w:p>
    <w:p w:rsidR="005C3052" w:rsidRPr="005C3052" w:rsidRDefault="005C3052" w:rsidP="005C3052">
      <w:pPr>
        <w:spacing w:after="0" w:line="360" w:lineRule="auto"/>
        <w:contextualSpacing/>
        <w:rPr>
          <w:rFonts w:ascii="Times New Roman" w:eastAsia="Times New Roman" w:hAnsi="Times New Roman" w:cs="Times New Roman"/>
          <w:b/>
          <w:sz w:val="24"/>
          <w:szCs w:val="24"/>
        </w:rPr>
      </w:pPr>
      <w:r w:rsidRPr="005C3052">
        <w:rPr>
          <w:rFonts w:ascii="Times New Roman" w:eastAsia="Times New Roman" w:hAnsi="Times New Roman" w:cs="Times New Roman"/>
          <w:sz w:val="24"/>
          <w:szCs w:val="24"/>
        </w:rPr>
        <w:tab/>
      </w:r>
      <w:r w:rsidRPr="005C3052">
        <w:rPr>
          <w:rFonts w:ascii="Times New Roman" w:eastAsia="Times New Roman" w:hAnsi="Times New Roman" w:cs="Times New Roman"/>
          <w:sz w:val="24"/>
          <w:szCs w:val="24"/>
        </w:rPr>
        <w:tab/>
        <w:t>The record in this proceeding consists of the transcripts of the Prehearing Conference on February 9, 2015 and the April 9, 2015 evidentiary hearing, the aforementioned testimony and documents admitted into the record, orders issued herein, the formal complaints filed by OCA and OSBA, and the Joint Petition For Settlement of All Issues of the Rate Investigation Pursuant to 66 Pa.C.S. § 1307(f),</w:t>
      </w:r>
      <w:r w:rsidRPr="005C3052">
        <w:rPr>
          <w:rFonts w:ascii="Times New Roman" w:eastAsia="Times New Roman" w:hAnsi="Times New Roman" w:cs="Times New Roman"/>
          <w:b/>
          <w:sz w:val="24"/>
          <w:szCs w:val="24"/>
        </w:rPr>
        <w:t xml:space="preserve"> </w:t>
      </w:r>
      <w:r w:rsidRPr="005C3052">
        <w:rPr>
          <w:rFonts w:ascii="Times New Roman" w:eastAsia="Times New Roman" w:hAnsi="Times New Roman" w:cs="Times New Roman"/>
          <w:sz w:val="24"/>
          <w:szCs w:val="24"/>
        </w:rPr>
        <w:t xml:space="preserve">with appendices.  </w:t>
      </w:r>
      <w:r w:rsidR="00677EF4">
        <w:rPr>
          <w:rFonts w:ascii="Times New Roman" w:eastAsia="Times New Roman" w:hAnsi="Times New Roman" w:cs="Times New Roman"/>
          <w:sz w:val="24"/>
          <w:szCs w:val="24"/>
        </w:rPr>
        <w:t>The record closed o</w:t>
      </w:r>
      <w:r w:rsidRPr="005C3052">
        <w:rPr>
          <w:rFonts w:ascii="Times New Roman" w:eastAsia="Times New Roman" w:hAnsi="Times New Roman" w:cs="Times New Roman"/>
          <w:sz w:val="24"/>
          <w:szCs w:val="24"/>
        </w:rPr>
        <w:t>n May 11, 2015,</w:t>
      </w:r>
      <w:r w:rsidR="00677EF4">
        <w:rPr>
          <w:rFonts w:ascii="Times New Roman" w:eastAsia="Times New Roman" w:hAnsi="Times New Roman" w:cs="Times New Roman"/>
          <w:sz w:val="24"/>
          <w:szCs w:val="24"/>
        </w:rPr>
        <w:t xml:space="preserve"> upon issuance of an interim </w:t>
      </w:r>
      <w:r w:rsidRPr="005C3052">
        <w:rPr>
          <w:rFonts w:ascii="Times New Roman" w:eastAsia="Times New Roman" w:hAnsi="Times New Roman" w:cs="Times New Roman"/>
          <w:sz w:val="24"/>
          <w:szCs w:val="24"/>
        </w:rPr>
        <w:t xml:space="preserve">order closing the record.  </w:t>
      </w:r>
      <w:r w:rsidRPr="00D02DBB">
        <w:rPr>
          <w:rFonts w:ascii="Times New Roman" w:eastAsia="Times New Roman" w:hAnsi="Times New Roman" w:cs="Times New Roman"/>
          <w:i/>
          <w:sz w:val="24"/>
          <w:szCs w:val="24"/>
        </w:rPr>
        <w:t>See</w:t>
      </w:r>
      <w:r w:rsidRPr="005C3052">
        <w:rPr>
          <w:rFonts w:ascii="Times New Roman" w:eastAsia="Times New Roman" w:hAnsi="Times New Roman" w:cs="Times New Roman"/>
          <w:i/>
          <w:sz w:val="24"/>
          <w:szCs w:val="24"/>
        </w:rPr>
        <w:t xml:space="preserve"> </w:t>
      </w:r>
      <w:r w:rsidRPr="005C3052">
        <w:rPr>
          <w:rFonts w:ascii="Times New Roman" w:eastAsia="Times New Roman" w:hAnsi="Times New Roman" w:cs="Times New Roman"/>
          <w:sz w:val="24"/>
          <w:szCs w:val="24"/>
        </w:rPr>
        <w:t>Interim</w:t>
      </w:r>
      <w:r w:rsidRPr="005C3052">
        <w:rPr>
          <w:rFonts w:ascii="Times New Roman" w:eastAsia="Times New Roman" w:hAnsi="Times New Roman" w:cs="Times New Roman"/>
          <w:i/>
          <w:sz w:val="24"/>
          <w:szCs w:val="24"/>
        </w:rPr>
        <w:t xml:space="preserve"> </w:t>
      </w:r>
      <w:r w:rsidRPr="005C3052">
        <w:rPr>
          <w:rFonts w:ascii="Times New Roman" w:eastAsia="Times New Roman" w:hAnsi="Times New Roman" w:cs="Times New Roman"/>
          <w:sz w:val="24"/>
          <w:szCs w:val="24"/>
        </w:rPr>
        <w:t>Order Admitting Settlement Petition and Statements in Support and Closing the Record, entered May 11, 2015</w:t>
      </w:r>
      <w:r w:rsidRPr="005C3052">
        <w:rPr>
          <w:rFonts w:ascii="Times New Roman" w:eastAsia="Times New Roman" w:hAnsi="Times New Roman" w:cs="Times New Roman"/>
          <w:b/>
          <w:sz w:val="24"/>
          <w:szCs w:val="24"/>
        </w:rPr>
        <w:t xml:space="preserve">.  </w:t>
      </w:r>
    </w:p>
    <w:p w:rsidR="005C3052" w:rsidRPr="005C3052" w:rsidRDefault="005C3052" w:rsidP="005C3052">
      <w:pPr>
        <w:spacing w:after="0" w:line="360" w:lineRule="auto"/>
        <w:contextualSpacing/>
        <w:rPr>
          <w:rFonts w:ascii="Times New Roman" w:eastAsia="Times New Roman" w:hAnsi="Times New Roman" w:cs="Times New Roman"/>
          <w:b/>
          <w:sz w:val="24"/>
          <w:szCs w:val="24"/>
        </w:rPr>
      </w:pPr>
    </w:p>
    <w:p w:rsidR="005C3052" w:rsidRDefault="005C3052" w:rsidP="005C3052">
      <w:pPr>
        <w:spacing w:after="0" w:line="360" w:lineRule="auto"/>
        <w:rPr>
          <w:rFonts w:ascii="Times New Roman" w:eastAsia="Times New Roman" w:hAnsi="Times New Roman" w:cs="Times New Roman"/>
          <w:sz w:val="24"/>
          <w:szCs w:val="24"/>
        </w:rPr>
      </w:pPr>
    </w:p>
    <w:p w:rsidR="00F36178" w:rsidRPr="005C3052" w:rsidRDefault="00F36178" w:rsidP="005C3052">
      <w:pPr>
        <w:spacing w:after="0" w:line="360" w:lineRule="auto"/>
        <w:rPr>
          <w:rFonts w:ascii="Times New Roman" w:eastAsia="Times New Roman" w:hAnsi="Times New Roman" w:cs="Times New Roman"/>
          <w:sz w:val="24"/>
          <w:szCs w:val="24"/>
        </w:rPr>
      </w:pPr>
    </w:p>
    <w:p w:rsidR="005C3052" w:rsidRPr="009C6D6B" w:rsidRDefault="005C3052" w:rsidP="00963304">
      <w:pPr>
        <w:tabs>
          <w:tab w:val="left" w:pos="-720"/>
        </w:tabs>
        <w:suppressAutoHyphens/>
        <w:autoSpaceDE w:val="0"/>
        <w:autoSpaceDN w:val="0"/>
        <w:spacing w:after="0" w:line="360" w:lineRule="auto"/>
        <w:contextualSpacing/>
        <w:jc w:val="center"/>
        <w:rPr>
          <w:rFonts w:ascii="Times New Roman" w:eastAsia="Times New Roman" w:hAnsi="Times New Roman" w:cs="Times New Roman"/>
          <w:spacing w:val="-3"/>
          <w:sz w:val="24"/>
          <w:szCs w:val="24"/>
          <w:u w:val="single"/>
        </w:rPr>
      </w:pPr>
      <w:r w:rsidRPr="009C6D6B">
        <w:rPr>
          <w:rFonts w:ascii="Times New Roman" w:eastAsia="Times New Roman" w:hAnsi="Times New Roman" w:cs="Times New Roman"/>
          <w:spacing w:val="-3"/>
          <w:sz w:val="24"/>
          <w:szCs w:val="24"/>
        </w:rPr>
        <w:lastRenderedPageBreak/>
        <w:t>II.</w:t>
      </w:r>
      <w:r w:rsidRPr="009C6D6B">
        <w:rPr>
          <w:rFonts w:ascii="Times New Roman" w:eastAsia="Times New Roman" w:hAnsi="Times New Roman" w:cs="Times New Roman"/>
          <w:spacing w:val="-3"/>
          <w:sz w:val="24"/>
          <w:szCs w:val="24"/>
        </w:rPr>
        <w:tab/>
      </w:r>
      <w:r w:rsidRPr="009C6D6B">
        <w:rPr>
          <w:rFonts w:ascii="Times New Roman" w:eastAsia="Times New Roman" w:hAnsi="Times New Roman" w:cs="Times New Roman"/>
          <w:spacing w:val="-3"/>
          <w:sz w:val="24"/>
          <w:szCs w:val="24"/>
          <w:u w:val="single"/>
        </w:rPr>
        <w:t>FINDINGS OF FACT</w:t>
      </w:r>
    </w:p>
    <w:p w:rsidR="005C3052" w:rsidRPr="005C3052" w:rsidRDefault="005C3052" w:rsidP="00D2677A">
      <w:pPr>
        <w:tabs>
          <w:tab w:val="left" w:pos="-720"/>
        </w:tabs>
        <w:suppressAutoHyphens/>
        <w:autoSpaceDE w:val="0"/>
        <w:autoSpaceDN w:val="0"/>
        <w:spacing w:after="0" w:line="360" w:lineRule="auto"/>
        <w:rPr>
          <w:rFonts w:ascii="Times New Roman" w:eastAsia="Times New Roman" w:hAnsi="Times New Roman" w:cs="Times New Roman"/>
          <w:b/>
          <w:spacing w:val="-3"/>
          <w:sz w:val="24"/>
          <w:szCs w:val="24"/>
          <w:u w:val="single"/>
        </w:rPr>
      </w:pPr>
    </w:p>
    <w:p w:rsidR="005C3052" w:rsidRPr="005C3052" w:rsidRDefault="005C3052" w:rsidP="008221A8">
      <w:pPr>
        <w:spacing w:after="0" w:line="360" w:lineRule="auto"/>
        <w:ind w:firstLine="1440"/>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In the Joint Petition, the Parties agreed to several proposed findings of fact with citations to the record of admitted evidence.  These proposed findings provide the information necessary to support the “Findings of Fact” set forth below:</w:t>
      </w:r>
    </w:p>
    <w:p w:rsidR="005C3052" w:rsidRPr="005C3052" w:rsidRDefault="005C3052" w:rsidP="00D2677A">
      <w:pPr>
        <w:spacing w:after="0" w:line="360" w:lineRule="auto"/>
        <w:ind w:firstLine="720"/>
        <w:rPr>
          <w:rFonts w:ascii="Times New Roman" w:eastAsia="Times New Roman" w:hAnsi="Times New Roman" w:cs="Times New Roman"/>
          <w:sz w:val="24"/>
          <w:szCs w:val="24"/>
          <w:u w:val="single"/>
        </w:rPr>
      </w:pPr>
    </w:p>
    <w:p w:rsidR="005C3052" w:rsidRDefault="007F60F5" w:rsidP="006A3BDD">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005C3052" w:rsidRPr="005C3052">
        <w:rPr>
          <w:rFonts w:ascii="Times New Roman" w:eastAsia="Times New Roman" w:hAnsi="Times New Roman" w:cs="Times New Roman"/>
          <w:sz w:val="24"/>
          <w:szCs w:val="24"/>
        </w:rPr>
        <w:t xml:space="preserve">Peoples TWP uses Peoples Service Company (PSC) to monitor the rate and related tariff filings of the interstate pipelines serving Peoples TWP, as well as other important generic Federal Energy Regulatory Commission (FERC) proceedings.  PSC monitors the proceedings before FERC on behalf of affiliates Peoples and Peoples TWP, and undertakes legal action as necessary to protect the interests of the ratepayers of these companies.  </w:t>
      </w:r>
      <w:r w:rsidR="00C04396">
        <w:rPr>
          <w:rFonts w:ascii="Times New Roman" w:eastAsia="Times New Roman" w:hAnsi="Times New Roman" w:cs="Times New Roman"/>
          <w:sz w:val="24"/>
          <w:szCs w:val="24"/>
        </w:rPr>
        <w:t>(</w:t>
      </w:r>
      <w:r w:rsidR="005C3052" w:rsidRPr="005C3052">
        <w:rPr>
          <w:rFonts w:ascii="Times New Roman" w:eastAsia="Times New Roman" w:hAnsi="Times New Roman" w:cs="Times New Roman"/>
          <w:sz w:val="24"/>
          <w:szCs w:val="24"/>
        </w:rPr>
        <w:t>Peoples TWP Exhibit No. 12, p. 1.  Joint Petition, pp. 7-8.</w:t>
      </w:r>
      <w:r w:rsidR="00BE19FA">
        <w:rPr>
          <w:rFonts w:ascii="Times New Roman" w:eastAsia="Times New Roman" w:hAnsi="Times New Roman" w:cs="Times New Roman"/>
          <w:sz w:val="24"/>
          <w:szCs w:val="24"/>
        </w:rPr>
        <w:t>)</w:t>
      </w:r>
    </w:p>
    <w:p w:rsidR="00D2677A" w:rsidRPr="005C3052" w:rsidRDefault="00D2677A" w:rsidP="00D2677A">
      <w:pPr>
        <w:spacing w:after="0" w:line="360" w:lineRule="auto"/>
        <w:ind w:left="720"/>
        <w:rPr>
          <w:rFonts w:ascii="Times New Roman" w:eastAsia="Times New Roman" w:hAnsi="Times New Roman" w:cs="Times New Roman"/>
          <w:sz w:val="24"/>
          <w:szCs w:val="24"/>
        </w:rPr>
      </w:pPr>
    </w:p>
    <w:p w:rsidR="005C3052" w:rsidRDefault="007F60F5" w:rsidP="006A3BDD">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sidR="005C3052" w:rsidRPr="005C3052">
        <w:rPr>
          <w:rFonts w:ascii="Times New Roman" w:eastAsia="Times New Roman" w:hAnsi="Times New Roman" w:cs="Times New Roman"/>
          <w:sz w:val="24"/>
          <w:szCs w:val="24"/>
        </w:rPr>
        <w:t xml:space="preserve">Through PSC, Peoples TWP monitors Dominion Transmission Inc. (Dominion), Columbia Gas Transmission, LLC (Columbia Transmission) and Equitrans, L.P., because the outcome of the FERC proceedings of these interstate pipelines may directly affect the services that Peoples TWP provides to its customers.  PSC also has monitored proceedings of Tennessee Gas Pipeline Company (TGP) and Texas Eastern Transmission, L.P. (TETCO) for Peoples TWP.  Peoples TWP Exhibit No. 12, p. 3.  </w:t>
      </w:r>
      <w:proofErr w:type="gramStart"/>
      <w:r w:rsidR="00BE19FA">
        <w:rPr>
          <w:rFonts w:ascii="Times New Roman" w:eastAsia="Times New Roman" w:hAnsi="Times New Roman" w:cs="Times New Roman"/>
          <w:sz w:val="24"/>
          <w:szCs w:val="24"/>
        </w:rPr>
        <w:t>(</w:t>
      </w:r>
      <w:r w:rsidR="005C3052" w:rsidRPr="005C3052">
        <w:rPr>
          <w:rFonts w:ascii="Times New Roman" w:eastAsia="Times New Roman" w:hAnsi="Times New Roman" w:cs="Times New Roman"/>
          <w:sz w:val="24"/>
          <w:szCs w:val="24"/>
        </w:rPr>
        <w:t>Joint Petition, p. 12.</w:t>
      </w:r>
      <w:r w:rsidR="00BE19FA">
        <w:rPr>
          <w:rFonts w:ascii="Times New Roman" w:eastAsia="Times New Roman" w:hAnsi="Times New Roman" w:cs="Times New Roman"/>
          <w:sz w:val="24"/>
          <w:szCs w:val="24"/>
        </w:rPr>
        <w:t>)</w:t>
      </w:r>
      <w:proofErr w:type="gramEnd"/>
      <w:r w:rsidR="005C3052" w:rsidRPr="005C3052">
        <w:rPr>
          <w:rFonts w:ascii="Times New Roman" w:eastAsia="Times New Roman" w:hAnsi="Times New Roman" w:cs="Times New Roman"/>
          <w:sz w:val="24"/>
          <w:szCs w:val="24"/>
        </w:rPr>
        <w:t xml:space="preserve">  From time to time, Peoples TWP has intervened in, monitored the progress of and occasionally submitted written comments in FERC proceedings where it has determined that such participation could be accomplished in a cost-effective manner.  Going forward, PSC representatives will consider joint interventions and/or comments on behalf of Peoples TWP and Peoples in proceedings which are cost-effective and where the two companies have joint interests.  </w:t>
      </w:r>
      <w:r w:rsidR="00C13DD8">
        <w:rPr>
          <w:rFonts w:ascii="Times New Roman" w:eastAsia="Times New Roman" w:hAnsi="Times New Roman" w:cs="Times New Roman"/>
          <w:sz w:val="24"/>
          <w:szCs w:val="24"/>
        </w:rPr>
        <w:t>(</w:t>
      </w:r>
      <w:r w:rsidR="005C3052" w:rsidRPr="005C3052">
        <w:rPr>
          <w:rFonts w:ascii="Times New Roman" w:eastAsia="Times New Roman" w:hAnsi="Times New Roman" w:cs="Times New Roman"/>
          <w:sz w:val="24"/>
          <w:szCs w:val="24"/>
        </w:rPr>
        <w:t xml:space="preserve">Peoples TWP Exhibit No. 12, p. 2. </w:t>
      </w:r>
      <w:r w:rsidR="00C13DD8">
        <w:rPr>
          <w:rFonts w:ascii="Times New Roman" w:eastAsia="Times New Roman" w:hAnsi="Times New Roman" w:cs="Times New Roman"/>
          <w:sz w:val="24"/>
          <w:szCs w:val="24"/>
        </w:rPr>
        <w:t xml:space="preserve"> </w:t>
      </w:r>
      <w:proofErr w:type="gramStart"/>
      <w:r w:rsidR="005C3052" w:rsidRPr="005C3052">
        <w:rPr>
          <w:rFonts w:ascii="Times New Roman" w:eastAsia="Times New Roman" w:hAnsi="Times New Roman" w:cs="Times New Roman"/>
          <w:sz w:val="24"/>
          <w:szCs w:val="24"/>
        </w:rPr>
        <w:t>Joint Petition, p.12.</w:t>
      </w:r>
      <w:r w:rsidR="00BE19FA">
        <w:rPr>
          <w:rFonts w:ascii="Times New Roman" w:eastAsia="Times New Roman" w:hAnsi="Times New Roman" w:cs="Times New Roman"/>
          <w:sz w:val="24"/>
          <w:szCs w:val="24"/>
        </w:rPr>
        <w:t>)</w:t>
      </w:r>
      <w:proofErr w:type="gramEnd"/>
    </w:p>
    <w:p w:rsidR="00D2677A" w:rsidRPr="005C3052" w:rsidRDefault="00D2677A" w:rsidP="00F32D52">
      <w:pPr>
        <w:spacing w:after="0" w:line="360" w:lineRule="auto"/>
        <w:ind w:left="720"/>
        <w:rPr>
          <w:rFonts w:ascii="Times New Roman" w:eastAsia="Times New Roman" w:hAnsi="Times New Roman" w:cs="Times New Roman"/>
          <w:sz w:val="24"/>
          <w:szCs w:val="24"/>
        </w:rPr>
      </w:pPr>
    </w:p>
    <w:p w:rsidR="005C3052" w:rsidRDefault="007F60F5" w:rsidP="0060397D">
      <w:pPr>
        <w:spacing w:after="0" w:line="360" w:lineRule="auto"/>
        <w:ind w:left="90" w:firstLine="135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sidR="005C3052" w:rsidRPr="005C3052">
        <w:rPr>
          <w:rFonts w:ascii="Times New Roman" w:eastAsia="Times New Roman" w:hAnsi="Times New Roman" w:cs="Times New Roman"/>
          <w:sz w:val="24"/>
          <w:szCs w:val="24"/>
        </w:rPr>
        <w:t xml:space="preserve">Peoples TWP does not purchase gas, transportation, or storage from an affiliated interest, as defined at 66 Pa. C.S. § 2101.  Peoples TWP Pre-filing, p. 158.  </w:t>
      </w:r>
      <w:proofErr w:type="gramStart"/>
      <w:r w:rsidR="00BE19FA">
        <w:rPr>
          <w:rFonts w:ascii="Times New Roman" w:eastAsia="Times New Roman" w:hAnsi="Times New Roman" w:cs="Times New Roman"/>
          <w:sz w:val="24"/>
          <w:szCs w:val="24"/>
        </w:rPr>
        <w:t>(</w:t>
      </w:r>
      <w:r w:rsidR="005C3052" w:rsidRPr="005C3052">
        <w:rPr>
          <w:rFonts w:ascii="Times New Roman" w:eastAsia="Times New Roman" w:hAnsi="Times New Roman" w:cs="Times New Roman"/>
          <w:sz w:val="24"/>
          <w:szCs w:val="24"/>
        </w:rPr>
        <w:t>Joint Petition, p. 8.</w:t>
      </w:r>
      <w:r w:rsidR="00BE19FA">
        <w:rPr>
          <w:rFonts w:ascii="Times New Roman" w:eastAsia="Times New Roman" w:hAnsi="Times New Roman" w:cs="Times New Roman"/>
          <w:sz w:val="24"/>
          <w:szCs w:val="24"/>
        </w:rPr>
        <w:t>)</w:t>
      </w:r>
      <w:proofErr w:type="gramEnd"/>
    </w:p>
    <w:p w:rsidR="00D2677A" w:rsidRPr="005C3052" w:rsidRDefault="00D2677A" w:rsidP="00D2677A">
      <w:pPr>
        <w:spacing w:after="0" w:line="360" w:lineRule="auto"/>
        <w:ind w:left="720"/>
        <w:rPr>
          <w:rFonts w:ascii="Times New Roman" w:eastAsia="Times New Roman" w:hAnsi="Times New Roman" w:cs="Times New Roman"/>
          <w:sz w:val="24"/>
          <w:szCs w:val="24"/>
        </w:rPr>
      </w:pPr>
    </w:p>
    <w:p w:rsidR="005C3052" w:rsidRDefault="00FB4206" w:rsidP="005C5C60">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r>
        <w:rPr>
          <w:rFonts w:ascii="Times New Roman" w:eastAsia="Times New Roman" w:hAnsi="Times New Roman" w:cs="Times New Roman"/>
          <w:sz w:val="24"/>
          <w:szCs w:val="24"/>
        </w:rPr>
        <w:tab/>
      </w:r>
      <w:r w:rsidR="005C3052" w:rsidRPr="005C3052">
        <w:rPr>
          <w:rFonts w:ascii="Times New Roman" w:eastAsia="Times New Roman" w:hAnsi="Times New Roman" w:cs="Times New Roman"/>
          <w:sz w:val="24"/>
          <w:szCs w:val="24"/>
        </w:rPr>
        <w:t xml:space="preserve">Peoples TWP and Peoples are </w:t>
      </w:r>
      <w:r w:rsidR="00837499">
        <w:rPr>
          <w:rFonts w:ascii="Times New Roman" w:eastAsia="Times New Roman" w:hAnsi="Times New Roman" w:cs="Times New Roman"/>
          <w:sz w:val="24"/>
          <w:szCs w:val="24"/>
        </w:rPr>
        <w:t>P</w:t>
      </w:r>
      <w:r w:rsidR="005C3052" w:rsidRPr="005C3052">
        <w:rPr>
          <w:rFonts w:ascii="Times New Roman" w:eastAsia="Times New Roman" w:hAnsi="Times New Roman" w:cs="Times New Roman"/>
          <w:sz w:val="24"/>
          <w:szCs w:val="24"/>
        </w:rPr>
        <w:t xml:space="preserve">arties to an affiliated interest natural gas exchange agreement filed and approved at Docket No. </w:t>
      </w:r>
      <w:proofErr w:type="gramStart"/>
      <w:r w:rsidR="005C3052" w:rsidRPr="005C3052">
        <w:rPr>
          <w:rFonts w:ascii="Times New Roman" w:eastAsia="Times New Roman" w:hAnsi="Times New Roman" w:cs="Times New Roman"/>
          <w:sz w:val="24"/>
          <w:szCs w:val="24"/>
        </w:rPr>
        <w:t>G-2011-2265150.</w:t>
      </w:r>
      <w:proofErr w:type="gramEnd"/>
      <w:r w:rsidR="005C3052" w:rsidRPr="005C3052">
        <w:rPr>
          <w:rFonts w:ascii="Times New Roman" w:eastAsia="Times New Roman" w:hAnsi="Times New Roman" w:cs="Times New Roman"/>
          <w:sz w:val="24"/>
          <w:szCs w:val="24"/>
        </w:rPr>
        <w:t xml:space="preserve">  The agreement provides for the exchange of equivalent volumes of gas between Peoples and Peoples TWP where the receipt of gas from the other party would provide for more efficient operation of the recipient’s system and will improve service reliability for both companies.  The exchange is made without charge.  Under the exchange agreement, Peoples TWP receives gas from Peoples at the Beaver Street interconnection located in Mars, PA.  In exchange, Peoples receives equivalent volumes of gas from Peoples TWP at various specified interconnections.  </w:t>
      </w:r>
      <w:r w:rsidR="00C13DD8">
        <w:rPr>
          <w:rFonts w:ascii="Times New Roman" w:eastAsia="Times New Roman" w:hAnsi="Times New Roman" w:cs="Times New Roman"/>
          <w:sz w:val="24"/>
          <w:szCs w:val="24"/>
        </w:rPr>
        <w:t>(</w:t>
      </w:r>
      <w:r w:rsidR="005C3052" w:rsidRPr="005C3052">
        <w:rPr>
          <w:rFonts w:ascii="Times New Roman" w:eastAsia="Times New Roman" w:hAnsi="Times New Roman" w:cs="Times New Roman"/>
          <w:sz w:val="24"/>
          <w:szCs w:val="24"/>
        </w:rPr>
        <w:t>Peoples TWP Pre-filing, pp. 158-59.  Joint Petition, p. 8.</w:t>
      </w:r>
      <w:r w:rsidR="00BE19FA">
        <w:rPr>
          <w:rFonts w:ascii="Times New Roman" w:eastAsia="Times New Roman" w:hAnsi="Times New Roman" w:cs="Times New Roman"/>
          <w:sz w:val="24"/>
          <w:szCs w:val="24"/>
        </w:rPr>
        <w:t>)</w:t>
      </w:r>
    </w:p>
    <w:p w:rsidR="00D2677A" w:rsidRPr="005C3052" w:rsidRDefault="00D2677A" w:rsidP="005C5C60">
      <w:pPr>
        <w:spacing w:after="0" w:line="360" w:lineRule="auto"/>
        <w:ind w:left="720"/>
        <w:rPr>
          <w:rFonts w:ascii="Times New Roman" w:eastAsia="Times New Roman" w:hAnsi="Times New Roman" w:cs="Times New Roman"/>
          <w:sz w:val="24"/>
          <w:szCs w:val="24"/>
        </w:rPr>
      </w:pPr>
    </w:p>
    <w:p w:rsidR="00015BF8" w:rsidRDefault="00015BF8" w:rsidP="005C5C60">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sidR="005C3052" w:rsidRPr="005C3052">
        <w:rPr>
          <w:rFonts w:ascii="Times New Roman" w:eastAsia="Times New Roman" w:hAnsi="Times New Roman" w:cs="Times New Roman"/>
          <w:sz w:val="24"/>
          <w:szCs w:val="24"/>
        </w:rPr>
        <w:t>The exchange agreement has been amended three times since it was originally approved on March 15, 2012.  The first two amendments added new interconnection points a</w:t>
      </w:r>
      <w:bookmarkStart w:id="0" w:name="_GoBack"/>
      <w:bookmarkEnd w:id="0"/>
      <w:r w:rsidR="005C3052" w:rsidRPr="005C3052">
        <w:rPr>
          <w:rFonts w:ascii="Times New Roman" w:eastAsia="Times New Roman" w:hAnsi="Times New Roman" w:cs="Times New Roman"/>
          <w:sz w:val="24"/>
          <w:szCs w:val="24"/>
        </w:rPr>
        <w:t xml:space="preserve">nd were approved on July 13, 2012, and January 29, 2013, respectively.  The third amendment was filed on November 21, 2013, when the companies filed an Amended and Restated Gas Exchange Agreement (A&amp;R GEA), which is intended to accommodate the ongoing long-term infrastructure improvement plans of the companies.  With geographically overlapping distribution systems and a goal of avoiding pipeline replacement where there is a more efficient means of continuing service to customers, the companies anticipate additional opportunities for new interconnection points and gas exchanges that enhance efficient operation.  The A&amp;R GEA permits the companies to install up to 15 new interconnection points, per calendar year, without filing for further approval, provided that, among other things, each new interconnection point does not exceed $250,000 in costs and each new interconnection point results in projected cost savings to the installing company.  The filing was approved by Secretarial Letter issued on </w:t>
      </w:r>
    </w:p>
    <w:p w:rsidR="005C3052" w:rsidRDefault="005C3052" w:rsidP="00015BF8">
      <w:pPr>
        <w:spacing w:after="0" w:line="360" w:lineRule="auto"/>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 xml:space="preserve">May 27, 2014.  </w:t>
      </w:r>
      <w:r w:rsidR="00C13DD8">
        <w:rPr>
          <w:rFonts w:ascii="Times New Roman" w:eastAsia="Times New Roman" w:hAnsi="Times New Roman" w:cs="Times New Roman"/>
          <w:sz w:val="24"/>
          <w:szCs w:val="24"/>
        </w:rPr>
        <w:t>(</w:t>
      </w:r>
      <w:r w:rsidRPr="005C3052">
        <w:rPr>
          <w:rFonts w:ascii="Times New Roman" w:eastAsia="Times New Roman" w:hAnsi="Times New Roman" w:cs="Times New Roman"/>
          <w:sz w:val="24"/>
          <w:szCs w:val="24"/>
        </w:rPr>
        <w:t>Peoples TWP Pre-filing, p. 159.  Joint Petition, p. 9.</w:t>
      </w:r>
      <w:r w:rsidR="00BE19FA">
        <w:rPr>
          <w:rFonts w:ascii="Times New Roman" w:eastAsia="Times New Roman" w:hAnsi="Times New Roman" w:cs="Times New Roman"/>
          <w:sz w:val="24"/>
          <w:szCs w:val="24"/>
        </w:rPr>
        <w:t>)</w:t>
      </w:r>
    </w:p>
    <w:p w:rsidR="008221A8" w:rsidRPr="005C3052" w:rsidRDefault="008221A8" w:rsidP="00015BF8">
      <w:pPr>
        <w:spacing w:after="0" w:line="360" w:lineRule="auto"/>
        <w:rPr>
          <w:rFonts w:ascii="Times New Roman" w:eastAsia="Times New Roman" w:hAnsi="Times New Roman" w:cs="Times New Roman"/>
          <w:sz w:val="24"/>
          <w:szCs w:val="24"/>
        </w:rPr>
      </w:pPr>
    </w:p>
    <w:p w:rsidR="001B25DB" w:rsidRDefault="00414FA4" w:rsidP="0060397D">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sidR="005C3052" w:rsidRPr="005C3052">
        <w:rPr>
          <w:rFonts w:ascii="Times New Roman" w:eastAsia="Times New Roman" w:hAnsi="Times New Roman" w:cs="Times New Roman"/>
          <w:sz w:val="24"/>
          <w:szCs w:val="24"/>
        </w:rPr>
        <w:t xml:space="preserve">On June 26, 2014, Peoples TWP and Peoples filed a petition for Accounting and Regulatory Approvals at Docket No. </w:t>
      </w:r>
      <w:proofErr w:type="gramStart"/>
      <w:r w:rsidR="005C3052" w:rsidRPr="005C3052">
        <w:rPr>
          <w:rFonts w:ascii="Times New Roman" w:eastAsia="Times New Roman" w:hAnsi="Times New Roman" w:cs="Times New Roman"/>
          <w:sz w:val="24"/>
          <w:szCs w:val="24"/>
        </w:rPr>
        <w:t>P-2014-2429346.</w:t>
      </w:r>
      <w:proofErr w:type="gramEnd"/>
      <w:r w:rsidR="005C3052" w:rsidRPr="005C3052">
        <w:rPr>
          <w:rFonts w:ascii="Times New Roman" w:eastAsia="Times New Roman" w:hAnsi="Times New Roman" w:cs="Times New Roman"/>
          <w:sz w:val="24"/>
          <w:szCs w:val="24"/>
        </w:rPr>
        <w:t xml:space="preserve">  Among other things, this petition requested approval of another exchange agreement between the companies that will encourage efficient pipeline replacement by, for example, allowing one company to abandon a pipeline that is due for replacement and continuing service to the customers formerly connected to that pipeline by connecting them to a duplicative pipeline owned by the other company.  The </w:t>
      </w:r>
      <w:r w:rsidR="005C3052" w:rsidRPr="005C3052">
        <w:rPr>
          <w:rFonts w:ascii="Times New Roman" w:eastAsia="Times New Roman" w:hAnsi="Times New Roman" w:cs="Times New Roman"/>
          <w:sz w:val="24"/>
          <w:szCs w:val="24"/>
        </w:rPr>
        <w:lastRenderedPageBreak/>
        <w:t xml:space="preserve">resulting gas exchange will use the delivery points from the above-referenced A&amp;R GEA to balance deliveries under the new agreement.  Parties to that proceeding reached a settlement to resolve all issues.  By order entered December 18, 2014, the Commission approved the settlement consistent with the terms of the Commission’s order.  </w:t>
      </w:r>
      <w:r w:rsidR="005C3052" w:rsidRPr="005C3052">
        <w:rPr>
          <w:rFonts w:ascii="Times New Roman" w:eastAsia="Times New Roman" w:hAnsi="Times New Roman" w:cs="Times New Roman"/>
          <w:i/>
          <w:sz w:val="24"/>
          <w:szCs w:val="24"/>
        </w:rPr>
        <w:t>See Petition of Peoples Natural Gas Company LLC and Peoples TWP LLC</w:t>
      </w:r>
      <w:r w:rsidR="005C3052" w:rsidRPr="005C3052">
        <w:rPr>
          <w:rFonts w:ascii="Times New Roman" w:eastAsia="Times New Roman" w:hAnsi="Times New Roman" w:cs="Times New Roman"/>
          <w:sz w:val="24"/>
          <w:szCs w:val="24"/>
        </w:rPr>
        <w:t xml:space="preserve">, Docket Nos. P-2014-2429346, G-2014-2448807, </w:t>
      </w:r>
    </w:p>
    <w:p w:rsidR="005C3052" w:rsidRDefault="005C3052" w:rsidP="001B25DB">
      <w:pPr>
        <w:spacing w:after="0" w:line="360" w:lineRule="auto"/>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 xml:space="preserve">G-2014-2448803, at pp. 18-19 (Order Entered Dec. 18, 2014).  </w:t>
      </w:r>
      <w:proofErr w:type="gramStart"/>
      <w:r w:rsidR="00BE19FA">
        <w:rPr>
          <w:rFonts w:ascii="Times New Roman" w:eastAsia="Times New Roman" w:hAnsi="Times New Roman" w:cs="Times New Roman"/>
          <w:sz w:val="24"/>
          <w:szCs w:val="24"/>
        </w:rPr>
        <w:t>(</w:t>
      </w:r>
      <w:r w:rsidRPr="005C3052">
        <w:rPr>
          <w:rFonts w:ascii="Times New Roman" w:eastAsia="Times New Roman" w:hAnsi="Times New Roman" w:cs="Times New Roman"/>
          <w:sz w:val="24"/>
          <w:szCs w:val="24"/>
        </w:rPr>
        <w:t>Joint Petition, pp. 9-10.</w:t>
      </w:r>
      <w:r w:rsidR="00BE19FA">
        <w:rPr>
          <w:rFonts w:ascii="Times New Roman" w:eastAsia="Times New Roman" w:hAnsi="Times New Roman" w:cs="Times New Roman"/>
          <w:sz w:val="24"/>
          <w:szCs w:val="24"/>
        </w:rPr>
        <w:t>)</w:t>
      </w:r>
      <w:proofErr w:type="gramEnd"/>
    </w:p>
    <w:p w:rsidR="00D2677A" w:rsidRPr="005C3052" w:rsidRDefault="00D2677A" w:rsidP="00D2677A">
      <w:pPr>
        <w:spacing w:after="0" w:line="360" w:lineRule="auto"/>
        <w:ind w:left="720"/>
        <w:rPr>
          <w:rFonts w:ascii="Times New Roman" w:eastAsia="Times New Roman" w:hAnsi="Times New Roman" w:cs="Times New Roman"/>
          <w:sz w:val="24"/>
          <w:szCs w:val="24"/>
        </w:rPr>
      </w:pPr>
    </w:p>
    <w:p w:rsidR="005C3052" w:rsidRDefault="005C3052" w:rsidP="006A3BDD">
      <w:pPr>
        <w:numPr>
          <w:ilvl w:val="0"/>
          <w:numId w:val="6"/>
        </w:numPr>
        <w:spacing w:after="0" w:line="360" w:lineRule="auto"/>
        <w:ind w:firstLine="1440"/>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 xml:space="preserve">Peoples TWP has used 76 heating degree days (HDDs) for calculating its design Peak Day system requirements.  This level of degree days has occurred twice in the last 31 years in western Pennsylvania.  </w:t>
      </w:r>
      <w:r w:rsidR="00C13DD8">
        <w:rPr>
          <w:rFonts w:ascii="Times New Roman" w:eastAsia="Times New Roman" w:hAnsi="Times New Roman" w:cs="Times New Roman"/>
          <w:sz w:val="24"/>
          <w:szCs w:val="24"/>
        </w:rPr>
        <w:t>(</w:t>
      </w:r>
      <w:r w:rsidRPr="005C3052">
        <w:rPr>
          <w:rFonts w:ascii="Times New Roman" w:eastAsia="Times New Roman" w:hAnsi="Times New Roman" w:cs="Times New Roman"/>
          <w:sz w:val="24"/>
          <w:szCs w:val="24"/>
        </w:rPr>
        <w:t>Peoples TWP Statement No. 1, p. 14.  Joint Petition, p. 10.</w:t>
      </w:r>
      <w:r w:rsidR="00BE19FA">
        <w:rPr>
          <w:rFonts w:ascii="Times New Roman" w:eastAsia="Times New Roman" w:hAnsi="Times New Roman" w:cs="Times New Roman"/>
          <w:sz w:val="24"/>
          <w:szCs w:val="24"/>
        </w:rPr>
        <w:t>)</w:t>
      </w:r>
    </w:p>
    <w:p w:rsidR="00D2677A" w:rsidRDefault="00D2677A" w:rsidP="00414FA4">
      <w:pPr>
        <w:spacing w:after="0" w:line="360" w:lineRule="auto"/>
        <w:ind w:left="720"/>
        <w:rPr>
          <w:rFonts w:ascii="Times New Roman" w:eastAsia="Times New Roman" w:hAnsi="Times New Roman" w:cs="Times New Roman"/>
          <w:sz w:val="24"/>
          <w:szCs w:val="24"/>
        </w:rPr>
      </w:pPr>
    </w:p>
    <w:p w:rsidR="005C3052" w:rsidRDefault="005C3052" w:rsidP="006A3BDD">
      <w:pPr>
        <w:numPr>
          <w:ilvl w:val="0"/>
          <w:numId w:val="6"/>
        </w:numPr>
        <w:spacing w:after="0" w:line="360" w:lineRule="auto"/>
        <w:ind w:firstLine="1440"/>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 xml:space="preserve">On January 7, 2014, 67 HDDs were experienced by the Company.   </w:t>
      </w:r>
      <w:r w:rsidR="00C13DD8">
        <w:rPr>
          <w:rFonts w:ascii="Times New Roman" w:eastAsia="Times New Roman" w:hAnsi="Times New Roman" w:cs="Times New Roman"/>
          <w:sz w:val="24"/>
          <w:szCs w:val="24"/>
        </w:rPr>
        <w:t>(</w:t>
      </w:r>
      <w:r w:rsidRPr="005C3052">
        <w:rPr>
          <w:rFonts w:ascii="Times New Roman" w:eastAsia="Times New Roman" w:hAnsi="Times New Roman" w:cs="Times New Roman"/>
          <w:sz w:val="24"/>
          <w:szCs w:val="24"/>
        </w:rPr>
        <w:t>Peoples TWP Statement No. 1, p. 16.  Joint Petition, p. 10.</w:t>
      </w:r>
      <w:r w:rsidR="00BE19FA">
        <w:rPr>
          <w:rFonts w:ascii="Times New Roman" w:eastAsia="Times New Roman" w:hAnsi="Times New Roman" w:cs="Times New Roman"/>
          <w:sz w:val="24"/>
          <w:szCs w:val="24"/>
        </w:rPr>
        <w:t>)</w:t>
      </w:r>
    </w:p>
    <w:p w:rsidR="00D2677A" w:rsidRPr="005C3052" w:rsidRDefault="00D2677A" w:rsidP="00D2677A">
      <w:pPr>
        <w:spacing w:after="0" w:line="360" w:lineRule="auto"/>
        <w:ind w:left="720"/>
        <w:rPr>
          <w:rFonts w:ascii="Times New Roman" w:eastAsia="Times New Roman" w:hAnsi="Times New Roman" w:cs="Times New Roman"/>
          <w:sz w:val="24"/>
          <w:szCs w:val="24"/>
        </w:rPr>
      </w:pPr>
    </w:p>
    <w:p w:rsidR="005C3052" w:rsidRDefault="005C3052" w:rsidP="00611539">
      <w:pPr>
        <w:numPr>
          <w:ilvl w:val="0"/>
          <w:numId w:val="6"/>
        </w:numPr>
        <w:spacing w:after="0" w:line="360" w:lineRule="auto"/>
        <w:ind w:firstLine="1440"/>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 xml:space="preserve">In February 2015, there were two days on which Peoples TWP experienced 66 HDDs.  </w:t>
      </w:r>
      <w:r w:rsidR="00C13DD8">
        <w:rPr>
          <w:rFonts w:ascii="Times New Roman" w:eastAsia="Times New Roman" w:hAnsi="Times New Roman" w:cs="Times New Roman"/>
          <w:sz w:val="24"/>
          <w:szCs w:val="24"/>
        </w:rPr>
        <w:t>(</w:t>
      </w:r>
      <w:r w:rsidRPr="005C3052">
        <w:rPr>
          <w:rFonts w:ascii="Times New Roman" w:eastAsia="Times New Roman" w:hAnsi="Times New Roman" w:cs="Times New Roman"/>
          <w:sz w:val="24"/>
          <w:szCs w:val="24"/>
        </w:rPr>
        <w:t>Peoples TWP Statement No. 2-R, p. 2.  Joint Petition,</w:t>
      </w:r>
      <w:r w:rsidR="00D2677A">
        <w:rPr>
          <w:rFonts w:ascii="Times New Roman" w:eastAsia="Times New Roman" w:hAnsi="Times New Roman" w:cs="Times New Roman"/>
          <w:sz w:val="24"/>
          <w:szCs w:val="24"/>
        </w:rPr>
        <w:t xml:space="preserve"> p. 10.</w:t>
      </w:r>
      <w:r w:rsidR="00BE19FA">
        <w:rPr>
          <w:rFonts w:ascii="Times New Roman" w:eastAsia="Times New Roman" w:hAnsi="Times New Roman" w:cs="Times New Roman"/>
          <w:sz w:val="24"/>
          <w:szCs w:val="24"/>
        </w:rPr>
        <w:t>)</w:t>
      </w:r>
    </w:p>
    <w:p w:rsidR="00D2677A" w:rsidRPr="005C3052" w:rsidRDefault="00D2677A" w:rsidP="00D2677A">
      <w:pPr>
        <w:spacing w:after="0" w:line="360" w:lineRule="auto"/>
        <w:ind w:left="720"/>
        <w:rPr>
          <w:rFonts w:ascii="Times New Roman" w:eastAsia="Times New Roman" w:hAnsi="Times New Roman" w:cs="Times New Roman"/>
          <w:sz w:val="24"/>
          <w:szCs w:val="24"/>
        </w:rPr>
      </w:pPr>
    </w:p>
    <w:p w:rsidR="005C3052" w:rsidRDefault="005C3052" w:rsidP="006A3BDD">
      <w:pPr>
        <w:numPr>
          <w:ilvl w:val="0"/>
          <w:numId w:val="6"/>
        </w:numPr>
        <w:spacing w:after="0" w:line="360" w:lineRule="auto"/>
        <w:ind w:firstLine="1350"/>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 xml:space="preserve">Peoples TWP pursues its goal of providing reliable service at the least overall cost by utilizing a combination of local and interstate capacity assets and supply.  </w:t>
      </w:r>
      <w:r w:rsidR="00C13DD8">
        <w:rPr>
          <w:rFonts w:ascii="Times New Roman" w:eastAsia="Times New Roman" w:hAnsi="Times New Roman" w:cs="Times New Roman"/>
          <w:sz w:val="24"/>
          <w:szCs w:val="24"/>
        </w:rPr>
        <w:t>(</w:t>
      </w:r>
      <w:r w:rsidRPr="005C3052">
        <w:rPr>
          <w:rFonts w:ascii="Times New Roman" w:eastAsia="Times New Roman" w:hAnsi="Times New Roman" w:cs="Times New Roman"/>
          <w:sz w:val="24"/>
          <w:szCs w:val="24"/>
        </w:rPr>
        <w:t>Peoples TWP Statement No. 2, p. 4.  Joint Petition, p. 10.</w:t>
      </w:r>
      <w:r w:rsidR="00BE19FA">
        <w:rPr>
          <w:rFonts w:ascii="Times New Roman" w:eastAsia="Times New Roman" w:hAnsi="Times New Roman" w:cs="Times New Roman"/>
          <w:sz w:val="24"/>
          <w:szCs w:val="24"/>
        </w:rPr>
        <w:t>)</w:t>
      </w:r>
    </w:p>
    <w:p w:rsidR="00D2677A" w:rsidRPr="005C3052" w:rsidRDefault="00D2677A" w:rsidP="00D2677A">
      <w:pPr>
        <w:spacing w:after="0" w:line="360" w:lineRule="auto"/>
        <w:ind w:left="720"/>
        <w:rPr>
          <w:rFonts w:ascii="Times New Roman" w:eastAsia="Times New Roman" w:hAnsi="Times New Roman" w:cs="Times New Roman"/>
          <w:sz w:val="24"/>
          <w:szCs w:val="24"/>
        </w:rPr>
      </w:pPr>
    </w:p>
    <w:p w:rsidR="005C3052" w:rsidRDefault="005C3052" w:rsidP="006A3BDD">
      <w:pPr>
        <w:numPr>
          <w:ilvl w:val="0"/>
          <w:numId w:val="6"/>
        </w:numPr>
        <w:spacing w:after="0" w:line="360" w:lineRule="auto"/>
        <w:ind w:firstLine="1440"/>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 xml:space="preserve">The local assets consist of gas purchase agreements for Local Pennsylvania Gas produced directly into the Company’s pipeline system (Local Pennsylvania Gas) and Company-owned on-system storage fields.  </w:t>
      </w:r>
      <w:r w:rsidR="00C13DD8">
        <w:rPr>
          <w:rFonts w:ascii="Times New Roman" w:eastAsia="Times New Roman" w:hAnsi="Times New Roman" w:cs="Times New Roman"/>
          <w:sz w:val="24"/>
          <w:szCs w:val="24"/>
        </w:rPr>
        <w:t>(</w:t>
      </w:r>
      <w:r w:rsidRPr="005C3052">
        <w:rPr>
          <w:rFonts w:ascii="Times New Roman" w:eastAsia="Times New Roman" w:hAnsi="Times New Roman" w:cs="Times New Roman"/>
          <w:sz w:val="24"/>
          <w:szCs w:val="24"/>
        </w:rPr>
        <w:t xml:space="preserve">Peoples TWP Statement No. </w:t>
      </w:r>
      <w:r w:rsidR="00D2677A">
        <w:rPr>
          <w:rFonts w:ascii="Times New Roman" w:eastAsia="Times New Roman" w:hAnsi="Times New Roman" w:cs="Times New Roman"/>
          <w:sz w:val="24"/>
          <w:szCs w:val="24"/>
        </w:rPr>
        <w:t>2, p. 4.  Joint Petition, p. 1</w:t>
      </w:r>
      <w:r w:rsidR="00B3459C">
        <w:rPr>
          <w:rFonts w:ascii="Times New Roman" w:eastAsia="Times New Roman" w:hAnsi="Times New Roman" w:cs="Times New Roman"/>
          <w:sz w:val="24"/>
          <w:szCs w:val="24"/>
        </w:rPr>
        <w:t>.</w:t>
      </w:r>
      <w:r w:rsidR="00BE19FA">
        <w:rPr>
          <w:rFonts w:ascii="Times New Roman" w:eastAsia="Times New Roman" w:hAnsi="Times New Roman" w:cs="Times New Roman"/>
          <w:sz w:val="24"/>
          <w:szCs w:val="24"/>
        </w:rPr>
        <w:t>)</w:t>
      </w:r>
    </w:p>
    <w:p w:rsidR="00B3459C" w:rsidRPr="005C3052" w:rsidRDefault="00B3459C" w:rsidP="00B3459C">
      <w:pPr>
        <w:spacing w:after="0" w:line="360" w:lineRule="auto"/>
        <w:ind w:left="720"/>
        <w:rPr>
          <w:rFonts w:ascii="Times New Roman" w:eastAsia="Times New Roman" w:hAnsi="Times New Roman" w:cs="Times New Roman"/>
          <w:sz w:val="24"/>
          <w:szCs w:val="24"/>
        </w:rPr>
      </w:pPr>
    </w:p>
    <w:p w:rsidR="005C3052" w:rsidRDefault="005C3052" w:rsidP="006A3BDD">
      <w:pPr>
        <w:numPr>
          <w:ilvl w:val="0"/>
          <w:numId w:val="6"/>
        </w:numPr>
        <w:spacing w:after="0" w:line="360" w:lineRule="auto"/>
        <w:ind w:firstLine="1440"/>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 xml:space="preserve">The Local Pennsylvania Gas represents a significant portion of the annual supply needs of the system, while the on-system storage has limited supply capacity and is, therefore, utilized more for meeting the system’s short-term peak requirements. </w:t>
      </w:r>
      <w:r w:rsidR="00C13DD8">
        <w:rPr>
          <w:rFonts w:ascii="Times New Roman" w:eastAsia="Times New Roman" w:hAnsi="Times New Roman" w:cs="Times New Roman"/>
          <w:sz w:val="24"/>
          <w:szCs w:val="24"/>
        </w:rPr>
        <w:t>(</w:t>
      </w:r>
      <w:r w:rsidRPr="005C3052">
        <w:rPr>
          <w:rFonts w:ascii="Times New Roman" w:eastAsia="Times New Roman" w:hAnsi="Times New Roman" w:cs="Times New Roman"/>
          <w:sz w:val="24"/>
          <w:szCs w:val="24"/>
        </w:rPr>
        <w:t>Peoples TWP Statement No. 2, p. 4.  Joint Petition, p. 10.</w:t>
      </w:r>
      <w:r w:rsidR="00420097">
        <w:rPr>
          <w:rFonts w:ascii="Times New Roman" w:eastAsia="Times New Roman" w:hAnsi="Times New Roman" w:cs="Times New Roman"/>
          <w:sz w:val="24"/>
          <w:szCs w:val="24"/>
        </w:rPr>
        <w:t>)</w:t>
      </w:r>
    </w:p>
    <w:p w:rsidR="00D2677A" w:rsidRPr="005C3052" w:rsidRDefault="00D2677A" w:rsidP="00D2677A">
      <w:pPr>
        <w:spacing w:after="0" w:line="360" w:lineRule="auto"/>
        <w:ind w:left="720"/>
        <w:rPr>
          <w:rFonts w:ascii="Times New Roman" w:eastAsia="Times New Roman" w:hAnsi="Times New Roman" w:cs="Times New Roman"/>
          <w:sz w:val="24"/>
          <w:szCs w:val="24"/>
        </w:rPr>
      </w:pPr>
    </w:p>
    <w:p w:rsidR="005C3052" w:rsidRDefault="005C3052" w:rsidP="006A3BDD">
      <w:pPr>
        <w:numPr>
          <w:ilvl w:val="0"/>
          <w:numId w:val="6"/>
        </w:numPr>
        <w:spacing w:after="0" w:line="360" w:lineRule="auto"/>
        <w:ind w:firstLine="1440"/>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lastRenderedPageBreak/>
        <w:t xml:space="preserve">Peoples TWP’s interstate assets are comprised of a portfolio of storage and associated transportation services for which Peoples TWP has contracted with various FERC-regulated interstate pipelines.  </w:t>
      </w:r>
      <w:r w:rsidR="00C13DD8">
        <w:rPr>
          <w:rFonts w:ascii="Times New Roman" w:eastAsia="Times New Roman" w:hAnsi="Times New Roman" w:cs="Times New Roman"/>
          <w:sz w:val="24"/>
          <w:szCs w:val="24"/>
        </w:rPr>
        <w:t>(</w:t>
      </w:r>
      <w:r w:rsidRPr="005C3052">
        <w:rPr>
          <w:rFonts w:ascii="Times New Roman" w:eastAsia="Times New Roman" w:hAnsi="Times New Roman" w:cs="Times New Roman"/>
          <w:sz w:val="24"/>
          <w:szCs w:val="24"/>
        </w:rPr>
        <w:t>Peoples TWP Statement No. 2, p. 4.  Joint Petition, p. 10.</w:t>
      </w:r>
      <w:r w:rsidR="00420097">
        <w:rPr>
          <w:rFonts w:ascii="Times New Roman" w:eastAsia="Times New Roman" w:hAnsi="Times New Roman" w:cs="Times New Roman"/>
          <w:sz w:val="24"/>
          <w:szCs w:val="24"/>
        </w:rPr>
        <w:t>)</w:t>
      </w:r>
    </w:p>
    <w:p w:rsidR="00D2677A" w:rsidRPr="005C3052" w:rsidRDefault="00D2677A" w:rsidP="00D2677A">
      <w:pPr>
        <w:spacing w:after="0" w:line="360" w:lineRule="auto"/>
        <w:ind w:left="720"/>
        <w:rPr>
          <w:rFonts w:ascii="Times New Roman" w:eastAsia="Times New Roman" w:hAnsi="Times New Roman" w:cs="Times New Roman"/>
          <w:sz w:val="24"/>
          <w:szCs w:val="24"/>
        </w:rPr>
      </w:pPr>
    </w:p>
    <w:p w:rsidR="005C3052" w:rsidRDefault="005C3052" w:rsidP="006A3BDD">
      <w:pPr>
        <w:numPr>
          <w:ilvl w:val="0"/>
          <w:numId w:val="6"/>
        </w:numPr>
        <w:spacing w:after="0" w:line="360" w:lineRule="auto"/>
        <w:ind w:firstLine="1440"/>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 xml:space="preserve">Peoples TWP relies upon on-system storage and interstate pipeline storage services during the heating season period from November through March (the “Heating Season”) to help satisfy both the general system requirements over the entire Heating Season and, perhaps more importantly, the Design Peak Day requirement.  </w:t>
      </w:r>
      <w:r w:rsidR="00C13DD8">
        <w:rPr>
          <w:rFonts w:ascii="Times New Roman" w:eastAsia="Times New Roman" w:hAnsi="Times New Roman" w:cs="Times New Roman"/>
          <w:sz w:val="24"/>
          <w:szCs w:val="24"/>
        </w:rPr>
        <w:t>(</w:t>
      </w:r>
      <w:r w:rsidRPr="005C3052">
        <w:rPr>
          <w:rFonts w:ascii="Times New Roman" w:eastAsia="Times New Roman" w:hAnsi="Times New Roman" w:cs="Times New Roman"/>
          <w:sz w:val="24"/>
          <w:szCs w:val="24"/>
        </w:rPr>
        <w:t>Peoples TWP Statement No. 2, pp. 4-5.  Joint Petition, p. 11.</w:t>
      </w:r>
      <w:r w:rsidR="00420097">
        <w:rPr>
          <w:rFonts w:ascii="Times New Roman" w:eastAsia="Times New Roman" w:hAnsi="Times New Roman" w:cs="Times New Roman"/>
          <w:sz w:val="24"/>
          <w:szCs w:val="24"/>
        </w:rPr>
        <w:t>)</w:t>
      </w:r>
    </w:p>
    <w:p w:rsidR="00D2677A" w:rsidRPr="005C3052" w:rsidRDefault="00D2677A" w:rsidP="00D2677A">
      <w:pPr>
        <w:spacing w:after="0" w:line="360" w:lineRule="auto"/>
        <w:ind w:left="720"/>
        <w:rPr>
          <w:rFonts w:ascii="Times New Roman" w:eastAsia="Times New Roman" w:hAnsi="Times New Roman" w:cs="Times New Roman"/>
          <w:sz w:val="24"/>
          <w:szCs w:val="24"/>
        </w:rPr>
      </w:pPr>
    </w:p>
    <w:p w:rsidR="005C3052" w:rsidRDefault="005C3052" w:rsidP="006A3BDD">
      <w:pPr>
        <w:numPr>
          <w:ilvl w:val="0"/>
          <w:numId w:val="6"/>
        </w:numPr>
        <w:spacing w:after="0" w:line="360" w:lineRule="auto"/>
        <w:ind w:firstLine="1440"/>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 xml:space="preserve">Interstate gas storage and transportation services and the availability of cost-competitive interstate gas supplies are used by Peoples TWP to complement the base load Pennsylvania gas supplies and satisfy Peoples TWP’s Design Peak Day and Peak Demand Period system supply requirements.  </w:t>
      </w:r>
      <w:r w:rsidR="00C13DD8">
        <w:rPr>
          <w:rFonts w:ascii="Times New Roman" w:eastAsia="Times New Roman" w:hAnsi="Times New Roman" w:cs="Times New Roman"/>
          <w:sz w:val="24"/>
          <w:szCs w:val="24"/>
        </w:rPr>
        <w:t>(</w:t>
      </w:r>
      <w:r w:rsidRPr="005C3052">
        <w:rPr>
          <w:rFonts w:ascii="Times New Roman" w:eastAsia="Times New Roman" w:hAnsi="Times New Roman" w:cs="Times New Roman"/>
          <w:sz w:val="24"/>
          <w:szCs w:val="24"/>
        </w:rPr>
        <w:t xml:space="preserve">Peoples TWP Pre-filing, </w:t>
      </w:r>
      <w:r w:rsidR="00D2677A">
        <w:rPr>
          <w:rFonts w:ascii="Times New Roman" w:eastAsia="Times New Roman" w:hAnsi="Times New Roman" w:cs="Times New Roman"/>
          <w:sz w:val="24"/>
          <w:szCs w:val="24"/>
        </w:rPr>
        <w:t>p. 54.  Joint Petition, p. 11.</w:t>
      </w:r>
      <w:r w:rsidR="00420097">
        <w:rPr>
          <w:rFonts w:ascii="Times New Roman" w:eastAsia="Times New Roman" w:hAnsi="Times New Roman" w:cs="Times New Roman"/>
          <w:sz w:val="24"/>
          <w:szCs w:val="24"/>
        </w:rPr>
        <w:t>)</w:t>
      </w:r>
    </w:p>
    <w:p w:rsidR="00D2677A" w:rsidRPr="005C3052" w:rsidRDefault="00D2677A" w:rsidP="00D2677A">
      <w:pPr>
        <w:spacing w:after="0" w:line="360" w:lineRule="auto"/>
        <w:ind w:left="720"/>
        <w:rPr>
          <w:rFonts w:ascii="Times New Roman" w:eastAsia="Times New Roman" w:hAnsi="Times New Roman" w:cs="Times New Roman"/>
          <w:sz w:val="24"/>
          <w:szCs w:val="24"/>
        </w:rPr>
      </w:pPr>
    </w:p>
    <w:p w:rsidR="005C3052" w:rsidRDefault="005C3052" w:rsidP="006A3BDD">
      <w:pPr>
        <w:numPr>
          <w:ilvl w:val="0"/>
          <w:numId w:val="6"/>
        </w:numPr>
        <w:spacing w:after="0" w:line="360" w:lineRule="auto"/>
        <w:ind w:firstLine="1440"/>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 xml:space="preserve">Interstate pipeline firm storage capacity represents a vast majority of Peoples TWP’s interstate pipeline demand or reservation charges.  This service is specifically designed to provide gas supply during the Peak Demand Period when there are extra demands placed on the system.  In addition to the critical winter season peaking role, firm storage capacity also provides daily system balancing capacity.  Moreover, adequate storage capacity expands opportunities to purchase historically lower cost gas supplies available during the months of April through October to fill storage, thereby providing a reasonably priced inventory of gas to draw upon during periods of peak demand.  </w:t>
      </w:r>
      <w:r w:rsidR="008129CA">
        <w:rPr>
          <w:rFonts w:ascii="Times New Roman" w:eastAsia="Times New Roman" w:hAnsi="Times New Roman" w:cs="Times New Roman"/>
          <w:sz w:val="24"/>
          <w:szCs w:val="24"/>
        </w:rPr>
        <w:t>(</w:t>
      </w:r>
      <w:r w:rsidRPr="005C3052">
        <w:rPr>
          <w:rFonts w:ascii="Times New Roman" w:eastAsia="Times New Roman" w:hAnsi="Times New Roman" w:cs="Times New Roman"/>
          <w:sz w:val="24"/>
          <w:szCs w:val="24"/>
        </w:rPr>
        <w:t>Peoples TWP Pre-filing, pp. 143-47.  Joint Petition, p. 11.</w:t>
      </w:r>
      <w:r w:rsidR="00420097">
        <w:rPr>
          <w:rFonts w:ascii="Times New Roman" w:eastAsia="Times New Roman" w:hAnsi="Times New Roman" w:cs="Times New Roman"/>
          <w:sz w:val="24"/>
          <w:szCs w:val="24"/>
        </w:rPr>
        <w:t>)</w:t>
      </w:r>
      <w:r w:rsidRPr="005C3052">
        <w:rPr>
          <w:rFonts w:ascii="Times New Roman" w:eastAsia="Times New Roman" w:hAnsi="Times New Roman" w:cs="Times New Roman"/>
          <w:sz w:val="24"/>
          <w:szCs w:val="24"/>
        </w:rPr>
        <w:t xml:space="preserve">  </w:t>
      </w:r>
    </w:p>
    <w:p w:rsidR="00D2677A" w:rsidRPr="005C3052" w:rsidRDefault="00D2677A" w:rsidP="00D2677A">
      <w:pPr>
        <w:spacing w:after="0" w:line="360" w:lineRule="auto"/>
        <w:ind w:left="720"/>
        <w:rPr>
          <w:rFonts w:ascii="Times New Roman" w:eastAsia="Times New Roman" w:hAnsi="Times New Roman" w:cs="Times New Roman"/>
          <w:sz w:val="24"/>
          <w:szCs w:val="24"/>
        </w:rPr>
      </w:pPr>
    </w:p>
    <w:p w:rsidR="005C3052" w:rsidRDefault="005C3052" w:rsidP="006A3BDD">
      <w:pPr>
        <w:numPr>
          <w:ilvl w:val="0"/>
          <w:numId w:val="6"/>
        </w:numPr>
        <w:spacing w:after="0" w:line="360" w:lineRule="auto"/>
        <w:ind w:firstLine="1440"/>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 xml:space="preserve">Year-round firm transportation service, together with the firm gas supply agreements, gives Peoples TWP a reliable source of gas supply that is critical during peak demand periods.  During non-peak demand periods, this year-round firm transportation capacity can be used to deliver gas for injection into interstate pipeline storage facilities.  </w:t>
      </w:r>
      <w:r w:rsidR="008129CA">
        <w:rPr>
          <w:rFonts w:ascii="Times New Roman" w:eastAsia="Times New Roman" w:hAnsi="Times New Roman" w:cs="Times New Roman"/>
          <w:sz w:val="24"/>
          <w:szCs w:val="24"/>
        </w:rPr>
        <w:t>(</w:t>
      </w:r>
      <w:r w:rsidRPr="005C3052">
        <w:rPr>
          <w:rFonts w:ascii="Times New Roman" w:eastAsia="Times New Roman" w:hAnsi="Times New Roman" w:cs="Times New Roman"/>
          <w:sz w:val="24"/>
          <w:szCs w:val="24"/>
        </w:rPr>
        <w:t>Peoples TWP Pre-filing, p. 145.  Joint Petition, p. 11.</w:t>
      </w:r>
      <w:r w:rsidR="00420097">
        <w:rPr>
          <w:rFonts w:ascii="Times New Roman" w:eastAsia="Times New Roman" w:hAnsi="Times New Roman" w:cs="Times New Roman"/>
          <w:sz w:val="24"/>
          <w:szCs w:val="24"/>
        </w:rPr>
        <w:t>)</w:t>
      </w:r>
    </w:p>
    <w:p w:rsidR="00D2677A" w:rsidRPr="005C3052" w:rsidRDefault="00D2677A" w:rsidP="00D2677A">
      <w:pPr>
        <w:spacing w:after="0" w:line="360" w:lineRule="auto"/>
        <w:ind w:left="720"/>
        <w:rPr>
          <w:rFonts w:ascii="Times New Roman" w:eastAsia="Times New Roman" w:hAnsi="Times New Roman" w:cs="Times New Roman"/>
          <w:sz w:val="24"/>
          <w:szCs w:val="24"/>
        </w:rPr>
      </w:pPr>
    </w:p>
    <w:p w:rsidR="005C3052" w:rsidRDefault="005C3052" w:rsidP="006A3BDD">
      <w:pPr>
        <w:numPr>
          <w:ilvl w:val="0"/>
          <w:numId w:val="6"/>
        </w:numPr>
        <w:spacing w:after="0" w:line="360" w:lineRule="auto"/>
        <w:ind w:firstLine="1440"/>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lastRenderedPageBreak/>
        <w:t>Peoples TWP continues to purchase a substantial amount of its gas supply from Pennsylvania and Appalachian producers.</w:t>
      </w:r>
      <w:r w:rsidR="00D02DBB">
        <w:rPr>
          <w:rFonts w:ascii="Times New Roman" w:eastAsia="Times New Roman" w:hAnsi="Times New Roman" w:cs="Times New Roman"/>
          <w:sz w:val="24"/>
          <w:szCs w:val="24"/>
        </w:rPr>
        <w:t xml:space="preserve"> </w:t>
      </w:r>
      <w:r w:rsidRPr="005C3052">
        <w:rPr>
          <w:rFonts w:ascii="Times New Roman" w:eastAsia="Times New Roman" w:hAnsi="Times New Roman" w:cs="Times New Roman"/>
          <w:sz w:val="24"/>
          <w:szCs w:val="24"/>
        </w:rPr>
        <w:t xml:space="preserve"> Peoples TWP Pre-filing, p. 147.  The vast majority of these purchases are based on index pricing.  </w:t>
      </w:r>
      <w:r w:rsidR="008129CA">
        <w:rPr>
          <w:rFonts w:ascii="Times New Roman" w:eastAsia="Times New Roman" w:hAnsi="Times New Roman" w:cs="Times New Roman"/>
          <w:sz w:val="24"/>
          <w:szCs w:val="24"/>
        </w:rPr>
        <w:t>(</w:t>
      </w:r>
      <w:r w:rsidRPr="005C3052">
        <w:rPr>
          <w:rFonts w:ascii="Times New Roman" w:eastAsia="Times New Roman" w:hAnsi="Times New Roman" w:cs="Times New Roman"/>
          <w:sz w:val="24"/>
          <w:szCs w:val="24"/>
        </w:rPr>
        <w:t>Peoples TWP Pre-filing</w:t>
      </w:r>
      <w:r w:rsidR="00D2677A">
        <w:rPr>
          <w:rFonts w:ascii="Times New Roman" w:eastAsia="Times New Roman" w:hAnsi="Times New Roman" w:cs="Times New Roman"/>
          <w:sz w:val="24"/>
          <w:szCs w:val="24"/>
        </w:rPr>
        <w:t>, p. 61.  Joint Petition, p. 12</w:t>
      </w:r>
      <w:r w:rsidR="00B3459C">
        <w:rPr>
          <w:rFonts w:ascii="Times New Roman" w:eastAsia="Times New Roman" w:hAnsi="Times New Roman" w:cs="Times New Roman"/>
          <w:sz w:val="24"/>
          <w:szCs w:val="24"/>
        </w:rPr>
        <w:t>.</w:t>
      </w:r>
      <w:r w:rsidR="00420097">
        <w:rPr>
          <w:rFonts w:ascii="Times New Roman" w:eastAsia="Times New Roman" w:hAnsi="Times New Roman" w:cs="Times New Roman"/>
          <w:sz w:val="24"/>
          <w:szCs w:val="24"/>
        </w:rPr>
        <w:t>)</w:t>
      </w:r>
    </w:p>
    <w:p w:rsidR="00D2677A" w:rsidRPr="005C3052" w:rsidRDefault="00D2677A" w:rsidP="00D2677A">
      <w:pPr>
        <w:spacing w:after="0" w:line="360" w:lineRule="auto"/>
        <w:ind w:left="720"/>
        <w:rPr>
          <w:rFonts w:ascii="Times New Roman" w:eastAsia="Times New Roman" w:hAnsi="Times New Roman" w:cs="Times New Roman"/>
          <w:sz w:val="24"/>
          <w:szCs w:val="24"/>
        </w:rPr>
      </w:pPr>
    </w:p>
    <w:p w:rsidR="005C3052" w:rsidRDefault="005C3052" w:rsidP="00943B3C">
      <w:pPr>
        <w:numPr>
          <w:ilvl w:val="0"/>
          <w:numId w:val="6"/>
        </w:numPr>
        <w:spacing w:after="0" w:line="360" w:lineRule="auto"/>
        <w:ind w:firstLine="1440"/>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 xml:space="preserve">Peoples TWP currently purchases gas under two forms of vintage contracts – fixed price and percent of market contracts.  The fixed price contracts are long-standing agreements, which include a fixed price at which all gas would be purchased under the contract for the life of the well.  The market contracts were former fixed-price vintage contracts.  </w:t>
      </w:r>
      <w:r w:rsidR="008129CA">
        <w:rPr>
          <w:rFonts w:ascii="Times New Roman" w:eastAsia="Times New Roman" w:hAnsi="Times New Roman" w:cs="Times New Roman"/>
          <w:sz w:val="24"/>
          <w:szCs w:val="24"/>
        </w:rPr>
        <w:t>(</w:t>
      </w:r>
      <w:r w:rsidRPr="005C3052">
        <w:rPr>
          <w:rFonts w:ascii="Times New Roman" w:eastAsia="Times New Roman" w:hAnsi="Times New Roman" w:cs="Times New Roman"/>
          <w:sz w:val="24"/>
          <w:szCs w:val="24"/>
        </w:rPr>
        <w:t>Peoples TWP Pre-filing, p. 61.  Joint Petition, p. 12.</w:t>
      </w:r>
      <w:r w:rsidR="00420097">
        <w:rPr>
          <w:rFonts w:ascii="Times New Roman" w:eastAsia="Times New Roman" w:hAnsi="Times New Roman" w:cs="Times New Roman"/>
          <w:sz w:val="24"/>
          <w:szCs w:val="24"/>
        </w:rPr>
        <w:t>)</w:t>
      </w:r>
    </w:p>
    <w:p w:rsidR="00F32D52" w:rsidRPr="005C3052" w:rsidRDefault="00F32D52" w:rsidP="00F32D52">
      <w:pPr>
        <w:spacing w:after="0" w:line="360" w:lineRule="auto"/>
        <w:ind w:left="720"/>
        <w:rPr>
          <w:rFonts w:ascii="Times New Roman" w:eastAsia="Times New Roman" w:hAnsi="Times New Roman" w:cs="Times New Roman"/>
          <w:sz w:val="24"/>
          <w:szCs w:val="24"/>
        </w:rPr>
      </w:pPr>
    </w:p>
    <w:p w:rsidR="005C3052" w:rsidRDefault="005C3052" w:rsidP="006A3BDD">
      <w:pPr>
        <w:numPr>
          <w:ilvl w:val="0"/>
          <w:numId w:val="6"/>
        </w:numPr>
        <w:spacing w:after="0" w:line="360" w:lineRule="auto"/>
        <w:ind w:firstLine="1440"/>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 xml:space="preserve">Peoples TWP purchases gas from over 100 local Pennsylvania producers at approximately 2,100 supply meters.  </w:t>
      </w:r>
      <w:r w:rsidR="008129CA">
        <w:rPr>
          <w:rFonts w:ascii="Times New Roman" w:eastAsia="Times New Roman" w:hAnsi="Times New Roman" w:cs="Times New Roman"/>
          <w:sz w:val="24"/>
          <w:szCs w:val="24"/>
        </w:rPr>
        <w:t>(</w:t>
      </w:r>
      <w:r w:rsidRPr="005C3052">
        <w:rPr>
          <w:rFonts w:ascii="Times New Roman" w:eastAsia="Times New Roman" w:hAnsi="Times New Roman" w:cs="Times New Roman"/>
          <w:sz w:val="24"/>
          <w:szCs w:val="24"/>
        </w:rPr>
        <w:t>Peoples TWP Pre-filing, p. 147.  Joint Petition, p. 12.</w:t>
      </w:r>
      <w:r w:rsidR="00420097">
        <w:rPr>
          <w:rFonts w:ascii="Times New Roman" w:eastAsia="Times New Roman" w:hAnsi="Times New Roman" w:cs="Times New Roman"/>
          <w:sz w:val="24"/>
          <w:szCs w:val="24"/>
        </w:rPr>
        <w:t>)</w:t>
      </w:r>
    </w:p>
    <w:p w:rsidR="00D2677A" w:rsidRPr="005C3052" w:rsidRDefault="00D2677A" w:rsidP="00D2677A">
      <w:pPr>
        <w:spacing w:after="0" w:line="360" w:lineRule="auto"/>
        <w:ind w:left="720"/>
        <w:rPr>
          <w:rFonts w:ascii="Times New Roman" w:eastAsia="Times New Roman" w:hAnsi="Times New Roman" w:cs="Times New Roman"/>
          <w:sz w:val="24"/>
          <w:szCs w:val="24"/>
        </w:rPr>
      </w:pPr>
    </w:p>
    <w:p w:rsidR="005C3052" w:rsidRDefault="005C3052" w:rsidP="006A3BDD">
      <w:pPr>
        <w:numPr>
          <w:ilvl w:val="0"/>
          <w:numId w:val="6"/>
        </w:numPr>
        <w:tabs>
          <w:tab w:val="left" w:pos="1440"/>
        </w:tabs>
        <w:spacing w:after="0" w:line="360" w:lineRule="auto"/>
        <w:ind w:firstLine="1440"/>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 xml:space="preserve">Pursuant to Peoples TWP’s tariff, the Company only discounts retainage if certain competitive circumstances exist.  If one of the competitive circumstances exists, then a test, as defined in the tariff, is performed to ensure that the customer at the discounted rate provides a net benefit to the system.  Peoples TWP provided information on the total volumes and average discount retention rate relative to the volumes and retention of undiscounted customers and contemplated the impacts of such discounts when analyzing its retainage rates.  </w:t>
      </w:r>
      <w:r w:rsidR="0094464D">
        <w:rPr>
          <w:rFonts w:ascii="Times New Roman" w:eastAsia="Times New Roman" w:hAnsi="Times New Roman" w:cs="Times New Roman"/>
          <w:sz w:val="24"/>
          <w:szCs w:val="24"/>
        </w:rPr>
        <w:t>(</w:t>
      </w:r>
      <w:r w:rsidRPr="005C3052">
        <w:rPr>
          <w:rFonts w:ascii="Times New Roman" w:eastAsia="Times New Roman" w:hAnsi="Times New Roman" w:cs="Times New Roman"/>
          <w:sz w:val="24"/>
          <w:szCs w:val="24"/>
        </w:rPr>
        <w:t>Peoples TWP Statement No. 1, pp. 16-17.  Joint Petition, p. 12.</w:t>
      </w:r>
      <w:r w:rsidR="00420097">
        <w:rPr>
          <w:rFonts w:ascii="Times New Roman" w:eastAsia="Times New Roman" w:hAnsi="Times New Roman" w:cs="Times New Roman"/>
          <w:sz w:val="24"/>
          <w:szCs w:val="24"/>
        </w:rPr>
        <w:t>)</w:t>
      </w:r>
    </w:p>
    <w:p w:rsidR="00735849" w:rsidRDefault="00735849" w:rsidP="00735849">
      <w:pPr>
        <w:tabs>
          <w:tab w:val="left" w:pos="1440"/>
        </w:tabs>
        <w:spacing w:after="0" w:line="360" w:lineRule="auto"/>
        <w:ind w:left="1440"/>
        <w:rPr>
          <w:rFonts w:ascii="Times New Roman" w:eastAsia="Times New Roman" w:hAnsi="Times New Roman" w:cs="Times New Roman"/>
          <w:sz w:val="24"/>
          <w:szCs w:val="24"/>
        </w:rPr>
      </w:pPr>
    </w:p>
    <w:p w:rsidR="005C3052" w:rsidRDefault="005C3052" w:rsidP="006A3BDD">
      <w:pPr>
        <w:numPr>
          <w:ilvl w:val="0"/>
          <w:numId w:val="6"/>
        </w:numPr>
        <w:spacing w:after="0" w:line="360" w:lineRule="auto"/>
        <w:ind w:firstLine="1440"/>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 xml:space="preserve">During the Historical Period, the Company was able to accept over 3.5 Bcf of Marcellus Shale gas production for sales and transport.  </w:t>
      </w:r>
      <w:r w:rsidR="0094464D">
        <w:rPr>
          <w:rFonts w:ascii="Times New Roman" w:eastAsia="Times New Roman" w:hAnsi="Times New Roman" w:cs="Times New Roman"/>
          <w:sz w:val="24"/>
          <w:szCs w:val="24"/>
        </w:rPr>
        <w:t>(</w:t>
      </w:r>
      <w:r w:rsidRPr="005C3052">
        <w:rPr>
          <w:rFonts w:ascii="Times New Roman" w:eastAsia="Times New Roman" w:hAnsi="Times New Roman" w:cs="Times New Roman"/>
          <w:sz w:val="24"/>
          <w:szCs w:val="24"/>
        </w:rPr>
        <w:t>Peoples TWP Pre-filing, p. 147.  Joint Petition, p. 12.</w:t>
      </w:r>
      <w:r w:rsidR="00420097">
        <w:rPr>
          <w:rFonts w:ascii="Times New Roman" w:eastAsia="Times New Roman" w:hAnsi="Times New Roman" w:cs="Times New Roman"/>
          <w:sz w:val="24"/>
          <w:szCs w:val="24"/>
        </w:rPr>
        <w:t>)</w:t>
      </w:r>
    </w:p>
    <w:p w:rsidR="00D2677A" w:rsidRPr="005C3052" w:rsidRDefault="00D2677A" w:rsidP="00D2677A">
      <w:pPr>
        <w:spacing w:after="0" w:line="360" w:lineRule="auto"/>
        <w:ind w:left="720"/>
        <w:rPr>
          <w:rFonts w:ascii="Times New Roman" w:eastAsia="Times New Roman" w:hAnsi="Times New Roman" w:cs="Times New Roman"/>
          <w:sz w:val="24"/>
          <w:szCs w:val="24"/>
        </w:rPr>
      </w:pPr>
    </w:p>
    <w:p w:rsidR="005C3052" w:rsidRDefault="005C3052" w:rsidP="006A3BDD">
      <w:pPr>
        <w:numPr>
          <w:ilvl w:val="0"/>
          <w:numId w:val="6"/>
        </w:numPr>
        <w:spacing w:after="0" w:line="360" w:lineRule="auto"/>
        <w:ind w:firstLine="1440"/>
        <w:contextualSpacing/>
        <w:rPr>
          <w:rFonts w:ascii="Times New Roman" w:eastAsia="Times New Roman" w:hAnsi="Times New Roman" w:cs="Times New Roman"/>
          <w:sz w:val="24"/>
          <w:szCs w:val="24"/>
        </w:rPr>
      </w:pPr>
      <w:proofErr w:type="gramStart"/>
      <w:r w:rsidRPr="005C3052">
        <w:rPr>
          <w:rFonts w:ascii="Times New Roman" w:eastAsia="Times New Roman" w:hAnsi="Times New Roman" w:cs="Times New Roman"/>
          <w:sz w:val="24"/>
          <w:szCs w:val="24"/>
        </w:rPr>
        <w:t>Peoples TWP is</w:t>
      </w:r>
      <w:proofErr w:type="gramEnd"/>
      <w:r w:rsidRPr="005C3052">
        <w:rPr>
          <w:rFonts w:ascii="Times New Roman" w:eastAsia="Times New Roman" w:hAnsi="Times New Roman" w:cs="Times New Roman"/>
          <w:sz w:val="24"/>
          <w:szCs w:val="24"/>
        </w:rPr>
        <w:t xml:space="preserve"> a “public utility” and a “natural gas distribution company” as those terms are defined in Sections 102 and 2202 of the Public Utility Code, 66 Pa.C.S. §§ 102, 2202.  </w:t>
      </w:r>
      <w:r w:rsidR="00420097">
        <w:rPr>
          <w:rFonts w:ascii="Times New Roman" w:eastAsia="Times New Roman" w:hAnsi="Times New Roman" w:cs="Times New Roman"/>
          <w:sz w:val="24"/>
          <w:szCs w:val="24"/>
        </w:rPr>
        <w:t>(</w:t>
      </w:r>
      <w:r w:rsidRPr="005C3052">
        <w:rPr>
          <w:rFonts w:ascii="Times New Roman" w:eastAsia="Times New Roman" w:hAnsi="Times New Roman" w:cs="Times New Roman"/>
          <w:sz w:val="24"/>
          <w:szCs w:val="24"/>
        </w:rPr>
        <w:t>Joint Petition, p. 2.</w:t>
      </w:r>
      <w:r w:rsidR="00420097">
        <w:rPr>
          <w:rFonts w:ascii="Times New Roman" w:eastAsia="Times New Roman" w:hAnsi="Times New Roman" w:cs="Times New Roman"/>
          <w:sz w:val="24"/>
          <w:szCs w:val="24"/>
        </w:rPr>
        <w:t>)</w:t>
      </w:r>
    </w:p>
    <w:p w:rsidR="00B661FD" w:rsidRDefault="00B661FD" w:rsidP="00B661FD">
      <w:pPr>
        <w:spacing w:after="0" w:line="360" w:lineRule="auto"/>
        <w:ind w:left="720"/>
        <w:contextualSpacing/>
        <w:rPr>
          <w:rFonts w:ascii="Times New Roman" w:eastAsia="Times New Roman" w:hAnsi="Times New Roman" w:cs="Times New Roman"/>
          <w:sz w:val="24"/>
          <w:szCs w:val="24"/>
        </w:rPr>
      </w:pPr>
    </w:p>
    <w:p w:rsidR="005C3052" w:rsidRPr="005C3052" w:rsidRDefault="005C3052" w:rsidP="006A3BDD">
      <w:pPr>
        <w:numPr>
          <w:ilvl w:val="0"/>
          <w:numId w:val="6"/>
        </w:numPr>
        <w:spacing w:after="0" w:line="360" w:lineRule="auto"/>
        <w:ind w:firstLine="1440"/>
        <w:contextualSpacing/>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lastRenderedPageBreak/>
        <w:t xml:space="preserve">Peoples TWP’s annual operating revenues, derived from providing gas service to customers in Pennsylvania, exceed $40 million.  </w:t>
      </w:r>
      <w:r w:rsidR="00420097">
        <w:rPr>
          <w:rFonts w:ascii="Times New Roman" w:eastAsia="Times New Roman" w:hAnsi="Times New Roman" w:cs="Times New Roman"/>
          <w:sz w:val="24"/>
          <w:szCs w:val="24"/>
        </w:rPr>
        <w:t>(</w:t>
      </w:r>
      <w:r w:rsidRPr="005C3052">
        <w:rPr>
          <w:rFonts w:ascii="Times New Roman" w:eastAsia="Times New Roman" w:hAnsi="Times New Roman" w:cs="Times New Roman"/>
          <w:sz w:val="24"/>
          <w:szCs w:val="24"/>
        </w:rPr>
        <w:t>Joint Petition, p. 2.</w:t>
      </w:r>
      <w:r w:rsidR="00420097">
        <w:rPr>
          <w:rFonts w:ascii="Times New Roman" w:eastAsia="Times New Roman" w:hAnsi="Times New Roman" w:cs="Times New Roman"/>
          <w:sz w:val="24"/>
          <w:szCs w:val="24"/>
        </w:rPr>
        <w:t>)</w:t>
      </w:r>
    </w:p>
    <w:p w:rsidR="005C3052" w:rsidRPr="005C3052" w:rsidRDefault="005C3052" w:rsidP="00106CD6">
      <w:pPr>
        <w:spacing w:after="0" w:line="360" w:lineRule="auto"/>
        <w:ind w:firstLine="1440"/>
        <w:rPr>
          <w:rFonts w:ascii="Times New Roman" w:eastAsia="Times New Roman" w:hAnsi="Times New Roman" w:cs="Times New Roman"/>
          <w:sz w:val="24"/>
          <w:szCs w:val="24"/>
        </w:rPr>
      </w:pPr>
    </w:p>
    <w:p w:rsidR="005C3052" w:rsidRPr="005C3052" w:rsidRDefault="005C3052" w:rsidP="006A3BDD">
      <w:pPr>
        <w:numPr>
          <w:ilvl w:val="0"/>
          <w:numId w:val="6"/>
        </w:numPr>
        <w:spacing w:after="0" w:line="360" w:lineRule="auto"/>
        <w:ind w:firstLine="1440"/>
        <w:contextualSpacing/>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 xml:space="preserve">Peoples TWP is pursuing a least cost fuel procurement policy, consistent with its obligation to provide safe, adequate and reliable service to its customers.  </w:t>
      </w:r>
      <w:r w:rsidR="0094464D">
        <w:rPr>
          <w:rFonts w:ascii="Times New Roman" w:eastAsia="Times New Roman" w:hAnsi="Times New Roman" w:cs="Times New Roman"/>
          <w:sz w:val="24"/>
          <w:szCs w:val="24"/>
        </w:rPr>
        <w:t>(</w:t>
      </w:r>
      <w:r w:rsidRPr="005C3052">
        <w:rPr>
          <w:rFonts w:ascii="Times New Roman" w:eastAsia="Times New Roman" w:hAnsi="Times New Roman" w:cs="Times New Roman"/>
          <w:sz w:val="24"/>
          <w:szCs w:val="24"/>
        </w:rPr>
        <w:t>Peoples TWP Statement in Support, p. 18.</w:t>
      </w:r>
      <w:r w:rsidR="0094464D">
        <w:rPr>
          <w:rFonts w:ascii="Times New Roman" w:eastAsia="Times New Roman" w:hAnsi="Times New Roman" w:cs="Times New Roman"/>
          <w:sz w:val="24"/>
          <w:szCs w:val="24"/>
        </w:rPr>
        <w:t>)</w:t>
      </w:r>
    </w:p>
    <w:p w:rsidR="005C3052" w:rsidRPr="005C3052" w:rsidRDefault="005C3052" w:rsidP="00106CD6">
      <w:pPr>
        <w:spacing w:after="0" w:line="240" w:lineRule="auto"/>
        <w:ind w:left="720"/>
        <w:contextualSpacing/>
        <w:rPr>
          <w:rFonts w:ascii="Times New Roman" w:eastAsia="Times New Roman" w:hAnsi="Times New Roman" w:cs="Times New Roman"/>
          <w:sz w:val="24"/>
          <w:szCs w:val="24"/>
        </w:rPr>
      </w:pPr>
    </w:p>
    <w:p w:rsidR="005C3052" w:rsidRPr="00355E70" w:rsidRDefault="005C3052" w:rsidP="00414FA4">
      <w:pPr>
        <w:numPr>
          <w:ilvl w:val="0"/>
          <w:numId w:val="6"/>
        </w:numPr>
        <w:spacing w:after="0" w:line="360" w:lineRule="auto"/>
        <w:ind w:firstLine="1440"/>
        <w:contextualSpacing/>
        <w:rPr>
          <w:rFonts w:ascii="Times New Roman" w:eastAsia="Times New Roman" w:hAnsi="Times New Roman" w:cs="Times New Roman"/>
          <w:sz w:val="24"/>
          <w:szCs w:val="24"/>
        </w:rPr>
      </w:pPr>
      <w:r w:rsidRPr="00355E70">
        <w:rPr>
          <w:rFonts w:ascii="Times New Roman" w:eastAsia="Times New Roman" w:hAnsi="Times New Roman" w:cs="Times New Roman"/>
          <w:sz w:val="24"/>
          <w:szCs w:val="24"/>
        </w:rPr>
        <w:t xml:space="preserve">All gas exchanges by Peoples TWP with entities that are considered an affiliated interest have met the requirements of Section 1318(b) of the Public Utility Code relating to purchases from and services provided by entities that are considered affiliates.  </w:t>
      </w:r>
      <w:r w:rsidR="00420097">
        <w:rPr>
          <w:rFonts w:ascii="Times New Roman" w:eastAsia="Times New Roman" w:hAnsi="Times New Roman" w:cs="Times New Roman"/>
          <w:sz w:val="24"/>
          <w:szCs w:val="24"/>
        </w:rPr>
        <w:t>(</w:t>
      </w:r>
      <w:r w:rsidRPr="00355E70">
        <w:rPr>
          <w:rFonts w:ascii="Times New Roman" w:eastAsia="Times New Roman" w:hAnsi="Times New Roman" w:cs="Times New Roman"/>
          <w:sz w:val="24"/>
          <w:szCs w:val="24"/>
        </w:rPr>
        <w:t>Joint Petition,</w:t>
      </w:r>
      <w:r w:rsidR="00355E70" w:rsidRPr="00355E70">
        <w:rPr>
          <w:rFonts w:ascii="Times New Roman" w:eastAsia="Times New Roman" w:hAnsi="Times New Roman" w:cs="Times New Roman"/>
          <w:sz w:val="24"/>
          <w:szCs w:val="24"/>
        </w:rPr>
        <w:t xml:space="preserve"> </w:t>
      </w:r>
      <w:r w:rsidRPr="00355E70">
        <w:rPr>
          <w:rFonts w:ascii="Times New Roman" w:eastAsia="Times New Roman" w:hAnsi="Times New Roman" w:cs="Times New Roman"/>
          <w:sz w:val="24"/>
          <w:szCs w:val="24"/>
        </w:rPr>
        <w:t>p. 13.</w:t>
      </w:r>
      <w:r w:rsidR="00420097">
        <w:rPr>
          <w:rFonts w:ascii="Times New Roman" w:eastAsia="Times New Roman" w:hAnsi="Times New Roman" w:cs="Times New Roman"/>
          <w:sz w:val="24"/>
          <w:szCs w:val="24"/>
        </w:rPr>
        <w:t>)</w:t>
      </w:r>
    </w:p>
    <w:p w:rsidR="005C3052" w:rsidRPr="005C3052" w:rsidRDefault="005C3052" w:rsidP="00F32D52">
      <w:pPr>
        <w:spacing w:after="0" w:line="360" w:lineRule="auto"/>
        <w:rPr>
          <w:rFonts w:ascii="Times New Roman" w:eastAsia="Times New Roman" w:hAnsi="Times New Roman" w:cs="Times New Roman"/>
          <w:b/>
          <w:sz w:val="24"/>
          <w:szCs w:val="24"/>
        </w:rPr>
      </w:pPr>
    </w:p>
    <w:p w:rsidR="00355E70" w:rsidRPr="005C3052" w:rsidRDefault="00355E70" w:rsidP="00355E70">
      <w:pPr>
        <w:spacing w:after="0" w:line="360" w:lineRule="auto"/>
        <w:jc w:val="center"/>
        <w:rPr>
          <w:rFonts w:ascii="Times New Roman" w:eastAsia="Times New Roman" w:hAnsi="Times New Roman" w:cs="Times New Roman"/>
          <w:sz w:val="24"/>
          <w:szCs w:val="24"/>
          <w:u w:val="single"/>
        </w:rPr>
      </w:pPr>
      <w:r w:rsidRPr="005C3052">
        <w:rPr>
          <w:rFonts w:ascii="Times New Roman" w:eastAsia="Times New Roman" w:hAnsi="Times New Roman" w:cs="Times New Roman"/>
          <w:sz w:val="24"/>
          <w:szCs w:val="24"/>
        </w:rPr>
        <w:t>II</w:t>
      </w:r>
      <w:r>
        <w:rPr>
          <w:rFonts w:ascii="Times New Roman" w:eastAsia="Times New Roman" w:hAnsi="Times New Roman" w:cs="Times New Roman"/>
          <w:sz w:val="24"/>
          <w:szCs w:val="24"/>
        </w:rPr>
        <w:t>I</w:t>
      </w:r>
      <w:r w:rsidRPr="005C3052">
        <w:rPr>
          <w:rFonts w:ascii="Times New Roman" w:eastAsia="Times New Roman" w:hAnsi="Times New Roman" w:cs="Times New Roman"/>
          <w:sz w:val="24"/>
          <w:szCs w:val="24"/>
        </w:rPr>
        <w:t>.</w:t>
      </w:r>
      <w:r w:rsidRPr="005C3052">
        <w:rPr>
          <w:rFonts w:ascii="Times New Roman" w:eastAsia="Times New Roman" w:hAnsi="Times New Roman" w:cs="Times New Roman"/>
          <w:sz w:val="24"/>
          <w:szCs w:val="24"/>
        </w:rPr>
        <w:tab/>
      </w:r>
      <w:r w:rsidRPr="005C3052">
        <w:rPr>
          <w:rFonts w:ascii="Times New Roman" w:eastAsia="Times New Roman" w:hAnsi="Times New Roman" w:cs="Times New Roman"/>
          <w:sz w:val="24"/>
          <w:szCs w:val="24"/>
          <w:u w:val="single"/>
        </w:rPr>
        <w:t>TERMS OF THE SETTLEMENT</w:t>
      </w:r>
    </w:p>
    <w:p w:rsidR="00355E70" w:rsidRPr="005C3052" w:rsidRDefault="00355E70" w:rsidP="00355E70">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355E70" w:rsidRPr="005C3052" w:rsidRDefault="00355E70" w:rsidP="00355E70">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5C3052">
        <w:rPr>
          <w:rFonts w:ascii="Times New Roman" w:eastAsia="Times New Roman" w:hAnsi="Times New Roman" w:cs="Times New Roman"/>
          <w:spacing w:val="-3"/>
          <w:sz w:val="24"/>
          <w:szCs w:val="24"/>
        </w:rPr>
        <w:tab/>
      </w:r>
      <w:r w:rsidRPr="005C3052">
        <w:rPr>
          <w:rFonts w:ascii="Times New Roman" w:eastAsia="Times New Roman" w:hAnsi="Times New Roman" w:cs="Times New Roman"/>
          <w:spacing w:val="-3"/>
          <w:sz w:val="24"/>
          <w:szCs w:val="24"/>
        </w:rPr>
        <w:tab/>
        <w:t xml:space="preserve">The Settling Parties </w:t>
      </w:r>
      <w:r w:rsidR="00273B50">
        <w:rPr>
          <w:rFonts w:ascii="Times New Roman" w:eastAsia="Times New Roman" w:hAnsi="Times New Roman" w:cs="Times New Roman"/>
          <w:spacing w:val="-3"/>
          <w:sz w:val="24"/>
          <w:szCs w:val="24"/>
        </w:rPr>
        <w:t xml:space="preserve">have </w:t>
      </w:r>
      <w:r w:rsidRPr="005C3052">
        <w:rPr>
          <w:rFonts w:ascii="Times New Roman" w:eastAsia="Times New Roman" w:hAnsi="Times New Roman" w:cs="Times New Roman"/>
          <w:spacing w:val="-3"/>
          <w:sz w:val="24"/>
          <w:szCs w:val="24"/>
        </w:rPr>
        <w:t>agree</w:t>
      </w:r>
      <w:r w:rsidR="00273B50">
        <w:rPr>
          <w:rFonts w:ascii="Times New Roman" w:eastAsia="Times New Roman" w:hAnsi="Times New Roman" w:cs="Times New Roman"/>
          <w:spacing w:val="-3"/>
          <w:sz w:val="24"/>
          <w:szCs w:val="24"/>
        </w:rPr>
        <w:t>d</w:t>
      </w:r>
      <w:r w:rsidRPr="005C3052">
        <w:rPr>
          <w:rFonts w:ascii="Times New Roman" w:eastAsia="Times New Roman" w:hAnsi="Times New Roman" w:cs="Times New Roman"/>
          <w:spacing w:val="-3"/>
          <w:sz w:val="24"/>
          <w:szCs w:val="24"/>
        </w:rPr>
        <w:t xml:space="preserve"> upon the following</w:t>
      </w:r>
      <w:r w:rsidR="00273B50">
        <w:rPr>
          <w:rFonts w:ascii="Times New Roman" w:eastAsia="Times New Roman" w:hAnsi="Times New Roman" w:cs="Times New Roman"/>
          <w:spacing w:val="-3"/>
          <w:sz w:val="24"/>
          <w:szCs w:val="24"/>
        </w:rPr>
        <w:t xml:space="preserve"> issues</w:t>
      </w:r>
      <w:r w:rsidRPr="005C3052">
        <w:rPr>
          <w:rFonts w:ascii="Times New Roman" w:eastAsia="Times New Roman" w:hAnsi="Times New Roman" w:cs="Times New Roman"/>
          <w:spacing w:val="-3"/>
          <w:sz w:val="24"/>
          <w:szCs w:val="24"/>
        </w:rPr>
        <w:t>:</w:t>
      </w:r>
    </w:p>
    <w:p w:rsidR="00355E70" w:rsidRPr="005C3052" w:rsidRDefault="00355E70" w:rsidP="00355E70">
      <w:pPr>
        <w:spacing w:after="0" w:line="360" w:lineRule="auto"/>
        <w:rPr>
          <w:rFonts w:ascii="Times New Roman" w:eastAsia="Times New Roman" w:hAnsi="Times New Roman" w:cs="Times New Roman"/>
          <w:spacing w:val="-3"/>
          <w:sz w:val="24"/>
          <w:szCs w:val="24"/>
        </w:rPr>
      </w:pPr>
    </w:p>
    <w:p w:rsidR="00355E70" w:rsidRPr="006A47DA" w:rsidRDefault="00355E70" w:rsidP="00355E70">
      <w:pPr>
        <w:tabs>
          <w:tab w:val="left" w:pos="-720"/>
        </w:tabs>
        <w:suppressAutoHyphens/>
        <w:autoSpaceDE w:val="0"/>
        <w:autoSpaceDN w:val="0"/>
        <w:spacing w:after="0" w:line="360" w:lineRule="auto"/>
        <w:contextualSpacing/>
        <w:rPr>
          <w:rFonts w:ascii="Times New Roman" w:eastAsia="Times New Roman" w:hAnsi="Times New Roman" w:cs="Times New Roman"/>
          <w:spacing w:val="-3"/>
          <w:sz w:val="24"/>
          <w:szCs w:val="24"/>
        </w:rPr>
      </w:pPr>
      <w:r w:rsidRPr="006A47DA">
        <w:rPr>
          <w:rFonts w:ascii="Times New Roman" w:eastAsia="Times New Roman" w:hAnsi="Times New Roman" w:cs="Times New Roman"/>
          <w:spacing w:val="-3"/>
          <w:sz w:val="24"/>
          <w:szCs w:val="24"/>
        </w:rPr>
        <w:t>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3"/>
          <w:sz w:val="24"/>
          <w:szCs w:val="24"/>
        </w:rPr>
        <w:tab/>
      </w:r>
      <w:r w:rsidRPr="006A47DA">
        <w:rPr>
          <w:rFonts w:ascii="Times New Roman" w:eastAsia="Times New Roman" w:hAnsi="Times New Roman" w:cs="Times New Roman"/>
          <w:spacing w:val="-3"/>
          <w:sz w:val="24"/>
          <w:szCs w:val="24"/>
          <w:u w:val="single"/>
        </w:rPr>
        <w:t>Retainage</w:t>
      </w:r>
    </w:p>
    <w:p w:rsidR="00355E70" w:rsidRPr="005C3052" w:rsidRDefault="00355E70" w:rsidP="00355E70">
      <w:pPr>
        <w:tabs>
          <w:tab w:val="left" w:pos="-720"/>
        </w:tabs>
        <w:suppressAutoHyphens/>
        <w:autoSpaceDE w:val="0"/>
        <w:autoSpaceDN w:val="0"/>
        <w:spacing w:after="0" w:line="360" w:lineRule="auto"/>
        <w:ind w:left="720"/>
        <w:contextualSpacing/>
        <w:rPr>
          <w:rFonts w:ascii="Times New Roman" w:eastAsia="Times New Roman" w:hAnsi="Times New Roman" w:cs="Times New Roman"/>
          <w:spacing w:val="-3"/>
          <w:sz w:val="24"/>
          <w:szCs w:val="24"/>
        </w:rPr>
      </w:pPr>
    </w:p>
    <w:p w:rsidR="00355E70" w:rsidRPr="005C3052" w:rsidRDefault="00355E70" w:rsidP="00355E70">
      <w:pPr>
        <w:spacing w:after="0" w:line="360" w:lineRule="auto"/>
        <w:ind w:firstLine="1440"/>
        <w:contextualSpacing/>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 xml:space="preserve">Effective August 1, 2015, the tariffed retainage rate for Small Volume transportation customers (Rate Schedules RS-T, SGS-T, MGS-T and LGS-T (under 100,000 </w:t>
      </w:r>
      <w:proofErr w:type="spellStart"/>
      <w:r w:rsidRPr="005C3052">
        <w:rPr>
          <w:rFonts w:ascii="Times New Roman" w:eastAsia="Times New Roman" w:hAnsi="Times New Roman" w:cs="Times New Roman"/>
          <w:sz w:val="24"/>
          <w:szCs w:val="24"/>
        </w:rPr>
        <w:t>Mcf</w:t>
      </w:r>
      <w:proofErr w:type="spellEnd"/>
      <w:r w:rsidRPr="005C3052">
        <w:rPr>
          <w:rFonts w:ascii="Times New Roman" w:eastAsia="Times New Roman" w:hAnsi="Times New Roman" w:cs="Times New Roman"/>
          <w:sz w:val="24"/>
          <w:szCs w:val="24"/>
        </w:rPr>
        <w:t xml:space="preserve"> per year)) shall be 5.0%, and the tariffed retainage rate for Large Volume transportation customers (Rate Schedules LGS-T (100,000 </w:t>
      </w:r>
      <w:proofErr w:type="spellStart"/>
      <w:r w:rsidRPr="005C3052">
        <w:rPr>
          <w:rFonts w:ascii="Times New Roman" w:eastAsia="Times New Roman" w:hAnsi="Times New Roman" w:cs="Times New Roman"/>
          <w:sz w:val="24"/>
          <w:szCs w:val="24"/>
        </w:rPr>
        <w:t>Mcf</w:t>
      </w:r>
      <w:proofErr w:type="spellEnd"/>
      <w:r w:rsidRPr="005C3052">
        <w:rPr>
          <w:rFonts w:ascii="Times New Roman" w:eastAsia="Times New Roman" w:hAnsi="Times New Roman" w:cs="Times New Roman"/>
          <w:sz w:val="24"/>
          <w:szCs w:val="24"/>
        </w:rPr>
        <w:t xml:space="preserve"> and over per year) and FTS) shall be 3.3%.  </w:t>
      </w:r>
      <w:proofErr w:type="gramStart"/>
      <w:r w:rsidR="00273B50">
        <w:rPr>
          <w:rFonts w:ascii="Times New Roman" w:eastAsia="Times New Roman" w:hAnsi="Times New Roman" w:cs="Times New Roman"/>
          <w:sz w:val="24"/>
          <w:szCs w:val="24"/>
        </w:rPr>
        <w:t>(</w:t>
      </w:r>
      <w:r w:rsidRPr="005C3052">
        <w:rPr>
          <w:rFonts w:ascii="Times New Roman" w:eastAsia="Times New Roman" w:hAnsi="Times New Roman" w:cs="Times New Roman"/>
          <w:sz w:val="24"/>
          <w:szCs w:val="24"/>
        </w:rPr>
        <w:t>Joint Petition, p. 4.</w:t>
      </w:r>
      <w:r w:rsidR="00273B50">
        <w:rPr>
          <w:rFonts w:ascii="Times New Roman" w:eastAsia="Times New Roman" w:hAnsi="Times New Roman" w:cs="Times New Roman"/>
          <w:sz w:val="24"/>
          <w:szCs w:val="24"/>
        </w:rPr>
        <w:t>)</w:t>
      </w:r>
      <w:proofErr w:type="gramEnd"/>
    </w:p>
    <w:p w:rsidR="00355E70" w:rsidRPr="005C3052" w:rsidRDefault="00355E70" w:rsidP="00355E70">
      <w:pPr>
        <w:spacing w:after="0" w:line="360" w:lineRule="auto"/>
        <w:ind w:left="720"/>
        <w:contextualSpacing/>
        <w:rPr>
          <w:rFonts w:ascii="Times New Roman" w:eastAsia="Times New Roman" w:hAnsi="Times New Roman" w:cs="Times New Roman"/>
          <w:sz w:val="20"/>
          <w:szCs w:val="20"/>
        </w:rPr>
      </w:pPr>
    </w:p>
    <w:p w:rsidR="00355E70" w:rsidRPr="006A47DA" w:rsidRDefault="00355E70" w:rsidP="00355E70">
      <w:pPr>
        <w:keepLines/>
        <w:tabs>
          <w:tab w:val="left" w:pos="720"/>
          <w:tab w:val="left" w:pos="1440"/>
        </w:tabs>
        <w:spacing w:after="0" w:line="360" w:lineRule="auto"/>
        <w:outlineLvl w:val="1"/>
        <w:rPr>
          <w:rFonts w:ascii="Times New Roman" w:eastAsia="Times New Roman" w:hAnsi="Times New Roman" w:cs="Times New Roman"/>
          <w:bCs/>
          <w:iCs/>
          <w:caps/>
          <w:color w:val="000000"/>
          <w:sz w:val="24"/>
          <w:szCs w:val="28"/>
        </w:rPr>
      </w:pPr>
      <w:r>
        <w:rPr>
          <w:rFonts w:ascii="Times New Roman" w:eastAsia="Times New Roman" w:hAnsi="Times New Roman" w:cs="Times New Roman"/>
          <w:bCs/>
          <w:iCs/>
          <w:color w:val="000000"/>
          <w:sz w:val="24"/>
          <w:szCs w:val="28"/>
        </w:rPr>
        <w:t>B.</w:t>
      </w:r>
      <w:r>
        <w:rPr>
          <w:rFonts w:ascii="Times New Roman" w:eastAsia="Times New Roman" w:hAnsi="Times New Roman" w:cs="Times New Roman"/>
          <w:bCs/>
          <w:iCs/>
          <w:color w:val="000000"/>
          <w:sz w:val="24"/>
          <w:szCs w:val="28"/>
        </w:rPr>
        <w:tab/>
      </w:r>
      <w:r w:rsidRPr="006A47DA">
        <w:rPr>
          <w:rFonts w:ascii="Times New Roman" w:eastAsia="Times New Roman" w:hAnsi="Times New Roman" w:cs="Times New Roman"/>
          <w:bCs/>
          <w:iCs/>
          <w:color w:val="000000"/>
          <w:sz w:val="24"/>
          <w:szCs w:val="28"/>
          <w:u w:val="single"/>
        </w:rPr>
        <w:t>Balancing and Demand Charges</w:t>
      </w:r>
    </w:p>
    <w:p w:rsidR="00355E70" w:rsidRPr="005C3052" w:rsidRDefault="00355E70" w:rsidP="00355E70">
      <w:pPr>
        <w:keepLines/>
        <w:tabs>
          <w:tab w:val="left" w:pos="1440"/>
        </w:tabs>
        <w:spacing w:after="0" w:line="360" w:lineRule="auto"/>
        <w:ind w:left="720"/>
        <w:outlineLvl w:val="1"/>
        <w:rPr>
          <w:rFonts w:ascii="Times New Roman" w:eastAsia="Times New Roman" w:hAnsi="Times New Roman" w:cs="Times New Roman"/>
          <w:bCs/>
          <w:iCs/>
          <w:caps/>
          <w:color w:val="000000"/>
          <w:sz w:val="24"/>
          <w:szCs w:val="28"/>
          <w:u w:val="single"/>
        </w:rPr>
      </w:pPr>
    </w:p>
    <w:p w:rsidR="00355E70" w:rsidRDefault="00355E70" w:rsidP="00355E70">
      <w:pPr>
        <w:spacing w:after="0" w:line="360" w:lineRule="auto"/>
        <w:ind w:firstLine="1440"/>
        <w:contextualSpacing/>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 xml:space="preserve">Balancing Charges will be determined based on the class specific design day level of load balancing provided by the Company and shall be determined based on the difference between design day demands and average daily amounts for the peak month as supplied by transportation customers and shall include an amount for peak day banking and advancing service provided by the Company.  The Firm Storage (FS) recovery shortfall created by customers with discounted balancing rates shall be retained within the Large General Service </w:t>
      </w:r>
      <w:r w:rsidRPr="005C3052">
        <w:rPr>
          <w:rFonts w:ascii="Times New Roman" w:eastAsia="Times New Roman" w:hAnsi="Times New Roman" w:cs="Times New Roman"/>
          <w:sz w:val="24"/>
          <w:szCs w:val="24"/>
        </w:rPr>
        <w:lastRenderedPageBreak/>
        <w:t xml:space="preserve">(LGS) rate class for recovery from non-discounted LGS transportation customers as shown on page 1 of Attachment A.  </w:t>
      </w:r>
      <w:r w:rsidR="008B083D">
        <w:rPr>
          <w:rFonts w:ascii="Times New Roman" w:eastAsia="Times New Roman" w:hAnsi="Times New Roman" w:cs="Times New Roman"/>
          <w:sz w:val="24"/>
          <w:szCs w:val="24"/>
        </w:rPr>
        <w:t>(</w:t>
      </w:r>
      <w:r w:rsidRPr="005C3052">
        <w:rPr>
          <w:rFonts w:ascii="Times New Roman" w:eastAsia="Times New Roman" w:hAnsi="Times New Roman" w:cs="Times New Roman"/>
          <w:sz w:val="24"/>
          <w:szCs w:val="24"/>
        </w:rPr>
        <w:t>Joint Petition, pp. 4-5.  Peoples TWP Statement in Support, p. 6.</w:t>
      </w:r>
      <w:r w:rsidR="009F33DF">
        <w:rPr>
          <w:rFonts w:ascii="Times New Roman" w:eastAsia="Times New Roman" w:hAnsi="Times New Roman" w:cs="Times New Roman"/>
          <w:sz w:val="24"/>
          <w:szCs w:val="24"/>
        </w:rPr>
        <w:t>)</w:t>
      </w:r>
    </w:p>
    <w:p w:rsidR="00355E70" w:rsidRPr="005C3052" w:rsidRDefault="00355E70" w:rsidP="00355E70">
      <w:pPr>
        <w:spacing w:after="0" w:line="360" w:lineRule="auto"/>
        <w:ind w:left="720"/>
        <w:contextualSpacing/>
        <w:rPr>
          <w:rFonts w:ascii="Times New Roman" w:eastAsia="Times New Roman" w:hAnsi="Times New Roman" w:cs="Times New Roman"/>
          <w:sz w:val="24"/>
          <w:szCs w:val="24"/>
        </w:rPr>
      </w:pPr>
    </w:p>
    <w:p w:rsidR="003E2585" w:rsidRDefault="00355E70" w:rsidP="00355E70">
      <w:pPr>
        <w:spacing w:after="0" w:line="360" w:lineRule="auto"/>
        <w:ind w:firstLine="1440"/>
        <w:contextualSpacing/>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The Demand Charges for sales customers and the Balancing Fee Charges for non-Priority 1, non-negotiated rate transportation customers applicable for the 2015 PGC Application Period will be as set forth on page 3 of Attachment A.  The Parties agree that Peoples TWP shall cease to use the Extra Demand methodology for computing these charges, as shown on pages 2 and 3 of Attachment A.  Balancing revenues from transport customers will be deducted from the total annual FS Interstate Pipeline Reservation Charges, with the result that the remaining FS cost will be collected through the Purchased Gas Demand Cost (PGDC) rate.  The Company will be permitted to adopt, for rates to be effective beginning August 1, 2016, a single, consolidated E-factor (E-2) applicable only to sales service for demand cost over/</w:t>
      </w:r>
      <w:proofErr w:type="spellStart"/>
      <w:r w:rsidRPr="005C3052">
        <w:rPr>
          <w:rFonts w:ascii="Times New Roman" w:eastAsia="Times New Roman" w:hAnsi="Times New Roman" w:cs="Times New Roman"/>
          <w:sz w:val="24"/>
          <w:szCs w:val="24"/>
        </w:rPr>
        <w:t>undercollections</w:t>
      </w:r>
      <w:proofErr w:type="spellEnd"/>
      <w:r w:rsidRPr="005C3052">
        <w:rPr>
          <w:rFonts w:ascii="Times New Roman" w:eastAsia="Times New Roman" w:hAnsi="Times New Roman" w:cs="Times New Roman"/>
          <w:sz w:val="24"/>
          <w:szCs w:val="24"/>
        </w:rPr>
        <w:t xml:space="preserve"> experienced beginning August 1, 2015.  Any remaining balances of demand over/</w:t>
      </w:r>
      <w:proofErr w:type="spellStart"/>
      <w:r w:rsidRPr="005C3052">
        <w:rPr>
          <w:rFonts w:ascii="Times New Roman" w:eastAsia="Times New Roman" w:hAnsi="Times New Roman" w:cs="Times New Roman"/>
          <w:sz w:val="24"/>
          <w:szCs w:val="24"/>
        </w:rPr>
        <w:t>undercollections</w:t>
      </w:r>
      <w:proofErr w:type="spellEnd"/>
      <w:r w:rsidRPr="005C3052">
        <w:rPr>
          <w:rFonts w:ascii="Times New Roman" w:eastAsia="Times New Roman" w:hAnsi="Times New Roman" w:cs="Times New Roman"/>
          <w:sz w:val="24"/>
          <w:szCs w:val="24"/>
        </w:rPr>
        <w:t xml:space="preserve"> for separate rate classes for periods prior to August 1, 2015 shall remain separately reconciled by class (E-1), </w:t>
      </w:r>
      <w:r w:rsidR="003E2585">
        <w:rPr>
          <w:rFonts w:ascii="Times New Roman" w:eastAsia="Times New Roman" w:hAnsi="Times New Roman" w:cs="Times New Roman"/>
          <w:sz w:val="24"/>
          <w:szCs w:val="24"/>
        </w:rPr>
        <w:t>such balances</w:t>
      </w:r>
      <w:r w:rsidRPr="005C3052">
        <w:rPr>
          <w:rFonts w:ascii="Times New Roman" w:eastAsia="Times New Roman" w:hAnsi="Times New Roman" w:cs="Times New Roman"/>
          <w:sz w:val="24"/>
          <w:szCs w:val="24"/>
        </w:rPr>
        <w:t xml:space="preserve"> shall be recovered from sales and non-discounted balancing rate transportation customers until the total “E-1” factor over/</w:t>
      </w:r>
      <w:proofErr w:type="spellStart"/>
      <w:r w:rsidRPr="005C3052">
        <w:rPr>
          <w:rFonts w:ascii="Times New Roman" w:eastAsia="Times New Roman" w:hAnsi="Times New Roman" w:cs="Times New Roman"/>
          <w:sz w:val="24"/>
          <w:szCs w:val="24"/>
        </w:rPr>
        <w:t>undercollection</w:t>
      </w:r>
      <w:proofErr w:type="spellEnd"/>
      <w:r w:rsidRPr="005C3052">
        <w:rPr>
          <w:rFonts w:ascii="Times New Roman" w:eastAsia="Times New Roman" w:hAnsi="Times New Roman" w:cs="Times New Roman"/>
          <w:sz w:val="24"/>
          <w:szCs w:val="24"/>
        </w:rPr>
        <w:t xml:space="preserve"> is less than $100,000 at the end of June 30, 2016 or as of the end of a period one-month prior to the start of any subsequent quarterly rate change period, at which time the Company will consolidate any remaining “E-1” balances into the “E-2” factor and create a single “E” factor going forward. Parties’ acceptance of the methodology for developing balancing charges and demand rates as set forth in Paragraphs 21 and 22 of the Joint Petition is limited to this proceeding, and may not be used to constrain any Party’s rights to offer alternative proposals for development of balancing charges and demand rates in future base rate or Section 1307(f) proceedings.</w:t>
      </w:r>
      <w:r>
        <w:rPr>
          <w:rFonts w:ascii="Times New Roman" w:eastAsia="Times New Roman" w:hAnsi="Times New Roman" w:cs="Times New Roman"/>
          <w:sz w:val="24"/>
          <w:szCs w:val="24"/>
        </w:rPr>
        <w:t xml:space="preserve"> </w:t>
      </w:r>
      <w:r w:rsidRPr="005C3052">
        <w:rPr>
          <w:rFonts w:ascii="Times New Roman" w:eastAsia="Times New Roman" w:hAnsi="Times New Roman" w:cs="Times New Roman"/>
          <w:sz w:val="24"/>
          <w:szCs w:val="24"/>
        </w:rPr>
        <w:t xml:space="preserve"> The Company agrees to provide in next year’s PGC </w:t>
      </w:r>
      <w:proofErr w:type="gramStart"/>
      <w:r w:rsidRPr="005C3052">
        <w:rPr>
          <w:rFonts w:ascii="Times New Roman" w:eastAsia="Times New Roman" w:hAnsi="Times New Roman" w:cs="Times New Roman"/>
          <w:sz w:val="24"/>
          <w:szCs w:val="24"/>
        </w:rPr>
        <w:t>proceeding</w:t>
      </w:r>
      <w:proofErr w:type="gramEnd"/>
      <w:r w:rsidRPr="005C3052">
        <w:rPr>
          <w:rFonts w:ascii="Times New Roman" w:eastAsia="Times New Roman" w:hAnsi="Times New Roman" w:cs="Times New Roman"/>
          <w:sz w:val="24"/>
          <w:szCs w:val="24"/>
        </w:rPr>
        <w:t xml:space="preserve"> a calculation of rates by class using the Extra Demand Method for comparison purposes.  </w:t>
      </w:r>
      <w:r w:rsidR="003E2585">
        <w:rPr>
          <w:rFonts w:ascii="Times New Roman" w:eastAsia="Times New Roman" w:hAnsi="Times New Roman" w:cs="Times New Roman"/>
          <w:sz w:val="24"/>
          <w:szCs w:val="24"/>
        </w:rPr>
        <w:t>(</w:t>
      </w:r>
      <w:r w:rsidRPr="005C3052">
        <w:rPr>
          <w:rFonts w:ascii="Times New Roman" w:eastAsia="Times New Roman" w:hAnsi="Times New Roman" w:cs="Times New Roman"/>
          <w:sz w:val="24"/>
          <w:szCs w:val="24"/>
        </w:rPr>
        <w:t xml:space="preserve">Joint Petition, </w:t>
      </w:r>
    </w:p>
    <w:p w:rsidR="00355E70" w:rsidRPr="005C3052" w:rsidRDefault="00355E70" w:rsidP="003E2585">
      <w:pPr>
        <w:spacing w:after="0" w:line="360" w:lineRule="auto"/>
        <w:contextualSpacing/>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pp. 5-6.</w:t>
      </w:r>
      <w:r w:rsidR="003E2585">
        <w:rPr>
          <w:rFonts w:ascii="Times New Roman" w:eastAsia="Times New Roman" w:hAnsi="Times New Roman" w:cs="Times New Roman"/>
          <w:sz w:val="24"/>
          <w:szCs w:val="24"/>
        </w:rPr>
        <w:t>)</w:t>
      </w:r>
    </w:p>
    <w:p w:rsidR="00355E70" w:rsidRPr="005C3052" w:rsidRDefault="00355E70" w:rsidP="00355E70">
      <w:pPr>
        <w:spacing w:after="0" w:line="360" w:lineRule="auto"/>
        <w:ind w:firstLine="1440"/>
        <w:contextualSpacing/>
        <w:rPr>
          <w:rFonts w:ascii="Times New Roman" w:eastAsia="Times New Roman" w:hAnsi="Times New Roman" w:cs="Times New Roman"/>
          <w:sz w:val="24"/>
          <w:szCs w:val="24"/>
        </w:rPr>
      </w:pPr>
    </w:p>
    <w:p w:rsidR="00355E70" w:rsidRPr="006A47DA" w:rsidRDefault="00355E70" w:rsidP="00355E70">
      <w:pPr>
        <w:keepLines/>
        <w:tabs>
          <w:tab w:val="left" w:pos="720"/>
          <w:tab w:val="left" w:pos="1440"/>
        </w:tabs>
        <w:spacing w:after="0" w:line="360" w:lineRule="auto"/>
        <w:outlineLvl w:val="1"/>
        <w:rPr>
          <w:rFonts w:ascii="Times New Roman" w:eastAsia="Times New Roman" w:hAnsi="Times New Roman" w:cs="Times New Roman"/>
          <w:bCs/>
          <w:iCs/>
          <w:caps/>
          <w:color w:val="000000"/>
          <w:sz w:val="24"/>
          <w:szCs w:val="28"/>
        </w:rPr>
      </w:pPr>
      <w:r>
        <w:rPr>
          <w:rFonts w:ascii="Times New Roman" w:eastAsia="Times New Roman" w:hAnsi="Times New Roman" w:cs="Times New Roman"/>
          <w:bCs/>
          <w:iCs/>
          <w:color w:val="000000"/>
          <w:sz w:val="24"/>
          <w:szCs w:val="28"/>
        </w:rPr>
        <w:t>C.</w:t>
      </w:r>
      <w:r>
        <w:rPr>
          <w:rFonts w:ascii="Times New Roman" w:eastAsia="Times New Roman" w:hAnsi="Times New Roman" w:cs="Times New Roman"/>
          <w:bCs/>
          <w:iCs/>
          <w:color w:val="000000"/>
          <w:sz w:val="24"/>
          <w:szCs w:val="28"/>
        </w:rPr>
        <w:tab/>
      </w:r>
      <w:r w:rsidRPr="00BB1ECC">
        <w:rPr>
          <w:rFonts w:ascii="Times New Roman" w:eastAsia="Times New Roman" w:hAnsi="Times New Roman" w:cs="Times New Roman"/>
          <w:bCs/>
          <w:iCs/>
          <w:color w:val="000000"/>
          <w:sz w:val="24"/>
          <w:szCs w:val="28"/>
          <w:u w:val="single"/>
        </w:rPr>
        <w:t xml:space="preserve">Renewal and Addition </w:t>
      </w:r>
      <w:r>
        <w:rPr>
          <w:rFonts w:ascii="Times New Roman" w:eastAsia="Times New Roman" w:hAnsi="Times New Roman" w:cs="Times New Roman"/>
          <w:bCs/>
          <w:iCs/>
          <w:color w:val="000000"/>
          <w:sz w:val="24"/>
          <w:szCs w:val="28"/>
          <w:u w:val="single"/>
        </w:rPr>
        <w:t>o</w:t>
      </w:r>
      <w:r w:rsidRPr="00BB1ECC">
        <w:rPr>
          <w:rFonts w:ascii="Times New Roman" w:eastAsia="Times New Roman" w:hAnsi="Times New Roman" w:cs="Times New Roman"/>
          <w:bCs/>
          <w:iCs/>
          <w:color w:val="000000"/>
          <w:sz w:val="24"/>
          <w:szCs w:val="28"/>
          <w:u w:val="single"/>
        </w:rPr>
        <w:t>f Capacity</w:t>
      </w:r>
    </w:p>
    <w:p w:rsidR="00355E70" w:rsidRPr="005C3052" w:rsidRDefault="00355E70" w:rsidP="00355E70">
      <w:pPr>
        <w:keepLines/>
        <w:tabs>
          <w:tab w:val="left" w:pos="1440"/>
        </w:tabs>
        <w:spacing w:after="0" w:line="360" w:lineRule="auto"/>
        <w:ind w:left="720"/>
        <w:outlineLvl w:val="1"/>
        <w:rPr>
          <w:rFonts w:ascii="Times New Roman" w:eastAsia="Times New Roman" w:hAnsi="Times New Roman" w:cs="Times New Roman"/>
          <w:b/>
          <w:bCs/>
          <w:iCs/>
          <w:caps/>
          <w:color w:val="000000"/>
          <w:sz w:val="24"/>
          <w:szCs w:val="28"/>
          <w:u w:val="single"/>
        </w:rPr>
      </w:pPr>
    </w:p>
    <w:p w:rsidR="00355E70" w:rsidRDefault="00355E70" w:rsidP="00355E70">
      <w:pPr>
        <w:spacing w:after="0" w:line="360" w:lineRule="auto"/>
        <w:ind w:firstLine="1440"/>
        <w:contextualSpacing/>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 xml:space="preserve">The Parties do not oppose Peoples TWP’s request for approval of the renewal of capacity and the negotiation for capacity contracts as set forth in Confidential Attachment B.  </w:t>
      </w:r>
      <w:r w:rsidRPr="005C3052">
        <w:rPr>
          <w:rFonts w:ascii="Times New Roman" w:eastAsia="Times New Roman" w:hAnsi="Times New Roman" w:cs="Times New Roman"/>
          <w:sz w:val="24"/>
          <w:szCs w:val="24"/>
        </w:rPr>
        <w:lastRenderedPageBreak/>
        <w:t xml:space="preserve">The details are presented in Confidential Attachment B because contract negotiations with the listed third </w:t>
      </w:r>
      <w:r>
        <w:rPr>
          <w:rFonts w:ascii="Times New Roman" w:eastAsia="Times New Roman" w:hAnsi="Times New Roman" w:cs="Times New Roman"/>
          <w:sz w:val="24"/>
          <w:szCs w:val="24"/>
        </w:rPr>
        <w:t>P</w:t>
      </w:r>
      <w:r w:rsidRPr="005C3052">
        <w:rPr>
          <w:rFonts w:ascii="Times New Roman" w:eastAsia="Times New Roman" w:hAnsi="Times New Roman" w:cs="Times New Roman"/>
          <w:sz w:val="24"/>
          <w:szCs w:val="24"/>
        </w:rPr>
        <w:t xml:space="preserve">arties are confidential and not yet concluded.  </w:t>
      </w:r>
      <w:proofErr w:type="gramStart"/>
      <w:r w:rsidR="003E2585">
        <w:rPr>
          <w:rFonts w:ascii="Times New Roman" w:eastAsia="Times New Roman" w:hAnsi="Times New Roman" w:cs="Times New Roman"/>
          <w:sz w:val="24"/>
          <w:szCs w:val="24"/>
        </w:rPr>
        <w:t>(</w:t>
      </w:r>
      <w:r w:rsidRPr="005C3052">
        <w:rPr>
          <w:rFonts w:ascii="Times New Roman" w:eastAsia="Times New Roman" w:hAnsi="Times New Roman" w:cs="Times New Roman"/>
          <w:sz w:val="24"/>
          <w:szCs w:val="24"/>
        </w:rPr>
        <w:t>Joint Petition, p. 6.</w:t>
      </w:r>
      <w:r w:rsidR="003E2585">
        <w:rPr>
          <w:rFonts w:ascii="Times New Roman" w:eastAsia="Times New Roman" w:hAnsi="Times New Roman" w:cs="Times New Roman"/>
          <w:sz w:val="24"/>
          <w:szCs w:val="24"/>
        </w:rPr>
        <w:t>)</w:t>
      </w:r>
      <w:proofErr w:type="gramEnd"/>
    </w:p>
    <w:p w:rsidR="00355E70" w:rsidRPr="005C3052" w:rsidRDefault="00355E70" w:rsidP="00355E70">
      <w:pPr>
        <w:spacing w:after="0" w:line="360" w:lineRule="auto"/>
        <w:ind w:left="720"/>
        <w:contextualSpacing/>
        <w:rPr>
          <w:rFonts w:ascii="Times New Roman" w:eastAsia="Times New Roman" w:hAnsi="Times New Roman" w:cs="Times New Roman"/>
          <w:sz w:val="24"/>
          <w:szCs w:val="24"/>
        </w:rPr>
      </w:pPr>
    </w:p>
    <w:p w:rsidR="00355E70" w:rsidRDefault="00355E70" w:rsidP="00355E70">
      <w:pPr>
        <w:spacing w:after="0" w:line="360" w:lineRule="auto"/>
        <w:ind w:firstLine="1440"/>
        <w:contextualSpacing/>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Peoples TWP agrees to immediately undertake negotiations to formalize terms and conditions of service under the capacity contracts.  Peoples TWP commits to conduct discussions with the Parties as these negotiations continue, with a goal to reach agreement as to the actual capacity, price and other conditions of service.</w:t>
      </w:r>
      <w:r>
        <w:rPr>
          <w:rFonts w:ascii="Times New Roman" w:eastAsia="Times New Roman" w:hAnsi="Times New Roman" w:cs="Times New Roman"/>
          <w:sz w:val="24"/>
          <w:szCs w:val="24"/>
        </w:rPr>
        <w:t xml:space="preserve"> </w:t>
      </w:r>
      <w:r w:rsidRPr="005C3052">
        <w:rPr>
          <w:rFonts w:ascii="Times New Roman" w:eastAsia="Times New Roman" w:hAnsi="Times New Roman" w:cs="Times New Roman"/>
          <w:sz w:val="24"/>
          <w:szCs w:val="24"/>
        </w:rPr>
        <w:t xml:space="preserve"> Following that process, Peoples TWP will file a petition under Section 2204(e</w:t>
      </w:r>
      <w:proofErr w:type="gramStart"/>
      <w:r w:rsidRPr="005C3052">
        <w:rPr>
          <w:rFonts w:ascii="Times New Roman" w:eastAsia="Times New Roman" w:hAnsi="Times New Roman" w:cs="Times New Roman"/>
          <w:sz w:val="24"/>
          <w:szCs w:val="24"/>
        </w:rPr>
        <w:t>)(</w:t>
      </w:r>
      <w:proofErr w:type="gramEnd"/>
      <w:r w:rsidRPr="005C3052">
        <w:rPr>
          <w:rFonts w:ascii="Times New Roman" w:eastAsia="Times New Roman" w:hAnsi="Times New Roman" w:cs="Times New Roman"/>
          <w:sz w:val="24"/>
          <w:szCs w:val="24"/>
        </w:rPr>
        <w:t xml:space="preserve">4) of the Public Utility Code, 66 </w:t>
      </w:r>
      <w:proofErr w:type="spellStart"/>
      <w:r w:rsidRPr="005C3052">
        <w:rPr>
          <w:rFonts w:ascii="Times New Roman" w:eastAsia="Times New Roman" w:hAnsi="Times New Roman" w:cs="Times New Roman"/>
          <w:sz w:val="24"/>
          <w:szCs w:val="24"/>
        </w:rPr>
        <w:t>Pa.C.S</w:t>
      </w:r>
      <w:proofErr w:type="spellEnd"/>
      <w:r w:rsidRPr="005C3052">
        <w:rPr>
          <w:rFonts w:ascii="Times New Roman" w:eastAsia="Times New Roman" w:hAnsi="Times New Roman" w:cs="Times New Roman"/>
          <w:sz w:val="24"/>
          <w:szCs w:val="24"/>
        </w:rPr>
        <w:t>. § 2204(e</w:t>
      </w:r>
      <w:proofErr w:type="gramStart"/>
      <w:r w:rsidRPr="005C3052">
        <w:rPr>
          <w:rFonts w:ascii="Times New Roman" w:eastAsia="Times New Roman" w:hAnsi="Times New Roman" w:cs="Times New Roman"/>
          <w:sz w:val="24"/>
          <w:szCs w:val="24"/>
        </w:rPr>
        <w:t>)(</w:t>
      </w:r>
      <w:proofErr w:type="gramEnd"/>
      <w:r w:rsidRPr="005C3052">
        <w:rPr>
          <w:rFonts w:ascii="Times New Roman" w:eastAsia="Times New Roman" w:hAnsi="Times New Roman" w:cs="Times New Roman"/>
          <w:sz w:val="24"/>
          <w:szCs w:val="24"/>
        </w:rPr>
        <w:t xml:space="preserve">4), for approval of the contract(s).  </w:t>
      </w:r>
      <w:proofErr w:type="gramStart"/>
      <w:r w:rsidR="009D61BC">
        <w:rPr>
          <w:rFonts w:ascii="Times New Roman" w:eastAsia="Times New Roman" w:hAnsi="Times New Roman" w:cs="Times New Roman"/>
          <w:sz w:val="24"/>
          <w:szCs w:val="24"/>
        </w:rPr>
        <w:t>(</w:t>
      </w:r>
      <w:r w:rsidRPr="005C3052">
        <w:rPr>
          <w:rFonts w:ascii="Times New Roman" w:eastAsia="Times New Roman" w:hAnsi="Times New Roman" w:cs="Times New Roman"/>
          <w:sz w:val="24"/>
          <w:szCs w:val="24"/>
        </w:rPr>
        <w:t>Joint Petition, p. 6.</w:t>
      </w:r>
      <w:r w:rsidR="009D61BC">
        <w:rPr>
          <w:rFonts w:ascii="Times New Roman" w:eastAsia="Times New Roman" w:hAnsi="Times New Roman" w:cs="Times New Roman"/>
          <w:sz w:val="24"/>
          <w:szCs w:val="24"/>
        </w:rPr>
        <w:t>)</w:t>
      </w:r>
      <w:proofErr w:type="gramEnd"/>
    </w:p>
    <w:p w:rsidR="00355E70" w:rsidRDefault="00355E70" w:rsidP="00355E70">
      <w:pPr>
        <w:keepLines/>
        <w:tabs>
          <w:tab w:val="left" w:pos="720"/>
          <w:tab w:val="left" w:pos="1440"/>
        </w:tabs>
        <w:spacing w:after="0" w:line="360" w:lineRule="auto"/>
        <w:outlineLvl w:val="1"/>
        <w:rPr>
          <w:rFonts w:ascii="Times New Roman" w:eastAsia="Times New Roman" w:hAnsi="Times New Roman" w:cs="Times New Roman"/>
          <w:bCs/>
          <w:iCs/>
          <w:color w:val="000000"/>
          <w:sz w:val="24"/>
          <w:szCs w:val="28"/>
        </w:rPr>
      </w:pPr>
    </w:p>
    <w:p w:rsidR="00355E70" w:rsidRPr="00BB1ECC" w:rsidRDefault="00355E70" w:rsidP="00355E70">
      <w:pPr>
        <w:keepLines/>
        <w:tabs>
          <w:tab w:val="left" w:pos="720"/>
          <w:tab w:val="left" w:pos="1440"/>
        </w:tabs>
        <w:spacing w:after="0" w:line="360" w:lineRule="auto"/>
        <w:outlineLvl w:val="1"/>
        <w:rPr>
          <w:rFonts w:ascii="Times New Roman" w:eastAsia="Times New Roman" w:hAnsi="Times New Roman" w:cs="Times New Roman"/>
          <w:bCs/>
          <w:iCs/>
          <w:caps/>
          <w:color w:val="000000"/>
          <w:sz w:val="24"/>
          <w:szCs w:val="28"/>
        </w:rPr>
      </w:pPr>
      <w:r>
        <w:rPr>
          <w:rFonts w:ascii="Times New Roman" w:eastAsia="Times New Roman" w:hAnsi="Times New Roman" w:cs="Times New Roman"/>
          <w:bCs/>
          <w:iCs/>
          <w:color w:val="000000"/>
          <w:sz w:val="24"/>
          <w:szCs w:val="28"/>
        </w:rPr>
        <w:t>D.</w:t>
      </w:r>
      <w:r>
        <w:rPr>
          <w:rFonts w:ascii="Times New Roman" w:eastAsia="Times New Roman" w:hAnsi="Times New Roman" w:cs="Times New Roman"/>
          <w:bCs/>
          <w:iCs/>
          <w:color w:val="000000"/>
          <w:sz w:val="24"/>
          <w:szCs w:val="28"/>
        </w:rPr>
        <w:tab/>
      </w:r>
      <w:r w:rsidRPr="00BB1ECC">
        <w:rPr>
          <w:rFonts w:ascii="Times New Roman" w:eastAsia="Times New Roman" w:hAnsi="Times New Roman" w:cs="Times New Roman"/>
          <w:bCs/>
          <w:iCs/>
          <w:color w:val="000000"/>
          <w:sz w:val="24"/>
          <w:szCs w:val="28"/>
          <w:u w:val="single"/>
        </w:rPr>
        <w:t>Design Day</w:t>
      </w:r>
    </w:p>
    <w:p w:rsidR="00355E70" w:rsidRPr="005C3052" w:rsidRDefault="00355E70" w:rsidP="00355E70">
      <w:pPr>
        <w:keepLines/>
        <w:tabs>
          <w:tab w:val="left" w:pos="1440"/>
        </w:tabs>
        <w:spacing w:after="0" w:line="360" w:lineRule="auto"/>
        <w:ind w:left="720"/>
        <w:outlineLvl w:val="1"/>
        <w:rPr>
          <w:rFonts w:ascii="Times New Roman" w:eastAsia="Times New Roman" w:hAnsi="Times New Roman" w:cs="Times New Roman"/>
          <w:b/>
          <w:bCs/>
          <w:iCs/>
          <w:caps/>
          <w:color w:val="000000"/>
          <w:sz w:val="24"/>
          <w:szCs w:val="28"/>
          <w:u w:val="single"/>
        </w:rPr>
      </w:pPr>
    </w:p>
    <w:p w:rsidR="00355E70" w:rsidRDefault="00355E70" w:rsidP="00355E70">
      <w:pPr>
        <w:tabs>
          <w:tab w:val="left" w:pos="0"/>
        </w:tabs>
        <w:spacing w:after="0" w:line="360" w:lineRule="auto"/>
        <w:ind w:left="90" w:firstLine="1350"/>
        <w:contextualSpacing/>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 xml:space="preserve">Peoples TWP agrees to further evaluate design day requirements, specifically incorporating data from </w:t>
      </w:r>
      <w:r>
        <w:rPr>
          <w:rFonts w:ascii="Times New Roman" w:eastAsia="Times New Roman" w:hAnsi="Times New Roman" w:cs="Times New Roman"/>
          <w:sz w:val="24"/>
          <w:szCs w:val="24"/>
        </w:rPr>
        <w:t>w</w:t>
      </w:r>
      <w:r w:rsidRPr="005C3052">
        <w:rPr>
          <w:rFonts w:ascii="Times New Roman" w:eastAsia="Times New Roman" w:hAnsi="Times New Roman" w:cs="Times New Roman"/>
          <w:sz w:val="24"/>
          <w:szCs w:val="24"/>
        </w:rPr>
        <w:t>inter 2014-2015 in the statistical analysis and evaluating the appropriateness of the following:</w:t>
      </w:r>
    </w:p>
    <w:p w:rsidR="00355E70" w:rsidRPr="005C3052" w:rsidRDefault="00355E70" w:rsidP="00355E70">
      <w:pPr>
        <w:spacing w:after="0" w:line="240" w:lineRule="auto"/>
        <w:ind w:left="720"/>
        <w:contextualSpacing/>
        <w:rPr>
          <w:rFonts w:ascii="Times New Roman" w:eastAsia="Times New Roman" w:hAnsi="Times New Roman" w:cs="Times New Roman"/>
          <w:sz w:val="24"/>
          <w:szCs w:val="24"/>
        </w:rPr>
      </w:pPr>
    </w:p>
    <w:p w:rsidR="00355E70" w:rsidRDefault="00355E70" w:rsidP="00355E70">
      <w:pPr>
        <w:numPr>
          <w:ilvl w:val="1"/>
          <w:numId w:val="1"/>
        </w:numPr>
        <w:tabs>
          <w:tab w:val="left" w:pos="720"/>
        </w:tabs>
        <w:spacing w:after="0" w:line="240" w:lineRule="auto"/>
        <w:contextualSpacing/>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Use of a longer (minimum of four years) historical period.</w:t>
      </w:r>
    </w:p>
    <w:p w:rsidR="00355E70" w:rsidRPr="005C3052" w:rsidRDefault="00355E70" w:rsidP="00355E70">
      <w:pPr>
        <w:spacing w:after="0" w:line="240" w:lineRule="auto"/>
        <w:ind w:left="1800"/>
        <w:contextualSpacing/>
        <w:rPr>
          <w:rFonts w:ascii="Times New Roman" w:eastAsia="Times New Roman" w:hAnsi="Times New Roman" w:cs="Times New Roman"/>
          <w:sz w:val="24"/>
          <w:szCs w:val="24"/>
        </w:rPr>
      </w:pPr>
    </w:p>
    <w:p w:rsidR="00355E70" w:rsidRDefault="00355E70" w:rsidP="00355E70">
      <w:pPr>
        <w:numPr>
          <w:ilvl w:val="1"/>
          <w:numId w:val="1"/>
        </w:numPr>
        <w:tabs>
          <w:tab w:val="left" w:pos="720"/>
        </w:tabs>
        <w:spacing w:after="0" w:line="240" w:lineRule="auto"/>
        <w:contextualSpacing/>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 xml:space="preserve">Use of a dummy, interaction or other variables to account for high Heating Degree Day </w:t>
      </w:r>
      <w:r>
        <w:rPr>
          <w:rFonts w:ascii="Times New Roman" w:eastAsia="Times New Roman" w:hAnsi="Times New Roman" w:cs="Times New Roman"/>
          <w:sz w:val="24"/>
          <w:szCs w:val="24"/>
        </w:rPr>
        <w:t>(</w:t>
      </w:r>
      <w:r w:rsidRPr="005C3052">
        <w:rPr>
          <w:rFonts w:ascii="Times New Roman" w:eastAsia="Times New Roman" w:hAnsi="Times New Roman" w:cs="Times New Roman"/>
          <w:sz w:val="24"/>
          <w:szCs w:val="24"/>
        </w:rPr>
        <w:t>HDD) days.</w:t>
      </w:r>
    </w:p>
    <w:p w:rsidR="00355E70" w:rsidRDefault="00355E70" w:rsidP="00355E70">
      <w:pPr>
        <w:tabs>
          <w:tab w:val="left" w:pos="720"/>
        </w:tabs>
        <w:spacing w:after="0" w:line="240" w:lineRule="auto"/>
        <w:rPr>
          <w:rFonts w:ascii="Times New Roman" w:eastAsia="Times New Roman" w:hAnsi="Times New Roman" w:cs="Times New Roman"/>
          <w:sz w:val="24"/>
          <w:szCs w:val="24"/>
        </w:rPr>
      </w:pPr>
    </w:p>
    <w:p w:rsidR="00355E70" w:rsidRDefault="003E2585" w:rsidP="00355E70">
      <w:pPr>
        <w:tabs>
          <w:tab w:val="left" w:pos="720"/>
        </w:tabs>
        <w:spacing w:after="0" w:line="36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r w:rsidR="00355E70" w:rsidRPr="005C3052">
        <w:rPr>
          <w:rFonts w:ascii="Times New Roman" w:eastAsia="Times New Roman" w:hAnsi="Times New Roman" w:cs="Times New Roman"/>
          <w:sz w:val="24"/>
          <w:szCs w:val="24"/>
        </w:rPr>
        <w:t>Joint Petition, p. 6.</w:t>
      </w:r>
      <w:r>
        <w:rPr>
          <w:rFonts w:ascii="Times New Roman" w:eastAsia="Times New Roman" w:hAnsi="Times New Roman" w:cs="Times New Roman"/>
          <w:sz w:val="24"/>
          <w:szCs w:val="24"/>
        </w:rPr>
        <w:t>)</w:t>
      </w:r>
      <w:proofErr w:type="gramEnd"/>
    </w:p>
    <w:p w:rsidR="00355E70" w:rsidRPr="005C3052" w:rsidRDefault="00355E70" w:rsidP="00355E70">
      <w:pPr>
        <w:tabs>
          <w:tab w:val="left" w:pos="720"/>
        </w:tabs>
        <w:spacing w:after="0" w:line="360" w:lineRule="auto"/>
        <w:rPr>
          <w:rFonts w:ascii="Times New Roman" w:eastAsia="Times New Roman" w:hAnsi="Times New Roman" w:cs="Times New Roman"/>
          <w:sz w:val="24"/>
          <w:szCs w:val="24"/>
        </w:rPr>
      </w:pPr>
    </w:p>
    <w:p w:rsidR="00355E70" w:rsidRPr="005C3052" w:rsidRDefault="00355E70" w:rsidP="00355E70">
      <w:pPr>
        <w:spacing w:after="0" w:line="360" w:lineRule="auto"/>
        <w:ind w:firstLine="1440"/>
        <w:contextualSpacing/>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 xml:space="preserve">Peoples TWP agrees to evaluate the formulation proposed in the current PGC filing in conjunction with these factors.  Peoples TWP also agrees to evaluate model performance (in terms of analysis of residuals) for high HDD days over the entire historical period.  The Company will provide an update of its evaluation as part of the 2016 PGC filing. </w:t>
      </w:r>
      <w:proofErr w:type="gramStart"/>
      <w:r w:rsidR="003E2585">
        <w:rPr>
          <w:rFonts w:ascii="Times New Roman" w:eastAsia="Times New Roman" w:hAnsi="Times New Roman" w:cs="Times New Roman"/>
          <w:sz w:val="24"/>
          <w:szCs w:val="24"/>
        </w:rPr>
        <w:t>(</w:t>
      </w:r>
      <w:r w:rsidRPr="005C3052">
        <w:rPr>
          <w:rFonts w:ascii="Times New Roman" w:eastAsia="Times New Roman" w:hAnsi="Times New Roman" w:cs="Times New Roman"/>
          <w:sz w:val="24"/>
          <w:szCs w:val="24"/>
        </w:rPr>
        <w:t>Joint Petition, pp. 6-7.</w:t>
      </w:r>
      <w:r w:rsidR="003E2585">
        <w:rPr>
          <w:rFonts w:ascii="Times New Roman" w:eastAsia="Times New Roman" w:hAnsi="Times New Roman" w:cs="Times New Roman"/>
          <w:sz w:val="24"/>
          <w:szCs w:val="24"/>
        </w:rPr>
        <w:t>)</w:t>
      </w:r>
      <w:proofErr w:type="gramEnd"/>
    </w:p>
    <w:p w:rsidR="00355E70" w:rsidRPr="005C3052" w:rsidRDefault="00355E70" w:rsidP="00355E70">
      <w:pPr>
        <w:spacing w:after="0" w:line="360" w:lineRule="auto"/>
        <w:ind w:left="720"/>
        <w:contextualSpacing/>
        <w:rPr>
          <w:rFonts w:ascii="Times New Roman" w:eastAsia="Times New Roman" w:hAnsi="Times New Roman" w:cs="Times New Roman"/>
          <w:sz w:val="20"/>
          <w:szCs w:val="20"/>
        </w:rPr>
      </w:pPr>
    </w:p>
    <w:p w:rsidR="00355E70" w:rsidRPr="00BB1ECC" w:rsidRDefault="00355E70" w:rsidP="00355E70">
      <w:pPr>
        <w:keepNext/>
        <w:keepLines/>
        <w:tabs>
          <w:tab w:val="left" w:pos="720"/>
          <w:tab w:val="left" w:pos="1440"/>
        </w:tabs>
        <w:spacing w:after="0" w:line="360" w:lineRule="auto"/>
        <w:outlineLvl w:val="1"/>
        <w:rPr>
          <w:rFonts w:ascii="Times New Roman" w:eastAsia="Times New Roman" w:hAnsi="Times New Roman" w:cs="Times New Roman"/>
          <w:bCs/>
          <w:iCs/>
          <w:caps/>
          <w:color w:val="000000"/>
          <w:sz w:val="24"/>
          <w:szCs w:val="28"/>
        </w:rPr>
      </w:pPr>
      <w:r>
        <w:rPr>
          <w:rFonts w:ascii="Times New Roman" w:eastAsia="Times New Roman" w:hAnsi="Times New Roman" w:cs="Times New Roman"/>
          <w:bCs/>
          <w:iCs/>
          <w:color w:val="000000"/>
          <w:sz w:val="24"/>
          <w:szCs w:val="28"/>
        </w:rPr>
        <w:t>E.</w:t>
      </w:r>
      <w:r>
        <w:rPr>
          <w:rFonts w:ascii="Times New Roman" w:eastAsia="Times New Roman" w:hAnsi="Times New Roman" w:cs="Times New Roman"/>
          <w:bCs/>
          <w:iCs/>
          <w:color w:val="000000"/>
          <w:sz w:val="24"/>
          <w:szCs w:val="28"/>
        </w:rPr>
        <w:tab/>
      </w:r>
      <w:r w:rsidRPr="00BB1ECC">
        <w:rPr>
          <w:rFonts w:ascii="Times New Roman" w:eastAsia="Times New Roman" w:hAnsi="Times New Roman" w:cs="Times New Roman"/>
          <w:bCs/>
          <w:iCs/>
          <w:color w:val="000000"/>
          <w:sz w:val="24"/>
          <w:szCs w:val="28"/>
          <w:u w:val="single"/>
        </w:rPr>
        <w:t>Exchange Meters</w:t>
      </w:r>
    </w:p>
    <w:p w:rsidR="00355E70" w:rsidRPr="005C3052" w:rsidRDefault="00355E70" w:rsidP="00355E70">
      <w:pPr>
        <w:keepNext/>
        <w:keepLines/>
        <w:tabs>
          <w:tab w:val="left" w:pos="1440"/>
        </w:tabs>
        <w:spacing w:after="0" w:line="360" w:lineRule="auto"/>
        <w:ind w:left="720"/>
        <w:outlineLvl w:val="1"/>
        <w:rPr>
          <w:rFonts w:ascii="Times New Roman" w:eastAsia="Times New Roman" w:hAnsi="Times New Roman" w:cs="Times New Roman"/>
          <w:b/>
          <w:bCs/>
          <w:iCs/>
          <w:caps/>
          <w:color w:val="000000"/>
          <w:sz w:val="24"/>
          <w:szCs w:val="28"/>
        </w:rPr>
      </w:pPr>
    </w:p>
    <w:p w:rsidR="00355E70" w:rsidRDefault="00355E70" w:rsidP="00355E70">
      <w:pPr>
        <w:spacing w:after="0" w:line="360" w:lineRule="auto"/>
        <w:ind w:firstLine="1440"/>
        <w:contextualSpacing/>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 xml:space="preserve">Peoples TWP has put into effect procedures to confirm that volumes reflected on the exchange meters between Peoples TWP and its affiliate, Peoples, have been accumulated </w:t>
      </w:r>
      <w:r w:rsidRPr="005C3052">
        <w:rPr>
          <w:rFonts w:ascii="Times New Roman" w:eastAsia="Times New Roman" w:hAnsi="Times New Roman" w:cs="Times New Roman"/>
          <w:sz w:val="24"/>
          <w:szCs w:val="24"/>
        </w:rPr>
        <w:lastRenderedPageBreak/>
        <w:t xml:space="preserve">appropriately and will be going forward.  Such procedures include an additional check with operations when a new meter is added to the exchange to ensure that the volumes from the correct meters are being compiled in the exchange tracking spreadsheet.  Further, the Gas Supply department will monitor the volumes for reasonableness compared to expected flows to ensure that the Company is seeing the expected results.  </w:t>
      </w:r>
      <w:proofErr w:type="gramStart"/>
      <w:r w:rsidR="003E2585">
        <w:rPr>
          <w:rFonts w:ascii="Times New Roman" w:eastAsia="Times New Roman" w:hAnsi="Times New Roman" w:cs="Times New Roman"/>
          <w:sz w:val="24"/>
          <w:szCs w:val="24"/>
        </w:rPr>
        <w:t>(</w:t>
      </w:r>
      <w:r w:rsidRPr="005C3052">
        <w:rPr>
          <w:rFonts w:ascii="Times New Roman" w:eastAsia="Times New Roman" w:hAnsi="Times New Roman" w:cs="Times New Roman"/>
          <w:sz w:val="24"/>
          <w:szCs w:val="24"/>
        </w:rPr>
        <w:t>Joint Petition, p. 7.</w:t>
      </w:r>
      <w:r w:rsidR="003E2585">
        <w:rPr>
          <w:rFonts w:ascii="Times New Roman" w:eastAsia="Times New Roman" w:hAnsi="Times New Roman" w:cs="Times New Roman"/>
          <w:sz w:val="24"/>
          <w:szCs w:val="24"/>
        </w:rPr>
        <w:t>)</w:t>
      </w:r>
      <w:proofErr w:type="gramEnd"/>
    </w:p>
    <w:p w:rsidR="00355E70" w:rsidRDefault="00355E70" w:rsidP="00355E70">
      <w:pPr>
        <w:keepLines/>
        <w:tabs>
          <w:tab w:val="left" w:pos="720"/>
          <w:tab w:val="left" w:pos="1440"/>
        </w:tabs>
        <w:spacing w:after="0" w:line="360" w:lineRule="auto"/>
        <w:outlineLvl w:val="1"/>
        <w:rPr>
          <w:rFonts w:ascii="Times New Roman" w:eastAsia="Times New Roman" w:hAnsi="Times New Roman" w:cs="Times New Roman"/>
          <w:bCs/>
          <w:iCs/>
          <w:caps/>
          <w:color w:val="000000"/>
          <w:sz w:val="24"/>
          <w:szCs w:val="28"/>
        </w:rPr>
      </w:pPr>
    </w:p>
    <w:p w:rsidR="00355E70" w:rsidRDefault="00355E70" w:rsidP="00355E70">
      <w:pPr>
        <w:keepLines/>
        <w:tabs>
          <w:tab w:val="left" w:pos="720"/>
          <w:tab w:val="left" w:pos="1440"/>
        </w:tabs>
        <w:spacing w:after="0" w:line="360" w:lineRule="auto"/>
        <w:outlineLvl w:val="1"/>
        <w:rPr>
          <w:rFonts w:ascii="Times New Roman" w:eastAsia="Times New Roman" w:hAnsi="Times New Roman" w:cs="Times New Roman"/>
          <w:bCs/>
          <w:iCs/>
          <w:color w:val="000000"/>
          <w:sz w:val="24"/>
          <w:szCs w:val="28"/>
          <w:u w:val="single"/>
        </w:rPr>
      </w:pPr>
      <w:r>
        <w:rPr>
          <w:rFonts w:ascii="Times New Roman" w:eastAsia="Times New Roman" w:hAnsi="Times New Roman" w:cs="Times New Roman"/>
          <w:bCs/>
          <w:iCs/>
          <w:caps/>
          <w:color w:val="000000"/>
          <w:sz w:val="24"/>
          <w:szCs w:val="28"/>
        </w:rPr>
        <w:t>F.</w:t>
      </w:r>
      <w:r>
        <w:rPr>
          <w:rFonts w:ascii="Times New Roman" w:eastAsia="Times New Roman" w:hAnsi="Times New Roman" w:cs="Times New Roman"/>
          <w:bCs/>
          <w:iCs/>
          <w:caps/>
          <w:color w:val="000000"/>
          <w:sz w:val="24"/>
          <w:szCs w:val="28"/>
        </w:rPr>
        <w:tab/>
      </w:r>
      <w:r w:rsidRPr="00BB1ECC">
        <w:rPr>
          <w:rFonts w:ascii="Times New Roman" w:eastAsia="Times New Roman" w:hAnsi="Times New Roman" w:cs="Times New Roman"/>
          <w:bCs/>
          <w:iCs/>
          <w:color w:val="000000"/>
          <w:sz w:val="24"/>
          <w:szCs w:val="28"/>
          <w:u w:val="single"/>
        </w:rPr>
        <w:t>General</w:t>
      </w:r>
    </w:p>
    <w:p w:rsidR="00355E70" w:rsidRDefault="00355E70" w:rsidP="00355E70">
      <w:pPr>
        <w:keepLines/>
        <w:tabs>
          <w:tab w:val="left" w:pos="720"/>
          <w:tab w:val="left" w:pos="1440"/>
        </w:tabs>
        <w:spacing w:after="0" w:line="360" w:lineRule="auto"/>
        <w:outlineLvl w:val="1"/>
        <w:rPr>
          <w:rFonts w:ascii="Times New Roman" w:eastAsia="Times New Roman" w:hAnsi="Times New Roman" w:cs="Times New Roman"/>
          <w:bCs/>
          <w:iCs/>
          <w:color w:val="000000"/>
          <w:sz w:val="24"/>
          <w:szCs w:val="28"/>
          <w:u w:val="single"/>
        </w:rPr>
      </w:pPr>
    </w:p>
    <w:p w:rsidR="00355E70" w:rsidRDefault="00355E70" w:rsidP="00355E70">
      <w:pPr>
        <w:spacing w:after="0" w:line="360" w:lineRule="auto"/>
        <w:ind w:firstLine="1440"/>
        <w:contextualSpacing/>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 xml:space="preserve">Effective April 1, 2015, Peoples TWP shall use a common system weighted </w:t>
      </w:r>
    </w:p>
    <w:p w:rsidR="00355E70" w:rsidRDefault="00355E70" w:rsidP="00355E70">
      <w:pPr>
        <w:spacing w:after="0" w:line="360" w:lineRule="auto"/>
        <w:contextualSpacing/>
        <w:rPr>
          <w:rFonts w:ascii="Times New Roman" w:eastAsia="Times New Roman" w:hAnsi="Times New Roman" w:cs="Times New Roman"/>
          <w:sz w:val="24"/>
          <w:szCs w:val="24"/>
        </w:rPr>
      </w:pPr>
      <w:proofErr w:type="gramStart"/>
      <w:r w:rsidRPr="005C3052">
        <w:rPr>
          <w:rFonts w:ascii="Times New Roman" w:eastAsia="Times New Roman" w:hAnsi="Times New Roman" w:cs="Times New Roman"/>
          <w:sz w:val="24"/>
          <w:szCs w:val="24"/>
        </w:rPr>
        <w:t>average</w:t>
      </w:r>
      <w:proofErr w:type="gramEnd"/>
      <w:r w:rsidRPr="005C3052">
        <w:rPr>
          <w:rFonts w:ascii="Times New Roman" w:eastAsia="Times New Roman" w:hAnsi="Times New Roman" w:cs="Times New Roman"/>
          <w:sz w:val="24"/>
          <w:szCs w:val="24"/>
        </w:rPr>
        <w:t xml:space="preserve"> cost of gas (WACOG) for all gas inventory in on-system and</w:t>
      </w:r>
      <w:r>
        <w:rPr>
          <w:rFonts w:ascii="Times New Roman" w:eastAsia="Times New Roman" w:hAnsi="Times New Roman" w:cs="Times New Roman"/>
          <w:sz w:val="24"/>
          <w:szCs w:val="24"/>
        </w:rPr>
        <w:t xml:space="preserve"> </w:t>
      </w:r>
      <w:r w:rsidRPr="005C3052">
        <w:rPr>
          <w:rFonts w:ascii="Times New Roman" w:eastAsia="Times New Roman" w:hAnsi="Times New Roman" w:cs="Times New Roman"/>
          <w:sz w:val="24"/>
          <w:szCs w:val="24"/>
        </w:rPr>
        <w:t xml:space="preserve">interstate storage pools.  </w:t>
      </w:r>
      <w:proofErr w:type="gramStart"/>
      <w:r w:rsidR="003E2585">
        <w:rPr>
          <w:rFonts w:ascii="Times New Roman" w:eastAsia="Times New Roman" w:hAnsi="Times New Roman" w:cs="Times New Roman"/>
          <w:sz w:val="24"/>
          <w:szCs w:val="24"/>
        </w:rPr>
        <w:t>(</w:t>
      </w:r>
      <w:r w:rsidRPr="005C3052">
        <w:rPr>
          <w:rFonts w:ascii="Times New Roman" w:eastAsia="Times New Roman" w:hAnsi="Times New Roman" w:cs="Times New Roman"/>
          <w:sz w:val="24"/>
          <w:szCs w:val="24"/>
        </w:rPr>
        <w:t>Joint Petition, p. 7.</w:t>
      </w:r>
      <w:r w:rsidR="003E2585">
        <w:rPr>
          <w:rFonts w:ascii="Times New Roman" w:eastAsia="Times New Roman" w:hAnsi="Times New Roman" w:cs="Times New Roman"/>
          <w:sz w:val="24"/>
          <w:szCs w:val="24"/>
        </w:rPr>
        <w:t>)</w:t>
      </w:r>
      <w:proofErr w:type="gramEnd"/>
    </w:p>
    <w:p w:rsidR="00355E70" w:rsidRPr="005C3052" w:rsidRDefault="00355E70" w:rsidP="00355E70">
      <w:pPr>
        <w:spacing w:after="0" w:line="360" w:lineRule="auto"/>
        <w:contextualSpacing/>
        <w:rPr>
          <w:rFonts w:ascii="Times New Roman" w:eastAsia="Times New Roman" w:hAnsi="Times New Roman" w:cs="Times New Roman"/>
          <w:sz w:val="24"/>
          <w:szCs w:val="24"/>
        </w:rPr>
      </w:pPr>
    </w:p>
    <w:p w:rsidR="00355E70" w:rsidRDefault="00355E70" w:rsidP="00355E70">
      <w:pPr>
        <w:spacing w:after="0" w:line="360" w:lineRule="auto"/>
        <w:ind w:firstLine="1440"/>
        <w:contextualSpacing/>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 xml:space="preserve">The Price to Compare (PTC) for non-Priority 1 customers shall reflect the rate per </w:t>
      </w:r>
      <w:proofErr w:type="spellStart"/>
      <w:r w:rsidRPr="005C3052">
        <w:rPr>
          <w:rFonts w:ascii="Times New Roman" w:eastAsia="Times New Roman" w:hAnsi="Times New Roman" w:cs="Times New Roman"/>
          <w:sz w:val="24"/>
          <w:szCs w:val="24"/>
        </w:rPr>
        <w:t>Mcf</w:t>
      </w:r>
      <w:proofErr w:type="spellEnd"/>
      <w:r w:rsidRPr="005C3052">
        <w:rPr>
          <w:rFonts w:ascii="Times New Roman" w:eastAsia="Times New Roman" w:hAnsi="Times New Roman" w:cs="Times New Roman"/>
          <w:sz w:val="24"/>
          <w:szCs w:val="24"/>
        </w:rPr>
        <w:t xml:space="preserve"> of Firm Transportation (FT) and Firm Storage (FS) Capacity that would be avoided by electing transportation service.  </w:t>
      </w:r>
      <w:proofErr w:type="gramStart"/>
      <w:r w:rsidR="003E2585">
        <w:rPr>
          <w:rFonts w:ascii="Times New Roman" w:eastAsia="Times New Roman" w:hAnsi="Times New Roman" w:cs="Times New Roman"/>
          <w:sz w:val="24"/>
          <w:szCs w:val="24"/>
        </w:rPr>
        <w:t>(</w:t>
      </w:r>
      <w:r w:rsidRPr="005C3052">
        <w:rPr>
          <w:rFonts w:ascii="Times New Roman" w:eastAsia="Times New Roman" w:hAnsi="Times New Roman" w:cs="Times New Roman"/>
          <w:sz w:val="24"/>
          <w:szCs w:val="24"/>
        </w:rPr>
        <w:t>Joint Petition, p. 7.</w:t>
      </w:r>
      <w:r w:rsidR="003E2585">
        <w:rPr>
          <w:rFonts w:ascii="Times New Roman" w:eastAsia="Times New Roman" w:hAnsi="Times New Roman" w:cs="Times New Roman"/>
          <w:sz w:val="24"/>
          <w:szCs w:val="24"/>
        </w:rPr>
        <w:t>)</w:t>
      </w:r>
      <w:proofErr w:type="gramEnd"/>
    </w:p>
    <w:p w:rsidR="00355E70" w:rsidRPr="005C3052" w:rsidRDefault="00355E70" w:rsidP="00355E70">
      <w:pPr>
        <w:spacing w:after="0" w:line="360" w:lineRule="auto"/>
        <w:ind w:left="720"/>
        <w:contextualSpacing/>
        <w:rPr>
          <w:rFonts w:ascii="Times New Roman" w:eastAsia="Times New Roman" w:hAnsi="Times New Roman" w:cs="Times New Roman"/>
          <w:sz w:val="24"/>
          <w:szCs w:val="24"/>
        </w:rPr>
      </w:pPr>
    </w:p>
    <w:p w:rsidR="00355E70" w:rsidRPr="005C3052" w:rsidRDefault="00355E70" w:rsidP="00355E70">
      <w:pPr>
        <w:spacing w:after="0" w:line="360" w:lineRule="auto"/>
        <w:ind w:firstLine="1440"/>
        <w:contextualSpacing/>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 xml:space="preserve">In accordance with the provisions of 52 </w:t>
      </w:r>
      <w:proofErr w:type="spellStart"/>
      <w:r w:rsidRPr="005C3052">
        <w:rPr>
          <w:rFonts w:ascii="Times New Roman" w:eastAsia="Times New Roman" w:hAnsi="Times New Roman" w:cs="Times New Roman"/>
          <w:sz w:val="24"/>
          <w:szCs w:val="24"/>
        </w:rPr>
        <w:t>Pa.Code</w:t>
      </w:r>
      <w:proofErr w:type="spellEnd"/>
      <w:r w:rsidRPr="005C3052">
        <w:rPr>
          <w:rFonts w:ascii="Times New Roman" w:eastAsia="Times New Roman" w:hAnsi="Times New Roman" w:cs="Times New Roman"/>
          <w:sz w:val="24"/>
          <w:szCs w:val="24"/>
        </w:rPr>
        <w:t xml:space="preserve"> § 53.64(</w:t>
      </w:r>
      <w:proofErr w:type="spellStart"/>
      <w:r w:rsidRPr="005C3052">
        <w:rPr>
          <w:rFonts w:ascii="Times New Roman" w:eastAsia="Times New Roman" w:hAnsi="Times New Roman" w:cs="Times New Roman"/>
          <w:sz w:val="24"/>
          <w:szCs w:val="24"/>
        </w:rPr>
        <w:t>i</w:t>
      </w:r>
      <w:proofErr w:type="spellEnd"/>
      <w:proofErr w:type="gramStart"/>
      <w:r w:rsidRPr="005C3052">
        <w:rPr>
          <w:rFonts w:ascii="Times New Roman" w:eastAsia="Times New Roman" w:hAnsi="Times New Roman" w:cs="Times New Roman"/>
          <w:sz w:val="24"/>
          <w:szCs w:val="24"/>
        </w:rPr>
        <w:t>)(</w:t>
      </w:r>
      <w:proofErr w:type="gramEnd"/>
      <w:r w:rsidRPr="005C3052">
        <w:rPr>
          <w:rFonts w:ascii="Times New Roman" w:eastAsia="Times New Roman" w:hAnsi="Times New Roman" w:cs="Times New Roman"/>
          <w:sz w:val="24"/>
          <w:szCs w:val="24"/>
        </w:rPr>
        <w:t>5), the Company’s compliance filing in this proceeding will reflect updated actual and projected over/</w:t>
      </w:r>
      <w:proofErr w:type="spellStart"/>
      <w:r w:rsidRPr="005C3052">
        <w:rPr>
          <w:rFonts w:ascii="Times New Roman" w:eastAsia="Times New Roman" w:hAnsi="Times New Roman" w:cs="Times New Roman"/>
          <w:sz w:val="24"/>
          <w:szCs w:val="24"/>
        </w:rPr>
        <w:t>undercollections</w:t>
      </w:r>
      <w:proofErr w:type="spellEnd"/>
      <w:r w:rsidRPr="005C3052">
        <w:rPr>
          <w:rFonts w:ascii="Times New Roman" w:eastAsia="Times New Roman" w:hAnsi="Times New Roman" w:cs="Times New Roman"/>
          <w:sz w:val="24"/>
          <w:szCs w:val="24"/>
        </w:rPr>
        <w:t xml:space="preserve"> through July 31, 2015. </w:t>
      </w:r>
      <w:proofErr w:type="gramStart"/>
      <w:r w:rsidR="003E2585">
        <w:rPr>
          <w:rFonts w:ascii="Times New Roman" w:eastAsia="Times New Roman" w:hAnsi="Times New Roman" w:cs="Times New Roman"/>
          <w:sz w:val="24"/>
          <w:szCs w:val="24"/>
        </w:rPr>
        <w:t>(</w:t>
      </w:r>
      <w:r w:rsidRPr="005C3052">
        <w:rPr>
          <w:rFonts w:ascii="Times New Roman" w:eastAsia="Times New Roman" w:hAnsi="Times New Roman" w:cs="Times New Roman"/>
          <w:sz w:val="24"/>
          <w:szCs w:val="24"/>
        </w:rPr>
        <w:t>Joint Petition, p. 7.</w:t>
      </w:r>
      <w:r w:rsidR="003E2585">
        <w:rPr>
          <w:rFonts w:ascii="Times New Roman" w:eastAsia="Times New Roman" w:hAnsi="Times New Roman" w:cs="Times New Roman"/>
          <w:sz w:val="24"/>
          <w:szCs w:val="24"/>
        </w:rPr>
        <w:t>)</w:t>
      </w:r>
      <w:proofErr w:type="gramEnd"/>
    </w:p>
    <w:p w:rsidR="002A117D" w:rsidRDefault="002A117D" w:rsidP="00F32248">
      <w:pPr>
        <w:tabs>
          <w:tab w:val="left" w:pos="-720"/>
        </w:tabs>
        <w:suppressAutoHyphens/>
        <w:autoSpaceDE w:val="0"/>
        <w:autoSpaceDN w:val="0"/>
        <w:spacing w:after="0" w:line="360" w:lineRule="auto"/>
        <w:contextualSpacing/>
        <w:jc w:val="center"/>
        <w:rPr>
          <w:rFonts w:ascii="Times New Roman" w:eastAsia="Times New Roman" w:hAnsi="Times New Roman" w:cs="Times New Roman"/>
          <w:spacing w:val="-3"/>
          <w:sz w:val="24"/>
          <w:szCs w:val="24"/>
        </w:rPr>
      </w:pPr>
    </w:p>
    <w:p w:rsidR="005C3052" w:rsidRPr="005C3052" w:rsidRDefault="005C3052" w:rsidP="00F32248">
      <w:pPr>
        <w:tabs>
          <w:tab w:val="left" w:pos="-720"/>
        </w:tabs>
        <w:suppressAutoHyphens/>
        <w:autoSpaceDE w:val="0"/>
        <w:autoSpaceDN w:val="0"/>
        <w:spacing w:after="0" w:line="360" w:lineRule="auto"/>
        <w:contextualSpacing/>
        <w:jc w:val="center"/>
        <w:rPr>
          <w:rFonts w:ascii="Times New Roman" w:eastAsia="Times New Roman" w:hAnsi="Times New Roman" w:cs="Times New Roman"/>
          <w:spacing w:val="-3"/>
          <w:sz w:val="24"/>
          <w:szCs w:val="24"/>
          <w:u w:val="single"/>
        </w:rPr>
      </w:pPr>
      <w:r w:rsidRPr="005C3052">
        <w:rPr>
          <w:rFonts w:ascii="Times New Roman" w:eastAsia="Times New Roman" w:hAnsi="Times New Roman" w:cs="Times New Roman"/>
          <w:spacing w:val="-3"/>
          <w:sz w:val="24"/>
          <w:szCs w:val="24"/>
        </w:rPr>
        <w:t xml:space="preserve">IV. </w:t>
      </w:r>
      <w:r w:rsidR="00F32248">
        <w:rPr>
          <w:rFonts w:ascii="Times New Roman" w:eastAsia="Times New Roman" w:hAnsi="Times New Roman" w:cs="Times New Roman"/>
          <w:spacing w:val="-3"/>
          <w:sz w:val="24"/>
          <w:szCs w:val="24"/>
        </w:rPr>
        <w:tab/>
      </w:r>
      <w:r w:rsidRPr="005C3052">
        <w:rPr>
          <w:rFonts w:ascii="Times New Roman" w:eastAsia="Times New Roman" w:hAnsi="Times New Roman" w:cs="Times New Roman"/>
          <w:spacing w:val="-3"/>
          <w:sz w:val="24"/>
          <w:szCs w:val="24"/>
          <w:u w:val="single"/>
        </w:rPr>
        <w:t>STANDARDS AND FILINGS</w:t>
      </w:r>
    </w:p>
    <w:p w:rsidR="005C3052" w:rsidRPr="005C3052" w:rsidRDefault="005C3052" w:rsidP="00F32D52">
      <w:pPr>
        <w:spacing w:after="0" w:line="360" w:lineRule="auto"/>
        <w:ind w:firstLine="1440"/>
        <w:rPr>
          <w:rFonts w:ascii="Times New Roman" w:eastAsia="Calibri" w:hAnsi="Times New Roman" w:cs="Times New Roman"/>
          <w:b/>
          <w:sz w:val="24"/>
          <w:szCs w:val="24"/>
          <w:u w:val="single"/>
        </w:rPr>
      </w:pPr>
    </w:p>
    <w:p w:rsidR="005C3052" w:rsidRPr="005C3052" w:rsidRDefault="008221A8" w:rsidP="008221A8">
      <w:p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005C3052" w:rsidRPr="008221A8">
        <w:rPr>
          <w:rFonts w:ascii="Times New Roman" w:eastAsia="Times New Roman" w:hAnsi="Times New Roman" w:cs="Times New Roman"/>
          <w:sz w:val="24"/>
          <w:szCs w:val="24"/>
          <w:u w:val="single"/>
        </w:rPr>
        <w:t>Historical Reconciliation Period and Standards</w:t>
      </w:r>
    </w:p>
    <w:p w:rsidR="005C3052" w:rsidRPr="005C3052" w:rsidRDefault="005C3052" w:rsidP="008221A8">
      <w:pPr>
        <w:spacing w:after="0" w:line="360" w:lineRule="auto"/>
        <w:rPr>
          <w:rFonts w:ascii="Times New Roman" w:eastAsia="Times New Roman" w:hAnsi="Times New Roman" w:cs="Times New Roman"/>
          <w:b/>
          <w:sz w:val="24"/>
          <w:szCs w:val="24"/>
        </w:rPr>
      </w:pPr>
    </w:p>
    <w:p w:rsidR="005C3052" w:rsidRDefault="005C3052" w:rsidP="00E16F95">
      <w:pPr>
        <w:spacing w:after="0" w:line="360" w:lineRule="auto"/>
        <w:ind w:firstLine="720"/>
        <w:rPr>
          <w:rFonts w:ascii="Times New Roman" w:eastAsia="Times New Roman" w:hAnsi="Times New Roman" w:cs="Times New Roman"/>
          <w:sz w:val="24"/>
          <w:szCs w:val="24"/>
        </w:rPr>
      </w:pPr>
      <w:r w:rsidRPr="005C3052">
        <w:rPr>
          <w:rFonts w:ascii="Times New Roman" w:eastAsia="Times New Roman" w:hAnsi="Times New Roman" w:cs="Times New Roman"/>
          <w:b/>
          <w:sz w:val="24"/>
          <w:szCs w:val="24"/>
        </w:rPr>
        <w:tab/>
      </w:r>
      <w:r w:rsidRPr="005C3052">
        <w:rPr>
          <w:rFonts w:ascii="Times New Roman" w:eastAsia="Times New Roman" w:hAnsi="Times New Roman" w:cs="Times New Roman"/>
          <w:sz w:val="24"/>
          <w:szCs w:val="24"/>
        </w:rPr>
        <w:t xml:space="preserve">With respect to Peoples TWP’s gas purchases and gas purchasing practices during the twelve-month historical reconciliation period ended November 30, </w:t>
      </w:r>
      <w:proofErr w:type="gramStart"/>
      <w:r w:rsidRPr="005C3052">
        <w:rPr>
          <w:rFonts w:ascii="Times New Roman" w:eastAsia="Times New Roman" w:hAnsi="Times New Roman" w:cs="Times New Roman"/>
          <w:sz w:val="24"/>
          <w:szCs w:val="24"/>
        </w:rPr>
        <w:t>2014,</w:t>
      </w:r>
      <w:proofErr w:type="gramEnd"/>
      <w:r w:rsidRPr="005C3052">
        <w:rPr>
          <w:rFonts w:ascii="Times New Roman" w:eastAsia="Calibri" w:hAnsi="Times New Roman" w:cs="Times New Roman"/>
          <w:sz w:val="24"/>
          <w:szCs w:val="24"/>
          <w:vertAlign w:val="superscript"/>
        </w:rPr>
        <w:footnoteReference w:id="1"/>
      </w:r>
      <w:r w:rsidRPr="005C3052">
        <w:rPr>
          <w:rFonts w:ascii="Times New Roman" w:eastAsia="Times New Roman" w:hAnsi="Times New Roman" w:cs="Times New Roman"/>
          <w:sz w:val="24"/>
          <w:szCs w:val="24"/>
        </w:rPr>
        <w:t xml:space="preserve"> the Parties have requested that the ALJ and the Commission find that Peoples TWP has met the standards of Section 1318 of the Public Utility Code, 66 Pa.C.S. § 1318, as required by Section 1307(f</w:t>
      </w:r>
      <w:proofErr w:type="gramStart"/>
      <w:r w:rsidRPr="005C3052">
        <w:rPr>
          <w:rFonts w:ascii="Times New Roman" w:eastAsia="Times New Roman" w:hAnsi="Times New Roman" w:cs="Times New Roman"/>
          <w:sz w:val="24"/>
          <w:szCs w:val="24"/>
        </w:rPr>
        <w:t>)(</w:t>
      </w:r>
      <w:proofErr w:type="gramEnd"/>
      <w:r w:rsidRPr="005C3052">
        <w:rPr>
          <w:rFonts w:ascii="Times New Roman" w:eastAsia="Times New Roman" w:hAnsi="Times New Roman" w:cs="Times New Roman"/>
          <w:sz w:val="24"/>
          <w:szCs w:val="24"/>
        </w:rPr>
        <w:t>5) of the Public Utility Code, 66 Pa.C.S. § 1307(f</w:t>
      </w:r>
      <w:proofErr w:type="gramStart"/>
      <w:r w:rsidRPr="005C3052">
        <w:rPr>
          <w:rFonts w:ascii="Times New Roman" w:eastAsia="Times New Roman" w:hAnsi="Times New Roman" w:cs="Times New Roman"/>
          <w:sz w:val="24"/>
          <w:szCs w:val="24"/>
        </w:rPr>
        <w:t>)(</w:t>
      </w:r>
      <w:proofErr w:type="gramEnd"/>
      <w:r w:rsidRPr="005C3052">
        <w:rPr>
          <w:rFonts w:ascii="Times New Roman" w:eastAsia="Times New Roman" w:hAnsi="Times New Roman" w:cs="Times New Roman"/>
          <w:sz w:val="24"/>
          <w:szCs w:val="24"/>
        </w:rPr>
        <w:t xml:space="preserve">5), as to all actual purchased gas costs in the </w:t>
      </w:r>
      <w:r w:rsidRPr="005C3052">
        <w:rPr>
          <w:rFonts w:ascii="Times New Roman" w:eastAsia="Times New Roman" w:hAnsi="Times New Roman" w:cs="Times New Roman"/>
          <w:sz w:val="24"/>
          <w:szCs w:val="24"/>
        </w:rPr>
        <w:lastRenderedPageBreak/>
        <w:t xml:space="preserve">historical period.  The Parties have further requested that the Commission find that, during the twelve months ended November 30, 2014: </w:t>
      </w:r>
    </w:p>
    <w:p w:rsidR="00B661FD" w:rsidRDefault="00B661FD" w:rsidP="00B661FD">
      <w:pPr>
        <w:spacing w:after="0" w:line="240" w:lineRule="auto"/>
        <w:ind w:firstLine="720"/>
        <w:rPr>
          <w:rFonts w:ascii="Times New Roman" w:eastAsia="Times New Roman" w:hAnsi="Times New Roman" w:cs="Times New Roman"/>
          <w:sz w:val="24"/>
          <w:szCs w:val="24"/>
        </w:rPr>
      </w:pPr>
    </w:p>
    <w:p w:rsidR="005C3052" w:rsidRPr="005C3052" w:rsidRDefault="005C3052" w:rsidP="008221A8">
      <w:pPr>
        <w:spacing w:after="0" w:line="240" w:lineRule="auto"/>
        <w:ind w:left="2160" w:hanging="720"/>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a.</w:t>
      </w:r>
      <w:r w:rsidRPr="005C3052">
        <w:rPr>
          <w:rFonts w:ascii="Times New Roman" w:eastAsia="Times New Roman" w:hAnsi="Times New Roman" w:cs="Times New Roman"/>
          <w:sz w:val="24"/>
          <w:szCs w:val="24"/>
        </w:rPr>
        <w:tab/>
        <w:t>Peoples TWP met the requirements of Section 1318(a) of the Public Utility Code by pursuing a least-cost fuel procurement policy, consistent with its obligation to provide safe, adequate and reliable service to its customers; and</w:t>
      </w:r>
    </w:p>
    <w:p w:rsidR="005C3052" w:rsidRPr="005C3052" w:rsidRDefault="005C3052" w:rsidP="008221A8">
      <w:pPr>
        <w:spacing w:after="0" w:line="240" w:lineRule="auto"/>
        <w:ind w:left="2160" w:hanging="720"/>
        <w:rPr>
          <w:rFonts w:ascii="Times New Roman" w:eastAsia="Times New Roman" w:hAnsi="Times New Roman" w:cs="Times New Roman"/>
          <w:sz w:val="24"/>
          <w:szCs w:val="24"/>
        </w:rPr>
      </w:pPr>
    </w:p>
    <w:p w:rsidR="005C3052" w:rsidRPr="005C3052" w:rsidRDefault="005C3052" w:rsidP="008221A8">
      <w:pPr>
        <w:spacing w:after="0" w:line="240" w:lineRule="auto"/>
        <w:ind w:left="2160" w:hanging="720"/>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b.</w:t>
      </w:r>
      <w:r w:rsidRPr="005C3052">
        <w:rPr>
          <w:rFonts w:ascii="Times New Roman" w:eastAsia="Times New Roman" w:hAnsi="Times New Roman" w:cs="Times New Roman"/>
          <w:sz w:val="24"/>
          <w:szCs w:val="24"/>
        </w:rPr>
        <w:tab/>
        <w:t>All gas exchanges by Peoples TWP with entities that are considered an affiliated interest have met the requirements of Section 1318(b) of the Public Utility Code relating to purchases from and services provided by entities that are considered affiliates.</w:t>
      </w:r>
    </w:p>
    <w:p w:rsidR="005C3052" w:rsidRPr="005C3052" w:rsidRDefault="005C3052" w:rsidP="00D40380">
      <w:pPr>
        <w:spacing w:after="0" w:line="240" w:lineRule="auto"/>
        <w:ind w:firstLine="720"/>
        <w:rPr>
          <w:rFonts w:ascii="Times New Roman" w:eastAsia="Times New Roman" w:hAnsi="Times New Roman" w:cs="Times New Roman"/>
          <w:b/>
          <w:sz w:val="20"/>
          <w:szCs w:val="20"/>
        </w:rPr>
      </w:pPr>
    </w:p>
    <w:p w:rsidR="005C3052" w:rsidRDefault="00C243E1" w:rsidP="00D40380">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r w:rsidR="005C3052" w:rsidRPr="005C3052">
        <w:rPr>
          <w:rFonts w:ascii="Times New Roman" w:eastAsia="Times New Roman" w:hAnsi="Times New Roman" w:cs="Times New Roman"/>
          <w:sz w:val="24"/>
          <w:szCs w:val="24"/>
        </w:rPr>
        <w:t>Joint Petition, pp. 8-9.</w:t>
      </w:r>
      <w:r>
        <w:rPr>
          <w:rFonts w:ascii="Times New Roman" w:eastAsia="Times New Roman" w:hAnsi="Times New Roman" w:cs="Times New Roman"/>
          <w:sz w:val="24"/>
          <w:szCs w:val="24"/>
        </w:rPr>
        <w:t>)</w:t>
      </w:r>
      <w:proofErr w:type="gramEnd"/>
    </w:p>
    <w:p w:rsidR="00F12C2E" w:rsidRPr="005C3052" w:rsidRDefault="00F12C2E" w:rsidP="00D40380">
      <w:pPr>
        <w:spacing w:after="0" w:line="240" w:lineRule="auto"/>
        <w:rPr>
          <w:rFonts w:ascii="Times New Roman" w:eastAsia="Times New Roman" w:hAnsi="Times New Roman" w:cs="Times New Roman"/>
          <w:sz w:val="24"/>
          <w:szCs w:val="24"/>
        </w:rPr>
      </w:pPr>
    </w:p>
    <w:p w:rsidR="005C3052" w:rsidRPr="005C3052" w:rsidRDefault="005C3052" w:rsidP="00F12C2E">
      <w:pPr>
        <w:spacing w:after="0" w:line="240" w:lineRule="auto"/>
        <w:rPr>
          <w:rFonts w:ascii="Times New Roman" w:eastAsia="Times New Roman" w:hAnsi="Times New Roman" w:cs="Times New Roman"/>
          <w:sz w:val="24"/>
          <w:szCs w:val="24"/>
        </w:rPr>
      </w:pPr>
    </w:p>
    <w:p w:rsidR="005C3052" w:rsidRPr="005C3052" w:rsidRDefault="008221A8" w:rsidP="008221A8">
      <w:pPr>
        <w:spacing w:after="0" w:line="360" w:lineRule="auto"/>
        <w:ind w:right="1080"/>
        <w:contextualSpacing/>
        <w:rPr>
          <w:rFonts w:ascii="Times New Roman" w:eastAsia="Times New Roman" w:hAnsi="Times New Roman" w:cs="Times New Roman"/>
          <w:sz w:val="24"/>
          <w:szCs w:val="24"/>
        </w:rPr>
      </w:pPr>
      <w:r>
        <w:rPr>
          <w:rFonts w:ascii="Times New Roman" w:eastAsia="Times New Roman" w:hAnsi="Times New Roman" w:cs="Times New Roman"/>
          <w:bCs/>
          <w:iCs/>
          <w:sz w:val="24"/>
          <w:szCs w:val="24"/>
        </w:rPr>
        <w:t>B.</w:t>
      </w:r>
      <w:r>
        <w:rPr>
          <w:rFonts w:ascii="Times New Roman" w:eastAsia="Times New Roman" w:hAnsi="Times New Roman" w:cs="Times New Roman"/>
          <w:bCs/>
          <w:iCs/>
          <w:sz w:val="24"/>
          <w:szCs w:val="24"/>
        </w:rPr>
        <w:tab/>
      </w:r>
      <w:r w:rsidR="005C3052" w:rsidRPr="008221A8">
        <w:rPr>
          <w:rFonts w:ascii="Times New Roman" w:eastAsia="Times New Roman" w:hAnsi="Times New Roman" w:cs="Times New Roman"/>
          <w:bCs/>
          <w:iCs/>
          <w:sz w:val="24"/>
          <w:szCs w:val="24"/>
          <w:u w:val="single"/>
        </w:rPr>
        <w:t>Interim and Projected Period Findings</w:t>
      </w:r>
    </w:p>
    <w:p w:rsidR="005C3052" w:rsidRPr="005C3052" w:rsidRDefault="005C3052" w:rsidP="008221A8">
      <w:pPr>
        <w:spacing w:after="0" w:line="360" w:lineRule="auto"/>
        <w:ind w:right="1080" w:firstLine="1440"/>
        <w:rPr>
          <w:rFonts w:ascii="Times New Roman" w:eastAsia="Times New Roman" w:hAnsi="Times New Roman" w:cs="Times New Roman"/>
          <w:b/>
          <w:sz w:val="24"/>
          <w:szCs w:val="24"/>
        </w:rPr>
      </w:pPr>
    </w:p>
    <w:p w:rsidR="005C3052" w:rsidRDefault="005C3052" w:rsidP="00961E7A">
      <w:pPr>
        <w:spacing w:after="0" w:line="360" w:lineRule="auto"/>
        <w:ind w:firstLine="1440"/>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 xml:space="preserve">During the eight-month interim period beginning on December 1, 2014, and the projected twelve-month period beginning August 1, 2015, when rates contained in this Settlement will be in effect, the Parties have requested that the Commission find, based upon information presently available and based upon evidence of record in this proceeding concerning Peoples TWP’s projected purchases and purchasing policies, that the rates to be adopted by the Commission result from Peoples TWP’s compliance with the provisions of Section 1318 of the Public Utility Code, including subsections (a)(1)-(4) and (b)(1)-(3).  </w:t>
      </w:r>
      <w:proofErr w:type="gramStart"/>
      <w:r w:rsidRPr="005C3052">
        <w:rPr>
          <w:rFonts w:ascii="Times New Roman" w:eastAsia="Times New Roman" w:hAnsi="Times New Roman" w:cs="Times New Roman"/>
          <w:sz w:val="24"/>
          <w:szCs w:val="24"/>
        </w:rPr>
        <w:t>66 Pa.C.S.</w:t>
      </w:r>
      <w:proofErr w:type="gramEnd"/>
      <w:r w:rsidRPr="005C3052">
        <w:rPr>
          <w:rFonts w:ascii="Times New Roman" w:eastAsia="Times New Roman" w:hAnsi="Times New Roman" w:cs="Times New Roman"/>
          <w:sz w:val="24"/>
          <w:szCs w:val="24"/>
        </w:rPr>
        <w:t xml:space="preserve"> § 1318(a</w:t>
      </w:r>
      <w:proofErr w:type="gramStart"/>
      <w:r w:rsidRPr="005C3052">
        <w:rPr>
          <w:rFonts w:ascii="Times New Roman" w:eastAsia="Times New Roman" w:hAnsi="Times New Roman" w:cs="Times New Roman"/>
          <w:sz w:val="24"/>
          <w:szCs w:val="24"/>
        </w:rPr>
        <w:t>)(</w:t>
      </w:r>
      <w:proofErr w:type="gramEnd"/>
      <w:r w:rsidRPr="005C3052">
        <w:rPr>
          <w:rFonts w:ascii="Times New Roman" w:eastAsia="Times New Roman" w:hAnsi="Times New Roman" w:cs="Times New Roman"/>
          <w:sz w:val="24"/>
          <w:szCs w:val="24"/>
        </w:rPr>
        <w:t>1)-(4), (b)(1)-(3).</w:t>
      </w:r>
      <w:r w:rsidR="008221A8">
        <w:rPr>
          <w:rFonts w:ascii="Times New Roman" w:eastAsia="Times New Roman" w:hAnsi="Times New Roman" w:cs="Times New Roman"/>
          <w:sz w:val="24"/>
          <w:szCs w:val="24"/>
        </w:rPr>
        <w:t xml:space="preserve"> </w:t>
      </w:r>
      <w:r w:rsidRPr="005C3052">
        <w:rPr>
          <w:rFonts w:ascii="Times New Roman" w:eastAsia="Times New Roman" w:hAnsi="Times New Roman" w:cs="Times New Roman"/>
          <w:sz w:val="24"/>
          <w:szCs w:val="24"/>
        </w:rPr>
        <w:t xml:space="preserve"> </w:t>
      </w:r>
      <w:proofErr w:type="gramStart"/>
      <w:r w:rsidR="003E2585">
        <w:rPr>
          <w:rFonts w:ascii="Times New Roman" w:eastAsia="Times New Roman" w:hAnsi="Times New Roman" w:cs="Times New Roman"/>
          <w:sz w:val="24"/>
          <w:szCs w:val="24"/>
        </w:rPr>
        <w:t>(</w:t>
      </w:r>
      <w:r w:rsidRPr="005C3052">
        <w:rPr>
          <w:rFonts w:ascii="Times New Roman" w:eastAsia="Times New Roman" w:hAnsi="Times New Roman" w:cs="Times New Roman"/>
          <w:sz w:val="24"/>
          <w:szCs w:val="24"/>
        </w:rPr>
        <w:t>Joint Petition, pp.</w:t>
      </w:r>
      <w:r w:rsidR="00103B40">
        <w:rPr>
          <w:rFonts w:ascii="Times New Roman" w:eastAsia="Times New Roman" w:hAnsi="Times New Roman" w:cs="Times New Roman"/>
          <w:sz w:val="24"/>
          <w:szCs w:val="24"/>
        </w:rPr>
        <w:t xml:space="preserve"> </w:t>
      </w:r>
      <w:r w:rsidRPr="005C3052">
        <w:rPr>
          <w:rFonts w:ascii="Times New Roman" w:eastAsia="Times New Roman" w:hAnsi="Times New Roman" w:cs="Times New Roman"/>
          <w:sz w:val="24"/>
          <w:szCs w:val="24"/>
        </w:rPr>
        <w:t>13-14.</w:t>
      </w:r>
      <w:r w:rsidR="003E2585">
        <w:rPr>
          <w:rFonts w:ascii="Times New Roman" w:eastAsia="Times New Roman" w:hAnsi="Times New Roman" w:cs="Times New Roman"/>
          <w:sz w:val="24"/>
          <w:szCs w:val="24"/>
        </w:rPr>
        <w:t>)</w:t>
      </w:r>
      <w:proofErr w:type="gramEnd"/>
    </w:p>
    <w:p w:rsidR="00D40380" w:rsidRPr="005C3052" w:rsidRDefault="00D40380" w:rsidP="00D40380">
      <w:pPr>
        <w:spacing w:after="0" w:line="360" w:lineRule="auto"/>
        <w:ind w:left="720"/>
        <w:rPr>
          <w:rFonts w:ascii="Times New Roman" w:eastAsia="Times New Roman" w:hAnsi="Times New Roman" w:cs="Times New Roman"/>
          <w:sz w:val="24"/>
          <w:szCs w:val="24"/>
        </w:rPr>
      </w:pPr>
    </w:p>
    <w:p w:rsidR="005C3052" w:rsidRPr="005C3052" w:rsidRDefault="005C3052" w:rsidP="003E2585">
      <w:pPr>
        <w:spacing w:after="0" w:line="360" w:lineRule="auto"/>
        <w:ind w:firstLine="1440"/>
        <w:contextualSpacing/>
        <w:rPr>
          <w:rFonts w:ascii="Times New Roman" w:eastAsia="Times New Roman" w:hAnsi="Times New Roman" w:cs="Times New Roman"/>
          <w:b/>
          <w:sz w:val="24"/>
          <w:szCs w:val="24"/>
        </w:rPr>
      </w:pPr>
      <w:r w:rsidRPr="005C3052">
        <w:rPr>
          <w:rFonts w:ascii="Times New Roman" w:eastAsia="Times New Roman" w:hAnsi="Times New Roman" w:cs="Times New Roman"/>
          <w:sz w:val="24"/>
          <w:szCs w:val="24"/>
        </w:rPr>
        <w:t xml:space="preserve">The Parties have agreed, based upon evidence of record in this </w:t>
      </w:r>
      <w:r w:rsidR="00B8097C">
        <w:rPr>
          <w:rFonts w:ascii="Times New Roman" w:eastAsia="Times New Roman" w:hAnsi="Times New Roman" w:cs="Times New Roman"/>
          <w:sz w:val="24"/>
          <w:szCs w:val="24"/>
        </w:rPr>
        <w:t>p</w:t>
      </w:r>
      <w:r w:rsidRPr="005C3052">
        <w:rPr>
          <w:rFonts w:ascii="Times New Roman" w:eastAsia="Times New Roman" w:hAnsi="Times New Roman" w:cs="Times New Roman"/>
          <w:sz w:val="24"/>
          <w:szCs w:val="24"/>
        </w:rPr>
        <w:t xml:space="preserve">roceeding concerning Peoples TWP’s projected gas purchases and gas purchasing </w:t>
      </w:r>
      <w:proofErr w:type="gramStart"/>
      <w:r w:rsidRPr="005C3052">
        <w:rPr>
          <w:rFonts w:ascii="Times New Roman" w:eastAsia="Times New Roman" w:hAnsi="Times New Roman" w:cs="Times New Roman"/>
          <w:sz w:val="24"/>
          <w:szCs w:val="24"/>
        </w:rPr>
        <w:t>policies, that</w:t>
      </w:r>
      <w:proofErr w:type="gramEnd"/>
      <w:r w:rsidRPr="005C3052">
        <w:rPr>
          <w:rFonts w:ascii="Times New Roman" w:eastAsia="Times New Roman" w:hAnsi="Times New Roman" w:cs="Times New Roman"/>
          <w:sz w:val="24"/>
          <w:szCs w:val="24"/>
        </w:rPr>
        <w:t xml:space="preserve"> Peoples TWP’s projected gas purchases and projected gas purchasing policies may comply with the standards of Section 1318 of the Public Utility Code.  Nevertheless, it is expressly understood and agreed that this Section of the Settlement, Section IV.B, entitled “Interim and Projected Period Findings”, at Joint Petition pages 13-14 is made solely for the purpose of setting prospective rates that shall be subject to the standards of Section 1318 of the Public Utility Code, 66 Pa.C.S. § 1318, and is to be further review</w:t>
      </w:r>
      <w:r w:rsidR="00103B40">
        <w:rPr>
          <w:rFonts w:ascii="Times New Roman" w:eastAsia="Times New Roman" w:hAnsi="Times New Roman" w:cs="Times New Roman"/>
          <w:sz w:val="24"/>
          <w:szCs w:val="24"/>
        </w:rPr>
        <w:t>ed</w:t>
      </w:r>
      <w:r w:rsidRPr="005C3052">
        <w:rPr>
          <w:rFonts w:ascii="Times New Roman" w:eastAsia="Times New Roman" w:hAnsi="Times New Roman" w:cs="Times New Roman"/>
          <w:sz w:val="24"/>
          <w:szCs w:val="24"/>
        </w:rPr>
        <w:t xml:space="preserve"> in an appropriate future proceeding.  The Parties have agreed that Section IV.B of the Settlement is not intended in any way to limit or prevent </w:t>
      </w:r>
      <w:proofErr w:type="gramStart"/>
      <w:r w:rsidRPr="005C3052">
        <w:rPr>
          <w:rFonts w:ascii="Times New Roman" w:eastAsia="Times New Roman" w:hAnsi="Times New Roman" w:cs="Times New Roman"/>
          <w:sz w:val="24"/>
          <w:szCs w:val="24"/>
        </w:rPr>
        <w:lastRenderedPageBreak/>
        <w:t>I&amp;E</w:t>
      </w:r>
      <w:proofErr w:type="gramEnd"/>
      <w:r w:rsidRPr="005C3052">
        <w:rPr>
          <w:rFonts w:ascii="Times New Roman" w:eastAsia="Times New Roman" w:hAnsi="Times New Roman" w:cs="Times New Roman"/>
          <w:sz w:val="24"/>
          <w:szCs w:val="24"/>
        </w:rPr>
        <w:t xml:space="preserve">, OCA, or OSBA from reviewing, after such projected gas purchases actually have been made and gas purchasing practices actually have been implemented, whether Peoples TWP’s gas purchases and gas purchasing practices complied with Section 1318.  The Parties have agreed that if, at an appropriate future proceeding, gas purchases and gas purchasing practices from December 1, 2014, through July 31, 2016, were challenged, the Commission’s findings based upon Section IV of the Settlement shall not bar the examination of such purchases and practices, including, but not limited to, disallowance of, or reductions to, such costs during the eight-month interim period commencing December 1, 2014, and the twelve-month application period commencing August 1, 2015, and ending on July 31, 2016.  </w:t>
      </w:r>
      <w:proofErr w:type="gramStart"/>
      <w:r w:rsidR="003E2585">
        <w:rPr>
          <w:rFonts w:ascii="Times New Roman" w:eastAsia="Times New Roman" w:hAnsi="Times New Roman" w:cs="Times New Roman"/>
          <w:sz w:val="24"/>
          <w:szCs w:val="24"/>
        </w:rPr>
        <w:t>(</w:t>
      </w:r>
      <w:r w:rsidRPr="005C3052">
        <w:rPr>
          <w:rFonts w:ascii="Times New Roman" w:eastAsia="Times New Roman" w:hAnsi="Times New Roman" w:cs="Times New Roman"/>
          <w:sz w:val="24"/>
          <w:szCs w:val="24"/>
        </w:rPr>
        <w:t>Joint Petition, p. 14.</w:t>
      </w:r>
      <w:r w:rsidR="003E2585">
        <w:rPr>
          <w:rFonts w:ascii="Times New Roman" w:eastAsia="Times New Roman" w:hAnsi="Times New Roman" w:cs="Times New Roman"/>
          <w:sz w:val="24"/>
          <w:szCs w:val="24"/>
        </w:rPr>
        <w:t>)</w:t>
      </w:r>
      <w:proofErr w:type="gramEnd"/>
    </w:p>
    <w:p w:rsidR="005C3052" w:rsidRPr="005C3052" w:rsidRDefault="005C3052" w:rsidP="00D40380">
      <w:pPr>
        <w:spacing w:after="0" w:line="360" w:lineRule="auto"/>
        <w:ind w:right="1080"/>
        <w:rPr>
          <w:rFonts w:ascii="Times New Roman" w:eastAsia="Times New Roman" w:hAnsi="Times New Roman" w:cs="Times New Roman"/>
          <w:b/>
          <w:sz w:val="24"/>
          <w:szCs w:val="24"/>
        </w:rPr>
      </w:pPr>
    </w:p>
    <w:p w:rsidR="005C3052" w:rsidRPr="005C3052" w:rsidRDefault="005C3052" w:rsidP="00F32248">
      <w:pPr>
        <w:tabs>
          <w:tab w:val="left" w:pos="-720"/>
        </w:tabs>
        <w:suppressAutoHyphens/>
        <w:autoSpaceDE w:val="0"/>
        <w:autoSpaceDN w:val="0"/>
        <w:spacing w:after="0" w:line="360" w:lineRule="auto"/>
        <w:contextualSpacing/>
        <w:jc w:val="center"/>
        <w:rPr>
          <w:rFonts w:ascii="Times New Roman" w:eastAsia="Times New Roman" w:hAnsi="Times New Roman" w:cs="Times New Roman"/>
          <w:bCs/>
          <w:caps/>
          <w:sz w:val="24"/>
          <w:szCs w:val="24"/>
          <w:u w:val="single"/>
        </w:rPr>
      </w:pPr>
      <w:r w:rsidRPr="005C3052">
        <w:rPr>
          <w:rFonts w:ascii="Times New Roman" w:eastAsia="Times New Roman" w:hAnsi="Times New Roman" w:cs="Times New Roman"/>
          <w:bCs/>
          <w:sz w:val="24"/>
          <w:szCs w:val="24"/>
        </w:rPr>
        <w:t>V.</w:t>
      </w:r>
      <w:r w:rsidRPr="005C3052">
        <w:rPr>
          <w:rFonts w:ascii="Times New Roman" w:eastAsia="Times New Roman" w:hAnsi="Times New Roman" w:cs="Times New Roman"/>
          <w:bCs/>
          <w:sz w:val="24"/>
          <w:szCs w:val="24"/>
        </w:rPr>
        <w:tab/>
      </w:r>
      <w:r w:rsidRPr="005C3052">
        <w:rPr>
          <w:rFonts w:ascii="Times New Roman" w:eastAsia="Times New Roman" w:hAnsi="Times New Roman" w:cs="Times New Roman"/>
          <w:bCs/>
          <w:sz w:val="24"/>
          <w:szCs w:val="24"/>
          <w:u w:val="single"/>
        </w:rPr>
        <w:t>CONDITIONS OF SETTLEMENT</w:t>
      </w:r>
    </w:p>
    <w:p w:rsidR="005C3052" w:rsidRPr="005C3052" w:rsidRDefault="005C3052" w:rsidP="00D40380">
      <w:pPr>
        <w:spacing w:after="0" w:line="360" w:lineRule="auto"/>
        <w:rPr>
          <w:rFonts w:ascii="Times New Roman" w:eastAsia="Times New Roman" w:hAnsi="Times New Roman" w:cs="Times New Roman"/>
          <w:b/>
          <w:sz w:val="24"/>
          <w:szCs w:val="24"/>
        </w:rPr>
      </w:pPr>
    </w:p>
    <w:p w:rsidR="005C3052" w:rsidRDefault="005C3052" w:rsidP="00A11CB7">
      <w:pPr>
        <w:numPr>
          <w:ilvl w:val="0"/>
          <w:numId w:val="7"/>
        </w:numPr>
        <w:tabs>
          <w:tab w:val="left" w:pos="1440"/>
        </w:tabs>
        <w:spacing w:after="0" w:line="360" w:lineRule="auto"/>
        <w:ind w:firstLine="1440"/>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The Settling Parties have acknowledged and agreed that this Settlement</w:t>
      </w:r>
      <w:r w:rsidRPr="005C3052">
        <w:rPr>
          <w:rFonts w:ascii="Times New Roman" w:eastAsia="Times New Roman" w:hAnsi="Times New Roman" w:cs="Times New Roman"/>
          <w:b/>
          <w:sz w:val="24"/>
          <w:szCs w:val="24"/>
        </w:rPr>
        <w:t xml:space="preserve"> </w:t>
      </w:r>
      <w:r w:rsidRPr="005C3052">
        <w:rPr>
          <w:rFonts w:ascii="Times New Roman" w:eastAsia="Times New Roman" w:hAnsi="Times New Roman" w:cs="Times New Roman"/>
          <w:sz w:val="24"/>
          <w:szCs w:val="24"/>
        </w:rPr>
        <w:t xml:space="preserve">shall have the same force and effect as if the Parties had fully litigated this proceeding with regard to the historic period ended November 30, 2014. </w:t>
      </w:r>
      <w:r w:rsidR="00B50463">
        <w:rPr>
          <w:rFonts w:ascii="Times New Roman" w:eastAsia="Times New Roman" w:hAnsi="Times New Roman" w:cs="Times New Roman"/>
          <w:sz w:val="24"/>
          <w:szCs w:val="24"/>
        </w:rPr>
        <w:t>(</w:t>
      </w:r>
      <w:r w:rsidRPr="005C3052">
        <w:rPr>
          <w:rFonts w:ascii="Times New Roman" w:eastAsia="Times New Roman" w:hAnsi="Times New Roman" w:cs="Times New Roman"/>
          <w:sz w:val="24"/>
          <w:szCs w:val="24"/>
        </w:rPr>
        <w:t>Joint Petition, p. 14.</w:t>
      </w:r>
      <w:r w:rsidR="00B50463">
        <w:rPr>
          <w:rFonts w:ascii="Times New Roman" w:eastAsia="Times New Roman" w:hAnsi="Times New Roman" w:cs="Times New Roman"/>
          <w:sz w:val="24"/>
          <w:szCs w:val="24"/>
        </w:rPr>
        <w:t>)</w:t>
      </w:r>
    </w:p>
    <w:p w:rsidR="00D40380" w:rsidRPr="005C3052" w:rsidRDefault="00D40380" w:rsidP="00D40380">
      <w:pPr>
        <w:spacing w:after="0" w:line="360" w:lineRule="auto"/>
        <w:ind w:left="720"/>
        <w:rPr>
          <w:rFonts w:ascii="Times New Roman" w:eastAsia="Times New Roman" w:hAnsi="Times New Roman" w:cs="Times New Roman"/>
          <w:sz w:val="24"/>
          <w:szCs w:val="24"/>
        </w:rPr>
      </w:pPr>
    </w:p>
    <w:p w:rsidR="005C3052" w:rsidRDefault="005C3052" w:rsidP="00A11CB7">
      <w:pPr>
        <w:numPr>
          <w:ilvl w:val="0"/>
          <w:numId w:val="7"/>
        </w:numPr>
        <w:spacing w:after="0" w:line="360" w:lineRule="auto"/>
        <w:ind w:firstLine="1440"/>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The Parties have agreed that the Settlement is conditioned upon the Commission’s approval of terms and conditions contained herein without modification.  If the Commission modifies or fails to approve this Settlement, any Party may elect to withdraw from this Settlement and may proceed with litigation; and in such event, this Settlement shall be void and of no effect.  Such election to withdraw must be made in writing, filed with the Secretary of the Commission and served upon all Parties within five (5) business days after the entry of an order modifying the Settlement.</w:t>
      </w:r>
      <w:r w:rsidR="00A625FC">
        <w:rPr>
          <w:rFonts w:ascii="Times New Roman" w:eastAsia="Times New Roman" w:hAnsi="Times New Roman" w:cs="Times New Roman"/>
          <w:sz w:val="24"/>
          <w:szCs w:val="24"/>
        </w:rPr>
        <w:t xml:space="preserve"> </w:t>
      </w:r>
      <w:r w:rsidRPr="005C3052">
        <w:rPr>
          <w:rFonts w:ascii="Times New Roman" w:eastAsia="Times New Roman" w:hAnsi="Times New Roman" w:cs="Times New Roman"/>
          <w:sz w:val="24"/>
          <w:szCs w:val="24"/>
        </w:rPr>
        <w:t xml:space="preserve"> </w:t>
      </w:r>
      <w:r w:rsidR="00B50463">
        <w:rPr>
          <w:rFonts w:ascii="Times New Roman" w:eastAsia="Times New Roman" w:hAnsi="Times New Roman" w:cs="Times New Roman"/>
          <w:sz w:val="24"/>
          <w:szCs w:val="24"/>
        </w:rPr>
        <w:t>(</w:t>
      </w:r>
      <w:r w:rsidRPr="005C3052">
        <w:rPr>
          <w:rFonts w:ascii="Times New Roman" w:eastAsia="Times New Roman" w:hAnsi="Times New Roman" w:cs="Times New Roman"/>
          <w:sz w:val="24"/>
          <w:szCs w:val="24"/>
        </w:rPr>
        <w:t>Joint Petition, p. 15.</w:t>
      </w:r>
      <w:r w:rsidR="00B50463">
        <w:rPr>
          <w:rFonts w:ascii="Times New Roman" w:eastAsia="Times New Roman" w:hAnsi="Times New Roman" w:cs="Times New Roman"/>
          <w:sz w:val="24"/>
          <w:szCs w:val="24"/>
        </w:rPr>
        <w:t>)</w:t>
      </w:r>
    </w:p>
    <w:p w:rsidR="00D40380" w:rsidRPr="005C3052" w:rsidRDefault="00D40380" w:rsidP="00D40380">
      <w:pPr>
        <w:spacing w:after="0" w:line="360" w:lineRule="auto"/>
        <w:ind w:left="720"/>
        <w:rPr>
          <w:rFonts w:ascii="Times New Roman" w:eastAsia="Times New Roman" w:hAnsi="Times New Roman" w:cs="Times New Roman"/>
          <w:sz w:val="24"/>
          <w:szCs w:val="24"/>
        </w:rPr>
      </w:pPr>
    </w:p>
    <w:p w:rsidR="005C3052" w:rsidRDefault="005C3052" w:rsidP="00A11CB7">
      <w:pPr>
        <w:numPr>
          <w:ilvl w:val="0"/>
          <w:numId w:val="7"/>
        </w:numPr>
        <w:spacing w:after="0" w:line="360" w:lineRule="auto"/>
        <w:ind w:firstLine="1350"/>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 xml:space="preserve">The Parties have agreed that if the Commission does not approve the Settlement and the proceedings continue to hearings on the issues that are the subject of this Settlement, the Parties reserve their respective rights to present additional testimony and to conduct full cross-examination, briefing and argument on these subjects.  </w:t>
      </w:r>
      <w:r w:rsidR="00B50463">
        <w:rPr>
          <w:rFonts w:ascii="Times New Roman" w:eastAsia="Times New Roman" w:hAnsi="Times New Roman" w:cs="Times New Roman"/>
          <w:sz w:val="24"/>
          <w:szCs w:val="24"/>
        </w:rPr>
        <w:t>(</w:t>
      </w:r>
      <w:r w:rsidRPr="005C3052">
        <w:rPr>
          <w:rFonts w:ascii="Times New Roman" w:eastAsia="Times New Roman" w:hAnsi="Times New Roman" w:cs="Times New Roman"/>
          <w:sz w:val="24"/>
          <w:szCs w:val="24"/>
        </w:rPr>
        <w:t>Joint Petition, p. 15.</w:t>
      </w:r>
      <w:r w:rsidR="00B50463">
        <w:rPr>
          <w:rFonts w:ascii="Times New Roman" w:eastAsia="Times New Roman" w:hAnsi="Times New Roman" w:cs="Times New Roman"/>
          <w:sz w:val="24"/>
          <w:szCs w:val="24"/>
        </w:rPr>
        <w:t>)</w:t>
      </w:r>
    </w:p>
    <w:p w:rsidR="00D40380" w:rsidRPr="005C3052" w:rsidRDefault="00D40380" w:rsidP="00D40380">
      <w:pPr>
        <w:spacing w:after="0" w:line="360" w:lineRule="auto"/>
        <w:ind w:left="720"/>
        <w:rPr>
          <w:rFonts w:ascii="Times New Roman" w:eastAsia="Times New Roman" w:hAnsi="Times New Roman" w:cs="Times New Roman"/>
          <w:sz w:val="24"/>
          <w:szCs w:val="24"/>
        </w:rPr>
      </w:pPr>
    </w:p>
    <w:p w:rsidR="005C3052" w:rsidRDefault="005C3052" w:rsidP="00A11CB7">
      <w:pPr>
        <w:numPr>
          <w:ilvl w:val="0"/>
          <w:numId w:val="7"/>
        </w:numPr>
        <w:spacing w:after="0" w:line="360" w:lineRule="auto"/>
        <w:ind w:firstLine="1440"/>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 xml:space="preserve">The Parties have agreed that the Commission’s approval of this Settlement shall not be construed to represent approval of any Party’s position on any issue, except to the </w:t>
      </w:r>
      <w:r w:rsidRPr="005C3052">
        <w:rPr>
          <w:rFonts w:ascii="Times New Roman" w:eastAsia="Times New Roman" w:hAnsi="Times New Roman" w:cs="Times New Roman"/>
          <w:sz w:val="24"/>
          <w:szCs w:val="24"/>
        </w:rPr>
        <w:lastRenderedPageBreak/>
        <w:t xml:space="preserve">extent required to effectuate the terms and agreements of this Settlement in this and future proceedings involving Peoples TWP.  It is understood and agreed among the Parties that this Settlement is the result of compromise and does not necessarily represent the position(s) that would be advanced by any Party if this proceeding were fully litigated.  </w:t>
      </w:r>
      <w:r w:rsidR="00B50463">
        <w:rPr>
          <w:rFonts w:ascii="Times New Roman" w:eastAsia="Times New Roman" w:hAnsi="Times New Roman" w:cs="Times New Roman"/>
          <w:sz w:val="24"/>
          <w:szCs w:val="24"/>
        </w:rPr>
        <w:t>(</w:t>
      </w:r>
      <w:r w:rsidRPr="005C3052">
        <w:rPr>
          <w:rFonts w:ascii="Times New Roman" w:eastAsia="Times New Roman" w:hAnsi="Times New Roman" w:cs="Times New Roman"/>
          <w:sz w:val="24"/>
          <w:szCs w:val="24"/>
        </w:rPr>
        <w:t>Joint Petition, p. 15.</w:t>
      </w:r>
      <w:r w:rsidR="00B50463">
        <w:rPr>
          <w:rFonts w:ascii="Times New Roman" w:eastAsia="Times New Roman" w:hAnsi="Times New Roman" w:cs="Times New Roman"/>
          <w:sz w:val="24"/>
          <w:szCs w:val="24"/>
        </w:rPr>
        <w:t>)</w:t>
      </w:r>
    </w:p>
    <w:p w:rsidR="00D40380" w:rsidRPr="005C3052" w:rsidRDefault="00D40380" w:rsidP="00D40380">
      <w:pPr>
        <w:spacing w:after="0" w:line="360" w:lineRule="auto"/>
        <w:ind w:left="720"/>
        <w:rPr>
          <w:rFonts w:ascii="Times New Roman" w:eastAsia="Times New Roman" w:hAnsi="Times New Roman" w:cs="Times New Roman"/>
          <w:sz w:val="24"/>
          <w:szCs w:val="24"/>
        </w:rPr>
      </w:pPr>
    </w:p>
    <w:p w:rsidR="005C3052" w:rsidRDefault="005C3052" w:rsidP="00A11CB7">
      <w:pPr>
        <w:numPr>
          <w:ilvl w:val="0"/>
          <w:numId w:val="7"/>
        </w:numPr>
        <w:spacing w:after="0" w:line="360" w:lineRule="auto"/>
        <w:ind w:firstLine="1440"/>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 xml:space="preserve">The Parties have agreed that the Settlement is being presented only in the context of this Section 1307(f) proceeding in an effort to resolve outstanding issues in a manner which is fair and reasonable.  The Settlement is the product of compromise.  With the exception of matters identified in Section IV.A, </w:t>
      </w:r>
      <w:r w:rsidRPr="005C3052">
        <w:rPr>
          <w:rFonts w:ascii="Times New Roman" w:eastAsia="Times New Roman" w:hAnsi="Times New Roman" w:cs="Times New Roman"/>
          <w:i/>
          <w:sz w:val="24"/>
          <w:szCs w:val="24"/>
        </w:rPr>
        <w:t>supra</w:t>
      </w:r>
      <w:r w:rsidRPr="005C3052">
        <w:rPr>
          <w:rFonts w:ascii="Times New Roman" w:eastAsia="Times New Roman" w:hAnsi="Times New Roman" w:cs="Times New Roman"/>
          <w:sz w:val="24"/>
          <w:szCs w:val="24"/>
        </w:rPr>
        <w:t xml:space="preserve">, entitled “Historical Reconciliation Period and Standards”, with respect to the twelve-month period ended November 30, 2014, and Section II, </w:t>
      </w:r>
      <w:r w:rsidRPr="005C3052">
        <w:rPr>
          <w:rFonts w:ascii="Times New Roman" w:eastAsia="Times New Roman" w:hAnsi="Times New Roman" w:cs="Times New Roman"/>
          <w:i/>
          <w:sz w:val="24"/>
          <w:szCs w:val="24"/>
        </w:rPr>
        <w:t>supra</w:t>
      </w:r>
      <w:r w:rsidRPr="005C3052">
        <w:rPr>
          <w:rFonts w:ascii="Times New Roman" w:eastAsia="Times New Roman" w:hAnsi="Times New Roman" w:cs="Times New Roman"/>
          <w:sz w:val="24"/>
          <w:szCs w:val="24"/>
        </w:rPr>
        <w:t xml:space="preserve">, with respect to the twelve-month period beginning August 1, 2015, this Settlement is presented without prejudice to any position which any of the Parties may have advanced and without prejudice to the position any of the Parties may advance in the future on the merits of the issues in future proceedings.  Furthermore, the Settlement does not preclude the Parties from taking other positions in proceedings under Section 1307(f) concerning the recovery of purchased gas costs by other natural gas distribution companies. </w:t>
      </w:r>
      <w:r w:rsidR="00B50463">
        <w:rPr>
          <w:rFonts w:ascii="Times New Roman" w:eastAsia="Times New Roman" w:hAnsi="Times New Roman" w:cs="Times New Roman"/>
          <w:sz w:val="24"/>
          <w:szCs w:val="24"/>
        </w:rPr>
        <w:t xml:space="preserve"> (</w:t>
      </w:r>
      <w:r w:rsidRPr="005C3052">
        <w:rPr>
          <w:rFonts w:ascii="Times New Roman" w:eastAsia="Times New Roman" w:hAnsi="Times New Roman" w:cs="Times New Roman"/>
          <w:sz w:val="24"/>
          <w:szCs w:val="24"/>
        </w:rPr>
        <w:t>Joint Petition, pp. 15-16.</w:t>
      </w:r>
      <w:r w:rsidR="00B50463">
        <w:rPr>
          <w:rFonts w:ascii="Times New Roman" w:eastAsia="Times New Roman" w:hAnsi="Times New Roman" w:cs="Times New Roman"/>
          <w:sz w:val="24"/>
          <w:szCs w:val="24"/>
        </w:rPr>
        <w:t>)</w:t>
      </w:r>
    </w:p>
    <w:p w:rsidR="00D40380" w:rsidRPr="005C3052" w:rsidRDefault="00D40380" w:rsidP="00D40380">
      <w:pPr>
        <w:spacing w:after="0" w:line="360" w:lineRule="auto"/>
        <w:ind w:left="720"/>
        <w:rPr>
          <w:rFonts w:ascii="Times New Roman" w:eastAsia="Times New Roman" w:hAnsi="Times New Roman" w:cs="Times New Roman"/>
          <w:sz w:val="24"/>
          <w:szCs w:val="24"/>
        </w:rPr>
      </w:pPr>
    </w:p>
    <w:p w:rsidR="005C3052" w:rsidRDefault="005C3052" w:rsidP="00A11CB7">
      <w:pPr>
        <w:numPr>
          <w:ilvl w:val="0"/>
          <w:numId w:val="7"/>
        </w:numPr>
        <w:spacing w:after="0" w:line="360" w:lineRule="auto"/>
        <w:ind w:firstLine="1440"/>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 xml:space="preserve">The Parties have agreed that upon acceptance of this Settlement, the Commission will terminate its inquiry and investigation at Docket No. R-2014-2456648.  </w:t>
      </w:r>
      <w:r w:rsidR="00B50463">
        <w:rPr>
          <w:rFonts w:ascii="Times New Roman" w:eastAsia="Times New Roman" w:hAnsi="Times New Roman" w:cs="Times New Roman"/>
          <w:sz w:val="24"/>
          <w:szCs w:val="24"/>
        </w:rPr>
        <w:t>(</w:t>
      </w:r>
      <w:r w:rsidRPr="005C3052">
        <w:rPr>
          <w:rFonts w:ascii="Times New Roman" w:eastAsia="Times New Roman" w:hAnsi="Times New Roman" w:cs="Times New Roman"/>
          <w:sz w:val="24"/>
          <w:szCs w:val="24"/>
        </w:rPr>
        <w:t>Joint Petition, p. 16.</w:t>
      </w:r>
      <w:r w:rsidR="00B50463">
        <w:rPr>
          <w:rFonts w:ascii="Times New Roman" w:eastAsia="Times New Roman" w:hAnsi="Times New Roman" w:cs="Times New Roman"/>
          <w:sz w:val="24"/>
          <w:szCs w:val="24"/>
        </w:rPr>
        <w:t>)</w:t>
      </w:r>
    </w:p>
    <w:p w:rsidR="00D40380" w:rsidRPr="005C3052" w:rsidRDefault="00D40380" w:rsidP="00D40380">
      <w:pPr>
        <w:spacing w:after="0" w:line="360" w:lineRule="auto"/>
        <w:ind w:left="720"/>
        <w:rPr>
          <w:rFonts w:ascii="Times New Roman" w:eastAsia="Times New Roman" w:hAnsi="Times New Roman" w:cs="Times New Roman"/>
          <w:sz w:val="24"/>
          <w:szCs w:val="24"/>
        </w:rPr>
      </w:pPr>
    </w:p>
    <w:p w:rsidR="00963304" w:rsidRDefault="005C3052" w:rsidP="00963304">
      <w:pPr>
        <w:numPr>
          <w:ilvl w:val="0"/>
          <w:numId w:val="7"/>
        </w:numPr>
        <w:spacing w:after="0" w:line="360" w:lineRule="auto"/>
        <w:ind w:firstLine="1440"/>
        <w:rPr>
          <w:rFonts w:ascii="Times New Roman" w:eastAsia="Times New Roman" w:hAnsi="Times New Roman" w:cs="Times New Roman"/>
          <w:sz w:val="24"/>
          <w:szCs w:val="24"/>
        </w:rPr>
      </w:pPr>
      <w:r w:rsidRPr="006D3065">
        <w:rPr>
          <w:rFonts w:ascii="Times New Roman" w:eastAsia="Times New Roman" w:hAnsi="Times New Roman" w:cs="Times New Roman"/>
          <w:sz w:val="24"/>
          <w:szCs w:val="24"/>
        </w:rPr>
        <w:t xml:space="preserve">Peoples TWP, I&amp;E, OCA, and OSBA have prepared and attached to this Settlement, as Attachments “C” through “F,” respectively, Statements in Support setting forth the bases upon which they believe the Settlement is fair, just and reasonable and is, therefore, in the public interest.  </w:t>
      </w:r>
      <w:r w:rsidR="00702B3E">
        <w:rPr>
          <w:rFonts w:ascii="Times New Roman" w:eastAsia="Times New Roman" w:hAnsi="Times New Roman" w:cs="Times New Roman"/>
          <w:sz w:val="24"/>
          <w:szCs w:val="24"/>
        </w:rPr>
        <w:t>(</w:t>
      </w:r>
      <w:r w:rsidRPr="006D3065">
        <w:rPr>
          <w:rFonts w:ascii="Times New Roman" w:eastAsia="Times New Roman" w:hAnsi="Times New Roman" w:cs="Times New Roman"/>
          <w:sz w:val="24"/>
          <w:szCs w:val="24"/>
        </w:rPr>
        <w:t>Joint Petition, p. 16.</w:t>
      </w:r>
      <w:r w:rsidR="00702B3E">
        <w:rPr>
          <w:rFonts w:ascii="Times New Roman" w:eastAsia="Times New Roman" w:hAnsi="Times New Roman" w:cs="Times New Roman"/>
          <w:sz w:val="24"/>
          <w:szCs w:val="24"/>
        </w:rPr>
        <w:t>)</w:t>
      </w:r>
    </w:p>
    <w:p w:rsidR="00963304" w:rsidRDefault="00963304" w:rsidP="00963304">
      <w:pPr>
        <w:spacing w:after="0" w:line="360" w:lineRule="auto"/>
        <w:rPr>
          <w:rFonts w:ascii="Times New Roman" w:eastAsia="Times New Roman" w:hAnsi="Times New Roman" w:cs="Times New Roman"/>
          <w:sz w:val="24"/>
          <w:szCs w:val="24"/>
        </w:rPr>
      </w:pPr>
    </w:p>
    <w:p w:rsidR="003E2585" w:rsidRDefault="003E2585" w:rsidP="00963304">
      <w:pPr>
        <w:spacing w:after="0" w:line="360" w:lineRule="auto"/>
        <w:rPr>
          <w:rFonts w:ascii="Times New Roman" w:eastAsia="Times New Roman" w:hAnsi="Times New Roman" w:cs="Times New Roman"/>
          <w:sz w:val="24"/>
          <w:szCs w:val="24"/>
        </w:rPr>
      </w:pPr>
    </w:p>
    <w:p w:rsidR="003E2585" w:rsidRDefault="003E2585" w:rsidP="00963304">
      <w:pPr>
        <w:spacing w:after="0" w:line="360" w:lineRule="auto"/>
        <w:rPr>
          <w:rFonts w:ascii="Times New Roman" w:eastAsia="Times New Roman" w:hAnsi="Times New Roman" w:cs="Times New Roman"/>
          <w:sz w:val="24"/>
          <w:szCs w:val="24"/>
        </w:rPr>
      </w:pPr>
    </w:p>
    <w:p w:rsidR="003E2585" w:rsidRDefault="003E2585" w:rsidP="00963304">
      <w:pPr>
        <w:spacing w:after="0" w:line="360" w:lineRule="auto"/>
        <w:rPr>
          <w:rFonts w:ascii="Times New Roman" w:eastAsia="Times New Roman" w:hAnsi="Times New Roman" w:cs="Times New Roman"/>
          <w:sz w:val="24"/>
          <w:szCs w:val="24"/>
        </w:rPr>
      </w:pPr>
    </w:p>
    <w:p w:rsidR="003E2585" w:rsidRDefault="003E2585" w:rsidP="00963304">
      <w:pPr>
        <w:spacing w:after="0" w:line="360" w:lineRule="auto"/>
        <w:rPr>
          <w:rFonts w:ascii="Times New Roman" w:eastAsia="Times New Roman" w:hAnsi="Times New Roman" w:cs="Times New Roman"/>
          <w:sz w:val="24"/>
          <w:szCs w:val="24"/>
        </w:rPr>
      </w:pPr>
    </w:p>
    <w:p w:rsidR="003E2585" w:rsidRDefault="003E2585" w:rsidP="00963304">
      <w:pPr>
        <w:spacing w:after="0" w:line="360" w:lineRule="auto"/>
        <w:rPr>
          <w:rFonts w:ascii="Times New Roman" w:eastAsia="Times New Roman" w:hAnsi="Times New Roman" w:cs="Times New Roman"/>
          <w:sz w:val="24"/>
          <w:szCs w:val="24"/>
        </w:rPr>
      </w:pPr>
    </w:p>
    <w:p w:rsidR="005C3052" w:rsidRPr="005C3052" w:rsidRDefault="005C3052" w:rsidP="00F32248">
      <w:pPr>
        <w:spacing w:after="0" w:line="360" w:lineRule="auto"/>
        <w:jc w:val="center"/>
        <w:rPr>
          <w:rFonts w:ascii="Times New Roman" w:eastAsia="Times New Roman" w:hAnsi="Times New Roman" w:cs="Times New Roman"/>
          <w:sz w:val="24"/>
          <w:szCs w:val="24"/>
          <w:u w:val="single"/>
        </w:rPr>
      </w:pPr>
      <w:r w:rsidRPr="005C3052">
        <w:rPr>
          <w:rFonts w:ascii="Times New Roman" w:eastAsia="Times New Roman" w:hAnsi="Times New Roman" w:cs="Times New Roman"/>
          <w:sz w:val="24"/>
          <w:szCs w:val="24"/>
        </w:rPr>
        <w:lastRenderedPageBreak/>
        <w:t>VI.</w:t>
      </w:r>
      <w:r w:rsidRPr="005C3052">
        <w:rPr>
          <w:rFonts w:ascii="Times New Roman" w:eastAsia="Times New Roman" w:hAnsi="Times New Roman" w:cs="Times New Roman"/>
          <w:sz w:val="24"/>
          <w:szCs w:val="24"/>
        </w:rPr>
        <w:tab/>
      </w:r>
      <w:r w:rsidRPr="005C3052">
        <w:rPr>
          <w:rFonts w:ascii="Times New Roman" w:eastAsia="Times New Roman" w:hAnsi="Times New Roman" w:cs="Times New Roman"/>
          <w:sz w:val="24"/>
          <w:szCs w:val="24"/>
          <w:u w:val="single"/>
        </w:rPr>
        <w:t>DISCUSSION</w:t>
      </w:r>
    </w:p>
    <w:p w:rsidR="005C3052" w:rsidRPr="005C3052" w:rsidRDefault="005C3052" w:rsidP="00D40380">
      <w:pPr>
        <w:spacing w:after="0" w:line="360" w:lineRule="auto"/>
        <w:rPr>
          <w:rFonts w:ascii="Times New Roman" w:eastAsia="Times New Roman" w:hAnsi="Times New Roman" w:cs="Times New Roman"/>
          <w:sz w:val="24"/>
          <w:szCs w:val="24"/>
          <w:u w:val="single"/>
        </w:rPr>
      </w:pPr>
    </w:p>
    <w:p w:rsidR="005C3052" w:rsidRPr="005C3052" w:rsidRDefault="005C3052" w:rsidP="00D40380">
      <w:pPr>
        <w:spacing w:after="0" w:line="360" w:lineRule="auto"/>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A.</w:t>
      </w:r>
      <w:r w:rsidRPr="005C3052">
        <w:rPr>
          <w:rFonts w:ascii="Times New Roman" w:eastAsia="Times New Roman" w:hAnsi="Times New Roman" w:cs="Times New Roman"/>
          <w:sz w:val="24"/>
          <w:szCs w:val="24"/>
        </w:rPr>
        <w:tab/>
      </w:r>
      <w:r w:rsidRPr="00A625FC">
        <w:rPr>
          <w:rFonts w:ascii="Times New Roman" w:eastAsia="Times New Roman" w:hAnsi="Times New Roman" w:cs="Times New Roman"/>
          <w:sz w:val="24"/>
          <w:szCs w:val="24"/>
          <w:u w:val="single"/>
        </w:rPr>
        <w:t>Applicable Legal Principles</w:t>
      </w:r>
    </w:p>
    <w:p w:rsidR="005C3052" w:rsidRPr="005C3052" w:rsidRDefault="005C3052" w:rsidP="00D40380">
      <w:pPr>
        <w:spacing w:after="0" w:line="360" w:lineRule="auto"/>
        <w:rPr>
          <w:rFonts w:ascii="Times New Roman" w:eastAsia="Times New Roman" w:hAnsi="Times New Roman" w:cs="Times New Roman"/>
          <w:b/>
          <w:sz w:val="24"/>
          <w:szCs w:val="24"/>
        </w:rPr>
      </w:pPr>
    </w:p>
    <w:p w:rsidR="005C3052" w:rsidRPr="005C3052" w:rsidRDefault="005C3052" w:rsidP="00D40380">
      <w:pPr>
        <w:spacing w:after="0" w:line="360" w:lineRule="auto"/>
        <w:rPr>
          <w:rFonts w:ascii="Times New Roman" w:eastAsia="Times New Roman" w:hAnsi="Times New Roman" w:cs="Times New Roman"/>
          <w:sz w:val="24"/>
          <w:szCs w:val="24"/>
        </w:rPr>
      </w:pPr>
      <w:r w:rsidRPr="005C3052">
        <w:rPr>
          <w:rFonts w:ascii="Times New Roman" w:eastAsia="Times New Roman" w:hAnsi="Times New Roman" w:cs="Times New Roman"/>
          <w:b/>
          <w:sz w:val="24"/>
          <w:szCs w:val="24"/>
        </w:rPr>
        <w:tab/>
      </w:r>
      <w:r w:rsidRPr="005C3052">
        <w:rPr>
          <w:rFonts w:ascii="Times New Roman" w:eastAsia="Times New Roman" w:hAnsi="Times New Roman" w:cs="Times New Roman"/>
          <w:b/>
          <w:sz w:val="24"/>
          <w:szCs w:val="24"/>
        </w:rPr>
        <w:tab/>
      </w:r>
      <w:r w:rsidRPr="005C3052">
        <w:rPr>
          <w:rFonts w:ascii="Times New Roman" w:eastAsia="Times New Roman" w:hAnsi="Times New Roman" w:cs="Times New Roman"/>
          <w:sz w:val="24"/>
          <w:szCs w:val="24"/>
        </w:rPr>
        <w:t>The Commission encourages parties in contested on-the-record proceedings to settle cases.  See 52 Pa.Code § 5.231.  Settlements eliminate the time, effort and expense of litigating a matter to its ultimate conclusion, which may entail review of the Commission’s decision by the appellate courts of Pennsylvania.  Such savings benefit not only the individual parties, but also the Commission and all ratepayers of a utility, who otherwise may have to bear the financial burden such litigation necessarily imposes.</w:t>
      </w:r>
    </w:p>
    <w:p w:rsidR="005C3052" w:rsidRPr="005C3052" w:rsidRDefault="005C3052" w:rsidP="00106CD6">
      <w:pPr>
        <w:spacing w:after="0" w:line="360" w:lineRule="auto"/>
        <w:rPr>
          <w:rFonts w:ascii="Times New Roman" w:eastAsia="Times New Roman" w:hAnsi="Times New Roman" w:cs="Times New Roman"/>
          <w:sz w:val="24"/>
          <w:szCs w:val="24"/>
        </w:rPr>
      </w:pPr>
    </w:p>
    <w:p w:rsidR="005C3052" w:rsidRPr="005C3052" w:rsidRDefault="005C3052" w:rsidP="00106CD6">
      <w:pPr>
        <w:spacing w:after="0" w:line="360" w:lineRule="auto"/>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ab/>
      </w:r>
      <w:r w:rsidRPr="005C3052">
        <w:rPr>
          <w:rFonts w:ascii="Times New Roman" w:eastAsia="Times New Roman" w:hAnsi="Times New Roman" w:cs="Times New Roman"/>
          <w:sz w:val="24"/>
          <w:szCs w:val="24"/>
        </w:rPr>
        <w:tab/>
        <w:t xml:space="preserve">By definition, a “settlement” reflects a compromise of the parties’ positions and arguably fosters and promotes the public interest.  When parties in a proceeding reach a settlement, the principal issue for Commission consideration is whether the agreement reached suits the public interest.  </w:t>
      </w:r>
      <w:r w:rsidRPr="005C3052">
        <w:rPr>
          <w:rFonts w:ascii="Times New Roman" w:eastAsia="Times New Roman" w:hAnsi="Times New Roman" w:cs="Times New Roman"/>
          <w:i/>
          <w:sz w:val="24"/>
          <w:szCs w:val="24"/>
        </w:rPr>
        <w:t xml:space="preserve">Pa. Pub. </w:t>
      </w:r>
      <w:proofErr w:type="gramStart"/>
      <w:r w:rsidRPr="005C3052">
        <w:rPr>
          <w:rFonts w:ascii="Times New Roman" w:eastAsia="Times New Roman" w:hAnsi="Times New Roman" w:cs="Times New Roman"/>
          <w:i/>
          <w:sz w:val="24"/>
          <w:szCs w:val="24"/>
        </w:rPr>
        <w:t>Util. Comm’n v. C.S. Water and Sewer Associates</w:t>
      </w:r>
      <w:r w:rsidRPr="005C3052">
        <w:rPr>
          <w:rFonts w:ascii="Times New Roman" w:eastAsia="Times New Roman" w:hAnsi="Times New Roman" w:cs="Times New Roman"/>
          <w:sz w:val="24"/>
          <w:szCs w:val="24"/>
        </w:rPr>
        <w:t>, 74 Pa. PUC 767 (1991).</w:t>
      </w:r>
      <w:proofErr w:type="gramEnd"/>
      <w:r w:rsidRPr="005C3052">
        <w:rPr>
          <w:rFonts w:ascii="Times New Roman" w:eastAsia="Times New Roman" w:hAnsi="Times New Roman" w:cs="Times New Roman"/>
          <w:sz w:val="24"/>
          <w:szCs w:val="24"/>
        </w:rPr>
        <w:t xml:space="preserve"> </w:t>
      </w:r>
    </w:p>
    <w:p w:rsidR="005C3052" w:rsidRPr="005C3052" w:rsidRDefault="005C3052" w:rsidP="00106CD6">
      <w:pPr>
        <w:spacing w:after="0" w:line="360" w:lineRule="auto"/>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 xml:space="preserve"> </w:t>
      </w:r>
    </w:p>
    <w:p w:rsidR="005C3052" w:rsidRPr="005C3052" w:rsidRDefault="005C3052" w:rsidP="005A0617">
      <w:pPr>
        <w:spacing w:after="0" w:line="360" w:lineRule="auto"/>
        <w:rPr>
          <w:rFonts w:ascii="Times New Roman" w:eastAsia="Times New Roman" w:hAnsi="Times New Roman" w:cs="Times New Roman"/>
          <w:sz w:val="24"/>
          <w:szCs w:val="24"/>
        </w:rPr>
      </w:pPr>
      <w:r w:rsidRPr="005C3052">
        <w:rPr>
          <w:rFonts w:ascii="Times New Roman" w:eastAsia="Times New Roman" w:hAnsi="Times New Roman" w:cs="Times New Roman"/>
          <w:sz w:val="24"/>
          <w:szCs w:val="24"/>
        </w:rPr>
        <w:t>B.</w:t>
      </w:r>
      <w:r w:rsidRPr="005C3052">
        <w:rPr>
          <w:rFonts w:ascii="Times New Roman" w:eastAsia="Times New Roman" w:hAnsi="Times New Roman" w:cs="Times New Roman"/>
          <w:sz w:val="24"/>
          <w:szCs w:val="24"/>
        </w:rPr>
        <w:tab/>
      </w:r>
      <w:r w:rsidRPr="005C3052">
        <w:rPr>
          <w:rFonts w:ascii="Times New Roman" w:eastAsia="Times New Roman" w:hAnsi="Times New Roman" w:cs="Times New Roman"/>
          <w:sz w:val="24"/>
          <w:szCs w:val="24"/>
          <w:u w:val="single"/>
        </w:rPr>
        <w:t>Statements of the Parties in Support of the Settlement</w:t>
      </w:r>
    </w:p>
    <w:p w:rsidR="005C3052" w:rsidRPr="005C3052" w:rsidRDefault="005C3052" w:rsidP="005A0617">
      <w:pPr>
        <w:spacing w:after="0" w:line="360" w:lineRule="auto"/>
        <w:rPr>
          <w:rFonts w:ascii="Times New Roman" w:eastAsia="Times New Roman" w:hAnsi="Times New Roman" w:cs="Times New Roman"/>
          <w:sz w:val="24"/>
          <w:szCs w:val="24"/>
        </w:rPr>
      </w:pPr>
    </w:p>
    <w:p w:rsidR="008B36F0" w:rsidRDefault="005C3052" w:rsidP="008B36F0">
      <w:pPr>
        <w:spacing w:after="0" w:line="360" w:lineRule="auto"/>
        <w:rPr>
          <w:rFonts w:ascii="Times New Roman" w:hAnsi="Times New Roman" w:cs="Times New Roman"/>
          <w:sz w:val="24"/>
          <w:szCs w:val="24"/>
        </w:rPr>
      </w:pPr>
      <w:r w:rsidRPr="005C3052">
        <w:rPr>
          <w:rFonts w:ascii="Times New Roman" w:eastAsia="Times New Roman" w:hAnsi="Times New Roman" w:cs="Times New Roman"/>
          <w:sz w:val="24"/>
          <w:szCs w:val="24"/>
        </w:rPr>
        <w:tab/>
      </w:r>
      <w:r w:rsidRPr="005C3052">
        <w:rPr>
          <w:rFonts w:ascii="Times New Roman" w:eastAsia="Times New Roman" w:hAnsi="Times New Roman" w:cs="Times New Roman"/>
          <w:sz w:val="24"/>
          <w:szCs w:val="24"/>
        </w:rPr>
        <w:tab/>
        <w:t xml:space="preserve">For the Commission’s consideration, the Parties submitted separate Statements in Support of the Settlement Petition.  In their supporting statements, Peoples TWP, I&amp;E, OCA, and OSBA conclude, after extensive discovery and discussion, that the Settlement resolves all contested issues in this case, it fairly balances the interests of Peoples TWP and its ratepayers, it is in the public interest and it should be approved.  Noting there is no opposition to the Settlement, the Parties submit that the Settlement is in the public interest.  </w:t>
      </w:r>
      <w:r w:rsidR="008B36F0" w:rsidRPr="008B36F0">
        <w:rPr>
          <w:rFonts w:ascii="Times New Roman" w:hAnsi="Times New Roman" w:cs="Times New Roman"/>
          <w:sz w:val="24"/>
          <w:szCs w:val="24"/>
        </w:rPr>
        <w:t xml:space="preserve">Several issues were raised by the Settling Parties to the proceeding and are resolved in the Settlement.  </w:t>
      </w:r>
      <w:r w:rsidR="008B36F0" w:rsidRPr="008B36F0">
        <w:rPr>
          <w:rFonts w:ascii="Times New Roman" w:hAnsi="Times New Roman" w:cs="Times New Roman"/>
          <w:color w:val="000000"/>
          <w:sz w:val="24"/>
          <w:szCs w:val="24"/>
        </w:rPr>
        <w:t xml:space="preserve">In order to accept a settlement, the Commission must first determine that the proposed terms and conditions are in the public interest.  </w:t>
      </w:r>
      <w:r w:rsidR="008B36F0" w:rsidRPr="008B36F0">
        <w:rPr>
          <w:rFonts w:ascii="Times New Roman" w:hAnsi="Times New Roman" w:cs="Times New Roman"/>
          <w:i/>
          <w:color w:val="000000"/>
          <w:sz w:val="24"/>
          <w:szCs w:val="24"/>
        </w:rPr>
        <w:t>Pa. Pub. Util. Comm’n v. York Water Co.</w:t>
      </w:r>
      <w:r w:rsidR="008B36F0" w:rsidRPr="008B36F0">
        <w:rPr>
          <w:rFonts w:ascii="Times New Roman" w:hAnsi="Times New Roman" w:cs="Times New Roman"/>
          <w:color w:val="000000"/>
          <w:sz w:val="24"/>
          <w:szCs w:val="24"/>
        </w:rPr>
        <w:t xml:space="preserve">, Docket No. R-00049165 (Order entered Oct. 4, 2004); </w:t>
      </w:r>
      <w:r w:rsidR="008B36F0" w:rsidRPr="008B36F0">
        <w:rPr>
          <w:rFonts w:ascii="Times New Roman" w:hAnsi="Times New Roman" w:cs="Times New Roman"/>
          <w:i/>
          <w:color w:val="000000"/>
          <w:sz w:val="24"/>
          <w:szCs w:val="24"/>
        </w:rPr>
        <w:t>Pa. Pub. Util. Comm’n v. C.S. Water and Sewer Associates</w:t>
      </w:r>
      <w:r w:rsidR="008B36F0" w:rsidRPr="008B36F0">
        <w:rPr>
          <w:rFonts w:ascii="Times New Roman" w:hAnsi="Times New Roman" w:cs="Times New Roman"/>
          <w:color w:val="000000"/>
          <w:sz w:val="24"/>
          <w:szCs w:val="24"/>
        </w:rPr>
        <w:t xml:space="preserve">, 74 Pa. PUC 767 (1991). </w:t>
      </w:r>
      <w:r w:rsidR="008B36F0">
        <w:rPr>
          <w:rFonts w:ascii="Times New Roman" w:hAnsi="Times New Roman" w:cs="Times New Roman"/>
          <w:color w:val="000000"/>
          <w:sz w:val="24"/>
          <w:szCs w:val="24"/>
        </w:rPr>
        <w:t xml:space="preserve"> </w:t>
      </w:r>
      <w:r w:rsidR="008B36F0" w:rsidRPr="008B36F0">
        <w:rPr>
          <w:rFonts w:ascii="Times New Roman" w:hAnsi="Times New Roman" w:cs="Times New Roman"/>
          <w:sz w:val="24"/>
          <w:szCs w:val="24"/>
        </w:rPr>
        <w:t xml:space="preserve">In support of this position, the Parties submit that the Settlement satisfactorily resolves all issues raised by the Parties in this proceeding and thereby avoids further litigation </w:t>
      </w:r>
      <w:r w:rsidR="008B36F0" w:rsidRPr="008B36F0">
        <w:rPr>
          <w:rFonts w:ascii="Times New Roman" w:hAnsi="Times New Roman" w:cs="Times New Roman"/>
          <w:sz w:val="24"/>
          <w:szCs w:val="24"/>
        </w:rPr>
        <w:lastRenderedPageBreak/>
        <w:t>expense and that the Settlement establishes purchased gas rates that will be consistent with a least cost fuel procurement policy in accordance with the standards set forth in the Public Utility Code.  Their positions are summarized below.</w:t>
      </w:r>
    </w:p>
    <w:p w:rsidR="00783AC1" w:rsidRDefault="00783AC1" w:rsidP="008B36F0">
      <w:pPr>
        <w:spacing w:after="0" w:line="360" w:lineRule="auto"/>
        <w:rPr>
          <w:rFonts w:ascii="Times New Roman" w:hAnsi="Times New Roman" w:cs="Times New Roman"/>
          <w:sz w:val="24"/>
          <w:szCs w:val="24"/>
        </w:rPr>
      </w:pPr>
    </w:p>
    <w:p w:rsidR="00830D94" w:rsidRPr="00830D94" w:rsidRDefault="00737622" w:rsidP="00737622">
      <w:pPr>
        <w:spacing w:after="0" w:line="360" w:lineRule="auto"/>
        <w:rPr>
          <w:rFonts w:ascii="Times New Roman" w:hAnsi="Times New Roman" w:cs="Times New Roman"/>
          <w:sz w:val="24"/>
          <w:szCs w:val="24"/>
          <w:u w:val="single"/>
        </w:rPr>
      </w:pPr>
      <w:r>
        <w:rPr>
          <w:rFonts w:ascii="Times New Roman" w:hAnsi="Times New Roman" w:cs="Times New Roman"/>
          <w:sz w:val="24"/>
          <w:szCs w:val="24"/>
        </w:rPr>
        <w:t>C.</w:t>
      </w:r>
      <w:r>
        <w:rPr>
          <w:rFonts w:ascii="Times New Roman" w:hAnsi="Times New Roman" w:cs="Times New Roman"/>
          <w:sz w:val="24"/>
          <w:szCs w:val="24"/>
        </w:rPr>
        <w:tab/>
      </w:r>
      <w:r w:rsidR="00830D94" w:rsidRPr="00830D94">
        <w:rPr>
          <w:rFonts w:ascii="Times New Roman" w:hAnsi="Times New Roman" w:cs="Times New Roman"/>
          <w:sz w:val="24"/>
          <w:szCs w:val="24"/>
          <w:u w:val="single"/>
        </w:rPr>
        <w:t>Retainage</w:t>
      </w:r>
    </w:p>
    <w:p w:rsidR="00830D94" w:rsidRPr="00830D94" w:rsidRDefault="00830D94" w:rsidP="00830D94">
      <w:pPr>
        <w:spacing w:after="0" w:line="360" w:lineRule="auto"/>
        <w:ind w:firstLine="720"/>
        <w:rPr>
          <w:rFonts w:ascii="Times New Roman" w:hAnsi="Times New Roman" w:cs="Times New Roman"/>
          <w:sz w:val="24"/>
          <w:szCs w:val="24"/>
          <w:u w:val="single"/>
        </w:rPr>
      </w:pPr>
    </w:p>
    <w:p w:rsidR="00830D94" w:rsidRPr="00830D94" w:rsidRDefault="00737622" w:rsidP="00AD7CD1">
      <w:pPr>
        <w:spacing w:after="0" w:line="360" w:lineRule="auto"/>
        <w:ind w:firstLine="720"/>
        <w:contextualSpacing/>
        <w:rPr>
          <w:rFonts w:ascii="Times New Roman" w:eastAsia="Times New Roman" w:hAnsi="Times New Roman" w:cs="Times New Roman"/>
          <w:sz w:val="24"/>
          <w:szCs w:val="24"/>
          <w:u w:val="single"/>
        </w:rPr>
      </w:pPr>
      <w:r w:rsidRPr="00737622">
        <w:rPr>
          <w:rFonts w:ascii="Times New Roman" w:eastAsia="Times New Roman" w:hAnsi="Times New Roman" w:cs="Times New Roman"/>
          <w:sz w:val="24"/>
          <w:szCs w:val="24"/>
        </w:rPr>
        <w:t>1.</w:t>
      </w:r>
      <w:r w:rsidRPr="00737622">
        <w:rPr>
          <w:rFonts w:ascii="Times New Roman" w:eastAsia="Times New Roman" w:hAnsi="Times New Roman" w:cs="Times New Roman"/>
          <w:sz w:val="24"/>
          <w:szCs w:val="24"/>
        </w:rPr>
        <w:tab/>
      </w:r>
      <w:r w:rsidR="00830D94" w:rsidRPr="00830D94">
        <w:rPr>
          <w:rFonts w:ascii="Times New Roman" w:eastAsia="Times New Roman" w:hAnsi="Times New Roman" w:cs="Times New Roman"/>
          <w:sz w:val="24"/>
          <w:szCs w:val="24"/>
          <w:u w:val="single"/>
        </w:rPr>
        <w:t>Peoples TWP’s Position</w:t>
      </w:r>
    </w:p>
    <w:p w:rsidR="00830D94" w:rsidRPr="00830D94" w:rsidRDefault="00830D94" w:rsidP="00830D94">
      <w:pPr>
        <w:spacing w:after="0" w:line="360" w:lineRule="auto"/>
        <w:ind w:firstLine="720"/>
        <w:rPr>
          <w:rFonts w:ascii="Times New Roman" w:eastAsia="Times New Roman" w:hAnsi="Times New Roman" w:cs="Times New Roman"/>
          <w:b/>
          <w:sz w:val="24"/>
          <w:szCs w:val="24"/>
        </w:rPr>
      </w:pPr>
    </w:p>
    <w:p w:rsidR="00830D94" w:rsidRDefault="00AB0936" w:rsidP="00AB0936">
      <w:pPr>
        <w:tabs>
          <w:tab w:val="left" w:pos="720"/>
          <w:tab w:val="left" w:pos="1440"/>
        </w:tabs>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30D94" w:rsidRPr="00830D94">
        <w:rPr>
          <w:rFonts w:ascii="Times New Roman" w:eastAsia="Times New Roman" w:hAnsi="Times New Roman" w:cs="Times New Roman"/>
          <w:sz w:val="24"/>
          <w:szCs w:val="24"/>
        </w:rPr>
        <w:t xml:space="preserve">Peoples TWP explains that Natural gas distribution companies (NGDCs) experience a difference between the volume of gas metered at the city gate and the volume of gas metered at the customer burner tip, which is generally referred to as lost and unaccounted for gas (LUFG).  </w:t>
      </w:r>
      <w:r w:rsidR="00463B6C">
        <w:rPr>
          <w:rFonts w:ascii="Times New Roman" w:eastAsia="Times New Roman" w:hAnsi="Times New Roman" w:cs="Times New Roman"/>
          <w:sz w:val="24"/>
          <w:szCs w:val="24"/>
        </w:rPr>
        <w:t>(</w:t>
      </w:r>
      <w:r w:rsidR="00830D94" w:rsidRPr="00830D94">
        <w:rPr>
          <w:rFonts w:ascii="Times New Roman" w:eastAsia="Times New Roman" w:hAnsi="Times New Roman" w:cs="Times New Roman"/>
          <w:sz w:val="24"/>
          <w:szCs w:val="24"/>
        </w:rPr>
        <w:t>OSBA Statement No. 1, p. 10.  Peoples TWP Statement in Support, p.3.</w:t>
      </w:r>
      <w:r w:rsidR="00463B6C">
        <w:rPr>
          <w:rFonts w:ascii="Times New Roman" w:eastAsia="Times New Roman" w:hAnsi="Times New Roman" w:cs="Times New Roman"/>
          <w:sz w:val="24"/>
          <w:szCs w:val="24"/>
        </w:rPr>
        <w:t>)</w:t>
      </w:r>
      <w:r w:rsidR="00830D94" w:rsidRPr="00830D94">
        <w:rPr>
          <w:rFonts w:ascii="Times New Roman" w:eastAsia="Times New Roman" w:hAnsi="Times New Roman" w:cs="Times New Roman"/>
          <w:sz w:val="24"/>
          <w:szCs w:val="24"/>
        </w:rPr>
        <w:t xml:space="preserve">  In addition to LUFG, the NGDC also will consume some of the gas delivered to its city gate as part of its operations, which is referred to as company use (CU) gas.  </w:t>
      </w:r>
      <w:r w:rsidR="001576C9">
        <w:rPr>
          <w:rFonts w:ascii="Times New Roman" w:eastAsia="Times New Roman" w:hAnsi="Times New Roman" w:cs="Times New Roman"/>
          <w:sz w:val="24"/>
          <w:szCs w:val="24"/>
        </w:rPr>
        <w:t>(</w:t>
      </w:r>
      <w:r w:rsidR="00830D94" w:rsidRPr="00830D94">
        <w:rPr>
          <w:rFonts w:ascii="Times New Roman" w:eastAsia="Times New Roman" w:hAnsi="Times New Roman" w:cs="Times New Roman"/>
          <w:sz w:val="24"/>
          <w:szCs w:val="24"/>
        </w:rPr>
        <w:t xml:space="preserve">OSBA Statement No. 1, p. 10.  </w:t>
      </w:r>
      <w:r w:rsidR="002347A6">
        <w:rPr>
          <w:rFonts w:ascii="Times New Roman" w:eastAsia="Times New Roman" w:hAnsi="Times New Roman" w:cs="Times New Roman"/>
          <w:sz w:val="24"/>
          <w:szCs w:val="24"/>
        </w:rPr>
        <w:t>Peoples TWP</w:t>
      </w:r>
      <w:r w:rsidR="00830D94" w:rsidRPr="00830D94">
        <w:rPr>
          <w:rFonts w:ascii="Times New Roman" w:eastAsia="Times New Roman" w:hAnsi="Times New Roman" w:cs="Times New Roman"/>
          <w:sz w:val="24"/>
          <w:szCs w:val="24"/>
        </w:rPr>
        <w:t xml:space="preserve"> Statement in Support, p.3.</w:t>
      </w:r>
      <w:r w:rsidR="001576C9">
        <w:rPr>
          <w:rFonts w:ascii="Times New Roman" w:eastAsia="Times New Roman" w:hAnsi="Times New Roman" w:cs="Times New Roman"/>
          <w:sz w:val="24"/>
          <w:szCs w:val="24"/>
        </w:rPr>
        <w:t>)</w:t>
      </w:r>
      <w:r w:rsidR="00830D94" w:rsidRPr="00830D94">
        <w:rPr>
          <w:rFonts w:ascii="Times New Roman" w:eastAsia="Times New Roman" w:hAnsi="Times New Roman" w:cs="Times New Roman"/>
          <w:sz w:val="24"/>
          <w:szCs w:val="24"/>
        </w:rPr>
        <w:t xml:space="preserve">  The Company explains that sales customers pay for the LUFG and CU through their PGC charges, which reflect the actual costs for gas delivered and actual volume of gas consumed.  </w:t>
      </w:r>
      <w:r w:rsidR="001576C9">
        <w:rPr>
          <w:rFonts w:ascii="Times New Roman" w:eastAsia="Times New Roman" w:hAnsi="Times New Roman" w:cs="Times New Roman"/>
          <w:sz w:val="24"/>
          <w:szCs w:val="24"/>
        </w:rPr>
        <w:t>(</w:t>
      </w:r>
      <w:r w:rsidR="00830D94" w:rsidRPr="00830D94">
        <w:rPr>
          <w:rFonts w:ascii="Times New Roman" w:eastAsia="Times New Roman" w:hAnsi="Times New Roman" w:cs="Times New Roman"/>
          <w:sz w:val="24"/>
          <w:szCs w:val="24"/>
        </w:rPr>
        <w:t xml:space="preserve">OSBA Statement No. 1, p. 10.  </w:t>
      </w:r>
      <w:r w:rsidR="002347A6">
        <w:rPr>
          <w:rFonts w:ascii="Times New Roman" w:eastAsia="Times New Roman" w:hAnsi="Times New Roman" w:cs="Times New Roman"/>
          <w:sz w:val="24"/>
          <w:szCs w:val="24"/>
        </w:rPr>
        <w:t>Peoples TWP</w:t>
      </w:r>
      <w:r w:rsidR="00830D94" w:rsidRPr="00830D94">
        <w:rPr>
          <w:rFonts w:ascii="Times New Roman" w:eastAsia="Times New Roman" w:hAnsi="Times New Roman" w:cs="Times New Roman"/>
          <w:sz w:val="24"/>
          <w:szCs w:val="24"/>
        </w:rPr>
        <w:t xml:space="preserve"> Statement in Support, p.3.</w:t>
      </w:r>
      <w:r w:rsidR="001576C9">
        <w:rPr>
          <w:rFonts w:ascii="Times New Roman" w:eastAsia="Times New Roman" w:hAnsi="Times New Roman" w:cs="Times New Roman"/>
          <w:sz w:val="24"/>
          <w:szCs w:val="24"/>
        </w:rPr>
        <w:t>)</w:t>
      </w:r>
      <w:r w:rsidR="00830D94" w:rsidRPr="00830D94">
        <w:rPr>
          <w:rFonts w:ascii="Times New Roman" w:eastAsia="Times New Roman" w:hAnsi="Times New Roman" w:cs="Times New Roman"/>
          <w:sz w:val="24"/>
          <w:szCs w:val="24"/>
        </w:rPr>
        <w:t xml:space="preserve">  The Company avers that delivery service to transportation customers also contributes to LUFG and CU, and transportation customers, therefore, are required to supply extra gas to meet this requirement.  </w:t>
      </w:r>
      <w:r w:rsidR="001576C9">
        <w:rPr>
          <w:rFonts w:ascii="Times New Roman" w:eastAsia="Times New Roman" w:hAnsi="Times New Roman" w:cs="Times New Roman"/>
          <w:sz w:val="24"/>
          <w:szCs w:val="24"/>
        </w:rPr>
        <w:t>(</w:t>
      </w:r>
      <w:r w:rsidR="00830D94" w:rsidRPr="00830D94">
        <w:rPr>
          <w:rFonts w:ascii="Times New Roman" w:eastAsia="Times New Roman" w:hAnsi="Times New Roman" w:cs="Times New Roman"/>
          <w:sz w:val="24"/>
          <w:szCs w:val="24"/>
        </w:rPr>
        <w:t>OSBA Statement No. 1, pp. 10-11; I&amp;E Statement No. 1, p.</w:t>
      </w:r>
      <w:r w:rsidR="001B12DA">
        <w:rPr>
          <w:rFonts w:ascii="Times New Roman" w:eastAsia="Times New Roman" w:hAnsi="Times New Roman" w:cs="Times New Roman"/>
          <w:sz w:val="24"/>
          <w:szCs w:val="24"/>
        </w:rPr>
        <w:t> </w:t>
      </w:r>
      <w:r w:rsidR="00830D94" w:rsidRPr="00830D94">
        <w:rPr>
          <w:rFonts w:ascii="Times New Roman" w:eastAsia="Times New Roman" w:hAnsi="Times New Roman" w:cs="Times New Roman"/>
          <w:sz w:val="24"/>
          <w:szCs w:val="24"/>
        </w:rPr>
        <w:t xml:space="preserve">2.  </w:t>
      </w:r>
      <w:r w:rsidR="002347A6">
        <w:rPr>
          <w:rFonts w:ascii="Times New Roman" w:eastAsia="Times New Roman" w:hAnsi="Times New Roman" w:cs="Times New Roman"/>
          <w:sz w:val="24"/>
          <w:szCs w:val="24"/>
        </w:rPr>
        <w:t>Peoples TWP</w:t>
      </w:r>
      <w:r w:rsidR="00830D94" w:rsidRPr="00830D94">
        <w:rPr>
          <w:rFonts w:ascii="Times New Roman" w:eastAsia="Times New Roman" w:hAnsi="Times New Roman" w:cs="Times New Roman"/>
          <w:sz w:val="24"/>
          <w:szCs w:val="24"/>
        </w:rPr>
        <w:t xml:space="preserve"> Statement in Support, p.3.</w:t>
      </w:r>
      <w:r w:rsidR="001576C9">
        <w:rPr>
          <w:rFonts w:ascii="Times New Roman" w:eastAsia="Times New Roman" w:hAnsi="Times New Roman" w:cs="Times New Roman"/>
          <w:sz w:val="24"/>
          <w:szCs w:val="24"/>
        </w:rPr>
        <w:t>)</w:t>
      </w:r>
      <w:r w:rsidR="00830D94" w:rsidRPr="00830D94">
        <w:rPr>
          <w:rFonts w:ascii="Times New Roman" w:eastAsia="Times New Roman" w:hAnsi="Times New Roman" w:cs="Times New Roman"/>
          <w:sz w:val="24"/>
          <w:szCs w:val="24"/>
        </w:rPr>
        <w:t xml:space="preserve">  The extra gas delivered for a transportation customer is referred to as “retainage.”  </w:t>
      </w:r>
      <w:r w:rsidR="001576C9">
        <w:rPr>
          <w:rFonts w:ascii="Times New Roman" w:eastAsia="Times New Roman" w:hAnsi="Times New Roman" w:cs="Times New Roman"/>
          <w:sz w:val="24"/>
          <w:szCs w:val="24"/>
        </w:rPr>
        <w:t>(</w:t>
      </w:r>
      <w:r w:rsidR="00830D94" w:rsidRPr="00830D94">
        <w:rPr>
          <w:rFonts w:ascii="Times New Roman" w:eastAsia="Times New Roman" w:hAnsi="Times New Roman" w:cs="Times New Roman"/>
          <w:sz w:val="24"/>
          <w:szCs w:val="24"/>
        </w:rPr>
        <w:t xml:space="preserve">OSBA Statement No. 1, p. 11.  </w:t>
      </w:r>
      <w:r w:rsidR="002347A6">
        <w:rPr>
          <w:rFonts w:ascii="Times New Roman" w:eastAsia="Times New Roman" w:hAnsi="Times New Roman" w:cs="Times New Roman"/>
          <w:sz w:val="24"/>
          <w:szCs w:val="24"/>
        </w:rPr>
        <w:t>Peoples TWP</w:t>
      </w:r>
      <w:r w:rsidR="00830D94" w:rsidRPr="00830D94">
        <w:rPr>
          <w:rFonts w:ascii="Times New Roman" w:eastAsia="Times New Roman" w:hAnsi="Times New Roman" w:cs="Times New Roman"/>
          <w:sz w:val="24"/>
          <w:szCs w:val="24"/>
        </w:rPr>
        <w:t xml:space="preserve"> Statement in Support, p.3.</w:t>
      </w:r>
      <w:r w:rsidR="001576C9">
        <w:rPr>
          <w:rFonts w:ascii="Times New Roman" w:eastAsia="Times New Roman" w:hAnsi="Times New Roman" w:cs="Times New Roman"/>
          <w:sz w:val="24"/>
          <w:szCs w:val="24"/>
        </w:rPr>
        <w:t>)</w:t>
      </w:r>
      <w:r w:rsidR="00830D94" w:rsidRPr="00830D94">
        <w:rPr>
          <w:rFonts w:ascii="Times New Roman" w:eastAsia="Times New Roman" w:hAnsi="Times New Roman" w:cs="Times New Roman"/>
          <w:sz w:val="24"/>
          <w:szCs w:val="24"/>
        </w:rPr>
        <w:t xml:space="preserve">  For Peoples TWP, retainage is expressed as a percentage of the gas delivered into the distribution system.  </w:t>
      </w:r>
      <w:r w:rsidR="00167A36">
        <w:rPr>
          <w:rFonts w:ascii="Times New Roman" w:eastAsia="Times New Roman" w:hAnsi="Times New Roman" w:cs="Times New Roman"/>
          <w:sz w:val="24"/>
          <w:szCs w:val="24"/>
        </w:rPr>
        <w:t>(</w:t>
      </w:r>
      <w:r w:rsidR="00830D94" w:rsidRPr="00830D94">
        <w:rPr>
          <w:rFonts w:ascii="Times New Roman" w:eastAsia="Times New Roman" w:hAnsi="Times New Roman" w:cs="Times New Roman"/>
          <w:sz w:val="24"/>
          <w:szCs w:val="24"/>
        </w:rPr>
        <w:t>I&amp;E Statement No. 1, p. 2.  Peoples TWP Statement in Support, p.</w:t>
      </w:r>
      <w:r w:rsidR="001B12DA">
        <w:rPr>
          <w:rFonts w:ascii="Times New Roman" w:eastAsia="Times New Roman" w:hAnsi="Times New Roman" w:cs="Times New Roman"/>
          <w:sz w:val="24"/>
          <w:szCs w:val="24"/>
        </w:rPr>
        <w:t> </w:t>
      </w:r>
      <w:r w:rsidR="00830D94" w:rsidRPr="00830D94">
        <w:rPr>
          <w:rFonts w:ascii="Times New Roman" w:eastAsia="Times New Roman" w:hAnsi="Times New Roman" w:cs="Times New Roman"/>
          <w:sz w:val="24"/>
          <w:szCs w:val="24"/>
        </w:rPr>
        <w:t>3.</w:t>
      </w:r>
      <w:r w:rsidR="00167A36">
        <w:rPr>
          <w:rFonts w:ascii="Times New Roman" w:eastAsia="Times New Roman" w:hAnsi="Times New Roman" w:cs="Times New Roman"/>
          <w:sz w:val="24"/>
          <w:szCs w:val="24"/>
        </w:rPr>
        <w:t>)</w:t>
      </w:r>
      <w:r w:rsidR="00830D94" w:rsidRPr="00830D94">
        <w:rPr>
          <w:rFonts w:ascii="Times New Roman" w:eastAsia="Times New Roman" w:hAnsi="Times New Roman" w:cs="Times New Roman"/>
          <w:sz w:val="24"/>
          <w:szCs w:val="24"/>
        </w:rPr>
        <w:t xml:space="preserve">   </w:t>
      </w:r>
    </w:p>
    <w:p w:rsidR="00783AC1" w:rsidRPr="00830D94" w:rsidRDefault="00783AC1" w:rsidP="00961E7A">
      <w:pPr>
        <w:spacing w:after="0" w:line="360" w:lineRule="auto"/>
        <w:ind w:firstLine="720"/>
        <w:rPr>
          <w:rFonts w:ascii="Times New Roman" w:eastAsia="Times New Roman" w:hAnsi="Times New Roman" w:cs="Times New Roman"/>
          <w:sz w:val="24"/>
          <w:szCs w:val="24"/>
        </w:rPr>
      </w:pPr>
    </w:p>
    <w:p w:rsidR="00A32483" w:rsidRDefault="00830D94" w:rsidP="00961E7A">
      <w:pPr>
        <w:spacing w:after="0" w:line="360" w:lineRule="auto"/>
        <w:ind w:firstLine="1440"/>
        <w:rPr>
          <w:rFonts w:ascii="Times New Roman" w:eastAsia="Times New Roman" w:hAnsi="Times New Roman" w:cs="Times New Roman"/>
          <w:sz w:val="24"/>
          <w:szCs w:val="24"/>
        </w:rPr>
      </w:pPr>
      <w:r w:rsidRPr="00830D94">
        <w:rPr>
          <w:rFonts w:ascii="Times New Roman" w:eastAsia="Times New Roman" w:hAnsi="Times New Roman" w:cs="Times New Roman"/>
          <w:sz w:val="24"/>
          <w:szCs w:val="24"/>
        </w:rPr>
        <w:t xml:space="preserve">The Company explains it has separate retainage rates for Small Volume transportation customers (Rate Schedules RS-T, SGS-T, MGS-T, and LGS-T using less than 100,000 Mcf per year) and Large Volume transportation customers (Rate Schedules LGS-T </w:t>
      </w:r>
    </w:p>
    <w:p w:rsidR="001004F0" w:rsidRDefault="00830D94" w:rsidP="00A32483">
      <w:pPr>
        <w:spacing w:after="0" w:line="360" w:lineRule="auto"/>
        <w:rPr>
          <w:rFonts w:ascii="Times New Roman" w:eastAsia="Times New Roman" w:hAnsi="Times New Roman" w:cs="Times New Roman"/>
          <w:sz w:val="24"/>
          <w:szCs w:val="24"/>
        </w:rPr>
      </w:pPr>
      <w:proofErr w:type="gramStart"/>
      <w:r w:rsidRPr="00830D94">
        <w:rPr>
          <w:rFonts w:ascii="Times New Roman" w:eastAsia="Times New Roman" w:hAnsi="Times New Roman" w:cs="Times New Roman"/>
          <w:sz w:val="24"/>
          <w:szCs w:val="24"/>
        </w:rPr>
        <w:lastRenderedPageBreak/>
        <w:t>using</w:t>
      </w:r>
      <w:proofErr w:type="gramEnd"/>
      <w:r w:rsidRPr="00830D94">
        <w:rPr>
          <w:rFonts w:ascii="Times New Roman" w:eastAsia="Times New Roman" w:hAnsi="Times New Roman" w:cs="Times New Roman"/>
          <w:sz w:val="24"/>
          <w:szCs w:val="24"/>
        </w:rPr>
        <w:t xml:space="preserve"> 100,000 Mcf or more per year and FTS).  </w:t>
      </w:r>
      <w:r w:rsidR="00167A36">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I&amp;E Statement No. 1, p. 6.</w:t>
      </w:r>
      <w:r w:rsidRPr="00830D94">
        <w:rPr>
          <w:rFonts w:ascii="Times New Roman" w:eastAsia="Times New Roman" w:hAnsi="Times New Roman" w:cs="Times New Roman"/>
          <w:sz w:val="24"/>
          <w:szCs w:val="24"/>
          <w:vertAlign w:val="superscript"/>
        </w:rPr>
        <w:footnoteReference w:id="2"/>
      </w:r>
      <w:r w:rsidRPr="00830D94">
        <w:rPr>
          <w:rFonts w:ascii="Times New Roman" w:eastAsia="Times New Roman" w:hAnsi="Times New Roman" w:cs="Times New Roman"/>
          <w:sz w:val="24"/>
          <w:szCs w:val="24"/>
        </w:rPr>
        <w:t xml:space="preserve">  </w:t>
      </w:r>
      <w:r w:rsidR="002347A6">
        <w:rPr>
          <w:rFonts w:ascii="Times New Roman" w:eastAsia="Times New Roman" w:hAnsi="Times New Roman" w:cs="Times New Roman"/>
          <w:sz w:val="24"/>
          <w:szCs w:val="24"/>
        </w:rPr>
        <w:t>Peoples TWP</w:t>
      </w:r>
      <w:r w:rsidRPr="00830D94">
        <w:rPr>
          <w:rFonts w:ascii="Times New Roman" w:eastAsia="Times New Roman" w:hAnsi="Times New Roman" w:cs="Times New Roman"/>
          <w:sz w:val="24"/>
          <w:szCs w:val="24"/>
        </w:rPr>
        <w:t xml:space="preserve"> Statement in Support, pp.</w:t>
      </w:r>
      <w:r w:rsidR="00783AC1">
        <w:rPr>
          <w:rFonts w:ascii="Times New Roman" w:eastAsia="Times New Roman" w:hAnsi="Times New Roman" w:cs="Times New Roman"/>
          <w:sz w:val="24"/>
          <w:szCs w:val="24"/>
        </w:rPr>
        <w:t xml:space="preserve"> </w:t>
      </w:r>
      <w:r w:rsidRPr="00830D94">
        <w:rPr>
          <w:rFonts w:ascii="Times New Roman" w:eastAsia="Times New Roman" w:hAnsi="Times New Roman" w:cs="Times New Roman"/>
          <w:sz w:val="24"/>
          <w:szCs w:val="24"/>
        </w:rPr>
        <w:t>3-4.</w:t>
      </w:r>
      <w:r w:rsidR="00167A36">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 xml:space="preserve">  The current rates are 5% for Small Volume transportation customers and 3.4% for Large Volume transportation customers.  </w:t>
      </w:r>
      <w:r w:rsidR="00167A36">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I&amp;E Statement No. 1, p. 6.  Peoples TWP Statement in Support, p.4.</w:t>
      </w:r>
      <w:r w:rsidR="00167A36">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 xml:space="preserve">  Peoples TWP avers that it updated its calculation of LUFG and CU based upon a new three-year average ended August 31, 2014, consistent with the recently filed LUFG reports to the Commission.  </w:t>
      </w:r>
      <w:r w:rsidR="00DE3220">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Peoples TWP Statement No. 1, p. 16; Peoples TWP Exhibit No. 4.  Peoples TWP Statement in Support, p.3.</w:t>
      </w:r>
      <w:r w:rsidR="00DE3220">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 xml:space="preserve">  According to Peoples TWP, the results of the three-year analysis showed the same overall percentage as presented in the prior proceeding.  </w:t>
      </w:r>
      <w:r w:rsidR="006B5EE8">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Peoples TWP Statement No. 1, p. 16.  Peoples TWP Statement in Support, p.4.</w:t>
      </w:r>
      <w:r w:rsidR="006B5EE8">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 xml:space="preserve">  Therefore, the Company asserts it did not recommend changes to the current maximum retainage rates charged to transportation customers.  </w:t>
      </w:r>
      <w:r w:rsidR="006B5EE8">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Peoples TWP Statement No. 1, p. 16.  Peoples TWP</w:t>
      </w:r>
      <w:r w:rsidR="00F93FB8">
        <w:rPr>
          <w:rFonts w:ascii="Times New Roman" w:eastAsia="Times New Roman" w:hAnsi="Times New Roman" w:cs="Times New Roman"/>
          <w:sz w:val="24"/>
          <w:szCs w:val="24"/>
        </w:rPr>
        <w:t xml:space="preserve"> Statement in Support, p.4.</w:t>
      </w:r>
      <w:r w:rsidR="006B5EE8">
        <w:rPr>
          <w:rFonts w:ascii="Times New Roman" w:eastAsia="Times New Roman" w:hAnsi="Times New Roman" w:cs="Times New Roman"/>
          <w:sz w:val="24"/>
          <w:szCs w:val="24"/>
        </w:rPr>
        <w:t>)</w:t>
      </w:r>
      <w:r w:rsidR="00F93FB8">
        <w:rPr>
          <w:rFonts w:ascii="Times New Roman" w:eastAsia="Times New Roman" w:hAnsi="Times New Roman" w:cs="Times New Roman"/>
          <w:sz w:val="24"/>
          <w:szCs w:val="24"/>
        </w:rPr>
        <w:t xml:space="preserve">  </w:t>
      </w:r>
      <w:r w:rsidRPr="00830D94">
        <w:rPr>
          <w:rFonts w:ascii="Times New Roman" w:eastAsia="Times New Roman" w:hAnsi="Times New Roman" w:cs="Times New Roman"/>
          <w:sz w:val="24"/>
          <w:szCs w:val="24"/>
        </w:rPr>
        <w:t xml:space="preserve">Peoples TWP notes that the Parties have agreed that, effective </w:t>
      </w:r>
    </w:p>
    <w:p w:rsidR="00830D94" w:rsidRDefault="00830D94" w:rsidP="0000145D">
      <w:pPr>
        <w:spacing w:after="0" w:line="360" w:lineRule="auto"/>
        <w:rPr>
          <w:rFonts w:ascii="Times New Roman" w:eastAsia="Times New Roman" w:hAnsi="Times New Roman" w:cs="Times New Roman"/>
          <w:sz w:val="24"/>
          <w:szCs w:val="24"/>
        </w:rPr>
      </w:pPr>
      <w:r w:rsidRPr="00830D94">
        <w:rPr>
          <w:rFonts w:ascii="Times New Roman" w:eastAsia="Times New Roman" w:hAnsi="Times New Roman" w:cs="Times New Roman"/>
          <w:sz w:val="24"/>
          <w:szCs w:val="24"/>
        </w:rPr>
        <w:t>August 1, 2015, Peoples TWP’s tariffed retainage rates for Small Volume transportation customers shall remain 5.0%, and the tariffed retainage rate for Large Volume transportation customers will be reduced from 3.4% to 3.</w:t>
      </w:r>
      <w:r w:rsidR="00AB2385">
        <w:rPr>
          <w:rFonts w:ascii="Times New Roman" w:eastAsia="Times New Roman" w:hAnsi="Times New Roman" w:cs="Times New Roman"/>
          <w:sz w:val="24"/>
          <w:szCs w:val="24"/>
        </w:rPr>
        <w:t xml:space="preserve">3%.  </w:t>
      </w:r>
      <w:proofErr w:type="gramStart"/>
      <w:r w:rsidR="006B5EE8">
        <w:rPr>
          <w:rFonts w:ascii="Times New Roman" w:eastAsia="Times New Roman" w:hAnsi="Times New Roman" w:cs="Times New Roman"/>
          <w:sz w:val="24"/>
          <w:szCs w:val="24"/>
        </w:rPr>
        <w:t>(</w:t>
      </w:r>
      <w:r w:rsidR="00AB2385">
        <w:rPr>
          <w:rFonts w:ascii="Times New Roman" w:eastAsia="Times New Roman" w:hAnsi="Times New Roman" w:cs="Times New Roman"/>
          <w:sz w:val="24"/>
          <w:szCs w:val="24"/>
        </w:rPr>
        <w:t>Settlement ¶ 20.</w:t>
      </w:r>
      <w:proofErr w:type="gramEnd"/>
      <w:r w:rsidR="00AB2385">
        <w:rPr>
          <w:rFonts w:ascii="Times New Roman" w:eastAsia="Times New Roman" w:hAnsi="Times New Roman" w:cs="Times New Roman"/>
          <w:sz w:val="24"/>
          <w:szCs w:val="24"/>
        </w:rPr>
        <w:t xml:space="preserve">  Peoples </w:t>
      </w:r>
      <w:r w:rsidRPr="00830D94">
        <w:rPr>
          <w:rFonts w:ascii="Times New Roman" w:eastAsia="Times New Roman" w:hAnsi="Times New Roman" w:cs="Times New Roman"/>
          <w:sz w:val="24"/>
          <w:szCs w:val="24"/>
        </w:rPr>
        <w:t>TWP Statement in Support, p.4.</w:t>
      </w:r>
      <w:r w:rsidR="006B5EE8">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 xml:space="preserve">  Peoples TWP explains that the agreed upon retainage rates are within the reasonable range of retainage rates for the Small Volume and Large Volume transportation customers and will ensure that transportation customers bear their fair share of the LUFG and CU costs incurred to provide service to the transportation customers.  The Company concludes that the Settlement reflects an acceptable compromise of competing litigation positions and should be adopted without modification.  </w:t>
      </w:r>
      <w:proofErr w:type="gramStart"/>
      <w:r w:rsidR="006B5EE8">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Peopl</w:t>
      </w:r>
      <w:r w:rsidR="0000145D">
        <w:rPr>
          <w:rFonts w:ascii="Times New Roman" w:eastAsia="Times New Roman" w:hAnsi="Times New Roman" w:cs="Times New Roman"/>
          <w:sz w:val="24"/>
          <w:szCs w:val="24"/>
        </w:rPr>
        <w:t>es TWP Statement in Support, p</w:t>
      </w:r>
      <w:r w:rsidRPr="00830D94">
        <w:rPr>
          <w:rFonts w:ascii="Times New Roman" w:eastAsia="Times New Roman" w:hAnsi="Times New Roman" w:cs="Times New Roman"/>
          <w:sz w:val="24"/>
          <w:szCs w:val="24"/>
        </w:rPr>
        <w:t>p.</w:t>
      </w:r>
      <w:r w:rsidR="0000145D">
        <w:rPr>
          <w:rFonts w:ascii="Times New Roman" w:eastAsia="Times New Roman" w:hAnsi="Times New Roman" w:cs="Times New Roman"/>
          <w:sz w:val="24"/>
          <w:szCs w:val="24"/>
        </w:rPr>
        <w:t xml:space="preserve"> </w:t>
      </w:r>
      <w:r w:rsidRPr="00830D94">
        <w:rPr>
          <w:rFonts w:ascii="Times New Roman" w:eastAsia="Times New Roman" w:hAnsi="Times New Roman" w:cs="Times New Roman"/>
          <w:sz w:val="24"/>
          <w:szCs w:val="24"/>
        </w:rPr>
        <w:t>4-5.</w:t>
      </w:r>
      <w:r w:rsidR="006B5EE8">
        <w:rPr>
          <w:rFonts w:ascii="Times New Roman" w:eastAsia="Times New Roman" w:hAnsi="Times New Roman" w:cs="Times New Roman"/>
          <w:sz w:val="24"/>
          <w:szCs w:val="24"/>
        </w:rPr>
        <w:t>)</w:t>
      </w:r>
      <w:proofErr w:type="gramEnd"/>
    </w:p>
    <w:p w:rsidR="003E2585" w:rsidRPr="00830D94" w:rsidRDefault="003E2585" w:rsidP="0000145D">
      <w:pPr>
        <w:spacing w:after="0" w:line="360" w:lineRule="auto"/>
        <w:rPr>
          <w:rFonts w:ascii="Times New Roman" w:eastAsia="Times New Roman" w:hAnsi="Times New Roman" w:cs="Times New Roman"/>
          <w:sz w:val="24"/>
          <w:szCs w:val="24"/>
        </w:rPr>
      </w:pPr>
    </w:p>
    <w:p w:rsidR="00830D94" w:rsidRPr="00830D94" w:rsidRDefault="00175E59" w:rsidP="002347A6">
      <w:pPr>
        <w:spacing w:after="0" w:line="36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t>2.</w:t>
      </w:r>
      <w:r w:rsidR="002347A6">
        <w:rPr>
          <w:rFonts w:ascii="Times New Roman" w:eastAsia="Times New Roman" w:hAnsi="Times New Roman" w:cs="Times New Roman"/>
          <w:sz w:val="24"/>
          <w:szCs w:val="24"/>
        </w:rPr>
        <w:tab/>
      </w:r>
      <w:r w:rsidR="00830D94" w:rsidRPr="00830D94">
        <w:rPr>
          <w:rFonts w:ascii="Times New Roman" w:eastAsia="Times New Roman" w:hAnsi="Times New Roman" w:cs="Times New Roman"/>
          <w:sz w:val="24"/>
          <w:szCs w:val="24"/>
          <w:u w:val="single"/>
        </w:rPr>
        <w:t>OCA’s Position</w:t>
      </w:r>
    </w:p>
    <w:p w:rsidR="00830D94" w:rsidRPr="00830D94" w:rsidRDefault="00830D94" w:rsidP="00830D94">
      <w:pPr>
        <w:spacing w:after="0" w:line="360" w:lineRule="auto"/>
        <w:ind w:firstLine="720"/>
        <w:rPr>
          <w:rFonts w:ascii="Times New Roman" w:eastAsia="Times New Roman" w:hAnsi="Times New Roman" w:cs="Times New Roman"/>
          <w:sz w:val="24"/>
          <w:szCs w:val="24"/>
          <w:u w:val="single"/>
        </w:rPr>
      </w:pPr>
    </w:p>
    <w:p w:rsidR="00830D94" w:rsidRDefault="00830D94" w:rsidP="00830D94">
      <w:pPr>
        <w:spacing w:after="0" w:line="360" w:lineRule="auto"/>
        <w:ind w:firstLine="720"/>
        <w:contextualSpacing/>
        <w:jc w:val="both"/>
        <w:rPr>
          <w:rFonts w:ascii="Times New Roman" w:eastAsia="Calibri" w:hAnsi="Times New Roman" w:cs="Times New Roman"/>
          <w:sz w:val="24"/>
          <w:szCs w:val="24"/>
        </w:rPr>
      </w:pPr>
      <w:r w:rsidRPr="00830D94">
        <w:rPr>
          <w:rFonts w:ascii="Times New Roman" w:eastAsia="Times New Roman" w:hAnsi="Times New Roman" w:cs="Times New Roman"/>
          <w:sz w:val="24"/>
          <w:szCs w:val="24"/>
        </w:rPr>
        <w:tab/>
        <w:t xml:space="preserve">OCA explains that the </w:t>
      </w:r>
      <w:r w:rsidRPr="00830D94">
        <w:rPr>
          <w:rFonts w:ascii="Times New Roman" w:eastAsia="Calibri" w:hAnsi="Times New Roman" w:cs="Times New Roman"/>
          <w:sz w:val="24"/>
          <w:szCs w:val="24"/>
        </w:rPr>
        <w:t xml:space="preserve">Settlement establishes retainage rates for Small and Large Volume transportation customers.  The OCA did not take a position with respect to retainage rates in this proceeding and has no objection to the retainage rates established for these customers.  </w:t>
      </w:r>
      <w:proofErr w:type="gramStart"/>
      <w:r w:rsidR="00CA5374">
        <w:rPr>
          <w:rFonts w:ascii="Times New Roman" w:eastAsia="Calibri" w:hAnsi="Times New Roman" w:cs="Times New Roman"/>
          <w:sz w:val="24"/>
          <w:szCs w:val="24"/>
        </w:rPr>
        <w:t>(</w:t>
      </w:r>
      <w:r w:rsidRPr="00830D94">
        <w:rPr>
          <w:rFonts w:ascii="Times New Roman" w:eastAsia="Calibri" w:hAnsi="Times New Roman" w:cs="Times New Roman"/>
          <w:sz w:val="24"/>
          <w:szCs w:val="24"/>
        </w:rPr>
        <w:t>OCA Statement in Support, p. 3.</w:t>
      </w:r>
      <w:r w:rsidR="00CA5374">
        <w:rPr>
          <w:rFonts w:ascii="Times New Roman" w:eastAsia="Calibri" w:hAnsi="Times New Roman" w:cs="Times New Roman"/>
          <w:sz w:val="24"/>
          <w:szCs w:val="24"/>
        </w:rPr>
        <w:t>)</w:t>
      </w:r>
      <w:proofErr w:type="gramEnd"/>
    </w:p>
    <w:p w:rsidR="00830D94" w:rsidRDefault="00175E59" w:rsidP="00175E59">
      <w:pPr>
        <w:spacing w:after="0" w:line="360" w:lineRule="auto"/>
        <w:ind w:firstLine="720"/>
        <w:contextualSpacing/>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lastRenderedPageBreak/>
        <w:t>3</w:t>
      </w:r>
      <w:r w:rsidR="002347A6">
        <w:rPr>
          <w:rFonts w:ascii="Times New Roman" w:eastAsia="Calibri" w:hAnsi="Times New Roman" w:cs="Times New Roman"/>
          <w:sz w:val="24"/>
          <w:szCs w:val="24"/>
        </w:rPr>
        <w:t>.</w:t>
      </w:r>
      <w:r w:rsidR="002347A6">
        <w:rPr>
          <w:rFonts w:ascii="Times New Roman" w:eastAsia="Calibri" w:hAnsi="Times New Roman" w:cs="Times New Roman"/>
          <w:sz w:val="24"/>
          <w:szCs w:val="24"/>
        </w:rPr>
        <w:tab/>
      </w:r>
      <w:r w:rsidR="00830D94" w:rsidRPr="00830D94">
        <w:rPr>
          <w:rFonts w:ascii="Times New Roman" w:eastAsia="Calibri" w:hAnsi="Times New Roman" w:cs="Times New Roman"/>
          <w:sz w:val="24"/>
          <w:szCs w:val="24"/>
          <w:u w:val="single"/>
        </w:rPr>
        <w:t>OSBA’s Position</w:t>
      </w:r>
    </w:p>
    <w:p w:rsidR="002D35D7" w:rsidRPr="00830D94" w:rsidRDefault="002D35D7" w:rsidP="002347A6">
      <w:pPr>
        <w:spacing w:after="0" w:line="360" w:lineRule="auto"/>
        <w:contextualSpacing/>
        <w:jc w:val="both"/>
        <w:rPr>
          <w:rFonts w:ascii="Times New Roman" w:eastAsia="Calibri" w:hAnsi="Times New Roman" w:cs="Times New Roman"/>
          <w:sz w:val="24"/>
          <w:szCs w:val="24"/>
          <w:u w:val="single"/>
        </w:rPr>
      </w:pPr>
    </w:p>
    <w:p w:rsidR="00830D94" w:rsidRPr="00830D94" w:rsidRDefault="00830D94" w:rsidP="00AB0936">
      <w:pPr>
        <w:spacing w:after="0" w:line="360" w:lineRule="auto"/>
        <w:ind w:firstLine="1440"/>
        <w:rPr>
          <w:rFonts w:ascii="Times New Roman" w:hAnsi="Times New Roman" w:cs="Times New Roman"/>
          <w:sz w:val="24"/>
          <w:szCs w:val="24"/>
        </w:rPr>
      </w:pPr>
      <w:r w:rsidRPr="00830D94">
        <w:rPr>
          <w:rFonts w:ascii="Times New Roman" w:hAnsi="Times New Roman" w:cs="Times New Roman"/>
          <w:sz w:val="24"/>
          <w:szCs w:val="24"/>
        </w:rPr>
        <w:t xml:space="preserve">The OSBA explains that it addressed two issues related to unaccounted-for gas (UFG) and retainage rates in this proceeding.  First, the OSBA retains a long-standing concern that the Company offers discounted retainage rates to certain customers.  This policy requires that a subsidy be provided by the non-discounted customers, which includes both sales customers (through their PGC rates) and transportation customers (through their retainage rates). </w:t>
      </w:r>
      <w:r w:rsidR="002D35D7">
        <w:rPr>
          <w:rFonts w:ascii="Times New Roman" w:hAnsi="Times New Roman" w:cs="Times New Roman"/>
          <w:sz w:val="24"/>
          <w:szCs w:val="24"/>
        </w:rPr>
        <w:t xml:space="preserve"> </w:t>
      </w:r>
      <w:r w:rsidRPr="00830D94">
        <w:rPr>
          <w:rFonts w:ascii="Times New Roman" w:hAnsi="Times New Roman" w:cs="Times New Roman"/>
          <w:sz w:val="24"/>
          <w:szCs w:val="24"/>
        </w:rPr>
        <w:t xml:space="preserve">In the settlement of last year’s Section 1307(f) proceeding, OSBA points out that the </w:t>
      </w:r>
      <w:r w:rsidR="002D35D7" w:rsidRPr="00830D94">
        <w:rPr>
          <w:rFonts w:ascii="Times New Roman" w:hAnsi="Times New Roman" w:cs="Times New Roman"/>
          <w:sz w:val="24"/>
          <w:szCs w:val="24"/>
        </w:rPr>
        <w:t>Company agreed</w:t>
      </w:r>
      <w:r w:rsidRPr="00830D94">
        <w:rPr>
          <w:rFonts w:ascii="Times New Roman" w:hAnsi="Times New Roman" w:cs="Times New Roman"/>
          <w:sz w:val="24"/>
          <w:szCs w:val="24"/>
        </w:rPr>
        <w:t xml:space="preserve"> to “use its best efforts to avoid entering into any new customer agreements, or extending any existing customer agreements, with retainage rates that are discounted below 2.4 percent for LGS customers and 4.2 percent for non-LGS customers.”  In this respect, the Company reports that it did in fact use its best efforts, but was unable to avoid continuing to offer significant retainage discounts to certain customers.  OSBA asserts that it has no basis for contesting the Company’s assertions, and because the Commission has consistently allowed the Company to offer such discounts and to recover them from all customers, the Settlement continues to reflect both the discounts and the existing shortfall recovery mechanism</w:t>
      </w:r>
      <w:r w:rsidR="002D35D7">
        <w:rPr>
          <w:rFonts w:ascii="Times New Roman" w:hAnsi="Times New Roman" w:cs="Times New Roman"/>
          <w:sz w:val="24"/>
          <w:szCs w:val="24"/>
        </w:rPr>
        <w:t xml:space="preserve">.  </w:t>
      </w:r>
      <w:proofErr w:type="gramStart"/>
      <w:r w:rsidR="00167A36">
        <w:rPr>
          <w:rFonts w:ascii="Times New Roman" w:hAnsi="Times New Roman" w:cs="Times New Roman"/>
          <w:sz w:val="24"/>
          <w:szCs w:val="24"/>
        </w:rPr>
        <w:t>(</w:t>
      </w:r>
      <w:r w:rsidR="002D35D7">
        <w:rPr>
          <w:rFonts w:ascii="Times New Roman" w:hAnsi="Times New Roman" w:cs="Times New Roman"/>
          <w:sz w:val="24"/>
          <w:szCs w:val="24"/>
        </w:rPr>
        <w:t>OSBA Statement in Support, p</w:t>
      </w:r>
      <w:r w:rsidRPr="00830D94">
        <w:rPr>
          <w:rFonts w:ascii="Times New Roman" w:hAnsi="Times New Roman" w:cs="Times New Roman"/>
          <w:sz w:val="24"/>
          <w:szCs w:val="24"/>
        </w:rPr>
        <w:t>p. 4-5.</w:t>
      </w:r>
      <w:r w:rsidR="00167A36">
        <w:rPr>
          <w:rFonts w:ascii="Times New Roman" w:hAnsi="Times New Roman" w:cs="Times New Roman"/>
          <w:sz w:val="24"/>
          <w:szCs w:val="24"/>
        </w:rPr>
        <w:t>)</w:t>
      </w:r>
      <w:proofErr w:type="gramEnd"/>
    </w:p>
    <w:p w:rsidR="00830D94" w:rsidRPr="00830D94" w:rsidRDefault="00830D94" w:rsidP="00830D94">
      <w:pPr>
        <w:spacing w:after="0" w:line="360" w:lineRule="auto"/>
        <w:ind w:firstLine="720"/>
        <w:rPr>
          <w:rFonts w:ascii="Times New Roman" w:hAnsi="Times New Roman" w:cs="Times New Roman"/>
          <w:sz w:val="24"/>
          <w:szCs w:val="24"/>
        </w:rPr>
      </w:pPr>
    </w:p>
    <w:p w:rsidR="00830D94" w:rsidRDefault="00830D94" w:rsidP="00830D94">
      <w:pPr>
        <w:spacing w:after="0" w:line="360" w:lineRule="auto"/>
        <w:ind w:firstLine="1440"/>
        <w:rPr>
          <w:rFonts w:ascii="Times New Roman" w:hAnsi="Times New Roman" w:cs="Times New Roman"/>
          <w:sz w:val="24"/>
          <w:szCs w:val="24"/>
        </w:rPr>
      </w:pPr>
      <w:r w:rsidRPr="00830D94">
        <w:rPr>
          <w:rFonts w:ascii="Times New Roman" w:hAnsi="Times New Roman" w:cs="Times New Roman"/>
          <w:sz w:val="24"/>
          <w:szCs w:val="24"/>
        </w:rPr>
        <w:t xml:space="preserve">Second,  OSBA points out that the Company calculates its three-year average of lost-and-unaccounted-for gas (UFG) and company use (CU) gas requirement as 3.09 percent, which is the same historical average used in the Company’s 2014 PGC proceeding.  OSBA asserts that, unlike other Pennsylvania natural gas distribution companies (NGDCs), Peoples TWP makes three significant changes to how it calculates its retainage rates, which ultimately result in retainage rates being differentiated between large and small customers.  Although the OSBA’s analysis in this proceeding suggested that the proposed retainage rates for smaller customers could be modestly increased based on the Company’s methods, OSBA concludes that the existing retainage rates as set forth in the settlement are not unreasonable, and keeping rates the same rather than making small changes is consistent with the principles of rate stability.  </w:t>
      </w:r>
      <w:proofErr w:type="gramStart"/>
      <w:r w:rsidRPr="00830D94">
        <w:rPr>
          <w:rFonts w:ascii="Times New Roman" w:hAnsi="Times New Roman" w:cs="Times New Roman"/>
          <w:sz w:val="24"/>
          <w:szCs w:val="24"/>
        </w:rPr>
        <w:t>(Settle</w:t>
      </w:r>
      <w:r w:rsidR="002D773D">
        <w:rPr>
          <w:rFonts w:ascii="Times New Roman" w:hAnsi="Times New Roman" w:cs="Times New Roman"/>
          <w:sz w:val="24"/>
          <w:szCs w:val="24"/>
        </w:rPr>
        <w:t>ment</w:t>
      </w:r>
      <w:r w:rsidR="001079C7" w:rsidRPr="001079C7">
        <w:rPr>
          <w:rFonts w:ascii="Times New Roman" w:eastAsia="Times New Roman" w:hAnsi="Times New Roman" w:cs="Times New Roman"/>
          <w:sz w:val="24"/>
          <w:szCs w:val="24"/>
        </w:rPr>
        <w:t xml:space="preserve"> </w:t>
      </w:r>
      <w:r w:rsidR="001079C7">
        <w:rPr>
          <w:rFonts w:ascii="Times New Roman" w:eastAsia="Times New Roman" w:hAnsi="Times New Roman" w:cs="Times New Roman"/>
          <w:sz w:val="24"/>
          <w:szCs w:val="24"/>
        </w:rPr>
        <w:t>¶</w:t>
      </w:r>
      <w:r w:rsidR="001079C7">
        <w:rPr>
          <w:rFonts w:ascii="Times New Roman" w:hAnsi="Times New Roman" w:cs="Times New Roman"/>
          <w:sz w:val="24"/>
          <w:szCs w:val="24"/>
        </w:rPr>
        <w:t xml:space="preserve"> </w:t>
      </w:r>
      <w:r w:rsidRPr="00830D94">
        <w:rPr>
          <w:rFonts w:ascii="Times New Roman" w:hAnsi="Times New Roman" w:cs="Times New Roman"/>
          <w:sz w:val="24"/>
          <w:szCs w:val="24"/>
        </w:rPr>
        <w:t>20</w:t>
      </w:r>
      <w:r w:rsidR="00730ACB">
        <w:rPr>
          <w:rFonts w:ascii="Times New Roman" w:hAnsi="Times New Roman" w:cs="Times New Roman"/>
          <w:sz w:val="24"/>
          <w:szCs w:val="24"/>
        </w:rPr>
        <w:t>.</w:t>
      </w:r>
      <w:proofErr w:type="gramEnd"/>
      <w:r w:rsidR="00730ACB">
        <w:rPr>
          <w:rFonts w:ascii="Times New Roman" w:hAnsi="Times New Roman" w:cs="Times New Roman"/>
          <w:sz w:val="24"/>
          <w:szCs w:val="24"/>
        </w:rPr>
        <w:t xml:space="preserve"> </w:t>
      </w:r>
      <w:r w:rsidR="001079C7">
        <w:rPr>
          <w:rFonts w:ascii="Times New Roman" w:hAnsi="Times New Roman" w:cs="Times New Roman"/>
          <w:sz w:val="24"/>
          <w:szCs w:val="24"/>
        </w:rPr>
        <w:t xml:space="preserve"> </w:t>
      </w:r>
      <w:r w:rsidRPr="00830D94">
        <w:rPr>
          <w:rFonts w:ascii="Times New Roman" w:hAnsi="Times New Roman" w:cs="Times New Roman"/>
          <w:sz w:val="24"/>
          <w:szCs w:val="24"/>
        </w:rPr>
        <w:t>OSBA Statement in Support, p.5.</w:t>
      </w:r>
      <w:r w:rsidR="00167A36">
        <w:rPr>
          <w:rFonts w:ascii="Times New Roman" w:hAnsi="Times New Roman" w:cs="Times New Roman"/>
          <w:sz w:val="24"/>
          <w:szCs w:val="24"/>
        </w:rPr>
        <w:t>)</w:t>
      </w:r>
    </w:p>
    <w:p w:rsidR="00795DE9" w:rsidRDefault="00795DE9" w:rsidP="00830D94">
      <w:pPr>
        <w:spacing w:after="0" w:line="360" w:lineRule="auto"/>
        <w:ind w:firstLine="1440"/>
        <w:rPr>
          <w:rFonts w:ascii="Times New Roman" w:hAnsi="Times New Roman" w:cs="Times New Roman"/>
          <w:sz w:val="24"/>
          <w:szCs w:val="24"/>
        </w:rPr>
      </w:pPr>
    </w:p>
    <w:p w:rsidR="00795DE9" w:rsidRDefault="00795DE9" w:rsidP="00830D94">
      <w:pPr>
        <w:spacing w:after="0" w:line="360" w:lineRule="auto"/>
        <w:ind w:firstLine="1440"/>
        <w:rPr>
          <w:rFonts w:ascii="Times New Roman" w:hAnsi="Times New Roman" w:cs="Times New Roman"/>
          <w:sz w:val="24"/>
          <w:szCs w:val="24"/>
        </w:rPr>
      </w:pPr>
    </w:p>
    <w:p w:rsidR="001B4E52" w:rsidRDefault="001B4E52" w:rsidP="00830D94">
      <w:pPr>
        <w:spacing w:after="0" w:line="360" w:lineRule="auto"/>
        <w:ind w:firstLine="1440"/>
        <w:rPr>
          <w:rFonts w:ascii="Times New Roman" w:hAnsi="Times New Roman" w:cs="Times New Roman"/>
          <w:sz w:val="24"/>
          <w:szCs w:val="24"/>
        </w:rPr>
      </w:pPr>
    </w:p>
    <w:p w:rsidR="00830D94" w:rsidRPr="00830D94" w:rsidRDefault="00175E59" w:rsidP="001B4E52">
      <w:pPr>
        <w:tabs>
          <w:tab w:val="left" w:pos="-1440"/>
        </w:tabs>
        <w:spacing w:after="0" w:line="360" w:lineRule="auto"/>
        <w:rPr>
          <w:rFonts w:ascii="Times New Roman" w:hAnsi="Times New Roman" w:cs="Times New Roman"/>
          <w:sz w:val="24"/>
          <w:szCs w:val="24"/>
          <w:u w:val="single"/>
        </w:rPr>
      </w:pPr>
      <w:r>
        <w:rPr>
          <w:rFonts w:ascii="Times New Roman" w:hAnsi="Times New Roman" w:cs="Times New Roman"/>
          <w:sz w:val="24"/>
          <w:szCs w:val="24"/>
        </w:rPr>
        <w:lastRenderedPageBreak/>
        <w:tab/>
        <w:t>4</w:t>
      </w:r>
      <w:r w:rsidR="001B4E52">
        <w:rPr>
          <w:rFonts w:ascii="Times New Roman" w:hAnsi="Times New Roman" w:cs="Times New Roman"/>
          <w:sz w:val="24"/>
          <w:szCs w:val="24"/>
        </w:rPr>
        <w:t>.</w:t>
      </w:r>
      <w:r w:rsidR="001B4E52">
        <w:rPr>
          <w:rFonts w:ascii="Times New Roman" w:hAnsi="Times New Roman" w:cs="Times New Roman"/>
          <w:sz w:val="24"/>
          <w:szCs w:val="24"/>
        </w:rPr>
        <w:tab/>
      </w:r>
      <w:r w:rsidR="00830D94" w:rsidRPr="00830D94">
        <w:rPr>
          <w:rFonts w:ascii="Times New Roman" w:hAnsi="Times New Roman" w:cs="Times New Roman"/>
          <w:sz w:val="24"/>
          <w:szCs w:val="24"/>
          <w:u w:val="single"/>
        </w:rPr>
        <w:t>I&amp;E’s Position</w:t>
      </w:r>
    </w:p>
    <w:p w:rsidR="00830D94" w:rsidRPr="00830D94" w:rsidRDefault="00830D94" w:rsidP="00830D94">
      <w:pPr>
        <w:tabs>
          <w:tab w:val="left" w:pos="-1440"/>
        </w:tabs>
        <w:spacing w:after="0" w:line="360" w:lineRule="auto"/>
        <w:ind w:firstLine="720"/>
        <w:rPr>
          <w:rFonts w:ascii="Times New Roman" w:hAnsi="Times New Roman" w:cs="Times New Roman"/>
          <w:sz w:val="24"/>
          <w:szCs w:val="24"/>
          <w:u w:val="single"/>
        </w:rPr>
      </w:pPr>
    </w:p>
    <w:p w:rsidR="00830D94" w:rsidRPr="00830D94" w:rsidRDefault="00830D94" w:rsidP="00830D94">
      <w:pPr>
        <w:spacing w:after="0" w:line="360" w:lineRule="auto"/>
        <w:ind w:firstLine="1440"/>
        <w:rPr>
          <w:rFonts w:ascii="Times New Roman" w:eastAsia="Times New Roman" w:hAnsi="Times New Roman" w:cs="Times New Roman"/>
          <w:spacing w:val="-3"/>
          <w:sz w:val="24"/>
          <w:szCs w:val="24"/>
        </w:rPr>
      </w:pPr>
      <w:r w:rsidRPr="00830D94">
        <w:rPr>
          <w:rFonts w:ascii="Times New Roman" w:eastAsia="Times New Roman" w:hAnsi="Times New Roman" w:cs="Times New Roman"/>
          <w:sz w:val="24"/>
          <w:szCs w:val="24"/>
        </w:rPr>
        <w:t xml:space="preserve">I&amp;E asserts that it is critical that transportation customers are charged the appropriate retainage rate because collecting too much retainage harms transportation customers by requiring them to pay more than their share of the losses, and not collecting enough retainage harms sales customers by causing them to pay for the UFG and CU that should be paid by transportation customers.  </w:t>
      </w:r>
      <w:r w:rsidRPr="00830D94">
        <w:rPr>
          <w:rFonts w:ascii="Times New Roman" w:eastAsia="Times New Roman" w:hAnsi="Times New Roman" w:cs="Times New Roman"/>
          <w:spacing w:val="-3"/>
          <w:sz w:val="24"/>
          <w:szCs w:val="24"/>
        </w:rPr>
        <w:t xml:space="preserve">I&amp;E recommended that retainage rates be reduced slightly to ensure that transportation customers share in the cost of providing retainage discounts to other transportation customers with competitive alternatives.  </w:t>
      </w:r>
      <w:proofErr w:type="gramStart"/>
      <w:r w:rsidR="00730ACB">
        <w:rPr>
          <w:rFonts w:ascii="Times New Roman" w:eastAsia="Times New Roman" w:hAnsi="Times New Roman" w:cs="Times New Roman"/>
          <w:spacing w:val="-3"/>
          <w:sz w:val="24"/>
          <w:szCs w:val="24"/>
        </w:rPr>
        <w:t>(</w:t>
      </w:r>
      <w:r w:rsidRPr="00830D94">
        <w:rPr>
          <w:rFonts w:ascii="Times New Roman" w:eastAsia="Times New Roman" w:hAnsi="Times New Roman" w:cs="Times New Roman"/>
          <w:spacing w:val="-3"/>
          <w:sz w:val="24"/>
          <w:szCs w:val="24"/>
        </w:rPr>
        <w:t>I&amp;E Statement in Support, p. 4.</w:t>
      </w:r>
      <w:r w:rsidR="00730ACB">
        <w:rPr>
          <w:rFonts w:ascii="Times New Roman" w:eastAsia="Times New Roman" w:hAnsi="Times New Roman" w:cs="Times New Roman"/>
          <w:spacing w:val="-3"/>
          <w:sz w:val="24"/>
          <w:szCs w:val="24"/>
        </w:rPr>
        <w:t>)</w:t>
      </w:r>
      <w:proofErr w:type="gramEnd"/>
    </w:p>
    <w:p w:rsidR="00830D94" w:rsidRPr="00830D94" w:rsidRDefault="00830D94" w:rsidP="00830D94">
      <w:pPr>
        <w:spacing w:after="0" w:line="360" w:lineRule="auto"/>
        <w:ind w:firstLine="720"/>
        <w:rPr>
          <w:rFonts w:ascii="Times New Roman" w:eastAsia="Times New Roman" w:hAnsi="Times New Roman" w:cs="Times New Roman"/>
          <w:spacing w:val="-3"/>
          <w:sz w:val="24"/>
          <w:szCs w:val="24"/>
        </w:rPr>
      </w:pPr>
    </w:p>
    <w:p w:rsidR="00830D94" w:rsidRPr="00830D94" w:rsidRDefault="00830D94" w:rsidP="00830D94">
      <w:pPr>
        <w:spacing w:after="0" w:line="360" w:lineRule="auto"/>
        <w:ind w:firstLine="1440"/>
        <w:rPr>
          <w:rFonts w:ascii="Times New Roman" w:eastAsia="Times New Roman" w:hAnsi="Times New Roman" w:cs="Times New Roman"/>
          <w:sz w:val="24"/>
          <w:szCs w:val="24"/>
        </w:rPr>
      </w:pPr>
      <w:r w:rsidRPr="00830D94">
        <w:rPr>
          <w:rFonts w:ascii="Times New Roman" w:eastAsia="Times New Roman" w:hAnsi="Times New Roman" w:cs="Times New Roman"/>
          <w:sz w:val="24"/>
          <w:szCs w:val="24"/>
        </w:rPr>
        <w:t xml:space="preserve">I&amp;E recommended retainage rates that were 10 basis points (0.10%) lower than the rates currently charged to transportation customers.  </w:t>
      </w:r>
      <w:r w:rsidR="00730ACB">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 xml:space="preserve">I&amp;E Statement No. 1, p. 8.  </w:t>
      </w:r>
      <w:r w:rsidR="002347A6">
        <w:rPr>
          <w:rFonts w:ascii="Times New Roman" w:eastAsia="Times New Roman" w:hAnsi="Times New Roman" w:cs="Times New Roman"/>
          <w:sz w:val="24"/>
          <w:szCs w:val="24"/>
        </w:rPr>
        <w:t>Peoples TWP</w:t>
      </w:r>
      <w:r w:rsidRPr="00830D94">
        <w:rPr>
          <w:rFonts w:ascii="Times New Roman" w:eastAsia="Times New Roman" w:hAnsi="Times New Roman" w:cs="Times New Roman"/>
          <w:sz w:val="24"/>
          <w:szCs w:val="24"/>
        </w:rPr>
        <w:t xml:space="preserve"> Statement in Support, p.4.</w:t>
      </w:r>
      <w:r w:rsidR="00730ACB">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 xml:space="preserve">  Peoples TWP asserts that OSBA Witness Knecht noted that his analysis would suggest that retainage rates for smaller customers could be modestly increased, but ultimately concluded that the Company’s existing retainage rates are not unreasonable.  </w:t>
      </w:r>
      <w:r w:rsidR="00730ACB">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 xml:space="preserve">OSBA Statement No. 1, p. 14.  </w:t>
      </w:r>
      <w:r w:rsidR="002347A6">
        <w:rPr>
          <w:rFonts w:ascii="Times New Roman" w:eastAsia="Times New Roman" w:hAnsi="Times New Roman" w:cs="Times New Roman"/>
          <w:sz w:val="24"/>
          <w:szCs w:val="24"/>
        </w:rPr>
        <w:t>Peoples TWP</w:t>
      </w:r>
      <w:r w:rsidRPr="00830D94">
        <w:rPr>
          <w:rFonts w:ascii="Times New Roman" w:eastAsia="Times New Roman" w:hAnsi="Times New Roman" w:cs="Times New Roman"/>
          <w:sz w:val="24"/>
          <w:szCs w:val="24"/>
        </w:rPr>
        <w:t xml:space="preserve"> Statement in Support, p.4.</w:t>
      </w:r>
      <w:r w:rsidR="00730ACB">
        <w:rPr>
          <w:rFonts w:ascii="Times New Roman" w:eastAsia="Times New Roman" w:hAnsi="Times New Roman" w:cs="Times New Roman"/>
          <w:sz w:val="24"/>
          <w:szCs w:val="24"/>
        </w:rPr>
        <w:t>)</w:t>
      </w:r>
    </w:p>
    <w:p w:rsidR="00830D94" w:rsidRPr="00830D94" w:rsidRDefault="00830D94" w:rsidP="00830D94">
      <w:pPr>
        <w:spacing w:after="0" w:line="360" w:lineRule="auto"/>
        <w:ind w:firstLine="1440"/>
        <w:rPr>
          <w:rFonts w:ascii="Times New Roman" w:eastAsia="Times New Roman" w:hAnsi="Times New Roman" w:cs="Times New Roman"/>
          <w:sz w:val="24"/>
          <w:szCs w:val="24"/>
        </w:rPr>
      </w:pPr>
    </w:p>
    <w:p w:rsidR="00830D94" w:rsidRDefault="001B4E52" w:rsidP="001B4E52">
      <w:pPr>
        <w:tabs>
          <w:tab w:val="left" w:pos="-1440"/>
        </w:tabs>
        <w:spacing w:after="0" w:line="360" w:lineRule="auto"/>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sidR="00830D94" w:rsidRPr="00830D94">
        <w:rPr>
          <w:rFonts w:ascii="Times New Roman" w:hAnsi="Times New Roman" w:cs="Times New Roman"/>
          <w:spacing w:val="-3"/>
          <w:sz w:val="24"/>
          <w:szCs w:val="24"/>
        </w:rPr>
        <w:t>I&amp;E avers that the retainage rates proposed in the Settlement are reasonable and will ensure that transportation customers contribute to the discounts.  According to I&amp;E, under the current retainage rates, the Company would not only meet its retainage volume targets, but it would also generate extra retainage volumes.  The retainage rates proposed in the settlement help to mitigate this surplus.  It is critical that customers are charges the appropriate retainage rates as doing so protects all customers irrespective of their customer class.  I&amp;E concludes the retainage rates proposed in the settlement ensure that all customers contribute to UFG and company use gas.</w:t>
      </w:r>
      <w:r>
        <w:rPr>
          <w:rFonts w:ascii="Times New Roman" w:hAnsi="Times New Roman" w:cs="Times New Roman"/>
          <w:spacing w:val="-3"/>
          <w:sz w:val="24"/>
          <w:szCs w:val="24"/>
        </w:rPr>
        <w:t xml:space="preserve">  </w:t>
      </w:r>
      <w:proofErr w:type="gramStart"/>
      <w:r w:rsidR="00730ACB">
        <w:rPr>
          <w:rFonts w:ascii="Times New Roman" w:hAnsi="Times New Roman" w:cs="Times New Roman"/>
          <w:spacing w:val="-3"/>
          <w:sz w:val="24"/>
          <w:szCs w:val="24"/>
        </w:rPr>
        <w:t>(</w:t>
      </w:r>
      <w:r>
        <w:rPr>
          <w:rFonts w:ascii="Times New Roman" w:hAnsi="Times New Roman" w:cs="Times New Roman"/>
          <w:spacing w:val="-3"/>
          <w:sz w:val="24"/>
          <w:szCs w:val="24"/>
        </w:rPr>
        <w:t>I&amp;E Statement in Support, p</w:t>
      </w:r>
      <w:r w:rsidR="00830D94" w:rsidRPr="00830D94">
        <w:rPr>
          <w:rFonts w:ascii="Times New Roman" w:hAnsi="Times New Roman" w:cs="Times New Roman"/>
          <w:spacing w:val="-3"/>
          <w:sz w:val="24"/>
          <w:szCs w:val="24"/>
        </w:rPr>
        <w:t>p. 3-4.</w:t>
      </w:r>
      <w:r w:rsidR="00730ACB">
        <w:rPr>
          <w:rFonts w:ascii="Times New Roman" w:hAnsi="Times New Roman" w:cs="Times New Roman"/>
          <w:spacing w:val="-3"/>
          <w:sz w:val="24"/>
          <w:szCs w:val="24"/>
        </w:rPr>
        <w:t>)</w:t>
      </w:r>
      <w:proofErr w:type="gramEnd"/>
    </w:p>
    <w:p w:rsidR="00795DE9" w:rsidRDefault="00795DE9" w:rsidP="001B4E52">
      <w:pPr>
        <w:tabs>
          <w:tab w:val="left" w:pos="-1440"/>
        </w:tabs>
        <w:spacing w:after="0" w:line="360" w:lineRule="auto"/>
        <w:rPr>
          <w:rFonts w:ascii="Times New Roman" w:hAnsi="Times New Roman" w:cs="Times New Roman"/>
          <w:spacing w:val="-3"/>
          <w:sz w:val="24"/>
          <w:szCs w:val="24"/>
        </w:rPr>
      </w:pPr>
    </w:p>
    <w:p w:rsidR="005C56E1" w:rsidRDefault="005C56E1" w:rsidP="00990554">
      <w:pPr>
        <w:spacing w:after="0" w:line="360" w:lineRule="auto"/>
        <w:rPr>
          <w:rFonts w:ascii="Times New Roman" w:eastAsia="Times New Roman" w:hAnsi="Times New Roman" w:cs="Times New Roman"/>
          <w:sz w:val="24"/>
          <w:szCs w:val="24"/>
        </w:rPr>
      </w:pPr>
    </w:p>
    <w:p w:rsidR="005C56E1" w:rsidRDefault="005C56E1" w:rsidP="00990554">
      <w:pPr>
        <w:spacing w:after="0" w:line="360" w:lineRule="auto"/>
        <w:rPr>
          <w:rFonts w:ascii="Times New Roman" w:eastAsia="Times New Roman" w:hAnsi="Times New Roman" w:cs="Times New Roman"/>
          <w:sz w:val="24"/>
          <w:szCs w:val="24"/>
        </w:rPr>
      </w:pPr>
    </w:p>
    <w:p w:rsidR="005C56E1" w:rsidRDefault="005C56E1" w:rsidP="00990554">
      <w:pPr>
        <w:spacing w:after="0" w:line="360" w:lineRule="auto"/>
        <w:rPr>
          <w:rFonts w:ascii="Times New Roman" w:eastAsia="Times New Roman" w:hAnsi="Times New Roman" w:cs="Times New Roman"/>
          <w:sz w:val="24"/>
          <w:szCs w:val="24"/>
        </w:rPr>
      </w:pPr>
    </w:p>
    <w:p w:rsidR="005C56E1" w:rsidRDefault="005C56E1" w:rsidP="00990554">
      <w:pPr>
        <w:spacing w:after="0" w:line="360" w:lineRule="auto"/>
        <w:rPr>
          <w:rFonts w:ascii="Times New Roman" w:eastAsia="Times New Roman" w:hAnsi="Times New Roman" w:cs="Times New Roman"/>
          <w:sz w:val="24"/>
          <w:szCs w:val="24"/>
        </w:rPr>
      </w:pPr>
    </w:p>
    <w:p w:rsidR="005C56E1" w:rsidRDefault="005C56E1" w:rsidP="00990554">
      <w:pPr>
        <w:spacing w:after="0" w:line="360" w:lineRule="auto"/>
        <w:rPr>
          <w:rFonts w:ascii="Times New Roman" w:eastAsia="Times New Roman" w:hAnsi="Times New Roman" w:cs="Times New Roman"/>
          <w:sz w:val="24"/>
          <w:szCs w:val="24"/>
        </w:rPr>
      </w:pPr>
    </w:p>
    <w:p w:rsidR="00830D94" w:rsidRPr="00830D94" w:rsidRDefault="00F76838" w:rsidP="00990554">
      <w:pPr>
        <w:spacing w:after="0" w:line="36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lastRenderedPageBreak/>
        <w:t>D</w:t>
      </w:r>
      <w:r w:rsidR="00990554" w:rsidRPr="00990554">
        <w:rPr>
          <w:rFonts w:ascii="Times New Roman" w:eastAsia="Times New Roman" w:hAnsi="Times New Roman" w:cs="Times New Roman"/>
          <w:sz w:val="24"/>
          <w:szCs w:val="24"/>
        </w:rPr>
        <w:t>.</w:t>
      </w:r>
      <w:r w:rsidR="00990554" w:rsidRPr="00990554">
        <w:rPr>
          <w:rFonts w:ascii="Times New Roman" w:eastAsia="Times New Roman" w:hAnsi="Times New Roman" w:cs="Times New Roman"/>
          <w:sz w:val="24"/>
          <w:szCs w:val="24"/>
        </w:rPr>
        <w:tab/>
      </w:r>
      <w:r w:rsidR="00830D94" w:rsidRPr="00830D94">
        <w:rPr>
          <w:rFonts w:ascii="Times New Roman" w:eastAsia="Times New Roman" w:hAnsi="Times New Roman" w:cs="Times New Roman"/>
          <w:sz w:val="24"/>
          <w:szCs w:val="24"/>
          <w:u w:val="single"/>
        </w:rPr>
        <w:t>Balancing and Demand Charges</w:t>
      </w:r>
    </w:p>
    <w:p w:rsidR="00830D94" w:rsidRPr="00830D94" w:rsidRDefault="00830D94" w:rsidP="00830D94">
      <w:pPr>
        <w:spacing w:after="0" w:line="360" w:lineRule="auto"/>
        <w:ind w:left="1080"/>
        <w:rPr>
          <w:rFonts w:ascii="Times New Roman" w:eastAsia="Times New Roman" w:hAnsi="Times New Roman" w:cs="Times New Roman"/>
          <w:sz w:val="24"/>
          <w:szCs w:val="24"/>
          <w:u w:val="single"/>
        </w:rPr>
      </w:pPr>
    </w:p>
    <w:p w:rsidR="00830D94" w:rsidRPr="00990554" w:rsidRDefault="00990554" w:rsidP="00990554">
      <w:pPr>
        <w:spacing w:after="0" w:line="360" w:lineRule="auto"/>
        <w:ind w:firstLine="720"/>
        <w:rPr>
          <w:rFonts w:ascii="Times New Roman" w:hAnsi="Times New Roman" w:cs="Times New Roman"/>
          <w:sz w:val="24"/>
          <w:szCs w:val="24"/>
          <w:u w:val="single"/>
        </w:rPr>
      </w:pPr>
      <w:r w:rsidRPr="00990554">
        <w:rPr>
          <w:rFonts w:ascii="Times New Roman" w:hAnsi="Times New Roman" w:cs="Times New Roman"/>
          <w:sz w:val="24"/>
          <w:szCs w:val="24"/>
        </w:rPr>
        <w:t>1</w:t>
      </w:r>
      <w:r w:rsidR="00830D94" w:rsidRPr="00830D94">
        <w:rPr>
          <w:rFonts w:ascii="Times New Roman" w:hAnsi="Times New Roman" w:cs="Times New Roman"/>
          <w:sz w:val="24"/>
          <w:szCs w:val="24"/>
        </w:rPr>
        <w:t>.</w:t>
      </w:r>
      <w:r w:rsidRPr="00990554">
        <w:rPr>
          <w:rFonts w:ascii="Times New Roman" w:hAnsi="Times New Roman" w:cs="Times New Roman"/>
          <w:sz w:val="24"/>
          <w:szCs w:val="24"/>
        </w:rPr>
        <w:tab/>
      </w:r>
      <w:r w:rsidR="00830D94" w:rsidRPr="00830D94">
        <w:rPr>
          <w:rFonts w:ascii="Times New Roman" w:hAnsi="Times New Roman" w:cs="Times New Roman"/>
          <w:sz w:val="24"/>
          <w:szCs w:val="24"/>
          <w:u w:val="single"/>
        </w:rPr>
        <w:t>Peoples TWP’s Position</w:t>
      </w:r>
    </w:p>
    <w:p w:rsidR="00990554" w:rsidRPr="00830D94" w:rsidRDefault="00990554" w:rsidP="00990554">
      <w:pPr>
        <w:spacing w:after="0" w:line="360" w:lineRule="auto"/>
        <w:ind w:firstLine="720"/>
        <w:rPr>
          <w:rFonts w:ascii="Times New Roman" w:hAnsi="Times New Roman" w:cs="Times New Roman"/>
          <w:b/>
          <w:sz w:val="24"/>
          <w:szCs w:val="24"/>
        </w:rPr>
      </w:pPr>
    </w:p>
    <w:p w:rsidR="00830D94" w:rsidRPr="00830D94" w:rsidRDefault="00830D94" w:rsidP="00952E79">
      <w:pPr>
        <w:spacing w:after="0" w:line="360" w:lineRule="auto"/>
        <w:ind w:firstLine="1440"/>
        <w:rPr>
          <w:rFonts w:ascii="Times New Roman" w:eastAsia="Times New Roman" w:hAnsi="Times New Roman" w:cs="Times New Roman"/>
          <w:sz w:val="24"/>
          <w:szCs w:val="24"/>
        </w:rPr>
      </w:pPr>
      <w:r w:rsidRPr="00830D94">
        <w:rPr>
          <w:rFonts w:ascii="Times New Roman" w:eastAsia="Times New Roman" w:hAnsi="Times New Roman" w:cs="Times New Roman"/>
          <w:sz w:val="24"/>
          <w:szCs w:val="24"/>
        </w:rPr>
        <w:t>Peoples TWP explains that demand charges are incurred by Peoples TWP under the firm storage (FS) and firm transportation (FT) service agreements with three interstate pipelines:</w:t>
      </w:r>
      <w:r w:rsidR="00990554">
        <w:rPr>
          <w:rFonts w:ascii="Times New Roman" w:eastAsia="Times New Roman" w:hAnsi="Times New Roman" w:cs="Times New Roman"/>
          <w:sz w:val="24"/>
          <w:szCs w:val="24"/>
        </w:rPr>
        <w:t xml:space="preserve"> </w:t>
      </w:r>
      <w:r w:rsidRPr="00830D94">
        <w:rPr>
          <w:rFonts w:ascii="Times New Roman" w:eastAsia="Times New Roman" w:hAnsi="Times New Roman" w:cs="Times New Roman"/>
          <w:sz w:val="24"/>
          <w:szCs w:val="24"/>
        </w:rPr>
        <w:t xml:space="preserve"> Equitrans, L.P. (Equitrans), Dominion Transmission, Inc. (Dominion), and Columbia Gas Transmission, LLC (TCO).  </w:t>
      </w:r>
      <w:r w:rsidR="00952E79">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Peoples TWP Statement No. 3, p. 9.  Peoples TWP Statement in Support, p. 5.</w:t>
      </w:r>
      <w:r w:rsidR="00952E79">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 xml:space="preserve">  The Company originally proposed continuing its use of the Extra Demand Cost of Service Methodology for allocating demand costs among customer classes, which Peoples TWP has utilized since 1990.  </w:t>
      </w:r>
      <w:r w:rsidR="00952E79">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Peoples TWP Statement No. 3, p. 9; Peoples TWP Statement No. 1-R, p. 9.  Peoples TWP Statement in Support, p. 5.</w:t>
      </w:r>
      <w:r w:rsidR="00952E79">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 xml:space="preserve">  According to Peoples TWP, this approach uses the ratio of Peak Day requirements to average day requirements to allocate Demand Charges.  The methodology allocates FS costs to sales and </w:t>
      </w:r>
      <w:proofErr w:type="gramStart"/>
      <w:r w:rsidRPr="00830D94">
        <w:rPr>
          <w:rFonts w:ascii="Times New Roman" w:eastAsia="Times New Roman" w:hAnsi="Times New Roman" w:cs="Times New Roman"/>
          <w:sz w:val="24"/>
          <w:szCs w:val="24"/>
        </w:rPr>
        <w:t>transportation customers in each class based upon s</w:t>
      </w:r>
      <w:r w:rsidR="00990554">
        <w:rPr>
          <w:rFonts w:ascii="Times New Roman" w:eastAsia="Times New Roman" w:hAnsi="Times New Roman" w:cs="Times New Roman"/>
          <w:sz w:val="24"/>
          <w:szCs w:val="24"/>
        </w:rPr>
        <w:t>ales and transportation throughp</w:t>
      </w:r>
      <w:r w:rsidRPr="00830D94">
        <w:rPr>
          <w:rFonts w:ascii="Times New Roman" w:eastAsia="Times New Roman" w:hAnsi="Times New Roman" w:cs="Times New Roman"/>
          <w:sz w:val="24"/>
          <w:szCs w:val="24"/>
        </w:rPr>
        <w:t>ut and allocates</w:t>
      </w:r>
      <w:proofErr w:type="gramEnd"/>
      <w:r w:rsidRPr="00830D94">
        <w:rPr>
          <w:rFonts w:ascii="Times New Roman" w:eastAsia="Times New Roman" w:hAnsi="Times New Roman" w:cs="Times New Roman"/>
          <w:sz w:val="24"/>
          <w:szCs w:val="24"/>
        </w:rPr>
        <w:t xml:space="preserve"> FT costs only to sales and essential human needs (P-1) customers based upon their volumes. </w:t>
      </w:r>
      <w:r w:rsidR="00952E79">
        <w:rPr>
          <w:rFonts w:ascii="Times New Roman" w:eastAsia="Times New Roman" w:hAnsi="Times New Roman" w:cs="Times New Roman"/>
          <w:sz w:val="24"/>
          <w:szCs w:val="24"/>
        </w:rPr>
        <w:t xml:space="preserve"> </w:t>
      </w:r>
      <w:proofErr w:type="gramStart"/>
      <w:r w:rsidR="00952E79">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Peoples TWP Statement No. 1-R,</w:t>
      </w:r>
      <w:r w:rsidR="00952E79">
        <w:rPr>
          <w:rFonts w:ascii="Times New Roman" w:eastAsia="Times New Roman" w:hAnsi="Times New Roman" w:cs="Times New Roman"/>
          <w:sz w:val="24"/>
          <w:szCs w:val="24"/>
        </w:rPr>
        <w:t xml:space="preserve"> </w:t>
      </w:r>
      <w:r w:rsidRPr="00830D94">
        <w:rPr>
          <w:rFonts w:ascii="Times New Roman" w:eastAsia="Times New Roman" w:hAnsi="Times New Roman" w:cs="Times New Roman"/>
          <w:sz w:val="24"/>
          <w:szCs w:val="24"/>
        </w:rPr>
        <w:t>pp. 7, 9.</w:t>
      </w:r>
      <w:proofErr w:type="gramEnd"/>
      <w:r w:rsidRPr="00830D94">
        <w:rPr>
          <w:rFonts w:ascii="Times New Roman" w:eastAsia="Times New Roman" w:hAnsi="Times New Roman" w:cs="Times New Roman"/>
          <w:sz w:val="24"/>
          <w:szCs w:val="24"/>
        </w:rPr>
        <w:t xml:space="preserve">  Peoples TWP Statement in Support, p. 5.</w:t>
      </w:r>
      <w:r w:rsidR="00952E79">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 xml:space="preserve">  Peoples TWP contends that the methodology was designed to recognize that storage capacity is used both to serve sales customers’ peak needs and to provide balancing services for transportation customers, but does so at the average load factor for both retail and transportation customers within a class.  </w:t>
      </w:r>
      <w:r w:rsidR="00952E79">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Peoples TWP Statement No.</w:t>
      </w:r>
      <w:r w:rsidR="00952E79">
        <w:rPr>
          <w:rFonts w:ascii="Times New Roman" w:eastAsia="Times New Roman" w:hAnsi="Times New Roman" w:cs="Times New Roman"/>
          <w:sz w:val="24"/>
          <w:szCs w:val="24"/>
        </w:rPr>
        <w:t xml:space="preserve"> </w:t>
      </w:r>
      <w:r w:rsidRPr="00830D94">
        <w:rPr>
          <w:rFonts w:ascii="Times New Roman" w:eastAsia="Times New Roman" w:hAnsi="Times New Roman" w:cs="Times New Roman"/>
          <w:sz w:val="24"/>
          <w:szCs w:val="24"/>
        </w:rPr>
        <w:t>1-R, p. 9.  Peoples TWP Statement in Support, p. 5.</w:t>
      </w:r>
      <w:r w:rsidR="00952E79">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 xml:space="preserve">  </w:t>
      </w:r>
    </w:p>
    <w:p w:rsidR="00830D94" w:rsidRPr="00830D94" w:rsidRDefault="00830D94" w:rsidP="00830D94">
      <w:pPr>
        <w:spacing w:after="0" w:line="360" w:lineRule="auto"/>
        <w:ind w:firstLine="720"/>
        <w:rPr>
          <w:rFonts w:ascii="Times New Roman" w:eastAsia="Times New Roman" w:hAnsi="Times New Roman" w:cs="Times New Roman"/>
          <w:sz w:val="24"/>
          <w:szCs w:val="24"/>
        </w:rPr>
      </w:pPr>
    </w:p>
    <w:p w:rsidR="007D6408" w:rsidRDefault="00830D94" w:rsidP="00830D94">
      <w:pPr>
        <w:spacing w:after="0" w:line="360" w:lineRule="auto"/>
        <w:ind w:firstLine="720"/>
        <w:rPr>
          <w:rFonts w:ascii="Times New Roman" w:eastAsia="Times New Roman" w:hAnsi="Times New Roman" w:cs="Times New Roman"/>
          <w:sz w:val="24"/>
          <w:szCs w:val="24"/>
        </w:rPr>
      </w:pPr>
      <w:r w:rsidRPr="00830D94">
        <w:rPr>
          <w:rFonts w:ascii="Times New Roman" w:eastAsia="Times New Roman" w:hAnsi="Times New Roman" w:cs="Times New Roman"/>
          <w:sz w:val="24"/>
          <w:szCs w:val="24"/>
        </w:rPr>
        <w:t xml:space="preserve">           According to Peoples TWP, the balancing fee is a charge paid by transportation customers on Peoples TWP’s system for costs incurred by the Company to provide daily and monthly balancing of receipts of gas from transportation customers with the consumption by those same customers.  </w:t>
      </w:r>
      <w:r w:rsidR="00952E79">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Peoples TWP Statement No. 3, p. 10.  Peoples TWP Statement in Support, p. 5.</w:t>
      </w:r>
      <w:r w:rsidR="00952E79">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 xml:space="preserve"> </w:t>
      </w:r>
      <w:r w:rsidR="00990554">
        <w:rPr>
          <w:rFonts w:ascii="Times New Roman" w:eastAsia="Times New Roman" w:hAnsi="Times New Roman" w:cs="Times New Roman"/>
          <w:sz w:val="24"/>
          <w:szCs w:val="24"/>
        </w:rPr>
        <w:t xml:space="preserve"> </w:t>
      </w:r>
      <w:r w:rsidRPr="00830D94">
        <w:rPr>
          <w:rFonts w:ascii="Times New Roman" w:eastAsia="Times New Roman" w:hAnsi="Times New Roman" w:cs="Times New Roman"/>
          <w:sz w:val="24"/>
          <w:szCs w:val="24"/>
        </w:rPr>
        <w:t xml:space="preserve">The Company asserts, for non-priority one (NP-1) customers, the balancing fee recovers purchased gas demand and capacity costs for firm interstate pipeline storage services that Peoples TWP uses to balance these transportation customer receipts and deliveries.  </w:t>
      </w:r>
      <w:r w:rsidR="00952E79">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Peoples TWP Statement No. 3, p. 10.  Peoples TWP Statement in Support, pp. 5-6.</w:t>
      </w:r>
      <w:r w:rsidR="00952E79">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 xml:space="preserve">  The Company contends, for the P-1 (primarily Residential) transportation class, the balancing fee is equal to the </w:t>
      </w:r>
      <w:r w:rsidRPr="00830D94">
        <w:rPr>
          <w:rFonts w:ascii="Times New Roman" w:eastAsia="Times New Roman" w:hAnsi="Times New Roman" w:cs="Times New Roman"/>
          <w:sz w:val="24"/>
          <w:szCs w:val="24"/>
        </w:rPr>
        <w:lastRenderedPageBreak/>
        <w:t xml:space="preserve">retail demand rate – inclusive of the demand “E” factor.  </w:t>
      </w:r>
      <w:r w:rsidR="00E10268">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Peoples TWP Statement No. 3, p. 10.</w:t>
      </w:r>
      <w:r w:rsidRPr="00830D94">
        <w:rPr>
          <w:rFonts w:ascii="Times New Roman" w:eastAsia="Times New Roman" w:hAnsi="Times New Roman" w:cs="Times New Roman"/>
          <w:sz w:val="24"/>
          <w:szCs w:val="24"/>
          <w:vertAlign w:val="superscript"/>
        </w:rPr>
        <w:footnoteReference w:id="3"/>
      </w:r>
      <w:r w:rsidRPr="00830D94">
        <w:rPr>
          <w:rFonts w:ascii="Times New Roman" w:eastAsia="Times New Roman" w:hAnsi="Times New Roman" w:cs="Times New Roman"/>
          <w:sz w:val="24"/>
          <w:szCs w:val="24"/>
        </w:rPr>
        <w:t xml:space="preserve">  Peoples TWP Statement in Support, p. 6.</w:t>
      </w:r>
      <w:r w:rsidR="00E10268">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 xml:space="preserve">  According to the Company, for the other rate classes, the demand “E” factor is first allocated to the transportation customer classes based on the percent of FS Reservation Charges to total Reservation Charges.  </w:t>
      </w:r>
      <w:r w:rsidR="00E10268">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Peoples TWP Statement</w:t>
      </w:r>
    </w:p>
    <w:p w:rsidR="00830D94" w:rsidRPr="00830D94" w:rsidRDefault="00830D94" w:rsidP="007D6408">
      <w:pPr>
        <w:spacing w:after="0" w:line="360" w:lineRule="auto"/>
        <w:rPr>
          <w:rFonts w:ascii="Times New Roman" w:eastAsia="Times New Roman" w:hAnsi="Times New Roman" w:cs="Times New Roman"/>
          <w:sz w:val="24"/>
          <w:szCs w:val="24"/>
        </w:rPr>
      </w:pPr>
      <w:r w:rsidRPr="00830D94">
        <w:rPr>
          <w:rFonts w:ascii="Times New Roman" w:eastAsia="Times New Roman" w:hAnsi="Times New Roman" w:cs="Times New Roman"/>
          <w:sz w:val="24"/>
          <w:szCs w:val="24"/>
        </w:rPr>
        <w:t>No. 3, p. 10.  Peoples TWP Statement in Support, p. 6.</w:t>
      </w:r>
      <w:r w:rsidR="00E10268">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 xml:space="preserve">  Peoples TWP avers that this balancing fee related “E” factor is then added to the rate class FS Demand rate to develop the Small General Service, Medium General Service, and Large General Service classes’ balancing fee rates.  </w:t>
      </w:r>
      <w:r w:rsidR="00E10268">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Peoples TWP Statement No. 3, p. 10.  Peoples TWP Statement in Support, p. 6.</w:t>
      </w:r>
      <w:r w:rsidR="00E10268">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 xml:space="preserve">  </w:t>
      </w:r>
    </w:p>
    <w:p w:rsidR="00830D94" w:rsidRPr="00830D94" w:rsidRDefault="00830D94" w:rsidP="00830D94">
      <w:pPr>
        <w:spacing w:after="0" w:line="360" w:lineRule="auto"/>
        <w:ind w:firstLine="720"/>
        <w:rPr>
          <w:rFonts w:ascii="Times New Roman" w:eastAsia="Times New Roman" w:hAnsi="Times New Roman" w:cs="Times New Roman"/>
          <w:sz w:val="24"/>
          <w:szCs w:val="24"/>
        </w:rPr>
      </w:pPr>
    </w:p>
    <w:p w:rsidR="007D6408" w:rsidRDefault="009534CD" w:rsidP="00830D94">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30D94" w:rsidRPr="00830D94">
        <w:rPr>
          <w:rFonts w:ascii="Times New Roman" w:eastAsia="Times New Roman" w:hAnsi="Times New Roman" w:cs="Times New Roman"/>
          <w:sz w:val="24"/>
          <w:szCs w:val="24"/>
        </w:rPr>
        <w:t xml:space="preserve">According to Peoples TWP, customers with competitive alternatives sometimes demand discounting of balancing fees, along with other charges.  </w:t>
      </w:r>
      <w:r w:rsidR="00E10268">
        <w:rPr>
          <w:rFonts w:ascii="Times New Roman" w:eastAsia="Times New Roman" w:hAnsi="Times New Roman" w:cs="Times New Roman"/>
          <w:sz w:val="24"/>
          <w:szCs w:val="24"/>
        </w:rPr>
        <w:t>(</w:t>
      </w:r>
      <w:r w:rsidR="00830D94" w:rsidRPr="00830D94">
        <w:rPr>
          <w:rFonts w:ascii="Times New Roman" w:eastAsia="Times New Roman" w:hAnsi="Times New Roman" w:cs="Times New Roman"/>
          <w:sz w:val="24"/>
          <w:szCs w:val="24"/>
        </w:rPr>
        <w:t xml:space="preserve">Peoples TWP Statement </w:t>
      </w:r>
    </w:p>
    <w:p w:rsidR="00830D94" w:rsidRPr="00830D94" w:rsidRDefault="00830D94" w:rsidP="00990554">
      <w:pPr>
        <w:spacing w:after="0" w:line="360" w:lineRule="auto"/>
        <w:rPr>
          <w:rFonts w:ascii="Times New Roman" w:eastAsia="Times New Roman" w:hAnsi="Times New Roman" w:cs="Times New Roman"/>
          <w:b/>
          <w:sz w:val="24"/>
          <w:szCs w:val="24"/>
        </w:rPr>
      </w:pPr>
      <w:r w:rsidRPr="00830D94">
        <w:rPr>
          <w:rFonts w:ascii="Times New Roman" w:eastAsia="Times New Roman" w:hAnsi="Times New Roman" w:cs="Times New Roman"/>
          <w:sz w:val="24"/>
          <w:szCs w:val="24"/>
        </w:rPr>
        <w:t>No.</w:t>
      </w:r>
      <w:r w:rsidR="007D6408">
        <w:rPr>
          <w:rFonts w:ascii="Times New Roman" w:eastAsia="Times New Roman" w:hAnsi="Times New Roman" w:cs="Times New Roman"/>
          <w:sz w:val="24"/>
          <w:szCs w:val="24"/>
        </w:rPr>
        <w:t xml:space="preserve"> </w:t>
      </w:r>
      <w:r w:rsidRPr="00830D94">
        <w:rPr>
          <w:rFonts w:ascii="Times New Roman" w:eastAsia="Times New Roman" w:hAnsi="Times New Roman" w:cs="Times New Roman"/>
          <w:sz w:val="24"/>
          <w:szCs w:val="24"/>
        </w:rPr>
        <w:t xml:space="preserve">1-R, p. 10. </w:t>
      </w:r>
      <w:r w:rsidRPr="00830D94">
        <w:rPr>
          <w:rFonts w:ascii="Times New Roman" w:eastAsia="Times New Roman" w:hAnsi="Times New Roman" w:cs="Times New Roman"/>
          <w:b/>
          <w:sz w:val="24"/>
          <w:szCs w:val="24"/>
        </w:rPr>
        <w:t xml:space="preserve"> </w:t>
      </w:r>
      <w:r w:rsidRPr="00830D94">
        <w:rPr>
          <w:rFonts w:ascii="Times New Roman" w:eastAsia="Times New Roman" w:hAnsi="Times New Roman" w:cs="Times New Roman"/>
          <w:sz w:val="24"/>
          <w:szCs w:val="24"/>
        </w:rPr>
        <w:t>Peoples TWP Statement in Support, p. 6.</w:t>
      </w:r>
      <w:r w:rsidR="00E10268">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 xml:space="preserve"> </w:t>
      </w:r>
      <w:r w:rsidRPr="00830D94">
        <w:rPr>
          <w:rFonts w:ascii="Times New Roman" w:eastAsia="Times New Roman" w:hAnsi="Times New Roman" w:cs="Times New Roman"/>
          <w:b/>
          <w:sz w:val="24"/>
          <w:szCs w:val="24"/>
        </w:rPr>
        <w:t xml:space="preserve"> </w:t>
      </w:r>
      <w:r w:rsidRPr="00830D94">
        <w:rPr>
          <w:rFonts w:ascii="Times New Roman" w:eastAsia="Times New Roman" w:hAnsi="Times New Roman" w:cs="Times New Roman"/>
          <w:sz w:val="24"/>
          <w:szCs w:val="24"/>
        </w:rPr>
        <w:t xml:space="preserve">Peoples TWP contends, if necessary to retain a customer on its system, the Company must at times agree to discount the balancing charge.  </w:t>
      </w:r>
      <w:r w:rsidR="00E10268">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Peoples TWP Statement No. 1-R, p. 10.</w:t>
      </w:r>
      <w:r w:rsidRPr="00830D94">
        <w:rPr>
          <w:rFonts w:ascii="Times New Roman" w:eastAsia="Times New Roman" w:hAnsi="Times New Roman" w:cs="Times New Roman"/>
          <w:b/>
          <w:sz w:val="24"/>
          <w:szCs w:val="24"/>
        </w:rPr>
        <w:t xml:space="preserve">  </w:t>
      </w:r>
      <w:r w:rsidRPr="00830D94">
        <w:rPr>
          <w:rFonts w:ascii="Times New Roman" w:eastAsia="Times New Roman" w:hAnsi="Times New Roman" w:cs="Times New Roman"/>
          <w:sz w:val="24"/>
          <w:szCs w:val="24"/>
        </w:rPr>
        <w:t>Peoples TWP Statement in Support, p. 6.</w:t>
      </w:r>
      <w:r w:rsidR="00E10268">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 xml:space="preserve"> </w:t>
      </w:r>
      <w:r w:rsidRPr="00830D94">
        <w:rPr>
          <w:rFonts w:ascii="Times New Roman" w:eastAsia="Times New Roman" w:hAnsi="Times New Roman" w:cs="Times New Roman"/>
          <w:b/>
          <w:sz w:val="24"/>
          <w:szCs w:val="24"/>
        </w:rPr>
        <w:t xml:space="preserve">  </w:t>
      </w:r>
      <w:r w:rsidRPr="00830D94">
        <w:rPr>
          <w:rFonts w:ascii="Times New Roman" w:eastAsia="Times New Roman" w:hAnsi="Times New Roman" w:cs="Times New Roman"/>
          <w:sz w:val="24"/>
          <w:szCs w:val="24"/>
        </w:rPr>
        <w:t xml:space="preserve">With respect to crediting a discounted balancing charge, the Company indicates it credits the amounts charged to transportation customers under discounted balancing rates toward the recovery of PGC demand costs.  </w:t>
      </w:r>
      <w:r w:rsidR="00E10268">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Peoples TWP Statement No. 1-R, p. 10.</w:t>
      </w:r>
      <w:r w:rsidRPr="00830D94">
        <w:rPr>
          <w:rFonts w:ascii="Times New Roman" w:eastAsia="Times New Roman" w:hAnsi="Times New Roman" w:cs="Times New Roman"/>
          <w:b/>
          <w:sz w:val="24"/>
          <w:szCs w:val="24"/>
        </w:rPr>
        <w:t xml:space="preserve">  </w:t>
      </w:r>
      <w:r w:rsidRPr="00830D94">
        <w:rPr>
          <w:rFonts w:ascii="Times New Roman" w:eastAsia="Times New Roman" w:hAnsi="Times New Roman" w:cs="Times New Roman"/>
          <w:sz w:val="24"/>
          <w:szCs w:val="24"/>
        </w:rPr>
        <w:t>Peoples TWP Statement in Support, p. 6.</w:t>
      </w:r>
      <w:r w:rsidR="00E10268">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 xml:space="preserve"> </w:t>
      </w:r>
      <w:r w:rsidRPr="00830D94">
        <w:rPr>
          <w:rFonts w:ascii="Times New Roman" w:eastAsia="Times New Roman" w:hAnsi="Times New Roman" w:cs="Times New Roman"/>
          <w:b/>
          <w:sz w:val="24"/>
          <w:szCs w:val="24"/>
        </w:rPr>
        <w:t xml:space="preserve"> </w:t>
      </w:r>
      <w:r w:rsidRPr="00830D94">
        <w:rPr>
          <w:rFonts w:ascii="Times New Roman" w:eastAsia="Times New Roman" w:hAnsi="Times New Roman" w:cs="Times New Roman"/>
          <w:sz w:val="24"/>
          <w:szCs w:val="24"/>
        </w:rPr>
        <w:t xml:space="preserve">Further, consistent with its historic practice, Peoples TWP avers that it currently recovers the shortfall created by discounted load balancing rate customers from customers within the same class.  </w:t>
      </w:r>
      <w:r w:rsidR="00E10268">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Peoples TWP Statement No. 1-R, p. 10.</w:t>
      </w:r>
      <w:r w:rsidRPr="00830D94">
        <w:rPr>
          <w:rFonts w:ascii="Times New Roman" w:eastAsia="Times New Roman" w:hAnsi="Times New Roman" w:cs="Times New Roman"/>
          <w:b/>
          <w:sz w:val="24"/>
          <w:szCs w:val="24"/>
        </w:rPr>
        <w:t xml:space="preserve">  </w:t>
      </w:r>
      <w:r w:rsidRPr="00830D94">
        <w:rPr>
          <w:rFonts w:ascii="Times New Roman" w:eastAsia="Times New Roman" w:hAnsi="Times New Roman" w:cs="Times New Roman"/>
          <w:sz w:val="24"/>
          <w:szCs w:val="24"/>
        </w:rPr>
        <w:t>Peoples TWP Statement in Support, p. 6.</w:t>
      </w:r>
      <w:r w:rsidR="00A761D1">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 xml:space="preserve"> </w:t>
      </w:r>
      <w:r w:rsidRPr="00830D94">
        <w:rPr>
          <w:rFonts w:ascii="Times New Roman" w:eastAsia="Times New Roman" w:hAnsi="Times New Roman" w:cs="Times New Roman"/>
          <w:b/>
          <w:sz w:val="24"/>
          <w:szCs w:val="24"/>
        </w:rPr>
        <w:t xml:space="preserve">  </w:t>
      </w:r>
    </w:p>
    <w:p w:rsidR="00830D94" w:rsidRPr="00830D94" w:rsidRDefault="00830D94" w:rsidP="00830D94">
      <w:pPr>
        <w:spacing w:after="0" w:line="360" w:lineRule="auto"/>
        <w:ind w:firstLine="720"/>
        <w:rPr>
          <w:rFonts w:ascii="Times New Roman" w:eastAsia="Times New Roman" w:hAnsi="Times New Roman" w:cs="Times New Roman"/>
          <w:b/>
          <w:sz w:val="24"/>
          <w:szCs w:val="24"/>
        </w:rPr>
      </w:pPr>
    </w:p>
    <w:p w:rsidR="000079ED" w:rsidRDefault="00830D94" w:rsidP="00FF19A4">
      <w:pPr>
        <w:spacing w:after="0" w:line="360" w:lineRule="auto"/>
        <w:ind w:firstLine="1440"/>
        <w:rPr>
          <w:rFonts w:ascii="Times New Roman" w:eastAsia="Times New Roman" w:hAnsi="Times New Roman" w:cs="Times New Roman"/>
          <w:sz w:val="24"/>
          <w:szCs w:val="24"/>
        </w:rPr>
      </w:pPr>
      <w:r w:rsidRPr="00830D94">
        <w:rPr>
          <w:rFonts w:ascii="Times New Roman" w:eastAsia="Times New Roman" w:hAnsi="Times New Roman" w:cs="Times New Roman"/>
          <w:sz w:val="24"/>
          <w:szCs w:val="24"/>
        </w:rPr>
        <w:t xml:space="preserve">OSBA Witness Knecht contended that Peoples TWP’s method implicitly assumes that the Company provides identical, or near identical, load balancing services to both sales and transportation customers.  </w:t>
      </w:r>
      <w:r w:rsidR="00E10268">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 xml:space="preserve">OSBA Statement No. 1, p. 7.  Peoples TWP Statement in Support, </w:t>
      </w:r>
    </w:p>
    <w:p w:rsidR="00830D94" w:rsidRPr="00830D94" w:rsidRDefault="00830D94" w:rsidP="000079ED">
      <w:pPr>
        <w:spacing w:after="0" w:line="360" w:lineRule="auto"/>
        <w:rPr>
          <w:rFonts w:ascii="Times New Roman" w:eastAsia="Times New Roman" w:hAnsi="Times New Roman" w:cs="Times New Roman"/>
          <w:sz w:val="24"/>
          <w:szCs w:val="24"/>
        </w:rPr>
      </w:pPr>
      <w:r w:rsidRPr="00830D94">
        <w:rPr>
          <w:rFonts w:ascii="Times New Roman" w:eastAsia="Times New Roman" w:hAnsi="Times New Roman" w:cs="Times New Roman"/>
          <w:sz w:val="24"/>
          <w:szCs w:val="24"/>
        </w:rPr>
        <w:t>pp. 6-7.</w:t>
      </w:r>
      <w:r w:rsidR="00E10268">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 xml:space="preserve">  However, the Company contends that transportation customers are generally required to deliver gas supplies equal to their monthly gas consumption requirements; thus, for NP-1 transportation customers, Peoples TWP only provides intra-month and limited inter-month </w:t>
      </w:r>
      <w:r w:rsidRPr="00830D94">
        <w:rPr>
          <w:rFonts w:ascii="Times New Roman" w:eastAsia="Times New Roman" w:hAnsi="Times New Roman" w:cs="Times New Roman"/>
          <w:sz w:val="24"/>
          <w:szCs w:val="24"/>
        </w:rPr>
        <w:lastRenderedPageBreak/>
        <w:t>balancing,</w:t>
      </w:r>
      <w:r w:rsidRPr="00830D94">
        <w:rPr>
          <w:rFonts w:ascii="Times New Roman" w:eastAsia="Times New Roman" w:hAnsi="Times New Roman" w:cs="Times New Roman"/>
          <w:sz w:val="24"/>
          <w:szCs w:val="24"/>
          <w:vertAlign w:val="superscript"/>
        </w:rPr>
        <w:footnoteReference w:id="4"/>
      </w:r>
      <w:r w:rsidRPr="00830D94">
        <w:rPr>
          <w:rFonts w:ascii="Times New Roman" w:eastAsia="Times New Roman" w:hAnsi="Times New Roman" w:cs="Times New Roman"/>
          <w:sz w:val="24"/>
          <w:szCs w:val="24"/>
        </w:rPr>
        <w:t xml:space="preserve"> whereas for sales customers it provides annual load balancing. </w:t>
      </w:r>
      <w:r w:rsidR="00A761D1">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OSBA Statement No.</w:t>
      </w:r>
      <w:r w:rsidR="00AD7CFE">
        <w:rPr>
          <w:rFonts w:ascii="Times New Roman" w:eastAsia="Times New Roman" w:hAnsi="Times New Roman" w:cs="Times New Roman"/>
          <w:sz w:val="24"/>
          <w:szCs w:val="24"/>
        </w:rPr>
        <w:t> </w:t>
      </w:r>
      <w:r w:rsidRPr="00830D94">
        <w:rPr>
          <w:rFonts w:ascii="Times New Roman" w:eastAsia="Times New Roman" w:hAnsi="Times New Roman" w:cs="Times New Roman"/>
          <w:sz w:val="24"/>
          <w:szCs w:val="24"/>
        </w:rPr>
        <w:t>1, p. 7.  Peoples TWP Statement in Support, p. 7.</w:t>
      </w:r>
      <w:r w:rsidR="007D6408">
        <w:rPr>
          <w:rFonts w:ascii="Times New Roman" w:eastAsia="Times New Roman" w:hAnsi="Times New Roman" w:cs="Times New Roman"/>
          <w:sz w:val="24"/>
          <w:szCs w:val="24"/>
        </w:rPr>
        <w:t>)</w:t>
      </w:r>
      <w:r w:rsidR="00A761D1">
        <w:rPr>
          <w:rFonts w:ascii="Times New Roman" w:eastAsia="Times New Roman" w:hAnsi="Times New Roman" w:cs="Times New Roman"/>
          <w:sz w:val="24"/>
          <w:szCs w:val="24"/>
        </w:rPr>
        <w:t xml:space="preserve">  </w:t>
      </w:r>
      <w:r w:rsidRPr="00830D94">
        <w:rPr>
          <w:rFonts w:ascii="Times New Roman" w:eastAsia="Times New Roman" w:hAnsi="Times New Roman" w:cs="Times New Roman"/>
          <w:sz w:val="24"/>
          <w:szCs w:val="24"/>
        </w:rPr>
        <w:t xml:space="preserve">Therefore, OSBA Witness Knecht proposed that the balancing charge for transportation customers should be calculated based upon each transportation class’s balancing needs.  OSBA Witness Knecht also noted that the Large General Service class includes a number of customers who have discounted or zero load balancing rates.  </w:t>
      </w:r>
      <w:r w:rsidR="00A761D1">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OSBA Statement No. 1, p. 7.  Peoples TWP Statement in Support, p. 7.</w:t>
      </w:r>
      <w:r w:rsidR="00A761D1">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 xml:space="preserve">  As a result, when allocating the FS costs, OSBA argued that the balancing revenues and excess demands for customers with discounted balancing fees should be excluded from the FS calculation.  </w:t>
      </w:r>
      <w:r w:rsidR="00A761D1">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OSBA Statement No. 1, p. 8.  Peoples TWP Statement in Support, p. 7.</w:t>
      </w:r>
      <w:r w:rsidR="007D6408">
        <w:rPr>
          <w:rFonts w:ascii="Times New Roman" w:eastAsia="Times New Roman" w:hAnsi="Times New Roman" w:cs="Times New Roman"/>
          <w:sz w:val="24"/>
          <w:szCs w:val="24"/>
        </w:rPr>
        <w:t>)</w:t>
      </w:r>
      <w:r w:rsidR="00A761D1">
        <w:rPr>
          <w:rFonts w:ascii="Times New Roman" w:eastAsia="Times New Roman" w:hAnsi="Times New Roman" w:cs="Times New Roman"/>
          <w:sz w:val="24"/>
          <w:szCs w:val="24"/>
        </w:rPr>
        <w:t xml:space="preserve">  </w:t>
      </w:r>
      <w:r w:rsidRPr="00830D94">
        <w:rPr>
          <w:rFonts w:ascii="Times New Roman" w:eastAsia="Times New Roman" w:hAnsi="Times New Roman" w:cs="Times New Roman"/>
          <w:sz w:val="24"/>
          <w:szCs w:val="24"/>
        </w:rPr>
        <w:t xml:space="preserve">OSBA further averred that the FS allocation should allocate total FS costs net of revenues from discounted customers to all regular rate customers, not just the non-discounted transportation customers in that customer class.  </w:t>
      </w:r>
      <w:r w:rsidR="00A761D1">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OSBA Statement No. 1, p. 8.  Peoples TWP Statement in Support, p. 7.</w:t>
      </w:r>
      <w:r w:rsidR="00A761D1">
        <w:rPr>
          <w:rFonts w:ascii="Times New Roman" w:eastAsia="Times New Roman" w:hAnsi="Times New Roman" w:cs="Times New Roman"/>
          <w:sz w:val="24"/>
          <w:szCs w:val="24"/>
        </w:rPr>
        <w:t>)</w:t>
      </w:r>
    </w:p>
    <w:p w:rsidR="00830D94" w:rsidRPr="00830D94" w:rsidRDefault="00830D94" w:rsidP="00830D94">
      <w:pPr>
        <w:spacing w:after="0" w:line="360" w:lineRule="auto"/>
        <w:ind w:firstLine="720"/>
        <w:rPr>
          <w:rFonts w:ascii="Times New Roman" w:eastAsia="Times New Roman" w:hAnsi="Times New Roman" w:cs="Times New Roman"/>
          <w:sz w:val="24"/>
          <w:szCs w:val="24"/>
        </w:rPr>
      </w:pPr>
    </w:p>
    <w:p w:rsidR="00830D94" w:rsidRDefault="00830D94" w:rsidP="002D1E8B">
      <w:pPr>
        <w:spacing w:after="0" w:line="360" w:lineRule="auto"/>
        <w:ind w:firstLine="1440"/>
        <w:rPr>
          <w:rFonts w:ascii="Times New Roman" w:eastAsia="Times New Roman" w:hAnsi="Times New Roman" w:cs="Times New Roman"/>
          <w:sz w:val="24"/>
          <w:szCs w:val="24"/>
        </w:rPr>
      </w:pPr>
      <w:r w:rsidRPr="00830D94">
        <w:rPr>
          <w:rFonts w:ascii="Times New Roman" w:eastAsia="Times New Roman" w:hAnsi="Times New Roman" w:cs="Times New Roman"/>
          <w:sz w:val="24"/>
          <w:szCs w:val="24"/>
        </w:rPr>
        <w:t xml:space="preserve">The Company asserts that it agreed that a more appropriate balancing charge calculation would recognize that NP-1 transportation customers are limited with respect to load balancing.  </w:t>
      </w:r>
      <w:r w:rsidR="00A761D1">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Peoples TWP Statement No. 1-R, p. 9.  Peoples TWP Statement in Support, p. 7.</w:t>
      </w:r>
      <w:r w:rsidR="00A761D1">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 xml:space="preserve">  Further, Peoples TWP concluded that it concurred that the discount related to balancing revenues should be borne by all non-discounted customers.  </w:t>
      </w:r>
      <w:r w:rsidR="00A761D1">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Peoples TWP Statement No. 1-R, p. 10.  Peoples TWP Statement in Support, pp. 7-8.</w:t>
      </w:r>
      <w:r w:rsidR="00A761D1">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 xml:space="preserve">  Peoples TWP asserts that it  then calculated the cost-based balancing rates for transportation customers under its understanding of the method proposed by OSBA.  </w:t>
      </w:r>
      <w:r w:rsidR="00A761D1">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Peoples TWP Statement No. 1-R, pp. 11-12.  Peoples TWP Statement in Support, p. 8.</w:t>
      </w:r>
      <w:r w:rsidR="00A761D1">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 xml:space="preserve">  The resulting rates were presented in Peoples TWP Exhibit LWP-2-R.  Peoples TWP notes that its witness, Ms. Pertrichevich, proposed that if the OSBA’s revised balancing charge approach was adopted, then the Company should also eliminate the use of the Extra Demand Methodology.  </w:t>
      </w:r>
      <w:r w:rsidR="00A761D1">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Peoples TWP Statement No. 1-R, p. 12.  Peoples TWP Statement in Support, p. 8.</w:t>
      </w:r>
      <w:r w:rsidR="00A761D1">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 xml:space="preserve">  According to Peoples TWP, the result would be to charge all sales customers the same demand rate, which also is consistent with Peoples’ approach, as well as the approach used </w:t>
      </w:r>
      <w:r w:rsidRPr="00830D94">
        <w:rPr>
          <w:rFonts w:ascii="Times New Roman" w:eastAsia="Times New Roman" w:hAnsi="Times New Roman" w:cs="Times New Roman"/>
          <w:sz w:val="24"/>
          <w:szCs w:val="24"/>
        </w:rPr>
        <w:lastRenderedPageBreak/>
        <w:t>by other NGDCs in Pennsylvania.</w:t>
      </w:r>
      <w:r w:rsidR="00A761D1">
        <w:rPr>
          <w:rFonts w:ascii="Times New Roman" w:eastAsia="Times New Roman" w:hAnsi="Times New Roman" w:cs="Times New Roman"/>
          <w:sz w:val="24"/>
          <w:szCs w:val="24"/>
        </w:rPr>
        <w:t xml:space="preserve"> </w:t>
      </w:r>
      <w:r w:rsidRPr="00830D94">
        <w:rPr>
          <w:rFonts w:ascii="Times New Roman" w:eastAsia="Times New Roman" w:hAnsi="Times New Roman" w:cs="Times New Roman"/>
          <w:sz w:val="24"/>
          <w:szCs w:val="24"/>
        </w:rPr>
        <w:t xml:space="preserve"> </w:t>
      </w:r>
      <w:r w:rsidR="00A761D1">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Peoples TWP Statement No. 1-R, p. 12; OSBA Statement No.</w:t>
      </w:r>
      <w:r w:rsidR="00AC5E76">
        <w:rPr>
          <w:rFonts w:ascii="Times New Roman" w:eastAsia="Times New Roman" w:hAnsi="Times New Roman" w:cs="Times New Roman"/>
          <w:sz w:val="24"/>
          <w:szCs w:val="24"/>
        </w:rPr>
        <w:t> </w:t>
      </w:r>
      <w:r w:rsidRPr="00830D94">
        <w:rPr>
          <w:rFonts w:ascii="Times New Roman" w:eastAsia="Times New Roman" w:hAnsi="Times New Roman" w:cs="Times New Roman"/>
          <w:sz w:val="24"/>
          <w:szCs w:val="24"/>
        </w:rPr>
        <w:t>2 – Surrebuttal, p. 5.  Peoples TWP Statement in Support, p. 8.</w:t>
      </w:r>
      <w:r w:rsidR="00A761D1">
        <w:rPr>
          <w:rFonts w:ascii="Times New Roman" w:eastAsia="Times New Roman" w:hAnsi="Times New Roman" w:cs="Times New Roman"/>
          <w:sz w:val="24"/>
          <w:szCs w:val="24"/>
        </w:rPr>
        <w:t>)</w:t>
      </w:r>
    </w:p>
    <w:p w:rsidR="00AC5E76" w:rsidRPr="00830D94" w:rsidRDefault="00AC5E76" w:rsidP="002D1E8B">
      <w:pPr>
        <w:spacing w:after="0" w:line="360" w:lineRule="auto"/>
        <w:ind w:firstLine="1440"/>
        <w:rPr>
          <w:rFonts w:ascii="Times New Roman" w:eastAsia="Times New Roman" w:hAnsi="Times New Roman" w:cs="Times New Roman"/>
          <w:sz w:val="24"/>
          <w:szCs w:val="24"/>
        </w:rPr>
      </w:pPr>
    </w:p>
    <w:p w:rsidR="00830D94" w:rsidRPr="00830D94" w:rsidRDefault="00830D94" w:rsidP="00A761D1">
      <w:pPr>
        <w:spacing w:after="0" w:line="360" w:lineRule="auto"/>
        <w:ind w:firstLine="1440"/>
        <w:rPr>
          <w:rFonts w:ascii="Times New Roman" w:eastAsia="Times New Roman" w:hAnsi="Times New Roman" w:cs="Times New Roman"/>
          <w:sz w:val="24"/>
          <w:szCs w:val="24"/>
        </w:rPr>
      </w:pPr>
      <w:r w:rsidRPr="00830D94">
        <w:rPr>
          <w:rFonts w:ascii="Times New Roman" w:eastAsia="Times New Roman" w:hAnsi="Times New Roman" w:cs="Times New Roman"/>
          <w:sz w:val="24"/>
          <w:szCs w:val="24"/>
        </w:rPr>
        <w:t xml:space="preserve">The Company explained that OSBA Witness Knecht observed that the Company had included 9,709 Mcf/day of Dominion FT capacity in the costs to be included in the balancing fee and proposed to remove these FT costs from the storage capacity total.  </w:t>
      </w:r>
      <w:r w:rsidR="00A761D1">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OSBA Statement No. 2, pp. 3-4.</w:t>
      </w:r>
      <w:r w:rsidRPr="00830D94">
        <w:rPr>
          <w:rFonts w:ascii="Times New Roman" w:eastAsia="Times New Roman" w:hAnsi="Times New Roman" w:cs="Times New Roman"/>
          <w:b/>
          <w:sz w:val="24"/>
          <w:szCs w:val="24"/>
        </w:rPr>
        <w:t xml:space="preserve">  </w:t>
      </w:r>
      <w:r w:rsidRPr="00830D94">
        <w:rPr>
          <w:rFonts w:ascii="Times New Roman" w:eastAsia="Times New Roman" w:hAnsi="Times New Roman" w:cs="Times New Roman"/>
          <w:sz w:val="24"/>
          <w:szCs w:val="24"/>
        </w:rPr>
        <w:t>Peoples TWP Statement in Support, p. 8.</w:t>
      </w:r>
      <w:r w:rsidR="00971C53">
        <w:rPr>
          <w:rFonts w:ascii="Times New Roman" w:eastAsia="Times New Roman" w:hAnsi="Times New Roman" w:cs="Times New Roman"/>
          <w:sz w:val="24"/>
          <w:szCs w:val="24"/>
        </w:rPr>
        <w:t>)</w:t>
      </w:r>
      <w:r w:rsidRPr="00830D94">
        <w:rPr>
          <w:rFonts w:ascii="Times New Roman" w:eastAsia="Times New Roman" w:hAnsi="Times New Roman" w:cs="Times New Roman"/>
          <w:b/>
          <w:sz w:val="24"/>
          <w:szCs w:val="24"/>
        </w:rPr>
        <w:t xml:space="preserve">  </w:t>
      </w:r>
      <w:r w:rsidRPr="00830D94">
        <w:rPr>
          <w:rFonts w:ascii="Times New Roman" w:eastAsia="Times New Roman" w:hAnsi="Times New Roman" w:cs="Times New Roman"/>
          <w:sz w:val="24"/>
          <w:szCs w:val="24"/>
        </w:rPr>
        <w:t xml:space="preserve">Further, OSBA Witness Knecht recommended that if Peoples TWP’s proposal to eliminate the use of the Extra Demand Methodology and allocate demand costs to sales customers on an equal volumetric basis is adopted, the Company should continue to present the implications of its Extra Demand Methodology to ensure that a volumetric allocation remains reasonable.  </w:t>
      </w:r>
      <w:r w:rsidR="00A761D1">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OSBA Statement No. 2, p. 5.  Peoples TWP Statement in Support, p. 8.</w:t>
      </w:r>
      <w:r w:rsidR="00A761D1">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 xml:space="preserve"> </w:t>
      </w:r>
      <w:r w:rsidRPr="00830D94">
        <w:rPr>
          <w:rFonts w:ascii="Times New Roman" w:eastAsia="Times New Roman" w:hAnsi="Times New Roman" w:cs="Times New Roman"/>
          <w:b/>
          <w:sz w:val="24"/>
          <w:szCs w:val="24"/>
        </w:rPr>
        <w:t xml:space="preserve"> </w:t>
      </w:r>
      <w:r w:rsidRPr="00830D94">
        <w:rPr>
          <w:rFonts w:ascii="Times New Roman" w:eastAsia="Times New Roman" w:hAnsi="Times New Roman" w:cs="Times New Roman"/>
          <w:sz w:val="24"/>
          <w:szCs w:val="24"/>
        </w:rPr>
        <w:t xml:space="preserve">Moreover, OSBA Witness Knecht disagreed with the Company’s assumption that the existing method for deriving the “E” factor for the load balancing charge would remain the same.  </w:t>
      </w:r>
      <w:r w:rsidR="00A761D1">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OSBA Statement No. 2, p. 5.  Peoples TWP Statement in Support, pp. 8-9.</w:t>
      </w:r>
      <w:r w:rsidR="00A761D1">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 xml:space="preserve">  The Company points out that OCA presented certain concerns related to the supporting inputs in Peoples TWP’s calculation of the balancing fee. </w:t>
      </w:r>
      <w:r w:rsidR="00A761D1">
        <w:rPr>
          <w:rFonts w:ascii="Times New Roman" w:eastAsia="Times New Roman" w:hAnsi="Times New Roman" w:cs="Times New Roman"/>
          <w:sz w:val="24"/>
          <w:szCs w:val="24"/>
        </w:rPr>
        <w:t xml:space="preserve"> (</w:t>
      </w:r>
      <w:r w:rsidRPr="00830D94">
        <w:rPr>
          <w:rFonts w:ascii="Times New Roman" w:eastAsia="Times New Roman" w:hAnsi="Times New Roman" w:cs="Times New Roman"/>
          <w:sz w:val="24"/>
          <w:szCs w:val="24"/>
        </w:rPr>
        <w:t>OCA Statement No. 1-S,</w:t>
      </w:r>
      <w:r w:rsidR="00A761D1">
        <w:rPr>
          <w:rFonts w:ascii="Times New Roman" w:eastAsia="Times New Roman" w:hAnsi="Times New Roman" w:cs="Times New Roman"/>
          <w:sz w:val="24"/>
          <w:szCs w:val="24"/>
        </w:rPr>
        <w:t xml:space="preserve"> </w:t>
      </w:r>
      <w:r w:rsidRPr="00830D94">
        <w:rPr>
          <w:rFonts w:ascii="Times New Roman" w:eastAsia="Times New Roman" w:hAnsi="Times New Roman" w:cs="Times New Roman"/>
          <w:sz w:val="24"/>
          <w:szCs w:val="24"/>
        </w:rPr>
        <w:t>p. 8.  Peoples TWP Statement in Support, p. 9.</w:t>
      </w:r>
      <w:r w:rsidR="00A761D1">
        <w:rPr>
          <w:rFonts w:ascii="Times New Roman" w:eastAsia="Times New Roman" w:hAnsi="Times New Roman" w:cs="Times New Roman"/>
          <w:sz w:val="24"/>
          <w:szCs w:val="24"/>
        </w:rPr>
        <w:t>)</w:t>
      </w:r>
    </w:p>
    <w:p w:rsidR="00830D94" w:rsidRPr="00830D94" w:rsidRDefault="00830D94" w:rsidP="00830D94">
      <w:pPr>
        <w:spacing w:after="0" w:line="360" w:lineRule="auto"/>
        <w:ind w:firstLine="720"/>
        <w:rPr>
          <w:rFonts w:ascii="Times New Roman" w:eastAsia="Times New Roman" w:hAnsi="Times New Roman" w:cs="Times New Roman"/>
          <w:sz w:val="24"/>
          <w:szCs w:val="24"/>
        </w:rPr>
      </w:pPr>
    </w:p>
    <w:p w:rsidR="00925F1D" w:rsidRDefault="00832A2C" w:rsidP="00832A2C">
      <w:pPr>
        <w:tabs>
          <w:tab w:val="left" w:pos="144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830D94" w:rsidRPr="00830D94">
        <w:rPr>
          <w:rFonts w:ascii="Times New Roman" w:eastAsia="Times New Roman" w:hAnsi="Times New Roman" w:cs="Times New Roman"/>
          <w:sz w:val="24"/>
          <w:szCs w:val="24"/>
        </w:rPr>
        <w:t xml:space="preserve">eoples TWP concludes that the Settlement substantially adopts the OSBA’s and the Company’s proposals for balancing charges and demand rates for sales customers.  Peoples TWP explains the Settlement provides that balancing charges will be determined based on the class specific design day level of load balancing provided by the Company and based on the difference between design day demands and average daily amounts for the peak month as supplied by transportation customers.  </w:t>
      </w:r>
      <w:proofErr w:type="gramStart"/>
      <w:r w:rsidR="00925F1D">
        <w:rPr>
          <w:rFonts w:ascii="Times New Roman" w:eastAsia="Times New Roman" w:hAnsi="Times New Roman" w:cs="Times New Roman"/>
          <w:sz w:val="24"/>
          <w:szCs w:val="24"/>
        </w:rPr>
        <w:t>(</w:t>
      </w:r>
      <w:r w:rsidR="00830D94" w:rsidRPr="00830D94">
        <w:rPr>
          <w:rFonts w:ascii="Times New Roman" w:eastAsia="Times New Roman" w:hAnsi="Times New Roman" w:cs="Times New Roman"/>
          <w:sz w:val="24"/>
          <w:szCs w:val="24"/>
        </w:rPr>
        <w:t>Settlement ¶ 21.</w:t>
      </w:r>
      <w:proofErr w:type="gramEnd"/>
      <w:r w:rsidR="00830D94" w:rsidRPr="00830D94">
        <w:rPr>
          <w:rFonts w:ascii="Times New Roman" w:eastAsia="Times New Roman" w:hAnsi="Times New Roman" w:cs="Times New Roman"/>
          <w:sz w:val="24"/>
          <w:szCs w:val="24"/>
        </w:rPr>
        <w:t xml:space="preserve">  Peoples TWP Statement in Support, </w:t>
      </w:r>
    </w:p>
    <w:p w:rsidR="00830D94" w:rsidRPr="00830D94" w:rsidRDefault="00830D94" w:rsidP="00925F1D">
      <w:pPr>
        <w:tabs>
          <w:tab w:val="left" w:pos="1440"/>
        </w:tabs>
        <w:spacing w:after="0" w:line="360" w:lineRule="auto"/>
        <w:rPr>
          <w:rFonts w:ascii="Times New Roman" w:eastAsia="Times New Roman" w:hAnsi="Times New Roman" w:cs="Times New Roman"/>
          <w:b/>
          <w:sz w:val="24"/>
          <w:szCs w:val="24"/>
        </w:rPr>
      </w:pPr>
      <w:r w:rsidRPr="00830D94">
        <w:rPr>
          <w:rFonts w:ascii="Times New Roman" w:eastAsia="Times New Roman" w:hAnsi="Times New Roman" w:cs="Times New Roman"/>
          <w:sz w:val="24"/>
          <w:szCs w:val="24"/>
        </w:rPr>
        <w:t>p. 9.</w:t>
      </w:r>
      <w:r w:rsidR="00925F1D">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 xml:space="preserve">  Peoples TWP notes that the Settlement calculation removes Dominion FT charges from the costs included in the balancing rate calculation.  </w:t>
      </w:r>
      <w:proofErr w:type="gramStart"/>
      <w:r w:rsidRPr="00830D94">
        <w:rPr>
          <w:rFonts w:ascii="Times New Roman" w:eastAsia="Times New Roman" w:hAnsi="Times New Roman" w:cs="Times New Roman"/>
          <w:sz w:val="24"/>
          <w:szCs w:val="24"/>
        </w:rPr>
        <w:t>(Attachment A, p. 1.)</w:t>
      </w:r>
      <w:proofErr w:type="gramEnd"/>
      <w:r w:rsidRPr="00830D94">
        <w:rPr>
          <w:rFonts w:ascii="Times New Roman" w:eastAsia="Times New Roman" w:hAnsi="Times New Roman" w:cs="Times New Roman"/>
          <w:sz w:val="24"/>
          <w:szCs w:val="24"/>
        </w:rPr>
        <w:t xml:space="preserve">  In addition, the Settlement provides that the FS recovery shortfall created by customers with discounted balancing rates shall be retained within the LGS rate class</w:t>
      </w:r>
      <w:r w:rsidRPr="00830D94">
        <w:rPr>
          <w:rFonts w:ascii="Times New Roman" w:eastAsia="Times New Roman" w:hAnsi="Times New Roman" w:cs="Times New Roman"/>
          <w:sz w:val="24"/>
          <w:szCs w:val="24"/>
          <w:vertAlign w:val="superscript"/>
        </w:rPr>
        <w:footnoteReference w:id="5"/>
      </w:r>
      <w:r w:rsidRPr="00830D94">
        <w:rPr>
          <w:rFonts w:ascii="Times New Roman" w:eastAsia="Times New Roman" w:hAnsi="Times New Roman" w:cs="Times New Roman"/>
          <w:sz w:val="24"/>
          <w:szCs w:val="24"/>
        </w:rPr>
        <w:t xml:space="preserve"> for recovery from non-discounted Large General Service transportation customers, as shown on page 1 of Attachment A to the </w:t>
      </w:r>
      <w:r w:rsidRPr="00830D94">
        <w:rPr>
          <w:rFonts w:ascii="Times New Roman" w:eastAsia="Times New Roman" w:hAnsi="Times New Roman" w:cs="Times New Roman"/>
          <w:sz w:val="24"/>
          <w:szCs w:val="24"/>
        </w:rPr>
        <w:lastRenderedPageBreak/>
        <w:t xml:space="preserve">Joint Petition for Settlement.  </w:t>
      </w:r>
      <w:proofErr w:type="gramStart"/>
      <w:r w:rsidR="0036429A">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Settlement ¶ 21.</w:t>
      </w:r>
      <w:proofErr w:type="gramEnd"/>
      <w:r w:rsidRPr="00830D94">
        <w:rPr>
          <w:rFonts w:ascii="Times New Roman" w:eastAsia="Times New Roman" w:hAnsi="Times New Roman" w:cs="Times New Roman"/>
          <w:sz w:val="24"/>
          <w:szCs w:val="24"/>
        </w:rPr>
        <w:t xml:space="preserve">  Attachment A, p. 1.</w:t>
      </w:r>
      <w:r w:rsidRPr="00830D94">
        <w:rPr>
          <w:rFonts w:ascii="Times New Roman" w:eastAsia="Times New Roman" w:hAnsi="Times New Roman" w:cs="Times New Roman"/>
          <w:b/>
          <w:sz w:val="24"/>
          <w:szCs w:val="24"/>
        </w:rPr>
        <w:t xml:space="preserve">  </w:t>
      </w:r>
      <w:r w:rsidRPr="00830D94">
        <w:rPr>
          <w:rFonts w:ascii="Times New Roman" w:eastAsia="Times New Roman" w:hAnsi="Times New Roman" w:cs="Times New Roman"/>
          <w:sz w:val="24"/>
          <w:szCs w:val="24"/>
        </w:rPr>
        <w:t>Peoples TWP Statement in Support, p. 9.</w:t>
      </w:r>
      <w:r w:rsidR="0036429A">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 xml:space="preserve"> </w:t>
      </w:r>
      <w:r w:rsidRPr="00830D94">
        <w:rPr>
          <w:rFonts w:ascii="Times New Roman" w:eastAsia="Times New Roman" w:hAnsi="Times New Roman" w:cs="Times New Roman"/>
          <w:b/>
          <w:sz w:val="24"/>
          <w:szCs w:val="24"/>
        </w:rPr>
        <w:t xml:space="preserve"> </w:t>
      </w:r>
    </w:p>
    <w:p w:rsidR="00830D94" w:rsidRPr="00830D94" w:rsidRDefault="00830D94" w:rsidP="00830D94">
      <w:pPr>
        <w:spacing w:after="0" w:line="360" w:lineRule="auto"/>
        <w:ind w:firstLine="720"/>
        <w:rPr>
          <w:rFonts w:ascii="Times New Roman" w:eastAsia="Times New Roman" w:hAnsi="Times New Roman" w:cs="Times New Roman"/>
          <w:b/>
          <w:sz w:val="24"/>
          <w:szCs w:val="24"/>
        </w:rPr>
      </w:pPr>
      <w:r w:rsidRPr="00830D94">
        <w:rPr>
          <w:rFonts w:ascii="Times New Roman" w:eastAsia="Times New Roman" w:hAnsi="Times New Roman" w:cs="Times New Roman"/>
          <w:b/>
          <w:sz w:val="24"/>
          <w:szCs w:val="24"/>
        </w:rPr>
        <w:t xml:space="preserve"> </w:t>
      </w:r>
    </w:p>
    <w:p w:rsidR="0036429A" w:rsidRDefault="00830D94" w:rsidP="005E02A7">
      <w:pPr>
        <w:spacing w:after="0" w:line="360" w:lineRule="auto"/>
        <w:ind w:firstLine="1440"/>
        <w:rPr>
          <w:rFonts w:ascii="Times New Roman" w:eastAsia="Times New Roman" w:hAnsi="Times New Roman" w:cs="Times New Roman"/>
          <w:sz w:val="24"/>
          <w:szCs w:val="24"/>
        </w:rPr>
      </w:pPr>
      <w:r w:rsidRPr="00830D94">
        <w:rPr>
          <w:rFonts w:ascii="Times New Roman" w:eastAsia="Times New Roman" w:hAnsi="Times New Roman" w:cs="Times New Roman"/>
          <w:sz w:val="24"/>
          <w:szCs w:val="24"/>
        </w:rPr>
        <w:t xml:space="preserve">Furthermore, Peoples TWP contends that the Settlement reflects changes in the calculation of the demand charges for sales customers and the balancing fee charges for NP-1, non-negotiated rate transportation customers applicable for the 2015 PGC Application Period, as set forth on page 3 of Attachment A.  </w:t>
      </w:r>
      <w:proofErr w:type="gramStart"/>
      <w:r w:rsidR="0036429A">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Settlement ¶ 22.</w:t>
      </w:r>
      <w:proofErr w:type="gramEnd"/>
      <w:r w:rsidRPr="00830D94">
        <w:rPr>
          <w:rFonts w:ascii="Times New Roman" w:eastAsia="Times New Roman" w:hAnsi="Times New Roman" w:cs="Times New Roman"/>
          <w:sz w:val="24"/>
          <w:szCs w:val="24"/>
        </w:rPr>
        <w:t xml:space="preserve">  Peoples TWP Statement in Support, </w:t>
      </w:r>
    </w:p>
    <w:p w:rsidR="00830D94" w:rsidRDefault="00830D94" w:rsidP="0036429A">
      <w:pPr>
        <w:spacing w:after="0" w:line="360" w:lineRule="auto"/>
        <w:rPr>
          <w:rFonts w:ascii="Times New Roman" w:eastAsia="Times New Roman" w:hAnsi="Times New Roman" w:cs="Times New Roman"/>
          <w:b/>
          <w:sz w:val="24"/>
          <w:szCs w:val="24"/>
        </w:rPr>
      </w:pPr>
      <w:r w:rsidRPr="00830D94">
        <w:rPr>
          <w:rFonts w:ascii="Times New Roman" w:eastAsia="Times New Roman" w:hAnsi="Times New Roman" w:cs="Times New Roman"/>
          <w:sz w:val="24"/>
          <w:szCs w:val="24"/>
        </w:rPr>
        <w:t>p. 9.</w:t>
      </w:r>
      <w:r w:rsidR="0036429A">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 xml:space="preserve"> </w:t>
      </w:r>
      <w:r w:rsidRPr="00830D94">
        <w:rPr>
          <w:rFonts w:ascii="Times New Roman" w:eastAsia="Times New Roman" w:hAnsi="Times New Roman" w:cs="Times New Roman"/>
          <w:b/>
          <w:sz w:val="24"/>
          <w:szCs w:val="24"/>
        </w:rPr>
        <w:t xml:space="preserve"> </w:t>
      </w:r>
      <w:r w:rsidRPr="00830D94">
        <w:rPr>
          <w:rFonts w:ascii="Times New Roman" w:eastAsia="Times New Roman" w:hAnsi="Times New Roman" w:cs="Times New Roman"/>
          <w:sz w:val="24"/>
          <w:szCs w:val="24"/>
        </w:rPr>
        <w:t xml:space="preserve">According to the Company, balancing revenues from transportation customers will be deducted from the total annual FS Interstate Pipeline Reservation Charges, with the result that the remaining FS cost will be collected through the Purchased Gas Demand Cost (PGDC) rate.  </w:t>
      </w:r>
      <w:proofErr w:type="gramStart"/>
      <w:r w:rsidR="0036429A">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Settlement ¶ 22.</w:t>
      </w:r>
      <w:proofErr w:type="gramEnd"/>
      <w:r w:rsidRPr="00830D94">
        <w:rPr>
          <w:rFonts w:ascii="Times New Roman" w:eastAsia="Times New Roman" w:hAnsi="Times New Roman" w:cs="Times New Roman"/>
          <w:sz w:val="24"/>
          <w:szCs w:val="24"/>
        </w:rPr>
        <w:t xml:space="preserve">  Peoples TWP Statement in Support, p. 9.</w:t>
      </w:r>
      <w:r w:rsidR="0036429A">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 xml:space="preserve"> </w:t>
      </w:r>
      <w:r w:rsidRPr="00830D94">
        <w:rPr>
          <w:rFonts w:ascii="Times New Roman" w:eastAsia="Times New Roman" w:hAnsi="Times New Roman" w:cs="Times New Roman"/>
          <w:b/>
          <w:sz w:val="24"/>
          <w:szCs w:val="24"/>
        </w:rPr>
        <w:t xml:space="preserve"> </w:t>
      </w:r>
      <w:r w:rsidRPr="00830D94">
        <w:rPr>
          <w:rFonts w:ascii="Times New Roman" w:eastAsia="Times New Roman" w:hAnsi="Times New Roman" w:cs="Times New Roman"/>
          <w:sz w:val="24"/>
          <w:szCs w:val="24"/>
        </w:rPr>
        <w:t xml:space="preserve">The Company contends that the demand charge for all sales and NP-1 transportation customers shall be an equal charge per Mcf for all classes, which reflects the Parties’ agreement that Peoples TWP shall cease to use the Extra Demand Methodology for computing these charges, as shown on pages 2 and of Attachment A.  </w:t>
      </w:r>
      <w:proofErr w:type="gramStart"/>
      <w:r w:rsidR="0036429A">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Settlement ¶ 22.</w:t>
      </w:r>
      <w:proofErr w:type="gramEnd"/>
      <w:r w:rsidRPr="00830D94">
        <w:rPr>
          <w:rFonts w:ascii="Times New Roman" w:eastAsia="Times New Roman" w:hAnsi="Times New Roman" w:cs="Times New Roman"/>
          <w:sz w:val="24"/>
          <w:szCs w:val="24"/>
        </w:rPr>
        <w:t xml:space="preserve">  Peoples TWP Statement in Support, pp. 9-10.</w:t>
      </w:r>
      <w:r w:rsidR="0036429A">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 xml:space="preserve"> </w:t>
      </w:r>
      <w:r w:rsidRPr="00830D94">
        <w:rPr>
          <w:rFonts w:ascii="Times New Roman" w:eastAsia="Times New Roman" w:hAnsi="Times New Roman" w:cs="Times New Roman"/>
          <w:b/>
          <w:sz w:val="24"/>
          <w:szCs w:val="24"/>
        </w:rPr>
        <w:t xml:space="preserve">  </w:t>
      </w:r>
    </w:p>
    <w:p w:rsidR="005E02A7" w:rsidRPr="00830D94" w:rsidRDefault="005E02A7" w:rsidP="005E02A7">
      <w:pPr>
        <w:spacing w:after="0" w:line="360" w:lineRule="auto"/>
        <w:ind w:firstLine="1440"/>
        <w:rPr>
          <w:rFonts w:ascii="Times New Roman" w:eastAsia="Times New Roman" w:hAnsi="Times New Roman" w:cs="Times New Roman"/>
          <w:b/>
          <w:sz w:val="24"/>
          <w:szCs w:val="24"/>
        </w:rPr>
      </w:pPr>
    </w:p>
    <w:p w:rsidR="00830D94" w:rsidRDefault="00830D94" w:rsidP="005E02A7">
      <w:pPr>
        <w:spacing w:after="0" w:line="360" w:lineRule="auto"/>
        <w:ind w:firstLine="1440"/>
        <w:rPr>
          <w:rFonts w:ascii="Times New Roman" w:eastAsia="Times New Roman" w:hAnsi="Times New Roman" w:cs="Times New Roman"/>
          <w:b/>
          <w:sz w:val="24"/>
          <w:szCs w:val="24"/>
        </w:rPr>
      </w:pPr>
      <w:r w:rsidRPr="00830D94">
        <w:rPr>
          <w:rFonts w:ascii="Times New Roman" w:eastAsia="Times New Roman" w:hAnsi="Times New Roman" w:cs="Times New Roman"/>
          <w:sz w:val="24"/>
          <w:szCs w:val="24"/>
        </w:rPr>
        <w:t xml:space="preserve">In response to OSBA’s concerns regarding E-factor calculations, the Company contends that the Settlement provides that the Company also will be permitted to adopt, for rates to be effective beginning August 1, 2016, a single, consolidated E-factor (E-2) applicable only to sales service customers for demand cost over/undercollections experienced beginning August 1, 2015.  </w:t>
      </w:r>
      <w:proofErr w:type="gramStart"/>
      <w:r w:rsidR="0036429A">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Settlement ¶ 22.</w:t>
      </w:r>
      <w:proofErr w:type="gramEnd"/>
      <w:r w:rsidRPr="00830D94">
        <w:rPr>
          <w:rFonts w:ascii="Times New Roman" w:eastAsia="Times New Roman" w:hAnsi="Times New Roman" w:cs="Times New Roman"/>
          <w:sz w:val="24"/>
          <w:szCs w:val="24"/>
        </w:rPr>
        <w:t xml:space="preserve">  Peoples TWP Statement in Support, p. 10.</w:t>
      </w:r>
      <w:r w:rsidR="0036429A">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 xml:space="preserve"> </w:t>
      </w:r>
      <w:r w:rsidRPr="00830D94">
        <w:rPr>
          <w:rFonts w:ascii="Times New Roman" w:eastAsia="Times New Roman" w:hAnsi="Times New Roman" w:cs="Times New Roman"/>
          <w:b/>
          <w:sz w:val="24"/>
          <w:szCs w:val="24"/>
        </w:rPr>
        <w:t xml:space="preserve"> </w:t>
      </w:r>
      <w:r w:rsidRPr="00830D94">
        <w:rPr>
          <w:rFonts w:ascii="Times New Roman" w:eastAsia="Times New Roman" w:hAnsi="Times New Roman" w:cs="Times New Roman"/>
          <w:sz w:val="24"/>
          <w:szCs w:val="24"/>
        </w:rPr>
        <w:t xml:space="preserve">Any remaining balances of demand over/undercollections for separate rate classes for periods prior to August 1, 2015, according to the Company, shall remain separately reconciled by class (E-1) and shall be recovered from sales and non-discounted balancing rate transportation customers until the total “E-1” factor over/undercollection is less than $100,000 at the end of June 30, 2016, or as of the end of a period one-month prior to the start of any subsequent quarterly rate change period, at which time the Company will consolidate any remaining “E-1” balances into the “E-2” factor and create a single “E” factor going forward.  </w:t>
      </w:r>
      <w:proofErr w:type="gramStart"/>
      <w:r w:rsidR="0036429A">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Settlement ¶ 22.</w:t>
      </w:r>
      <w:proofErr w:type="gramEnd"/>
      <w:r w:rsidRPr="00830D94">
        <w:rPr>
          <w:rFonts w:ascii="Times New Roman" w:eastAsia="Times New Roman" w:hAnsi="Times New Roman" w:cs="Times New Roman"/>
          <w:sz w:val="24"/>
          <w:szCs w:val="24"/>
        </w:rPr>
        <w:t xml:space="preserve">  Peoples TWP Statement in Support, p. 10.</w:t>
      </w:r>
      <w:r w:rsidR="0036429A">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 xml:space="preserve"> </w:t>
      </w:r>
      <w:r w:rsidRPr="00830D94">
        <w:rPr>
          <w:rFonts w:ascii="Times New Roman" w:eastAsia="Times New Roman" w:hAnsi="Times New Roman" w:cs="Times New Roman"/>
          <w:b/>
          <w:sz w:val="24"/>
          <w:szCs w:val="24"/>
        </w:rPr>
        <w:t xml:space="preserve"> </w:t>
      </w:r>
      <w:r w:rsidRPr="00830D94">
        <w:rPr>
          <w:rFonts w:ascii="Times New Roman" w:eastAsia="Times New Roman" w:hAnsi="Times New Roman" w:cs="Times New Roman"/>
          <w:sz w:val="24"/>
          <w:szCs w:val="24"/>
        </w:rPr>
        <w:t xml:space="preserve">According to Peoples TWP, this approach allows for a reasonable phase out of separate demand “E” factors, while keeping existing class-specific “E” factor differences created </w:t>
      </w:r>
      <w:r w:rsidRPr="00830D94">
        <w:rPr>
          <w:rFonts w:ascii="Times New Roman" w:eastAsia="Times New Roman" w:hAnsi="Times New Roman" w:cs="Times New Roman"/>
          <w:sz w:val="24"/>
          <w:szCs w:val="24"/>
        </w:rPr>
        <w:lastRenderedPageBreak/>
        <w:t xml:space="preserve">under the prior demand allocation methodology within each class.  </w:t>
      </w:r>
      <w:r w:rsidR="00144CBA">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OSBA Statement No. 2, p. 6.  Peoples TWP Statement in Support, p. 10.</w:t>
      </w:r>
      <w:r w:rsidR="00144CBA">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 xml:space="preserve"> </w:t>
      </w:r>
      <w:r w:rsidRPr="00830D94">
        <w:rPr>
          <w:rFonts w:ascii="Times New Roman" w:eastAsia="Times New Roman" w:hAnsi="Times New Roman" w:cs="Times New Roman"/>
          <w:b/>
          <w:sz w:val="24"/>
          <w:szCs w:val="24"/>
        </w:rPr>
        <w:t xml:space="preserve">  </w:t>
      </w:r>
    </w:p>
    <w:p w:rsidR="00AB0936" w:rsidRPr="00830D94" w:rsidRDefault="00AB0936" w:rsidP="005E02A7">
      <w:pPr>
        <w:spacing w:after="0" w:line="360" w:lineRule="auto"/>
        <w:ind w:firstLine="1440"/>
        <w:rPr>
          <w:rFonts w:ascii="Times New Roman" w:eastAsia="Times New Roman" w:hAnsi="Times New Roman" w:cs="Times New Roman"/>
          <w:b/>
          <w:sz w:val="24"/>
          <w:szCs w:val="24"/>
        </w:rPr>
      </w:pPr>
    </w:p>
    <w:p w:rsidR="004E7D76" w:rsidRDefault="009534CD" w:rsidP="005E02A7">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30D94" w:rsidRPr="00830D94">
        <w:rPr>
          <w:rFonts w:ascii="Times New Roman" w:eastAsia="Times New Roman" w:hAnsi="Times New Roman" w:cs="Times New Roman"/>
          <w:sz w:val="24"/>
          <w:szCs w:val="24"/>
        </w:rPr>
        <w:t xml:space="preserve">Peoples TWP notes that the Parties’ acceptance of the methodology for developing balancing charges and demand rates as set forth in Paragraphs 21 and 22 of the Settlement is limited to this proceeding and may not be used to constrain any Party’s rights to offer alternative proposals for development of balancing charges and demand rates in future base rate or Section 1307(f) proceedings.  </w:t>
      </w:r>
      <w:proofErr w:type="gramStart"/>
      <w:r w:rsidR="004E7D76">
        <w:rPr>
          <w:rFonts w:ascii="Times New Roman" w:eastAsia="Times New Roman" w:hAnsi="Times New Roman" w:cs="Times New Roman"/>
          <w:sz w:val="24"/>
          <w:szCs w:val="24"/>
        </w:rPr>
        <w:t>(</w:t>
      </w:r>
      <w:r w:rsidR="00830D94" w:rsidRPr="00830D94">
        <w:rPr>
          <w:rFonts w:ascii="Times New Roman" w:eastAsia="Times New Roman" w:hAnsi="Times New Roman" w:cs="Times New Roman"/>
          <w:sz w:val="24"/>
          <w:szCs w:val="24"/>
        </w:rPr>
        <w:t>Settlement ¶ 22.</w:t>
      </w:r>
      <w:proofErr w:type="gramEnd"/>
      <w:r w:rsidR="00830D94" w:rsidRPr="00830D94">
        <w:rPr>
          <w:rFonts w:ascii="Times New Roman" w:eastAsia="Times New Roman" w:hAnsi="Times New Roman" w:cs="Times New Roman"/>
          <w:sz w:val="24"/>
          <w:szCs w:val="24"/>
        </w:rPr>
        <w:t xml:space="preserve">  Peoples TWP Statement in Support, </w:t>
      </w:r>
    </w:p>
    <w:p w:rsidR="00830D94" w:rsidRPr="00830D94" w:rsidRDefault="00830D94" w:rsidP="004E7D76">
      <w:pPr>
        <w:spacing w:after="0" w:line="360" w:lineRule="auto"/>
        <w:rPr>
          <w:rFonts w:ascii="Times New Roman" w:eastAsia="Times New Roman" w:hAnsi="Times New Roman" w:cs="Times New Roman"/>
          <w:sz w:val="24"/>
          <w:szCs w:val="24"/>
        </w:rPr>
      </w:pPr>
      <w:r w:rsidRPr="00830D94">
        <w:rPr>
          <w:rFonts w:ascii="Times New Roman" w:eastAsia="Times New Roman" w:hAnsi="Times New Roman" w:cs="Times New Roman"/>
          <w:sz w:val="24"/>
          <w:szCs w:val="24"/>
        </w:rPr>
        <w:t>p. 10.</w:t>
      </w:r>
      <w:r w:rsidR="004E7D76">
        <w:rPr>
          <w:rFonts w:ascii="Times New Roman" w:eastAsia="Times New Roman" w:hAnsi="Times New Roman" w:cs="Times New Roman"/>
          <w:sz w:val="24"/>
          <w:szCs w:val="24"/>
        </w:rPr>
        <w:t>)</w:t>
      </w:r>
      <w:r w:rsidRPr="00830D94">
        <w:rPr>
          <w:rFonts w:ascii="Times New Roman" w:eastAsia="Times New Roman" w:hAnsi="Times New Roman" w:cs="Times New Roman"/>
          <w:b/>
          <w:sz w:val="24"/>
          <w:szCs w:val="24"/>
        </w:rPr>
        <w:t xml:space="preserve">  </w:t>
      </w:r>
      <w:r w:rsidRPr="00830D94">
        <w:rPr>
          <w:rFonts w:ascii="Times New Roman" w:eastAsia="Times New Roman" w:hAnsi="Times New Roman" w:cs="Times New Roman"/>
          <w:sz w:val="24"/>
          <w:szCs w:val="24"/>
        </w:rPr>
        <w:t xml:space="preserve">The Company also agrees to provide in next year’s PGC proceeding a calculation of rates by class using the Extra Demand Methodology for comparison purposes, as recommended in OSBA’s testimony.  </w:t>
      </w:r>
      <w:r w:rsidR="004E7D76">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Settlement ¶ 22; OSBA Statement No. 2, p. 5.  Peoples TWP Statement in Support, pp. 10-11.</w:t>
      </w:r>
      <w:r w:rsidR="004E7D76">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 xml:space="preserve">  </w:t>
      </w:r>
    </w:p>
    <w:p w:rsidR="00830D94" w:rsidRPr="00830D94" w:rsidRDefault="00830D94" w:rsidP="005E02A7">
      <w:pPr>
        <w:spacing w:after="0" w:line="360" w:lineRule="auto"/>
        <w:ind w:firstLine="720"/>
        <w:rPr>
          <w:rFonts w:ascii="Times New Roman" w:eastAsia="Times New Roman" w:hAnsi="Times New Roman" w:cs="Times New Roman"/>
          <w:sz w:val="24"/>
          <w:szCs w:val="24"/>
        </w:rPr>
      </w:pPr>
    </w:p>
    <w:p w:rsidR="00830D94" w:rsidRPr="00830D94" w:rsidRDefault="00FD5CA7" w:rsidP="00FD5CA7">
      <w:pPr>
        <w:spacing w:after="0" w:line="360" w:lineRule="auto"/>
        <w:ind w:firstLine="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2.</w:t>
      </w:r>
      <w:r w:rsidR="005E02A7">
        <w:rPr>
          <w:rFonts w:ascii="Times New Roman" w:eastAsia="Times New Roman" w:hAnsi="Times New Roman" w:cs="Times New Roman"/>
          <w:sz w:val="24"/>
          <w:szCs w:val="24"/>
        </w:rPr>
        <w:tab/>
      </w:r>
      <w:r w:rsidR="00830D94" w:rsidRPr="00830D94">
        <w:rPr>
          <w:rFonts w:ascii="Times New Roman" w:eastAsia="Times New Roman" w:hAnsi="Times New Roman" w:cs="Times New Roman"/>
          <w:sz w:val="24"/>
          <w:szCs w:val="24"/>
          <w:u w:val="single"/>
        </w:rPr>
        <w:t>OCA’s Position</w:t>
      </w:r>
    </w:p>
    <w:p w:rsidR="00830D94" w:rsidRPr="00830D94" w:rsidRDefault="00830D94" w:rsidP="005E02A7">
      <w:pPr>
        <w:spacing w:after="0" w:line="360" w:lineRule="auto"/>
        <w:rPr>
          <w:rFonts w:ascii="Times New Roman" w:eastAsia="Times New Roman" w:hAnsi="Times New Roman" w:cs="Times New Roman"/>
          <w:sz w:val="24"/>
          <w:szCs w:val="24"/>
          <w:u w:val="single"/>
        </w:rPr>
      </w:pPr>
    </w:p>
    <w:p w:rsidR="00830D94" w:rsidRDefault="00830D94" w:rsidP="005E02A7">
      <w:pPr>
        <w:spacing w:after="0" w:line="360" w:lineRule="auto"/>
        <w:ind w:firstLine="720"/>
        <w:rPr>
          <w:rFonts w:ascii="Times New Roman" w:eastAsia="Calibri" w:hAnsi="Times New Roman" w:cs="Times New Roman"/>
          <w:sz w:val="24"/>
          <w:szCs w:val="24"/>
        </w:rPr>
      </w:pPr>
      <w:r w:rsidRPr="00830D94">
        <w:rPr>
          <w:rFonts w:ascii="Times New Roman" w:hAnsi="Times New Roman" w:cs="Times New Roman"/>
          <w:sz w:val="24"/>
          <w:szCs w:val="24"/>
        </w:rPr>
        <w:tab/>
        <w:t xml:space="preserve">OCA explains that the </w:t>
      </w:r>
      <w:r w:rsidRPr="00830D94">
        <w:rPr>
          <w:rFonts w:ascii="Times New Roman" w:eastAsia="Calibri" w:hAnsi="Times New Roman" w:cs="Times New Roman"/>
          <w:sz w:val="24"/>
          <w:szCs w:val="24"/>
        </w:rPr>
        <w:t xml:space="preserve">Settlement proposes to change the way the Company calculates both balancing and demand charges.  With respect to Balancing Charges, OCA asserts the new calculation will more accurately reflect the actual balancing services provided to transportation customers versus sales customers.  Consistent with current practice, according to OCA, the shortfall in firm storage (FS) revenue created by the discounting of balancing charges to certain customers in the large industrial (LGS) class will be retained within that class and recovered from non-discounted LGS customers.  OCA notes that it has no objection to the Settlement’s proposal and OCA supports the continued recovery of the shortfall in FS revenues (resulting from discounted LGS balancing charges) from within the LGS rate class.  </w:t>
      </w:r>
      <w:proofErr w:type="gramStart"/>
      <w:r w:rsidR="00794519">
        <w:rPr>
          <w:rFonts w:ascii="Times New Roman" w:eastAsia="Calibri" w:hAnsi="Times New Roman" w:cs="Times New Roman"/>
          <w:sz w:val="24"/>
          <w:szCs w:val="24"/>
        </w:rPr>
        <w:t>(</w:t>
      </w:r>
      <w:r w:rsidRPr="00830D94">
        <w:rPr>
          <w:rFonts w:ascii="Times New Roman" w:eastAsia="Calibri" w:hAnsi="Times New Roman" w:cs="Times New Roman"/>
          <w:sz w:val="24"/>
          <w:szCs w:val="24"/>
        </w:rPr>
        <w:t>OCA Statement in Support, p. 3.</w:t>
      </w:r>
      <w:r w:rsidR="00794519">
        <w:rPr>
          <w:rFonts w:ascii="Times New Roman" w:eastAsia="Calibri" w:hAnsi="Times New Roman" w:cs="Times New Roman"/>
          <w:sz w:val="24"/>
          <w:szCs w:val="24"/>
        </w:rPr>
        <w:t>)</w:t>
      </w:r>
      <w:proofErr w:type="gramEnd"/>
    </w:p>
    <w:p w:rsidR="005E02A7" w:rsidRPr="00830D94" w:rsidRDefault="005E02A7" w:rsidP="005E02A7">
      <w:pPr>
        <w:spacing w:after="0" w:line="360" w:lineRule="auto"/>
        <w:ind w:firstLine="720"/>
        <w:rPr>
          <w:rFonts w:ascii="Times New Roman" w:eastAsia="Calibri" w:hAnsi="Times New Roman" w:cs="Times New Roman"/>
          <w:sz w:val="24"/>
          <w:szCs w:val="24"/>
        </w:rPr>
      </w:pPr>
    </w:p>
    <w:p w:rsidR="00830D94" w:rsidRDefault="00830D94" w:rsidP="005E02A7">
      <w:pPr>
        <w:spacing w:after="0" w:line="360" w:lineRule="auto"/>
        <w:ind w:firstLine="1440"/>
        <w:rPr>
          <w:rFonts w:ascii="Times New Roman" w:eastAsia="Calibri" w:hAnsi="Times New Roman" w:cs="Times New Roman"/>
          <w:sz w:val="24"/>
          <w:szCs w:val="24"/>
        </w:rPr>
      </w:pPr>
      <w:r w:rsidRPr="00830D94">
        <w:rPr>
          <w:rFonts w:ascii="Times New Roman" w:eastAsia="Calibri" w:hAnsi="Times New Roman" w:cs="Times New Roman"/>
          <w:sz w:val="24"/>
          <w:szCs w:val="24"/>
        </w:rPr>
        <w:t>OCA asserts the Settlement further provides that, in determining Demand Charges for sales customers and Balancing Charges for what the Settlement terms “non-Priority 1, non-negotiated rate transportation customers”, the Company will cease using the Extra Demand Cost of Service methodology that it has used for calculating these charges since 1990.</w:t>
      </w:r>
      <w:r w:rsidRPr="00830D94">
        <w:rPr>
          <w:rFonts w:ascii="Times New Roman" w:eastAsia="Calibri" w:hAnsi="Times New Roman" w:cs="Times New Roman"/>
          <w:sz w:val="24"/>
          <w:szCs w:val="24"/>
          <w:vertAlign w:val="superscript"/>
        </w:rPr>
        <w:footnoteReference w:id="6"/>
      </w:r>
      <w:r w:rsidRPr="00830D94">
        <w:rPr>
          <w:rFonts w:ascii="Times New Roman" w:eastAsia="Calibri" w:hAnsi="Times New Roman" w:cs="Times New Roman"/>
          <w:sz w:val="24"/>
          <w:szCs w:val="24"/>
        </w:rPr>
        <w:t xml:space="preserve">  Under this </w:t>
      </w:r>
      <w:r w:rsidRPr="00830D94">
        <w:rPr>
          <w:rFonts w:ascii="Times New Roman" w:eastAsia="Calibri" w:hAnsi="Times New Roman" w:cs="Times New Roman"/>
          <w:sz w:val="24"/>
          <w:szCs w:val="24"/>
        </w:rPr>
        <w:lastRenderedPageBreak/>
        <w:t xml:space="preserve">methodology, Peoples TWP uses the ratio of Peak Day requirements to average annual daily requirements to allocate to the different rate classes both firm transportation (FT) and FS demand charges.  Eliminating use of the Extra Demand Cost of Service methodology will mean that sales customers in all classes will pay an identical charge to cover purchased gas demand costs, as reflected on line 1 of page 3 of Attachment A to the Settlement.  </w:t>
      </w:r>
      <w:proofErr w:type="gramStart"/>
      <w:r w:rsidR="00794519">
        <w:rPr>
          <w:rFonts w:ascii="Times New Roman" w:eastAsia="Calibri" w:hAnsi="Times New Roman" w:cs="Times New Roman"/>
          <w:sz w:val="24"/>
          <w:szCs w:val="24"/>
        </w:rPr>
        <w:t>(</w:t>
      </w:r>
      <w:r w:rsidRPr="00830D94">
        <w:rPr>
          <w:rFonts w:ascii="Times New Roman" w:eastAsia="Calibri" w:hAnsi="Times New Roman" w:cs="Times New Roman"/>
          <w:sz w:val="24"/>
          <w:szCs w:val="24"/>
        </w:rPr>
        <w:t>OCA Statement in Support, p.4.</w:t>
      </w:r>
      <w:r w:rsidR="00794519">
        <w:rPr>
          <w:rFonts w:ascii="Times New Roman" w:eastAsia="Calibri" w:hAnsi="Times New Roman" w:cs="Times New Roman"/>
          <w:sz w:val="24"/>
          <w:szCs w:val="24"/>
        </w:rPr>
        <w:t>)</w:t>
      </w:r>
      <w:proofErr w:type="gramEnd"/>
      <w:r w:rsidRPr="00830D94">
        <w:rPr>
          <w:rFonts w:ascii="Times New Roman" w:eastAsia="Calibri" w:hAnsi="Times New Roman" w:cs="Times New Roman"/>
          <w:sz w:val="24"/>
          <w:szCs w:val="24"/>
        </w:rPr>
        <w:t xml:space="preserve">  </w:t>
      </w:r>
    </w:p>
    <w:p w:rsidR="007B0374" w:rsidRPr="00830D94" w:rsidRDefault="007B0374" w:rsidP="005E02A7">
      <w:pPr>
        <w:spacing w:after="0" w:line="360" w:lineRule="auto"/>
        <w:ind w:firstLine="1440"/>
        <w:rPr>
          <w:rFonts w:ascii="Times New Roman" w:eastAsia="Calibri" w:hAnsi="Times New Roman" w:cs="Times New Roman"/>
          <w:sz w:val="24"/>
          <w:szCs w:val="24"/>
        </w:rPr>
      </w:pPr>
    </w:p>
    <w:p w:rsidR="00830D94" w:rsidRDefault="00830D94" w:rsidP="00AB0936">
      <w:pPr>
        <w:spacing w:after="0" w:line="360" w:lineRule="auto"/>
        <w:ind w:firstLine="1440"/>
        <w:rPr>
          <w:rFonts w:ascii="Times New Roman" w:eastAsia="Calibri" w:hAnsi="Times New Roman" w:cs="Times New Roman"/>
          <w:sz w:val="24"/>
          <w:szCs w:val="24"/>
        </w:rPr>
      </w:pPr>
      <w:r w:rsidRPr="00830D94">
        <w:rPr>
          <w:rFonts w:ascii="Times New Roman" w:eastAsia="Calibri" w:hAnsi="Times New Roman" w:cs="Times New Roman"/>
          <w:sz w:val="24"/>
          <w:szCs w:val="24"/>
        </w:rPr>
        <w:t>OCA further asserts that, consistent with the move to a single demand rate for sales customers in all classes, the Settlement proposes to establish, effective August 1, 2016, a single consolidated</w:t>
      </w:r>
      <w:r w:rsidR="005E02A7">
        <w:rPr>
          <w:rFonts w:ascii="Times New Roman" w:eastAsia="Calibri" w:hAnsi="Times New Roman" w:cs="Times New Roman"/>
          <w:sz w:val="24"/>
          <w:szCs w:val="24"/>
        </w:rPr>
        <w:t xml:space="preserve"> </w:t>
      </w:r>
      <w:r w:rsidRPr="00830D94">
        <w:rPr>
          <w:rFonts w:ascii="Times New Roman" w:eastAsia="Calibri" w:hAnsi="Times New Roman" w:cs="Times New Roman"/>
          <w:sz w:val="24"/>
          <w:szCs w:val="24"/>
        </w:rPr>
        <w:t xml:space="preserve">“E-factor” applicable only to sales service to recover demand cost over/undercollections beginning August 1, 2015.  According to OCA, the </w:t>
      </w:r>
      <w:r w:rsidR="005E02A7" w:rsidRPr="00830D94">
        <w:rPr>
          <w:rFonts w:ascii="Times New Roman" w:eastAsia="Calibri" w:hAnsi="Times New Roman" w:cs="Times New Roman"/>
          <w:sz w:val="24"/>
          <w:szCs w:val="24"/>
        </w:rPr>
        <w:t>Settlement further</w:t>
      </w:r>
      <w:r w:rsidRPr="00830D94">
        <w:rPr>
          <w:rFonts w:ascii="Times New Roman" w:eastAsia="Calibri" w:hAnsi="Times New Roman" w:cs="Times New Roman"/>
          <w:sz w:val="24"/>
          <w:szCs w:val="24"/>
        </w:rPr>
        <w:t xml:space="preserve"> provides for the mechanics of transitioning from the current method of addressing over/undercollections from the individual rate classes to the single, consolidated “E-factor” proposed.  </w:t>
      </w:r>
      <w:proofErr w:type="gramStart"/>
      <w:r w:rsidR="00794519">
        <w:rPr>
          <w:rFonts w:ascii="Times New Roman" w:eastAsia="Calibri" w:hAnsi="Times New Roman" w:cs="Times New Roman"/>
          <w:sz w:val="24"/>
          <w:szCs w:val="24"/>
        </w:rPr>
        <w:t>(</w:t>
      </w:r>
      <w:r w:rsidRPr="00830D94">
        <w:rPr>
          <w:rFonts w:ascii="Times New Roman" w:eastAsia="Calibri" w:hAnsi="Times New Roman" w:cs="Times New Roman"/>
          <w:sz w:val="24"/>
          <w:szCs w:val="24"/>
        </w:rPr>
        <w:t>OCA Statement in Support, p. 4.</w:t>
      </w:r>
      <w:r w:rsidR="00794519">
        <w:rPr>
          <w:rFonts w:ascii="Times New Roman" w:eastAsia="Calibri" w:hAnsi="Times New Roman" w:cs="Times New Roman"/>
          <w:sz w:val="24"/>
          <w:szCs w:val="24"/>
        </w:rPr>
        <w:t>)</w:t>
      </w:r>
      <w:proofErr w:type="gramEnd"/>
    </w:p>
    <w:p w:rsidR="005E02A7" w:rsidRPr="00830D94" w:rsidRDefault="005E02A7" w:rsidP="005E02A7">
      <w:pPr>
        <w:spacing w:after="0" w:line="360" w:lineRule="auto"/>
        <w:ind w:firstLine="720"/>
        <w:rPr>
          <w:rFonts w:ascii="Times New Roman" w:eastAsia="Calibri" w:hAnsi="Times New Roman" w:cs="Times New Roman"/>
          <w:sz w:val="24"/>
          <w:szCs w:val="24"/>
        </w:rPr>
      </w:pPr>
    </w:p>
    <w:p w:rsidR="00830D94" w:rsidRPr="00830D94" w:rsidRDefault="00830D94" w:rsidP="00AB0936">
      <w:pPr>
        <w:spacing w:after="0" w:line="360" w:lineRule="auto"/>
        <w:ind w:firstLine="1440"/>
        <w:rPr>
          <w:rFonts w:ascii="Times New Roman" w:eastAsia="Calibri" w:hAnsi="Times New Roman" w:cs="Times New Roman"/>
          <w:sz w:val="24"/>
          <w:szCs w:val="24"/>
        </w:rPr>
      </w:pPr>
      <w:r w:rsidRPr="00830D94">
        <w:rPr>
          <w:rFonts w:ascii="Times New Roman" w:eastAsia="Calibri" w:hAnsi="Times New Roman" w:cs="Times New Roman"/>
          <w:sz w:val="24"/>
          <w:szCs w:val="24"/>
        </w:rPr>
        <w:t xml:space="preserve">The OCA notes that </w:t>
      </w:r>
      <w:r w:rsidR="005E02A7" w:rsidRPr="00830D94">
        <w:rPr>
          <w:rFonts w:ascii="Times New Roman" w:eastAsia="Calibri" w:hAnsi="Times New Roman" w:cs="Times New Roman"/>
          <w:sz w:val="24"/>
          <w:szCs w:val="24"/>
        </w:rPr>
        <w:t>it did</w:t>
      </w:r>
      <w:r w:rsidRPr="00830D94">
        <w:rPr>
          <w:rFonts w:ascii="Times New Roman" w:eastAsia="Calibri" w:hAnsi="Times New Roman" w:cs="Times New Roman"/>
          <w:sz w:val="24"/>
          <w:szCs w:val="24"/>
        </w:rPr>
        <w:t xml:space="preserve"> not offer testimony with respect to elimination of the Extra Demand Cost of Service methodology.  However, to the OCA’s knowledge, P</w:t>
      </w:r>
      <w:r w:rsidR="00201C5F">
        <w:rPr>
          <w:rFonts w:ascii="Times New Roman" w:eastAsia="Calibri" w:hAnsi="Times New Roman" w:cs="Times New Roman"/>
          <w:sz w:val="24"/>
          <w:szCs w:val="24"/>
        </w:rPr>
        <w:t xml:space="preserve">eoples </w:t>
      </w:r>
      <w:r w:rsidRPr="00830D94">
        <w:rPr>
          <w:rFonts w:ascii="Times New Roman" w:eastAsia="Calibri" w:hAnsi="Times New Roman" w:cs="Times New Roman"/>
          <w:sz w:val="24"/>
          <w:szCs w:val="24"/>
        </w:rPr>
        <w:t xml:space="preserve">TWP is the only Natural Gas Distribution Company (NGDC) in the Commonwealth that uses this method for allocating demand costs.  The OCA does not object to elimination of the Extra Demand method and actually sees benefit in achieving consistency among the NGDCs in how demand rates are determined. </w:t>
      </w:r>
      <w:r w:rsidR="00794519">
        <w:rPr>
          <w:rFonts w:ascii="Times New Roman" w:eastAsia="Calibri" w:hAnsi="Times New Roman" w:cs="Times New Roman"/>
          <w:sz w:val="24"/>
          <w:szCs w:val="24"/>
        </w:rPr>
        <w:t xml:space="preserve"> </w:t>
      </w:r>
      <w:proofErr w:type="gramStart"/>
      <w:r w:rsidR="00794519">
        <w:rPr>
          <w:rFonts w:ascii="Times New Roman" w:eastAsia="Calibri" w:hAnsi="Times New Roman" w:cs="Times New Roman"/>
          <w:sz w:val="24"/>
          <w:szCs w:val="24"/>
        </w:rPr>
        <w:t>(</w:t>
      </w:r>
      <w:r w:rsidRPr="00830D94">
        <w:rPr>
          <w:rFonts w:ascii="Times New Roman" w:eastAsia="Calibri" w:hAnsi="Times New Roman" w:cs="Times New Roman"/>
          <w:sz w:val="24"/>
          <w:szCs w:val="24"/>
        </w:rPr>
        <w:t>OCA Statement in Support, pp. 4-5.</w:t>
      </w:r>
      <w:r w:rsidR="00794519">
        <w:rPr>
          <w:rFonts w:ascii="Times New Roman" w:eastAsia="Calibri" w:hAnsi="Times New Roman" w:cs="Times New Roman"/>
          <w:sz w:val="24"/>
          <w:szCs w:val="24"/>
        </w:rPr>
        <w:t>)</w:t>
      </w:r>
      <w:proofErr w:type="gramEnd"/>
    </w:p>
    <w:p w:rsidR="00830D94" w:rsidRPr="00830D94" w:rsidRDefault="00830D94" w:rsidP="005E02A7">
      <w:pPr>
        <w:spacing w:after="0" w:line="360" w:lineRule="auto"/>
        <w:ind w:firstLine="720"/>
        <w:rPr>
          <w:rFonts w:ascii="Times New Roman" w:eastAsia="Calibri" w:hAnsi="Times New Roman" w:cs="Times New Roman"/>
          <w:sz w:val="24"/>
          <w:szCs w:val="24"/>
        </w:rPr>
      </w:pPr>
    </w:p>
    <w:p w:rsidR="00830D94" w:rsidRPr="00830D94" w:rsidRDefault="00FD5CA7" w:rsidP="005E02A7">
      <w:pPr>
        <w:tabs>
          <w:tab w:val="left" w:pos="720"/>
          <w:tab w:val="left" w:pos="1440"/>
          <w:tab w:val="left" w:pos="2160"/>
          <w:tab w:val="left" w:pos="2880"/>
          <w:tab w:val="left" w:pos="3510"/>
        </w:tabs>
        <w:spacing w:after="0" w:line="360" w:lineRule="auto"/>
        <w:contextualSpacing/>
        <w:rPr>
          <w:rFonts w:ascii="Times New Roman" w:eastAsia="Calibri" w:hAnsi="Times New Roman" w:cs="Times New Roman"/>
          <w:sz w:val="24"/>
          <w:szCs w:val="24"/>
          <w:u w:val="single"/>
        </w:rPr>
      </w:pPr>
      <w:r>
        <w:rPr>
          <w:rFonts w:ascii="Times New Roman" w:eastAsia="Calibri" w:hAnsi="Times New Roman" w:cs="Times New Roman"/>
          <w:sz w:val="24"/>
          <w:szCs w:val="24"/>
        </w:rPr>
        <w:tab/>
      </w:r>
      <w:r w:rsidR="005E02A7" w:rsidRPr="005E02A7">
        <w:rPr>
          <w:rFonts w:ascii="Times New Roman" w:eastAsia="Calibri" w:hAnsi="Times New Roman" w:cs="Times New Roman"/>
          <w:sz w:val="24"/>
          <w:szCs w:val="24"/>
        </w:rPr>
        <w:t>3.</w:t>
      </w:r>
      <w:r w:rsidR="005E02A7" w:rsidRPr="005E02A7">
        <w:rPr>
          <w:rFonts w:ascii="Times New Roman" w:eastAsia="Calibri" w:hAnsi="Times New Roman" w:cs="Times New Roman"/>
          <w:sz w:val="24"/>
          <w:szCs w:val="24"/>
        </w:rPr>
        <w:tab/>
      </w:r>
      <w:r w:rsidR="00830D94" w:rsidRPr="00830D94">
        <w:rPr>
          <w:rFonts w:ascii="Times New Roman" w:eastAsia="Calibri" w:hAnsi="Times New Roman" w:cs="Times New Roman"/>
          <w:sz w:val="24"/>
          <w:szCs w:val="24"/>
          <w:u w:val="single"/>
        </w:rPr>
        <w:t>OSBA’s Position</w:t>
      </w:r>
    </w:p>
    <w:p w:rsidR="00830D94" w:rsidRPr="00830D94" w:rsidRDefault="00830D94" w:rsidP="005E02A7">
      <w:pPr>
        <w:tabs>
          <w:tab w:val="left" w:pos="720"/>
          <w:tab w:val="left" w:pos="1440"/>
          <w:tab w:val="left" w:pos="2160"/>
          <w:tab w:val="left" w:pos="2880"/>
          <w:tab w:val="left" w:pos="3510"/>
        </w:tabs>
        <w:spacing w:after="0" w:line="360" w:lineRule="auto"/>
        <w:rPr>
          <w:rFonts w:ascii="Times New Roman" w:hAnsi="Times New Roman" w:cs="Times New Roman"/>
          <w:b/>
          <w:sz w:val="24"/>
          <w:szCs w:val="24"/>
          <w:u w:val="single"/>
        </w:rPr>
      </w:pPr>
    </w:p>
    <w:p w:rsidR="00830D94" w:rsidRPr="00830D94" w:rsidRDefault="00830D94" w:rsidP="00AB0936">
      <w:pPr>
        <w:spacing w:after="0" w:line="360" w:lineRule="auto"/>
        <w:ind w:firstLine="720"/>
        <w:rPr>
          <w:rFonts w:ascii="Times New Roman" w:hAnsi="Times New Roman" w:cs="Times New Roman"/>
          <w:sz w:val="24"/>
          <w:szCs w:val="24"/>
        </w:rPr>
      </w:pPr>
      <w:r w:rsidRPr="00830D94">
        <w:rPr>
          <w:rFonts w:ascii="Times New Roman" w:hAnsi="Times New Roman" w:cs="Times New Roman"/>
          <w:sz w:val="24"/>
          <w:szCs w:val="24"/>
        </w:rPr>
        <w:tab/>
        <w:t xml:space="preserve">OSBA notes that, in testimony, it noted that the Company does not allocate FT costs to transportation customers, implying that shopping customers can avoid the FT costs by choosing to shop.  As such, the FT costs should be included in the price to compare (PTC), but the Company’s current calculation does not do so.  According to OSBA, the Settlement rectifies this error, by requiring that the PTC properly reflect costs avoided by shopping.  </w:t>
      </w:r>
      <w:proofErr w:type="gramStart"/>
      <w:r w:rsidRPr="00830D94">
        <w:rPr>
          <w:rFonts w:ascii="Times New Roman" w:hAnsi="Times New Roman" w:cs="Times New Roman"/>
          <w:sz w:val="24"/>
          <w:szCs w:val="24"/>
        </w:rPr>
        <w:t>(Settlement ¶</w:t>
      </w:r>
      <w:r w:rsidR="003E0703">
        <w:rPr>
          <w:rFonts w:ascii="Times New Roman" w:hAnsi="Times New Roman" w:cs="Times New Roman"/>
          <w:sz w:val="24"/>
          <w:szCs w:val="24"/>
        </w:rPr>
        <w:t> </w:t>
      </w:r>
      <w:r w:rsidR="00794519">
        <w:rPr>
          <w:rFonts w:ascii="Times New Roman" w:hAnsi="Times New Roman" w:cs="Times New Roman"/>
          <w:sz w:val="24"/>
          <w:szCs w:val="24"/>
        </w:rPr>
        <w:t>29</w:t>
      </w:r>
      <w:r w:rsidR="00E56DBB">
        <w:rPr>
          <w:rFonts w:ascii="Times New Roman" w:hAnsi="Times New Roman" w:cs="Times New Roman"/>
          <w:sz w:val="24"/>
          <w:szCs w:val="24"/>
        </w:rPr>
        <w:t>.</w:t>
      </w:r>
      <w:proofErr w:type="gramEnd"/>
      <w:r w:rsidRPr="00830D94">
        <w:rPr>
          <w:rFonts w:ascii="Times New Roman" w:hAnsi="Times New Roman" w:cs="Times New Roman"/>
          <w:sz w:val="24"/>
          <w:szCs w:val="24"/>
        </w:rPr>
        <w:t xml:space="preserve">  </w:t>
      </w:r>
      <w:proofErr w:type="gramStart"/>
      <w:r w:rsidRPr="00830D94">
        <w:rPr>
          <w:rFonts w:ascii="Times New Roman" w:hAnsi="Times New Roman" w:cs="Times New Roman"/>
          <w:sz w:val="24"/>
          <w:szCs w:val="24"/>
        </w:rPr>
        <w:t>OSBA</w:t>
      </w:r>
      <w:proofErr w:type="gramEnd"/>
      <w:r w:rsidRPr="00830D94">
        <w:rPr>
          <w:rFonts w:ascii="Times New Roman" w:hAnsi="Times New Roman" w:cs="Times New Roman"/>
          <w:sz w:val="24"/>
          <w:szCs w:val="24"/>
        </w:rPr>
        <w:t xml:space="preserve"> Statement in Support, p.</w:t>
      </w:r>
      <w:r w:rsidR="00D474B6">
        <w:rPr>
          <w:rFonts w:ascii="Times New Roman" w:hAnsi="Times New Roman" w:cs="Times New Roman"/>
          <w:sz w:val="24"/>
          <w:szCs w:val="24"/>
        </w:rPr>
        <w:t xml:space="preserve"> </w:t>
      </w:r>
      <w:r w:rsidRPr="00830D94">
        <w:rPr>
          <w:rFonts w:ascii="Times New Roman" w:hAnsi="Times New Roman" w:cs="Times New Roman"/>
          <w:sz w:val="24"/>
          <w:szCs w:val="24"/>
        </w:rPr>
        <w:t>3.</w:t>
      </w:r>
      <w:r w:rsidR="00794519">
        <w:rPr>
          <w:rFonts w:ascii="Times New Roman" w:hAnsi="Times New Roman" w:cs="Times New Roman"/>
          <w:sz w:val="24"/>
          <w:szCs w:val="24"/>
        </w:rPr>
        <w:t>)</w:t>
      </w:r>
    </w:p>
    <w:p w:rsidR="00830D94" w:rsidRPr="00830D94" w:rsidRDefault="00830D94" w:rsidP="005E02A7">
      <w:pPr>
        <w:spacing w:after="0" w:line="360" w:lineRule="auto"/>
        <w:rPr>
          <w:rFonts w:ascii="Times New Roman" w:hAnsi="Times New Roman" w:cs="Times New Roman"/>
          <w:sz w:val="24"/>
          <w:szCs w:val="24"/>
        </w:rPr>
      </w:pPr>
    </w:p>
    <w:p w:rsidR="00830D94" w:rsidRPr="00830D94" w:rsidRDefault="00830D94" w:rsidP="005E02A7">
      <w:pPr>
        <w:spacing w:after="0" w:line="360" w:lineRule="auto"/>
        <w:ind w:firstLine="1440"/>
        <w:rPr>
          <w:rFonts w:ascii="Times New Roman" w:hAnsi="Times New Roman" w:cs="Times New Roman"/>
          <w:sz w:val="24"/>
          <w:szCs w:val="24"/>
        </w:rPr>
      </w:pPr>
      <w:r w:rsidRPr="00830D94">
        <w:rPr>
          <w:rFonts w:ascii="Times New Roman" w:hAnsi="Times New Roman" w:cs="Times New Roman"/>
          <w:sz w:val="24"/>
          <w:szCs w:val="24"/>
        </w:rPr>
        <w:lastRenderedPageBreak/>
        <w:t>OSBA further points out that it raised two concerns about the allocation of FS costs.  First, the OSBA testimony demonstrated that the Company was allocating FS costs as if it were providing the same load balancing services to both sales and transportation customers.  However, the Company generally only provides intra-month balancing services to transportation service customers, while providing annual balancing services to sales customers.  The OSBA recommended that the cost allocation factors for FS demand costs be modified to reflect the differential load balancing requirements between sales and transportation customers, and that these changes be reflected in the load balancing charges for transportation customers.  According to OSBA, this recommendation was generally adopted in the Settlement, and is incorporated into the calculations shown in Attachment A.  (See also Settlement ¶ 21-22.</w:t>
      </w:r>
      <w:r w:rsidR="00E43F2A">
        <w:rPr>
          <w:rFonts w:ascii="Times New Roman" w:hAnsi="Times New Roman" w:cs="Times New Roman"/>
          <w:sz w:val="24"/>
          <w:szCs w:val="24"/>
        </w:rPr>
        <w:t xml:space="preserve">)  </w:t>
      </w:r>
      <w:proofErr w:type="gramStart"/>
      <w:r w:rsidR="00FB2C67">
        <w:rPr>
          <w:rFonts w:ascii="Times New Roman" w:hAnsi="Times New Roman" w:cs="Times New Roman"/>
          <w:sz w:val="24"/>
          <w:szCs w:val="24"/>
        </w:rPr>
        <w:t>(</w:t>
      </w:r>
      <w:r w:rsidR="00E43F2A">
        <w:rPr>
          <w:rFonts w:ascii="Times New Roman" w:hAnsi="Times New Roman" w:cs="Times New Roman"/>
          <w:sz w:val="24"/>
          <w:szCs w:val="24"/>
        </w:rPr>
        <w:t>OSBA Statement in Support, p</w:t>
      </w:r>
      <w:r w:rsidRPr="00830D94">
        <w:rPr>
          <w:rFonts w:ascii="Times New Roman" w:hAnsi="Times New Roman" w:cs="Times New Roman"/>
          <w:sz w:val="24"/>
          <w:szCs w:val="24"/>
        </w:rPr>
        <w:t>p. 3-4.</w:t>
      </w:r>
      <w:r w:rsidR="00FB2C67">
        <w:rPr>
          <w:rFonts w:ascii="Times New Roman" w:hAnsi="Times New Roman" w:cs="Times New Roman"/>
          <w:sz w:val="24"/>
          <w:szCs w:val="24"/>
        </w:rPr>
        <w:t>)</w:t>
      </w:r>
      <w:proofErr w:type="gramEnd"/>
    </w:p>
    <w:p w:rsidR="00830D94" w:rsidRPr="00830D94" w:rsidRDefault="00830D94" w:rsidP="005E02A7">
      <w:pPr>
        <w:spacing w:after="0" w:line="360" w:lineRule="auto"/>
        <w:ind w:firstLine="1440"/>
        <w:rPr>
          <w:rFonts w:ascii="Times New Roman" w:hAnsi="Times New Roman" w:cs="Times New Roman"/>
          <w:sz w:val="24"/>
          <w:szCs w:val="24"/>
        </w:rPr>
      </w:pPr>
    </w:p>
    <w:p w:rsidR="00830D94" w:rsidRPr="00830D94" w:rsidRDefault="00830D94" w:rsidP="005E02A7">
      <w:pPr>
        <w:spacing w:after="0" w:line="360" w:lineRule="auto"/>
        <w:ind w:firstLine="1440"/>
        <w:rPr>
          <w:rFonts w:ascii="Times New Roman" w:hAnsi="Times New Roman" w:cs="Times New Roman"/>
          <w:sz w:val="24"/>
          <w:szCs w:val="24"/>
        </w:rPr>
      </w:pPr>
      <w:r w:rsidRPr="00830D94">
        <w:rPr>
          <w:rFonts w:ascii="Times New Roman" w:hAnsi="Times New Roman" w:cs="Times New Roman"/>
          <w:sz w:val="24"/>
          <w:szCs w:val="24"/>
        </w:rPr>
        <w:t xml:space="preserve">Further, the OSBA noted that the Company offers discounted load balancing rates to certain large customers, and recovers the shortfall related to these discounts from other customers in the LGS rate class.  The OSBA expressed concern that this method was inequitable and unsustainable.  However, according to OSBA, as other Parties objected to any change to this method, because this approach does not produce unreasonable results in this proceeding, and because the Commission has consistently approved the existing practice, the Settlement retains the existing methodology for recovering the shortfall related to discounted load balancing charges.  </w:t>
      </w:r>
      <w:proofErr w:type="gramStart"/>
      <w:r w:rsidRPr="00830D94">
        <w:rPr>
          <w:rFonts w:ascii="Times New Roman" w:hAnsi="Times New Roman" w:cs="Times New Roman"/>
          <w:sz w:val="24"/>
          <w:szCs w:val="24"/>
        </w:rPr>
        <w:t>(Settlement ¶ 21.</w:t>
      </w:r>
      <w:proofErr w:type="gramEnd"/>
      <w:r w:rsidRPr="00830D94">
        <w:rPr>
          <w:rFonts w:ascii="Times New Roman" w:hAnsi="Times New Roman" w:cs="Times New Roman"/>
          <w:sz w:val="24"/>
          <w:szCs w:val="24"/>
        </w:rPr>
        <w:t xml:space="preserve">  OSBA Statement in Support, p. 4.</w:t>
      </w:r>
      <w:r w:rsidR="00FB2C67">
        <w:rPr>
          <w:rFonts w:ascii="Times New Roman" w:hAnsi="Times New Roman" w:cs="Times New Roman"/>
          <w:sz w:val="24"/>
          <w:szCs w:val="24"/>
        </w:rPr>
        <w:t>)</w:t>
      </w:r>
    </w:p>
    <w:p w:rsidR="00830D94" w:rsidRPr="00830D94" w:rsidRDefault="00830D94" w:rsidP="005E02A7">
      <w:pPr>
        <w:spacing w:after="0" w:line="360" w:lineRule="auto"/>
        <w:ind w:firstLine="720"/>
        <w:rPr>
          <w:rFonts w:ascii="Times New Roman" w:hAnsi="Times New Roman" w:cs="Times New Roman"/>
          <w:sz w:val="24"/>
          <w:szCs w:val="24"/>
        </w:rPr>
      </w:pPr>
    </w:p>
    <w:p w:rsidR="00830D94" w:rsidRDefault="00830D94" w:rsidP="005E02A7">
      <w:pPr>
        <w:spacing w:after="0" w:line="360" w:lineRule="auto"/>
        <w:ind w:firstLine="1440"/>
        <w:rPr>
          <w:rFonts w:ascii="Times New Roman" w:hAnsi="Times New Roman" w:cs="Times New Roman"/>
          <w:sz w:val="24"/>
          <w:szCs w:val="24"/>
        </w:rPr>
      </w:pPr>
      <w:r w:rsidRPr="00830D94">
        <w:rPr>
          <w:rFonts w:ascii="Times New Roman" w:hAnsi="Times New Roman" w:cs="Times New Roman"/>
          <w:sz w:val="24"/>
          <w:szCs w:val="24"/>
        </w:rPr>
        <w:t>OSBA explains that, as a result of the modifications to the allocation of costs, the Parties agreed in settlement discussions that the difference between per-</w:t>
      </w:r>
      <w:proofErr w:type="spellStart"/>
      <w:r w:rsidRPr="00830D94">
        <w:rPr>
          <w:rFonts w:ascii="Times New Roman" w:hAnsi="Times New Roman" w:cs="Times New Roman"/>
          <w:sz w:val="24"/>
          <w:szCs w:val="24"/>
        </w:rPr>
        <w:t>mcf</w:t>
      </w:r>
      <w:proofErr w:type="spellEnd"/>
      <w:r w:rsidRPr="00830D94">
        <w:rPr>
          <w:rFonts w:ascii="Times New Roman" w:hAnsi="Times New Roman" w:cs="Times New Roman"/>
          <w:sz w:val="24"/>
          <w:szCs w:val="24"/>
        </w:rPr>
        <w:t xml:space="preserve"> demand costs for sales customers among the various rate classes was relatively small.  The Parties therefore agreed to drop the use of the “Extra Demand” methodology for allocating FS and FT costs among sales customers, which eliminates the differential in the C-Factor PGC sales rate among rate classes.  This change, according to OSBA, serves to modestly reduce rates for small business customers in rate SGS, and brings Peoples TWP more into line with the practices of other NGDCs.  As such, the OSBA recommends that the Commission adopt this proposed modification.  The OSBA notes further that the Settlement allows for the implications of this change to be re-evaluated in next year’s Section 1307(f) proceeding, by requiring the Company to continue to </w:t>
      </w:r>
      <w:r w:rsidRPr="00830D94">
        <w:rPr>
          <w:rFonts w:ascii="Times New Roman" w:hAnsi="Times New Roman" w:cs="Times New Roman"/>
          <w:sz w:val="24"/>
          <w:szCs w:val="24"/>
        </w:rPr>
        <w:lastRenderedPageBreak/>
        <w:t xml:space="preserve">submit the Extra Demand calculations.  If the method is retained next year, OSBA asserts, both the PGC C-Factor and E-Factor should be levelized across rate classes, consistent with the practices of other NGDCs.  </w:t>
      </w:r>
      <w:proofErr w:type="gramStart"/>
      <w:r w:rsidRPr="00830D94">
        <w:rPr>
          <w:rFonts w:ascii="Times New Roman" w:hAnsi="Times New Roman" w:cs="Times New Roman"/>
          <w:sz w:val="24"/>
          <w:szCs w:val="24"/>
        </w:rPr>
        <w:t>(Settlement ¶ 22</w:t>
      </w:r>
      <w:r w:rsidR="00741625">
        <w:rPr>
          <w:rFonts w:ascii="Times New Roman" w:hAnsi="Times New Roman" w:cs="Times New Roman"/>
          <w:sz w:val="24"/>
          <w:szCs w:val="24"/>
        </w:rPr>
        <w:t>.</w:t>
      </w:r>
      <w:proofErr w:type="gramEnd"/>
      <w:r w:rsidRPr="00830D94">
        <w:rPr>
          <w:rFonts w:ascii="Times New Roman" w:hAnsi="Times New Roman" w:cs="Times New Roman"/>
          <w:sz w:val="24"/>
          <w:szCs w:val="24"/>
        </w:rPr>
        <w:t xml:space="preserve">  OSBA Statement in Support, p. 4.</w:t>
      </w:r>
      <w:r w:rsidR="00FB2C67">
        <w:rPr>
          <w:rFonts w:ascii="Times New Roman" w:hAnsi="Times New Roman" w:cs="Times New Roman"/>
          <w:sz w:val="24"/>
          <w:szCs w:val="24"/>
        </w:rPr>
        <w:t>)</w:t>
      </w:r>
    </w:p>
    <w:p w:rsidR="00FD5CA7" w:rsidRDefault="00FD5CA7" w:rsidP="005E02A7">
      <w:pPr>
        <w:spacing w:after="0" w:line="360" w:lineRule="auto"/>
        <w:ind w:firstLine="1440"/>
        <w:rPr>
          <w:rFonts w:ascii="Times New Roman" w:hAnsi="Times New Roman" w:cs="Times New Roman"/>
          <w:sz w:val="24"/>
          <w:szCs w:val="24"/>
        </w:rPr>
      </w:pPr>
    </w:p>
    <w:p w:rsidR="00830D94" w:rsidRPr="00830D94" w:rsidRDefault="00830D94" w:rsidP="008B2DED">
      <w:pPr>
        <w:spacing w:after="0" w:line="360" w:lineRule="auto"/>
        <w:rPr>
          <w:rFonts w:ascii="Times New Roman" w:eastAsia="Times New Roman" w:hAnsi="Times New Roman" w:cs="Times New Roman"/>
          <w:sz w:val="24"/>
          <w:szCs w:val="24"/>
          <w:u w:val="single"/>
        </w:rPr>
      </w:pPr>
      <w:r w:rsidRPr="00830D94">
        <w:rPr>
          <w:rFonts w:ascii="Times New Roman" w:eastAsia="Times New Roman" w:hAnsi="Times New Roman" w:cs="Times New Roman"/>
          <w:sz w:val="24"/>
          <w:szCs w:val="24"/>
        </w:rPr>
        <w:tab/>
      </w:r>
      <w:r w:rsidR="00FD5CA7">
        <w:rPr>
          <w:rFonts w:ascii="Times New Roman" w:eastAsia="Times New Roman" w:hAnsi="Times New Roman" w:cs="Times New Roman"/>
          <w:sz w:val="24"/>
          <w:szCs w:val="24"/>
        </w:rPr>
        <w:t>4</w:t>
      </w:r>
      <w:r w:rsidRPr="00830D94">
        <w:rPr>
          <w:rFonts w:ascii="Times New Roman" w:eastAsia="Times New Roman" w:hAnsi="Times New Roman" w:cs="Times New Roman"/>
          <w:sz w:val="24"/>
          <w:szCs w:val="24"/>
        </w:rPr>
        <w:t>.</w:t>
      </w:r>
      <w:r w:rsidRPr="00830D94">
        <w:rPr>
          <w:rFonts w:ascii="Times New Roman" w:eastAsia="Times New Roman" w:hAnsi="Times New Roman" w:cs="Times New Roman"/>
          <w:sz w:val="24"/>
          <w:szCs w:val="24"/>
        </w:rPr>
        <w:tab/>
      </w:r>
      <w:r w:rsidRPr="00830D94">
        <w:rPr>
          <w:rFonts w:ascii="Times New Roman" w:eastAsia="Times New Roman" w:hAnsi="Times New Roman" w:cs="Times New Roman"/>
          <w:sz w:val="24"/>
          <w:szCs w:val="24"/>
          <w:u w:val="single"/>
        </w:rPr>
        <w:t>I&amp;E’s Position</w:t>
      </w:r>
    </w:p>
    <w:p w:rsidR="00830D94" w:rsidRPr="00830D94" w:rsidRDefault="00830D94" w:rsidP="008B2DED">
      <w:pPr>
        <w:spacing w:after="0" w:line="360" w:lineRule="auto"/>
        <w:rPr>
          <w:rFonts w:ascii="Times New Roman" w:eastAsia="Times New Roman" w:hAnsi="Times New Roman" w:cs="Times New Roman"/>
          <w:sz w:val="24"/>
          <w:szCs w:val="24"/>
          <w:u w:val="single"/>
        </w:rPr>
      </w:pPr>
    </w:p>
    <w:p w:rsidR="00830D94" w:rsidRDefault="00830D94" w:rsidP="006E4E29">
      <w:pPr>
        <w:spacing w:after="0" w:line="360" w:lineRule="auto"/>
        <w:ind w:firstLine="1440"/>
        <w:rPr>
          <w:rFonts w:ascii="Times New Roman" w:hAnsi="Times New Roman" w:cs="Times New Roman"/>
          <w:sz w:val="24"/>
          <w:szCs w:val="24"/>
        </w:rPr>
      </w:pPr>
      <w:r w:rsidRPr="00830D94">
        <w:rPr>
          <w:rFonts w:ascii="Times New Roman" w:hAnsi="Times New Roman" w:cs="Times New Roman"/>
          <w:sz w:val="24"/>
          <w:szCs w:val="24"/>
        </w:rPr>
        <w:t xml:space="preserve">I&amp;E asserts that it analyzed the Company’s E-factor and found that it was calculated in accordance with established Commission practices.  According to I&amp;E, the proper calculation of the E-factor ensures that rates are adjusted appropriately.  I&amp;E asserts it is satisfied that the Company’s E-factor calculation is appropriate and accurate.  </w:t>
      </w:r>
      <w:proofErr w:type="gramStart"/>
      <w:r w:rsidR="00427048">
        <w:rPr>
          <w:rFonts w:ascii="Times New Roman" w:hAnsi="Times New Roman" w:cs="Times New Roman"/>
          <w:sz w:val="24"/>
          <w:szCs w:val="24"/>
        </w:rPr>
        <w:t>(</w:t>
      </w:r>
      <w:r w:rsidRPr="00830D94">
        <w:rPr>
          <w:rFonts w:ascii="Times New Roman" w:hAnsi="Times New Roman" w:cs="Times New Roman"/>
          <w:sz w:val="24"/>
          <w:szCs w:val="24"/>
        </w:rPr>
        <w:t>OSBA Statement in Support, p. 3.</w:t>
      </w:r>
      <w:r w:rsidR="00427048">
        <w:rPr>
          <w:rFonts w:ascii="Times New Roman" w:hAnsi="Times New Roman" w:cs="Times New Roman"/>
          <w:sz w:val="24"/>
          <w:szCs w:val="24"/>
        </w:rPr>
        <w:t>)</w:t>
      </w:r>
      <w:proofErr w:type="gramEnd"/>
      <w:r w:rsidRPr="00830D94">
        <w:rPr>
          <w:rFonts w:ascii="Times New Roman" w:hAnsi="Times New Roman" w:cs="Times New Roman"/>
          <w:sz w:val="24"/>
          <w:szCs w:val="24"/>
        </w:rPr>
        <w:t xml:space="preserve">  Additionally, I&amp;E indicates that it reviewed the Company’s projected gas costs and determined that it appears those costs are consistent with a least cost fuel procurement policy.  The filing projects a $0.9662/Mcf decrease in the purchased gas rate applicable to residential retail service customers based upon the November 1, 2014 purchased gas rates in effect.  While those costs are subject to review in a future PGC proceeding, I&amp;E maintains that ratepayers are protected in that Peoples TWP gains no unwarranted financial advantages through its projected gas purchases and projected gas purchasing policies. </w:t>
      </w:r>
      <w:r w:rsidR="006A4D97">
        <w:rPr>
          <w:rFonts w:ascii="Times New Roman" w:hAnsi="Times New Roman" w:cs="Times New Roman"/>
          <w:sz w:val="24"/>
          <w:szCs w:val="24"/>
        </w:rPr>
        <w:t xml:space="preserve"> </w:t>
      </w:r>
      <w:proofErr w:type="gramStart"/>
      <w:r w:rsidR="00427048">
        <w:rPr>
          <w:rFonts w:ascii="Times New Roman" w:hAnsi="Times New Roman" w:cs="Times New Roman"/>
          <w:sz w:val="24"/>
          <w:szCs w:val="24"/>
        </w:rPr>
        <w:t>(</w:t>
      </w:r>
      <w:r w:rsidRPr="00830D94">
        <w:rPr>
          <w:rFonts w:ascii="Times New Roman" w:hAnsi="Times New Roman" w:cs="Times New Roman"/>
          <w:sz w:val="24"/>
          <w:szCs w:val="24"/>
        </w:rPr>
        <w:t>OSBA Statement in Support, p. 3.</w:t>
      </w:r>
      <w:r w:rsidR="00427048">
        <w:rPr>
          <w:rFonts w:ascii="Times New Roman" w:hAnsi="Times New Roman" w:cs="Times New Roman"/>
          <w:sz w:val="24"/>
          <w:szCs w:val="24"/>
        </w:rPr>
        <w:t>)</w:t>
      </w:r>
      <w:proofErr w:type="gramEnd"/>
    </w:p>
    <w:p w:rsidR="00141311" w:rsidRDefault="00141311" w:rsidP="006E4E29">
      <w:pPr>
        <w:spacing w:after="0" w:line="360" w:lineRule="auto"/>
        <w:ind w:firstLine="1440"/>
        <w:rPr>
          <w:rFonts w:ascii="Times New Roman" w:hAnsi="Times New Roman" w:cs="Times New Roman"/>
          <w:sz w:val="24"/>
          <w:szCs w:val="24"/>
        </w:rPr>
      </w:pPr>
    </w:p>
    <w:p w:rsidR="00141311" w:rsidRPr="00697F6D" w:rsidRDefault="00697F6D" w:rsidP="00AA0D77">
      <w:pPr>
        <w:keepNext/>
        <w:keepLines/>
        <w:tabs>
          <w:tab w:val="left" w:pos="720"/>
          <w:tab w:val="left" w:pos="1440"/>
        </w:tabs>
        <w:spacing w:after="0" w:line="360" w:lineRule="auto"/>
        <w:jc w:val="both"/>
        <w:outlineLvl w:val="1"/>
        <w:rPr>
          <w:rFonts w:ascii="Times New Roman" w:eastAsia="Times New Roman" w:hAnsi="Times New Roman" w:cs="Times New Roman"/>
          <w:bCs/>
          <w:iCs/>
          <w:caps/>
          <w:color w:val="000000"/>
          <w:sz w:val="24"/>
          <w:szCs w:val="28"/>
          <w:u w:val="single"/>
        </w:rPr>
      </w:pPr>
      <w:r w:rsidRPr="00AA0D77">
        <w:rPr>
          <w:rFonts w:ascii="Times New Roman" w:eastAsia="Times New Roman" w:hAnsi="Times New Roman" w:cs="Times New Roman"/>
          <w:bCs/>
          <w:iCs/>
          <w:caps/>
          <w:color w:val="000000"/>
          <w:sz w:val="24"/>
          <w:szCs w:val="28"/>
        </w:rPr>
        <w:t>E</w:t>
      </w:r>
      <w:r w:rsidR="00AA0D77" w:rsidRPr="00AA0D77">
        <w:rPr>
          <w:rFonts w:ascii="Times New Roman" w:eastAsia="Times New Roman" w:hAnsi="Times New Roman" w:cs="Times New Roman"/>
          <w:bCs/>
          <w:iCs/>
          <w:caps/>
          <w:color w:val="000000"/>
          <w:sz w:val="24"/>
          <w:szCs w:val="28"/>
        </w:rPr>
        <w:t>.</w:t>
      </w:r>
      <w:r w:rsidRPr="00AA0D77">
        <w:rPr>
          <w:rFonts w:ascii="Times New Roman" w:eastAsia="Times New Roman" w:hAnsi="Times New Roman" w:cs="Times New Roman"/>
          <w:bCs/>
          <w:iCs/>
          <w:caps/>
          <w:color w:val="000000"/>
          <w:sz w:val="24"/>
          <w:szCs w:val="28"/>
        </w:rPr>
        <w:t xml:space="preserve"> </w:t>
      </w:r>
      <w:r w:rsidR="00AA0D77" w:rsidRPr="00AA0D77">
        <w:rPr>
          <w:rFonts w:ascii="Times New Roman" w:eastAsia="Times New Roman" w:hAnsi="Times New Roman" w:cs="Times New Roman"/>
          <w:bCs/>
          <w:iCs/>
          <w:caps/>
          <w:color w:val="000000"/>
          <w:sz w:val="24"/>
          <w:szCs w:val="28"/>
        </w:rPr>
        <w:tab/>
      </w:r>
      <w:r w:rsidR="007624C4" w:rsidRPr="00697F6D">
        <w:rPr>
          <w:rFonts w:ascii="Times New Roman" w:eastAsia="Times New Roman" w:hAnsi="Times New Roman" w:cs="Times New Roman"/>
          <w:bCs/>
          <w:iCs/>
          <w:color w:val="000000"/>
          <w:sz w:val="24"/>
          <w:szCs w:val="28"/>
          <w:u w:val="single"/>
        </w:rPr>
        <w:t xml:space="preserve">Renewal </w:t>
      </w:r>
      <w:r w:rsidR="007624C4">
        <w:rPr>
          <w:rFonts w:ascii="Times New Roman" w:eastAsia="Times New Roman" w:hAnsi="Times New Roman" w:cs="Times New Roman"/>
          <w:bCs/>
          <w:iCs/>
          <w:color w:val="000000"/>
          <w:sz w:val="24"/>
          <w:szCs w:val="28"/>
          <w:u w:val="single"/>
        </w:rPr>
        <w:t>a</w:t>
      </w:r>
      <w:r w:rsidR="007624C4" w:rsidRPr="00697F6D">
        <w:rPr>
          <w:rFonts w:ascii="Times New Roman" w:eastAsia="Times New Roman" w:hAnsi="Times New Roman" w:cs="Times New Roman"/>
          <w:bCs/>
          <w:iCs/>
          <w:color w:val="000000"/>
          <w:sz w:val="24"/>
          <w:szCs w:val="28"/>
          <w:u w:val="single"/>
        </w:rPr>
        <w:t xml:space="preserve">nd Addition </w:t>
      </w:r>
      <w:r w:rsidR="007624C4">
        <w:rPr>
          <w:rFonts w:ascii="Times New Roman" w:eastAsia="Times New Roman" w:hAnsi="Times New Roman" w:cs="Times New Roman"/>
          <w:bCs/>
          <w:iCs/>
          <w:color w:val="000000"/>
          <w:sz w:val="24"/>
          <w:szCs w:val="28"/>
          <w:u w:val="single"/>
        </w:rPr>
        <w:t>o</w:t>
      </w:r>
      <w:r w:rsidR="007624C4" w:rsidRPr="00697F6D">
        <w:rPr>
          <w:rFonts w:ascii="Times New Roman" w:eastAsia="Times New Roman" w:hAnsi="Times New Roman" w:cs="Times New Roman"/>
          <w:bCs/>
          <w:iCs/>
          <w:color w:val="000000"/>
          <w:sz w:val="24"/>
          <w:szCs w:val="28"/>
          <w:u w:val="single"/>
        </w:rPr>
        <w:t>f Capacity</w:t>
      </w:r>
    </w:p>
    <w:p w:rsidR="00141311" w:rsidRPr="00141311" w:rsidRDefault="00141311" w:rsidP="00AA0D77">
      <w:pPr>
        <w:spacing w:after="0" w:line="360" w:lineRule="auto"/>
        <w:rPr>
          <w:rFonts w:ascii="Times New Roman" w:eastAsia="Times New Roman" w:hAnsi="Times New Roman" w:cs="Times New Roman"/>
          <w:sz w:val="20"/>
          <w:szCs w:val="20"/>
        </w:rPr>
      </w:pPr>
    </w:p>
    <w:p w:rsidR="00141311" w:rsidRPr="00141311" w:rsidRDefault="00AA0D77" w:rsidP="00AA0D77">
      <w:pPr>
        <w:spacing w:after="0" w:line="360" w:lineRule="auto"/>
        <w:ind w:firstLine="720"/>
        <w:rPr>
          <w:rFonts w:ascii="Times New Roman" w:eastAsia="Times New Roman" w:hAnsi="Times New Roman" w:cs="Times New Roman"/>
          <w:sz w:val="24"/>
          <w:szCs w:val="24"/>
          <w:u w:val="single"/>
        </w:rPr>
      </w:pPr>
      <w:r w:rsidRPr="00AA0D77">
        <w:rPr>
          <w:rFonts w:ascii="Times New Roman" w:eastAsia="Times New Roman" w:hAnsi="Times New Roman" w:cs="Times New Roman"/>
          <w:sz w:val="24"/>
          <w:szCs w:val="24"/>
        </w:rPr>
        <w:t>1.</w:t>
      </w:r>
      <w:r w:rsidRPr="00AA0D77">
        <w:rPr>
          <w:rFonts w:ascii="Times New Roman" w:eastAsia="Times New Roman" w:hAnsi="Times New Roman" w:cs="Times New Roman"/>
          <w:sz w:val="24"/>
          <w:szCs w:val="24"/>
        </w:rPr>
        <w:tab/>
      </w:r>
      <w:r w:rsidR="00141311" w:rsidRPr="00141311">
        <w:rPr>
          <w:rFonts w:ascii="Times New Roman" w:eastAsia="Times New Roman" w:hAnsi="Times New Roman" w:cs="Times New Roman"/>
          <w:sz w:val="24"/>
          <w:szCs w:val="24"/>
          <w:u w:val="single"/>
        </w:rPr>
        <w:t>Peoples TWP’s Position</w:t>
      </w:r>
    </w:p>
    <w:p w:rsidR="00141311" w:rsidRPr="00141311" w:rsidRDefault="00141311" w:rsidP="00AA0D77">
      <w:pPr>
        <w:spacing w:after="0" w:line="360" w:lineRule="auto"/>
        <w:ind w:left="2880"/>
        <w:rPr>
          <w:rFonts w:ascii="Times New Roman" w:eastAsia="Times New Roman" w:hAnsi="Times New Roman" w:cs="Times New Roman"/>
          <w:sz w:val="24"/>
          <w:szCs w:val="24"/>
          <w:u w:val="single"/>
        </w:rPr>
      </w:pPr>
    </w:p>
    <w:p w:rsidR="00141311" w:rsidRPr="00141311" w:rsidRDefault="009534CD" w:rsidP="003D6E1E">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41311" w:rsidRPr="00141311">
        <w:rPr>
          <w:rFonts w:ascii="Times New Roman" w:eastAsia="Times New Roman" w:hAnsi="Times New Roman" w:cs="Times New Roman"/>
          <w:sz w:val="24"/>
          <w:szCs w:val="24"/>
        </w:rPr>
        <w:t xml:space="preserve">Peoples TWP explained in testimony the need to fulfill a capacity deficit of 14.5 MMcf of design day deliverability by the 2016/2017 heating season.  </w:t>
      </w:r>
      <w:r w:rsidR="00C11174">
        <w:rPr>
          <w:rFonts w:ascii="Times New Roman" w:eastAsia="Times New Roman" w:hAnsi="Times New Roman" w:cs="Times New Roman"/>
          <w:sz w:val="24"/>
          <w:szCs w:val="24"/>
        </w:rPr>
        <w:t>(</w:t>
      </w:r>
      <w:r w:rsidR="00141311" w:rsidRPr="00141311">
        <w:rPr>
          <w:rFonts w:ascii="Times New Roman" w:eastAsia="Times New Roman" w:hAnsi="Times New Roman" w:cs="Times New Roman"/>
          <w:sz w:val="24"/>
          <w:szCs w:val="24"/>
        </w:rPr>
        <w:t>Peoples TWP Statement No. 2, p. 20; Peoples TWP Statement No. 2-S, p. 1.  Peoples TWP Statement in Support, p. 11.</w:t>
      </w:r>
      <w:r w:rsidR="00C11174">
        <w:rPr>
          <w:rFonts w:ascii="Times New Roman" w:eastAsia="Times New Roman" w:hAnsi="Times New Roman" w:cs="Times New Roman"/>
          <w:sz w:val="24"/>
          <w:szCs w:val="24"/>
        </w:rPr>
        <w:t>)</w:t>
      </w:r>
      <w:r w:rsidR="00141311" w:rsidRPr="00141311">
        <w:rPr>
          <w:rFonts w:ascii="Times New Roman" w:eastAsia="Times New Roman" w:hAnsi="Times New Roman" w:cs="Times New Roman"/>
          <w:sz w:val="24"/>
          <w:szCs w:val="24"/>
        </w:rPr>
        <w:t xml:space="preserve">   According to Peoples TWP, this is driven by a deficiency of 4 MMcf as reflected on Peoples TWP Exhibit No. 1 for the 2015/2016 heating season and the need to replace the Columbia Gas Transmission, LLC (“TCO”) storage capacity of 10.5 MMcf expiring on March 31, 2016 for the 2016/2017 heating season.  </w:t>
      </w:r>
      <w:r w:rsidR="00DB43D0">
        <w:rPr>
          <w:rFonts w:ascii="Times New Roman" w:eastAsia="Times New Roman" w:hAnsi="Times New Roman" w:cs="Times New Roman"/>
          <w:sz w:val="24"/>
          <w:szCs w:val="24"/>
        </w:rPr>
        <w:t>(</w:t>
      </w:r>
      <w:r w:rsidR="00141311" w:rsidRPr="00141311">
        <w:rPr>
          <w:rFonts w:ascii="Times New Roman" w:eastAsia="Times New Roman" w:hAnsi="Times New Roman" w:cs="Times New Roman"/>
          <w:sz w:val="24"/>
          <w:szCs w:val="24"/>
        </w:rPr>
        <w:t>Peoples TWP Statement No. 2, p. 20; Peoples TWP Statement No.</w:t>
      </w:r>
      <w:r w:rsidR="003E6338">
        <w:rPr>
          <w:rFonts w:ascii="Times New Roman" w:eastAsia="Times New Roman" w:hAnsi="Times New Roman" w:cs="Times New Roman"/>
          <w:sz w:val="24"/>
          <w:szCs w:val="24"/>
        </w:rPr>
        <w:t> </w:t>
      </w:r>
      <w:r w:rsidR="003E6338" w:rsidRPr="00141311">
        <w:rPr>
          <w:rFonts w:ascii="Times New Roman" w:eastAsia="Times New Roman" w:hAnsi="Times New Roman" w:cs="Times New Roman"/>
          <w:sz w:val="24"/>
          <w:szCs w:val="24"/>
        </w:rPr>
        <w:t xml:space="preserve"> </w:t>
      </w:r>
      <w:r w:rsidR="00141311" w:rsidRPr="00141311">
        <w:rPr>
          <w:rFonts w:ascii="Times New Roman" w:eastAsia="Times New Roman" w:hAnsi="Times New Roman" w:cs="Times New Roman"/>
          <w:sz w:val="24"/>
          <w:szCs w:val="24"/>
        </w:rPr>
        <w:t>2-S, pp. 1-2.  Peoples TWP Statement in Support, p. 11.</w:t>
      </w:r>
      <w:r w:rsidR="00DB43D0">
        <w:rPr>
          <w:rFonts w:ascii="Times New Roman" w:eastAsia="Times New Roman" w:hAnsi="Times New Roman" w:cs="Times New Roman"/>
          <w:sz w:val="24"/>
          <w:szCs w:val="24"/>
        </w:rPr>
        <w:t>)</w:t>
      </w:r>
      <w:r w:rsidR="00141311" w:rsidRPr="00141311">
        <w:rPr>
          <w:rFonts w:ascii="Times New Roman" w:eastAsia="Times New Roman" w:hAnsi="Times New Roman" w:cs="Times New Roman"/>
          <w:sz w:val="24"/>
          <w:szCs w:val="24"/>
        </w:rPr>
        <w:t xml:space="preserve">  Peoples TWP notes that it </w:t>
      </w:r>
      <w:r w:rsidR="00141311" w:rsidRPr="00141311">
        <w:rPr>
          <w:rFonts w:ascii="Times New Roman" w:eastAsia="Times New Roman" w:hAnsi="Times New Roman" w:cs="Times New Roman"/>
          <w:sz w:val="24"/>
          <w:szCs w:val="24"/>
        </w:rPr>
        <w:lastRenderedPageBreak/>
        <w:t xml:space="preserve">recommended acquiring an incremental 20,807 Dth (approximately 20.2 MMcf) of interstate pipeline capacity, which is about 6,682 Mcf/day above the Company’s winter 2015-2016 projected design day requirements.  </w:t>
      </w:r>
      <w:r w:rsidR="00936BBF">
        <w:rPr>
          <w:rFonts w:ascii="Times New Roman" w:eastAsia="Times New Roman" w:hAnsi="Times New Roman" w:cs="Times New Roman"/>
          <w:sz w:val="24"/>
          <w:szCs w:val="24"/>
        </w:rPr>
        <w:t>(</w:t>
      </w:r>
      <w:r w:rsidR="00141311" w:rsidRPr="00141311">
        <w:rPr>
          <w:rFonts w:ascii="Times New Roman" w:eastAsia="Times New Roman" w:hAnsi="Times New Roman" w:cs="Times New Roman"/>
          <w:sz w:val="24"/>
          <w:szCs w:val="24"/>
        </w:rPr>
        <w:t>Peoples TWP Statement No. 2-S, p. 2.  Peoples TWP Statement in Support, p. 11.</w:t>
      </w:r>
      <w:r w:rsidR="00936BBF">
        <w:rPr>
          <w:rFonts w:ascii="Times New Roman" w:eastAsia="Times New Roman" w:hAnsi="Times New Roman" w:cs="Times New Roman"/>
          <w:sz w:val="24"/>
          <w:szCs w:val="24"/>
        </w:rPr>
        <w:t>)</w:t>
      </w:r>
      <w:r w:rsidR="00141311" w:rsidRPr="00141311">
        <w:rPr>
          <w:rFonts w:ascii="Times New Roman" w:eastAsia="Times New Roman" w:hAnsi="Times New Roman" w:cs="Times New Roman"/>
          <w:sz w:val="24"/>
          <w:szCs w:val="24"/>
        </w:rPr>
        <w:t xml:space="preserve">  According to Peoples TWP, there were four main reasons for this recommendation:</w:t>
      </w:r>
      <w:r w:rsidR="00832718">
        <w:rPr>
          <w:rFonts w:ascii="Times New Roman" w:eastAsia="Times New Roman" w:hAnsi="Times New Roman" w:cs="Times New Roman"/>
          <w:sz w:val="24"/>
          <w:szCs w:val="24"/>
        </w:rPr>
        <w:t xml:space="preserve"> </w:t>
      </w:r>
      <w:r w:rsidR="00141311" w:rsidRPr="00141311">
        <w:rPr>
          <w:rFonts w:ascii="Times New Roman" w:eastAsia="Times New Roman" w:hAnsi="Times New Roman" w:cs="Times New Roman"/>
          <w:sz w:val="24"/>
          <w:szCs w:val="24"/>
        </w:rPr>
        <w:t xml:space="preserve"> (1) a concern about the observed decline in local production delivered directly into the Company’s system; (2) a concern about declining deliverability of on-system storage; (3) a conclusion that the extra 6,682 Mcf/day will help to ensure that sufficient supplies are available to meet growing demand under design day conditions in future years; and (4) a concern about the ongoing availability of capacity in this region as a result of the increase in competition with natural gas producers for capacity.  </w:t>
      </w:r>
      <w:r w:rsidR="003A4921">
        <w:rPr>
          <w:rFonts w:ascii="Times New Roman" w:eastAsia="Times New Roman" w:hAnsi="Times New Roman" w:cs="Times New Roman"/>
          <w:sz w:val="24"/>
          <w:szCs w:val="24"/>
        </w:rPr>
        <w:t>(</w:t>
      </w:r>
      <w:r w:rsidR="00141311" w:rsidRPr="00141311">
        <w:rPr>
          <w:rFonts w:ascii="Times New Roman" w:eastAsia="Times New Roman" w:hAnsi="Times New Roman" w:cs="Times New Roman"/>
          <w:sz w:val="24"/>
          <w:szCs w:val="24"/>
        </w:rPr>
        <w:t>Peoples TWP Statement No. 2-S, pp. 2-3.  Peoples TWP Statement in Support, p. 11.</w:t>
      </w:r>
      <w:r w:rsidR="003A4921">
        <w:rPr>
          <w:rFonts w:ascii="Times New Roman" w:eastAsia="Times New Roman" w:hAnsi="Times New Roman" w:cs="Times New Roman"/>
          <w:sz w:val="24"/>
          <w:szCs w:val="24"/>
        </w:rPr>
        <w:t>)</w:t>
      </w:r>
      <w:r w:rsidR="00141311" w:rsidRPr="00141311">
        <w:rPr>
          <w:rFonts w:ascii="Times New Roman" w:eastAsia="Times New Roman" w:hAnsi="Times New Roman" w:cs="Times New Roman"/>
          <w:sz w:val="24"/>
          <w:szCs w:val="24"/>
        </w:rPr>
        <w:t xml:space="preserve">  The Company asserts that it observed that the 6,682 Mcf/day, which is 4.1% above the Company’s winter 2015-2016 projected design day requirements, would be only 1.7% or 2,882 Mcf above winter 2016-2017 design day requirements and ultimately 0.5% or 838 Mcf below 2017-2018 design day requirements.  </w:t>
      </w:r>
      <w:r w:rsidR="003A4921">
        <w:rPr>
          <w:rFonts w:ascii="Times New Roman" w:eastAsia="Times New Roman" w:hAnsi="Times New Roman" w:cs="Times New Roman"/>
          <w:sz w:val="24"/>
          <w:szCs w:val="24"/>
        </w:rPr>
        <w:t>(</w:t>
      </w:r>
      <w:r w:rsidR="00141311" w:rsidRPr="00141311">
        <w:rPr>
          <w:rFonts w:ascii="Times New Roman" w:eastAsia="Times New Roman" w:hAnsi="Times New Roman" w:cs="Times New Roman"/>
          <w:sz w:val="24"/>
          <w:szCs w:val="24"/>
        </w:rPr>
        <w:t>Peoples TWP Statement No. 2-S, p. 2.  Peoples TWP Statement in Support, pp. 11-12.</w:t>
      </w:r>
      <w:r w:rsidR="003A4921">
        <w:rPr>
          <w:rFonts w:ascii="Times New Roman" w:eastAsia="Times New Roman" w:hAnsi="Times New Roman" w:cs="Times New Roman"/>
          <w:sz w:val="24"/>
          <w:szCs w:val="24"/>
        </w:rPr>
        <w:t>)</w:t>
      </w:r>
      <w:r w:rsidR="00141311" w:rsidRPr="00141311">
        <w:rPr>
          <w:rFonts w:ascii="Times New Roman" w:eastAsia="Times New Roman" w:hAnsi="Times New Roman" w:cs="Times New Roman"/>
          <w:sz w:val="24"/>
          <w:szCs w:val="24"/>
        </w:rPr>
        <w:t xml:space="preserve">  Furthermore, according to Peoples TWP, the Company’s proposed, additional 20,807 Dth of capacity is incremental to the proposed renewal of the FT agreement with TCO for 3,257 Dth, which is set to expire on October 31, 2015.  </w:t>
      </w:r>
      <w:r w:rsidR="003A4921">
        <w:rPr>
          <w:rFonts w:ascii="Times New Roman" w:eastAsia="Times New Roman" w:hAnsi="Times New Roman" w:cs="Times New Roman"/>
          <w:sz w:val="24"/>
          <w:szCs w:val="24"/>
        </w:rPr>
        <w:t>(</w:t>
      </w:r>
      <w:r w:rsidR="00141311" w:rsidRPr="00141311">
        <w:rPr>
          <w:rFonts w:ascii="Times New Roman" w:eastAsia="Times New Roman" w:hAnsi="Times New Roman" w:cs="Times New Roman"/>
          <w:sz w:val="24"/>
          <w:szCs w:val="24"/>
        </w:rPr>
        <w:t xml:space="preserve">Peoples TWP Statement No. 2-S, pp. 4-5; </w:t>
      </w:r>
      <w:r w:rsidR="00141311" w:rsidRPr="00141311">
        <w:rPr>
          <w:rFonts w:ascii="Times New Roman" w:eastAsia="Times New Roman" w:hAnsi="Times New Roman" w:cs="Times New Roman"/>
          <w:i/>
          <w:sz w:val="24"/>
          <w:szCs w:val="24"/>
        </w:rPr>
        <w:t xml:space="preserve">see </w:t>
      </w:r>
      <w:r w:rsidR="00141311" w:rsidRPr="00141311">
        <w:rPr>
          <w:rFonts w:ascii="Times New Roman" w:eastAsia="Times New Roman" w:hAnsi="Times New Roman" w:cs="Times New Roman"/>
          <w:sz w:val="24"/>
          <w:szCs w:val="24"/>
        </w:rPr>
        <w:t>Peoples TWP Statement No. 2, pp. 19-20.  Peoples TWP Statement in Support, p. 12.</w:t>
      </w:r>
      <w:r w:rsidR="003A4921">
        <w:rPr>
          <w:rFonts w:ascii="Times New Roman" w:eastAsia="Times New Roman" w:hAnsi="Times New Roman" w:cs="Times New Roman"/>
          <w:sz w:val="24"/>
          <w:szCs w:val="24"/>
        </w:rPr>
        <w:t>)</w:t>
      </w:r>
      <w:r w:rsidR="00141311" w:rsidRPr="00141311">
        <w:rPr>
          <w:rFonts w:ascii="Times New Roman" w:eastAsia="Times New Roman" w:hAnsi="Times New Roman" w:cs="Times New Roman"/>
          <w:sz w:val="24"/>
          <w:szCs w:val="24"/>
        </w:rPr>
        <w:t xml:space="preserve">  The Company contends it continues to have the need for this amount of year-round firm delivery from the TCO system to serve load in the </w:t>
      </w:r>
      <w:r w:rsidR="00166384">
        <w:rPr>
          <w:rFonts w:ascii="Times New Roman" w:eastAsia="Times New Roman" w:hAnsi="Times New Roman" w:cs="Times New Roman"/>
          <w:sz w:val="24"/>
          <w:szCs w:val="24"/>
        </w:rPr>
        <w:t>n</w:t>
      </w:r>
      <w:r w:rsidR="00141311" w:rsidRPr="00141311">
        <w:rPr>
          <w:rFonts w:ascii="Times New Roman" w:eastAsia="Times New Roman" w:hAnsi="Times New Roman" w:cs="Times New Roman"/>
          <w:sz w:val="24"/>
          <w:szCs w:val="24"/>
        </w:rPr>
        <w:t xml:space="preserve">orthern part of the system, and if the Company had not reflected the renewal of this capacity in its design day capacity calculation, the needed replacement capacity would have been increased further.  </w:t>
      </w:r>
      <w:r w:rsidR="003D6E1E">
        <w:rPr>
          <w:rFonts w:ascii="Times New Roman" w:eastAsia="Times New Roman" w:hAnsi="Times New Roman" w:cs="Times New Roman"/>
          <w:sz w:val="24"/>
          <w:szCs w:val="24"/>
        </w:rPr>
        <w:t>(</w:t>
      </w:r>
      <w:r w:rsidR="00141311" w:rsidRPr="00141311">
        <w:rPr>
          <w:rFonts w:ascii="Times New Roman" w:eastAsia="Times New Roman" w:hAnsi="Times New Roman" w:cs="Times New Roman"/>
          <w:sz w:val="24"/>
          <w:szCs w:val="24"/>
        </w:rPr>
        <w:t>Peoples TWP Statement No. 2-S, p. 5.  Peoples TWP Statement in Support, p. 12.</w:t>
      </w:r>
      <w:r w:rsidR="003D6E1E">
        <w:rPr>
          <w:rFonts w:ascii="Times New Roman" w:eastAsia="Times New Roman" w:hAnsi="Times New Roman" w:cs="Times New Roman"/>
          <w:sz w:val="24"/>
          <w:szCs w:val="24"/>
        </w:rPr>
        <w:t>)</w:t>
      </w:r>
    </w:p>
    <w:p w:rsidR="00141311" w:rsidRPr="00141311" w:rsidRDefault="00141311" w:rsidP="00141311">
      <w:pPr>
        <w:spacing w:after="0" w:line="360" w:lineRule="auto"/>
        <w:ind w:firstLine="720"/>
        <w:rPr>
          <w:rFonts w:ascii="Times New Roman" w:eastAsia="Times New Roman" w:hAnsi="Times New Roman" w:cs="Times New Roman"/>
          <w:sz w:val="24"/>
          <w:szCs w:val="24"/>
        </w:rPr>
      </w:pPr>
    </w:p>
    <w:p w:rsidR="00141311" w:rsidRPr="00141311" w:rsidRDefault="009534CD" w:rsidP="001E7AB7">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41311" w:rsidRPr="00141311">
        <w:rPr>
          <w:rFonts w:ascii="Times New Roman" w:eastAsia="Times New Roman" w:hAnsi="Times New Roman" w:cs="Times New Roman"/>
          <w:sz w:val="24"/>
          <w:szCs w:val="24"/>
        </w:rPr>
        <w:t xml:space="preserve">Peoples TWP notes that OCA disagreed with the Company’s additional capacity requirements.  </w:t>
      </w:r>
      <w:r w:rsidR="00F54830">
        <w:rPr>
          <w:rFonts w:ascii="Times New Roman" w:eastAsia="Times New Roman" w:hAnsi="Times New Roman" w:cs="Times New Roman"/>
          <w:sz w:val="24"/>
          <w:szCs w:val="24"/>
        </w:rPr>
        <w:t>(</w:t>
      </w:r>
      <w:r w:rsidR="00141311" w:rsidRPr="00141311">
        <w:rPr>
          <w:rFonts w:ascii="Times New Roman" w:eastAsia="Times New Roman" w:hAnsi="Times New Roman" w:cs="Times New Roman"/>
          <w:sz w:val="24"/>
          <w:szCs w:val="24"/>
        </w:rPr>
        <w:t xml:space="preserve">OCA Statement No. 1, pp. 10-13; OCA Statement No. 1-S, pp. 2-5. </w:t>
      </w:r>
      <w:r w:rsidR="00166384">
        <w:rPr>
          <w:rFonts w:ascii="Times New Roman" w:eastAsia="Times New Roman" w:hAnsi="Times New Roman" w:cs="Times New Roman"/>
          <w:sz w:val="24"/>
          <w:szCs w:val="24"/>
        </w:rPr>
        <w:t xml:space="preserve"> </w:t>
      </w:r>
      <w:r w:rsidR="00141311" w:rsidRPr="00141311">
        <w:rPr>
          <w:rFonts w:ascii="Times New Roman" w:eastAsia="Times New Roman" w:hAnsi="Times New Roman" w:cs="Times New Roman"/>
          <w:sz w:val="24"/>
          <w:szCs w:val="24"/>
        </w:rPr>
        <w:t>Peoples TWP Statement in Support, p. 12.</w:t>
      </w:r>
      <w:r w:rsidR="00F54830">
        <w:rPr>
          <w:rFonts w:ascii="Times New Roman" w:eastAsia="Times New Roman" w:hAnsi="Times New Roman" w:cs="Times New Roman"/>
          <w:sz w:val="24"/>
          <w:szCs w:val="24"/>
        </w:rPr>
        <w:t>)</w:t>
      </w:r>
      <w:r w:rsidR="00141311" w:rsidRPr="00141311">
        <w:rPr>
          <w:rFonts w:ascii="Times New Roman" w:eastAsia="Times New Roman" w:hAnsi="Times New Roman" w:cs="Times New Roman"/>
          <w:sz w:val="24"/>
          <w:szCs w:val="24"/>
        </w:rPr>
        <w:t xml:space="preserve">  OCA believed that the Company’s design peak day deficiency of 4 </w:t>
      </w:r>
      <w:proofErr w:type="spellStart"/>
      <w:r w:rsidR="00141311" w:rsidRPr="00141311">
        <w:rPr>
          <w:rFonts w:ascii="Times New Roman" w:eastAsia="Times New Roman" w:hAnsi="Times New Roman" w:cs="Times New Roman"/>
          <w:sz w:val="24"/>
          <w:szCs w:val="24"/>
        </w:rPr>
        <w:t>MMcf</w:t>
      </w:r>
      <w:proofErr w:type="spellEnd"/>
      <w:r w:rsidR="00141311" w:rsidRPr="00141311">
        <w:rPr>
          <w:rFonts w:ascii="Times New Roman" w:eastAsia="Times New Roman" w:hAnsi="Times New Roman" w:cs="Times New Roman"/>
          <w:sz w:val="24"/>
          <w:szCs w:val="24"/>
        </w:rPr>
        <w:t xml:space="preserve"> was overstated and could lead Peoples TWP to be over-supplied.  </w:t>
      </w:r>
      <w:r w:rsidR="00F54830">
        <w:rPr>
          <w:rFonts w:ascii="Times New Roman" w:eastAsia="Times New Roman" w:hAnsi="Times New Roman" w:cs="Times New Roman"/>
          <w:sz w:val="24"/>
          <w:szCs w:val="24"/>
        </w:rPr>
        <w:t>(</w:t>
      </w:r>
      <w:r w:rsidR="00141311" w:rsidRPr="00141311">
        <w:rPr>
          <w:rFonts w:ascii="Times New Roman" w:eastAsia="Times New Roman" w:hAnsi="Times New Roman" w:cs="Times New Roman"/>
          <w:sz w:val="24"/>
          <w:szCs w:val="24"/>
        </w:rPr>
        <w:t>OCA Statement No.</w:t>
      </w:r>
      <w:r w:rsidR="00CC029D">
        <w:rPr>
          <w:rFonts w:ascii="Times New Roman" w:eastAsia="Times New Roman" w:hAnsi="Times New Roman" w:cs="Times New Roman"/>
          <w:sz w:val="24"/>
          <w:szCs w:val="24"/>
        </w:rPr>
        <w:t> </w:t>
      </w:r>
      <w:r w:rsidR="00141311" w:rsidRPr="00141311">
        <w:rPr>
          <w:rFonts w:ascii="Times New Roman" w:eastAsia="Times New Roman" w:hAnsi="Times New Roman" w:cs="Times New Roman"/>
          <w:sz w:val="24"/>
          <w:szCs w:val="24"/>
        </w:rPr>
        <w:t>1, p. 12.  Peoples TWP Statement in Support, p. 12.</w:t>
      </w:r>
      <w:r w:rsidR="00F54830">
        <w:rPr>
          <w:rFonts w:ascii="Times New Roman" w:eastAsia="Times New Roman" w:hAnsi="Times New Roman" w:cs="Times New Roman"/>
          <w:sz w:val="24"/>
          <w:szCs w:val="24"/>
        </w:rPr>
        <w:t>)</w:t>
      </w:r>
      <w:r w:rsidR="00141311" w:rsidRPr="00141311">
        <w:rPr>
          <w:rFonts w:ascii="Times New Roman" w:eastAsia="Times New Roman" w:hAnsi="Times New Roman" w:cs="Times New Roman"/>
          <w:sz w:val="24"/>
          <w:szCs w:val="24"/>
        </w:rPr>
        <w:t xml:space="preserve">  OCA also disputed the </w:t>
      </w:r>
      <w:r w:rsidR="00141311" w:rsidRPr="00141311">
        <w:rPr>
          <w:rFonts w:ascii="Times New Roman" w:eastAsia="Times New Roman" w:hAnsi="Times New Roman" w:cs="Times New Roman"/>
          <w:sz w:val="24"/>
          <w:szCs w:val="24"/>
        </w:rPr>
        <w:lastRenderedPageBreak/>
        <w:t xml:space="preserve">Company’s reasons for seeking the 20,807 Dth of additional capacity.  </w:t>
      </w:r>
      <w:r w:rsidR="00F54830">
        <w:rPr>
          <w:rFonts w:ascii="Times New Roman" w:eastAsia="Times New Roman" w:hAnsi="Times New Roman" w:cs="Times New Roman"/>
          <w:sz w:val="24"/>
          <w:szCs w:val="24"/>
        </w:rPr>
        <w:t>(</w:t>
      </w:r>
      <w:r w:rsidR="00141311" w:rsidRPr="00141311">
        <w:rPr>
          <w:rFonts w:ascii="Times New Roman" w:eastAsia="Times New Roman" w:hAnsi="Times New Roman" w:cs="Times New Roman"/>
          <w:sz w:val="24"/>
          <w:szCs w:val="24"/>
        </w:rPr>
        <w:t>OCA Statement No. 1-S, pp. 4-5.  Peoples TWP Statement in Support, p. 12.</w:t>
      </w:r>
      <w:r w:rsidR="00F54830">
        <w:rPr>
          <w:rFonts w:ascii="Times New Roman" w:eastAsia="Times New Roman" w:hAnsi="Times New Roman" w:cs="Times New Roman"/>
          <w:sz w:val="24"/>
          <w:szCs w:val="24"/>
        </w:rPr>
        <w:t>)</w:t>
      </w:r>
      <w:r w:rsidR="00141311" w:rsidRPr="00141311">
        <w:rPr>
          <w:rFonts w:ascii="Times New Roman" w:eastAsia="Times New Roman" w:hAnsi="Times New Roman" w:cs="Times New Roman"/>
          <w:sz w:val="24"/>
          <w:szCs w:val="24"/>
        </w:rPr>
        <w:t xml:space="preserve">   </w:t>
      </w:r>
    </w:p>
    <w:p w:rsidR="00141311" w:rsidRPr="00141311" w:rsidRDefault="00141311" w:rsidP="00141311">
      <w:pPr>
        <w:spacing w:after="0" w:line="360" w:lineRule="auto"/>
        <w:ind w:firstLine="720"/>
        <w:rPr>
          <w:rFonts w:ascii="Times New Roman" w:eastAsia="Times New Roman" w:hAnsi="Times New Roman" w:cs="Times New Roman"/>
          <w:sz w:val="24"/>
          <w:szCs w:val="24"/>
        </w:rPr>
      </w:pPr>
    </w:p>
    <w:p w:rsidR="00141311" w:rsidRDefault="009534CD" w:rsidP="00141311">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41311" w:rsidRPr="00141311">
        <w:rPr>
          <w:rFonts w:ascii="Times New Roman" w:eastAsia="Times New Roman" w:hAnsi="Times New Roman" w:cs="Times New Roman"/>
          <w:sz w:val="24"/>
          <w:szCs w:val="24"/>
        </w:rPr>
        <w:t xml:space="preserve">Peoples TWP contends, under the Settlement, the Parties do not oppose Peoples TWP’s request for approval of the renewal of capacity and the negotiation for capacity contracts as set forth in Confidential Attachment B to the Joint Petition for Settlement.  </w:t>
      </w:r>
      <w:proofErr w:type="gramStart"/>
      <w:r w:rsidR="00F54830">
        <w:rPr>
          <w:rFonts w:ascii="Times New Roman" w:eastAsia="Times New Roman" w:hAnsi="Times New Roman" w:cs="Times New Roman"/>
          <w:sz w:val="24"/>
          <w:szCs w:val="24"/>
        </w:rPr>
        <w:t>(</w:t>
      </w:r>
      <w:r w:rsidR="00141311" w:rsidRPr="00141311">
        <w:rPr>
          <w:rFonts w:ascii="Times New Roman" w:eastAsia="Times New Roman" w:hAnsi="Times New Roman" w:cs="Times New Roman"/>
          <w:sz w:val="24"/>
          <w:szCs w:val="24"/>
        </w:rPr>
        <w:t>Settlement ¶ 23.</w:t>
      </w:r>
      <w:proofErr w:type="gramEnd"/>
      <w:r w:rsidR="00141311" w:rsidRPr="00141311">
        <w:rPr>
          <w:rFonts w:ascii="Times New Roman" w:eastAsia="Times New Roman" w:hAnsi="Times New Roman" w:cs="Times New Roman"/>
          <w:sz w:val="24"/>
          <w:szCs w:val="24"/>
        </w:rPr>
        <w:t xml:space="preserve">  Peoples TWP Statement in Support, p. 12.</w:t>
      </w:r>
      <w:r w:rsidR="00F54830">
        <w:rPr>
          <w:rFonts w:ascii="Times New Roman" w:eastAsia="Times New Roman" w:hAnsi="Times New Roman" w:cs="Times New Roman"/>
          <w:sz w:val="24"/>
          <w:szCs w:val="24"/>
        </w:rPr>
        <w:t>)</w:t>
      </w:r>
      <w:r w:rsidR="00141311" w:rsidRPr="00141311">
        <w:rPr>
          <w:rFonts w:ascii="Times New Roman" w:eastAsia="Times New Roman" w:hAnsi="Times New Roman" w:cs="Times New Roman"/>
          <w:sz w:val="24"/>
          <w:szCs w:val="24"/>
        </w:rPr>
        <w:t xml:space="preserve">  As with the Company’s testimony on the proposal for negotiating capacity contracts, Peoples TWP requested confidential treatment of the details in Confidential Attachment B to avoid jeopardizing the Company’s negotiating position with the potential counter</w:t>
      </w:r>
      <w:r w:rsidR="00837499">
        <w:rPr>
          <w:rFonts w:ascii="Times New Roman" w:eastAsia="Times New Roman" w:hAnsi="Times New Roman" w:cs="Times New Roman"/>
          <w:sz w:val="24"/>
          <w:szCs w:val="24"/>
        </w:rPr>
        <w:t xml:space="preserve"> </w:t>
      </w:r>
      <w:r w:rsidR="00141311" w:rsidRPr="00141311">
        <w:rPr>
          <w:rFonts w:ascii="Times New Roman" w:eastAsia="Times New Roman" w:hAnsi="Times New Roman" w:cs="Times New Roman"/>
          <w:sz w:val="24"/>
          <w:szCs w:val="24"/>
        </w:rPr>
        <w:t xml:space="preserve">parties, which will help the Company achieve its goal of providing reliable service at the least overall gas cost.  </w:t>
      </w:r>
      <w:r w:rsidR="00141311" w:rsidRPr="00141311">
        <w:rPr>
          <w:rFonts w:ascii="Times New Roman" w:eastAsia="Times New Roman" w:hAnsi="Times New Roman" w:cs="Times New Roman"/>
          <w:i/>
          <w:sz w:val="24"/>
          <w:szCs w:val="24"/>
        </w:rPr>
        <w:t xml:space="preserve">See </w:t>
      </w:r>
      <w:r w:rsidR="00141311" w:rsidRPr="00141311">
        <w:rPr>
          <w:rFonts w:ascii="Times New Roman" w:eastAsia="Times New Roman" w:hAnsi="Times New Roman" w:cs="Times New Roman"/>
          <w:sz w:val="24"/>
          <w:szCs w:val="24"/>
        </w:rPr>
        <w:t xml:space="preserve">Peoples TWP Statement No. 2-S, pp. 3-4; Peoples TWP Statement No. 2, p. 4.  </w:t>
      </w:r>
      <w:proofErr w:type="gramStart"/>
      <w:r w:rsidR="009B744E">
        <w:rPr>
          <w:rFonts w:ascii="Times New Roman" w:eastAsia="Times New Roman" w:hAnsi="Times New Roman" w:cs="Times New Roman"/>
          <w:sz w:val="24"/>
          <w:szCs w:val="24"/>
        </w:rPr>
        <w:t>(</w:t>
      </w:r>
      <w:r w:rsidR="00141311" w:rsidRPr="00141311">
        <w:rPr>
          <w:rFonts w:ascii="Times New Roman" w:eastAsia="Times New Roman" w:hAnsi="Times New Roman" w:cs="Times New Roman"/>
          <w:sz w:val="24"/>
          <w:szCs w:val="24"/>
        </w:rPr>
        <w:t>Peoples TWP Statement in Support, pp. 12-13.</w:t>
      </w:r>
      <w:r w:rsidR="009B744E">
        <w:rPr>
          <w:rFonts w:ascii="Times New Roman" w:eastAsia="Times New Roman" w:hAnsi="Times New Roman" w:cs="Times New Roman"/>
          <w:sz w:val="24"/>
          <w:szCs w:val="24"/>
        </w:rPr>
        <w:t>)</w:t>
      </w:r>
      <w:proofErr w:type="gramEnd"/>
      <w:r w:rsidR="00141311" w:rsidRPr="00141311">
        <w:rPr>
          <w:rFonts w:ascii="Times New Roman" w:eastAsia="Times New Roman" w:hAnsi="Times New Roman" w:cs="Times New Roman"/>
          <w:sz w:val="24"/>
          <w:szCs w:val="24"/>
        </w:rPr>
        <w:t xml:space="preserve">  The Company contends that if it were to identify possible counter parties and capacity amounts before negotiations were concluded, that could provide potential counter parties with negotiating leverage.  Once negotiations are concluded, Peoples TWP has agreed to advise the Commission and the confidential treatment may be lifted.  Peoples TWP has agreed to immediately undertake negotiations to formalize terms and conditions of service under the capacity contracts.  </w:t>
      </w:r>
      <w:proofErr w:type="gramStart"/>
      <w:r w:rsidR="009B744E">
        <w:rPr>
          <w:rFonts w:ascii="Times New Roman" w:eastAsia="Times New Roman" w:hAnsi="Times New Roman" w:cs="Times New Roman"/>
          <w:sz w:val="24"/>
          <w:szCs w:val="24"/>
        </w:rPr>
        <w:t>(</w:t>
      </w:r>
      <w:r w:rsidR="00141311" w:rsidRPr="00141311">
        <w:rPr>
          <w:rFonts w:ascii="Times New Roman" w:eastAsia="Times New Roman" w:hAnsi="Times New Roman" w:cs="Times New Roman"/>
          <w:sz w:val="24"/>
          <w:szCs w:val="24"/>
        </w:rPr>
        <w:t>Settlement ¶ 24.</w:t>
      </w:r>
      <w:proofErr w:type="gramEnd"/>
      <w:r w:rsidR="00141311" w:rsidRPr="00141311">
        <w:rPr>
          <w:rFonts w:ascii="Times New Roman" w:eastAsia="Times New Roman" w:hAnsi="Times New Roman" w:cs="Times New Roman"/>
          <w:sz w:val="24"/>
          <w:szCs w:val="24"/>
        </w:rPr>
        <w:t xml:space="preserve">  Peoples TWP Statement in Support, p. 13.</w:t>
      </w:r>
      <w:r w:rsidR="009B744E">
        <w:rPr>
          <w:rFonts w:ascii="Times New Roman" w:eastAsia="Times New Roman" w:hAnsi="Times New Roman" w:cs="Times New Roman"/>
          <w:sz w:val="24"/>
          <w:szCs w:val="24"/>
        </w:rPr>
        <w:t>)</w:t>
      </w:r>
      <w:r w:rsidR="00141311" w:rsidRPr="00141311">
        <w:rPr>
          <w:rFonts w:ascii="Times New Roman" w:eastAsia="Times New Roman" w:hAnsi="Times New Roman" w:cs="Times New Roman"/>
          <w:sz w:val="24"/>
          <w:szCs w:val="24"/>
        </w:rPr>
        <w:t xml:space="preserve">  Peoples TWP notes it has committed to conduct discussions with the Parties as these negotiations continue, with a goal to reach agreement as to the actual capacity, price and other conditions of service.  </w:t>
      </w:r>
      <w:proofErr w:type="gramStart"/>
      <w:r w:rsidR="009B744E">
        <w:rPr>
          <w:rFonts w:ascii="Times New Roman" w:eastAsia="Times New Roman" w:hAnsi="Times New Roman" w:cs="Times New Roman"/>
          <w:sz w:val="24"/>
          <w:szCs w:val="24"/>
        </w:rPr>
        <w:t>(</w:t>
      </w:r>
      <w:r w:rsidR="00141311" w:rsidRPr="00141311">
        <w:rPr>
          <w:rFonts w:ascii="Times New Roman" w:eastAsia="Times New Roman" w:hAnsi="Times New Roman" w:cs="Times New Roman"/>
          <w:sz w:val="24"/>
          <w:szCs w:val="24"/>
        </w:rPr>
        <w:t>Settlement ¶ 24.</w:t>
      </w:r>
      <w:proofErr w:type="gramEnd"/>
      <w:r w:rsidR="00141311" w:rsidRPr="00141311">
        <w:rPr>
          <w:rFonts w:ascii="Times New Roman" w:eastAsia="Times New Roman" w:hAnsi="Times New Roman" w:cs="Times New Roman"/>
          <w:sz w:val="24"/>
          <w:szCs w:val="24"/>
        </w:rPr>
        <w:t xml:space="preserve">  Peoples TWP Statement in Support, p. 13.</w:t>
      </w:r>
      <w:r w:rsidR="009B744E">
        <w:rPr>
          <w:rFonts w:ascii="Times New Roman" w:eastAsia="Times New Roman" w:hAnsi="Times New Roman" w:cs="Times New Roman"/>
          <w:sz w:val="24"/>
          <w:szCs w:val="24"/>
        </w:rPr>
        <w:t>)</w:t>
      </w:r>
      <w:r w:rsidR="00141311" w:rsidRPr="00141311">
        <w:rPr>
          <w:rFonts w:ascii="Times New Roman" w:eastAsia="Times New Roman" w:hAnsi="Times New Roman" w:cs="Times New Roman"/>
          <w:sz w:val="24"/>
          <w:szCs w:val="24"/>
        </w:rPr>
        <w:t xml:space="preserve">  The Company emphasizes that pursuant to Section 2204(e)(4) of the Pennsylvania Public Utility Code, the Commission will have full opportunity to review and approve the terms of the new and renewed contracts once they have been negotiated.  </w:t>
      </w:r>
      <w:r w:rsidR="00141311" w:rsidRPr="00141311">
        <w:rPr>
          <w:rFonts w:ascii="Times New Roman" w:eastAsia="Times New Roman" w:hAnsi="Times New Roman" w:cs="Times New Roman"/>
          <w:i/>
          <w:sz w:val="24"/>
          <w:szCs w:val="24"/>
        </w:rPr>
        <w:t xml:space="preserve">See </w:t>
      </w:r>
      <w:r w:rsidR="00141311" w:rsidRPr="00141311">
        <w:rPr>
          <w:rFonts w:ascii="Times New Roman" w:eastAsia="Times New Roman" w:hAnsi="Times New Roman" w:cs="Times New Roman"/>
          <w:sz w:val="24"/>
          <w:szCs w:val="24"/>
        </w:rPr>
        <w:t>66 Pa. C.S. § 2204(e</w:t>
      </w:r>
      <w:proofErr w:type="gramStart"/>
      <w:r w:rsidR="00141311" w:rsidRPr="00141311">
        <w:rPr>
          <w:rFonts w:ascii="Times New Roman" w:eastAsia="Times New Roman" w:hAnsi="Times New Roman" w:cs="Times New Roman"/>
          <w:sz w:val="24"/>
          <w:szCs w:val="24"/>
        </w:rPr>
        <w:t>)(</w:t>
      </w:r>
      <w:proofErr w:type="gramEnd"/>
      <w:r w:rsidR="00141311" w:rsidRPr="00141311">
        <w:rPr>
          <w:rFonts w:ascii="Times New Roman" w:eastAsia="Times New Roman" w:hAnsi="Times New Roman" w:cs="Times New Roman"/>
          <w:sz w:val="24"/>
          <w:szCs w:val="24"/>
        </w:rPr>
        <w:t xml:space="preserve">4).  </w:t>
      </w:r>
      <w:proofErr w:type="gramStart"/>
      <w:r w:rsidR="009B744E">
        <w:rPr>
          <w:rFonts w:ascii="Times New Roman" w:eastAsia="Times New Roman" w:hAnsi="Times New Roman" w:cs="Times New Roman"/>
          <w:sz w:val="24"/>
          <w:szCs w:val="24"/>
        </w:rPr>
        <w:t>(</w:t>
      </w:r>
      <w:r w:rsidR="00141311" w:rsidRPr="00141311">
        <w:rPr>
          <w:rFonts w:ascii="Times New Roman" w:eastAsia="Times New Roman" w:hAnsi="Times New Roman" w:cs="Times New Roman"/>
          <w:sz w:val="24"/>
          <w:szCs w:val="24"/>
        </w:rPr>
        <w:t>Peoples TWP Statement in Support, p. 13.</w:t>
      </w:r>
      <w:r w:rsidR="009B744E">
        <w:rPr>
          <w:rFonts w:ascii="Times New Roman" w:eastAsia="Times New Roman" w:hAnsi="Times New Roman" w:cs="Times New Roman"/>
          <w:sz w:val="24"/>
          <w:szCs w:val="24"/>
        </w:rPr>
        <w:t>)</w:t>
      </w:r>
      <w:proofErr w:type="gramEnd"/>
    </w:p>
    <w:p w:rsidR="0000524E" w:rsidRPr="00141311" w:rsidRDefault="0000524E" w:rsidP="00141311">
      <w:pPr>
        <w:spacing w:after="0" w:line="360" w:lineRule="auto"/>
        <w:ind w:firstLine="720"/>
        <w:rPr>
          <w:rFonts w:ascii="Times New Roman" w:eastAsia="Times New Roman" w:hAnsi="Times New Roman" w:cs="Times New Roman"/>
          <w:sz w:val="24"/>
          <w:szCs w:val="24"/>
        </w:rPr>
      </w:pPr>
    </w:p>
    <w:p w:rsidR="00141311" w:rsidRPr="00141311" w:rsidRDefault="00141311" w:rsidP="0000524E">
      <w:pPr>
        <w:spacing w:after="0" w:line="360" w:lineRule="auto"/>
        <w:ind w:firstLine="1350"/>
        <w:rPr>
          <w:rFonts w:ascii="Times New Roman" w:eastAsia="Times New Roman" w:hAnsi="Times New Roman" w:cs="Times New Roman"/>
          <w:sz w:val="24"/>
          <w:szCs w:val="24"/>
        </w:rPr>
      </w:pPr>
      <w:r w:rsidRPr="00141311">
        <w:rPr>
          <w:rFonts w:ascii="Times New Roman" w:eastAsia="Times New Roman" w:hAnsi="Times New Roman" w:cs="Times New Roman"/>
          <w:sz w:val="24"/>
          <w:szCs w:val="24"/>
        </w:rPr>
        <w:t xml:space="preserve">The Company concludes that its proposal to renew and obtain additional capacity as set forth in the Settlement is in the public interest because it will help ensure that the Company has sufficient capacity to serve the needs of its customers, particularly under design day conditions.  </w:t>
      </w:r>
      <w:proofErr w:type="gramStart"/>
      <w:r w:rsidR="00E05DB6">
        <w:rPr>
          <w:rFonts w:ascii="Times New Roman" w:eastAsia="Times New Roman" w:hAnsi="Times New Roman" w:cs="Times New Roman"/>
          <w:sz w:val="24"/>
          <w:szCs w:val="24"/>
        </w:rPr>
        <w:t>(</w:t>
      </w:r>
      <w:r w:rsidRPr="00141311">
        <w:rPr>
          <w:rFonts w:ascii="Times New Roman" w:eastAsia="Times New Roman" w:hAnsi="Times New Roman" w:cs="Times New Roman"/>
          <w:sz w:val="24"/>
          <w:szCs w:val="24"/>
        </w:rPr>
        <w:t>Peoples TWP Statement in Support, p. 13.</w:t>
      </w:r>
      <w:r w:rsidR="00E05DB6">
        <w:rPr>
          <w:rFonts w:ascii="Times New Roman" w:eastAsia="Times New Roman" w:hAnsi="Times New Roman" w:cs="Times New Roman"/>
          <w:sz w:val="24"/>
          <w:szCs w:val="24"/>
        </w:rPr>
        <w:t>)</w:t>
      </w:r>
      <w:proofErr w:type="gramEnd"/>
    </w:p>
    <w:p w:rsidR="00141311" w:rsidRDefault="00141311" w:rsidP="00141311">
      <w:pPr>
        <w:spacing w:after="0" w:line="360" w:lineRule="auto"/>
        <w:ind w:firstLine="720"/>
        <w:rPr>
          <w:rFonts w:ascii="Times New Roman" w:eastAsia="Times New Roman" w:hAnsi="Times New Roman" w:cs="Times New Roman"/>
          <w:sz w:val="24"/>
          <w:szCs w:val="24"/>
        </w:rPr>
      </w:pPr>
    </w:p>
    <w:p w:rsidR="002D1650" w:rsidRPr="00141311" w:rsidRDefault="002D1650" w:rsidP="00141311">
      <w:pPr>
        <w:spacing w:after="0" w:line="360" w:lineRule="auto"/>
        <w:ind w:firstLine="720"/>
        <w:rPr>
          <w:rFonts w:ascii="Times New Roman" w:eastAsia="Times New Roman" w:hAnsi="Times New Roman" w:cs="Times New Roman"/>
          <w:sz w:val="24"/>
          <w:szCs w:val="24"/>
        </w:rPr>
      </w:pPr>
    </w:p>
    <w:p w:rsidR="00141311" w:rsidRPr="00141311" w:rsidRDefault="00231290" w:rsidP="00231290">
      <w:pPr>
        <w:spacing w:after="0" w:line="360" w:lineRule="auto"/>
        <w:ind w:firstLine="720"/>
        <w:rPr>
          <w:rFonts w:ascii="Times New Roman" w:eastAsia="Times New Roman" w:hAnsi="Times New Roman" w:cs="Times New Roman"/>
          <w:sz w:val="24"/>
          <w:szCs w:val="24"/>
          <w:u w:val="single"/>
        </w:rPr>
      </w:pPr>
      <w:r w:rsidRPr="00231290">
        <w:rPr>
          <w:rFonts w:ascii="Times New Roman" w:eastAsia="Times New Roman" w:hAnsi="Times New Roman" w:cs="Times New Roman"/>
          <w:sz w:val="24"/>
          <w:szCs w:val="24"/>
        </w:rPr>
        <w:lastRenderedPageBreak/>
        <w:t>2.</w:t>
      </w:r>
      <w:r w:rsidRPr="00231290">
        <w:rPr>
          <w:rFonts w:ascii="Times New Roman" w:eastAsia="Times New Roman" w:hAnsi="Times New Roman" w:cs="Times New Roman"/>
          <w:sz w:val="24"/>
          <w:szCs w:val="24"/>
        </w:rPr>
        <w:tab/>
      </w:r>
      <w:r w:rsidR="00141311" w:rsidRPr="00141311">
        <w:rPr>
          <w:rFonts w:ascii="Times New Roman" w:eastAsia="Times New Roman" w:hAnsi="Times New Roman" w:cs="Times New Roman"/>
          <w:sz w:val="24"/>
          <w:szCs w:val="24"/>
          <w:u w:val="single"/>
        </w:rPr>
        <w:t>OCA’s Position</w:t>
      </w:r>
    </w:p>
    <w:p w:rsidR="00141311" w:rsidRPr="00141311" w:rsidRDefault="00141311" w:rsidP="00141311">
      <w:pPr>
        <w:spacing w:after="0" w:line="360" w:lineRule="auto"/>
        <w:ind w:left="2880"/>
        <w:rPr>
          <w:rFonts w:ascii="Times New Roman" w:eastAsia="Times New Roman" w:hAnsi="Times New Roman" w:cs="Times New Roman"/>
          <w:sz w:val="24"/>
          <w:szCs w:val="24"/>
          <w:u w:val="single"/>
        </w:rPr>
      </w:pPr>
    </w:p>
    <w:p w:rsidR="00141311" w:rsidRPr="00141311" w:rsidRDefault="00141311" w:rsidP="003A4BF7">
      <w:pPr>
        <w:spacing w:after="0" w:line="360" w:lineRule="auto"/>
        <w:rPr>
          <w:rFonts w:ascii="Times New Roman" w:eastAsia="Calibri" w:hAnsi="Times New Roman" w:cs="Times New Roman"/>
          <w:sz w:val="24"/>
          <w:szCs w:val="24"/>
        </w:rPr>
      </w:pPr>
      <w:r w:rsidRPr="00141311">
        <w:rPr>
          <w:rFonts w:ascii="Times New Roman" w:eastAsia="Calibri" w:hAnsi="Times New Roman" w:cs="Times New Roman"/>
          <w:sz w:val="24"/>
          <w:szCs w:val="24"/>
        </w:rPr>
        <w:tab/>
      </w:r>
      <w:r w:rsidRPr="00141311">
        <w:rPr>
          <w:rFonts w:ascii="Times New Roman" w:eastAsia="Calibri" w:hAnsi="Times New Roman" w:cs="Times New Roman"/>
          <w:sz w:val="24"/>
          <w:szCs w:val="24"/>
        </w:rPr>
        <w:tab/>
        <w:t>According to OCA, Dr. Pereira’s position on the unnecessary addition of the standard deviation amount to the model forecast formed the basis of OCA witness Whitten’s testimony in which she expressed concern that the Company, given its stated plans to procure incremental capacity,</w:t>
      </w:r>
      <w:r w:rsidRPr="00141311">
        <w:rPr>
          <w:rFonts w:ascii="Times New Roman" w:eastAsia="Calibri" w:hAnsi="Times New Roman" w:cs="Times New Roman"/>
          <w:sz w:val="24"/>
          <w:szCs w:val="24"/>
          <w:vertAlign w:val="superscript"/>
        </w:rPr>
        <w:footnoteReference w:id="7"/>
      </w:r>
      <w:r w:rsidRPr="00141311">
        <w:rPr>
          <w:rFonts w:ascii="Times New Roman" w:eastAsia="Calibri" w:hAnsi="Times New Roman" w:cs="Times New Roman"/>
          <w:sz w:val="24"/>
          <w:szCs w:val="24"/>
        </w:rPr>
        <w:t xml:space="preserve"> would be oversupplied and therefore not adhering to a least cost fuel procurement policy as required in Section 1318 of the Public Utility Code, 66 Pa.C.S. §</w:t>
      </w:r>
      <w:r w:rsidR="00166384">
        <w:rPr>
          <w:rFonts w:ascii="Times New Roman" w:eastAsia="Calibri" w:hAnsi="Times New Roman" w:cs="Times New Roman"/>
          <w:sz w:val="24"/>
          <w:szCs w:val="24"/>
        </w:rPr>
        <w:t xml:space="preserve"> </w:t>
      </w:r>
      <w:r w:rsidRPr="00141311">
        <w:rPr>
          <w:rFonts w:ascii="Times New Roman" w:eastAsia="Calibri" w:hAnsi="Times New Roman" w:cs="Times New Roman"/>
          <w:sz w:val="24"/>
          <w:szCs w:val="24"/>
        </w:rPr>
        <w:t>1318.  Ms. Whitten was particularly concerned over the Company’s proposal to increase its procurement of incremental capacity from 14.5 MMcf, as indicated in its Direct Testimony,</w:t>
      </w:r>
      <w:r w:rsidRPr="00141311">
        <w:rPr>
          <w:rFonts w:ascii="Times New Roman" w:eastAsia="Calibri" w:hAnsi="Times New Roman" w:cs="Times New Roman"/>
          <w:sz w:val="24"/>
          <w:szCs w:val="24"/>
          <w:vertAlign w:val="superscript"/>
        </w:rPr>
        <w:footnoteReference w:id="8"/>
      </w:r>
      <w:r w:rsidRPr="00141311">
        <w:rPr>
          <w:rFonts w:ascii="Times New Roman" w:eastAsia="Calibri" w:hAnsi="Times New Roman" w:cs="Times New Roman"/>
          <w:sz w:val="24"/>
          <w:szCs w:val="24"/>
        </w:rPr>
        <w:t xml:space="preserve"> to 20.2 MMcf, as indicated in its Supplemental Direct Testimony,</w:t>
      </w:r>
      <w:r w:rsidRPr="00141311">
        <w:rPr>
          <w:rFonts w:ascii="Times New Roman" w:eastAsia="Calibri" w:hAnsi="Times New Roman" w:cs="Times New Roman"/>
          <w:sz w:val="24"/>
          <w:szCs w:val="24"/>
          <w:vertAlign w:val="superscript"/>
        </w:rPr>
        <w:footnoteReference w:id="9"/>
      </w:r>
      <w:r w:rsidRPr="00141311">
        <w:rPr>
          <w:rFonts w:ascii="Times New Roman" w:eastAsia="Calibri" w:hAnsi="Times New Roman" w:cs="Times New Roman"/>
          <w:sz w:val="24"/>
          <w:szCs w:val="24"/>
        </w:rPr>
        <w:t xml:space="preserve"> inasmuch as Ms. Whitten stated in her Direct Testimony that P</w:t>
      </w:r>
      <w:r w:rsidR="00201C5F">
        <w:rPr>
          <w:rFonts w:ascii="Times New Roman" w:eastAsia="Calibri" w:hAnsi="Times New Roman" w:cs="Times New Roman"/>
          <w:sz w:val="24"/>
          <w:szCs w:val="24"/>
        </w:rPr>
        <w:t xml:space="preserve">eoples </w:t>
      </w:r>
      <w:r w:rsidRPr="00141311">
        <w:rPr>
          <w:rFonts w:ascii="Times New Roman" w:eastAsia="Calibri" w:hAnsi="Times New Roman" w:cs="Times New Roman"/>
          <w:sz w:val="24"/>
          <w:szCs w:val="24"/>
        </w:rPr>
        <w:t>TWP may be oversupplied at the lesser amount.</w:t>
      </w:r>
      <w:r w:rsidRPr="00141311">
        <w:rPr>
          <w:rFonts w:ascii="Times New Roman" w:eastAsia="Calibri" w:hAnsi="Times New Roman" w:cs="Times New Roman"/>
          <w:sz w:val="24"/>
          <w:szCs w:val="24"/>
          <w:vertAlign w:val="superscript"/>
        </w:rPr>
        <w:footnoteReference w:id="10"/>
      </w:r>
      <w:r w:rsidRPr="00141311">
        <w:rPr>
          <w:rFonts w:ascii="Times New Roman" w:eastAsia="Calibri" w:hAnsi="Times New Roman" w:cs="Times New Roman"/>
          <w:sz w:val="24"/>
          <w:szCs w:val="24"/>
        </w:rPr>
        <w:t xml:space="preserve">  </w:t>
      </w:r>
      <w:proofErr w:type="gramStart"/>
      <w:r w:rsidR="000915CC">
        <w:rPr>
          <w:rFonts w:ascii="Times New Roman" w:eastAsia="Calibri" w:hAnsi="Times New Roman" w:cs="Times New Roman"/>
          <w:sz w:val="24"/>
          <w:szCs w:val="24"/>
        </w:rPr>
        <w:t>(</w:t>
      </w:r>
      <w:r w:rsidRPr="00141311">
        <w:rPr>
          <w:rFonts w:ascii="Times New Roman" w:eastAsia="Calibri" w:hAnsi="Times New Roman" w:cs="Times New Roman"/>
          <w:sz w:val="24"/>
          <w:szCs w:val="24"/>
        </w:rPr>
        <w:t>OCA Statement in Support, p. 7.</w:t>
      </w:r>
      <w:r w:rsidR="000915CC">
        <w:rPr>
          <w:rFonts w:ascii="Times New Roman" w:eastAsia="Calibri" w:hAnsi="Times New Roman" w:cs="Times New Roman"/>
          <w:sz w:val="24"/>
          <w:szCs w:val="24"/>
        </w:rPr>
        <w:t>)</w:t>
      </w:r>
      <w:proofErr w:type="gramEnd"/>
    </w:p>
    <w:p w:rsidR="00141311" w:rsidRPr="00141311" w:rsidRDefault="00141311" w:rsidP="003A4BF7">
      <w:pPr>
        <w:spacing w:after="0" w:line="360" w:lineRule="auto"/>
        <w:rPr>
          <w:rFonts w:ascii="Times New Roman" w:eastAsia="Calibri" w:hAnsi="Times New Roman" w:cs="Times New Roman"/>
          <w:sz w:val="24"/>
          <w:szCs w:val="24"/>
        </w:rPr>
      </w:pPr>
    </w:p>
    <w:p w:rsidR="00141311" w:rsidRPr="00141311" w:rsidRDefault="00141311" w:rsidP="003A4BF7">
      <w:pPr>
        <w:spacing w:after="0" w:line="360" w:lineRule="auto"/>
        <w:rPr>
          <w:rFonts w:ascii="Times New Roman" w:eastAsia="Calibri" w:hAnsi="Times New Roman" w:cs="Times New Roman"/>
          <w:sz w:val="24"/>
          <w:szCs w:val="24"/>
        </w:rPr>
      </w:pPr>
      <w:r w:rsidRPr="00141311">
        <w:rPr>
          <w:rFonts w:ascii="Times New Roman" w:eastAsia="Calibri" w:hAnsi="Times New Roman" w:cs="Times New Roman"/>
          <w:sz w:val="24"/>
          <w:szCs w:val="24"/>
        </w:rPr>
        <w:tab/>
      </w:r>
      <w:r w:rsidRPr="00141311">
        <w:rPr>
          <w:rFonts w:ascii="Times New Roman" w:eastAsia="Calibri" w:hAnsi="Times New Roman" w:cs="Times New Roman"/>
          <w:sz w:val="24"/>
          <w:szCs w:val="24"/>
        </w:rPr>
        <w:tab/>
        <w:t>OCA notes that, in both its Supplemental Direct and Rebuttal Testimony, the Company defended its proposal to acquire the 20.2 MMcf of additional capacity.  It provided four reasons for the need to acquire this amount: 1) it continues to see declines in the local production that supplies its system; 2) the performance of its on-system storage facilities has declined significantly as revealed during the past two very cold winters; 3) the acquisition of 20.2 MMcf of capacity “exceeds the bare minimum additional capacity requirement by 6,682 Mcf/day,” which the Company asserts represents about 4% of current design day requirements, and it predicts that this surplus will decline to 1.7% by the winter of 2016-2017; and 4) there is increasing competition from natural gas producers for pipeline capacity in the region and the Company is concerned for the ongoing availability of such capacity.</w:t>
      </w:r>
      <w:r w:rsidRPr="00141311">
        <w:rPr>
          <w:rFonts w:ascii="Times New Roman" w:eastAsia="Calibri" w:hAnsi="Times New Roman" w:cs="Times New Roman"/>
          <w:sz w:val="24"/>
          <w:szCs w:val="24"/>
          <w:vertAlign w:val="superscript"/>
        </w:rPr>
        <w:footnoteReference w:id="11"/>
      </w:r>
      <w:r w:rsidR="00166384">
        <w:rPr>
          <w:rFonts w:ascii="Times New Roman" w:eastAsia="Calibri" w:hAnsi="Times New Roman" w:cs="Times New Roman"/>
          <w:sz w:val="24"/>
          <w:szCs w:val="24"/>
        </w:rPr>
        <w:t xml:space="preserve">  </w:t>
      </w:r>
      <w:proofErr w:type="gramStart"/>
      <w:r w:rsidR="000915CC">
        <w:rPr>
          <w:rFonts w:ascii="Times New Roman" w:eastAsia="Calibri" w:hAnsi="Times New Roman" w:cs="Times New Roman"/>
          <w:sz w:val="24"/>
          <w:szCs w:val="24"/>
        </w:rPr>
        <w:t>(</w:t>
      </w:r>
      <w:r w:rsidRPr="00141311">
        <w:rPr>
          <w:rFonts w:ascii="Times New Roman" w:eastAsia="Calibri" w:hAnsi="Times New Roman" w:cs="Times New Roman"/>
          <w:sz w:val="24"/>
          <w:szCs w:val="24"/>
        </w:rPr>
        <w:t>OCA Statement in Support, p. 7.</w:t>
      </w:r>
      <w:r w:rsidR="000915CC">
        <w:rPr>
          <w:rFonts w:ascii="Times New Roman" w:eastAsia="Calibri" w:hAnsi="Times New Roman" w:cs="Times New Roman"/>
          <w:sz w:val="24"/>
          <w:szCs w:val="24"/>
        </w:rPr>
        <w:t>)</w:t>
      </w:r>
      <w:proofErr w:type="gramEnd"/>
    </w:p>
    <w:p w:rsidR="00141311" w:rsidRPr="00141311" w:rsidRDefault="00141311" w:rsidP="003A4BF7">
      <w:pPr>
        <w:spacing w:after="0" w:line="360" w:lineRule="auto"/>
        <w:rPr>
          <w:rFonts w:ascii="Times New Roman" w:eastAsia="Calibri" w:hAnsi="Times New Roman" w:cs="Times New Roman"/>
          <w:sz w:val="24"/>
          <w:szCs w:val="24"/>
        </w:rPr>
      </w:pPr>
    </w:p>
    <w:p w:rsidR="00141311" w:rsidRDefault="00141311" w:rsidP="00C371F1">
      <w:pPr>
        <w:spacing w:after="0" w:line="360" w:lineRule="auto"/>
        <w:ind w:firstLine="720"/>
        <w:rPr>
          <w:rFonts w:ascii="Times New Roman" w:eastAsia="Calibri" w:hAnsi="Times New Roman" w:cs="Times New Roman"/>
          <w:sz w:val="24"/>
          <w:szCs w:val="24"/>
        </w:rPr>
      </w:pPr>
      <w:r w:rsidRPr="00141311">
        <w:rPr>
          <w:rFonts w:ascii="Times New Roman" w:eastAsia="Calibri" w:hAnsi="Times New Roman" w:cs="Times New Roman"/>
          <w:sz w:val="24"/>
          <w:szCs w:val="24"/>
        </w:rPr>
        <w:lastRenderedPageBreak/>
        <w:tab/>
        <w:t>OCA explains that in response to OCA witness Pereira’s position that the addition to the statistical model’s forecast of an amount equal to the standard deviation is unnecessary, the Company noted that in addition to the model’s underprediction during the three coldest days of 2014, the model also underpredicted sendout on two very cold days in February of 2015.  The amount of the underprediction on those days was 2,452 Mcf and 2,923 Mcf, respectively.  This compares with the average underprediction for the three days in January 2014 of 4,028 Mcf.  According to OCA, the experience in February of this year reaffirmed the Company’s recommendation that an amount equal to one standard deviation be added when determining design day needs for supply planning purposes.</w:t>
      </w:r>
      <w:r w:rsidRPr="00141311">
        <w:rPr>
          <w:rFonts w:ascii="Times New Roman" w:eastAsia="Calibri" w:hAnsi="Times New Roman" w:cs="Times New Roman"/>
          <w:sz w:val="24"/>
          <w:szCs w:val="24"/>
          <w:vertAlign w:val="superscript"/>
        </w:rPr>
        <w:footnoteReference w:id="12"/>
      </w:r>
      <w:r w:rsidRPr="00141311">
        <w:rPr>
          <w:rFonts w:ascii="Times New Roman" w:eastAsia="Calibri" w:hAnsi="Times New Roman" w:cs="Times New Roman"/>
          <w:sz w:val="24"/>
          <w:szCs w:val="24"/>
        </w:rPr>
        <w:t xml:space="preserve">   </w:t>
      </w:r>
      <w:proofErr w:type="gramStart"/>
      <w:r w:rsidR="002146CF">
        <w:rPr>
          <w:rFonts w:ascii="Times New Roman" w:eastAsia="Calibri" w:hAnsi="Times New Roman" w:cs="Times New Roman"/>
          <w:sz w:val="24"/>
          <w:szCs w:val="24"/>
        </w:rPr>
        <w:t>(</w:t>
      </w:r>
      <w:r w:rsidRPr="00141311">
        <w:rPr>
          <w:rFonts w:ascii="Times New Roman" w:eastAsia="Calibri" w:hAnsi="Times New Roman" w:cs="Times New Roman"/>
          <w:sz w:val="24"/>
          <w:szCs w:val="24"/>
        </w:rPr>
        <w:t>OCA Statement in Support, pp. 7-8.</w:t>
      </w:r>
      <w:r w:rsidR="002146CF">
        <w:rPr>
          <w:rFonts w:ascii="Times New Roman" w:eastAsia="Calibri" w:hAnsi="Times New Roman" w:cs="Times New Roman"/>
          <w:sz w:val="24"/>
          <w:szCs w:val="24"/>
        </w:rPr>
        <w:t>)</w:t>
      </w:r>
      <w:proofErr w:type="gramEnd"/>
    </w:p>
    <w:p w:rsidR="00C371F1" w:rsidRPr="00141311" w:rsidRDefault="00C371F1" w:rsidP="003A4BF7">
      <w:pPr>
        <w:spacing w:after="0" w:line="360" w:lineRule="auto"/>
        <w:rPr>
          <w:rFonts w:ascii="Times New Roman" w:eastAsia="Calibri" w:hAnsi="Times New Roman" w:cs="Times New Roman"/>
          <w:sz w:val="24"/>
          <w:szCs w:val="24"/>
        </w:rPr>
      </w:pPr>
    </w:p>
    <w:p w:rsidR="00141311" w:rsidRPr="00141311" w:rsidRDefault="00141311" w:rsidP="00C371F1">
      <w:pPr>
        <w:spacing w:after="0" w:line="360" w:lineRule="auto"/>
        <w:ind w:firstLine="1440"/>
        <w:rPr>
          <w:rFonts w:ascii="Times New Roman" w:eastAsia="Calibri" w:hAnsi="Times New Roman" w:cs="Times New Roman"/>
          <w:sz w:val="24"/>
          <w:szCs w:val="24"/>
        </w:rPr>
      </w:pPr>
      <w:r w:rsidRPr="00141311">
        <w:rPr>
          <w:rFonts w:ascii="Times New Roman" w:eastAsia="Calibri" w:hAnsi="Times New Roman" w:cs="Times New Roman"/>
          <w:sz w:val="24"/>
          <w:szCs w:val="24"/>
        </w:rPr>
        <w:t>In Surrebuttal Testimony, OCA witness Whitten responded to P</w:t>
      </w:r>
      <w:r w:rsidR="001A1F08">
        <w:rPr>
          <w:rFonts w:ascii="Times New Roman" w:eastAsia="Calibri" w:hAnsi="Times New Roman" w:cs="Times New Roman"/>
          <w:sz w:val="24"/>
          <w:szCs w:val="24"/>
        </w:rPr>
        <w:t xml:space="preserve">eoples </w:t>
      </w:r>
      <w:r w:rsidRPr="00141311">
        <w:rPr>
          <w:rFonts w:ascii="Times New Roman" w:eastAsia="Calibri" w:hAnsi="Times New Roman" w:cs="Times New Roman"/>
          <w:sz w:val="24"/>
          <w:szCs w:val="24"/>
        </w:rPr>
        <w:t>TWP’s recommendation by pointing out that the model, when updated for recent weather conditions as those in February 2015, yielded underpredictions that were substantially smaller than in 2014, suggesting that the model was actually performing as expected when the more recent cold weather data points were added to the database.  Ms. Whitten again questioned the need to add the standard deviation amount, which she referred to as an “out-of-model” adjustment.</w:t>
      </w:r>
      <w:r w:rsidRPr="00141311">
        <w:rPr>
          <w:rFonts w:ascii="Times New Roman" w:eastAsia="Calibri" w:hAnsi="Times New Roman" w:cs="Times New Roman"/>
          <w:sz w:val="24"/>
          <w:szCs w:val="24"/>
          <w:vertAlign w:val="superscript"/>
        </w:rPr>
        <w:footnoteReference w:id="13"/>
      </w:r>
      <w:r w:rsidRPr="00141311">
        <w:rPr>
          <w:rFonts w:ascii="Times New Roman" w:eastAsia="Calibri" w:hAnsi="Times New Roman" w:cs="Times New Roman"/>
          <w:sz w:val="24"/>
          <w:szCs w:val="24"/>
        </w:rPr>
        <w:t xml:space="preserve">  </w:t>
      </w:r>
      <w:proofErr w:type="gramStart"/>
      <w:r w:rsidR="002146CF">
        <w:rPr>
          <w:rFonts w:ascii="Times New Roman" w:eastAsia="Calibri" w:hAnsi="Times New Roman" w:cs="Times New Roman"/>
          <w:sz w:val="24"/>
          <w:szCs w:val="24"/>
        </w:rPr>
        <w:t>(</w:t>
      </w:r>
      <w:r w:rsidR="005B0873">
        <w:rPr>
          <w:rFonts w:ascii="Times New Roman" w:eastAsia="Calibri" w:hAnsi="Times New Roman" w:cs="Times New Roman"/>
          <w:sz w:val="24"/>
          <w:szCs w:val="24"/>
        </w:rPr>
        <w:t xml:space="preserve">OCA Statement in Support, </w:t>
      </w:r>
      <w:r w:rsidRPr="00141311">
        <w:rPr>
          <w:rFonts w:ascii="Times New Roman" w:eastAsia="Calibri" w:hAnsi="Times New Roman" w:cs="Times New Roman"/>
          <w:sz w:val="24"/>
          <w:szCs w:val="24"/>
        </w:rPr>
        <w:t>p. 8.</w:t>
      </w:r>
      <w:r w:rsidR="002146CF">
        <w:rPr>
          <w:rFonts w:ascii="Times New Roman" w:eastAsia="Calibri" w:hAnsi="Times New Roman" w:cs="Times New Roman"/>
          <w:sz w:val="24"/>
          <w:szCs w:val="24"/>
        </w:rPr>
        <w:t>)</w:t>
      </w:r>
      <w:proofErr w:type="gramEnd"/>
    </w:p>
    <w:p w:rsidR="00141311" w:rsidRPr="00141311" w:rsidRDefault="00141311" w:rsidP="003A4BF7">
      <w:pPr>
        <w:spacing w:after="0" w:line="360" w:lineRule="auto"/>
        <w:rPr>
          <w:rFonts w:ascii="Times New Roman" w:eastAsia="Calibri" w:hAnsi="Times New Roman" w:cs="Times New Roman"/>
          <w:sz w:val="24"/>
          <w:szCs w:val="24"/>
        </w:rPr>
      </w:pPr>
    </w:p>
    <w:p w:rsidR="00141311" w:rsidRPr="00141311" w:rsidRDefault="00141311" w:rsidP="006D0949">
      <w:pPr>
        <w:spacing w:after="0" w:line="360" w:lineRule="auto"/>
        <w:ind w:firstLine="1440"/>
        <w:rPr>
          <w:rFonts w:ascii="Times New Roman" w:eastAsia="Calibri" w:hAnsi="Times New Roman" w:cs="Times New Roman"/>
          <w:sz w:val="24"/>
          <w:szCs w:val="24"/>
        </w:rPr>
      </w:pPr>
      <w:r w:rsidRPr="00141311">
        <w:rPr>
          <w:rFonts w:ascii="Times New Roman" w:eastAsia="Calibri" w:hAnsi="Times New Roman" w:cs="Times New Roman"/>
          <w:sz w:val="24"/>
          <w:szCs w:val="24"/>
        </w:rPr>
        <w:t>OCA explains that the Settlement seeks to address the questions of potential oversupply and whether the design day model can stand on its own or whether out-of-model adjustments are necessary to produce accurate forecasts by again calling on P</w:t>
      </w:r>
      <w:r w:rsidR="001A1F08">
        <w:rPr>
          <w:rFonts w:ascii="Times New Roman" w:eastAsia="Calibri" w:hAnsi="Times New Roman" w:cs="Times New Roman"/>
          <w:sz w:val="24"/>
          <w:szCs w:val="24"/>
        </w:rPr>
        <w:t xml:space="preserve">eoples </w:t>
      </w:r>
      <w:r w:rsidRPr="00141311">
        <w:rPr>
          <w:rFonts w:ascii="Times New Roman" w:eastAsia="Calibri" w:hAnsi="Times New Roman" w:cs="Times New Roman"/>
          <w:sz w:val="24"/>
          <w:szCs w:val="24"/>
        </w:rPr>
        <w:t>TWP to further evaluate its model by incorporating data from the winter of 2014-2015 in its statistical analysis and evaluating the appropriateness of:</w:t>
      </w:r>
      <w:r w:rsidR="001A1F08">
        <w:rPr>
          <w:rFonts w:ascii="Times New Roman" w:eastAsia="Calibri" w:hAnsi="Times New Roman" w:cs="Times New Roman"/>
          <w:sz w:val="24"/>
          <w:szCs w:val="24"/>
        </w:rPr>
        <w:t xml:space="preserve"> </w:t>
      </w:r>
      <w:r w:rsidRPr="00141311">
        <w:rPr>
          <w:rFonts w:ascii="Times New Roman" w:eastAsia="Calibri" w:hAnsi="Times New Roman" w:cs="Times New Roman"/>
          <w:sz w:val="24"/>
          <w:szCs w:val="24"/>
        </w:rPr>
        <w:t xml:space="preserve"> 1) using a longer (minimum of four years) historical period for analysis; and 2) using dummy, interaction or other variables to account for high HDDs.  OCA points out the Company will also evaluate the performance of its model for high HDDs over the entire historical period.  The Company will provide an update of its evaluation as part of its 2016 PGC filing.  In addition, during the pendency of this proceeding, OCA points out that the Company experienced a significantly colder than average February.  </w:t>
      </w:r>
      <w:r w:rsidRPr="00141311">
        <w:rPr>
          <w:rFonts w:ascii="Times New Roman" w:eastAsia="Calibri" w:hAnsi="Times New Roman" w:cs="Times New Roman"/>
          <w:sz w:val="24"/>
          <w:szCs w:val="24"/>
        </w:rPr>
        <w:lastRenderedPageBreak/>
        <w:t xml:space="preserve">According to OCA, the Settlement will allow for further review and refinement of the Company’s supply needs while taking into account this recent weather data. The OCA submits that by engaging in further study and potential modification of its design day model, the Company will be able to improve the model and enhance its accuracy such that out-of-model adjustments will not be needed and concerns about oversupply will be diminished.  </w:t>
      </w:r>
      <w:proofErr w:type="gramStart"/>
      <w:r w:rsidR="009500A5">
        <w:rPr>
          <w:rFonts w:ascii="Times New Roman" w:eastAsia="Calibri" w:hAnsi="Times New Roman" w:cs="Times New Roman"/>
          <w:sz w:val="24"/>
          <w:szCs w:val="24"/>
        </w:rPr>
        <w:t>(</w:t>
      </w:r>
      <w:r w:rsidRPr="00141311">
        <w:rPr>
          <w:rFonts w:ascii="Times New Roman" w:eastAsia="Calibri" w:hAnsi="Times New Roman" w:cs="Times New Roman"/>
          <w:sz w:val="24"/>
          <w:szCs w:val="24"/>
        </w:rPr>
        <w:t>OCA Statement in Support, p. 8.</w:t>
      </w:r>
      <w:r w:rsidR="009500A5">
        <w:rPr>
          <w:rFonts w:ascii="Times New Roman" w:eastAsia="Calibri" w:hAnsi="Times New Roman" w:cs="Times New Roman"/>
          <w:sz w:val="24"/>
          <w:szCs w:val="24"/>
        </w:rPr>
        <w:t>)</w:t>
      </w:r>
      <w:proofErr w:type="gramEnd"/>
      <w:r w:rsidRPr="00141311">
        <w:rPr>
          <w:rFonts w:ascii="Times New Roman" w:eastAsia="Calibri" w:hAnsi="Times New Roman" w:cs="Times New Roman"/>
          <w:sz w:val="24"/>
          <w:szCs w:val="24"/>
          <w:vertAlign w:val="superscript"/>
        </w:rPr>
        <w:footnoteReference w:id="14"/>
      </w:r>
    </w:p>
    <w:p w:rsidR="00141311" w:rsidRPr="00141311" w:rsidRDefault="00141311" w:rsidP="006D0949">
      <w:pPr>
        <w:spacing w:after="0" w:line="360" w:lineRule="auto"/>
        <w:rPr>
          <w:rFonts w:ascii="Times New Roman" w:eastAsia="Times New Roman" w:hAnsi="Times New Roman" w:cs="Times New Roman"/>
          <w:sz w:val="24"/>
          <w:szCs w:val="24"/>
          <w:u w:val="single"/>
        </w:rPr>
      </w:pPr>
    </w:p>
    <w:p w:rsidR="00141311" w:rsidRPr="006D0949" w:rsidRDefault="006D0949" w:rsidP="006D0949">
      <w:pPr>
        <w:keepNext/>
        <w:keepLines/>
        <w:tabs>
          <w:tab w:val="left" w:pos="720"/>
          <w:tab w:val="left" w:pos="1440"/>
        </w:tabs>
        <w:spacing w:after="0" w:line="360" w:lineRule="auto"/>
        <w:outlineLvl w:val="1"/>
        <w:rPr>
          <w:rFonts w:ascii="Times New Roman" w:eastAsia="Times New Roman" w:hAnsi="Times New Roman" w:cs="Times New Roman"/>
          <w:bCs/>
          <w:iCs/>
          <w:caps/>
          <w:color w:val="000000"/>
          <w:sz w:val="24"/>
          <w:szCs w:val="28"/>
        </w:rPr>
      </w:pPr>
      <w:r w:rsidRPr="006D0949">
        <w:rPr>
          <w:rFonts w:ascii="Times New Roman" w:eastAsia="Times New Roman" w:hAnsi="Times New Roman" w:cs="Times New Roman"/>
          <w:bCs/>
          <w:iCs/>
          <w:caps/>
          <w:color w:val="000000"/>
          <w:sz w:val="24"/>
          <w:szCs w:val="28"/>
        </w:rPr>
        <w:t xml:space="preserve">F. </w:t>
      </w:r>
      <w:r w:rsidRPr="006D0949">
        <w:rPr>
          <w:rFonts w:ascii="Times New Roman" w:eastAsia="Times New Roman" w:hAnsi="Times New Roman" w:cs="Times New Roman"/>
          <w:bCs/>
          <w:iCs/>
          <w:caps/>
          <w:color w:val="000000"/>
          <w:sz w:val="24"/>
          <w:szCs w:val="28"/>
        </w:rPr>
        <w:tab/>
      </w:r>
      <w:r w:rsidR="00141311" w:rsidRPr="006D0949">
        <w:rPr>
          <w:rFonts w:ascii="Times New Roman" w:eastAsia="Times New Roman" w:hAnsi="Times New Roman" w:cs="Times New Roman"/>
          <w:bCs/>
          <w:iCs/>
          <w:caps/>
          <w:color w:val="000000"/>
          <w:sz w:val="24"/>
          <w:szCs w:val="28"/>
          <w:u w:val="single"/>
        </w:rPr>
        <w:t>D</w:t>
      </w:r>
      <w:r w:rsidR="007241E7">
        <w:rPr>
          <w:rFonts w:ascii="Times New Roman" w:eastAsia="Times New Roman" w:hAnsi="Times New Roman" w:cs="Times New Roman"/>
          <w:bCs/>
          <w:iCs/>
          <w:color w:val="000000"/>
          <w:sz w:val="24"/>
          <w:szCs w:val="28"/>
          <w:u w:val="single"/>
        </w:rPr>
        <w:t>esign</w:t>
      </w:r>
      <w:r w:rsidR="007241E7" w:rsidRPr="006D0949">
        <w:rPr>
          <w:rFonts w:ascii="Times New Roman" w:eastAsia="Times New Roman" w:hAnsi="Times New Roman" w:cs="Times New Roman"/>
          <w:bCs/>
          <w:iCs/>
          <w:color w:val="000000"/>
          <w:sz w:val="24"/>
          <w:szCs w:val="28"/>
          <w:u w:val="single"/>
        </w:rPr>
        <w:t xml:space="preserve"> D</w:t>
      </w:r>
      <w:r w:rsidR="007241E7">
        <w:rPr>
          <w:rFonts w:ascii="Times New Roman" w:eastAsia="Times New Roman" w:hAnsi="Times New Roman" w:cs="Times New Roman"/>
          <w:bCs/>
          <w:iCs/>
          <w:color w:val="000000"/>
          <w:sz w:val="24"/>
          <w:szCs w:val="28"/>
          <w:u w:val="single"/>
        </w:rPr>
        <w:t>ay</w:t>
      </w:r>
      <w:r w:rsidR="007241E7" w:rsidRPr="006D0949">
        <w:rPr>
          <w:rFonts w:ascii="Times New Roman" w:eastAsia="Times New Roman" w:hAnsi="Times New Roman" w:cs="Times New Roman"/>
          <w:bCs/>
          <w:iCs/>
          <w:color w:val="000000"/>
          <w:sz w:val="24"/>
          <w:szCs w:val="28"/>
        </w:rPr>
        <w:t xml:space="preserve"> </w:t>
      </w:r>
    </w:p>
    <w:p w:rsidR="00141311" w:rsidRPr="00141311" w:rsidRDefault="00141311" w:rsidP="006D0949">
      <w:pPr>
        <w:spacing w:after="0" w:line="360" w:lineRule="auto"/>
        <w:rPr>
          <w:rFonts w:ascii="Times New Roman" w:eastAsia="Times New Roman" w:hAnsi="Times New Roman" w:cs="Times New Roman"/>
          <w:sz w:val="20"/>
          <w:szCs w:val="20"/>
        </w:rPr>
      </w:pPr>
    </w:p>
    <w:p w:rsidR="00141311" w:rsidRPr="00141311" w:rsidRDefault="006D0949" w:rsidP="006D0949">
      <w:pPr>
        <w:spacing w:after="0" w:line="360" w:lineRule="auto"/>
        <w:ind w:left="720"/>
        <w:rPr>
          <w:rFonts w:ascii="Times New Roman" w:eastAsia="Times New Roman" w:hAnsi="Times New Roman" w:cs="Times New Roman"/>
          <w:sz w:val="24"/>
          <w:szCs w:val="24"/>
          <w:u w:val="single"/>
        </w:rPr>
      </w:pPr>
      <w:r w:rsidRPr="006D0949">
        <w:rPr>
          <w:rFonts w:ascii="Times New Roman" w:eastAsia="Times New Roman" w:hAnsi="Times New Roman" w:cs="Times New Roman"/>
          <w:sz w:val="24"/>
          <w:szCs w:val="24"/>
        </w:rPr>
        <w:t>1.</w:t>
      </w:r>
      <w:r w:rsidRPr="006D0949">
        <w:rPr>
          <w:rFonts w:ascii="Times New Roman" w:eastAsia="Times New Roman" w:hAnsi="Times New Roman" w:cs="Times New Roman"/>
          <w:sz w:val="24"/>
          <w:szCs w:val="24"/>
        </w:rPr>
        <w:tab/>
      </w:r>
      <w:r w:rsidR="00141311" w:rsidRPr="00141311">
        <w:rPr>
          <w:rFonts w:ascii="Times New Roman" w:eastAsia="Times New Roman" w:hAnsi="Times New Roman" w:cs="Times New Roman"/>
          <w:sz w:val="24"/>
          <w:szCs w:val="24"/>
          <w:u w:val="single"/>
        </w:rPr>
        <w:t>Peoples TWP’s Position</w:t>
      </w:r>
    </w:p>
    <w:p w:rsidR="00141311" w:rsidRPr="00141311" w:rsidRDefault="00141311" w:rsidP="006D0949">
      <w:pPr>
        <w:spacing w:after="0" w:line="360" w:lineRule="auto"/>
        <w:ind w:left="1440"/>
        <w:rPr>
          <w:rFonts w:ascii="Times New Roman" w:eastAsia="Times New Roman" w:hAnsi="Times New Roman" w:cs="Times New Roman"/>
          <w:sz w:val="24"/>
          <w:szCs w:val="24"/>
          <w:u w:val="single"/>
        </w:rPr>
      </w:pPr>
    </w:p>
    <w:p w:rsidR="00141311" w:rsidRDefault="00141311" w:rsidP="0053275F">
      <w:pPr>
        <w:spacing w:after="0" w:line="360" w:lineRule="auto"/>
        <w:ind w:firstLine="1440"/>
        <w:rPr>
          <w:rFonts w:ascii="Times New Roman" w:eastAsia="Times New Roman" w:hAnsi="Times New Roman" w:cs="Times New Roman"/>
          <w:b/>
          <w:sz w:val="24"/>
          <w:szCs w:val="24"/>
        </w:rPr>
      </w:pPr>
      <w:r w:rsidRPr="00141311">
        <w:rPr>
          <w:rFonts w:ascii="Times New Roman" w:eastAsia="Times New Roman" w:hAnsi="Times New Roman" w:cs="Times New Roman"/>
          <w:sz w:val="24"/>
          <w:szCs w:val="24"/>
        </w:rPr>
        <w:t xml:space="preserve">Peoples TWP explains that NGDCs must arrange for sufficient upstream deliverability capacity from a combination of sources including local supply, transportation capacity, and storage deliverability capacity, to meet the extreme peak demands of its customers.  Pursuant to the settlement of the Company’s 2014 PGC proceeding at Docket No. R-2014-2399598, Peoples TWP agreed to further review and evaluate the methodology for developing design peak day demand forecasts and present the results of the review and evaluation in this proceeding.  </w:t>
      </w:r>
      <w:r w:rsidR="009500A5">
        <w:rPr>
          <w:rFonts w:ascii="Times New Roman" w:eastAsia="Times New Roman" w:hAnsi="Times New Roman" w:cs="Times New Roman"/>
          <w:sz w:val="24"/>
          <w:szCs w:val="24"/>
        </w:rPr>
        <w:t>(</w:t>
      </w:r>
      <w:r w:rsidRPr="00141311">
        <w:rPr>
          <w:rFonts w:ascii="Times New Roman" w:eastAsia="Times New Roman" w:hAnsi="Times New Roman" w:cs="Times New Roman"/>
          <w:sz w:val="24"/>
          <w:szCs w:val="24"/>
        </w:rPr>
        <w:t>Peoples TWP Statement No. 1, p. 9.</w:t>
      </w:r>
      <w:r w:rsidRPr="00141311">
        <w:rPr>
          <w:rFonts w:ascii="Times New Roman" w:eastAsia="Times New Roman" w:hAnsi="Times New Roman" w:cs="Times New Roman"/>
          <w:b/>
          <w:sz w:val="24"/>
          <w:szCs w:val="24"/>
        </w:rPr>
        <w:t xml:space="preserve">  </w:t>
      </w:r>
      <w:r w:rsidRPr="00141311">
        <w:rPr>
          <w:rFonts w:ascii="Times New Roman" w:eastAsia="Times New Roman" w:hAnsi="Times New Roman" w:cs="Times New Roman"/>
          <w:sz w:val="24"/>
          <w:szCs w:val="24"/>
        </w:rPr>
        <w:t>Peoples TWP Statement in Support, p. 13.</w:t>
      </w:r>
      <w:r w:rsidR="009500A5">
        <w:rPr>
          <w:rFonts w:ascii="Times New Roman" w:eastAsia="Times New Roman" w:hAnsi="Times New Roman" w:cs="Times New Roman"/>
          <w:sz w:val="24"/>
          <w:szCs w:val="24"/>
        </w:rPr>
        <w:t>)</w:t>
      </w:r>
      <w:r w:rsidRPr="00141311">
        <w:rPr>
          <w:rFonts w:ascii="Times New Roman" w:eastAsia="Times New Roman" w:hAnsi="Times New Roman" w:cs="Times New Roman"/>
          <w:sz w:val="24"/>
          <w:szCs w:val="24"/>
        </w:rPr>
        <w:t xml:space="preserve"> </w:t>
      </w:r>
      <w:r w:rsidRPr="00141311">
        <w:rPr>
          <w:rFonts w:ascii="Times New Roman" w:eastAsia="Times New Roman" w:hAnsi="Times New Roman" w:cs="Times New Roman"/>
          <w:b/>
          <w:sz w:val="24"/>
          <w:szCs w:val="24"/>
        </w:rPr>
        <w:t xml:space="preserve">  </w:t>
      </w:r>
      <w:r w:rsidRPr="00141311">
        <w:rPr>
          <w:rFonts w:ascii="Times New Roman" w:eastAsia="Times New Roman" w:hAnsi="Times New Roman" w:cs="Times New Roman"/>
          <w:sz w:val="24"/>
          <w:szCs w:val="24"/>
        </w:rPr>
        <w:t xml:space="preserve">Following Commission approval of the settlement, Peoples TWP avers that it evaluated its methodology in accordance with the terms of the settlement, specifically incorporating data from </w:t>
      </w:r>
      <w:r w:rsidR="005B0873">
        <w:rPr>
          <w:rFonts w:ascii="Times New Roman" w:eastAsia="Times New Roman" w:hAnsi="Times New Roman" w:cs="Times New Roman"/>
          <w:sz w:val="24"/>
          <w:szCs w:val="24"/>
        </w:rPr>
        <w:t>w</w:t>
      </w:r>
      <w:r w:rsidRPr="00141311">
        <w:rPr>
          <w:rFonts w:ascii="Times New Roman" w:eastAsia="Times New Roman" w:hAnsi="Times New Roman" w:cs="Times New Roman"/>
          <w:sz w:val="24"/>
          <w:szCs w:val="24"/>
        </w:rPr>
        <w:t>inter 2013-2014 in the statistical analysis and evaluating the appropriateness of the following factors:</w:t>
      </w:r>
      <w:r w:rsidR="005B0873">
        <w:rPr>
          <w:rFonts w:ascii="Times New Roman" w:eastAsia="Times New Roman" w:hAnsi="Times New Roman" w:cs="Times New Roman"/>
          <w:sz w:val="24"/>
          <w:szCs w:val="24"/>
        </w:rPr>
        <w:t xml:space="preserve"> </w:t>
      </w:r>
      <w:r w:rsidRPr="00141311">
        <w:rPr>
          <w:rFonts w:ascii="Times New Roman" w:eastAsia="Times New Roman" w:hAnsi="Times New Roman" w:cs="Times New Roman"/>
          <w:sz w:val="24"/>
          <w:szCs w:val="24"/>
        </w:rPr>
        <w:t xml:space="preserve"> (1) use of matched (calendar or gas day) send-out and weather data or other appropriate adjustments; (2) continued use of the quadratic heating degree day (“HDD”) term; (3) use of a trend variable; (4) use of a weekday variable (or variables); (5) examination of the possible causes (and solutions) for autocorrelation; and (6) restricting statistical analysis to use of winter-only or high HDD days.  </w:t>
      </w:r>
      <w:r w:rsidR="009500A5">
        <w:rPr>
          <w:rFonts w:ascii="Times New Roman" w:eastAsia="Times New Roman" w:hAnsi="Times New Roman" w:cs="Times New Roman"/>
          <w:sz w:val="24"/>
          <w:szCs w:val="24"/>
        </w:rPr>
        <w:t>(</w:t>
      </w:r>
      <w:r w:rsidRPr="00141311">
        <w:rPr>
          <w:rFonts w:ascii="Times New Roman" w:eastAsia="Times New Roman" w:hAnsi="Times New Roman" w:cs="Times New Roman"/>
          <w:sz w:val="24"/>
          <w:szCs w:val="24"/>
        </w:rPr>
        <w:t>Peoples TWP Statement No. 1, p. 9.  Peoples TWP Statement in Support, pp. 13-14.</w:t>
      </w:r>
      <w:r w:rsidR="009500A5">
        <w:rPr>
          <w:rFonts w:ascii="Times New Roman" w:eastAsia="Times New Roman" w:hAnsi="Times New Roman" w:cs="Times New Roman"/>
          <w:sz w:val="24"/>
          <w:szCs w:val="24"/>
        </w:rPr>
        <w:t>)</w:t>
      </w:r>
      <w:r w:rsidRPr="00141311">
        <w:rPr>
          <w:rFonts w:ascii="Times New Roman" w:eastAsia="Times New Roman" w:hAnsi="Times New Roman" w:cs="Times New Roman"/>
          <w:sz w:val="24"/>
          <w:szCs w:val="24"/>
        </w:rPr>
        <w:t xml:space="preserve"> </w:t>
      </w:r>
      <w:r w:rsidRPr="00141311">
        <w:rPr>
          <w:rFonts w:ascii="Times New Roman" w:eastAsia="Times New Roman" w:hAnsi="Times New Roman" w:cs="Times New Roman"/>
          <w:b/>
          <w:sz w:val="24"/>
          <w:szCs w:val="24"/>
        </w:rPr>
        <w:t xml:space="preserve"> </w:t>
      </w:r>
      <w:r w:rsidRPr="00141311">
        <w:rPr>
          <w:rFonts w:ascii="Times New Roman" w:eastAsia="Times New Roman" w:hAnsi="Times New Roman" w:cs="Times New Roman"/>
          <w:sz w:val="24"/>
          <w:szCs w:val="24"/>
        </w:rPr>
        <w:t xml:space="preserve">Peoples TWP explains its design day demand methodology utilizes a regression model based on daily send-out data for the most recent three-year period.  </w:t>
      </w:r>
      <w:r w:rsidR="009500A5">
        <w:rPr>
          <w:rFonts w:ascii="Times New Roman" w:eastAsia="Times New Roman" w:hAnsi="Times New Roman" w:cs="Times New Roman"/>
          <w:sz w:val="24"/>
          <w:szCs w:val="24"/>
        </w:rPr>
        <w:t>(</w:t>
      </w:r>
      <w:r w:rsidRPr="00141311">
        <w:rPr>
          <w:rFonts w:ascii="Times New Roman" w:eastAsia="Times New Roman" w:hAnsi="Times New Roman" w:cs="Times New Roman"/>
          <w:sz w:val="24"/>
          <w:szCs w:val="24"/>
        </w:rPr>
        <w:t>Peoples TWP Statement No. 1, p. 9.</w:t>
      </w:r>
      <w:r w:rsidRPr="00141311">
        <w:rPr>
          <w:rFonts w:ascii="Times New Roman" w:eastAsia="Times New Roman" w:hAnsi="Times New Roman" w:cs="Times New Roman"/>
          <w:b/>
          <w:sz w:val="24"/>
          <w:szCs w:val="24"/>
        </w:rPr>
        <w:t xml:space="preserve">  </w:t>
      </w:r>
      <w:r w:rsidRPr="00141311">
        <w:rPr>
          <w:rFonts w:ascii="Times New Roman" w:eastAsia="Times New Roman" w:hAnsi="Times New Roman" w:cs="Times New Roman"/>
          <w:sz w:val="24"/>
          <w:szCs w:val="24"/>
        </w:rPr>
        <w:t>Peoples TWP Statement in Support, p. 14.</w:t>
      </w:r>
      <w:r w:rsidR="009500A5">
        <w:rPr>
          <w:rFonts w:ascii="Times New Roman" w:eastAsia="Times New Roman" w:hAnsi="Times New Roman" w:cs="Times New Roman"/>
          <w:sz w:val="24"/>
          <w:szCs w:val="24"/>
        </w:rPr>
        <w:t>)</w:t>
      </w:r>
      <w:r w:rsidRPr="00141311">
        <w:rPr>
          <w:rFonts w:ascii="Times New Roman" w:eastAsia="Times New Roman" w:hAnsi="Times New Roman" w:cs="Times New Roman"/>
          <w:sz w:val="24"/>
          <w:szCs w:val="24"/>
        </w:rPr>
        <w:t xml:space="preserve"> </w:t>
      </w:r>
      <w:r w:rsidRPr="00141311">
        <w:rPr>
          <w:rFonts w:ascii="Times New Roman" w:eastAsia="Times New Roman" w:hAnsi="Times New Roman" w:cs="Times New Roman"/>
          <w:b/>
          <w:sz w:val="24"/>
          <w:szCs w:val="24"/>
        </w:rPr>
        <w:t xml:space="preserve"> </w:t>
      </w:r>
      <w:r w:rsidRPr="00141311">
        <w:rPr>
          <w:rFonts w:ascii="Times New Roman" w:eastAsia="Times New Roman" w:hAnsi="Times New Roman" w:cs="Times New Roman"/>
          <w:sz w:val="24"/>
          <w:szCs w:val="24"/>
        </w:rPr>
        <w:t xml:space="preserve">According to the Company, once the three-year historical data was compiled and validated, eight different test </w:t>
      </w:r>
      <w:r w:rsidRPr="00141311">
        <w:rPr>
          <w:rFonts w:ascii="Times New Roman" w:eastAsia="Times New Roman" w:hAnsi="Times New Roman" w:cs="Times New Roman"/>
          <w:sz w:val="24"/>
          <w:szCs w:val="24"/>
        </w:rPr>
        <w:lastRenderedPageBreak/>
        <w:t xml:space="preserve">model scenarios were run.  </w:t>
      </w:r>
      <w:r w:rsidR="00066F2F">
        <w:rPr>
          <w:rFonts w:ascii="Times New Roman" w:eastAsia="Times New Roman" w:hAnsi="Times New Roman" w:cs="Times New Roman"/>
          <w:sz w:val="24"/>
          <w:szCs w:val="24"/>
        </w:rPr>
        <w:t>(</w:t>
      </w:r>
      <w:r w:rsidRPr="00141311">
        <w:rPr>
          <w:rFonts w:ascii="Times New Roman" w:eastAsia="Times New Roman" w:hAnsi="Times New Roman" w:cs="Times New Roman"/>
          <w:sz w:val="24"/>
          <w:szCs w:val="24"/>
        </w:rPr>
        <w:t>Peoples TWP Statement No. 1, pp. 9-10</w:t>
      </w:r>
      <w:r w:rsidRPr="00141311">
        <w:rPr>
          <w:rFonts w:ascii="Times New Roman" w:eastAsia="Times New Roman" w:hAnsi="Times New Roman" w:cs="Times New Roman"/>
          <w:b/>
          <w:sz w:val="24"/>
          <w:szCs w:val="24"/>
        </w:rPr>
        <w:t xml:space="preserve">.  </w:t>
      </w:r>
      <w:r w:rsidRPr="00141311">
        <w:rPr>
          <w:rFonts w:ascii="Times New Roman" w:eastAsia="Times New Roman" w:hAnsi="Times New Roman" w:cs="Times New Roman"/>
          <w:sz w:val="24"/>
          <w:szCs w:val="24"/>
        </w:rPr>
        <w:t>Peoples TWP Statement in Support, p. 14.</w:t>
      </w:r>
      <w:r w:rsidR="00066F2F">
        <w:rPr>
          <w:rFonts w:ascii="Times New Roman" w:eastAsia="Times New Roman" w:hAnsi="Times New Roman" w:cs="Times New Roman"/>
          <w:sz w:val="24"/>
          <w:szCs w:val="24"/>
        </w:rPr>
        <w:t>)</w:t>
      </w:r>
    </w:p>
    <w:p w:rsidR="006D0949" w:rsidRPr="00141311" w:rsidRDefault="006D0949" w:rsidP="006D0949">
      <w:pPr>
        <w:spacing w:after="0" w:line="360" w:lineRule="auto"/>
        <w:ind w:firstLine="720"/>
        <w:rPr>
          <w:rFonts w:ascii="Times New Roman" w:eastAsia="Times New Roman" w:hAnsi="Times New Roman" w:cs="Times New Roman"/>
          <w:b/>
          <w:sz w:val="24"/>
          <w:szCs w:val="24"/>
        </w:rPr>
      </w:pPr>
    </w:p>
    <w:p w:rsidR="00141311" w:rsidRPr="00141311" w:rsidRDefault="00141311" w:rsidP="006D0949">
      <w:pPr>
        <w:spacing w:after="0" w:line="360" w:lineRule="auto"/>
        <w:ind w:firstLine="1440"/>
        <w:rPr>
          <w:rFonts w:ascii="Times New Roman" w:eastAsia="Times New Roman" w:hAnsi="Times New Roman" w:cs="Times New Roman"/>
          <w:sz w:val="24"/>
          <w:szCs w:val="24"/>
        </w:rPr>
      </w:pPr>
      <w:r w:rsidRPr="00141311">
        <w:rPr>
          <w:rFonts w:ascii="Times New Roman" w:eastAsia="Times New Roman" w:hAnsi="Times New Roman" w:cs="Times New Roman"/>
          <w:sz w:val="24"/>
          <w:szCs w:val="24"/>
        </w:rPr>
        <w:t xml:space="preserve">Peoples TWP contends that after comparing the results of these scenarios to last winter’s three-day peak send-out, the Company determined that model scenario 4 was the best fit for use in projecting design day send-out because it had the least standard error of all model scenarios and its results were the closest to predicting the recent cold weather. </w:t>
      </w:r>
      <w:r w:rsidR="005B0873">
        <w:rPr>
          <w:rFonts w:ascii="Times New Roman" w:eastAsia="Times New Roman" w:hAnsi="Times New Roman" w:cs="Times New Roman"/>
          <w:sz w:val="24"/>
          <w:szCs w:val="24"/>
        </w:rPr>
        <w:t xml:space="preserve"> </w:t>
      </w:r>
      <w:r w:rsidR="00066F2F">
        <w:rPr>
          <w:rFonts w:ascii="Times New Roman" w:eastAsia="Times New Roman" w:hAnsi="Times New Roman" w:cs="Times New Roman"/>
          <w:sz w:val="24"/>
          <w:szCs w:val="24"/>
        </w:rPr>
        <w:t>(</w:t>
      </w:r>
      <w:r w:rsidRPr="00141311">
        <w:rPr>
          <w:rFonts w:ascii="Times New Roman" w:eastAsia="Times New Roman" w:hAnsi="Times New Roman" w:cs="Times New Roman"/>
          <w:sz w:val="24"/>
          <w:szCs w:val="24"/>
        </w:rPr>
        <w:t>Peoples TWP Statement No. 1, pp. 11-12.</w:t>
      </w:r>
      <w:r w:rsidRPr="00141311">
        <w:rPr>
          <w:rFonts w:ascii="Times New Roman" w:eastAsia="Times New Roman" w:hAnsi="Times New Roman" w:cs="Times New Roman"/>
          <w:b/>
          <w:sz w:val="24"/>
          <w:szCs w:val="24"/>
        </w:rPr>
        <w:t xml:space="preserve">  </w:t>
      </w:r>
      <w:r w:rsidRPr="00141311">
        <w:rPr>
          <w:rFonts w:ascii="Times New Roman" w:eastAsia="Times New Roman" w:hAnsi="Times New Roman" w:cs="Times New Roman"/>
          <w:sz w:val="24"/>
          <w:szCs w:val="24"/>
        </w:rPr>
        <w:t>Peoples TWP Statement in Support, p. 14.</w:t>
      </w:r>
      <w:r w:rsidR="00066F2F">
        <w:rPr>
          <w:rFonts w:ascii="Times New Roman" w:eastAsia="Times New Roman" w:hAnsi="Times New Roman" w:cs="Times New Roman"/>
          <w:sz w:val="24"/>
          <w:szCs w:val="24"/>
        </w:rPr>
        <w:t>)</w:t>
      </w:r>
      <w:r w:rsidRPr="00141311">
        <w:rPr>
          <w:rFonts w:ascii="Times New Roman" w:eastAsia="Times New Roman" w:hAnsi="Times New Roman" w:cs="Times New Roman"/>
          <w:sz w:val="24"/>
          <w:szCs w:val="24"/>
        </w:rPr>
        <w:t xml:space="preserve"> </w:t>
      </w:r>
      <w:r w:rsidRPr="00141311">
        <w:rPr>
          <w:rFonts w:ascii="Times New Roman" w:eastAsia="Times New Roman" w:hAnsi="Times New Roman" w:cs="Times New Roman"/>
          <w:b/>
          <w:sz w:val="24"/>
          <w:szCs w:val="24"/>
        </w:rPr>
        <w:t xml:space="preserve"> </w:t>
      </w:r>
      <w:r w:rsidRPr="00141311">
        <w:rPr>
          <w:rFonts w:ascii="Times New Roman" w:eastAsia="Times New Roman" w:hAnsi="Times New Roman" w:cs="Times New Roman"/>
          <w:sz w:val="24"/>
          <w:szCs w:val="24"/>
        </w:rPr>
        <w:t xml:space="preserve">However, since model scenario 4 consistently under-predicted the send-out on the cold days, Peoples TWP asserts that it determined it was appropriate to include one standard error in the calculation of the design day demand to account for the shortfall in usage not predicted by the model.  </w:t>
      </w:r>
      <w:r w:rsidR="00066F2F">
        <w:rPr>
          <w:rFonts w:ascii="Times New Roman" w:eastAsia="Times New Roman" w:hAnsi="Times New Roman" w:cs="Times New Roman"/>
          <w:sz w:val="24"/>
          <w:szCs w:val="24"/>
        </w:rPr>
        <w:t>(</w:t>
      </w:r>
      <w:r w:rsidRPr="00141311">
        <w:rPr>
          <w:rFonts w:ascii="Times New Roman" w:eastAsia="Times New Roman" w:hAnsi="Times New Roman" w:cs="Times New Roman"/>
          <w:sz w:val="24"/>
          <w:szCs w:val="24"/>
        </w:rPr>
        <w:t>Peoples TWP Statement No. 1, p. 12.  Peoples TWP Statement in Support, p. 14.</w:t>
      </w:r>
      <w:r w:rsidR="00066F2F">
        <w:rPr>
          <w:rFonts w:ascii="Times New Roman" w:eastAsia="Times New Roman" w:hAnsi="Times New Roman" w:cs="Times New Roman"/>
          <w:sz w:val="24"/>
          <w:szCs w:val="24"/>
        </w:rPr>
        <w:t xml:space="preserve">) </w:t>
      </w:r>
      <w:r w:rsidRPr="00141311">
        <w:rPr>
          <w:rFonts w:ascii="Times New Roman" w:eastAsia="Times New Roman" w:hAnsi="Times New Roman" w:cs="Times New Roman"/>
          <w:b/>
          <w:sz w:val="24"/>
          <w:szCs w:val="24"/>
        </w:rPr>
        <w:t xml:space="preserve"> </w:t>
      </w:r>
      <w:r w:rsidRPr="00141311">
        <w:rPr>
          <w:rFonts w:ascii="Times New Roman" w:eastAsia="Times New Roman" w:hAnsi="Times New Roman" w:cs="Times New Roman"/>
          <w:sz w:val="24"/>
          <w:szCs w:val="24"/>
        </w:rPr>
        <w:t xml:space="preserve">Accordingly, the Company asserts that it incorporated an additional 3,208 Mcf over the model projection to account for the under prediction.  </w:t>
      </w:r>
      <w:r w:rsidR="00066F2F">
        <w:rPr>
          <w:rFonts w:ascii="Times New Roman" w:eastAsia="Times New Roman" w:hAnsi="Times New Roman" w:cs="Times New Roman"/>
          <w:sz w:val="24"/>
          <w:szCs w:val="24"/>
        </w:rPr>
        <w:t>(</w:t>
      </w:r>
      <w:r w:rsidRPr="00141311">
        <w:rPr>
          <w:rFonts w:ascii="Times New Roman" w:eastAsia="Times New Roman" w:hAnsi="Times New Roman" w:cs="Times New Roman"/>
          <w:sz w:val="24"/>
          <w:szCs w:val="24"/>
        </w:rPr>
        <w:t xml:space="preserve">Peoples TWP Statement No. 1, p. 12.  Peoples TWP Statement in Support, </w:t>
      </w:r>
    </w:p>
    <w:p w:rsidR="00141311" w:rsidRPr="00141311" w:rsidRDefault="00141311" w:rsidP="003A4BF7">
      <w:pPr>
        <w:spacing w:after="0" w:line="360" w:lineRule="auto"/>
        <w:rPr>
          <w:rFonts w:ascii="Times New Roman" w:eastAsia="Times New Roman" w:hAnsi="Times New Roman" w:cs="Times New Roman"/>
          <w:sz w:val="24"/>
          <w:szCs w:val="24"/>
        </w:rPr>
      </w:pPr>
      <w:r w:rsidRPr="00141311">
        <w:rPr>
          <w:rFonts w:ascii="Times New Roman" w:eastAsia="Times New Roman" w:hAnsi="Times New Roman" w:cs="Times New Roman"/>
          <w:sz w:val="24"/>
          <w:szCs w:val="24"/>
        </w:rPr>
        <w:t>p. 14.</w:t>
      </w:r>
      <w:r w:rsidR="00066F2F">
        <w:rPr>
          <w:rFonts w:ascii="Times New Roman" w:eastAsia="Times New Roman" w:hAnsi="Times New Roman" w:cs="Times New Roman"/>
          <w:sz w:val="24"/>
          <w:szCs w:val="24"/>
        </w:rPr>
        <w:t>)</w:t>
      </w:r>
    </w:p>
    <w:p w:rsidR="00141311" w:rsidRPr="00141311" w:rsidRDefault="00141311" w:rsidP="003A4BF7">
      <w:pPr>
        <w:spacing w:after="0" w:line="360" w:lineRule="auto"/>
        <w:ind w:firstLine="720"/>
        <w:rPr>
          <w:rFonts w:ascii="Times New Roman" w:eastAsia="Times New Roman" w:hAnsi="Times New Roman" w:cs="Times New Roman"/>
          <w:sz w:val="24"/>
          <w:szCs w:val="24"/>
        </w:rPr>
      </w:pPr>
    </w:p>
    <w:p w:rsidR="00E945F1" w:rsidRDefault="00141311" w:rsidP="0053275F">
      <w:pPr>
        <w:spacing w:after="0" w:line="360" w:lineRule="auto"/>
        <w:ind w:firstLine="1440"/>
        <w:rPr>
          <w:rFonts w:ascii="Times New Roman" w:eastAsia="Times New Roman" w:hAnsi="Times New Roman" w:cs="Times New Roman"/>
          <w:sz w:val="24"/>
          <w:szCs w:val="24"/>
        </w:rPr>
      </w:pPr>
      <w:r w:rsidRPr="00141311">
        <w:rPr>
          <w:rFonts w:ascii="Times New Roman" w:eastAsia="Times New Roman" w:hAnsi="Times New Roman" w:cs="Times New Roman"/>
          <w:sz w:val="24"/>
          <w:szCs w:val="24"/>
        </w:rPr>
        <w:t xml:space="preserve">The Company notes that OCA recommended that one standard error not </w:t>
      </w:r>
      <w:proofErr w:type="gramStart"/>
      <w:r w:rsidRPr="00141311">
        <w:rPr>
          <w:rFonts w:ascii="Times New Roman" w:eastAsia="Times New Roman" w:hAnsi="Times New Roman" w:cs="Times New Roman"/>
          <w:sz w:val="24"/>
          <w:szCs w:val="24"/>
        </w:rPr>
        <w:t>be</w:t>
      </w:r>
      <w:proofErr w:type="gramEnd"/>
      <w:r w:rsidRPr="00141311">
        <w:rPr>
          <w:rFonts w:ascii="Times New Roman" w:eastAsia="Times New Roman" w:hAnsi="Times New Roman" w:cs="Times New Roman"/>
          <w:sz w:val="24"/>
          <w:szCs w:val="24"/>
        </w:rPr>
        <w:t xml:space="preserve"> incorporated into the model as proposed by Peoples TWP.  </w:t>
      </w:r>
      <w:r w:rsidR="00066F2F">
        <w:rPr>
          <w:rFonts w:ascii="Times New Roman" w:eastAsia="Times New Roman" w:hAnsi="Times New Roman" w:cs="Times New Roman"/>
          <w:sz w:val="24"/>
          <w:szCs w:val="24"/>
        </w:rPr>
        <w:t>(</w:t>
      </w:r>
      <w:r w:rsidRPr="00141311">
        <w:rPr>
          <w:rFonts w:ascii="Times New Roman" w:eastAsia="Times New Roman" w:hAnsi="Times New Roman" w:cs="Times New Roman"/>
          <w:sz w:val="24"/>
          <w:szCs w:val="24"/>
        </w:rPr>
        <w:t>OCA Statement No. 2, pp. 2, 7-9.  Peoples TWP Statement in Support, p. 14.</w:t>
      </w:r>
      <w:r w:rsidR="00066F2F">
        <w:rPr>
          <w:rFonts w:ascii="Times New Roman" w:eastAsia="Times New Roman" w:hAnsi="Times New Roman" w:cs="Times New Roman"/>
          <w:sz w:val="24"/>
          <w:szCs w:val="24"/>
        </w:rPr>
        <w:t>)</w:t>
      </w:r>
      <w:r w:rsidRPr="00141311">
        <w:rPr>
          <w:rFonts w:ascii="Times New Roman" w:eastAsia="Times New Roman" w:hAnsi="Times New Roman" w:cs="Times New Roman"/>
          <w:b/>
          <w:sz w:val="24"/>
          <w:szCs w:val="24"/>
        </w:rPr>
        <w:t xml:space="preserve">  </w:t>
      </w:r>
      <w:r w:rsidRPr="00141311">
        <w:rPr>
          <w:rFonts w:ascii="Times New Roman" w:eastAsia="Times New Roman" w:hAnsi="Times New Roman" w:cs="Times New Roman"/>
          <w:sz w:val="24"/>
          <w:szCs w:val="24"/>
        </w:rPr>
        <w:t xml:space="preserve">OCA Witness Pereira reasoned that the conditions that caused the error on the last three-day peak may not be weather related, but instead may be due to an adjustment that is not captured entirely by the model specification.  </w:t>
      </w:r>
      <w:r w:rsidR="00066F2F">
        <w:rPr>
          <w:rFonts w:ascii="Times New Roman" w:eastAsia="Times New Roman" w:hAnsi="Times New Roman" w:cs="Times New Roman"/>
          <w:sz w:val="24"/>
          <w:szCs w:val="24"/>
        </w:rPr>
        <w:t>(</w:t>
      </w:r>
      <w:r w:rsidRPr="00141311">
        <w:rPr>
          <w:rFonts w:ascii="Times New Roman" w:eastAsia="Times New Roman" w:hAnsi="Times New Roman" w:cs="Times New Roman"/>
          <w:sz w:val="24"/>
          <w:szCs w:val="24"/>
        </w:rPr>
        <w:t>OCA Statement No. 2, p. 7.</w:t>
      </w:r>
      <w:r w:rsidRPr="00141311">
        <w:rPr>
          <w:rFonts w:ascii="Times New Roman" w:eastAsia="Times New Roman" w:hAnsi="Times New Roman" w:cs="Times New Roman"/>
          <w:b/>
          <w:sz w:val="24"/>
          <w:szCs w:val="24"/>
        </w:rPr>
        <w:t xml:space="preserve">  </w:t>
      </w:r>
      <w:r w:rsidRPr="00141311">
        <w:rPr>
          <w:rFonts w:ascii="Times New Roman" w:eastAsia="Times New Roman" w:hAnsi="Times New Roman" w:cs="Times New Roman"/>
          <w:sz w:val="24"/>
          <w:szCs w:val="24"/>
        </w:rPr>
        <w:t>Peoples TWP Statement in Support, p. 15.</w:t>
      </w:r>
      <w:r w:rsidR="00066F2F">
        <w:rPr>
          <w:rFonts w:ascii="Times New Roman" w:eastAsia="Times New Roman" w:hAnsi="Times New Roman" w:cs="Times New Roman"/>
          <w:sz w:val="24"/>
          <w:szCs w:val="24"/>
        </w:rPr>
        <w:t>)</w:t>
      </w:r>
      <w:r w:rsidRPr="00141311">
        <w:rPr>
          <w:rFonts w:ascii="Times New Roman" w:eastAsia="Times New Roman" w:hAnsi="Times New Roman" w:cs="Times New Roman"/>
          <w:sz w:val="24"/>
          <w:szCs w:val="24"/>
        </w:rPr>
        <w:t xml:space="preserve"> </w:t>
      </w:r>
      <w:r w:rsidRPr="00141311">
        <w:rPr>
          <w:rFonts w:ascii="Times New Roman" w:eastAsia="Times New Roman" w:hAnsi="Times New Roman" w:cs="Times New Roman"/>
          <w:b/>
          <w:sz w:val="24"/>
          <w:szCs w:val="24"/>
        </w:rPr>
        <w:t xml:space="preserve"> </w:t>
      </w:r>
      <w:r w:rsidRPr="00141311">
        <w:rPr>
          <w:rFonts w:ascii="Times New Roman" w:eastAsia="Times New Roman" w:hAnsi="Times New Roman" w:cs="Times New Roman"/>
          <w:sz w:val="24"/>
          <w:szCs w:val="24"/>
        </w:rPr>
        <w:t xml:space="preserve">Further, OCA Witness Pereira asserted that while the model consistently underperforms during extremely high usage levels, there were not enough data points to definitively conclude that the model under-projects design day requirements.  </w:t>
      </w:r>
      <w:r w:rsidR="00066F2F">
        <w:rPr>
          <w:rFonts w:ascii="Times New Roman" w:eastAsia="Times New Roman" w:hAnsi="Times New Roman" w:cs="Times New Roman"/>
          <w:sz w:val="24"/>
          <w:szCs w:val="24"/>
        </w:rPr>
        <w:t>(</w:t>
      </w:r>
      <w:r w:rsidRPr="00141311">
        <w:rPr>
          <w:rFonts w:ascii="Times New Roman" w:eastAsia="Times New Roman" w:hAnsi="Times New Roman" w:cs="Times New Roman"/>
          <w:sz w:val="24"/>
          <w:szCs w:val="24"/>
        </w:rPr>
        <w:t>OCA Statement No. 2, p. 8.</w:t>
      </w:r>
      <w:r w:rsidRPr="00141311">
        <w:rPr>
          <w:rFonts w:ascii="Times New Roman" w:eastAsia="Times New Roman" w:hAnsi="Times New Roman" w:cs="Times New Roman"/>
          <w:b/>
          <w:sz w:val="24"/>
          <w:szCs w:val="24"/>
        </w:rPr>
        <w:t xml:space="preserve">  </w:t>
      </w:r>
      <w:r w:rsidRPr="00141311">
        <w:rPr>
          <w:rFonts w:ascii="Times New Roman" w:eastAsia="Times New Roman" w:hAnsi="Times New Roman" w:cs="Times New Roman"/>
          <w:sz w:val="24"/>
          <w:szCs w:val="24"/>
        </w:rPr>
        <w:t>Peoples TWP Statement in Support, p. 15.</w:t>
      </w:r>
      <w:r w:rsidR="00066F2F">
        <w:rPr>
          <w:rFonts w:ascii="Times New Roman" w:eastAsia="Times New Roman" w:hAnsi="Times New Roman" w:cs="Times New Roman"/>
          <w:sz w:val="24"/>
          <w:szCs w:val="24"/>
        </w:rPr>
        <w:t>)</w:t>
      </w:r>
      <w:r w:rsidRPr="00141311">
        <w:rPr>
          <w:rFonts w:ascii="Times New Roman" w:eastAsia="Times New Roman" w:hAnsi="Times New Roman" w:cs="Times New Roman"/>
          <w:sz w:val="24"/>
          <w:szCs w:val="24"/>
        </w:rPr>
        <w:t xml:space="preserve"> </w:t>
      </w:r>
      <w:r w:rsidRPr="00141311">
        <w:rPr>
          <w:rFonts w:ascii="Times New Roman" w:eastAsia="Times New Roman" w:hAnsi="Times New Roman" w:cs="Times New Roman"/>
          <w:b/>
          <w:sz w:val="24"/>
          <w:szCs w:val="24"/>
        </w:rPr>
        <w:t xml:space="preserve">  </w:t>
      </w:r>
      <w:r w:rsidRPr="00141311">
        <w:rPr>
          <w:rFonts w:ascii="Times New Roman" w:eastAsia="Times New Roman" w:hAnsi="Times New Roman" w:cs="Times New Roman"/>
          <w:sz w:val="24"/>
          <w:szCs w:val="24"/>
        </w:rPr>
        <w:t xml:space="preserve">In response, Peoples TWP asserts that Witness Petrichevich continued to recommend that the Company include one standard error when determining the design day needs for gas supply planning purposes.  </w:t>
      </w:r>
      <w:r w:rsidR="00066F2F">
        <w:rPr>
          <w:rFonts w:ascii="Times New Roman" w:eastAsia="Times New Roman" w:hAnsi="Times New Roman" w:cs="Times New Roman"/>
          <w:sz w:val="24"/>
          <w:szCs w:val="24"/>
        </w:rPr>
        <w:t>(</w:t>
      </w:r>
      <w:r w:rsidRPr="00141311">
        <w:rPr>
          <w:rFonts w:ascii="Times New Roman" w:eastAsia="Times New Roman" w:hAnsi="Times New Roman" w:cs="Times New Roman"/>
          <w:sz w:val="24"/>
          <w:szCs w:val="24"/>
        </w:rPr>
        <w:t xml:space="preserve">Peoples TWP Statement No. 1-R, p. 6. </w:t>
      </w:r>
      <w:r w:rsidRPr="00141311">
        <w:rPr>
          <w:rFonts w:ascii="Times New Roman" w:eastAsia="Times New Roman" w:hAnsi="Times New Roman" w:cs="Times New Roman"/>
          <w:b/>
          <w:sz w:val="24"/>
          <w:szCs w:val="24"/>
        </w:rPr>
        <w:t xml:space="preserve"> </w:t>
      </w:r>
      <w:r w:rsidRPr="00141311">
        <w:rPr>
          <w:rFonts w:ascii="Times New Roman" w:eastAsia="Times New Roman" w:hAnsi="Times New Roman" w:cs="Times New Roman"/>
          <w:sz w:val="24"/>
          <w:szCs w:val="24"/>
        </w:rPr>
        <w:t>Peoples TWP Statement in Support, p. 15.</w:t>
      </w:r>
      <w:r w:rsidR="00066F2F">
        <w:rPr>
          <w:rFonts w:ascii="Times New Roman" w:eastAsia="Times New Roman" w:hAnsi="Times New Roman" w:cs="Times New Roman"/>
          <w:sz w:val="24"/>
          <w:szCs w:val="24"/>
        </w:rPr>
        <w:t>)</w:t>
      </w:r>
      <w:r w:rsidRPr="00141311">
        <w:rPr>
          <w:rFonts w:ascii="Times New Roman" w:eastAsia="Times New Roman" w:hAnsi="Times New Roman" w:cs="Times New Roman"/>
          <w:b/>
          <w:sz w:val="24"/>
          <w:szCs w:val="24"/>
        </w:rPr>
        <w:t xml:space="preserve">  </w:t>
      </w:r>
      <w:r w:rsidRPr="00141311">
        <w:rPr>
          <w:rFonts w:ascii="Times New Roman" w:eastAsia="Times New Roman" w:hAnsi="Times New Roman" w:cs="Times New Roman"/>
          <w:sz w:val="24"/>
          <w:szCs w:val="24"/>
        </w:rPr>
        <w:t xml:space="preserve">Peoples TWP noted that in February 2015, there were two additional days that were only 1 HDD warmer than the “outlier” day cited by OCA.  </w:t>
      </w:r>
      <w:r w:rsidR="008070AB">
        <w:rPr>
          <w:rFonts w:ascii="Times New Roman" w:eastAsia="Times New Roman" w:hAnsi="Times New Roman" w:cs="Times New Roman"/>
          <w:sz w:val="24"/>
          <w:szCs w:val="24"/>
        </w:rPr>
        <w:t>(</w:t>
      </w:r>
      <w:r w:rsidRPr="00141311">
        <w:rPr>
          <w:rFonts w:ascii="Times New Roman" w:eastAsia="Times New Roman" w:hAnsi="Times New Roman" w:cs="Times New Roman"/>
          <w:sz w:val="24"/>
          <w:szCs w:val="24"/>
        </w:rPr>
        <w:t>Peoples TWP Statement No. 1-R, p. 5.  Peoples TWP Statement in Support, p. 15.</w:t>
      </w:r>
      <w:r w:rsidR="008070AB">
        <w:rPr>
          <w:rFonts w:ascii="Times New Roman" w:eastAsia="Times New Roman" w:hAnsi="Times New Roman" w:cs="Times New Roman"/>
          <w:sz w:val="24"/>
          <w:szCs w:val="24"/>
        </w:rPr>
        <w:t>)</w:t>
      </w:r>
      <w:r w:rsidRPr="00141311">
        <w:rPr>
          <w:rFonts w:ascii="Times New Roman" w:eastAsia="Times New Roman" w:hAnsi="Times New Roman" w:cs="Times New Roman"/>
          <w:sz w:val="24"/>
          <w:szCs w:val="24"/>
        </w:rPr>
        <w:t xml:space="preserve"> </w:t>
      </w:r>
      <w:r w:rsidRPr="00141311">
        <w:rPr>
          <w:rFonts w:ascii="Times New Roman" w:eastAsia="Times New Roman" w:hAnsi="Times New Roman" w:cs="Times New Roman"/>
          <w:b/>
          <w:sz w:val="24"/>
          <w:szCs w:val="24"/>
        </w:rPr>
        <w:t xml:space="preserve"> </w:t>
      </w:r>
      <w:r w:rsidRPr="00141311">
        <w:rPr>
          <w:rFonts w:ascii="Times New Roman" w:eastAsia="Times New Roman" w:hAnsi="Times New Roman" w:cs="Times New Roman"/>
          <w:sz w:val="24"/>
          <w:szCs w:val="24"/>
        </w:rPr>
        <w:t xml:space="preserve">Peoples TWP asserts that the preliminary data from </w:t>
      </w:r>
      <w:r w:rsidRPr="00141311">
        <w:rPr>
          <w:rFonts w:ascii="Times New Roman" w:eastAsia="Times New Roman" w:hAnsi="Times New Roman" w:cs="Times New Roman"/>
          <w:sz w:val="24"/>
          <w:szCs w:val="24"/>
        </w:rPr>
        <w:lastRenderedPageBreak/>
        <w:t xml:space="preserve">these additional extremely cold days in 2015 reaffirm the Company’s conclusion that actual usage exceeds the model’s projection under very cold conditions.  </w:t>
      </w:r>
      <w:r w:rsidR="00CA6F9E">
        <w:rPr>
          <w:rFonts w:ascii="Times New Roman" w:eastAsia="Times New Roman" w:hAnsi="Times New Roman" w:cs="Times New Roman"/>
          <w:sz w:val="24"/>
          <w:szCs w:val="24"/>
        </w:rPr>
        <w:t>(</w:t>
      </w:r>
      <w:r w:rsidRPr="00141311">
        <w:rPr>
          <w:rFonts w:ascii="Times New Roman" w:eastAsia="Times New Roman" w:hAnsi="Times New Roman" w:cs="Times New Roman"/>
          <w:sz w:val="24"/>
          <w:szCs w:val="24"/>
        </w:rPr>
        <w:t xml:space="preserve">Peoples TWP Statement No. 1-R, p. 5. </w:t>
      </w:r>
      <w:r w:rsidRPr="00141311">
        <w:rPr>
          <w:rFonts w:ascii="Times New Roman" w:eastAsia="Times New Roman" w:hAnsi="Times New Roman" w:cs="Times New Roman"/>
          <w:b/>
          <w:sz w:val="24"/>
          <w:szCs w:val="24"/>
        </w:rPr>
        <w:t xml:space="preserve"> </w:t>
      </w:r>
      <w:r w:rsidRPr="00141311">
        <w:rPr>
          <w:rFonts w:ascii="Times New Roman" w:eastAsia="Times New Roman" w:hAnsi="Times New Roman" w:cs="Times New Roman"/>
          <w:sz w:val="24"/>
          <w:szCs w:val="24"/>
        </w:rPr>
        <w:t>Peoples TWP Statement in Support, p. 15.</w:t>
      </w:r>
      <w:r w:rsidR="00CA6F9E">
        <w:rPr>
          <w:rFonts w:ascii="Times New Roman" w:eastAsia="Times New Roman" w:hAnsi="Times New Roman" w:cs="Times New Roman"/>
          <w:sz w:val="24"/>
          <w:szCs w:val="24"/>
        </w:rPr>
        <w:t>)</w:t>
      </w:r>
      <w:r w:rsidRPr="00141311">
        <w:rPr>
          <w:rFonts w:ascii="Times New Roman" w:eastAsia="Times New Roman" w:hAnsi="Times New Roman" w:cs="Times New Roman"/>
          <w:sz w:val="24"/>
          <w:szCs w:val="24"/>
        </w:rPr>
        <w:t xml:space="preserve"> </w:t>
      </w:r>
      <w:r w:rsidRPr="00141311">
        <w:rPr>
          <w:rFonts w:ascii="Times New Roman" w:eastAsia="Times New Roman" w:hAnsi="Times New Roman" w:cs="Times New Roman"/>
          <w:b/>
          <w:sz w:val="24"/>
          <w:szCs w:val="24"/>
        </w:rPr>
        <w:t xml:space="preserve"> </w:t>
      </w:r>
      <w:r w:rsidRPr="00141311">
        <w:rPr>
          <w:rFonts w:ascii="Times New Roman" w:eastAsia="Times New Roman" w:hAnsi="Times New Roman" w:cs="Times New Roman"/>
          <w:sz w:val="24"/>
          <w:szCs w:val="24"/>
        </w:rPr>
        <w:t xml:space="preserve">In its surrebuttal, OCA recommended that the Commission consider requiring the Company to conduct a further review of the peak day demand forecast methodology with the Parties in this proceeding.  </w:t>
      </w:r>
      <w:r w:rsidR="00CA6F9E">
        <w:rPr>
          <w:rFonts w:ascii="Times New Roman" w:eastAsia="Times New Roman" w:hAnsi="Times New Roman" w:cs="Times New Roman"/>
          <w:sz w:val="24"/>
          <w:szCs w:val="24"/>
        </w:rPr>
        <w:t>(</w:t>
      </w:r>
      <w:r w:rsidRPr="00141311">
        <w:rPr>
          <w:rFonts w:ascii="Times New Roman" w:eastAsia="Times New Roman" w:hAnsi="Times New Roman" w:cs="Times New Roman"/>
          <w:sz w:val="24"/>
          <w:szCs w:val="24"/>
        </w:rPr>
        <w:t xml:space="preserve">OCA Statement No. 1-S, </w:t>
      </w:r>
    </w:p>
    <w:p w:rsidR="00141311" w:rsidRPr="00141311" w:rsidRDefault="00141311" w:rsidP="00E945F1">
      <w:pPr>
        <w:spacing w:after="0" w:line="360" w:lineRule="auto"/>
        <w:rPr>
          <w:rFonts w:ascii="Times New Roman" w:eastAsia="Times New Roman" w:hAnsi="Times New Roman" w:cs="Times New Roman"/>
          <w:sz w:val="24"/>
          <w:szCs w:val="24"/>
        </w:rPr>
      </w:pPr>
      <w:r w:rsidRPr="00141311">
        <w:rPr>
          <w:rFonts w:ascii="Times New Roman" w:eastAsia="Times New Roman" w:hAnsi="Times New Roman" w:cs="Times New Roman"/>
          <w:sz w:val="24"/>
          <w:szCs w:val="24"/>
        </w:rPr>
        <w:t>pp. 7-8.  Peoples TWP Statement in Support, p. 15.</w:t>
      </w:r>
      <w:r w:rsidR="00CA6F9E">
        <w:rPr>
          <w:rFonts w:ascii="Times New Roman" w:eastAsia="Times New Roman" w:hAnsi="Times New Roman" w:cs="Times New Roman"/>
          <w:sz w:val="24"/>
          <w:szCs w:val="24"/>
        </w:rPr>
        <w:t>)</w:t>
      </w:r>
    </w:p>
    <w:p w:rsidR="00141311" w:rsidRPr="00141311" w:rsidRDefault="00141311" w:rsidP="003A4BF7">
      <w:pPr>
        <w:spacing w:after="0" w:line="360" w:lineRule="auto"/>
        <w:ind w:firstLine="720"/>
        <w:rPr>
          <w:rFonts w:ascii="Times New Roman" w:eastAsia="Times New Roman" w:hAnsi="Times New Roman" w:cs="Times New Roman"/>
          <w:sz w:val="24"/>
          <w:szCs w:val="24"/>
        </w:rPr>
      </w:pPr>
    </w:p>
    <w:p w:rsidR="00141311" w:rsidRPr="00141311" w:rsidRDefault="00141311" w:rsidP="003A4BF7">
      <w:pPr>
        <w:tabs>
          <w:tab w:val="left" w:pos="1440"/>
        </w:tabs>
        <w:spacing w:after="0" w:line="360" w:lineRule="auto"/>
        <w:ind w:firstLine="1440"/>
        <w:rPr>
          <w:rFonts w:ascii="Times New Roman" w:eastAsia="Times New Roman" w:hAnsi="Times New Roman" w:cs="Times New Roman"/>
          <w:sz w:val="24"/>
          <w:szCs w:val="24"/>
        </w:rPr>
      </w:pPr>
      <w:r w:rsidRPr="00141311">
        <w:rPr>
          <w:rFonts w:ascii="Times New Roman" w:eastAsia="Times New Roman" w:hAnsi="Times New Roman" w:cs="Times New Roman"/>
          <w:sz w:val="24"/>
          <w:szCs w:val="24"/>
        </w:rPr>
        <w:t xml:space="preserve">Peoples TWP contends that the Settlement reflects an agreement among the Parties that the Company should further review its design day forecast.  </w:t>
      </w:r>
      <w:r w:rsidR="00CA6F9E">
        <w:rPr>
          <w:rFonts w:ascii="Times New Roman" w:eastAsia="Times New Roman" w:hAnsi="Times New Roman" w:cs="Times New Roman"/>
          <w:sz w:val="24"/>
          <w:szCs w:val="24"/>
        </w:rPr>
        <w:t>(</w:t>
      </w:r>
      <w:r w:rsidRPr="00141311">
        <w:rPr>
          <w:rFonts w:ascii="Times New Roman" w:eastAsia="Times New Roman" w:hAnsi="Times New Roman" w:cs="Times New Roman"/>
          <w:sz w:val="24"/>
          <w:szCs w:val="24"/>
        </w:rPr>
        <w:t>Settlement ¶¶ 25-26.  Peoples TWP Statement in Support, p. 15.</w:t>
      </w:r>
      <w:r w:rsidR="00CA6F9E">
        <w:rPr>
          <w:rFonts w:ascii="Times New Roman" w:eastAsia="Times New Roman" w:hAnsi="Times New Roman" w:cs="Times New Roman"/>
          <w:sz w:val="24"/>
          <w:szCs w:val="24"/>
        </w:rPr>
        <w:t>)</w:t>
      </w:r>
      <w:r w:rsidR="0053275F">
        <w:rPr>
          <w:rFonts w:ascii="Times New Roman" w:eastAsia="Times New Roman" w:hAnsi="Times New Roman" w:cs="Times New Roman"/>
          <w:sz w:val="24"/>
          <w:szCs w:val="24"/>
        </w:rPr>
        <w:t xml:space="preserve"> </w:t>
      </w:r>
      <w:r w:rsidRPr="00141311">
        <w:rPr>
          <w:rFonts w:ascii="Times New Roman" w:eastAsia="Times New Roman" w:hAnsi="Times New Roman" w:cs="Times New Roman"/>
          <w:b/>
          <w:sz w:val="24"/>
          <w:szCs w:val="24"/>
        </w:rPr>
        <w:t xml:space="preserve"> </w:t>
      </w:r>
      <w:r w:rsidRPr="00141311">
        <w:rPr>
          <w:rFonts w:ascii="Times New Roman" w:eastAsia="Times New Roman" w:hAnsi="Times New Roman" w:cs="Times New Roman"/>
          <w:sz w:val="24"/>
          <w:szCs w:val="24"/>
        </w:rPr>
        <w:t xml:space="preserve">According to the Company, the review will incorporate data from this past winter and will consider the appropriateness of additional factors that may further refine the Company’s design day projections.  </w:t>
      </w:r>
      <w:proofErr w:type="gramStart"/>
      <w:r w:rsidR="00CA6F9E">
        <w:rPr>
          <w:rFonts w:ascii="Times New Roman" w:eastAsia="Times New Roman" w:hAnsi="Times New Roman" w:cs="Times New Roman"/>
          <w:sz w:val="24"/>
          <w:szCs w:val="24"/>
        </w:rPr>
        <w:t>(</w:t>
      </w:r>
      <w:r w:rsidRPr="00141311">
        <w:rPr>
          <w:rFonts w:ascii="Times New Roman" w:eastAsia="Times New Roman" w:hAnsi="Times New Roman" w:cs="Times New Roman"/>
          <w:sz w:val="24"/>
          <w:szCs w:val="24"/>
        </w:rPr>
        <w:t>Settlement ¶ 25.</w:t>
      </w:r>
      <w:proofErr w:type="gramEnd"/>
      <w:r w:rsidRPr="00141311">
        <w:rPr>
          <w:rFonts w:ascii="Times New Roman" w:eastAsia="Times New Roman" w:hAnsi="Times New Roman" w:cs="Times New Roman"/>
          <w:sz w:val="24"/>
          <w:szCs w:val="24"/>
        </w:rPr>
        <w:t xml:space="preserve">  Peoples TWP Statement in Support, p. 15.</w:t>
      </w:r>
      <w:r w:rsidR="00CA6F9E">
        <w:rPr>
          <w:rFonts w:ascii="Times New Roman" w:eastAsia="Times New Roman" w:hAnsi="Times New Roman" w:cs="Times New Roman"/>
          <w:sz w:val="24"/>
          <w:szCs w:val="24"/>
        </w:rPr>
        <w:t>)</w:t>
      </w:r>
      <w:r w:rsidRPr="00141311">
        <w:rPr>
          <w:rFonts w:ascii="Times New Roman" w:eastAsia="Times New Roman" w:hAnsi="Times New Roman" w:cs="Times New Roman"/>
          <w:sz w:val="24"/>
          <w:szCs w:val="24"/>
        </w:rPr>
        <w:t xml:space="preserve"> </w:t>
      </w:r>
      <w:r w:rsidRPr="00141311">
        <w:rPr>
          <w:rFonts w:ascii="Times New Roman" w:eastAsia="Times New Roman" w:hAnsi="Times New Roman" w:cs="Times New Roman"/>
          <w:b/>
          <w:sz w:val="24"/>
          <w:szCs w:val="24"/>
        </w:rPr>
        <w:t xml:space="preserve"> </w:t>
      </w:r>
      <w:r w:rsidRPr="00141311">
        <w:rPr>
          <w:rFonts w:ascii="Times New Roman" w:eastAsia="Times New Roman" w:hAnsi="Times New Roman" w:cs="Times New Roman"/>
          <w:sz w:val="24"/>
          <w:szCs w:val="24"/>
        </w:rPr>
        <w:t xml:space="preserve">Peoples TWP then will provide an update on its evaluation as part of the Company’s 2016 PGC proceeding.  </w:t>
      </w:r>
      <w:proofErr w:type="gramStart"/>
      <w:r w:rsidR="00CA6F9E">
        <w:rPr>
          <w:rFonts w:ascii="Times New Roman" w:eastAsia="Times New Roman" w:hAnsi="Times New Roman" w:cs="Times New Roman"/>
          <w:sz w:val="24"/>
          <w:szCs w:val="24"/>
        </w:rPr>
        <w:t>(</w:t>
      </w:r>
      <w:r w:rsidRPr="00141311">
        <w:rPr>
          <w:rFonts w:ascii="Times New Roman" w:eastAsia="Times New Roman" w:hAnsi="Times New Roman" w:cs="Times New Roman"/>
          <w:sz w:val="24"/>
          <w:szCs w:val="24"/>
        </w:rPr>
        <w:t>Settlement ¶ 26.</w:t>
      </w:r>
      <w:proofErr w:type="gramEnd"/>
      <w:r w:rsidRPr="00141311">
        <w:rPr>
          <w:rFonts w:ascii="Times New Roman" w:eastAsia="Times New Roman" w:hAnsi="Times New Roman" w:cs="Times New Roman"/>
          <w:sz w:val="24"/>
          <w:szCs w:val="24"/>
        </w:rPr>
        <w:t xml:space="preserve">  Peoples TWP Statement in Support, p. 15.</w:t>
      </w:r>
      <w:r w:rsidR="00CA6F9E">
        <w:rPr>
          <w:rFonts w:ascii="Times New Roman" w:eastAsia="Times New Roman" w:hAnsi="Times New Roman" w:cs="Times New Roman"/>
          <w:sz w:val="24"/>
          <w:szCs w:val="24"/>
        </w:rPr>
        <w:t>)</w:t>
      </w:r>
      <w:r w:rsidRPr="00141311">
        <w:rPr>
          <w:rFonts w:ascii="Times New Roman" w:eastAsia="Times New Roman" w:hAnsi="Times New Roman" w:cs="Times New Roman"/>
          <w:sz w:val="24"/>
          <w:szCs w:val="24"/>
        </w:rPr>
        <w:t xml:space="preserve"> </w:t>
      </w:r>
      <w:r w:rsidRPr="00141311">
        <w:rPr>
          <w:rFonts w:ascii="Times New Roman" w:eastAsia="Times New Roman" w:hAnsi="Times New Roman" w:cs="Times New Roman"/>
          <w:b/>
          <w:sz w:val="24"/>
          <w:szCs w:val="24"/>
        </w:rPr>
        <w:t xml:space="preserve"> </w:t>
      </w:r>
      <w:r w:rsidRPr="00141311">
        <w:rPr>
          <w:rFonts w:ascii="Times New Roman" w:eastAsia="Times New Roman" w:hAnsi="Times New Roman" w:cs="Times New Roman"/>
          <w:sz w:val="24"/>
          <w:szCs w:val="24"/>
        </w:rPr>
        <w:t xml:space="preserve">The Company asserts that the Settlement reflects an appropriate recognition that the experience this winter will provide Peoples TWP with beneficial information in evaluating its forecast of design day requirements and future capacity needs.  Thus, the Settlement provisions are reasonable and should be approved.  </w:t>
      </w:r>
      <w:proofErr w:type="gramStart"/>
      <w:r w:rsidR="00CA6F9E">
        <w:rPr>
          <w:rFonts w:ascii="Times New Roman" w:eastAsia="Times New Roman" w:hAnsi="Times New Roman" w:cs="Times New Roman"/>
          <w:sz w:val="24"/>
          <w:szCs w:val="24"/>
        </w:rPr>
        <w:t>(</w:t>
      </w:r>
      <w:r w:rsidRPr="00141311">
        <w:rPr>
          <w:rFonts w:ascii="Times New Roman" w:eastAsia="Times New Roman" w:hAnsi="Times New Roman" w:cs="Times New Roman"/>
          <w:sz w:val="24"/>
          <w:szCs w:val="24"/>
        </w:rPr>
        <w:t>Peoples TWP Statement in Support, pp. 15.</w:t>
      </w:r>
      <w:r w:rsidR="00CA6F9E">
        <w:rPr>
          <w:rFonts w:ascii="Times New Roman" w:eastAsia="Times New Roman" w:hAnsi="Times New Roman" w:cs="Times New Roman"/>
          <w:sz w:val="24"/>
          <w:szCs w:val="24"/>
        </w:rPr>
        <w:t>)</w:t>
      </w:r>
      <w:proofErr w:type="gramEnd"/>
    </w:p>
    <w:p w:rsidR="00141311" w:rsidRPr="00141311" w:rsidRDefault="00141311" w:rsidP="003A4BF7">
      <w:pPr>
        <w:tabs>
          <w:tab w:val="left" w:pos="1440"/>
        </w:tabs>
        <w:spacing w:after="0" w:line="360" w:lineRule="auto"/>
        <w:ind w:firstLine="1440"/>
        <w:rPr>
          <w:rFonts w:ascii="Times New Roman" w:eastAsia="Times New Roman" w:hAnsi="Times New Roman" w:cs="Times New Roman"/>
          <w:sz w:val="24"/>
          <w:szCs w:val="24"/>
        </w:rPr>
      </w:pPr>
    </w:p>
    <w:p w:rsidR="00141311" w:rsidRPr="00141311" w:rsidRDefault="00ED20FB" w:rsidP="00ED20FB">
      <w:pPr>
        <w:spacing w:after="0" w:line="360" w:lineRule="auto"/>
        <w:ind w:left="720"/>
        <w:rPr>
          <w:rFonts w:ascii="Times New Roman" w:eastAsia="Times New Roman" w:hAnsi="Times New Roman" w:cs="Times New Roman"/>
          <w:sz w:val="24"/>
          <w:szCs w:val="24"/>
          <w:u w:val="single"/>
        </w:rPr>
      </w:pPr>
      <w:r w:rsidRPr="00ED20FB">
        <w:rPr>
          <w:rFonts w:ascii="Times New Roman" w:eastAsia="Times New Roman" w:hAnsi="Times New Roman" w:cs="Times New Roman"/>
          <w:sz w:val="24"/>
          <w:szCs w:val="24"/>
        </w:rPr>
        <w:t>2.</w:t>
      </w:r>
      <w:r w:rsidRPr="00ED20FB">
        <w:rPr>
          <w:rFonts w:ascii="Times New Roman" w:eastAsia="Times New Roman" w:hAnsi="Times New Roman" w:cs="Times New Roman"/>
          <w:sz w:val="24"/>
          <w:szCs w:val="24"/>
        </w:rPr>
        <w:tab/>
      </w:r>
      <w:r w:rsidR="00141311" w:rsidRPr="00141311">
        <w:rPr>
          <w:rFonts w:ascii="Times New Roman" w:eastAsia="Times New Roman" w:hAnsi="Times New Roman" w:cs="Times New Roman"/>
          <w:sz w:val="24"/>
          <w:szCs w:val="24"/>
          <w:u w:val="single"/>
        </w:rPr>
        <w:t>OCA’s Position</w:t>
      </w:r>
    </w:p>
    <w:p w:rsidR="00141311" w:rsidRPr="00141311" w:rsidRDefault="00141311" w:rsidP="003A4BF7">
      <w:pPr>
        <w:spacing w:after="0" w:line="360" w:lineRule="auto"/>
        <w:ind w:left="2880"/>
        <w:rPr>
          <w:rFonts w:ascii="Times New Roman" w:eastAsia="Times New Roman" w:hAnsi="Times New Roman" w:cs="Times New Roman"/>
          <w:sz w:val="24"/>
          <w:szCs w:val="24"/>
          <w:u w:val="single"/>
        </w:rPr>
      </w:pPr>
    </w:p>
    <w:p w:rsidR="00141311" w:rsidRPr="00141311" w:rsidRDefault="00141311" w:rsidP="003A4BF7">
      <w:pPr>
        <w:spacing w:after="0" w:line="360" w:lineRule="auto"/>
        <w:ind w:firstLine="1440"/>
        <w:rPr>
          <w:rFonts w:ascii="Times New Roman" w:eastAsia="Calibri" w:hAnsi="Times New Roman" w:cs="Times New Roman"/>
          <w:sz w:val="24"/>
          <w:szCs w:val="24"/>
        </w:rPr>
      </w:pPr>
      <w:r w:rsidRPr="00141311">
        <w:rPr>
          <w:rFonts w:ascii="Times New Roman" w:eastAsia="Calibri" w:hAnsi="Times New Roman" w:cs="Times New Roman"/>
          <w:sz w:val="24"/>
          <w:szCs w:val="24"/>
        </w:rPr>
        <w:t>OCA argued that in the Settlements of each of its last several PGC cases, P</w:t>
      </w:r>
      <w:r w:rsidR="00782B42">
        <w:rPr>
          <w:rFonts w:ascii="Times New Roman" w:eastAsia="Calibri" w:hAnsi="Times New Roman" w:cs="Times New Roman"/>
          <w:sz w:val="24"/>
          <w:szCs w:val="24"/>
        </w:rPr>
        <w:t xml:space="preserve">eoples </w:t>
      </w:r>
      <w:r w:rsidRPr="00141311">
        <w:rPr>
          <w:rFonts w:ascii="Times New Roman" w:eastAsia="Calibri" w:hAnsi="Times New Roman" w:cs="Times New Roman"/>
          <w:sz w:val="24"/>
          <w:szCs w:val="24"/>
        </w:rPr>
        <w:t xml:space="preserve">TWP has agreed to continue to study and refine, as necessary, its statistical model for forecasting design day demand.  In the PGC 2014 Settlement, the Company agreed to incorporate data from the winter of 2013-2014 into its analysis and to evaluate the appropriateness of the following factors: </w:t>
      </w:r>
    </w:p>
    <w:p w:rsidR="00395DC3" w:rsidRDefault="00141311" w:rsidP="00EA307C">
      <w:pPr>
        <w:spacing w:after="0" w:line="240" w:lineRule="auto"/>
        <w:ind w:left="1440"/>
        <w:rPr>
          <w:rFonts w:ascii="Times New Roman" w:eastAsia="Calibri" w:hAnsi="Times New Roman" w:cs="Times New Roman"/>
          <w:sz w:val="24"/>
          <w:szCs w:val="24"/>
        </w:rPr>
      </w:pPr>
      <w:r w:rsidRPr="00141311">
        <w:rPr>
          <w:rFonts w:ascii="Times New Roman" w:eastAsia="Calibri" w:hAnsi="Times New Roman" w:cs="Times New Roman"/>
          <w:sz w:val="24"/>
          <w:szCs w:val="24"/>
        </w:rPr>
        <w:t xml:space="preserve">(1) Use of matched (calendar or gas day) send-out and weather data or appropriate adjustments; (2) Continued use of the quadratic heating degree day (“HDD”) term; (3) Use of a trend variable; (4) Use of a weekday variable (or variables); </w:t>
      </w:r>
    </w:p>
    <w:p w:rsidR="00395DC3" w:rsidRDefault="00395DC3" w:rsidP="00EA307C">
      <w:pPr>
        <w:spacing w:after="0" w:line="240" w:lineRule="auto"/>
        <w:ind w:left="1440"/>
        <w:rPr>
          <w:rFonts w:ascii="Times New Roman" w:eastAsia="Calibri" w:hAnsi="Times New Roman" w:cs="Times New Roman"/>
          <w:sz w:val="24"/>
          <w:szCs w:val="24"/>
        </w:rPr>
      </w:pPr>
    </w:p>
    <w:p w:rsidR="00141311" w:rsidRPr="00141311" w:rsidRDefault="00141311" w:rsidP="00EA307C">
      <w:pPr>
        <w:spacing w:after="0" w:line="240" w:lineRule="auto"/>
        <w:ind w:left="1440"/>
        <w:rPr>
          <w:rFonts w:ascii="Times New Roman" w:eastAsia="Calibri" w:hAnsi="Times New Roman" w:cs="Times New Roman"/>
          <w:sz w:val="24"/>
          <w:szCs w:val="24"/>
        </w:rPr>
      </w:pPr>
      <w:r w:rsidRPr="00141311">
        <w:rPr>
          <w:rFonts w:ascii="Times New Roman" w:eastAsia="Calibri" w:hAnsi="Times New Roman" w:cs="Times New Roman"/>
          <w:sz w:val="24"/>
          <w:szCs w:val="24"/>
        </w:rPr>
        <w:lastRenderedPageBreak/>
        <w:t>(5)</w:t>
      </w:r>
      <w:r w:rsidR="00395DC3">
        <w:rPr>
          <w:rFonts w:ascii="Times New Roman" w:eastAsia="Calibri" w:hAnsi="Times New Roman" w:cs="Times New Roman"/>
          <w:sz w:val="24"/>
          <w:szCs w:val="24"/>
        </w:rPr>
        <w:t> </w:t>
      </w:r>
      <w:r w:rsidRPr="00141311">
        <w:rPr>
          <w:rFonts w:ascii="Times New Roman" w:eastAsia="Calibri" w:hAnsi="Times New Roman" w:cs="Times New Roman"/>
          <w:sz w:val="24"/>
          <w:szCs w:val="24"/>
        </w:rPr>
        <w:t>Examination of the possible causes (and solutions) for autocorrelation; and (6) Restricting statistical analysis to use winter-only or high HDD days.</w:t>
      </w:r>
      <w:r w:rsidRPr="00141311">
        <w:rPr>
          <w:rFonts w:ascii="Times New Roman" w:eastAsia="Calibri" w:hAnsi="Times New Roman" w:cs="Times New Roman"/>
          <w:sz w:val="24"/>
          <w:szCs w:val="24"/>
          <w:vertAlign w:val="superscript"/>
        </w:rPr>
        <w:footnoteReference w:id="15"/>
      </w:r>
      <w:r w:rsidRPr="00141311">
        <w:rPr>
          <w:rFonts w:ascii="Times New Roman" w:eastAsia="Calibri" w:hAnsi="Times New Roman" w:cs="Times New Roman"/>
          <w:sz w:val="24"/>
          <w:szCs w:val="24"/>
        </w:rPr>
        <w:t xml:space="preserve">  The Company reported its findings as part of its filing in the instant case.  According to OCA, based on its analysis, in addition to including variables in its statistical model related to Heating Degree Days (HDD) and wind speed, Peoples TWP added for PGC 2015 variables that account for trends in usage over time, variables specific to the winter months, and a variable to correct for autocorrelation.</w:t>
      </w:r>
      <w:r w:rsidRPr="00141311">
        <w:rPr>
          <w:rFonts w:ascii="Times New Roman" w:eastAsia="Calibri" w:hAnsi="Times New Roman" w:cs="Times New Roman"/>
          <w:sz w:val="24"/>
          <w:szCs w:val="24"/>
          <w:vertAlign w:val="superscript"/>
        </w:rPr>
        <w:footnoteReference w:id="16"/>
      </w:r>
      <w:r w:rsidRPr="00141311">
        <w:rPr>
          <w:rFonts w:ascii="Times New Roman" w:eastAsia="Calibri" w:hAnsi="Times New Roman" w:cs="Times New Roman"/>
          <w:sz w:val="24"/>
          <w:szCs w:val="24"/>
        </w:rPr>
        <w:t xml:space="preserve">  </w:t>
      </w:r>
      <w:proofErr w:type="gramStart"/>
      <w:r w:rsidR="00D27B9C">
        <w:rPr>
          <w:rFonts w:ascii="Times New Roman" w:eastAsia="Calibri" w:hAnsi="Times New Roman" w:cs="Times New Roman"/>
          <w:sz w:val="24"/>
          <w:szCs w:val="24"/>
        </w:rPr>
        <w:t>(</w:t>
      </w:r>
      <w:r w:rsidRPr="00141311">
        <w:rPr>
          <w:rFonts w:ascii="Times New Roman" w:eastAsia="Calibri" w:hAnsi="Times New Roman" w:cs="Times New Roman"/>
          <w:sz w:val="24"/>
          <w:szCs w:val="24"/>
        </w:rPr>
        <w:t>OCA Statement in Support, p. 5.</w:t>
      </w:r>
      <w:r w:rsidR="00D27B9C">
        <w:rPr>
          <w:rFonts w:ascii="Times New Roman" w:eastAsia="Calibri" w:hAnsi="Times New Roman" w:cs="Times New Roman"/>
          <w:sz w:val="24"/>
          <w:szCs w:val="24"/>
        </w:rPr>
        <w:t>)</w:t>
      </w:r>
      <w:proofErr w:type="gramEnd"/>
    </w:p>
    <w:p w:rsidR="00141311" w:rsidRPr="00141311" w:rsidRDefault="00141311" w:rsidP="003A4BF7">
      <w:pPr>
        <w:spacing w:after="0" w:line="360" w:lineRule="auto"/>
        <w:ind w:firstLine="720"/>
        <w:rPr>
          <w:rFonts w:ascii="Times New Roman" w:eastAsia="Calibri" w:hAnsi="Times New Roman" w:cs="Times New Roman"/>
          <w:sz w:val="24"/>
          <w:szCs w:val="24"/>
        </w:rPr>
      </w:pPr>
    </w:p>
    <w:p w:rsidR="00141311" w:rsidRPr="00141311" w:rsidRDefault="00141311" w:rsidP="003A4BF7">
      <w:pPr>
        <w:spacing w:after="0" w:line="360" w:lineRule="auto"/>
        <w:ind w:firstLine="1440"/>
        <w:rPr>
          <w:rFonts w:ascii="Times New Roman" w:eastAsia="Calibri" w:hAnsi="Times New Roman" w:cs="Times New Roman"/>
          <w:sz w:val="24"/>
          <w:szCs w:val="24"/>
        </w:rPr>
      </w:pPr>
      <w:r w:rsidRPr="00141311">
        <w:rPr>
          <w:rFonts w:ascii="Times New Roman" w:eastAsia="Calibri" w:hAnsi="Times New Roman" w:cs="Times New Roman"/>
          <w:sz w:val="24"/>
          <w:szCs w:val="24"/>
        </w:rPr>
        <w:t xml:space="preserve">OCA witness Pereira testified that the he found the changes made to the statistical forecasting model to be sound:   </w:t>
      </w:r>
    </w:p>
    <w:p w:rsidR="00141311" w:rsidRPr="00141311" w:rsidRDefault="00141311" w:rsidP="003A4BF7">
      <w:pPr>
        <w:spacing w:after="0" w:line="240" w:lineRule="auto"/>
        <w:ind w:firstLine="720"/>
        <w:rPr>
          <w:rFonts w:ascii="Times New Roman" w:eastAsia="Calibri" w:hAnsi="Times New Roman" w:cs="Times New Roman"/>
          <w:sz w:val="24"/>
          <w:szCs w:val="24"/>
        </w:rPr>
      </w:pPr>
    </w:p>
    <w:p w:rsidR="00AF75BA" w:rsidRDefault="00141311" w:rsidP="00AF75BA">
      <w:pPr>
        <w:spacing w:after="0" w:line="240" w:lineRule="auto"/>
        <w:ind w:left="1440"/>
        <w:rPr>
          <w:rFonts w:ascii="Times New Roman" w:eastAsia="Calibri" w:hAnsi="Times New Roman" w:cs="Times New Roman"/>
          <w:sz w:val="24"/>
          <w:szCs w:val="24"/>
        </w:rPr>
      </w:pPr>
      <w:r w:rsidRPr="00141311">
        <w:rPr>
          <w:rFonts w:ascii="Times New Roman" w:eastAsia="Calibri" w:hAnsi="Times New Roman" w:cs="Times New Roman"/>
          <w:sz w:val="24"/>
          <w:szCs w:val="24"/>
        </w:rPr>
        <w:t>In terms of the methodological changes, I agree with the Company that the new methodology provides a more statistically sound measurement and forecast of daily sendout and design day requirements for heat-sensitive usage.</w:t>
      </w:r>
      <w:r w:rsidRPr="00141311">
        <w:rPr>
          <w:rFonts w:ascii="Times New Roman" w:eastAsia="Calibri" w:hAnsi="Times New Roman" w:cs="Times New Roman"/>
          <w:sz w:val="24"/>
          <w:szCs w:val="24"/>
          <w:vertAlign w:val="superscript"/>
        </w:rPr>
        <w:footnoteReference w:id="17"/>
      </w:r>
      <w:r w:rsidRPr="00141311">
        <w:rPr>
          <w:rFonts w:ascii="Times New Roman" w:eastAsia="Calibri" w:hAnsi="Times New Roman" w:cs="Times New Roman"/>
          <w:sz w:val="24"/>
          <w:szCs w:val="24"/>
        </w:rPr>
        <w:t xml:space="preserve">  </w:t>
      </w:r>
      <w:proofErr w:type="gramStart"/>
      <w:r w:rsidR="00D27B9C">
        <w:rPr>
          <w:rFonts w:ascii="Times New Roman" w:eastAsia="Calibri" w:hAnsi="Times New Roman" w:cs="Times New Roman"/>
          <w:sz w:val="24"/>
          <w:szCs w:val="24"/>
        </w:rPr>
        <w:t>(</w:t>
      </w:r>
      <w:r w:rsidRPr="00141311">
        <w:rPr>
          <w:rFonts w:ascii="Times New Roman" w:eastAsia="Calibri" w:hAnsi="Times New Roman" w:cs="Times New Roman"/>
          <w:sz w:val="24"/>
          <w:szCs w:val="24"/>
        </w:rPr>
        <w:t>OCA Statement in Support, p. 5.</w:t>
      </w:r>
      <w:r w:rsidR="00D27B9C">
        <w:rPr>
          <w:rFonts w:ascii="Times New Roman" w:eastAsia="Calibri" w:hAnsi="Times New Roman" w:cs="Times New Roman"/>
          <w:sz w:val="24"/>
          <w:szCs w:val="24"/>
        </w:rPr>
        <w:t>)</w:t>
      </w:r>
      <w:proofErr w:type="gramEnd"/>
    </w:p>
    <w:p w:rsidR="00AF75BA" w:rsidRDefault="00AF75BA" w:rsidP="00AF75BA">
      <w:pPr>
        <w:spacing w:after="0" w:line="240" w:lineRule="auto"/>
        <w:ind w:left="1440"/>
        <w:rPr>
          <w:rFonts w:ascii="Times New Roman" w:eastAsia="Calibri" w:hAnsi="Times New Roman" w:cs="Times New Roman"/>
          <w:sz w:val="24"/>
          <w:szCs w:val="24"/>
        </w:rPr>
      </w:pPr>
    </w:p>
    <w:p w:rsidR="00AF75BA" w:rsidRPr="00141311" w:rsidRDefault="00AF75BA" w:rsidP="00AF75BA">
      <w:pPr>
        <w:spacing w:after="0" w:line="240" w:lineRule="auto"/>
        <w:ind w:left="1440"/>
        <w:rPr>
          <w:rFonts w:ascii="Times New Roman" w:eastAsia="Calibri" w:hAnsi="Times New Roman" w:cs="Times New Roman"/>
          <w:sz w:val="24"/>
          <w:szCs w:val="24"/>
        </w:rPr>
      </w:pPr>
    </w:p>
    <w:p w:rsidR="00141311" w:rsidRDefault="00141311" w:rsidP="003A4BF7">
      <w:pPr>
        <w:spacing w:after="0" w:line="360" w:lineRule="auto"/>
        <w:ind w:firstLine="1440"/>
        <w:rPr>
          <w:rFonts w:ascii="Times New Roman" w:eastAsia="Calibri" w:hAnsi="Times New Roman" w:cs="Times New Roman"/>
          <w:sz w:val="24"/>
          <w:szCs w:val="24"/>
        </w:rPr>
      </w:pPr>
      <w:r w:rsidRPr="00141311">
        <w:rPr>
          <w:rFonts w:ascii="Times New Roman" w:eastAsia="Calibri" w:hAnsi="Times New Roman" w:cs="Times New Roman"/>
          <w:sz w:val="24"/>
          <w:szCs w:val="24"/>
        </w:rPr>
        <w:t>Dr. Pereira differed with the Company, however, in its conclusion that in forecasting design day demand, the results of the statistical model should be supplemented by an amount equal to one standard deviation of the model.</w:t>
      </w:r>
      <w:r w:rsidRPr="00141311">
        <w:rPr>
          <w:rFonts w:ascii="Times New Roman" w:eastAsia="Calibri" w:hAnsi="Times New Roman" w:cs="Times New Roman"/>
          <w:sz w:val="24"/>
          <w:szCs w:val="24"/>
          <w:vertAlign w:val="superscript"/>
        </w:rPr>
        <w:footnoteReference w:id="18"/>
      </w:r>
      <w:r w:rsidRPr="00141311">
        <w:rPr>
          <w:rFonts w:ascii="Times New Roman" w:eastAsia="Calibri" w:hAnsi="Times New Roman" w:cs="Times New Roman"/>
          <w:sz w:val="24"/>
          <w:szCs w:val="24"/>
        </w:rPr>
        <w:t xml:space="preserve">  According to OCA, the Company reached this conclusion based on its analysis of the model’s performance when evaluated against actual conditions on the three coldest days of the 2013-2014 </w:t>
      </w:r>
      <w:proofErr w:type="gramStart"/>
      <w:r w:rsidRPr="00141311">
        <w:rPr>
          <w:rFonts w:ascii="Times New Roman" w:eastAsia="Calibri" w:hAnsi="Times New Roman" w:cs="Times New Roman"/>
          <w:sz w:val="24"/>
          <w:szCs w:val="24"/>
        </w:rPr>
        <w:t>winter</w:t>
      </w:r>
      <w:proofErr w:type="gramEnd"/>
      <w:r w:rsidRPr="00141311">
        <w:rPr>
          <w:rFonts w:ascii="Times New Roman" w:eastAsia="Calibri" w:hAnsi="Times New Roman" w:cs="Times New Roman"/>
          <w:sz w:val="24"/>
          <w:szCs w:val="24"/>
        </w:rPr>
        <w:t xml:space="preserve">, January 6-8, 2014. </w:t>
      </w:r>
      <w:r w:rsidR="00D74820">
        <w:rPr>
          <w:rFonts w:ascii="Times New Roman" w:eastAsia="Calibri" w:hAnsi="Times New Roman" w:cs="Times New Roman"/>
          <w:sz w:val="24"/>
          <w:szCs w:val="24"/>
        </w:rPr>
        <w:t xml:space="preserve"> </w:t>
      </w:r>
      <w:r w:rsidRPr="00141311">
        <w:rPr>
          <w:rFonts w:ascii="Times New Roman" w:eastAsia="Calibri" w:hAnsi="Times New Roman" w:cs="Times New Roman"/>
          <w:sz w:val="24"/>
          <w:szCs w:val="24"/>
        </w:rPr>
        <w:t>OCA asserts that the Company found that the model underpredicted sendout on these days and in order to correct for this underprediction, it determined that model forecast should be supplemented by the amount of one standard deviation.</w:t>
      </w:r>
      <w:r w:rsidRPr="00141311">
        <w:rPr>
          <w:rFonts w:ascii="Times New Roman" w:eastAsia="Calibri" w:hAnsi="Times New Roman" w:cs="Times New Roman"/>
          <w:sz w:val="24"/>
          <w:szCs w:val="24"/>
          <w:vertAlign w:val="superscript"/>
        </w:rPr>
        <w:footnoteReference w:id="19"/>
      </w:r>
      <w:r w:rsidRPr="00141311">
        <w:rPr>
          <w:rFonts w:ascii="Times New Roman" w:eastAsia="Calibri" w:hAnsi="Times New Roman" w:cs="Times New Roman"/>
          <w:sz w:val="24"/>
          <w:szCs w:val="24"/>
        </w:rPr>
        <w:t xml:space="preserve">   </w:t>
      </w:r>
      <w:proofErr w:type="gramStart"/>
      <w:r w:rsidR="00D27B9C">
        <w:rPr>
          <w:rFonts w:ascii="Times New Roman" w:eastAsia="Calibri" w:hAnsi="Times New Roman" w:cs="Times New Roman"/>
          <w:sz w:val="24"/>
          <w:szCs w:val="24"/>
        </w:rPr>
        <w:t>(</w:t>
      </w:r>
      <w:r w:rsidRPr="00141311">
        <w:rPr>
          <w:rFonts w:ascii="Times New Roman" w:eastAsia="Calibri" w:hAnsi="Times New Roman" w:cs="Times New Roman"/>
          <w:sz w:val="24"/>
          <w:szCs w:val="24"/>
        </w:rPr>
        <w:t>OCA Statement in Support, p. 6.</w:t>
      </w:r>
      <w:r w:rsidR="00D27B9C">
        <w:rPr>
          <w:rFonts w:ascii="Times New Roman" w:eastAsia="Calibri" w:hAnsi="Times New Roman" w:cs="Times New Roman"/>
          <w:sz w:val="24"/>
          <w:szCs w:val="24"/>
        </w:rPr>
        <w:t>)</w:t>
      </w:r>
      <w:proofErr w:type="gramEnd"/>
    </w:p>
    <w:p w:rsidR="008046EE" w:rsidRPr="00141311" w:rsidRDefault="008046EE" w:rsidP="003A4BF7">
      <w:pPr>
        <w:spacing w:after="0" w:line="360" w:lineRule="auto"/>
        <w:ind w:firstLine="1440"/>
        <w:rPr>
          <w:rFonts w:ascii="Times New Roman" w:eastAsia="Calibri" w:hAnsi="Times New Roman" w:cs="Times New Roman"/>
          <w:sz w:val="24"/>
          <w:szCs w:val="24"/>
        </w:rPr>
      </w:pPr>
    </w:p>
    <w:p w:rsidR="00DF1FF8" w:rsidRDefault="00DF1FF8" w:rsidP="003A4BF7">
      <w:pPr>
        <w:spacing w:after="0" w:line="360" w:lineRule="auto"/>
        <w:ind w:firstLine="1350"/>
        <w:rPr>
          <w:rFonts w:ascii="Times New Roman" w:eastAsia="Calibri" w:hAnsi="Times New Roman" w:cs="Times New Roman"/>
          <w:sz w:val="24"/>
          <w:szCs w:val="24"/>
        </w:rPr>
      </w:pPr>
    </w:p>
    <w:p w:rsidR="00DF1FF8" w:rsidRDefault="00DF1FF8" w:rsidP="003A4BF7">
      <w:pPr>
        <w:spacing w:after="0" w:line="360" w:lineRule="auto"/>
        <w:ind w:firstLine="1350"/>
        <w:rPr>
          <w:rFonts w:ascii="Times New Roman" w:eastAsia="Calibri" w:hAnsi="Times New Roman" w:cs="Times New Roman"/>
          <w:sz w:val="24"/>
          <w:szCs w:val="24"/>
        </w:rPr>
      </w:pPr>
    </w:p>
    <w:p w:rsidR="0044570C" w:rsidRDefault="00141311" w:rsidP="003A4BF7">
      <w:pPr>
        <w:spacing w:after="0" w:line="360" w:lineRule="auto"/>
        <w:ind w:firstLine="1350"/>
        <w:rPr>
          <w:rFonts w:ascii="Times New Roman" w:eastAsia="Calibri" w:hAnsi="Times New Roman" w:cs="Times New Roman"/>
          <w:sz w:val="24"/>
          <w:szCs w:val="24"/>
        </w:rPr>
      </w:pPr>
      <w:r w:rsidRPr="00141311">
        <w:rPr>
          <w:rFonts w:ascii="Times New Roman" w:eastAsia="Calibri" w:hAnsi="Times New Roman" w:cs="Times New Roman"/>
          <w:sz w:val="24"/>
          <w:szCs w:val="24"/>
        </w:rPr>
        <w:lastRenderedPageBreak/>
        <w:t xml:space="preserve">OCA notes that Witness Pereira testified that he thought that increasing the model’s forecast by the amount of the standard deviation amount was unnecessary.  As </w:t>
      </w:r>
    </w:p>
    <w:p w:rsidR="00141311" w:rsidRPr="00141311" w:rsidRDefault="00141311" w:rsidP="0044570C">
      <w:pPr>
        <w:spacing w:after="0" w:line="360" w:lineRule="auto"/>
        <w:rPr>
          <w:rFonts w:ascii="Times New Roman" w:eastAsia="Calibri" w:hAnsi="Times New Roman" w:cs="Times New Roman"/>
          <w:sz w:val="24"/>
          <w:szCs w:val="24"/>
        </w:rPr>
      </w:pPr>
      <w:r w:rsidRPr="00141311">
        <w:rPr>
          <w:rFonts w:ascii="Times New Roman" w:eastAsia="Calibri" w:hAnsi="Times New Roman" w:cs="Times New Roman"/>
          <w:sz w:val="24"/>
          <w:szCs w:val="24"/>
        </w:rPr>
        <w:t>Dr.</w:t>
      </w:r>
      <w:r w:rsidR="008046EE">
        <w:rPr>
          <w:rFonts w:ascii="Times New Roman" w:eastAsia="Calibri" w:hAnsi="Times New Roman" w:cs="Times New Roman"/>
          <w:sz w:val="24"/>
          <w:szCs w:val="24"/>
        </w:rPr>
        <w:t> </w:t>
      </w:r>
      <w:r w:rsidRPr="00141311">
        <w:rPr>
          <w:rFonts w:ascii="Times New Roman" w:eastAsia="Calibri" w:hAnsi="Times New Roman" w:cs="Times New Roman"/>
          <w:sz w:val="24"/>
          <w:szCs w:val="24"/>
        </w:rPr>
        <w:t>Pereira explained:</w:t>
      </w:r>
    </w:p>
    <w:p w:rsidR="00141311" w:rsidRPr="00141311" w:rsidRDefault="00141311" w:rsidP="00AF3288">
      <w:pPr>
        <w:spacing w:after="0" w:line="240" w:lineRule="auto"/>
        <w:ind w:firstLine="1350"/>
        <w:rPr>
          <w:rFonts w:ascii="Times New Roman" w:eastAsia="Calibri" w:hAnsi="Times New Roman" w:cs="Times New Roman"/>
          <w:sz w:val="24"/>
          <w:szCs w:val="24"/>
        </w:rPr>
      </w:pPr>
    </w:p>
    <w:p w:rsidR="00141311" w:rsidRDefault="00141311" w:rsidP="00AF3288">
      <w:pPr>
        <w:spacing w:after="0" w:line="240" w:lineRule="auto"/>
        <w:ind w:left="1440" w:right="720"/>
        <w:rPr>
          <w:rFonts w:ascii="Times New Roman" w:eastAsia="Calibri" w:hAnsi="Times New Roman" w:cs="Times New Roman"/>
          <w:sz w:val="24"/>
          <w:szCs w:val="24"/>
        </w:rPr>
      </w:pPr>
      <w:r w:rsidRPr="00141311">
        <w:rPr>
          <w:rFonts w:ascii="Times New Roman" w:eastAsia="Calibri" w:hAnsi="Times New Roman" w:cs="Times New Roman"/>
          <w:sz w:val="24"/>
          <w:szCs w:val="24"/>
        </w:rPr>
        <w:t>First, the Company’s conclusion is based on review of three days’ data.  Though it is true that the model underpredicted throughput on those days as a whole based on values for the weather condition variables on those days, regression models routinely over and under predict depending on the particular conditions that impacted the observed usage.  That is exactly the reason why the standard error is not zero.  The Company has chosen to use its judgment to increase the forecast beyond what is predicted by the model based on observed conditions during a single three-day period, which may or may not be replicated in the future.   These conditions could be weather related or non-weather related and may or may not be captured entirely by the model specification.  Indeed, the Company’s preferred model overpredicted usage by a greater amount during certain days in January, 2014, such as for January 9</w:t>
      </w:r>
      <w:r w:rsidRPr="00141311">
        <w:rPr>
          <w:rFonts w:ascii="Times New Roman" w:eastAsia="Calibri" w:hAnsi="Times New Roman" w:cs="Times New Roman"/>
          <w:sz w:val="24"/>
          <w:szCs w:val="24"/>
          <w:vertAlign w:val="superscript"/>
        </w:rPr>
        <w:t>th</w:t>
      </w:r>
      <w:r w:rsidRPr="00141311">
        <w:rPr>
          <w:rFonts w:ascii="Times New Roman" w:eastAsia="Calibri" w:hAnsi="Times New Roman" w:cs="Times New Roman"/>
          <w:sz w:val="24"/>
          <w:szCs w:val="24"/>
        </w:rPr>
        <w:t>, 2014 (the day following the 3-day period examined by the Company), by over 11,000 Mcf…</w:t>
      </w:r>
      <w:r w:rsidRPr="00141311">
        <w:rPr>
          <w:rFonts w:ascii="Times New Roman" w:eastAsia="Times New Roman" w:hAnsi="Times New Roman" w:cs="Times New Roman"/>
          <w:sz w:val="24"/>
          <w:szCs w:val="24"/>
        </w:rPr>
        <w:t xml:space="preserve"> </w:t>
      </w:r>
      <w:r w:rsidRPr="00141311">
        <w:rPr>
          <w:rFonts w:ascii="Times New Roman" w:eastAsia="Calibri" w:hAnsi="Times New Roman" w:cs="Times New Roman"/>
          <w:sz w:val="24"/>
          <w:szCs w:val="24"/>
        </w:rPr>
        <w:t>and most importantly, the model’s forecasted value of 100,346 Mcf using design day conditions is higher than any of the observed throughput, shown above, during the January 6-8, 2014 time period.  As the Company states, there are very few near design day data points, so building a model solely using these data points is not possible, but planning to a 1 in 30 year standard should account for outlier type of days, such as January 7, 2014.</w:t>
      </w:r>
      <w:r w:rsidRPr="00141311">
        <w:rPr>
          <w:rFonts w:ascii="Times New Roman" w:eastAsia="Calibri" w:hAnsi="Times New Roman" w:cs="Times New Roman"/>
          <w:sz w:val="24"/>
          <w:szCs w:val="24"/>
          <w:vertAlign w:val="superscript"/>
        </w:rPr>
        <w:footnoteReference w:id="20"/>
      </w:r>
      <w:r w:rsidRPr="00141311">
        <w:rPr>
          <w:rFonts w:ascii="Times New Roman" w:eastAsia="Calibri" w:hAnsi="Times New Roman" w:cs="Times New Roman"/>
          <w:sz w:val="24"/>
          <w:szCs w:val="24"/>
        </w:rPr>
        <w:t xml:space="preserve">  </w:t>
      </w:r>
      <w:proofErr w:type="gramStart"/>
      <w:r w:rsidR="00F0584E">
        <w:rPr>
          <w:rFonts w:ascii="Times New Roman" w:eastAsia="Calibri" w:hAnsi="Times New Roman" w:cs="Times New Roman"/>
          <w:sz w:val="24"/>
          <w:szCs w:val="24"/>
        </w:rPr>
        <w:t>(</w:t>
      </w:r>
      <w:r w:rsidRPr="00141311">
        <w:rPr>
          <w:rFonts w:ascii="Times New Roman" w:eastAsia="Calibri" w:hAnsi="Times New Roman" w:cs="Times New Roman"/>
          <w:sz w:val="24"/>
          <w:szCs w:val="24"/>
        </w:rPr>
        <w:t>OCA Statement in Support, p. 6.</w:t>
      </w:r>
      <w:r w:rsidR="00F0584E">
        <w:rPr>
          <w:rFonts w:ascii="Times New Roman" w:eastAsia="Calibri" w:hAnsi="Times New Roman" w:cs="Times New Roman"/>
          <w:sz w:val="24"/>
          <w:szCs w:val="24"/>
        </w:rPr>
        <w:t>)</w:t>
      </w:r>
      <w:proofErr w:type="gramEnd"/>
    </w:p>
    <w:p w:rsidR="00EF05F9" w:rsidRPr="00141311" w:rsidRDefault="00EF05F9" w:rsidP="0057309B">
      <w:pPr>
        <w:spacing w:after="0" w:line="360" w:lineRule="auto"/>
        <w:ind w:left="1440" w:right="720"/>
        <w:rPr>
          <w:rFonts w:ascii="Times New Roman" w:eastAsia="Calibri" w:hAnsi="Times New Roman" w:cs="Times New Roman"/>
          <w:sz w:val="24"/>
          <w:szCs w:val="24"/>
        </w:rPr>
      </w:pPr>
    </w:p>
    <w:p w:rsidR="00141311" w:rsidRPr="00141311" w:rsidRDefault="00141311" w:rsidP="00AF3288">
      <w:pPr>
        <w:spacing w:after="0" w:line="360" w:lineRule="auto"/>
        <w:ind w:firstLine="720"/>
        <w:rPr>
          <w:rFonts w:ascii="Times New Roman" w:eastAsia="Calibri" w:hAnsi="Times New Roman" w:cs="Times New Roman"/>
          <w:sz w:val="24"/>
          <w:szCs w:val="24"/>
        </w:rPr>
      </w:pPr>
      <w:r w:rsidRPr="00141311">
        <w:rPr>
          <w:rFonts w:ascii="Times New Roman" w:eastAsia="Calibri" w:hAnsi="Times New Roman" w:cs="Times New Roman"/>
          <w:sz w:val="24"/>
          <w:szCs w:val="24"/>
        </w:rPr>
        <w:tab/>
        <w:t>According to OCA, Dr. Pereira’s position on the unnecessary addition of the standard deviation amount to the model forecast formed the basis of OCA witness Whitten’s testimony in which she expressed concern that P</w:t>
      </w:r>
      <w:r w:rsidR="00D10702">
        <w:rPr>
          <w:rFonts w:ascii="Times New Roman" w:eastAsia="Calibri" w:hAnsi="Times New Roman" w:cs="Times New Roman"/>
          <w:sz w:val="24"/>
          <w:szCs w:val="24"/>
        </w:rPr>
        <w:t xml:space="preserve">eoples </w:t>
      </w:r>
      <w:r w:rsidRPr="00141311">
        <w:rPr>
          <w:rFonts w:ascii="Times New Roman" w:eastAsia="Calibri" w:hAnsi="Times New Roman" w:cs="Times New Roman"/>
          <w:sz w:val="24"/>
          <w:szCs w:val="24"/>
        </w:rPr>
        <w:t>TWP, given its stated plans to procure incremental capacity,</w:t>
      </w:r>
      <w:r w:rsidRPr="00141311">
        <w:rPr>
          <w:rFonts w:ascii="Times New Roman" w:eastAsia="Calibri" w:hAnsi="Times New Roman" w:cs="Times New Roman"/>
          <w:sz w:val="24"/>
          <w:szCs w:val="24"/>
          <w:vertAlign w:val="superscript"/>
        </w:rPr>
        <w:footnoteReference w:id="21"/>
      </w:r>
      <w:r w:rsidRPr="00141311">
        <w:rPr>
          <w:rFonts w:ascii="Times New Roman" w:eastAsia="Calibri" w:hAnsi="Times New Roman" w:cs="Times New Roman"/>
          <w:sz w:val="24"/>
          <w:szCs w:val="24"/>
        </w:rPr>
        <w:t xml:space="preserve"> would be oversupplied and therefore not adhering to a least cost fuel procurement policy as required in Section 1318 of the Public Utility Code, 66 Pa.C.S. §</w:t>
      </w:r>
      <w:r w:rsidR="00D10702">
        <w:rPr>
          <w:rFonts w:ascii="Times New Roman" w:eastAsia="Calibri" w:hAnsi="Times New Roman" w:cs="Times New Roman"/>
          <w:sz w:val="24"/>
          <w:szCs w:val="24"/>
        </w:rPr>
        <w:t xml:space="preserve"> </w:t>
      </w:r>
      <w:r w:rsidRPr="00141311">
        <w:rPr>
          <w:rFonts w:ascii="Times New Roman" w:eastAsia="Calibri" w:hAnsi="Times New Roman" w:cs="Times New Roman"/>
          <w:sz w:val="24"/>
          <w:szCs w:val="24"/>
        </w:rPr>
        <w:t>1318.  OCA argues that Ms. Whitten was particularly concerned over the Company’s proposal to increase its procurement of incremental capacity from 14.5 MMcf, as indicated in its Direct Testimony,</w:t>
      </w:r>
      <w:r w:rsidRPr="00141311">
        <w:rPr>
          <w:rFonts w:ascii="Times New Roman" w:eastAsia="Calibri" w:hAnsi="Times New Roman" w:cs="Times New Roman"/>
          <w:sz w:val="24"/>
          <w:szCs w:val="24"/>
          <w:vertAlign w:val="superscript"/>
        </w:rPr>
        <w:footnoteReference w:id="22"/>
      </w:r>
      <w:r w:rsidRPr="00141311">
        <w:rPr>
          <w:rFonts w:ascii="Times New Roman" w:eastAsia="Calibri" w:hAnsi="Times New Roman" w:cs="Times New Roman"/>
          <w:sz w:val="24"/>
          <w:szCs w:val="24"/>
        </w:rPr>
        <w:t xml:space="preserve"> to 20.2 MMcf, as indicated in its Supplemental Direct Testimony,</w:t>
      </w:r>
      <w:r w:rsidRPr="00141311">
        <w:rPr>
          <w:rFonts w:ascii="Times New Roman" w:eastAsia="Calibri" w:hAnsi="Times New Roman" w:cs="Times New Roman"/>
          <w:sz w:val="24"/>
          <w:szCs w:val="24"/>
          <w:vertAlign w:val="superscript"/>
        </w:rPr>
        <w:footnoteReference w:id="23"/>
      </w:r>
      <w:r w:rsidRPr="00141311">
        <w:rPr>
          <w:rFonts w:ascii="Times New Roman" w:eastAsia="Calibri" w:hAnsi="Times New Roman" w:cs="Times New Roman"/>
          <w:sz w:val="24"/>
          <w:szCs w:val="24"/>
        </w:rPr>
        <w:t xml:space="preserve"> inasmuch as </w:t>
      </w:r>
      <w:r w:rsidRPr="00141311">
        <w:rPr>
          <w:rFonts w:ascii="Times New Roman" w:eastAsia="Calibri" w:hAnsi="Times New Roman" w:cs="Times New Roman"/>
          <w:sz w:val="24"/>
          <w:szCs w:val="24"/>
        </w:rPr>
        <w:lastRenderedPageBreak/>
        <w:t>Ms. Whitten stated in her Direct Testimony that the Company may be oversupplied at the lesser amount.</w:t>
      </w:r>
      <w:r w:rsidRPr="00141311">
        <w:rPr>
          <w:rFonts w:ascii="Times New Roman" w:eastAsia="Calibri" w:hAnsi="Times New Roman" w:cs="Times New Roman"/>
          <w:sz w:val="24"/>
          <w:szCs w:val="24"/>
          <w:vertAlign w:val="superscript"/>
        </w:rPr>
        <w:footnoteReference w:id="24"/>
      </w:r>
      <w:r w:rsidRPr="00141311">
        <w:rPr>
          <w:rFonts w:ascii="Times New Roman" w:eastAsia="Calibri" w:hAnsi="Times New Roman" w:cs="Times New Roman"/>
          <w:sz w:val="24"/>
          <w:szCs w:val="24"/>
        </w:rPr>
        <w:t xml:space="preserve">  </w:t>
      </w:r>
      <w:proofErr w:type="gramStart"/>
      <w:r w:rsidR="00F0584E">
        <w:rPr>
          <w:rFonts w:ascii="Times New Roman" w:eastAsia="Calibri" w:hAnsi="Times New Roman" w:cs="Times New Roman"/>
          <w:sz w:val="24"/>
          <w:szCs w:val="24"/>
        </w:rPr>
        <w:t>(</w:t>
      </w:r>
      <w:r w:rsidRPr="00141311">
        <w:rPr>
          <w:rFonts w:ascii="Times New Roman" w:eastAsia="Calibri" w:hAnsi="Times New Roman" w:cs="Times New Roman"/>
          <w:sz w:val="24"/>
          <w:szCs w:val="24"/>
        </w:rPr>
        <w:t>OCA Statement in Support, p. 7.</w:t>
      </w:r>
      <w:r w:rsidR="00F0584E">
        <w:rPr>
          <w:rFonts w:ascii="Times New Roman" w:eastAsia="Calibri" w:hAnsi="Times New Roman" w:cs="Times New Roman"/>
          <w:sz w:val="24"/>
          <w:szCs w:val="24"/>
        </w:rPr>
        <w:t>)</w:t>
      </w:r>
      <w:proofErr w:type="gramEnd"/>
    </w:p>
    <w:p w:rsidR="00141311" w:rsidRPr="00141311" w:rsidRDefault="00141311" w:rsidP="003A4BF7">
      <w:pPr>
        <w:spacing w:after="0" w:line="360" w:lineRule="auto"/>
        <w:rPr>
          <w:rFonts w:ascii="Times New Roman" w:eastAsia="Calibri" w:hAnsi="Times New Roman" w:cs="Times New Roman"/>
          <w:sz w:val="24"/>
          <w:szCs w:val="24"/>
        </w:rPr>
      </w:pPr>
    </w:p>
    <w:p w:rsidR="00141311" w:rsidRPr="00141311" w:rsidRDefault="00141311" w:rsidP="003A4BF7">
      <w:pPr>
        <w:spacing w:after="0" w:line="360" w:lineRule="auto"/>
        <w:ind w:firstLine="720"/>
        <w:rPr>
          <w:rFonts w:ascii="Times New Roman" w:eastAsia="Calibri" w:hAnsi="Times New Roman" w:cs="Times New Roman"/>
          <w:sz w:val="24"/>
          <w:szCs w:val="24"/>
        </w:rPr>
      </w:pPr>
      <w:r w:rsidRPr="00141311">
        <w:rPr>
          <w:rFonts w:ascii="Times New Roman" w:eastAsia="Calibri" w:hAnsi="Times New Roman" w:cs="Times New Roman"/>
          <w:sz w:val="24"/>
          <w:szCs w:val="24"/>
        </w:rPr>
        <w:tab/>
        <w:t>In response to OCA witness Pereira’s position that the addition to the statistical model’s forecast of an amount equal to the standard deviation is unnecessary, the Company noted that in addition to the model’s underprediction during the three coldest days of 2014, the model also underpredicted sendout on two very cold days in February of 2015.  OCA asserts that the amount of the underprediction on those days was 2,452 Mcf and 2,923 Mcf, respectively, which compares with the average underprediction for the three days in January 2014 of 4,028 Mcf.  The experience in February of this year reaffirmed the Company’s recommendation that an amount equal to one standard deviation be added when determining design day needs for supply planning purposes.</w:t>
      </w:r>
      <w:r w:rsidRPr="00141311">
        <w:rPr>
          <w:rFonts w:ascii="Times New Roman" w:eastAsia="Calibri" w:hAnsi="Times New Roman" w:cs="Times New Roman"/>
          <w:sz w:val="24"/>
          <w:szCs w:val="24"/>
          <w:vertAlign w:val="superscript"/>
        </w:rPr>
        <w:footnoteReference w:id="25"/>
      </w:r>
      <w:r w:rsidRPr="00141311">
        <w:rPr>
          <w:rFonts w:ascii="Times New Roman" w:eastAsia="Calibri" w:hAnsi="Times New Roman" w:cs="Times New Roman"/>
          <w:sz w:val="24"/>
          <w:szCs w:val="24"/>
        </w:rPr>
        <w:t xml:space="preserve">  </w:t>
      </w:r>
      <w:proofErr w:type="gramStart"/>
      <w:r w:rsidR="00F0584E">
        <w:rPr>
          <w:rFonts w:ascii="Times New Roman" w:eastAsia="Calibri" w:hAnsi="Times New Roman" w:cs="Times New Roman"/>
          <w:sz w:val="24"/>
          <w:szCs w:val="24"/>
        </w:rPr>
        <w:t>(</w:t>
      </w:r>
      <w:r w:rsidRPr="00141311">
        <w:rPr>
          <w:rFonts w:ascii="Times New Roman" w:eastAsia="Calibri" w:hAnsi="Times New Roman" w:cs="Times New Roman"/>
          <w:sz w:val="24"/>
          <w:szCs w:val="24"/>
        </w:rPr>
        <w:t>OCA Statement in Support, pp. 7-8.</w:t>
      </w:r>
      <w:r w:rsidR="00F0584E">
        <w:rPr>
          <w:rFonts w:ascii="Times New Roman" w:eastAsia="Calibri" w:hAnsi="Times New Roman" w:cs="Times New Roman"/>
          <w:sz w:val="24"/>
          <w:szCs w:val="24"/>
        </w:rPr>
        <w:t>)</w:t>
      </w:r>
      <w:proofErr w:type="gramEnd"/>
    </w:p>
    <w:p w:rsidR="00141311" w:rsidRPr="00141311" w:rsidRDefault="00141311" w:rsidP="003A4BF7">
      <w:pPr>
        <w:spacing w:after="0" w:line="360" w:lineRule="auto"/>
        <w:ind w:firstLine="720"/>
        <w:rPr>
          <w:rFonts w:ascii="Times New Roman" w:eastAsia="Calibri" w:hAnsi="Times New Roman" w:cs="Times New Roman"/>
          <w:sz w:val="24"/>
          <w:szCs w:val="24"/>
        </w:rPr>
      </w:pPr>
    </w:p>
    <w:p w:rsidR="00141311" w:rsidRPr="00141311" w:rsidRDefault="00141311" w:rsidP="003A4BF7">
      <w:pPr>
        <w:spacing w:after="0" w:line="360" w:lineRule="auto"/>
        <w:ind w:firstLine="720"/>
        <w:rPr>
          <w:rFonts w:ascii="Times New Roman" w:eastAsia="Calibri" w:hAnsi="Times New Roman" w:cs="Times New Roman"/>
          <w:sz w:val="24"/>
          <w:szCs w:val="24"/>
        </w:rPr>
      </w:pPr>
      <w:r w:rsidRPr="00141311">
        <w:rPr>
          <w:rFonts w:ascii="Times New Roman" w:eastAsia="Calibri" w:hAnsi="Times New Roman" w:cs="Times New Roman"/>
          <w:sz w:val="24"/>
          <w:szCs w:val="24"/>
        </w:rPr>
        <w:tab/>
        <w:t>In Surrebuttal Testimony, OCA witness Whitten responded to the Company’s recommendation by pointing out that the model, when updated for recent weather conditions as those in February 2015, yielded underpredictions that were substantially smaller than in 2014, suggesting that the model was actually performing as expected when the more recent cold weather data points were added to the database.  Ms. Whitten again questioned the need to add the standard deviation amount, which she referred to as an “out-of-model” adjustment.</w:t>
      </w:r>
      <w:r w:rsidRPr="00141311">
        <w:rPr>
          <w:rFonts w:ascii="Times New Roman" w:eastAsia="Calibri" w:hAnsi="Times New Roman" w:cs="Times New Roman"/>
          <w:sz w:val="24"/>
          <w:szCs w:val="24"/>
          <w:vertAlign w:val="superscript"/>
        </w:rPr>
        <w:footnoteReference w:id="26"/>
      </w:r>
      <w:r w:rsidR="00F0584E">
        <w:rPr>
          <w:rFonts w:ascii="Times New Roman" w:eastAsia="Calibri" w:hAnsi="Times New Roman" w:cs="Times New Roman"/>
          <w:sz w:val="24"/>
          <w:szCs w:val="24"/>
        </w:rPr>
        <w:t xml:space="preserve">.  </w:t>
      </w:r>
      <w:proofErr w:type="gramStart"/>
      <w:r w:rsidR="003177BC">
        <w:rPr>
          <w:rFonts w:ascii="Times New Roman" w:eastAsia="Calibri" w:hAnsi="Times New Roman" w:cs="Times New Roman"/>
          <w:sz w:val="24"/>
          <w:szCs w:val="24"/>
        </w:rPr>
        <w:t>(</w:t>
      </w:r>
      <w:r w:rsidRPr="00141311">
        <w:rPr>
          <w:rFonts w:ascii="Times New Roman" w:eastAsia="Calibri" w:hAnsi="Times New Roman" w:cs="Times New Roman"/>
          <w:sz w:val="24"/>
          <w:szCs w:val="24"/>
        </w:rPr>
        <w:t>OCA Statement in Support, p. 8.</w:t>
      </w:r>
      <w:r w:rsidR="00F0584E">
        <w:rPr>
          <w:rFonts w:ascii="Times New Roman" w:eastAsia="Calibri" w:hAnsi="Times New Roman" w:cs="Times New Roman"/>
          <w:sz w:val="24"/>
          <w:szCs w:val="24"/>
        </w:rPr>
        <w:t>)</w:t>
      </w:r>
      <w:proofErr w:type="gramEnd"/>
    </w:p>
    <w:p w:rsidR="00141311" w:rsidRPr="00141311" w:rsidRDefault="00141311" w:rsidP="003A4BF7">
      <w:pPr>
        <w:spacing w:after="0" w:line="360" w:lineRule="auto"/>
        <w:ind w:firstLine="720"/>
        <w:rPr>
          <w:rFonts w:ascii="Times New Roman" w:eastAsia="Calibri" w:hAnsi="Times New Roman" w:cs="Times New Roman"/>
          <w:sz w:val="24"/>
          <w:szCs w:val="24"/>
        </w:rPr>
      </w:pPr>
    </w:p>
    <w:p w:rsidR="00141311" w:rsidRPr="00141311" w:rsidRDefault="00141311" w:rsidP="003A4BF7">
      <w:pPr>
        <w:spacing w:after="0" w:line="360" w:lineRule="auto"/>
        <w:ind w:firstLine="1350"/>
        <w:rPr>
          <w:rFonts w:ascii="Times New Roman" w:eastAsia="Calibri" w:hAnsi="Times New Roman" w:cs="Times New Roman"/>
          <w:sz w:val="24"/>
          <w:szCs w:val="24"/>
        </w:rPr>
      </w:pPr>
      <w:r w:rsidRPr="00141311">
        <w:rPr>
          <w:rFonts w:ascii="Times New Roman" w:eastAsia="Calibri" w:hAnsi="Times New Roman" w:cs="Times New Roman"/>
          <w:sz w:val="24"/>
          <w:szCs w:val="24"/>
        </w:rPr>
        <w:t xml:space="preserve"> </w:t>
      </w:r>
      <w:r w:rsidRPr="00141311">
        <w:rPr>
          <w:rFonts w:ascii="Times New Roman" w:eastAsia="Calibri" w:hAnsi="Times New Roman" w:cs="Times New Roman"/>
          <w:sz w:val="24"/>
          <w:szCs w:val="24"/>
        </w:rPr>
        <w:tab/>
        <w:t>According to OCA, the Settlement seeks to address the questions of potential oversupply and whether the design day model can stand on its own or whether out-of-model adjustments are necessary to produce accurate forecasts by again calling on the Company to further evaluate its model by incorporating data from the winter of 2014-2015 in its statistical analysis and evaluating the appropriateness of:</w:t>
      </w:r>
      <w:r w:rsidR="009B54F0">
        <w:rPr>
          <w:rFonts w:ascii="Times New Roman" w:eastAsia="Calibri" w:hAnsi="Times New Roman" w:cs="Times New Roman"/>
          <w:sz w:val="24"/>
          <w:szCs w:val="24"/>
        </w:rPr>
        <w:t xml:space="preserve"> </w:t>
      </w:r>
      <w:r w:rsidRPr="00141311">
        <w:rPr>
          <w:rFonts w:ascii="Times New Roman" w:eastAsia="Calibri" w:hAnsi="Times New Roman" w:cs="Times New Roman"/>
          <w:sz w:val="24"/>
          <w:szCs w:val="24"/>
        </w:rPr>
        <w:t xml:space="preserve"> 1) using a longer (minimum of four years) historical period for analysis; and 2) using dummy, interaction or other variables to account for high HDDs. </w:t>
      </w:r>
      <w:r w:rsidR="00782767">
        <w:rPr>
          <w:rFonts w:ascii="Times New Roman" w:eastAsia="Calibri" w:hAnsi="Times New Roman" w:cs="Times New Roman"/>
          <w:sz w:val="24"/>
          <w:szCs w:val="24"/>
        </w:rPr>
        <w:t xml:space="preserve"> </w:t>
      </w:r>
      <w:r w:rsidRPr="00141311">
        <w:rPr>
          <w:rFonts w:ascii="Times New Roman" w:eastAsia="Calibri" w:hAnsi="Times New Roman" w:cs="Times New Roman"/>
          <w:sz w:val="24"/>
          <w:szCs w:val="24"/>
        </w:rPr>
        <w:t xml:space="preserve">The Company will also evaluate the performance of its model for high HDDs over </w:t>
      </w:r>
      <w:r w:rsidRPr="00141311">
        <w:rPr>
          <w:rFonts w:ascii="Times New Roman" w:eastAsia="Calibri" w:hAnsi="Times New Roman" w:cs="Times New Roman"/>
          <w:sz w:val="24"/>
          <w:szCs w:val="24"/>
        </w:rPr>
        <w:lastRenderedPageBreak/>
        <w:t xml:space="preserve">the entire historical period.  Peoples TWP will provide an update of its evaluation as part of its 2016 PGC filing.  As indicated above, during the pendency of this proceeding, the Company experienced a significantly colder than average February.  OCA avers that the Settlement will allow for further review and refinement of the Company’s supply needs while taking into account this recent weather data. </w:t>
      </w:r>
      <w:r w:rsidR="009B54F0">
        <w:rPr>
          <w:rFonts w:ascii="Times New Roman" w:eastAsia="Calibri" w:hAnsi="Times New Roman" w:cs="Times New Roman"/>
          <w:sz w:val="24"/>
          <w:szCs w:val="24"/>
        </w:rPr>
        <w:t xml:space="preserve"> </w:t>
      </w:r>
      <w:r w:rsidRPr="00141311">
        <w:rPr>
          <w:rFonts w:ascii="Times New Roman" w:eastAsia="Calibri" w:hAnsi="Times New Roman" w:cs="Times New Roman"/>
          <w:sz w:val="24"/>
          <w:szCs w:val="24"/>
        </w:rPr>
        <w:t xml:space="preserve">The OCA submits that by engaging in further study and potential modification of its design day model, the Company will be able to improve the model and enhance its accuracy such that out-of-model adjustments will not be needed and concerns about oversupply will be diminished.  </w:t>
      </w:r>
      <w:proofErr w:type="gramStart"/>
      <w:r w:rsidR="00F0584E">
        <w:rPr>
          <w:rFonts w:ascii="Times New Roman" w:eastAsia="Calibri" w:hAnsi="Times New Roman" w:cs="Times New Roman"/>
          <w:sz w:val="24"/>
          <w:szCs w:val="24"/>
        </w:rPr>
        <w:t>(</w:t>
      </w:r>
      <w:r w:rsidRPr="00141311">
        <w:rPr>
          <w:rFonts w:ascii="Times New Roman" w:eastAsia="Calibri" w:hAnsi="Times New Roman" w:cs="Times New Roman"/>
          <w:sz w:val="24"/>
          <w:szCs w:val="24"/>
        </w:rPr>
        <w:t>OCA Statement in Support, p. 8.</w:t>
      </w:r>
      <w:r w:rsidR="00F0584E">
        <w:rPr>
          <w:rFonts w:ascii="Times New Roman" w:eastAsia="Calibri" w:hAnsi="Times New Roman" w:cs="Times New Roman"/>
          <w:sz w:val="24"/>
          <w:szCs w:val="24"/>
        </w:rPr>
        <w:t>)</w:t>
      </w:r>
      <w:proofErr w:type="gramEnd"/>
    </w:p>
    <w:p w:rsidR="00141311" w:rsidRPr="00141311" w:rsidRDefault="00141311" w:rsidP="003A4BF7">
      <w:pPr>
        <w:spacing w:after="0" w:line="360" w:lineRule="auto"/>
        <w:rPr>
          <w:rFonts w:ascii="Times New Roman" w:eastAsia="Times New Roman" w:hAnsi="Times New Roman" w:cs="Times New Roman"/>
          <w:sz w:val="24"/>
          <w:szCs w:val="24"/>
          <w:u w:val="single"/>
        </w:rPr>
      </w:pPr>
    </w:p>
    <w:p w:rsidR="00141311" w:rsidRPr="00141311" w:rsidRDefault="00D34591" w:rsidP="00287E7B">
      <w:pPr>
        <w:spacing w:after="0" w:line="36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sidR="00287E7B" w:rsidRPr="00287E7B">
        <w:rPr>
          <w:rFonts w:ascii="Times New Roman" w:eastAsia="Times New Roman" w:hAnsi="Times New Roman" w:cs="Times New Roman"/>
          <w:sz w:val="24"/>
          <w:szCs w:val="24"/>
        </w:rPr>
        <w:t xml:space="preserve">3. </w:t>
      </w:r>
      <w:r w:rsidR="00287E7B" w:rsidRPr="00287E7B">
        <w:rPr>
          <w:rFonts w:ascii="Times New Roman" w:eastAsia="Times New Roman" w:hAnsi="Times New Roman" w:cs="Times New Roman"/>
          <w:sz w:val="24"/>
          <w:szCs w:val="24"/>
        </w:rPr>
        <w:tab/>
      </w:r>
      <w:r w:rsidR="00141311" w:rsidRPr="00141311">
        <w:rPr>
          <w:rFonts w:ascii="Times New Roman" w:eastAsia="Times New Roman" w:hAnsi="Times New Roman" w:cs="Times New Roman"/>
          <w:sz w:val="24"/>
          <w:szCs w:val="24"/>
          <w:u w:val="single"/>
        </w:rPr>
        <w:t>OSBA’s Position</w:t>
      </w:r>
    </w:p>
    <w:p w:rsidR="00141311" w:rsidRPr="00141311" w:rsidRDefault="00141311" w:rsidP="003A4BF7">
      <w:pPr>
        <w:spacing w:after="0" w:line="360" w:lineRule="auto"/>
        <w:ind w:left="2880"/>
        <w:rPr>
          <w:rFonts w:ascii="Times New Roman" w:eastAsia="Times New Roman" w:hAnsi="Times New Roman" w:cs="Times New Roman"/>
          <w:sz w:val="24"/>
          <w:szCs w:val="24"/>
          <w:u w:val="single"/>
        </w:rPr>
      </w:pPr>
    </w:p>
    <w:p w:rsidR="00141311" w:rsidRPr="00141311" w:rsidRDefault="00141311" w:rsidP="003A4BF7">
      <w:pPr>
        <w:spacing w:after="0" w:line="360" w:lineRule="auto"/>
        <w:ind w:firstLine="1440"/>
        <w:rPr>
          <w:rFonts w:ascii="Times New Roman" w:eastAsia="Times New Roman" w:hAnsi="Times New Roman" w:cs="Times New Roman"/>
          <w:sz w:val="24"/>
          <w:szCs w:val="24"/>
        </w:rPr>
      </w:pPr>
      <w:r w:rsidRPr="00141311">
        <w:rPr>
          <w:rFonts w:ascii="Times New Roman" w:eastAsia="Times New Roman" w:hAnsi="Times New Roman" w:cs="Times New Roman"/>
          <w:sz w:val="24"/>
          <w:szCs w:val="24"/>
        </w:rPr>
        <w:t xml:space="preserve">OCA explains that the Company proposed a new method for deriving its design day demand in last year’s PGC proceeding, based on the use of daily load data to the extent it is available.  Recognizing that last year’s PGC proceeding was conducted in the middle of one of the coldest winters in many years, OCA notes that the </w:t>
      </w:r>
      <w:r w:rsidR="00837499">
        <w:rPr>
          <w:rFonts w:ascii="Times New Roman" w:eastAsia="Times New Roman" w:hAnsi="Times New Roman" w:cs="Times New Roman"/>
          <w:sz w:val="24"/>
          <w:szCs w:val="24"/>
        </w:rPr>
        <w:t>P</w:t>
      </w:r>
      <w:r w:rsidRPr="00141311">
        <w:rPr>
          <w:rFonts w:ascii="Times New Roman" w:eastAsia="Times New Roman" w:hAnsi="Times New Roman" w:cs="Times New Roman"/>
          <w:sz w:val="24"/>
          <w:szCs w:val="24"/>
        </w:rPr>
        <w:t xml:space="preserve">arties agreed to defer the technical issues to this proceeding in order to allow the Company to incorporate the data from the </w:t>
      </w:r>
      <w:r w:rsidR="005A4050">
        <w:rPr>
          <w:rFonts w:ascii="Times New Roman" w:eastAsia="Times New Roman" w:hAnsi="Times New Roman" w:cs="Times New Roman"/>
          <w:sz w:val="24"/>
          <w:szCs w:val="24"/>
        </w:rPr>
        <w:t>w</w:t>
      </w:r>
      <w:r w:rsidRPr="00141311">
        <w:rPr>
          <w:rFonts w:ascii="Times New Roman" w:eastAsia="Times New Roman" w:hAnsi="Times New Roman" w:cs="Times New Roman"/>
          <w:sz w:val="24"/>
          <w:szCs w:val="24"/>
        </w:rPr>
        <w:t>inter 2013-2014 in the statistical analysis, and evaluate the appropriateness of the following factors:</w:t>
      </w:r>
    </w:p>
    <w:p w:rsidR="00141311" w:rsidRPr="00141311" w:rsidRDefault="00141311" w:rsidP="00B114EE">
      <w:pPr>
        <w:spacing w:after="0" w:line="240" w:lineRule="auto"/>
        <w:ind w:firstLine="1440"/>
        <w:rPr>
          <w:rFonts w:ascii="Times New Roman" w:eastAsia="Times New Roman" w:hAnsi="Times New Roman" w:cs="Times New Roman"/>
          <w:sz w:val="24"/>
          <w:szCs w:val="24"/>
        </w:rPr>
      </w:pPr>
    </w:p>
    <w:p w:rsidR="00141311" w:rsidRPr="00141311" w:rsidRDefault="00141311" w:rsidP="00842637">
      <w:pPr>
        <w:numPr>
          <w:ilvl w:val="0"/>
          <w:numId w:val="11"/>
        </w:numPr>
        <w:tabs>
          <w:tab w:val="left" w:pos="720"/>
        </w:tabs>
        <w:spacing w:after="0" w:line="240" w:lineRule="auto"/>
        <w:ind w:firstLine="0"/>
        <w:contextualSpacing/>
        <w:rPr>
          <w:rFonts w:ascii="Times New Roman" w:eastAsia="Calibri" w:hAnsi="Times New Roman" w:cs="Times New Roman"/>
          <w:sz w:val="24"/>
          <w:szCs w:val="24"/>
        </w:rPr>
      </w:pPr>
      <w:r w:rsidRPr="00141311">
        <w:rPr>
          <w:rFonts w:ascii="Times New Roman" w:eastAsia="Calibri" w:hAnsi="Times New Roman" w:cs="Times New Roman"/>
          <w:sz w:val="24"/>
          <w:szCs w:val="24"/>
        </w:rPr>
        <w:t xml:space="preserve">Use of matched (calendar or gas day) </w:t>
      </w:r>
      <w:proofErr w:type="spellStart"/>
      <w:r w:rsidRPr="00141311">
        <w:rPr>
          <w:rFonts w:ascii="Times New Roman" w:eastAsia="Calibri" w:hAnsi="Times New Roman" w:cs="Times New Roman"/>
          <w:sz w:val="24"/>
          <w:szCs w:val="24"/>
        </w:rPr>
        <w:t>sendout</w:t>
      </w:r>
      <w:proofErr w:type="spellEnd"/>
      <w:r w:rsidRPr="00141311">
        <w:rPr>
          <w:rFonts w:ascii="Times New Roman" w:eastAsia="Calibri" w:hAnsi="Times New Roman" w:cs="Times New Roman"/>
          <w:sz w:val="24"/>
          <w:szCs w:val="24"/>
        </w:rPr>
        <w:t xml:space="preserve"> and weather data or other </w:t>
      </w:r>
      <w:r w:rsidR="00842637">
        <w:rPr>
          <w:rFonts w:ascii="Times New Roman" w:eastAsia="Calibri" w:hAnsi="Times New Roman" w:cs="Times New Roman"/>
          <w:sz w:val="24"/>
          <w:szCs w:val="24"/>
        </w:rPr>
        <w:tab/>
      </w:r>
      <w:r w:rsidRPr="00141311">
        <w:rPr>
          <w:rFonts w:ascii="Times New Roman" w:eastAsia="Calibri" w:hAnsi="Times New Roman" w:cs="Times New Roman"/>
          <w:sz w:val="24"/>
          <w:szCs w:val="24"/>
        </w:rPr>
        <w:t>appropriate adjustments;</w:t>
      </w:r>
    </w:p>
    <w:p w:rsidR="00141311" w:rsidRPr="00141311" w:rsidRDefault="00141311" w:rsidP="003A4BF7">
      <w:pPr>
        <w:tabs>
          <w:tab w:val="left" w:pos="720"/>
        </w:tabs>
        <w:spacing w:after="0" w:line="240" w:lineRule="auto"/>
        <w:ind w:left="1440"/>
        <w:contextualSpacing/>
        <w:rPr>
          <w:rFonts w:ascii="Times New Roman" w:eastAsia="Calibri" w:hAnsi="Times New Roman" w:cs="Times New Roman"/>
          <w:sz w:val="24"/>
          <w:szCs w:val="24"/>
        </w:rPr>
      </w:pPr>
    </w:p>
    <w:p w:rsidR="00141311" w:rsidRPr="00141311" w:rsidRDefault="00141311" w:rsidP="00842637">
      <w:pPr>
        <w:numPr>
          <w:ilvl w:val="0"/>
          <w:numId w:val="11"/>
        </w:numPr>
        <w:tabs>
          <w:tab w:val="left" w:pos="720"/>
        </w:tabs>
        <w:spacing w:after="0" w:line="240" w:lineRule="auto"/>
        <w:ind w:firstLine="0"/>
        <w:contextualSpacing/>
        <w:rPr>
          <w:rFonts w:ascii="Times New Roman" w:eastAsia="Calibri" w:hAnsi="Times New Roman" w:cs="Times New Roman"/>
          <w:sz w:val="24"/>
          <w:szCs w:val="24"/>
        </w:rPr>
      </w:pPr>
      <w:r w:rsidRPr="00141311">
        <w:rPr>
          <w:rFonts w:ascii="Times New Roman" w:eastAsia="Calibri" w:hAnsi="Times New Roman" w:cs="Times New Roman"/>
          <w:sz w:val="24"/>
          <w:szCs w:val="24"/>
        </w:rPr>
        <w:t>Continued use of a quadratic HDD term;</w:t>
      </w:r>
    </w:p>
    <w:p w:rsidR="00141311" w:rsidRPr="00141311" w:rsidRDefault="00141311" w:rsidP="003A4BF7">
      <w:pPr>
        <w:tabs>
          <w:tab w:val="left" w:pos="720"/>
        </w:tabs>
        <w:spacing w:after="0" w:line="240" w:lineRule="auto"/>
        <w:ind w:left="1440"/>
        <w:contextualSpacing/>
        <w:rPr>
          <w:rFonts w:ascii="Times New Roman" w:eastAsia="Calibri" w:hAnsi="Times New Roman" w:cs="Times New Roman"/>
          <w:sz w:val="24"/>
          <w:szCs w:val="24"/>
        </w:rPr>
      </w:pPr>
    </w:p>
    <w:p w:rsidR="00141311" w:rsidRPr="00141311" w:rsidRDefault="00141311" w:rsidP="00842637">
      <w:pPr>
        <w:numPr>
          <w:ilvl w:val="0"/>
          <w:numId w:val="11"/>
        </w:numPr>
        <w:tabs>
          <w:tab w:val="left" w:pos="720"/>
        </w:tabs>
        <w:spacing w:after="0" w:line="240" w:lineRule="auto"/>
        <w:ind w:firstLine="0"/>
        <w:contextualSpacing/>
        <w:rPr>
          <w:rFonts w:ascii="Times New Roman" w:eastAsia="Calibri" w:hAnsi="Times New Roman" w:cs="Times New Roman"/>
          <w:sz w:val="24"/>
          <w:szCs w:val="24"/>
        </w:rPr>
      </w:pPr>
      <w:r w:rsidRPr="00141311">
        <w:rPr>
          <w:rFonts w:ascii="Times New Roman" w:eastAsia="Calibri" w:hAnsi="Times New Roman" w:cs="Times New Roman"/>
          <w:sz w:val="24"/>
          <w:szCs w:val="24"/>
        </w:rPr>
        <w:t>Use of a trend variable;</w:t>
      </w:r>
    </w:p>
    <w:p w:rsidR="00141311" w:rsidRPr="00141311" w:rsidRDefault="00141311" w:rsidP="003A4BF7">
      <w:pPr>
        <w:spacing w:after="0" w:line="240" w:lineRule="auto"/>
        <w:ind w:left="720"/>
        <w:contextualSpacing/>
        <w:rPr>
          <w:rFonts w:ascii="Times New Roman" w:eastAsia="Calibri" w:hAnsi="Times New Roman" w:cs="Times New Roman"/>
          <w:sz w:val="24"/>
          <w:szCs w:val="24"/>
        </w:rPr>
      </w:pPr>
    </w:p>
    <w:p w:rsidR="00141311" w:rsidRPr="00141311" w:rsidRDefault="00141311" w:rsidP="00842637">
      <w:pPr>
        <w:numPr>
          <w:ilvl w:val="0"/>
          <w:numId w:val="11"/>
        </w:numPr>
        <w:tabs>
          <w:tab w:val="left" w:pos="720"/>
        </w:tabs>
        <w:spacing w:after="0" w:line="240" w:lineRule="auto"/>
        <w:ind w:firstLine="0"/>
        <w:contextualSpacing/>
        <w:rPr>
          <w:rFonts w:ascii="Times New Roman" w:eastAsia="Calibri" w:hAnsi="Times New Roman" w:cs="Times New Roman"/>
          <w:sz w:val="24"/>
          <w:szCs w:val="24"/>
        </w:rPr>
      </w:pPr>
      <w:r w:rsidRPr="00141311">
        <w:rPr>
          <w:rFonts w:ascii="Times New Roman" w:eastAsia="Calibri" w:hAnsi="Times New Roman" w:cs="Times New Roman"/>
          <w:sz w:val="24"/>
          <w:szCs w:val="24"/>
        </w:rPr>
        <w:t>Use of a weekday variable (or variables);</w:t>
      </w:r>
    </w:p>
    <w:p w:rsidR="00141311" w:rsidRPr="00141311" w:rsidRDefault="00141311" w:rsidP="003A4BF7">
      <w:pPr>
        <w:spacing w:after="0" w:line="240" w:lineRule="auto"/>
        <w:ind w:left="720"/>
        <w:contextualSpacing/>
        <w:rPr>
          <w:rFonts w:ascii="Times New Roman" w:eastAsia="Calibri" w:hAnsi="Times New Roman" w:cs="Times New Roman"/>
          <w:sz w:val="24"/>
          <w:szCs w:val="24"/>
        </w:rPr>
      </w:pPr>
    </w:p>
    <w:p w:rsidR="00141311" w:rsidRPr="00141311" w:rsidRDefault="00141311" w:rsidP="00842637">
      <w:pPr>
        <w:numPr>
          <w:ilvl w:val="0"/>
          <w:numId w:val="11"/>
        </w:numPr>
        <w:tabs>
          <w:tab w:val="left" w:pos="720"/>
        </w:tabs>
        <w:spacing w:after="0" w:line="240" w:lineRule="auto"/>
        <w:ind w:firstLine="0"/>
        <w:contextualSpacing/>
        <w:rPr>
          <w:rFonts w:ascii="Times New Roman" w:eastAsia="Calibri" w:hAnsi="Times New Roman" w:cs="Times New Roman"/>
          <w:sz w:val="24"/>
          <w:szCs w:val="24"/>
        </w:rPr>
      </w:pPr>
      <w:r w:rsidRPr="00141311">
        <w:rPr>
          <w:rFonts w:ascii="Times New Roman" w:eastAsia="Calibri" w:hAnsi="Times New Roman" w:cs="Times New Roman"/>
          <w:sz w:val="24"/>
          <w:szCs w:val="24"/>
        </w:rPr>
        <w:t>Examination of the possible causes (and solutions) for autocorrelation; and</w:t>
      </w:r>
    </w:p>
    <w:p w:rsidR="00842637" w:rsidRDefault="00842637" w:rsidP="003A4BF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roofErr w:type="gramStart"/>
      <w:r w:rsidR="00141311" w:rsidRPr="00141311">
        <w:rPr>
          <w:rFonts w:ascii="Times New Roman" w:eastAsia="Calibri" w:hAnsi="Times New Roman" w:cs="Times New Roman"/>
          <w:sz w:val="24"/>
          <w:szCs w:val="24"/>
        </w:rPr>
        <w:t>Restricting statistical analysis to use of winter-only or high HDD days.</w:t>
      </w:r>
      <w:proofErr w:type="gramEnd"/>
      <w:r w:rsidR="00141311" w:rsidRPr="00141311">
        <w:rPr>
          <w:rFonts w:ascii="Times New Roman" w:eastAsia="Calibri" w:hAnsi="Times New Roman" w:cs="Times New Roman"/>
          <w:sz w:val="24"/>
          <w:szCs w:val="24"/>
          <w:vertAlign w:val="superscript"/>
        </w:rPr>
        <w:footnoteReference w:id="27"/>
      </w:r>
      <w:r w:rsidR="00141311" w:rsidRPr="00141311">
        <w:rPr>
          <w:rFonts w:ascii="Times New Roman" w:eastAsia="Calibri" w:hAnsi="Times New Roman" w:cs="Times New Roman"/>
          <w:sz w:val="24"/>
          <w:szCs w:val="24"/>
        </w:rPr>
        <w:t xml:space="preserve">  </w:t>
      </w:r>
    </w:p>
    <w:p w:rsidR="00842637" w:rsidRDefault="00842637" w:rsidP="003A4BF7">
      <w:pPr>
        <w:spacing w:after="0" w:line="240" w:lineRule="auto"/>
        <w:rPr>
          <w:rFonts w:ascii="Times New Roman" w:eastAsia="Calibri" w:hAnsi="Times New Roman" w:cs="Times New Roman"/>
          <w:sz w:val="24"/>
          <w:szCs w:val="24"/>
        </w:rPr>
      </w:pPr>
    </w:p>
    <w:p w:rsidR="00141311" w:rsidRPr="00141311" w:rsidRDefault="00F0584E" w:rsidP="003A4BF7">
      <w:pPr>
        <w:spacing w:after="0" w:line="240"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w:t>
      </w:r>
      <w:r w:rsidR="00141311" w:rsidRPr="00141311">
        <w:rPr>
          <w:rFonts w:ascii="Times New Roman" w:eastAsia="Calibri" w:hAnsi="Times New Roman" w:cs="Times New Roman"/>
          <w:sz w:val="24"/>
          <w:szCs w:val="24"/>
        </w:rPr>
        <w:t>OSBA Statement in Support, p. 2.</w:t>
      </w:r>
      <w:r>
        <w:rPr>
          <w:rFonts w:ascii="Times New Roman" w:eastAsia="Calibri" w:hAnsi="Times New Roman" w:cs="Times New Roman"/>
          <w:sz w:val="24"/>
          <w:szCs w:val="24"/>
        </w:rPr>
        <w:t>)</w:t>
      </w:r>
      <w:proofErr w:type="gramEnd"/>
    </w:p>
    <w:p w:rsidR="00141311" w:rsidRDefault="00141311" w:rsidP="003A4BF7">
      <w:pPr>
        <w:spacing w:after="0" w:line="240" w:lineRule="auto"/>
        <w:rPr>
          <w:rFonts w:ascii="Times New Roman" w:eastAsia="Calibri" w:hAnsi="Times New Roman" w:cs="Times New Roman"/>
          <w:sz w:val="24"/>
          <w:szCs w:val="24"/>
        </w:rPr>
      </w:pPr>
    </w:p>
    <w:p w:rsidR="00842637" w:rsidRPr="00141311" w:rsidRDefault="00842637" w:rsidP="003A4BF7">
      <w:pPr>
        <w:spacing w:after="0" w:line="240" w:lineRule="auto"/>
        <w:rPr>
          <w:rFonts w:ascii="Times New Roman" w:eastAsia="Calibri" w:hAnsi="Times New Roman" w:cs="Times New Roman"/>
          <w:sz w:val="24"/>
          <w:szCs w:val="24"/>
        </w:rPr>
      </w:pPr>
    </w:p>
    <w:p w:rsidR="00141311" w:rsidRPr="00141311" w:rsidRDefault="00141311" w:rsidP="003A4BF7">
      <w:pPr>
        <w:spacing w:after="0" w:line="360" w:lineRule="auto"/>
        <w:ind w:firstLine="1440"/>
        <w:rPr>
          <w:rFonts w:ascii="Times New Roman" w:eastAsia="Calibri" w:hAnsi="Times New Roman" w:cs="Times New Roman"/>
          <w:sz w:val="24"/>
          <w:szCs w:val="24"/>
        </w:rPr>
      </w:pPr>
      <w:r w:rsidRPr="00141311">
        <w:rPr>
          <w:rFonts w:ascii="Times New Roman" w:eastAsia="Times New Roman" w:hAnsi="Times New Roman" w:cs="Times New Roman"/>
          <w:sz w:val="24"/>
          <w:szCs w:val="24"/>
        </w:rPr>
        <w:lastRenderedPageBreak/>
        <w:t xml:space="preserve">Additionally, OSBA notes the Company has agreed to present the full results of its review, in this year’s PGC filing.  </w:t>
      </w:r>
      <w:proofErr w:type="gramStart"/>
      <w:r w:rsidR="00F0584E">
        <w:rPr>
          <w:rFonts w:ascii="Times New Roman" w:eastAsia="Times New Roman" w:hAnsi="Times New Roman" w:cs="Times New Roman"/>
          <w:sz w:val="24"/>
          <w:szCs w:val="24"/>
        </w:rPr>
        <w:t>(</w:t>
      </w:r>
      <w:r w:rsidRPr="00141311">
        <w:rPr>
          <w:rFonts w:ascii="Times New Roman" w:eastAsia="Calibri" w:hAnsi="Times New Roman" w:cs="Times New Roman"/>
          <w:sz w:val="24"/>
          <w:szCs w:val="24"/>
        </w:rPr>
        <w:t>OSBA Statement in Support, p. 3.</w:t>
      </w:r>
      <w:r w:rsidR="00F0584E">
        <w:rPr>
          <w:rFonts w:ascii="Times New Roman" w:eastAsia="Calibri" w:hAnsi="Times New Roman" w:cs="Times New Roman"/>
          <w:sz w:val="24"/>
          <w:szCs w:val="24"/>
        </w:rPr>
        <w:t>)</w:t>
      </w:r>
      <w:proofErr w:type="gramEnd"/>
    </w:p>
    <w:p w:rsidR="00141311" w:rsidRPr="00141311" w:rsidRDefault="00141311" w:rsidP="003A4BF7">
      <w:pPr>
        <w:spacing w:after="0" w:line="360" w:lineRule="auto"/>
        <w:ind w:firstLine="1440"/>
        <w:rPr>
          <w:rFonts w:ascii="Times New Roman" w:eastAsia="Calibri" w:hAnsi="Times New Roman" w:cs="Times New Roman"/>
          <w:sz w:val="24"/>
          <w:szCs w:val="24"/>
        </w:rPr>
      </w:pPr>
    </w:p>
    <w:p w:rsidR="00141311" w:rsidRPr="00141311" w:rsidRDefault="00141311" w:rsidP="003A4BF7">
      <w:pPr>
        <w:spacing w:after="0" w:line="360" w:lineRule="auto"/>
        <w:ind w:firstLine="1440"/>
        <w:rPr>
          <w:rFonts w:ascii="Times New Roman" w:eastAsia="Calibri" w:hAnsi="Times New Roman" w:cs="Times New Roman"/>
          <w:sz w:val="24"/>
          <w:szCs w:val="24"/>
        </w:rPr>
      </w:pPr>
      <w:r w:rsidRPr="00141311">
        <w:rPr>
          <w:rFonts w:ascii="Times New Roman" w:eastAsia="Times New Roman" w:hAnsi="Times New Roman" w:cs="Times New Roman"/>
          <w:sz w:val="24"/>
          <w:szCs w:val="24"/>
        </w:rPr>
        <w:t xml:space="preserve">Although the Company has not attempted to adopt consistent daily weather and throughput data, the OSBA agrees that it has evaluated the other factors and considered a variety of statistical model specifications.  While the OSBA did not take exception to the Company’s calculations for this proceeding, the Company has agreed to further evaluate the design day requirements, specifically incorporating data from the winter of 2014-2015 in the statistical analysis and evaluating the appropriateness of the use of a longer (minimum of four years) historical period, and also the use of a dummy, interaction or other variables to account for high Heating Degree Day (“HDD”) days. </w:t>
      </w:r>
      <w:proofErr w:type="gramStart"/>
      <w:r w:rsidRPr="00141311">
        <w:rPr>
          <w:rFonts w:ascii="Times New Roman" w:eastAsia="Times New Roman" w:hAnsi="Times New Roman" w:cs="Times New Roman"/>
          <w:sz w:val="24"/>
          <w:szCs w:val="24"/>
        </w:rPr>
        <w:t>(Settlement ¶ 25.</w:t>
      </w:r>
      <w:proofErr w:type="gramEnd"/>
      <w:r w:rsidRPr="00141311">
        <w:rPr>
          <w:rFonts w:ascii="Times New Roman" w:eastAsia="Times New Roman" w:hAnsi="Times New Roman" w:cs="Times New Roman"/>
          <w:sz w:val="24"/>
          <w:szCs w:val="24"/>
        </w:rPr>
        <w:t xml:space="preserve">  </w:t>
      </w:r>
      <w:r w:rsidRPr="00141311">
        <w:rPr>
          <w:rFonts w:ascii="Times New Roman" w:eastAsia="Calibri" w:hAnsi="Times New Roman" w:cs="Times New Roman"/>
          <w:sz w:val="24"/>
          <w:szCs w:val="24"/>
        </w:rPr>
        <w:t>OSBA Statement in Support, p. 3.</w:t>
      </w:r>
      <w:r w:rsidR="00F0584E">
        <w:rPr>
          <w:rFonts w:ascii="Times New Roman" w:eastAsia="Calibri" w:hAnsi="Times New Roman" w:cs="Times New Roman"/>
          <w:sz w:val="24"/>
          <w:szCs w:val="24"/>
        </w:rPr>
        <w:t>)</w:t>
      </w:r>
      <w:r w:rsidRPr="00141311">
        <w:rPr>
          <w:rFonts w:ascii="Times New Roman" w:eastAsia="Calibri" w:hAnsi="Times New Roman" w:cs="Times New Roman"/>
          <w:sz w:val="24"/>
          <w:szCs w:val="24"/>
          <w:vertAlign w:val="superscript"/>
        </w:rPr>
        <w:footnoteReference w:id="28"/>
      </w:r>
    </w:p>
    <w:p w:rsidR="008F7F39" w:rsidRDefault="008F7F39" w:rsidP="008F7F39">
      <w:pPr>
        <w:keepNext/>
        <w:keepLines/>
        <w:tabs>
          <w:tab w:val="left" w:pos="1440"/>
        </w:tabs>
        <w:spacing w:after="0" w:line="360" w:lineRule="auto"/>
        <w:ind w:left="1080"/>
        <w:outlineLvl w:val="1"/>
        <w:rPr>
          <w:rFonts w:ascii="Times New Roman" w:eastAsia="Times New Roman" w:hAnsi="Times New Roman" w:cs="Times New Roman"/>
          <w:sz w:val="24"/>
          <w:szCs w:val="24"/>
        </w:rPr>
      </w:pPr>
    </w:p>
    <w:p w:rsidR="00141311" w:rsidRPr="008F7F39" w:rsidRDefault="008F7F39" w:rsidP="008F7F39">
      <w:pPr>
        <w:keepNext/>
        <w:keepLines/>
        <w:tabs>
          <w:tab w:val="left" w:pos="1440"/>
        </w:tabs>
        <w:spacing w:after="0" w:line="360" w:lineRule="auto"/>
        <w:ind w:left="720" w:hanging="720"/>
        <w:outlineLvl w:val="1"/>
        <w:rPr>
          <w:rFonts w:ascii="Times New Roman" w:eastAsia="Times New Roman" w:hAnsi="Times New Roman" w:cs="Times New Roman"/>
          <w:bCs/>
          <w:iCs/>
          <w:caps/>
          <w:color w:val="000000"/>
          <w:sz w:val="24"/>
          <w:szCs w:val="28"/>
          <w:u w:val="single"/>
        </w:rPr>
      </w:pPr>
      <w:r>
        <w:rPr>
          <w:rFonts w:ascii="Times New Roman" w:eastAsia="Times New Roman" w:hAnsi="Times New Roman" w:cs="Times New Roman"/>
          <w:sz w:val="24"/>
          <w:szCs w:val="24"/>
        </w:rPr>
        <w:t>G.</w:t>
      </w:r>
      <w:r>
        <w:rPr>
          <w:rFonts w:ascii="Times New Roman" w:eastAsia="Times New Roman" w:hAnsi="Times New Roman" w:cs="Times New Roman"/>
          <w:sz w:val="24"/>
          <w:szCs w:val="24"/>
        </w:rPr>
        <w:tab/>
      </w:r>
      <w:r w:rsidRPr="008F7F39">
        <w:rPr>
          <w:rFonts w:ascii="Times New Roman" w:eastAsia="Times New Roman" w:hAnsi="Times New Roman" w:cs="Times New Roman"/>
          <w:bCs/>
          <w:iCs/>
          <w:color w:val="000000"/>
          <w:sz w:val="24"/>
          <w:szCs w:val="28"/>
          <w:u w:val="single"/>
        </w:rPr>
        <w:t>Exchange Meters</w:t>
      </w:r>
    </w:p>
    <w:p w:rsidR="00141311" w:rsidRPr="00141311" w:rsidRDefault="00141311" w:rsidP="003A4BF7">
      <w:pPr>
        <w:spacing w:after="0" w:line="360" w:lineRule="auto"/>
        <w:rPr>
          <w:rFonts w:ascii="Times New Roman" w:eastAsia="Times New Roman" w:hAnsi="Times New Roman" w:cs="Times New Roman"/>
          <w:sz w:val="20"/>
          <w:szCs w:val="20"/>
        </w:rPr>
      </w:pPr>
    </w:p>
    <w:p w:rsidR="00141311" w:rsidRPr="00141311" w:rsidRDefault="008F7F39" w:rsidP="008F7F39">
      <w:pPr>
        <w:spacing w:after="0" w:line="360" w:lineRule="auto"/>
        <w:ind w:left="1440" w:hanging="720"/>
        <w:rPr>
          <w:rFonts w:ascii="Times New Roman" w:eastAsia="Times New Roman" w:hAnsi="Times New Roman" w:cs="Times New Roman"/>
          <w:sz w:val="24"/>
          <w:szCs w:val="24"/>
          <w:u w:val="single"/>
        </w:rPr>
      </w:pPr>
      <w:r w:rsidRPr="008F7F39">
        <w:rPr>
          <w:rFonts w:ascii="Times New Roman" w:eastAsia="Times New Roman" w:hAnsi="Times New Roman" w:cs="Times New Roman"/>
          <w:sz w:val="24"/>
          <w:szCs w:val="24"/>
        </w:rPr>
        <w:t>1.</w:t>
      </w:r>
      <w:r w:rsidRPr="008F7F39">
        <w:rPr>
          <w:rFonts w:ascii="Times New Roman" w:eastAsia="Times New Roman" w:hAnsi="Times New Roman" w:cs="Times New Roman"/>
          <w:sz w:val="24"/>
          <w:szCs w:val="24"/>
        </w:rPr>
        <w:tab/>
      </w:r>
      <w:r w:rsidR="00141311" w:rsidRPr="00141311">
        <w:rPr>
          <w:rFonts w:ascii="Times New Roman" w:eastAsia="Times New Roman" w:hAnsi="Times New Roman" w:cs="Times New Roman"/>
          <w:sz w:val="24"/>
          <w:szCs w:val="24"/>
          <w:u w:val="single"/>
        </w:rPr>
        <w:t>Peoples TWP’s Position</w:t>
      </w:r>
    </w:p>
    <w:p w:rsidR="00141311" w:rsidRPr="00141311" w:rsidRDefault="00141311" w:rsidP="003A4BF7">
      <w:pPr>
        <w:spacing w:after="0" w:line="360" w:lineRule="auto"/>
        <w:ind w:left="1440"/>
        <w:rPr>
          <w:rFonts w:ascii="Times New Roman" w:eastAsia="Times New Roman" w:hAnsi="Times New Roman" w:cs="Times New Roman"/>
          <w:sz w:val="24"/>
          <w:szCs w:val="24"/>
          <w:u w:val="single"/>
        </w:rPr>
      </w:pPr>
    </w:p>
    <w:p w:rsidR="00141311" w:rsidRPr="00141311" w:rsidRDefault="009534CD" w:rsidP="003A4BF7">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t>P</w:t>
      </w:r>
      <w:r w:rsidR="00141311" w:rsidRPr="00141311">
        <w:rPr>
          <w:rFonts w:ascii="Times New Roman" w:eastAsia="Times New Roman" w:hAnsi="Times New Roman" w:cs="Times New Roman"/>
          <w:sz w:val="24"/>
          <w:szCs w:val="24"/>
        </w:rPr>
        <w:t xml:space="preserve">eoples TWP explains that under its gas exchange agreement with Peoples, Peoples TWP receives gas from Peoples at an interconnection located in Mars, PA, and in exchange, Peoples receives equivalent volumes of gas from Peoples TWP at various interconnections.  </w:t>
      </w:r>
      <w:r w:rsidR="00F93623">
        <w:rPr>
          <w:rFonts w:ascii="Times New Roman" w:eastAsia="Times New Roman" w:hAnsi="Times New Roman" w:cs="Times New Roman"/>
          <w:sz w:val="24"/>
          <w:szCs w:val="24"/>
        </w:rPr>
        <w:t>(</w:t>
      </w:r>
      <w:r w:rsidR="00141311" w:rsidRPr="00141311">
        <w:rPr>
          <w:rFonts w:ascii="Times New Roman" w:eastAsia="Times New Roman" w:hAnsi="Times New Roman" w:cs="Times New Roman"/>
          <w:sz w:val="24"/>
          <w:szCs w:val="24"/>
        </w:rPr>
        <w:t xml:space="preserve">Peoples TWP Statement No. 2, p. 22. </w:t>
      </w:r>
      <w:r w:rsidR="00141311" w:rsidRPr="00141311">
        <w:rPr>
          <w:rFonts w:ascii="Times New Roman" w:eastAsia="Times New Roman" w:hAnsi="Times New Roman" w:cs="Times New Roman"/>
          <w:b/>
          <w:sz w:val="24"/>
          <w:szCs w:val="24"/>
        </w:rPr>
        <w:t xml:space="preserve"> </w:t>
      </w:r>
      <w:r w:rsidR="00141311" w:rsidRPr="00141311">
        <w:rPr>
          <w:rFonts w:ascii="Times New Roman" w:eastAsia="Times New Roman" w:hAnsi="Times New Roman" w:cs="Times New Roman"/>
          <w:sz w:val="24"/>
          <w:szCs w:val="24"/>
        </w:rPr>
        <w:t>Peoples TWP Statement in Support, p.</w:t>
      </w:r>
      <w:r w:rsidR="005A4050">
        <w:rPr>
          <w:rFonts w:ascii="Times New Roman" w:eastAsia="Times New Roman" w:hAnsi="Times New Roman" w:cs="Times New Roman"/>
          <w:sz w:val="24"/>
          <w:szCs w:val="24"/>
        </w:rPr>
        <w:t> </w:t>
      </w:r>
      <w:r w:rsidR="00141311" w:rsidRPr="00141311">
        <w:rPr>
          <w:rFonts w:ascii="Times New Roman" w:eastAsia="Times New Roman" w:hAnsi="Times New Roman" w:cs="Times New Roman"/>
          <w:sz w:val="24"/>
          <w:szCs w:val="24"/>
        </w:rPr>
        <w:t>16.</w:t>
      </w:r>
      <w:r w:rsidR="00F93623">
        <w:rPr>
          <w:rFonts w:ascii="Times New Roman" w:eastAsia="Times New Roman" w:hAnsi="Times New Roman" w:cs="Times New Roman"/>
          <w:sz w:val="24"/>
          <w:szCs w:val="24"/>
        </w:rPr>
        <w:t>)</w:t>
      </w:r>
      <w:r w:rsidR="00141311" w:rsidRPr="00141311">
        <w:rPr>
          <w:rFonts w:ascii="Times New Roman" w:eastAsia="Times New Roman" w:hAnsi="Times New Roman" w:cs="Times New Roman"/>
          <w:sz w:val="24"/>
          <w:szCs w:val="24"/>
        </w:rPr>
        <w:t xml:space="preserve"> </w:t>
      </w:r>
      <w:r w:rsidR="00141311" w:rsidRPr="00141311">
        <w:rPr>
          <w:rFonts w:ascii="Times New Roman" w:eastAsia="Times New Roman" w:hAnsi="Times New Roman" w:cs="Times New Roman"/>
          <w:b/>
          <w:sz w:val="24"/>
          <w:szCs w:val="24"/>
        </w:rPr>
        <w:t xml:space="preserve">  </w:t>
      </w:r>
      <w:r w:rsidR="00141311" w:rsidRPr="00141311">
        <w:rPr>
          <w:rFonts w:ascii="Times New Roman" w:eastAsia="Times New Roman" w:hAnsi="Times New Roman" w:cs="Times New Roman"/>
          <w:sz w:val="24"/>
          <w:szCs w:val="24"/>
        </w:rPr>
        <w:t xml:space="preserve">According to the Company, the exchange agreement provides for more efficient operation of the two systems and improves service reliability.  </w:t>
      </w:r>
      <w:r w:rsidR="00F93623">
        <w:rPr>
          <w:rFonts w:ascii="Times New Roman" w:eastAsia="Times New Roman" w:hAnsi="Times New Roman" w:cs="Times New Roman"/>
          <w:sz w:val="24"/>
          <w:szCs w:val="24"/>
        </w:rPr>
        <w:t>(</w:t>
      </w:r>
      <w:r w:rsidR="00141311" w:rsidRPr="00141311">
        <w:rPr>
          <w:rFonts w:ascii="Times New Roman" w:eastAsia="Times New Roman" w:hAnsi="Times New Roman" w:cs="Times New Roman"/>
          <w:sz w:val="24"/>
          <w:szCs w:val="24"/>
        </w:rPr>
        <w:t>Peoples TWP Statement No. 2, p.</w:t>
      </w:r>
      <w:r w:rsidR="005A4050">
        <w:rPr>
          <w:rFonts w:ascii="Times New Roman" w:eastAsia="Times New Roman" w:hAnsi="Times New Roman" w:cs="Times New Roman"/>
          <w:sz w:val="24"/>
          <w:szCs w:val="24"/>
        </w:rPr>
        <w:t> </w:t>
      </w:r>
      <w:r w:rsidR="00141311" w:rsidRPr="00141311">
        <w:rPr>
          <w:rFonts w:ascii="Times New Roman" w:eastAsia="Times New Roman" w:hAnsi="Times New Roman" w:cs="Times New Roman"/>
          <w:sz w:val="24"/>
          <w:szCs w:val="24"/>
        </w:rPr>
        <w:t>22.</w:t>
      </w:r>
      <w:r w:rsidR="00141311" w:rsidRPr="00141311">
        <w:rPr>
          <w:rFonts w:ascii="Times New Roman" w:eastAsia="Times New Roman" w:hAnsi="Times New Roman" w:cs="Times New Roman"/>
          <w:b/>
          <w:sz w:val="24"/>
          <w:szCs w:val="24"/>
        </w:rPr>
        <w:t xml:space="preserve">  </w:t>
      </w:r>
      <w:r w:rsidR="00141311" w:rsidRPr="00141311">
        <w:rPr>
          <w:rFonts w:ascii="Times New Roman" w:eastAsia="Times New Roman" w:hAnsi="Times New Roman" w:cs="Times New Roman"/>
          <w:sz w:val="24"/>
          <w:szCs w:val="24"/>
        </w:rPr>
        <w:t>Peoples TWP Statement in Support, p. 16.</w:t>
      </w:r>
      <w:r w:rsidR="00F93623">
        <w:rPr>
          <w:rFonts w:ascii="Times New Roman" w:eastAsia="Times New Roman" w:hAnsi="Times New Roman" w:cs="Times New Roman"/>
          <w:sz w:val="24"/>
          <w:szCs w:val="24"/>
        </w:rPr>
        <w:t>)</w:t>
      </w:r>
      <w:r w:rsidR="00141311" w:rsidRPr="00141311">
        <w:rPr>
          <w:rFonts w:ascii="Times New Roman" w:eastAsia="Times New Roman" w:hAnsi="Times New Roman" w:cs="Times New Roman"/>
          <w:b/>
          <w:sz w:val="24"/>
          <w:szCs w:val="24"/>
        </w:rPr>
        <w:t xml:space="preserve">  </w:t>
      </w:r>
      <w:r w:rsidR="00141311" w:rsidRPr="00141311">
        <w:rPr>
          <w:rFonts w:ascii="Times New Roman" w:eastAsia="Times New Roman" w:hAnsi="Times New Roman" w:cs="Times New Roman"/>
          <w:sz w:val="24"/>
          <w:szCs w:val="24"/>
        </w:rPr>
        <w:t xml:space="preserve">Peoples TWP contends that, throughout 2014, it tracked and balanced this exchange, however, it was discovered in June that the volumes for one of the meters were misstated because the Company utilized meter readings for a sub meter rather than for a master meter for purposes of balancing the exchange.  </w:t>
      </w:r>
      <w:r w:rsidR="00F93623">
        <w:rPr>
          <w:rFonts w:ascii="Times New Roman" w:eastAsia="Times New Roman" w:hAnsi="Times New Roman" w:cs="Times New Roman"/>
          <w:sz w:val="24"/>
          <w:szCs w:val="24"/>
        </w:rPr>
        <w:t>(</w:t>
      </w:r>
      <w:r w:rsidR="00141311" w:rsidRPr="00141311">
        <w:rPr>
          <w:rFonts w:ascii="Times New Roman" w:eastAsia="Times New Roman" w:hAnsi="Times New Roman" w:cs="Times New Roman"/>
          <w:sz w:val="24"/>
          <w:szCs w:val="24"/>
        </w:rPr>
        <w:t>Peoples TWP Statement No. 2, p. 23.</w:t>
      </w:r>
      <w:r w:rsidR="00141311" w:rsidRPr="00141311">
        <w:rPr>
          <w:rFonts w:ascii="Times New Roman" w:eastAsia="Times New Roman" w:hAnsi="Times New Roman" w:cs="Times New Roman"/>
          <w:b/>
          <w:sz w:val="24"/>
          <w:szCs w:val="24"/>
        </w:rPr>
        <w:t xml:space="preserve">  </w:t>
      </w:r>
      <w:r w:rsidR="00141311" w:rsidRPr="00141311">
        <w:rPr>
          <w:rFonts w:ascii="Times New Roman" w:eastAsia="Times New Roman" w:hAnsi="Times New Roman" w:cs="Times New Roman"/>
          <w:sz w:val="24"/>
          <w:szCs w:val="24"/>
        </w:rPr>
        <w:t>Peoples TWP Statement in Support, p. 16.</w:t>
      </w:r>
      <w:r w:rsidR="00F93623">
        <w:rPr>
          <w:rFonts w:ascii="Times New Roman" w:eastAsia="Times New Roman" w:hAnsi="Times New Roman" w:cs="Times New Roman"/>
          <w:sz w:val="24"/>
          <w:szCs w:val="24"/>
        </w:rPr>
        <w:t>)</w:t>
      </w:r>
      <w:r w:rsidR="00141311" w:rsidRPr="00141311">
        <w:rPr>
          <w:rFonts w:ascii="Times New Roman" w:eastAsia="Times New Roman" w:hAnsi="Times New Roman" w:cs="Times New Roman"/>
          <w:sz w:val="24"/>
          <w:szCs w:val="24"/>
        </w:rPr>
        <w:t xml:space="preserve"> </w:t>
      </w:r>
      <w:r w:rsidR="00141311" w:rsidRPr="009534CD">
        <w:rPr>
          <w:rFonts w:ascii="Times New Roman" w:eastAsia="Times New Roman" w:hAnsi="Times New Roman" w:cs="Times New Roman"/>
          <w:sz w:val="24"/>
          <w:szCs w:val="24"/>
        </w:rPr>
        <w:t xml:space="preserve"> </w:t>
      </w:r>
      <w:r w:rsidR="00141311" w:rsidRPr="00141311">
        <w:rPr>
          <w:rFonts w:ascii="Times New Roman" w:eastAsia="Times New Roman" w:hAnsi="Times New Roman" w:cs="Times New Roman"/>
          <w:sz w:val="24"/>
          <w:szCs w:val="24"/>
        </w:rPr>
        <w:t xml:space="preserve">Peoples TWP contends this error happened because of a simple clerical mistake rather than an issue with the meter readings themselves, and as a result of this error, the exchange was inadvertently out of balance.  </w:t>
      </w:r>
      <w:r w:rsidR="00F93623">
        <w:rPr>
          <w:rFonts w:ascii="Times New Roman" w:eastAsia="Times New Roman" w:hAnsi="Times New Roman" w:cs="Times New Roman"/>
          <w:sz w:val="24"/>
          <w:szCs w:val="24"/>
        </w:rPr>
        <w:t>(</w:t>
      </w:r>
      <w:r w:rsidR="00141311" w:rsidRPr="00141311">
        <w:rPr>
          <w:rFonts w:ascii="Times New Roman" w:eastAsia="Times New Roman" w:hAnsi="Times New Roman" w:cs="Times New Roman"/>
          <w:sz w:val="24"/>
          <w:szCs w:val="24"/>
        </w:rPr>
        <w:t>Peoples TWP Statement No. 2-R, p. 16; No. 2, p. 23.</w:t>
      </w:r>
      <w:r w:rsidR="00141311" w:rsidRPr="00141311">
        <w:rPr>
          <w:rFonts w:ascii="Times New Roman" w:eastAsia="Times New Roman" w:hAnsi="Times New Roman" w:cs="Times New Roman"/>
          <w:b/>
          <w:sz w:val="24"/>
          <w:szCs w:val="24"/>
        </w:rPr>
        <w:t xml:space="preserve">  </w:t>
      </w:r>
      <w:r w:rsidR="00141311" w:rsidRPr="00141311">
        <w:rPr>
          <w:rFonts w:ascii="Times New Roman" w:eastAsia="Times New Roman" w:hAnsi="Times New Roman" w:cs="Times New Roman"/>
          <w:sz w:val="24"/>
          <w:szCs w:val="24"/>
        </w:rPr>
        <w:t>Peoples TWP Statement in Support, p. 16.</w:t>
      </w:r>
      <w:r w:rsidR="00F93623">
        <w:rPr>
          <w:rFonts w:ascii="Times New Roman" w:eastAsia="Times New Roman" w:hAnsi="Times New Roman" w:cs="Times New Roman"/>
          <w:sz w:val="24"/>
          <w:szCs w:val="24"/>
        </w:rPr>
        <w:t>)</w:t>
      </w:r>
      <w:r w:rsidR="00141311" w:rsidRPr="00141311">
        <w:rPr>
          <w:rFonts w:ascii="Times New Roman" w:eastAsia="Times New Roman" w:hAnsi="Times New Roman" w:cs="Times New Roman"/>
          <w:sz w:val="24"/>
          <w:szCs w:val="24"/>
        </w:rPr>
        <w:t xml:space="preserve"> </w:t>
      </w:r>
      <w:r w:rsidR="00141311" w:rsidRPr="00141311">
        <w:rPr>
          <w:rFonts w:ascii="Times New Roman" w:eastAsia="Times New Roman" w:hAnsi="Times New Roman" w:cs="Times New Roman"/>
          <w:b/>
          <w:sz w:val="24"/>
          <w:szCs w:val="24"/>
        </w:rPr>
        <w:t xml:space="preserve"> </w:t>
      </w:r>
      <w:r w:rsidR="00141311" w:rsidRPr="00141311">
        <w:rPr>
          <w:rFonts w:ascii="Times New Roman" w:eastAsia="Times New Roman" w:hAnsi="Times New Roman" w:cs="Times New Roman"/>
          <w:sz w:val="24"/>
          <w:szCs w:val="24"/>
        </w:rPr>
        <w:t xml:space="preserve">The </w:t>
      </w:r>
      <w:r w:rsidR="00141311" w:rsidRPr="00141311">
        <w:rPr>
          <w:rFonts w:ascii="Times New Roman" w:eastAsia="Times New Roman" w:hAnsi="Times New Roman" w:cs="Times New Roman"/>
          <w:sz w:val="24"/>
          <w:szCs w:val="24"/>
        </w:rPr>
        <w:lastRenderedPageBreak/>
        <w:t xml:space="preserve">Company contends that, since this was discovered during the summer, the exchange could not be brought back into balance until January 2015 because Peoples was unable to take significant amounts of gas until the weather sensitive load increased.  </w:t>
      </w:r>
      <w:r w:rsidR="00F93623">
        <w:rPr>
          <w:rFonts w:ascii="Times New Roman" w:eastAsia="Times New Roman" w:hAnsi="Times New Roman" w:cs="Times New Roman"/>
          <w:sz w:val="24"/>
          <w:szCs w:val="24"/>
        </w:rPr>
        <w:t>(</w:t>
      </w:r>
      <w:r w:rsidR="00141311" w:rsidRPr="00141311">
        <w:rPr>
          <w:rFonts w:ascii="Times New Roman" w:eastAsia="Times New Roman" w:hAnsi="Times New Roman" w:cs="Times New Roman"/>
          <w:sz w:val="24"/>
          <w:szCs w:val="24"/>
        </w:rPr>
        <w:t>Peoples TWP Statement No. 2, p. 23.  Peoples TWP Statement in Support, p. 16.</w:t>
      </w:r>
      <w:r w:rsidR="00F93623">
        <w:rPr>
          <w:rFonts w:ascii="Times New Roman" w:eastAsia="Times New Roman" w:hAnsi="Times New Roman" w:cs="Times New Roman"/>
          <w:sz w:val="24"/>
          <w:szCs w:val="24"/>
        </w:rPr>
        <w:t>)</w:t>
      </w:r>
    </w:p>
    <w:p w:rsidR="00141311" w:rsidRPr="00141311" w:rsidRDefault="00141311" w:rsidP="003A4BF7">
      <w:pPr>
        <w:spacing w:after="0" w:line="360" w:lineRule="auto"/>
        <w:ind w:firstLine="720"/>
        <w:rPr>
          <w:rFonts w:ascii="Times New Roman" w:eastAsia="Times New Roman" w:hAnsi="Times New Roman" w:cs="Times New Roman"/>
          <w:b/>
          <w:sz w:val="24"/>
          <w:szCs w:val="24"/>
        </w:rPr>
      </w:pPr>
    </w:p>
    <w:p w:rsidR="00141311" w:rsidRDefault="009534CD" w:rsidP="003A4BF7">
      <w:pPr>
        <w:spacing w:after="0"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141311" w:rsidRPr="00141311">
        <w:rPr>
          <w:rFonts w:ascii="Times New Roman" w:eastAsia="Times New Roman" w:hAnsi="Times New Roman" w:cs="Times New Roman"/>
          <w:sz w:val="24"/>
          <w:szCs w:val="24"/>
        </w:rPr>
        <w:t xml:space="preserve">OCA contended that this imbalance raised potential cost and timing concerns and proposed that in addition to the monthly reporting of imbalances under the gas exchange agreement as part of the 1307(f) flings, the meters used to record the imbalance should be audited before the end of the heating season to minimize the potential for an imbalance due to meter related error.  </w:t>
      </w:r>
      <w:r w:rsidR="00F93623">
        <w:rPr>
          <w:rFonts w:ascii="Times New Roman" w:eastAsia="Times New Roman" w:hAnsi="Times New Roman" w:cs="Times New Roman"/>
          <w:sz w:val="24"/>
          <w:szCs w:val="24"/>
        </w:rPr>
        <w:t>(</w:t>
      </w:r>
      <w:r w:rsidR="00141311" w:rsidRPr="00141311">
        <w:rPr>
          <w:rFonts w:ascii="Times New Roman" w:eastAsia="Times New Roman" w:hAnsi="Times New Roman" w:cs="Times New Roman"/>
          <w:sz w:val="24"/>
          <w:szCs w:val="24"/>
        </w:rPr>
        <w:t xml:space="preserve">OCA Statement No. 1, p. 17. </w:t>
      </w:r>
      <w:r w:rsidR="00141311" w:rsidRPr="00141311">
        <w:rPr>
          <w:rFonts w:ascii="Times New Roman" w:eastAsia="Times New Roman" w:hAnsi="Times New Roman" w:cs="Times New Roman"/>
          <w:b/>
          <w:sz w:val="24"/>
          <w:szCs w:val="24"/>
        </w:rPr>
        <w:t xml:space="preserve"> </w:t>
      </w:r>
      <w:proofErr w:type="gramStart"/>
      <w:r w:rsidR="00141311" w:rsidRPr="00141311">
        <w:rPr>
          <w:rFonts w:ascii="Times New Roman" w:eastAsia="Times New Roman" w:hAnsi="Times New Roman" w:cs="Times New Roman"/>
          <w:sz w:val="24"/>
          <w:szCs w:val="24"/>
        </w:rPr>
        <w:t>Peoples TWP Statement in Support, pp.</w:t>
      </w:r>
      <w:r w:rsidR="00146425">
        <w:rPr>
          <w:rFonts w:ascii="Times New Roman" w:eastAsia="Times New Roman" w:hAnsi="Times New Roman" w:cs="Times New Roman"/>
          <w:sz w:val="24"/>
          <w:szCs w:val="24"/>
        </w:rPr>
        <w:t> </w:t>
      </w:r>
      <w:r w:rsidR="00141311" w:rsidRPr="00141311">
        <w:rPr>
          <w:rFonts w:ascii="Times New Roman" w:eastAsia="Times New Roman" w:hAnsi="Times New Roman" w:cs="Times New Roman"/>
          <w:sz w:val="24"/>
          <w:szCs w:val="24"/>
        </w:rPr>
        <w:t>16</w:t>
      </w:r>
      <w:r w:rsidR="00146425">
        <w:rPr>
          <w:rFonts w:ascii="Times New Roman" w:eastAsia="Times New Roman" w:hAnsi="Times New Roman" w:cs="Times New Roman"/>
          <w:sz w:val="24"/>
          <w:szCs w:val="24"/>
        </w:rPr>
        <w:noBreakHyphen/>
      </w:r>
      <w:r w:rsidR="00141311" w:rsidRPr="00141311">
        <w:rPr>
          <w:rFonts w:ascii="Times New Roman" w:eastAsia="Times New Roman" w:hAnsi="Times New Roman" w:cs="Times New Roman"/>
          <w:sz w:val="24"/>
          <w:szCs w:val="24"/>
        </w:rPr>
        <w:t>17.</w:t>
      </w:r>
      <w:r w:rsidR="00F93623">
        <w:rPr>
          <w:rFonts w:ascii="Times New Roman" w:eastAsia="Times New Roman" w:hAnsi="Times New Roman" w:cs="Times New Roman"/>
          <w:sz w:val="24"/>
          <w:szCs w:val="24"/>
        </w:rPr>
        <w:t>)</w:t>
      </w:r>
      <w:proofErr w:type="gramEnd"/>
      <w:r w:rsidR="00141311" w:rsidRPr="00141311">
        <w:rPr>
          <w:rFonts w:ascii="Times New Roman" w:eastAsia="Times New Roman" w:hAnsi="Times New Roman" w:cs="Times New Roman"/>
          <w:sz w:val="24"/>
          <w:szCs w:val="24"/>
        </w:rPr>
        <w:t xml:space="preserve"> </w:t>
      </w:r>
      <w:r w:rsidR="00141311" w:rsidRPr="00141311">
        <w:rPr>
          <w:rFonts w:ascii="Times New Roman" w:eastAsia="Times New Roman" w:hAnsi="Times New Roman" w:cs="Times New Roman"/>
          <w:b/>
          <w:sz w:val="24"/>
          <w:szCs w:val="24"/>
        </w:rPr>
        <w:t xml:space="preserve">  </w:t>
      </w:r>
    </w:p>
    <w:p w:rsidR="00146425" w:rsidRPr="00141311" w:rsidRDefault="00146425" w:rsidP="003A4BF7">
      <w:pPr>
        <w:spacing w:after="0" w:line="360" w:lineRule="auto"/>
        <w:ind w:firstLine="720"/>
        <w:rPr>
          <w:rFonts w:ascii="Times New Roman" w:eastAsia="Times New Roman" w:hAnsi="Times New Roman" w:cs="Times New Roman"/>
          <w:b/>
          <w:sz w:val="24"/>
          <w:szCs w:val="24"/>
        </w:rPr>
      </w:pPr>
    </w:p>
    <w:p w:rsidR="00F93623" w:rsidRDefault="009534CD" w:rsidP="003A4BF7">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41311" w:rsidRPr="00141311">
        <w:rPr>
          <w:rFonts w:ascii="Times New Roman" w:eastAsia="Times New Roman" w:hAnsi="Times New Roman" w:cs="Times New Roman"/>
          <w:sz w:val="24"/>
          <w:szCs w:val="24"/>
        </w:rPr>
        <w:t xml:space="preserve">In response to OCA, Peoples TWP explained that it was implementing a further process to ensure that the volumes in the exchange have been accumulated appropriately and will be going forward.  </w:t>
      </w:r>
      <w:r w:rsidR="00F93623">
        <w:rPr>
          <w:rFonts w:ascii="Times New Roman" w:eastAsia="Times New Roman" w:hAnsi="Times New Roman" w:cs="Times New Roman"/>
          <w:sz w:val="24"/>
          <w:szCs w:val="24"/>
        </w:rPr>
        <w:t>(</w:t>
      </w:r>
      <w:r w:rsidR="00141311" w:rsidRPr="00141311">
        <w:rPr>
          <w:rFonts w:ascii="Times New Roman" w:eastAsia="Times New Roman" w:hAnsi="Times New Roman" w:cs="Times New Roman"/>
          <w:sz w:val="24"/>
          <w:szCs w:val="24"/>
        </w:rPr>
        <w:t>Peoples TWP Statement No. 2-R, p. 17.</w:t>
      </w:r>
      <w:r w:rsidR="00141311" w:rsidRPr="00141311">
        <w:rPr>
          <w:rFonts w:ascii="Times New Roman" w:eastAsia="Times New Roman" w:hAnsi="Times New Roman" w:cs="Times New Roman"/>
          <w:b/>
          <w:sz w:val="24"/>
          <w:szCs w:val="24"/>
        </w:rPr>
        <w:t xml:space="preserve">  </w:t>
      </w:r>
      <w:r w:rsidR="00141311" w:rsidRPr="00141311">
        <w:rPr>
          <w:rFonts w:ascii="Times New Roman" w:eastAsia="Times New Roman" w:hAnsi="Times New Roman" w:cs="Times New Roman"/>
          <w:sz w:val="24"/>
          <w:szCs w:val="24"/>
        </w:rPr>
        <w:t>Peoples TWP Statement in Support, p. 17.</w:t>
      </w:r>
      <w:r w:rsidR="00F93623">
        <w:rPr>
          <w:rFonts w:ascii="Times New Roman" w:eastAsia="Times New Roman" w:hAnsi="Times New Roman" w:cs="Times New Roman"/>
          <w:sz w:val="24"/>
          <w:szCs w:val="24"/>
        </w:rPr>
        <w:t>)</w:t>
      </w:r>
      <w:r w:rsidR="00141311" w:rsidRPr="00141311">
        <w:rPr>
          <w:rFonts w:ascii="Times New Roman" w:eastAsia="Times New Roman" w:hAnsi="Times New Roman" w:cs="Times New Roman"/>
          <w:b/>
          <w:sz w:val="24"/>
          <w:szCs w:val="24"/>
        </w:rPr>
        <w:t xml:space="preserve">  </w:t>
      </w:r>
      <w:r w:rsidR="00141311" w:rsidRPr="00141311">
        <w:rPr>
          <w:rFonts w:ascii="Times New Roman" w:eastAsia="Times New Roman" w:hAnsi="Times New Roman" w:cs="Times New Roman"/>
          <w:sz w:val="24"/>
          <w:szCs w:val="24"/>
        </w:rPr>
        <w:t>Peoples T</w:t>
      </w:r>
      <w:r w:rsidR="00790A71">
        <w:rPr>
          <w:rFonts w:ascii="Times New Roman" w:eastAsia="Times New Roman" w:hAnsi="Times New Roman" w:cs="Times New Roman"/>
          <w:sz w:val="24"/>
          <w:szCs w:val="24"/>
        </w:rPr>
        <w:t>WP</w:t>
      </w:r>
      <w:r w:rsidR="00141311" w:rsidRPr="00141311">
        <w:rPr>
          <w:rFonts w:ascii="Times New Roman" w:eastAsia="Times New Roman" w:hAnsi="Times New Roman" w:cs="Times New Roman"/>
          <w:sz w:val="24"/>
          <w:szCs w:val="24"/>
        </w:rPr>
        <w:t xml:space="preserve"> notes that such process, included in the Settlement, will include an additional check with operations when a new meter is added to the exchange to ensure that the volumes from the correct meters are being compiled in the exchange tracking spreadsheet.  </w:t>
      </w:r>
      <w:r w:rsidR="00F93623">
        <w:rPr>
          <w:rFonts w:ascii="Times New Roman" w:eastAsia="Times New Roman" w:hAnsi="Times New Roman" w:cs="Times New Roman"/>
          <w:sz w:val="24"/>
          <w:szCs w:val="24"/>
        </w:rPr>
        <w:t>(</w:t>
      </w:r>
      <w:r w:rsidR="00141311" w:rsidRPr="00141311">
        <w:rPr>
          <w:rFonts w:ascii="Times New Roman" w:eastAsia="Times New Roman" w:hAnsi="Times New Roman" w:cs="Times New Roman"/>
          <w:sz w:val="24"/>
          <w:szCs w:val="24"/>
        </w:rPr>
        <w:t xml:space="preserve">Settlement ¶ 27; </w:t>
      </w:r>
      <w:r w:rsidR="00141311" w:rsidRPr="00141311">
        <w:rPr>
          <w:rFonts w:ascii="Times New Roman" w:eastAsia="Times New Roman" w:hAnsi="Times New Roman" w:cs="Times New Roman"/>
          <w:i/>
          <w:sz w:val="24"/>
          <w:szCs w:val="24"/>
        </w:rPr>
        <w:t xml:space="preserve">see </w:t>
      </w:r>
      <w:r w:rsidR="00141311" w:rsidRPr="00141311">
        <w:rPr>
          <w:rFonts w:ascii="Times New Roman" w:eastAsia="Times New Roman" w:hAnsi="Times New Roman" w:cs="Times New Roman"/>
          <w:sz w:val="24"/>
          <w:szCs w:val="24"/>
        </w:rPr>
        <w:t xml:space="preserve">Peoples TWP Statement No. 2-R, p. 17. </w:t>
      </w:r>
      <w:r w:rsidR="00141311" w:rsidRPr="00141311">
        <w:rPr>
          <w:rFonts w:ascii="Times New Roman" w:eastAsia="Times New Roman" w:hAnsi="Times New Roman" w:cs="Times New Roman"/>
          <w:b/>
          <w:sz w:val="24"/>
          <w:szCs w:val="24"/>
        </w:rPr>
        <w:t xml:space="preserve"> </w:t>
      </w:r>
      <w:r w:rsidR="00141311" w:rsidRPr="00141311">
        <w:rPr>
          <w:rFonts w:ascii="Times New Roman" w:eastAsia="Times New Roman" w:hAnsi="Times New Roman" w:cs="Times New Roman"/>
          <w:sz w:val="24"/>
          <w:szCs w:val="24"/>
        </w:rPr>
        <w:t>Peoples TWP Statement in Support, p. 17.</w:t>
      </w:r>
      <w:r w:rsidR="00F93623">
        <w:rPr>
          <w:rFonts w:ascii="Times New Roman" w:eastAsia="Times New Roman" w:hAnsi="Times New Roman" w:cs="Times New Roman"/>
          <w:sz w:val="24"/>
          <w:szCs w:val="24"/>
        </w:rPr>
        <w:t>)</w:t>
      </w:r>
      <w:r w:rsidR="00141311" w:rsidRPr="00141311">
        <w:rPr>
          <w:rFonts w:ascii="Times New Roman" w:eastAsia="Times New Roman" w:hAnsi="Times New Roman" w:cs="Times New Roman"/>
          <w:b/>
          <w:sz w:val="24"/>
          <w:szCs w:val="24"/>
        </w:rPr>
        <w:t xml:space="preserve">  </w:t>
      </w:r>
      <w:r w:rsidR="00141311" w:rsidRPr="00141311">
        <w:rPr>
          <w:rFonts w:ascii="Times New Roman" w:eastAsia="Times New Roman" w:hAnsi="Times New Roman" w:cs="Times New Roman"/>
          <w:sz w:val="24"/>
          <w:szCs w:val="24"/>
        </w:rPr>
        <w:t xml:space="preserve">Further, the Company explains that its Gas Supply department will monitor the volumes for reasonableness compared to expected flows to ensure that the Company is seeing the expected results.  </w:t>
      </w:r>
      <w:r w:rsidR="00F93623">
        <w:rPr>
          <w:rFonts w:ascii="Times New Roman" w:eastAsia="Times New Roman" w:hAnsi="Times New Roman" w:cs="Times New Roman"/>
          <w:sz w:val="24"/>
          <w:szCs w:val="24"/>
        </w:rPr>
        <w:t>(</w:t>
      </w:r>
      <w:r w:rsidR="00141311" w:rsidRPr="00141311">
        <w:rPr>
          <w:rFonts w:ascii="Times New Roman" w:eastAsia="Times New Roman" w:hAnsi="Times New Roman" w:cs="Times New Roman"/>
          <w:sz w:val="24"/>
          <w:szCs w:val="24"/>
        </w:rPr>
        <w:t xml:space="preserve">Settlement ¶ 27; </w:t>
      </w:r>
      <w:r w:rsidR="00141311" w:rsidRPr="00141311">
        <w:rPr>
          <w:rFonts w:ascii="Times New Roman" w:eastAsia="Times New Roman" w:hAnsi="Times New Roman" w:cs="Times New Roman"/>
          <w:i/>
          <w:sz w:val="24"/>
          <w:szCs w:val="24"/>
        </w:rPr>
        <w:t xml:space="preserve">see </w:t>
      </w:r>
      <w:r w:rsidR="00141311" w:rsidRPr="00141311">
        <w:rPr>
          <w:rFonts w:ascii="Times New Roman" w:eastAsia="Times New Roman" w:hAnsi="Times New Roman" w:cs="Times New Roman"/>
          <w:sz w:val="24"/>
          <w:szCs w:val="24"/>
        </w:rPr>
        <w:t>Peoples TWP Statement No. 2-R, p. 17.  Peoples TWP Statement in Support, p. 17.</w:t>
      </w:r>
      <w:r w:rsidR="00F93623">
        <w:rPr>
          <w:rFonts w:ascii="Times New Roman" w:eastAsia="Times New Roman" w:hAnsi="Times New Roman" w:cs="Times New Roman"/>
          <w:sz w:val="24"/>
          <w:szCs w:val="24"/>
        </w:rPr>
        <w:t>)</w:t>
      </w:r>
      <w:r w:rsidR="00141311" w:rsidRPr="00141311">
        <w:rPr>
          <w:rFonts w:ascii="Times New Roman" w:eastAsia="Times New Roman" w:hAnsi="Times New Roman" w:cs="Times New Roman"/>
          <w:b/>
          <w:sz w:val="24"/>
          <w:szCs w:val="24"/>
        </w:rPr>
        <w:t xml:space="preserve">  </w:t>
      </w:r>
      <w:r w:rsidR="00141311" w:rsidRPr="00141311">
        <w:rPr>
          <w:rFonts w:ascii="Times New Roman" w:eastAsia="Times New Roman" w:hAnsi="Times New Roman" w:cs="Times New Roman"/>
          <w:sz w:val="24"/>
          <w:szCs w:val="24"/>
        </w:rPr>
        <w:t xml:space="preserve">Peoples TWP contends this process is in the public interest because it will help ensure that the volumes exchanged pursuant to the gas exchange agreement between Peoples TWP and Peoples remain in balance.  </w:t>
      </w:r>
      <w:r w:rsidR="00F93623">
        <w:rPr>
          <w:rFonts w:ascii="Times New Roman" w:eastAsia="Times New Roman" w:hAnsi="Times New Roman" w:cs="Times New Roman"/>
          <w:sz w:val="24"/>
          <w:szCs w:val="24"/>
        </w:rPr>
        <w:t>(</w:t>
      </w:r>
      <w:r w:rsidR="00141311" w:rsidRPr="00141311">
        <w:rPr>
          <w:rFonts w:ascii="Times New Roman" w:eastAsia="Times New Roman" w:hAnsi="Times New Roman" w:cs="Times New Roman"/>
          <w:sz w:val="24"/>
          <w:szCs w:val="24"/>
        </w:rPr>
        <w:t xml:space="preserve">Peoples TWP Statement in Support, </w:t>
      </w:r>
    </w:p>
    <w:p w:rsidR="00141311" w:rsidRPr="00141311" w:rsidRDefault="00141311" w:rsidP="00F93623">
      <w:pPr>
        <w:spacing w:after="0" w:line="360" w:lineRule="auto"/>
        <w:rPr>
          <w:rFonts w:ascii="Times New Roman" w:eastAsia="Times New Roman" w:hAnsi="Times New Roman" w:cs="Times New Roman"/>
          <w:b/>
          <w:bCs/>
          <w:iCs/>
          <w:caps/>
          <w:color w:val="000000"/>
          <w:sz w:val="24"/>
          <w:szCs w:val="28"/>
        </w:rPr>
      </w:pPr>
      <w:r w:rsidRPr="00141311">
        <w:rPr>
          <w:rFonts w:ascii="Times New Roman" w:eastAsia="Times New Roman" w:hAnsi="Times New Roman" w:cs="Times New Roman"/>
          <w:sz w:val="24"/>
          <w:szCs w:val="24"/>
        </w:rPr>
        <w:t>p. 17.</w:t>
      </w:r>
      <w:r w:rsidR="00F93623">
        <w:rPr>
          <w:rFonts w:ascii="Times New Roman" w:eastAsia="Times New Roman" w:hAnsi="Times New Roman" w:cs="Times New Roman"/>
          <w:sz w:val="24"/>
          <w:szCs w:val="24"/>
        </w:rPr>
        <w:t>)</w:t>
      </w:r>
      <w:r w:rsidRPr="00141311">
        <w:rPr>
          <w:rFonts w:ascii="Times New Roman" w:eastAsia="Times New Roman" w:hAnsi="Times New Roman" w:cs="Times New Roman"/>
          <w:sz w:val="24"/>
          <w:szCs w:val="24"/>
        </w:rPr>
        <w:t xml:space="preserve"> </w:t>
      </w:r>
      <w:r w:rsidRPr="00141311">
        <w:rPr>
          <w:rFonts w:ascii="Times New Roman" w:eastAsia="Times New Roman" w:hAnsi="Times New Roman" w:cs="Times New Roman"/>
          <w:b/>
          <w:bCs/>
          <w:iCs/>
          <w:caps/>
          <w:color w:val="000000"/>
          <w:sz w:val="24"/>
          <w:szCs w:val="28"/>
        </w:rPr>
        <w:t xml:space="preserve">  </w:t>
      </w:r>
    </w:p>
    <w:p w:rsidR="00141311" w:rsidRPr="00141311" w:rsidRDefault="00141311" w:rsidP="003A4BF7">
      <w:pPr>
        <w:spacing w:after="0" w:line="360" w:lineRule="auto"/>
        <w:ind w:left="720"/>
        <w:rPr>
          <w:rFonts w:ascii="Times New Roman" w:eastAsia="Times New Roman" w:hAnsi="Times New Roman" w:cs="Times New Roman"/>
          <w:bCs/>
          <w:iCs/>
          <w:caps/>
          <w:color w:val="000000"/>
          <w:sz w:val="24"/>
          <w:szCs w:val="28"/>
          <w:u w:val="single"/>
        </w:rPr>
      </w:pPr>
    </w:p>
    <w:p w:rsidR="00141311" w:rsidRPr="00141311" w:rsidRDefault="004739B4" w:rsidP="004739B4">
      <w:pPr>
        <w:spacing w:after="0" w:line="360" w:lineRule="auto"/>
        <w:ind w:left="720"/>
        <w:rPr>
          <w:rFonts w:ascii="Times New Roman" w:eastAsia="Times New Roman" w:hAnsi="Times New Roman" w:cs="Times New Roman"/>
          <w:bCs/>
          <w:iCs/>
          <w:caps/>
          <w:color w:val="000000"/>
          <w:sz w:val="24"/>
          <w:szCs w:val="28"/>
          <w:u w:val="single"/>
        </w:rPr>
      </w:pPr>
      <w:r w:rsidRPr="004739B4">
        <w:rPr>
          <w:rFonts w:ascii="Times New Roman" w:eastAsia="Times New Roman" w:hAnsi="Times New Roman" w:cs="Times New Roman"/>
          <w:bCs/>
          <w:iCs/>
          <w:caps/>
          <w:color w:val="000000"/>
          <w:sz w:val="24"/>
          <w:szCs w:val="28"/>
        </w:rPr>
        <w:t>2.</w:t>
      </w:r>
      <w:r w:rsidRPr="004739B4">
        <w:rPr>
          <w:rFonts w:ascii="Times New Roman" w:eastAsia="Times New Roman" w:hAnsi="Times New Roman" w:cs="Times New Roman"/>
          <w:bCs/>
          <w:iCs/>
          <w:caps/>
          <w:color w:val="000000"/>
          <w:sz w:val="24"/>
          <w:szCs w:val="28"/>
        </w:rPr>
        <w:tab/>
      </w:r>
      <w:r w:rsidR="00141311" w:rsidRPr="00141311">
        <w:rPr>
          <w:rFonts w:ascii="Times New Roman" w:eastAsia="Times New Roman" w:hAnsi="Times New Roman" w:cs="Times New Roman"/>
          <w:bCs/>
          <w:iCs/>
          <w:caps/>
          <w:color w:val="000000"/>
          <w:sz w:val="24"/>
          <w:szCs w:val="28"/>
          <w:u w:val="single"/>
        </w:rPr>
        <w:t>OCA’</w:t>
      </w:r>
      <w:r w:rsidRPr="00141311">
        <w:rPr>
          <w:rFonts w:ascii="Times New Roman" w:eastAsia="Times New Roman" w:hAnsi="Times New Roman" w:cs="Times New Roman"/>
          <w:bCs/>
          <w:iCs/>
          <w:color w:val="000000"/>
          <w:sz w:val="24"/>
          <w:szCs w:val="28"/>
          <w:u w:val="single"/>
        </w:rPr>
        <w:t>s</w:t>
      </w:r>
      <w:r w:rsidR="00141311" w:rsidRPr="00141311">
        <w:rPr>
          <w:rFonts w:ascii="Times New Roman" w:eastAsia="Times New Roman" w:hAnsi="Times New Roman" w:cs="Times New Roman"/>
          <w:bCs/>
          <w:iCs/>
          <w:caps/>
          <w:color w:val="000000"/>
          <w:sz w:val="24"/>
          <w:szCs w:val="28"/>
          <w:u w:val="single"/>
        </w:rPr>
        <w:t xml:space="preserve"> P</w:t>
      </w:r>
      <w:r w:rsidRPr="00141311">
        <w:rPr>
          <w:rFonts w:ascii="Times New Roman" w:eastAsia="Times New Roman" w:hAnsi="Times New Roman" w:cs="Times New Roman"/>
          <w:bCs/>
          <w:iCs/>
          <w:color w:val="000000"/>
          <w:sz w:val="24"/>
          <w:szCs w:val="28"/>
          <w:u w:val="single"/>
        </w:rPr>
        <w:t>osition</w:t>
      </w:r>
    </w:p>
    <w:p w:rsidR="00141311" w:rsidRPr="00141311" w:rsidRDefault="00141311" w:rsidP="003A4BF7">
      <w:pPr>
        <w:spacing w:after="0" w:line="360" w:lineRule="auto"/>
        <w:ind w:left="720"/>
        <w:rPr>
          <w:rFonts w:ascii="Times New Roman" w:eastAsia="Times New Roman" w:hAnsi="Times New Roman" w:cs="Times New Roman"/>
          <w:bCs/>
          <w:iCs/>
          <w:caps/>
          <w:color w:val="000000"/>
          <w:sz w:val="24"/>
          <w:szCs w:val="28"/>
          <w:u w:val="single"/>
        </w:rPr>
      </w:pPr>
    </w:p>
    <w:p w:rsidR="00141311" w:rsidRPr="00141311" w:rsidRDefault="00141311" w:rsidP="003A4BF7">
      <w:pPr>
        <w:spacing w:after="0" w:line="360" w:lineRule="auto"/>
        <w:ind w:firstLine="1440"/>
        <w:rPr>
          <w:rFonts w:ascii="Times New Roman" w:eastAsia="Calibri" w:hAnsi="Times New Roman" w:cs="Times New Roman"/>
          <w:sz w:val="24"/>
          <w:szCs w:val="24"/>
        </w:rPr>
      </w:pPr>
      <w:r w:rsidRPr="00141311">
        <w:rPr>
          <w:rFonts w:ascii="Times New Roman" w:eastAsia="Calibri" w:hAnsi="Times New Roman" w:cs="Times New Roman"/>
          <w:sz w:val="24"/>
          <w:szCs w:val="24"/>
        </w:rPr>
        <w:t xml:space="preserve">OCA explains that, in Direct Testimony, the Company described the Commission-approved gas exchange agreement that exists between itself and its affiliate Peoples </w:t>
      </w:r>
      <w:r w:rsidRPr="00141311">
        <w:rPr>
          <w:rFonts w:ascii="Times New Roman" w:eastAsia="Calibri" w:hAnsi="Times New Roman" w:cs="Times New Roman"/>
          <w:sz w:val="24"/>
          <w:szCs w:val="24"/>
        </w:rPr>
        <w:lastRenderedPageBreak/>
        <w:t>Natural Gas Company.  According to OCA, the agreement provides for the exchange of equivalent volumes of gas between the companies when the receipt of gas from the other party would provide for more efficient operation of the recipient’s system and would improve service reliability for both companies.</w:t>
      </w:r>
      <w:r w:rsidRPr="00141311">
        <w:rPr>
          <w:rFonts w:ascii="Times New Roman" w:eastAsia="Calibri" w:hAnsi="Times New Roman" w:cs="Times New Roman"/>
          <w:sz w:val="24"/>
          <w:szCs w:val="24"/>
          <w:vertAlign w:val="superscript"/>
        </w:rPr>
        <w:footnoteReference w:id="29"/>
      </w:r>
      <w:r w:rsidRPr="00141311">
        <w:rPr>
          <w:rFonts w:ascii="Times New Roman" w:eastAsia="Calibri" w:hAnsi="Times New Roman" w:cs="Times New Roman"/>
          <w:sz w:val="24"/>
          <w:szCs w:val="24"/>
        </w:rPr>
        <w:t xml:space="preserve">   As part of its PGC filing, the Company provides a report that shows the daily and monthly volumes delivered at each interconnection that is part of the agreement, the cost of gas delivered at each interconnection, and any impacts on gas costs as a result of any imbalance created by the exchange.  Its report in the instant case indicated an imbalance that was carried for a number of months in 2014.</w:t>
      </w:r>
      <w:r w:rsidRPr="00141311">
        <w:rPr>
          <w:rFonts w:ascii="Times New Roman" w:eastAsia="Calibri" w:hAnsi="Times New Roman" w:cs="Times New Roman"/>
          <w:sz w:val="24"/>
          <w:szCs w:val="24"/>
          <w:vertAlign w:val="superscript"/>
        </w:rPr>
        <w:t xml:space="preserve"> </w:t>
      </w:r>
      <w:r w:rsidRPr="00141311">
        <w:rPr>
          <w:rFonts w:ascii="Times New Roman" w:eastAsia="Calibri" w:hAnsi="Times New Roman" w:cs="Times New Roman"/>
          <w:sz w:val="24"/>
          <w:szCs w:val="24"/>
          <w:vertAlign w:val="superscript"/>
        </w:rPr>
        <w:footnoteReference w:id="30"/>
      </w:r>
      <w:r w:rsidR="00DA79C6">
        <w:rPr>
          <w:rFonts w:ascii="Times New Roman" w:eastAsia="Calibri" w:hAnsi="Times New Roman" w:cs="Times New Roman"/>
          <w:sz w:val="24"/>
          <w:szCs w:val="24"/>
          <w:vertAlign w:val="superscript"/>
        </w:rPr>
        <w:t xml:space="preserve">  </w:t>
      </w:r>
      <w:proofErr w:type="gramStart"/>
      <w:r w:rsidR="00DA79C6">
        <w:rPr>
          <w:rFonts w:ascii="Times New Roman" w:eastAsia="Calibri" w:hAnsi="Times New Roman" w:cs="Times New Roman"/>
          <w:sz w:val="24"/>
          <w:szCs w:val="24"/>
        </w:rPr>
        <w:t>(</w:t>
      </w:r>
      <w:r w:rsidRPr="00141311">
        <w:rPr>
          <w:rFonts w:ascii="Times New Roman" w:eastAsia="Calibri" w:hAnsi="Times New Roman" w:cs="Times New Roman"/>
          <w:sz w:val="24"/>
          <w:szCs w:val="24"/>
        </w:rPr>
        <w:t>OCA Statement in Support, p. 9.</w:t>
      </w:r>
      <w:r w:rsidR="00DA79C6">
        <w:rPr>
          <w:rFonts w:ascii="Times New Roman" w:eastAsia="Calibri" w:hAnsi="Times New Roman" w:cs="Times New Roman"/>
          <w:sz w:val="24"/>
          <w:szCs w:val="24"/>
        </w:rPr>
        <w:t>)</w:t>
      </w:r>
      <w:proofErr w:type="gramEnd"/>
    </w:p>
    <w:p w:rsidR="00141311" w:rsidRPr="00141311" w:rsidRDefault="00141311" w:rsidP="003A4BF7">
      <w:pPr>
        <w:spacing w:after="0" w:line="360" w:lineRule="auto"/>
        <w:rPr>
          <w:rFonts w:ascii="Times New Roman" w:eastAsia="Calibri" w:hAnsi="Times New Roman" w:cs="Times New Roman"/>
          <w:sz w:val="24"/>
          <w:szCs w:val="24"/>
        </w:rPr>
      </w:pPr>
      <w:r w:rsidRPr="00141311">
        <w:rPr>
          <w:rFonts w:ascii="Times New Roman" w:eastAsia="Calibri" w:hAnsi="Times New Roman" w:cs="Times New Roman"/>
          <w:sz w:val="24"/>
          <w:szCs w:val="24"/>
        </w:rPr>
        <w:t>OCA notes that, in her</w:t>
      </w:r>
      <w:r w:rsidRPr="00141311">
        <w:rPr>
          <w:rFonts w:ascii="Times New Roman" w:eastAsia="Calibri" w:hAnsi="Times New Roman" w:cs="Times New Roman"/>
          <w:sz w:val="24"/>
          <w:szCs w:val="24"/>
          <w:vertAlign w:val="superscript"/>
        </w:rPr>
        <w:t xml:space="preserve"> </w:t>
      </w:r>
      <w:r w:rsidRPr="00141311">
        <w:rPr>
          <w:rFonts w:ascii="Times New Roman" w:eastAsia="Calibri" w:hAnsi="Times New Roman" w:cs="Times New Roman"/>
          <w:sz w:val="24"/>
          <w:szCs w:val="24"/>
        </w:rPr>
        <w:t>Direct Testimony, OCA witness Whitten stated that this reported instance of imbalance suggested that the meters used to record exchanges under the agreement should be audited before the end of the heating season to minimize the potential for an imbalance due to meter-related error.</w:t>
      </w:r>
      <w:r w:rsidRPr="00141311">
        <w:rPr>
          <w:rFonts w:ascii="Times New Roman" w:eastAsia="Calibri" w:hAnsi="Times New Roman" w:cs="Times New Roman"/>
          <w:sz w:val="24"/>
          <w:szCs w:val="24"/>
          <w:vertAlign w:val="superscript"/>
        </w:rPr>
        <w:footnoteReference w:id="31"/>
      </w:r>
      <w:r w:rsidR="00DA79C6">
        <w:rPr>
          <w:rFonts w:ascii="Times New Roman" w:eastAsia="Calibri" w:hAnsi="Times New Roman" w:cs="Times New Roman"/>
          <w:sz w:val="24"/>
          <w:szCs w:val="24"/>
        </w:rPr>
        <w:t xml:space="preserve">  </w:t>
      </w:r>
      <w:proofErr w:type="gramStart"/>
      <w:r w:rsidR="00DA79C6">
        <w:rPr>
          <w:rFonts w:ascii="Times New Roman" w:eastAsia="Calibri" w:hAnsi="Times New Roman" w:cs="Times New Roman"/>
          <w:sz w:val="24"/>
          <w:szCs w:val="24"/>
        </w:rPr>
        <w:t>(</w:t>
      </w:r>
      <w:r w:rsidRPr="00141311">
        <w:rPr>
          <w:rFonts w:ascii="Times New Roman" w:eastAsia="Calibri" w:hAnsi="Times New Roman" w:cs="Times New Roman"/>
          <w:sz w:val="24"/>
          <w:szCs w:val="24"/>
        </w:rPr>
        <w:t>OCA Statement in Support, p. 10.</w:t>
      </w:r>
      <w:r w:rsidR="00DA79C6">
        <w:rPr>
          <w:rFonts w:ascii="Times New Roman" w:eastAsia="Calibri" w:hAnsi="Times New Roman" w:cs="Times New Roman"/>
          <w:sz w:val="24"/>
          <w:szCs w:val="24"/>
        </w:rPr>
        <w:t>)</w:t>
      </w:r>
      <w:proofErr w:type="gramEnd"/>
    </w:p>
    <w:p w:rsidR="00141311" w:rsidRPr="00141311" w:rsidRDefault="00141311" w:rsidP="003A4BF7">
      <w:pPr>
        <w:spacing w:after="0" w:line="360" w:lineRule="auto"/>
        <w:rPr>
          <w:rFonts w:ascii="Times New Roman" w:eastAsia="Calibri" w:hAnsi="Times New Roman" w:cs="Times New Roman"/>
          <w:sz w:val="24"/>
          <w:szCs w:val="24"/>
        </w:rPr>
      </w:pPr>
    </w:p>
    <w:p w:rsidR="00141311" w:rsidRPr="00141311" w:rsidRDefault="00141311" w:rsidP="003A4BF7">
      <w:pPr>
        <w:spacing w:after="0" w:line="360" w:lineRule="auto"/>
        <w:ind w:firstLine="1440"/>
        <w:rPr>
          <w:rFonts w:ascii="Times New Roman" w:eastAsia="Calibri" w:hAnsi="Times New Roman" w:cs="Times New Roman"/>
          <w:sz w:val="24"/>
          <w:szCs w:val="24"/>
        </w:rPr>
      </w:pPr>
      <w:r w:rsidRPr="00141311">
        <w:rPr>
          <w:rFonts w:ascii="Times New Roman" w:eastAsia="Calibri" w:hAnsi="Times New Roman" w:cs="Times New Roman"/>
          <w:sz w:val="24"/>
          <w:szCs w:val="24"/>
        </w:rPr>
        <w:t xml:space="preserve">According to OCA, the Settlement addresses the situation that gave rise to the 2014 imbalance by providing that </w:t>
      </w:r>
      <w:r w:rsidR="004C6190">
        <w:rPr>
          <w:rFonts w:ascii="Times New Roman" w:eastAsia="Calibri" w:hAnsi="Times New Roman" w:cs="Times New Roman"/>
          <w:sz w:val="24"/>
          <w:szCs w:val="24"/>
        </w:rPr>
        <w:t xml:space="preserve">Peoples </w:t>
      </w:r>
      <w:r w:rsidRPr="00141311">
        <w:rPr>
          <w:rFonts w:ascii="Times New Roman" w:eastAsia="Calibri" w:hAnsi="Times New Roman" w:cs="Times New Roman"/>
          <w:sz w:val="24"/>
          <w:szCs w:val="24"/>
        </w:rPr>
        <w:t>TWP has put into effect procedures to confirm that the volumes reflected on the exchange meters between P</w:t>
      </w:r>
      <w:r w:rsidR="004C6190">
        <w:rPr>
          <w:rFonts w:ascii="Times New Roman" w:eastAsia="Calibri" w:hAnsi="Times New Roman" w:cs="Times New Roman"/>
          <w:sz w:val="24"/>
          <w:szCs w:val="24"/>
        </w:rPr>
        <w:t xml:space="preserve">eoples </w:t>
      </w:r>
      <w:r w:rsidRPr="00141311">
        <w:rPr>
          <w:rFonts w:ascii="Times New Roman" w:eastAsia="Calibri" w:hAnsi="Times New Roman" w:cs="Times New Roman"/>
          <w:sz w:val="24"/>
          <w:szCs w:val="24"/>
        </w:rPr>
        <w:t>TWP and its affiliate, Peoples, have been accumulated properly and will continue to be going forward.  These procedures include an additional check with operations when a new meter is added to the exchange to ensure that the volumes from the correct meters are being compiled in the exchange tracking spreadsheet.  In addition, the Gas Supply department will monitor the volumes for reasonableness compared to expected flows to ensure that the Company is seeing the expected results.</w:t>
      </w:r>
      <w:r w:rsidR="004C6190">
        <w:rPr>
          <w:rFonts w:ascii="Times New Roman" w:eastAsia="Calibri" w:hAnsi="Times New Roman" w:cs="Times New Roman"/>
          <w:sz w:val="24"/>
          <w:szCs w:val="24"/>
        </w:rPr>
        <w:t xml:space="preserve"> </w:t>
      </w:r>
      <w:r w:rsidRPr="00141311">
        <w:rPr>
          <w:rFonts w:ascii="Times New Roman" w:eastAsia="Calibri" w:hAnsi="Times New Roman" w:cs="Times New Roman"/>
          <w:sz w:val="24"/>
          <w:szCs w:val="24"/>
        </w:rPr>
        <w:t xml:space="preserve"> </w:t>
      </w:r>
      <w:proofErr w:type="gramStart"/>
      <w:r w:rsidR="00F169D7">
        <w:rPr>
          <w:rFonts w:ascii="Times New Roman" w:eastAsia="Calibri" w:hAnsi="Times New Roman" w:cs="Times New Roman"/>
          <w:sz w:val="24"/>
          <w:szCs w:val="24"/>
        </w:rPr>
        <w:t>(</w:t>
      </w:r>
      <w:r w:rsidRPr="00141311">
        <w:rPr>
          <w:rFonts w:ascii="Times New Roman" w:eastAsia="Calibri" w:hAnsi="Times New Roman" w:cs="Times New Roman"/>
          <w:sz w:val="24"/>
          <w:szCs w:val="24"/>
        </w:rPr>
        <w:t>OCA Statement in Support, p. 10.</w:t>
      </w:r>
      <w:r w:rsidR="00F169D7">
        <w:rPr>
          <w:rFonts w:ascii="Times New Roman" w:eastAsia="Calibri" w:hAnsi="Times New Roman" w:cs="Times New Roman"/>
          <w:sz w:val="24"/>
          <w:szCs w:val="24"/>
        </w:rPr>
        <w:t>)</w:t>
      </w:r>
      <w:proofErr w:type="gramEnd"/>
    </w:p>
    <w:p w:rsidR="00141311" w:rsidRPr="00141311" w:rsidRDefault="00141311" w:rsidP="003A4BF7">
      <w:pPr>
        <w:spacing w:after="0" w:line="360" w:lineRule="auto"/>
        <w:ind w:firstLine="1440"/>
        <w:rPr>
          <w:rFonts w:ascii="Times New Roman" w:eastAsia="Calibri" w:hAnsi="Times New Roman" w:cs="Times New Roman"/>
          <w:sz w:val="24"/>
          <w:szCs w:val="24"/>
        </w:rPr>
      </w:pPr>
    </w:p>
    <w:p w:rsidR="00141311" w:rsidRPr="00141311" w:rsidRDefault="00141311" w:rsidP="003A4BF7">
      <w:pPr>
        <w:spacing w:after="0" w:line="360" w:lineRule="auto"/>
        <w:ind w:firstLine="1440"/>
        <w:rPr>
          <w:rFonts w:ascii="Times New Roman" w:eastAsia="Calibri" w:hAnsi="Times New Roman" w:cs="Times New Roman"/>
          <w:sz w:val="24"/>
          <w:szCs w:val="24"/>
        </w:rPr>
      </w:pPr>
      <w:r w:rsidRPr="00141311">
        <w:rPr>
          <w:rFonts w:ascii="Times New Roman" w:eastAsia="Calibri" w:hAnsi="Times New Roman" w:cs="Times New Roman"/>
          <w:sz w:val="24"/>
          <w:szCs w:val="24"/>
        </w:rPr>
        <w:t xml:space="preserve">The OCA has indicated that it is satisfied that the procedures described here should prevent a recurrence of the clerical error that caused the extended imbalance in the summer of 2014. </w:t>
      </w:r>
      <w:r w:rsidR="003229C9">
        <w:rPr>
          <w:rFonts w:ascii="Times New Roman" w:eastAsia="Calibri" w:hAnsi="Times New Roman" w:cs="Times New Roman"/>
          <w:sz w:val="24"/>
          <w:szCs w:val="24"/>
        </w:rPr>
        <w:t xml:space="preserve"> </w:t>
      </w:r>
      <w:proofErr w:type="gramStart"/>
      <w:r w:rsidR="00F169D7">
        <w:rPr>
          <w:rFonts w:ascii="Times New Roman" w:eastAsia="Calibri" w:hAnsi="Times New Roman" w:cs="Times New Roman"/>
          <w:sz w:val="24"/>
          <w:szCs w:val="24"/>
        </w:rPr>
        <w:t>(</w:t>
      </w:r>
      <w:r w:rsidRPr="00141311">
        <w:rPr>
          <w:rFonts w:ascii="Times New Roman" w:eastAsia="Calibri" w:hAnsi="Times New Roman" w:cs="Times New Roman"/>
          <w:sz w:val="24"/>
          <w:szCs w:val="24"/>
        </w:rPr>
        <w:t>OCA Statement in Support, p. 10.</w:t>
      </w:r>
      <w:r w:rsidR="00F169D7">
        <w:rPr>
          <w:rFonts w:ascii="Times New Roman" w:eastAsia="Calibri" w:hAnsi="Times New Roman" w:cs="Times New Roman"/>
          <w:sz w:val="24"/>
          <w:szCs w:val="24"/>
        </w:rPr>
        <w:t>)</w:t>
      </w:r>
      <w:proofErr w:type="gramEnd"/>
      <w:r w:rsidRPr="00141311">
        <w:rPr>
          <w:rFonts w:ascii="Times New Roman" w:eastAsia="Calibri" w:hAnsi="Times New Roman" w:cs="Times New Roman"/>
          <w:sz w:val="24"/>
          <w:szCs w:val="24"/>
          <w:vertAlign w:val="superscript"/>
        </w:rPr>
        <w:footnoteReference w:id="32"/>
      </w:r>
    </w:p>
    <w:p w:rsidR="00141311" w:rsidRPr="00141311" w:rsidRDefault="00141311" w:rsidP="003A4BF7">
      <w:pPr>
        <w:spacing w:after="0" w:line="360" w:lineRule="auto"/>
        <w:ind w:firstLine="360"/>
        <w:rPr>
          <w:rFonts w:ascii="Times New Roman" w:eastAsia="Times New Roman" w:hAnsi="Times New Roman" w:cs="Times New Roman"/>
          <w:b/>
          <w:bCs/>
          <w:iCs/>
          <w:caps/>
          <w:color w:val="000000"/>
          <w:sz w:val="24"/>
          <w:szCs w:val="28"/>
        </w:rPr>
      </w:pPr>
      <w:r w:rsidRPr="00141311">
        <w:rPr>
          <w:rFonts w:ascii="Times New Roman" w:eastAsia="Calibri" w:hAnsi="Times New Roman" w:cs="Times New Roman"/>
          <w:sz w:val="24"/>
          <w:szCs w:val="24"/>
        </w:rPr>
        <w:t xml:space="preserve"> </w:t>
      </w:r>
    </w:p>
    <w:p w:rsidR="00141311" w:rsidRPr="00141311" w:rsidRDefault="00BD3FC8" w:rsidP="00BD3FC8">
      <w:pPr>
        <w:keepNext/>
        <w:keepLines/>
        <w:tabs>
          <w:tab w:val="left" w:pos="1440"/>
        </w:tabs>
        <w:spacing w:after="0" w:line="360" w:lineRule="auto"/>
        <w:ind w:left="720" w:hanging="720"/>
        <w:outlineLvl w:val="1"/>
        <w:rPr>
          <w:rFonts w:ascii="Times New Roman" w:eastAsia="Times New Roman" w:hAnsi="Times New Roman" w:cs="Times New Roman"/>
          <w:bCs/>
          <w:iCs/>
          <w:caps/>
          <w:color w:val="000000"/>
          <w:sz w:val="24"/>
          <w:szCs w:val="28"/>
          <w:u w:val="single"/>
        </w:rPr>
      </w:pPr>
      <w:r w:rsidRPr="00BD3FC8">
        <w:rPr>
          <w:rFonts w:ascii="Times New Roman" w:eastAsia="Times New Roman" w:hAnsi="Times New Roman" w:cs="Times New Roman"/>
          <w:bCs/>
          <w:iCs/>
          <w:caps/>
          <w:color w:val="000000"/>
          <w:sz w:val="24"/>
          <w:szCs w:val="28"/>
        </w:rPr>
        <w:lastRenderedPageBreak/>
        <w:t>H.</w:t>
      </w:r>
      <w:r w:rsidRPr="00BD3FC8">
        <w:rPr>
          <w:rFonts w:ascii="Times New Roman" w:eastAsia="Times New Roman" w:hAnsi="Times New Roman" w:cs="Times New Roman"/>
          <w:bCs/>
          <w:iCs/>
          <w:caps/>
          <w:color w:val="000000"/>
          <w:sz w:val="24"/>
          <w:szCs w:val="28"/>
        </w:rPr>
        <w:tab/>
      </w:r>
      <w:r w:rsidRPr="00141311">
        <w:rPr>
          <w:rFonts w:ascii="Times New Roman" w:eastAsia="Times New Roman" w:hAnsi="Times New Roman" w:cs="Times New Roman"/>
          <w:bCs/>
          <w:iCs/>
          <w:color w:val="000000"/>
          <w:sz w:val="24"/>
          <w:szCs w:val="28"/>
          <w:u w:val="single"/>
        </w:rPr>
        <w:t>General Settlement Provisions</w:t>
      </w:r>
    </w:p>
    <w:p w:rsidR="00141311" w:rsidRPr="00141311" w:rsidRDefault="00141311" w:rsidP="003A4BF7">
      <w:pPr>
        <w:spacing w:after="0" w:line="360" w:lineRule="auto"/>
        <w:rPr>
          <w:rFonts w:ascii="Times New Roman" w:eastAsia="Times New Roman" w:hAnsi="Times New Roman" w:cs="Times New Roman"/>
          <w:sz w:val="20"/>
          <w:szCs w:val="20"/>
        </w:rPr>
      </w:pPr>
    </w:p>
    <w:p w:rsidR="00141311" w:rsidRPr="00141311" w:rsidRDefault="00BD3FC8" w:rsidP="00BD3FC8">
      <w:pPr>
        <w:spacing w:after="0" w:line="360" w:lineRule="auto"/>
        <w:ind w:left="1440" w:hanging="720"/>
        <w:rPr>
          <w:rFonts w:ascii="Times New Roman" w:eastAsia="Times New Roman" w:hAnsi="Times New Roman" w:cs="Times New Roman"/>
          <w:sz w:val="24"/>
          <w:szCs w:val="24"/>
          <w:u w:val="single"/>
        </w:rPr>
      </w:pPr>
      <w:r w:rsidRPr="00BD3FC8">
        <w:rPr>
          <w:rFonts w:ascii="Times New Roman" w:eastAsia="Times New Roman" w:hAnsi="Times New Roman" w:cs="Times New Roman"/>
          <w:sz w:val="24"/>
          <w:szCs w:val="24"/>
        </w:rPr>
        <w:t>1.</w:t>
      </w:r>
      <w:r w:rsidRPr="00BD3FC8">
        <w:rPr>
          <w:rFonts w:ascii="Times New Roman" w:eastAsia="Times New Roman" w:hAnsi="Times New Roman" w:cs="Times New Roman"/>
          <w:sz w:val="24"/>
          <w:szCs w:val="24"/>
        </w:rPr>
        <w:tab/>
      </w:r>
      <w:r w:rsidR="00141311" w:rsidRPr="00141311">
        <w:rPr>
          <w:rFonts w:ascii="Times New Roman" w:eastAsia="Times New Roman" w:hAnsi="Times New Roman" w:cs="Times New Roman"/>
          <w:sz w:val="24"/>
          <w:szCs w:val="24"/>
          <w:u w:val="single"/>
        </w:rPr>
        <w:t>Peoples TWP’s Position</w:t>
      </w:r>
    </w:p>
    <w:p w:rsidR="00141311" w:rsidRPr="00141311" w:rsidRDefault="00141311" w:rsidP="003A4BF7">
      <w:pPr>
        <w:spacing w:after="0" w:line="360" w:lineRule="auto"/>
        <w:ind w:left="1440"/>
        <w:rPr>
          <w:rFonts w:ascii="Times New Roman" w:eastAsia="Times New Roman" w:hAnsi="Times New Roman" w:cs="Times New Roman"/>
          <w:sz w:val="24"/>
          <w:szCs w:val="24"/>
          <w:u w:val="single"/>
        </w:rPr>
      </w:pPr>
    </w:p>
    <w:p w:rsidR="00141311" w:rsidRPr="00141311" w:rsidRDefault="00141311" w:rsidP="003A4BF7">
      <w:pPr>
        <w:spacing w:after="0" w:line="360" w:lineRule="auto"/>
        <w:ind w:firstLine="1440"/>
        <w:rPr>
          <w:rFonts w:ascii="Times New Roman" w:eastAsia="Times New Roman" w:hAnsi="Times New Roman" w:cs="Times New Roman"/>
          <w:sz w:val="24"/>
          <w:szCs w:val="24"/>
        </w:rPr>
      </w:pPr>
      <w:r w:rsidRPr="00141311">
        <w:rPr>
          <w:rFonts w:ascii="Times New Roman" w:eastAsia="Times New Roman" w:hAnsi="Times New Roman" w:cs="Times New Roman"/>
          <w:sz w:val="24"/>
          <w:szCs w:val="24"/>
        </w:rPr>
        <w:t xml:space="preserve">The Company explains that the Settlement contains three further provisions that were uncontested in the case.  First, Peoples TWP requested approval of a 1307(f) related accounting change for valuing storage inventory.  </w:t>
      </w:r>
      <w:r w:rsidR="001F6198">
        <w:rPr>
          <w:rFonts w:ascii="Times New Roman" w:eastAsia="Times New Roman" w:hAnsi="Times New Roman" w:cs="Times New Roman"/>
          <w:sz w:val="24"/>
          <w:szCs w:val="24"/>
        </w:rPr>
        <w:t>(</w:t>
      </w:r>
      <w:r w:rsidRPr="00141311">
        <w:rPr>
          <w:rFonts w:ascii="Times New Roman" w:eastAsia="Times New Roman" w:hAnsi="Times New Roman" w:cs="Times New Roman"/>
          <w:sz w:val="24"/>
          <w:szCs w:val="24"/>
        </w:rPr>
        <w:t>Peoples TWP Statement No. 1, p. 18.  Peoples TWP Statement in Support, p. 17.</w:t>
      </w:r>
      <w:r w:rsidR="001F6198">
        <w:rPr>
          <w:rFonts w:ascii="Times New Roman" w:eastAsia="Times New Roman" w:hAnsi="Times New Roman" w:cs="Times New Roman"/>
          <w:sz w:val="24"/>
          <w:szCs w:val="24"/>
        </w:rPr>
        <w:t>)</w:t>
      </w:r>
      <w:r w:rsidRPr="00141311">
        <w:rPr>
          <w:rFonts w:ascii="Times New Roman" w:eastAsia="Times New Roman" w:hAnsi="Times New Roman" w:cs="Times New Roman"/>
          <w:sz w:val="24"/>
          <w:szCs w:val="24"/>
        </w:rPr>
        <w:t xml:space="preserve">  The Company historically calculated a weighted average cost of gas (“WACOG”) for each of the storage pools that held Company-owned gas.  </w:t>
      </w:r>
      <w:r w:rsidR="001F6198">
        <w:rPr>
          <w:rFonts w:ascii="Times New Roman" w:eastAsia="Times New Roman" w:hAnsi="Times New Roman" w:cs="Times New Roman"/>
          <w:sz w:val="24"/>
          <w:szCs w:val="24"/>
        </w:rPr>
        <w:t>(</w:t>
      </w:r>
      <w:r w:rsidRPr="00141311">
        <w:rPr>
          <w:rFonts w:ascii="Times New Roman" w:eastAsia="Times New Roman" w:hAnsi="Times New Roman" w:cs="Times New Roman"/>
          <w:sz w:val="24"/>
          <w:szCs w:val="24"/>
        </w:rPr>
        <w:t>Peoples TWP Statement No. 1, p. 19.  Peoples TWP Statement in Support, p. 17.</w:t>
      </w:r>
      <w:r w:rsidR="001F6198">
        <w:rPr>
          <w:rFonts w:ascii="Times New Roman" w:eastAsia="Times New Roman" w:hAnsi="Times New Roman" w:cs="Times New Roman"/>
          <w:sz w:val="24"/>
          <w:szCs w:val="24"/>
        </w:rPr>
        <w:t>)</w:t>
      </w:r>
      <w:r w:rsidRPr="00141311">
        <w:rPr>
          <w:rFonts w:ascii="Times New Roman" w:eastAsia="Times New Roman" w:hAnsi="Times New Roman" w:cs="Times New Roman"/>
          <w:sz w:val="24"/>
          <w:szCs w:val="24"/>
        </w:rPr>
        <w:t xml:space="preserve">  Going forward, however, Peoples TWP indicates it proposed utilizing a single WACOG rate for all pools.  </w:t>
      </w:r>
      <w:r w:rsidR="001F6198">
        <w:rPr>
          <w:rFonts w:ascii="Times New Roman" w:eastAsia="Times New Roman" w:hAnsi="Times New Roman" w:cs="Times New Roman"/>
          <w:sz w:val="24"/>
          <w:szCs w:val="24"/>
        </w:rPr>
        <w:t>(</w:t>
      </w:r>
      <w:r w:rsidRPr="00141311">
        <w:rPr>
          <w:rFonts w:ascii="Times New Roman" w:eastAsia="Times New Roman" w:hAnsi="Times New Roman" w:cs="Times New Roman"/>
          <w:sz w:val="24"/>
          <w:szCs w:val="24"/>
        </w:rPr>
        <w:t>Peoples TWP Statement No. 1, p. 19.  Peoples TWP Statement in Support, p. 17.</w:t>
      </w:r>
      <w:r w:rsidR="001F6198">
        <w:rPr>
          <w:rFonts w:ascii="Times New Roman" w:eastAsia="Times New Roman" w:hAnsi="Times New Roman" w:cs="Times New Roman"/>
          <w:sz w:val="24"/>
          <w:szCs w:val="24"/>
        </w:rPr>
        <w:t>)</w:t>
      </w:r>
      <w:r w:rsidRPr="00141311">
        <w:rPr>
          <w:rFonts w:ascii="Times New Roman" w:eastAsia="Times New Roman" w:hAnsi="Times New Roman" w:cs="Times New Roman"/>
          <w:sz w:val="24"/>
          <w:szCs w:val="24"/>
        </w:rPr>
        <w:t xml:space="preserve">  The Company points out that no party challenged this proposal. </w:t>
      </w:r>
      <w:proofErr w:type="gramStart"/>
      <w:r w:rsidR="001F6198">
        <w:rPr>
          <w:rFonts w:ascii="Times New Roman" w:eastAsia="Times New Roman" w:hAnsi="Times New Roman" w:cs="Times New Roman"/>
          <w:sz w:val="24"/>
          <w:szCs w:val="24"/>
        </w:rPr>
        <w:t>(</w:t>
      </w:r>
      <w:r w:rsidRPr="00141311">
        <w:rPr>
          <w:rFonts w:ascii="Times New Roman" w:eastAsia="Times New Roman" w:hAnsi="Times New Roman" w:cs="Times New Roman"/>
          <w:sz w:val="24"/>
          <w:szCs w:val="24"/>
        </w:rPr>
        <w:t>Peoples TWP Statement in Support, p. 17.</w:t>
      </w:r>
      <w:r w:rsidR="001F6198">
        <w:rPr>
          <w:rFonts w:ascii="Times New Roman" w:eastAsia="Times New Roman" w:hAnsi="Times New Roman" w:cs="Times New Roman"/>
          <w:sz w:val="24"/>
          <w:szCs w:val="24"/>
        </w:rPr>
        <w:t>)</w:t>
      </w:r>
      <w:proofErr w:type="gramEnd"/>
      <w:r w:rsidRPr="00141311">
        <w:rPr>
          <w:rFonts w:ascii="Times New Roman" w:eastAsia="Times New Roman" w:hAnsi="Times New Roman" w:cs="Times New Roman"/>
          <w:sz w:val="24"/>
          <w:szCs w:val="24"/>
        </w:rPr>
        <w:t xml:space="preserve">   Under the settlement, effective April 1, 2015, Peoples TWP shall use a common system WACOG for all gas </w:t>
      </w:r>
      <w:proofErr w:type="gramStart"/>
      <w:r w:rsidRPr="00141311">
        <w:rPr>
          <w:rFonts w:ascii="Times New Roman" w:eastAsia="Times New Roman" w:hAnsi="Times New Roman" w:cs="Times New Roman"/>
          <w:sz w:val="24"/>
          <w:szCs w:val="24"/>
        </w:rPr>
        <w:t>inventory</w:t>
      </w:r>
      <w:proofErr w:type="gramEnd"/>
      <w:r w:rsidRPr="00141311">
        <w:rPr>
          <w:rFonts w:ascii="Times New Roman" w:eastAsia="Times New Roman" w:hAnsi="Times New Roman" w:cs="Times New Roman"/>
          <w:sz w:val="24"/>
          <w:szCs w:val="24"/>
        </w:rPr>
        <w:t xml:space="preserve"> in on-system and interstate storage pools.  </w:t>
      </w:r>
      <w:proofErr w:type="gramStart"/>
      <w:r w:rsidR="001F6198">
        <w:rPr>
          <w:rFonts w:ascii="Times New Roman" w:eastAsia="Times New Roman" w:hAnsi="Times New Roman" w:cs="Times New Roman"/>
          <w:sz w:val="24"/>
          <w:szCs w:val="24"/>
        </w:rPr>
        <w:t>(</w:t>
      </w:r>
      <w:r w:rsidRPr="00141311">
        <w:rPr>
          <w:rFonts w:ascii="Times New Roman" w:eastAsia="Times New Roman" w:hAnsi="Times New Roman" w:cs="Times New Roman"/>
          <w:sz w:val="24"/>
          <w:szCs w:val="24"/>
        </w:rPr>
        <w:t>Settlement ¶ 28.</w:t>
      </w:r>
      <w:proofErr w:type="gramEnd"/>
      <w:r w:rsidRPr="00141311">
        <w:rPr>
          <w:rFonts w:ascii="Times New Roman" w:eastAsia="Times New Roman" w:hAnsi="Times New Roman" w:cs="Times New Roman"/>
          <w:sz w:val="24"/>
          <w:szCs w:val="24"/>
        </w:rPr>
        <w:t xml:space="preserve">  Peoples TWP Statement in Support, p. 17.</w:t>
      </w:r>
      <w:r w:rsidR="001F6198">
        <w:rPr>
          <w:rFonts w:ascii="Times New Roman" w:eastAsia="Times New Roman" w:hAnsi="Times New Roman" w:cs="Times New Roman"/>
          <w:sz w:val="24"/>
          <w:szCs w:val="24"/>
        </w:rPr>
        <w:t>)</w:t>
      </w:r>
      <w:r w:rsidRPr="00141311">
        <w:rPr>
          <w:rFonts w:ascii="Times New Roman" w:eastAsia="Times New Roman" w:hAnsi="Times New Roman" w:cs="Times New Roman"/>
          <w:sz w:val="24"/>
          <w:szCs w:val="24"/>
        </w:rPr>
        <w:t xml:space="preserve">   Peoples TWP concludes that this accounting change is in the public interest because it is consistent with the storage valuation methodology used by other gas companies, will help avoid the need to value and account for separate WACOG rates for each pool, and will have no material 1307(f) cost impact.  </w:t>
      </w:r>
      <w:r w:rsidR="001F6198">
        <w:rPr>
          <w:rFonts w:ascii="Times New Roman" w:eastAsia="Times New Roman" w:hAnsi="Times New Roman" w:cs="Times New Roman"/>
          <w:sz w:val="24"/>
          <w:szCs w:val="24"/>
        </w:rPr>
        <w:t>(</w:t>
      </w:r>
      <w:r w:rsidRPr="00141311">
        <w:rPr>
          <w:rFonts w:ascii="Times New Roman" w:eastAsia="Times New Roman" w:hAnsi="Times New Roman" w:cs="Times New Roman"/>
          <w:sz w:val="24"/>
          <w:szCs w:val="24"/>
        </w:rPr>
        <w:t>Peoples TWP Statement No. 1, p. 19.  Peoples TWP Statement in Support, p. 17.</w:t>
      </w:r>
      <w:r w:rsidR="001F6198">
        <w:rPr>
          <w:rFonts w:ascii="Times New Roman" w:eastAsia="Times New Roman" w:hAnsi="Times New Roman" w:cs="Times New Roman"/>
          <w:sz w:val="24"/>
          <w:szCs w:val="24"/>
        </w:rPr>
        <w:t>)</w:t>
      </w:r>
    </w:p>
    <w:p w:rsidR="00141311" w:rsidRPr="00141311" w:rsidRDefault="00141311" w:rsidP="003A4BF7">
      <w:pPr>
        <w:spacing w:after="0" w:line="360" w:lineRule="auto"/>
        <w:ind w:firstLine="1440"/>
        <w:rPr>
          <w:rFonts w:ascii="Times New Roman" w:eastAsia="Times New Roman" w:hAnsi="Times New Roman" w:cs="Times New Roman"/>
          <w:sz w:val="24"/>
          <w:szCs w:val="24"/>
        </w:rPr>
      </w:pPr>
    </w:p>
    <w:p w:rsidR="00141311" w:rsidRPr="00141311" w:rsidRDefault="009534CD" w:rsidP="003A4BF7">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41311" w:rsidRPr="00141311">
        <w:rPr>
          <w:rFonts w:ascii="Times New Roman" w:eastAsia="Times New Roman" w:hAnsi="Times New Roman" w:cs="Times New Roman"/>
          <w:sz w:val="24"/>
          <w:szCs w:val="24"/>
        </w:rPr>
        <w:t xml:space="preserve">Second, OSBA observed that although shopping customers are able to avoid the FT charges by shopping, Peoples TWP does not include the FT charge as part of its Price-to-Compare (“PTC”).  </w:t>
      </w:r>
      <w:r w:rsidR="00BB7ABA">
        <w:rPr>
          <w:rFonts w:ascii="Times New Roman" w:eastAsia="Times New Roman" w:hAnsi="Times New Roman" w:cs="Times New Roman"/>
          <w:sz w:val="24"/>
          <w:szCs w:val="24"/>
        </w:rPr>
        <w:t>(</w:t>
      </w:r>
      <w:r w:rsidR="00141311" w:rsidRPr="00141311">
        <w:rPr>
          <w:rFonts w:ascii="Times New Roman" w:eastAsia="Times New Roman" w:hAnsi="Times New Roman" w:cs="Times New Roman"/>
          <w:sz w:val="24"/>
          <w:szCs w:val="24"/>
        </w:rPr>
        <w:t>OSBA Statement No. 1, p. 5.  Peoples TWP Statement in Support, p. 18.</w:t>
      </w:r>
      <w:r w:rsidR="00BB7ABA">
        <w:rPr>
          <w:rFonts w:ascii="Times New Roman" w:eastAsia="Times New Roman" w:hAnsi="Times New Roman" w:cs="Times New Roman"/>
          <w:sz w:val="24"/>
          <w:szCs w:val="24"/>
        </w:rPr>
        <w:t>)</w:t>
      </w:r>
      <w:r w:rsidR="00141311" w:rsidRPr="00141311">
        <w:rPr>
          <w:rFonts w:ascii="Times New Roman" w:eastAsia="Times New Roman" w:hAnsi="Times New Roman" w:cs="Times New Roman"/>
          <w:sz w:val="24"/>
          <w:szCs w:val="24"/>
        </w:rPr>
        <w:t xml:space="preserve">  As a result, the Company notes that OSBA averred that the Company’s PTC understates the costs that a customer could avoid by shopping.  </w:t>
      </w:r>
      <w:r w:rsidR="00BB7ABA">
        <w:rPr>
          <w:rFonts w:ascii="Times New Roman" w:eastAsia="Times New Roman" w:hAnsi="Times New Roman" w:cs="Times New Roman"/>
          <w:sz w:val="24"/>
          <w:szCs w:val="24"/>
        </w:rPr>
        <w:t>(</w:t>
      </w:r>
      <w:r w:rsidR="00141311" w:rsidRPr="00141311">
        <w:rPr>
          <w:rFonts w:ascii="Times New Roman" w:eastAsia="Times New Roman" w:hAnsi="Times New Roman" w:cs="Times New Roman"/>
          <w:sz w:val="24"/>
          <w:szCs w:val="24"/>
        </w:rPr>
        <w:t>OSBA Statement No. 1, p. 5.  Peoples TWP Statement in Support, p. 18.</w:t>
      </w:r>
      <w:r w:rsidR="00BB7ABA">
        <w:rPr>
          <w:rFonts w:ascii="Times New Roman" w:eastAsia="Times New Roman" w:hAnsi="Times New Roman" w:cs="Times New Roman"/>
          <w:sz w:val="24"/>
          <w:szCs w:val="24"/>
        </w:rPr>
        <w:t>)</w:t>
      </w:r>
      <w:r w:rsidR="00141311" w:rsidRPr="00141311">
        <w:rPr>
          <w:rFonts w:ascii="Times New Roman" w:eastAsia="Times New Roman" w:hAnsi="Times New Roman" w:cs="Times New Roman"/>
          <w:sz w:val="24"/>
          <w:szCs w:val="24"/>
        </w:rPr>
        <w:t xml:space="preserve">  Peoples TWP agreed with OSBA’s concern as it related to NP-1, or non-essential human needs customers.  </w:t>
      </w:r>
      <w:r w:rsidR="00BB7ABA">
        <w:rPr>
          <w:rFonts w:ascii="Times New Roman" w:eastAsia="Times New Roman" w:hAnsi="Times New Roman" w:cs="Times New Roman"/>
          <w:sz w:val="24"/>
          <w:szCs w:val="24"/>
        </w:rPr>
        <w:t>(</w:t>
      </w:r>
      <w:r w:rsidR="00141311" w:rsidRPr="00141311">
        <w:rPr>
          <w:rFonts w:ascii="Times New Roman" w:eastAsia="Times New Roman" w:hAnsi="Times New Roman" w:cs="Times New Roman"/>
          <w:sz w:val="24"/>
          <w:szCs w:val="24"/>
        </w:rPr>
        <w:t>Peoples TWP Statement No. 1-R, p. 7.  Peoples TWP Statement in Support, p. 18.</w:t>
      </w:r>
      <w:r w:rsidR="00BB7ABA">
        <w:rPr>
          <w:rFonts w:ascii="Times New Roman" w:eastAsia="Times New Roman" w:hAnsi="Times New Roman" w:cs="Times New Roman"/>
          <w:sz w:val="24"/>
          <w:szCs w:val="24"/>
        </w:rPr>
        <w:t>)</w:t>
      </w:r>
      <w:r w:rsidR="00141311" w:rsidRPr="00141311">
        <w:rPr>
          <w:rFonts w:ascii="Times New Roman" w:eastAsia="Times New Roman" w:hAnsi="Times New Roman" w:cs="Times New Roman"/>
          <w:sz w:val="24"/>
          <w:szCs w:val="24"/>
        </w:rPr>
        <w:t xml:space="preserve">  The Settlement prescribes that the PTC for NP-1 customers shall reflect the rate per Mcf of FT and FS capacity that would be avoided by electing transportation service.  </w:t>
      </w:r>
      <w:proofErr w:type="gramStart"/>
      <w:r w:rsidR="00BB7ABA">
        <w:rPr>
          <w:rFonts w:ascii="Times New Roman" w:eastAsia="Times New Roman" w:hAnsi="Times New Roman" w:cs="Times New Roman"/>
          <w:sz w:val="24"/>
          <w:szCs w:val="24"/>
        </w:rPr>
        <w:t>(</w:t>
      </w:r>
      <w:r w:rsidR="00141311" w:rsidRPr="00141311">
        <w:rPr>
          <w:rFonts w:ascii="Times New Roman" w:eastAsia="Times New Roman" w:hAnsi="Times New Roman" w:cs="Times New Roman"/>
          <w:sz w:val="24"/>
          <w:szCs w:val="24"/>
        </w:rPr>
        <w:t>Settlement ¶ 29.</w:t>
      </w:r>
      <w:proofErr w:type="gramEnd"/>
      <w:r w:rsidR="00141311" w:rsidRPr="00141311">
        <w:rPr>
          <w:rFonts w:ascii="Times New Roman" w:eastAsia="Times New Roman" w:hAnsi="Times New Roman" w:cs="Times New Roman"/>
          <w:sz w:val="24"/>
          <w:szCs w:val="24"/>
        </w:rPr>
        <w:t xml:space="preserve">  Peoples TWP Statement in Support, p. 18.</w:t>
      </w:r>
      <w:r w:rsidR="00BB7ABA">
        <w:rPr>
          <w:rFonts w:ascii="Times New Roman" w:eastAsia="Times New Roman" w:hAnsi="Times New Roman" w:cs="Times New Roman"/>
          <w:sz w:val="24"/>
          <w:szCs w:val="24"/>
        </w:rPr>
        <w:t>)</w:t>
      </w:r>
      <w:r w:rsidR="00141311" w:rsidRPr="00141311">
        <w:rPr>
          <w:rFonts w:ascii="Times New Roman" w:eastAsia="Times New Roman" w:hAnsi="Times New Roman" w:cs="Times New Roman"/>
          <w:sz w:val="24"/>
          <w:szCs w:val="24"/>
        </w:rPr>
        <w:t xml:space="preserve">  The Company concludes </w:t>
      </w:r>
      <w:r w:rsidR="00141311" w:rsidRPr="00141311">
        <w:rPr>
          <w:rFonts w:ascii="Times New Roman" w:eastAsia="Times New Roman" w:hAnsi="Times New Roman" w:cs="Times New Roman"/>
          <w:sz w:val="24"/>
          <w:szCs w:val="24"/>
        </w:rPr>
        <w:lastRenderedPageBreak/>
        <w:t>that this provision is in the public interest because it will help alleviate concerns that the Company’s PTC understates the costs that an NP-1 customer could avoid by shopping.</w:t>
      </w:r>
    </w:p>
    <w:p w:rsidR="00141311" w:rsidRPr="00141311" w:rsidRDefault="00141311" w:rsidP="003A4BF7">
      <w:pPr>
        <w:spacing w:after="0" w:line="360" w:lineRule="auto"/>
        <w:rPr>
          <w:rFonts w:ascii="Times New Roman" w:eastAsia="Times New Roman" w:hAnsi="Times New Roman" w:cs="Times New Roman"/>
          <w:sz w:val="24"/>
          <w:szCs w:val="24"/>
        </w:rPr>
      </w:pPr>
      <w:r w:rsidRPr="00141311">
        <w:rPr>
          <w:rFonts w:ascii="Times New Roman" w:eastAsia="Times New Roman" w:hAnsi="Times New Roman" w:cs="Times New Roman"/>
          <w:sz w:val="24"/>
          <w:szCs w:val="24"/>
        </w:rPr>
        <w:t>Finally, the Settlement details that in accordance with the provisions of 52 Pa. Code §</w:t>
      </w:r>
      <w:r w:rsidR="00E5138D">
        <w:rPr>
          <w:rFonts w:ascii="Times New Roman" w:eastAsia="Times New Roman" w:hAnsi="Times New Roman" w:cs="Times New Roman"/>
          <w:sz w:val="24"/>
          <w:szCs w:val="24"/>
        </w:rPr>
        <w:t> </w:t>
      </w:r>
      <w:r w:rsidRPr="00141311">
        <w:rPr>
          <w:rFonts w:ascii="Times New Roman" w:eastAsia="Times New Roman" w:hAnsi="Times New Roman" w:cs="Times New Roman"/>
          <w:sz w:val="24"/>
          <w:szCs w:val="24"/>
        </w:rPr>
        <w:t>53.64(i</w:t>
      </w:r>
      <w:proofErr w:type="gramStart"/>
      <w:r w:rsidRPr="00141311">
        <w:rPr>
          <w:rFonts w:ascii="Times New Roman" w:eastAsia="Times New Roman" w:hAnsi="Times New Roman" w:cs="Times New Roman"/>
          <w:sz w:val="24"/>
          <w:szCs w:val="24"/>
        </w:rPr>
        <w:t>)(</w:t>
      </w:r>
      <w:proofErr w:type="gramEnd"/>
      <w:r w:rsidRPr="00141311">
        <w:rPr>
          <w:rFonts w:ascii="Times New Roman" w:eastAsia="Times New Roman" w:hAnsi="Times New Roman" w:cs="Times New Roman"/>
          <w:sz w:val="24"/>
          <w:szCs w:val="24"/>
        </w:rPr>
        <w:t xml:space="preserve">5), the Company’s compliance filing in this proceeding will reflect updated actual and projected over/undercollections through July 31, 2015.  </w:t>
      </w:r>
      <w:proofErr w:type="gramStart"/>
      <w:r w:rsidR="00B2201B">
        <w:rPr>
          <w:rFonts w:ascii="Times New Roman" w:eastAsia="Times New Roman" w:hAnsi="Times New Roman" w:cs="Times New Roman"/>
          <w:sz w:val="24"/>
          <w:szCs w:val="24"/>
        </w:rPr>
        <w:t>(</w:t>
      </w:r>
      <w:r w:rsidRPr="00141311">
        <w:rPr>
          <w:rFonts w:ascii="Times New Roman" w:eastAsia="Times New Roman" w:hAnsi="Times New Roman" w:cs="Times New Roman"/>
          <w:sz w:val="24"/>
          <w:szCs w:val="24"/>
        </w:rPr>
        <w:t>Settlement ¶ 30.</w:t>
      </w:r>
      <w:proofErr w:type="gramEnd"/>
      <w:r w:rsidRPr="00141311">
        <w:rPr>
          <w:rFonts w:ascii="Times New Roman" w:eastAsia="Times New Roman" w:hAnsi="Times New Roman" w:cs="Times New Roman"/>
          <w:sz w:val="24"/>
          <w:szCs w:val="24"/>
        </w:rPr>
        <w:t xml:space="preserve">  Peoples TWP Statement in Support, p. 18.</w:t>
      </w:r>
      <w:r w:rsidR="00B2201B">
        <w:rPr>
          <w:rFonts w:ascii="Times New Roman" w:eastAsia="Times New Roman" w:hAnsi="Times New Roman" w:cs="Times New Roman"/>
          <w:sz w:val="24"/>
          <w:szCs w:val="24"/>
        </w:rPr>
        <w:t>)</w:t>
      </w:r>
    </w:p>
    <w:p w:rsidR="00141311" w:rsidRPr="00141311" w:rsidRDefault="00141311" w:rsidP="003A4BF7">
      <w:pPr>
        <w:spacing w:after="0" w:line="360" w:lineRule="auto"/>
        <w:rPr>
          <w:rFonts w:ascii="Times New Roman" w:eastAsia="Times New Roman" w:hAnsi="Times New Roman" w:cs="Times New Roman"/>
          <w:sz w:val="24"/>
          <w:szCs w:val="24"/>
        </w:rPr>
      </w:pPr>
    </w:p>
    <w:p w:rsidR="00141311" w:rsidRPr="00141311" w:rsidRDefault="00484538" w:rsidP="00484538">
      <w:pPr>
        <w:spacing w:after="0" w:line="360" w:lineRule="auto"/>
        <w:ind w:left="1440" w:hanging="720"/>
        <w:rPr>
          <w:rFonts w:ascii="Times New Roman" w:eastAsia="Times New Roman" w:hAnsi="Times New Roman" w:cs="Times New Roman"/>
          <w:sz w:val="24"/>
          <w:szCs w:val="24"/>
          <w:u w:val="single"/>
        </w:rPr>
      </w:pPr>
      <w:r w:rsidRPr="00484538">
        <w:rPr>
          <w:rFonts w:ascii="Times New Roman" w:eastAsia="Times New Roman" w:hAnsi="Times New Roman" w:cs="Times New Roman"/>
          <w:sz w:val="24"/>
          <w:szCs w:val="24"/>
        </w:rPr>
        <w:t>2.</w:t>
      </w:r>
      <w:r w:rsidRPr="00484538">
        <w:rPr>
          <w:rFonts w:ascii="Times New Roman" w:eastAsia="Times New Roman" w:hAnsi="Times New Roman" w:cs="Times New Roman"/>
          <w:sz w:val="24"/>
          <w:szCs w:val="24"/>
        </w:rPr>
        <w:tab/>
      </w:r>
      <w:r w:rsidR="00141311" w:rsidRPr="00141311">
        <w:rPr>
          <w:rFonts w:ascii="Times New Roman" w:eastAsia="Times New Roman" w:hAnsi="Times New Roman" w:cs="Times New Roman"/>
          <w:sz w:val="24"/>
          <w:szCs w:val="24"/>
          <w:u w:val="single"/>
        </w:rPr>
        <w:t>OCA’s Position</w:t>
      </w:r>
    </w:p>
    <w:p w:rsidR="00141311" w:rsidRPr="00141311" w:rsidRDefault="00141311" w:rsidP="003A4BF7">
      <w:pPr>
        <w:spacing w:after="0" w:line="360" w:lineRule="auto"/>
        <w:ind w:left="1440"/>
        <w:rPr>
          <w:rFonts w:ascii="Times New Roman" w:eastAsia="Times New Roman" w:hAnsi="Times New Roman" w:cs="Times New Roman"/>
          <w:sz w:val="24"/>
          <w:szCs w:val="24"/>
          <w:u w:val="single"/>
        </w:rPr>
      </w:pPr>
    </w:p>
    <w:p w:rsidR="00141311" w:rsidRPr="00141311" w:rsidRDefault="00141311" w:rsidP="003A4BF7">
      <w:pPr>
        <w:spacing w:after="0" w:line="360" w:lineRule="auto"/>
        <w:ind w:firstLine="1440"/>
        <w:rPr>
          <w:rFonts w:ascii="Times New Roman" w:eastAsia="Calibri" w:hAnsi="Times New Roman" w:cs="Times New Roman"/>
          <w:sz w:val="24"/>
          <w:szCs w:val="24"/>
        </w:rPr>
      </w:pPr>
      <w:r w:rsidRPr="00141311">
        <w:rPr>
          <w:rFonts w:ascii="Times New Roman" w:eastAsia="Calibri" w:hAnsi="Times New Roman" w:cs="Times New Roman"/>
          <w:sz w:val="24"/>
          <w:szCs w:val="24"/>
        </w:rPr>
        <w:t>OCA explains that paragraph 28 of the Settlement provides that the Company will use a common system weighted average cost of gas or all gas inventory in on-system and interstate storage pools, beginning April 1, 2015.  OCA avers that paragraph 29 provides that the Price to Compare (PTC) for non-Priority 1 customers will reflect the rate per Mcf of FT and FS capacity that would be avoided by electing transportation service.</w:t>
      </w:r>
      <w:r w:rsidR="00CB598E">
        <w:rPr>
          <w:rFonts w:ascii="Times New Roman" w:eastAsia="Calibri" w:hAnsi="Times New Roman" w:cs="Times New Roman"/>
          <w:sz w:val="24"/>
          <w:szCs w:val="24"/>
        </w:rPr>
        <w:t xml:space="preserve"> </w:t>
      </w:r>
      <w:r w:rsidRPr="00141311">
        <w:rPr>
          <w:rFonts w:ascii="Times New Roman" w:eastAsia="Calibri" w:hAnsi="Times New Roman" w:cs="Times New Roman"/>
          <w:sz w:val="24"/>
          <w:szCs w:val="24"/>
        </w:rPr>
        <w:t xml:space="preserve"> Finally, OCA notes that paragraph 30 states that in accordance with 52 Pa.Code § 53.64(i)(5), the Company’s compliance filing in this proceeding will reflect updated actual and projected over/undercollections through July 31, 2015.  </w:t>
      </w:r>
      <w:proofErr w:type="gramStart"/>
      <w:r w:rsidR="00B2201B">
        <w:rPr>
          <w:rFonts w:ascii="Times New Roman" w:eastAsia="Calibri" w:hAnsi="Times New Roman" w:cs="Times New Roman"/>
          <w:sz w:val="24"/>
          <w:szCs w:val="24"/>
        </w:rPr>
        <w:t>(</w:t>
      </w:r>
      <w:r w:rsidRPr="00141311">
        <w:rPr>
          <w:rFonts w:ascii="Times New Roman" w:eastAsia="Calibri" w:hAnsi="Times New Roman" w:cs="Times New Roman"/>
          <w:sz w:val="24"/>
          <w:szCs w:val="24"/>
        </w:rPr>
        <w:t>OCA Statement in Support, p. 11.</w:t>
      </w:r>
      <w:r w:rsidR="00B2201B">
        <w:rPr>
          <w:rFonts w:ascii="Times New Roman" w:eastAsia="Calibri" w:hAnsi="Times New Roman" w:cs="Times New Roman"/>
          <w:sz w:val="24"/>
          <w:szCs w:val="24"/>
        </w:rPr>
        <w:t>)</w:t>
      </w:r>
      <w:proofErr w:type="gramEnd"/>
      <w:r w:rsidRPr="00141311">
        <w:rPr>
          <w:rFonts w:ascii="Times New Roman" w:eastAsia="Calibri" w:hAnsi="Times New Roman" w:cs="Times New Roman"/>
          <w:sz w:val="24"/>
          <w:szCs w:val="24"/>
          <w:vertAlign w:val="superscript"/>
        </w:rPr>
        <w:footnoteReference w:id="33"/>
      </w:r>
    </w:p>
    <w:p w:rsidR="00141311" w:rsidRPr="00141311" w:rsidRDefault="00141311" w:rsidP="003A4BF7">
      <w:pPr>
        <w:spacing w:after="0" w:line="360" w:lineRule="auto"/>
        <w:rPr>
          <w:rFonts w:ascii="Times New Roman" w:eastAsia="Calibri" w:hAnsi="Times New Roman" w:cs="Times New Roman"/>
          <w:sz w:val="24"/>
          <w:szCs w:val="24"/>
        </w:rPr>
      </w:pPr>
    </w:p>
    <w:p w:rsidR="00141311" w:rsidRPr="00141311" w:rsidRDefault="00141311" w:rsidP="003A4BF7">
      <w:pPr>
        <w:spacing w:after="0" w:line="360" w:lineRule="auto"/>
        <w:ind w:firstLine="1440"/>
        <w:rPr>
          <w:rFonts w:ascii="Times New Roman" w:eastAsia="Calibri" w:hAnsi="Times New Roman" w:cs="Times New Roman"/>
          <w:sz w:val="24"/>
          <w:szCs w:val="24"/>
        </w:rPr>
      </w:pPr>
      <w:r w:rsidRPr="00141311">
        <w:rPr>
          <w:rFonts w:ascii="Times New Roman" w:eastAsia="Calibri" w:hAnsi="Times New Roman" w:cs="Times New Roman"/>
          <w:sz w:val="24"/>
          <w:szCs w:val="24"/>
        </w:rPr>
        <w:t xml:space="preserve">The OCA provided no testimony and takes no position on these matters, but does not object to their substance or oppose their inclusion in the Settlement.  </w:t>
      </w:r>
      <w:proofErr w:type="gramStart"/>
      <w:r w:rsidR="00B2201B">
        <w:rPr>
          <w:rFonts w:ascii="Times New Roman" w:eastAsia="Calibri" w:hAnsi="Times New Roman" w:cs="Times New Roman"/>
          <w:sz w:val="24"/>
          <w:szCs w:val="24"/>
        </w:rPr>
        <w:t>(</w:t>
      </w:r>
      <w:r w:rsidR="007F3F92">
        <w:rPr>
          <w:rFonts w:ascii="Times New Roman" w:eastAsia="Calibri" w:hAnsi="Times New Roman" w:cs="Times New Roman"/>
          <w:sz w:val="24"/>
          <w:szCs w:val="24"/>
        </w:rPr>
        <w:t xml:space="preserve">OCA Statement in Support, </w:t>
      </w:r>
      <w:r w:rsidR="00B07C5F">
        <w:rPr>
          <w:rFonts w:ascii="Times New Roman" w:eastAsia="Calibri" w:hAnsi="Times New Roman" w:cs="Times New Roman"/>
          <w:sz w:val="24"/>
          <w:szCs w:val="24"/>
        </w:rPr>
        <w:t>p</w:t>
      </w:r>
      <w:r w:rsidRPr="00141311">
        <w:rPr>
          <w:rFonts w:ascii="Times New Roman" w:eastAsia="Calibri" w:hAnsi="Times New Roman" w:cs="Times New Roman"/>
          <w:sz w:val="24"/>
          <w:szCs w:val="24"/>
        </w:rPr>
        <w:t>. 11.</w:t>
      </w:r>
      <w:r w:rsidR="00B2201B">
        <w:rPr>
          <w:rFonts w:ascii="Times New Roman" w:eastAsia="Calibri" w:hAnsi="Times New Roman" w:cs="Times New Roman"/>
          <w:sz w:val="24"/>
          <w:szCs w:val="24"/>
        </w:rPr>
        <w:t>)</w:t>
      </w:r>
      <w:proofErr w:type="gramEnd"/>
    </w:p>
    <w:p w:rsidR="00141311" w:rsidRPr="00141311" w:rsidRDefault="00141311" w:rsidP="003A4BF7">
      <w:pPr>
        <w:spacing w:after="0" w:line="360" w:lineRule="auto"/>
        <w:ind w:left="1440"/>
        <w:contextualSpacing/>
        <w:rPr>
          <w:rFonts w:ascii="Times New Roman" w:eastAsia="Calibri" w:hAnsi="Times New Roman" w:cs="Times New Roman"/>
          <w:sz w:val="20"/>
          <w:szCs w:val="20"/>
        </w:rPr>
      </w:pPr>
    </w:p>
    <w:p w:rsidR="00141311" w:rsidRPr="00B07C5F" w:rsidRDefault="00B07C5F" w:rsidP="00B07C5F">
      <w:pPr>
        <w:keepNext/>
        <w:keepLines/>
        <w:tabs>
          <w:tab w:val="left" w:pos="1440"/>
        </w:tabs>
        <w:spacing w:after="0" w:line="360" w:lineRule="auto"/>
        <w:ind w:left="720" w:hanging="720"/>
        <w:outlineLvl w:val="1"/>
        <w:rPr>
          <w:rFonts w:ascii="Times New Roman" w:eastAsia="Times New Roman" w:hAnsi="Times New Roman" w:cs="Times New Roman"/>
          <w:bCs/>
          <w:iCs/>
          <w:caps/>
          <w:color w:val="000000"/>
          <w:sz w:val="24"/>
          <w:szCs w:val="28"/>
        </w:rPr>
      </w:pPr>
      <w:r w:rsidRPr="00B07C5F">
        <w:rPr>
          <w:rFonts w:ascii="Times New Roman" w:eastAsia="Times New Roman" w:hAnsi="Times New Roman" w:cs="Times New Roman"/>
          <w:bCs/>
          <w:iCs/>
          <w:color w:val="000000"/>
          <w:sz w:val="24"/>
          <w:szCs w:val="28"/>
        </w:rPr>
        <w:t>I.</w:t>
      </w:r>
      <w:r w:rsidRPr="00B07C5F">
        <w:rPr>
          <w:rFonts w:ascii="Times New Roman" w:eastAsia="Times New Roman" w:hAnsi="Times New Roman" w:cs="Times New Roman"/>
          <w:bCs/>
          <w:iCs/>
          <w:color w:val="000000"/>
          <w:sz w:val="24"/>
          <w:szCs w:val="28"/>
        </w:rPr>
        <w:tab/>
      </w:r>
      <w:r w:rsidRPr="00B07C5F">
        <w:rPr>
          <w:rFonts w:ascii="Times New Roman" w:eastAsia="Times New Roman" w:hAnsi="Times New Roman" w:cs="Times New Roman"/>
          <w:bCs/>
          <w:iCs/>
          <w:color w:val="000000"/>
          <w:sz w:val="24"/>
          <w:szCs w:val="28"/>
          <w:u w:val="single"/>
        </w:rPr>
        <w:t>Section 1318 Requirements</w:t>
      </w:r>
      <w:r w:rsidRPr="00B07C5F">
        <w:rPr>
          <w:rFonts w:ascii="Times New Roman" w:eastAsia="Times New Roman" w:hAnsi="Times New Roman" w:cs="Times New Roman"/>
          <w:bCs/>
          <w:iCs/>
          <w:color w:val="000000"/>
          <w:sz w:val="24"/>
          <w:szCs w:val="28"/>
        </w:rPr>
        <w:t xml:space="preserve"> </w:t>
      </w:r>
    </w:p>
    <w:p w:rsidR="00141311" w:rsidRPr="00141311" w:rsidRDefault="00141311" w:rsidP="00B07C5F">
      <w:pPr>
        <w:spacing w:after="120" w:line="360" w:lineRule="auto"/>
        <w:rPr>
          <w:rFonts w:ascii="Times New Roman" w:eastAsia="Times New Roman" w:hAnsi="Times New Roman" w:cs="Times New Roman"/>
          <w:sz w:val="20"/>
          <w:szCs w:val="20"/>
        </w:rPr>
      </w:pPr>
    </w:p>
    <w:p w:rsidR="00141311" w:rsidRPr="00141311" w:rsidRDefault="00141311" w:rsidP="003A4BF7">
      <w:pPr>
        <w:spacing w:after="0" w:line="360" w:lineRule="auto"/>
        <w:ind w:firstLine="1440"/>
        <w:rPr>
          <w:rFonts w:ascii="Times New Roman" w:eastAsia="Times New Roman" w:hAnsi="Times New Roman" w:cs="Times New Roman"/>
          <w:color w:val="000000"/>
          <w:sz w:val="24"/>
          <w:szCs w:val="24"/>
        </w:rPr>
      </w:pPr>
      <w:r w:rsidRPr="00141311">
        <w:rPr>
          <w:rFonts w:ascii="Times New Roman" w:eastAsia="Times New Roman" w:hAnsi="Times New Roman" w:cs="Times New Roman"/>
          <w:color w:val="000000"/>
          <w:sz w:val="24"/>
          <w:szCs w:val="24"/>
        </w:rPr>
        <w:t xml:space="preserve">According to Peoples TWP, the Parties have represented that the record in this proceeding is sufficient to form the basis for the findings that the Commission is required to make pursuant to Section 1318 of the Public Utility Code.  </w:t>
      </w:r>
      <w:r w:rsidR="00B2201B">
        <w:rPr>
          <w:rFonts w:ascii="Times New Roman" w:eastAsia="Times New Roman" w:hAnsi="Times New Roman" w:cs="Times New Roman"/>
          <w:color w:val="000000"/>
          <w:sz w:val="24"/>
          <w:szCs w:val="24"/>
        </w:rPr>
        <w:t>(</w:t>
      </w:r>
      <w:r w:rsidRPr="00141311">
        <w:rPr>
          <w:rFonts w:ascii="Times New Roman" w:eastAsia="Times New Roman" w:hAnsi="Times New Roman" w:cs="Times New Roman"/>
          <w:color w:val="000000"/>
          <w:sz w:val="24"/>
          <w:szCs w:val="24"/>
        </w:rPr>
        <w:t xml:space="preserve">Settlement ¶¶ 53-55.  </w:t>
      </w:r>
      <w:r w:rsidRPr="00141311">
        <w:rPr>
          <w:rFonts w:ascii="Times New Roman" w:eastAsia="Times New Roman" w:hAnsi="Times New Roman" w:cs="Times New Roman"/>
          <w:sz w:val="24"/>
          <w:szCs w:val="24"/>
        </w:rPr>
        <w:t>Peoples TWP Statement in Support, p. 18.</w:t>
      </w:r>
      <w:r w:rsidR="00B2201B">
        <w:rPr>
          <w:rFonts w:ascii="Times New Roman" w:eastAsia="Times New Roman" w:hAnsi="Times New Roman" w:cs="Times New Roman"/>
          <w:sz w:val="24"/>
          <w:szCs w:val="24"/>
        </w:rPr>
        <w:t>)</w:t>
      </w:r>
      <w:r w:rsidRPr="00141311">
        <w:rPr>
          <w:rFonts w:ascii="Times New Roman" w:eastAsia="Times New Roman" w:hAnsi="Times New Roman" w:cs="Times New Roman"/>
          <w:color w:val="000000"/>
          <w:sz w:val="24"/>
          <w:szCs w:val="24"/>
        </w:rPr>
        <w:t xml:space="preserve">  Section 1318 contains seven specific sub-findings that the Commission must make in support of a conclusion that Peoples TWP is pursuing a least cost fuel </w:t>
      </w:r>
      <w:r w:rsidRPr="00141311">
        <w:rPr>
          <w:rFonts w:ascii="Times New Roman" w:eastAsia="Times New Roman" w:hAnsi="Times New Roman" w:cs="Times New Roman"/>
          <w:color w:val="000000"/>
          <w:sz w:val="24"/>
          <w:szCs w:val="24"/>
        </w:rPr>
        <w:lastRenderedPageBreak/>
        <w:t xml:space="preserve">procurement policy.  Peoples TWP submits that the record amply supports the required findings on each of the issues, and the Settlement contains specific findings of fact in support (see Section III of the Settlement).  </w:t>
      </w:r>
      <w:proofErr w:type="gramStart"/>
      <w:r w:rsidR="00EE2751">
        <w:rPr>
          <w:rFonts w:ascii="Times New Roman" w:eastAsia="Times New Roman" w:hAnsi="Times New Roman" w:cs="Times New Roman"/>
          <w:color w:val="000000"/>
          <w:sz w:val="24"/>
          <w:szCs w:val="24"/>
        </w:rPr>
        <w:t>(</w:t>
      </w:r>
      <w:r w:rsidRPr="00141311">
        <w:rPr>
          <w:rFonts w:ascii="Times New Roman" w:eastAsia="Times New Roman" w:hAnsi="Times New Roman" w:cs="Times New Roman"/>
          <w:sz w:val="24"/>
          <w:szCs w:val="24"/>
        </w:rPr>
        <w:t>Peoples TWP Statement in Support, p. 18.</w:t>
      </w:r>
      <w:r w:rsidR="00EE2751">
        <w:rPr>
          <w:rFonts w:ascii="Times New Roman" w:eastAsia="Times New Roman" w:hAnsi="Times New Roman" w:cs="Times New Roman"/>
          <w:sz w:val="24"/>
          <w:szCs w:val="24"/>
        </w:rPr>
        <w:t>)</w:t>
      </w:r>
      <w:proofErr w:type="gramEnd"/>
    </w:p>
    <w:p w:rsidR="00DE6C74" w:rsidRDefault="00DE6C74" w:rsidP="001C2CC2">
      <w:pPr>
        <w:spacing w:after="0" w:line="360" w:lineRule="auto"/>
        <w:rPr>
          <w:rFonts w:ascii="Times New Roman" w:eastAsia="Times New Roman" w:hAnsi="Times New Roman" w:cs="Times New Roman"/>
          <w:sz w:val="24"/>
          <w:szCs w:val="24"/>
        </w:rPr>
      </w:pPr>
    </w:p>
    <w:p w:rsidR="00141311" w:rsidRPr="00141311" w:rsidRDefault="00260B5A" w:rsidP="00260B5A">
      <w:pPr>
        <w:spacing w:after="0" w:line="360" w:lineRule="auto"/>
        <w:ind w:left="720" w:hanging="720"/>
        <w:contextualSpacing/>
        <w:rPr>
          <w:rFonts w:ascii="Times New Roman" w:eastAsia="Times New Roman" w:hAnsi="Times New Roman" w:cs="Times New Roman"/>
          <w:sz w:val="24"/>
          <w:szCs w:val="24"/>
        </w:rPr>
      </w:pPr>
      <w:r w:rsidRPr="00260B5A">
        <w:rPr>
          <w:rFonts w:ascii="Times New Roman" w:eastAsia="Times New Roman" w:hAnsi="Times New Roman" w:cs="Times New Roman"/>
          <w:sz w:val="24"/>
          <w:szCs w:val="24"/>
        </w:rPr>
        <w:t>J.</w:t>
      </w:r>
      <w:r w:rsidRPr="00260B5A">
        <w:rPr>
          <w:rFonts w:ascii="Times New Roman" w:eastAsia="Times New Roman" w:hAnsi="Times New Roman" w:cs="Times New Roman"/>
          <w:sz w:val="24"/>
          <w:szCs w:val="24"/>
        </w:rPr>
        <w:tab/>
      </w:r>
      <w:r w:rsidR="00141311" w:rsidRPr="00141311">
        <w:rPr>
          <w:rFonts w:ascii="Times New Roman" w:eastAsia="Times New Roman" w:hAnsi="Times New Roman" w:cs="Times New Roman"/>
          <w:sz w:val="24"/>
          <w:szCs w:val="24"/>
          <w:u w:val="single"/>
        </w:rPr>
        <w:t>Summary</w:t>
      </w:r>
    </w:p>
    <w:p w:rsidR="00141311" w:rsidRPr="00141311" w:rsidRDefault="00141311" w:rsidP="003A4BF7">
      <w:pPr>
        <w:spacing w:after="0" w:line="360" w:lineRule="auto"/>
        <w:rPr>
          <w:rFonts w:ascii="Times New Roman" w:eastAsia="Times New Roman" w:hAnsi="Times New Roman" w:cs="Times New Roman"/>
          <w:sz w:val="24"/>
          <w:szCs w:val="24"/>
        </w:rPr>
      </w:pPr>
    </w:p>
    <w:p w:rsidR="00141311" w:rsidRPr="00141311" w:rsidRDefault="00141311" w:rsidP="003A4BF7">
      <w:pPr>
        <w:spacing w:after="0" w:line="360" w:lineRule="auto"/>
        <w:ind w:firstLine="1440"/>
        <w:rPr>
          <w:rFonts w:ascii="Times New Roman" w:eastAsia="Times New Roman" w:hAnsi="Times New Roman" w:cs="Times New Roman"/>
          <w:sz w:val="24"/>
          <w:szCs w:val="24"/>
        </w:rPr>
      </w:pPr>
      <w:r w:rsidRPr="00141311">
        <w:rPr>
          <w:rFonts w:ascii="Times New Roman" w:eastAsia="Times New Roman" w:hAnsi="Times New Roman" w:cs="Times New Roman"/>
          <w:sz w:val="24"/>
          <w:szCs w:val="24"/>
        </w:rPr>
        <w:t>In approving a proceeding pursuant to 66 Pa.C.S § 1307(f), the Company must establish the following requirements:</w:t>
      </w:r>
    </w:p>
    <w:p w:rsidR="00141311" w:rsidRPr="00141311" w:rsidRDefault="00141311" w:rsidP="003A4BF7">
      <w:pPr>
        <w:spacing w:after="0" w:line="360" w:lineRule="auto"/>
        <w:ind w:firstLine="1440"/>
        <w:rPr>
          <w:rFonts w:ascii="Times New Roman" w:eastAsia="Times New Roman" w:hAnsi="Times New Roman" w:cs="Times New Roman"/>
          <w:sz w:val="24"/>
          <w:szCs w:val="24"/>
        </w:rPr>
      </w:pPr>
    </w:p>
    <w:p w:rsidR="00141311" w:rsidRPr="00141311" w:rsidRDefault="00141311" w:rsidP="003A4BF7">
      <w:pPr>
        <w:numPr>
          <w:ilvl w:val="0"/>
          <w:numId w:val="15"/>
        </w:numPr>
        <w:spacing w:after="0" w:line="360" w:lineRule="auto"/>
        <w:ind w:left="0" w:firstLine="1440"/>
        <w:contextualSpacing/>
        <w:rPr>
          <w:rFonts w:ascii="Times New Roman" w:eastAsia="Times New Roman" w:hAnsi="Times New Roman" w:cs="Times New Roman"/>
          <w:sz w:val="24"/>
          <w:szCs w:val="24"/>
        </w:rPr>
      </w:pPr>
      <w:r w:rsidRPr="00141311">
        <w:rPr>
          <w:rFonts w:ascii="Times New Roman" w:eastAsia="Times New Roman" w:hAnsi="Times New Roman" w:cs="Times New Roman"/>
          <w:sz w:val="24"/>
          <w:szCs w:val="24"/>
        </w:rPr>
        <w:t>That it is pursuing a least cost fuel procurement policy during the relevant time period consistent with its obligation to provide safe, adequate and reliable service to its customers in compliance with Section 1318 of the Public Utility Code, 66 Pa.C.S. § 1318.</w:t>
      </w:r>
    </w:p>
    <w:p w:rsidR="00141311" w:rsidRPr="00141311" w:rsidRDefault="00141311" w:rsidP="003A4BF7">
      <w:pPr>
        <w:spacing w:after="0" w:line="360" w:lineRule="auto"/>
        <w:ind w:firstLine="1440"/>
        <w:contextualSpacing/>
        <w:rPr>
          <w:rFonts w:ascii="Times New Roman" w:eastAsia="Times New Roman" w:hAnsi="Times New Roman" w:cs="Times New Roman"/>
          <w:sz w:val="24"/>
          <w:szCs w:val="24"/>
        </w:rPr>
      </w:pPr>
    </w:p>
    <w:p w:rsidR="00141311" w:rsidRPr="00141311" w:rsidRDefault="00141311" w:rsidP="003A4BF7">
      <w:pPr>
        <w:numPr>
          <w:ilvl w:val="0"/>
          <w:numId w:val="15"/>
        </w:numPr>
        <w:spacing w:after="0" w:line="360" w:lineRule="auto"/>
        <w:ind w:left="0" w:firstLine="1440"/>
        <w:contextualSpacing/>
        <w:rPr>
          <w:rFonts w:ascii="Times New Roman" w:eastAsia="Times New Roman" w:hAnsi="Times New Roman" w:cs="Times New Roman"/>
          <w:sz w:val="24"/>
          <w:szCs w:val="24"/>
        </w:rPr>
      </w:pPr>
      <w:r w:rsidRPr="00141311">
        <w:rPr>
          <w:rFonts w:ascii="Times New Roman" w:eastAsia="Times New Roman" w:hAnsi="Times New Roman" w:cs="Times New Roman"/>
          <w:sz w:val="24"/>
          <w:szCs w:val="24"/>
        </w:rPr>
        <w:t xml:space="preserve">That its rates for purchased gas costs, as the </w:t>
      </w:r>
      <w:r w:rsidR="00837499">
        <w:rPr>
          <w:rFonts w:ascii="Times New Roman" w:eastAsia="Times New Roman" w:hAnsi="Times New Roman" w:cs="Times New Roman"/>
          <w:sz w:val="24"/>
          <w:szCs w:val="24"/>
        </w:rPr>
        <w:t>P</w:t>
      </w:r>
      <w:r w:rsidRPr="00141311">
        <w:rPr>
          <w:rFonts w:ascii="Times New Roman" w:eastAsia="Times New Roman" w:hAnsi="Times New Roman" w:cs="Times New Roman"/>
          <w:sz w:val="24"/>
          <w:szCs w:val="24"/>
        </w:rPr>
        <w:t>arties have agreed upon in this proceeding, during the relevant time period, are just and reasonable and in compliance with Section 1318 of the Public Utility Code, 66 Pa.C.S. § 1318.</w:t>
      </w:r>
    </w:p>
    <w:p w:rsidR="00141311" w:rsidRPr="00141311" w:rsidRDefault="00141311" w:rsidP="003A4BF7">
      <w:pPr>
        <w:spacing w:after="0" w:line="360" w:lineRule="auto"/>
        <w:ind w:firstLine="1440"/>
        <w:contextualSpacing/>
        <w:rPr>
          <w:rFonts w:ascii="Times New Roman" w:eastAsia="Times New Roman" w:hAnsi="Times New Roman" w:cs="Times New Roman"/>
          <w:sz w:val="24"/>
          <w:szCs w:val="24"/>
        </w:rPr>
      </w:pPr>
    </w:p>
    <w:p w:rsidR="00141311" w:rsidRPr="00141311" w:rsidRDefault="00141311" w:rsidP="003A4BF7">
      <w:pPr>
        <w:numPr>
          <w:ilvl w:val="0"/>
          <w:numId w:val="15"/>
        </w:numPr>
        <w:spacing w:after="0" w:line="360" w:lineRule="auto"/>
        <w:ind w:left="0" w:firstLine="1440"/>
        <w:contextualSpacing/>
        <w:rPr>
          <w:rFonts w:ascii="Times New Roman" w:eastAsia="Times New Roman" w:hAnsi="Times New Roman" w:cs="Times New Roman"/>
          <w:sz w:val="24"/>
          <w:szCs w:val="24"/>
        </w:rPr>
      </w:pPr>
      <w:r w:rsidRPr="00141311">
        <w:rPr>
          <w:rFonts w:ascii="Times New Roman" w:eastAsia="Times New Roman" w:hAnsi="Times New Roman" w:cs="Times New Roman"/>
          <w:sz w:val="24"/>
          <w:szCs w:val="24"/>
        </w:rPr>
        <w:t>That it has fully and vigorously represented the interests of its ratepayers in proceedings before the FERC and other relevant non-PUC proceedings during the relevant time period in compliance with Section 1318(a)(1) of the Public Utility Code, 66 Pa.C.S. § 1318(a</w:t>
      </w:r>
      <w:proofErr w:type="gramStart"/>
      <w:r w:rsidRPr="00141311">
        <w:rPr>
          <w:rFonts w:ascii="Times New Roman" w:eastAsia="Times New Roman" w:hAnsi="Times New Roman" w:cs="Times New Roman"/>
          <w:sz w:val="24"/>
          <w:szCs w:val="24"/>
        </w:rPr>
        <w:t>)(</w:t>
      </w:r>
      <w:proofErr w:type="gramEnd"/>
      <w:r w:rsidRPr="00141311">
        <w:rPr>
          <w:rFonts w:ascii="Times New Roman" w:eastAsia="Times New Roman" w:hAnsi="Times New Roman" w:cs="Times New Roman"/>
          <w:sz w:val="24"/>
          <w:szCs w:val="24"/>
        </w:rPr>
        <w:t>1).</w:t>
      </w:r>
    </w:p>
    <w:p w:rsidR="00141311" w:rsidRPr="00141311" w:rsidRDefault="00141311" w:rsidP="003A4BF7">
      <w:pPr>
        <w:spacing w:after="0" w:line="360" w:lineRule="auto"/>
        <w:ind w:firstLine="1440"/>
        <w:contextualSpacing/>
        <w:rPr>
          <w:rFonts w:ascii="Times New Roman" w:eastAsia="Times New Roman" w:hAnsi="Times New Roman" w:cs="Times New Roman"/>
          <w:sz w:val="24"/>
          <w:szCs w:val="24"/>
        </w:rPr>
      </w:pPr>
    </w:p>
    <w:p w:rsidR="00141311" w:rsidRPr="00141311" w:rsidRDefault="00141311" w:rsidP="003A4BF7">
      <w:pPr>
        <w:numPr>
          <w:ilvl w:val="0"/>
          <w:numId w:val="15"/>
        </w:numPr>
        <w:spacing w:after="0" w:line="360" w:lineRule="auto"/>
        <w:ind w:left="0" w:firstLine="1440"/>
        <w:contextualSpacing/>
        <w:rPr>
          <w:rFonts w:ascii="Times New Roman" w:eastAsia="Times New Roman" w:hAnsi="Times New Roman" w:cs="Times New Roman"/>
          <w:sz w:val="24"/>
          <w:szCs w:val="24"/>
        </w:rPr>
      </w:pPr>
      <w:r w:rsidRPr="00141311">
        <w:rPr>
          <w:rFonts w:ascii="Times New Roman" w:eastAsia="Times New Roman" w:hAnsi="Times New Roman" w:cs="Times New Roman"/>
          <w:sz w:val="24"/>
          <w:szCs w:val="24"/>
        </w:rPr>
        <w:t>That it has taken all prudent steps necessary to negotiate favorable gas supply contracts and to relieve itself from terms in existing contracts with its gas suppliers, which are or may be adverse to the interests of its ratepayers, during the relevant time period in compliance with Section 1318(a</w:t>
      </w:r>
      <w:proofErr w:type="gramStart"/>
      <w:r w:rsidRPr="00141311">
        <w:rPr>
          <w:rFonts w:ascii="Times New Roman" w:eastAsia="Times New Roman" w:hAnsi="Times New Roman" w:cs="Times New Roman"/>
          <w:sz w:val="24"/>
          <w:szCs w:val="24"/>
        </w:rPr>
        <w:t>)(</w:t>
      </w:r>
      <w:proofErr w:type="gramEnd"/>
      <w:r w:rsidRPr="00141311">
        <w:rPr>
          <w:rFonts w:ascii="Times New Roman" w:eastAsia="Times New Roman" w:hAnsi="Times New Roman" w:cs="Times New Roman"/>
          <w:sz w:val="24"/>
          <w:szCs w:val="24"/>
        </w:rPr>
        <w:t>2) of the Public Utility Code, 66 Pa.C.S. § 1318(a</w:t>
      </w:r>
      <w:proofErr w:type="gramStart"/>
      <w:r w:rsidRPr="00141311">
        <w:rPr>
          <w:rFonts w:ascii="Times New Roman" w:eastAsia="Times New Roman" w:hAnsi="Times New Roman" w:cs="Times New Roman"/>
          <w:sz w:val="24"/>
          <w:szCs w:val="24"/>
        </w:rPr>
        <w:t>)(</w:t>
      </w:r>
      <w:proofErr w:type="gramEnd"/>
      <w:r w:rsidRPr="00141311">
        <w:rPr>
          <w:rFonts w:ascii="Times New Roman" w:eastAsia="Times New Roman" w:hAnsi="Times New Roman" w:cs="Times New Roman"/>
          <w:sz w:val="24"/>
          <w:szCs w:val="24"/>
        </w:rPr>
        <w:t>2).</w:t>
      </w:r>
    </w:p>
    <w:p w:rsidR="00141311" w:rsidRPr="00141311" w:rsidRDefault="00141311" w:rsidP="003A4BF7">
      <w:pPr>
        <w:spacing w:after="0" w:line="360" w:lineRule="auto"/>
        <w:ind w:firstLine="1440"/>
        <w:rPr>
          <w:rFonts w:ascii="Times New Roman" w:eastAsia="Times New Roman" w:hAnsi="Times New Roman" w:cs="Times New Roman"/>
          <w:sz w:val="24"/>
          <w:szCs w:val="24"/>
        </w:rPr>
      </w:pPr>
    </w:p>
    <w:p w:rsidR="00141311" w:rsidRPr="00141311" w:rsidRDefault="00141311" w:rsidP="003A4BF7">
      <w:pPr>
        <w:numPr>
          <w:ilvl w:val="0"/>
          <w:numId w:val="15"/>
        </w:numPr>
        <w:spacing w:after="0" w:line="360" w:lineRule="auto"/>
        <w:ind w:left="0" w:firstLine="1440"/>
        <w:contextualSpacing/>
        <w:rPr>
          <w:rFonts w:ascii="Times New Roman" w:eastAsia="Times New Roman" w:hAnsi="Times New Roman" w:cs="Times New Roman"/>
          <w:sz w:val="24"/>
          <w:szCs w:val="24"/>
        </w:rPr>
      </w:pPr>
      <w:r w:rsidRPr="00141311">
        <w:rPr>
          <w:rFonts w:ascii="Times New Roman" w:eastAsia="Times New Roman" w:hAnsi="Times New Roman" w:cs="Times New Roman"/>
          <w:sz w:val="24"/>
          <w:szCs w:val="24"/>
        </w:rPr>
        <w:t xml:space="preserve">That the Company has taken all prudent steps necessary during the relevant time period to obtain lower cost gas supplies on both short-term and long-term bases both within and outside the Commonwealth, including the use of gas transportation arrangements </w:t>
      </w:r>
      <w:r w:rsidRPr="00141311">
        <w:rPr>
          <w:rFonts w:ascii="Times New Roman" w:eastAsia="Times New Roman" w:hAnsi="Times New Roman" w:cs="Times New Roman"/>
          <w:sz w:val="24"/>
          <w:szCs w:val="24"/>
        </w:rPr>
        <w:lastRenderedPageBreak/>
        <w:t>with pipelines and other distribution companies in compliance with Section 1318(a)(3) of the Public Utility Code, 66 Pa.C.S. § 1318(a</w:t>
      </w:r>
      <w:proofErr w:type="gramStart"/>
      <w:r w:rsidRPr="00141311">
        <w:rPr>
          <w:rFonts w:ascii="Times New Roman" w:eastAsia="Times New Roman" w:hAnsi="Times New Roman" w:cs="Times New Roman"/>
          <w:sz w:val="24"/>
          <w:szCs w:val="24"/>
        </w:rPr>
        <w:t>)(</w:t>
      </w:r>
      <w:proofErr w:type="gramEnd"/>
      <w:r w:rsidRPr="00141311">
        <w:rPr>
          <w:rFonts w:ascii="Times New Roman" w:eastAsia="Times New Roman" w:hAnsi="Times New Roman" w:cs="Times New Roman"/>
          <w:sz w:val="24"/>
          <w:szCs w:val="24"/>
        </w:rPr>
        <w:t>3).</w:t>
      </w:r>
    </w:p>
    <w:p w:rsidR="00141311" w:rsidRPr="00141311" w:rsidRDefault="00141311" w:rsidP="003A4BF7">
      <w:pPr>
        <w:spacing w:after="0" w:line="360" w:lineRule="auto"/>
        <w:ind w:firstLine="1440"/>
        <w:contextualSpacing/>
        <w:rPr>
          <w:rFonts w:ascii="Times New Roman" w:eastAsia="Times New Roman" w:hAnsi="Times New Roman" w:cs="Times New Roman"/>
          <w:sz w:val="24"/>
          <w:szCs w:val="24"/>
        </w:rPr>
      </w:pPr>
    </w:p>
    <w:p w:rsidR="00141311" w:rsidRPr="00141311" w:rsidRDefault="00141311" w:rsidP="003A4BF7">
      <w:pPr>
        <w:numPr>
          <w:ilvl w:val="0"/>
          <w:numId w:val="15"/>
        </w:numPr>
        <w:spacing w:after="0" w:line="360" w:lineRule="auto"/>
        <w:ind w:left="0" w:firstLine="1440"/>
        <w:contextualSpacing/>
        <w:rPr>
          <w:rFonts w:ascii="Times New Roman" w:eastAsia="Times New Roman" w:hAnsi="Times New Roman" w:cs="Times New Roman"/>
          <w:sz w:val="24"/>
          <w:szCs w:val="24"/>
        </w:rPr>
      </w:pPr>
      <w:r w:rsidRPr="00141311">
        <w:rPr>
          <w:rFonts w:ascii="Times New Roman" w:eastAsia="Times New Roman" w:hAnsi="Times New Roman" w:cs="Times New Roman"/>
          <w:sz w:val="24"/>
          <w:szCs w:val="24"/>
        </w:rPr>
        <w:t>That it has not withheld from the market or caused to be withheld from the market during the relevant time period any gas supplies, which should have been used as part of a least cost fuel procurement policy in compliance with Section 1318(a)(4) of the Public Utility Code, 66 Pa.C.S. § 1318(a</w:t>
      </w:r>
      <w:proofErr w:type="gramStart"/>
      <w:r w:rsidRPr="00141311">
        <w:rPr>
          <w:rFonts w:ascii="Times New Roman" w:eastAsia="Times New Roman" w:hAnsi="Times New Roman" w:cs="Times New Roman"/>
          <w:sz w:val="24"/>
          <w:szCs w:val="24"/>
        </w:rPr>
        <w:t>)(</w:t>
      </w:r>
      <w:proofErr w:type="gramEnd"/>
      <w:r w:rsidRPr="00141311">
        <w:rPr>
          <w:rFonts w:ascii="Times New Roman" w:eastAsia="Times New Roman" w:hAnsi="Times New Roman" w:cs="Times New Roman"/>
          <w:sz w:val="24"/>
          <w:szCs w:val="24"/>
        </w:rPr>
        <w:t>4).</w:t>
      </w:r>
    </w:p>
    <w:p w:rsidR="00141311" w:rsidRPr="00141311" w:rsidRDefault="00141311" w:rsidP="003A4BF7">
      <w:pPr>
        <w:spacing w:after="0" w:line="360" w:lineRule="auto"/>
        <w:ind w:firstLine="1440"/>
        <w:contextualSpacing/>
        <w:rPr>
          <w:rFonts w:ascii="Times New Roman" w:eastAsia="Times New Roman" w:hAnsi="Times New Roman" w:cs="Times New Roman"/>
          <w:sz w:val="24"/>
          <w:szCs w:val="24"/>
        </w:rPr>
      </w:pPr>
    </w:p>
    <w:p w:rsidR="00141311" w:rsidRPr="00141311" w:rsidRDefault="00141311" w:rsidP="003A4BF7">
      <w:pPr>
        <w:numPr>
          <w:ilvl w:val="0"/>
          <w:numId w:val="15"/>
        </w:numPr>
        <w:spacing w:after="0" w:line="360" w:lineRule="auto"/>
        <w:ind w:left="0" w:firstLine="1440"/>
        <w:contextualSpacing/>
        <w:rPr>
          <w:rFonts w:ascii="Times New Roman" w:eastAsia="Times New Roman" w:hAnsi="Times New Roman" w:cs="Times New Roman"/>
          <w:sz w:val="24"/>
          <w:szCs w:val="24"/>
        </w:rPr>
      </w:pPr>
      <w:r w:rsidRPr="00141311">
        <w:rPr>
          <w:rFonts w:ascii="Times New Roman" w:eastAsia="Times New Roman" w:hAnsi="Times New Roman" w:cs="Times New Roman"/>
          <w:sz w:val="24"/>
          <w:szCs w:val="24"/>
        </w:rPr>
        <w:t>That it has fully and vigorously attempted to obtain less costly gas supplies on both short-term and long-term bases from nonaffiliated interests during the relevant time period in compliance with Section 1318(b)(1) of the Public Utility Code, 66 Pa.C.S. § 1318(b</w:t>
      </w:r>
      <w:proofErr w:type="gramStart"/>
      <w:r w:rsidRPr="00141311">
        <w:rPr>
          <w:rFonts w:ascii="Times New Roman" w:eastAsia="Times New Roman" w:hAnsi="Times New Roman" w:cs="Times New Roman"/>
          <w:sz w:val="24"/>
          <w:szCs w:val="24"/>
        </w:rPr>
        <w:t>)(</w:t>
      </w:r>
      <w:proofErr w:type="gramEnd"/>
      <w:r w:rsidRPr="00141311">
        <w:rPr>
          <w:rFonts w:ascii="Times New Roman" w:eastAsia="Times New Roman" w:hAnsi="Times New Roman" w:cs="Times New Roman"/>
          <w:sz w:val="24"/>
          <w:szCs w:val="24"/>
        </w:rPr>
        <w:t>1).</w:t>
      </w:r>
    </w:p>
    <w:p w:rsidR="00141311" w:rsidRPr="00141311" w:rsidRDefault="00141311" w:rsidP="003A4BF7">
      <w:pPr>
        <w:spacing w:after="0" w:line="360" w:lineRule="auto"/>
        <w:rPr>
          <w:rFonts w:ascii="Times New Roman" w:eastAsia="Times New Roman" w:hAnsi="Times New Roman" w:cs="Times New Roman"/>
          <w:sz w:val="24"/>
          <w:szCs w:val="24"/>
        </w:rPr>
      </w:pPr>
    </w:p>
    <w:p w:rsidR="00141311" w:rsidRPr="00141311" w:rsidRDefault="00141311" w:rsidP="003A4BF7">
      <w:pPr>
        <w:numPr>
          <w:ilvl w:val="0"/>
          <w:numId w:val="15"/>
        </w:numPr>
        <w:spacing w:after="0" w:line="360" w:lineRule="auto"/>
        <w:ind w:left="0" w:firstLine="1440"/>
        <w:contextualSpacing/>
        <w:rPr>
          <w:rFonts w:ascii="Times New Roman" w:eastAsia="Times New Roman" w:hAnsi="Times New Roman" w:cs="Times New Roman"/>
          <w:sz w:val="24"/>
          <w:szCs w:val="24"/>
        </w:rPr>
      </w:pPr>
      <w:r w:rsidRPr="00141311">
        <w:rPr>
          <w:rFonts w:ascii="Times New Roman" w:eastAsia="Times New Roman" w:hAnsi="Times New Roman" w:cs="Times New Roman"/>
          <w:sz w:val="24"/>
          <w:szCs w:val="24"/>
        </w:rPr>
        <w:t>That its contracts, if any, for the purchase of gas from any affiliated interest during the relevant time period are consistent with a least cost fuel procurement policy in compliance with Section1318(b)(</w:t>
      </w:r>
      <w:r w:rsidR="00EE2751" w:rsidRPr="00EE2751">
        <w:rPr>
          <w:rFonts w:ascii="Times New Roman" w:eastAsia="Times New Roman" w:hAnsi="Times New Roman" w:cs="Times New Roman"/>
          <w:sz w:val="24"/>
          <w:szCs w:val="24"/>
        </w:rPr>
        <w:t>2</w:t>
      </w:r>
      <w:r w:rsidRPr="00141311">
        <w:rPr>
          <w:rFonts w:ascii="Times New Roman" w:eastAsia="Times New Roman" w:hAnsi="Times New Roman" w:cs="Times New Roman"/>
          <w:sz w:val="24"/>
          <w:szCs w:val="24"/>
        </w:rPr>
        <w:t>) of the Public Utility Code, 66 Pa.C.S. § 1318(b</w:t>
      </w:r>
      <w:proofErr w:type="gramStart"/>
      <w:r w:rsidRPr="00141311">
        <w:rPr>
          <w:rFonts w:ascii="Times New Roman" w:eastAsia="Times New Roman" w:hAnsi="Times New Roman" w:cs="Times New Roman"/>
          <w:sz w:val="24"/>
          <w:szCs w:val="24"/>
        </w:rPr>
        <w:t>)(</w:t>
      </w:r>
      <w:proofErr w:type="gramEnd"/>
      <w:r w:rsidRPr="00141311">
        <w:rPr>
          <w:rFonts w:ascii="Times New Roman" w:eastAsia="Times New Roman" w:hAnsi="Times New Roman" w:cs="Times New Roman"/>
          <w:sz w:val="24"/>
          <w:szCs w:val="24"/>
        </w:rPr>
        <w:t>2).</w:t>
      </w:r>
    </w:p>
    <w:p w:rsidR="00141311" w:rsidRPr="00141311" w:rsidRDefault="00141311" w:rsidP="003A4BF7">
      <w:pPr>
        <w:spacing w:after="0" w:line="360" w:lineRule="auto"/>
        <w:ind w:left="720"/>
        <w:contextualSpacing/>
        <w:rPr>
          <w:rFonts w:ascii="Times New Roman" w:eastAsia="Times New Roman" w:hAnsi="Times New Roman" w:cs="Times New Roman"/>
          <w:sz w:val="24"/>
          <w:szCs w:val="24"/>
        </w:rPr>
      </w:pPr>
    </w:p>
    <w:p w:rsidR="00141311" w:rsidRPr="00141311" w:rsidRDefault="00141311" w:rsidP="003A4BF7">
      <w:pPr>
        <w:numPr>
          <w:ilvl w:val="0"/>
          <w:numId w:val="15"/>
        </w:numPr>
        <w:spacing w:after="0" w:line="360" w:lineRule="auto"/>
        <w:ind w:left="0" w:firstLine="1440"/>
        <w:contextualSpacing/>
        <w:rPr>
          <w:rFonts w:ascii="Times New Roman" w:eastAsia="Times New Roman" w:hAnsi="Times New Roman" w:cs="Times New Roman"/>
          <w:sz w:val="24"/>
          <w:szCs w:val="24"/>
        </w:rPr>
      </w:pPr>
      <w:r w:rsidRPr="00141311">
        <w:rPr>
          <w:rFonts w:ascii="Times New Roman" w:eastAsia="Times New Roman" w:hAnsi="Times New Roman" w:cs="Times New Roman"/>
          <w:sz w:val="24"/>
          <w:szCs w:val="24"/>
        </w:rPr>
        <w:t>That neither the Company nor any affiliated interest during the relevant time period has withheld from the market any gas supplies, which should have been used as part of a least cost fuel procurement policy in compliance with Section 1318(b)(3) of the Public Utility Code, 66 Pa.C.S. § 1318(b</w:t>
      </w:r>
      <w:proofErr w:type="gramStart"/>
      <w:r w:rsidRPr="00141311">
        <w:rPr>
          <w:rFonts w:ascii="Times New Roman" w:eastAsia="Times New Roman" w:hAnsi="Times New Roman" w:cs="Times New Roman"/>
          <w:sz w:val="24"/>
          <w:szCs w:val="24"/>
        </w:rPr>
        <w:t>)(</w:t>
      </w:r>
      <w:proofErr w:type="gramEnd"/>
      <w:r w:rsidRPr="00141311">
        <w:rPr>
          <w:rFonts w:ascii="Times New Roman" w:eastAsia="Times New Roman" w:hAnsi="Times New Roman" w:cs="Times New Roman"/>
          <w:sz w:val="24"/>
          <w:szCs w:val="24"/>
        </w:rPr>
        <w:t>3).</w:t>
      </w:r>
    </w:p>
    <w:p w:rsidR="00141311" w:rsidRDefault="00141311" w:rsidP="003A4BF7">
      <w:pPr>
        <w:spacing w:after="0" w:line="360" w:lineRule="auto"/>
        <w:ind w:left="720"/>
        <w:contextualSpacing/>
        <w:rPr>
          <w:rFonts w:ascii="Times New Roman" w:eastAsia="Times New Roman" w:hAnsi="Times New Roman" w:cs="Times New Roman"/>
          <w:sz w:val="24"/>
          <w:szCs w:val="24"/>
        </w:rPr>
      </w:pPr>
    </w:p>
    <w:p w:rsidR="00162CA7" w:rsidRDefault="00162CA7" w:rsidP="00162CA7">
      <w:pPr>
        <w:spacing w:after="0" w:line="360" w:lineRule="auto"/>
        <w:ind w:left="720"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Pr>
          <w:rFonts w:ascii="Times New Roman" w:eastAsia="Times New Roman" w:hAnsi="Times New Roman" w:cs="Times New Roman"/>
          <w:sz w:val="24"/>
          <w:szCs w:val="24"/>
        </w:rPr>
        <w:tab/>
      </w:r>
      <w:r w:rsidRPr="00162CA7">
        <w:rPr>
          <w:rFonts w:ascii="Times New Roman" w:eastAsia="Times New Roman" w:hAnsi="Times New Roman" w:cs="Times New Roman"/>
          <w:sz w:val="24"/>
          <w:szCs w:val="24"/>
          <w:u w:val="single"/>
        </w:rPr>
        <w:t>Recommendation</w:t>
      </w:r>
    </w:p>
    <w:p w:rsidR="00162CA7" w:rsidRDefault="00162CA7" w:rsidP="00162CA7">
      <w:pPr>
        <w:spacing w:after="0" w:line="360" w:lineRule="auto"/>
        <w:ind w:left="720" w:hanging="720"/>
        <w:contextualSpacing/>
        <w:rPr>
          <w:rFonts w:ascii="Times New Roman" w:eastAsia="Times New Roman" w:hAnsi="Times New Roman" w:cs="Times New Roman"/>
          <w:sz w:val="24"/>
          <w:szCs w:val="24"/>
        </w:rPr>
      </w:pPr>
    </w:p>
    <w:p w:rsidR="00162CA7" w:rsidRPr="00162CA7" w:rsidRDefault="00162CA7" w:rsidP="00162CA7">
      <w:pPr>
        <w:tabs>
          <w:tab w:val="left" w:pos="0"/>
        </w:tabs>
        <w:spacing w:line="360" w:lineRule="auto"/>
        <w:rPr>
          <w:rFonts w:ascii="Times New Roman" w:hAnsi="Times New Roman" w:cs="Times New Roman"/>
          <w:sz w:val="24"/>
          <w:szCs w:val="24"/>
        </w:rPr>
      </w:pPr>
      <w:r>
        <w:tab/>
      </w:r>
      <w:r>
        <w:tab/>
      </w:r>
      <w:r w:rsidRPr="00162CA7">
        <w:rPr>
          <w:rFonts w:ascii="Times New Roman" w:hAnsi="Times New Roman" w:cs="Times New Roman"/>
          <w:sz w:val="24"/>
          <w:szCs w:val="24"/>
        </w:rPr>
        <w:t xml:space="preserve">The Parties in this proceeding represent many interests.  I&amp;E, OCA and OSBA represent the public interest, the interests of residential customers and the interests of small business customers, respectively.  To reach a settlement of all issues with the aforementioned parties in such a case can be difficult and requires significant effort by the Parties.  It represents hours of negotiation and a great deal of cooperation.  The Settlement addresses, or takes off the table, every contested issue in this proceeding.  Because all of the diverse interests represented by the Parties have been satisfied, the Settlement benefits Peoples TWP’s customers.  It saves the </w:t>
      </w:r>
      <w:r w:rsidRPr="00162CA7">
        <w:rPr>
          <w:rFonts w:ascii="Times New Roman" w:hAnsi="Times New Roman" w:cs="Times New Roman"/>
          <w:sz w:val="24"/>
          <w:szCs w:val="24"/>
        </w:rPr>
        <w:lastRenderedPageBreak/>
        <w:t>Parties and the Commission the time and expense of fully litigating this matter.  The Parties have avoided the need to prepare for and participate in extensive, contentious hearings, prepare briefs, reply briefs, exceptions, replies to exceptions and possible appellate litigation.  The Company’s customers benefit from this cost savings.  In addition, all Parties agreed to the settlement terms.</w:t>
      </w:r>
    </w:p>
    <w:p w:rsidR="00F075FB" w:rsidRDefault="00F075FB" w:rsidP="00F075FB">
      <w:pPr>
        <w:tabs>
          <w:tab w:val="left" w:pos="0"/>
        </w:tabs>
        <w:spacing w:after="0" w:line="360" w:lineRule="auto"/>
      </w:pPr>
    </w:p>
    <w:p w:rsidR="00162CA7" w:rsidRPr="00F075FB" w:rsidRDefault="00162CA7" w:rsidP="00F075FB">
      <w:pPr>
        <w:tabs>
          <w:tab w:val="left" w:pos="0"/>
        </w:tabs>
        <w:spacing w:after="0" w:line="360" w:lineRule="auto"/>
        <w:rPr>
          <w:rFonts w:ascii="Times New Roman" w:hAnsi="Times New Roman" w:cs="Times New Roman"/>
          <w:sz w:val="24"/>
          <w:szCs w:val="24"/>
        </w:rPr>
      </w:pPr>
      <w:r>
        <w:tab/>
      </w:r>
      <w:r w:rsidRPr="00F075FB">
        <w:rPr>
          <w:rFonts w:ascii="Times New Roman" w:hAnsi="Times New Roman" w:cs="Times New Roman"/>
          <w:sz w:val="24"/>
          <w:szCs w:val="24"/>
        </w:rPr>
        <w:tab/>
        <w:t>Upon due consideration of the terms and conditions of the Settlement, including the statements of the Parties, this Settlement constitutes a fair, just and reasonable resolution of the Commission’s investigation.  Therefore, the Settlement is in the public interest and should be approved.</w:t>
      </w:r>
    </w:p>
    <w:p w:rsidR="00162CA7" w:rsidRPr="00141311" w:rsidRDefault="00162CA7" w:rsidP="00162CA7">
      <w:pPr>
        <w:spacing w:after="0" w:line="360" w:lineRule="auto"/>
        <w:ind w:left="720" w:hanging="720"/>
        <w:contextualSpacing/>
        <w:rPr>
          <w:rFonts w:ascii="Times New Roman" w:eastAsia="Times New Roman" w:hAnsi="Times New Roman" w:cs="Times New Roman"/>
          <w:sz w:val="24"/>
          <w:szCs w:val="24"/>
        </w:rPr>
      </w:pPr>
    </w:p>
    <w:p w:rsidR="00141311" w:rsidRPr="00141311" w:rsidRDefault="00141311" w:rsidP="003A4BF7">
      <w:pPr>
        <w:spacing w:after="0" w:line="360" w:lineRule="auto"/>
        <w:rPr>
          <w:rFonts w:ascii="Times New Roman" w:eastAsia="Times New Roman" w:hAnsi="Times New Roman" w:cs="Times New Roman"/>
          <w:sz w:val="24"/>
          <w:szCs w:val="24"/>
        </w:rPr>
      </w:pPr>
      <w:r w:rsidRPr="00141311">
        <w:rPr>
          <w:rFonts w:ascii="Times New Roman" w:eastAsia="Times New Roman" w:hAnsi="Times New Roman" w:cs="Times New Roman"/>
          <w:sz w:val="24"/>
          <w:szCs w:val="24"/>
        </w:rPr>
        <w:tab/>
      </w:r>
      <w:r w:rsidRPr="00141311">
        <w:rPr>
          <w:rFonts w:ascii="Times New Roman" w:eastAsia="Times New Roman" w:hAnsi="Times New Roman" w:cs="Times New Roman"/>
          <w:sz w:val="24"/>
          <w:szCs w:val="24"/>
        </w:rPr>
        <w:tab/>
        <w:t>The Parties, through the evidence submitted and their Joint Petition and Statements in Support of Settlement have satisfied these statutory requirements for approval of the tariff supplement proposing changes in rates for recovery of purchased gas costs and gas procurement practices, and accordingly, the Commission should approve the Joint Petition for Settlement of All Issues of the Rate Investigation Pursuant to 66 Pa.C.S. § 1307(f) that Peoples TWP, I&amp;E, OCA, and OSBA have submitted at this docket as in the public interest.</w:t>
      </w:r>
    </w:p>
    <w:p w:rsidR="00141311" w:rsidRPr="00141311" w:rsidRDefault="00141311" w:rsidP="003A4BF7">
      <w:pPr>
        <w:spacing w:after="0" w:line="360" w:lineRule="auto"/>
        <w:rPr>
          <w:rFonts w:ascii="Times New Roman" w:eastAsia="Times New Roman" w:hAnsi="Times New Roman" w:cs="Times New Roman"/>
          <w:sz w:val="24"/>
          <w:szCs w:val="24"/>
        </w:rPr>
      </w:pPr>
    </w:p>
    <w:p w:rsidR="00141311" w:rsidRPr="00141311" w:rsidRDefault="00141311" w:rsidP="003A4BF7">
      <w:pPr>
        <w:spacing w:after="0" w:line="360" w:lineRule="auto"/>
        <w:ind w:firstLine="1440"/>
        <w:rPr>
          <w:rFonts w:ascii="Times New Roman" w:eastAsia="Times New Roman" w:hAnsi="Times New Roman" w:cs="Times New Roman"/>
          <w:sz w:val="24"/>
          <w:szCs w:val="24"/>
        </w:rPr>
      </w:pPr>
      <w:r w:rsidRPr="00141311">
        <w:rPr>
          <w:rFonts w:ascii="Times New Roman" w:eastAsia="Times New Roman" w:hAnsi="Times New Roman" w:cs="Times New Roman"/>
          <w:sz w:val="24"/>
          <w:szCs w:val="24"/>
        </w:rPr>
        <w:t xml:space="preserve">Peoples TWP, I&amp;E, OCA, and OSBA agree that the Settlement is in the public interest because Peoples TWP’s projected gas costs appear consistent with a least cost fuel procurement policy.  Under the Settlement and as set forth in the above Discussion and Findings of Fact, Peoples TWP’s projected gas purchases, gas purchasing policies and practices as well as the basis for projections of the cost of purchased gas costs meet the requirements of Section 1318 of the Public Utility Code.  </w:t>
      </w:r>
      <w:proofErr w:type="gramStart"/>
      <w:r w:rsidRPr="00141311">
        <w:rPr>
          <w:rFonts w:ascii="Times New Roman" w:eastAsia="Times New Roman" w:hAnsi="Times New Roman" w:cs="Times New Roman"/>
          <w:sz w:val="24"/>
          <w:szCs w:val="24"/>
        </w:rPr>
        <w:t>66 Pa.C.S.</w:t>
      </w:r>
      <w:proofErr w:type="gramEnd"/>
      <w:r w:rsidRPr="00141311">
        <w:rPr>
          <w:rFonts w:ascii="Times New Roman" w:eastAsia="Times New Roman" w:hAnsi="Times New Roman" w:cs="Times New Roman"/>
          <w:sz w:val="24"/>
          <w:szCs w:val="24"/>
        </w:rPr>
        <w:t xml:space="preserve"> § 1318.  Accordingly, upon due consideration of the evidence, terms and conditions of the Settlement Petition, including the supporting statements of the respective Parties, this Settlement constitutes a fair, just and reasonable resolution of the Commission’s investigation, is in the public interest and should be approved without modification by the Commission.  </w:t>
      </w:r>
    </w:p>
    <w:p w:rsidR="00141311" w:rsidRPr="00141311" w:rsidRDefault="00141311" w:rsidP="003A4BF7">
      <w:pPr>
        <w:spacing w:after="0" w:line="360" w:lineRule="auto"/>
        <w:rPr>
          <w:rFonts w:ascii="Times New Roman" w:eastAsia="Times New Roman" w:hAnsi="Times New Roman" w:cs="Times New Roman"/>
          <w:sz w:val="24"/>
          <w:szCs w:val="24"/>
        </w:rPr>
      </w:pPr>
    </w:p>
    <w:p w:rsidR="00141311" w:rsidRPr="00141311" w:rsidRDefault="00141311" w:rsidP="003A4BF7">
      <w:pPr>
        <w:spacing w:after="0" w:line="360" w:lineRule="auto"/>
        <w:rPr>
          <w:rFonts w:ascii="Times New Roman" w:eastAsia="Times New Roman" w:hAnsi="Times New Roman" w:cs="Times New Roman"/>
          <w:sz w:val="24"/>
          <w:szCs w:val="24"/>
        </w:rPr>
      </w:pPr>
      <w:r w:rsidRPr="00141311">
        <w:rPr>
          <w:rFonts w:ascii="Times New Roman" w:eastAsia="Times New Roman" w:hAnsi="Times New Roman" w:cs="Times New Roman"/>
          <w:sz w:val="24"/>
          <w:szCs w:val="24"/>
        </w:rPr>
        <w:tab/>
      </w:r>
      <w:r w:rsidRPr="00141311">
        <w:rPr>
          <w:rFonts w:ascii="Times New Roman" w:eastAsia="Times New Roman" w:hAnsi="Times New Roman" w:cs="Times New Roman"/>
          <w:sz w:val="24"/>
          <w:szCs w:val="24"/>
        </w:rPr>
        <w:tab/>
        <w:t>It is also recommended that the associated Complaints filed by OCA at Docket No. C-201</w:t>
      </w:r>
      <w:r w:rsidR="00DA1BC2">
        <w:rPr>
          <w:rFonts w:ascii="Times New Roman" w:eastAsia="Times New Roman" w:hAnsi="Times New Roman" w:cs="Times New Roman"/>
          <w:sz w:val="24"/>
          <w:szCs w:val="24"/>
        </w:rPr>
        <w:t>5</w:t>
      </w:r>
      <w:r w:rsidRPr="00141311">
        <w:rPr>
          <w:rFonts w:ascii="Times New Roman" w:eastAsia="Times New Roman" w:hAnsi="Times New Roman" w:cs="Times New Roman"/>
          <w:sz w:val="24"/>
          <w:szCs w:val="24"/>
        </w:rPr>
        <w:t xml:space="preserve">-2402983 and OSBA at Docket No. </w:t>
      </w:r>
      <w:r w:rsidR="00CF7D1B">
        <w:rPr>
          <w:rFonts w:ascii="Times New Roman" w:eastAsia="Times New Roman" w:hAnsi="Times New Roman" w:cs="Times New Roman"/>
          <w:sz w:val="24"/>
          <w:szCs w:val="24"/>
        </w:rPr>
        <w:t>C-2015-2464270</w:t>
      </w:r>
      <w:r w:rsidRPr="00141311">
        <w:rPr>
          <w:rFonts w:ascii="Times New Roman" w:eastAsia="Times New Roman" w:hAnsi="Times New Roman" w:cs="Times New Roman"/>
          <w:sz w:val="24"/>
          <w:szCs w:val="24"/>
        </w:rPr>
        <w:t xml:space="preserve"> be deemed satisfied.  </w:t>
      </w:r>
    </w:p>
    <w:p w:rsidR="00141311" w:rsidRPr="00141311" w:rsidRDefault="00141311" w:rsidP="003A4BF7">
      <w:pPr>
        <w:spacing w:after="0" w:line="360" w:lineRule="auto"/>
        <w:rPr>
          <w:rFonts w:ascii="Times New Roman" w:eastAsia="Times New Roman" w:hAnsi="Times New Roman" w:cs="Times New Roman"/>
          <w:sz w:val="24"/>
          <w:szCs w:val="24"/>
        </w:rPr>
      </w:pPr>
    </w:p>
    <w:p w:rsidR="00141311" w:rsidRPr="00456CA4" w:rsidRDefault="00141311" w:rsidP="00456CA4">
      <w:pPr>
        <w:spacing w:after="0" w:line="360" w:lineRule="auto"/>
        <w:jc w:val="center"/>
        <w:rPr>
          <w:rFonts w:ascii="Times New Roman" w:eastAsia="Times New Roman" w:hAnsi="Times New Roman" w:cs="Times New Roman"/>
          <w:sz w:val="24"/>
          <w:szCs w:val="24"/>
        </w:rPr>
      </w:pPr>
      <w:r w:rsidRPr="00456CA4">
        <w:rPr>
          <w:rFonts w:ascii="Times New Roman" w:eastAsia="Times New Roman" w:hAnsi="Times New Roman" w:cs="Times New Roman"/>
          <w:sz w:val="24"/>
          <w:szCs w:val="24"/>
        </w:rPr>
        <w:lastRenderedPageBreak/>
        <w:t>V</w:t>
      </w:r>
      <w:r w:rsidR="00456CA4">
        <w:rPr>
          <w:rFonts w:ascii="Times New Roman" w:eastAsia="Times New Roman" w:hAnsi="Times New Roman" w:cs="Times New Roman"/>
          <w:sz w:val="24"/>
          <w:szCs w:val="24"/>
        </w:rPr>
        <w:t>II</w:t>
      </w:r>
      <w:r w:rsidRPr="00456CA4">
        <w:rPr>
          <w:rFonts w:ascii="Times New Roman" w:eastAsia="Times New Roman" w:hAnsi="Times New Roman" w:cs="Times New Roman"/>
          <w:sz w:val="24"/>
          <w:szCs w:val="24"/>
        </w:rPr>
        <w:t>.</w:t>
      </w:r>
      <w:r w:rsidRPr="00456CA4">
        <w:rPr>
          <w:rFonts w:ascii="Times New Roman" w:eastAsia="Times New Roman" w:hAnsi="Times New Roman" w:cs="Times New Roman"/>
          <w:sz w:val="24"/>
          <w:szCs w:val="24"/>
        </w:rPr>
        <w:tab/>
      </w:r>
      <w:r w:rsidRPr="00456CA4">
        <w:rPr>
          <w:rFonts w:ascii="Times New Roman" w:eastAsia="Times New Roman" w:hAnsi="Times New Roman" w:cs="Times New Roman"/>
          <w:sz w:val="24"/>
          <w:szCs w:val="24"/>
          <w:u w:val="single"/>
        </w:rPr>
        <w:t>CONCLUSIONS OF LAW</w:t>
      </w:r>
    </w:p>
    <w:p w:rsidR="00141311" w:rsidRPr="00141311" w:rsidRDefault="00141311" w:rsidP="003A4BF7">
      <w:pPr>
        <w:spacing w:after="0" w:line="360" w:lineRule="auto"/>
        <w:rPr>
          <w:rFonts w:ascii="Times New Roman" w:eastAsia="Times New Roman" w:hAnsi="Times New Roman" w:cs="Times New Roman"/>
          <w:sz w:val="24"/>
          <w:szCs w:val="24"/>
        </w:rPr>
      </w:pPr>
    </w:p>
    <w:p w:rsidR="00141311" w:rsidRPr="00141311" w:rsidRDefault="00141311" w:rsidP="00456CA4">
      <w:pPr>
        <w:numPr>
          <w:ilvl w:val="0"/>
          <w:numId w:val="12"/>
        </w:numPr>
        <w:tabs>
          <w:tab w:val="clear" w:pos="720"/>
          <w:tab w:val="num" w:pos="0"/>
        </w:tabs>
        <w:spacing w:after="0" w:line="360" w:lineRule="auto"/>
        <w:ind w:left="0" w:firstLine="1440"/>
        <w:rPr>
          <w:rFonts w:ascii="Times New Roman" w:eastAsia="Times New Roman" w:hAnsi="Times New Roman" w:cs="Times New Roman"/>
          <w:sz w:val="24"/>
          <w:szCs w:val="24"/>
        </w:rPr>
      </w:pPr>
      <w:r w:rsidRPr="00141311">
        <w:rPr>
          <w:rFonts w:ascii="Times New Roman" w:eastAsia="Times New Roman" w:hAnsi="Times New Roman" w:cs="Times New Roman"/>
          <w:sz w:val="24"/>
          <w:szCs w:val="24"/>
        </w:rPr>
        <w:t xml:space="preserve">The Commission has jurisdiction over the subject matter and the </w:t>
      </w:r>
      <w:r w:rsidR="00837499">
        <w:rPr>
          <w:rFonts w:ascii="Times New Roman" w:eastAsia="Times New Roman" w:hAnsi="Times New Roman" w:cs="Times New Roman"/>
          <w:sz w:val="24"/>
          <w:szCs w:val="24"/>
        </w:rPr>
        <w:t>P</w:t>
      </w:r>
      <w:r w:rsidRPr="00141311">
        <w:rPr>
          <w:rFonts w:ascii="Times New Roman" w:eastAsia="Times New Roman" w:hAnsi="Times New Roman" w:cs="Times New Roman"/>
          <w:sz w:val="24"/>
          <w:szCs w:val="24"/>
        </w:rPr>
        <w:t xml:space="preserve">arties to this proceeding.  </w:t>
      </w:r>
      <w:proofErr w:type="gramStart"/>
      <w:r w:rsidRPr="00141311">
        <w:rPr>
          <w:rFonts w:ascii="Times New Roman" w:eastAsia="Times New Roman" w:hAnsi="Times New Roman" w:cs="Times New Roman"/>
          <w:sz w:val="24"/>
          <w:szCs w:val="24"/>
        </w:rPr>
        <w:t>66 Pa.C.S.</w:t>
      </w:r>
      <w:proofErr w:type="gramEnd"/>
      <w:r w:rsidRPr="00141311">
        <w:rPr>
          <w:rFonts w:ascii="Times New Roman" w:eastAsia="Times New Roman" w:hAnsi="Times New Roman" w:cs="Times New Roman"/>
          <w:sz w:val="24"/>
          <w:szCs w:val="24"/>
        </w:rPr>
        <w:t xml:space="preserve"> §§ 501, et seq.</w:t>
      </w:r>
    </w:p>
    <w:p w:rsidR="00141311" w:rsidRPr="00141311" w:rsidRDefault="00141311" w:rsidP="003A4BF7">
      <w:pPr>
        <w:spacing w:after="0" w:line="360" w:lineRule="auto"/>
        <w:ind w:left="1440"/>
        <w:rPr>
          <w:rFonts w:ascii="Times New Roman" w:eastAsia="Times New Roman" w:hAnsi="Times New Roman" w:cs="Times New Roman"/>
          <w:sz w:val="24"/>
          <w:szCs w:val="24"/>
        </w:rPr>
      </w:pPr>
    </w:p>
    <w:p w:rsidR="00141311" w:rsidRPr="00141311" w:rsidRDefault="00141311" w:rsidP="00456CA4">
      <w:pPr>
        <w:numPr>
          <w:ilvl w:val="0"/>
          <w:numId w:val="12"/>
        </w:numPr>
        <w:tabs>
          <w:tab w:val="clear" w:pos="720"/>
          <w:tab w:val="num" w:pos="0"/>
        </w:tabs>
        <w:spacing w:after="0" w:line="360" w:lineRule="auto"/>
        <w:ind w:left="0" w:firstLine="1440"/>
        <w:rPr>
          <w:rFonts w:ascii="Times New Roman" w:eastAsia="Times New Roman" w:hAnsi="Times New Roman" w:cs="Times New Roman"/>
          <w:sz w:val="24"/>
          <w:szCs w:val="24"/>
        </w:rPr>
      </w:pPr>
      <w:r w:rsidRPr="00141311">
        <w:rPr>
          <w:rFonts w:ascii="Times New Roman" w:eastAsia="Times New Roman" w:hAnsi="Times New Roman" w:cs="Times New Roman"/>
          <w:sz w:val="24"/>
          <w:szCs w:val="24"/>
        </w:rPr>
        <w:t xml:space="preserve">There is sufficient evidence in the record to make the findings required by Section 1318 of the Public Utility Code.  </w:t>
      </w:r>
      <w:proofErr w:type="gramStart"/>
      <w:r w:rsidRPr="00141311">
        <w:rPr>
          <w:rFonts w:ascii="Times New Roman" w:eastAsia="Times New Roman" w:hAnsi="Times New Roman" w:cs="Times New Roman"/>
          <w:sz w:val="24"/>
          <w:szCs w:val="24"/>
        </w:rPr>
        <w:t>66 Pa.C.S.</w:t>
      </w:r>
      <w:proofErr w:type="gramEnd"/>
      <w:r w:rsidRPr="00141311">
        <w:rPr>
          <w:rFonts w:ascii="Times New Roman" w:eastAsia="Times New Roman" w:hAnsi="Times New Roman" w:cs="Times New Roman"/>
          <w:sz w:val="24"/>
          <w:szCs w:val="24"/>
        </w:rPr>
        <w:t xml:space="preserve"> § 1318.</w:t>
      </w:r>
    </w:p>
    <w:p w:rsidR="00141311" w:rsidRPr="00141311" w:rsidRDefault="00141311" w:rsidP="003A4BF7">
      <w:pPr>
        <w:spacing w:after="0" w:line="360" w:lineRule="auto"/>
        <w:ind w:left="1440"/>
        <w:rPr>
          <w:rFonts w:ascii="Times New Roman" w:eastAsia="Times New Roman" w:hAnsi="Times New Roman" w:cs="Times New Roman"/>
          <w:sz w:val="24"/>
          <w:szCs w:val="24"/>
        </w:rPr>
      </w:pPr>
    </w:p>
    <w:p w:rsidR="00141311" w:rsidRPr="00141311" w:rsidRDefault="00141311" w:rsidP="003A4BF7">
      <w:pPr>
        <w:spacing w:after="0" w:line="360" w:lineRule="auto"/>
        <w:ind w:firstLine="1440"/>
        <w:rPr>
          <w:rFonts w:ascii="Times New Roman" w:eastAsia="Times New Roman" w:hAnsi="Times New Roman" w:cs="Times New Roman"/>
          <w:sz w:val="24"/>
          <w:szCs w:val="24"/>
        </w:rPr>
      </w:pPr>
      <w:r w:rsidRPr="00141311">
        <w:rPr>
          <w:rFonts w:ascii="Times New Roman" w:eastAsia="Times New Roman" w:hAnsi="Times New Roman" w:cs="Times New Roman"/>
          <w:sz w:val="24"/>
          <w:szCs w:val="24"/>
        </w:rPr>
        <w:t>3.</w:t>
      </w:r>
      <w:r w:rsidRPr="00141311">
        <w:rPr>
          <w:rFonts w:ascii="Times New Roman" w:eastAsia="Times New Roman" w:hAnsi="Times New Roman" w:cs="Times New Roman"/>
          <w:sz w:val="24"/>
          <w:szCs w:val="24"/>
        </w:rPr>
        <w:tab/>
        <w:t xml:space="preserve">Peoples TWP </w:t>
      </w:r>
      <w:proofErr w:type="gramStart"/>
      <w:r w:rsidRPr="00141311">
        <w:rPr>
          <w:rFonts w:ascii="Times New Roman" w:eastAsia="Times New Roman" w:hAnsi="Times New Roman" w:cs="Times New Roman"/>
          <w:sz w:val="24"/>
          <w:szCs w:val="24"/>
        </w:rPr>
        <w:t>is</w:t>
      </w:r>
      <w:proofErr w:type="gramEnd"/>
      <w:r w:rsidRPr="00141311">
        <w:rPr>
          <w:rFonts w:ascii="Times New Roman" w:eastAsia="Times New Roman" w:hAnsi="Times New Roman" w:cs="Times New Roman"/>
          <w:sz w:val="24"/>
          <w:szCs w:val="24"/>
        </w:rPr>
        <w:t xml:space="preserve"> a “public utility” and a “natural gas distribution company” as those terms are defined in Sections 102 and 2202 of the Public Utility Code, 66 Pa.C.S. </w:t>
      </w:r>
      <w:proofErr w:type="gramStart"/>
      <w:r w:rsidRPr="00141311">
        <w:rPr>
          <w:rFonts w:ascii="Times New Roman" w:eastAsia="Times New Roman" w:hAnsi="Times New Roman" w:cs="Times New Roman"/>
          <w:sz w:val="24"/>
          <w:szCs w:val="24"/>
        </w:rPr>
        <w:t>§§ 102, 2202.</w:t>
      </w:r>
      <w:proofErr w:type="gramEnd"/>
      <w:r w:rsidRPr="00141311">
        <w:rPr>
          <w:rFonts w:ascii="Times New Roman" w:eastAsia="Times New Roman" w:hAnsi="Times New Roman" w:cs="Times New Roman"/>
          <w:sz w:val="24"/>
          <w:szCs w:val="24"/>
        </w:rPr>
        <w:t xml:space="preserve">  </w:t>
      </w:r>
    </w:p>
    <w:p w:rsidR="00141311" w:rsidRPr="00141311" w:rsidRDefault="00141311" w:rsidP="003A4BF7">
      <w:pPr>
        <w:spacing w:after="0" w:line="360" w:lineRule="auto"/>
        <w:rPr>
          <w:rFonts w:ascii="Times New Roman" w:eastAsia="Times New Roman" w:hAnsi="Times New Roman" w:cs="Times New Roman"/>
          <w:sz w:val="24"/>
          <w:szCs w:val="24"/>
        </w:rPr>
      </w:pPr>
    </w:p>
    <w:p w:rsidR="00141311" w:rsidRPr="00141311" w:rsidRDefault="00141311" w:rsidP="003A4BF7">
      <w:pPr>
        <w:spacing w:after="0" w:line="360" w:lineRule="auto"/>
        <w:ind w:firstLine="1440"/>
        <w:rPr>
          <w:rFonts w:ascii="Times New Roman" w:eastAsia="Times New Roman" w:hAnsi="Times New Roman" w:cs="Times New Roman"/>
          <w:sz w:val="24"/>
          <w:szCs w:val="24"/>
        </w:rPr>
      </w:pPr>
      <w:r w:rsidRPr="00141311">
        <w:rPr>
          <w:rFonts w:ascii="Times New Roman" w:eastAsia="Times New Roman" w:hAnsi="Times New Roman" w:cs="Times New Roman"/>
          <w:sz w:val="24"/>
          <w:szCs w:val="24"/>
        </w:rPr>
        <w:t>4.</w:t>
      </w:r>
      <w:r w:rsidRPr="00141311">
        <w:rPr>
          <w:rFonts w:ascii="Times New Roman" w:eastAsia="Times New Roman" w:hAnsi="Times New Roman" w:cs="Times New Roman"/>
          <w:sz w:val="24"/>
          <w:szCs w:val="24"/>
        </w:rPr>
        <w:tab/>
        <w:t>Peoples TWP’s annual operating revenues, derived from providing gas service to customers in Pennsylvania, exceed $40 million, and therefore are governed by Section 1307(f) of the Public Utility Code, 66 Pa.C.S. § 1307(f), and the Commission’s regulations at 52 Pa.Code §§ 53.61-53.65 and 53.68.</w:t>
      </w:r>
    </w:p>
    <w:p w:rsidR="00141311" w:rsidRPr="00141311" w:rsidRDefault="00141311" w:rsidP="003A4BF7">
      <w:pPr>
        <w:spacing w:after="0" w:line="360" w:lineRule="auto"/>
        <w:rPr>
          <w:rFonts w:ascii="Times New Roman" w:eastAsia="Times New Roman" w:hAnsi="Times New Roman" w:cs="Times New Roman"/>
          <w:sz w:val="24"/>
          <w:szCs w:val="24"/>
        </w:rPr>
      </w:pPr>
    </w:p>
    <w:p w:rsidR="00141311" w:rsidRPr="00141311" w:rsidRDefault="00141311" w:rsidP="003A4BF7">
      <w:pPr>
        <w:numPr>
          <w:ilvl w:val="0"/>
          <w:numId w:val="13"/>
        </w:numPr>
        <w:tabs>
          <w:tab w:val="left" w:pos="0"/>
        </w:tabs>
        <w:spacing w:after="0" w:line="360" w:lineRule="auto"/>
        <w:ind w:left="0" w:firstLine="1440"/>
        <w:contextualSpacing/>
        <w:rPr>
          <w:rFonts w:ascii="Times New Roman" w:eastAsia="Times New Roman" w:hAnsi="Times New Roman" w:cs="Times New Roman"/>
          <w:sz w:val="24"/>
          <w:szCs w:val="24"/>
        </w:rPr>
      </w:pPr>
      <w:r w:rsidRPr="00141311">
        <w:rPr>
          <w:rFonts w:ascii="Times New Roman" w:eastAsia="Times New Roman" w:hAnsi="Times New Roman" w:cs="Times New Roman"/>
          <w:sz w:val="24"/>
          <w:szCs w:val="24"/>
        </w:rPr>
        <w:t>Peoples TWP is pursuing a least cost fuel procurement policy during the relevant time period consistent with its obligation to provide safe, adequate and reliable service to its customers in compliance with Section 1318 of the Public Utility Code, 66 Pa.C.S. § 1318.</w:t>
      </w:r>
    </w:p>
    <w:p w:rsidR="00141311" w:rsidRPr="00141311" w:rsidRDefault="00141311" w:rsidP="003A4BF7">
      <w:pPr>
        <w:spacing w:after="0" w:line="360" w:lineRule="auto"/>
        <w:rPr>
          <w:rFonts w:ascii="Times New Roman" w:eastAsia="Times New Roman" w:hAnsi="Times New Roman" w:cs="Times New Roman"/>
          <w:sz w:val="24"/>
          <w:szCs w:val="24"/>
        </w:rPr>
      </w:pPr>
    </w:p>
    <w:p w:rsidR="00141311" w:rsidRDefault="00141311" w:rsidP="003A4BF7">
      <w:pPr>
        <w:numPr>
          <w:ilvl w:val="0"/>
          <w:numId w:val="13"/>
        </w:numPr>
        <w:spacing w:after="0" w:line="360" w:lineRule="auto"/>
        <w:ind w:left="0" w:firstLine="1440"/>
        <w:rPr>
          <w:rFonts w:ascii="Times New Roman" w:eastAsia="Times New Roman" w:hAnsi="Times New Roman" w:cs="Times New Roman"/>
          <w:sz w:val="24"/>
          <w:szCs w:val="24"/>
        </w:rPr>
      </w:pPr>
      <w:r w:rsidRPr="00141311">
        <w:rPr>
          <w:rFonts w:ascii="Times New Roman" w:eastAsia="Times New Roman" w:hAnsi="Times New Roman" w:cs="Times New Roman"/>
          <w:sz w:val="24"/>
          <w:szCs w:val="24"/>
        </w:rPr>
        <w:t>Peoples TWP’s rates for purchased gas costs, as the Parties have agreed upon in this proceeding, during the relevant time period, are just and reasonable and in compliance with Section 1318 of the Public Utility Code, 66 Pa.C.S. § 1318.</w:t>
      </w:r>
    </w:p>
    <w:p w:rsidR="00F94CD6" w:rsidRPr="00141311" w:rsidRDefault="00F94CD6" w:rsidP="00F94CD6">
      <w:pPr>
        <w:spacing w:after="0" w:line="360" w:lineRule="auto"/>
        <w:ind w:left="1440"/>
        <w:rPr>
          <w:rFonts w:ascii="Times New Roman" w:eastAsia="Times New Roman" w:hAnsi="Times New Roman" w:cs="Times New Roman"/>
          <w:sz w:val="24"/>
          <w:szCs w:val="24"/>
        </w:rPr>
      </w:pPr>
    </w:p>
    <w:p w:rsidR="00141311" w:rsidRPr="00141311" w:rsidRDefault="00141311" w:rsidP="003A4BF7">
      <w:pPr>
        <w:numPr>
          <w:ilvl w:val="0"/>
          <w:numId w:val="13"/>
        </w:numPr>
        <w:spacing w:after="0" w:line="360" w:lineRule="auto"/>
        <w:ind w:left="0" w:firstLine="1440"/>
        <w:rPr>
          <w:rFonts w:ascii="Times New Roman" w:eastAsia="Times New Roman" w:hAnsi="Times New Roman" w:cs="Times New Roman"/>
          <w:sz w:val="24"/>
          <w:szCs w:val="24"/>
        </w:rPr>
      </w:pPr>
      <w:r w:rsidRPr="00141311">
        <w:rPr>
          <w:rFonts w:ascii="Times New Roman" w:eastAsia="Times New Roman" w:hAnsi="Times New Roman" w:cs="Times New Roman"/>
          <w:sz w:val="24"/>
          <w:szCs w:val="24"/>
        </w:rPr>
        <w:t>Peoples TWP has caused the interests of its ratepayers to be fully and vigorously represented in proceedings before the FERC and other relevant non-PUC proceedings during the relevant time period in compliance with Section 1318(a)(1) of the Public Utility Code, 66 Pa.C.S. § 1318(a</w:t>
      </w:r>
      <w:proofErr w:type="gramStart"/>
      <w:r w:rsidRPr="00141311">
        <w:rPr>
          <w:rFonts w:ascii="Times New Roman" w:eastAsia="Times New Roman" w:hAnsi="Times New Roman" w:cs="Times New Roman"/>
          <w:sz w:val="24"/>
          <w:szCs w:val="24"/>
        </w:rPr>
        <w:t>)(</w:t>
      </w:r>
      <w:proofErr w:type="gramEnd"/>
      <w:r w:rsidRPr="00141311">
        <w:rPr>
          <w:rFonts w:ascii="Times New Roman" w:eastAsia="Times New Roman" w:hAnsi="Times New Roman" w:cs="Times New Roman"/>
          <w:sz w:val="24"/>
          <w:szCs w:val="24"/>
        </w:rPr>
        <w:t>1).</w:t>
      </w:r>
    </w:p>
    <w:p w:rsidR="00141311" w:rsidRPr="00141311" w:rsidRDefault="00141311" w:rsidP="003A4BF7">
      <w:pPr>
        <w:spacing w:after="0" w:line="360" w:lineRule="auto"/>
        <w:rPr>
          <w:rFonts w:ascii="Times New Roman" w:eastAsia="Times New Roman" w:hAnsi="Times New Roman" w:cs="Times New Roman"/>
          <w:sz w:val="24"/>
          <w:szCs w:val="24"/>
        </w:rPr>
      </w:pPr>
    </w:p>
    <w:p w:rsidR="00141311" w:rsidRPr="00141311" w:rsidRDefault="00141311" w:rsidP="00456CA4">
      <w:pPr>
        <w:numPr>
          <w:ilvl w:val="0"/>
          <w:numId w:val="13"/>
        </w:numPr>
        <w:spacing w:after="0" w:line="360" w:lineRule="auto"/>
        <w:ind w:left="0" w:firstLine="1440"/>
        <w:rPr>
          <w:rFonts w:ascii="Times New Roman" w:eastAsia="Times New Roman" w:hAnsi="Times New Roman" w:cs="Times New Roman"/>
          <w:sz w:val="24"/>
          <w:szCs w:val="24"/>
        </w:rPr>
      </w:pPr>
      <w:r w:rsidRPr="00141311">
        <w:rPr>
          <w:rFonts w:ascii="Times New Roman" w:eastAsia="Times New Roman" w:hAnsi="Times New Roman" w:cs="Times New Roman"/>
          <w:sz w:val="24"/>
          <w:szCs w:val="24"/>
        </w:rPr>
        <w:lastRenderedPageBreak/>
        <w:t>Peoples TWP has taken all prudent steps necessary to negotiate favorable gas supply contracts and to relieve itself from terms in existing contracts with its gas suppliers, as the Parties have agreed upon in this proceeding, which are or may be adverse to the interests of its ratepayers, during the relevant time period in compliance with Section 1318(a</w:t>
      </w:r>
      <w:proofErr w:type="gramStart"/>
      <w:r w:rsidRPr="00141311">
        <w:rPr>
          <w:rFonts w:ascii="Times New Roman" w:eastAsia="Times New Roman" w:hAnsi="Times New Roman" w:cs="Times New Roman"/>
          <w:sz w:val="24"/>
          <w:szCs w:val="24"/>
        </w:rPr>
        <w:t>)(</w:t>
      </w:r>
      <w:proofErr w:type="gramEnd"/>
      <w:r w:rsidRPr="00141311">
        <w:rPr>
          <w:rFonts w:ascii="Times New Roman" w:eastAsia="Times New Roman" w:hAnsi="Times New Roman" w:cs="Times New Roman"/>
          <w:sz w:val="24"/>
          <w:szCs w:val="24"/>
        </w:rPr>
        <w:t>2) of the Public Utility Code, 66 Pa.C.S. § 1318(a</w:t>
      </w:r>
      <w:proofErr w:type="gramStart"/>
      <w:r w:rsidRPr="00141311">
        <w:rPr>
          <w:rFonts w:ascii="Times New Roman" w:eastAsia="Times New Roman" w:hAnsi="Times New Roman" w:cs="Times New Roman"/>
          <w:sz w:val="24"/>
          <w:szCs w:val="24"/>
        </w:rPr>
        <w:t>)(</w:t>
      </w:r>
      <w:proofErr w:type="gramEnd"/>
      <w:r w:rsidRPr="00141311">
        <w:rPr>
          <w:rFonts w:ascii="Times New Roman" w:eastAsia="Times New Roman" w:hAnsi="Times New Roman" w:cs="Times New Roman"/>
          <w:sz w:val="24"/>
          <w:szCs w:val="24"/>
        </w:rPr>
        <w:t>2).</w:t>
      </w:r>
    </w:p>
    <w:p w:rsidR="00141311" w:rsidRPr="00141311" w:rsidRDefault="00141311" w:rsidP="003A4BF7">
      <w:pPr>
        <w:spacing w:after="0" w:line="360" w:lineRule="auto"/>
        <w:ind w:firstLine="1440"/>
        <w:rPr>
          <w:rFonts w:ascii="Times New Roman" w:eastAsia="Times New Roman" w:hAnsi="Times New Roman" w:cs="Times New Roman"/>
          <w:sz w:val="24"/>
          <w:szCs w:val="24"/>
        </w:rPr>
      </w:pPr>
    </w:p>
    <w:p w:rsidR="00141311" w:rsidRPr="00141311" w:rsidRDefault="00141311" w:rsidP="0099364D">
      <w:pPr>
        <w:numPr>
          <w:ilvl w:val="0"/>
          <w:numId w:val="13"/>
        </w:numPr>
        <w:spacing w:after="0" w:line="360" w:lineRule="auto"/>
        <w:ind w:left="0" w:firstLine="1440"/>
        <w:rPr>
          <w:rFonts w:ascii="Times New Roman" w:eastAsia="Times New Roman" w:hAnsi="Times New Roman" w:cs="Times New Roman"/>
          <w:sz w:val="24"/>
          <w:szCs w:val="24"/>
        </w:rPr>
      </w:pPr>
      <w:r w:rsidRPr="00141311">
        <w:rPr>
          <w:rFonts w:ascii="Times New Roman" w:eastAsia="Times New Roman" w:hAnsi="Times New Roman" w:cs="Times New Roman"/>
          <w:sz w:val="24"/>
          <w:szCs w:val="24"/>
        </w:rPr>
        <w:t>Peoples TWP has taken all prudent steps necessary during the relevant time period to obtain lower cost gas supplies on both short-term and long-term bases both within and outside the Commonwealth, as the Parties have agreed upon in this proceeding, including the use of gas transportation arrangements with pipelines and other distribution companies in compliance with Section 1318(a</w:t>
      </w:r>
      <w:proofErr w:type="gramStart"/>
      <w:r w:rsidRPr="00141311">
        <w:rPr>
          <w:rFonts w:ascii="Times New Roman" w:eastAsia="Times New Roman" w:hAnsi="Times New Roman" w:cs="Times New Roman"/>
          <w:sz w:val="24"/>
          <w:szCs w:val="24"/>
        </w:rPr>
        <w:t>)(</w:t>
      </w:r>
      <w:proofErr w:type="gramEnd"/>
      <w:r w:rsidRPr="00141311">
        <w:rPr>
          <w:rFonts w:ascii="Times New Roman" w:eastAsia="Times New Roman" w:hAnsi="Times New Roman" w:cs="Times New Roman"/>
          <w:sz w:val="24"/>
          <w:szCs w:val="24"/>
        </w:rPr>
        <w:t>3) of the Public Utility Code, 66 Pa.C.S. §</w:t>
      </w:r>
      <w:r w:rsidR="00F94CD6">
        <w:rPr>
          <w:rFonts w:ascii="Times New Roman" w:eastAsia="Times New Roman" w:hAnsi="Times New Roman" w:cs="Times New Roman"/>
          <w:sz w:val="24"/>
          <w:szCs w:val="24"/>
        </w:rPr>
        <w:t> </w:t>
      </w:r>
      <w:r w:rsidRPr="00141311">
        <w:rPr>
          <w:rFonts w:ascii="Times New Roman" w:eastAsia="Times New Roman" w:hAnsi="Times New Roman" w:cs="Times New Roman"/>
          <w:sz w:val="24"/>
          <w:szCs w:val="24"/>
        </w:rPr>
        <w:t>1318(a</w:t>
      </w:r>
      <w:proofErr w:type="gramStart"/>
      <w:r w:rsidRPr="00141311">
        <w:rPr>
          <w:rFonts w:ascii="Times New Roman" w:eastAsia="Times New Roman" w:hAnsi="Times New Roman" w:cs="Times New Roman"/>
          <w:sz w:val="24"/>
          <w:szCs w:val="24"/>
        </w:rPr>
        <w:t>)(</w:t>
      </w:r>
      <w:proofErr w:type="gramEnd"/>
      <w:r w:rsidRPr="00141311">
        <w:rPr>
          <w:rFonts w:ascii="Times New Roman" w:eastAsia="Times New Roman" w:hAnsi="Times New Roman" w:cs="Times New Roman"/>
          <w:sz w:val="24"/>
          <w:szCs w:val="24"/>
        </w:rPr>
        <w:t>3).</w:t>
      </w:r>
    </w:p>
    <w:p w:rsidR="00141311" w:rsidRPr="00141311" w:rsidRDefault="00141311" w:rsidP="003A4BF7">
      <w:pPr>
        <w:spacing w:after="0" w:line="360" w:lineRule="auto"/>
        <w:ind w:firstLine="1440"/>
        <w:rPr>
          <w:rFonts w:ascii="Times New Roman" w:eastAsia="Times New Roman" w:hAnsi="Times New Roman" w:cs="Times New Roman"/>
          <w:sz w:val="24"/>
          <w:szCs w:val="24"/>
        </w:rPr>
      </w:pPr>
    </w:p>
    <w:p w:rsidR="00141311" w:rsidRPr="00141311" w:rsidRDefault="00141311" w:rsidP="00456CA4">
      <w:pPr>
        <w:numPr>
          <w:ilvl w:val="0"/>
          <w:numId w:val="13"/>
        </w:numPr>
        <w:tabs>
          <w:tab w:val="left" w:pos="0"/>
          <w:tab w:val="left" w:pos="720"/>
        </w:tabs>
        <w:spacing w:after="0" w:line="360" w:lineRule="auto"/>
        <w:ind w:left="0" w:firstLine="1440"/>
        <w:rPr>
          <w:rFonts w:ascii="Times New Roman" w:eastAsia="Times New Roman" w:hAnsi="Times New Roman" w:cs="Times New Roman"/>
          <w:sz w:val="24"/>
          <w:szCs w:val="24"/>
        </w:rPr>
      </w:pPr>
      <w:r w:rsidRPr="00141311">
        <w:rPr>
          <w:rFonts w:ascii="Times New Roman" w:eastAsia="Times New Roman" w:hAnsi="Times New Roman" w:cs="Times New Roman"/>
          <w:sz w:val="24"/>
          <w:szCs w:val="24"/>
        </w:rPr>
        <w:t>Peoples TWP has not withheld from the market or caused to be withheld from the market during the relevant time period any gas supplies, which should have been used as part of a least cost fuel procurement policy in compliance with Section 1318(a)(4) of the Public Utility Code, 66 Pa.C.S. § 1318(a</w:t>
      </w:r>
      <w:proofErr w:type="gramStart"/>
      <w:r w:rsidRPr="00141311">
        <w:rPr>
          <w:rFonts w:ascii="Times New Roman" w:eastAsia="Times New Roman" w:hAnsi="Times New Roman" w:cs="Times New Roman"/>
          <w:sz w:val="24"/>
          <w:szCs w:val="24"/>
        </w:rPr>
        <w:t>)(</w:t>
      </w:r>
      <w:proofErr w:type="gramEnd"/>
      <w:r w:rsidRPr="00141311">
        <w:rPr>
          <w:rFonts w:ascii="Times New Roman" w:eastAsia="Times New Roman" w:hAnsi="Times New Roman" w:cs="Times New Roman"/>
          <w:sz w:val="24"/>
          <w:szCs w:val="24"/>
        </w:rPr>
        <w:t>4).</w:t>
      </w:r>
    </w:p>
    <w:p w:rsidR="00141311" w:rsidRPr="00141311" w:rsidRDefault="00141311" w:rsidP="003A4BF7">
      <w:pPr>
        <w:spacing w:after="0" w:line="360" w:lineRule="auto"/>
        <w:ind w:firstLine="1440"/>
        <w:rPr>
          <w:rFonts w:ascii="Times New Roman" w:eastAsia="Times New Roman" w:hAnsi="Times New Roman" w:cs="Times New Roman"/>
          <w:sz w:val="24"/>
          <w:szCs w:val="24"/>
        </w:rPr>
      </w:pPr>
    </w:p>
    <w:p w:rsidR="00141311" w:rsidRPr="00141311" w:rsidRDefault="00141311" w:rsidP="00456CA4">
      <w:pPr>
        <w:numPr>
          <w:ilvl w:val="0"/>
          <w:numId w:val="13"/>
        </w:numPr>
        <w:spacing w:after="0" w:line="360" w:lineRule="auto"/>
        <w:ind w:left="0" w:firstLine="1440"/>
        <w:rPr>
          <w:rFonts w:ascii="Times New Roman" w:eastAsia="Times New Roman" w:hAnsi="Times New Roman" w:cs="Times New Roman"/>
          <w:sz w:val="24"/>
          <w:szCs w:val="24"/>
        </w:rPr>
      </w:pPr>
      <w:r w:rsidRPr="00141311">
        <w:rPr>
          <w:rFonts w:ascii="Times New Roman" w:eastAsia="Times New Roman" w:hAnsi="Times New Roman" w:cs="Times New Roman"/>
          <w:sz w:val="24"/>
          <w:szCs w:val="24"/>
        </w:rPr>
        <w:t>Peoples TWP has fully and vigorously attempted to obtain less costly gas supplies on both short-term and long-term bases from nonaffiliated interests during the relevant time period, as the Parties have agreed upon in this proceeding, in compliance with Section 1318(b)(1) of the Public Utility Code, 66 Pa.C.S. § 1318(b</w:t>
      </w:r>
      <w:proofErr w:type="gramStart"/>
      <w:r w:rsidRPr="00141311">
        <w:rPr>
          <w:rFonts w:ascii="Times New Roman" w:eastAsia="Times New Roman" w:hAnsi="Times New Roman" w:cs="Times New Roman"/>
          <w:sz w:val="24"/>
          <w:szCs w:val="24"/>
        </w:rPr>
        <w:t>)(</w:t>
      </w:r>
      <w:proofErr w:type="gramEnd"/>
      <w:r w:rsidRPr="00141311">
        <w:rPr>
          <w:rFonts w:ascii="Times New Roman" w:eastAsia="Times New Roman" w:hAnsi="Times New Roman" w:cs="Times New Roman"/>
          <w:sz w:val="24"/>
          <w:szCs w:val="24"/>
        </w:rPr>
        <w:t>1).</w:t>
      </w:r>
    </w:p>
    <w:p w:rsidR="00141311" w:rsidRPr="00141311" w:rsidRDefault="00141311" w:rsidP="003A4BF7">
      <w:pPr>
        <w:spacing w:after="0" w:line="360" w:lineRule="auto"/>
        <w:ind w:left="720"/>
        <w:contextualSpacing/>
        <w:rPr>
          <w:rFonts w:ascii="Times New Roman" w:eastAsia="Times New Roman" w:hAnsi="Times New Roman" w:cs="Times New Roman"/>
          <w:sz w:val="24"/>
          <w:szCs w:val="24"/>
        </w:rPr>
      </w:pPr>
    </w:p>
    <w:p w:rsidR="00141311" w:rsidRPr="00141311" w:rsidRDefault="00141311" w:rsidP="0099364D">
      <w:pPr>
        <w:numPr>
          <w:ilvl w:val="0"/>
          <w:numId w:val="13"/>
        </w:numPr>
        <w:spacing w:after="0" w:line="360" w:lineRule="auto"/>
        <w:ind w:left="0" w:firstLine="1440"/>
        <w:rPr>
          <w:rFonts w:ascii="Times New Roman" w:eastAsia="Times New Roman" w:hAnsi="Times New Roman" w:cs="Times New Roman"/>
          <w:sz w:val="24"/>
          <w:szCs w:val="24"/>
        </w:rPr>
      </w:pPr>
      <w:r w:rsidRPr="00141311">
        <w:rPr>
          <w:rFonts w:ascii="Times New Roman" w:eastAsia="Times New Roman" w:hAnsi="Times New Roman" w:cs="Times New Roman"/>
          <w:sz w:val="24"/>
          <w:szCs w:val="24"/>
        </w:rPr>
        <w:t>Peoples TWP’s contracts for the purchase of gas from any affiliated interest during the relevant time period, as the Parties have agreed upon in this proceeding,  are consistent with a least cost fuel procurement policy in compliance with Section 1318(b)(2) of the Public Utility Code, 66 Pa.C.S. § 1318(b</w:t>
      </w:r>
      <w:proofErr w:type="gramStart"/>
      <w:r w:rsidRPr="00141311">
        <w:rPr>
          <w:rFonts w:ascii="Times New Roman" w:eastAsia="Times New Roman" w:hAnsi="Times New Roman" w:cs="Times New Roman"/>
          <w:sz w:val="24"/>
          <w:szCs w:val="24"/>
        </w:rPr>
        <w:t>)(</w:t>
      </w:r>
      <w:proofErr w:type="gramEnd"/>
      <w:r w:rsidRPr="00141311">
        <w:rPr>
          <w:rFonts w:ascii="Times New Roman" w:eastAsia="Times New Roman" w:hAnsi="Times New Roman" w:cs="Times New Roman"/>
          <w:sz w:val="24"/>
          <w:szCs w:val="24"/>
        </w:rPr>
        <w:t>2).</w:t>
      </w:r>
    </w:p>
    <w:p w:rsidR="00141311" w:rsidRPr="00141311" w:rsidRDefault="00141311" w:rsidP="003A4BF7">
      <w:pPr>
        <w:spacing w:after="0" w:line="360" w:lineRule="auto"/>
        <w:ind w:firstLine="1440"/>
        <w:rPr>
          <w:rFonts w:ascii="Times New Roman" w:eastAsia="Times New Roman" w:hAnsi="Times New Roman" w:cs="Times New Roman"/>
          <w:sz w:val="24"/>
          <w:szCs w:val="24"/>
        </w:rPr>
      </w:pPr>
    </w:p>
    <w:p w:rsidR="00141311" w:rsidRPr="00141311" w:rsidRDefault="00141311" w:rsidP="00456CA4">
      <w:pPr>
        <w:numPr>
          <w:ilvl w:val="0"/>
          <w:numId w:val="13"/>
        </w:numPr>
        <w:spacing w:after="0" w:line="360" w:lineRule="auto"/>
        <w:ind w:left="0" w:firstLine="1440"/>
        <w:rPr>
          <w:rFonts w:ascii="Times New Roman" w:eastAsia="Times New Roman" w:hAnsi="Times New Roman" w:cs="Times New Roman"/>
          <w:sz w:val="24"/>
          <w:szCs w:val="24"/>
        </w:rPr>
      </w:pPr>
      <w:r w:rsidRPr="00141311">
        <w:rPr>
          <w:rFonts w:ascii="Times New Roman" w:eastAsia="Times New Roman" w:hAnsi="Times New Roman" w:cs="Times New Roman"/>
          <w:sz w:val="24"/>
          <w:szCs w:val="24"/>
        </w:rPr>
        <w:t>Neither Peoples TWP nor any affiliated interest during the relevant time period has withheld from the market any gas supplies, which should have been used as part of a least cost fuel procurement policy in compliance with Section 1318(b)(3) of the Public Utility Code, 66 Pa.C.S. § 1318(b</w:t>
      </w:r>
      <w:proofErr w:type="gramStart"/>
      <w:r w:rsidRPr="00141311">
        <w:rPr>
          <w:rFonts w:ascii="Times New Roman" w:eastAsia="Times New Roman" w:hAnsi="Times New Roman" w:cs="Times New Roman"/>
          <w:sz w:val="24"/>
          <w:szCs w:val="24"/>
        </w:rPr>
        <w:t>)(</w:t>
      </w:r>
      <w:proofErr w:type="gramEnd"/>
      <w:r w:rsidRPr="00141311">
        <w:rPr>
          <w:rFonts w:ascii="Times New Roman" w:eastAsia="Times New Roman" w:hAnsi="Times New Roman" w:cs="Times New Roman"/>
          <w:sz w:val="24"/>
          <w:szCs w:val="24"/>
        </w:rPr>
        <w:t>3).</w:t>
      </w:r>
    </w:p>
    <w:p w:rsidR="00141311" w:rsidRPr="00141311" w:rsidRDefault="00141311" w:rsidP="00456CA4">
      <w:pPr>
        <w:numPr>
          <w:ilvl w:val="0"/>
          <w:numId w:val="13"/>
        </w:numPr>
        <w:spacing w:after="0" w:line="360" w:lineRule="auto"/>
        <w:ind w:left="0" w:firstLine="1440"/>
        <w:rPr>
          <w:rFonts w:ascii="Times New Roman" w:eastAsia="Times New Roman" w:hAnsi="Times New Roman" w:cs="Times New Roman"/>
          <w:sz w:val="24"/>
          <w:szCs w:val="24"/>
        </w:rPr>
      </w:pPr>
      <w:r w:rsidRPr="00141311">
        <w:rPr>
          <w:rFonts w:ascii="Times New Roman" w:eastAsia="Times New Roman" w:hAnsi="Times New Roman" w:cs="Times New Roman"/>
          <w:sz w:val="24"/>
          <w:szCs w:val="24"/>
        </w:rPr>
        <w:lastRenderedPageBreak/>
        <w:t xml:space="preserve">The Joint Petition </w:t>
      </w:r>
      <w:proofErr w:type="gramStart"/>
      <w:r w:rsidRPr="00141311">
        <w:rPr>
          <w:rFonts w:ascii="Times New Roman" w:eastAsia="Times New Roman" w:hAnsi="Times New Roman" w:cs="Times New Roman"/>
          <w:sz w:val="24"/>
          <w:szCs w:val="24"/>
        </w:rPr>
        <w:t>For</w:t>
      </w:r>
      <w:proofErr w:type="gramEnd"/>
      <w:r w:rsidRPr="00141311">
        <w:rPr>
          <w:rFonts w:ascii="Times New Roman" w:eastAsia="Times New Roman" w:hAnsi="Times New Roman" w:cs="Times New Roman"/>
          <w:sz w:val="24"/>
          <w:szCs w:val="24"/>
        </w:rPr>
        <w:t xml:space="preserve"> Settlement of All Issues of the Rate Investigation Pursuant to 66 Pa.C.S. § 1307(f) that Peoples TWP, I&amp;E, OCA, and OSBA have submitted at this docket is in the public interest.</w:t>
      </w:r>
    </w:p>
    <w:p w:rsidR="00141311" w:rsidRPr="00141311" w:rsidRDefault="00141311" w:rsidP="003A4BF7">
      <w:pPr>
        <w:spacing w:after="0" w:line="360" w:lineRule="auto"/>
        <w:ind w:firstLine="1440"/>
        <w:rPr>
          <w:rFonts w:ascii="Times New Roman" w:eastAsia="Times New Roman" w:hAnsi="Times New Roman" w:cs="Times New Roman"/>
          <w:sz w:val="24"/>
          <w:szCs w:val="24"/>
        </w:rPr>
      </w:pPr>
    </w:p>
    <w:p w:rsidR="00141311" w:rsidRPr="00141311" w:rsidRDefault="00141311" w:rsidP="00456CA4">
      <w:pPr>
        <w:spacing w:after="0" w:line="360" w:lineRule="auto"/>
        <w:jc w:val="center"/>
        <w:rPr>
          <w:rFonts w:ascii="Times New Roman" w:eastAsia="Times New Roman" w:hAnsi="Times New Roman" w:cs="Times New Roman"/>
          <w:sz w:val="24"/>
          <w:szCs w:val="24"/>
          <w:u w:val="single"/>
        </w:rPr>
      </w:pPr>
      <w:r w:rsidRPr="00141311">
        <w:rPr>
          <w:rFonts w:ascii="Times New Roman" w:eastAsia="Times New Roman" w:hAnsi="Times New Roman" w:cs="Times New Roman"/>
          <w:sz w:val="24"/>
          <w:szCs w:val="24"/>
        </w:rPr>
        <w:t>V</w:t>
      </w:r>
      <w:r w:rsidR="00456CA4">
        <w:rPr>
          <w:rFonts w:ascii="Times New Roman" w:eastAsia="Times New Roman" w:hAnsi="Times New Roman" w:cs="Times New Roman"/>
          <w:sz w:val="24"/>
          <w:szCs w:val="24"/>
        </w:rPr>
        <w:t>II</w:t>
      </w:r>
      <w:r w:rsidRPr="00141311">
        <w:rPr>
          <w:rFonts w:ascii="Times New Roman" w:eastAsia="Times New Roman" w:hAnsi="Times New Roman" w:cs="Times New Roman"/>
          <w:sz w:val="24"/>
          <w:szCs w:val="24"/>
        </w:rPr>
        <w:t>I.</w:t>
      </w:r>
      <w:r w:rsidRPr="00141311">
        <w:rPr>
          <w:rFonts w:ascii="Times New Roman" w:eastAsia="Times New Roman" w:hAnsi="Times New Roman" w:cs="Times New Roman"/>
          <w:sz w:val="24"/>
          <w:szCs w:val="24"/>
        </w:rPr>
        <w:tab/>
      </w:r>
      <w:r w:rsidRPr="00141311">
        <w:rPr>
          <w:rFonts w:ascii="Times New Roman" w:eastAsia="Times New Roman" w:hAnsi="Times New Roman" w:cs="Times New Roman"/>
          <w:sz w:val="24"/>
          <w:szCs w:val="24"/>
          <w:u w:val="single"/>
        </w:rPr>
        <w:t>ORDER</w:t>
      </w:r>
    </w:p>
    <w:p w:rsidR="00141311" w:rsidRPr="00141311" w:rsidRDefault="00141311" w:rsidP="003A4BF7">
      <w:pPr>
        <w:spacing w:after="0" w:line="360" w:lineRule="auto"/>
        <w:rPr>
          <w:rFonts w:ascii="Times New Roman" w:eastAsia="Times New Roman" w:hAnsi="Times New Roman" w:cs="Times New Roman"/>
          <w:sz w:val="24"/>
          <w:szCs w:val="24"/>
        </w:rPr>
      </w:pPr>
    </w:p>
    <w:p w:rsidR="00141311" w:rsidRPr="00141311" w:rsidRDefault="00141311" w:rsidP="003A4BF7">
      <w:pPr>
        <w:spacing w:after="0" w:line="360" w:lineRule="auto"/>
        <w:rPr>
          <w:rFonts w:ascii="Times New Roman" w:eastAsia="Times New Roman" w:hAnsi="Times New Roman" w:cs="Times New Roman"/>
          <w:sz w:val="24"/>
          <w:szCs w:val="24"/>
        </w:rPr>
      </w:pPr>
    </w:p>
    <w:p w:rsidR="00141311" w:rsidRPr="00141311" w:rsidRDefault="00141311" w:rsidP="003A4BF7">
      <w:pPr>
        <w:spacing w:after="0" w:line="360" w:lineRule="auto"/>
        <w:rPr>
          <w:rFonts w:ascii="Times New Roman" w:eastAsia="Times New Roman" w:hAnsi="Times New Roman" w:cs="Times New Roman"/>
          <w:sz w:val="24"/>
          <w:szCs w:val="24"/>
        </w:rPr>
      </w:pPr>
      <w:r w:rsidRPr="00141311">
        <w:rPr>
          <w:rFonts w:ascii="Times New Roman" w:eastAsia="Times New Roman" w:hAnsi="Times New Roman" w:cs="Times New Roman"/>
          <w:sz w:val="24"/>
          <w:szCs w:val="24"/>
        </w:rPr>
        <w:tab/>
      </w:r>
      <w:r w:rsidRPr="00141311">
        <w:rPr>
          <w:rFonts w:ascii="Times New Roman" w:eastAsia="Times New Roman" w:hAnsi="Times New Roman" w:cs="Times New Roman"/>
          <w:sz w:val="24"/>
          <w:szCs w:val="24"/>
        </w:rPr>
        <w:tab/>
        <w:t>THEREFORE,</w:t>
      </w:r>
    </w:p>
    <w:p w:rsidR="00141311" w:rsidRPr="00141311" w:rsidRDefault="00141311" w:rsidP="003A4BF7">
      <w:pPr>
        <w:spacing w:after="0" w:line="360" w:lineRule="auto"/>
        <w:rPr>
          <w:rFonts w:ascii="Times New Roman" w:eastAsia="Times New Roman" w:hAnsi="Times New Roman" w:cs="Times New Roman"/>
          <w:sz w:val="24"/>
          <w:szCs w:val="24"/>
        </w:rPr>
      </w:pPr>
    </w:p>
    <w:p w:rsidR="00141311" w:rsidRPr="00141311" w:rsidRDefault="00141311" w:rsidP="003A4BF7">
      <w:pPr>
        <w:spacing w:after="0" w:line="360" w:lineRule="auto"/>
        <w:rPr>
          <w:rFonts w:ascii="Times New Roman" w:eastAsia="Times New Roman" w:hAnsi="Times New Roman" w:cs="Times New Roman"/>
          <w:sz w:val="24"/>
          <w:szCs w:val="24"/>
        </w:rPr>
      </w:pPr>
      <w:r w:rsidRPr="00141311">
        <w:rPr>
          <w:rFonts w:ascii="Times New Roman" w:eastAsia="Times New Roman" w:hAnsi="Times New Roman" w:cs="Times New Roman"/>
          <w:sz w:val="24"/>
          <w:szCs w:val="24"/>
        </w:rPr>
        <w:tab/>
      </w:r>
      <w:r w:rsidRPr="00141311">
        <w:rPr>
          <w:rFonts w:ascii="Times New Roman" w:eastAsia="Times New Roman" w:hAnsi="Times New Roman" w:cs="Times New Roman"/>
          <w:sz w:val="24"/>
          <w:szCs w:val="24"/>
        </w:rPr>
        <w:tab/>
        <w:t>IT IS RECOMMENDED:</w:t>
      </w:r>
    </w:p>
    <w:p w:rsidR="00141311" w:rsidRPr="00141311" w:rsidRDefault="00141311" w:rsidP="003A4BF7">
      <w:pPr>
        <w:spacing w:after="0" w:line="360" w:lineRule="auto"/>
        <w:rPr>
          <w:rFonts w:ascii="Times New Roman" w:eastAsia="Times New Roman" w:hAnsi="Times New Roman" w:cs="Times New Roman"/>
          <w:sz w:val="24"/>
          <w:szCs w:val="24"/>
        </w:rPr>
      </w:pPr>
    </w:p>
    <w:p w:rsidR="00141311" w:rsidRDefault="00141311" w:rsidP="00456CA4">
      <w:pPr>
        <w:numPr>
          <w:ilvl w:val="0"/>
          <w:numId w:val="14"/>
        </w:numPr>
        <w:tabs>
          <w:tab w:val="clear" w:pos="720"/>
          <w:tab w:val="num" w:pos="0"/>
        </w:tabs>
        <w:spacing w:after="0" w:line="360" w:lineRule="auto"/>
        <w:ind w:left="0" w:firstLine="1440"/>
        <w:rPr>
          <w:rFonts w:ascii="Times New Roman" w:eastAsia="Times New Roman" w:hAnsi="Times New Roman" w:cs="Times New Roman"/>
          <w:sz w:val="24"/>
          <w:szCs w:val="20"/>
        </w:rPr>
      </w:pPr>
      <w:r w:rsidRPr="00141311">
        <w:rPr>
          <w:rFonts w:ascii="Times New Roman" w:eastAsia="Times New Roman" w:hAnsi="Times New Roman" w:cs="Times New Roman"/>
          <w:sz w:val="24"/>
          <w:szCs w:val="20"/>
        </w:rPr>
        <w:t>That the Joint Settlement of All Issues of the Rate Investigation Pursuant to 66 Pa.C.S. § 1307(f) submitted by Peoples TWP LLC, the Commission’s Bureau of Investigation and Enforcement, the Office of Consumer Advocate, and the Office of Small Business Advocate, at Docket No. R</w:t>
      </w:r>
      <w:r w:rsidRPr="00141311">
        <w:rPr>
          <w:rFonts w:ascii="Times New Roman" w:eastAsia="Times New Roman" w:hAnsi="Times New Roman" w:cs="Times New Roman"/>
          <w:sz w:val="24"/>
          <w:szCs w:val="20"/>
        </w:rPr>
        <w:noBreakHyphen/>
        <w:t>2014-</w:t>
      </w:r>
      <w:proofErr w:type="gramStart"/>
      <w:r w:rsidRPr="00141311">
        <w:rPr>
          <w:rFonts w:ascii="Times New Roman" w:eastAsia="Times New Roman" w:hAnsi="Times New Roman" w:cs="Times New Roman"/>
          <w:sz w:val="24"/>
          <w:szCs w:val="20"/>
        </w:rPr>
        <w:t>2456648,</w:t>
      </w:r>
      <w:proofErr w:type="gramEnd"/>
      <w:r w:rsidRPr="00141311">
        <w:rPr>
          <w:rFonts w:ascii="Times New Roman" w:eastAsia="Times New Roman" w:hAnsi="Times New Roman" w:cs="Times New Roman"/>
          <w:sz w:val="24"/>
          <w:szCs w:val="20"/>
        </w:rPr>
        <w:t xml:space="preserve"> is hereby approved in its entirety without modification.</w:t>
      </w:r>
    </w:p>
    <w:p w:rsidR="00167403" w:rsidRPr="00141311" w:rsidRDefault="00167403" w:rsidP="00167403">
      <w:pPr>
        <w:spacing w:after="0" w:line="360" w:lineRule="auto"/>
        <w:ind w:left="1440"/>
        <w:rPr>
          <w:rFonts w:ascii="Times New Roman" w:eastAsia="Times New Roman" w:hAnsi="Times New Roman" w:cs="Times New Roman"/>
          <w:sz w:val="24"/>
          <w:szCs w:val="20"/>
        </w:rPr>
      </w:pPr>
    </w:p>
    <w:p w:rsidR="00141311" w:rsidRPr="00141311" w:rsidRDefault="00141311" w:rsidP="00456CA4">
      <w:pPr>
        <w:numPr>
          <w:ilvl w:val="0"/>
          <w:numId w:val="14"/>
        </w:numPr>
        <w:tabs>
          <w:tab w:val="clear" w:pos="720"/>
          <w:tab w:val="num" w:pos="0"/>
        </w:tabs>
        <w:spacing w:after="0" w:line="360" w:lineRule="auto"/>
        <w:ind w:left="0" w:firstLine="1440"/>
        <w:rPr>
          <w:rFonts w:ascii="Times New Roman" w:eastAsia="Times New Roman" w:hAnsi="Times New Roman" w:cs="Times New Roman"/>
          <w:sz w:val="24"/>
          <w:szCs w:val="20"/>
        </w:rPr>
      </w:pPr>
      <w:r w:rsidRPr="00141311">
        <w:rPr>
          <w:rFonts w:ascii="Times New Roman" w:eastAsia="Times New Roman" w:hAnsi="Times New Roman" w:cs="Times New Roman"/>
          <w:sz w:val="24"/>
          <w:szCs w:val="20"/>
        </w:rPr>
        <w:t>That Peoples TWP LLC shall file a tariff supplement incorporating the terms of the Settlement Petition and changes to its rates as set forth in Attachment A of the Settlement Petition, for service to be rendered on or after August 1, 2015, subject to revision to become effective on</w:t>
      </w:r>
      <w:r w:rsidR="00DA1BC2">
        <w:rPr>
          <w:rFonts w:ascii="Times New Roman" w:eastAsia="Times New Roman" w:hAnsi="Times New Roman" w:cs="Times New Roman"/>
          <w:sz w:val="24"/>
          <w:szCs w:val="20"/>
        </w:rPr>
        <w:t xml:space="preserve"> at least</w:t>
      </w:r>
      <w:r w:rsidRPr="00141311">
        <w:rPr>
          <w:rFonts w:ascii="Times New Roman" w:eastAsia="Times New Roman" w:hAnsi="Times New Roman" w:cs="Times New Roman"/>
          <w:sz w:val="24"/>
          <w:szCs w:val="20"/>
        </w:rPr>
        <w:t xml:space="preserve"> one day’s notice after entry of the Commission’s Order approving the Settlement.</w:t>
      </w:r>
    </w:p>
    <w:p w:rsidR="00141311" w:rsidRPr="00141311" w:rsidRDefault="00141311" w:rsidP="003A4BF7">
      <w:pPr>
        <w:spacing w:after="0" w:line="360" w:lineRule="auto"/>
        <w:ind w:left="1440"/>
        <w:rPr>
          <w:rFonts w:ascii="Times New Roman" w:eastAsia="Times New Roman" w:hAnsi="Times New Roman" w:cs="Times New Roman"/>
          <w:sz w:val="24"/>
          <w:szCs w:val="20"/>
        </w:rPr>
      </w:pPr>
    </w:p>
    <w:p w:rsidR="00141311" w:rsidRPr="00141311" w:rsidRDefault="00141311" w:rsidP="00456CA4">
      <w:pPr>
        <w:numPr>
          <w:ilvl w:val="0"/>
          <w:numId w:val="14"/>
        </w:numPr>
        <w:tabs>
          <w:tab w:val="clear" w:pos="720"/>
          <w:tab w:val="num" w:pos="0"/>
        </w:tabs>
        <w:spacing w:after="0" w:line="360" w:lineRule="auto"/>
        <w:ind w:left="0" w:firstLine="1440"/>
        <w:rPr>
          <w:rFonts w:ascii="Times New Roman" w:eastAsia="Times New Roman" w:hAnsi="Times New Roman" w:cs="Times New Roman"/>
          <w:sz w:val="24"/>
          <w:szCs w:val="20"/>
        </w:rPr>
      </w:pPr>
      <w:r w:rsidRPr="00141311">
        <w:rPr>
          <w:rFonts w:ascii="Times New Roman" w:eastAsia="Times New Roman" w:hAnsi="Times New Roman" w:cs="Times New Roman"/>
          <w:sz w:val="24"/>
          <w:szCs w:val="20"/>
        </w:rPr>
        <w:t>That the Formal Complaint of the Office of Consum</w:t>
      </w:r>
      <w:r w:rsidR="00DA1BC2">
        <w:rPr>
          <w:rFonts w:ascii="Times New Roman" w:eastAsia="Times New Roman" w:hAnsi="Times New Roman" w:cs="Times New Roman"/>
          <w:sz w:val="24"/>
          <w:szCs w:val="20"/>
        </w:rPr>
        <w:t>er Advocate at Docket No. C</w:t>
      </w:r>
      <w:r w:rsidR="00DA1BC2">
        <w:rPr>
          <w:rFonts w:ascii="Times New Roman" w:eastAsia="Times New Roman" w:hAnsi="Times New Roman" w:cs="Times New Roman"/>
          <w:sz w:val="24"/>
          <w:szCs w:val="20"/>
        </w:rPr>
        <w:noBreakHyphen/>
        <w:t>2015</w:t>
      </w:r>
      <w:r w:rsidRPr="00141311">
        <w:rPr>
          <w:rFonts w:ascii="Times New Roman" w:eastAsia="Times New Roman" w:hAnsi="Times New Roman" w:cs="Times New Roman"/>
          <w:sz w:val="24"/>
          <w:szCs w:val="20"/>
        </w:rPr>
        <w:t>-2402983 is deemed satisfied and the docket shall be marked closed.</w:t>
      </w:r>
    </w:p>
    <w:p w:rsidR="00141311" w:rsidRPr="00141311" w:rsidRDefault="00141311" w:rsidP="003A4BF7">
      <w:pPr>
        <w:spacing w:after="0" w:line="360" w:lineRule="auto"/>
        <w:ind w:firstLine="1440"/>
        <w:rPr>
          <w:rFonts w:ascii="Times New Roman" w:eastAsia="Times New Roman" w:hAnsi="Times New Roman" w:cs="Times New Roman"/>
          <w:sz w:val="24"/>
          <w:szCs w:val="20"/>
        </w:rPr>
      </w:pPr>
    </w:p>
    <w:p w:rsidR="00141311" w:rsidRPr="00141311" w:rsidRDefault="00141311" w:rsidP="00456CA4">
      <w:pPr>
        <w:numPr>
          <w:ilvl w:val="0"/>
          <w:numId w:val="14"/>
        </w:numPr>
        <w:tabs>
          <w:tab w:val="clear" w:pos="720"/>
          <w:tab w:val="num" w:pos="0"/>
        </w:tabs>
        <w:spacing w:after="0" w:line="360" w:lineRule="auto"/>
        <w:ind w:left="0" w:firstLine="1440"/>
        <w:rPr>
          <w:rFonts w:ascii="Times New Roman" w:eastAsia="Times New Roman" w:hAnsi="Times New Roman" w:cs="Times New Roman"/>
          <w:sz w:val="24"/>
          <w:szCs w:val="20"/>
        </w:rPr>
      </w:pPr>
      <w:r w:rsidRPr="00141311">
        <w:rPr>
          <w:rFonts w:ascii="Times New Roman" w:eastAsia="Times New Roman" w:hAnsi="Times New Roman" w:cs="Times New Roman"/>
          <w:sz w:val="24"/>
          <w:szCs w:val="20"/>
        </w:rPr>
        <w:t xml:space="preserve">That the Formal Complaint of the Office of Small Business Advocate at Docket No. </w:t>
      </w:r>
      <w:r w:rsidR="00CF7D1B">
        <w:rPr>
          <w:rFonts w:ascii="Times New Roman" w:eastAsia="Times New Roman" w:hAnsi="Times New Roman" w:cs="Times New Roman"/>
          <w:sz w:val="24"/>
          <w:szCs w:val="20"/>
        </w:rPr>
        <w:t>C-2015-2464270</w:t>
      </w:r>
      <w:r w:rsidRPr="00141311">
        <w:rPr>
          <w:rFonts w:ascii="Times New Roman" w:eastAsia="Times New Roman" w:hAnsi="Times New Roman" w:cs="Times New Roman"/>
          <w:sz w:val="24"/>
          <w:szCs w:val="20"/>
        </w:rPr>
        <w:t xml:space="preserve"> is deemed satisfied and the docket shall be marked closed.</w:t>
      </w:r>
    </w:p>
    <w:p w:rsidR="00141311" w:rsidRPr="00141311" w:rsidRDefault="00141311" w:rsidP="003A4BF7">
      <w:pPr>
        <w:spacing w:after="0" w:line="360" w:lineRule="auto"/>
        <w:ind w:firstLine="1440"/>
        <w:rPr>
          <w:rFonts w:ascii="Times New Roman" w:eastAsia="Times New Roman" w:hAnsi="Times New Roman" w:cs="Times New Roman"/>
          <w:sz w:val="24"/>
          <w:szCs w:val="20"/>
        </w:rPr>
      </w:pPr>
    </w:p>
    <w:p w:rsidR="00141311" w:rsidRPr="00141311" w:rsidRDefault="00141311" w:rsidP="00456CA4">
      <w:pPr>
        <w:numPr>
          <w:ilvl w:val="0"/>
          <w:numId w:val="14"/>
        </w:numPr>
        <w:tabs>
          <w:tab w:val="clear" w:pos="720"/>
          <w:tab w:val="num" w:pos="0"/>
        </w:tabs>
        <w:spacing w:after="0" w:line="360" w:lineRule="auto"/>
        <w:ind w:left="0" w:firstLine="1440"/>
        <w:rPr>
          <w:rFonts w:ascii="Times New Roman" w:eastAsia="Times New Roman" w:hAnsi="Times New Roman" w:cs="Times New Roman"/>
          <w:sz w:val="24"/>
          <w:szCs w:val="20"/>
        </w:rPr>
      </w:pPr>
      <w:r w:rsidRPr="00141311">
        <w:rPr>
          <w:rFonts w:ascii="Times New Roman" w:eastAsia="Times New Roman" w:hAnsi="Times New Roman" w:cs="Times New Roman"/>
          <w:sz w:val="24"/>
          <w:szCs w:val="20"/>
        </w:rPr>
        <w:t xml:space="preserve">That upon the filing of a tariff supplement by Peoples TWP </w:t>
      </w:r>
      <w:r w:rsidR="00DE540D">
        <w:rPr>
          <w:rFonts w:ascii="Times New Roman" w:eastAsia="Times New Roman" w:hAnsi="Times New Roman" w:cs="Times New Roman"/>
          <w:sz w:val="24"/>
          <w:szCs w:val="20"/>
        </w:rPr>
        <w:t xml:space="preserve">LLC </w:t>
      </w:r>
      <w:r w:rsidRPr="00141311">
        <w:rPr>
          <w:rFonts w:ascii="Times New Roman" w:eastAsia="Times New Roman" w:hAnsi="Times New Roman" w:cs="Times New Roman"/>
          <w:sz w:val="24"/>
          <w:szCs w:val="20"/>
        </w:rPr>
        <w:t xml:space="preserve">acceptable to the Commission as conforming with this Recommended </w:t>
      </w:r>
      <w:r w:rsidR="00DA1BC2">
        <w:rPr>
          <w:rFonts w:ascii="Times New Roman" w:eastAsia="Times New Roman" w:hAnsi="Times New Roman" w:cs="Times New Roman"/>
          <w:sz w:val="24"/>
          <w:szCs w:val="20"/>
        </w:rPr>
        <w:t>Decision</w:t>
      </w:r>
      <w:r w:rsidRPr="00141311">
        <w:rPr>
          <w:rFonts w:ascii="Times New Roman" w:eastAsia="Times New Roman" w:hAnsi="Times New Roman" w:cs="Times New Roman"/>
          <w:sz w:val="24"/>
          <w:szCs w:val="20"/>
        </w:rPr>
        <w:t xml:space="preserve"> and the </w:t>
      </w:r>
      <w:r w:rsidRPr="00141311">
        <w:rPr>
          <w:rFonts w:ascii="Times New Roman" w:eastAsia="Times New Roman" w:hAnsi="Times New Roman" w:cs="Times New Roman"/>
          <w:sz w:val="24"/>
          <w:szCs w:val="20"/>
        </w:rPr>
        <w:lastRenderedPageBreak/>
        <w:t>Settlement Petition and the Commission’s approval thereof, the purchased gas rates established therein shall become effective for service rendered on and after August 1, 2015.</w:t>
      </w:r>
    </w:p>
    <w:p w:rsidR="00141311" w:rsidRPr="00141311" w:rsidRDefault="00141311" w:rsidP="003A4BF7">
      <w:pPr>
        <w:spacing w:after="0" w:line="360" w:lineRule="auto"/>
        <w:rPr>
          <w:rFonts w:ascii="Times New Roman" w:eastAsia="Times New Roman" w:hAnsi="Times New Roman" w:cs="Times New Roman"/>
          <w:sz w:val="24"/>
          <w:szCs w:val="20"/>
        </w:rPr>
      </w:pPr>
    </w:p>
    <w:p w:rsidR="00141311" w:rsidRPr="00141311" w:rsidRDefault="00141311" w:rsidP="00456CA4">
      <w:pPr>
        <w:numPr>
          <w:ilvl w:val="0"/>
          <w:numId w:val="14"/>
        </w:numPr>
        <w:tabs>
          <w:tab w:val="num" w:pos="0"/>
        </w:tabs>
        <w:spacing w:after="0" w:line="360" w:lineRule="auto"/>
        <w:ind w:left="0" w:firstLine="1440"/>
        <w:rPr>
          <w:rFonts w:ascii="Times New Roman" w:eastAsia="Times New Roman" w:hAnsi="Times New Roman" w:cs="Times New Roman"/>
          <w:sz w:val="24"/>
          <w:szCs w:val="20"/>
        </w:rPr>
      </w:pPr>
      <w:r w:rsidRPr="00141311">
        <w:rPr>
          <w:rFonts w:ascii="Times New Roman" w:eastAsia="Times New Roman" w:hAnsi="Times New Roman" w:cs="Times New Roman"/>
          <w:sz w:val="24"/>
          <w:szCs w:val="20"/>
        </w:rPr>
        <w:t>That upon acceptance and approval by the Commission of the tariff supplement and supporting data filed by Peoples TWP LLC, as being consistent with this Recommended Order and the Settlement Petition, the inquiry and investigation at Docket No. R</w:t>
      </w:r>
      <w:r w:rsidRPr="00141311">
        <w:rPr>
          <w:rFonts w:ascii="Times New Roman" w:eastAsia="Times New Roman" w:hAnsi="Times New Roman" w:cs="Times New Roman"/>
          <w:sz w:val="24"/>
          <w:szCs w:val="20"/>
        </w:rPr>
        <w:noBreakHyphen/>
        <w:t>2014-2456648 shall be terminated and the docket marked closed.</w:t>
      </w:r>
    </w:p>
    <w:p w:rsidR="00141311" w:rsidRPr="00141311" w:rsidRDefault="00141311" w:rsidP="003A4BF7">
      <w:pPr>
        <w:spacing w:after="0" w:line="360" w:lineRule="auto"/>
        <w:rPr>
          <w:rFonts w:ascii="Times New Roman" w:eastAsia="Times New Roman" w:hAnsi="Times New Roman" w:cs="Times New Roman"/>
          <w:sz w:val="24"/>
          <w:szCs w:val="20"/>
        </w:rPr>
      </w:pPr>
    </w:p>
    <w:p w:rsidR="00141311" w:rsidRPr="00141311" w:rsidRDefault="00141311" w:rsidP="003A4BF7">
      <w:pPr>
        <w:spacing w:after="0" w:line="360" w:lineRule="auto"/>
        <w:rPr>
          <w:rFonts w:ascii="Times New Roman" w:eastAsia="Times New Roman" w:hAnsi="Times New Roman" w:cs="Times New Roman"/>
          <w:sz w:val="24"/>
          <w:szCs w:val="20"/>
        </w:rPr>
      </w:pPr>
    </w:p>
    <w:p w:rsidR="00141311" w:rsidRPr="00141311" w:rsidRDefault="00141311" w:rsidP="003A4BF7">
      <w:pPr>
        <w:spacing w:after="0" w:line="360" w:lineRule="auto"/>
        <w:rPr>
          <w:rFonts w:ascii="Times New Roman" w:eastAsia="Times New Roman" w:hAnsi="Times New Roman" w:cs="Times New Roman"/>
          <w:sz w:val="24"/>
          <w:szCs w:val="24"/>
        </w:rPr>
      </w:pPr>
    </w:p>
    <w:p w:rsidR="00141311" w:rsidRPr="0099364D" w:rsidRDefault="00141311" w:rsidP="003A4BF7">
      <w:pPr>
        <w:tabs>
          <w:tab w:val="left" w:pos="0"/>
        </w:tabs>
        <w:spacing w:after="0" w:line="240" w:lineRule="auto"/>
        <w:rPr>
          <w:rFonts w:ascii="Times New Roman" w:eastAsia="Times New Roman" w:hAnsi="Times New Roman" w:cs="Times New Roman"/>
          <w:sz w:val="24"/>
          <w:szCs w:val="24"/>
          <w:u w:val="single"/>
        </w:rPr>
      </w:pPr>
      <w:r w:rsidRPr="00141311">
        <w:rPr>
          <w:rFonts w:ascii="Times New Roman" w:eastAsia="Times New Roman" w:hAnsi="Times New Roman" w:cs="Times New Roman"/>
          <w:sz w:val="24"/>
          <w:szCs w:val="24"/>
        </w:rPr>
        <w:t>Date:</w:t>
      </w:r>
      <w:r w:rsidR="00456CA4">
        <w:rPr>
          <w:rFonts w:ascii="Times New Roman" w:eastAsia="Times New Roman" w:hAnsi="Times New Roman" w:cs="Times New Roman"/>
          <w:sz w:val="24"/>
          <w:szCs w:val="24"/>
        </w:rPr>
        <w:t xml:space="preserve">  </w:t>
      </w:r>
      <w:r w:rsidRPr="00141311">
        <w:rPr>
          <w:rFonts w:ascii="Times New Roman" w:eastAsia="Times New Roman" w:hAnsi="Times New Roman" w:cs="Times New Roman"/>
          <w:sz w:val="24"/>
          <w:szCs w:val="24"/>
          <w:u w:val="single"/>
        </w:rPr>
        <w:t>May 1</w:t>
      </w:r>
      <w:r w:rsidR="00DE540D">
        <w:rPr>
          <w:rFonts w:ascii="Times New Roman" w:eastAsia="Times New Roman" w:hAnsi="Times New Roman" w:cs="Times New Roman"/>
          <w:sz w:val="24"/>
          <w:szCs w:val="24"/>
          <w:u w:val="single"/>
        </w:rPr>
        <w:t>5</w:t>
      </w:r>
      <w:r w:rsidRPr="00141311">
        <w:rPr>
          <w:rFonts w:ascii="Times New Roman" w:eastAsia="Times New Roman" w:hAnsi="Times New Roman" w:cs="Times New Roman"/>
          <w:sz w:val="24"/>
          <w:szCs w:val="24"/>
          <w:u w:val="single"/>
        </w:rPr>
        <w:t>, 2015</w:t>
      </w:r>
      <w:r w:rsidRPr="00141311">
        <w:rPr>
          <w:rFonts w:ascii="Times New Roman" w:eastAsia="Times New Roman" w:hAnsi="Times New Roman" w:cs="Times New Roman"/>
          <w:sz w:val="24"/>
          <w:szCs w:val="24"/>
        </w:rPr>
        <w:tab/>
      </w:r>
      <w:r w:rsidRPr="00141311">
        <w:rPr>
          <w:rFonts w:ascii="Times New Roman" w:eastAsia="Times New Roman" w:hAnsi="Times New Roman" w:cs="Times New Roman"/>
          <w:sz w:val="24"/>
          <w:szCs w:val="24"/>
        </w:rPr>
        <w:tab/>
      </w:r>
      <w:r w:rsidRPr="00141311">
        <w:rPr>
          <w:rFonts w:ascii="Times New Roman" w:eastAsia="Times New Roman" w:hAnsi="Times New Roman" w:cs="Times New Roman"/>
          <w:sz w:val="24"/>
          <w:szCs w:val="24"/>
        </w:rPr>
        <w:tab/>
      </w:r>
      <w:r w:rsidRPr="00141311">
        <w:rPr>
          <w:rFonts w:ascii="Times New Roman" w:eastAsia="Times New Roman" w:hAnsi="Times New Roman" w:cs="Times New Roman"/>
          <w:sz w:val="24"/>
          <w:szCs w:val="24"/>
        </w:rPr>
        <w:tab/>
      </w:r>
      <w:r w:rsidRPr="00141311">
        <w:rPr>
          <w:rFonts w:ascii="Times New Roman" w:eastAsia="Times New Roman" w:hAnsi="Times New Roman" w:cs="Times New Roman"/>
          <w:sz w:val="24"/>
          <w:szCs w:val="24"/>
        </w:rPr>
        <w:tab/>
      </w:r>
      <w:r w:rsidRPr="0099364D">
        <w:rPr>
          <w:rFonts w:ascii="Times New Roman" w:eastAsia="Times New Roman" w:hAnsi="Times New Roman" w:cs="Times New Roman"/>
          <w:sz w:val="24"/>
          <w:szCs w:val="24"/>
        </w:rPr>
        <w:tab/>
      </w:r>
      <w:r w:rsidRPr="0099364D">
        <w:rPr>
          <w:rFonts w:ascii="Times New Roman" w:eastAsia="Times New Roman" w:hAnsi="Times New Roman" w:cs="Times New Roman"/>
          <w:sz w:val="24"/>
          <w:szCs w:val="24"/>
          <w:u w:val="single"/>
        </w:rPr>
        <w:tab/>
      </w:r>
      <w:r w:rsidRPr="0099364D">
        <w:rPr>
          <w:rFonts w:ascii="Times New Roman" w:eastAsia="Times New Roman" w:hAnsi="Times New Roman" w:cs="Times New Roman"/>
          <w:sz w:val="24"/>
          <w:szCs w:val="24"/>
          <w:u w:val="single"/>
        </w:rPr>
        <w:tab/>
        <w:t>/s/</w:t>
      </w:r>
      <w:r w:rsidRPr="0099364D">
        <w:rPr>
          <w:rFonts w:ascii="Times New Roman" w:eastAsia="Times New Roman" w:hAnsi="Times New Roman" w:cs="Times New Roman"/>
          <w:sz w:val="24"/>
          <w:szCs w:val="24"/>
          <w:u w:val="single"/>
        </w:rPr>
        <w:tab/>
      </w:r>
      <w:r w:rsidRPr="0099364D">
        <w:rPr>
          <w:rFonts w:ascii="Times New Roman" w:eastAsia="Times New Roman" w:hAnsi="Times New Roman" w:cs="Times New Roman"/>
          <w:sz w:val="24"/>
          <w:szCs w:val="24"/>
          <w:u w:val="single"/>
        </w:rPr>
        <w:tab/>
      </w:r>
      <w:r w:rsidRPr="0099364D">
        <w:rPr>
          <w:rFonts w:ascii="Times New Roman" w:eastAsia="Times New Roman" w:hAnsi="Times New Roman" w:cs="Times New Roman"/>
          <w:sz w:val="24"/>
          <w:szCs w:val="24"/>
          <w:u w:val="single"/>
        </w:rPr>
        <w:tab/>
      </w:r>
    </w:p>
    <w:p w:rsidR="00141311" w:rsidRPr="0099364D" w:rsidRDefault="00141311" w:rsidP="003A4BF7">
      <w:pPr>
        <w:tabs>
          <w:tab w:val="left" w:pos="0"/>
        </w:tabs>
        <w:spacing w:after="0" w:line="240" w:lineRule="auto"/>
        <w:rPr>
          <w:rFonts w:ascii="Times New Roman" w:eastAsia="Times New Roman" w:hAnsi="Times New Roman" w:cs="Times New Roman"/>
          <w:sz w:val="24"/>
          <w:szCs w:val="24"/>
        </w:rPr>
      </w:pPr>
      <w:r w:rsidRPr="0099364D">
        <w:rPr>
          <w:rFonts w:ascii="Times New Roman" w:eastAsia="Times New Roman" w:hAnsi="Times New Roman" w:cs="Times New Roman"/>
          <w:sz w:val="24"/>
          <w:szCs w:val="24"/>
        </w:rPr>
        <w:tab/>
      </w:r>
      <w:r w:rsidRPr="0099364D">
        <w:rPr>
          <w:rFonts w:ascii="Times New Roman" w:eastAsia="Times New Roman" w:hAnsi="Times New Roman" w:cs="Times New Roman"/>
          <w:sz w:val="24"/>
          <w:szCs w:val="24"/>
        </w:rPr>
        <w:tab/>
      </w:r>
      <w:r w:rsidRPr="0099364D">
        <w:rPr>
          <w:rFonts w:ascii="Times New Roman" w:eastAsia="Times New Roman" w:hAnsi="Times New Roman" w:cs="Times New Roman"/>
          <w:sz w:val="24"/>
          <w:szCs w:val="24"/>
        </w:rPr>
        <w:tab/>
      </w:r>
      <w:r w:rsidRPr="0099364D">
        <w:rPr>
          <w:rFonts w:ascii="Times New Roman" w:eastAsia="Times New Roman" w:hAnsi="Times New Roman" w:cs="Times New Roman"/>
          <w:sz w:val="24"/>
          <w:szCs w:val="24"/>
        </w:rPr>
        <w:tab/>
      </w:r>
      <w:r w:rsidRPr="0099364D">
        <w:rPr>
          <w:rFonts w:ascii="Times New Roman" w:eastAsia="Times New Roman" w:hAnsi="Times New Roman" w:cs="Times New Roman"/>
          <w:sz w:val="24"/>
          <w:szCs w:val="24"/>
        </w:rPr>
        <w:tab/>
      </w:r>
      <w:r w:rsidRPr="0099364D">
        <w:rPr>
          <w:rFonts w:ascii="Times New Roman" w:eastAsia="Times New Roman" w:hAnsi="Times New Roman" w:cs="Times New Roman"/>
          <w:sz w:val="24"/>
          <w:szCs w:val="24"/>
        </w:rPr>
        <w:tab/>
      </w:r>
      <w:r w:rsidRPr="0099364D">
        <w:rPr>
          <w:rFonts w:ascii="Times New Roman" w:eastAsia="Times New Roman" w:hAnsi="Times New Roman" w:cs="Times New Roman"/>
          <w:sz w:val="24"/>
          <w:szCs w:val="24"/>
        </w:rPr>
        <w:tab/>
      </w:r>
      <w:r w:rsidRPr="0099364D">
        <w:rPr>
          <w:rFonts w:ascii="Times New Roman" w:eastAsia="Times New Roman" w:hAnsi="Times New Roman" w:cs="Times New Roman"/>
          <w:sz w:val="24"/>
          <w:szCs w:val="24"/>
        </w:rPr>
        <w:tab/>
        <w:t>Jeffrey A. Watson</w:t>
      </w:r>
    </w:p>
    <w:p w:rsidR="00141311" w:rsidRDefault="00141311" w:rsidP="003A4BF7">
      <w:pPr>
        <w:tabs>
          <w:tab w:val="left" w:pos="0"/>
        </w:tabs>
        <w:spacing w:after="0" w:line="240" w:lineRule="auto"/>
        <w:rPr>
          <w:rFonts w:ascii="Times New Roman" w:eastAsia="Times New Roman" w:hAnsi="Times New Roman" w:cs="Times New Roman"/>
          <w:sz w:val="24"/>
          <w:szCs w:val="24"/>
        </w:rPr>
      </w:pPr>
      <w:r w:rsidRPr="0099364D">
        <w:rPr>
          <w:rFonts w:ascii="Times New Roman" w:eastAsia="Times New Roman" w:hAnsi="Times New Roman" w:cs="Times New Roman"/>
          <w:sz w:val="24"/>
          <w:szCs w:val="24"/>
        </w:rPr>
        <w:tab/>
      </w:r>
      <w:r w:rsidRPr="0099364D">
        <w:rPr>
          <w:rFonts w:ascii="Times New Roman" w:eastAsia="Times New Roman" w:hAnsi="Times New Roman" w:cs="Times New Roman"/>
          <w:sz w:val="24"/>
          <w:szCs w:val="24"/>
        </w:rPr>
        <w:tab/>
      </w:r>
      <w:r w:rsidRPr="0099364D">
        <w:rPr>
          <w:rFonts w:ascii="Times New Roman" w:eastAsia="Times New Roman" w:hAnsi="Times New Roman" w:cs="Times New Roman"/>
          <w:sz w:val="24"/>
          <w:szCs w:val="24"/>
        </w:rPr>
        <w:tab/>
      </w:r>
      <w:r w:rsidRPr="0099364D">
        <w:rPr>
          <w:rFonts w:ascii="Times New Roman" w:eastAsia="Times New Roman" w:hAnsi="Times New Roman" w:cs="Times New Roman"/>
          <w:sz w:val="24"/>
          <w:szCs w:val="24"/>
        </w:rPr>
        <w:tab/>
      </w:r>
      <w:r w:rsidRPr="0099364D">
        <w:rPr>
          <w:rFonts w:ascii="Times New Roman" w:eastAsia="Times New Roman" w:hAnsi="Times New Roman" w:cs="Times New Roman"/>
          <w:sz w:val="24"/>
          <w:szCs w:val="24"/>
        </w:rPr>
        <w:tab/>
      </w:r>
      <w:r w:rsidRPr="0099364D">
        <w:rPr>
          <w:rFonts w:ascii="Times New Roman" w:eastAsia="Times New Roman" w:hAnsi="Times New Roman" w:cs="Times New Roman"/>
          <w:sz w:val="24"/>
          <w:szCs w:val="24"/>
        </w:rPr>
        <w:tab/>
      </w:r>
      <w:r w:rsidRPr="0099364D">
        <w:rPr>
          <w:rFonts w:ascii="Times New Roman" w:eastAsia="Times New Roman" w:hAnsi="Times New Roman" w:cs="Times New Roman"/>
          <w:sz w:val="24"/>
          <w:szCs w:val="24"/>
        </w:rPr>
        <w:tab/>
      </w:r>
      <w:r w:rsidRPr="0099364D">
        <w:rPr>
          <w:rFonts w:ascii="Times New Roman" w:eastAsia="Times New Roman" w:hAnsi="Times New Roman" w:cs="Times New Roman"/>
          <w:sz w:val="24"/>
          <w:szCs w:val="24"/>
        </w:rPr>
        <w:tab/>
        <w:t>Administrative Law Judge</w:t>
      </w:r>
    </w:p>
    <w:p w:rsidR="009534CD" w:rsidRPr="0099364D" w:rsidRDefault="009534CD" w:rsidP="003A4BF7">
      <w:pPr>
        <w:tabs>
          <w:tab w:val="left" w:pos="0"/>
        </w:tabs>
        <w:spacing w:after="0" w:line="240" w:lineRule="auto"/>
        <w:rPr>
          <w:rFonts w:ascii="Times New Roman" w:eastAsia="Times New Roman" w:hAnsi="Times New Roman" w:cs="Times New Roman"/>
          <w:sz w:val="24"/>
          <w:szCs w:val="24"/>
        </w:rPr>
      </w:pPr>
    </w:p>
    <w:sectPr w:rsidR="009534CD" w:rsidRPr="0099364D" w:rsidSect="004265E6">
      <w:footerReference w:type="default" r:id="rId14"/>
      <w:foot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A14" w:rsidRDefault="00C13A14" w:rsidP="005C3052">
      <w:pPr>
        <w:spacing w:after="0" w:line="240" w:lineRule="auto"/>
      </w:pPr>
      <w:r>
        <w:separator/>
      </w:r>
    </w:p>
  </w:endnote>
  <w:endnote w:type="continuationSeparator" w:id="0">
    <w:p w:rsidR="00C13A14" w:rsidRDefault="00C13A14" w:rsidP="005C3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E70" w:rsidRDefault="00355E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55E70" w:rsidRDefault="00355E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5550360"/>
      <w:docPartObj>
        <w:docPartGallery w:val="Page Numbers (Bottom of Page)"/>
        <w:docPartUnique/>
      </w:docPartObj>
    </w:sdtPr>
    <w:sdtEndPr>
      <w:rPr>
        <w:rFonts w:ascii="Times New Roman" w:hAnsi="Times New Roman" w:cs="Times New Roman"/>
        <w:noProof/>
        <w:sz w:val="20"/>
        <w:szCs w:val="20"/>
      </w:rPr>
    </w:sdtEndPr>
    <w:sdtContent>
      <w:p w:rsidR="00355E70" w:rsidRPr="00015BF8" w:rsidRDefault="00355E70">
        <w:pPr>
          <w:pStyle w:val="Footer"/>
          <w:jc w:val="center"/>
          <w:rPr>
            <w:rFonts w:ascii="Times New Roman" w:hAnsi="Times New Roman" w:cs="Times New Roman"/>
            <w:sz w:val="20"/>
            <w:szCs w:val="20"/>
          </w:rPr>
        </w:pPr>
        <w:r w:rsidRPr="00015BF8">
          <w:rPr>
            <w:rFonts w:ascii="Times New Roman" w:hAnsi="Times New Roman" w:cs="Times New Roman"/>
            <w:sz w:val="20"/>
            <w:szCs w:val="20"/>
          </w:rPr>
          <w:fldChar w:fldCharType="begin"/>
        </w:r>
        <w:r w:rsidRPr="00015BF8">
          <w:rPr>
            <w:rFonts w:ascii="Times New Roman" w:hAnsi="Times New Roman" w:cs="Times New Roman"/>
            <w:sz w:val="20"/>
            <w:szCs w:val="20"/>
          </w:rPr>
          <w:instrText xml:space="preserve"> PAGE   \* MERGEFORMAT </w:instrText>
        </w:r>
        <w:r w:rsidRPr="00015BF8">
          <w:rPr>
            <w:rFonts w:ascii="Times New Roman" w:hAnsi="Times New Roman" w:cs="Times New Roman"/>
            <w:sz w:val="20"/>
            <w:szCs w:val="20"/>
          </w:rPr>
          <w:fldChar w:fldCharType="separate"/>
        </w:r>
        <w:r>
          <w:rPr>
            <w:rFonts w:ascii="Times New Roman" w:hAnsi="Times New Roman" w:cs="Times New Roman"/>
            <w:noProof/>
            <w:sz w:val="20"/>
            <w:szCs w:val="20"/>
          </w:rPr>
          <w:t>2</w:t>
        </w:r>
        <w:r w:rsidRPr="00015BF8">
          <w:rPr>
            <w:rFonts w:ascii="Times New Roman" w:hAnsi="Times New Roman" w:cs="Times New Roman"/>
            <w:noProof/>
            <w:sz w:val="20"/>
            <w:szCs w:val="20"/>
          </w:rPr>
          <w:fldChar w:fldCharType="end"/>
        </w:r>
      </w:p>
    </w:sdtContent>
  </w:sdt>
  <w:p w:rsidR="00355E70" w:rsidRDefault="00355E70">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E70" w:rsidRDefault="00355E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55E70" w:rsidRDefault="00355E7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8741834"/>
      <w:docPartObj>
        <w:docPartGallery w:val="Page Numbers (Bottom of Page)"/>
        <w:docPartUnique/>
      </w:docPartObj>
    </w:sdtPr>
    <w:sdtEndPr>
      <w:rPr>
        <w:rFonts w:ascii="Times New Roman" w:hAnsi="Times New Roman" w:cs="Times New Roman"/>
        <w:noProof/>
        <w:sz w:val="20"/>
        <w:szCs w:val="20"/>
      </w:rPr>
    </w:sdtEndPr>
    <w:sdtContent>
      <w:p w:rsidR="00355E70" w:rsidRPr="00B84F90" w:rsidRDefault="00355E70">
        <w:pPr>
          <w:pStyle w:val="Footer"/>
          <w:jc w:val="center"/>
          <w:rPr>
            <w:rFonts w:ascii="Times New Roman" w:hAnsi="Times New Roman" w:cs="Times New Roman"/>
            <w:sz w:val="20"/>
            <w:szCs w:val="20"/>
          </w:rPr>
        </w:pPr>
        <w:r w:rsidRPr="00B84F90">
          <w:rPr>
            <w:rFonts w:ascii="Times New Roman" w:hAnsi="Times New Roman" w:cs="Times New Roman"/>
            <w:sz w:val="20"/>
            <w:szCs w:val="20"/>
          </w:rPr>
          <w:fldChar w:fldCharType="begin"/>
        </w:r>
        <w:r w:rsidRPr="00B84F90">
          <w:rPr>
            <w:rFonts w:ascii="Times New Roman" w:hAnsi="Times New Roman" w:cs="Times New Roman"/>
            <w:sz w:val="20"/>
            <w:szCs w:val="20"/>
          </w:rPr>
          <w:instrText xml:space="preserve"> PAGE   \* MERGEFORMAT </w:instrText>
        </w:r>
        <w:r w:rsidRPr="00B84F90">
          <w:rPr>
            <w:rFonts w:ascii="Times New Roman" w:hAnsi="Times New Roman" w:cs="Times New Roman"/>
            <w:sz w:val="20"/>
            <w:szCs w:val="20"/>
          </w:rPr>
          <w:fldChar w:fldCharType="separate"/>
        </w:r>
        <w:r w:rsidR="002A665C">
          <w:rPr>
            <w:rFonts w:ascii="Times New Roman" w:hAnsi="Times New Roman" w:cs="Times New Roman"/>
            <w:noProof/>
            <w:sz w:val="20"/>
            <w:szCs w:val="20"/>
          </w:rPr>
          <w:t>iii</w:t>
        </w:r>
        <w:r w:rsidRPr="00B84F90">
          <w:rPr>
            <w:rFonts w:ascii="Times New Roman" w:hAnsi="Times New Roman" w:cs="Times New Roman"/>
            <w:noProof/>
            <w:sz w:val="20"/>
            <w:szCs w:val="20"/>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241423"/>
      <w:docPartObj>
        <w:docPartGallery w:val="Page Numbers (Bottom of Page)"/>
        <w:docPartUnique/>
      </w:docPartObj>
    </w:sdtPr>
    <w:sdtEndPr>
      <w:rPr>
        <w:noProof/>
      </w:rPr>
    </w:sdtEndPr>
    <w:sdtContent>
      <w:p w:rsidR="00355E70" w:rsidRDefault="00355E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55E70" w:rsidRDefault="00355E7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3254137"/>
      <w:docPartObj>
        <w:docPartGallery w:val="Page Numbers (Bottom of Page)"/>
        <w:docPartUnique/>
      </w:docPartObj>
    </w:sdtPr>
    <w:sdtEndPr>
      <w:rPr>
        <w:noProof/>
      </w:rPr>
    </w:sdtEndPr>
    <w:sdtContent>
      <w:p w:rsidR="002A665C" w:rsidRDefault="002A665C">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355E70" w:rsidRPr="00B84F90" w:rsidRDefault="00355E70">
    <w:pPr>
      <w:pStyle w:val="Footer"/>
      <w:jc w:val="center"/>
      <w:rPr>
        <w:rFonts w:ascii="Times New Roman" w:hAnsi="Times New Roman" w:cs="Times New Roman"/>
        <w:sz w:val="20"/>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E70" w:rsidRPr="00B84F90" w:rsidRDefault="00355E70">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A14" w:rsidRDefault="00C13A14" w:rsidP="005C3052">
      <w:pPr>
        <w:spacing w:after="0" w:line="240" w:lineRule="auto"/>
      </w:pPr>
      <w:r>
        <w:separator/>
      </w:r>
    </w:p>
  </w:footnote>
  <w:footnote w:type="continuationSeparator" w:id="0">
    <w:p w:rsidR="00C13A14" w:rsidRDefault="00C13A14" w:rsidP="005C3052">
      <w:pPr>
        <w:spacing w:after="0" w:line="240" w:lineRule="auto"/>
      </w:pPr>
      <w:r>
        <w:continuationSeparator/>
      </w:r>
    </w:p>
  </w:footnote>
  <w:footnote w:id="1">
    <w:p w:rsidR="00355E70" w:rsidRPr="00EF673A" w:rsidRDefault="00355E70" w:rsidP="00EF673A">
      <w:pPr>
        <w:pStyle w:val="FootnoteText"/>
        <w:ind w:firstLine="720"/>
        <w:rPr>
          <w:rFonts w:ascii="Times New Roman" w:hAnsi="Times New Roman" w:cs="Times New Roman"/>
        </w:rPr>
      </w:pPr>
      <w:r w:rsidRPr="00EF673A">
        <w:rPr>
          <w:rStyle w:val="FootnoteReference"/>
        </w:rPr>
        <w:footnoteRef/>
      </w:r>
      <w:r w:rsidRPr="00EF673A">
        <w:rPr>
          <w:rFonts w:ascii="Times New Roman" w:hAnsi="Times New Roman" w:cs="Times New Roman"/>
        </w:rPr>
        <w:t xml:space="preserve"> </w:t>
      </w:r>
      <w:r w:rsidRPr="00EF673A">
        <w:rPr>
          <w:rFonts w:ascii="Times New Roman" w:hAnsi="Times New Roman" w:cs="Times New Roman"/>
        </w:rPr>
        <w:tab/>
        <w:t>The reconciliation period for Peoples TWP in this proceeding is the twelve-month period ended November 30, 2014, in accordance with the Commission’s regulations at 52 Pa.Code § 53.64(i)(1).</w:t>
      </w:r>
    </w:p>
  </w:footnote>
  <w:footnote w:id="2">
    <w:p w:rsidR="00355E70" w:rsidRPr="00A32483" w:rsidRDefault="00355E70" w:rsidP="001B12DA">
      <w:pPr>
        <w:pStyle w:val="FootnoteText"/>
        <w:ind w:firstLine="720"/>
        <w:rPr>
          <w:rFonts w:ascii="Times New Roman" w:hAnsi="Times New Roman" w:cs="Times New Roman"/>
        </w:rPr>
      </w:pPr>
      <w:r w:rsidRPr="001B12DA">
        <w:rPr>
          <w:rFonts w:ascii="Times New Roman" w:hAnsi="Times New Roman" w:cs="Times New Roman"/>
          <w:vertAlign w:val="superscript"/>
        </w:rPr>
        <w:t>2</w:t>
      </w:r>
      <w:r w:rsidRPr="00A32483">
        <w:rPr>
          <w:rFonts w:ascii="Times New Roman" w:hAnsi="Times New Roman" w:cs="Times New Roman"/>
        </w:rPr>
        <w:tab/>
        <w:t xml:space="preserve">The Company is authorized by its tariff to discount retainage for customers when certain competitive circumstances exist.  </w:t>
      </w:r>
      <w:proofErr w:type="gramStart"/>
      <w:r w:rsidRPr="00A32483">
        <w:rPr>
          <w:rFonts w:ascii="Times New Roman" w:hAnsi="Times New Roman" w:cs="Times New Roman"/>
        </w:rPr>
        <w:t>(Peoples TWP Statement No. 1, p. 17.)</w:t>
      </w:r>
      <w:proofErr w:type="gramEnd"/>
      <w:r w:rsidRPr="00A32483">
        <w:rPr>
          <w:rFonts w:ascii="Times New Roman" w:hAnsi="Times New Roman" w:cs="Times New Roman"/>
        </w:rPr>
        <w:t xml:space="preserve">  If one of those circumstances exists, then </w:t>
      </w:r>
      <w:r>
        <w:rPr>
          <w:rFonts w:ascii="Times New Roman" w:hAnsi="Times New Roman" w:cs="Times New Roman"/>
        </w:rPr>
        <w:t>t</w:t>
      </w:r>
      <w:r w:rsidRPr="00A32483">
        <w:rPr>
          <w:rFonts w:ascii="Times New Roman" w:hAnsi="Times New Roman" w:cs="Times New Roman"/>
        </w:rPr>
        <w:t xml:space="preserve">he Company performs a test, which is defined in the tariff, to ensure that service to the customer at the discounted rate provides a net benefit to the other customers.  </w:t>
      </w:r>
      <w:proofErr w:type="gramStart"/>
      <w:r w:rsidRPr="00A32483">
        <w:rPr>
          <w:rFonts w:ascii="Times New Roman" w:hAnsi="Times New Roman" w:cs="Times New Roman"/>
        </w:rPr>
        <w:t>(Peoples TWP Statement No. 1, p. 17.)</w:t>
      </w:r>
      <w:proofErr w:type="gramEnd"/>
    </w:p>
  </w:footnote>
  <w:footnote w:id="3">
    <w:p w:rsidR="00355E70" w:rsidRPr="00AD6ECC" w:rsidRDefault="00355E70" w:rsidP="00310147">
      <w:pPr>
        <w:pStyle w:val="FootnoteText"/>
        <w:ind w:firstLine="720"/>
        <w:jc w:val="both"/>
        <w:rPr>
          <w:rFonts w:ascii="Times New Roman" w:hAnsi="Times New Roman" w:cs="Times New Roman"/>
        </w:rPr>
      </w:pPr>
      <w:r w:rsidRPr="00AD6ECC">
        <w:rPr>
          <w:rStyle w:val="FootnoteReference"/>
        </w:rPr>
        <w:footnoteRef/>
      </w:r>
      <w:r w:rsidRPr="00AD6ECC">
        <w:rPr>
          <w:rFonts w:ascii="Times New Roman" w:hAnsi="Times New Roman" w:cs="Times New Roman"/>
        </w:rPr>
        <w:t xml:space="preserve"> </w:t>
      </w:r>
      <w:r>
        <w:rPr>
          <w:rFonts w:ascii="Times New Roman" w:hAnsi="Times New Roman" w:cs="Times New Roman"/>
        </w:rPr>
        <w:tab/>
      </w:r>
      <w:r w:rsidRPr="00AD6ECC">
        <w:rPr>
          <w:rFonts w:ascii="Times New Roman" w:hAnsi="Times New Roman" w:cs="Times New Roman"/>
        </w:rPr>
        <w:t xml:space="preserve">Peoples TWP contracts for FT capacity for all P-1 customers and temporarily releases a pro rata share of that capacity at no cost to any supplier serving a customer from that group.  The cost of the released capacity continues to be charged to the P-1 transportation customer by the Company.  </w:t>
      </w:r>
      <w:proofErr w:type="gramStart"/>
      <w:r w:rsidRPr="00AD6ECC">
        <w:rPr>
          <w:rFonts w:ascii="Times New Roman" w:hAnsi="Times New Roman" w:cs="Times New Roman"/>
        </w:rPr>
        <w:t>(Peoples TWP Statement No. 1-R, p. 7</w:t>
      </w:r>
      <w:r>
        <w:rPr>
          <w:rFonts w:ascii="Times New Roman" w:hAnsi="Times New Roman" w:cs="Times New Roman"/>
        </w:rPr>
        <w:t>.</w:t>
      </w:r>
      <w:r w:rsidRPr="00AD6ECC">
        <w:rPr>
          <w:rFonts w:ascii="Times New Roman" w:hAnsi="Times New Roman" w:cs="Times New Roman"/>
        </w:rPr>
        <w:t>)</w:t>
      </w:r>
      <w:proofErr w:type="gramEnd"/>
    </w:p>
  </w:footnote>
  <w:footnote w:id="4">
    <w:p w:rsidR="00355E70" w:rsidRPr="00832A2C" w:rsidRDefault="00355E70" w:rsidP="00832A2C">
      <w:pPr>
        <w:pStyle w:val="FootnoteText"/>
        <w:ind w:firstLine="720"/>
        <w:rPr>
          <w:rFonts w:ascii="Times New Roman" w:hAnsi="Times New Roman" w:cs="Times New Roman"/>
        </w:rPr>
      </w:pPr>
      <w:r w:rsidRPr="00832A2C">
        <w:rPr>
          <w:rStyle w:val="FootnoteReference"/>
        </w:rPr>
        <w:footnoteRef/>
      </w:r>
      <w:r w:rsidRPr="00832A2C">
        <w:rPr>
          <w:rFonts w:ascii="Times New Roman" w:hAnsi="Times New Roman" w:cs="Times New Roman"/>
        </w:rPr>
        <w:t xml:space="preserve"> </w:t>
      </w:r>
      <w:r w:rsidRPr="00832A2C">
        <w:rPr>
          <w:rFonts w:ascii="Times New Roman" w:hAnsi="Times New Roman" w:cs="Times New Roman"/>
        </w:rPr>
        <w:tab/>
        <w:t>As explained by Peoples TWP Witness Petrichevich, an NP-1 transportation customer may carry up to a 4% inter-month imbalance to the following month.  (Peoples TWP Statement No. 1-R, pp. 8-9.)</w:t>
      </w:r>
    </w:p>
  </w:footnote>
  <w:footnote w:id="5">
    <w:p w:rsidR="00355E70" w:rsidRPr="005E02A7" w:rsidRDefault="00355E70" w:rsidP="005E02A7">
      <w:pPr>
        <w:pStyle w:val="FootnoteText"/>
        <w:ind w:firstLine="720"/>
        <w:jc w:val="both"/>
        <w:rPr>
          <w:rFonts w:ascii="Times New Roman" w:hAnsi="Times New Roman" w:cs="Times New Roman"/>
        </w:rPr>
      </w:pPr>
      <w:r w:rsidRPr="005E02A7">
        <w:rPr>
          <w:rStyle w:val="FootnoteReference"/>
        </w:rPr>
        <w:footnoteRef/>
      </w:r>
      <w:r w:rsidRPr="005E02A7">
        <w:rPr>
          <w:rFonts w:ascii="Times New Roman" w:hAnsi="Times New Roman" w:cs="Times New Roman"/>
        </w:rPr>
        <w:t xml:space="preserve"> </w:t>
      </w:r>
      <w:r>
        <w:rPr>
          <w:rFonts w:ascii="Times New Roman" w:hAnsi="Times New Roman" w:cs="Times New Roman"/>
        </w:rPr>
        <w:tab/>
      </w:r>
      <w:r w:rsidRPr="005E02A7">
        <w:rPr>
          <w:rFonts w:ascii="Times New Roman" w:hAnsi="Times New Roman" w:cs="Times New Roman"/>
        </w:rPr>
        <w:t xml:space="preserve">The only current discounting of balancing charges is for certain LGS customers. </w:t>
      </w:r>
      <w:proofErr w:type="gramStart"/>
      <w:r w:rsidRPr="005E02A7">
        <w:rPr>
          <w:rFonts w:ascii="Times New Roman" w:hAnsi="Times New Roman" w:cs="Times New Roman"/>
        </w:rPr>
        <w:t>(Peoples TWP Statement No. 1-R, p. 8; OSBA Statement No. 1, p. 7.)</w:t>
      </w:r>
      <w:proofErr w:type="gramEnd"/>
    </w:p>
  </w:footnote>
  <w:footnote w:id="6">
    <w:p w:rsidR="00355E70" w:rsidRPr="005E02A7" w:rsidRDefault="00355E70" w:rsidP="005E02A7">
      <w:pPr>
        <w:pStyle w:val="FootnoteText"/>
        <w:ind w:firstLine="720"/>
        <w:rPr>
          <w:rFonts w:ascii="Times New Roman" w:hAnsi="Times New Roman" w:cs="Times New Roman"/>
        </w:rPr>
      </w:pPr>
      <w:r w:rsidRPr="005E02A7">
        <w:rPr>
          <w:rStyle w:val="FootnoteReference"/>
        </w:rPr>
        <w:footnoteRef/>
      </w:r>
      <w:r w:rsidRPr="005E02A7">
        <w:rPr>
          <w:rFonts w:ascii="Times New Roman" w:hAnsi="Times New Roman" w:cs="Times New Roman"/>
        </w:rPr>
        <w:t xml:space="preserve">  </w:t>
      </w:r>
      <w:r>
        <w:rPr>
          <w:rFonts w:ascii="Times New Roman" w:hAnsi="Times New Roman" w:cs="Times New Roman"/>
        </w:rPr>
        <w:tab/>
      </w:r>
      <w:proofErr w:type="gramStart"/>
      <w:r w:rsidRPr="005E02A7">
        <w:rPr>
          <w:rFonts w:ascii="Times New Roman" w:hAnsi="Times New Roman" w:cs="Times New Roman"/>
        </w:rPr>
        <w:t>P</w:t>
      </w:r>
      <w:r>
        <w:rPr>
          <w:rFonts w:ascii="Times New Roman" w:hAnsi="Times New Roman" w:cs="Times New Roman"/>
        </w:rPr>
        <w:t xml:space="preserve">eoples </w:t>
      </w:r>
      <w:r w:rsidRPr="005E02A7">
        <w:rPr>
          <w:rFonts w:ascii="Times New Roman" w:hAnsi="Times New Roman" w:cs="Times New Roman"/>
        </w:rPr>
        <w:t>TWP Statement No. 3 at 9.</w:t>
      </w:r>
      <w:proofErr w:type="gramEnd"/>
      <w:r w:rsidRPr="005E02A7">
        <w:rPr>
          <w:rFonts w:ascii="Times New Roman" w:hAnsi="Times New Roman" w:cs="Times New Roman"/>
        </w:rPr>
        <w:t xml:space="preserve">  </w:t>
      </w:r>
    </w:p>
  </w:footnote>
  <w:footnote w:id="7">
    <w:p w:rsidR="00355E70" w:rsidRPr="00C371F1" w:rsidRDefault="00355E70" w:rsidP="00C371F1">
      <w:pPr>
        <w:pStyle w:val="FootnoteText"/>
        <w:spacing w:line="480" w:lineRule="auto"/>
        <w:ind w:firstLine="720"/>
        <w:rPr>
          <w:rFonts w:ascii="Times New Roman" w:hAnsi="Times New Roman" w:cs="Times New Roman"/>
        </w:rPr>
      </w:pPr>
      <w:r w:rsidRPr="00C371F1">
        <w:rPr>
          <w:rStyle w:val="FootnoteReference"/>
        </w:rPr>
        <w:footnoteRef/>
      </w:r>
      <w:r w:rsidRPr="00C371F1">
        <w:rPr>
          <w:rFonts w:ascii="Times New Roman" w:hAnsi="Times New Roman" w:cs="Times New Roman"/>
        </w:rPr>
        <w:t xml:space="preserve"> </w:t>
      </w:r>
      <w:r w:rsidRPr="00C371F1">
        <w:rPr>
          <w:rFonts w:ascii="Times New Roman" w:hAnsi="Times New Roman" w:cs="Times New Roman"/>
        </w:rPr>
        <w:tab/>
        <w:t>P</w:t>
      </w:r>
      <w:r>
        <w:rPr>
          <w:rFonts w:ascii="Times New Roman" w:hAnsi="Times New Roman" w:cs="Times New Roman"/>
        </w:rPr>
        <w:t xml:space="preserve">eoples </w:t>
      </w:r>
      <w:r w:rsidRPr="00C371F1">
        <w:rPr>
          <w:rFonts w:ascii="Times New Roman" w:hAnsi="Times New Roman" w:cs="Times New Roman"/>
        </w:rPr>
        <w:t>TWP Statement No. 2 at 19-20; P</w:t>
      </w:r>
      <w:r>
        <w:rPr>
          <w:rFonts w:ascii="Times New Roman" w:hAnsi="Times New Roman" w:cs="Times New Roman"/>
        </w:rPr>
        <w:t xml:space="preserve">eoples </w:t>
      </w:r>
      <w:r w:rsidRPr="00C371F1">
        <w:rPr>
          <w:rFonts w:ascii="Times New Roman" w:hAnsi="Times New Roman" w:cs="Times New Roman"/>
        </w:rPr>
        <w:t xml:space="preserve">TWP Statement No. 2-S at 1-2.   </w:t>
      </w:r>
    </w:p>
  </w:footnote>
  <w:footnote w:id="8">
    <w:p w:rsidR="00355E70" w:rsidRPr="00C371F1" w:rsidRDefault="00355E70" w:rsidP="00C371F1">
      <w:pPr>
        <w:pStyle w:val="FootnoteText"/>
        <w:spacing w:line="480" w:lineRule="auto"/>
        <w:ind w:firstLine="720"/>
        <w:rPr>
          <w:rFonts w:ascii="Times New Roman" w:hAnsi="Times New Roman" w:cs="Times New Roman"/>
        </w:rPr>
      </w:pPr>
      <w:r w:rsidRPr="00C371F1">
        <w:rPr>
          <w:rStyle w:val="FootnoteReference"/>
        </w:rPr>
        <w:footnoteRef/>
      </w:r>
      <w:r w:rsidRPr="00C371F1">
        <w:rPr>
          <w:rFonts w:ascii="Times New Roman" w:hAnsi="Times New Roman" w:cs="Times New Roman"/>
        </w:rPr>
        <w:t xml:space="preserve">  </w:t>
      </w:r>
      <w:r w:rsidRPr="00C371F1">
        <w:rPr>
          <w:rFonts w:ascii="Times New Roman" w:hAnsi="Times New Roman" w:cs="Times New Roman"/>
        </w:rPr>
        <w:tab/>
      </w:r>
      <w:proofErr w:type="gramStart"/>
      <w:r w:rsidRPr="00C371F1">
        <w:rPr>
          <w:rFonts w:ascii="Times New Roman" w:hAnsi="Times New Roman" w:cs="Times New Roman"/>
        </w:rPr>
        <w:t>P</w:t>
      </w:r>
      <w:r>
        <w:rPr>
          <w:rFonts w:ascii="Times New Roman" w:hAnsi="Times New Roman" w:cs="Times New Roman"/>
        </w:rPr>
        <w:t xml:space="preserve">eoples </w:t>
      </w:r>
      <w:r w:rsidRPr="00C371F1">
        <w:rPr>
          <w:rFonts w:ascii="Times New Roman" w:hAnsi="Times New Roman" w:cs="Times New Roman"/>
        </w:rPr>
        <w:t>TWP Statement No. 2 at 20.</w:t>
      </w:r>
      <w:proofErr w:type="gramEnd"/>
    </w:p>
  </w:footnote>
  <w:footnote w:id="9">
    <w:p w:rsidR="00355E70" w:rsidRPr="00C371F1" w:rsidRDefault="00355E70" w:rsidP="00C371F1">
      <w:pPr>
        <w:pStyle w:val="FootnoteText"/>
        <w:spacing w:line="480" w:lineRule="auto"/>
        <w:ind w:firstLine="720"/>
        <w:rPr>
          <w:rFonts w:ascii="Times New Roman" w:hAnsi="Times New Roman" w:cs="Times New Roman"/>
        </w:rPr>
      </w:pPr>
      <w:r w:rsidRPr="00C371F1">
        <w:rPr>
          <w:rStyle w:val="FootnoteReference"/>
        </w:rPr>
        <w:footnoteRef/>
      </w:r>
      <w:r w:rsidRPr="00C371F1">
        <w:rPr>
          <w:rFonts w:ascii="Times New Roman" w:hAnsi="Times New Roman" w:cs="Times New Roman"/>
        </w:rPr>
        <w:t xml:space="preserve">  </w:t>
      </w:r>
      <w:r w:rsidRPr="00C371F1">
        <w:rPr>
          <w:rFonts w:ascii="Times New Roman" w:hAnsi="Times New Roman" w:cs="Times New Roman"/>
        </w:rPr>
        <w:tab/>
      </w:r>
      <w:proofErr w:type="gramStart"/>
      <w:r w:rsidRPr="00C371F1">
        <w:rPr>
          <w:rFonts w:ascii="Times New Roman" w:hAnsi="Times New Roman" w:cs="Times New Roman"/>
        </w:rPr>
        <w:t>P</w:t>
      </w:r>
      <w:r>
        <w:rPr>
          <w:rFonts w:ascii="Times New Roman" w:hAnsi="Times New Roman" w:cs="Times New Roman"/>
        </w:rPr>
        <w:t xml:space="preserve">eoples </w:t>
      </w:r>
      <w:r w:rsidRPr="00C371F1">
        <w:rPr>
          <w:rFonts w:ascii="Times New Roman" w:hAnsi="Times New Roman" w:cs="Times New Roman"/>
        </w:rPr>
        <w:t>TWP Statement No. 2-S at 2.</w:t>
      </w:r>
      <w:proofErr w:type="gramEnd"/>
    </w:p>
  </w:footnote>
  <w:footnote w:id="10">
    <w:p w:rsidR="00355E70" w:rsidRPr="00C371F1" w:rsidRDefault="00355E70" w:rsidP="00C371F1">
      <w:pPr>
        <w:pStyle w:val="FootnoteText"/>
        <w:spacing w:line="480" w:lineRule="auto"/>
        <w:ind w:firstLine="720"/>
        <w:rPr>
          <w:rFonts w:ascii="Times New Roman" w:hAnsi="Times New Roman" w:cs="Times New Roman"/>
        </w:rPr>
      </w:pPr>
      <w:r w:rsidRPr="00C371F1">
        <w:rPr>
          <w:rStyle w:val="FootnoteReference"/>
        </w:rPr>
        <w:footnoteRef/>
      </w:r>
      <w:r w:rsidRPr="00C371F1">
        <w:rPr>
          <w:rFonts w:ascii="Times New Roman" w:hAnsi="Times New Roman" w:cs="Times New Roman"/>
        </w:rPr>
        <w:t xml:space="preserve">  </w:t>
      </w:r>
      <w:r w:rsidRPr="00C371F1">
        <w:rPr>
          <w:rFonts w:ascii="Times New Roman" w:hAnsi="Times New Roman" w:cs="Times New Roman"/>
        </w:rPr>
        <w:tab/>
        <w:t xml:space="preserve">OCA Statement No. 1 at 12-13.   </w:t>
      </w:r>
    </w:p>
  </w:footnote>
  <w:footnote w:id="11">
    <w:p w:rsidR="00355E70" w:rsidRPr="00C371F1" w:rsidRDefault="00355E70" w:rsidP="00C371F1">
      <w:pPr>
        <w:pStyle w:val="FootnoteText"/>
        <w:spacing w:line="480" w:lineRule="auto"/>
        <w:ind w:firstLine="720"/>
        <w:rPr>
          <w:rFonts w:ascii="Times New Roman" w:hAnsi="Times New Roman" w:cs="Times New Roman"/>
        </w:rPr>
      </w:pPr>
      <w:r w:rsidRPr="00C371F1">
        <w:rPr>
          <w:rStyle w:val="FootnoteReference"/>
        </w:rPr>
        <w:footnoteRef/>
      </w:r>
      <w:r w:rsidRPr="00C371F1">
        <w:rPr>
          <w:rFonts w:ascii="Times New Roman" w:hAnsi="Times New Roman" w:cs="Times New Roman"/>
        </w:rPr>
        <w:t xml:space="preserve">  </w:t>
      </w:r>
      <w:r w:rsidRPr="00C371F1">
        <w:rPr>
          <w:rFonts w:ascii="Times New Roman" w:hAnsi="Times New Roman" w:cs="Times New Roman"/>
        </w:rPr>
        <w:tab/>
        <w:t>P</w:t>
      </w:r>
      <w:r>
        <w:rPr>
          <w:rFonts w:ascii="Times New Roman" w:hAnsi="Times New Roman" w:cs="Times New Roman"/>
        </w:rPr>
        <w:t xml:space="preserve">eoples </w:t>
      </w:r>
      <w:r w:rsidRPr="00C371F1">
        <w:rPr>
          <w:rFonts w:ascii="Times New Roman" w:hAnsi="Times New Roman" w:cs="Times New Roman"/>
        </w:rPr>
        <w:t>TWP Statement No. 2-S at 2-3; P</w:t>
      </w:r>
      <w:r>
        <w:rPr>
          <w:rFonts w:ascii="Times New Roman" w:hAnsi="Times New Roman" w:cs="Times New Roman"/>
        </w:rPr>
        <w:t xml:space="preserve">eoples </w:t>
      </w:r>
      <w:r w:rsidRPr="00C371F1">
        <w:rPr>
          <w:rFonts w:ascii="Times New Roman" w:hAnsi="Times New Roman" w:cs="Times New Roman"/>
        </w:rPr>
        <w:t xml:space="preserve">TWP Statement No. 2-R at 5-6.    </w:t>
      </w:r>
    </w:p>
  </w:footnote>
  <w:footnote w:id="12">
    <w:p w:rsidR="00355E70" w:rsidRPr="00C371F1" w:rsidRDefault="00355E70" w:rsidP="006D0949">
      <w:pPr>
        <w:pStyle w:val="FootnoteText"/>
        <w:spacing w:line="480" w:lineRule="auto"/>
        <w:ind w:firstLine="720"/>
        <w:rPr>
          <w:rFonts w:ascii="Times New Roman" w:hAnsi="Times New Roman" w:cs="Times New Roman"/>
        </w:rPr>
      </w:pPr>
      <w:r w:rsidRPr="00C371F1">
        <w:rPr>
          <w:rStyle w:val="FootnoteReference"/>
        </w:rPr>
        <w:footnoteRef/>
      </w:r>
      <w:r w:rsidRPr="00C371F1">
        <w:rPr>
          <w:rFonts w:ascii="Times New Roman" w:hAnsi="Times New Roman" w:cs="Times New Roman"/>
        </w:rPr>
        <w:tab/>
        <w:t>P</w:t>
      </w:r>
      <w:r>
        <w:rPr>
          <w:rFonts w:ascii="Times New Roman" w:hAnsi="Times New Roman" w:cs="Times New Roman"/>
        </w:rPr>
        <w:t xml:space="preserve">eoples </w:t>
      </w:r>
      <w:r w:rsidRPr="00C371F1">
        <w:rPr>
          <w:rFonts w:ascii="Times New Roman" w:hAnsi="Times New Roman" w:cs="Times New Roman"/>
        </w:rPr>
        <w:t xml:space="preserve">TWP Statement No. 1-R at 5-6.  </w:t>
      </w:r>
    </w:p>
  </w:footnote>
  <w:footnote w:id="13">
    <w:p w:rsidR="00355E70" w:rsidRPr="00C371F1" w:rsidRDefault="00355E70" w:rsidP="006D0949">
      <w:pPr>
        <w:pStyle w:val="FootnoteText"/>
        <w:spacing w:line="480" w:lineRule="auto"/>
        <w:ind w:firstLine="720"/>
        <w:rPr>
          <w:rFonts w:ascii="Times New Roman" w:hAnsi="Times New Roman" w:cs="Times New Roman"/>
        </w:rPr>
      </w:pPr>
      <w:r w:rsidRPr="00C371F1">
        <w:rPr>
          <w:rStyle w:val="FootnoteReference"/>
        </w:rPr>
        <w:footnoteRef/>
      </w:r>
      <w:r w:rsidRPr="00C371F1">
        <w:rPr>
          <w:rFonts w:ascii="Times New Roman" w:hAnsi="Times New Roman" w:cs="Times New Roman"/>
        </w:rPr>
        <w:tab/>
        <w:t>OCA Statement No. 1</w:t>
      </w:r>
      <w:r>
        <w:rPr>
          <w:rFonts w:ascii="Times New Roman" w:hAnsi="Times New Roman" w:cs="Times New Roman"/>
        </w:rPr>
        <w:t>-</w:t>
      </w:r>
      <w:r w:rsidRPr="00C371F1">
        <w:rPr>
          <w:rFonts w:ascii="Times New Roman" w:hAnsi="Times New Roman" w:cs="Times New Roman"/>
        </w:rPr>
        <w:t xml:space="preserve">S at 5-7.   </w:t>
      </w:r>
    </w:p>
  </w:footnote>
  <w:footnote w:id="14">
    <w:p w:rsidR="00355E70" w:rsidRPr="00C371F1" w:rsidRDefault="00355E70" w:rsidP="006D0949">
      <w:pPr>
        <w:pStyle w:val="FootnoteText"/>
        <w:ind w:firstLine="720"/>
        <w:rPr>
          <w:rFonts w:ascii="Times New Roman" w:hAnsi="Times New Roman" w:cs="Times New Roman"/>
        </w:rPr>
      </w:pPr>
      <w:r w:rsidRPr="00C371F1">
        <w:rPr>
          <w:rStyle w:val="FootnoteReference"/>
        </w:rPr>
        <w:footnoteRef/>
      </w:r>
      <w:r w:rsidRPr="00C371F1">
        <w:rPr>
          <w:rFonts w:ascii="Times New Roman" w:hAnsi="Times New Roman" w:cs="Times New Roman"/>
        </w:rPr>
        <w:t xml:space="preserve"> </w:t>
      </w:r>
      <w:r w:rsidRPr="00C371F1">
        <w:rPr>
          <w:rFonts w:ascii="Times New Roman" w:hAnsi="Times New Roman" w:cs="Times New Roman"/>
        </w:rPr>
        <w:tab/>
        <w:t>OSBA and I&amp;E did not specifically address this issue in their Statements in Support of Settlement.</w:t>
      </w:r>
    </w:p>
  </w:footnote>
  <w:footnote w:id="15">
    <w:p w:rsidR="00355E70" w:rsidRPr="00EA307C" w:rsidRDefault="00355E70" w:rsidP="00EA307C">
      <w:pPr>
        <w:pStyle w:val="FootnoteText"/>
        <w:ind w:firstLine="720"/>
        <w:rPr>
          <w:rFonts w:ascii="Times New Roman" w:hAnsi="Times New Roman" w:cs="Times New Roman"/>
        </w:rPr>
      </w:pPr>
      <w:r w:rsidRPr="00EA307C">
        <w:rPr>
          <w:rStyle w:val="FootnoteReference"/>
        </w:rPr>
        <w:footnoteRef/>
      </w:r>
      <w:r w:rsidRPr="00EA307C">
        <w:rPr>
          <w:rFonts w:ascii="Times New Roman" w:hAnsi="Times New Roman" w:cs="Times New Roman"/>
        </w:rPr>
        <w:t xml:space="preserve">  </w:t>
      </w:r>
      <w:r w:rsidRPr="00EA307C">
        <w:rPr>
          <w:rFonts w:ascii="Times New Roman" w:hAnsi="Times New Roman" w:cs="Times New Roman"/>
        </w:rPr>
        <w:tab/>
        <w:t xml:space="preserve">Joint Settlement of All Issues of the Rate Investigation </w:t>
      </w:r>
      <w:proofErr w:type="gramStart"/>
      <w:r w:rsidRPr="00EA307C">
        <w:rPr>
          <w:rFonts w:ascii="Times New Roman" w:hAnsi="Times New Roman" w:cs="Times New Roman"/>
        </w:rPr>
        <w:t>Pursuant to 66 Pa.C.S</w:t>
      </w:r>
      <w:proofErr w:type="gramEnd"/>
      <w:r w:rsidRPr="00EA307C">
        <w:rPr>
          <w:rFonts w:ascii="Times New Roman" w:hAnsi="Times New Roman" w:cs="Times New Roman"/>
        </w:rPr>
        <w:t>. §</w:t>
      </w:r>
      <w:r>
        <w:rPr>
          <w:rFonts w:ascii="Times New Roman" w:hAnsi="Times New Roman" w:cs="Times New Roman"/>
        </w:rPr>
        <w:t xml:space="preserve"> </w:t>
      </w:r>
      <w:r w:rsidRPr="00EA307C">
        <w:rPr>
          <w:rFonts w:ascii="Times New Roman" w:hAnsi="Times New Roman" w:cs="Times New Roman"/>
        </w:rPr>
        <w:t xml:space="preserve">1307(f), Docket No. </w:t>
      </w:r>
      <w:proofErr w:type="gramStart"/>
      <w:r w:rsidRPr="00EA307C">
        <w:rPr>
          <w:rFonts w:ascii="Times New Roman" w:hAnsi="Times New Roman" w:cs="Times New Roman"/>
        </w:rPr>
        <w:t>R-2014-2399598, ¶ 20.</w:t>
      </w:r>
      <w:proofErr w:type="gramEnd"/>
      <w:r w:rsidRPr="00EA307C">
        <w:rPr>
          <w:rFonts w:ascii="Times New Roman" w:hAnsi="Times New Roman" w:cs="Times New Roman"/>
        </w:rPr>
        <w:t xml:space="preserve"> </w:t>
      </w:r>
    </w:p>
    <w:p w:rsidR="00355E70" w:rsidRPr="00EA307C" w:rsidRDefault="00355E70" w:rsidP="00EA307C">
      <w:pPr>
        <w:pStyle w:val="FootnoteText"/>
        <w:rPr>
          <w:rFonts w:ascii="Times New Roman" w:hAnsi="Times New Roman" w:cs="Times New Roman"/>
        </w:rPr>
      </w:pPr>
    </w:p>
  </w:footnote>
  <w:footnote w:id="16">
    <w:p w:rsidR="00355E70" w:rsidRPr="00EA307C" w:rsidRDefault="00355E70" w:rsidP="00EA307C">
      <w:pPr>
        <w:pStyle w:val="FootnoteText"/>
        <w:ind w:firstLine="720"/>
        <w:rPr>
          <w:rFonts w:ascii="Times New Roman" w:hAnsi="Times New Roman" w:cs="Times New Roman"/>
        </w:rPr>
      </w:pPr>
      <w:r w:rsidRPr="00EA307C">
        <w:rPr>
          <w:rStyle w:val="FootnoteReference"/>
        </w:rPr>
        <w:footnoteRef/>
      </w:r>
      <w:r w:rsidRPr="00EA307C">
        <w:rPr>
          <w:rFonts w:ascii="Times New Roman" w:hAnsi="Times New Roman" w:cs="Times New Roman"/>
        </w:rPr>
        <w:t xml:space="preserve"> </w:t>
      </w:r>
      <w:r w:rsidRPr="00EA307C">
        <w:rPr>
          <w:rFonts w:ascii="Times New Roman" w:hAnsi="Times New Roman" w:cs="Times New Roman"/>
        </w:rPr>
        <w:tab/>
      </w:r>
      <w:proofErr w:type="gramStart"/>
      <w:r w:rsidRPr="00EA307C">
        <w:rPr>
          <w:rFonts w:ascii="Times New Roman" w:hAnsi="Times New Roman" w:cs="Times New Roman"/>
        </w:rPr>
        <w:t>OCA Statement No. 2 at 5.</w:t>
      </w:r>
      <w:proofErr w:type="gramEnd"/>
      <w:r w:rsidRPr="00EA307C">
        <w:rPr>
          <w:rFonts w:ascii="Times New Roman" w:hAnsi="Times New Roman" w:cs="Times New Roman"/>
        </w:rPr>
        <w:t xml:space="preserve">  </w:t>
      </w:r>
    </w:p>
    <w:p w:rsidR="00355E70" w:rsidRPr="00EA307C" w:rsidRDefault="00355E70" w:rsidP="00EA307C">
      <w:pPr>
        <w:pStyle w:val="FootnoteText"/>
        <w:rPr>
          <w:rFonts w:ascii="Times New Roman" w:hAnsi="Times New Roman" w:cs="Times New Roman"/>
        </w:rPr>
      </w:pPr>
    </w:p>
  </w:footnote>
  <w:footnote w:id="17">
    <w:p w:rsidR="00355E70" w:rsidRPr="00AF3288" w:rsidRDefault="00355E70" w:rsidP="00AF3288">
      <w:pPr>
        <w:pStyle w:val="FootnoteText"/>
        <w:ind w:firstLine="720"/>
        <w:rPr>
          <w:rFonts w:ascii="Times New Roman" w:hAnsi="Times New Roman" w:cs="Times New Roman"/>
        </w:rPr>
      </w:pPr>
      <w:r w:rsidRPr="00AF3288">
        <w:rPr>
          <w:rStyle w:val="FootnoteReference"/>
        </w:rPr>
        <w:footnoteRef/>
      </w:r>
      <w:r w:rsidRPr="00AF3288">
        <w:rPr>
          <w:rFonts w:ascii="Times New Roman" w:hAnsi="Times New Roman" w:cs="Times New Roman"/>
        </w:rPr>
        <w:t xml:space="preserve">  </w:t>
      </w:r>
      <w:r w:rsidRPr="00AF3288">
        <w:rPr>
          <w:rFonts w:ascii="Times New Roman" w:hAnsi="Times New Roman" w:cs="Times New Roman"/>
        </w:rPr>
        <w:tab/>
      </w:r>
      <w:r w:rsidRPr="00D74820">
        <w:rPr>
          <w:rFonts w:ascii="Times New Roman" w:hAnsi="Times New Roman" w:cs="Times New Roman"/>
          <w:i/>
        </w:rPr>
        <w:t>Id.</w:t>
      </w:r>
      <w:r w:rsidRPr="00AF3288">
        <w:rPr>
          <w:rFonts w:ascii="Times New Roman" w:hAnsi="Times New Roman" w:cs="Times New Roman"/>
        </w:rPr>
        <w:t xml:space="preserve">  </w:t>
      </w:r>
    </w:p>
    <w:p w:rsidR="00355E70" w:rsidRPr="00AF3288" w:rsidRDefault="00355E70" w:rsidP="00141311">
      <w:pPr>
        <w:pStyle w:val="FootnoteText"/>
        <w:rPr>
          <w:rFonts w:ascii="Times New Roman" w:hAnsi="Times New Roman" w:cs="Times New Roman"/>
        </w:rPr>
      </w:pPr>
    </w:p>
  </w:footnote>
  <w:footnote w:id="18">
    <w:p w:rsidR="00355E70" w:rsidRPr="00AF3288" w:rsidRDefault="00355E70" w:rsidP="00AF3288">
      <w:pPr>
        <w:pStyle w:val="FootnoteText"/>
        <w:ind w:firstLine="720"/>
        <w:rPr>
          <w:rFonts w:ascii="Times New Roman" w:hAnsi="Times New Roman" w:cs="Times New Roman"/>
        </w:rPr>
      </w:pPr>
      <w:r w:rsidRPr="00AF3288">
        <w:rPr>
          <w:rStyle w:val="FootnoteReference"/>
        </w:rPr>
        <w:footnoteRef/>
      </w:r>
      <w:r w:rsidRPr="00AF3288">
        <w:rPr>
          <w:rFonts w:ascii="Times New Roman" w:hAnsi="Times New Roman" w:cs="Times New Roman"/>
        </w:rPr>
        <w:t xml:space="preserve"> </w:t>
      </w:r>
      <w:r w:rsidRPr="00AF3288">
        <w:rPr>
          <w:rFonts w:ascii="Times New Roman" w:hAnsi="Times New Roman" w:cs="Times New Roman"/>
        </w:rPr>
        <w:tab/>
      </w:r>
      <w:r w:rsidRPr="00AF3288">
        <w:rPr>
          <w:rFonts w:ascii="Times New Roman" w:hAnsi="Times New Roman" w:cs="Times New Roman"/>
          <w:i/>
        </w:rPr>
        <w:t xml:space="preserve">Id. </w:t>
      </w:r>
      <w:r w:rsidRPr="00AF3288">
        <w:rPr>
          <w:rFonts w:ascii="Times New Roman" w:hAnsi="Times New Roman" w:cs="Times New Roman"/>
        </w:rPr>
        <w:t xml:space="preserve">at 7-9. </w:t>
      </w:r>
    </w:p>
    <w:p w:rsidR="00355E70" w:rsidRPr="00AF3288" w:rsidRDefault="00355E70" w:rsidP="00141311">
      <w:pPr>
        <w:pStyle w:val="FootnoteText"/>
        <w:rPr>
          <w:rFonts w:ascii="Times New Roman" w:hAnsi="Times New Roman" w:cs="Times New Roman"/>
        </w:rPr>
      </w:pPr>
      <w:r w:rsidRPr="00AF3288">
        <w:rPr>
          <w:rFonts w:ascii="Times New Roman" w:hAnsi="Times New Roman" w:cs="Times New Roman"/>
        </w:rPr>
        <w:t xml:space="preserve"> </w:t>
      </w:r>
    </w:p>
  </w:footnote>
  <w:footnote w:id="19">
    <w:p w:rsidR="00355E70" w:rsidRPr="00AF3288" w:rsidRDefault="00355E70" w:rsidP="00AF3288">
      <w:pPr>
        <w:pStyle w:val="FootnoteText"/>
        <w:ind w:firstLine="720"/>
        <w:rPr>
          <w:rFonts w:ascii="Times New Roman" w:hAnsi="Times New Roman" w:cs="Times New Roman"/>
        </w:rPr>
      </w:pPr>
      <w:r w:rsidRPr="00AF3288">
        <w:rPr>
          <w:rStyle w:val="FootnoteReference"/>
        </w:rPr>
        <w:footnoteRef/>
      </w:r>
      <w:r w:rsidRPr="00AF3288">
        <w:rPr>
          <w:rFonts w:ascii="Times New Roman" w:hAnsi="Times New Roman" w:cs="Times New Roman"/>
        </w:rPr>
        <w:t xml:space="preserve"> </w:t>
      </w:r>
      <w:r w:rsidRPr="00AF3288">
        <w:rPr>
          <w:rFonts w:ascii="Times New Roman" w:hAnsi="Times New Roman" w:cs="Times New Roman"/>
        </w:rPr>
        <w:tab/>
      </w:r>
      <w:r>
        <w:rPr>
          <w:rFonts w:ascii="Times New Roman" w:hAnsi="Times New Roman" w:cs="Times New Roman"/>
        </w:rPr>
        <w:t xml:space="preserve">Peoples </w:t>
      </w:r>
      <w:r w:rsidRPr="00AF3288">
        <w:rPr>
          <w:rFonts w:ascii="Times New Roman" w:hAnsi="Times New Roman" w:cs="Times New Roman"/>
        </w:rPr>
        <w:t xml:space="preserve">TWP Statement No. 1 at 11-12.   </w:t>
      </w:r>
    </w:p>
  </w:footnote>
  <w:footnote w:id="20">
    <w:p w:rsidR="00355E70" w:rsidRPr="00C50747" w:rsidRDefault="00355E70" w:rsidP="00553C6F">
      <w:pPr>
        <w:pStyle w:val="FootnoteText"/>
        <w:ind w:firstLine="720"/>
        <w:rPr>
          <w:rFonts w:ascii="Times New Roman" w:hAnsi="Times New Roman" w:cs="Times New Roman"/>
        </w:rPr>
      </w:pPr>
      <w:r w:rsidRPr="00C50747">
        <w:rPr>
          <w:rStyle w:val="FootnoteReference"/>
        </w:rPr>
        <w:footnoteRef/>
      </w:r>
      <w:r w:rsidRPr="00C50747">
        <w:rPr>
          <w:rFonts w:ascii="Times New Roman" w:hAnsi="Times New Roman" w:cs="Times New Roman"/>
        </w:rPr>
        <w:t xml:space="preserve"> </w:t>
      </w:r>
      <w:r w:rsidRPr="00C50747">
        <w:rPr>
          <w:rFonts w:ascii="Times New Roman" w:hAnsi="Times New Roman" w:cs="Times New Roman"/>
        </w:rPr>
        <w:tab/>
        <w:t xml:space="preserve">OCA Statement No. 2 at 7-9.   </w:t>
      </w:r>
    </w:p>
    <w:p w:rsidR="00355E70" w:rsidRPr="00C50747" w:rsidRDefault="00355E70" w:rsidP="00553C6F">
      <w:pPr>
        <w:pStyle w:val="FootnoteText"/>
        <w:rPr>
          <w:rFonts w:ascii="Times New Roman" w:hAnsi="Times New Roman" w:cs="Times New Roman"/>
        </w:rPr>
      </w:pPr>
    </w:p>
  </w:footnote>
  <w:footnote w:id="21">
    <w:p w:rsidR="00355E70" w:rsidRPr="00C50747" w:rsidRDefault="00355E70" w:rsidP="00553C6F">
      <w:pPr>
        <w:pStyle w:val="FootnoteText"/>
        <w:ind w:firstLine="720"/>
        <w:rPr>
          <w:rFonts w:ascii="Times New Roman" w:hAnsi="Times New Roman" w:cs="Times New Roman"/>
        </w:rPr>
      </w:pPr>
      <w:r w:rsidRPr="00C50747">
        <w:rPr>
          <w:rStyle w:val="FootnoteReference"/>
        </w:rPr>
        <w:footnoteRef/>
      </w:r>
      <w:r w:rsidRPr="00C50747">
        <w:rPr>
          <w:rFonts w:ascii="Times New Roman" w:hAnsi="Times New Roman" w:cs="Times New Roman"/>
        </w:rPr>
        <w:t xml:space="preserve">  </w:t>
      </w:r>
      <w:r w:rsidRPr="00C50747">
        <w:rPr>
          <w:rFonts w:ascii="Times New Roman" w:hAnsi="Times New Roman" w:cs="Times New Roman"/>
        </w:rPr>
        <w:tab/>
        <w:t>P</w:t>
      </w:r>
      <w:r>
        <w:rPr>
          <w:rFonts w:ascii="Times New Roman" w:hAnsi="Times New Roman" w:cs="Times New Roman"/>
        </w:rPr>
        <w:t xml:space="preserve">eoples </w:t>
      </w:r>
      <w:r w:rsidRPr="00C50747">
        <w:rPr>
          <w:rFonts w:ascii="Times New Roman" w:hAnsi="Times New Roman" w:cs="Times New Roman"/>
        </w:rPr>
        <w:t>TWP Statement No. 2 at 19-20; P</w:t>
      </w:r>
      <w:r>
        <w:rPr>
          <w:rFonts w:ascii="Times New Roman" w:hAnsi="Times New Roman" w:cs="Times New Roman"/>
        </w:rPr>
        <w:t xml:space="preserve">eoples </w:t>
      </w:r>
      <w:r w:rsidRPr="00C50747">
        <w:rPr>
          <w:rFonts w:ascii="Times New Roman" w:hAnsi="Times New Roman" w:cs="Times New Roman"/>
        </w:rPr>
        <w:t xml:space="preserve">TWP Statement No. 2-S at 1-2.   </w:t>
      </w:r>
    </w:p>
    <w:p w:rsidR="00355E70" w:rsidRPr="00C50747" w:rsidRDefault="00355E70" w:rsidP="00553C6F">
      <w:pPr>
        <w:pStyle w:val="FootnoteText"/>
        <w:rPr>
          <w:rFonts w:ascii="Times New Roman" w:hAnsi="Times New Roman" w:cs="Times New Roman"/>
        </w:rPr>
      </w:pPr>
    </w:p>
  </w:footnote>
  <w:footnote w:id="22">
    <w:p w:rsidR="00355E70" w:rsidRPr="00C50747" w:rsidRDefault="00355E70" w:rsidP="00553C6F">
      <w:pPr>
        <w:pStyle w:val="FootnoteText"/>
        <w:ind w:firstLine="720"/>
        <w:rPr>
          <w:rFonts w:ascii="Times New Roman" w:hAnsi="Times New Roman" w:cs="Times New Roman"/>
        </w:rPr>
      </w:pPr>
      <w:r w:rsidRPr="00C50747">
        <w:rPr>
          <w:rStyle w:val="FootnoteReference"/>
        </w:rPr>
        <w:footnoteRef/>
      </w:r>
      <w:r w:rsidRPr="00C50747">
        <w:rPr>
          <w:rFonts w:ascii="Times New Roman" w:hAnsi="Times New Roman" w:cs="Times New Roman"/>
        </w:rPr>
        <w:t xml:space="preserve">  </w:t>
      </w:r>
      <w:r w:rsidRPr="00C50747">
        <w:rPr>
          <w:rFonts w:ascii="Times New Roman" w:hAnsi="Times New Roman" w:cs="Times New Roman"/>
        </w:rPr>
        <w:tab/>
      </w:r>
      <w:proofErr w:type="gramStart"/>
      <w:r w:rsidRPr="00C50747">
        <w:rPr>
          <w:rFonts w:ascii="Times New Roman" w:hAnsi="Times New Roman" w:cs="Times New Roman"/>
        </w:rPr>
        <w:t>P</w:t>
      </w:r>
      <w:r>
        <w:rPr>
          <w:rFonts w:ascii="Times New Roman" w:hAnsi="Times New Roman" w:cs="Times New Roman"/>
        </w:rPr>
        <w:t xml:space="preserve">eoples </w:t>
      </w:r>
      <w:r w:rsidRPr="00C50747">
        <w:rPr>
          <w:rFonts w:ascii="Times New Roman" w:hAnsi="Times New Roman" w:cs="Times New Roman"/>
        </w:rPr>
        <w:t>TWP Statement No. 2 at 20.</w:t>
      </w:r>
      <w:proofErr w:type="gramEnd"/>
    </w:p>
    <w:p w:rsidR="00355E70" w:rsidRPr="00C50747" w:rsidRDefault="00355E70" w:rsidP="00553C6F">
      <w:pPr>
        <w:pStyle w:val="FootnoteText"/>
        <w:rPr>
          <w:rFonts w:ascii="Times New Roman" w:hAnsi="Times New Roman" w:cs="Times New Roman"/>
        </w:rPr>
      </w:pPr>
    </w:p>
  </w:footnote>
  <w:footnote w:id="23">
    <w:p w:rsidR="00355E70" w:rsidRPr="00C50747" w:rsidRDefault="00355E70" w:rsidP="005D437D">
      <w:pPr>
        <w:pStyle w:val="FootnoteText"/>
        <w:ind w:firstLine="720"/>
        <w:rPr>
          <w:rFonts w:ascii="Times New Roman" w:hAnsi="Times New Roman" w:cs="Times New Roman"/>
        </w:rPr>
      </w:pPr>
      <w:r w:rsidRPr="00C50747">
        <w:rPr>
          <w:rStyle w:val="FootnoteReference"/>
        </w:rPr>
        <w:footnoteRef/>
      </w:r>
      <w:r w:rsidRPr="00C50747">
        <w:rPr>
          <w:rFonts w:ascii="Times New Roman" w:hAnsi="Times New Roman" w:cs="Times New Roman"/>
        </w:rPr>
        <w:t xml:space="preserve">  </w:t>
      </w:r>
      <w:r w:rsidRPr="00C50747">
        <w:rPr>
          <w:rFonts w:ascii="Times New Roman" w:hAnsi="Times New Roman" w:cs="Times New Roman"/>
        </w:rPr>
        <w:tab/>
      </w:r>
      <w:proofErr w:type="gramStart"/>
      <w:r w:rsidRPr="00C50747">
        <w:rPr>
          <w:rFonts w:ascii="Times New Roman" w:hAnsi="Times New Roman" w:cs="Times New Roman"/>
        </w:rPr>
        <w:t>P</w:t>
      </w:r>
      <w:r>
        <w:rPr>
          <w:rFonts w:ascii="Times New Roman" w:hAnsi="Times New Roman" w:cs="Times New Roman"/>
        </w:rPr>
        <w:t xml:space="preserve">eoples </w:t>
      </w:r>
      <w:r w:rsidRPr="00C50747">
        <w:rPr>
          <w:rFonts w:ascii="Times New Roman" w:hAnsi="Times New Roman" w:cs="Times New Roman"/>
        </w:rPr>
        <w:t>TWP Statement No. 2-S at 2.</w:t>
      </w:r>
      <w:proofErr w:type="gramEnd"/>
    </w:p>
  </w:footnote>
  <w:footnote w:id="24">
    <w:p w:rsidR="00355E70" w:rsidRPr="00C50747" w:rsidRDefault="00355E70" w:rsidP="00553C6F">
      <w:pPr>
        <w:pStyle w:val="FootnoteText"/>
        <w:ind w:firstLine="720"/>
        <w:rPr>
          <w:rFonts w:ascii="Times New Roman" w:hAnsi="Times New Roman" w:cs="Times New Roman"/>
        </w:rPr>
      </w:pPr>
      <w:r w:rsidRPr="00C50747">
        <w:rPr>
          <w:rStyle w:val="FootnoteReference"/>
        </w:rPr>
        <w:footnoteRef/>
      </w:r>
      <w:r w:rsidRPr="00C50747">
        <w:rPr>
          <w:rFonts w:ascii="Times New Roman" w:hAnsi="Times New Roman" w:cs="Times New Roman"/>
        </w:rPr>
        <w:t xml:space="preserve"> </w:t>
      </w:r>
      <w:r w:rsidRPr="00C50747">
        <w:rPr>
          <w:rFonts w:ascii="Times New Roman" w:hAnsi="Times New Roman" w:cs="Times New Roman"/>
        </w:rPr>
        <w:tab/>
        <w:t xml:space="preserve">OCA Statement No. 1 at 12-13. </w:t>
      </w:r>
    </w:p>
    <w:p w:rsidR="00355E70" w:rsidRPr="00C50747" w:rsidRDefault="00355E70" w:rsidP="00553C6F">
      <w:pPr>
        <w:pStyle w:val="FootnoteText"/>
        <w:rPr>
          <w:rFonts w:ascii="Times New Roman" w:hAnsi="Times New Roman" w:cs="Times New Roman"/>
        </w:rPr>
      </w:pPr>
      <w:r w:rsidRPr="00C50747">
        <w:rPr>
          <w:rFonts w:ascii="Times New Roman" w:hAnsi="Times New Roman" w:cs="Times New Roman"/>
        </w:rPr>
        <w:t xml:space="preserve">  </w:t>
      </w:r>
    </w:p>
  </w:footnote>
  <w:footnote w:id="25">
    <w:p w:rsidR="00355E70" w:rsidRPr="00782767" w:rsidRDefault="00355E70" w:rsidP="00287E7B">
      <w:pPr>
        <w:pStyle w:val="FootnoteText"/>
        <w:ind w:firstLine="720"/>
        <w:rPr>
          <w:rFonts w:ascii="Times New Roman" w:hAnsi="Times New Roman" w:cs="Times New Roman"/>
        </w:rPr>
      </w:pPr>
      <w:r w:rsidRPr="00782767">
        <w:rPr>
          <w:rStyle w:val="FootnoteReference"/>
        </w:rPr>
        <w:footnoteRef/>
      </w:r>
      <w:r w:rsidRPr="00782767">
        <w:rPr>
          <w:rFonts w:ascii="Times New Roman" w:hAnsi="Times New Roman" w:cs="Times New Roman"/>
        </w:rPr>
        <w:t xml:space="preserve">  </w:t>
      </w:r>
      <w:r w:rsidRPr="00782767">
        <w:rPr>
          <w:rFonts w:ascii="Times New Roman" w:hAnsi="Times New Roman" w:cs="Times New Roman"/>
        </w:rPr>
        <w:tab/>
        <w:t>P</w:t>
      </w:r>
      <w:r>
        <w:rPr>
          <w:rFonts w:ascii="Times New Roman" w:hAnsi="Times New Roman" w:cs="Times New Roman"/>
        </w:rPr>
        <w:t xml:space="preserve">eoples </w:t>
      </w:r>
      <w:r w:rsidRPr="00782767">
        <w:rPr>
          <w:rFonts w:ascii="Times New Roman" w:hAnsi="Times New Roman" w:cs="Times New Roman"/>
        </w:rPr>
        <w:t xml:space="preserve">TWP Statement No. 1-R at 5-6.  </w:t>
      </w:r>
    </w:p>
    <w:p w:rsidR="00355E70" w:rsidRPr="00782767" w:rsidRDefault="00355E70" w:rsidP="00287E7B">
      <w:pPr>
        <w:pStyle w:val="FootnoteText"/>
        <w:ind w:firstLine="720"/>
        <w:rPr>
          <w:rFonts w:ascii="Times New Roman" w:hAnsi="Times New Roman" w:cs="Times New Roman"/>
        </w:rPr>
      </w:pPr>
    </w:p>
  </w:footnote>
  <w:footnote w:id="26">
    <w:p w:rsidR="00355E70" w:rsidRPr="001B038C" w:rsidRDefault="00355E70" w:rsidP="00287E7B">
      <w:pPr>
        <w:pStyle w:val="FootnoteText"/>
        <w:ind w:firstLine="720"/>
      </w:pPr>
      <w:r w:rsidRPr="00782767">
        <w:rPr>
          <w:rStyle w:val="FootnoteReference"/>
        </w:rPr>
        <w:footnoteRef/>
      </w:r>
      <w:r w:rsidRPr="00782767">
        <w:rPr>
          <w:rFonts w:ascii="Times New Roman" w:hAnsi="Times New Roman" w:cs="Times New Roman"/>
        </w:rPr>
        <w:t xml:space="preserve">  </w:t>
      </w:r>
      <w:r w:rsidRPr="00782767">
        <w:rPr>
          <w:rFonts w:ascii="Times New Roman" w:hAnsi="Times New Roman" w:cs="Times New Roman"/>
        </w:rPr>
        <w:tab/>
        <w:t>OCA Statement No. 1</w:t>
      </w:r>
      <w:r>
        <w:rPr>
          <w:rFonts w:ascii="Times New Roman" w:hAnsi="Times New Roman" w:cs="Times New Roman"/>
        </w:rPr>
        <w:t>-</w:t>
      </w:r>
      <w:r w:rsidRPr="00782767">
        <w:rPr>
          <w:rFonts w:ascii="Times New Roman" w:hAnsi="Times New Roman" w:cs="Times New Roman"/>
        </w:rPr>
        <w:t>S at 5-7.</w:t>
      </w:r>
      <w:r w:rsidRPr="001B038C">
        <w:t xml:space="preserve">   </w:t>
      </w:r>
    </w:p>
  </w:footnote>
  <w:footnote w:id="27">
    <w:p w:rsidR="00355E70" w:rsidRPr="00C90766" w:rsidRDefault="00355E70" w:rsidP="00141311">
      <w:pPr>
        <w:pStyle w:val="FootnoteText"/>
        <w:rPr>
          <w:rFonts w:ascii="Times New Roman" w:hAnsi="Times New Roman" w:cs="Times New Roman"/>
        </w:rPr>
      </w:pPr>
      <w:r>
        <w:rPr>
          <w:rFonts w:ascii="Times New Roman" w:hAnsi="Times New Roman" w:cs="Times New Roman"/>
          <w:sz w:val="24"/>
          <w:szCs w:val="24"/>
        </w:rPr>
        <w:tab/>
      </w:r>
      <w:r w:rsidRPr="00C90766">
        <w:rPr>
          <w:rStyle w:val="FootnoteReference"/>
        </w:rPr>
        <w:footnoteRef/>
      </w:r>
      <w:r w:rsidRPr="00C90766">
        <w:rPr>
          <w:rFonts w:ascii="Times New Roman" w:hAnsi="Times New Roman" w:cs="Times New Roman"/>
          <w:sz w:val="24"/>
          <w:szCs w:val="24"/>
        </w:rPr>
        <w:t xml:space="preserve"> </w:t>
      </w:r>
      <w:r w:rsidRPr="00C90766">
        <w:rPr>
          <w:rFonts w:ascii="Times New Roman" w:hAnsi="Times New Roman" w:cs="Times New Roman"/>
          <w:sz w:val="24"/>
          <w:szCs w:val="24"/>
        </w:rPr>
        <w:tab/>
      </w:r>
      <w:r w:rsidRPr="00C90766">
        <w:rPr>
          <w:rFonts w:ascii="Times New Roman" w:hAnsi="Times New Roman" w:cs="Times New Roman"/>
          <w:i/>
        </w:rPr>
        <w:t>Pa. Pub. Util. Comm’n v. Peoples TWP</w:t>
      </w:r>
      <w:r w:rsidRPr="00C90766">
        <w:rPr>
          <w:rFonts w:ascii="Times New Roman" w:hAnsi="Times New Roman" w:cs="Times New Roman"/>
        </w:rPr>
        <w:t>, Docket No. R-2014-2399598, p. 5.</w:t>
      </w:r>
    </w:p>
    <w:p w:rsidR="00355E70" w:rsidRPr="001B038C" w:rsidRDefault="00355E70" w:rsidP="00141311">
      <w:pPr>
        <w:pStyle w:val="FootnoteText"/>
      </w:pPr>
    </w:p>
  </w:footnote>
  <w:footnote w:id="28">
    <w:p w:rsidR="00355E70" w:rsidRPr="00DF5A4F" w:rsidRDefault="00355E70" w:rsidP="00DF5A4F">
      <w:pPr>
        <w:pStyle w:val="FootnoteText"/>
        <w:ind w:firstLine="720"/>
        <w:rPr>
          <w:rFonts w:ascii="Times New Roman" w:hAnsi="Times New Roman" w:cs="Times New Roman"/>
        </w:rPr>
      </w:pPr>
      <w:r w:rsidRPr="00DF5A4F">
        <w:rPr>
          <w:rStyle w:val="FootnoteReference"/>
        </w:rPr>
        <w:footnoteRef/>
      </w:r>
      <w:r w:rsidRPr="00DF5A4F">
        <w:rPr>
          <w:rFonts w:ascii="Times New Roman" w:hAnsi="Times New Roman" w:cs="Times New Roman"/>
        </w:rPr>
        <w:t xml:space="preserve"> </w:t>
      </w:r>
      <w:r w:rsidRPr="00DF5A4F">
        <w:rPr>
          <w:rFonts w:ascii="Times New Roman" w:hAnsi="Times New Roman" w:cs="Times New Roman"/>
        </w:rPr>
        <w:tab/>
        <w:t>I&amp;E did not specifically address this issue in its Statement in Support of Settlement.</w:t>
      </w:r>
    </w:p>
  </w:footnote>
  <w:footnote w:id="29">
    <w:p w:rsidR="00355E70" w:rsidRPr="003E65CA" w:rsidRDefault="00355E70" w:rsidP="00141311">
      <w:pPr>
        <w:pStyle w:val="FootnoteText"/>
        <w:rPr>
          <w:rFonts w:ascii="Times New Roman" w:hAnsi="Times New Roman" w:cs="Times New Roman"/>
        </w:rPr>
      </w:pPr>
      <w:r>
        <w:rPr>
          <w:rFonts w:ascii="Times New Roman" w:hAnsi="Times New Roman" w:cs="Times New Roman"/>
        </w:rPr>
        <w:tab/>
      </w:r>
      <w:r w:rsidRPr="003E65CA">
        <w:rPr>
          <w:rStyle w:val="FootnoteReference"/>
        </w:rPr>
        <w:footnoteRef/>
      </w:r>
      <w:r w:rsidRPr="003E65CA">
        <w:rPr>
          <w:rFonts w:ascii="Times New Roman" w:hAnsi="Times New Roman" w:cs="Times New Roman"/>
        </w:rPr>
        <w:t xml:space="preserve">  </w:t>
      </w:r>
      <w:r w:rsidRPr="003E65CA">
        <w:rPr>
          <w:rFonts w:ascii="Times New Roman" w:hAnsi="Times New Roman" w:cs="Times New Roman"/>
        </w:rPr>
        <w:tab/>
      </w:r>
      <w:proofErr w:type="gramStart"/>
      <w:r w:rsidRPr="003E65CA">
        <w:rPr>
          <w:rFonts w:ascii="Times New Roman" w:hAnsi="Times New Roman" w:cs="Times New Roman"/>
        </w:rPr>
        <w:t>P</w:t>
      </w:r>
      <w:r>
        <w:rPr>
          <w:rFonts w:ascii="Times New Roman" w:hAnsi="Times New Roman" w:cs="Times New Roman"/>
        </w:rPr>
        <w:t xml:space="preserve">eoples </w:t>
      </w:r>
      <w:r w:rsidRPr="003E65CA">
        <w:rPr>
          <w:rFonts w:ascii="Times New Roman" w:hAnsi="Times New Roman" w:cs="Times New Roman"/>
        </w:rPr>
        <w:t>TWP Statement No. 2 at 22.</w:t>
      </w:r>
      <w:proofErr w:type="gramEnd"/>
      <w:r w:rsidRPr="003E65CA">
        <w:rPr>
          <w:rFonts w:ascii="Times New Roman" w:hAnsi="Times New Roman" w:cs="Times New Roman"/>
        </w:rPr>
        <w:t xml:space="preserve">   </w:t>
      </w:r>
    </w:p>
    <w:p w:rsidR="00355E70" w:rsidRPr="001B038C" w:rsidRDefault="00355E70" w:rsidP="00141311">
      <w:pPr>
        <w:pStyle w:val="FootnoteText"/>
      </w:pPr>
    </w:p>
  </w:footnote>
  <w:footnote w:id="30">
    <w:p w:rsidR="00355E70" w:rsidRPr="00BD3FC8" w:rsidRDefault="00355E70" w:rsidP="00141311">
      <w:pPr>
        <w:pStyle w:val="FootnoteText"/>
        <w:rPr>
          <w:rFonts w:ascii="Times New Roman" w:hAnsi="Times New Roman" w:cs="Times New Roman"/>
        </w:rPr>
      </w:pPr>
      <w:r>
        <w:rPr>
          <w:rFonts w:ascii="Times New Roman" w:hAnsi="Times New Roman" w:cs="Times New Roman"/>
        </w:rPr>
        <w:tab/>
      </w:r>
      <w:r w:rsidRPr="00BD3FC8">
        <w:rPr>
          <w:rStyle w:val="FootnoteReference"/>
        </w:rPr>
        <w:footnoteRef/>
      </w:r>
      <w:r w:rsidRPr="00BD3FC8">
        <w:rPr>
          <w:rFonts w:ascii="Times New Roman" w:hAnsi="Times New Roman" w:cs="Times New Roman"/>
        </w:rPr>
        <w:t xml:space="preserve"> </w:t>
      </w:r>
      <w:r w:rsidRPr="00BD3FC8">
        <w:rPr>
          <w:rFonts w:ascii="Times New Roman" w:hAnsi="Times New Roman" w:cs="Times New Roman"/>
        </w:rPr>
        <w:tab/>
        <w:t xml:space="preserve"> </w:t>
      </w:r>
      <w:proofErr w:type="gramStart"/>
      <w:r w:rsidRPr="00BD3FC8">
        <w:rPr>
          <w:rFonts w:ascii="Times New Roman" w:hAnsi="Times New Roman" w:cs="Times New Roman"/>
          <w:i/>
        </w:rPr>
        <w:t xml:space="preserve">Id. </w:t>
      </w:r>
      <w:r w:rsidRPr="00BD3FC8">
        <w:rPr>
          <w:rFonts w:ascii="Times New Roman" w:hAnsi="Times New Roman" w:cs="Times New Roman"/>
        </w:rPr>
        <w:t>at 23.</w:t>
      </w:r>
      <w:proofErr w:type="gramEnd"/>
      <w:r w:rsidRPr="00BD3FC8">
        <w:rPr>
          <w:rFonts w:ascii="Times New Roman" w:hAnsi="Times New Roman" w:cs="Times New Roman"/>
        </w:rPr>
        <w:t xml:space="preserve">  </w:t>
      </w:r>
    </w:p>
    <w:p w:rsidR="00355E70" w:rsidRPr="00BD3FC8" w:rsidRDefault="00355E70" w:rsidP="00141311">
      <w:pPr>
        <w:pStyle w:val="FootnoteText"/>
        <w:rPr>
          <w:rFonts w:ascii="Times New Roman" w:hAnsi="Times New Roman" w:cs="Times New Roman"/>
        </w:rPr>
      </w:pPr>
    </w:p>
  </w:footnote>
  <w:footnote w:id="31">
    <w:p w:rsidR="00355E70" w:rsidRDefault="00355E70" w:rsidP="00141311">
      <w:pPr>
        <w:pStyle w:val="FootnoteText"/>
        <w:rPr>
          <w:rFonts w:ascii="Times New Roman" w:hAnsi="Times New Roman" w:cs="Times New Roman"/>
        </w:rPr>
      </w:pPr>
      <w:r>
        <w:rPr>
          <w:rFonts w:ascii="Times New Roman" w:hAnsi="Times New Roman" w:cs="Times New Roman"/>
        </w:rPr>
        <w:tab/>
      </w:r>
      <w:r w:rsidRPr="00BD3FC8">
        <w:rPr>
          <w:rStyle w:val="FootnoteReference"/>
        </w:rPr>
        <w:footnoteRef/>
      </w:r>
      <w:r w:rsidRPr="00BD3FC8">
        <w:rPr>
          <w:rFonts w:ascii="Times New Roman" w:hAnsi="Times New Roman" w:cs="Times New Roman"/>
        </w:rPr>
        <w:t xml:space="preserve">  </w:t>
      </w:r>
      <w:r w:rsidRPr="00BD3FC8">
        <w:rPr>
          <w:rFonts w:ascii="Times New Roman" w:hAnsi="Times New Roman" w:cs="Times New Roman"/>
        </w:rPr>
        <w:tab/>
      </w:r>
      <w:proofErr w:type="gramStart"/>
      <w:r w:rsidRPr="00BD3FC8">
        <w:rPr>
          <w:rFonts w:ascii="Times New Roman" w:hAnsi="Times New Roman" w:cs="Times New Roman"/>
        </w:rPr>
        <w:t>OCA Statement No. 1 at 17.</w:t>
      </w:r>
      <w:proofErr w:type="gramEnd"/>
      <w:r w:rsidRPr="00BD3FC8">
        <w:rPr>
          <w:rFonts w:ascii="Times New Roman" w:hAnsi="Times New Roman" w:cs="Times New Roman"/>
        </w:rPr>
        <w:t xml:space="preserve">    </w:t>
      </w:r>
    </w:p>
    <w:p w:rsidR="00355E70" w:rsidRPr="00BD3FC8" w:rsidRDefault="00355E70" w:rsidP="00141311">
      <w:pPr>
        <w:pStyle w:val="FootnoteText"/>
        <w:rPr>
          <w:rFonts w:ascii="Times New Roman" w:hAnsi="Times New Roman" w:cs="Times New Roman"/>
        </w:rPr>
      </w:pPr>
      <w:r>
        <w:rPr>
          <w:rFonts w:ascii="Times New Roman" w:hAnsi="Times New Roman" w:cs="Times New Roman"/>
        </w:rPr>
        <w:tab/>
      </w:r>
    </w:p>
  </w:footnote>
  <w:footnote w:id="32">
    <w:p w:rsidR="00355E70" w:rsidRPr="00BD3FC8" w:rsidRDefault="00355E70" w:rsidP="00141311">
      <w:pPr>
        <w:pStyle w:val="FootnoteText"/>
        <w:rPr>
          <w:rFonts w:ascii="Times New Roman" w:hAnsi="Times New Roman" w:cs="Times New Roman"/>
        </w:rPr>
      </w:pPr>
      <w:r>
        <w:rPr>
          <w:rFonts w:ascii="Times New Roman" w:hAnsi="Times New Roman" w:cs="Times New Roman"/>
        </w:rPr>
        <w:tab/>
      </w:r>
      <w:r w:rsidRPr="00BD3FC8">
        <w:rPr>
          <w:rStyle w:val="FootnoteReference"/>
        </w:rPr>
        <w:footnoteRef/>
      </w:r>
      <w:r w:rsidRPr="00BD3FC8">
        <w:rPr>
          <w:rFonts w:ascii="Times New Roman" w:hAnsi="Times New Roman" w:cs="Times New Roman"/>
        </w:rPr>
        <w:t xml:space="preserve"> </w:t>
      </w:r>
      <w:r w:rsidRPr="00BD3FC8">
        <w:rPr>
          <w:rFonts w:ascii="Times New Roman" w:hAnsi="Times New Roman" w:cs="Times New Roman"/>
        </w:rPr>
        <w:tab/>
        <w:t>OSBA and I&amp;E did not specifically address this issue in their Statements in Support of Settlement.</w:t>
      </w:r>
    </w:p>
  </w:footnote>
  <w:footnote w:id="33">
    <w:p w:rsidR="00355E70" w:rsidRPr="00260B5A" w:rsidRDefault="00355E70" w:rsidP="00141311">
      <w:pPr>
        <w:pStyle w:val="FootnoteText"/>
        <w:rPr>
          <w:rFonts w:ascii="Times New Roman" w:hAnsi="Times New Roman" w:cs="Times New Roman"/>
        </w:rPr>
      </w:pPr>
      <w:r>
        <w:rPr>
          <w:rFonts w:ascii="Times New Roman" w:hAnsi="Times New Roman" w:cs="Times New Roman"/>
        </w:rPr>
        <w:tab/>
      </w:r>
      <w:r w:rsidRPr="00260B5A">
        <w:rPr>
          <w:rStyle w:val="FootnoteReference"/>
        </w:rPr>
        <w:footnoteRef/>
      </w:r>
      <w:r w:rsidRPr="00260B5A">
        <w:rPr>
          <w:rFonts w:ascii="Times New Roman" w:hAnsi="Times New Roman" w:cs="Times New Roman"/>
        </w:rPr>
        <w:t xml:space="preserve"> </w:t>
      </w:r>
      <w:r w:rsidRPr="00260B5A">
        <w:rPr>
          <w:rFonts w:ascii="Times New Roman" w:hAnsi="Times New Roman" w:cs="Times New Roman"/>
        </w:rPr>
        <w:tab/>
        <w:t>OSBA and I&amp;E did not specifically address these issues in their Statements in Support of Settlement.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70D4D"/>
    <w:multiLevelType w:val="hybridMultilevel"/>
    <w:tmpl w:val="9E629DBE"/>
    <w:lvl w:ilvl="0" w:tplc="04090001">
      <w:start w:val="1"/>
      <w:numFmt w:val="bullet"/>
      <w:lvlText w:val=""/>
      <w:lvlJc w:val="left"/>
      <w:pPr>
        <w:ind w:left="1440" w:hanging="360"/>
      </w:pPr>
      <w:rPr>
        <w:rFonts w:ascii="Symbol" w:hAnsi="Symbol" w:hint="default"/>
        <w:b w:val="0"/>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3C82463"/>
    <w:multiLevelType w:val="multilevel"/>
    <w:tmpl w:val="1BE696E4"/>
    <w:lvl w:ilvl="0">
      <w:start w:val="10"/>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88F6D75"/>
    <w:multiLevelType w:val="hybridMultilevel"/>
    <w:tmpl w:val="058E6D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97C64B3"/>
    <w:multiLevelType w:val="hybridMultilevel"/>
    <w:tmpl w:val="BD7CADEE"/>
    <w:lvl w:ilvl="0" w:tplc="050046BC">
      <w:start w:val="1"/>
      <w:numFmt w:val="upperLetter"/>
      <w:lvlText w:val="%1."/>
      <w:lvlJc w:val="left"/>
      <w:pPr>
        <w:ind w:left="720" w:hanging="360"/>
      </w:pPr>
      <w:rPr>
        <w:rFonts w:hint="default"/>
        <w:b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5B50D8"/>
    <w:multiLevelType w:val="multilevel"/>
    <w:tmpl w:val="BE34797E"/>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BB02DF2"/>
    <w:multiLevelType w:val="hybridMultilevel"/>
    <w:tmpl w:val="BB3EEC5E"/>
    <w:lvl w:ilvl="0" w:tplc="2182FBC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1611F76"/>
    <w:multiLevelType w:val="hybridMultilevel"/>
    <w:tmpl w:val="64D47840"/>
    <w:lvl w:ilvl="0" w:tplc="7C568C6A">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965EE8"/>
    <w:multiLevelType w:val="hybridMultilevel"/>
    <w:tmpl w:val="67B027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3DDC5DDF"/>
    <w:multiLevelType w:val="hybridMultilevel"/>
    <w:tmpl w:val="D3E24536"/>
    <w:lvl w:ilvl="0" w:tplc="3C808E5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EAB5876"/>
    <w:multiLevelType w:val="hybridMultilevel"/>
    <w:tmpl w:val="4232CE84"/>
    <w:lvl w:ilvl="0" w:tplc="D52A29B4">
      <w:start w:val="5"/>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0">
    <w:nsid w:val="3F6E2436"/>
    <w:multiLevelType w:val="hybridMultilevel"/>
    <w:tmpl w:val="A1DE2DAA"/>
    <w:lvl w:ilvl="0" w:tplc="4AC4AC2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8DB3A4F"/>
    <w:multiLevelType w:val="hybridMultilevel"/>
    <w:tmpl w:val="35C42A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696100"/>
    <w:multiLevelType w:val="hybridMultilevel"/>
    <w:tmpl w:val="3FDC4F16"/>
    <w:lvl w:ilvl="0" w:tplc="6EF06C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5D31010"/>
    <w:multiLevelType w:val="multilevel"/>
    <w:tmpl w:val="38DE1D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6F6D066A"/>
    <w:multiLevelType w:val="multilevel"/>
    <w:tmpl w:val="A2067234"/>
    <w:lvl w:ilvl="0">
      <w:start w:val="1"/>
      <w:numFmt w:val="decimal"/>
      <w:lvlText w:val="%1."/>
      <w:lvlJc w:val="left"/>
      <w:pPr>
        <w:tabs>
          <w:tab w:val="num" w:pos="720"/>
        </w:tabs>
        <w:ind w:left="0" w:firstLine="720"/>
      </w:pPr>
      <w:rPr>
        <w:rFonts w:hint="default"/>
        <w:b w:val="0"/>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78D9019A"/>
    <w:multiLevelType w:val="multilevel"/>
    <w:tmpl w:val="ADE80FD6"/>
    <w:lvl w:ilvl="0">
      <w:start w:val="7"/>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79EF1C5C"/>
    <w:multiLevelType w:val="multilevel"/>
    <w:tmpl w:val="06DEF1FC"/>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3"/>
  </w:num>
  <w:num w:numId="3">
    <w:abstractNumId w:val="14"/>
  </w:num>
  <w:num w:numId="4">
    <w:abstractNumId w:val="11"/>
  </w:num>
  <w:num w:numId="5">
    <w:abstractNumId w:val="16"/>
  </w:num>
  <w:num w:numId="6">
    <w:abstractNumId w:val="15"/>
  </w:num>
  <w:num w:numId="7">
    <w:abstractNumId w:val="13"/>
  </w:num>
  <w:num w:numId="8">
    <w:abstractNumId w:val="6"/>
  </w:num>
  <w:num w:numId="9">
    <w:abstractNumId w:val="1"/>
  </w:num>
  <w:num w:numId="10">
    <w:abstractNumId w:val="8"/>
  </w:num>
  <w:num w:numId="11">
    <w:abstractNumId w:val="0"/>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0"/>
  </w:num>
  <w:num w:numId="17">
    <w:abstractNumId w:val="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052"/>
    <w:rsid w:val="0000145D"/>
    <w:rsid w:val="00001E51"/>
    <w:rsid w:val="0000524E"/>
    <w:rsid w:val="000079ED"/>
    <w:rsid w:val="00015BF8"/>
    <w:rsid w:val="00021C89"/>
    <w:rsid w:val="000304EA"/>
    <w:rsid w:val="00040A8C"/>
    <w:rsid w:val="00046B63"/>
    <w:rsid w:val="00046E54"/>
    <w:rsid w:val="000537C1"/>
    <w:rsid w:val="00063C1E"/>
    <w:rsid w:val="00066F2F"/>
    <w:rsid w:val="00086427"/>
    <w:rsid w:val="000915CC"/>
    <w:rsid w:val="000A17DC"/>
    <w:rsid w:val="000B657A"/>
    <w:rsid w:val="000D6F70"/>
    <w:rsid w:val="000F18E4"/>
    <w:rsid w:val="001004F0"/>
    <w:rsid w:val="001008C2"/>
    <w:rsid w:val="00103B40"/>
    <w:rsid w:val="00106CD6"/>
    <w:rsid w:val="001079C7"/>
    <w:rsid w:val="00136D59"/>
    <w:rsid w:val="00141311"/>
    <w:rsid w:val="00144CBA"/>
    <w:rsid w:val="00146425"/>
    <w:rsid w:val="001576C9"/>
    <w:rsid w:val="00162CA7"/>
    <w:rsid w:val="00164415"/>
    <w:rsid w:val="00166384"/>
    <w:rsid w:val="00167403"/>
    <w:rsid w:val="00167A36"/>
    <w:rsid w:val="00175E59"/>
    <w:rsid w:val="001872A1"/>
    <w:rsid w:val="001A1F08"/>
    <w:rsid w:val="001B12DA"/>
    <w:rsid w:val="001B25DB"/>
    <w:rsid w:val="001B4E52"/>
    <w:rsid w:val="001C2CC2"/>
    <w:rsid w:val="001D4E6F"/>
    <w:rsid w:val="001E69A3"/>
    <w:rsid w:val="001E70CE"/>
    <w:rsid w:val="001E7AB7"/>
    <w:rsid w:val="001F6198"/>
    <w:rsid w:val="00201997"/>
    <w:rsid w:val="00201C5F"/>
    <w:rsid w:val="00204167"/>
    <w:rsid w:val="002112DB"/>
    <w:rsid w:val="002146CF"/>
    <w:rsid w:val="00231290"/>
    <w:rsid w:val="002347A6"/>
    <w:rsid w:val="00234F7A"/>
    <w:rsid w:val="002372B4"/>
    <w:rsid w:val="00246322"/>
    <w:rsid w:val="00260B5A"/>
    <w:rsid w:val="002670AF"/>
    <w:rsid w:val="00273B50"/>
    <w:rsid w:val="00287E7B"/>
    <w:rsid w:val="002A117D"/>
    <w:rsid w:val="002A47C4"/>
    <w:rsid w:val="002A5470"/>
    <w:rsid w:val="002A665C"/>
    <w:rsid w:val="002B04B9"/>
    <w:rsid w:val="002C1322"/>
    <w:rsid w:val="002C62F2"/>
    <w:rsid w:val="002D1650"/>
    <w:rsid w:val="002D1E8B"/>
    <w:rsid w:val="002D35D7"/>
    <w:rsid w:val="002D579C"/>
    <w:rsid w:val="002D773D"/>
    <w:rsid w:val="00301004"/>
    <w:rsid w:val="00302B61"/>
    <w:rsid w:val="00310147"/>
    <w:rsid w:val="00311249"/>
    <w:rsid w:val="00316508"/>
    <w:rsid w:val="003177BC"/>
    <w:rsid w:val="00320EB9"/>
    <w:rsid w:val="003229C9"/>
    <w:rsid w:val="00335C61"/>
    <w:rsid w:val="00340E4B"/>
    <w:rsid w:val="00341131"/>
    <w:rsid w:val="00353135"/>
    <w:rsid w:val="00355E70"/>
    <w:rsid w:val="0036429A"/>
    <w:rsid w:val="00366CDC"/>
    <w:rsid w:val="0037183B"/>
    <w:rsid w:val="00373D5C"/>
    <w:rsid w:val="003742F4"/>
    <w:rsid w:val="003952BA"/>
    <w:rsid w:val="00395DC3"/>
    <w:rsid w:val="00395E1C"/>
    <w:rsid w:val="003A4921"/>
    <w:rsid w:val="003A4BF7"/>
    <w:rsid w:val="003D6E1E"/>
    <w:rsid w:val="003E0703"/>
    <w:rsid w:val="003E0B7E"/>
    <w:rsid w:val="003E2585"/>
    <w:rsid w:val="003E36A8"/>
    <w:rsid w:val="003E6338"/>
    <w:rsid w:val="003E65CA"/>
    <w:rsid w:val="0040691F"/>
    <w:rsid w:val="00414FA4"/>
    <w:rsid w:val="00415C8B"/>
    <w:rsid w:val="00420097"/>
    <w:rsid w:val="00423CA0"/>
    <w:rsid w:val="004265E6"/>
    <w:rsid w:val="00427048"/>
    <w:rsid w:val="0044570C"/>
    <w:rsid w:val="00450C7C"/>
    <w:rsid w:val="004550FF"/>
    <w:rsid w:val="00456CA4"/>
    <w:rsid w:val="00456D42"/>
    <w:rsid w:val="00463B6C"/>
    <w:rsid w:val="00471945"/>
    <w:rsid w:val="0047213E"/>
    <w:rsid w:val="004739B4"/>
    <w:rsid w:val="00484538"/>
    <w:rsid w:val="00485AAD"/>
    <w:rsid w:val="00491BBB"/>
    <w:rsid w:val="00497984"/>
    <w:rsid w:val="004C6190"/>
    <w:rsid w:val="004D0DBA"/>
    <w:rsid w:val="004E053C"/>
    <w:rsid w:val="004E1049"/>
    <w:rsid w:val="004E7D76"/>
    <w:rsid w:val="00501269"/>
    <w:rsid w:val="00517A88"/>
    <w:rsid w:val="00517DAE"/>
    <w:rsid w:val="00526D72"/>
    <w:rsid w:val="005312D4"/>
    <w:rsid w:val="0053275F"/>
    <w:rsid w:val="0054672A"/>
    <w:rsid w:val="00547509"/>
    <w:rsid w:val="00553C6F"/>
    <w:rsid w:val="00563575"/>
    <w:rsid w:val="0057309B"/>
    <w:rsid w:val="0059239B"/>
    <w:rsid w:val="005A018B"/>
    <w:rsid w:val="005A0617"/>
    <w:rsid w:val="005A1AD3"/>
    <w:rsid w:val="005A4050"/>
    <w:rsid w:val="005B0873"/>
    <w:rsid w:val="005B2AA8"/>
    <w:rsid w:val="005C3052"/>
    <w:rsid w:val="005C56E1"/>
    <w:rsid w:val="005C5C60"/>
    <w:rsid w:val="005D3BE3"/>
    <w:rsid w:val="005D437D"/>
    <w:rsid w:val="005D4CBB"/>
    <w:rsid w:val="005D4F38"/>
    <w:rsid w:val="005E02A7"/>
    <w:rsid w:val="0060397D"/>
    <w:rsid w:val="00611539"/>
    <w:rsid w:val="00625D86"/>
    <w:rsid w:val="00644F31"/>
    <w:rsid w:val="0066480A"/>
    <w:rsid w:val="00672469"/>
    <w:rsid w:val="00677EF4"/>
    <w:rsid w:val="00680D09"/>
    <w:rsid w:val="00691BA4"/>
    <w:rsid w:val="00697F6D"/>
    <w:rsid w:val="006A3BDD"/>
    <w:rsid w:val="006A47DA"/>
    <w:rsid w:val="006A4D97"/>
    <w:rsid w:val="006B1E79"/>
    <w:rsid w:val="006B5E53"/>
    <w:rsid w:val="006B5EE8"/>
    <w:rsid w:val="006D0949"/>
    <w:rsid w:val="006D3065"/>
    <w:rsid w:val="006D4AFD"/>
    <w:rsid w:val="006E4E29"/>
    <w:rsid w:val="00702966"/>
    <w:rsid w:val="00702B3E"/>
    <w:rsid w:val="0071308F"/>
    <w:rsid w:val="00714FA5"/>
    <w:rsid w:val="007241E7"/>
    <w:rsid w:val="00727716"/>
    <w:rsid w:val="00730ACB"/>
    <w:rsid w:val="00735849"/>
    <w:rsid w:val="00737622"/>
    <w:rsid w:val="00741625"/>
    <w:rsid w:val="00747B22"/>
    <w:rsid w:val="00755FCA"/>
    <w:rsid w:val="007624C4"/>
    <w:rsid w:val="00782767"/>
    <w:rsid w:val="00782B42"/>
    <w:rsid w:val="00783AC1"/>
    <w:rsid w:val="007875C7"/>
    <w:rsid w:val="00790A71"/>
    <w:rsid w:val="00794519"/>
    <w:rsid w:val="00795DE9"/>
    <w:rsid w:val="00795E7F"/>
    <w:rsid w:val="007A1FD0"/>
    <w:rsid w:val="007A58E9"/>
    <w:rsid w:val="007B0374"/>
    <w:rsid w:val="007B68FC"/>
    <w:rsid w:val="007C04B0"/>
    <w:rsid w:val="007C4163"/>
    <w:rsid w:val="007D2B57"/>
    <w:rsid w:val="007D6408"/>
    <w:rsid w:val="007E4FF7"/>
    <w:rsid w:val="007F3F92"/>
    <w:rsid w:val="007F60F5"/>
    <w:rsid w:val="00800DD7"/>
    <w:rsid w:val="00801244"/>
    <w:rsid w:val="008046EE"/>
    <w:rsid w:val="008070AB"/>
    <w:rsid w:val="008129CA"/>
    <w:rsid w:val="0081526A"/>
    <w:rsid w:val="008221A8"/>
    <w:rsid w:val="00826D28"/>
    <w:rsid w:val="00830D94"/>
    <w:rsid w:val="00832718"/>
    <w:rsid w:val="00832A2C"/>
    <w:rsid w:val="008368B6"/>
    <w:rsid w:val="00837140"/>
    <w:rsid w:val="00837499"/>
    <w:rsid w:val="0084001E"/>
    <w:rsid w:val="00842637"/>
    <w:rsid w:val="0085223B"/>
    <w:rsid w:val="00870C64"/>
    <w:rsid w:val="008903B5"/>
    <w:rsid w:val="008B083D"/>
    <w:rsid w:val="008B2DED"/>
    <w:rsid w:val="008B36F0"/>
    <w:rsid w:val="008F7F39"/>
    <w:rsid w:val="009067E0"/>
    <w:rsid w:val="00925F1D"/>
    <w:rsid w:val="0093695C"/>
    <w:rsid w:val="00936BBF"/>
    <w:rsid w:val="00943B3C"/>
    <w:rsid w:val="0094464D"/>
    <w:rsid w:val="009500A5"/>
    <w:rsid w:val="00952E79"/>
    <w:rsid w:val="009534CD"/>
    <w:rsid w:val="00961E7A"/>
    <w:rsid w:val="00963304"/>
    <w:rsid w:val="0096490C"/>
    <w:rsid w:val="009705F0"/>
    <w:rsid w:val="00971C53"/>
    <w:rsid w:val="009815D9"/>
    <w:rsid w:val="00990554"/>
    <w:rsid w:val="0099364D"/>
    <w:rsid w:val="0099582D"/>
    <w:rsid w:val="009B54F0"/>
    <w:rsid w:val="009B744E"/>
    <w:rsid w:val="009C3C84"/>
    <w:rsid w:val="009C6D6B"/>
    <w:rsid w:val="009D61BC"/>
    <w:rsid w:val="009F09EB"/>
    <w:rsid w:val="009F33DF"/>
    <w:rsid w:val="00A004C6"/>
    <w:rsid w:val="00A01AE0"/>
    <w:rsid w:val="00A11CB7"/>
    <w:rsid w:val="00A32483"/>
    <w:rsid w:val="00A56861"/>
    <w:rsid w:val="00A625FC"/>
    <w:rsid w:val="00A66637"/>
    <w:rsid w:val="00A66AD7"/>
    <w:rsid w:val="00A761D1"/>
    <w:rsid w:val="00A821D9"/>
    <w:rsid w:val="00A84853"/>
    <w:rsid w:val="00A86C33"/>
    <w:rsid w:val="00A9353A"/>
    <w:rsid w:val="00A96DDD"/>
    <w:rsid w:val="00AA0D77"/>
    <w:rsid w:val="00AA38B6"/>
    <w:rsid w:val="00AB0936"/>
    <w:rsid w:val="00AB2385"/>
    <w:rsid w:val="00AB4E56"/>
    <w:rsid w:val="00AC1748"/>
    <w:rsid w:val="00AC5E76"/>
    <w:rsid w:val="00AD7CD1"/>
    <w:rsid w:val="00AD7CFE"/>
    <w:rsid w:val="00AE06AC"/>
    <w:rsid w:val="00AF27F6"/>
    <w:rsid w:val="00AF3288"/>
    <w:rsid w:val="00AF4EDD"/>
    <w:rsid w:val="00AF75BA"/>
    <w:rsid w:val="00B07C5F"/>
    <w:rsid w:val="00B114EE"/>
    <w:rsid w:val="00B2201B"/>
    <w:rsid w:val="00B26C63"/>
    <w:rsid w:val="00B3459C"/>
    <w:rsid w:val="00B3499D"/>
    <w:rsid w:val="00B47FB6"/>
    <w:rsid w:val="00B50463"/>
    <w:rsid w:val="00B661FD"/>
    <w:rsid w:val="00B67944"/>
    <w:rsid w:val="00B71B80"/>
    <w:rsid w:val="00B7696D"/>
    <w:rsid w:val="00B8097C"/>
    <w:rsid w:val="00B84F90"/>
    <w:rsid w:val="00B92C6E"/>
    <w:rsid w:val="00BB1ECC"/>
    <w:rsid w:val="00BB720D"/>
    <w:rsid w:val="00BB7ABA"/>
    <w:rsid w:val="00BD1178"/>
    <w:rsid w:val="00BD3FC8"/>
    <w:rsid w:val="00BD4E7C"/>
    <w:rsid w:val="00BE19FA"/>
    <w:rsid w:val="00BE3737"/>
    <w:rsid w:val="00C04396"/>
    <w:rsid w:val="00C11174"/>
    <w:rsid w:val="00C13A14"/>
    <w:rsid w:val="00C13DD8"/>
    <w:rsid w:val="00C243E1"/>
    <w:rsid w:val="00C25BBC"/>
    <w:rsid w:val="00C371F1"/>
    <w:rsid w:val="00C50747"/>
    <w:rsid w:val="00C90766"/>
    <w:rsid w:val="00CA5374"/>
    <w:rsid w:val="00CA6F9E"/>
    <w:rsid w:val="00CB43B1"/>
    <w:rsid w:val="00CB598E"/>
    <w:rsid w:val="00CB6CD3"/>
    <w:rsid w:val="00CC029D"/>
    <w:rsid w:val="00CF7D1B"/>
    <w:rsid w:val="00D02DBB"/>
    <w:rsid w:val="00D02FB6"/>
    <w:rsid w:val="00D10702"/>
    <w:rsid w:val="00D10E90"/>
    <w:rsid w:val="00D11539"/>
    <w:rsid w:val="00D17BAB"/>
    <w:rsid w:val="00D2677A"/>
    <w:rsid w:val="00D27B9C"/>
    <w:rsid w:val="00D34591"/>
    <w:rsid w:val="00D40380"/>
    <w:rsid w:val="00D474B6"/>
    <w:rsid w:val="00D6188F"/>
    <w:rsid w:val="00D63BE7"/>
    <w:rsid w:val="00D74820"/>
    <w:rsid w:val="00D76BCE"/>
    <w:rsid w:val="00DA1BC2"/>
    <w:rsid w:val="00DA6307"/>
    <w:rsid w:val="00DA79C6"/>
    <w:rsid w:val="00DB26C4"/>
    <w:rsid w:val="00DB43D0"/>
    <w:rsid w:val="00DE1A36"/>
    <w:rsid w:val="00DE3220"/>
    <w:rsid w:val="00DE540D"/>
    <w:rsid w:val="00DE6C74"/>
    <w:rsid w:val="00DF1FF8"/>
    <w:rsid w:val="00DF3F6D"/>
    <w:rsid w:val="00DF5926"/>
    <w:rsid w:val="00DF5A4F"/>
    <w:rsid w:val="00E00258"/>
    <w:rsid w:val="00E05DB6"/>
    <w:rsid w:val="00E10268"/>
    <w:rsid w:val="00E16F95"/>
    <w:rsid w:val="00E20A31"/>
    <w:rsid w:val="00E241E8"/>
    <w:rsid w:val="00E43F2A"/>
    <w:rsid w:val="00E46A5C"/>
    <w:rsid w:val="00E5138D"/>
    <w:rsid w:val="00E55960"/>
    <w:rsid w:val="00E56DBB"/>
    <w:rsid w:val="00E57E44"/>
    <w:rsid w:val="00E61268"/>
    <w:rsid w:val="00E656AB"/>
    <w:rsid w:val="00E922C5"/>
    <w:rsid w:val="00E945F1"/>
    <w:rsid w:val="00EA307C"/>
    <w:rsid w:val="00EB3864"/>
    <w:rsid w:val="00EB3F29"/>
    <w:rsid w:val="00EB5FF2"/>
    <w:rsid w:val="00EC2A91"/>
    <w:rsid w:val="00ED20FB"/>
    <w:rsid w:val="00EE2751"/>
    <w:rsid w:val="00EF05F9"/>
    <w:rsid w:val="00EF432A"/>
    <w:rsid w:val="00EF673A"/>
    <w:rsid w:val="00F0584E"/>
    <w:rsid w:val="00F075FB"/>
    <w:rsid w:val="00F12C2E"/>
    <w:rsid w:val="00F169D7"/>
    <w:rsid w:val="00F2772E"/>
    <w:rsid w:val="00F32248"/>
    <w:rsid w:val="00F32D52"/>
    <w:rsid w:val="00F3350D"/>
    <w:rsid w:val="00F36178"/>
    <w:rsid w:val="00F47CA1"/>
    <w:rsid w:val="00F54830"/>
    <w:rsid w:val="00F57FEC"/>
    <w:rsid w:val="00F61568"/>
    <w:rsid w:val="00F64778"/>
    <w:rsid w:val="00F70A3C"/>
    <w:rsid w:val="00F76838"/>
    <w:rsid w:val="00F917CD"/>
    <w:rsid w:val="00F93623"/>
    <w:rsid w:val="00F93FB8"/>
    <w:rsid w:val="00F94CD6"/>
    <w:rsid w:val="00FB2C67"/>
    <w:rsid w:val="00FB4206"/>
    <w:rsid w:val="00FB5544"/>
    <w:rsid w:val="00FC6D93"/>
    <w:rsid w:val="00FC7639"/>
    <w:rsid w:val="00FD5CA7"/>
    <w:rsid w:val="00FF19A4"/>
    <w:rsid w:val="00FF2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C3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052"/>
  </w:style>
  <w:style w:type="paragraph" w:styleId="FootnoteText">
    <w:name w:val="footnote text"/>
    <w:basedOn w:val="Normal"/>
    <w:link w:val="FootnoteTextChar"/>
    <w:uiPriority w:val="99"/>
    <w:semiHidden/>
    <w:unhideWhenUsed/>
    <w:rsid w:val="005C30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3052"/>
    <w:rPr>
      <w:sz w:val="20"/>
      <w:szCs w:val="20"/>
    </w:rPr>
  </w:style>
  <w:style w:type="character" w:styleId="PageNumber">
    <w:name w:val="page number"/>
    <w:basedOn w:val="DefaultParagraphFont"/>
    <w:rsid w:val="005C3052"/>
  </w:style>
  <w:style w:type="character" w:styleId="FootnoteReference">
    <w:name w:val="footnote reference"/>
    <w:basedOn w:val="DefaultParagraphFont"/>
    <w:uiPriority w:val="99"/>
    <w:unhideWhenUsed/>
    <w:rsid w:val="005C3052"/>
    <w:rPr>
      <w:rFonts w:ascii="Times New Roman" w:hAnsi="Times New Roman" w:cs="Times New Roman" w:hint="default"/>
      <w:vertAlign w:val="superscript"/>
    </w:rPr>
  </w:style>
  <w:style w:type="paragraph" w:styleId="Header">
    <w:name w:val="header"/>
    <w:basedOn w:val="Normal"/>
    <w:link w:val="HeaderChar"/>
    <w:uiPriority w:val="99"/>
    <w:unhideWhenUsed/>
    <w:rsid w:val="00F36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178"/>
  </w:style>
  <w:style w:type="paragraph" w:styleId="ListParagraph">
    <w:name w:val="List Paragraph"/>
    <w:basedOn w:val="Normal"/>
    <w:uiPriority w:val="34"/>
    <w:qFormat/>
    <w:rsid w:val="007F60F5"/>
    <w:pPr>
      <w:ind w:left="720"/>
      <w:contextualSpacing/>
    </w:pPr>
  </w:style>
  <w:style w:type="paragraph" w:styleId="BalloonText">
    <w:name w:val="Balloon Text"/>
    <w:basedOn w:val="Normal"/>
    <w:link w:val="BalloonTextChar"/>
    <w:uiPriority w:val="99"/>
    <w:semiHidden/>
    <w:unhideWhenUsed/>
    <w:rsid w:val="00A568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8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C3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052"/>
  </w:style>
  <w:style w:type="paragraph" w:styleId="FootnoteText">
    <w:name w:val="footnote text"/>
    <w:basedOn w:val="Normal"/>
    <w:link w:val="FootnoteTextChar"/>
    <w:uiPriority w:val="99"/>
    <w:semiHidden/>
    <w:unhideWhenUsed/>
    <w:rsid w:val="005C30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3052"/>
    <w:rPr>
      <w:sz w:val="20"/>
      <w:szCs w:val="20"/>
    </w:rPr>
  </w:style>
  <w:style w:type="character" w:styleId="PageNumber">
    <w:name w:val="page number"/>
    <w:basedOn w:val="DefaultParagraphFont"/>
    <w:rsid w:val="005C3052"/>
  </w:style>
  <w:style w:type="character" w:styleId="FootnoteReference">
    <w:name w:val="footnote reference"/>
    <w:basedOn w:val="DefaultParagraphFont"/>
    <w:uiPriority w:val="99"/>
    <w:unhideWhenUsed/>
    <w:rsid w:val="005C3052"/>
    <w:rPr>
      <w:rFonts w:ascii="Times New Roman" w:hAnsi="Times New Roman" w:cs="Times New Roman" w:hint="default"/>
      <w:vertAlign w:val="superscript"/>
    </w:rPr>
  </w:style>
  <w:style w:type="paragraph" w:styleId="Header">
    <w:name w:val="header"/>
    <w:basedOn w:val="Normal"/>
    <w:link w:val="HeaderChar"/>
    <w:uiPriority w:val="99"/>
    <w:unhideWhenUsed/>
    <w:rsid w:val="00F36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178"/>
  </w:style>
  <w:style w:type="paragraph" w:styleId="ListParagraph">
    <w:name w:val="List Paragraph"/>
    <w:basedOn w:val="Normal"/>
    <w:uiPriority w:val="34"/>
    <w:qFormat/>
    <w:rsid w:val="007F60F5"/>
    <w:pPr>
      <w:ind w:left="720"/>
      <w:contextualSpacing/>
    </w:pPr>
  </w:style>
  <w:style w:type="paragraph" w:styleId="BalloonText">
    <w:name w:val="Balloon Text"/>
    <w:basedOn w:val="Normal"/>
    <w:link w:val="BalloonTextChar"/>
    <w:uiPriority w:val="99"/>
    <w:semiHidden/>
    <w:unhideWhenUsed/>
    <w:rsid w:val="00A568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8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7.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8838A-6C0E-49C0-8754-C3662F7C5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57</Pages>
  <Words>16611</Words>
  <Characters>94683</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Jeffrey</dc:creator>
  <cp:lastModifiedBy>Blanton, Leah</cp:lastModifiedBy>
  <cp:revision>80</cp:revision>
  <cp:lastPrinted>2015-05-28T20:22:00Z</cp:lastPrinted>
  <dcterms:created xsi:type="dcterms:W3CDTF">2015-05-15T15:04:00Z</dcterms:created>
  <dcterms:modified xsi:type="dcterms:W3CDTF">2015-05-28T20:38:00Z</dcterms:modified>
</cp:coreProperties>
</file>