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C3" w:rsidRPr="00DE562E" w:rsidRDefault="000F1894" w:rsidP="0081696C">
      <w:pPr>
        <w:jc w:val="center"/>
        <w:outlineLvl w:val="0"/>
        <w:rPr>
          <w:b/>
          <w:sz w:val="24"/>
          <w:szCs w:val="24"/>
        </w:rPr>
      </w:pPr>
      <w:bookmarkStart w:id="0" w:name="_GoBack"/>
      <w:bookmarkEnd w:id="0"/>
      <w:r w:rsidRPr="00DE562E">
        <w:rPr>
          <w:b/>
          <w:sz w:val="24"/>
          <w:szCs w:val="24"/>
        </w:rPr>
        <w:t>BEFORE THE</w:t>
      </w:r>
    </w:p>
    <w:p w:rsidR="0088763C" w:rsidRPr="001027AA" w:rsidRDefault="000F1894" w:rsidP="0081696C">
      <w:pPr>
        <w:jc w:val="center"/>
        <w:outlineLvl w:val="0"/>
        <w:rPr>
          <w:b/>
          <w:sz w:val="24"/>
          <w:szCs w:val="24"/>
        </w:rPr>
      </w:pPr>
      <w:r w:rsidRPr="00DE562E">
        <w:rPr>
          <w:b/>
          <w:sz w:val="24"/>
          <w:szCs w:val="24"/>
        </w:rPr>
        <w:t>PENNSYLVANIA PUBLIC UTILITY COMMISSION</w:t>
      </w:r>
    </w:p>
    <w:p w:rsidR="000F1894" w:rsidRPr="00DE562E" w:rsidRDefault="000F1894" w:rsidP="000F1894">
      <w:pPr>
        <w:jc w:val="center"/>
        <w:rPr>
          <w:sz w:val="24"/>
          <w:szCs w:val="24"/>
        </w:rPr>
      </w:pPr>
    </w:p>
    <w:p w:rsidR="000F1894" w:rsidRDefault="000F1894" w:rsidP="000F1894">
      <w:pPr>
        <w:jc w:val="center"/>
        <w:rPr>
          <w:sz w:val="24"/>
          <w:szCs w:val="24"/>
        </w:rPr>
      </w:pPr>
    </w:p>
    <w:p w:rsidR="000F1894" w:rsidRPr="006C3226" w:rsidRDefault="000F1894" w:rsidP="000F1894">
      <w:pPr>
        <w:jc w:val="center"/>
        <w:rPr>
          <w:sz w:val="24"/>
          <w:szCs w:val="24"/>
        </w:rPr>
      </w:pPr>
    </w:p>
    <w:p w:rsidR="002E0985" w:rsidRPr="00495B88" w:rsidRDefault="009D3C71" w:rsidP="006C64FC">
      <w:pPr>
        <w:tabs>
          <w:tab w:val="left" w:pos="-720"/>
        </w:tabs>
        <w:suppressAutoHyphens/>
      </w:pPr>
      <w:r w:rsidRPr="009D3C71">
        <w:rPr>
          <w:sz w:val="24"/>
          <w:szCs w:val="24"/>
        </w:rPr>
        <w:t xml:space="preserve">Albert </w:t>
      </w:r>
      <w:proofErr w:type="spellStart"/>
      <w:r w:rsidRPr="009D3C71">
        <w:rPr>
          <w:sz w:val="24"/>
          <w:szCs w:val="24"/>
        </w:rPr>
        <w:t>Mushow</w:t>
      </w:r>
      <w:proofErr w:type="spellEnd"/>
      <w:r w:rsidR="00CC3CC1" w:rsidRPr="009D3C71">
        <w:rPr>
          <w:sz w:val="24"/>
          <w:szCs w:val="24"/>
        </w:rPr>
        <w:tab/>
      </w:r>
      <w:r w:rsidR="00CC3CC1" w:rsidRPr="009D3C71">
        <w:rPr>
          <w:sz w:val="24"/>
          <w:szCs w:val="24"/>
        </w:rPr>
        <w:tab/>
      </w:r>
      <w:r w:rsidR="002E0985" w:rsidRPr="009D3C71">
        <w:rPr>
          <w:sz w:val="24"/>
          <w:szCs w:val="24"/>
        </w:rPr>
        <w:tab/>
      </w:r>
      <w:r w:rsidR="006C64FC">
        <w:rPr>
          <w:sz w:val="24"/>
          <w:szCs w:val="24"/>
        </w:rPr>
        <w:tab/>
      </w:r>
      <w:r w:rsidR="006C64FC">
        <w:rPr>
          <w:sz w:val="24"/>
          <w:szCs w:val="24"/>
        </w:rPr>
        <w:tab/>
      </w:r>
      <w:r w:rsidR="002E0985" w:rsidRPr="009D3C71">
        <w:rPr>
          <w:sz w:val="24"/>
          <w:szCs w:val="24"/>
        </w:rPr>
        <w:t>:</w:t>
      </w:r>
      <w:r w:rsidRPr="009D3C71">
        <w:rPr>
          <w:sz w:val="24"/>
          <w:szCs w:val="24"/>
        </w:rPr>
        <w:tab/>
      </w:r>
      <w:r w:rsidR="006C64FC">
        <w:rPr>
          <w:sz w:val="24"/>
          <w:szCs w:val="24"/>
        </w:rPr>
        <w:tab/>
      </w:r>
      <w:r w:rsidR="002E0985" w:rsidRPr="002E0985">
        <w:tab/>
      </w:r>
    </w:p>
    <w:p w:rsidR="002E0985" w:rsidRPr="002E0985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  <w:t>:</w:t>
      </w:r>
      <w:r w:rsidR="00354E6F">
        <w:rPr>
          <w:spacing w:val="-3"/>
          <w:sz w:val="24"/>
          <w:szCs w:val="20"/>
        </w:rPr>
        <w:tab/>
      </w:r>
      <w:r w:rsidRPr="002E0985">
        <w:rPr>
          <w:spacing w:val="-3"/>
          <w:sz w:val="24"/>
          <w:szCs w:val="20"/>
        </w:rPr>
        <w:tab/>
      </w:r>
    </w:p>
    <w:p w:rsidR="009D3C71" w:rsidRDefault="002E0985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 w:rsidRPr="002E0985">
        <w:rPr>
          <w:spacing w:val="-3"/>
          <w:sz w:val="24"/>
          <w:szCs w:val="20"/>
        </w:rPr>
        <w:tab/>
      </w:r>
      <w:r w:rsidR="009D3C71">
        <w:rPr>
          <w:spacing w:val="-3"/>
          <w:sz w:val="24"/>
          <w:szCs w:val="20"/>
        </w:rPr>
        <w:t>v.</w:t>
      </w:r>
      <w:r w:rsidR="009D3C71">
        <w:rPr>
          <w:spacing w:val="-3"/>
          <w:sz w:val="24"/>
          <w:szCs w:val="20"/>
        </w:rPr>
        <w:tab/>
      </w:r>
      <w:r w:rsidR="009D3C71">
        <w:rPr>
          <w:spacing w:val="-3"/>
          <w:sz w:val="24"/>
          <w:szCs w:val="20"/>
        </w:rPr>
        <w:tab/>
      </w:r>
      <w:r w:rsidR="009D3C71">
        <w:rPr>
          <w:spacing w:val="-3"/>
          <w:sz w:val="24"/>
          <w:szCs w:val="20"/>
        </w:rPr>
        <w:tab/>
      </w:r>
      <w:r w:rsidR="006C64FC">
        <w:rPr>
          <w:spacing w:val="-3"/>
          <w:sz w:val="24"/>
          <w:szCs w:val="20"/>
        </w:rPr>
        <w:tab/>
      </w:r>
      <w:r w:rsidR="006C64FC">
        <w:rPr>
          <w:spacing w:val="-3"/>
          <w:sz w:val="24"/>
          <w:szCs w:val="20"/>
        </w:rPr>
        <w:tab/>
      </w:r>
      <w:r w:rsidR="009D3C71">
        <w:rPr>
          <w:spacing w:val="-3"/>
          <w:sz w:val="24"/>
          <w:szCs w:val="20"/>
        </w:rPr>
        <w:tab/>
        <w:t>:</w:t>
      </w:r>
      <w:r w:rsidR="005A2F92">
        <w:rPr>
          <w:spacing w:val="-3"/>
          <w:sz w:val="24"/>
          <w:szCs w:val="20"/>
        </w:rPr>
        <w:tab/>
      </w:r>
      <w:r w:rsidR="005A2F92">
        <w:rPr>
          <w:spacing w:val="-3"/>
          <w:sz w:val="24"/>
          <w:szCs w:val="20"/>
        </w:rPr>
        <w:tab/>
      </w:r>
      <w:r w:rsidR="005A2F92" w:rsidRPr="009D3C71">
        <w:rPr>
          <w:sz w:val="24"/>
          <w:szCs w:val="24"/>
        </w:rPr>
        <w:t>F-2014-2459154</w:t>
      </w:r>
    </w:p>
    <w:p w:rsidR="002E0985" w:rsidRDefault="009D3C71" w:rsidP="002E0985">
      <w:pPr>
        <w:tabs>
          <w:tab w:val="left" w:pos="-720"/>
        </w:tabs>
        <w:suppressAutoHyphens/>
        <w:rPr>
          <w:spacing w:val="-3"/>
          <w:sz w:val="24"/>
          <w:szCs w:val="20"/>
        </w:rPr>
      </w:pPr>
      <w:r>
        <w:rPr>
          <w:spacing w:val="-3"/>
          <w:sz w:val="24"/>
          <w:szCs w:val="20"/>
        </w:rPr>
        <w:tab/>
      </w:r>
      <w:r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ab/>
      </w:r>
      <w:r w:rsidR="006C64FC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</w:p>
    <w:p w:rsidR="005E3007" w:rsidRDefault="009D3C71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0"/>
        </w:rPr>
        <w:t>PPL Electric Utilities Corporation</w:t>
      </w:r>
      <w:r w:rsidR="002E0985" w:rsidRPr="002E0985">
        <w:rPr>
          <w:spacing w:val="-3"/>
          <w:sz w:val="24"/>
          <w:szCs w:val="20"/>
        </w:rPr>
        <w:tab/>
      </w:r>
      <w:r w:rsidR="006C64FC">
        <w:rPr>
          <w:spacing w:val="-3"/>
          <w:sz w:val="24"/>
          <w:szCs w:val="20"/>
        </w:rPr>
        <w:tab/>
      </w:r>
      <w:r w:rsidR="006C64FC">
        <w:rPr>
          <w:spacing w:val="-3"/>
          <w:sz w:val="24"/>
          <w:szCs w:val="20"/>
        </w:rPr>
        <w:tab/>
      </w:r>
      <w:r w:rsidR="002E0985" w:rsidRPr="002E0985">
        <w:rPr>
          <w:spacing w:val="-3"/>
          <w:sz w:val="24"/>
          <w:szCs w:val="20"/>
        </w:rPr>
        <w:t>:</w:t>
      </w:r>
      <w:r w:rsidR="005E3007">
        <w:rPr>
          <w:spacing w:val="-3"/>
          <w:sz w:val="24"/>
          <w:szCs w:val="24"/>
        </w:rPr>
        <w:tab/>
      </w:r>
      <w:r w:rsidR="005E3007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9A5C49">
        <w:rPr>
          <w:spacing w:val="-3"/>
          <w:sz w:val="24"/>
          <w:szCs w:val="24"/>
        </w:rPr>
        <w:tab/>
      </w:r>
      <w:r w:rsidR="00CE43B4" w:rsidRPr="00CE43B4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  <w:r w:rsidR="002E0985">
        <w:rPr>
          <w:spacing w:val="-3"/>
          <w:sz w:val="24"/>
          <w:szCs w:val="24"/>
        </w:rPr>
        <w:tab/>
      </w:r>
    </w:p>
    <w:p w:rsidR="006C64FC" w:rsidRDefault="006C64FC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5E3007" w:rsidRPr="00CE43B4" w:rsidRDefault="005E3007" w:rsidP="00CE43B4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0F1894" w:rsidRPr="00E514FA" w:rsidRDefault="00526B2A" w:rsidP="000F1894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  <w:u w:val="single"/>
        </w:rPr>
        <w:t>initial decision</w:t>
      </w:r>
      <w:r w:rsidR="00354E6F">
        <w:rPr>
          <w:b/>
          <w:caps/>
          <w:sz w:val="24"/>
          <w:szCs w:val="24"/>
          <w:u w:val="single"/>
        </w:rPr>
        <w:t xml:space="preserve"> </w:t>
      </w:r>
    </w:p>
    <w:p w:rsidR="006A21C2" w:rsidRDefault="006A21C2" w:rsidP="000F1894">
      <w:pPr>
        <w:jc w:val="center"/>
        <w:rPr>
          <w:sz w:val="24"/>
          <w:szCs w:val="24"/>
        </w:rPr>
      </w:pPr>
    </w:p>
    <w:p w:rsidR="006C64FC" w:rsidRPr="006A21C2" w:rsidRDefault="006C64FC" w:rsidP="000F1894">
      <w:pPr>
        <w:jc w:val="center"/>
        <w:rPr>
          <w:sz w:val="24"/>
          <w:szCs w:val="24"/>
        </w:rPr>
      </w:pPr>
    </w:p>
    <w:p w:rsidR="000F1894" w:rsidRPr="00DE562E" w:rsidRDefault="000F1894" w:rsidP="0081696C">
      <w:pPr>
        <w:jc w:val="center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Before</w:t>
      </w:r>
    </w:p>
    <w:p w:rsidR="000F1894" w:rsidRPr="00DE562E" w:rsidRDefault="001F7F73" w:rsidP="000F1894">
      <w:pPr>
        <w:jc w:val="center"/>
        <w:rPr>
          <w:sz w:val="24"/>
          <w:szCs w:val="24"/>
        </w:rPr>
      </w:pPr>
      <w:r>
        <w:rPr>
          <w:sz w:val="24"/>
          <w:szCs w:val="24"/>
        </w:rPr>
        <w:t>Ember S. Jandebeur</w:t>
      </w:r>
    </w:p>
    <w:p w:rsidR="000F1894" w:rsidRDefault="000F1894" w:rsidP="000F1894">
      <w:pPr>
        <w:jc w:val="center"/>
        <w:rPr>
          <w:sz w:val="24"/>
          <w:szCs w:val="24"/>
        </w:rPr>
      </w:pPr>
      <w:r w:rsidRPr="00DE562E">
        <w:rPr>
          <w:sz w:val="24"/>
          <w:szCs w:val="24"/>
        </w:rPr>
        <w:t>Administrative Law Judge</w:t>
      </w:r>
      <w:r w:rsidR="006A21C2">
        <w:rPr>
          <w:sz w:val="24"/>
          <w:szCs w:val="24"/>
        </w:rPr>
        <w:t xml:space="preserve"> </w:t>
      </w:r>
    </w:p>
    <w:p w:rsidR="00DE2348" w:rsidRPr="006A21C2" w:rsidRDefault="00DE2348" w:rsidP="000F1894">
      <w:pPr>
        <w:jc w:val="center"/>
        <w:rPr>
          <w:b/>
          <w:sz w:val="24"/>
          <w:szCs w:val="24"/>
        </w:rPr>
      </w:pPr>
    </w:p>
    <w:p w:rsidR="000F1894" w:rsidRPr="006A21C2" w:rsidRDefault="000F1894" w:rsidP="000F1894">
      <w:pPr>
        <w:jc w:val="center"/>
        <w:rPr>
          <w:b/>
          <w:sz w:val="24"/>
          <w:szCs w:val="24"/>
        </w:rPr>
      </w:pPr>
    </w:p>
    <w:p w:rsidR="001614FE" w:rsidRDefault="001614FE" w:rsidP="00DD2411">
      <w:pPr>
        <w:spacing w:line="360" w:lineRule="auto"/>
        <w:jc w:val="center"/>
        <w:rPr>
          <w:sz w:val="24"/>
          <w:szCs w:val="24"/>
        </w:rPr>
      </w:pPr>
    </w:p>
    <w:p w:rsidR="001614FE" w:rsidRDefault="001614FE" w:rsidP="009870E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B759B1">
        <w:rPr>
          <w:sz w:val="24"/>
          <w:szCs w:val="24"/>
        </w:rPr>
        <w:t>I</w:t>
      </w:r>
      <w:r>
        <w:rPr>
          <w:sz w:val="24"/>
          <w:szCs w:val="24"/>
        </w:rPr>
        <w:t xml:space="preserve">nitial Decision denies and dismisses the Formal Complaint of Albert </w:t>
      </w:r>
      <w:proofErr w:type="spellStart"/>
      <w:r>
        <w:rPr>
          <w:sz w:val="24"/>
          <w:szCs w:val="24"/>
        </w:rPr>
        <w:t>Mushow</w:t>
      </w:r>
      <w:proofErr w:type="spellEnd"/>
      <w:r>
        <w:rPr>
          <w:sz w:val="24"/>
          <w:szCs w:val="24"/>
        </w:rPr>
        <w:t xml:space="preserve"> for failure to meet the burden of proof.</w:t>
      </w:r>
    </w:p>
    <w:p w:rsidR="00A43D45" w:rsidRDefault="00A43D45" w:rsidP="009870E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A43D45" w:rsidRDefault="00A43D45" w:rsidP="00A43D4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HISTORY OF THE PROCEEDINGS</w:t>
      </w:r>
    </w:p>
    <w:p w:rsidR="001614FE" w:rsidRDefault="001614FE" w:rsidP="00A43D45">
      <w:pPr>
        <w:tabs>
          <w:tab w:val="left" w:pos="-1440"/>
          <w:tab w:val="left" w:pos="-720"/>
          <w:tab w:val="left" w:pos="0"/>
        </w:tabs>
        <w:suppressAutoHyphens/>
        <w:spacing w:line="360" w:lineRule="auto"/>
        <w:jc w:val="center"/>
        <w:rPr>
          <w:sz w:val="24"/>
          <w:szCs w:val="24"/>
        </w:rPr>
      </w:pPr>
    </w:p>
    <w:p w:rsidR="009870EF" w:rsidRPr="009870EF" w:rsidRDefault="009870EF" w:rsidP="009870EF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 w:rsidRPr="009870EF">
        <w:rPr>
          <w:sz w:val="24"/>
          <w:szCs w:val="24"/>
        </w:rPr>
        <w:t xml:space="preserve">On </w:t>
      </w:r>
      <w:r w:rsidR="009D3C71">
        <w:rPr>
          <w:sz w:val="24"/>
          <w:szCs w:val="24"/>
        </w:rPr>
        <w:t>December 17, 2014</w:t>
      </w:r>
      <w:r w:rsidRPr="009870EF">
        <w:rPr>
          <w:sz w:val="24"/>
          <w:szCs w:val="24"/>
        </w:rPr>
        <w:t xml:space="preserve">, </w:t>
      </w:r>
      <w:r w:rsidR="009D3C71">
        <w:rPr>
          <w:sz w:val="24"/>
          <w:szCs w:val="24"/>
        </w:rPr>
        <w:t xml:space="preserve">Albert </w:t>
      </w:r>
      <w:proofErr w:type="spellStart"/>
      <w:r w:rsidR="009D3C71">
        <w:rPr>
          <w:sz w:val="24"/>
          <w:szCs w:val="24"/>
        </w:rPr>
        <w:t>Mushow</w:t>
      </w:r>
      <w:proofErr w:type="spellEnd"/>
      <w:r w:rsidRPr="009870EF">
        <w:rPr>
          <w:sz w:val="24"/>
          <w:szCs w:val="24"/>
        </w:rPr>
        <w:t xml:space="preserve"> (Complainant) filed a Formal Complaint with the Pennsylvania Public Utility Commission against </w:t>
      </w:r>
      <w:r w:rsidR="009D3C71">
        <w:rPr>
          <w:sz w:val="24"/>
          <w:szCs w:val="24"/>
        </w:rPr>
        <w:t>PPL Electric Utilities Corporation</w:t>
      </w:r>
      <w:r w:rsidRPr="009870EF">
        <w:rPr>
          <w:sz w:val="24"/>
          <w:szCs w:val="24"/>
        </w:rPr>
        <w:t xml:space="preserve"> (Respondent</w:t>
      </w:r>
      <w:r w:rsidR="009D3C71">
        <w:rPr>
          <w:sz w:val="24"/>
          <w:szCs w:val="24"/>
        </w:rPr>
        <w:t xml:space="preserve"> or PPL) alleging an inability to pay </w:t>
      </w:r>
      <w:r w:rsidRPr="009870EF">
        <w:rPr>
          <w:sz w:val="24"/>
          <w:szCs w:val="24"/>
        </w:rPr>
        <w:t>his utility bills and requesting a lower payment arrangement.  This case is a</w:t>
      </w:r>
      <w:r w:rsidR="009D3C71">
        <w:rPr>
          <w:sz w:val="24"/>
          <w:szCs w:val="24"/>
        </w:rPr>
        <w:t xml:space="preserve"> timely</w:t>
      </w:r>
      <w:r w:rsidRPr="009870EF">
        <w:rPr>
          <w:sz w:val="24"/>
          <w:szCs w:val="24"/>
        </w:rPr>
        <w:t xml:space="preserve"> appeal from a prior informal Bureau of Consumer Services (BCS) decision</w:t>
      </w:r>
      <w:r w:rsidR="009D3C71">
        <w:rPr>
          <w:sz w:val="24"/>
          <w:szCs w:val="24"/>
        </w:rPr>
        <w:t xml:space="preserve"> at Case No. 3298363</w:t>
      </w:r>
      <w:r w:rsidRPr="009870EF">
        <w:rPr>
          <w:sz w:val="24"/>
          <w:szCs w:val="24"/>
        </w:rPr>
        <w:t xml:space="preserve">.  </w:t>
      </w:r>
      <w:r w:rsidR="009D3C71">
        <w:rPr>
          <w:sz w:val="24"/>
          <w:szCs w:val="24"/>
        </w:rPr>
        <w:t xml:space="preserve">BCS determined that the Complainant must pay his budget billing of $400 per month plus an additional $47 ($447 total) toward his past due balance beginning in January 2015.  </w:t>
      </w:r>
      <w:r w:rsidRPr="009870EF">
        <w:rPr>
          <w:sz w:val="24"/>
          <w:szCs w:val="24"/>
        </w:rPr>
        <w:t xml:space="preserve">On </w:t>
      </w:r>
      <w:r w:rsidR="009D3C71">
        <w:rPr>
          <w:sz w:val="24"/>
          <w:szCs w:val="24"/>
        </w:rPr>
        <w:t>January 12, 2015</w:t>
      </w:r>
      <w:r w:rsidRPr="009870EF">
        <w:rPr>
          <w:sz w:val="24"/>
          <w:szCs w:val="24"/>
        </w:rPr>
        <w:t xml:space="preserve">, Respondent filed an </w:t>
      </w:r>
      <w:r w:rsidRPr="009870EF">
        <w:rPr>
          <w:spacing w:val="-3"/>
          <w:sz w:val="24"/>
          <w:szCs w:val="24"/>
        </w:rPr>
        <w:t>Answer denying the material allegations of the Complaint</w:t>
      </w:r>
      <w:r w:rsidR="009D3C71">
        <w:rPr>
          <w:spacing w:val="-3"/>
          <w:sz w:val="24"/>
          <w:szCs w:val="24"/>
        </w:rPr>
        <w:t xml:space="preserve"> and asserted that it had </w:t>
      </w:r>
      <w:r w:rsidR="001614FE">
        <w:rPr>
          <w:spacing w:val="-3"/>
          <w:sz w:val="24"/>
          <w:szCs w:val="24"/>
        </w:rPr>
        <w:t xml:space="preserve">already </w:t>
      </w:r>
      <w:r w:rsidR="009D3C71">
        <w:rPr>
          <w:spacing w:val="-3"/>
          <w:sz w:val="24"/>
          <w:szCs w:val="24"/>
        </w:rPr>
        <w:t xml:space="preserve">provided the </w:t>
      </w:r>
      <w:r w:rsidR="001614FE">
        <w:rPr>
          <w:spacing w:val="-3"/>
          <w:sz w:val="24"/>
          <w:szCs w:val="24"/>
        </w:rPr>
        <w:t xml:space="preserve">Complainant with the </w:t>
      </w:r>
      <w:r w:rsidR="009D3C71">
        <w:rPr>
          <w:spacing w:val="-3"/>
          <w:sz w:val="24"/>
          <w:szCs w:val="24"/>
        </w:rPr>
        <w:t>most advantageous payment arrangement</w:t>
      </w:r>
      <w:r w:rsidRPr="009870EF">
        <w:rPr>
          <w:spacing w:val="-3"/>
          <w:sz w:val="24"/>
          <w:szCs w:val="24"/>
        </w:rPr>
        <w:t xml:space="preserve">.  </w:t>
      </w:r>
    </w:p>
    <w:p w:rsidR="009870EF" w:rsidRPr="009870EF" w:rsidRDefault="009870EF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</w:p>
    <w:p w:rsidR="009870EF" w:rsidRPr="009870EF" w:rsidRDefault="009870EF" w:rsidP="009870EF">
      <w:pPr>
        <w:tabs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9870EF">
        <w:rPr>
          <w:sz w:val="24"/>
          <w:szCs w:val="24"/>
        </w:rPr>
        <w:lastRenderedPageBreak/>
        <w:t xml:space="preserve">By Hearing Notice dated </w:t>
      </w:r>
      <w:r w:rsidR="009D3C71">
        <w:rPr>
          <w:sz w:val="24"/>
          <w:szCs w:val="24"/>
        </w:rPr>
        <w:t>March 3, 2015</w:t>
      </w:r>
      <w:r w:rsidRPr="009870EF">
        <w:rPr>
          <w:sz w:val="24"/>
          <w:szCs w:val="24"/>
        </w:rPr>
        <w:t xml:space="preserve">, the parties were notified that an Initial Hearing in this case was scheduled for the morning of </w:t>
      </w:r>
      <w:r w:rsidR="009D3C71">
        <w:rPr>
          <w:sz w:val="24"/>
          <w:szCs w:val="24"/>
        </w:rPr>
        <w:t>April 15, 2015</w:t>
      </w:r>
      <w:r w:rsidRPr="009870EF">
        <w:rPr>
          <w:sz w:val="24"/>
          <w:szCs w:val="24"/>
        </w:rPr>
        <w:t xml:space="preserve">.  A Prehearing Order was issued on </w:t>
      </w:r>
      <w:r w:rsidR="009D3C71">
        <w:rPr>
          <w:sz w:val="24"/>
          <w:szCs w:val="24"/>
        </w:rPr>
        <w:t>March 12, 2015</w:t>
      </w:r>
      <w:r w:rsidRPr="009870EF">
        <w:rPr>
          <w:sz w:val="24"/>
          <w:szCs w:val="24"/>
        </w:rPr>
        <w:t xml:space="preserve">, stating the date and time of the scheduled hearing and advising the parties that the case could be dismissed if they failed to obtain a continuance and failed to appear for the hearing.  The Prehearing Order also advised the parties of applicable procedural rules. </w:t>
      </w:r>
    </w:p>
    <w:p w:rsidR="009870EF" w:rsidRPr="009870EF" w:rsidRDefault="009870EF" w:rsidP="009870EF">
      <w:pPr>
        <w:spacing w:line="360" w:lineRule="auto"/>
        <w:ind w:firstLine="1440"/>
        <w:rPr>
          <w:sz w:val="24"/>
          <w:szCs w:val="24"/>
        </w:rPr>
      </w:pPr>
    </w:p>
    <w:p w:rsidR="009870EF" w:rsidRDefault="009870EF" w:rsidP="009870EF">
      <w:pPr>
        <w:tabs>
          <w:tab w:val="left" w:pos="2160"/>
        </w:tabs>
        <w:spacing w:line="360" w:lineRule="auto"/>
        <w:ind w:firstLine="1440"/>
      </w:pPr>
      <w:r w:rsidRPr="009870EF">
        <w:rPr>
          <w:sz w:val="24"/>
          <w:szCs w:val="24"/>
        </w:rPr>
        <w:t xml:space="preserve">The hearing convened as scheduled.  </w:t>
      </w:r>
      <w:r w:rsidR="009D3C71">
        <w:rPr>
          <w:sz w:val="24"/>
          <w:szCs w:val="24"/>
        </w:rPr>
        <w:t xml:space="preserve">Albert </w:t>
      </w:r>
      <w:proofErr w:type="spellStart"/>
      <w:r w:rsidR="009D3C71">
        <w:rPr>
          <w:sz w:val="24"/>
          <w:szCs w:val="24"/>
        </w:rPr>
        <w:t>Mushow</w:t>
      </w:r>
      <w:proofErr w:type="spellEnd"/>
      <w:r w:rsidR="009D3C71">
        <w:rPr>
          <w:sz w:val="24"/>
          <w:szCs w:val="24"/>
        </w:rPr>
        <w:t xml:space="preserve"> appeared on his own behalf and was assisted by </w:t>
      </w:r>
      <w:r w:rsidR="001614FE">
        <w:rPr>
          <w:sz w:val="24"/>
          <w:szCs w:val="24"/>
        </w:rPr>
        <w:t xml:space="preserve">his daughter, </w:t>
      </w:r>
      <w:r w:rsidR="009D3C71">
        <w:rPr>
          <w:sz w:val="24"/>
          <w:szCs w:val="24"/>
        </w:rPr>
        <w:t xml:space="preserve">Rose </w:t>
      </w:r>
      <w:proofErr w:type="spellStart"/>
      <w:r w:rsidR="009D3C71">
        <w:rPr>
          <w:sz w:val="24"/>
          <w:szCs w:val="24"/>
        </w:rPr>
        <w:t>Mushow</w:t>
      </w:r>
      <w:proofErr w:type="spellEnd"/>
      <w:r w:rsidR="009D3C71">
        <w:rPr>
          <w:sz w:val="24"/>
          <w:szCs w:val="24"/>
        </w:rPr>
        <w:t xml:space="preserve">; PPL was represented by counsel.  The Complainant did not submit any </w:t>
      </w:r>
      <w:r w:rsidR="001614FE">
        <w:rPr>
          <w:sz w:val="24"/>
          <w:szCs w:val="24"/>
        </w:rPr>
        <w:t>documents</w:t>
      </w:r>
      <w:r w:rsidR="009D3C71">
        <w:rPr>
          <w:sz w:val="24"/>
          <w:szCs w:val="24"/>
        </w:rPr>
        <w:t>.  PPL proffered three exhibit; all were entered into the record.</w:t>
      </w:r>
      <w:r>
        <w:t xml:space="preserve">  </w:t>
      </w:r>
    </w:p>
    <w:p w:rsidR="009D3C71" w:rsidRDefault="009D3C71" w:rsidP="009870EF">
      <w:pPr>
        <w:tabs>
          <w:tab w:val="left" w:pos="2160"/>
        </w:tabs>
        <w:spacing w:line="360" w:lineRule="auto"/>
        <w:ind w:firstLine="1440"/>
      </w:pPr>
    </w:p>
    <w:p w:rsidR="007965B0" w:rsidRDefault="009870EF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record closed on </w:t>
      </w:r>
      <w:r w:rsidR="009D3C71">
        <w:rPr>
          <w:sz w:val="24"/>
          <w:szCs w:val="24"/>
        </w:rPr>
        <w:t xml:space="preserve">April 27, 2015 with receipt of the </w:t>
      </w:r>
      <w:r w:rsidR="00794BF7">
        <w:rPr>
          <w:sz w:val="24"/>
          <w:szCs w:val="24"/>
        </w:rPr>
        <w:t xml:space="preserve">15-page </w:t>
      </w:r>
      <w:r w:rsidR="009D3C71">
        <w:rPr>
          <w:sz w:val="24"/>
          <w:szCs w:val="24"/>
        </w:rPr>
        <w:t>typewritten transcript of the hearing</w:t>
      </w:r>
      <w:r>
        <w:rPr>
          <w:sz w:val="24"/>
          <w:szCs w:val="24"/>
        </w:rPr>
        <w:t xml:space="preserve">. </w:t>
      </w:r>
      <w:r w:rsidR="0080259A">
        <w:rPr>
          <w:sz w:val="24"/>
          <w:szCs w:val="24"/>
        </w:rPr>
        <w:t xml:space="preserve"> </w:t>
      </w:r>
      <w:r w:rsidR="009D3C71">
        <w:rPr>
          <w:sz w:val="24"/>
          <w:szCs w:val="24"/>
        </w:rPr>
        <w:t>The matter is now ready for disposition.</w:t>
      </w:r>
    </w:p>
    <w:p w:rsidR="009D3C71" w:rsidRDefault="009D3C71" w:rsidP="007965B0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223E7E" w:rsidRDefault="00A7050E" w:rsidP="00A7050E">
      <w:pPr>
        <w:spacing w:line="360" w:lineRule="auto"/>
        <w:jc w:val="center"/>
        <w:rPr>
          <w:sz w:val="24"/>
          <w:szCs w:val="24"/>
          <w:u w:val="single"/>
        </w:rPr>
      </w:pPr>
      <w:r w:rsidRPr="00A7050E">
        <w:rPr>
          <w:sz w:val="24"/>
          <w:szCs w:val="24"/>
          <w:u w:val="single"/>
        </w:rPr>
        <w:t>FINDINGS OF FACT</w:t>
      </w:r>
    </w:p>
    <w:p w:rsidR="009D3C71" w:rsidRDefault="009D3C71" w:rsidP="00A7050E">
      <w:pPr>
        <w:spacing w:line="360" w:lineRule="auto"/>
        <w:jc w:val="center"/>
        <w:rPr>
          <w:sz w:val="24"/>
          <w:szCs w:val="24"/>
          <w:u w:val="single"/>
        </w:rPr>
      </w:pPr>
    </w:p>
    <w:p w:rsidR="0077255F" w:rsidRDefault="009D3C71" w:rsidP="009D3C71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Albert </w:t>
      </w:r>
      <w:proofErr w:type="spellStart"/>
      <w:r>
        <w:rPr>
          <w:sz w:val="24"/>
          <w:szCs w:val="24"/>
        </w:rPr>
        <w:t>Mushow</w:t>
      </w:r>
      <w:proofErr w:type="spellEnd"/>
      <w:r>
        <w:rPr>
          <w:sz w:val="24"/>
          <w:szCs w:val="24"/>
        </w:rPr>
        <w:t>, the Complainant</w:t>
      </w:r>
      <w:r w:rsidR="001973AC">
        <w:rPr>
          <w:sz w:val="24"/>
          <w:szCs w:val="24"/>
        </w:rPr>
        <w:t>,</w:t>
      </w:r>
      <w:r>
        <w:rPr>
          <w:sz w:val="24"/>
          <w:szCs w:val="24"/>
        </w:rPr>
        <w:t xml:space="preserve"> resides at 339 1</w:t>
      </w:r>
      <w:r w:rsidRPr="009D3C7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Street, </w:t>
      </w:r>
      <w:proofErr w:type="spellStart"/>
      <w:r>
        <w:rPr>
          <w:sz w:val="24"/>
          <w:szCs w:val="24"/>
        </w:rPr>
        <w:t>Eynon</w:t>
      </w:r>
      <w:proofErr w:type="spellEnd"/>
      <w:r>
        <w:rPr>
          <w:sz w:val="24"/>
          <w:szCs w:val="24"/>
        </w:rPr>
        <w:t>, Pennsylvania and receives electric service from the Respondent.</w:t>
      </w:r>
    </w:p>
    <w:p w:rsidR="009D3C71" w:rsidRDefault="009D3C71" w:rsidP="009D3C71">
      <w:pPr>
        <w:pStyle w:val="ListParagraph"/>
        <w:tabs>
          <w:tab w:val="left" w:pos="2160"/>
        </w:tabs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3C71" w:rsidRDefault="009D3C71" w:rsidP="009D3C71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Respondent, PPL, is a jurisdictional public utility providing electric service to Pennsylvania citizens.</w:t>
      </w:r>
    </w:p>
    <w:p w:rsidR="009D3C71" w:rsidRPr="009D3C71" w:rsidRDefault="009D3C71" w:rsidP="003A216A">
      <w:pPr>
        <w:pStyle w:val="ListParagraph"/>
        <w:spacing w:line="360" w:lineRule="auto"/>
        <w:rPr>
          <w:sz w:val="24"/>
          <w:szCs w:val="24"/>
        </w:rPr>
      </w:pPr>
    </w:p>
    <w:p w:rsidR="009D3C71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 Complainant has a monthly income of $1,925.  Tr. at 5.</w:t>
      </w:r>
    </w:p>
    <w:p w:rsidR="00280A48" w:rsidRPr="00280A48" w:rsidRDefault="00280A48" w:rsidP="003A216A">
      <w:pPr>
        <w:pStyle w:val="ListParagraph"/>
        <w:spacing w:line="360" w:lineRule="auto"/>
        <w:rPr>
          <w:sz w:val="24"/>
          <w:szCs w:val="24"/>
        </w:rPr>
      </w:pPr>
    </w:p>
    <w:p w:rsidR="00280A48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There are two people in the Complainant’s home.  Tr. at 5.</w:t>
      </w:r>
    </w:p>
    <w:p w:rsidR="00280A48" w:rsidRPr="00280A48" w:rsidRDefault="00280A48" w:rsidP="003A216A">
      <w:pPr>
        <w:pStyle w:val="ListParagraph"/>
        <w:spacing w:line="360" w:lineRule="auto"/>
        <w:rPr>
          <w:sz w:val="24"/>
          <w:szCs w:val="24"/>
        </w:rPr>
      </w:pPr>
    </w:p>
    <w:p w:rsidR="00280A48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uses </w:t>
      </w:r>
      <w:r w:rsidR="001614FE">
        <w:rPr>
          <w:sz w:val="24"/>
          <w:szCs w:val="24"/>
        </w:rPr>
        <w:t>electric space</w:t>
      </w:r>
      <w:r>
        <w:rPr>
          <w:sz w:val="24"/>
          <w:szCs w:val="24"/>
        </w:rPr>
        <w:t xml:space="preserve"> heaters for </w:t>
      </w:r>
      <w:r w:rsidR="001614FE">
        <w:rPr>
          <w:sz w:val="24"/>
          <w:szCs w:val="24"/>
        </w:rPr>
        <w:t xml:space="preserve">his </w:t>
      </w:r>
      <w:r>
        <w:rPr>
          <w:sz w:val="24"/>
          <w:szCs w:val="24"/>
        </w:rPr>
        <w:t>heat source because he is out of oil.  Tr. at 6.</w:t>
      </w:r>
    </w:p>
    <w:p w:rsidR="00280A48" w:rsidRPr="00280A48" w:rsidRDefault="00280A48" w:rsidP="003A216A">
      <w:pPr>
        <w:pStyle w:val="ListParagraph"/>
        <w:spacing w:line="360" w:lineRule="auto"/>
        <w:rPr>
          <w:sz w:val="24"/>
          <w:szCs w:val="24"/>
        </w:rPr>
      </w:pPr>
    </w:p>
    <w:p w:rsidR="00280A48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Complainant’s electric bill is high due to the use of </w:t>
      </w:r>
      <w:r w:rsidR="001614FE">
        <w:rPr>
          <w:sz w:val="24"/>
          <w:szCs w:val="24"/>
        </w:rPr>
        <w:t xml:space="preserve">electric </w:t>
      </w:r>
      <w:r>
        <w:rPr>
          <w:sz w:val="24"/>
          <w:szCs w:val="24"/>
        </w:rPr>
        <w:t>space heaters.  Tr. at 13.</w:t>
      </w:r>
    </w:p>
    <w:p w:rsidR="00280A48" w:rsidRPr="00280A48" w:rsidRDefault="00280A48" w:rsidP="003A216A">
      <w:pPr>
        <w:pStyle w:val="ListParagraph"/>
        <w:spacing w:line="360" w:lineRule="auto"/>
        <w:rPr>
          <w:sz w:val="24"/>
          <w:szCs w:val="24"/>
        </w:rPr>
      </w:pPr>
    </w:p>
    <w:p w:rsidR="00280A48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Tammy </w:t>
      </w:r>
      <w:proofErr w:type="spellStart"/>
      <w:r>
        <w:rPr>
          <w:sz w:val="24"/>
          <w:szCs w:val="24"/>
        </w:rPr>
        <w:t>Nalesnick</w:t>
      </w:r>
      <w:proofErr w:type="spellEnd"/>
      <w:r>
        <w:rPr>
          <w:sz w:val="24"/>
          <w:szCs w:val="24"/>
        </w:rPr>
        <w:t xml:space="preserve"> testified for PPL.  Tr. at 8.</w:t>
      </w:r>
    </w:p>
    <w:p w:rsidR="00A43D45" w:rsidRPr="00A43D45" w:rsidRDefault="00A43D45" w:rsidP="00A43D45">
      <w:pPr>
        <w:pStyle w:val="ListParagraph"/>
        <w:rPr>
          <w:sz w:val="24"/>
          <w:szCs w:val="24"/>
        </w:rPr>
      </w:pPr>
    </w:p>
    <w:p w:rsidR="003A216A" w:rsidRPr="003A216A" w:rsidRDefault="00280A48" w:rsidP="003A216A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As of the time of the hearing, the Complainant’s overdue balance was $3,711.27.  Tr. at 10</w:t>
      </w:r>
      <w:r w:rsidR="004924DA">
        <w:rPr>
          <w:sz w:val="24"/>
          <w:szCs w:val="24"/>
        </w:rPr>
        <w:t>;</w:t>
      </w:r>
      <w:r w:rsidR="002625F2">
        <w:rPr>
          <w:sz w:val="24"/>
          <w:szCs w:val="24"/>
        </w:rPr>
        <w:t xml:space="preserve"> PPL Exh. 1</w:t>
      </w:r>
      <w:r>
        <w:rPr>
          <w:sz w:val="24"/>
          <w:szCs w:val="24"/>
        </w:rPr>
        <w:t>.</w:t>
      </w:r>
    </w:p>
    <w:p w:rsidR="00280A48" w:rsidRPr="00280A48" w:rsidRDefault="00280A48" w:rsidP="003A216A">
      <w:pPr>
        <w:pStyle w:val="ListParagraph"/>
        <w:spacing w:line="360" w:lineRule="auto"/>
        <w:rPr>
          <w:sz w:val="24"/>
          <w:szCs w:val="24"/>
        </w:rPr>
      </w:pPr>
    </w:p>
    <w:p w:rsidR="00280A48" w:rsidRDefault="00280A48" w:rsidP="009D3C71">
      <w:pPr>
        <w:pStyle w:val="ListParagraph"/>
        <w:numPr>
          <w:ilvl w:val="0"/>
          <w:numId w:val="26"/>
        </w:numPr>
        <w:tabs>
          <w:tab w:val="left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In January 2015</w:t>
      </w:r>
      <w:r w:rsidR="001614FE">
        <w:rPr>
          <w:sz w:val="24"/>
          <w:szCs w:val="24"/>
        </w:rPr>
        <w:t>,</w:t>
      </w:r>
      <w:r>
        <w:rPr>
          <w:sz w:val="24"/>
          <w:szCs w:val="24"/>
        </w:rPr>
        <w:t xml:space="preserve"> PPL referred the Complainant to the On Track program which is a customer assistance program.  He was ineligible due to high income.  Tr. at 10-11</w:t>
      </w:r>
      <w:r w:rsidR="004924DA">
        <w:rPr>
          <w:sz w:val="24"/>
          <w:szCs w:val="24"/>
        </w:rPr>
        <w:t>;</w:t>
      </w:r>
      <w:r w:rsidR="002625F2">
        <w:rPr>
          <w:sz w:val="24"/>
          <w:szCs w:val="24"/>
        </w:rPr>
        <w:t xml:space="preserve"> PPL Exh. 2</w:t>
      </w:r>
      <w:r>
        <w:rPr>
          <w:sz w:val="24"/>
          <w:szCs w:val="24"/>
        </w:rPr>
        <w:t>.</w:t>
      </w:r>
    </w:p>
    <w:p w:rsidR="00280A48" w:rsidRPr="00280A48" w:rsidRDefault="00280A48" w:rsidP="00280A48">
      <w:pPr>
        <w:pStyle w:val="ListParagraph"/>
        <w:rPr>
          <w:sz w:val="24"/>
          <w:szCs w:val="24"/>
        </w:rPr>
      </w:pPr>
    </w:p>
    <w:p w:rsidR="00C419F9" w:rsidRDefault="00C419F9" w:rsidP="00DE2348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DISCUSSION</w:t>
      </w:r>
    </w:p>
    <w:p w:rsidR="00A470ED" w:rsidRDefault="00A470ED" w:rsidP="002625F2">
      <w:pPr>
        <w:spacing w:line="360" w:lineRule="auto"/>
        <w:ind w:firstLine="1440"/>
        <w:rPr>
          <w:sz w:val="24"/>
          <w:szCs w:val="24"/>
          <w:u w:val="single"/>
        </w:rPr>
      </w:pPr>
    </w:p>
    <w:p w:rsidR="0074631A" w:rsidRPr="00614336" w:rsidRDefault="0074631A" w:rsidP="0074631A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  <w:r w:rsidRPr="00A941C5">
        <w:rPr>
          <w:sz w:val="24"/>
          <w:szCs w:val="24"/>
        </w:rPr>
        <w:t xml:space="preserve">As the party seeking affirmative relief from the Commission, </w:t>
      </w:r>
      <w:r>
        <w:rPr>
          <w:sz w:val="24"/>
          <w:szCs w:val="24"/>
        </w:rPr>
        <w:t xml:space="preserve">the Complainant </w:t>
      </w:r>
      <w:r w:rsidRPr="00A941C5">
        <w:rPr>
          <w:sz w:val="24"/>
          <w:szCs w:val="24"/>
        </w:rPr>
        <w:t>bear</w:t>
      </w:r>
      <w:r>
        <w:rPr>
          <w:sz w:val="24"/>
          <w:szCs w:val="24"/>
        </w:rPr>
        <w:t>s</w:t>
      </w:r>
      <w:r w:rsidRPr="00A941C5">
        <w:rPr>
          <w:sz w:val="24"/>
          <w:szCs w:val="24"/>
        </w:rPr>
        <w:t xml:space="preserve"> the burden of proof.  </w:t>
      </w:r>
      <w:proofErr w:type="gramStart"/>
      <w:r w:rsidRPr="00A941C5">
        <w:rPr>
          <w:sz w:val="24"/>
          <w:szCs w:val="24"/>
        </w:rPr>
        <w:t>66 Pa.C.S.</w:t>
      </w:r>
      <w:proofErr w:type="gramEnd"/>
      <w:r w:rsidRPr="00A941C5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A941C5">
        <w:rPr>
          <w:sz w:val="24"/>
          <w:szCs w:val="24"/>
        </w:rPr>
        <w:t>332(a).</w:t>
      </w:r>
      <w:r>
        <w:rPr>
          <w:sz w:val="24"/>
          <w:szCs w:val="24"/>
        </w:rPr>
        <w:t xml:space="preserve">  </w:t>
      </w:r>
      <w:r w:rsidRPr="00614336">
        <w:rPr>
          <w:spacing w:val="-3"/>
          <w:sz w:val="24"/>
          <w:szCs w:val="24"/>
        </w:rPr>
        <w:t>To establish a sufficient case and satisfy the burden of proof,</w:t>
      </w:r>
      <w:r>
        <w:rPr>
          <w:spacing w:val="-3"/>
          <w:sz w:val="24"/>
          <w:szCs w:val="24"/>
        </w:rPr>
        <w:t xml:space="preserve"> the</w:t>
      </w:r>
      <w:r w:rsidRPr="00614336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Complainant</w:t>
      </w:r>
      <w:r w:rsidRPr="00614336">
        <w:rPr>
          <w:spacing w:val="-3"/>
          <w:sz w:val="24"/>
          <w:szCs w:val="24"/>
        </w:rPr>
        <w:t xml:space="preserve"> must show that the </w:t>
      </w:r>
      <w:r>
        <w:rPr>
          <w:spacing w:val="-3"/>
          <w:sz w:val="24"/>
          <w:szCs w:val="24"/>
        </w:rPr>
        <w:t>Respondent</w:t>
      </w:r>
      <w:r w:rsidRPr="00614336">
        <w:rPr>
          <w:spacing w:val="-3"/>
          <w:sz w:val="24"/>
          <w:szCs w:val="24"/>
        </w:rPr>
        <w:t xml:space="preserve"> public utility is responsible or accountable for the problem described in the Complaint.  </w:t>
      </w:r>
      <w:proofErr w:type="gramStart"/>
      <w:r w:rsidRPr="0073245F">
        <w:rPr>
          <w:i/>
          <w:spacing w:val="-3"/>
          <w:sz w:val="24"/>
          <w:szCs w:val="24"/>
        </w:rPr>
        <w:t>Patterson v. Bell Telephone Company of Pennsylvania</w:t>
      </w:r>
      <w:r w:rsidRPr="00614336">
        <w:rPr>
          <w:spacing w:val="-3"/>
          <w:sz w:val="24"/>
          <w:szCs w:val="24"/>
        </w:rPr>
        <w:t>, 72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196</w:t>
      </w:r>
      <w:r>
        <w:rPr>
          <w:spacing w:val="-3"/>
          <w:sz w:val="24"/>
          <w:szCs w:val="24"/>
        </w:rPr>
        <w:t xml:space="preserve"> (</w:t>
      </w:r>
      <w:r w:rsidRPr="00614336">
        <w:rPr>
          <w:spacing w:val="-3"/>
          <w:sz w:val="24"/>
          <w:szCs w:val="24"/>
        </w:rPr>
        <w:t xml:space="preserve">1990), </w:t>
      </w:r>
      <w:r w:rsidRPr="0073245F">
        <w:rPr>
          <w:i/>
          <w:spacing w:val="-3"/>
          <w:sz w:val="24"/>
          <w:szCs w:val="24"/>
        </w:rPr>
        <w:t>Feinstein v. Philadelphia Suburban Water Company</w:t>
      </w:r>
      <w:r w:rsidRPr="00614336">
        <w:rPr>
          <w:spacing w:val="-3"/>
          <w:sz w:val="24"/>
          <w:szCs w:val="24"/>
        </w:rPr>
        <w:t>, 50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300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(1976).</w:t>
      </w:r>
      <w:proofErr w:type="gramEnd"/>
      <w:r w:rsidRPr="00614336">
        <w:rPr>
          <w:spacing w:val="-3"/>
          <w:sz w:val="24"/>
          <w:szCs w:val="24"/>
        </w:rPr>
        <w:t xml:space="preserve">  Such a showing must be by a preponderance of the evidence.  </w:t>
      </w:r>
      <w:proofErr w:type="gramStart"/>
      <w:r w:rsidRPr="0073245F">
        <w:rPr>
          <w:i/>
          <w:spacing w:val="-3"/>
          <w:sz w:val="24"/>
          <w:szCs w:val="24"/>
        </w:rPr>
        <w:t>Samuel J. Lansberry, Inc. v. Pa. P</w:t>
      </w:r>
      <w:r w:rsidR="004F3D66">
        <w:rPr>
          <w:i/>
          <w:spacing w:val="-3"/>
          <w:sz w:val="24"/>
          <w:szCs w:val="24"/>
        </w:rPr>
        <w:t>ub.</w:t>
      </w:r>
      <w:proofErr w:type="gramEnd"/>
      <w:r w:rsidR="004F3D66">
        <w:rPr>
          <w:i/>
          <w:spacing w:val="-3"/>
          <w:sz w:val="24"/>
          <w:szCs w:val="24"/>
        </w:rPr>
        <w:t xml:space="preserve">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134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4F3D66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218; 221-222, 578 A.2d 600; 602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(1990), </w:t>
      </w:r>
      <w:r w:rsidRPr="00614336">
        <w:rPr>
          <w:i/>
          <w:spacing w:val="-3"/>
          <w:sz w:val="24"/>
          <w:szCs w:val="24"/>
        </w:rPr>
        <w:t>alloc.</w:t>
      </w:r>
      <w:proofErr w:type="gramEnd"/>
      <w:r w:rsidRPr="00614336">
        <w:rPr>
          <w:i/>
          <w:spacing w:val="-3"/>
          <w:sz w:val="24"/>
          <w:szCs w:val="24"/>
        </w:rPr>
        <w:t xml:space="preserve"> </w:t>
      </w:r>
      <w:proofErr w:type="gramStart"/>
      <w:r w:rsidRPr="00614336">
        <w:rPr>
          <w:i/>
          <w:spacing w:val="-3"/>
          <w:sz w:val="24"/>
          <w:szCs w:val="24"/>
        </w:rPr>
        <w:t>den</w:t>
      </w:r>
      <w:r w:rsidRPr="00614336">
        <w:rPr>
          <w:spacing w:val="-3"/>
          <w:sz w:val="24"/>
          <w:szCs w:val="24"/>
        </w:rPr>
        <w:t>., 602 A.2d 863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(1992).</w:t>
      </w:r>
      <w:proofErr w:type="gramEnd"/>
      <w:r w:rsidRPr="00614336">
        <w:rPr>
          <w:spacing w:val="-3"/>
          <w:sz w:val="24"/>
          <w:szCs w:val="24"/>
        </w:rPr>
        <w:t xml:space="preserve">  That is, </w:t>
      </w:r>
      <w:r>
        <w:rPr>
          <w:spacing w:val="-3"/>
          <w:sz w:val="24"/>
          <w:szCs w:val="24"/>
        </w:rPr>
        <w:t>a party must p</w:t>
      </w:r>
      <w:r w:rsidRPr="00614336">
        <w:rPr>
          <w:spacing w:val="-3"/>
          <w:sz w:val="24"/>
          <w:szCs w:val="24"/>
        </w:rPr>
        <w:t xml:space="preserve">resent evidence more convincing, by even the smallest amount, than that presented by the other party.  </w:t>
      </w:r>
      <w:proofErr w:type="gramStart"/>
      <w:r w:rsidRPr="0073245F">
        <w:rPr>
          <w:i/>
          <w:spacing w:val="-3"/>
          <w:sz w:val="24"/>
          <w:szCs w:val="24"/>
        </w:rPr>
        <w:t>Se-Ling Hosiery v. Margulies</w:t>
      </w:r>
      <w:r w:rsidRPr="00614336">
        <w:rPr>
          <w:spacing w:val="-3"/>
          <w:sz w:val="24"/>
          <w:szCs w:val="24"/>
        </w:rPr>
        <w:t>, 364 Pa. 45, 70 A.2d 854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(1950).</w:t>
      </w:r>
      <w:proofErr w:type="gramEnd"/>
      <w:r w:rsidRPr="00614336">
        <w:rPr>
          <w:spacing w:val="-3"/>
          <w:sz w:val="24"/>
          <w:szCs w:val="24"/>
        </w:rPr>
        <w:t xml:space="preserve">  Additionally, any finding of fact necessary to support the Commission’s adjudication must be based upon substantial evidence.  </w:t>
      </w:r>
      <w:proofErr w:type="gramStart"/>
      <w:r w:rsidRPr="001614FE">
        <w:rPr>
          <w:i/>
          <w:spacing w:val="-3"/>
          <w:sz w:val="24"/>
          <w:szCs w:val="24"/>
        </w:rPr>
        <w:t>Mill v. Pa. P</w:t>
      </w:r>
      <w:r w:rsidR="004F3D66">
        <w:rPr>
          <w:i/>
          <w:spacing w:val="-3"/>
          <w:sz w:val="24"/>
          <w:szCs w:val="24"/>
        </w:rPr>
        <w:t>ub.</w:t>
      </w:r>
      <w:proofErr w:type="gramEnd"/>
      <w:r w:rsidR="004F3D66">
        <w:rPr>
          <w:i/>
          <w:spacing w:val="-3"/>
          <w:sz w:val="24"/>
          <w:szCs w:val="24"/>
        </w:rPr>
        <w:t xml:space="preserve"> Util. Comm’n</w:t>
      </w:r>
      <w:r w:rsidRPr="001614FE">
        <w:rPr>
          <w:spacing w:val="-3"/>
          <w:sz w:val="24"/>
          <w:szCs w:val="24"/>
        </w:rPr>
        <w:t>,</w:t>
      </w:r>
      <w:r w:rsidR="001614FE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 xml:space="preserve">67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4F3D66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597, 447 A.2d 1100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(1982), </w:t>
      </w:r>
      <w:r w:rsidRPr="0073245F">
        <w:rPr>
          <w:i/>
          <w:spacing w:val="-3"/>
          <w:sz w:val="24"/>
          <w:szCs w:val="24"/>
        </w:rPr>
        <w:t>Edan Transportation Corp. v. Pa. P</w:t>
      </w:r>
      <w:r w:rsidR="004F3D66">
        <w:rPr>
          <w:i/>
          <w:spacing w:val="-3"/>
          <w:sz w:val="24"/>
          <w:szCs w:val="24"/>
        </w:rPr>
        <w:t>ub.</w:t>
      </w:r>
      <w:proofErr w:type="gramEnd"/>
      <w:r w:rsidR="004F3D66">
        <w:rPr>
          <w:i/>
          <w:spacing w:val="-3"/>
          <w:sz w:val="24"/>
          <w:szCs w:val="24"/>
        </w:rPr>
        <w:t xml:space="preserve"> Util. Comm’n</w:t>
      </w:r>
      <w:r w:rsidRPr="00614336">
        <w:rPr>
          <w:spacing w:val="-3"/>
          <w:sz w:val="24"/>
          <w:szCs w:val="24"/>
        </w:rPr>
        <w:t xml:space="preserve">, </w:t>
      </w:r>
      <w:proofErr w:type="gramStart"/>
      <w:r w:rsidRPr="00614336">
        <w:rPr>
          <w:spacing w:val="-3"/>
          <w:sz w:val="24"/>
          <w:szCs w:val="24"/>
        </w:rPr>
        <w:t xml:space="preserve">154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4F3D66">
        <w:rPr>
          <w:spacing w:val="-3"/>
          <w:sz w:val="24"/>
          <w:szCs w:val="24"/>
        </w:rPr>
        <w:t>mwlth</w:t>
      </w:r>
      <w:proofErr w:type="spellEnd"/>
      <w:proofErr w:type="gramEnd"/>
      <w:r w:rsidRPr="00614336">
        <w:rPr>
          <w:spacing w:val="-3"/>
          <w:sz w:val="24"/>
          <w:szCs w:val="24"/>
        </w:rPr>
        <w:t xml:space="preserve">. </w:t>
      </w:r>
      <w:proofErr w:type="gramStart"/>
      <w:r w:rsidRPr="00614336">
        <w:rPr>
          <w:spacing w:val="-3"/>
          <w:sz w:val="24"/>
          <w:szCs w:val="24"/>
        </w:rPr>
        <w:t>21, 623 A.2d 6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(1993), 2 Pa.C.S.</w:t>
      </w:r>
      <w:proofErr w:type="gramEnd"/>
      <w:r w:rsidRPr="00614336">
        <w:rPr>
          <w:spacing w:val="-3"/>
          <w:sz w:val="24"/>
          <w:szCs w:val="24"/>
        </w:rPr>
        <w:t xml:space="preserve"> §</w:t>
      </w:r>
      <w:r w:rsidR="004F3D66"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704.  More is required than a mere trace of evidence or a suspicion of the existence of a fact sought to be establi</w:t>
      </w:r>
      <w:r>
        <w:rPr>
          <w:spacing w:val="-3"/>
          <w:sz w:val="24"/>
          <w:szCs w:val="24"/>
        </w:rPr>
        <w:t>sh</w:t>
      </w:r>
      <w:r w:rsidRPr="00614336">
        <w:rPr>
          <w:spacing w:val="-3"/>
          <w:sz w:val="24"/>
          <w:szCs w:val="24"/>
        </w:rPr>
        <w:t>ed</w:t>
      </w:r>
      <w:r w:rsidRPr="001614FE">
        <w:rPr>
          <w:i/>
          <w:spacing w:val="-3"/>
          <w:sz w:val="24"/>
          <w:szCs w:val="24"/>
        </w:rPr>
        <w:t xml:space="preserve">.  </w:t>
      </w:r>
      <w:proofErr w:type="gramStart"/>
      <w:r w:rsidRPr="001614FE">
        <w:rPr>
          <w:i/>
          <w:spacing w:val="-3"/>
          <w:sz w:val="24"/>
          <w:szCs w:val="24"/>
        </w:rPr>
        <w:t>Norfolk and Western Ry. v. Pa.</w:t>
      </w:r>
      <w:r w:rsidR="004F3D66">
        <w:rPr>
          <w:i/>
          <w:spacing w:val="-3"/>
          <w:sz w:val="24"/>
          <w:szCs w:val="24"/>
        </w:rPr>
        <w:t xml:space="preserve"> </w:t>
      </w:r>
      <w:r w:rsidRPr="001614FE">
        <w:rPr>
          <w:i/>
          <w:spacing w:val="-3"/>
          <w:sz w:val="24"/>
          <w:szCs w:val="24"/>
        </w:rPr>
        <w:t>P</w:t>
      </w:r>
      <w:r w:rsidR="004F3D66">
        <w:rPr>
          <w:i/>
          <w:spacing w:val="-3"/>
          <w:sz w:val="24"/>
          <w:szCs w:val="24"/>
        </w:rPr>
        <w:t>ub.</w:t>
      </w:r>
      <w:proofErr w:type="gramEnd"/>
      <w:r w:rsidR="004F3D66">
        <w:rPr>
          <w:i/>
          <w:spacing w:val="-3"/>
          <w:sz w:val="24"/>
          <w:szCs w:val="24"/>
        </w:rPr>
        <w:t xml:space="preserve"> </w:t>
      </w:r>
      <w:proofErr w:type="gramStart"/>
      <w:r w:rsidR="004F3D66">
        <w:rPr>
          <w:i/>
          <w:spacing w:val="-3"/>
          <w:sz w:val="24"/>
          <w:szCs w:val="24"/>
        </w:rPr>
        <w:t>Util. Comm’n</w:t>
      </w:r>
      <w:r w:rsidRPr="001614FE">
        <w:rPr>
          <w:spacing w:val="-3"/>
          <w:sz w:val="24"/>
          <w:szCs w:val="24"/>
        </w:rPr>
        <w:t>,</w:t>
      </w:r>
      <w:r w:rsidRPr="00614336">
        <w:rPr>
          <w:spacing w:val="-3"/>
          <w:sz w:val="24"/>
          <w:szCs w:val="24"/>
        </w:rPr>
        <w:t xml:space="preserve"> 489 Pa. 109, 413 A.2d 1037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(1980); </w:t>
      </w:r>
      <w:r w:rsidRPr="0073245F">
        <w:rPr>
          <w:i/>
          <w:spacing w:val="-3"/>
          <w:sz w:val="24"/>
          <w:szCs w:val="24"/>
        </w:rPr>
        <w:t>Erie Resistor Corp. v. Unemployment Compensation Bd. of Review</w:t>
      </w:r>
      <w:r w:rsidRPr="00614336">
        <w:rPr>
          <w:spacing w:val="-3"/>
          <w:sz w:val="24"/>
          <w:szCs w:val="24"/>
        </w:rPr>
        <w:t xml:space="preserve">, 194 </w:t>
      </w:r>
      <w:proofErr w:type="spellStart"/>
      <w:r w:rsidRPr="00614336">
        <w:rPr>
          <w:spacing w:val="-3"/>
          <w:sz w:val="24"/>
          <w:szCs w:val="24"/>
        </w:rPr>
        <w:t>Pa.Super</w:t>
      </w:r>
      <w:proofErr w:type="spellEnd"/>
      <w:r w:rsidRPr="00614336">
        <w:rPr>
          <w:spacing w:val="-3"/>
          <w:sz w:val="24"/>
          <w:szCs w:val="24"/>
        </w:rPr>
        <w:t>.</w:t>
      </w:r>
      <w:proofErr w:type="gramEnd"/>
      <w:r w:rsidRPr="00614336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>278, 166 A.2d 96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 xml:space="preserve">(1960); </w:t>
      </w:r>
      <w:r w:rsidRPr="0073245F">
        <w:rPr>
          <w:i/>
          <w:spacing w:val="-3"/>
          <w:sz w:val="24"/>
          <w:szCs w:val="24"/>
        </w:rPr>
        <w:t>Murphy v. Dep’t of Public Welfare, White Haven Center</w:t>
      </w:r>
      <w:r w:rsidRPr="00614336">
        <w:rPr>
          <w:spacing w:val="-3"/>
          <w:sz w:val="24"/>
          <w:szCs w:val="24"/>
        </w:rPr>
        <w:t xml:space="preserve">, 85 </w:t>
      </w:r>
      <w:proofErr w:type="spellStart"/>
      <w:r w:rsidRPr="00614336">
        <w:rPr>
          <w:spacing w:val="-3"/>
          <w:sz w:val="24"/>
          <w:szCs w:val="24"/>
        </w:rPr>
        <w:t>Pa.C</w:t>
      </w:r>
      <w:r w:rsidR="004F3D66">
        <w:rPr>
          <w:spacing w:val="-3"/>
          <w:sz w:val="24"/>
          <w:szCs w:val="24"/>
        </w:rPr>
        <w:t>mwlth</w:t>
      </w:r>
      <w:proofErr w:type="spellEnd"/>
      <w:r w:rsidRPr="00614336">
        <w:rPr>
          <w:spacing w:val="-3"/>
          <w:sz w:val="24"/>
          <w:szCs w:val="24"/>
        </w:rPr>
        <w:t>.</w:t>
      </w:r>
      <w:proofErr w:type="gramEnd"/>
      <w:r w:rsidRPr="00614336">
        <w:rPr>
          <w:spacing w:val="-3"/>
          <w:sz w:val="24"/>
          <w:szCs w:val="24"/>
        </w:rPr>
        <w:t xml:space="preserve"> </w:t>
      </w:r>
      <w:proofErr w:type="gramStart"/>
      <w:r w:rsidRPr="00614336">
        <w:rPr>
          <w:spacing w:val="-3"/>
          <w:sz w:val="24"/>
          <w:szCs w:val="24"/>
        </w:rPr>
        <w:t>23, 480 A.2d 382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(1984).</w:t>
      </w:r>
      <w:proofErr w:type="gramEnd"/>
    </w:p>
    <w:p w:rsidR="0074631A" w:rsidRDefault="0074631A" w:rsidP="0074631A"/>
    <w:p w:rsidR="00D61231" w:rsidRDefault="00D61231" w:rsidP="002625F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Complainant requests a lower payment plan.  Payment plans are not simply made </w:t>
      </w:r>
      <w:r w:rsidR="0074631A">
        <w:rPr>
          <w:sz w:val="24"/>
          <w:szCs w:val="24"/>
        </w:rPr>
        <w:t>up;</w:t>
      </w:r>
      <w:r>
        <w:rPr>
          <w:sz w:val="24"/>
          <w:szCs w:val="24"/>
        </w:rPr>
        <w:t xml:space="preserve"> they are calculated using one</w:t>
      </w:r>
      <w:r w:rsidR="007B4959">
        <w:rPr>
          <w:sz w:val="24"/>
          <w:szCs w:val="24"/>
        </w:rPr>
        <w:t>’</w:t>
      </w:r>
      <w:r>
        <w:rPr>
          <w:sz w:val="24"/>
          <w:szCs w:val="24"/>
        </w:rPr>
        <w:t>s pattern of usage, number of months allowed for repayment of arrearages, plus the current usage and applying the federal poverty index guidelines.</w:t>
      </w:r>
      <w:r w:rsidR="001614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 individual having financial difficulties has a number of options including but not limited to, applying for LIHEAP</w:t>
      </w:r>
      <w:r w:rsidR="002F0381"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>, seeking county agency assistance, applying for customer assistance, and lowering monthly usage.  The Complainant here applied for a customer assistance program (On Track) and was found ineligible due to</w:t>
      </w:r>
      <w:r w:rsidR="001614FE">
        <w:rPr>
          <w:sz w:val="24"/>
          <w:szCs w:val="24"/>
        </w:rPr>
        <w:t xml:space="preserve"> his</w:t>
      </w:r>
      <w:r>
        <w:rPr>
          <w:sz w:val="24"/>
          <w:szCs w:val="24"/>
        </w:rPr>
        <w:t xml:space="preserve"> level of income.  </w:t>
      </w:r>
    </w:p>
    <w:p w:rsidR="00D61231" w:rsidRDefault="00D61231" w:rsidP="002625F2">
      <w:pPr>
        <w:spacing w:line="360" w:lineRule="auto"/>
        <w:ind w:firstLine="1440"/>
        <w:rPr>
          <w:sz w:val="24"/>
          <w:szCs w:val="24"/>
        </w:rPr>
      </w:pPr>
    </w:p>
    <w:p w:rsidR="00A37276" w:rsidRDefault="00D61231" w:rsidP="002625F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reason that the Complainant’s electric bills are so high is because the Complainant has been using electric space heaters for heat.  Typically, h</w:t>
      </w:r>
      <w:r w:rsidR="00A43D45">
        <w:rPr>
          <w:sz w:val="24"/>
          <w:szCs w:val="24"/>
        </w:rPr>
        <w:t>e</w:t>
      </w:r>
      <w:r>
        <w:rPr>
          <w:sz w:val="24"/>
          <w:szCs w:val="24"/>
        </w:rPr>
        <w:t xml:space="preserve"> uses oil heat, but is out of oil and cannot afford to fill the oil tank.  Since it is May, the temperature</w:t>
      </w:r>
      <w:r w:rsidR="0074631A">
        <w:rPr>
          <w:sz w:val="24"/>
          <w:szCs w:val="24"/>
        </w:rPr>
        <w:t xml:space="preserve"> rising </w:t>
      </w:r>
      <w:r>
        <w:rPr>
          <w:sz w:val="24"/>
          <w:szCs w:val="24"/>
        </w:rPr>
        <w:t>will help and the Complainant’s usage of the</w:t>
      </w:r>
      <w:r w:rsidR="001614FE">
        <w:rPr>
          <w:sz w:val="24"/>
          <w:szCs w:val="24"/>
        </w:rPr>
        <w:t xml:space="preserve"> electric </w:t>
      </w:r>
      <w:r>
        <w:rPr>
          <w:sz w:val="24"/>
          <w:szCs w:val="24"/>
        </w:rPr>
        <w:t xml:space="preserve">space heaters should subside.  </w:t>
      </w:r>
      <w:r w:rsidR="00A37276">
        <w:rPr>
          <w:sz w:val="24"/>
          <w:szCs w:val="24"/>
        </w:rPr>
        <w:t xml:space="preserve">As long as the Complainant is careful about using air conditioning over the summer, he should experience a significant shift in his </w:t>
      </w:r>
      <w:r w:rsidR="001614FE">
        <w:rPr>
          <w:sz w:val="24"/>
          <w:szCs w:val="24"/>
        </w:rPr>
        <w:t xml:space="preserve">pattern of </w:t>
      </w:r>
      <w:r w:rsidR="00A37276">
        <w:rPr>
          <w:sz w:val="24"/>
          <w:szCs w:val="24"/>
        </w:rPr>
        <w:t>monthly electric usage.  The summer months should allow the Complainant to continue to pay his monthly usage</w:t>
      </w:r>
      <w:r w:rsidR="001614FE">
        <w:rPr>
          <w:sz w:val="24"/>
          <w:szCs w:val="24"/>
        </w:rPr>
        <w:t xml:space="preserve"> plus a</w:t>
      </w:r>
      <w:r w:rsidR="00A37276">
        <w:rPr>
          <w:sz w:val="24"/>
          <w:szCs w:val="24"/>
        </w:rPr>
        <w:t xml:space="preserve"> sum toward his arrearage.</w:t>
      </w:r>
    </w:p>
    <w:p w:rsidR="00A37276" w:rsidRDefault="00A37276" w:rsidP="002625F2">
      <w:pPr>
        <w:spacing w:line="360" w:lineRule="auto"/>
        <w:ind w:firstLine="1440"/>
        <w:rPr>
          <w:sz w:val="24"/>
          <w:szCs w:val="24"/>
        </w:rPr>
      </w:pPr>
    </w:p>
    <w:p w:rsidR="00A37276" w:rsidRDefault="00A37276" w:rsidP="002625F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best payment arrangement that PPL offered the Complainant was the total of the Complainant’s </w:t>
      </w:r>
      <w:r w:rsidR="001614FE">
        <w:rPr>
          <w:sz w:val="24"/>
          <w:szCs w:val="24"/>
        </w:rPr>
        <w:t xml:space="preserve">most recent </w:t>
      </w:r>
      <w:r>
        <w:rPr>
          <w:sz w:val="24"/>
          <w:szCs w:val="24"/>
        </w:rPr>
        <w:t xml:space="preserve">pattern of usage ÷ </w:t>
      </w:r>
      <w:r w:rsidR="001614FE">
        <w:rPr>
          <w:sz w:val="24"/>
          <w:szCs w:val="24"/>
        </w:rPr>
        <w:t>four</w:t>
      </w:r>
      <w:r>
        <w:rPr>
          <w:sz w:val="24"/>
          <w:szCs w:val="24"/>
        </w:rPr>
        <w:t xml:space="preserve"> months = </w:t>
      </w:r>
      <w:r w:rsidR="00F16C5A">
        <w:rPr>
          <w:sz w:val="24"/>
          <w:szCs w:val="24"/>
        </w:rPr>
        <w:t xml:space="preserve">a budget bill of </w:t>
      </w:r>
      <w:r>
        <w:rPr>
          <w:sz w:val="24"/>
          <w:szCs w:val="24"/>
        </w:rPr>
        <w:t>$406, plus $62 toward the arrearage for a monthly total of $468.</w:t>
      </w:r>
      <w:r w:rsidR="00F16C5A">
        <w:rPr>
          <w:sz w:val="24"/>
          <w:szCs w:val="24"/>
        </w:rPr>
        <w:t xml:space="preserve">  </w:t>
      </w:r>
      <w:r w:rsidR="00462495">
        <w:rPr>
          <w:sz w:val="24"/>
          <w:szCs w:val="24"/>
        </w:rPr>
        <w:t>There is no better payment plan available to the Complainant due to his usage and arrearage.</w:t>
      </w:r>
    </w:p>
    <w:p w:rsidR="00F16C5A" w:rsidRDefault="00F16C5A" w:rsidP="002625F2">
      <w:pPr>
        <w:spacing w:line="360" w:lineRule="auto"/>
        <w:ind w:firstLine="1440"/>
        <w:rPr>
          <w:sz w:val="24"/>
          <w:szCs w:val="24"/>
        </w:rPr>
      </w:pPr>
    </w:p>
    <w:p w:rsidR="003A370E" w:rsidRPr="002F0381" w:rsidRDefault="00F16C5A" w:rsidP="002625F2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December 14, 2004, the Responsible Utility Customer Protection Act became effective.  That act changed the regulations that apply to payment arrangements.</w:t>
      </w:r>
      <w:r w:rsidR="002F0381">
        <w:rPr>
          <w:sz w:val="24"/>
          <w:szCs w:val="24"/>
        </w:rPr>
        <w:t xml:space="preserve">  </w:t>
      </w:r>
      <w:proofErr w:type="gramStart"/>
      <w:r w:rsidR="002F0381">
        <w:rPr>
          <w:sz w:val="24"/>
          <w:szCs w:val="24"/>
        </w:rPr>
        <w:t>66 Pa.C.S.</w:t>
      </w:r>
      <w:proofErr w:type="gramEnd"/>
      <w:r w:rsidR="002F0381">
        <w:rPr>
          <w:sz w:val="24"/>
          <w:szCs w:val="24"/>
        </w:rPr>
        <w:t xml:space="preserve">  §</w:t>
      </w:r>
      <w:r w:rsidR="0084440F">
        <w:rPr>
          <w:sz w:val="24"/>
          <w:szCs w:val="24"/>
        </w:rPr>
        <w:t> </w:t>
      </w:r>
      <w:r w:rsidR="002F0381">
        <w:rPr>
          <w:sz w:val="24"/>
          <w:szCs w:val="24"/>
        </w:rPr>
        <w:t xml:space="preserve">1401 </w:t>
      </w:r>
      <w:r w:rsidR="002F0381" w:rsidRPr="002F0381">
        <w:rPr>
          <w:i/>
          <w:sz w:val="24"/>
          <w:szCs w:val="24"/>
        </w:rPr>
        <w:t>et seq.</w:t>
      </w:r>
      <w:r w:rsidR="002F0381">
        <w:rPr>
          <w:i/>
          <w:sz w:val="24"/>
          <w:szCs w:val="24"/>
        </w:rPr>
        <w:t xml:space="preserve">  </w:t>
      </w:r>
      <w:r w:rsidR="002F0381">
        <w:rPr>
          <w:sz w:val="24"/>
          <w:szCs w:val="24"/>
        </w:rPr>
        <w:t>Section 1405 of the Act prescribes the length of time for a customer to resolve an unpaid balance on an account that is subject to a payment arrangement.  For a customer not exceeding 150% of the federal poverty index that amount of time is 60 months, or five years.  The Complainant</w:t>
      </w:r>
      <w:r w:rsidR="008C0DFF">
        <w:rPr>
          <w:sz w:val="24"/>
          <w:szCs w:val="24"/>
        </w:rPr>
        <w:t>’s</w:t>
      </w:r>
      <w:r w:rsidR="002F0381">
        <w:rPr>
          <w:sz w:val="24"/>
          <w:szCs w:val="24"/>
        </w:rPr>
        <w:t xml:space="preserve"> household income per month is $1</w:t>
      </w:r>
      <w:r w:rsidR="0074631A">
        <w:rPr>
          <w:sz w:val="24"/>
          <w:szCs w:val="24"/>
        </w:rPr>
        <w:t>,</w:t>
      </w:r>
      <w:r w:rsidR="002F0381">
        <w:rPr>
          <w:sz w:val="24"/>
          <w:szCs w:val="24"/>
        </w:rPr>
        <w:t>925.  For a household of two, the Complainant meets the criteria</w:t>
      </w:r>
      <w:r w:rsidR="0074631A">
        <w:rPr>
          <w:sz w:val="24"/>
          <w:szCs w:val="24"/>
        </w:rPr>
        <w:t xml:space="preserve"> </w:t>
      </w:r>
      <w:r w:rsidR="002F0381">
        <w:rPr>
          <w:sz w:val="24"/>
          <w:szCs w:val="24"/>
        </w:rPr>
        <w:t xml:space="preserve">and can be provided with 60 months to address his arrearage.  </w:t>
      </w:r>
      <w:proofErr w:type="gramStart"/>
      <w:r w:rsidR="002F0381">
        <w:rPr>
          <w:sz w:val="24"/>
          <w:szCs w:val="24"/>
        </w:rPr>
        <w:t>66</w:t>
      </w:r>
      <w:r w:rsidR="0027606A">
        <w:rPr>
          <w:sz w:val="24"/>
          <w:szCs w:val="24"/>
        </w:rPr>
        <w:t> </w:t>
      </w:r>
      <w:r w:rsidR="002F0381">
        <w:rPr>
          <w:sz w:val="24"/>
          <w:szCs w:val="24"/>
        </w:rPr>
        <w:t>Pa.C.S.</w:t>
      </w:r>
      <w:proofErr w:type="gramEnd"/>
      <w:r w:rsidR="002F0381">
        <w:rPr>
          <w:sz w:val="24"/>
          <w:szCs w:val="24"/>
        </w:rPr>
        <w:t xml:space="preserve"> § 1407</w:t>
      </w:r>
      <w:r w:rsidR="00B61966">
        <w:rPr>
          <w:sz w:val="24"/>
          <w:szCs w:val="24"/>
        </w:rPr>
        <w:t>(b</w:t>
      </w:r>
      <w:proofErr w:type="gramStart"/>
      <w:r w:rsidR="00B61966">
        <w:rPr>
          <w:sz w:val="24"/>
          <w:szCs w:val="24"/>
        </w:rPr>
        <w:t>)(</w:t>
      </w:r>
      <w:proofErr w:type="gramEnd"/>
      <w:r w:rsidR="00B61966">
        <w:rPr>
          <w:sz w:val="24"/>
          <w:szCs w:val="24"/>
        </w:rPr>
        <w:t>1).</w:t>
      </w:r>
      <w:r w:rsidR="0074631A">
        <w:rPr>
          <w:sz w:val="24"/>
          <w:szCs w:val="24"/>
        </w:rPr>
        <w:t xml:space="preserve">  There is no greater time period allowed by law.</w:t>
      </w:r>
    </w:p>
    <w:p w:rsidR="003A370E" w:rsidRDefault="003A370E" w:rsidP="002625F2">
      <w:pPr>
        <w:spacing w:line="360" w:lineRule="auto"/>
        <w:ind w:firstLine="1440"/>
        <w:rPr>
          <w:sz w:val="24"/>
          <w:szCs w:val="24"/>
        </w:rPr>
      </w:pPr>
    </w:p>
    <w:p w:rsidR="003A370E" w:rsidRDefault="00F16C5A" w:rsidP="003A370E">
      <w:pPr>
        <w:pStyle w:val="Body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1966">
        <w:rPr>
          <w:sz w:val="24"/>
          <w:szCs w:val="24"/>
        </w:rPr>
        <w:t>Nonetheless, h</w:t>
      </w:r>
      <w:r w:rsidR="003A370E" w:rsidRPr="00D65444">
        <w:rPr>
          <w:sz w:val="24"/>
          <w:szCs w:val="24"/>
        </w:rPr>
        <w:t xml:space="preserve">owever the Complainant </w:t>
      </w:r>
      <w:r w:rsidR="003A370E">
        <w:rPr>
          <w:sz w:val="24"/>
          <w:szCs w:val="24"/>
        </w:rPr>
        <w:t xml:space="preserve">configures his household budget, he </w:t>
      </w:r>
      <w:r w:rsidR="003A370E" w:rsidRPr="00D65444">
        <w:rPr>
          <w:sz w:val="24"/>
          <w:szCs w:val="24"/>
        </w:rPr>
        <w:t xml:space="preserve">will have to pay </w:t>
      </w:r>
      <w:r w:rsidR="003A370E">
        <w:rPr>
          <w:sz w:val="24"/>
          <w:szCs w:val="24"/>
        </w:rPr>
        <w:t>PPL</w:t>
      </w:r>
      <w:r w:rsidR="003A370E" w:rsidRPr="00D65444">
        <w:rPr>
          <w:sz w:val="24"/>
          <w:szCs w:val="24"/>
        </w:rPr>
        <w:t xml:space="preserve"> for the electric service he consumes.  By law, a public utility is entitled to receive payment for the service it provides.</w:t>
      </w:r>
      <w:r w:rsidR="003A370E">
        <w:rPr>
          <w:sz w:val="24"/>
          <w:szCs w:val="24"/>
        </w:rPr>
        <w:t xml:space="preserve">  </w:t>
      </w:r>
      <w:proofErr w:type="spellStart"/>
      <w:proofErr w:type="gramStart"/>
      <w:r w:rsidR="003A370E" w:rsidRPr="003A370E">
        <w:rPr>
          <w:i/>
          <w:sz w:val="24"/>
          <w:szCs w:val="24"/>
        </w:rPr>
        <w:t>Scaccia</w:t>
      </w:r>
      <w:proofErr w:type="spellEnd"/>
      <w:r w:rsidR="003A370E" w:rsidRPr="003A370E">
        <w:rPr>
          <w:i/>
          <w:sz w:val="24"/>
          <w:szCs w:val="24"/>
        </w:rPr>
        <w:t xml:space="preserve"> v. West Penn Power Company</w:t>
      </w:r>
      <w:r w:rsidR="003A370E">
        <w:rPr>
          <w:sz w:val="24"/>
          <w:szCs w:val="24"/>
        </w:rPr>
        <w:t>, 55 Pa. PUC 637 (1982).</w:t>
      </w:r>
      <w:proofErr w:type="gramEnd"/>
      <w:r w:rsidR="003A370E">
        <w:rPr>
          <w:sz w:val="24"/>
          <w:szCs w:val="24"/>
        </w:rPr>
        <w:t xml:space="preserve">  Otherwise, unpaid bills are included in the utility’s uncollectible expenses, which all of its remaining customers must pay.  </w:t>
      </w:r>
      <w:r w:rsidR="003A370E" w:rsidRPr="003A370E">
        <w:rPr>
          <w:i/>
          <w:sz w:val="24"/>
          <w:szCs w:val="24"/>
        </w:rPr>
        <w:t>Bolt v. Duquesne Light Company</w:t>
      </w:r>
      <w:r w:rsidR="003A370E">
        <w:rPr>
          <w:sz w:val="24"/>
          <w:szCs w:val="24"/>
        </w:rPr>
        <w:t>, Docket No. </w:t>
      </w:r>
      <w:proofErr w:type="gramStart"/>
      <w:r w:rsidR="003A370E">
        <w:rPr>
          <w:sz w:val="24"/>
          <w:szCs w:val="24"/>
        </w:rPr>
        <w:t>Z</w:t>
      </w:r>
      <w:r w:rsidR="003A370E">
        <w:rPr>
          <w:sz w:val="24"/>
          <w:szCs w:val="24"/>
        </w:rPr>
        <w:noBreakHyphen/>
        <w:t>8712758 (Order entered April 8, 1988).</w:t>
      </w:r>
      <w:proofErr w:type="gramEnd"/>
      <w:r w:rsidR="003A370E" w:rsidRPr="00D65444">
        <w:rPr>
          <w:sz w:val="24"/>
          <w:szCs w:val="24"/>
        </w:rPr>
        <w:t xml:space="preserve">  No public utility may receive a greater or lesser rate than the one set forth in its tariff on file with this Commission.  </w:t>
      </w:r>
      <w:proofErr w:type="gramStart"/>
      <w:r w:rsidR="003A370E" w:rsidRPr="00D65444">
        <w:rPr>
          <w:sz w:val="24"/>
          <w:szCs w:val="24"/>
        </w:rPr>
        <w:t>66 Pa.C.S.</w:t>
      </w:r>
      <w:proofErr w:type="gramEnd"/>
      <w:r w:rsidR="003A370E" w:rsidRPr="00D65444">
        <w:rPr>
          <w:sz w:val="24"/>
          <w:szCs w:val="24"/>
        </w:rPr>
        <w:t xml:space="preserve"> §</w:t>
      </w:r>
      <w:r w:rsidR="003A370E">
        <w:rPr>
          <w:sz w:val="24"/>
          <w:szCs w:val="24"/>
        </w:rPr>
        <w:t xml:space="preserve"> </w:t>
      </w:r>
      <w:r w:rsidR="003A370E" w:rsidRPr="00D65444">
        <w:rPr>
          <w:sz w:val="24"/>
          <w:szCs w:val="24"/>
        </w:rPr>
        <w:t xml:space="preserve">1303.  Neither may a public utility unreasonably discriminate for or against a particular customer by establishing a special rate for them.  </w:t>
      </w:r>
      <w:proofErr w:type="gramStart"/>
      <w:r w:rsidR="003A370E" w:rsidRPr="00D65444">
        <w:rPr>
          <w:sz w:val="24"/>
          <w:szCs w:val="24"/>
        </w:rPr>
        <w:t>66 Pa.C.S.</w:t>
      </w:r>
      <w:proofErr w:type="gramEnd"/>
      <w:r w:rsidR="003A370E" w:rsidRPr="00D65444">
        <w:rPr>
          <w:sz w:val="24"/>
          <w:szCs w:val="24"/>
        </w:rPr>
        <w:t xml:space="preserve"> §</w:t>
      </w:r>
      <w:r w:rsidR="003A370E">
        <w:rPr>
          <w:sz w:val="24"/>
          <w:szCs w:val="24"/>
        </w:rPr>
        <w:t xml:space="preserve"> </w:t>
      </w:r>
      <w:r w:rsidR="003A370E" w:rsidRPr="00D65444">
        <w:rPr>
          <w:sz w:val="24"/>
          <w:szCs w:val="24"/>
        </w:rPr>
        <w:t xml:space="preserve">1304.  Therefore, </w:t>
      </w:r>
      <w:r w:rsidR="003A370E">
        <w:rPr>
          <w:sz w:val="24"/>
          <w:szCs w:val="24"/>
        </w:rPr>
        <w:t>some payment plan must be established, regardless of the Complainant’s limited income.</w:t>
      </w:r>
    </w:p>
    <w:p w:rsidR="009D5264" w:rsidRDefault="009D5264" w:rsidP="003A216A">
      <w:pPr>
        <w:pStyle w:val="BodyText"/>
        <w:spacing w:after="0" w:line="360" w:lineRule="auto"/>
        <w:ind w:firstLine="1440"/>
        <w:rPr>
          <w:sz w:val="24"/>
          <w:szCs w:val="24"/>
        </w:rPr>
      </w:pPr>
    </w:p>
    <w:p w:rsidR="003A370E" w:rsidRDefault="003A370E" w:rsidP="00E00410">
      <w:pPr>
        <w:pStyle w:val="BodyText"/>
        <w:spacing w:after="0"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 Complainant has used the benefits of budget billing since October of 2012.  His budget billing monthly payment has ranged from a low of $244 in 2012</w:t>
      </w:r>
      <w:r w:rsidR="001614FE">
        <w:rPr>
          <w:sz w:val="24"/>
          <w:szCs w:val="24"/>
        </w:rPr>
        <w:t>,</w:t>
      </w:r>
      <w:r>
        <w:rPr>
          <w:sz w:val="24"/>
          <w:szCs w:val="24"/>
        </w:rPr>
        <w:t xml:space="preserve"> to a high of $413 in 2014.  Budget billing annualizes a customer’s usage making it easier to pay for the high usage periods by paying for them through the low usage periods.  A customer’s budget billing amount is recalculated and adjusted according to one’s usage every three months, or quarterly.  It allows a customer to pay a similar amount each month and have the knowledge that each month will be about the same rather than highs and lows</w:t>
      </w:r>
      <w:r w:rsidR="0074631A">
        <w:rPr>
          <w:sz w:val="24"/>
          <w:szCs w:val="24"/>
        </w:rPr>
        <w:t xml:space="preserve"> which are very difficult on a fixed income.</w:t>
      </w:r>
      <w:r>
        <w:rPr>
          <w:sz w:val="24"/>
          <w:szCs w:val="24"/>
        </w:rPr>
        <w:t xml:space="preserve">  </w:t>
      </w:r>
      <w:r w:rsidR="0074631A">
        <w:rPr>
          <w:sz w:val="24"/>
          <w:szCs w:val="24"/>
        </w:rPr>
        <w:t>Budget billing</w:t>
      </w:r>
      <w:r>
        <w:rPr>
          <w:sz w:val="24"/>
          <w:szCs w:val="24"/>
        </w:rPr>
        <w:t xml:space="preserve"> is a very beneficial tool for individuals with financial hardships</w:t>
      </w:r>
      <w:r w:rsidR="0074631A">
        <w:rPr>
          <w:sz w:val="24"/>
          <w:szCs w:val="24"/>
        </w:rPr>
        <w:t xml:space="preserve"> and a fixed income</w:t>
      </w:r>
      <w:r>
        <w:rPr>
          <w:sz w:val="24"/>
          <w:szCs w:val="24"/>
        </w:rPr>
        <w:t>.</w:t>
      </w:r>
    </w:p>
    <w:p w:rsidR="009D5264" w:rsidRDefault="009D5264" w:rsidP="003A216A">
      <w:pPr>
        <w:pStyle w:val="BodyText"/>
        <w:spacing w:after="0" w:line="360" w:lineRule="auto"/>
        <w:ind w:firstLine="1440"/>
        <w:rPr>
          <w:sz w:val="24"/>
          <w:szCs w:val="24"/>
        </w:rPr>
      </w:pPr>
    </w:p>
    <w:p w:rsidR="0074631A" w:rsidRDefault="009D5264" w:rsidP="003A370E">
      <w:pPr>
        <w:pStyle w:val="Body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The BCS informal decision was a budget bill of $400 plus $47 toward the arrearages.  That amount is no longer correct because after one of the budget billing recalculations </w:t>
      </w:r>
      <w:r w:rsidR="00A43D45">
        <w:rPr>
          <w:sz w:val="24"/>
          <w:szCs w:val="24"/>
        </w:rPr>
        <w:t xml:space="preserve">it was determined that </w:t>
      </w:r>
      <w:r>
        <w:rPr>
          <w:sz w:val="24"/>
          <w:szCs w:val="24"/>
        </w:rPr>
        <w:t>the Complainant was using more electricity</w:t>
      </w:r>
      <w:r w:rsidR="0074631A">
        <w:rPr>
          <w:sz w:val="24"/>
          <w:szCs w:val="24"/>
        </w:rPr>
        <w:t xml:space="preserve"> </w:t>
      </w:r>
      <w:r w:rsidR="00B14085">
        <w:rPr>
          <w:sz w:val="24"/>
          <w:szCs w:val="24"/>
        </w:rPr>
        <w:t>–</w:t>
      </w:r>
      <w:r>
        <w:rPr>
          <w:sz w:val="24"/>
          <w:szCs w:val="24"/>
        </w:rPr>
        <w:t xml:space="preserve"> so the amount changed to</w:t>
      </w:r>
      <w:r w:rsidR="00A43D45">
        <w:rPr>
          <w:sz w:val="24"/>
          <w:szCs w:val="24"/>
        </w:rPr>
        <w:t xml:space="preserve"> a higher monthly payment amount</w:t>
      </w:r>
      <w:r>
        <w:rPr>
          <w:sz w:val="24"/>
          <w:szCs w:val="24"/>
        </w:rPr>
        <w:t xml:space="preserve">, plus his arrearage had increased due to </w:t>
      </w:r>
      <w:r w:rsidR="001614FE">
        <w:rPr>
          <w:sz w:val="24"/>
          <w:szCs w:val="24"/>
        </w:rPr>
        <w:t xml:space="preserve">his making </w:t>
      </w:r>
      <w:r>
        <w:rPr>
          <w:sz w:val="24"/>
          <w:szCs w:val="24"/>
        </w:rPr>
        <w:t xml:space="preserve">low payments, therefore, </w:t>
      </w:r>
      <w:r w:rsidR="001614FE">
        <w:rPr>
          <w:sz w:val="24"/>
          <w:szCs w:val="24"/>
        </w:rPr>
        <w:t>the budget billing amount had to be</w:t>
      </w:r>
      <w:r>
        <w:rPr>
          <w:sz w:val="24"/>
          <w:szCs w:val="24"/>
        </w:rPr>
        <w:t xml:space="preserve"> raised.  </w:t>
      </w:r>
    </w:p>
    <w:p w:rsidR="0074631A" w:rsidRDefault="0074631A" w:rsidP="003A216A">
      <w:pPr>
        <w:pStyle w:val="BodyText"/>
        <w:spacing w:after="0" w:line="360" w:lineRule="auto"/>
        <w:ind w:firstLine="1440"/>
        <w:rPr>
          <w:sz w:val="24"/>
          <w:szCs w:val="24"/>
        </w:rPr>
      </w:pPr>
    </w:p>
    <w:p w:rsidR="009D5264" w:rsidRDefault="009D5264" w:rsidP="003A370E">
      <w:pPr>
        <w:pStyle w:val="Body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PPL recalculated both amounts</w:t>
      </w:r>
      <w:r w:rsidR="001614FE">
        <w:rPr>
          <w:sz w:val="24"/>
          <w:szCs w:val="24"/>
        </w:rPr>
        <w:t>,</w:t>
      </w:r>
      <w:r>
        <w:rPr>
          <w:sz w:val="24"/>
          <w:szCs w:val="24"/>
        </w:rPr>
        <w:t xml:space="preserve"> in preparation for this hearing</w:t>
      </w:r>
      <w:r w:rsidR="001614FE">
        <w:rPr>
          <w:sz w:val="24"/>
          <w:szCs w:val="24"/>
        </w:rPr>
        <w:t>,</w:t>
      </w:r>
      <w:r>
        <w:rPr>
          <w:sz w:val="24"/>
          <w:szCs w:val="24"/>
        </w:rPr>
        <w:t xml:space="preserve"> and those amounts appear </w:t>
      </w:r>
      <w:r w:rsidR="001614FE">
        <w:rPr>
          <w:sz w:val="24"/>
          <w:szCs w:val="24"/>
        </w:rPr>
        <w:t xml:space="preserve">several paragraphs </w:t>
      </w:r>
      <w:r>
        <w:rPr>
          <w:sz w:val="24"/>
          <w:szCs w:val="24"/>
        </w:rPr>
        <w:t xml:space="preserve">above.  </w:t>
      </w:r>
      <w:proofErr w:type="gramStart"/>
      <w:r>
        <w:rPr>
          <w:sz w:val="24"/>
          <w:szCs w:val="24"/>
        </w:rPr>
        <w:t>($406 budget billing plus $62 toward the arrearage for a monthly total of $468).</w:t>
      </w:r>
      <w:proofErr w:type="gramEnd"/>
      <w:r>
        <w:rPr>
          <w:sz w:val="24"/>
          <w:szCs w:val="24"/>
        </w:rPr>
        <w:t xml:space="preserve">  The budget billing amount and arrea</w:t>
      </w:r>
      <w:r w:rsidR="002F0381">
        <w:rPr>
          <w:sz w:val="24"/>
          <w:szCs w:val="24"/>
        </w:rPr>
        <w:t>ra</w:t>
      </w:r>
      <w:r>
        <w:rPr>
          <w:sz w:val="24"/>
          <w:szCs w:val="24"/>
        </w:rPr>
        <w:t xml:space="preserve">ge will continually fluctuate </w:t>
      </w:r>
      <w:r w:rsidR="002F0381">
        <w:rPr>
          <w:sz w:val="24"/>
          <w:szCs w:val="24"/>
        </w:rPr>
        <w:t xml:space="preserve">every three months </w:t>
      </w:r>
      <w:r>
        <w:rPr>
          <w:sz w:val="24"/>
          <w:szCs w:val="24"/>
        </w:rPr>
        <w:t>depending on both the Complainant’s payment history and usage history.</w:t>
      </w:r>
      <w:r w:rsidR="002F0381">
        <w:rPr>
          <w:sz w:val="24"/>
          <w:szCs w:val="24"/>
        </w:rPr>
        <w:t xml:space="preserve">  </w:t>
      </w:r>
      <w:r w:rsidR="00A43D45">
        <w:rPr>
          <w:sz w:val="24"/>
          <w:szCs w:val="24"/>
        </w:rPr>
        <w:t xml:space="preserve">PPL allowed </w:t>
      </w:r>
      <w:r w:rsidR="00700FBF">
        <w:rPr>
          <w:sz w:val="24"/>
          <w:szCs w:val="24"/>
        </w:rPr>
        <w:t>5 years or 60 months for the Complainant to pay back his arrearage as allowed by law.</w:t>
      </w:r>
    </w:p>
    <w:p w:rsidR="0074631A" w:rsidRDefault="0074631A" w:rsidP="003A216A">
      <w:pPr>
        <w:pStyle w:val="BodyText"/>
        <w:spacing w:after="0" w:line="360" w:lineRule="auto"/>
        <w:ind w:firstLine="1440"/>
        <w:rPr>
          <w:sz w:val="24"/>
          <w:szCs w:val="24"/>
        </w:rPr>
      </w:pPr>
    </w:p>
    <w:p w:rsidR="00D61231" w:rsidRPr="00D61231" w:rsidRDefault="00462495" w:rsidP="00B61966">
      <w:pPr>
        <w:pStyle w:val="Body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There is</w:t>
      </w:r>
      <w:r w:rsidR="00B61966">
        <w:rPr>
          <w:sz w:val="24"/>
          <w:szCs w:val="24"/>
        </w:rPr>
        <w:t xml:space="preserve"> nothing incorrect or illegal about PPL’s payment arrangement</w:t>
      </w:r>
      <w:r w:rsidR="001614FE">
        <w:rPr>
          <w:sz w:val="24"/>
          <w:szCs w:val="24"/>
        </w:rPr>
        <w:t xml:space="preserve"> or BCS’s earlier payment arrangement based upon the earlier numbers.</w:t>
      </w:r>
      <w:r w:rsidR="00B61966">
        <w:rPr>
          <w:sz w:val="24"/>
          <w:szCs w:val="24"/>
        </w:rPr>
        <w:t xml:space="preserve"> </w:t>
      </w:r>
      <w:r w:rsidR="006569F4">
        <w:rPr>
          <w:sz w:val="24"/>
          <w:szCs w:val="24"/>
        </w:rPr>
        <w:t xml:space="preserve"> </w:t>
      </w:r>
      <w:r w:rsidR="0074631A" w:rsidRPr="00614336">
        <w:rPr>
          <w:spacing w:val="-3"/>
          <w:sz w:val="24"/>
          <w:szCs w:val="24"/>
        </w:rPr>
        <w:t>To establish a sufficient case and satisfy the burden of proof,</w:t>
      </w:r>
      <w:r w:rsidR="0074631A">
        <w:rPr>
          <w:spacing w:val="-3"/>
          <w:sz w:val="24"/>
          <w:szCs w:val="24"/>
        </w:rPr>
        <w:t xml:space="preserve"> the</w:t>
      </w:r>
      <w:r w:rsidR="0074631A" w:rsidRPr="00614336">
        <w:rPr>
          <w:spacing w:val="-3"/>
          <w:sz w:val="24"/>
          <w:szCs w:val="24"/>
        </w:rPr>
        <w:t xml:space="preserve"> </w:t>
      </w:r>
      <w:r w:rsidR="0074631A">
        <w:rPr>
          <w:spacing w:val="-3"/>
          <w:sz w:val="24"/>
          <w:szCs w:val="24"/>
        </w:rPr>
        <w:t>Complainant</w:t>
      </w:r>
      <w:r w:rsidR="0074631A" w:rsidRPr="00614336">
        <w:rPr>
          <w:spacing w:val="-3"/>
          <w:sz w:val="24"/>
          <w:szCs w:val="24"/>
        </w:rPr>
        <w:t xml:space="preserve"> must show that the </w:t>
      </w:r>
      <w:r w:rsidR="0074631A">
        <w:rPr>
          <w:spacing w:val="-3"/>
          <w:sz w:val="24"/>
          <w:szCs w:val="24"/>
        </w:rPr>
        <w:t>Respondent</w:t>
      </w:r>
      <w:r w:rsidR="0074631A" w:rsidRPr="00614336">
        <w:rPr>
          <w:spacing w:val="-3"/>
          <w:sz w:val="24"/>
          <w:szCs w:val="24"/>
        </w:rPr>
        <w:t xml:space="preserve"> public utility is responsible or accountable for the problem described in the Complaint.  </w:t>
      </w:r>
      <w:proofErr w:type="gramStart"/>
      <w:r w:rsidR="0074631A" w:rsidRPr="0073245F">
        <w:rPr>
          <w:i/>
          <w:spacing w:val="-3"/>
          <w:sz w:val="24"/>
          <w:szCs w:val="24"/>
        </w:rPr>
        <w:t>Patterson v. Bell Telephone Company of Pennsylvania</w:t>
      </w:r>
      <w:r w:rsidR="0074631A" w:rsidRPr="00614336">
        <w:rPr>
          <w:spacing w:val="-3"/>
          <w:sz w:val="24"/>
          <w:szCs w:val="24"/>
        </w:rPr>
        <w:t>, 72 P</w:t>
      </w:r>
      <w:r w:rsidR="0074631A">
        <w:rPr>
          <w:spacing w:val="-3"/>
          <w:sz w:val="24"/>
          <w:szCs w:val="24"/>
        </w:rPr>
        <w:t>a.</w:t>
      </w:r>
      <w:r w:rsidR="0074631A" w:rsidRPr="00614336">
        <w:rPr>
          <w:spacing w:val="-3"/>
          <w:sz w:val="24"/>
          <w:szCs w:val="24"/>
        </w:rPr>
        <w:t xml:space="preserve"> PUC 196</w:t>
      </w:r>
      <w:r w:rsidR="0074631A">
        <w:rPr>
          <w:spacing w:val="-3"/>
          <w:sz w:val="24"/>
          <w:szCs w:val="24"/>
        </w:rPr>
        <w:t xml:space="preserve"> (</w:t>
      </w:r>
      <w:r w:rsidR="0074631A" w:rsidRPr="00614336">
        <w:rPr>
          <w:spacing w:val="-3"/>
          <w:sz w:val="24"/>
          <w:szCs w:val="24"/>
        </w:rPr>
        <w:t xml:space="preserve">1990), </w:t>
      </w:r>
      <w:r w:rsidR="0074631A" w:rsidRPr="0073245F">
        <w:rPr>
          <w:i/>
          <w:spacing w:val="-3"/>
          <w:sz w:val="24"/>
          <w:szCs w:val="24"/>
        </w:rPr>
        <w:t>Feinstein v. Philadelphia Suburban Water Company</w:t>
      </w:r>
      <w:r w:rsidR="0074631A" w:rsidRPr="00614336">
        <w:rPr>
          <w:spacing w:val="-3"/>
          <w:sz w:val="24"/>
          <w:szCs w:val="24"/>
        </w:rPr>
        <w:t>, 50 P</w:t>
      </w:r>
      <w:r w:rsidR="0074631A">
        <w:rPr>
          <w:spacing w:val="-3"/>
          <w:sz w:val="24"/>
          <w:szCs w:val="24"/>
        </w:rPr>
        <w:t>a.</w:t>
      </w:r>
      <w:r w:rsidR="0074631A" w:rsidRPr="00614336">
        <w:rPr>
          <w:spacing w:val="-3"/>
          <w:sz w:val="24"/>
          <w:szCs w:val="24"/>
        </w:rPr>
        <w:t xml:space="preserve"> PUC 300</w:t>
      </w:r>
      <w:r w:rsidR="0074631A">
        <w:rPr>
          <w:spacing w:val="-3"/>
          <w:sz w:val="24"/>
          <w:szCs w:val="24"/>
        </w:rPr>
        <w:t xml:space="preserve"> </w:t>
      </w:r>
      <w:r w:rsidR="0074631A" w:rsidRPr="00614336">
        <w:rPr>
          <w:spacing w:val="-3"/>
          <w:sz w:val="24"/>
          <w:szCs w:val="24"/>
        </w:rPr>
        <w:t>(1976).</w:t>
      </w:r>
      <w:proofErr w:type="gramEnd"/>
      <w:r w:rsidR="0074631A" w:rsidRPr="00614336">
        <w:rPr>
          <w:spacing w:val="-3"/>
          <w:sz w:val="24"/>
          <w:szCs w:val="24"/>
        </w:rPr>
        <w:t xml:space="preserve"> </w:t>
      </w:r>
      <w:r w:rsidR="0074631A">
        <w:rPr>
          <w:sz w:val="24"/>
          <w:szCs w:val="24"/>
        </w:rPr>
        <w:t xml:space="preserve"> The Complainant failed to meet his burden of proof.</w:t>
      </w:r>
      <w:r>
        <w:rPr>
          <w:sz w:val="24"/>
          <w:szCs w:val="24"/>
        </w:rPr>
        <w:t xml:space="preserve">  PPL’s payment arrangement is the best available to the Complainant.</w:t>
      </w:r>
    </w:p>
    <w:p w:rsidR="0074631A" w:rsidRDefault="0074631A" w:rsidP="00A470ED">
      <w:pPr>
        <w:spacing w:line="360" w:lineRule="auto"/>
        <w:jc w:val="center"/>
        <w:rPr>
          <w:sz w:val="24"/>
          <w:szCs w:val="24"/>
          <w:u w:val="single"/>
        </w:rPr>
      </w:pPr>
    </w:p>
    <w:p w:rsidR="00A470ED" w:rsidRDefault="00FC4DD1" w:rsidP="00A470ED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CONC</w:t>
      </w:r>
      <w:r w:rsidR="00C419F9">
        <w:rPr>
          <w:sz w:val="24"/>
          <w:szCs w:val="24"/>
          <w:u w:val="single"/>
        </w:rPr>
        <w:t>LUSIONS OF LAW</w:t>
      </w:r>
    </w:p>
    <w:p w:rsidR="00A470ED" w:rsidRDefault="00A470ED" w:rsidP="00A470ED">
      <w:pPr>
        <w:spacing w:line="360" w:lineRule="auto"/>
        <w:jc w:val="center"/>
        <w:rPr>
          <w:sz w:val="24"/>
          <w:szCs w:val="24"/>
          <w:u w:val="single"/>
        </w:rPr>
      </w:pPr>
    </w:p>
    <w:p w:rsidR="0074631A" w:rsidRPr="0074631A" w:rsidRDefault="0074631A" w:rsidP="00B61966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 w:rsidRPr="00A941C5">
        <w:rPr>
          <w:sz w:val="24"/>
          <w:szCs w:val="24"/>
        </w:rPr>
        <w:t xml:space="preserve">As the party seeking affirmative relief from the Commission, </w:t>
      </w:r>
      <w:r>
        <w:rPr>
          <w:sz w:val="24"/>
          <w:szCs w:val="24"/>
        </w:rPr>
        <w:t xml:space="preserve">the Complainant </w:t>
      </w:r>
      <w:r w:rsidRPr="00A941C5">
        <w:rPr>
          <w:sz w:val="24"/>
          <w:szCs w:val="24"/>
        </w:rPr>
        <w:t>bear</w:t>
      </w:r>
      <w:r>
        <w:rPr>
          <w:sz w:val="24"/>
          <w:szCs w:val="24"/>
        </w:rPr>
        <w:t>s</w:t>
      </w:r>
      <w:r w:rsidRPr="00A941C5">
        <w:rPr>
          <w:sz w:val="24"/>
          <w:szCs w:val="24"/>
        </w:rPr>
        <w:t xml:space="preserve"> the burden of proof.  </w:t>
      </w:r>
      <w:proofErr w:type="gramStart"/>
      <w:r w:rsidRPr="00A941C5">
        <w:rPr>
          <w:sz w:val="24"/>
          <w:szCs w:val="24"/>
        </w:rPr>
        <w:t>66 Pa.C.S.</w:t>
      </w:r>
      <w:proofErr w:type="gramEnd"/>
      <w:r w:rsidRPr="00A941C5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A941C5">
        <w:rPr>
          <w:sz w:val="24"/>
          <w:szCs w:val="24"/>
        </w:rPr>
        <w:t>332(a).</w:t>
      </w:r>
      <w:r>
        <w:rPr>
          <w:sz w:val="24"/>
          <w:szCs w:val="24"/>
        </w:rPr>
        <w:t xml:space="preserve">  </w:t>
      </w:r>
    </w:p>
    <w:p w:rsidR="0074631A" w:rsidRPr="0074631A" w:rsidRDefault="0074631A" w:rsidP="0074631A">
      <w:pPr>
        <w:pStyle w:val="ListParagraph"/>
        <w:spacing w:line="360" w:lineRule="auto"/>
        <w:ind w:left="1440"/>
        <w:rPr>
          <w:sz w:val="24"/>
          <w:szCs w:val="24"/>
          <w:u w:val="single"/>
        </w:rPr>
      </w:pPr>
    </w:p>
    <w:p w:rsidR="00B61966" w:rsidRPr="0074631A" w:rsidRDefault="0074631A" w:rsidP="00B61966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 w:rsidRPr="00614336">
        <w:rPr>
          <w:spacing w:val="-3"/>
          <w:sz w:val="24"/>
          <w:szCs w:val="24"/>
        </w:rPr>
        <w:t>To establish a sufficient case and satisfy the burden of proof,</w:t>
      </w:r>
      <w:r>
        <w:rPr>
          <w:spacing w:val="-3"/>
          <w:sz w:val="24"/>
          <w:szCs w:val="24"/>
        </w:rPr>
        <w:t xml:space="preserve"> the</w:t>
      </w:r>
      <w:r w:rsidRPr="00614336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Complainant</w:t>
      </w:r>
      <w:r w:rsidRPr="00614336">
        <w:rPr>
          <w:spacing w:val="-3"/>
          <w:sz w:val="24"/>
          <w:szCs w:val="24"/>
        </w:rPr>
        <w:t xml:space="preserve"> must show that the </w:t>
      </w:r>
      <w:r>
        <w:rPr>
          <w:spacing w:val="-3"/>
          <w:sz w:val="24"/>
          <w:szCs w:val="24"/>
        </w:rPr>
        <w:t>Respondent</w:t>
      </w:r>
      <w:r w:rsidRPr="00614336">
        <w:rPr>
          <w:spacing w:val="-3"/>
          <w:sz w:val="24"/>
          <w:szCs w:val="24"/>
        </w:rPr>
        <w:t xml:space="preserve"> public utility is responsible or accountable for the problem described in the Complaint.  </w:t>
      </w:r>
      <w:r w:rsidRPr="0073245F">
        <w:rPr>
          <w:i/>
          <w:spacing w:val="-3"/>
          <w:sz w:val="24"/>
          <w:szCs w:val="24"/>
        </w:rPr>
        <w:t>Patterson v. Bell Telephone Company of Pennsylvania</w:t>
      </w:r>
      <w:r w:rsidRPr="00614336">
        <w:rPr>
          <w:spacing w:val="-3"/>
          <w:sz w:val="24"/>
          <w:szCs w:val="24"/>
        </w:rPr>
        <w:t>, 72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196</w:t>
      </w:r>
      <w:r>
        <w:rPr>
          <w:spacing w:val="-3"/>
          <w:sz w:val="24"/>
          <w:szCs w:val="24"/>
        </w:rPr>
        <w:t xml:space="preserve"> (</w:t>
      </w:r>
      <w:r w:rsidRPr="00614336">
        <w:rPr>
          <w:spacing w:val="-3"/>
          <w:sz w:val="24"/>
          <w:szCs w:val="24"/>
        </w:rPr>
        <w:t xml:space="preserve">1990), </w:t>
      </w:r>
      <w:r w:rsidRPr="0073245F">
        <w:rPr>
          <w:i/>
          <w:spacing w:val="-3"/>
          <w:sz w:val="24"/>
          <w:szCs w:val="24"/>
        </w:rPr>
        <w:t>Feinstein v. Philadelphia Suburban Water Company</w:t>
      </w:r>
      <w:r w:rsidRPr="00614336">
        <w:rPr>
          <w:spacing w:val="-3"/>
          <w:sz w:val="24"/>
          <w:szCs w:val="24"/>
        </w:rPr>
        <w:t>, 50 P</w:t>
      </w:r>
      <w:r>
        <w:rPr>
          <w:spacing w:val="-3"/>
          <w:sz w:val="24"/>
          <w:szCs w:val="24"/>
        </w:rPr>
        <w:t>a.</w:t>
      </w:r>
      <w:r w:rsidRPr="00614336">
        <w:rPr>
          <w:spacing w:val="-3"/>
          <w:sz w:val="24"/>
          <w:szCs w:val="24"/>
        </w:rPr>
        <w:t xml:space="preserve"> PUC 300</w:t>
      </w:r>
      <w:r>
        <w:rPr>
          <w:spacing w:val="-3"/>
          <w:sz w:val="24"/>
          <w:szCs w:val="24"/>
        </w:rPr>
        <w:t xml:space="preserve"> </w:t>
      </w:r>
      <w:r w:rsidRPr="00614336">
        <w:rPr>
          <w:spacing w:val="-3"/>
          <w:sz w:val="24"/>
          <w:szCs w:val="24"/>
        </w:rPr>
        <w:t>(1976).</w:t>
      </w:r>
    </w:p>
    <w:p w:rsidR="0074631A" w:rsidRPr="0074631A" w:rsidRDefault="0074631A" w:rsidP="003A216A">
      <w:pPr>
        <w:pStyle w:val="ListParagraph"/>
        <w:spacing w:line="360" w:lineRule="auto"/>
        <w:rPr>
          <w:sz w:val="24"/>
          <w:szCs w:val="24"/>
          <w:u w:val="single"/>
        </w:rPr>
      </w:pPr>
    </w:p>
    <w:p w:rsidR="0074631A" w:rsidRPr="0074631A" w:rsidRDefault="0074631A" w:rsidP="003A216A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 w:rsidRPr="00D65444">
        <w:rPr>
          <w:sz w:val="24"/>
          <w:szCs w:val="24"/>
        </w:rPr>
        <w:t>By law, a public utility is entitled to receive payment for the service it provides.</w:t>
      </w:r>
      <w:r>
        <w:rPr>
          <w:sz w:val="24"/>
          <w:szCs w:val="24"/>
        </w:rPr>
        <w:t xml:space="preserve">  </w:t>
      </w:r>
      <w:proofErr w:type="spellStart"/>
      <w:r w:rsidRPr="003A370E">
        <w:rPr>
          <w:i/>
          <w:sz w:val="24"/>
          <w:szCs w:val="24"/>
        </w:rPr>
        <w:t>Scaccia</w:t>
      </w:r>
      <w:proofErr w:type="spellEnd"/>
      <w:r w:rsidRPr="003A370E">
        <w:rPr>
          <w:i/>
          <w:sz w:val="24"/>
          <w:szCs w:val="24"/>
        </w:rPr>
        <w:t xml:space="preserve"> v. West Penn Power Company</w:t>
      </w:r>
      <w:r>
        <w:rPr>
          <w:sz w:val="24"/>
          <w:szCs w:val="24"/>
        </w:rPr>
        <w:t>, 55 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Pa.</w:t>
          </w:r>
        </w:smartTag>
      </w:smartTag>
      <w:r>
        <w:rPr>
          <w:sz w:val="24"/>
          <w:szCs w:val="24"/>
        </w:rPr>
        <w:t xml:space="preserve"> PUC 637 (1982).  </w:t>
      </w:r>
    </w:p>
    <w:p w:rsidR="0074631A" w:rsidRPr="0074631A" w:rsidRDefault="0074631A" w:rsidP="003A216A">
      <w:pPr>
        <w:pStyle w:val="ListParagraph"/>
        <w:spacing w:line="360" w:lineRule="auto"/>
        <w:rPr>
          <w:sz w:val="24"/>
          <w:szCs w:val="24"/>
        </w:rPr>
      </w:pPr>
    </w:p>
    <w:p w:rsidR="0074631A" w:rsidRPr="0074631A" w:rsidRDefault="0074631A" w:rsidP="003A216A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Unpaid bills are included in the utility’s uncollectible expenses, which all of its remaining customers must pay.  </w:t>
      </w:r>
      <w:r w:rsidRPr="003A370E">
        <w:rPr>
          <w:i/>
          <w:sz w:val="24"/>
          <w:szCs w:val="24"/>
        </w:rPr>
        <w:t>Bolt v. Duquesne Light Company</w:t>
      </w:r>
      <w:r>
        <w:rPr>
          <w:sz w:val="24"/>
          <w:szCs w:val="24"/>
        </w:rPr>
        <w:t>, Docket No. Z</w:t>
      </w:r>
      <w:r>
        <w:rPr>
          <w:sz w:val="24"/>
          <w:szCs w:val="24"/>
        </w:rPr>
        <w:noBreakHyphen/>
        <w:t>8712758 (Order entered April 8, 1988).</w:t>
      </w:r>
      <w:r w:rsidRPr="00D65444">
        <w:rPr>
          <w:sz w:val="24"/>
          <w:szCs w:val="24"/>
        </w:rPr>
        <w:t xml:space="preserve">  </w:t>
      </w:r>
    </w:p>
    <w:p w:rsidR="0074631A" w:rsidRPr="0074631A" w:rsidRDefault="0074631A" w:rsidP="003A216A">
      <w:pPr>
        <w:pStyle w:val="ListParagraph"/>
        <w:spacing w:line="360" w:lineRule="auto"/>
        <w:rPr>
          <w:sz w:val="24"/>
          <w:szCs w:val="24"/>
        </w:rPr>
      </w:pPr>
    </w:p>
    <w:p w:rsidR="0074631A" w:rsidRPr="0074631A" w:rsidRDefault="0074631A" w:rsidP="003A216A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 w:rsidRPr="00D65444">
        <w:rPr>
          <w:sz w:val="24"/>
          <w:szCs w:val="24"/>
        </w:rPr>
        <w:t xml:space="preserve">No public utility may receive a greater or lesser rate than the one set forth in its tariff on file with this Commission.  </w:t>
      </w:r>
      <w:proofErr w:type="gramStart"/>
      <w:r w:rsidRPr="00D65444">
        <w:rPr>
          <w:sz w:val="24"/>
          <w:szCs w:val="24"/>
        </w:rPr>
        <w:t>66 Pa.C.S.</w:t>
      </w:r>
      <w:proofErr w:type="gramEnd"/>
      <w:r w:rsidRPr="00D65444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D65444">
        <w:rPr>
          <w:sz w:val="24"/>
          <w:szCs w:val="24"/>
        </w:rPr>
        <w:t xml:space="preserve">1303.  </w:t>
      </w:r>
    </w:p>
    <w:p w:rsidR="0074631A" w:rsidRPr="0074631A" w:rsidRDefault="0074631A" w:rsidP="003A216A">
      <w:pPr>
        <w:pStyle w:val="ListParagraph"/>
        <w:spacing w:line="360" w:lineRule="auto"/>
        <w:rPr>
          <w:sz w:val="24"/>
          <w:szCs w:val="24"/>
        </w:rPr>
      </w:pPr>
    </w:p>
    <w:p w:rsidR="0074631A" w:rsidRPr="0074631A" w:rsidRDefault="0074631A" w:rsidP="003A216A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  <w:u w:val="single"/>
        </w:rPr>
      </w:pPr>
      <w:r w:rsidRPr="00D65444">
        <w:rPr>
          <w:sz w:val="24"/>
          <w:szCs w:val="24"/>
        </w:rPr>
        <w:t xml:space="preserve">Neither may a public utility unreasonably discriminate for or against a particular customer by establishing a special rate for them.  </w:t>
      </w:r>
      <w:proofErr w:type="gramStart"/>
      <w:r w:rsidRPr="00D65444">
        <w:rPr>
          <w:sz w:val="24"/>
          <w:szCs w:val="24"/>
        </w:rPr>
        <w:t>66 Pa.C.S.</w:t>
      </w:r>
      <w:proofErr w:type="gramEnd"/>
      <w:r w:rsidRPr="00D65444">
        <w:rPr>
          <w:sz w:val="24"/>
          <w:szCs w:val="24"/>
        </w:rPr>
        <w:t xml:space="preserve"> §</w:t>
      </w:r>
      <w:r>
        <w:rPr>
          <w:sz w:val="24"/>
          <w:szCs w:val="24"/>
        </w:rPr>
        <w:t xml:space="preserve"> </w:t>
      </w:r>
      <w:r w:rsidRPr="00D65444">
        <w:rPr>
          <w:sz w:val="24"/>
          <w:szCs w:val="24"/>
        </w:rPr>
        <w:t>1304.</w:t>
      </w:r>
    </w:p>
    <w:p w:rsidR="0074631A" w:rsidRPr="0074631A" w:rsidRDefault="0074631A" w:rsidP="003A216A">
      <w:pPr>
        <w:pStyle w:val="ListParagraph"/>
        <w:spacing w:line="360" w:lineRule="auto"/>
        <w:rPr>
          <w:sz w:val="24"/>
          <w:szCs w:val="24"/>
          <w:u w:val="single"/>
        </w:rPr>
      </w:pPr>
    </w:p>
    <w:p w:rsidR="0074631A" w:rsidRDefault="0074631A" w:rsidP="003A216A">
      <w:pPr>
        <w:pStyle w:val="ListParagraph"/>
        <w:numPr>
          <w:ilvl w:val="0"/>
          <w:numId w:val="27"/>
        </w:numPr>
        <w:spacing w:line="360" w:lineRule="auto"/>
        <w:ind w:left="0" w:firstLine="1440"/>
        <w:rPr>
          <w:sz w:val="24"/>
          <w:szCs w:val="24"/>
        </w:rPr>
      </w:pPr>
      <w:r w:rsidRPr="0074631A">
        <w:rPr>
          <w:sz w:val="24"/>
          <w:szCs w:val="24"/>
        </w:rPr>
        <w:t>The</w:t>
      </w:r>
      <w:r>
        <w:rPr>
          <w:sz w:val="24"/>
          <w:szCs w:val="24"/>
        </w:rPr>
        <w:t xml:space="preserve"> Complainant failed to meet his burden of proof.</w:t>
      </w:r>
    </w:p>
    <w:p w:rsidR="00462495" w:rsidRPr="00462495" w:rsidRDefault="00462495" w:rsidP="00462495">
      <w:pPr>
        <w:pStyle w:val="ListParagraph"/>
        <w:rPr>
          <w:sz w:val="24"/>
          <w:szCs w:val="24"/>
        </w:rPr>
      </w:pPr>
    </w:p>
    <w:p w:rsidR="009649FC" w:rsidRDefault="009649FC" w:rsidP="00A470ED">
      <w:pPr>
        <w:spacing w:line="360" w:lineRule="auto"/>
        <w:jc w:val="center"/>
        <w:rPr>
          <w:sz w:val="24"/>
          <w:szCs w:val="24"/>
          <w:u w:val="single"/>
        </w:rPr>
      </w:pPr>
      <w:r w:rsidRPr="009649FC">
        <w:rPr>
          <w:sz w:val="24"/>
          <w:szCs w:val="24"/>
          <w:u w:val="single"/>
        </w:rPr>
        <w:t>ORDER</w:t>
      </w:r>
    </w:p>
    <w:p w:rsidR="00311AD2" w:rsidRDefault="00311AD2" w:rsidP="00311AD2">
      <w:pPr>
        <w:spacing w:line="360" w:lineRule="auto"/>
        <w:ind w:right="-36" w:firstLine="1440"/>
        <w:rPr>
          <w:sz w:val="24"/>
          <w:szCs w:val="24"/>
        </w:rPr>
      </w:pPr>
    </w:p>
    <w:p w:rsidR="003A216A" w:rsidRPr="00311AD2" w:rsidRDefault="003A216A" w:rsidP="00311AD2">
      <w:pPr>
        <w:spacing w:line="360" w:lineRule="auto"/>
        <w:ind w:right="-36" w:firstLine="1440"/>
        <w:rPr>
          <w:sz w:val="24"/>
          <w:szCs w:val="24"/>
        </w:rPr>
      </w:pPr>
    </w:p>
    <w:p w:rsidR="00DE562E" w:rsidRDefault="00DE562E" w:rsidP="00C21F78">
      <w:pPr>
        <w:spacing w:line="360" w:lineRule="auto"/>
        <w:ind w:firstLine="1440"/>
        <w:rPr>
          <w:b/>
          <w:sz w:val="24"/>
          <w:szCs w:val="24"/>
        </w:rPr>
      </w:pPr>
      <w:r w:rsidRPr="00DE562E">
        <w:rPr>
          <w:sz w:val="24"/>
          <w:szCs w:val="24"/>
        </w:rPr>
        <w:t>THEREFORE,</w:t>
      </w:r>
      <w:r w:rsidR="00FE6157">
        <w:rPr>
          <w:sz w:val="24"/>
          <w:szCs w:val="24"/>
        </w:rPr>
        <w:t xml:space="preserve"> </w:t>
      </w:r>
    </w:p>
    <w:p w:rsidR="00BB3104" w:rsidRPr="002B19D4" w:rsidRDefault="00BB3104" w:rsidP="00BB3104">
      <w:pPr>
        <w:spacing w:line="360" w:lineRule="auto"/>
        <w:rPr>
          <w:b/>
          <w:sz w:val="24"/>
          <w:szCs w:val="24"/>
        </w:rPr>
      </w:pPr>
    </w:p>
    <w:p w:rsidR="00DE562E" w:rsidRDefault="00DE562E" w:rsidP="0081696C">
      <w:pPr>
        <w:spacing w:line="360" w:lineRule="auto"/>
        <w:ind w:firstLine="1440"/>
        <w:outlineLvl w:val="0"/>
        <w:rPr>
          <w:sz w:val="24"/>
          <w:szCs w:val="24"/>
        </w:rPr>
      </w:pPr>
      <w:r w:rsidRPr="00DE562E">
        <w:rPr>
          <w:sz w:val="24"/>
          <w:szCs w:val="24"/>
        </w:rPr>
        <w:t>IT IS ORDERED:</w:t>
      </w:r>
      <w:r w:rsidR="006D4BB7" w:rsidRPr="00DD2411">
        <w:rPr>
          <w:sz w:val="24"/>
          <w:szCs w:val="24"/>
        </w:rPr>
        <w:t xml:space="preserve"> </w:t>
      </w:r>
    </w:p>
    <w:p w:rsidR="00200FAE" w:rsidRDefault="00200FAE" w:rsidP="0081696C">
      <w:pPr>
        <w:spacing w:line="360" w:lineRule="auto"/>
        <w:ind w:firstLine="1440"/>
        <w:outlineLvl w:val="0"/>
        <w:rPr>
          <w:sz w:val="24"/>
          <w:szCs w:val="24"/>
        </w:rPr>
      </w:pPr>
    </w:p>
    <w:p w:rsidR="00311AD2" w:rsidRDefault="001C3BD8" w:rsidP="001C3BD8">
      <w:pPr>
        <w:pStyle w:val="ListParagraph"/>
        <w:numPr>
          <w:ilvl w:val="0"/>
          <w:numId w:val="28"/>
        </w:numPr>
        <w:tabs>
          <w:tab w:val="left" w:pos="2160"/>
        </w:tabs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That the Formal Complaint filed by Albert </w:t>
      </w:r>
      <w:proofErr w:type="spellStart"/>
      <w:r>
        <w:rPr>
          <w:sz w:val="24"/>
          <w:szCs w:val="24"/>
        </w:rPr>
        <w:t>Mushow</w:t>
      </w:r>
      <w:proofErr w:type="spellEnd"/>
      <w:r>
        <w:rPr>
          <w:sz w:val="24"/>
          <w:szCs w:val="24"/>
        </w:rPr>
        <w:t xml:space="preserve"> at Docket No. </w:t>
      </w:r>
      <w:r w:rsidR="00200FAE">
        <w:rPr>
          <w:sz w:val="24"/>
          <w:szCs w:val="24"/>
        </w:rPr>
        <w:t>F</w:t>
      </w:r>
      <w:r w:rsidR="005A2F92">
        <w:rPr>
          <w:sz w:val="24"/>
          <w:szCs w:val="24"/>
        </w:rPr>
        <w:noBreakHyphen/>
      </w:r>
      <w:r w:rsidR="00200FAE">
        <w:rPr>
          <w:sz w:val="24"/>
          <w:szCs w:val="24"/>
        </w:rPr>
        <w:t xml:space="preserve">2014-2459154 </w:t>
      </w:r>
      <w:r>
        <w:rPr>
          <w:sz w:val="24"/>
          <w:szCs w:val="24"/>
        </w:rPr>
        <w:t>is denied and dismissed.</w:t>
      </w:r>
    </w:p>
    <w:p w:rsidR="00200FAE" w:rsidRDefault="00200FAE" w:rsidP="00200FAE">
      <w:pPr>
        <w:pStyle w:val="ListParagraph"/>
        <w:tabs>
          <w:tab w:val="left" w:pos="2160"/>
        </w:tabs>
        <w:spacing w:line="360" w:lineRule="auto"/>
        <w:ind w:left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0FAE" w:rsidRPr="0074631A" w:rsidRDefault="00200FAE" w:rsidP="001C3BD8">
      <w:pPr>
        <w:pStyle w:val="ListParagraph"/>
        <w:numPr>
          <w:ilvl w:val="0"/>
          <w:numId w:val="28"/>
        </w:numPr>
        <w:tabs>
          <w:tab w:val="left" w:pos="2160"/>
        </w:tabs>
        <w:spacing w:line="360" w:lineRule="auto"/>
        <w:ind w:left="0"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That the Secretary’s Bureau mark Docket No. F-2014-2459154 closed. </w:t>
      </w:r>
    </w:p>
    <w:p w:rsidR="00BB3104" w:rsidRDefault="00BB3104" w:rsidP="00CE68C6">
      <w:pPr>
        <w:spacing w:line="360" w:lineRule="auto"/>
        <w:rPr>
          <w:sz w:val="24"/>
          <w:szCs w:val="24"/>
        </w:rPr>
      </w:pPr>
    </w:p>
    <w:p w:rsidR="003A216A" w:rsidRDefault="003A216A" w:rsidP="00CE68C6">
      <w:pPr>
        <w:spacing w:line="360" w:lineRule="auto"/>
        <w:rPr>
          <w:sz w:val="24"/>
          <w:szCs w:val="24"/>
        </w:rPr>
      </w:pPr>
    </w:p>
    <w:p w:rsidR="003A216A" w:rsidRDefault="003A216A" w:rsidP="00CE68C6">
      <w:pPr>
        <w:spacing w:line="360" w:lineRule="auto"/>
        <w:rPr>
          <w:sz w:val="24"/>
          <w:szCs w:val="24"/>
        </w:rPr>
      </w:pPr>
    </w:p>
    <w:p w:rsidR="009274B6" w:rsidRDefault="00DE562E" w:rsidP="009274B6">
      <w:r w:rsidRPr="00DE562E">
        <w:rPr>
          <w:sz w:val="24"/>
          <w:szCs w:val="24"/>
        </w:rPr>
        <w:t>Date:</w:t>
      </w:r>
      <w:r w:rsidR="003A216A">
        <w:rPr>
          <w:sz w:val="24"/>
          <w:szCs w:val="24"/>
        </w:rPr>
        <w:t xml:space="preserve">  </w:t>
      </w:r>
      <w:r w:rsidR="00200FAE" w:rsidRPr="003A216A">
        <w:rPr>
          <w:sz w:val="24"/>
          <w:szCs w:val="24"/>
          <w:u w:val="single"/>
        </w:rPr>
        <w:t>May 5, 2015</w:t>
      </w:r>
      <w:r w:rsidR="00A470ED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1F7F73">
        <w:rPr>
          <w:sz w:val="24"/>
          <w:szCs w:val="24"/>
        </w:rPr>
        <w:tab/>
      </w:r>
      <w:r w:rsidR="009274B6">
        <w:rPr>
          <w:sz w:val="24"/>
          <w:szCs w:val="24"/>
        </w:rPr>
        <w:tab/>
      </w:r>
      <w:r w:rsidR="009274B6" w:rsidRPr="009274B6">
        <w:rPr>
          <w:sz w:val="24"/>
          <w:szCs w:val="24"/>
          <w:u w:val="single"/>
        </w:rPr>
        <w:tab/>
      </w:r>
      <w:r w:rsidR="009274B6" w:rsidRPr="009274B6">
        <w:rPr>
          <w:sz w:val="24"/>
          <w:szCs w:val="24"/>
          <w:u w:val="single"/>
        </w:rPr>
        <w:tab/>
        <w:t>/s/</w:t>
      </w:r>
      <w:r w:rsidR="009274B6" w:rsidRPr="009274B6">
        <w:rPr>
          <w:sz w:val="24"/>
          <w:szCs w:val="24"/>
          <w:u w:val="single"/>
        </w:rPr>
        <w:tab/>
      </w:r>
      <w:r w:rsidR="009274B6" w:rsidRPr="009274B6">
        <w:rPr>
          <w:sz w:val="24"/>
          <w:szCs w:val="24"/>
          <w:u w:val="single"/>
        </w:rPr>
        <w:tab/>
      </w:r>
      <w:r w:rsidR="009274B6">
        <w:rPr>
          <w:u w:val="single"/>
        </w:rPr>
        <w:tab/>
      </w:r>
    </w:p>
    <w:p w:rsidR="00DE562E" w:rsidRPr="00DE562E" w:rsidRDefault="001F7F73" w:rsidP="00DE56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1F78">
        <w:rPr>
          <w:b/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DE562E"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9274B6">
        <w:rPr>
          <w:sz w:val="24"/>
          <w:szCs w:val="24"/>
        </w:rPr>
        <w:tab/>
      </w:r>
      <w:r>
        <w:rPr>
          <w:sz w:val="24"/>
          <w:szCs w:val="24"/>
        </w:rPr>
        <w:t>Ember S. Jandebeur</w:t>
      </w:r>
    </w:p>
    <w:p w:rsidR="00D671F6" w:rsidRDefault="00DE562E" w:rsidP="00DD2411">
      <w:pPr>
        <w:jc w:val="both"/>
        <w:rPr>
          <w:sz w:val="24"/>
          <w:szCs w:val="24"/>
        </w:rPr>
      </w:pP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Pr="00DE562E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7114E7">
        <w:rPr>
          <w:sz w:val="24"/>
          <w:szCs w:val="24"/>
        </w:rPr>
        <w:tab/>
      </w:r>
      <w:r w:rsidR="009274B6">
        <w:rPr>
          <w:sz w:val="24"/>
          <w:szCs w:val="24"/>
        </w:rPr>
        <w:tab/>
      </w:r>
      <w:r w:rsidRPr="00DE562E">
        <w:rPr>
          <w:sz w:val="24"/>
          <w:szCs w:val="24"/>
        </w:rPr>
        <w:t>Administrative Law Judge</w:t>
      </w:r>
    </w:p>
    <w:p w:rsidR="00D671F6" w:rsidRDefault="00D671F6">
      <w:pPr>
        <w:rPr>
          <w:sz w:val="24"/>
          <w:szCs w:val="24"/>
        </w:rPr>
      </w:pPr>
    </w:p>
    <w:sectPr w:rsidR="00D671F6" w:rsidSect="005F452A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18" w:rsidRDefault="002D1718">
      <w:r>
        <w:separator/>
      </w:r>
    </w:p>
  </w:endnote>
  <w:endnote w:type="continuationSeparator" w:id="0">
    <w:p w:rsidR="002D1718" w:rsidRDefault="002D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Default="005D4D0C" w:rsidP="00281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3E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7E" w:rsidRDefault="00223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7E" w:rsidRPr="0028114B" w:rsidRDefault="005D4D0C" w:rsidP="0028114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8114B">
      <w:rPr>
        <w:rStyle w:val="PageNumber"/>
        <w:sz w:val="20"/>
        <w:szCs w:val="20"/>
      </w:rPr>
      <w:fldChar w:fldCharType="begin"/>
    </w:r>
    <w:r w:rsidR="00223E7E" w:rsidRPr="0028114B">
      <w:rPr>
        <w:rStyle w:val="PageNumber"/>
        <w:sz w:val="20"/>
        <w:szCs w:val="20"/>
      </w:rPr>
      <w:instrText xml:space="preserve">PAGE  </w:instrText>
    </w:r>
    <w:r w:rsidRPr="0028114B">
      <w:rPr>
        <w:rStyle w:val="PageNumber"/>
        <w:sz w:val="20"/>
        <w:szCs w:val="20"/>
      </w:rPr>
      <w:fldChar w:fldCharType="separate"/>
    </w:r>
    <w:r w:rsidR="00596252">
      <w:rPr>
        <w:rStyle w:val="PageNumber"/>
        <w:noProof/>
        <w:sz w:val="20"/>
        <w:szCs w:val="20"/>
      </w:rPr>
      <w:t>7</w:t>
    </w:r>
    <w:r w:rsidRPr="0028114B">
      <w:rPr>
        <w:rStyle w:val="PageNumber"/>
        <w:sz w:val="20"/>
        <w:szCs w:val="20"/>
      </w:rPr>
      <w:fldChar w:fldCharType="end"/>
    </w:r>
  </w:p>
  <w:p w:rsidR="00223E7E" w:rsidRDefault="00223E7E" w:rsidP="000A001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18" w:rsidRDefault="002D1718">
      <w:r>
        <w:separator/>
      </w:r>
    </w:p>
  </w:footnote>
  <w:footnote w:type="continuationSeparator" w:id="0">
    <w:p w:rsidR="002D1718" w:rsidRDefault="002D1718">
      <w:r>
        <w:continuationSeparator/>
      </w:r>
    </w:p>
  </w:footnote>
  <w:footnote w:id="1">
    <w:p w:rsidR="002F0381" w:rsidRDefault="0092354D">
      <w:pPr>
        <w:pStyle w:val="FootnoteText"/>
      </w:pPr>
      <w:r>
        <w:tab/>
      </w:r>
      <w:r w:rsidR="002F0381">
        <w:rPr>
          <w:rStyle w:val="FootnoteReference"/>
        </w:rPr>
        <w:footnoteRef/>
      </w:r>
      <w:r>
        <w:tab/>
      </w:r>
      <w:proofErr w:type="gramStart"/>
      <w:r w:rsidR="002F0381">
        <w:t>Low Income Home Energy Assistance Program.</w:t>
      </w:r>
      <w:proofErr w:type="gramEnd"/>
      <w:r w:rsidR="002F0381">
        <w:t xml:space="preserve">  LIHEAP is administered by the Department of Human Services.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DB2"/>
    <w:multiLevelType w:val="hybridMultilevel"/>
    <w:tmpl w:val="CA140A8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8F66579"/>
    <w:multiLevelType w:val="hybridMultilevel"/>
    <w:tmpl w:val="3E3601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BF851B9"/>
    <w:multiLevelType w:val="hybridMultilevel"/>
    <w:tmpl w:val="77C09C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D44B3E"/>
    <w:multiLevelType w:val="hybridMultilevel"/>
    <w:tmpl w:val="60669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571BB"/>
    <w:multiLevelType w:val="hybridMultilevel"/>
    <w:tmpl w:val="BFD24F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16C54026"/>
    <w:multiLevelType w:val="hybridMultilevel"/>
    <w:tmpl w:val="05285276"/>
    <w:lvl w:ilvl="0" w:tplc="6A2690E4">
      <w:start w:val="1"/>
      <w:numFmt w:val="lowerLetter"/>
      <w:lvlText w:val="(%1)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6D34DB9"/>
    <w:multiLevelType w:val="hybridMultilevel"/>
    <w:tmpl w:val="F6C48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B1ADE"/>
    <w:multiLevelType w:val="hybridMultilevel"/>
    <w:tmpl w:val="DF36D1A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97F4475"/>
    <w:multiLevelType w:val="hybridMultilevel"/>
    <w:tmpl w:val="9E743D2E"/>
    <w:lvl w:ilvl="0" w:tplc="6E46EF66">
      <w:start w:val="5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A91D16"/>
    <w:multiLevelType w:val="hybridMultilevel"/>
    <w:tmpl w:val="027C87E4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E72CC"/>
    <w:multiLevelType w:val="hybridMultilevel"/>
    <w:tmpl w:val="7760246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31386CFC"/>
    <w:multiLevelType w:val="hybridMultilevel"/>
    <w:tmpl w:val="7ADA5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37BC70D1"/>
    <w:multiLevelType w:val="hybridMultilevel"/>
    <w:tmpl w:val="3E12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6D07"/>
    <w:multiLevelType w:val="hybridMultilevel"/>
    <w:tmpl w:val="05249E4E"/>
    <w:lvl w:ilvl="0" w:tplc="DC506610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B7D671D"/>
    <w:multiLevelType w:val="hybridMultilevel"/>
    <w:tmpl w:val="657CC782"/>
    <w:lvl w:ilvl="0" w:tplc="D432137A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A5A82"/>
    <w:multiLevelType w:val="hybridMultilevel"/>
    <w:tmpl w:val="FF24B9E2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45FA5B13"/>
    <w:multiLevelType w:val="hybridMultilevel"/>
    <w:tmpl w:val="362E08D8"/>
    <w:lvl w:ilvl="0" w:tplc="EAD8F434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488F482E"/>
    <w:multiLevelType w:val="hybridMultilevel"/>
    <w:tmpl w:val="3E2CAD62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>
    <w:nsid w:val="4DB60A40"/>
    <w:multiLevelType w:val="hybridMultilevel"/>
    <w:tmpl w:val="E7DA38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FBF24B7"/>
    <w:multiLevelType w:val="hybridMultilevel"/>
    <w:tmpl w:val="7172AE08"/>
    <w:lvl w:ilvl="0" w:tplc="D432137A">
      <w:start w:val="1"/>
      <w:numFmt w:val="decimal"/>
      <w:lvlText w:val="%1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E5819"/>
    <w:multiLevelType w:val="multilevel"/>
    <w:tmpl w:val="F4A8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94BD1"/>
    <w:multiLevelType w:val="hybridMultilevel"/>
    <w:tmpl w:val="87A0ABD4"/>
    <w:lvl w:ilvl="0" w:tplc="7400B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72644860"/>
    <w:multiLevelType w:val="hybridMultilevel"/>
    <w:tmpl w:val="AA2CD5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294648C"/>
    <w:multiLevelType w:val="hybridMultilevel"/>
    <w:tmpl w:val="1D663CC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7889787C"/>
    <w:multiLevelType w:val="hybridMultilevel"/>
    <w:tmpl w:val="555AE3FE"/>
    <w:lvl w:ilvl="0" w:tplc="DC506610">
      <w:start w:val="1"/>
      <w:numFmt w:val="decimal"/>
      <w:lvlText w:val="%1."/>
      <w:lvlJc w:val="left"/>
      <w:pPr>
        <w:ind w:left="50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DA3CCC9E">
      <w:start w:val="1"/>
      <w:numFmt w:val="decimal"/>
      <w:lvlText w:val="%3."/>
      <w:lvlJc w:val="left"/>
      <w:pPr>
        <w:ind w:left="36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AE62C34"/>
    <w:multiLevelType w:val="hybridMultilevel"/>
    <w:tmpl w:val="5046E7D6"/>
    <w:lvl w:ilvl="0" w:tplc="D65891C2">
      <w:start w:val="5"/>
      <w:numFmt w:val="lowerRoman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2E12A6"/>
    <w:multiLevelType w:val="hybridMultilevel"/>
    <w:tmpl w:val="16C00300"/>
    <w:lvl w:ilvl="0" w:tplc="1F648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2"/>
  </w:num>
  <w:num w:numId="5">
    <w:abstractNumId w:val="15"/>
  </w:num>
  <w:num w:numId="6">
    <w:abstractNumId w:val="10"/>
  </w:num>
  <w:num w:numId="7">
    <w:abstractNumId w:val="8"/>
  </w:num>
  <w:num w:numId="8">
    <w:abstractNumId w:val="0"/>
  </w:num>
  <w:num w:numId="9">
    <w:abstractNumId w:val="16"/>
  </w:num>
  <w:num w:numId="10">
    <w:abstractNumId w:val="20"/>
  </w:num>
  <w:num w:numId="11">
    <w:abstractNumId w:val="17"/>
  </w:num>
  <w:num w:numId="12">
    <w:abstractNumId w:val="27"/>
  </w:num>
  <w:num w:numId="13">
    <w:abstractNumId w:val="1"/>
  </w:num>
  <w:num w:numId="14">
    <w:abstractNumId w:val="9"/>
  </w:num>
  <w:num w:numId="15">
    <w:abstractNumId w:val="23"/>
  </w:num>
  <w:num w:numId="16">
    <w:abstractNumId w:val="25"/>
  </w:num>
  <w:num w:numId="17">
    <w:abstractNumId w:val="11"/>
  </w:num>
  <w:num w:numId="18">
    <w:abstractNumId w:val="5"/>
  </w:num>
  <w:num w:numId="19">
    <w:abstractNumId w:val="21"/>
  </w:num>
  <w:num w:numId="20">
    <w:abstractNumId w:val="4"/>
  </w:num>
  <w:num w:numId="21">
    <w:abstractNumId w:val="7"/>
  </w:num>
  <w:num w:numId="22">
    <w:abstractNumId w:val="13"/>
  </w:num>
  <w:num w:numId="23">
    <w:abstractNumId w:val="14"/>
  </w:num>
  <w:num w:numId="24">
    <w:abstractNumId w:val="26"/>
  </w:num>
  <w:num w:numId="25">
    <w:abstractNumId w:val="24"/>
  </w:num>
  <w:num w:numId="26">
    <w:abstractNumId w:val="3"/>
  </w:num>
  <w:num w:numId="27">
    <w:abstractNumId w:val="28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C3"/>
    <w:rsid w:val="00003ED9"/>
    <w:rsid w:val="00020AB1"/>
    <w:rsid w:val="00022997"/>
    <w:rsid w:val="00022D67"/>
    <w:rsid w:val="0002512E"/>
    <w:rsid w:val="00034A86"/>
    <w:rsid w:val="00035C05"/>
    <w:rsid w:val="00035E78"/>
    <w:rsid w:val="000376EF"/>
    <w:rsid w:val="00042626"/>
    <w:rsid w:val="00055A89"/>
    <w:rsid w:val="000573C2"/>
    <w:rsid w:val="00064F92"/>
    <w:rsid w:val="0006610A"/>
    <w:rsid w:val="0006622C"/>
    <w:rsid w:val="00070E25"/>
    <w:rsid w:val="0007126E"/>
    <w:rsid w:val="000728A4"/>
    <w:rsid w:val="00075A22"/>
    <w:rsid w:val="00082976"/>
    <w:rsid w:val="00091672"/>
    <w:rsid w:val="00091CE2"/>
    <w:rsid w:val="00093DB9"/>
    <w:rsid w:val="000967DB"/>
    <w:rsid w:val="000A001F"/>
    <w:rsid w:val="000A1CB9"/>
    <w:rsid w:val="000A20A3"/>
    <w:rsid w:val="000B5F6A"/>
    <w:rsid w:val="000C6F32"/>
    <w:rsid w:val="000D2CE8"/>
    <w:rsid w:val="000E0BD8"/>
    <w:rsid w:val="000E277A"/>
    <w:rsid w:val="000E2934"/>
    <w:rsid w:val="000E6B17"/>
    <w:rsid w:val="000F0833"/>
    <w:rsid w:val="000F1894"/>
    <w:rsid w:val="000F1F62"/>
    <w:rsid w:val="000F2F0A"/>
    <w:rsid w:val="000F6118"/>
    <w:rsid w:val="0010177F"/>
    <w:rsid w:val="001027AA"/>
    <w:rsid w:val="00110C23"/>
    <w:rsid w:val="00111EA9"/>
    <w:rsid w:val="001122A9"/>
    <w:rsid w:val="001155B6"/>
    <w:rsid w:val="00116136"/>
    <w:rsid w:val="00125871"/>
    <w:rsid w:val="00126207"/>
    <w:rsid w:val="001312A6"/>
    <w:rsid w:val="00134E8D"/>
    <w:rsid w:val="001404C5"/>
    <w:rsid w:val="00141DF5"/>
    <w:rsid w:val="00143C49"/>
    <w:rsid w:val="00144488"/>
    <w:rsid w:val="00147DEE"/>
    <w:rsid w:val="00152C6B"/>
    <w:rsid w:val="0015646C"/>
    <w:rsid w:val="001614FE"/>
    <w:rsid w:val="001620CA"/>
    <w:rsid w:val="00162898"/>
    <w:rsid w:val="00176F82"/>
    <w:rsid w:val="0018160C"/>
    <w:rsid w:val="001868E9"/>
    <w:rsid w:val="00187B87"/>
    <w:rsid w:val="001930DE"/>
    <w:rsid w:val="00193B6C"/>
    <w:rsid w:val="001973AC"/>
    <w:rsid w:val="001A4CC0"/>
    <w:rsid w:val="001A721E"/>
    <w:rsid w:val="001B123C"/>
    <w:rsid w:val="001B3235"/>
    <w:rsid w:val="001C20B7"/>
    <w:rsid w:val="001C3BD8"/>
    <w:rsid w:val="001C715B"/>
    <w:rsid w:val="001D3206"/>
    <w:rsid w:val="001D6FCF"/>
    <w:rsid w:val="001E4FAC"/>
    <w:rsid w:val="001F0787"/>
    <w:rsid w:val="001F08B4"/>
    <w:rsid w:val="001F2116"/>
    <w:rsid w:val="001F6FC1"/>
    <w:rsid w:val="001F7F73"/>
    <w:rsid w:val="0020095D"/>
    <w:rsid w:val="00200FAE"/>
    <w:rsid w:val="00215221"/>
    <w:rsid w:val="00220C5E"/>
    <w:rsid w:val="00223E7E"/>
    <w:rsid w:val="00234619"/>
    <w:rsid w:val="0023520D"/>
    <w:rsid w:val="00235C44"/>
    <w:rsid w:val="00236FF7"/>
    <w:rsid w:val="002416AB"/>
    <w:rsid w:val="0024496F"/>
    <w:rsid w:val="00244D86"/>
    <w:rsid w:val="00251D19"/>
    <w:rsid w:val="0025370D"/>
    <w:rsid w:val="00260D19"/>
    <w:rsid w:val="002625F2"/>
    <w:rsid w:val="002732DC"/>
    <w:rsid w:val="0027606A"/>
    <w:rsid w:val="00280A48"/>
    <w:rsid w:val="0028114B"/>
    <w:rsid w:val="0028185A"/>
    <w:rsid w:val="00290918"/>
    <w:rsid w:val="002919C6"/>
    <w:rsid w:val="00293557"/>
    <w:rsid w:val="002959E3"/>
    <w:rsid w:val="002A7C1C"/>
    <w:rsid w:val="002B19D4"/>
    <w:rsid w:val="002B3489"/>
    <w:rsid w:val="002B4EAE"/>
    <w:rsid w:val="002C3FDE"/>
    <w:rsid w:val="002C486F"/>
    <w:rsid w:val="002D13C5"/>
    <w:rsid w:val="002D1718"/>
    <w:rsid w:val="002D554B"/>
    <w:rsid w:val="002E0985"/>
    <w:rsid w:val="002F0381"/>
    <w:rsid w:val="002F66F9"/>
    <w:rsid w:val="002F6BC1"/>
    <w:rsid w:val="00300A0A"/>
    <w:rsid w:val="00300CB7"/>
    <w:rsid w:val="00300F91"/>
    <w:rsid w:val="0030207C"/>
    <w:rsid w:val="00306B0D"/>
    <w:rsid w:val="00311AD2"/>
    <w:rsid w:val="003129F7"/>
    <w:rsid w:val="00312E1C"/>
    <w:rsid w:val="00317B5C"/>
    <w:rsid w:val="00320DDE"/>
    <w:rsid w:val="00323AAE"/>
    <w:rsid w:val="00324F3E"/>
    <w:rsid w:val="0033043C"/>
    <w:rsid w:val="003312AB"/>
    <w:rsid w:val="0033647C"/>
    <w:rsid w:val="00337C53"/>
    <w:rsid w:val="00340AB8"/>
    <w:rsid w:val="003421E0"/>
    <w:rsid w:val="0034312D"/>
    <w:rsid w:val="00346E30"/>
    <w:rsid w:val="003532EC"/>
    <w:rsid w:val="003539D2"/>
    <w:rsid w:val="00354C09"/>
    <w:rsid w:val="00354E6F"/>
    <w:rsid w:val="0035737A"/>
    <w:rsid w:val="003657A8"/>
    <w:rsid w:val="00380450"/>
    <w:rsid w:val="00380AD7"/>
    <w:rsid w:val="00382B1A"/>
    <w:rsid w:val="003857DF"/>
    <w:rsid w:val="00386CDC"/>
    <w:rsid w:val="00392382"/>
    <w:rsid w:val="00394493"/>
    <w:rsid w:val="003959AC"/>
    <w:rsid w:val="00395E03"/>
    <w:rsid w:val="00396DE1"/>
    <w:rsid w:val="003A167D"/>
    <w:rsid w:val="003A216A"/>
    <w:rsid w:val="003A370E"/>
    <w:rsid w:val="003B715B"/>
    <w:rsid w:val="003C050F"/>
    <w:rsid w:val="003C0716"/>
    <w:rsid w:val="003C3664"/>
    <w:rsid w:val="003C7143"/>
    <w:rsid w:val="003D139F"/>
    <w:rsid w:val="003D15FA"/>
    <w:rsid w:val="003D7EC6"/>
    <w:rsid w:val="003E292B"/>
    <w:rsid w:val="003E594B"/>
    <w:rsid w:val="003F5796"/>
    <w:rsid w:val="003F5965"/>
    <w:rsid w:val="003F69BF"/>
    <w:rsid w:val="00402359"/>
    <w:rsid w:val="004064A8"/>
    <w:rsid w:val="004107FD"/>
    <w:rsid w:val="00417087"/>
    <w:rsid w:val="0042160A"/>
    <w:rsid w:val="0042193A"/>
    <w:rsid w:val="00422E29"/>
    <w:rsid w:val="00424A76"/>
    <w:rsid w:val="00427E73"/>
    <w:rsid w:val="004312BE"/>
    <w:rsid w:val="00431BEF"/>
    <w:rsid w:val="00442854"/>
    <w:rsid w:val="00454560"/>
    <w:rsid w:val="00462495"/>
    <w:rsid w:val="0046339D"/>
    <w:rsid w:val="00476C8A"/>
    <w:rsid w:val="00486535"/>
    <w:rsid w:val="00490174"/>
    <w:rsid w:val="004917C1"/>
    <w:rsid w:val="00491C99"/>
    <w:rsid w:val="004924DA"/>
    <w:rsid w:val="00495450"/>
    <w:rsid w:val="00495B88"/>
    <w:rsid w:val="004A1805"/>
    <w:rsid w:val="004A5AD6"/>
    <w:rsid w:val="004C3EFA"/>
    <w:rsid w:val="004D1B54"/>
    <w:rsid w:val="004D3108"/>
    <w:rsid w:val="004D46FD"/>
    <w:rsid w:val="004D65F3"/>
    <w:rsid w:val="004E187E"/>
    <w:rsid w:val="004E20CB"/>
    <w:rsid w:val="004E2912"/>
    <w:rsid w:val="004E533F"/>
    <w:rsid w:val="004F2D3D"/>
    <w:rsid w:val="004F3D66"/>
    <w:rsid w:val="005032B5"/>
    <w:rsid w:val="00515937"/>
    <w:rsid w:val="00517AD1"/>
    <w:rsid w:val="00523780"/>
    <w:rsid w:val="00526B2A"/>
    <w:rsid w:val="00530D1B"/>
    <w:rsid w:val="00531226"/>
    <w:rsid w:val="00531409"/>
    <w:rsid w:val="00535DF7"/>
    <w:rsid w:val="00542107"/>
    <w:rsid w:val="00553EEB"/>
    <w:rsid w:val="00557DD6"/>
    <w:rsid w:val="00564C41"/>
    <w:rsid w:val="0056706A"/>
    <w:rsid w:val="00582896"/>
    <w:rsid w:val="00584798"/>
    <w:rsid w:val="0059070D"/>
    <w:rsid w:val="00592C86"/>
    <w:rsid w:val="00596252"/>
    <w:rsid w:val="005A2F92"/>
    <w:rsid w:val="005A33D0"/>
    <w:rsid w:val="005B13B6"/>
    <w:rsid w:val="005B250B"/>
    <w:rsid w:val="005B3C00"/>
    <w:rsid w:val="005B6749"/>
    <w:rsid w:val="005B7834"/>
    <w:rsid w:val="005C28EC"/>
    <w:rsid w:val="005D19C4"/>
    <w:rsid w:val="005D2DEE"/>
    <w:rsid w:val="005D4D0C"/>
    <w:rsid w:val="005E2068"/>
    <w:rsid w:val="005E3007"/>
    <w:rsid w:val="005E6321"/>
    <w:rsid w:val="005E6C27"/>
    <w:rsid w:val="005F17F5"/>
    <w:rsid w:val="005F38EC"/>
    <w:rsid w:val="005F3B50"/>
    <w:rsid w:val="005F452A"/>
    <w:rsid w:val="006034D3"/>
    <w:rsid w:val="0062087D"/>
    <w:rsid w:val="006215E0"/>
    <w:rsid w:val="006306EB"/>
    <w:rsid w:val="00634A5C"/>
    <w:rsid w:val="006352B9"/>
    <w:rsid w:val="00641596"/>
    <w:rsid w:val="0064329B"/>
    <w:rsid w:val="006441F5"/>
    <w:rsid w:val="00644E60"/>
    <w:rsid w:val="00645B55"/>
    <w:rsid w:val="006468DD"/>
    <w:rsid w:val="00652C21"/>
    <w:rsid w:val="006569F4"/>
    <w:rsid w:val="0066237B"/>
    <w:rsid w:val="006656FC"/>
    <w:rsid w:val="00675607"/>
    <w:rsid w:val="00675986"/>
    <w:rsid w:val="00695694"/>
    <w:rsid w:val="006A21C2"/>
    <w:rsid w:val="006A3B47"/>
    <w:rsid w:val="006A7A0A"/>
    <w:rsid w:val="006C1047"/>
    <w:rsid w:val="006C20ED"/>
    <w:rsid w:val="006C3226"/>
    <w:rsid w:val="006C64FC"/>
    <w:rsid w:val="006D4BB7"/>
    <w:rsid w:val="006D75BD"/>
    <w:rsid w:val="006E4407"/>
    <w:rsid w:val="006F44F9"/>
    <w:rsid w:val="00700FBF"/>
    <w:rsid w:val="007015FC"/>
    <w:rsid w:val="007114E7"/>
    <w:rsid w:val="0071588F"/>
    <w:rsid w:val="0073239A"/>
    <w:rsid w:val="0073727C"/>
    <w:rsid w:val="00744AF3"/>
    <w:rsid w:val="0074631A"/>
    <w:rsid w:val="00747E56"/>
    <w:rsid w:val="00751672"/>
    <w:rsid w:val="0075510C"/>
    <w:rsid w:val="00766C8E"/>
    <w:rsid w:val="0077255F"/>
    <w:rsid w:val="00775593"/>
    <w:rsid w:val="00782A08"/>
    <w:rsid w:val="00786153"/>
    <w:rsid w:val="00790EF3"/>
    <w:rsid w:val="00791ABB"/>
    <w:rsid w:val="00792C70"/>
    <w:rsid w:val="00794BF7"/>
    <w:rsid w:val="007965B0"/>
    <w:rsid w:val="007A49B5"/>
    <w:rsid w:val="007B1672"/>
    <w:rsid w:val="007B1D2D"/>
    <w:rsid w:val="007B46F9"/>
    <w:rsid w:val="007B4959"/>
    <w:rsid w:val="007B6CFE"/>
    <w:rsid w:val="007C36CE"/>
    <w:rsid w:val="007C74E3"/>
    <w:rsid w:val="007D3E3E"/>
    <w:rsid w:val="007D6063"/>
    <w:rsid w:val="007E09E5"/>
    <w:rsid w:val="007E31DB"/>
    <w:rsid w:val="007E7871"/>
    <w:rsid w:val="00801DEE"/>
    <w:rsid w:val="0080259A"/>
    <w:rsid w:val="00803141"/>
    <w:rsid w:val="0081070B"/>
    <w:rsid w:val="008142EB"/>
    <w:rsid w:val="0081669B"/>
    <w:rsid w:val="0081696C"/>
    <w:rsid w:val="008228F3"/>
    <w:rsid w:val="00823F91"/>
    <w:rsid w:val="00824683"/>
    <w:rsid w:val="008354C5"/>
    <w:rsid w:val="0083691D"/>
    <w:rsid w:val="00840FD3"/>
    <w:rsid w:val="00841779"/>
    <w:rsid w:val="0084440F"/>
    <w:rsid w:val="008506A0"/>
    <w:rsid w:val="00851A4F"/>
    <w:rsid w:val="00866264"/>
    <w:rsid w:val="008663C0"/>
    <w:rsid w:val="008746E1"/>
    <w:rsid w:val="0087572C"/>
    <w:rsid w:val="008803F7"/>
    <w:rsid w:val="00881C76"/>
    <w:rsid w:val="0088763C"/>
    <w:rsid w:val="00893B0E"/>
    <w:rsid w:val="00893F0B"/>
    <w:rsid w:val="00894839"/>
    <w:rsid w:val="0089761B"/>
    <w:rsid w:val="008A0235"/>
    <w:rsid w:val="008A60E2"/>
    <w:rsid w:val="008B1A8B"/>
    <w:rsid w:val="008B282A"/>
    <w:rsid w:val="008B2B8B"/>
    <w:rsid w:val="008C0DFF"/>
    <w:rsid w:val="008D6D09"/>
    <w:rsid w:val="008D761F"/>
    <w:rsid w:val="008E3BE1"/>
    <w:rsid w:val="008E5A53"/>
    <w:rsid w:val="008F013A"/>
    <w:rsid w:val="008F22F9"/>
    <w:rsid w:val="008F554F"/>
    <w:rsid w:val="008F6AC3"/>
    <w:rsid w:val="009077E3"/>
    <w:rsid w:val="00910EF2"/>
    <w:rsid w:val="00913B17"/>
    <w:rsid w:val="009166DD"/>
    <w:rsid w:val="0091672D"/>
    <w:rsid w:val="00922FE6"/>
    <w:rsid w:val="0092354D"/>
    <w:rsid w:val="009235C2"/>
    <w:rsid w:val="009274B6"/>
    <w:rsid w:val="009342E4"/>
    <w:rsid w:val="009445E9"/>
    <w:rsid w:val="009634B4"/>
    <w:rsid w:val="009643E3"/>
    <w:rsid w:val="009649FC"/>
    <w:rsid w:val="00965F82"/>
    <w:rsid w:val="0098237A"/>
    <w:rsid w:val="00982B8E"/>
    <w:rsid w:val="009830C8"/>
    <w:rsid w:val="00983B9A"/>
    <w:rsid w:val="009870EF"/>
    <w:rsid w:val="009877CF"/>
    <w:rsid w:val="00987B98"/>
    <w:rsid w:val="00995E0A"/>
    <w:rsid w:val="009A475D"/>
    <w:rsid w:val="009A5C49"/>
    <w:rsid w:val="009B1C06"/>
    <w:rsid w:val="009C22D0"/>
    <w:rsid w:val="009D3C71"/>
    <w:rsid w:val="009D5264"/>
    <w:rsid w:val="009D5A08"/>
    <w:rsid w:val="009E69A1"/>
    <w:rsid w:val="009F24FB"/>
    <w:rsid w:val="009F4939"/>
    <w:rsid w:val="009F620C"/>
    <w:rsid w:val="009F7BD8"/>
    <w:rsid w:val="00A022C7"/>
    <w:rsid w:val="00A02D20"/>
    <w:rsid w:val="00A0627A"/>
    <w:rsid w:val="00A22653"/>
    <w:rsid w:val="00A228D3"/>
    <w:rsid w:val="00A23BC5"/>
    <w:rsid w:val="00A24F45"/>
    <w:rsid w:val="00A345AE"/>
    <w:rsid w:val="00A37276"/>
    <w:rsid w:val="00A409B8"/>
    <w:rsid w:val="00A4383B"/>
    <w:rsid w:val="00A43D45"/>
    <w:rsid w:val="00A470ED"/>
    <w:rsid w:val="00A475EE"/>
    <w:rsid w:val="00A523A9"/>
    <w:rsid w:val="00A52E9C"/>
    <w:rsid w:val="00A67786"/>
    <w:rsid w:val="00A67C1E"/>
    <w:rsid w:val="00A7050E"/>
    <w:rsid w:val="00A761ED"/>
    <w:rsid w:val="00A76B1D"/>
    <w:rsid w:val="00A86505"/>
    <w:rsid w:val="00A9100E"/>
    <w:rsid w:val="00AA00A9"/>
    <w:rsid w:val="00AA0438"/>
    <w:rsid w:val="00AA1DE2"/>
    <w:rsid w:val="00AA6434"/>
    <w:rsid w:val="00AA7B5D"/>
    <w:rsid w:val="00AB3A78"/>
    <w:rsid w:val="00AC4DB7"/>
    <w:rsid w:val="00AC7513"/>
    <w:rsid w:val="00AC7FED"/>
    <w:rsid w:val="00AD0497"/>
    <w:rsid w:val="00AD0503"/>
    <w:rsid w:val="00AD0929"/>
    <w:rsid w:val="00AD507E"/>
    <w:rsid w:val="00AE00BA"/>
    <w:rsid w:val="00AE3E93"/>
    <w:rsid w:val="00AE6D1F"/>
    <w:rsid w:val="00AF2068"/>
    <w:rsid w:val="00AF7EAE"/>
    <w:rsid w:val="00B03092"/>
    <w:rsid w:val="00B0541E"/>
    <w:rsid w:val="00B13849"/>
    <w:rsid w:val="00B14085"/>
    <w:rsid w:val="00B23067"/>
    <w:rsid w:val="00B2590D"/>
    <w:rsid w:val="00B32E66"/>
    <w:rsid w:val="00B34848"/>
    <w:rsid w:val="00B40E21"/>
    <w:rsid w:val="00B41D9B"/>
    <w:rsid w:val="00B45676"/>
    <w:rsid w:val="00B45F71"/>
    <w:rsid w:val="00B5018B"/>
    <w:rsid w:val="00B57687"/>
    <w:rsid w:val="00B61966"/>
    <w:rsid w:val="00B625D9"/>
    <w:rsid w:val="00B665D7"/>
    <w:rsid w:val="00B70860"/>
    <w:rsid w:val="00B71D02"/>
    <w:rsid w:val="00B759B1"/>
    <w:rsid w:val="00B87994"/>
    <w:rsid w:val="00B922CF"/>
    <w:rsid w:val="00B94E3D"/>
    <w:rsid w:val="00BA47D2"/>
    <w:rsid w:val="00BA61F7"/>
    <w:rsid w:val="00BB3104"/>
    <w:rsid w:val="00BB352A"/>
    <w:rsid w:val="00BB7304"/>
    <w:rsid w:val="00BC2D8F"/>
    <w:rsid w:val="00BC2DE6"/>
    <w:rsid w:val="00BC7240"/>
    <w:rsid w:val="00BD42F1"/>
    <w:rsid w:val="00BE1D82"/>
    <w:rsid w:val="00BE6352"/>
    <w:rsid w:val="00BF5F04"/>
    <w:rsid w:val="00C052E4"/>
    <w:rsid w:val="00C1140C"/>
    <w:rsid w:val="00C1195C"/>
    <w:rsid w:val="00C136F0"/>
    <w:rsid w:val="00C150A5"/>
    <w:rsid w:val="00C21F78"/>
    <w:rsid w:val="00C224B0"/>
    <w:rsid w:val="00C25C02"/>
    <w:rsid w:val="00C27A38"/>
    <w:rsid w:val="00C302A8"/>
    <w:rsid w:val="00C30760"/>
    <w:rsid w:val="00C322C5"/>
    <w:rsid w:val="00C34D87"/>
    <w:rsid w:val="00C37F96"/>
    <w:rsid w:val="00C419F9"/>
    <w:rsid w:val="00C426F5"/>
    <w:rsid w:val="00C45D4C"/>
    <w:rsid w:val="00C477B5"/>
    <w:rsid w:val="00C546D2"/>
    <w:rsid w:val="00C61510"/>
    <w:rsid w:val="00C61561"/>
    <w:rsid w:val="00C6634A"/>
    <w:rsid w:val="00C7068E"/>
    <w:rsid w:val="00C769EE"/>
    <w:rsid w:val="00C86201"/>
    <w:rsid w:val="00C908AD"/>
    <w:rsid w:val="00C920E5"/>
    <w:rsid w:val="00C94BB9"/>
    <w:rsid w:val="00CA1E0E"/>
    <w:rsid w:val="00CA5BA3"/>
    <w:rsid w:val="00CB0D2B"/>
    <w:rsid w:val="00CB4F5E"/>
    <w:rsid w:val="00CB6A72"/>
    <w:rsid w:val="00CC3CC1"/>
    <w:rsid w:val="00CC49DA"/>
    <w:rsid w:val="00CC5E96"/>
    <w:rsid w:val="00CD4A78"/>
    <w:rsid w:val="00CD6B6A"/>
    <w:rsid w:val="00CE43B4"/>
    <w:rsid w:val="00CE68C6"/>
    <w:rsid w:val="00CE79FF"/>
    <w:rsid w:val="00CF3BB0"/>
    <w:rsid w:val="00CF7138"/>
    <w:rsid w:val="00D02084"/>
    <w:rsid w:val="00D050DE"/>
    <w:rsid w:val="00D077EC"/>
    <w:rsid w:val="00D13B06"/>
    <w:rsid w:val="00D1728D"/>
    <w:rsid w:val="00D21BFC"/>
    <w:rsid w:val="00D21D55"/>
    <w:rsid w:val="00D21EF9"/>
    <w:rsid w:val="00D22F4A"/>
    <w:rsid w:val="00D23330"/>
    <w:rsid w:val="00D32326"/>
    <w:rsid w:val="00D34B76"/>
    <w:rsid w:val="00D35F74"/>
    <w:rsid w:val="00D4029A"/>
    <w:rsid w:val="00D416A5"/>
    <w:rsid w:val="00D50C56"/>
    <w:rsid w:val="00D5488B"/>
    <w:rsid w:val="00D55074"/>
    <w:rsid w:val="00D55AA4"/>
    <w:rsid w:val="00D5720C"/>
    <w:rsid w:val="00D61231"/>
    <w:rsid w:val="00D6261D"/>
    <w:rsid w:val="00D6598A"/>
    <w:rsid w:val="00D65F4B"/>
    <w:rsid w:val="00D671F6"/>
    <w:rsid w:val="00D71653"/>
    <w:rsid w:val="00D72436"/>
    <w:rsid w:val="00D8063C"/>
    <w:rsid w:val="00D926F9"/>
    <w:rsid w:val="00D93182"/>
    <w:rsid w:val="00D961B5"/>
    <w:rsid w:val="00DA7FD6"/>
    <w:rsid w:val="00DB1328"/>
    <w:rsid w:val="00DB7EE0"/>
    <w:rsid w:val="00DD2411"/>
    <w:rsid w:val="00DD3E7F"/>
    <w:rsid w:val="00DE0ECC"/>
    <w:rsid w:val="00DE2348"/>
    <w:rsid w:val="00DE3943"/>
    <w:rsid w:val="00DE562E"/>
    <w:rsid w:val="00DE6FB0"/>
    <w:rsid w:val="00DE77F8"/>
    <w:rsid w:val="00DF0138"/>
    <w:rsid w:val="00DF294A"/>
    <w:rsid w:val="00E00410"/>
    <w:rsid w:val="00E00EAF"/>
    <w:rsid w:val="00E0236A"/>
    <w:rsid w:val="00E11739"/>
    <w:rsid w:val="00E12F72"/>
    <w:rsid w:val="00E15A2D"/>
    <w:rsid w:val="00E15B2B"/>
    <w:rsid w:val="00E23F95"/>
    <w:rsid w:val="00E267A5"/>
    <w:rsid w:val="00E32DA2"/>
    <w:rsid w:val="00E35AC9"/>
    <w:rsid w:val="00E413A9"/>
    <w:rsid w:val="00E5003A"/>
    <w:rsid w:val="00E514FA"/>
    <w:rsid w:val="00E51D1F"/>
    <w:rsid w:val="00E56529"/>
    <w:rsid w:val="00E6135C"/>
    <w:rsid w:val="00E659AC"/>
    <w:rsid w:val="00E66725"/>
    <w:rsid w:val="00E67591"/>
    <w:rsid w:val="00E67A2A"/>
    <w:rsid w:val="00E728B0"/>
    <w:rsid w:val="00E75758"/>
    <w:rsid w:val="00E75BC0"/>
    <w:rsid w:val="00E85ECC"/>
    <w:rsid w:val="00E9292D"/>
    <w:rsid w:val="00EA2B0E"/>
    <w:rsid w:val="00EA319E"/>
    <w:rsid w:val="00EA56F6"/>
    <w:rsid w:val="00EA77CE"/>
    <w:rsid w:val="00EB1DAB"/>
    <w:rsid w:val="00EB1EEE"/>
    <w:rsid w:val="00EC15BD"/>
    <w:rsid w:val="00EC38D5"/>
    <w:rsid w:val="00EC41CE"/>
    <w:rsid w:val="00EC477B"/>
    <w:rsid w:val="00ED0F47"/>
    <w:rsid w:val="00EE34BE"/>
    <w:rsid w:val="00EF6C7F"/>
    <w:rsid w:val="00F16C5A"/>
    <w:rsid w:val="00F2180F"/>
    <w:rsid w:val="00F31732"/>
    <w:rsid w:val="00F31F04"/>
    <w:rsid w:val="00F327E2"/>
    <w:rsid w:val="00F34A38"/>
    <w:rsid w:val="00F351C6"/>
    <w:rsid w:val="00F375FF"/>
    <w:rsid w:val="00F50C2B"/>
    <w:rsid w:val="00F566E6"/>
    <w:rsid w:val="00F702DD"/>
    <w:rsid w:val="00F721A2"/>
    <w:rsid w:val="00F72B51"/>
    <w:rsid w:val="00F734B6"/>
    <w:rsid w:val="00F76C50"/>
    <w:rsid w:val="00F84427"/>
    <w:rsid w:val="00F85050"/>
    <w:rsid w:val="00F86303"/>
    <w:rsid w:val="00F95BD7"/>
    <w:rsid w:val="00FA1741"/>
    <w:rsid w:val="00FA53B2"/>
    <w:rsid w:val="00FA6242"/>
    <w:rsid w:val="00FA643C"/>
    <w:rsid w:val="00FA7894"/>
    <w:rsid w:val="00FC4DCA"/>
    <w:rsid w:val="00FC4DD1"/>
    <w:rsid w:val="00FD1DCC"/>
    <w:rsid w:val="00FD2E3D"/>
    <w:rsid w:val="00FE51AD"/>
    <w:rsid w:val="00FE5CAF"/>
    <w:rsid w:val="00FE6157"/>
    <w:rsid w:val="00FE74BE"/>
    <w:rsid w:val="00FF0B7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DE6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F18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1894"/>
  </w:style>
  <w:style w:type="paragraph" w:styleId="FootnoteText">
    <w:name w:val="footnote text"/>
    <w:basedOn w:val="Normal"/>
    <w:semiHidden/>
    <w:rsid w:val="00E85EC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85ECC"/>
    <w:rPr>
      <w:vertAlign w:val="superscript"/>
    </w:rPr>
  </w:style>
  <w:style w:type="paragraph" w:styleId="BalloonText">
    <w:name w:val="Balloon Text"/>
    <w:basedOn w:val="Normal"/>
    <w:semiHidden/>
    <w:rsid w:val="002B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21F7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1696C"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link w:val="EndnoteTextChar"/>
    <w:rsid w:val="006034D3"/>
    <w:rPr>
      <w:rFonts w:ascii="Courier" w:hAnsi="Courier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34D3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6034D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6034D3"/>
    <w:rPr>
      <w:szCs w:val="26"/>
    </w:rPr>
  </w:style>
  <w:style w:type="paragraph" w:styleId="ListParagraph">
    <w:name w:val="List Paragraph"/>
    <w:basedOn w:val="Normal"/>
    <w:uiPriority w:val="34"/>
    <w:qFormat/>
    <w:rsid w:val="00E51D1F"/>
    <w:pPr>
      <w:ind w:left="720"/>
      <w:contextualSpacing/>
    </w:pPr>
  </w:style>
  <w:style w:type="character" w:styleId="Hyperlink">
    <w:name w:val="Hyperlink"/>
    <w:uiPriority w:val="99"/>
    <w:unhideWhenUsed/>
    <w:rsid w:val="00E659AC"/>
    <w:rPr>
      <w:strike w:val="0"/>
      <w:dstrike w:val="0"/>
      <w:color w:val="004B9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8072-D800-49FB-9315-DB508B47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JANDEBEUR</dc:creator>
  <cp:lastModifiedBy>shoffner</cp:lastModifiedBy>
  <cp:revision>2</cp:revision>
  <cp:lastPrinted>2015-05-05T17:38:00Z</cp:lastPrinted>
  <dcterms:created xsi:type="dcterms:W3CDTF">2015-06-02T14:53:00Z</dcterms:created>
  <dcterms:modified xsi:type="dcterms:W3CDTF">2015-06-02T14:53:00Z</dcterms:modified>
</cp:coreProperties>
</file>