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45F" w:rsidRDefault="00B8345F" w:rsidP="00B8345F">
      <w:pPr>
        <w:jc w:val="center"/>
        <w:rPr>
          <w:b/>
        </w:rPr>
      </w:pPr>
      <w:r>
        <w:rPr>
          <w:b/>
        </w:rPr>
        <w:t>BEFORE THE</w:t>
      </w:r>
    </w:p>
    <w:p w:rsidR="00B8345F" w:rsidRDefault="00B8345F" w:rsidP="00B8345F">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B8345F" w:rsidRDefault="00B8345F" w:rsidP="00B8345F"/>
    <w:p w:rsidR="00B8345F" w:rsidRDefault="00B8345F" w:rsidP="00B8345F"/>
    <w:p w:rsidR="00B8345F" w:rsidRDefault="00B8345F" w:rsidP="00B8345F"/>
    <w:p w:rsidR="00B8345F" w:rsidRDefault="009E65D3" w:rsidP="00B8345F">
      <w:r>
        <w:t>Loretta A. Warren</w:t>
      </w:r>
      <w:r w:rsidR="00B8345F">
        <w:t xml:space="preserve"> </w:t>
      </w:r>
      <w:r w:rsidR="00B8345F">
        <w:tab/>
      </w:r>
      <w:r w:rsidR="00B8345F">
        <w:tab/>
      </w:r>
      <w:r w:rsidR="00B8345F">
        <w:tab/>
      </w:r>
      <w:r w:rsidR="00B8345F">
        <w:tab/>
      </w:r>
      <w:r w:rsidR="00B8345F">
        <w:tab/>
        <w:t>:</w:t>
      </w:r>
      <w:r w:rsidR="00B8345F">
        <w:tab/>
      </w:r>
    </w:p>
    <w:p w:rsidR="00B8345F" w:rsidRDefault="00B8345F" w:rsidP="00B8345F">
      <w:r>
        <w:tab/>
      </w:r>
      <w:r>
        <w:tab/>
      </w:r>
      <w:r>
        <w:tab/>
      </w:r>
      <w:r>
        <w:tab/>
      </w:r>
      <w:r>
        <w:tab/>
      </w:r>
      <w:r>
        <w:tab/>
      </w:r>
      <w:r>
        <w:tab/>
        <w:t>:</w:t>
      </w:r>
    </w:p>
    <w:p w:rsidR="00B8345F" w:rsidRDefault="00B8345F" w:rsidP="00B8345F">
      <w:pPr>
        <w:numPr>
          <w:ilvl w:val="0"/>
          <w:numId w:val="4"/>
        </w:numPr>
        <w:ind w:left="5040" w:hanging="4320"/>
      </w:pPr>
      <w:r>
        <w:t>:</w:t>
      </w:r>
      <w:r>
        <w:tab/>
      </w:r>
      <w:r>
        <w:tab/>
      </w:r>
      <w:r w:rsidR="009E65D3">
        <w:t>C-2014-2445857</w:t>
      </w:r>
    </w:p>
    <w:p w:rsidR="00B8345F" w:rsidRDefault="00B8345F" w:rsidP="00B8345F">
      <w:pPr>
        <w:ind w:left="5040"/>
      </w:pPr>
      <w:r>
        <w:t>:</w:t>
      </w:r>
    </w:p>
    <w:p w:rsidR="00B8345F" w:rsidRDefault="009E65D3" w:rsidP="00B8345F">
      <w:r>
        <w:t>Duquesne Light</w:t>
      </w:r>
      <w:r w:rsidR="00B8345F">
        <w:t xml:space="preserve"> Company</w:t>
      </w:r>
      <w:r w:rsidR="00B8345F">
        <w:tab/>
      </w:r>
      <w:r w:rsidR="00B8345F">
        <w:tab/>
        <w:t xml:space="preserve"> </w:t>
      </w:r>
      <w:r w:rsidR="00B8345F">
        <w:tab/>
      </w:r>
      <w:r w:rsidR="00B8345F">
        <w:tab/>
        <w:t>:</w:t>
      </w:r>
    </w:p>
    <w:p w:rsidR="00DA07D4" w:rsidRPr="004B1CE0" w:rsidRDefault="00DA07D4" w:rsidP="00DA07D4">
      <w:pPr>
        <w:jc w:val="both"/>
        <w:rPr>
          <w:rFonts w:ascii="Times New Roman" w:hAnsi="Times New Roman"/>
        </w:rPr>
      </w:pPr>
    </w:p>
    <w:p w:rsidR="00DA07D4" w:rsidRDefault="00DA07D4" w:rsidP="00DA07D4">
      <w:pPr>
        <w:jc w:val="both"/>
        <w:rPr>
          <w:rFonts w:ascii="Times New Roman" w:hAnsi="Times New Roman"/>
        </w:rPr>
      </w:pPr>
    </w:p>
    <w:p w:rsidR="000862CD" w:rsidRPr="004B1CE0" w:rsidRDefault="000862CD" w:rsidP="00DA07D4">
      <w:pPr>
        <w:jc w:val="both"/>
        <w:rPr>
          <w:rFonts w:ascii="Times New Roman" w:hAnsi="Times New Roman"/>
        </w:rPr>
      </w:pPr>
    </w:p>
    <w:p w:rsidR="00DA07D4" w:rsidRPr="000862CD" w:rsidRDefault="00DA07D4" w:rsidP="00DA07D4">
      <w:pPr>
        <w:jc w:val="center"/>
        <w:rPr>
          <w:rFonts w:ascii="Times New Roman" w:hAnsi="Times New Roman"/>
          <w:b/>
        </w:rPr>
      </w:pPr>
      <w:r w:rsidRPr="000862CD">
        <w:rPr>
          <w:rFonts w:ascii="Times New Roman" w:hAnsi="Times New Roman"/>
          <w:b/>
          <w:u w:val="single"/>
        </w:rPr>
        <w:t>INITIAL DECISION</w:t>
      </w:r>
    </w:p>
    <w:p w:rsidR="00DA07D4" w:rsidRDefault="00DA07D4" w:rsidP="00DA07D4">
      <w:pPr>
        <w:jc w:val="center"/>
        <w:rPr>
          <w:rFonts w:ascii="Times New Roman" w:hAnsi="Times New Roman"/>
        </w:rPr>
      </w:pPr>
    </w:p>
    <w:p w:rsidR="000862CD" w:rsidRPr="004B1CE0" w:rsidRDefault="000862CD" w:rsidP="00DA07D4">
      <w:pPr>
        <w:jc w:val="center"/>
        <w:rPr>
          <w:rFonts w:ascii="Times New Roman" w:hAnsi="Times New Roman"/>
        </w:rPr>
      </w:pPr>
    </w:p>
    <w:p w:rsidR="00DA07D4" w:rsidRPr="004B1CE0" w:rsidRDefault="00DA07D4" w:rsidP="00DA07D4">
      <w:pPr>
        <w:jc w:val="center"/>
        <w:rPr>
          <w:rFonts w:ascii="Times New Roman" w:hAnsi="Times New Roman"/>
        </w:rPr>
      </w:pPr>
      <w:r w:rsidRPr="004B1CE0">
        <w:rPr>
          <w:rFonts w:ascii="Times New Roman" w:hAnsi="Times New Roman"/>
        </w:rPr>
        <w:t>Before</w:t>
      </w:r>
    </w:p>
    <w:p w:rsidR="00DA07D4" w:rsidRPr="004B1CE0" w:rsidRDefault="009E65D3" w:rsidP="00DA07D4">
      <w:pPr>
        <w:jc w:val="center"/>
        <w:rPr>
          <w:rFonts w:ascii="Times New Roman" w:hAnsi="Times New Roman"/>
        </w:rPr>
      </w:pPr>
      <w:r>
        <w:rPr>
          <w:rFonts w:ascii="Times New Roman" w:hAnsi="Times New Roman"/>
        </w:rPr>
        <w:t>Katrina L. Dunderdale</w:t>
      </w:r>
    </w:p>
    <w:p w:rsidR="00DA07D4" w:rsidRPr="004B1CE0" w:rsidRDefault="00DA07D4" w:rsidP="00DA07D4">
      <w:pPr>
        <w:jc w:val="center"/>
        <w:rPr>
          <w:rFonts w:ascii="Times New Roman" w:hAnsi="Times New Roman"/>
        </w:rPr>
      </w:pPr>
      <w:r w:rsidRPr="004B1CE0">
        <w:rPr>
          <w:rFonts w:ascii="Times New Roman" w:hAnsi="Times New Roman"/>
        </w:rPr>
        <w:t>Administrative Law Judge</w:t>
      </w:r>
    </w:p>
    <w:p w:rsidR="00DA07D4" w:rsidRDefault="00DA07D4" w:rsidP="00DA07D4">
      <w:pPr>
        <w:jc w:val="both"/>
        <w:rPr>
          <w:rFonts w:ascii="Times New Roman" w:hAnsi="Times New Roman"/>
        </w:rPr>
      </w:pPr>
    </w:p>
    <w:p w:rsidR="000862CD" w:rsidRPr="004B1CE0" w:rsidRDefault="000862CD" w:rsidP="00DA07D4">
      <w:pPr>
        <w:jc w:val="both"/>
        <w:rPr>
          <w:rFonts w:ascii="Times New Roman" w:hAnsi="Times New Roman"/>
        </w:rPr>
      </w:pPr>
    </w:p>
    <w:p w:rsidR="00C470AD" w:rsidRDefault="00DA07D4" w:rsidP="00E02444">
      <w:pPr>
        <w:spacing w:line="360" w:lineRule="auto"/>
        <w:rPr>
          <w:rFonts w:ascii="Times New Roman" w:hAnsi="Times New Roman"/>
        </w:rPr>
      </w:pPr>
      <w:r w:rsidRPr="004B1CE0">
        <w:rPr>
          <w:rFonts w:ascii="Times New Roman" w:hAnsi="Times New Roman"/>
        </w:rPr>
        <w:tab/>
      </w:r>
      <w:r w:rsidRPr="004B1CE0">
        <w:rPr>
          <w:rFonts w:ascii="Times New Roman" w:hAnsi="Times New Roman"/>
        </w:rPr>
        <w:tab/>
        <w:t xml:space="preserve">This Initial Decision </w:t>
      </w:r>
      <w:r w:rsidR="00E02444">
        <w:rPr>
          <w:rFonts w:ascii="Times New Roman" w:hAnsi="Times New Roman"/>
        </w:rPr>
        <w:t>d</w:t>
      </w:r>
      <w:r w:rsidR="00C470AD">
        <w:rPr>
          <w:rFonts w:ascii="Times New Roman" w:hAnsi="Times New Roman"/>
        </w:rPr>
        <w:t>ismisses</w:t>
      </w:r>
      <w:r w:rsidR="00E02444">
        <w:rPr>
          <w:rFonts w:ascii="Times New Roman" w:hAnsi="Times New Roman"/>
        </w:rPr>
        <w:t xml:space="preserve"> </w:t>
      </w:r>
      <w:r w:rsidRPr="004B1CE0">
        <w:rPr>
          <w:rFonts w:ascii="Times New Roman" w:hAnsi="Times New Roman"/>
        </w:rPr>
        <w:t xml:space="preserve">the formal complaint filed </w:t>
      </w:r>
      <w:r w:rsidR="00C470AD">
        <w:rPr>
          <w:rFonts w:ascii="Times New Roman" w:hAnsi="Times New Roman"/>
        </w:rPr>
        <w:t>with the Pennsylva</w:t>
      </w:r>
      <w:r w:rsidR="009E65D3">
        <w:rPr>
          <w:rFonts w:ascii="Times New Roman" w:hAnsi="Times New Roman"/>
        </w:rPr>
        <w:t>nia Public Utility Commission (</w:t>
      </w:r>
      <w:r w:rsidR="00C470AD">
        <w:rPr>
          <w:rFonts w:ascii="Times New Roman" w:hAnsi="Times New Roman"/>
        </w:rPr>
        <w:t xml:space="preserve">Commission) </w:t>
      </w:r>
      <w:r w:rsidRPr="004B1CE0">
        <w:rPr>
          <w:rFonts w:ascii="Times New Roman" w:hAnsi="Times New Roman"/>
        </w:rPr>
        <w:t xml:space="preserve">by </w:t>
      </w:r>
      <w:r w:rsidR="009E65D3">
        <w:rPr>
          <w:rFonts w:ascii="Times New Roman" w:hAnsi="Times New Roman"/>
        </w:rPr>
        <w:t>Loretta A. Warren</w:t>
      </w:r>
      <w:r w:rsidR="00935C86">
        <w:rPr>
          <w:rFonts w:ascii="Times New Roman" w:hAnsi="Times New Roman"/>
        </w:rPr>
        <w:t xml:space="preserve"> </w:t>
      </w:r>
      <w:r w:rsidR="00C470AD">
        <w:rPr>
          <w:rFonts w:ascii="Times New Roman" w:hAnsi="Times New Roman"/>
        </w:rPr>
        <w:t>(</w:t>
      </w:r>
      <w:r w:rsidR="009E65D3">
        <w:rPr>
          <w:rFonts w:ascii="Times New Roman" w:hAnsi="Times New Roman"/>
        </w:rPr>
        <w:t>Complainant or Ms. Warren</w:t>
      </w:r>
      <w:r w:rsidR="00C470AD">
        <w:rPr>
          <w:rFonts w:ascii="Times New Roman" w:hAnsi="Times New Roman"/>
        </w:rPr>
        <w:t>)</w:t>
      </w:r>
      <w:r w:rsidRPr="004B1CE0">
        <w:rPr>
          <w:rFonts w:ascii="Times New Roman" w:hAnsi="Times New Roman"/>
        </w:rPr>
        <w:t xml:space="preserve"> against </w:t>
      </w:r>
      <w:r w:rsidR="009E65D3">
        <w:rPr>
          <w:rFonts w:ascii="Times New Roman" w:hAnsi="Times New Roman"/>
        </w:rPr>
        <w:t>Duquesne Light</w:t>
      </w:r>
      <w:r w:rsidR="00935C86">
        <w:rPr>
          <w:rFonts w:ascii="Times New Roman" w:hAnsi="Times New Roman"/>
        </w:rPr>
        <w:t xml:space="preserve"> Company (</w:t>
      </w:r>
      <w:r w:rsidR="009E65D3">
        <w:rPr>
          <w:rFonts w:ascii="Times New Roman" w:hAnsi="Times New Roman"/>
        </w:rPr>
        <w:t>Duquesne Light</w:t>
      </w:r>
      <w:r w:rsidR="00EA22FA" w:rsidRPr="004B1CE0">
        <w:rPr>
          <w:rFonts w:ascii="Times New Roman" w:hAnsi="Times New Roman"/>
        </w:rPr>
        <w:t xml:space="preserve"> or Respondent)</w:t>
      </w:r>
      <w:r w:rsidRPr="004B1CE0">
        <w:rPr>
          <w:rFonts w:ascii="Times New Roman" w:hAnsi="Times New Roman"/>
        </w:rPr>
        <w:t xml:space="preserve">, at Docket No. </w:t>
      </w:r>
      <w:proofErr w:type="gramStart"/>
      <w:r w:rsidR="00464A92">
        <w:rPr>
          <w:rFonts w:ascii="Times New Roman" w:hAnsi="Times New Roman"/>
        </w:rPr>
        <w:t>C-2014-</w:t>
      </w:r>
      <w:r w:rsidR="009E65D3">
        <w:rPr>
          <w:rFonts w:ascii="Times New Roman" w:hAnsi="Times New Roman"/>
        </w:rPr>
        <w:t>2445857</w:t>
      </w:r>
      <w:r w:rsidR="00B93F88">
        <w:rPr>
          <w:rFonts w:ascii="Times New Roman" w:hAnsi="Times New Roman"/>
        </w:rPr>
        <w:t xml:space="preserve"> for failure to meet the burden of proof.</w:t>
      </w:r>
      <w:proofErr w:type="gramEnd"/>
    </w:p>
    <w:p w:rsidR="00C470AD" w:rsidRDefault="00C470AD" w:rsidP="00E02444">
      <w:pPr>
        <w:spacing w:line="360" w:lineRule="auto"/>
        <w:rPr>
          <w:rFonts w:ascii="Times New Roman" w:hAnsi="Times New Roman"/>
        </w:rPr>
      </w:pPr>
    </w:p>
    <w:p w:rsidR="00DA07D4" w:rsidRDefault="003B2E9D" w:rsidP="00C470AD">
      <w:pPr>
        <w:spacing w:line="360" w:lineRule="auto"/>
        <w:jc w:val="center"/>
        <w:rPr>
          <w:rFonts w:ascii="Times New Roman" w:hAnsi="Times New Roman"/>
          <w:u w:val="single"/>
        </w:rPr>
      </w:pPr>
      <w:r w:rsidRPr="004B1CE0">
        <w:rPr>
          <w:rFonts w:ascii="Times New Roman" w:hAnsi="Times New Roman"/>
          <w:u w:val="single"/>
        </w:rPr>
        <w:t>HISTORY OF THE PROCEEDING</w:t>
      </w:r>
    </w:p>
    <w:p w:rsidR="00C470AD" w:rsidRDefault="00C470AD" w:rsidP="00C470AD">
      <w:pPr>
        <w:spacing w:line="360" w:lineRule="auto"/>
        <w:rPr>
          <w:rFonts w:ascii="Times New Roman" w:hAnsi="Times New Roman"/>
          <w:u w:val="single"/>
        </w:rPr>
      </w:pPr>
    </w:p>
    <w:p w:rsidR="0087202B" w:rsidRDefault="00C470AD" w:rsidP="00C470AD">
      <w:pPr>
        <w:spacing w:line="360" w:lineRule="auto"/>
        <w:rPr>
          <w:rFonts w:ascii="Times New Roman" w:hAnsi="Times New Roman"/>
        </w:rPr>
      </w:pPr>
      <w:r>
        <w:rPr>
          <w:rFonts w:ascii="Times New Roman" w:hAnsi="Times New Roman"/>
        </w:rPr>
        <w:tab/>
      </w:r>
      <w:r>
        <w:rPr>
          <w:rFonts w:ascii="Times New Roman" w:hAnsi="Times New Roman"/>
        </w:rPr>
        <w:tab/>
      </w:r>
      <w:r w:rsidR="009E65D3">
        <w:rPr>
          <w:rFonts w:ascii="Times New Roman" w:hAnsi="Times New Roman"/>
        </w:rPr>
        <w:t>Ms. Warren</w:t>
      </w:r>
      <w:r w:rsidR="00F7009D">
        <w:rPr>
          <w:rFonts w:ascii="Times New Roman" w:hAnsi="Times New Roman"/>
        </w:rPr>
        <w:t xml:space="preserve"> filed </w:t>
      </w:r>
      <w:r w:rsidR="009E65D3">
        <w:rPr>
          <w:rFonts w:ascii="Times New Roman" w:hAnsi="Times New Roman"/>
        </w:rPr>
        <w:t>her</w:t>
      </w:r>
      <w:r w:rsidR="00F7009D">
        <w:rPr>
          <w:rFonts w:ascii="Times New Roman" w:hAnsi="Times New Roman"/>
        </w:rPr>
        <w:t xml:space="preserve"> </w:t>
      </w:r>
      <w:r w:rsidR="00DF09A5">
        <w:rPr>
          <w:rFonts w:ascii="Times New Roman" w:hAnsi="Times New Roman"/>
        </w:rPr>
        <w:t>c</w:t>
      </w:r>
      <w:r w:rsidR="00DA07D4" w:rsidRPr="004B1CE0">
        <w:rPr>
          <w:rFonts w:ascii="Times New Roman" w:hAnsi="Times New Roman"/>
        </w:rPr>
        <w:t xml:space="preserve">omplaint against </w:t>
      </w:r>
      <w:r w:rsidR="009E65D3">
        <w:rPr>
          <w:rFonts w:ascii="Times New Roman" w:hAnsi="Times New Roman"/>
        </w:rPr>
        <w:t>Duquesne Light</w:t>
      </w:r>
      <w:r w:rsidR="00B8345F">
        <w:rPr>
          <w:rFonts w:ascii="Times New Roman" w:hAnsi="Times New Roman"/>
        </w:rPr>
        <w:t xml:space="preserve"> on </w:t>
      </w:r>
      <w:r w:rsidR="009E65D3">
        <w:rPr>
          <w:rFonts w:ascii="Times New Roman" w:hAnsi="Times New Roman"/>
        </w:rPr>
        <w:t>September 25, 2014, alleging Duquesne Light</w:t>
      </w:r>
      <w:r w:rsidR="00B8345F">
        <w:rPr>
          <w:rFonts w:ascii="Times New Roman" w:hAnsi="Times New Roman"/>
        </w:rPr>
        <w:t xml:space="preserve"> wrongly </w:t>
      </w:r>
      <w:r w:rsidR="009E65D3">
        <w:rPr>
          <w:rFonts w:ascii="Times New Roman" w:hAnsi="Times New Roman"/>
        </w:rPr>
        <w:t xml:space="preserve">terminated service to her </w:t>
      </w:r>
      <w:r w:rsidR="00464A92">
        <w:rPr>
          <w:rFonts w:ascii="Times New Roman" w:hAnsi="Times New Roman"/>
        </w:rPr>
        <w:t>rental property and now wrongly</w:t>
      </w:r>
      <w:r w:rsidR="009E65D3">
        <w:rPr>
          <w:rFonts w:ascii="Times New Roman" w:hAnsi="Times New Roman"/>
        </w:rPr>
        <w:t xml:space="preserve"> accuses her </w:t>
      </w:r>
      <w:r w:rsidR="00B8345F">
        <w:rPr>
          <w:rFonts w:ascii="Times New Roman" w:hAnsi="Times New Roman"/>
        </w:rPr>
        <w:t xml:space="preserve">of tampering with the electric meter at </w:t>
      </w:r>
      <w:r w:rsidR="009E65D3">
        <w:rPr>
          <w:rFonts w:ascii="Times New Roman" w:hAnsi="Times New Roman"/>
        </w:rPr>
        <w:t>the service address when no one resided there</w:t>
      </w:r>
      <w:r w:rsidR="00A003FD">
        <w:rPr>
          <w:rFonts w:ascii="Times New Roman" w:hAnsi="Times New Roman"/>
        </w:rPr>
        <w:t>.</w:t>
      </w:r>
      <w:r w:rsidR="00B8345F">
        <w:rPr>
          <w:rFonts w:ascii="Times New Roman" w:hAnsi="Times New Roman"/>
        </w:rPr>
        <w:t xml:space="preserve">  </w:t>
      </w:r>
      <w:r w:rsidR="00F7009D">
        <w:rPr>
          <w:rFonts w:ascii="Times New Roman" w:hAnsi="Times New Roman"/>
        </w:rPr>
        <w:t>As relief,</w:t>
      </w:r>
      <w:r w:rsidR="009E65D3">
        <w:rPr>
          <w:rFonts w:ascii="Times New Roman" w:hAnsi="Times New Roman"/>
        </w:rPr>
        <w:t xml:space="preserve"> s</w:t>
      </w:r>
      <w:r w:rsidR="00F7009D">
        <w:rPr>
          <w:rFonts w:ascii="Times New Roman" w:hAnsi="Times New Roman"/>
        </w:rPr>
        <w:t xml:space="preserve">he requests </w:t>
      </w:r>
      <w:r w:rsidR="009E65D3">
        <w:rPr>
          <w:rFonts w:ascii="Times New Roman" w:hAnsi="Times New Roman"/>
        </w:rPr>
        <w:t>an on-site inspection by Duquesne Light</w:t>
      </w:r>
      <w:r w:rsidR="00B8345F">
        <w:rPr>
          <w:rFonts w:ascii="Times New Roman" w:hAnsi="Times New Roman"/>
        </w:rPr>
        <w:t xml:space="preserve"> and a finding </w:t>
      </w:r>
      <w:r w:rsidR="009E65D3">
        <w:rPr>
          <w:rFonts w:ascii="Times New Roman" w:hAnsi="Times New Roman"/>
        </w:rPr>
        <w:t>Duquesne Light</w:t>
      </w:r>
      <w:r w:rsidR="00B8345F">
        <w:rPr>
          <w:rFonts w:ascii="Times New Roman" w:hAnsi="Times New Roman"/>
        </w:rPr>
        <w:t xml:space="preserve"> wrongly accused </w:t>
      </w:r>
      <w:r w:rsidR="009E65D3">
        <w:rPr>
          <w:rFonts w:ascii="Times New Roman" w:hAnsi="Times New Roman"/>
        </w:rPr>
        <w:t>her</w:t>
      </w:r>
      <w:r w:rsidR="00977781">
        <w:rPr>
          <w:rFonts w:ascii="Times New Roman" w:hAnsi="Times New Roman"/>
        </w:rPr>
        <w:t xml:space="preserve"> </w:t>
      </w:r>
      <w:r w:rsidR="00B8345F">
        <w:rPr>
          <w:rFonts w:ascii="Times New Roman" w:hAnsi="Times New Roman"/>
        </w:rPr>
        <w:t xml:space="preserve">of tampering with the meter at </w:t>
      </w:r>
      <w:r w:rsidR="009E65D3">
        <w:rPr>
          <w:rFonts w:ascii="Times New Roman" w:hAnsi="Times New Roman"/>
        </w:rPr>
        <w:t>the service address</w:t>
      </w:r>
      <w:r w:rsidR="00B8345F">
        <w:rPr>
          <w:rFonts w:ascii="Times New Roman" w:hAnsi="Times New Roman"/>
        </w:rPr>
        <w:t xml:space="preserve">.   </w:t>
      </w:r>
      <w:r w:rsidR="00F7009D">
        <w:rPr>
          <w:rFonts w:ascii="Times New Roman" w:hAnsi="Times New Roman"/>
        </w:rPr>
        <w:t xml:space="preserve"> </w:t>
      </w:r>
    </w:p>
    <w:p w:rsidR="0087202B" w:rsidRDefault="0087202B" w:rsidP="00C470AD">
      <w:pPr>
        <w:spacing w:line="360" w:lineRule="auto"/>
        <w:rPr>
          <w:rFonts w:ascii="Times New Roman" w:hAnsi="Times New Roman"/>
        </w:rPr>
      </w:pPr>
    </w:p>
    <w:p w:rsidR="007953AD" w:rsidRDefault="0087202B" w:rsidP="003C2538">
      <w:pPr>
        <w:spacing w:line="360" w:lineRule="auto"/>
        <w:rPr>
          <w:rFonts w:ascii="Times New Roman" w:hAnsi="Times New Roman"/>
        </w:rPr>
      </w:pPr>
      <w:r>
        <w:rPr>
          <w:rFonts w:ascii="Times New Roman" w:hAnsi="Times New Roman"/>
        </w:rPr>
        <w:tab/>
      </w:r>
      <w:r>
        <w:rPr>
          <w:rFonts w:ascii="Times New Roman" w:hAnsi="Times New Roman"/>
        </w:rPr>
        <w:tab/>
      </w:r>
      <w:r w:rsidR="00CA2CA7">
        <w:rPr>
          <w:rFonts w:ascii="Times New Roman" w:hAnsi="Times New Roman"/>
        </w:rPr>
        <w:t xml:space="preserve">On </w:t>
      </w:r>
      <w:r w:rsidR="00AD2C4B">
        <w:rPr>
          <w:rFonts w:ascii="Times New Roman" w:hAnsi="Times New Roman"/>
        </w:rPr>
        <w:t>October 22, 2014</w:t>
      </w:r>
      <w:r w:rsidR="003C2538">
        <w:rPr>
          <w:rFonts w:ascii="Times New Roman" w:hAnsi="Times New Roman"/>
        </w:rPr>
        <w:t xml:space="preserve">, </w:t>
      </w:r>
      <w:r w:rsidR="00AD2C4B">
        <w:rPr>
          <w:rFonts w:ascii="Times New Roman" w:hAnsi="Times New Roman"/>
        </w:rPr>
        <w:t xml:space="preserve">Duquesne Light </w:t>
      </w:r>
      <w:r w:rsidR="003C2538">
        <w:rPr>
          <w:rFonts w:ascii="Times New Roman" w:hAnsi="Times New Roman"/>
        </w:rPr>
        <w:t>f</w:t>
      </w:r>
      <w:r w:rsidR="00CA2CA7">
        <w:rPr>
          <w:rFonts w:ascii="Times New Roman" w:hAnsi="Times New Roman"/>
        </w:rPr>
        <w:t>iled an answer</w:t>
      </w:r>
      <w:r w:rsidR="003C2538">
        <w:rPr>
          <w:rFonts w:ascii="Times New Roman" w:hAnsi="Times New Roman"/>
        </w:rPr>
        <w:t xml:space="preserve"> and requested the relief sought by Complainant be denied and the complaint be dismissed.</w:t>
      </w:r>
    </w:p>
    <w:p w:rsidR="003C2538" w:rsidRDefault="003C2538" w:rsidP="003C2538">
      <w:pPr>
        <w:spacing w:line="360" w:lineRule="auto"/>
      </w:pPr>
    </w:p>
    <w:p w:rsidR="00E31120" w:rsidRDefault="001721F5" w:rsidP="001719B7">
      <w:pPr>
        <w:spacing w:line="360" w:lineRule="auto"/>
        <w:ind w:firstLine="1440"/>
        <w:rPr>
          <w:rFonts w:ascii="Times New Roman" w:hAnsi="Times New Roman"/>
        </w:rPr>
      </w:pPr>
      <w:r>
        <w:rPr>
          <w:rFonts w:ascii="Times New Roman" w:hAnsi="Times New Roman"/>
        </w:rPr>
        <w:lastRenderedPageBreak/>
        <w:t xml:space="preserve">On </w:t>
      </w:r>
      <w:r w:rsidR="00E31120">
        <w:rPr>
          <w:rFonts w:ascii="Times New Roman" w:hAnsi="Times New Roman"/>
        </w:rPr>
        <w:t>December 9, 2014</w:t>
      </w:r>
      <w:r w:rsidR="003C2538">
        <w:rPr>
          <w:rFonts w:ascii="Times New Roman" w:hAnsi="Times New Roman"/>
        </w:rPr>
        <w:t xml:space="preserve">, </w:t>
      </w:r>
      <w:r w:rsidR="00E31120">
        <w:rPr>
          <w:rFonts w:ascii="Times New Roman" w:hAnsi="Times New Roman"/>
        </w:rPr>
        <w:t xml:space="preserve">the Office of Administrative Law Judge (OALJ) mailed </w:t>
      </w:r>
      <w:r w:rsidR="003C2538">
        <w:rPr>
          <w:rFonts w:ascii="Times New Roman" w:hAnsi="Times New Roman"/>
        </w:rPr>
        <w:t xml:space="preserve">a </w:t>
      </w:r>
      <w:r w:rsidR="00E31120">
        <w:rPr>
          <w:rFonts w:ascii="Times New Roman" w:hAnsi="Times New Roman"/>
        </w:rPr>
        <w:t xml:space="preserve">Call-In Telephone </w:t>
      </w:r>
      <w:r>
        <w:rPr>
          <w:rFonts w:ascii="Times New Roman" w:hAnsi="Times New Roman"/>
        </w:rPr>
        <w:t>H</w:t>
      </w:r>
      <w:r w:rsidR="00E31120">
        <w:rPr>
          <w:rFonts w:ascii="Times New Roman" w:hAnsi="Times New Roman"/>
        </w:rPr>
        <w:t>earing Notice to the parties</w:t>
      </w:r>
      <w:r w:rsidR="003C2538">
        <w:rPr>
          <w:rFonts w:ascii="Times New Roman" w:hAnsi="Times New Roman"/>
        </w:rPr>
        <w:t xml:space="preserve"> scheduling a</w:t>
      </w:r>
      <w:r w:rsidR="00E31120">
        <w:rPr>
          <w:rFonts w:ascii="Times New Roman" w:hAnsi="Times New Roman"/>
        </w:rPr>
        <w:t xml:space="preserve"> telephonic h</w:t>
      </w:r>
      <w:r w:rsidR="003C2538">
        <w:rPr>
          <w:rFonts w:ascii="Times New Roman" w:hAnsi="Times New Roman"/>
        </w:rPr>
        <w:t xml:space="preserve">earing for Monday, </w:t>
      </w:r>
      <w:r w:rsidR="00E31120">
        <w:rPr>
          <w:rFonts w:ascii="Times New Roman" w:hAnsi="Times New Roman"/>
        </w:rPr>
        <w:t>January 26, 2015</w:t>
      </w:r>
      <w:r w:rsidR="003C2538">
        <w:rPr>
          <w:rFonts w:ascii="Times New Roman" w:hAnsi="Times New Roman"/>
        </w:rPr>
        <w:t xml:space="preserve"> at 10:00</w:t>
      </w:r>
      <w:r w:rsidR="00F22F7D">
        <w:rPr>
          <w:rFonts w:ascii="Times New Roman" w:hAnsi="Times New Roman"/>
        </w:rPr>
        <w:t> </w:t>
      </w:r>
      <w:r w:rsidR="003C2538">
        <w:rPr>
          <w:rFonts w:ascii="Times New Roman" w:hAnsi="Times New Roman"/>
        </w:rPr>
        <w:t>a.m.</w:t>
      </w:r>
      <w:r>
        <w:rPr>
          <w:rFonts w:ascii="Times New Roman" w:hAnsi="Times New Roman"/>
        </w:rPr>
        <w:t xml:space="preserve">  On </w:t>
      </w:r>
      <w:r w:rsidR="00E31120">
        <w:rPr>
          <w:rFonts w:ascii="Times New Roman" w:hAnsi="Times New Roman"/>
        </w:rPr>
        <w:t>December 15, 2014</w:t>
      </w:r>
      <w:r w:rsidR="003C2538">
        <w:rPr>
          <w:rFonts w:ascii="Times New Roman" w:hAnsi="Times New Roman"/>
        </w:rPr>
        <w:t xml:space="preserve">, </w:t>
      </w:r>
      <w:r w:rsidR="00E31120">
        <w:rPr>
          <w:rFonts w:ascii="Times New Roman" w:hAnsi="Times New Roman"/>
        </w:rPr>
        <w:t xml:space="preserve">the Administrative Law Judge (ALJ) issued </w:t>
      </w:r>
      <w:r>
        <w:rPr>
          <w:rFonts w:ascii="Times New Roman" w:hAnsi="Times New Roman"/>
        </w:rPr>
        <w:t xml:space="preserve">a Prehearing Order.  </w:t>
      </w:r>
    </w:p>
    <w:p w:rsidR="00E31120" w:rsidRDefault="00E31120" w:rsidP="001719B7">
      <w:pPr>
        <w:spacing w:line="360" w:lineRule="auto"/>
        <w:ind w:firstLine="1440"/>
        <w:rPr>
          <w:rFonts w:ascii="Times New Roman" w:hAnsi="Times New Roman"/>
        </w:rPr>
      </w:pPr>
    </w:p>
    <w:p w:rsidR="0087202B" w:rsidRDefault="00E31120" w:rsidP="001719B7">
      <w:pPr>
        <w:spacing w:line="360" w:lineRule="auto"/>
        <w:ind w:firstLine="1440"/>
        <w:rPr>
          <w:rFonts w:ascii="Times New Roman" w:hAnsi="Times New Roman"/>
        </w:rPr>
      </w:pPr>
      <w:r>
        <w:rPr>
          <w:rFonts w:ascii="Times New Roman" w:hAnsi="Times New Roman"/>
        </w:rPr>
        <w:t>The ALJ conducted t</w:t>
      </w:r>
      <w:r w:rsidR="001721F5">
        <w:rPr>
          <w:rFonts w:ascii="Times New Roman" w:hAnsi="Times New Roman"/>
        </w:rPr>
        <w:t>he</w:t>
      </w:r>
      <w:r w:rsidR="003C2538">
        <w:rPr>
          <w:rFonts w:ascii="Times New Roman" w:hAnsi="Times New Roman"/>
        </w:rPr>
        <w:t xml:space="preserve"> </w:t>
      </w:r>
      <w:r w:rsidR="001721F5">
        <w:rPr>
          <w:rFonts w:ascii="Times New Roman" w:hAnsi="Times New Roman"/>
        </w:rPr>
        <w:t xml:space="preserve">initial </w:t>
      </w:r>
      <w:r w:rsidR="003C2538">
        <w:rPr>
          <w:rFonts w:ascii="Times New Roman" w:hAnsi="Times New Roman"/>
        </w:rPr>
        <w:t>he</w:t>
      </w:r>
      <w:r w:rsidR="001721F5">
        <w:rPr>
          <w:rFonts w:ascii="Times New Roman" w:hAnsi="Times New Roman"/>
        </w:rPr>
        <w:t xml:space="preserve">aring </w:t>
      </w:r>
      <w:r>
        <w:rPr>
          <w:rFonts w:ascii="Times New Roman" w:hAnsi="Times New Roman"/>
        </w:rPr>
        <w:t xml:space="preserve">as </w:t>
      </w:r>
      <w:r w:rsidR="003C2538">
        <w:rPr>
          <w:rFonts w:ascii="Times New Roman" w:hAnsi="Times New Roman"/>
        </w:rPr>
        <w:t>scheduled</w:t>
      </w:r>
      <w:r>
        <w:rPr>
          <w:rFonts w:ascii="Times New Roman" w:hAnsi="Times New Roman"/>
        </w:rPr>
        <w:t xml:space="preserve"> at which Ms. Warren</w:t>
      </w:r>
      <w:r w:rsidR="003C2538">
        <w:rPr>
          <w:rFonts w:ascii="Times New Roman" w:hAnsi="Times New Roman"/>
        </w:rPr>
        <w:t xml:space="preserve"> appeared </w:t>
      </w:r>
      <w:r w:rsidR="003C2538">
        <w:rPr>
          <w:rFonts w:ascii="Times New Roman" w:hAnsi="Times New Roman"/>
          <w:i/>
        </w:rPr>
        <w:t xml:space="preserve">pro </w:t>
      </w:r>
      <w:r w:rsidR="003C2538" w:rsidRPr="003C2538">
        <w:rPr>
          <w:rFonts w:ascii="Times New Roman" w:hAnsi="Times New Roman"/>
          <w:i/>
        </w:rPr>
        <w:t xml:space="preserve">se </w:t>
      </w:r>
      <w:r w:rsidR="003C2538">
        <w:rPr>
          <w:rFonts w:ascii="Times New Roman" w:hAnsi="Times New Roman"/>
        </w:rPr>
        <w:t xml:space="preserve">and testified on </w:t>
      </w:r>
      <w:r>
        <w:rPr>
          <w:rFonts w:ascii="Times New Roman" w:hAnsi="Times New Roman"/>
        </w:rPr>
        <w:t>her own behalf.  Sh</w:t>
      </w:r>
      <w:r w:rsidR="003C2538">
        <w:rPr>
          <w:rFonts w:ascii="Times New Roman" w:hAnsi="Times New Roman"/>
        </w:rPr>
        <w:t xml:space="preserve">e did not present any additional witnesses or offer any exhibits.  </w:t>
      </w:r>
      <w:r>
        <w:rPr>
          <w:rFonts w:ascii="Times New Roman" w:hAnsi="Times New Roman"/>
        </w:rPr>
        <w:t xml:space="preserve">Jeremy </w:t>
      </w:r>
      <w:r w:rsidR="003529A5">
        <w:rPr>
          <w:rFonts w:ascii="Times New Roman" w:hAnsi="Times New Roman"/>
        </w:rPr>
        <w:t xml:space="preserve">V. </w:t>
      </w:r>
      <w:r>
        <w:rPr>
          <w:rFonts w:ascii="Times New Roman" w:hAnsi="Times New Roman"/>
        </w:rPr>
        <w:t>Farrell</w:t>
      </w:r>
      <w:r w:rsidR="003C2538">
        <w:rPr>
          <w:rFonts w:ascii="Times New Roman" w:hAnsi="Times New Roman"/>
        </w:rPr>
        <w:t xml:space="preserve">, Esquire, appeared on behalf of </w:t>
      </w:r>
      <w:r>
        <w:rPr>
          <w:rFonts w:ascii="Times New Roman" w:hAnsi="Times New Roman"/>
        </w:rPr>
        <w:t xml:space="preserve">Duquesne Light and </w:t>
      </w:r>
      <w:r w:rsidR="001719B7">
        <w:rPr>
          <w:rFonts w:ascii="Times New Roman" w:hAnsi="Times New Roman"/>
        </w:rPr>
        <w:t xml:space="preserve">presented </w:t>
      </w:r>
      <w:r>
        <w:rPr>
          <w:rFonts w:ascii="Times New Roman" w:hAnsi="Times New Roman"/>
        </w:rPr>
        <w:t>two</w:t>
      </w:r>
      <w:r w:rsidR="001719B7">
        <w:rPr>
          <w:rFonts w:ascii="Times New Roman" w:hAnsi="Times New Roman"/>
        </w:rPr>
        <w:t xml:space="preserve"> witnesses at the hearing</w:t>
      </w:r>
      <w:r>
        <w:rPr>
          <w:rFonts w:ascii="Times New Roman" w:hAnsi="Times New Roman"/>
        </w:rPr>
        <w:t xml:space="preserve">: </w:t>
      </w:r>
      <w:r w:rsidR="003529A5">
        <w:rPr>
          <w:rFonts w:ascii="Times New Roman" w:hAnsi="Times New Roman"/>
        </w:rPr>
        <w:t xml:space="preserve"> </w:t>
      </w:r>
      <w:r>
        <w:rPr>
          <w:rFonts w:ascii="Times New Roman" w:hAnsi="Times New Roman"/>
        </w:rPr>
        <w:t>John Petro and Candace Mercer</w:t>
      </w:r>
      <w:r w:rsidR="003C2538">
        <w:rPr>
          <w:rFonts w:ascii="Times New Roman" w:hAnsi="Times New Roman"/>
        </w:rPr>
        <w:t xml:space="preserve">.  </w:t>
      </w:r>
      <w:r w:rsidR="001719B7">
        <w:rPr>
          <w:rFonts w:ascii="Times New Roman" w:hAnsi="Times New Roman"/>
        </w:rPr>
        <w:t xml:space="preserve">In addition, </w:t>
      </w:r>
      <w:r>
        <w:rPr>
          <w:rFonts w:ascii="Times New Roman" w:hAnsi="Times New Roman"/>
        </w:rPr>
        <w:t>Duquesne Light</w:t>
      </w:r>
      <w:r w:rsidR="003C2538">
        <w:rPr>
          <w:rFonts w:ascii="Times New Roman" w:hAnsi="Times New Roman"/>
        </w:rPr>
        <w:t xml:space="preserve"> offered </w:t>
      </w:r>
      <w:r>
        <w:rPr>
          <w:rFonts w:ascii="Times New Roman" w:hAnsi="Times New Roman"/>
        </w:rPr>
        <w:t>eight</w:t>
      </w:r>
      <w:r w:rsidR="003C2538">
        <w:rPr>
          <w:rFonts w:ascii="Times New Roman" w:hAnsi="Times New Roman"/>
        </w:rPr>
        <w:t xml:space="preserve"> exhibits that were marked and admitted as </w:t>
      </w:r>
      <w:r>
        <w:rPr>
          <w:rFonts w:ascii="Times New Roman" w:hAnsi="Times New Roman"/>
        </w:rPr>
        <w:t>Duquesne Light</w:t>
      </w:r>
      <w:r w:rsidR="003C2538">
        <w:rPr>
          <w:rFonts w:ascii="Times New Roman" w:hAnsi="Times New Roman"/>
        </w:rPr>
        <w:t xml:space="preserve"> Exhibit</w:t>
      </w:r>
      <w:r>
        <w:rPr>
          <w:rFonts w:ascii="Times New Roman" w:hAnsi="Times New Roman"/>
        </w:rPr>
        <w:t>s</w:t>
      </w:r>
      <w:r w:rsidR="005A3224">
        <w:rPr>
          <w:rFonts w:ascii="Times New Roman" w:hAnsi="Times New Roman"/>
        </w:rPr>
        <w:t> </w:t>
      </w:r>
      <w:r w:rsidR="003C2538">
        <w:rPr>
          <w:rFonts w:ascii="Times New Roman" w:hAnsi="Times New Roman"/>
        </w:rPr>
        <w:t>1</w:t>
      </w:r>
      <w:r>
        <w:rPr>
          <w:rFonts w:ascii="Times New Roman" w:hAnsi="Times New Roman"/>
        </w:rPr>
        <w:t>, 2, 4, 5, 8, 9, 13 and 17</w:t>
      </w:r>
      <w:r w:rsidR="003C2538">
        <w:rPr>
          <w:rFonts w:ascii="Times New Roman" w:hAnsi="Times New Roman"/>
        </w:rPr>
        <w:t xml:space="preserve">.  </w:t>
      </w:r>
      <w:r w:rsidR="001719B7">
        <w:rPr>
          <w:rFonts w:ascii="Times New Roman" w:hAnsi="Times New Roman"/>
        </w:rPr>
        <w:t xml:space="preserve">No briefs were filed.  The record consists of </w:t>
      </w:r>
      <w:proofErr w:type="gramStart"/>
      <w:r w:rsidR="001719B7">
        <w:rPr>
          <w:rFonts w:ascii="Times New Roman" w:hAnsi="Times New Roman"/>
        </w:rPr>
        <w:t>a</w:t>
      </w:r>
      <w:proofErr w:type="gramEnd"/>
      <w:r w:rsidR="001719B7">
        <w:rPr>
          <w:rFonts w:ascii="Times New Roman" w:hAnsi="Times New Roman"/>
        </w:rPr>
        <w:t xml:space="preserve"> 8</w:t>
      </w:r>
      <w:r>
        <w:rPr>
          <w:rFonts w:ascii="Times New Roman" w:hAnsi="Times New Roman"/>
        </w:rPr>
        <w:t>4</w:t>
      </w:r>
      <w:r w:rsidR="001719B7">
        <w:rPr>
          <w:rFonts w:ascii="Times New Roman" w:hAnsi="Times New Roman"/>
        </w:rPr>
        <w:t>-</w:t>
      </w:r>
      <w:r w:rsidR="005A3224">
        <w:rPr>
          <w:rFonts w:ascii="Times New Roman" w:hAnsi="Times New Roman"/>
        </w:rPr>
        <w:t xml:space="preserve">page </w:t>
      </w:r>
      <w:r w:rsidR="001719B7">
        <w:rPr>
          <w:rFonts w:ascii="Times New Roman" w:hAnsi="Times New Roman"/>
        </w:rPr>
        <w:t xml:space="preserve">transcript of the testimony from the </w:t>
      </w:r>
      <w:r>
        <w:rPr>
          <w:rFonts w:ascii="Times New Roman" w:hAnsi="Times New Roman"/>
        </w:rPr>
        <w:t>January 26, 2015</w:t>
      </w:r>
      <w:r w:rsidR="001719B7">
        <w:rPr>
          <w:rFonts w:ascii="Times New Roman" w:hAnsi="Times New Roman"/>
        </w:rPr>
        <w:t xml:space="preserve"> hearing and the aforementioned </w:t>
      </w:r>
      <w:r>
        <w:rPr>
          <w:rFonts w:ascii="Times New Roman" w:hAnsi="Times New Roman"/>
        </w:rPr>
        <w:t>eight</w:t>
      </w:r>
      <w:r w:rsidR="001719B7">
        <w:rPr>
          <w:rFonts w:ascii="Times New Roman" w:hAnsi="Times New Roman"/>
        </w:rPr>
        <w:t xml:space="preserve"> exhibits offered by </w:t>
      </w:r>
      <w:r>
        <w:rPr>
          <w:rFonts w:ascii="Times New Roman" w:hAnsi="Times New Roman"/>
        </w:rPr>
        <w:t>Duquesne Light</w:t>
      </w:r>
      <w:r w:rsidR="003C2538">
        <w:rPr>
          <w:rFonts w:ascii="Times New Roman" w:hAnsi="Times New Roman"/>
        </w:rPr>
        <w:t>.</w:t>
      </w:r>
      <w:r w:rsidR="001719B7">
        <w:rPr>
          <w:rFonts w:ascii="Times New Roman" w:hAnsi="Times New Roman"/>
        </w:rPr>
        <w:t xml:space="preserve">  The record was closed by Interim Order dated </w:t>
      </w:r>
      <w:r>
        <w:rPr>
          <w:rFonts w:ascii="Times New Roman" w:hAnsi="Times New Roman"/>
        </w:rPr>
        <w:t>March 12, 2015</w:t>
      </w:r>
      <w:r w:rsidR="0092111F">
        <w:rPr>
          <w:rFonts w:ascii="Times New Roman" w:hAnsi="Times New Roman"/>
        </w:rPr>
        <w:t>.</w:t>
      </w:r>
      <w:r w:rsidR="001719B7">
        <w:rPr>
          <w:rFonts w:ascii="Times New Roman" w:hAnsi="Times New Roman"/>
        </w:rPr>
        <w:t xml:space="preserve">   </w:t>
      </w:r>
      <w:r w:rsidR="001721F5">
        <w:rPr>
          <w:rFonts w:ascii="Times New Roman" w:hAnsi="Times New Roman"/>
        </w:rPr>
        <w:t xml:space="preserve">   </w:t>
      </w:r>
      <w:r w:rsidR="003809FB">
        <w:rPr>
          <w:rFonts w:ascii="Times New Roman" w:hAnsi="Times New Roman"/>
        </w:rPr>
        <w:t xml:space="preserve">  </w:t>
      </w:r>
      <w:r w:rsidR="00CA2CA7">
        <w:rPr>
          <w:rFonts w:ascii="Times New Roman" w:hAnsi="Times New Roman"/>
        </w:rPr>
        <w:t xml:space="preserve">  </w:t>
      </w:r>
      <w:r w:rsidR="00CA2CA7">
        <w:rPr>
          <w:rFonts w:ascii="Times New Roman" w:hAnsi="Times New Roman"/>
        </w:rPr>
        <w:tab/>
      </w:r>
      <w:r w:rsidR="00CA2CA7">
        <w:rPr>
          <w:rFonts w:ascii="Times New Roman" w:hAnsi="Times New Roman"/>
        </w:rPr>
        <w:tab/>
        <w:t xml:space="preserve">  </w:t>
      </w:r>
      <w:r w:rsidR="0087202B">
        <w:rPr>
          <w:rFonts w:ascii="Times New Roman" w:hAnsi="Times New Roman"/>
        </w:rPr>
        <w:tab/>
      </w:r>
      <w:r w:rsidR="00C470AD">
        <w:rPr>
          <w:rFonts w:ascii="Times New Roman" w:hAnsi="Times New Roman"/>
        </w:rPr>
        <w:t xml:space="preserve"> </w:t>
      </w:r>
    </w:p>
    <w:p w:rsidR="0023071E" w:rsidRDefault="00AB5173" w:rsidP="00A3351C">
      <w:pPr>
        <w:spacing w:line="360" w:lineRule="auto"/>
        <w:jc w:val="center"/>
        <w:rPr>
          <w:rFonts w:ascii="Times New Roman" w:hAnsi="Times New Roman"/>
          <w:u w:val="single"/>
        </w:rPr>
      </w:pPr>
      <w:r w:rsidRPr="004B1CE0">
        <w:rPr>
          <w:rFonts w:ascii="Times New Roman" w:hAnsi="Times New Roman"/>
          <w:u w:val="single"/>
        </w:rPr>
        <w:t>FINDINGS OF FACT</w:t>
      </w:r>
    </w:p>
    <w:p w:rsidR="00CD5C8C" w:rsidRPr="004B1CE0" w:rsidRDefault="00CD5C8C" w:rsidP="00A3351C">
      <w:pPr>
        <w:spacing w:line="360" w:lineRule="auto"/>
        <w:jc w:val="center"/>
        <w:rPr>
          <w:rFonts w:ascii="Times New Roman" w:hAnsi="Times New Roman"/>
        </w:rPr>
      </w:pPr>
    </w:p>
    <w:p w:rsidR="00A3351C" w:rsidRPr="004B1CE0" w:rsidRDefault="00A3351C" w:rsidP="00010BFD">
      <w:pPr>
        <w:spacing w:line="360" w:lineRule="auto"/>
        <w:rPr>
          <w:rFonts w:ascii="Times New Roman" w:hAnsi="Times New Roman"/>
        </w:rPr>
      </w:pPr>
      <w:r w:rsidRPr="004B1CE0">
        <w:rPr>
          <w:rFonts w:ascii="Times New Roman" w:hAnsi="Times New Roman"/>
        </w:rPr>
        <w:tab/>
      </w:r>
      <w:r w:rsidRPr="004B1CE0">
        <w:rPr>
          <w:rFonts w:ascii="Times New Roman" w:hAnsi="Times New Roman"/>
        </w:rPr>
        <w:tab/>
        <w:t>1.</w:t>
      </w:r>
      <w:r w:rsidRPr="004B1CE0">
        <w:rPr>
          <w:rFonts w:ascii="Times New Roman" w:hAnsi="Times New Roman"/>
        </w:rPr>
        <w:tab/>
      </w:r>
      <w:r w:rsidR="00A54FD9" w:rsidRPr="004B1CE0">
        <w:rPr>
          <w:rFonts w:ascii="Times New Roman" w:hAnsi="Times New Roman"/>
        </w:rPr>
        <w:t>C</w:t>
      </w:r>
      <w:r w:rsidRPr="004B1CE0">
        <w:rPr>
          <w:rFonts w:ascii="Times New Roman" w:hAnsi="Times New Roman"/>
        </w:rPr>
        <w:t>omplainant</w:t>
      </w:r>
      <w:r w:rsidR="00A54FD9" w:rsidRPr="004B1CE0">
        <w:rPr>
          <w:rFonts w:ascii="Times New Roman" w:hAnsi="Times New Roman"/>
        </w:rPr>
        <w:t xml:space="preserve">, </w:t>
      </w:r>
      <w:r w:rsidR="00E31120">
        <w:rPr>
          <w:rFonts w:ascii="Times New Roman" w:hAnsi="Times New Roman"/>
        </w:rPr>
        <w:t>Loretta A. Warren</w:t>
      </w:r>
      <w:r w:rsidR="00DE51F5">
        <w:rPr>
          <w:rFonts w:ascii="Times New Roman" w:hAnsi="Times New Roman"/>
        </w:rPr>
        <w:t xml:space="preserve">, </w:t>
      </w:r>
      <w:r w:rsidR="00AA78BB">
        <w:rPr>
          <w:rFonts w:ascii="Times New Roman" w:hAnsi="Times New Roman"/>
        </w:rPr>
        <w:t>r</w:t>
      </w:r>
      <w:r w:rsidR="00A54FD9" w:rsidRPr="004B1CE0">
        <w:rPr>
          <w:rFonts w:ascii="Times New Roman" w:hAnsi="Times New Roman"/>
        </w:rPr>
        <w:t xml:space="preserve">esides at </w:t>
      </w:r>
      <w:r w:rsidR="00E31120">
        <w:rPr>
          <w:rFonts w:ascii="Times New Roman" w:hAnsi="Times New Roman"/>
        </w:rPr>
        <w:t>54 Overbrook Road, Pittsburgh, Allegheny County</w:t>
      </w:r>
      <w:r w:rsidR="00DE51F5">
        <w:rPr>
          <w:rFonts w:ascii="Times New Roman" w:hAnsi="Times New Roman"/>
        </w:rPr>
        <w:t>, Pennsylvania 15</w:t>
      </w:r>
      <w:r w:rsidR="00E31120">
        <w:rPr>
          <w:rFonts w:ascii="Times New Roman" w:hAnsi="Times New Roman"/>
        </w:rPr>
        <w:t>235</w:t>
      </w:r>
      <w:r w:rsidR="00DE51F5">
        <w:rPr>
          <w:rFonts w:ascii="Times New Roman" w:hAnsi="Times New Roman"/>
        </w:rPr>
        <w:t xml:space="preserve"> (Tr. </w:t>
      </w:r>
      <w:r w:rsidR="00A665E9">
        <w:rPr>
          <w:rFonts w:ascii="Times New Roman" w:hAnsi="Times New Roman"/>
        </w:rPr>
        <w:t>9</w:t>
      </w:r>
      <w:r w:rsidR="00DE51F5">
        <w:rPr>
          <w:rFonts w:ascii="Times New Roman" w:hAnsi="Times New Roman"/>
        </w:rPr>
        <w:t xml:space="preserve">).  </w:t>
      </w:r>
    </w:p>
    <w:p w:rsidR="00A54FD9" w:rsidRDefault="00A54FD9" w:rsidP="00A3351C">
      <w:pPr>
        <w:spacing w:line="360" w:lineRule="auto"/>
        <w:jc w:val="both"/>
        <w:rPr>
          <w:rFonts w:ascii="Times New Roman" w:hAnsi="Times New Roman"/>
        </w:rPr>
      </w:pPr>
    </w:p>
    <w:p w:rsidR="00E31120" w:rsidRDefault="00E31120" w:rsidP="00A3351C">
      <w:pPr>
        <w:spacing w:line="360" w:lineRule="auto"/>
        <w:jc w:val="both"/>
        <w:rPr>
          <w:rFonts w:ascii="Times New Roman" w:hAnsi="Times New Roman"/>
        </w:rPr>
      </w:pPr>
      <w:r>
        <w:rPr>
          <w:rFonts w:ascii="Times New Roman" w:hAnsi="Times New Roman"/>
        </w:rPr>
        <w:tab/>
      </w:r>
      <w:r>
        <w:rPr>
          <w:rFonts w:ascii="Times New Roman" w:hAnsi="Times New Roman"/>
        </w:rPr>
        <w:tab/>
        <w:t xml:space="preserve">2. </w:t>
      </w:r>
      <w:r>
        <w:rPr>
          <w:rFonts w:ascii="Times New Roman" w:hAnsi="Times New Roman"/>
        </w:rPr>
        <w:tab/>
        <w:t>Complainant owns a</w:t>
      </w:r>
      <w:r w:rsidR="00A665E9">
        <w:rPr>
          <w:rFonts w:ascii="Times New Roman" w:hAnsi="Times New Roman"/>
        </w:rPr>
        <w:t xml:space="preserve"> three-story</w:t>
      </w:r>
      <w:r>
        <w:rPr>
          <w:rFonts w:ascii="Times New Roman" w:hAnsi="Times New Roman"/>
        </w:rPr>
        <w:t xml:space="preserve"> structure </w:t>
      </w:r>
      <w:r w:rsidR="00A665E9">
        <w:rPr>
          <w:rFonts w:ascii="Times New Roman" w:hAnsi="Times New Roman"/>
        </w:rPr>
        <w:t xml:space="preserve">located </w:t>
      </w:r>
      <w:r>
        <w:rPr>
          <w:rFonts w:ascii="Times New Roman" w:hAnsi="Times New Roman"/>
        </w:rPr>
        <w:t xml:space="preserve">at 809 Penn Avenue, Pittsburgh, Allegheny County, Pennsylvania 15221 (service address) which she bought in </w:t>
      </w:r>
      <w:r w:rsidR="003515A7">
        <w:rPr>
          <w:rFonts w:ascii="Times New Roman" w:hAnsi="Times New Roman"/>
        </w:rPr>
        <w:t>2003</w:t>
      </w:r>
      <w:r>
        <w:rPr>
          <w:rFonts w:ascii="Times New Roman" w:hAnsi="Times New Roman"/>
        </w:rPr>
        <w:t xml:space="preserve"> and which contains </w:t>
      </w:r>
      <w:r w:rsidR="00A665E9">
        <w:rPr>
          <w:rFonts w:ascii="Times New Roman" w:hAnsi="Times New Roman"/>
        </w:rPr>
        <w:t>three separate</w:t>
      </w:r>
      <w:r>
        <w:rPr>
          <w:rFonts w:ascii="Times New Roman" w:hAnsi="Times New Roman"/>
        </w:rPr>
        <w:t xml:space="preserve"> units.  </w:t>
      </w:r>
      <w:r w:rsidR="00A665E9">
        <w:rPr>
          <w:rFonts w:ascii="Times New Roman" w:hAnsi="Times New Roman"/>
        </w:rPr>
        <w:t xml:space="preserve">The building </w:t>
      </w:r>
      <w:r w:rsidR="00ED1537">
        <w:rPr>
          <w:rFonts w:ascii="Times New Roman" w:hAnsi="Times New Roman"/>
        </w:rPr>
        <w:t>contains</w:t>
      </w:r>
      <w:r w:rsidR="00A665E9">
        <w:rPr>
          <w:rFonts w:ascii="Times New Roman" w:hAnsi="Times New Roman"/>
        </w:rPr>
        <w:t xml:space="preserve"> two residential units on the top two floors and a third unit on the ground floor used for storage.  </w:t>
      </w:r>
      <w:r>
        <w:rPr>
          <w:rFonts w:ascii="Times New Roman" w:hAnsi="Times New Roman"/>
        </w:rPr>
        <w:t xml:space="preserve">(Tr. </w:t>
      </w:r>
      <w:r w:rsidR="00A665E9">
        <w:rPr>
          <w:rFonts w:ascii="Times New Roman" w:hAnsi="Times New Roman"/>
        </w:rPr>
        <w:t>9-11</w:t>
      </w:r>
      <w:r w:rsidR="00394FDA">
        <w:rPr>
          <w:rFonts w:ascii="Times New Roman" w:hAnsi="Times New Roman"/>
        </w:rPr>
        <w:t>, 14-17</w:t>
      </w:r>
      <w:r>
        <w:rPr>
          <w:rFonts w:ascii="Times New Roman" w:hAnsi="Times New Roman"/>
        </w:rPr>
        <w:t>).</w:t>
      </w:r>
    </w:p>
    <w:p w:rsidR="00E31120" w:rsidRPr="004B1CE0" w:rsidRDefault="00E31120" w:rsidP="00A3351C">
      <w:pPr>
        <w:spacing w:line="360" w:lineRule="auto"/>
        <w:jc w:val="both"/>
        <w:rPr>
          <w:rFonts w:ascii="Times New Roman" w:hAnsi="Times New Roman"/>
        </w:rPr>
      </w:pPr>
    </w:p>
    <w:p w:rsidR="00A2530F" w:rsidRDefault="00A665E9" w:rsidP="00010BFD">
      <w:pPr>
        <w:spacing w:line="360" w:lineRule="auto"/>
        <w:rPr>
          <w:rFonts w:ascii="Times New Roman" w:hAnsi="Times New Roman"/>
        </w:rPr>
      </w:pPr>
      <w:r>
        <w:rPr>
          <w:rFonts w:ascii="Times New Roman" w:hAnsi="Times New Roman"/>
        </w:rPr>
        <w:tab/>
      </w:r>
      <w:r>
        <w:rPr>
          <w:rFonts w:ascii="Times New Roman" w:hAnsi="Times New Roman"/>
        </w:rPr>
        <w:tab/>
        <w:t>3</w:t>
      </w:r>
      <w:r w:rsidR="00A54FD9" w:rsidRPr="004B1CE0">
        <w:rPr>
          <w:rFonts w:ascii="Times New Roman" w:hAnsi="Times New Roman"/>
        </w:rPr>
        <w:t>.</w:t>
      </w:r>
      <w:r w:rsidR="00A54FD9" w:rsidRPr="004B1CE0">
        <w:rPr>
          <w:rFonts w:ascii="Times New Roman" w:hAnsi="Times New Roman"/>
        </w:rPr>
        <w:tab/>
      </w:r>
      <w:r w:rsidR="00E31120">
        <w:rPr>
          <w:rFonts w:ascii="Times New Roman" w:hAnsi="Times New Roman"/>
        </w:rPr>
        <w:t>Duquesne Light</w:t>
      </w:r>
      <w:r>
        <w:rPr>
          <w:rFonts w:ascii="Times New Roman" w:hAnsi="Times New Roman"/>
        </w:rPr>
        <w:t xml:space="preserve"> provided</w:t>
      </w:r>
      <w:r w:rsidR="00905BE2">
        <w:rPr>
          <w:rFonts w:ascii="Times New Roman" w:hAnsi="Times New Roman"/>
        </w:rPr>
        <w:t xml:space="preserve"> </w:t>
      </w:r>
      <w:r w:rsidR="00ED1537">
        <w:rPr>
          <w:rFonts w:ascii="Times New Roman" w:hAnsi="Times New Roman"/>
        </w:rPr>
        <w:t xml:space="preserve">commercial </w:t>
      </w:r>
      <w:r w:rsidR="00905BE2">
        <w:rPr>
          <w:rFonts w:ascii="Times New Roman" w:hAnsi="Times New Roman"/>
        </w:rPr>
        <w:t xml:space="preserve">electric service </w:t>
      </w:r>
      <w:r>
        <w:rPr>
          <w:rFonts w:ascii="Times New Roman" w:hAnsi="Times New Roman"/>
        </w:rPr>
        <w:t xml:space="preserve">at the </w:t>
      </w:r>
      <w:r w:rsidR="00E31120">
        <w:rPr>
          <w:rFonts w:ascii="Times New Roman" w:hAnsi="Times New Roman"/>
        </w:rPr>
        <w:t>service address</w:t>
      </w:r>
      <w:r>
        <w:rPr>
          <w:rFonts w:ascii="Times New Roman" w:hAnsi="Times New Roman"/>
        </w:rPr>
        <w:t xml:space="preserve"> </w:t>
      </w:r>
      <w:r w:rsidR="00ED1537">
        <w:rPr>
          <w:rFonts w:ascii="Times New Roman" w:hAnsi="Times New Roman"/>
        </w:rPr>
        <w:t xml:space="preserve">from September 26, 2008 </w:t>
      </w:r>
      <w:r>
        <w:rPr>
          <w:rFonts w:ascii="Times New Roman" w:hAnsi="Times New Roman"/>
        </w:rPr>
        <w:t xml:space="preserve">until </w:t>
      </w:r>
      <w:r w:rsidR="00F23AC5">
        <w:rPr>
          <w:rFonts w:ascii="Times New Roman" w:hAnsi="Times New Roman"/>
        </w:rPr>
        <w:t>August</w:t>
      </w:r>
      <w:r w:rsidR="00CF5470">
        <w:rPr>
          <w:rFonts w:ascii="Times New Roman" w:hAnsi="Times New Roman"/>
        </w:rPr>
        <w:t xml:space="preserve"> 14</w:t>
      </w:r>
      <w:r w:rsidR="00ED1537">
        <w:rPr>
          <w:rFonts w:ascii="Times New Roman" w:hAnsi="Times New Roman"/>
        </w:rPr>
        <w:t xml:space="preserve">, </w:t>
      </w:r>
      <w:r w:rsidR="00F23AC5">
        <w:rPr>
          <w:rFonts w:ascii="Times New Roman" w:hAnsi="Times New Roman"/>
        </w:rPr>
        <w:t>2014</w:t>
      </w:r>
      <w:r w:rsidR="00ED1537">
        <w:rPr>
          <w:rFonts w:ascii="Times New Roman" w:hAnsi="Times New Roman"/>
        </w:rPr>
        <w:t>, at which time Ms. Warren was the sole ratepayer of record</w:t>
      </w:r>
      <w:r w:rsidR="003737EE">
        <w:rPr>
          <w:rFonts w:ascii="Times New Roman" w:hAnsi="Times New Roman"/>
        </w:rPr>
        <w:t xml:space="preserve">.  </w:t>
      </w:r>
      <w:proofErr w:type="gramStart"/>
      <w:r w:rsidR="00905BE2">
        <w:rPr>
          <w:rFonts w:ascii="Times New Roman" w:hAnsi="Times New Roman"/>
        </w:rPr>
        <w:t xml:space="preserve">(Tr. </w:t>
      </w:r>
      <w:r>
        <w:rPr>
          <w:rFonts w:ascii="Times New Roman" w:hAnsi="Times New Roman"/>
        </w:rPr>
        <w:t>12</w:t>
      </w:r>
      <w:r w:rsidR="00F23AC5">
        <w:rPr>
          <w:rFonts w:ascii="Times New Roman" w:hAnsi="Times New Roman"/>
        </w:rPr>
        <w:t>-14</w:t>
      </w:r>
      <w:r w:rsidR="00ED1537">
        <w:rPr>
          <w:rFonts w:ascii="Times New Roman" w:hAnsi="Times New Roman"/>
        </w:rPr>
        <w:t>, 34, 35</w:t>
      </w:r>
      <w:r>
        <w:rPr>
          <w:rFonts w:ascii="Times New Roman" w:hAnsi="Times New Roman"/>
        </w:rPr>
        <w:t>).</w:t>
      </w:r>
      <w:proofErr w:type="gramEnd"/>
    </w:p>
    <w:p w:rsidR="00ED1537" w:rsidRDefault="00ED1537" w:rsidP="00010BFD">
      <w:pPr>
        <w:spacing w:line="360" w:lineRule="auto"/>
        <w:rPr>
          <w:rFonts w:ascii="Times New Roman" w:hAnsi="Times New Roman"/>
        </w:rPr>
      </w:pPr>
    </w:p>
    <w:p w:rsidR="00ED1537" w:rsidRDefault="00ED1537" w:rsidP="00010BFD">
      <w:pPr>
        <w:spacing w:line="360" w:lineRule="auto"/>
        <w:rPr>
          <w:rFonts w:ascii="Times New Roman" w:hAnsi="Times New Roman"/>
        </w:rPr>
      </w:pPr>
      <w:r>
        <w:rPr>
          <w:rFonts w:ascii="Times New Roman" w:hAnsi="Times New Roman"/>
        </w:rPr>
        <w:tab/>
      </w:r>
      <w:r>
        <w:rPr>
          <w:rFonts w:ascii="Times New Roman" w:hAnsi="Times New Roman"/>
        </w:rPr>
        <w:tab/>
        <w:t xml:space="preserve">4. </w:t>
      </w:r>
      <w:r>
        <w:rPr>
          <w:rFonts w:ascii="Times New Roman" w:hAnsi="Times New Roman"/>
        </w:rPr>
        <w:tab/>
        <w:t>From January</w:t>
      </w:r>
      <w:r w:rsidR="00CF5470">
        <w:rPr>
          <w:rFonts w:ascii="Times New Roman" w:hAnsi="Times New Roman"/>
        </w:rPr>
        <w:t xml:space="preserve"> 18, 1994, when the ratepayer of record </w:t>
      </w:r>
      <w:r w:rsidR="00BA7342">
        <w:rPr>
          <w:rFonts w:ascii="Times New Roman" w:hAnsi="Times New Roman"/>
        </w:rPr>
        <w:t>had been</w:t>
      </w:r>
      <w:r w:rsidR="00CF5470">
        <w:rPr>
          <w:rFonts w:ascii="Times New Roman" w:hAnsi="Times New Roman"/>
        </w:rPr>
        <w:t xml:space="preserve"> Ms.</w:t>
      </w:r>
      <w:r w:rsidR="00BA7342">
        <w:rPr>
          <w:rFonts w:ascii="Times New Roman" w:hAnsi="Times New Roman"/>
        </w:rPr>
        <w:t> </w:t>
      </w:r>
      <w:r w:rsidR="00CF5470">
        <w:rPr>
          <w:rFonts w:ascii="Times New Roman" w:hAnsi="Times New Roman"/>
        </w:rPr>
        <w:t xml:space="preserve">Warren, </w:t>
      </w:r>
      <w:r>
        <w:rPr>
          <w:rFonts w:ascii="Times New Roman" w:hAnsi="Times New Roman"/>
        </w:rPr>
        <w:t xml:space="preserve">until September 26, 2008, there was no active account at the service address with </w:t>
      </w:r>
      <w:r w:rsidR="00CF5470">
        <w:rPr>
          <w:rFonts w:ascii="Times New Roman" w:hAnsi="Times New Roman"/>
        </w:rPr>
        <w:t xml:space="preserve">Respondent.  </w:t>
      </w:r>
      <w:proofErr w:type="gramStart"/>
      <w:r w:rsidR="00CF5470">
        <w:rPr>
          <w:rFonts w:ascii="Times New Roman" w:hAnsi="Times New Roman"/>
        </w:rPr>
        <w:t>(Tr. 35).</w:t>
      </w:r>
      <w:proofErr w:type="gramEnd"/>
    </w:p>
    <w:p w:rsidR="00A633CA" w:rsidRDefault="00394FDA" w:rsidP="00000984">
      <w:pPr>
        <w:spacing w:line="360" w:lineRule="auto"/>
        <w:rPr>
          <w:rFonts w:ascii="Times New Roman" w:hAnsi="Times New Roman"/>
        </w:rPr>
      </w:pPr>
      <w:r>
        <w:rPr>
          <w:rFonts w:ascii="Times New Roman" w:hAnsi="Times New Roman"/>
        </w:rPr>
        <w:lastRenderedPageBreak/>
        <w:tab/>
      </w:r>
      <w:r>
        <w:rPr>
          <w:rFonts w:ascii="Times New Roman" w:hAnsi="Times New Roman"/>
        </w:rPr>
        <w:tab/>
        <w:t>5.</w:t>
      </w:r>
      <w:r>
        <w:rPr>
          <w:rFonts w:ascii="Times New Roman" w:hAnsi="Times New Roman"/>
        </w:rPr>
        <w:tab/>
      </w:r>
      <w:r w:rsidR="001D5F88">
        <w:rPr>
          <w:rFonts w:ascii="Times New Roman" w:hAnsi="Times New Roman"/>
        </w:rPr>
        <w:t xml:space="preserve">For the past fifteen years, </w:t>
      </w:r>
      <w:r>
        <w:rPr>
          <w:rFonts w:ascii="Times New Roman" w:hAnsi="Times New Roman"/>
        </w:rPr>
        <w:t>Complainant has owned other rental properties</w:t>
      </w:r>
      <w:r w:rsidR="001D5F88">
        <w:rPr>
          <w:rFonts w:ascii="Times New Roman" w:hAnsi="Times New Roman"/>
        </w:rPr>
        <w:t xml:space="preserve"> and she stores supplies and equipment related to those rentals on the first floor at the service address</w:t>
      </w:r>
      <w:r>
        <w:rPr>
          <w:rFonts w:ascii="Times New Roman" w:hAnsi="Times New Roman"/>
        </w:rPr>
        <w:t xml:space="preserve">.  </w:t>
      </w:r>
      <w:proofErr w:type="gramStart"/>
      <w:r>
        <w:rPr>
          <w:rFonts w:ascii="Times New Roman" w:hAnsi="Times New Roman"/>
        </w:rPr>
        <w:t xml:space="preserve">(Tr. </w:t>
      </w:r>
      <w:r w:rsidR="001D5F88">
        <w:rPr>
          <w:rFonts w:ascii="Times New Roman" w:hAnsi="Times New Roman"/>
        </w:rPr>
        <w:t xml:space="preserve">14, </w:t>
      </w:r>
      <w:r>
        <w:rPr>
          <w:rFonts w:ascii="Times New Roman" w:hAnsi="Times New Roman"/>
        </w:rPr>
        <w:t>17</w:t>
      </w:r>
      <w:r w:rsidR="00ED1537">
        <w:rPr>
          <w:rFonts w:ascii="Times New Roman" w:hAnsi="Times New Roman"/>
        </w:rPr>
        <w:t>, 27</w:t>
      </w:r>
      <w:r>
        <w:rPr>
          <w:rFonts w:ascii="Times New Roman" w:hAnsi="Times New Roman"/>
        </w:rPr>
        <w:t>).</w:t>
      </w:r>
      <w:proofErr w:type="gramEnd"/>
    </w:p>
    <w:p w:rsidR="0056223A" w:rsidRDefault="0056223A" w:rsidP="00A3351C">
      <w:pPr>
        <w:spacing w:line="360" w:lineRule="auto"/>
        <w:jc w:val="both"/>
        <w:rPr>
          <w:rFonts w:ascii="Times New Roman" w:hAnsi="Times New Roman"/>
        </w:rPr>
      </w:pPr>
    </w:p>
    <w:p w:rsidR="009E5485" w:rsidRDefault="001D5F88" w:rsidP="00000984">
      <w:pPr>
        <w:spacing w:line="360" w:lineRule="auto"/>
        <w:rPr>
          <w:rFonts w:ascii="Times New Roman" w:hAnsi="Times New Roman"/>
        </w:rPr>
      </w:pPr>
      <w:r>
        <w:rPr>
          <w:rFonts w:ascii="Times New Roman" w:hAnsi="Times New Roman"/>
        </w:rPr>
        <w:tab/>
      </w:r>
      <w:r>
        <w:rPr>
          <w:rFonts w:ascii="Times New Roman" w:hAnsi="Times New Roman"/>
        </w:rPr>
        <w:tab/>
        <w:t>6.</w:t>
      </w:r>
      <w:r>
        <w:rPr>
          <w:rFonts w:ascii="Times New Roman" w:hAnsi="Times New Roman"/>
        </w:rPr>
        <w:tab/>
        <w:t xml:space="preserve">The </w:t>
      </w:r>
      <w:r w:rsidR="00C641B3">
        <w:rPr>
          <w:rFonts w:ascii="Times New Roman" w:hAnsi="Times New Roman"/>
        </w:rPr>
        <w:t xml:space="preserve">top two floors of the </w:t>
      </w:r>
      <w:r>
        <w:rPr>
          <w:rFonts w:ascii="Times New Roman" w:hAnsi="Times New Roman"/>
        </w:rPr>
        <w:t>building ha</w:t>
      </w:r>
      <w:r w:rsidR="00C641B3">
        <w:rPr>
          <w:rFonts w:ascii="Times New Roman" w:hAnsi="Times New Roman"/>
        </w:rPr>
        <w:t>ve</w:t>
      </w:r>
      <w:r>
        <w:rPr>
          <w:rFonts w:ascii="Times New Roman" w:hAnsi="Times New Roman"/>
        </w:rPr>
        <w:t xml:space="preserve"> been unoccupied since 2007 when a residential tenant set the third floor unit on fire.  </w:t>
      </w:r>
      <w:r w:rsidR="00ED1537">
        <w:rPr>
          <w:rFonts w:ascii="Times New Roman" w:hAnsi="Times New Roman"/>
        </w:rPr>
        <w:t xml:space="preserve">In 2008, the neighboring building fell into the service address, tearing off a deck in the back yard.  </w:t>
      </w:r>
      <w:proofErr w:type="gramStart"/>
      <w:r>
        <w:rPr>
          <w:rFonts w:ascii="Times New Roman" w:hAnsi="Times New Roman"/>
        </w:rPr>
        <w:t>(Tr. 19</w:t>
      </w:r>
      <w:r w:rsidR="00ED1537">
        <w:rPr>
          <w:rFonts w:ascii="Times New Roman" w:hAnsi="Times New Roman"/>
        </w:rPr>
        <w:t>, 25</w:t>
      </w:r>
      <w:r>
        <w:rPr>
          <w:rFonts w:ascii="Times New Roman" w:hAnsi="Times New Roman"/>
        </w:rPr>
        <w:t>).</w:t>
      </w:r>
      <w:proofErr w:type="gramEnd"/>
    </w:p>
    <w:p w:rsidR="009E5485" w:rsidRDefault="009E5485" w:rsidP="00000984">
      <w:pPr>
        <w:spacing w:line="360" w:lineRule="auto"/>
        <w:rPr>
          <w:rFonts w:ascii="Times New Roman" w:hAnsi="Times New Roman"/>
        </w:rPr>
      </w:pPr>
    </w:p>
    <w:p w:rsidR="00BE08F5" w:rsidRDefault="001D5F88" w:rsidP="00D568AC">
      <w:pPr>
        <w:spacing w:line="360" w:lineRule="auto"/>
        <w:rPr>
          <w:rFonts w:ascii="Times New Roman" w:hAnsi="Times New Roman"/>
        </w:rPr>
      </w:pPr>
      <w:r>
        <w:rPr>
          <w:rFonts w:ascii="Times New Roman" w:hAnsi="Times New Roman"/>
        </w:rPr>
        <w:tab/>
      </w:r>
      <w:r>
        <w:rPr>
          <w:rFonts w:ascii="Times New Roman" w:hAnsi="Times New Roman"/>
        </w:rPr>
        <w:tab/>
        <w:t>7.</w:t>
      </w:r>
      <w:r>
        <w:rPr>
          <w:rFonts w:ascii="Times New Roman" w:hAnsi="Times New Roman"/>
        </w:rPr>
        <w:tab/>
      </w:r>
      <w:r w:rsidR="00CF5470">
        <w:rPr>
          <w:rFonts w:ascii="Times New Roman" w:hAnsi="Times New Roman"/>
        </w:rPr>
        <w:t>Respondent terminated</w:t>
      </w:r>
      <w:r w:rsidR="00ED1537">
        <w:rPr>
          <w:rFonts w:ascii="Times New Roman" w:hAnsi="Times New Roman"/>
        </w:rPr>
        <w:t xml:space="preserve"> electric service </w:t>
      </w:r>
      <w:r w:rsidR="00F31889">
        <w:rPr>
          <w:rFonts w:ascii="Times New Roman" w:hAnsi="Times New Roman"/>
        </w:rPr>
        <w:t>at the street pole for</w:t>
      </w:r>
      <w:r w:rsidR="00CF5470">
        <w:rPr>
          <w:rFonts w:ascii="Times New Roman" w:hAnsi="Times New Roman"/>
        </w:rPr>
        <w:t xml:space="preserve"> the service address</w:t>
      </w:r>
      <w:r w:rsidR="00ED1537">
        <w:rPr>
          <w:rFonts w:ascii="Times New Roman" w:hAnsi="Times New Roman"/>
        </w:rPr>
        <w:t xml:space="preserve"> on August </w:t>
      </w:r>
      <w:r w:rsidR="00CF5470">
        <w:rPr>
          <w:rFonts w:ascii="Times New Roman" w:hAnsi="Times New Roman"/>
        </w:rPr>
        <w:t>14</w:t>
      </w:r>
      <w:r w:rsidR="00ED1537">
        <w:rPr>
          <w:rFonts w:ascii="Times New Roman" w:hAnsi="Times New Roman"/>
        </w:rPr>
        <w:t xml:space="preserve">, 2014 </w:t>
      </w:r>
      <w:r w:rsidR="00CF5470">
        <w:rPr>
          <w:rFonts w:ascii="Times New Roman" w:hAnsi="Times New Roman"/>
        </w:rPr>
        <w:t xml:space="preserve">due to theft of electric service.  </w:t>
      </w:r>
      <w:r w:rsidR="00464A92">
        <w:rPr>
          <w:rFonts w:ascii="Times New Roman" w:hAnsi="Times New Roman"/>
        </w:rPr>
        <w:t>Respondent</w:t>
      </w:r>
      <w:r w:rsidR="00ED1537">
        <w:rPr>
          <w:rFonts w:ascii="Times New Roman" w:hAnsi="Times New Roman"/>
        </w:rPr>
        <w:t xml:space="preserve"> has not resumed </w:t>
      </w:r>
      <w:r w:rsidR="00464A92">
        <w:rPr>
          <w:rFonts w:ascii="Times New Roman" w:hAnsi="Times New Roman"/>
        </w:rPr>
        <w:t xml:space="preserve">electric service </w:t>
      </w:r>
      <w:r w:rsidR="00ED1537">
        <w:rPr>
          <w:rFonts w:ascii="Times New Roman" w:hAnsi="Times New Roman"/>
        </w:rPr>
        <w:t xml:space="preserve">since that </w:t>
      </w:r>
      <w:r w:rsidR="00CF5470">
        <w:rPr>
          <w:rFonts w:ascii="Times New Roman" w:hAnsi="Times New Roman"/>
        </w:rPr>
        <w:t>date</w:t>
      </w:r>
      <w:r w:rsidR="00ED1537">
        <w:rPr>
          <w:rFonts w:ascii="Times New Roman" w:hAnsi="Times New Roman"/>
        </w:rPr>
        <w:t xml:space="preserve">.  </w:t>
      </w:r>
      <w:proofErr w:type="gramStart"/>
      <w:r w:rsidR="00ED1537">
        <w:rPr>
          <w:rFonts w:ascii="Times New Roman" w:hAnsi="Times New Roman"/>
        </w:rPr>
        <w:t>(Tr. 32</w:t>
      </w:r>
      <w:r w:rsidR="00CF5470">
        <w:rPr>
          <w:rFonts w:ascii="Times New Roman" w:hAnsi="Times New Roman"/>
        </w:rPr>
        <w:t>, 35</w:t>
      </w:r>
      <w:r w:rsidR="00F31889">
        <w:rPr>
          <w:rFonts w:ascii="Times New Roman" w:hAnsi="Times New Roman"/>
        </w:rPr>
        <w:t>, 42, 44</w:t>
      </w:r>
      <w:r w:rsidR="00ED1537">
        <w:rPr>
          <w:rFonts w:ascii="Times New Roman" w:hAnsi="Times New Roman"/>
        </w:rPr>
        <w:t>).</w:t>
      </w:r>
      <w:proofErr w:type="gramEnd"/>
    </w:p>
    <w:p w:rsidR="00D568AC" w:rsidRDefault="00D568AC" w:rsidP="00D568AC">
      <w:pPr>
        <w:spacing w:line="360" w:lineRule="auto"/>
        <w:rPr>
          <w:rFonts w:ascii="Times New Roman" w:hAnsi="Times New Roman"/>
        </w:rPr>
      </w:pPr>
    </w:p>
    <w:p w:rsidR="00CF5470" w:rsidRDefault="00D568AC" w:rsidP="00D568AC">
      <w:pPr>
        <w:spacing w:line="360" w:lineRule="auto"/>
        <w:rPr>
          <w:rFonts w:ascii="Times New Roman" w:hAnsi="Times New Roman"/>
        </w:rPr>
      </w:pPr>
      <w:r>
        <w:rPr>
          <w:rFonts w:ascii="Times New Roman" w:hAnsi="Times New Roman"/>
        </w:rPr>
        <w:tab/>
      </w:r>
      <w:r>
        <w:rPr>
          <w:rFonts w:ascii="Times New Roman" w:hAnsi="Times New Roman"/>
        </w:rPr>
        <w:tab/>
        <w:t>8.</w:t>
      </w:r>
      <w:r>
        <w:rPr>
          <w:rFonts w:ascii="Times New Roman" w:hAnsi="Times New Roman"/>
        </w:rPr>
        <w:tab/>
      </w:r>
      <w:r w:rsidR="00CF5470">
        <w:rPr>
          <w:rFonts w:ascii="Times New Roman" w:hAnsi="Times New Roman"/>
        </w:rPr>
        <w:t>On August 14, 2014, two separate</w:t>
      </w:r>
      <w:r w:rsidR="00464A92">
        <w:rPr>
          <w:rFonts w:ascii="Times New Roman" w:hAnsi="Times New Roman"/>
        </w:rPr>
        <w:t>, un-insulated</w:t>
      </w:r>
      <w:r w:rsidR="00CF5470">
        <w:rPr>
          <w:rFonts w:ascii="Times New Roman" w:hAnsi="Times New Roman"/>
        </w:rPr>
        <w:t xml:space="preserve"> wires were attached at the </w:t>
      </w:r>
      <w:proofErr w:type="spellStart"/>
      <w:r w:rsidR="00CF5470">
        <w:rPr>
          <w:rFonts w:ascii="Times New Roman" w:hAnsi="Times New Roman"/>
        </w:rPr>
        <w:t>weatherhead</w:t>
      </w:r>
      <w:proofErr w:type="spellEnd"/>
      <w:r w:rsidR="00CF5470">
        <w:rPr>
          <w:rFonts w:ascii="Times New Roman" w:hAnsi="Times New Roman"/>
        </w:rPr>
        <w:t xml:space="preserve"> for the service address, which two wires diverted electric service before the meter could record the consumption of electricity at the service address.  </w:t>
      </w:r>
      <w:proofErr w:type="gramStart"/>
      <w:r w:rsidR="00CF5470">
        <w:rPr>
          <w:rFonts w:ascii="Times New Roman" w:hAnsi="Times New Roman"/>
        </w:rPr>
        <w:t>(Tr. 39</w:t>
      </w:r>
      <w:r w:rsidR="00D10B92">
        <w:rPr>
          <w:rFonts w:ascii="Times New Roman" w:hAnsi="Times New Roman"/>
        </w:rPr>
        <w:t>, 41</w:t>
      </w:r>
      <w:r w:rsidR="00464A92">
        <w:rPr>
          <w:rFonts w:ascii="Times New Roman" w:hAnsi="Times New Roman"/>
        </w:rPr>
        <w:t>; Duquesne Light Exhibits 5 &amp; 13</w:t>
      </w:r>
      <w:r w:rsidR="00CF5470">
        <w:rPr>
          <w:rFonts w:ascii="Times New Roman" w:hAnsi="Times New Roman"/>
        </w:rPr>
        <w:t>).</w:t>
      </w:r>
      <w:proofErr w:type="gramEnd"/>
      <w:r w:rsidR="00CF5470">
        <w:rPr>
          <w:rFonts w:ascii="Times New Roman" w:hAnsi="Times New Roman"/>
        </w:rPr>
        <w:t xml:space="preserve">  </w:t>
      </w:r>
    </w:p>
    <w:p w:rsidR="00E24884" w:rsidRDefault="00E24884" w:rsidP="00D568AC">
      <w:pPr>
        <w:spacing w:line="360" w:lineRule="auto"/>
        <w:rPr>
          <w:rFonts w:ascii="Times New Roman" w:hAnsi="Times New Roman"/>
        </w:rPr>
      </w:pPr>
    </w:p>
    <w:p w:rsidR="00E24884" w:rsidRDefault="00E24884" w:rsidP="00D568AC">
      <w:pPr>
        <w:spacing w:line="360" w:lineRule="auto"/>
        <w:rPr>
          <w:rFonts w:ascii="Times New Roman" w:hAnsi="Times New Roman"/>
        </w:rPr>
      </w:pPr>
      <w:r>
        <w:rPr>
          <w:rFonts w:ascii="Times New Roman" w:hAnsi="Times New Roman"/>
        </w:rPr>
        <w:tab/>
      </w:r>
      <w:r>
        <w:rPr>
          <w:rFonts w:ascii="Times New Roman" w:hAnsi="Times New Roman"/>
        </w:rPr>
        <w:tab/>
        <w:t>9.</w:t>
      </w:r>
      <w:r>
        <w:rPr>
          <w:rFonts w:ascii="Times New Roman" w:hAnsi="Times New Roman"/>
        </w:rPr>
        <w:tab/>
      </w:r>
      <w:r w:rsidR="00CF5470">
        <w:rPr>
          <w:rFonts w:ascii="Times New Roman" w:hAnsi="Times New Roman"/>
        </w:rPr>
        <w:t xml:space="preserve">The </w:t>
      </w:r>
      <w:proofErr w:type="spellStart"/>
      <w:r w:rsidR="00CF5470">
        <w:rPr>
          <w:rFonts w:ascii="Times New Roman" w:hAnsi="Times New Roman"/>
        </w:rPr>
        <w:t>weatherhead</w:t>
      </w:r>
      <w:proofErr w:type="spellEnd"/>
      <w:r w:rsidR="00CF5470">
        <w:rPr>
          <w:rFonts w:ascii="Times New Roman" w:hAnsi="Times New Roman"/>
        </w:rPr>
        <w:t xml:space="preserve"> is a steel rod attached to the side of the service address and which carries Duquesne Light’s service line from the street pole down to the top of the meter where consumption can be recorded.  </w:t>
      </w:r>
      <w:proofErr w:type="gramStart"/>
      <w:r w:rsidR="00CF5470">
        <w:rPr>
          <w:rFonts w:ascii="Times New Roman" w:hAnsi="Times New Roman"/>
        </w:rPr>
        <w:t>(Tr. 39, 40</w:t>
      </w:r>
      <w:r w:rsidR="00464A92">
        <w:rPr>
          <w:rFonts w:ascii="Times New Roman" w:hAnsi="Times New Roman"/>
        </w:rPr>
        <w:t>; Duquesne Light Exhibit 5</w:t>
      </w:r>
      <w:r w:rsidR="00CF5470">
        <w:rPr>
          <w:rFonts w:ascii="Times New Roman" w:hAnsi="Times New Roman"/>
        </w:rPr>
        <w:t>).</w:t>
      </w:r>
      <w:proofErr w:type="gramEnd"/>
      <w:r w:rsidR="00CF5470">
        <w:rPr>
          <w:rFonts w:ascii="Times New Roman" w:hAnsi="Times New Roman"/>
        </w:rPr>
        <w:t xml:space="preserve">  </w:t>
      </w:r>
    </w:p>
    <w:p w:rsidR="00E24884" w:rsidRDefault="00E24884" w:rsidP="00D568AC">
      <w:pPr>
        <w:spacing w:line="360" w:lineRule="auto"/>
        <w:rPr>
          <w:rFonts w:ascii="Times New Roman" w:hAnsi="Times New Roman"/>
        </w:rPr>
      </w:pPr>
    </w:p>
    <w:p w:rsidR="00CD1F59" w:rsidRDefault="00E24884" w:rsidP="00D568AC">
      <w:pPr>
        <w:spacing w:line="360" w:lineRule="auto"/>
        <w:rPr>
          <w:rFonts w:ascii="Times New Roman" w:hAnsi="Times New Roman"/>
        </w:rPr>
      </w:pPr>
      <w:r>
        <w:rPr>
          <w:rFonts w:ascii="Times New Roman" w:hAnsi="Times New Roman"/>
        </w:rPr>
        <w:tab/>
      </w:r>
      <w:r>
        <w:rPr>
          <w:rFonts w:ascii="Times New Roman" w:hAnsi="Times New Roman"/>
        </w:rPr>
        <w:tab/>
        <w:t>10.</w:t>
      </w:r>
      <w:r>
        <w:rPr>
          <w:rFonts w:ascii="Times New Roman" w:hAnsi="Times New Roman"/>
        </w:rPr>
        <w:tab/>
      </w:r>
      <w:r w:rsidR="00CF5470">
        <w:rPr>
          <w:rFonts w:ascii="Times New Roman" w:hAnsi="Times New Roman"/>
        </w:rPr>
        <w:t xml:space="preserve">The two separate wires carried electricity into the service address through two </w:t>
      </w:r>
      <w:r w:rsidR="00464A92">
        <w:rPr>
          <w:rFonts w:ascii="Times New Roman" w:hAnsi="Times New Roman"/>
        </w:rPr>
        <w:t xml:space="preserve">locations above the second floor: </w:t>
      </w:r>
      <w:r w:rsidR="00C8144B">
        <w:rPr>
          <w:rFonts w:ascii="Times New Roman" w:hAnsi="Times New Roman"/>
        </w:rPr>
        <w:t xml:space="preserve"> </w:t>
      </w:r>
      <w:r w:rsidR="00464A92">
        <w:rPr>
          <w:rFonts w:ascii="Times New Roman" w:hAnsi="Times New Roman"/>
        </w:rPr>
        <w:t xml:space="preserve">a </w:t>
      </w:r>
      <w:r w:rsidR="00CF5470">
        <w:rPr>
          <w:rFonts w:ascii="Times New Roman" w:hAnsi="Times New Roman"/>
        </w:rPr>
        <w:t>hole drilled into the side of the structure</w:t>
      </w:r>
      <w:r w:rsidR="00464A92">
        <w:rPr>
          <w:rFonts w:ascii="Times New Roman" w:hAnsi="Times New Roman"/>
        </w:rPr>
        <w:t>, and one wire inserted between boards in an opening in the siding</w:t>
      </w:r>
      <w:r w:rsidR="00CF5470">
        <w:rPr>
          <w:rFonts w:ascii="Times New Roman" w:hAnsi="Times New Roman"/>
        </w:rPr>
        <w:t xml:space="preserve">.  </w:t>
      </w:r>
      <w:proofErr w:type="gramStart"/>
      <w:r w:rsidR="00D10B92">
        <w:rPr>
          <w:rFonts w:ascii="Times New Roman" w:hAnsi="Times New Roman"/>
        </w:rPr>
        <w:t>(Tr. 40</w:t>
      </w:r>
      <w:r w:rsidR="00464A92">
        <w:rPr>
          <w:rFonts w:ascii="Times New Roman" w:hAnsi="Times New Roman"/>
        </w:rPr>
        <w:t>; Duquesne Light Exhibit 5</w:t>
      </w:r>
      <w:r w:rsidR="00D10B92">
        <w:rPr>
          <w:rFonts w:ascii="Times New Roman" w:hAnsi="Times New Roman"/>
        </w:rPr>
        <w:t>).</w:t>
      </w:r>
      <w:proofErr w:type="gramEnd"/>
      <w:r w:rsidR="00D10B92">
        <w:rPr>
          <w:rFonts w:ascii="Times New Roman" w:hAnsi="Times New Roman"/>
        </w:rPr>
        <w:t xml:space="preserve">  </w:t>
      </w:r>
    </w:p>
    <w:p w:rsidR="00CD1F59" w:rsidRDefault="00CD1F59" w:rsidP="00D568AC">
      <w:pPr>
        <w:spacing w:line="360" w:lineRule="auto"/>
        <w:rPr>
          <w:rFonts w:ascii="Times New Roman" w:hAnsi="Times New Roman"/>
        </w:rPr>
      </w:pPr>
    </w:p>
    <w:p w:rsidR="00AB2F0D" w:rsidRDefault="00F31889" w:rsidP="00D568AC">
      <w:pPr>
        <w:spacing w:line="360" w:lineRule="auto"/>
        <w:rPr>
          <w:rFonts w:ascii="Times New Roman" w:hAnsi="Times New Roman"/>
        </w:rPr>
      </w:pPr>
      <w:r>
        <w:rPr>
          <w:rFonts w:ascii="Times New Roman" w:hAnsi="Times New Roman"/>
        </w:rPr>
        <w:tab/>
      </w:r>
      <w:r>
        <w:rPr>
          <w:rFonts w:ascii="Times New Roman" w:hAnsi="Times New Roman"/>
        </w:rPr>
        <w:tab/>
        <w:t>11.</w:t>
      </w:r>
      <w:r>
        <w:rPr>
          <w:rFonts w:ascii="Times New Roman" w:hAnsi="Times New Roman"/>
        </w:rPr>
        <w:tab/>
        <w:t xml:space="preserve">Respondent’s Tariff Section 34 permits Duquesne Light to terminate electric service and remove the utility’s equipment if there has been interference or tampering with either the service wires, meters, or switch-boxes at the service address.  </w:t>
      </w:r>
      <w:proofErr w:type="gramStart"/>
      <w:r>
        <w:rPr>
          <w:rFonts w:ascii="Times New Roman" w:hAnsi="Times New Roman"/>
        </w:rPr>
        <w:t>(Tr. 44; Duquesne Light Exhibit 9).</w:t>
      </w:r>
      <w:proofErr w:type="gramEnd"/>
    </w:p>
    <w:p w:rsidR="00AB2F0D" w:rsidRDefault="00AB2F0D" w:rsidP="00D568AC">
      <w:pPr>
        <w:spacing w:line="360" w:lineRule="auto"/>
        <w:rPr>
          <w:rFonts w:ascii="Times New Roman" w:hAnsi="Times New Roman"/>
        </w:rPr>
      </w:pPr>
    </w:p>
    <w:p w:rsidR="005C6B7F" w:rsidRDefault="00F31889" w:rsidP="00D568AC">
      <w:pPr>
        <w:spacing w:line="360" w:lineRule="auto"/>
        <w:rPr>
          <w:rFonts w:ascii="Times New Roman" w:hAnsi="Times New Roman"/>
        </w:rPr>
      </w:pPr>
      <w:r>
        <w:rPr>
          <w:rFonts w:ascii="Times New Roman" w:hAnsi="Times New Roman"/>
        </w:rPr>
        <w:lastRenderedPageBreak/>
        <w:tab/>
      </w:r>
      <w:r>
        <w:rPr>
          <w:rFonts w:ascii="Times New Roman" w:hAnsi="Times New Roman"/>
        </w:rPr>
        <w:tab/>
        <w:t>12.</w:t>
      </w:r>
      <w:r>
        <w:rPr>
          <w:rFonts w:ascii="Times New Roman" w:hAnsi="Times New Roman"/>
        </w:rPr>
        <w:tab/>
      </w:r>
      <w:r w:rsidR="00464A92">
        <w:rPr>
          <w:rFonts w:ascii="Times New Roman" w:hAnsi="Times New Roman"/>
        </w:rPr>
        <w:t xml:space="preserve">On August 14, 2014, </w:t>
      </w:r>
      <w:r>
        <w:rPr>
          <w:rFonts w:ascii="Times New Roman" w:hAnsi="Times New Roman"/>
        </w:rPr>
        <w:t xml:space="preserve">Complainant called Respondent </w:t>
      </w:r>
      <w:r w:rsidR="00464A92">
        <w:rPr>
          <w:rFonts w:ascii="Times New Roman" w:hAnsi="Times New Roman"/>
        </w:rPr>
        <w:t>within one hour o</w:t>
      </w:r>
      <w:r w:rsidR="00702606">
        <w:rPr>
          <w:rFonts w:ascii="Times New Roman" w:hAnsi="Times New Roman"/>
        </w:rPr>
        <w:t>f</w:t>
      </w:r>
      <w:r w:rsidR="00464A92">
        <w:rPr>
          <w:rFonts w:ascii="Times New Roman" w:hAnsi="Times New Roman"/>
        </w:rPr>
        <w:t xml:space="preserve"> when Duquesne Light terminated </w:t>
      </w:r>
      <w:r>
        <w:rPr>
          <w:rFonts w:ascii="Times New Roman" w:hAnsi="Times New Roman"/>
        </w:rPr>
        <w:t>electric service</w:t>
      </w:r>
      <w:r w:rsidR="00464A92">
        <w:rPr>
          <w:rFonts w:ascii="Times New Roman" w:hAnsi="Times New Roman"/>
        </w:rPr>
        <w:t xml:space="preserve"> and a</w:t>
      </w:r>
      <w:r>
        <w:rPr>
          <w:rFonts w:ascii="Times New Roman" w:hAnsi="Times New Roman"/>
        </w:rPr>
        <w:t>damantly denied there was any tampering o</w:t>
      </w:r>
      <w:r w:rsidR="00702606">
        <w:rPr>
          <w:rFonts w:ascii="Times New Roman" w:hAnsi="Times New Roman"/>
        </w:rPr>
        <w:t>r</w:t>
      </w:r>
      <w:r>
        <w:rPr>
          <w:rFonts w:ascii="Times New Roman" w:hAnsi="Times New Roman"/>
        </w:rPr>
        <w:t xml:space="preserve"> theft of service.  </w:t>
      </w:r>
      <w:proofErr w:type="gramStart"/>
      <w:r>
        <w:rPr>
          <w:rFonts w:ascii="Times New Roman" w:hAnsi="Times New Roman"/>
        </w:rPr>
        <w:t>(Tr. 14, 17, 46).</w:t>
      </w:r>
      <w:proofErr w:type="gramEnd"/>
    </w:p>
    <w:p w:rsidR="005C6B7F" w:rsidRDefault="005C6B7F" w:rsidP="00D568AC">
      <w:pPr>
        <w:spacing w:line="360" w:lineRule="auto"/>
        <w:rPr>
          <w:rFonts w:ascii="Times New Roman" w:hAnsi="Times New Roman"/>
        </w:rPr>
      </w:pPr>
    </w:p>
    <w:p w:rsidR="00F94056" w:rsidRDefault="00F31889" w:rsidP="00D568AC">
      <w:pPr>
        <w:spacing w:line="360" w:lineRule="auto"/>
        <w:rPr>
          <w:rFonts w:ascii="Times New Roman" w:hAnsi="Times New Roman"/>
        </w:rPr>
      </w:pPr>
      <w:r>
        <w:rPr>
          <w:rFonts w:ascii="Times New Roman" w:hAnsi="Times New Roman"/>
        </w:rPr>
        <w:tab/>
      </w:r>
      <w:r>
        <w:rPr>
          <w:rFonts w:ascii="Times New Roman" w:hAnsi="Times New Roman"/>
        </w:rPr>
        <w:tab/>
        <w:t>13.</w:t>
      </w:r>
      <w:r>
        <w:rPr>
          <w:rFonts w:ascii="Times New Roman" w:hAnsi="Times New Roman"/>
        </w:rPr>
        <w:tab/>
        <w:t xml:space="preserve">After </w:t>
      </w:r>
      <w:r w:rsidR="00464A92">
        <w:rPr>
          <w:rFonts w:ascii="Times New Roman" w:hAnsi="Times New Roman"/>
        </w:rPr>
        <w:t xml:space="preserve">terminating electric service, </w:t>
      </w:r>
      <w:r>
        <w:rPr>
          <w:rFonts w:ascii="Times New Roman" w:hAnsi="Times New Roman"/>
        </w:rPr>
        <w:t xml:space="preserve">Respondent investigated to determine the total amount of electricity consumed at the service address.  </w:t>
      </w:r>
      <w:proofErr w:type="gramStart"/>
      <w:r>
        <w:rPr>
          <w:rFonts w:ascii="Times New Roman" w:hAnsi="Times New Roman"/>
        </w:rPr>
        <w:t>(Tr. 46).</w:t>
      </w:r>
      <w:proofErr w:type="gramEnd"/>
    </w:p>
    <w:p w:rsidR="00F94056" w:rsidRDefault="00F94056" w:rsidP="00D568AC">
      <w:pPr>
        <w:spacing w:line="360" w:lineRule="auto"/>
        <w:rPr>
          <w:rFonts w:ascii="Times New Roman" w:hAnsi="Times New Roman"/>
        </w:rPr>
      </w:pPr>
    </w:p>
    <w:p w:rsidR="00146AC0" w:rsidRDefault="00F94056" w:rsidP="00D568AC">
      <w:pPr>
        <w:spacing w:line="360" w:lineRule="auto"/>
        <w:rPr>
          <w:rFonts w:ascii="Times New Roman" w:hAnsi="Times New Roman"/>
        </w:rPr>
      </w:pPr>
      <w:r>
        <w:rPr>
          <w:rFonts w:ascii="Times New Roman" w:hAnsi="Times New Roman"/>
        </w:rPr>
        <w:tab/>
      </w:r>
      <w:r>
        <w:rPr>
          <w:rFonts w:ascii="Times New Roman" w:hAnsi="Times New Roman"/>
        </w:rPr>
        <w:tab/>
        <w:t>14.</w:t>
      </w:r>
      <w:r>
        <w:rPr>
          <w:rFonts w:ascii="Times New Roman" w:hAnsi="Times New Roman"/>
        </w:rPr>
        <w:tab/>
      </w:r>
      <w:r w:rsidR="00F31889">
        <w:rPr>
          <w:rFonts w:ascii="Times New Roman" w:hAnsi="Times New Roman"/>
        </w:rPr>
        <w:t xml:space="preserve">Due to a prior investigation into alleged theft of services in 2008 concerning the same service address, Respondent </w:t>
      </w:r>
      <w:r w:rsidR="00464A92">
        <w:rPr>
          <w:rFonts w:ascii="Times New Roman" w:hAnsi="Times New Roman"/>
        </w:rPr>
        <w:t xml:space="preserve">had </w:t>
      </w:r>
      <w:r w:rsidR="00F31889">
        <w:rPr>
          <w:rFonts w:ascii="Times New Roman" w:hAnsi="Times New Roman"/>
        </w:rPr>
        <w:t xml:space="preserve">installed </w:t>
      </w:r>
      <w:r w:rsidR="00146AC0">
        <w:rPr>
          <w:rFonts w:ascii="Times New Roman" w:hAnsi="Times New Roman"/>
        </w:rPr>
        <w:t xml:space="preserve">a new </w:t>
      </w:r>
      <w:r w:rsidR="00F31889">
        <w:rPr>
          <w:rFonts w:ascii="Times New Roman" w:hAnsi="Times New Roman"/>
        </w:rPr>
        <w:t>pole meter</w:t>
      </w:r>
      <w:r w:rsidR="00146AC0">
        <w:rPr>
          <w:rFonts w:ascii="Times New Roman" w:hAnsi="Times New Roman"/>
        </w:rPr>
        <w:t xml:space="preserve"> (with no prior recorded consumption)</w:t>
      </w:r>
      <w:r w:rsidR="00F31889">
        <w:rPr>
          <w:rFonts w:ascii="Times New Roman" w:hAnsi="Times New Roman"/>
        </w:rPr>
        <w:t xml:space="preserve"> on October 8, 2008</w:t>
      </w:r>
      <w:r w:rsidR="00BE22FC">
        <w:rPr>
          <w:rFonts w:ascii="Times New Roman" w:hAnsi="Times New Roman"/>
        </w:rPr>
        <w:t>.  The</w:t>
      </w:r>
      <w:r w:rsidR="00F31889">
        <w:rPr>
          <w:rFonts w:ascii="Times New Roman" w:hAnsi="Times New Roman"/>
        </w:rPr>
        <w:t xml:space="preserve"> pole meter measured the amount of electricity which traveled from the street pole over to the </w:t>
      </w:r>
      <w:proofErr w:type="spellStart"/>
      <w:r w:rsidR="00464A92">
        <w:rPr>
          <w:rFonts w:ascii="Times New Roman" w:hAnsi="Times New Roman"/>
        </w:rPr>
        <w:t>weatherhead</w:t>
      </w:r>
      <w:proofErr w:type="spellEnd"/>
      <w:r w:rsidR="00464A92">
        <w:rPr>
          <w:rFonts w:ascii="Times New Roman" w:hAnsi="Times New Roman"/>
        </w:rPr>
        <w:t xml:space="preserve"> at the </w:t>
      </w:r>
      <w:r w:rsidR="00F31889">
        <w:rPr>
          <w:rFonts w:ascii="Times New Roman" w:hAnsi="Times New Roman"/>
        </w:rPr>
        <w:t xml:space="preserve">service address.  </w:t>
      </w:r>
      <w:proofErr w:type="gramStart"/>
      <w:r w:rsidR="00146AC0">
        <w:rPr>
          <w:rFonts w:ascii="Times New Roman" w:hAnsi="Times New Roman"/>
        </w:rPr>
        <w:t>(Tr. 46, 47).</w:t>
      </w:r>
      <w:proofErr w:type="gramEnd"/>
    </w:p>
    <w:p w:rsidR="00146AC0" w:rsidRDefault="00146AC0" w:rsidP="00D568AC">
      <w:pPr>
        <w:spacing w:line="360" w:lineRule="auto"/>
        <w:rPr>
          <w:rFonts w:ascii="Times New Roman" w:hAnsi="Times New Roman"/>
        </w:rPr>
      </w:pPr>
    </w:p>
    <w:p w:rsidR="00F94056" w:rsidRDefault="00146AC0" w:rsidP="00464A92">
      <w:pPr>
        <w:spacing w:line="360" w:lineRule="auto"/>
        <w:rPr>
          <w:rFonts w:ascii="Times New Roman" w:hAnsi="Times New Roman"/>
        </w:rPr>
      </w:pPr>
      <w:r>
        <w:rPr>
          <w:rFonts w:ascii="Times New Roman" w:hAnsi="Times New Roman"/>
        </w:rPr>
        <w:tab/>
      </w:r>
      <w:r>
        <w:rPr>
          <w:rFonts w:ascii="Times New Roman" w:hAnsi="Times New Roman"/>
        </w:rPr>
        <w:tab/>
        <w:t xml:space="preserve">15.  </w:t>
      </w:r>
      <w:r>
        <w:rPr>
          <w:rFonts w:ascii="Times New Roman" w:hAnsi="Times New Roman"/>
        </w:rPr>
        <w:tab/>
      </w:r>
      <w:r w:rsidR="00F31889">
        <w:rPr>
          <w:rFonts w:ascii="Times New Roman" w:hAnsi="Times New Roman"/>
        </w:rPr>
        <w:t xml:space="preserve">The amount of electricity recorded on a pole meter should be the same as the amount of electricity recorded on the meter </w:t>
      </w:r>
      <w:r w:rsidR="00464A92">
        <w:rPr>
          <w:rFonts w:ascii="Times New Roman" w:hAnsi="Times New Roman"/>
        </w:rPr>
        <w:t>connected with</w:t>
      </w:r>
      <w:r w:rsidR="00F31889">
        <w:rPr>
          <w:rFonts w:ascii="Times New Roman" w:hAnsi="Times New Roman"/>
        </w:rPr>
        <w:t xml:space="preserve"> the service address.  (Tr. 46</w:t>
      </w:r>
      <w:r>
        <w:rPr>
          <w:rFonts w:ascii="Times New Roman" w:hAnsi="Times New Roman"/>
        </w:rPr>
        <w:t>-49</w:t>
      </w:r>
      <w:r w:rsidR="00F31889">
        <w:rPr>
          <w:rFonts w:ascii="Times New Roman" w:hAnsi="Times New Roman"/>
        </w:rPr>
        <w:t>).</w:t>
      </w:r>
    </w:p>
    <w:p w:rsidR="00F94056" w:rsidRDefault="00F94056" w:rsidP="00D568AC">
      <w:pPr>
        <w:spacing w:line="360" w:lineRule="auto"/>
        <w:rPr>
          <w:rFonts w:ascii="Times New Roman" w:hAnsi="Times New Roman"/>
        </w:rPr>
      </w:pPr>
    </w:p>
    <w:p w:rsidR="00D568AC" w:rsidRDefault="00C37E88" w:rsidP="00D568AC">
      <w:pPr>
        <w:spacing w:line="360" w:lineRule="auto"/>
        <w:rPr>
          <w:rFonts w:ascii="Times New Roman" w:hAnsi="Times New Roman"/>
        </w:rPr>
      </w:pPr>
      <w:r>
        <w:rPr>
          <w:rFonts w:ascii="Times New Roman" w:hAnsi="Times New Roman"/>
        </w:rPr>
        <w:tab/>
      </w:r>
      <w:r>
        <w:rPr>
          <w:rFonts w:ascii="Times New Roman" w:hAnsi="Times New Roman"/>
        </w:rPr>
        <w:tab/>
        <w:t>1</w:t>
      </w:r>
      <w:r w:rsidR="006F0FF6">
        <w:rPr>
          <w:rFonts w:ascii="Times New Roman" w:hAnsi="Times New Roman"/>
        </w:rPr>
        <w:t>6</w:t>
      </w:r>
      <w:r w:rsidR="00F94056">
        <w:rPr>
          <w:rFonts w:ascii="Times New Roman" w:hAnsi="Times New Roman"/>
        </w:rPr>
        <w:t>.</w:t>
      </w:r>
      <w:r w:rsidR="00F94056">
        <w:rPr>
          <w:rFonts w:ascii="Times New Roman" w:hAnsi="Times New Roman"/>
        </w:rPr>
        <w:tab/>
      </w:r>
      <w:r w:rsidR="00146AC0">
        <w:rPr>
          <w:rFonts w:ascii="Times New Roman" w:hAnsi="Times New Roman"/>
        </w:rPr>
        <w:t xml:space="preserve">The pole meter for 809 Penn Avenue recorded only the consumption used at the service address and did not record consumption for any neighboring property. </w:t>
      </w:r>
      <w:r w:rsidR="00155DDF">
        <w:rPr>
          <w:rFonts w:ascii="Times New Roman" w:hAnsi="Times New Roman"/>
        </w:rPr>
        <w:t xml:space="preserve"> </w:t>
      </w:r>
      <w:r w:rsidR="00146AC0">
        <w:rPr>
          <w:rFonts w:ascii="Times New Roman" w:hAnsi="Times New Roman"/>
        </w:rPr>
        <w:t>(Tr. 47-49).</w:t>
      </w:r>
    </w:p>
    <w:p w:rsidR="00F94056" w:rsidRDefault="00F94056" w:rsidP="00D568AC">
      <w:pPr>
        <w:spacing w:line="360" w:lineRule="auto"/>
        <w:rPr>
          <w:rFonts w:ascii="Times New Roman" w:hAnsi="Times New Roman"/>
        </w:rPr>
      </w:pPr>
    </w:p>
    <w:p w:rsidR="003B4729" w:rsidRDefault="00C37E88" w:rsidP="00F74BC6">
      <w:pPr>
        <w:spacing w:line="360" w:lineRule="auto"/>
        <w:rPr>
          <w:rFonts w:ascii="Times New Roman" w:hAnsi="Times New Roman"/>
        </w:rPr>
      </w:pPr>
      <w:r>
        <w:rPr>
          <w:rFonts w:ascii="Times New Roman" w:hAnsi="Times New Roman"/>
        </w:rPr>
        <w:tab/>
      </w:r>
      <w:r>
        <w:rPr>
          <w:rFonts w:ascii="Times New Roman" w:hAnsi="Times New Roman"/>
        </w:rPr>
        <w:tab/>
        <w:t>1</w:t>
      </w:r>
      <w:r w:rsidR="006F0FF6">
        <w:rPr>
          <w:rFonts w:ascii="Times New Roman" w:hAnsi="Times New Roman"/>
        </w:rPr>
        <w:t>7</w:t>
      </w:r>
      <w:r w:rsidR="00F94056">
        <w:rPr>
          <w:rFonts w:ascii="Times New Roman" w:hAnsi="Times New Roman"/>
        </w:rPr>
        <w:t>.</w:t>
      </w:r>
      <w:r w:rsidR="00F94056">
        <w:rPr>
          <w:rFonts w:ascii="Times New Roman" w:hAnsi="Times New Roman"/>
        </w:rPr>
        <w:tab/>
      </w:r>
      <w:r w:rsidR="00146AC0">
        <w:rPr>
          <w:rFonts w:ascii="Times New Roman" w:hAnsi="Times New Roman"/>
        </w:rPr>
        <w:t>On August 14, 2014, the pole meter for the service address recorded 4045, which translates into 40,450 kilowatt hours of electricity consumption</w:t>
      </w:r>
      <w:r w:rsidR="00464A92">
        <w:rPr>
          <w:rFonts w:ascii="Times New Roman" w:hAnsi="Times New Roman"/>
        </w:rPr>
        <w:t xml:space="preserve"> since October 8, 2008</w:t>
      </w:r>
      <w:r w:rsidR="00146AC0">
        <w:rPr>
          <w:rFonts w:ascii="Times New Roman" w:hAnsi="Times New Roman"/>
        </w:rPr>
        <w:t xml:space="preserve">.  </w:t>
      </w:r>
      <w:proofErr w:type="gramStart"/>
      <w:r w:rsidR="00146AC0">
        <w:rPr>
          <w:rFonts w:ascii="Times New Roman" w:hAnsi="Times New Roman"/>
        </w:rPr>
        <w:t>(Tr. 47).</w:t>
      </w:r>
      <w:proofErr w:type="gramEnd"/>
    </w:p>
    <w:p w:rsidR="00146AC0" w:rsidRDefault="00146AC0" w:rsidP="00F74BC6">
      <w:pPr>
        <w:spacing w:line="360" w:lineRule="auto"/>
        <w:rPr>
          <w:rFonts w:ascii="Times New Roman" w:hAnsi="Times New Roman"/>
        </w:rPr>
      </w:pPr>
    </w:p>
    <w:p w:rsidR="00146AC0" w:rsidRDefault="00C37E88" w:rsidP="00F74BC6">
      <w:pPr>
        <w:spacing w:line="360" w:lineRule="auto"/>
        <w:rPr>
          <w:rFonts w:ascii="Times New Roman" w:hAnsi="Times New Roman"/>
        </w:rPr>
      </w:pPr>
      <w:r>
        <w:rPr>
          <w:rFonts w:ascii="Times New Roman" w:hAnsi="Times New Roman"/>
        </w:rPr>
        <w:tab/>
      </w:r>
      <w:r>
        <w:rPr>
          <w:rFonts w:ascii="Times New Roman" w:hAnsi="Times New Roman"/>
        </w:rPr>
        <w:tab/>
        <w:t>1</w:t>
      </w:r>
      <w:r w:rsidR="006F0FF6">
        <w:rPr>
          <w:rFonts w:ascii="Times New Roman" w:hAnsi="Times New Roman"/>
        </w:rPr>
        <w:t>8</w:t>
      </w:r>
      <w:r w:rsidR="00146AC0">
        <w:rPr>
          <w:rFonts w:ascii="Times New Roman" w:hAnsi="Times New Roman"/>
        </w:rPr>
        <w:t xml:space="preserve">. </w:t>
      </w:r>
      <w:r w:rsidR="00146AC0">
        <w:rPr>
          <w:rFonts w:ascii="Times New Roman" w:hAnsi="Times New Roman"/>
        </w:rPr>
        <w:tab/>
        <w:t xml:space="preserve">From October 8, 2008 to August 14, 2014, Complainant was the </w:t>
      </w:r>
      <w:r w:rsidR="00464A92">
        <w:rPr>
          <w:rFonts w:ascii="Times New Roman" w:hAnsi="Times New Roman"/>
        </w:rPr>
        <w:t xml:space="preserve">only </w:t>
      </w:r>
      <w:r w:rsidR="00146AC0">
        <w:rPr>
          <w:rFonts w:ascii="Times New Roman" w:hAnsi="Times New Roman"/>
        </w:rPr>
        <w:t xml:space="preserve">named account holder for the service address.  </w:t>
      </w:r>
      <w:proofErr w:type="gramStart"/>
      <w:r w:rsidR="00146AC0">
        <w:rPr>
          <w:rFonts w:ascii="Times New Roman" w:hAnsi="Times New Roman"/>
        </w:rPr>
        <w:t>(Tr. 48).</w:t>
      </w:r>
      <w:proofErr w:type="gramEnd"/>
    </w:p>
    <w:p w:rsidR="002B1A2C" w:rsidRDefault="002B1A2C" w:rsidP="00F74BC6">
      <w:pPr>
        <w:spacing w:line="360" w:lineRule="auto"/>
        <w:rPr>
          <w:rFonts w:ascii="Times New Roman" w:hAnsi="Times New Roman"/>
        </w:rPr>
      </w:pPr>
    </w:p>
    <w:p w:rsidR="002B1A2C" w:rsidRDefault="002B1A2C" w:rsidP="00F74BC6">
      <w:pPr>
        <w:spacing w:line="360" w:lineRule="auto"/>
        <w:rPr>
          <w:rFonts w:ascii="Times New Roman" w:hAnsi="Times New Roman"/>
        </w:rPr>
      </w:pPr>
      <w:r>
        <w:rPr>
          <w:rFonts w:ascii="Times New Roman" w:hAnsi="Times New Roman"/>
        </w:rPr>
        <w:tab/>
      </w:r>
      <w:r>
        <w:rPr>
          <w:rFonts w:ascii="Times New Roman" w:hAnsi="Times New Roman"/>
        </w:rPr>
        <w:tab/>
      </w:r>
      <w:r w:rsidR="006F0FF6">
        <w:rPr>
          <w:rFonts w:ascii="Times New Roman" w:hAnsi="Times New Roman"/>
        </w:rPr>
        <w:t>19</w:t>
      </w:r>
      <w:r w:rsidR="00756291">
        <w:rPr>
          <w:rFonts w:ascii="Times New Roman" w:hAnsi="Times New Roman"/>
        </w:rPr>
        <w:t xml:space="preserve">. </w:t>
      </w:r>
      <w:r w:rsidR="00756291">
        <w:rPr>
          <w:rFonts w:ascii="Times New Roman" w:hAnsi="Times New Roman"/>
        </w:rPr>
        <w:tab/>
        <w:t xml:space="preserve">Under Respondent’s Tariff Section 5a, </w:t>
      </w:r>
      <w:r>
        <w:rPr>
          <w:rFonts w:ascii="Times New Roman" w:hAnsi="Times New Roman"/>
        </w:rPr>
        <w:t xml:space="preserve">Complainant must pay for the </w:t>
      </w:r>
      <w:r w:rsidR="00756291">
        <w:rPr>
          <w:rFonts w:ascii="Times New Roman" w:hAnsi="Times New Roman"/>
        </w:rPr>
        <w:t xml:space="preserve">unbilled </w:t>
      </w:r>
      <w:r>
        <w:rPr>
          <w:rFonts w:ascii="Times New Roman" w:hAnsi="Times New Roman"/>
        </w:rPr>
        <w:t>electricity consumed from Octo</w:t>
      </w:r>
      <w:r w:rsidR="00756291">
        <w:rPr>
          <w:rFonts w:ascii="Times New Roman" w:hAnsi="Times New Roman"/>
        </w:rPr>
        <w:t>ber 8, 2008 to August 14, 2014 before electric service can resume at the service address</w:t>
      </w:r>
      <w:r>
        <w:rPr>
          <w:rFonts w:ascii="Times New Roman" w:hAnsi="Times New Roman"/>
        </w:rPr>
        <w:t xml:space="preserve">.  Complainant also would have to obtain wire approval from a certified electrical inspector or third-party agency certifying </w:t>
      </w:r>
      <w:r w:rsidR="00756291">
        <w:rPr>
          <w:rFonts w:ascii="Times New Roman" w:hAnsi="Times New Roman"/>
        </w:rPr>
        <w:t>Respondent can safely</w:t>
      </w:r>
      <w:r>
        <w:rPr>
          <w:rFonts w:ascii="Times New Roman" w:hAnsi="Times New Roman"/>
        </w:rPr>
        <w:t xml:space="preserve"> re-energize the electric wires</w:t>
      </w:r>
      <w:r w:rsidR="00756291">
        <w:rPr>
          <w:rFonts w:ascii="Times New Roman" w:hAnsi="Times New Roman"/>
        </w:rPr>
        <w:t xml:space="preserve"> to the service address</w:t>
      </w:r>
      <w:r>
        <w:rPr>
          <w:rFonts w:ascii="Times New Roman" w:hAnsi="Times New Roman"/>
        </w:rPr>
        <w:t xml:space="preserve">.  </w:t>
      </w:r>
      <w:proofErr w:type="gramStart"/>
      <w:r>
        <w:rPr>
          <w:rFonts w:ascii="Times New Roman" w:hAnsi="Times New Roman"/>
        </w:rPr>
        <w:t>(Tr. 50-52; Duquesne Light Exhibit 1).</w:t>
      </w:r>
      <w:proofErr w:type="gramEnd"/>
    </w:p>
    <w:p w:rsidR="002C7811" w:rsidRDefault="002C7811" w:rsidP="00F74BC6">
      <w:pPr>
        <w:spacing w:line="360" w:lineRule="auto"/>
        <w:rPr>
          <w:rFonts w:ascii="Times New Roman" w:hAnsi="Times New Roman"/>
        </w:rPr>
      </w:pPr>
    </w:p>
    <w:p w:rsidR="002C7811" w:rsidRDefault="00C37E88" w:rsidP="00F74BC6">
      <w:pPr>
        <w:spacing w:line="360" w:lineRule="auto"/>
        <w:rPr>
          <w:rFonts w:ascii="Times New Roman" w:hAnsi="Times New Roman"/>
        </w:rPr>
      </w:pPr>
      <w:r>
        <w:rPr>
          <w:rFonts w:ascii="Times New Roman" w:hAnsi="Times New Roman"/>
        </w:rPr>
        <w:lastRenderedPageBreak/>
        <w:tab/>
      </w:r>
      <w:r>
        <w:rPr>
          <w:rFonts w:ascii="Times New Roman" w:hAnsi="Times New Roman"/>
        </w:rPr>
        <w:tab/>
        <w:t>2</w:t>
      </w:r>
      <w:r w:rsidR="006F0FF6">
        <w:rPr>
          <w:rFonts w:ascii="Times New Roman" w:hAnsi="Times New Roman"/>
        </w:rPr>
        <w:t>0</w:t>
      </w:r>
      <w:r w:rsidR="002C7811">
        <w:rPr>
          <w:rFonts w:ascii="Times New Roman" w:hAnsi="Times New Roman"/>
        </w:rPr>
        <w:t>.</w:t>
      </w:r>
      <w:r w:rsidR="002C7811">
        <w:rPr>
          <w:rFonts w:ascii="Times New Roman" w:hAnsi="Times New Roman"/>
        </w:rPr>
        <w:tab/>
      </w:r>
      <w:r w:rsidR="00D8229C">
        <w:rPr>
          <w:rFonts w:ascii="Times New Roman" w:hAnsi="Times New Roman"/>
        </w:rPr>
        <w:t>Duquesne Light</w:t>
      </w:r>
      <w:r w:rsidR="002C7811">
        <w:rPr>
          <w:rFonts w:ascii="Times New Roman" w:hAnsi="Times New Roman"/>
        </w:rPr>
        <w:t xml:space="preserve"> </w:t>
      </w:r>
      <w:r w:rsidR="00146AC0">
        <w:rPr>
          <w:rFonts w:ascii="Times New Roman" w:hAnsi="Times New Roman"/>
        </w:rPr>
        <w:t xml:space="preserve">referred the results of its investigation to the local police but </w:t>
      </w:r>
      <w:r w:rsidR="002C7811">
        <w:rPr>
          <w:rFonts w:ascii="Times New Roman" w:hAnsi="Times New Roman"/>
        </w:rPr>
        <w:t xml:space="preserve">criminal </w:t>
      </w:r>
      <w:r w:rsidR="00D8229C">
        <w:rPr>
          <w:rFonts w:ascii="Times New Roman" w:hAnsi="Times New Roman"/>
        </w:rPr>
        <w:t>charges</w:t>
      </w:r>
      <w:r w:rsidR="00146AC0">
        <w:rPr>
          <w:rFonts w:ascii="Times New Roman" w:hAnsi="Times New Roman"/>
        </w:rPr>
        <w:t xml:space="preserve"> were not filed</w:t>
      </w:r>
      <w:r w:rsidR="00D8229C">
        <w:rPr>
          <w:rFonts w:ascii="Times New Roman" w:hAnsi="Times New Roman"/>
        </w:rPr>
        <w:t xml:space="preserve"> against Complainant.  </w:t>
      </w:r>
      <w:proofErr w:type="gramStart"/>
      <w:r w:rsidR="002C7811">
        <w:rPr>
          <w:rFonts w:ascii="Times New Roman" w:hAnsi="Times New Roman"/>
        </w:rPr>
        <w:t xml:space="preserve">(Tr. </w:t>
      </w:r>
      <w:r w:rsidR="002B1A2C">
        <w:rPr>
          <w:rFonts w:ascii="Times New Roman" w:hAnsi="Times New Roman"/>
        </w:rPr>
        <w:t>45</w:t>
      </w:r>
      <w:r w:rsidR="002C7811">
        <w:rPr>
          <w:rFonts w:ascii="Times New Roman" w:hAnsi="Times New Roman"/>
        </w:rPr>
        <w:t>).</w:t>
      </w:r>
      <w:proofErr w:type="gramEnd"/>
      <w:r w:rsidR="002C7811">
        <w:rPr>
          <w:rFonts w:ascii="Times New Roman" w:hAnsi="Times New Roman"/>
        </w:rPr>
        <w:t xml:space="preserve">   </w:t>
      </w:r>
    </w:p>
    <w:p w:rsidR="00226236" w:rsidRDefault="00226236" w:rsidP="00F74BC6">
      <w:pPr>
        <w:spacing w:line="360" w:lineRule="auto"/>
        <w:rPr>
          <w:rFonts w:ascii="Times New Roman" w:hAnsi="Times New Roman"/>
        </w:rPr>
      </w:pPr>
    </w:p>
    <w:p w:rsidR="00226236" w:rsidRDefault="00226236" w:rsidP="00F74BC6">
      <w:pPr>
        <w:spacing w:line="360" w:lineRule="auto"/>
        <w:rPr>
          <w:rFonts w:ascii="Times New Roman" w:hAnsi="Times New Roman"/>
        </w:rPr>
      </w:pPr>
      <w:r>
        <w:rPr>
          <w:rFonts w:ascii="Times New Roman" w:hAnsi="Times New Roman"/>
        </w:rPr>
        <w:tab/>
      </w:r>
      <w:r>
        <w:rPr>
          <w:rFonts w:ascii="Times New Roman" w:hAnsi="Times New Roman"/>
        </w:rPr>
        <w:tab/>
      </w:r>
      <w:r w:rsidR="00C37E88">
        <w:rPr>
          <w:rFonts w:ascii="Times New Roman" w:hAnsi="Times New Roman"/>
        </w:rPr>
        <w:t>2</w:t>
      </w:r>
      <w:r w:rsidR="006F0FF6">
        <w:rPr>
          <w:rFonts w:ascii="Times New Roman" w:hAnsi="Times New Roman"/>
        </w:rPr>
        <w:t>1</w:t>
      </w:r>
      <w:r>
        <w:rPr>
          <w:rFonts w:ascii="Times New Roman" w:hAnsi="Times New Roman"/>
        </w:rPr>
        <w:t xml:space="preserve">. </w:t>
      </w:r>
      <w:r>
        <w:rPr>
          <w:rFonts w:ascii="Times New Roman" w:hAnsi="Times New Roman"/>
        </w:rPr>
        <w:tab/>
        <w:t xml:space="preserve">Respondent used the recorded consumption </w:t>
      </w:r>
      <w:r w:rsidR="00756291">
        <w:rPr>
          <w:rFonts w:ascii="Times New Roman" w:hAnsi="Times New Roman"/>
        </w:rPr>
        <w:t xml:space="preserve">(4045 kWh) from the pole meter </w:t>
      </w:r>
      <w:r>
        <w:rPr>
          <w:rFonts w:ascii="Times New Roman" w:hAnsi="Times New Roman"/>
        </w:rPr>
        <w:t>over the 2,137 day</w:t>
      </w:r>
      <w:r w:rsidR="00756291">
        <w:rPr>
          <w:rFonts w:ascii="Times New Roman" w:hAnsi="Times New Roman"/>
        </w:rPr>
        <w:t xml:space="preserve"> time period</w:t>
      </w:r>
      <w:r w:rsidR="00464A92">
        <w:rPr>
          <w:rFonts w:ascii="Times New Roman" w:hAnsi="Times New Roman"/>
        </w:rPr>
        <w:t xml:space="preserve"> (</w:t>
      </w:r>
      <w:r>
        <w:rPr>
          <w:rFonts w:ascii="Times New Roman" w:hAnsi="Times New Roman"/>
        </w:rPr>
        <w:t>from October 8, 2008 to August 14, 2014</w:t>
      </w:r>
      <w:r w:rsidR="00464A92">
        <w:rPr>
          <w:rFonts w:ascii="Times New Roman" w:hAnsi="Times New Roman"/>
        </w:rPr>
        <w:t>)</w:t>
      </w:r>
      <w:r w:rsidR="00756291">
        <w:rPr>
          <w:rFonts w:ascii="Times New Roman" w:hAnsi="Times New Roman"/>
        </w:rPr>
        <w:t xml:space="preserve"> to calculate</w:t>
      </w:r>
      <w:r>
        <w:rPr>
          <w:rFonts w:ascii="Times New Roman" w:hAnsi="Times New Roman"/>
        </w:rPr>
        <w:t xml:space="preserve"> the amount of unbilled commodity charges which Complainant should have paid based upon the applicable approved distribution rates in effect at the times of consumption, assuming the consumption was evenly distributed over the 2,137 day time period.  </w:t>
      </w:r>
      <w:proofErr w:type="gramStart"/>
      <w:r>
        <w:rPr>
          <w:rFonts w:ascii="Times New Roman" w:hAnsi="Times New Roman"/>
        </w:rPr>
        <w:t>(Tr. 61-66; Duquesne Light Exhibit 17).</w:t>
      </w:r>
      <w:proofErr w:type="gramEnd"/>
      <w:r>
        <w:rPr>
          <w:rFonts w:ascii="Times New Roman" w:hAnsi="Times New Roman"/>
        </w:rPr>
        <w:t xml:space="preserve">  </w:t>
      </w:r>
    </w:p>
    <w:p w:rsidR="00226236" w:rsidRDefault="00226236" w:rsidP="00F74BC6">
      <w:pPr>
        <w:spacing w:line="360" w:lineRule="auto"/>
        <w:rPr>
          <w:rFonts w:ascii="Times New Roman" w:hAnsi="Times New Roman"/>
        </w:rPr>
      </w:pPr>
    </w:p>
    <w:p w:rsidR="00226236" w:rsidRDefault="00226236" w:rsidP="00F74BC6">
      <w:pPr>
        <w:spacing w:line="360" w:lineRule="auto"/>
        <w:rPr>
          <w:rFonts w:ascii="Times New Roman" w:hAnsi="Times New Roman"/>
        </w:rPr>
      </w:pPr>
      <w:r>
        <w:rPr>
          <w:rFonts w:ascii="Times New Roman" w:hAnsi="Times New Roman"/>
        </w:rPr>
        <w:tab/>
      </w:r>
      <w:r>
        <w:rPr>
          <w:rFonts w:ascii="Times New Roman" w:hAnsi="Times New Roman"/>
        </w:rPr>
        <w:tab/>
      </w:r>
      <w:r w:rsidR="00C37E88">
        <w:rPr>
          <w:rFonts w:ascii="Times New Roman" w:hAnsi="Times New Roman"/>
        </w:rPr>
        <w:t>2</w:t>
      </w:r>
      <w:r w:rsidR="006F0FF6">
        <w:rPr>
          <w:rFonts w:ascii="Times New Roman" w:hAnsi="Times New Roman"/>
        </w:rPr>
        <w:t>2</w:t>
      </w:r>
      <w:r>
        <w:rPr>
          <w:rFonts w:ascii="Times New Roman" w:hAnsi="Times New Roman"/>
        </w:rPr>
        <w:t xml:space="preserve">. </w:t>
      </w:r>
      <w:r>
        <w:rPr>
          <w:rFonts w:ascii="Times New Roman" w:hAnsi="Times New Roman"/>
        </w:rPr>
        <w:tab/>
        <w:t xml:space="preserve">After subtracting the amounts paid by Complainant and subtracting out the </w:t>
      </w:r>
      <w:r w:rsidR="00756291">
        <w:rPr>
          <w:rFonts w:ascii="Times New Roman" w:hAnsi="Times New Roman"/>
        </w:rPr>
        <w:t>customer education and smart meter</w:t>
      </w:r>
      <w:r>
        <w:rPr>
          <w:rFonts w:ascii="Times New Roman" w:hAnsi="Times New Roman"/>
        </w:rPr>
        <w:t xml:space="preserve"> charges, Respondent determined Complainant owed $5,239.04 in unbilled consumption charges.  </w:t>
      </w:r>
      <w:proofErr w:type="gramStart"/>
      <w:r>
        <w:rPr>
          <w:rFonts w:ascii="Times New Roman" w:hAnsi="Times New Roman"/>
        </w:rPr>
        <w:t>(Tr. 66; Duquesne Light Exhibit 17).</w:t>
      </w:r>
      <w:proofErr w:type="gramEnd"/>
    </w:p>
    <w:p w:rsidR="00226236" w:rsidRDefault="00226236" w:rsidP="00F74BC6">
      <w:pPr>
        <w:spacing w:line="360" w:lineRule="auto"/>
        <w:rPr>
          <w:rFonts w:ascii="Times New Roman" w:hAnsi="Times New Roman"/>
        </w:rPr>
      </w:pPr>
    </w:p>
    <w:p w:rsidR="00226236" w:rsidRDefault="00226236" w:rsidP="00F74BC6">
      <w:pPr>
        <w:spacing w:line="360" w:lineRule="auto"/>
        <w:rPr>
          <w:rFonts w:ascii="Times New Roman" w:hAnsi="Times New Roman"/>
        </w:rPr>
      </w:pPr>
      <w:r>
        <w:rPr>
          <w:rFonts w:ascii="Times New Roman" w:hAnsi="Times New Roman"/>
        </w:rPr>
        <w:tab/>
      </w:r>
      <w:r>
        <w:rPr>
          <w:rFonts w:ascii="Times New Roman" w:hAnsi="Times New Roman"/>
        </w:rPr>
        <w:tab/>
      </w:r>
      <w:r w:rsidR="00C37E88">
        <w:rPr>
          <w:rFonts w:ascii="Times New Roman" w:hAnsi="Times New Roman"/>
        </w:rPr>
        <w:t>2</w:t>
      </w:r>
      <w:r w:rsidR="006F0FF6">
        <w:rPr>
          <w:rFonts w:ascii="Times New Roman" w:hAnsi="Times New Roman"/>
        </w:rPr>
        <w:t>3</w:t>
      </w:r>
      <w:r>
        <w:rPr>
          <w:rFonts w:ascii="Times New Roman" w:hAnsi="Times New Roman"/>
        </w:rPr>
        <w:t xml:space="preserve">. </w:t>
      </w:r>
      <w:r>
        <w:rPr>
          <w:rFonts w:ascii="Times New Roman" w:hAnsi="Times New Roman"/>
        </w:rPr>
        <w:tab/>
        <w:t xml:space="preserve">Respondent’s Tariff Section 40 permits Duquesne Light to collect all costs, including the cost for protective equipment, incurred for an investigation and inspection into alleged tampering if electric service is eventually terminated due to tampering or theft of services.  </w:t>
      </w:r>
      <w:proofErr w:type="gramStart"/>
      <w:r>
        <w:rPr>
          <w:rFonts w:ascii="Times New Roman" w:hAnsi="Times New Roman"/>
        </w:rPr>
        <w:t>(Tr. 53, 54; Duquesne Light Exhibit 2).</w:t>
      </w:r>
      <w:proofErr w:type="gramEnd"/>
      <w:r>
        <w:rPr>
          <w:rFonts w:ascii="Times New Roman" w:hAnsi="Times New Roman"/>
        </w:rPr>
        <w:t xml:space="preserve">  </w:t>
      </w:r>
    </w:p>
    <w:p w:rsidR="00226236" w:rsidRDefault="00226236" w:rsidP="00F74BC6">
      <w:pPr>
        <w:spacing w:line="360" w:lineRule="auto"/>
        <w:rPr>
          <w:rFonts w:ascii="Times New Roman" w:hAnsi="Times New Roman"/>
        </w:rPr>
      </w:pPr>
    </w:p>
    <w:p w:rsidR="00226236" w:rsidRDefault="00226236" w:rsidP="00F74BC6">
      <w:pPr>
        <w:spacing w:line="360" w:lineRule="auto"/>
        <w:rPr>
          <w:rFonts w:ascii="Times New Roman" w:hAnsi="Times New Roman"/>
        </w:rPr>
      </w:pPr>
      <w:r>
        <w:rPr>
          <w:rFonts w:ascii="Times New Roman" w:hAnsi="Times New Roman"/>
        </w:rPr>
        <w:tab/>
      </w:r>
      <w:r>
        <w:rPr>
          <w:rFonts w:ascii="Times New Roman" w:hAnsi="Times New Roman"/>
        </w:rPr>
        <w:tab/>
      </w:r>
      <w:r w:rsidR="00C37E88">
        <w:rPr>
          <w:rFonts w:ascii="Times New Roman" w:hAnsi="Times New Roman"/>
        </w:rPr>
        <w:t>2</w:t>
      </w:r>
      <w:r w:rsidR="008A4606">
        <w:rPr>
          <w:rFonts w:ascii="Times New Roman" w:hAnsi="Times New Roman"/>
        </w:rPr>
        <w:t>4</w:t>
      </w:r>
      <w:r>
        <w:rPr>
          <w:rFonts w:ascii="Times New Roman" w:hAnsi="Times New Roman"/>
        </w:rPr>
        <w:t xml:space="preserve">. </w:t>
      </w:r>
      <w:r>
        <w:rPr>
          <w:rFonts w:ascii="Times New Roman" w:hAnsi="Times New Roman"/>
        </w:rPr>
        <w:tab/>
      </w:r>
      <w:r w:rsidR="00756291">
        <w:rPr>
          <w:rFonts w:ascii="Times New Roman" w:hAnsi="Times New Roman"/>
        </w:rPr>
        <w:t xml:space="preserve">Respondent incurred $800.00 </w:t>
      </w:r>
      <w:r w:rsidR="00C37E88">
        <w:rPr>
          <w:rFonts w:ascii="Times New Roman" w:hAnsi="Times New Roman"/>
        </w:rPr>
        <w:t>in investigative costs and fees</w:t>
      </w:r>
      <w:r w:rsidR="00756291">
        <w:rPr>
          <w:rFonts w:ascii="Times New Roman" w:hAnsi="Times New Roman"/>
        </w:rPr>
        <w:t xml:space="preserve"> associated with the back wire, front wire and meter at the service address</w:t>
      </w:r>
      <w:r w:rsidR="00C37E88">
        <w:rPr>
          <w:rFonts w:ascii="Times New Roman" w:hAnsi="Times New Roman"/>
        </w:rPr>
        <w:t xml:space="preserve">.  </w:t>
      </w:r>
      <w:proofErr w:type="gramStart"/>
      <w:r w:rsidR="00C37E88">
        <w:rPr>
          <w:rFonts w:ascii="Times New Roman" w:hAnsi="Times New Roman"/>
        </w:rPr>
        <w:t>(Tr. 66, 67; Duquesne Light Exhibit 17).</w:t>
      </w:r>
      <w:proofErr w:type="gramEnd"/>
    </w:p>
    <w:p w:rsidR="00C37E88" w:rsidRDefault="00C37E88" w:rsidP="00F74BC6">
      <w:pPr>
        <w:spacing w:line="360" w:lineRule="auto"/>
        <w:rPr>
          <w:rFonts w:ascii="Times New Roman" w:hAnsi="Times New Roman"/>
        </w:rPr>
      </w:pPr>
    </w:p>
    <w:p w:rsidR="00497712" w:rsidRDefault="00C30AA0" w:rsidP="006F0FF6">
      <w:pPr>
        <w:spacing w:line="360" w:lineRule="auto"/>
        <w:jc w:val="center"/>
        <w:rPr>
          <w:rFonts w:ascii="Times New Roman" w:hAnsi="Times New Roman"/>
        </w:rPr>
      </w:pPr>
      <w:r w:rsidRPr="004B1CE0">
        <w:rPr>
          <w:rFonts w:ascii="Times New Roman" w:hAnsi="Times New Roman"/>
          <w:u w:val="single"/>
        </w:rPr>
        <w:t>DISCUSSION</w:t>
      </w:r>
    </w:p>
    <w:p w:rsidR="00497712" w:rsidRDefault="00497712" w:rsidP="00000984">
      <w:pPr>
        <w:spacing w:line="360" w:lineRule="auto"/>
        <w:ind w:firstLine="1440"/>
        <w:rPr>
          <w:rFonts w:ascii="Times New Roman" w:hAnsi="Times New Roman"/>
        </w:rPr>
      </w:pPr>
    </w:p>
    <w:p w:rsidR="00F505B3" w:rsidRDefault="00F505B3" w:rsidP="00000984">
      <w:pPr>
        <w:spacing w:line="360" w:lineRule="auto"/>
        <w:ind w:firstLine="1440"/>
        <w:rPr>
          <w:rFonts w:ascii="Times New Roman" w:hAnsi="Times New Roman"/>
        </w:rPr>
      </w:pPr>
      <w:r w:rsidRPr="004B1CE0">
        <w:rPr>
          <w:rFonts w:ascii="Times New Roman" w:hAnsi="Times New Roman"/>
        </w:rPr>
        <w:t xml:space="preserve">Section 332(a) of the Public Utility Code (Code), </w:t>
      </w:r>
      <w:proofErr w:type="gramStart"/>
      <w:r w:rsidRPr="004B1CE0">
        <w:rPr>
          <w:rFonts w:ascii="Times New Roman" w:hAnsi="Times New Roman"/>
        </w:rPr>
        <w:t xml:space="preserve">66 </w:t>
      </w:r>
      <w:proofErr w:type="spellStart"/>
      <w:r w:rsidRPr="004B1CE0">
        <w:rPr>
          <w:rFonts w:ascii="Times New Roman" w:hAnsi="Times New Roman"/>
        </w:rPr>
        <w:t>Pa.C.S.</w:t>
      </w:r>
      <w:r w:rsidR="00D8229C">
        <w:rPr>
          <w:rFonts w:ascii="Times New Roman" w:hAnsi="Times New Roman"/>
        </w:rPr>
        <w:t>A</w:t>
      </w:r>
      <w:proofErr w:type="spellEnd"/>
      <w:proofErr w:type="gramEnd"/>
      <w:r w:rsidR="00D8229C">
        <w:rPr>
          <w:rFonts w:ascii="Times New Roman" w:hAnsi="Times New Roman"/>
        </w:rPr>
        <w:t>.</w:t>
      </w:r>
      <w:r w:rsidRPr="004B1CE0">
        <w:rPr>
          <w:rFonts w:ascii="Times New Roman" w:hAnsi="Times New Roman"/>
        </w:rPr>
        <w:t xml:space="preserve"> §</w:t>
      </w:r>
      <w:r w:rsidR="00D8229C">
        <w:rPr>
          <w:rFonts w:ascii="Times New Roman" w:hAnsi="Times New Roman"/>
        </w:rPr>
        <w:t xml:space="preserve"> </w:t>
      </w:r>
      <w:r w:rsidRPr="004B1CE0">
        <w:rPr>
          <w:rFonts w:ascii="Times New Roman" w:hAnsi="Times New Roman"/>
        </w:rPr>
        <w:t>332(a), provides that the party seeking affirmative relief from the Commi</w:t>
      </w:r>
      <w:r w:rsidR="001F4AF5">
        <w:rPr>
          <w:rFonts w:ascii="Times New Roman" w:hAnsi="Times New Roman"/>
        </w:rPr>
        <w:t xml:space="preserve">ssion has the burden of proof.  </w:t>
      </w:r>
      <w:r w:rsidR="00D8229C">
        <w:rPr>
          <w:rFonts w:ascii="Times New Roman" w:hAnsi="Times New Roman"/>
        </w:rPr>
        <w:t>Ms.</w:t>
      </w:r>
      <w:r w:rsidR="0072291A">
        <w:rPr>
          <w:rFonts w:ascii="Times New Roman" w:hAnsi="Times New Roman"/>
        </w:rPr>
        <w:t> </w:t>
      </w:r>
      <w:r w:rsidR="00D8229C">
        <w:rPr>
          <w:rFonts w:ascii="Times New Roman" w:hAnsi="Times New Roman"/>
        </w:rPr>
        <w:t>Warren</w:t>
      </w:r>
      <w:r w:rsidRPr="004B1CE0">
        <w:rPr>
          <w:rFonts w:ascii="Times New Roman" w:hAnsi="Times New Roman"/>
        </w:rPr>
        <w:t xml:space="preserve"> is the party seeking affirmative relief from the Commission, and, therefore, has the burden of proof.  </w:t>
      </w:r>
      <w:r w:rsidR="00D8229C">
        <w:rPr>
          <w:rFonts w:ascii="Times New Roman" w:hAnsi="Times New Roman"/>
        </w:rPr>
        <w:t>Ms. Warren</w:t>
      </w:r>
      <w:r w:rsidRPr="004B1CE0">
        <w:rPr>
          <w:rFonts w:ascii="Times New Roman" w:hAnsi="Times New Roman"/>
        </w:rPr>
        <w:t xml:space="preserve"> has the duty to establish a fact by a preponderance of the evidence, and must show that the utility is responsible or accountable for the problem described in the </w:t>
      </w:r>
      <w:r w:rsidRPr="004B1CE0">
        <w:rPr>
          <w:rFonts w:ascii="Times New Roman" w:hAnsi="Times New Roman"/>
        </w:rPr>
        <w:lastRenderedPageBreak/>
        <w:t>complaint.</w:t>
      </w:r>
      <w:r w:rsidR="00D8229C">
        <w:rPr>
          <w:rStyle w:val="FootnoteReference"/>
          <w:rFonts w:ascii="Times New Roman" w:hAnsi="Times New Roman"/>
        </w:rPr>
        <w:footnoteReference w:id="1"/>
      </w:r>
      <w:r w:rsidRPr="004B1CE0">
        <w:rPr>
          <w:rFonts w:ascii="Times New Roman" w:hAnsi="Times New Roman"/>
        </w:rPr>
        <w:t xml:space="preserve">  Additionally, care must be exercised to </w:t>
      </w:r>
      <w:r w:rsidR="002025A7">
        <w:rPr>
          <w:rFonts w:ascii="Times New Roman" w:hAnsi="Times New Roman"/>
        </w:rPr>
        <w:t>e</w:t>
      </w:r>
      <w:r w:rsidRPr="004B1CE0">
        <w:rPr>
          <w:rFonts w:ascii="Times New Roman" w:hAnsi="Times New Roman"/>
        </w:rPr>
        <w:t xml:space="preserve">nsure </w:t>
      </w:r>
      <w:r w:rsidR="00D8229C">
        <w:rPr>
          <w:rFonts w:ascii="Times New Roman" w:hAnsi="Times New Roman"/>
        </w:rPr>
        <w:t>the Commission’s</w:t>
      </w:r>
      <w:r w:rsidRPr="004B1CE0">
        <w:rPr>
          <w:rFonts w:ascii="Times New Roman" w:hAnsi="Times New Roman"/>
        </w:rPr>
        <w:t xml:space="preserve"> decision is supported by substantial evidence in the record.  More is required than a mere trace of evidence or a suspicion of the existence of a fact sought to be established.</w:t>
      </w:r>
      <w:r w:rsidR="00D8229C">
        <w:rPr>
          <w:rStyle w:val="FootnoteReference"/>
          <w:rFonts w:ascii="Times New Roman" w:hAnsi="Times New Roman"/>
        </w:rPr>
        <w:footnoteReference w:id="2"/>
      </w:r>
      <w:r w:rsidRPr="004B1CE0">
        <w:rPr>
          <w:rFonts w:ascii="Times New Roman" w:hAnsi="Times New Roman"/>
        </w:rPr>
        <w:t xml:space="preserve">  </w:t>
      </w:r>
    </w:p>
    <w:p w:rsidR="002C7811" w:rsidRDefault="002C7811" w:rsidP="00000984">
      <w:pPr>
        <w:spacing w:line="360" w:lineRule="auto"/>
        <w:ind w:firstLine="1440"/>
        <w:rPr>
          <w:rFonts w:ascii="Times New Roman" w:hAnsi="Times New Roman"/>
        </w:rPr>
      </w:pPr>
    </w:p>
    <w:p w:rsidR="002C7811" w:rsidRDefault="002C7811" w:rsidP="00000984">
      <w:pPr>
        <w:spacing w:line="360" w:lineRule="auto"/>
        <w:ind w:firstLine="1440"/>
        <w:rPr>
          <w:rFonts w:ascii="Times New Roman" w:hAnsi="Times New Roman"/>
        </w:rPr>
      </w:pPr>
      <w:r>
        <w:rPr>
          <w:rFonts w:ascii="Times New Roman" w:hAnsi="Times New Roman"/>
        </w:rPr>
        <w:t xml:space="preserve">In </w:t>
      </w:r>
      <w:r w:rsidR="00D8229C">
        <w:rPr>
          <w:rFonts w:ascii="Times New Roman" w:hAnsi="Times New Roman"/>
        </w:rPr>
        <w:t>her</w:t>
      </w:r>
      <w:r>
        <w:rPr>
          <w:rFonts w:ascii="Times New Roman" w:hAnsi="Times New Roman"/>
        </w:rPr>
        <w:t xml:space="preserve"> complaint, </w:t>
      </w:r>
      <w:r w:rsidR="00D8229C">
        <w:rPr>
          <w:rFonts w:ascii="Times New Roman" w:hAnsi="Times New Roman"/>
        </w:rPr>
        <w:t>Ms. Warren</w:t>
      </w:r>
      <w:r>
        <w:rPr>
          <w:rFonts w:ascii="Times New Roman" w:hAnsi="Times New Roman"/>
        </w:rPr>
        <w:t xml:space="preserve"> alleges </w:t>
      </w:r>
      <w:r w:rsidR="00D8229C">
        <w:rPr>
          <w:rFonts w:ascii="Times New Roman" w:hAnsi="Times New Roman"/>
        </w:rPr>
        <w:t xml:space="preserve">Duquesne Light wrongly terminated service to </w:t>
      </w:r>
      <w:r w:rsidR="00756291">
        <w:rPr>
          <w:rFonts w:ascii="Times New Roman" w:hAnsi="Times New Roman"/>
        </w:rPr>
        <w:t>the service address and now wrongly</w:t>
      </w:r>
      <w:r w:rsidR="00D8229C">
        <w:rPr>
          <w:rFonts w:ascii="Times New Roman" w:hAnsi="Times New Roman"/>
        </w:rPr>
        <w:t xml:space="preserve"> accuses her of tampering with the electric meter at the service address when no one resided there.  As relief, she requests an on-site inspection by Duquesne Light and a finding Duquesne Light wrongly accused her of tampering with the meter at the service address</w:t>
      </w:r>
      <w:r>
        <w:rPr>
          <w:rFonts w:ascii="Times New Roman" w:hAnsi="Times New Roman"/>
        </w:rPr>
        <w:t xml:space="preserve">.  </w:t>
      </w:r>
    </w:p>
    <w:p w:rsidR="002C7811" w:rsidRDefault="002C7811" w:rsidP="00000984">
      <w:pPr>
        <w:spacing w:line="360" w:lineRule="auto"/>
        <w:ind w:firstLine="1440"/>
        <w:rPr>
          <w:rFonts w:ascii="Times New Roman" w:hAnsi="Times New Roman"/>
        </w:rPr>
      </w:pPr>
    </w:p>
    <w:p w:rsidR="002C7811" w:rsidRDefault="00D8229C" w:rsidP="00000984">
      <w:pPr>
        <w:spacing w:line="360" w:lineRule="auto"/>
        <w:ind w:firstLine="1440"/>
        <w:rPr>
          <w:rFonts w:ascii="Times New Roman" w:hAnsi="Times New Roman"/>
        </w:rPr>
      </w:pPr>
      <w:r>
        <w:rPr>
          <w:rFonts w:ascii="Times New Roman" w:hAnsi="Times New Roman"/>
        </w:rPr>
        <w:t>Ms. Warren</w:t>
      </w:r>
      <w:r w:rsidR="002C7811">
        <w:rPr>
          <w:rFonts w:ascii="Times New Roman" w:hAnsi="Times New Roman"/>
        </w:rPr>
        <w:t xml:space="preserve"> testified</w:t>
      </w:r>
      <w:r w:rsidR="00977781">
        <w:rPr>
          <w:rFonts w:ascii="Times New Roman" w:hAnsi="Times New Roman"/>
        </w:rPr>
        <w:t xml:space="preserve"> </w:t>
      </w:r>
      <w:r w:rsidR="00756291">
        <w:rPr>
          <w:rFonts w:ascii="Times New Roman" w:hAnsi="Times New Roman"/>
        </w:rPr>
        <w:t xml:space="preserve">she had no knowledge of any tampering with her electric service, and no one had rented the service address for the previous six years.  Ms. Warren testified she uses the first floor to store equipment and supplies from her other rental properties but no one else has used the property since 2008.  Complainant also testified she has not accessed the back yard at the service address for many years since installing a wooden fence along the back property line after a portion of the neighboring property fell into the back yard.  She disagrees with Respondent’s characterization that she tampered with the electric service and its contention that there has been a theft of services.   </w:t>
      </w:r>
    </w:p>
    <w:p w:rsidR="00977781" w:rsidRDefault="00977781" w:rsidP="00000984">
      <w:pPr>
        <w:spacing w:line="360" w:lineRule="auto"/>
        <w:ind w:firstLine="1440"/>
        <w:rPr>
          <w:rFonts w:ascii="Times New Roman" w:hAnsi="Times New Roman"/>
        </w:rPr>
      </w:pPr>
    </w:p>
    <w:p w:rsidR="003B6403" w:rsidRDefault="00756291" w:rsidP="0088716B">
      <w:pPr>
        <w:spacing w:line="360" w:lineRule="auto"/>
        <w:ind w:firstLine="1440"/>
        <w:rPr>
          <w:rFonts w:ascii="Times New Roman" w:hAnsi="Times New Roman"/>
        </w:rPr>
      </w:pPr>
      <w:r>
        <w:rPr>
          <w:rFonts w:ascii="Times New Roman" w:hAnsi="Times New Roman"/>
        </w:rPr>
        <w:t>Respondent’s witness, John Petro (Mr. Petro)</w:t>
      </w:r>
      <w:r w:rsidR="00464A92">
        <w:rPr>
          <w:rFonts w:ascii="Times New Roman" w:hAnsi="Times New Roman"/>
        </w:rPr>
        <w:t>,</w:t>
      </w:r>
      <w:r w:rsidR="00977781">
        <w:rPr>
          <w:rFonts w:ascii="Times New Roman" w:hAnsi="Times New Roman"/>
        </w:rPr>
        <w:t xml:space="preserve"> testified credibly</w:t>
      </w:r>
      <w:r w:rsidR="00E726E8">
        <w:rPr>
          <w:rFonts w:ascii="Times New Roman" w:hAnsi="Times New Roman"/>
        </w:rPr>
        <w:t xml:space="preserve"> the service line had been tampered with between the point where the service line attached to the house at the roofline and the point where the service line runs </w:t>
      </w:r>
      <w:r w:rsidR="00464A92">
        <w:rPr>
          <w:rFonts w:ascii="Times New Roman" w:hAnsi="Times New Roman"/>
        </w:rPr>
        <w:t>down to</w:t>
      </w:r>
      <w:r w:rsidR="00E726E8">
        <w:rPr>
          <w:rFonts w:ascii="Times New Roman" w:hAnsi="Times New Roman"/>
        </w:rPr>
        <w:t xml:space="preserve"> the meter.  Mr. Petro testified credibly how his investigation at the service address led him to conclude that over 4000 kWh of electricity had been carried through Duquesne Light’s wires from the pole to the service connection with the service address and down to the meter, however, only minimal amounts of electricity were recorded as consumption on the meter.  Mr. Petro also testified credibly that no </w:t>
      </w:r>
      <w:r w:rsidR="00E726E8">
        <w:rPr>
          <w:rFonts w:ascii="Times New Roman" w:hAnsi="Times New Roman"/>
        </w:rPr>
        <w:lastRenderedPageBreak/>
        <w:t xml:space="preserve">signs were present to indicate another property or individual had tampered with and accessed the electricity in the service line other than Complainant.  </w:t>
      </w:r>
    </w:p>
    <w:p w:rsidR="0088716B" w:rsidRPr="003B6403" w:rsidRDefault="0088716B" w:rsidP="0088716B">
      <w:pPr>
        <w:spacing w:line="360" w:lineRule="auto"/>
        <w:ind w:firstLine="1440"/>
      </w:pPr>
    </w:p>
    <w:p w:rsidR="00E726E8" w:rsidRDefault="003B6403" w:rsidP="0088716B">
      <w:pPr>
        <w:spacing w:line="360" w:lineRule="auto"/>
      </w:pPr>
      <w:r w:rsidRPr="003B6403">
        <w:tab/>
      </w:r>
      <w:r w:rsidRPr="003B6403">
        <w:tab/>
        <w:t>Complainant failed to prove</w:t>
      </w:r>
      <w:r>
        <w:t xml:space="preserve"> </w:t>
      </w:r>
      <w:r w:rsidR="00D8229C">
        <w:t>Respondent</w:t>
      </w:r>
      <w:r w:rsidR="0088716B">
        <w:t xml:space="preserve"> </w:t>
      </w:r>
      <w:r>
        <w:t>violated the Public Utility Code</w:t>
      </w:r>
      <w:r w:rsidR="00D8229C">
        <w:t xml:space="preserve"> (the Code</w:t>
      </w:r>
      <w:r w:rsidR="0088716B">
        <w:t>)</w:t>
      </w:r>
      <w:r w:rsidR="008E772F">
        <w:t xml:space="preserve">, 66 </w:t>
      </w:r>
      <w:proofErr w:type="spellStart"/>
      <w:r w:rsidR="008E772F">
        <w:t>Pa.</w:t>
      </w:r>
      <w:r>
        <w:t>C.S.</w:t>
      </w:r>
      <w:r w:rsidR="00D8229C">
        <w:t>A</w:t>
      </w:r>
      <w:proofErr w:type="spellEnd"/>
      <w:r w:rsidR="00D8229C">
        <w:t>.</w:t>
      </w:r>
      <w:r>
        <w:t xml:space="preserve"> </w:t>
      </w:r>
      <w:proofErr w:type="gramStart"/>
      <w:r>
        <w:t>§</w:t>
      </w:r>
      <w:r w:rsidR="00D8229C">
        <w:t xml:space="preserve"> </w:t>
      </w:r>
      <w:r>
        <w:t xml:space="preserve">101 </w:t>
      </w:r>
      <w:r>
        <w:rPr>
          <w:i/>
        </w:rPr>
        <w:t>et seq</w:t>
      </w:r>
      <w:r>
        <w:t>.</w:t>
      </w:r>
      <w:proofErr w:type="gramEnd"/>
      <w:r>
        <w:t xml:space="preserve">, the Commission’s regulations or any Commission Order.  </w:t>
      </w:r>
      <w:r w:rsidR="0071682C">
        <w:t>A</w:t>
      </w:r>
      <w:r w:rsidR="0088716B">
        <w:t xml:space="preserve"> public utility </w:t>
      </w:r>
      <w:r w:rsidR="0071682C">
        <w:t xml:space="preserve">may </w:t>
      </w:r>
      <w:r w:rsidR="0088716B">
        <w:t xml:space="preserve">terminate service </w:t>
      </w:r>
      <w:r w:rsidR="0071682C">
        <w:t xml:space="preserve">immediately </w:t>
      </w:r>
      <w:r w:rsidR="0088716B">
        <w:t>when it discovers evidence of meter tampering by a customer.</w:t>
      </w:r>
      <w:r w:rsidR="0071682C">
        <w:rPr>
          <w:rStyle w:val="FootnoteReference"/>
        </w:rPr>
        <w:footnoteReference w:id="3"/>
      </w:r>
      <w:r w:rsidR="0088716B">
        <w:t xml:space="preserve">  </w:t>
      </w:r>
      <w:r w:rsidR="00E726E8">
        <w:t xml:space="preserve">Complainant’s testimony was not accepted as credible.  Complainant has experienced similar disputes with Respondent prior to August 2014, yet Complainant claimed she did not understand Respondent’s charges.  Complainant also claimed not to notice the </w:t>
      </w:r>
      <w:r w:rsidR="00464A92">
        <w:t>two un-insulated lines</w:t>
      </w:r>
      <w:r w:rsidR="00E726E8">
        <w:t xml:space="preserve"> seen clearly in pictures taken from the alley behind the service address</w:t>
      </w:r>
      <w:r w:rsidR="00464A92">
        <w:t xml:space="preserve"> in 2008 and again in 2014</w:t>
      </w:r>
      <w:r w:rsidR="00E726E8">
        <w:t xml:space="preserve">.  </w:t>
      </w:r>
    </w:p>
    <w:p w:rsidR="00E726E8" w:rsidRDefault="00E726E8" w:rsidP="0088716B">
      <w:pPr>
        <w:spacing w:line="360" w:lineRule="auto"/>
      </w:pPr>
    </w:p>
    <w:p w:rsidR="005139C2" w:rsidRDefault="00D8229C" w:rsidP="00E726E8">
      <w:pPr>
        <w:spacing w:line="360" w:lineRule="auto"/>
        <w:ind w:firstLine="1440"/>
      </w:pPr>
      <w:r>
        <w:t>Duquesne Light</w:t>
      </w:r>
      <w:r w:rsidR="0088716B">
        <w:t xml:space="preserve"> discovered </w:t>
      </w:r>
      <w:r w:rsidR="001A6E52">
        <w:t xml:space="preserve">clear signs of </w:t>
      </w:r>
      <w:r w:rsidR="0088716B">
        <w:t xml:space="preserve">meter tampering at </w:t>
      </w:r>
      <w:r>
        <w:t>the service address</w:t>
      </w:r>
      <w:r w:rsidR="0088716B">
        <w:t xml:space="preserve"> and acted in accordance with the applicable law.</w:t>
      </w:r>
      <w:r>
        <w:rPr>
          <w:rStyle w:val="FootnoteReference"/>
        </w:rPr>
        <w:footnoteReference w:id="4"/>
      </w:r>
      <w:r w:rsidR="001A6E52">
        <w:t xml:space="preserve">  Even to an untrained eye, wires clearly were visible at the back of the structure which split off from the service line before the meter and could be seen traveling into the structure through neat holes</w:t>
      </w:r>
      <w:r w:rsidR="00464A92">
        <w:t xml:space="preserve"> or gaps</w:t>
      </w:r>
      <w:r w:rsidR="001A6E52">
        <w:t xml:space="preserve"> in the siding.  In addition, over the course of more than 70 months (from October 2008 to August 2014), Complainant only paid $504.52 (see Duquesne Light Exhibit 17) which averages out to approximately $7.20 per month in total monthly charges for electricity.  Such a low amount should have led Complainant to question if a problem existed with her electric service.  Lastly, whether she knew there was tampering, Complainant was the ratepayer of record from October 2008 to August 2014 and is responsible for the electricity consumed at the service address.</w:t>
      </w:r>
      <w:r w:rsidR="008E772F">
        <w:rPr>
          <w:rStyle w:val="FootnoteReference"/>
        </w:rPr>
        <w:footnoteReference w:id="5"/>
      </w:r>
      <w:r w:rsidR="001A6E52">
        <w:t xml:space="preserve">  </w:t>
      </w:r>
      <w:r w:rsidR="00464A92">
        <w:lastRenderedPageBreak/>
        <w:t xml:space="preserve">Respondent’s evidence shows clearly that over 4000 kWh were consumed but not billed.  As the ratepayer since 2008, Complainant is the individual responsible to pay for the unbilled service, regardless of how the unbilled consumption occurred.  </w:t>
      </w:r>
    </w:p>
    <w:p w:rsidR="001A6E52" w:rsidRDefault="001A6E52" w:rsidP="00E726E8">
      <w:pPr>
        <w:spacing w:line="360" w:lineRule="auto"/>
        <w:ind w:firstLine="1440"/>
      </w:pPr>
    </w:p>
    <w:p w:rsidR="001A6E52" w:rsidRDefault="001A6E52" w:rsidP="00E726E8">
      <w:pPr>
        <w:spacing w:line="360" w:lineRule="auto"/>
        <w:ind w:firstLine="1440"/>
      </w:pPr>
      <w:r>
        <w:t xml:space="preserve">Complainant has not met her burden of proof as concerns </w:t>
      </w:r>
      <w:r w:rsidR="00464A92">
        <w:t>her</w:t>
      </w:r>
      <w:r w:rsidR="00025AA8">
        <w:t xml:space="preserve"> </w:t>
      </w:r>
      <w:r>
        <w:t>argument that Duquesne Light should not have turned off her electric service without notice.</w:t>
      </w:r>
      <w:r w:rsidR="00617118">
        <w:t xml:space="preserve">  Respondent’s applicable tariff provision, Tariff Electric Pa. P.U.C. Supplement 72, No. 34, provides that Duquesne Light “may terminate electric service and remove its equipment from the premises in case the Company’s property on the premises has been interfered with, or in case evidence is found that the service wires, meters, switch-box or other appurtenances on the premises have been tampered with.”  </w:t>
      </w:r>
      <w:r>
        <w:t xml:space="preserve">The pictures submitted by Respondent credibly show that, on August 14, 2014, there </w:t>
      </w:r>
      <w:r w:rsidR="00617118">
        <w:t xml:space="preserve">was evidence found that someone had tampered with the service wires, resulting in a free-flow of unbilled electric service which </w:t>
      </w:r>
      <w:r>
        <w:t>benefitted the service address only.  Complainant was the sole occupant/user of electricity at the service address in addition to being the ratepayer of record at that time.  Complainant is the only individual who benefitted from the</w:t>
      </w:r>
      <w:r w:rsidR="00464A92">
        <w:t xml:space="preserve"> unbilled </w:t>
      </w:r>
      <w:r>
        <w:t>electric service.</w:t>
      </w:r>
    </w:p>
    <w:p w:rsidR="001A6E52" w:rsidRDefault="001A6E52" w:rsidP="00E726E8">
      <w:pPr>
        <w:spacing w:line="360" w:lineRule="auto"/>
        <w:ind w:firstLine="1440"/>
      </w:pPr>
    </w:p>
    <w:p w:rsidR="006B0B42" w:rsidRDefault="008E772F" w:rsidP="006B0B42">
      <w:pPr>
        <w:spacing w:line="360" w:lineRule="auto"/>
        <w:ind w:firstLine="1440"/>
      </w:pPr>
      <w:r>
        <w:t xml:space="preserve">Complainant owes Respondent for the unbilled electric consumption from October 8, 2008 to August 14, 2014, and </w:t>
      </w:r>
      <w:r w:rsidR="00617118">
        <w:t xml:space="preserve">before electric service can resume at the service address, Complainant must pay for the unbilled service ($5,239.04) plus the investigative costs ($800.00).  </w:t>
      </w:r>
      <w:r>
        <w:t>Respondent acted consistent with the regulations and its Tariff provisions when it terminated service without notice on August 14, 2014</w:t>
      </w:r>
      <w:r w:rsidR="00617118">
        <w:t xml:space="preserve"> and requiring Complainant to pay a total of $6,039.04 to it before electric service </w:t>
      </w:r>
      <w:r w:rsidR="006B0B42">
        <w:t>can resume.</w:t>
      </w:r>
    </w:p>
    <w:p w:rsidR="006B0B42" w:rsidRDefault="006B0B42" w:rsidP="006B0B42">
      <w:pPr>
        <w:spacing w:line="360" w:lineRule="auto"/>
        <w:ind w:firstLine="1440"/>
      </w:pPr>
    </w:p>
    <w:p w:rsidR="00032E1D" w:rsidRDefault="006B0B42" w:rsidP="00032E1D">
      <w:pPr>
        <w:spacing w:line="360" w:lineRule="auto"/>
        <w:ind w:firstLine="1440"/>
        <w:rPr>
          <w:rFonts w:ascii="Times New Roman" w:hAnsi="Times New Roman"/>
        </w:rPr>
      </w:pPr>
      <w:r>
        <w:rPr>
          <w:rFonts w:ascii="Times New Roman" w:hAnsi="Times New Roman"/>
        </w:rPr>
        <w:t>Accordingly</w:t>
      </w:r>
      <w:r w:rsidR="005139C2">
        <w:rPr>
          <w:rFonts w:ascii="Times New Roman" w:hAnsi="Times New Roman"/>
        </w:rPr>
        <w:t xml:space="preserve">, the </w:t>
      </w:r>
      <w:r w:rsidR="002210E1">
        <w:rPr>
          <w:rFonts w:ascii="Times New Roman" w:hAnsi="Times New Roman"/>
        </w:rPr>
        <w:t xml:space="preserve">formal </w:t>
      </w:r>
      <w:r w:rsidR="005139C2">
        <w:rPr>
          <w:rFonts w:ascii="Times New Roman" w:hAnsi="Times New Roman"/>
        </w:rPr>
        <w:t>complaint is dismissed in the ordering paragraphs to follow for failure to meet the</w:t>
      </w:r>
      <w:r w:rsidR="00032E1D">
        <w:rPr>
          <w:rFonts w:ascii="Times New Roman" w:hAnsi="Times New Roman"/>
        </w:rPr>
        <w:t xml:space="preserve"> burden of proof.</w:t>
      </w:r>
    </w:p>
    <w:p w:rsidR="00032E1D" w:rsidRDefault="00032E1D" w:rsidP="00032E1D">
      <w:pPr>
        <w:spacing w:line="360" w:lineRule="auto"/>
        <w:ind w:firstLine="1440"/>
        <w:rPr>
          <w:rFonts w:ascii="Times New Roman" w:hAnsi="Times New Roman"/>
        </w:rPr>
      </w:pPr>
    </w:p>
    <w:p w:rsidR="000C68FA" w:rsidRDefault="000C68FA" w:rsidP="00032E1D">
      <w:pPr>
        <w:spacing w:line="360" w:lineRule="auto"/>
        <w:ind w:firstLine="1440"/>
        <w:rPr>
          <w:rFonts w:ascii="Times New Roman" w:hAnsi="Times New Roman"/>
        </w:rPr>
      </w:pPr>
    </w:p>
    <w:p w:rsidR="00032E1D" w:rsidRPr="00032E1D" w:rsidRDefault="00032E1D" w:rsidP="00032E1D">
      <w:pPr>
        <w:spacing w:line="360" w:lineRule="auto"/>
        <w:jc w:val="center"/>
        <w:rPr>
          <w:rFonts w:ascii="Times New Roman" w:hAnsi="Times New Roman"/>
          <w:u w:val="single"/>
        </w:rPr>
      </w:pPr>
      <w:r w:rsidRPr="00032E1D">
        <w:rPr>
          <w:rFonts w:ascii="Times New Roman" w:hAnsi="Times New Roman"/>
          <w:u w:val="single"/>
        </w:rPr>
        <w:lastRenderedPageBreak/>
        <w:t>CONCLUSIONS OF LAW</w:t>
      </w:r>
    </w:p>
    <w:p w:rsidR="00032E1D" w:rsidRDefault="00032E1D" w:rsidP="00032E1D">
      <w:pPr>
        <w:spacing w:line="360" w:lineRule="auto"/>
        <w:rPr>
          <w:rFonts w:ascii="Times New Roman" w:hAnsi="Times New Roman"/>
        </w:rPr>
      </w:pPr>
    </w:p>
    <w:p w:rsidR="00607EE2" w:rsidRPr="004B1CE0" w:rsidRDefault="00607EE2" w:rsidP="00032E1D">
      <w:pPr>
        <w:spacing w:line="360" w:lineRule="auto"/>
        <w:rPr>
          <w:rFonts w:ascii="Times New Roman" w:hAnsi="Times New Roman"/>
        </w:rPr>
      </w:pPr>
      <w:r w:rsidRPr="004B1CE0">
        <w:rPr>
          <w:rFonts w:ascii="Times New Roman" w:hAnsi="Times New Roman"/>
        </w:rPr>
        <w:tab/>
      </w:r>
      <w:r w:rsidR="00032E1D">
        <w:rPr>
          <w:rFonts w:ascii="Times New Roman" w:hAnsi="Times New Roman"/>
        </w:rPr>
        <w:tab/>
        <w:t>1.</w:t>
      </w:r>
      <w:r w:rsidR="00032E1D">
        <w:rPr>
          <w:rFonts w:ascii="Times New Roman" w:hAnsi="Times New Roman"/>
        </w:rPr>
        <w:tab/>
      </w:r>
      <w:r w:rsidRPr="004B1CE0">
        <w:rPr>
          <w:rFonts w:ascii="Times New Roman" w:hAnsi="Times New Roman"/>
        </w:rPr>
        <w:t>The parties to and subject matter of this complaint proceeding are properly before the Commission.</w:t>
      </w:r>
      <w:r w:rsidR="004C7EFB" w:rsidRPr="004B1CE0">
        <w:rPr>
          <w:rFonts w:ascii="Times New Roman" w:hAnsi="Times New Roman"/>
        </w:rPr>
        <w:t xml:space="preserve">  </w:t>
      </w:r>
      <w:proofErr w:type="gramStart"/>
      <w:r w:rsidR="004C7EFB" w:rsidRPr="004B1CE0">
        <w:rPr>
          <w:rFonts w:ascii="Times New Roman" w:hAnsi="Times New Roman"/>
        </w:rPr>
        <w:t xml:space="preserve">66 </w:t>
      </w:r>
      <w:proofErr w:type="spellStart"/>
      <w:r w:rsidR="004C7EFB" w:rsidRPr="004B1CE0">
        <w:rPr>
          <w:rFonts w:ascii="Times New Roman" w:hAnsi="Times New Roman"/>
        </w:rPr>
        <w:t>Pa.C.S</w:t>
      </w:r>
      <w:r w:rsidR="002210E1">
        <w:rPr>
          <w:rFonts w:ascii="Times New Roman" w:hAnsi="Times New Roman"/>
        </w:rPr>
        <w:t>.A</w:t>
      </w:r>
      <w:proofErr w:type="spellEnd"/>
      <w:r w:rsidR="004C7EFB" w:rsidRPr="004B1CE0">
        <w:rPr>
          <w:rFonts w:ascii="Times New Roman" w:hAnsi="Times New Roman"/>
        </w:rPr>
        <w:t>.</w:t>
      </w:r>
      <w:proofErr w:type="gramEnd"/>
      <w:r w:rsidR="004C7EFB" w:rsidRPr="004B1CE0">
        <w:rPr>
          <w:rFonts w:ascii="Times New Roman" w:hAnsi="Times New Roman"/>
        </w:rPr>
        <w:t xml:space="preserve"> §</w:t>
      </w:r>
      <w:r w:rsidR="002210E1">
        <w:rPr>
          <w:rFonts w:ascii="Times New Roman" w:hAnsi="Times New Roman"/>
        </w:rPr>
        <w:t xml:space="preserve"> </w:t>
      </w:r>
      <w:r w:rsidR="004C7EFB" w:rsidRPr="004B1CE0">
        <w:rPr>
          <w:rFonts w:ascii="Times New Roman" w:hAnsi="Times New Roman"/>
        </w:rPr>
        <w:t>701.</w:t>
      </w:r>
    </w:p>
    <w:p w:rsidR="004C7EFB" w:rsidRPr="004B1CE0" w:rsidRDefault="004C7EFB" w:rsidP="00607EE2">
      <w:pPr>
        <w:spacing w:line="360" w:lineRule="auto"/>
        <w:jc w:val="both"/>
        <w:rPr>
          <w:rFonts w:ascii="Times New Roman" w:hAnsi="Times New Roman"/>
        </w:rPr>
      </w:pPr>
    </w:p>
    <w:p w:rsidR="00607EE2" w:rsidRPr="004B1CE0" w:rsidRDefault="00607EE2" w:rsidP="002C5DCF">
      <w:pPr>
        <w:spacing w:line="360" w:lineRule="auto"/>
        <w:rPr>
          <w:rFonts w:ascii="Times New Roman" w:hAnsi="Times New Roman"/>
        </w:rPr>
      </w:pPr>
      <w:r w:rsidRPr="004B1CE0">
        <w:rPr>
          <w:rFonts w:ascii="Times New Roman" w:hAnsi="Times New Roman"/>
        </w:rPr>
        <w:tab/>
      </w:r>
      <w:r w:rsidRPr="004B1CE0">
        <w:rPr>
          <w:rFonts w:ascii="Times New Roman" w:hAnsi="Times New Roman"/>
        </w:rPr>
        <w:tab/>
        <w:t>2.</w:t>
      </w:r>
      <w:r w:rsidRPr="004B1CE0">
        <w:rPr>
          <w:rFonts w:ascii="Times New Roman" w:hAnsi="Times New Roman"/>
        </w:rPr>
        <w:tab/>
      </w:r>
      <w:r w:rsidR="00D8229C">
        <w:rPr>
          <w:rFonts w:ascii="Times New Roman" w:hAnsi="Times New Roman"/>
        </w:rPr>
        <w:t>Ms. Warren</w:t>
      </w:r>
      <w:r w:rsidRPr="004B1CE0">
        <w:rPr>
          <w:rFonts w:ascii="Times New Roman" w:hAnsi="Times New Roman"/>
        </w:rPr>
        <w:t>, as the party seeking affirmative relief from the Commission, has the burden of proof.</w:t>
      </w:r>
      <w:r w:rsidR="008E772F">
        <w:rPr>
          <w:rFonts w:ascii="Times New Roman" w:hAnsi="Times New Roman"/>
        </w:rPr>
        <w:t xml:space="preserve">  </w:t>
      </w:r>
      <w:proofErr w:type="gramStart"/>
      <w:r w:rsidR="008E772F">
        <w:rPr>
          <w:rFonts w:ascii="Times New Roman" w:hAnsi="Times New Roman"/>
        </w:rPr>
        <w:t xml:space="preserve">66 </w:t>
      </w:r>
      <w:proofErr w:type="spellStart"/>
      <w:r w:rsidR="008E772F">
        <w:rPr>
          <w:rFonts w:ascii="Times New Roman" w:hAnsi="Times New Roman"/>
        </w:rPr>
        <w:t>Pa.</w:t>
      </w:r>
      <w:r w:rsidR="004C7EFB" w:rsidRPr="004B1CE0">
        <w:rPr>
          <w:rFonts w:ascii="Times New Roman" w:hAnsi="Times New Roman"/>
        </w:rPr>
        <w:t>C.S</w:t>
      </w:r>
      <w:r w:rsidR="002210E1">
        <w:rPr>
          <w:rFonts w:ascii="Times New Roman" w:hAnsi="Times New Roman"/>
        </w:rPr>
        <w:t>.A</w:t>
      </w:r>
      <w:proofErr w:type="spellEnd"/>
      <w:r w:rsidR="004C7EFB" w:rsidRPr="004B1CE0">
        <w:rPr>
          <w:rFonts w:ascii="Times New Roman" w:hAnsi="Times New Roman"/>
        </w:rPr>
        <w:t>.</w:t>
      </w:r>
      <w:proofErr w:type="gramEnd"/>
      <w:r w:rsidR="004C7EFB" w:rsidRPr="004B1CE0">
        <w:rPr>
          <w:rFonts w:ascii="Times New Roman" w:hAnsi="Times New Roman"/>
        </w:rPr>
        <w:t xml:space="preserve"> §</w:t>
      </w:r>
      <w:r w:rsidR="002210E1">
        <w:rPr>
          <w:rFonts w:ascii="Times New Roman" w:hAnsi="Times New Roman"/>
        </w:rPr>
        <w:t xml:space="preserve"> </w:t>
      </w:r>
      <w:r w:rsidR="004C7EFB" w:rsidRPr="004B1CE0">
        <w:rPr>
          <w:rFonts w:ascii="Times New Roman" w:hAnsi="Times New Roman"/>
        </w:rPr>
        <w:t>332(a).</w:t>
      </w:r>
    </w:p>
    <w:p w:rsidR="004C7EFB" w:rsidRPr="004B1CE0" w:rsidRDefault="004C7EFB" w:rsidP="00607EE2">
      <w:pPr>
        <w:spacing w:line="360" w:lineRule="auto"/>
        <w:jc w:val="both"/>
        <w:rPr>
          <w:rFonts w:ascii="Times New Roman" w:hAnsi="Times New Roman"/>
        </w:rPr>
      </w:pPr>
    </w:p>
    <w:p w:rsidR="008E772F" w:rsidRDefault="00607EE2" w:rsidP="00D62F5D">
      <w:pPr>
        <w:spacing w:line="360" w:lineRule="auto"/>
        <w:jc w:val="both"/>
        <w:rPr>
          <w:rFonts w:ascii="Times New Roman" w:hAnsi="Times New Roman"/>
        </w:rPr>
      </w:pPr>
      <w:r w:rsidRPr="004B1CE0">
        <w:rPr>
          <w:rFonts w:ascii="Times New Roman" w:hAnsi="Times New Roman"/>
        </w:rPr>
        <w:tab/>
      </w:r>
      <w:r w:rsidRPr="004B1CE0">
        <w:rPr>
          <w:rFonts w:ascii="Times New Roman" w:hAnsi="Times New Roman"/>
        </w:rPr>
        <w:tab/>
        <w:t>3.</w:t>
      </w:r>
      <w:r w:rsidRPr="004B1CE0">
        <w:rPr>
          <w:rFonts w:ascii="Times New Roman" w:hAnsi="Times New Roman"/>
        </w:rPr>
        <w:tab/>
      </w:r>
      <w:r w:rsidR="00D8229C">
        <w:rPr>
          <w:rFonts w:ascii="Times New Roman" w:hAnsi="Times New Roman"/>
        </w:rPr>
        <w:t>Ms. Warren</w:t>
      </w:r>
      <w:r w:rsidR="008E772F">
        <w:rPr>
          <w:rFonts w:ascii="Times New Roman" w:hAnsi="Times New Roman"/>
        </w:rPr>
        <w:t xml:space="preserve"> failed to prove she did not tamper with her electric service</w:t>
      </w:r>
      <w:r w:rsidR="003E31F9">
        <w:rPr>
          <w:rFonts w:ascii="Times New Roman" w:hAnsi="Times New Roman"/>
        </w:rPr>
        <w:t>.</w:t>
      </w:r>
    </w:p>
    <w:p w:rsidR="008E772F" w:rsidRDefault="008E772F" w:rsidP="00D62F5D">
      <w:pPr>
        <w:spacing w:line="360" w:lineRule="auto"/>
        <w:jc w:val="both"/>
        <w:rPr>
          <w:rFonts w:ascii="Times New Roman" w:hAnsi="Times New Roman"/>
        </w:rPr>
      </w:pPr>
    </w:p>
    <w:p w:rsidR="00A07EE6" w:rsidRDefault="008E772F" w:rsidP="00D62F5D">
      <w:pPr>
        <w:spacing w:line="360" w:lineRule="auto"/>
        <w:jc w:val="both"/>
        <w:rPr>
          <w:rFonts w:ascii="Times New Roman" w:hAnsi="Times New Roman"/>
        </w:rPr>
      </w:pPr>
      <w:r>
        <w:rPr>
          <w:rFonts w:ascii="Times New Roman" w:hAnsi="Times New Roman"/>
        </w:rPr>
        <w:tab/>
      </w:r>
      <w:r>
        <w:rPr>
          <w:rFonts w:ascii="Times New Roman" w:hAnsi="Times New Roman"/>
        </w:rPr>
        <w:tab/>
        <w:t xml:space="preserve">4. </w:t>
      </w:r>
      <w:r>
        <w:rPr>
          <w:rFonts w:ascii="Times New Roman" w:hAnsi="Times New Roman"/>
        </w:rPr>
        <w:tab/>
        <w:t xml:space="preserve">Duquesne Light Company was correct to terminate electric service on August 14, 2014 without prior notice.  </w:t>
      </w:r>
      <w:proofErr w:type="gramStart"/>
      <w:r>
        <w:rPr>
          <w:rFonts w:ascii="Times New Roman" w:hAnsi="Times New Roman"/>
        </w:rPr>
        <w:t xml:space="preserve">66 </w:t>
      </w:r>
      <w:proofErr w:type="spellStart"/>
      <w:r>
        <w:rPr>
          <w:rFonts w:ascii="Times New Roman" w:hAnsi="Times New Roman"/>
        </w:rPr>
        <w:t>Pa.C.S.A</w:t>
      </w:r>
      <w:proofErr w:type="spellEnd"/>
      <w:r>
        <w:rPr>
          <w:rFonts w:ascii="Times New Roman" w:hAnsi="Times New Roman"/>
        </w:rPr>
        <w:t>.</w:t>
      </w:r>
      <w:proofErr w:type="gramEnd"/>
      <w:r>
        <w:rPr>
          <w:rFonts w:ascii="Times New Roman" w:hAnsi="Times New Roman"/>
        </w:rPr>
        <w:t xml:space="preserve"> §</w:t>
      </w:r>
      <w:r w:rsidR="00CF2851">
        <w:rPr>
          <w:rFonts w:ascii="Times New Roman" w:hAnsi="Times New Roman"/>
        </w:rPr>
        <w:t xml:space="preserve"> </w:t>
      </w:r>
      <w:r>
        <w:rPr>
          <w:rFonts w:ascii="Times New Roman" w:hAnsi="Times New Roman"/>
        </w:rPr>
        <w:t>1501.</w:t>
      </w:r>
      <w:r w:rsidR="001642B1">
        <w:rPr>
          <w:rFonts w:ascii="Times New Roman" w:hAnsi="Times New Roman"/>
        </w:rPr>
        <w:tab/>
      </w:r>
    </w:p>
    <w:p w:rsidR="00D62F5D" w:rsidRDefault="00D62F5D" w:rsidP="00D62F5D">
      <w:pPr>
        <w:spacing w:line="360" w:lineRule="auto"/>
        <w:jc w:val="both"/>
        <w:rPr>
          <w:rFonts w:ascii="Times New Roman" w:hAnsi="Times New Roman"/>
          <w:u w:val="single"/>
        </w:rPr>
      </w:pPr>
    </w:p>
    <w:p w:rsidR="004C7EFB" w:rsidRDefault="002C5DCF" w:rsidP="002C5DCF">
      <w:pPr>
        <w:spacing w:line="360" w:lineRule="auto"/>
        <w:jc w:val="center"/>
        <w:rPr>
          <w:rFonts w:ascii="Times New Roman" w:hAnsi="Times New Roman"/>
          <w:u w:val="single"/>
        </w:rPr>
      </w:pPr>
      <w:r w:rsidRPr="002C5DCF">
        <w:rPr>
          <w:rFonts w:ascii="Times New Roman" w:hAnsi="Times New Roman"/>
          <w:u w:val="single"/>
        </w:rPr>
        <w:t>ORDER</w:t>
      </w:r>
    </w:p>
    <w:p w:rsidR="002C5DCF" w:rsidRDefault="002C5DCF" w:rsidP="002C5DCF">
      <w:pPr>
        <w:spacing w:line="360" w:lineRule="auto"/>
        <w:jc w:val="center"/>
        <w:rPr>
          <w:rFonts w:ascii="Times New Roman" w:hAnsi="Times New Roman"/>
          <w:u w:val="single"/>
        </w:rPr>
      </w:pPr>
    </w:p>
    <w:p w:rsidR="002C5DCF" w:rsidRPr="002C5DCF" w:rsidRDefault="002C5DCF" w:rsidP="002C5DCF">
      <w:pPr>
        <w:spacing w:line="360" w:lineRule="auto"/>
        <w:jc w:val="center"/>
        <w:rPr>
          <w:rFonts w:ascii="Times New Roman" w:hAnsi="Times New Roman"/>
          <w:u w:val="single"/>
        </w:rPr>
      </w:pPr>
    </w:p>
    <w:p w:rsidR="008E2665" w:rsidRDefault="008E2665" w:rsidP="006610A5">
      <w:pPr>
        <w:spacing w:line="360" w:lineRule="auto"/>
        <w:ind w:left="720" w:firstLine="720"/>
      </w:pPr>
      <w:r w:rsidRPr="007659E6">
        <w:t>THEREFORE,</w:t>
      </w:r>
    </w:p>
    <w:p w:rsidR="008E2665" w:rsidRDefault="008E2665" w:rsidP="008E2665">
      <w:pPr>
        <w:ind w:left="720"/>
      </w:pPr>
    </w:p>
    <w:p w:rsidR="008E2665" w:rsidRPr="007659E6" w:rsidRDefault="008E2665" w:rsidP="00EB516B">
      <w:pPr>
        <w:spacing w:line="360" w:lineRule="auto"/>
        <w:ind w:left="720" w:firstLine="720"/>
      </w:pPr>
      <w:r>
        <w:t>IT IS ORDERED</w:t>
      </w:r>
      <w:r w:rsidRPr="007659E6">
        <w:t>:</w:t>
      </w:r>
    </w:p>
    <w:p w:rsidR="008E2665" w:rsidRPr="007659E6" w:rsidRDefault="008E2665" w:rsidP="008E2665">
      <w:pPr>
        <w:ind w:left="720"/>
      </w:pPr>
    </w:p>
    <w:p w:rsidR="005139C2" w:rsidRDefault="008E2665" w:rsidP="005139C2">
      <w:pPr>
        <w:pStyle w:val="BodyText"/>
        <w:numPr>
          <w:ilvl w:val="0"/>
          <w:numId w:val="3"/>
        </w:numPr>
        <w:ind w:left="2160" w:hanging="720"/>
        <w:jc w:val="left"/>
        <w:rPr>
          <w:sz w:val="24"/>
          <w:szCs w:val="24"/>
        </w:rPr>
      </w:pPr>
      <w:r w:rsidRPr="005139C2">
        <w:rPr>
          <w:sz w:val="24"/>
          <w:szCs w:val="24"/>
        </w:rPr>
        <w:t>That the complaint of</w:t>
      </w:r>
      <w:r w:rsidR="001642B1" w:rsidRPr="005139C2">
        <w:rPr>
          <w:sz w:val="24"/>
          <w:szCs w:val="24"/>
        </w:rPr>
        <w:t xml:space="preserve"> </w:t>
      </w:r>
      <w:r w:rsidR="002210E1">
        <w:rPr>
          <w:sz w:val="24"/>
          <w:szCs w:val="24"/>
        </w:rPr>
        <w:t>Loretta A. Warren</w:t>
      </w:r>
      <w:r w:rsidR="005139C2" w:rsidRPr="005139C2">
        <w:rPr>
          <w:sz w:val="24"/>
          <w:szCs w:val="24"/>
        </w:rPr>
        <w:t xml:space="preserve"> </w:t>
      </w:r>
      <w:r w:rsidR="00457D17" w:rsidRPr="005139C2">
        <w:rPr>
          <w:sz w:val="24"/>
          <w:szCs w:val="24"/>
        </w:rPr>
        <w:t xml:space="preserve">against </w:t>
      </w:r>
      <w:r w:rsidR="002210E1">
        <w:rPr>
          <w:sz w:val="24"/>
          <w:szCs w:val="24"/>
        </w:rPr>
        <w:t>Duquesne Electric</w:t>
      </w:r>
    </w:p>
    <w:p w:rsidR="00457D17" w:rsidRPr="005139C2" w:rsidRDefault="005139C2" w:rsidP="005139C2">
      <w:pPr>
        <w:pStyle w:val="BodyText"/>
        <w:jc w:val="left"/>
        <w:rPr>
          <w:sz w:val="24"/>
          <w:szCs w:val="24"/>
        </w:rPr>
      </w:pPr>
      <w:proofErr w:type="gramStart"/>
      <w:r w:rsidRPr="005139C2">
        <w:rPr>
          <w:sz w:val="24"/>
          <w:szCs w:val="24"/>
        </w:rPr>
        <w:t>Company</w:t>
      </w:r>
      <w:r w:rsidR="003E31F9" w:rsidRPr="005139C2">
        <w:rPr>
          <w:sz w:val="24"/>
          <w:szCs w:val="24"/>
        </w:rPr>
        <w:t xml:space="preserve"> at Docket No.</w:t>
      </w:r>
      <w:proofErr w:type="gramEnd"/>
      <w:r w:rsidR="003E31F9" w:rsidRPr="005139C2">
        <w:rPr>
          <w:sz w:val="24"/>
          <w:szCs w:val="24"/>
        </w:rPr>
        <w:t xml:space="preserve"> </w:t>
      </w:r>
      <w:r w:rsidR="002210E1">
        <w:rPr>
          <w:sz w:val="24"/>
          <w:szCs w:val="24"/>
        </w:rPr>
        <w:t>C-2014-</w:t>
      </w:r>
      <w:proofErr w:type="gramStart"/>
      <w:r w:rsidR="002210E1">
        <w:rPr>
          <w:sz w:val="24"/>
          <w:szCs w:val="24"/>
        </w:rPr>
        <w:t>2445857</w:t>
      </w:r>
      <w:r w:rsidR="003E31F9" w:rsidRPr="005139C2">
        <w:rPr>
          <w:sz w:val="24"/>
          <w:szCs w:val="24"/>
        </w:rPr>
        <w:t>,</w:t>
      </w:r>
      <w:proofErr w:type="gramEnd"/>
      <w:r w:rsidR="003E31F9" w:rsidRPr="005139C2">
        <w:rPr>
          <w:sz w:val="24"/>
          <w:szCs w:val="24"/>
        </w:rPr>
        <w:t xml:space="preserve"> is dismissed.  </w:t>
      </w:r>
    </w:p>
    <w:p w:rsidR="00F51F06" w:rsidRPr="003E31F9" w:rsidRDefault="00F51F06" w:rsidP="003E31F9">
      <w:pPr>
        <w:pStyle w:val="BodyText"/>
        <w:jc w:val="left"/>
        <w:rPr>
          <w:sz w:val="24"/>
          <w:szCs w:val="24"/>
        </w:rPr>
      </w:pPr>
    </w:p>
    <w:p w:rsidR="00457D17" w:rsidRPr="00070288" w:rsidRDefault="00457D17" w:rsidP="00457D17">
      <w:pPr>
        <w:pStyle w:val="BodyText"/>
        <w:numPr>
          <w:ilvl w:val="0"/>
          <w:numId w:val="3"/>
        </w:numPr>
        <w:ind w:left="0" w:firstLine="1440"/>
        <w:jc w:val="left"/>
        <w:rPr>
          <w:sz w:val="24"/>
          <w:szCs w:val="24"/>
        </w:rPr>
      </w:pPr>
      <w:r w:rsidRPr="00070288">
        <w:rPr>
          <w:sz w:val="24"/>
          <w:szCs w:val="24"/>
        </w:rPr>
        <w:t xml:space="preserve">That the Docket in this proceeding, Docket No. </w:t>
      </w:r>
      <w:r w:rsidR="002210E1">
        <w:rPr>
          <w:sz w:val="24"/>
          <w:szCs w:val="24"/>
        </w:rPr>
        <w:t>C-2014-2445857</w:t>
      </w:r>
      <w:r w:rsidRPr="00070288">
        <w:rPr>
          <w:sz w:val="24"/>
          <w:szCs w:val="24"/>
        </w:rPr>
        <w:t>, be marked closed.</w:t>
      </w:r>
    </w:p>
    <w:p w:rsidR="008E2665" w:rsidRDefault="008E2665" w:rsidP="008E2665">
      <w:pPr>
        <w:pStyle w:val="BodyText"/>
        <w:spacing w:line="480" w:lineRule="auto"/>
        <w:ind w:firstLine="1440"/>
        <w:jc w:val="left"/>
        <w:rPr>
          <w:sz w:val="24"/>
          <w:szCs w:val="24"/>
        </w:rPr>
      </w:pPr>
      <w:r>
        <w:rPr>
          <w:sz w:val="24"/>
          <w:szCs w:val="24"/>
        </w:rPr>
        <w:tab/>
      </w:r>
      <w:r>
        <w:rPr>
          <w:sz w:val="24"/>
          <w:szCs w:val="24"/>
        </w:rPr>
        <w:tab/>
      </w:r>
    </w:p>
    <w:p w:rsidR="008E2665" w:rsidRDefault="008E2665" w:rsidP="008E2665">
      <w:pPr>
        <w:pStyle w:val="BodyText"/>
        <w:jc w:val="left"/>
        <w:rPr>
          <w:sz w:val="24"/>
          <w:szCs w:val="24"/>
        </w:rPr>
      </w:pPr>
    </w:p>
    <w:p w:rsidR="006D4DDF" w:rsidRDefault="008E2665" w:rsidP="006D4DDF">
      <w:r w:rsidRPr="007659E6">
        <w:t xml:space="preserve">Date:  </w:t>
      </w:r>
      <w:r w:rsidR="008E772F">
        <w:rPr>
          <w:u w:val="single"/>
        </w:rPr>
        <w:t>May 21</w:t>
      </w:r>
      <w:r w:rsidR="002210E1">
        <w:rPr>
          <w:u w:val="single"/>
        </w:rPr>
        <w:t>, 2015</w:t>
      </w:r>
      <w:r w:rsidRPr="007659E6">
        <w:tab/>
      </w:r>
      <w:r>
        <w:tab/>
      </w:r>
      <w:r w:rsidR="002C5DCF">
        <w:tab/>
      </w:r>
      <w:r w:rsidR="00070288">
        <w:tab/>
      </w:r>
      <w:r w:rsidR="00085FC5">
        <w:tab/>
      </w:r>
      <w:r w:rsidR="00085FC5">
        <w:tab/>
      </w:r>
      <w:r w:rsidR="006D4DDF">
        <w:rPr>
          <w:u w:val="single"/>
        </w:rPr>
        <w:tab/>
      </w:r>
      <w:r w:rsidR="006D4DDF">
        <w:rPr>
          <w:u w:val="single"/>
        </w:rPr>
        <w:tab/>
        <w:t>/s/</w:t>
      </w:r>
      <w:r w:rsidR="006D4DDF">
        <w:rPr>
          <w:u w:val="single"/>
        </w:rPr>
        <w:tab/>
      </w:r>
      <w:r w:rsidR="006D4DDF">
        <w:rPr>
          <w:u w:val="single"/>
        </w:rPr>
        <w:tab/>
      </w:r>
      <w:r w:rsidR="006D4DDF">
        <w:rPr>
          <w:u w:val="single"/>
        </w:rPr>
        <w:tab/>
      </w:r>
    </w:p>
    <w:p w:rsidR="008D09FB" w:rsidRDefault="008E2665" w:rsidP="008D09FB">
      <w:pPr>
        <w:rPr>
          <w:kern w:val="1"/>
        </w:rPr>
      </w:pPr>
      <w:r w:rsidRPr="007659E6">
        <w:tab/>
      </w:r>
      <w:r w:rsidRPr="007659E6">
        <w:tab/>
      </w:r>
      <w:r w:rsidRPr="007659E6">
        <w:tab/>
      </w:r>
      <w:r w:rsidRPr="007659E6">
        <w:tab/>
      </w:r>
      <w:r w:rsidRPr="007659E6">
        <w:tab/>
      </w:r>
      <w:r w:rsidRPr="007659E6">
        <w:tab/>
      </w:r>
      <w:r w:rsidRPr="007659E6">
        <w:tab/>
      </w:r>
      <w:r w:rsidRPr="007659E6">
        <w:tab/>
      </w:r>
      <w:r w:rsidR="002210E1">
        <w:t>Katrina L. Dunderdale</w:t>
      </w:r>
      <w:r w:rsidR="005B4B66">
        <w:tab/>
      </w:r>
      <w:r w:rsidR="005B4B66">
        <w:tab/>
      </w:r>
      <w:r w:rsidR="005B4B66">
        <w:tab/>
      </w:r>
      <w:r>
        <w:tab/>
      </w:r>
      <w:r>
        <w:tab/>
      </w:r>
      <w:r>
        <w:tab/>
      </w:r>
      <w:r>
        <w:tab/>
      </w:r>
      <w:r>
        <w:tab/>
      </w:r>
      <w:r>
        <w:tab/>
      </w:r>
      <w:r w:rsidR="002210E1">
        <w:tab/>
      </w:r>
      <w:r w:rsidRPr="007659E6">
        <w:t xml:space="preserve">Administrative Law </w:t>
      </w:r>
      <w:r w:rsidR="005B4B66">
        <w:t>Judge</w:t>
      </w:r>
    </w:p>
    <w:p w:rsidR="00617118" w:rsidRDefault="00617118" w:rsidP="008D09FB"/>
    <w:p w:rsidR="008E2665" w:rsidRDefault="008E2665" w:rsidP="00607EE2">
      <w:pPr>
        <w:spacing w:line="360" w:lineRule="auto"/>
        <w:jc w:val="center"/>
        <w:rPr>
          <w:rFonts w:ascii="Times New Roman" w:hAnsi="Times New Roman"/>
          <w:u w:val="single"/>
        </w:rPr>
      </w:pPr>
    </w:p>
    <w:sectPr w:rsidR="008E2665" w:rsidSect="00F505B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CC6" w:rsidRDefault="00C17CC6">
      <w:r>
        <w:separator/>
      </w:r>
    </w:p>
  </w:endnote>
  <w:endnote w:type="continuationSeparator" w:id="0">
    <w:p w:rsidR="00C17CC6" w:rsidRDefault="00C1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BC" w:rsidRDefault="00FD22BC" w:rsidP="00F50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22BC" w:rsidRDefault="00FD22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BC" w:rsidRPr="00CF2851" w:rsidRDefault="00FD22BC" w:rsidP="00F505B3">
    <w:pPr>
      <w:pStyle w:val="Footer"/>
      <w:framePr w:wrap="around" w:vAnchor="text" w:hAnchor="margin" w:xAlign="center" w:y="1"/>
      <w:rPr>
        <w:rStyle w:val="PageNumber"/>
        <w:sz w:val="20"/>
        <w:szCs w:val="20"/>
      </w:rPr>
    </w:pPr>
    <w:r w:rsidRPr="00CF2851">
      <w:rPr>
        <w:rStyle w:val="PageNumber"/>
        <w:sz w:val="20"/>
        <w:szCs w:val="20"/>
      </w:rPr>
      <w:fldChar w:fldCharType="begin"/>
    </w:r>
    <w:r w:rsidRPr="00CF2851">
      <w:rPr>
        <w:rStyle w:val="PageNumber"/>
        <w:sz w:val="20"/>
        <w:szCs w:val="20"/>
      </w:rPr>
      <w:instrText xml:space="preserve">PAGE  </w:instrText>
    </w:r>
    <w:r w:rsidRPr="00CF2851">
      <w:rPr>
        <w:rStyle w:val="PageNumber"/>
        <w:sz w:val="20"/>
        <w:szCs w:val="20"/>
      </w:rPr>
      <w:fldChar w:fldCharType="separate"/>
    </w:r>
    <w:r w:rsidR="00334E2B">
      <w:rPr>
        <w:rStyle w:val="PageNumber"/>
        <w:noProof/>
        <w:sz w:val="20"/>
        <w:szCs w:val="20"/>
      </w:rPr>
      <w:t>7</w:t>
    </w:r>
    <w:r w:rsidRPr="00CF2851">
      <w:rPr>
        <w:rStyle w:val="PageNumber"/>
        <w:sz w:val="20"/>
        <w:szCs w:val="20"/>
      </w:rPr>
      <w:fldChar w:fldCharType="end"/>
    </w:r>
  </w:p>
  <w:p w:rsidR="00FD22BC" w:rsidRDefault="00FD2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CC6" w:rsidRDefault="00C17CC6">
      <w:r>
        <w:separator/>
      </w:r>
    </w:p>
  </w:footnote>
  <w:footnote w:type="continuationSeparator" w:id="0">
    <w:p w:rsidR="00C17CC6" w:rsidRDefault="00C17CC6">
      <w:r>
        <w:continuationSeparator/>
      </w:r>
    </w:p>
  </w:footnote>
  <w:footnote w:id="1">
    <w:p w:rsidR="00D8229C" w:rsidRDefault="00D8229C" w:rsidP="00D8229C">
      <w:pPr>
        <w:pStyle w:val="FootnoteText"/>
        <w:ind w:firstLine="720"/>
        <w:rPr>
          <w:rFonts w:ascii="Times New Roman" w:hAnsi="Times New Roman"/>
        </w:rPr>
      </w:pPr>
      <w:r>
        <w:rPr>
          <w:rStyle w:val="FootnoteReference"/>
        </w:rPr>
        <w:footnoteRef/>
      </w:r>
      <w:r>
        <w:t xml:space="preserve"> </w:t>
      </w:r>
      <w:r>
        <w:tab/>
      </w:r>
      <w:proofErr w:type="gramStart"/>
      <w:r w:rsidRPr="00D8229C">
        <w:rPr>
          <w:rFonts w:ascii="Times New Roman" w:hAnsi="Times New Roman"/>
          <w:u w:val="single"/>
        </w:rPr>
        <w:t>Se-Ling Hosiery, Inc. v. Margulies</w:t>
      </w:r>
      <w:r w:rsidRPr="004B1CE0">
        <w:rPr>
          <w:rFonts w:ascii="Times New Roman" w:hAnsi="Times New Roman"/>
        </w:rPr>
        <w:t xml:space="preserve">, 364 Pa. 45, 70 A.2d 854 (1950); </w:t>
      </w:r>
      <w:r w:rsidRPr="00D8229C">
        <w:rPr>
          <w:rFonts w:ascii="Times New Roman" w:hAnsi="Times New Roman"/>
          <w:u w:val="single"/>
        </w:rPr>
        <w:t>Feinstein v. Philadelphia Suburban Water Compan</w:t>
      </w:r>
      <w:r w:rsidRPr="004B1CE0">
        <w:rPr>
          <w:rFonts w:ascii="Times New Roman" w:hAnsi="Times New Roman"/>
          <w:i/>
        </w:rPr>
        <w:t>y</w:t>
      </w:r>
      <w:r w:rsidRPr="004B1CE0">
        <w:rPr>
          <w:rFonts w:ascii="Times New Roman" w:hAnsi="Times New Roman"/>
        </w:rPr>
        <w:t>, 50 P</w:t>
      </w:r>
      <w:r w:rsidR="00F13C97">
        <w:rPr>
          <w:rFonts w:ascii="Times New Roman" w:hAnsi="Times New Roman"/>
        </w:rPr>
        <w:t>a.</w:t>
      </w:r>
      <w:r w:rsidRPr="004B1CE0">
        <w:rPr>
          <w:rFonts w:ascii="Times New Roman" w:hAnsi="Times New Roman"/>
        </w:rPr>
        <w:t xml:space="preserve"> PUC 300 (1976).</w:t>
      </w:r>
      <w:proofErr w:type="gramEnd"/>
      <w:r w:rsidRPr="004B1CE0">
        <w:rPr>
          <w:rFonts w:ascii="Times New Roman" w:hAnsi="Times New Roman"/>
        </w:rPr>
        <w:t xml:space="preserve">  </w:t>
      </w:r>
    </w:p>
    <w:p w:rsidR="00D8229C" w:rsidRDefault="00D8229C" w:rsidP="00D8229C">
      <w:pPr>
        <w:pStyle w:val="FootnoteText"/>
        <w:ind w:firstLine="720"/>
      </w:pPr>
    </w:p>
  </w:footnote>
  <w:footnote w:id="2">
    <w:p w:rsidR="00D8229C" w:rsidRDefault="00D8229C" w:rsidP="00D8229C">
      <w:pPr>
        <w:pStyle w:val="FootnoteText"/>
        <w:ind w:firstLine="720"/>
        <w:rPr>
          <w:rFonts w:ascii="Times New Roman" w:hAnsi="Times New Roman"/>
        </w:rPr>
      </w:pPr>
      <w:r>
        <w:rPr>
          <w:rStyle w:val="FootnoteReference"/>
        </w:rPr>
        <w:footnoteRef/>
      </w:r>
      <w:r>
        <w:t xml:space="preserve"> </w:t>
      </w:r>
      <w:r>
        <w:tab/>
      </w:r>
      <w:proofErr w:type="gramStart"/>
      <w:r w:rsidRPr="004B1CE0">
        <w:rPr>
          <w:rFonts w:ascii="Times New Roman" w:hAnsi="Times New Roman"/>
          <w:u w:val="single"/>
        </w:rPr>
        <w:t>See, e.g.</w:t>
      </w:r>
      <w:r w:rsidRPr="004B1CE0">
        <w:rPr>
          <w:rFonts w:ascii="Times New Roman" w:hAnsi="Times New Roman"/>
        </w:rPr>
        <w:t>, Section 704 of the Administrative Agency Law, 2 Pa. C.S.</w:t>
      </w:r>
      <w:r>
        <w:rPr>
          <w:rFonts w:ascii="Times New Roman" w:hAnsi="Times New Roman"/>
        </w:rPr>
        <w:t>A.</w:t>
      </w:r>
      <w:r w:rsidRPr="004B1CE0">
        <w:rPr>
          <w:rFonts w:ascii="Times New Roman" w:hAnsi="Times New Roman"/>
        </w:rPr>
        <w:t xml:space="preserve"> §</w:t>
      </w:r>
      <w:r>
        <w:rPr>
          <w:rFonts w:ascii="Times New Roman" w:hAnsi="Times New Roman"/>
        </w:rPr>
        <w:t xml:space="preserve"> </w:t>
      </w:r>
      <w:r w:rsidRPr="004B1CE0">
        <w:rPr>
          <w:rFonts w:ascii="Times New Roman" w:hAnsi="Times New Roman"/>
        </w:rPr>
        <w:t xml:space="preserve">704; </w:t>
      </w:r>
      <w:r>
        <w:rPr>
          <w:rFonts w:ascii="Times New Roman" w:hAnsi="Times New Roman"/>
          <w:u w:val="single"/>
        </w:rPr>
        <w:t>Norfolk &amp; Western Ry. Co. v. Pa. Pub.</w:t>
      </w:r>
      <w:proofErr w:type="gramEnd"/>
      <w:r>
        <w:rPr>
          <w:rFonts w:ascii="Times New Roman" w:hAnsi="Times New Roman"/>
          <w:u w:val="single"/>
        </w:rPr>
        <w:t xml:space="preserve"> </w:t>
      </w:r>
      <w:proofErr w:type="gramStart"/>
      <w:r>
        <w:rPr>
          <w:rFonts w:ascii="Times New Roman" w:hAnsi="Times New Roman"/>
          <w:u w:val="single"/>
        </w:rPr>
        <w:t xml:space="preserve">Util. </w:t>
      </w:r>
      <w:proofErr w:type="spellStart"/>
      <w:r>
        <w:rPr>
          <w:rFonts w:ascii="Times New Roman" w:hAnsi="Times New Roman"/>
          <w:u w:val="single"/>
        </w:rPr>
        <w:t>Comm’n</w:t>
      </w:r>
      <w:proofErr w:type="spellEnd"/>
      <w:r w:rsidRPr="004B1CE0">
        <w:rPr>
          <w:rFonts w:ascii="Times New Roman" w:hAnsi="Times New Roman"/>
        </w:rPr>
        <w:t xml:space="preserve">, 489 Pa. 109, 413 A.2d 1037 (1980); </w:t>
      </w:r>
      <w:r w:rsidRPr="00D8229C">
        <w:rPr>
          <w:rFonts w:ascii="Times New Roman" w:hAnsi="Times New Roman"/>
          <w:u w:val="single"/>
        </w:rPr>
        <w:t>Erie Resistor Corp. v. Unemployment Comp. Bd. of Review</w:t>
      </w:r>
      <w:r w:rsidRPr="004B1CE0">
        <w:rPr>
          <w:rFonts w:ascii="Times New Roman" w:hAnsi="Times New Roman"/>
        </w:rPr>
        <w:t xml:space="preserve">, 194 </w:t>
      </w:r>
      <w:proofErr w:type="spellStart"/>
      <w:r w:rsidRPr="004B1CE0">
        <w:rPr>
          <w:rFonts w:ascii="Times New Roman" w:hAnsi="Times New Roman"/>
        </w:rPr>
        <w:t>Pa.Super</w:t>
      </w:r>
      <w:proofErr w:type="spellEnd"/>
      <w:r w:rsidR="00F13C97">
        <w:rPr>
          <w:rFonts w:ascii="Times New Roman" w:hAnsi="Times New Roman"/>
        </w:rPr>
        <w:t>.</w:t>
      </w:r>
      <w:proofErr w:type="gramEnd"/>
      <w:r w:rsidRPr="004B1CE0">
        <w:rPr>
          <w:rFonts w:ascii="Times New Roman" w:hAnsi="Times New Roman"/>
        </w:rPr>
        <w:t xml:space="preserve"> </w:t>
      </w:r>
      <w:proofErr w:type="gramStart"/>
      <w:r w:rsidRPr="004B1CE0">
        <w:rPr>
          <w:rFonts w:ascii="Times New Roman" w:hAnsi="Times New Roman"/>
        </w:rPr>
        <w:t xml:space="preserve">Ct. 278, 166 A.2d 96 (1961); and </w:t>
      </w:r>
      <w:r w:rsidRPr="00D8229C">
        <w:rPr>
          <w:rFonts w:ascii="Times New Roman" w:hAnsi="Times New Roman"/>
          <w:u w:val="single"/>
        </w:rPr>
        <w:t>Murphy v. Dept. of Public Welfare, White Haven Center</w:t>
      </w:r>
      <w:r w:rsidRPr="004B1CE0">
        <w:rPr>
          <w:rFonts w:ascii="Times New Roman" w:hAnsi="Times New Roman"/>
        </w:rPr>
        <w:t>, 480 A.2d 382 (</w:t>
      </w:r>
      <w:proofErr w:type="spellStart"/>
      <w:r w:rsidRPr="004B1CE0">
        <w:rPr>
          <w:rFonts w:ascii="Times New Roman" w:hAnsi="Times New Roman"/>
        </w:rPr>
        <w:t>Pa.Cmwlth</w:t>
      </w:r>
      <w:proofErr w:type="spellEnd"/>
      <w:r w:rsidRPr="004B1CE0">
        <w:rPr>
          <w:rFonts w:ascii="Times New Roman" w:hAnsi="Times New Roman"/>
        </w:rPr>
        <w:t xml:space="preserve"> 1984).</w:t>
      </w:r>
      <w:proofErr w:type="gramEnd"/>
    </w:p>
    <w:p w:rsidR="00D8229C" w:rsidRDefault="00D8229C" w:rsidP="00D8229C">
      <w:pPr>
        <w:pStyle w:val="FootnoteText"/>
        <w:ind w:firstLine="720"/>
      </w:pPr>
    </w:p>
  </w:footnote>
  <w:footnote w:id="3">
    <w:p w:rsidR="0071682C" w:rsidRDefault="0071682C" w:rsidP="0071682C">
      <w:pPr>
        <w:pStyle w:val="FootnoteText"/>
        <w:ind w:firstLine="720"/>
      </w:pPr>
      <w:r>
        <w:rPr>
          <w:rStyle w:val="FootnoteReference"/>
        </w:rPr>
        <w:footnoteRef/>
      </w:r>
      <w:r>
        <w:t xml:space="preserve"> </w:t>
      </w:r>
      <w:r>
        <w:tab/>
      </w:r>
      <w:r>
        <w:t>“A public utility may immediately terminate service for … (</w:t>
      </w:r>
      <w:r w:rsidR="00EC6501">
        <w:t>3</w:t>
      </w:r>
      <w:r>
        <w:t>) [t]</w:t>
      </w:r>
      <w:proofErr w:type="spellStart"/>
      <w:r>
        <w:t>ampering</w:t>
      </w:r>
      <w:proofErr w:type="spellEnd"/>
      <w:r>
        <w:t xml:space="preserve"> with meters or other public utility’s equipment.  (</w:t>
      </w:r>
      <w:r w:rsidR="00EC6501">
        <w:t>4</w:t>
      </w:r>
      <w:r>
        <w:t>) [</w:t>
      </w:r>
      <w:proofErr w:type="gramStart"/>
      <w:r>
        <w:t>v]</w:t>
      </w:r>
      <w:proofErr w:type="spellStart"/>
      <w:proofErr w:type="gramEnd"/>
      <w:r>
        <w:t>iolating</w:t>
      </w:r>
      <w:proofErr w:type="spellEnd"/>
      <w:r>
        <w:t xml:space="preserve"> tariff provisions on file with the commission so as to endanger the safety of a person or the integrity of the public utility’s delivery system.”</w:t>
      </w:r>
      <w:r w:rsidR="00EC6501">
        <w:t xml:space="preserve">  52 </w:t>
      </w:r>
      <w:proofErr w:type="spellStart"/>
      <w:r w:rsidR="00EC6501">
        <w:t>Pa.Code</w:t>
      </w:r>
      <w:proofErr w:type="spellEnd"/>
      <w:r w:rsidR="00EC6501">
        <w:t xml:space="preserve"> § 56.98(3) </w:t>
      </w:r>
      <w:r w:rsidR="00334E2B">
        <w:t>&amp;</w:t>
      </w:r>
      <w:bookmarkStart w:id="0" w:name="_GoBack"/>
      <w:bookmarkEnd w:id="0"/>
      <w:r w:rsidR="00EC6501">
        <w:t xml:space="preserve"> (4).</w:t>
      </w:r>
    </w:p>
    <w:p w:rsidR="0071682C" w:rsidRDefault="0071682C">
      <w:pPr>
        <w:pStyle w:val="FootnoteText"/>
      </w:pPr>
    </w:p>
  </w:footnote>
  <w:footnote w:id="4">
    <w:p w:rsidR="00D8229C" w:rsidRDefault="00D8229C" w:rsidP="00D8229C">
      <w:pPr>
        <w:pStyle w:val="FootnoteText"/>
        <w:ind w:firstLine="720"/>
      </w:pPr>
      <w:r>
        <w:rPr>
          <w:rStyle w:val="FootnoteReference"/>
        </w:rPr>
        <w:footnoteRef/>
      </w:r>
      <w:r>
        <w:t xml:space="preserve"> </w:t>
      </w:r>
      <w:r>
        <w:tab/>
      </w:r>
      <w:r w:rsidRPr="00617118">
        <w:t>See</w:t>
      </w:r>
      <w:r w:rsidR="00903B67">
        <w:t xml:space="preserve"> </w:t>
      </w:r>
      <w:r w:rsidR="00EC6501">
        <w:t xml:space="preserve">52 </w:t>
      </w:r>
      <w:proofErr w:type="spellStart"/>
      <w:r w:rsidR="00EC6501">
        <w:t>Pa.Code</w:t>
      </w:r>
      <w:proofErr w:type="spellEnd"/>
      <w:r w:rsidR="00EC6501">
        <w:t xml:space="preserve"> § 56.98</w:t>
      </w:r>
      <w:r>
        <w:t xml:space="preserve">.  </w:t>
      </w:r>
    </w:p>
    <w:p w:rsidR="00A46C94" w:rsidRDefault="00A46C94" w:rsidP="00D8229C">
      <w:pPr>
        <w:pStyle w:val="FootnoteText"/>
        <w:ind w:firstLine="720"/>
      </w:pPr>
    </w:p>
  </w:footnote>
  <w:footnote w:id="5">
    <w:p w:rsidR="008E772F" w:rsidRDefault="008E772F" w:rsidP="008E772F">
      <w:pPr>
        <w:pStyle w:val="FootnoteText"/>
        <w:ind w:firstLine="720"/>
      </w:pPr>
      <w:r>
        <w:rPr>
          <w:rStyle w:val="FootnoteReference"/>
        </w:rPr>
        <w:footnoteRef/>
      </w:r>
      <w:r>
        <w:t xml:space="preserve"> </w:t>
      </w:r>
      <w:r>
        <w:tab/>
        <w:t>See Duquesne Light Company Tariff Electric Pa. P.U.C. Supplement 72, No. 24:</w:t>
      </w:r>
      <w:r w:rsidR="00CC05C8">
        <w:t xml:space="preserve"> </w:t>
      </w:r>
      <w:r>
        <w:t xml:space="preserve"> “Where evidence is found that the service wires, meters, switch box or other appurtenances on the customer’s premises have been tampered with, the customer shall be required to bear all costs incurred by the Company for investigations and inspections, and for </w:t>
      </w:r>
      <w:r w:rsidR="00617118">
        <w:t>such protective equipment as, in the judgment of the Company, may be necessary (including the relocation of inside metering equipment to an accessible outside location); and in addition, where the tampering has resulted in improper measurement of the electricity delivered, the customer shall be required to pay for such electric delivery service, and any Company supplied electricity, including interest at the Late Payment Charge rate, as the Company may estimate, from available information to have been used but not registered by the Company’s meters.”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1980"/>
        </w:tabs>
        <w:ind w:left="1980" w:hanging="360"/>
      </w:pPr>
    </w:lvl>
  </w:abstractNum>
  <w:abstractNum w:abstractNumId="1">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nsid w:val="30B00396"/>
    <w:multiLevelType w:val="hybridMultilevel"/>
    <w:tmpl w:val="918AC684"/>
    <w:lvl w:ilvl="0" w:tplc="6F5A51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913"/>
    <w:rsid w:val="0000018D"/>
    <w:rsid w:val="00000984"/>
    <w:rsid w:val="00010BFD"/>
    <w:rsid w:val="0001540E"/>
    <w:rsid w:val="0001663C"/>
    <w:rsid w:val="00025AA8"/>
    <w:rsid w:val="00032E1D"/>
    <w:rsid w:val="0005015E"/>
    <w:rsid w:val="0005246F"/>
    <w:rsid w:val="00052632"/>
    <w:rsid w:val="00064367"/>
    <w:rsid w:val="00064E3C"/>
    <w:rsid w:val="00070288"/>
    <w:rsid w:val="00070EA1"/>
    <w:rsid w:val="00074C76"/>
    <w:rsid w:val="0007665D"/>
    <w:rsid w:val="0008114C"/>
    <w:rsid w:val="00084CF4"/>
    <w:rsid w:val="00085FC5"/>
    <w:rsid w:val="000862CD"/>
    <w:rsid w:val="00087611"/>
    <w:rsid w:val="00096EDD"/>
    <w:rsid w:val="00097B02"/>
    <w:rsid w:val="000A031B"/>
    <w:rsid w:val="000A7196"/>
    <w:rsid w:val="000C68FA"/>
    <w:rsid w:val="000D4521"/>
    <w:rsid w:val="000E0877"/>
    <w:rsid w:val="000E30B4"/>
    <w:rsid w:val="000E5518"/>
    <w:rsid w:val="000E60A9"/>
    <w:rsid w:val="000F2222"/>
    <w:rsid w:val="000F4D40"/>
    <w:rsid w:val="00106503"/>
    <w:rsid w:val="001172BB"/>
    <w:rsid w:val="0012062B"/>
    <w:rsid w:val="00122137"/>
    <w:rsid w:val="0013235F"/>
    <w:rsid w:val="0013616B"/>
    <w:rsid w:val="00137350"/>
    <w:rsid w:val="001449E8"/>
    <w:rsid w:val="00146AC0"/>
    <w:rsid w:val="00155791"/>
    <w:rsid w:val="00155A53"/>
    <w:rsid w:val="00155DDF"/>
    <w:rsid w:val="00156125"/>
    <w:rsid w:val="001642B1"/>
    <w:rsid w:val="00166C16"/>
    <w:rsid w:val="001719B7"/>
    <w:rsid w:val="001721F5"/>
    <w:rsid w:val="001721F9"/>
    <w:rsid w:val="001773F4"/>
    <w:rsid w:val="00183276"/>
    <w:rsid w:val="00191FB7"/>
    <w:rsid w:val="00192B28"/>
    <w:rsid w:val="001933A1"/>
    <w:rsid w:val="00197219"/>
    <w:rsid w:val="001A6E52"/>
    <w:rsid w:val="001B535E"/>
    <w:rsid w:val="001D39B0"/>
    <w:rsid w:val="001D5F88"/>
    <w:rsid w:val="001D716A"/>
    <w:rsid w:val="001F0A5B"/>
    <w:rsid w:val="001F4338"/>
    <w:rsid w:val="001F4AF5"/>
    <w:rsid w:val="002025A7"/>
    <w:rsid w:val="00205861"/>
    <w:rsid w:val="00207E8A"/>
    <w:rsid w:val="00220DF4"/>
    <w:rsid w:val="002210E1"/>
    <w:rsid w:val="00226236"/>
    <w:rsid w:val="00226B03"/>
    <w:rsid w:val="0023071E"/>
    <w:rsid w:val="00230C68"/>
    <w:rsid w:val="0023560B"/>
    <w:rsid w:val="00241A00"/>
    <w:rsid w:val="0024388E"/>
    <w:rsid w:val="00256953"/>
    <w:rsid w:val="002602E0"/>
    <w:rsid w:val="002755E9"/>
    <w:rsid w:val="0027639B"/>
    <w:rsid w:val="00283BF2"/>
    <w:rsid w:val="0028444E"/>
    <w:rsid w:val="002939A1"/>
    <w:rsid w:val="00293C72"/>
    <w:rsid w:val="002A318E"/>
    <w:rsid w:val="002A77A7"/>
    <w:rsid w:val="002B1A2C"/>
    <w:rsid w:val="002B5F0E"/>
    <w:rsid w:val="002B7BC5"/>
    <w:rsid w:val="002C5DCF"/>
    <w:rsid w:val="002C7811"/>
    <w:rsid w:val="002C7C25"/>
    <w:rsid w:val="002D0413"/>
    <w:rsid w:val="002D7C84"/>
    <w:rsid w:val="002E00CA"/>
    <w:rsid w:val="002F37B6"/>
    <w:rsid w:val="002F7632"/>
    <w:rsid w:val="002F7B32"/>
    <w:rsid w:val="003118EA"/>
    <w:rsid w:val="003122ED"/>
    <w:rsid w:val="00315A10"/>
    <w:rsid w:val="0031776B"/>
    <w:rsid w:val="0032134C"/>
    <w:rsid w:val="00321EE0"/>
    <w:rsid w:val="003225BA"/>
    <w:rsid w:val="00334E2B"/>
    <w:rsid w:val="00335DD0"/>
    <w:rsid w:val="003369C8"/>
    <w:rsid w:val="00344248"/>
    <w:rsid w:val="003515A7"/>
    <w:rsid w:val="00352264"/>
    <w:rsid w:val="003529A5"/>
    <w:rsid w:val="00354B37"/>
    <w:rsid w:val="00362E27"/>
    <w:rsid w:val="00370309"/>
    <w:rsid w:val="003737EE"/>
    <w:rsid w:val="003750B2"/>
    <w:rsid w:val="003809FB"/>
    <w:rsid w:val="003828D3"/>
    <w:rsid w:val="003912F2"/>
    <w:rsid w:val="00392841"/>
    <w:rsid w:val="00394FDA"/>
    <w:rsid w:val="003A263C"/>
    <w:rsid w:val="003B208C"/>
    <w:rsid w:val="003B2E9D"/>
    <w:rsid w:val="003B4729"/>
    <w:rsid w:val="003B6403"/>
    <w:rsid w:val="003B7D5F"/>
    <w:rsid w:val="003C044A"/>
    <w:rsid w:val="003C2538"/>
    <w:rsid w:val="003C3746"/>
    <w:rsid w:val="003C543C"/>
    <w:rsid w:val="003E31F9"/>
    <w:rsid w:val="003F1938"/>
    <w:rsid w:val="003F5D9A"/>
    <w:rsid w:val="003F60D0"/>
    <w:rsid w:val="003F757A"/>
    <w:rsid w:val="00407B56"/>
    <w:rsid w:val="0041054B"/>
    <w:rsid w:val="00412182"/>
    <w:rsid w:val="004351D3"/>
    <w:rsid w:val="0044093F"/>
    <w:rsid w:val="004439D1"/>
    <w:rsid w:val="00451F24"/>
    <w:rsid w:val="00454B85"/>
    <w:rsid w:val="00457D17"/>
    <w:rsid w:val="00464A92"/>
    <w:rsid w:val="00465A3B"/>
    <w:rsid w:val="00467AD5"/>
    <w:rsid w:val="004760B6"/>
    <w:rsid w:val="00494744"/>
    <w:rsid w:val="00497712"/>
    <w:rsid w:val="004B1CE0"/>
    <w:rsid w:val="004C2BBB"/>
    <w:rsid w:val="004C41B1"/>
    <w:rsid w:val="004C4280"/>
    <w:rsid w:val="004C5488"/>
    <w:rsid w:val="004C6318"/>
    <w:rsid w:val="004C7EFB"/>
    <w:rsid w:val="004D28A7"/>
    <w:rsid w:val="004F2F9C"/>
    <w:rsid w:val="00507729"/>
    <w:rsid w:val="005139C2"/>
    <w:rsid w:val="0051689F"/>
    <w:rsid w:val="00522437"/>
    <w:rsid w:val="00524C4D"/>
    <w:rsid w:val="00536B70"/>
    <w:rsid w:val="0056223A"/>
    <w:rsid w:val="00571CB1"/>
    <w:rsid w:val="005748A1"/>
    <w:rsid w:val="0058234E"/>
    <w:rsid w:val="00582C9C"/>
    <w:rsid w:val="00583B45"/>
    <w:rsid w:val="00583B8B"/>
    <w:rsid w:val="00586505"/>
    <w:rsid w:val="005877F8"/>
    <w:rsid w:val="00592FD6"/>
    <w:rsid w:val="005A3224"/>
    <w:rsid w:val="005B22DE"/>
    <w:rsid w:val="005B4B66"/>
    <w:rsid w:val="005B6108"/>
    <w:rsid w:val="005C27A6"/>
    <w:rsid w:val="005C316C"/>
    <w:rsid w:val="005C598E"/>
    <w:rsid w:val="005C6B7F"/>
    <w:rsid w:val="005D0CB4"/>
    <w:rsid w:val="005D1E69"/>
    <w:rsid w:val="005D4A9B"/>
    <w:rsid w:val="0060406D"/>
    <w:rsid w:val="00607EE2"/>
    <w:rsid w:val="00612253"/>
    <w:rsid w:val="00617118"/>
    <w:rsid w:val="00621547"/>
    <w:rsid w:val="00621F5F"/>
    <w:rsid w:val="00637166"/>
    <w:rsid w:val="006610A5"/>
    <w:rsid w:val="00664D65"/>
    <w:rsid w:val="00665D09"/>
    <w:rsid w:val="006757E3"/>
    <w:rsid w:val="00676EBF"/>
    <w:rsid w:val="0068049E"/>
    <w:rsid w:val="0068072C"/>
    <w:rsid w:val="00680EFF"/>
    <w:rsid w:val="006819BC"/>
    <w:rsid w:val="00691A03"/>
    <w:rsid w:val="006A1B06"/>
    <w:rsid w:val="006A2954"/>
    <w:rsid w:val="006B0B42"/>
    <w:rsid w:val="006B3DB5"/>
    <w:rsid w:val="006B764B"/>
    <w:rsid w:val="006B7894"/>
    <w:rsid w:val="006C5913"/>
    <w:rsid w:val="006D4DDF"/>
    <w:rsid w:val="006D69C9"/>
    <w:rsid w:val="006E5AF9"/>
    <w:rsid w:val="006F0FF6"/>
    <w:rsid w:val="007022E8"/>
    <w:rsid w:val="00702606"/>
    <w:rsid w:val="00704899"/>
    <w:rsid w:val="0070525A"/>
    <w:rsid w:val="007072E1"/>
    <w:rsid w:val="007136E1"/>
    <w:rsid w:val="0071682C"/>
    <w:rsid w:val="0072291A"/>
    <w:rsid w:val="00722A4C"/>
    <w:rsid w:val="007304A9"/>
    <w:rsid w:val="007474ED"/>
    <w:rsid w:val="0075082D"/>
    <w:rsid w:val="00756291"/>
    <w:rsid w:val="00761C31"/>
    <w:rsid w:val="007648ED"/>
    <w:rsid w:val="00782B26"/>
    <w:rsid w:val="00784614"/>
    <w:rsid w:val="00786F41"/>
    <w:rsid w:val="007953AD"/>
    <w:rsid w:val="007A0980"/>
    <w:rsid w:val="007A1305"/>
    <w:rsid w:val="007A326C"/>
    <w:rsid w:val="007A7567"/>
    <w:rsid w:val="007A7A2C"/>
    <w:rsid w:val="007B4E0C"/>
    <w:rsid w:val="007B7B04"/>
    <w:rsid w:val="007C7E48"/>
    <w:rsid w:val="00802CEC"/>
    <w:rsid w:val="00811AC7"/>
    <w:rsid w:val="00815702"/>
    <w:rsid w:val="00824628"/>
    <w:rsid w:val="0084769C"/>
    <w:rsid w:val="008551D2"/>
    <w:rsid w:val="00871F81"/>
    <w:rsid w:val="0087202B"/>
    <w:rsid w:val="00874DFE"/>
    <w:rsid w:val="00883243"/>
    <w:rsid w:val="0088716B"/>
    <w:rsid w:val="008A0946"/>
    <w:rsid w:val="008A4606"/>
    <w:rsid w:val="008C5FA5"/>
    <w:rsid w:val="008D09FB"/>
    <w:rsid w:val="008E2665"/>
    <w:rsid w:val="008E3574"/>
    <w:rsid w:val="008E772F"/>
    <w:rsid w:val="008F3423"/>
    <w:rsid w:val="00903207"/>
    <w:rsid w:val="00903B67"/>
    <w:rsid w:val="00905BE2"/>
    <w:rsid w:val="0092111F"/>
    <w:rsid w:val="00922DB7"/>
    <w:rsid w:val="00925C2B"/>
    <w:rsid w:val="009271A9"/>
    <w:rsid w:val="00930F18"/>
    <w:rsid w:val="00932DB7"/>
    <w:rsid w:val="00935C86"/>
    <w:rsid w:val="00946119"/>
    <w:rsid w:val="00952967"/>
    <w:rsid w:val="009617A1"/>
    <w:rsid w:val="00963141"/>
    <w:rsid w:val="00977781"/>
    <w:rsid w:val="00977A78"/>
    <w:rsid w:val="009863B7"/>
    <w:rsid w:val="00986C60"/>
    <w:rsid w:val="00991E46"/>
    <w:rsid w:val="009A332E"/>
    <w:rsid w:val="009B2E35"/>
    <w:rsid w:val="009B47D5"/>
    <w:rsid w:val="009B5BDC"/>
    <w:rsid w:val="009B6C37"/>
    <w:rsid w:val="009C0A0A"/>
    <w:rsid w:val="009C3676"/>
    <w:rsid w:val="009D10AE"/>
    <w:rsid w:val="009D596B"/>
    <w:rsid w:val="009E5485"/>
    <w:rsid w:val="009E65D3"/>
    <w:rsid w:val="009F066B"/>
    <w:rsid w:val="00A003FD"/>
    <w:rsid w:val="00A0467A"/>
    <w:rsid w:val="00A07EE6"/>
    <w:rsid w:val="00A112BF"/>
    <w:rsid w:val="00A223A2"/>
    <w:rsid w:val="00A2530F"/>
    <w:rsid w:val="00A3351C"/>
    <w:rsid w:val="00A35D59"/>
    <w:rsid w:val="00A40AF3"/>
    <w:rsid w:val="00A46C94"/>
    <w:rsid w:val="00A54FD9"/>
    <w:rsid w:val="00A61751"/>
    <w:rsid w:val="00A633CA"/>
    <w:rsid w:val="00A665E9"/>
    <w:rsid w:val="00A67813"/>
    <w:rsid w:val="00A74DFE"/>
    <w:rsid w:val="00A758DF"/>
    <w:rsid w:val="00A87570"/>
    <w:rsid w:val="00A901A9"/>
    <w:rsid w:val="00A96D72"/>
    <w:rsid w:val="00A9705E"/>
    <w:rsid w:val="00AA0FAD"/>
    <w:rsid w:val="00AA557B"/>
    <w:rsid w:val="00AA78BB"/>
    <w:rsid w:val="00AB104D"/>
    <w:rsid w:val="00AB2F0D"/>
    <w:rsid w:val="00AB5173"/>
    <w:rsid w:val="00AC0EE4"/>
    <w:rsid w:val="00AC6376"/>
    <w:rsid w:val="00AC73CF"/>
    <w:rsid w:val="00AD1E3C"/>
    <w:rsid w:val="00AD2C4B"/>
    <w:rsid w:val="00AD386C"/>
    <w:rsid w:val="00AD64CE"/>
    <w:rsid w:val="00AE27FB"/>
    <w:rsid w:val="00AE535A"/>
    <w:rsid w:val="00AF10FA"/>
    <w:rsid w:val="00AF28D8"/>
    <w:rsid w:val="00B0268D"/>
    <w:rsid w:val="00B030C0"/>
    <w:rsid w:val="00B22AC9"/>
    <w:rsid w:val="00B451F8"/>
    <w:rsid w:val="00B64657"/>
    <w:rsid w:val="00B71B7B"/>
    <w:rsid w:val="00B754C7"/>
    <w:rsid w:val="00B77E0C"/>
    <w:rsid w:val="00B81964"/>
    <w:rsid w:val="00B8345F"/>
    <w:rsid w:val="00B905FC"/>
    <w:rsid w:val="00B93DA3"/>
    <w:rsid w:val="00B93F88"/>
    <w:rsid w:val="00B95A93"/>
    <w:rsid w:val="00BA7342"/>
    <w:rsid w:val="00BA7AAF"/>
    <w:rsid w:val="00BC3BD6"/>
    <w:rsid w:val="00BE08F5"/>
    <w:rsid w:val="00BE09D0"/>
    <w:rsid w:val="00BE0D71"/>
    <w:rsid w:val="00BE22FC"/>
    <w:rsid w:val="00BE3358"/>
    <w:rsid w:val="00BE6E22"/>
    <w:rsid w:val="00BF0364"/>
    <w:rsid w:val="00BF31B4"/>
    <w:rsid w:val="00C1581D"/>
    <w:rsid w:val="00C17CC6"/>
    <w:rsid w:val="00C24D51"/>
    <w:rsid w:val="00C30AA0"/>
    <w:rsid w:val="00C352CC"/>
    <w:rsid w:val="00C37E88"/>
    <w:rsid w:val="00C46128"/>
    <w:rsid w:val="00C470AD"/>
    <w:rsid w:val="00C5360B"/>
    <w:rsid w:val="00C5380B"/>
    <w:rsid w:val="00C54BBC"/>
    <w:rsid w:val="00C641B3"/>
    <w:rsid w:val="00C720BE"/>
    <w:rsid w:val="00C73BB3"/>
    <w:rsid w:val="00C75307"/>
    <w:rsid w:val="00C77234"/>
    <w:rsid w:val="00C8144B"/>
    <w:rsid w:val="00C83832"/>
    <w:rsid w:val="00C845A6"/>
    <w:rsid w:val="00C84DD6"/>
    <w:rsid w:val="00C92034"/>
    <w:rsid w:val="00C921CB"/>
    <w:rsid w:val="00CA2CA7"/>
    <w:rsid w:val="00CA3355"/>
    <w:rsid w:val="00CA4A04"/>
    <w:rsid w:val="00CB190D"/>
    <w:rsid w:val="00CC05C8"/>
    <w:rsid w:val="00CD1F59"/>
    <w:rsid w:val="00CD5C8C"/>
    <w:rsid w:val="00CE5B0A"/>
    <w:rsid w:val="00CF2851"/>
    <w:rsid w:val="00CF5470"/>
    <w:rsid w:val="00CF5BC2"/>
    <w:rsid w:val="00D020E2"/>
    <w:rsid w:val="00D07F70"/>
    <w:rsid w:val="00D10B92"/>
    <w:rsid w:val="00D1361B"/>
    <w:rsid w:val="00D23585"/>
    <w:rsid w:val="00D2643B"/>
    <w:rsid w:val="00D4145B"/>
    <w:rsid w:val="00D4211F"/>
    <w:rsid w:val="00D52740"/>
    <w:rsid w:val="00D53F35"/>
    <w:rsid w:val="00D56041"/>
    <w:rsid w:val="00D568AC"/>
    <w:rsid w:val="00D62F5D"/>
    <w:rsid w:val="00D816DA"/>
    <w:rsid w:val="00D8229C"/>
    <w:rsid w:val="00D83389"/>
    <w:rsid w:val="00D8744F"/>
    <w:rsid w:val="00D934D6"/>
    <w:rsid w:val="00D9429C"/>
    <w:rsid w:val="00DA07D4"/>
    <w:rsid w:val="00DA15B9"/>
    <w:rsid w:val="00DB3F78"/>
    <w:rsid w:val="00DB48EE"/>
    <w:rsid w:val="00DB5971"/>
    <w:rsid w:val="00DB612D"/>
    <w:rsid w:val="00DB7DBA"/>
    <w:rsid w:val="00DD2C61"/>
    <w:rsid w:val="00DE51F5"/>
    <w:rsid w:val="00DE542F"/>
    <w:rsid w:val="00DF09A5"/>
    <w:rsid w:val="00DF74D7"/>
    <w:rsid w:val="00E02444"/>
    <w:rsid w:val="00E21934"/>
    <w:rsid w:val="00E24884"/>
    <w:rsid w:val="00E31120"/>
    <w:rsid w:val="00E368AF"/>
    <w:rsid w:val="00E401CB"/>
    <w:rsid w:val="00E46E52"/>
    <w:rsid w:val="00E510C6"/>
    <w:rsid w:val="00E5176F"/>
    <w:rsid w:val="00E726E8"/>
    <w:rsid w:val="00E83656"/>
    <w:rsid w:val="00E852BD"/>
    <w:rsid w:val="00E86A99"/>
    <w:rsid w:val="00E87988"/>
    <w:rsid w:val="00E92972"/>
    <w:rsid w:val="00E92FFB"/>
    <w:rsid w:val="00E948BF"/>
    <w:rsid w:val="00EA22FA"/>
    <w:rsid w:val="00EB065C"/>
    <w:rsid w:val="00EB20AA"/>
    <w:rsid w:val="00EB516B"/>
    <w:rsid w:val="00EC448A"/>
    <w:rsid w:val="00EC48DC"/>
    <w:rsid w:val="00EC6501"/>
    <w:rsid w:val="00ED107B"/>
    <w:rsid w:val="00ED1537"/>
    <w:rsid w:val="00ED18A4"/>
    <w:rsid w:val="00ED7C50"/>
    <w:rsid w:val="00EE2DCF"/>
    <w:rsid w:val="00EF1538"/>
    <w:rsid w:val="00EF2CEB"/>
    <w:rsid w:val="00EF6DF6"/>
    <w:rsid w:val="00F0104D"/>
    <w:rsid w:val="00F02840"/>
    <w:rsid w:val="00F02EC4"/>
    <w:rsid w:val="00F03C9E"/>
    <w:rsid w:val="00F13C97"/>
    <w:rsid w:val="00F1712B"/>
    <w:rsid w:val="00F174FC"/>
    <w:rsid w:val="00F22956"/>
    <w:rsid w:val="00F22F7D"/>
    <w:rsid w:val="00F23AC5"/>
    <w:rsid w:val="00F30575"/>
    <w:rsid w:val="00F31456"/>
    <w:rsid w:val="00F31889"/>
    <w:rsid w:val="00F341E9"/>
    <w:rsid w:val="00F36F2B"/>
    <w:rsid w:val="00F44F5F"/>
    <w:rsid w:val="00F505B3"/>
    <w:rsid w:val="00F51F06"/>
    <w:rsid w:val="00F53CAC"/>
    <w:rsid w:val="00F7009D"/>
    <w:rsid w:val="00F74BC6"/>
    <w:rsid w:val="00F83A21"/>
    <w:rsid w:val="00F91331"/>
    <w:rsid w:val="00F9158A"/>
    <w:rsid w:val="00F94056"/>
    <w:rsid w:val="00F95626"/>
    <w:rsid w:val="00F9714A"/>
    <w:rsid w:val="00FA3048"/>
    <w:rsid w:val="00FA45E0"/>
    <w:rsid w:val="00FA6647"/>
    <w:rsid w:val="00FA6D40"/>
    <w:rsid w:val="00FD22BC"/>
    <w:rsid w:val="00FD3F53"/>
    <w:rsid w:val="00FD504E"/>
    <w:rsid w:val="00FD5358"/>
    <w:rsid w:val="00FD5922"/>
    <w:rsid w:val="00FE0968"/>
    <w:rsid w:val="00FE59FD"/>
    <w:rsid w:val="00FF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05B3"/>
    <w:pPr>
      <w:tabs>
        <w:tab w:val="center" w:pos="4320"/>
        <w:tab w:val="right" w:pos="8640"/>
      </w:tabs>
    </w:pPr>
  </w:style>
  <w:style w:type="character" w:styleId="PageNumber">
    <w:name w:val="page number"/>
    <w:basedOn w:val="DefaultParagraphFont"/>
    <w:rsid w:val="00F505B3"/>
  </w:style>
  <w:style w:type="character" w:styleId="FootnoteReference">
    <w:name w:val="footnote reference"/>
    <w:semiHidden/>
    <w:rsid w:val="006D69C9"/>
    <w:rPr>
      <w:vertAlign w:val="superscript"/>
    </w:rPr>
  </w:style>
  <w:style w:type="character" w:customStyle="1" w:styleId="term1">
    <w:name w:val="term1"/>
    <w:rsid w:val="006D69C9"/>
    <w:rPr>
      <w:rFonts w:ascii="Verdana" w:hAnsi="Verdana" w:hint="default"/>
      <w:b/>
      <w:bCs/>
      <w:sz w:val="20"/>
      <w:szCs w:val="20"/>
    </w:rPr>
  </w:style>
  <w:style w:type="paragraph" w:styleId="BodyText">
    <w:name w:val="Body Text"/>
    <w:basedOn w:val="Normal"/>
    <w:rsid w:val="008E2665"/>
    <w:pPr>
      <w:spacing w:line="360" w:lineRule="auto"/>
      <w:jc w:val="both"/>
    </w:pPr>
    <w:rPr>
      <w:rFonts w:ascii="Times New Roman" w:eastAsia="SimSun" w:hAnsi="Times New Roman"/>
      <w:sz w:val="26"/>
      <w:szCs w:val="20"/>
    </w:rPr>
  </w:style>
  <w:style w:type="paragraph" w:styleId="BalloonText">
    <w:name w:val="Balloon Text"/>
    <w:basedOn w:val="Normal"/>
    <w:semiHidden/>
    <w:rsid w:val="00166C16"/>
    <w:rPr>
      <w:rFonts w:ascii="Tahoma" w:hAnsi="Tahoma" w:cs="Tahoma"/>
      <w:sz w:val="16"/>
      <w:szCs w:val="16"/>
    </w:rPr>
  </w:style>
  <w:style w:type="paragraph" w:styleId="FootnoteText">
    <w:name w:val="footnote text"/>
    <w:basedOn w:val="Normal"/>
    <w:link w:val="FootnoteTextChar"/>
    <w:semiHidden/>
    <w:rsid w:val="00C845A6"/>
    <w:rPr>
      <w:sz w:val="20"/>
      <w:szCs w:val="20"/>
    </w:rPr>
  </w:style>
  <w:style w:type="paragraph" w:styleId="EndnoteText">
    <w:name w:val="endnote text"/>
    <w:basedOn w:val="Normal"/>
    <w:link w:val="EndnoteTextChar"/>
    <w:rsid w:val="008D09FB"/>
    <w:rPr>
      <w:rFonts w:ascii="Courier" w:hAnsi="Courier"/>
      <w:szCs w:val="20"/>
    </w:rPr>
  </w:style>
  <w:style w:type="character" w:customStyle="1" w:styleId="EndnoteTextChar">
    <w:name w:val="Endnote Text Char"/>
    <w:link w:val="EndnoteText"/>
    <w:rsid w:val="008D09FB"/>
    <w:rPr>
      <w:rFonts w:ascii="Courier" w:hAnsi="Courier"/>
      <w:sz w:val="24"/>
    </w:rPr>
  </w:style>
  <w:style w:type="paragraph" w:styleId="Header">
    <w:name w:val="header"/>
    <w:basedOn w:val="Normal"/>
    <w:link w:val="HeaderChar"/>
    <w:rsid w:val="00CF2851"/>
    <w:pPr>
      <w:tabs>
        <w:tab w:val="center" w:pos="4680"/>
        <w:tab w:val="right" w:pos="9360"/>
      </w:tabs>
    </w:pPr>
  </w:style>
  <w:style w:type="character" w:customStyle="1" w:styleId="HeaderChar">
    <w:name w:val="Header Char"/>
    <w:basedOn w:val="DefaultParagraphFont"/>
    <w:link w:val="Header"/>
    <w:rsid w:val="00CF2851"/>
    <w:rPr>
      <w:rFonts w:ascii="CG Times" w:hAnsi="CG Times"/>
      <w:sz w:val="24"/>
      <w:szCs w:val="24"/>
    </w:rPr>
  </w:style>
  <w:style w:type="character" w:customStyle="1" w:styleId="FootnoteTextChar">
    <w:name w:val="Footnote Text Char"/>
    <w:basedOn w:val="DefaultParagraphFont"/>
    <w:link w:val="FootnoteText"/>
    <w:semiHidden/>
    <w:rsid w:val="0071682C"/>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05B3"/>
    <w:pPr>
      <w:tabs>
        <w:tab w:val="center" w:pos="4320"/>
        <w:tab w:val="right" w:pos="8640"/>
      </w:tabs>
    </w:pPr>
  </w:style>
  <w:style w:type="character" w:styleId="PageNumber">
    <w:name w:val="page number"/>
    <w:basedOn w:val="DefaultParagraphFont"/>
    <w:rsid w:val="00F505B3"/>
  </w:style>
  <w:style w:type="character" w:styleId="FootnoteReference">
    <w:name w:val="footnote reference"/>
    <w:semiHidden/>
    <w:rsid w:val="006D69C9"/>
    <w:rPr>
      <w:vertAlign w:val="superscript"/>
    </w:rPr>
  </w:style>
  <w:style w:type="character" w:customStyle="1" w:styleId="term1">
    <w:name w:val="term1"/>
    <w:rsid w:val="006D69C9"/>
    <w:rPr>
      <w:rFonts w:ascii="Verdana" w:hAnsi="Verdana" w:hint="default"/>
      <w:b/>
      <w:bCs/>
      <w:sz w:val="20"/>
      <w:szCs w:val="20"/>
    </w:rPr>
  </w:style>
  <w:style w:type="paragraph" w:styleId="BodyText">
    <w:name w:val="Body Text"/>
    <w:basedOn w:val="Normal"/>
    <w:rsid w:val="008E2665"/>
    <w:pPr>
      <w:spacing w:line="360" w:lineRule="auto"/>
      <w:jc w:val="both"/>
    </w:pPr>
    <w:rPr>
      <w:rFonts w:ascii="Times New Roman" w:eastAsia="SimSun" w:hAnsi="Times New Roman"/>
      <w:sz w:val="26"/>
      <w:szCs w:val="20"/>
    </w:rPr>
  </w:style>
  <w:style w:type="paragraph" w:styleId="BalloonText">
    <w:name w:val="Balloon Text"/>
    <w:basedOn w:val="Normal"/>
    <w:semiHidden/>
    <w:rsid w:val="00166C16"/>
    <w:rPr>
      <w:rFonts w:ascii="Tahoma" w:hAnsi="Tahoma" w:cs="Tahoma"/>
      <w:sz w:val="16"/>
      <w:szCs w:val="16"/>
    </w:rPr>
  </w:style>
  <w:style w:type="paragraph" w:styleId="FootnoteText">
    <w:name w:val="footnote text"/>
    <w:basedOn w:val="Normal"/>
    <w:link w:val="FootnoteTextChar"/>
    <w:semiHidden/>
    <w:rsid w:val="00C845A6"/>
    <w:rPr>
      <w:sz w:val="20"/>
      <w:szCs w:val="20"/>
    </w:rPr>
  </w:style>
  <w:style w:type="paragraph" w:styleId="EndnoteText">
    <w:name w:val="endnote text"/>
    <w:basedOn w:val="Normal"/>
    <w:link w:val="EndnoteTextChar"/>
    <w:rsid w:val="008D09FB"/>
    <w:rPr>
      <w:rFonts w:ascii="Courier" w:hAnsi="Courier"/>
      <w:szCs w:val="20"/>
    </w:rPr>
  </w:style>
  <w:style w:type="character" w:customStyle="1" w:styleId="EndnoteTextChar">
    <w:name w:val="Endnote Text Char"/>
    <w:link w:val="EndnoteText"/>
    <w:rsid w:val="008D09FB"/>
    <w:rPr>
      <w:rFonts w:ascii="Courier" w:hAnsi="Courier"/>
      <w:sz w:val="24"/>
    </w:rPr>
  </w:style>
  <w:style w:type="paragraph" w:styleId="Header">
    <w:name w:val="header"/>
    <w:basedOn w:val="Normal"/>
    <w:link w:val="HeaderChar"/>
    <w:rsid w:val="00CF2851"/>
    <w:pPr>
      <w:tabs>
        <w:tab w:val="center" w:pos="4680"/>
        <w:tab w:val="right" w:pos="9360"/>
      </w:tabs>
    </w:pPr>
  </w:style>
  <w:style w:type="character" w:customStyle="1" w:styleId="HeaderChar">
    <w:name w:val="Header Char"/>
    <w:basedOn w:val="DefaultParagraphFont"/>
    <w:link w:val="Header"/>
    <w:rsid w:val="00CF2851"/>
    <w:rPr>
      <w:rFonts w:ascii="CG Times" w:hAnsi="CG Times"/>
      <w:sz w:val="24"/>
      <w:szCs w:val="24"/>
    </w:rPr>
  </w:style>
  <w:style w:type="character" w:customStyle="1" w:styleId="FootnoteTextChar">
    <w:name w:val="Footnote Text Char"/>
    <w:basedOn w:val="DefaultParagraphFont"/>
    <w:link w:val="FootnoteText"/>
    <w:semiHidden/>
    <w:rsid w:val="0071682C"/>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DFB07-4550-4D6F-83B9-7C9924244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sandra elizabeth oldynski</cp:lastModifiedBy>
  <cp:revision>44</cp:revision>
  <cp:lastPrinted>2015-06-03T14:42:00Z</cp:lastPrinted>
  <dcterms:created xsi:type="dcterms:W3CDTF">2015-05-21T18:11:00Z</dcterms:created>
  <dcterms:modified xsi:type="dcterms:W3CDTF">2015-06-03T14:45:00Z</dcterms:modified>
</cp:coreProperties>
</file>