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A91627">
      <w:pPr>
        <w:tabs>
          <w:tab w:val="left" w:pos="6480"/>
        </w:tabs>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44F60" w:rsidRDefault="00D44F60" w:rsidP="0062545F">
      <w:pPr>
        <w:tabs>
          <w:tab w:val="center" w:pos="4680"/>
        </w:tabs>
        <w:suppressAutoHyphens/>
        <w:jc w:val="center"/>
        <w:rPr>
          <w:b/>
          <w:bCs/>
          <w:spacing w:val="-3"/>
          <w:u w:val="single"/>
        </w:rPr>
      </w:pPr>
    </w:p>
    <w:p w:rsidR="0062545F" w:rsidRDefault="0062545F" w:rsidP="00C87618">
      <w:pPr>
        <w:suppressAutoHyphens/>
        <w:jc w:val="center"/>
        <w:rPr>
          <w:b/>
          <w:bCs/>
          <w:spacing w:val="-3"/>
          <w:u w:val="single"/>
        </w:rPr>
      </w:pPr>
      <w:r w:rsidRPr="00550B34">
        <w:rPr>
          <w:b/>
          <w:bCs/>
          <w:spacing w:val="-3"/>
          <w:u w:val="single"/>
        </w:rPr>
        <w:t>ORDER</w:t>
      </w:r>
    </w:p>
    <w:p w:rsidR="00DD04D4" w:rsidRDefault="008C2B8B" w:rsidP="00411A28">
      <w:pPr>
        <w:tabs>
          <w:tab w:val="center" w:pos="4680"/>
        </w:tabs>
        <w:suppressAutoHyphens/>
        <w:jc w:val="center"/>
        <w:rPr>
          <w:b/>
          <w:bCs/>
          <w:spacing w:val="-3"/>
          <w:u w:val="single"/>
        </w:rPr>
      </w:pPr>
      <w:proofErr w:type="gramStart"/>
      <w:r>
        <w:rPr>
          <w:b/>
          <w:bCs/>
          <w:spacing w:val="-3"/>
          <w:u w:val="single"/>
        </w:rPr>
        <w:t xml:space="preserve">DENYING </w:t>
      </w:r>
      <w:r w:rsidR="00411A28">
        <w:rPr>
          <w:b/>
          <w:bCs/>
          <w:spacing w:val="-3"/>
          <w:u w:val="single"/>
        </w:rPr>
        <w:t>IDT ENERGY, INC.</w:t>
      </w:r>
      <w:proofErr w:type="gramEnd"/>
    </w:p>
    <w:p w:rsidR="00411A28" w:rsidRPr="00550B34" w:rsidRDefault="00411A28" w:rsidP="00411A28">
      <w:pPr>
        <w:tabs>
          <w:tab w:val="center" w:pos="4680"/>
        </w:tabs>
        <w:suppressAutoHyphens/>
        <w:jc w:val="center"/>
        <w:rPr>
          <w:b/>
          <w:bCs/>
          <w:spacing w:val="-3"/>
          <w:u w:val="single"/>
        </w:rPr>
      </w:pPr>
      <w:r>
        <w:rPr>
          <w:b/>
          <w:bCs/>
          <w:spacing w:val="-3"/>
          <w:u w:val="single"/>
        </w:rPr>
        <w:t>MOTION TO COMPEL</w:t>
      </w:r>
      <w:r w:rsidR="005B0F7E">
        <w:rPr>
          <w:b/>
          <w:bCs/>
          <w:spacing w:val="-3"/>
          <w:u w:val="single"/>
        </w:rPr>
        <w:t xml:space="preserve"> INTERROGATORIES VI-3 and VI-4</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2849B8" w:rsidRDefault="002849B8" w:rsidP="002849B8">
      <w:pPr>
        <w:widowControl w:val="0"/>
        <w:adjustRightInd w:val="0"/>
        <w:spacing w:line="360" w:lineRule="auto"/>
        <w:ind w:firstLine="1440"/>
        <w:rPr>
          <w:bCs/>
          <w:color w:val="000000"/>
        </w:rPr>
      </w:pPr>
      <w:r>
        <w:rPr>
          <w:bCs/>
          <w:color w:val="000000"/>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IDT Energy, Inc. (IDT or “the Company”), at Docket Number C-2014-2427657.  The Joint Complainants averred that they had received numerous contacts and complaints from consumers related to variable rates charged by IDT, including approximately 47 formal complaints filed by consumers at the Commission.  As a result, the Joint Complainants averred seven separate counts against IDT, including, but not limited to, making misleading and deceptive promises of savings, slamming, </w:t>
      </w:r>
      <w:proofErr w:type="gramStart"/>
      <w:r>
        <w:rPr>
          <w:bCs/>
          <w:color w:val="000000"/>
        </w:rPr>
        <w:t>lack</w:t>
      </w:r>
      <w:proofErr w:type="gramEnd"/>
      <w:r>
        <w:rPr>
          <w:bCs/>
          <w:color w:val="000000"/>
        </w:rPr>
        <w:t xml:space="preserve"> of good faith handling of complaints and failing to provide accurate pricing information.  The Joint Complainants made several requests for relief, including providing restitution and prohibiting deceptive practices in the future.</w:t>
      </w:r>
    </w:p>
    <w:p w:rsidR="002849B8" w:rsidRDefault="002849B8" w:rsidP="002849B8">
      <w:pPr>
        <w:widowControl w:val="0"/>
        <w:adjustRightInd w:val="0"/>
        <w:spacing w:line="360" w:lineRule="auto"/>
        <w:ind w:firstLine="1440"/>
        <w:rPr>
          <w:bCs/>
          <w:color w:val="000000"/>
        </w:rPr>
      </w:pPr>
    </w:p>
    <w:p w:rsidR="002849B8" w:rsidRDefault="002849B8" w:rsidP="002849B8">
      <w:pPr>
        <w:widowControl w:val="0"/>
        <w:adjustRightInd w:val="0"/>
        <w:spacing w:line="360" w:lineRule="auto"/>
        <w:ind w:firstLine="1440"/>
        <w:rPr>
          <w:bCs/>
          <w:color w:val="000000"/>
        </w:rPr>
      </w:pPr>
      <w:r>
        <w:rPr>
          <w:bCs/>
          <w:color w:val="000000"/>
        </w:rPr>
        <w:t xml:space="preserve">On July 10, 2014, IDT filed an Answer and New Matter in response to the Complaint.  In its Answer, IDT admitted or denied the various averments made by the Joint Complainants.  In particular, IDT specifically denied that its employees, agents and/or representatives have engaged or continue to engage in activities that are fraudulent, deceptive or in violation of the Commission’s regulations and orders or the </w:t>
      </w:r>
      <w:r>
        <w:rPr>
          <w:bCs/>
          <w:color w:val="000000"/>
        </w:rPr>
        <w:lastRenderedPageBreak/>
        <w:t>Unfair Trade Practices/Consumer Protection Law.  In its New Matter, IDT averred, among other things, that customers received high bills in January and February of 2014 because of volatility in the wholesale energy market resulting from the very cold weather that resulted in record breaking use of natural gas and electricity.  IDT provided additional averments and concluded by requesting that the Complaint be dismissed with prejudice.</w:t>
      </w:r>
    </w:p>
    <w:p w:rsidR="002849B8" w:rsidRDefault="002849B8" w:rsidP="002849B8">
      <w:pPr>
        <w:widowControl w:val="0"/>
        <w:adjustRightInd w:val="0"/>
        <w:spacing w:line="360" w:lineRule="auto"/>
        <w:ind w:firstLine="1440"/>
        <w:rPr>
          <w:bCs/>
          <w:color w:val="000000"/>
        </w:rPr>
      </w:pPr>
    </w:p>
    <w:p w:rsidR="002849B8" w:rsidRPr="00E17942" w:rsidRDefault="002849B8" w:rsidP="002849B8">
      <w:pPr>
        <w:widowControl w:val="0"/>
        <w:adjustRightInd w:val="0"/>
        <w:spacing w:line="360" w:lineRule="auto"/>
        <w:ind w:firstLine="1440"/>
        <w:rPr>
          <w:bCs/>
          <w:strike/>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w:t>
      </w:r>
      <w:proofErr w:type="gramStart"/>
      <w:r>
        <w:rPr>
          <w:bCs/>
          <w:color w:val="000000"/>
        </w:rPr>
        <w:t>Granting</w:t>
      </w:r>
      <w:proofErr w:type="gramEnd"/>
      <w:r>
        <w:rPr>
          <w:bCs/>
          <w:color w:val="000000"/>
        </w:rPr>
        <w:t xml:space="preserve"> in Part and Denying in Part Preliminary Objections was issued striking one Count in its entirety and one Count in part.  Additionally, two Petitions for Interlocutory Review of Material Question were filed with the Commission, one of which was answered via Order entered December 18, 2014, and the procedural schedule has been modified multiple times.</w:t>
      </w:r>
      <w:r w:rsidR="00BC5AB3">
        <w:rPr>
          <w:bCs/>
          <w:color w:val="000000"/>
        </w:rPr>
        <w:t xml:space="preserve">  Testimony of over 100 consumer witnesses was admitted into the record of this </w:t>
      </w:r>
      <w:proofErr w:type="gramStart"/>
      <w:r w:rsidR="00BC5AB3">
        <w:rPr>
          <w:bCs/>
          <w:color w:val="000000"/>
        </w:rPr>
        <w:t>proceeding</w:t>
      </w:r>
      <w:proofErr w:type="gramEnd"/>
      <w:r w:rsidR="00BC5AB3">
        <w:rPr>
          <w:bCs/>
          <w:color w:val="000000"/>
        </w:rPr>
        <w:t xml:space="preserve"> either subject to cross examination and timely motions or via stipulation during a hearing held February 17-20, 2015.</w:t>
      </w:r>
    </w:p>
    <w:p w:rsidR="002849B8" w:rsidRDefault="002849B8" w:rsidP="002849B8">
      <w:pPr>
        <w:widowControl w:val="0"/>
        <w:adjustRightInd w:val="0"/>
        <w:spacing w:line="360" w:lineRule="auto"/>
        <w:ind w:firstLine="1440"/>
        <w:rPr>
          <w:bCs/>
          <w:color w:val="000000"/>
        </w:rPr>
      </w:pPr>
    </w:p>
    <w:p w:rsidR="00F55451" w:rsidRDefault="00F55451" w:rsidP="00AE033E">
      <w:pPr>
        <w:spacing w:line="360" w:lineRule="auto"/>
        <w:rPr>
          <w:bCs/>
          <w:color w:val="000000"/>
        </w:rPr>
      </w:pPr>
      <w:r>
        <w:rPr>
          <w:bCs/>
          <w:color w:val="000000"/>
        </w:rPr>
        <w:tab/>
      </w:r>
      <w:r>
        <w:rPr>
          <w:bCs/>
          <w:color w:val="000000"/>
        </w:rPr>
        <w:tab/>
        <w:t>On May 27, 2015, IDT filed a Motion to Compel</w:t>
      </w:r>
      <w:r w:rsidR="005B0F7E">
        <w:rPr>
          <w:bCs/>
          <w:color w:val="000000"/>
        </w:rPr>
        <w:t>.  In its Motion, IDT argued that the Joint Complainants’ objections to IDT interrogatories VI-3 and VI-4 should be dismissed and the Joint Complainants should be compelled to answer those interrogatories.  On June 1, 2015, the Joint Complainants filed a Joint Answer to IDT’s Motion.  For the reasons discussed below, IDT’s Motion will be denied</w:t>
      </w:r>
      <w:r w:rsidR="00132C1D">
        <w:rPr>
          <w:bCs/>
          <w:color w:val="000000"/>
        </w:rPr>
        <w:t xml:space="preserve"> and the Joint Complainants’ objections sustained</w:t>
      </w:r>
      <w:r w:rsidR="005B0F7E">
        <w:rPr>
          <w:bCs/>
          <w:color w:val="000000"/>
        </w:rPr>
        <w:t>.</w:t>
      </w:r>
    </w:p>
    <w:p w:rsidR="00F55451" w:rsidRDefault="00F55451" w:rsidP="00AE033E">
      <w:pPr>
        <w:spacing w:line="360" w:lineRule="auto"/>
        <w:rPr>
          <w:bCs/>
          <w:color w:val="000000"/>
        </w:rPr>
      </w:pPr>
    </w:p>
    <w:p w:rsidR="00AE033E" w:rsidRPr="00AE033E" w:rsidRDefault="006D2199" w:rsidP="00AE033E">
      <w:pPr>
        <w:spacing w:line="360" w:lineRule="auto"/>
        <w:rPr>
          <w:rFonts w:eastAsiaTheme="minorEastAsia"/>
        </w:rPr>
      </w:pPr>
      <w:r>
        <w:rPr>
          <w:bCs/>
          <w:color w:val="000000"/>
        </w:rPr>
        <w:tab/>
      </w:r>
      <w:r>
        <w:rPr>
          <w:bCs/>
          <w:color w:val="000000"/>
        </w:rPr>
        <w:tab/>
      </w:r>
      <w:r w:rsidR="00AE033E" w:rsidRPr="00AE033E">
        <w:rPr>
          <w:rFonts w:eastAsiaTheme="minorEastAsia"/>
        </w:rPr>
        <w:t>The standard for permissible discovery is set forth in Section 5.321 of the Commission’s regulations:</w:t>
      </w:r>
    </w:p>
    <w:p w:rsidR="00AE033E" w:rsidRPr="00AE033E" w:rsidRDefault="00AE033E" w:rsidP="00AE033E">
      <w:pPr>
        <w:autoSpaceDE/>
        <w:autoSpaceDN/>
        <w:spacing w:before="100" w:beforeAutospacing="1" w:after="100" w:afterAutospacing="1" w:line="276" w:lineRule="auto"/>
        <w:ind w:left="1440" w:right="1440"/>
        <w:outlineLvl w:val="3"/>
        <w:rPr>
          <w:rFonts w:eastAsiaTheme="minorEastAsia"/>
          <w:b/>
          <w:bCs/>
        </w:rPr>
      </w:pPr>
      <w:bookmarkStart w:id="0" w:name="5.321."/>
      <w:r w:rsidRPr="00AE033E">
        <w:rPr>
          <w:rFonts w:eastAsiaTheme="minorEastAsia"/>
          <w:b/>
          <w:bCs/>
        </w:rPr>
        <w:t>§ 5.321. </w:t>
      </w:r>
      <w:proofErr w:type="gramStart"/>
      <w:r w:rsidRPr="00AE033E">
        <w:rPr>
          <w:rFonts w:eastAsiaTheme="minorEastAsia"/>
          <w:b/>
          <w:bCs/>
        </w:rPr>
        <w:t>Scope.</w:t>
      </w:r>
      <w:proofErr w:type="gramEnd"/>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(c)  </w:t>
      </w:r>
      <w:r w:rsidRPr="00AE033E">
        <w:rPr>
          <w:rFonts w:eastAsiaTheme="minorEastAsia"/>
          <w:i/>
          <w:iCs/>
        </w:rPr>
        <w:t>Scope</w:t>
      </w:r>
      <w:r w:rsidRPr="00AE033E">
        <w:rPr>
          <w:rFonts w:eastAsiaTheme="minorEastAsia"/>
        </w:rPr>
        <w:t xml:space="preserve">. Subject to this subchapter, a party may obtain discovery regarding any matter, not privileged, which is relevant to the subject matter involved in the pending </w:t>
      </w:r>
      <w:r w:rsidRPr="00AE033E">
        <w:rPr>
          <w:rFonts w:eastAsiaTheme="minorEastAsia"/>
        </w:rPr>
        <w:lastRenderedPageBreak/>
        <w:t xml:space="preserve">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AE033E" w:rsidRPr="00AE033E" w:rsidRDefault="00AE033E" w:rsidP="00AE033E">
      <w:pPr>
        <w:autoSpaceDE/>
        <w:autoSpaceDN/>
        <w:spacing w:before="100" w:beforeAutospacing="1" w:after="100" w:afterAutospacing="1" w:line="360" w:lineRule="auto"/>
        <w:rPr>
          <w:rFonts w:eastAsiaTheme="minorEastAsia"/>
        </w:rPr>
      </w:pPr>
      <w:proofErr w:type="gramStart"/>
      <w:r w:rsidRPr="00AE033E">
        <w:rPr>
          <w:rFonts w:eastAsiaTheme="minorEastAsia"/>
        </w:rPr>
        <w:t>52 Pa. Code §5.321(c).</w:t>
      </w:r>
      <w:proofErr w:type="gramEnd"/>
      <w:r w:rsidRPr="00AE033E">
        <w:rPr>
          <w:rFonts w:eastAsiaTheme="minorEastAsia"/>
        </w:rPr>
        <w:t xml:space="preserve">  Section 5.361 of the Commission’s regulations, however, provides various limitations on the scope of discovery:</w:t>
      </w:r>
    </w:p>
    <w:p w:rsidR="00AE033E" w:rsidRPr="00AE033E" w:rsidRDefault="00AE033E" w:rsidP="00AE033E">
      <w:pPr>
        <w:autoSpaceDE/>
        <w:autoSpaceDN/>
        <w:spacing w:before="100" w:beforeAutospacing="1" w:after="100" w:afterAutospacing="1"/>
        <w:ind w:left="1440" w:right="1440"/>
        <w:outlineLvl w:val="3"/>
        <w:rPr>
          <w:rFonts w:eastAsiaTheme="minorEastAsia"/>
          <w:b/>
          <w:bCs/>
        </w:rPr>
      </w:pPr>
      <w:r w:rsidRPr="00AE033E">
        <w:rPr>
          <w:rFonts w:eastAsiaTheme="minorEastAsia"/>
          <w:b/>
          <w:bCs/>
        </w:rPr>
        <w:t>§ 5.361. </w:t>
      </w:r>
      <w:proofErr w:type="gramStart"/>
      <w:r w:rsidRPr="00AE033E">
        <w:rPr>
          <w:rFonts w:eastAsiaTheme="minorEastAsia"/>
          <w:b/>
          <w:bCs/>
        </w:rPr>
        <w:t>Limitation of scope of discovery and deposition.</w:t>
      </w:r>
      <w:proofErr w:type="gramEnd"/>
    </w:p>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(a)  Discovery or deposition is not permitted which: </w:t>
      </w:r>
    </w:p>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(1)  Is sought in bad faith. </w:t>
      </w:r>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   (2)  </w:t>
      </w:r>
      <w:bookmarkStart w:id="1" w:name="OLE_LINK1"/>
      <w:bookmarkStart w:id="2" w:name="OLE_LINK2"/>
      <w:r w:rsidRPr="00AE033E">
        <w:rPr>
          <w:rFonts w:eastAsiaTheme="minorEastAsia"/>
        </w:rPr>
        <w:t xml:space="preserve">Would cause unreasonable annoyance, embarrassment, oppression, burden or expense to the deponent, a person or party. </w:t>
      </w:r>
    </w:p>
    <w:bookmarkEnd w:id="1"/>
    <w:bookmarkEnd w:id="2"/>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(3)  Relates to matter which is privileged. </w:t>
      </w:r>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 xml:space="preserve">   (4)  Would require the making of an unreasonable investigation by the deponent, a party or witness. </w:t>
      </w:r>
    </w:p>
    <w:p w:rsidR="00AE033E" w:rsidRPr="00AE033E" w:rsidRDefault="00AE033E" w:rsidP="00AE033E">
      <w:pPr>
        <w:autoSpaceDE/>
        <w:autoSpaceDN/>
        <w:spacing w:line="360" w:lineRule="auto"/>
        <w:rPr>
          <w:rFonts w:eastAsiaTheme="minorEastAsia"/>
        </w:rPr>
      </w:pPr>
      <w:proofErr w:type="gramStart"/>
      <w:r w:rsidRPr="00AE033E">
        <w:rPr>
          <w:rFonts w:eastAsiaTheme="minorEastAsia"/>
        </w:rPr>
        <w:t>52 Pa. Code § 5.361(a).</w:t>
      </w:r>
      <w:proofErr w:type="gramEnd"/>
    </w:p>
    <w:p w:rsidR="00AE033E" w:rsidRPr="00AE033E" w:rsidRDefault="00AE033E" w:rsidP="00AE033E">
      <w:pPr>
        <w:autoSpaceDE/>
        <w:autoSpaceDN/>
        <w:spacing w:line="360" w:lineRule="auto"/>
        <w:rPr>
          <w:rFonts w:eastAsiaTheme="minorEastAsia"/>
        </w:rPr>
      </w:pPr>
    </w:p>
    <w:p w:rsidR="00AE033E" w:rsidRDefault="00AE033E" w:rsidP="00AE033E">
      <w:pPr>
        <w:autoSpaceDE/>
        <w:autoSpaceDN/>
        <w:spacing w:line="360" w:lineRule="auto"/>
        <w:rPr>
          <w:rFonts w:eastAsiaTheme="minorEastAsia"/>
        </w:rPr>
      </w:pPr>
      <w:r w:rsidRPr="00AE033E">
        <w:rPr>
          <w:rFonts w:eastAsiaTheme="minorEastAsia"/>
        </w:rPr>
        <w:tab/>
      </w:r>
      <w:r w:rsidRPr="00AE033E">
        <w:rPr>
          <w:rFonts w:eastAsiaTheme="minorEastAsia"/>
        </w:rPr>
        <w:tab/>
        <w:t xml:space="preserve">In this case, </w:t>
      </w:r>
      <w:r w:rsidR="00C14452">
        <w:rPr>
          <w:rFonts w:eastAsiaTheme="minorEastAsia"/>
        </w:rPr>
        <w:t>IDT</w:t>
      </w:r>
      <w:r w:rsidRPr="00AE033E">
        <w:rPr>
          <w:rFonts w:eastAsiaTheme="minorEastAsia"/>
        </w:rPr>
        <w:t xml:space="preserve"> filed a Motion seeking an Order compelling </w:t>
      </w:r>
      <w:r w:rsidR="00C14452">
        <w:rPr>
          <w:rFonts w:eastAsiaTheme="minorEastAsia"/>
        </w:rPr>
        <w:t xml:space="preserve">the Joint Complainants </w:t>
      </w:r>
      <w:r w:rsidRPr="00AE033E">
        <w:rPr>
          <w:rFonts w:eastAsiaTheme="minorEastAsia"/>
        </w:rPr>
        <w:t xml:space="preserve">to respond to </w:t>
      </w:r>
      <w:r w:rsidR="00C14452">
        <w:rPr>
          <w:rFonts w:eastAsiaTheme="minorEastAsia"/>
        </w:rPr>
        <w:t>two interrogatories</w:t>
      </w:r>
      <w:r w:rsidR="004A7D95">
        <w:rPr>
          <w:rFonts w:eastAsiaTheme="minorEastAsia"/>
        </w:rPr>
        <w:t>:</w:t>
      </w:r>
    </w:p>
    <w:p w:rsidR="00C14452" w:rsidRDefault="00C14452" w:rsidP="00AE033E">
      <w:pPr>
        <w:autoSpaceDE/>
        <w:autoSpaceDN/>
        <w:spacing w:line="360" w:lineRule="auto"/>
        <w:rPr>
          <w:rFonts w:eastAsiaTheme="minorEastAsia"/>
        </w:rPr>
      </w:pPr>
    </w:p>
    <w:p w:rsidR="005B0F7E" w:rsidRDefault="00C14452" w:rsidP="004A7D95">
      <w:pPr>
        <w:autoSpaceDE/>
        <w:autoSpaceDN/>
        <w:ind w:left="1440" w:right="1440"/>
        <w:rPr>
          <w:rFonts w:eastAsiaTheme="minorEastAsia"/>
        </w:rPr>
      </w:pPr>
      <w:r>
        <w:rPr>
          <w:rFonts w:eastAsiaTheme="minorEastAsia"/>
        </w:rPr>
        <w:t xml:space="preserve">IDT </w:t>
      </w:r>
      <w:r w:rsidR="005B0F7E">
        <w:rPr>
          <w:rFonts w:eastAsiaTheme="minorEastAsia"/>
        </w:rPr>
        <w:t>VI-3</w:t>
      </w:r>
      <w:r>
        <w:rPr>
          <w:rFonts w:eastAsiaTheme="minorEastAsia"/>
        </w:rPr>
        <w:t xml:space="preserve"> – </w:t>
      </w:r>
      <w:r w:rsidR="005B0F7E">
        <w:rPr>
          <w:rFonts w:eastAsiaTheme="minorEastAsia"/>
        </w:rPr>
        <w:t xml:space="preserve">Based on the information collected from 2434 customers from whom the OCA collected information, as referenced in the OCA’s response to IDT Interrogatory II-2, please indicate how many EGSs were identified as: </w:t>
      </w:r>
    </w:p>
    <w:p w:rsidR="005B0F7E" w:rsidRDefault="005B0F7E" w:rsidP="00A91627">
      <w:pPr>
        <w:autoSpaceDE/>
        <w:autoSpaceDN/>
        <w:spacing w:line="360" w:lineRule="auto"/>
        <w:ind w:left="1440" w:right="1440"/>
        <w:rPr>
          <w:rFonts w:eastAsiaTheme="minorEastAsia"/>
        </w:rPr>
      </w:pPr>
    </w:p>
    <w:p w:rsidR="005B0F7E" w:rsidRDefault="005B0F7E" w:rsidP="005B0F7E">
      <w:pPr>
        <w:pStyle w:val="ListParagraph"/>
        <w:numPr>
          <w:ilvl w:val="0"/>
          <w:numId w:val="25"/>
        </w:numPr>
        <w:autoSpaceDE/>
        <w:autoSpaceDN/>
        <w:ind w:right="1440"/>
        <w:rPr>
          <w:rFonts w:eastAsiaTheme="minorEastAsia"/>
        </w:rPr>
      </w:pPr>
      <w:r>
        <w:rPr>
          <w:rFonts w:eastAsiaTheme="minorEastAsia"/>
        </w:rPr>
        <w:t>Charging rates in excess of $.20/kwh</w:t>
      </w:r>
    </w:p>
    <w:p w:rsidR="005B0F7E" w:rsidRDefault="005B0F7E" w:rsidP="005B0F7E">
      <w:pPr>
        <w:pStyle w:val="ListParagraph"/>
        <w:numPr>
          <w:ilvl w:val="0"/>
          <w:numId w:val="25"/>
        </w:numPr>
        <w:autoSpaceDE/>
        <w:autoSpaceDN/>
        <w:ind w:right="1440"/>
        <w:rPr>
          <w:rFonts w:eastAsiaTheme="minorEastAsia"/>
        </w:rPr>
      </w:pPr>
      <w:r>
        <w:rPr>
          <w:rFonts w:eastAsiaTheme="minorEastAsia"/>
        </w:rPr>
        <w:t>Charging rates in excess of $.25/kwh</w:t>
      </w:r>
    </w:p>
    <w:p w:rsidR="005B0F7E" w:rsidRDefault="005B0F7E" w:rsidP="005B0F7E">
      <w:pPr>
        <w:pStyle w:val="ListParagraph"/>
        <w:numPr>
          <w:ilvl w:val="0"/>
          <w:numId w:val="25"/>
        </w:numPr>
        <w:autoSpaceDE/>
        <w:autoSpaceDN/>
        <w:ind w:right="1440"/>
        <w:rPr>
          <w:rFonts w:eastAsiaTheme="minorEastAsia"/>
        </w:rPr>
      </w:pPr>
      <w:r>
        <w:rPr>
          <w:rFonts w:eastAsiaTheme="minorEastAsia"/>
        </w:rPr>
        <w:t>Charging rates in excess of $.30/kwh</w:t>
      </w:r>
    </w:p>
    <w:p w:rsidR="005B0F7E" w:rsidRDefault="005B0F7E" w:rsidP="00A91627">
      <w:pPr>
        <w:autoSpaceDE/>
        <w:autoSpaceDN/>
        <w:spacing w:line="360" w:lineRule="auto"/>
        <w:ind w:left="1440" w:right="1440"/>
        <w:rPr>
          <w:rFonts w:eastAsiaTheme="minorEastAsia"/>
        </w:rPr>
      </w:pPr>
    </w:p>
    <w:p w:rsidR="00E678AB" w:rsidRDefault="005B0F7E" w:rsidP="004A7D95">
      <w:pPr>
        <w:autoSpaceDE/>
        <w:autoSpaceDN/>
        <w:ind w:left="1440" w:right="1440"/>
        <w:rPr>
          <w:rFonts w:eastAsiaTheme="minorEastAsia"/>
        </w:rPr>
      </w:pPr>
      <w:r>
        <w:rPr>
          <w:rFonts w:eastAsiaTheme="minorEastAsia"/>
        </w:rPr>
        <w:t>I</w:t>
      </w:r>
      <w:r w:rsidR="00DF1FD5">
        <w:rPr>
          <w:rFonts w:eastAsiaTheme="minorEastAsia"/>
        </w:rPr>
        <w:t xml:space="preserve">DT </w:t>
      </w:r>
      <w:r>
        <w:rPr>
          <w:rFonts w:eastAsiaTheme="minorEastAsia"/>
        </w:rPr>
        <w:t>VI-4</w:t>
      </w:r>
      <w:r w:rsidR="00DF1FD5">
        <w:rPr>
          <w:rFonts w:eastAsiaTheme="minorEastAsia"/>
        </w:rPr>
        <w:t xml:space="preserve"> – </w:t>
      </w:r>
      <w:r w:rsidR="00132C1D">
        <w:rPr>
          <w:rFonts w:eastAsiaTheme="minorEastAsia"/>
        </w:rPr>
        <w:t>O</w:t>
      </w:r>
      <w:r w:rsidR="00E678AB">
        <w:rPr>
          <w:rFonts w:eastAsiaTheme="minorEastAsia"/>
        </w:rPr>
        <w:t>f the 7503 complain</w:t>
      </w:r>
      <w:r w:rsidR="0074701D">
        <w:rPr>
          <w:rFonts w:eastAsiaTheme="minorEastAsia"/>
        </w:rPr>
        <w:t>t</w:t>
      </w:r>
      <w:r w:rsidR="00E678AB">
        <w:rPr>
          <w:rFonts w:eastAsiaTheme="minorEastAsia"/>
        </w:rPr>
        <w:t>s received by the OAG, as referenced in the Complaint, please indicate how many EGSs were identified as:</w:t>
      </w:r>
    </w:p>
    <w:p w:rsidR="00E678AB" w:rsidRDefault="00E678AB" w:rsidP="00A91627">
      <w:pPr>
        <w:autoSpaceDE/>
        <w:autoSpaceDN/>
        <w:spacing w:line="360" w:lineRule="auto"/>
        <w:ind w:left="1440" w:right="1440"/>
        <w:rPr>
          <w:rFonts w:eastAsiaTheme="minorEastAsia"/>
        </w:rPr>
      </w:pPr>
    </w:p>
    <w:p w:rsidR="00E678AB" w:rsidRPr="00E678AB" w:rsidRDefault="00E678AB" w:rsidP="00E678AB">
      <w:pPr>
        <w:pStyle w:val="ListParagraph"/>
        <w:numPr>
          <w:ilvl w:val="0"/>
          <w:numId w:val="26"/>
        </w:numPr>
        <w:autoSpaceDE/>
        <w:autoSpaceDN/>
        <w:ind w:right="1440"/>
        <w:rPr>
          <w:rFonts w:eastAsiaTheme="minorEastAsia"/>
        </w:rPr>
      </w:pPr>
      <w:r w:rsidRPr="00E678AB">
        <w:rPr>
          <w:rFonts w:eastAsiaTheme="minorEastAsia"/>
        </w:rPr>
        <w:t xml:space="preserve">Charging </w:t>
      </w:r>
      <w:r>
        <w:rPr>
          <w:rFonts w:eastAsiaTheme="minorEastAsia"/>
        </w:rPr>
        <w:t xml:space="preserve">the complaining customer a rate </w:t>
      </w:r>
      <w:r w:rsidRPr="00E678AB">
        <w:rPr>
          <w:rFonts w:eastAsiaTheme="minorEastAsia"/>
        </w:rPr>
        <w:t>in excess of $.20/kwh</w:t>
      </w:r>
    </w:p>
    <w:p w:rsidR="00E678AB" w:rsidRDefault="00E678AB" w:rsidP="00E678AB">
      <w:pPr>
        <w:pStyle w:val="ListParagraph"/>
        <w:numPr>
          <w:ilvl w:val="0"/>
          <w:numId w:val="26"/>
        </w:numPr>
        <w:autoSpaceDE/>
        <w:autoSpaceDN/>
        <w:ind w:right="1440"/>
        <w:rPr>
          <w:rFonts w:eastAsiaTheme="minorEastAsia"/>
        </w:rPr>
      </w:pPr>
      <w:r>
        <w:rPr>
          <w:rFonts w:eastAsiaTheme="minorEastAsia"/>
        </w:rPr>
        <w:t>Charging the complaining customer a rate in excess of $.25/kwh</w:t>
      </w:r>
    </w:p>
    <w:p w:rsidR="00E678AB" w:rsidRPr="00A91627" w:rsidRDefault="00E678AB" w:rsidP="00A91627">
      <w:pPr>
        <w:pStyle w:val="ListParagraph"/>
        <w:numPr>
          <w:ilvl w:val="0"/>
          <w:numId w:val="26"/>
        </w:numPr>
        <w:autoSpaceDE/>
        <w:autoSpaceDN/>
        <w:ind w:right="1440"/>
        <w:rPr>
          <w:rFonts w:eastAsiaTheme="minorEastAsia"/>
        </w:rPr>
      </w:pPr>
      <w:r>
        <w:rPr>
          <w:rFonts w:eastAsiaTheme="minorEastAsia"/>
        </w:rPr>
        <w:t>Charging the complaining customer a rate in excess of $.30/kwh</w:t>
      </w:r>
    </w:p>
    <w:p w:rsidR="00E678AB" w:rsidRDefault="00E678AB" w:rsidP="00A91627">
      <w:pPr>
        <w:autoSpaceDE/>
        <w:autoSpaceDN/>
        <w:spacing w:line="360" w:lineRule="auto"/>
        <w:ind w:left="1440" w:right="1440"/>
        <w:rPr>
          <w:rFonts w:eastAsiaTheme="minorEastAsia"/>
        </w:rPr>
      </w:pPr>
    </w:p>
    <w:p w:rsidR="00836984" w:rsidRDefault="00836984" w:rsidP="00836984">
      <w:pPr>
        <w:autoSpaceDE/>
        <w:autoSpaceDN/>
        <w:spacing w:line="360" w:lineRule="auto"/>
        <w:ind w:firstLine="1440"/>
        <w:rPr>
          <w:rFonts w:eastAsiaTheme="minorEastAsia"/>
        </w:rPr>
      </w:pPr>
      <w:r>
        <w:rPr>
          <w:rFonts w:eastAsiaTheme="minorEastAsia"/>
        </w:rPr>
        <w:t xml:space="preserve">In its Motion, IDT argued that the information sought in these interrogatories is calculated to lead to the discovery of admissible evidence because it would tend to prove OCA witness </w:t>
      </w:r>
      <w:proofErr w:type="spellStart"/>
      <w:r>
        <w:rPr>
          <w:rFonts w:eastAsiaTheme="minorEastAsia"/>
        </w:rPr>
        <w:t>Estomin’s</w:t>
      </w:r>
      <w:proofErr w:type="spellEnd"/>
      <w:r>
        <w:rPr>
          <w:rFonts w:eastAsiaTheme="minorEastAsia"/>
        </w:rPr>
        <w:t xml:space="preserve"> conclusions that IDT’s charges were well in excess of what the market would dictate.  IDT added that “clearly, an examination of the rates that were actually charged in the Pennsylvania marketplace during early 2014 is relevant to the issue of whether the rates IDT charged were in excess of what the market would dictate.”  IDT further argued that the Joint Complainants’ objections should be dismissed because “simple tabulations of the number of suppliers identified as charging rates in excess of certain thresholds do not constitute ‘attorney work product’” and are, therefore, not prohibited from disclosure.  Finally, IDT argued that the information sought in interrogatories VI-3 and VI-4 is not barred from disclosure under the “investigative privilege” because releasing such information will not hinder any ongoing investigation.</w:t>
      </w:r>
    </w:p>
    <w:p w:rsidR="00836984" w:rsidRDefault="00836984" w:rsidP="00836984">
      <w:pPr>
        <w:autoSpaceDE/>
        <w:autoSpaceDN/>
        <w:spacing w:line="360" w:lineRule="auto"/>
        <w:ind w:firstLine="1440"/>
        <w:rPr>
          <w:rFonts w:eastAsiaTheme="minorEastAsia"/>
        </w:rPr>
      </w:pPr>
    </w:p>
    <w:p w:rsidR="00836984" w:rsidRDefault="00836984" w:rsidP="00836984">
      <w:pPr>
        <w:autoSpaceDE/>
        <w:autoSpaceDN/>
        <w:spacing w:line="360" w:lineRule="auto"/>
        <w:ind w:firstLine="1440"/>
        <w:rPr>
          <w:rFonts w:eastAsiaTheme="minorEastAsia"/>
        </w:rPr>
      </w:pPr>
      <w:r>
        <w:rPr>
          <w:rFonts w:eastAsiaTheme="minorEastAsia"/>
        </w:rPr>
        <w:t xml:space="preserve">In its Answer, the Joint Complainants argued that IDT’s Motion should be denied because </w:t>
      </w:r>
      <w:r w:rsidR="007D5D8B">
        <w:rPr>
          <w:rFonts w:eastAsiaTheme="minorEastAsia"/>
        </w:rPr>
        <w:t xml:space="preserve">the information sought in the interrogatories will not lead to admissible evidence, in part, because the portion of the witness testimony IDT focusses on is taken out of context and that such testimony does not reference other EGSs.  The Joint Complainants reiterate that the </w:t>
      </w:r>
      <w:proofErr w:type="gramStart"/>
      <w:r w:rsidR="007D5D8B">
        <w:rPr>
          <w:rFonts w:eastAsiaTheme="minorEastAsia"/>
        </w:rPr>
        <w:t>prices of other EGSs and number of complaints or contacts received is</w:t>
      </w:r>
      <w:proofErr w:type="gramEnd"/>
      <w:r w:rsidR="007D5D8B">
        <w:rPr>
          <w:rFonts w:eastAsiaTheme="minorEastAsia"/>
        </w:rPr>
        <w:t xml:space="preserve"> not pertinent to this case.  The Joint Complainants added, among other things, that “neither the Commission’s regulations nor Pennsylvania law provides a safe harbor or any other type of defense based on competitor prices.”  The Joint </w:t>
      </w:r>
      <w:r w:rsidR="007D5D8B">
        <w:rPr>
          <w:rFonts w:eastAsiaTheme="minorEastAsia"/>
        </w:rPr>
        <w:lastRenderedPageBreak/>
        <w:t>Complainants also responded to IDT’s arguments by arguing that the information requested is attorney work product and that such information is also protected by the investigative privilege.</w:t>
      </w:r>
    </w:p>
    <w:p w:rsidR="007C6330" w:rsidRDefault="007C6330" w:rsidP="00836984">
      <w:pPr>
        <w:autoSpaceDE/>
        <w:autoSpaceDN/>
        <w:spacing w:line="360" w:lineRule="auto"/>
        <w:ind w:firstLine="1440"/>
        <w:rPr>
          <w:rFonts w:eastAsiaTheme="minorEastAsia"/>
        </w:rPr>
      </w:pPr>
    </w:p>
    <w:p w:rsidR="007C6330" w:rsidRDefault="007C6330" w:rsidP="007C6330">
      <w:pPr>
        <w:widowControl w:val="0"/>
        <w:adjustRightInd w:val="0"/>
        <w:spacing w:line="360" w:lineRule="auto"/>
        <w:ind w:firstLine="1440"/>
        <w:rPr>
          <w:rFonts w:eastAsiaTheme="minorEastAsia"/>
        </w:rPr>
      </w:pPr>
      <w:r>
        <w:rPr>
          <w:rFonts w:eastAsiaTheme="minorEastAsia"/>
        </w:rPr>
        <w:t xml:space="preserve">As discussed below, </w:t>
      </w:r>
      <w:r w:rsidR="0074701D">
        <w:rPr>
          <w:rFonts w:eastAsiaTheme="minorEastAsia"/>
        </w:rPr>
        <w:t>IDT’s</w:t>
      </w:r>
      <w:r>
        <w:rPr>
          <w:rFonts w:eastAsiaTheme="minorEastAsia"/>
        </w:rPr>
        <w:t xml:space="preserve"> Motion will be denied because the interrogatories are not likely to lead to relevant or admissible evidence.</w:t>
      </w:r>
    </w:p>
    <w:p w:rsidR="007C6330" w:rsidRDefault="007C6330" w:rsidP="007C6330">
      <w:pPr>
        <w:widowControl w:val="0"/>
        <w:adjustRightInd w:val="0"/>
        <w:spacing w:line="360" w:lineRule="auto"/>
        <w:ind w:firstLine="1440"/>
        <w:rPr>
          <w:rFonts w:eastAsiaTheme="minorEastAsia"/>
        </w:rPr>
      </w:pPr>
    </w:p>
    <w:p w:rsidR="00132C1D" w:rsidRPr="00132C1D" w:rsidRDefault="00132C1D" w:rsidP="00132C1D">
      <w:pPr>
        <w:widowControl w:val="0"/>
        <w:adjustRightInd w:val="0"/>
        <w:spacing w:line="360" w:lineRule="auto"/>
        <w:ind w:firstLine="1440"/>
        <w:rPr>
          <w:bCs/>
          <w:color w:val="000000"/>
        </w:rPr>
      </w:pPr>
      <w:r w:rsidRPr="00132C1D">
        <w:rPr>
          <w:bCs/>
          <w:color w:val="000000"/>
        </w:rPr>
        <w:t xml:space="preserve">To begin, relevant evidence is evidence tending to prove or disprove an alleged fact or evidence having any tendency to make the existence of any fact that is of consequence to the determination of the action more probable or less probable than it would be without the evidence.  </w:t>
      </w:r>
      <w:r w:rsidRPr="00132C1D">
        <w:rPr>
          <w:bCs/>
          <w:color w:val="000000"/>
          <w:u w:val="single"/>
        </w:rPr>
        <w:t>Black’s Law Dictionary</w:t>
      </w:r>
      <w:r w:rsidRPr="00132C1D">
        <w:rPr>
          <w:bCs/>
          <w:color w:val="000000"/>
        </w:rPr>
        <w:t>, 6</w:t>
      </w:r>
      <w:r w:rsidRPr="00132C1D">
        <w:rPr>
          <w:bCs/>
          <w:color w:val="000000"/>
          <w:vertAlign w:val="superscript"/>
        </w:rPr>
        <w:t>th</w:t>
      </w:r>
      <w:r w:rsidRPr="00132C1D">
        <w:rPr>
          <w:bCs/>
          <w:color w:val="000000"/>
        </w:rPr>
        <w:t xml:space="preserve"> Ed. at 1291; </w:t>
      </w:r>
      <w:r w:rsidRPr="00132C1D">
        <w:rPr>
          <w:bCs/>
          <w:i/>
          <w:color w:val="000000"/>
        </w:rPr>
        <w:t>see also</w:t>
      </w:r>
      <w:r w:rsidRPr="00132C1D">
        <w:rPr>
          <w:bCs/>
          <w:color w:val="000000"/>
        </w:rPr>
        <w:t xml:space="preserve">, </w:t>
      </w:r>
      <w:r w:rsidRPr="00132C1D">
        <w:rPr>
          <w:bCs/>
          <w:color w:val="000000"/>
          <w:u w:val="single"/>
        </w:rPr>
        <w:t>Smith v. Morrison</w:t>
      </w:r>
      <w:r w:rsidRPr="00132C1D">
        <w:rPr>
          <w:bCs/>
          <w:color w:val="000000"/>
        </w:rPr>
        <w:t xml:space="preserve">, 47 A.3d 131,137 (Pa. Super 2012), </w:t>
      </w:r>
      <w:proofErr w:type="spellStart"/>
      <w:r w:rsidRPr="00132C1D">
        <w:rPr>
          <w:bCs/>
          <w:i/>
          <w:color w:val="000000"/>
        </w:rPr>
        <w:t>alloc</w:t>
      </w:r>
      <w:proofErr w:type="spellEnd"/>
      <w:r w:rsidRPr="00132C1D">
        <w:rPr>
          <w:bCs/>
          <w:i/>
          <w:color w:val="000000"/>
        </w:rPr>
        <w:t>. denied</w:t>
      </w:r>
      <w:r w:rsidRPr="00132C1D">
        <w:rPr>
          <w:bCs/>
          <w:color w:val="000000"/>
        </w:rPr>
        <w:t xml:space="preserve">, 57 A.3d 71 (Pa. 2012) (Information is relevant “if it logically tends to establish a material fact in the case, tends to make a fact at issue more or less probable or supports a reasonable inference or presumption regarding a material fact.”).  </w:t>
      </w:r>
    </w:p>
    <w:p w:rsidR="00132C1D" w:rsidRDefault="00132C1D" w:rsidP="007C6330">
      <w:pPr>
        <w:widowControl w:val="0"/>
        <w:adjustRightInd w:val="0"/>
        <w:spacing w:line="360" w:lineRule="auto"/>
        <w:ind w:firstLine="1440"/>
        <w:rPr>
          <w:rFonts w:eastAsiaTheme="minorEastAsia"/>
        </w:rPr>
      </w:pPr>
    </w:p>
    <w:p w:rsidR="007C6330" w:rsidRDefault="00132C1D" w:rsidP="007C6330">
      <w:pPr>
        <w:widowControl w:val="0"/>
        <w:adjustRightInd w:val="0"/>
        <w:spacing w:line="360" w:lineRule="auto"/>
        <w:ind w:firstLine="1440"/>
        <w:rPr>
          <w:rFonts w:eastAsiaTheme="minorEastAsia"/>
        </w:rPr>
      </w:pPr>
      <w:r>
        <w:rPr>
          <w:rFonts w:eastAsiaTheme="minorEastAsia"/>
        </w:rPr>
        <w:t>Furthermore</w:t>
      </w:r>
      <w:r w:rsidR="007C6330">
        <w:rPr>
          <w:rFonts w:eastAsiaTheme="minorEastAsia"/>
        </w:rPr>
        <w:t xml:space="preserve">, we have held in other related proceedings that information regarding other electric generation suppliers (EGSs) is not relevant to whether another EGS – in this case, </w:t>
      </w:r>
      <w:r>
        <w:rPr>
          <w:rFonts w:eastAsiaTheme="minorEastAsia"/>
        </w:rPr>
        <w:t xml:space="preserve">IDT </w:t>
      </w:r>
      <w:r w:rsidR="007C6330">
        <w:rPr>
          <w:rFonts w:eastAsiaTheme="minorEastAsia"/>
        </w:rPr>
        <w:t xml:space="preserve">– has violated Commission regulations.  We noted, for example, that the issue of whether one EGS has engaged in “fraudulent, deceptive or other unlawful marketing or billing acts performed by the licensee, its employees, agents or representatives,” is not relevant to whether another EGS has engaged in such activities.  </w:t>
      </w:r>
      <w:r w:rsidR="007C6330">
        <w:rPr>
          <w:rFonts w:eastAsiaTheme="minorEastAsia"/>
          <w:i/>
        </w:rPr>
        <w:t>See</w:t>
      </w:r>
      <w:r w:rsidR="007C6330">
        <w:rPr>
          <w:rFonts w:eastAsiaTheme="minorEastAsia"/>
        </w:rPr>
        <w:t xml:space="preserve">, 52 </w:t>
      </w:r>
      <w:proofErr w:type="spellStart"/>
      <w:r w:rsidR="007C6330">
        <w:rPr>
          <w:rFonts w:eastAsiaTheme="minorEastAsia"/>
        </w:rPr>
        <w:t>Pa.Code</w:t>
      </w:r>
      <w:proofErr w:type="spellEnd"/>
      <w:r w:rsidR="007C6330">
        <w:rPr>
          <w:rFonts w:eastAsiaTheme="minorEastAsia"/>
        </w:rPr>
        <w:t xml:space="preserve"> § 54.43(f).  Similar reasoning applies to the interrogatories at issue in </w:t>
      </w:r>
      <w:r>
        <w:rPr>
          <w:rFonts w:eastAsiaTheme="minorEastAsia"/>
        </w:rPr>
        <w:t xml:space="preserve">IDT’s </w:t>
      </w:r>
      <w:r w:rsidR="007C6330">
        <w:rPr>
          <w:rFonts w:eastAsiaTheme="minorEastAsia"/>
        </w:rPr>
        <w:t xml:space="preserve">Motion here.  </w:t>
      </w:r>
    </w:p>
    <w:p w:rsidR="007C6330" w:rsidRPr="00132C1D" w:rsidRDefault="007C6330" w:rsidP="007C6330">
      <w:pPr>
        <w:widowControl w:val="0"/>
        <w:adjustRightInd w:val="0"/>
        <w:spacing w:line="360" w:lineRule="auto"/>
        <w:ind w:firstLine="1440"/>
        <w:rPr>
          <w:rFonts w:eastAsiaTheme="minorEastAsia"/>
        </w:rPr>
      </w:pPr>
    </w:p>
    <w:p w:rsidR="00F110E6" w:rsidRDefault="00132C1D" w:rsidP="00165BBB">
      <w:pPr>
        <w:widowControl w:val="0"/>
        <w:adjustRightInd w:val="0"/>
        <w:spacing w:line="360" w:lineRule="auto"/>
        <w:ind w:firstLine="1440"/>
        <w:rPr>
          <w:bCs/>
          <w:color w:val="000000"/>
        </w:rPr>
      </w:pPr>
      <w:r w:rsidRPr="00132C1D">
        <w:rPr>
          <w:bCs/>
          <w:color w:val="000000"/>
        </w:rPr>
        <w:t xml:space="preserve">In </w:t>
      </w:r>
      <w:r w:rsidR="00935C24">
        <w:rPr>
          <w:bCs/>
          <w:color w:val="000000"/>
        </w:rPr>
        <w:t xml:space="preserve">this case, IDT’s interrogatories seeking information about prices charged by other EGSs and the number of complaints received by the Joint Complainants is irrelevant to whether, for example, the rates </w:t>
      </w:r>
      <w:r w:rsidR="00F110E6">
        <w:rPr>
          <w:bCs/>
          <w:color w:val="000000"/>
        </w:rPr>
        <w:t xml:space="preserve">charged by </w:t>
      </w:r>
      <w:r w:rsidR="00935C24">
        <w:rPr>
          <w:bCs/>
          <w:color w:val="000000"/>
        </w:rPr>
        <w:t xml:space="preserve">IDT </w:t>
      </w:r>
      <w:r w:rsidR="0074701D">
        <w:rPr>
          <w:bCs/>
          <w:color w:val="000000"/>
        </w:rPr>
        <w:t>are consistent with its Disclosure Statement</w:t>
      </w:r>
      <w:r w:rsidR="00935C24">
        <w:rPr>
          <w:bCs/>
          <w:color w:val="000000"/>
        </w:rPr>
        <w:t xml:space="preserve">.  </w:t>
      </w:r>
      <w:r w:rsidR="008366FA">
        <w:rPr>
          <w:bCs/>
          <w:color w:val="000000"/>
        </w:rPr>
        <w:t>IDT argued in its Motion that interrogatories VI-3 and VI-4 are in response to the pre-served testimony of OCA witness</w:t>
      </w:r>
      <w:r w:rsidR="00E61BB0">
        <w:rPr>
          <w:bCs/>
          <w:color w:val="000000"/>
        </w:rPr>
        <w:t xml:space="preserve"> </w:t>
      </w:r>
      <w:proofErr w:type="spellStart"/>
      <w:r w:rsidR="008366FA">
        <w:rPr>
          <w:bCs/>
          <w:color w:val="000000"/>
        </w:rPr>
        <w:t>Estomin</w:t>
      </w:r>
      <w:proofErr w:type="spellEnd"/>
      <w:r w:rsidR="008366FA">
        <w:rPr>
          <w:bCs/>
          <w:color w:val="000000"/>
        </w:rPr>
        <w:t xml:space="preserve"> </w:t>
      </w:r>
      <w:r w:rsidR="0074701D">
        <w:rPr>
          <w:bCs/>
          <w:color w:val="000000"/>
        </w:rPr>
        <w:t xml:space="preserve">who stated </w:t>
      </w:r>
      <w:r w:rsidR="008366FA">
        <w:rPr>
          <w:bCs/>
          <w:color w:val="000000"/>
        </w:rPr>
        <w:t xml:space="preserve">that IDT’s charges were </w:t>
      </w:r>
      <w:r w:rsidR="0074701D">
        <w:rPr>
          <w:bCs/>
          <w:color w:val="000000"/>
        </w:rPr>
        <w:t>“</w:t>
      </w:r>
      <w:r w:rsidR="008366FA">
        <w:rPr>
          <w:bCs/>
          <w:color w:val="000000"/>
        </w:rPr>
        <w:t>well in excess of what the market would dictate.</w:t>
      </w:r>
      <w:r w:rsidR="0074701D">
        <w:rPr>
          <w:bCs/>
          <w:color w:val="000000"/>
        </w:rPr>
        <w:t>”</w:t>
      </w:r>
      <w:r w:rsidR="008366FA">
        <w:rPr>
          <w:bCs/>
          <w:color w:val="000000"/>
        </w:rPr>
        <w:t xml:space="preserve">  </w:t>
      </w:r>
      <w:r w:rsidR="00152801">
        <w:rPr>
          <w:bCs/>
          <w:color w:val="000000"/>
        </w:rPr>
        <w:t xml:space="preserve">This argument will be </w:t>
      </w:r>
      <w:r w:rsidR="00152801">
        <w:rPr>
          <w:bCs/>
          <w:color w:val="000000"/>
        </w:rPr>
        <w:lastRenderedPageBreak/>
        <w:t xml:space="preserve">rejected because </w:t>
      </w:r>
      <w:r w:rsidR="00F110E6">
        <w:rPr>
          <w:bCs/>
          <w:color w:val="000000"/>
        </w:rPr>
        <w:t>the reference in the testimony that IDT provides in support of its position that interrogatories VI-3 and VI-4 are relevant pertains to IDT’s disclosure statement, not another EGS’s disclosure statement.  The reference in the testimony is to the factors that are used to determine rates charged by IDT, not by another EGS.</w:t>
      </w:r>
    </w:p>
    <w:p w:rsidR="00F110E6" w:rsidRDefault="00F110E6" w:rsidP="00E35EFF">
      <w:pPr>
        <w:widowControl w:val="0"/>
        <w:adjustRightInd w:val="0"/>
        <w:spacing w:line="360" w:lineRule="auto"/>
        <w:ind w:firstLine="1440"/>
        <w:rPr>
          <w:bCs/>
          <w:color w:val="000000"/>
        </w:rPr>
      </w:pPr>
    </w:p>
    <w:p w:rsidR="004479DE" w:rsidRDefault="00F110E6" w:rsidP="00E35EFF">
      <w:pPr>
        <w:widowControl w:val="0"/>
        <w:adjustRightInd w:val="0"/>
        <w:spacing w:line="360" w:lineRule="auto"/>
        <w:ind w:firstLine="1440"/>
        <w:rPr>
          <w:bCs/>
          <w:color w:val="000000"/>
        </w:rPr>
      </w:pPr>
      <w:r>
        <w:rPr>
          <w:bCs/>
          <w:color w:val="000000"/>
        </w:rPr>
        <w:t>Rates charged by other EGSs, and the number of customers who complained about such rates, is not relevant to whether IDT billed rates that were consistent with its Disclosure Statement.</w:t>
      </w:r>
      <w:r w:rsidR="009535C0">
        <w:rPr>
          <w:bCs/>
          <w:color w:val="000000"/>
        </w:rPr>
        <w:t xml:space="preserve">  This is true regardless of the reference in Mr. </w:t>
      </w:r>
      <w:proofErr w:type="spellStart"/>
      <w:r w:rsidR="009535C0">
        <w:rPr>
          <w:bCs/>
          <w:color w:val="000000"/>
        </w:rPr>
        <w:t>Estomin’s</w:t>
      </w:r>
      <w:proofErr w:type="spellEnd"/>
      <w:r w:rsidR="009535C0">
        <w:rPr>
          <w:bCs/>
          <w:color w:val="000000"/>
        </w:rPr>
        <w:t xml:space="preserve"> testimony that IDT’s rates were “well in excess of what the market would dictate.”  As the Joint Complainants argued in their Answer to IDT’s Motion, the reference to Mr. </w:t>
      </w:r>
      <w:proofErr w:type="spellStart"/>
      <w:r w:rsidR="009535C0">
        <w:rPr>
          <w:bCs/>
          <w:color w:val="000000"/>
        </w:rPr>
        <w:t>Estomin’s</w:t>
      </w:r>
      <w:proofErr w:type="spellEnd"/>
      <w:r w:rsidR="009535C0">
        <w:rPr>
          <w:bCs/>
          <w:color w:val="000000"/>
        </w:rPr>
        <w:t xml:space="preserve"> testimony does not accurately reflect </w:t>
      </w:r>
      <w:r w:rsidR="005D49DC">
        <w:rPr>
          <w:bCs/>
          <w:color w:val="000000"/>
        </w:rPr>
        <w:t xml:space="preserve">the entirety of the testimony which focusses more specifically on the rates charged by IDT in relation to IDT’s disclosure statement.  It is well settled that parties may not use the discovery process to engage in “fishing expeditions.”  </w:t>
      </w:r>
      <w:r w:rsidR="005D49DC">
        <w:rPr>
          <w:bCs/>
          <w:color w:val="000000"/>
          <w:u w:val="single"/>
        </w:rPr>
        <w:t xml:space="preserve">Land v. State Farm </w:t>
      </w:r>
      <w:proofErr w:type="spellStart"/>
      <w:r w:rsidR="005D49DC">
        <w:rPr>
          <w:bCs/>
          <w:color w:val="000000"/>
          <w:u w:val="single"/>
        </w:rPr>
        <w:t>Mut</w:t>
      </w:r>
      <w:proofErr w:type="spellEnd"/>
      <w:r w:rsidR="005D49DC">
        <w:rPr>
          <w:bCs/>
          <w:color w:val="000000"/>
          <w:u w:val="single"/>
        </w:rPr>
        <w:t xml:space="preserve">. </w:t>
      </w:r>
      <w:proofErr w:type="gramStart"/>
      <w:r w:rsidR="005D49DC">
        <w:rPr>
          <w:bCs/>
          <w:color w:val="000000"/>
          <w:u w:val="single"/>
        </w:rPr>
        <w:t>Ins. Co.</w:t>
      </w:r>
      <w:r w:rsidR="005D49DC">
        <w:rPr>
          <w:bCs/>
          <w:color w:val="000000"/>
        </w:rPr>
        <w:t xml:space="preserve">, 410 </w:t>
      </w:r>
      <w:proofErr w:type="spellStart"/>
      <w:r w:rsidR="005D49DC">
        <w:rPr>
          <w:bCs/>
          <w:color w:val="000000"/>
        </w:rPr>
        <w:t>Pa.Super</w:t>
      </w:r>
      <w:proofErr w:type="spellEnd"/>
      <w:r w:rsidR="005D49DC">
        <w:rPr>
          <w:bCs/>
          <w:color w:val="000000"/>
        </w:rPr>
        <w:t xml:space="preserve"> 579, 585, 600 A.2d 605, 608 (1991).</w:t>
      </w:r>
      <w:proofErr w:type="gramEnd"/>
      <w:r w:rsidR="005D49DC">
        <w:rPr>
          <w:bCs/>
          <w:color w:val="000000"/>
        </w:rPr>
        <w:t xml:space="preserve">  In this instance, IDT cannot use Mr. </w:t>
      </w:r>
      <w:proofErr w:type="spellStart"/>
      <w:r w:rsidR="005D49DC">
        <w:rPr>
          <w:bCs/>
          <w:color w:val="000000"/>
        </w:rPr>
        <w:t>Estomin’s</w:t>
      </w:r>
      <w:proofErr w:type="spellEnd"/>
      <w:r w:rsidR="005D49DC">
        <w:rPr>
          <w:bCs/>
          <w:color w:val="000000"/>
        </w:rPr>
        <w:t xml:space="preserve"> statement that the rates charged by IDT were in excess of what the market would dictate to obtain the Joint Complainants</w:t>
      </w:r>
      <w:r w:rsidR="0082437E">
        <w:rPr>
          <w:bCs/>
          <w:color w:val="000000"/>
        </w:rPr>
        <w:t>’</w:t>
      </w:r>
      <w:r w:rsidR="005D49DC">
        <w:rPr>
          <w:bCs/>
          <w:color w:val="000000"/>
        </w:rPr>
        <w:t xml:space="preserve"> data regarding which EGSs charged prices at what levels and how many customers complained about it.</w:t>
      </w:r>
      <w:r w:rsidR="0082437E">
        <w:rPr>
          <w:bCs/>
          <w:color w:val="000000"/>
        </w:rPr>
        <w:t xml:space="preserve">  This is particularly true as Mr. </w:t>
      </w:r>
      <w:proofErr w:type="spellStart"/>
      <w:r w:rsidR="0082437E">
        <w:rPr>
          <w:bCs/>
          <w:color w:val="000000"/>
        </w:rPr>
        <w:t>Estomin’s</w:t>
      </w:r>
      <w:proofErr w:type="spellEnd"/>
      <w:r w:rsidR="0082437E">
        <w:rPr>
          <w:bCs/>
          <w:color w:val="000000"/>
        </w:rPr>
        <w:t xml:space="preserve"> testimony relates solely to IDT and makes no reference to other EGSs.</w:t>
      </w:r>
    </w:p>
    <w:p w:rsidR="004479DE" w:rsidRDefault="004479DE" w:rsidP="00E35EFF">
      <w:pPr>
        <w:widowControl w:val="0"/>
        <w:adjustRightInd w:val="0"/>
        <w:spacing w:line="360" w:lineRule="auto"/>
        <w:ind w:firstLine="1440"/>
        <w:rPr>
          <w:bCs/>
          <w:color w:val="000000"/>
        </w:rPr>
      </w:pPr>
    </w:p>
    <w:p w:rsidR="000619B7" w:rsidRDefault="004479DE" w:rsidP="00E35EFF">
      <w:pPr>
        <w:widowControl w:val="0"/>
        <w:adjustRightInd w:val="0"/>
        <w:spacing w:line="360" w:lineRule="auto"/>
        <w:ind w:firstLine="1440"/>
        <w:rPr>
          <w:bCs/>
          <w:color w:val="000000"/>
        </w:rPr>
      </w:pPr>
      <w:r>
        <w:rPr>
          <w:bCs/>
          <w:color w:val="000000"/>
        </w:rPr>
        <w:t xml:space="preserve">Certainly, IDT should have the opportunity to explore Mr. </w:t>
      </w:r>
      <w:proofErr w:type="spellStart"/>
      <w:r>
        <w:rPr>
          <w:bCs/>
          <w:color w:val="000000"/>
        </w:rPr>
        <w:t>Estomin’s</w:t>
      </w:r>
      <w:proofErr w:type="spellEnd"/>
      <w:r>
        <w:rPr>
          <w:bCs/>
          <w:color w:val="000000"/>
        </w:rPr>
        <w:t xml:space="preserve"> statement made in his pre-served testimony.  </w:t>
      </w:r>
      <w:r w:rsidR="0082437E">
        <w:rPr>
          <w:bCs/>
          <w:color w:val="000000"/>
        </w:rPr>
        <w:t xml:space="preserve">We agree that Mr. </w:t>
      </w:r>
      <w:proofErr w:type="spellStart"/>
      <w:r w:rsidR="0082437E">
        <w:rPr>
          <w:bCs/>
          <w:color w:val="000000"/>
        </w:rPr>
        <w:t>Estomin’s</w:t>
      </w:r>
      <w:proofErr w:type="spellEnd"/>
      <w:r w:rsidR="0082437E">
        <w:rPr>
          <w:bCs/>
          <w:color w:val="000000"/>
        </w:rPr>
        <w:t xml:space="preserve"> testimony “opens the door” to IDT issuing discovery on that statement.  However, such an opportunity is not boundless.  </w:t>
      </w:r>
      <w:r w:rsidR="00F57058">
        <w:rPr>
          <w:bCs/>
          <w:color w:val="000000"/>
        </w:rPr>
        <w:t xml:space="preserve">IDT can present in its rebuttal testimony its position that IDT’s rates were not in excess of what the market would dictate to contradict Mr. </w:t>
      </w:r>
      <w:proofErr w:type="spellStart"/>
      <w:r w:rsidR="00F57058">
        <w:rPr>
          <w:bCs/>
          <w:color w:val="000000"/>
        </w:rPr>
        <w:t>Estomin’s</w:t>
      </w:r>
      <w:proofErr w:type="spellEnd"/>
      <w:r w:rsidR="00F57058">
        <w:rPr>
          <w:bCs/>
          <w:color w:val="000000"/>
        </w:rPr>
        <w:t xml:space="preserve"> testimony without seeking the information sought in interrogatories VI-3 and VI-4.  </w:t>
      </w:r>
      <w:r w:rsidR="0082437E">
        <w:rPr>
          <w:bCs/>
          <w:color w:val="000000"/>
        </w:rPr>
        <w:t>The information sought in interrogatories VI-3 and VI-4 does not “</w:t>
      </w:r>
      <w:proofErr w:type="gramStart"/>
      <w:r w:rsidR="0082437E">
        <w:rPr>
          <w:bCs/>
          <w:color w:val="000000"/>
        </w:rPr>
        <w:t>tend[</w:t>
      </w:r>
      <w:proofErr w:type="gramEnd"/>
      <w:r w:rsidR="0082437E">
        <w:rPr>
          <w:bCs/>
          <w:color w:val="000000"/>
        </w:rPr>
        <w:t xml:space="preserve">] </w:t>
      </w:r>
      <w:r w:rsidR="0082437E" w:rsidRPr="00132C1D">
        <w:rPr>
          <w:bCs/>
          <w:color w:val="000000"/>
        </w:rPr>
        <w:t>to prove or disprove an alleged fact or evidence having any tendency to make the existence of any fact that is of consequence to the determination of the action more probable or less probable than it would be without the evidence</w:t>
      </w:r>
      <w:r w:rsidR="0082437E">
        <w:rPr>
          <w:bCs/>
          <w:color w:val="000000"/>
        </w:rPr>
        <w:t xml:space="preserve">” </w:t>
      </w:r>
      <w:r w:rsidR="0074701D">
        <w:rPr>
          <w:bCs/>
          <w:color w:val="000000"/>
        </w:rPr>
        <w:t>with regard to</w:t>
      </w:r>
      <w:r w:rsidR="0082437E">
        <w:rPr>
          <w:bCs/>
          <w:color w:val="000000"/>
        </w:rPr>
        <w:t xml:space="preserve"> IDT’s rate were not </w:t>
      </w:r>
      <w:r w:rsidR="0082437E">
        <w:rPr>
          <w:bCs/>
          <w:color w:val="000000"/>
        </w:rPr>
        <w:lastRenderedPageBreak/>
        <w:t xml:space="preserve">charged consistent with its disclosure statement.  </w:t>
      </w:r>
      <w:r w:rsidR="00D861CC">
        <w:rPr>
          <w:bCs/>
          <w:color w:val="000000"/>
        </w:rPr>
        <w:t>Simply because other EGSs may have been charging the rates identified in IDT’s interrogatories does not mean that IDT’s rates were not in excess of what the market would dictate.</w:t>
      </w:r>
      <w:r w:rsidR="0082437E">
        <w:rPr>
          <w:bCs/>
          <w:color w:val="000000"/>
        </w:rPr>
        <w:t xml:space="preserve">  The information sought in interrogatories VI-3 and VI-4 does not seek information that is likely to lead to admissible evidence and, therefore, is not within the bounds of reasonable discovery.  </w:t>
      </w:r>
    </w:p>
    <w:p w:rsidR="00E61BB0" w:rsidRPr="00152801" w:rsidRDefault="00E61BB0" w:rsidP="00E35EFF">
      <w:pPr>
        <w:widowControl w:val="0"/>
        <w:adjustRightInd w:val="0"/>
        <w:spacing w:line="360" w:lineRule="auto"/>
        <w:ind w:firstLine="1440"/>
        <w:rPr>
          <w:bCs/>
          <w:color w:val="000000"/>
        </w:rPr>
      </w:pPr>
    </w:p>
    <w:p w:rsidR="007663F1" w:rsidRPr="00152801" w:rsidRDefault="0082437E" w:rsidP="00165BBB">
      <w:pPr>
        <w:widowControl w:val="0"/>
        <w:adjustRightInd w:val="0"/>
        <w:spacing w:line="360" w:lineRule="auto"/>
        <w:ind w:firstLine="1440"/>
        <w:rPr>
          <w:bCs/>
          <w:color w:val="000000"/>
        </w:rPr>
      </w:pPr>
      <w:r>
        <w:rPr>
          <w:bCs/>
          <w:color w:val="000000"/>
        </w:rPr>
        <w:t xml:space="preserve">IDT’s argument that “clearly, an examination of the rates that were charged in the Pennsylvania marketplace during early 2014 is relevant to the issue of whether the rates IDT charged were in excess of what the market would dictate,” is not the information that is sought in interrogatories </w:t>
      </w:r>
      <w:r w:rsidR="00BD6C79">
        <w:rPr>
          <w:bCs/>
          <w:color w:val="000000"/>
        </w:rPr>
        <w:t xml:space="preserve">VI-3 and VI-4.  The information sought in interrogatories VI-3 and VI-4 is not reflective of “what the market would dictate” because it only includes information from EGSs whose customers complained to the OCA or the OAG.  These are the rates that the market would </w:t>
      </w:r>
      <w:r w:rsidR="00BD6C79" w:rsidRPr="0074701D">
        <w:rPr>
          <w:b/>
          <w:bCs/>
          <w:i/>
          <w:color w:val="000000"/>
        </w:rPr>
        <w:t>not</w:t>
      </w:r>
      <w:r w:rsidR="00BD6C79">
        <w:rPr>
          <w:bCs/>
          <w:color w:val="000000"/>
        </w:rPr>
        <w:t xml:space="preserve"> support because those consumers filed complaints about them.  A</w:t>
      </w:r>
      <w:r w:rsidR="00801B72">
        <w:rPr>
          <w:bCs/>
          <w:color w:val="000000"/>
        </w:rPr>
        <w:t>dditionally, a</w:t>
      </w:r>
      <w:r w:rsidR="00BD6C79">
        <w:rPr>
          <w:bCs/>
          <w:color w:val="000000"/>
        </w:rPr>
        <w:t>pproximately two million households in Pennsylvania have chosen an alternative supplier for electric generation service.  The rates charged to approximately 10,000</w:t>
      </w:r>
      <w:r w:rsidR="0074701D">
        <w:rPr>
          <w:bCs/>
          <w:color w:val="000000"/>
        </w:rPr>
        <w:t xml:space="preserve"> customers who complained to the OCA or OAG</w:t>
      </w:r>
      <w:r w:rsidR="00BD6C79">
        <w:rPr>
          <w:bCs/>
          <w:color w:val="000000"/>
        </w:rPr>
        <w:t>, especially disaggregated at the levels identif</w:t>
      </w:r>
      <w:r w:rsidR="00801B72">
        <w:rPr>
          <w:bCs/>
          <w:color w:val="000000"/>
        </w:rPr>
        <w:t xml:space="preserve">ied by IDT, is not relevant to </w:t>
      </w:r>
      <w:r w:rsidR="00BD6C79">
        <w:rPr>
          <w:bCs/>
          <w:color w:val="000000"/>
        </w:rPr>
        <w:t xml:space="preserve">what the market </w:t>
      </w:r>
      <w:r w:rsidR="00801B72">
        <w:rPr>
          <w:bCs/>
          <w:color w:val="000000"/>
        </w:rPr>
        <w:t>of two million customers would dictate.</w:t>
      </w:r>
    </w:p>
    <w:p w:rsidR="007663F1" w:rsidRPr="00152801" w:rsidRDefault="007663F1" w:rsidP="00165BBB">
      <w:pPr>
        <w:widowControl w:val="0"/>
        <w:adjustRightInd w:val="0"/>
        <w:spacing w:line="360" w:lineRule="auto"/>
        <w:ind w:firstLine="1440"/>
        <w:rPr>
          <w:bCs/>
          <w:color w:val="000000"/>
        </w:rPr>
      </w:pPr>
    </w:p>
    <w:p w:rsidR="00B61387" w:rsidRPr="00152801" w:rsidRDefault="00BD6C79" w:rsidP="00165BBB">
      <w:pPr>
        <w:widowControl w:val="0"/>
        <w:adjustRightInd w:val="0"/>
        <w:spacing w:line="360" w:lineRule="auto"/>
        <w:ind w:firstLine="1440"/>
        <w:rPr>
          <w:bCs/>
          <w:color w:val="000000"/>
        </w:rPr>
      </w:pPr>
      <w:r>
        <w:rPr>
          <w:bCs/>
          <w:color w:val="000000"/>
        </w:rPr>
        <w:t>Finally, b</w:t>
      </w:r>
      <w:r w:rsidR="00B61387" w:rsidRPr="00152801">
        <w:rPr>
          <w:bCs/>
          <w:color w:val="000000"/>
        </w:rPr>
        <w:t xml:space="preserve">ecause we find that interrogatories </w:t>
      </w:r>
      <w:r>
        <w:rPr>
          <w:bCs/>
          <w:color w:val="000000"/>
        </w:rPr>
        <w:t xml:space="preserve">VI-3 and VI-4 </w:t>
      </w:r>
      <w:r w:rsidR="00B61387" w:rsidRPr="00152801">
        <w:rPr>
          <w:bCs/>
          <w:color w:val="000000"/>
        </w:rPr>
        <w:t>are not relevant to the issues raised in this matter because the interrogatories will not lead to relevant information or admissible evidence regarding the allegations against IDT, the issues regarding whether the interrogatories are beyond the scope of permissible discovery because they seek attorney work produ</w:t>
      </w:r>
      <w:r w:rsidR="00451B1F" w:rsidRPr="00152801">
        <w:rPr>
          <w:bCs/>
          <w:color w:val="000000"/>
        </w:rPr>
        <w:t>ct</w:t>
      </w:r>
      <w:r w:rsidR="00B61387" w:rsidRPr="00152801">
        <w:rPr>
          <w:bCs/>
          <w:color w:val="000000"/>
        </w:rPr>
        <w:t xml:space="preserve"> or the information requested in the interrogatories is protected by the “investigative privilege” will not be addressed because they are moot.  It is sufficient to deny IDT’</w:t>
      </w:r>
      <w:r w:rsidR="00DD0E1C" w:rsidRPr="00152801">
        <w:rPr>
          <w:bCs/>
          <w:color w:val="000000"/>
        </w:rPr>
        <w:t>s Motion to Compel because th</w:t>
      </w:r>
      <w:r w:rsidR="00B61387" w:rsidRPr="00152801">
        <w:rPr>
          <w:bCs/>
          <w:color w:val="000000"/>
        </w:rPr>
        <w:t>e</w:t>
      </w:r>
      <w:r w:rsidR="00DD0E1C" w:rsidRPr="00152801">
        <w:rPr>
          <w:bCs/>
          <w:color w:val="000000"/>
        </w:rPr>
        <w:t xml:space="preserve"> </w:t>
      </w:r>
      <w:r w:rsidR="00B61387" w:rsidRPr="00152801">
        <w:rPr>
          <w:bCs/>
          <w:color w:val="000000"/>
        </w:rPr>
        <w:t xml:space="preserve">interrogatories will not lead to relevant information </w:t>
      </w:r>
      <w:r w:rsidR="00DD0E1C" w:rsidRPr="00152801">
        <w:rPr>
          <w:bCs/>
          <w:color w:val="000000"/>
        </w:rPr>
        <w:t>or admissible evidence regarding the allegations against IDT.</w:t>
      </w:r>
    </w:p>
    <w:p w:rsidR="00411A28" w:rsidRPr="00152801" w:rsidRDefault="00411A28" w:rsidP="00C773A3">
      <w:pPr>
        <w:widowControl w:val="0"/>
        <w:adjustRightInd w:val="0"/>
        <w:spacing w:line="360" w:lineRule="auto"/>
        <w:rPr>
          <w:bCs/>
          <w:color w:val="000000"/>
        </w:rPr>
      </w:pPr>
    </w:p>
    <w:p w:rsidR="00C94926" w:rsidRPr="0016253B" w:rsidRDefault="00C94926" w:rsidP="007C6330">
      <w:pPr>
        <w:widowControl w:val="0"/>
        <w:adjustRightInd w:val="0"/>
        <w:spacing w:line="360" w:lineRule="auto"/>
        <w:ind w:firstLine="1440"/>
        <w:rPr>
          <w:bCs/>
          <w:color w:val="000000"/>
        </w:rPr>
      </w:pPr>
      <w:r w:rsidRPr="0016253B">
        <w:rPr>
          <w:bCs/>
          <w:color w:val="000000"/>
        </w:rPr>
        <w:t xml:space="preserve">As such, the Motion to Compel filed by IDT will be denied and the objections to IDT interrogatory </w:t>
      </w:r>
      <w:r w:rsidR="0016253B">
        <w:rPr>
          <w:bCs/>
          <w:color w:val="000000"/>
        </w:rPr>
        <w:t>Set VI-3 and VI-4</w:t>
      </w:r>
      <w:r w:rsidRPr="0016253B">
        <w:rPr>
          <w:bCs/>
          <w:color w:val="000000"/>
        </w:rPr>
        <w:t xml:space="preserve"> filed by the </w:t>
      </w:r>
      <w:r w:rsidR="0016253B">
        <w:rPr>
          <w:bCs/>
          <w:color w:val="000000"/>
        </w:rPr>
        <w:t xml:space="preserve">Joint Complainants </w:t>
      </w:r>
      <w:r w:rsidRPr="0016253B">
        <w:rPr>
          <w:bCs/>
          <w:color w:val="000000"/>
        </w:rPr>
        <w:t xml:space="preserve">will be </w:t>
      </w:r>
      <w:r w:rsidRPr="0016253B">
        <w:rPr>
          <w:bCs/>
          <w:color w:val="000000"/>
        </w:rPr>
        <w:lastRenderedPageBreak/>
        <w:t xml:space="preserve">sustained.  </w:t>
      </w:r>
      <w:r w:rsidR="00BD6C79">
        <w:rPr>
          <w:bCs/>
          <w:color w:val="000000"/>
        </w:rPr>
        <w:t>I</w:t>
      </w:r>
      <w:r w:rsidRPr="0016253B">
        <w:rPr>
          <w:bCs/>
          <w:color w:val="000000"/>
        </w:rPr>
        <w:t xml:space="preserve">nterrogatories </w:t>
      </w:r>
      <w:r w:rsidR="00BD6C79">
        <w:rPr>
          <w:bCs/>
          <w:color w:val="000000"/>
        </w:rPr>
        <w:t xml:space="preserve">VI-3 and VI-4 </w:t>
      </w:r>
      <w:r w:rsidRPr="0016253B">
        <w:rPr>
          <w:bCs/>
          <w:color w:val="000000"/>
        </w:rPr>
        <w:t xml:space="preserve">are not </w:t>
      </w:r>
      <w:r w:rsidR="0016253B">
        <w:rPr>
          <w:bCs/>
          <w:color w:val="000000"/>
        </w:rPr>
        <w:t xml:space="preserve">discoverable </w:t>
      </w:r>
      <w:r w:rsidRPr="0016253B">
        <w:rPr>
          <w:bCs/>
          <w:color w:val="000000"/>
        </w:rPr>
        <w:t>in this matter because the interrogatories will not lead to relevant information or admissible evidence regarding the allegations against IDT.</w:t>
      </w:r>
    </w:p>
    <w:p w:rsidR="00411A28" w:rsidRDefault="00411A28" w:rsidP="00C773A3">
      <w:pPr>
        <w:widowControl w:val="0"/>
        <w:adjustRightInd w:val="0"/>
        <w:spacing w:line="360" w:lineRule="auto"/>
        <w:rPr>
          <w:bCs/>
          <w:color w:val="000000"/>
        </w:rPr>
      </w:pPr>
    </w:p>
    <w:p w:rsidR="00AA5A3B" w:rsidRPr="00C94926" w:rsidRDefault="00FA0DC0" w:rsidP="00FA0DC0">
      <w:pPr>
        <w:spacing w:line="360" w:lineRule="auto"/>
        <w:jc w:val="center"/>
      </w:pPr>
      <w:r w:rsidRPr="00C94926">
        <w:rPr>
          <w:u w:val="single"/>
        </w:rPr>
        <w:t>ORDER</w:t>
      </w:r>
    </w:p>
    <w:p w:rsidR="00FA0DC0" w:rsidRDefault="00FA0DC0" w:rsidP="00E93D93">
      <w:pPr>
        <w:spacing w:line="360" w:lineRule="auto"/>
      </w:pPr>
    </w:p>
    <w:p w:rsidR="00C87618" w:rsidRPr="00C94926" w:rsidRDefault="00C87618" w:rsidP="00E93D93">
      <w:pPr>
        <w:spacing w:line="360" w:lineRule="auto"/>
      </w:pPr>
    </w:p>
    <w:p w:rsidR="006D33B5" w:rsidRPr="00C94926" w:rsidRDefault="006D33B5">
      <w:pPr>
        <w:spacing w:line="360" w:lineRule="auto"/>
        <w:ind w:firstLine="1440"/>
        <w:rPr>
          <w:bCs/>
        </w:rPr>
      </w:pPr>
      <w:r w:rsidRPr="00C94926">
        <w:rPr>
          <w:bCs/>
        </w:rPr>
        <w:t>THEREFORE,</w:t>
      </w:r>
    </w:p>
    <w:p w:rsidR="006D33B5" w:rsidRPr="00C94926" w:rsidRDefault="006D33B5">
      <w:pPr>
        <w:spacing w:line="360" w:lineRule="auto"/>
        <w:ind w:firstLine="1440"/>
      </w:pPr>
    </w:p>
    <w:p w:rsidR="0013770C" w:rsidRPr="00C94926" w:rsidRDefault="006D33B5" w:rsidP="0013770C">
      <w:pPr>
        <w:spacing w:line="360" w:lineRule="auto"/>
        <w:ind w:firstLine="1440"/>
        <w:rPr>
          <w:bCs/>
        </w:rPr>
      </w:pPr>
      <w:r w:rsidRPr="00C94926">
        <w:rPr>
          <w:bCs/>
        </w:rPr>
        <w:t>IT IS ORDERED:</w:t>
      </w:r>
    </w:p>
    <w:p w:rsidR="0013770C" w:rsidRPr="00C94926" w:rsidRDefault="0013770C" w:rsidP="0013770C">
      <w:pPr>
        <w:spacing w:line="360" w:lineRule="auto"/>
        <w:ind w:firstLine="1440"/>
        <w:rPr>
          <w:bCs/>
        </w:rPr>
      </w:pPr>
    </w:p>
    <w:p w:rsidR="009E1D3F" w:rsidRDefault="00143290" w:rsidP="00C94926">
      <w:pPr>
        <w:pStyle w:val="ListParagraph"/>
        <w:numPr>
          <w:ilvl w:val="0"/>
          <w:numId w:val="11"/>
        </w:numPr>
        <w:spacing w:line="360" w:lineRule="auto"/>
        <w:ind w:left="0" w:firstLine="1440"/>
      </w:pPr>
      <w:r w:rsidRPr="00C94926">
        <w:t>That</w:t>
      </w:r>
      <w:r w:rsidR="00144EB5" w:rsidRPr="00C94926">
        <w:t xml:space="preserve"> </w:t>
      </w:r>
      <w:r w:rsidR="009118CE">
        <w:t xml:space="preserve">the </w:t>
      </w:r>
      <w:r w:rsidR="009E1D3F">
        <w:t xml:space="preserve">Motion to Compel of IDT Energy, Inc. against </w:t>
      </w:r>
      <w:r w:rsidR="00700B9E" w:rsidRPr="00C94926">
        <w:t xml:space="preserve">Commonwealth of Pennsylvania, by Attorney General Kathleen G. Kane, through the Bureau of Consumer Protection, and Tanya J. McCloskey, Acting Consumer Advocate, </w:t>
      </w:r>
      <w:r w:rsidR="005C1B4B" w:rsidRPr="00C94926">
        <w:t>at Docket Number C-</w:t>
      </w:r>
      <w:r w:rsidR="00700B9E" w:rsidRPr="00C94926">
        <w:t>2014-242765</w:t>
      </w:r>
      <w:r w:rsidR="00457116">
        <w:t>7</w:t>
      </w:r>
      <w:r w:rsidR="00700B9E" w:rsidRPr="00C94926">
        <w:t xml:space="preserve"> </w:t>
      </w:r>
      <w:r w:rsidR="009E1D3F">
        <w:t xml:space="preserve">dated </w:t>
      </w:r>
      <w:r w:rsidR="0016253B">
        <w:t xml:space="preserve">May 27 </w:t>
      </w:r>
      <w:r w:rsidR="009118CE">
        <w:t xml:space="preserve">seeking Answers to IDT Interrogatories </w:t>
      </w:r>
      <w:r w:rsidR="0016253B">
        <w:t xml:space="preserve">VI-3 and VI-4 </w:t>
      </w:r>
      <w:r w:rsidR="009E1D3F">
        <w:t xml:space="preserve">is hereby denied.  </w:t>
      </w:r>
    </w:p>
    <w:p w:rsidR="009E1D3F" w:rsidRDefault="009E1D3F" w:rsidP="009E1D3F">
      <w:pPr>
        <w:pStyle w:val="ListParagraph"/>
        <w:spacing w:line="360" w:lineRule="auto"/>
        <w:ind w:left="1440"/>
      </w:pPr>
    </w:p>
    <w:p w:rsidR="00444E27" w:rsidRDefault="009118CE" w:rsidP="00444E27">
      <w:pPr>
        <w:pStyle w:val="ListParagraph"/>
        <w:numPr>
          <w:ilvl w:val="0"/>
          <w:numId w:val="11"/>
        </w:numPr>
        <w:spacing w:line="360" w:lineRule="auto"/>
        <w:ind w:left="0" w:firstLine="1440"/>
      </w:pPr>
      <w:r>
        <w:t xml:space="preserve">That the objections of the </w:t>
      </w:r>
      <w:r w:rsidRPr="00C94926">
        <w:t>Commonwealth of Pennsylvania, by Attorney General Kathleen G. Kane, through the Bureau of Consumer Protection, and Tanya J. McCloskey, Acting Consumer Advocate</w:t>
      </w:r>
      <w:r>
        <w:t xml:space="preserve"> are sustained</w:t>
      </w:r>
      <w:r w:rsidR="00033858" w:rsidRPr="00C94926">
        <w:t>.</w:t>
      </w:r>
      <w:r w:rsidR="00C94926" w:rsidRPr="00700B9E">
        <w:t xml:space="preserve"> </w:t>
      </w:r>
    </w:p>
    <w:p w:rsidR="00457116" w:rsidRDefault="00457116" w:rsidP="006D2D64">
      <w:pPr>
        <w:spacing w:line="360" w:lineRule="auto"/>
      </w:pPr>
    </w:p>
    <w:p w:rsidR="009118CE" w:rsidRPr="00550B34" w:rsidRDefault="009118CE" w:rsidP="006D2D64">
      <w:pPr>
        <w:spacing w:line="360" w:lineRule="auto"/>
      </w:pPr>
    </w:p>
    <w:p w:rsidR="00897507" w:rsidRPr="00550B34" w:rsidRDefault="00444E27" w:rsidP="00897507">
      <w:pPr>
        <w:rPr>
          <w:u w:val="single"/>
        </w:rPr>
      </w:pPr>
      <w:r w:rsidRPr="00550B34">
        <w:t xml:space="preserve">Date: </w:t>
      </w:r>
      <w:r w:rsidR="0016253B">
        <w:rPr>
          <w:u w:val="single"/>
        </w:rPr>
        <w:t xml:space="preserve">June </w:t>
      </w:r>
      <w:r w:rsidR="00801B72">
        <w:rPr>
          <w:u w:val="single"/>
        </w:rPr>
        <w:t>9,</w:t>
      </w:r>
      <w:r w:rsidR="0016253B">
        <w:rPr>
          <w:u w:val="single"/>
        </w:rPr>
        <w:t xml:space="preserve"> 2015</w:t>
      </w:r>
      <w:r w:rsidR="0016253B">
        <w:rPr>
          <w:u w:val="single"/>
        </w:rPr>
        <w:tab/>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6D2D64" w:rsidRDefault="00897507" w:rsidP="00444E27">
      <w:r w:rsidRPr="00550B34">
        <w:tab/>
      </w:r>
      <w:r w:rsidRPr="00550B34">
        <w:tab/>
      </w:r>
      <w:r w:rsidRPr="00550B34">
        <w:tab/>
      </w:r>
      <w:r w:rsidRPr="00550B34">
        <w:tab/>
      </w:r>
      <w:r w:rsidRPr="00550B34">
        <w:tab/>
        <w:t>Administrative Law Judge</w:t>
      </w:r>
    </w:p>
    <w:p w:rsidR="00897507" w:rsidRDefault="00897507" w:rsidP="006D2D64">
      <w:pPr>
        <w:spacing w:line="360" w:lineRule="auto"/>
        <w:rPr>
          <w:u w:val="single"/>
        </w:rPr>
      </w:pPr>
    </w:p>
    <w:p w:rsidR="00897507" w:rsidRDefault="00897507" w:rsidP="006D2D64">
      <w:pPr>
        <w:spacing w:line="360" w:lineRule="auto"/>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EC6DE9" w:rsidRDefault="00444E27" w:rsidP="00444E27">
      <w:pPr>
        <w:sectPr w:rsidR="00EC6DE9"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204FD6" w:rsidRPr="00483E47" w:rsidRDefault="00204FD6" w:rsidP="00204FD6">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204FD6" w:rsidRDefault="00204FD6" w:rsidP="00204FD6">
      <w:pPr>
        <w:rPr>
          <w:rFonts w:ascii="Microsoft Sans Serif" w:hAnsi="Microsoft Sans Serif" w:cs="Microsoft Sans Serif"/>
          <w:b/>
          <w:i/>
          <w:u w:val="single"/>
        </w:rPr>
      </w:pPr>
      <w:r w:rsidRPr="00483E47">
        <w:rPr>
          <w:rFonts w:ascii="Microsoft Sans Serif" w:hAnsi="Microsoft Sans Serif" w:cs="Microsoft Sans Serif"/>
          <w:b/>
          <w:u w:val="single"/>
        </w:rPr>
        <w:cr/>
      </w:r>
      <w:proofErr w:type="gramStart"/>
      <w:r>
        <w:rPr>
          <w:rFonts w:ascii="Microsoft Sans Serif" w:hAnsi="Microsoft Sans Serif" w:cs="Microsoft Sans Serif"/>
          <w:b/>
          <w:i/>
          <w:u w:val="single"/>
        </w:rPr>
        <w:t>REVISED  04</w:t>
      </w:r>
      <w:proofErr w:type="gramEnd"/>
      <w:r>
        <w:rPr>
          <w:rFonts w:ascii="Microsoft Sans Serif" w:hAnsi="Microsoft Sans Serif" w:cs="Microsoft Sans Serif"/>
          <w:b/>
          <w:i/>
          <w:u w:val="single"/>
        </w:rPr>
        <w:t>/17/15</w:t>
      </w:r>
    </w:p>
    <w:p w:rsidR="005A0F79" w:rsidRDefault="005A0F79" w:rsidP="00204FD6">
      <w:pPr>
        <w:rPr>
          <w:rFonts w:ascii="Microsoft Sans Serif" w:hAnsi="Microsoft Sans Serif" w:cs="Microsoft Sans Serif"/>
          <w:b/>
          <w:i/>
          <w:u w:val="single"/>
        </w:rPr>
      </w:pPr>
    </w:p>
    <w:p w:rsidR="005A0F79" w:rsidRDefault="005A0F79" w:rsidP="00204FD6">
      <w:pPr>
        <w:rPr>
          <w:rFonts w:ascii="Microsoft Sans Serif" w:hAnsi="Microsoft Sans Serif" w:cs="Microsoft Sans Serif"/>
          <w:b/>
          <w:i/>
          <w:u w:val="single"/>
        </w:rPr>
      </w:pPr>
    </w:p>
    <w:p w:rsidR="005A0F79" w:rsidRDefault="005A0F79" w:rsidP="00204FD6">
      <w:pPr>
        <w:rPr>
          <w:rFonts w:ascii="Microsoft Sans Serif" w:hAnsi="Microsoft Sans Serif" w:cs="Microsoft Sans Serif"/>
        </w:rPr>
        <w:sectPr w:rsidR="005A0F79" w:rsidSect="00713D64">
          <w:footerReference w:type="default" r:id="rId10"/>
          <w:pgSz w:w="12240" w:h="15840"/>
          <w:pgMar w:top="1440" w:right="1800" w:bottom="1440" w:left="1800" w:header="720" w:footer="720" w:gutter="0"/>
          <w:cols w:space="720"/>
          <w:titlePg/>
        </w:sectPr>
      </w:pPr>
    </w:p>
    <w:p w:rsidR="00204FD6" w:rsidRPr="00483E47" w:rsidRDefault="00204FD6" w:rsidP="00204FD6">
      <w:pPr>
        <w:rPr>
          <w:rFonts w:ascii="Microsoft Sans Serif" w:hAnsi="Microsoft Sans Serif" w:cs="Microsoft Sans Serif"/>
        </w:rPr>
      </w:pPr>
      <w:r w:rsidRPr="00483E47">
        <w:rPr>
          <w:rFonts w:ascii="Microsoft Sans Serif" w:hAnsi="Microsoft Sans Serif" w:cs="Microsoft Sans Serif"/>
        </w:rPr>
        <w:lastRenderedPageBreak/>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204FD6" w:rsidRPr="00483E47" w:rsidRDefault="00204FD6" w:rsidP="00204FD6">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204FD6" w:rsidRPr="00B96E34" w:rsidRDefault="00204FD6" w:rsidP="00204FD6">
      <w:pPr>
        <w:rPr>
          <w:rFonts w:ascii="Microsoft Sans Serif" w:hAnsi="Microsoft Sans Serif" w:cs="Microsoft Sans Serif"/>
          <w:b/>
          <w:i/>
          <w:u w:val="single"/>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 xml:space="preserve">OFFICE OF </w:t>
      </w:r>
      <w:r>
        <w:rPr>
          <w:rFonts w:ascii="Microsoft Sans Serif" w:hAnsi="Microsoft Sans Serif" w:cs="Microsoft Sans Serif"/>
        </w:rPr>
        <w:t>SMALL BUSINESS ADVOCATE</w:t>
      </w:r>
      <w:r>
        <w:rPr>
          <w:rFonts w:ascii="Microsoft Sans Serif" w:hAnsi="Microsoft Sans Serif" w:cs="Microsoft Sans Serif"/>
        </w:rPr>
        <w:cr/>
        <w:t>SUITE 2</w:t>
      </w:r>
      <w:r w:rsidRPr="00483E47">
        <w:rPr>
          <w:rFonts w:ascii="Microsoft Sans Serif" w:hAnsi="Microsoft Sans Serif" w:cs="Microsoft Sans Serif"/>
        </w:rPr>
        <w:t>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 xml:space="preserve">HARRISBURG PA </w:t>
      </w:r>
      <w:r>
        <w:rPr>
          <w:rFonts w:ascii="Microsoft Sans Serif" w:hAnsi="Microsoft Sans Serif" w:cs="Microsoft Sans Serif"/>
        </w:rPr>
        <w:t xml:space="preserve"> 17101</w:t>
      </w:r>
    </w:p>
    <w:p w:rsidR="00204FD6" w:rsidRDefault="00204FD6" w:rsidP="00204FD6">
      <w:pPr>
        <w:rPr>
          <w:rFonts w:ascii="Microsoft Sans Serif" w:hAnsi="Microsoft Sans Serif" w:cs="Microsoft Sans Serif"/>
        </w:rPr>
      </w:pPr>
    </w:p>
    <w:p w:rsidR="00204FD6" w:rsidRDefault="00204FD6" w:rsidP="00204FD6">
      <w:pPr>
        <w:rPr>
          <w:rFonts w:ascii="Microsoft Sans Serif" w:hAnsi="Microsoft Sans Serif" w:cs="Microsoft Sans Serif"/>
        </w:rPr>
      </w:pPr>
      <w:r>
        <w:rPr>
          <w:rFonts w:ascii="Microsoft Sans Serif" w:hAnsi="Microsoft Sans Serif" w:cs="Microsoft Sans Serif"/>
        </w:rPr>
        <w:t>WAYNE STOUGHTON ESQUIRE</w:t>
      </w:r>
    </w:p>
    <w:p w:rsidR="00204FD6" w:rsidRDefault="00204FD6" w:rsidP="00204FD6">
      <w:pPr>
        <w:rPr>
          <w:rFonts w:ascii="Microsoft Sans Serif" w:hAnsi="Microsoft Sans Serif" w:cs="Microsoft Sans Serif"/>
        </w:rPr>
      </w:pPr>
      <w:r>
        <w:rPr>
          <w:rFonts w:ascii="Microsoft Sans Serif" w:hAnsi="Microsoft Sans Serif" w:cs="Microsoft Sans Serif"/>
        </w:rPr>
        <w:t>IDT ENERGY INC</w:t>
      </w:r>
    </w:p>
    <w:p w:rsidR="00204FD6" w:rsidRDefault="00204FD6" w:rsidP="00204FD6">
      <w:pPr>
        <w:rPr>
          <w:rFonts w:ascii="Microsoft Sans Serif" w:hAnsi="Microsoft Sans Serif" w:cs="Microsoft Sans Serif"/>
        </w:rPr>
      </w:pPr>
      <w:r>
        <w:rPr>
          <w:rFonts w:ascii="Microsoft Sans Serif" w:hAnsi="Microsoft Sans Serif" w:cs="Microsoft Sans Serif"/>
        </w:rPr>
        <w:t>20 WEST THIRD STREET SUITE 10</w:t>
      </w:r>
    </w:p>
    <w:p w:rsidR="00204FD6" w:rsidRDefault="00204FD6" w:rsidP="00204FD6">
      <w:pPr>
        <w:rPr>
          <w:rFonts w:ascii="Microsoft Sans Serif" w:hAnsi="Microsoft Sans Serif" w:cs="Microsoft Sans Serif"/>
        </w:rPr>
      </w:pPr>
      <w:r>
        <w:rPr>
          <w:rFonts w:ascii="Microsoft Sans Serif" w:hAnsi="Microsoft Sans Serif" w:cs="Microsoft Sans Serif"/>
        </w:rPr>
        <w:t>JAMESTOWN NY  14702-0400</w:t>
      </w:r>
    </w:p>
    <w:p w:rsidR="00204FD6" w:rsidRDefault="00204FD6" w:rsidP="00204FD6">
      <w:pPr>
        <w:rPr>
          <w:rFonts w:ascii="Microsoft Sans Serif" w:hAnsi="Microsoft Sans Serif" w:cs="Microsoft Sans Serif"/>
        </w:rPr>
      </w:pPr>
    </w:p>
    <w:p w:rsidR="00204FD6" w:rsidRDefault="00204FD6" w:rsidP="00204FD6">
      <w:pPr>
        <w:rPr>
          <w:rFonts w:ascii="Microsoft Sans Serif" w:hAnsi="Microsoft Sans Serif" w:cs="Microsoft Sans Serif"/>
        </w:rPr>
      </w:pPr>
      <w:r>
        <w:rPr>
          <w:rFonts w:ascii="Microsoft Sans Serif" w:hAnsi="Microsoft Sans Serif" w:cs="Microsoft Sans Serif"/>
        </w:rPr>
        <w:t>WAYNE T SCOTT ESQUIRE</w:t>
      </w:r>
    </w:p>
    <w:p w:rsidR="00204FD6" w:rsidRDefault="00204FD6" w:rsidP="00204FD6">
      <w:pPr>
        <w:rPr>
          <w:rFonts w:ascii="Microsoft Sans Serif" w:hAnsi="Microsoft Sans Serif" w:cs="Microsoft Sans Serif"/>
        </w:rPr>
      </w:pPr>
      <w:r>
        <w:rPr>
          <w:rFonts w:ascii="Microsoft Sans Serif" w:hAnsi="Microsoft Sans Serif" w:cs="Microsoft Sans Serif"/>
        </w:rPr>
        <w:t>MICHAEL SWINDLER ESQUIRE</w:t>
      </w:r>
    </w:p>
    <w:p w:rsidR="00204FD6" w:rsidRDefault="00204FD6" w:rsidP="00204FD6">
      <w:pPr>
        <w:rPr>
          <w:rFonts w:ascii="Microsoft Sans Serif" w:hAnsi="Microsoft Sans Serif" w:cs="Microsoft Sans Serif"/>
        </w:rPr>
      </w:pPr>
      <w:r w:rsidRPr="00B96E34">
        <w:rPr>
          <w:rFonts w:ascii="Microsoft Sans Serif" w:hAnsi="Microsoft Sans Serif" w:cs="Microsoft Sans Serif"/>
        </w:rPr>
        <w:t>STEPHANIE WIMER ESQUIRE</w:t>
      </w:r>
    </w:p>
    <w:p w:rsidR="00204FD6" w:rsidRPr="00B96E34" w:rsidRDefault="00204FD6" w:rsidP="00204FD6">
      <w:pPr>
        <w:rPr>
          <w:rFonts w:ascii="Microsoft Sans Serif" w:hAnsi="Microsoft Sans Serif" w:cs="Microsoft Sans Serif"/>
        </w:rPr>
      </w:pPr>
      <w:r>
        <w:rPr>
          <w:rFonts w:ascii="Microsoft Sans Serif" w:hAnsi="Microsoft Sans Serif" w:cs="Microsoft Sans Serif"/>
        </w:rPr>
        <w:t>KOURTNEY MYERS ESQUIRE</w:t>
      </w:r>
    </w:p>
    <w:p w:rsidR="00204FD6" w:rsidRPr="00B96E34" w:rsidRDefault="00204FD6" w:rsidP="00204FD6">
      <w:pPr>
        <w:rPr>
          <w:rFonts w:ascii="Microsoft Sans Serif" w:hAnsi="Microsoft Sans Serif" w:cs="Microsoft Sans Serif"/>
        </w:rPr>
      </w:pPr>
      <w:r w:rsidRPr="00B96E34">
        <w:rPr>
          <w:rFonts w:ascii="Microsoft Sans Serif" w:hAnsi="Microsoft Sans Serif" w:cs="Microsoft Sans Serif"/>
        </w:rPr>
        <w:t>PA PUC LAW BUREAU</w:t>
      </w:r>
      <w:r>
        <w:rPr>
          <w:rFonts w:ascii="Microsoft Sans Serif" w:hAnsi="Microsoft Sans Serif" w:cs="Microsoft Sans Serif"/>
        </w:rPr>
        <w:t xml:space="preserve"> BI&amp;E</w:t>
      </w:r>
    </w:p>
    <w:p w:rsidR="00204FD6" w:rsidRPr="00B96E34" w:rsidRDefault="00204FD6" w:rsidP="00204FD6">
      <w:pPr>
        <w:rPr>
          <w:rFonts w:ascii="Microsoft Sans Serif" w:hAnsi="Microsoft Sans Serif" w:cs="Microsoft Sans Serif"/>
        </w:rPr>
      </w:pPr>
      <w:r w:rsidRPr="00B96E34">
        <w:rPr>
          <w:rFonts w:ascii="Microsoft Sans Serif" w:hAnsi="Microsoft Sans Serif" w:cs="Microsoft Sans Serif"/>
        </w:rPr>
        <w:t>PO BOX 3265</w:t>
      </w:r>
    </w:p>
    <w:p w:rsidR="00204FD6" w:rsidRPr="00B96E34" w:rsidRDefault="00204FD6" w:rsidP="00204FD6">
      <w:pPr>
        <w:rPr>
          <w:rFonts w:ascii="Microsoft Sans Serif" w:hAnsi="Microsoft Sans Serif" w:cs="Microsoft Sans Serif"/>
        </w:rPr>
      </w:pPr>
      <w:r w:rsidRPr="00B96E34">
        <w:rPr>
          <w:rFonts w:ascii="Microsoft Sans Serif" w:hAnsi="Microsoft Sans Serif" w:cs="Microsoft Sans Serif"/>
        </w:rPr>
        <w:t>HARRISBURG PA  17105-3265</w:t>
      </w:r>
    </w:p>
    <w:p w:rsidR="00204FD6" w:rsidRPr="00B96E34" w:rsidRDefault="00204FD6" w:rsidP="00204FD6">
      <w:pPr>
        <w:rPr>
          <w:rFonts w:ascii="Microsoft Sans Serif" w:hAnsi="Microsoft Sans Serif" w:cs="Microsoft Sans Serif"/>
          <w:b/>
          <w:i/>
          <w:u w:val="single"/>
        </w:rPr>
      </w:pPr>
      <w:r w:rsidRPr="00B96E34">
        <w:rPr>
          <w:rFonts w:ascii="Microsoft Sans Serif" w:hAnsi="Microsoft Sans Serif" w:cs="Microsoft Sans Serif"/>
          <w:b/>
          <w:i/>
          <w:u w:val="single"/>
        </w:rPr>
        <w:t>Accepts eService</w:t>
      </w:r>
    </w:p>
    <w:p w:rsidR="00204FD6" w:rsidRDefault="00204FD6" w:rsidP="00204FD6">
      <w:pPr>
        <w:rPr>
          <w:rFonts w:ascii="Microsoft Sans Serif" w:hAnsi="Microsoft Sans Serif" w:cs="Microsoft Sans Serif"/>
        </w:rPr>
      </w:pPr>
    </w:p>
    <w:p w:rsidR="005A0F79" w:rsidRDefault="005A0F79" w:rsidP="00204FD6">
      <w:pPr>
        <w:rPr>
          <w:rFonts w:ascii="Microsoft Sans Serif" w:hAnsi="Microsoft Sans Serif" w:cs="Microsoft Sans Serif"/>
        </w:rPr>
      </w:pPr>
    </w:p>
    <w:p w:rsidR="005A0F79" w:rsidRDefault="005A0F79" w:rsidP="00204FD6">
      <w:pPr>
        <w:rPr>
          <w:rFonts w:ascii="Microsoft Sans Serif" w:hAnsi="Microsoft Sans Serif" w:cs="Microsoft Sans Serif"/>
        </w:rPr>
      </w:pPr>
    </w:p>
    <w:p w:rsidR="005A0F79" w:rsidRDefault="005A0F79" w:rsidP="00204FD6">
      <w:pPr>
        <w:rPr>
          <w:rFonts w:ascii="Microsoft Sans Serif" w:hAnsi="Microsoft Sans Serif" w:cs="Microsoft Sans Serif"/>
        </w:rPr>
      </w:pPr>
    </w:p>
    <w:p w:rsidR="00204FD6" w:rsidRDefault="00204FD6" w:rsidP="00204FD6">
      <w:pPr>
        <w:rPr>
          <w:rFonts w:ascii="Microsoft Sans Serif" w:hAnsi="Microsoft Sans Serif" w:cs="Microsoft Sans Serif"/>
        </w:rPr>
      </w:pPr>
      <w:r>
        <w:rPr>
          <w:rFonts w:ascii="Microsoft Sans Serif" w:hAnsi="Microsoft Sans Serif" w:cs="Microsoft Sans Serif"/>
        </w:rPr>
        <w:lastRenderedPageBreak/>
        <w:t>MICHAEL A GRUIN ESQUIRE</w:t>
      </w:r>
    </w:p>
    <w:p w:rsidR="00AE4BCC" w:rsidRDefault="00204FD6" w:rsidP="00204FD6">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w:t>
      </w:r>
    </w:p>
    <w:p w:rsidR="00204FD6" w:rsidRDefault="00204FD6" w:rsidP="00204FD6">
      <w:pPr>
        <w:rPr>
          <w:rFonts w:ascii="Microsoft Sans Serif" w:hAnsi="Microsoft Sans Serif" w:cs="Microsoft Sans Serif"/>
        </w:rPr>
      </w:pPr>
      <w:bookmarkStart w:id="3" w:name="_GoBack"/>
      <w:bookmarkEnd w:id="3"/>
      <w:r>
        <w:rPr>
          <w:rFonts w:ascii="Microsoft Sans Serif" w:hAnsi="Microsoft Sans Serif" w:cs="Microsoft Sans Serif"/>
        </w:rPr>
        <w:t>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FLOOR</w:t>
      </w:r>
    </w:p>
    <w:p w:rsidR="00204FD6" w:rsidRPr="00F54512" w:rsidRDefault="00204FD6" w:rsidP="00204FD6">
      <w:pPr>
        <w:rPr>
          <w:rFonts w:ascii="Microsoft Sans Serif" w:hAnsi="Microsoft Sans Serif" w:cs="Microsoft Sans Serif"/>
        </w:rPr>
      </w:pPr>
      <w:r>
        <w:rPr>
          <w:rFonts w:ascii="Microsoft Sans Serif" w:hAnsi="Microsoft Sans Serif" w:cs="Microsoft Sans Serif"/>
        </w:rPr>
        <w:t>HARRISBURG PA  17101</w:t>
      </w:r>
    </w:p>
    <w:p w:rsidR="00204FD6" w:rsidRDefault="00204FD6" w:rsidP="00204FD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204FD6" w:rsidRDefault="00204FD6" w:rsidP="00204FD6">
      <w:pPr>
        <w:rPr>
          <w:rFonts w:ascii="Microsoft Sans Serif" w:hAnsi="Microsoft Sans Serif" w:cs="Microsoft Sans Serif"/>
          <w:b/>
          <w:i/>
          <w:u w:val="single"/>
        </w:rPr>
      </w:pPr>
    </w:p>
    <w:p w:rsidR="00204FD6" w:rsidRDefault="00204FD6" w:rsidP="00204FD6">
      <w:pPr>
        <w:rPr>
          <w:rFonts w:ascii="Microsoft Sans Serif" w:hAnsi="Microsoft Sans Serif" w:cs="Microsoft Sans Serif"/>
        </w:rPr>
      </w:pPr>
      <w:r>
        <w:rPr>
          <w:rFonts w:ascii="Microsoft Sans Serif" w:hAnsi="Microsoft Sans Serif" w:cs="Microsoft Sans Serif"/>
        </w:rPr>
        <w:t>JONATHAN SHUB ESQUIRE</w:t>
      </w:r>
    </w:p>
    <w:p w:rsidR="00204FD6" w:rsidRDefault="00204FD6" w:rsidP="00204FD6">
      <w:pPr>
        <w:rPr>
          <w:rFonts w:ascii="Microsoft Sans Serif" w:hAnsi="Microsoft Sans Serif" w:cs="Microsoft Sans Serif"/>
        </w:rPr>
      </w:pPr>
      <w:r>
        <w:rPr>
          <w:rFonts w:ascii="Microsoft Sans Serif" w:hAnsi="Microsoft Sans Serif" w:cs="Microsoft Sans Serif"/>
        </w:rPr>
        <w:t>KOHN SWIFT &amp; GRAF PC</w:t>
      </w:r>
    </w:p>
    <w:p w:rsidR="00204FD6" w:rsidRDefault="00204FD6" w:rsidP="00204FD6">
      <w:pPr>
        <w:rPr>
          <w:rFonts w:ascii="Microsoft Sans Serif" w:hAnsi="Microsoft Sans Serif" w:cs="Microsoft Sans Serif"/>
        </w:rPr>
      </w:pPr>
      <w:r>
        <w:rPr>
          <w:rFonts w:ascii="Microsoft Sans Serif" w:hAnsi="Microsoft Sans Serif" w:cs="Microsoft Sans Serif"/>
        </w:rPr>
        <w:t>ONE SOUTH BROAD STREET SUITE 2100</w:t>
      </w:r>
    </w:p>
    <w:p w:rsidR="00204FD6" w:rsidRDefault="00204FD6" w:rsidP="00204FD6">
      <w:pPr>
        <w:rPr>
          <w:rFonts w:ascii="Microsoft Sans Serif" w:hAnsi="Microsoft Sans Serif" w:cs="Microsoft Sans Serif"/>
        </w:rPr>
      </w:pPr>
      <w:r>
        <w:rPr>
          <w:rFonts w:ascii="Microsoft Sans Serif" w:hAnsi="Microsoft Sans Serif" w:cs="Microsoft Sans Serif"/>
        </w:rPr>
        <w:t>PHILADELPHIA PA  19107</w:t>
      </w:r>
    </w:p>
    <w:p w:rsidR="00204FD6" w:rsidRDefault="00204FD6" w:rsidP="00204FD6">
      <w:pPr>
        <w:rPr>
          <w:rFonts w:ascii="Microsoft Sans Serif" w:hAnsi="Microsoft Sans Serif" w:cs="Microsoft Sans Serif"/>
        </w:rPr>
      </w:pPr>
      <w:r>
        <w:rPr>
          <w:rFonts w:ascii="Microsoft Sans Serif" w:hAnsi="Microsoft Sans Serif" w:cs="Microsoft Sans Serif"/>
        </w:rPr>
        <w:t>TROY M FREDERICK ESQUIRE</w:t>
      </w:r>
    </w:p>
    <w:p w:rsidR="00204FD6" w:rsidRDefault="00204FD6" w:rsidP="00204FD6">
      <w:pPr>
        <w:rPr>
          <w:rFonts w:ascii="Microsoft Sans Serif" w:hAnsi="Microsoft Sans Serif" w:cs="Microsoft Sans Serif"/>
        </w:rPr>
      </w:pPr>
      <w:r>
        <w:rPr>
          <w:rFonts w:ascii="Microsoft Sans Serif" w:hAnsi="Microsoft Sans Serif" w:cs="Microsoft Sans Serif"/>
        </w:rPr>
        <w:t>MARCUS &amp; MACK PC</w:t>
      </w:r>
    </w:p>
    <w:p w:rsidR="00204FD6" w:rsidRDefault="00204FD6" w:rsidP="00204FD6">
      <w:pPr>
        <w:rPr>
          <w:rFonts w:ascii="Microsoft Sans Serif" w:hAnsi="Microsoft Sans Serif" w:cs="Microsoft Sans Serif"/>
        </w:rPr>
      </w:pPr>
      <w:r>
        <w:rPr>
          <w:rFonts w:ascii="Microsoft Sans Serif" w:hAnsi="Microsoft Sans Serif" w:cs="Microsoft Sans Serif"/>
        </w:rPr>
        <w:t>57 SOUTH SIXTH STREET</w:t>
      </w:r>
    </w:p>
    <w:p w:rsidR="00204FD6" w:rsidRDefault="00204FD6" w:rsidP="00204FD6">
      <w:pPr>
        <w:rPr>
          <w:rFonts w:ascii="Microsoft Sans Serif" w:hAnsi="Microsoft Sans Serif" w:cs="Microsoft Sans Serif"/>
        </w:rPr>
      </w:pPr>
      <w:r>
        <w:rPr>
          <w:rFonts w:ascii="Microsoft Sans Serif" w:hAnsi="Microsoft Sans Serif" w:cs="Microsoft Sans Serif"/>
        </w:rPr>
        <w:t>INDIANA PA 15701</w:t>
      </w:r>
    </w:p>
    <w:p w:rsidR="00444E27" w:rsidRPr="005A0F79" w:rsidRDefault="00204FD6" w:rsidP="00444E27">
      <w:pPr>
        <w:rPr>
          <w:rFonts w:ascii="Microsoft Sans Serif" w:hAnsi="Microsoft Sans Serif" w:cs="Microsoft Sans Serif"/>
          <w:b/>
          <w:i/>
          <w:u w:val="single"/>
        </w:rPr>
      </w:pPr>
      <w:r>
        <w:rPr>
          <w:rFonts w:ascii="Microsoft Sans Serif" w:hAnsi="Microsoft Sans Serif" w:cs="Microsoft Sans Serif"/>
          <w:b/>
          <w:i/>
          <w:u w:val="single"/>
        </w:rPr>
        <w:t>Accepts eService</w:t>
      </w:r>
    </w:p>
    <w:sectPr w:rsidR="00444E27" w:rsidRPr="005A0F79" w:rsidSect="005A0F79">
      <w:type w:val="continuous"/>
      <w:pgSz w:w="12240" w:h="15840"/>
      <w:pgMar w:top="1440" w:right="1800" w:bottom="1440" w:left="1800"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99" w:rsidRDefault="00444999">
      <w:r>
        <w:separator/>
      </w:r>
    </w:p>
  </w:endnote>
  <w:endnote w:type="continuationSeparator" w:id="0">
    <w:p w:rsidR="00444999" w:rsidRDefault="0044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D2D64">
      <w:rPr>
        <w:rStyle w:val="PageNumber"/>
        <w:noProof/>
        <w:sz w:val="23"/>
        <w:szCs w:val="23"/>
      </w:rPr>
      <w:t>8</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79" w:rsidRPr="003C02CC" w:rsidRDefault="005A0F79">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99" w:rsidRDefault="00444999">
      <w:r>
        <w:separator/>
      </w:r>
    </w:p>
  </w:footnote>
  <w:footnote w:type="continuationSeparator" w:id="0">
    <w:p w:rsidR="00444999" w:rsidRDefault="00444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9E91048"/>
    <w:multiLevelType w:val="hybridMultilevel"/>
    <w:tmpl w:val="407AD322"/>
    <w:lvl w:ilvl="0" w:tplc="75BAEC06">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E49FD"/>
    <w:multiLevelType w:val="hybridMultilevel"/>
    <w:tmpl w:val="6D802698"/>
    <w:lvl w:ilvl="0" w:tplc="5E5C73AE">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2250CFC"/>
    <w:multiLevelType w:val="hybridMultilevel"/>
    <w:tmpl w:val="BDA62D52"/>
    <w:lvl w:ilvl="0" w:tplc="202ED9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B1000"/>
    <w:multiLevelType w:val="hybridMultilevel"/>
    <w:tmpl w:val="ED94D8B2"/>
    <w:lvl w:ilvl="0" w:tplc="54B07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20"/>
  </w:num>
  <w:num w:numId="5">
    <w:abstractNumId w:val="4"/>
  </w:num>
  <w:num w:numId="6">
    <w:abstractNumId w:val="25"/>
  </w:num>
  <w:num w:numId="7">
    <w:abstractNumId w:val="1"/>
  </w:num>
  <w:num w:numId="8">
    <w:abstractNumId w:val="14"/>
  </w:num>
  <w:num w:numId="9">
    <w:abstractNumId w:val="8"/>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1"/>
  </w:num>
  <w:num w:numId="17">
    <w:abstractNumId w:val="13"/>
  </w:num>
  <w:num w:numId="18">
    <w:abstractNumId w:val="5"/>
  </w:num>
  <w:num w:numId="19">
    <w:abstractNumId w:val="16"/>
  </w:num>
  <w:num w:numId="20">
    <w:abstractNumId w:val="3"/>
  </w:num>
  <w:num w:numId="21">
    <w:abstractNumId w:val="23"/>
  </w:num>
  <w:num w:numId="22">
    <w:abstractNumId w:val="21"/>
  </w:num>
  <w:num w:numId="23">
    <w:abstractNumId w:val="6"/>
  </w:num>
  <w:num w:numId="24">
    <w:abstractNumId w:val="12"/>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8BB"/>
    <w:rsid w:val="000468CD"/>
    <w:rsid w:val="00046A20"/>
    <w:rsid w:val="00050489"/>
    <w:rsid w:val="00050AF1"/>
    <w:rsid w:val="00054540"/>
    <w:rsid w:val="00054A10"/>
    <w:rsid w:val="00055FCB"/>
    <w:rsid w:val="00060BB1"/>
    <w:rsid w:val="000619B7"/>
    <w:rsid w:val="00063F87"/>
    <w:rsid w:val="00073240"/>
    <w:rsid w:val="00080E54"/>
    <w:rsid w:val="00081A6A"/>
    <w:rsid w:val="000851FC"/>
    <w:rsid w:val="00086119"/>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478"/>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2C1D"/>
    <w:rsid w:val="0013576E"/>
    <w:rsid w:val="0013770C"/>
    <w:rsid w:val="00140883"/>
    <w:rsid w:val="00141DCE"/>
    <w:rsid w:val="00142EE0"/>
    <w:rsid w:val="00143290"/>
    <w:rsid w:val="00143E03"/>
    <w:rsid w:val="001441F9"/>
    <w:rsid w:val="00144EB5"/>
    <w:rsid w:val="001506A4"/>
    <w:rsid w:val="00150EA2"/>
    <w:rsid w:val="00152801"/>
    <w:rsid w:val="00153529"/>
    <w:rsid w:val="001547B2"/>
    <w:rsid w:val="001611E5"/>
    <w:rsid w:val="00161B02"/>
    <w:rsid w:val="0016253B"/>
    <w:rsid w:val="00165BBB"/>
    <w:rsid w:val="001714A2"/>
    <w:rsid w:val="001767DF"/>
    <w:rsid w:val="00181BAB"/>
    <w:rsid w:val="00182ECA"/>
    <w:rsid w:val="00187495"/>
    <w:rsid w:val="00187940"/>
    <w:rsid w:val="0019006F"/>
    <w:rsid w:val="001900E6"/>
    <w:rsid w:val="00190843"/>
    <w:rsid w:val="00190A4E"/>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D75A1"/>
    <w:rsid w:val="001E0583"/>
    <w:rsid w:val="001E1EC3"/>
    <w:rsid w:val="001E1EE6"/>
    <w:rsid w:val="001E41F1"/>
    <w:rsid w:val="001E755C"/>
    <w:rsid w:val="001F24B7"/>
    <w:rsid w:val="001F3A9F"/>
    <w:rsid w:val="001F3D60"/>
    <w:rsid w:val="001F59C0"/>
    <w:rsid w:val="0020025C"/>
    <w:rsid w:val="00201F77"/>
    <w:rsid w:val="002026C5"/>
    <w:rsid w:val="0020309A"/>
    <w:rsid w:val="00204FD6"/>
    <w:rsid w:val="002060AC"/>
    <w:rsid w:val="002069A1"/>
    <w:rsid w:val="00212459"/>
    <w:rsid w:val="0021277F"/>
    <w:rsid w:val="0021292A"/>
    <w:rsid w:val="002164E5"/>
    <w:rsid w:val="00217594"/>
    <w:rsid w:val="0022121D"/>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49B8"/>
    <w:rsid w:val="002860B7"/>
    <w:rsid w:val="0028706B"/>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2E37"/>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46E4"/>
    <w:rsid w:val="003C50EB"/>
    <w:rsid w:val="003C5E8A"/>
    <w:rsid w:val="003C66F8"/>
    <w:rsid w:val="003D419D"/>
    <w:rsid w:val="003E04E8"/>
    <w:rsid w:val="003E3839"/>
    <w:rsid w:val="003E44F8"/>
    <w:rsid w:val="003E68ED"/>
    <w:rsid w:val="003F0F78"/>
    <w:rsid w:val="003F21D9"/>
    <w:rsid w:val="003F49DD"/>
    <w:rsid w:val="003F68D9"/>
    <w:rsid w:val="003F6945"/>
    <w:rsid w:val="00402EB0"/>
    <w:rsid w:val="00407622"/>
    <w:rsid w:val="004105C9"/>
    <w:rsid w:val="00411A28"/>
    <w:rsid w:val="00413065"/>
    <w:rsid w:val="00415EAE"/>
    <w:rsid w:val="00420AC1"/>
    <w:rsid w:val="00421C2E"/>
    <w:rsid w:val="00423069"/>
    <w:rsid w:val="00427BB1"/>
    <w:rsid w:val="004327EC"/>
    <w:rsid w:val="00436D29"/>
    <w:rsid w:val="0044078D"/>
    <w:rsid w:val="004417F1"/>
    <w:rsid w:val="00444026"/>
    <w:rsid w:val="004441EB"/>
    <w:rsid w:val="00444999"/>
    <w:rsid w:val="00444E27"/>
    <w:rsid w:val="00445419"/>
    <w:rsid w:val="004464B4"/>
    <w:rsid w:val="00446AEA"/>
    <w:rsid w:val="004479DE"/>
    <w:rsid w:val="004509B5"/>
    <w:rsid w:val="00451B1F"/>
    <w:rsid w:val="00451DD1"/>
    <w:rsid w:val="00457116"/>
    <w:rsid w:val="0046363A"/>
    <w:rsid w:val="004677A9"/>
    <w:rsid w:val="0046782D"/>
    <w:rsid w:val="00476814"/>
    <w:rsid w:val="0048022D"/>
    <w:rsid w:val="00484CA9"/>
    <w:rsid w:val="00485942"/>
    <w:rsid w:val="00487C67"/>
    <w:rsid w:val="0049010E"/>
    <w:rsid w:val="004907E0"/>
    <w:rsid w:val="00491200"/>
    <w:rsid w:val="004A3C0F"/>
    <w:rsid w:val="004A44C7"/>
    <w:rsid w:val="004A6217"/>
    <w:rsid w:val="004A744B"/>
    <w:rsid w:val="004A7D95"/>
    <w:rsid w:val="004B12AD"/>
    <w:rsid w:val="004B3128"/>
    <w:rsid w:val="004B66DA"/>
    <w:rsid w:val="004B73DA"/>
    <w:rsid w:val="004C0C8D"/>
    <w:rsid w:val="004C19EA"/>
    <w:rsid w:val="004C2CF0"/>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07F9F"/>
    <w:rsid w:val="00511327"/>
    <w:rsid w:val="00511838"/>
    <w:rsid w:val="0051332A"/>
    <w:rsid w:val="005173E3"/>
    <w:rsid w:val="0052063B"/>
    <w:rsid w:val="00522D71"/>
    <w:rsid w:val="00526B7E"/>
    <w:rsid w:val="0053143A"/>
    <w:rsid w:val="00531C6A"/>
    <w:rsid w:val="0053303C"/>
    <w:rsid w:val="0053542E"/>
    <w:rsid w:val="00535728"/>
    <w:rsid w:val="00535B47"/>
    <w:rsid w:val="00540A9D"/>
    <w:rsid w:val="00541FA5"/>
    <w:rsid w:val="00543310"/>
    <w:rsid w:val="00546BA5"/>
    <w:rsid w:val="00550B34"/>
    <w:rsid w:val="005534AB"/>
    <w:rsid w:val="00555A82"/>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0F79"/>
    <w:rsid w:val="005A268E"/>
    <w:rsid w:val="005A36C7"/>
    <w:rsid w:val="005A3B57"/>
    <w:rsid w:val="005A6A5B"/>
    <w:rsid w:val="005B063C"/>
    <w:rsid w:val="005B0F7E"/>
    <w:rsid w:val="005B1546"/>
    <w:rsid w:val="005B3BF1"/>
    <w:rsid w:val="005B49D8"/>
    <w:rsid w:val="005B5069"/>
    <w:rsid w:val="005B6C33"/>
    <w:rsid w:val="005C038C"/>
    <w:rsid w:val="005C1B4B"/>
    <w:rsid w:val="005C4171"/>
    <w:rsid w:val="005C7120"/>
    <w:rsid w:val="005D0602"/>
    <w:rsid w:val="005D092D"/>
    <w:rsid w:val="005D470C"/>
    <w:rsid w:val="005D49DC"/>
    <w:rsid w:val="005E5B28"/>
    <w:rsid w:val="005F0B7A"/>
    <w:rsid w:val="005F179B"/>
    <w:rsid w:val="005F1C09"/>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2A7B"/>
    <w:rsid w:val="006A3278"/>
    <w:rsid w:val="006A5824"/>
    <w:rsid w:val="006A7A0E"/>
    <w:rsid w:val="006B0982"/>
    <w:rsid w:val="006C2C4C"/>
    <w:rsid w:val="006C393A"/>
    <w:rsid w:val="006C5A4D"/>
    <w:rsid w:val="006D0F1E"/>
    <w:rsid w:val="006D1934"/>
    <w:rsid w:val="006D2199"/>
    <w:rsid w:val="006D2D6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4701D"/>
    <w:rsid w:val="00752614"/>
    <w:rsid w:val="0075751F"/>
    <w:rsid w:val="0076088E"/>
    <w:rsid w:val="00761AAA"/>
    <w:rsid w:val="00763DA0"/>
    <w:rsid w:val="007653FA"/>
    <w:rsid w:val="007663F1"/>
    <w:rsid w:val="00771201"/>
    <w:rsid w:val="00771A87"/>
    <w:rsid w:val="00774975"/>
    <w:rsid w:val="0077624A"/>
    <w:rsid w:val="00780958"/>
    <w:rsid w:val="007817DB"/>
    <w:rsid w:val="00783F05"/>
    <w:rsid w:val="00784AE9"/>
    <w:rsid w:val="00784CC6"/>
    <w:rsid w:val="007876C7"/>
    <w:rsid w:val="00787F5D"/>
    <w:rsid w:val="007945B3"/>
    <w:rsid w:val="0079614E"/>
    <w:rsid w:val="007B135C"/>
    <w:rsid w:val="007B19DA"/>
    <w:rsid w:val="007B2C93"/>
    <w:rsid w:val="007B76C4"/>
    <w:rsid w:val="007C4FD4"/>
    <w:rsid w:val="007C6330"/>
    <w:rsid w:val="007C6559"/>
    <w:rsid w:val="007D0AF7"/>
    <w:rsid w:val="007D5D8B"/>
    <w:rsid w:val="007F19A5"/>
    <w:rsid w:val="007F24B0"/>
    <w:rsid w:val="007F2A67"/>
    <w:rsid w:val="007F2D04"/>
    <w:rsid w:val="007F6BDD"/>
    <w:rsid w:val="007F6F2B"/>
    <w:rsid w:val="007F7EA4"/>
    <w:rsid w:val="00801014"/>
    <w:rsid w:val="00801B72"/>
    <w:rsid w:val="008027C4"/>
    <w:rsid w:val="00802923"/>
    <w:rsid w:val="008116AF"/>
    <w:rsid w:val="00817C41"/>
    <w:rsid w:val="0082084D"/>
    <w:rsid w:val="00820EA8"/>
    <w:rsid w:val="0082437E"/>
    <w:rsid w:val="008253A9"/>
    <w:rsid w:val="00830CF6"/>
    <w:rsid w:val="008366FA"/>
    <w:rsid w:val="00836984"/>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2D2D"/>
    <w:rsid w:val="008A6027"/>
    <w:rsid w:val="008A7776"/>
    <w:rsid w:val="008C0504"/>
    <w:rsid w:val="008C17E3"/>
    <w:rsid w:val="008C2266"/>
    <w:rsid w:val="008C2B8B"/>
    <w:rsid w:val="008C4BB8"/>
    <w:rsid w:val="008C53F0"/>
    <w:rsid w:val="008C6629"/>
    <w:rsid w:val="008C6C08"/>
    <w:rsid w:val="008C7929"/>
    <w:rsid w:val="008D2A90"/>
    <w:rsid w:val="008D34B8"/>
    <w:rsid w:val="008D54CE"/>
    <w:rsid w:val="008D59A2"/>
    <w:rsid w:val="008E6D84"/>
    <w:rsid w:val="008E74FB"/>
    <w:rsid w:val="008E79BF"/>
    <w:rsid w:val="008F0756"/>
    <w:rsid w:val="008F755E"/>
    <w:rsid w:val="009059EE"/>
    <w:rsid w:val="009065DB"/>
    <w:rsid w:val="00907551"/>
    <w:rsid w:val="00907E93"/>
    <w:rsid w:val="0091132C"/>
    <w:rsid w:val="009118CE"/>
    <w:rsid w:val="00914D2A"/>
    <w:rsid w:val="00922597"/>
    <w:rsid w:val="009242C7"/>
    <w:rsid w:val="00926832"/>
    <w:rsid w:val="00933A0A"/>
    <w:rsid w:val="00935A17"/>
    <w:rsid w:val="00935C24"/>
    <w:rsid w:val="009422A8"/>
    <w:rsid w:val="009435E2"/>
    <w:rsid w:val="00943A38"/>
    <w:rsid w:val="0094648D"/>
    <w:rsid w:val="009479D5"/>
    <w:rsid w:val="00951B5E"/>
    <w:rsid w:val="00951BBB"/>
    <w:rsid w:val="00952807"/>
    <w:rsid w:val="009535C0"/>
    <w:rsid w:val="00957662"/>
    <w:rsid w:val="00960F5B"/>
    <w:rsid w:val="00961913"/>
    <w:rsid w:val="009651D5"/>
    <w:rsid w:val="00967192"/>
    <w:rsid w:val="009701FB"/>
    <w:rsid w:val="00970AF3"/>
    <w:rsid w:val="009712E6"/>
    <w:rsid w:val="00973C43"/>
    <w:rsid w:val="00973E46"/>
    <w:rsid w:val="0098199E"/>
    <w:rsid w:val="00983978"/>
    <w:rsid w:val="00985B9C"/>
    <w:rsid w:val="00986603"/>
    <w:rsid w:val="0099051F"/>
    <w:rsid w:val="00991840"/>
    <w:rsid w:val="00994060"/>
    <w:rsid w:val="009971D9"/>
    <w:rsid w:val="009A241C"/>
    <w:rsid w:val="009A2760"/>
    <w:rsid w:val="009B0651"/>
    <w:rsid w:val="009B3671"/>
    <w:rsid w:val="009C1E67"/>
    <w:rsid w:val="009C228F"/>
    <w:rsid w:val="009C25F1"/>
    <w:rsid w:val="009C2A10"/>
    <w:rsid w:val="009C416F"/>
    <w:rsid w:val="009C44F8"/>
    <w:rsid w:val="009C5580"/>
    <w:rsid w:val="009D16D6"/>
    <w:rsid w:val="009D17D2"/>
    <w:rsid w:val="009D2069"/>
    <w:rsid w:val="009D37EA"/>
    <w:rsid w:val="009D7DAC"/>
    <w:rsid w:val="009E1824"/>
    <w:rsid w:val="009E1D3F"/>
    <w:rsid w:val="009E2517"/>
    <w:rsid w:val="009E69D3"/>
    <w:rsid w:val="009F01F6"/>
    <w:rsid w:val="009F3DEF"/>
    <w:rsid w:val="009F421F"/>
    <w:rsid w:val="009F57DD"/>
    <w:rsid w:val="009F6BF1"/>
    <w:rsid w:val="00A004FE"/>
    <w:rsid w:val="00A02870"/>
    <w:rsid w:val="00A050EC"/>
    <w:rsid w:val="00A06973"/>
    <w:rsid w:val="00A07A16"/>
    <w:rsid w:val="00A154DB"/>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336"/>
    <w:rsid w:val="00A76480"/>
    <w:rsid w:val="00A77426"/>
    <w:rsid w:val="00A77999"/>
    <w:rsid w:val="00A80EB1"/>
    <w:rsid w:val="00A8749E"/>
    <w:rsid w:val="00A91627"/>
    <w:rsid w:val="00A92373"/>
    <w:rsid w:val="00A93FB7"/>
    <w:rsid w:val="00A977C1"/>
    <w:rsid w:val="00AA23BA"/>
    <w:rsid w:val="00AA3B44"/>
    <w:rsid w:val="00AA5A3B"/>
    <w:rsid w:val="00AB2FF3"/>
    <w:rsid w:val="00AB35A6"/>
    <w:rsid w:val="00AB56B8"/>
    <w:rsid w:val="00AC425C"/>
    <w:rsid w:val="00AC54DB"/>
    <w:rsid w:val="00AC56B3"/>
    <w:rsid w:val="00AC6D5D"/>
    <w:rsid w:val="00AD2E4C"/>
    <w:rsid w:val="00AD6AC6"/>
    <w:rsid w:val="00AE033E"/>
    <w:rsid w:val="00AE4BCC"/>
    <w:rsid w:val="00AE7C1B"/>
    <w:rsid w:val="00AF43A3"/>
    <w:rsid w:val="00AF4DD8"/>
    <w:rsid w:val="00AF5EBD"/>
    <w:rsid w:val="00AF6655"/>
    <w:rsid w:val="00AF754F"/>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1387"/>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0BD0"/>
    <w:rsid w:val="00BC1B7C"/>
    <w:rsid w:val="00BC484E"/>
    <w:rsid w:val="00BC5AB3"/>
    <w:rsid w:val="00BC5CA3"/>
    <w:rsid w:val="00BC689D"/>
    <w:rsid w:val="00BD2783"/>
    <w:rsid w:val="00BD4038"/>
    <w:rsid w:val="00BD6C79"/>
    <w:rsid w:val="00BE0854"/>
    <w:rsid w:val="00BE1ED2"/>
    <w:rsid w:val="00BE726C"/>
    <w:rsid w:val="00BF25F0"/>
    <w:rsid w:val="00BF3079"/>
    <w:rsid w:val="00BF341D"/>
    <w:rsid w:val="00BF3473"/>
    <w:rsid w:val="00BF5D32"/>
    <w:rsid w:val="00BF6876"/>
    <w:rsid w:val="00BF718F"/>
    <w:rsid w:val="00C0065E"/>
    <w:rsid w:val="00C12AD7"/>
    <w:rsid w:val="00C13C5A"/>
    <w:rsid w:val="00C14452"/>
    <w:rsid w:val="00C16397"/>
    <w:rsid w:val="00C201CA"/>
    <w:rsid w:val="00C23D73"/>
    <w:rsid w:val="00C241A1"/>
    <w:rsid w:val="00C27500"/>
    <w:rsid w:val="00C27ADF"/>
    <w:rsid w:val="00C306E8"/>
    <w:rsid w:val="00C313ED"/>
    <w:rsid w:val="00C33F0C"/>
    <w:rsid w:val="00C3576E"/>
    <w:rsid w:val="00C35956"/>
    <w:rsid w:val="00C407D6"/>
    <w:rsid w:val="00C4690A"/>
    <w:rsid w:val="00C477A6"/>
    <w:rsid w:val="00C54E24"/>
    <w:rsid w:val="00C5657B"/>
    <w:rsid w:val="00C56AEC"/>
    <w:rsid w:val="00C60A73"/>
    <w:rsid w:val="00C610DB"/>
    <w:rsid w:val="00C6203D"/>
    <w:rsid w:val="00C67551"/>
    <w:rsid w:val="00C72120"/>
    <w:rsid w:val="00C75DCE"/>
    <w:rsid w:val="00C773A3"/>
    <w:rsid w:val="00C77DA0"/>
    <w:rsid w:val="00C843D7"/>
    <w:rsid w:val="00C87618"/>
    <w:rsid w:val="00C90325"/>
    <w:rsid w:val="00C90EDA"/>
    <w:rsid w:val="00C92C0C"/>
    <w:rsid w:val="00C94926"/>
    <w:rsid w:val="00CA199A"/>
    <w:rsid w:val="00CA22A8"/>
    <w:rsid w:val="00CA3396"/>
    <w:rsid w:val="00CA3B90"/>
    <w:rsid w:val="00CA4020"/>
    <w:rsid w:val="00CA6C1F"/>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25302"/>
    <w:rsid w:val="00D3123C"/>
    <w:rsid w:val="00D3584A"/>
    <w:rsid w:val="00D35DE5"/>
    <w:rsid w:val="00D44B05"/>
    <w:rsid w:val="00D44F60"/>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861CC"/>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D0E1C"/>
    <w:rsid w:val="00DE3721"/>
    <w:rsid w:val="00DE488C"/>
    <w:rsid w:val="00DF1668"/>
    <w:rsid w:val="00DF1FD5"/>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3A31"/>
    <w:rsid w:val="00E3545E"/>
    <w:rsid w:val="00E35EFF"/>
    <w:rsid w:val="00E445D8"/>
    <w:rsid w:val="00E46ACA"/>
    <w:rsid w:val="00E47B07"/>
    <w:rsid w:val="00E50FFA"/>
    <w:rsid w:val="00E526F5"/>
    <w:rsid w:val="00E53FAB"/>
    <w:rsid w:val="00E5528B"/>
    <w:rsid w:val="00E5593B"/>
    <w:rsid w:val="00E61BB0"/>
    <w:rsid w:val="00E63F24"/>
    <w:rsid w:val="00E640E7"/>
    <w:rsid w:val="00E678AB"/>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6DE9"/>
    <w:rsid w:val="00EC77BB"/>
    <w:rsid w:val="00EC7E13"/>
    <w:rsid w:val="00ED14CF"/>
    <w:rsid w:val="00ED1828"/>
    <w:rsid w:val="00ED4EEA"/>
    <w:rsid w:val="00EE02E9"/>
    <w:rsid w:val="00EE1389"/>
    <w:rsid w:val="00EF1723"/>
    <w:rsid w:val="00EF26AE"/>
    <w:rsid w:val="00F00D62"/>
    <w:rsid w:val="00F0305C"/>
    <w:rsid w:val="00F0379A"/>
    <w:rsid w:val="00F03989"/>
    <w:rsid w:val="00F110E6"/>
    <w:rsid w:val="00F12B16"/>
    <w:rsid w:val="00F139D5"/>
    <w:rsid w:val="00F1692D"/>
    <w:rsid w:val="00F23018"/>
    <w:rsid w:val="00F25BF4"/>
    <w:rsid w:val="00F27B16"/>
    <w:rsid w:val="00F30CD0"/>
    <w:rsid w:val="00F32383"/>
    <w:rsid w:val="00F33096"/>
    <w:rsid w:val="00F336A1"/>
    <w:rsid w:val="00F4055F"/>
    <w:rsid w:val="00F40D25"/>
    <w:rsid w:val="00F41BB8"/>
    <w:rsid w:val="00F441B2"/>
    <w:rsid w:val="00F45DEB"/>
    <w:rsid w:val="00F46A84"/>
    <w:rsid w:val="00F476E8"/>
    <w:rsid w:val="00F55451"/>
    <w:rsid w:val="00F5660C"/>
    <w:rsid w:val="00F57058"/>
    <w:rsid w:val="00F63836"/>
    <w:rsid w:val="00F67B29"/>
    <w:rsid w:val="00F75AE8"/>
    <w:rsid w:val="00F76819"/>
    <w:rsid w:val="00F808F8"/>
    <w:rsid w:val="00F9081A"/>
    <w:rsid w:val="00F90A9D"/>
    <w:rsid w:val="00FA00FB"/>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1F7"/>
    <w:rsid w:val="00FE1C67"/>
    <w:rsid w:val="00FE1CDD"/>
    <w:rsid w:val="00FF4F5F"/>
    <w:rsid w:val="00FF5AF4"/>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ACB2-59F9-49DE-B0D6-65A44198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5</cp:revision>
  <cp:lastPrinted>2015-06-10T14:34:00Z</cp:lastPrinted>
  <dcterms:created xsi:type="dcterms:W3CDTF">2015-06-10T11:53:00Z</dcterms:created>
  <dcterms:modified xsi:type="dcterms:W3CDTF">2015-06-10T14:36:00Z</dcterms:modified>
</cp:coreProperties>
</file>