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CB" w:rsidRPr="00F514FB" w:rsidRDefault="001322CB" w:rsidP="00B774A6">
      <w:pPr>
        <w:tabs>
          <w:tab w:val="center" w:pos="4680"/>
        </w:tabs>
        <w:suppressAutoHyphens/>
        <w:spacing w:line="240" w:lineRule="auto"/>
        <w:ind w:firstLine="0"/>
        <w:jc w:val="center"/>
        <w:rPr>
          <w:b/>
          <w:szCs w:val="26"/>
        </w:rPr>
      </w:pPr>
      <w:r w:rsidRPr="00F514FB">
        <w:rPr>
          <w:b/>
          <w:szCs w:val="26"/>
        </w:rPr>
        <w:t>PENNSYLVANIA</w:t>
      </w:r>
    </w:p>
    <w:p w:rsidR="001322CB" w:rsidRPr="00F514FB" w:rsidRDefault="001322CB" w:rsidP="00B774A6">
      <w:pPr>
        <w:tabs>
          <w:tab w:val="center" w:pos="4680"/>
        </w:tabs>
        <w:suppressAutoHyphens/>
        <w:spacing w:line="240" w:lineRule="auto"/>
        <w:ind w:firstLine="0"/>
        <w:jc w:val="center"/>
        <w:rPr>
          <w:szCs w:val="26"/>
        </w:rPr>
      </w:pPr>
      <w:r w:rsidRPr="00F514FB">
        <w:rPr>
          <w:b/>
          <w:szCs w:val="26"/>
        </w:rPr>
        <w:t>PUBLIC UTILITY COMMISSION</w:t>
      </w:r>
    </w:p>
    <w:p w:rsidR="001322CB" w:rsidRPr="00F514FB" w:rsidRDefault="001322CB" w:rsidP="00B774A6">
      <w:pPr>
        <w:tabs>
          <w:tab w:val="center" w:pos="4680"/>
        </w:tabs>
        <w:suppressAutoHyphens/>
        <w:spacing w:line="240" w:lineRule="auto"/>
        <w:ind w:firstLine="0"/>
        <w:jc w:val="center"/>
        <w:rPr>
          <w:szCs w:val="26"/>
        </w:rPr>
      </w:pPr>
      <w:r w:rsidRPr="00F514FB">
        <w:rPr>
          <w:b/>
          <w:szCs w:val="26"/>
        </w:rPr>
        <w:t>Harrisburg, PA 17105-3265</w:t>
      </w:r>
    </w:p>
    <w:p w:rsidR="001322CB" w:rsidRPr="00F514FB" w:rsidRDefault="001322CB" w:rsidP="00B774A6">
      <w:pPr>
        <w:tabs>
          <w:tab w:val="left" w:pos="-720"/>
        </w:tabs>
        <w:suppressAutoHyphens/>
        <w:spacing w:line="240" w:lineRule="auto"/>
        <w:ind w:firstLine="0"/>
        <w:rPr>
          <w:szCs w:val="26"/>
        </w:rPr>
      </w:pPr>
    </w:p>
    <w:p w:rsidR="001322CB" w:rsidRPr="00F514FB" w:rsidRDefault="001322CB" w:rsidP="00B774A6">
      <w:pPr>
        <w:spacing w:line="240" w:lineRule="auto"/>
        <w:ind w:firstLine="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1322CB" w:rsidRPr="00F514FB" w:rsidTr="00354BD0">
        <w:tc>
          <w:tcPr>
            <w:tcW w:w="5058" w:type="dxa"/>
          </w:tcPr>
          <w:p w:rsidR="001322CB" w:rsidRPr="00F514FB" w:rsidRDefault="001322CB" w:rsidP="00B774A6">
            <w:pPr>
              <w:spacing w:line="240" w:lineRule="auto"/>
              <w:ind w:firstLine="0"/>
              <w:rPr>
                <w:szCs w:val="26"/>
              </w:rPr>
            </w:pPr>
          </w:p>
        </w:tc>
        <w:tc>
          <w:tcPr>
            <w:tcW w:w="4428" w:type="dxa"/>
          </w:tcPr>
          <w:p w:rsidR="001322CB" w:rsidRPr="00F514FB" w:rsidRDefault="001322CB" w:rsidP="00B774A6">
            <w:pPr>
              <w:spacing w:line="240" w:lineRule="auto"/>
              <w:ind w:firstLine="0"/>
              <w:jc w:val="right"/>
              <w:rPr>
                <w:szCs w:val="26"/>
              </w:rPr>
            </w:pPr>
            <w:r w:rsidRPr="00F514FB">
              <w:rPr>
                <w:szCs w:val="26"/>
              </w:rPr>
              <w:t xml:space="preserve">Public Meeting held </w:t>
            </w:r>
            <w:r w:rsidR="00354BD0">
              <w:rPr>
                <w:szCs w:val="26"/>
              </w:rPr>
              <w:t>June 11, 2015</w:t>
            </w:r>
          </w:p>
          <w:p w:rsidR="001322CB" w:rsidRPr="00F514FB" w:rsidRDefault="001322CB" w:rsidP="00B774A6">
            <w:pPr>
              <w:spacing w:line="240" w:lineRule="auto"/>
              <w:ind w:firstLine="0"/>
              <w:jc w:val="right"/>
              <w:rPr>
                <w:szCs w:val="26"/>
              </w:rPr>
            </w:pPr>
          </w:p>
          <w:p w:rsidR="001322CB" w:rsidRPr="00F514FB" w:rsidRDefault="001322CB" w:rsidP="00B774A6">
            <w:pPr>
              <w:spacing w:line="240" w:lineRule="auto"/>
              <w:ind w:firstLine="0"/>
              <w:jc w:val="right"/>
              <w:rPr>
                <w:szCs w:val="26"/>
              </w:rPr>
            </w:pPr>
          </w:p>
        </w:tc>
      </w:tr>
      <w:tr w:rsidR="001322CB" w:rsidRPr="00F514FB" w:rsidTr="00E61564">
        <w:tc>
          <w:tcPr>
            <w:tcW w:w="5058" w:type="dxa"/>
          </w:tcPr>
          <w:p w:rsidR="001322CB" w:rsidRPr="00F514FB" w:rsidRDefault="001322CB" w:rsidP="00B774A6">
            <w:pPr>
              <w:spacing w:line="240" w:lineRule="auto"/>
              <w:ind w:firstLine="0"/>
              <w:rPr>
                <w:szCs w:val="26"/>
              </w:rPr>
            </w:pPr>
            <w:r w:rsidRPr="00F514FB">
              <w:rPr>
                <w:szCs w:val="26"/>
              </w:rPr>
              <w:t>Commissioners Present:</w:t>
            </w:r>
          </w:p>
          <w:p w:rsidR="001322CB" w:rsidRPr="00F514FB" w:rsidRDefault="001322CB" w:rsidP="00B774A6">
            <w:pPr>
              <w:spacing w:line="240" w:lineRule="auto"/>
              <w:ind w:firstLine="0"/>
              <w:rPr>
                <w:szCs w:val="26"/>
              </w:rPr>
            </w:pPr>
          </w:p>
          <w:p w:rsidR="001322CB" w:rsidRPr="00F514FB" w:rsidRDefault="00BD209F" w:rsidP="00B774A6">
            <w:pPr>
              <w:tabs>
                <w:tab w:val="left" w:pos="705"/>
              </w:tabs>
              <w:spacing w:line="240" w:lineRule="auto"/>
              <w:ind w:firstLine="0"/>
              <w:rPr>
                <w:szCs w:val="26"/>
              </w:rPr>
            </w:pPr>
            <w:r>
              <w:rPr>
                <w:szCs w:val="26"/>
              </w:rPr>
              <w:t>Gladys M. Brown,</w:t>
            </w:r>
            <w:r w:rsidR="001322CB" w:rsidRPr="00F514FB">
              <w:rPr>
                <w:szCs w:val="26"/>
              </w:rPr>
              <w:t xml:space="preserve"> Chairman</w:t>
            </w:r>
          </w:p>
          <w:p w:rsidR="001322CB" w:rsidRPr="00F514FB" w:rsidRDefault="001322CB" w:rsidP="00B774A6">
            <w:pPr>
              <w:tabs>
                <w:tab w:val="left" w:pos="705"/>
              </w:tabs>
              <w:spacing w:line="240" w:lineRule="auto"/>
              <w:ind w:firstLine="0"/>
              <w:rPr>
                <w:szCs w:val="26"/>
              </w:rPr>
            </w:pPr>
            <w:r w:rsidRPr="00F514FB">
              <w:rPr>
                <w:szCs w:val="26"/>
              </w:rPr>
              <w:t>John F. Coleman, Jr., Vice Chairman</w:t>
            </w:r>
          </w:p>
          <w:p w:rsidR="001322CB" w:rsidRPr="00F514FB" w:rsidRDefault="001322CB" w:rsidP="00B774A6">
            <w:pPr>
              <w:tabs>
                <w:tab w:val="left" w:pos="705"/>
              </w:tabs>
              <w:spacing w:line="240" w:lineRule="auto"/>
              <w:ind w:firstLine="0"/>
              <w:rPr>
                <w:szCs w:val="26"/>
              </w:rPr>
            </w:pPr>
            <w:r w:rsidRPr="00F514FB">
              <w:rPr>
                <w:szCs w:val="26"/>
              </w:rPr>
              <w:t>James H. Cawley</w:t>
            </w:r>
          </w:p>
          <w:p w:rsidR="001322CB" w:rsidRPr="00F514FB" w:rsidRDefault="001322CB" w:rsidP="00B774A6">
            <w:pPr>
              <w:tabs>
                <w:tab w:val="left" w:pos="705"/>
              </w:tabs>
              <w:spacing w:line="240" w:lineRule="auto"/>
              <w:ind w:firstLine="0"/>
              <w:rPr>
                <w:szCs w:val="26"/>
              </w:rPr>
            </w:pPr>
            <w:r w:rsidRPr="00F514FB">
              <w:rPr>
                <w:szCs w:val="26"/>
              </w:rPr>
              <w:t>Pamela A. Witmer</w:t>
            </w:r>
          </w:p>
          <w:p w:rsidR="001322CB" w:rsidRPr="00F514FB" w:rsidRDefault="00BD209F" w:rsidP="00B774A6">
            <w:pPr>
              <w:spacing w:line="240" w:lineRule="auto"/>
              <w:ind w:firstLine="0"/>
              <w:rPr>
                <w:szCs w:val="26"/>
              </w:rPr>
            </w:pPr>
            <w:r>
              <w:rPr>
                <w:szCs w:val="26"/>
              </w:rPr>
              <w:t>Robert F. Powelson</w:t>
            </w:r>
          </w:p>
          <w:p w:rsidR="001322CB" w:rsidRDefault="001322CB" w:rsidP="00B774A6">
            <w:pPr>
              <w:spacing w:line="240" w:lineRule="auto"/>
              <w:ind w:firstLine="0"/>
              <w:rPr>
                <w:szCs w:val="26"/>
              </w:rPr>
            </w:pPr>
          </w:p>
          <w:p w:rsidR="00E61564" w:rsidRDefault="00E61564" w:rsidP="00B774A6">
            <w:pPr>
              <w:spacing w:line="240" w:lineRule="auto"/>
              <w:ind w:firstLine="0"/>
              <w:rPr>
                <w:szCs w:val="26"/>
              </w:rPr>
            </w:pPr>
          </w:p>
          <w:p w:rsidR="00813065" w:rsidRPr="00F514FB" w:rsidRDefault="00813065" w:rsidP="00B774A6">
            <w:pPr>
              <w:spacing w:line="240" w:lineRule="auto"/>
              <w:ind w:firstLine="0"/>
              <w:rPr>
                <w:szCs w:val="26"/>
              </w:rPr>
            </w:pPr>
          </w:p>
        </w:tc>
        <w:tc>
          <w:tcPr>
            <w:tcW w:w="4428" w:type="dxa"/>
          </w:tcPr>
          <w:p w:rsidR="001322CB" w:rsidRPr="00F514FB" w:rsidRDefault="001322CB" w:rsidP="00B774A6">
            <w:pPr>
              <w:spacing w:line="240" w:lineRule="auto"/>
              <w:ind w:firstLine="0"/>
              <w:jc w:val="right"/>
              <w:rPr>
                <w:szCs w:val="26"/>
              </w:rPr>
            </w:pPr>
          </w:p>
          <w:p w:rsidR="001322CB" w:rsidRPr="00F514FB" w:rsidRDefault="001322CB" w:rsidP="00B774A6">
            <w:pPr>
              <w:spacing w:line="240" w:lineRule="auto"/>
              <w:ind w:firstLine="0"/>
              <w:jc w:val="right"/>
              <w:rPr>
                <w:szCs w:val="26"/>
              </w:rPr>
            </w:pPr>
          </w:p>
        </w:tc>
      </w:tr>
      <w:tr w:rsidR="00E61564" w:rsidRPr="00F514FB" w:rsidTr="00E61564">
        <w:tc>
          <w:tcPr>
            <w:tcW w:w="5058" w:type="dxa"/>
          </w:tcPr>
          <w:p w:rsidR="00E61564" w:rsidRPr="00496847" w:rsidRDefault="00E61564" w:rsidP="00E61564">
            <w:pPr>
              <w:spacing w:line="240" w:lineRule="auto"/>
              <w:ind w:firstLine="0"/>
            </w:pPr>
            <w:r w:rsidRPr="00496847">
              <w:t>Pennsylvania Public Utility Commission</w:t>
            </w:r>
          </w:p>
          <w:p w:rsidR="00E61564" w:rsidRPr="00496847" w:rsidRDefault="00E61564" w:rsidP="00E61564">
            <w:pPr>
              <w:spacing w:line="240" w:lineRule="auto"/>
              <w:ind w:firstLine="0"/>
            </w:pPr>
            <w:r w:rsidRPr="00496847">
              <w:t>Office of Consumer Advocate</w:t>
            </w:r>
          </w:p>
          <w:p w:rsidR="00E61564" w:rsidRPr="00496847" w:rsidRDefault="00E61564" w:rsidP="00E61564">
            <w:pPr>
              <w:spacing w:line="240" w:lineRule="auto"/>
              <w:ind w:firstLine="0"/>
            </w:pPr>
            <w:r>
              <w:t>Robert L. Beilstein</w:t>
            </w:r>
          </w:p>
          <w:p w:rsidR="00E61564" w:rsidRPr="00496847" w:rsidRDefault="00E61564" w:rsidP="00E61564">
            <w:pPr>
              <w:spacing w:line="240" w:lineRule="auto"/>
              <w:ind w:firstLine="0"/>
            </w:pPr>
            <w:r>
              <w:t xml:space="preserve">Richard Bricker </w:t>
            </w:r>
          </w:p>
          <w:p w:rsidR="00E61564" w:rsidRPr="00496847" w:rsidRDefault="00E61564" w:rsidP="00E61564">
            <w:pPr>
              <w:spacing w:line="240" w:lineRule="auto"/>
              <w:ind w:firstLine="0"/>
            </w:pPr>
            <w:r>
              <w:t>James and Karen Eurich</w:t>
            </w:r>
          </w:p>
          <w:p w:rsidR="00E61564" w:rsidRPr="00496847" w:rsidRDefault="00E61564" w:rsidP="00E61564">
            <w:pPr>
              <w:spacing w:line="240" w:lineRule="auto"/>
              <w:ind w:firstLine="0"/>
            </w:pPr>
            <w:r>
              <w:t>Marlene Hoover</w:t>
            </w:r>
          </w:p>
          <w:p w:rsidR="00E61564" w:rsidRPr="00496847" w:rsidRDefault="00E61564" w:rsidP="00E61564">
            <w:pPr>
              <w:spacing w:line="240" w:lineRule="auto"/>
              <w:ind w:firstLine="0"/>
            </w:pPr>
            <w:r>
              <w:t>Betty Learn</w:t>
            </w:r>
          </w:p>
          <w:p w:rsidR="00E61564" w:rsidRPr="00496847" w:rsidRDefault="00E61564" w:rsidP="00E61564">
            <w:pPr>
              <w:spacing w:line="240" w:lineRule="auto"/>
              <w:ind w:firstLine="0"/>
            </w:pPr>
            <w:r>
              <w:t>William and Leslie Mayhugh</w:t>
            </w:r>
          </w:p>
          <w:p w:rsidR="00E61564" w:rsidRDefault="00E61564" w:rsidP="00E61564">
            <w:pPr>
              <w:spacing w:line="240" w:lineRule="auto"/>
              <w:ind w:firstLine="0"/>
            </w:pPr>
            <w:r>
              <w:t>Lloyd Nyberg</w:t>
            </w:r>
          </w:p>
          <w:p w:rsidR="00E61564" w:rsidRDefault="00E61564" w:rsidP="00E61564">
            <w:pPr>
              <w:spacing w:line="240" w:lineRule="auto"/>
              <w:ind w:firstLine="0"/>
            </w:pPr>
            <w:r>
              <w:t>Joseph Rizzo</w:t>
            </w:r>
          </w:p>
          <w:p w:rsidR="00E61564" w:rsidRDefault="00E61564" w:rsidP="00E61564">
            <w:pPr>
              <w:spacing w:line="240" w:lineRule="auto"/>
              <w:ind w:firstLine="0"/>
            </w:pPr>
            <w:r>
              <w:t>Thomas and Kimberly Eurich</w:t>
            </w:r>
          </w:p>
          <w:p w:rsidR="00E61564" w:rsidRDefault="00E61564" w:rsidP="00E61564">
            <w:pPr>
              <w:spacing w:line="240" w:lineRule="auto"/>
              <w:ind w:firstLine="0"/>
            </w:pPr>
            <w:r>
              <w:t>Earl and Sue Christy</w:t>
            </w:r>
          </w:p>
          <w:p w:rsidR="00E61564" w:rsidRDefault="00E61564" w:rsidP="00E61564">
            <w:pPr>
              <w:spacing w:line="240" w:lineRule="auto"/>
              <w:ind w:firstLine="0"/>
            </w:pPr>
            <w:r>
              <w:t>Earl and Leetta Christy</w:t>
            </w:r>
          </w:p>
          <w:p w:rsidR="00E61564" w:rsidRDefault="00E61564" w:rsidP="00E61564">
            <w:pPr>
              <w:spacing w:line="240" w:lineRule="auto"/>
              <w:ind w:firstLine="0"/>
            </w:pPr>
            <w:r>
              <w:t xml:space="preserve">Louis and Marie Bauldoff </w:t>
            </w:r>
          </w:p>
          <w:p w:rsidR="00E61564" w:rsidRDefault="00E61564" w:rsidP="00E61564">
            <w:pPr>
              <w:spacing w:line="240" w:lineRule="auto"/>
              <w:ind w:firstLine="0"/>
            </w:pPr>
            <w:r>
              <w:t xml:space="preserve">Melissa Phillips     </w:t>
            </w:r>
          </w:p>
          <w:p w:rsidR="00E61564" w:rsidRDefault="00E61564" w:rsidP="00E61564">
            <w:pPr>
              <w:spacing w:line="240" w:lineRule="auto"/>
              <w:ind w:firstLine="0"/>
            </w:pPr>
          </w:p>
          <w:p w:rsidR="00E61564" w:rsidRDefault="00E61564" w:rsidP="00E61564">
            <w:pPr>
              <w:spacing w:line="240" w:lineRule="auto"/>
              <w:ind w:firstLine="0"/>
            </w:pPr>
            <w:r>
              <w:t xml:space="preserve">            v.</w:t>
            </w:r>
          </w:p>
          <w:p w:rsidR="00E61564" w:rsidRDefault="00E61564" w:rsidP="00E61564">
            <w:pPr>
              <w:spacing w:line="240" w:lineRule="auto"/>
              <w:ind w:firstLine="0"/>
            </w:pPr>
          </w:p>
          <w:p w:rsidR="00E61564" w:rsidRDefault="00E61564" w:rsidP="00E61564">
            <w:pPr>
              <w:spacing w:line="240" w:lineRule="auto"/>
              <w:ind w:firstLine="0"/>
            </w:pPr>
            <w:r>
              <w:t>Herman Oil &amp; Gas Company, Inc.</w:t>
            </w:r>
          </w:p>
          <w:p w:rsidR="00E61564" w:rsidRPr="00496847" w:rsidRDefault="00E61564" w:rsidP="00EB5253"/>
        </w:tc>
        <w:tc>
          <w:tcPr>
            <w:tcW w:w="4428" w:type="dxa"/>
          </w:tcPr>
          <w:p w:rsidR="00E61564" w:rsidRPr="00E61564" w:rsidRDefault="00B2400E" w:rsidP="00E61564">
            <w:pPr>
              <w:spacing w:line="240" w:lineRule="auto"/>
              <w:ind w:right="288" w:firstLine="0"/>
              <w:jc w:val="right"/>
              <w:rPr>
                <w:szCs w:val="26"/>
              </w:rPr>
            </w:pPr>
            <w:r>
              <w:rPr>
                <w:szCs w:val="26"/>
              </w:rPr>
              <w:t xml:space="preserve">  </w:t>
            </w:r>
            <w:r w:rsidR="00E61564" w:rsidRPr="00E61564">
              <w:rPr>
                <w:szCs w:val="26"/>
              </w:rPr>
              <w:t>Docket Nos. R-2014-2414379</w:t>
            </w:r>
          </w:p>
          <w:p w:rsidR="00E61564" w:rsidRPr="00E61564" w:rsidRDefault="00E61564" w:rsidP="00E61564">
            <w:pPr>
              <w:spacing w:line="240" w:lineRule="auto"/>
              <w:ind w:right="288" w:firstLine="0"/>
              <w:jc w:val="right"/>
              <w:rPr>
                <w:szCs w:val="26"/>
              </w:rPr>
            </w:pPr>
            <w:r w:rsidRPr="00E61564">
              <w:rPr>
                <w:szCs w:val="26"/>
              </w:rPr>
              <w:t>C-2014-2419761</w:t>
            </w:r>
          </w:p>
          <w:p w:rsidR="00E61564" w:rsidRPr="00E61564" w:rsidRDefault="00E61564" w:rsidP="00E61564">
            <w:pPr>
              <w:spacing w:line="240" w:lineRule="auto"/>
              <w:ind w:right="288" w:firstLine="0"/>
              <w:jc w:val="right"/>
              <w:rPr>
                <w:szCs w:val="26"/>
              </w:rPr>
            </w:pPr>
            <w:r w:rsidRPr="00E61564">
              <w:rPr>
                <w:szCs w:val="26"/>
              </w:rPr>
              <w:t>C-2014-2422697</w:t>
            </w:r>
          </w:p>
          <w:p w:rsidR="00E61564" w:rsidRPr="00E61564" w:rsidRDefault="00E61564" w:rsidP="00E61564">
            <w:pPr>
              <w:spacing w:line="240" w:lineRule="auto"/>
              <w:ind w:right="288" w:firstLine="0"/>
              <w:jc w:val="right"/>
              <w:rPr>
                <w:szCs w:val="26"/>
              </w:rPr>
            </w:pPr>
            <w:r w:rsidRPr="00E61564">
              <w:rPr>
                <w:szCs w:val="26"/>
              </w:rPr>
              <w:t>C-2014-2422758</w:t>
            </w:r>
          </w:p>
          <w:p w:rsidR="00E61564" w:rsidRPr="00E61564" w:rsidRDefault="00E61564" w:rsidP="00E61564">
            <w:pPr>
              <w:spacing w:line="240" w:lineRule="auto"/>
              <w:ind w:right="288" w:firstLine="0"/>
              <w:jc w:val="right"/>
              <w:rPr>
                <w:szCs w:val="26"/>
              </w:rPr>
            </w:pPr>
            <w:r w:rsidRPr="00E61564">
              <w:rPr>
                <w:szCs w:val="26"/>
              </w:rPr>
              <w:t>C-2014-2422756</w:t>
            </w:r>
          </w:p>
          <w:p w:rsidR="00E61564" w:rsidRPr="00E61564" w:rsidRDefault="00E61564" w:rsidP="00E61564">
            <w:pPr>
              <w:spacing w:line="240" w:lineRule="auto"/>
              <w:ind w:right="288" w:firstLine="0"/>
              <w:jc w:val="right"/>
              <w:rPr>
                <w:szCs w:val="26"/>
              </w:rPr>
            </w:pPr>
            <w:r w:rsidRPr="00E61564">
              <w:rPr>
                <w:szCs w:val="26"/>
              </w:rPr>
              <w:t>C-2014-2427251</w:t>
            </w:r>
          </w:p>
          <w:p w:rsidR="00E61564" w:rsidRPr="00E61564" w:rsidRDefault="00E61564" w:rsidP="00E61564">
            <w:pPr>
              <w:spacing w:line="240" w:lineRule="auto"/>
              <w:ind w:right="288" w:firstLine="0"/>
              <w:jc w:val="right"/>
              <w:rPr>
                <w:szCs w:val="26"/>
              </w:rPr>
            </w:pPr>
            <w:r w:rsidRPr="00E61564">
              <w:rPr>
                <w:szCs w:val="26"/>
              </w:rPr>
              <w:t>C-2014-2422753</w:t>
            </w:r>
          </w:p>
          <w:p w:rsidR="00E61564" w:rsidRPr="00E61564" w:rsidRDefault="00E61564" w:rsidP="00E61564">
            <w:pPr>
              <w:spacing w:line="240" w:lineRule="auto"/>
              <w:ind w:right="288" w:firstLine="0"/>
              <w:jc w:val="right"/>
              <w:rPr>
                <w:szCs w:val="26"/>
              </w:rPr>
            </w:pPr>
            <w:r w:rsidRPr="00E61564">
              <w:rPr>
                <w:szCs w:val="26"/>
              </w:rPr>
              <w:t>C-2014-2422690</w:t>
            </w:r>
          </w:p>
          <w:p w:rsidR="00E61564" w:rsidRPr="00E61564" w:rsidRDefault="00E61564" w:rsidP="00E61564">
            <w:pPr>
              <w:spacing w:line="240" w:lineRule="auto"/>
              <w:ind w:right="288" w:firstLine="0"/>
              <w:jc w:val="right"/>
              <w:rPr>
                <w:szCs w:val="26"/>
              </w:rPr>
            </w:pPr>
            <w:r w:rsidRPr="00E61564">
              <w:rPr>
                <w:szCs w:val="26"/>
              </w:rPr>
              <w:t>C-2014-2427238</w:t>
            </w:r>
          </w:p>
          <w:p w:rsidR="00E61564" w:rsidRPr="00E61564" w:rsidRDefault="00E61564" w:rsidP="00E61564">
            <w:pPr>
              <w:spacing w:line="240" w:lineRule="auto"/>
              <w:ind w:right="288" w:firstLine="0"/>
              <w:jc w:val="right"/>
              <w:rPr>
                <w:szCs w:val="26"/>
              </w:rPr>
            </w:pPr>
            <w:r w:rsidRPr="00E61564">
              <w:rPr>
                <w:szCs w:val="26"/>
              </w:rPr>
              <w:t>C-2014-2422703</w:t>
            </w:r>
          </w:p>
          <w:p w:rsidR="00E61564" w:rsidRPr="00E61564" w:rsidRDefault="00E61564" w:rsidP="00E61564">
            <w:pPr>
              <w:spacing w:line="240" w:lineRule="auto"/>
              <w:ind w:right="288" w:firstLine="0"/>
              <w:jc w:val="right"/>
              <w:rPr>
                <w:szCs w:val="26"/>
              </w:rPr>
            </w:pPr>
            <w:r w:rsidRPr="00E61564">
              <w:rPr>
                <w:szCs w:val="26"/>
              </w:rPr>
              <w:t>C-2014-2427240</w:t>
            </w:r>
          </w:p>
          <w:p w:rsidR="00E61564" w:rsidRPr="00E61564" w:rsidRDefault="00E61564" w:rsidP="00E61564">
            <w:pPr>
              <w:spacing w:line="240" w:lineRule="auto"/>
              <w:ind w:right="288" w:firstLine="0"/>
              <w:jc w:val="right"/>
              <w:rPr>
                <w:szCs w:val="26"/>
              </w:rPr>
            </w:pPr>
            <w:r w:rsidRPr="00E61564">
              <w:rPr>
                <w:szCs w:val="26"/>
              </w:rPr>
              <w:t>C-2014-2430205</w:t>
            </w:r>
          </w:p>
          <w:p w:rsidR="00E61564" w:rsidRPr="00E61564" w:rsidRDefault="00E61564" w:rsidP="00E61564">
            <w:pPr>
              <w:spacing w:line="240" w:lineRule="auto"/>
              <w:ind w:right="288" w:firstLine="0"/>
              <w:jc w:val="right"/>
              <w:rPr>
                <w:szCs w:val="26"/>
              </w:rPr>
            </w:pPr>
            <w:r w:rsidRPr="00E61564">
              <w:rPr>
                <w:szCs w:val="26"/>
              </w:rPr>
              <w:t>C-2014-2430206</w:t>
            </w:r>
          </w:p>
          <w:p w:rsidR="00E61564" w:rsidRPr="00E61564" w:rsidRDefault="00E61564" w:rsidP="00E61564">
            <w:pPr>
              <w:spacing w:line="240" w:lineRule="auto"/>
              <w:ind w:right="288" w:firstLine="0"/>
              <w:jc w:val="right"/>
              <w:rPr>
                <w:szCs w:val="26"/>
              </w:rPr>
            </w:pPr>
            <w:r w:rsidRPr="00E61564">
              <w:rPr>
                <w:szCs w:val="26"/>
              </w:rPr>
              <w:t>C-2014-2430207</w:t>
            </w:r>
          </w:p>
          <w:p w:rsidR="00E61564" w:rsidRPr="00F514FB" w:rsidRDefault="00E61564" w:rsidP="00E61564">
            <w:pPr>
              <w:spacing w:line="240" w:lineRule="auto"/>
              <w:ind w:right="288" w:firstLine="0"/>
              <w:jc w:val="right"/>
              <w:rPr>
                <w:szCs w:val="26"/>
              </w:rPr>
            </w:pPr>
            <w:r w:rsidRPr="00E61564">
              <w:rPr>
                <w:szCs w:val="26"/>
              </w:rPr>
              <w:t>C-2014-2430208</w:t>
            </w:r>
          </w:p>
        </w:tc>
      </w:tr>
      <w:tr w:rsidR="00E61564" w:rsidRPr="00F514FB" w:rsidTr="00E61564">
        <w:tc>
          <w:tcPr>
            <w:tcW w:w="5058" w:type="dxa"/>
          </w:tcPr>
          <w:p w:rsidR="00E61564" w:rsidRPr="00F514FB" w:rsidRDefault="00E61564" w:rsidP="00B774A6">
            <w:pPr>
              <w:spacing w:line="240" w:lineRule="auto"/>
              <w:ind w:firstLine="0"/>
              <w:rPr>
                <w:szCs w:val="26"/>
              </w:rPr>
            </w:pPr>
          </w:p>
        </w:tc>
        <w:tc>
          <w:tcPr>
            <w:tcW w:w="4428" w:type="dxa"/>
          </w:tcPr>
          <w:p w:rsidR="00E61564" w:rsidRPr="00F514FB" w:rsidRDefault="00E61564" w:rsidP="00B774A6">
            <w:pPr>
              <w:spacing w:line="240" w:lineRule="auto"/>
              <w:ind w:firstLine="0"/>
              <w:rPr>
                <w:szCs w:val="26"/>
              </w:rPr>
            </w:pPr>
          </w:p>
        </w:tc>
      </w:tr>
      <w:tr w:rsidR="00E61564" w:rsidRPr="00F514FB" w:rsidTr="00354BD0">
        <w:tc>
          <w:tcPr>
            <w:tcW w:w="5058" w:type="dxa"/>
          </w:tcPr>
          <w:p w:rsidR="00E61564" w:rsidRPr="00F514FB" w:rsidRDefault="00E61564" w:rsidP="00B774A6">
            <w:pPr>
              <w:spacing w:line="240" w:lineRule="auto"/>
              <w:ind w:firstLine="0"/>
              <w:rPr>
                <w:szCs w:val="26"/>
              </w:rPr>
            </w:pPr>
          </w:p>
        </w:tc>
        <w:tc>
          <w:tcPr>
            <w:tcW w:w="4428" w:type="dxa"/>
          </w:tcPr>
          <w:p w:rsidR="00E61564" w:rsidRPr="00F514FB" w:rsidRDefault="00E61564" w:rsidP="00B774A6">
            <w:pPr>
              <w:spacing w:line="240" w:lineRule="auto"/>
              <w:ind w:firstLine="0"/>
              <w:rPr>
                <w:szCs w:val="26"/>
              </w:rPr>
            </w:pPr>
          </w:p>
        </w:tc>
      </w:tr>
    </w:tbl>
    <w:p w:rsidR="001322CB" w:rsidRPr="00F514FB" w:rsidRDefault="001322CB" w:rsidP="00B774A6">
      <w:pPr>
        <w:spacing w:line="240" w:lineRule="auto"/>
        <w:ind w:firstLine="0"/>
        <w:rPr>
          <w:szCs w:val="26"/>
        </w:rPr>
      </w:pPr>
    </w:p>
    <w:p w:rsidR="001322CB" w:rsidRPr="00F514FB" w:rsidRDefault="001322CB" w:rsidP="00B774A6">
      <w:pPr>
        <w:spacing w:line="240" w:lineRule="auto"/>
        <w:ind w:firstLine="0"/>
        <w:jc w:val="center"/>
        <w:rPr>
          <w:b/>
          <w:szCs w:val="26"/>
        </w:rPr>
      </w:pPr>
      <w:r w:rsidRPr="00F514FB">
        <w:rPr>
          <w:b/>
          <w:szCs w:val="26"/>
        </w:rPr>
        <w:t>OPINION AND ORDER</w:t>
      </w:r>
    </w:p>
    <w:p w:rsidR="001322CB" w:rsidRPr="00F514FB" w:rsidRDefault="001322CB" w:rsidP="001E5919">
      <w:pPr>
        <w:spacing w:line="240" w:lineRule="auto"/>
        <w:ind w:firstLine="0"/>
        <w:rPr>
          <w:b/>
          <w:szCs w:val="26"/>
        </w:rPr>
      </w:pPr>
      <w:r w:rsidRPr="00F514FB">
        <w:rPr>
          <w:b/>
          <w:szCs w:val="26"/>
        </w:rPr>
        <w:lastRenderedPageBreak/>
        <w:t>BY THE COMMISSION:</w:t>
      </w:r>
    </w:p>
    <w:p w:rsidR="001322CB" w:rsidRPr="00F514FB" w:rsidRDefault="001322CB" w:rsidP="001322CB">
      <w:pPr>
        <w:rPr>
          <w:szCs w:val="26"/>
        </w:rPr>
      </w:pPr>
    </w:p>
    <w:p w:rsidR="00055068" w:rsidRPr="00B70661" w:rsidRDefault="00644AA6" w:rsidP="00B01161">
      <w:pPr>
        <w:rPr>
          <w:color w:val="C00000"/>
          <w:szCs w:val="26"/>
        </w:rPr>
      </w:pPr>
      <w:r w:rsidRPr="00B01161">
        <w:rPr>
          <w:szCs w:val="26"/>
        </w:rPr>
        <w:t>Before the Pennsylvania Public U</w:t>
      </w:r>
      <w:r w:rsidR="00E65E6C" w:rsidRPr="00B01161">
        <w:rPr>
          <w:szCs w:val="26"/>
        </w:rPr>
        <w:t xml:space="preserve">tility Commission (Commission) for consideration and disposition </w:t>
      </w:r>
      <w:r w:rsidR="00813065">
        <w:rPr>
          <w:szCs w:val="26"/>
        </w:rPr>
        <w:t>are</w:t>
      </w:r>
      <w:r w:rsidR="00E61564">
        <w:rPr>
          <w:szCs w:val="26"/>
        </w:rPr>
        <w:t>:</w:t>
      </w:r>
      <w:r w:rsidR="00E65E6C" w:rsidRPr="00B01161">
        <w:rPr>
          <w:szCs w:val="26"/>
        </w:rPr>
        <w:t xml:space="preserve"> </w:t>
      </w:r>
      <w:r w:rsidR="001E5919">
        <w:rPr>
          <w:szCs w:val="26"/>
        </w:rPr>
        <w:t xml:space="preserve">(1) </w:t>
      </w:r>
      <w:r w:rsidR="00E61564">
        <w:rPr>
          <w:szCs w:val="26"/>
        </w:rPr>
        <w:t>the Joint Petition for Settlement of Rate Proceeding (Joint Petition or Settlement), executed by Herman Oil and Gas Company</w:t>
      </w:r>
      <w:r w:rsidR="001E5919">
        <w:rPr>
          <w:szCs w:val="26"/>
        </w:rPr>
        <w:t xml:space="preserve">, Inc. (Herman or Company), the </w:t>
      </w:r>
      <w:r w:rsidR="001E5919" w:rsidRPr="005E7AAF">
        <w:rPr>
          <w:szCs w:val="26"/>
        </w:rPr>
        <w:t>Commission</w:t>
      </w:r>
      <w:r w:rsidR="006636C3" w:rsidRPr="005E7AAF">
        <w:rPr>
          <w:szCs w:val="26"/>
        </w:rPr>
        <w:t>’</w:t>
      </w:r>
      <w:r w:rsidR="001E5919" w:rsidRPr="005E7AAF">
        <w:rPr>
          <w:szCs w:val="26"/>
        </w:rPr>
        <w:t>s</w:t>
      </w:r>
      <w:r w:rsidR="001E5919">
        <w:rPr>
          <w:szCs w:val="26"/>
        </w:rPr>
        <w:t xml:space="preserve"> Bureau of Investigation and Enforcement (I&amp;E) and the Office of Consumer Advocate (OCA)</w:t>
      </w:r>
      <w:r w:rsidR="00D15B56">
        <w:rPr>
          <w:szCs w:val="26"/>
        </w:rPr>
        <w:t xml:space="preserve"> (collectively, Joint Petitioners)</w:t>
      </w:r>
      <w:r w:rsidR="001E5919">
        <w:rPr>
          <w:szCs w:val="26"/>
        </w:rPr>
        <w:t>; (2) the Recommended Decision of Administrative Law Judge (ALJ) Mark A. Hoyer, issued on April 9, 2015;</w:t>
      </w:r>
      <w:r w:rsidR="005D7DFD">
        <w:rPr>
          <w:szCs w:val="26"/>
        </w:rPr>
        <w:t xml:space="preserve"> and </w:t>
      </w:r>
      <w:r w:rsidR="001E5919">
        <w:rPr>
          <w:szCs w:val="26"/>
        </w:rPr>
        <w:t>(</w:t>
      </w:r>
      <w:r w:rsidR="00A60DA9">
        <w:rPr>
          <w:szCs w:val="26"/>
        </w:rPr>
        <w:t>3</w:t>
      </w:r>
      <w:r w:rsidR="001E5919">
        <w:rPr>
          <w:szCs w:val="26"/>
        </w:rPr>
        <w:t xml:space="preserve">) </w:t>
      </w:r>
      <w:r w:rsidR="00E65E6C" w:rsidRPr="00B01161">
        <w:rPr>
          <w:szCs w:val="26"/>
        </w:rPr>
        <w:t xml:space="preserve">the </w:t>
      </w:r>
      <w:r w:rsidR="00813065">
        <w:rPr>
          <w:szCs w:val="26"/>
        </w:rPr>
        <w:t xml:space="preserve">Exceptions </w:t>
      </w:r>
      <w:r w:rsidR="005D7DFD">
        <w:rPr>
          <w:szCs w:val="26"/>
        </w:rPr>
        <w:t>to the Recommended Decision filed by Joseph Rizzo</w:t>
      </w:r>
      <w:r w:rsidR="005D7DFD">
        <w:rPr>
          <w:rStyle w:val="FootnoteReference"/>
          <w:szCs w:val="26"/>
        </w:rPr>
        <w:footnoteReference w:id="1"/>
      </w:r>
      <w:r w:rsidR="005D7DFD">
        <w:rPr>
          <w:szCs w:val="26"/>
        </w:rPr>
        <w:t xml:space="preserve"> </w:t>
      </w:r>
      <w:r w:rsidR="00813065">
        <w:rPr>
          <w:szCs w:val="26"/>
        </w:rPr>
        <w:t xml:space="preserve">on April </w:t>
      </w:r>
      <w:r w:rsidR="005D7DFD">
        <w:rPr>
          <w:szCs w:val="26"/>
        </w:rPr>
        <w:t>22</w:t>
      </w:r>
      <w:r w:rsidR="00813065">
        <w:rPr>
          <w:szCs w:val="26"/>
        </w:rPr>
        <w:t xml:space="preserve">, 2015, </w:t>
      </w:r>
      <w:r w:rsidR="005D7DFD">
        <w:rPr>
          <w:szCs w:val="26"/>
        </w:rPr>
        <w:t>and by Kimberly Eurich</w:t>
      </w:r>
      <w:r w:rsidR="003C0EC7">
        <w:rPr>
          <w:rStyle w:val="FootnoteReference"/>
          <w:szCs w:val="26"/>
        </w:rPr>
        <w:footnoteReference w:id="2"/>
      </w:r>
      <w:r w:rsidR="005D7DFD">
        <w:rPr>
          <w:szCs w:val="26"/>
        </w:rPr>
        <w:t xml:space="preserve"> on May 10, 2015. </w:t>
      </w:r>
      <w:r w:rsidR="003C0EC7">
        <w:rPr>
          <w:szCs w:val="26"/>
        </w:rPr>
        <w:t xml:space="preserve"> </w:t>
      </w:r>
      <w:r w:rsidR="005D7DFD">
        <w:rPr>
          <w:szCs w:val="26"/>
        </w:rPr>
        <w:t>Herman filed Replies to the Exceptions of Mr. Rizzo on May 11, 2015</w:t>
      </w:r>
      <w:r w:rsidR="005C7518">
        <w:rPr>
          <w:szCs w:val="26"/>
        </w:rPr>
        <w:t>,</w:t>
      </w:r>
      <w:r w:rsidR="00802582">
        <w:rPr>
          <w:szCs w:val="26"/>
        </w:rPr>
        <w:t xml:space="preserve"> and Replies to the Exceptions of Ms. Eurich on May 22, 2015. </w:t>
      </w:r>
      <w:r w:rsidR="00572518">
        <w:rPr>
          <w:szCs w:val="26"/>
        </w:rPr>
        <w:t xml:space="preserve"> For the reasons set forth herein, we shall, </w:t>
      </w:r>
      <w:r w:rsidR="00572518">
        <w:rPr>
          <w:i/>
          <w:szCs w:val="26"/>
        </w:rPr>
        <w:t>inter alia</w:t>
      </w:r>
      <w:r w:rsidR="00572518" w:rsidRPr="00572518">
        <w:rPr>
          <w:szCs w:val="26"/>
        </w:rPr>
        <w:t>:</w:t>
      </w:r>
      <w:r w:rsidR="00572518">
        <w:rPr>
          <w:szCs w:val="26"/>
        </w:rPr>
        <w:t xml:space="preserve"> (1)</w:t>
      </w:r>
      <w:r w:rsidR="00A60DA9">
        <w:rPr>
          <w:szCs w:val="26"/>
        </w:rPr>
        <w:t> </w:t>
      </w:r>
      <w:r w:rsidR="00572518">
        <w:rPr>
          <w:szCs w:val="26"/>
        </w:rPr>
        <w:t>approve the Joint Petition; (2) adopt the Recommended Decision; and (3) deny the Exceptions</w:t>
      </w:r>
      <w:r w:rsidR="00E3354E">
        <w:rPr>
          <w:szCs w:val="26"/>
        </w:rPr>
        <w:t>.</w:t>
      </w:r>
      <w:r w:rsidR="00572518">
        <w:rPr>
          <w:szCs w:val="26"/>
        </w:rPr>
        <w:t xml:space="preserve"> </w:t>
      </w:r>
    </w:p>
    <w:p w:rsidR="00B01161" w:rsidRDefault="00B01161" w:rsidP="00644AA6">
      <w:pPr>
        <w:jc w:val="center"/>
        <w:rPr>
          <w:b/>
          <w:color w:val="C00000"/>
          <w:szCs w:val="26"/>
        </w:rPr>
      </w:pPr>
    </w:p>
    <w:p w:rsidR="00644AA6" w:rsidRDefault="00644AA6" w:rsidP="00DC1E5B">
      <w:pPr>
        <w:pStyle w:val="Heading1"/>
        <w:ind w:hanging="720"/>
      </w:pPr>
      <w:r w:rsidRPr="0061313F">
        <w:t>Background</w:t>
      </w:r>
    </w:p>
    <w:p w:rsidR="00B01161" w:rsidRPr="0061313F" w:rsidRDefault="00B01161" w:rsidP="00644AA6">
      <w:pPr>
        <w:jc w:val="center"/>
        <w:rPr>
          <w:b/>
          <w:szCs w:val="26"/>
        </w:rPr>
      </w:pPr>
    </w:p>
    <w:p w:rsidR="00D15B56" w:rsidRPr="009A4524" w:rsidRDefault="009C6449" w:rsidP="009A4524">
      <w:pPr>
        <w:rPr>
          <w:rFonts w:eastAsiaTheme="minorHAnsi"/>
          <w:szCs w:val="26"/>
        </w:rPr>
      </w:pPr>
      <w:r w:rsidRPr="009A4524">
        <w:rPr>
          <w:rFonts w:eastAsiaTheme="minorHAnsi"/>
          <w:szCs w:val="26"/>
        </w:rPr>
        <w:t xml:space="preserve">Herman is a certificated public utility that provides natural gas distribution service in Butler County, Pennsylvania to approximately 425 customers.  The Company has not had a base rate increase in approximately </w:t>
      </w:r>
      <w:r w:rsidR="00167069" w:rsidRPr="009A4524">
        <w:rPr>
          <w:rFonts w:eastAsiaTheme="minorHAnsi"/>
          <w:szCs w:val="26"/>
        </w:rPr>
        <w:t xml:space="preserve">thirty-two </w:t>
      </w:r>
      <w:r w:rsidRPr="009A4524">
        <w:rPr>
          <w:rFonts w:eastAsiaTheme="minorHAnsi"/>
          <w:szCs w:val="26"/>
        </w:rPr>
        <w:t>years.</w:t>
      </w:r>
      <w:r w:rsidR="00167069" w:rsidRPr="009A4524">
        <w:rPr>
          <w:rFonts w:eastAsiaTheme="minorHAnsi"/>
          <w:szCs w:val="26"/>
        </w:rPr>
        <w:t xml:space="preserve"> </w:t>
      </w:r>
      <w:r w:rsidRPr="009A4524">
        <w:rPr>
          <w:rFonts w:eastAsiaTheme="minorHAnsi"/>
          <w:szCs w:val="26"/>
        </w:rPr>
        <w:t xml:space="preserve"> </w:t>
      </w:r>
      <w:r w:rsidR="00D15B56" w:rsidRPr="009A4524">
        <w:rPr>
          <w:rFonts w:eastAsiaTheme="minorHAnsi"/>
          <w:szCs w:val="26"/>
        </w:rPr>
        <w:t xml:space="preserve">The Company initially requested a distribution revenue increase of </w:t>
      </w:r>
      <w:r w:rsidR="009A4524">
        <w:rPr>
          <w:rFonts w:eastAsiaTheme="minorHAnsi"/>
          <w:szCs w:val="26"/>
        </w:rPr>
        <w:t>$</w:t>
      </w:r>
      <w:r w:rsidR="00D15B56" w:rsidRPr="009A4524">
        <w:rPr>
          <w:rFonts w:eastAsiaTheme="minorHAnsi"/>
          <w:szCs w:val="26"/>
        </w:rPr>
        <w:t xml:space="preserve">762,969, of which $682,521 would be derived from a rate increase on natural gas </w:t>
      </w:r>
      <w:r w:rsidR="005C7518">
        <w:rPr>
          <w:rFonts w:eastAsiaTheme="minorHAnsi"/>
          <w:szCs w:val="26"/>
        </w:rPr>
        <w:t>consumption</w:t>
      </w:r>
      <w:r w:rsidR="00D15B56" w:rsidRPr="009A4524">
        <w:rPr>
          <w:rFonts w:eastAsiaTheme="minorHAnsi"/>
          <w:szCs w:val="26"/>
        </w:rPr>
        <w:t xml:space="preserve"> and $80,448 would be </w:t>
      </w:r>
      <w:r w:rsidR="00D15B56" w:rsidRPr="009A4524">
        <w:rPr>
          <w:rFonts w:eastAsiaTheme="minorHAnsi"/>
          <w:szCs w:val="26"/>
        </w:rPr>
        <w:lastRenderedPageBreak/>
        <w:t>derived from a new Customer Charge.  The Joint Petitioners report that</w:t>
      </w:r>
      <w:r w:rsidR="00B8694E">
        <w:rPr>
          <w:rFonts w:eastAsiaTheme="minorHAnsi"/>
          <w:szCs w:val="26"/>
        </w:rPr>
        <w:t>,</w:t>
      </w:r>
      <w:r w:rsidR="00D15B56" w:rsidRPr="009A4524">
        <w:rPr>
          <w:rFonts w:eastAsiaTheme="minorHAnsi"/>
          <w:szCs w:val="26"/>
        </w:rPr>
        <w:t xml:space="preserve"> due to various adjustments made or brought to the Company’s attention during th</w:t>
      </w:r>
      <w:r w:rsidR="00220BD4">
        <w:rPr>
          <w:rFonts w:eastAsiaTheme="minorHAnsi"/>
          <w:szCs w:val="26"/>
        </w:rPr>
        <w:t>e</w:t>
      </w:r>
      <w:r w:rsidR="00D15B56" w:rsidRPr="009A4524">
        <w:rPr>
          <w:rFonts w:eastAsiaTheme="minorHAnsi"/>
          <w:szCs w:val="26"/>
        </w:rPr>
        <w:t xml:space="preserve"> proceeding, the Company subsequently decreased its revenue increase request</w:t>
      </w:r>
      <w:r w:rsidR="005C7518">
        <w:rPr>
          <w:rFonts w:eastAsiaTheme="minorHAnsi"/>
          <w:szCs w:val="26"/>
        </w:rPr>
        <w:t xml:space="preserve"> to</w:t>
      </w:r>
      <w:r w:rsidR="00D15B56" w:rsidRPr="009A4524">
        <w:rPr>
          <w:rFonts w:eastAsiaTheme="minorHAnsi"/>
          <w:szCs w:val="26"/>
        </w:rPr>
        <w:t xml:space="preserve"> approximately $588,000.  </w:t>
      </w:r>
      <w:r w:rsidR="009A4524">
        <w:rPr>
          <w:rFonts w:eastAsiaTheme="minorHAnsi"/>
          <w:szCs w:val="26"/>
        </w:rPr>
        <w:t xml:space="preserve">Joint Petition at 3. </w:t>
      </w:r>
    </w:p>
    <w:p w:rsidR="00D15B56" w:rsidRDefault="00D15B56" w:rsidP="009A4524">
      <w:pPr>
        <w:rPr>
          <w:rFonts w:eastAsiaTheme="minorHAnsi"/>
        </w:rPr>
      </w:pPr>
    </w:p>
    <w:p w:rsidR="00D15B56" w:rsidRDefault="009A4524" w:rsidP="009A4524">
      <w:pPr>
        <w:rPr>
          <w:rFonts w:eastAsiaTheme="minorHAnsi"/>
        </w:rPr>
      </w:pPr>
      <w:r>
        <w:rPr>
          <w:rFonts w:eastAsiaTheme="minorHAnsi"/>
        </w:rPr>
        <w:t xml:space="preserve">The </w:t>
      </w:r>
      <w:r w:rsidR="00220BD4">
        <w:rPr>
          <w:rFonts w:eastAsiaTheme="minorHAnsi"/>
        </w:rPr>
        <w:t>Joint Petitioners</w:t>
      </w:r>
      <w:r>
        <w:rPr>
          <w:rFonts w:eastAsiaTheme="minorHAnsi"/>
        </w:rPr>
        <w:t xml:space="preserve"> propose that the Company be permitted to file tariffs that </w:t>
      </w:r>
      <w:r w:rsidR="00370E02">
        <w:rPr>
          <w:rFonts w:eastAsiaTheme="minorHAnsi"/>
        </w:rPr>
        <w:t>will produce additional $420,005</w:t>
      </w:r>
      <w:r>
        <w:rPr>
          <w:rFonts w:eastAsiaTheme="minorHAnsi"/>
        </w:rPr>
        <w:t xml:space="preserve"> </w:t>
      </w:r>
      <w:r w:rsidR="00543B6A">
        <w:rPr>
          <w:rFonts w:eastAsiaTheme="minorHAnsi"/>
        </w:rPr>
        <w:t xml:space="preserve">above the </w:t>
      </w:r>
      <w:r w:rsidR="00543B6A" w:rsidRPr="00543B6A">
        <w:rPr>
          <w:rFonts w:eastAsiaTheme="minorHAnsi"/>
          <w:i/>
        </w:rPr>
        <w:t>pro forma</w:t>
      </w:r>
      <w:r w:rsidR="00543B6A">
        <w:rPr>
          <w:rFonts w:eastAsiaTheme="minorHAnsi"/>
        </w:rPr>
        <w:t xml:space="preserve"> annual</w:t>
      </w:r>
      <w:r w:rsidR="00A12D5F">
        <w:rPr>
          <w:rFonts w:eastAsiaTheme="minorHAnsi"/>
        </w:rPr>
        <w:t xml:space="preserve"> distribution </w:t>
      </w:r>
      <w:r w:rsidR="00543B6A">
        <w:rPr>
          <w:rFonts w:eastAsiaTheme="minorHAnsi"/>
        </w:rPr>
        <w:t xml:space="preserve">revenue of $176,816 at present rates.  </w:t>
      </w:r>
      <w:r w:rsidR="00220BD4">
        <w:rPr>
          <w:rFonts w:eastAsiaTheme="minorHAnsi"/>
        </w:rPr>
        <w:t>Under the Settlement, the proposed revenue increase would be phased in over three years.  Fifty percent of the increase, or approximately $210,000, would be implemented in the first year, and twenty-five percent, or approximately $105,000 would be implemented in each of the two subsequent years.</w:t>
      </w:r>
      <w:r w:rsidR="00220BD4">
        <w:rPr>
          <w:rStyle w:val="FootnoteReference"/>
          <w:rFonts w:eastAsiaTheme="minorHAnsi"/>
        </w:rPr>
        <w:footnoteReference w:id="3"/>
      </w:r>
      <w:r w:rsidR="00220BD4">
        <w:rPr>
          <w:rFonts w:eastAsiaTheme="minorHAnsi"/>
        </w:rPr>
        <w:t xml:space="preserve">  Joint Petition at Appendix B. </w:t>
      </w:r>
      <w:r w:rsidR="00074F5A">
        <w:rPr>
          <w:rFonts w:eastAsiaTheme="minorHAnsi"/>
        </w:rPr>
        <w:t xml:space="preserve"> The Joint Peti</w:t>
      </w:r>
      <w:r w:rsidR="00391279">
        <w:rPr>
          <w:rFonts w:eastAsiaTheme="minorHAnsi"/>
        </w:rPr>
        <w:t>tio</w:t>
      </w:r>
      <w:r w:rsidR="00074F5A">
        <w:rPr>
          <w:rFonts w:eastAsiaTheme="minorHAnsi"/>
        </w:rPr>
        <w:t xml:space="preserve">ners </w:t>
      </w:r>
      <w:r w:rsidR="00391279">
        <w:rPr>
          <w:rFonts w:eastAsiaTheme="minorHAnsi"/>
        </w:rPr>
        <w:t>estimate that the average residential customer using 6.326 Mcf of natural gas per month would experience an increase in average monthly rates from $62.1</w:t>
      </w:r>
      <w:r w:rsidR="005C7518">
        <w:rPr>
          <w:rFonts w:eastAsiaTheme="minorHAnsi"/>
        </w:rPr>
        <w:t>0 under present rates to $136.51,</w:t>
      </w:r>
      <w:r w:rsidR="00391279">
        <w:rPr>
          <w:rFonts w:eastAsiaTheme="minorHAnsi"/>
        </w:rPr>
        <w:t xml:space="preserve"> after the full three-year phase-in of the Settleme</w:t>
      </w:r>
      <w:r w:rsidR="00A60DA9">
        <w:rPr>
          <w:rFonts w:eastAsiaTheme="minorHAnsi"/>
        </w:rPr>
        <w:t>nt rates.  Joint Petition at 7.</w:t>
      </w:r>
    </w:p>
    <w:p w:rsidR="00220BD4" w:rsidRDefault="00220BD4" w:rsidP="009A4524">
      <w:pPr>
        <w:rPr>
          <w:rFonts w:eastAsiaTheme="minorHAnsi"/>
        </w:rPr>
      </w:pPr>
    </w:p>
    <w:p w:rsidR="006C279D" w:rsidRDefault="006C279D" w:rsidP="00EB5253">
      <w:pPr>
        <w:pStyle w:val="Heading1"/>
        <w:ind w:left="1080" w:hanging="720"/>
        <w:rPr>
          <w:rFonts w:eastAsiaTheme="minorHAnsi"/>
        </w:rPr>
      </w:pPr>
      <w:r>
        <w:rPr>
          <w:rFonts w:eastAsiaTheme="minorHAnsi"/>
        </w:rPr>
        <w:t>History of the Proceeding</w:t>
      </w:r>
    </w:p>
    <w:p w:rsidR="006C279D" w:rsidRDefault="006C279D" w:rsidP="009A4524">
      <w:pPr>
        <w:rPr>
          <w:rFonts w:eastAsiaTheme="minorHAnsi"/>
        </w:rPr>
      </w:pPr>
    </w:p>
    <w:p w:rsidR="009C6449" w:rsidRDefault="009C6449" w:rsidP="005C7518">
      <w:pPr>
        <w:keepNext/>
        <w:rPr>
          <w:rFonts w:eastAsiaTheme="minorHAnsi"/>
        </w:rPr>
      </w:pPr>
      <w:r>
        <w:rPr>
          <w:rFonts w:eastAsiaTheme="minorHAnsi"/>
        </w:rPr>
        <w:t xml:space="preserve">On March 28, 2014, Herman filed Supplement No. 44 to Tariff-Gas PA. P.U.C. No. 4 </w:t>
      </w:r>
      <w:r w:rsidR="00322C92">
        <w:rPr>
          <w:rFonts w:eastAsiaTheme="minorHAnsi"/>
        </w:rPr>
        <w:t xml:space="preserve">(Supplement No. 44) </w:t>
      </w:r>
      <w:r>
        <w:rPr>
          <w:rFonts w:eastAsiaTheme="minorHAnsi"/>
        </w:rPr>
        <w:t>to become effective July 1, 2014, containing proposed changes in rates, rules, and regulations</w:t>
      </w:r>
      <w:r w:rsidR="006C279D">
        <w:rPr>
          <w:rFonts w:eastAsiaTheme="minorHAnsi"/>
        </w:rPr>
        <w:t xml:space="preserve">. </w:t>
      </w:r>
      <w:r w:rsidR="00692DFC">
        <w:rPr>
          <w:rFonts w:eastAsiaTheme="minorHAnsi"/>
        </w:rPr>
        <w:t xml:space="preserve"> </w:t>
      </w:r>
      <w:r w:rsidR="00B8117C">
        <w:rPr>
          <w:rFonts w:eastAsiaTheme="minorHAnsi"/>
        </w:rPr>
        <w:t>On July 1, 2014, p</w:t>
      </w:r>
      <w:r w:rsidR="00692DFC">
        <w:rPr>
          <w:rFonts w:eastAsiaTheme="minorHAnsi"/>
        </w:rPr>
        <w:t>ursuant to 66 Pa. C.S. §</w:t>
      </w:r>
      <w:r w:rsidR="00BC101C">
        <w:rPr>
          <w:rFonts w:eastAsiaTheme="minorHAnsi"/>
        </w:rPr>
        <w:t> </w:t>
      </w:r>
      <w:r w:rsidR="00692DFC">
        <w:rPr>
          <w:rFonts w:eastAsiaTheme="minorHAnsi"/>
        </w:rPr>
        <w:t>1308</w:t>
      </w:r>
      <w:r w:rsidR="00B8117C">
        <w:rPr>
          <w:rFonts w:eastAsiaTheme="minorHAnsi"/>
        </w:rPr>
        <w:t>(b), the filing was suspended by operation of law until February 1, 2015.</w:t>
      </w:r>
    </w:p>
    <w:p w:rsidR="009C6449" w:rsidRDefault="009C6449" w:rsidP="009C6449">
      <w:pPr>
        <w:rPr>
          <w:rFonts w:eastAsiaTheme="minorHAnsi"/>
          <w:sz w:val="24"/>
        </w:rPr>
      </w:pPr>
    </w:p>
    <w:p w:rsidR="00B8117C" w:rsidRPr="00B8117C" w:rsidRDefault="00400623" w:rsidP="00B8117C">
      <w:pPr>
        <w:rPr>
          <w:szCs w:val="26"/>
        </w:rPr>
      </w:pPr>
      <w:r w:rsidRPr="00400623">
        <w:rPr>
          <w:szCs w:val="26"/>
        </w:rPr>
        <w:t xml:space="preserve">On April 25, 2014, </w:t>
      </w:r>
      <w:r w:rsidR="00B8117C" w:rsidRPr="00B8117C">
        <w:rPr>
          <w:szCs w:val="26"/>
        </w:rPr>
        <w:t xml:space="preserve">I&amp;E filed a Notice of Appearance.  </w:t>
      </w:r>
      <w:r w:rsidRPr="00400623">
        <w:rPr>
          <w:szCs w:val="26"/>
        </w:rPr>
        <w:t>On May 5, 2014, the OCA filed a F</w:t>
      </w:r>
      <w:r w:rsidR="00B8117C" w:rsidRPr="00B8117C">
        <w:rPr>
          <w:szCs w:val="26"/>
        </w:rPr>
        <w:t xml:space="preserve">ormal </w:t>
      </w:r>
      <w:r w:rsidRPr="00400623">
        <w:rPr>
          <w:szCs w:val="26"/>
        </w:rPr>
        <w:t>C</w:t>
      </w:r>
      <w:r w:rsidR="00B8117C" w:rsidRPr="00B8117C">
        <w:rPr>
          <w:szCs w:val="26"/>
        </w:rPr>
        <w:t>omplaint at Docket No. C-2014-2419761</w:t>
      </w:r>
      <w:r w:rsidRPr="00400623">
        <w:rPr>
          <w:szCs w:val="26"/>
        </w:rPr>
        <w:t xml:space="preserve"> and a Notice of Appearance. </w:t>
      </w:r>
      <w:r w:rsidR="00B8117C" w:rsidRPr="00B8117C">
        <w:rPr>
          <w:szCs w:val="26"/>
        </w:rPr>
        <w:t xml:space="preserve"> Formal </w:t>
      </w:r>
      <w:r w:rsidRPr="00400623">
        <w:rPr>
          <w:szCs w:val="26"/>
        </w:rPr>
        <w:t>C</w:t>
      </w:r>
      <w:r w:rsidR="00B8117C" w:rsidRPr="00B8117C">
        <w:rPr>
          <w:szCs w:val="26"/>
        </w:rPr>
        <w:t>omplaints were also filed by the following individuals: Robert</w:t>
      </w:r>
      <w:r w:rsidR="00BC101C">
        <w:rPr>
          <w:szCs w:val="26"/>
        </w:rPr>
        <w:t> </w:t>
      </w:r>
      <w:r w:rsidR="00B8117C" w:rsidRPr="00B8117C">
        <w:rPr>
          <w:szCs w:val="26"/>
        </w:rPr>
        <w:t>L.</w:t>
      </w:r>
      <w:r w:rsidR="00BC101C">
        <w:rPr>
          <w:szCs w:val="26"/>
        </w:rPr>
        <w:t> </w:t>
      </w:r>
      <w:r w:rsidR="00B8117C" w:rsidRPr="00B8117C">
        <w:rPr>
          <w:szCs w:val="26"/>
        </w:rPr>
        <w:t xml:space="preserve">Beilstein at Docket No. C-2014-2422697; Richard Bricker at Docket No. </w:t>
      </w:r>
      <w:r w:rsidR="00B8117C" w:rsidRPr="00B8117C">
        <w:rPr>
          <w:szCs w:val="26"/>
        </w:rPr>
        <w:lastRenderedPageBreak/>
        <w:t>C</w:t>
      </w:r>
      <w:r w:rsidR="00BC101C">
        <w:rPr>
          <w:szCs w:val="26"/>
        </w:rPr>
        <w:noBreakHyphen/>
      </w:r>
      <w:r w:rsidR="00B8117C" w:rsidRPr="00B8117C">
        <w:rPr>
          <w:szCs w:val="26"/>
        </w:rPr>
        <w:t>2014-2422758; James and Karen Eurich at Docket No. C-2014-2422756; Marlene</w:t>
      </w:r>
      <w:r w:rsidR="00BC101C">
        <w:rPr>
          <w:szCs w:val="26"/>
        </w:rPr>
        <w:t> </w:t>
      </w:r>
      <w:r w:rsidR="00B8117C" w:rsidRPr="00B8117C">
        <w:rPr>
          <w:szCs w:val="26"/>
        </w:rPr>
        <w:t>Hoover at Docket No. C-2014-2427251; Betty Learn at Docket No. C-2014-2422753; William and Leslie Mayhugh at Docket No. C-2014-2422690; Lloyd Nyberg at Docket No. C-2014-2427238; Joseph Rizzo at Docket No. C-2014-2422703; Thomas and Kimberly Eurich at Docket No. C-2014-2427240</w:t>
      </w:r>
      <w:r w:rsidRPr="00400623">
        <w:rPr>
          <w:szCs w:val="26"/>
        </w:rPr>
        <w:t>; Earl and Sue Christy, Docket No. C</w:t>
      </w:r>
      <w:r w:rsidR="00BC101C">
        <w:rPr>
          <w:szCs w:val="26"/>
        </w:rPr>
        <w:noBreakHyphen/>
      </w:r>
      <w:r w:rsidRPr="00400623">
        <w:rPr>
          <w:szCs w:val="26"/>
        </w:rPr>
        <w:t xml:space="preserve">2014-2430205; Earl and Leetta Christy, Docket No. C-2014-2430206; Louis and Marie Bauldoff, Docket No. C-2014-2430207; and Melissa Phillips, Docket No. C-2014-2430208.  </w:t>
      </w:r>
      <w:r w:rsidR="00B8117C" w:rsidRPr="00B8117C">
        <w:rPr>
          <w:szCs w:val="26"/>
        </w:rPr>
        <w:t xml:space="preserve">All of the </w:t>
      </w:r>
      <w:r w:rsidRPr="00400623">
        <w:rPr>
          <w:szCs w:val="26"/>
        </w:rPr>
        <w:t>C</w:t>
      </w:r>
      <w:r w:rsidR="00B8117C" w:rsidRPr="00B8117C">
        <w:rPr>
          <w:szCs w:val="26"/>
        </w:rPr>
        <w:t>omplaints were consolidated for mediation, hearing and disposition into this base rate proceeding at Docket No. R-2014-2414379.</w:t>
      </w:r>
    </w:p>
    <w:p w:rsidR="00B8117C" w:rsidRDefault="00B8117C" w:rsidP="009C6449">
      <w:pPr>
        <w:rPr>
          <w:rFonts w:eastAsiaTheme="minorHAnsi"/>
          <w:sz w:val="24"/>
        </w:rPr>
      </w:pPr>
    </w:p>
    <w:p w:rsidR="004A0333" w:rsidRDefault="004A0333" w:rsidP="004A0333">
      <w:pPr>
        <w:rPr>
          <w:rFonts w:eastAsiaTheme="minorHAnsi"/>
        </w:rPr>
      </w:pPr>
      <w:r>
        <w:rPr>
          <w:rFonts w:eastAsiaTheme="minorHAnsi"/>
        </w:rPr>
        <w:t xml:space="preserve">On June 2, 2014, the Commission received a petition </w:t>
      </w:r>
      <w:r w:rsidR="00567FDA">
        <w:rPr>
          <w:rFonts w:eastAsiaTheme="minorHAnsi"/>
        </w:rPr>
        <w:t>containing approximately 141 signatures oppos</w:t>
      </w:r>
      <w:r w:rsidR="00BC101C">
        <w:rPr>
          <w:rFonts w:eastAsiaTheme="minorHAnsi"/>
        </w:rPr>
        <w:t>ing the proposed rate increase.</w:t>
      </w:r>
    </w:p>
    <w:p w:rsidR="004A0333" w:rsidRDefault="004A0333" w:rsidP="009C6449">
      <w:pPr>
        <w:rPr>
          <w:rFonts w:eastAsiaTheme="minorHAnsi"/>
          <w:sz w:val="24"/>
        </w:rPr>
      </w:pPr>
    </w:p>
    <w:p w:rsidR="009C6449" w:rsidRDefault="00B8117C" w:rsidP="009C6449">
      <w:pPr>
        <w:rPr>
          <w:rFonts w:eastAsiaTheme="minorHAnsi"/>
          <w:sz w:val="24"/>
        </w:rPr>
      </w:pPr>
      <w:r>
        <w:t>A Public Input Hearing was held on Thursday, August 21, 2014</w:t>
      </w:r>
      <w:r w:rsidR="006F0F9A">
        <w:t>,</w:t>
      </w:r>
      <w:r>
        <w:t xml:space="preserve"> at 6:00 p.m., at the Winfield Township Municipal Building, Cabot, PA.  Notice of the Public Input Hearing was published in the </w:t>
      </w:r>
      <w:r w:rsidRPr="00457175">
        <w:rPr>
          <w:i/>
        </w:rPr>
        <w:t>Butler Eagle</w:t>
      </w:r>
      <w:r>
        <w:t xml:space="preserve"> on August 5, 2014 and August 12, 2014.  </w:t>
      </w:r>
      <w:r w:rsidR="00283194">
        <w:t>T</w:t>
      </w:r>
      <w:r>
        <w:t xml:space="preserve">welve individuals offered testimony under oath at the Public Input Hearing.  </w:t>
      </w:r>
      <w:r w:rsidR="00F2681E">
        <w:t xml:space="preserve">Joseph Rizzo submitted four exhibits which were subsequently admitted into the record. </w:t>
      </w:r>
    </w:p>
    <w:p w:rsidR="009C6449" w:rsidRDefault="009C6449" w:rsidP="009C6449">
      <w:pPr>
        <w:rPr>
          <w:rFonts w:eastAsiaTheme="minorHAnsi"/>
          <w:sz w:val="24"/>
        </w:rPr>
      </w:pPr>
    </w:p>
    <w:p w:rsidR="006F0F9A" w:rsidRPr="006F0F9A" w:rsidRDefault="004A249A" w:rsidP="000D406D">
      <w:pPr>
        <w:rPr>
          <w:szCs w:val="26"/>
        </w:rPr>
      </w:pPr>
      <w:r>
        <w:rPr>
          <w:szCs w:val="26"/>
        </w:rPr>
        <w:t>The</w:t>
      </w:r>
      <w:r w:rsidRPr="004A249A">
        <w:t xml:space="preserve"> </w:t>
      </w:r>
      <w:r>
        <w:t>Company agreed to mediation of this base rate case and o</w:t>
      </w:r>
      <w:r w:rsidR="006F0F9A" w:rsidRPr="006F0F9A">
        <w:rPr>
          <w:szCs w:val="26"/>
        </w:rPr>
        <w:t>n September</w:t>
      </w:r>
      <w:r w:rsidR="00BC101C">
        <w:rPr>
          <w:szCs w:val="26"/>
        </w:rPr>
        <w:t> </w:t>
      </w:r>
      <w:r w:rsidR="006F0F9A" w:rsidRPr="006F0F9A">
        <w:rPr>
          <w:szCs w:val="26"/>
        </w:rPr>
        <w:t>30, 2014, the Company filed Tariff Supplement No. 45 to Tariff Gas – Pa. P.U.C. No. 4</w:t>
      </w:r>
      <w:r w:rsidR="00B07863" w:rsidRPr="009B4802">
        <w:rPr>
          <w:szCs w:val="26"/>
        </w:rPr>
        <w:t xml:space="preserve">, extending the effective rate of the proposed tariff until April 2, 2015. </w:t>
      </w:r>
      <w:r w:rsidR="005D747B">
        <w:rPr>
          <w:szCs w:val="26"/>
        </w:rPr>
        <w:t xml:space="preserve"> </w:t>
      </w:r>
      <w:r w:rsidR="006F0F9A" w:rsidRPr="006F0F9A">
        <w:rPr>
          <w:szCs w:val="26"/>
        </w:rPr>
        <w:t xml:space="preserve">On October 23, 2014, the Company contemporaneously filed a Motion for </w:t>
      </w:r>
      <w:r w:rsidR="00B07863" w:rsidRPr="009B4802">
        <w:rPr>
          <w:szCs w:val="26"/>
        </w:rPr>
        <w:t>Ninety</w:t>
      </w:r>
      <w:r w:rsidR="006F0F9A" w:rsidRPr="006F0F9A">
        <w:rPr>
          <w:szCs w:val="26"/>
        </w:rPr>
        <w:t>-</w:t>
      </w:r>
      <w:r w:rsidR="009B4802" w:rsidRPr="009B4802">
        <w:rPr>
          <w:szCs w:val="26"/>
        </w:rPr>
        <w:t>D</w:t>
      </w:r>
      <w:r w:rsidR="006F0F9A" w:rsidRPr="006F0F9A">
        <w:rPr>
          <w:szCs w:val="26"/>
        </w:rPr>
        <w:t xml:space="preserve">ay </w:t>
      </w:r>
      <w:r w:rsidR="00B07863" w:rsidRPr="009B4802">
        <w:rPr>
          <w:szCs w:val="26"/>
        </w:rPr>
        <w:lastRenderedPageBreak/>
        <w:t>E</w:t>
      </w:r>
      <w:r w:rsidR="006F0F9A" w:rsidRPr="006F0F9A">
        <w:rPr>
          <w:szCs w:val="26"/>
        </w:rPr>
        <w:t>xtension of the Procedural Schedule and Supplement No. 47</w:t>
      </w:r>
      <w:r w:rsidR="006F0F9A" w:rsidRPr="009B4802">
        <w:rPr>
          <w:szCs w:val="26"/>
          <w:vertAlign w:val="superscript"/>
        </w:rPr>
        <w:footnoteReference w:id="4"/>
      </w:r>
      <w:r w:rsidR="006F0F9A" w:rsidRPr="006F0F9A">
        <w:rPr>
          <w:szCs w:val="26"/>
        </w:rPr>
        <w:t xml:space="preserve"> to Tariff Gas-Pa. P.U.C. No. 4</w:t>
      </w:r>
      <w:r w:rsidR="00DE0051">
        <w:rPr>
          <w:szCs w:val="26"/>
        </w:rPr>
        <w:t>,</w:t>
      </w:r>
      <w:r w:rsidR="006F0F9A" w:rsidRPr="006F0F9A">
        <w:rPr>
          <w:szCs w:val="26"/>
        </w:rPr>
        <w:t xml:space="preserve"> extending the effective date an additional </w:t>
      </w:r>
      <w:r w:rsidR="00DE0051">
        <w:rPr>
          <w:szCs w:val="26"/>
        </w:rPr>
        <w:t>ninety</w:t>
      </w:r>
      <w:r w:rsidR="006F0F9A" w:rsidRPr="006F0F9A">
        <w:rPr>
          <w:szCs w:val="26"/>
        </w:rPr>
        <w:t xml:space="preserve"> days, to August 2, 2015.  </w:t>
      </w:r>
    </w:p>
    <w:p w:rsidR="009C6449" w:rsidRDefault="009C6449" w:rsidP="000D406D">
      <w:pPr>
        <w:rPr>
          <w:rFonts w:eastAsiaTheme="minorHAnsi"/>
          <w:sz w:val="24"/>
        </w:rPr>
      </w:pPr>
    </w:p>
    <w:p w:rsidR="003B2DC1" w:rsidRPr="0092246D" w:rsidRDefault="00D137B2" w:rsidP="000D406D">
      <w:r>
        <w:t>O</w:t>
      </w:r>
      <w:r w:rsidR="00FC7740">
        <w:t>n February 2, 2015, the</w:t>
      </w:r>
      <w:r w:rsidR="009B4802" w:rsidRPr="009B4802">
        <w:t xml:space="preserve"> Joint Petition was filed and served on nine </w:t>
      </w:r>
      <w:r w:rsidR="00B8694E">
        <w:t>o</w:t>
      </w:r>
      <w:r w:rsidR="003B2DC1">
        <w:t xml:space="preserve">f the thirteen </w:t>
      </w:r>
      <w:r w:rsidR="009B4802" w:rsidRPr="009B4802">
        <w:t xml:space="preserve">individual Complainants whose </w:t>
      </w:r>
      <w:r w:rsidR="00B8694E">
        <w:t>C</w:t>
      </w:r>
      <w:r w:rsidR="009B4802" w:rsidRPr="009B4802">
        <w:t>omplaints were consolidated with this rate proceeding.</w:t>
      </w:r>
      <w:r w:rsidR="009B4802" w:rsidRPr="009B4802">
        <w:rPr>
          <w:sz w:val="24"/>
        </w:rPr>
        <w:t xml:space="preserve">  </w:t>
      </w:r>
      <w:r w:rsidR="009B4802" w:rsidRPr="009B4802">
        <w:t xml:space="preserve">On February 4, 2015, </w:t>
      </w:r>
      <w:r w:rsidR="003B2DC1" w:rsidRPr="003B2DC1">
        <w:t xml:space="preserve">the ALJ </w:t>
      </w:r>
      <w:r w:rsidR="009B4802" w:rsidRPr="009B4802">
        <w:t xml:space="preserve">issued a letter to each of the nine Complainants advising them of the Settlement and instructing them how to file and serve objections to the Settlement.   Objections were requested to be filed by February 17, 2015.  </w:t>
      </w:r>
      <w:r w:rsidR="003B2DC1" w:rsidRPr="0092246D">
        <w:t xml:space="preserve">On February 9, 2015, the ALJ discovered there were four Complaints that had not been consolidated with the instant rate proceeding.  These four Complaints were consolidated for hearing and disposition with this rate proceeding in the ALJ’s Fourth Interim Order issued February 9, 2015.  </w:t>
      </w:r>
      <w:r w:rsidR="003B2DC1">
        <w:t xml:space="preserve">On February 12, 2015, the ALJ sent a letter to these four Complainants which, </w:t>
      </w:r>
      <w:r w:rsidR="003B2DC1" w:rsidRPr="003B2DC1">
        <w:rPr>
          <w:i/>
        </w:rPr>
        <w:t>inter alia</w:t>
      </w:r>
      <w:r w:rsidR="003B2DC1">
        <w:t xml:space="preserve">, requested that any Objections to the proposed Settlement </w:t>
      </w:r>
      <w:r w:rsidR="00F2681E">
        <w:t xml:space="preserve">be filed by February 25, 2015.  R.D. at 3-4.  Objections </w:t>
      </w:r>
      <w:r w:rsidR="00B8694E">
        <w:t xml:space="preserve">to the Settlement </w:t>
      </w:r>
      <w:r w:rsidR="00F2681E">
        <w:t>were filed by Earl and Sue Christy, Earl and Leetta Christy and Joseph Rizzo</w:t>
      </w:r>
      <w:r w:rsidR="00301DD2">
        <w:t xml:space="preserve"> between February 23, 2015 and March 6, 2015.</w:t>
      </w:r>
    </w:p>
    <w:p w:rsidR="009B4802" w:rsidRPr="009B4802" w:rsidRDefault="009B4802" w:rsidP="009B4802">
      <w:pPr>
        <w:rPr>
          <w:szCs w:val="26"/>
        </w:rPr>
      </w:pPr>
    </w:p>
    <w:p w:rsidR="003A438D" w:rsidRDefault="000070F9" w:rsidP="00732FEB">
      <w:pPr>
        <w:rPr>
          <w:szCs w:val="26"/>
        </w:rPr>
      </w:pPr>
      <w:r>
        <w:t xml:space="preserve">On April 9, 2015, the Commission issued the Recommended Decision which, </w:t>
      </w:r>
      <w:r w:rsidRPr="00646E18">
        <w:rPr>
          <w:i/>
        </w:rPr>
        <w:t>inter alia</w:t>
      </w:r>
      <w:r>
        <w:t xml:space="preserve">, </w:t>
      </w:r>
      <w:r w:rsidR="00FC7740">
        <w:t xml:space="preserve">recommended </w:t>
      </w:r>
      <w:r>
        <w:t xml:space="preserve">that the Joint Petition be approved without modification.  </w:t>
      </w:r>
      <w:r>
        <w:rPr>
          <w:szCs w:val="26"/>
        </w:rPr>
        <w:t>Exceptions to the Recommended Decision were filed by Joseph Rizzo on April 22, 2015, and by Kimberly Eurich on May 10, 2015.  Herman filed Replies to the Exceptions of Mr. Rizzo on May 11, 2015</w:t>
      </w:r>
      <w:r w:rsidR="00732FEB">
        <w:rPr>
          <w:szCs w:val="26"/>
        </w:rPr>
        <w:t xml:space="preserve"> (Herman R.E. No. 1)</w:t>
      </w:r>
      <w:r w:rsidR="00FC7740">
        <w:rPr>
          <w:szCs w:val="26"/>
        </w:rPr>
        <w:t xml:space="preserve">, </w:t>
      </w:r>
      <w:r w:rsidR="00FC7740" w:rsidRPr="00732FEB">
        <w:rPr>
          <w:szCs w:val="26"/>
        </w:rPr>
        <w:t xml:space="preserve">and Replies to the Exceptions of Kimberly Eurich on </w:t>
      </w:r>
      <w:r w:rsidR="00732FEB" w:rsidRPr="00732FEB">
        <w:rPr>
          <w:szCs w:val="26"/>
        </w:rPr>
        <w:t>May 22, 2015</w:t>
      </w:r>
      <w:r w:rsidR="00732FEB">
        <w:rPr>
          <w:szCs w:val="26"/>
        </w:rPr>
        <w:t xml:space="preserve"> </w:t>
      </w:r>
      <w:r w:rsidR="00732FEB" w:rsidRPr="00732FEB">
        <w:rPr>
          <w:szCs w:val="26"/>
        </w:rPr>
        <w:t xml:space="preserve">(Herman R.E. No. </w:t>
      </w:r>
      <w:r w:rsidR="00732FEB">
        <w:rPr>
          <w:szCs w:val="26"/>
        </w:rPr>
        <w:t>2</w:t>
      </w:r>
      <w:r w:rsidR="00732FEB" w:rsidRPr="00732FEB">
        <w:rPr>
          <w:szCs w:val="26"/>
        </w:rPr>
        <w:t>).</w:t>
      </w:r>
    </w:p>
    <w:p w:rsidR="00D137B2" w:rsidRPr="00732FEB" w:rsidRDefault="00D137B2" w:rsidP="00732FEB"/>
    <w:p w:rsidR="003B56C1" w:rsidRPr="003B56C1" w:rsidRDefault="003B56C1" w:rsidP="003B56C1">
      <w:pPr>
        <w:pStyle w:val="Heading2"/>
        <w:keepLines w:val="0"/>
        <w:numPr>
          <w:ilvl w:val="0"/>
          <w:numId w:val="0"/>
        </w:numPr>
        <w:ind w:left="360"/>
        <w:rPr>
          <w:color w:val="FF0000"/>
        </w:rPr>
      </w:pPr>
    </w:p>
    <w:p w:rsidR="003B56C1" w:rsidRPr="003B56C1" w:rsidRDefault="003B56C1" w:rsidP="000D406D">
      <w:pPr>
        <w:pStyle w:val="Heading1"/>
        <w:ind w:left="1080" w:hanging="720"/>
        <w:rPr>
          <w:color w:val="FF0000"/>
        </w:rPr>
      </w:pPr>
      <w:r w:rsidRPr="005E7AAF">
        <w:t>Discussion</w:t>
      </w:r>
    </w:p>
    <w:p w:rsidR="003B56C1" w:rsidRPr="003B56C1" w:rsidRDefault="005E7AAF" w:rsidP="000D406D">
      <w:pPr>
        <w:pStyle w:val="Heading2"/>
        <w:keepLines w:val="0"/>
        <w:numPr>
          <w:ilvl w:val="0"/>
          <w:numId w:val="0"/>
        </w:numPr>
        <w:tabs>
          <w:tab w:val="left" w:pos="5670"/>
        </w:tabs>
        <w:ind w:left="360"/>
      </w:pPr>
      <w:r>
        <w:tab/>
      </w:r>
    </w:p>
    <w:p w:rsidR="000070F9" w:rsidRDefault="000070F9" w:rsidP="005E7AAF">
      <w:pPr>
        <w:pStyle w:val="Heading2"/>
        <w:keepLines w:val="0"/>
        <w:numPr>
          <w:ilvl w:val="0"/>
          <w:numId w:val="18"/>
        </w:numPr>
        <w:ind w:left="907" w:hanging="720"/>
      </w:pPr>
      <w:r w:rsidRPr="005E7AAF">
        <w:t>L</w:t>
      </w:r>
      <w:r>
        <w:t>egal Standards</w:t>
      </w:r>
    </w:p>
    <w:p w:rsidR="000070F9" w:rsidRDefault="000070F9" w:rsidP="00301DD2">
      <w:pPr>
        <w:keepNext/>
      </w:pPr>
    </w:p>
    <w:p w:rsidR="000070F9" w:rsidRDefault="000070F9" w:rsidP="00301DD2">
      <w:pPr>
        <w:pStyle w:val="Heading3"/>
        <w:keepLines w:val="0"/>
      </w:pPr>
      <w:r>
        <w:t>Burden of Proof</w:t>
      </w:r>
    </w:p>
    <w:p w:rsidR="003A438D" w:rsidRDefault="003A438D" w:rsidP="00301DD2">
      <w:pPr>
        <w:keepNext/>
      </w:pPr>
    </w:p>
    <w:p w:rsidR="00DA676E" w:rsidRPr="005E7AAF" w:rsidRDefault="00CD476F" w:rsidP="00DA676E">
      <w:pPr>
        <w:rPr>
          <w:szCs w:val="26"/>
        </w:rPr>
      </w:pPr>
      <w:r w:rsidRPr="005E7AAF">
        <w:rPr>
          <w:szCs w:val="26"/>
        </w:rPr>
        <w:t xml:space="preserve">Public utility rates are required to be just and reasonable by </w:t>
      </w:r>
      <w:r w:rsidR="00DA676E" w:rsidRPr="005E7AAF">
        <w:rPr>
          <w:szCs w:val="26"/>
        </w:rPr>
        <w:t xml:space="preserve">virtue of </w:t>
      </w:r>
      <w:hyperlink r:id="rId9" w:history="1">
        <w:r w:rsidRPr="005E7AAF">
          <w:rPr>
            <w:rStyle w:val="Hyperlink"/>
            <w:color w:val="auto"/>
            <w:szCs w:val="26"/>
          </w:rPr>
          <w:t>Section 1301</w:t>
        </w:r>
      </w:hyperlink>
      <w:r w:rsidRPr="005E7AAF">
        <w:rPr>
          <w:szCs w:val="26"/>
        </w:rPr>
        <w:t xml:space="preserve"> of the Public Utility Code, </w:t>
      </w:r>
      <w:hyperlink r:id="rId10" w:history="1">
        <w:r w:rsidRPr="005E7AAF">
          <w:rPr>
            <w:rStyle w:val="Hyperlink"/>
            <w:color w:val="auto"/>
            <w:szCs w:val="26"/>
          </w:rPr>
          <w:t>66 Pa. C. S. § 1301</w:t>
        </w:r>
      </w:hyperlink>
      <w:r w:rsidRPr="005E7AAF">
        <w:rPr>
          <w:szCs w:val="26"/>
        </w:rPr>
        <w:t xml:space="preserve">.  </w:t>
      </w:r>
      <w:r w:rsidR="00DA676E" w:rsidRPr="005E7AAF">
        <w:rPr>
          <w:szCs w:val="26"/>
        </w:rPr>
        <w:t xml:space="preserve">Typically in proceedings before the Commission, the public utility has the burden to establish the justness and reasonableness of every element of its rate increase in all proceedings conducted under Section 1308(d) of the Code, </w:t>
      </w:r>
      <w:hyperlink r:id="rId11" w:history="1">
        <w:r w:rsidR="00DA676E" w:rsidRPr="005E7AAF">
          <w:rPr>
            <w:rStyle w:val="Hyperlink"/>
            <w:color w:val="auto"/>
            <w:szCs w:val="26"/>
          </w:rPr>
          <w:t>66 Pa. C.S. § 1308(d)</w:t>
        </w:r>
      </w:hyperlink>
      <w:r w:rsidR="00DA676E" w:rsidRPr="005E7AAF">
        <w:rPr>
          <w:szCs w:val="26"/>
        </w:rPr>
        <w:t xml:space="preserve">.  The standard of proof which a public utility must meet is set forth in Section 315(a) of the Code, </w:t>
      </w:r>
      <w:hyperlink r:id="rId12" w:history="1">
        <w:r w:rsidR="00DA676E" w:rsidRPr="005E7AAF">
          <w:rPr>
            <w:rStyle w:val="Hyperlink"/>
            <w:color w:val="auto"/>
            <w:szCs w:val="26"/>
          </w:rPr>
          <w:t>66 Pa. C.S. § 315(a)</w:t>
        </w:r>
      </w:hyperlink>
      <w:r w:rsidR="00DA676E" w:rsidRPr="005E7AAF">
        <w:rPr>
          <w:szCs w:val="26"/>
        </w:rPr>
        <w:t xml:space="preserve">, which specifies that,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w:t>
      </w:r>
      <w:r w:rsidR="00DA676E" w:rsidRPr="005E7AAF">
        <w:rPr>
          <w:i/>
          <w:szCs w:val="26"/>
        </w:rPr>
        <w:t>See Pa. PUC</w:t>
      </w:r>
      <w:r w:rsidR="00A2385A" w:rsidRPr="005E7AAF">
        <w:rPr>
          <w:i/>
          <w:szCs w:val="26"/>
        </w:rPr>
        <w:t>, et al.</w:t>
      </w:r>
      <w:r w:rsidR="00DA676E" w:rsidRPr="005E7AAF">
        <w:rPr>
          <w:i/>
          <w:szCs w:val="26"/>
        </w:rPr>
        <w:t xml:space="preserve"> v. Columbia Gas of Pennsylvania</w:t>
      </w:r>
      <w:r w:rsidR="00A2385A" w:rsidRPr="005E7AAF">
        <w:rPr>
          <w:i/>
          <w:szCs w:val="26"/>
        </w:rPr>
        <w:t>, Inc., et al.</w:t>
      </w:r>
      <w:r w:rsidR="00A2385A" w:rsidRPr="005E7AAF">
        <w:rPr>
          <w:szCs w:val="26"/>
        </w:rPr>
        <w:t xml:space="preserve">, Docket No. R-2010-2215623, </w:t>
      </w:r>
      <w:r w:rsidR="00A2385A" w:rsidRPr="005E7AAF">
        <w:rPr>
          <w:i/>
          <w:szCs w:val="26"/>
        </w:rPr>
        <w:t>et al</w:t>
      </w:r>
      <w:r w:rsidR="00A2385A" w:rsidRPr="005E7AAF">
        <w:rPr>
          <w:szCs w:val="26"/>
        </w:rPr>
        <w:t>. (Order entered October 14, 2011).</w:t>
      </w:r>
    </w:p>
    <w:p w:rsidR="00DA676E" w:rsidRDefault="00DA676E" w:rsidP="00DA676E">
      <w:pPr>
        <w:ind w:firstLine="0"/>
        <w:rPr>
          <w:szCs w:val="26"/>
        </w:rPr>
      </w:pPr>
    </w:p>
    <w:p w:rsidR="003A4198" w:rsidRPr="005E7AAF" w:rsidRDefault="003A4198" w:rsidP="00CD476F">
      <w:pPr>
        <w:rPr>
          <w:szCs w:val="26"/>
        </w:rPr>
      </w:pPr>
      <w:r w:rsidRPr="003A438D">
        <w:rPr>
          <w:rFonts w:eastAsiaTheme="minorHAnsi"/>
          <w:snapToGrid w:val="0"/>
        </w:rPr>
        <w:t xml:space="preserve">Section 332(a) of the </w:t>
      </w:r>
      <w:r>
        <w:rPr>
          <w:rFonts w:eastAsiaTheme="minorHAnsi"/>
          <w:snapToGrid w:val="0"/>
        </w:rPr>
        <w:t xml:space="preserve">Public Utility </w:t>
      </w:r>
      <w:r w:rsidRPr="003A438D">
        <w:rPr>
          <w:rFonts w:eastAsiaTheme="minorHAnsi"/>
          <w:snapToGrid w:val="0"/>
        </w:rPr>
        <w:t xml:space="preserve">Code, 66 Pa. C.S.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3A438D">
        <w:rPr>
          <w:rFonts w:eastAsiaTheme="minorHAnsi"/>
          <w:i/>
          <w:snapToGrid w:val="0"/>
        </w:rPr>
        <w:t>Samuel J. Lansberry, Inc. v. Pa. PUC</w:t>
      </w:r>
      <w:r w:rsidRPr="003A438D">
        <w:rPr>
          <w:rFonts w:eastAsiaTheme="minorHAnsi"/>
          <w:snapToGrid w:val="0"/>
        </w:rPr>
        <w:t>, 578</w:t>
      </w:r>
      <w:r w:rsidRPr="003A438D">
        <w:rPr>
          <w:rFonts w:eastAsiaTheme="minorHAnsi"/>
          <w:bCs/>
        </w:rPr>
        <w:t xml:space="preserve"> A.2d 600, 602 (Pa. Cmwlth. 1990), </w:t>
      </w:r>
      <w:r w:rsidRPr="003A438D">
        <w:rPr>
          <w:rFonts w:eastAsiaTheme="minorHAnsi"/>
          <w:bCs/>
          <w:i/>
        </w:rPr>
        <w:t>alloc. denied</w:t>
      </w:r>
      <w:r w:rsidRPr="003A438D">
        <w:rPr>
          <w:rFonts w:eastAsiaTheme="minorHAnsi"/>
          <w:bCs/>
        </w:rPr>
        <w:t>, 529 Pa. 654,602 A.2d 863 (1992).  T</w:t>
      </w:r>
      <w:r w:rsidRPr="003A438D">
        <w:rPr>
          <w:rFonts w:eastAsiaTheme="minorHAnsi"/>
          <w:iCs/>
        </w:rPr>
        <w:t xml:space="preserve">he term “preponderance of the evidence” means that one party has presented evidence that is more convincing, by even the smallest amount, than the evidence presented by the other party.  </w:t>
      </w:r>
      <w:r w:rsidRPr="003A438D">
        <w:rPr>
          <w:rFonts w:eastAsiaTheme="minorHAnsi"/>
          <w:i/>
          <w:iCs/>
        </w:rPr>
        <w:t xml:space="preserve">Se-ling Hosiery v. Margulies, </w:t>
      </w:r>
      <w:r w:rsidRPr="003A438D">
        <w:rPr>
          <w:rFonts w:eastAsiaTheme="minorHAnsi"/>
          <w:iCs/>
        </w:rPr>
        <w:t xml:space="preserve">364 Pa. 45.70 </w:t>
      </w:r>
      <w:r w:rsidRPr="003A438D">
        <w:rPr>
          <w:rFonts w:eastAsiaTheme="minorHAnsi"/>
          <w:iCs/>
        </w:rPr>
        <w:lastRenderedPageBreak/>
        <w:t>A.2d 857 (1950).</w:t>
      </w:r>
      <w:r>
        <w:rPr>
          <w:rFonts w:eastAsiaTheme="minorHAnsi"/>
          <w:iCs/>
        </w:rPr>
        <w:t xml:space="preserve">  </w:t>
      </w:r>
      <w:r w:rsidRPr="005E7AAF">
        <w:rPr>
          <w:rFonts w:eastAsiaTheme="minorHAnsi"/>
          <w:iCs/>
        </w:rPr>
        <w:t>Because the complaints are against proposed rates, Herman has the burden of proof.</w:t>
      </w:r>
      <w:r w:rsidR="00A2385A" w:rsidRPr="005E7AAF">
        <w:rPr>
          <w:rStyle w:val="FootnoteReference"/>
          <w:rFonts w:eastAsiaTheme="minorHAnsi"/>
          <w:iCs/>
        </w:rPr>
        <w:footnoteReference w:id="5"/>
      </w:r>
      <w:r w:rsidRPr="005E7AAF">
        <w:rPr>
          <w:rFonts w:eastAsiaTheme="minorHAnsi"/>
          <w:iCs/>
        </w:rPr>
        <w:t xml:space="preserve">  </w:t>
      </w:r>
    </w:p>
    <w:p w:rsidR="003A438D" w:rsidRPr="003A438D" w:rsidRDefault="003A438D" w:rsidP="003A438D"/>
    <w:p w:rsidR="003A438D" w:rsidRPr="003A438D" w:rsidRDefault="003A438D" w:rsidP="003A438D">
      <w:pPr>
        <w:pStyle w:val="Heading3"/>
      </w:pPr>
      <w:r w:rsidRPr="003A438D">
        <w:t>Settlements</w:t>
      </w:r>
    </w:p>
    <w:p w:rsidR="003A438D" w:rsidRPr="003A438D" w:rsidRDefault="003A438D" w:rsidP="003A438D">
      <w:pPr>
        <w:keepNext/>
        <w:rPr>
          <w:szCs w:val="26"/>
        </w:rPr>
      </w:pPr>
    </w:p>
    <w:p w:rsidR="003A438D" w:rsidRDefault="003A438D" w:rsidP="003A438D">
      <w:pPr>
        <w:keepNext/>
        <w:rPr>
          <w:color w:val="333333"/>
          <w:szCs w:val="26"/>
        </w:rPr>
      </w:pPr>
      <w:r w:rsidRPr="003A438D">
        <w:rPr>
          <w:szCs w:val="26"/>
        </w:rPr>
        <w:t xml:space="preserve">It is the policy of the Commission to encourage settlements. </w:t>
      </w:r>
      <w:r>
        <w:rPr>
          <w:szCs w:val="26"/>
        </w:rPr>
        <w:t xml:space="preserve"> </w:t>
      </w:r>
      <w:hyperlink r:id="rId13" w:history="1">
        <w:r w:rsidRPr="003A438D">
          <w:rPr>
            <w:szCs w:val="26"/>
          </w:rPr>
          <w:t>52 Pa. Code §</w:t>
        </w:r>
        <w:r w:rsidR="00BC101C">
          <w:rPr>
            <w:szCs w:val="26"/>
          </w:rPr>
          <w:t> </w:t>
        </w:r>
        <w:r w:rsidRPr="003A438D">
          <w:rPr>
            <w:szCs w:val="26"/>
          </w:rPr>
          <w:t>5.231</w:t>
        </w:r>
      </w:hyperlink>
      <w:r w:rsidRPr="003A438D">
        <w:rPr>
          <w:szCs w:val="26"/>
        </w:rPr>
        <w:t xml:space="preserve">(a).  The Commission has indicated that settlement results are often preferable to those achieved at the conclusion of a fully litigated proceeding.  52 Pa. Code § 69.401.  </w:t>
      </w:r>
      <w:r w:rsidRPr="003A438D">
        <w:rPr>
          <w:color w:val="333333"/>
          <w:szCs w:val="26"/>
        </w:rPr>
        <w:t xml:space="preserve">In order to accept a settlement, the Commission must determine that the proposed terms and conditions are in the public interest.  </w:t>
      </w:r>
      <w:r w:rsidRPr="003A438D">
        <w:rPr>
          <w:i/>
          <w:szCs w:val="26"/>
        </w:rPr>
        <w:t>Pa. PUC v. Philadelphia Gas Works</w:t>
      </w:r>
      <w:r w:rsidRPr="003A438D">
        <w:rPr>
          <w:szCs w:val="26"/>
        </w:rPr>
        <w:t>, Docket No. M-00031768 (Order entered January 7, 2004)</w:t>
      </w:r>
      <w:r w:rsidRPr="003A438D">
        <w:rPr>
          <w:color w:val="333333"/>
          <w:szCs w:val="26"/>
        </w:rPr>
        <w:t xml:space="preserve">; </w:t>
      </w:r>
      <w:r w:rsidRPr="003A438D">
        <w:rPr>
          <w:i/>
          <w:iCs/>
          <w:color w:val="333333"/>
          <w:szCs w:val="26"/>
        </w:rPr>
        <w:t>Pa. PUC v. C S Water and Sewer Assoc.</w:t>
      </w:r>
      <w:r w:rsidRPr="003A438D">
        <w:rPr>
          <w:color w:val="333333"/>
          <w:szCs w:val="26"/>
        </w:rPr>
        <w:t>, 74 Pa. P.U.C. 767 (1991).</w:t>
      </w:r>
    </w:p>
    <w:p w:rsidR="00BC101C" w:rsidRDefault="00BC101C" w:rsidP="00BC101C">
      <w:pPr>
        <w:rPr>
          <w:color w:val="333333"/>
          <w:szCs w:val="26"/>
        </w:rPr>
      </w:pPr>
    </w:p>
    <w:p w:rsidR="008B40CF" w:rsidRDefault="008B40CF" w:rsidP="00BC101C">
      <w:pPr>
        <w:pStyle w:val="Heading3"/>
      </w:pPr>
      <w:r>
        <w:t>Exceptions</w:t>
      </w:r>
    </w:p>
    <w:p w:rsidR="00EF3972" w:rsidRDefault="00EF3972" w:rsidP="00BC101C">
      <w:pPr>
        <w:keepNext/>
        <w:keepLines/>
      </w:pPr>
    </w:p>
    <w:p w:rsidR="00EB5253" w:rsidRPr="00EB5253" w:rsidRDefault="00EB5253" w:rsidP="00EB5253">
      <w:pPr>
        <w:rPr>
          <w:rFonts w:cs="Mangal"/>
          <w:szCs w:val="26"/>
          <w:lang w:bidi="hi-IN"/>
        </w:rPr>
      </w:pPr>
      <w:r w:rsidRPr="00EB5253">
        <w:rPr>
          <w:rFonts w:cs="Mangal"/>
          <w:szCs w:val="26"/>
          <w:lang w:bidi="hi-IN"/>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EB5253">
        <w:rPr>
          <w:rFonts w:cs="Mangal"/>
          <w:i/>
          <w:szCs w:val="26"/>
          <w:lang w:bidi="hi-IN"/>
        </w:rPr>
        <w:t>Consolidated Rail Corporation v. Pennsylvania Public Utility Commission</w:t>
      </w:r>
      <w:r w:rsidRPr="00EB5253">
        <w:rPr>
          <w:rFonts w:cs="Mangal"/>
          <w:szCs w:val="26"/>
          <w:lang w:bidi="hi-IN"/>
        </w:rPr>
        <w:t xml:space="preserve">, 625 A.2d 741 (Pa. Cmwlth. 1993); </w:t>
      </w:r>
      <w:r w:rsidRPr="00EB5253">
        <w:rPr>
          <w:rFonts w:cs="Mangal"/>
          <w:i/>
          <w:szCs w:val="26"/>
          <w:lang w:bidi="hi-IN"/>
        </w:rPr>
        <w:t>see also</w:t>
      </w:r>
      <w:r w:rsidRPr="00EB5253">
        <w:rPr>
          <w:rFonts w:cs="Mangal"/>
          <w:szCs w:val="26"/>
          <w:lang w:bidi="hi-IN"/>
        </w:rPr>
        <w:t xml:space="preserve">, </w:t>
      </w:r>
      <w:r w:rsidRPr="00EB5253">
        <w:rPr>
          <w:rFonts w:cs="Mangal"/>
          <w:i/>
          <w:szCs w:val="26"/>
          <w:lang w:bidi="hi-IN"/>
        </w:rPr>
        <w:t>generally</w:t>
      </w:r>
      <w:r w:rsidRPr="00EB5253">
        <w:rPr>
          <w:rFonts w:cs="Mangal"/>
          <w:szCs w:val="26"/>
          <w:lang w:bidi="hi-IN"/>
        </w:rPr>
        <w:t xml:space="preserve">, </w:t>
      </w:r>
      <w:r w:rsidRPr="00EB5253">
        <w:rPr>
          <w:rFonts w:cs="Mangal"/>
          <w:i/>
          <w:szCs w:val="26"/>
          <w:lang w:bidi="hi-IN"/>
        </w:rPr>
        <w:t>University of Pennsylvania v. Pa. PUC</w:t>
      </w:r>
      <w:r w:rsidRPr="00EB5253">
        <w:rPr>
          <w:rFonts w:cs="Mangal"/>
          <w:szCs w:val="26"/>
          <w:lang w:bidi="hi-IN"/>
        </w:rPr>
        <w:t>, 485 A.2d 1217 (Pa. Cmwlth. 1984).</w:t>
      </w:r>
    </w:p>
    <w:p w:rsidR="00EB5253" w:rsidRPr="00EB5253" w:rsidRDefault="00EB5253" w:rsidP="00EB5253">
      <w:pPr>
        <w:rPr>
          <w:rFonts w:cs="Mangal"/>
          <w:szCs w:val="26"/>
          <w:lang w:bidi="hi-IN"/>
        </w:rPr>
      </w:pPr>
    </w:p>
    <w:p w:rsidR="00EB5253" w:rsidRPr="00EB5253" w:rsidRDefault="00EB5253" w:rsidP="00EB5253">
      <w:pPr>
        <w:rPr>
          <w:rFonts w:cs="Mangal"/>
          <w:color w:val="000000"/>
          <w:szCs w:val="26"/>
          <w:lang w:bidi="hi-IN"/>
        </w:rPr>
      </w:pPr>
      <w:r w:rsidRPr="00EB5253">
        <w:rPr>
          <w:rFonts w:cs="Mangal"/>
          <w:color w:val="000000"/>
          <w:szCs w:val="26"/>
          <w:lang w:bidi="hi-IN"/>
        </w:rPr>
        <w:lastRenderedPageBreak/>
        <w:t>We note at the outset that the Exceptions of Ms. Eurich and Mr. Rizzo are not in strict compliance with Section 5.533(b) of our Rules of Administrative Practice and Procedure, 52 Pa. Code § 5.533(b), which provides that: </w:t>
      </w:r>
    </w:p>
    <w:p w:rsidR="00EB5253" w:rsidRPr="00EB5253" w:rsidRDefault="00EB5253" w:rsidP="00EB5253">
      <w:pPr>
        <w:rPr>
          <w:rFonts w:cs="Mangal"/>
          <w:color w:val="000000"/>
          <w:szCs w:val="26"/>
          <w:lang w:bidi="hi-IN"/>
        </w:rPr>
      </w:pPr>
      <w:r w:rsidRPr="00EB5253">
        <w:rPr>
          <w:rFonts w:cs="Mangal"/>
          <w:color w:val="000000"/>
          <w:szCs w:val="26"/>
          <w:lang w:bidi="hi-IN"/>
        </w:rPr>
        <w:t xml:space="preserve"> </w:t>
      </w:r>
    </w:p>
    <w:p w:rsidR="00EB5253" w:rsidRPr="00EB5253" w:rsidRDefault="00EB5253" w:rsidP="00EB5253">
      <w:pPr>
        <w:spacing w:line="240" w:lineRule="auto"/>
        <w:ind w:left="1440" w:right="1440" w:firstLine="0"/>
        <w:rPr>
          <w:rFonts w:cs="Mangal"/>
          <w:color w:val="000000"/>
          <w:szCs w:val="26"/>
          <w:lang w:bidi="hi-IN"/>
        </w:rPr>
      </w:pPr>
      <w:r w:rsidRPr="00EB5253">
        <w:rPr>
          <w:rFonts w:cs="Mangal"/>
          <w:color w:val="000000"/>
          <w:szCs w:val="26"/>
          <w:lang w:bidi="hi-IN"/>
        </w:rPr>
        <w:t>(b)</w:t>
      </w:r>
      <w:r w:rsidR="00BC101C">
        <w:rPr>
          <w:rFonts w:cs="Mangal"/>
          <w:color w:val="000000"/>
          <w:szCs w:val="26"/>
          <w:lang w:bidi="hi-IN"/>
        </w:rPr>
        <w:t xml:space="preserve">  </w:t>
      </w:r>
      <w:r w:rsidRPr="00EB5253">
        <w:rPr>
          <w:rFonts w:cs="Mangal"/>
          <w:color w:val="000000"/>
          <w:szCs w:val="26"/>
          <w:lang w:bidi="hi-IN"/>
        </w:rPr>
        <w:t>Each exception must be numbered and identify the finding of fact or conclusion of law to which exception is taken and cite relevant pages of the decision.  Supporting reasons for the exceptions shall follow each specific exception.</w:t>
      </w:r>
    </w:p>
    <w:p w:rsidR="00EB5253" w:rsidRPr="00EB5253" w:rsidRDefault="00EB5253" w:rsidP="00EB5253">
      <w:pPr>
        <w:ind w:left="1440" w:right="1440" w:firstLine="0"/>
        <w:rPr>
          <w:rFonts w:cs="Mangal"/>
          <w:color w:val="000000"/>
          <w:szCs w:val="26"/>
          <w:lang w:bidi="hi-IN"/>
        </w:rPr>
      </w:pPr>
    </w:p>
    <w:p w:rsidR="00EB5253" w:rsidRPr="00EB5253" w:rsidRDefault="00EB5253" w:rsidP="00EB5253">
      <w:pPr>
        <w:rPr>
          <w:rFonts w:cs="Mangal"/>
          <w:color w:val="000000"/>
          <w:szCs w:val="26"/>
          <w:lang w:bidi="hi-IN"/>
        </w:rPr>
      </w:pPr>
      <w:r w:rsidRPr="00EB5253">
        <w:rPr>
          <w:rFonts w:cs="Mangal"/>
          <w:color w:val="000000"/>
          <w:szCs w:val="26"/>
          <w:lang w:bidi="hi-IN"/>
        </w:rPr>
        <w:t xml:space="preserve">We recognize, however, that the Complainants are appearing </w:t>
      </w:r>
      <w:r w:rsidRPr="00EB5253">
        <w:rPr>
          <w:rFonts w:cs="Mangal"/>
          <w:i/>
          <w:color w:val="000000"/>
          <w:szCs w:val="26"/>
          <w:lang w:bidi="hi-IN"/>
        </w:rPr>
        <w:t>pro se</w:t>
      </w:r>
      <w:r w:rsidRPr="00EB5253">
        <w:rPr>
          <w:rFonts w:cs="Mangal"/>
          <w:color w:val="000000"/>
          <w:szCs w:val="26"/>
          <w:lang w:bidi="hi-IN"/>
        </w:rPr>
        <w:t xml:space="preserve"> in this proceeding.  Traditionally, we have been hesitant to rule unfavorably against </w:t>
      </w:r>
      <w:r w:rsidRPr="00EB5253">
        <w:rPr>
          <w:rFonts w:cs="Mangal"/>
          <w:bCs/>
          <w:i/>
          <w:color w:val="000000"/>
          <w:szCs w:val="26"/>
          <w:lang w:bidi="hi-IN"/>
        </w:rPr>
        <w:t>pro se</w:t>
      </w:r>
      <w:r w:rsidRPr="00EB5253">
        <w:rPr>
          <w:rFonts w:cs="Mangal"/>
          <w:bCs/>
          <w:color w:val="000000"/>
          <w:szCs w:val="26"/>
          <w:lang w:bidi="hi-IN"/>
        </w:rPr>
        <w:t xml:space="preserve"> litigants</w:t>
      </w:r>
      <w:r w:rsidRPr="00EB5253">
        <w:rPr>
          <w:rFonts w:cs="Mangal"/>
          <w:color w:val="000000"/>
          <w:szCs w:val="26"/>
          <w:lang w:bidi="hi-IN"/>
        </w:rPr>
        <w:t xml:space="preserve"> based on technical grounds. </w:t>
      </w:r>
      <w:r w:rsidRPr="00EB5253">
        <w:rPr>
          <w:rFonts w:cs="Mangal"/>
          <w:i/>
          <w:color w:val="000000"/>
          <w:szCs w:val="26"/>
          <w:lang w:bidi="hi-IN"/>
        </w:rPr>
        <w:t>See</w:t>
      </w:r>
      <w:r w:rsidRPr="00EB5253">
        <w:rPr>
          <w:rFonts w:cs="Mangal"/>
          <w:color w:val="000000"/>
          <w:szCs w:val="26"/>
          <w:lang w:bidi="hi-IN"/>
        </w:rPr>
        <w:t xml:space="preserve">, </w:t>
      </w:r>
      <w:r w:rsidRPr="00EB5253">
        <w:rPr>
          <w:rFonts w:cs="Mangal"/>
          <w:i/>
          <w:color w:val="000000"/>
          <w:szCs w:val="26"/>
          <w:lang w:bidi="hi-IN"/>
        </w:rPr>
        <w:t>e.g.</w:t>
      </w:r>
      <w:r w:rsidRPr="00EB5253">
        <w:rPr>
          <w:rFonts w:cs="Mangal"/>
          <w:color w:val="000000"/>
          <w:szCs w:val="26"/>
          <w:lang w:bidi="hi-IN"/>
        </w:rPr>
        <w:t xml:space="preserve">, </w:t>
      </w:r>
      <w:r w:rsidRPr="00EB5253">
        <w:rPr>
          <w:rFonts w:cs="Mangal"/>
          <w:i/>
          <w:color w:val="000000"/>
          <w:szCs w:val="26"/>
          <w:lang w:bidi="hi-IN"/>
        </w:rPr>
        <w:t>Destefano v. Peoples Natural Gas Company</w:t>
      </w:r>
      <w:r w:rsidRPr="00EB5253">
        <w:rPr>
          <w:rFonts w:cs="Mangal"/>
          <w:color w:val="000000"/>
          <w:szCs w:val="26"/>
          <w:lang w:bidi="hi-IN"/>
        </w:rPr>
        <w:t xml:space="preserve">, 56 Pa. P.U.C. 489 (1982); </w:t>
      </w:r>
      <w:r w:rsidRPr="00EB5253">
        <w:rPr>
          <w:rFonts w:cs="Mangal"/>
          <w:i/>
          <w:color w:val="000000"/>
          <w:szCs w:val="26"/>
          <w:lang w:bidi="hi-IN"/>
        </w:rPr>
        <w:t>Halpern v. The Bell Telephone Company of Pennsylvania</w:t>
      </w:r>
      <w:r w:rsidRPr="00EB5253">
        <w:rPr>
          <w:rFonts w:cs="Mangal"/>
          <w:color w:val="000000"/>
          <w:szCs w:val="26"/>
          <w:lang w:bidi="hi-IN"/>
        </w:rPr>
        <w:t xml:space="preserve">, Docket No. C-00923950 (October 19, 1992); and </w:t>
      </w:r>
      <w:r w:rsidRPr="00EB5253">
        <w:rPr>
          <w:rFonts w:cs="Mangal"/>
          <w:i/>
          <w:color w:val="000000"/>
          <w:szCs w:val="26"/>
          <w:lang w:bidi="hi-IN"/>
        </w:rPr>
        <w:t>William Schlinder v. The Bell Telephone Company of Pennsylvania</w:t>
      </w:r>
      <w:r w:rsidRPr="00EB5253">
        <w:rPr>
          <w:rFonts w:cs="Mangal"/>
          <w:color w:val="000000"/>
          <w:szCs w:val="26"/>
          <w:lang w:bidi="hi-IN"/>
        </w:rPr>
        <w:t xml:space="preserve">, Docket No. F-00161252 (March 26, 1993).  In our view, it is in the public interest that all litigants, particularly </w:t>
      </w:r>
      <w:r w:rsidRPr="00EB5253">
        <w:rPr>
          <w:rFonts w:cs="Mangal"/>
          <w:bCs/>
          <w:i/>
          <w:color w:val="000000"/>
          <w:szCs w:val="26"/>
          <w:lang w:bidi="hi-IN"/>
        </w:rPr>
        <w:t>pro se</w:t>
      </w:r>
      <w:r w:rsidRPr="00EB5253">
        <w:rPr>
          <w:rFonts w:cs="Mangal"/>
          <w:bCs/>
          <w:color w:val="000000"/>
          <w:szCs w:val="26"/>
          <w:lang w:bidi="hi-IN"/>
        </w:rPr>
        <w:t xml:space="preserve"> litigants</w:t>
      </w:r>
      <w:r w:rsidRPr="00EB5253">
        <w:rPr>
          <w:rFonts w:cs="Mangal"/>
          <w:b/>
          <w:bCs/>
          <w:color w:val="000000"/>
          <w:szCs w:val="26"/>
          <w:lang w:bidi="hi-IN"/>
        </w:rPr>
        <w:t>,</w:t>
      </w:r>
      <w:r w:rsidRPr="00EB5253">
        <w:rPr>
          <w:rFonts w:cs="Mangal"/>
          <w:color w:val="000000"/>
          <w:szCs w:val="26"/>
          <w:lang w:bidi="hi-IN"/>
        </w:rPr>
        <w:t xml:space="preserve"> be afforded a meaningful opportunity to be heard.  We will, therefore, consider the merits of the Complainants’ Exceptions.</w:t>
      </w:r>
    </w:p>
    <w:p w:rsidR="00EB5253" w:rsidRPr="00EB5253" w:rsidRDefault="00EB5253" w:rsidP="00EB5253">
      <w:pPr>
        <w:rPr>
          <w:rFonts w:cs="Mangal"/>
          <w:szCs w:val="26"/>
          <w:lang w:bidi="hi-IN"/>
        </w:rPr>
      </w:pPr>
    </w:p>
    <w:p w:rsidR="00EB5253" w:rsidRPr="00EB5253" w:rsidRDefault="00EB5253" w:rsidP="00EB5253">
      <w:pPr>
        <w:rPr>
          <w:rFonts w:cs="Mangal"/>
          <w:szCs w:val="26"/>
          <w:lang w:bidi="hi-IN"/>
        </w:rPr>
      </w:pPr>
      <w:r w:rsidRPr="00EB5253">
        <w:rPr>
          <w:rFonts w:cs="Mangal"/>
          <w:szCs w:val="26"/>
          <w:lang w:bidi="hi-IN"/>
        </w:rPr>
        <w:t xml:space="preserve">In its Reply to the Exceptions of Ms. Eurich, Herman argues that Ms. Eurich’s Exceptions were not timely filed and should be denied.  The Company explains that Ms. Eurich’s Exceptions were filed on May 10, 2015, and the Secretarial Letter that was transmitted with the Recommended Decision on April 9, 2015, required that </w:t>
      </w:r>
      <w:r w:rsidR="00E2688D">
        <w:rPr>
          <w:rFonts w:cs="Mangal"/>
          <w:szCs w:val="26"/>
          <w:lang w:bidi="hi-IN"/>
        </w:rPr>
        <w:t>E</w:t>
      </w:r>
      <w:r w:rsidRPr="00EB5253">
        <w:rPr>
          <w:rFonts w:cs="Mangal"/>
          <w:szCs w:val="26"/>
          <w:lang w:bidi="hi-IN"/>
        </w:rPr>
        <w:t xml:space="preserve">xceptions be filed by April 29, 2015.  Herman R.E. No. 2 at 2. </w:t>
      </w:r>
    </w:p>
    <w:p w:rsidR="00EB5253" w:rsidRPr="00EB5253" w:rsidRDefault="00EB5253" w:rsidP="00EB5253">
      <w:pPr>
        <w:rPr>
          <w:rFonts w:cs="Mangal"/>
          <w:szCs w:val="26"/>
          <w:lang w:bidi="hi-IN"/>
        </w:rPr>
      </w:pPr>
    </w:p>
    <w:p w:rsidR="00EB5253" w:rsidRPr="00EB5253" w:rsidRDefault="00EB5253" w:rsidP="00EB5253">
      <w:pPr>
        <w:keepNext/>
      </w:pPr>
      <w:r w:rsidRPr="00EB5253">
        <w:t>Our Regulation at Section 1.2(a) states:</w:t>
      </w:r>
    </w:p>
    <w:p w:rsidR="00EB5253" w:rsidRPr="00EB5253" w:rsidRDefault="00EB5253" w:rsidP="00EB5253">
      <w:pPr>
        <w:keepNext/>
        <w:spacing w:line="240" w:lineRule="auto"/>
      </w:pPr>
    </w:p>
    <w:p w:rsidR="00EB5253" w:rsidRPr="00EB5253" w:rsidRDefault="00EB5253" w:rsidP="00EB5253">
      <w:pPr>
        <w:keepNext/>
        <w:spacing w:line="240" w:lineRule="auto"/>
        <w:ind w:left="1440" w:right="1440" w:firstLine="0"/>
      </w:pPr>
      <w:r w:rsidRPr="00EB5253">
        <w:tab/>
        <w:t xml:space="preserve">This subpart shall be liberally construed to secure the just, speedy and inexpensive determination of every action or proceeding to which it is applicable.  The Commission or presiding officer at any stage of an action or proceeding may </w:t>
      </w:r>
      <w:r w:rsidRPr="00EB5253">
        <w:lastRenderedPageBreak/>
        <w:t>disregard an error or defect of procedure which does not affect the substantive rights of the parties.</w:t>
      </w:r>
    </w:p>
    <w:p w:rsidR="00EB5253" w:rsidRPr="00EB5253" w:rsidRDefault="00EB5253" w:rsidP="00EB5253"/>
    <w:p w:rsidR="00EB5253" w:rsidRPr="00EB5253" w:rsidRDefault="00EB5253" w:rsidP="000214EB">
      <w:pPr>
        <w:rPr>
          <w:rFonts w:cs="Mangal"/>
          <w:szCs w:val="26"/>
          <w:lang w:bidi="hi-IN"/>
        </w:rPr>
      </w:pPr>
      <w:r w:rsidRPr="00EB5253">
        <w:t xml:space="preserve">Although Ms. Eurich’s Exceptions were filed after the twenty-day period for filing Exceptions, we note that this is a consolidated proceeding in which another party filed timely Exceptions.  As such, considering Ms. Eurich’s Exceptions will not unduly delay the disposition of this proceeding.  Moreover, as noted, </w:t>
      </w:r>
      <w:r w:rsidRPr="00EB5253">
        <w:rPr>
          <w:i/>
        </w:rPr>
        <w:t>supra</w:t>
      </w:r>
      <w:r w:rsidRPr="00EB5253">
        <w:t xml:space="preserve">, by Secretarial Letter dated May 12, 2015, the Commission’s Secretary served Ms. Eurich’s Exceptions on all the Parties of Record and extended the deadline for </w:t>
      </w:r>
      <w:r w:rsidR="000214EB" w:rsidRPr="005E7AAF">
        <w:t>R</w:t>
      </w:r>
      <w:r w:rsidRPr="005E7AAF">
        <w:t xml:space="preserve">eply </w:t>
      </w:r>
      <w:r w:rsidR="000214EB" w:rsidRPr="005E7AAF">
        <w:t>E</w:t>
      </w:r>
      <w:r w:rsidRPr="005E7AAF">
        <w:t xml:space="preserve">xceptions </w:t>
      </w:r>
      <w:r w:rsidRPr="00EB5253">
        <w:t>until May 22, 2015.  As such, all other parties to this proceeding had notice of Ms. Eurich’s Exceptions and an opportunity to respond to them.  As a result, considering Ms. Eurich’s Exceptions will not affect the substantive rights of any party.  Consequently, we will consider those Exceptions in this Opinion and Order.</w:t>
      </w:r>
    </w:p>
    <w:p w:rsidR="00EB5253" w:rsidRPr="00EB5253" w:rsidRDefault="00EB5253" w:rsidP="00EB5253">
      <w:pPr>
        <w:rPr>
          <w:rFonts w:cs="Mangal"/>
          <w:szCs w:val="26"/>
          <w:lang w:bidi="hi-IN"/>
        </w:rPr>
      </w:pPr>
    </w:p>
    <w:p w:rsidR="00EB5253" w:rsidRPr="00EB5253" w:rsidRDefault="00EB5253" w:rsidP="000214EB">
      <w:pPr>
        <w:rPr>
          <w:rFonts w:cs="Mangal"/>
          <w:szCs w:val="26"/>
          <w:lang w:bidi="hi-IN"/>
        </w:rPr>
      </w:pPr>
      <w:r w:rsidRPr="00EB5253">
        <w:rPr>
          <w:rFonts w:cs="Mangal"/>
          <w:szCs w:val="26"/>
          <w:lang w:bidi="hi-IN"/>
        </w:rPr>
        <w:t xml:space="preserve">In its Reply to the Exceptions of Ms. Eurich, Herman also argues that </w:t>
      </w:r>
      <w:r w:rsidRPr="00EB5253">
        <w:rPr>
          <w:rFonts w:eastAsiaTheme="minorHAnsi"/>
        </w:rPr>
        <w:t>Ms. Eurich has waived the arguments presented in her Exceptions as she failed to raise them in either the public input hearing or in protest to the Settlement before the ALJ.  The Company submits that such arguments are improper in this proceeding and should not be considered.  Therefore, Herman requests that the Commission deny Ms. Eurich’s Exceptions.  Herman R.E. No. 2 at 3.</w:t>
      </w:r>
    </w:p>
    <w:p w:rsidR="00EB5253" w:rsidRPr="00EB5253" w:rsidRDefault="00EB5253" w:rsidP="00EB5253">
      <w:pPr>
        <w:rPr>
          <w:rFonts w:cs="Mangal"/>
          <w:szCs w:val="26"/>
          <w:lang w:bidi="hi-IN"/>
        </w:rPr>
      </w:pPr>
    </w:p>
    <w:p w:rsidR="00EB5253" w:rsidRPr="00EB5253" w:rsidRDefault="00EB5253" w:rsidP="00EB5253">
      <w:pPr>
        <w:rPr>
          <w:rFonts w:cs="Mangal"/>
          <w:szCs w:val="26"/>
          <w:lang w:bidi="hi-IN"/>
        </w:rPr>
      </w:pPr>
      <w:r w:rsidRPr="00EB5253">
        <w:rPr>
          <w:rFonts w:cs="Mangal"/>
          <w:szCs w:val="26"/>
          <w:lang w:bidi="hi-IN"/>
        </w:rPr>
        <w:t xml:space="preserve">Since Ms. Eurich is a </w:t>
      </w:r>
      <w:r w:rsidRPr="00EB5253">
        <w:rPr>
          <w:rFonts w:cs="Mangal"/>
          <w:i/>
          <w:szCs w:val="26"/>
          <w:lang w:bidi="hi-IN"/>
        </w:rPr>
        <w:t>pro se</w:t>
      </w:r>
      <w:r w:rsidRPr="00EB5253">
        <w:rPr>
          <w:rFonts w:cs="Mangal"/>
          <w:szCs w:val="26"/>
          <w:lang w:bidi="hi-IN"/>
        </w:rPr>
        <w:t xml:space="preserve"> Complainant, and may not have been aware of the proper method of objecting to the settlement submitted to the ALJ, we will reject Herman’s waiver argument.  52 Pa. Code </w:t>
      </w:r>
      <w:r w:rsidRPr="00EB5253">
        <w:rPr>
          <w:szCs w:val="26"/>
          <w:lang w:bidi="hi-IN"/>
        </w:rPr>
        <w:t>§</w:t>
      </w:r>
      <w:r w:rsidRPr="00EB5253">
        <w:rPr>
          <w:rFonts w:cs="Mangal"/>
          <w:szCs w:val="26"/>
          <w:lang w:bidi="hi-IN"/>
        </w:rPr>
        <w:t xml:space="preserve"> 1.2(a) and (d).  </w:t>
      </w:r>
      <w:r w:rsidRPr="00FC4562">
        <w:rPr>
          <w:rFonts w:cs="Mangal"/>
          <w:szCs w:val="26"/>
          <w:lang w:bidi="hi-IN"/>
        </w:rPr>
        <w:t>We</w:t>
      </w:r>
      <w:r w:rsidR="00FC4562">
        <w:rPr>
          <w:rFonts w:cs="Mangal"/>
          <w:szCs w:val="26"/>
          <w:lang w:bidi="hi-IN"/>
        </w:rPr>
        <w:t xml:space="preserve">, </w:t>
      </w:r>
      <w:r w:rsidRPr="00FC4562">
        <w:rPr>
          <w:rFonts w:cs="Mangal"/>
          <w:szCs w:val="26"/>
          <w:lang w:bidi="hi-IN"/>
        </w:rPr>
        <w:t>therefore</w:t>
      </w:r>
      <w:r w:rsidR="000214EB" w:rsidRPr="00FC4562">
        <w:rPr>
          <w:rFonts w:cs="Mangal"/>
          <w:szCs w:val="26"/>
          <w:lang w:bidi="hi-IN"/>
        </w:rPr>
        <w:t>,</w:t>
      </w:r>
      <w:r w:rsidRPr="00FC4562">
        <w:rPr>
          <w:rFonts w:cs="Mangal"/>
          <w:szCs w:val="26"/>
          <w:lang w:bidi="hi-IN"/>
        </w:rPr>
        <w:t xml:space="preserve"> </w:t>
      </w:r>
      <w:r w:rsidR="00FC4562">
        <w:rPr>
          <w:rFonts w:cs="Mangal"/>
          <w:szCs w:val="26"/>
          <w:lang w:bidi="hi-IN"/>
        </w:rPr>
        <w:t xml:space="preserve">will </w:t>
      </w:r>
      <w:r w:rsidRPr="00FC4562">
        <w:rPr>
          <w:rFonts w:cs="Mangal"/>
          <w:szCs w:val="26"/>
          <w:lang w:bidi="hi-IN"/>
        </w:rPr>
        <w:t xml:space="preserve">consider </w:t>
      </w:r>
      <w:r w:rsidRPr="00EB5253">
        <w:rPr>
          <w:rFonts w:cs="Mangal"/>
          <w:szCs w:val="26"/>
          <w:lang w:bidi="hi-IN"/>
        </w:rPr>
        <w:t xml:space="preserve">those Exceptions.  As discussed, </w:t>
      </w:r>
      <w:r w:rsidRPr="00EB5253">
        <w:rPr>
          <w:rFonts w:cs="Mangal"/>
          <w:i/>
          <w:szCs w:val="26"/>
          <w:lang w:bidi="hi-IN"/>
        </w:rPr>
        <w:t>infra</w:t>
      </w:r>
      <w:r w:rsidRPr="00EB5253">
        <w:rPr>
          <w:rFonts w:cs="Mangal"/>
          <w:szCs w:val="26"/>
          <w:lang w:bidi="hi-IN"/>
        </w:rPr>
        <w:t>, however, we are denying Ms. Eurich’s Exceptions to the extent that they oppose the adoption of the Joint Petition.</w:t>
      </w:r>
    </w:p>
    <w:p w:rsidR="00EB5253" w:rsidRDefault="00EB5253" w:rsidP="00EF3972"/>
    <w:p w:rsidR="000070F9" w:rsidRDefault="00370E02" w:rsidP="005E7AAF">
      <w:pPr>
        <w:pStyle w:val="Heading2"/>
        <w:keepLines w:val="0"/>
        <w:numPr>
          <w:ilvl w:val="0"/>
          <w:numId w:val="18"/>
        </w:numPr>
        <w:ind w:left="720" w:hanging="720"/>
      </w:pPr>
      <w:r>
        <w:lastRenderedPageBreak/>
        <w:t>T</w:t>
      </w:r>
      <w:r w:rsidR="003A438D">
        <w:t xml:space="preserve">he </w:t>
      </w:r>
      <w:r w:rsidR="0092641A">
        <w:t>Joint Petition</w:t>
      </w:r>
    </w:p>
    <w:p w:rsidR="003A438D" w:rsidRDefault="003A438D" w:rsidP="00EB5253">
      <w:pPr>
        <w:keepNext/>
      </w:pPr>
    </w:p>
    <w:p w:rsidR="00E33A49" w:rsidRDefault="00A6235D" w:rsidP="00EB5253">
      <w:pPr>
        <w:pStyle w:val="Heading3"/>
        <w:keepLines w:val="0"/>
        <w:numPr>
          <w:ilvl w:val="0"/>
          <w:numId w:val="5"/>
        </w:numPr>
        <w:ind w:hanging="720"/>
        <w:rPr>
          <w:rFonts w:eastAsiaTheme="minorHAnsi"/>
        </w:rPr>
      </w:pPr>
      <w:r>
        <w:rPr>
          <w:rFonts w:eastAsiaTheme="minorHAnsi"/>
        </w:rPr>
        <w:t xml:space="preserve">Distribution </w:t>
      </w:r>
      <w:r w:rsidR="00E33A49" w:rsidRPr="00E33A49">
        <w:rPr>
          <w:rFonts w:eastAsiaTheme="minorHAnsi"/>
        </w:rPr>
        <w:t>Revenue Increase and Phase-In</w:t>
      </w:r>
    </w:p>
    <w:p w:rsidR="00370E02" w:rsidRDefault="00370E02" w:rsidP="00EB5253">
      <w:pPr>
        <w:keepNext/>
        <w:rPr>
          <w:rFonts w:eastAsiaTheme="minorHAnsi"/>
        </w:rPr>
      </w:pPr>
    </w:p>
    <w:p w:rsidR="00370E02" w:rsidRPr="00370E02" w:rsidRDefault="00370E02" w:rsidP="00EB5253">
      <w:pPr>
        <w:pStyle w:val="Heading4"/>
        <w:keepNext/>
        <w:ind w:left="2160" w:hanging="720"/>
        <w:rPr>
          <w:rFonts w:eastAsiaTheme="minorHAnsi"/>
        </w:rPr>
      </w:pPr>
      <w:r w:rsidRPr="00CA6221">
        <w:rPr>
          <w:rFonts w:eastAsiaTheme="minorHAnsi"/>
        </w:rPr>
        <w:t>Terms</w:t>
      </w:r>
      <w:r>
        <w:rPr>
          <w:rFonts w:eastAsiaTheme="minorHAnsi"/>
        </w:rPr>
        <w:t xml:space="preserve"> of the Joint Petition</w:t>
      </w:r>
    </w:p>
    <w:p w:rsidR="00E33A49" w:rsidRDefault="00E33A49" w:rsidP="00370E02">
      <w:pPr>
        <w:rPr>
          <w:rFonts w:eastAsiaTheme="minorHAnsi"/>
        </w:rPr>
      </w:pPr>
    </w:p>
    <w:p w:rsidR="003A438D" w:rsidRDefault="009B740C" w:rsidP="00E33A49">
      <w:pPr>
        <w:rPr>
          <w:rFonts w:eastAsiaTheme="minorHAnsi"/>
        </w:rPr>
      </w:pPr>
      <w:r>
        <w:rPr>
          <w:rFonts w:eastAsiaTheme="minorHAnsi"/>
        </w:rPr>
        <w:t xml:space="preserve">As noted, </w:t>
      </w:r>
      <w:r w:rsidRPr="009B740C">
        <w:rPr>
          <w:rFonts w:eastAsiaTheme="minorHAnsi"/>
          <w:i/>
        </w:rPr>
        <w:t>supra</w:t>
      </w:r>
      <w:r>
        <w:rPr>
          <w:rFonts w:eastAsiaTheme="minorHAnsi"/>
        </w:rPr>
        <w:t>, i</w:t>
      </w:r>
      <w:r w:rsidR="00E33A49">
        <w:rPr>
          <w:rFonts w:eastAsiaTheme="minorHAnsi"/>
        </w:rPr>
        <w:t xml:space="preserve">f the Joint Petition is </w:t>
      </w:r>
      <w:r w:rsidR="00FC4562">
        <w:rPr>
          <w:rFonts w:eastAsiaTheme="minorHAnsi"/>
        </w:rPr>
        <w:t>granted</w:t>
      </w:r>
      <w:r w:rsidR="00E33A49">
        <w:rPr>
          <w:rFonts w:eastAsiaTheme="minorHAnsi"/>
        </w:rPr>
        <w:t>, Herman would be permitted to produce additional annual operating distribution revenue of $420,000</w:t>
      </w:r>
      <w:r w:rsidR="00A12D5F">
        <w:rPr>
          <w:rFonts w:eastAsiaTheme="minorHAnsi"/>
        </w:rPr>
        <w:t xml:space="preserve">, or an increase of approximately 238% above </w:t>
      </w:r>
      <w:r w:rsidR="00A12D5F" w:rsidRPr="00A12D5F">
        <w:rPr>
          <w:rFonts w:eastAsiaTheme="minorHAnsi"/>
          <w:i/>
        </w:rPr>
        <w:t>pro forma</w:t>
      </w:r>
      <w:r w:rsidR="00A12D5F">
        <w:rPr>
          <w:rFonts w:eastAsiaTheme="minorHAnsi"/>
        </w:rPr>
        <w:t xml:space="preserve"> present distribution rates of $176,816.</w:t>
      </w:r>
      <w:r w:rsidR="00E33A49">
        <w:rPr>
          <w:rFonts w:eastAsiaTheme="minorHAnsi"/>
        </w:rPr>
        <w:t xml:space="preserve">  </w:t>
      </w:r>
      <w:r w:rsidR="00A12D5F">
        <w:rPr>
          <w:rFonts w:eastAsiaTheme="minorHAnsi"/>
        </w:rPr>
        <w:t>Joint Petition</w:t>
      </w:r>
      <w:r w:rsidR="009F5AD1">
        <w:rPr>
          <w:rFonts w:eastAsiaTheme="minorHAnsi"/>
        </w:rPr>
        <w:t xml:space="preserve"> at</w:t>
      </w:r>
      <w:r w:rsidR="00A12D5F">
        <w:rPr>
          <w:rFonts w:eastAsiaTheme="minorHAnsi"/>
        </w:rPr>
        <w:t xml:space="preserve"> Appendix B.  </w:t>
      </w:r>
      <w:r w:rsidR="00E33A49">
        <w:rPr>
          <w:rFonts w:eastAsiaTheme="minorHAnsi"/>
        </w:rPr>
        <w:t>The Joint Petitioners agreed that the rate increase will be phased in over the next three years as follows: $210,000</w:t>
      </w:r>
      <w:r w:rsidR="001A7A5A">
        <w:rPr>
          <w:rFonts w:eastAsiaTheme="minorHAnsi"/>
        </w:rPr>
        <w:t xml:space="preserve"> during </w:t>
      </w:r>
      <w:r w:rsidR="00E33A49">
        <w:rPr>
          <w:rFonts w:eastAsiaTheme="minorHAnsi"/>
        </w:rPr>
        <w:t xml:space="preserve">the first year, $105,000 </w:t>
      </w:r>
      <w:r w:rsidR="001A7A5A">
        <w:rPr>
          <w:rFonts w:eastAsiaTheme="minorHAnsi"/>
        </w:rPr>
        <w:t xml:space="preserve">during </w:t>
      </w:r>
      <w:r w:rsidR="00E33A49">
        <w:rPr>
          <w:rFonts w:eastAsiaTheme="minorHAnsi"/>
        </w:rPr>
        <w:t xml:space="preserve">the second year, and $105,000 </w:t>
      </w:r>
      <w:r w:rsidR="001A7A5A">
        <w:rPr>
          <w:rFonts w:eastAsiaTheme="minorHAnsi"/>
        </w:rPr>
        <w:t xml:space="preserve">during </w:t>
      </w:r>
      <w:r w:rsidR="00E33A49">
        <w:rPr>
          <w:rFonts w:eastAsiaTheme="minorHAnsi"/>
        </w:rPr>
        <w:t>the third year.  These proposed increases equate to fifty percent of the annual revenue increase in the first year, twenty-five percent in the second year, and twenty-five percent in the third year.</w:t>
      </w:r>
      <w:r w:rsidR="0074189C">
        <w:rPr>
          <w:rFonts w:eastAsiaTheme="minorHAnsi"/>
        </w:rPr>
        <w:t xml:space="preserve">  Joint Petition at 6, 9. </w:t>
      </w:r>
    </w:p>
    <w:p w:rsidR="00370E02" w:rsidRDefault="00370E02" w:rsidP="00E33A49">
      <w:pPr>
        <w:rPr>
          <w:rFonts w:eastAsiaTheme="minorHAnsi"/>
        </w:rPr>
      </w:pPr>
    </w:p>
    <w:p w:rsidR="003B1542" w:rsidRDefault="00370E02" w:rsidP="00FC4562">
      <w:pPr>
        <w:pStyle w:val="Heading4"/>
        <w:keepNext/>
        <w:keepLines/>
        <w:ind w:left="2160" w:hanging="720"/>
        <w:rPr>
          <w:rFonts w:eastAsiaTheme="minorHAnsi"/>
        </w:rPr>
      </w:pPr>
      <w:r w:rsidRPr="003B1542">
        <w:rPr>
          <w:rFonts w:eastAsiaTheme="minorHAnsi"/>
        </w:rPr>
        <w:t>Posi</w:t>
      </w:r>
      <w:r w:rsidRPr="00C6038B">
        <w:rPr>
          <w:rFonts w:eastAsiaTheme="minorHAnsi"/>
          <w:b w:val="0"/>
          <w:bCs w:val="0"/>
        </w:rPr>
        <w:t>t</w:t>
      </w:r>
      <w:r w:rsidRPr="003B1542">
        <w:rPr>
          <w:rFonts w:eastAsiaTheme="minorHAnsi"/>
        </w:rPr>
        <w:t>ions of the Parties</w:t>
      </w:r>
      <w:r w:rsidR="003B1542" w:rsidRPr="003B1542">
        <w:rPr>
          <w:rFonts w:eastAsiaTheme="minorHAnsi"/>
        </w:rPr>
        <w:t xml:space="preserve"> and </w:t>
      </w:r>
      <w:r w:rsidR="00525882" w:rsidRPr="003B1542">
        <w:rPr>
          <w:rFonts w:eastAsiaTheme="minorHAnsi"/>
        </w:rPr>
        <w:t>the Recommended Decision</w:t>
      </w:r>
      <w:r w:rsidR="003B1542">
        <w:rPr>
          <w:rFonts w:eastAsiaTheme="minorHAnsi"/>
        </w:rPr>
        <w:t>.</w:t>
      </w:r>
    </w:p>
    <w:p w:rsidR="00525882" w:rsidRPr="003B1542" w:rsidRDefault="00525882" w:rsidP="00FC4562">
      <w:pPr>
        <w:keepNext/>
        <w:keepLines/>
        <w:rPr>
          <w:rFonts w:eastAsiaTheme="minorHAnsi"/>
        </w:rPr>
      </w:pPr>
    </w:p>
    <w:p w:rsidR="00B5123F" w:rsidRDefault="00B5123F" w:rsidP="00FC4562">
      <w:pPr>
        <w:rPr>
          <w:rFonts w:eastAsiaTheme="minorHAnsi"/>
        </w:rPr>
      </w:pPr>
      <w:r w:rsidRPr="00B5123F">
        <w:rPr>
          <w:rFonts w:eastAsiaTheme="minorHAnsi"/>
        </w:rPr>
        <w:t xml:space="preserve">The overriding </w:t>
      </w:r>
      <w:r>
        <w:rPr>
          <w:rFonts w:eastAsiaTheme="minorHAnsi"/>
        </w:rPr>
        <w:t xml:space="preserve">message in the Formal Complaints filed by ratepayers, the </w:t>
      </w:r>
      <w:r w:rsidR="00693977">
        <w:rPr>
          <w:rFonts w:eastAsiaTheme="minorHAnsi"/>
        </w:rPr>
        <w:t xml:space="preserve">testimony at the public input hearing, </w:t>
      </w:r>
      <w:r w:rsidR="00301DD2">
        <w:rPr>
          <w:rFonts w:eastAsiaTheme="minorHAnsi"/>
        </w:rPr>
        <w:t xml:space="preserve">the Objections to the Joint Petition, </w:t>
      </w:r>
      <w:r w:rsidR="00693977">
        <w:rPr>
          <w:rFonts w:eastAsiaTheme="minorHAnsi"/>
        </w:rPr>
        <w:t xml:space="preserve">the </w:t>
      </w:r>
      <w:r>
        <w:rPr>
          <w:rFonts w:eastAsiaTheme="minorHAnsi"/>
        </w:rPr>
        <w:t xml:space="preserve">Exceptions and the other letters submitted by the Company’s ratepayers </w:t>
      </w:r>
      <w:r w:rsidR="00693977">
        <w:rPr>
          <w:rFonts w:eastAsiaTheme="minorHAnsi"/>
        </w:rPr>
        <w:t xml:space="preserve">was an opposition to the magnitude of the proposed </w:t>
      </w:r>
      <w:r w:rsidR="00A65FFD" w:rsidRPr="005E7AAF">
        <w:rPr>
          <w:rFonts w:eastAsiaTheme="minorHAnsi"/>
        </w:rPr>
        <w:t>rate</w:t>
      </w:r>
      <w:r w:rsidR="00A65FFD">
        <w:rPr>
          <w:rFonts w:eastAsiaTheme="minorHAnsi"/>
        </w:rPr>
        <w:t xml:space="preserve"> </w:t>
      </w:r>
      <w:r w:rsidR="00693977">
        <w:rPr>
          <w:rFonts w:eastAsiaTheme="minorHAnsi"/>
        </w:rPr>
        <w:t xml:space="preserve">increase and the impact that the rate increase would have on ratepayers, particularly those on fixed incomes.  </w:t>
      </w:r>
      <w:r w:rsidR="00A12D5F">
        <w:rPr>
          <w:rFonts w:eastAsiaTheme="minorHAnsi"/>
        </w:rPr>
        <w:t>Some of the ratepayers participating in this proceeding opined that the rate increase was not warranted in light of</w:t>
      </w:r>
      <w:r w:rsidR="004033E8">
        <w:rPr>
          <w:rFonts w:eastAsiaTheme="minorHAnsi"/>
        </w:rPr>
        <w:t>:</w:t>
      </w:r>
      <w:r w:rsidR="00A12D5F">
        <w:rPr>
          <w:rFonts w:eastAsiaTheme="minorHAnsi"/>
        </w:rPr>
        <w:t xml:space="preserve"> the quality of service (discussed, </w:t>
      </w:r>
      <w:r w:rsidR="004033E8" w:rsidRPr="004033E8">
        <w:rPr>
          <w:rFonts w:eastAsiaTheme="minorHAnsi"/>
          <w:i/>
        </w:rPr>
        <w:t>infra</w:t>
      </w:r>
      <w:r w:rsidR="004033E8">
        <w:rPr>
          <w:rFonts w:eastAsiaTheme="minorHAnsi"/>
        </w:rPr>
        <w:t>); annual changes in the gas cost rate</w:t>
      </w:r>
      <w:r w:rsidR="00BF12F4">
        <w:rPr>
          <w:rFonts w:eastAsiaTheme="minorHAnsi"/>
        </w:rPr>
        <w:t>;</w:t>
      </w:r>
      <w:r w:rsidR="004033E8">
        <w:rPr>
          <w:rFonts w:eastAsiaTheme="minorHAnsi"/>
        </w:rPr>
        <w:t xml:space="preserve"> and the Company’s failure to seek rate relief sooner.  </w:t>
      </w:r>
    </w:p>
    <w:p w:rsidR="009222D8" w:rsidRDefault="009222D8" w:rsidP="00B5123F">
      <w:pPr>
        <w:rPr>
          <w:rFonts w:eastAsiaTheme="minorHAnsi"/>
        </w:rPr>
      </w:pPr>
    </w:p>
    <w:p w:rsidR="00684AB8" w:rsidRPr="00684AB8" w:rsidRDefault="00684AB8" w:rsidP="00684AB8">
      <w:r w:rsidRPr="00684AB8">
        <w:t xml:space="preserve">I&amp;E </w:t>
      </w:r>
      <w:r>
        <w:t>aver</w:t>
      </w:r>
      <w:r w:rsidR="006E4517">
        <w:t>red</w:t>
      </w:r>
      <w:r>
        <w:t xml:space="preserve"> that </w:t>
      </w:r>
      <w:r w:rsidRPr="00684AB8">
        <w:t xml:space="preserve">the increased level of revenue adequately balances the interests of ratepayers and the Company.  </w:t>
      </w:r>
      <w:r>
        <w:t>I&amp;E submit</w:t>
      </w:r>
      <w:r w:rsidR="006E4517">
        <w:t>ted</w:t>
      </w:r>
      <w:r>
        <w:t xml:space="preserve"> that t</w:t>
      </w:r>
      <w:r w:rsidRPr="00684AB8">
        <w:t xml:space="preserve">he Company will receive sufficient operating funds in order to provide safe and adequate service while ratepayers are protected as the resulting increase minimizes the impact of the Company’s initial </w:t>
      </w:r>
      <w:r w:rsidRPr="00684AB8">
        <w:lastRenderedPageBreak/>
        <w:t xml:space="preserve">proposal.  </w:t>
      </w:r>
      <w:r>
        <w:t>I&amp;E point</w:t>
      </w:r>
      <w:r w:rsidR="006E4517">
        <w:t>ed</w:t>
      </w:r>
      <w:r>
        <w:t xml:space="preserve"> out that t</w:t>
      </w:r>
      <w:r w:rsidRPr="00684AB8">
        <w:t xml:space="preserve">he negotiated </w:t>
      </w:r>
      <w:r>
        <w:t xml:space="preserve">Settlement </w:t>
      </w:r>
      <w:r w:rsidRPr="00684AB8">
        <w:t xml:space="preserve">represents approximately 53.9% of the Company’s filed request.  </w:t>
      </w:r>
      <w:r>
        <w:t>I&amp;E state</w:t>
      </w:r>
      <w:r w:rsidR="006E4517">
        <w:t>d</w:t>
      </w:r>
      <w:r>
        <w:t xml:space="preserve"> that “[m]</w:t>
      </w:r>
      <w:r w:rsidRPr="00684AB8">
        <w:t>itigation of the level of the rate increase benefits ratepayers and results in rates that satisfy the regulatory standard.</w:t>
      </w:r>
      <w:r>
        <w:t xml:space="preserve">”  </w:t>
      </w:r>
      <w:r w:rsidRPr="00684AB8">
        <w:t>I&amp;E St</w:t>
      </w:r>
      <w:r>
        <w:t xml:space="preserve">atement </w:t>
      </w:r>
      <w:r w:rsidRPr="00684AB8">
        <w:t>in Support</w:t>
      </w:r>
      <w:r>
        <w:t xml:space="preserve"> at</w:t>
      </w:r>
      <w:r w:rsidRPr="00684AB8">
        <w:t xml:space="preserve"> 5</w:t>
      </w:r>
      <w:r>
        <w:t xml:space="preserve">.  </w:t>
      </w:r>
      <w:r w:rsidRPr="00684AB8">
        <w:t>As such, I&amp;E conclude</w:t>
      </w:r>
      <w:r w:rsidR="006E4517">
        <w:t>d</w:t>
      </w:r>
      <w:r w:rsidRPr="00684AB8">
        <w:t xml:space="preserve"> this element supports the standard for approval of a settlement as the resulting rates are just and reasonable and in accordance with the Public Utility Code and all pertinent case law.  </w:t>
      </w:r>
      <w:r w:rsidRPr="00684AB8">
        <w:rPr>
          <w:i/>
        </w:rPr>
        <w:t>Id</w:t>
      </w:r>
      <w:r>
        <w:t xml:space="preserve">. </w:t>
      </w:r>
      <w:r w:rsidRPr="00684AB8">
        <w:t xml:space="preserve">  </w:t>
      </w:r>
    </w:p>
    <w:p w:rsidR="009222D8" w:rsidRPr="00B5123F" w:rsidRDefault="009222D8" w:rsidP="00B5123F">
      <w:pPr>
        <w:rPr>
          <w:rFonts w:eastAsiaTheme="minorHAnsi"/>
        </w:rPr>
      </w:pPr>
    </w:p>
    <w:p w:rsidR="006E4517" w:rsidRPr="006E4517" w:rsidRDefault="006E4517" w:rsidP="006E4517">
      <w:pPr>
        <w:rPr>
          <w:rFonts w:eastAsia="Calibri"/>
          <w:szCs w:val="26"/>
        </w:rPr>
      </w:pPr>
      <w:r w:rsidRPr="006E4517">
        <w:rPr>
          <w:rFonts w:eastAsia="Calibri"/>
          <w:szCs w:val="26"/>
        </w:rPr>
        <w:t>Based on the OCA’s analysis of the Company’s filing, the proposed increase under the Settlement represents an amount</w:t>
      </w:r>
      <w:r w:rsidR="00FC4562">
        <w:rPr>
          <w:rFonts w:eastAsia="Calibri"/>
          <w:szCs w:val="26"/>
        </w:rPr>
        <w:t>,</w:t>
      </w:r>
      <w:r w:rsidRPr="006E4517">
        <w:rPr>
          <w:rFonts w:eastAsia="Calibri"/>
          <w:szCs w:val="26"/>
        </w:rPr>
        <w:t xml:space="preserve"> which in the OCA’s </w:t>
      </w:r>
      <w:r w:rsidR="00575FF9">
        <w:rPr>
          <w:rFonts w:eastAsia="Calibri"/>
          <w:szCs w:val="26"/>
        </w:rPr>
        <w:t xml:space="preserve">opinion, </w:t>
      </w:r>
      <w:r w:rsidRPr="006E4517">
        <w:rPr>
          <w:rFonts w:eastAsia="Calibri"/>
          <w:szCs w:val="26"/>
        </w:rPr>
        <w:t xml:space="preserve">would be within the range of the likely outcomes in the event of full litigation of the case.  </w:t>
      </w:r>
      <w:r>
        <w:rPr>
          <w:rFonts w:eastAsia="Calibri"/>
          <w:szCs w:val="26"/>
        </w:rPr>
        <w:t xml:space="preserve">The OCA explained </w:t>
      </w:r>
      <w:r w:rsidRPr="006E4517">
        <w:rPr>
          <w:rFonts w:eastAsia="Calibri"/>
          <w:szCs w:val="26"/>
        </w:rPr>
        <w:t xml:space="preserve">that the Settlement provides for this increase to be phased in over a three-year period, which will allow for a more gradual increase and help to ensure the avoidance of rate shock.  OCA Statement in Support at 3. </w:t>
      </w:r>
    </w:p>
    <w:p w:rsidR="006E4517" w:rsidRPr="006E4517" w:rsidRDefault="006E4517" w:rsidP="006E4517">
      <w:pPr>
        <w:rPr>
          <w:rFonts w:eastAsia="Calibri"/>
          <w:szCs w:val="26"/>
        </w:rPr>
      </w:pPr>
    </w:p>
    <w:p w:rsidR="001A7A5A" w:rsidRDefault="00BF12F4" w:rsidP="00BF12F4">
      <w:r>
        <w:t xml:space="preserve">In his Recommended Decision, the ALJ stated </w:t>
      </w:r>
      <w:r w:rsidR="001A7A5A">
        <w:t>as follows:</w:t>
      </w:r>
    </w:p>
    <w:p w:rsidR="009B740C" w:rsidRDefault="009B740C" w:rsidP="001A7A5A">
      <w:pPr>
        <w:spacing w:line="240" w:lineRule="auto"/>
        <w:ind w:left="1440" w:right="1440" w:firstLine="720"/>
      </w:pPr>
    </w:p>
    <w:p w:rsidR="001A7A5A" w:rsidRDefault="001A7A5A" w:rsidP="001A7A5A">
      <w:pPr>
        <w:spacing w:line="240" w:lineRule="auto"/>
        <w:ind w:left="1440" w:right="1440" w:firstLine="720"/>
      </w:pPr>
      <w:r>
        <w:t>T</w:t>
      </w:r>
      <w:r w:rsidR="006E4517" w:rsidRPr="006E4517">
        <w:t xml:space="preserve">he prime determinant in the consideration of a proposed Settlement is whether or not it is in the public interest.”  </w:t>
      </w:r>
      <w:r w:rsidR="006E4517" w:rsidRPr="006E4517">
        <w:rPr>
          <w:i/>
        </w:rPr>
        <w:t>Pa. Pub. Util. Comm’n v. Philadelphia Electric Company</w:t>
      </w:r>
      <w:r w:rsidR="006E4517" w:rsidRPr="006E4517">
        <w:t xml:space="preserve">, 60 Pa. PUC 1, 22 (1985).  The Commission has recognized that a settlement “reflects a compromise of the positions held by the parties of interest, which, arguably fosters and promotes the public interest.”  </w:t>
      </w:r>
      <w:r w:rsidR="006E4517" w:rsidRPr="006E4517">
        <w:rPr>
          <w:i/>
        </w:rPr>
        <w:t>Pa. Pub. Util. Comm’n v. C S Water and Sewer Associates</w:t>
      </w:r>
      <w:r w:rsidR="006E4517" w:rsidRPr="006E4517">
        <w:t xml:space="preserve">, 74 Pa. PUC 767, 771 (1991).  </w:t>
      </w:r>
    </w:p>
    <w:p w:rsidR="001A7A5A" w:rsidRDefault="001A7A5A" w:rsidP="001A7A5A">
      <w:pPr>
        <w:spacing w:line="240" w:lineRule="auto"/>
        <w:ind w:left="1440" w:right="1440" w:firstLine="720"/>
      </w:pPr>
    </w:p>
    <w:p w:rsidR="006E4517" w:rsidRDefault="00BF12F4" w:rsidP="001A7A5A">
      <w:pPr>
        <w:spacing w:line="240" w:lineRule="auto"/>
        <w:ind w:right="1440" w:firstLine="0"/>
      </w:pPr>
      <w:r>
        <w:t>R.D. at 26.</w:t>
      </w:r>
    </w:p>
    <w:p w:rsidR="00855538" w:rsidRDefault="00855538" w:rsidP="00BF12F4"/>
    <w:p w:rsidR="00855538" w:rsidRDefault="00855538" w:rsidP="00855538">
      <w:pPr>
        <w:tabs>
          <w:tab w:val="left" w:pos="-720"/>
        </w:tabs>
        <w:suppressAutoHyphens/>
        <w:rPr>
          <w:spacing w:val="-3"/>
          <w:szCs w:val="26"/>
        </w:rPr>
      </w:pPr>
      <w:r w:rsidRPr="00855538">
        <w:rPr>
          <w:szCs w:val="26"/>
        </w:rPr>
        <w:t xml:space="preserve">The ALJ recognized that the rate increase contained in the Settlement is a significant increase.  R.D. at 27.  However, the ALJ </w:t>
      </w:r>
      <w:r w:rsidRPr="00855538">
        <w:rPr>
          <w:spacing w:val="-3"/>
          <w:szCs w:val="26"/>
        </w:rPr>
        <w:t xml:space="preserve">concluded that the rate increase agreed to in the Settlement adequately balances the interests of ratepayers and the Company and is in the public interest.  The ALJ submitted that the Company will receive sufficient operating funds in order to provide safe and adequate service while ratepayers are protected </w:t>
      </w:r>
      <w:r w:rsidRPr="00855538">
        <w:rPr>
          <w:spacing w:val="-3"/>
          <w:szCs w:val="26"/>
        </w:rPr>
        <w:lastRenderedPageBreak/>
        <w:t>as the resulting increase minimizes the impact of the Company’s initial proposal.  T</w:t>
      </w:r>
      <w:r w:rsidRPr="00855538">
        <w:rPr>
          <w:rFonts w:eastAsia="Calibri"/>
          <w:szCs w:val="26"/>
        </w:rPr>
        <w:t xml:space="preserve">he </w:t>
      </w:r>
      <w:r>
        <w:rPr>
          <w:rFonts w:eastAsia="Calibri"/>
          <w:szCs w:val="26"/>
        </w:rPr>
        <w:t xml:space="preserve">ALJ opined that </w:t>
      </w:r>
      <w:r w:rsidR="00A65FFD" w:rsidRPr="005E7AAF">
        <w:rPr>
          <w:rFonts w:eastAsia="Calibri"/>
          <w:szCs w:val="26"/>
        </w:rPr>
        <w:t>the</w:t>
      </w:r>
      <w:r w:rsidR="00A65FFD">
        <w:rPr>
          <w:rFonts w:eastAsia="Calibri"/>
          <w:color w:val="FF0000"/>
          <w:szCs w:val="26"/>
        </w:rPr>
        <w:t xml:space="preserve"> </w:t>
      </w:r>
      <w:r w:rsidRPr="00855538">
        <w:rPr>
          <w:rFonts w:eastAsia="Calibri"/>
          <w:szCs w:val="26"/>
        </w:rPr>
        <w:t>increase contained in the Settlement represents an amount which would be within the range of the likely outcomes in the event of full litigation of the case.  The</w:t>
      </w:r>
      <w:r>
        <w:rPr>
          <w:rFonts w:eastAsia="Calibri"/>
          <w:szCs w:val="26"/>
        </w:rPr>
        <w:t xml:space="preserve"> ALJ also noted that the </w:t>
      </w:r>
      <w:r w:rsidRPr="00855538">
        <w:rPr>
          <w:rFonts w:eastAsia="Calibri"/>
          <w:szCs w:val="26"/>
        </w:rPr>
        <w:t xml:space="preserve">Settlement provides for this increase to be phased in over a three-year period, which will allow for a more gradual increase and help to ensure the avoidance of rate shock.  </w:t>
      </w:r>
      <w:r>
        <w:rPr>
          <w:rFonts w:eastAsia="Calibri"/>
          <w:szCs w:val="26"/>
        </w:rPr>
        <w:t>R.D. at 28.</w:t>
      </w:r>
      <w:r w:rsidRPr="00855538">
        <w:rPr>
          <w:spacing w:val="-3"/>
          <w:szCs w:val="26"/>
        </w:rPr>
        <w:t xml:space="preserve"> </w:t>
      </w:r>
    </w:p>
    <w:p w:rsidR="00855538" w:rsidRDefault="00855538" w:rsidP="00855538">
      <w:pPr>
        <w:tabs>
          <w:tab w:val="left" w:pos="-720"/>
        </w:tabs>
        <w:suppressAutoHyphens/>
        <w:rPr>
          <w:spacing w:val="-3"/>
          <w:szCs w:val="26"/>
        </w:rPr>
      </w:pPr>
    </w:p>
    <w:p w:rsidR="003B1542" w:rsidRDefault="003B1542" w:rsidP="00301DD2">
      <w:pPr>
        <w:pStyle w:val="Heading4"/>
        <w:keepNext/>
        <w:ind w:left="2160" w:hanging="720"/>
      </w:pPr>
      <w:r>
        <w:t>Exceptions</w:t>
      </w:r>
    </w:p>
    <w:p w:rsidR="003B1542" w:rsidRDefault="003B1542" w:rsidP="00301DD2">
      <w:pPr>
        <w:keepNext/>
      </w:pPr>
    </w:p>
    <w:p w:rsidR="006E4517" w:rsidRDefault="00525882" w:rsidP="006E4517">
      <w:pPr>
        <w:rPr>
          <w:rFonts w:eastAsia="Calibri"/>
          <w:szCs w:val="26"/>
        </w:rPr>
      </w:pPr>
      <w:r>
        <w:rPr>
          <w:rFonts w:eastAsia="Calibri"/>
          <w:szCs w:val="26"/>
        </w:rPr>
        <w:t xml:space="preserve">In his Exceptions, Mr. Rizzo states that “this decision” hurts all citizens, especially those that survive on Social Security.  Rizzo Exc. at 1. </w:t>
      </w:r>
      <w:r w:rsidR="00B4530F">
        <w:rPr>
          <w:rFonts w:eastAsia="Calibri"/>
          <w:szCs w:val="26"/>
        </w:rPr>
        <w:t xml:space="preserve"> Mr. Rizzo </w:t>
      </w:r>
      <w:r w:rsidR="00B23B33">
        <w:rPr>
          <w:rFonts w:eastAsia="Calibri"/>
          <w:szCs w:val="26"/>
        </w:rPr>
        <w:t xml:space="preserve">submits </w:t>
      </w:r>
      <w:r w:rsidR="00B4530F">
        <w:rPr>
          <w:rFonts w:eastAsia="Calibri"/>
          <w:szCs w:val="26"/>
        </w:rPr>
        <w:t xml:space="preserve">that the increase in Social Security this year was 1.7 percent and he questions how we can absorb this type of an increase.  </w:t>
      </w:r>
      <w:r w:rsidR="00B23B33">
        <w:rPr>
          <w:rFonts w:eastAsia="Calibri"/>
          <w:szCs w:val="26"/>
        </w:rPr>
        <w:t xml:space="preserve">He explains that he has only been </w:t>
      </w:r>
      <w:r w:rsidR="00A65FFD" w:rsidRPr="005E7AAF">
        <w:rPr>
          <w:rFonts w:eastAsia="Calibri"/>
          <w:szCs w:val="26"/>
        </w:rPr>
        <w:t>a</w:t>
      </w:r>
      <w:r w:rsidR="00A65FFD">
        <w:rPr>
          <w:rFonts w:eastAsia="Calibri"/>
          <w:color w:val="FF0000"/>
          <w:szCs w:val="26"/>
        </w:rPr>
        <w:t xml:space="preserve"> </w:t>
      </w:r>
      <w:r w:rsidR="00B23B33">
        <w:rPr>
          <w:rFonts w:eastAsia="Calibri"/>
          <w:szCs w:val="26"/>
        </w:rPr>
        <w:t xml:space="preserve">customer of </w:t>
      </w:r>
      <w:r w:rsidR="001A7A5A">
        <w:rPr>
          <w:rFonts w:eastAsia="Calibri"/>
          <w:szCs w:val="26"/>
        </w:rPr>
        <w:t xml:space="preserve">the Company </w:t>
      </w:r>
      <w:r w:rsidR="00B23B33">
        <w:rPr>
          <w:rFonts w:eastAsia="Calibri"/>
          <w:szCs w:val="26"/>
        </w:rPr>
        <w:t>for eleven years, but that documentation sent to the “consumer advocates” showed that the Company has had other rate increases “throughout the years.”</w:t>
      </w:r>
      <w:r w:rsidR="001A7A5A">
        <w:rPr>
          <w:rFonts w:eastAsia="Calibri"/>
          <w:szCs w:val="26"/>
        </w:rPr>
        <w:t xml:space="preserve"> </w:t>
      </w:r>
      <w:r w:rsidR="00B23B33">
        <w:rPr>
          <w:rFonts w:eastAsia="Calibri"/>
          <w:szCs w:val="26"/>
        </w:rPr>
        <w:t xml:space="preserve"> </w:t>
      </w:r>
      <w:r w:rsidR="00B23B33" w:rsidRPr="00B23B33">
        <w:rPr>
          <w:rFonts w:eastAsia="Calibri"/>
          <w:i/>
          <w:szCs w:val="26"/>
        </w:rPr>
        <w:t>Id.</w:t>
      </w:r>
      <w:r w:rsidR="00B23B33">
        <w:rPr>
          <w:rFonts w:eastAsia="Calibri"/>
          <w:szCs w:val="26"/>
        </w:rPr>
        <w:t xml:space="preserve">  </w:t>
      </w:r>
      <w:r w:rsidR="00B4530F">
        <w:rPr>
          <w:rFonts w:eastAsia="Calibri"/>
          <w:szCs w:val="26"/>
        </w:rPr>
        <w:t xml:space="preserve">Mr. Rizzo </w:t>
      </w:r>
      <w:r w:rsidR="003B1542">
        <w:rPr>
          <w:rFonts w:eastAsia="Calibri"/>
          <w:szCs w:val="26"/>
        </w:rPr>
        <w:t xml:space="preserve">observes that the three-year phase-in of the increase in distribution rates does not take into account changes in the GCR.  </w:t>
      </w:r>
      <w:r w:rsidR="003B1542" w:rsidRPr="003B1542">
        <w:rPr>
          <w:rFonts w:eastAsia="Calibri"/>
          <w:i/>
          <w:szCs w:val="26"/>
        </w:rPr>
        <w:t>Id.</w:t>
      </w:r>
      <w:r w:rsidR="003B1542">
        <w:rPr>
          <w:rFonts w:eastAsia="Calibri"/>
          <w:szCs w:val="26"/>
        </w:rPr>
        <w:t xml:space="preserve"> </w:t>
      </w:r>
    </w:p>
    <w:p w:rsidR="00347979" w:rsidRDefault="00347979" w:rsidP="006E4517">
      <w:pPr>
        <w:rPr>
          <w:rFonts w:eastAsia="Calibri"/>
          <w:szCs w:val="26"/>
        </w:rPr>
      </w:pPr>
    </w:p>
    <w:p w:rsidR="00347979" w:rsidRPr="00855538" w:rsidRDefault="00347979" w:rsidP="00347979">
      <w:pPr>
        <w:keepNext/>
        <w:tabs>
          <w:tab w:val="left" w:pos="-720"/>
        </w:tabs>
        <w:suppressAutoHyphens/>
        <w:rPr>
          <w:spacing w:val="-3"/>
          <w:szCs w:val="26"/>
        </w:rPr>
      </w:pPr>
      <w:r>
        <w:rPr>
          <w:spacing w:val="-3"/>
          <w:szCs w:val="26"/>
        </w:rPr>
        <w:t xml:space="preserve">In her Exceptions, Ms. Eurich objects to the proposed rate increase because it is extremely high and will create a hardship for her family and her neighbors.  She states that it is unfortunate that the Company was not well managed over the years, but it is not the customers’ responsibility to pay such high, unreasonable rates to make up for this irresponsible behavior and poor business decisions.  Ms. Eurich understands that, from time to time, a rate increase is necessary, but not at this magnitude.  Ms. Eurich submits that if the rate increase does occur, she will be finding an alternate source of heat because she cannot afford the rate </w:t>
      </w:r>
      <w:r w:rsidRPr="00A65FFD">
        <w:rPr>
          <w:spacing w:val="-3"/>
          <w:szCs w:val="26"/>
        </w:rPr>
        <w:t>request</w:t>
      </w:r>
      <w:r>
        <w:rPr>
          <w:spacing w:val="-3"/>
          <w:szCs w:val="26"/>
        </w:rPr>
        <w:t xml:space="preserve">.  Eurich Exc. at 1. </w:t>
      </w:r>
    </w:p>
    <w:p w:rsidR="00836812" w:rsidRDefault="00836812" w:rsidP="006E4517">
      <w:pPr>
        <w:rPr>
          <w:rFonts w:eastAsia="Calibri"/>
          <w:szCs w:val="26"/>
        </w:rPr>
      </w:pPr>
    </w:p>
    <w:p w:rsidR="00836812" w:rsidRDefault="00836812" w:rsidP="00836812">
      <w:pPr>
        <w:rPr>
          <w:rFonts w:eastAsiaTheme="minorHAnsi"/>
        </w:rPr>
      </w:pPr>
      <w:r>
        <w:rPr>
          <w:rFonts w:eastAsia="Calibri"/>
          <w:szCs w:val="26"/>
        </w:rPr>
        <w:t xml:space="preserve">In its Reply to Mr. Rizzo’s </w:t>
      </w:r>
      <w:r w:rsidR="00FA24D2">
        <w:rPr>
          <w:rFonts w:eastAsia="Calibri"/>
          <w:szCs w:val="26"/>
        </w:rPr>
        <w:t xml:space="preserve">and Ms. Eurich’s </w:t>
      </w:r>
      <w:r>
        <w:rPr>
          <w:rFonts w:eastAsia="Calibri"/>
          <w:szCs w:val="26"/>
        </w:rPr>
        <w:t>Exceptions, the Company states</w:t>
      </w:r>
      <w:r w:rsidR="00347979">
        <w:rPr>
          <w:rFonts w:eastAsia="Calibri"/>
          <w:szCs w:val="26"/>
        </w:rPr>
        <w:t xml:space="preserve">, </w:t>
      </w:r>
      <w:r w:rsidR="00347979" w:rsidRPr="00347979">
        <w:rPr>
          <w:rFonts w:eastAsia="Calibri"/>
          <w:i/>
          <w:szCs w:val="26"/>
        </w:rPr>
        <w:t>inter alia</w:t>
      </w:r>
      <w:r w:rsidR="00347979">
        <w:rPr>
          <w:rFonts w:eastAsia="Calibri"/>
          <w:szCs w:val="26"/>
        </w:rPr>
        <w:t xml:space="preserve">, </w:t>
      </w:r>
      <w:r>
        <w:rPr>
          <w:rFonts w:eastAsia="Calibri"/>
          <w:szCs w:val="26"/>
        </w:rPr>
        <w:t xml:space="preserve">that </w:t>
      </w:r>
      <w:r w:rsidR="00347979">
        <w:rPr>
          <w:rFonts w:eastAsia="Calibri"/>
          <w:szCs w:val="26"/>
        </w:rPr>
        <w:t xml:space="preserve">their </w:t>
      </w:r>
      <w:r>
        <w:rPr>
          <w:rFonts w:eastAsiaTheme="minorHAnsi"/>
        </w:rPr>
        <w:t xml:space="preserve">“bare assertion” that the Settlement is unfair or will harm </w:t>
      </w:r>
      <w:r>
        <w:rPr>
          <w:rFonts w:eastAsiaTheme="minorHAnsi"/>
        </w:rPr>
        <w:lastRenderedPageBreak/>
        <w:t xml:space="preserve">customers ignores the reality that Herman needs to increase revenues to provide safe and reliable service and that such increase has been phased-in to protect customers from the immediate impact of raising rates.  </w:t>
      </w:r>
      <w:r w:rsidR="002E03E5">
        <w:rPr>
          <w:rFonts w:eastAsiaTheme="minorHAnsi"/>
        </w:rPr>
        <w:t xml:space="preserve">Herman </w:t>
      </w:r>
      <w:r>
        <w:rPr>
          <w:rFonts w:eastAsiaTheme="minorHAnsi"/>
        </w:rPr>
        <w:t xml:space="preserve">R.E. </w:t>
      </w:r>
      <w:r w:rsidR="00FA24D2">
        <w:rPr>
          <w:rFonts w:eastAsiaTheme="minorHAnsi"/>
        </w:rPr>
        <w:t xml:space="preserve">No. 1 </w:t>
      </w:r>
      <w:r>
        <w:rPr>
          <w:rFonts w:eastAsiaTheme="minorHAnsi"/>
        </w:rPr>
        <w:t>at 3</w:t>
      </w:r>
      <w:r w:rsidR="00FA24D2">
        <w:rPr>
          <w:rFonts w:eastAsiaTheme="minorHAnsi"/>
        </w:rPr>
        <w:t>; Herman R.E. No. 2 at 2-3</w:t>
      </w:r>
      <w:r>
        <w:rPr>
          <w:rFonts w:eastAsiaTheme="minorHAnsi"/>
        </w:rPr>
        <w:t xml:space="preserve">.  Therefore, Herman avers that the Settlement balances the interests of rate payers and </w:t>
      </w:r>
      <w:r w:rsidR="00FA24D2">
        <w:rPr>
          <w:rFonts w:eastAsiaTheme="minorHAnsi"/>
        </w:rPr>
        <w:t>the Company</w:t>
      </w:r>
      <w:r>
        <w:rPr>
          <w:rFonts w:eastAsiaTheme="minorHAnsi"/>
        </w:rPr>
        <w:t xml:space="preserve"> and is not unfair or harmful.  </w:t>
      </w:r>
      <w:r w:rsidRPr="00836812">
        <w:rPr>
          <w:rFonts w:eastAsiaTheme="minorHAnsi"/>
          <w:i/>
        </w:rPr>
        <w:t>Id</w:t>
      </w:r>
      <w:r>
        <w:rPr>
          <w:rFonts w:eastAsiaTheme="minorHAnsi"/>
        </w:rPr>
        <w:t xml:space="preserve">.  </w:t>
      </w:r>
    </w:p>
    <w:p w:rsidR="00836812" w:rsidRDefault="00836812" w:rsidP="00836812">
      <w:pPr>
        <w:rPr>
          <w:rFonts w:eastAsiaTheme="minorHAnsi"/>
        </w:rPr>
      </w:pPr>
    </w:p>
    <w:p w:rsidR="00836812" w:rsidRDefault="00836812" w:rsidP="0099788E">
      <w:pPr>
        <w:rPr>
          <w:rFonts w:eastAsiaTheme="minorHAnsi"/>
        </w:rPr>
      </w:pPr>
      <w:r w:rsidRPr="002E03E5">
        <w:rPr>
          <w:rFonts w:eastAsiaTheme="minorHAnsi"/>
        </w:rPr>
        <w:t xml:space="preserve">In response to Mr. Rizzo’s assertion that the Company has had other rate increases, the Company submits that it has not had a base-rate </w:t>
      </w:r>
      <w:r w:rsidR="0099788E">
        <w:rPr>
          <w:rFonts w:eastAsiaTheme="minorHAnsi"/>
        </w:rPr>
        <w:t xml:space="preserve">increase </w:t>
      </w:r>
      <w:r w:rsidR="00DB1DA2">
        <w:rPr>
          <w:rFonts w:eastAsiaTheme="minorHAnsi"/>
        </w:rPr>
        <w:t>(</w:t>
      </w:r>
      <w:r w:rsidR="00DB1DA2" w:rsidRPr="0099788E">
        <w:rPr>
          <w:szCs w:val="26"/>
        </w:rPr>
        <w:t>general rate increase within the meaning of 66 Pa. C. S. § 1308(d)</w:t>
      </w:r>
      <w:r w:rsidRPr="002E03E5">
        <w:rPr>
          <w:rFonts w:eastAsiaTheme="minorHAnsi"/>
        </w:rPr>
        <w:t xml:space="preserve"> in over </w:t>
      </w:r>
      <w:r w:rsidR="002E03E5" w:rsidRPr="002E03E5">
        <w:rPr>
          <w:rFonts w:eastAsiaTheme="minorHAnsi"/>
        </w:rPr>
        <w:t>thirty</w:t>
      </w:r>
      <w:r w:rsidRPr="002E03E5">
        <w:rPr>
          <w:rFonts w:eastAsiaTheme="minorHAnsi"/>
        </w:rPr>
        <w:t xml:space="preserve"> years.</w:t>
      </w:r>
      <w:r w:rsidR="002E03E5" w:rsidRPr="002E03E5">
        <w:rPr>
          <w:rFonts w:eastAsiaTheme="minorHAnsi"/>
        </w:rPr>
        <w:t xml:space="preserve"> </w:t>
      </w:r>
      <w:r w:rsidR="0099788E">
        <w:rPr>
          <w:rFonts w:eastAsiaTheme="minorHAnsi"/>
        </w:rPr>
        <w:t xml:space="preserve"> </w:t>
      </w:r>
      <w:r w:rsidR="002E03E5" w:rsidRPr="002E03E5">
        <w:rPr>
          <w:rFonts w:eastAsiaTheme="minorHAnsi"/>
        </w:rPr>
        <w:t>Herman further explains that t</w:t>
      </w:r>
      <w:r w:rsidRPr="002E03E5">
        <w:rPr>
          <w:rFonts w:eastAsiaTheme="minorHAnsi"/>
        </w:rPr>
        <w:t xml:space="preserve">he Commission has approved changes in </w:t>
      </w:r>
      <w:r w:rsidR="002E03E5" w:rsidRPr="002E03E5">
        <w:rPr>
          <w:rFonts w:eastAsiaTheme="minorHAnsi"/>
        </w:rPr>
        <w:t>its</w:t>
      </w:r>
      <w:r w:rsidRPr="002E03E5">
        <w:rPr>
          <w:rFonts w:eastAsiaTheme="minorHAnsi"/>
        </w:rPr>
        <w:t xml:space="preserve"> GCR during this time period, but base rates have not increased since the establishment of </w:t>
      </w:r>
      <w:r w:rsidR="00B3761A">
        <w:rPr>
          <w:rFonts w:eastAsiaTheme="minorHAnsi"/>
        </w:rPr>
        <w:t xml:space="preserve">the Company. </w:t>
      </w:r>
      <w:r w:rsidR="002E03E5" w:rsidRPr="002E03E5">
        <w:rPr>
          <w:rFonts w:eastAsiaTheme="minorHAnsi"/>
        </w:rPr>
        <w:t xml:space="preserve"> As discussed, </w:t>
      </w:r>
      <w:r w:rsidR="002E03E5" w:rsidRPr="002E03E5">
        <w:rPr>
          <w:rFonts w:eastAsiaTheme="minorHAnsi"/>
          <w:i/>
        </w:rPr>
        <w:t>infra</w:t>
      </w:r>
      <w:r w:rsidR="002E03E5" w:rsidRPr="002E03E5">
        <w:rPr>
          <w:rFonts w:eastAsiaTheme="minorHAnsi"/>
        </w:rPr>
        <w:t xml:space="preserve">, Herman has agreed to implement a new customer-friendly billing format which </w:t>
      </w:r>
      <w:r w:rsidR="002E03E5">
        <w:rPr>
          <w:rFonts w:eastAsiaTheme="minorHAnsi"/>
        </w:rPr>
        <w:t xml:space="preserve">will </w:t>
      </w:r>
      <w:r w:rsidR="002E03E5" w:rsidRPr="002E03E5">
        <w:rPr>
          <w:rFonts w:eastAsiaTheme="minorHAnsi"/>
        </w:rPr>
        <w:t xml:space="preserve">distinguish between gas cost and base rates.  Herman opines that clearly defining the GCR and base rates should help resolve any customer confusion between the rates in the future.  Herman R.E. </w:t>
      </w:r>
      <w:r w:rsidR="00FA24D2">
        <w:rPr>
          <w:rFonts w:eastAsiaTheme="minorHAnsi"/>
        </w:rPr>
        <w:t xml:space="preserve">No. 1 </w:t>
      </w:r>
      <w:r w:rsidR="002E03E5" w:rsidRPr="002E03E5">
        <w:rPr>
          <w:rFonts w:eastAsiaTheme="minorHAnsi"/>
        </w:rPr>
        <w:t xml:space="preserve">at 3. </w:t>
      </w:r>
    </w:p>
    <w:p w:rsidR="000248D3" w:rsidRPr="002E03E5" w:rsidRDefault="000248D3" w:rsidP="006C4A90">
      <w:pPr>
        <w:rPr>
          <w:rFonts w:eastAsia="Calibri"/>
        </w:rPr>
      </w:pPr>
    </w:p>
    <w:p w:rsidR="003B1542" w:rsidRDefault="00DC0105" w:rsidP="00D20137">
      <w:pPr>
        <w:pStyle w:val="Heading4"/>
        <w:ind w:left="2160" w:hanging="720"/>
        <w:rPr>
          <w:rFonts w:eastAsiaTheme="minorHAnsi"/>
        </w:rPr>
      </w:pPr>
      <w:r>
        <w:rPr>
          <w:rFonts w:eastAsiaTheme="minorHAnsi"/>
        </w:rPr>
        <w:t>Disposition</w:t>
      </w:r>
    </w:p>
    <w:p w:rsidR="00DC0105" w:rsidRDefault="00DC0105" w:rsidP="006218A1">
      <w:pPr>
        <w:rPr>
          <w:rFonts w:eastAsiaTheme="minorHAnsi"/>
        </w:rPr>
      </w:pPr>
    </w:p>
    <w:p w:rsidR="00E542C2" w:rsidRDefault="003A4198" w:rsidP="006C4A90">
      <w:pPr>
        <w:pStyle w:val="Heading4"/>
        <w:numPr>
          <w:ilvl w:val="0"/>
          <w:numId w:val="0"/>
        </w:numPr>
        <w:spacing w:line="360" w:lineRule="auto"/>
        <w:ind w:firstLine="1440"/>
        <w:rPr>
          <w:rFonts w:eastAsiaTheme="minorHAnsi"/>
          <w:b w:val="0"/>
        </w:rPr>
      </w:pPr>
      <w:r w:rsidRPr="0099788E">
        <w:rPr>
          <w:b w:val="0"/>
          <w:szCs w:val="26"/>
        </w:rPr>
        <w:t>Pursuant to several court decisions, this Commission, as the regulatory authority, must balance competing consumer and investor interests to determine “just and reasonable” rates.</w:t>
      </w:r>
      <w:r w:rsidRPr="0099788E">
        <w:rPr>
          <w:szCs w:val="26"/>
        </w:rPr>
        <w:t xml:space="preserve"> </w:t>
      </w:r>
      <w:r w:rsidRPr="0099788E">
        <w:rPr>
          <w:rFonts w:eastAsiaTheme="minorHAnsi"/>
          <w:b w:val="0"/>
        </w:rPr>
        <w:t xml:space="preserve">  </w:t>
      </w:r>
      <w:r w:rsidRPr="0099788E">
        <w:rPr>
          <w:rFonts w:eastAsiaTheme="minorHAnsi"/>
          <w:b w:val="0"/>
          <w:i/>
        </w:rPr>
        <w:t>See Pa. Electric Co. v. Pa. PUC</w:t>
      </w:r>
      <w:r w:rsidRPr="0099788E">
        <w:rPr>
          <w:rFonts w:eastAsiaTheme="minorHAnsi"/>
          <w:b w:val="0"/>
        </w:rPr>
        <w:t xml:space="preserve">, 509 Pa. 324, 502 A.2d 130 (1985).  </w:t>
      </w:r>
      <w:r w:rsidR="006C4A90" w:rsidRPr="006C4A90">
        <w:rPr>
          <w:rFonts w:eastAsiaTheme="minorHAnsi"/>
          <w:b w:val="0"/>
        </w:rPr>
        <w:t xml:space="preserve">As noted by I&amp;E, the Joint Petitioners have conducted extensive formal and informal discovery and have participated in numerous settlement conferences. </w:t>
      </w:r>
      <w:r w:rsidR="006C4A90">
        <w:rPr>
          <w:rFonts w:eastAsiaTheme="minorHAnsi"/>
          <w:b w:val="0"/>
        </w:rPr>
        <w:t xml:space="preserve"> I&amp;E Statement of Support at 1.  Consequently, we </w:t>
      </w:r>
      <w:r w:rsidR="001A7A5A">
        <w:rPr>
          <w:rFonts w:eastAsiaTheme="minorHAnsi"/>
          <w:b w:val="0"/>
        </w:rPr>
        <w:t xml:space="preserve">are </w:t>
      </w:r>
      <w:r w:rsidR="00615CDE">
        <w:rPr>
          <w:rFonts w:eastAsiaTheme="minorHAnsi"/>
          <w:b w:val="0"/>
        </w:rPr>
        <w:t xml:space="preserve">confident that </w:t>
      </w:r>
      <w:r w:rsidR="00657DA6">
        <w:rPr>
          <w:rFonts w:eastAsiaTheme="minorHAnsi"/>
          <w:b w:val="0"/>
        </w:rPr>
        <w:t>the distribution rates proposed in the Settlement are at the lowest level necessary to preserve and enhance the quality of service for the Company’s ratepayers</w:t>
      </w:r>
      <w:r w:rsidR="00CB6445">
        <w:rPr>
          <w:rFonts w:eastAsiaTheme="minorHAnsi"/>
          <w:b w:val="0"/>
        </w:rPr>
        <w:t>, and therefore, are just and reasonable</w:t>
      </w:r>
      <w:r w:rsidR="00657DA6">
        <w:rPr>
          <w:rFonts w:eastAsiaTheme="minorHAnsi"/>
          <w:b w:val="0"/>
        </w:rPr>
        <w:t>.  We understand that this provides little consolation to customers who are now facing significant ra</w:t>
      </w:r>
      <w:r w:rsidR="005E1DA4">
        <w:rPr>
          <w:rFonts w:eastAsiaTheme="minorHAnsi"/>
          <w:b w:val="0"/>
        </w:rPr>
        <w:t>t</w:t>
      </w:r>
      <w:r w:rsidR="00657DA6">
        <w:rPr>
          <w:rFonts w:eastAsiaTheme="minorHAnsi"/>
          <w:b w:val="0"/>
        </w:rPr>
        <w:t xml:space="preserve">e increases because Herman has neglected to seek </w:t>
      </w:r>
      <w:r w:rsidR="005E1DA4">
        <w:rPr>
          <w:rFonts w:eastAsiaTheme="minorHAnsi"/>
          <w:b w:val="0"/>
        </w:rPr>
        <w:t xml:space="preserve">distribution </w:t>
      </w:r>
      <w:r w:rsidR="00657DA6">
        <w:rPr>
          <w:rFonts w:eastAsiaTheme="minorHAnsi"/>
          <w:b w:val="0"/>
        </w:rPr>
        <w:t xml:space="preserve">rate adjustments over </w:t>
      </w:r>
      <w:r w:rsidR="005E1DA4">
        <w:rPr>
          <w:rFonts w:eastAsiaTheme="minorHAnsi"/>
          <w:b w:val="0"/>
        </w:rPr>
        <w:t xml:space="preserve">the entire </w:t>
      </w:r>
      <w:r w:rsidR="005E1DA4">
        <w:rPr>
          <w:rFonts w:eastAsiaTheme="minorHAnsi"/>
          <w:b w:val="0"/>
        </w:rPr>
        <w:lastRenderedPageBreak/>
        <w:t xml:space="preserve">history of the Company.  </w:t>
      </w:r>
      <w:r w:rsidR="001A7A5A">
        <w:rPr>
          <w:rFonts w:eastAsiaTheme="minorHAnsi"/>
          <w:b w:val="0"/>
        </w:rPr>
        <w:t xml:space="preserve">However, </w:t>
      </w:r>
      <w:r w:rsidR="00E542C2">
        <w:rPr>
          <w:rFonts w:eastAsiaTheme="minorHAnsi"/>
          <w:b w:val="0"/>
        </w:rPr>
        <w:t xml:space="preserve">Herman has agreed to a three-year phase-in of the rate increase which should provide some relief to customers. </w:t>
      </w:r>
    </w:p>
    <w:p w:rsidR="00E542C2" w:rsidRDefault="00E542C2" w:rsidP="006C4A90">
      <w:pPr>
        <w:pStyle w:val="Heading4"/>
        <w:numPr>
          <w:ilvl w:val="0"/>
          <w:numId w:val="0"/>
        </w:numPr>
        <w:spacing w:line="360" w:lineRule="auto"/>
        <w:ind w:firstLine="1440"/>
        <w:rPr>
          <w:rFonts w:eastAsiaTheme="minorHAnsi"/>
          <w:b w:val="0"/>
        </w:rPr>
      </w:pPr>
    </w:p>
    <w:p w:rsidR="000123D5" w:rsidRDefault="00E542C2" w:rsidP="0028595E">
      <w:pPr>
        <w:pStyle w:val="Heading4"/>
        <w:numPr>
          <w:ilvl w:val="0"/>
          <w:numId w:val="0"/>
        </w:numPr>
        <w:spacing w:line="360" w:lineRule="auto"/>
        <w:ind w:firstLine="1440"/>
        <w:rPr>
          <w:rFonts w:eastAsiaTheme="minorHAnsi"/>
          <w:b w:val="0"/>
        </w:rPr>
      </w:pPr>
      <w:r>
        <w:rPr>
          <w:rFonts w:eastAsiaTheme="minorHAnsi"/>
          <w:b w:val="0"/>
        </w:rPr>
        <w:t xml:space="preserve">As discussed, </w:t>
      </w:r>
      <w:r w:rsidRPr="00E542C2">
        <w:rPr>
          <w:rFonts w:eastAsiaTheme="minorHAnsi"/>
          <w:b w:val="0"/>
          <w:i/>
        </w:rPr>
        <w:t>infra</w:t>
      </w:r>
      <w:r>
        <w:rPr>
          <w:rFonts w:eastAsiaTheme="minorHAnsi"/>
          <w:b w:val="0"/>
        </w:rPr>
        <w:t xml:space="preserve">, Herman will be providing, </w:t>
      </w:r>
      <w:r w:rsidRPr="00E542C2">
        <w:rPr>
          <w:rFonts w:eastAsiaTheme="minorHAnsi"/>
          <w:b w:val="0"/>
          <w:i/>
        </w:rPr>
        <w:t>inter alia</w:t>
      </w:r>
      <w:r>
        <w:rPr>
          <w:rFonts w:eastAsiaTheme="minorHAnsi"/>
          <w:b w:val="0"/>
        </w:rPr>
        <w:t xml:space="preserve">, information on </w:t>
      </w:r>
      <w:r w:rsidR="000123D5" w:rsidRPr="0099788E">
        <w:rPr>
          <w:rFonts w:eastAsiaTheme="minorHAnsi"/>
          <w:b w:val="0"/>
        </w:rPr>
        <w:t xml:space="preserve">its </w:t>
      </w:r>
      <w:r>
        <w:rPr>
          <w:rFonts w:eastAsiaTheme="minorHAnsi"/>
          <w:b w:val="0"/>
        </w:rPr>
        <w:t>finances, capital improvements and customer contacts</w:t>
      </w:r>
      <w:r w:rsidRPr="00E542C2">
        <w:rPr>
          <w:rFonts w:eastAsiaTheme="minorHAnsi"/>
        </w:rPr>
        <w:t xml:space="preserve"> </w:t>
      </w:r>
      <w:r w:rsidRPr="00E542C2">
        <w:rPr>
          <w:rFonts w:eastAsiaTheme="minorHAnsi"/>
          <w:b w:val="0"/>
        </w:rPr>
        <w:t>on safety and quality of service</w:t>
      </w:r>
      <w:r>
        <w:rPr>
          <w:rFonts w:eastAsiaTheme="minorHAnsi"/>
          <w:b w:val="0"/>
        </w:rPr>
        <w:t xml:space="preserve"> issues.  Therefore, I&amp;E</w:t>
      </w:r>
      <w:r w:rsidR="001E5683">
        <w:rPr>
          <w:rFonts w:eastAsiaTheme="minorHAnsi"/>
          <w:b w:val="0"/>
        </w:rPr>
        <w:t>,</w:t>
      </w:r>
      <w:r>
        <w:rPr>
          <w:rFonts w:eastAsiaTheme="minorHAnsi"/>
          <w:b w:val="0"/>
        </w:rPr>
        <w:t xml:space="preserve"> the OCA </w:t>
      </w:r>
      <w:r w:rsidR="001E5683">
        <w:rPr>
          <w:rFonts w:eastAsiaTheme="minorHAnsi"/>
          <w:b w:val="0"/>
        </w:rPr>
        <w:t xml:space="preserve">and this Commission should </w:t>
      </w:r>
      <w:r>
        <w:rPr>
          <w:rFonts w:eastAsiaTheme="minorHAnsi"/>
          <w:b w:val="0"/>
        </w:rPr>
        <w:t xml:space="preserve">be able to assess whether the increased revenue that results from this Settlement is being appropriately applied to </w:t>
      </w:r>
      <w:r w:rsidR="00A6235D">
        <w:rPr>
          <w:rFonts w:eastAsiaTheme="minorHAnsi"/>
          <w:b w:val="0"/>
        </w:rPr>
        <w:t xml:space="preserve">preserve and </w:t>
      </w:r>
      <w:r w:rsidR="000123D5" w:rsidRPr="0099788E">
        <w:rPr>
          <w:rFonts w:eastAsiaTheme="minorHAnsi"/>
          <w:b w:val="0"/>
        </w:rPr>
        <w:t>improve</w:t>
      </w:r>
      <w:r w:rsidR="00A6235D">
        <w:rPr>
          <w:rFonts w:eastAsiaTheme="minorHAnsi"/>
          <w:b w:val="0"/>
        </w:rPr>
        <w:t xml:space="preserve"> the quality of service and that service issues are being addressed in a timely manner.  Accordingly, we shall </w:t>
      </w:r>
      <w:r w:rsidR="005D0782">
        <w:rPr>
          <w:rFonts w:eastAsiaTheme="minorHAnsi"/>
          <w:b w:val="0"/>
        </w:rPr>
        <w:t xml:space="preserve">deny the Exceptions and </w:t>
      </w:r>
      <w:r w:rsidR="00A6235D">
        <w:rPr>
          <w:rFonts w:eastAsiaTheme="minorHAnsi"/>
          <w:b w:val="0"/>
        </w:rPr>
        <w:t>approve the distribution rate increase and the phase-in plan set forth in the Joint Petition</w:t>
      </w:r>
      <w:r w:rsidR="00605AC1">
        <w:rPr>
          <w:rFonts w:eastAsiaTheme="minorHAnsi"/>
          <w:b w:val="0"/>
        </w:rPr>
        <w:t xml:space="preserve"> </w:t>
      </w:r>
      <w:r w:rsidR="005D0782">
        <w:rPr>
          <w:rFonts w:eastAsiaTheme="minorHAnsi"/>
          <w:b w:val="0"/>
        </w:rPr>
        <w:t>as in the public interest</w:t>
      </w:r>
    </w:p>
    <w:p w:rsidR="0099788E" w:rsidRPr="005D0782" w:rsidRDefault="0099788E" w:rsidP="0028595E">
      <w:pPr>
        <w:pStyle w:val="Heading4"/>
        <w:numPr>
          <w:ilvl w:val="0"/>
          <w:numId w:val="0"/>
        </w:numPr>
        <w:spacing w:line="360" w:lineRule="auto"/>
        <w:ind w:firstLine="1440"/>
        <w:rPr>
          <w:rFonts w:eastAsiaTheme="minorHAnsi"/>
        </w:rPr>
      </w:pPr>
    </w:p>
    <w:p w:rsidR="0074189C" w:rsidRDefault="0074189C" w:rsidP="00482323">
      <w:pPr>
        <w:pStyle w:val="Heading3"/>
        <w:rPr>
          <w:rFonts w:eastAsiaTheme="minorHAnsi"/>
        </w:rPr>
      </w:pPr>
      <w:r>
        <w:rPr>
          <w:rFonts w:eastAsiaTheme="minorHAnsi"/>
        </w:rPr>
        <w:t>Customer Charge</w:t>
      </w:r>
    </w:p>
    <w:p w:rsidR="0074189C" w:rsidRDefault="0074189C" w:rsidP="00482323">
      <w:pPr>
        <w:keepNext/>
        <w:keepLines/>
      </w:pPr>
    </w:p>
    <w:p w:rsidR="00CA6221" w:rsidRPr="00CA6221" w:rsidRDefault="00CA6221" w:rsidP="00823499">
      <w:pPr>
        <w:pStyle w:val="Heading4"/>
        <w:numPr>
          <w:ilvl w:val="0"/>
          <w:numId w:val="6"/>
        </w:numPr>
        <w:ind w:left="2160" w:hanging="720"/>
        <w:rPr>
          <w:rFonts w:eastAsiaTheme="minorHAnsi"/>
        </w:rPr>
      </w:pPr>
      <w:r w:rsidRPr="00CA6221">
        <w:rPr>
          <w:rFonts w:eastAsiaTheme="minorHAnsi"/>
        </w:rPr>
        <w:t>Terms of the Joint Petition</w:t>
      </w:r>
    </w:p>
    <w:p w:rsidR="00CA6221" w:rsidRDefault="00CA6221" w:rsidP="00482323">
      <w:pPr>
        <w:keepNext/>
        <w:keepLines/>
      </w:pPr>
    </w:p>
    <w:p w:rsidR="00CA6221" w:rsidRDefault="00EF3D4D" w:rsidP="00CA6221">
      <w:pPr>
        <w:rPr>
          <w:rFonts w:eastAsiaTheme="minorHAnsi"/>
          <w:szCs w:val="26"/>
        </w:rPr>
      </w:pPr>
      <w:r>
        <w:rPr>
          <w:rFonts w:eastAsiaTheme="minorHAnsi"/>
          <w:szCs w:val="26"/>
        </w:rPr>
        <w:t xml:space="preserve">Under the terms of the Settlement, </w:t>
      </w:r>
      <w:r w:rsidR="0074189C" w:rsidRPr="00482323">
        <w:rPr>
          <w:rFonts w:eastAsiaTheme="minorHAnsi"/>
          <w:szCs w:val="26"/>
        </w:rPr>
        <w:t xml:space="preserve">Herman would be </w:t>
      </w:r>
      <w:r w:rsidR="005D0782">
        <w:rPr>
          <w:rFonts w:eastAsiaTheme="minorHAnsi"/>
          <w:szCs w:val="26"/>
        </w:rPr>
        <w:t>permitted</w:t>
      </w:r>
      <w:r w:rsidR="0074189C" w:rsidRPr="00482323">
        <w:rPr>
          <w:rFonts w:eastAsiaTheme="minorHAnsi"/>
          <w:szCs w:val="26"/>
        </w:rPr>
        <w:t xml:space="preserve"> to implement a residential customer charge of $13.50/month and a General Service (GS) customer charge of $175.00/month, effective at the time of the Commission’s Order </w:t>
      </w:r>
      <w:r w:rsidR="005D0782">
        <w:rPr>
          <w:rFonts w:eastAsiaTheme="minorHAnsi"/>
          <w:szCs w:val="26"/>
        </w:rPr>
        <w:t>granting t</w:t>
      </w:r>
      <w:r w:rsidR="0074189C" w:rsidRPr="00482323">
        <w:rPr>
          <w:rFonts w:eastAsiaTheme="minorHAnsi"/>
          <w:szCs w:val="26"/>
        </w:rPr>
        <w:t>he Joint Petition is adopted.  Joint Petition at 7,</w:t>
      </w:r>
      <w:r w:rsidR="005D0782">
        <w:rPr>
          <w:rFonts w:eastAsiaTheme="minorHAnsi"/>
          <w:szCs w:val="26"/>
        </w:rPr>
        <w:t xml:space="preserve"> </w:t>
      </w:r>
      <w:r w:rsidR="0074189C" w:rsidRPr="00482323">
        <w:rPr>
          <w:rFonts w:eastAsiaTheme="minorHAnsi"/>
          <w:szCs w:val="26"/>
        </w:rPr>
        <w:t xml:space="preserve">11.  The Company currently does not collect a customer charge.  </w:t>
      </w:r>
      <w:r w:rsidR="00482323" w:rsidRPr="00482323">
        <w:rPr>
          <w:rFonts w:eastAsiaTheme="minorHAnsi"/>
          <w:szCs w:val="26"/>
        </w:rPr>
        <w:t>Joint Petition</w:t>
      </w:r>
      <w:r w:rsidR="00C63791">
        <w:rPr>
          <w:rFonts w:eastAsiaTheme="minorHAnsi"/>
          <w:szCs w:val="26"/>
        </w:rPr>
        <w:t>,</w:t>
      </w:r>
      <w:r w:rsidR="00482323" w:rsidRPr="00482323">
        <w:rPr>
          <w:rFonts w:eastAsiaTheme="minorHAnsi"/>
          <w:szCs w:val="26"/>
        </w:rPr>
        <w:t xml:space="preserve"> Appendix B. </w:t>
      </w:r>
      <w:r w:rsidR="00E519B0">
        <w:rPr>
          <w:rFonts w:eastAsiaTheme="minorHAnsi"/>
          <w:szCs w:val="26"/>
        </w:rPr>
        <w:t xml:space="preserve"> </w:t>
      </w:r>
      <w:r w:rsidR="006218A1">
        <w:rPr>
          <w:rFonts w:eastAsiaTheme="minorHAnsi"/>
          <w:szCs w:val="26"/>
        </w:rPr>
        <w:t xml:space="preserve">The customer charge proposed under the Settlement </w:t>
      </w:r>
      <w:r w:rsidR="005D0782">
        <w:rPr>
          <w:rFonts w:eastAsiaTheme="minorHAnsi"/>
          <w:szCs w:val="26"/>
        </w:rPr>
        <w:t xml:space="preserve">would </w:t>
      </w:r>
      <w:r w:rsidR="006218A1">
        <w:rPr>
          <w:rFonts w:eastAsiaTheme="minorHAnsi"/>
          <w:szCs w:val="26"/>
        </w:rPr>
        <w:t xml:space="preserve">result in a decrease from the $16.00/month originally proposed by the Company.  Supplement No. 44. </w:t>
      </w:r>
    </w:p>
    <w:p w:rsidR="00DA676E" w:rsidRDefault="00DA676E" w:rsidP="00CA6221">
      <w:pPr>
        <w:rPr>
          <w:rFonts w:eastAsiaTheme="minorHAnsi"/>
          <w:szCs w:val="26"/>
        </w:rPr>
      </w:pPr>
    </w:p>
    <w:p w:rsidR="00CA6221" w:rsidRPr="00CA6221" w:rsidRDefault="00CA6221" w:rsidP="00D20137">
      <w:pPr>
        <w:pStyle w:val="Heading4"/>
        <w:ind w:left="2160" w:hanging="720"/>
        <w:rPr>
          <w:rFonts w:eastAsiaTheme="minorHAnsi"/>
          <w:szCs w:val="26"/>
        </w:rPr>
      </w:pPr>
      <w:r w:rsidRPr="00CA6221">
        <w:rPr>
          <w:rFonts w:eastAsiaTheme="minorHAnsi"/>
        </w:rPr>
        <w:t>Posi</w:t>
      </w:r>
      <w:r w:rsidRPr="00CA6221">
        <w:rPr>
          <w:rStyle w:val="Heading4Char"/>
          <w:rFonts w:eastAsiaTheme="minorHAnsi"/>
        </w:rPr>
        <w:t>t</w:t>
      </w:r>
      <w:r w:rsidRPr="00CA6221">
        <w:rPr>
          <w:rFonts w:eastAsiaTheme="minorHAnsi"/>
        </w:rPr>
        <w:t>ions of the Parties and the Recommended Decision</w:t>
      </w:r>
    </w:p>
    <w:p w:rsidR="00CA6221" w:rsidRPr="00CA6221" w:rsidRDefault="00CA6221" w:rsidP="00CA6221">
      <w:pPr>
        <w:rPr>
          <w:rFonts w:eastAsiaTheme="minorHAnsi"/>
        </w:rPr>
      </w:pPr>
    </w:p>
    <w:p w:rsidR="004C438F" w:rsidRDefault="006218A1" w:rsidP="006218A1">
      <w:pPr>
        <w:tabs>
          <w:tab w:val="left" w:pos="-720"/>
        </w:tabs>
        <w:suppressAutoHyphens/>
        <w:rPr>
          <w:spacing w:val="-3"/>
          <w:szCs w:val="26"/>
        </w:rPr>
      </w:pPr>
      <w:r w:rsidRPr="006218A1">
        <w:rPr>
          <w:spacing w:val="-3"/>
          <w:szCs w:val="26"/>
        </w:rPr>
        <w:t>I&amp;E</w:t>
      </w:r>
      <w:r w:rsidR="00360BAC" w:rsidRPr="00360BAC">
        <w:rPr>
          <w:spacing w:val="-3"/>
          <w:szCs w:val="26"/>
        </w:rPr>
        <w:t xml:space="preserve"> submitted that </w:t>
      </w:r>
      <w:r w:rsidRPr="006218A1">
        <w:rPr>
          <w:spacing w:val="-3"/>
          <w:szCs w:val="26"/>
        </w:rPr>
        <w:t xml:space="preserve">it is important to allow the utility to recover the fixed portion of providing service through the implementation of </w:t>
      </w:r>
      <w:r w:rsidR="00B91252">
        <w:rPr>
          <w:spacing w:val="-3"/>
          <w:szCs w:val="26"/>
        </w:rPr>
        <w:t>a</w:t>
      </w:r>
      <w:r w:rsidRPr="006218A1">
        <w:rPr>
          <w:spacing w:val="-3"/>
          <w:szCs w:val="26"/>
        </w:rPr>
        <w:t xml:space="preserve"> proper customer charge.  I&amp;E explain</w:t>
      </w:r>
      <w:r w:rsidR="004C438F">
        <w:rPr>
          <w:spacing w:val="-3"/>
          <w:szCs w:val="26"/>
        </w:rPr>
        <w:t>ed</w:t>
      </w:r>
      <w:r w:rsidRPr="006218A1">
        <w:rPr>
          <w:spacing w:val="-3"/>
          <w:szCs w:val="26"/>
        </w:rPr>
        <w:t xml:space="preserve"> that a</w:t>
      </w:r>
      <w:r w:rsidR="004C438F">
        <w:rPr>
          <w:spacing w:val="-3"/>
          <w:szCs w:val="26"/>
        </w:rPr>
        <w:t xml:space="preserve">n appropriate </w:t>
      </w:r>
      <w:r w:rsidRPr="006218A1">
        <w:rPr>
          <w:spacing w:val="-3"/>
          <w:szCs w:val="26"/>
        </w:rPr>
        <w:t xml:space="preserve">customer charge provides the Company the opportunity to address its fixed recurring costs necessary to operate its system through a steady, predictable level of income.  I&amp;E </w:t>
      </w:r>
      <w:r w:rsidR="004C438F">
        <w:rPr>
          <w:spacing w:val="-3"/>
          <w:szCs w:val="26"/>
        </w:rPr>
        <w:t xml:space="preserve">averred that </w:t>
      </w:r>
      <w:r w:rsidRPr="006218A1">
        <w:rPr>
          <w:spacing w:val="-3"/>
          <w:szCs w:val="26"/>
        </w:rPr>
        <w:t xml:space="preserve">this will allow for the proper maintenance and upkeep of </w:t>
      </w:r>
      <w:r w:rsidRPr="006218A1">
        <w:rPr>
          <w:spacing w:val="-3"/>
          <w:szCs w:val="26"/>
        </w:rPr>
        <w:lastRenderedPageBreak/>
        <w:t>Herman’s system</w:t>
      </w:r>
      <w:r w:rsidR="004C438F">
        <w:rPr>
          <w:spacing w:val="-3"/>
          <w:szCs w:val="26"/>
        </w:rPr>
        <w:t xml:space="preserve"> </w:t>
      </w:r>
      <w:r w:rsidR="00B91252">
        <w:rPr>
          <w:spacing w:val="-3"/>
          <w:szCs w:val="26"/>
        </w:rPr>
        <w:t xml:space="preserve">and ensure that </w:t>
      </w:r>
      <w:r w:rsidRPr="006218A1">
        <w:rPr>
          <w:spacing w:val="-3"/>
          <w:szCs w:val="26"/>
        </w:rPr>
        <w:t xml:space="preserve">that the Company </w:t>
      </w:r>
      <w:r w:rsidR="00B91252">
        <w:rPr>
          <w:spacing w:val="-3"/>
          <w:szCs w:val="26"/>
        </w:rPr>
        <w:t xml:space="preserve">will not be </w:t>
      </w:r>
      <w:r w:rsidRPr="006218A1">
        <w:rPr>
          <w:spacing w:val="-3"/>
          <w:szCs w:val="26"/>
        </w:rPr>
        <w:t xml:space="preserve">overcompensated.  </w:t>
      </w:r>
      <w:r w:rsidR="004C438F">
        <w:rPr>
          <w:spacing w:val="-3"/>
          <w:szCs w:val="26"/>
        </w:rPr>
        <w:t xml:space="preserve">I&amp;E Statement in Support at 6. </w:t>
      </w:r>
    </w:p>
    <w:p w:rsidR="004C438F" w:rsidRDefault="004C438F" w:rsidP="006218A1">
      <w:pPr>
        <w:tabs>
          <w:tab w:val="left" w:pos="-720"/>
        </w:tabs>
        <w:suppressAutoHyphens/>
        <w:rPr>
          <w:spacing w:val="-3"/>
          <w:szCs w:val="26"/>
        </w:rPr>
      </w:pPr>
    </w:p>
    <w:p w:rsidR="006218A1" w:rsidRDefault="006218A1" w:rsidP="006218A1">
      <w:pPr>
        <w:tabs>
          <w:tab w:val="left" w:pos="-720"/>
        </w:tabs>
        <w:suppressAutoHyphens/>
        <w:rPr>
          <w:spacing w:val="-3"/>
          <w:szCs w:val="26"/>
        </w:rPr>
      </w:pPr>
      <w:r w:rsidRPr="006218A1">
        <w:rPr>
          <w:spacing w:val="-3"/>
          <w:szCs w:val="26"/>
        </w:rPr>
        <w:t xml:space="preserve">I&amp;E </w:t>
      </w:r>
      <w:r w:rsidR="004C438F">
        <w:rPr>
          <w:spacing w:val="-3"/>
          <w:szCs w:val="26"/>
        </w:rPr>
        <w:t xml:space="preserve">also opined that </w:t>
      </w:r>
      <w:r w:rsidRPr="006218A1">
        <w:rPr>
          <w:spacing w:val="-3"/>
          <w:szCs w:val="26"/>
        </w:rPr>
        <w:t>moderating the requested increase in th</w:t>
      </w:r>
      <w:r w:rsidR="004C438F">
        <w:rPr>
          <w:spacing w:val="-3"/>
          <w:szCs w:val="26"/>
        </w:rPr>
        <w:t xml:space="preserve">e customer charge and shifting the </w:t>
      </w:r>
      <w:r w:rsidRPr="006218A1">
        <w:rPr>
          <w:spacing w:val="-3"/>
          <w:szCs w:val="26"/>
        </w:rPr>
        <w:t xml:space="preserve">costs to the volumetric portion of a customer’s bill </w:t>
      </w:r>
      <w:r w:rsidR="00B91252">
        <w:rPr>
          <w:spacing w:val="-3"/>
          <w:szCs w:val="26"/>
        </w:rPr>
        <w:t xml:space="preserve">will </w:t>
      </w:r>
      <w:r w:rsidRPr="006218A1">
        <w:rPr>
          <w:spacing w:val="-3"/>
          <w:szCs w:val="26"/>
        </w:rPr>
        <w:t xml:space="preserve">allow for the immediate realization of the benefit of </w:t>
      </w:r>
      <w:r w:rsidR="004C438F">
        <w:rPr>
          <w:spacing w:val="-3"/>
          <w:szCs w:val="26"/>
        </w:rPr>
        <w:t>conservation.</w:t>
      </w:r>
      <w:r w:rsidRPr="006218A1">
        <w:rPr>
          <w:spacing w:val="-3"/>
          <w:szCs w:val="26"/>
        </w:rPr>
        <w:t xml:space="preserve">  I&amp;E</w:t>
      </w:r>
      <w:r w:rsidR="004C438F">
        <w:rPr>
          <w:spacing w:val="-3"/>
          <w:szCs w:val="26"/>
        </w:rPr>
        <w:t xml:space="preserve"> </w:t>
      </w:r>
      <w:r w:rsidR="001342B1">
        <w:rPr>
          <w:spacing w:val="-3"/>
          <w:szCs w:val="26"/>
        </w:rPr>
        <w:t xml:space="preserve">opined </w:t>
      </w:r>
      <w:r w:rsidR="004C438F">
        <w:rPr>
          <w:spacing w:val="-3"/>
          <w:szCs w:val="26"/>
        </w:rPr>
        <w:t xml:space="preserve">that </w:t>
      </w:r>
      <w:r w:rsidRPr="006218A1">
        <w:rPr>
          <w:spacing w:val="-3"/>
          <w:szCs w:val="26"/>
        </w:rPr>
        <w:t>designing rates to allow customers to have greater control of their energy bills is in the public interest.  I&amp;E S</w:t>
      </w:r>
      <w:r w:rsidR="004C438F">
        <w:rPr>
          <w:spacing w:val="-3"/>
          <w:szCs w:val="26"/>
        </w:rPr>
        <w:t>tatement i</w:t>
      </w:r>
      <w:r w:rsidRPr="006218A1">
        <w:rPr>
          <w:spacing w:val="-3"/>
          <w:szCs w:val="26"/>
        </w:rPr>
        <w:t>n Support</w:t>
      </w:r>
      <w:r w:rsidR="004C438F">
        <w:rPr>
          <w:spacing w:val="-3"/>
          <w:szCs w:val="26"/>
        </w:rPr>
        <w:t xml:space="preserve"> at </w:t>
      </w:r>
      <w:r w:rsidRPr="006218A1">
        <w:rPr>
          <w:spacing w:val="-3"/>
          <w:szCs w:val="26"/>
        </w:rPr>
        <w:t>6.</w:t>
      </w:r>
    </w:p>
    <w:p w:rsidR="00565024" w:rsidRDefault="00565024" w:rsidP="006218A1">
      <w:pPr>
        <w:tabs>
          <w:tab w:val="left" w:pos="-720"/>
        </w:tabs>
        <w:suppressAutoHyphens/>
        <w:rPr>
          <w:spacing w:val="-3"/>
          <w:szCs w:val="26"/>
        </w:rPr>
      </w:pPr>
    </w:p>
    <w:p w:rsidR="001342B1" w:rsidRDefault="00565024" w:rsidP="006218A1">
      <w:pPr>
        <w:tabs>
          <w:tab w:val="left" w:pos="-720"/>
        </w:tabs>
        <w:suppressAutoHyphens/>
        <w:rPr>
          <w:spacing w:val="-3"/>
          <w:szCs w:val="26"/>
        </w:rPr>
      </w:pPr>
      <w:r>
        <w:rPr>
          <w:spacing w:val="-3"/>
          <w:szCs w:val="26"/>
        </w:rPr>
        <w:t xml:space="preserve">The ALJ did </w:t>
      </w:r>
      <w:r w:rsidR="001342B1">
        <w:rPr>
          <w:spacing w:val="-3"/>
          <w:szCs w:val="26"/>
        </w:rPr>
        <w:t xml:space="preserve">not </w:t>
      </w:r>
      <w:r w:rsidR="009B0F38">
        <w:rPr>
          <w:spacing w:val="-3"/>
          <w:szCs w:val="26"/>
        </w:rPr>
        <w:t xml:space="preserve">submit a recommendation on the </w:t>
      </w:r>
      <w:r>
        <w:rPr>
          <w:spacing w:val="-3"/>
          <w:szCs w:val="26"/>
        </w:rPr>
        <w:t xml:space="preserve">customer charge as an individual issue, </w:t>
      </w:r>
      <w:r w:rsidR="009B0F38">
        <w:rPr>
          <w:spacing w:val="-3"/>
          <w:szCs w:val="26"/>
        </w:rPr>
        <w:t xml:space="preserve">but recommended the adoption of the overall rates presented in the </w:t>
      </w:r>
      <w:r w:rsidR="001342B1">
        <w:rPr>
          <w:spacing w:val="-3"/>
          <w:szCs w:val="26"/>
        </w:rPr>
        <w:t>Joint Petition</w:t>
      </w:r>
      <w:r w:rsidR="00276862">
        <w:rPr>
          <w:spacing w:val="-3"/>
          <w:szCs w:val="26"/>
        </w:rPr>
        <w:t xml:space="preserve"> as discussed </w:t>
      </w:r>
      <w:r w:rsidR="00276862">
        <w:rPr>
          <w:i/>
          <w:spacing w:val="-3"/>
          <w:szCs w:val="26"/>
        </w:rPr>
        <w:t>supra</w:t>
      </w:r>
      <w:r w:rsidR="001342B1">
        <w:rPr>
          <w:spacing w:val="-3"/>
          <w:szCs w:val="26"/>
        </w:rPr>
        <w:t>.  R.D. at 28-29.</w:t>
      </w:r>
    </w:p>
    <w:p w:rsidR="004C438F" w:rsidRDefault="004C438F" w:rsidP="006218A1">
      <w:pPr>
        <w:tabs>
          <w:tab w:val="left" w:pos="-720"/>
        </w:tabs>
        <w:suppressAutoHyphens/>
        <w:rPr>
          <w:spacing w:val="-3"/>
          <w:szCs w:val="26"/>
        </w:rPr>
      </w:pPr>
    </w:p>
    <w:p w:rsidR="004C438F" w:rsidRPr="006218A1" w:rsidRDefault="00317567" w:rsidP="00C6038B">
      <w:pPr>
        <w:pStyle w:val="Heading4"/>
        <w:ind w:left="2160" w:hanging="720"/>
      </w:pPr>
      <w:r>
        <w:t>Exceptions</w:t>
      </w:r>
    </w:p>
    <w:p w:rsidR="00CA6221" w:rsidRDefault="00CA6221" w:rsidP="00CA6221">
      <w:pPr>
        <w:rPr>
          <w:rFonts w:eastAsiaTheme="minorHAnsi"/>
          <w:szCs w:val="26"/>
        </w:rPr>
      </w:pPr>
    </w:p>
    <w:p w:rsidR="00317567" w:rsidRDefault="002061BF" w:rsidP="00CA6221">
      <w:pPr>
        <w:rPr>
          <w:rFonts w:eastAsiaTheme="minorHAnsi"/>
          <w:szCs w:val="26"/>
        </w:rPr>
      </w:pPr>
      <w:r>
        <w:rPr>
          <w:rFonts w:eastAsiaTheme="minorHAnsi"/>
          <w:szCs w:val="26"/>
        </w:rPr>
        <w:t xml:space="preserve">In her Exceptions, Ms. Eurich opposes the new customer charge of $13.50/month.  She </w:t>
      </w:r>
      <w:r w:rsidR="001342B1">
        <w:rPr>
          <w:rFonts w:eastAsiaTheme="minorHAnsi"/>
          <w:szCs w:val="26"/>
        </w:rPr>
        <w:t>contends</w:t>
      </w:r>
      <w:r>
        <w:rPr>
          <w:rFonts w:eastAsiaTheme="minorHAnsi"/>
          <w:szCs w:val="26"/>
        </w:rPr>
        <w:t xml:space="preserve"> that in the twenty years </w:t>
      </w:r>
      <w:r w:rsidR="001342B1">
        <w:rPr>
          <w:rFonts w:eastAsiaTheme="minorHAnsi"/>
          <w:szCs w:val="26"/>
        </w:rPr>
        <w:t xml:space="preserve">that </w:t>
      </w:r>
      <w:r>
        <w:rPr>
          <w:rFonts w:eastAsiaTheme="minorHAnsi"/>
          <w:szCs w:val="26"/>
        </w:rPr>
        <w:t>she received service from Herman, “they have only read [my] meter and many months in a row it was estimated leaving me with an outrageous bill.”  Eurich Exc. at 1.  Ms. Eurich raised other service issues discussed</w:t>
      </w:r>
      <w:r w:rsidRPr="002061BF">
        <w:rPr>
          <w:rFonts w:eastAsiaTheme="minorHAnsi"/>
          <w:i/>
          <w:szCs w:val="26"/>
        </w:rPr>
        <w:t>, infra</w:t>
      </w:r>
      <w:r>
        <w:rPr>
          <w:rFonts w:eastAsiaTheme="minorHAnsi"/>
          <w:szCs w:val="26"/>
        </w:rPr>
        <w:t xml:space="preserve">.  </w:t>
      </w:r>
      <w:r w:rsidR="003E777B">
        <w:rPr>
          <w:rFonts w:eastAsiaTheme="minorHAnsi"/>
          <w:szCs w:val="26"/>
        </w:rPr>
        <w:t xml:space="preserve">Ms. Eurich opines that given these service issues, the new customer charge is not warranted.  </w:t>
      </w:r>
      <w:r w:rsidR="003E777B" w:rsidRPr="003E777B">
        <w:rPr>
          <w:rFonts w:eastAsiaTheme="minorHAnsi"/>
          <w:i/>
          <w:szCs w:val="26"/>
        </w:rPr>
        <w:t>Id.</w:t>
      </w:r>
    </w:p>
    <w:p w:rsidR="002061BF" w:rsidRDefault="002061BF" w:rsidP="00CA6221">
      <w:pPr>
        <w:rPr>
          <w:rFonts w:eastAsiaTheme="minorHAnsi"/>
          <w:szCs w:val="26"/>
        </w:rPr>
      </w:pPr>
    </w:p>
    <w:p w:rsidR="002061BF" w:rsidRDefault="002061BF" w:rsidP="00CA6221">
      <w:pPr>
        <w:rPr>
          <w:rFonts w:eastAsiaTheme="minorHAnsi"/>
          <w:szCs w:val="26"/>
        </w:rPr>
      </w:pPr>
      <w:r>
        <w:rPr>
          <w:rFonts w:eastAsiaTheme="minorHAnsi"/>
          <w:szCs w:val="26"/>
        </w:rPr>
        <w:t xml:space="preserve">Mr. Rizzo questions why the customer charge of </w:t>
      </w:r>
      <w:r w:rsidRPr="0099788E">
        <w:rPr>
          <w:rFonts w:eastAsiaTheme="minorHAnsi"/>
          <w:szCs w:val="26"/>
        </w:rPr>
        <w:t>$13.</w:t>
      </w:r>
      <w:r w:rsidR="0099788E" w:rsidRPr="0099788E">
        <w:rPr>
          <w:rFonts w:eastAsiaTheme="minorHAnsi"/>
          <w:szCs w:val="26"/>
        </w:rPr>
        <w:t>5</w:t>
      </w:r>
      <w:r w:rsidRPr="0099788E">
        <w:rPr>
          <w:rFonts w:eastAsiaTheme="minorHAnsi"/>
          <w:szCs w:val="26"/>
        </w:rPr>
        <w:t xml:space="preserve">0 </w:t>
      </w:r>
      <w:r>
        <w:rPr>
          <w:rFonts w:eastAsiaTheme="minorHAnsi"/>
          <w:szCs w:val="26"/>
        </w:rPr>
        <w:t>is being proposed.  He argued that customers receive no benefit from the charge</w:t>
      </w:r>
      <w:r w:rsidR="00CC6CFE">
        <w:rPr>
          <w:rFonts w:eastAsiaTheme="minorHAnsi"/>
          <w:szCs w:val="26"/>
        </w:rPr>
        <w:t xml:space="preserve">. </w:t>
      </w:r>
      <w:r>
        <w:rPr>
          <w:rFonts w:eastAsiaTheme="minorHAnsi"/>
          <w:szCs w:val="26"/>
        </w:rPr>
        <w:t xml:space="preserve"> He </w:t>
      </w:r>
      <w:r w:rsidR="00A67DC1">
        <w:rPr>
          <w:rFonts w:eastAsiaTheme="minorHAnsi"/>
          <w:szCs w:val="26"/>
        </w:rPr>
        <w:t xml:space="preserve">also contends that </w:t>
      </w:r>
      <w:r>
        <w:rPr>
          <w:rFonts w:eastAsiaTheme="minorHAnsi"/>
          <w:szCs w:val="26"/>
        </w:rPr>
        <w:t>that the Company doesn’t get out of the truck to get an accurate meter reading.  Rizzo Exc. at</w:t>
      </w:r>
      <w:r w:rsidR="00A67DC1">
        <w:rPr>
          <w:rFonts w:eastAsiaTheme="minorHAnsi"/>
          <w:szCs w:val="26"/>
        </w:rPr>
        <w:t> </w:t>
      </w:r>
      <w:r>
        <w:rPr>
          <w:rFonts w:eastAsiaTheme="minorHAnsi"/>
          <w:szCs w:val="26"/>
        </w:rPr>
        <w:t xml:space="preserve">1. </w:t>
      </w:r>
    </w:p>
    <w:p w:rsidR="002061BF" w:rsidRDefault="002061BF" w:rsidP="00CA6221">
      <w:pPr>
        <w:rPr>
          <w:rFonts w:eastAsiaTheme="minorHAnsi"/>
          <w:szCs w:val="26"/>
        </w:rPr>
      </w:pPr>
    </w:p>
    <w:p w:rsidR="002F4BE0" w:rsidRDefault="002F4BE0" w:rsidP="002F4BE0">
      <w:pPr>
        <w:rPr>
          <w:rFonts w:eastAsiaTheme="minorHAnsi"/>
        </w:rPr>
      </w:pPr>
      <w:r>
        <w:rPr>
          <w:rFonts w:eastAsiaTheme="minorHAnsi"/>
        </w:rPr>
        <w:t xml:space="preserve">In its Reply </w:t>
      </w:r>
      <w:r w:rsidR="00FA24D2">
        <w:rPr>
          <w:rFonts w:eastAsiaTheme="minorHAnsi"/>
        </w:rPr>
        <w:t xml:space="preserve">to Mr. Rizzo’s </w:t>
      </w:r>
      <w:r>
        <w:rPr>
          <w:rFonts w:eastAsiaTheme="minorHAnsi"/>
        </w:rPr>
        <w:t xml:space="preserve">Exceptions, Herman concurs with </w:t>
      </w:r>
      <w:r w:rsidR="00F66A5F">
        <w:rPr>
          <w:rFonts w:eastAsiaTheme="minorHAnsi"/>
        </w:rPr>
        <w:t>I&amp;E</w:t>
      </w:r>
      <w:r>
        <w:rPr>
          <w:rFonts w:eastAsiaTheme="minorHAnsi"/>
        </w:rPr>
        <w:t>’s</w:t>
      </w:r>
      <w:r w:rsidR="00F66A5F">
        <w:rPr>
          <w:rFonts w:eastAsiaTheme="minorHAnsi"/>
        </w:rPr>
        <w:t xml:space="preserve"> </w:t>
      </w:r>
      <w:r>
        <w:rPr>
          <w:rFonts w:eastAsiaTheme="minorHAnsi"/>
        </w:rPr>
        <w:t xml:space="preserve">position that </w:t>
      </w:r>
      <w:r w:rsidR="00F66A5F">
        <w:rPr>
          <w:rFonts w:eastAsiaTheme="minorHAnsi"/>
        </w:rPr>
        <w:t xml:space="preserve">it is imperative to have a customer charge that </w:t>
      </w:r>
      <w:r w:rsidR="00A67DC1">
        <w:rPr>
          <w:rFonts w:eastAsiaTheme="minorHAnsi"/>
        </w:rPr>
        <w:t xml:space="preserve">will </w:t>
      </w:r>
      <w:r w:rsidR="00F66A5F">
        <w:rPr>
          <w:rFonts w:eastAsiaTheme="minorHAnsi"/>
        </w:rPr>
        <w:t xml:space="preserve">allow </w:t>
      </w:r>
      <w:r>
        <w:rPr>
          <w:rFonts w:eastAsiaTheme="minorHAnsi"/>
        </w:rPr>
        <w:t xml:space="preserve">the Company </w:t>
      </w:r>
      <w:r w:rsidR="00F66A5F">
        <w:rPr>
          <w:rFonts w:eastAsiaTheme="minorHAnsi"/>
        </w:rPr>
        <w:t xml:space="preserve">to </w:t>
      </w:r>
      <w:r w:rsidR="00F66A5F">
        <w:rPr>
          <w:rFonts w:eastAsiaTheme="minorHAnsi"/>
        </w:rPr>
        <w:lastRenderedPageBreak/>
        <w:t xml:space="preserve">recover the fixed portion of providing service because it provides Herman with the opportunity to address its fixed recurring costs </w:t>
      </w:r>
      <w:r w:rsidR="00A67DC1">
        <w:rPr>
          <w:rFonts w:eastAsiaTheme="minorHAnsi"/>
        </w:rPr>
        <w:t xml:space="preserve">that are </w:t>
      </w:r>
      <w:r w:rsidR="00F66A5F">
        <w:rPr>
          <w:rFonts w:eastAsiaTheme="minorHAnsi"/>
        </w:rPr>
        <w:t xml:space="preserve">necessary to </w:t>
      </w:r>
      <w:r w:rsidR="0099788E">
        <w:rPr>
          <w:rFonts w:eastAsiaTheme="minorHAnsi"/>
        </w:rPr>
        <w:t xml:space="preserve">operate </w:t>
      </w:r>
      <w:r w:rsidR="00F66A5F">
        <w:rPr>
          <w:rFonts w:eastAsiaTheme="minorHAnsi"/>
        </w:rPr>
        <w:t>its system through a steady</w:t>
      </w:r>
      <w:r w:rsidR="00A67DC1">
        <w:rPr>
          <w:rFonts w:eastAsiaTheme="minorHAnsi"/>
        </w:rPr>
        <w:t xml:space="preserve"> and </w:t>
      </w:r>
      <w:r w:rsidR="00F66A5F">
        <w:rPr>
          <w:rFonts w:eastAsiaTheme="minorHAnsi"/>
        </w:rPr>
        <w:t xml:space="preserve">predictable level of income. </w:t>
      </w:r>
      <w:r>
        <w:rPr>
          <w:rFonts w:eastAsiaTheme="minorHAnsi"/>
        </w:rPr>
        <w:t xml:space="preserve"> The Company adds that t</w:t>
      </w:r>
      <w:r w:rsidR="00F66A5F">
        <w:rPr>
          <w:rFonts w:eastAsiaTheme="minorHAnsi"/>
        </w:rPr>
        <w:t>his charge will allow for proper maintenance and upkeep of Herman</w:t>
      </w:r>
      <w:r w:rsidR="00A67DC1">
        <w:rPr>
          <w:rFonts w:eastAsiaTheme="minorHAnsi"/>
        </w:rPr>
        <w:t>’</w:t>
      </w:r>
      <w:r w:rsidR="00F66A5F">
        <w:rPr>
          <w:rFonts w:eastAsiaTheme="minorHAnsi"/>
        </w:rPr>
        <w:t>s system.</w:t>
      </w:r>
      <w:r>
        <w:rPr>
          <w:rFonts w:eastAsiaTheme="minorHAnsi"/>
        </w:rPr>
        <w:t xml:space="preserve">  Herman R.E. No. 1 at 4-5, </w:t>
      </w:r>
      <w:r w:rsidRPr="002F4BE0">
        <w:rPr>
          <w:rFonts w:eastAsiaTheme="minorHAnsi"/>
          <w:i/>
        </w:rPr>
        <w:t>citing</w:t>
      </w:r>
      <w:r>
        <w:rPr>
          <w:rFonts w:eastAsiaTheme="minorHAnsi"/>
        </w:rPr>
        <w:t>, I&amp;E Statement of Support.</w:t>
      </w:r>
    </w:p>
    <w:p w:rsidR="00DA676E" w:rsidRDefault="00DA676E" w:rsidP="002F4BE0">
      <w:pPr>
        <w:rPr>
          <w:rFonts w:eastAsiaTheme="minorHAnsi"/>
        </w:rPr>
      </w:pPr>
    </w:p>
    <w:p w:rsidR="002061BF" w:rsidRDefault="002061BF" w:rsidP="00C6038B">
      <w:pPr>
        <w:pStyle w:val="Heading4"/>
        <w:ind w:left="2160" w:hanging="720"/>
        <w:rPr>
          <w:rFonts w:eastAsiaTheme="minorHAnsi"/>
        </w:rPr>
      </w:pPr>
      <w:r>
        <w:rPr>
          <w:rFonts w:eastAsiaTheme="minorHAnsi"/>
        </w:rPr>
        <w:t>Disposition</w:t>
      </w:r>
    </w:p>
    <w:p w:rsidR="00A1328E" w:rsidRDefault="00A1328E" w:rsidP="00A1328E">
      <w:pPr>
        <w:rPr>
          <w:rFonts w:eastAsiaTheme="minorHAnsi"/>
        </w:rPr>
      </w:pPr>
    </w:p>
    <w:p w:rsidR="003F6159" w:rsidRDefault="00CC6CFE" w:rsidP="003F6159">
      <w:pPr>
        <w:rPr>
          <w:rFonts w:eastAsiaTheme="minorHAnsi"/>
        </w:rPr>
      </w:pPr>
      <w:r>
        <w:rPr>
          <w:rFonts w:eastAsiaTheme="minorHAnsi"/>
        </w:rPr>
        <w:t xml:space="preserve">We fully appreciate the reaction of customers </w:t>
      </w:r>
      <w:r w:rsidR="00DE7D6D">
        <w:rPr>
          <w:rFonts w:eastAsiaTheme="minorHAnsi"/>
        </w:rPr>
        <w:t>who</w:t>
      </w:r>
      <w:r>
        <w:rPr>
          <w:rFonts w:eastAsiaTheme="minorHAnsi"/>
        </w:rPr>
        <w:t xml:space="preserve"> have not had a customer charge throughout the history of the Company and </w:t>
      </w:r>
      <w:r w:rsidR="00A67DC1">
        <w:rPr>
          <w:rFonts w:eastAsiaTheme="minorHAnsi"/>
        </w:rPr>
        <w:t xml:space="preserve">who </w:t>
      </w:r>
      <w:r>
        <w:rPr>
          <w:rFonts w:eastAsiaTheme="minorHAnsi"/>
        </w:rPr>
        <w:t xml:space="preserve">will now be </w:t>
      </w:r>
      <w:r w:rsidR="00A67DC1">
        <w:rPr>
          <w:rFonts w:eastAsiaTheme="minorHAnsi"/>
        </w:rPr>
        <w:t xml:space="preserve">required to </w:t>
      </w:r>
      <w:r>
        <w:rPr>
          <w:rFonts w:eastAsiaTheme="minorHAnsi"/>
        </w:rPr>
        <w:t xml:space="preserve">pay a monthly </w:t>
      </w:r>
      <w:r w:rsidR="00565024">
        <w:rPr>
          <w:rFonts w:eastAsiaTheme="minorHAnsi"/>
        </w:rPr>
        <w:t xml:space="preserve">customer </w:t>
      </w:r>
      <w:r>
        <w:rPr>
          <w:rFonts w:eastAsiaTheme="minorHAnsi"/>
        </w:rPr>
        <w:t xml:space="preserve">charge </w:t>
      </w:r>
      <w:r w:rsidR="003F6159">
        <w:rPr>
          <w:rFonts w:eastAsiaTheme="minorHAnsi"/>
        </w:rPr>
        <w:t>for the first time.</w:t>
      </w:r>
      <w:r>
        <w:rPr>
          <w:rFonts w:eastAsiaTheme="minorHAnsi"/>
        </w:rPr>
        <w:t xml:space="preserve">  </w:t>
      </w:r>
      <w:r w:rsidR="00A1328E">
        <w:rPr>
          <w:rFonts w:eastAsiaTheme="minorHAnsi"/>
        </w:rPr>
        <w:t xml:space="preserve">While we realize that this settlement </w:t>
      </w:r>
      <w:r w:rsidR="00DA676E" w:rsidRPr="0099788E">
        <w:rPr>
          <w:rFonts w:eastAsiaTheme="minorHAnsi"/>
        </w:rPr>
        <w:t>represents a compromise of the litigation positions of the Parties</w:t>
      </w:r>
      <w:r w:rsidR="00DA676E">
        <w:rPr>
          <w:rFonts w:eastAsiaTheme="minorHAnsi"/>
          <w:color w:val="FF0000"/>
        </w:rPr>
        <w:t xml:space="preserve"> </w:t>
      </w:r>
      <w:r w:rsidR="00A1328E">
        <w:rPr>
          <w:rFonts w:eastAsiaTheme="minorHAnsi"/>
        </w:rPr>
        <w:t>and we do not have the benefit of a rigorous cost-of-service analysis, we concur</w:t>
      </w:r>
      <w:r w:rsidR="00194034">
        <w:rPr>
          <w:rFonts w:eastAsiaTheme="minorHAnsi"/>
        </w:rPr>
        <w:t>,</w:t>
      </w:r>
      <w:r w:rsidR="00A1328E">
        <w:rPr>
          <w:rFonts w:eastAsiaTheme="minorHAnsi"/>
        </w:rPr>
        <w:t xml:space="preserve"> </w:t>
      </w:r>
      <w:r w:rsidR="00A1328E" w:rsidRPr="00605AC1">
        <w:rPr>
          <w:rFonts w:eastAsiaTheme="minorHAnsi"/>
          <w:i/>
        </w:rPr>
        <w:t>generally</w:t>
      </w:r>
      <w:r w:rsidR="00A1328E">
        <w:rPr>
          <w:rFonts w:eastAsiaTheme="minorHAnsi"/>
        </w:rPr>
        <w:t xml:space="preserve">, </w:t>
      </w:r>
      <w:r w:rsidR="00194034">
        <w:rPr>
          <w:rFonts w:eastAsiaTheme="minorHAnsi"/>
        </w:rPr>
        <w:t xml:space="preserve">that </w:t>
      </w:r>
      <w:r w:rsidR="00A1328E">
        <w:rPr>
          <w:rFonts w:eastAsiaTheme="minorHAnsi"/>
        </w:rPr>
        <w:t xml:space="preserve">the fixed costs of providing service should be included in </w:t>
      </w:r>
      <w:r w:rsidR="00A67DC1">
        <w:rPr>
          <w:rFonts w:eastAsiaTheme="minorHAnsi"/>
        </w:rPr>
        <w:t>a</w:t>
      </w:r>
      <w:r w:rsidR="00A1328E">
        <w:rPr>
          <w:rFonts w:eastAsiaTheme="minorHAnsi"/>
        </w:rPr>
        <w:t xml:space="preserve"> fixed customer charge.</w:t>
      </w:r>
      <w:r w:rsidR="00A2385A">
        <w:rPr>
          <w:rFonts w:eastAsiaTheme="minorHAnsi"/>
        </w:rPr>
        <w:t xml:space="preserve">  </w:t>
      </w:r>
      <w:r w:rsidR="00A2385A" w:rsidRPr="0099788E">
        <w:rPr>
          <w:rFonts w:eastAsiaTheme="minorHAnsi"/>
          <w:i/>
        </w:rPr>
        <w:t>See, e.g., Pa. PUC v. Columbia Gas, Inc., supra</w:t>
      </w:r>
      <w:r w:rsidR="00A2385A" w:rsidRPr="0099788E">
        <w:rPr>
          <w:rFonts w:eastAsiaTheme="minorHAnsi"/>
        </w:rPr>
        <w:t>.</w:t>
      </w:r>
      <w:r w:rsidR="00194034">
        <w:rPr>
          <w:rFonts w:eastAsiaTheme="minorHAnsi"/>
        </w:rPr>
        <w:t xml:space="preserve">  </w:t>
      </w:r>
      <w:r w:rsidR="003F6159">
        <w:rPr>
          <w:rFonts w:eastAsiaTheme="minorHAnsi"/>
        </w:rPr>
        <w:t>As noted by I&amp;E, the proposed customer charge will send the appropriate price signals to customers.  In addition, the capital expenditure report and record keeping requirement established in the Settlement</w:t>
      </w:r>
      <w:r w:rsidR="009B0F38">
        <w:rPr>
          <w:rFonts w:eastAsiaTheme="minorHAnsi"/>
        </w:rPr>
        <w:t xml:space="preserve">, </w:t>
      </w:r>
      <w:r w:rsidR="009B0F38" w:rsidRPr="00F66A5F">
        <w:rPr>
          <w:rFonts w:eastAsiaTheme="minorHAnsi"/>
          <w:i/>
        </w:rPr>
        <w:t>infra</w:t>
      </w:r>
      <w:r w:rsidR="009B0F38">
        <w:rPr>
          <w:rFonts w:eastAsiaTheme="minorHAnsi"/>
        </w:rPr>
        <w:t xml:space="preserve">, </w:t>
      </w:r>
      <w:r w:rsidR="003F6159">
        <w:rPr>
          <w:rFonts w:eastAsiaTheme="minorHAnsi"/>
        </w:rPr>
        <w:t xml:space="preserve">will help </w:t>
      </w:r>
      <w:r w:rsidR="00194034">
        <w:rPr>
          <w:rFonts w:eastAsiaTheme="minorHAnsi"/>
        </w:rPr>
        <w:t xml:space="preserve">to </w:t>
      </w:r>
      <w:r w:rsidR="003F6159">
        <w:rPr>
          <w:rFonts w:eastAsiaTheme="minorHAnsi"/>
        </w:rPr>
        <w:t xml:space="preserve">ensure that </w:t>
      </w:r>
      <w:r w:rsidR="00565024">
        <w:rPr>
          <w:rFonts w:eastAsiaTheme="minorHAnsi"/>
        </w:rPr>
        <w:t xml:space="preserve">the revenue generated through the customer charge is appropriately allocated, including </w:t>
      </w:r>
      <w:r w:rsidR="009B0F38">
        <w:rPr>
          <w:rFonts w:eastAsiaTheme="minorHAnsi"/>
        </w:rPr>
        <w:t xml:space="preserve">the funding of </w:t>
      </w:r>
      <w:r w:rsidR="00565024">
        <w:rPr>
          <w:rFonts w:eastAsiaTheme="minorHAnsi"/>
        </w:rPr>
        <w:t xml:space="preserve">necessary capital improvements.  Accordingly, </w:t>
      </w:r>
      <w:r w:rsidR="00194034">
        <w:rPr>
          <w:rFonts w:eastAsiaTheme="minorHAnsi"/>
        </w:rPr>
        <w:t xml:space="preserve">we shall deny the Exceptions and approve the </w:t>
      </w:r>
      <w:r w:rsidR="00565024">
        <w:rPr>
          <w:rFonts w:eastAsiaTheme="minorHAnsi"/>
        </w:rPr>
        <w:t xml:space="preserve">customer charge proposed </w:t>
      </w:r>
      <w:r w:rsidR="00194034">
        <w:rPr>
          <w:rFonts w:eastAsiaTheme="minorHAnsi"/>
        </w:rPr>
        <w:t xml:space="preserve">in </w:t>
      </w:r>
      <w:r w:rsidR="00565024">
        <w:rPr>
          <w:rFonts w:eastAsiaTheme="minorHAnsi"/>
        </w:rPr>
        <w:t>the Joint Petition</w:t>
      </w:r>
      <w:r w:rsidR="00194034">
        <w:rPr>
          <w:rFonts w:eastAsiaTheme="minorHAnsi"/>
        </w:rPr>
        <w:t>.</w:t>
      </w:r>
    </w:p>
    <w:p w:rsidR="00A2385A" w:rsidRDefault="00A2385A" w:rsidP="003F6159">
      <w:pPr>
        <w:rPr>
          <w:rFonts w:eastAsiaTheme="minorHAnsi"/>
        </w:rPr>
      </w:pPr>
    </w:p>
    <w:p w:rsidR="00482323" w:rsidRDefault="00482323" w:rsidP="0063602C">
      <w:pPr>
        <w:pStyle w:val="Heading3"/>
        <w:rPr>
          <w:rFonts w:eastAsiaTheme="minorHAnsi"/>
        </w:rPr>
      </w:pPr>
      <w:r>
        <w:rPr>
          <w:rFonts w:eastAsiaTheme="minorHAnsi"/>
        </w:rPr>
        <w:t>Stay-Out</w:t>
      </w:r>
      <w:r w:rsidR="00194034">
        <w:rPr>
          <w:rFonts w:eastAsiaTheme="minorHAnsi"/>
        </w:rPr>
        <w:t xml:space="preserve"> Provision</w:t>
      </w:r>
    </w:p>
    <w:p w:rsidR="00CA6221" w:rsidRDefault="00CA6221" w:rsidP="00CA6221">
      <w:pPr>
        <w:rPr>
          <w:rFonts w:eastAsiaTheme="minorHAnsi"/>
        </w:rPr>
      </w:pPr>
    </w:p>
    <w:p w:rsidR="0063602C" w:rsidRPr="00283194" w:rsidRDefault="0063602C" w:rsidP="00823499">
      <w:pPr>
        <w:pStyle w:val="Heading4"/>
        <w:numPr>
          <w:ilvl w:val="0"/>
          <w:numId w:val="7"/>
        </w:numPr>
        <w:ind w:left="2160" w:hanging="720"/>
        <w:rPr>
          <w:rFonts w:eastAsiaTheme="minorHAnsi"/>
        </w:rPr>
      </w:pPr>
      <w:r w:rsidRPr="00283194">
        <w:rPr>
          <w:rFonts w:eastAsiaTheme="minorHAnsi"/>
        </w:rPr>
        <w:t>Terms of the Joint Petition</w:t>
      </w:r>
    </w:p>
    <w:p w:rsidR="00482323" w:rsidRDefault="00482323" w:rsidP="00482323"/>
    <w:p w:rsidR="00482323" w:rsidRDefault="00482323" w:rsidP="00482323">
      <w:r>
        <w:t>Except under extraordinary circumstances</w:t>
      </w:r>
      <w:r w:rsidR="00760761">
        <w:t xml:space="preserve"> delineated in the Settlement</w:t>
      </w:r>
      <w:r>
        <w:t>, Herman agreed that it would not file an increase in base rates under 66 Pa. C.S. § 1308(d) for a period of three years.  Joint Petition at 10</w:t>
      </w:r>
      <w:r w:rsidR="00760761">
        <w:t>.</w:t>
      </w:r>
    </w:p>
    <w:p w:rsidR="00482323" w:rsidRDefault="00482323" w:rsidP="00482323"/>
    <w:p w:rsidR="00283328" w:rsidRDefault="00283328" w:rsidP="002B4AF4">
      <w:pPr>
        <w:keepNext/>
        <w:spacing w:line="240" w:lineRule="auto"/>
        <w:rPr>
          <w:b/>
        </w:rPr>
      </w:pPr>
      <w:r w:rsidRPr="00283328">
        <w:rPr>
          <w:b/>
        </w:rPr>
        <w:lastRenderedPageBreak/>
        <w:t>b.</w:t>
      </w:r>
      <w:r w:rsidRPr="00283328">
        <w:rPr>
          <w:b/>
        </w:rPr>
        <w:tab/>
        <w:t>Positions of the Parties and the Recommended Decision</w:t>
      </w:r>
    </w:p>
    <w:p w:rsidR="00283328" w:rsidRDefault="00283328" w:rsidP="002B4AF4">
      <w:pPr>
        <w:keepNext/>
        <w:rPr>
          <w:b/>
        </w:rPr>
      </w:pPr>
    </w:p>
    <w:p w:rsidR="00283328" w:rsidRDefault="00283328" w:rsidP="002B4AF4">
      <w:pPr>
        <w:keepNext/>
      </w:pPr>
      <w:r w:rsidRPr="00283328">
        <w:t xml:space="preserve">I&amp;E </w:t>
      </w:r>
      <w:r w:rsidR="00320E4E">
        <w:t>submit</w:t>
      </w:r>
      <w:r w:rsidR="00605AC1">
        <w:t>ted</w:t>
      </w:r>
      <w:r w:rsidR="00320E4E">
        <w:t xml:space="preserve"> </w:t>
      </w:r>
      <w:r w:rsidRPr="00283328">
        <w:t xml:space="preserve">that </w:t>
      </w:r>
      <w:r>
        <w:t xml:space="preserve">the stay-out requirement </w:t>
      </w:r>
      <w:r w:rsidR="00194034">
        <w:t xml:space="preserve">will </w:t>
      </w:r>
      <w:r>
        <w:t>assure that the rates established by the Settlement w</w:t>
      </w:r>
      <w:r w:rsidR="00194034">
        <w:t>ould</w:t>
      </w:r>
      <w:r>
        <w:t xml:space="preserve"> remain in effect for at least three </w:t>
      </w:r>
      <w:r w:rsidR="00320E4E">
        <w:t xml:space="preserve">to four </w:t>
      </w:r>
      <w:r>
        <w:t>years</w:t>
      </w:r>
      <w:r w:rsidR="00320E4E">
        <w:t>.  I&amp;E state</w:t>
      </w:r>
      <w:r w:rsidR="00605AC1">
        <w:t>d</w:t>
      </w:r>
      <w:r w:rsidR="00320E4E">
        <w:t xml:space="preserve"> that stability in rates </w:t>
      </w:r>
      <w:r w:rsidR="00194034">
        <w:t>under the Settlement would be</w:t>
      </w:r>
      <w:r w:rsidR="00320E4E">
        <w:t xml:space="preserve"> a benefit to all impacted parties.  I&amp;E explain</w:t>
      </w:r>
      <w:r w:rsidR="00605AC1">
        <w:t>ed</w:t>
      </w:r>
      <w:r w:rsidR="00320E4E">
        <w:t xml:space="preserve"> that the Company </w:t>
      </w:r>
      <w:r w:rsidR="00194034">
        <w:t>will be able to</w:t>
      </w:r>
      <w:r w:rsidR="00320E4E">
        <w:t xml:space="preserve"> make operational plans based on planned rates while customers </w:t>
      </w:r>
      <w:r w:rsidR="00194034">
        <w:t xml:space="preserve">will be able to </w:t>
      </w:r>
      <w:r w:rsidR="00320E4E">
        <w:t xml:space="preserve">budget their activities knowing that their cost of </w:t>
      </w:r>
      <w:r w:rsidR="00605AC1">
        <w:t xml:space="preserve">gas distribution </w:t>
      </w:r>
      <w:r w:rsidR="00320E4E">
        <w:t xml:space="preserve">service will not fluctuate for the next several years.  I&amp;E </w:t>
      </w:r>
      <w:r>
        <w:t xml:space="preserve">Statement in Support at 15.  The OCA </w:t>
      </w:r>
      <w:r w:rsidR="00605AC1">
        <w:t>also noted</w:t>
      </w:r>
      <w:r w:rsidR="00320E4E">
        <w:t xml:space="preserve"> </w:t>
      </w:r>
      <w:r>
        <w:t xml:space="preserve">that the stay-out provision will provide a level of rate stability for Herman’s customers.  OCA Statement </w:t>
      </w:r>
      <w:r w:rsidR="00320E4E">
        <w:t xml:space="preserve">in Support at 4. </w:t>
      </w:r>
      <w:r w:rsidR="005A1A00">
        <w:t xml:space="preserve"> The ALJ noted the advantages of the stay-out provision cited by I&amp;E and the OCA.  R.D. at 21, 24. </w:t>
      </w:r>
    </w:p>
    <w:p w:rsidR="005A1A00" w:rsidRDefault="005A1A00" w:rsidP="00482323"/>
    <w:p w:rsidR="005A1A00" w:rsidRDefault="005A1A00" w:rsidP="000D406D">
      <w:pPr>
        <w:pStyle w:val="Heading4"/>
        <w:numPr>
          <w:ilvl w:val="0"/>
          <w:numId w:val="19"/>
        </w:numPr>
        <w:ind w:left="2160" w:hanging="720"/>
      </w:pPr>
      <w:r>
        <w:t>Disposition</w:t>
      </w:r>
    </w:p>
    <w:p w:rsidR="005A1A00" w:rsidRDefault="005A1A00" w:rsidP="0099788E"/>
    <w:p w:rsidR="00D85D6E" w:rsidRDefault="005A1A00" w:rsidP="00482323">
      <w:r>
        <w:t xml:space="preserve">We concur with I&amp;E and the OCA that the stay-out provision will provide a level of predictability of distribution rates </w:t>
      </w:r>
      <w:r w:rsidR="00D85D6E">
        <w:t xml:space="preserve">over </w:t>
      </w:r>
      <w:r w:rsidR="002B4AF4">
        <w:t xml:space="preserve">at least </w:t>
      </w:r>
      <w:r w:rsidR="00D85D6E">
        <w:t>the next three years.  In addition, the stay-out provision will also provide I&amp;E, the OCA and this Commission with sufficient time to analyze how the Company is utilizing its increased distribution revenues and the extent to which the Company’s facilities and service are improving.  Accordingly, the stay-out provision is clearly in the public interest and should be approved.</w:t>
      </w:r>
    </w:p>
    <w:p w:rsidR="00320E4E" w:rsidRDefault="00D85D6E" w:rsidP="00482323">
      <w:r>
        <w:t xml:space="preserve"> </w:t>
      </w:r>
    </w:p>
    <w:p w:rsidR="00482323" w:rsidRDefault="00482323" w:rsidP="00482323">
      <w:pPr>
        <w:pStyle w:val="Heading3"/>
      </w:pPr>
      <w:r>
        <w:t>Line Extensions</w:t>
      </w:r>
    </w:p>
    <w:p w:rsidR="00482323" w:rsidRDefault="00482323" w:rsidP="00482323"/>
    <w:p w:rsidR="00283194" w:rsidRPr="00283194" w:rsidRDefault="00283194" w:rsidP="00283194">
      <w:pPr>
        <w:spacing w:line="240" w:lineRule="auto"/>
        <w:rPr>
          <w:rStyle w:val="Heading4Char"/>
        </w:rPr>
      </w:pPr>
      <w:r w:rsidRPr="00283194">
        <w:rPr>
          <w:b/>
        </w:rPr>
        <w:t>a.</w:t>
      </w:r>
      <w:r w:rsidRPr="00283194">
        <w:rPr>
          <w:rStyle w:val="Heading4Char"/>
        </w:rPr>
        <w:tab/>
        <w:t>Terms of the Joint Petition</w:t>
      </w:r>
    </w:p>
    <w:p w:rsidR="00283194" w:rsidRPr="00283194" w:rsidRDefault="00283194" w:rsidP="00482323">
      <w:pPr>
        <w:rPr>
          <w:b/>
        </w:rPr>
      </w:pPr>
    </w:p>
    <w:p w:rsidR="00482323" w:rsidRDefault="00482323" w:rsidP="00482323">
      <w:r>
        <w:t xml:space="preserve">Herman has included in its proposed </w:t>
      </w:r>
      <w:r w:rsidR="00C63791">
        <w:t xml:space="preserve">residential </w:t>
      </w:r>
      <w:r>
        <w:t xml:space="preserve">tariff a line extension policy </w:t>
      </w:r>
      <w:r w:rsidR="00C63791">
        <w:t>agreed to by the Joint Petitioners.  Joint Petition at 10.  The following language is included in the proposed residential tariff:</w:t>
      </w:r>
    </w:p>
    <w:p w:rsidR="00C63791" w:rsidRDefault="00C63791" w:rsidP="00760761">
      <w:pPr>
        <w:spacing w:line="240" w:lineRule="auto"/>
      </w:pPr>
    </w:p>
    <w:p w:rsidR="00C63791" w:rsidRDefault="00C63791" w:rsidP="00C63791">
      <w:pPr>
        <w:autoSpaceDE w:val="0"/>
        <w:autoSpaceDN w:val="0"/>
        <w:adjustRightInd w:val="0"/>
        <w:spacing w:line="240" w:lineRule="auto"/>
        <w:ind w:left="1440" w:right="1440" w:firstLine="720"/>
        <w:rPr>
          <w:rFonts w:eastAsiaTheme="minorHAnsi"/>
          <w:szCs w:val="26"/>
        </w:rPr>
      </w:pPr>
      <w:r w:rsidRPr="00C63791">
        <w:rPr>
          <w:rFonts w:eastAsiaTheme="minorHAnsi"/>
          <w:szCs w:val="26"/>
        </w:rPr>
        <w:t xml:space="preserve">The Company will extend its mains for no fee for the first 100 feet from a main line for a new customer. </w:t>
      </w:r>
      <w:r w:rsidR="00375D3A">
        <w:rPr>
          <w:rFonts w:eastAsiaTheme="minorHAnsi"/>
          <w:szCs w:val="26"/>
        </w:rPr>
        <w:t xml:space="preserve"> </w:t>
      </w:r>
      <w:r w:rsidRPr="00C63791">
        <w:rPr>
          <w:rFonts w:eastAsiaTheme="minorHAnsi"/>
          <w:szCs w:val="26"/>
        </w:rPr>
        <w:t xml:space="preserve">For each additional foot, the Company will charge the new customer $50.00 per foot minimum charge. The customer will be responsible for paying the assigned cost of extending the mains regardless of his or her annual gas consumption. </w:t>
      </w:r>
      <w:r w:rsidR="00375D3A">
        <w:rPr>
          <w:rFonts w:eastAsiaTheme="minorHAnsi"/>
          <w:szCs w:val="26"/>
        </w:rPr>
        <w:t xml:space="preserve"> </w:t>
      </w:r>
      <w:r w:rsidRPr="00C63791">
        <w:rPr>
          <w:rFonts w:eastAsiaTheme="minorHAnsi"/>
          <w:szCs w:val="26"/>
        </w:rPr>
        <w:t>These fees are in addition to any other applicable fee in extending service to a new customer.</w:t>
      </w:r>
    </w:p>
    <w:p w:rsidR="00C63791" w:rsidRDefault="00C63791" w:rsidP="00C63791">
      <w:pPr>
        <w:autoSpaceDE w:val="0"/>
        <w:autoSpaceDN w:val="0"/>
        <w:adjustRightInd w:val="0"/>
        <w:spacing w:line="240" w:lineRule="auto"/>
        <w:ind w:left="1440" w:right="1440" w:firstLine="720"/>
        <w:rPr>
          <w:rFonts w:eastAsiaTheme="minorHAnsi"/>
          <w:szCs w:val="26"/>
        </w:rPr>
      </w:pPr>
    </w:p>
    <w:p w:rsidR="00C63791" w:rsidRDefault="00C63791" w:rsidP="00C63791">
      <w:pPr>
        <w:autoSpaceDE w:val="0"/>
        <w:autoSpaceDN w:val="0"/>
        <w:adjustRightInd w:val="0"/>
        <w:spacing w:line="240" w:lineRule="auto"/>
        <w:ind w:right="1440" w:firstLine="0"/>
        <w:rPr>
          <w:rFonts w:eastAsiaTheme="minorHAnsi"/>
          <w:szCs w:val="26"/>
        </w:rPr>
      </w:pPr>
      <w:r>
        <w:rPr>
          <w:rFonts w:eastAsiaTheme="minorHAnsi"/>
          <w:szCs w:val="26"/>
        </w:rPr>
        <w:t>J</w:t>
      </w:r>
      <w:r w:rsidR="00375D3A">
        <w:rPr>
          <w:rFonts w:eastAsiaTheme="minorHAnsi"/>
          <w:szCs w:val="26"/>
        </w:rPr>
        <w:t>oint Petition, Appendix A at 4.</w:t>
      </w:r>
    </w:p>
    <w:p w:rsidR="00760761" w:rsidRDefault="00760761" w:rsidP="00760761">
      <w:pPr>
        <w:rPr>
          <w:rFonts w:eastAsiaTheme="minorHAnsi"/>
        </w:rPr>
      </w:pPr>
    </w:p>
    <w:p w:rsidR="00283194" w:rsidRPr="00283194" w:rsidRDefault="00283194" w:rsidP="00823499">
      <w:pPr>
        <w:pStyle w:val="Heading4"/>
        <w:numPr>
          <w:ilvl w:val="0"/>
          <w:numId w:val="8"/>
        </w:numPr>
        <w:ind w:left="2160" w:hanging="720"/>
        <w:rPr>
          <w:rFonts w:eastAsiaTheme="minorHAnsi"/>
        </w:rPr>
      </w:pPr>
      <w:r w:rsidRPr="00283194">
        <w:rPr>
          <w:rFonts w:eastAsiaTheme="minorHAnsi"/>
        </w:rPr>
        <w:t>Positions of the Parties and the Recommended Decision</w:t>
      </w:r>
    </w:p>
    <w:p w:rsidR="00283194" w:rsidRDefault="00283194" w:rsidP="00760761">
      <w:pPr>
        <w:rPr>
          <w:rFonts w:eastAsiaTheme="minorHAnsi"/>
        </w:rPr>
      </w:pPr>
    </w:p>
    <w:p w:rsidR="00A20C58" w:rsidRDefault="00D2229E" w:rsidP="00A20C58">
      <w:r>
        <w:rPr>
          <w:rFonts w:eastAsiaTheme="minorHAnsi"/>
        </w:rPr>
        <w:t>Both I&amp;E and the OCA submitted that the line extension provision is in the public interest because it establishes a policy for extending the Company’s mains, which will ensure consistency in the costs charged to consumers for main extensions.  I&amp;E Statement in Support at 4;</w:t>
      </w:r>
      <w:r w:rsidR="00C9205A">
        <w:rPr>
          <w:rFonts w:eastAsiaTheme="minorHAnsi"/>
        </w:rPr>
        <w:t xml:space="preserve"> </w:t>
      </w:r>
      <w:r>
        <w:rPr>
          <w:rFonts w:eastAsiaTheme="minorHAnsi"/>
        </w:rPr>
        <w:t xml:space="preserve">OCA </w:t>
      </w:r>
      <w:r w:rsidR="0024600D">
        <w:rPr>
          <w:rFonts w:eastAsiaTheme="minorHAnsi"/>
        </w:rPr>
        <w:t>S</w:t>
      </w:r>
      <w:r>
        <w:rPr>
          <w:rFonts w:eastAsiaTheme="minorHAnsi"/>
        </w:rPr>
        <w:t xml:space="preserve">tatement in Support at 4.  </w:t>
      </w:r>
      <w:r w:rsidR="00A20C58">
        <w:t xml:space="preserve">The ALJ noted the advantages of the </w:t>
      </w:r>
      <w:r w:rsidR="0044126E">
        <w:t xml:space="preserve">line extension provision </w:t>
      </w:r>
      <w:r w:rsidR="00A20C58">
        <w:t xml:space="preserve">cited by I&amp;E and the OCA.  R.D. at 21-22, 24. </w:t>
      </w:r>
    </w:p>
    <w:p w:rsidR="008B39C5" w:rsidRDefault="008B39C5" w:rsidP="00A20C58"/>
    <w:p w:rsidR="00D2229E" w:rsidRDefault="00A20C58" w:rsidP="00C6038B">
      <w:pPr>
        <w:pStyle w:val="Heading4"/>
        <w:keepNext/>
        <w:ind w:left="2160" w:hanging="720"/>
        <w:rPr>
          <w:rFonts w:eastAsiaTheme="minorHAnsi"/>
        </w:rPr>
      </w:pPr>
      <w:r>
        <w:rPr>
          <w:rFonts w:eastAsiaTheme="minorHAnsi"/>
        </w:rPr>
        <w:t>Disposition</w:t>
      </w:r>
    </w:p>
    <w:p w:rsidR="00A20C58" w:rsidRDefault="00A20C58" w:rsidP="00663439">
      <w:pPr>
        <w:rPr>
          <w:rFonts w:eastAsiaTheme="minorHAnsi"/>
        </w:rPr>
      </w:pPr>
    </w:p>
    <w:p w:rsidR="00A20C58" w:rsidRDefault="008B39C5" w:rsidP="00D5204C">
      <w:pPr>
        <w:keepNext/>
        <w:rPr>
          <w:rFonts w:eastAsiaTheme="minorHAnsi"/>
        </w:rPr>
      </w:pPr>
      <w:r>
        <w:t xml:space="preserve">We note that a number of customers submitted nearly identical letters </w:t>
      </w:r>
      <w:r w:rsidR="00D5204C">
        <w:t>to the Commission regarding the proposed rate increase indicating</w:t>
      </w:r>
      <w:r>
        <w:t xml:space="preserve">, </w:t>
      </w:r>
      <w:r w:rsidRPr="008B39C5">
        <w:rPr>
          <w:i/>
        </w:rPr>
        <w:t>inter alia</w:t>
      </w:r>
      <w:r>
        <w:t xml:space="preserve">, that they were all charged </w:t>
      </w:r>
      <w:r w:rsidR="00D5204C">
        <w:t xml:space="preserve">and paid </w:t>
      </w:r>
      <w:r>
        <w:t>$2,500 for line extensions</w:t>
      </w:r>
      <w:r w:rsidR="00D5204C">
        <w:t xml:space="preserve">.  </w:t>
      </w:r>
      <w:r w:rsidR="00B82FF9">
        <w:t xml:space="preserve">While these </w:t>
      </w:r>
      <w:r w:rsidR="0044126E">
        <w:t xml:space="preserve">letters were not admitted into the evidentiary record of this proceeding pursuant to 52 Pa. Code §5.402, they </w:t>
      </w:r>
      <w:r w:rsidR="002C7DD5">
        <w:t xml:space="preserve">do </w:t>
      </w:r>
      <w:r w:rsidR="00D85B97">
        <w:t xml:space="preserve">lend </w:t>
      </w:r>
      <w:r w:rsidR="002C7DD5">
        <w:t xml:space="preserve">support </w:t>
      </w:r>
      <w:r w:rsidR="00D85B97">
        <w:t xml:space="preserve">to </w:t>
      </w:r>
      <w:r w:rsidR="002C7DD5">
        <w:t xml:space="preserve">the recommendation of the Joint Petitioners that the line extension policy be included in the Company’s tariff. </w:t>
      </w:r>
      <w:r w:rsidR="008A419D">
        <w:t xml:space="preserve"> In addition, a line extension policy that facilitates the addition of new customers should ultimately benefit all customers since the Company’s fixed costs will be spread over a larger customer base. </w:t>
      </w:r>
      <w:r w:rsidR="002C7DD5">
        <w:t xml:space="preserve"> </w:t>
      </w:r>
      <w:r w:rsidR="00605AC1">
        <w:t xml:space="preserve">Accordingly, </w:t>
      </w:r>
      <w:r w:rsidR="00375D3A">
        <w:t xml:space="preserve">we conclude that </w:t>
      </w:r>
      <w:r w:rsidR="00605AC1">
        <w:t xml:space="preserve">the proposed line </w:t>
      </w:r>
      <w:r w:rsidR="002B4AF4">
        <w:t>extension</w:t>
      </w:r>
      <w:r w:rsidR="00605AC1">
        <w:t xml:space="preserve"> policy </w:t>
      </w:r>
      <w:r w:rsidR="00375D3A">
        <w:t xml:space="preserve">is in the public interest and </w:t>
      </w:r>
      <w:r w:rsidR="00605AC1">
        <w:t>sh</w:t>
      </w:r>
      <w:r w:rsidR="00375D3A">
        <w:t>all</w:t>
      </w:r>
      <w:r w:rsidR="00605AC1">
        <w:t xml:space="preserve"> be approved. </w:t>
      </w:r>
    </w:p>
    <w:p w:rsidR="00A20C58" w:rsidRDefault="00A20C58" w:rsidP="00C9205A">
      <w:pPr>
        <w:rPr>
          <w:rFonts w:eastAsiaTheme="minorHAnsi"/>
        </w:rPr>
      </w:pPr>
    </w:p>
    <w:p w:rsidR="00760761" w:rsidRDefault="00760761" w:rsidP="002B4AF4">
      <w:pPr>
        <w:pStyle w:val="Heading3"/>
        <w:keepLines w:val="0"/>
        <w:rPr>
          <w:rFonts w:eastAsiaTheme="minorHAnsi"/>
        </w:rPr>
      </w:pPr>
      <w:r>
        <w:rPr>
          <w:rFonts w:eastAsiaTheme="minorHAnsi"/>
        </w:rPr>
        <w:lastRenderedPageBreak/>
        <w:t>Billing Format</w:t>
      </w:r>
    </w:p>
    <w:p w:rsidR="002E66C8" w:rsidRDefault="002E66C8" w:rsidP="002B4AF4">
      <w:pPr>
        <w:keepNext/>
        <w:rPr>
          <w:rFonts w:eastAsiaTheme="minorHAnsi"/>
        </w:rPr>
      </w:pPr>
    </w:p>
    <w:p w:rsidR="002E66C8" w:rsidRPr="002E66C8" w:rsidRDefault="002E66C8" w:rsidP="002B4AF4">
      <w:pPr>
        <w:pStyle w:val="Heading4"/>
        <w:keepNext/>
        <w:numPr>
          <w:ilvl w:val="0"/>
          <w:numId w:val="9"/>
        </w:numPr>
        <w:ind w:left="2160" w:hanging="720"/>
        <w:rPr>
          <w:rStyle w:val="Heading4Char"/>
          <w:b/>
        </w:rPr>
      </w:pPr>
      <w:r w:rsidRPr="002E66C8">
        <w:rPr>
          <w:rStyle w:val="Heading4Char"/>
          <w:b/>
        </w:rPr>
        <w:t>Terms of the Joint Petition</w:t>
      </w:r>
    </w:p>
    <w:p w:rsidR="00760761" w:rsidRDefault="00760761" w:rsidP="002B4AF4">
      <w:pPr>
        <w:pStyle w:val="Heading3"/>
        <w:keepLines w:val="0"/>
        <w:numPr>
          <w:ilvl w:val="0"/>
          <w:numId w:val="0"/>
        </w:numPr>
        <w:ind w:left="720"/>
        <w:rPr>
          <w:rFonts w:eastAsiaTheme="minorHAnsi"/>
        </w:rPr>
      </w:pPr>
    </w:p>
    <w:p w:rsidR="00760761" w:rsidRDefault="002E66C8" w:rsidP="002B4AF4">
      <w:pPr>
        <w:keepNext/>
        <w:rPr>
          <w:rFonts w:eastAsiaTheme="minorHAnsi"/>
          <w:szCs w:val="26"/>
        </w:rPr>
      </w:pPr>
      <w:r>
        <w:rPr>
          <w:rFonts w:eastAsiaTheme="minorHAnsi"/>
          <w:szCs w:val="26"/>
        </w:rPr>
        <w:t xml:space="preserve">Under the terms of the Settlement, </w:t>
      </w:r>
      <w:r w:rsidR="00760761" w:rsidRPr="00760761">
        <w:rPr>
          <w:rFonts w:eastAsiaTheme="minorHAnsi"/>
          <w:szCs w:val="26"/>
        </w:rPr>
        <w:t>Herman will modify its current billing format in a manner that is</w:t>
      </w:r>
      <w:r w:rsidR="00760761">
        <w:rPr>
          <w:rFonts w:eastAsiaTheme="minorHAnsi"/>
          <w:szCs w:val="26"/>
        </w:rPr>
        <w:t xml:space="preserve"> </w:t>
      </w:r>
      <w:r w:rsidR="00760761" w:rsidRPr="00760761">
        <w:rPr>
          <w:rFonts w:eastAsiaTheme="minorHAnsi"/>
          <w:szCs w:val="26"/>
        </w:rPr>
        <w:t xml:space="preserve">consumer friendly and clearly and accurately labels all customer charges. </w:t>
      </w:r>
      <w:r w:rsidR="00760761">
        <w:rPr>
          <w:rFonts w:eastAsiaTheme="minorHAnsi"/>
          <w:szCs w:val="26"/>
        </w:rPr>
        <w:t xml:space="preserve"> </w:t>
      </w:r>
      <w:r w:rsidR="00605AC1">
        <w:rPr>
          <w:rFonts w:eastAsiaTheme="minorHAnsi"/>
          <w:szCs w:val="26"/>
        </w:rPr>
        <w:t>Under the terms of the Settlement, t</w:t>
      </w:r>
      <w:r>
        <w:rPr>
          <w:rFonts w:eastAsiaTheme="minorHAnsi"/>
          <w:szCs w:val="26"/>
        </w:rPr>
        <w:t xml:space="preserve">he Company </w:t>
      </w:r>
      <w:r w:rsidR="00760761" w:rsidRPr="00760761">
        <w:rPr>
          <w:rFonts w:eastAsiaTheme="minorHAnsi"/>
          <w:szCs w:val="26"/>
        </w:rPr>
        <w:t>will present</w:t>
      </w:r>
      <w:r w:rsidR="00760761">
        <w:rPr>
          <w:rFonts w:eastAsiaTheme="minorHAnsi"/>
          <w:szCs w:val="26"/>
        </w:rPr>
        <w:t xml:space="preserve"> </w:t>
      </w:r>
      <w:r w:rsidR="0024600D">
        <w:rPr>
          <w:rFonts w:eastAsiaTheme="minorHAnsi"/>
          <w:szCs w:val="26"/>
        </w:rPr>
        <w:t xml:space="preserve">I&amp;E and the OCA </w:t>
      </w:r>
      <w:r w:rsidR="00760761" w:rsidRPr="00760761">
        <w:rPr>
          <w:rFonts w:eastAsiaTheme="minorHAnsi"/>
          <w:szCs w:val="26"/>
        </w:rPr>
        <w:t>with its proposed customer bill modifications before the new rates go into effect.</w:t>
      </w:r>
      <w:r w:rsidR="00760761">
        <w:rPr>
          <w:rFonts w:eastAsiaTheme="minorHAnsi"/>
          <w:szCs w:val="26"/>
        </w:rPr>
        <w:t xml:space="preserve">  </w:t>
      </w:r>
      <w:r w:rsidR="00760761" w:rsidRPr="00760761">
        <w:rPr>
          <w:rFonts w:eastAsiaTheme="minorHAnsi"/>
          <w:szCs w:val="26"/>
        </w:rPr>
        <w:t>Herman will issue the modified bills during the next billing period following approval by all</w:t>
      </w:r>
      <w:r w:rsidR="00760761">
        <w:rPr>
          <w:rFonts w:eastAsiaTheme="minorHAnsi"/>
          <w:szCs w:val="26"/>
        </w:rPr>
        <w:t xml:space="preserve"> </w:t>
      </w:r>
      <w:r w:rsidR="0024600D">
        <w:rPr>
          <w:rFonts w:eastAsiaTheme="minorHAnsi"/>
          <w:szCs w:val="26"/>
        </w:rPr>
        <w:t>P</w:t>
      </w:r>
      <w:r w:rsidR="00760761" w:rsidRPr="00760761">
        <w:rPr>
          <w:rFonts w:eastAsiaTheme="minorHAnsi"/>
          <w:szCs w:val="26"/>
        </w:rPr>
        <w:t xml:space="preserve">arties. </w:t>
      </w:r>
      <w:r>
        <w:rPr>
          <w:rFonts w:eastAsiaTheme="minorHAnsi"/>
          <w:szCs w:val="26"/>
        </w:rPr>
        <w:t xml:space="preserve"> </w:t>
      </w:r>
      <w:r w:rsidR="00760761" w:rsidRPr="00760761">
        <w:rPr>
          <w:rFonts w:eastAsiaTheme="minorHAnsi"/>
          <w:szCs w:val="26"/>
        </w:rPr>
        <w:t>Herman shall provide counsel for the OCA and I&amp;E with a copy of a</w:t>
      </w:r>
      <w:r w:rsidR="00760761">
        <w:rPr>
          <w:rFonts w:eastAsiaTheme="minorHAnsi"/>
          <w:szCs w:val="26"/>
        </w:rPr>
        <w:t xml:space="preserve"> </w:t>
      </w:r>
      <w:r w:rsidR="00760761" w:rsidRPr="00760761">
        <w:rPr>
          <w:rFonts w:eastAsiaTheme="minorHAnsi"/>
          <w:szCs w:val="26"/>
        </w:rPr>
        <w:t>customer bill with all customer information redacted</w:t>
      </w:r>
      <w:r w:rsidR="00375D3A">
        <w:rPr>
          <w:rFonts w:eastAsiaTheme="minorHAnsi"/>
          <w:szCs w:val="26"/>
        </w:rPr>
        <w:t xml:space="preserve"> </w:t>
      </w:r>
      <w:r w:rsidR="00760761" w:rsidRPr="00760761">
        <w:rPr>
          <w:rFonts w:eastAsiaTheme="minorHAnsi"/>
          <w:szCs w:val="26"/>
        </w:rPr>
        <w:t>at the time the first bill reflecting the</w:t>
      </w:r>
      <w:r w:rsidR="00760761">
        <w:rPr>
          <w:rFonts w:eastAsiaTheme="minorHAnsi"/>
          <w:szCs w:val="26"/>
        </w:rPr>
        <w:t xml:space="preserve"> </w:t>
      </w:r>
      <w:r w:rsidR="00760761" w:rsidRPr="00760761">
        <w:rPr>
          <w:rFonts w:eastAsiaTheme="minorHAnsi"/>
          <w:szCs w:val="26"/>
        </w:rPr>
        <w:t>consumer friendly billing format is issued and after the rates in the second and third year go into effect.</w:t>
      </w:r>
      <w:r w:rsidR="00760761">
        <w:rPr>
          <w:rFonts w:eastAsiaTheme="minorHAnsi"/>
          <w:szCs w:val="26"/>
        </w:rPr>
        <w:t xml:space="preserve"> </w:t>
      </w:r>
      <w:r w:rsidR="00760761" w:rsidRPr="00760761">
        <w:rPr>
          <w:rFonts w:eastAsiaTheme="minorHAnsi"/>
          <w:szCs w:val="26"/>
        </w:rPr>
        <w:t xml:space="preserve"> </w:t>
      </w:r>
      <w:r w:rsidR="00A24666">
        <w:rPr>
          <w:rFonts w:eastAsiaTheme="minorHAnsi"/>
          <w:szCs w:val="26"/>
        </w:rPr>
        <w:t xml:space="preserve">Joint Petition at 10-11. </w:t>
      </w:r>
    </w:p>
    <w:p w:rsidR="002E66C8" w:rsidRDefault="002E66C8" w:rsidP="00A24666">
      <w:pPr>
        <w:keepNext/>
        <w:keepLines/>
        <w:rPr>
          <w:rFonts w:eastAsiaTheme="minorHAnsi"/>
          <w:szCs w:val="26"/>
        </w:rPr>
      </w:pPr>
    </w:p>
    <w:p w:rsidR="002E66C8" w:rsidRPr="002E66C8" w:rsidRDefault="002E66C8" w:rsidP="00C37281">
      <w:pPr>
        <w:widowControl w:val="0"/>
        <w:spacing w:line="240" w:lineRule="auto"/>
        <w:rPr>
          <w:rFonts w:eastAsiaTheme="minorHAnsi"/>
          <w:b/>
          <w:szCs w:val="26"/>
        </w:rPr>
      </w:pPr>
      <w:r w:rsidRPr="002E66C8">
        <w:rPr>
          <w:rFonts w:eastAsiaTheme="minorHAnsi"/>
          <w:b/>
          <w:szCs w:val="26"/>
        </w:rPr>
        <w:t>b.</w:t>
      </w:r>
      <w:r w:rsidRPr="002E66C8">
        <w:rPr>
          <w:rFonts w:eastAsiaTheme="minorHAnsi"/>
          <w:b/>
          <w:szCs w:val="26"/>
        </w:rPr>
        <w:tab/>
        <w:t>Positions of the Parties and the Recommended Decision</w:t>
      </w:r>
    </w:p>
    <w:p w:rsidR="002E66C8" w:rsidRDefault="002E66C8" w:rsidP="006E4CD8">
      <w:pPr>
        <w:widowControl w:val="0"/>
        <w:rPr>
          <w:rFonts w:eastAsiaTheme="minorHAnsi"/>
          <w:szCs w:val="26"/>
        </w:rPr>
      </w:pPr>
    </w:p>
    <w:p w:rsidR="002E66C8" w:rsidRPr="00760761" w:rsidRDefault="002E66C8" w:rsidP="006E4CD8">
      <w:pPr>
        <w:rPr>
          <w:rFonts w:eastAsiaTheme="minorHAnsi"/>
          <w:szCs w:val="26"/>
        </w:rPr>
      </w:pPr>
      <w:r>
        <w:rPr>
          <w:rFonts w:eastAsiaTheme="minorHAnsi"/>
          <w:szCs w:val="26"/>
        </w:rPr>
        <w:t xml:space="preserve">The OCA stated that this provision is in the public interest because it requires the Company to provide its customers with information that is necessary for them to understand the various costs that make up their natural gas bill.  OCA Statement in Support at 4. </w:t>
      </w:r>
      <w:r w:rsidR="006E4CD8">
        <w:rPr>
          <w:rFonts w:eastAsiaTheme="minorHAnsi"/>
          <w:szCs w:val="26"/>
        </w:rPr>
        <w:t xml:space="preserve"> </w:t>
      </w:r>
      <w:r w:rsidR="006E4CD8">
        <w:t>The ALJ noted the benefits of an improved billing format cited by the OCA.  R.D. at 24</w:t>
      </w:r>
    </w:p>
    <w:p w:rsidR="00C63791" w:rsidRDefault="00C63791" w:rsidP="00760761"/>
    <w:p w:rsidR="006E4CD8" w:rsidRDefault="006E4CD8" w:rsidP="00823499">
      <w:pPr>
        <w:pStyle w:val="Heading4"/>
        <w:numPr>
          <w:ilvl w:val="0"/>
          <w:numId w:val="10"/>
        </w:numPr>
        <w:ind w:left="2160" w:hanging="720"/>
      </w:pPr>
      <w:r>
        <w:t>Exceptions</w:t>
      </w:r>
    </w:p>
    <w:p w:rsidR="006E4CD8" w:rsidRDefault="006E4CD8" w:rsidP="006E4CD8"/>
    <w:p w:rsidR="006E4CD8" w:rsidRDefault="000248D3" w:rsidP="006E4CD8">
      <w:r>
        <w:t>While Mr. R</w:t>
      </w:r>
      <w:r w:rsidR="00912212">
        <w:t>izzo</w:t>
      </w:r>
      <w:r>
        <w:t xml:space="preserve"> did not address the Joint Petitioners</w:t>
      </w:r>
      <w:r w:rsidR="00C95CDA">
        <w:t>’</w:t>
      </w:r>
      <w:r>
        <w:t xml:space="preserve"> recommendation regarding improvements to customers’ bills, </w:t>
      </w:r>
      <w:r w:rsidR="00912212">
        <w:t xml:space="preserve">his Exceptions </w:t>
      </w:r>
      <w:r w:rsidR="00375D3A">
        <w:t xml:space="preserve">appear to </w:t>
      </w:r>
      <w:r w:rsidR="00912212">
        <w:t xml:space="preserve">indicate that </w:t>
      </w:r>
      <w:r w:rsidR="00375D3A">
        <w:t xml:space="preserve">improvements </w:t>
      </w:r>
      <w:r w:rsidR="006B0542">
        <w:t xml:space="preserve">to the </w:t>
      </w:r>
      <w:r w:rsidR="00912212">
        <w:t>format of the Company’s bills</w:t>
      </w:r>
      <w:r w:rsidR="006B0542">
        <w:t xml:space="preserve"> would be desirable</w:t>
      </w:r>
      <w:r w:rsidR="00912212">
        <w:t>.  In his Exceptions, Mr. Rizzo</w:t>
      </w:r>
      <w:r>
        <w:t xml:space="preserve"> appears to dispute the contention that the Company has not had a distribution rate increase in approximately thirty-two years.  He submits that he has been </w:t>
      </w:r>
      <w:r>
        <w:lastRenderedPageBreak/>
        <w:t>a customer for about eleven years and Herman “did have a rate increase throughout the years.”  R</w:t>
      </w:r>
      <w:r w:rsidR="00184FB4">
        <w:t>izzo</w:t>
      </w:r>
      <w:r>
        <w:t xml:space="preserve"> Exc. at 1. </w:t>
      </w:r>
    </w:p>
    <w:p w:rsidR="000248D3" w:rsidRDefault="000248D3" w:rsidP="006E4CD8"/>
    <w:p w:rsidR="000248D3" w:rsidRDefault="000248D3" w:rsidP="00C37281">
      <w:pPr>
        <w:rPr>
          <w:rFonts w:eastAsiaTheme="minorHAnsi"/>
        </w:rPr>
      </w:pPr>
      <w:r>
        <w:rPr>
          <w:rFonts w:eastAsiaTheme="minorHAnsi"/>
        </w:rPr>
        <w:t xml:space="preserve">In it Reply </w:t>
      </w:r>
      <w:r w:rsidR="00C95CDA">
        <w:rPr>
          <w:rFonts w:eastAsiaTheme="minorHAnsi"/>
        </w:rPr>
        <w:t>to Mr. R</w:t>
      </w:r>
      <w:r w:rsidR="00184FB4">
        <w:rPr>
          <w:rFonts w:eastAsiaTheme="minorHAnsi"/>
        </w:rPr>
        <w:t>izzo</w:t>
      </w:r>
      <w:r w:rsidR="00C95CDA">
        <w:rPr>
          <w:rFonts w:eastAsiaTheme="minorHAnsi"/>
        </w:rPr>
        <w:t xml:space="preserve">’s </w:t>
      </w:r>
      <w:r>
        <w:rPr>
          <w:rFonts w:eastAsiaTheme="minorHAnsi"/>
        </w:rPr>
        <w:t>Exceptions, Herman explains that the Commission has approved changes in the Company’s GCR during th</w:t>
      </w:r>
      <w:r w:rsidR="006B0542">
        <w:rPr>
          <w:rFonts w:eastAsiaTheme="minorHAnsi"/>
        </w:rPr>
        <w:t xml:space="preserve">e thirty-two year </w:t>
      </w:r>
      <w:r>
        <w:rPr>
          <w:rFonts w:eastAsiaTheme="minorHAnsi"/>
        </w:rPr>
        <w:t xml:space="preserve">period, but </w:t>
      </w:r>
      <w:r w:rsidR="006B0542">
        <w:rPr>
          <w:rFonts w:eastAsiaTheme="minorHAnsi"/>
        </w:rPr>
        <w:t xml:space="preserve">it never increased its </w:t>
      </w:r>
      <w:r>
        <w:rPr>
          <w:rFonts w:eastAsiaTheme="minorHAnsi"/>
        </w:rPr>
        <w:t xml:space="preserve">base since the establishment of </w:t>
      </w:r>
      <w:r w:rsidR="00C37281">
        <w:rPr>
          <w:rFonts w:eastAsiaTheme="minorHAnsi"/>
        </w:rPr>
        <w:t>the Company</w:t>
      </w:r>
      <w:r>
        <w:rPr>
          <w:rFonts w:eastAsiaTheme="minorHAnsi"/>
        </w:rPr>
        <w:t xml:space="preserve">.  Herman </w:t>
      </w:r>
      <w:r w:rsidR="00C37281">
        <w:rPr>
          <w:rFonts w:eastAsiaTheme="minorHAnsi"/>
        </w:rPr>
        <w:t xml:space="preserve">notes that </w:t>
      </w:r>
      <w:r w:rsidR="006B0542">
        <w:rPr>
          <w:rFonts w:eastAsiaTheme="minorHAnsi"/>
        </w:rPr>
        <w:t xml:space="preserve">under the terms of the Settlement it will </w:t>
      </w:r>
      <w:r>
        <w:rPr>
          <w:rFonts w:eastAsiaTheme="minorHAnsi"/>
        </w:rPr>
        <w:t>implement a new</w:t>
      </w:r>
      <w:r w:rsidR="00C37281">
        <w:rPr>
          <w:rFonts w:eastAsiaTheme="minorHAnsi"/>
        </w:rPr>
        <w:t xml:space="preserve"> </w:t>
      </w:r>
      <w:r>
        <w:rPr>
          <w:rFonts w:eastAsiaTheme="minorHAnsi"/>
        </w:rPr>
        <w:t>customer-friendly billing format which clearly distinguishe</w:t>
      </w:r>
      <w:r w:rsidR="006B0542">
        <w:rPr>
          <w:rFonts w:eastAsiaTheme="minorHAnsi"/>
        </w:rPr>
        <w:t>s</w:t>
      </w:r>
      <w:r>
        <w:rPr>
          <w:rFonts w:eastAsiaTheme="minorHAnsi"/>
        </w:rPr>
        <w:t xml:space="preserve"> </w:t>
      </w:r>
      <w:r w:rsidR="006B0542">
        <w:rPr>
          <w:rFonts w:eastAsiaTheme="minorHAnsi"/>
        </w:rPr>
        <w:t xml:space="preserve">between gas cost and base rates.  In addition, such distinctions in rates would be included within its tariffs.  </w:t>
      </w:r>
      <w:r w:rsidR="00C37281">
        <w:rPr>
          <w:rFonts w:eastAsiaTheme="minorHAnsi"/>
        </w:rPr>
        <w:t xml:space="preserve">The Company projects that defining the GCR and base rates should help resolve any customer confusion between the rates in the future.  </w:t>
      </w:r>
      <w:r w:rsidR="006B0542">
        <w:rPr>
          <w:rFonts w:eastAsiaTheme="minorHAnsi"/>
        </w:rPr>
        <w:t xml:space="preserve">Accordingly, </w:t>
      </w:r>
      <w:r w:rsidR="00C37281">
        <w:rPr>
          <w:rFonts w:eastAsiaTheme="minorHAnsi"/>
        </w:rPr>
        <w:t>Herman recommends that t</w:t>
      </w:r>
      <w:r>
        <w:rPr>
          <w:rFonts w:eastAsiaTheme="minorHAnsi"/>
        </w:rPr>
        <w:t xml:space="preserve">he Commission reject Mr. Rizzo's </w:t>
      </w:r>
      <w:r w:rsidR="00C37281">
        <w:rPr>
          <w:rFonts w:eastAsiaTheme="minorHAnsi"/>
        </w:rPr>
        <w:t>“</w:t>
      </w:r>
      <w:r>
        <w:rPr>
          <w:rFonts w:eastAsiaTheme="minorHAnsi"/>
        </w:rPr>
        <w:t>third exception.</w:t>
      </w:r>
      <w:r w:rsidR="00C37281">
        <w:rPr>
          <w:rFonts w:eastAsiaTheme="minorHAnsi"/>
        </w:rPr>
        <w:t xml:space="preserve">”  </w:t>
      </w:r>
      <w:r w:rsidR="00C95CDA">
        <w:rPr>
          <w:rFonts w:eastAsiaTheme="minorHAnsi"/>
        </w:rPr>
        <w:t xml:space="preserve">Herman </w:t>
      </w:r>
      <w:r w:rsidR="00C37281">
        <w:rPr>
          <w:rFonts w:eastAsiaTheme="minorHAnsi"/>
        </w:rPr>
        <w:t xml:space="preserve">R.E. </w:t>
      </w:r>
      <w:r w:rsidR="00C95CDA">
        <w:rPr>
          <w:rFonts w:eastAsiaTheme="minorHAnsi"/>
        </w:rPr>
        <w:t xml:space="preserve">No. 1 </w:t>
      </w:r>
      <w:r w:rsidR="00C37281">
        <w:rPr>
          <w:rFonts w:eastAsiaTheme="minorHAnsi"/>
        </w:rPr>
        <w:t xml:space="preserve">at 3. </w:t>
      </w:r>
    </w:p>
    <w:p w:rsidR="00C37281" w:rsidRDefault="00C37281" w:rsidP="00C37281">
      <w:pPr>
        <w:rPr>
          <w:rFonts w:eastAsiaTheme="minorHAnsi"/>
        </w:rPr>
      </w:pPr>
    </w:p>
    <w:p w:rsidR="00C37281" w:rsidRDefault="00C37281" w:rsidP="003E777B">
      <w:pPr>
        <w:pStyle w:val="Heading4"/>
        <w:ind w:left="2160" w:hanging="720"/>
      </w:pPr>
      <w:r>
        <w:rPr>
          <w:rFonts w:eastAsiaTheme="minorHAnsi"/>
        </w:rPr>
        <w:t>Disposition</w:t>
      </w:r>
    </w:p>
    <w:p w:rsidR="006E4CD8" w:rsidRDefault="006E4CD8" w:rsidP="00760761"/>
    <w:p w:rsidR="001F0E3D" w:rsidRDefault="0032271E" w:rsidP="00760761">
      <w:r w:rsidRPr="0032271E">
        <w:t>Initially, we note t</w:t>
      </w:r>
      <w:r>
        <w:t>hat our Regulations at 52 Pa. Code § 56.265 delineate the information that must be included on bills rendered by small gas utilities.</w:t>
      </w:r>
      <w:r>
        <w:rPr>
          <w:rStyle w:val="FootnoteReference"/>
        </w:rPr>
        <w:footnoteReference w:id="6"/>
      </w:r>
      <w:r>
        <w:t xml:space="preserve">  This information includes, </w:t>
      </w:r>
      <w:r w:rsidRPr="0032271E">
        <w:rPr>
          <w:i/>
        </w:rPr>
        <w:t>inter alia</w:t>
      </w:r>
      <w:r>
        <w:t xml:space="preserve">, </w:t>
      </w:r>
      <w:r w:rsidR="00260B37">
        <w:t xml:space="preserve">the charge for “basic service” and the “energy </w:t>
      </w:r>
      <w:r w:rsidR="00CB6445">
        <w:t>and</w:t>
      </w:r>
      <w:r w:rsidR="00260B37">
        <w:t xml:space="preserve"> fuel adjustment charge.”  </w:t>
      </w:r>
      <w:r w:rsidR="00A71E77">
        <w:t>T</w:t>
      </w:r>
      <w:r w:rsidR="00260B37">
        <w:t xml:space="preserve">he new billing format </w:t>
      </w:r>
      <w:r w:rsidR="00D35777">
        <w:t xml:space="preserve">developed in consultation with I&amp;E and the OCA </w:t>
      </w:r>
      <w:r w:rsidR="00E43C0A">
        <w:t>must be in compliance with our regulations.</w:t>
      </w:r>
    </w:p>
    <w:p w:rsidR="00D85B97" w:rsidRDefault="00D85B97" w:rsidP="00760761"/>
    <w:p w:rsidR="006F4EB3" w:rsidRDefault="001F0E3D" w:rsidP="00760761">
      <w:r>
        <w:t>Clearly, improvements t</w:t>
      </w:r>
      <w:r w:rsidR="00F74479">
        <w:t xml:space="preserve">o the Company’s billing format </w:t>
      </w:r>
      <w:r>
        <w:t>that will enhance its ratepayers</w:t>
      </w:r>
      <w:r w:rsidR="00CB6445">
        <w:t>’</w:t>
      </w:r>
      <w:r>
        <w:t xml:space="preserve"> ability to understand </w:t>
      </w:r>
      <w:r>
        <w:rPr>
          <w:rFonts w:eastAsiaTheme="minorHAnsi"/>
          <w:szCs w:val="26"/>
        </w:rPr>
        <w:t>the various costs that make up their natural gas bill</w:t>
      </w:r>
      <w:r>
        <w:t xml:space="preserve"> and enable them to make informed choices regarding their gas consumption, is in the public interest. </w:t>
      </w:r>
      <w:r w:rsidR="00260B37">
        <w:t xml:space="preserve"> </w:t>
      </w:r>
      <w:r>
        <w:t xml:space="preserve">However, we believe that the format </w:t>
      </w:r>
      <w:r w:rsidR="00D35777">
        <w:t xml:space="preserve">developed in consultation with I&amp;E </w:t>
      </w:r>
      <w:r w:rsidR="00D35777">
        <w:lastRenderedPageBreak/>
        <w:t xml:space="preserve">and the OCA </w:t>
      </w:r>
      <w:r>
        <w:t xml:space="preserve">should be included </w:t>
      </w:r>
      <w:r w:rsidR="00F74479">
        <w:t xml:space="preserve">as part of the Commission’s official file in </w:t>
      </w:r>
      <w:r>
        <w:t xml:space="preserve">this proceeding.  </w:t>
      </w:r>
      <w:r w:rsidR="003A35ED">
        <w:t xml:space="preserve">Therefore, we shall direct Herman to submit a copy of the </w:t>
      </w:r>
      <w:r w:rsidR="00D35777">
        <w:t xml:space="preserve">new </w:t>
      </w:r>
      <w:r w:rsidR="003A35ED">
        <w:t xml:space="preserve">billing format </w:t>
      </w:r>
      <w:r w:rsidR="00D35777">
        <w:t>to the Commission</w:t>
      </w:r>
      <w:r w:rsidR="00F74479">
        <w:t>’s</w:t>
      </w:r>
      <w:r w:rsidR="00D35777">
        <w:t xml:space="preserve"> Secretary, I&amp;E and the OCA </w:t>
      </w:r>
      <w:r w:rsidR="004742A5">
        <w:t xml:space="preserve">prior to the implementation </w:t>
      </w:r>
      <w:r w:rsidR="00F74479">
        <w:t xml:space="preserve">of </w:t>
      </w:r>
      <w:r w:rsidR="004742A5">
        <w:t>the new billing format</w:t>
      </w:r>
      <w:r w:rsidR="003A35ED">
        <w:t xml:space="preserve">. </w:t>
      </w:r>
    </w:p>
    <w:p w:rsidR="00B77A6A" w:rsidRDefault="00B77A6A" w:rsidP="00760761"/>
    <w:p w:rsidR="00A24666" w:rsidRDefault="00A24666" w:rsidP="00A24666">
      <w:pPr>
        <w:pStyle w:val="Heading3"/>
        <w:rPr>
          <w:rStyle w:val="Heading3Char"/>
          <w:b/>
          <w:bCs/>
        </w:rPr>
      </w:pPr>
      <w:r w:rsidRPr="00A24666">
        <w:rPr>
          <w:rStyle w:val="Heading3Char"/>
          <w:b/>
          <w:bCs/>
        </w:rPr>
        <w:t>Capital Expenditure Report</w:t>
      </w:r>
      <w:r>
        <w:rPr>
          <w:rStyle w:val="Heading3Char"/>
          <w:b/>
          <w:bCs/>
        </w:rPr>
        <w:t xml:space="preserve"> and Recordkeeping</w:t>
      </w:r>
    </w:p>
    <w:p w:rsidR="00A71E77" w:rsidRDefault="00A71E77" w:rsidP="00A71E77"/>
    <w:p w:rsidR="00A71E77" w:rsidRPr="00A71E77" w:rsidRDefault="00A71E77" w:rsidP="00A71E77">
      <w:pPr>
        <w:spacing w:line="240" w:lineRule="auto"/>
        <w:rPr>
          <w:b/>
        </w:rPr>
      </w:pPr>
      <w:r w:rsidRPr="00A71E77">
        <w:rPr>
          <w:b/>
        </w:rPr>
        <w:t>a.</w:t>
      </w:r>
      <w:r w:rsidRPr="00A71E77">
        <w:rPr>
          <w:b/>
        </w:rPr>
        <w:tab/>
        <w:t>Terms of the Joint Petition</w:t>
      </w:r>
    </w:p>
    <w:p w:rsidR="00A24666" w:rsidRPr="00A24666" w:rsidRDefault="00A24666" w:rsidP="00A24666">
      <w:pPr>
        <w:autoSpaceDE w:val="0"/>
        <w:autoSpaceDN w:val="0"/>
        <w:adjustRightInd w:val="0"/>
        <w:spacing w:line="240" w:lineRule="auto"/>
        <w:ind w:firstLine="0"/>
        <w:rPr>
          <w:rFonts w:eastAsiaTheme="minorHAnsi"/>
          <w:szCs w:val="26"/>
        </w:rPr>
      </w:pPr>
    </w:p>
    <w:p w:rsidR="00A24666" w:rsidRDefault="00A24666" w:rsidP="00A24666">
      <w:pPr>
        <w:rPr>
          <w:rFonts w:eastAsiaTheme="minorHAnsi"/>
        </w:rPr>
      </w:pPr>
      <w:r>
        <w:rPr>
          <w:rFonts w:eastAsiaTheme="minorHAnsi"/>
        </w:rPr>
        <w:t xml:space="preserve">On an annual basis for the three-year period following approval of the Settlement by the Commission, Herman will provide to the OCA and </w:t>
      </w:r>
      <w:r w:rsidR="00A71E77">
        <w:rPr>
          <w:rFonts w:eastAsiaTheme="minorHAnsi"/>
        </w:rPr>
        <w:t>I</w:t>
      </w:r>
      <w:r>
        <w:rPr>
          <w:rFonts w:eastAsiaTheme="minorHAnsi"/>
        </w:rPr>
        <w:t xml:space="preserve">&amp;E a report containing, at a minimum, the following information: (1) overall customers gained or lost; (2) an overview of customer service issues; (3) the current gas cost rate; and, (4) a list of capital investments and upgrades to the system, and a projection of the same for the following calendar year.  </w:t>
      </w:r>
      <w:r w:rsidRPr="00A24666">
        <w:rPr>
          <w:rFonts w:eastAsiaTheme="minorHAnsi"/>
        </w:rPr>
        <w:t>In addition, Herman will maintain comprehensive financial records, in which it will record, at a minimum, all costs allocated to Herman, including but not limited to, costs that are incurred by another entity if such costs are incurred for the benefit or purpose of the operations of Herman.</w:t>
      </w:r>
      <w:r>
        <w:rPr>
          <w:rFonts w:eastAsiaTheme="minorHAnsi"/>
        </w:rPr>
        <w:t xml:space="preserve">  Joint Petition at 11.</w:t>
      </w:r>
    </w:p>
    <w:p w:rsidR="00A71E77" w:rsidRPr="00A24666" w:rsidRDefault="00A71E77" w:rsidP="00A24666">
      <w:pPr>
        <w:rPr>
          <w:rFonts w:eastAsiaTheme="minorHAnsi"/>
        </w:rPr>
      </w:pPr>
    </w:p>
    <w:p w:rsidR="00A24666" w:rsidRPr="00C9205A" w:rsidRDefault="00A71E77" w:rsidP="00823499">
      <w:pPr>
        <w:pStyle w:val="Heading4"/>
        <w:keepNext/>
        <w:numPr>
          <w:ilvl w:val="0"/>
          <w:numId w:val="13"/>
        </w:numPr>
        <w:ind w:left="2160" w:hanging="720"/>
        <w:rPr>
          <w:rFonts w:eastAsiaTheme="minorHAnsi"/>
        </w:rPr>
      </w:pPr>
      <w:r w:rsidRPr="00C9205A">
        <w:rPr>
          <w:rFonts w:eastAsiaTheme="minorHAnsi"/>
        </w:rPr>
        <w:t>Positions of the Parties and the Recommended Decision</w:t>
      </w:r>
    </w:p>
    <w:p w:rsidR="00A71E77" w:rsidRDefault="00A71E77" w:rsidP="0036505C">
      <w:pPr>
        <w:keepNext/>
        <w:rPr>
          <w:rFonts w:eastAsiaTheme="minorHAnsi"/>
        </w:rPr>
      </w:pPr>
    </w:p>
    <w:p w:rsidR="0036505C" w:rsidRDefault="0036505C" w:rsidP="00184FB4">
      <w:pPr>
        <w:widowControl w:val="0"/>
        <w:rPr>
          <w:spacing w:val="-3"/>
        </w:rPr>
      </w:pPr>
      <w:r w:rsidRPr="0036505C">
        <w:rPr>
          <w:rFonts w:eastAsia="Calibri"/>
          <w:szCs w:val="26"/>
        </w:rPr>
        <w:t>The OCA assert</w:t>
      </w:r>
      <w:r w:rsidR="004742A5">
        <w:rPr>
          <w:rFonts w:eastAsia="Calibri"/>
          <w:szCs w:val="26"/>
        </w:rPr>
        <w:t>ed</w:t>
      </w:r>
      <w:r w:rsidRPr="0036505C">
        <w:rPr>
          <w:rFonts w:eastAsia="Calibri"/>
          <w:szCs w:val="26"/>
        </w:rPr>
        <w:t xml:space="preserve"> that this provision is in the public interest, because it will help to ensure that Herman is keeping up-to-date records of important information, such as customer issues and capital expenditures.  </w:t>
      </w:r>
      <w:r w:rsidR="004742A5">
        <w:rPr>
          <w:rFonts w:eastAsia="Calibri"/>
          <w:szCs w:val="26"/>
        </w:rPr>
        <w:t>The OCA explained that, s</w:t>
      </w:r>
      <w:r w:rsidRPr="0036505C">
        <w:rPr>
          <w:rFonts w:eastAsia="Calibri"/>
          <w:szCs w:val="26"/>
        </w:rPr>
        <w:t xml:space="preserve">pecifically, the report will help the Company to keep track of its capital expenditures, which will aid in future base rate proceedings.  OCA Statement in Support at 4-5.  </w:t>
      </w:r>
      <w:r>
        <w:rPr>
          <w:rFonts w:eastAsia="Calibri"/>
          <w:szCs w:val="26"/>
        </w:rPr>
        <w:t>Similarly, the ALJ found that t</w:t>
      </w:r>
      <w:r>
        <w:rPr>
          <w:spacing w:val="-3"/>
        </w:rPr>
        <w:t xml:space="preserve">hese provisions will make it easier to track future capital expenditures and examine the Company’s financial records and customer service records in future proceedings.  R.D. at 28. </w:t>
      </w:r>
    </w:p>
    <w:p w:rsidR="004E6200" w:rsidRDefault="004E6200" w:rsidP="00184FB4">
      <w:pPr>
        <w:widowControl w:val="0"/>
        <w:rPr>
          <w:rFonts w:eastAsia="Calibri"/>
          <w:szCs w:val="26"/>
        </w:rPr>
      </w:pPr>
    </w:p>
    <w:p w:rsidR="0035185B" w:rsidRDefault="0035185B" w:rsidP="00184FB4">
      <w:pPr>
        <w:pStyle w:val="Heading4"/>
        <w:keepNext/>
        <w:widowControl w:val="0"/>
        <w:ind w:left="2160" w:hanging="720"/>
        <w:rPr>
          <w:rFonts w:eastAsia="Calibri"/>
        </w:rPr>
      </w:pPr>
      <w:r>
        <w:rPr>
          <w:rFonts w:eastAsia="Calibri"/>
        </w:rPr>
        <w:lastRenderedPageBreak/>
        <w:t>Exceptions</w:t>
      </w:r>
    </w:p>
    <w:p w:rsidR="0035185B" w:rsidRDefault="0035185B" w:rsidP="00184FB4">
      <w:pPr>
        <w:keepNext/>
        <w:rPr>
          <w:rFonts w:eastAsia="Calibri"/>
        </w:rPr>
      </w:pPr>
    </w:p>
    <w:p w:rsidR="0035185B" w:rsidRDefault="0035185B" w:rsidP="00184FB4">
      <w:pPr>
        <w:keepNext/>
        <w:rPr>
          <w:rStyle w:val="Heading3Char"/>
          <w:b w:val="0"/>
        </w:rPr>
      </w:pPr>
      <w:r>
        <w:rPr>
          <w:rFonts w:eastAsia="Calibri"/>
        </w:rPr>
        <w:t>While Ms. Eurich did not except to the proposed c</w:t>
      </w:r>
      <w:r w:rsidRPr="0035185B">
        <w:rPr>
          <w:rStyle w:val="Heading3Char"/>
          <w:b w:val="0"/>
        </w:rPr>
        <w:t xml:space="preserve">apital </w:t>
      </w:r>
      <w:r>
        <w:rPr>
          <w:rStyle w:val="Heading3Char"/>
          <w:b w:val="0"/>
        </w:rPr>
        <w:t>e</w:t>
      </w:r>
      <w:r w:rsidRPr="0035185B">
        <w:rPr>
          <w:rStyle w:val="Heading3Char"/>
          <w:b w:val="0"/>
        </w:rPr>
        <w:t xml:space="preserve">xpenditure </w:t>
      </w:r>
      <w:r>
        <w:rPr>
          <w:rStyle w:val="Heading3Char"/>
          <w:b w:val="0"/>
        </w:rPr>
        <w:t>r</w:t>
      </w:r>
      <w:r w:rsidRPr="0035185B">
        <w:rPr>
          <w:rStyle w:val="Heading3Char"/>
          <w:b w:val="0"/>
        </w:rPr>
        <w:t xml:space="preserve">eport and </w:t>
      </w:r>
      <w:r>
        <w:rPr>
          <w:rStyle w:val="Heading3Char"/>
          <w:b w:val="0"/>
        </w:rPr>
        <w:t>r</w:t>
      </w:r>
      <w:r w:rsidRPr="0035185B">
        <w:rPr>
          <w:rStyle w:val="Heading3Char"/>
          <w:b w:val="0"/>
        </w:rPr>
        <w:t>ecordkeeping</w:t>
      </w:r>
      <w:r>
        <w:rPr>
          <w:rStyle w:val="Heading3Char"/>
          <w:b w:val="0"/>
        </w:rPr>
        <w:t xml:space="preserve"> provision of the Joint Petition, she did raise some service concerns that indicate the importance of this provision.  Her Exceptions state</w:t>
      </w:r>
      <w:r w:rsidR="00AE13F1">
        <w:rPr>
          <w:rStyle w:val="Heading3Char"/>
          <w:b w:val="0"/>
        </w:rPr>
        <w:t>,</w:t>
      </w:r>
      <w:r>
        <w:rPr>
          <w:rStyle w:val="Heading3Char"/>
          <w:b w:val="0"/>
        </w:rPr>
        <w:t xml:space="preserve"> in pertinent part</w:t>
      </w:r>
      <w:r w:rsidR="00AE13F1">
        <w:rPr>
          <w:rStyle w:val="Heading3Char"/>
          <w:b w:val="0"/>
        </w:rPr>
        <w:t>,</w:t>
      </w:r>
      <w:r>
        <w:rPr>
          <w:rStyle w:val="Heading3Char"/>
          <w:b w:val="0"/>
        </w:rPr>
        <w:t xml:space="preserve"> as follows: </w:t>
      </w:r>
    </w:p>
    <w:p w:rsidR="0035185B" w:rsidRDefault="0035185B" w:rsidP="00AE13F1">
      <w:pPr>
        <w:spacing w:line="240" w:lineRule="auto"/>
        <w:rPr>
          <w:rStyle w:val="Heading3Char"/>
          <w:b w:val="0"/>
        </w:rPr>
      </w:pPr>
    </w:p>
    <w:p w:rsidR="0035185B" w:rsidRPr="0035185B" w:rsidRDefault="0035185B" w:rsidP="00AE13F1">
      <w:pPr>
        <w:spacing w:line="240" w:lineRule="auto"/>
        <w:ind w:left="1440" w:right="1440" w:firstLine="0"/>
        <w:rPr>
          <w:rStyle w:val="Heading3Char"/>
          <w:b w:val="0"/>
          <w:bCs w:val="0"/>
        </w:rPr>
      </w:pPr>
      <w:r>
        <w:rPr>
          <w:rStyle w:val="Heading3Char"/>
          <w:b w:val="0"/>
        </w:rPr>
        <w:t xml:space="preserve">In the 20 years that I have had their service they have only read meter [sic] and many months in a row it was estimated leaving me with an outrageous bill.  When they ran the gas lines in front of my property they never came back to fix the mess or </w:t>
      </w:r>
      <w:r w:rsidR="00AE13F1">
        <w:rPr>
          <w:rStyle w:val="Heading3Char"/>
          <w:b w:val="0"/>
        </w:rPr>
        <w:t xml:space="preserve">plant grass seed.  In the back of my property I have gas lines lying above that have never been buried leaving it exposed to my children and my pets which is not safe. </w:t>
      </w:r>
      <w:r>
        <w:rPr>
          <w:rStyle w:val="Heading3Char"/>
          <w:b w:val="0"/>
        </w:rPr>
        <w:t xml:space="preserve">  </w:t>
      </w:r>
    </w:p>
    <w:p w:rsidR="0035185B" w:rsidRDefault="0035185B" w:rsidP="00AE13F1">
      <w:pPr>
        <w:spacing w:line="240" w:lineRule="auto"/>
        <w:rPr>
          <w:rFonts w:eastAsia="Calibri"/>
        </w:rPr>
      </w:pPr>
    </w:p>
    <w:p w:rsidR="00AE13F1" w:rsidRDefault="00AE13F1" w:rsidP="00AE13F1">
      <w:pPr>
        <w:ind w:firstLine="0"/>
        <w:rPr>
          <w:rFonts w:eastAsia="Calibri"/>
        </w:rPr>
      </w:pPr>
      <w:r>
        <w:rPr>
          <w:rFonts w:eastAsia="Calibri"/>
        </w:rPr>
        <w:t>Eurich Exc</w:t>
      </w:r>
      <w:r w:rsidR="00184FB4">
        <w:rPr>
          <w:rFonts w:eastAsia="Calibri"/>
        </w:rPr>
        <w:t xml:space="preserve">. </w:t>
      </w:r>
      <w:r>
        <w:rPr>
          <w:rFonts w:eastAsia="Calibri"/>
        </w:rPr>
        <w:t xml:space="preserve">at 1. </w:t>
      </w:r>
    </w:p>
    <w:p w:rsidR="0035185B" w:rsidRPr="0036505C" w:rsidRDefault="0035185B" w:rsidP="0036505C">
      <w:pPr>
        <w:keepNext/>
        <w:rPr>
          <w:rFonts w:eastAsia="Calibri"/>
          <w:szCs w:val="26"/>
        </w:rPr>
      </w:pPr>
    </w:p>
    <w:p w:rsidR="003E777B" w:rsidRDefault="00E34624" w:rsidP="00AE13F1">
      <w:pPr>
        <w:pStyle w:val="Heading4"/>
        <w:ind w:left="2160" w:hanging="720"/>
        <w:rPr>
          <w:rFonts w:eastAsiaTheme="minorHAnsi"/>
        </w:rPr>
      </w:pPr>
      <w:r w:rsidRPr="00C9205A">
        <w:rPr>
          <w:rFonts w:eastAsiaTheme="minorHAnsi"/>
        </w:rPr>
        <w:t>Disposition</w:t>
      </w:r>
    </w:p>
    <w:p w:rsidR="004E6200" w:rsidRDefault="004E6200" w:rsidP="004E6200">
      <w:pPr>
        <w:rPr>
          <w:rFonts w:eastAsiaTheme="minorHAnsi"/>
        </w:rPr>
      </w:pPr>
    </w:p>
    <w:p w:rsidR="004E6200" w:rsidRPr="00EF5EA3" w:rsidRDefault="004E6200" w:rsidP="004E6200">
      <w:pPr>
        <w:rPr>
          <w:rFonts w:eastAsiaTheme="minorHAnsi"/>
        </w:rPr>
      </w:pPr>
      <w:r>
        <w:rPr>
          <w:rFonts w:eastAsiaTheme="minorHAnsi"/>
        </w:rPr>
        <w:t xml:space="preserve">We note that in </w:t>
      </w:r>
      <w:r w:rsidR="00C2281E">
        <w:rPr>
          <w:rFonts w:eastAsiaTheme="minorHAnsi"/>
        </w:rPr>
        <w:t xml:space="preserve">the </w:t>
      </w:r>
      <w:r w:rsidR="00184FB4">
        <w:rPr>
          <w:rFonts w:eastAsiaTheme="minorHAnsi"/>
        </w:rPr>
        <w:t xml:space="preserve">sworn </w:t>
      </w:r>
      <w:r w:rsidR="009B7D80">
        <w:rPr>
          <w:rFonts w:eastAsiaTheme="minorHAnsi"/>
        </w:rPr>
        <w:t xml:space="preserve">testimony </w:t>
      </w:r>
      <w:r>
        <w:rPr>
          <w:rFonts w:eastAsiaTheme="minorHAnsi"/>
        </w:rPr>
        <w:t>during the public input hearing</w:t>
      </w:r>
      <w:r w:rsidR="00C2281E">
        <w:rPr>
          <w:rFonts w:eastAsiaTheme="minorHAnsi"/>
        </w:rPr>
        <w:t xml:space="preserve"> and </w:t>
      </w:r>
      <w:r w:rsidR="00EF5EA3">
        <w:rPr>
          <w:rFonts w:eastAsiaTheme="minorHAnsi"/>
        </w:rPr>
        <w:t xml:space="preserve">in </w:t>
      </w:r>
      <w:r w:rsidR="00C2281E">
        <w:rPr>
          <w:rFonts w:eastAsiaTheme="minorHAnsi"/>
        </w:rPr>
        <w:t xml:space="preserve">a </w:t>
      </w:r>
      <w:r w:rsidR="004742A5">
        <w:rPr>
          <w:rFonts w:eastAsiaTheme="minorHAnsi"/>
        </w:rPr>
        <w:t>ratepayer’s C</w:t>
      </w:r>
      <w:r w:rsidR="00C2281E">
        <w:rPr>
          <w:rFonts w:eastAsiaTheme="minorHAnsi"/>
        </w:rPr>
        <w:t>omplaint</w:t>
      </w:r>
      <w:r>
        <w:rPr>
          <w:rFonts w:eastAsiaTheme="minorHAnsi"/>
        </w:rPr>
        <w:t xml:space="preserve">, customers </w:t>
      </w:r>
      <w:r w:rsidR="00EF5EA3">
        <w:rPr>
          <w:rFonts w:eastAsiaTheme="minorHAnsi"/>
        </w:rPr>
        <w:t>reported</w:t>
      </w:r>
      <w:r>
        <w:rPr>
          <w:rFonts w:eastAsiaTheme="minorHAnsi"/>
        </w:rPr>
        <w:t xml:space="preserve"> </w:t>
      </w:r>
      <w:r w:rsidR="009B7D80">
        <w:rPr>
          <w:rFonts w:eastAsiaTheme="minorHAnsi"/>
        </w:rPr>
        <w:t>insufficient or inconsistent gas pressure and the smell of gas near the Companies’ facilities.</w:t>
      </w:r>
      <w:r w:rsidR="00E61811">
        <w:rPr>
          <w:rFonts w:eastAsiaTheme="minorHAnsi"/>
        </w:rPr>
        <w:t xml:space="preserve">  </w:t>
      </w:r>
      <w:r w:rsidR="00C2281E">
        <w:rPr>
          <w:rFonts w:eastAsiaTheme="minorHAnsi"/>
        </w:rPr>
        <w:t xml:space="preserve">Tr. at </w:t>
      </w:r>
      <w:r w:rsidR="00606036">
        <w:rPr>
          <w:rFonts w:eastAsiaTheme="minorHAnsi"/>
        </w:rPr>
        <w:t xml:space="preserve">38, 40, 55, and 63; </w:t>
      </w:r>
      <w:r w:rsidR="00C2281E">
        <w:rPr>
          <w:rFonts w:eastAsiaTheme="minorHAnsi"/>
        </w:rPr>
        <w:t xml:space="preserve">Complaint of William and Leslie Mayhugh, </w:t>
      </w:r>
      <w:r w:rsidR="00C2281E" w:rsidRPr="00C2281E">
        <w:rPr>
          <w:rFonts w:eastAsiaTheme="minorHAnsi"/>
        </w:rPr>
        <w:t>C-2014-2422690</w:t>
      </w:r>
      <w:r w:rsidR="00606036">
        <w:rPr>
          <w:rFonts w:eastAsiaTheme="minorHAnsi"/>
        </w:rPr>
        <w:t>.  A</w:t>
      </w:r>
      <w:r w:rsidR="009B7D80">
        <w:rPr>
          <w:rFonts w:eastAsiaTheme="minorHAnsi"/>
        </w:rPr>
        <w:t xml:space="preserve">ccordingly, records of customer issues and </w:t>
      </w:r>
      <w:r w:rsidR="00606036">
        <w:rPr>
          <w:rFonts w:eastAsiaTheme="minorHAnsi"/>
        </w:rPr>
        <w:t xml:space="preserve">the </w:t>
      </w:r>
      <w:r w:rsidR="009B7D80">
        <w:rPr>
          <w:rFonts w:eastAsiaTheme="minorHAnsi"/>
        </w:rPr>
        <w:t xml:space="preserve">capital expenditures to resolve those issues are important tools for </w:t>
      </w:r>
      <w:r w:rsidR="004742A5">
        <w:rPr>
          <w:rFonts w:eastAsiaTheme="minorHAnsi"/>
        </w:rPr>
        <w:t>I&amp;E, the OCA</w:t>
      </w:r>
      <w:r w:rsidR="009B7D80">
        <w:rPr>
          <w:rFonts w:eastAsiaTheme="minorHAnsi"/>
        </w:rPr>
        <w:t xml:space="preserve"> this Commission to assess whether the Company is taking prudent steps to ensure that customers are receiving safe</w:t>
      </w:r>
      <w:r w:rsidR="00606036">
        <w:rPr>
          <w:rFonts w:eastAsiaTheme="minorHAnsi"/>
        </w:rPr>
        <w:t xml:space="preserve"> and </w:t>
      </w:r>
      <w:r w:rsidR="009B7D80">
        <w:rPr>
          <w:rFonts w:eastAsiaTheme="minorHAnsi"/>
        </w:rPr>
        <w:t xml:space="preserve">reliable </w:t>
      </w:r>
      <w:r w:rsidR="00606036">
        <w:rPr>
          <w:rFonts w:eastAsiaTheme="minorHAnsi"/>
        </w:rPr>
        <w:t>s</w:t>
      </w:r>
      <w:r w:rsidR="009B7D80">
        <w:rPr>
          <w:rFonts w:eastAsiaTheme="minorHAnsi"/>
        </w:rPr>
        <w:t xml:space="preserve">ervice.  </w:t>
      </w:r>
      <w:r w:rsidR="00683530">
        <w:rPr>
          <w:rFonts w:eastAsiaTheme="minorHAnsi"/>
        </w:rPr>
        <w:t xml:space="preserve">In addition, </w:t>
      </w:r>
      <w:r w:rsidR="00F74479">
        <w:rPr>
          <w:rFonts w:eastAsiaTheme="minorHAnsi"/>
        </w:rPr>
        <w:t xml:space="preserve">we believe that </w:t>
      </w:r>
      <w:r w:rsidR="00683530">
        <w:rPr>
          <w:rFonts w:eastAsiaTheme="minorHAnsi"/>
        </w:rPr>
        <w:t xml:space="preserve">the maintenance and availability of financial and service records will enable the Company to operate more transparently and ensure that all expenditures are prudent and reasonable. </w:t>
      </w:r>
      <w:r w:rsidR="004742A5">
        <w:rPr>
          <w:rFonts w:eastAsiaTheme="minorHAnsi"/>
        </w:rPr>
        <w:t xml:space="preserve"> </w:t>
      </w:r>
      <w:r w:rsidR="009B7D80">
        <w:rPr>
          <w:rFonts w:eastAsiaTheme="minorHAnsi"/>
        </w:rPr>
        <w:t xml:space="preserve">Therefore, </w:t>
      </w:r>
      <w:r w:rsidR="00F74479">
        <w:rPr>
          <w:rFonts w:eastAsiaTheme="minorHAnsi"/>
        </w:rPr>
        <w:t xml:space="preserve">we shall approve </w:t>
      </w:r>
      <w:r w:rsidR="00EF5EA3">
        <w:rPr>
          <w:rFonts w:eastAsiaTheme="minorHAnsi"/>
        </w:rPr>
        <w:t xml:space="preserve">the </w:t>
      </w:r>
      <w:r w:rsidR="00EF5EA3" w:rsidRPr="00EF5EA3">
        <w:rPr>
          <w:rFonts w:eastAsiaTheme="minorHAnsi"/>
          <w:b/>
        </w:rPr>
        <w:t>c</w:t>
      </w:r>
      <w:r w:rsidR="00EF5EA3" w:rsidRPr="00EF5EA3">
        <w:rPr>
          <w:rStyle w:val="Heading3Char"/>
          <w:b w:val="0"/>
        </w:rPr>
        <w:t xml:space="preserve">apital expenditure report and recordkeeping provision </w:t>
      </w:r>
      <w:r w:rsidR="00F74479">
        <w:rPr>
          <w:rStyle w:val="Heading3Char"/>
          <w:b w:val="0"/>
        </w:rPr>
        <w:t xml:space="preserve">as submitted in </w:t>
      </w:r>
      <w:r w:rsidR="00EF5EA3" w:rsidRPr="00EF5EA3">
        <w:rPr>
          <w:rStyle w:val="Heading3Char"/>
          <w:b w:val="0"/>
        </w:rPr>
        <w:t>the Joint Petition</w:t>
      </w:r>
      <w:r w:rsidR="00F74479">
        <w:rPr>
          <w:rStyle w:val="Heading3Char"/>
          <w:b w:val="0"/>
        </w:rPr>
        <w:t>.</w:t>
      </w:r>
    </w:p>
    <w:p w:rsidR="004E6200" w:rsidRPr="00C9205A" w:rsidRDefault="004E6200" w:rsidP="0096007C">
      <w:pPr>
        <w:rPr>
          <w:rFonts w:eastAsiaTheme="minorHAnsi"/>
        </w:rPr>
      </w:pPr>
    </w:p>
    <w:p w:rsidR="00A24666" w:rsidRDefault="00A24666" w:rsidP="00B77A6A">
      <w:pPr>
        <w:pStyle w:val="Heading3"/>
        <w:rPr>
          <w:rFonts w:eastAsiaTheme="minorHAnsi"/>
        </w:rPr>
      </w:pPr>
      <w:r w:rsidRPr="003E777B">
        <w:rPr>
          <w:rFonts w:eastAsiaTheme="minorHAnsi"/>
        </w:rPr>
        <w:lastRenderedPageBreak/>
        <w:t>Company Contact</w:t>
      </w:r>
      <w:r w:rsidR="001F0C69" w:rsidRPr="003E777B">
        <w:rPr>
          <w:rFonts w:eastAsiaTheme="minorHAnsi"/>
        </w:rPr>
        <w:t xml:space="preserve"> and Customer Contact Log</w:t>
      </w:r>
      <w:r w:rsidRPr="003E777B">
        <w:rPr>
          <w:rFonts w:eastAsiaTheme="minorHAnsi"/>
        </w:rPr>
        <w:t xml:space="preserve">. </w:t>
      </w:r>
    </w:p>
    <w:p w:rsidR="00D20137" w:rsidRDefault="00D20137" w:rsidP="00B77A6A">
      <w:pPr>
        <w:keepNext/>
        <w:rPr>
          <w:rFonts w:eastAsiaTheme="minorHAnsi"/>
        </w:rPr>
      </w:pPr>
    </w:p>
    <w:p w:rsidR="00D20137" w:rsidRPr="00D20137" w:rsidRDefault="00D20137" w:rsidP="00B77A6A">
      <w:pPr>
        <w:keepNext/>
        <w:spacing w:line="240" w:lineRule="auto"/>
        <w:rPr>
          <w:rFonts w:eastAsiaTheme="minorHAnsi"/>
          <w:b/>
        </w:rPr>
      </w:pPr>
      <w:r w:rsidRPr="00D20137">
        <w:rPr>
          <w:rFonts w:eastAsiaTheme="minorHAnsi"/>
          <w:b/>
        </w:rPr>
        <w:t>a.</w:t>
      </w:r>
      <w:r w:rsidRPr="00D20137">
        <w:rPr>
          <w:rFonts w:eastAsiaTheme="minorHAnsi"/>
          <w:b/>
        </w:rPr>
        <w:tab/>
        <w:t>Terms of the Joint Petition</w:t>
      </w:r>
    </w:p>
    <w:p w:rsidR="00A24666" w:rsidRDefault="00A24666" w:rsidP="00B77A6A">
      <w:pPr>
        <w:keepNext/>
        <w:autoSpaceDE w:val="0"/>
        <w:autoSpaceDN w:val="0"/>
        <w:adjustRightInd w:val="0"/>
        <w:spacing w:line="240" w:lineRule="auto"/>
        <w:ind w:firstLine="0"/>
        <w:rPr>
          <w:rFonts w:eastAsiaTheme="minorHAnsi"/>
          <w:sz w:val="24"/>
        </w:rPr>
      </w:pPr>
    </w:p>
    <w:p w:rsidR="00BF79FA" w:rsidRDefault="00A24666" w:rsidP="001F0C69">
      <w:pPr>
        <w:rPr>
          <w:rFonts w:eastAsiaTheme="minorHAnsi"/>
        </w:rPr>
      </w:pPr>
      <w:r>
        <w:rPr>
          <w:rFonts w:eastAsiaTheme="minorHAnsi"/>
        </w:rPr>
        <w:t>The Joint Petitioners agree</w:t>
      </w:r>
      <w:r w:rsidR="00C25574">
        <w:rPr>
          <w:rFonts w:eastAsiaTheme="minorHAnsi"/>
        </w:rPr>
        <w:t xml:space="preserve"> </w:t>
      </w:r>
      <w:r>
        <w:rPr>
          <w:rFonts w:eastAsiaTheme="minorHAnsi"/>
        </w:rPr>
        <w:t>that Herman will</w:t>
      </w:r>
      <w:r w:rsidR="001F0C69">
        <w:rPr>
          <w:rFonts w:eastAsiaTheme="minorHAnsi"/>
        </w:rPr>
        <w:t>,</w:t>
      </w:r>
      <w:r>
        <w:rPr>
          <w:rFonts w:eastAsiaTheme="minorHAnsi"/>
        </w:rPr>
        <w:t xml:space="preserve"> </w:t>
      </w:r>
      <w:r w:rsidR="001F0C69" w:rsidRPr="001F0C69">
        <w:rPr>
          <w:rFonts w:eastAsiaTheme="minorHAnsi"/>
          <w:i/>
        </w:rPr>
        <w:t>inter alia</w:t>
      </w:r>
      <w:r w:rsidR="001F0C69">
        <w:rPr>
          <w:rFonts w:eastAsiaTheme="minorHAnsi"/>
        </w:rPr>
        <w:t xml:space="preserve">, </w:t>
      </w:r>
      <w:r>
        <w:rPr>
          <w:rFonts w:eastAsiaTheme="minorHAnsi"/>
        </w:rPr>
        <w:t xml:space="preserve">maintain a working telephone line to answer and respond to customer calls. </w:t>
      </w:r>
      <w:r w:rsidR="001F0C69">
        <w:rPr>
          <w:rFonts w:eastAsiaTheme="minorHAnsi"/>
        </w:rPr>
        <w:t xml:space="preserve"> </w:t>
      </w:r>
      <w:r>
        <w:rPr>
          <w:rFonts w:eastAsiaTheme="minorHAnsi"/>
        </w:rPr>
        <w:t>A Herman employee will make reasonable</w:t>
      </w:r>
      <w:r w:rsidR="00C25574">
        <w:rPr>
          <w:rFonts w:eastAsiaTheme="minorHAnsi"/>
        </w:rPr>
        <w:t xml:space="preserve"> </w:t>
      </w:r>
      <w:r>
        <w:rPr>
          <w:rFonts w:eastAsiaTheme="minorHAnsi"/>
        </w:rPr>
        <w:t>efforts to be available to take customer calls during its normal business hours</w:t>
      </w:r>
      <w:r w:rsidR="00BF79FA">
        <w:rPr>
          <w:rFonts w:eastAsiaTheme="minorHAnsi"/>
        </w:rPr>
        <w:t xml:space="preserve"> and the Company </w:t>
      </w:r>
      <w:r>
        <w:rPr>
          <w:rFonts w:eastAsiaTheme="minorHAnsi"/>
        </w:rPr>
        <w:t>will</w:t>
      </w:r>
      <w:r w:rsidR="00C25574">
        <w:rPr>
          <w:rFonts w:eastAsiaTheme="minorHAnsi"/>
        </w:rPr>
        <w:t xml:space="preserve"> </w:t>
      </w:r>
      <w:r>
        <w:rPr>
          <w:rFonts w:eastAsiaTheme="minorHAnsi"/>
        </w:rPr>
        <w:t>mai</w:t>
      </w:r>
      <w:r w:rsidR="00C25574">
        <w:rPr>
          <w:rFonts w:eastAsiaTheme="minorHAnsi"/>
        </w:rPr>
        <w:t>n</w:t>
      </w:r>
      <w:r>
        <w:rPr>
          <w:rFonts w:eastAsiaTheme="minorHAnsi"/>
        </w:rPr>
        <w:t xml:space="preserve">tain an answering machine for consumers to leave voice messages. </w:t>
      </w:r>
      <w:r w:rsidR="00BF79FA">
        <w:rPr>
          <w:rFonts w:eastAsiaTheme="minorHAnsi"/>
        </w:rPr>
        <w:t xml:space="preserve"> </w:t>
      </w:r>
      <w:r w:rsidR="00E9047B">
        <w:rPr>
          <w:rFonts w:eastAsiaTheme="minorHAnsi"/>
        </w:rPr>
        <w:t xml:space="preserve">The Settlement indicates that </w:t>
      </w:r>
      <w:r>
        <w:rPr>
          <w:rFonts w:eastAsiaTheme="minorHAnsi"/>
        </w:rPr>
        <w:t>Herman has placed an</w:t>
      </w:r>
      <w:r w:rsidR="00C25574">
        <w:rPr>
          <w:rFonts w:eastAsiaTheme="minorHAnsi"/>
        </w:rPr>
        <w:t xml:space="preserve"> </w:t>
      </w:r>
      <w:r>
        <w:rPr>
          <w:rFonts w:eastAsiaTheme="minorHAnsi"/>
        </w:rPr>
        <w:t>emergency contact number for customers on the Company</w:t>
      </w:r>
      <w:r w:rsidR="00F74479">
        <w:rPr>
          <w:rFonts w:eastAsiaTheme="minorHAnsi"/>
        </w:rPr>
        <w:t>’s</w:t>
      </w:r>
      <w:r>
        <w:rPr>
          <w:rFonts w:eastAsiaTheme="minorHAnsi"/>
        </w:rPr>
        <w:t xml:space="preserve"> answering machine</w:t>
      </w:r>
      <w:r w:rsidR="00BF79FA">
        <w:rPr>
          <w:rFonts w:eastAsiaTheme="minorHAnsi"/>
        </w:rPr>
        <w:t xml:space="preserve">.  The Joint Petitioners </w:t>
      </w:r>
      <w:r>
        <w:rPr>
          <w:rFonts w:eastAsiaTheme="minorHAnsi"/>
        </w:rPr>
        <w:t>agree that Herman will respond to</w:t>
      </w:r>
      <w:r w:rsidR="00C25574">
        <w:rPr>
          <w:rFonts w:eastAsiaTheme="minorHAnsi"/>
        </w:rPr>
        <w:t xml:space="preserve"> </w:t>
      </w:r>
      <w:r>
        <w:rPr>
          <w:rFonts w:eastAsiaTheme="minorHAnsi"/>
        </w:rPr>
        <w:t xml:space="preserve">consumer voice messages within one business day of the consumer leaving </w:t>
      </w:r>
      <w:r w:rsidR="00BF79FA">
        <w:rPr>
          <w:rFonts w:eastAsiaTheme="minorHAnsi"/>
        </w:rPr>
        <w:t xml:space="preserve">a </w:t>
      </w:r>
      <w:r>
        <w:rPr>
          <w:rFonts w:eastAsiaTheme="minorHAnsi"/>
        </w:rPr>
        <w:t>message.</w:t>
      </w:r>
      <w:r w:rsidR="00C25574">
        <w:rPr>
          <w:rFonts w:eastAsiaTheme="minorHAnsi"/>
        </w:rPr>
        <w:t xml:space="preserve"> </w:t>
      </w:r>
      <w:r w:rsidR="00AE13F1">
        <w:rPr>
          <w:rFonts w:eastAsiaTheme="minorHAnsi"/>
        </w:rPr>
        <w:t xml:space="preserve"> </w:t>
      </w:r>
      <w:r w:rsidR="00BF79FA">
        <w:rPr>
          <w:rFonts w:eastAsiaTheme="minorHAnsi"/>
        </w:rPr>
        <w:t>Joint Petition at 11-12.</w:t>
      </w:r>
    </w:p>
    <w:p w:rsidR="00BF79FA" w:rsidRDefault="00BF79FA" w:rsidP="001F0C69">
      <w:pPr>
        <w:rPr>
          <w:rFonts w:eastAsiaTheme="minorHAnsi"/>
        </w:rPr>
      </w:pPr>
    </w:p>
    <w:p w:rsidR="00A24666" w:rsidRDefault="00274ED7" w:rsidP="001F0C69">
      <w:pPr>
        <w:rPr>
          <w:rFonts w:eastAsiaTheme="minorHAnsi"/>
        </w:rPr>
      </w:pPr>
      <w:r>
        <w:rPr>
          <w:rFonts w:eastAsiaTheme="minorHAnsi"/>
        </w:rPr>
        <w:t xml:space="preserve">Under the proposed Settlement, </w:t>
      </w:r>
      <w:r w:rsidR="00A24666">
        <w:rPr>
          <w:rFonts w:eastAsiaTheme="minorHAnsi"/>
        </w:rPr>
        <w:t>Herman shall keep a log of all customer contacts</w:t>
      </w:r>
      <w:r w:rsidR="00C25574">
        <w:rPr>
          <w:rFonts w:eastAsiaTheme="minorHAnsi"/>
        </w:rPr>
        <w:t xml:space="preserve"> </w:t>
      </w:r>
      <w:r w:rsidR="00A24666">
        <w:rPr>
          <w:rFonts w:eastAsiaTheme="minorHAnsi"/>
        </w:rPr>
        <w:t xml:space="preserve">regarding safety and/or quality of service issues. </w:t>
      </w:r>
      <w:r>
        <w:rPr>
          <w:rFonts w:eastAsiaTheme="minorHAnsi"/>
        </w:rPr>
        <w:t xml:space="preserve"> The </w:t>
      </w:r>
      <w:r w:rsidR="00A24666">
        <w:rPr>
          <w:rFonts w:eastAsiaTheme="minorHAnsi"/>
        </w:rPr>
        <w:t xml:space="preserve">log </w:t>
      </w:r>
      <w:r>
        <w:rPr>
          <w:rFonts w:eastAsiaTheme="minorHAnsi"/>
        </w:rPr>
        <w:t xml:space="preserve">is to </w:t>
      </w:r>
      <w:r w:rsidR="00A24666">
        <w:rPr>
          <w:rFonts w:eastAsiaTheme="minorHAnsi"/>
        </w:rPr>
        <w:t>contain, at a minimum, the date</w:t>
      </w:r>
      <w:r w:rsidR="00C25574">
        <w:rPr>
          <w:rFonts w:eastAsiaTheme="minorHAnsi"/>
        </w:rPr>
        <w:t xml:space="preserve"> </w:t>
      </w:r>
      <w:r w:rsidR="00A24666">
        <w:rPr>
          <w:rFonts w:eastAsiaTheme="minorHAnsi"/>
        </w:rPr>
        <w:t xml:space="preserve">of contact, issue(s) in question, and steps, if necessary, taken to resolve the issue(s). </w:t>
      </w:r>
      <w:r w:rsidR="00BF79FA">
        <w:rPr>
          <w:rFonts w:eastAsiaTheme="minorHAnsi"/>
        </w:rPr>
        <w:t xml:space="preserve"> </w:t>
      </w:r>
      <w:r w:rsidR="00A24666">
        <w:rPr>
          <w:rFonts w:eastAsiaTheme="minorHAnsi"/>
        </w:rPr>
        <w:t>Herman will</w:t>
      </w:r>
      <w:r w:rsidR="00C25574">
        <w:rPr>
          <w:rFonts w:eastAsiaTheme="minorHAnsi"/>
        </w:rPr>
        <w:t xml:space="preserve"> </w:t>
      </w:r>
      <w:r w:rsidR="00A24666">
        <w:rPr>
          <w:rFonts w:eastAsiaTheme="minorHAnsi"/>
        </w:rPr>
        <w:t>provide the OCA and I&amp;E with a copy of its customer contact log at the time that it submits its</w:t>
      </w:r>
      <w:r w:rsidR="00C25574">
        <w:rPr>
          <w:rFonts w:eastAsiaTheme="minorHAnsi"/>
        </w:rPr>
        <w:t xml:space="preserve"> </w:t>
      </w:r>
      <w:r w:rsidR="00A24666">
        <w:rPr>
          <w:rFonts w:eastAsiaTheme="minorHAnsi"/>
        </w:rPr>
        <w:t>capital expenditure report</w:t>
      </w:r>
      <w:r w:rsidR="00D20137">
        <w:rPr>
          <w:rFonts w:eastAsiaTheme="minorHAnsi"/>
        </w:rPr>
        <w:t xml:space="preserve">. </w:t>
      </w:r>
      <w:r w:rsidR="00BF79FA">
        <w:rPr>
          <w:rFonts w:eastAsiaTheme="minorHAnsi"/>
        </w:rPr>
        <w:t xml:space="preserve"> </w:t>
      </w:r>
      <w:r w:rsidR="00D20137">
        <w:rPr>
          <w:rFonts w:eastAsiaTheme="minorHAnsi"/>
        </w:rPr>
        <w:t xml:space="preserve">Joint Petition </w:t>
      </w:r>
      <w:r w:rsidR="00BF79FA">
        <w:rPr>
          <w:rFonts w:eastAsiaTheme="minorHAnsi"/>
        </w:rPr>
        <w:t xml:space="preserve">at 12. </w:t>
      </w:r>
    </w:p>
    <w:p w:rsidR="00D20137" w:rsidRDefault="00D20137" w:rsidP="001F0C69">
      <w:pPr>
        <w:rPr>
          <w:rFonts w:eastAsiaTheme="minorHAnsi"/>
        </w:rPr>
      </w:pPr>
    </w:p>
    <w:p w:rsidR="00D20137" w:rsidRDefault="00D20137" w:rsidP="0052099F">
      <w:pPr>
        <w:spacing w:line="240" w:lineRule="auto"/>
        <w:rPr>
          <w:rFonts w:eastAsiaTheme="minorHAnsi"/>
          <w:b/>
        </w:rPr>
      </w:pPr>
      <w:r w:rsidRPr="00D20137">
        <w:rPr>
          <w:rFonts w:eastAsiaTheme="minorHAnsi"/>
          <w:b/>
        </w:rPr>
        <w:t>b.</w:t>
      </w:r>
      <w:r w:rsidRPr="00D20137">
        <w:rPr>
          <w:rFonts w:eastAsiaTheme="minorHAnsi"/>
          <w:b/>
        </w:rPr>
        <w:tab/>
        <w:t>Positions of the Parties and the Recommended Decision</w:t>
      </w:r>
    </w:p>
    <w:p w:rsidR="00D20137" w:rsidRDefault="00D20137" w:rsidP="001F0C69">
      <w:pPr>
        <w:rPr>
          <w:rFonts w:eastAsiaTheme="minorHAnsi"/>
          <w:b/>
        </w:rPr>
      </w:pPr>
    </w:p>
    <w:p w:rsidR="00793B50" w:rsidRDefault="0052099F" w:rsidP="00793B50">
      <w:r w:rsidRPr="0052099F">
        <w:rPr>
          <w:rFonts w:eastAsiaTheme="minorHAnsi"/>
        </w:rPr>
        <w:t xml:space="preserve">The OCA </w:t>
      </w:r>
      <w:r>
        <w:rPr>
          <w:rFonts w:eastAsiaTheme="minorHAnsi"/>
        </w:rPr>
        <w:t>submitted that these provisions are in the public interest because the</w:t>
      </w:r>
      <w:r w:rsidR="00CB6445">
        <w:rPr>
          <w:rFonts w:eastAsiaTheme="minorHAnsi"/>
        </w:rPr>
        <w:t>y</w:t>
      </w:r>
      <w:r>
        <w:rPr>
          <w:rFonts w:eastAsiaTheme="minorHAnsi"/>
        </w:rPr>
        <w:t xml:space="preserve"> will ensure that Herman addresses all consumer complaints in a timely manner.  The OCA </w:t>
      </w:r>
      <w:r w:rsidR="00793B50">
        <w:rPr>
          <w:rFonts w:eastAsiaTheme="minorHAnsi"/>
        </w:rPr>
        <w:t>stated</w:t>
      </w:r>
      <w:r>
        <w:rPr>
          <w:rFonts w:eastAsiaTheme="minorHAnsi"/>
        </w:rPr>
        <w:t xml:space="preserve"> that this provision will also ensure that customers</w:t>
      </w:r>
      <w:r w:rsidR="00AE13F1">
        <w:rPr>
          <w:rFonts w:eastAsiaTheme="minorHAnsi"/>
        </w:rPr>
        <w:t>,</w:t>
      </w:r>
      <w:r>
        <w:rPr>
          <w:rFonts w:eastAsiaTheme="minorHAnsi"/>
        </w:rPr>
        <w:t xml:space="preserve"> who contact Herman with an emergency situation</w:t>
      </w:r>
      <w:r w:rsidR="00AE13F1">
        <w:rPr>
          <w:rFonts w:eastAsiaTheme="minorHAnsi"/>
        </w:rPr>
        <w:t>,</w:t>
      </w:r>
      <w:r>
        <w:rPr>
          <w:rFonts w:eastAsiaTheme="minorHAnsi"/>
        </w:rPr>
        <w:t xml:space="preserve"> are given specific instructions regarding who to contact under these circumstances.  The OCA </w:t>
      </w:r>
      <w:r w:rsidR="00793B50">
        <w:rPr>
          <w:rFonts w:eastAsiaTheme="minorHAnsi"/>
        </w:rPr>
        <w:t xml:space="preserve">explained that the customer contact log and the report of customer issues, </w:t>
      </w:r>
      <w:r w:rsidR="00793B50" w:rsidRPr="00793B50">
        <w:rPr>
          <w:rFonts w:eastAsiaTheme="minorHAnsi"/>
          <w:i/>
        </w:rPr>
        <w:t>supra</w:t>
      </w:r>
      <w:r w:rsidR="00793B50">
        <w:rPr>
          <w:rFonts w:eastAsiaTheme="minorHAnsi"/>
        </w:rPr>
        <w:t xml:space="preserve">, will help ensure an adequate resolution of those issues.  OCA Statement of Support at 5-6.  </w:t>
      </w:r>
      <w:r w:rsidR="00793B50">
        <w:t xml:space="preserve">The ALJ noted the benefits of a report on customer </w:t>
      </w:r>
      <w:r w:rsidR="00AE13F1">
        <w:t xml:space="preserve">complaints </w:t>
      </w:r>
      <w:r w:rsidR="00793B50">
        <w:t>cited by the OCA.  R.D. at 25</w:t>
      </w:r>
      <w:r w:rsidR="00AE13F1">
        <w:t>.</w:t>
      </w:r>
    </w:p>
    <w:p w:rsidR="00793B50" w:rsidRPr="00760761" w:rsidRDefault="00793B50" w:rsidP="00793B50">
      <w:pPr>
        <w:rPr>
          <w:rFonts w:eastAsiaTheme="minorHAnsi"/>
          <w:szCs w:val="26"/>
        </w:rPr>
      </w:pPr>
    </w:p>
    <w:p w:rsidR="00D20137" w:rsidRDefault="00793B50" w:rsidP="00823499">
      <w:pPr>
        <w:pStyle w:val="Heading4"/>
        <w:numPr>
          <w:ilvl w:val="0"/>
          <w:numId w:val="14"/>
        </w:numPr>
        <w:ind w:left="2160" w:hanging="720"/>
        <w:rPr>
          <w:rFonts w:eastAsiaTheme="minorHAnsi"/>
        </w:rPr>
      </w:pPr>
      <w:r w:rsidRPr="00793B50">
        <w:rPr>
          <w:rFonts w:eastAsiaTheme="minorHAnsi"/>
        </w:rPr>
        <w:lastRenderedPageBreak/>
        <w:t>Disposition</w:t>
      </w:r>
    </w:p>
    <w:p w:rsidR="00793B50" w:rsidRDefault="00793B50" w:rsidP="00793B50">
      <w:pPr>
        <w:rPr>
          <w:rFonts w:eastAsiaTheme="minorHAnsi"/>
        </w:rPr>
      </w:pPr>
    </w:p>
    <w:p w:rsidR="00A24666" w:rsidRPr="00622A75" w:rsidRDefault="00B569D1" w:rsidP="00B569D1">
      <w:pPr>
        <w:rPr>
          <w:rFonts w:eastAsiaTheme="minorHAnsi"/>
        </w:rPr>
      </w:pPr>
      <w:r>
        <w:rPr>
          <w:rFonts w:eastAsiaTheme="minorHAnsi"/>
        </w:rPr>
        <w:t xml:space="preserve">Establishing a formal mechanism to receive and to respond to customer complaints, particularly in emergency situations, is a critical component of improving the quality and safety of the Company’s service.  </w:t>
      </w:r>
      <w:r w:rsidR="0096007C">
        <w:rPr>
          <w:rFonts w:eastAsiaTheme="minorHAnsi"/>
        </w:rPr>
        <w:t>Making the customer contact log available to I&amp;E and the OCA</w:t>
      </w:r>
      <w:r w:rsidR="0096007C" w:rsidRPr="0096007C">
        <w:rPr>
          <w:rFonts w:eastAsiaTheme="minorHAnsi"/>
        </w:rPr>
        <w:t xml:space="preserve"> </w:t>
      </w:r>
      <w:r w:rsidR="0096007C">
        <w:rPr>
          <w:rFonts w:eastAsiaTheme="minorHAnsi"/>
        </w:rPr>
        <w:t xml:space="preserve">will ensure that Company is adequately responding to service issues as well as making necessary capital improvements.  </w:t>
      </w:r>
      <w:r w:rsidR="00F07F21">
        <w:rPr>
          <w:rFonts w:eastAsiaTheme="minorHAnsi"/>
        </w:rPr>
        <w:t xml:space="preserve">We shall adopt this </w:t>
      </w:r>
      <w:r w:rsidR="0096007C">
        <w:rPr>
          <w:rFonts w:eastAsiaTheme="minorHAnsi"/>
        </w:rPr>
        <w:t xml:space="preserve">provision </w:t>
      </w:r>
      <w:r w:rsidR="000C7FFC" w:rsidRPr="00622A75">
        <w:rPr>
          <w:rFonts w:eastAsiaTheme="minorHAnsi"/>
        </w:rPr>
        <w:t>as it is in the public interest</w:t>
      </w:r>
      <w:r w:rsidR="0096007C" w:rsidRPr="00622A75">
        <w:rPr>
          <w:rFonts w:eastAsiaTheme="minorHAnsi"/>
        </w:rPr>
        <w:t>.</w:t>
      </w:r>
    </w:p>
    <w:p w:rsidR="00B569D1" w:rsidRDefault="00B569D1" w:rsidP="00B569D1">
      <w:pPr>
        <w:rPr>
          <w:rFonts w:eastAsiaTheme="minorHAnsi"/>
        </w:rPr>
      </w:pPr>
    </w:p>
    <w:p w:rsidR="00274ED7" w:rsidRDefault="00274ED7" w:rsidP="007750AD">
      <w:pPr>
        <w:pStyle w:val="Heading3"/>
        <w:rPr>
          <w:rFonts w:eastAsiaTheme="minorHAnsi"/>
        </w:rPr>
      </w:pPr>
      <w:r>
        <w:rPr>
          <w:rFonts w:eastAsiaTheme="minorHAnsi"/>
        </w:rPr>
        <w:t xml:space="preserve">Budget Billing </w:t>
      </w:r>
    </w:p>
    <w:p w:rsidR="00274ED7" w:rsidRDefault="00274ED7" w:rsidP="007750AD">
      <w:pPr>
        <w:keepNext/>
        <w:rPr>
          <w:rFonts w:eastAsiaTheme="minorHAnsi"/>
        </w:rPr>
      </w:pPr>
    </w:p>
    <w:p w:rsidR="0096007C" w:rsidRPr="0096007C" w:rsidRDefault="0096007C" w:rsidP="007750AD">
      <w:pPr>
        <w:pStyle w:val="Heading4"/>
        <w:keepNext/>
        <w:numPr>
          <w:ilvl w:val="0"/>
          <w:numId w:val="15"/>
        </w:numPr>
        <w:ind w:left="2160" w:hanging="720"/>
        <w:rPr>
          <w:rFonts w:eastAsiaTheme="minorHAnsi"/>
        </w:rPr>
      </w:pPr>
      <w:r w:rsidRPr="0096007C">
        <w:rPr>
          <w:rFonts w:eastAsiaTheme="minorHAnsi"/>
        </w:rPr>
        <w:t>Terms of the Joint Petition</w:t>
      </w:r>
    </w:p>
    <w:p w:rsidR="0096007C" w:rsidRDefault="0096007C" w:rsidP="007750AD">
      <w:pPr>
        <w:keepNext/>
        <w:rPr>
          <w:rFonts w:eastAsiaTheme="minorHAnsi"/>
        </w:rPr>
      </w:pPr>
    </w:p>
    <w:p w:rsidR="00E9047B" w:rsidRDefault="00274ED7" w:rsidP="007750AD">
      <w:pPr>
        <w:keepNext/>
        <w:rPr>
          <w:rFonts w:eastAsiaTheme="minorHAnsi"/>
        </w:rPr>
      </w:pPr>
      <w:r>
        <w:rPr>
          <w:rFonts w:eastAsiaTheme="minorHAnsi"/>
        </w:rPr>
        <w:t xml:space="preserve">Herman has agreed to continue its current budget billing program.  </w:t>
      </w:r>
      <w:r w:rsidR="00F07F21">
        <w:rPr>
          <w:rFonts w:eastAsiaTheme="minorHAnsi"/>
        </w:rPr>
        <w:t>The Settlement provides that u</w:t>
      </w:r>
      <w:r>
        <w:rPr>
          <w:rFonts w:eastAsiaTheme="minorHAnsi"/>
        </w:rPr>
        <w:t>pon a customer’s request, Herman shall work with such customer to allocate future bills modeled on a monthly average of the customer’s historic billing year.</w:t>
      </w:r>
      <w:r>
        <w:rPr>
          <w:rFonts w:eastAsiaTheme="minorHAnsi"/>
          <w:sz w:val="23"/>
          <w:szCs w:val="23"/>
        </w:rPr>
        <w:t xml:space="preserve">  </w:t>
      </w:r>
      <w:r>
        <w:rPr>
          <w:rFonts w:eastAsiaTheme="minorHAnsi"/>
        </w:rPr>
        <w:t xml:space="preserve">Herman shall include the budget billing policy on the April and May bills each year.  </w:t>
      </w:r>
      <w:r w:rsidR="00E9047B">
        <w:rPr>
          <w:rFonts w:eastAsiaTheme="minorHAnsi"/>
        </w:rPr>
        <w:t xml:space="preserve">Joint Petition at 12.  The budget billing policy set forth in the Company’s proposed tariff is as follows: </w:t>
      </w:r>
    </w:p>
    <w:p w:rsidR="00E9047B" w:rsidRDefault="00E9047B" w:rsidP="00E9047B">
      <w:pPr>
        <w:spacing w:line="240" w:lineRule="auto"/>
        <w:rPr>
          <w:rFonts w:eastAsiaTheme="minorHAnsi"/>
        </w:rPr>
      </w:pPr>
    </w:p>
    <w:p w:rsidR="00E9047B" w:rsidRPr="00E9047B" w:rsidRDefault="00E9047B" w:rsidP="00E9047B">
      <w:pPr>
        <w:autoSpaceDE w:val="0"/>
        <w:autoSpaceDN w:val="0"/>
        <w:adjustRightInd w:val="0"/>
        <w:spacing w:line="240" w:lineRule="auto"/>
        <w:ind w:left="1440" w:right="1440" w:firstLine="0"/>
        <w:rPr>
          <w:rFonts w:eastAsiaTheme="minorHAnsi"/>
          <w:szCs w:val="26"/>
        </w:rPr>
      </w:pPr>
      <w:r w:rsidRPr="00E9047B">
        <w:rPr>
          <w:rFonts w:eastAsiaTheme="minorHAnsi"/>
          <w:szCs w:val="26"/>
        </w:rPr>
        <w:t>Residential customers who are current in their account and have a satisfactory credit history in the judgment of</w:t>
      </w:r>
      <w:r>
        <w:rPr>
          <w:rFonts w:eastAsiaTheme="minorHAnsi"/>
          <w:szCs w:val="26"/>
        </w:rPr>
        <w:t xml:space="preserve"> </w:t>
      </w:r>
      <w:r w:rsidRPr="00E9047B">
        <w:rPr>
          <w:rFonts w:eastAsiaTheme="minorHAnsi"/>
          <w:szCs w:val="26"/>
        </w:rPr>
        <w:t>the Company are eligible for the budget payment plan based on their past 12 months gas bills adjusted for</w:t>
      </w:r>
      <w:r>
        <w:rPr>
          <w:rFonts w:eastAsiaTheme="minorHAnsi"/>
          <w:szCs w:val="26"/>
        </w:rPr>
        <w:t xml:space="preserve"> </w:t>
      </w:r>
      <w:r w:rsidRPr="00E9047B">
        <w:rPr>
          <w:rFonts w:eastAsiaTheme="minorHAnsi"/>
          <w:szCs w:val="26"/>
        </w:rPr>
        <w:t>projected gas costs as determined by the Company or if none exists based on estimates made by the Company</w:t>
      </w:r>
      <w:r>
        <w:rPr>
          <w:rFonts w:eastAsiaTheme="minorHAnsi"/>
          <w:szCs w:val="26"/>
        </w:rPr>
        <w:t xml:space="preserve"> </w:t>
      </w:r>
      <w:r w:rsidRPr="00E9047B">
        <w:rPr>
          <w:rFonts w:eastAsiaTheme="minorHAnsi"/>
          <w:szCs w:val="26"/>
        </w:rPr>
        <w:t xml:space="preserve">applied to current and projected rates. </w:t>
      </w:r>
    </w:p>
    <w:p w:rsidR="00E9047B" w:rsidRDefault="00E9047B" w:rsidP="00E9047B">
      <w:pPr>
        <w:rPr>
          <w:rFonts w:eastAsiaTheme="minorHAnsi"/>
        </w:rPr>
      </w:pPr>
    </w:p>
    <w:p w:rsidR="00274ED7" w:rsidRDefault="00E9047B" w:rsidP="00E9047B">
      <w:pPr>
        <w:ind w:firstLine="0"/>
        <w:rPr>
          <w:rFonts w:eastAsiaTheme="minorHAnsi"/>
        </w:rPr>
      </w:pPr>
      <w:r>
        <w:rPr>
          <w:rFonts w:eastAsiaTheme="minorHAnsi"/>
        </w:rPr>
        <w:t>Joint Petition, Appendix A at 4.  The Settlement requires that t</w:t>
      </w:r>
      <w:r w:rsidR="00274ED7">
        <w:rPr>
          <w:rFonts w:eastAsiaTheme="minorHAnsi"/>
        </w:rPr>
        <w:t xml:space="preserve">he placement of the policy on these bills shall be agreed to by the Joint Petitioners before the proposed rate increases go into effect.  </w:t>
      </w:r>
      <w:r>
        <w:rPr>
          <w:rFonts w:eastAsiaTheme="minorHAnsi"/>
        </w:rPr>
        <w:t>The budget billing program would</w:t>
      </w:r>
      <w:r w:rsidR="00274ED7">
        <w:rPr>
          <w:rFonts w:eastAsiaTheme="minorHAnsi"/>
        </w:rPr>
        <w:t xml:space="preserve"> not preclude Herman from collecting all charges due from customers.  </w:t>
      </w:r>
      <w:r>
        <w:rPr>
          <w:rFonts w:eastAsiaTheme="minorHAnsi"/>
        </w:rPr>
        <w:t xml:space="preserve">Joint Petition at 12. </w:t>
      </w:r>
    </w:p>
    <w:p w:rsidR="00274ED7" w:rsidRDefault="00274ED7" w:rsidP="00E9047B">
      <w:pPr>
        <w:rPr>
          <w:rFonts w:eastAsiaTheme="minorHAnsi"/>
        </w:rPr>
      </w:pPr>
    </w:p>
    <w:p w:rsidR="0096007C" w:rsidRDefault="0096007C" w:rsidP="00B77A6A">
      <w:pPr>
        <w:pStyle w:val="Heading4"/>
        <w:keepNext/>
        <w:ind w:left="2160" w:hanging="720"/>
        <w:rPr>
          <w:rFonts w:eastAsiaTheme="minorHAnsi"/>
        </w:rPr>
      </w:pPr>
      <w:r w:rsidRPr="0096007C">
        <w:rPr>
          <w:rFonts w:eastAsiaTheme="minorHAnsi"/>
        </w:rPr>
        <w:t>Positions of the Parties and the Recommended Decision</w:t>
      </w:r>
    </w:p>
    <w:p w:rsidR="00DF0871" w:rsidRDefault="00DF0871" w:rsidP="00B77A6A">
      <w:pPr>
        <w:keepNext/>
        <w:rPr>
          <w:rFonts w:eastAsiaTheme="minorHAnsi"/>
        </w:rPr>
      </w:pPr>
    </w:p>
    <w:p w:rsidR="00C263FA" w:rsidRDefault="00C263FA" w:rsidP="00B77A6A">
      <w:pPr>
        <w:keepNext/>
      </w:pPr>
      <w:r w:rsidRPr="00C263FA">
        <w:rPr>
          <w:rFonts w:eastAsiaTheme="minorHAnsi"/>
        </w:rPr>
        <w:t xml:space="preserve">The OCA </w:t>
      </w:r>
      <w:r>
        <w:rPr>
          <w:rFonts w:eastAsiaTheme="minorHAnsi"/>
        </w:rPr>
        <w:t xml:space="preserve">stated that it </w:t>
      </w:r>
      <w:r w:rsidRPr="00C263FA">
        <w:rPr>
          <w:rFonts w:eastAsiaTheme="minorHAnsi"/>
        </w:rPr>
        <w:t xml:space="preserve">supports the continuation of this program as budget billing can be a useful option for customers.  </w:t>
      </w:r>
      <w:r>
        <w:rPr>
          <w:rFonts w:eastAsiaTheme="minorHAnsi"/>
        </w:rPr>
        <w:t>The OCA explained that u</w:t>
      </w:r>
      <w:r w:rsidRPr="00C263FA">
        <w:rPr>
          <w:rFonts w:eastAsiaTheme="minorHAnsi"/>
        </w:rPr>
        <w:t>nder the terms of the Settlement, Herman’s customers will be made aware of the option</w:t>
      </w:r>
      <w:r>
        <w:rPr>
          <w:rFonts w:eastAsiaTheme="minorHAnsi"/>
        </w:rPr>
        <w:t xml:space="preserve"> on the April and May bills each year</w:t>
      </w:r>
      <w:r w:rsidRPr="00C263FA">
        <w:rPr>
          <w:rFonts w:eastAsiaTheme="minorHAnsi"/>
        </w:rPr>
        <w:t>, giving them the opportunity to assess whether it is an appropriate option for them.  OCA St</w:t>
      </w:r>
      <w:r>
        <w:rPr>
          <w:rFonts w:eastAsiaTheme="minorHAnsi"/>
        </w:rPr>
        <w:t xml:space="preserve">atement </w:t>
      </w:r>
      <w:r w:rsidRPr="00C263FA">
        <w:rPr>
          <w:rFonts w:eastAsiaTheme="minorHAnsi"/>
        </w:rPr>
        <w:t>in Support</w:t>
      </w:r>
      <w:r>
        <w:rPr>
          <w:rFonts w:eastAsiaTheme="minorHAnsi"/>
        </w:rPr>
        <w:t xml:space="preserve"> at 6. </w:t>
      </w:r>
      <w:r w:rsidRPr="00C263FA">
        <w:rPr>
          <w:rFonts w:eastAsiaTheme="minorHAnsi"/>
        </w:rPr>
        <w:t xml:space="preserve"> </w:t>
      </w:r>
      <w:r>
        <w:t>The ALJ noted the benefits of the continuation of budget billing as cited by the OCA.  R.D. at 26</w:t>
      </w:r>
    </w:p>
    <w:p w:rsidR="00C263FA" w:rsidRDefault="00C263FA" w:rsidP="00C263FA">
      <w:pPr>
        <w:rPr>
          <w:rFonts w:eastAsiaTheme="minorHAnsi"/>
        </w:rPr>
      </w:pPr>
    </w:p>
    <w:p w:rsidR="00C263FA" w:rsidRDefault="00C263FA" w:rsidP="00C263FA">
      <w:pPr>
        <w:pStyle w:val="Heading4"/>
        <w:ind w:left="2160" w:hanging="720"/>
        <w:rPr>
          <w:rFonts w:eastAsiaTheme="minorHAnsi"/>
        </w:rPr>
      </w:pPr>
      <w:r>
        <w:rPr>
          <w:rFonts w:eastAsiaTheme="minorHAnsi"/>
        </w:rPr>
        <w:t>Disposition</w:t>
      </w:r>
    </w:p>
    <w:p w:rsidR="00C263FA" w:rsidRDefault="00C263FA" w:rsidP="00C263FA">
      <w:pPr>
        <w:rPr>
          <w:rFonts w:eastAsiaTheme="minorHAnsi"/>
        </w:rPr>
      </w:pPr>
    </w:p>
    <w:p w:rsidR="00C263FA" w:rsidRDefault="00C263FA" w:rsidP="00C263FA">
      <w:pPr>
        <w:rPr>
          <w:rFonts w:eastAsiaTheme="minorHAnsi"/>
        </w:rPr>
      </w:pPr>
      <w:r>
        <w:rPr>
          <w:rFonts w:eastAsiaTheme="minorHAnsi"/>
        </w:rPr>
        <w:t>We concur that budget billing can be an important tool for some customers to manage the seasonal variations in home heating costs and this provision of the Settlement sh</w:t>
      </w:r>
      <w:r w:rsidR="00F07F21">
        <w:rPr>
          <w:rFonts w:eastAsiaTheme="minorHAnsi"/>
        </w:rPr>
        <w:t>all be approved</w:t>
      </w:r>
      <w:r>
        <w:rPr>
          <w:rFonts w:eastAsiaTheme="minorHAnsi"/>
        </w:rPr>
        <w:t xml:space="preserve">.  </w:t>
      </w:r>
    </w:p>
    <w:p w:rsidR="00C263FA" w:rsidRDefault="00C263FA" w:rsidP="00C263FA">
      <w:pPr>
        <w:rPr>
          <w:rFonts w:eastAsiaTheme="minorHAnsi"/>
        </w:rPr>
      </w:pPr>
    </w:p>
    <w:p w:rsidR="00E9047B" w:rsidRDefault="00E9047B" w:rsidP="00EA1893">
      <w:pPr>
        <w:pStyle w:val="Heading3"/>
        <w:rPr>
          <w:rFonts w:eastAsiaTheme="minorHAnsi"/>
        </w:rPr>
      </w:pPr>
      <w:r>
        <w:rPr>
          <w:rFonts w:eastAsiaTheme="minorHAnsi"/>
        </w:rPr>
        <w:t>Other Terms of the Joint Petition</w:t>
      </w:r>
    </w:p>
    <w:p w:rsidR="00EA1893" w:rsidRDefault="00EA1893" w:rsidP="00EA1893">
      <w:pPr>
        <w:rPr>
          <w:rFonts w:eastAsiaTheme="minorHAnsi"/>
        </w:rPr>
      </w:pPr>
    </w:p>
    <w:p w:rsidR="00EA1893" w:rsidRDefault="00EA1893" w:rsidP="00EA1893">
      <w:pPr>
        <w:rPr>
          <w:rFonts w:eastAsiaTheme="minorHAnsi"/>
        </w:rPr>
      </w:pPr>
      <w:r>
        <w:rPr>
          <w:rFonts w:eastAsiaTheme="minorHAnsi"/>
        </w:rPr>
        <w:t xml:space="preserve">Paragraph Nos. 23 through 32 of the Joint Petition contain a number of procedural conditions, including, </w:t>
      </w:r>
      <w:r w:rsidRPr="00EA1893">
        <w:rPr>
          <w:rFonts w:eastAsiaTheme="minorHAnsi"/>
          <w:i/>
        </w:rPr>
        <w:t>inter alia</w:t>
      </w:r>
      <w:r>
        <w:rPr>
          <w:rFonts w:eastAsiaTheme="minorHAnsi"/>
        </w:rPr>
        <w:t>, the rights of the Joint Petitioners if the ALJ or Commission modif</w:t>
      </w:r>
      <w:r w:rsidR="009F2636">
        <w:rPr>
          <w:rFonts w:eastAsiaTheme="minorHAnsi"/>
        </w:rPr>
        <w:t>y</w:t>
      </w:r>
      <w:r>
        <w:rPr>
          <w:rFonts w:eastAsiaTheme="minorHAnsi"/>
        </w:rPr>
        <w:t xml:space="preserve"> the terms of the Settlement.  The Joint Petition also clarifies that the agreement </w:t>
      </w:r>
      <w:r w:rsidR="00C92798">
        <w:rPr>
          <w:rFonts w:eastAsiaTheme="minorHAnsi"/>
        </w:rPr>
        <w:t>represents</w:t>
      </w:r>
      <w:r>
        <w:rPr>
          <w:rFonts w:eastAsiaTheme="minorHAnsi"/>
        </w:rPr>
        <w:t xml:space="preserve"> a “reasoned compromise for </w:t>
      </w:r>
      <w:r w:rsidR="00C92798">
        <w:rPr>
          <w:rFonts w:eastAsiaTheme="minorHAnsi"/>
        </w:rPr>
        <w:t>settlement</w:t>
      </w:r>
      <w:r>
        <w:rPr>
          <w:rFonts w:eastAsiaTheme="minorHAnsi"/>
        </w:rPr>
        <w:t xml:space="preserve"> </w:t>
      </w:r>
      <w:r w:rsidR="00C92798">
        <w:rPr>
          <w:rFonts w:eastAsiaTheme="minorHAnsi"/>
        </w:rPr>
        <w:t xml:space="preserve">of this particular proceeding and nothing more” and </w:t>
      </w:r>
      <w:r w:rsidR="009F2636">
        <w:rPr>
          <w:rFonts w:eastAsiaTheme="minorHAnsi"/>
        </w:rPr>
        <w:t xml:space="preserve">that </w:t>
      </w:r>
      <w:r w:rsidR="00C92798">
        <w:rPr>
          <w:rFonts w:eastAsiaTheme="minorHAnsi"/>
        </w:rPr>
        <w:t xml:space="preserve">the </w:t>
      </w:r>
      <w:r>
        <w:rPr>
          <w:rFonts w:eastAsiaTheme="minorHAnsi"/>
        </w:rPr>
        <w:t xml:space="preserve">Joint Petition </w:t>
      </w:r>
      <w:r w:rsidR="009F2636">
        <w:rPr>
          <w:rFonts w:eastAsiaTheme="minorHAnsi"/>
        </w:rPr>
        <w:t xml:space="preserve">may not be citied as a precedent in any future proceedings, except to the extent required to implement or enforce the terms of the Settlement. </w:t>
      </w:r>
      <w:r w:rsidR="007750AD">
        <w:rPr>
          <w:rFonts w:eastAsiaTheme="minorHAnsi"/>
        </w:rPr>
        <w:t xml:space="preserve"> Joint Petition at 13-15. </w:t>
      </w:r>
    </w:p>
    <w:p w:rsidR="00DF0871" w:rsidRDefault="00DF0871" w:rsidP="00EA1893">
      <w:pPr>
        <w:rPr>
          <w:rFonts w:eastAsiaTheme="minorHAnsi"/>
        </w:rPr>
      </w:pPr>
    </w:p>
    <w:p w:rsidR="00DF0871" w:rsidRDefault="00DF0871" w:rsidP="00EA1893">
      <w:pPr>
        <w:rPr>
          <w:rFonts w:eastAsiaTheme="minorHAnsi"/>
        </w:rPr>
      </w:pPr>
      <w:r>
        <w:t xml:space="preserve">We shall accept the other terms of the Joint Petition (Paragraph Nos. 23-32) to the extent that they do not restrict any action of the Commission.  </w:t>
      </w:r>
    </w:p>
    <w:p w:rsidR="00DF0871" w:rsidRPr="00EA1893" w:rsidRDefault="00DF0871" w:rsidP="00EA1893">
      <w:pPr>
        <w:rPr>
          <w:rFonts w:eastAsiaTheme="minorHAnsi"/>
        </w:rPr>
      </w:pPr>
    </w:p>
    <w:p w:rsidR="00644AA6" w:rsidRDefault="00644AA6" w:rsidP="00DC1E5B">
      <w:pPr>
        <w:pStyle w:val="Heading1"/>
        <w:widowControl w:val="0"/>
        <w:ind w:hanging="720"/>
      </w:pPr>
      <w:r w:rsidRPr="0061313F">
        <w:lastRenderedPageBreak/>
        <w:t>Conclusion</w:t>
      </w:r>
    </w:p>
    <w:p w:rsidR="00BD209F" w:rsidRPr="00BD209F" w:rsidRDefault="00BD209F" w:rsidP="00B77A6A">
      <w:pPr>
        <w:keepNext/>
        <w:widowControl w:val="0"/>
      </w:pPr>
    </w:p>
    <w:p w:rsidR="00644AA6" w:rsidRPr="004F62DC" w:rsidRDefault="00BD209F" w:rsidP="00B77A6A">
      <w:pPr>
        <w:keepNext/>
        <w:widowControl w:val="0"/>
        <w:rPr>
          <w:b/>
          <w:szCs w:val="26"/>
        </w:rPr>
      </w:pPr>
      <w:r w:rsidRPr="004F62DC">
        <w:rPr>
          <w:szCs w:val="26"/>
        </w:rPr>
        <w:t>Consistent with the foregoing discussion, we shall</w:t>
      </w:r>
      <w:r w:rsidR="004F62DC" w:rsidRPr="004F62DC">
        <w:rPr>
          <w:szCs w:val="26"/>
        </w:rPr>
        <w:t xml:space="preserve">, </w:t>
      </w:r>
      <w:r w:rsidR="004F62DC" w:rsidRPr="004F62DC">
        <w:rPr>
          <w:i/>
          <w:szCs w:val="26"/>
        </w:rPr>
        <w:t>inter alia</w:t>
      </w:r>
      <w:r w:rsidRPr="004F62DC">
        <w:rPr>
          <w:szCs w:val="26"/>
        </w:rPr>
        <w:t xml:space="preserve">: (1) </w:t>
      </w:r>
      <w:r w:rsidR="004F62DC" w:rsidRPr="004F62DC">
        <w:rPr>
          <w:szCs w:val="26"/>
        </w:rPr>
        <w:t xml:space="preserve">deny the Exceptions filed by Mr. Rizzo and Ms. Eurich; (2) </w:t>
      </w:r>
      <w:r w:rsidRPr="004F62DC">
        <w:rPr>
          <w:szCs w:val="26"/>
        </w:rPr>
        <w:t xml:space="preserve">adopt </w:t>
      </w:r>
      <w:r w:rsidR="004F62DC" w:rsidRPr="004F62DC">
        <w:rPr>
          <w:szCs w:val="26"/>
        </w:rPr>
        <w:t>Recommended Decision</w:t>
      </w:r>
      <w:r w:rsidR="000C7FFC">
        <w:rPr>
          <w:szCs w:val="26"/>
        </w:rPr>
        <w:t xml:space="preserve"> </w:t>
      </w:r>
      <w:r w:rsidR="000C7FFC" w:rsidRPr="00622A75">
        <w:rPr>
          <w:szCs w:val="26"/>
        </w:rPr>
        <w:t>as consistent with the public interest</w:t>
      </w:r>
      <w:r w:rsidR="004F62DC" w:rsidRPr="004F62DC">
        <w:rPr>
          <w:szCs w:val="26"/>
        </w:rPr>
        <w:t xml:space="preserve">; (3) </w:t>
      </w:r>
      <w:r w:rsidR="00F07F21">
        <w:rPr>
          <w:szCs w:val="26"/>
        </w:rPr>
        <w:t xml:space="preserve">grant </w:t>
      </w:r>
      <w:r w:rsidR="004F62DC" w:rsidRPr="004F62DC">
        <w:rPr>
          <w:szCs w:val="26"/>
        </w:rPr>
        <w:t xml:space="preserve">the Joint Petition; and (4) deem the Complaint filed by the OCA as satisfied.  We shall also sustain the thirteen ratepayer </w:t>
      </w:r>
      <w:r w:rsidR="00B77A6A">
        <w:rPr>
          <w:szCs w:val="26"/>
        </w:rPr>
        <w:t>C</w:t>
      </w:r>
      <w:r w:rsidR="004F62DC" w:rsidRPr="004F62DC">
        <w:rPr>
          <w:szCs w:val="26"/>
        </w:rPr>
        <w:t xml:space="preserve">omplaints delineated herein, to the extent consistent with this Opinion and Order, and otherwise deny those Complaints, </w:t>
      </w:r>
      <w:r w:rsidR="00053EB3" w:rsidRPr="004F62DC">
        <w:rPr>
          <w:b/>
          <w:szCs w:val="26"/>
        </w:rPr>
        <w:t xml:space="preserve">THEREFORE, </w:t>
      </w:r>
    </w:p>
    <w:p w:rsidR="006E0678" w:rsidRPr="00DF0871" w:rsidRDefault="006E0678" w:rsidP="00055068">
      <w:pPr>
        <w:rPr>
          <w:b/>
          <w:color w:val="0070C0"/>
          <w:szCs w:val="26"/>
        </w:rPr>
      </w:pPr>
    </w:p>
    <w:p w:rsidR="006E0678" w:rsidRPr="004F62DC" w:rsidRDefault="006E0678" w:rsidP="00413B28">
      <w:pPr>
        <w:spacing w:line="240" w:lineRule="auto"/>
        <w:rPr>
          <w:b/>
          <w:szCs w:val="26"/>
        </w:rPr>
      </w:pPr>
      <w:r w:rsidRPr="004F62DC">
        <w:rPr>
          <w:b/>
          <w:szCs w:val="26"/>
        </w:rPr>
        <w:t>IT IS ORDERED:</w:t>
      </w:r>
    </w:p>
    <w:p w:rsidR="00DB222B" w:rsidRPr="00DF0871" w:rsidRDefault="00DB222B" w:rsidP="00055068">
      <w:pPr>
        <w:rPr>
          <w:color w:val="0070C0"/>
          <w:szCs w:val="26"/>
        </w:rPr>
      </w:pPr>
    </w:p>
    <w:p w:rsidR="00DA0ECC" w:rsidRPr="00D31E38" w:rsidRDefault="00DA0ECC" w:rsidP="00DA0ECC">
      <w:pPr>
        <w:pStyle w:val="ListParagraph"/>
        <w:numPr>
          <w:ilvl w:val="0"/>
          <w:numId w:val="16"/>
        </w:numPr>
        <w:ind w:left="0" w:firstLine="1440"/>
        <w:rPr>
          <w:szCs w:val="26"/>
        </w:rPr>
      </w:pPr>
      <w:r w:rsidRPr="00D31E38">
        <w:rPr>
          <w:szCs w:val="26"/>
        </w:rPr>
        <w:t xml:space="preserve">That the Joint Petition for </w:t>
      </w:r>
      <w:r>
        <w:rPr>
          <w:szCs w:val="26"/>
        </w:rPr>
        <w:t xml:space="preserve">Settlement of Rate Proceeding </w:t>
      </w:r>
      <w:r w:rsidRPr="00D31E38">
        <w:rPr>
          <w:szCs w:val="26"/>
        </w:rPr>
        <w:t xml:space="preserve">filed on </w:t>
      </w:r>
      <w:r>
        <w:rPr>
          <w:szCs w:val="26"/>
        </w:rPr>
        <w:t xml:space="preserve">February 2, 2015, </w:t>
      </w:r>
      <w:r w:rsidRPr="00D31E38">
        <w:rPr>
          <w:szCs w:val="26"/>
        </w:rPr>
        <w:t>by the Commission’s Bureau of Investigation and Enforcement</w:t>
      </w:r>
      <w:r>
        <w:rPr>
          <w:szCs w:val="26"/>
        </w:rPr>
        <w:t>,</w:t>
      </w:r>
      <w:r w:rsidRPr="00D31E38">
        <w:rPr>
          <w:szCs w:val="26"/>
        </w:rPr>
        <w:t xml:space="preserve"> the Office of Consumer Advocate</w:t>
      </w:r>
      <w:r>
        <w:rPr>
          <w:szCs w:val="26"/>
        </w:rPr>
        <w:t xml:space="preserve"> and the Herman Gas and Oil Company, Inc. </w:t>
      </w:r>
      <w:r w:rsidRPr="00D31E38">
        <w:rPr>
          <w:szCs w:val="26"/>
        </w:rPr>
        <w:t xml:space="preserve">is </w:t>
      </w:r>
      <w:r w:rsidR="00F07F21">
        <w:rPr>
          <w:szCs w:val="26"/>
        </w:rPr>
        <w:t xml:space="preserve">granted </w:t>
      </w:r>
      <w:r w:rsidRPr="00D31E38">
        <w:rPr>
          <w:szCs w:val="26"/>
        </w:rPr>
        <w:t>without modification.</w:t>
      </w:r>
    </w:p>
    <w:p w:rsidR="00DA0ECC" w:rsidRDefault="00DA0ECC" w:rsidP="00DA0ECC">
      <w:pPr>
        <w:rPr>
          <w:szCs w:val="26"/>
        </w:rPr>
      </w:pPr>
    </w:p>
    <w:p w:rsidR="00DA0ECC" w:rsidRPr="00D31E38" w:rsidRDefault="00DA0ECC" w:rsidP="00DA0ECC">
      <w:pPr>
        <w:pStyle w:val="ListParagraph"/>
        <w:numPr>
          <w:ilvl w:val="0"/>
          <w:numId w:val="16"/>
        </w:numPr>
        <w:ind w:left="0" w:firstLine="1440"/>
        <w:rPr>
          <w:szCs w:val="26"/>
        </w:rPr>
      </w:pPr>
      <w:r>
        <w:rPr>
          <w:szCs w:val="26"/>
        </w:rPr>
        <w:t>T</w:t>
      </w:r>
      <w:r w:rsidRPr="00D31E38">
        <w:rPr>
          <w:szCs w:val="26"/>
        </w:rPr>
        <w:t xml:space="preserve">hat the Recommended Decision of Administrative Law Judge </w:t>
      </w:r>
      <w:r>
        <w:rPr>
          <w:szCs w:val="26"/>
        </w:rPr>
        <w:t>Mark A. Moyer</w:t>
      </w:r>
      <w:r w:rsidRPr="00D31E38">
        <w:rPr>
          <w:szCs w:val="26"/>
        </w:rPr>
        <w:t xml:space="preserve">, issued on </w:t>
      </w:r>
      <w:r>
        <w:rPr>
          <w:szCs w:val="26"/>
        </w:rPr>
        <w:t>April 9, 2015,</w:t>
      </w:r>
      <w:r w:rsidRPr="00D31E38">
        <w:rPr>
          <w:szCs w:val="26"/>
        </w:rPr>
        <w:t xml:space="preserve"> is adopted</w:t>
      </w:r>
      <w:r>
        <w:rPr>
          <w:szCs w:val="26"/>
        </w:rPr>
        <w:t>.</w:t>
      </w:r>
    </w:p>
    <w:p w:rsidR="00DA0ECC" w:rsidRPr="00BA0D32" w:rsidRDefault="00DA0ECC" w:rsidP="00DA0ECC">
      <w:pPr>
        <w:rPr>
          <w:szCs w:val="26"/>
        </w:rPr>
      </w:pPr>
    </w:p>
    <w:p w:rsidR="00DA0ECC" w:rsidRPr="00BA0D32" w:rsidRDefault="00DA0ECC" w:rsidP="00DA0ECC">
      <w:pPr>
        <w:pStyle w:val="ListParagraph"/>
        <w:numPr>
          <w:ilvl w:val="0"/>
          <w:numId w:val="16"/>
        </w:numPr>
        <w:ind w:left="0" w:firstLine="1440"/>
        <w:rPr>
          <w:szCs w:val="26"/>
        </w:rPr>
      </w:pPr>
      <w:r w:rsidRPr="00BA0D32">
        <w:rPr>
          <w:szCs w:val="26"/>
        </w:rPr>
        <w:t xml:space="preserve">That the Exceptions of </w:t>
      </w:r>
      <w:r>
        <w:rPr>
          <w:szCs w:val="26"/>
        </w:rPr>
        <w:t xml:space="preserve">Joseph Rizzo filed on April 22, 2015, to the Recommended Decision </w:t>
      </w:r>
      <w:r w:rsidRPr="00D31E38">
        <w:rPr>
          <w:szCs w:val="26"/>
        </w:rPr>
        <w:t xml:space="preserve">of Administrative Law Judge </w:t>
      </w:r>
      <w:r>
        <w:rPr>
          <w:szCs w:val="26"/>
        </w:rPr>
        <w:t>Mark A. Moyer</w:t>
      </w:r>
      <w:r w:rsidRPr="00BA0D32">
        <w:rPr>
          <w:szCs w:val="26"/>
        </w:rPr>
        <w:t xml:space="preserve"> are denied.  </w:t>
      </w:r>
    </w:p>
    <w:p w:rsidR="00DA0ECC" w:rsidRPr="00BA0D32" w:rsidRDefault="00DA0ECC" w:rsidP="00DA0ECC">
      <w:pPr>
        <w:rPr>
          <w:szCs w:val="26"/>
        </w:rPr>
      </w:pPr>
    </w:p>
    <w:p w:rsidR="00DA0ECC" w:rsidRDefault="00DA0ECC" w:rsidP="00DA0ECC">
      <w:pPr>
        <w:pStyle w:val="ListParagraph"/>
        <w:numPr>
          <w:ilvl w:val="0"/>
          <w:numId w:val="16"/>
        </w:numPr>
        <w:ind w:left="0" w:firstLine="1440"/>
        <w:rPr>
          <w:szCs w:val="26"/>
        </w:rPr>
      </w:pPr>
      <w:r w:rsidRPr="00F06721">
        <w:rPr>
          <w:szCs w:val="26"/>
        </w:rPr>
        <w:t>That the Exceptions of Kimberly Eurich</w:t>
      </w:r>
      <w:r w:rsidR="00F06721" w:rsidRPr="00F06721">
        <w:rPr>
          <w:szCs w:val="26"/>
        </w:rPr>
        <w:t xml:space="preserve"> filed on May 10, 2015, </w:t>
      </w:r>
      <w:r w:rsidRPr="00F06721">
        <w:rPr>
          <w:szCs w:val="26"/>
        </w:rPr>
        <w:t xml:space="preserve">to the Recommended Decision of Administrative Law Judge Mark A. Moyer are denied.  </w:t>
      </w:r>
    </w:p>
    <w:p w:rsidR="00EB5253" w:rsidRPr="00EB5253" w:rsidRDefault="00EB5253" w:rsidP="00EB5253">
      <w:pPr>
        <w:ind w:left="1440" w:firstLine="0"/>
        <w:rPr>
          <w:szCs w:val="26"/>
        </w:rPr>
      </w:pPr>
    </w:p>
    <w:p w:rsidR="00DA0ECC" w:rsidRPr="00BA0D32" w:rsidRDefault="00DA0ECC" w:rsidP="00DA0ECC">
      <w:pPr>
        <w:pStyle w:val="ListParagraph"/>
        <w:numPr>
          <w:ilvl w:val="0"/>
          <w:numId w:val="16"/>
        </w:numPr>
        <w:ind w:left="0" w:firstLine="1440"/>
        <w:rPr>
          <w:szCs w:val="26"/>
        </w:rPr>
      </w:pPr>
      <w:r w:rsidRPr="00BA0D32">
        <w:rPr>
          <w:szCs w:val="26"/>
        </w:rPr>
        <w:t>That the Complaint filed by the Office of Consumer Advocate at Docket No. C-2014-241</w:t>
      </w:r>
      <w:r w:rsidR="00F06721">
        <w:rPr>
          <w:szCs w:val="26"/>
        </w:rPr>
        <w:t>9761</w:t>
      </w:r>
      <w:r w:rsidRPr="00BA0D32">
        <w:rPr>
          <w:szCs w:val="26"/>
        </w:rPr>
        <w:t xml:space="preserve"> is </w:t>
      </w:r>
      <w:r>
        <w:rPr>
          <w:szCs w:val="26"/>
        </w:rPr>
        <w:t>deemed satisfied.</w:t>
      </w:r>
    </w:p>
    <w:p w:rsidR="00DA0ECC" w:rsidRPr="00BA0D32" w:rsidRDefault="00DA0ECC" w:rsidP="00DA0ECC">
      <w:pPr>
        <w:rPr>
          <w:szCs w:val="26"/>
        </w:rPr>
      </w:pPr>
    </w:p>
    <w:p w:rsidR="00DA0ECC" w:rsidRDefault="00F06721" w:rsidP="00F06721">
      <w:pPr>
        <w:pStyle w:val="ListParagraph"/>
        <w:numPr>
          <w:ilvl w:val="0"/>
          <w:numId w:val="16"/>
        </w:numPr>
        <w:ind w:left="0" w:firstLine="1440"/>
        <w:rPr>
          <w:szCs w:val="26"/>
        </w:rPr>
      </w:pPr>
      <w:r>
        <w:rPr>
          <w:szCs w:val="26"/>
        </w:rPr>
        <w:lastRenderedPageBreak/>
        <w:t>That the following Complaints are sustained to the extent consistent with this Opinion and Order, and otherwise are denied and dismissed:</w:t>
      </w:r>
    </w:p>
    <w:p w:rsidR="00F06721" w:rsidRDefault="00F06721" w:rsidP="00F06721">
      <w:pPr>
        <w:spacing w:line="240" w:lineRule="auto"/>
        <w:rPr>
          <w:szCs w:val="26"/>
        </w:rPr>
      </w:pPr>
    </w:p>
    <w:p w:rsidR="00F06721" w:rsidRPr="00F06721" w:rsidRDefault="00F06721" w:rsidP="00F06721">
      <w:pPr>
        <w:pStyle w:val="ListParagraph"/>
        <w:numPr>
          <w:ilvl w:val="0"/>
          <w:numId w:val="17"/>
        </w:numPr>
        <w:spacing w:after="120"/>
        <w:contextualSpacing w:val="0"/>
        <w:rPr>
          <w:szCs w:val="26"/>
        </w:rPr>
      </w:pPr>
      <w:r w:rsidRPr="00F06721">
        <w:rPr>
          <w:szCs w:val="26"/>
        </w:rPr>
        <w:t>Robert L. Beilstein at Docket No. C-2014-2422697;</w:t>
      </w:r>
    </w:p>
    <w:p w:rsidR="00F06721" w:rsidRPr="00F06721" w:rsidRDefault="00F06721" w:rsidP="00F06721">
      <w:pPr>
        <w:pStyle w:val="ListParagraph"/>
        <w:numPr>
          <w:ilvl w:val="0"/>
          <w:numId w:val="17"/>
        </w:numPr>
        <w:spacing w:after="120"/>
        <w:contextualSpacing w:val="0"/>
        <w:rPr>
          <w:szCs w:val="26"/>
        </w:rPr>
      </w:pPr>
      <w:r w:rsidRPr="00F06721">
        <w:rPr>
          <w:szCs w:val="26"/>
        </w:rPr>
        <w:t xml:space="preserve">Richard Bricker at Docket No. C-2014-2422758; </w:t>
      </w:r>
    </w:p>
    <w:p w:rsidR="00F06721" w:rsidRPr="00F06721" w:rsidRDefault="00F06721" w:rsidP="00F06721">
      <w:pPr>
        <w:pStyle w:val="ListParagraph"/>
        <w:numPr>
          <w:ilvl w:val="0"/>
          <w:numId w:val="17"/>
        </w:numPr>
        <w:spacing w:after="120"/>
        <w:contextualSpacing w:val="0"/>
        <w:rPr>
          <w:szCs w:val="26"/>
        </w:rPr>
      </w:pPr>
      <w:r w:rsidRPr="00F06721">
        <w:rPr>
          <w:szCs w:val="26"/>
        </w:rPr>
        <w:t xml:space="preserve">James and Karen Eurich at Docket No. C-2014-2422756; </w:t>
      </w:r>
    </w:p>
    <w:p w:rsidR="00F06721" w:rsidRPr="00F06721" w:rsidRDefault="00F06721" w:rsidP="00F06721">
      <w:pPr>
        <w:pStyle w:val="ListParagraph"/>
        <w:numPr>
          <w:ilvl w:val="0"/>
          <w:numId w:val="17"/>
        </w:numPr>
        <w:spacing w:after="120"/>
        <w:contextualSpacing w:val="0"/>
        <w:rPr>
          <w:szCs w:val="26"/>
        </w:rPr>
      </w:pPr>
      <w:r w:rsidRPr="00F06721">
        <w:rPr>
          <w:szCs w:val="26"/>
        </w:rPr>
        <w:t>Marlene Hoover at Docket No. C-2014-2427251;</w:t>
      </w:r>
    </w:p>
    <w:p w:rsidR="00F06721" w:rsidRPr="00F06721" w:rsidRDefault="00F06721" w:rsidP="00F06721">
      <w:pPr>
        <w:pStyle w:val="ListParagraph"/>
        <w:numPr>
          <w:ilvl w:val="0"/>
          <w:numId w:val="17"/>
        </w:numPr>
        <w:spacing w:after="120"/>
        <w:contextualSpacing w:val="0"/>
        <w:rPr>
          <w:szCs w:val="26"/>
        </w:rPr>
      </w:pPr>
      <w:r w:rsidRPr="00F06721">
        <w:rPr>
          <w:szCs w:val="26"/>
        </w:rPr>
        <w:t xml:space="preserve">Betty Learn at Docket No. C-2014-2422753; </w:t>
      </w:r>
    </w:p>
    <w:p w:rsidR="00F06721" w:rsidRPr="00F06721" w:rsidRDefault="00F06721" w:rsidP="00F06721">
      <w:pPr>
        <w:pStyle w:val="ListParagraph"/>
        <w:numPr>
          <w:ilvl w:val="0"/>
          <w:numId w:val="17"/>
        </w:numPr>
        <w:spacing w:after="120"/>
        <w:contextualSpacing w:val="0"/>
        <w:rPr>
          <w:szCs w:val="26"/>
        </w:rPr>
      </w:pPr>
      <w:r w:rsidRPr="00F06721">
        <w:rPr>
          <w:szCs w:val="26"/>
        </w:rPr>
        <w:t>William and Leslie Mayhugh at Docket No. C-2014-2422690;</w:t>
      </w:r>
    </w:p>
    <w:p w:rsidR="00F06721" w:rsidRPr="00F06721" w:rsidRDefault="00F06721" w:rsidP="00F06721">
      <w:pPr>
        <w:pStyle w:val="ListParagraph"/>
        <w:numPr>
          <w:ilvl w:val="0"/>
          <w:numId w:val="17"/>
        </w:numPr>
        <w:spacing w:after="120"/>
        <w:contextualSpacing w:val="0"/>
        <w:rPr>
          <w:szCs w:val="26"/>
        </w:rPr>
      </w:pPr>
      <w:r w:rsidRPr="00F06721">
        <w:rPr>
          <w:szCs w:val="26"/>
        </w:rPr>
        <w:t>Lloyd Nyberg at Docket No. C-2014-2427238;</w:t>
      </w:r>
    </w:p>
    <w:p w:rsidR="00F06721" w:rsidRPr="00F06721" w:rsidRDefault="00F06721" w:rsidP="00F06721">
      <w:pPr>
        <w:pStyle w:val="ListParagraph"/>
        <w:numPr>
          <w:ilvl w:val="0"/>
          <w:numId w:val="17"/>
        </w:numPr>
        <w:spacing w:after="120"/>
        <w:contextualSpacing w:val="0"/>
        <w:rPr>
          <w:szCs w:val="26"/>
        </w:rPr>
      </w:pPr>
      <w:r w:rsidRPr="00F06721">
        <w:rPr>
          <w:szCs w:val="26"/>
        </w:rPr>
        <w:t>Joseph Rizzo at Docket No. C-2014-2422703;</w:t>
      </w:r>
    </w:p>
    <w:p w:rsidR="00F06721" w:rsidRPr="00F06721" w:rsidRDefault="00F06721" w:rsidP="00F06721">
      <w:pPr>
        <w:pStyle w:val="ListParagraph"/>
        <w:numPr>
          <w:ilvl w:val="0"/>
          <w:numId w:val="17"/>
        </w:numPr>
        <w:spacing w:after="120"/>
        <w:contextualSpacing w:val="0"/>
        <w:rPr>
          <w:szCs w:val="26"/>
        </w:rPr>
      </w:pPr>
      <w:r w:rsidRPr="00F06721">
        <w:rPr>
          <w:szCs w:val="26"/>
        </w:rPr>
        <w:t>Thomas and Kimberly Eurich at Docket No. C-2014-2427240;</w:t>
      </w:r>
    </w:p>
    <w:p w:rsidR="00F06721" w:rsidRPr="00F06721" w:rsidRDefault="00F06721" w:rsidP="00F06721">
      <w:pPr>
        <w:pStyle w:val="ListParagraph"/>
        <w:numPr>
          <w:ilvl w:val="0"/>
          <w:numId w:val="17"/>
        </w:numPr>
        <w:spacing w:after="120"/>
        <w:contextualSpacing w:val="0"/>
        <w:rPr>
          <w:szCs w:val="26"/>
        </w:rPr>
      </w:pPr>
      <w:r w:rsidRPr="00F06721">
        <w:rPr>
          <w:szCs w:val="26"/>
        </w:rPr>
        <w:t>Earl and Sue Christy, Docket No. C-2014-2430205;</w:t>
      </w:r>
    </w:p>
    <w:p w:rsidR="00F06721" w:rsidRPr="00F06721" w:rsidRDefault="00F06721" w:rsidP="00F06721">
      <w:pPr>
        <w:pStyle w:val="ListParagraph"/>
        <w:numPr>
          <w:ilvl w:val="0"/>
          <w:numId w:val="17"/>
        </w:numPr>
        <w:spacing w:after="120"/>
        <w:contextualSpacing w:val="0"/>
        <w:rPr>
          <w:szCs w:val="26"/>
        </w:rPr>
      </w:pPr>
      <w:r w:rsidRPr="00F06721">
        <w:rPr>
          <w:szCs w:val="26"/>
        </w:rPr>
        <w:t>Earl and Leetta Christy, Docket No. C-2014-2430206;</w:t>
      </w:r>
    </w:p>
    <w:p w:rsidR="00F06721" w:rsidRPr="00F06721" w:rsidRDefault="00F06721" w:rsidP="00F06721">
      <w:pPr>
        <w:pStyle w:val="ListParagraph"/>
        <w:numPr>
          <w:ilvl w:val="0"/>
          <w:numId w:val="17"/>
        </w:numPr>
        <w:spacing w:after="120"/>
        <w:contextualSpacing w:val="0"/>
        <w:rPr>
          <w:szCs w:val="26"/>
        </w:rPr>
      </w:pPr>
      <w:r w:rsidRPr="00F06721">
        <w:rPr>
          <w:szCs w:val="26"/>
        </w:rPr>
        <w:t xml:space="preserve">Louis and Marie Bauldoff, Docket No. C-2014-2430207; and </w:t>
      </w:r>
    </w:p>
    <w:p w:rsidR="00F06721" w:rsidRPr="00F06721" w:rsidRDefault="00F06721" w:rsidP="00F06721">
      <w:pPr>
        <w:pStyle w:val="ListParagraph"/>
        <w:numPr>
          <w:ilvl w:val="0"/>
          <w:numId w:val="17"/>
        </w:numPr>
        <w:spacing w:after="120"/>
        <w:contextualSpacing w:val="0"/>
        <w:rPr>
          <w:szCs w:val="26"/>
        </w:rPr>
      </w:pPr>
      <w:r w:rsidRPr="00F06721">
        <w:rPr>
          <w:szCs w:val="26"/>
        </w:rPr>
        <w:t>Melissa Phillips, Docket No. C-2014-2430208.</w:t>
      </w:r>
    </w:p>
    <w:p w:rsidR="00F06721" w:rsidRDefault="00F06721" w:rsidP="00DA0ECC">
      <w:pPr>
        <w:rPr>
          <w:szCs w:val="26"/>
        </w:rPr>
      </w:pPr>
    </w:p>
    <w:p w:rsidR="004A08B4" w:rsidRDefault="004A08B4" w:rsidP="004A08B4">
      <w:pPr>
        <w:pStyle w:val="ListParagraph"/>
        <w:numPr>
          <w:ilvl w:val="0"/>
          <w:numId w:val="16"/>
        </w:numPr>
        <w:ind w:left="0" w:firstLine="1440"/>
        <w:rPr>
          <w:szCs w:val="26"/>
        </w:rPr>
      </w:pPr>
      <w:r w:rsidRPr="004A08B4">
        <w:t>That</w:t>
      </w:r>
      <w:r>
        <w:rPr>
          <w:szCs w:val="26"/>
        </w:rPr>
        <w:t xml:space="preserve"> Herman Gas and Oil Company, Inc. shall not place into effect the rates contained in Supplement No. 47 to Tariff Gas-Pa. P.U.C. No. 4, which have been found to be unjust and unreasonable and, therefore, unlawful. </w:t>
      </w:r>
    </w:p>
    <w:p w:rsidR="004A08B4" w:rsidRPr="00BA0D32" w:rsidRDefault="004A08B4" w:rsidP="00DA0ECC">
      <w:pPr>
        <w:rPr>
          <w:szCs w:val="26"/>
        </w:rPr>
      </w:pPr>
    </w:p>
    <w:p w:rsidR="00DA0ECC" w:rsidRPr="00BA0D32" w:rsidRDefault="00DA0ECC" w:rsidP="00DA0ECC">
      <w:pPr>
        <w:pStyle w:val="ListParagraph"/>
        <w:numPr>
          <w:ilvl w:val="0"/>
          <w:numId w:val="16"/>
        </w:numPr>
        <w:ind w:left="0" w:firstLine="1440"/>
      </w:pPr>
      <w:r w:rsidRPr="00BA0D32">
        <w:t xml:space="preserve">That upon the filing of a tariff supplement by </w:t>
      </w:r>
      <w:r w:rsidR="00A740DC">
        <w:t>Herman Oil and Gas Company, Inc.</w:t>
      </w:r>
      <w:r w:rsidRPr="00BA0D32">
        <w:t xml:space="preserve">, acceptable to the Commission as conforming with the Joint Petition for Settlement </w:t>
      </w:r>
      <w:r w:rsidR="00A740DC">
        <w:t>of Rate Proceeding</w:t>
      </w:r>
      <w:r w:rsidRPr="00BA0D32">
        <w:t xml:space="preserve">, the gas </w:t>
      </w:r>
      <w:r w:rsidR="00A740DC">
        <w:t xml:space="preserve">distribution </w:t>
      </w:r>
      <w:r w:rsidRPr="00BA0D32">
        <w:t>rates</w:t>
      </w:r>
      <w:r w:rsidR="001A6889">
        <w:t xml:space="preserve">, rules, </w:t>
      </w:r>
      <w:r w:rsidR="00D35777">
        <w:t xml:space="preserve">and regulations </w:t>
      </w:r>
      <w:r w:rsidRPr="00BA0D32">
        <w:t>established therein shall become effective on one day’s notice after entry of this Opinion and Order</w:t>
      </w:r>
      <w:r w:rsidR="00A740DC">
        <w:t>.</w:t>
      </w:r>
    </w:p>
    <w:p w:rsidR="00DA0ECC" w:rsidRDefault="00DA0ECC" w:rsidP="00DA0ECC">
      <w:pPr>
        <w:rPr>
          <w:szCs w:val="26"/>
        </w:rPr>
      </w:pPr>
    </w:p>
    <w:p w:rsidR="004A08B4" w:rsidRPr="00D35777" w:rsidRDefault="004A08B4" w:rsidP="00D35777">
      <w:pPr>
        <w:pStyle w:val="ListParagraph"/>
        <w:numPr>
          <w:ilvl w:val="0"/>
          <w:numId w:val="16"/>
        </w:numPr>
        <w:ind w:left="0" w:firstLine="1440"/>
      </w:pPr>
      <w:r w:rsidRPr="00D35777">
        <w:t xml:space="preserve">That Herman Oil </w:t>
      </w:r>
      <w:r w:rsidR="001A6889" w:rsidRPr="00D35777">
        <w:t xml:space="preserve">and Gas </w:t>
      </w:r>
      <w:r w:rsidRPr="00D35777">
        <w:t xml:space="preserve">Company, Inc. </w:t>
      </w:r>
      <w:r w:rsidR="001A6889" w:rsidRPr="00D35777">
        <w:t xml:space="preserve">shall submit to the Secretary of the Commission </w:t>
      </w:r>
      <w:r w:rsidR="00D35777" w:rsidRPr="00D35777">
        <w:t xml:space="preserve">for </w:t>
      </w:r>
      <w:r w:rsidR="007C1AC9">
        <w:t>inclusion in the Commission’s official file in this proceeding</w:t>
      </w:r>
      <w:r w:rsidR="007C1AC9" w:rsidRPr="00D35777">
        <w:t xml:space="preserve"> </w:t>
      </w:r>
      <w:r w:rsidRPr="00D35777">
        <w:t xml:space="preserve">the </w:t>
      </w:r>
      <w:r w:rsidR="00D35777">
        <w:t xml:space="preserve">new billing format to be developed in consultation with the </w:t>
      </w:r>
      <w:r w:rsidR="001A6889" w:rsidRPr="00D35777">
        <w:t>Commission’s Bureau of Investigation and Enforcement and the Office of Consumer Advocate</w:t>
      </w:r>
      <w:r w:rsidR="001B24DD">
        <w:t xml:space="preserve">.  </w:t>
      </w:r>
      <w:r w:rsidR="001A6889" w:rsidRPr="00D35777">
        <w:t xml:space="preserve">Herman Oil and Gas Company, Inc. shall not implement the new billing format until it has been served on the Commission’s Bureau of Investigation and Enforcement and the Office of Consumer Advocate and filed with the Commission Secretary.  </w:t>
      </w:r>
    </w:p>
    <w:p w:rsidR="00DB222B" w:rsidRPr="00DF0871" w:rsidRDefault="00DB222B" w:rsidP="00DB222B">
      <w:pPr>
        <w:rPr>
          <w:color w:val="0070C0"/>
          <w:szCs w:val="26"/>
        </w:rPr>
      </w:pPr>
    </w:p>
    <w:p w:rsidR="005F0D1E" w:rsidRPr="001B24DD" w:rsidRDefault="005F0D1E" w:rsidP="001B24DD">
      <w:pPr>
        <w:pStyle w:val="ListParagraph"/>
        <w:numPr>
          <w:ilvl w:val="0"/>
          <w:numId w:val="16"/>
        </w:numPr>
        <w:ind w:left="0" w:firstLine="1440"/>
      </w:pPr>
      <w:r w:rsidRPr="001B24DD">
        <w:t>That any directive, requirement, disposition, or the like contained in the body of this Opinion and Order, which is not the subject of an individual Ordering Paragraph, shall have the full force and effect as if fully contained in this part.</w:t>
      </w:r>
    </w:p>
    <w:p w:rsidR="005F0D1E" w:rsidRPr="00DF0871" w:rsidRDefault="005F0D1E" w:rsidP="00DB222B">
      <w:pPr>
        <w:rPr>
          <w:color w:val="0070C0"/>
          <w:szCs w:val="26"/>
        </w:rPr>
      </w:pPr>
    </w:p>
    <w:p w:rsidR="00DB222B" w:rsidRPr="001B24DD" w:rsidRDefault="00824ED2" w:rsidP="00CF2EFF">
      <w:pPr>
        <w:tabs>
          <w:tab w:val="left" w:pos="-720"/>
        </w:tabs>
        <w:suppressAutoHyphens/>
        <w:ind w:firstLine="5040"/>
      </w:pPr>
      <w:bookmarkStart w:id="0" w:name="_GoBack"/>
      <w:r>
        <w:rPr>
          <w:noProof/>
        </w:rPr>
        <w:drawing>
          <wp:anchor distT="0" distB="0" distL="114300" distR="114300" simplePos="0" relativeHeight="251659264" behindDoc="1" locked="0" layoutInCell="1" allowOverlap="1" wp14:anchorId="5094B2E6" wp14:editId="739FF6BF">
            <wp:simplePos x="0" y="0"/>
            <wp:positionH relativeFrom="column">
              <wp:posOffset>3159760</wp:posOffset>
            </wp:positionH>
            <wp:positionV relativeFrom="paragraph">
              <wp:posOffset>29210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B222B" w:rsidRPr="001B24DD">
        <w:rPr>
          <w:b/>
        </w:rPr>
        <w:t>BY THE COMMISSION,</w:t>
      </w:r>
    </w:p>
    <w:p w:rsidR="00DB222B" w:rsidRPr="001B24DD" w:rsidRDefault="00DB222B" w:rsidP="00CF2EFF">
      <w:pPr>
        <w:tabs>
          <w:tab w:val="left" w:pos="-720"/>
        </w:tabs>
        <w:suppressAutoHyphens/>
        <w:ind w:firstLine="5040"/>
      </w:pPr>
    </w:p>
    <w:p w:rsidR="00DB222B" w:rsidRPr="001B24DD" w:rsidRDefault="00DB222B" w:rsidP="00CF2EFF">
      <w:pPr>
        <w:tabs>
          <w:tab w:val="left" w:pos="-720"/>
        </w:tabs>
        <w:suppressAutoHyphens/>
        <w:ind w:firstLine="5040"/>
      </w:pPr>
    </w:p>
    <w:p w:rsidR="00DB222B" w:rsidRPr="001B24DD" w:rsidRDefault="009D0D3C" w:rsidP="00614A8E">
      <w:pPr>
        <w:tabs>
          <w:tab w:val="left" w:pos="-720"/>
        </w:tabs>
        <w:suppressAutoHyphens/>
        <w:spacing w:line="240" w:lineRule="auto"/>
        <w:ind w:firstLine="5040"/>
      </w:pPr>
      <w:r w:rsidRPr="001B24DD">
        <w:t>Rosemary Chiavetta</w:t>
      </w:r>
    </w:p>
    <w:p w:rsidR="00DB222B" w:rsidRPr="001B24DD" w:rsidRDefault="00CF2EFF" w:rsidP="00CF2EFF">
      <w:pPr>
        <w:tabs>
          <w:tab w:val="left" w:pos="-720"/>
        </w:tabs>
        <w:suppressAutoHyphens/>
        <w:ind w:firstLine="5040"/>
      </w:pPr>
      <w:r w:rsidRPr="001B24DD">
        <w:t>S</w:t>
      </w:r>
      <w:r w:rsidR="00DB222B" w:rsidRPr="001B24DD">
        <w:t>ecretary</w:t>
      </w:r>
    </w:p>
    <w:p w:rsidR="00DB222B" w:rsidRPr="001B24DD" w:rsidRDefault="00DB222B" w:rsidP="00DB222B">
      <w:pPr>
        <w:tabs>
          <w:tab w:val="left" w:pos="-720"/>
        </w:tabs>
        <w:suppressAutoHyphens/>
      </w:pPr>
    </w:p>
    <w:p w:rsidR="00DB222B" w:rsidRPr="001B24DD" w:rsidRDefault="00DB222B" w:rsidP="00614A8E">
      <w:pPr>
        <w:tabs>
          <w:tab w:val="left" w:pos="-720"/>
        </w:tabs>
        <w:suppressAutoHyphens/>
        <w:ind w:firstLine="0"/>
      </w:pPr>
      <w:r w:rsidRPr="001B24DD">
        <w:t>(SEAL)</w:t>
      </w:r>
    </w:p>
    <w:p w:rsidR="00DB222B" w:rsidRPr="001B24DD" w:rsidRDefault="00DB222B" w:rsidP="00614A8E">
      <w:pPr>
        <w:tabs>
          <w:tab w:val="left" w:pos="-720"/>
        </w:tabs>
        <w:suppressAutoHyphens/>
        <w:ind w:firstLine="0"/>
      </w:pPr>
    </w:p>
    <w:p w:rsidR="00DB222B" w:rsidRPr="001B24DD" w:rsidRDefault="00EE2179" w:rsidP="00614A8E">
      <w:pPr>
        <w:tabs>
          <w:tab w:val="left" w:pos="-720"/>
        </w:tabs>
        <w:suppressAutoHyphens/>
        <w:ind w:firstLine="0"/>
      </w:pPr>
      <w:r w:rsidRPr="001B24DD">
        <w:t xml:space="preserve">ORDER </w:t>
      </w:r>
      <w:r w:rsidR="00CF2EFF" w:rsidRPr="001B24DD">
        <w:t xml:space="preserve">ADOPTED:  </w:t>
      </w:r>
      <w:r w:rsidR="00702DF9" w:rsidRPr="001B24DD">
        <w:t>June 11, 2015</w:t>
      </w:r>
    </w:p>
    <w:p w:rsidR="00947881" w:rsidRPr="001B24DD" w:rsidRDefault="00DB222B" w:rsidP="00614A8E">
      <w:pPr>
        <w:tabs>
          <w:tab w:val="left" w:pos="-720"/>
        </w:tabs>
        <w:suppressAutoHyphens/>
        <w:ind w:firstLine="0"/>
      </w:pPr>
      <w:r w:rsidRPr="001B24DD">
        <w:t xml:space="preserve">ORDER ENTERED: </w:t>
      </w:r>
      <w:r w:rsidR="00824ED2">
        <w:t xml:space="preserve">  June 11, 2015</w:t>
      </w:r>
    </w:p>
    <w:p w:rsidR="00E35611" w:rsidRPr="001B24DD" w:rsidRDefault="00E35611" w:rsidP="005F4488">
      <w:pPr>
        <w:spacing w:after="200" w:line="276" w:lineRule="auto"/>
        <w:rPr>
          <w:szCs w:val="26"/>
        </w:rPr>
      </w:pPr>
    </w:p>
    <w:sectPr w:rsidR="00E35611" w:rsidRPr="001B24DD" w:rsidSect="00DF534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18" w:rsidRDefault="001B6918" w:rsidP="005A3508">
      <w:r>
        <w:separator/>
      </w:r>
    </w:p>
  </w:endnote>
  <w:endnote w:type="continuationSeparator" w:id="0">
    <w:p w:rsidR="001B6918" w:rsidRDefault="001B6918"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EB5253" w:rsidRDefault="00EB5253" w:rsidP="00EF3D4D">
        <w:pPr>
          <w:pStyle w:val="Footer"/>
          <w:spacing w:line="240" w:lineRule="auto"/>
          <w:ind w:firstLine="0"/>
          <w:jc w:val="center"/>
        </w:pPr>
        <w:r>
          <w:fldChar w:fldCharType="begin"/>
        </w:r>
        <w:r>
          <w:instrText xml:space="preserve"> PAGE   \* MERGEFORMAT </w:instrText>
        </w:r>
        <w:r>
          <w:fldChar w:fldCharType="separate"/>
        </w:r>
        <w:r w:rsidR="00824ED2">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18" w:rsidRDefault="001B6918" w:rsidP="005A3508">
      <w:r>
        <w:separator/>
      </w:r>
    </w:p>
  </w:footnote>
  <w:footnote w:type="continuationSeparator" w:id="0">
    <w:p w:rsidR="001B6918" w:rsidRDefault="001B6918" w:rsidP="005A3508">
      <w:r>
        <w:continuationSeparator/>
      </w:r>
    </w:p>
  </w:footnote>
  <w:footnote w:id="1">
    <w:p w:rsidR="00EB5253" w:rsidRPr="003C0EC7" w:rsidRDefault="00EB5253" w:rsidP="003C0EC7">
      <w:pPr>
        <w:pStyle w:val="FootnoteText"/>
        <w:spacing w:line="240" w:lineRule="auto"/>
        <w:ind w:firstLine="720"/>
        <w:rPr>
          <w:sz w:val="26"/>
          <w:szCs w:val="26"/>
        </w:rPr>
      </w:pPr>
      <w:r>
        <w:rPr>
          <w:rStyle w:val="FootnoteReference"/>
        </w:rPr>
        <w:footnoteRef/>
      </w:r>
      <w:r>
        <w:t xml:space="preserve"> </w:t>
      </w:r>
      <w:r>
        <w:tab/>
      </w:r>
      <w:r w:rsidRPr="003C0EC7">
        <w:rPr>
          <w:sz w:val="26"/>
          <w:szCs w:val="26"/>
        </w:rPr>
        <w:t xml:space="preserve">Mr. Rizzo did not provide service to the other parties of record in this proceeding.  By Secretarial Letter dated April 28, 2015, the Commission Secretary served the Exceptions on the parties of record and extended the deadline for </w:t>
      </w:r>
      <w:r w:rsidR="006636C3" w:rsidRPr="005E7AAF">
        <w:rPr>
          <w:sz w:val="26"/>
          <w:szCs w:val="26"/>
        </w:rPr>
        <w:t>R</w:t>
      </w:r>
      <w:r w:rsidRPr="005E7AAF">
        <w:rPr>
          <w:sz w:val="26"/>
          <w:szCs w:val="26"/>
        </w:rPr>
        <w:t xml:space="preserve">eply </w:t>
      </w:r>
      <w:r w:rsidR="006636C3" w:rsidRPr="005E7AAF">
        <w:rPr>
          <w:sz w:val="26"/>
          <w:szCs w:val="26"/>
        </w:rPr>
        <w:t>E</w:t>
      </w:r>
      <w:r w:rsidRPr="005E7AAF">
        <w:rPr>
          <w:sz w:val="26"/>
          <w:szCs w:val="26"/>
        </w:rPr>
        <w:t xml:space="preserve">xceptions </w:t>
      </w:r>
      <w:r w:rsidRPr="003C0EC7">
        <w:rPr>
          <w:sz w:val="26"/>
          <w:szCs w:val="26"/>
        </w:rPr>
        <w:t xml:space="preserve">until May 11, 2015.  </w:t>
      </w:r>
    </w:p>
  </w:footnote>
  <w:footnote w:id="2">
    <w:p w:rsidR="00EB5253" w:rsidRPr="003C0EC7" w:rsidRDefault="00EB5253" w:rsidP="003C0EC7">
      <w:pPr>
        <w:pStyle w:val="FootnoteText"/>
        <w:spacing w:line="240" w:lineRule="auto"/>
        <w:ind w:firstLine="720"/>
        <w:rPr>
          <w:sz w:val="26"/>
          <w:szCs w:val="26"/>
        </w:rPr>
      </w:pPr>
      <w:r w:rsidRPr="003C0EC7">
        <w:rPr>
          <w:rStyle w:val="FootnoteReference"/>
          <w:sz w:val="26"/>
          <w:szCs w:val="26"/>
        </w:rPr>
        <w:footnoteRef/>
      </w:r>
      <w:r w:rsidRPr="003C0EC7">
        <w:rPr>
          <w:sz w:val="26"/>
          <w:szCs w:val="26"/>
        </w:rPr>
        <w:t xml:space="preserve"> </w:t>
      </w:r>
      <w:r w:rsidRPr="003C0EC7">
        <w:rPr>
          <w:sz w:val="26"/>
          <w:szCs w:val="26"/>
        </w:rPr>
        <w:tab/>
        <w:t xml:space="preserve">Ms. Eurich did not provide service to the other parties of record in this proceeding.  By Secretarial Letter dated May 12, 2015, the Commission Secretary served the Exceptions on the parties of record and extended the deadline for </w:t>
      </w:r>
      <w:r w:rsidR="005E7AAF">
        <w:rPr>
          <w:sz w:val="26"/>
          <w:szCs w:val="26"/>
        </w:rPr>
        <w:t>R</w:t>
      </w:r>
      <w:r w:rsidRPr="003C0EC7">
        <w:rPr>
          <w:sz w:val="26"/>
          <w:szCs w:val="26"/>
        </w:rPr>
        <w:t xml:space="preserve">eply </w:t>
      </w:r>
      <w:r w:rsidR="005E7AAF">
        <w:rPr>
          <w:sz w:val="26"/>
          <w:szCs w:val="26"/>
        </w:rPr>
        <w:t>E</w:t>
      </w:r>
      <w:r w:rsidR="00A60DA9">
        <w:rPr>
          <w:sz w:val="26"/>
          <w:szCs w:val="26"/>
        </w:rPr>
        <w:t>xceptions until May 22, 2015.</w:t>
      </w:r>
    </w:p>
    <w:p w:rsidR="00EB5253" w:rsidRDefault="00EB5253">
      <w:pPr>
        <w:pStyle w:val="FootnoteText"/>
      </w:pPr>
    </w:p>
  </w:footnote>
  <w:footnote w:id="3">
    <w:p w:rsidR="00EB5253" w:rsidRPr="006C279D" w:rsidRDefault="00EB5253" w:rsidP="00220BD4">
      <w:pPr>
        <w:pStyle w:val="FootnoteText"/>
        <w:spacing w:line="240" w:lineRule="auto"/>
        <w:ind w:firstLine="720"/>
        <w:rPr>
          <w:sz w:val="26"/>
          <w:szCs w:val="26"/>
        </w:rPr>
      </w:pPr>
      <w:r w:rsidRPr="006C279D">
        <w:rPr>
          <w:rStyle w:val="FootnoteReference"/>
          <w:sz w:val="26"/>
          <w:szCs w:val="26"/>
        </w:rPr>
        <w:footnoteRef/>
      </w:r>
      <w:r w:rsidRPr="006C279D">
        <w:rPr>
          <w:sz w:val="26"/>
          <w:szCs w:val="26"/>
        </w:rPr>
        <w:t xml:space="preserve"> </w:t>
      </w:r>
      <w:r>
        <w:rPr>
          <w:sz w:val="26"/>
          <w:szCs w:val="26"/>
        </w:rPr>
        <w:tab/>
      </w:r>
      <w:r w:rsidRPr="006C279D">
        <w:rPr>
          <w:sz w:val="26"/>
          <w:szCs w:val="26"/>
        </w:rPr>
        <w:t xml:space="preserve">The other terms of the Joint Petition are discussed, </w:t>
      </w:r>
      <w:r w:rsidRPr="006C279D">
        <w:rPr>
          <w:i/>
          <w:sz w:val="26"/>
          <w:szCs w:val="26"/>
        </w:rPr>
        <w:t>infra</w:t>
      </w:r>
      <w:r w:rsidRPr="006C279D">
        <w:rPr>
          <w:sz w:val="26"/>
          <w:szCs w:val="26"/>
        </w:rPr>
        <w:t xml:space="preserve">. </w:t>
      </w:r>
    </w:p>
  </w:footnote>
  <w:footnote w:id="4">
    <w:p w:rsidR="00EB5253" w:rsidRPr="009B4802" w:rsidRDefault="00EB5253" w:rsidP="00301DD2">
      <w:pPr>
        <w:pStyle w:val="FootnoteText"/>
        <w:keepNext/>
        <w:keepLines/>
        <w:spacing w:line="240" w:lineRule="auto"/>
        <w:ind w:firstLine="720"/>
        <w:rPr>
          <w:sz w:val="26"/>
          <w:szCs w:val="26"/>
        </w:rPr>
      </w:pPr>
      <w:r w:rsidRPr="009B4802">
        <w:rPr>
          <w:rStyle w:val="FootnoteReference"/>
          <w:sz w:val="26"/>
          <w:szCs w:val="26"/>
        </w:rPr>
        <w:footnoteRef/>
      </w:r>
      <w:r w:rsidRPr="009B4802">
        <w:rPr>
          <w:sz w:val="26"/>
          <w:szCs w:val="26"/>
        </w:rPr>
        <w:tab/>
        <w:t>This supplement was originally filed as Supplement No. 46.  However, Supplement No. 46 was already on file with the Commission, reflecting changes in Herman’s gas cost rate</w:t>
      </w:r>
      <w:r>
        <w:rPr>
          <w:sz w:val="26"/>
          <w:szCs w:val="26"/>
        </w:rPr>
        <w:t xml:space="preserve"> (GCR)</w:t>
      </w:r>
      <w:r w:rsidRPr="009B4802">
        <w:rPr>
          <w:sz w:val="26"/>
          <w:szCs w:val="26"/>
        </w:rPr>
        <w:t xml:space="preserve">.  On November 5, 2014, Herman filed Supplement No. 47 to reflect the extension of the effective date for Supplement No. 44 </w:t>
      </w:r>
      <w:r w:rsidR="00B8694E">
        <w:rPr>
          <w:sz w:val="26"/>
          <w:szCs w:val="26"/>
        </w:rPr>
        <w:t xml:space="preserve">for </w:t>
      </w:r>
      <w:r w:rsidRPr="009B4802">
        <w:rPr>
          <w:sz w:val="26"/>
          <w:szCs w:val="26"/>
        </w:rPr>
        <w:t>an additional ninety days.</w:t>
      </w:r>
    </w:p>
  </w:footnote>
  <w:footnote w:id="5">
    <w:p w:rsidR="00A2385A" w:rsidRPr="005E7AAF" w:rsidRDefault="00A2385A" w:rsidP="00A2385A">
      <w:pPr>
        <w:spacing w:line="240" w:lineRule="auto"/>
        <w:ind w:firstLine="720"/>
        <w:rPr>
          <w:szCs w:val="26"/>
        </w:rPr>
      </w:pPr>
      <w:r>
        <w:rPr>
          <w:rStyle w:val="FootnoteReference"/>
        </w:rPr>
        <w:footnoteRef/>
      </w:r>
      <w:r>
        <w:tab/>
      </w:r>
      <w:r w:rsidRPr="005E7AAF">
        <w:t>W</w:t>
      </w:r>
      <w:r w:rsidRPr="005E7AAF">
        <w:rPr>
          <w:szCs w:val="26"/>
        </w:rPr>
        <w:t xml:space="preserve">here a customer is heard to complain concerning a </w:t>
      </w:r>
      <w:r w:rsidRPr="005E7AAF">
        <w:rPr>
          <w:rStyle w:val="term1"/>
          <w:b w:val="0"/>
          <w:szCs w:val="26"/>
        </w:rPr>
        <w:t>proposed change in rate,</w:t>
      </w:r>
      <w:r w:rsidRPr="005E7AAF">
        <w:rPr>
          <w:b/>
          <w:szCs w:val="26"/>
        </w:rPr>
        <w:t xml:space="preserve"> </w:t>
      </w:r>
      <w:r w:rsidRPr="005E7AAF">
        <w:rPr>
          <w:szCs w:val="26"/>
        </w:rPr>
        <w:t>the</w:t>
      </w:r>
      <w:r w:rsidRPr="005E7AAF">
        <w:rPr>
          <w:b/>
          <w:szCs w:val="26"/>
        </w:rPr>
        <w:t xml:space="preserve"> </w:t>
      </w:r>
      <w:r w:rsidRPr="005E7AAF">
        <w:rPr>
          <w:rStyle w:val="term1"/>
          <w:b w:val="0"/>
          <w:szCs w:val="26"/>
        </w:rPr>
        <w:t>burden of proof</w:t>
      </w:r>
      <w:r w:rsidRPr="005E7AAF">
        <w:rPr>
          <w:b/>
          <w:szCs w:val="26"/>
        </w:rPr>
        <w:t xml:space="preserve"> </w:t>
      </w:r>
      <w:r w:rsidRPr="005E7AAF">
        <w:rPr>
          <w:szCs w:val="26"/>
        </w:rPr>
        <w:t xml:space="preserve">is upon the public utility to show the proposed rate is just and reasonable; where the complaint involves an existing rate, however, the burden falls upon the customer to prove that the charge is no longer reasonable.  </w:t>
      </w:r>
      <w:r w:rsidRPr="005E7AAF">
        <w:rPr>
          <w:i/>
          <w:szCs w:val="26"/>
        </w:rPr>
        <w:t xml:space="preserve">See, e.g., </w:t>
      </w:r>
      <w:r w:rsidRPr="005E7AAF">
        <w:rPr>
          <w:bCs/>
          <w:i/>
          <w:szCs w:val="26"/>
        </w:rPr>
        <w:t>Schellhammer v. Pa. PUC</w:t>
      </w:r>
      <w:r w:rsidRPr="005E7AAF">
        <w:rPr>
          <w:bCs/>
          <w:szCs w:val="26"/>
        </w:rPr>
        <w:t>, 629 A.2d 186 (Pa. Superior Ct. 1993) and citations.</w:t>
      </w:r>
      <w:r w:rsidRPr="005E7AAF">
        <w:rPr>
          <w:szCs w:val="26"/>
        </w:rPr>
        <w:t xml:space="preserve"> </w:t>
      </w:r>
    </w:p>
    <w:p w:rsidR="00A2385A" w:rsidRDefault="00A2385A">
      <w:pPr>
        <w:pStyle w:val="FootnoteText"/>
      </w:pPr>
    </w:p>
  </w:footnote>
  <w:footnote w:id="6">
    <w:p w:rsidR="00EB5253" w:rsidRPr="0032271E" w:rsidRDefault="00EB5253" w:rsidP="006B0542">
      <w:pPr>
        <w:pStyle w:val="FootnoteText"/>
        <w:keepNext/>
        <w:keepLines/>
        <w:spacing w:line="240" w:lineRule="auto"/>
        <w:ind w:firstLine="720"/>
        <w:rPr>
          <w:sz w:val="26"/>
          <w:szCs w:val="26"/>
        </w:rPr>
      </w:pPr>
      <w:r w:rsidRPr="0032271E">
        <w:rPr>
          <w:rStyle w:val="FootnoteReference"/>
          <w:sz w:val="26"/>
          <w:szCs w:val="26"/>
        </w:rPr>
        <w:footnoteRef/>
      </w:r>
      <w:r w:rsidRPr="0032271E">
        <w:rPr>
          <w:sz w:val="26"/>
          <w:szCs w:val="26"/>
        </w:rPr>
        <w:t xml:space="preserve"> </w:t>
      </w:r>
      <w:r>
        <w:rPr>
          <w:sz w:val="26"/>
          <w:szCs w:val="26"/>
        </w:rPr>
        <w:tab/>
        <w:t>Small n</w:t>
      </w:r>
      <w:r w:rsidRPr="0032271E">
        <w:rPr>
          <w:sz w:val="26"/>
          <w:szCs w:val="26"/>
        </w:rPr>
        <w:t xml:space="preserve">atural gas distribution utilities </w:t>
      </w:r>
      <w:r>
        <w:rPr>
          <w:sz w:val="26"/>
          <w:szCs w:val="26"/>
        </w:rPr>
        <w:t xml:space="preserve">subject to these billing requirements are those </w:t>
      </w:r>
      <w:r w:rsidRPr="0032271E">
        <w:rPr>
          <w:sz w:val="26"/>
          <w:szCs w:val="26"/>
        </w:rPr>
        <w:t xml:space="preserve">with annual gas operating revenues less than $ 6 million.  52 Pa. Code § 56.252. </w:t>
      </w:r>
      <w:r>
        <w:rPr>
          <w:sz w:val="26"/>
          <w:szCs w:val="26"/>
        </w:rPr>
        <w:t xml:space="preserve"> We also note that 52 Pa. Code § 56.265(14) requires small gas utilities to also incorporate the requirements of 52 Pa. Code § 62.74 regarding the billing format natural gas choice, if applicable.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FB0"/>
    <w:multiLevelType w:val="hybridMultilevel"/>
    <w:tmpl w:val="44B0615A"/>
    <w:lvl w:ilvl="0" w:tplc="62B6487A">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DC53A4"/>
    <w:multiLevelType w:val="hybridMultilevel"/>
    <w:tmpl w:val="05EC852E"/>
    <w:lvl w:ilvl="0" w:tplc="0409000F">
      <w:start w:val="1"/>
      <w:numFmt w:val="decimal"/>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
    <w:nsid w:val="2DC52892"/>
    <w:multiLevelType w:val="hybridMultilevel"/>
    <w:tmpl w:val="6B262F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024188E"/>
    <w:multiLevelType w:val="hybridMultilevel"/>
    <w:tmpl w:val="53148DFA"/>
    <w:lvl w:ilvl="0" w:tplc="44223FB0">
      <w:start w:val="1"/>
      <w:numFmt w:val="upperRoman"/>
      <w:pStyle w:val="Heading1"/>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5E5801"/>
    <w:multiLevelType w:val="hybridMultilevel"/>
    <w:tmpl w:val="BD96D8BA"/>
    <w:lvl w:ilvl="0" w:tplc="981283CC">
      <w:start w:val="1"/>
      <w:numFmt w:val="lowerLetter"/>
      <w:pStyle w:val="Heading4"/>
      <w:lvlText w:val="%1."/>
      <w:lvlJc w:val="left"/>
      <w:pPr>
        <w:ind w:left="3690" w:hanging="360"/>
      </w:pPr>
      <w:rPr>
        <w:rFonts w:hint="default"/>
        <w:b/>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5">
    <w:nsid w:val="53E4144B"/>
    <w:multiLevelType w:val="hybridMultilevel"/>
    <w:tmpl w:val="7A5A3FEC"/>
    <w:lvl w:ilvl="0" w:tplc="A7062CA4">
      <w:start w:val="1"/>
      <w:numFmt w:val="upperLetter"/>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F73F2"/>
    <w:multiLevelType w:val="hybridMultilevel"/>
    <w:tmpl w:val="DAA45C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4C74AA9"/>
    <w:multiLevelType w:val="hybridMultilevel"/>
    <w:tmpl w:val="66322608"/>
    <w:lvl w:ilvl="0" w:tplc="0364535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0"/>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2"/>
    </w:lvlOverride>
  </w:num>
  <w:num w:numId="9">
    <w:abstractNumId w:val="4"/>
    <w:lvlOverride w:ilvl="0">
      <w:startOverride w:val="1"/>
    </w:lvlOverride>
  </w:num>
  <w:num w:numId="10">
    <w:abstractNumId w:val="4"/>
    <w:lvlOverride w:ilvl="0">
      <w:startOverride w:val="3"/>
    </w:lvlOverride>
  </w:num>
  <w:num w:numId="11">
    <w:abstractNumId w:val="4"/>
  </w:num>
  <w:num w:numId="12">
    <w:abstractNumId w:val="4"/>
    <w:lvlOverride w:ilvl="0">
      <w:startOverride w:val="3"/>
    </w:lvlOverride>
  </w:num>
  <w:num w:numId="13">
    <w:abstractNumId w:val="4"/>
    <w:lvlOverride w:ilvl="0">
      <w:startOverride w:val="2"/>
    </w:lvlOverride>
  </w:num>
  <w:num w:numId="14">
    <w:abstractNumId w:val="4"/>
    <w:lvlOverride w:ilvl="0">
      <w:startOverride w:val="3"/>
    </w:lvlOverride>
  </w:num>
  <w:num w:numId="15">
    <w:abstractNumId w:val="4"/>
    <w:lvlOverride w:ilvl="0">
      <w:startOverride w:val="1"/>
    </w:lvlOverride>
  </w:num>
  <w:num w:numId="16">
    <w:abstractNumId w:val="1"/>
  </w:num>
  <w:num w:numId="17">
    <w:abstractNumId w:val="6"/>
  </w:num>
  <w:num w:numId="18">
    <w:abstractNumId w:val="5"/>
  </w:num>
  <w:num w:numId="19">
    <w:abstractNumId w:val="4"/>
    <w:lvlOverride w:ilvl="0">
      <w:startOverride w:val="3"/>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1F69"/>
    <w:rsid w:val="00003D97"/>
    <w:rsid w:val="00003D98"/>
    <w:rsid w:val="0000559C"/>
    <w:rsid w:val="000070F9"/>
    <w:rsid w:val="000113B7"/>
    <w:rsid w:val="000123D5"/>
    <w:rsid w:val="0001422F"/>
    <w:rsid w:val="00016D57"/>
    <w:rsid w:val="00017852"/>
    <w:rsid w:val="000210E6"/>
    <w:rsid w:val="000214EB"/>
    <w:rsid w:val="00021E46"/>
    <w:rsid w:val="00022B74"/>
    <w:rsid w:val="0002471C"/>
    <w:rsid w:val="000248D3"/>
    <w:rsid w:val="00025F3F"/>
    <w:rsid w:val="00040AEA"/>
    <w:rsid w:val="00047874"/>
    <w:rsid w:val="00047F4A"/>
    <w:rsid w:val="00051979"/>
    <w:rsid w:val="00052B8F"/>
    <w:rsid w:val="00053EB3"/>
    <w:rsid w:val="00054612"/>
    <w:rsid w:val="00055068"/>
    <w:rsid w:val="00056286"/>
    <w:rsid w:val="0005785F"/>
    <w:rsid w:val="0005798B"/>
    <w:rsid w:val="000649EC"/>
    <w:rsid w:val="000704CA"/>
    <w:rsid w:val="000733C0"/>
    <w:rsid w:val="0007343F"/>
    <w:rsid w:val="00074F5A"/>
    <w:rsid w:val="00075B79"/>
    <w:rsid w:val="00084AF9"/>
    <w:rsid w:val="00084C8E"/>
    <w:rsid w:val="000866BD"/>
    <w:rsid w:val="0008752A"/>
    <w:rsid w:val="00087EAA"/>
    <w:rsid w:val="00090704"/>
    <w:rsid w:val="000918D4"/>
    <w:rsid w:val="00097504"/>
    <w:rsid w:val="000A365D"/>
    <w:rsid w:val="000A4534"/>
    <w:rsid w:val="000A5658"/>
    <w:rsid w:val="000A79A7"/>
    <w:rsid w:val="000B03B5"/>
    <w:rsid w:val="000B216D"/>
    <w:rsid w:val="000B2B1C"/>
    <w:rsid w:val="000B3382"/>
    <w:rsid w:val="000B4EAE"/>
    <w:rsid w:val="000B607A"/>
    <w:rsid w:val="000B6B15"/>
    <w:rsid w:val="000C2AE3"/>
    <w:rsid w:val="000C4EAC"/>
    <w:rsid w:val="000C7FFC"/>
    <w:rsid w:val="000D047F"/>
    <w:rsid w:val="000D406D"/>
    <w:rsid w:val="000E0DFB"/>
    <w:rsid w:val="000E0E77"/>
    <w:rsid w:val="000E1491"/>
    <w:rsid w:val="000E1EC7"/>
    <w:rsid w:val="000F508B"/>
    <w:rsid w:val="0010158F"/>
    <w:rsid w:val="00104750"/>
    <w:rsid w:val="00104D9B"/>
    <w:rsid w:val="00105888"/>
    <w:rsid w:val="00117CB2"/>
    <w:rsid w:val="00123A2E"/>
    <w:rsid w:val="001267D4"/>
    <w:rsid w:val="0012681B"/>
    <w:rsid w:val="001322CB"/>
    <w:rsid w:val="001342B1"/>
    <w:rsid w:val="00135972"/>
    <w:rsid w:val="001360FC"/>
    <w:rsid w:val="00137DD9"/>
    <w:rsid w:val="00143D77"/>
    <w:rsid w:val="0014497F"/>
    <w:rsid w:val="001455C5"/>
    <w:rsid w:val="00147145"/>
    <w:rsid w:val="00151132"/>
    <w:rsid w:val="00164DA4"/>
    <w:rsid w:val="001663C8"/>
    <w:rsid w:val="00167069"/>
    <w:rsid w:val="001716F9"/>
    <w:rsid w:val="00173A7B"/>
    <w:rsid w:val="00174D3D"/>
    <w:rsid w:val="00175CD5"/>
    <w:rsid w:val="00176B32"/>
    <w:rsid w:val="00176B48"/>
    <w:rsid w:val="001819EC"/>
    <w:rsid w:val="00184FB4"/>
    <w:rsid w:val="00186A97"/>
    <w:rsid w:val="00187823"/>
    <w:rsid w:val="00191404"/>
    <w:rsid w:val="00194034"/>
    <w:rsid w:val="00196E09"/>
    <w:rsid w:val="001A0136"/>
    <w:rsid w:val="001A6889"/>
    <w:rsid w:val="001A7A5A"/>
    <w:rsid w:val="001B1DB4"/>
    <w:rsid w:val="001B24DD"/>
    <w:rsid w:val="001B6918"/>
    <w:rsid w:val="001C1C5F"/>
    <w:rsid w:val="001C3767"/>
    <w:rsid w:val="001C4978"/>
    <w:rsid w:val="001D397D"/>
    <w:rsid w:val="001D4E27"/>
    <w:rsid w:val="001D551A"/>
    <w:rsid w:val="001D7353"/>
    <w:rsid w:val="001E1276"/>
    <w:rsid w:val="001E2A84"/>
    <w:rsid w:val="001E5683"/>
    <w:rsid w:val="001E5919"/>
    <w:rsid w:val="001F0C69"/>
    <w:rsid w:val="001F0E3D"/>
    <w:rsid w:val="001F273D"/>
    <w:rsid w:val="001F3DEC"/>
    <w:rsid w:val="0020063E"/>
    <w:rsid w:val="00202524"/>
    <w:rsid w:val="002061BF"/>
    <w:rsid w:val="002062E5"/>
    <w:rsid w:val="00206EC5"/>
    <w:rsid w:val="00210043"/>
    <w:rsid w:val="002100A8"/>
    <w:rsid w:val="00210F81"/>
    <w:rsid w:val="00211622"/>
    <w:rsid w:val="00220BD4"/>
    <w:rsid w:val="0022110C"/>
    <w:rsid w:val="00222C6F"/>
    <w:rsid w:val="002253D4"/>
    <w:rsid w:val="002275A1"/>
    <w:rsid w:val="00233173"/>
    <w:rsid w:val="00236911"/>
    <w:rsid w:val="00240D7B"/>
    <w:rsid w:val="0024600D"/>
    <w:rsid w:val="002509F0"/>
    <w:rsid w:val="00252A0C"/>
    <w:rsid w:val="00260957"/>
    <w:rsid w:val="00260B37"/>
    <w:rsid w:val="00265F89"/>
    <w:rsid w:val="0027232D"/>
    <w:rsid w:val="00274B88"/>
    <w:rsid w:val="00274DE5"/>
    <w:rsid w:val="00274ED7"/>
    <w:rsid w:val="00276862"/>
    <w:rsid w:val="00281E34"/>
    <w:rsid w:val="00283194"/>
    <w:rsid w:val="00283328"/>
    <w:rsid w:val="0028595E"/>
    <w:rsid w:val="00291F68"/>
    <w:rsid w:val="002935B1"/>
    <w:rsid w:val="00293C26"/>
    <w:rsid w:val="00297656"/>
    <w:rsid w:val="002A2247"/>
    <w:rsid w:val="002A4450"/>
    <w:rsid w:val="002A44C9"/>
    <w:rsid w:val="002A57A2"/>
    <w:rsid w:val="002B4AF4"/>
    <w:rsid w:val="002B67B7"/>
    <w:rsid w:val="002C0429"/>
    <w:rsid w:val="002C65B4"/>
    <w:rsid w:val="002C7DD5"/>
    <w:rsid w:val="002D13C4"/>
    <w:rsid w:val="002D275E"/>
    <w:rsid w:val="002D56B2"/>
    <w:rsid w:val="002D6357"/>
    <w:rsid w:val="002E03E5"/>
    <w:rsid w:val="002E3026"/>
    <w:rsid w:val="002E3E1A"/>
    <w:rsid w:val="002E3F06"/>
    <w:rsid w:val="002E66C8"/>
    <w:rsid w:val="002F22EE"/>
    <w:rsid w:val="002F3F04"/>
    <w:rsid w:val="002F41BA"/>
    <w:rsid w:val="002F4BE0"/>
    <w:rsid w:val="003002BA"/>
    <w:rsid w:val="00301890"/>
    <w:rsid w:val="003018AA"/>
    <w:rsid w:val="00301A19"/>
    <w:rsid w:val="00301DD2"/>
    <w:rsid w:val="00303B99"/>
    <w:rsid w:val="003048E4"/>
    <w:rsid w:val="00304BED"/>
    <w:rsid w:val="0030714F"/>
    <w:rsid w:val="003136EF"/>
    <w:rsid w:val="00314A43"/>
    <w:rsid w:val="0031752C"/>
    <w:rsid w:val="00317567"/>
    <w:rsid w:val="003209F4"/>
    <w:rsid w:val="00320A91"/>
    <w:rsid w:val="00320E4E"/>
    <w:rsid w:val="00321FFB"/>
    <w:rsid w:val="0032271E"/>
    <w:rsid w:val="00322C92"/>
    <w:rsid w:val="0033210C"/>
    <w:rsid w:val="003336FA"/>
    <w:rsid w:val="00347979"/>
    <w:rsid w:val="0035185B"/>
    <w:rsid w:val="00353396"/>
    <w:rsid w:val="00353937"/>
    <w:rsid w:val="00354BD0"/>
    <w:rsid w:val="00357303"/>
    <w:rsid w:val="003601A0"/>
    <w:rsid w:val="00360BAC"/>
    <w:rsid w:val="00361C2D"/>
    <w:rsid w:val="003622CA"/>
    <w:rsid w:val="00363030"/>
    <w:rsid w:val="0036462C"/>
    <w:rsid w:val="00364A42"/>
    <w:rsid w:val="0036505C"/>
    <w:rsid w:val="00370E02"/>
    <w:rsid w:val="00370F88"/>
    <w:rsid w:val="003755FB"/>
    <w:rsid w:val="0037577C"/>
    <w:rsid w:val="00375D3A"/>
    <w:rsid w:val="0037684F"/>
    <w:rsid w:val="00377B0A"/>
    <w:rsid w:val="00381F17"/>
    <w:rsid w:val="0038262D"/>
    <w:rsid w:val="00385502"/>
    <w:rsid w:val="00390811"/>
    <w:rsid w:val="00391279"/>
    <w:rsid w:val="00393D98"/>
    <w:rsid w:val="00395518"/>
    <w:rsid w:val="0039697A"/>
    <w:rsid w:val="003A35ED"/>
    <w:rsid w:val="003A402B"/>
    <w:rsid w:val="003A4198"/>
    <w:rsid w:val="003A438D"/>
    <w:rsid w:val="003A766D"/>
    <w:rsid w:val="003B0611"/>
    <w:rsid w:val="003B1542"/>
    <w:rsid w:val="003B2DC1"/>
    <w:rsid w:val="003B56C1"/>
    <w:rsid w:val="003B56F7"/>
    <w:rsid w:val="003B6CB0"/>
    <w:rsid w:val="003B7402"/>
    <w:rsid w:val="003C0EC7"/>
    <w:rsid w:val="003C3140"/>
    <w:rsid w:val="003C3E02"/>
    <w:rsid w:val="003C3FE8"/>
    <w:rsid w:val="003C5E3E"/>
    <w:rsid w:val="003D21C5"/>
    <w:rsid w:val="003D6AB5"/>
    <w:rsid w:val="003E376C"/>
    <w:rsid w:val="003E777B"/>
    <w:rsid w:val="003F5E5F"/>
    <w:rsid w:val="003F6159"/>
    <w:rsid w:val="003F701C"/>
    <w:rsid w:val="00400623"/>
    <w:rsid w:val="004033E8"/>
    <w:rsid w:val="00403D6E"/>
    <w:rsid w:val="00406C17"/>
    <w:rsid w:val="00412B2F"/>
    <w:rsid w:val="00413B28"/>
    <w:rsid w:val="00414170"/>
    <w:rsid w:val="004158E7"/>
    <w:rsid w:val="004213E8"/>
    <w:rsid w:val="0043068A"/>
    <w:rsid w:val="00441207"/>
    <w:rsid w:val="0044126E"/>
    <w:rsid w:val="0044539E"/>
    <w:rsid w:val="00445D26"/>
    <w:rsid w:val="00445F4A"/>
    <w:rsid w:val="004462F7"/>
    <w:rsid w:val="0046019D"/>
    <w:rsid w:val="00460483"/>
    <w:rsid w:val="0046514E"/>
    <w:rsid w:val="00471D82"/>
    <w:rsid w:val="00472D9E"/>
    <w:rsid w:val="004742A5"/>
    <w:rsid w:val="0047475D"/>
    <w:rsid w:val="00474E22"/>
    <w:rsid w:val="0047608F"/>
    <w:rsid w:val="00476554"/>
    <w:rsid w:val="00482323"/>
    <w:rsid w:val="00485CC4"/>
    <w:rsid w:val="00491D91"/>
    <w:rsid w:val="00491E00"/>
    <w:rsid w:val="0049768F"/>
    <w:rsid w:val="004A0333"/>
    <w:rsid w:val="004A04E5"/>
    <w:rsid w:val="004A0506"/>
    <w:rsid w:val="004A08B4"/>
    <w:rsid w:val="004A2165"/>
    <w:rsid w:val="004A249A"/>
    <w:rsid w:val="004A283C"/>
    <w:rsid w:val="004B1052"/>
    <w:rsid w:val="004B373F"/>
    <w:rsid w:val="004B37D0"/>
    <w:rsid w:val="004B5B65"/>
    <w:rsid w:val="004C19A0"/>
    <w:rsid w:val="004C438F"/>
    <w:rsid w:val="004D0910"/>
    <w:rsid w:val="004D1E1B"/>
    <w:rsid w:val="004E4BDD"/>
    <w:rsid w:val="004E514F"/>
    <w:rsid w:val="004E6200"/>
    <w:rsid w:val="004E737F"/>
    <w:rsid w:val="004F22DA"/>
    <w:rsid w:val="004F3B5E"/>
    <w:rsid w:val="004F62DC"/>
    <w:rsid w:val="00503256"/>
    <w:rsid w:val="00504834"/>
    <w:rsid w:val="00505AEE"/>
    <w:rsid w:val="0050632E"/>
    <w:rsid w:val="00511EF3"/>
    <w:rsid w:val="00514507"/>
    <w:rsid w:val="00514B37"/>
    <w:rsid w:val="0052099F"/>
    <w:rsid w:val="00521350"/>
    <w:rsid w:val="00525882"/>
    <w:rsid w:val="00533CD5"/>
    <w:rsid w:val="0053435C"/>
    <w:rsid w:val="00536011"/>
    <w:rsid w:val="00540789"/>
    <w:rsid w:val="005416F7"/>
    <w:rsid w:val="00543B6A"/>
    <w:rsid w:val="00547633"/>
    <w:rsid w:val="005532F9"/>
    <w:rsid w:val="0055440B"/>
    <w:rsid w:val="005551EA"/>
    <w:rsid w:val="0055708D"/>
    <w:rsid w:val="00561CA6"/>
    <w:rsid w:val="00565024"/>
    <w:rsid w:val="00567FDA"/>
    <w:rsid w:val="00571C7F"/>
    <w:rsid w:val="00572518"/>
    <w:rsid w:val="00573C54"/>
    <w:rsid w:val="00575FF9"/>
    <w:rsid w:val="00576A91"/>
    <w:rsid w:val="005809E7"/>
    <w:rsid w:val="0058292F"/>
    <w:rsid w:val="00595BA4"/>
    <w:rsid w:val="00596A0B"/>
    <w:rsid w:val="00596E05"/>
    <w:rsid w:val="005970FA"/>
    <w:rsid w:val="005A1A00"/>
    <w:rsid w:val="005A2298"/>
    <w:rsid w:val="005A3508"/>
    <w:rsid w:val="005A72FC"/>
    <w:rsid w:val="005B0388"/>
    <w:rsid w:val="005B0E84"/>
    <w:rsid w:val="005B109A"/>
    <w:rsid w:val="005B7EAA"/>
    <w:rsid w:val="005C5D48"/>
    <w:rsid w:val="005C7518"/>
    <w:rsid w:val="005C7970"/>
    <w:rsid w:val="005D040A"/>
    <w:rsid w:val="005D0782"/>
    <w:rsid w:val="005D1079"/>
    <w:rsid w:val="005D2AB9"/>
    <w:rsid w:val="005D747B"/>
    <w:rsid w:val="005D7960"/>
    <w:rsid w:val="005D7DFD"/>
    <w:rsid w:val="005E1DA4"/>
    <w:rsid w:val="005E6960"/>
    <w:rsid w:val="005E7AAF"/>
    <w:rsid w:val="005E7D75"/>
    <w:rsid w:val="005F00A5"/>
    <w:rsid w:val="005F0D1E"/>
    <w:rsid w:val="005F17B4"/>
    <w:rsid w:val="005F2A95"/>
    <w:rsid w:val="005F4488"/>
    <w:rsid w:val="005F5458"/>
    <w:rsid w:val="0060288C"/>
    <w:rsid w:val="00605AC1"/>
    <w:rsid w:val="00606036"/>
    <w:rsid w:val="00606C57"/>
    <w:rsid w:val="00607840"/>
    <w:rsid w:val="00610106"/>
    <w:rsid w:val="0061313F"/>
    <w:rsid w:val="00614A8E"/>
    <w:rsid w:val="00615CDE"/>
    <w:rsid w:val="006167B1"/>
    <w:rsid w:val="006218A1"/>
    <w:rsid w:val="00622A75"/>
    <w:rsid w:val="00624400"/>
    <w:rsid w:val="00626162"/>
    <w:rsid w:val="006275F0"/>
    <w:rsid w:val="00630F4E"/>
    <w:rsid w:val="0063602C"/>
    <w:rsid w:val="00644AA6"/>
    <w:rsid w:val="00646E18"/>
    <w:rsid w:val="006508D6"/>
    <w:rsid w:val="0065545A"/>
    <w:rsid w:val="00656374"/>
    <w:rsid w:val="00657DA6"/>
    <w:rsid w:val="00662F1E"/>
    <w:rsid w:val="00663439"/>
    <w:rsid w:val="006636C3"/>
    <w:rsid w:val="00663ED4"/>
    <w:rsid w:val="00671765"/>
    <w:rsid w:val="00681CEC"/>
    <w:rsid w:val="00682469"/>
    <w:rsid w:val="00683530"/>
    <w:rsid w:val="00684AB8"/>
    <w:rsid w:val="00686B5C"/>
    <w:rsid w:val="00691AE0"/>
    <w:rsid w:val="00692DFC"/>
    <w:rsid w:val="00693977"/>
    <w:rsid w:val="006A2147"/>
    <w:rsid w:val="006B0542"/>
    <w:rsid w:val="006B29E1"/>
    <w:rsid w:val="006C279D"/>
    <w:rsid w:val="006C2F82"/>
    <w:rsid w:val="006C3FEA"/>
    <w:rsid w:val="006C411C"/>
    <w:rsid w:val="006C4A90"/>
    <w:rsid w:val="006D01B3"/>
    <w:rsid w:val="006D3E51"/>
    <w:rsid w:val="006D5072"/>
    <w:rsid w:val="006D7CA2"/>
    <w:rsid w:val="006E0678"/>
    <w:rsid w:val="006E1E6C"/>
    <w:rsid w:val="006E4517"/>
    <w:rsid w:val="006E4CD8"/>
    <w:rsid w:val="006E5505"/>
    <w:rsid w:val="006F0F9A"/>
    <w:rsid w:val="006F187B"/>
    <w:rsid w:val="006F1EA6"/>
    <w:rsid w:val="006F240A"/>
    <w:rsid w:val="006F2FB3"/>
    <w:rsid w:val="006F4EB3"/>
    <w:rsid w:val="006F62BC"/>
    <w:rsid w:val="00702DF9"/>
    <w:rsid w:val="00706C0C"/>
    <w:rsid w:val="007139B7"/>
    <w:rsid w:val="00714F3B"/>
    <w:rsid w:val="007166F7"/>
    <w:rsid w:val="00716AEF"/>
    <w:rsid w:val="00717076"/>
    <w:rsid w:val="007254C6"/>
    <w:rsid w:val="00725A08"/>
    <w:rsid w:val="0072699C"/>
    <w:rsid w:val="00727370"/>
    <w:rsid w:val="00732FEB"/>
    <w:rsid w:val="0073431C"/>
    <w:rsid w:val="00735D9E"/>
    <w:rsid w:val="0074109C"/>
    <w:rsid w:val="0074189C"/>
    <w:rsid w:val="0075228D"/>
    <w:rsid w:val="007525A7"/>
    <w:rsid w:val="007543B0"/>
    <w:rsid w:val="0075498B"/>
    <w:rsid w:val="007551E5"/>
    <w:rsid w:val="007568A9"/>
    <w:rsid w:val="00760761"/>
    <w:rsid w:val="00761514"/>
    <w:rsid w:val="00762215"/>
    <w:rsid w:val="00763CE7"/>
    <w:rsid w:val="00766435"/>
    <w:rsid w:val="007750AD"/>
    <w:rsid w:val="0077639A"/>
    <w:rsid w:val="00776F33"/>
    <w:rsid w:val="0078100C"/>
    <w:rsid w:val="00782ACF"/>
    <w:rsid w:val="00783BCB"/>
    <w:rsid w:val="00786F48"/>
    <w:rsid w:val="0078772C"/>
    <w:rsid w:val="007878E4"/>
    <w:rsid w:val="00793B50"/>
    <w:rsid w:val="00793BC8"/>
    <w:rsid w:val="00795050"/>
    <w:rsid w:val="007963BD"/>
    <w:rsid w:val="00797586"/>
    <w:rsid w:val="007A497E"/>
    <w:rsid w:val="007A5191"/>
    <w:rsid w:val="007A5D62"/>
    <w:rsid w:val="007A637C"/>
    <w:rsid w:val="007B3AE8"/>
    <w:rsid w:val="007B4418"/>
    <w:rsid w:val="007B5F62"/>
    <w:rsid w:val="007B66B3"/>
    <w:rsid w:val="007C1AC9"/>
    <w:rsid w:val="007C46DF"/>
    <w:rsid w:val="007C6AE9"/>
    <w:rsid w:val="007D2970"/>
    <w:rsid w:val="007D3AA0"/>
    <w:rsid w:val="007D3FE2"/>
    <w:rsid w:val="007E5E6F"/>
    <w:rsid w:val="007F6A8C"/>
    <w:rsid w:val="00802582"/>
    <w:rsid w:val="00810603"/>
    <w:rsid w:val="00811F8F"/>
    <w:rsid w:val="00813065"/>
    <w:rsid w:val="00813219"/>
    <w:rsid w:val="00817710"/>
    <w:rsid w:val="00820FEC"/>
    <w:rsid w:val="00823499"/>
    <w:rsid w:val="00824AD0"/>
    <w:rsid w:val="00824ED2"/>
    <w:rsid w:val="00827295"/>
    <w:rsid w:val="00832F5F"/>
    <w:rsid w:val="0083324D"/>
    <w:rsid w:val="00836812"/>
    <w:rsid w:val="00841733"/>
    <w:rsid w:val="00844D38"/>
    <w:rsid w:val="00844D85"/>
    <w:rsid w:val="00850DBE"/>
    <w:rsid w:val="008524BE"/>
    <w:rsid w:val="00853BC2"/>
    <w:rsid w:val="00854278"/>
    <w:rsid w:val="008554F8"/>
    <w:rsid w:val="00855538"/>
    <w:rsid w:val="008557C6"/>
    <w:rsid w:val="00855F20"/>
    <w:rsid w:val="0086236A"/>
    <w:rsid w:val="00864C6E"/>
    <w:rsid w:val="0087035A"/>
    <w:rsid w:val="00873A67"/>
    <w:rsid w:val="00882DAD"/>
    <w:rsid w:val="008874BA"/>
    <w:rsid w:val="008941C9"/>
    <w:rsid w:val="008949B1"/>
    <w:rsid w:val="00896D2F"/>
    <w:rsid w:val="0089713E"/>
    <w:rsid w:val="008A419D"/>
    <w:rsid w:val="008A4B83"/>
    <w:rsid w:val="008B39C5"/>
    <w:rsid w:val="008B40CF"/>
    <w:rsid w:val="008C09C4"/>
    <w:rsid w:val="008C1F44"/>
    <w:rsid w:val="008C4081"/>
    <w:rsid w:val="008D1B74"/>
    <w:rsid w:val="008D58A0"/>
    <w:rsid w:val="008E1A33"/>
    <w:rsid w:val="008E43A9"/>
    <w:rsid w:val="008E7710"/>
    <w:rsid w:val="008F1F65"/>
    <w:rsid w:val="00903F34"/>
    <w:rsid w:val="00905C0A"/>
    <w:rsid w:val="00907832"/>
    <w:rsid w:val="009100DA"/>
    <w:rsid w:val="00912212"/>
    <w:rsid w:val="00914BF0"/>
    <w:rsid w:val="00915634"/>
    <w:rsid w:val="00917001"/>
    <w:rsid w:val="009222D8"/>
    <w:rsid w:val="0092246D"/>
    <w:rsid w:val="00922D8D"/>
    <w:rsid w:val="009247F5"/>
    <w:rsid w:val="009261FA"/>
    <w:rsid w:val="0092641A"/>
    <w:rsid w:val="009265D0"/>
    <w:rsid w:val="00927105"/>
    <w:rsid w:val="00927B91"/>
    <w:rsid w:val="00927DC8"/>
    <w:rsid w:val="00933B0A"/>
    <w:rsid w:val="00942436"/>
    <w:rsid w:val="00944288"/>
    <w:rsid w:val="00947881"/>
    <w:rsid w:val="009520E5"/>
    <w:rsid w:val="0095573B"/>
    <w:rsid w:val="00957A1D"/>
    <w:rsid w:val="0096007C"/>
    <w:rsid w:val="0096487B"/>
    <w:rsid w:val="00980193"/>
    <w:rsid w:val="00985537"/>
    <w:rsid w:val="0098649B"/>
    <w:rsid w:val="00992D1E"/>
    <w:rsid w:val="009961D3"/>
    <w:rsid w:val="0099788E"/>
    <w:rsid w:val="009A06F5"/>
    <w:rsid w:val="009A0788"/>
    <w:rsid w:val="009A4524"/>
    <w:rsid w:val="009A5FAF"/>
    <w:rsid w:val="009B03DF"/>
    <w:rsid w:val="009B0B79"/>
    <w:rsid w:val="009B0F38"/>
    <w:rsid w:val="009B40D5"/>
    <w:rsid w:val="009B4802"/>
    <w:rsid w:val="009B6AF0"/>
    <w:rsid w:val="009B6C3F"/>
    <w:rsid w:val="009B740C"/>
    <w:rsid w:val="009B7D80"/>
    <w:rsid w:val="009C14AD"/>
    <w:rsid w:val="009C1C4B"/>
    <w:rsid w:val="009C5292"/>
    <w:rsid w:val="009C53D0"/>
    <w:rsid w:val="009C6449"/>
    <w:rsid w:val="009D0D3C"/>
    <w:rsid w:val="009D1035"/>
    <w:rsid w:val="009D7D33"/>
    <w:rsid w:val="009F1547"/>
    <w:rsid w:val="009F2636"/>
    <w:rsid w:val="009F5AD1"/>
    <w:rsid w:val="00A03133"/>
    <w:rsid w:val="00A066AE"/>
    <w:rsid w:val="00A10C78"/>
    <w:rsid w:val="00A12D5F"/>
    <w:rsid w:val="00A1328E"/>
    <w:rsid w:val="00A17128"/>
    <w:rsid w:val="00A176FE"/>
    <w:rsid w:val="00A20C58"/>
    <w:rsid w:val="00A20F78"/>
    <w:rsid w:val="00A2385A"/>
    <w:rsid w:val="00A24666"/>
    <w:rsid w:val="00A24B65"/>
    <w:rsid w:val="00A25D5C"/>
    <w:rsid w:val="00A262B9"/>
    <w:rsid w:val="00A26938"/>
    <w:rsid w:val="00A27DEE"/>
    <w:rsid w:val="00A312C4"/>
    <w:rsid w:val="00A33CF8"/>
    <w:rsid w:val="00A369D1"/>
    <w:rsid w:val="00A40CF9"/>
    <w:rsid w:val="00A435DF"/>
    <w:rsid w:val="00A43F95"/>
    <w:rsid w:val="00A44150"/>
    <w:rsid w:val="00A528D5"/>
    <w:rsid w:val="00A54AFD"/>
    <w:rsid w:val="00A60DA9"/>
    <w:rsid w:val="00A62113"/>
    <w:rsid w:val="00A6235D"/>
    <w:rsid w:val="00A65FFD"/>
    <w:rsid w:val="00A67923"/>
    <w:rsid w:val="00A67DC1"/>
    <w:rsid w:val="00A714B8"/>
    <w:rsid w:val="00A71E77"/>
    <w:rsid w:val="00A740DC"/>
    <w:rsid w:val="00A7516D"/>
    <w:rsid w:val="00A77BB4"/>
    <w:rsid w:val="00A82058"/>
    <w:rsid w:val="00A82FAE"/>
    <w:rsid w:val="00A83CEF"/>
    <w:rsid w:val="00A869B0"/>
    <w:rsid w:val="00A951FA"/>
    <w:rsid w:val="00A95BC9"/>
    <w:rsid w:val="00A973FA"/>
    <w:rsid w:val="00AA012E"/>
    <w:rsid w:val="00AA0150"/>
    <w:rsid w:val="00AA204C"/>
    <w:rsid w:val="00AA2D57"/>
    <w:rsid w:val="00AB143A"/>
    <w:rsid w:val="00AB3D8C"/>
    <w:rsid w:val="00AC5B4D"/>
    <w:rsid w:val="00AC5C1F"/>
    <w:rsid w:val="00AC62C9"/>
    <w:rsid w:val="00AD2DAD"/>
    <w:rsid w:val="00AD3454"/>
    <w:rsid w:val="00AE13F1"/>
    <w:rsid w:val="00AE1A4A"/>
    <w:rsid w:val="00AE33FF"/>
    <w:rsid w:val="00AF06D5"/>
    <w:rsid w:val="00AF09DD"/>
    <w:rsid w:val="00B01161"/>
    <w:rsid w:val="00B02655"/>
    <w:rsid w:val="00B05102"/>
    <w:rsid w:val="00B05333"/>
    <w:rsid w:val="00B06FF0"/>
    <w:rsid w:val="00B0782F"/>
    <w:rsid w:val="00B07863"/>
    <w:rsid w:val="00B115C2"/>
    <w:rsid w:val="00B16A34"/>
    <w:rsid w:val="00B208AD"/>
    <w:rsid w:val="00B23B33"/>
    <w:rsid w:val="00B2400E"/>
    <w:rsid w:val="00B27139"/>
    <w:rsid w:val="00B31B9C"/>
    <w:rsid w:val="00B36185"/>
    <w:rsid w:val="00B3761A"/>
    <w:rsid w:val="00B4324A"/>
    <w:rsid w:val="00B4530F"/>
    <w:rsid w:val="00B469D5"/>
    <w:rsid w:val="00B5123F"/>
    <w:rsid w:val="00B5544F"/>
    <w:rsid w:val="00B55E5D"/>
    <w:rsid w:val="00B569D1"/>
    <w:rsid w:val="00B60A36"/>
    <w:rsid w:val="00B6377B"/>
    <w:rsid w:val="00B66867"/>
    <w:rsid w:val="00B70661"/>
    <w:rsid w:val="00B713B8"/>
    <w:rsid w:val="00B73E0C"/>
    <w:rsid w:val="00B756AA"/>
    <w:rsid w:val="00B774A6"/>
    <w:rsid w:val="00B77A6A"/>
    <w:rsid w:val="00B8117C"/>
    <w:rsid w:val="00B82FF9"/>
    <w:rsid w:val="00B8694E"/>
    <w:rsid w:val="00B91252"/>
    <w:rsid w:val="00B91726"/>
    <w:rsid w:val="00B94653"/>
    <w:rsid w:val="00B94786"/>
    <w:rsid w:val="00B978CC"/>
    <w:rsid w:val="00BA5A8B"/>
    <w:rsid w:val="00BB26AD"/>
    <w:rsid w:val="00BB7F4C"/>
    <w:rsid w:val="00BC05FE"/>
    <w:rsid w:val="00BC101C"/>
    <w:rsid w:val="00BC29B9"/>
    <w:rsid w:val="00BC7208"/>
    <w:rsid w:val="00BC7894"/>
    <w:rsid w:val="00BD209F"/>
    <w:rsid w:val="00BD589D"/>
    <w:rsid w:val="00BD7C68"/>
    <w:rsid w:val="00BE4290"/>
    <w:rsid w:val="00BE510A"/>
    <w:rsid w:val="00BE6CFC"/>
    <w:rsid w:val="00BF096D"/>
    <w:rsid w:val="00BF12F4"/>
    <w:rsid w:val="00BF79FA"/>
    <w:rsid w:val="00C020B1"/>
    <w:rsid w:val="00C020E1"/>
    <w:rsid w:val="00C03776"/>
    <w:rsid w:val="00C07F61"/>
    <w:rsid w:val="00C10808"/>
    <w:rsid w:val="00C13821"/>
    <w:rsid w:val="00C15F73"/>
    <w:rsid w:val="00C2037B"/>
    <w:rsid w:val="00C227C0"/>
    <w:rsid w:val="00C2281E"/>
    <w:rsid w:val="00C25574"/>
    <w:rsid w:val="00C263FA"/>
    <w:rsid w:val="00C30DA4"/>
    <w:rsid w:val="00C36C29"/>
    <w:rsid w:val="00C37281"/>
    <w:rsid w:val="00C45052"/>
    <w:rsid w:val="00C50108"/>
    <w:rsid w:val="00C56E49"/>
    <w:rsid w:val="00C6038B"/>
    <w:rsid w:val="00C60808"/>
    <w:rsid w:val="00C63791"/>
    <w:rsid w:val="00C66923"/>
    <w:rsid w:val="00C7401F"/>
    <w:rsid w:val="00C75655"/>
    <w:rsid w:val="00C868F6"/>
    <w:rsid w:val="00C9137C"/>
    <w:rsid w:val="00C9205A"/>
    <w:rsid w:val="00C92798"/>
    <w:rsid w:val="00C95CDA"/>
    <w:rsid w:val="00C9663B"/>
    <w:rsid w:val="00CA06E8"/>
    <w:rsid w:val="00CA6221"/>
    <w:rsid w:val="00CB4F7C"/>
    <w:rsid w:val="00CB6445"/>
    <w:rsid w:val="00CB7302"/>
    <w:rsid w:val="00CC0EB5"/>
    <w:rsid w:val="00CC390E"/>
    <w:rsid w:val="00CC6CFE"/>
    <w:rsid w:val="00CD476F"/>
    <w:rsid w:val="00CE13BE"/>
    <w:rsid w:val="00CE15D9"/>
    <w:rsid w:val="00CE27BD"/>
    <w:rsid w:val="00CE6070"/>
    <w:rsid w:val="00CE7599"/>
    <w:rsid w:val="00CF2EFF"/>
    <w:rsid w:val="00CF591A"/>
    <w:rsid w:val="00CF5B47"/>
    <w:rsid w:val="00D137B2"/>
    <w:rsid w:val="00D15B56"/>
    <w:rsid w:val="00D15BDD"/>
    <w:rsid w:val="00D16008"/>
    <w:rsid w:val="00D20137"/>
    <w:rsid w:val="00D2229E"/>
    <w:rsid w:val="00D33D87"/>
    <w:rsid w:val="00D35777"/>
    <w:rsid w:val="00D37CCF"/>
    <w:rsid w:val="00D46202"/>
    <w:rsid w:val="00D46437"/>
    <w:rsid w:val="00D5204B"/>
    <w:rsid w:val="00D5204C"/>
    <w:rsid w:val="00D54C10"/>
    <w:rsid w:val="00D61174"/>
    <w:rsid w:val="00D659F0"/>
    <w:rsid w:val="00D674A2"/>
    <w:rsid w:val="00D722DF"/>
    <w:rsid w:val="00D81207"/>
    <w:rsid w:val="00D84675"/>
    <w:rsid w:val="00D85B97"/>
    <w:rsid w:val="00D85D6E"/>
    <w:rsid w:val="00D93689"/>
    <w:rsid w:val="00D96821"/>
    <w:rsid w:val="00DA0ECC"/>
    <w:rsid w:val="00DA3AF3"/>
    <w:rsid w:val="00DA5455"/>
    <w:rsid w:val="00DA5C2B"/>
    <w:rsid w:val="00DA676E"/>
    <w:rsid w:val="00DB1DA2"/>
    <w:rsid w:val="00DB222B"/>
    <w:rsid w:val="00DB29BF"/>
    <w:rsid w:val="00DB2D8B"/>
    <w:rsid w:val="00DB332A"/>
    <w:rsid w:val="00DB5EFB"/>
    <w:rsid w:val="00DB7AA6"/>
    <w:rsid w:val="00DC0105"/>
    <w:rsid w:val="00DC1E5B"/>
    <w:rsid w:val="00DC2787"/>
    <w:rsid w:val="00DC3073"/>
    <w:rsid w:val="00DC3C3A"/>
    <w:rsid w:val="00DD0973"/>
    <w:rsid w:val="00DD28EE"/>
    <w:rsid w:val="00DE0051"/>
    <w:rsid w:val="00DE1703"/>
    <w:rsid w:val="00DE7004"/>
    <w:rsid w:val="00DE7D6D"/>
    <w:rsid w:val="00DF0871"/>
    <w:rsid w:val="00DF534B"/>
    <w:rsid w:val="00DF568D"/>
    <w:rsid w:val="00E00CCB"/>
    <w:rsid w:val="00E00DEE"/>
    <w:rsid w:val="00E03319"/>
    <w:rsid w:val="00E033E8"/>
    <w:rsid w:val="00E071E8"/>
    <w:rsid w:val="00E12D95"/>
    <w:rsid w:val="00E175A7"/>
    <w:rsid w:val="00E20168"/>
    <w:rsid w:val="00E20740"/>
    <w:rsid w:val="00E20E92"/>
    <w:rsid w:val="00E24645"/>
    <w:rsid w:val="00E249CA"/>
    <w:rsid w:val="00E2688D"/>
    <w:rsid w:val="00E30328"/>
    <w:rsid w:val="00E3354E"/>
    <w:rsid w:val="00E337BC"/>
    <w:rsid w:val="00E33A49"/>
    <w:rsid w:val="00E34624"/>
    <w:rsid w:val="00E350CD"/>
    <w:rsid w:val="00E35611"/>
    <w:rsid w:val="00E43C0A"/>
    <w:rsid w:val="00E519B0"/>
    <w:rsid w:val="00E537E7"/>
    <w:rsid w:val="00E542C2"/>
    <w:rsid w:val="00E600F1"/>
    <w:rsid w:val="00E61564"/>
    <w:rsid w:val="00E6159D"/>
    <w:rsid w:val="00E61811"/>
    <w:rsid w:val="00E6505F"/>
    <w:rsid w:val="00E65E6C"/>
    <w:rsid w:val="00E705B7"/>
    <w:rsid w:val="00E71A89"/>
    <w:rsid w:val="00E81E00"/>
    <w:rsid w:val="00E83AC9"/>
    <w:rsid w:val="00E8429A"/>
    <w:rsid w:val="00E9047B"/>
    <w:rsid w:val="00EA1893"/>
    <w:rsid w:val="00EA2CA0"/>
    <w:rsid w:val="00EB055B"/>
    <w:rsid w:val="00EB2D98"/>
    <w:rsid w:val="00EB465F"/>
    <w:rsid w:val="00EB5253"/>
    <w:rsid w:val="00EC1212"/>
    <w:rsid w:val="00EC1D3D"/>
    <w:rsid w:val="00EC677E"/>
    <w:rsid w:val="00EC7E67"/>
    <w:rsid w:val="00ED558A"/>
    <w:rsid w:val="00ED62B3"/>
    <w:rsid w:val="00ED71F1"/>
    <w:rsid w:val="00EE0B3E"/>
    <w:rsid w:val="00EE2179"/>
    <w:rsid w:val="00EE6DFE"/>
    <w:rsid w:val="00EF3972"/>
    <w:rsid w:val="00EF3D4D"/>
    <w:rsid w:val="00EF5EA3"/>
    <w:rsid w:val="00EF67F9"/>
    <w:rsid w:val="00F0011B"/>
    <w:rsid w:val="00F00CF8"/>
    <w:rsid w:val="00F01C4C"/>
    <w:rsid w:val="00F04831"/>
    <w:rsid w:val="00F06721"/>
    <w:rsid w:val="00F06F0D"/>
    <w:rsid w:val="00F0759D"/>
    <w:rsid w:val="00F07F21"/>
    <w:rsid w:val="00F13036"/>
    <w:rsid w:val="00F16B74"/>
    <w:rsid w:val="00F246B1"/>
    <w:rsid w:val="00F24D75"/>
    <w:rsid w:val="00F261E3"/>
    <w:rsid w:val="00F2681E"/>
    <w:rsid w:val="00F26CA2"/>
    <w:rsid w:val="00F276AE"/>
    <w:rsid w:val="00F34F33"/>
    <w:rsid w:val="00F35C82"/>
    <w:rsid w:val="00F37B6B"/>
    <w:rsid w:val="00F43C11"/>
    <w:rsid w:val="00F46151"/>
    <w:rsid w:val="00F521FE"/>
    <w:rsid w:val="00F55BC0"/>
    <w:rsid w:val="00F66A5F"/>
    <w:rsid w:val="00F66FCA"/>
    <w:rsid w:val="00F71EED"/>
    <w:rsid w:val="00F74479"/>
    <w:rsid w:val="00F82E85"/>
    <w:rsid w:val="00F8546E"/>
    <w:rsid w:val="00F95DAF"/>
    <w:rsid w:val="00FA24D2"/>
    <w:rsid w:val="00FA5451"/>
    <w:rsid w:val="00FA774E"/>
    <w:rsid w:val="00FB0249"/>
    <w:rsid w:val="00FB0864"/>
    <w:rsid w:val="00FB4180"/>
    <w:rsid w:val="00FC06BA"/>
    <w:rsid w:val="00FC4562"/>
    <w:rsid w:val="00FC7740"/>
    <w:rsid w:val="00FD47F7"/>
    <w:rsid w:val="00FD663A"/>
    <w:rsid w:val="00FD6657"/>
    <w:rsid w:val="00FD7DE9"/>
    <w:rsid w:val="00FF1A54"/>
    <w:rsid w:val="00FF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C"/>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1"/>
      </w:numPr>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C5C1F"/>
    <w:pPr>
      <w:keepNext/>
      <w:keepLines/>
      <w:numPr>
        <w:numId w:val="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3E777B"/>
    <w:pPr>
      <w:numPr>
        <w:numId w:val="11"/>
      </w:numPr>
      <w:spacing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01161"/>
    <w:rPr>
      <w:sz w:val="20"/>
      <w:szCs w:val="20"/>
    </w:rPr>
  </w:style>
  <w:style w:type="character" w:customStyle="1" w:styleId="FootnoteTextChar">
    <w:name w:val="Footnote Text Char"/>
    <w:basedOn w:val="DefaultParagraphFont"/>
    <w:link w:val="FootnoteText"/>
    <w:uiPriority w:val="99"/>
    <w:rsid w:val="00B01161"/>
    <w:rPr>
      <w:rFonts w:ascii="Times New Roman" w:eastAsia="Times New Roman" w:hAnsi="Times New Roman" w:cs="Times New Roman"/>
      <w:sz w:val="20"/>
      <w:szCs w:val="20"/>
    </w:rPr>
  </w:style>
  <w:style w:type="character" w:styleId="FootnoteReference">
    <w:name w:val="footnote reference"/>
    <w:aliases w:val="o,fr"/>
    <w:basedOn w:val="DefaultParagraphFont"/>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AC5C1F"/>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3E777B"/>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uiPriority w:val="99"/>
    <w:semiHidden/>
    <w:unhideWhenUsed/>
    <w:rsid w:val="00CD476F"/>
    <w:rPr>
      <w:strike w:val="0"/>
      <w:dstrike w:val="0"/>
      <w:color w:val="004B91"/>
      <w:u w:val="none"/>
      <w:effect w:val="none"/>
    </w:rPr>
  </w:style>
  <w:style w:type="character" w:customStyle="1" w:styleId="term1">
    <w:name w:val="term1"/>
    <w:basedOn w:val="DefaultParagraphFont"/>
    <w:rsid w:val="00CD47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C"/>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1"/>
      </w:numPr>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C5C1F"/>
    <w:pPr>
      <w:keepNext/>
      <w:keepLines/>
      <w:numPr>
        <w:numId w:val="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3E777B"/>
    <w:pPr>
      <w:numPr>
        <w:numId w:val="11"/>
      </w:numPr>
      <w:spacing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01161"/>
    <w:rPr>
      <w:sz w:val="20"/>
      <w:szCs w:val="20"/>
    </w:rPr>
  </w:style>
  <w:style w:type="character" w:customStyle="1" w:styleId="FootnoteTextChar">
    <w:name w:val="Footnote Text Char"/>
    <w:basedOn w:val="DefaultParagraphFont"/>
    <w:link w:val="FootnoteText"/>
    <w:uiPriority w:val="99"/>
    <w:rsid w:val="00B01161"/>
    <w:rPr>
      <w:rFonts w:ascii="Times New Roman" w:eastAsia="Times New Roman" w:hAnsi="Times New Roman" w:cs="Times New Roman"/>
      <w:sz w:val="20"/>
      <w:szCs w:val="20"/>
    </w:rPr>
  </w:style>
  <w:style w:type="character" w:styleId="FootnoteReference">
    <w:name w:val="footnote reference"/>
    <w:aliases w:val="o,fr"/>
    <w:basedOn w:val="DefaultParagraphFont"/>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AC5C1F"/>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3E777B"/>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uiPriority w:val="99"/>
    <w:semiHidden/>
    <w:unhideWhenUsed/>
    <w:rsid w:val="00CD476F"/>
    <w:rPr>
      <w:strike w:val="0"/>
      <w:dstrike w:val="0"/>
      <w:color w:val="004B91"/>
      <w:u w:val="none"/>
      <w:effect w:val="none"/>
    </w:rPr>
  </w:style>
  <w:style w:type="character" w:customStyle="1" w:styleId="term1">
    <w:name w:val="term1"/>
    <w:basedOn w:val="DefaultParagraphFont"/>
    <w:rsid w:val="00CD4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419db4e7e025fcd0f6d37a7997bd428d&amp;_xfercite=%3ccite%20cc%3d%22USA%22%3e%3c%21%5bCDATA%5b2012%20Pa.%20PUC%20LEXIS%201459%5d%5d%3e%3c%2fcite%3e&amp;_butType=4&amp;_butStat=0&amp;_butNum=13&amp;_butInline=1&amp;_butinfo=52%20PA%20CODE%205.231&amp;_fmtstr=FULL&amp;docnum=10&amp;_startdoc=1&amp;wchp=dGLbVzB-zSkAW&amp;_md5=9e11094e7cba6c09553674243a0ba6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6840269e96d866f7def0bd999ce92e73&amp;_xfercite=%3ccite%20cc%3d%22USA%22%3e%3c%21%5bCDATA%5b293%20P.U.R.4th%20235%5d%5d%3e%3c%2fcite%3e&amp;_butType=4&amp;_butStat=0&amp;_butNum=15&amp;_butInline=1&amp;_butinfo=66%20PACS%20315&amp;_fmtstr=FULL&amp;docnum=2&amp;_startdoc=1&amp;wchp=dGLbVzt-zSkAW&amp;_md5=a106ff73ba6d63872120ef8ca081a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6840269e96d866f7def0bd999ce92e73&amp;_xfercite=%3ccite%20cc%3d%22USA%22%3e%3c%21%5bCDATA%5b293%20P.U.R.4th%20235%5d%5d%3e%3c%2fcite%3e&amp;_butType=4&amp;_butStat=0&amp;_butNum=14&amp;_butInline=1&amp;_butinfo=66%20PACS%201308&amp;_fmtstr=FULL&amp;docnum=2&amp;_startdoc=1&amp;wchp=dGLbVzt-zSkAW&amp;_md5=464915d2447578a011ff30165eef4e7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exis.com/research/buttonTFLink?_m=1be499e195bbff92a6a1dedc9f432510&amp;_xfercite=%3ccite%20cc%3d%22USA%22%3e%3c%21%5bCDATA%5b157%20Pa.%20Commw.%2086%5d%5d%3e%3c%2fcite%3e&amp;_butType=4&amp;_butStat=0&amp;_butNum=51&amp;_butInline=1&amp;_butinfo=66%20PA.C.S.%201301&amp;_fmtstr=FULL&amp;docnum=1&amp;_startdoc=1&amp;wchp=dGLzVzt-zSkAb&amp;_md5=a725045f9ab5deeead6b8b16c8691991" TargetMode="External"/><Relationship Id="rId4" Type="http://schemas.microsoft.com/office/2007/relationships/stylesWithEffects" Target="stylesWithEffects.xml"/><Relationship Id="rId9" Type="http://schemas.openxmlformats.org/officeDocument/2006/relationships/hyperlink" Target="http://www.lexis.com/research/buttonTFLink?_m=1be499e195bbff92a6a1dedc9f432510&amp;_xfercite=%3ccite%20cc%3d%22USA%22%3e%3c%21%5bCDATA%5b157%20Pa.%20Commw.%2086%5d%5d%3e%3c%2fcite%3e&amp;_butType=4&amp;_butStat=0&amp;_butNum=50&amp;_butInline=1&amp;_butinfo=66%20PA.C.S.%201301&amp;_fmtstr=FULL&amp;docnum=1&amp;_startdoc=1&amp;wchp=dGLzVzt-zSkAb&amp;_md5=46056d0013ee20e0d93b3c249715546a"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8C7A-DD4F-4057-AEEE-F5EB4BCF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4</cp:revision>
  <cp:lastPrinted>2015-05-29T20:13:00Z</cp:lastPrinted>
  <dcterms:created xsi:type="dcterms:W3CDTF">2015-06-05T15:56:00Z</dcterms:created>
  <dcterms:modified xsi:type="dcterms:W3CDTF">2015-06-11T13:13:00Z</dcterms:modified>
</cp:coreProperties>
</file>