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Default="00EC58EA">
      <w:pPr>
        <w:jc w:val="both"/>
        <w:rPr>
          <w:rFonts w:ascii="Times New Roman" w:hAnsi="Times New Roman"/>
          <w:sz w:val="24"/>
        </w:rPr>
      </w:pPr>
      <w:bookmarkStart w:id="0" w:name="_GoBack"/>
      <w:bookmarkEnd w:id="0"/>
    </w:p>
    <w:p w:rsidR="005A1010" w:rsidRDefault="005A1010">
      <w:pPr>
        <w:jc w:val="both"/>
        <w:rPr>
          <w:rFonts w:ascii="Times New Roman" w:hAnsi="Times New Roman"/>
          <w:sz w:val="24"/>
        </w:rPr>
      </w:pPr>
    </w:p>
    <w:p w:rsidR="005A1010" w:rsidRDefault="005A1010">
      <w:pPr>
        <w:jc w:val="both"/>
        <w:rPr>
          <w:rFonts w:ascii="Times New Roman" w:hAnsi="Times New Roman"/>
          <w:sz w:val="24"/>
        </w:rPr>
      </w:pPr>
    </w:p>
    <w:p w:rsidR="005A1010" w:rsidRDefault="005A1010">
      <w:pPr>
        <w:jc w:val="both"/>
        <w:rPr>
          <w:rFonts w:ascii="Times New Roman" w:hAnsi="Times New Roman"/>
          <w:sz w:val="24"/>
        </w:rPr>
      </w:pPr>
    </w:p>
    <w:p w:rsidR="005A1010" w:rsidRDefault="005A1010">
      <w:pPr>
        <w:jc w:val="both"/>
        <w:rPr>
          <w:rFonts w:ascii="Times New Roman" w:hAnsi="Times New Roman"/>
          <w:sz w:val="24"/>
        </w:rPr>
      </w:pPr>
    </w:p>
    <w:p w:rsidR="008016CC" w:rsidRDefault="008016CC">
      <w:pPr>
        <w:jc w:val="both"/>
        <w:rPr>
          <w:rFonts w:ascii="Times New Roman" w:hAnsi="Times New Roman"/>
          <w:sz w:val="24"/>
        </w:rPr>
      </w:pPr>
    </w:p>
    <w:p w:rsidR="008016CC" w:rsidRDefault="008016CC">
      <w:pPr>
        <w:jc w:val="both"/>
        <w:rPr>
          <w:rFonts w:ascii="Times New Roman" w:hAnsi="Times New Roman"/>
          <w:sz w:val="24"/>
        </w:rPr>
      </w:pPr>
    </w:p>
    <w:p w:rsidR="008016CC" w:rsidRDefault="008016CC">
      <w:pPr>
        <w:jc w:val="both"/>
        <w:rPr>
          <w:rFonts w:ascii="Times New Roman" w:hAnsi="Times New Roman"/>
          <w:sz w:val="24"/>
        </w:rPr>
      </w:pPr>
    </w:p>
    <w:p w:rsidR="00EC58EA" w:rsidRPr="00C20F64" w:rsidRDefault="00EC58EA">
      <w:pPr>
        <w:tabs>
          <w:tab w:val="center" w:pos="4680"/>
        </w:tabs>
        <w:jc w:val="center"/>
        <w:outlineLvl w:val="0"/>
        <w:rPr>
          <w:rFonts w:ascii="Arial" w:hAnsi="Arial" w:cs="Arial"/>
          <w:b/>
          <w:sz w:val="36"/>
          <w:szCs w:val="36"/>
        </w:rPr>
      </w:pPr>
      <w:r w:rsidRPr="00C20F64">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Pr="00E365CC" w:rsidRDefault="00EC58EA">
      <w:pPr>
        <w:tabs>
          <w:tab w:val="left" w:pos="-720"/>
        </w:tabs>
        <w:jc w:val="both"/>
        <w:rPr>
          <w:rFonts w:ascii="Arial" w:hAnsi="Arial" w:cs="Arial"/>
          <w:b/>
          <w:sz w:val="28"/>
          <w:szCs w:val="28"/>
          <w:highlight w:val="lightGray"/>
        </w:rPr>
      </w:pPr>
    </w:p>
    <w:p w:rsidR="00EC58EA" w:rsidRPr="00E365CC" w:rsidRDefault="00EC58EA">
      <w:pPr>
        <w:tabs>
          <w:tab w:val="left" w:pos="-720"/>
        </w:tabs>
        <w:jc w:val="both"/>
        <w:rPr>
          <w:rFonts w:ascii="Arial" w:hAnsi="Arial" w:cs="Arial"/>
          <w:b/>
          <w:sz w:val="28"/>
          <w:szCs w:val="28"/>
          <w:highlight w:val="lightGray"/>
        </w:rPr>
      </w:pPr>
    </w:p>
    <w:p w:rsidR="00EC58EA" w:rsidRDefault="00EC58EA">
      <w:pPr>
        <w:tabs>
          <w:tab w:val="left" w:pos="-720"/>
        </w:tabs>
        <w:jc w:val="both"/>
        <w:rPr>
          <w:rFonts w:ascii="Arial" w:hAnsi="Arial" w:cs="Arial"/>
          <w:b/>
          <w:sz w:val="28"/>
          <w:szCs w:val="28"/>
          <w:highlight w:val="lightGray"/>
        </w:rPr>
      </w:pPr>
    </w:p>
    <w:p w:rsidR="00C20F64" w:rsidRDefault="00C20F64">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8016CC" w:rsidRDefault="008016CC">
      <w:pPr>
        <w:tabs>
          <w:tab w:val="left" w:pos="-720"/>
        </w:tabs>
        <w:jc w:val="both"/>
        <w:rPr>
          <w:rFonts w:ascii="Arial" w:hAnsi="Arial" w:cs="Arial"/>
          <w:b/>
          <w:sz w:val="28"/>
          <w:szCs w:val="28"/>
          <w:highlight w:val="lightGray"/>
        </w:rPr>
      </w:pPr>
    </w:p>
    <w:p w:rsidR="008016CC" w:rsidRPr="00E365CC" w:rsidRDefault="008016CC">
      <w:pPr>
        <w:tabs>
          <w:tab w:val="left" w:pos="-720"/>
        </w:tabs>
        <w:jc w:val="both"/>
        <w:rPr>
          <w:rFonts w:ascii="Arial" w:hAnsi="Arial" w:cs="Arial"/>
          <w:b/>
          <w:sz w:val="28"/>
          <w:szCs w:val="28"/>
          <w:highlight w:val="lightGray"/>
        </w:rPr>
      </w:pPr>
    </w:p>
    <w:p w:rsidR="00795B0B" w:rsidRPr="00976A67" w:rsidRDefault="00EC58EA" w:rsidP="00795B0B">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A REPORT ON </w:t>
      </w:r>
      <w:r w:rsidR="00976A67" w:rsidRPr="00976A67">
        <w:rPr>
          <w:rFonts w:ascii="Arial" w:hAnsi="Arial" w:cs="Arial"/>
          <w:b/>
          <w:sz w:val="28"/>
          <w:szCs w:val="28"/>
        </w:rPr>
        <w:t>THE</w:t>
      </w:r>
      <w:r w:rsidR="005A1010">
        <w:rPr>
          <w:rFonts w:ascii="Arial" w:hAnsi="Arial" w:cs="Arial"/>
          <w:b/>
          <w:sz w:val="28"/>
          <w:szCs w:val="28"/>
        </w:rPr>
        <w:t xml:space="preserve"> STATEMENTS OF </w:t>
      </w:r>
    </w:p>
    <w:p w:rsidR="00976A67" w:rsidRPr="007E3C85" w:rsidRDefault="00976A67" w:rsidP="00795B0B">
      <w:pPr>
        <w:tabs>
          <w:tab w:val="center" w:pos="4680"/>
        </w:tabs>
        <w:spacing w:line="188" w:lineRule="atLeast"/>
        <w:jc w:val="center"/>
        <w:outlineLvl w:val="0"/>
        <w:rPr>
          <w:rFonts w:ascii="Arial" w:hAnsi="Arial" w:cs="Arial"/>
          <w:b/>
          <w:szCs w:val="28"/>
        </w:rPr>
      </w:pPr>
    </w:p>
    <w:p w:rsidR="00C23186" w:rsidRDefault="0067126E" w:rsidP="00795B0B">
      <w:pPr>
        <w:jc w:val="center"/>
        <w:rPr>
          <w:rFonts w:ascii="Arial" w:hAnsi="Arial" w:cs="Arial"/>
          <w:b/>
          <w:sz w:val="28"/>
          <w:szCs w:val="28"/>
        </w:rPr>
      </w:pPr>
      <w:r>
        <w:rPr>
          <w:rFonts w:ascii="Arial" w:hAnsi="Arial" w:cs="Arial"/>
          <w:b/>
          <w:sz w:val="28"/>
          <w:szCs w:val="28"/>
        </w:rPr>
        <w:t>EFFICIENCY COST RECOVERY</w:t>
      </w:r>
      <w:r w:rsidR="000712BC">
        <w:rPr>
          <w:rFonts w:ascii="Arial" w:hAnsi="Arial" w:cs="Arial"/>
          <w:b/>
          <w:sz w:val="28"/>
          <w:szCs w:val="28"/>
        </w:rPr>
        <w:t xml:space="preserve"> </w:t>
      </w:r>
      <w:r w:rsidR="00C23186">
        <w:rPr>
          <w:rFonts w:ascii="Arial" w:hAnsi="Arial" w:cs="Arial"/>
          <w:b/>
          <w:sz w:val="28"/>
          <w:szCs w:val="28"/>
        </w:rPr>
        <w:t xml:space="preserve">SURCHARGE </w:t>
      </w:r>
    </w:p>
    <w:p w:rsidR="00C23186" w:rsidRDefault="00C23186" w:rsidP="00795B0B">
      <w:pPr>
        <w:jc w:val="center"/>
        <w:rPr>
          <w:rFonts w:ascii="Arial" w:hAnsi="Arial" w:cs="Arial"/>
          <w:b/>
          <w:sz w:val="28"/>
          <w:szCs w:val="28"/>
        </w:rPr>
      </w:pPr>
    </w:p>
    <w:p w:rsidR="000712BC" w:rsidRDefault="00B7655B" w:rsidP="00795B0B">
      <w:pPr>
        <w:jc w:val="center"/>
        <w:rPr>
          <w:rFonts w:ascii="Arial" w:hAnsi="Arial" w:cs="Arial"/>
          <w:b/>
          <w:sz w:val="28"/>
          <w:szCs w:val="28"/>
        </w:rPr>
      </w:pPr>
      <w:r>
        <w:rPr>
          <w:rFonts w:ascii="Arial" w:hAnsi="Arial" w:cs="Arial"/>
          <w:b/>
          <w:sz w:val="28"/>
          <w:szCs w:val="28"/>
        </w:rPr>
        <w:t>OVER/(UNDER)</w:t>
      </w:r>
      <w:r w:rsidR="005A1010">
        <w:rPr>
          <w:rFonts w:ascii="Arial" w:hAnsi="Arial" w:cs="Arial"/>
          <w:b/>
          <w:sz w:val="28"/>
          <w:szCs w:val="28"/>
        </w:rPr>
        <w:t xml:space="preserve"> </w:t>
      </w:r>
      <w:r>
        <w:rPr>
          <w:rFonts w:ascii="Arial" w:hAnsi="Arial" w:cs="Arial"/>
          <w:b/>
          <w:sz w:val="28"/>
          <w:szCs w:val="28"/>
        </w:rPr>
        <w:t>COLLECTIONS</w:t>
      </w:r>
      <w:r w:rsidR="00EC58EA" w:rsidRPr="000712BC">
        <w:rPr>
          <w:rFonts w:ascii="Arial" w:hAnsi="Arial" w:cs="Arial"/>
          <w:b/>
          <w:sz w:val="28"/>
          <w:szCs w:val="28"/>
        </w:rPr>
        <w:t xml:space="preserve"> </w:t>
      </w:r>
    </w:p>
    <w:p w:rsidR="000712BC" w:rsidRPr="007E3C85" w:rsidRDefault="000712BC" w:rsidP="00795B0B">
      <w:pPr>
        <w:jc w:val="center"/>
        <w:rPr>
          <w:rFonts w:ascii="Arial" w:hAnsi="Arial" w:cs="Arial"/>
          <w:b/>
          <w:szCs w:val="28"/>
        </w:rPr>
      </w:pPr>
    </w:p>
    <w:p w:rsidR="00A30CD0" w:rsidRPr="000712BC"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FOR THE TWE</w:t>
      </w:r>
      <w:r w:rsidR="00A30CD0" w:rsidRPr="000712BC">
        <w:rPr>
          <w:rFonts w:ascii="Arial" w:hAnsi="Arial" w:cs="Arial"/>
          <w:b/>
          <w:sz w:val="28"/>
          <w:szCs w:val="28"/>
        </w:rPr>
        <w:t>LVE</w:t>
      </w:r>
      <w:r w:rsidRPr="000712BC">
        <w:rPr>
          <w:rFonts w:ascii="Arial" w:hAnsi="Arial" w:cs="Arial"/>
          <w:b/>
          <w:sz w:val="28"/>
          <w:szCs w:val="28"/>
        </w:rPr>
        <w:t xml:space="preserve"> MONTH</w:t>
      </w:r>
      <w:r w:rsidR="0033185A">
        <w:rPr>
          <w:rFonts w:ascii="Arial" w:hAnsi="Arial" w:cs="Arial"/>
          <w:b/>
          <w:sz w:val="28"/>
          <w:szCs w:val="28"/>
        </w:rPr>
        <w:t xml:space="preserve"> PERIODS</w:t>
      </w:r>
      <w:r w:rsidRPr="000712BC">
        <w:rPr>
          <w:rFonts w:ascii="Arial" w:hAnsi="Arial" w:cs="Arial"/>
          <w:b/>
          <w:sz w:val="28"/>
          <w:szCs w:val="28"/>
        </w:rPr>
        <w:t xml:space="preserve"> ENDED</w:t>
      </w:r>
    </w:p>
    <w:p w:rsidR="00A30CD0" w:rsidRPr="007E3C85" w:rsidRDefault="00A30CD0">
      <w:pPr>
        <w:tabs>
          <w:tab w:val="center" w:pos="4680"/>
        </w:tabs>
        <w:spacing w:line="188" w:lineRule="atLeast"/>
        <w:jc w:val="center"/>
        <w:outlineLvl w:val="0"/>
        <w:rPr>
          <w:rFonts w:ascii="Arial" w:hAnsi="Arial" w:cs="Arial"/>
          <w:b/>
          <w:szCs w:val="28"/>
        </w:rPr>
      </w:pPr>
    </w:p>
    <w:p w:rsidR="00EC58EA" w:rsidRDefault="00413406">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2012</w:t>
      </w:r>
      <w:r w:rsidR="0033185A">
        <w:rPr>
          <w:rFonts w:ascii="Arial" w:hAnsi="Arial" w:cs="Arial"/>
          <w:b/>
          <w:sz w:val="28"/>
          <w:szCs w:val="28"/>
        </w:rPr>
        <w:t xml:space="preserve"> AND AUGUST 31, 2011</w:t>
      </w:r>
      <w:r w:rsidR="00A846B4" w:rsidRPr="000712BC">
        <w:rPr>
          <w:rFonts w:ascii="Arial" w:hAnsi="Arial" w:cs="Arial"/>
          <w:b/>
          <w:sz w:val="28"/>
          <w:szCs w:val="28"/>
        </w:rPr>
        <w:t xml:space="preserve"> </w:t>
      </w:r>
    </w:p>
    <w:p w:rsidR="00EC58EA" w:rsidRPr="00E365CC" w:rsidRDefault="00EC58EA">
      <w:pPr>
        <w:tabs>
          <w:tab w:val="center" w:pos="4680"/>
        </w:tabs>
        <w:spacing w:line="188" w:lineRule="atLeast"/>
        <w:jc w:val="both"/>
        <w:rPr>
          <w:rFonts w:ascii="Times New Roman" w:hAnsi="Times New Roman"/>
          <w:b/>
          <w:sz w:val="24"/>
          <w:szCs w:val="24"/>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EC58EA" w:rsidRDefault="00EC58EA">
      <w:pPr>
        <w:tabs>
          <w:tab w:val="left" w:pos="-720"/>
        </w:tabs>
        <w:spacing w:line="188" w:lineRule="atLeast"/>
        <w:jc w:val="both"/>
        <w:rPr>
          <w:rFonts w:ascii="Times New Roman" w:hAnsi="Times New Roman"/>
          <w:b/>
          <w:sz w:val="24"/>
          <w:highlight w:val="lightGray"/>
          <w:u w:val="single"/>
        </w:rPr>
      </w:pPr>
    </w:p>
    <w:p w:rsidR="00F73D95" w:rsidRDefault="00F73D95">
      <w:pPr>
        <w:tabs>
          <w:tab w:val="left" w:pos="-720"/>
        </w:tabs>
        <w:spacing w:line="188" w:lineRule="atLeast"/>
        <w:jc w:val="both"/>
        <w:rPr>
          <w:rFonts w:ascii="Times New Roman" w:hAnsi="Times New Roman"/>
          <w:b/>
          <w:sz w:val="24"/>
          <w:highlight w:val="lightGray"/>
          <w:u w:val="single"/>
        </w:rPr>
      </w:pPr>
    </w:p>
    <w:p w:rsidR="00F73D95" w:rsidRPr="00E365CC" w:rsidRDefault="00F73D95">
      <w:pPr>
        <w:tabs>
          <w:tab w:val="left" w:pos="-720"/>
        </w:tabs>
        <w:spacing w:line="188" w:lineRule="atLeast"/>
        <w:jc w:val="both"/>
        <w:rPr>
          <w:rFonts w:ascii="Times New Roman" w:hAnsi="Times New Roman"/>
          <w:b/>
          <w:sz w:val="24"/>
          <w:highlight w:val="lightGray"/>
          <w:u w:val="single"/>
        </w:rPr>
      </w:pPr>
    </w:p>
    <w:p w:rsidR="00C20F64" w:rsidRDefault="00C20F64">
      <w:pPr>
        <w:tabs>
          <w:tab w:val="left" w:pos="-720"/>
        </w:tabs>
        <w:spacing w:line="188" w:lineRule="atLeast"/>
        <w:jc w:val="both"/>
        <w:rPr>
          <w:rFonts w:ascii="Times New Roman" w:hAnsi="Times New Roman"/>
          <w:b/>
          <w:sz w:val="24"/>
          <w:highlight w:val="lightGray"/>
          <w:u w:val="single"/>
        </w:rPr>
      </w:pPr>
    </w:p>
    <w:p w:rsidR="007E3C85" w:rsidRDefault="007E3C85">
      <w:pPr>
        <w:tabs>
          <w:tab w:val="left" w:pos="-720"/>
        </w:tabs>
        <w:spacing w:line="188" w:lineRule="atLeast"/>
        <w:jc w:val="both"/>
        <w:rPr>
          <w:rFonts w:ascii="Times New Roman" w:hAnsi="Times New Roman"/>
          <w:b/>
          <w:sz w:val="24"/>
          <w:highlight w:val="lightGray"/>
          <w:u w:val="single"/>
        </w:rPr>
      </w:pPr>
    </w:p>
    <w:p w:rsidR="002C5E34" w:rsidRPr="00E365CC" w:rsidRDefault="002C5E34">
      <w:pPr>
        <w:tabs>
          <w:tab w:val="left" w:pos="-720"/>
        </w:tabs>
        <w:spacing w:line="188" w:lineRule="atLeast"/>
        <w:jc w:val="both"/>
        <w:rPr>
          <w:rFonts w:ascii="Times New Roman" w:hAnsi="Times New Roman"/>
          <w:b/>
          <w:sz w:val="24"/>
          <w:highlight w:val="lightGray"/>
          <w:u w:val="single"/>
        </w:rPr>
      </w:pPr>
    </w:p>
    <w:p w:rsidR="00380DEF"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p>
    <w:p w:rsidR="00380DEF" w:rsidRDefault="00380DEF" w:rsidP="00380DEF">
      <w:pPr>
        <w:tabs>
          <w:tab w:val="center" w:pos="4680"/>
        </w:tabs>
        <w:spacing w:line="188" w:lineRule="atLeast"/>
        <w:outlineLvl w:val="0"/>
        <w:rPr>
          <w:rFonts w:ascii="Arial" w:hAnsi="Arial" w:cs="Arial"/>
          <w:b/>
          <w:sz w:val="28"/>
        </w:rPr>
      </w:pPr>
    </w:p>
    <w:p w:rsidR="00EC58EA" w:rsidRPr="00E365CC"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r w:rsidR="00EC58EA"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smartTag w:uri="urn:schemas-microsoft-com:office:smarttags" w:element="State">
        <w:smartTag w:uri="urn:schemas-microsoft-com:office:smarttags" w:element="place">
          <w:r w:rsidRPr="00E365CC">
            <w:rPr>
              <w:rFonts w:ascii="Arial" w:hAnsi="Arial" w:cs="Arial"/>
              <w:b/>
              <w:sz w:val="28"/>
            </w:rPr>
            <w:t>Pennsylvania</w:t>
          </w:r>
        </w:smartTag>
      </w:smartTag>
      <w:r w:rsidRPr="00E365CC">
        <w:rPr>
          <w:rFonts w:ascii="Arial" w:hAnsi="Arial" w:cs="Arial"/>
          <w:b/>
          <w:sz w:val="28"/>
        </w:rPr>
        <w:t xml:space="preserve">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BE6D81">
      <w:pPr>
        <w:tabs>
          <w:tab w:val="center" w:pos="4680"/>
        </w:tabs>
        <w:spacing w:line="188" w:lineRule="atLeast"/>
        <w:jc w:val="center"/>
        <w:rPr>
          <w:rFonts w:ascii="Arial" w:hAnsi="Arial" w:cs="Arial"/>
          <w:b/>
          <w:sz w:val="28"/>
        </w:rPr>
      </w:pPr>
      <w:r>
        <w:rPr>
          <w:rFonts w:ascii="Arial" w:hAnsi="Arial" w:cs="Arial"/>
          <w:b/>
          <w:sz w:val="28"/>
        </w:rPr>
        <w:t>Report Date:</w:t>
      </w:r>
      <w:r w:rsidR="00976A67">
        <w:rPr>
          <w:rFonts w:ascii="Arial" w:hAnsi="Arial" w:cs="Arial"/>
          <w:b/>
          <w:sz w:val="28"/>
        </w:rPr>
        <w:t xml:space="preserve"> </w:t>
      </w:r>
      <w:r w:rsidR="001A5617">
        <w:rPr>
          <w:rFonts w:ascii="Arial" w:hAnsi="Arial" w:cs="Arial"/>
          <w:b/>
          <w:sz w:val="28"/>
        </w:rPr>
        <w:t xml:space="preserve"> </w:t>
      </w:r>
      <w:r w:rsidR="00F05352">
        <w:rPr>
          <w:rFonts w:ascii="Arial" w:hAnsi="Arial" w:cs="Arial"/>
          <w:b/>
          <w:sz w:val="28"/>
        </w:rPr>
        <w:t xml:space="preserve">May </w:t>
      </w:r>
      <w:r w:rsidR="0056481D">
        <w:rPr>
          <w:rFonts w:ascii="Arial" w:hAnsi="Arial" w:cs="Arial"/>
          <w:b/>
          <w:sz w:val="28"/>
        </w:rPr>
        <w:t>26</w:t>
      </w:r>
      <w:r w:rsidR="00976A67">
        <w:rPr>
          <w:rFonts w:ascii="Arial" w:hAnsi="Arial" w:cs="Arial"/>
          <w:b/>
          <w:sz w:val="28"/>
        </w:rPr>
        <w:t>,</w:t>
      </w:r>
      <w:r w:rsidR="00E365CC" w:rsidRPr="00E365CC">
        <w:rPr>
          <w:rFonts w:ascii="Arial" w:hAnsi="Arial" w:cs="Arial"/>
          <w:b/>
          <w:sz w:val="28"/>
        </w:rPr>
        <w:t xml:space="preserve"> 20</w:t>
      </w:r>
      <w:r w:rsidR="001849D4">
        <w:rPr>
          <w:rFonts w:ascii="Arial" w:hAnsi="Arial" w:cs="Arial"/>
          <w:b/>
          <w:sz w:val="28"/>
        </w:rPr>
        <w:t>1</w:t>
      </w:r>
      <w:r w:rsidR="001A5617">
        <w:rPr>
          <w:rFonts w:ascii="Arial" w:hAnsi="Arial" w:cs="Arial"/>
          <w:b/>
          <w:sz w:val="28"/>
        </w:rPr>
        <w:t>5</w:t>
      </w:r>
    </w:p>
    <w:p w:rsidR="00EC58EA" w:rsidRPr="00E365CC" w:rsidRDefault="00EC58EA">
      <w:pPr>
        <w:tabs>
          <w:tab w:val="center" w:pos="4680"/>
        </w:tabs>
        <w:spacing w:line="188" w:lineRule="atLeast"/>
        <w:jc w:val="center"/>
        <w:rPr>
          <w:rFonts w:ascii="Arial" w:hAnsi="Arial" w:cs="Arial"/>
          <w:b/>
          <w:sz w:val="28"/>
          <w:highlight w:val="lightGray"/>
        </w:rPr>
      </w:pPr>
    </w:p>
    <w:p w:rsidR="002627D0" w:rsidRPr="00554E01" w:rsidRDefault="00EC58EA" w:rsidP="00554E01">
      <w:pPr>
        <w:tabs>
          <w:tab w:val="center" w:pos="4680"/>
        </w:tabs>
        <w:spacing w:line="188" w:lineRule="atLeast"/>
        <w:jc w:val="center"/>
        <w:rPr>
          <w:rFonts w:ascii="Arial" w:hAnsi="Arial" w:cs="Arial"/>
          <w:b/>
          <w:sz w:val="28"/>
        </w:rPr>
        <w:sectPr w:rsidR="002627D0" w:rsidRPr="00554E01" w:rsidSect="009B54DF">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440" w:right="1440" w:bottom="1152" w:left="1440" w:header="0" w:footer="720" w:gutter="0"/>
          <w:pgNumType w:start="1"/>
          <w:cols w:space="720"/>
          <w:noEndnote/>
          <w:titlePg/>
          <w:docGrid w:linePitch="272"/>
        </w:sectPr>
      </w:pPr>
      <w:r w:rsidRPr="00051545">
        <w:rPr>
          <w:rFonts w:ascii="Arial" w:hAnsi="Arial" w:cs="Arial"/>
          <w:b/>
          <w:sz w:val="28"/>
        </w:rPr>
        <w:t>Docket No. D-</w:t>
      </w:r>
      <w:r w:rsidR="00051545" w:rsidRPr="00051545">
        <w:rPr>
          <w:rFonts w:ascii="Arial" w:hAnsi="Arial" w:cs="Arial"/>
          <w:b/>
          <w:sz w:val="28"/>
        </w:rPr>
        <w:t>20</w:t>
      </w:r>
      <w:r w:rsidR="00436990">
        <w:rPr>
          <w:rFonts w:ascii="Arial" w:hAnsi="Arial" w:cs="Arial"/>
          <w:b/>
          <w:sz w:val="28"/>
        </w:rPr>
        <w:t>1</w:t>
      </w:r>
      <w:r w:rsidR="00554E01">
        <w:rPr>
          <w:rFonts w:ascii="Arial" w:hAnsi="Arial" w:cs="Arial"/>
          <w:b/>
          <w:sz w:val="28"/>
        </w:rPr>
        <w:t>3-2399005</w:t>
      </w:r>
    </w:p>
    <w:p w:rsidR="00EC58EA" w:rsidRPr="00D16CAA" w:rsidRDefault="00EC58EA">
      <w:pPr>
        <w:jc w:val="center"/>
        <w:outlineLvl w:val="0"/>
        <w:rPr>
          <w:rFonts w:ascii="Arial" w:hAnsi="Arial" w:cs="Arial"/>
          <w:b/>
          <w:sz w:val="26"/>
          <w:szCs w:val="26"/>
        </w:rPr>
      </w:pPr>
      <w:r w:rsidRPr="00D16CAA">
        <w:rPr>
          <w:rFonts w:ascii="Arial" w:hAnsi="Arial" w:cs="Arial"/>
          <w:b/>
          <w:sz w:val="26"/>
          <w:szCs w:val="26"/>
        </w:rPr>
        <w:lastRenderedPageBreak/>
        <w:t>PHILADELPHIA GAS WORKS</w:t>
      </w:r>
    </w:p>
    <w:p w:rsidR="00EC58EA" w:rsidRPr="005221A2" w:rsidRDefault="00EC58EA">
      <w:pPr>
        <w:jc w:val="center"/>
        <w:rPr>
          <w:rFonts w:ascii="Arial" w:hAnsi="Arial" w:cs="Arial"/>
          <w:b/>
          <w:sz w:val="24"/>
          <w:szCs w:val="24"/>
        </w:rPr>
      </w:pPr>
    </w:p>
    <w:p w:rsidR="00EC58EA" w:rsidRPr="00D16CAA" w:rsidRDefault="00D16CAA">
      <w:pPr>
        <w:jc w:val="center"/>
        <w:outlineLvl w:val="0"/>
        <w:rPr>
          <w:rFonts w:ascii="Arial" w:hAnsi="Arial" w:cs="Arial"/>
          <w:b/>
          <w:sz w:val="26"/>
          <w:szCs w:val="26"/>
        </w:rPr>
      </w:pPr>
      <w:r w:rsidRPr="00D16CAA">
        <w:rPr>
          <w:rFonts w:ascii="Arial" w:hAnsi="Arial" w:cs="Arial"/>
          <w:b/>
          <w:sz w:val="26"/>
          <w:szCs w:val="26"/>
        </w:rPr>
        <w:t xml:space="preserve">Table of </w:t>
      </w:r>
      <w:r w:rsidR="00EC58EA" w:rsidRPr="00D16CAA">
        <w:rPr>
          <w:rFonts w:ascii="Arial" w:hAnsi="Arial" w:cs="Arial"/>
          <w:b/>
          <w:sz w:val="26"/>
          <w:szCs w:val="26"/>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5221A2" w:rsidTr="007D5B2E">
        <w:trPr>
          <w:jc w:val="center"/>
        </w:trPr>
        <w:tc>
          <w:tcPr>
            <w:tcW w:w="8908" w:type="dxa"/>
            <w:gridSpan w:val="2"/>
          </w:tcPr>
          <w:p w:rsidR="00C15209" w:rsidRPr="005221A2" w:rsidRDefault="00C15209" w:rsidP="007D5B2E">
            <w:pPr>
              <w:tabs>
                <w:tab w:val="left" w:pos="-720"/>
                <w:tab w:val="left" w:pos="8640"/>
              </w:tabs>
              <w:jc w:val="both"/>
              <w:outlineLvl w:val="0"/>
              <w:rPr>
                <w:rFonts w:ascii="Arial" w:hAnsi="Arial" w:cs="Arial"/>
                <w:b/>
                <w:sz w:val="24"/>
                <w:szCs w:val="24"/>
              </w:rPr>
            </w:pPr>
          </w:p>
        </w:tc>
        <w:tc>
          <w:tcPr>
            <w:tcW w:w="270" w:type="dxa"/>
          </w:tcPr>
          <w:p w:rsidR="00C15209" w:rsidRPr="005221A2" w:rsidRDefault="00C15209" w:rsidP="007D5B2E">
            <w:pPr>
              <w:tabs>
                <w:tab w:val="left" w:pos="-720"/>
                <w:tab w:val="left" w:pos="8640"/>
              </w:tabs>
              <w:jc w:val="both"/>
              <w:outlineLvl w:val="0"/>
              <w:rPr>
                <w:rFonts w:ascii="Arial" w:hAnsi="Arial" w:cs="Arial"/>
                <w:sz w:val="24"/>
                <w:szCs w:val="24"/>
              </w:rPr>
            </w:pPr>
          </w:p>
        </w:tc>
        <w:tc>
          <w:tcPr>
            <w:tcW w:w="897" w:type="dxa"/>
          </w:tcPr>
          <w:p w:rsidR="00C15209" w:rsidRPr="00D16CAA" w:rsidRDefault="00C15209" w:rsidP="007D5B2E">
            <w:pPr>
              <w:tabs>
                <w:tab w:val="left" w:pos="-720"/>
                <w:tab w:val="left" w:pos="8640"/>
              </w:tabs>
              <w:jc w:val="both"/>
              <w:outlineLvl w:val="0"/>
              <w:rPr>
                <w:rFonts w:ascii="Arial" w:hAnsi="Arial" w:cs="Arial"/>
                <w:b/>
                <w:sz w:val="24"/>
                <w:szCs w:val="24"/>
                <w:u w:val="single"/>
              </w:rPr>
            </w:pPr>
            <w:r w:rsidRPr="00D16CAA">
              <w:rPr>
                <w:rFonts w:ascii="Arial" w:hAnsi="Arial" w:cs="Arial"/>
                <w:b/>
                <w:sz w:val="24"/>
                <w:szCs w:val="24"/>
                <w:u w:val="single"/>
              </w:rPr>
              <w:t>Page</w:t>
            </w:r>
          </w:p>
        </w:tc>
      </w:tr>
      <w:tr w:rsidR="00F208ED" w:rsidRPr="005221A2" w:rsidTr="007D5B2E">
        <w:trPr>
          <w:jc w:val="center"/>
        </w:trPr>
        <w:tc>
          <w:tcPr>
            <w:tcW w:w="8908" w:type="dxa"/>
            <w:gridSpan w:val="2"/>
          </w:tcPr>
          <w:p w:rsidR="00F208ED" w:rsidRPr="005221A2" w:rsidRDefault="00F208ED" w:rsidP="007D5B2E">
            <w:pPr>
              <w:tabs>
                <w:tab w:val="left" w:pos="-720"/>
                <w:tab w:val="left" w:pos="8640"/>
              </w:tabs>
              <w:jc w:val="both"/>
              <w:outlineLvl w:val="0"/>
              <w:rPr>
                <w:rFonts w:ascii="Arial" w:hAnsi="Arial" w:cs="Arial"/>
                <w:sz w:val="24"/>
                <w:szCs w:val="24"/>
              </w:rPr>
            </w:pPr>
            <w:r w:rsidRPr="005221A2">
              <w:rPr>
                <w:rFonts w:ascii="Arial" w:hAnsi="Arial" w:cs="Arial"/>
                <w:b/>
                <w:sz w:val="24"/>
                <w:szCs w:val="24"/>
              </w:rPr>
              <w:t>FINANCIAL REVIEW</w:t>
            </w:r>
          </w:p>
        </w:tc>
        <w:tc>
          <w:tcPr>
            <w:tcW w:w="270" w:type="dxa"/>
          </w:tcPr>
          <w:p w:rsidR="00F208ED" w:rsidRPr="005221A2" w:rsidRDefault="00F208ED" w:rsidP="007D5B2E">
            <w:pPr>
              <w:tabs>
                <w:tab w:val="left" w:pos="-720"/>
                <w:tab w:val="left" w:pos="8640"/>
              </w:tabs>
              <w:jc w:val="both"/>
              <w:outlineLvl w:val="0"/>
              <w:rPr>
                <w:rFonts w:ascii="Arial" w:hAnsi="Arial" w:cs="Arial"/>
                <w:sz w:val="24"/>
                <w:szCs w:val="24"/>
              </w:rPr>
            </w:pPr>
          </w:p>
        </w:tc>
        <w:tc>
          <w:tcPr>
            <w:tcW w:w="897" w:type="dxa"/>
          </w:tcPr>
          <w:p w:rsidR="00F208ED" w:rsidRPr="005221A2" w:rsidRDefault="00F208ED" w:rsidP="007D5B2E">
            <w:pPr>
              <w:tabs>
                <w:tab w:val="left" w:pos="-720"/>
                <w:tab w:val="left" w:pos="8640"/>
              </w:tabs>
              <w:jc w:val="both"/>
              <w:outlineLvl w:val="0"/>
              <w:rPr>
                <w:rFonts w:ascii="Arial" w:hAnsi="Arial" w:cs="Arial"/>
                <w:sz w:val="24"/>
                <w:szCs w:val="24"/>
              </w:rPr>
            </w:pPr>
          </w:p>
        </w:tc>
      </w:tr>
      <w:tr w:rsidR="00FA1003" w:rsidRPr="005221A2" w:rsidTr="009F6A59">
        <w:trPr>
          <w:cantSplit/>
          <w:trHeight w:hRule="exact" w:val="297"/>
          <w:jc w:val="center"/>
        </w:trPr>
        <w:tc>
          <w:tcPr>
            <w:tcW w:w="718"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5221A2" w:rsidRDefault="00FA1003" w:rsidP="007D5B2E">
            <w:pPr>
              <w:tabs>
                <w:tab w:val="left" w:pos="-720"/>
                <w:tab w:val="left" w:pos="8640"/>
              </w:tabs>
              <w:jc w:val="both"/>
              <w:outlineLvl w:val="0"/>
              <w:rPr>
                <w:rFonts w:ascii="Arial" w:hAnsi="Arial" w:cs="Arial"/>
                <w:sz w:val="24"/>
                <w:szCs w:val="24"/>
              </w:rPr>
            </w:pPr>
          </w:p>
        </w:tc>
      </w:tr>
      <w:tr w:rsidR="00FA1003" w:rsidRPr="005221A2" w:rsidTr="007D5B2E">
        <w:trPr>
          <w:jc w:val="center"/>
        </w:trPr>
        <w:tc>
          <w:tcPr>
            <w:tcW w:w="718"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5221A2" w:rsidRDefault="00F208ED" w:rsidP="007D5B2E">
            <w:pPr>
              <w:tabs>
                <w:tab w:val="left" w:pos="-720"/>
                <w:tab w:val="left" w:pos="8640"/>
              </w:tabs>
              <w:outlineLvl w:val="0"/>
              <w:rPr>
                <w:rFonts w:ascii="Arial" w:hAnsi="Arial" w:cs="Arial"/>
                <w:sz w:val="24"/>
                <w:szCs w:val="24"/>
              </w:rPr>
            </w:pPr>
            <w:r w:rsidRPr="005221A2">
              <w:rPr>
                <w:rFonts w:ascii="Arial" w:hAnsi="Arial" w:cs="Arial"/>
                <w:sz w:val="24"/>
                <w:szCs w:val="24"/>
              </w:rPr>
              <w:t>Independent Auditor's Report</w:t>
            </w:r>
          </w:p>
        </w:tc>
        <w:tc>
          <w:tcPr>
            <w:tcW w:w="270"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5221A2" w:rsidRDefault="00960994" w:rsidP="007D5B2E">
            <w:pPr>
              <w:tabs>
                <w:tab w:val="left" w:pos="-720"/>
                <w:tab w:val="left" w:pos="8640"/>
              </w:tabs>
              <w:jc w:val="both"/>
              <w:outlineLvl w:val="0"/>
              <w:rPr>
                <w:rFonts w:ascii="Arial" w:hAnsi="Arial" w:cs="Arial"/>
                <w:sz w:val="24"/>
                <w:szCs w:val="24"/>
              </w:rPr>
            </w:pPr>
            <w:r w:rsidRPr="005221A2">
              <w:rPr>
                <w:rFonts w:ascii="Arial" w:hAnsi="Arial" w:cs="Arial"/>
                <w:sz w:val="24"/>
                <w:szCs w:val="24"/>
              </w:rPr>
              <w:t xml:space="preserve"> </w:t>
            </w:r>
            <w:r w:rsidR="0091221E" w:rsidRPr="005221A2">
              <w:rPr>
                <w:rFonts w:ascii="Arial" w:hAnsi="Arial" w:cs="Arial"/>
                <w:sz w:val="24"/>
                <w:szCs w:val="24"/>
              </w:rPr>
              <w:t xml:space="preserve"> </w:t>
            </w:r>
            <w:r w:rsidRPr="005221A2">
              <w:rPr>
                <w:rFonts w:ascii="Arial" w:hAnsi="Arial" w:cs="Arial"/>
                <w:sz w:val="24"/>
                <w:szCs w:val="24"/>
              </w:rPr>
              <w:t xml:space="preserve">  </w:t>
            </w:r>
            <w:r w:rsidR="00FC40C3" w:rsidRPr="005221A2">
              <w:rPr>
                <w:rFonts w:ascii="Arial" w:hAnsi="Arial" w:cs="Arial"/>
                <w:sz w:val="24"/>
                <w:szCs w:val="24"/>
              </w:rPr>
              <w:t>1</w:t>
            </w:r>
          </w:p>
        </w:tc>
      </w:tr>
      <w:tr w:rsidR="00274E4B" w:rsidRPr="005221A2" w:rsidTr="00274E4B">
        <w:trPr>
          <w:trHeight w:val="342"/>
          <w:jc w:val="center"/>
        </w:trPr>
        <w:tc>
          <w:tcPr>
            <w:tcW w:w="718" w:type="dxa"/>
          </w:tcPr>
          <w:p w:rsidR="00274E4B" w:rsidRPr="005221A2"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5221A2" w:rsidRDefault="00274E4B" w:rsidP="007D5B2E">
            <w:pPr>
              <w:tabs>
                <w:tab w:val="left" w:pos="-720"/>
                <w:tab w:val="left" w:pos="8640"/>
              </w:tabs>
              <w:outlineLvl w:val="0"/>
              <w:rPr>
                <w:rFonts w:ascii="Arial" w:hAnsi="Arial" w:cs="Arial"/>
                <w:sz w:val="24"/>
                <w:szCs w:val="24"/>
              </w:rPr>
            </w:pPr>
          </w:p>
        </w:tc>
        <w:tc>
          <w:tcPr>
            <w:tcW w:w="270" w:type="dxa"/>
          </w:tcPr>
          <w:p w:rsidR="00274E4B" w:rsidRPr="005221A2"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5221A2" w:rsidRDefault="00274E4B" w:rsidP="007D5B2E">
            <w:pPr>
              <w:tabs>
                <w:tab w:val="left" w:pos="-720"/>
                <w:tab w:val="left" w:pos="8640"/>
              </w:tabs>
              <w:jc w:val="both"/>
              <w:outlineLvl w:val="0"/>
              <w:rPr>
                <w:rFonts w:ascii="Arial" w:hAnsi="Arial" w:cs="Arial"/>
                <w:sz w:val="24"/>
                <w:szCs w:val="24"/>
              </w:rPr>
            </w:pPr>
          </w:p>
        </w:tc>
      </w:tr>
      <w:tr w:rsidR="00320203" w:rsidRPr="005221A2" w:rsidTr="007D5B2E">
        <w:trPr>
          <w:jc w:val="center"/>
        </w:trPr>
        <w:tc>
          <w:tcPr>
            <w:tcW w:w="718" w:type="dxa"/>
          </w:tcPr>
          <w:p w:rsidR="00320203" w:rsidRPr="005221A2" w:rsidRDefault="00320203" w:rsidP="007D5B2E">
            <w:pPr>
              <w:tabs>
                <w:tab w:val="left" w:pos="-720"/>
                <w:tab w:val="left" w:pos="8640"/>
              </w:tabs>
              <w:jc w:val="both"/>
              <w:outlineLvl w:val="0"/>
              <w:rPr>
                <w:rFonts w:ascii="Arial" w:hAnsi="Arial" w:cs="Arial"/>
                <w:sz w:val="24"/>
                <w:szCs w:val="24"/>
              </w:rPr>
            </w:pPr>
          </w:p>
        </w:tc>
        <w:tc>
          <w:tcPr>
            <w:tcW w:w="8190" w:type="dxa"/>
          </w:tcPr>
          <w:p w:rsidR="00CA31E0" w:rsidRDefault="00B7655B" w:rsidP="007D5B2E">
            <w:pPr>
              <w:tabs>
                <w:tab w:val="left" w:pos="-720"/>
                <w:tab w:val="left" w:pos="8640"/>
              </w:tabs>
              <w:outlineLvl w:val="0"/>
              <w:rPr>
                <w:rFonts w:ascii="Arial" w:hAnsi="Arial" w:cs="Arial"/>
                <w:sz w:val="24"/>
                <w:szCs w:val="24"/>
              </w:rPr>
            </w:pPr>
            <w:r>
              <w:rPr>
                <w:rFonts w:ascii="Arial" w:hAnsi="Arial" w:cs="Arial"/>
                <w:sz w:val="24"/>
                <w:szCs w:val="24"/>
              </w:rPr>
              <w:t xml:space="preserve">Condensed Statement </w:t>
            </w:r>
            <w:r w:rsidR="00F05352">
              <w:rPr>
                <w:rFonts w:ascii="Arial" w:hAnsi="Arial" w:cs="Arial"/>
                <w:sz w:val="24"/>
                <w:szCs w:val="24"/>
              </w:rPr>
              <w:t>O</w:t>
            </w:r>
            <w:r>
              <w:rPr>
                <w:rFonts w:ascii="Arial" w:hAnsi="Arial" w:cs="Arial"/>
                <w:sz w:val="24"/>
                <w:szCs w:val="24"/>
              </w:rPr>
              <w:t>f E</w:t>
            </w:r>
            <w:r w:rsidR="0067126E" w:rsidRPr="005221A2">
              <w:rPr>
                <w:rFonts w:ascii="Arial" w:hAnsi="Arial" w:cs="Arial"/>
                <w:sz w:val="24"/>
                <w:szCs w:val="24"/>
              </w:rPr>
              <w:t>fficiency Cost Recovery</w:t>
            </w:r>
            <w:r w:rsidR="00320203" w:rsidRPr="005221A2">
              <w:rPr>
                <w:rFonts w:ascii="Arial" w:hAnsi="Arial" w:cs="Arial"/>
                <w:sz w:val="24"/>
                <w:szCs w:val="24"/>
              </w:rPr>
              <w:t xml:space="preserve"> </w:t>
            </w:r>
            <w:r w:rsidR="00CA31E0">
              <w:rPr>
                <w:rFonts w:ascii="Arial" w:hAnsi="Arial" w:cs="Arial"/>
                <w:sz w:val="24"/>
                <w:szCs w:val="24"/>
              </w:rPr>
              <w:t xml:space="preserve">(ECR) </w:t>
            </w:r>
            <w:r w:rsidR="00964F1D">
              <w:rPr>
                <w:rFonts w:ascii="Arial" w:hAnsi="Arial" w:cs="Arial"/>
                <w:sz w:val="24"/>
                <w:szCs w:val="24"/>
              </w:rPr>
              <w:t>Surcharge</w:t>
            </w:r>
          </w:p>
          <w:p w:rsidR="00906223" w:rsidRDefault="00B7655B" w:rsidP="00145125">
            <w:pPr>
              <w:tabs>
                <w:tab w:val="left" w:pos="-720"/>
                <w:tab w:val="left" w:pos="8640"/>
              </w:tabs>
              <w:outlineLvl w:val="0"/>
              <w:rPr>
                <w:rFonts w:ascii="Arial" w:hAnsi="Arial" w:cs="Arial"/>
                <w:sz w:val="24"/>
                <w:szCs w:val="24"/>
              </w:rPr>
            </w:pPr>
            <w:r>
              <w:rPr>
                <w:rFonts w:ascii="Arial" w:hAnsi="Arial" w:cs="Arial"/>
                <w:sz w:val="24"/>
                <w:szCs w:val="24"/>
              </w:rPr>
              <w:t>Over/(Under)</w:t>
            </w:r>
            <w:r w:rsidR="00CA31E0">
              <w:rPr>
                <w:rFonts w:ascii="Arial" w:hAnsi="Arial" w:cs="Arial"/>
                <w:sz w:val="24"/>
                <w:szCs w:val="24"/>
              </w:rPr>
              <w:t xml:space="preserve"> </w:t>
            </w:r>
            <w:r>
              <w:rPr>
                <w:rFonts w:ascii="Arial" w:hAnsi="Arial" w:cs="Arial"/>
                <w:sz w:val="24"/>
                <w:szCs w:val="24"/>
              </w:rPr>
              <w:t>Collections</w:t>
            </w:r>
            <w:r w:rsidR="00E23F7B" w:rsidRPr="005221A2">
              <w:rPr>
                <w:rFonts w:ascii="Arial" w:hAnsi="Arial" w:cs="Arial"/>
                <w:sz w:val="24"/>
                <w:szCs w:val="24"/>
              </w:rPr>
              <w:t xml:space="preserve"> </w:t>
            </w:r>
            <w:r w:rsidR="00AA0CFA" w:rsidRPr="00AA0CFA">
              <w:rPr>
                <w:rFonts w:ascii="Arial" w:hAnsi="Arial" w:cs="Arial"/>
                <w:sz w:val="24"/>
                <w:szCs w:val="24"/>
              </w:rPr>
              <w:t>(Section 1307(</w:t>
            </w:r>
            <w:r w:rsidR="00AA0CFA">
              <w:rPr>
                <w:rFonts w:ascii="Arial" w:hAnsi="Arial" w:cs="Arial"/>
                <w:sz w:val="24"/>
                <w:szCs w:val="24"/>
              </w:rPr>
              <w:t>f</w:t>
            </w:r>
            <w:r w:rsidR="00AA0CFA" w:rsidRPr="00AA0CFA">
              <w:rPr>
                <w:rFonts w:ascii="Arial" w:hAnsi="Arial" w:cs="Arial"/>
                <w:sz w:val="24"/>
                <w:szCs w:val="24"/>
              </w:rPr>
              <w:t xml:space="preserve">)) </w:t>
            </w:r>
            <w:r w:rsidR="00320203" w:rsidRPr="005221A2">
              <w:rPr>
                <w:rFonts w:ascii="Arial" w:hAnsi="Arial" w:cs="Arial"/>
                <w:sz w:val="24"/>
                <w:szCs w:val="24"/>
              </w:rPr>
              <w:t xml:space="preserve">For The Twelve Months Ended August 31, </w:t>
            </w:r>
            <w:r w:rsidR="00A846B4" w:rsidRPr="005221A2">
              <w:rPr>
                <w:rFonts w:ascii="Arial" w:hAnsi="Arial" w:cs="Arial"/>
                <w:sz w:val="24"/>
                <w:szCs w:val="24"/>
              </w:rPr>
              <w:t>20</w:t>
            </w:r>
            <w:r w:rsidR="00413406" w:rsidRPr="005221A2">
              <w:rPr>
                <w:rFonts w:ascii="Arial" w:hAnsi="Arial" w:cs="Arial"/>
                <w:sz w:val="24"/>
                <w:szCs w:val="24"/>
              </w:rPr>
              <w:t>12</w:t>
            </w:r>
          </w:p>
          <w:p w:rsidR="00906223" w:rsidRDefault="00906223" w:rsidP="00145125">
            <w:pPr>
              <w:tabs>
                <w:tab w:val="left" w:pos="-720"/>
                <w:tab w:val="left" w:pos="8640"/>
              </w:tabs>
              <w:outlineLvl w:val="0"/>
              <w:rPr>
                <w:rFonts w:ascii="Arial" w:hAnsi="Arial" w:cs="Arial"/>
                <w:sz w:val="24"/>
                <w:szCs w:val="24"/>
              </w:rPr>
            </w:pPr>
          </w:p>
          <w:p w:rsidR="00CA31E0" w:rsidRDefault="00B7655B" w:rsidP="00906223">
            <w:pPr>
              <w:tabs>
                <w:tab w:val="left" w:pos="-720"/>
                <w:tab w:val="left" w:pos="8640"/>
              </w:tabs>
              <w:outlineLvl w:val="0"/>
              <w:rPr>
                <w:rFonts w:ascii="Arial" w:hAnsi="Arial" w:cs="Arial"/>
                <w:sz w:val="24"/>
                <w:szCs w:val="24"/>
              </w:rPr>
            </w:pPr>
            <w:r>
              <w:rPr>
                <w:rFonts w:ascii="Arial" w:hAnsi="Arial" w:cs="Arial"/>
                <w:sz w:val="24"/>
                <w:szCs w:val="24"/>
              </w:rPr>
              <w:t xml:space="preserve">Condensed Statement of </w:t>
            </w:r>
            <w:r w:rsidR="00906223" w:rsidRPr="005221A2">
              <w:rPr>
                <w:rFonts w:ascii="Arial" w:hAnsi="Arial" w:cs="Arial"/>
                <w:sz w:val="24"/>
                <w:szCs w:val="24"/>
              </w:rPr>
              <w:t xml:space="preserve">Efficiency Cost Recovery </w:t>
            </w:r>
            <w:r w:rsidR="00CA31E0">
              <w:rPr>
                <w:rFonts w:ascii="Arial" w:hAnsi="Arial" w:cs="Arial"/>
                <w:sz w:val="24"/>
                <w:szCs w:val="24"/>
              </w:rPr>
              <w:t>(ECR)</w:t>
            </w:r>
            <w:r w:rsidR="00964F1D">
              <w:rPr>
                <w:rFonts w:ascii="Arial" w:hAnsi="Arial" w:cs="Arial"/>
                <w:sz w:val="24"/>
                <w:szCs w:val="24"/>
              </w:rPr>
              <w:t xml:space="preserve"> Surcharge</w:t>
            </w:r>
          </w:p>
          <w:p w:rsidR="00320203" w:rsidRPr="005221A2" w:rsidRDefault="00B7655B" w:rsidP="00AA0CFA">
            <w:pPr>
              <w:tabs>
                <w:tab w:val="left" w:pos="-720"/>
                <w:tab w:val="left" w:pos="8640"/>
              </w:tabs>
              <w:outlineLvl w:val="0"/>
              <w:rPr>
                <w:rFonts w:ascii="Arial" w:hAnsi="Arial" w:cs="Arial"/>
                <w:sz w:val="24"/>
                <w:szCs w:val="24"/>
              </w:rPr>
            </w:pPr>
            <w:r>
              <w:rPr>
                <w:rFonts w:ascii="Arial" w:hAnsi="Arial" w:cs="Arial"/>
                <w:sz w:val="24"/>
                <w:szCs w:val="24"/>
              </w:rPr>
              <w:t>Over/(Under) Collections</w:t>
            </w:r>
            <w:r w:rsidR="00906223" w:rsidRPr="005221A2">
              <w:rPr>
                <w:rFonts w:ascii="Arial" w:hAnsi="Arial" w:cs="Arial"/>
                <w:sz w:val="24"/>
                <w:szCs w:val="24"/>
              </w:rPr>
              <w:t xml:space="preserve"> </w:t>
            </w:r>
            <w:r w:rsidR="00AA0CFA" w:rsidRPr="00AA0CFA">
              <w:rPr>
                <w:rFonts w:ascii="Arial" w:hAnsi="Arial" w:cs="Arial"/>
                <w:sz w:val="24"/>
                <w:szCs w:val="24"/>
              </w:rPr>
              <w:t>(Section 1307(</w:t>
            </w:r>
            <w:r w:rsidR="00AA0CFA">
              <w:rPr>
                <w:rFonts w:ascii="Arial" w:hAnsi="Arial" w:cs="Arial"/>
                <w:sz w:val="24"/>
                <w:szCs w:val="24"/>
              </w:rPr>
              <w:t>f</w:t>
            </w:r>
            <w:r w:rsidR="00AA0CFA" w:rsidRPr="00AA0CFA">
              <w:rPr>
                <w:rFonts w:ascii="Arial" w:hAnsi="Arial" w:cs="Arial"/>
                <w:sz w:val="24"/>
                <w:szCs w:val="24"/>
              </w:rPr>
              <w:t xml:space="preserve">)) </w:t>
            </w:r>
            <w:r w:rsidR="00906223" w:rsidRPr="005221A2">
              <w:rPr>
                <w:rFonts w:ascii="Arial" w:hAnsi="Arial" w:cs="Arial"/>
                <w:sz w:val="24"/>
                <w:szCs w:val="24"/>
              </w:rPr>
              <w:t>For The Twe</w:t>
            </w:r>
            <w:r w:rsidR="00303EA6">
              <w:rPr>
                <w:rFonts w:ascii="Arial" w:hAnsi="Arial" w:cs="Arial"/>
                <w:sz w:val="24"/>
                <w:szCs w:val="24"/>
              </w:rPr>
              <w:t>lve Months Ended August 31, 2011</w:t>
            </w:r>
            <w:r w:rsidR="00320203" w:rsidRPr="005221A2">
              <w:rPr>
                <w:rFonts w:ascii="Arial" w:hAnsi="Arial" w:cs="Arial"/>
                <w:sz w:val="24"/>
                <w:szCs w:val="24"/>
              </w:rPr>
              <w:tab/>
              <w:t>Statement For The Twelve-Months Ended August 31, 2006</w:t>
            </w:r>
          </w:p>
        </w:tc>
        <w:tc>
          <w:tcPr>
            <w:tcW w:w="270" w:type="dxa"/>
          </w:tcPr>
          <w:p w:rsidR="00320203" w:rsidRPr="005221A2"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5221A2" w:rsidRDefault="00320203" w:rsidP="007D5B2E">
            <w:pPr>
              <w:tabs>
                <w:tab w:val="left" w:pos="-720"/>
                <w:tab w:val="left" w:pos="8640"/>
              </w:tabs>
              <w:jc w:val="both"/>
              <w:outlineLvl w:val="0"/>
              <w:rPr>
                <w:rFonts w:ascii="Arial" w:hAnsi="Arial" w:cs="Arial"/>
                <w:sz w:val="24"/>
                <w:szCs w:val="24"/>
              </w:rPr>
            </w:pPr>
          </w:p>
          <w:p w:rsidR="00906223" w:rsidRDefault="00614171" w:rsidP="00614171">
            <w:pPr>
              <w:tabs>
                <w:tab w:val="left" w:pos="-720"/>
                <w:tab w:val="left" w:pos="8640"/>
              </w:tabs>
              <w:jc w:val="center"/>
              <w:outlineLvl w:val="0"/>
              <w:rPr>
                <w:rFonts w:ascii="Arial" w:hAnsi="Arial" w:cs="Arial"/>
                <w:sz w:val="24"/>
                <w:szCs w:val="24"/>
              </w:rPr>
            </w:pPr>
            <w:r w:rsidRPr="005221A2">
              <w:rPr>
                <w:rFonts w:ascii="Arial" w:hAnsi="Arial" w:cs="Arial"/>
                <w:sz w:val="24"/>
                <w:szCs w:val="24"/>
              </w:rPr>
              <w:t>2</w:t>
            </w:r>
          </w:p>
          <w:p w:rsidR="00906223" w:rsidRPr="00906223" w:rsidRDefault="00906223" w:rsidP="00906223">
            <w:pPr>
              <w:rPr>
                <w:rFonts w:ascii="Arial" w:hAnsi="Arial" w:cs="Arial"/>
                <w:sz w:val="24"/>
                <w:szCs w:val="24"/>
              </w:rPr>
            </w:pPr>
          </w:p>
          <w:p w:rsidR="00906223" w:rsidRDefault="00906223" w:rsidP="00906223">
            <w:pPr>
              <w:rPr>
                <w:rFonts w:ascii="Arial" w:hAnsi="Arial" w:cs="Arial"/>
                <w:sz w:val="24"/>
                <w:szCs w:val="24"/>
              </w:rPr>
            </w:pPr>
          </w:p>
          <w:p w:rsidR="00320203" w:rsidRPr="00906223" w:rsidRDefault="00906223" w:rsidP="00906223">
            <w:pPr>
              <w:tabs>
                <w:tab w:val="left" w:pos="462"/>
              </w:tabs>
              <w:rPr>
                <w:rFonts w:ascii="Arial" w:hAnsi="Arial" w:cs="Arial"/>
                <w:sz w:val="24"/>
                <w:szCs w:val="24"/>
              </w:rPr>
            </w:pPr>
            <w:r>
              <w:rPr>
                <w:rFonts w:ascii="Arial" w:hAnsi="Arial" w:cs="Arial"/>
                <w:sz w:val="24"/>
                <w:szCs w:val="24"/>
              </w:rPr>
              <w:t xml:space="preserve">    3</w:t>
            </w:r>
          </w:p>
        </w:tc>
      </w:tr>
      <w:tr w:rsidR="00274E4B" w:rsidRPr="005221A2" w:rsidTr="007D5B2E">
        <w:trPr>
          <w:jc w:val="center"/>
        </w:trPr>
        <w:tc>
          <w:tcPr>
            <w:tcW w:w="718" w:type="dxa"/>
          </w:tcPr>
          <w:p w:rsidR="00274E4B" w:rsidRPr="005221A2"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5221A2" w:rsidRDefault="00274E4B" w:rsidP="007D5B2E">
            <w:pPr>
              <w:tabs>
                <w:tab w:val="left" w:pos="-720"/>
                <w:tab w:val="left" w:pos="8640"/>
              </w:tabs>
              <w:outlineLvl w:val="0"/>
              <w:rPr>
                <w:rFonts w:ascii="Arial" w:hAnsi="Arial" w:cs="Arial"/>
                <w:sz w:val="24"/>
                <w:szCs w:val="24"/>
              </w:rPr>
            </w:pPr>
          </w:p>
        </w:tc>
        <w:tc>
          <w:tcPr>
            <w:tcW w:w="270" w:type="dxa"/>
          </w:tcPr>
          <w:p w:rsidR="00274E4B" w:rsidRPr="005221A2"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5221A2" w:rsidRDefault="00274E4B" w:rsidP="007D5B2E">
            <w:pPr>
              <w:tabs>
                <w:tab w:val="left" w:pos="-720"/>
                <w:tab w:val="left" w:pos="8640"/>
              </w:tabs>
              <w:jc w:val="both"/>
              <w:outlineLvl w:val="0"/>
              <w:rPr>
                <w:rFonts w:ascii="Arial" w:hAnsi="Arial" w:cs="Arial"/>
                <w:sz w:val="24"/>
                <w:szCs w:val="24"/>
              </w:rPr>
            </w:pPr>
          </w:p>
        </w:tc>
      </w:tr>
      <w:tr w:rsidR="00FA1003" w:rsidRPr="005221A2" w:rsidTr="007D5B2E">
        <w:trPr>
          <w:jc w:val="center"/>
        </w:trPr>
        <w:tc>
          <w:tcPr>
            <w:tcW w:w="718"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5221A2" w:rsidRDefault="00F208ED" w:rsidP="007D5B2E">
            <w:pPr>
              <w:tabs>
                <w:tab w:val="left" w:pos="-720"/>
                <w:tab w:val="left" w:pos="8640"/>
              </w:tabs>
              <w:outlineLvl w:val="0"/>
              <w:rPr>
                <w:rFonts w:ascii="Arial" w:hAnsi="Arial" w:cs="Arial"/>
                <w:sz w:val="24"/>
                <w:szCs w:val="24"/>
              </w:rPr>
            </w:pPr>
            <w:r w:rsidRPr="005221A2">
              <w:rPr>
                <w:rFonts w:ascii="Arial" w:hAnsi="Arial" w:cs="Arial"/>
                <w:sz w:val="24"/>
                <w:szCs w:val="24"/>
              </w:rPr>
              <w:t>Notes To The Financial Statements</w:t>
            </w:r>
          </w:p>
        </w:tc>
        <w:tc>
          <w:tcPr>
            <w:tcW w:w="270" w:type="dxa"/>
          </w:tcPr>
          <w:p w:rsidR="00FA1003" w:rsidRPr="005221A2"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5221A2" w:rsidRDefault="00906223" w:rsidP="00274E4B">
            <w:pPr>
              <w:tabs>
                <w:tab w:val="left" w:pos="-720"/>
                <w:tab w:val="left" w:pos="8640"/>
              </w:tabs>
              <w:jc w:val="center"/>
              <w:outlineLvl w:val="0"/>
              <w:rPr>
                <w:rFonts w:ascii="Arial" w:hAnsi="Arial" w:cs="Arial"/>
                <w:sz w:val="24"/>
                <w:szCs w:val="24"/>
              </w:rPr>
            </w:pPr>
            <w:r>
              <w:rPr>
                <w:rFonts w:ascii="Arial" w:hAnsi="Arial" w:cs="Arial"/>
                <w:sz w:val="24"/>
                <w:szCs w:val="24"/>
              </w:rPr>
              <w:t>4</w:t>
            </w:r>
          </w:p>
        </w:tc>
      </w:tr>
      <w:tr w:rsidR="00274E4B" w:rsidRPr="005221A2" w:rsidTr="007D5B2E">
        <w:trPr>
          <w:jc w:val="center"/>
        </w:trPr>
        <w:tc>
          <w:tcPr>
            <w:tcW w:w="718" w:type="dxa"/>
          </w:tcPr>
          <w:p w:rsidR="00274E4B" w:rsidRPr="005221A2"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5221A2" w:rsidRDefault="00274E4B" w:rsidP="007D5B2E">
            <w:pPr>
              <w:tabs>
                <w:tab w:val="left" w:pos="-720"/>
                <w:tab w:val="left" w:pos="8640"/>
              </w:tabs>
              <w:outlineLvl w:val="0"/>
              <w:rPr>
                <w:rFonts w:ascii="Arial" w:hAnsi="Arial" w:cs="Arial"/>
                <w:sz w:val="24"/>
                <w:szCs w:val="24"/>
              </w:rPr>
            </w:pPr>
          </w:p>
        </w:tc>
        <w:tc>
          <w:tcPr>
            <w:tcW w:w="270" w:type="dxa"/>
          </w:tcPr>
          <w:p w:rsidR="00274E4B" w:rsidRPr="005221A2"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5221A2" w:rsidRDefault="00274E4B" w:rsidP="00A04024">
            <w:pPr>
              <w:tabs>
                <w:tab w:val="left" w:pos="-720"/>
                <w:tab w:val="left" w:pos="8640"/>
              </w:tabs>
              <w:jc w:val="both"/>
              <w:outlineLvl w:val="0"/>
              <w:rPr>
                <w:rFonts w:ascii="Arial" w:hAnsi="Arial" w:cs="Arial"/>
                <w:sz w:val="24"/>
                <w:szCs w:val="24"/>
              </w:rPr>
            </w:pPr>
          </w:p>
        </w:tc>
      </w:tr>
      <w:tr w:rsidR="00933B61" w:rsidRPr="005221A2" w:rsidTr="00CA31E0">
        <w:trPr>
          <w:jc w:val="center"/>
        </w:trPr>
        <w:tc>
          <w:tcPr>
            <w:tcW w:w="8908" w:type="dxa"/>
            <w:gridSpan w:val="2"/>
          </w:tcPr>
          <w:p w:rsidR="00933B61" w:rsidRPr="005221A2" w:rsidRDefault="00E14488" w:rsidP="002560FA">
            <w:pPr>
              <w:tabs>
                <w:tab w:val="left" w:pos="-720"/>
                <w:tab w:val="left" w:pos="8640"/>
              </w:tabs>
              <w:jc w:val="both"/>
              <w:outlineLvl w:val="0"/>
              <w:rPr>
                <w:rFonts w:ascii="Arial" w:hAnsi="Arial" w:cs="Arial"/>
                <w:sz w:val="24"/>
                <w:szCs w:val="24"/>
              </w:rPr>
            </w:pPr>
            <w:r w:rsidRPr="005221A2">
              <w:rPr>
                <w:rFonts w:ascii="Arial" w:hAnsi="Arial" w:cs="Arial"/>
                <w:b/>
                <w:sz w:val="24"/>
                <w:szCs w:val="24"/>
              </w:rPr>
              <w:t>BACKGROUN</w:t>
            </w:r>
            <w:r w:rsidR="002560FA" w:rsidRPr="005221A2">
              <w:rPr>
                <w:rFonts w:ascii="Arial" w:hAnsi="Arial" w:cs="Arial"/>
                <w:b/>
                <w:sz w:val="24"/>
                <w:szCs w:val="24"/>
              </w:rPr>
              <w:t>D</w:t>
            </w:r>
            <w:r w:rsidRPr="005221A2">
              <w:rPr>
                <w:rFonts w:ascii="Arial" w:hAnsi="Arial" w:cs="Arial"/>
                <w:b/>
                <w:sz w:val="24"/>
                <w:szCs w:val="24"/>
              </w:rPr>
              <w:t xml:space="preserve"> AND </w:t>
            </w:r>
            <w:r w:rsidR="00933B61" w:rsidRPr="005221A2">
              <w:rPr>
                <w:rFonts w:ascii="Arial" w:hAnsi="Arial" w:cs="Arial"/>
                <w:b/>
                <w:sz w:val="24"/>
                <w:szCs w:val="24"/>
              </w:rPr>
              <w:t>OPERATIONAL REVIEW</w:t>
            </w:r>
          </w:p>
        </w:tc>
        <w:tc>
          <w:tcPr>
            <w:tcW w:w="270" w:type="dxa"/>
          </w:tcPr>
          <w:p w:rsidR="00933B61" w:rsidRPr="005221A2" w:rsidRDefault="00933B61" w:rsidP="007D5B2E">
            <w:pPr>
              <w:tabs>
                <w:tab w:val="left" w:pos="-720"/>
                <w:tab w:val="left" w:pos="8640"/>
              </w:tabs>
              <w:jc w:val="both"/>
              <w:outlineLvl w:val="0"/>
              <w:rPr>
                <w:rFonts w:ascii="Arial" w:hAnsi="Arial" w:cs="Arial"/>
                <w:sz w:val="24"/>
                <w:szCs w:val="24"/>
              </w:rPr>
            </w:pPr>
          </w:p>
        </w:tc>
        <w:tc>
          <w:tcPr>
            <w:tcW w:w="897" w:type="dxa"/>
            <w:vAlign w:val="bottom"/>
          </w:tcPr>
          <w:p w:rsidR="00933B61" w:rsidRPr="005221A2" w:rsidRDefault="002566C6" w:rsidP="00CA31E0">
            <w:pPr>
              <w:tabs>
                <w:tab w:val="left" w:pos="-720"/>
                <w:tab w:val="left" w:pos="8640"/>
              </w:tabs>
              <w:jc w:val="center"/>
              <w:outlineLvl w:val="0"/>
              <w:rPr>
                <w:rFonts w:ascii="Arial" w:hAnsi="Arial" w:cs="Arial"/>
                <w:sz w:val="24"/>
                <w:szCs w:val="24"/>
              </w:rPr>
            </w:pPr>
            <w:r>
              <w:rPr>
                <w:rFonts w:ascii="Arial" w:hAnsi="Arial" w:cs="Arial"/>
                <w:sz w:val="24"/>
                <w:szCs w:val="24"/>
              </w:rPr>
              <w:t>5</w:t>
            </w:r>
          </w:p>
        </w:tc>
      </w:tr>
      <w:tr w:rsidR="00000CE5" w:rsidRPr="005221A2" w:rsidTr="007D5B2E">
        <w:trPr>
          <w:jc w:val="center"/>
        </w:trPr>
        <w:tc>
          <w:tcPr>
            <w:tcW w:w="718" w:type="dxa"/>
          </w:tcPr>
          <w:p w:rsidR="00000CE5" w:rsidRPr="005221A2" w:rsidRDefault="00000CE5" w:rsidP="007D5B2E">
            <w:pPr>
              <w:tabs>
                <w:tab w:val="left" w:pos="-720"/>
                <w:tab w:val="left" w:pos="8640"/>
              </w:tabs>
              <w:jc w:val="both"/>
              <w:outlineLvl w:val="0"/>
              <w:rPr>
                <w:rFonts w:ascii="Arial" w:hAnsi="Arial" w:cs="Arial"/>
                <w:sz w:val="24"/>
                <w:szCs w:val="24"/>
              </w:rPr>
            </w:pPr>
          </w:p>
        </w:tc>
        <w:tc>
          <w:tcPr>
            <w:tcW w:w="8190" w:type="dxa"/>
          </w:tcPr>
          <w:p w:rsidR="00000CE5" w:rsidRPr="008966B2" w:rsidRDefault="00000CE5" w:rsidP="00000CE5">
            <w:pPr>
              <w:tabs>
                <w:tab w:val="left" w:pos="360"/>
                <w:tab w:val="left" w:pos="720"/>
                <w:tab w:val="left" w:pos="2430"/>
                <w:tab w:val="right" w:pos="8194"/>
                <w:tab w:val="right" w:pos="8820"/>
              </w:tabs>
              <w:rPr>
                <w:rFonts w:ascii="Arial" w:hAnsi="Arial" w:cs="Arial"/>
              </w:rPr>
            </w:pPr>
          </w:p>
        </w:tc>
        <w:tc>
          <w:tcPr>
            <w:tcW w:w="270" w:type="dxa"/>
          </w:tcPr>
          <w:p w:rsidR="00000CE5" w:rsidRPr="005221A2" w:rsidRDefault="00000CE5" w:rsidP="007D5B2E">
            <w:pPr>
              <w:tabs>
                <w:tab w:val="left" w:pos="-720"/>
                <w:tab w:val="left" w:pos="8640"/>
              </w:tabs>
              <w:jc w:val="both"/>
              <w:outlineLvl w:val="0"/>
              <w:rPr>
                <w:rFonts w:ascii="Arial" w:hAnsi="Arial" w:cs="Arial"/>
                <w:sz w:val="24"/>
                <w:szCs w:val="24"/>
              </w:rPr>
            </w:pPr>
          </w:p>
        </w:tc>
        <w:tc>
          <w:tcPr>
            <w:tcW w:w="897" w:type="dxa"/>
          </w:tcPr>
          <w:p w:rsidR="00000CE5" w:rsidRPr="005221A2" w:rsidRDefault="00000CE5" w:rsidP="007D5B2E">
            <w:pPr>
              <w:tabs>
                <w:tab w:val="left" w:pos="-720"/>
                <w:tab w:val="left" w:pos="8640"/>
              </w:tabs>
              <w:jc w:val="both"/>
              <w:outlineLvl w:val="0"/>
              <w:rPr>
                <w:rFonts w:ascii="Arial" w:hAnsi="Arial" w:cs="Arial"/>
                <w:sz w:val="24"/>
                <w:szCs w:val="24"/>
              </w:rPr>
            </w:pPr>
          </w:p>
        </w:tc>
      </w:tr>
      <w:tr w:rsidR="00367F28" w:rsidRPr="00C20F64" w:rsidTr="00025FA2">
        <w:trPr>
          <w:jc w:val="center"/>
        </w:trPr>
        <w:tc>
          <w:tcPr>
            <w:tcW w:w="8908" w:type="dxa"/>
            <w:gridSpan w:val="2"/>
          </w:tcPr>
          <w:p w:rsidR="00367F28" w:rsidRPr="00906223" w:rsidRDefault="00367F28" w:rsidP="00025FA2">
            <w:pPr>
              <w:tabs>
                <w:tab w:val="left" w:pos="-720"/>
                <w:tab w:val="left" w:pos="8640"/>
              </w:tabs>
              <w:outlineLvl w:val="0"/>
              <w:rPr>
                <w:rFonts w:ascii="Arial" w:hAnsi="Arial" w:cs="Arial"/>
                <w:b/>
                <w:sz w:val="24"/>
                <w:szCs w:val="24"/>
              </w:rPr>
            </w:pPr>
            <w:r w:rsidRPr="00906223">
              <w:rPr>
                <w:rFonts w:ascii="Arial" w:hAnsi="Arial" w:cs="Arial"/>
                <w:b/>
                <w:sz w:val="24"/>
                <w:szCs w:val="24"/>
              </w:rPr>
              <w:t>ACKNOWLEDGEMENTS</w:t>
            </w:r>
          </w:p>
          <w:p w:rsidR="002774E4" w:rsidRPr="00C20F64" w:rsidRDefault="002774E4" w:rsidP="00025FA2">
            <w:pPr>
              <w:tabs>
                <w:tab w:val="left" w:pos="-720"/>
                <w:tab w:val="left" w:pos="8640"/>
              </w:tabs>
              <w:outlineLvl w:val="0"/>
              <w:rPr>
                <w:rFonts w:ascii="Arial" w:hAnsi="Arial" w:cs="Arial"/>
                <w:sz w:val="24"/>
                <w:szCs w:val="24"/>
              </w:rPr>
            </w:pPr>
          </w:p>
        </w:tc>
        <w:tc>
          <w:tcPr>
            <w:tcW w:w="270" w:type="dxa"/>
          </w:tcPr>
          <w:p w:rsidR="00367F28" w:rsidRPr="00C20F64" w:rsidRDefault="00367F28" w:rsidP="00025FA2">
            <w:pPr>
              <w:tabs>
                <w:tab w:val="left" w:pos="-720"/>
                <w:tab w:val="left" w:pos="8640"/>
              </w:tabs>
              <w:jc w:val="both"/>
              <w:outlineLvl w:val="0"/>
              <w:rPr>
                <w:rFonts w:ascii="Arial" w:hAnsi="Arial" w:cs="Arial"/>
                <w:sz w:val="24"/>
                <w:szCs w:val="24"/>
              </w:rPr>
            </w:pPr>
          </w:p>
        </w:tc>
        <w:tc>
          <w:tcPr>
            <w:tcW w:w="897" w:type="dxa"/>
          </w:tcPr>
          <w:p w:rsidR="00367F28" w:rsidRPr="00C20F64" w:rsidRDefault="002566C6" w:rsidP="00614171">
            <w:pPr>
              <w:tabs>
                <w:tab w:val="left" w:pos="-720"/>
                <w:tab w:val="left" w:pos="8640"/>
              </w:tabs>
              <w:jc w:val="center"/>
              <w:outlineLvl w:val="0"/>
              <w:rPr>
                <w:rFonts w:ascii="Arial" w:hAnsi="Arial" w:cs="Arial"/>
                <w:sz w:val="24"/>
                <w:szCs w:val="24"/>
              </w:rPr>
            </w:pPr>
            <w:r>
              <w:rPr>
                <w:rFonts w:ascii="Arial" w:hAnsi="Arial" w:cs="Arial"/>
                <w:sz w:val="24"/>
                <w:szCs w:val="24"/>
              </w:rPr>
              <w:t>6</w:t>
            </w:r>
          </w:p>
        </w:tc>
      </w:tr>
    </w:tbl>
    <w:p w:rsidR="00E32D70" w:rsidRPr="00C20F64" w:rsidRDefault="00E32D70" w:rsidP="007D5B2E">
      <w:pPr>
        <w:tabs>
          <w:tab w:val="left" w:pos="-720"/>
          <w:tab w:val="left" w:pos="8640"/>
        </w:tabs>
        <w:jc w:val="both"/>
        <w:outlineLvl w:val="0"/>
        <w:rPr>
          <w:rFonts w:ascii="Arial" w:hAnsi="Arial" w:cs="Arial"/>
          <w:sz w:val="24"/>
          <w:szCs w:val="24"/>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lastRenderedPageBreak/>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14:anchorId="60BBC803" wp14:editId="1EF500B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411B9D">
                  <w:rPr>
                    <w:rFonts w:ascii="Arial" w:hAnsi="Arial" w:cs="Arial"/>
                    <w:color w:val="000080"/>
                    <w:spacing w:val="-3"/>
                    <w:sz w:val="26"/>
                  </w:rPr>
                  <w:t>COMMONWEALTH</w:t>
                </w:r>
              </w:smartTag>
              <w:r w:rsidRPr="00411B9D">
                <w:rPr>
                  <w:rFonts w:ascii="Arial" w:hAnsi="Arial" w:cs="Arial"/>
                  <w:color w:val="000080"/>
                  <w:spacing w:val="-3"/>
                  <w:sz w:val="26"/>
                </w:rPr>
                <w:t xml:space="preserve"> OF </w:t>
              </w:r>
              <w:smartTag w:uri="urn:schemas-microsoft-com:office:smarttags" w:element="PlaceName">
                <w:r w:rsidRPr="00411B9D">
                  <w:rPr>
                    <w:rFonts w:ascii="Arial" w:hAnsi="Arial" w:cs="Arial"/>
                    <w:color w:val="000080"/>
                    <w:spacing w:val="-3"/>
                    <w:sz w:val="26"/>
                  </w:rPr>
                  <w:t>PENNSYLVANIA</w:t>
                </w:r>
              </w:smartTag>
            </w:smartTag>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411B9D">
                  <w:rPr>
                    <w:rFonts w:ascii="Arial" w:hAnsi="Arial" w:cs="Arial"/>
                    <w:color w:val="000080"/>
                    <w:spacing w:val="-3"/>
                    <w:sz w:val="26"/>
                  </w:rPr>
                  <w:t>PENNSYLVANIA</w:t>
                </w:r>
              </w:smartTag>
            </w:smartTag>
            <w:r w:rsidRPr="00411B9D">
              <w:rPr>
                <w:rFonts w:ascii="Arial" w:hAnsi="Arial" w:cs="Arial"/>
                <w:color w:val="000080"/>
                <w:spacing w:val="-3"/>
                <w:sz w:val="26"/>
              </w:rPr>
              <w:t xml:space="preserve"> PUBLIC UTILITY COMMISSION</w:t>
            </w:r>
          </w:p>
          <w:p w:rsidR="00EC58EA" w:rsidRPr="00411B9D" w:rsidRDefault="00EC58EA">
            <w:pPr>
              <w:jc w:val="center"/>
              <w:rPr>
                <w:rFonts w:ascii="Arial" w:hAnsi="Arial" w:cs="Arial"/>
                <w:sz w:val="12"/>
              </w:rPr>
            </w:pPr>
            <w:r w:rsidRPr="00411B9D">
              <w:rPr>
                <w:rFonts w:ascii="Arial" w:hAnsi="Arial" w:cs="Arial"/>
                <w:color w:val="000080"/>
                <w:spacing w:val="-3"/>
                <w:sz w:val="26"/>
              </w:rPr>
              <w:t xml:space="preserve">P.O. </w:t>
            </w:r>
            <w:smartTag w:uri="urn:schemas-microsoft-com:office:smarttags" w:element="address">
              <w:smartTag w:uri="urn:schemas-microsoft-com:office:smarttags" w:element="Street">
                <w:r w:rsidRPr="00411B9D">
                  <w:rPr>
                    <w:rFonts w:ascii="Arial" w:hAnsi="Arial" w:cs="Arial"/>
                    <w:color w:val="000080"/>
                    <w:spacing w:val="-3"/>
                    <w:sz w:val="26"/>
                  </w:rPr>
                  <w:t>BOX 3265</w:t>
                </w:r>
              </w:smartTag>
              <w:r w:rsidRPr="00411B9D">
                <w:rPr>
                  <w:rFonts w:ascii="Arial" w:hAnsi="Arial" w:cs="Arial"/>
                  <w:color w:val="000080"/>
                  <w:spacing w:val="-3"/>
                  <w:sz w:val="26"/>
                </w:rPr>
                <w:t xml:space="preserve">, </w:t>
              </w:r>
              <w:smartTag w:uri="urn:schemas-microsoft-com:office:smarttags" w:element="City">
                <w:r w:rsidRPr="00411B9D">
                  <w:rPr>
                    <w:rFonts w:ascii="Arial" w:hAnsi="Arial" w:cs="Arial"/>
                    <w:color w:val="000080"/>
                    <w:spacing w:val="-3"/>
                    <w:sz w:val="26"/>
                  </w:rPr>
                  <w:t>HARRISBURG</w:t>
                </w:r>
              </w:smartTag>
              <w:r w:rsidRPr="00411B9D">
                <w:rPr>
                  <w:rFonts w:ascii="Arial" w:hAnsi="Arial" w:cs="Arial"/>
                  <w:color w:val="000080"/>
                  <w:spacing w:val="-3"/>
                  <w:sz w:val="26"/>
                </w:rPr>
                <w:t xml:space="preserve">, </w:t>
              </w:r>
              <w:smartTag w:uri="urn:schemas-microsoft-com:office:smarttags" w:element="State">
                <w:r w:rsidRPr="00411B9D">
                  <w:rPr>
                    <w:rFonts w:ascii="Arial" w:hAnsi="Arial" w:cs="Arial"/>
                    <w:color w:val="000080"/>
                    <w:spacing w:val="-3"/>
                    <w:sz w:val="26"/>
                  </w:rPr>
                  <w:t>PA</w:t>
                </w:r>
              </w:smartTag>
              <w:r w:rsidRPr="00411B9D">
                <w:rPr>
                  <w:rFonts w:ascii="Arial" w:hAnsi="Arial" w:cs="Arial"/>
                  <w:color w:val="000080"/>
                  <w:spacing w:val="-3"/>
                  <w:sz w:val="26"/>
                </w:rPr>
                <w:t xml:space="preserve"> </w:t>
              </w:r>
              <w:smartTag w:uri="urn:schemas-microsoft-com:office:smarttags" w:element="PostalCode">
                <w:r w:rsidRPr="00411B9D">
                  <w:rPr>
                    <w:rFonts w:ascii="Arial" w:hAnsi="Arial" w:cs="Arial"/>
                    <w:color w:val="000080"/>
                    <w:spacing w:val="-3"/>
                    <w:sz w:val="26"/>
                  </w:rPr>
                  <w:t>17105-3265</w:t>
                </w:r>
              </w:smartTag>
            </w:smartTag>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EC58EA" w:rsidRDefault="00EC58EA">
      <w:pPr>
        <w:tabs>
          <w:tab w:val="left" w:pos="-720"/>
          <w:tab w:val="left" w:pos="8820"/>
        </w:tabs>
        <w:rPr>
          <w:rFonts w:ascii="Arial" w:hAnsi="Arial" w:cs="Arial"/>
          <w:sz w:val="26"/>
          <w:szCs w:val="26"/>
        </w:rPr>
      </w:pPr>
    </w:p>
    <w:p w:rsidR="00EC58EA" w:rsidRPr="00DF70B5" w:rsidRDefault="00EC58EA">
      <w:pPr>
        <w:tabs>
          <w:tab w:val="center" w:pos="4680"/>
          <w:tab w:val="left" w:pos="8820"/>
        </w:tabs>
        <w:jc w:val="center"/>
        <w:outlineLvl w:val="0"/>
        <w:rPr>
          <w:rFonts w:ascii="Arial" w:hAnsi="Arial" w:cs="Arial"/>
          <w:b/>
          <w:sz w:val="26"/>
          <w:szCs w:val="26"/>
        </w:rPr>
      </w:pPr>
      <w:r w:rsidRPr="00DF70B5">
        <w:rPr>
          <w:rFonts w:ascii="Arial" w:hAnsi="Arial" w:cs="Arial"/>
          <w:b/>
          <w:sz w:val="26"/>
          <w:szCs w:val="26"/>
        </w:rPr>
        <w:t>INDEPENDENT AUDITOR'S REPORT</w:t>
      </w:r>
    </w:p>
    <w:p w:rsidR="00EC58EA" w:rsidRPr="00DF70B5" w:rsidRDefault="00EC58EA">
      <w:pPr>
        <w:tabs>
          <w:tab w:val="left" w:pos="-720"/>
          <w:tab w:val="left" w:pos="8820"/>
        </w:tabs>
        <w:rPr>
          <w:rFonts w:ascii="Arial" w:hAnsi="Arial" w:cs="Arial"/>
          <w:sz w:val="26"/>
          <w:szCs w:val="26"/>
        </w:rPr>
      </w:pPr>
    </w:p>
    <w:p w:rsidR="00EC58EA" w:rsidRPr="00DF70B5" w:rsidRDefault="00EC58EA">
      <w:pPr>
        <w:tabs>
          <w:tab w:val="center" w:pos="4680"/>
          <w:tab w:val="left" w:pos="8820"/>
        </w:tabs>
        <w:jc w:val="center"/>
        <w:outlineLvl w:val="0"/>
        <w:rPr>
          <w:rFonts w:ascii="Arial" w:hAnsi="Arial" w:cs="Arial"/>
          <w:sz w:val="26"/>
          <w:szCs w:val="26"/>
        </w:rPr>
      </w:pPr>
      <w:r w:rsidRPr="00DF70B5">
        <w:rPr>
          <w:rFonts w:ascii="Arial" w:hAnsi="Arial" w:cs="Arial"/>
          <w:b/>
          <w:sz w:val="26"/>
          <w:szCs w:val="26"/>
        </w:rPr>
        <w:t>To The</w:t>
      </w:r>
      <w:r w:rsidR="00F1331A" w:rsidRPr="00DF70B5">
        <w:rPr>
          <w:rFonts w:ascii="Arial" w:hAnsi="Arial" w:cs="Arial"/>
          <w:b/>
          <w:sz w:val="26"/>
          <w:szCs w:val="26"/>
        </w:rPr>
        <w:t xml:space="preserve"> Pennsylvania</w:t>
      </w:r>
      <w:r w:rsidRPr="00DF70B5">
        <w:rPr>
          <w:rFonts w:ascii="Arial" w:hAnsi="Arial" w:cs="Arial"/>
          <w:b/>
          <w:sz w:val="26"/>
          <w:szCs w:val="26"/>
        </w:rPr>
        <w:t xml:space="preserve"> Public Utility Commission</w:t>
      </w:r>
    </w:p>
    <w:p w:rsidR="00EC58EA" w:rsidRPr="00C20F64" w:rsidRDefault="00EC58EA">
      <w:pPr>
        <w:tabs>
          <w:tab w:val="left" w:pos="-720"/>
          <w:tab w:val="left" w:pos="8820"/>
        </w:tabs>
        <w:rPr>
          <w:rFonts w:ascii="Arial" w:hAnsi="Arial" w:cs="Arial"/>
          <w:sz w:val="24"/>
          <w:szCs w:val="24"/>
        </w:rPr>
      </w:pPr>
    </w:p>
    <w:p w:rsidR="00E641E3" w:rsidRPr="00071ED0" w:rsidRDefault="00EC58EA" w:rsidP="00E641E3">
      <w:pPr>
        <w:pStyle w:val="BodyText"/>
        <w:tabs>
          <w:tab w:val="clear" w:pos="900"/>
          <w:tab w:val="clear" w:pos="8820"/>
          <w:tab w:val="left" w:pos="720"/>
          <w:tab w:val="left" w:pos="1440"/>
        </w:tabs>
        <w:jc w:val="left"/>
        <w:rPr>
          <w:rFonts w:ascii="Arial" w:hAnsi="Arial" w:cs="Arial"/>
          <w:szCs w:val="24"/>
        </w:rPr>
      </w:pPr>
      <w:r w:rsidRPr="00C20F64">
        <w:rPr>
          <w:rFonts w:ascii="Arial" w:hAnsi="Arial" w:cs="Arial"/>
          <w:szCs w:val="24"/>
        </w:rPr>
        <w:tab/>
        <w:t xml:space="preserve">We have audited Philadelphia Gas Works’ </w:t>
      </w:r>
      <w:r w:rsidR="00D55143">
        <w:rPr>
          <w:rFonts w:ascii="Arial" w:hAnsi="Arial" w:cs="Arial"/>
          <w:szCs w:val="24"/>
        </w:rPr>
        <w:t xml:space="preserve">Statements of </w:t>
      </w:r>
      <w:r w:rsidR="005A2D4C">
        <w:rPr>
          <w:rFonts w:ascii="Arial" w:hAnsi="Arial" w:cs="Arial"/>
          <w:szCs w:val="24"/>
        </w:rPr>
        <w:t>Efficiency Cost Recovery</w:t>
      </w:r>
      <w:r w:rsidRPr="00C20F64">
        <w:rPr>
          <w:rFonts w:ascii="Arial" w:hAnsi="Arial" w:cs="Arial"/>
          <w:szCs w:val="24"/>
        </w:rPr>
        <w:t xml:space="preserve"> </w:t>
      </w:r>
      <w:r w:rsidR="008837E5">
        <w:rPr>
          <w:rFonts w:ascii="Arial" w:hAnsi="Arial" w:cs="Arial"/>
          <w:szCs w:val="24"/>
        </w:rPr>
        <w:t xml:space="preserve">Surcharge </w:t>
      </w:r>
      <w:r w:rsidR="00D55143">
        <w:rPr>
          <w:rFonts w:ascii="Arial" w:hAnsi="Arial" w:cs="Arial"/>
          <w:szCs w:val="24"/>
        </w:rPr>
        <w:t>Over/Under Collections</w:t>
      </w:r>
      <w:r w:rsidR="0099094B" w:rsidRPr="00C20F64">
        <w:rPr>
          <w:rFonts w:ascii="Arial" w:hAnsi="Arial" w:cs="Arial"/>
          <w:szCs w:val="24"/>
        </w:rPr>
        <w:t xml:space="preserve"> </w:t>
      </w:r>
      <w:r w:rsidR="00DF70B5">
        <w:rPr>
          <w:rFonts w:ascii="Arial" w:hAnsi="Arial" w:cs="Arial"/>
        </w:rPr>
        <w:t>(Section 1307(</w:t>
      </w:r>
      <w:r w:rsidR="00441847">
        <w:rPr>
          <w:rFonts w:ascii="Arial" w:hAnsi="Arial" w:cs="Arial"/>
        </w:rPr>
        <w:t>f</w:t>
      </w:r>
      <w:r w:rsidR="00DF70B5" w:rsidRPr="001E10DE">
        <w:rPr>
          <w:rFonts w:ascii="Arial" w:hAnsi="Arial" w:cs="Arial"/>
        </w:rPr>
        <w:t xml:space="preserve">)) </w:t>
      </w:r>
      <w:r w:rsidR="00A04024" w:rsidRPr="00C20F64">
        <w:rPr>
          <w:rFonts w:ascii="Arial" w:hAnsi="Arial" w:cs="Arial"/>
          <w:szCs w:val="24"/>
        </w:rPr>
        <w:t>for the twelve month</w:t>
      </w:r>
      <w:r w:rsidR="005A2D4C">
        <w:rPr>
          <w:rFonts w:ascii="Arial" w:hAnsi="Arial" w:cs="Arial"/>
          <w:szCs w:val="24"/>
        </w:rPr>
        <w:t xml:space="preserve"> periods</w:t>
      </w:r>
      <w:r w:rsidR="00A04024" w:rsidRPr="00C20F64">
        <w:rPr>
          <w:rFonts w:ascii="Arial" w:hAnsi="Arial" w:cs="Arial"/>
          <w:szCs w:val="24"/>
        </w:rPr>
        <w:t xml:space="preserve"> ended August 31, </w:t>
      </w:r>
      <w:r w:rsidR="00A846B4" w:rsidRPr="00C20F64">
        <w:rPr>
          <w:rFonts w:ascii="Arial" w:hAnsi="Arial" w:cs="Arial"/>
          <w:szCs w:val="24"/>
        </w:rPr>
        <w:t>20</w:t>
      </w:r>
      <w:r w:rsidR="00076720">
        <w:rPr>
          <w:rFonts w:ascii="Arial" w:hAnsi="Arial" w:cs="Arial"/>
          <w:szCs w:val="24"/>
        </w:rPr>
        <w:t>1</w:t>
      </w:r>
      <w:r w:rsidR="005A2D4C">
        <w:rPr>
          <w:rFonts w:ascii="Arial" w:hAnsi="Arial" w:cs="Arial"/>
          <w:szCs w:val="24"/>
        </w:rPr>
        <w:t>2 and August 31, 2011</w:t>
      </w:r>
      <w:r w:rsidRPr="00C20F64">
        <w:rPr>
          <w:rFonts w:ascii="Arial" w:hAnsi="Arial" w:cs="Arial"/>
          <w:szCs w:val="24"/>
        </w:rPr>
        <w:t xml:space="preserve">.  </w:t>
      </w:r>
      <w:r w:rsidR="00E641E3" w:rsidRPr="00A2372A">
        <w:rPr>
          <w:rFonts w:ascii="Arial" w:hAnsi="Arial" w:cs="Arial"/>
          <w:szCs w:val="24"/>
        </w:rPr>
        <w:t>These statements are the responsibility of the Company's management.  Our responsibility is to express an opinion on the statements based on our audit.</w:t>
      </w:r>
    </w:p>
    <w:p w:rsidR="00EC58EA" w:rsidRPr="00C20F64" w:rsidRDefault="00EC58EA">
      <w:pPr>
        <w:tabs>
          <w:tab w:val="left" w:pos="-720"/>
          <w:tab w:val="left" w:pos="8820"/>
        </w:tabs>
        <w:ind w:right="504"/>
        <w:rPr>
          <w:rFonts w:ascii="Arial" w:hAnsi="Arial" w:cs="Arial"/>
          <w:sz w:val="24"/>
          <w:szCs w:val="24"/>
        </w:rPr>
      </w:pPr>
    </w:p>
    <w:p w:rsidR="00EC58EA" w:rsidRPr="00C20F64" w:rsidRDefault="00EC58EA">
      <w:pPr>
        <w:pStyle w:val="BodyText"/>
        <w:tabs>
          <w:tab w:val="clear" w:pos="900"/>
          <w:tab w:val="clear" w:pos="8820"/>
          <w:tab w:val="left" w:pos="720"/>
          <w:tab w:val="left" w:pos="1440"/>
        </w:tabs>
        <w:jc w:val="left"/>
        <w:rPr>
          <w:rFonts w:ascii="Arial" w:hAnsi="Arial" w:cs="Arial"/>
          <w:szCs w:val="24"/>
        </w:rPr>
      </w:pPr>
      <w:r w:rsidRPr="00C20F64">
        <w:rPr>
          <w:rFonts w:ascii="Arial" w:hAnsi="Arial" w:cs="Arial"/>
          <w:szCs w:val="24"/>
        </w:rPr>
        <w:tab/>
        <w:t>We conducted our audit in accordance with auditing standards generally accepted in the United States of America.  Those standards require that we plan and perform the audit to obtain reasonable assurance about whether the specified statements are free of material misstatement</w:t>
      </w:r>
      <w:r w:rsidRPr="00693959">
        <w:rPr>
          <w:rFonts w:ascii="Arial" w:hAnsi="Arial" w:cs="Arial"/>
          <w:szCs w:val="24"/>
        </w:rPr>
        <w:t xml:space="preserve">.  </w:t>
      </w:r>
      <w:r w:rsidR="0039211D" w:rsidRPr="00693959">
        <w:rPr>
          <w:rFonts w:ascii="Arial" w:hAnsi="Arial" w:cs="Arial"/>
          <w:szCs w:val="24"/>
        </w:rPr>
        <w:t>Our audit included consideration of internal control over financial reporting as a basis for designing audit procedures that are appropriate for the circumstances, but not for the purpose of expressin</w:t>
      </w:r>
      <w:r w:rsidR="00D76201" w:rsidRPr="00693959">
        <w:rPr>
          <w:rFonts w:ascii="Arial" w:hAnsi="Arial" w:cs="Arial"/>
          <w:szCs w:val="24"/>
        </w:rPr>
        <w:t>g</w:t>
      </w:r>
      <w:r w:rsidR="0039211D" w:rsidRPr="00693959">
        <w:rPr>
          <w:rFonts w:ascii="Arial" w:hAnsi="Arial" w:cs="Arial"/>
          <w:szCs w:val="24"/>
        </w:rPr>
        <w:t xml:space="preserve"> an opinion on the effectiveness of the Company’s internal control over financial reporting.  </w:t>
      </w:r>
      <w:r w:rsidRPr="00693959">
        <w:rPr>
          <w:rFonts w:ascii="Arial" w:hAnsi="Arial" w:cs="Arial"/>
          <w:szCs w:val="24"/>
        </w:rPr>
        <w:t xml:space="preserve">An audit includes examining, on a test basis, evidence supporting the amounts and disclosures in the statements referred to above.  An audit also includes assessing the accounting </w:t>
      </w:r>
      <w:r w:rsidRPr="00C20F64">
        <w:rPr>
          <w:rFonts w:ascii="Arial" w:hAnsi="Arial" w:cs="Arial"/>
          <w:szCs w:val="24"/>
        </w:rPr>
        <w:t>principles used and significant estimates made by management, as well as evaluating the overall statement presentation</w:t>
      </w:r>
      <w:r w:rsidR="00F05352">
        <w:rPr>
          <w:rFonts w:ascii="Arial" w:hAnsi="Arial" w:cs="Arial"/>
          <w:szCs w:val="24"/>
        </w:rPr>
        <w:t>s</w:t>
      </w:r>
      <w:r w:rsidRPr="00C20F64">
        <w:rPr>
          <w:rFonts w:ascii="Arial" w:hAnsi="Arial" w:cs="Arial"/>
          <w:szCs w:val="24"/>
        </w:rPr>
        <w:t>.  We believe that our audit provides a reasonable basis for our opinion.</w:t>
      </w:r>
    </w:p>
    <w:p w:rsidR="00EC58EA" w:rsidRPr="00C20F64" w:rsidRDefault="00EC58EA">
      <w:pPr>
        <w:tabs>
          <w:tab w:val="left" w:pos="-720"/>
          <w:tab w:val="left" w:pos="8820"/>
        </w:tabs>
        <w:ind w:right="504"/>
        <w:rPr>
          <w:rFonts w:ascii="Arial" w:hAnsi="Arial" w:cs="Arial"/>
          <w:sz w:val="24"/>
          <w:szCs w:val="24"/>
        </w:rPr>
      </w:pPr>
    </w:p>
    <w:p w:rsidR="00EC58EA" w:rsidRPr="00C20F64" w:rsidRDefault="003858C7">
      <w:pPr>
        <w:pStyle w:val="BodyText"/>
        <w:tabs>
          <w:tab w:val="clear" w:pos="900"/>
          <w:tab w:val="left" w:pos="720"/>
          <w:tab w:val="left" w:pos="1440"/>
        </w:tabs>
        <w:jc w:val="left"/>
        <w:rPr>
          <w:rFonts w:ascii="Arial" w:hAnsi="Arial" w:cs="Arial"/>
          <w:szCs w:val="24"/>
        </w:rPr>
      </w:pPr>
      <w:r w:rsidRPr="00C20F64">
        <w:rPr>
          <w:rFonts w:ascii="Arial" w:hAnsi="Arial" w:cs="Arial"/>
          <w:szCs w:val="24"/>
        </w:rPr>
        <w:tab/>
        <w:t xml:space="preserve">The </w:t>
      </w:r>
      <w:r w:rsidR="006E476B">
        <w:rPr>
          <w:rFonts w:ascii="Arial" w:hAnsi="Arial" w:cs="Arial"/>
          <w:szCs w:val="24"/>
        </w:rPr>
        <w:t>St</w:t>
      </w:r>
      <w:r w:rsidR="005A2D4C" w:rsidRPr="00C20F64">
        <w:rPr>
          <w:rFonts w:ascii="Arial" w:hAnsi="Arial" w:cs="Arial"/>
          <w:szCs w:val="24"/>
        </w:rPr>
        <w:t>atement</w:t>
      </w:r>
      <w:r w:rsidR="005A2D4C">
        <w:rPr>
          <w:rFonts w:ascii="Arial" w:hAnsi="Arial" w:cs="Arial"/>
          <w:szCs w:val="24"/>
        </w:rPr>
        <w:t>s</w:t>
      </w:r>
      <w:r w:rsidR="005A2D4C" w:rsidRPr="00C20F64">
        <w:rPr>
          <w:rFonts w:ascii="Arial" w:hAnsi="Arial" w:cs="Arial"/>
          <w:szCs w:val="24"/>
        </w:rPr>
        <w:t xml:space="preserve"> </w:t>
      </w:r>
      <w:r w:rsidR="006E476B">
        <w:rPr>
          <w:rFonts w:ascii="Arial" w:hAnsi="Arial" w:cs="Arial"/>
          <w:szCs w:val="24"/>
        </w:rPr>
        <w:t>of Efficiency Cost Recovery</w:t>
      </w:r>
      <w:r w:rsidR="006E476B" w:rsidRPr="00C20F64">
        <w:rPr>
          <w:rFonts w:ascii="Arial" w:hAnsi="Arial" w:cs="Arial"/>
          <w:szCs w:val="24"/>
        </w:rPr>
        <w:t xml:space="preserve"> </w:t>
      </w:r>
      <w:r w:rsidR="00FA4125">
        <w:rPr>
          <w:rFonts w:ascii="Arial" w:hAnsi="Arial" w:cs="Arial"/>
          <w:szCs w:val="24"/>
        </w:rPr>
        <w:t xml:space="preserve">Surcharge </w:t>
      </w:r>
      <w:r w:rsidR="006E476B">
        <w:rPr>
          <w:rFonts w:ascii="Arial" w:hAnsi="Arial" w:cs="Arial"/>
          <w:szCs w:val="24"/>
        </w:rPr>
        <w:t>Over/Under Collections</w:t>
      </w:r>
      <w:r w:rsidR="006E476B" w:rsidRPr="00C20F64">
        <w:rPr>
          <w:rFonts w:ascii="Arial" w:hAnsi="Arial" w:cs="Arial"/>
          <w:szCs w:val="24"/>
        </w:rPr>
        <w:t xml:space="preserve"> </w:t>
      </w:r>
      <w:r w:rsidR="005A2D4C" w:rsidRPr="00C20F64">
        <w:rPr>
          <w:rFonts w:ascii="Arial" w:hAnsi="Arial" w:cs="Arial"/>
          <w:szCs w:val="24"/>
        </w:rPr>
        <w:t>w</w:t>
      </w:r>
      <w:r w:rsidR="005A2D4C">
        <w:rPr>
          <w:rFonts w:ascii="Arial" w:hAnsi="Arial" w:cs="Arial"/>
          <w:szCs w:val="24"/>
        </w:rPr>
        <w:t>ere</w:t>
      </w:r>
      <w:r w:rsidR="005A2D4C" w:rsidRPr="00C20F64">
        <w:rPr>
          <w:rFonts w:ascii="Arial" w:hAnsi="Arial" w:cs="Arial"/>
          <w:szCs w:val="24"/>
        </w:rPr>
        <w:t xml:space="preserve"> prepared for the purpose of complying with the rules and regulations of the Pennsylvania Public Utility Commission and are</w:t>
      </w:r>
      <w:r w:rsidR="00EC58EA" w:rsidRPr="00C20F64">
        <w:rPr>
          <w:rFonts w:ascii="Arial" w:hAnsi="Arial" w:cs="Arial"/>
          <w:szCs w:val="24"/>
        </w:rPr>
        <w:t xml:space="preserve"> not intended to be a complete presentation of the Company's revenues and expenses.</w:t>
      </w:r>
    </w:p>
    <w:p w:rsidR="00EC58EA" w:rsidRPr="00C20F64" w:rsidRDefault="00EC58EA">
      <w:pPr>
        <w:tabs>
          <w:tab w:val="left" w:pos="-720"/>
          <w:tab w:val="left" w:pos="8820"/>
        </w:tabs>
        <w:ind w:right="504"/>
        <w:rPr>
          <w:rFonts w:ascii="Arial" w:hAnsi="Arial" w:cs="Arial"/>
          <w:sz w:val="24"/>
          <w:szCs w:val="24"/>
        </w:rPr>
      </w:pPr>
    </w:p>
    <w:p w:rsidR="00A91BF7" w:rsidRPr="00496A0B" w:rsidRDefault="00EC58EA" w:rsidP="00A91BF7">
      <w:pPr>
        <w:pStyle w:val="BodyText3"/>
        <w:rPr>
          <w:rFonts w:ascii="Arial" w:hAnsi="Arial" w:cs="Arial"/>
          <w:szCs w:val="24"/>
        </w:rPr>
      </w:pPr>
      <w:r w:rsidRPr="00C20F64">
        <w:rPr>
          <w:rFonts w:ascii="Arial" w:hAnsi="Arial" w:cs="Arial"/>
          <w:szCs w:val="24"/>
        </w:rPr>
        <w:tab/>
      </w:r>
      <w:r w:rsidR="00A91BF7" w:rsidRPr="00A91BF7">
        <w:rPr>
          <w:rFonts w:ascii="Arial" w:hAnsi="Arial" w:cs="Arial"/>
          <w:szCs w:val="24"/>
        </w:rPr>
        <w:t xml:space="preserve">In our opinion, the information set forth in the accompanying </w:t>
      </w:r>
      <w:r w:rsidR="00A91BF7">
        <w:rPr>
          <w:rFonts w:ascii="Arial" w:hAnsi="Arial" w:cs="Arial"/>
          <w:szCs w:val="24"/>
        </w:rPr>
        <w:t xml:space="preserve">condensed </w:t>
      </w:r>
      <w:r w:rsidR="00445BEE">
        <w:rPr>
          <w:rFonts w:ascii="Arial" w:hAnsi="Arial" w:cs="Arial"/>
          <w:szCs w:val="24"/>
        </w:rPr>
        <w:t>S</w:t>
      </w:r>
      <w:r w:rsidR="003858C7" w:rsidRPr="00C20F64">
        <w:rPr>
          <w:rFonts w:ascii="Arial" w:hAnsi="Arial" w:cs="Arial"/>
          <w:szCs w:val="24"/>
        </w:rPr>
        <w:t>tatement</w:t>
      </w:r>
      <w:r w:rsidR="00D55143">
        <w:rPr>
          <w:rFonts w:ascii="Arial" w:hAnsi="Arial" w:cs="Arial"/>
          <w:szCs w:val="24"/>
        </w:rPr>
        <w:t>s</w:t>
      </w:r>
      <w:r w:rsidRPr="00C20F64">
        <w:rPr>
          <w:rFonts w:ascii="Arial" w:hAnsi="Arial" w:cs="Arial"/>
          <w:szCs w:val="24"/>
        </w:rPr>
        <w:t xml:space="preserve"> of </w:t>
      </w:r>
      <w:r w:rsidR="00A91BF7">
        <w:rPr>
          <w:rFonts w:ascii="Arial" w:hAnsi="Arial" w:cs="Arial"/>
          <w:szCs w:val="24"/>
        </w:rPr>
        <w:t xml:space="preserve">Efficiency Cost Recovery </w:t>
      </w:r>
      <w:r w:rsidR="00CD3B96">
        <w:rPr>
          <w:rFonts w:ascii="Arial" w:hAnsi="Arial" w:cs="Arial"/>
          <w:szCs w:val="24"/>
        </w:rPr>
        <w:t xml:space="preserve">Surcharge </w:t>
      </w:r>
      <w:r w:rsidR="007302A5">
        <w:rPr>
          <w:rFonts w:ascii="Arial" w:hAnsi="Arial" w:cs="Arial"/>
          <w:szCs w:val="24"/>
        </w:rPr>
        <w:t xml:space="preserve">Over/Under Collections </w:t>
      </w:r>
      <w:r w:rsidR="00A91BF7" w:rsidRPr="00A91BF7">
        <w:rPr>
          <w:rFonts w:ascii="Arial" w:hAnsi="Arial" w:cs="Arial"/>
          <w:szCs w:val="24"/>
        </w:rPr>
        <w:t>for the twelve month periods ended August 31, 2012 and August 31, 2011</w:t>
      </w:r>
      <w:r w:rsidR="00A91BF7">
        <w:rPr>
          <w:rFonts w:ascii="Arial" w:hAnsi="Arial" w:cs="Arial"/>
          <w:szCs w:val="24"/>
        </w:rPr>
        <w:t xml:space="preserve"> of </w:t>
      </w:r>
      <w:r w:rsidRPr="00C20F64">
        <w:rPr>
          <w:rFonts w:ascii="Arial" w:hAnsi="Arial" w:cs="Arial"/>
          <w:szCs w:val="24"/>
        </w:rPr>
        <w:t>Philadelphia Gas Works present</w:t>
      </w:r>
      <w:r w:rsidR="007302A5">
        <w:rPr>
          <w:rFonts w:ascii="Arial" w:hAnsi="Arial" w:cs="Arial"/>
          <w:szCs w:val="24"/>
        </w:rPr>
        <w:t>s</w:t>
      </w:r>
      <w:r w:rsidRPr="00C20F64">
        <w:rPr>
          <w:rFonts w:ascii="Arial" w:hAnsi="Arial" w:cs="Arial"/>
          <w:szCs w:val="24"/>
        </w:rPr>
        <w:t xml:space="preserve"> fairly, in all material respects, </w:t>
      </w:r>
      <w:r w:rsidR="00A91BF7">
        <w:rPr>
          <w:rFonts w:ascii="Arial" w:hAnsi="Arial" w:cs="Arial"/>
          <w:szCs w:val="24"/>
        </w:rPr>
        <w:t>in relation to the audited financial statements from which they were derived.</w:t>
      </w:r>
    </w:p>
    <w:p w:rsidR="00EC58EA" w:rsidRPr="00C20F64" w:rsidRDefault="00EC58EA">
      <w:pPr>
        <w:tabs>
          <w:tab w:val="left" w:pos="-720"/>
          <w:tab w:val="left" w:pos="720"/>
          <w:tab w:val="left" w:pos="1440"/>
        </w:tabs>
        <w:rPr>
          <w:rFonts w:ascii="Arial" w:hAnsi="Arial" w:cs="Arial"/>
          <w:sz w:val="24"/>
          <w:szCs w:val="24"/>
        </w:rPr>
      </w:pPr>
    </w:p>
    <w:p w:rsidR="00EC58EA" w:rsidRPr="00C20F64" w:rsidRDefault="00EC58EA">
      <w:pPr>
        <w:tabs>
          <w:tab w:val="left" w:pos="-720"/>
          <w:tab w:val="left" w:pos="8820"/>
        </w:tabs>
        <w:rPr>
          <w:rFonts w:ascii="Arial" w:hAnsi="Arial" w:cs="Arial"/>
          <w:sz w:val="24"/>
          <w:szCs w:val="24"/>
        </w:rPr>
      </w:pPr>
    </w:p>
    <w:p w:rsidR="00ED471F" w:rsidRPr="00C20F64" w:rsidRDefault="00ED471F">
      <w:pPr>
        <w:tabs>
          <w:tab w:val="left" w:pos="-720"/>
          <w:tab w:val="left" w:pos="8820"/>
        </w:tabs>
        <w:rPr>
          <w:rFonts w:ascii="Arial" w:hAnsi="Arial" w:cs="Arial"/>
          <w:sz w:val="24"/>
          <w:szCs w:val="24"/>
        </w:rPr>
      </w:pPr>
    </w:p>
    <w:p w:rsidR="007E3C85" w:rsidRPr="00C20F64" w:rsidRDefault="007E3C85">
      <w:pPr>
        <w:tabs>
          <w:tab w:val="left" w:pos="-720"/>
          <w:tab w:val="left" w:pos="8820"/>
        </w:tabs>
        <w:rPr>
          <w:rFonts w:ascii="Arial" w:hAnsi="Arial" w:cs="Arial"/>
          <w:sz w:val="24"/>
          <w:szCs w:val="24"/>
        </w:rPr>
      </w:pPr>
    </w:p>
    <w:p w:rsidR="007E3C85" w:rsidRPr="00C20F64" w:rsidRDefault="007E3C85">
      <w:pPr>
        <w:tabs>
          <w:tab w:val="left" w:pos="-720"/>
          <w:tab w:val="left" w:pos="8820"/>
        </w:tabs>
        <w:rPr>
          <w:rFonts w:ascii="Arial" w:hAnsi="Arial" w:cs="Arial"/>
          <w:sz w:val="24"/>
          <w:szCs w:val="24"/>
        </w:rPr>
      </w:pPr>
    </w:p>
    <w:p w:rsidR="007E3C85" w:rsidRPr="00C20F64" w:rsidRDefault="007E3C85">
      <w:pPr>
        <w:tabs>
          <w:tab w:val="left" w:pos="-720"/>
          <w:tab w:val="left" w:pos="8820"/>
        </w:tabs>
        <w:rPr>
          <w:rFonts w:ascii="Arial" w:hAnsi="Arial" w:cs="Arial"/>
          <w:sz w:val="24"/>
          <w:szCs w:val="24"/>
        </w:rPr>
      </w:pPr>
    </w:p>
    <w:p w:rsidR="00EC58EA" w:rsidRPr="00C20F64" w:rsidRDefault="00EC58EA">
      <w:pPr>
        <w:tabs>
          <w:tab w:val="left" w:pos="-720"/>
          <w:tab w:val="left" w:pos="5040"/>
        </w:tabs>
        <w:outlineLvl w:val="0"/>
        <w:rPr>
          <w:rFonts w:ascii="Arial" w:hAnsi="Arial" w:cs="Arial"/>
          <w:sz w:val="24"/>
          <w:szCs w:val="24"/>
        </w:rPr>
      </w:pPr>
      <w:r w:rsidRPr="00C20F64">
        <w:rPr>
          <w:rFonts w:ascii="Arial" w:hAnsi="Arial" w:cs="Arial"/>
          <w:sz w:val="24"/>
          <w:szCs w:val="24"/>
        </w:rPr>
        <w:tab/>
      </w:r>
      <w:r w:rsidR="0012369F" w:rsidRPr="0012369F">
        <w:rPr>
          <w:rFonts w:ascii="Arial" w:hAnsi="Arial" w:cs="Arial"/>
          <w:sz w:val="24"/>
          <w:szCs w:val="24"/>
        </w:rPr>
        <w:t>Dennis P</w:t>
      </w:r>
      <w:r w:rsidR="002C5C27">
        <w:rPr>
          <w:rFonts w:ascii="Arial" w:hAnsi="Arial" w:cs="Arial"/>
          <w:sz w:val="24"/>
          <w:szCs w:val="24"/>
        </w:rPr>
        <w:t>.</w:t>
      </w:r>
      <w:r w:rsidR="0012369F" w:rsidRPr="0012369F">
        <w:rPr>
          <w:rFonts w:ascii="Arial" w:hAnsi="Arial" w:cs="Arial"/>
          <w:sz w:val="24"/>
          <w:szCs w:val="24"/>
        </w:rPr>
        <w:t xml:space="preserve"> Hosler</w:t>
      </w:r>
      <w:r w:rsidRPr="0012369F">
        <w:rPr>
          <w:rFonts w:ascii="Arial" w:hAnsi="Arial" w:cs="Arial"/>
          <w:sz w:val="24"/>
          <w:szCs w:val="24"/>
        </w:rPr>
        <w:t>, CPA</w:t>
      </w:r>
    </w:p>
    <w:p w:rsidR="00EC58EA" w:rsidRPr="00C20F64" w:rsidRDefault="00EC58EA">
      <w:pPr>
        <w:tabs>
          <w:tab w:val="left" w:pos="-720"/>
          <w:tab w:val="left" w:pos="5040"/>
        </w:tabs>
        <w:outlineLvl w:val="0"/>
        <w:rPr>
          <w:rFonts w:ascii="Arial" w:hAnsi="Arial" w:cs="Arial"/>
          <w:sz w:val="24"/>
          <w:szCs w:val="24"/>
        </w:rPr>
      </w:pPr>
      <w:r w:rsidRPr="00C20F64">
        <w:rPr>
          <w:rFonts w:ascii="Arial" w:hAnsi="Arial" w:cs="Arial"/>
          <w:sz w:val="24"/>
          <w:szCs w:val="24"/>
        </w:rPr>
        <w:tab/>
        <w:t>Director</w:t>
      </w:r>
    </w:p>
    <w:p w:rsidR="00EC58EA" w:rsidRPr="00C20F64" w:rsidRDefault="00EC58EA">
      <w:pPr>
        <w:tabs>
          <w:tab w:val="left" w:pos="-720"/>
          <w:tab w:val="left" w:pos="5040"/>
        </w:tabs>
        <w:outlineLvl w:val="0"/>
        <w:rPr>
          <w:rFonts w:ascii="Arial" w:hAnsi="Arial" w:cs="Arial"/>
          <w:sz w:val="24"/>
          <w:szCs w:val="24"/>
        </w:rPr>
      </w:pPr>
      <w:r w:rsidRPr="00C20F64">
        <w:rPr>
          <w:rFonts w:ascii="Arial" w:hAnsi="Arial" w:cs="Arial"/>
          <w:sz w:val="24"/>
          <w:szCs w:val="24"/>
        </w:rPr>
        <w:tab/>
        <w:t>Bureau of Audits</w:t>
      </w:r>
    </w:p>
    <w:p w:rsidR="007E3C85" w:rsidRDefault="007E3C85">
      <w:pPr>
        <w:tabs>
          <w:tab w:val="left" w:pos="-720"/>
          <w:tab w:val="left" w:pos="5040"/>
        </w:tabs>
        <w:outlineLvl w:val="0"/>
        <w:rPr>
          <w:rFonts w:ascii="Arial" w:hAnsi="Arial" w:cs="Arial"/>
          <w:sz w:val="26"/>
          <w:szCs w:val="26"/>
          <w:highlight w:val="lightGray"/>
        </w:rPr>
        <w:sectPr w:rsidR="007E3C85" w:rsidSect="00D0219E">
          <w:headerReference w:type="even" r:id="rId16"/>
          <w:headerReference w:type="default" r:id="rId17"/>
          <w:footerReference w:type="default" r:id="rId18"/>
          <w:headerReference w:type="first" r:id="rId19"/>
          <w:pgSz w:w="12240" w:h="15840" w:code="1"/>
          <w:pgMar w:top="720" w:right="1440" w:bottom="1152" w:left="1440" w:header="0" w:footer="720" w:gutter="0"/>
          <w:cols w:space="720"/>
          <w:noEndnote/>
        </w:sectPr>
      </w:pPr>
    </w:p>
    <w:p w:rsidR="004B5DDA" w:rsidRPr="00B92235" w:rsidRDefault="004B5DDA" w:rsidP="004B5DDA">
      <w:pPr>
        <w:tabs>
          <w:tab w:val="left" w:pos="0"/>
          <w:tab w:val="left" w:pos="1800"/>
          <w:tab w:val="decimal" w:pos="6300"/>
          <w:tab w:val="decimal" w:pos="8550"/>
          <w:tab w:val="decimal" w:pos="10350"/>
          <w:tab w:val="left" w:pos="10800"/>
        </w:tabs>
        <w:ind w:right="-144"/>
        <w:jc w:val="center"/>
        <w:rPr>
          <w:rFonts w:ascii="Arial" w:hAnsi="Arial" w:cs="Arial"/>
          <w:b/>
          <w:sz w:val="26"/>
          <w:szCs w:val="26"/>
        </w:rPr>
      </w:pPr>
      <w:r w:rsidRPr="00B92235">
        <w:rPr>
          <w:rFonts w:ascii="Arial" w:hAnsi="Arial" w:cs="Arial"/>
          <w:b/>
          <w:sz w:val="26"/>
          <w:szCs w:val="26"/>
        </w:rPr>
        <w:lastRenderedPageBreak/>
        <w:t>PHILADELPHIA GAS WORKS</w:t>
      </w:r>
    </w:p>
    <w:p w:rsidR="004B5DDA" w:rsidRPr="00B92235" w:rsidRDefault="004B5DDA" w:rsidP="004B5DDA">
      <w:pPr>
        <w:jc w:val="both"/>
        <w:rPr>
          <w:rFonts w:ascii="Arial" w:hAnsi="Arial" w:cs="Arial"/>
          <w:sz w:val="26"/>
          <w:szCs w:val="26"/>
        </w:rPr>
      </w:pPr>
    </w:p>
    <w:p w:rsidR="00342B16" w:rsidRPr="00B92235" w:rsidRDefault="00342B16" w:rsidP="001D5EB8">
      <w:pPr>
        <w:jc w:val="center"/>
        <w:outlineLvl w:val="0"/>
        <w:rPr>
          <w:rFonts w:ascii="Arial" w:hAnsi="Arial" w:cs="Arial"/>
          <w:b/>
          <w:sz w:val="26"/>
          <w:szCs w:val="26"/>
        </w:rPr>
      </w:pPr>
      <w:r w:rsidRPr="00B92235">
        <w:rPr>
          <w:rFonts w:ascii="Arial" w:hAnsi="Arial" w:cs="Arial"/>
          <w:b/>
          <w:sz w:val="26"/>
          <w:szCs w:val="26"/>
        </w:rPr>
        <w:t>Condensed (Note 1)</w:t>
      </w:r>
    </w:p>
    <w:p w:rsidR="00B92235" w:rsidRDefault="00342B16" w:rsidP="00B92235">
      <w:pPr>
        <w:tabs>
          <w:tab w:val="center" w:pos="4680"/>
        </w:tabs>
        <w:suppressAutoHyphens/>
        <w:jc w:val="center"/>
        <w:rPr>
          <w:rFonts w:ascii="Arial" w:hAnsi="Arial" w:cs="Arial"/>
          <w:b/>
          <w:sz w:val="26"/>
          <w:szCs w:val="26"/>
        </w:rPr>
      </w:pPr>
      <w:r w:rsidRPr="00B92235">
        <w:rPr>
          <w:rFonts w:ascii="Arial" w:hAnsi="Arial" w:cs="Arial"/>
          <w:b/>
          <w:sz w:val="26"/>
          <w:szCs w:val="26"/>
        </w:rPr>
        <w:t xml:space="preserve">Statement of </w:t>
      </w:r>
      <w:r w:rsidR="001D5EB8" w:rsidRPr="00B92235">
        <w:rPr>
          <w:rFonts w:ascii="Arial" w:hAnsi="Arial" w:cs="Arial"/>
          <w:b/>
          <w:sz w:val="26"/>
          <w:szCs w:val="26"/>
        </w:rPr>
        <w:t xml:space="preserve">Efficiency Cost Recovery </w:t>
      </w:r>
      <w:r w:rsidR="00816A39">
        <w:rPr>
          <w:rFonts w:ascii="Arial" w:hAnsi="Arial" w:cs="Arial"/>
          <w:b/>
          <w:sz w:val="26"/>
          <w:szCs w:val="26"/>
        </w:rPr>
        <w:t>(ECR)</w:t>
      </w:r>
      <w:r w:rsidR="007821ED">
        <w:rPr>
          <w:rFonts w:ascii="Arial" w:hAnsi="Arial" w:cs="Arial"/>
          <w:b/>
          <w:sz w:val="26"/>
          <w:szCs w:val="26"/>
        </w:rPr>
        <w:t xml:space="preserve"> Surcharge</w:t>
      </w:r>
    </w:p>
    <w:p w:rsidR="00B92235" w:rsidRPr="00B92235" w:rsidRDefault="00342B16" w:rsidP="00B92235">
      <w:pPr>
        <w:tabs>
          <w:tab w:val="center" w:pos="4680"/>
        </w:tabs>
        <w:suppressAutoHyphens/>
        <w:jc w:val="center"/>
        <w:rPr>
          <w:rFonts w:ascii="Arial" w:hAnsi="Arial" w:cs="Arial"/>
          <w:b/>
          <w:sz w:val="26"/>
          <w:szCs w:val="26"/>
        </w:rPr>
      </w:pPr>
      <w:r w:rsidRPr="00B92235">
        <w:rPr>
          <w:rFonts w:ascii="Arial" w:hAnsi="Arial" w:cs="Arial"/>
          <w:b/>
          <w:sz w:val="26"/>
          <w:szCs w:val="26"/>
        </w:rPr>
        <w:t>Over/</w:t>
      </w:r>
      <w:r w:rsidR="00D76E41">
        <w:rPr>
          <w:rFonts w:ascii="Arial" w:hAnsi="Arial" w:cs="Arial"/>
          <w:b/>
          <w:sz w:val="26"/>
          <w:szCs w:val="26"/>
        </w:rPr>
        <w:t>(</w:t>
      </w:r>
      <w:r w:rsidRPr="00B92235">
        <w:rPr>
          <w:rFonts w:ascii="Arial" w:hAnsi="Arial" w:cs="Arial"/>
          <w:b/>
          <w:sz w:val="26"/>
          <w:szCs w:val="26"/>
        </w:rPr>
        <w:t>Under</w:t>
      </w:r>
      <w:r w:rsidR="00D76E41">
        <w:rPr>
          <w:rFonts w:ascii="Arial" w:hAnsi="Arial" w:cs="Arial"/>
          <w:b/>
          <w:sz w:val="26"/>
          <w:szCs w:val="26"/>
        </w:rPr>
        <w:t>)</w:t>
      </w:r>
      <w:r w:rsidRPr="00B92235">
        <w:rPr>
          <w:rFonts w:ascii="Arial" w:hAnsi="Arial" w:cs="Arial"/>
          <w:b/>
          <w:sz w:val="26"/>
          <w:szCs w:val="26"/>
        </w:rPr>
        <w:t xml:space="preserve"> Collections</w:t>
      </w:r>
      <w:r w:rsidR="001D5EB8" w:rsidRPr="00B92235">
        <w:rPr>
          <w:rFonts w:ascii="Arial" w:hAnsi="Arial" w:cs="Arial"/>
          <w:b/>
          <w:sz w:val="26"/>
          <w:szCs w:val="26"/>
        </w:rPr>
        <w:t xml:space="preserve"> </w:t>
      </w:r>
      <w:r w:rsidR="00B92235" w:rsidRPr="00B92235">
        <w:rPr>
          <w:rFonts w:ascii="Arial" w:hAnsi="Arial" w:cs="Arial"/>
          <w:b/>
          <w:sz w:val="26"/>
          <w:szCs w:val="26"/>
        </w:rPr>
        <w:t>(Section 1307(</w:t>
      </w:r>
      <w:r w:rsidR="00B92235">
        <w:rPr>
          <w:rFonts w:ascii="Arial" w:hAnsi="Arial" w:cs="Arial"/>
          <w:b/>
          <w:sz w:val="26"/>
          <w:szCs w:val="26"/>
        </w:rPr>
        <w:t>f</w:t>
      </w:r>
      <w:r w:rsidR="00B92235" w:rsidRPr="00B92235">
        <w:rPr>
          <w:rFonts w:ascii="Arial" w:hAnsi="Arial" w:cs="Arial"/>
          <w:b/>
          <w:sz w:val="26"/>
          <w:szCs w:val="26"/>
        </w:rPr>
        <w:t xml:space="preserve">)) </w:t>
      </w:r>
    </w:p>
    <w:p w:rsidR="004B5DDA" w:rsidRPr="00B92235" w:rsidRDefault="004B5DDA" w:rsidP="004B5DDA">
      <w:pPr>
        <w:jc w:val="center"/>
        <w:outlineLvl w:val="0"/>
        <w:rPr>
          <w:rFonts w:ascii="Arial" w:hAnsi="Arial" w:cs="Arial"/>
          <w:sz w:val="26"/>
          <w:szCs w:val="26"/>
        </w:rPr>
      </w:pPr>
      <w:r w:rsidRPr="00B92235">
        <w:rPr>
          <w:rFonts w:ascii="Arial" w:hAnsi="Arial" w:cs="Arial"/>
          <w:b/>
          <w:sz w:val="26"/>
          <w:szCs w:val="26"/>
        </w:rPr>
        <w:t>For The Twelve</w:t>
      </w:r>
      <w:r w:rsidR="00207628" w:rsidRPr="00B92235">
        <w:rPr>
          <w:rFonts w:ascii="Arial" w:hAnsi="Arial" w:cs="Arial"/>
          <w:b/>
          <w:sz w:val="26"/>
          <w:szCs w:val="26"/>
        </w:rPr>
        <w:t xml:space="preserve"> </w:t>
      </w:r>
      <w:r w:rsidRPr="00B92235">
        <w:rPr>
          <w:rFonts w:ascii="Arial" w:hAnsi="Arial" w:cs="Arial"/>
          <w:b/>
          <w:sz w:val="26"/>
          <w:szCs w:val="26"/>
        </w:rPr>
        <w:t>Months Ended August 31, 20</w:t>
      </w:r>
      <w:r w:rsidR="00666457" w:rsidRPr="00B92235">
        <w:rPr>
          <w:rFonts w:ascii="Arial" w:hAnsi="Arial" w:cs="Arial"/>
          <w:b/>
          <w:sz w:val="26"/>
          <w:szCs w:val="26"/>
        </w:rPr>
        <w:t>1</w:t>
      </w:r>
      <w:r w:rsidR="00795A23" w:rsidRPr="00B92235">
        <w:rPr>
          <w:rFonts w:ascii="Arial" w:hAnsi="Arial" w:cs="Arial"/>
          <w:b/>
          <w:sz w:val="26"/>
          <w:szCs w:val="26"/>
        </w:rPr>
        <w:t>2</w:t>
      </w:r>
      <w:r w:rsidR="001D49EE">
        <w:rPr>
          <w:rFonts w:ascii="Arial" w:hAnsi="Arial" w:cs="Arial"/>
          <w:b/>
          <w:sz w:val="26"/>
          <w:szCs w:val="26"/>
        </w:rPr>
        <w:t>*</w:t>
      </w:r>
    </w:p>
    <w:p w:rsidR="004B5DDA" w:rsidRPr="005221A2" w:rsidRDefault="004B5DDA" w:rsidP="004B5DDA">
      <w:pPr>
        <w:tabs>
          <w:tab w:val="left" w:pos="-288"/>
        </w:tabs>
        <w:ind w:right="-36"/>
        <w:jc w:val="both"/>
        <w:rPr>
          <w:rFonts w:ascii="Arial" w:hAnsi="Arial" w:cs="Arial"/>
          <w:sz w:val="24"/>
          <w:szCs w:val="24"/>
        </w:rPr>
      </w:pPr>
    </w:p>
    <w:p w:rsidR="004B5DDA" w:rsidRPr="005221A2" w:rsidRDefault="004B5DDA" w:rsidP="004B5DDA">
      <w:pPr>
        <w:tabs>
          <w:tab w:val="left" w:pos="-288"/>
        </w:tabs>
        <w:ind w:right="-36"/>
        <w:jc w:val="both"/>
        <w:rPr>
          <w:rFonts w:ascii="Arial" w:hAnsi="Arial" w:cs="Arial"/>
          <w:sz w:val="24"/>
          <w:szCs w:val="24"/>
        </w:rPr>
      </w:pPr>
    </w:p>
    <w:tbl>
      <w:tblPr>
        <w:tblStyle w:val="TableGrid"/>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2111"/>
        <w:gridCol w:w="2311"/>
        <w:gridCol w:w="2347"/>
      </w:tblGrid>
      <w:tr w:rsidR="00833A48" w:rsidRPr="001A3365" w:rsidTr="00833A48">
        <w:trPr>
          <w:trHeight w:val="720"/>
        </w:trPr>
        <w:tc>
          <w:tcPr>
            <w:tcW w:w="2512" w:type="dxa"/>
          </w:tcPr>
          <w:p w:rsidR="00833A48" w:rsidRDefault="00833A48" w:rsidP="00A11554">
            <w:pPr>
              <w:jc w:val="both"/>
              <w:rPr>
                <w:rFonts w:ascii="Arial" w:hAnsi="Arial" w:cs="Arial"/>
                <w:sz w:val="24"/>
                <w:szCs w:val="24"/>
              </w:rPr>
            </w:pPr>
          </w:p>
          <w:p w:rsidR="00833A48" w:rsidRPr="00122B87" w:rsidRDefault="00833A48" w:rsidP="00A11554">
            <w:pPr>
              <w:jc w:val="both"/>
              <w:rPr>
                <w:rFonts w:ascii="Arial" w:hAnsi="Arial" w:cs="Arial"/>
                <w:b/>
                <w:sz w:val="24"/>
                <w:szCs w:val="24"/>
              </w:rPr>
            </w:pPr>
            <w:r w:rsidRPr="00122B87">
              <w:rPr>
                <w:rFonts w:ascii="Arial" w:hAnsi="Arial" w:cs="Arial"/>
                <w:b/>
                <w:sz w:val="24"/>
                <w:szCs w:val="24"/>
                <w:u w:val="single"/>
              </w:rPr>
              <w:t>Customer Class</w:t>
            </w:r>
          </w:p>
        </w:tc>
        <w:tc>
          <w:tcPr>
            <w:tcW w:w="2111" w:type="dxa"/>
          </w:tcPr>
          <w:p w:rsidR="00833A48" w:rsidRPr="001A3365" w:rsidRDefault="00833A48" w:rsidP="00A11554">
            <w:pPr>
              <w:rPr>
                <w:rFonts w:ascii="Arial" w:hAnsi="Arial" w:cs="Arial"/>
                <w:b/>
                <w:sz w:val="24"/>
                <w:szCs w:val="24"/>
              </w:rPr>
            </w:pPr>
            <w:r w:rsidRPr="001A3365">
              <w:rPr>
                <w:rFonts w:ascii="Arial" w:hAnsi="Arial" w:cs="Arial"/>
                <w:b/>
                <w:sz w:val="24"/>
                <w:szCs w:val="24"/>
              </w:rPr>
              <w:t xml:space="preserve">       </w:t>
            </w:r>
          </w:p>
          <w:p w:rsidR="00833A48" w:rsidRPr="001A3365" w:rsidRDefault="00833A48" w:rsidP="00A11554">
            <w:pPr>
              <w:jc w:val="center"/>
              <w:rPr>
                <w:rFonts w:ascii="Arial" w:hAnsi="Arial" w:cs="Arial"/>
                <w:b/>
                <w:sz w:val="24"/>
                <w:szCs w:val="24"/>
                <w:u w:val="single"/>
              </w:rPr>
            </w:pPr>
            <w:r>
              <w:rPr>
                <w:rFonts w:ascii="Arial" w:hAnsi="Arial" w:cs="Arial"/>
                <w:b/>
                <w:sz w:val="24"/>
                <w:szCs w:val="24"/>
                <w:u w:val="single"/>
              </w:rPr>
              <w:t xml:space="preserve">ECR </w:t>
            </w:r>
            <w:r w:rsidRPr="001A3365">
              <w:rPr>
                <w:rFonts w:ascii="Arial" w:hAnsi="Arial" w:cs="Arial"/>
                <w:b/>
                <w:sz w:val="24"/>
                <w:szCs w:val="24"/>
                <w:u w:val="single"/>
              </w:rPr>
              <w:t>Revenues</w:t>
            </w:r>
          </w:p>
          <w:p w:rsidR="00833A48" w:rsidRPr="001A3365" w:rsidRDefault="00833A48" w:rsidP="00A11554">
            <w:pPr>
              <w:jc w:val="center"/>
              <w:rPr>
                <w:rFonts w:ascii="Arial" w:hAnsi="Arial" w:cs="Arial"/>
                <w:sz w:val="24"/>
                <w:szCs w:val="24"/>
              </w:rPr>
            </w:pPr>
            <w:r w:rsidRPr="001A3365">
              <w:rPr>
                <w:rFonts w:ascii="Arial" w:hAnsi="Arial" w:cs="Arial"/>
                <w:sz w:val="24"/>
                <w:szCs w:val="24"/>
              </w:rPr>
              <w:t>(1)</w:t>
            </w:r>
          </w:p>
          <w:p w:rsidR="00833A48" w:rsidRPr="001A3365" w:rsidRDefault="00833A48" w:rsidP="00A11554">
            <w:pPr>
              <w:jc w:val="center"/>
              <w:rPr>
                <w:rFonts w:ascii="Arial" w:hAnsi="Arial" w:cs="Arial"/>
                <w:b/>
                <w:sz w:val="24"/>
                <w:szCs w:val="24"/>
              </w:rPr>
            </w:pPr>
            <w:r w:rsidRPr="001A3365">
              <w:rPr>
                <w:rFonts w:ascii="Arial" w:hAnsi="Arial" w:cs="Arial"/>
                <w:sz w:val="24"/>
                <w:szCs w:val="24"/>
              </w:rPr>
              <w:t>(Note 2)</w:t>
            </w:r>
          </w:p>
        </w:tc>
        <w:tc>
          <w:tcPr>
            <w:tcW w:w="2311" w:type="dxa"/>
          </w:tcPr>
          <w:p w:rsidR="00833A48" w:rsidRPr="001A3365" w:rsidRDefault="00833A48" w:rsidP="00A11554">
            <w:pPr>
              <w:rPr>
                <w:rFonts w:ascii="Arial" w:hAnsi="Arial" w:cs="Arial"/>
                <w:b/>
                <w:sz w:val="24"/>
                <w:szCs w:val="24"/>
              </w:rPr>
            </w:pPr>
            <w:r w:rsidRPr="001A3365">
              <w:rPr>
                <w:rFonts w:ascii="Arial" w:hAnsi="Arial" w:cs="Arial"/>
                <w:b/>
                <w:sz w:val="24"/>
                <w:szCs w:val="24"/>
              </w:rPr>
              <w:t xml:space="preserve">      </w:t>
            </w:r>
          </w:p>
          <w:p w:rsidR="00833A48" w:rsidRPr="00503778" w:rsidRDefault="00833A48" w:rsidP="00A11554">
            <w:pPr>
              <w:jc w:val="center"/>
              <w:rPr>
                <w:rFonts w:ascii="Arial" w:hAnsi="Arial" w:cs="Arial"/>
                <w:b/>
                <w:sz w:val="24"/>
                <w:szCs w:val="24"/>
                <w:u w:val="single"/>
              </w:rPr>
            </w:pPr>
            <w:r w:rsidRPr="00816A39">
              <w:rPr>
                <w:rFonts w:ascii="Arial" w:hAnsi="Arial" w:cs="Arial"/>
                <w:b/>
                <w:sz w:val="24"/>
                <w:szCs w:val="24"/>
                <w:u w:val="single"/>
              </w:rPr>
              <w:t xml:space="preserve">ECR </w:t>
            </w:r>
            <w:r w:rsidRPr="00503778">
              <w:rPr>
                <w:rFonts w:ascii="Arial" w:hAnsi="Arial" w:cs="Arial"/>
                <w:b/>
                <w:sz w:val="24"/>
                <w:szCs w:val="24"/>
                <w:u w:val="single"/>
              </w:rPr>
              <w:t>Expenses</w:t>
            </w:r>
          </w:p>
          <w:p w:rsidR="00833A48" w:rsidRPr="001A3365" w:rsidRDefault="00833A48" w:rsidP="00A11554">
            <w:pPr>
              <w:jc w:val="center"/>
              <w:rPr>
                <w:rFonts w:ascii="Arial" w:hAnsi="Arial" w:cs="Arial"/>
                <w:sz w:val="24"/>
                <w:szCs w:val="24"/>
              </w:rPr>
            </w:pPr>
            <w:r w:rsidRPr="001A3365">
              <w:rPr>
                <w:rFonts w:ascii="Arial" w:hAnsi="Arial" w:cs="Arial"/>
                <w:sz w:val="24"/>
                <w:szCs w:val="24"/>
              </w:rPr>
              <w:t>(2)</w:t>
            </w:r>
          </w:p>
          <w:p w:rsidR="00833A48" w:rsidRPr="001A3365" w:rsidRDefault="00833A48" w:rsidP="00A11554">
            <w:pPr>
              <w:jc w:val="center"/>
              <w:rPr>
                <w:rFonts w:ascii="Arial" w:hAnsi="Arial" w:cs="Arial"/>
                <w:b/>
                <w:sz w:val="24"/>
                <w:szCs w:val="24"/>
              </w:rPr>
            </w:pPr>
            <w:r w:rsidRPr="001A3365">
              <w:rPr>
                <w:rFonts w:ascii="Arial" w:hAnsi="Arial" w:cs="Arial"/>
                <w:sz w:val="24"/>
                <w:szCs w:val="24"/>
              </w:rPr>
              <w:t>(Note 3)</w:t>
            </w:r>
          </w:p>
        </w:tc>
        <w:tc>
          <w:tcPr>
            <w:tcW w:w="2347" w:type="dxa"/>
          </w:tcPr>
          <w:p w:rsidR="00833A48" w:rsidRPr="001A3365" w:rsidRDefault="00833A48" w:rsidP="00A11554">
            <w:pPr>
              <w:jc w:val="center"/>
              <w:rPr>
                <w:rFonts w:ascii="Arial" w:hAnsi="Arial" w:cs="Arial"/>
                <w:b/>
                <w:sz w:val="24"/>
                <w:szCs w:val="24"/>
              </w:rPr>
            </w:pPr>
            <w:r w:rsidRPr="001A3365">
              <w:rPr>
                <w:rFonts w:ascii="Arial" w:hAnsi="Arial" w:cs="Arial"/>
                <w:b/>
                <w:sz w:val="24"/>
                <w:szCs w:val="24"/>
              </w:rPr>
              <w:t>Over/</w:t>
            </w:r>
            <w:r>
              <w:rPr>
                <w:rFonts w:ascii="Arial" w:hAnsi="Arial" w:cs="Arial"/>
                <w:b/>
                <w:sz w:val="24"/>
                <w:szCs w:val="24"/>
              </w:rPr>
              <w:t>(</w:t>
            </w:r>
            <w:r w:rsidRPr="001A3365">
              <w:rPr>
                <w:rFonts w:ascii="Arial" w:hAnsi="Arial" w:cs="Arial"/>
                <w:b/>
                <w:sz w:val="24"/>
                <w:szCs w:val="24"/>
              </w:rPr>
              <w:t>Under</w:t>
            </w:r>
            <w:r>
              <w:rPr>
                <w:rFonts w:ascii="Arial" w:hAnsi="Arial" w:cs="Arial"/>
                <w:b/>
                <w:sz w:val="24"/>
                <w:szCs w:val="24"/>
              </w:rPr>
              <w:t>)</w:t>
            </w:r>
          </w:p>
          <w:p w:rsidR="00833A48" w:rsidRPr="001A3365" w:rsidRDefault="00833A48" w:rsidP="00A11554">
            <w:pPr>
              <w:jc w:val="center"/>
              <w:rPr>
                <w:rFonts w:ascii="Arial" w:hAnsi="Arial" w:cs="Arial"/>
                <w:b/>
                <w:sz w:val="24"/>
                <w:szCs w:val="24"/>
                <w:u w:val="single"/>
              </w:rPr>
            </w:pPr>
            <w:r w:rsidRPr="001A3365">
              <w:rPr>
                <w:rFonts w:ascii="Arial" w:hAnsi="Arial" w:cs="Arial"/>
                <w:b/>
                <w:sz w:val="24"/>
                <w:szCs w:val="24"/>
                <w:u w:val="single"/>
              </w:rPr>
              <w:t>Collections</w:t>
            </w:r>
          </w:p>
          <w:p w:rsidR="00833A48" w:rsidRPr="001A3365" w:rsidRDefault="00833A48" w:rsidP="00A11554">
            <w:pPr>
              <w:ind w:left="94"/>
              <w:jc w:val="center"/>
              <w:rPr>
                <w:rFonts w:ascii="Arial" w:hAnsi="Arial" w:cs="Arial"/>
                <w:sz w:val="24"/>
                <w:szCs w:val="24"/>
              </w:rPr>
            </w:pPr>
            <w:r w:rsidRPr="001A3365">
              <w:rPr>
                <w:rFonts w:ascii="Arial" w:hAnsi="Arial" w:cs="Arial"/>
                <w:sz w:val="24"/>
                <w:szCs w:val="24"/>
              </w:rPr>
              <w:t>(3)=(1)-(2)</w:t>
            </w:r>
          </w:p>
          <w:p w:rsidR="00833A48" w:rsidRPr="001A3365" w:rsidRDefault="00833A48" w:rsidP="00A11554">
            <w:pPr>
              <w:ind w:left="94"/>
              <w:jc w:val="center"/>
              <w:rPr>
                <w:rFonts w:ascii="Arial" w:hAnsi="Arial" w:cs="Arial"/>
                <w:sz w:val="24"/>
                <w:szCs w:val="24"/>
              </w:rPr>
            </w:pPr>
            <w:r w:rsidRPr="001A3365">
              <w:rPr>
                <w:rFonts w:ascii="Arial" w:hAnsi="Arial" w:cs="Arial"/>
                <w:sz w:val="24"/>
                <w:szCs w:val="24"/>
              </w:rPr>
              <w:t>(Note 4)</w:t>
            </w:r>
          </w:p>
          <w:p w:rsidR="00833A48" w:rsidRPr="001A3365" w:rsidRDefault="00833A48" w:rsidP="00A11554">
            <w:pPr>
              <w:ind w:left="94" w:right="394"/>
              <w:rPr>
                <w:rFonts w:ascii="Arial" w:hAnsi="Arial" w:cs="Arial"/>
                <w:b/>
                <w:sz w:val="24"/>
                <w:szCs w:val="24"/>
              </w:rPr>
            </w:pPr>
          </w:p>
        </w:tc>
      </w:tr>
      <w:tr w:rsidR="00833A48" w:rsidTr="00833A48">
        <w:trPr>
          <w:trHeight w:val="720"/>
        </w:trPr>
        <w:tc>
          <w:tcPr>
            <w:tcW w:w="2512" w:type="dxa"/>
          </w:tcPr>
          <w:p w:rsidR="00833A48" w:rsidRDefault="00833A48" w:rsidP="00A11554">
            <w:pPr>
              <w:rPr>
                <w:rFonts w:ascii="Arial" w:hAnsi="Arial" w:cs="Arial"/>
                <w:sz w:val="24"/>
                <w:szCs w:val="24"/>
              </w:rPr>
            </w:pPr>
            <w:r>
              <w:rPr>
                <w:rFonts w:ascii="Arial" w:hAnsi="Arial" w:cs="Arial"/>
                <w:sz w:val="24"/>
                <w:szCs w:val="24"/>
              </w:rPr>
              <w:t>Residential</w:t>
            </w:r>
          </w:p>
        </w:tc>
        <w:tc>
          <w:tcPr>
            <w:tcW w:w="2111" w:type="dxa"/>
          </w:tcPr>
          <w:p w:rsidR="00833A48" w:rsidRPr="001D5EB8" w:rsidRDefault="00833A48" w:rsidP="00571EA9">
            <w:pPr>
              <w:tabs>
                <w:tab w:val="left" w:pos="1426"/>
              </w:tabs>
              <w:ind w:right="447"/>
              <w:jc w:val="right"/>
              <w:rPr>
                <w:rFonts w:ascii="Arial" w:hAnsi="Arial" w:cs="Arial"/>
                <w:sz w:val="24"/>
                <w:szCs w:val="24"/>
              </w:rPr>
            </w:pPr>
            <w:r w:rsidRPr="001D5EB8">
              <w:rPr>
                <w:rFonts w:ascii="Arial" w:hAnsi="Arial" w:cs="Arial"/>
                <w:sz w:val="24"/>
                <w:szCs w:val="24"/>
              </w:rPr>
              <w:t xml:space="preserve">$   1,192,079 </w:t>
            </w:r>
          </w:p>
          <w:p w:rsidR="00833A48" w:rsidRDefault="00833A48" w:rsidP="00571EA9">
            <w:pPr>
              <w:ind w:right="447"/>
              <w:jc w:val="right"/>
              <w:rPr>
                <w:rFonts w:ascii="Arial" w:hAnsi="Arial" w:cs="Arial"/>
                <w:sz w:val="24"/>
                <w:szCs w:val="24"/>
              </w:rPr>
            </w:pPr>
          </w:p>
        </w:tc>
        <w:tc>
          <w:tcPr>
            <w:tcW w:w="2311" w:type="dxa"/>
          </w:tcPr>
          <w:p w:rsidR="00833A48" w:rsidRPr="00D33A9D" w:rsidRDefault="00833A48" w:rsidP="00571EA9">
            <w:pPr>
              <w:ind w:right="418"/>
              <w:jc w:val="right"/>
              <w:rPr>
                <w:rFonts w:ascii="Arial" w:hAnsi="Arial" w:cs="Arial"/>
                <w:sz w:val="24"/>
                <w:szCs w:val="24"/>
              </w:rPr>
            </w:pPr>
            <w:r>
              <w:rPr>
                <w:rFonts w:ascii="Arial" w:hAnsi="Arial" w:cs="Arial"/>
                <w:sz w:val="24"/>
                <w:szCs w:val="24"/>
              </w:rPr>
              <w:t>$      492,755</w:t>
            </w:r>
          </w:p>
          <w:p w:rsidR="00833A48" w:rsidRDefault="00833A48" w:rsidP="00571EA9">
            <w:pPr>
              <w:ind w:right="418"/>
              <w:jc w:val="right"/>
              <w:rPr>
                <w:rFonts w:ascii="Arial" w:hAnsi="Arial" w:cs="Arial"/>
                <w:sz w:val="24"/>
                <w:szCs w:val="24"/>
              </w:rPr>
            </w:pPr>
          </w:p>
        </w:tc>
        <w:tc>
          <w:tcPr>
            <w:tcW w:w="2347" w:type="dxa"/>
          </w:tcPr>
          <w:p w:rsidR="00833A48" w:rsidRPr="001D5EB8" w:rsidRDefault="00833A48" w:rsidP="00C10D89">
            <w:pPr>
              <w:ind w:right="425"/>
              <w:jc w:val="right"/>
              <w:rPr>
                <w:rFonts w:ascii="Arial" w:hAnsi="Arial" w:cs="Arial"/>
                <w:sz w:val="24"/>
                <w:szCs w:val="24"/>
              </w:rPr>
            </w:pPr>
            <w:r w:rsidRPr="001D5EB8">
              <w:rPr>
                <w:rFonts w:ascii="Arial" w:hAnsi="Arial" w:cs="Arial"/>
                <w:sz w:val="24"/>
                <w:szCs w:val="24"/>
              </w:rPr>
              <w:t>$      699,32</w:t>
            </w:r>
            <w:r>
              <w:rPr>
                <w:rFonts w:ascii="Arial" w:hAnsi="Arial" w:cs="Arial"/>
                <w:sz w:val="24"/>
                <w:szCs w:val="24"/>
              </w:rPr>
              <w:t>2</w:t>
            </w:r>
          </w:p>
          <w:p w:rsidR="00833A48" w:rsidRDefault="00833A48" w:rsidP="00C10D89">
            <w:pPr>
              <w:ind w:right="425"/>
              <w:jc w:val="right"/>
              <w:rPr>
                <w:rFonts w:ascii="Arial" w:hAnsi="Arial" w:cs="Arial"/>
                <w:sz w:val="24"/>
                <w:szCs w:val="24"/>
              </w:rPr>
            </w:pPr>
          </w:p>
        </w:tc>
      </w:tr>
      <w:tr w:rsidR="00833A48" w:rsidTr="00833A48">
        <w:trPr>
          <w:trHeight w:val="720"/>
        </w:trPr>
        <w:tc>
          <w:tcPr>
            <w:tcW w:w="2512" w:type="dxa"/>
          </w:tcPr>
          <w:p w:rsidR="00833A48" w:rsidRDefault="00833A48" w:rsidP="00A11554">
            <w:pPr>
              <w:jc w:val="both"/>
              <w:rPr>
                <w:rFonts w:ascii="Arial" w:hAnsi="Arial" w:cs="Arial"/>
                <w:sz w:val="24"/>
                <w:szCs w:val="24"/>
              </w:rPr>
            </w:pPr>
            <w:r>
              <w:rPr>
                <w:rFonts w:ascii="Arial" w:hAnsi="Arial" w:cs="Arial"/>
                <w:sz w:val="24"/>
                <w:szCs w:val="24"/>
              </w:rPr>
              <w:t>Commercial</w:t>
            </w:r>
          </w:p>
        </w:tc>
        <w:tc>
          <w:tcPr>
            <w:tcW w:w="2111" w:type="dxa"/>
          </w:tcPr>
          <w:p w:rsidR="00833A48" w:rsidRPr="001D5EB8" w:rsidRDefault="00833A48" w:rsidP="00571EA9">
            <w:pPr>
              <w:ind w:right="447"/>
              <w:jc w:val="right"/>
              <w:rPr>
                <w:rFonts w:ascii="Arial" w:hAnsi="Arial" w:cs="Arial"/>
                <w:sz w:val="24"/>
                <w:szCs w:val="24"/>
              </w:rPr>
            </w:pPr>
            <w:r w:rsidRPr="001D5EB8">
              <w:rPr>
                <w:rFonts w:ascii="Arial" w:hAnsi="Arial" w:cs="Arial"/>
                <w:sz w:val="24"/>
                <w:szCs w:val="24"/>
              </w:rPr>
              <w:t xml:space="preserve">      </w:t>
            </w:r>
            <w:r>
              <w:rPr>
                <w:rFonts w:ascii="Arial" w:hAnsi="Arial" w:cs="Arial"/>
                <w:sz w:val="24"/>
                <w:szCs w:val="24"/>
              </w:rPr>
              <w:t xml:space="preserve">  </w:t>
            </w:r>
            <w:r w:rsidRPr="001D5EB8">
              <w:rPr>
                <w:rFonts w:ascii="Arial" w:hAnsi="Arial" w:cs="Arial"/>
                <w:sz w:val="24"/>
                <w:szCs w:val="24"/>
              </w:rPr>
              <w:t xml:space="preserve">228,523 </w:t>
            </w:r>
          </w:p>
          <w:p w:rsidR="00833A48" w:rsidRDefault="00833A48" w:rsidP="00571EA9">
            <w:pPr>
              <w:ind w:right="447"/>
              <w:jc w:val="right"/>
              <w:rPr>
                <w:rFonts w:ascii="Arial" w:hAnsi="Arial" w:cs="Arial"/>
                <w:sz w:val="24"/>
                <w:szCs w:val="24"/>
              </w:rPr>
            </w:pPr>
          </w:p>
        </w:tc>
        <w:tc>
          <w:tcPr>
            <w:tcW w:w="2311" w:type="dxa"/>
          </w:tcPr>
          <w:p w:rsidR="00833A48" w:rsidRPr="001D5EB8" w:rsidRDefault="00833A48" w:rsidP="00571EA9">
            <w:pPr>
              <w:ind w:right="418"/>
              <w:jc w:val="right"/>
              <w:rPr>
                <w:rFonts w:ascii="Arial" w:hAnsi="Arial" w:cs="Arial"/>
                <w:sz w:val="24"/>
                <w:szCs w:val="24"/>
              </w:rPr>
            </w:pPr>
            <w:r w:rsidRPr="001D5EB8">
              <w:rPr>
                <w:rFonts w:ascii="Arial" w:hAnsi="Arial" w:cs="Arial"/>
                <w:sz w:val="24"/>
                <w:szCs w:val="24"/>
              </w:rPr>
              <w:t xml:space="preserve">      </w:t>
            </w:r>
            <w:r>
              <w:rPr>
                <w:rFonts w:ascii="Arial" w:hAnsi="Arial" w:cs="Arial"/>
                <w:sz w:val="24"/>
                <w:szCs w:val="24"/>
              </w:rPr>
              <w:t xml:space="preserve">   </w:t>
            </w:r>
            <w:r w:rsidRPr="001D5EB8">
              <w:rPr>
                <w:rFonts w:ascii="Arial" w:hAnsi="Arial" w:cs="Arial"/>
                <w:sz w:val="24"/>
                <w:szCs w:val="24"/>
              </w:rPr>
              <w:t xml:space="preserve"> 90,527 </w:t>
            </w:r>
          </w:p>
          <w:p w:rsidR="00833A48" w:rsidRDefault="00833A48" w:rsidP="00571EA9">
            <w:pPr>
              <w:ind w:right="418"/>
              <w:jc w:val="right"/>
              <w:rPr>
                <w:rFonts w:ascii="Arial" w:hAnsi="Arial" w:cs="Arial"/>
                <w:sz w:val="24"/>
                <w:szCs w:val="24"/>
              </w:rPr>
            </w:pPr>
          </w:p>
        </w:tc>
        <w:tc>
          <w:tcPr>
            <w:tcW w:w="2347" w:type="dxa"/>
          </w:tcPr>
          <w:p w:rsidR="00833A48" w:rsidRPr="001D5EB8" w:rsidRDefault="00833A48" w:rsidP="00C10D89">
            <w:pPr>
              <w:ind w:right="425"/>
              <w:jc w:val="right"/>
              <w:rPr>
                <w:rFonts w:ascii="Arial" w:hAnsi="Arial" w:cs="Arial"/>
                <w:sz w:val="24"/>
                <w:szCs w:val="24"/>
              </w:rPr>
            </w:pPr>
            <w:r w:rsidRPr="001D5EB8">
              <w:rPr>
                <w:rFonts w:ascii="Arial" w:hAnsi="Arial" w:cs="Arial"/>
                <w:sz w:val="24"/>
                <w:szCs w:val="24"/>
              </w:rPr>
              <w:t xml:space="preserve">      </w:t>
            </w:r>
            <w:r>
              <w:rPr>
                <w:rFonts w:ascii="Arial" w:hAnsi="Arial" w:cs="Arial"/>
                <w:sz w:val="24"/>
                <w:szCs w:val="24"/>
              </w:rPr>
              <w:t xml:space="preserve">  </w:t>
            </w:r>
            <w:r w:rsidRPr="001D5EB8">
              <w:rPr>
                <w:rFonts w:ascii="Arial" w:hAnsi="Arial" w:cs="Arial"/>
                <w:sz w:val="24"/>
                <w:szCs w:val="24"/>
              </w:rPr>
              <w:t xml:space="preserve">137,996 </w:t>
            </w:r>
          </w:p>
          <w:p w:rsidR="00833A48" w:rsidRDefault="00833A48" w:rsidP="00C10D89">
            <w:pPr>
              <w:ind w:right="425"/>
              <w:jc w:val="right"/>
              <w:rPr>
                <w:rFonts w:ascii="Arial" w:hAnsi="Arial" w:cs="Arial"/>
                <w:sz w:val="24"/>
                <w:szCs w:val="24"/>
              </w:rPr>
            </w:pPr>
          </w:p>
        </w:tc>
      </w:tr>
      <w:tr w:rsidR="00833A48" w:rsidTr="00833A48">
        <w:trPr>
          <w:trHeight w:val="720"/>
        </w:trPr>
        <w:tc>
          <w:tcPr>
            <w:tcW w:w="2512" w:type="dxa"/>
          </w:tcPr>
          <w:p w:rsidR="00833A48" w:rsidRDefault="00833A48" w:rsidP="00A11554">
            <w:pPr>
              <w:jc w:val="both"/>
              <w:rPr>
                <w:rFonts w:ascii="Arial" w:hAnsi="Arial" w:cs="Arial"/>
                <w:sz w:val="24"/>
                <w:szCs w:val="24"/>
              </w:rPr>
            </w:pPr>
            <w:r>
              <w:rPr>
                <w:rFonts w:ascii="Arial" w:hAnsi="Arial" w:cs="Arial"/>
                <w:sz w:val="24"/>
                <w:szCs w:val="24"/>
              </w:rPr>
              <w:t>Industrial</w:t>
            </w:r>
          </w:p>
        </w:tc>
        <w:tc>
          <w:tcPr>
            <w:tcW w:w="2111" w:type="dxa"/>
          </w:tcPr>
          <w:p w:rsidR="00833A48" w:rsidRPr="00180069" w:rsidRDefault="00833A48" w:rsidP="00571EA9">
            <w:pPr>
              <w:ind w:right="447"/>
              <w:jc w:val="right"/>
              <w:rPr>
                <w:rFonts w:ascii="Arial" w:hAnsi="Arial" w:cs="Arial"/>
                <w:sz w:val="24"/>
                <w:szCs w:val="24"/>
                <w:u w:val="single"/>
              </w:rPr>
            </w:pPr>
            <w:r w:rsidRPr="00180069">
              <w:rPr>
                <w:rFonts w:ascii="Arial" w:hAnsi="Arial" w:cs="Arial"/>
                <w:sz w:val="24"/>
                <w:szCs w:val="24"/>
                <w:u w:val="single"/>
              </w:rPr>
              <w:t xml:space="preserve">          74,116</w:t>
            </w:r>
          </w:p>
          <w:p w:rsidR="00833A48" w:rsidRDefault="00833A48" w:rsidP="00571EA9">
            <w:pPr>
              <w:ind w:right="447"/>
              <w:jc w:val="right"/>
              <w:rPr>
                <w:rFonts w:ascii="Arial" w:hAnsi="Arial" w:cs="Arial"/>
                <w:sz w:val="24"/>
                <w:szCs w:val="24"/>
              </w:rPr>
            </w:pPr>
          </w:p>
        </w:tc>
        <w:tc>
          <w:tcPr>
            <w:tcW w:w="2311" w:type="dxa"/>
          </w:tcPr>
          <w:p w:rsidR="00833A48" w:rsidRPr="00180069" w:rsidRDefault="00833A48" w:rsidP="00571EA9">
            <w:pPr>
              <w:ind w:right="418"/>
              <w:jc w:val="right"/>
              <w:rPr>
                <w:rFonts w:ascii="Arial" w:hAnsi="Arial" w:cs="Arial"/>
                <w:sz w:val="24"/>
                <w:szCs w:val="24"/>
                <w:u w:val="single"/>
              </w:rPr>
            </w:pPr>
            <w:r>
              <w:rPr>
                <w:rFonts w:ascii="Arial" w:hAnsi="Arial" w:cs="Arial"/>
                <w:sz w:val="24"/>
                <w:szCs w:val="24"/>
                <w:u w:val="single"/>
              </w:rPr>
              <w:t xml:space="preserve">          10,225</w:t>
            </w:r>
            <w:r w:rsidRPr="00180069">
              <w:rPr>
                <w:rFonts w:ascii="Arial" w:hAnsi="Arial" w:cs="Arial"/>
                <w:sz w:val="24"/>
                <w:szCs w:val="24"/>
                <w:u w:val="single"/>
              </w:rPr>
              <w:t xml:space="preserve"> </w:t>
            </w:r>
          </w:p>
          <w:p w:rsidR="00833A48" w:rsidRDefault="00833A48" w:rsidP="00571EA9">
            <w:pPr>
              <w:ind w:right="418"/>
              <w:jc w:val="right"/>
              <w:rPr>
                <w:rFonts w:ascii="Arial" w:hAnsi="Arial" w:cs="Arial"/>
                <w:sz w:val="24"/>
                <w:szCs w:val="24"/>
              </w:rPr>
            </w:pPr>
          </w:p>
        </w:tc>
        <w:tc>
          <w:tcPr>
            <w:tcW w:w="2347" w:type="dxa"/>
          </w:tcPr>
          <w:p w:rsidR="00833A48" w:rsidRPr="00180069" w:rsidRDefault="00833A48" w:rsidP="00C10D89">
            <w:pPr>
              <w:ind w:right="425"/>
              <w:jc w:val="right"/>
              <w:rPr>
                <w:rFonts w:ascii="Arial" w:hAnsi="Arial" w:cs="Arial"/>
                <w:sz w:val="24"/>
                <w:szCs w:val="24"/>
                <w:u w:val="single"/>
              </w:rPr>
            </w:pPr>
            <w:r>
              <w:rPr>
                <w:rFonts w:ascii="Arial" w:hAnsi="Arial" w:cs="Arial"/>
                <w:sz w:val="24"/>
                <w:szCs w:val="24"/>
                <w:u w:val="single"/>
              </w:rPr>
              <w:t xml:space="preserve">          63,891</w:t>
            </w:r>
            <w:r w:rsidRPr="00180069">
              <w:rPr>
                <w:rFonts w:ascii="Arial" w:hAnsi="Arial" w:cs="Arial"/>
                <w:sz w:val="24"/>
                <w:szCs w:val="24"/>
                <w:u w:val="single"/>
              </w:rPr>
              <w:t xml:space="preserve"> </w:t>
            </w:r>
          </w:p>
          <w:p w:rsidR="00833A48" w:rsidRDefault="00833A48" w:rsidP="00C10D89">
            <w:pPr>
              <w:ind w:right="425"/>
              <w:jc w:val="right"/>
              <w:rPr>
                <w:rFonts w:ascii="Arial" w:hAnsi="Arial" w:cs="Arial"/>
                <w:sz w:val="24"/>
                <w:szCs w:val="24"/>
              </w:rPr>
            </w:pPr>
          </w:p>
        </w:tc>
      </w:tr>
      <w:tr w:rsidR="00833A48" w:rsidRPr="00180069" w:rsidTr="00833A48">
        <w:trPr>
          <w:trHeight w:val="720"/>
        </w:trPr>
        <w:tc>
          <w:tcPr>
            <w:tcW w:w="2512" w:type="dxa"/>
          </w:tcPr>
          <w:p w:rsidR="00833A48" w:rsidRDefault="00833A48" w:rsidP="00A11554">
            <w:pPr>
              <w:jc w:val="both"/>
              <w:rPr>
                <w:rFonts w:ascii="Arial" w:hAnsi="Arial" w:cs="Arial"/>
                <w:sz w:val="24"/>
                <w:szCs w:val="24"/>
              </w:rPr>
            </w:pPr>
            <w:r>
              <w:rPr>
                <w:rFonts w:ascii="Arial" w:hAnsi="Arial" w:cs="Arial"/>
                <w:sz w:val="24"/>
                <w:szCs w:val="24"/>
              </w:rPr>
              <w:t xml:space="preserve">     Totals</w:t>
            </w:r>
          </w:p>
        </w:tc>
        <w:tc>
          <w:tcPr>
            <w:tcW w:w="2111" w:type="dxa"/>
          </w:tcPr>
          <w:p w:rsidR="00833A48" w:rsidRPr="00180069" w:rsidRDefault="00833A48" w:rsidP="00571EA9">
            <w:pPr>
              <w:ind w:right="447"/>
              <w:jc w:val="right"/>
              <w:rPr>
                <w:rFonts w:ascii="Arial" w:hAnsi="Arial" w:cs="Arial"/>
                <w:sz w:val="24"/>
                <w:szCs w:val="24"/>
                <w:u w:val="double"/>
              </w:rPr>
            </w:pPr>
            <w:r>
              <w:rPr>
                <w:rFonts w:ascii="Arial" w:hAnsi="Arial" w:cs="Arial"/>
                <w:sz w:val="24"/>
                <w:szCs w:val="24"/>
                <w:u w:val="double"/>
              </w:rPr>
              <w:t>$</w:t>
            </w:r>
            <w:r w:rsidRPr="00180069">
              <w:rPr>
                <w:rFonts w:ascii="Arial" w:hAnsi="Arial" w:cs="Arial"/>
                <w:sz w:val="24"/>
                <w:szCs w:val="24"/>
                <w:u w:val="double"/>
              </w:rPr>
              <w:t xml:space="preserve">   1,494,71</w:t>
            </w:r>
            <w:r>
              <w:rPr>
                <w:rFonts w:ascii="Arial" w:hAnsi="Arial" w:cs="Arial"/>
                <w:sz w:val="24"/>
                <w:szCs w:val="24"/>
                <w:u w:val="double"/>
              </w:rPr>
              <w:t>8</w:t>
            </w:r>
          </w:p>
        </w:tc>
        <w:tc>
          <w:tcPr>
            <w:tcW w:w="2311" w:type="dxa"/>
          </w:tcPr>
          <w:p w:rsidR="00833A48" w:rsidRPr="00180069" w:rsidRDefault="00833A48" w:rsidP="00571EA9">
            <w:pPr>
              <w:ind w:right="418"/>
              <w:jc w:val="right"/>
              <w:rPr>
                <w:rFonts w:ascii="Arial" w:hAnsi="Arial" w:cs="Arial"/>
                <w:sz w:val="24"/>
                <w:szCs w:val="24"/>
                <w:u w:val="double"/>
              </w:rPr>
            </w:pPr>
            <w:r>
              <w:rPr>
                <w:rFonts w:ascii="Arial" w:hAnsi="Arial" w:cs="Arial"/>
                <w:sz w:val="24"/>
                <w:szCs w:val="24"/>
                <w:u w:val="double"/>
              </w:rPr>
              <w:t>$</w:t>
            </w:r>
            <w:r w:rsidRPr="00180069">
              <w:rPr>
                <w:rFonts w:ascii="Arial" w:hAnsi="Arial" w:cs="Arial"/>
                <w:sz w:val="24"/>
                <w:szCs w:val="24"/>
                <w:u w:val="double"/>
              </w:rPr>
              <w:t xml:space="preserve">      593,50</w:t>
            </w:r>
            <w:r>
              <w:rPr>
                <w:rFonts w:ascii="Arial" w:hAnsi="Arial" w:cs="Arial"/>
                <w:sz w:val="24"/>
                <w:szCs w:val="24"/>
                <w:u w:val="double"/>
              </w:rPr>
              <w:t>7</w:t>
            </w:r>
          </w:p>
        </w:tc>
        <w:tc>
          <w:tcPr>
            <w:tcW w:w="2347" w:type="dxa"/>
          </w:tcPr>
          <w:p w:rsidR="00833A48" w:rsidRPr="00180069" w:rsidRDefault="00833A48" w:rsidP="00C10D89">
            <w:pPr>
              <w:ind w:right="425"/>
              <w:jc w:val="right"/>
              <w:rPr>
                <w:rFonts w:ascii="Arial" w:hAnsi="Arial" w:cs="Arial"/>
                <w:sz w:val="24"/>
                <w:szCs w:val="24"/>
                <w:u w:val="double"/>
              </w:rPr>
            </w:pPr>
            <w:r>
              <w:rPr>
                <w:rFonts w:ascii="Arial" w:hAnsi="Arial" w:cs="Arial"/>
                <w:sz w:val="24"/>
                <w:szCs w:val="24"/>
                <w:u w:val="double"/>
              </w:rPr>
              <w:t>$</w:t>
            </w:r>
            <w:r w:rsidRPr="00180069">
              <w:rPr>
                <w:rFonts w:ascii="Arial" w:hAnsi="Arial" w:cs="Arial"/>
                <w:sz w:val="24"/>
                <w:szCs w:val="24"/>
                <w:u w:val="double"/>
              </w:rPr>
              <w:t xml:space="preserve">      901,2</w:t>
            </w:r>
            <w:r>
              <w:rPr>
                <w:rFonts w:ascii="Arial" w:hAnsi="Arial" w:cs="Arial"/>
                <w:sz w:val="24"/>
                <w:szCs w:val="24"/>
                <w:u w:val="double"/>
              </w:rPr>
              <w:t>09</w:t>
            </w:r>
          </w:p>
        </w:tc>
      </w:tr>
    </w:tbl>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445B8" w:rsidRPr="00C20F64"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597735" w:rsidRDefault="00597735" w:rsidP="004B5DD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1D5EB8" w:rsidRDefault="001D5EB8" w:rsidP="00816A39">
      <w:pPr>
        <w:ind w:right="-144"/>
        <w:jc w:val="both"/>
        <w:rPr>
          <w:rFonts w:ascii="Arial" w:hAnsi="Arial" w:cs="Arial"/>
          <w:sz w:val="24"/>
          <w:szCs w:val="24"/>
        </w:rPr>
      </w:pPr>
    </w:p>
    <w:p w:rsidR="001D5EB8" w:rsidRDefault="001D5EB8" w:rsidP="001D5EB8">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1D5EB8" w:rsidRDefault="00A63639" w:rsidP="001D5EB8">
      <w:pPr>
        <w:tabs>
          <w:tab w:val="left" w:pos="0"/>
          <w:tab w:val="left" w:pos="1800"/>
          <w:tab w:val="decimal" w:pos="6300"/>
          <w:tab w:val="decimal" w:pos="8550"/>
          <w:tab w:val="decimal" w:pos="10350"/>
          <w:tab w:val="left" w:pos="10800"/>
        </w:tabs>
        <w:ind w:right="-144"/>
        <w:jc w:val="both"/>
        <w:rPr>
          <w:rFonts w:ascii="Arial" w:hAnsi="Arial" w:cs="Arial"/>
          <w:sz w:val="24"/>
          <w:szCs w:val="24"/>
        </w:rPr>
      </w:pPr>
      <w:r>
        <w:rPr>
          <w:rFonts w:ascii="Arial" w:hAnsi="Arial" w:cs="Arial"/>
          <w:sz w:val="24"/>
          <w:szCs w:val="24"/>
        </w:rPr>
        <w:t>*</w:t>
      </w:r>
      <w:r w:rsidR="002353B0">
        <w:rPr>
          <w:rFonts w:ascii="Arial" w:hAnsi="Arial" w:cs="Arial"/>
          <w:sz w:val="24"/>
          <w:szCs w:val="24"/>
        </w:rPr>
        <w:t xml:space="preserve"> - </w:t>
      </w:r>
      <w:r>
        <w:rPr>
          <w:rFonts w:ascii="Arial" w:hAnsi="Arial" w:cs="Arial"/>
          <w:sz w:val="24"/>
          <w:szCs w:val="24"/>
        </w:rPr>
        <w:t xml:space="preserve">As reported to the Commission at Docket No. </w:t>
      </w:r>
      <w:r w:rsidR="00342B16">
        <w:rPr>
          <w:rFonts w:ascii="Arial" w:hAnsi="Arial" w:cs="Arial"/>
          <w:sz w:val="24"/>
          <w:szCs w:val="24"/>
        </w:rPr>
        <w:t>R-2012-2286447</w:t>
      </w:r>
      <w:r w:rsidR="002353B0">
        <w:rPr>
          <w:rFonts w:ascii="Arial" w:hAnsi="Arial" w:cs="Arial"/>
          <w:sz w:val="24"/>
          <w:szCs w:val="24"/>
        </w:rPr>
        <w:t>.</w:t>
      </w:r>
    </w:p>
    <w:p w:rsidR="00FA7280" w:rsidRDefault="00FA7280" w:rsidP="001D5EB8">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FA7280" w:rsidRDefault="00FA7280" w:rsidP="00FA7280">
      <w:pPr>
        <w:tabs>
          <w:tab w:val="left" w:pos="0"/>
          <w:tab w:val="left" w:pos="1800"/>
          <w:tab w:val="decimal" w:pos="6300"/>
          <w:tab w:val="decimal" w:pos="8550"/>
          <w:tab w:val="decimal" w:pos="10350"/>
          <w:tab w:val="left" w:pos="10800"/>
        </w:tabs>
        <w:ind w:right="-144"/>
        <w:rPr>
          <w:rFonts w:ascii="Arial" w:hAnsi="Arial" w:cs="Arial"/>
          <w:sz w:val="24"/>
          <w:szCs w:val="24"/>
        </w:rPr>
      </w:pPr>
      <w:r>
        <w:rPr>
          <w:rFonts w:ascii="Arial" w:hAnsi="Arial" w:cs="Arial"/>
          <w:sz w:val="24"/>
          <w:szCs w:val="24"/>
        </w:rPr>
        <w:t>Arithmetic differences are due to rounding.</w:t>
      </w:r>
    </w:p>
    <w:p w:rsidR="00A63639" w:rsidRDefault="00A63639" w:rsidP="001D5EB8">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1D5EB8" w:rsidRDefault="001D5EB8" w:rsidP="001D5EB8">
      <w:pPr>
        <w:tabs>
          <w:tab w:val="left" w:pos="0"/>
          <w:tab w:val="left" w:pos="1800"/>
          <w:tab w:val="decimal" w:pos="6300"/>
          <w:tab w:val="decimal" w:pos="8550"/>
          <w:tab w:val="decimal" w:pos="10350"/>
          <w:tab w:val="left" w:pos="10800"/>
        </w:tabs>
        <w:ind w:right="-144"/>
        <w:jc w:val="both"/>
        <w:rPr>
          <w:rFonts w:ascii="Arial" w:hAnsi="Arial" w:cs="Arial"/>
          <w:sz w:val="24"/>
          <w:szCs w:val="24"/>
        </w:rPr>
      </w:pPr>
      <w:r w:rsidRPr="00C20F64">
        <w:rPr>
          <w:rFonts w:ascii="Arial" w:hAnsi="Arial" w:cs="Arial"/>
          <w:sz w:val="24"/>
          <w:szCs w:val="24"/>
        </w:rPr>
        <w:t>Notes to the Financial Statements are an integral part of this report.</w:t>
      </w:r>
    </w:p>
    <w:p w:rsidR="00597735" w:rsidRDefault="00597735">
      <w:pPr>
        <w:rPr>
          <w:rFonts w:ascii="Arial" w:hAnsi="Arial" w:cs="Arial"/>
          <w:sz w:val="24"/>
          <w:szCs w:val="24"/>
        </w:rPr>
      </w:pPr>
      <w:r>
        <w:rPr>
          <w:rFonts w:ascii="Arial" w:hAnsi="Arial" w:cs="Arial"/>
          <w:sz w:val="24"/>
          <w:szCs w:val="24"/>
        </w:rPr>
        <w:br w:type="page"/>
      </w:r>
    </w:p>
    <w:p w:rsidR="00597735" w:rsidRPr="00A51C06" w:rsidRDefault="00597735" w:rsidP="00597735">
      <w:pPr>
        <w:tabs>
          <w:tab w:val="left" w:pos="0"/>
          <w:tab w:val="left" w:pos="1800"/>
          <w:tab w:val="decimal" w:pos="6300"/>
          <w:tab w:val="decimal" w:pos="8550"/>
          <w:tab w:val="decimal" w:pos="10350"/>
          <w:tab w:val="left" w:pos="10800"/>
        </w:tabs>
        <w:ind w:right="-144"/>
        <w:jc w:val="center"/>
        <w:rPr>
          <w:rFonts w:ascii="Arial" w:hAnsi="Arial" w:cs="Arial"/>
          <w:b/>
          <w:sz w:val="26"/>
          <w:szCs w:val="26"/>
        </w:rPr>
      </w:pPr>
      <w:r w:rsidRPr="00A51C06">
        <w:rPr>
          <w:rFonts w:ascii="Arial" w:hAnsi="Arial" w:cs="Arial"/>
          <w:b/>
          <w:sz w:val="26"/>
          <w:szCs w:val="26"/>
        </w:rPr>
        <w:lastRenderedPageBreak/>
        <w:t>PHILADELPHIA GAS WORKS</w:t>
      </w:r>
    </w:p>
    <w:p w:rsidR="00597735" w:rsidRPr="00A51C06" w:rsidRDefault="00597735" w:rsidP="00597735">
      <w:pPr>
        <w:jc w:val="both"/>
        <w:rPr>
          <w:rFonts w:ascii="Arial" w:hAnsi="Arial" w:cs="Arial"/>
          <w:sz w:val="26"/>
          <w:szCs w:val="26"/>
        </w:rPr>
      </w:pPr>
    </w:p>
    <w:p w:rsidR="00342B16" w:rsidRPr="00A51C06" w:rsidRDefault="00342B16" w:rsidP="00342B16">
      <w:pPr>
        <w:jc w:val="center"/>
        <w:outlineLvl w:val="0"/>
        <w:rPr>
          <w:rFonts w:ascii="Arial" w:hAnsi="Arial" w:cs="Arial"/>
          <w:b/>
          <w:sz w:val="26"/>
          <w:szCs w:val="26"/>
        </w:rPr>
      </w:pPr>
      <w:r w:rsidRPr="00A51C06">
        <w:rPr>
          <w:rFonts w:ascii="Arial" w:hAnsi="Arial" w:cs="Arial"/>
          <w:b/>
          <w:sz w:val="26"/>
          <w:szCs w:val="26"/>
        </w:rPr>
        <w:t>Condensed (Note 1)</w:t>
      </w:r>
    </w:p>
    <w:p w:rsidR="00A51C06" w:rsidRDefault="00342B16" w:rsidP="00342B16">
      <w:pPr>
        <w:jc w:val="center"/>
        <w:outlineLvl w:val="0"/>
        <w:rPr>
          <w:rFonts w:ascii="Arial" w:hAnsi="Arial" w:cs="Arial"/>
          <w:b/>
          <w:sz w:val="26"/>
          <w:szCs w:val="26"/>
        </w:rPr>
      </w:pPr>
      <w:r w:rsidRPr="00A51C06">
        <w:rPr>
          <w:rFonts w:ascii="Arial" w:hAnsi="Arial" w:cs="Arial"/>
          <w:b/>
          <w:sz w:val="26"/>
          <w:szCs w:val="26"/>
        </w:rPr>
        <w:t>Statement of Efficiency Cost Recovery</w:t>
      </w:r>
      <w:r w:rsidR="007821ED">
        <w:rPr>
          <w:rFonts w:ascii="Arial" w:hAnsi="Arial" w:cs="Arial"/>
          <w:b/>
          <w:sz w:val="26"/>
          <w:szCs w:val="26"/>
        </w:rPr>
        <w:t xml:space="preserve"> (ECR) Surcharge</w:t>
      </w:r>
      <w:r w:rsidRPr="00A51C06">
        <w:rPr>
          <w:rFonts w:ascii="Arial" w:hAnsi="Arial" w:cs="Arial"/>
          <w:b/>
          <w:sz w:val="26"/>
          <w:szCs w:val="26"/>
        </w:rPr>
        <w:t xml:space="preserve"> </w:t>
      </w:r>
    </w:p>
    <w:p w:rsidR="00342B16" w:rsidRPr="00A51C06" w:rsidRDefault="00342B16" w:rsidP="00342B16">
      <w:pPr>
        <w:jc w:val="center"/>
        <w:outlineLvl w:val="0"/>
        <w:rPr>
          <w:rFonts w:ascii="Arial" w:hAnsi="Arial" w:cs="Arial"/>
          <w:b/>
          <w:sz w:val="26"/>
          <w:szCs w:val="26"/>
        </w:rPr>
      </w:pPr>
      <w:r w:rsidRPr="00A51C06">
        <w:rPr>
          <w:rFonts w:ascii="Arial" w:hAnsi="Arial" w:cs="Arial"/>
          <w:b/>
          <w:sz w:val="26"/>
          <w:szCs w:val="26"/>
        </w:rPr>
        <w:t>Over/</w:t>
      </w:r>
      <w:r w:rsidR="00A51C06">
        <w:rPr>
          <w:rFonts w:ascii="Arial" w:hAnsi="Arial" w:cs="Arial"/>
          <w:b/>
          <w:sz w:val="26"/>
          <w:szCs w:val="26"/>
        </w:rPr>
        <w:t>(</w:t>
      </w:r>
      <w:r w:rsidRPr="00A51C06">
        <w:rPr>
          <w:rFonts w:ascii="Arial" w:hAnsi="Arial" w:cs="Arial"/>
          <w:b/>
          <w:sz w:val="26"/>
          <w:szCs w:val="26"/>
        </w:rPr>
        <w:t>Under</w:t>
      </w:r>
      <w:r w:rsidR="00A51C06">
        <w:rPr>
          <w:rFonts w:ascii="Arial" w:hAnsi="Arial" w:cs="Arial"/>
          <w:b/>
          <w:sz w:val="26"/>
          <w:szCs w:val="26"/>
        </w:rPr>
        <w:t>)</w:t>
      </w:r>
      <w:r w:rsidRPr="00A51C06">
        <w:rPr>
          <w:rFonts w:ascii="Arial" w:hAnsi="Arial" w:cs="Arial"/>
          <w:b/>
          <w:sz w:val="26"/>
          <w:szCs w:val="26"/>
        </w:rPr>
        <w:t xml:space="preserve"> Collections </w:t>
      </w:r>
      <w:r w:rsidR="00A51C06" w:rsidRPr="00B92235">
        <w:rPr>
          <w:rFonts w:ascii="Arial" w:hAnsi="Arial" w:cs="Arial"/>
          <w:b/>
          <w:sz w:val="26"/>
          <w:szCs w:val="26"/>
        </w:rPr>
        <w:t>(Section 1307(</w:t>
      </w:r>
      <w:r w:rsidR="00A51C06">
        <w:rPr>
          <w:rFonts w:ascii="Arial" w:hAnsi="Arial" w:cs="Arial"/>
          <w:b/>
          <w:sz w:val="26"/>
          <w:szCs w:val="26"/>
        </w:rPr>
        <w:t>f</w:t>
      </w:r>
      <w:r w:rsidR="00A51C06" w:rsidRPr="00B92235">
        <w:rPr>
          <w:rFonts w:ascii="Arial" w:hAnsi="Arial" w:cs="Arial"/>
          <w:b/>
          <w:sz w:val="26"/>
          <w:szCs w:val="26"/>
        </w:rPr>
        <w:t>))</w:t>
      </w:r>
    </w:p>
    <w:p w:rsidR="00342B16" w:rsidRPr="00A51C06" w:rsidRDefault="00342B16" w:rsidP="00342B16">
      <w:pPr>
        <w:jc w:val="center"/>
        <w:outlineLvl w:val="0"/>
        <w:rPr>
          <w:rFonts w:ascii="Arial" w:hAnsi="Arial" w:cs="Arial"/>
          <w:sz w:val="26"/>
          <w:szCs w:val="26"/>
        </w:rPr>
      </w:pPr>
      <w:r w:rsidRPr="00A51C06">
        <w:rPr>
          <w:rFonts w:ascii="Arial" w:hAnsi="Arial" w:cs="Arial"/>
          <w:b/>
          <w:sz w:val="26"/>
          <w:szCs w:val="26"/>
        </w:rPr>
        <w:t>For The Twelve Months Ended August 31, 2011</w:t>
      </w:r>
      <w:r w:rsidR="00A51C06">
        <w:rPr>
          <w:rFonts w:ascii="Arial" w:hAnsi="Arial" w:cs="Arial"/>
          <w:b/>
          <w:sz w:val="26"/>
          <w:szCs w:val="26"/>
        </w:rPr>
        <w:t>*</w:t>
      </w:r>
    </w:p>
    <w:p w:rsidR="00597735" w:rsidRPr="0012369F" w:rsidRDefault="00597735" w:rsidP="00597735">
      <w:pPr>
        <w:tabs>
          <w:tab w:val="left" w:pos="-288"/>
        </w:tabs>
        <w:ind w:right="-36"/>
        <w:jc w:val="both"/>
        <w:rPr>
          <w:rFonts w:ascii="Arial" w:hAnsi="Arial" w:cs="Arial"/>
          <w:sz w:val="24"/>
          <w:szCs w:val="24"/>
        </w:rPr>
      </w:pPr>
    </w:p>
    <w:tbl>
      <w:tblPr>
        <w:tblStyle w:val="TableGrid"/>
        <w:tblpPr w:leftFromText="180" w:rightFromText="180" w:vertAnchor="page" w:horzAnchor="margin" w:tblpY="3541"/>
        <w:tblOverlap w:val="never"/>
        <w:tblW w:w="9222" w:type="dxa"/>
        <w:tblLook w:val="04A0" w:firstRow="1" w:lastRow="0" w:firstColumn="1" w:lastColumn="0" w:noHBand="0" w:noVBand="1"/>
      </w:tblPr>
      <w:tblGrid>
        <w:gridCol w:w="2298"/>
        <w:gridCol w:w="2309"/>
        <w:gridCol w:w="2311"/>
        <w:gridCol w:w="2304"/>
      </w:tblGrid>
      <w:tr w:rsidR="00833A48" w:rsidRPr="004B7E27" w:rsidTr="00833A48">
        <w:trPr>
          <w:trHeight w:val="722"/>
        </w:trPr>
        <w:tc>
          <w:tcPr>
            <w:tcW w:w="2298" w:type="dxa"/>
            <w:tcBorders>
              <w:top w:val="nil"/>
              <w:left w:val="nil"/>
              <w:bottom w:val="nil"/>
              <w:right w:val="nil"/>
            </w:tcBorders>
          </w:tcPr>
          <w:p w:rsidR="00833A48" w:rsidRDefault="00833A48" w:rsidP="00833A48">
            <w:pPr>
              <w:jc w:val="center"/>
              <w:rPr>
                <w:rFonts w:ascii="Arial" w:hAnsi="Arial" w:cs="Arial"/>
                <w:b/>
                <w:sz w:val="24"/>
                <w:szCs w:val="24"/>
                <w:u w:val="single"/>
              </w:rPr>
            </w:pPr>
          </w:p>
          <w:p w:rsidR="00833A48" w:rsidRDefault="00833A48" w:rsidP="00833A48">
            <w:pPr>
              <w:jc w:val="center"/>
              <w:rPr>
                <w:rFonts w:ascii="Arial" w:hAnsi="Arial" w:cs="Arial"/>
                <w:sz w:val="24"/>
                <w:szCs w:val="24"/>
              </w:rPr>
            </w:pPr>
            <w:r w:rsidRPr="00122B87">
              <w:rPr>
                <w:rFonts w:ascii="Arial" w:hAnsi="Arial" w:cs="Arial"/>
                <w:b/>
                <w:sz w:val="24"/>
                <w:szCs w:val="24"/>
                <w:u w:val="single"/>
              </w:rPr>
              <w:t>Customer Class</w:t>
            </w:r>
          </w:p>
        </w:tc>
        <w:tc>
          <w:tcPr>
            <w:tcW w:w="2309" w:type="dxa"/>
            <w:tcBorders>
              <w:top w:val="nil"/>
              <w:left w:val="nil"/>
              <w:bottom w:val="nil"/>
              <w:right w:val="nil"/>
            </w:tcBorders>
          </w:tcPr>
          <w:p w:rsidR="00833A48" w:rsidRDefault="00833A48" w:rsidP="00833A48">
            <w:pPr>
              <w:jc w:val="center"/>
              <w:rPr>
                <w:rFonts w:ascii="Arial" w:hAnsi="Arial" w:cs="Arial"/>
                <w:b/>
                <w:sz w:val="24"/>
                <w:szCs w:val="24"/>
                <w:u w:val="single"/>
              </w:rPr>
            </w:pPr>
          </w:p>
          <w:p w:rsidR="00833A48" w:rsidRPr="004B7E27" w:rsidRDefault="00833A48" w:rsidP="00833A48">
            <w:pPr>
              <w:jc w:val="center"/>
              <w:rPr>
                <w:rFonts w:ascii="Arial" w:hAnsi="Arial" w:cs="Arial"/>
                <w:b/>
                <w:sz w:val="24"/>
                <w:szCs w:val="24"/>
                <w:u w:val="single"/>
              </w:rPr>
            </w:pPr>
            <w:r>
              <w:rPr>
                <w:rFonts w:ascii="Arial" w:hAnsi="Arial" w:cs="Arial"/>
                <w:b/>
                <w:sz w:val="24"/>
                <w:szCs w:val="24"/>
                <w:u w:val="single"/>
              </w:rPr>
              <w:t xml:space="preserve">ECR </w:t>
            </w:r>
            <w:r w:rsidRPr="004B7E27">
              <w:rPr>
                <w:rFonts w:ascii="Arial" w:hAnsi="Arial" w:cs="Arial"/>
                <w:b/>
                <w:sz w:val="24"/>
                <w:szCs w:val="24"/>
                <w:u w:val="single"/>
              </w:rPr>
              <w:t>Revenue</w:t>
            </w:r>
            <w:r>
              <w:rPr>
                <w:rFonts w:ascii="Arial" w:hAnsi="Arial" w:cs="Arial"/>
                <w:b/>
                <w:sz w:val="24"/>
                <w:szCs w:val="24"/>
                <w:u w:val="single"/>
              </w:rPr>
              <w:t>s</w:t>
            </w:r>
          </w:p>
          <w:p w:rsidR="00833A48" w:rsidRPr="004B7E27" w:rsidRDefault="00833A48" w:rsidP="00833A48">
            <w:pPr>
              <w:jc w:val="center"/>
              <w:rPr>
                <w:rFonts w:ascii="Arial" w:hAnsi="Arial" w:cs="Arial"/>
                <w:sz w:val="24"/>
                <w:szCs w:val="24"/>
              </w:rPr>
            </w:pPr>
            <w:r w:rsidRPr="004B7E27">
              <w:rPr>
                <w:rFonts w:ascii="Arial" w:hAnsi="Arial" w:cs="Arial"/>
                <w:sz w:val="24"/>
                <w:szCs w:val="24"/>
              </w:rPr>
              <w:t>(1)</w:t>
            </w:r>
          </w:p>
          <w:p w:rsidR="00833A48" w:rsidRPr="004B7E27" w:rsidRDefault="00833A48" w:rsidP="00833A48">
            <w:pPr>
              <w:jc w:val="center"/>
              <w:rPr>
                <w:rFonts w:ascii="Arial" w:hAnsi="Arial" w:cs="Arial"/>
                <w:b/>
                <w:sz w:val="24"/>
                <w:szCs w:val="24"/>
              </w:rPr>
            </w:pPr>
            <w:r w:rsidRPr="004B7E27">
              <w:rPr>
                <w:rFonts w:ascii="Arial" w:hAnsi="Arial" w:cs="Arial"/>
                <w:sz w:val="24"/>
                <w:szCs w:val="24"/>
              </w:rPr>
              <w:t>(Note 2)</w:t>
            </w:r>
          </w:p>
        </w:tc>
        <w:tc>
          <w:tcPr>
            <w:tcW w:w="2311" w:type="dxa"/>
            <w:tcBorders>
              <w:top w:val="nil"/>
              <w:left w:val="nil"/>
              <w:bottom w:val="nil"/>
              <w:right w:val="nil"/>
            </w:tcBorders>
          </w:tcPr>
          <w:p w:rsidR="00833A48" w:rsidRDefault="00833A48" w:rsidP="00833A48">
            <w:pPr>
              <w:jc w:val="center"/>
              <w:rPr>
                <w:rFonts w:ascii="Arial" w:hAnsi="Arial" w:cs="Arial"/>
                <w:b/>
                <w:sz w:val="24"/>
                <w:szCs w:val="24"/>
                <w:u w:val="single"/>
              </w:rPr>
            </w:pPr>
          </w:p>
          <w:p w:rsidR="00833A48" w:rsidRPr="004B7E27" w:rsidRDefault="00833A48" w:rsidP="00833A48">
            <w:pPr>
              <w:jc w:val="center"/>
              <w:rPr>
                <w:rFonts w:ascii="Arial" w:hAnsi="Arial" w:cs="Arial"/>
                <w:b/>
                <w:sz w:val="24"/>
                <w:szCs w:val="24"/>
                <w:u w:val="single"/>
              </w:rPr>
            </w:pPr>
            <w:r>
              <w:rPr>
                <w:rFonts w:ascii="Arial" w:hAnsi="Arial" w:cs="Arial"/>
                <w:b/>
                <w:sz w:val="24"/>
                <w:szCs w:val="24"/>
                <w:u w:val="single"/>
              </w:rPr>
              <w:t>ECR Expenses</w:t>
            </w:r>
          </w:p>
          <w:p w:rsidR="00833A48" w:rsidRPr="004B7E27" w:rsidRDefault="00833A48" w:rsidP="00833A48">
            <w:pPr>
              <w:jc w:val="center"/>
              <w:rPr>
                <w:rFonts w:ascii="Arial" w:hAnsi="Arial" w:cs="Arial"/>
                <w:sz w:val="24"/>
                <w:szCs w:val="24"/>
              </w:rPr>
            </w:pPr>
            <w:r w:rsidRPr="004B7E27">
              <w:rPr>
                <w:rFonts w:ascii="Arial" w:hAnsi="Arial" w:cs="Arial"/>
                <w:sz w:val="24"/>
                <w:szCs w:val="24"/>
              </w:rPr>
              <w:t>(2)</w:t>
            </w:r>
          </w:p>
          <w:p w:rsidR="00833A48" w:rsidRPr="004B7E27" w:rsidRDefault="00833A48" w:rsidP="00833A48">
            <w:pPr>
              <w:jc w:val="center"/>
              <w:rPr>
                <w:rFonts w:ascii="Arial" w:hAnsi="Arial" w:cs="Arial"/>
                <w:sz w:val="24"/>
                <w:szCs w:val="24"/>
              </w:rPr>
            </w:pPr>
            <w:r w:rsidRPr="004B7E27">
              <w:rPr>
                <w:rFonts w:ascii="Arial" w:hAnsi="Arial" w:cs="Arial"/>
                <w:sz w:val="24"/>
                <w:szCs w:val="24"/>
              </w:rPr>
              <w:t>(Note 3)</w:t>
            </w:r>
          </w:p>
          <w:p w:rsidR="00833A48" w:rsidRPr="004B7E27" w:rsidRDefault="00833A48" w:rsidP="00833A48">
            <w:pPr>
              <w:jc w:val="center"/>
              <w:rPr>
                <w:rFonts w:ascii="Arial" w:hAnsi="Arial" w:cs="Arial"/>
                <w:b/>
                <w:sz w:val="24"/>
                <w:szCs w:val="24"/>
              </w:rPr>
            </w:pPr>
          </w:p>
        </w:tc>
        <w:tc>
          <w:tcPr>
            <w:tcW w:w="2304" w:type="dxa"/>
            <w:tcBorders>
              <w:top w:val="nil"/>
              <w:left w:val="nil"/>
              <w:bottom w:val="nil"/>
              <w:right w:val="nil"/>
            </w:tcBorders>
          </w:tcPr>
          <w:p w:rsidR="00833A48" w:rsidRPr="004B7E27" w:rsidRDefault="00833A48" w:rsidP="00833A48">
            <w:pPr>
              <w:jc w:val="center"/>
              <w:rPr>
                <w:rFonts w:ascii="Arial" w:hAnsi="Arial" w:cs="Arial"/>
                <w:b/>
                <w:sz w:val="24"/>
                <w:szCs w:val="24"/>
              </w:rPr>
            </w:pPr>
            <w:r w:rsidRPr="004B7E27">
              <w:rPr>
                <w:rFonts w:ascii="Arial" w:hAnsi="Arial" w:cs="Arial"/>
                <w:b/>
                <w:sz w:val="24"/>
                <w:szCs w:val="24"/>
              </w:rPr>
              <w:t>Over/Under</w:t>
            </w:r>
          </w:p>
          <w:p w:rsidR="00833A48" w:rsidRPr="004B7E27" w:rsidRDefault="00833A48" w:rsidP="00833A48">
            <w:pPr>
              <w:jc w:val="center"/>
              <w:rPr>
                <w:rFonts w:ascii="Arial" w:hAnsi="Arial" w:cs="Arial"/>
                <w:b/>
                <w:sz w:val="24"/>
                <w:szCs w:val="24"/>
                <w:u w:val="single"/>
              </w:rPr>
            </w:pPr>
            <w:r w:rsidRPr="004B7E27">
              <w:rPr>
                <w:rFonts w:ascii="Arial" w:hAnsi="Arial" w:cs="Arial"/>
                <w:b/>
                <w:sz w:val="24"/>
                <w:szCs w:val="24"/>
                <w:u w:val="single"/>
              </w:rPr>
              <w:t>Collections</w:t>
            </w:r>
          </w:p>
          <w:p w:rsidR="00833A48" w:rsidRPr="004B7E27" w:rsidRDefault="00833A48" w:rsidP="00833A48">
            <w:pPr>
              <w:ind w:left="94" w:right="394"/>
              <w:jc w:val="center"/>
              <w:rPr>
                <w:rFonts w:ascii="Arial" w:hAnsi="Arial" w:cs="Arial"/>
                <w:sz w:val="24"/>
                <w:szCs w:val="24"/>
              </w:rPr>
            </w:pPr>
            <w:r w:rsidRPr="004B7E27">
              <w:rPr>
                <w:rFonts w:ascii="Arial" w:hAnsi="Arial" w:cs="Arial"/>
                <w:sz w:val="24"/>
                <w:szCs w:val="24"/>
              </w:rPr>
              <w:t>(3)=(1)-(2)</w:t>
            </w:r>
          </w:p>
          <w:p w:rsidR="00833A48" w:rsidRPr="004B7E27" w:rsidRDefault="00833A48" w:rsidP="00833A48">
            <w:pPr>
              <w:jc w:val="center"/>
              <w:rPr>
                <w:rFonts w:ascii="Arial" w:hAnsi="Arial" w:cs="Arial"/>
                <w:b/>
                <w:sz w:val="24"/>
                <w:szCs w:val="24"/>
              </w:rPr>
            </w:pPr>
            <w:r w:rsidRPr="004B7E27">
              <w:rPr>
                <w:rFonts w:ascii="Arial" w:hAnsi="Arial" w:cs="Arial"/>
                <w:sz w:val="24"/>
                <w:szCs w:val="24"/>
              </w:rPr>
              <w:t>(Note 4)</w:t>
            </w:r>
          </w:p>
        </w:tc>
      </w:tr>
      <w:tr w:rsidR="00833A48" w:rsidRPr="001D5EB8" w:rsidTr="00833A48">
        <w:trPr>
          <w:trHeight w:val="720"/>
        </w:trPr>
        <w:tc>
          <w:tcPr>
            <w:tcW w:w="2298" w:type="dxa"/>
            <w:tcBorders>
              <w:top w:val="nil"/>
              <w:left w:val="nil"/>
              <w:bottom w:val="nil"/>
              <w:right w:val="nil"/>
            </w:tcBorders>
          </w:tcPr>
          <w:p w:rsidR="00833A48" w:rsidRDefault="00833A48" w:rsidP="00833A48">
            <w:pPr>
              <w:jc w:val="both"/>
              <w:rPr>
                <w:rFonts w:ascii="Arial" w:hAnsi="Arial" w:cs="Arial"/>
                <w:sz w:val="24"/>
                <w:szCs w:val="24"/>
              </w:rPr>
            </w:pPr>
            <w:r>
              <w:rPr>
                <w:rFonts w:ascii="Arial" w:hAnsi="Arial" w:cs="Arial"/>
                <w:sz w:val="24"/>
                <w:szCs w:val="24"/>
              </w:rPr>
              <w:t>Residential</w:t>
            </w:r>
          </w:p>
        </w:tc>
        <w:tc>
          <w:tcPr>
            <w:tcW w:w="2309" w:type="dxa"/>
            <w:tcBorders>
              <w:top w:val="nil"/>
              <w:left w:val="nil"/>
              <w:bottom w:val="nil"/>
              <w:right w:val="nil"/>
            </w:tcBorders>
          </w:tcPr>
          <w:p w:rsidR="00833A48" w:rsidRPr="001D5EB8" w:rsidRDefault="00833A48" w:rsidP="00833A48">
            <w:pPr>
              <w:tabs>
                <w:tab w:val="left" w:pos="1734"/>
              </w:tabs>
              <w:ind w:left="24" w:hanging="24"/>
              <w:rPr>
                <w:rFonts w:ascii="Arial" w:hAnsi="Arial" w:cs="Arial"/>
                <w:sz w:val="24"/>
                <w:szCs w:val="24"/>
              </w:rPr>
            </w:pPr>
            <w:r>
              <w:rPr>
                <w:rFonts w:ascii="Arial" w:hAnsi="Arial" w:cs="Arial"/>
                <w:sz w:val="24"/>
                <w:szCs w:val="24"/>
              </w:rPr>
              <w:t>$       530,036</w:t>
            </w:r>
          </w:p>
        </w:tc>
        <w:tc>
          <w:tcPr>
            <w:tcW w:w="2311" w:type="dxa"/>
            <w:tcBorders>
              <w:top w:val="nil"/>
              <w:left w:val="nil"/>
              <w:bottom w:val="nil"/>
              <w:right w:val="nil"/>
            </w:tcBorders>
          </w:tcPr>
          <w:p w:rsidR="00833A48" w:rsidRPr="001D5EB8" w:rsidRDefault="00833A48" w:rsidP="00AC0974">
            <w:pPr>
              <w:ind w:right="402"/>
              <w:jc w:val="right"/>
              <w:rPr>
                <w:rFonts w:ascii="Arial" w:hAnsi="Arial" w:cs="Arial"/>
                <w:sz w:val="24"/>
                <w:szCs w:val="24"/>
              </w:rPr>
            </w:pPr>
            <w:r>
              <w:rPr>
                <w:rFonts w:ascii="Arial" w:hAnsi="Arial" w:cs="Arial"/>
                <w:sz w:val="24"/>
                <w:szCs w:val="24"/>
              </w:rPr>
              <w:t>$        124,998</w:t>
            </w:r>
          </w:p>
        </w:tc>
        <w:tc>
          <w:tcPr>
            <w:tcW w:w="2304" w:type="dxa"/>
            <w:tcBorders>
              <w:top w:val="nil"/>
              <w:left w:val="nil"/>
              <w:bottom w:val="nil"/>
              <w:right w:val="nil"/>
            </w:tcBorders>
          </w:tcPr>
          <w:p w:rsidR="00833A48" w:rsidRPr="001D5EB8" w:rsidRDefault="00833A48" w:rsidP="00833A48">
            <w:pPr>
              <w:rPr>
                <w:rFonts w:ascii="Arial" w:hAnsi="Arial" w:cs="Arial"/>
                <w:sz w:val="24"/>
                <w:szCs w:val="24"/>
              </w:rPr>
            </w:pPr>
            <w:r>
              <w:rPr>
                <w:rFonts w:ascii="Arial" w:hAnsi="Arial" w:cs="Arial"/>
                <w:sz w:val="24"/>
                <w:szCs w:val="24"/>
              </w:rPr>
              <w:t xml:space="preserve">$        </w:t>
            </w:r>
            <w:r w:rsidRPr="001D5EB8">
              <w:rPr>
                <w:rFonts w:ascii="Arial" w:hAnsi="Arial" w:cs="Arial"/>
                <w:sz w:val="24"/>
                <w:szCs w:val="24"/>
              </w:rPr>
              <w:t>405,038</w:t>
            </w:r>
          </w:p>
        </w:tc>
      </w:tr>
      <w:tr w:rsidR="00833A48" w:rsidRPr="001D5EB8" w:rsidTr="00833A48">
        <w:trPr>
          <w:trHeight w:val="720"/>
        </w:trPr>
        <w:tc>
          <w:tcPr>
            <w:tcW w:w="2298" w:type="dxa"/>
            <w:tcBorders>
              <w:top w:val="nil"/>
              <w:left w:val="nil"/>
              <w:bottom w:val="nil"/>
              <w:right w:val="nil"/>
            </w:tcBorders>
          </w:tcPr>
          <w:p w:rsidR="00833A48" w:rsidRDefault="00833A48" w:rsidP="00833A48">
            <w:pPr>
              <w:jc w:val="both"/>
              <w:rPr>
                <w:rFonts w:ascii="Arial" w:hAnsi="Arial" w:cs="Arial"/>
                <w:sz w:val="24"/>
                <w:szCs w:val="24"/>
              </w:rPr>
            </w:pPr>
            <w:r>
              <w:rPr>
                <w:rFonts w:ascii="Arial" w:hAnsi="Arial" w:cs="Arial"/>
                <w:sz w:val="24"/>
                <w:szCs w:val="24"/>
              </w:rPr>
              <w:t>Commercial</w:t>
            </w:r>
          </w:p>
        </w:tc>
        <w:tc>
          <w:tcPr>
            <w:tcW w:w="2309" w:type="dxa"/>
            <w:tcBorders>
              <w:top w:val="nil"/>
              <w:left w:val="nil"/>
              <w:bottom w:val="nil"/>
              <w:right w:val="nil"/>
            </w:tcBorders>
          </w:tcPr>
          <w:p w:rsidR="00833A48" w:rsidRPr="001D5EB8" w:rsidRDefault="00833A48" w:rsidP="00833A48">
            <w:pPr>
              <w:tabs>
                <w:tab w:val="left" w:pos="1764"/>
              </w:tabs>
              <w:rPr>
                <w:rFonts w:ascii="Arial" w:hAnsi="Arial" w:cs="Arial"/>
                <w:sz w:val="24"/>
                <w:szCs w:val="24"/>
              </w:rPr>
            </w:pPr>
            <w:r>
              <w:rPr>
                <w:rFonts w:ascii="Arial" w:hAnsi="Arial" w:cs="Arial"/>
                <w:sz w:val="24"/>
                <w:szCs w:val="24"/>
              </w:rPr>
              <w:t xml:space="preserve">           50,935</w:t>
            </w:r>
          </w:p>
        </w:tc>
        <w:tc>
          <w:tcPr>
            <w:tcW w:w="2311" w:type="dxa"/>
            <w:tcBorders>
              <w:top w:val="nil"/>
              <w:left w:val="nil"/>
              <w:bottom w:val="nil"/>
              <w:right w:val="nil"/>
            </w:tcBorders>
          </w:tcPr>
          <w:p w:rsidR="00833A48" w:rsidRPr="001D5EB8" w:rsidRDefault="00833A48" w:rsidP="00AC0974">
            <w:pPr>
              <w:ind w:right="402"/>
              <w:jc w:val="right"/>
              <w:rPr>
                <w:rFonts w:ascii="Arial" w:hAnsi="Arial" w:cs="Arial"/>
                <w:sz w:val="24"/>
                <w:szCs w:val="24"/>
              </w:rPr>
            </w:pPr>
            <w:r>
              <w:rPr>
                <w:rFonts w:ascii="Arial" w:hAnsi="Arial" w:cs="Arial"/>
                <w:sz w:val="24"/>
                <w:szCs w:val="24"/>
              </w:rPr>
              <w:t xml:space="preserve">           10,197</w:t>
            </w:r>
          </w:p>
        </w:tc>
        <w:tc>
          <w:tcPr>
            <w:tcW w:w="2304" w:type="dxa"/>
            <w:tcBorders>
              <w:top w:val="nil"/>
              <w:left w:val="nil"/>
              <w:bottom w:val="nil"/>
              <w:right w:val="nil"/>
            </w:tcBorders>
          </w:tcPr>
          <w:p w:rsidR="00833A48" w:rsidRPr="001D5EB8" w:rsidRDefault="00833A48" w:rsidP="00833A48">
            <w:pPr>
              <w:rPr>
                <w:rFonts w:ascii="Arial" w:hAnsi="Arial" w:cs="Arial"/>
                <w:sz w:val="24"/>
                <w:szCs w:val="24"/>
              </w:rPr>
            </w:pPr>
            <w:r>
              <w:rPr>
                <w:rFonts w:ascii="Arial" w:hAnsi="Arial" w:cs="Arial"/>
                <w:sz w:val="24"/>
                <w:szCs w:val="24"/>
              </w:rPr>
              <w:t xml:space="preserve">            </w:t>
            </w:r>
            <w:r w:rsidRPr="001D5EB8">
              <w:rPr>
                <w:rFonts w:ascii="Arial" w:hAnsi="Arial" w:cs="Arial"/>
                <w:sz w:val="24"/>
                <w:szCs w:val="24"/>
              </w:rPr>
              <w:t>40,738</w:t>
            </w:r>
          </w:p>
        </w:tc>
      </w:tr>
      <w:tr w:rsidR="00833A48" w:rsidRPr="005B5497" w:rsidTr="00833A48">
        <w:trPr>
          <w:trHeight w:val="720"/>
        </w:trPr>
        <w:tc>
          <w:tcPr>
            <w:tcW w:w="2298" w:type="dxa"/>
            <w:tcBorders>
              <w:top w:val="nil"/>
              <w:left w:val="nil"/>
              <w:bottom w:val="nil"/>
              <w:right w:val="nil"/>
            </w:tcBorders>
          </w:tcPr>
          <w:p w:rsidR="00833A48" w:rsidRDefault="00833A48" w:rsidP="00833A48">
            <w:pPr>
              <w:jc w:val="both"/>
              <w:rPr>
                <w:rFonts w:ascii="Arial" w:hAnsi="Arial" w:cs="Arial"/>
                <w:sz w:val="24"/>
                <w:szCs w:val="24"/>
              </w:rPr>
            </w:pPr>
            <w:r>
              <w:rPr>
                <w:rFonts w:ascii="Arial" w:hAnsi="Arial" w:cs="Arial"/>
                <w:sz w:val="24"/>
                <w:szCs w:val="24"/>
              </w:rPr>
              <w:t>Industrial</w:t>
            </w:r>
          </w:p>
        </w:tc>
        <w:tc>
          <w:tcPr>
            <w:tcW w:w="2309" w:type="dxa"/>
            <w:tcBorders>
              <w:top w:val="nil"/>
              <w:left w:val="nil"/>
              <w:bottom w:val="nil"/>
              <w:right w:val="nil"/>
            </w:tcBorders>
          </w:tcPr>
          <w:p w:rsidR="00833A48" w:rsidRPr="005B5497" w:rsidRDefault="00833A48" w:rsidP="00833A48">
            <w:pPr>
              <w:rPr>
                <w:rFonts w:ascii="Arial" w:hAnsi="Arial" w:cs="Arial"/>
                <w:sz w:val="24"/>
                <w:szCs w:val="24"/>
                <w:u w:val="single"/>
              </w:rPr>
            </w:pPr>
            <w:r w:rsidRPr="005B5497">
              <w:rPr>
                <w:rFonts w:ascii="Arial" w:hAnsi="Arial" w:cs="Arial"/>
                <w:sz w:val="24"/>
                <w:szCs w:val="24"/>
                <w:u w:val="single"/>
              </w:rPr>
              <w:t xml:space="preserve">           32,922</w:t>
            </w:r>
          </w:p>
        </w:tc>
        <w:tc>
          <w:tcPr>
            <w:tcW w:w="2311" w:type="dxa"/>
            <w:tcBorders>
              <w:top w:val="nil"/>
              <w:left w:val="nil"/>
              <w:bottom w:val="nil"/>
              <w:right w:val="nil"/>
            </w:tcBorders>
          </w:tcPr>
          <w:p w:rsidR="00833A48" w:rsidRPr="005B5497" w:rsidRDefault="00833A48" w:rsidP="00AC0974">
            <w:pPr>
              <w:ind w:right="402"/>
              <w:jc w:val="right"/>
              <w:rPr>
                <w:rFonts w:ascii="Arial" w:hAnsi="Arial" w:cs="Arial"/>
                <w:sz w:val="24"/>
                <w:szCs w:val="24"/>
                <w:u w:val="single"/>
              </w:rPr>
            </w:pPr>
            <w:r w:rsidRPr="005B5497">
              <w:rPr>
                <w:rFonts w:ascii="Arial" w:hAnsi="Arial" w:cs="Arial"/>
                <w:sz w:val="24"/>
                <w:szCs w:val="24"/>
                <w:u w:val="single"/>
              </w:rPr>
              <w:t xml:space="preserve">             5,858</w:t>
            </w:r>
          </w:p>
        </w:tc>
        <w:tc>
          <w:tcPr>
            <w:tcW w:w="2304" w:type="dxa"/>
            <w:tcBorders>
              <w:top w:val="nil"/>
              <w:left w:val="nil"/>
              <w:bottom w:val="nil"/>
              <w:right w:val="nil"/>
            </w:tcBorders>
          </w:tcPr>
          <w:p w:rsidR="00833A48" w:rsidRPr="005B5497" w:rsidRDefault="00833A48" w:rsidP="00833A48">
            <w:pPr>
              <w:rPr>
                <w:rFonts w:ascii="Arial" w:hAnsi="Arial" w:cs="Arial"/>
                <w:sz w:val="24"/>
                <w:szCs w:val="24"/>
                <w:u w:val="single"/>
              </w:rPr>
            </w:pPr>
            <w:r w:rsidRPr="005B5497">
              <w:rPr>
                <w:rFonts w:ascii="Arial" w:hAnsi="Arial" w:cs="Arial"/>
                <w:sz w:val="24"/>
                <w:szCs w:val="24"/>
                <w:u w:val="single"/>
              </w:rPr>
              <w:t xml:space="preserve">            27,064</w:t>
            </w:r>
          </w:p>
        </w:tc>
      </w:tr>
      <w:tr w:rsidR="00833A48" w:rsidRPr="005B5497" w:rsidTr="00833A48">
        <w:trPr>
          <w:trHeight w:val="720"/>
        </w:trPr>
        <w:tc>
          <w:tcPr>
            <w:tcW w:w="2298" w:type="dxa"/>
            <w:tcBorders>
              <w:top w:val="nil"/>
              <w:left w:val="nil"/>
              <w:bottom w:val="nil"/>
              <w:right w:val="nil"/>
            </w:tcBorders>
          </w:tcPr>
          <w:p w:rsidR="00833A48" w:rsidRDefault="00833A48" w:rsidP="00833A48">
            <w:pPr>
              <w:jc w:val="both"/>
              <w:rPr>
                <w:rFonts w:ascii="Arial" w:hAnsi="Arial" w:cs="Arial"/>
                <w:sz w:val="24"/>
                <w:szCs w:val="24"/>
              </w:rPr>
            </w:pPr>
            <w:r>
              <w:rPr>
                <w:rFonts w:ascii="Arial" w:hAnsi="Arial" w:cs="Arial"/>
                <w:sz w:val="24"/>
                <w:szCs w:val="24"/>
              </w:rPr>
              <w:t xml:space="preserve">     Totals</w:t>
            </w:r>
          </w:p>
        </w:tc>
        <w:tc>
          <w:tcPr>
            <w:tcW w:w="2309" w:type="dxa"/>
            <w:tcBorders>
              <w:top w:val="nil"/>
              <w:left w:val="nil"/>
              <w:bottom w:val="nil"/>
              <w:right w:val="nil"/>
            </w:tcBorders>
          </w:tcPr>
          <w:p w:rsidR="00833A48" w:rsidRPr="005B5497" w:rsidRDefault="00833A48" w:rsidP="00833A48">
            <w:pPr>
              <w:rPr>
                <w:rFonts w:ascii="Arial" w:hAnsi="Arial" w:cs="Arial"/>
                <w:sz w:val="24"/>
                <w:szCs w:val="24"/>
                <w:u w:val="double"/>
              </w:rPr>
            </w:pPr>
            <w:r>
              <w:rPr>
                <w:rFonts w:ascii="Arial" w:hAnsi="Arial" w:cs="Arial"/>
                <w:sz w:val="24"/>
                <w:szCs w:val="24"/>
                <w:u w:val="double"/>
              </w:rPr>
              <w:t>$</w:t>
            </w:r>
            <w:r w:rsidRPr="005B5497">
              <w:rPr>
                <w:rFonts w:ascii="Arial" w:hAnsi="Arial" w:cs="Arial"/>
                <w:sz w:val="24"/>
                <w:szCs w:val="24"/>
                <w:u w:val="double"/>
              </w:rPr>
              <w:t xml:space="preserve">       613,893</w:t>
            </w:r>
          </w:p>
        </w:tc>
        <w:tc>
          <w:tcPr>
            <w:tcW w:w="2311" w:type="dxa"/>
            <w:tcBorders>
              <w:top w:val="nil"/>
              <w:left w:val="nil"/>
              <w:bottom w:val="nil"/>
              <w:right w:val="nil"/>
            </w:tcBorders>
          </w:tcPr>
          <w:p w:rsidR="00833A48" w:rsidRPr="005B5497" w:rsidRDefault="00833A48" w:rsidP="00AC0974">
            <w:pPr>
              <w:ind w:right="402"/>
              <w:jc w:val="right"/>
              <w:rPr>
                <w:rFonts w:ascii="Arial" w:hAnsi="Arial" w:cs="Arial"/>
                <w:sz w:val="24"/>
                <w:szCs w:val="24"/>
                <w:u w:val="double"/>
              </w:rPr>
            </w:pPr>
            <w:r>
              <w:rPr>
                <w:rFonts w:ascii="Arial" w:hAnsi="Arial" w:cs="Arial"/>
                <w:sz w:val="24"/>
                <w:szCs w:val="24"/>
                <w:u w:val="double"/>
              </w:rPr>
              <w:t>$</w:t>
            </w:r>
            <w:r w:rsidRPr="005B5497">
              <w:rPr>
                <w:rFonts w:ascii="Arial" w:hAnsi="Arial" w:cs="Arial"/>
                <w:sz w:val="24"/>
                <w:szCs w:val="24"/>
                <w:u w:val="double"/>
              </w:rPr>
              <w:t xml:space="preserve">        141,053</w:t>
            </w:r>
          </w:p>
        </w:tc>
        <w:tc>
          <w:tcPr>
            <w:tcW w:w="2304" w:type="dxa"/>
            <w:tcBorders>
              <w:top w:val="nil"/>
              <w:left w:val="nil"/>
              <w:bottom w:val="nil"/>
              <w:right w:val="nil"/>
            </w:tcBorders>
          </w:tcPr>
          <w:p w:rsidR="00833A48" w:rsidRPr="005B5497" w:rsidRDefault="00833A48" w:rsidP="00833A48">
            <w:pPr>
              <w:rPr>
                <w:rFonts w:ascii="Arial" w:hAnsi="Arial" w:cs="Arial"/>
                <w:sz w:val="24"/>
                <w:szCs w:val="24"/>
                <w:u w:val="double"/>
              </w:rPr>
            </w:pPr>
            <w:r>
              <w:rPr>
                <w:rFonts w:ascii="Arial" w:hAnsi="Arial" w:cs="Arial"/>
                <w:sz w:val="24"/>
                <w:szCs w:val="24"/>
                <w:u w:val="double"/>
              </w:rPr>
              <w:t>$</w:t>
            </w:r>
            <w:r w:rsidRPr="005B5497">
              <w:rPr>
                <w:rFonts w:ascii="Arial" w:hAnsi="Arial" w:cs="Arial"/>
                <w:sz w:val="24"/>
                <w:szCs w:val="24"/>
                <w:u w:val="double"/>
              </w:rPr>
              <w:t xml:space="preserve">        472,840</w:t>
            </w:r>
          </w:p>
        </w:tc>
      </w:tr>
    </w:tbl>
    <w:p w:rsidR="00597735" w:rsidRPr="00C20F64" w:rsidRDefault="00597735" w:rsidP="00597735">
      <w:pPr>
        <w:tabs>
          <w:tab w:val="left" w:pos="-288"/>
        </w:tabs>
        <w:ind w:right="-36"/>
        <w:jc w:val="both"/>
        <w:rPr>
          <w:rFonts w:ascii="Arial" w:hAnsi="Arial" w:cs="Arial"/>
          <w:sz w:val="24"/>
          <w:szCs w:val="24"/>
        </w:rPr>
      </w:pPr>
    </w:p>
    <w:p w:rsidR="001D5EB8" w:rsidRDefault="001D5EB8" w:rsidP="0059773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1D5EB8" w:rsidRDefault="001D5EB8" w:rsidP="0059773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1D5EB8" w:rsidRDefault="001D5EB8" w:rsidP="0059773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9772F3" w:rsidRDefault="009772F3" w:rsidP="0059773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9772F3" w:rsidRDefault="009772F3" w:rsidP="0059773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A63639" w:rsidRDefault="00A63639" w:rsidP="00A63639">
      <w:pPr>
        <w:tabs>
          <w:tab w:val="left" w:pos="0"/>
          <w:tab w:val="left" w:pos="1800"/>
          <w:tab w:val="decimal" w:pos="6300"/>
          <w:tab w:val="decimal" w:pos="8550"/>
          <w:tab w:val="decimal" w:pos="10350"/>
          <w:tab w:val="left" w:pos="10800"/>
        </w:tabs>
        <w:ind w:right="-144"/>
        <w:jc w:val="both"/>
        <w:rPr>
          <w:rFonts w:ascii="Arial" w:hAnsi="Arial" w:cs="Arial"/>
          <w:sz w:val="24"/>
          <w:szCs w:val="24"/>
        </w:rPr>
      </w:pPr>
      <w:r>
        <w:rPr>
          <w:rFonts w:ascii="Arial" w:hAnsi="Arial" w:cs="Arial"/>
          <w:sz w:val="24"/>
          <w:szCs w:val="24"/>
        </w:rPr>
        <w:t>*</w:t>
      </w:r>
      <w:r w:rsidR="00EE32EA">
        <w:rPr>
          <w:rFonts w:ascii="Arial" w:hAnsi="Arial" w:cs="Arial"/>
          <w:sz w:val="24"/>
          <w:szCs w:val="24"/>
        </w:rPr>
        <w:t xml:space="preserve"> - </w:t>
      </w:r>
      <w:r>
        <w:rPr>
          <w:rFonts w:ascii="Arial" w:hAnsi="Arial" w:cs="Arial"/>
          <w:sz w:val="24"/>
          <w:szCs w:val="24"/>
        </w:rPr>
        <w:t xml:space="preserve">As reported to the Commission at Docket No. </w:t>
      </w:r>
      <w:r w:rsidR="00342B16">
        <w:rPr>
          <w:rFonts w:ascii="Arial" w:hAnsi="Arial" w:cs="Arial"/>
          <w:sz w:val="24"/>
          <w:szCs w:val="24"/>
        </w:rPr>
        <w:t>R-2011-2224739</w:t>
      </w:r>
      <w:r w:rsidR="00CD4FB0">
        <w:rPr>
          <w:rFonts w:ascii="Arial" w:hAnsi="Arial" w:cs="Arial"/>
          <w:sz w:val="24"/>
          <w:szCs w:val="24"/>
        </w:rPr>
        <w:t>.</w:t>
      </w:r>
    </w:p>
    <w:p w:rsidR="00A63639" w:rsidRDefault="00A63639" w:rsidP="0059773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597735" w:rsidRDefault="00597735" w:rsidP="00597735">
      <w:pPr>
        <w:tabs>
          <w:tab w:val="left" w:pos="0"/>
          <w:tab w:val="left" w:pos="1800"/>
          <w:tab w:val="decimal" w:pos="6300"/>
          <w:tab w:val="decimal" w:pos="8550"/>
          <w:tab w:val="decimal" w:pos="10350"/>
          <w:tab w:val="left" w:pos="10800"/>
        </w:tabs>
        <w:ind w:right="-144"/>
        <w:jc w:val="both"/>
        <w:rPr>
          <w:rFonts w:ascii="Arial" w:hAnsi="Arial" w:cs="Arial"/>
          <w:sz w:val="24"/>
          <w:szCs w:val="24"/>
        </w:rPr>
      </w:pPr>
      <w:r w:rsidRPr="00C20F64">
        <w:rPr>
          <w:rFonts w:ascii="Arial" w:hAnsi="Arial" w:cs="Arial"/>
          <w:sz w:val="24"/>
          <w:szCs w:val="24"/>
        </w:rPr>
        <w:t>Notes to the Financial Statements are an integral part of this report.</w:t>
      </w:r>
    </w:p>
    <w:p w:rsidR="001D5EB8" w:rsidRDefault="001D5EB8">
      <w:pPr>
        <w:rPr>
          <w:rFonts w:ascii="Arial" w:hAnsi="Arial" w:cs="Arial"/>
          <w:sz w:val="24"/>
          <w:szCs w:val="24"/>
        </w:rPr>
      </w:pPr>
      <w:r>
        <w:rPr>
          <w:rFonts w:ascii="Arial" w:hAnsi="Arial" w:cs="Arial"/>
          <w:sz w:val="24"/>
          <w:szCs w:val="24"/>
        </w:rPr>
        <w:br w:type="page"/>
      </w:r>
    </w:p>
    <w:p w:rsidR="00EC58EA" w:rsidRPr="0008323F" w:rsidRDefault="00EC58EA" w:rsidP="00591D89">
      <w:pPr>
        <w:spacing w:line="360" w:lineRule="atLeast"/>
        <w:jc w:val="center"/>
        <w:outlineLvl w:val="0"/>
        <w:rPr>
          <w:rFonts w:ascii="Arial" w:hAnsi="Arial" w:cs="Arial"/>
          <w:b/>
          <w:sz w:val="26"/>
          <w:szCs w:val="26"/>
        </w:rPr>
      </w:pPr>
      <w:r w:rsidRPr="0008323F">
        <w:rPr>
          <w:rFonts w:ascii="Arial" w:hAnsi="Arial" w:cs="Arial"/>
          <w:b/>
          <w:sz w:val="26"/>
          <w:szCs w:val="26"/>
        </w:rPr>
        <w:lastRenderedPageBreak/>
        <w:t>PHILADELPHIA GAS WORKS</w:t>
      </w:r>
    </w:p>
    <w:p w:rsidR="00EC58EA" w:rsidRPr="0008323F" w:rsidRDefault="00EC58EA">
      <w:pPr>
        <w:rPr>
          <w:rFonts w:ascii="Arial" w:hAnsi="Arial" w:cs="Arial"/>
          <w:b/>
          <w:sz w:val="26"/>
          <w:szCs w:val="26"/>
          <w:u w:val="single"/>
        </w:rPr>
      </w:pPr>
    </w:p>
    <w:p w:rsidR="00EC58EA" w:rsidRPr="0008323F" w:rsidRDefault="00EC58EA">
      <w:pPr>
        <w:jc w:val="center"/>
        <w:rPr>
          <w:rFonts w:ascii="Arial" w:hAnsi="Arial" w:cs="Arial"/>
          <w:b/>
          <w:sz w:val="26"/>
          <w:szCs w:val="26"/>
        </w:rPr>
      </w:pPr>
      <w:r w:rsidRPr="0008323F">
        <w:rPr>
          <w:rFonts w:ascii="Arial" w:hAnsi="Arial" w:cs="Arial"/>
          <w:b/>
          <w:sz w:val="26"/>
          <w:szCs w:val="26"/>
        </w:rPr>
        <w:t xml:space="preserve">Notes </w:t>
      </w:r>
      <w:r w:rsidR="00795B0B" w:rsidRPr="0008323F">
        <w:rPr>
          <w:rFonts w:ascii="Arial" w:hAnsi="Arial" w:cs="Arial"/>
          <w:b/>
          <w:sz w:val="26"/>
          <w:szCs w:val="26"/>
        </w:rPr>
        <w:t>to</w:t>
      </w:r>
      <w:r w:rsidRPr="0008323F">
        <w:rPr>
          <w:rFonts w:ascii="Arial" w:hAnsi="Arial" w:cs="Arial"/>
          <w:b/>
          <w:sz w:val="26"/>
          <w:szCs w:val="26"/>
        </w:rPr>
        <w:t xml:space="preserve"> </w:t>
      </w:r>
      <w:r w:rsidR="00795B0B" w:rsidRPr="0008323F">
        <w:rPr>
          <w:rFonts w:ascii="Arial" w:hAnsi="Arial" w:cs="Arial"/>
          <w:b/>
          <w:sz w:val="26"/>
          <w:szCs w:val="26"/>
        </w:rPr>
        <w:t>the</w:t>
      </w:r>
      <w:r w:rsidRPr="0008323F">
        <w:rPr>
          <w:rFonts w:ascii="Arial" w:hAnsi="Arial" w:cs="Arial"/>
          <w:b/>
          <w:sz w:val="26"/>
          <w:szCs w:val="26"/>
        </w:rPr>
        <w:t xml:space="preserve"> Financial Statements</w:t>
      </w:r>
    </w:p>
    <w:p w:rsidR="00307C90" w:rsidRPr="008D0BD6" w:rsidRDefault="00307C90" w:rsidP="008B560F">
      <w:pPr>
        <w:rPr>
          <w:rFonts w:ascii="Arial" w:hAnsi="Arial" w:cs="Arial"/>
          <w:b/>
          <w:sz w:val="24"/>
          <w:szCs w:val="24"/>
          <w:u w:val="single"/>
        </w:rPr>
      </w:pPr>
    </w:p>
    <w:p w:rsidR="00307C90" w:rsidRPr="008D0BD6" w:rsidRDefault="00307C90" w:rsidP="008B560F">
      <w:pPr>
        <w:rPr>
          <w:rFonts w:ascii="Arial" w:hAnsi="Arial" w:cs="Arial"/>
          <w:sz w:val="24"/>
          <w:szCs w:val="24"/>
        </w:rPr>
      </w:pPr>
    </w:p>
    <w:p w:rsidR="00EC58EA" w:rsidRPr="0008323F" w:rsidRDefault="009C63F6">
      <w:pPr>
        <w:tabs>
          <w:tab w:val="left" w:pos="360"/>
          <w:tab w:val="left" w:pos="9720"/>
        </w:tabs>
        <w:rPr>
          <w:rFonts w:ascii="Arial" w:hAnsi="Arial" w:cs="Arial"/>
          <w:b/>
          <w:sz w:val="24"/>
          <w:szCs w:val="24"/>
          <w:u w:val="single"/>
        </w:rPr>
      </w:pPr>
      <w:r w:rsidRPr="0008323F">
        <w:rPr>
          <w:rFonts w:ascii="Arial" w:hAnsi="Arial" w:cs="Arial"/>
          <w:b/>
          <w:sz w:val="24"/>
          <w:szCs w:val="24"/>
          <w:u w:val="single"/>
        </w:rPr>
        <w:t>1</w:t>
      </w:r>
      <w:r w:rsidR="00EC58EA" w:rsidRPr="0008323F">
        <w:rPr>
          <w:rFonts w:ascii="Arial" w:hAnsi="Arial" w:cs="Arial"/>
          <w:b/>
          <w:sz w:val="24"/>
          <w:szCs w:val="24"/>
          <w:u w:val="single"/>
        </w:rPr>
        <w:t xml:space="preserve"> – </w:t>
      </w:r>
      <w:r w:rsidR="0069610A" w:rsidRPr="0008323F">
        <w:rPr>
          <w:rFonts w:ascii="Arial" w:hAnsi="Arial" w:cs="Arial"/>
          <w:b/>
          <w:sz w:val="24"/>
          <w:szCs w:val="24"/>
          <w:u w:val="single"/>
        </w:rPr>
        <w:t>Condensed Statements</w:t>
      </w:r>
    </w:p>
    <w:p w:rsidR="007A1DB0" w:rsidRPr="008D0BD6" w:rsidRDefault="007A1DB0">
      <w:pPr>
        <w:autoSpaceDE w:val="0"/>
        <w:autoSpaceDN w:val="0"/>
        <w:adjustRightInd w:val="0"/>
        <w:ind w:left="450"/>
        <w:rPr>
          <w:rFonts w:ascii="Arial" w:hAnsi="Arial" w:cs="Arial"/>
          <w:sz w:val="24"/>
          <w:szCs w:val="24"/>
        </w:rPr>
      </w:pPr>
    </w:p>
    <w:p w:rsidR="006B22E7" w:rsidRDefault="006B22E7" w:rsidP="00F1241D">
      <w:pPr>
        <w:tabs>
          <w:tab w:val="left" w:pos="0"/>
        </w:tabs>
        <w:ind w:left="360"/>
        <w:rPr>
          <w:rFonts w:ascii="Arial" w:hAnsi="Arial" w:cs="Arial"/>
          <w:sz w:val="24"/>
          <w:szCs w:val="24"/>
        </w:rPr>
      </w:pPr>
      <w:r>
        <w:rPr>
          <w:rFonts w:ascii="Arial" w:hAnsi="Arial" w:cs="Arial"/>
          <w:sz w:val="24"/>
          <w:szCs w:val="24"/>
        </w:rPr>
        <w:t xml:space="preserve">The Statements of </w:t>
      </w:r>
      <w:r w:rsidR="00711976">
        <w:rPr>
          <w:rFonts w:ascii="Arial" w:hAnsi="Arial" w:cs="Arial"/>
          <w:sz w:val="24"/>
          <w:szCs w:val="24"/>
        </w:rPr>
        <w:t xml:space="preserve">Efficiency Cost Recovery </w:t>
      </w:r>
      <w:r>
        <w:rPr>
          <w:rFonts w:ascii="Arial" w:hAnsi="Arial" w:cs="Arial"/>
          <w:sz w:val="24"/>
          <w:szCs w:val="24"/>
        </w:rPr>
        <w:t>(</w:t>
      </w:r>
      <w:r w:rsidR="00C9690A">
        <w:rPr>
          <w:rFonts w:ascii="Arial" w:hAnsi="Arial" w:cs="Arial"/>
          <w:sz w:val="24"/>
          <w:szCs w:val="24"/>
        </w:rPr>
        <w:t>ECR</w:t>
      </w:r>
      <w:r>
        <w:rPr>
          <w:rFonts w:ascii="Arial" w:hAnsi="Arial" w:cs="Arial"/>
          <w:sz w:val="24"/>
          <w:szCs w:val="24"/>
        </w:rPr>
        <w:t xml:space="preserve">) </w:t>
      </w:r>
      <w:r w:rsidR="007821ED">
        <w:rPr>
          <w:rFonts w:ascii="Arial" w:hAnsi="Arial" w:cs="Arial"/>
          <w:sz w:val="24"/>
          <w:szCs w:val="24"/>
        </w:rPr>
        <w:t xml:space="preserve">Surcharge </w:t>
      </w:r>
      <w:r>
        <w:rPr>
          <w:rFonts w:ascii="Arial" w:hAnsi="Arial" w:cs="Arial"/>
          <w:sz w:val="24"/>
          <w:szCs w:val="24"/>
        </w:rPr>
        <w:t>Over/(Under) Collections presented in this report are condensed from the officially filed statements for the purpose of clarity.  The audit was conducted on Philadelphia Gas Works</w:t>
      </w:r>
      <w:r w:rsidR="00BB6B4B">
        <w:rPr>
          <w:rFonts w:ascii="Arial" w:hAnsi="Arial" w:cs="Arial"/>
          <w:sz w:val="24"/>
          <w:szCs w:val="24"/>
        </w:rPr>
        <w:t>’ (PGW</w:t>
      </w:r>
      <w:r w:rsidR="00567995">
        <w:rPr>
          <w:rFonts w:ascii="Arial" w:hAnsi="Arial" w:cs="Arial"/>
          <w:sz w:val="24"/>
          <w:szCs w:val="24"/>
        </w:rPr>
        <w:t xml:space="preserve"> or Company)</w:t>
      </w:r>
      <w:r w:rsidR="00BB6B4B">
        <w:rPr>
          <w:rFonts w:ascii="Arial" w:hAnsi="Arial" w:cs="Arial"/>
          <w:sz w:val="24"/>
          <w:szCs w:val="24"/>
        </w:rPr>
        <w:t xml:space="preserve"> </w:t>
      </w:r>
      <w:r w:rsidR="00D146CF" w:rsidRPr="00AC28F0">
        <w:rPr>
          <w:rFonts w:ascii="Arial" w:hAnsi="Arial" w:cs="Arial"/>
          <w:sz w:val="24"/>
          <w:szCs w:val="24"/>
        </w:rPr>
        <w:t xml:space="preserve">officially filed </w:t>
      </w:r>
      <w:r w:rsidR="00914928" w:rsidRPr="00914928">
        <w:rPr>
          <w:rFonts w:ascii="Arial" w:hAnsi="Arial" w:cs="Arial"/>
          <w:sz w:val="24"/>
          <w:szCs w:val="24"/>
        </w:rPr>
        <w:t xml:space="preserve">1307(f) </w:t>
      </w:r>
      <w:r w:rsidR="00D146CF">
        <w:rPr>
          <w:rFonts w:ascii="Arial" w:hAnsi="Arial" w:cs="Arial"/>
          <w:sz w:val="24"/>
          <w:szCs w:val="24"/>
        </w:rPr>
        <w:t xml:space="preserve">reconciliation </w:t>
      </w:r>
      <w:r w:rsidR="00D146CF" w:rsidRPr="00AC28F0">
        <w:rPr>
          <w:rFonts w:ascii="Arial" w:hAnsi="Arial" w:cs="Arial"/>
          <w:sz w:val="24"/>
          <w:szCs w:val="24"/>
        </w:rPr>
        <w:t>statements submitted to the Pennsylvania Public Utility Commission (PUC) in accordance with Section 1307(f)(3) of the Public Utility Code</w:t>
      </w:r>
      <w:r w:rsidR="00D146CF">
        <w:rPr>
          <w:rFonts w:ascii="Arial" w:hAnsi="Arial" w:cs="Arial"/>
          <w:sz w:val="24"/>
          <w:szCs w:val="24"/>
        </w:rPr>
        <w:t xml:space="preserve"> </w:t>
      </w:r>
      <w:r>
        <w:rPr>
          <w:rFonts w:ascii="Arial" w:hAnsi="Arial" w:cs="Arial"/>
          <w:sz w:val="24"/>
          <w:szCs w:val="24"/>
        </w:rPr>
        <w:t xml:space="preserve">on </w:t>
      </w:r>
      <w:r w:rsidR="00C64FA7">
        <w:rPr>
          <w:rFonts w:ascii="Arial" w:hAnsi="Arial" w:cs="Arial"/>
          <w:sz w:val="24"/>
          <w:szCs w:val="24"/>
        </w:rPr>
        <w:t>November 30</w:t>
      </w:r>
      <w:r>
        <w:rPr>
          <w:rFonts w:ascii="Arial" w:hAnsi="Arial" w:cs="Arial"/>
          <w:sz w:val="24"/>
          <w:szCs w:val="24"/>
        </w:rPr>
        <w:t xml:space="preserve">, 2012 and </w:t>
      </w:r>
      <w:r w:rsidR="00D146CF">
        <w:rPr>
          <w:rFonts w:ascii="Arial" w:hAnsi="Arial" w:cs="Arial"/>
          <w:sz w:val="24"/>
          <w:szCs w:val="24"/>
        </w:rPr>
        <w:t>November 30</w:t>
      </w:r>
      <w:r>
        <w:rPr>
          <w:rFonts w:ascii="Arial" w:hAnsi="Arial" w:cs="Arial"/>
          <w:sz w:val="24"/>
          <w:szCs w:val="24"/>
        </w:rPr>
        <w:t>, 2011 and ar</w:t>
      </w:r>
      <w:r w:rsidR="00C9690A">
        <w:rPr>
          <w:rFonts w:ascii="Arial" w:hAnsi="Arial" w:cs="Arial"/>
          <w:sz w:val="24"/>
          <w:szCs w:val="24"/>
        </w:rPr>
        <w:t xml:space="preserve">e available at Docket Nos. </w:t>
      </w:r>
      <w:r>
        <w:rPr>
          <w:rFonts w:ascii="Arial" w:hAnsi="Arial" w:cs="Arial"/>
          <w:sz w:val="24"/>
          <w:szCs w:val="24"/>
        </w:rPr>
        <w:t xml:space="preserve">R-2012-2286447 and R-2011-2224739, respectively, via </w:t>
      </w:r>
      <w:hyperlink r:id="rId20" w:history="1">
        <w:r w:rsidR="00E24B49" w:rsidRPr="004A2F97">
          <w:rPr>
            <w:rStyle w:val="Hyperlink"/>
            <w:rFonts w:ascii="Arial" w:hAnsi="Arial" w:cs="Arial"/>
            <w:sz w:val="24"/>
            <w:szCs w:val="24"/>
          </w:rPr>
          <w:t>http://www.puc.pa.gov</w:t>
        </w:r>
      </w:hyperlink>
      <w:r>
        <w:rPr>
          <w:rFonts w:ascii="Arial" w:hAnsi="Arial" w:cs="Arial"/>
          <w:sz w:val="24"/>
          <w:szCs w:val="24"/>
        </w:rPr>
        <w:t>.</w:t>
      </w:r>
    </w:p>
    <w:p w:rsidR="008D5FE4" w:rsidRDefault="008D5FE4" w:rsidP="008D5FE4">
      <w:pPr>
        <w:autoSpaceDE w:val="0"/>
        <w:autoSpaceDN w:val="0"/>
        <w:adjustRightInd w:val="0"/>
        <w:rPr>
          <w:rFonts w:ascii="Arial" w:hAnsi="Arial" w:cs="Arial"/>
          <w:sz w:val="24"/>
          <w:szCs w:val="24"/>
        </w:rPr>
      </w:pPr>
    </w:p>
    <w:p w:rsidR="003F5511" w:rsidRPr="0008323F" w:rsidRDefault="003F5511" w:rsidP="00E55207">
      <w:pPr>
        <w:tabs>
          <w:tab w:val="left" w:pos="360"/>
          <w:tab w:val="left" w:pos="7215"/>
        </w:tabs>
        <w:rPr>
          <w:rFonts w:ascii="Arial" w:hAnsi="Arial" w:cs="Arial"/>
          <w:sz w:val="24"/>
          <w:szCs w:val="24"/>
          <w:u w:val="single"/>
        </w:rPr>
      </w:pPr>
      <w:r w:rsidRPr="0008323F">
        <w:rPr>
          <w:rFonts w:ascii="Arial" w:hAnsi="Arial" w:cs="Arial"/>
          <w:b/>
          <w:sz w:val="24"/>
          <w:szCs w:val="24"/>
          <w:u w:val="single"/>
        </w:rPr>
        <w:t>2 –</w:t>
      </w:r>
      <w:r w:rsidR="008D5FE4" w:rsidRPr="0008323F">
        <w:rPr>
          <w:rFonts w:ascii="Arial" w:hAnsi="Arial" w:cs="Arial"/>
          <w:b/>
          <w:sz w:val="24"/>
          <w:szCs w:val="24"/>
          <w:u w:val="single"/>
        </w:rPr>
        <w:t xml:space="preserve"> </w:t>
      </w:r>
      <w:r w:rsidR="00545591" w:rsidRPr="0008323F">
        <w:rPr>
          <w:rFonts w:ascii="Arial" w:hAnsi="Arial" w:cs="Arial"/>
          <w:b/>
          <w:sz w:val="24"/>
          <w:szCs w:val="24"/>
          <w:u w:val="single"/>
        </w:rPr>
        <w:t>EC</w:t>
      </w:r>
      <w:r w:rsidR="006B22E7" w:rsidRPr="0008323F">
        <w:rPr>
          <w:rFonts w:ascii="Arial" w:hAnsi="Arial" w:cs="Arial"/>
          <w:b/>
          <w:sz w:val="24"/>
          <w:szCs w:val="24"/>
          <w:u w:val="single"/>
        </w:rPr>
        <w:t>R</w:t>
      </w:r>
      <w:r w:rsidRPr="0008323F">
        <w:rPr>
          <w:rFonts w:ascii="Arial" w:hAnsi="Arial" w:cs="Arial"/>
          <w:b/>
          <w:sz w:val="24"/>
          <w:szCs w:val="24"/>
          <w:u w:val="single"/>
        </w:rPr>
        <w:t xml:space="preserve"> </w:t>
      </w:r>
      <w:r w:rsidR="006B22E7" w:rsidRPr="0008323F">
        <w:rPr>
          <w:rFonts w:ascii="Arial" w:hAnsi="Arial" w:cs="Arial"/>
          <w:b/>
          <w:sz w:val="24"/>
          <w:szCs w:val="24"/>
          <w:u w:val="single"/>
        </w:rPr>
        <w:t>Revenues</w:t>
      </w:r>
    </w:p>
    <w:p w:rsidR="00EC58EA" w:rsidRPr="008D0BD6" w:rsidRDefault="00EC58EA">
      <w:pPr>
        <w:autoSpaceDE w:val="0"/>
        <w:autoSpaceDN w:val="0"/>
        <w:adjustRightInd w:val="0"/>
        <w:rPr>
          <w:rFonts w:ascii="Arial" w:hAnsi="Arial" w:cs="Arial"/>
          <w:sz w:val="24"/>
          <w:szCs w:val="24"/>
        </w:rPr>
      </w:pPr>
    </w:p>
    <w:p w:rsidR="00545591" w:rsidRDefault="00867A8D" w:rsidP="00F1241D">
      <w:pPr>
        <w:tabs>
          <w:tab w:val="left" w:pos="0"/>
        </w:tabs>
        <w:ind w:left="360"/>
        <w:rPr>
          <w:rFonts w:ascii="Arial" w:hAnsi="Arial" w:cs="Arial"/>
          <w:sz w:val="24"/>
          <w:szCs w:val="24"/>
        </w:rPr>
      </w:pPr>
      <w:r>
        <w:rPr>
          <w:rFonts w:ascii="Arial" w:hAnsi="Arial" w:cs="Arial"/>
          <w:sz w:val="24"/>
          <w:szCs w:val="24"/>
        </w:rPr>
        <w:t>ECR</w:t>
      </w:r>
      <w:r w:rsidRPr="00F476E3">
        <w:rPr>
          <w:rFonts w:ascii="Arial" w:hAnsi="Arial" w:cs="Arial"/>
          <w:sz w:val="24"/>
          <w:szCs w:val="24"/>
        </w:rPr>
        <w:t xml:space="preserve"> Revenues are derived by multiplying the sales </w:t>
      </w:r>
      <w:r>
        <w:rPr>
          <w:rFonts w:ascii="Arial" w:hAnsi="Arial" w:cs="Arial"/>
          <w:sz w:val="24"/>
          <w:szCs w:val="24"/>
        </w:rPr>
        <w:t xml:space="preserve">volumes </w:t>
      </w:r>
      <w:r w:rsidRPr="00F476E3">
        <w:rPr>
          <w:rFonts w:ascii="Arial" w:hAnsi="Arial" w:cs="Arial"/>
          <w:sz w:val="24"/>
          <w:szCs w:val="24"/>
        </w:rPr>
        <w:t xml:space="preserve">billed during the month by the </w:t>
      </w:r>
      <w:r w:rsidRPr="00E729D3">
        <w:rPr>
          <w:rFonts w:ascii="Arial" w:hAnsi="Arial" w:cs="Arial"/>
          <w:sz w:val="24"/>
          <w:szCs w:val="24"/>
        </w:rPr>
        <w:t>C-Factor</w:t>
      </w:r>
      <w:r w:rsidR="00A651B0">
        <w:rPr>
          <w:rFonts w:ascii="Arial" w:hAnsi="Arial" w:cs="Arial"/>
          <w:sz w:val="24"/>
          <w:szCs w:val="24"/>
        </w:rPr>
        <w:t>, or current cost factor,</w:t>
      </w:r>
      <w:r w:rsidRPr="00E729D3">
        <w:rPr>
          <w:rFonts w:ascii="Arial" w:hAnsi="Arial" w:cs="Arial"/>
          <w:sz w:val="24"/>
          <w:szCs w:val="24"/>
        </w:rPr>
        <w:t xml:space="preserve"> of the applicable </w:t>
      </w:r>
      <w:r>
        <w:rPr>
          <w:rFonts w:ascii="Arial" w:hAnsi="Arial" w:cs="Arial"/>
          <w:sz w:val="24"/>
          <w:szCs w:val="24"/>
        </w:rPr>
        <w:t xml:space="preserve">ECR </w:t>
      </w:r>
      <w:r w:rsidR="004B12F1">
        <w:rPr>
          <w:rFonts w:ascii="Arial" w:hAnsi="Arial" w:cs="Arial"/>
          <w:sz w:val="24"/>
          <w:szCs w:val="24"/>
        </w:rPr>
        <w:t>rate</w:t>
      </w:r>
      <w:r w:rsidRPr="00E729D3">
        <w:rPr>
          <w:rFonts w:ascii="Arial" w:hAnsi="Arial" w:cs="Arial"/>
          <w:sz w:val="24"/>
          <w:szCs w:val="24"/>
        </w:rPr>
        <w:t xml:space="preserve">.  </w:t>
      </w:r>
      <w:r w:rsidR="00841620">
        <w:rPr>
          <w:rFonts w:ascii="Arial" w:hAnsi="Arial" w:cs="Arial"/>
          <w:sz w:val="24"/>
          <w:szCs w:val="24"/>
        </w:rPr>
        <w:t xml:space="preserve">The ECR does not apply to the Developmental Natural Gas Vehicle Service (NGVS) </w:t>
      </w:r>
      <w:r w:rsidR="00F1241D">
        <w:rPr>
          <w:rFonts w:ascii="Arial" w:hAnsi="Arial" w:cs="Arial"/>
          <w:sz w:val="24"/>
          <w:szCs w:val="24"/>
        </w:rPr>
        <w:t xml:space="preserve">or the interruptible </w:t>
      </w:r>
      <w:r w:rsidR="00841620">
        <w:rPr>
          <w:rFonts w:ascii="Arial" w:hAnsi="Arial" w:cs="Arial"/>
          <w:sz w:val="24"/>
          <w:szCs w:val="24"/>
        </w:rPr>
        <w:t>customer class</w:t>
      </w:r>
      <w:r w:rsidR="00F1241D">
        <w:rPr>
          <w:rFonts w:ascii="Arial" w:hAnsi="Arial" w:cs="Arial"/>
          <w:sz w:val="24"/>
          <w:szCs w:val="24"/>
        </w:rPr>
        <w:t>es</w:t>
      </w:r>
      <w:r w:rsidR="00841620">
        <w:rPr>
          <w:rFonts w:ascii="Arial" w:hAnsi="Arial" w:cs="Arial"/>
          <w:sz w:val="24"/>
          <w:szCs w:val="24"/>
        </w:rPr>
        <w:t xml:space="preserve">.  </w:t>
      </w:r>
    </w:p>
    <w:p w:rsidR="00545591" w:rsidRDefault="00545591" w:rsidP="00545591">
      <w:pPr>
        <w:autoSpaceDE w:val="0"/>
        <w:autoSpaceDN w:val="0"/>
        <w:adjustRightInd w:val="0"/>
        <w:ind w:left="450"/>
        <w:rPr>
          <w:rFonts w:ascii="Arial" w:hAnsi="Arial" w:cs="Arial"/>
          <w:sz w:val="24"/>
          <w:szCs w:val="24"/>
        </w:rPr>
      </w:pPr>
    </w:p>
    <w:p w:rsidR="00FC78A6" w:rsidRPr="0008323F" w:rsidRDefault="00FC78A6" w:rsidP="00FC78A6">
      <w:pPr>
        <w:tabs>
          <w:tab w:val="left" w:pos="360"/>
          <w:tab w:val="left" w:pos="9720"/>
        </w:tabs>
        <w:rPr>
          <w:rFonts w:ascii="Arial" w:hAnsi="Arial" w:cs="Arial"/>
          <w:sz w:val="24"/>
          <w:szCs w:val="24"/>
          <w:u w:val="single"/>
        </w:rPr>
      </w:pPr>
      <w:r w:rsidRPr="0008323F">
        <w:rPr>
          <w:rFonts w:ascii="Arial" w:hAnsi="Arial" w:cs="Arial"/>
          <w:b/>
          <w:sz w:val="24"/>
          <w:szCs w:val="24"/>
          <w:u w:val="single"/>
        </w:rPr>
        <w:t xml:space="preserve">3 – </w:t>
      </w:r>
      <w:r w:rsidR="006B22E7" w:rsidRPr="0008323F">
        <w:rPr>
          <w:rFonts w:ascii="Arial" w:hAnsi="Arial" w:cs="Arial"/>
          <w:b/>
          <w:sz w:val="24"/>
          <w:szCs w:val="24"/>
          <w:u w:val="single"/>
        </w:rPr>
        <w:t xml:space="preserve">ECR </w:t>
      </w:r>
      <w:r w:rsidR="005E2F97">
        <w:rPr>
          <w:rFonts w:ascii="Arial" w:hAnsi="Arial" w:cs="Arial"/>
          <w:b/>
          <w:sz w:val="24"/>
          <w:szCs w:val="24"/>
          <w:u w:val="single"/>
        </w:rPr>
        <w:t>Expenses</w:t>
      </w:r>
    </w:p>
    <w:p w:rsidR="005367D5" w:rsidRDefault="005367D5" w:rsidP="00FC78A6">
      <w:pPr>
        <w:tabs>
          <w:tab w:val="left" w:pos="360"/>
          <w:tab w:val="left" w:pos="9720"/>
        </w:tabs>
        <w:rPr>
          <w:rFonts w:ascii="Arial" w:hAnsi="Arial" w:cs="Arial"/>
          <w:sz w:val="24"/>
          <w:szCs w:val="24"/>
        </w:rPr>
      </w:pPr>
    </w:p>
    <w:p w:rsidR="00F35439" w:rsidRPr="00F35439" w:rsidRDefault="00123BD6" w:rsidP="00F1241D">
      <w:pPr>
        <w:autoSpaceDE w:val="0"/>
        <w:autoSpaceDN w:val="0"/>
        <w:adjustRightInd w:val="0"/>
        <w:ind w:left="360"/>
        <w:rPr>
          <w:rFonts w:ascii="Arial" w:hAnsi="Arial" w:cs="Arial"/>
          <w:sz w:val="24"/>
          <w:szCs w:val="24"/>
        </w:rPr>
      </w:pPr>
      <w:r>
        <w:rPr>
          <w:rFonts w:ascii="Arial" w:hAnsi="Arial" w:cs="Arial"/>
          <w:sz w:val="24"/>
          <w:szCs w:val="24"/>
        </w:rPr>
        <w:t xml:space="preserve">ECR </w:t>
      </w:r>
      <w:r w:rsidR="007747BF">
        <w:rPr>
          <w:rFonts w:ascii="Arial" w:hAnsi="Arial" w:cs="Arial"/>
          <w:sz w:val="24"/>
          <w:szCs w:val="24"/>
        </w:rPr>
        <w:t>Expenses</w:t>
      </w:r>
      <w:r>
        <w:rPr>
          <w:rFonts w:ascii="Arial" w:hAnsi="Arial" w:cs="Arial"/>
          <w:sz w:val="24"/>
          <w:szCs w:val="24"/>
        </w:rPr>
        <w:t xml:space="preserve"> include the program and</w:t>
      </w:r>
      <w:r w:rsidR="00266CA7" w:rsidRPr="00266CA7">
        <w:rPr>
          <w:rFonts w:ascii="Arial" w:hAnsi="Arial" w:cs="Arial"/>
          <w:sz w:val="24"/>
          <w:szCs w:val="24"/>
        </w:rPr>
        <w:t xml:space="preserve"> administrative costs </w:t>
      </w:r>
      <w:r w:rsidR="00F1241D">
        <w:rPr>
          <w:rFonts w:ascii="Arial" w:hAnsi="Arial" w:cs="Arial"/>
          <w:sz w:val="24"/>
          <w:szCs w:val="24"/>
        </w:rPr>
        <w:t>for the following</w:t>
      </w:r>
      <w:r w:rsidR="00642EA7">
        <w:rPr>
          <w:rFonts w:ascii="Arial" w:hAnsi="Arial" w:cs="Arial"/>
          <w:sz w:val="24"/>
          <w:szCs w:val="24"/>
        </w:rPr>
        <w:t xml:space="preserve">:  </w:t>
      </w:r>
      <w:r w:rsidR="00F1241D">
        <w:rPr>
          <w:rFonts w:ascii="Arial" w:hAnsi="Arial" w:cs="Arial"/>
          <w:sz w:val="24"/>
          <w:szCs w:val="24"/>
        </w:rPr>
        <w:tab/>
      </w:r>
      <w:r w:rsidR="006000FC">
        <w:rPr>
          <w:rFonts w:ascii="Arial" w:hAnsi="Arial" w:cs="Arial"/>
          <w:sz w:val="24"/>
          <w:szCs w:val="24"/>
        </w:rPr>
        <w:t xml:space="preserve">Residential </w:t>
      </w:r>
      <w:r w:rsidR="00F35439" w:rsidRPr="00F35439">
        <w:rPr>
          <w:rFonts w:ascii="Arial" w:hAnsi="Arial" w:cs="Arial"/>
          <w:sz w:val="24"/>
          <w:szCs w:val="24"/>
        </w:rPr>
        <w:t>Heating Equipment</w:t>
      </w:r>
      <w:r w:rsidR="006000FC">
        <w:rPr>
          <w:rFonts w:ascii="Arial" w:hAnsi="Arial" w:cs="Arial"/>
          <w:sz w:val="24"/>
          <w:szCs w:val="24"/>
        </w:rPr>
        <w:t xml:space="preserve"> Rebates Program</w:t>
      </w:r>
      <w:r w:rsidR="00F1241D">
        <w:rPr>
          <w:rFonts w:ascii="Arial" w:hAnsi="Arial" w:cs="Arial"/>
          <w:sz w:val="24"/>
          <w:szCs w:val="24"/>
        </w:rPr>
        <w:t xml:space="preserve">, </w:t>
      </w:r>
      <w:r w:rsidR="00F35439" w:rsidRPr="00F35439">
        <w:rPr>
          <w:rFonts w:ascii="Arial" w:hAnsi="Arial" w:cs="Arial"/>
          <w:sz w:val="24"/>
          <w:szCs w:val="24"/>
        </w:rPr>
        <w:t>Comprehensive Residential Heating Retrofit</w:t>
      </w:r>
      <w:r w:rsidR="006000FC">
        <w:rPr>
          <w:rFonts w:ascii="Arial" w:hAnsi="Arial" w:cs="Arial"/>
          <w:sz w:val="24"/>
          <w:szCs w:val="24"/>
        </w:rPr>
        <w:t xml:space="preserve"> Incentive Program</w:t>
      </w:r>
      <w:r w:rsidR="00F1241D">
        <w:rPr>
          <w:rFonts w:ascii="Arial" w:hAnsi="Arial" w:cs="Arial"/>
          <w:sz w:val="24"/>
          <w:szCs w:val="24"/>
        </w:rPr>
        <w:t xml:space="preserve">, </w:t>
      </w:r>
      <w:r w:rsidR="00F35439" w:rsidRPr="00F35439">
        <w:rPr>
          <w:rFonts w:ascii="Arial" w:hAnsi="Arial" w:cs="Arial"/>
          <w:sz w:val="24"/>
          <w:szCs w:val="24"/>
        </w:rPr>
        <w:t>Commercial and Industrial Retrofit</w:t>
      </w:r>
      <w:r w:rsidR="006000FC">
        <w:rPr>
          <w:rFonts w:ascii="Arial" w:hAnsi="Arial" w:cs="Arial"/>
          <w:sz w:val="24"/>
          <w:szCs w:val="24"/>
        </w:rPr>
        <w:t xml:space="preserve"> Incentive Program</w:t>
      </w:r>
      <w:r w:rsidR="00F1241D">
        <w:rPr>
          <w:rFonts w:ascii="Arial" w:hAnsi="Arial" w:cs="Arial"/>
          <w:sz w:val="24"/>
          <w:szCs w:val="24"/>
        </w:rPr>
        <w:t xml:space="preserve">, </w:t>
      </w:r>
      <w:r w:rsidR="00F35439" w:rsidRPr="00F35439">
        <w:rPr>
          <w:rFonts w:ascii="Arial" w:hAnsi="Arial" w:cs="Arial"/>
          <w:sz w:val="24"/>
          <w:szCs w:val="24"/>
        </w:rPr>
        <w:t>Commercial</w:t>
      </w:r>
      <w:r w:rsidR="006000FC">
        <w:rPr>
          <w:rFonts w:ascii="Arial" w:hAnsi="Arial" w:cs="Arial"/>
          <w:sz w:val="24"/>
          <w:szCs w:val="24"/>
        </w:rPr>
        <w:t xml:space="preserve"> and </w:t>
      </w:r>
      <w:r w:rsidR="00F35439" w:rsidRPr="00F35439">
        <w:rPr>
          <w:rFonts w:ascii="Arial" w:hAnsi="Arial" w:cs="Arial"/>
          <w:sz w:val="24"/>
          <w:szCs w:val="24"/>
        </w:rPr>
        <w:t xml:space="preserve">Industrial Equipment </w:t>
      </w:r>
      <w:r w:rsidR="006000FC">
        <w:rPr>
          <w:rFonts w:ascii="Arial" w:hAnsi="Arial" w:cs="Arial"/>
          <w:sz w:val="24"/>
          <w:szCs w:val="24"/>
        </w:rPr>
        <w:t>Rebate Program</w:t>
      </w:r>
      <w:r w:rsidR="00F1241D">
        <w:rPr>
          <w:rFonts w:ascii="Arial" w:hAnsi="Arial" w:cs="Arial"/>
          <w:sz w:val="24"/>
          <w:szCs w:val="24"/>
        </w:rPr>
        <w:t xml:space="preserve">, and the </w:t>
      </w:r>
      <w:r w:rsidR="00F35439" w:rsidRPr="00F35439">
        <w:rPr>
          <w:rFonts w:ascii="Arial" w:hAnsi="Arial" w:cs="Arial"/>
          <w:sz w:val="24"/>
          <w:szCs w:val="24"/>
        </w:rPr>
        <w:t xml:space="preserve">High-Efficiency Construction </w:t>
      </w:r>
      <w:r w:rsidR="006000FC">
        <w:rPr>
          <w:rFonts w:ascii="Arial" w:hAnsi="Arial" w:cs="Arial"/>
          <w:sz w:val="24"/>
          <w:szCs w:val="24"/>
        </w:rPr>
        <w:t>Incentive Program</w:t>
      </w:r>
      <w:r w:rsidR="00F1241D">
        <w:rPr>
          <w:rFonts w:ascii="Arial" w:hAnsi="Arial" w:cs="Arial"/>
          <w:sz w:val="24"/>
          <w:szCs w:val="24"/>
        </w:rPr>
        <w:t>.</w:t>
      </w:r>
    </w:p>
    <w:p w:rsidR="00F1241D" w:rsidRDefault="00F1241D" w:rsidP="00F1241D">
      <w:pPr>
        <w:tabs>
          <w:tab w:val="left" w:pos="360"/>
          <w:tab w:val="left" w:pos="9720"/>
        </w:tabs>
        <w:ind w:left="810"/>
        <w:rPr>
          <w:rFonts w:ascii="Arial" w:hAnsi="Arial" w:cs="Arial"/>
          <w:b/>
          <w:sz w:val="24"/>
          <w:szCs w:val="24"/>
          <w:u w:val="single"/>
        </w:rPr>
      </w:pPr>
    </w:p>
    <w:p w:rsidR="00F1241D" w:rsidRPr="00F1241D" w:rsidRDefault="00F1241D" w:rsidP="00F1241D">
      <w:pPr>
        <w:tabs>
          <w:tab w:val="left" w:pos="360"/>
          <w:tab w:val="left" w:pos="9720"/>
        </w:tabs>
        <w:rPr>
          <w:rFonts w:ascii="Arial" w:hAnsi="Arial" w:cs="Arial"/>
          <w:sz w:val="24"/>
          <w:szCs w:val="24"/>
          <w:u w:val="single"/>
        </w:rPr>
      </w:pPr>
      <w:r w:rsidRPr="00F1241D">
        <w:rPr>
          <w:rFonts w:ascii="Arial" w:hAnsi="Arial" w:cs="Arial"/>
          <w:b/>
          <w:sz w:val="24"/>
          <w:szCs w:val="24"/>
          <w:u w:val="single"/>
        </w:rPr>
        <w:t>4 – Over/(Under) Collections</w:t>
      </w:r>
    </w:p>
    <w:p w:rsidR="00F1241D" w:rsidRPr="00F1241D" w:rsidRDefault="00F1241D" w:rsidP="00F1241D">
      <w:pPr>
        <w:pStyle w:val="ListParagraph"/>
        <w:autoSpaceDE w:val="0"/>
        <w:autoSpaceDN w:val="0"/>
        <w:adjustRightInd w:val="0"/>
        <w:ind w:left="1170"/>
        <w:rPr>
          <w:rFonts w:ascii="Arial" w:hAnsi="Arial" w:cs="Arial"/>
          <w:sz w:val="24"/>
          <w:szCs w:val="24"/>
        </w:rPr>
      </w:pPr>
    </w:p>
    <w:p w:rsidR="00F1241D" w:rsidRDefault="00F1241D" w:rsidP="00F1241D">
      <w:pPr>
        <w:tabs>
          <w:tab w:val="left" w:pos="360"/>
        </w:tabs>
        <w:ind w:left="450"/>
        <w:rPr>
          <w:rFonts w:ascii="Arial" w:hAnsi="Arial" w:cs="Arial"/>
          <w:sz w:val="24"/>
          <w:szCs w:val="24"/>
        </w:rPr>
      </w:pPr>
      <w:r w:rsidRPr="00F1241D">
        <w:rPr>
          <w:rFonts w:ascii="Arial" w:hAnsi="Arial" w:cs="Arial"/>
          <w:sz w:val="24"/>
          <w:szCs w:val="24"/>
        </w:rPr>
        <w:t>The Over/(Under) Collections are the differences between the ECR Revenues and the ECR Expenses.  The resulting amounts represent the portion of ECR Revenues refundable to or ECR Expenses recoverable from customers through subsequent ECR filings.  Interest is not applicable to over or under collections.  Differences arise for two primary reasons:</w:t>
      </w:r>
    </w:p>
    <w:p w:rsidR="00113367" w:rsidRDefault="00113367" w:rsidP="00F1241D">
      <w:pPr>
        <w:tabs>
          <w:tab w:val="left" w:pos="360"/>
        </w:tabs>
        <w:ind w:left="450"/>
        <w:rPr>
          <w:rFonts w:ascii="Arial" w:hAnsi="Arial" w:cs="Arial"/>
          <w:sz w:val="24"/>
          <w:szCs w:val="24"/>
        </w:rPr>
      </w:pPr>
    </w:p>
    <w:p w:rsidR="00113367" w:rsidRDefault="00113367" w:rsidP="00113367">
      <w:pPr>
        <w:pStyle w:val="ListParagraph"/>
        <w:numPr>
          <w:ilvl w:val="0"/>
          <w:numId w:val="8"/>
        </w:numPr>
        <w:overflowPunct w:val="0"/>
        <w:autoSpaceDE w:val="0"/>
        <w:autoSpaceDN w:val="0"/>
        <w:adjustRightInd w:val="0"/>
        <w:ind w:left="1080"/>
        <w:contextualSpacing w:val="0"/>
        <w:textAlignment w:val="baseline"/>
        <w:rPr>
          <w:rFonts w:ascii="Arial" w:hAnsi="Arial" w:cs="Arial"/>
        </w:rPr>
      </w:pPr>
      <w:r w:rsidRPr="00F476E3">
        <w:rPr>
          <w:rFonts w:ascii="Arial" w:hAnsi="Arial" w:cs="Arial"/>
          <w:sz w:val="24"/>
          <w:szCs w:val="24"/>
        </w:rPr>
        <w:t xml:space="preserve">Variations between the actual </w:t>
      </w:r>
      <w:r w:rsidRPr="00113367">
        <w:rPr>
          <w:rFonts w:ascii="Arial" w:hAnsi="Arial" w:cs="Arial"/>
          <w:sz w:val="24"/>
          <w:szCs w:val="24"/>
        </w:rPr>
        <w:t>volumes billed to customers and the estimates used to determine the ECR rate.</w:t>
      </w:r>
    </w:p>
    <w:p w:rsidR="00113367" w:rsidRPr="001100C9" w:rsidRDefault="00113367" w:rsidP="00113367">
      <w:pPr>
        <w:tabs>
          <w:tab w:val="left" w:pos="360"/>
        </w:tabs>
        <w:ind w:left="1080" w:right="-270" w:hanging="360"/>
        <w:rPr>
          <w:rFonts w:ascii="Arial" w:hAnsi="Arial" w:cs="Arial"/>
          <w:sz w:val="24"/>
          <w:szCs w:val="24"/>
        </w:rPr>
      </w:pPr>
    </w:p>
    <w:p w:rsidR="00113367" w:rsidRPr="00F476E3" w:rsidRDefault="00113367" w:rsidP="00113367">
      <w:pPr>
        <w:pStyle w:val="ListParagraph"/>
        <w:numPr>
          <w:ilvl w:val="0"/>
          <w:numId w:val="5"/>
        </w:numPr>
        <w:tabs>
          <w:tab w:val="left" w:pos="360"/>
        </w:tabs>
        <w:ind w:left="1080" w:right="-270"/>
        <w:rPr>
          <w:rFonts w:ascii="Arial" w:hAnsi="Arial" w:cs="Arial"/>
          <w:sz w:val="24"/>
          <w:szCs w:val="24"/>
        </w:rPr>
      </w:pPr>
      <w:r w:rsidRPr="00F476E3">
        <w:rPr>
          <w:rFonts w:ascii="Arial" w:hAnsi="Arial" w:cs="Arial"/>
          <w:sz w:val="24"/>
          <w:szCs w:val="24"/>
        </w:rPr>
        <w:t xml:space="preserve">Variations between the actual </w:t>
      </w:r>
      <w:r>
        <w:rPr>
          <w:rFonts w:ascii="Arial" w:hAnsi="Arial" w:cs="Arial"/>
          <w:sz w:val="24"/>
          <w:szCs w:val="24"/>
        </w:rPr>
        <w:t>ECR Expenses</w:t>
      </w:r>
      <w:r w:rsidRPr="00F476E3">
        <w:rPr>
          <w:rFonts w:ascii="Arial" w:hAnsi="Arial" w:cs="Arial"/>
          <w:sz w:val="24"/>
          <w:szCs w:val="24"/>
        </w:rPr>
        <w:t xml:space="preserve"> incurred </w:t>
      </w:r>
      <w:r w:rsidR="002B6775">
        <w:rPr>
          <w:rFonts w:ascii="Arial" w:hAnsi="Arial" w:cs="Arial"/>
          <w:sz w:val="24"/>
          <w:szCs w:val="24"/>
        </w:rPr>
        <w:t>and</w:t>
      </w:r>
      <w:r w:rsidRPr="00F476E3">
        <w:rPr>
          <w:rFonts w:ascii="Arial" w:hAnsi="Arial" w:cs="Arial"/>
          <w:sz w:val="24"/>
          <w:szCs w:val="24"/>
        </w:rPr>
        <w:t xml:space="preserve"> the projected </w:t>
      </w:r>
      <w:r>
        <w:rPr>
          <w:rFonts w:ascii="Arial" w:hAnsi="Arial" w:cs="Arial"/>
          <w:sz w:val="24"/>
          <w:szCs w:val="24"/>
        </w:rPr>
        <w:t>expenses</w:t>
      </w:r>
      <w:r w:rsidRPr="00F476E3">
        <w:rPr>
          <w:rFonts w:ascii="Arial" w:hAnsi="Arial" w:cs="Arial"/>
          <w:sz w:val="24"/>
          <w:szCs w:val="24"/>
        </w:rPr>
        <w:t xml:space="preserve"> used to determine the </w:t>
      </w:r>
      <w:r>
        <w:rPr>
          <w:rFonts w:ascii="Arial" w:hAnsi="Arial" w:cs="Arial"/>
          <w:sz w:val="24"/>
          <w:szCs w:val="24"/>
        </w:rPr>
        <w:t>ECR</w:t>
      </w:r>
      <w:r w:rsidRPr="00F476E3">
        <w:rPr>
          <w:rFonts w:ascii="Arial" w:hAnsi="Arial" w:cs="Arial"/>
          <w:sz w:val="24"/>
          <w:szCs w:val="24"/>
        </w:rPr>
        <w:t xml:space="preserve"> rate. </w:t>
      </w:r>
    </w:p>
    <w:p w:rsidR="0062641A" w:rsidRDefault="0062641A" w:rsidP="00113367">
      <w:pPr>
        <w:tabs>
          <w:tab w:val="left" w:pos="360"/>
          <w:tab w:val="left" w:pos="9720"/>
        </w:tabs>
        <w:rPr>
          <w:rFonts w:ascii="Arial" w:hAnsi="Arial" w:cs="Arial"/>
          <w:sz w:val="24"/>
          <w:szCs w:val="24"/>
        </w:rPr>
        <w:sectPr w:rsidR="0062641A" w:rsidSect="00833A48">
          <w:headerReference w:type="even" r:id="rId21"/>
          <w:headerReference w:type="default" r:id="rId22"/>
          <w:footerReference w:type="default" r:id="rId23"/>
          <w:headerReference w:type="first" r:id="rId24"/>
          <w:footerReference w:type="first" r:id="rId25"/>
          <w:pgSz w:w="12240" w:h="15840" w:code="1"/>
          <w:pgMar w:top="1440" w:right="1440" w:bottom="1152" w:left="1440" w:header="0" w:footer="720" w:gutter="0"/>
          <w:pgNumType w:fmt="numberInDash" w:start="2"/>
          <w:cols w:space="720"/>
          <w:noEndnote/>
          <w:titlePg/>
          <w:docGrid w:linePitch="272"/>
        </w:sectPr>
      </w:pPr>
    </w:p>
    <w:p w:rsidR="002560FA" w:rsidRDefault="002560FA" w:rsidP="00E403AC">
      <w:pPr>
        <w:jc w:val="center"/>
        <w:outlineLvl w:val="0"/>
        <w:rPr>
          <w:rFonts w:ascii="Arial" w:hAnsi="Arial" w:cs="Arial"/>
          <w:b/>
          <w:sz w:val="36"/>
          <w:szCs w:val="36"/>
        </w:rPr>
      </w:pPr>
      <w:r>
        <w:rPr>
          <w:rFonts w:ascii="Arial" w:hAnsi="Arial" w:cs="Arial"/>
          <w:b/>
          <w:sz w:val="36"/>
          <w:szCs w:val="36"/>
        </w:rPr>
        <w:lastRenderedPageBreak/>
        <w:t>BACKGROUND</w:t>
      </w:r>
    </w:p>
    <w:p w:rsidR="00B43902" w:rsidRDefault="00B43902" w:rsidP="00E403AC">
      <w:pPr>
        <w:jc w:val="center"/>
        <w:outlineLvl w:val="0"/>
        <w:rPr>
          <w:rFonts w:ascii="Arial" w:hAnsi="Arial" w:cs="Arial"/>
          <w:b/>
          <w:sz w:val="36"/>
          <w:szCs w:val="36"/>
        </w:rPr>
      </w:pPr>
    </w:p>
    <w:p w:rsidR="002560FA" w:rsidRDefault="002560FA">
      <w:pPr>
        <w:jc w:val="center"/>
        <w:outlineLvl w:val="0"/>
        <w:rPr>
          <w:rFonts w:ascii="Arial" w:hAnsi="Arial" w:cs="Arial"/>
          <w:b/>
          <w:sz w:val="36"/>
          <w:szCs w:val="36"/>
        </w:rPr>
      </w:pPr>
      <w:r>
        <w:rPr>
          <w:rFonts w:ascii="Arial" w:hAnsi="Arial" w:cs="Arial"/>
          <w:b/>
          <w:sz w:val="36"/>
          <w:szCs w:val="36"/>
        </w:rPr>
        <w:t>AND</w:t>
      </w:r>
    </w:p>
    <w:p w:rsidR="00B43902" w:rsidRDefault="00B43902">
      <w:pPr>
        <w:jc w:val="center"/>
        <w:outlineLvl w:val="0"/>
        <w:rPr>
          <w:rFonts w:ascii="Arial" w:hAnsi="Arial" w:cs="Arial"/>
          <w:b/>
          <w:sz w:val="36"/>
          <w:szCs w:val="36"/>
        </w:rPr>
      </w:pP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62641A">
          <w:headerReference w:type="even" r:id="rId26"/>
          <w:headerReference w:type="default" r:id="rId27"/>
          <w:headerReference w:type="first" r:id="rId28"/>
          <w:footerReference w:type="first" r:id="rId29"/>
          <w:pgSz w:w="12240" w:h="15840" w:code="1"/>
          <w:pgMar w:top="1440" w:right="1440" w:bottom="1152" w:left="1440" w:header="0" w:footer="720" w:gutter="0"/>
          <w:pgNumType w:fmt="numberInDash" w:start="1"/>
          <w:cols w:space="720"/>
          <w:vAlign w:val="center"/>
          <w:noEndnote/>
          <w:titlePg/>
          <w:docGrid w:linePitch="272"/>
        </w:sectPr>
      </w:pPr>
    </w:p>
    <w:p w:rsidR="00EC58EA" w:rsidRPr="000741F7" w:rsidRDefault="00EC58EA">
      <w:pPr>
        <w:pStyle w:val="Heading4"/>
        <w:rPr>
          <w:rFonts w:ascii="Arial" w:hAnsi="Arial" w:cs="Arial"/>
          <w:b/>
          <w:sz w:val="26"/>
          <w:szCs w:val="26"/>
          <w:u w:val="none"/>
        </w:rPr>
      </w:pPr>
      <w:r w:rsidRPr="000741F7">
        <w:rPr>
          <w:rFonts w:ascii="Arial" w:hAnsi="Arial" w:cs="Arial"/>
          <w:b/>
          <w:sz w:val="26"/>
          <w:szCs w:val="26"/>
          <w:u w:val="none"/>
        </w:rPr>
        <w:lastRenderedPageBreak/>
        <w:t>PHILADELPHIA GAS WORKS</w:t>
      </w:r>
    </w:p>
    <w:p w:rsidR="00EC58EA" w:rsidRPr="000741F7" w:rsidRDefault="00EC58EA">
      <w:pPr>
        <w:rPr>
          <w:rFonts w:ascii="Arial" w:hAnsi="Arial" w:cs="Arial"/>
          <w:sz w:val="26"/>
          <w:szCs w:val="26"/>
        </w:rPr>
      </w:pPr>
    </w:p>
    <w:p w:rsidR="00EC58EA" w:rsidRPr="000741F7" w:rsidRDefault="00EC58EA">
      <w:pPr>
        <w:pStyle w:val="Heading4"/>
        <w:rPr>
          <w:rFonts w:ascii="Arial" w:hAnsi="Arial" w:cs="Arial"/>
          <w:b/>
          <w:sz w:val="26"/>
          <w:szCs w:val="26"/>
          <w:u w:val="none"/>
        </w:rPr>
      </w:pPr>
      <w:r w:rsidRPr="000741F7">
        <w:rPr>
          <w:rFonts w:ascii="Arial" w:hAnsi="Arial" w:cs="Arial"/>
          <w:b/>
          <w:sz w:val="26"/>
          <w:szCs w:val="26"/>
          <w:u w:val="none"/>
        </w:rPr>
        <w:t>Background</w:t>
      </w: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864"/>
        </w:tabs>
        <w:suppressAutoHyphens/>
        <w:rPr>
          <w:rFonts w:ascii="Arial" w:hAnsi="Arial" w:cs="Arial"/>
          <w:sz w:val="24"/>
          <w:szCs w:val="24"/>
        </w:rPr>
      </w:pPr>
    </w:p>
    <w:p w:rsidR="00631AA4" w:rsidRPr="00334404" w:rsidRDefault="00EC58EA" w:rsidP="00631AA4">
      <w:pPr>
        <w:tabs>
          <w:tab w:val="left" w:pos="-1440"/>
          <w:tab w:val="left" w:pos="-720"/>
          <w:tab w:val="left" w:pos="720"/>
        </w:tabs>
        <w:suppressAutoHyphens/>
        <w:rPr>
          <w:rFonts w:ascii="Arial" w:hAnsi="Arial" w:cs="Arial"/>
          <w:sz w:val="24"/>
          <w:szCs w:val="24"/>
        </w:rPr>
      </w:pPr>
      <w:r w:rsidRPr="008D0BD6">
        <w:rPr>
          <w:rFonts w:ascii="Arial" w:hAnsi="Arial" w:cs="Arial"/>
          <w:sz w:val="24"/>
          <w:szCs w:val="24"/>
        </w:rPr>
        <w:tab/>
      </w:r>
      <w:r w:rsidR="00631AA4" w:rsidRPr="00334404">
        <w:rPr>
          <w:rFonts w:ascii="Arial" w:hAnsi="Arial" w:cs="Arial"/>
          <w:sz w:val="24"/>
          <w:szCs w:val="24"/>
        </w:rPr>
        <w:t xml:space="preserve">This background section was developed substantially from </w:t>
      </w:r>
      <w:r w:rsidR="00631AA4">
        <w:rPr>
          <w:rFonts w:ascii="Arial" w:hAnsi="Arial" w:cs="Arial"/>
          <w:sz w:val="24"/>
          <w:szCs w:val="24"/>
        </w:rPr>
        <w:t xml:space="preserve">unaudited </w:t>
      </w:r>
      <w:r w:rsidR="00631AA4" w:rsidRPr="00334404">
        <w:rPr>
          <w:rFonts w:ascii="Arial" w:hAnsi="Arial" w:cs="Arial"/>
          <w:sz w:val="24"/>
          <w:szCs w:val="24"/>
        </w:rPr>
        <w:t>data and documentation made available by PGW and is presented solely for informational purposes.</w:t>
      </w:r>
    </w:p>
    <w:p w:rsidR="00631AA4" w:rsidRPr="00334404" w:rsidRDefault="00631AA4" w:rsidP="00631AA4">
      <w:pPr>
        <w:tabs>
          <w:tab w:val="left" w:pos="-1440"/>
          <w:tab w:val="left" w:pos="-720"/>
          <w:tab w:val="left" w:pos="864"/>
        </w:tabs>
        <w:suppressAutoHyphens/>
        <w:rPr>
          <w:rFonts w:ascii="Arial" w:hAnsi="Arial" w:cs="Arial"/>
          <w:sz w:val="24"/>
          <w:szCs w:val="24"/>
        </w:rPr>
      </w:pPr>
    </w:p>
    <w:p w:rsidR="000D6321" w:rsidRDefault="00631AA4" w:rsidP="000D6321">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r>
      <w:r w:rsidR="000D6321" w:rsidRPr="00334404">
        <w:rPr>
          <w:rFonts w:ascii="Arial" w:hAnsi="Arial" w:cs="Arial"/>
          <w:sz w:val="24"/>
          <w:szCs w:val="24"/>
        </w:rPr>
        <w:t>PGW is owned by the City of Philadelphia (City) and is the largest municipally</w:t>
      </w:r>
      <w:r w:rsidR="000D6321">
        <w:rPr>
          <w:rFonts w:ascii="Arial" w:hAnsi="Arial" w:cs="Arial"/>
          <w:sz w:val="24"/>
          <w:szCs w:val="24"/>
        </w:rPr>
        <w:noBreakHyphen/>
      </w:r>
      <w:r w:rsidR="000D6321" w:rsidRPr="00334404">
        <w:rPr>
          <w:rFonts w:ascii="Arial" w:hAnsi="Arial" w:cs="Arial"/>
          <w:sz w:val="24"/>
          <w:szCs w:val="24"/>
        </w:rPr>
        <w:t xml:space="preserve">owned gas utility in the nation. </w:t>
      </w:r>
      <w:r w:rsidR="000D6321">
        <w:rPr>
          <w:rFonts w:ascii="Arial" w:hAnsi="Arial" w:cs="Arial"/>
          <w:sz w:val="24"/>
          <w:szCs w:val="24"/>
        </w:rPr>
        <w:t xml:space="preserve"> The City has provided for the management and oversight of PGW’s operations through a non-profit corporation, the Philadelphia Facilities Management Corporation (PFMC).  According to PGW’s annual reports filed with the PUC, </w:t>
      </w:r>
      <w:r w:rsidR="00496DB9">
        <w:rPr>
          <w:rFonts w:ascii="Arial" w:hAnsi="Arial" w:cs="Arial"/>
          <w:sz w:val="24"/>
          <w:szCs w:val="24"/>
        </w:rPr>
        <w:t>for the years</w:t>
      </w:r>
      <w:r w:rsidR="000D6321">
        <w:rPr>
          <w:rFonts w:ascii="Arial" w:hAnsi="Arial" w:cs="Arial"/>
          <w:sz w:val="24"/>
          <w:szCs w:val="24"/>
        </w:rPr>
        <w:t xml:space="preserve"> 2012 and 2011 PGW’s total sales revenues from residential, commercial, industrial, and public authorities were $</w:t>
      </w:r>
      <w:r w:rsidR="000D6321" w:rsidRPr="00716D2E">
        <w:rPr>
          <w:rFonts w:ascii="Arial" w:hAnsi="Arial" w:cs="Arial"/>
          <w:sz w:val="24"/>
          <w:szCs w:val="24"/>
        </w:rPr>
        <w:t>6</w:t>
      </w:r>
      <w:r w:rsidR="000D6321">
        <w:rPr>
          <w:rFonts w:ascii="Arial" w:hAnsi="Arial" w:cs="Arial"/>
          <w:sz w:val="24"/>
          <w:szCs w:val="24"/>
        </w:rPr>
        <w:t>05,762,387</w:t>
      </w:r>
      <w:r w:rsidR="000D6321" w:rsidRPr="00716D2E">
        <w:rPr>
          <w:rFonts w:ascii="Arial" w:hAnsi="Arial" w:cs="Arial"/>
          <w:sz w:val="24"/>
          <w:szCs w:val="24"/>
        </w:rPr>
        <w:t xml:space="preserve"> and $</w:t>
      </w:r>
      <w:r w:rsidR="000D6321">
        <w:rPr>
          <w:rFonts w:ascii="Arial" w:hAnsi="Arial" w:cs="Arial"/>
          <w:sz w:val="24"/>
          <w:szCs w:val="24"/>
        </w:rPr>
        <w:t>673,794,502 respectively.</w:t>
      </w:r>
      <w:r w:rsidR="000D6321" w:rsidRPr="00334404">
        <w:rPr>
          <w:rFonts w:ascii="Arial" w:hAnsi="Arial" w:cs="Arial"/>
          <w:sz w:val="24"/>
          <w:szCs w:val="24"/>
        </w:rPr>
        <w:t xml:space="preserve"> </w:t>
      </w:r>
    </w:p>
    <w:p w:rsidR="000D6321" w:rsidRDefault="000D6321" w:rsidP="000D6321">
      <w:pPr>
        <w:tabs>
          <w:tab w:val="left" w:pos="-1440"/>
          <w:tab w:val="left" w:pos="-720"/>
          <w:tab w:val="left" w:pos="720"/>
        </w:tabs>
        <w:suppressAutoHyphens/>
        <w:rPr>
          <w:rFonts w:ascii="Arial" w:hAnsi="Arial" w:cs="Arial"/>
          <w:sz w:val="24"/>
          <w:szCs w:val="24"/>
        </w:rPr>
      </w:pPr>
    </w:p>
    <w:p w:rsidR="000D6321" w:rsidRPr="00334404" w:rsidRDefault="000D6321" w:rsidP="000D6321">
      <w:pPr>
        <w:autoSpaceDE w:val="0"/>
        <w:autoSpaceDN w:val="0"/>
        <w:adjustRightInd w:val="0"/>
        <w:ind w:firstLine="720"/>
        <w:rPr>
          <w:rFonts w:ascii="Arial" w:hAnsi="Arial" w:cs="Arial"/>
          <w:sz w:val="24"/>
          <w:szCs w:val="24"/>
        </w:rPr>
      </w:pPr>
      <w:r w:rsidRPr="00334404">
        <w:rPr>
          <w:rFonts w:ascii="Arial" w:hAnsi="Arial" w:cs="Arial"/>
          <w:sz w:val="24"/>
          <w:szCs w:val="24"/>
        </w:rPr>
        <w:t xml:space="preserve">PGW maintains a distribution system of </w:t>
      </w:r>
      <w:r>
        <w:rPr>
          <w:rFonts w:ascii="Arial" w:hAnsi="Arial" w:cs="Arial"/>
          <w:sz w:val="24"/>
          <w:szCs w:val="24"/>
        </w:rPr>
        <w:t>approximately 3,000 miles of gas mains</w:t>
      </w:r>
      <w:r w:rsidRPr="00334404">
        <w:rPr>
          <w:rFonts w:ascii="Arial" w:hAnsi="Arial" w:cs="Arial"/>
          <w:sz w:val="24"/>
          <w:szCs w:val="24"/>
        </w:rPr>
        <w:t xml:space="preserve">, and provides gas service to approximately half a million residential, commercial and industrial customers in the City.  </w:t>
      </w:r>
      <w:r w:rsidRPr="00507D9D">
        <w:rPr>
          <w:rFonts w:ascii="Arial" w:hAnsi="Arial" w:cs="Arial"/>
          <w:sz w:val="24"/>
          <w:szCs w:val="24"/>
        </w:rPr>
        <w:t xml:space="preserve">PGW </w:t>
      </w:r>
      <w:r>
        <w:rPr>
          <w:rFonts w:ascii="Arial" w:hAnsi="Arial" w:cs="Arial"/>
          <w:sz w:val="24"/>
          <w:szCs w:val="24"/>
        </w:rPr>
        <w:t xml:space="preserve">also </w:t>
      </w:r>
      <w:r w:rsidRPr="00507D9D">
        <w:rPr>
          <w:rFonts w:ascii="Arial" w:hAnsi="Arial" w:cs="Arial"/>
          <w:sz w:val="24"/>
          <w:szCs w:val="24"/>
        </w:rPr>
        <w:t>owns and operates facilities for the liquefaction, storage, and</w:t>
      </w:r>
      <w:r>
        <w:rPr>
          <w:rFonts w:ascii="Arial" w:hAnsi="Arial" w:cs="Arial"/>
          <w:sz w:val="24"/>
          <w:szCs w:val="24"/>
        </w:rPr>
        <w:t xml:space="preserve"> v</w:t>
      </w:r>
      <w:r w:rsidRPr="00507D9D">
        <w:rPr>
          <w:rFonts w:ascii="Arial" w:hAnsi="Arial" w:cs="Arial"/>
          <w:sz w:val="24"/>
          <w:szCs w:val="24"/>
        </w:rPr>
        <w:t>aporization of natural gas to supplement the gas supply it takes directly from interstate pipeline and</w:t>
      </w:r>
      <w:r>
        <w:rPr>
          <w:rFonts w:ascii="Arial" w:hAnsi="Arial" w:cs="Arial"/>
          <w:sz w:val="24"/>
          <w:szCs w:val="24"/>
        </w:rPr>
        <w:t xml:space="preserve"> </w:t>
      </w:r>
      <w:r w:rsidRPr="00507D9D">
        <w:rPr>
          <w:rFonts w:ascii="Arial" w:hAnsi="Arial" w:cs="Arial"/>
          <w:sz w:val="24"/>
          <w:szCs w:val="24"/>
        </w:rPr>
        <w:t>storage companies. PGW has a diverse customer base that includes firm service, interruptible service, and</w:t>
      </w:r>
      <w:r>
        <w:rPr>
          <w:rFonts w:ascii="Arial" w:hAnsi="Arial" w:cs="Arial"/>
          <w:sz w:val="24"/>
          <w:szCs w:val="24"/>
        </w:rPr>
        <w:t xml:space="preserve"> </w:t>
      </w:r>
      <w:r w:rsidRPr="00507D9D">
        <w:rPr>
          <w:rFonts w:ascii="Arial" w:hAnsi="Arial" w:cs="Arial"/>
          <w:sz w:val="24"/>
          <w:szCs w:val="24"/>
        </w:rPr>
        <w:t xml:space="preserve">transportation service customers. </w:t>
      </w:r>
      <w:r>
        <w:rPr>
          <w:rFonts w:ascii="Arial" w:hAnsi="Arial" w:cs="Arial"/>
          <w:sz w:val="24"/>
          <w:szCs w:val="24"/>
        </w:rPr>
        <w:t xml:space="preserve"> </w:t>
      </w:r>
      <w:r w:rsidRPr="00507D9D">
        <w:rPr>
          <w:rFonts w:ascii="Arial" w:hAnsi="Arial" w:cs="Arial"/>
          <w:sz w:val="24"/>
          <w:szCs w:val="24"/>
        </w:rPr>
        <w:t>PGW’s revenue base is comprised primarily of firm service residential</w:t>
      </w:r>
      <w:r>
        <w:rPr>
          <w:rFonts w:ascii="Arial" w:hAnsi="Arial" w:cs="Arial"/>
          <w:sz w:val="24"/>
          <w:szCs w:val="24"/>
        </w:rPr>
        <w:t xml:space="preserve"> </w:t>
      </w:r>
      <w:r w:rsidRPr="00507D9D">
        <w:rPr>
          <w:rFonts w:ascii="Arial" w:hAnsi="Arial" w:cs="Arial"/>
          <w:sz w:val="24"/>
          <w:szCs w:val="24"/>
        </w:rPr>
        <w:t>customers</w:t>
      </w:r>
      <w:r>
        <w:rPr>
          <w:rFonts w:ascii="Arial" w:hAnsi="Arial" w:cs="Arial"/>
          <w:sz w:val="24"/>
          <w:szCs w:val="24"/>
        </w:rPr>
        <w:t>.</w:t>
      </w:r>
    </w:p>
    <w:p w:rsidR="00631AA4" w:rsidRPr="00334404" w:rsidRDefault="00631AA4" w:rsidP="00631AA4">
      <w:pPr>
        <w:tabs>
          <w:tab w:val="left" w:pos="-1440"/>
          <w:tab w:val="left" w:pos="-720"/>
          <w:tab w:val="left" w:pos="864"/>
        </w:tabs>
        <w:suppressAutoHyphens/>
        <w:rPr>
          <w:rFonts w:ascii="Arial" w:hAnsi="Arial" w:cs="Arial"/>
          <w:sz w:val="24"/>
          <w:szCs w:val="24"/>
        </w:rPr>
      </w:pPr>
    </w:p>
    <w:p w:rsidR="00221DCC" w:rsidRDefault="00631AA4" w:rsidP="00221DCC">
      <w:pPr>
        <w:tabs>
          <w:tab w:val="left" w:pos="-1440"/>
          <w:tab w:val="left" w:pos="-720"/>
          <w:tab w:val="left" w:pos="720"/>
          <w:tab w:val="left" w:pos="864"/>
        </w:tabs>
        <w:suppressAutoHyphens/>
        <w:rPr>
          <w:rFonts w:ascii="Arial" w:hAnsi="Arial" w:cs="Arial"/>
          <w:sz w:val="24"/>
          <w:szCs w:val="24"/>
        </w:rPr>
      </w:pPr>
      <w:r w:rsidRPr="00334404">
        <w:rPr>
          <w:rFonts w:ascii="Arial" w:hAnsi="Arial" w:cs="Arial"/>
          <w:sz w:val="24"/>
          <w:szCs w:val="24"/>
        </w:rPr>
        <w:tab/>
      </w:r>
      <w:r w:rsidR="00221DCC" w:rsidRPr="00334404">
        <w:rPr>
          <w:rFonts w:ascii="Arial" w:hAnsi="Arial" w:cs="Arial"/>
          <w:sz w:val="24"/>
          <w:szCs w:val="24"/>
        </w:rPr>
        <w:tab/>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PUC.</w:t>
      </w:r>
      <w:r w:rsidR="00221DCC">
        <w:rPr>
          <w:rFonts w:ascii="Arial" w:hAnsi="Arial" w:cs="Arial"/>
          <w:sz w:val="24"/>
          <w:szCs w:val="24"/>
        </w:rPr>
        <w:t xml:space="preserve">  </w:t>
      </w:r>
      <w:r w:rsidR="00221DCC" w:rsidRPr="00334404">
        <w:rPr>
          <w:rFonts w:ascii="Arial" w:hAnsi="Arial" w:cs="Arial"/>
          <w:sz w:val="24"/>
          <w:szCs w:val="24"/>
        </w:rPr>
        <w:t xml:space="preserve">Under the Act, notwithstanding any other provision of the Public Utility Code to the contrary, the </w:t>
      </w:r>
      <w:r w:rsidR="008C446D">
        <w:rPr>
          <w:rFonts w:ascii="Arial" w:hAnsi="Arial" w:cs="Arial"/>
          <w:sz w:val="24"/>
          <w:szCs w:val="24"/>
        </w:rPr>
        <w:t>PUC</w:t>
      </w:r>
      <w:r w:rsidR="00221DCC" w:rsidRPr="00334404">
        <w:rPr>
          <w:rFonts w:ascii="Arial" w:hAnsi="Arial" w:cs="Arial"/>
          <w:sz w:val="24"/>
          <w:szCs w:val="24"/>
        </w:rPr>
        <w:t xml:space="preserve"> is required to follow the same ratemaking methodology and requirements previously applicable to PGW in determining the Company’s operational revenue requirement and in approving overall rates and charges.</w:t>
      </w:r>
      <w:r w:rsidR="00221DCC">
        <w:rPr>
          <w:rFonts w:ascii="Arial" w:hAnsi="Arial" w:cs="Arial"/>
          <w:sz w:val="24"/>
          <w:szCs w:val="24"/>
        </w:rPr>
        <w:t xml:space="preserve">  </w:t>
      </w:r>
    </w:p>
    <w:p w:rsidR="00016658" w:rsidRDefault="00016658" w:rsidP="00631AA4">
      <w:pPr>
        <w:tabs>
          <w:tab w:val="left" w:pos="-1440"/>
          <w:tab w:val="left" w:pos="-720"/>
          <w:tab w:val="left" w:pos="720"/>
        </w:tabs>
        <w:suppressAutoHyphens/>
        <w:rPr>
          <w:rFonts w:ascii="Arial" w:hAnsi="Arial" w:cs="Arial"/>
          <w:sz w:val="24"/>
          <w:szCs w:val="24"/>
        </w:rPr>
      </w:pPr>
    </w:p>
    <w:p w:rsidR="00FF54D9" w:rsidRDefault="00A902C4" w:rsidP="00E81F92">
      <w:pPr>
        <w:autoSpaceDE w:val="0"/>
        <w:autoSpaceDN w:val="0"/>
        <w:adjustRightInd w:val="0"/>
        <w:ind w:firstLine="720"/>
        <w:rPr>
          <w:rFonts w:ascii="Arial" w:hAnsi="Arial" w:cs="Arial"/>
          <w:sz w:val="24"/>
          <w:szCs w:val="24"/>
        </w:rPr>
      </w:pPr>
      <w:r w:rsidRPr="00353011">
        <w:rPr>
          <w:rFonts w:ascii="Arial" w:hAnsi="Arial" w:cs="Arial"/>
          <w:sz w:val="24"/>
          <w:szCs w:val="24"/>
        </w:rPr>
        <w:tab/>
      </w:r>
      <w:r w:rsidR="00353011">
        <w:rPr>
          <w:rFonts w:ascii="Arial" w:hAnsi="Arial" w:cs="Arial"/>
          <w:sz w:val="24"/>
          <w:szCs w:val="24"/>
        </w:rPr>
        <w:tab/>
      </w:r>
      <w:r w:rsidR="00353011">
        <w:rPr>
          <w:rFonts w:ascii="Arial" w:hAnsi="Arial" w:cs="Arial"/>
          <w:sz w:val="24"/>
          <w:szCs w:val="24"/>
        </w:rPr>
        <w:tab/>
      </w:r>
      <w:r w:rsidRPr="00353011">
        <w:rPr>
          <w:rFonts w:ascii="Arial" w:hAnsi="Arial" w:cs="Arial"/>
          <w:sz w:val="24"/>
          <w:szCs w:val="24"/>
        </w:rPr>
        <w:t xml:space="preserve">By Order entered </w:t>
      </w:r>
      <w:r w:rsidR="008E24B1">
        <w:rPr>
          <w:rFonts w:ascii="Arial" w:hAnsi="Arial" w:cs="Arial"/>
          <w:sz w:val="24"/>
          <w:szCs w:val="24"/>
        </w:rPr>
        <w:t>J</w:t>
      </w:r>
      <w:r w:rsidRPr="00353011">
        <w:rPr>
          <w:rFonts w:ascii="Arial" w:hAnsi="Arial" w:cs="Arial"/>
          <w:sz w:val="24"/>
          <w:szCs w:val="24"/>
        </w:rPr>
        <w:t xml:space="preserve">uly 29, 2010, </w:t>
      </w:r>
      <w:r w:rsidR="008E24B1" w:rsidRPr="00353011">
        <w:rPr>
          <w:rFonts w:ascii="Arial" w:hAnsi="Arial" w:cs="Arial"/>
          <w:sz w:val="24"/>
          <w:szCs w:val="24"/>
        </w:rPr>
        <w:t xml:space="preserve">the PUC approved </w:t>
      </w:r>
      <w:r w:rsidR="008E24B1">
        <w:rPr>
          <w:rFonts w:ascii="Arial" w:hAnsi="Arial" w:cs="Arial"/>
          <w:sz w:val="24"/>
          <w:szCs w:val="24"/>
        </w:rPr>
        <w:t xml:space="preserve">a </w:t>
      </w:r>
      <w:r w:rsidR="008E24B1" w:rsidRPr="00353011">
        <w:rPr>
          <w:rFonts w:ascii="Arial" w:hAnsi="Arial" w:cs="Arial"/>
          <w:sz w:val="24"/>
          <w:szCs w:val="24"/>
        </w:rPr>
        <w:t>Joint Petition for Settlement</w:t>
      </w:r>
      <w:r w:rsidR="003F2247">
        <w:rPr>
          <w:rFonts w:ascii="Arial" w:hAnsi="Arial" w:cs="Arial"/>
          <w:sz w:val="24"/>
          <w:szCs w:val="24"/>
        </w:rPr>
        <w:t xml:space="preserve"> (Settlement)</w:t>
      </w:r>
      <w:r w:rsidR="008E24B1">
        <w:rPr>
          <w:rFonts w:ascii="Arial" w:hAnsi="Arial" w:cs="Arial"/>
          <w:sz w:val="24"/>
          <w:szCs w:val="24"/>
        </w:rPr>
        <w:t>,</w:t>
      </w:r>
      <w:r w:rsidR="008E24B1" w:rsidRPr="00353011">
        <w:rPr>
          <w:rFonts w:ascii="Arial" w:hAnsi="Arial" w:cs="Arial"/>
          <w:sz w:val="24"/>
          <w:szCs w:val="24"/>
        </w:rPr>
        <w:t xml:space="preserve"> </w:t>
      </w:r>
      <w:r w:rsidRPr="00353011">
        <w:rPr>
          <w:rFonts w:ascii="Arial" w:hAnsi="Arial" w:cs="Arial"/>
          <w:sz w:val="24"/>
          <w:szCs w:val="24"/>
        </w:rPr>
        <w:t xml:space="preserve">at Docket No. R-2009-2139884, </w:t>
      </w:r>
      <w:r w:rsidR="008E24B1">
        <w:rPr>
          <w:rFonts w:ascii="Arial" w:hAnsi="Arial" w:cs="Arial"/>
          <w:sz w:val="24"/>
          <w:szCs w:val="24"/>
        </w:rPr>
        <w:t xml:space="preserve">establishing new base rates effective September 1, 2010.  </w:t>
      </w:r>
      <w:r w:rsidR="003F2247">
        <w:rPr>
          <w:rFonts w:ascii="Arial" w:hAnsi="Arial" w:cs="Arial"/>
          <w:sz w:val="24"/>
          <w:szCs w:val="24"/>
        </w:rPr>
        <w:t xml:space="preserve">In addition, the Settlement allowed for PGW to </w:t>
      </w:r>
      <w:r w:rsidR="003F2247" w:rsidRPr="003F2247">
        <w:rPr>
          <w:rFonts w:ascii="Arial" w:hAnsi="Arial" w:cs="Arial"/>
          <w:sz w:val="24"/>
          <w:szCs w:val="24"/>
        </w:rPr>
        <w:t>establish a</w:t>
      </w:r>
      <w:r w:rsidR="00066A17">
        <w:rPr>
          <w:rFonts w:ascii="Arial" w:hAnsi="Arial" w:cs="Arial"/>
          <w:sz w:val="24"/>
          <w:szCs w:val="24"/>
        </w:rPr>
        <w:t>n</w:t>
      </w:r>
      <w:r w:rsidR="003F2247" w:rsidRPr="003F2247">
        <w:rPr>
          <w:rFonts w:ascii="Arial" w:hAnsi="Arial" w:cs="Arial"/>
          <w:sz w:val="24"/>
          <w:szCs w:val="24"/>
        </w:rPr>
        <w:t xml:space="preserve"> automatic</w:t>
      </w:r>
      <w:r w:rsidR="003F2247">
        <w:rPr>
          <w:rFonts w:ascii="Arial" w:hAnsi="Arial" w:cs="Arial"/>
          <w:sz w:val="24"/>
          <w:szCs w:val="24"/>
        </w:rPr>
        <w:t xml:space="preserve"> </w:t>
      </w:r>
      <w:r w:rsidR="003F2247" w:rsidRPr="003F2247">
        <w:rPr>
          <w:rFonts w:ascii="Arial" w:hAnsi="Arial" w:cs="Arial"/>
          <w:sz w:val="24"/>
          <w:szCs w:val="24"/>
        </w:rPr>
        <w:t>adjustment clause for the recovery of</w:t>
      </w:r>
      <w:r w:rsidR="003F2247">
        <w:rPr>
          <w:rFonts w:ascii="Arial" w:hAnsi="Arial" w:cs="Arial"/>
          <w:sz w:val="24"/>
          <w:szCs w:val="24"/>
        </w:rPr>
        <w:t xml:space="preserve"> </w:t>
      </w:r>
      <w:r w:rsidR="00353011" w:rsidRPr="00353011">
        <w:rPr>
          <w:rFonts w:ascii="Arial" w:hAnsi="Arial" w:cs="Arial"/>
          <w:sz w:val="24"/>
          <w:szCs w:val="24"/>
        </w:rPr>
        <w:t>its Energy Conservation and Demand Side Management (DSM) Plan.</w:t>
      </w:r>
      <w:r w:rsidR="003F2247">
        <w:rPr>
          <w:rFonts w:ascii="Arial" w:hAnsi="Arial" w:cs="Arial"/>
          <w:sz w:val="24"/>
          <w:szCs w:val="24"/>
        </w:rPr>
        <w:t xml:space="preserve">  </w:t>
      </w:r>
    </w:p>
    <w:p w:rsidR="001B205A" w:rsidRDefault="001B205A" w:rsidP="00E81F92">
      <w:pPr>
        <w:autoSpaceDE w:val="0"/>
        <w:autoSpaceDN w:val="0"/>
        <w:adjustRightInd w:val="0"/>
        <w:ind w:firstLine="720"/>
        <w:rPr>
          <w:rFonts w:ascii="Arial" w:hAnsi="Arial" w:cs="Arial"/>
          <w:sz w:val="24"/>
          <w:szCs w:val="24"/>
        </w:rPr>
      </w:pPr>
    </w:p>
    <w:p w:rsidR="00E44395" w:rsidRPr="00B03583" w:rsidRDefault="0037003C" w:rsidP="00B03583">
      <w:pPr>
        <w:tabs>
          <w:tab w:val="left" w:pos="-1440"/>
          <w:tab w:val="left" w:pos="-720"/>
          <w:tab w:val="left" w:pos="720"/>
          <w:tab w:val="left" w:pos="864"/>
        </w:tabs>
        <w:suppressAutoHyphens/>
        <w:rPr>
          <w:rFonts w:ascii="Arial" w:hAnsi="Arial" w:cs="Arial"/>
          <w:sz w:val="24"/>
          <w:szCs w:val="24"/>
        </w:rPr>
      </w:pPr>
      <w:r w:rsidRPr="008D0BD6">
        <w:rPr>
          <w:rFonts w:ascii="Arial" w:hAnsi="Arial" w:cs="Arial"/>
          <w:sz w:val="24"/>
          <w:szCs w:val="24"/>
        </w:rPr>
        <w:t xml:space="preserve"> </w:t>
      </w:r>
    </w:p>
    <w:p w:rsidR="00E44395" w:rsidRPr="00B03583" w:rsidRDefault="00E44395" w:rsidP="00E14488">
      <w:pPr>
        <w:rPr>
          <w:rFonts w:ascii="Arial" w:hAnsi="Arial" w:cs="Arial"/>
          <w:sz w:val="24"/>
          <w:szCs w:val="24"/>
        </w:rPr>
      </w:pPr>
    </w:p>
    <w:p w:rsidR="00E44395" w:rsidRPr="00E44395" w:rsidRDefault="00E44395" w:rsidP="00E14488">
      <w:pPr>
        <w:rPr>
          <w:rFonts w:ascii="Arial" w:hAnsi="Arial" w:cs="Arial"/>
          <w:sz w:val="24"/>
          <w:szCs w:val="24"/>
        </w:rPr>
      </w:pPr>
    </w:p>
    <w:p w:rsidR="00E44395" w:rsidRDefault="00E44395" w:rsidP="00E44395">
      <w:pPr>
        <w:rPr>
          <w:rFonts w:ascii="Arial" w:hAnsi="Arial" w:cs="Arial"/>
          <w:sz w:val="24"/>
          <w:szCs w:val="24"/>
        </w:rPr>
      </w:pPr>
    </w:p>
    <w:p w:rsidR="00115624" w:rsidRDefault="00E44395" w:rsidP="00E14488">
      <w:pPr>
        <w:tabs>
          <w:tab w:val="left" w:pos="2655"/>
        </w:tabs>
        <w:rPr>
          <w:rFonts w:ascii="Arial" w:hAnsi="Arial" w:cs="Arial"/>
          <w:sz w:val="24"/>
          <w:szCs w:val="24"/>
        </w:rPr>
      </w:pPr>
      <w:r>
        <w:rPr>
          <w:rFonts w:ascii="Arial" w:hAnsi="Arial" w:cs="Arial"/>
          <w:sz w:val="24"/>
          <w:szCs w:val="24"/>
        </w:rPr>
        <w:tab/>
      </w:r>
    </w:p>
    <w:p w:rsidR="00625DD2" w:rsidRPr="0008323F" w:rsidRDefault="00625DD2" w:rsidP="00625DD2">
      <w:pPr>
        <w:spacing w:line="360" w:lineRule="atLeast"/>
        <w:jc w:val="center"/>
        <w:outlineLvl w:val="0"/>
        <w:rPr>
          <w:rFonts w:ascii="Arial" w:hAnsi="Arial" w:cs="Arial"/>
          <w:b/>
          <w:sz w:val="26"/>
          <w:szCs w:val="26"/>
        </w:rPr>
      </w:pPr>
      <w:r w:rsidRPr="0008323F">
        <w:rPr>
          <w:rFonts w:ascii="Arial" w:hAnsi="Arial" w:cs="Arial"/>
          <w:b/>
          <w:sz w:val="26"/>
          <w:szCs w:val="26"/>
        </w:rPr>
        <w:lastRenderedPageBreak/>
        <w:t>PHILADELPHIA GAS WORKS</w:t>
      </w:r>
    </w:p>
    <w:p w:rsidR="00625DD2" w:rsidRDefault="00625DD2" w:rsidP="00F1422F">
      <w:pPr>
        <w:tabs>
          <w:tab w:val="left" w:pos="720"/>
        </w:tabs>
        <w:jc w:val="center"/>
        <w:rPr>
          <w:rFonts w:ascii="Arial" w:hAnsi="Arial" w:cs="Arial"/>
          <w:b/>
          <w:sz w:val="26"/>
          <w:szCs w:val="26"/>
        </w:rPr>
      </w:pPr>
    </w:p>
    <w:p w:rsidR="00F1422F" w:rsidRPr="0034240B" w:rsidRDefault="00F1422F" w:rsidP="00F1422F">
      <w:pPr>
        <w:tabs>
          <w:tab w:val="left" w:pos="720"/>
        </w:tabs>
        <w:jc w:val="center"/>
        <w:rPr>
          <w:rFonts w:ascii="Arial" w:hAnsi="Arial" w:cs="Arial"/>
          <w:sz w:val="26"/>
          <w:szCs w:val="26"/>
        </w:rPr>
      </w:pPr>
      <w:r w:rsidRPr="0034240B">
        <w:rPr>
          <w:rFonts w:ascii="Arial" w:hAnsi="Arial" w:cs="Arial"/>
          <w:b/>
          <w:sz w:val="26"/>
          <w:szCs w:val="26"/>
        </w:rPr>
        <w:t>A</w:t>
      </w:r>
      <w:r w:rsidR="00625DD2" w:rsidRPr="0034240B">
        <w:rPr>
          <w:rFonts w:ascii="Arial" w:hAnsi="Arial" w:cs="Arial"/>
          <w:b/>
          <w:sz w:val="26"/>
          <w:szCs w:val="26"/>
        </w:rPr>
        <w:t>cknowledgements</w:t>
      </w:r>
    </w:p>
    <w:p w:rsidR="00F1422F" w:rsidRPr="006A6AD0" w:rsidRDefault="00F1422F" w:rsidP="00F1422F">
      <w:pPr>
        <w:tabs>
          <w:tab w:val="left" w:pos="0"/>
          <w:tab w:val="left" w:pos="144"/>
          <w:tab w:val="left" w:pos="288"/>
        </w:tabs>
        <w:rPr>
          <w:rFonts w:ascii="Arial" w:hAnsi="Arial" w:cs="Arial"/>
          <w:sz w:val="24"/>
          <w:szCs w:val="26"/>
        </w:rPr>
      </w:pPr>
    </w:p>
    <w:p w:rsidR="00F1422F" w:rsidRPr="006A6AD0" w:rsidRDefault="00F1422F" w:rsidP="00F1422F">
      <w:pPr>
        <w:tabs>
          <w:tab w:val="left" w:pos="0"/>
          <w:tab w:val="left" w:pos="144"/>
          <w:tab w:val="left" w:pos="288"/>
        </w:tabs>
        <w:rPr>
          <w:rFonts w:ascii="Arial" w:hAnsi="Arial" w:cs="Arial"/>
          <w:sz w:val="24"/>
          <w:szCs w:val="26"/>
        </w:rPr>
      </w:pPr>
    </w:p>
    <w:p w:rsidR="00F1422F" w:rsidRPr="00E32D70" w:rsidRDefault="00F1422F" w:rsidP="00F1422F">
      <w:pPr>
        <w:tabs>
          <w:tab w:val="left" w:pos="720"/>
        </w:tabs>
        <w:rPr>
          <w:rFonts w:ascii="Arial" w:hAnsi="Arial" w:cs="Arial"/>
          <w:sz w:val="24"/>
          <w:szCs w:val="24"/>
        </w:rPr>
      </w:pPr>
      <w:r w:rsidRPr="00051545">
        <w:rPr>
          <w:rFonts w:ascii="Arial" w:hAnsi="Arial" w:cs="Arial"/>
          <w:sz w:val="26"/>
          <w:szCs w:val="26"/>
        </w:rPr>
        <w:tab/>
      </w:r>
      <w:r w:rsidRPr="00E32D70">
        <w:rPr>
          <w:rFonts w:ascii="Arial" w:hAnsi="Arial" w:cs="Arial"/>
          <w:sz w:val="24"/>
          <w:szCs w:val="24"/>
        </w:rPr>
        <w:t xml:space="preserve">We wish to express our appreciation to the officers and staff of Philadelphia Gas Works for the cooperation and assistance given </w:t>
      </w:r>
      <w:r w:rsidR="00A2363C">
        <w:rPr>
          <w:rFonts w:ascii="Arial" w:hAnsi="Arial" w:cs="Arial"/>
          <w:sz w:val="24"/>
          <w:szCs w:val="24"/>
        </w:rPr>
        <w:t xml:space="preserve">to </w:t>
      </w:r>
      <w:r w:rsidRPr="00E32D70">
        <w:rPr>
          <w:rFonts w:ascii="Arial" w:hAnsi="Arial" w:cs="Arial"/>
          <w:sz w:val="24"/>
          <w:szCs w:val="24"/>
        </w:rPr>
        <w:t xml:space="preserve">us during the course of our examination.  The audit was conducted by </w:t>
      </w:r>
      <w:r>
        <w:rPr>
          <w:rFonts w:ascii="Arial" w:hAnsi="Arial" w:cs="Arial"/>
          <w:sz w:val="24"/>
          <w:szCs w:val="24"/>
        </w:rPr>
        <w:t xml:space="preserve">Katrina S. </w:t>
      </w:r>
      <w:r>
        <w:rPr>
          <w:rFonts w:ascii="Arial" w:hAnsi="Arial" w:cs="Arial"/>
          <w:sz w:val="24"/>
          <w:szCs w:val="24"/>
        </w:rPr>
        <w:tab/>
        <w:t>Johnson,</w:t>
      </w:r>
      <w:r w:rsidRPr="00E32D70">
        <w:rPr>
          <w:rFonts w:ascii="Arial" w:hAnsi="Arial" w:cs="Arial"/>
          <w:sz w:val="24"/>
          <w:szCs w:val="24"/>
        </w:rPr>
        <w:t xml:space="preserve"> assisted by </w:t>
      </w:r>
      <w:r>
        <w:rPr>
          <w:rFonts w:ascii="Arial" w:hAnsi="Arial" w:cs="Arial"/>
          <w:sz w:val="24"/>
          <w:szCs w:val="24"/>
        </w:rPr>
        <w:t>Darrell Baxter</w:t>
      </w:r>
      <w:r w:rsidRPr="00E32D70">
        <w:rPr>
          <w:rFonts w:ascii="Arial" w:hAnsi="Arial" w:cs="Arial"/>
          <w:sz w:val="24"/>
          <w:szCs w:val="24"/>
        </w:rPr>
        <w:t>.</w:t>
      </w:r>
    </w:p>
    <w:sectPr w:rsidR="00F1422F" w:rsidRPr="00E32D70" w:rsidSect="00833A48">
      <w:headerReference w:type="even" r:id="rId30"/>
      <w:headerReference w:type="default" r:id="rId31"/>
      <w:footerReference w:type="default" r:id="rId32"/>
      <w:headerReference w:type="first" r:id="rId33"/>
      <w:pgSz w:w="12240" w:h="15840" w:code="1"/>
      <w:pgMar w:top="1440" w:right="1440" w:bottom="1440" w:left="1440" w:header="0" w:footer="720" w:gutter="0"/>
      <w:pgNumType w:fmt="numberInDash" w:start="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1C4" w:rsidRDefault="00D351C4">
      <w:r>
        <w:separator/>
      </w:r>
    </w:p>
  </w:endnote>
  <w:endnote w:type="continuationSeparator" w:id="0">
    <w:p w:rsidR="00D351C4" w:rsidRDefault="00D3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E42928" w:rsidRDefault="00C86343" w:rsidP="00E42928">
    <w:pPr>
      <w:pStyle w:val="Footer"/>
      <w:jc w:val="cen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5A1" w:rsidRDefault="00AE35A1" w:rsidP="00AE35A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E42928" w:rsidRDefault="00C86343" w:rsidP="00E42928">
    <w:pPr>
      <w:pStyle w:val="Footer"/>
      <w:jc w:val="center"/>
      <w:rPr>
        <w:rFonts w:ascii="Times New Roman" w:hAnsi="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164903"/>
      <w:docPartObj>
        <w:docPartGallery w:val="Page Numbers (Bottom of Page)"/>
        <w:docPartUnique/>
      </w:docPartObj>
    </w:sdtPr>
    <w:sdtEndPr>
      <w:rPr>
        <w:rFonts w:ascii="Arial" w:hAnsi="Arial" w:cs="Arial"/>
        <w:noProof/>
        <w:sz w:val="24"/>
        <w:szCs w:val="24"/>
      </w:rPr>
    </w:sdtEndPr>
    <w:sdtContent>
      <w:p w:rsidR="002A533A" w:rsidRPr="005D2141" w:rsidRDefault="002A533A">
        <w:pPr>
          <w:pStyle w:val="Footer"/>
          <w:jc w:val="center"/>
          <w:rPr>
            <w:rFonts w:ascii="Arial" w:hAnsi="Arial" w:cs="Arial"/>
            <w:sz w:val="24"/>
            <w:szCs w:val="24"/>
          </w:rPr>
        </w:pPr>
        <w:r w:rsidRPr="005D2141">
          <w:rPr>
            <w:rFonts w:ascii="Arial" w:hAnsi="Arial" w:cs="Arial"/>
            <w:sz w:val="24"/>
            <w:szCs w:val="24"/>
          </w:rPr>
          <w:fldChar w:fldCharType="begin"/>
        </w:r>
        <w:r w:rsidRPr="005D2141">
          <w:rPr>
            <w:rFonts w:ascii="Arial" w:hAnsi="Arial" w:cs="Arial"/>
            <w:sz w:val="24"/>
            <w:szCs w:val="24"/>
          </w:rPr>
          <w:instrText xml:space="preserve"> PAGE   \* MERGEFORMAT </w:instrText>
        </w:r>
        <w:r w:rsidRPr="005D2141">
          <w:rPr>
            <w:rFonts w:ascii="Arial" w:hAnsi="Arial" w:cs="Arial"/>
            <w:sz w:val="24"/>
            <w:szCs w:val="24"/>
          </w:rPr>
          <w:fldChar w:fldCharType="separate"/>
        </w:r>
        <w:r w:rsidR="003A6FBF">
          <w:rPr>
            <w:rFonts w:ascii="Arial" w:hAnsi="Arial" w:cs="Arial"/>
            <w:noProof/>
            <w:sz w:val="24"/>
            <w:szCs w:val="24"/>
          </w:rPr>
          <w:t>- 4 -</w:t>
        </w:r>
        <w:r w:rsidRPr="005D2141">
          <w:rPr>
            <w:rFonts w:ascii="Arial" w:hAnsi="Arial" w:cs="Arial"/>
            <w:noProof/>
            <w:sz w:val="24"/>
            <w:szCs w:val="24"/>
          </w:rPr>
          <w:fldChar w:fldCharType="end"/>
        </w:r>
      </w:p>
    </w:sdtContent>
  </w:sdt>
  <w:p w:rsidR="007F026A" w:rsidRPr="00263F05" w:rsidRDefault="007F026A" w:rsidP="00263F0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006348"/>
      <w:docPartObj>
        <w:docPartGallery w:val="Page Numbers (Bottom of Page)"/>
        <w:docPartUnique/>
      </w:docPartObj>
    </w:sdtPr>
    <w:sdtEndPr>
      <w:rPr>
        <w:rFonts w:ascii="Arial" w:hAnsi="Arial" w:cs="Arial"/>
        <w:noProof/>
        <w:sz w:val="24"/>
      </w:rPr>
    </w:sdtEndPr>
    <w:sdtContent>
      <w:p w:rsidR="00907014" w:rsidRPr="0062641A" w:rsidRDefault="00833A48" w:rsidP="00833A48">
        <w:pPr>
          <w:pStyle w:val="Footer"/>
          <w:jc w:val="center"/>
          <w:rPr>
            <w:rFonts w:ascii="Arial" w:hAnsi="Arial" w:cs="Arial"/>
            <w:sz w:val="24"/>
          </w:rPr>
        </w:pPr>
        <w:r w:rsidRPr="00833A48">
          <w:rPr>
            <w:rFonts w:ascii="Arial" w:hAnsi="Arial" w:cs="Arial"/>
            <w:sz w:val="24"/>
          </w:rPr>
          <w:fldChar w:fldCharType="begin"/>
        </w:r>
        <w:r w:rsidRPr="00833A48">
          <w:rPr>
            <w:rFonts w:ascii="Arial" w:hAnsi="Arial" w:cs="Arial"/>
            <w:sz w:val="24"/>
          </w:rPr>
          <w:instrText xml:space="preserve"> PAGE   \* MERGEFORMAT </w:instrText>
        </w:r>
        <w:r w:rsidRPr="00833A48">
          <w:rPr>
            <w:rFonts w:ascii="Arial" w:hAnsi="Arial" w:cs="Arial"/>
            <w:sz w:val="24"/>
          </w:rPr>
          <w:fldChar w:fldCharType="separate"/>
        </w:r>
        <w:r w:rsidR="003A6FBF">
          <w:rPr>
            <w:rFonts w:ascii="Arial" w:hAnsi="Arial" w:cs="Arial"/>
            <w:noProof/>
            <w:sz w:val="24"/>
          </w:rPr>
          <w:t>- 2 -</w:t>
        </w:r>
        <w:r w:rsidRPr="00833A48">
          <w:rPr>
            <w:rFonts w:ascii="Arial" w:hAnsi="Arial" w:cs="Arial"/>
            <w:noProof/>
            <w:sz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1A" w:rsidRPr="0062641A" w:rsidRDefault="0062641A" w:rsidP="0062641A">
    <w:pPr>
      <w:pStyle w:val="Footer"/>
      <w:jc w:val="center"/>
      <w:rPr>
        <w:rFonts w:ascii="Arial" w:hAnsi="Arial" w:cs="Arial"/>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592545"/>
      <w:docPartObj>
        <w:docPartGallery w:val="Page Numbers (Bottom of Page)"/>
        <w:docPartUnique/>
      </w:docPartObj>
    </w:sdtPr>
    <w:sdtEndPr>
      <w:rPr>
        <w:rFonts w:ascii="Arial" w:hAnsi="Arial" w:cs="Arial"/>
        <w:noProof/>
        <w:sz w:val="24"/>
        <w:szCs w:val="24"/>
      </w:rPr>
    </w:sdtEndPr>
    <w:sdtContent>
      <w:p w:rsidR="0062641A" w:rsidRPr="0062641A" w:rsidRDefault="0062641A" w:rsidP="0062641A">
        <w:pPr>
          <w:pStyle w:val="Footer"/>
          <w:jc w:val="center"/>
          <w:rPr>
            <w:rFonts w:ascii="Arial" w:hAnsi="Arial" w:cs="Arial"/>
            <w:sz w:val="24"/>
            <w:szCs w:val="24"/>
          </w:rPr>
        </w:pPr>
        <w:r w:rsidRPr="005D2141">
          <w:rPr>
            <w:rFonts w:ascii="Arial" w:hAnsi="Arial" w:cs="Arial"/>
            <w:sz w:val="24"/>
            <w:szCs w:val="24"/>
          </w:rPr>
          <w:fldChar w:fldCharType="begin"/>
        </w:r>
        <w:r w:rsidRPr="005D2141">
          <w:rPr>
            <w:rFonts w:ascii="Arial" w:hAnsi="Arial" w:cs="Arial"/>
            <w:sz w:val="24"/>
            <w:szCs w:val="24"/>
          </w:rPr>
          <w:instrText xml:space="preserve"> PAGE   \* MERGEFORMAT </w:instrText>
        </w:r>
        <w:r w:rsidRPr="005D2141">
          <w:rPr>
            <w:rFonts w:ascii="Arial" w:hAnsi="Arial" w:cs="Arial"/>
            <w:sz w:val="24"/>
            <w:szCs w:val="24"/>
          </w:rPr>
          <w:fldChar w:fldCharType="separate"/>
        </w:r>
        <w:r w:rsidR="003A6FBF">
          <w:rPr>
            <w:rFonts w:ascii="Arial" w:hAnsi="Arial" w:cs="Arial"/>
            <w:noProof/>
            <w:sz w:val="24"/>
            <w:szCs w:val="24"/>
          </w:rPr>
          <w:t>- 6 -</w:t>
        </w:r>
        <w:r w:rsidRPr="005D2141">
          <w:rPr>
            <w:rFonts w:ascii="Arial" w:hAnsi="Arial" w:cs="Arial"/>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1C4" w:rsidRDefault="00D351C4">
      <w:r>
        <w:rPr>
          <w:sz w:val="24"/>
        </w:rPr>
        <w:separator/>
      </w:r>
    </w:p>
  </w:footnote>
  <w:footnote w:type="continuationSeparator" w:id="0">
    <w:p w:rsidR="00D351C4" w:rsidRDefault="00D35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907014" w:rsidRDefault="00C86343" w:rsidP="0090701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C2" w:rsidRDefault="004270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Default="00C8634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43" w:rsidRPr="00816A39" w:rsidRDefault="00C86343" w:rsidP="00816A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1DDF1EE4"/>
    <w:multiLevelType w:val="hybridMultilevel"/>
    <w:tmpl w:val="CA72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D8523C"/>
    <w:multiLevelType w:val="hybridMultilevel"/>
    <w:tmpl w:val="1FD6B3A8"/>
    <w:lvl w:ilvl="0" w:tplc="E59893C4">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39261D"/>
    <w:multiLevelType w:val="hybridMultilevel"/>
    <w:tmpl w:val="DB0864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628D1250"/>
    <w:multiLevelType w:val="hybridMultilevel"/>
    <w:tmpl w:val="92D438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00CE5"/>
    <w:rsid w:val="00002575"/>
    <w:rsid w:val="000100B9"/>
    <w:rsid w:val="00010137"/>
    <w:rsid w:val="00016658"/>
    <w:rsid w:val="00021EFF"/>
    <w:rsid w:val="00025FA2"/>
    <w:rsid w:val="00026C48"/>
    <w:rsid w:val="000319D2"/>
    <w:rsid w:val="00051545"/>
    <w:rsid w:val="000532DA"/>
    <w:rsid w:val="00057A59"/>
    <w:rsid w:val="000621ED"/>
    <w:rsid w:val="00062389"/>
    <w:rsid w:val="000633C1"/>
    <w:rsid w:val="0006368F"/>
    <w:rsid w:val="00065FC1"/>
    <w:rsid w:val="00066A17"/>
    <w:rsid w:val="00067375"/>
    <w:rsid w:val="000710B1"/>
    <w:rsid w:val="000712BC"/>
    <w:rsid w:val="00071ED0"/>
    <w:rsid w:val="000725E8"/>
    <w:rsid w:val="00072B41"/>
    <w:rsid w:val="000741F7"/>
    <w:rsid w:val="00076720"/>
    <w:rsid w:val="0008323F"/>
    <w:rsid w:val="000834B5"/>
    <w:rsid w:val="00083CAB"/>
    <w:rsid w:val="000922B7"/>
    <w:rsid w:val="00094E55"/>
    <w:rsid w:val="00095AE2"/>
    <w:rsid w:val="00095C4B"/>
    <w:rsid w:val="000A01C5"/>
    <w:rsid w:val="000A44C8"/>
    <w:rsid w:val="000A55CF"/>
    <w:rsid w:val="000A6A45"/>
    <w:rsid w:val="000B2FFF"/>
    <w:rsid w:val="000B49E7"/>
    <w:rsid w:val="000C0AEA"/>
    <w:rsid w:val="000C2895"/>
    <w:rsid w:val="000C4AC9"/>
    <w:rsid w:val="000D6321"/>
    <w:rsid w:val="000D6ECC"/>
    <w:rsid w:val="000E3DF2"/>
    <w:rsid w:val="000E4222"/>
    <w:rsid w:val="000E506C"/>
    <w:rsid w:val="000E6C1C"/>
    <w:rsid w:val="000F4ADE"/>
    <w:rsid w:val="000F634D"/>
    <w:rsid w:val="000F7853"/>
    <w:rsid w:val="00102368"/>
    <w:rsid w:val="00103261"/>
    <w:rsid w:val="00107B06"/>
    <w:rsid w:val="00113367"/>
    <w:rsid w:val="00115624"/>
    <w:rsid w:val="001160F6"/>
    <w:rsid w:val="00116E34"/>
    <w:rsid w:val="00122B87"/>
    <w:rsid w:val="0012369F"/>
    <w:rsid w:val="00123BD6"/>
    <w:rsid w:val="00127F65"/>
    <w:rsid w:val="00133F0E"/>
    <w:rsid w:val="00134BEB"/>
    <w:rsid w:val="00135B9D"/>
    <w:rsid w:val="00135F4E"/>
    <w:rsid w:val="0014208D"/>
    <w:rsid w:val="001439AC"/>
    <w:rsid w:val="00145125"/>
    <w:rsid w:val="00153537"/>
    <w:rsid w:val="00155243"/>
    <w:rsid w:val="001607D5"/>
    <w:rsid w:val="00165DF7"/>
    <w:rsid w:val="0016795A"/>
    <w:rsid w:val="00170780"/>
    <w:rsid w:val="00171416"/>
    <w:rsid w:val="00171631"/>
    <w:rsid w:val="00171A4C"/>
    <w:rsid w:val="00171F95"/>
    <w:rsid w:val="0017270D"/>
    <w:rsid w:val="00172C33"/>
    <w:rsid w:val="00180069"/>
    <w:rsid w:val="00180B59"/>
    <w:rsid w:val="00181737"/>
    <w:rsid w:val="00183D20"/>
    <w:rsid w:val="001849D4"/>
    <w:rsid w:val="0018653D"/>
    <w:rsid w:val="001866A8"/>
    <w:rsid w:val="0018674E"/>
    <w:rsid w:val="00187098"/>
    <w:rsid w:val="00191D62"/>
    <w:rsid w:val="00193303"/>
    <w:rsid w:val="001A278B"/>
    <w:rsid w:val="001A3365"/>
    <w:rsid w:val="001A5617"/>
    <w:rsid w:val="001A59C0"/>
    <w:rsid w:val="001B205A"/>
    <w:rsid w:val="001B39E8"/>
    <w:rsid w:val="001B5F87"/>
    <w:rsid w:val="001B6BD3"/>
    <w:rsid w:val="001C0358"/>
    <w:rsid w:val="001C0FDE"/>
    <w:rsid w:val="001C742F"/>
    <w:rsid w:val="001D0BC6"/>
    <w:rsid w:val="001D1C1B"/>
    <w:rsid w:val="001D49EE"/>
    <w:rsid w:val="001D4C6C"/>
    <w:rsid w:val="001D5EB8"/>
    <w:rsid w:val="001D67F2"/>
    <w:rsid w:val="001F5DE4"/>
    <w:rsid w:val="0020091A"/>
    <w:rsid w:val="00202E7F"/>
    <w:rsid w:val="00204BE5"/>
    <w:rsid w:val="00206E69"/>
    <w:rsid w:val="00207628"/>
    <w:rsid w:val="002111B5"/>
    <w:rsid w:val="00212CA5"/>
    <w:rsid w:val="002130B0"/>
    <w:rsid w:val="00216291"/>
    <w:rsid w:val="00220DDF"/>
    <w:rsid w:val="00221DCC"/>
    <w:rsid w:val="00221E11"/>
    <w:rsid w:val="002225EB"/>
    <w:rsid w:val="00222A8E"/>
    <w:rsid w:val="002269C6"/>
    <w:rsid w:val="00226EB2"/>
    <w:rsid w:val="002353B0"/>
    <w:rsid w:val="0023542C"/>
    <w:rsid w:val="00236ED8"/>
    <w:rsid w:val="00243238"/>
    <w:rsid w:val="0024348A"/>
    <w:rsid w:val="00250D09"/>
    <w:rsid w:val="0025277C"/>
    <w:rsid w:val="00253A91"/>
    <w:rsid w:val="002560FA"/>
    <w:rsid w:val="002566C6"/>
    <w:rsid w:val="002627D0"/>
    <w:rsid w:val="00263F05"/>
    <w:rsid w:val="00265DE3"/>
    <w:rsid w:val="00266297"/>
    <w:rsid w:val="00266671"/>
    <w:rsid w:val="00266CA7"/>
    <w:rsid w:val="00270F72"/>
    <w:rsid w:val="00274A87"/>
    <w:rsid w:val="00274E4B"/>
    <w:rsid w:val="00276042"/>
    <w:rsid w:val="002774E4"/>
    <w:rsid w:val="00281056"/>
    <w:rsid w:val="002817DE"/>
    <w:rsid w:val="002828E8"/>
    <w:rsid w:val="00284A91"/>
    <w:rsid w:val="0028653E"/>
    <w:rsid w:val="00290DDE"/>
    <w:rsid w:val="00297C11"/>
    <w:rsid w:val="002A533A"/>
    <w:rsid w:val="002A6835"/>
    <w:rsid w:val="002B0A4E"/>
    <w:rsid w:val="002B6775"/>
    <w:rsid w:val="002C2982"/>
    <w:rsid w:val="002C4CE2"/>
    <w:rsid w:val="002C5C27"/>
    <w:rsid w:val="002C5E34"/>
    <w:rsid w:val="002C7920"/>
    <w:rsid w:val="002D5DEB"/>
    <w:rsid w:val="002D6D61"/>
    <w:rsid w:val="002F270D"/>
    <w:rsid w:val="002F32AD"/>
    <w:rsid w:val="002F7950"/>
    <w:rsid w:val="00303EA6"/>
    <w:rsid w:val="00303FBF"/>
    <w:rsid w:val="00307C90"/>
    <w:rsid w:val="00312758"/>
    <w:rsid w:val="00315A4E"/>
    <w:rsid w:val="00320203"/>
    <w:rsid w:val="00326A88"/>
    <w:rsid w:val="00327E7A"/>
    <w:rsid w:val="0033091F"/>
    <w:rsid w:val="003316B7"/>
    <w:rsid w:val="0033185A"/>
    <w:rsid w:val="00334404"/>
    <w:rsid w:val="00334B48"/>
    <w:rsid w:val="003374B8"/>
    <w:rsid w:val="00340ED4"/>
    <w:rsid w:val="0034240B"/>
    <w:rsid w:val="00342B16"/>
    <w:rsid w:val="00353011"/>
    <w:rsid w:val="003532DE"/>
    <w:rsid w:val="00356B91"/>
    <w:rsid w:val="00357424"/>
    <w:rsid w:val="00367F28"/>
    <w:rsid w:val="0037003C"/>
    <w:rsid w:val="003710D5"/>
    <w:rsid w:val="00371DDC"/>
    <w:rsid w:val="00373C14"/>
    <w:rsid w:val="00373D2A"/>
    <w:rsid w:val="00374FB6"/>
    <w:rsid w:val="00376DD6"/>
    <w:rsid w:val="00380DEF"/>
    <w:rsid w:val="00382903"/>
    <w:rsid w:val="003858C7"/>
    <w:rsid w:val="00391485"/>
    <w:rsid w:val="0039211D"/>
    <w:rsid w:val="003926D9"/>
    <w:rsid w:val="00392BBB"/>
    <w:rsid w:val="003976B0"/>
    <w:rsid w:val="003A2BEF"/>
    <w:rsid w:val="003A6FBF"/>
    <w:rsid w:val="003B1E65"/>
    <w:rsid w:val="003C0BB7"/>
    <w:rsid w:val="003C4552"/>
    <w:rsid w:val="003C54A7"/>
    <w:rsid w:val="003D419C"/>
    <w:rsid w:val="003D43E3"/>
    <w:rsid w:val="003E1843"/>
    <w:rsid w:val="003E29DF"/>
    <w:rsid w:val="003E4130"/>
    <w:rsid w:val="003F1BA6"/>
    <w:rsid w:val="003F2247"/>
    <w:rsid w:val="003F495A"/>
    <w:rsid w:val="003F5511"/>
    <w:rsid w:val="003F6317"/>
    <w:rsid w:val="00400894"/>
    <w:rsid w:val="004017BA"/>
    <w:rsid w:val="004021F0"/>
    <w:rsid w:val="0040533B"/>
    <w:rsid w:val="00405669"/>
    <w:rsid w:val="00407B80"/>
    <w:rsid w:val="0041125E"/>
    <w:rsid w:val="00411B9D"/>
    <w:rsid w:val="00413406"/>
    <w:rsid w:val="00416813"/>
    <w:rsid w:val="004217BD"/>
    <w:rsid w:val="004227E7"/>
    <w:rsid w:val="00423213"/>
    <w:rsid w:val="00424006"/>
    <w:rsid w:val="0042485D"/>
    <w:rsid w:val="0042580B"/>
    <w:rsid w:val="00426EB2"/>
    <w:rsid w:val="004270C2"/>
    <w:rsid w:val="004342AE"/>
    <w:rsid w:val="00434A32"/>
    <w:rsid w:val="00436990"/>
    <w:rsid w:val="00441847"/>
    <w:rsid w:val="00445BEE"/>
    <w:rsid w:val="0044633C"/>
    <w:rsid w:val="00454826"/>
    <w:rsid w:val="0045486B"/>
    <w:rsid w:val="00454CCE"/>
    <w:rsid w:val="00461AE3"/>
    <w:rsid w:val="00464785"/>
    <w:rsid w:val="004648D9"/>
    <w:rsid w:val="00464EF5"/>
    <w:rsid w:val="0047343E"/>
    <w:rsid w:val="0048234E"/>
    <w:rsid w:val="004849E5"/>
    <w:rsid w:val="00491BF0"/>
    <w:rsid w:val="00492D5F"/>
    <w:rsid w:val="00494AA8"/>
    <w:rsid w:val="00496DB9"/>
    <w:rsid w:val="0049713D"/>
    <w:rsid w:val="004A2041"/>
    <w:rsid w:val="004B12F1"/>
    <w:rsid w:val="004B1BEA"/>
    <w:rsid w:val="004B5DDA"/>
    <w:rsid w:val="004B7DCD"/>
    <w:rsid w:val="004B7E27"/>
    <w:rsid w:val="004C0E81"/>
    <w:rsid w:val="004C1456"/>
    <w:rsid w:val="004C1D5F"/>
    <w:rsid w:val="004C4343"/>
    <w:rsid w:val="004C5477"/>
    <w:rsid w:val="004D0940"/>
    <w:rsid w:val="004E1453"/>
    <w:rsid w:val="004E31D3"/>
    <w:rsid w:val="004E3A19"/>
    <w:rsid w:val="004E3EBA"/>
    <w:rsid w:val="004F0C6B"/>
    <w:rsid w:val="004F2DA6"/>
    <w:rsid w:val="005018AD"/>
    <w:rsid w:val="0050371C"/>
    <w:rsid w:val="00503778"/>
    <w:rsid w:val="00507913"/>
    <w:rsid w:val="005137DA"/>
    <w:rsid w:val="00521655"/>
    <w:rsid w:val="00521B1A"/>
    <w:rsid w:val="005221A2"/>
    <w:rsid w:val="00522C2C"/>
    <w:rsid w:val="00524677"/>
    <w:rsid w:val="005330BC"/>
    <w:rsid w:val="00534447"/>
    <w:rsid w:val="005367D5"/>
    <w:rsid w:val="00540945"/>
    <w:rsid w:val="00545591"/>
    <w:rsid w:val="00545E73"/>
    <w:rsid w:val="00551057"/>
    <w:rsid w:val="00551E63"/>
    <w:rsid w:val="005528AB"/>
    <w:rsid w:val="00554E01"/>
    <w:rsid w:val="0055766F"/>
    <w:rsid w:val="00562583"/>
    <w:rsid w:val="0056481D"/>
    <w:rsid w:val="00565D6E"/>
    <w:rsid w:val="00567995"/>
    <w:rsid w:val="00571EA9"/>
    <w:rsid w:val="00573E3C"/>
    <w:rsid w:val="00577D8D"/>
    <w:rsid w:val="00581625"/>
    <w:rsid w:val="00582AEC"/>
    <w:rsid w:val="0058492D"/>
    <w:rsid w:val="00590ABA"/>
    <w:rsid w:val="00591D89"/>
    <w:rsid w:val="0059597A"/>
    <w:rsid w:val="00595D6C"/>
    <w:rsid w:val="00597735"/>
    <w:rsid w:val="005A1010"/>
    <w:rsid w:val="005A25FD"/>
    <w:rsid w:val="005A2D4C"/>
    <w:rsid w:val="005A4DB0"/>
    <w:rsid w:val="005A5B75"/>
    <w:rsid w:val="005B25B7"/>
    <w:rsid w:val="005B5497"/>
    <w:rsid w:val="005B6D2B"/>
    <w:rsid w:val="005C0806"/>
    <w:rsid w:val="005C2241"/>
    <w:rsid w:val="005C4A0A"/>
    <w:rsid w:val="005D2141"/>
    <w:rsid w:val="005D3B56"/>
    <w:rsid w:val="005D564B"/>
    <w:rsid w:val="005E2F97"/>
    <w:rsid w:val="005E6004"/>
    <w:rsid w:val="005F34A4"/>
    <w:rsid w:val="005F4E5C"/>
    <w:rsid w:val="006000FC"/>
    <w:rsid w:val="00601992"/>
    <w:rsid w:val="00601A96"/>
    <w:rsid w:val="00604FFF"/>
    <w:rsid w:val="00605422"/>
    <w:rsid w:val="006111AB"/>
    <w:rsid w:val="00614171"/>
    <w:rsid w:val="006141E6"/>
    <w:rsid w:val="006228F1"/>
    <w:rsid w:val="00625757"/>
    <w:rsid w:val="00625DD2"/>
    <w:rsid w:val="0062641A"/>
    <w:rsid w:val="00631AA4"/>
    <w:rsid w:val="006421DF"/>
    <w:rsid w:val="00642EA7"/>
    <w:rsid w:val="006447B4"/>
    <w:rsid w:val="0065758C"/>
    <w:rsid w:val="00665D8C"/>
    <w:rsid w:val="00665E24"/>
    <w:rsid w:val="00666457"/>
    <w:rsid w:val="0067126E"/>
    <w:rsid w:val="006752A3"/>
    <w:rsid w:val="00675CC5"/>
    <w:rsid w:val="006804E6"/>
    <w:rsid w:val="00680899"/>
    <w:rsid w:val="00687FA3"/>
    <w:rsid w:val="00691297"/>
    <w:rsid w:val="00693959"/>
    <w:rsid w:val="006951CC"/>
    <w:rsid w:val="00695746"/>
    <w:rsid w:val="0069610A"/>
    <w:rsid w:val="00697026"/>
    <w:rsid w:val="006978C6"/>
    <w:rsid w:val="006A1920"/>
    <w:rsid w:val="006A3349"/>
    <w:rsid w:val="006A6AD0"/>
    <w:rsid w:val="006B1A3D"/>
    <w:rsid w:val="006B22E7"/>
    <w:rsid w:val="006C2D70"/>
    <w:rsid w:val="006C4AC8"/>
    <w:rsid w:val="006C740F"/>
    <w:rsid w:val="006C7425"/>
    <w:rsid w:val="006D20E2"/>
    <w:rsid w:val="006D4C22"/>
    <w:rsid w:val="006D5702"/>
    <w:rsid w:val="006E476B"/>
    <w:rsid w:val="006E58D2"/>
    <w:rsid w:val="006E7147"/>
    <w:rsid w:val="006F314C"/>
    <w:rsid w:val="006F3299"/>
    <w:rsid w:val="006F566D"/>
    <w:rsid w:val="006F7320"/>
    <w:rsid w:val="00701D95"/>
    <w:rsid w:val="00703DC7"/>
    <w:rsid w:val="00707305"/>
    <w:rsid w:val="00711976"/>
    <w:rsid w:val="00712297"/>
    <w:rsid w:val="0072072A"/>
    <w:rsid w:val="007302A5"/>
    <w:rsid w:val="0073324A"/>
    <w:rsid w:val="007445B8"/>
    <w:rsid w:val="00745DE1"/>
    <w:rsid w:val="00746443"/>
    <w:rsid w:val="00752ECA"/>
    <w:rsid w:val="00755600"/>
    <w:rsid w:val="0075607F"/>
    <w:rsid w:val="007621ED"/>
    <w:rsid w:val="00766003"/>
    <w:rsid w:val="00766447"/>
    <w:rsid w:val="0076760B"/>
    <w:rsid w:val="00770840"/>
    <w:rsid w:val="007708E8"/>
    <w:rsid w:val="0077232C"/>
    <w:rsid w:val="007747BF"/>
    <w:rsid w:val="00781CE3"/>
    <w:rsid w:val="007821ED"/>
    <w:rsid w:val="007906E6"/>
    <w:rsid w:val="00795A23"/>
    <w:rsid w:val="00795B0B"/>
    <w:rsid w:val="007A14D7"/>
    <w:rsid w:val="007A1DB0"/>
    <w:rsid w:val="007A3806"/>
    <w:rsid w:val="007A3E03"/>
    <w:rsid w:val="007A5174"/>
    <w:rsid w:val="007A6B2A"/>
    <w:rsid w:val="007A793D"/>
    <w:rsid w:val="007A7FB4"/>
    <w:rsid w:val="007B1895"/>
    <w:rsid w:val="007B73EF"/>
    <w:rsid w:val="007C3C4C"/>
    <w:rsid w:val="007C5F5D"/>
    <w:rsid w:val="007C71D9"/>
    <w:rsid w:val="007D12FC"/>
    <w:rsid w:val="007D5B2E"/>
    <w:rsid w:val="007E3B7B"/>
    <w:rsid w:val="007E3C85"/>
    <w:rsid w:val="007E4EF7"/>
    <w:rsid w:val="007E7D51"/>
    <w:rsid w:val="007F026A"/>
    <w:rsid w:val="007F22F9"/>
    <w:rsid w:val="007F242D"/>
    <w:rsid w:val="007F7E13"/>
    <w:rsid w:val="00800B17"/>
    <w:rsid w:val="008016CC"/>
    <w:rsid w:val="008123E9"/>
    <w:rsid w:val="00815394"/>
    <w:rsid w:val="00816A39"/>
    <w:rsid w:val="00822271"/>
    <w:rsid w:val="008241C6"/>
    <w:rsid w:val="0082666F"/>
    <w:rsid w:val="00827A4B"/>
    <w:rsid w:val="00827B39"/>
    <w:rsid w:val="00827E0A"/>
    <w:rsid w:val="00833633"/>
    <w:rsid w:val="00833A48"/>
    <w:rsid w:val="00835625"/>
    <w:rsid w:val="0083596D"/>
    <w:rsid w:val="00841620"/>
    <w:rsid w:val="00843EFB"/>
    <w:rsid w:val="00850BDB"/>
    <w:rsid w:val="00851274"/>
    <w:rsid w:val="00853137"/>
    <w:rsid w:val="0085463D"/>
    <w:rsid w:val="008575A6"/>
    <w:rsid w:val="0086087D"/>
    <w:rsid w:val="0086109A"/>
    <w:rsid w:val="00861AAA"/>
    <w:rsid w:val="00861B71"/>
    <w:rsid w:val="00864D21"/>
    <w:rsid w:val="00867A8D"/>
    <w:rsid w:val="00873575"/>
    <w:rsid w:val="0087405A"/>
    <w:rsid w:val="00875368"/>
    <w:rsid w:val="008820FB"/>
    <w:rsid w:val="008837E5"/>
    <w:rsid w:val="00894F26"/>
    <w:rsid w:val="00895CA2"/>
    <w:rsid w:val="008A4AA6"/>
    <w:rsid w:val="008A66CA"/>
    <w:rsid w:val="008B560F"/>
    <w:rsid w:val="008B6262"/>
    <w:rsid w:val="008C2021"/>
    <w:rsid w:val="008C446D"/>
    <w:rsid w:val="008D0BD6"/>
    <w:rsid w:val="008D4B3B"/>
    <w:rsid w:val="008D4D2D"/>
    <w:rsid w:val="008D4EDC"/>
    <w:rsid w:val="008D5FE4"/>
    <w:rsid w:val="008E05DB"/>
    <w:rsid w:val="008E210C"/>
    <w:rsid w:val="008E24B1"/>
    <w:rsid w:val="008F2B79"/>
    <w:rsid w:val="008F5081"/>
    <w:rsid w:val="0090453B"/>
    <w:rsid w:val="00906223"/>
    <w:rsid w:val="00907014"/>
    <w:rsid w:val="0091029F"/>
    <w:rsid w:val="0091170D"/>
    <w:rsid w:val="0091182B"/>
    <w:rsid w:val="0091221E"/>
    <w:rsid w:val="00914928"/>
    <w:rsid w:val="00922AC9"/>
    <w:rsid w:val="00924014"/>
    <w:rsid w:val="00926DF3"/>
    <w:rsid w:val="00926FF0"/>
    <w:rsid w:val="00933B61"/>
    <w:rsid w:val="0094256B"/>
    <w:rsid w:val="00942B5B"/>
    <w:rsid w:val="00943161"/>
    <w:rsid w:val="00960994"/>
    <w:rsid w:val="00964F1D"/>
    <w:rsid w:val="009668B4"/>
    <w:rsid w:val="00967A16"/>
    <w:rsid w:val="00975EB5"/>
    <w:rsid w:val="00976A67"/>
    <w:rsid w:val="009772F3"/>
    <w:rsid w:val="00977514"/>
    <w:rsid w:val="00981A3D"/>
    <w:rsid w:val="00984081"/>
    <w:rsid w:val="0099013B"/>
    <w:rsid w:val="0099094B"/>
    <w:rsid w:val="00993693"/>
    <w:rsid w:val="00993777"/>
    <w:rsid w:val="009938BE"/>
    <w:rsid w:val="0099675A"/>
    <w:rsid w:val="0099713F"/>
    <w:rsid w:val="009B10D5"/>
    <w:rsid w:val="009B4583"/>
    <w:rsid w:val="009B4689"/>
    <w:rsid w:val="009B4985"/>
    <w:rsid w:val="009B54DF"/>
    <w:rsid w:val="009C63F6"/>
    <w:rsid w:val="009D2092"/>
    <w:rsid w:val="009D76EB"/>
    <w:rsid w:val="009E095A"/>
    <w:rsid w:val="009E0ABF"/>
    <w:rsid w:val="009E6EC6"/>
    <w:rsid w:val="009E7981"/>
    <w:rsid w:val="009F1BF8"/>
    <w:rsid w:val="009F2ED7"/>
    <w:rsid w:val="009F6A59"/>
    <w:rsid w:val="009F7771"/>
    <w:rsid w:val="00A03514"/>
    <w:rsid w:val="00A04024"/>
    <w:rsid w:val="00A0425B"/>
    <w:rsid w:val="00A05740"/>
    <w:rsid w:val="00A104A9"/>
    <w:rsid w:val="00A1143A"/>
    <w:rsid w:val="00A210E4"/>
    <w:rsid w:val="00A222A3"/>
    <w:rsid w:val="00A22C97"/>
    <w:rsid w:val="00A2363C"/>
    <w:rsid w:val="00A252DD"/>
    <w:rsid w:val="00A30CD0"/>
    <w:rsid w:val="00A334FB"/>
    <w:rsid w:val="00A355F6"/>
    <w:rsid w:val="00A46209"/>
    <w:rsid w:val="00A46E6E"/>
    <w:rsid w:val="00A51C06"/>
    <w:rsid w:val="00A52567"/>
    <w:rsid w:val="00A558FB"/>
    <w:rsid w:val="00A62A84"/>
    <w:rsid w:val="00A63639"/>
    <w:rsid w:val="00A651B0"/>
    <w:rsid w:val="00A7214C"/>
    <w:rsid w:val="00A75A66"/>
    <w:rsid w:val="00A846B4"/>
    <w:rsid w:val="00A864B8"/>
    <w:rsid w:val="00A86A65"/>
    <w:rsid w:val="00A902C4"/>
    <w:rsid w:val="00A908FD"/>
    <w:rsid w:val="00A91BF7"/>
    <w:rsid w:val="00A92DD9"/>
    <w:rsid w:val="00A936C0"/>
    <w:rsid w:val="00A96122"/>
    <w:rsid w:val="00AA0CFA"/>
    <w:rsid w:val="00AA5E78"/>
    <w:rsid w:val="00AA6885"/>
    <w:rsid w:val="00AB0834"/>
    <w:rsid w:val="00AB1510"/>
    <w:rsid w:val="00AB5D84"/>
    <w:rsid w:val="00AB66FB"/>
    <w:rsid w:val="00AC0974"/>
    <w:rsid w:val="00AC7515"/>
    <w:rsid w:val="00AD113F"/>
    <w:rsid w:val="00AE1737"/>
    <w:rsid w:val="00AE35A1"/>
    <w:rsid w:val="00AE4959"/>
    <w:rsid w:val="00AE4C6B"/>
    <w:rsid w:val="00AE6C8E"/>
    <w:rsid w:val="00AF26A9"/>
    <w:rsid w:val="00AF7525"/>
    <w:rsid w:val="00B03583"/>
    <w:rsid w:val="00B21319"/>
    <w:rsid w:val="00B214AA"/>
    <w:rsid w:val="00B30F62"/>
    <w:rsid w:val="00B43902"/>
    <w:rsid w:val="00B66088"/>
    <w:rsid w:val="00B67006"/>
    <w:rsid w:val="00B70FD9"/>
    <w:rsid w:val="00B72436"/>
    <w:rsid w:val="00B75B88"/>
    <w:rsid w:val="00B7655B"/>
    <w:rsid w:val="00B906D6"/>
    <w:rsid w:val="00B907FB"/>
    <w:rsid w:val="00B92235"/>
    <w:rsid w:val="00BA30B5"/>
    <w:rsid w:val="00BB3FAD"/>
    <w:rsid w:val="00BB6B18"/>
    <w:rsid w:val="00BB6B4B"/>
    <w:rsid w:val="00BD00FC"/>
    <w:rsid w:val="00BD5B29"/>
    <w:rsid w:val="00BE2AD3"/>
    <w:rsid w:val="00BE6D81"/>
    <w:rsid w:val="00BE75C1"/>
    <w:rsid w:val="00C02B50"/>
    <w:rsid w:val="00C04224"/>
    <w:rsid w:val="00C10D89"/>
    <w:rsid w:val="00C122C6"/>
    <w:rsid w:val="00C15209"/>
    <w:rsid w:val="00C16F88"/>
    <w:rsid w:val="00C206DE"/>
    <w:rsid w:val="00C20F64"/>
    <w:rsid w:val="00C23186"/>
    <w:rsid w:val="00C309B4"/>
    <w:rsid w:val="00C3173E"/>
    <w:rsid w:val="00C32AF1"/>
    <w:rsid w:val="00C33087"/>
    <w:rsid w:val="00C3432B"/>
    <w:rsid w:val="00C373FC"/>
    <w:rsid w:val="00C41B6C"/>
    <w:rsid w:val="00C41D73"/>
    <w:rsid w:val="00C45142"/>
    <w:rsid w:val="00C464DB"/>
    <w:rsid w:val="00C46B82"/>
    <w:rsid w:val="00C5156F"/>
    <w:rsid w:val="00C525EA"/>
    <w:rsid w:val="00C531F3"/>
    <w:rsid w:val="00C55F1E"/>
    <w:rsid w:val="00C56EB5"/>
    <w:rsid w:val="00C62B10"/>
    <w:rsid w:val="00C63EA6"/>
    <w:rsid w:val="00C64BA7"/>
    <w:rsid w:val="00C64FA7"/>
    <w:rsid w:val="00C664D4"/>
    <w:rsid w:val="00C73B37"/>
    <w:rsid w:val="00C77C9C"/>
    <w:rsid w:val="00C82A75"/>
    <w:rsid w:val="00C8604A"/>
    <w:rsid w:val="00C86343"/>
    <w:rsid w:val="00C9249D"/>
    <w:rsid w:val="00C93B6F"/>
    <w:rsid w:val="00C9690A"/>
    <w:rsid w:val="00C96BF5"/>
    <w:rsid w:val="00C97E71"/>
    <w:rsid w:val="00CA0DFC"/>
    <w:rsid w:val="00CA31E0"/>
    <w:rsid w:val="00CA7729"/>
    <w:rsid w:val="00CB2881"/>
    <w:rsid w:val="00CB36D6"/>
    <w:rsid w:val="00CB5930"/>
    <w:rsid w:val="00CB7D1C"/>
    <w:rsid w:val="00CC1D98"/>
    <w:rsid w:val="00CC1FE4"/>
    <w:rsid w:val="00CC5FE6"/>
    <w:rsid w:val="00CC617A"/>
    <w:rsid w:val="00CD2BC3"/>
    <w:rsid w:val="00CD3B96"/>
    <w:rsid w:val="00CD4FB0"/>
    <w:rsid w:val="00CD7144"/>
    <w:rsid w:val="00CD7D73"/>
    <w:rsid w:val="00CE3214"/>
    <w:rsid w:val="00CE4C3C"/>
    <w:rsid w:val="00CE5365"/>
    <w:rsid w:val="00CE62DB"/>
    <w:rsid w:val="00CF3B16"/>
    <w:rsid w:val="00CF5421"/>
    <w:rsid w:val="00D01A41"/>
    <w:rsid w:val="00D0219E"/>
    <w:rsid w:val="00D04417"/>
    <w:rsid w:val="00D13F0D"/>
    <w:rsid w:val="00D146CF"/>
    <w:rsid w:val="00D16893"/>
    <w:rsid w:val="00D16CAA"/>
    <w:rsid w:val="00D175E4"/>
    <w:rsid w:val="00D2106E"/>
    <w:rsid w:val="00D21CDB"/>
    <w:rsid w:val="00D23B70"/>
    <w:rsid w:val="00D30409"/>
    <w:rsid w:val="00D33A9D"/>
    <w:rsid w:val="00D348B9"/>
    <w:rsid w:val="00D351C4"/>
    <w:rsid w:val="00D35D46"/>
    <w:rsid w:val="00D3714E"/>
    <w:rsid w:val="00D3789E"/>
    <w:rsid w:val="00D40213"/>
    <w:rsid w:val="00D41A80"/>
    <w:rsid w:val="00D430AA"/>
    <w:rsid w:val="00D43DF5"/>
    <w:rsid w:val="00D448C9"/>
    <w:rsid w:val="00D4609C"/>
    <w:rsid w:val="00D512D9"/>
    <w:rsid w:val="00D541E0"/>
    <w:rsid w:val="00D55143"/>
    <w:rsid w:val="00D561C6"/>
    <w:rsid w:val="00D60292"/>
    <w:rsid w:val="00D63589"/>
    <w:rsid w:val="00D67623"/>
    <w:rsid w:val="00D712C2"/>
    <w:rsid w:val="00D72DDB"/>
    <w:rsid w:val="00D733DA"/>
    <w:rsid w:val="00D747CF"/>
    <w:rsid w:val="00D74E9D"/>
    <w:rsid w:val="00D76201"/>
    <w:rsid w:val="00D76E41"/>
    <w:rsid w:val="00D94B72"/>
    <w:rsid w:val="00DB1DB0"/>
    <w:rsid w:val="00DB223C"/>
    <w:rsid w:val="00DB24B8"/>
    <w:rsid w:val="00DC1274"/>
    <w:rsid w:val="00DC13E7"/>
    <w:rsid w:val="00DC1BAC"/>
    <w:rsid w:val="00DC2DE4"/>
    <w:rsid w:val="00DC59C5"/>
    <w:rsid w:val="00DD4A28"/>
    <w:rsid w:val="00DD653E"/>
    <w:rsid w:val="00DE16CC"/>
    <w:rsid w:val="00DE410B"/>
    <w:rsid w:val="00DF04C7"/>
    <w:rsid w:val="00DF5868"/>
    <w:rsid w:val="00DF70B5"/>
    <w:rsid w:val="00E01763"/>
    <w:rsid w:val="00E0563F"/>
    <w:rsid w:val="00E074AF"/>
    <w:rsid w:val="00E07E7F"/>
    <w:rsid w:val="00E14488"/>
    <w:rsid w:val="00E16219"/>
    <w:rsid w:val="00E2245D"/>
    <w:rsid w:val="00E227CA"/>
    <w:rsid w:val="00E23F7B"/>
    <w:rsid w:val="00E24B49"/>
    <w:rsid w:val="00E32D70"/>
    <w:rsid w:val="00E365CC"/>
    <w:rsid w:val="00E403AC"/>
    <w:rsid w:val="00E42928"/>
    <w:rsid w:val="00E43408"/>
    <w:rsid w:val="00E44395"/>
    <w:rsid w:val="00E51A1B"/>
    <w:rsid w:val="00E51F18"/>
    <w:rsid w:val="00E530A4"/>
    <w:rsid w:val="00E540BB"/>
    <w:rsid w:val="00E55207"/>
    <w:rsid w:val="00E578CA"/>
    <w:rsid w:val="00E60F07"/>
    <w:rsid w:val="00E637C8"/>
    <w:rsid w:val="00E641A8"/>
    <w:rsid w:val="00E641E3"/>
    <w:rsid w:val="00E73E5A"/>
    <w:rsid w:val="00E80D6F"/>
    <w:rsid w:val="00E81F92"/>
    <w:rsid w:val="00E8312D"/>
    <w:rsid w:val="00E83A9A"/>
    <w:rsid w:val="00E862C2"/>
    <w:rsid w:val="00E916BA"/>
    <w:rsid w:val="00E9251D"/>
    <w:rsid w:val="00E9506C"/>
    <w:rsid w:val="00E97630"/>
    <w:rsid w:val="00EA0260"/>
    <w:rsid w:val="00EA26A5"/>
    <w:rsid w:val="00EA4852"/>
    <w:rsid w:val="00EB18D8"/>
    <w:rsid w:val="00EB1D65"/>
    <w:rsid w:val="00EC4A03"/>
    <w:rsid w:val="00EC58EA"/>
    <w:rsid w:val="00ED1514"/>
    <w:rsid w:val="00ED471F"/>
    <w:rsid w:val="00ED4B18"/>
    <w:rsid w:val="00ED6E7B"/>
    <w:rsid w:val="00EE32EA"/>
    <w:rsid w:val="00EE3FBC"/>
    <w:rsid w:val="00EF0EBE"/>
    <w:rsid w:val="00EF7B88"/>
    <w:rsid w:val="00F0057B"/>
    <w:rsid w:val="00F05352"/>
    <w:rsid w:val="00F1241D"/>
    <w:rsid w:val="00F1331A"/>
    <w:rsid w:val="00F1422F"/>
    <w:rsid w:val="00F208ED"/>
    <w:rsid w:val="00F21F2B"/>
    <w:rsid w:val="00F2552C"/>
    <w:rsid w:val="00F2653B"/>
    <w:rsid w:val="00F30723"/>
    <w:rsid w:val="00F320BC"/>
    <w:rsid w:val="00F32C6F"/>
    <w:rsid w:val="00F35439"/>
    <w:rsid w:val="00F40B1C"/>
    <w:rsid w:val="00F46EF1"/>
    <w:rsid w:val="00F52119"/>
    <w:rsid w:val="00F6158B"/>
    <w:rsid w:val="00F64CB4"/>
    <w:rsid w:val="00F667DC"/>
    <w:rsid w:val="00F67C2D"/>
    <w:rsid w:val="00F73D95"/>
    <w:rsid w:val="00F73F56"/>
    <w:rsid w:val="00F76125"/>
    <w:rsid w:val="00F76D57"/>
    <w:rsid w:val="00F866AE"/>
    <w:rsid w:val="00F86D79"/>
    <w:rsid w:val="00F873B5"/>
    <w:rsid w:val="00F87A3B"/>
    <w:rsid w:val="00F97DC8"/>
    <w:rsid w:val="00FA0641"/>
    <w:rsid w:val="00FA1003"/>
    <w:rsid w:val="00FA3FA7"/>
    <w:rsid w:val="00FA4125"/>
    <w:rsid w:val="00FA5C59"/>
    <w:rsid w:val="00FA6CFA"/>
    <w:rsid w:val="00FA7280"/>
    <w:rsid w:val="00FB40B2"/>
    <w:rsid w:val="00FB46E0"/>
    <w:rsid w:val="00FC1A45"/>
    <w:rsid w:val="00FC40C3"/>
    <w:rsid w:val="00FC600A"/>
    <w:rsid w:val="00FC6399"/>
    <w:rsid w:val="00FC78A6"/>
    <w:rsid w:val="00FD6F3F"/>
    <w:rsid w:val="00FE1256"/>
    <w:rsid w:val="00FE2ECF"/>
    <w:rsid w:val="00FE456C"/>
    <w:rsid w:val="00FE7050"/>
    <w:rsid w:val="00FE755E"/>
    <w:rsid w:val="00FF3178"/>
    <w:rsid w:val="00FF3D55"/>
    <w:rsid w:val="00FF54D9"/>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E24B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E24B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4768">
      <w:bodyDiv w:val="1"/>
      <w:marLeft w:val="0"/>
      <w:marRight w:val="0"/>
      <w:marTop w:val="0"/>
      <w:marBottom w:val="0"/>
      <w:divBdr>
        <w:top w:val="none" w:sz="0" w:space="0" w:color="auto"/>
        <w:left w:val="none" w:sz="0" w:space="0" w:color="auto"/>
        <w:bottom w:val="none" w:sz="0" w:space="0" w:color="auto"/>
        <w:right w:val="none" w:sz="0" w:space="0" w:color="auto"/>
      </w:divBdr>
    </w:div>
    <w:div w:id="94254055">
      <w:bodyDiv w:val="1"/>
      <w:marLeft w:val="0"/>
      <w:marRight w:val="0"/>
      <w:marTop w:val="0"/>
      <w:marBottom w:val="0"/>
      <w:divBdr>
        <w:top w:val="none" w:sz="0" w:space="0" w:color="auto"/>
        <w:left w:val="none" w:sz="0" w:space="0" w:color="auto"/>
        <w:bottom w:val="none" w:sz="0" w:space="0" w:color="auto"/>
        <w:right w:val="none" w:sz="0" w:space="0" w:color="auto"/>
      </w:divBdr>
    </w:div>
    <w:div w:id="220604451">
      <w:bodyDiv w:val="1"/>
      <w:marLeft w:val="0"/>
      <w:marRight w:val="0"/>
      <w:marTop w:val="0"/>
      <w:marBottom w:val="0"/>
      <w:divBdr>
        <w:top w:val="none" w:sz="0" w:space="0" w:color="auto"/>
        <w:left w:val="none" w:sz="0" w:space="0" w:color="auto"/>
        <w:bottom w:val="none" w:sz="0" w:space="0" w:color="auto"/>
        <w:right w:val="none" w:sz="0" w:space="0" w:color="auto"/>
      </w:divBdr>
    </w:div>
    <w:div w:id="880745757">
      <w:bodyDiv w:val="1"/>
      <w:marLeft w:val="0"/>
      <w:marRight w:val="0"/>
      <w:marTop w:val="0"/>
      <w:marBottom w:val="0"/>
      <w:divBdr>
        <w:top w:val="none" w:sz="0" w:space="0" w:color="auto"/>
        <w:left w:val="none" w:sz="0" w:space="0" w:color="auto"/>
        <w:bottom w:val="none" w:sz="0" w:space="0" w:color="auto"/>
        <w:right w:val="none" w:sz="0" w:space="0" w:color="auto"/>
      </w:divBdr>
    </w:div>
    <w:div w:id="1156260791">
      <w:bodyDiv w:val="1"/>
      <w:marLeft w:val="0"/>
      <w:marRight w:val="0"/>
      <w:marTop w:val="0"/>
      <w:marBottom w:val="0"/>
      <w:divBdr>
        <w:top w:val="none" w:sz="0" w:space="0" w:color="auto"/>
        <w:left w:val="none" w:sz="0" w:space="0" w:color="auto"/>
        <w:bottom w:val="none" w:sz="0" w:space="0" w:color="auto"/>
        <w:right w:val="none" w:sz="0" w:space="0" w:color="auto"/>
      </w:divBdr>
    </w:div>
    <w:div w:id="1262030073">
      <w:bodyDiv w:val="1"/>
      <w:marLeft w:val="0"/>
      <w:marRight w:val="0"/>
      <w:marTop w:val="0"/>
      <w:marBottom w:val="0"/>
      <w:divBdr>
        <w:top w:val="none" w:sz="0" w:space="0" w:color="auto"/>
        <w:left w:val="none" w:sz="0" w:space="0" w:color="auto"/>
        <w:bottom w:val="none" w:sz="0" w:space="0" w:color="auto"/>
        <w:right w:val="none" w:sz="0" w:space="0" w:color="auto"/>
      </w:divBdr>
    </w:div>
    <w:div w:id="1459447079">
      <w:bodyDiv w:val="1"/>
      <w:marLeft w:val="0"/>
      <w:marRight w:val="0"/>
      <w:marTop w:val="0"/>
      <w:marBottom w:val="0"/>
      <w:divBdr>
        <w:top w:val="none" w:sz="0" w:space="0" w:color="auto"/>
        <w:left w:val="none" w:sz="0" w:space="0" w:color="auto"/>
        <w:bottom w:val="none" w:sz="0" w:space="0" w:color="auto"/>
        <w:right w:val="none" w:sz="0" w:space="0" w:color="auto"/>
      </w:divBdr>
    </w:div>
    <w:div w:id="1497846682">
      <w:bodyDiv w:val="1"/>
      <w:marLeft w:val="0"/>
      <w:marRight w:val="0"/>
      <w:marTop w:val="0"/>
      <w:marBottom w:val="0"/>
      <w:divBdr>
        <w:top w:val="none" w:sz="0" w:space="0" w:color="auto"/>
        <w:left w:val="none" w:sz="0" w:space="0" w:color="auto"/>
        <w:bottom w:val="none" w:sz="0" w:space="0" w:color="auto"/>
        <w:right w:val="none" w:sz="0" w:space="0" w:color="auto"/>
      </w:divBdr>
    </w:div>
    <w:div w:id="1571385362">
      <w:bodyDiv w:val="1"/>
      <w:marLeft w:val="0"/>
      <w:marRight w:val="0"/>
      <w:marTop w:val="0"/>
      <w:marBottom w:val="0"/>
      <w:divBdr>
        <w:top w:val="none" w:sz="0" w:space="0" w:color="auto"/>
        <w:left w:val="none" w:sz="0" w:space="0" w:color="auto"/>
        <w:bottom w:val="none" w:sz="0" w:space="0" w:color="auto"/>
        <w:right w:val="none" w:sz="0" w:space="0" w:color="auto"/>
      </w:divBdr>
    </w:div>
    <w:div w:id="192433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puc.pa.gov"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0722A-34A6-41F2-90EE-BB570F7E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10</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UGI UTILITIES, INC</vt:lpstr>
    </vt:vector>
  </TitlesOfParts>
  <Company>PA PUC</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UGI UTILITIES, INC</dc:title>
  <dc:creator>DSA</dc:creator>
  <cp:lastModifiedBy>Administrator</cp:lastModifiedBy>
  <cp:revision>185</cp:revision>
  <cp:lastPrinted>2015-04-22T15:49:00Z</cp:lastPrinted>
  <dcterms:created xsi:type="dcterms:W3CDTF">2014-08-06T14:40:00Z</dcterms:created>
  <dcterms:modified xsi:type="dcterms:W3CDTF">2015-06-01T14:57:00Z</dcterms:modified>
</cp:coreProperties>
</file>