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8"/>
        </w:rPr>
      </w:pPr>
    </w:p>
    <w:p w:rsidR="00D57B96" w:rsidRPr="00D57B96" w:rsidRDefault="00D57B96">
      <w:pPr>
        <w:jc w:val="both"/>
        <w:rPr>
          <w:rFonts w:ascii="Arial" w:hAnsi="Arial" w:cs="Arial"/>
          <w:sz w:val="28"/>
        </w:rPr>
      </w:pPr>
    </w:p>
    <w:p w:rsidR="009339A6" w:rsidRDefault="009339A6">
      <w:pPr>
        <w:tabs>
          <w:tab w:val="center" w:pos="4680"/>
        </w:tabs>
        <w:jc w:val="center"/>
        <w:outlineLvl w:val="0"/>
        <w:rPr>
          <w:rFonts w:ascii="Arial" w:hAnsi="Arial" w:cs="Arial"/>
          <w:b/>
          <w:sz w:val="36"/>
          <w:szCs w:val="36"/>
        </w:rPr>
      </w:pPr>
    </w:p>
    <w:p w:rsidR="009339A6" w:rsidRDefault="009339A6">
      <w:pPr>
        <w:tabs>
          <w:tab w:val="center" w:pos="4680"/>
        </w:tabs>
        <w:jc w:val="center"/>
        <w:outlineLvl w:val="0"/>
        <w:rPr>
          <w:rFonts w:ascii="Arial" w:hAnsi="Arial" w:cs="Arial"/>
          <w:b/>
          <w:sz w:val="36"/>
          <w:szCs w:val="36"/>
        </w:rPr>
      </w:pPr>
    </w:p>
    <w:p w:rsidR="009339A6" w:rsidRDefault="009339A6">
      <w:pPr>
        <w:tabs>
          <w:tab w:val="center" w:pos="4680"/>
        </w:tabs>
        <w:jc w:val="center"/>
        <w:outlineLvl w:val="0"/>
        <w:rPr>
          <w:rFonts w:ascii="Arial" w:hAnsi="Arial" w:cs="Arial"/>
          <w:b/>
          <w:sz w:val="36"/>
          <w:szCs w:val="36"/>
        </w:rPr>
      </w:pPr>
    </w:p>
    <w:p w:rsidR="00EC58EA" w:rsidRPr="006B34AF" w:rsidRDefault="00EC58EA">
      <w:pPr>
        <w:tabs>
          <w:tab w:val="center" w:pos="4680"/>
        </w:tabs>
        <w:jc w:val="center"/>
        <w:outlineLvl w:val="0"/>
        <w:rPr>
          <w:rFonts w:ascii="Arial" w:hAnsi="Arial" w:cs="Arial"/>
          <w:b/>
          <w:sz w:val="36"/>
          <w:szCs w:val="36"/>
        </w:rPr>
      </w:pPr>
      <w:r w:rsidRPr="006B34AF">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E365CC" w:rsidRDefault="00297C11">
      <w:pPr>
        <w:tabs>
          <w:tab w:val="left" w:pos="-720"/>
        </w:tabs>
        <w:jc w:val="both"/>
        <w:rPr>
          <w:rFonts w:ascii="Arial" w:hAnsi="Arial" w:cs="Arial"/>
          <w:b/>
          <w:sz w:val="28"/>
          <w:szCs w:val="28"/>
          <w:highlight w:val="lightGray"/>
        </w:rPr>
      </w:pPr>
    </w:p>
    <w:p w:rsidR="007C5FC1" w:rsidRDefault="007C5FC1">
      <w:pPr>
        <w:tabs>
          <w:tab w:val="center" w:pos="4680"/>
        </w:tabs>
        <w:spacing w:line="188" w:lineRule="atLeast"/>
        <w:jc w:val="center"/>
        <w:outlineLvl w:val="0"/>
        <w:rPr>
          <w:rFonts w:ascii="Arial" w:hAnsi="Arial" w:cs="Arial"/>
          <w:b/>
          <w:sz w:val="28"/>
          <w:szCs w:val="28"/>
        </w:rPr>
      </w:pPr>
    </w:p>
    <w:p w:rsidR="007C5FC1" w:rsidRDefault="007C5FC1">
      <w:pPr>
        <w:tabs>
          <w:tab w:val="center" w:pos="4680"/>
        </w:tabs>
        <w:spacing w:line="188" w:lineRule="atLeast"/>
        <w:jc w:val="center"/>
        <w:outlineLvl w:val="0"/>
        <w:rPr>
          <w:rFonts w:ascii="Arial" w:hAnsi="Arial" w:cs="Arial"/>
          <w:b/>
          <w:sz w:val="28"/>
          <w:szCs w:val="28"/>
        </w:rPr>
      </w:pPr>
    </w:p>
    <w:p w:rsidR="000712BC"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F43184">
        <w:rPr>
          <w:rFonts w:ascii="Arial" w:hAnsi="Arial" w:cs="Arial"/>
          <w:b/>
          <w:sz w:val="28"/>
          <w:szCs w:val="28"/>
        </w:rPr>
        <w:t>THE STATEMENTS OF</w:t>
      </w:r>
    </w:p>
    <w:p w:rsidR="000712BC" w:rsidRPr="007E3C85" w:rsidRDefault="000712BC">
      <w:pPr>
        <w:tabs>
          <w:tab w:val="center" w:pos="4680"/>
        </w:tabs>
        <w:spacing w:line="188" w:lineRule="atLeast"/>
        <w:jc w:val="center"/>
        <w:outlineLvl w:val="0"/>
        <w:rPr>
          <w:rFonts w:ascii="Arial" w:hAnsi="Arial" w:cs="Arial"/>
          <w:b/>
          <w:szCs w:val="28"/>
        </w:rPr>
      </w:pPr>
    </w:p>
    <w:p w:rsidR="00EC58EA" w:rsidRDefault="00B9376B">
      <w:pPr>
        <w:tabs>
          <w:tab w:val="center" w:pos="4680"/>
        </w:tabs>
        <w:spacing w:line="188" w:lineRule="atLeast"/>
        <w:jc w:val="center"/>
        <w:outlineLvl w:val="0"/>
        <w:rPr>
          <w:rFonts w:ascii="Arial" w:hAnsi="Arial" w:cs="Arial"/>
          <w:b/>
          <w:sz w:val="28"/>
          <w:szCs w:val="28"/>
        </w:rPr>
      </w:pPr>
      <w:r>
        <w:rPr>
          <w:rFonts w:ascii="Arial" w:hAnsi="Arial" w:cs="Arial"/>
          <w:b/>
          <w:sz w:val="28"/>
          <w:szCs w:val="28"/>
        </w:rPr>
        <w:t>OTHER POST EMPLOY</w:t>
      </w:r>
      <w:r w:rsidR="00C9034E">
        <w:rPr>
          <w:rFonts w:ascii="Arial" w:hAnsi="Arial" w:cs="Arial"/>
          <w:b/>
          <w:sz w:val="28"/>
          <w:szCs w:val="28"/>
        </w:rPr>
        <w:t>MENT</w:t>
      </w:r>
      <w:r>
        <w:rPr>
          <w:rFonts w:ascii="Arial" w:hAnsi="Arial" w:cs="Arial"/>
          <w:b/>
          <w:sz w:val="28"/>
          <w:szCs w:val="28"/>
        </w:rPr>
        <w:t xml:space="preserve"> BENEFIT SURCHARGE</w:t>
      </w:r>
    </w:p>
    <w:p w:rsidR="00F73D95" w:rsidRPr="00F73D95" w:rsidRDefault="00F73D95">
      <w:pPr>
        <w:tabs>
          <w:tab w:val="center" w:pos="4680"/>
        </w:tabs>
        <w:spacing w:line="188" w:lineRule="atLeast"/>
        <w:jc w:val="center"/>
        <w:outlineLvl w:val="0"/>
        <w:rPr>
          <w:rFonts w:ascii="Arial" w:hAnsi="Arial" w:cs="Arial"/>
          <w:b/>
          <w:szCs w:val="28"/>
        </w:rPr>
      </w:pPr>
    </w:p>
    <w:p w:rsidR="00F73D95" w:rsidRPr="000712BC" w:rsidRDefault="00F73D95" w:rsidP="00F73D9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FOR THE TWELVE MONTH </w:t>
      </w:r>
      <w:r w:rsidR="00B37D07">
        <w:rPr>
          <w:rFonts w:ascii="Arial" w:hAnsi="Arial" w:cs="Arial"/>
          <w:b/>
          <w:sz w:val="28"/>
          <w:szCs w:val="28"/>
        </w:rPr>
        <w:t xml:space="preserve">PERIODS </w:t>
      </w:r>
      <w:r w:rsidRPr="000712BC">
        <w:rPr>
          <w:rFonts w:ascii="Arial" w:hAnsi="Arial" w:cs="Arial"/>
          <w:b/>
          <w:sz w:val="28"/>
          <w:szCs w:val="28"/>
        </w:rPr>
        <w:t>ENDED</w:t>
      </w:r>
    </w:p>
    <w:p w:rsidR="00F73D95" w:rsidRPr="007E3C85" w:rsidRDefault="00F73D95" w:rsidP="00F73D95">
      <w:pPr>
        <w:tabs>
          <w:tab w:val="center" w:pos="4680"/>
        </w:tabs>
        <w:spacing w:line="188" w:lineRule="atLeast"/>
        <w:jc w:val="center"/>
        <w:outlineLvl w:val="0"/>
        <w:rPr>
          <w:rFonts w:ascii="Arial" w:hAnsi="Arial" w:cs="Arial"/>
          <w:b/>
          <w:szCs w:val="28"/>
        </w:rPr>
      </w:pPr>
    </w:p>
    <w:p w:rsidR="00F73D95" w:rsidRDefault="00F73D9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w:t>
      </w:r>
      <w:r w:rsidR="0023415B">
        <w:rPr>
          <w:rFonts w:ascii="Arial" w:hAnsi="Arial" w:cs="Arial"/>
          <w:b/>
          <w:sz w:val="28"/>
          <w:szCs w:val="28"/>
        </w:rPr>
        <w:t>1</w:t>
      </w:r>
      <w:r w:rsidR="00B72A0E">
        <w:rPr>
          <w:rFonts w:ascii="Arial" w:hAnsi="Arial" w:cs="Arial"/>
          <w:b/>
          <w:sz w:val="28"/>
          <w:szCs w:val="28"/>
        </w:rPr>
        <w:t>2</w:t>
      </w:r>
      <w:r w:rsidR="00B37D07">
        <w:rPr>
          <w:rFonts w:ascii="Arial" w:hAnsi="Arial" w:cs="Arial"/>
          <w:b/>
          <w:sz w:val="28"/>
          <w:szCs w:val="28"/>
        </w:rPr>
        <w:t xml:space="preserve"> AND AUGUST 31, 2011</w:t>
      </w:r>
      <w:r>
        <w:rPr>
          <w:rFonts w:ascii="Arial" w:hAnsi="Arial" w:cs="Arial"/>
          <w:b/>
          <w:sz w:val="28"/>
          <w:szCs w:val="28"/>
        </w:rPr>
        <w:t xml:space="preserve"> </w:t>
      </w:r>
      <w:r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F73D95" w:rsidRDefault="00F73D95">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A52127" w:rsidRDefault="00A52127">
      <w:pPr>
        <w:tabs>
          <w:tab w:val="center" w:pos="4680"/>
        </w:tabs>
        <w:spacing w:line="188" w:lineRule="atLeast"/>
        <w:jc w:val="center"/>
        <w:outlineLvl w:val="0"/>
        <w:rPr>
          <w:rFonts w:ascii="Arial" w:hAnsi="Arial" w:cs="Arial"/>
          <w:b/>
          <w:sz w:val="28"/>
        </w:rPr>
      </w:pPr>
    </w:p>
    <w:p w:rsidR="00A52127" w:rsidRDefault="00A52127">
      <w:pPr>
        <w:tabs>
          <w:tab w:val="center" w:pos="4680"/>
        </w:tabs>
        <w:spacing w:line="188" w:lineRule="atLeast"/>
        <w:jc w:val="center"/>
        <w:outlineLvl w:val="0"/>
        <w:rPr>
          <w:rFonts w:ascii="Arial" w:hAnsi="Arial" w:cs="Arial"/>
          <w:b/>
          <w:sz w:val="28"/>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F43184" w:rsidRPr="00E365CC" w:rsidRDefault="00F43184" w:rsidP="00F43184">
      <w:pPr>
        <w:tabs>
          <w:tab w:val="center" w:pos="4680"/>
        </w:tabs>
        <w:spacing w:line="188" w:lineRule="atLeast"/>
        <w:jc w:val="center"/>
        <w:rPr>
          <w:rFonts w:ascii="Arial" w:hAnsi="Arial" w:cs="Arial"/>
          <w:b/>
          <w:sz w:val="28"/>
        </w:rPr>
      </w:pPr>
      <w:r>
        <w:rPr>
          <w:rFonts w:ascii="Arial" w:hAnsi="Arial" w:cs="Arial"/>
          <w:b/>
          <w:sz w:val="28"/>
        </w:rPr>
        <w:t xml:space="preserve">Report Date:  May </w:t>
      </w:r>
      <w:r w:rsidR="00E05616">
        <w:rPr>
          <w:rFonts w:ascii="Arial" w:hAnsi="Arial" w:cs="Arial"/>
          <w:b/>
          <w:sz w:val="28"/>
        </w:rPr>
        <w:t>26</w:t>
      </w:r>
      <w:r>
        <w:rPr>
          <w:rFonts w:ascii="Arial" w:hAnsi="Arial" w:cs="Arial"/>
          <w:b/>
          <w:sz w:val="28"/>
        </w:rPr>
        <w:t>,</w:t>
      </w:r>
      <w:r w:rsidRPr="00E365CC">
        <w:rPr>
          <w:rFonts w:ascii="Arial" w:hAnsi="Arial" w:cs="Arial"/>
          <w:b/>
          <w:sz w:val="28"/>
        </w:rPr>
        <w:t xml:space="preserve"> 20</w:t>
      </w:r>
      <w:r>
        <w:rPr>
          <w:rFonts w:ascii="Arial" w:hAnsi="Arial" w:cs="Arial"/>
          <w:b/>
          <w:sz w:val="28"/>
        </w:rPr>
        <w:t>15</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headerReference w:type="even" r:id="rId9"/>
          <w:headerReference w:type="default" r:id="rId10"/>
          <w:footerReference w:type="default" r:id="rId11"/>
          <w:headerReference w:type="first" r:id="rId12"/>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Docket No. D-</w:t>
      </w:r>
      <w:r w:rsidR="00C6025D">
        <w:rPr>
          <w:rFonts w:ascii="Arial" w:hAnsi="Arial" w:cs="Arial"/>
          <w:b/>
          <w:sz w:val="28"/>
        </w:rPr>
        <w:t>201</w:t>
      </w:r>
      <w:r w:rsidR="00091E93">
        <w:rPr>
          <w:rFonts w:ascii="Arial" w:hAnsi="Arial" w:cs="Arial"/>
          <w:b/>
          <w:sz w:val="28"/>
        </w:rPr>
        <w:t>3</w:t>
      </w:r>
      <w:r w:rsidR="00C6025D">
        <w:rPr>
          <w:rFonts w:ascii="Arial" w:hAnsi="Arial" w:cs="Arial"/>
          <w:b/>
          <w:sz w:val="28"/>
        </w:rPr>
        <w:t>-</w:t>
      </w:r>
      <w:r w:rsidR="00091E93">
        <w:rPr>
          <w:rFonts w:ascii="Arial" w:hAnsi="Arial" w:cs="Arial"/>
          <w:b/>
          <w:sz w:val="28"/>
        </w:rPr>
        <w:t>239900</w:t>
      </w:r>
      <w:r w:rsidR="00B9376B">
        <w:rPr>
          <w:rFonts w:ascii="Arial" w:hAnsi="Arial" w:cs="Arial"/>
          <w:b/>
          <w:sz w:val="28"/>
        </w:rPr>
        <w:t>4</w:t>
      </w:r>
    </w:p>
    <w:p w:rsidR="00EC58EA" w:rsidRPr="007C5FC1" w:rsidRDefault="00EC58EA">
      <w:pPr>
        <w:jc w:val="center"/>
        <w:outlineLvl w:val="0"/>
        <w:rPr>
          <w:rFonts w:ascii="Arial" w:hAnsi="Arial" w:cs="Arial"/>
          <w:b/>
          <w:sz w:val="28"/>
          <w:szCs w:val="28"/>
        </w:rPr>
      </w:pPr>
      <w:r w:rsidRPr="007C5FC1">
        <w:rPr>
          <w:rFonts w:ascii="Arial" w:hAnsi="Arial" w:cs="Arial"/>
          <w:b/>
          <w:sz w:val="28"/>
          <w:szCs w:val="28"/>
        </w:rPr>
        <w:lastRenderedPageBreak/>
        <w:t>PHILADELPHIA GAS WORKS</w:t>
      </w:r>
    </w:p>
    <w:p w:rsidR="00EC58EA" w:rsidRPr="00051545" w:rsidRDefault="00EC58EA">
      <w:pPr>
        <w:jc w:val="center"/>
        <w:rPr>
          <w:rFonts w:ascii="Arial" w:hAnsi="Arial" w:cs="Arial"/>
          <w:b/>
          <w:sz w:val="24"/>
          <w:u w:val="single"/>
        </w:rPr>
      </w:pPr>
    </w:p>
    <w:p w:rsidR="00EC58EA" w:rsidRPr="00B12E37" w:rsidRDefault="007C5FC1">
      <w:pPr>
        <w:jc w:val="center"/>
        <w:outlineLvl w:val="0"/>
        <w:rPr>
          <w:rFonts w:ascii="Arial" w:hAnsi="Arial" w:cs="Arial"/>
          <w:b/>
          <w:sz w:val="26"/>
          <w:szCs w:val="26"/>
        </w:rPr>
      </w:pPr>
      <w:r>
        <w:rPr>
          <w:rFonts w:ascii="Arial" w:hAnsi="Arial" w:cs="Arial"/>
          <w:b/>
          <w:sz w:val="26"/>
          <w:szCs w:val="26"/>
        </w:rPr>
        <w:t xml:space="preserve">Table of </w:t>
      </w:r>
      <w:r w:rsidR="00EC58EA" w:rsidRPr="00B12E37">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C15209" w:rsidRPr="00265970" w:rsidRDefault="00C15209" w:rsidP="007D5B2E">
            <w:pPr>
              <w:tabs>
                <w:tab w:val="left" w:pos="-720"/>
                <w:tab w:val="left" w:pos="8640"/>
              </w:tabs>
              <w:jc w:val="both"/>
              <w:outlineLvl w:val="0"/>
              <w:rPr>
                <w:rFonts w:ascii="Arial" w:hAnsi="Arial" w:cs="Arial"/>
                <w:b/>
                <w:sz w:val="24"/>
                <w:szCs w:val="24"/>
                <w:u w:val="single"/>
              </w:rPr>
            </w:pPr>
            <w:r w:rsidRPr="00265970">
              <w:rPr>
                <w:rFonts w:ascii="Arial" w:hAnsi="Arial" w:cs="Arial"/>
                <w:b/>
                <w:sz w:val="24"/>
                <w:szCs w:val="24"/>
                <w:u w:val="single"/>
              </w:rPr>
              <w:t>Page</w:t>
            </w:r>
          </w:p>
        </w:tc>
      </w:tr>
      <w:tr w:rsidR="00F208ED" w:rsidRPr="00B12E37" w:rsidTr="007D5B2E">
        <w:trPr>
          <w:jc w:val="center"/>
        </w:trPr>
        <w:tc>
          <w:tcPr>
            <w:tcW w:w="8908" w:type="dxa"/>
            <w:gridSpan w:val="2"/>
          </w:tcPr>
          <w:p w:rsidR="00F208ED" w:rsidRPr="007C5FC1" w:rsidRDefault="00F208ED" w:rsidP="007D5B2E">
            <w:pPr>
              <w:tabs>
                <w:tab w:val="left" w:pos="-720"/>
                <w:tab w:val="left" w:pos="8640"/>
              </w:tabs>
              <w:jc w:val="both"/>
              <w:outlineLvl w:val="0"/>
              <w:rPr>
                <w:rFonts w:ascii="Arial" w:hAnsi="Arial" w:cs="Arial"/>
                <w:sz w:val="24"/>
                <w:szCs w:val="24"/>
              </w:rPr>
            </w:pPr>
            <w:r w:rsidRPr="007C5FC1">
              <w:rPr>
                <w:rFonts w:ascii="Arial" w:hAnsi="Arial" w:cs="Arial"/>
                <w:b/>
                <w:sz w:val="24"/>
                <w:szCs w:val="24"/>
              </w:rPr>
              <w:t>FINANCIAL REVIEW</w:t>
            </w:r>
          </w:p>
        </w:tc>
        <w:tc>
          <w:tcPr>
            <w:tcW w:w="270" w:type="dxa"/>
          </w:tcPr>
          <w:p w:rsidR="00F208ED" w:rsidRPr="00B12E37" w:rsidRDefault="00F208ED" w:rsidP="007D5B2E">
            <w:pPr>
              <w:tabs>
                <w:tab w:val="left" w:pos="-720"/>
                <w:tab w:val="left" w:pos="8640"/>
              </w:tabs>
              <w:jc w:val="both"/>
              <w:outlineLvl w:val="0"/>
              <w:rPr>
                <w:rFonts w:ascii="Arial" w:hAnsi="Arial" w:cs="Arial"/>
                <w:sz w:val="26"/>
                <w:szCs w:val="26"/>
              </w:rPr>
            </w:pPr>
          </w:p>
        </w:tc>
        <w:tc>
          <w:tcPr>
            <w:tcW w:w="897" w:type="dxa"/>
          </w:tcPr>
          <w:p w:rsidR="00F208ED" w:rsidRPr="00B12E37" w:rsidRDefault="00F208ED" w:rsidP="007D5B2E">
            <w:pPr>
              <w:tabs>
                <w:tab w:val="left" w:pos="-720"/>
                <w:tab w:val="left" w:pos="8640"/>
              </w:tabs>
              <w:jc w:val="both"/>
              <w:outlineLvl w:val="0"/>
              <w:rPr>
                <w:rFonts w:ascii="Arial" w:hAnsi="Arial" w:cs="Arial"/>
                <w:sz w:val="26"/>
                <w:szCs w:val="26"/>
              </w:rPr>
            </w:pPr>
          </w:p>
        </w:tc>
      </w:tr>
      <w:tr w:rsidR="00FA1003" w:rsidRPr="00D532E7" w:rsidTr="00733821">
        <w:trPr>
          <w:cantSplit/>
          <w:trHeight w:hRule="exact" w:val="297"/>
          <w:jc w:val="center"/>
        </w:trPr>
        <w:tc>
          <w:tcPr>
            <w:tcW w:w="718" w:type="dxa"/>
          </w:tcPr>
          <w:p w:rsidR="00FA1003" w:rsidRPr="00D532E7" w:rsidRDefault="00FA1003" w:rsidP="007D5B2E">
            <w:pPr>
              <w:tabs>
                <w:tab w:val="left" w:pos="-720"/>
                <w:tab w:val="left" w:pos="8640"/>
              </w:tabs>
              <w:jc w:val="both"/>
              <w:outlineLvl w:val="0"/>
              <w:rPr>
                <w:rFonts w:ascii="Arial" w:hAnsi="Arial" w:cs="Arial"/>
                <w:sz w:val="24"/>
                <w:szCs w:val="26"/>
              </w:rPr>
            </w:pPr>
          </w:p>
        </w:tc>
        <w:tc>
          <w:tcPr>
            <w:tcW w:w="8190" w:type="dxa"/>
          </w:tcPr>
          <w:p w:rsidR="00FA1003" w:rsidRPr="00D532E7" w:rsidRDefault="00FA1003" w:rsidP="007D5B2E">
            <w:pPr>
              <w:tabs>
                <w:tab w:val="left" w:pos="-720"/>
                <w:tab w:val="left" w:pos="8640"/>
              </w:tabs>
              <w:jc w:val="both"/>
              <w:outlineLvl w:val="0"/>
              <w:rPr>
                <w:rFonts w:ascii="Arial" w:hAnsi="Arial" w:cs="Arial"/>
                <w:sz w:val="24"/>
                <w:szCs w:val="26"/>
              </w:rPr>
            </w:pPr>
          </w:p>
        </w:tc>
        <w:tc>
          <w:tcPr>
            <w:tcW w:w="270" w:type="dxa"/>
          </w:tcPr>
          <w:p w:rsidR="00FA1003" w:rsidRPr="00D532E7" w:rsidRDefault="00FA1003" w:rsidP="007D5B2E">
            <w:pPr>
              <w:tabs>
                <w:tab w:val="left" w:pos="-720"/>
                <w:tab w:val="left" w:pos="8640"/>
              </w:tabs>
              <w:jc w:val="both"/>
              <w:outlineLvl w:val="0"/>
              <w:rPr>
                <w:rFonts w:ascii="Arial" w:hAnsi="Arial" w:cs="Arial"/>
                <w:sz w:val="24"/>
                <w:szCs w:val="26"/>
              </w:rPr>
            </w:pPr>
          </w:p>
        </w:tc>
        <w:tc>
          <w:tcPr>
            <w:tcW w:w="897" w:type="dxa"/>
          </w:tcPr>
          <w:p w:rsidR="00FA1003" w:rsidRPr="00D532E7" w:rsidRDefault="00FA1003" w:rsidP="007D5B2E">
            <w:pPr>
              <w:tabs>
                <w:tab w:val="left" w:pos="-720"/>
                <w:tab w:val="left" w:pos="8640"/>
              </w:tabs>
              <w:jc w:val="both"/>
              <w:outlineLvl w:val="0"/>
              <w:rPr>
                <w:rFonts w:ascii="Arial" w:hAnsi="Arial" w:cs="Arial"/>
                <w:sz w:val="24"/>
                <w:szCs w:val="26"/>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71ED0" w:rsidRDefault="00F208ED" w:rsidP="007D5B2E">
            <w:pPr>
              <w:tabs>
                <w:tab w:val="left" w:pos="-720"/>
                <w:tab w:val="left" w:pos="8640"/>
              </w:tabs>
              <w:outlineLvl w:val="0"/>
              <w:rPr>
                <w:rFonts w:ascii="Arial" w:hAnsi="Arial" w:cs="Arial"/>
                <w:sz w:val="24"/>
                <w:szCs w:val="24"/>
              </w:rPr>
            </w:pPr>
            <w:r w:rsidRPr="00071ED0">
              <w:rPr>
                <w:rFonts w:ascii="Arial" w:hAnsi="Arial" w:cs="Arial"/>
                <w:sz w:val="24"/>
                <w:szCs w:val="24"/>
              </w:rPr>
              <w:t>Independent Auditor's Report</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455750" w:rsidP="00455750">
            <w:pPr>
              <w:tabs>
                <w:tab w:val="left" w:pos="-720"/>
                <w:tab w:val="left" w:pos="8640"/>
              </w:tabs>
              <w:jc w:val="center"/>
              <w:outlineLvl w:val="0"/>
              <w:rPr>
                <w:rFonts w:ascii="Arial" w:hAnsi="Arial" w:cs="Arial"/>
                <w:sz w:val="24"/>
                <w:szCs w:val="24"/>
              </w:rPr>
            </w:pPr>
            <w:r>
              <w:rPr>
                <w:rFonts w:ascii="Arial" w:hAnsi="Arial" w:cs="Arial"/>
                <w:sz w:val="24"/>
                <w:szCs w:val="24"/>
              </w:rPr>
              <w:t>1</w:t>
            </w:r>
          </w:p>
        </w:tc>
      </w:tr>
      <w:tr w:rsidR="00320203" w:rsidRPr="00D532E7" w:rsidTr="00D532E7">
        <w:trPr>
          <w:cantSplit/>
          <w:trHeight w:hRule="exact" w:val="252"/>
          <w:jc w:val="center"/>
        </w:trPr>
        <w:tc>
          <w:tcPr>
            <w:tcW w:w="718" w:type="dxa"/>
          </w:tcPr>
          <w:p w:rsidR="00320203" w:rsidRPr="00D532E7" w:rsidRDefault="00320203" w:rsidP="007D5B2E">
            <w:pPr>
              <w:tabs>
                <w:tab w:val="left" w:pos="-720"/>
                <w:tab w:val="left" w:pos="8640"/>
              </w:tabs>
              <w:jc w:val="both"/>
              <w:outlineLvl w:val="0"/>
              <w:rPr>
                <w:rFonts w:ascii="Arial" w:hAnsi="Arial" w:cs="Arial"/>
                <w:sz w:val="24"/>
                <w:szCs w:val="18"/>
              </w:rPr>
            </w:pPr>
          </w:p>
        </w:tc>
        <w:tc>
          <w:tcPr>
            <w:tcW w:w="8190" w:type="dxa"/>
          </w:tcPr>
          <w:p w:rsidR="00320203" w:rsidRPr="00D532E7"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D532E7"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D532E7"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9C7C26" w:rsidRDefault="009C7C26" w:rsidP="009C7C26">
            <w:pPr>
              <w:tabs>
                <w:tab w:val="left" w:pos="-720"/>
                <w:tab w:val="left" w:pos="8640"/>
              </w:tabs>
              <w:outlineLvl w:val="0"/>
              <w:rPr>
                <w:rFonts w:ascii="Arial" w:hAnsi="Arial" w:cs="Arial"/>
                <w:sz w:val="24"/>
                <w:szCs w:val="24"/>
              </w:rPr>
            </w:pPr>
            <w:r>
              <w:rPr>
                <w:rFonts w:ascii="Arial" w:hAnsi="Arial" w:cs="Arial"/>
                <w:sz w:val="24"/>
                <w:szCs w:val="24"/>
              </w:rPr>
              <w:t xml:space="preserve">Statement Of </w:t>
            </w:r>
            <w:r w:rsidR="00A82C9F">
              <w:rPr>
                <w:rFonts w:ascii="Arial" w:hAnsi="Arial" w:cs="Arial"/>
                <w:sz w:val="24"/>
                <w:szCs w:val="24"/>
              </w:rPr>
              <w:t xml:space="preserve">Other Post </w:t>
            </w:r>
            <w:r w:rsidR="00C9034E">
              <w:rPr>
                <w:rFonts w:ascii="Arial" w:hAnsi="Arial" w:cs="Arial"/>
                <w:sz w:val="24"/>
                <w:szCs w:val="24"/>
              </w:rPr>
              <w:t>Employment</w:t>
            </w:r>
            <w:r w:rsidR="00A82C9F">
              <w:rPr>
                <w:rFonts w:ascii="Arial" w:hAnsi="Arial" w:cs="Arial"/>
                <w:sz w:val="24"/>
                <w:szCs w:val="24"/>
              </w:rPr>
              <w:t xml:space="preserve"> Benefit </w:t>
            </w:r>
            <w:r>
              <w:rPr>
                <w:rFonts w:ascii="Arial" w:hAnsi="Arial" w:cs="Arial"/>
                <w:sz w:val="24"/>
                <w:szCs w:val="24"/>
              </w:rPr>
              <w:t xml:space="preserve">(OPEB) </w:t>
            </w:r>
            <w:r w:rsidR="00A82C9F">
              <w:rPr>
                <w:rFonts w:ascii="Arial" w:hAnsi="Arial" w:cs="Arial"/>
                <w:sz w:val="24"/>
                <w:szCs w:val="24"/>
              </w:rPr>
              <w:t>Surcharge</w:t>
            </w:r>
            <w:r w:rsidR="002F32F1">
              <w:rPr>
                <w:rFonts w:ascii="Arial" w:hAnsi="Arial" w:cs="Arial"/>
                <w:sz w:val="24"/>
                <w:szCs w:val="24"/>
              </w:rPr>
              <w:t xml:space="preserve"> </w:t>
            </w:r>
          </w:p>
          <w:p w:rsidR="00320203" w:rsidRPr="00071ED0" w:rsidRDefault="009C7C26" w:rsidP="009C7C26">
            <w:pPr>
              <w:tabs>
                <w:tab w:val="left" w:pos="-720"/>
                <w:tab w:val="left" w:pos="8640"/>
              </w:tabs>
              <w:outlineLvl w:val="0"/>
              <w:rPr>
                <w:rFonts w:ascii="Arial" w:hAnsi="Arial" w:cs="Arial"/>
                <w:sz w:val="24"/>
                <w:szCs w:val="24"/>
              </w:rPr>
            </w:pPr>
            <w:r>
              <w:rPr>
                <w:rFonts w:ascii="Arial" w:hAnsi="Arial" w:cs="Arial"/>
                <w:sz w:val="24"/>
                <w:szCs w:val="24"/>
              </w:rPr>
              <w:t>Over/(Under) Collections</w:t>
            </w:r>
            <w:r w:rsidRPr="00C26B95">
              <w:rPr>
                <w:rFonts w:ascii="Arial" w:hAnsi="Arial" w:cs="Arial"/>
                <w:sz w:val="24"/>
                <w:szCs w:val="24"/>
              </w:rPr>
              <w:t xml:space="preserve"> </w:t>
            </w:r>
            <w:r w:rsidRPr="00AA0CFA">
              <w:rPr>
                <w:rFonts w:ascii="Arial" w:hAnsi="Arial" w:cs="Arial"/>
                <w:sz w:val="24"/>
                <w:szCs w:val="24"/>
              </w:rPr>
              <w:t>(Section 1307(</w:t>
            </w:r>
            <w:r>
              <w:rPr>
                <w:rFonts w:ascii="Arial" w:hAnsi="Arial" w:cs="Arial"/>
                <w:sz w:val="24"/>
                <w:szCs w:val="24"/>
              </w:rPr>
              <w:t>f</w:t>
            </w:r>
            <w:r w:rsidRPr="00AA0CFA">
              <w:rPr>
                <w:rFonts w:ascii="Arial" w:hAnsi="Arial" w:cs="Arial"/>
                <w:sz w:val="24"/>
                <w:szCs w:val="24"/>
              </w:rPr>
              <w:t xml:space="preserve">)) </w:t>
            </w:r>
            <w:r w:rsidR="000570CF">
              <w:rPr>
                <w:rFonts w:ascii="Arial" w:hAnsi="Arial" w:cs="Arial"/>
                <w:sz w:val="24"/>
                <w:szCs w:val="24"/>
              </w:rPr>
              <w:t>For The Twelve Month</w:t>
            </w:r>
            <w:r w:rsidR="00ED7545">
              <w:rPr>
                <w:rFonts w:ascii="Arial" w:hAnsi="Arial" w:cs="Arial"/>
                <w:sz w:val="24"/>
                <w:szCs w:val="24"/>
              </w:rPr>
              <w:t>s</w:t>
            </w:r>
            <w:r w:rsidR="000570CF">
              <w:rPr>
                <w:rFonts w:ascii="Arial" w:hAnsi="Arial" w:cs="Arial"/>
                <w:sz w:val="24"/>
                <w:szCs w:val="24"/>
              </w:rPr>
              <w:t xml:space="preserve"> </w:t>
            </w:r>
            <w:r w:rsidR="00320203" w:rsidRPr="00071ED0">
              <w:rPr>
                <w:rFonts w:ascii="Arial" w:hAnsi="Arial" w:cs="Arial"/>
                <w:sz w:val="24"/>
                <w:szCs w:val="24"/>
              </w:rPr>
              <w:t xml:space="preserve">Ended </w:t>
            </w:r>
            <w:r w:rsidR="001849D4" w:rsidRPr="00071ED0">
              <w:rPr>
                <w:rFonts w:ascii="Arial" w:hAnsi="Arial" w:cs="Arial"/>
                <w:sz w:val="24"/>
                <w:szCs w:val="24"/>
              </w:rPr>
              <w:t>August</w:t>
            </w:r>
            <w:r w:rsidR="00320203" w:rsidRPr="00071ED0">
              <w:rPr>
                <w:rFonts w:ascii="Arial" w:hAnsi="Arial" w:cs="Arial"/>
                <w:sz w:val="24"/>
                <w:szCs w:val="24"/>
              </w:rPr>
              <w:t xml:space="preserve"> 31, </w:t>
            </w:r>
            <w:r w:rsidR="00A846B4" w:rsidRPr="00071ED0">
              <w:rPr>
                <w:rFonts w:ascii="Arial" w:hAnsi="Arial" w:cs="Arial"/>
                <w:sz w:val="24"/>
                <w:szCs w:val="24"/>
              </w:rPr>
              <w:t>20</w:t>
            </w:r>
            <w:r w:rsidR="00CD100E">
              <w:rPr>
                <w:rFonts w:ascii="Arial" w:hAnsi="Arial" w:cs="Arial"/>
                <w:sz w:val="24"/>
                <w:szCs w:val="24"/>
              </w:rPr>
              <w:t>1</w:t>
            </w:r>
            <w:r w:rsidR="00D52C7A">
              <w:rPr>
                <w:rFonts w:ascii="Arial" w:hAnsi="Arial" w:cs="Arial"/>
                <w:sz w:val="24"/>
                <w:szCs w:val="24"/>
              </w:rPr>
              <w:t>2</w:t>
            </w:r>
            <w:r w:rsidR="000570CF">
              <w:rPr>
                <w:rFonts w:ascii="Arial" w:hAnsi="Arial" w:cs="Arial"/>
                <w:sz w:val="24"/>
                <w:szCs w:val="24"/>
              </w:rPr>
              <w:t xml:space="preserve"> </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p w:rsidR="009C7C26" w:rsidRDefault="009C7C26" w:rsidP="00455750">
            <w:pPr>
              <w:tabs>
                <w:tab w:val="left" w:pos="-720"/>
                <w:tab w:val="left" w:pos="8640"/>
              </w:tabs>
              <w:jc w:val="center"/>
              <w:outlineLvl w:val="0"/>
              <w:rPr>
                <w:rFonts w:ascii="Arial" w:hAnsi="Arial" w:cs="Arial"/>
                <w:sz w:val="24"/>
                <w:szCs w:val="24"/>
              </w:rPr>
            </w:pPr>
          </w:p>
          <w:p w:rsidR="00813736" w:rsidRPr="00071ED0" w:rsidRDefault="00320203" w:rsidP="00455750">
            <w:pPr>
              <w:tabs>
                <w:tab w:val="left" w:pos="-720"/>
                <w:tab w:val="left" w:pos="8640"/>
              </w:tabs>
              <w:jc w:val="center"/>
              <w:outlineLvl w:val="0"/>
              <w:rPr>
                <w:rFonts w:ascii="Arial" w:hAnsi="Arial" w:cs="Arial"/>
                <w:sz w:val="24"/>
                <w:szCs w:val="24"/>
              </w:rPr>
            </w:pPr>
            <w:r w:rsidRPr="00071ED0">
              <w:rPr>
                <w:rFonts w:ascii="Arial" w:hAnsi="Arial" w:cs="Arial"/>
                <w:sz w:val="24"/>
                <w:szCs w:val="24"/>
              </w:rPr>
              <w:t>2</w:t>
            </w:r>
          </w:p>
        </w:tc>
      </w:tr>
      <w:tr w:rsidR="00D532E7" w:rsidRPr="00D532E7" w:rsidTr="007D5B2E">
        <w:trPr>
          <w:jc w:val="center"/>
        </w:trPr>
        <w:tc>
          <w:tcPr>
            <w:tcW w:w="718" w:type="dxa"/>
          </w:tcPr>
          <w:p w:rsidR="00D532E7" w:rsidRPr="00D532E7" w:rsidRDefault="00D532E7" w:rsidP="007D5B2E">
            <w:pPr>
              <w:tabs>
                <w:tab w:val="left" w:pos="-720"/>
                <w:tab w:val="left" w:pos="8640"/>
              </w:tabs>
              <w:jc w:val="both"/>
              <w:outlineLvl w:val="0"/>
              <w:rPr>
                <w:rFonts w:ascii="Arial" w:hAnsi="Arial" w:cs="Arial"/>
                <w:sz w:val="24"/>
                <w:szCs w:val="26"/>
              </w:rPr>
            </w:pPr>
          </w:p>
        </w:tc>
        <w:tc>
          <w:tcPr>
            <w:tcW w:w="8190" w:type="dxa"/>
          </w:tcPr>
          <w:p w:rsidR="00D532E7" w:rsidRPr="00D532E7" w:rsidRDefault="00D532E7" w:rsidP="00896598">
            <w:pPr>
              <w:tabs>
                <w:tab w:val="left" w:pos="-720"/>
                <w:tab w:val="left" w:pos="8640"/>
              </w:tabs>
              <w:outlineLvl w:val="0"/>
              <w:rPr>
                <w:rFonts w:ascii="Arial" w:hAnsi="Arial" w:cs="Arial"/>
                <w:sz w:val="24"/>
                <w:szCs w:val="24"/>
              </w:rPr>
            </w:pPr>
          </w:p>
        </w:tc>
        <w:tc>
          <w:tcPr>
            <w:tcW w:w="270" w:type="dxa"/>
          </w:tcPr>
          <w:p w:rsidR="00D532E7" w:rsidRPr="00D532E7" w:rsidRDefault="00D532E7" w:rsidP="007D5B2E">
            <w:pPr>
              <w:tabs>
                <w:tab w:val="left" w:pos="-720"/>
                <w:tab w:val="left" w:pos="8640"/>
              </w:tabs>
              <w:jc w:val="both"/>
              <w:outlineLvl w:val="0"/>
              <w:rPr>
                <w:rFonts w:ascii="Arial" w:hAnsi="Arial" w:cs="Arial"/>
                <w:sz w:val="24"/>
                <w:szCs w:val="24"/>
              </w:rPr>
            </w:pPr>
          </w:p>
        </w:tc>
        <w:tc>
          <w:tcPr>
            <w:tcW w:w="897" w:type="dxa"/>
          </w:tcPr>
          <w:p w:rsidR="00D532E7" w:rsidRPr="00D532E7" w:rsidRDefault="00D532E7" w:rsidP="007D5B2E">
            <w:pPr>
              <w:tabs>
                <w:tab w:val="left" w:pos="-720"/>
                <w:tab w:val="left" w:pos="8640"/>
              </w:tabs>
              <w:jc w:val="both"/>
              <w:outlineLvl w:val="0"/>
              <w:rPr>
                <w:rFonts w:ascii="Arial" w:hAnsi="Arial" w:cs="Arial"/>
                <w:sz w:val="24"/>
                <w:szCs w:val="24"/>
              </w:rPr>
            </w:pPr>
          </w:p>
        </w:tc>
      </w:tr>
      <w:tr w:rsidR="00A20683" w:rsidRPr="00D532E7" w:rsidTr="007D5B2E">
        <w:trPr>
          <w:jc w:val="center"/>
        </w:trPr>
        <w:tc>
          <w:tcPr>
            <w:tcW w:w="718" w:type="dxa"/>
          </w:tcPr>
          <w:p w:rsidR="00A20683" w:rsidRPr="00D532E7" w:rsidRDefault="00A20683" w:rsidP="007D5B2E">
            <w:pPr>
              <w:tabs>
                <w:tab w:val="left" w:pos="-720"/>
                <w:tab w:val="left" w:pos="8640"/>
              </w:tabs>
              <w:jc w:val="both"/>
              <w:outlineLvl w:val="0"/>
              <w:rPr>
                <w:rFonts w:ascii="Arial" w:hAnsi="Arial" w:cs="Arial"/>
                <w:sz w:val="24"/>
                <w:szCs w:val="26"/>
              </w:rPr>
            </w:pPr>
          </w:p>
        </w:tc>
        <w:tc>
          <w:tcPr>
            <w:tcW w:w="8190" w:type="dxa"/>
          </w:tcPr>
          <w:p w:rsidR="009C7C26" w:rsidRDefault="009C7C26" w:rsidP="009C7C26">
            <w:pPr>
              <w:tabs>
                <w:tab w:val="left" w:pos="-720"/>
                <w:tab w:val="left" w:pos="8640"/>
              </w:tabs>
              <w:outlineLvl w:val="0"/>
              <w:rPr>
                <w:rFonts w:ascii="Arial" w:hAnsi="Arial" w:cs="Arial"/>
                <w:sz w:val="24"/>
                <w:szCs w:val="24"/>
              </w:rPr>
            </w:pPr>
            <w:r>
              <w:rPr>
                <w:rFonts w:ascii="Arial" w:hAnsi="Arial" w:cs="Arial"/>
                <w:sz w:val="24"/>
                <w:szCs w:val="24"/>
              </w:rPr>
              <w:t xml:space="preserve">Statement Of Other Post Employment Benefit (OPEB) Surcharge </w:t>
            </w:r>
          </w:p>
          <w:p w:rsidR="00A20683" w:rsidRPr="00D532E7" w:rsidRDefault="009C7C26" w:rsidP="009C7C26">
            <w:pPr>
              <w:tabs>
                <w:tab w:val="left" w:pos="-720"/>
                <w:tab w:val="left" w:pos="8640"/>
              </w:tabs>
              <w:outlineLvl w:val="0"/>
              <w:rPr>
                <w:rFonts w:ascii="Arial" w:hAnsi="Arial" w:cs="Arial"/>
                <w:sz w:val="24"/>
                <w:szCs w:val="24"/>
              </w:rPr>
            </w:pPr>
            <w:r>
              <w:rPr>
                <w:rFonts w:ascii="Arial" w:hAnsi="Arial" w:cs="Arial"/>
                <w:sz w:val="24"/>
                <w:szCs w:val="24"/>
              </w:rPr>
              <w:t>Over/(Under) Collections</w:t>
            </w:r>
            <w:r w:rsidRPr="00C26B95">
              <w:rPr>
                <w:rFonts w:ascii="Arial" w:hAnsi="Arial" w:cs="Arial"/>
                <w:sz w:val="24"/>
                <w:szCs w:val="24"/>
              </w:rPr>
              <w:t xml:space="preserve"> </w:t>
            </w:r>
            <w:r w:rsidRPr="00AA0CFA">
              <w:rPr>
                <w:rFonts w:ascii="Arial" w:hAnsi="Arial" w:cs="Arial"/>
                <w:sz w:val="24"/>
                <w:szCs w:val="24"/>
              </w:rPr>
              <w:t>(Section 1307(</w:t>
            </w:r>
            <w:r>
              <w:rPr>
                <w:rFonts w:ascii="Arial" w:hAnsi="Arial" w:cs="Arial"/>
                <w:sz w:val="24"/>
                <w:szCs w:val="24"/>
              </w:rPr>
              <w:t>f</w:t>
            </w:r>
            <w:r w:rsidRPr="00AA0CFA">
              <w:rPr>
                <w:rFonts w:ascii="Arial" w:hAnsi="Arial" w:cs="Arial"/>
                <w:sz w:val="24"/>
                <w:szCs w:val="24"/>
              </w:rPr>
              <w:t xml:space="preserve">)) </w:t>
            </w:r>
            <w:r>
              <w:rPr>
                <w:rFonts w:ascii="Arial" w:hAnsi="Arial" w:cs="Arial"/>
                <w:sz w:val="24"/>
                <w:szCs w:val="24"/>
              </w:rPr>
              <w:t xml:space="preserve">For The Twelve Months </w:t>
            </w:r>
            <w:r w:rsidRPr="00071ED0">
              <w:rPr>
                <w:rFonts w:ascii="Arial" w:hAnsi="Arial" w:cs="Arial"/>
                <w:sz w:val="24"/>
                <w:szCs w:val="24"/>
              </w:rPr>
              <w:t>Ended August 31, 20</w:t>
            </w:r>
            <w:r>
              <w:rPr>
                <w:rFonts w:ascii="Arial" w:hAnsi="Arial" w:cs="Arial"/>
                <w:sz w:val="24"/>
                <w:szCs w:val="24"/>
              </w:rPr>
              <w:t>11</w:t>
            </w:r>
          </w:p>
        </w:tc>
        <w:tc>
          <w:tcPr>
            <w:tcW w:w="270" w:type="dxa"/>
          </w:tcPr>
          <w:p w:rsidR="00A20683" w:rsidRPr="00D532E7" w:rsidRDefault="00A20683" w:rsidP="007D5B2E">
            <w:pPr>
              <w:tabs>
                <w:tab w:val="left" w:pos="-720"/>
                <w:tab w:val="left" w:pos="8640"/>
              </w:tabs>
              <w:jc w:val="both"/>
              <w:outlineLvl w:val="0"/>
              <w:rPr>
                <w:rFonts w:ascii="Arial" w:hAnsi="Arial" w:cs="Arial"/>
                <w:sz w:val="24"/>
                <w:szCs w:val="24"/>
              </w:rPr>
            </w:pPr>
          </w:p>
        </w:tc>
        <w:tc>
          <w:tcPr>
            <w:tcW w:w="897" w:type="dxa"/>
          </w:tcPr>
          <w:p w:rsidR="00ED7545" w:rsidRDefault="00ED7545" w:rsidP="007D5B2E">
            <w:pPr>
              <w:tabs>
                <w:tab w:val="left" w:pos="-720"/>
                <w:tab w:val="left" w:pos="8640"/>
              </w:tabs>
              <w:jc w:val="both"/>
              <w:outlineLvl w:val="0"/>
              <w:rPr>
                <w:rFonts w:ascii="Arial" w:hAnsi="Arial" w:cs="Arial"/>
                <w:sz w:val="24"/>
                <w:szCs w:val="24"/>
              </w:rPr>
            </w:pPr>
            <w:r>
              <w:rPr>
                <w:rFonts w:ascii="Arial" w:hAnsi="Arial" w:cs="Arial"/>
                <w:sz w:val="24"/>
                <w:szCs w:val="24"/>
              </w:rPr>
              <w:t xml:space="preserve">    </w:t>
            </w:r>
          </w:p>
          <w:p w:rsidR="00C704CB" w:rsidRDefault="00ED7545" w:rsidP="007D5B2E">
            <w:pPr>
              <w:tabs>
                <w:tab w:val="left" w:pos="-720"/>
                <w:tab w:val="left" w:pos="8640"/>
              </w:tabs>
              <w:jc w:val="both"/>
              <w:outlineLvl w:val="0"/>
              <w:rPr>
                <w:rFonts w:ascii="Arial" w:hAnsi="Arial" w:cs="Arial"/>
                <w:sz w:val="24"/>
                <w:szCs w:val="24"/>
              </w:rPr>
            </w:pPr>
            <w:r>
              <w:rPr>
                <w:rFonts w:ascii="Arial" w:hAnsi="Arial" w:cs="Arial"/>
                <w:sz w:val="24"/>
                <w:szCs w:val="24"/>
              </w:rPr>
              <w:t xml:space="preserve">   </w:t>
            </w:r>
          </w:p>
          <w:p w:rsidR="00A20683" w:rsidRPr="00D532E7" w:rsidRDefault="00ED7545" w:rsidP="00C704CB">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A20683" w:rsidRPr="00D532E7" w:rsidTr="007D5B2E">
        <w:trPr>
          <w:jc w:val="center"/>
        </w:trPr>
        <w:tc>
          <w:tcPr>
            <w:tcW w:w="718" w:type="dxa"/>
          </w:tcPr>
          <w:p w:rsidR="00A20683" w:rsidRPr="00D532E7" w:rsidRDefault="00A20683" w:rsidP="007D5B2E">
            <w:pPr>
              <w:tabs>
                <w:tab w:val="left" w:pos="-720"/>
                <w:tab w:val="left" w:pos="8640"/>
              </w:tabs>
              <w:jc w:val="both"/>
              <w:outlineLvl w:val="0"/>
              <w:rPr>
                <w:rFonts w:ascii="Arial" w:hAnsi="Arial" w:cs="Arial"/>
                <w:sz w:val="24"/>
                <w:szCs w:val="26"/>
              </w:rPr>
            </w:pPr>
          </w:p>
        </w:tc>
        <w:tc>
          <w:tcPr>
            <w:tcW w:w="8190" w:type="dxa"/>
          </w:tcPr>
          <w:p w:rsidR="00A20683" w:rsidRPr="00D532E7" w:rsidRDefault="00A20683" w:rsidP="00896598">
            <w:pPr>
              <w:tabs>
                <w:tab w:val="left" w:pos="-720"/>
                <w:tab w:val="left" w:pos="8640"/>
              </w:tabs>
              <w:outlineLvl w:val="0"/>
              <w:rPr>
                <w:rFonts w:ascii="Arial" w:hAnsi="Arial" w:cs="Arial"/>
                <w:sz w:val="24"/>
                <w:szCs w:val="24"/>
              </w:rPr>
            </w:pPr>
          </w:p>
        </w:tc>
        <w:tc>
          <w:tcPr>
            <w:tcW w:w="270" w:type="dxa"/>
          </w:tcPr>
          <w:p w:rsidR="00A20683" w:rsidRPr="00D532E7" w:rsidRDefault="00A20683" w:rsidP="007D5B2E">
            <w:pPr>
              <w:tabs>
                <w:tab w:val="left" w:pos="-720"/>
                <w:tab w:val="left" w:pos="8640"/>
              </w:tabs>
              <w:jc w:val="both"/>
              <w:outlineLvl w:val="0"/>
              <w:rPr>
                <w:rFonts w:ascii="Arial" w:hAnsi="Arial" w:cs="Arial"/>
                <w:sz w:val="24"/>
                <w:szCs w:val="24"/>
              </w:rPr>
            </w:pPr>
          </w:p>
        </w:tc>
        <w:tc>
          <w:tcPr>
            <w:tcW w:w="897" w:type="dxa"/>
          </w:tcPr>
          <w:p w:rsidR="00A20683" w:rsidRPr="00D532E7" w:rsidRDefault="00A20683" w:rsidP="007D5B2E">
            <w:pPr>
              <w:tabs>
                <w:tab w:val="left" w:pos="-720"/>
                <w:tab w:val="left" w:pos="8640"/>
              </w:tabs>
              <w:jc w:val="both"/>
              <w:outlineLvl w:val="0"/>
              <w:rPr>
                <w:rFonts w:ascii="Arial" w:hAnsi="Arial" w:cs="Arial"/>
                <w:sz w:val="24"/>
                <w:szCs w:val="24"/>
              </w:rPr>
            </w:pPr>
          </w:p>
        </w:tc>
      </w:tr>
      <w:tr w:rsidR="00813736" w:rsidRPr="00051545" w:rsidTr="002419C4">
        <w:trPr>
          <w:cantSplit/>
          <w:trHeight w:hRule="exact" w:val="270"/>
          <w:jc w:val="center"/>
        </w:trPr>
        <w:tc>
          <w:tcPr>
            <w:tcW w:w="718" w:type="dxa"/>
          </w:tcPr>
          <w:p w:rsidR="00813736" w:rsidRPr="00D532E7" w:rsidRDefault="00813736" w:rsidP="007D5B2E">
            <w:pPr>
              <w:tabs>
                <w:tab w:val="left" w:pos="-720"/>
                <w:tab w:val="left" w:pos="8640"/>
              </w:tabs>
              <w:jc w:val="both"/>
              <w:outlineLvl w:val="0"/>
              <w:rPr>
                <w:rFonts w:ascii="Arial" w:hAnsi="Arial" w:cs="Arial"/>
                <w:sz w:val="24"/>
                <w:szCs w:val="18"/>
              </w:rPr>
            </w:pPr>
          </w:p>
        </w:tc>
        <w:tc>
          <w:tcPr>
            <w:tcW w:w="8190" w:type="dxa"/>
          </w:tcPr>
          <w:p w:rsidR="00813736" w:rsidRPr="00071ED0" w:rsidRDefault="00813736" w:rsidP="00A76984">
            <w:pPr>
              <w:tabs>
                <w:tab w:val="left" w:pos="-720"/>
                <w:tab w:val="left" w:pos="8640"/>
              </w:tabs>
              <w:outlineLvl w:val="0"/>
              <w:rPr>
                <w:rFonts w:ascii="Arial" w:hAnsi="Arial" w:cs="Arial"/>
                <w:sz w:val="24"/>
                <w:szCs w:val="24"/>
              </w:rPr>
            </w:pPr>
            <w:r w:rsidRPr="00071ED0">
              <w:rPr>
                <w:rFonts w:ascii="Arial" w:hAnsi="Arial" w:cs="Arial"/>
                <w:sz w:val="24"/>
                <w:szCs w:val="24"/>
              </w:rPr>
              <w:t>Notes To The Financial Statements</w:t>
            </w:r>
          </w:p>
        </w:tc>
        <w:tc>
          <w:tcPr>
            <w:tcW w:w="270" w:type="dxa"/>
          </w:tcPr>
          <w:p w:rsidR="00813736" w:rsidRPr="00071ED0" w:rsidRDefault="00813736" w:rsidP="00A76984">
            <w:pPr>
              <w:tabs>
                <w:tab w:val="left" w:pos="-720"/>
                <w:tab w:val="left" w:pos="8640"/>
              </w:tabs>
              <w:jc w:val="both"/>
              <w:outlineLvl w:val="0"/>
              <w:rPr>
                <w:rFonts w:ascii="Arial" w:hAnsi="Arial" w:cs="Arial"/>
                <w:sz w:val="24"/>
                <w:szCs w:val="24"/>
              </w:rPr>
            </w:pPr>
          </w:p>
        </w:tc>
        <w:tc>
          <w:tcPr>
            <w:tcW w:w="897" w:type="dxa"/>
          </w:tcPr>
          <w:p w:rsidR="00813736" w:rsidRPr="00071ED0" w:rsidRDefault="00ED7545" w:rsidP="00455750">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813736" w:rsidRPr="00733821" w:rsidTr="007D5B2E">
        <w:trPr>
          <w:jc w:val="center"/>
        </w:trPr>
        <w:tc>
          <w:tcPr>
            <w:tcW w:w="718" w:type="dxa"/>
          </w:tcPr>
          <w:p w:rsidR="00813736" w:rsidRPr="00733821" w:rsidRDefault="00813736" w:rsidP="007D5B2E">
            <w:pPr>
              <w:tabs>
                <w:tab w:val="left" w:pos="-720"/>
                <w:tab w:val="left" w:pos="8640"/>
              </w:tabs>
              <w:jc w:val="both"/>
              <w:outlineLvl w:val="0"/>
              <w:rPr>
                <w:rFonts w:ascii="Arial" w:hAnsi="Arial" w:cs="Arial"/>
                <w:sz w:val="24"/>
                <w:szCs w:val="26"/>
              </w:rPr>
            </w:pPr>
          </w:p>
        </w:tc>
        <w:tc>
          <w:tcPr>
            <w:tcW w:w="8190" w:type="dxa"/>
          </w:tcPr>
          <w:p w:rsidR="00813736" w:rsidRPr="00733821" w:rsidRDefault="00813736" w:rsidP="00A846B4">
            <w:pPr>
              <w:tabs>
                <w:tab w:val="left" w:pos="-720"/>
                <w:tab w:val="left" w:pos="8640"/>
              </w:tabs>
              <w:outlineLvl w:val="0"/>
              <w:rPr>
                <w:rFonts w:ascii="Arial" w:hAnsi="Arial" w:cs="Arial"/>
                <w:sz w:val="24"/>
                <w:szCs w:val="24"/>
              </w:rPr>
            </w:pPr>
          </w:p>
        </w:tc>
        <w:tc>
          <w:tcPr>
            <w:tcW w:w="270" w:type="dxa"/>
          </w:tcPr>
          <w:p w:rsidR="00813736" w:rsidRPr="0073382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733821" w:rsidRDefault="00813736" w:rsidP="00565D6E">
            <w:pPr>
              <w:tabs>
                <w:tab w:val="left" w:pos="-720"/>
                <w:tab w:val="left" w:pos="8640"/>
              </w:tabs>
              <w:jc w:val="both"/>
              <w:outlineLvl w:val="0"/>
              <w:rPr>
                <w:rFonts w:ascii="Arial" w:hAnsi="Arial" w:cs="Arial"/>
                <w:sz w:val="24"/>
                <w:szCs w:val="24"/>
              </w:rPr>
            </w:pPr>
          </w:p>
        </w:tc>
      </w:tr>
      <w:tr w:rsidR="00813736" w:rsidRPr="00733821" w:rsidTr="007D5B2E">
        <w:trPr>
          <w:jc w:val="center"/>
        </w:trPr>
        <w:tc>
          <w:tcPr>
            <w:tcW w:w="718" w:type="dxa"/>
          </w:tcPr>
          <w:p w:rsidR="00813736" w:rsidRPr="00733821" w:rsidRDefault="00813736" w:rsidP="007D5B2E">
            <w:pPr>
              <w:tabs>
                <w:tab w:val="left" w:pos="-720"/>
                <w:tab w:val="left" w:pos="8640"/>
              </w:tabs>
              <w:jc w:val="both"/>
              <w:outlineLvl w:val="0"/>
              <w:rPr>
                <w:rFonts w:ascii="Arial" w:hAnsi="Arial" w:cs="Arial"/>
                <w:sz w:val="24"/>
              </w:rPr>
            </w:pPr>
          </w:p>
        </w:tc>
        <w:tc>
          <w:tcPr>
            <w:tcW w:w="8190" w:type="dxa"/>
          </w:tcPr>
          <w:p w:rsidR="00813736" w:rsidRPr="00733821"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73382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733821" w:rsidRDefault="00813736" w:rsidP="007D5B2E">
            <w:pPr>
              <w:tabs>
                <w:tab w:val="left" w:pos="-720"/>
                <w:tab w:val="left" w:pos="8640"/>
              </w:tabs>
              <w:jc w:val="both"/>
              <w:outlineLvl w:val="0"/>
              <w:rPr>
                <w:rFonts w:ascii="Arial" w:hAnsi="Arial" w:cs="Arial"/>
                <w:sz w:val="24"/>
                <w:szCs w:val="24"/>
              </w:rPr>
            </w:pPr>
          </w:p>
        </w:tc>
      </w:tr>
      <w:tr w:rsidR="00813736" w:rsidRPr="00B12E37" w:rsidTr="007D5B2E">
        <w:trPr>
          <w:jc w:val="center"/>
        </w:trPr>
        <w:tc>
          <w:tcPr>
            <w:tcW w:w="8908" w:type="dxa"/>
            <w:gridSpan w:val="2"/>
          </w:tcPr>
          <w:p w:rsidR="00813736" w:rsidRPr="007C5FC1" w:rsidRDefault="00002F04" w:rsidP="007D5B2E">
            <w:pPr>
              <w:tabs>
                <w:tab w:val="left" w:pos="-720"/>
                <w:tab w:val="left" w:pos="8640"/>
              </w:tabs>
              <w:jc w:val="both"/>
              <w:outlineLvl w:val="0"/>
              <w:rPr>
                <w:rFonts w:ascii="Arial" w:hAnsi="Arial" w:cs="Arial"/>
                <w:sz w:val="24"/>
                <w:szCs w:val="24"/>
              </w:rPr>
            </w:pPr>
            <w:r w:rsidRPr="004D73A4">
              <w:rPr>
                <w:rFonts w:ascii="Arial" w:hAnsi="Arial" w:cs="Arial"/>
                <w:b/>
                <w:sz w:val="24"/>
                <w:szCs w:val="24"/>
              </w:rPr>
              <w:t>BACKGROUND AND OPERATIONAL REVIEW</w:t>
            </w:r>
          </w:p>
        </w:tc>
        <w:tc>
          <w:tcPr>
            <w:tcW w:w="270" w:type="dxa"/>
          </w:tcPr>
          <w:p w:rsidR="00813736" w:rsidRPr="00B12E37" w:rsidRDefault="00813736" w:rsidP="007D5B2E">
            <w:pPr>
              <w:tabs>
                <w:tab w:val="left" w:pos="-720"/>
                <w:tab w:val="left" w:pos="8640"/>
              </w:tabs>
              <w:jc w:val="both"/>
              <w:outlineLvl w:val="0"/>
              <w:rPr>
                <w:rFonts w:ascii="Arial" w:hAnsi="Arial" w:cs="Arial"/>
                <w:sz w:val="26"/>
                <w:szCs w:val="26"/>
              </w:rPr>
            </w:pPr>
          </w:p>
        </w:tc>
        <w:tc>
          <w:tcPr>
            <w:tcW w:w="897" w:type="dxa"/>
          </w:tcPr>
          <w:p w:rsidR="00813736" w:rsidRPr="00057300" w:rsidRDefault="00057300" w:rsidP="00057300">
            <w:pPr>
              <w:tabs>
                <w:tab w:val="left" w:pos="-720"/>
                <w:tab w:val="left" w:pos="8640"/>
              </w:tabs>
              <w:jc w:val="center"/>
              <w:outlineLvl w:val="0"/>
              <w:rPr>
                <w:rFonts w:ascii="Arial" w:hAnsi="Arial" w:cs="Arial"/>
                <w:sz w:val="24"/>
                <w:szCs w:val="24"/>
              </w:rPr>
            </w:pPr>
            <w:r w:rsidRPr="00057300">
              <w:rPr>
                <w:rFonts w:ascii="Arial" w:hAnsi="Arial" w:cs="Arial"/>
                <w:sz w:val="24"/>
                <w:szCs w:val="24"/>
              </w:rPr>
              <w:t>5</w:t>
            </w:r>
          </w:p>
        </w:tc>
      </w:tr>
      <w:tr w:rsidR="00813736" w:rsidRPr="00051545" w:rsidTr="007D5B2E">
        <w:trPr>
          <w:jc w:val="center"/>
        </w:trPr>
        <w:tc>
          <w:tcPr>
            <w:tcW w:w="718" w:type="dxa"/>
          </w:tcPr>
          <w:p w:rsidR="00813736" w:rsidRPr="00D532E7" w:rsidRDefault="00813736" w:rsidP="007D5B2E">
            <w:pPr>
              <w:tabs>
                <w:tab w:val="left" w:pos="-720"/>
                <w:tab w:val="left" w:pos="8640"/>
              </w:tabs>
              <w:jc w:val="both"/>
              <w:outlineLvl w:val="0"/>
              <w:rPr>
                <w:rFonts w:ascii="Arial" w:hAnsi="Arial" w:cs="Arial"/>
                <w:sz w:val="24"/>
                <w:szCs w:val="18"/>
              </w:rPr>
            </w:pPr>
          </w:p>
        </w:tc>
        <w:tc>
          <w:tcPr>
            <w:tcW w:w="8190" w:type="dxa"/>
          </w:tcPr>
          <w:p w:rsidR="00813736" w:rsidRPr="00071ED0"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071ED0"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071ED0" w:rsidRDefault="00813736" w:rsidP="007D5B2E">
            <w:pPr>
              <w:tabs>
                <w:tab w:val="left" w:pos="-720"/>
                <w:tab w:val="left" w:pos="8640"/>
              </w:tabs>
              <w:jc w:val="both"/>
              <w:outlineLvl w:val="0"/>
              <w:rPr>
                <w:rFonts w:ascii="Arial" w:hAnsi="Arial" w:cs="Arial"/>
                <w:sz w:val="24"/>
                <w:szCs w:val="24"/>
              </w:rPr>
            </w:pPr>
          </w:p>
        </w:tc>
      </w:tr>
      <w:tr w:rsidR="00461FDF" w:rsidRPr="00051545" w:rsidTr="00EA09BC">
        <w:trPr>
          <w:jc w:val="center"/>
        </w:trPr>
        <w:tc>
          <w:tcPr>
            <w:tcW w:w="8908" w:type="dxa"/>
            <w:gridSpan w:val="2"/>
          </w:tcPr>
          <w:p w:rsidR="00461FDF" w:rsidRPr="00F93029" w:rsidRDefault="00F93029" w:rsidP="00F93029">
            <w:pPr>
              <w:tabs>
                <w:tab w:val="left" w:pos="-720"/>
                <w:tab w:val="left" w:pos="8640"/>
              </w:tabs>
              <w:ind w:firstLine="700"/>
              <w:outlineLvl w:val="0"/>
              <w:rPr>
                <w:rFonts w:ascii="Arial" w:hAnsi="Arial" w:cs="Arial"/>
                <w:b/>
                <w:sz w:val="24"/>
                <w:szCs w:val="24"/>
              </w:rPr>
            </w:pPr>
            <w:r w:rsidRPr="00F93029">
              <w:rPr>
                <w:rFonts w:ascii="Arial" w:hAnsi="Arial" w:cs="Arial"/>
                <w:sz w:val="24"/>
                <w:szCs w:val="24"/>
              </w:rPr>
              <w:t>Current Period Audit Finding</w:t>
            </w:r>
          </w:p>
        </w:tc>
        <w:tc>
          <w:tcPr>
            <w:tcW w:w="270" w:type="dxa"/>
          </w:tcPr>
          <w:p w:rsidR="00461FDF" w:rsidRPr="00071ED0" w:rsidRDefault="00461FDF" w:rsidP="007D5B2E">
            <w:pPr>
              <w:tabs>
                <w:tab w:val="left" w:pos="-720"/>
                <w:tab w:val="left" w:pos="8640"/>
              </w:tabs>
              <w:jc w:val="both"/>
              <w:outlineLvl w:val="0"/>
              <w:rPr>
                <w:rFonts w:ascii="Arial" w:hAnsi="Arial" w:cs="Arial"/>
                <w:sz w:val="24"/>
                <w:szCs w:val="24"/>
              </w:rPr>
            </w:pPr>
          </w:p>
        </w:tc>
        <w:tc>
          <w:tcPr>
            <w:tcW w:w="897" w:type="dxa"/>
          </w:tcPr>
          <w:p w:rsidR="00461FDF" w:rsidRPr="00071ED0" w:rsidRDefault="00461FDF" w:rsidP="00565D6E">
            <w:pPr>
              <w:tabs>
                <w:tab w:val="left" w:pos="-720"/>
                <w:tab w:val="left" w:pos="8640"/>
              </w:tabs>
              <w:jc w:val="both"/>
              <w:outlineLvl w:val="0"/>
              <w:rPr>
                <w:rFonts w:ascii="Arial" w:hAnsi="Arial" w:cs="Arial"/>
                <w:sz w:val="24"/>
                <w:szCs w:val="24"/>
              </w:rPr>
            </w:pPr>
          </w:p>
        </w:tc>
      </w:tr>
      <w:tr w:rsidR="00461FDF" w:rsidRPr="00051545" w:rsidTr="007D5B2E">
        <w:trPr>
          <w:jc w:val="center"/>
        </w:trPr>
        <w:tc>
          <w:tcPr>
            <w:tcW w:w="718" w:type="dxa"/>
          </w:tcPr>
          <w:p w:rsidR="00461FDF" w:rsidRPr="00D532E7" w:rsidRDefault="00461FDF" w:rsidP="007D5B2E">
            <w:pPr>
              <w:tabs>
                <w:tab w:val="left" w:pos="-720"/>
                <w:tab w:val="left" w:pos="8640"/>
              </w:tabs>
              <w:jc w:val="both"/>
              <w:outlineLvl w:val="0"/>
              <w:rPr>
                <w:rFonts w:ascii="Arial" w:hAnsi="Arial" w:cs="Arial"/>
                <w:sz w:val="24"/>
                <w:szCs w:val="26"/>
              </w:rPr>
            </w:pPr>
          </w:p>
        </w:tc>
        <w:tc>
          <w:tcPr>
            <w:tcW w:w="8190" w:type="dxa"/>
          </w:tcPr>
          <w:p w:rsidR="00461FDF" w:rsidRPr="00071ED0" w:rsidRDefault="00461FDF" w:rsidP="007D5B2E">
            <w:pPr>
              <w:tabs>
                <w:tab w:val="left" w:pos="-720"/>
                <w:tab w:val="left" w:pos="8640"/>
              </w:tabs>
              <w:outlineLvl w:val="0"/>
              <w:rPr>
                <w:rFonts w:ascii="Arial" w:hAnsi="Arial" w:cs="Arial"/>
                <w:sz w:val="24"/>
                <w:szCs w:val="24"/>
              </w:rPr>
            </w:pPr>
          </w:p>
        </w:tc>
        <w:tc>
          <w:tcPr>
            <w:tcW w:w="270" w:type="dxa"/>
          </w:tcPr>
          <w:p w:rsidR="00461FDF" w:rsidRPr="00071ED0" w:rsidRDefault="00461FDF" w:rsidP="007D5B2E">
            <w:pPr>
              <w:tabs>
                <w:tab w:val="left" w:pos="-720"/>
                <w:tab w:val="left" w:pos="8640"/>
              </w:tabs>
              <w:jc w:val="both"/>
              <w:outlineLvl w:val="0"/>
              <w:rPr>
                <w:rFonts w:ascii="Arial" w:hAnsi="Arial" w:cs="Arial"/>
                <w:sz w:val="24"/>
                <w:szCs w:val="24"/>
              </w:rPr>
            </w:pPr>
          </w:p>
        </w:tc>
        <w:tc>
          <w:tcPr>
            <w:tcW w:w="897" w:type="dxa"/>
          </w:tcPr>
          <w:p w:rsidR="00461FDF" w:rsidRPr="00071ED0" w:rsidRDefault="00461FDF" w:rsidP="00565D6E">
            <w:pPr>
              <w:tabs>
                <w:tab w:val="left" w:pos="-720"/>
                <w:tab w:val="left" w:pos="8640"/>
              </w:tabs>
              <w:jc w:val="both"/>
              <w:outlineLvl w:val="0"/>
              <w:rPr>
                <w:rFonts w:ascii="Arial" w:hAnsi="Arial" w:cs="Arial"/>
                <w:sz w:val="24"/>
                <w:szCs w:val="24"/>
              </w:rPr>
            </w:pPr>
          </w:p>
        </w:tc>
      </w:tr>
      <w:tr w:rsidR="00461FDF" w:rsidRPr="00051545" w:rsidTr="00461FDF">
        <w:trPr>
          <w:jc w:val="center"/>
        </w:trPr>
        <w:tc>
          <w:tcPr>
            <w:tcW w:w="718" w:type="dxa"/>
          </w:tcPr>
          <w:p w:rsidR="00461FDF" w:rsidRPr="00D532E7" w:rsidRDefault="00461FDF" w:rsidP="007D5B2E">
            <w:pPr>
              <w:tabs>
                <w:tab w:val="left" w:pos="-720"/>
                <w:tab w:val="left" w:pos="8640"/>
              </w:tabs>
              <w:jc w:val="both"/>
              <w:outlineLvl w:val="0"/>
              <w:rPr>
                <w:rFonts w:ascii="Arial" w:hAnsi="Arial" w:cs="Arial"/>
                <w:sz w:val="24"/>
                <w:szCs w:val="26"/>
              </w:rPr>
            </w:pPr>
          </w:p>
        </w:tc>
        <w:tc>
          <w:tcPr>
            <w:tcW w:w="8190" w:type="dxa"/>
          </w:tcPr>
          <w:p w:rsidR="00461FDF" w:rsidRPr="007A3EEF" w:rsidRDefault="007A3EEF" w:rsidP="00F93029">
            <w:pPr>
              <w:ind w:left="1512" w:hanging="1170"/>
              <w:rPr>
                <w:rFonts w:ascii="Arial" w:hAnsi="Arial" w:cs="Arial"/>
                <w:sz w:val="24"/>
                <w:szCs w:val="24"/>
              </w:rPr>
            </w:pPr>
            <w:r w:rsidRPr="000558CF">
              <w:rPr>
                <w:rFonts w:ascii="Arial" w:hAnsi="Arial" w:cs="Arial"/>
                <w:b/>
                <w:sz w:val="24"/>
                <w:szCs w:val="24"/>
              </w:rPr>
              <w:t xml:space="preserve">Finding – The Company Erroneously Charged the Natural Gas Vehicle (NGVSF) </w:t>
            </w:r>
            <w:r w:rsidR="000558CF" w:rsidRPr="000558CF">
              <w:rPr>
                <w:rFonts w:ascii="Arial" w:hAnsi="Arial" w:cs="Arial"/>
                <w:b/>
                <w:sz w:val="24"/>
                <w:szCs w:val="24"/>
              </w:rPr>
              <w:t>C</w:t>
            </w:r>
            <w:r w:rsidR="002F152F" w:rsidRPr="000558CF">
              <w:rPr>
                <w:rFonts w:ascii="Arial" w:hAnsi="Arial" w:cs="Arial"/>
                <w:b/>
                <w:sz w:val="24"/>
                <w:szCs w:val="24"/>
              </w:rPr>
              <w:t>ustomer</w:t>
            </w:r>
            <w:r w:rsidRPr="000558CF">
              <w:rPr>
                <w:rFonts w:ascii="Arial" w:hAnsi="Arial" w:cs="Arial"/>
                <w:b/>
                <w:sz w:val="24"/>
                <w:szCs w:val="24"/>
              </w:rPr>
              <w:t xml:space="preserve"> </w:t>
            </w:r>
            <w:r w:rsidR="000558CF" w:rsidRPr="000558CF">
              <w:rPr>
                <w:rFonts w:ascii="Arial" w:hAnsi="Arial" w:cs="Arial"/>
                <w:b/>
                <w:sz w:val="24"/>
                <w:szCs w:val="24"/>
              </w:rPr>
              <w:t>C</w:t>
            </w:r>
            <w:r w:rsidRPr="000558CF">
              <w:rPr>
                <w:rFonts w:ascii="Arial" w:hAnsi="Arial" w:cs="Arial"/>
                <w:b/>
                <w:sz w:val="24"/>
                <w:szCs w:val="24"/>
              </w:rPr>
              <w:t>lass the Other Post Employment Benefit Surcharge.</w:t>
            </w:r>
          </w:p>
        </w:tc>
        <w:tc>
          <w:tcPr>
            <w:tcW w:w="270" w:type="dxa"/>
          </w:tcPr>
          <w:p w:rsidR="00461FDF" w:rsidRPr="00071ED0" w:rsidRDefault="00461FDF" w:rsidP="007D5B2E">
            <w:pPr>
              <w:tabs>
                <w:tab w:val="left" w:pos="-720"/>
                <w:tab w:val="left" w:pos="8640"/>
              </w:tabs>
              <w:jc w:val="both"/>
              <w:outlineLvl w:val="0"/>
              <w:rPr>
                <w:rFonts w:ascii="Arial" w:hAnsi="Arial" w:cs="Arial"/>
                <w:sz w:val="24"/>
                <w:szCs w:val="24"/>
              </w:rPr>
            </w:pPr>
          </w:p>
        </w:tc>
        <w:tc>
          <w:tcPr>
            <w:tcW w:w="897" w:type="dxa"/>
            <w:vAlign w:val="center"/>
          </w:tcPr>
          <w:p w:rsidR="008A4A9F" w:rsidRDefault="008A4A9F" w:rsidP="00461FDF">
            <w:pPr>
              <w:tabs>
                <w:tab w:val="left" w:pos="-720"/>
                <w:tab w:val="left" w:pos="8640"/>
              </w:tabs>
              <w:jc w:val="center"/>
              <w:outlineLvl w:val="0"/>
              <w:rPr>
                <w:rFonts w:ascii="Arial" w:hAnsi="Arial" w:cs="Arial"/>
                <w:sz w:val="24"/>
                <w:szCs w:val="24"/>
              </w:rPr>
            </w:pPr>
          </w:p>
          <w:p w:rsidR="00AB6682" w:rsidRDefault="00AB6682" w:rsidP="00461FDF">
            <w:pPr>
              <w:tabs>
                <w:tab w:val="left" w:pos="-720"/>
                <w:tab w:val="left" w:pos="8640"/>
              </w:tabs>
              <w:jc w:val="center"/>
              <w:outlineLvl w:val="0"/>
              <w:rPr>
                <w:rFonts w:ascii="Arial" w:hAnsi="Arial" w:cs="Arial"/>
                <w:sz w:val="24"/>
                <w:szCs w:val="24"/>
              </w:rPr>
            </w:pPr>
          </w:p>
          <w:p w:rsidR="00461FDF" w:rsidRPr="00071ED0" w:rsidRDefault="007A3EEF" w:rsidP="00461FDF">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461FDF" w:rsidRPr="00051545" w:rsidTr="007D5B2E">
        <w:trPr>
          <w:jc w:val="center"/>
        </w:trPr>
        <w:tc>
          <w:tcPr>
            <w:tcW w:w="718" w:type="dxa"/>
          </w:tcPr>
          <w:p w:rsidR="00461FDF" w:rsidRPr="00D532E7" w:rsidRDefault="00461FDF" w:rsidP="007D5B2E">
            <w:pPr>
              <w:tabs>
                <w:tab w:val="left" w:pos="-720"/>
                <w:tab w:val="left" w:pos="8640"/>
              </w:tabs>
              <w:jc w:val="both"/>
              <w:outlineLvl w:val="0"/>
              <w:rPr>
                <w:rFonts w:ascii="Arial" w:hAnsi="Arial" w:cs="Arial"/>
                <w:sz w:val="24"/>
                <w:szCs w:val="26"/>
              </w:rPr>
            </w:pPr>
          </w:p>
        </w:tc>
        <w:tc>
          <w:tcPr>
            <w:tcW w:w="8190" w:type="dxa"/>
          </w:tcPr>
          <w:p w:rsidR="00461FDF" w:rsidRPr="00071ED0" w:rsidRDefault="00461FDF" w:rsidP="007D5B2E">
            <w:pPr>
              <w:tabs>
                <w:tab w:val="left" w:pos="-720"/>
                <w:tab w:val="left" w:pos="8640"/>
              </w:tabs>
              <w:outlineLvl w:val="0"/>
              <w:rPr>
                <w:rFonts w:ascii="Arial" w:hAnsi="Arial" w:cs="Arial"/>
                <w:sz w:val="24"/>
                <w:szCs w:val="24"/>
              </w:rPr>
            </w:pPr>
          </w:p>
        </w:tc>
        <w:tc>
          <w:tcPr>
            <w:tcW w:w="270" w:type="dxa"/>
          </w:tcPr>
          <w:p w:rsidR="00461FDF" w:rsidRPr="00071ED0" w:rsidRDefault="00461FDF" w:rsidP="007D5B2E">
            <w:pPr>
              <w:tabs>
                <w:tab w:val="left" w:pos="-720"/>
                <w:tab w:val="left" w:pos="8640"/>
              </w:tabs>
              <w:jc w:val="both"/>
              <w:outlineLvl w:val="0"/>
              <w:rPr>
                <w:rFonts w:ascii="Arial" w:hAnsi="Arial" w:cs="Arial"/>
                <w:sz w:val="24"/>
                <w:szCs w:val="24"/>
              </w:rPr>
            </w:pPr>
          </w:p>
        </w:tc>
        <w:tc>
          <w:tcPr>
            <w:tcW w:w="897" w:type="dxa"/>
          </w:tcPr>
          <w:p w:rsidR="00461FDF" w:rsidRPr="00071ED0" w:rsidRDefault="00461FDF" w:rsidP="00565D6E">
            <w:pPr>
              <w:tabs>
                <w:tab w:val="left" w:pos="-720"/>
                <w:tab w:val="left" w:pos="8640"/>
              </w:tabs>
              <w:jc w:val="both"/>
              <w:outlineLvl w:val="0"/>
              <w:rPr>
                <w:rFonts w:ascii="Arial" w:hAnsi="Arial" w:cs="Arial"/>
                <w:sz w:val="24"/>
                <w:szCs w:val="24"/>
              </w:rPr>
            </w:pPr>
          </w:p>
        </w:tc>
      </w:tr>
      <w:tr w:rsidR="00813736" w:rsidRPr="00051545" w:rsidTr="00025FA2">
        <w:trPr>
          <w:jc w:val="center"/>
        </w:trPr>
        <w:tc>
          <w:tcPr>
            <w:tcW w:w="8908" w:type="dxa"/>
            <w:gridSpan w:val="2"/>
          </w:tcPr>
          <w:p w:rsidR="00813736" w:rsidRPr="007C5FC1" w:rsidRDefault="00813736" w:rsidP="00025FA2">
            <w:pPr>
              <w:tabs>
                <w:tab w:val="left" w:pos="-720"/>
                <w:tab w:val="left" w:pos="8640"/>
              </w:tabs>
              <w:outlineLvl w:val="0"/>
              <w:rPr>
                <w:rFonts w:ascii="Arial" w:hAnsi="Arial" w:cs="Arial"/>
                <w:b/>
                <w:sz w:val="24"/>
                <w:szCs w:val="24"/>
              </w:rPr>
            </w:pPr>
            <w:r w:rsidRPr="007C5FC1">
              <w:rPr>
                <w:rFonts w:ascii="Arial" w:hAnsi="Arial" w:cs="Arial"/>
                <w:b/>
                <w:sz w:val="24"/>
                <w:szCs w:val="24"/>
              </w:rPr>
              <w:t>ACKNOWLEDGEMENTS</w:t>
            </w:r>
          </w:p>
          <w:p w:rsidR="00813736" w:rsidRPr="00D532E7" w:rsidRDefault="00813736" w:rsidP="00025FA2">
            <w:pPr>
              <w:tabs>
                <w:tab w:val="left" w:pos="-720"/>
                <w:tab w:val="left" w:pos="8640"/>
              </w:tabs>
              <w:outlineLvl w:val="0"/>
              <w:rPr>
                <w:rFonts w:ascii="Arial" w:hAnsi="Arial" w:cs="Arial"/>
                <w:sz w:val="24"/>
                <w:szCs w:val="26"/>
              </w:rPr>
            </w:pPr>
          </w:p>
        </w:tc>
        <w:tc>
          <w:tcPr>
            <w:tcW w:w="270" w:type="dxa"/>
          </w:tcPr>
          <w:p w:rsidR="00813736" w:rsidRPr="00051545" w:rsidRDefault="00813736" w:rsidP="00025FA2">
            <w:pPr>
              <w:tabs>
                <w:tab w:val="left" w:pos="-720"/>
                <w:tab w:val="left" w:pos="8640"/>
              </w:tabs>
              <w:jc w:val="both"/>
              <w:outlineLvl w:val="0"/>
              <w:rPr>
                <w:rFonts w:ascii="Arial" w:hAnsi="Arial" w:cs="Arial"/>
                <w:sz w:val="26"/>
                <w:szCs w:val="26"/>
              </w:rPr>
            </w:pPr>
          </w:p>
        </w:tc>
        <w:tc>
          <w:tcPr>
            <w:tcW w:w="897" w:type="dxa"/>
          </w:tcPr>
          <w:p w:rsidR="00813736" w:rsidRPr="00071ED0" w:rsidRDefault="007A3EEF" w:rsidP="00455750">
            <w:pPr>
              <w:tabs>
                <w:tab w:val="left" w:pos="-720"/>
                <w:tab w:val="left" w:pos="8640"/>
              </w:tabs>
              <w:jc w:val="center"/>
              <w:outlineLvl w:val="0"/>
              <w:rPr>
                <w:rFonts w:ascii="Arial" w:hAnsi="Arial" w:cs="Arial"/>
                <w:sz w:val="24"/>
                <w:szCs w:val="24"/>
              </w:rPr>
            </w:pPr>
            <w:r>
              <w:rPr>
                <w:rFonts w:ascii="Arial" w:hAnsi="Arial" w:cs="Arial"/>
                <w:sz w:val="24"/>
                <w:szCs w:val="24"/>
              </w:rPr>
              <w:t>7</w:t>
            </w:r>
          </w:p>
        </w:tc>
      </w:tr>
    </w:tbl>
    <w:p w:rsidR="00E32D70" w:rsidRDefault="00E32D70" w:rsidP="007D5B2E">
      <w:pPr>
        <w:tabs>
          <w:tab w:val="left" w:pos="-720"/>
          <w:tab w:val="left" w:pos="8640"/>
        </w:tabs>
        <w:jc w:val="both"/>
        <w:outlineLvl w:val="0"/>
        <w:rPr>
          <w:rFonts w:ascii="Arial" w:hAnsi="Arial" w:cs="Arial"/>
          <w:sz w:val="26"/>
          <w:szCs w:val="26"/>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3"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D0219E" w:rsidRPr="009876F5" w:rsidRDefault="00D0219E">
      <w:pPr>
        <w:tabs>
          <w:tab w:val="left" w:pos="-720"/>
          <w:tab w:val="left" w:pos="8820"/>
        </w:tabs>
        <w:rPr>
          <w:rFonts w:ascii="Arial" w:hAnsi="Arial" w:cs="Arial"/>
          <w:sz w:val="26"/>
          <w:szCs w:val="26"/>
        </w:rPr>
      </w:pPr>
    </w:p>
    <w:p w:rsidR="00EC58EA" w:rsidRPr="009876F5" w:rsidRDefault="00EC58EA">
      <w:pPr>
        <w:tabs>
          <w:tab w:val="center" w:pos="4680"/>
          <w:tab w:val="left" w:pos="8820"/>
        </w:tabs>
        <w:jc w:val="center"/>
        <w:outlineLvl w:val="0"/>
        <w:rPr>
          <w:rFonts w:ascii="Arial" w:hAnsi="Arial" w:cs="Arial"/>
          <w:b/>
          <w:sz w:val="26"/>
          <w:szCs w:val="26"/>
        </w:rPr>
      </w:pPr>
      <w:r w:rsidRPr="009876F5">
        <w:rPr>
          <w:rFonts w:ascii="Arial" w:hAnsi="Arial" w:cs="Arial"/>
          <w:b/>
          <w:sz w:val="26"/>
          <w:szCs w:val="26"/>
        </w:rPr>
        <w:t>INDEPENDENT AUDITOR'S REPORT</w:t>
      </w:r>
    </w:p>
    <w:p w:rsidR="00EC58EA" w:rsidRPr="009876F5" w:rsidRDefault="00EC58EA">
      <w:pPr>
        <w:tabs>
          <w:tab w:val="left" w:pos="-720"/>
          <w:tab w:val="left" w:pos="8820"/>
        </w:tabs>
        <w:rPr>
          <w:rFonts w:ascii="Arial" w:hAnsi="Arial" w:cs="Arial"/>
          <w:sz w:val="26"/>
          <w:szCs w:val="26"/>
        </w:rPr>
      </w:pPr>
    </w:p>
    <w:p w:rsidR="00EC58EA" w:rsidRPr="009876F5" w:rsidRDefault="00EC58EA">
      <w:pPr>
        <w:tabs>
          <w:tab w:val="center" w:pos="4680"/>
          <w:tab w:val="left" w:pos="8820"/>
        </w:tabs>
        <w:jc w:val="center"/>
        <w:outlineLvl w:val="0"/>
        <w:rPr>
          <w:rFonts w:ascii="Arial" w:hAnsi="Arial" w:cs="Arial"/>
          <w:sz w:val="26"/>
          <w:szCs w:val="26"/>
        </w:rPr>
      </w:pPr>
      <w:r w:rsidRPr="009876F5">
        <w:rPr>
          <w:rFonts w:ascii="Arial" w:hAnsi="Arial" w:cs="Arial"/>
          <w:b/>
          <w:sz w:val="26"/>
          <w:szCs w:val="26"/>
        </w:rPr>
        <w:t>To The</w:t>
      </w:r>
      <w:r w:rsidR="00F1331A" w:rsidRPr="009876F5">
        <w:rPr>
          <w:rFonts w:ascii="Arial" w:hAnsi="Arial" w:cs="Arial"/>
          <w:b/>
          <w:sz w:val="26"/>
          <w:szCs w:val="26"/>
        </w:rPr>
        <w:t xml:space="preserve"> Pennsylvania</w:t>
      </w:r>
      <w:r w:rsidRPr="009876F5">
        <w:rPr>
          <w:rFonts w:ascii="Arial" w:hAnsi="Arial" w:cs="Arial"/>
          <w:b/>
          <w:sz w:val="26"/>
          <w:szCs w:val="26"/>
        </w:rPr>
        <w:t xml:space="preserve"> Public Utility Commission</w:t>
      </w:r>
    </w:p>
    <w:p w:rsidR="00EC58EA" w:rsidRDefault="00EC58EA">
      <w:pPr>
        <w:tabs>
          <w:tab w:val="left" w:pos="-720"/>
          <w:tab w:val="left" w:pos="8820"/>
        </w:tabs>
        <w:rPr>
          <w:rFonts w:ascii="Arial" w:hAnsi="Arial" w:cs="Arial"/>
          <w:sz w:val="24"/>
          <w:szCs w:val="26"/>
        </w:rPr>
      </w:pPr>
    </w:p>
    <w:p w:rsidR="00D57B96" w:rsidRPr="00D57B96" w:rsidRDefault="00D57B96">
      <w:pPr>
        <w:tabs>
          <w:tab w:val="left" w:pos="-720"/>
          <w:tab w:val="left" w:pos="8820"/>
        </w:tabs>
        <w:rPr>
          <w:rFonts w:ascii="Arial" w:hAnsi="Arial" w:cs="Arial"/>
          <w:sz w:val="24"/>
          <w:szCs w:val="26"/>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Pr="00071ED0">
        <w:rPr>
          <w:rFonts w:ascii="Arial" w:hAnsi="Arial" w:cs="Arial"/>
          <w:szCs w:val="24"/>
        </w:rPr>
        <w:t>We have audited Philadelphia Gas Works’ Statement</w:t>
      </w:r>
      <w:r w:rsidR="00FE3B07">
        <w:rPr>
          <w:rFonts w:ascii="Arial" w:hAnsi="Arial" w:cs="Arial"/>
          <w:szCs w:val="24"/>
        </w:rPr>
        <w:t>s</w:t>
      </w:r>
      <w:r w:rsidRPr="00071ED0">
        <w:rPr>
          <w:rFonts w:ascii="Arial" w:hAnsi="Arial" w:cs="Arial"/>
          <w:szCs w:val="24"/>
        </w:rPr>
        <w:t xml:space="preserve"> </w:t>
      </w:r>
      <w:r w:rsidR="009876F5">
        <w:rPr>
          <w:rFonts w:ascii="Arial" w:hAnsi="Arial" w:cs="Arial"/>
          <w:szCs w:val="24"/>
        </w:rPr>
        <w:t>of</w:t>
      </w:r>
      <w:r w:rsidR="008502C5">
        <w:rPr>
          <w:rFonts w:ascii="Arial" w:hAnsi="Arial" w:cs="Arial"/>
          <w:szCs w:val="24"/>
        </w:rPr>
        <w:t xml:space="preserve"> </w:t>
      </w:r>
      <w:r w:rsidR="00A82C9F">
        <w:rPr>
          <w:rFonts w:ascii="Arial" w:hAnsi="Arial" w:cs="Arial"/>
          <w:szCs w:val="24"/>
        </w:rPr>
        <w:t xml:space="preserve">Other Post </w:t>
      </w:r>
      <w:r w:rsidR="00C9034E">
        <w:rPr>
          <w:rFonts w:ascii="Arial" w:hAnsi="Arial" w:cs="Arial"/>
          <w:szCs w:val="24"/>
        </w:rPr>
        <w:t>Employment</w:t>
      </w:r>
      <w:r w:rsidR="00A82C9F">
        <w:rPr>
          <w:rFonts w:ascii="Arial" w:hAnsi="Arial" w:cs="Arial"/>
          <w:szCs w:val="24"/>
        </w:rPr>
        <w:t xml:space="preserve"> Benefit</w:t>
      </w:r>
      <w:r w:rsidR="00DD0653">
        <w:rPr>
          <w:rFonts w:ascii="Arial" w:hAnsi="Arial" w:cs="Arial"/>
          <w:szCs w:val="24"/>
        </w:rPr>
        <w:t xml:space="preserve"> Surcharge</w:t>
      </w:r>
      <w:r w:rsidR="00A04024">
        <w:rPr>
          <w:rFonts w:ascii="Arial" w:hAnsi="Arial" w:cs="Arial"/>
          <w:szCs w:val="24"/>
        </w:rPr>
        <w:t xml:space="preserve"> </w:t>
      </w:r>
      <w:r w:rsidR="009876F5">
        <w:rPr>
          <w:rFonts w:ascii="Arial" w:hAnsi="Arial" w:cs="Arial"/>
          <w:szCs w:val="24"/>
        </w:rPr>
        <w:t>Over/Under Collections</w:t>
      </w:r>
      <w:r w:rsidR="009876F5" w:rsidRPr="00C20F64">
        <w:rPr>
          <w:rFonts w:ascii="Arial" w:hAnsi="Arial" w:cs="Arial"/>
          <w:szCs w:val="24"/>
        </w:rPr>
        <w:t xml:space="preserve"> </w:t>
      </w:r>
      <w:r w:rsidR="009876F5">
        <w:rPr>
          <w:rFonts w:ascii="Arial" w:hAnsi="Arial" w:cs="Arial"/>
        </w:rPr>
        <w:t>(Section 1307(f</w:t>
      </w:r>
      <w:r w:rsidR="009876F5" w:rsidRPr="001E10DE">
        <w:rPr>
          <w:rFonts w:ascii="Arial" w:hAnsi="Arial" w:cs="Arial"/>
        </w:rPr>
        <w:t xml:space="preserve">)) </w:t>
      </w:r>
      <w:r w:rsidR="00FC26DE">
        <w:rPr>
          <w:rFonts w:ascii="Arial" w:hAnsi="Arial" w:cs="Arial"/>
          <w:szCs w:val="24"/>
        </w:rPr>
        <w:t xml:space="preserve">for the twelve month periods </w:t>
      </w:r>
      <w:r w:rsidR="00A04024">
        <w:rPr>
          <w:rFonts w:ascii="Arial" w:hAnsi="Arial" w:cs="Arial"/>
          <w:szCs w:val="24"/>
        </w:rPr>
        <w:t xml:space="preserve">ended August 31, </w:t>
      </w:r>
      <w:r w:rsidR="00A846B4">
        <w:rPr>
          <w:rFonts w:ascii="Arial" w:hAnsi="Arial" w:cs="Arial"/>
          <w:szCs w:val="24"/>
        </w:rPr>
        <w:t>20</w:t>
      </w:r>
      <w:r w:rsidR="00CD100E">
        <w:rPr>
          <w:rFonts w:ascii="Arial" w:hAnsi="Arial" w:cs="Arial"/>
          <w:szCs w:val="24"/>
        </w:rPr>
        <w:t>1</w:t>
      </w:r>
      <w:r w:rsidR="00FC26DE">
        <w:rPr>
          <w:rFonts w:ascii="Arial" w:hAnsi="Arial" w:cs="Arial"/>
          <w:szCs w:val="24"/>
        </w:rPr>
        <w:t>2 and August 31, 2011</w:t>
      </w:r>
      <w:r w:rsidRPr="00071ED0">
        <w:rPr>
          <w:rFonts w:ascii="Arial" w:hAnsi="Arial" w:cs="Arial"/>
          <w:szCs w:val="24"/>
        </w:rPr>
        <w:t xml:space="preserve">.  </w:t>
      </w:r>
      <w:r w:rsidRPr="00A2372A">
        <w:rPr>
          <w:rFonts w:ascii="Arial" w:hAnsi="Arial" w:cs="Arial"/>
          <w:szCs w:val="24"/>
        </w:rPr>
        <w:t>Th</w:t>
      </w:r>
      <w:r w:rsidR="000F4465" w:rsidRPr="00A2372A">
        <w:rPr>
          <w:rFonts w:ascii="Arial" w:hAnsi="Arial" w:cs="Arial"/>
          <w:szCs w:val="24"/>
        </w:rPr>
        <w:t>ese</w:t>
      </w:r>
      <w:r w:rsidRPr="00A2372A">
        <w:rPr>
          <w:rFonts w:ascii="Arial" w:hAnsi="Arial" w:cs="Arial"/>
          <w:szCs w:val="24"/>
        </w:rPr>
        <w:t xml:space="preserve"> statement</w:t>
      </w:r>
      <w:r w:rsidR="00FE3B07" w:rsidRPr="00A2372A">
        <w:rPr>
          <w:rFonts w:ascii="Arial" w:hAnsi="Arial" w:cs="Arial"/>
          <w:szCs w:val="24"/>
        </w:rPr>
        <w:t>s</w:t>
      </w:r>
      <w:r w:rsidRPr="00A2372A">
        <w:rPr>
          <w:rFonts w:ascii="Arial" w:hAnsi="Arial" w:cs="Arial"/>
          <w:szCs w:val="24"/>
        </w:rPr>
        <w:t xml:space="preserve"> </w:t>
      </w:r>
      <w:r w:rsidR="00FE3B07" w:rsidRPr="00A2372A">
        <w:rPr>
          <w:rFonts w:ascii="Arial" w:hAnsi="Arial" w:cs="Arial"/>
          <w:szCs w:val="24"/>
        </w:rPr>
        <w:t>are</w:t>
      </w:r>
      <w:r w:rsidRPr="00A2372A">
        <w:rPr>
          <w:rFonts w:ascii="Arial" w:hAnsi="Arial" w:cs="Arial"/>
          <w:szCs w:val="24"/>
        </w:rPr>
        <w:t xml:space="preserve"> the responsibility of the Company's management.  Our responsibility is to express an opinion on the statement</w:t>
      </w:r>
      <w:r w:rsidR="00FE3B07" w:rsidRPr="00A2372A">
        <w:rPr>
          <w:rFonts w:ascii="Arial" w:hAnsi="Arial" w:cs="Arial"/>
          <w:szCs w:val="24"/>
        </w:rPr>
        <w:t>s</w:t>
      </w:r>
      <w:r w:rsidRPr="00A2372A">
        <w:rPr>
          <w:rFonts w:ascii="Arial" w:hAnsi="Arial" w:cs="Arial"/>
          <w:szCs w:val="24"/>
        </w:rPr>
        <w:t xml:space="preserve"> based on our audit.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We conducted our audit in accordance with auditing standards generally accepted in the United States of America.  Those standards require that we plan and perform the audit to obtain reasonable assurance about whether the specified statements are free of material misstatement.</w:t>
      </w:r>
      <w:r w:rsidR="00CD100E">
        <w:rPr>
          <w:rFonts w:ascii="Arial" w:hAnsi="Arial" w:cs="Arial"/>
          <w:szCs w:val="24"/>
        </w:rPr>
        <w:t xml:space="preserve">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008B5ED3">
        <w:rPr>
          <w:rFonts w:ascii="Arial" w:hAnsi="Arial" w:cs="Arial"/>
          <w:szCs w:val="24"/>
        </w:rPr>
        <w:t xml:space="preserve"> </w:t>
      </w:r>
      <w:r w:rsidRPr="00071ED0">
        <w:rPr>
          <w:rFonts w:ascii="Arial" w:hAnsi="Arial" w:cs="Arial"/>
          <w:szCs w:val="24"/>
        </w:rPr>
        <w:t>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w:t>
      </w:r>
      <w:r w:rsidR="00652451">
        <w:rPr>
          <w:rFonts w:ascii="Arial" w:hAnsi="Arial" w:cs="Arial"/>
          <w:szCs w:val="24"/>
        </w:rPr>
        <w:t>s</w:t>
      </w:r>
      <w:r w:rsidRPr="00071ED0">
        <w:rPr>
          <w:rFonts w:ascii="Arial" w:hAnsi="Arial" w:cs="Arial"/>
          <w:szCs w:val="24"/>
        </w:rPr>
        <w:t>.  We believe that our audit provides a reasonable basis for our opinion.</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r>
      <w:r w:rsidR="00787426">
        <w:rPr>
          <w:rFonts w:ascii="Arial" w:hAnsi="Arial" w:cs="Arial"/>
          <w:szCs w:val="24"/>
        </w:rPr>
        <w:t xml:space="preserve">The </w:t>
      </w:r>
      <w:r w:rsidR="00787426" w:rsidRPr="00071ED0">
        <w:rPr>
          <w:rFonts w:ascii="Arial" w:hAnsi="Arial" w:cs="Arial"/>
          <w:szCs w:val="24"/>
        </w:rPr>
        <w:t>Statement</w:t>
      </w:r>
      <w:r w:rsidR="00787426">
        <w:rPr>
          <w:rFonts w:ascii="Arial" w:hAnsi="Arial" w:cs="Arial"/>
          <w:szCs w:val="24"/>
        </w:rPr>
        <w:t>s</w:t>
      </w:r>
      <w:r w:rsidR="00787426" w:rsidRPr="00071ED0">
        <w:rPr>
          <w:rFonts w:ascii="Arial" w:hAnsi="Arial" w:cs="Arial"/>
          <w:szCs w:val="24"/>
        </w:rPr>
        <w:t xml:space="preserve"> </w:t>
      </w:r>
      <w:r w:rsidR="00787426">
        <w:rPr>
          <w:rFonts w:ascii="Arial" w:hAnsi="Arial" w:cs="Arial"/>
          <w:szCs w:val="24"/>
        </w:rPr>
        <w:t>of Other Post Employment Benefit Surcharge Over/Under Collections</w:t>
      </w:r>
      <w:r w:rsidR="00787426" w:rsidRPr="00C20F64">
        <w:rPr>
          <w:rFonts w:ascii="Arial" w:hAnsi="Arial" w:cs="Arial"/>
          <w:szCs w:val="24"/>
        </w:rPr>
        <w:t xml:space="preserve"> </w:t>
      </w:r>
      <w:r w:rsidRPr="00071ED0">
        <w:rPr>
          <w:rFonts w:ascii="Arial" w:hAnsi="Arial" w:cs="Arial"/>
          <w:szCs w:val="24"/>
        </w:rPr>
        <w:t xml:space="preserve">were prepared for the purpose of complying with the rules and regulations of the Pennsylvania Public Utility Commission and are not intended to be a complete presentation of the Company's </w:t>
      </w:r>
      <w:r w:rsidR="00787426" w:rsidRPr="00C20F64">
        <w:rPr>
          <w:rFonts w:ascii="Arial" w:hAnsi="Arial" w:cs="Arial"/>
          <w:szCs w:val="24"/>
        </w:rPr>
        <w:t>revenues and expenses.</w:t>
      </w:r>
    </w:p>
    <w:p w:rsidR="00EC58EA" w:rsidRPr="00071ED0" w:rsidRDefault="00EC58EA">
      <w:pPr>
        <w:tabs>
          <w:tab w:val="left" w:pos="-720"/>
          <w:tab w:val="left" w:pos="8820"/>
        </w:tabs>
        <w:ind w:right="504"/>
        <w:rPr>
          <w:rFonts w:ascii="Arial" w:hAnsi="Arial" w:cs="Arial"/>
          <w:sz w:val="24"/>
          <w:szCs w:val="24"/>
        </w:rPr>
      </w:pPr>
    </w:p>
    <w:p w:rsidR="0057453E" w:rsidRPr="00496A0B" w:rsidRDefault="00EC58EA" w:rsidP="0057453E">
      <w:pPr>
        <w:pStyle w:val="BodyText3"/>
        <w:rPr>
          <w:rFonts w:ascii="Arial" w:hAnsi="Arial" w:cs="Arial"/>
          <w:szCs w:val="24"/>
        </w:rPr>
      </w:pPr>
      <w:r w:rsidRPr="00071ED0">
        <w:rPr>
          <w:rFonts w:ascii="Arial" w:hAnsi="Arial" w:cs="Arial"/>
          <w:szCs w:val="24"/>
        </w:rPr>
        <w:tab/>
        <w:t xml:space="preserve">In our opinion, </w:t>
      </w:r>
      <w:r w:rsidR="00515E7E" w:rsidRPr="00515E7E">
        <w:rPr>
          <w:rFonts w:ascii="Arial" w:hAnsi="Arial" w:cs="Arial"/>
          <w:szCs w:val="24"/>
        </w:rPr>
        <w:t xml:space="preserve">the information set forth in the </w:t>
      </w:r>
      <w:r w:rsidRPr="00071ED0">
        <w:rPr>
          <w:rFonts w:ascii="Arial" w:hAnsi="Arial" w:cs="Arial"/>
          <w:szCs w:val="24"/>
        </w:rPr>
        <w:t xml:space="preserve">accompanying </w:t>
      </w:r>
      <w:r w:rsidR="00C93420">
        <w:rPr>
          <w:rFonts w:ascii="Arial" w:hAnsi="Arial" w:cs="Arial"/>
          <w:szCs w:val="24"/>
        </w:rPr>
        <w:t>S</w:t>
      </w:r>
      <w:r w:rsidRPr="00071ED0">
        <w:rPr>
          <w:rFonts w:ascii="Arial" w:hAnsi="Arial" w:cs="Arial"/>
          <w:szCs w:val="24"/>
        </w:rPr>
        <w:t xml:space="preserve">tatements of </w:t>
      </w:r>
      <w:r w:rsidR="00002FF0" w:rsidRPr="00002FF0">
        <w:rPr>
          <w:rFonts w:ascii="Arial" w:hAnsi="Arial" w:cs="Arial"/>
          <w:szCs w:val="24"/>
        </w:rPr>
        <w:t>Other Post Employment Benefit Surcharge Over/Under Collections</w:t>
      </w:r>
      <w:r w:rsidR="00002FF0" w:rsidRPr="00071ED0">
        <w:rPr>
          <w:rFonts w:ascii="Arial" w:hAnsi="Arial" w:cs="Arial"/>
          <w:szCs w:val="24"/>
        </w:rPr>
        <w:t xml:space="preserve"> </w:t>
      </w:r>
      <w:r w:rsidR="0057453E">
        <w:rPr>
          <w:rFonts w:ascii="Arial" w:hAnsi="Arial" w:cs="Arial"/>
          <w:szCs w:val="24"/>
        </w:rPr>
        <w:t xml:space="preserve">for the twelve month periods ended August 31, 2012 and August 31, 2011 of </w:t>
      </w:r>
      <w:r w:rsidRPr="00071ED0">
        <w:rPr>
          <w:rFonts w:ascii="Arial" w:hAnsi="Arial" w:cs="Arial"/>
          <w:szCs w:val="24"/>
        </w:rPr>
        <w:t>Philadelphia Gas Works present</w:t>
      </w:r>
      <w:r w:rsidR="0057453E">
        <w:rPr>
          <w:rFonts w:ascii="Arial" w:hAnsi="Arial" w:cs="Arial"/>
          <w:szCs w:val="24"/>
        </w:rPr>
        <w:t>s</w:t>
      </w:r>
      <w:r w:rsidRPr="00071ED0">
        <w:rPr>
          <w:rFonts w:ascii="Arial" w:hAnsi="Arial" w:cs="Arial"/>
          <w:szCs w:val="24"/>
        </w:rPr>
        <w:t xml:space="preserve"> fairly, in all material respects</w:t>
      </w:r>
      <w:r w:rsidR="0057453E">
        <w:rPr>
          <w:rFonts w:ascii="Arial" w:hAnsi="Arial" w:cs="Arial"/>
          <w:szCs w:val="24"/>
        </w:rPr>
        <w:t>.</w:t>
      </w:r>
    </w:p>
    <w:p w:rsidR="00EC58EA" w:rsidRPr="00071ED0" w:rsidRDefault="00EC58EA">
      <w:pPr>
        <w:tabs>
          <w:tab w:val="left" w:pos="-720"/>
          <w:tab w:val="left" w:pos="720"/>
          <w:tab w:val="left" w:pos="1440"/>
        </w:tabs>
        <w:rPr>
          <w:rFonts w:ascii="Arial" w:hAnsi="Arial" w:cs="Arial"/>
          <w:sz w:val="24"/>
          <w:szCs w:val="24"/>
        </w:rPr>
      </w:pPr>
    </w:p>
    <w:p w:rsidR="00EC58EA" w:rsidRPr="00071ED0" w:rsidRDefault="00EC58EA">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r>
      <w:r w:rsidR="00757B53">
        <w:rPr>
          <w:rFonts w:ascii="Arial" w:hAnsi="Arial" w:cs="Arial"/>
          <w:sz w:val="24"/>
          <w:szCs w:val="24"/>
        </w:rPr>
        <w:t>D</w:t>
      </w:r>
      <w:r w:rsidR="00FC26DE">
        <w:rPr>
          <w:rFonts w:ascii="Arial" w:hAnsi="Arial" w:cs="Arial"/>
          <w:sz w:val="24"/>
          <w:szCs w:val="24"/>
        </w:rPr>
        <w:t>ennis P.</w:t>
      </w:r>
      <w:r w:rsidR="00757B53">
        <w:rPr>
          <w:rFonts w:ascii="Arial" w:hAnsi="Arial" w:cs="Arial"/>
          <w:sz w:val="24"/>
          <w:szCs w:val="24"/>
        </w:rPr>
        <w:t xml:space="preserve"> Ho</w:t>
      </w:r>
      <w:r w:rsidR="00D70CF5">
        <w:rPr>
          <w:rFonts w:ascii="Arial" w:hAnsi="Arial" w:cs="Arial"/>
          <w:sz w:val="24"/>
          <w:szCs w:val="24"/>
        </w:rPr>
        <w:t>sl</w:t>
      </w:r>
      <w:r w:rsidR="00757B53">
        <w:rPr>
          <w:rFonts w:ascii="Arial" w:hAnsi="Arial" w:cs="Arial"/>
          <w:sz w:val="24"/>
          <w:szCs w:val="24"/>
        </w:rPr>
        <w:t>er</w:t>
      </w:r>
      <w:r w:rsidRPr="00071ED0">
        <w:rPr>
          <w:rFonts w:ascii="Arial" w:hAnsi="Arial" w:cs="Arial"/>
          <w:sz w:val="24"/>
          <w:szCs w:val="24"/>
        </w:rPr>
        <w:t>,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Bureau of Audits</w:t>
      </w:r>
    </w:p>
    <w:p w:rsidR="00001E25" w:rsidRDefault="00001E25">
      <w:pPr>
        <w:rPr>
          <w:rFonts w:ascii="Arial" w:hAnsi="Arial" w:cs="Arial"/>
          <w:sz w:val="26"/>
          <w:szCs w:val="26"/>
          <w:highlight w:val="lightGray"/>
        </w:rPr>
        <w:sectPr w:rsidR="00001E25" w:rsidSect="00001E25">
          <w:headerReference w:type="even" r:id="rId14"/>
          <w:headerReference w:type="default" r:id="rId15"/>
          <w:footerReference w:type="default" r:id="rId16"/>
          <w:headerReference w:type="first" r:id="rId17"/>
          <w:pgSz w:w="12240" w:h="15840" w:code="1"/>
          <w:pgMar w:top="1440" w:right="1440" w:bottom="1152" w:left="1440" w:header="0" w:footer="720" w:gutter="0"/>
          <w:pgNumType w:fmt="numberInDash" w:start="1"/>
          <w:cols w:space="720"/>
          <w:vAlign w:val="center"/>
          <w:noEndnote/>
        </w:sectPr>
      </w:pPr>
    </w:p>
    <w:p w:rsidR="00031148" w:rsidRPr="00F350B8" w:rsidRDefault="00031148" w:rsidP="00031148">
      <w:pPr>
        <w:jc w:val="center"/>
        <w:outlineLvl w:val="0"/>
        <w:rPr>
          <w:rFonts w:ascii="Arial" w:hAnsi="Arial" w:cs="Arial"/>
          <w:b/>
          <w:sz w:val="28"/>
          <w:szCs w:val="28"/>
        </w:rPr>
      </w:pPr>
      <w:r w:rsidRPr="00F350B8">
        <w:rPr>
          <w:rFonts w:ascii="Arial" w:hAnsi="Arial" w:cs="Arial"/>
          <w:b/>
          <w:sz w:val="28"/>
          <w:szCs w:val="28"/>
        </w:rPr>
        <w:lastRenderedPageBreak/>
        <w:t>PHILADELPHIA GAS WORKS</w:t>
      </w:r>
    </w:p>
    <w:p w:rsidR="00031148" w:rsidRPr="00625757" w:rsidRDefault="00031148" w:rsidP="00031148">
      <w:pPr>
        <w:jc w:val="both"/>
        <w:rPr>
          <w:rFonts w:ascii="Arial" w:hAnsi="Arial" w:cs="Arial"/>
          <w:sz w:val="26"/>
          <w:szCs w:val="26"/>
        </w:rPr>
      </w:pPr>
    </w:p>
    <w:p w:rsidR="005251D1" w:rsidRDefault="005251D1" w:rsidP="00031148">
      <w:pPr>
        <w:jc w:val="center"/>
        <w:outlineLvl w:val="0"/>
        <w:rPr>
          <w:rFonts w:ascii="Arial" w:hAnsi="Arial" w:cs="Arial"/>
          <w:b/>
          <w:sz w:val="26"/>
          <w:szCs w:val="26"/>
        </w:rPr>
      </w:pPr>
      <w:r>
        <w:rPr>
          <w:rFonts w:ascii="Arial" w:hAnsi="Arial" w:cs="Arial"/>
          <w:b/>
          <w:sz w:val="26"/>
          <w:szCs w:val="26"/>
        </w:rPr>
        <w:t xml:space="preserve">Statement of </w:t>
      </w:r>
    </w:p>
    <w:p w:rsidR="00031148" w:rsidRPr="00B12E37" w:rsidRDefault="00031148" w:rsidP="00031148">
      <w:pPr>
        <w:jc w:val="center"/>
        <w:outlineLvl w:val="0"/>
        <w:rPr>
          <w:rFonts w:ascii="Arial" w:hAnsi="Arial" w:cs="Arial"/>
          <w:b/>
          <w:sz w:val="26"/>
          <w:szCs w:val="26"/>
        </w:rPr>
      </w:pPr>
      <w:r>
        <w:rPr>
          <w:rFonts w:ascii="Arial" w:hAnsi="Arial" w:cs="Arial"/>
          <w:b/>
          <w:sz w:val="26"/>
          <w:szCs w:val="26"/>
        </w:rPr>
        <w:t>Other Post Employment Benefit</w:t>
      </w:r>
      <w:r w:rsidRPr="00B12E37">
        <w:rPr>
          <w:rFonts w:ascii="Arial" w:hAnsi="Arial" w:cs="Arial"/>
          <w:b/>
          <w:sz w:val="26"/>
          <w:szCs w:val="26"/>
        </w:rPr>
        <w:t xml:space="preserve"> </w:t>
      </w:r>
      <w:r w:rsidR="005251D1">
        <w:rPr>
          <w:rFonts w:ascii="Arial" w:hAnsi="Arial" w:cs="Arial"/>
          <w:b/>
          <w:sz w:val="26"/>
          <w:szCs w:val="26"/>
        </w:rPr>
        <w:t xml:space="preserve">(OPEB) </w:t>
      </w:r>
      <w:r w:rsidRPr="00B12E37">
        <w:rPr>
          <w:rFonts w:ascii="Arial" w:hAnsi="Arial" w:cs="Arial"/>
          <w:b/>
          <w:sz w:val="26"/>
          <w:szCs w:val="26"/>
        </w:rPr>
        <w:t>Surcharge</w:t>
      </w:r>
    </w:p>
    <w:p w:rsidR="00031148" w:rsidRPr="00B12E37" w:rsidRDefault="005251D1" w:rsidP="005251D1">
      <w:pPr>
        <w:tabs>
          <w:tab w:val="center" w:pos="4680"/>
        </w:tabs>
        <w:suppressAutoHyphens/>
        <w:jc w:val="center"/>
        <w:rPr>
          <w:rFonts w:ascii="Arial" w:hAnsi="Arial" w:cs="Arial"/>
          <w:sz w:val="26"/>
          <w:szCs w:val="26"/>
        </w:rPr>
      </w:pPr>
      <w:r w:rsidRPr="00B92235">
        <w:rPr>
          <w:rFonts w:ascii="Arial" w:hAnsi="Arial" w:cs="Arial"/>
          <w:b/>
          <w:sz w:val="26"/>
          <w:szCs w:val="26"/>
        </w:rPr>
        <w:t>Over</w:t>
      </w:r>
      <w:proofErr w:type="gramStart"/>
      <w:r w:rsidRPr="00B92235">
        <w:rPr>
          <w:rFonts w:ascii="Arial" w:hAnsi="Arial" w:cs="Arial"/>
          <w:b/>
          <w:sz w:val="26"/>
          <w:szCs w:val="26"/>
        </w:rPr>
        <w:t>/</w:t>
      </w:r>
      <w:r>
        <w:rPr>
          <w:rFonts w:ascii="Arial" w:hAnsi="Arial" w:cs="Arial"/>
          <w:b/>
          <w:sz w:val="26"/>
          <w:szCs w:val="26"/>
        </w:rPr>
        <w:t>(</w:t>
      </w:r>
      <w:proofErr w:type="gramEnd"/>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5251D1" w:rsidRPr="00B12E37" w:rsidRDefault="00031148" w:rsidP="005251D1">
      <w:pPr>
        <w:tabs>
          <w:tab w:val="center" w:pos="4680"/>
        </w:tabs>
        <w:suppressAutoHyphens/>
        <w:jc w:val="center"/>
        <w:rPr>
          <w:rFonts w:ascii="Arial" w:hAnsi="Arial" w:cs="Arial"/>
          <w:sz w:val="26"/>
          <w:szCs w:val="26"/>
        </w:rPr>
      </w:pPr>
      <w:r>
        <w:rPr>
          <w:rFonts w:ascii="Arial" w:hAnsi="Arial" w:cs="Arial"/>
          <w:b/>
          <w:sz w:val="26"/>
          <w:szCs w:val="26"/>
        </w:rPr>
        <w:t>For The Twelve Month</w:t>
      </w:r>
      <w:r w:rsidRPr="00B12E37">
        <w:rPr>
          <w:rFonts w:ascii="Arial" w:hAnsi="Arial" w:cs="Arial"/>
          <w:b/>
          <w:sz w:val="26"/>
          <w:szCs w:val="26"/>
        </w:rPr>
        <w:t xml:space="preserve"> </w:t>
      </w:r>
      <w:r>
        <w:rPr>
          <w:rFonts w:ascii="Arial" w:hAnsi="Arial" w:cs="Arial"/>
          <w:b/>
          <w:sz w:val="26"/>
          <w:szCs w:val="26"/>
        </w:rPr>
        <w:t xml:space="preserve">Periods </w:t>
      </w:r>
      <w:r w:rsidRPr="00B12E37">
        <w:rPr>
          <w:rFonts w:ascii="Arial" w:hAnsi="Arial" w:cs="Arial"/>
          <w:b/>
          <w:sz w:val="26"/>
          <w:szCs w:val="26"/>
        </w:rPr>
        <w:t xml:space="preserve">Ended </w:t>
      </w:r>
      <w:r>
        <w:rPr>
          <w:rFonts w:ascii="Arial" w:hAnsi="Arial" w:cs="Arial"/>
          <w:b/>
          <w:sz w:val="26"/>
          <w:szCs w:val="26"/>
        </w:rPr>
        <w:t>August 31, 2012</w:t>
      </w:r>
      <w:r w:rsidR="00D82C3C">
        <w:rPr>
          <w:rFonts w:ascii="Arial" w:hAnsi="Arial" w:cs="Arial"/>
          <w:b/>
          <w:sz w:val="26"/>
          <w:szCs w:val="26"/>
        </w:rPr>
        <w:t>*</w:t>
      </w:r>
      <w:r w:rsidR="005251D1">
        <w:rPr>
          <w:rFonts w:ascii="Arial" w:hAnsi="Arial" w:cs="Arial"/>
          <w:b/>
          <w:sz w:val="26"/>
          <w:szCs w:val="26"/>
        </w:rPr>
        <w:t xml:space="preserve"> </w:t>
      </w:r>
      <w:r w:rsidR="005251D1" w:rsidRPr="00B12E37">
        <w:rPr>
          <w:rFonts w:ascii="Arial" w:hAnsi="Arial" w:cs="Arial"/>
          <w:b/>
          <w:sz w:val="26"/>
          <w:szCs w:val="26"/>
        </w:rPr>
        <w:t>(Note 1)</w:t>
      </w:r>
    </w:p>
    <w:p w:rsidR="00031148" w:rsidRDefault="00031148" w:rsidP="00031148">
      <w:pPr>
        <w:outlineLvl w:val="0"/>
        <w:rPr>
          <w:rFonts w:ascii="Arial" w:hAnsi="Arial" w:cs="Arial"/>
          <w:sz w:val="26"/>
          <w:szCs w:val="26"/>
        </w:rPr>
      </w:pPr>
    </w:p>
    <w:p w:rsidR="005251D1" w:rsidRPr="00625757" w:rsidRDefault="005251D1" w:rsidP="00031148">
      <w:pPr>
        <w:outlineLvl w:val="0"/>
        <w:rPr>
          <w:rFonts w:ascii="Arial" w:hAnsi="Arial" w:cs="Arial"/>
          <w:sz w:val="26"/>
          <w:szCs w:val="26"/>
        </w:rPr>
      </w:pPr>
    </w:p>
    <w:tbl>
      <w:tblPr>
        <w:tblpPr w:leftFromText="180" w:rightFromText="180" w:vertAnchor="text" w:horzAnchor="margin" w:tblpXSpec="center" w:tblpY="130"/>
        <w:tblW w:w="8388" w:type="dxa"/>
        <w:tblLook w:val="04A0" w:firstRow="1" w:lastRow="0" w:firstColumn="1" w:lastColumn="0" w:noHBand="0" w:noVBand="1"/>
      </w:tblPr>
      <w:tblGrid>
        <w:gridCol w:w="2268"/>
        <w:gridCol w:w="1894"/>
        <w:gridCol w:w="1976"/>
        <w:gridCol w:w="2250"/>
      </w:tblGrid>
      <w:tr w:rsidR="008E6B81" w:rsidRPr="00632F88" w:rsidTr="004A4DAD">
        <w:trPr>
          <w:trHeight w:val="290"/>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8E6B81" w:rsidRPr="00632F88" w:rsidRDefault="008E6B81" w:rsidP="00F83D4F">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Volumes</w:t>
            </w:r>
          </w:p>
        </w:tc>
        <w:tc>
          <w:tcPr>
            <w:tcW w:w="1976" w:type="dxa"/>
            <w:tcBorders>
              <w:top w:val="nil"/>
              <w:left w:val="nil"/>
              <w:bottom w:val="nil"/>
              <w:right w:val="nil"/>
            </w:tcBorders>
            <w:shd w:val="clear" w:color="auto" w:fill="auto"/>
            <w:noWrap/>
            <w:vAlign w:val="bottom"/>
            <w:hideMark/>
          </w:tcPr>
          <w:p w:rsidR="008E6B81" w:rsidRPr="00632F88" w:rsidRDefault="008E6B81" w:rsidP="00F83D4F">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Surcharge</w:t>
            </w:r>
          </w:p>
        </w:tc>
        <w:tc>
          <w:tcPr>
            <w:tcW w:w="2250" w:type="dxa"/>
            <w:tcBorders>
              <w:top w:val="nil"/>
              <w:left w:val="nil"/>
              <w:bottom w:val="nil"/>
              <w:right w:val="nil"/>
            </w:tcBorders>
            <w:shd w:val="clear" w:color="auto" w:fill="auto"/>
            <w:noWrap/>
            <w:vAlign w:val="bottom"/>
            <w:hideMark/>
          </w:tcPr>
          <w:p w:rsidR="004A4DAD" w:rsidRDefault="004A4DAD" w:rsidP="004A4DAD">
            <w:pPr>
              <w:jc w:val="center"/>
              <w:rPr>
                <w:rFonts w:ascii="Arial" w:hAnsi="Arial" w:cs="Arial"/>
                <w:b/>
                <w:color w:val="000000"/>
                <w:sz w:val="24"/>
                <w:szCs w:val="24"/>
              </w:rPr>
            </w:pPr>
            <w:r>
              <w:rPr>
                <w:rFonts w:ascii="Arial" w:hAnsi="Arial" w:cs="Arial"/>
                <w:b/>
                <w:color w:val="000000"/>
                <w:sz w:val="24"/>
                <w:szCs w:val="24"/>
              </w:rPr>
              <w:t xml:space="preserve">OPEB </w:t>
            </w:r>
          </w:p>
          <w:p w:rsidR="008E6B81" w:rsidRPr="004A4DAD" w:rsidRDefault="004A4DAD" w:rsidP="00DA1167">
            <w:pPr>
              <w:jc w:val="center"/>
              <w:rPr>
                <w:rFonts w:ascii="Arial" w:hAnsi="Arial" w:cs="Arial"/>
                <w:b/>
                <w:color w:val="000000"/>
                <w:sz w:val="24"/>
                <w:szCs w:val="24"/>
                <w:u w:val="single"/>
              </w:rPr>
            </w:pPr>
            <w:r>
              <w:rPr>
                <w:rFonts w:ascii="Arial" w:hAnsi="Arial" w:cs="Arial"/>
                <w:b/>
                <w:color w:val="000000"/>
                <w:sz w:val="24"/>
                <w:szCs w:val="24"/>
              </w:rPr>
              <w:t xml:space="preserve"> </w:t>
            </w:r>
            <w:r w:rsidRPr="004A4DAD">
              <w:rPr>
                <w:rFonts w:ascii="Arial" w:hAnsi="Arial" w:cs="Arial"/>
                <w:b/>
                <w:color w:val="000000"/>
                <w:sz w:val="24"/>
                <w:szCs w:val="24"/>
                <w:u w:val="single"/>
              </w:rPr>
              <w:t xml:space="preserve">Revenues </w:t>
            </w:r>
          </w:p>
        </w:tc>
      </w:tr>
      <w:tr w:rsidR="008E6B81" w:rsidRPr="00632F88" w:rsidTr="004A4DAD">
        <w:trPr>
          <w:trHeight w:val="290"/>
        </w:trPr>
        <w:tc>
          <w:tcPr>
            <w:tcW w:w="2268" w:type="dxa"/>
            <w:tcBorders>
              <w:top w:val="nil"/>
              <w:left w:val="nil"/>
              <w:bottom w:val="nil"/>
              <w:right w:val="nil"/>
            </w:tcBorders>
            <w:shd w:val="clear" w:color="auto" w:fill="auto"/>
            <w:noWrap/>
            <w:vAlign w:val="bottom"/>
          </w:tcPr>
          <w:p w:rsidR="008E6B81" w:rsidRPr="00632F88" w:rsidRDefault="008E6B81" w:rsidP="00F83D4F">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(2)</w:t>
            </w:r>
          </w:p>
        </w:tc>
        <w:tc>
          <w:tcPr>
            <w:tcW w:w="2250" w:type="dxa"/>
            <w:tcBorders>
              <w:top w:val="nil"/>
              <w:left w:val="nil"/>
              <w:bottom w:val="nil"/>
              <w:right w:val="nil"/>
            </w:tcBorders>
            <w:shd w:val="clear" w:color="auto" w:fill="auto"/>
            <w:noWrap/>
            <w:vAlign w:val="bottom"/>
          </w:tcPr>
          <w:p w:rsidR="008E6B81" w:rsidRPr="00632F88" w:rsidRDefault="008E6B81" w:rsidP="00200CCA">
            <w:pPr>
              <w:jc w:val="center"/>
              <w:rPr>
                <w:rFonts w:ascii="Arial" w:hAnsi="Arial" w:cs="Arial"/>
                <w:color w:val="000000"/>
                <w:sz w:val="24"/>
                <w:szCs w:val="24"/>
              </w:rPr>
            </w:pPr>
            <w:r>
              <w:rPr>
                <w:rFonts w:ascii="Arial" w:hAnsi="Arial" w:cs="Arial"/>
                <w:color w:val="000000"/>
                <w:sz w:val="24"/>
                <w:szCs w:val="24"/>
              </w:rPr>
              <w:t>(3)=(1)</w:t>
            </w:r>
            <w:r w:rsidR="00200CCA">
              <w:rPr>
                <w:rFonts w:ascii="Arial" w:hAnsi="Arial" w:cs="Arial"/>
                <w:color w:val="000000"/>
                <w:sz w:val="24"/>
                <w:szCs w:val="24"/>
              </w:rPr>
              <w:t>x</w:t>
            </w:r>
            <w:r>
              <w:rPr>
                <w:rFonts w:ascii="Arial" w:hAnsi="Arial" w:cs="Arial"/>
                <w:color w:val="000000"/>
                <w:sz w:val="24"/>
                <w:szCs w:val="24"/>
              </w:rPr>
              <w:t>(2)</w:t>
            </w:r>
          </w:p>
        </w:tc>
      </w:tr>
      <w:tr w:rsidR="008E6B81" w:rsidRPr="00632F88" w:rsidTr="004A4DAD">
        <w:trPr>
          <w:trHeight w:val="290"/>
        </w:trPr>
        <w:tc>
          <w:tcPr>
            <w:tcW w:w="2268" w:type="dxa"/>
            <w:tcBorders>
              <w:top w:val="nil"/>
              <w:left w:val="nil"/>
              <w:bottom w:val="nil"/>
              <w:right w:val="nil"/>
            </w:tcBorders>
            <w:shd w:val="clear" w:color="auto" w:fill="auto"/>
            <w:noWrap/>
            <w:vAlign w:val="bottom"/>
          </w:tcPr>
          <w:p w:rsidR="008E6B81" w:rsidRPr="00632F88" w:rsidRDefault="008E6B81" w:rsidP="00F83D4F">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Note 3</w:t>
            </w:r>
          </w:p>
        </w:tc>
        <w:tc>
          <w:tcPr>
            <w:tcW w:w="2250"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Note 4</w:t>
            </w:r>
          </w:p>
        </w:tc>
      </w:tr>
      <w:tr w:rsidR="008E6B81" w:rsidRPr="00632F88" w:rsidTr="004A4DAD">
        <w:trPr>
          <w:trHeight w:val="290"/>
        </w:trPr>
        <w:tc>
          <w:tcPr>
            <w:tcW w:w="2268" w:type="dxa"/>
            <w:tcBorders>
              <w:top w:val="nil"/>
              <w:left w:val="nil"/>
              <w:bottom w:val="nil"/>
              <w:right w:val="nil"/>
            </w:tcBorders>
            <w:shd w:val="clear" w:color="auto" w:fill="auto"/>
            <w:noWrap/>
            <w:vAlign w:val="bottom"/>
          </w:tcPr>
          <w:p w:rsidR="008E6B81" w:rsidRPr="00632F88" w:rsidRDefault="008E6B81" w:rsidP="00F83D4F">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8E6B81" w:rsidRPr="00632F88" w:rsidRDefault="008E6B81" w:rsidP="00F83D4F">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8E6B81" w:rsidRPr="00632F88" w:rsidRDefault="008E6B81" w:rsidP="00F83D4F">
            <w:pPr>
              <w:jc w:val="right"/>
              <w:rPr>
                <w:rFonts w:ascii="Arial" w:hAnsi="Arial" w:cs="Arial"/>
                <w:color w:val="000000"/>
                <w:sz w:val="24"/>
                <w:szCs w:val="24"/>
              </w:rPr>
            </w:pPr>
          </w:p>
        </w:tc>
        <w:tc>
          <w:tcPr>
            <w:tcW w:w="2250" w:type="dxa"/>
            <w:tcBorders>
              <w:top w:val="nil"/>
              <w:left w:val="nil"/>
              <w:bottom w:val="nil"/>
              <w:right w:val="nil"/>
            </w:tcBorders>
            <w:shd w:val="clear" w:color="auto" w:fill="auto"/>
            <w:noWrap/>
            <w:vAlign w:val="bottom"/>
          </w:tcPr>
          <w:p w:rsidR="008E6B81" w:rsidRPr="00632F88" w:rsidRDefault="008E6B81" w:rsidP="00F83D4F">
            <w:pPr>
              <w:jc w:val="right"/>
              <w:rPr>
                <w:rFonts w:ascii="Arial" w:hAnsi="Arial" w:cs="Arial"/>
                <w:color w:val="000000"/>
                <w:sz w:val="24"/>
                <w:szCs w:val="24"/>
              </w:rPr>
            </w:pP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8E6B81">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1</w:t>
            </w:r>
          </w:p>
        </w:tc>
        <w:tc>
          <w:tcPr>
            <w:tcW w:w="1894" w:type="dxa"/>
            <w:tcBorders>
              <w:top w:val="nil"/>
              <w:left w:val="nil"/>
              <w:bottom w:val="nil"/>
              <w:right w:val="nil"/>
            </w:tcBorders>
            <w:shd w:val="clear" w:color="auto" w:fill="auto"/>
            <w:noWrap/>
            <w:vAlign w:val="bottom"/>
            <w:hideMark/>
          </w:tcPr>
          <w:p w:rsidR="008E6B81" w:rsidRPr="00632F88" w:rsidRDefault="003C45ED" w:rsidP="008E6B81">
            <w:pPr>
              <w:jc w:val="right"/>
              <w:rPr>
                <w:rFonts w:ascii="Arial" w:hAnsi="Arial" w:cs="Arial"/>
                <w:color w:val="000000"/>
                <w:sz w:val="24"/>
                <w:szCs w:val="24"/>
              </w:rPr>
            </w:pPr>
            <w:r>
              <w:rPr>
                <w:rFonts w:ascii="Arial" w:hAnsi="Arial" w:cs="Arial"/>
                <w:color w:val="000000"/>
                <w:sz w:val="24"/>
                <w:szCs w:val="24"/>
              </w:rPr>
              <w:t xml:space="preserve">  </w:t>
            </w:r>
            <w:r w:rsidR="008E6B81">
              <w:rPr>
                <w:rFonts w:ascii="Arial" w:hAnsi="Arial" w:cs="Arial"/>
                <w:color w:val="000000"/>
                <w:sz w:val="24"/>
                <w:szCs w:val="24"/>
              </w:rPr>
              <w:t xml:space="preserve">    1</w:t>
            </w:r>
            <w:r w:rsidR="008E6B81" w:rsidRPr="00632F88">
              <w:rPr>
                <w:rFonts w:ascii="Arial" w:hAnsi="Arial" w:cs="Arial"/>
                <w:color w:val="000000"/>
                <w:sz w:val="24"/>
                <w:szCs w:val="24"/>
              </w:rPr>
              <w:t>,</w:t>
            </w:r>
            <w:r w:rsidR="008E6B81">
              <w:rPr>
                <w:rFonts w:ascii="Arial" w:hAnsi="Arial" w:cs="Arial"/>
                <w:color w:val="000000"/>
                <w:sz w:val="24"/>
                <w:szCs w:val="24"/>
              </w:rPr>
              <w:t>252</w:t>
            </w:r>
            <w:r w:rsidR="008E6B81" w:rsidRPr="00632F88">
              <w:rPr>
                <w:rFonts w:ascii="Arial" w:hAnsi="Arial" w:cs="Arial"/>
                <w:color w:val="000000"/>
                <w:sz w:val="24"/>
                <w:szCs w:val="24"/>
              </w:rPr>
              <w:t>,</w:t>
            </w:r>
            <w:r w:rsidR="008E6B81">
              <w:rPr>
                <w:rFonts w:ascii="Arial" w:hAnsi="Arial" w:cs="Arial"/>
                <w:color w:val="000000"/>
                <w:sz w:val="24"/>
                <w:szCs w:val="24"/>
              </w:rPr>
              <w:t>002</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8E6B81" w:rsidP="005A7165">
            <w:pPr>
              <w:jc w:val="right"/>
              <w:rPr>
                <w:rFonts w:ascii="Arial" w:hAnsi="Arial" w:cs="Arial"/>
                <w:color w:val="000000"/>
                <w:sz w:val="24"/>
                <w:szCs w:val="24"/>
              </w:rPr>
            </w:pPr>
            <w:r>
              <w:rPr>
                <w:rFonts w:ascii="Arial" w:hAnsi="Arial" w:cs="Arial"/>
                <w:color w:val="000000"/>
                <w:sz w:val="24"/>
                <w:szCs w:val="24"/>
              </w:rPr>
              <w:t>$     0.3072</w:t>
            </w:r>
          </w:p>
        </w:tc>
        <w:tc>
          <w:tcPr>
            <w:tcW w:w="2250" w:type="dxa"/>
            <w:tcBorders>
              <w:top w:val="nil"/>
              <w:left w:val="nil"/>
              <w:bottom w:val="nil"/>
              <w:right w:val="nil"/>
            </w:tcBorders>
            <w:shd w:val="clear" w:color="auto" w:fill="auto"/>
            <w:noWrap/>
            <w:vAlign w:val="bottom"/>
            <w:hideMark/>
          </w:tcPr>
          <w:p w:rsidR="008E6B81" w:rsidRPr="00632F88" w:rsidRDefault="008E6B81" w:rsidP="008E6B81">
            <w:pPr>
              <w:jc w:val="right"/>
              <w:rPr>
                <w:rFonts w:ascii="Arial" w:hAnsi="Arial" w:cs="Arial"/>
                <w:color w:val="000000"/>
                <w:sz w:val="24"/>
                <w:szCs w:val="24"/>
              </w:rPr>
            </w:pPr>
            <w:r>
              <w:rPr>
                <w:rFonts w:ascii="Arial" w:hAnsi="Arial" w:cs="Arial"/>
                <w:color w:val="000000"/>
                <w:sz w:val="24"/>
                <w:szCs w:val="24"/>
              </w:rPr>
              <w:t xml:space="preserve">$    </w:t>
            </w:r>
            <w:r w:rsidR="001812A9">
              <w:rPr>
                <w:rFonts w:ascii="Arial" w:hAnsi="Arial" w:cs="Arial"/>
                <w:color w:val="000000"/>
                <w:sz w:val="24"/>
                <w:szCs w:val="24"/>
              </w:rPr>
              <w:t xml:space="preserve">   </w:t>
            </w:r>
            <w:r>
              <w:rPr>
                <w:rFonts w:ascii="Arial" w:hAnsi="Arial" w:cs="Arial"/>
                <w:color w:val="000000"/>
                <w:sz w:val="24"/>
                <w:szCs w:val="24"/>
              </w:rPr>
              <w:t>384</w:t>
            </w:r>
            <w:r w:rsidRPr="00632F88">
              <w:rPr>
                <w:rFonts w:ascii="Arial" w:hAnsi="Arial" w:cs="Arial"/>
                <w:color w:val="000000"/>
                <w:sz w:val="24"/>
                <w:szCs w:val="24"/>
              </w:rPr>
              <w:t>,</w:t>
            </w:r>
            <w:r>
              <w:rPr>
                <w:rFonts w:ascii="Arial" w:hAnsi="Arial" w:cs="Arial"/>
                <w:color w:val="000000"/>
                <w:sz w:val="24"/>
                <w:szCs w:val="24"/>
              </w:rPr>
              <w:t>615</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511</w:t>
            </w:r>
            <w:r w:rsidR="008E6B81" w:rsidRPr="00632F88">
              <w:rPr>
                <w:rFonts w:ascii="Arial" w:hAnsi="Arial" w:cs="Arial"/>
                <w:color w:val="000000"/>
                <w:sz w:val="24"/>
                <w:szCs w:val="24"/>
              </w:rPr>
              <w:t>,</w:t>
            </w:r>
            <w:r>
              <w:rPr>
                <w:rFonts w:ascii="Arial" w:hAnsi="Arial" w:cs="Arial"/>
                <w:color w:val="000000"/>
                <w:sz w:val="24"/>
                <w:szCs w:val="24"/>
              </w:rPr>
              <w:t>788</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8E6B81" w:rsidP="00492035">
            <w:pPr>
              <w:jc w:val="right"/>
              <w:rPr>
                <w:rFonts w:ascii="Arial" w:hAnsi="Arial" w:cs="Arial"/>
                <w:color w:val="000000"/>
                <w:sz w:val="24"/>
                <w:szCs w:val="24"/>
              </w:rPr>
            </w:pPr>
            <w:r w:rsidRPr="00632F88">
              <w:rPr>
                <w:rFonts w:ascii="Arial" w:hAnsi="Arial" w:cs="Arial"/>
                <w:color w:val="000000"/>
                <w:sz w:val="24"/>
                <w:szCs w:val="24"/>
              </w:rPr>
              <w:t>4</w:t>
            </w:r>
            <w:r w:rsidR="00492035">
              <w:rPr>
                <w:rFonts w:ascii="Arial" w:hAnsi="Arial" w:cs="Arial"/>
                <w:color w:val="000000"/>
                <w:sz w:val="24"/>
                <w:szCs w:val="24"/>
              </w:rPr>
              <w:t>75</w:t>
            </w:r>
            <w:r w:rsidRPr="00632F88">
              <w:rPr>
                <w:rFonts w:ascii="Arial" w:hAnsi="Arial" w:cs="Arial"/>
                <w:color w:val="000000"/>
                <w:sz w:val="24"/>
                <w:szCs w:val="24"/>
              </w:rPr>
              <w:t>,</w:t>
            </w:r>
            <w:r w:rsidR="00492035">
              <w:rPr>
                <w:rFonts w:ascii="Arial" w:hAnsi="Arial" w:cs="Arial"/>
                <w:color w:val="000000"/>
                <w:sz w:val="24"/>
                <w:szCs w:val="24"/>
              </w:rPr>
              <w:t>760</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3</w:t>
            </w:r>
            <w:r w:rsidR="008E6B81" w:rsidRPr="00632F88">
              <w:rPr>
                <w:rFonts w:ascii="Arial" w:hAnsi="Arial" w:cs="Arial"/>
                <w:color w:val="000000"/>
                <w:sz w:val="24"/>
                <w:szCs w:val="24"/>
              </w:rPr>
              <w:t>,</w:t>
            </w:r>
            <w:r>
              <w:rPr>
                <w:rFonts w:ascii="Arial" w:hAnsi="Arial" w:cs="Arial"/>
                <w:color w:val="000000"/>
                <w:sz w:val="24"/>
                <w:szCs w:val="24"/>
              </w:rPr>
              <w:t>50</w:t>
            </w:r>
            <w:r w:rsidR="008E6B81">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845</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1,102</w:t>
            </w:r>
            <w:r w:rsidR="008E6B81" w:rsidRPr="00632F88">
              <w:rPr>
                <w:rFonts w:ascii="Arial" w:hAnsi="Arial" w:cs="Arial"/>
                <w:color w:val="000000"/>
                <w:sz w:val="24"/>
                <w:szCs w:val="24"/>
              </w:rPr>
              <w:t>,</w:t>
            </w:r>
            <w:r>
              <w:rPr>
                <w:rFonts w:ascii="Arial" w:hAnsi="Arial" w:cs="Arial"/>
                <w:color w:val="000000"/>
                <w:sz w:val="24"/>
                <w:szCs w:val="24"/>
              </w:rPr>
              <w:t>345</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8E6B81" w:rsidRPr="00632F88" w:rsidRDefault="008E6B81" w:rsidP="00492035">
            <w:pPr>
              <w:jc w:val="right"/>
              <w:rPr>
                <w:rFonts w:ascii="Arial" w:hAnsi="Arial" w:cs="Arial"/>
                <w:color w:val="000000"/>
                <w:sz w:val="24"/>
                <w:szCs w:val="24"/>
              </w:rPr>
            </w:pPr>
            <w:r>
              <w:rPr>
                <w:rFonts w:ascii="Arial" w:hAnsi="Arial" w:cs="Arial"/>
                <w:color w:val="000000"/>
                <w:sz w:val="24"/>
                <w:szCs w:val="24"/>
              </w:rPr>
              <w:t>4</w:t>
            </w:r>
            <w:r w:rsidRPr="00632F88">
              <w:rPr>
                <w:rFonts w:ascii="Arial" w:hAnsi="Arial" w:cs="Arial"/>
                <w:color w:val="000000"/>
                <w:sz w:val="24"/>
                <w:szCs w:val="24"/>
              </w:rPr>
              <w:t>,</w:t>
            </w:r>
            <w:r>
              <w:rPr>
                <w:rFonts w:ascii="Arial" w:hAnsi="Arial" w:cs="Arial"/>
                <w:color w:val="000000"/>
                <w:sz w:val="24"/>
                <w:szCs w:val="24"/>
              </w:rPr>
              <w:t>8</w:t>
            </w:r>
            <w:r w:rsidR="00492035">
              <w:rPr>
                <w:rFonts w:ascii="Arial" w:hAnsi="Arial" w:cs="Arial"/>
                <w:color w:val="000000"/>
                <w:sz w:val="24"/>
                <w:szCs w:val="24"/>
              </w:rPr>
              <w:t>55</w:t>
            </w:r>
            <w:r w:rsidRPr="00632F88">
              <w:rPr>
                <w:rFonts w:ascii="Arial" w:hAnsi="Arial" w:cs="Arial"/>
                <w:color w:val="000000"/>
                <w:sz w:val="24"/>
                <w:szCs w:val="24"/>
              </w:rPr>
              <w:t>,</w:t>
            </w:r>
            <w:r w:rsidR="00492035">
              <w:rPr>
                <w:rFonts w:ascii="Arial" w:hAnsi="Arial" w:cs="Arial"/>
                <w:color w:val="000000"/>
                <w:sz w:val="24"/>
                <w:szCs w:val="24"/>
              </w:rPr>
              <w:t>977</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5</w:t>
            </w:r>
            <w:r w:rsidR="008E6B81">
              <w:rPr>
                <w:rFonts w:ascii="Arial" w:hAnsi="Arial" w:cs="Arial"/>
                <w:color w:val="000000"/>
                <w:sz w:val="24"/>
                <w:szCs w:val="24"/>
              </w:rPr>
              <w:t>28</w:t>
            </w:r>
            <w:r w:rsidR="008E6B81" w:rsidRPr="00632F88">
              <w:rPr>
                <w:rFonts w:ascii="Arial" w:hAnsi="Arial" w:cs="Arial"/>
                <w:color w:val="000000"/>
                <w:sz w:val="24"/>
                <w:szCs w:val="24"/>
              </w:rPr>
              <w:t>,</w:t>
            </w:r>
            <w:r>
              <w:rPr>
                <w:rFonts w:ascii="Arial" w:hAnsi="Arial" w:cs="Arial"/>
                <w:color w:val="000000"/>
                <w:sz w:val="24"/>
                <w:szCs w:val="24"/>
              </w:rPr>
              <w:t>176</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8E6B81">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2</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7</w:t>
            </w:r>
            <w:r w:rsidR="008E6B81" w:rsidRPr="00632F88">
              <w:rPr>
                <w:rFonts w:ascii="Arial" w:hAnsi="Arial" w:cs="Arial"/>
                <w:color w:val="000000"/>
                <w:sz w:val="24"/>
                <w:szCs w:val="24"/>
              </w:rPr>
              <w:t>,</w:t>
            </w:r>
            <w:r>
              <w:rPr>
                <w:rFonts w:ascii="Arial" w:hAnsi="Arial" w:cs="Arial"/>
                <w:color w:val="000000"/>
                <w:sz w:val="24"/>
                <w:szCs w:val="24"/>
              </w:rPr>
              <w:t>7</w:t>
            </w:r>
            <w:r w:rsidR="008E6B81">
              <w:rPr>
                <w:rFonts w:ascii="Arial" w:hAnsi="Arial" w:cs="Arial"/>
                <w:color w:val="000000"/>
                <w:sz w:val="24"/>
                <w:szCs w:val="24"/>
              </w:rPr>
              <w:t>1</w:t>
            </w: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948</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427</w:t>
            </w:r>
            <w:r w:rsidR="008E6B81" w:rsidRPr="00632F88">
              <w:rPr>
                <w:rFonts w:ascii="Arial" w:hAnsi="Arial" w:cs="Arial"/>
                <w:color w:val="000000"/>
                <w:sz w:val="24"/>
                <w:szCs w:val="24"/>
              </w:rPr>
              <w:t>,</w:t>
            </w:r>
            <w:r>
              <w:rPr>
                <w:rFonts w:ascii="Arial" w:hAnsi="Arial" w:cs="Arial"/>
                <w:color w:val="000000"/>
                <w:sz w:val="24"/>
                <w:szCs w:val="24"/>
              </w:rPr>
              <w:t>265</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7</w:t>
            </w:r>
            <w:r w:rsidR="008E6B81" w:rsidRPr="00632F88">
              <w:rPr>
                <w:rFonts w:ascii="Arial" w:hAnsi="Arial" w:cs="Arial"/>
                <w:color w:val="000000"/>
                <w:sz w:val="24"/>
                <w:szCs w:val="24"/>
              </w:rPr>
              <w:t>,</w:t>
            </w:r>
            <w:r>
              <w:rPr>
                <w:rFonts w:ascii="Arial" w:hAnsi="Arial" w:cs="Arial"/>
                <w:color w:val="000000"/>
                <w:sz w:val="24"/>
                <w:szCs w:val="24"/>
              </w:rPr>
              <w:t>422</w:t>
            </w:r>
            <w:r w:rsidR="008E6B81" w:rsidRPr="00632F88">
              <w:rPr>
                <w:rFonts w:ascii="Arial" w:hAnsi="Arial" w:cs="Arial"/>
                <w:color w:val="000000"/>
                <w:sz w:val="24"/>
                <w:szCs w:val="24"/>
              </w:rPr>
              <w:t>,</w:t>
            </w:r>
            <w:r>
              <w:rPr>
                <w:rFonts w:ascii="Arial" w:hAnsi="Arial" w:cs="Arial"/>
                <w:color w:val="000000"/>
                <w:sz w:val="24"/>
                <w:szCs w:val="24"/>
              </w:rPr>
              <w:t>377</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335</w:t>
            </w:r>
            <w:r w:rsidR="008E6B81" w:rsidRPr="00632F88">
              <w:rPr>
                <w:rFonts w:ascii="Arial" w:hAnsi="Arial" w:cs="Arial"/>
                <w:color w:val="000000"/>
                <w:sz w:val="24"/>
                <w:szCs w:val="24"/>
              </w:rPr>
              <w:t>,</w:t>
            </w:r>
            <w:r>
              <w:rPr>
                <w:rFonts w:ascii="Arial" w:hAnsi="Arial" w:cs="Arial"/>
                <w:color w:val="000000"/>
                <w:sz w:val="24"/>
                <w:szCs w:val="24"/>
              </w:rPr>
              <w:t>822</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8E6B81" w:rsidRPr="00632F88" w:rsidRDefault="008E6B81" w:rsidP="00492035">
            <w:pPr>
              <w:jc w:val="right"/>
              <w:rPr>
                <w:rFonts w:ascii="Arial" w:hAnsi="Arial" w:cs="Arial"/>
                <w:color w:val="000000"/>
                <w:sz w:val="24"/>
                <w:szCs w:val="24"/>
              </w:rPr>
            </w:pPr>
            <w:r>
              <w:rPr>
                <w:rFonts w:ascii="Arial" w:hAnsi="Arial" w:cs="Arial"/>
                <w:color w:val="000000"/>
                <w:sz w:val="24"/>
                <w:szCs w:val="24"/>
              </w:rPr>
              <w:t>5</w:t>
            </w:r>
            <w:r w:rsidRPr="00632F88">
              <w:rPr>
                <w:rFonts w:ascii="Arial" w:hAnsi="Arial" w:cs="Arial"/>
                <w:color w:val="000000"/>
                <w:sz w:val="24"/>
                <w:szCs w:val="24"/>
              </w:rPr>
              <w:t>,</w:t>
            </w:r>
            <w:r w:rsidR="00492035">
              <w:rPr>
                <w:rFonts w:ascii="Arial" w:hAnsi="Arial" w:cs="Arial"/>
                <w:color w:val="000000"/>
                <w:sz w:val="24"/>
                <w:szCs w:val="24"/>
              </w:rPr>
              <w:t>443</w:t>
            </w:r>
            <w:r w:rsidRPr="00632F88">
              <w:rPr>
                <w:rFonts w:ascii="Arial" w:hAnsi="Arial" w:cs="Arial"/>
                <w:color w:val="000000"/>
                <w:sz w:val="24"/>
                <w:szCs w:val="24"/>
              </w:rPr>
              <w:t>,</w:t>
            </w:r>
            <w:r w:rsidR="00492035">
              <w:rPr>
                <w:rFonts w:ascii="Arial" w:hAnsi="Arial" w:cs="Arial"/>
                <w:color w:val="000000"/>
                <w:sz w:val="24"/>
                <w:szCs w:val="24"/>
              </w:rPr>
              <w:t>272</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712</w:t>
            </w:r>
            <w:r w:rsidR="008E6B81" w:rsidRPr="00632F88">
              <w:rPr>
                <w:rFonts w:ascii="Arial" w:hAnsi="Arial" w:cs="Arial"/>
                <w:color w:val="000000"/>
                <w:sz w:val="24"/>
                <w:szCs w:val="24"/>
              </w:rPr>
              <w:t>,</w:t>
            </w:r>
            <w:r>
              <w:rPr>
                <w:rFonts w:ascii="Arial" w:hAnsi="Arial" w:cs="Arial"/>
                <w:color w:val="000000"/>
                <w:sz w:val="24"/>
                <w:szCs w:val="24"/>
              </w:rPr>
              <w:t>998</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3</w:t>
            </w:r>
            <w:r w:rsidR="008E6B81" w:rsidRPr="00632F88">
              <w:rPr>
                <w:rFonts w:ascii="Arial" w:hAnsi="Arial" w:cs="Arial"/>
                <w:color w:val="000000"/>
                <w:sz w:val="24"/>
                <w:szCs w:val="24"/>
              </w:rPr>
              <w:t>,</w:t>
            </w:r>
            <w:r>
              <w:rPr>
                <w:rFonts w:ascii="Arial" w:hAnsi="Arial" w:cs="Arial"/>
                <w:color w:val="000000"/>
                <w:sz w:val="24"/>
                <w:szCs w:val="24"/>
              </w:rPr>
              <w:t>30</w:t>
            </w:r>
            <w:r w:rsidR="008E6B81">
              <w:rPr>
                <w:rFonts w:ascii="Arial" w:hAnsi="Arial" w:cs="Arial"/>
                <w:color w:val="000000"/>
                <w:sz w:val="24"/>
                <w:szCs w:val="24"/>
              </w:rPr>
              <w:t>4</w:t>
            </w:r>
            <w:r w:rsidR="008E6B81" w:rsidRPr="00632F88">
              <w:rPr>
                <w:rFonts w:ascii="Arial" w:hAnsi="Arial" w:cs="Arial"/>
                <w:color w:val="000000"/>
                <w:sz w:val="24"/>
                <w:szCs w:val="24"/>
              </w:rPr>
              <w:t>,</w:t>
            </w:r>
            <w:r>
              <w:rPr>
                <w:rFonts w:ascii="Arial" w:hAnsi="Arial" w:cs="Arial"/>
                <w:color w:val="000000"/>
                <w:sz w:val="24"/>
                <w:szCs w:val="24"/>
              </w:rPr>
              <w:t>672</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492035" w:rsidP="009E60B9">
            <w:pPr>
              <w:jc w:val="right"/>
              <w:rPr>
                <w:rFonts w:ascii="Arial" w:hAnsi="Arial" w:cs="Arial"/>
                <w:color w:val="000000"/>
                <w:sz w:val="24"/>
                <w:szCs w:val="24"/>
              </w:rPr>
            </w:pPr>
            <w:r>
              <w:rPr>
                <w:rFonts w:ascii="Arial" w:hAnsi="Arial" w:cs="Arial"/>
                <w:color w:val="000000"/>
                <w:sz w:val="24"/>
                <w:szCs w:val="24"/>
              </w:rPr>
              <w:t>1,039</w:t>
            </w:r>
            <w:r w:rsidR="008E6B81">
              <w:rPr>
                <w:rFonts w:ascii="Arial" w:hAnsi="Arial" w:cs="Arial"/>
                <w:color w:val="000000"/>
                <w:sz w:val="24"/>
                <w:szCs w:val="24"/>
              </w:rPr>
              <w:t>,</w:t>
            </w:r>
            <w:r w:rsidR="009E60B9">
              <w:rPr>
                <w:rFonts w:ascii="Arial" w:hAnsi="Arial" w:cs="Arial"/>
                <w:color w:val="000000"/>
                <w:sz w:val="24"/>
                <w:szCs w:val="24"/>
              </w:rPr>
              <w:t>980</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221</w:t>
            </w:r>
            <w:r w:rsidR="008E6B81" w:rsidRPr="00632F88">
              <w:rPr>
                <w:rFonts w:ascii="Arial" w:hAnsi="Arial" w:cs="Arial"/>
                <w:color w:val="000000"/>
                <w:sz w:val="24"/>
                <w:szCs w:val="24"/>
              </w:rPr>
              <w:t>,</w:t>
            </w:r>
            <w:r>
              <w:rPr>
                <w:rFonts w:ascii="Arial" w:hAnsi="Arial" w:cs="Arial"/>
                <w:color w:val="000000"/>
                <w:sz w:val="24"/>
                <w:szCs w:val="24"/>
              </w:rPr>
              <w:t>873</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8E6B81" w:rsidP="009E60B9">
            <w:pPr>
              <w:jc w:val="right"/>
              <w:rPr>
                <w:rFonts w:ascii="Arial" w:hAnsi="Arial" w:cs="Arial"/>
                <w:color w:val="000000"/>
                <w:sz w:val="24"/>
                <w:szCs w:val="24"/>
              </w:rPr>
            </w:pPr>
            <w:r>
              <w:rPr>
                <w:rFonts w:ascii="Arial" w:hAnsi="Arial" w:cs="Arial"/>
                <w:color w:val="000000"/>
                <w:sz w:val="24"/>
                <w:szCs w:val="24"/>
              </w:rPr>
              <w:t>6</w:t>
            </w:r>
            <w:r w:rsidR="009E60B9">
              <w:rPr>
                <w:rFonts w:ascii="Arial" w:hAnsi="Arial" w:cs="Arial"/>
                <w:color w:val="000000"/>
                <w:sz w:val="24"/>
                <w:szCs w:val="24"/>
              </w:rPr>
              <w:t>99</w:t>
            </w:r>
            <w:r w:rsidRPr="00632F88">
              <w:rPr>
                <w:rFonts w:ascii="Arial" w:hAnsi="Arial" w:cs="Arial"/>
                <w:color w:val="000000"/>
                <w:sz w:val="24"/>
                <w:szCs w:val="24"/>
              </w:rPr>
              <w:t>,</w:t>
            </w:r>
            <w:r w:rsidR="009E60B9">
              <w:rPr>
                <w:rFonts w:ascii="Arial" w:hAnsi="Arial" w:cs="Arial"/>
                <w:color w:val="000000"/>
                <w:sz w:val="24"/>
                <w:szCs w:val="24"/>
              </w:rPr>
              <w:t>223</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365</w:t>
            </w:r>
            <w:r w:rsidR="008E6B81" w:rsidRPr="00632F88">
              <w:rPr>
                <w:rFonts w:ascii="Arial" w:hAnsi="Arial" w:cs="Arial"/>
                <w:color w:val="000000"/>
                <w:sz w:val="24"/>
                <w:szCs w:val="24"/>
              </w:rPr>
              <w:t>,</w:t>
            </w:r>
            <w:r>
              <w:rPr>
                <w:rFonts w:ascii="Arial" w:hAnsi="Arial" w:cs="Arial"/>
                <w:color w:val="000000"/>
                <w:sz w:val="24"/>
                <w:szCs w:val="24"/>
              </w:rPr>
              <w:t>652</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9E60B9" w:rsidP="009E60B9">
            <w:pPr>
              <w:jc w:val="right"/>
              <w:rPr>
                <w:rFonts w:ascii="Arial" w:hAnsi="Arial" w:cs="Arial"/>
                <w:color w:val="000000"/>
                <w:sz w:val="24"/>
                <w:szCs w:val="24"/>
              </w:rPr>
            </w:pPr>
            <w:r>
              <w:rPr>
                <w:rFonts w:ascii="Arial" w:hAnsi="Arial" w:cs="Arial"/>
                <w:color w:val="000000"/>
                <w:sz w:val="24"/>
                <w:szCs w:val="24"/>
              </w:rPr>
              <w:t>429</w:t>
            </w:r>
            <w:r w:rsidR="008E6B81" w:rsidRPr="00632F88">
              <w:rPr>
                <w:rFonts w:ascii="Arial" w:hAnsi="Arial" w:cs="Arial"/>
                <w:color w:val="000000"/>
                <w:sz w:val="24"/>
                <w:szCs w:val="24"/>
              </w:rPr>
              <w:t>,</w:t>
            </w:r>
            <w:r>
              <w:rPr>
                <w:rFonts w:ascii="Arial" w:hAnsi="Arial" w:cs="Arial"/>
                <w:color w:val="000000"/>
                <w:sz w:val="24"/>
                <w:szCs w:val="24"/>
              </w:rPr>
              <w:t>771</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8E6B81" w:rsidRPr="00632F88" w:rsidRDefault="00492035" w:rsidP="00492035">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141</w:t>
            </w:r>
            <w:r w:rsidR="008E6B81" w:rsidRPr="00632F88">
              <w:rPr>
                <w:rFonts w:ascii="Arial" w:hAnsi="Arial" w:cs="Arial"/>
                <w:color w:val="000000"/>
                <w:sz w:val="24"/>
                <w:szCs w:val="24"/>
              </w:rPr>
              <w:t>,</w:t>
            </w:r>
            <w:r>
              <w:rPr>
                <w:rFonts w:ascii="Arial" w:hAnsi="Arial" w:cs="Arial"/>
                <w:color w:val="000000"/>
                <w:sz w:val="24"/>
                <w:szCs w:val="24"/>
              </w:rPr>
              <w:t>758</w:t>
            </w:r>
          </w:p>
        </w:tc>
        <w:tc>
          <w:tcPr>
            <w:tcW w:w="1976" w:type="dxa"/>
            <w:tcBorders>
              <w:top w:val="nil"/>
              <w:left w:val="nil"/>
              <w:bottom w:val="nil"/>
              <w:right w:val="nil"/>
            </w:tcBorders>
            <w:shd w:val="clear" w:color="auto" w:fill="auto"/>
            <w:noWrap/>
            <w:vAlign w:val="bottom"/>
            <w:hideMark/>
          </w:tcPr>
          <w:p w:rsidR="008E6B81" w:rsidRPr="00632F88"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9E60B9" w:rsidP="009E60B9">
            <w:pPr>
              <w:jc w:val="right"/>
              <w:rPr>
                <w:rFonts w:ascii="Arial" w:hAnsi="Arial" w:cs="Arial"/>
                <w:color w:val="000000"/>
                <w:sz w:val="24"/>
                <w:szCs w:val="24"/>
              </w:rPr>
            </w:pPr>
            <w:r>
              <w:rPr>
                <w:rFonts w:ascii="Arial" w:hAnsi="Arial" w:cs="Arial"/>
                <w:color w:val="000000"/>
                <w:sz w:val="24"/>
                <w:szCs w:val="24"/>
              </w:rPr>
              <w:t>359</w:t>
            </w:r>
            <w:r w:rsidR="008E6B81" w:rsidRPr="00632F88">
              <w:rPr>
                <w:rFonts w:ascii="Arial" w:hAnsi="Arial" w:cs="Arial"/>
                <w:color w:val="000000"/>
                <w:sz w:val="24"/>
                <w:szCs w:val="24"/>
              </w:rPr>
              <w:t>,</w:t>
            </w:r>
            <w:r>
              <w:rPr>
                <w:rFonts w:ascii="Arial" w:hAnsi="Arial" w:cs="Arial"/>
                <w:color w:val="000000"/>
                <w:sz w:val="24"/>
                <w:szCs w:val="24"/>
              </w:rPr>
              <w:t>311</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8E6B81" w:rsidRPr="00632F88" w:rsidRDefault="008E6B81" w:rsidP="00492035">
            <w:pPr>
              <w:jc w:val="right"/>
              <w:rPr>
                <w:rFonts w:ascii="Arial" w:hAnsi="Arial" w:cs="Arial"/>
                <w:color w:val="000000"/>
                <w:sz w:val="24"/>
                <w:szCs w:val="24"/>
                <w:u w:val="single"/>
              </w:rPr>
            </w:pPr>
            <w:r w:rsidRPr="00794DEB">
              <w:rPr>
                <w:rFonts w:ascii="Arial" w:hAnsi="Arial" w:cs="Arial"/>
                <w:color w:val="000000"/>
                <w:sz w:val="24"/>
                <w:szCs w:val="24"/>
              </w:rPr>
              <w:t xml:space="preserve">     </w:t>
            </w:r>
            <w:r>
              <w:rPr>
                <w:rFonts w:ascii="Arial" w:hAnsi="Arial" w:cs="Arial"/>
                <w:color w:val="000000"/>
                <w:sz w:val="24"/>
                <w:szCs w:val="24"/>
                <w:u w:val="single"/>
              </w:rPr>
              <w:t xml:space="preserve">  </w:t>
            </w:r>
            <w:r w:rsidR="00492035">
              <w:rPr>
                <w:rFonts w:ascii="Arial" w:hAnsi="Arial" w:cs="Arial"/>
                <w:color w:val="000000"/>
                <w:sz w:val="24"/>
                <w:szCs w:val="24"/>
                <w:u w:val="single"/>
              </w:rPr>
              <w:t>1</w:t>
            </w:r>
            <w:r>
              <w:rPr>
                <w:rFonts w:ascii="Arial" w:hAnsi="Arial" w:cs="Arial"/>
                <w:color w:val="000000"/>
                <w:sz w:val="24"/>
                <w:szCs w:val="24"/>
                <w:u w:val="single"/>
              </w:rPr>
              <w:t>,</w:t>
            </w:r>
            <w:r w:rsidR="00492035">
              <w:rPr>
                <w:rFonts w:ascii="Arial" w:hAnsi="Arial" w:cs="Arial"/>
                <w:color w:val="000000"/>
                <w:sz w:val="24"/>
                <w:szCs w:val="24"/>
                <w:u w:val="single"/>
              </w:rPr>
              <w:t>087</w:t>
            </w:r>
            <w:r w:rsidRPr="00632F88">
              <w:rPr>
                <w:rFonts w:ascii="Arial" w:hAnsi="Arial" w:cs="Arial"/>
                <w:color w:val="000000"/>
                <w:sz w:val="24"/>
                <w:szCs w:val="24"/>
                <w:u w:val="single"/>
              </w:rPr>
              <w:t>,</w:t>
            </w:r>
            <w:r w:rsidR="00492035">
              <w:rPr>
                <w:rFonts w:ascii="Arial" w:hAnsi="Arial" w:cs="Arial"/>
                <w:color w:val="000000"/>
                <w:sz w:val="24"/>
                <w:szCs w:val="24"/>
                <w:u w:val="single"/>
              </w:rPr>
              <w:t>326</w:t>
            </w:r>
            <w:r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8E6B81" w:rsidRPr="00005470" w:rsidRDefault="00492035" w:rsidP="00005470">
            <w:pPr>
              <w:jc w:val="right"/>
              <w:rPr>
                <w:rFonts w:ascii="Arial" w:hAnsi="Arial" w:cs="Arial"/>
                <w:color w:val="000000"/>
                <w:sz w:val="24"/>
                <w:szCs w:val="24"/>
              </w:rPr>
            </w:pPr>
            <w:r>
              <w:rPr>
                <w:rFonts w:ascii="Arial" w:hAnsi="Arial" w:cs="Arial"/>
                <w:color w:val="000000"/>
                <w:sz w:val="24"/>
                <w:szCs w:val="24"/>
              </w:rPr>
              <w:t>0.3147</w:t>
            </w:r>
          </w:p>
        </w:tc>
        <w:tc>
          <w:tcPr>
            <w:tcW w:w="2250" w:type="dxa"/>
            <w:tcBorders>
              <w:top w:val="nil"/>
              <w:left w:val="nil"/>
              <w:bottom w:val="nil"/>
              <w:right w:val="nil"/>
            </w:tcBorders>
            <w:shd w:val="clear" w:color="auto" w:fill="auto"/>
            <w:noWrap/>
            <w:vAlign w:val="bottom"/>
            <w:hideMark/>
          </w:tcPr>
          <w:p w:rsidR="008E6B81" w:rsidRPr="00632F88" w:rsidRDefault="008E6B81" w:rsidP="009E60B9">
            <w:pPr>
              <w:jc w:val="right"/>
              <w:rPr>
                <w:rFonts w:ascii="Arial" w:hAnsi="Arial" w:cs="Arial"/>
                <w:color w:val="000000"/>
                <w:sz w:val="24"/>
                <w:szCs w:val="24"/>
                <w:u w:val="single"/>
              </w:rPr>
            </w:pPr>
            <w:r>
              <w:rPr>
                <w:rFonts w:ascii="Arial" w:hAnsi="Arial" w:cs="Arial"/>
                <w:color w:val="000000"/>
                <w:sz w:val="24"/>
                <w:szCs w:val="24"/>
                <w:u w:val="single"/>
              </w:rPr>
              <w:t xml:space="preserve">      3</w:t>
            </w:r>
            <w:r w:rsidR="009E60B9">
              <w:rPr>
                <w:rFonts w:ascii="Arial" w:hAnsi="Arial" w:cs="Arial"/>
                <w:color w:val="000000"/>
                <w:sz w:val="24"/>
                <w:szCs w:val="24"/>
                <w:u w:val="single"/>
              </w:rPr>
              <w:t>42</w:t>
            </w:r>
            <w:r w:rsidRPr="00632F88">
              <w:rPr>
                <w:rFonts w:ascii="Arial" w:hAnsi="Arial" w:cs="Arial"/>
                <w:color w:val="000000"/>
                <w:sz w:val="24"/>
                <w:szCs w:val="24"/>
                <w:u w:val="single"/>
              </w:rPr>
              <w:t>,</w:t>
            </w:r>
            <w:r w:rsidR="009E60B9">
              <w:rPr>
                <w:rFonts w:ascii="Arial" w:hAnsi="Arial" w:cs="Arial"/>
                <w:color w:val="000000"/>
                <w:sz w:val="24"/>
                <w:szCs w:val="24"/>
                <w:u w:val="single"/>
              </w:rPr>
              <w:t>181</w:t>
            </w:r>
            <w:r>
              <w:rPr>
                <w:rFonts w:ascii="Arial" w:hAnsi="Arial" w:cs="Arial"/>
                <w:color w:val="000000"/>
                <w:sz w:val="24"/>
                <w:szCs w:val="24"/>
                <w:u w:val="single"/>
              </w:rPr>
              <w:t xml:space="preserve">                                                                                                                                                                                                                                                                                                                                                                                                                                                                                                                                                                                                                                                                                                                                                                                                                                                                                                                                                                                                                                                                                                                                                                                         </w:t>
            </w:r>
          </w:p>
        </w:tc>
      </w:tr>
      <w:tr w:rsidR="008E6B81" w:rsidRPr="00632F88" w:rsidTr="004A4DAD">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8E6B81" w:rsidRPr="00632F88" w:rsidRDefault="003C45ED" w:rsidP="009E60B9">
            <w:pPr>
              <w:jc w:val="right"/>
              <w:rPr>
                <w:rFonts w:ascii="Arial" w:hAnsi="Arial" w:cs="Arial"/>
                <w:color w:val="000000"/>
                <w:sz w:val="24"/>
                <w:szCs w:val="24"/>
                <w:u w:val="double"/>
              </w:rPr>
            </w:pPr>
            <w:r w:rsidRPr="00794DEB">
              <w:rPr>
                <w:rFonts w:ascii="Arial" w:hAnsi="Arial" w:cs="Arial"/>
                <w:color w:val="000000"/>
                <w:sz w:val="24"/>
                <w:szCs w:val="24"/>
              </w:rPr>
              <w:t xml:space="preserve">  </w:t>
            </w:r>
            <w:r w:rsidR="009E60B9" w:rsidRPr="00794DEB">
              <w:rPr>
                <w:rFonts w:ascii="Arial" w:hAnsi="Arial" w:cs="Arial"/>
                <w:color w:val="000000"/>
                <w:sz w:val="24"/>
                <w:szCs w:val="24"/>
              </w:rPr>
              <w:t xml:space="preserve">   </w:t>
            </w:r>
            <w:r w:rsidR="009E60B9">
              <w:rPr>
                <w:rFonts w:ascii="Arial" w:hAnsi="Arial" w:cs="Arial"/>
                <w:color w:val="000000"/>
                <w:sz w:val="24"/>
                <w:szCs w:val="24"/>
                <w:u w:val="double"/>
              </w:rPr>
              <w:t>40</w:t>
            </w:r>
            <w:r w:rsidR="008E6B81" w:rsidRPr="00632F88">
              <w:rPr>
                <w:rFonts w:ascii="Arial" w:hAnsi="Arial" w:cs="Arial"/>
                <w:color w:val="000000"/>
                <w:sz w:val="24"/>
                <w:szCs w:val="24"/>
                <w:u w:val="double"/>
              </w:rPr>
              <w:t>,</w:t>
            </w:r>
            <w:r w:rsidR="009E60B9">
              <w:rPr>
                <w:rFonts w:ascii="Arial" w:hAnsi="Arial" w:cs="Arial"/>
                <w:color w:val="000000"/>
                <w:sz w:val="24"/>
                <w:szCs w:val="24"/>
                <w:u w:val="double"/>
              </w:rPr>
              <w:t>822</w:t>
            </w:r>
            <w:r w:rsidR="008E6B81" w:rsidRPr="00632F88">
              <w:rPr>
                <w:rFonts w:ascii="Arial" w:hAnsi="Arial" w:cs="Arial"/>
                <w:color w:val="000000"/>
                <w:sz w:val="24"/>
                <w:szCs w:val="24"/>
                <w:u w:val="double"/>
              </w:rPr>
              <w:t>,</w:t>
            </w:r>
            <w:r w:rsidR="008E6B81">
              <w:rPr>
                <w:rFonts w:ascii="Arial" w:hAnsi="Arial" w:cs="Arial"/>
                <w:color w:val="000000"/>
                <w:sz w:val="24"/>
                <w:szCs w:val="24"/>
                <w:u w:val="double"/>
              </w:rPr>
              <w:t>49</w:t>
            </w:r>
            <w:r w:rsidR="009E60B9">
              <w:rPr>
                <w:rFonts w:ascii="Arial" w:hAnsi="Arial" w:cs="Arial"/>
                <w:color w:val="000000"/>
                <w:sz w:val="24"/>
                <w:szCs w:val="24"/>
                <w:u w:val="double"/>
              </w:rPr>
              <w:t>0</w:t>
            </w:r>
            <w:r w:rsidR="008E6B81">
              <w:rPr>
                <w:rFonts w:ascii="Arial" w:hAnsi="Arial" w:cs="Arial"/>
                <w:color w:val="000000"/>
                <w:sz w:val="24"/>
                <w:szCs w:val="24"/>
                <w:u w:val="double"/>
              </w:rPr>
              <w:t xml:space="preserve">                                                                                                                                                                                                                                                                                                                                                                                                                                                                                                                                                                                                                                                                                                                                                                                                                                                                                                                                                                                                                                                                                                                                                                                                                                                                                                                                                                                                                                                                                                                                                                  </w:t>
            </w:r>
            <w:r w:rsidR="008E6B81"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tcPr>
          <w:p w:rsidR="008E6B81" w:rsidRPr="00632F88" w:rsidRDefault="008E6B81" w:rsidP="00F83D4F">
            <w:pPr>
              <w:ind w:right="72"/>
              <w:jc w:val="right"/>
              <w:rPr>
                <w:rFonts w:ascii="Arial" w:hAnsi="Arial" w:cs="Arial"/>
                <w:color w:val="000000"/>
                <w:sz w:val="24"/>
                <w:szCs w:val="24"/>
                <w:u w:val="double"/>
              </w:rPr>
            </w:pPr>
          </w:p>
        </w:tc>
        <w:tc>
          <w:tcPr>
            <w:tcW w:w="2250" w:type="dxa"/>
            <w:tcBorders>
              <w:top w:val="nil"/>
              <w:left w:val="nil"/>
              <w:bottom w:val="nil"/>
              <w:right w:val="nil"/>
            </w:tcBorders>
            <w:shd w:val="clear" w:color="auto" w:fill="auto"/>
            <w:noWrap/>
            <w:vAlign w:val="bottom"/>
            <w:hideMark/>
          </w:tcPr>
          <w:p w:rsidR="008E6B81" w:rsidRPr="00632F88" w:rsidRDefault="009D248F" w:rsidP="009D248F">
            <w:pPr>
              <w:jc w:val="right"/>
              <w:rPr>
                <w:rFonts w:ascii="Arial" w:hAnsi="Arial" w:cs="Arial"/>
                <w:color w:val="000000"/>
                <w:sz w:val="24"/>
                <w:szCs w:val="24"/>
                <w:u w:val="double"/>
              </w:rPr>
            </w:pPr>
            <w:r>
              <w:rPr>
                <w:rFonts w:ascii="Arial" w:hAnsi="Arial" w:cs="Arial"/>
                <w:color w:val="000000"/>
                <w:sz w:val="24"/>
                <w:szCs w:val="24"/>
                <w:u w:val="double"/>
              </w:rPr>
              <w:t>$</w:t>
            </w:r>
            <w:r w:rsidR="001812A9">
              <w:rPr>
                <w:rFonts w:ascii="Arial" w:hAnsi="Arial" w:cs="Arial"/>
                <w:color w:val="000000"/>
                <w:sz w:val="24"/>
                <w:szCs w:val="24"/>
                <w:u w:val="double"/>
              </w:rPr>
              <w:t xml:space="preserve">  </w:t>
            </w:r>
            <w:r w:rsidR="009E60B9">
              <w:rPr>
                <w:rFonts w:ascii="Arial" w:hAnsi="Arial" w:cs="Arial"/>
                <w:color w:val="000000"/>
                <w:sz w:val="24"/>
                <w:szCs w:val="24"/>
                <w:u w:val="double"/>
              </w:rPr>
              <w:t>12,837</w:t>
            </w:r>
            <w:r w:rsidR="008E6B81" w:rsidRPr="00632F88">
              <w:rPr>
                <w:rFonts w:ascii="Arial" w:hAnsi="Arial" w:cs="Arial"/>
                <w:color w:val="000000"/>
                <w:sz w:val="24"/>
                <w:szCs w:val="24"/>
                <w:u w:val="double"/>
              </w:rPr>
              <w:t>,</w:t>
            </w:r>
            <w:r w:rsidR="009E60B9">
              <w:rPr>
                <w:rFonts w:ascii="Arial" w:hAnsi="Arial" w:cs="Arial"/>
                <w:color w:val="000000"/>
                <w:sz w:val="24"/>
                <w:szCs w:val="24"/>
                <w:u w:val="double"/>
              </w:rPr>
              <w:t>448</w:t>
            </w:r>
            <w:r w:rsidR="008E6B81" w:rsidRPr="00632F88">
              <w:rPr>
                <w:rFonts w:ascii="Arial" w:hAnsi="Arial" w:cs="Arial"/>
                <w:color w:val="000000"/>
                <w:sz w:val="24"/>
                <w:szCs w:val="24"/>
                <w:u w:val="double"/>
              </w:rPr>
              <w:t xml:space="preserve"> </w:t>
            </w:r>
          </w:p>
        </w:tc>
      </w:tr>
    </w:tbl>
    <w:p w:rsidR="008E6B81" w:rsidRDefault="008E6B81" w:rsidP="008E6B81">
      <w:pPr>
        <w:rPr>
          <w:rFonts w:ascii="Arial" w:hAnsi="Arial" w:cs="Arial"/>
          <w:sz w:val="24"/>
          <w:szCs w:val="24"/>
        </w:rPr>
      </w:pPr>
    </w:p>
    <w:p w:rsidR="00031148" w:rsidRDefault="009E60B9" w:rsidP="009A391F">
      <w:pPr>
        <w:tabs>
          <w:tab w:val="left" w:pos="8100"/>
        </w:tabs>
        <w:spacing w:line="360" w:lineRule="atLeast"/>
        <w:ind w:left="450" w:firstLine="14"/>
        <w:outlineLvl w:val="0"/>
        <w:rPr>
          <w:rFonts w:ascii="Arial" w:hAnsi="Arial" w:cs="Arial"/>
          <w:sz w:val="24"/>
          <w:szCs w:val="24"/>
        </w:rPr>
      </w:pPr>
      <w:r>
        <w:rPr>
          <w:rFonts w:ascii="Arial" w:hAnsi="Arial" w:cs="Arial"/>
          <w:sz w:val="24"/>
          <w:szCs w:val="24"/>
        </w:rPr>
        <w:t xml:space="preserve">FY 2012 </w:t>
      </w:r>
      <w:r w:rsidR="00D82C3C">
        <w:rPr>
          <w:rFonts w:ascii="Arial" w:hAnsi="Arial" w:cs="Arial"/>
          <w:sz w:val="24"/>
          <w:szCs w:val="24"/>
        </w:rPr>
        <w:t xml:space="preserve">OPEB Revenues plus FY 2011 </w:t>
      </w:r>
      <w:proofErr w:type="gramStart"/>
      <w:r w:rsidR="007E72F2">
        <w:rPr>
          <w:rFonts w:ascii="Arial" w:hAnsi="Arial" w:cs="Arial"/>
          <w:sz w:val="24"/>
          <w:szCs w:val="24"/>
        </w:rPr>
        <w:t>U</w:t>
      </w:r>
      <w:r w:rsidR="00D82C3C">
        <w:rPr>
          <w:rFonts w:ascii="Arial" w:hAnsi="Arial" w:cs="Arial"/>
          <w:sz w:val="24"/>
          <w:szCs w:val="24"/>
        </w:rPr>
        <w:t>nder</w:t>
      </w:r>
      <w:proofErr w:type="gramEnd"/>
      <w:r w:rsidR="00D82C3C">
        <w:rPr>
          <w:rFonts w:ascii="Arial" w:hAnsi="Arial" w:cs="Arial"/>
          <w:sz w:val="24"/>
          <w:szCs w:val="24"/>
        </w:rPr>
        <w:t xml:space="preserve"> </w:t>
      </w:r>
      <w:r w:rsidR="007E72F2">
        <w:rPr>
          <w:rFonts w:ascii="Arial" w:hAnsi="Arial" w:cs="Arial"/>
          <w:sz w:val="24"/>
          <w:szCs w:val="24"/>
        </w:rPr>
        <w:t>C</w:t>
      </w:r>
      <w:r w:rsidR="00D82C3C">
        <w:rPr>
          <w:rFonts w:ascii="Arial" w:hAnsi="Arial" w:cs="Arial"/>
          <w:sz w:val="24"/>
          <w:szCs w:val="24"/>
        </w:rPr>
        <w:t xml:space="preserve">ollection </w:t>
      </w:r>
      <w:r>
        <w:rPr>
          <w:rFonts w:ascii="Arial" w:hAnsi="Arial" w:cs="Arial"/>
          <w:sz w:val="24"/>
          <w:szCs w:val="24"/>
        </w:rPr>
        <w:t xml:space="preserve">        </w:t>
      </w:r>
      <w:r w:rsidR="00EA293B">
        <w:rPr>
          <w:rFonts w:ascii="Arial" w:hAnsi="Arial" w:cs="Arial"/>
          <w:sz w:val="24"/>
          <w:szCs w:val="24"/>
        </w:rPr>
        <w:t xml:space="preserve">    </w:t>
      </w:r>
      <w:r>
        <w:rPr>
          <w:rFonts w:ascii="Arial" w:hAnsi="Arial" w:cs="Arial"/>
          <w:sz w:val="24"/>
          <w:szCs w:val="24"/>
        </w:rPr>
        <w:t>$</w:t>
      </w:r>
      <w:r w:rsidR="00AC5630">
        <w:rPr>
          <w:rFonts w:ascii="Arial" w:hAnsi="Arial" w:cs="Arial"/>
          <w:sz w:val="24"/>
          <w:szCs w:val="24"/>
        </w:rPr>
        <w:t xml:space="preserve"> </w:t>
      </w:r>
      <w:r>
        <w:rPr>
          <w:rFonts w:ascii="Arial" w:hAnsi="Arial" w:cs="Arial"/>
          <w:sz w:val="24"/>
          <w:szCs w:val="24"/>
        </w:rPr>
        <w:t>11,855,754</w:t>
      </w:r>
    </w:p>
    <w:p w:rsidR="00031148" w:rsidRDefault="003C45ED" w:rsidP="009A391F">
      <w:pPr>
        <w:tabs>
          <w:tab w:val="left" w:pos="8100"/>
        </w:tabs>
        <w:spacing w:line="360" w:lineRule="atLeast"/>
        <w:ind w:left="450" w:firstLine="14"/>
        <w:outlineLvl w:val="0"/>
        <w:rPr>
          <w:rFonts w:ascii="Arial" w:hAnsi="Arial" w:cs="Arial"/>
          <w:sz w:val="24"/>
          <w:szCs w:val="24"/>
          <w:u w:val="single"/>
        </w:rPr>
      </w:pPr>
      <w:r>
        <w:rPr>
          <w:rFonts w:ascii="Arial" w:hAnsi="Arial" w:cs="Arial"/>
          <w:sz w:val="24"/>
          <w:szCs w:val="24"/>
        </w:rPr>
        <w:t>FY 2012 Permitted Recovery</w:t>
      </w:r>
      <w:r w:rsidR="00D07935">
        <w:rPr>
          <w:rFonts w:ascii="Arial" w:hAnsi="Arial" w:cs="Arial"/>
          <w:sz w:val="24"/>
          <w:szCs w:val="24"/>
        </w:rPr>
        <w:t xml:space="preserve"> -</w:t>
      </w:r>
      <w:r>
        <w:rPr>
          <w:rFonts w:ascii="Arial" w:hAnsi="Arial" w:cs="Arial"/>
          <w:sz w:val="24"/>
          <w:szCs w:val="24"/>
        </w:rPr>
        <w:t xml:space="preserve"> </w:t>
      </w:r>
      <w:r w:rsidR="00501B3A">
        <w:rPr>
          <w:rFonts w:ascii="Arial" w:hAnsi="Arial" w:cs="Arial"/>
          <w:sz w:val="24"/>
          <w:szCs w:val="24"/>
        </w:rPr>
        <w:t xml:space="preserve">Note 5 </w:t>
      </w:r>
      <w:r>
        <w:rPr>
          <w:rFonts w:ascii="Arial" w:hAnsi="Arial" w:cs="Arial"/>
          <w:sz w:val="24"/>
          <w:szCs w:val="24"/>
        </w:rPr>
        <w:t xml:space="preserve">                                 </w:t>
      </w:r>
      <w:r w:rsidR="00947508">
        <w:rPr>
          <w:rFonts w:ascii="Arial" w:hAnsi="Arial" w:cs="Arial"/>
          <w:sz w:val="24"/>
          <w:szCs w:val="24"/>
        </w:rPr>
        <w:t xml:space="preserve">  </w:t>
      </w:r>
      <w:r>
        <w:rPr>
          <w:rFonts w:ascii="Arial" w:hAnsi="Arial" w:cs="Arial"/>
          <w:sz w:val="24"/>
          <w:szCs w:val="24"/>
        </w:rPr>
        <w:t xml:space="preserve">  </w:t>
      </w:r>
      <w:r w:rsidR="00EA293B">
        <w:rPr>
          <w:rFonts w:ascii="Arial" w:hAnsi="Arial" w:cs="Arial"/>
          <w:sz w:val="24"/>
          <w:szCs w:val="24"/>
        </w:rPr>
        <w:t xml:space="preserve">    </w:t>
      </w:r>
      <w:r>
        <w:rPr>
          <w:rFonts w:ascii="Arial" w:hAnsi="Arial" w:cs="Arial"/>
          <w:sz w:val="24"/>
          <w:szCs w:val="24"/>
        </w:rPr>
        <w:t xml:space="preserve"> </w:t>
      </w:r>
      <w:r w:rsidR="00D07935">
        <w:rPr>
          <w:rFonts w:ascii="Arial" w:hAnsi="Arial" w:cs="Arial"/>
          <w:sz w:val="24"/>
          <w:szCs w:val="24"/>
        </w:rPr>
        <w:t xml:space="preserve"> </w:t>
      </w:r>
      <w:r>
        <w:rPr>
          <w:rFonts w:ascii="Arial" w:hAnsi="Arial" w:cs="Arial"/>
          <w:sz w:val="24"/>
          <w:szCs w:val="24"/>
        </w:rPr>
        <w:t xml:space="preserve"> </w:t>
      </w:r>
      <w:r w:rsidRPr="00947508">
        <w:rPr>
          <w:rFonts w:ascii="Arial" w:hAnsi="Arial" w:cs="Arial"/>
          <w:sz w:val="24"/>
          <w:szCs w:val="24"/>
          <w:u w:val="single"/>
        </w:rPr>
        <w:t xml:space="preserve">  </w:t>
      </w:r>
      <w:r w:rsidR="00AC5630">
        <w:rPr>
          <w:rFonts w:ascii="Arial" w:hAnsi="Arial" w:cs="Arial"/>
          <w:sz w:val="24"/>
          <w:szCs w:val="24"/>
          <w:u w:val="single"/>
        </w:rPr>
        <w:t xml:space="preserve"> </w:t>
      </w:r>
      <w:r w:rsidRPr="003C45ED">
        <w:rPr>
          <w:rFonts w:ascii="Arial" w:hAnsi="Arial" w:cs="Arial"/>
          <w:sz w:val="24"/>
          <w:szCs w:val="24"/>
          <w:u w:val="single"/>
        </w:rPr>
        <w:t>16,000,000</w:t>
      </w:r>
    </w:p>
    <w:p w:rsidR="003C45ED" w:rsidRDefault="003C45ED" w:rsidP="009A391F">
      <w:pPr>
        <w:tabs>
          <w:tab w:val="left" w:pos="8100"/>
        </w:tabs>
        <w:spacing w:line="360" w:lineRule="atLeast"/>
        <w:ind w:left="450" w:firstLine="14"/>
        <w:outlineLvl w:val="0"/>
        <w:rPr>
          <w:rFonts w:ascii="Arial" w:hAnsi="Arial" w:cs="Arial"/>
          <w:sz w:val="24"/>
          <w:szCs w:val="24"/>
        </w:rPr>
      </w:pPr>
      <w:r>
        <w:rPr>
          <w:rFonts w:ascii="Arial" w:hAnsi="Arial" w:cs="Arial"/>
          <w:sz w:val="24"/>
          <w:szCs w:val="24"/>
        </w:rPr>
        <w:t>Over</w:t>
      </w:r>
      <w:proofErr w:type="gramStart"/>
      <w:r>
        <w:rPr>
          <w:rFonts w:ascii="Arial" w:hAnsi="Arial" w:cs="Arial"/>
          <w:sz w:val="24"/>
          <w:szCs w:val="24"/>
        </w:rPr>
        <w:t>/(</w:t>
      </w:r>
      <w:proofErr w:type="gramEnd"/>
      <w:r>
        <w:rPr>
          <w:rFonts w:ascii="Arial" w:hAnsi="Arial" w:cs="Arial"/>
          <w:sz w:val="24"/>
          <w:szCs w:val="24"/>
        </w:rPr>
        <w:t xml:space="preserve">Under) </w:t>
      </w:r>
      <w:r w:rsidR="00AD44F0">
        <w:rPr>
          <w:rFonts w:ascii="Arial" w:hAnsi="Arial" w:cs="Arial"/>
          <w:sz w:val="24"/>
          <w:szCs w:val="24"/>
        </w:rPr>
        <w:t xml:space="preserve">Collections </w:t>
      </w:r>
      <w:r w:rsidR="00D07935">
        <w:rPr>
          <w:rFonts w:ascii="Arial" w:hAnsi="Arial" w:cs="Arial"/>
          <w:sz w:val="24"/>
          <w:szCs w:val="24"/>
        </w:rPr>
        <w:t xml:space="preserve">- </w:t>
      </w:r>
      <w:r w:rsidR="00501B3A">
        <w:rPr>
          <w:rFonts w:ascii="Arial" w:hAnsi="Arial" w:cs="Arial"/>
          <w:sz w:val="24"/>
          <w:szCs w:val="24"/>
        </w:rPr>
        <w:t>Note 6</w:t>
      </w:r>
      <w:r>
        <w:rPr>
          <w:rFonts w:ascii="Arial" w:hAnsi="Arial" w:cs="Arial"/>
          <w:sz w:val="24"/>
          <w:szCs w:val="24"/>
        </w:rPr>
        <w:t xml:space="preserve">                          </w:t>
      </w:r>
      <w:r w:rsidR="00EA293B">
        <w:rPr>
          <w:rFonts w:ascii="Arial" w:hAnsi="Arial" w:cs="Arial"/>
          <w:sz w:val="24"/>
          <w:szCs w:val="24"/>
        </w:rPr>
        <w:t xml:space="preserve">    </w:t>
      </w:r>
      <w:r>
        <w:rPr>
          <w:rFonts w:ascii="Arial" w:hAnsi="Arial" w:cs="Arial"/>
          <w:sz w:val="24"/>
          <w:szCs w:val="24"/>
        </w:rPr>
        <w:t xml:space="preserve">   </w:t>
      </w:r>
      <w:r w:rsidR="003C4AE5">
        <w:rPr>
          <w:rFonts w:ascii="Arial" w:hAnsi="Arial" w:cs="Arial"/>
          <w:sz w:val="24"/>
          <w:szCs w:val="24"/>
        </w:rPr>
        <w:t xml:space="preserve">                   </w:t>
      </w:r>
      <w:r w:rsidRPr="00326605">
        <w:rPr>
          <w:rFonts w:ascii="Arial" w:hAnsi="Arial" w:cs="Arial"/>
          <w:sz w:val="24"/>
          <w:szCs w:val="24"/>
          <w:u w:val="double"/>
        </w:rPr>
        <w:t>$</w:t>
      </w:r>
      <w:r w:rsidR="00AC5630" w:rsidRPr="00326605">
        <w:rPr>
          <w:rFonts w:ascii="Arial" w:hAnsi="Arial" w:cs="Arial"/>
          <w:sz w:val="24"/>
          <w:szCs w:val="24"/>
          <w:u w:val="double"/>
        </w:rPr>
        <w:t xml:space="preserve"> </w:t>
      </w:r>
      <w:r w:rsidRPr="00326605">
        <w:rPr>
          <w:rFonts w:ascii="Arial" w:hAnsi="Arial" w:cs="Arial"/>
          <w:sz w:val="24"/>
          <w:szCs w:val="24"/>
          <w:u w:val="double"/>
        </w:rPr>
        <w:t>(4,144,246)</w:t>
      </w:r>
    </w:p>
    <w:p w:rsidR="003C45ED" w:rsidRDefault="00947508" w:rsidP="00031148">
      <w:pPr>
        <w:tabs>
          <w:tab w:val="left" w:pos="8100"/>
        </w:tabs>
        <w:spacing w:line="360" w:lineRule="atLeast"/>
        <w:ind w:left="126" w:firstLine="14"/>
        <w:outlineLvl w:val="0"/>
        <w:rPr>
          <w:rFonts w:ascii="Arial" w:hAnsi="Arial" w:cs="Arial"/>
          <w:sz w:val="24"/>
          <w:szCs w:val="24"/>
        </w:rPr>
      </w:pPr>
      <w:r>
        <w:rPr>
          <w:rFonts w:ascii="Arial" w:hAnsi="Arial" w:cs="Arial"/>
          <w:sz w:val="24"/>
          <w:szCs w:val="24"/>
        </w:rPr>
        <w:t xml:space="preserve"> </w:t>
      </w:r>
    </w:p>
    <w:p w:rsidR="00F71130" w:rsidRDefault="00F71130" w:rsidP="00D82C3C">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D82C3C" w:rsidRDefault="00D82C3C" w:rsidP="009A391F">
      <w:pPr>
        <w:tabs>
          <w:tab w:val="left" w:pos="450"/>
          <w:tab w:val="left" w:pos="1800"/>
          <w:tab w:val="decimal" w:pos="6300"/>
          <w:tab w:val="decimal" w:pos="8550"/>
          <w:tab w:val="decimal" w:pos="10350"/>
          <w:tab w:val="left" w:pos="10800"/>
        </w:tabs>
        <w:ind w:left="450" w:right="-144"/>
        <w:jc w:val="both"/>
        <w:rPr>
          <w:rFonts w:ascii="Arial" w:hAnsi="Arial" w:cs="Arial"/>
          <w:sz w:val="24"/>
          <w:szCs w:val="24"/>
        </w:rPr>
      </w:pPr>
      <w:r>
        <w:rPr>
          <w:rFonts w:ascii="Arial" w:hAnsi="Arial" w:cs="Arial"/>
          <w:sz w:val="24"/>
          <w:szCs w:val="24"/>
        </w:rPr>
        <w:t xml:space="preserve">* - As reported to the Commission at Docket No. </w:t>
      </w:r>
      <w:proofErr w:type="gramStart"/>
      <w:r>
        <w:rPr>
          <w:rFonts w:ascii="Arial" w:hAnsi="Arial" w:cs="Arial"/>
          <w:sz w:val="24"/>
          <w:szCs w:val="24"/>
        </w:rPr>
        <w:t>R-201</w:t>
      </w:r>
      <w:r w:rsidR="00DB23F5">
        <w:rPr>
          <w:rFonts w:ascii="Arial" w:hAnsi="Arial" w:cs="Arial"/>
          <w:sz w:val="24"/>
          <w:szCs w:val="24"/>
        </w:rPr>
        <w:t>3</w:t>
      </w:r>
      <w:r>
        <w:rPr>
          <w:rFonts w:ascii="Arial" w:hAnsi="Arial" w:cs="Arial"/>
          <w:sz w:val="24"/>
          <w:szCs w:val="24"/>
        </w:rPr>
        <w:t>-2</w:t>
      </w:r>
      <w:r w:rsidR="00DB23F5">
        <w:rPr>
          <w:rFonts w:ascii="Arial" w:hAnsi="Arial" w:cs="Arial"/>
          <w:sz w:val="24"/>
          <w:szCs w:val="24"/>
        </w:rPr>
        <w:t>346376</w:t>
      </w:r>
      <w:r>
        <w:rPr>
          <w:rFonts w:ascii="Arial" w:hAnsi="Arial" w:cs="Arial"/>
          <w:sz w:val="24"/>
          <w:szCs w:val="24"/>
        </w:rPr>
        <w:t>.</w:t>
      </w:r>
      <w:proofErr w:type="gramEnd"/>
    </w:p>
    <w:p w:rsidR="00D82C3C" w:rsidRDefault="00D82C3C" w:rsidP="009A391F">
      <w:pPr>
        <w:tabs>
          <w:tab w:val="left" w:pos="450"/>
          <w:tab w:val="left" w:pos="8100"/>
        </w:tabs>
        <w:ind w:left="450"/>
        <w:outlineLvl w:val="0"/>
        <w:rPr>
          <w:rFonts w:ascii="Arial" w:hAnsi="Arial" w:cs="Arial"/>
          <w:sz w:val="24"/>
          <w:szCs w:val="24"/>
        </w:rPr>
      </w:pPr>
    </w:p>
    <w:p w:rsidR="00D82C3C" w:rsidRDefault="00D82C3C" w:rsidP="009A391F">
      <w:pPr>
        <w:tabs>
          <w:tab w:val="left" w:pos="450"/>
          <w:tab w:val="left" w:pos="8100"/>
        </w:tabs>
        <w:ind w:left="450"/>
        <w:outlineLvl w:val="0"/>
        <w:rPr>
          <w:rFonts w:ascii="Arial" w:hAnsi="Arial" w:cs="Arial"/>
          <w:sz w:val="24"/>
          <w:szCs w:val="24"/>
        </w:rPr>
      </w:pPr>
      <w:r>
        <w:rPr>
          <w:rFonts w:ascii="Arial" w:hAnsi="Arial" w:cs="Arial"/>
          <w:sz w:val="24"/>
          <w:szCs w:val="24"/>
        </w:rPr>
        <w:t>Arithmetic differences are due to rounding.</w:t>
      </w:r>
    </w:p>
    <w:p w:rsidR="00D82C3C" w:rsidRPr="00D82C3C" w:rsidRDefault="00D82C3C" w:rsidP="009A391F">
      <w:pPr>
        <w:tabs>
          <w:tab w:val="left" w:pos="450"/>
          <w:tab w:val="left" w:pos="8100"/>
        </w:tabs>
        <w:ind w:left="450"/>
        <w:outlineLvl w:val="0"/>
        <w:rPr>
          <w:rFonts w:ascii="Arial" w:hAnsi="Arial" w:cs="Arial"/>
        </w:rPr>
      </w:pPr>
    </w:p>
    <w:p w:rsidR="0062771A" w:rsidRDefault="00031148" w:rsidP="00001E25">
      <w:pPr>
        <w:tabs>
          <w:tab w:val="left" w:pos="450"/>
        </w:tabs>
        <w:ind w:left="450"/>
        <w:outlineLvl w:val="0"/>
        <w:rPr>
          <w:rFonts w:ascii="Arial" w:hAnsi="Arial" w:cs="Arial"/>
          <w:sz w:val="24"/>
          <w:szCs w:val="24"/>
        </w:rPr>
      </w:pPr>
      <w:r w:rsidRPr="007A1DB0">
        <w:rPr>
          <w:rFonts w:ascii="Arial" w:hAnsi="Arial" w:cs="Arial"/>
          <w:sz w:val="24"/>
          <w:szCs w:val="24"/>
        </w:rPr>
        <w:t>Notes to the Financial Statements are an integral part of this report.</w:t>
      </w:r>
      <w:r w:rsidR="0062771A">
        <w:rPr>
          <w:rFonts w:ascii="Arial" w:hAnsi="Arial" w:cs="Arial"/>
          <w:sz w:val="24"/>
          <w:szCs w:val="24"/>
        </w:rPr>
        <w:br w:type="page"/>
      </w:r>
    </w:p>
    <w:p w:rsidR="00DC0FC1" w:rsidRPr="00F350B8" w:rsidRDefault="00DC0FC1" w:rsidP="00DC0FC1">
      <w:pPr>
        <w:jc w:val="center"/>
        <w:outlineLvl w:val="0"/>
        <w:rPr>
          <w:rFonts w:ascii="Arial" w:hAnsi="Arial" w:cs="Arial"/>
          <w:b/>
          <w:sz w:val="28"/>
          <w:szCs w:val="28"/>
        </w:rPr>
      </w:pPr>
      <w:r w:rsidRPr="00F350B8">
        <w:rPr>
          <w:rFonts w:ascii="Arial" w:hAnsi="Arial" w:cs="Arial"/>
          <w:b/>
          <w:sz w:val="28"/>
          <w:szCs w:val="28"/>
        </w:rPr>
        <w:lastRenderedPageBreak/>
        <w:t>PHILADELPHIA GAS WORKS</w:t>
      </w:r>
    </w:p>
    <w:p w:rsidR="00DC0FC1" w:rsidRPr="00625757" w:rsidRDefault="00DC0FC1" w:rsidP="00DC0FC1">
      <w:pPr>
        <w:jc w:val="both"/>
        <w:rPr>
          <w:rFonts w:ascii="Arial" w:hAnsi="Arial" w:cs="Arial"/>
          <w:sz w:val="26"/>
          <w:szCs w:val="26"/>
        </w:rPr>
      </w:pPr>
    </w:p>
    <w:p w:rsidR="005251D1" w:rsidRDefault="005251D1" w:rsidP="005251D1">
      <w:pPr>
        <w:jc w:val="center"/>
        <w:outlineLvl w:val="0"/>
        <w:rPr>
          <w:rFonts w:ascii="Arial" w:hAnsi="Arial" w:cs="Arial"/>
          <w:b/>
          <w:sz w:val="26"/>
          <w:szCs w:val="26"/>
        </w:rPr>
      </w:pPr>
      <w:r>
        <w:rPr>
          <w:rFonts w:ascii="Arial" w:hAnsi="Arial" w:cs="Arial"/>
          <w:b/>
          <w:sz w:val="26"/>
          <w:szCs w:val="26"/>
        </w:rPr>
        <w:t xml:space="preserve">Statement of </w:t>
      </w:r>
    </w:p>
    <w:p w:rsidR="005251D1" w:rsidRPr="00B12E37" w:rsidRDefault="005251D1" w:rsidP="005251D1">
      <w:pPr>
        <w:jc w:val="center"/>
        <w:outlineLvl w:val="0"/>
        <w:rPr>
          <w:rFonts w:ascii="Arial" w:hAnsi="Arial" w:cs="Arial"/>
          <w:b/>
          <w:sz w:val="26"/>
          <w:szCs w:val="26"/>
        </w:rPr>
      </w:pPr>
      <w:r>
        <w:rPr>
          <w:rFonts w:ascii="Arial" w:hAnsi="Arial" w:cs="Arial"/>
          <w:b/>
          <w:sz w:val="26"/>
          <w:szCs w:val="26"/>
        </w:rPr>
        <w:t>Other Post Employment Benefit</w:t>
      </w:r>
      <w:r w:rsidRPr="00B12E37">
        <w:rPr>
          <w:rFonts w:ascii="Arial" w:hAnsi="Arial" w:cs="Arial"/>
          <w:b/>
          <w:sz w:val="26"/>
          <w:szCs w:val="26"/>
        </w:rPr>
        <w:t xml:space="preserve"> </w:t>
      </w:r>
      <w:r>
        <w:rPr>
          <w:rFonts w:ascii="Arial" w:hAnsi="Arial" w:cs="Arial"/>
          <w:b/>
          <w:sz w:val="26"/>
          <w:szCs w:val="26"/>
        </w:rPr>
        <w:t xml:space="preserve">(OPEB) </w:t>
      </w:r>
      <w:r w:rsidRPr="00B12E37">
        <w:rPr>
          <w:rFonts w:ascii="Arial" w:hAnsi="Arial" w:cs="Arial"/>
          <w:b/>
          <w:sz w:val="26"/>
          <w:szCs w:val="26"/>
        </w:rPr>
        <w:t>Surcharge</w:t>
      </w:r>
    </w:p>
    <w:p w:rsidR="005251D1" w:rsidRPr="00B12E37" w:rsidRDefault="005251D1" w:rsidP="005251D1">
      <w:pPr>
        <w:tabs>
          <w:tab w:val="center" w:pos="4680"/>
        </w:tabs>
        <w:suppressAutoHyphens/>
        <w:jc w:val="center"/>
        <w:rPr>
          <w:rFonts w:ascii="Arial" w:hAnsi="Arial" w:cs="Arial"/>
          <w:sz w:val="26"/>
          <w:szCs w:val="26"/>
        </w:rPr>
      </w:pPr>
      <w:r w:rsidRPr="00B92235">
        <w:rPr>
          <w:rFonts w:ascii="Arial" w:hAnsi="Arial" w:cs="Arial"/>
          <w:b/>
          <w:sz w:val="26"/>
          <w:szCs w:val="26"/>
        </w:rPr>
        <w:t>Over</w:t>
      </w:r>
      <w:proofErr w:type="gramStart"/>
      <w:r w:rsidRPr="00B92235">
        <w:rPr>
          <w:rFonts w:ascii="Arial" w:hAnsi="Arial" w:cs="Arial"/>
          <w:b/>
          <w:sz w:val="26"/>
          <w:szCs w:val="26"/>
        </w:rPr>
        <w:t>/</w:t>
      </w:r>
      <w:r>
        <w:rPr>
          <w:rFonts w:ascii="Arial" w:hAnsi="Arial" w:cs="Arial"/>
          <w:b/>
          <w:sz w:val="26"/>
          <w:szCs w:val="26"/>
        </w:rPr>
        <w:t>(</w:t>
      </w:r>
      <w:proofErr w:type="gramEnd"/>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5251D1" w:rsidRPr="00B12E37" w:rsidRDefault="005251D1" w:rsidP="005251D1">
      <w:pPr>
        <w:tabs>
          <w:tab w:val="center" w:pos="4680"/>
        </w:tabs>
        <w:suppressAutoHyphens/>
        <w:jc w:val="center"/>
        <w:rPr>
          <w:rFonts w:ascii="Arial" w:hAnsi="Arial" w:cs="Arial"/>
          <w:sz w:val="26"/>
          <w:szCs w:val="26"/>
        </w:rPr>
      </w:pPr>
      <w:r>
        <w:rPr>
          <w:rFonts w:ascii="Arial" w:hAnsi="Arial" w:cs="Arial"/>
          <w:b/>
          <w:sz w:val="26"/>
          <w:szCs w:val="26"/>
        </w:rPr>
        <w:t>For The Twelve Month</w:t>
      </w:r>
      <w:r w:rsidRPr="00B12E37">
        <w:rPr>
          <w:rFonts w:ascii="Arial" w:hAnsi="Arial" w:cs="Arial"/>
          <w:b/>
          <w:sz w:val="26"/>
          <w:szCs w:val="26"/>
        </w:rPr>
        <w:t xml:space="preserve"> </w:t>
      </w:r>
      <w:r>
        <w:rPr>
          <w:rFonts w:ascii="Arial" w:hAnsi="Arial" w:cs="Arial"/>
          <w:b/>
          <w:sz w:val="26"/>
          <w:szCs w:val="26"/>
        </w:rPr>
        <w:t xml:space="preserve">Periods </w:t>
      </w:r>
      <w:r w:rsidRPr="00B12E37">
        <w:rPr>
          <w:rFonts w:ascii="Arial" w:hAnsi="Arial" w:cs="Arial"/>
          <w:b/>
          <w:sz w:val="26"/>
          <w:szCs w:val="26"/>
        </w:rPr>
        <w:t xml:space="preserve">Ended </w:t>
      </w:r>
      <w:r>
        <w:rPr>
          <w:rFonts w:ascii="Arial" w:hAnsi="Arial" w:cs="Arial"/>
          <w:b/>
          <w:sz w:val="26"/>
          <w:szCs w:val="26"/>
        </w:rPr>
        <w:t xml:space="preserve">August 31, 2011* </w:t>
      </w:r>
      <w:r w:rsidRPr="00B12E37">
        <w:rPr>
          <w:rFonts w:ascii="Arial" w:hAnsi="Arial" w:cs="Arial"/>
          <w:b/>
          <w:sz w:val="26"/>
          <w:szCs w:val="26"/>
        </w:rPr>
        <w:t>(Note 1)</w:t>
      </w: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tbl>
      <w:tblPr>
        <w:tblpPr w:leftFromText="180" w:rightFromText="180" w:vertAnchor="text" w:horzAnchor="margin" w:tblpXSpec="center" w:tblpY="130"/>
        <w:tblW w:w="8388" w:type="dxa"/>
        <w:tblLook w:val="04A0" w:firstRow="1" w:lastRow="0" w:firstColumn="1" w:lastColumn="0" w:noHBand="0" w:noVBand="1"/>
      </w:tblPr>
      <w:tblGrid>
        <w:gridCol w:w="2268"/>
        <w:gridCol w:w="1894"/>
        <w:gridCol w:w="1976"/>
        <w:gridCol w:w="2250"/>
      </w:tblGrid>
      <w:tr w:rsidR="003C45ED" w:rsidRPr="00632F88" w:rsidTr="005B393C">
        <w:trPr>
          <w:trHeight w:val="290"/>
        </w:trPr>
        <w:tc>
          <w:tcPr>
            <w:tcW w:w="2268" w:type="dxa"/>
            <w:tcBorders>
              <w:top w:val="nil"/>
              <w:left w:val="nil"/>
              <w:bottom w:val="nil"/>
              <w:right w:val="nil"/>
            </w:tcBorders>
            <w:shd w:val="clear" w:color="auto" w:fill="auto"/>
            <w:noWrap/>
            <w:vAlign w:val="bottom"/>
            <w:hideMark/>
          </w:tcPr>
          <w:p w:rsidR="003C45ED" w:rsidRPr="00632F88" w:rsidRDefault="003C45ED" w:rsidP="003C45ED">
            <w:pP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3C45ED" w:rsidRPr="00632F88" w:rsidRDefault="003C45ED" w:rsidP="003C45ED">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Volumes</w:t>
            </w:r>
          </w:p>
        </w:tc>
        <w:tc>
          <w:tcPr>
            <w:tcW w:w="1976" w:type="dxa"/>
            <w:tcBorders>
              <w:top w:val="nil"/>
              <w:left w:val="nil"/>
              <w:bottom w:val="nil"/>
              <w:right w:val="nil"/>
            </w:tcBorders>
            <w:shd w:val="clear" w:color="auto" w:fill="auto"/>
            <w:noWrap/>
            <w:vAlign w:val="bottom"/>
            <w:hideMark/>
          </w:tcPr>
          <w:p w:rsidR="003C45ED" w:rsidRPr="00632F88" w:rsidRDefault="003C45ED" w:rsidP="003C45ED">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Surcharge</w:t>
            </w:r>
          </w:p>
        </w:tc>
        <w:tc>
          <w:tcPr>
            <w:tcW w:w="2250" w:type="dxa"/>
            <w:tcBorders>
              <w:top w:val="nil"/>
              <w:left w:val="nil"/>
              <w:bottom w:val="nil"/>
              <w:right w:val="nil"/>
            </w:tcBorders>
            <w:shd w:val="clear" w:color="auto" w:fill="auto"/>
            <w:noWrap/>
            <w:vAlign w:val="bottom"/>
            <w:hideMark/>
          </w:tcPr>
          <w:p w:rsidR="005B393C" w:rsidRDefault="005B393C" w:rsidP="005B393C">
            <w:pPr>
              <w:jc w:val="center"/>
              <w:rPr>
                <w:rFonts w:ascii="Arial" w:hAnsi="Arial" w:cs="Arial"/>
                <w:b/>
                <w:color w:val="000000"/>
                <w:sz w:val="24"/>
                <w:szCs w:val="24"/>
              </w:rPr>
            </w:pPr>
            <w:r>
              <w:rPr>
                <w:rFonts w:ascii="Arial" w:hAnsi="Arial" w:cs="Arial"/>
                <w:b/>
                <w:color w:val="000000"/>
                <w:sz w:val="24"/>
                <w:szCs w:val="24"/>
              </w:rPr>
              <w:t xml:space="preserve">OPEB </w:t>
            </w:r>
          </w:p>
          <w:p w:rsidR="003C45ED" w:rsidRPr="00632F88" w:rsidRDefault="005B393C" w:rsidP="00DA1167">
            <w:pPr>
              <w:jc w:val="center"/>
              <w:rPr>
                <w:rFonts w:ascii="Arial" w:hAnsi="Arial" w:cs="Arial"/>
                <w:b/>
                <w:color w:val="000000"/>
                <w:sz w:val="24"/>
                <w:szCs w:val="24"/>
              </w:rPr>
            </w:pPr>
            <w:r>
              <w:rPr>
                <w:rFonts w:ascii="Arial" w:hAnsi="Arial" w:cs="Arial"/>
                <w:b/>
                <w:color w:val="000000"/>
                <w:sz w:val="24"/>
                <w:szCs w:val="24"/>
              </w:rPr>
              <w:t xml:space="preserve"> </w:t>
            </w:r>
            <w:r w:rsidRPr="004A4DAD">
              <w:rPr>
                <w:rFonts w:ascii="Arial" w:hAnsi="Arial" w:cs="Arial"/>
                <w:b/>
                <w:color w:val="000000"/>
                <w:sz w:val="24"/>
                <w:szCs w:val="24"/>
                <w:u w:val="single"/>
              </w:rPr>
              <w:t xml:space="preserve">Revenues </w:t>
            </w:r>
          </w:p>
        </w:tc>
      </w:tr>
      <w:tr w:rsidR="008E6B81" w:rsidRPr="00632F88" w:rsidTr="005B393C">
        <w:trPr>
          <w:trHeight w:val="290"/>
        </w:trPr>
        <w:tc>
          <w:tcPr>
            <w:tcW w:w="2268" w:type="dxa"/>
            <w:tcBorders>
              <w:top w:val="nil"/>
              <w:left w:val="nil"/>
              <w:bottom w:val="nil"/>
              <w:right w:val="nil"/>
            </w:tcBorders>
            <w:shd w:val="clear" w:color="auto" w:fill="auto"/>
            <w:noWrap/>
            <w:vAlign w:val="bottom"/>
          </w:tcPr>
          <w:p w:rsidR="008E6B81" w:rsidRPr="00632F88" w:rsidRDefault="008E6B81" w:rsidP="00F83D4F">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(2)</w:t>
            </w:r>
          </w:p>
        </w:tc>
        <w:tc>
          <w:tcPr>
            <w:tcW w:w="2250" w:type="dxa"/>
            <w:tcBorders>
              <w:top w:val="nil"/>
              <w:left w:val="nil"/>
              <w:bottom w:val="nil"/>
              <w:right w:val="nil"/>
            </w:tcBorders>
            <w:shd w:val="clear" w:color="auto" w:fill="auto"/>
            <w:noWrap/>
            <w:vAlign w:val="bottom"/>
          </w:tcPr>
          <w:p w:rsidR="008E6B81" w:rsidRPr="00632F88" w:rsidRDefault="008E6B81" w:rsidP="003C45ED">
            <w:pPr>
              <w:jc w:val="center"/>
              <w:rPr>
                <w:rFonts w:ascii="Arial" w:hAnsi="Arial" w:cs="Arial"/>
                <w:color w:val="000000"/>
                <w:sz w:val="24"/>
                <w:szCs w:val="24"/>
              </w:rPr>
            </w:pPr>
            <w:r>
              <w:rPr>
                <w:rFonts w:ascii="Arial" w:hAnsi="Arial" w:cs="Arial"/>
                <w:color w:val="000000"/>
                <w:sz w:val="24"/>
                <w:szCs w:val="24"/>
              </w:rPr>
              <w:t>(3)=(1)</w:t>
            </w:r>
            <w:r w:rsidR="008000BD">
              <w:rPr>
                <w:rFonts w:ascii="Arial" w:hAnsi="Arial" w:cs="Arial"/>
                <w:color w:val="000000"/>
                <w:sz w:val="28"/>
                <w:szCs w:val="28"/>
                <w:vertAlign w:val="subscript"/>
              </w:rPr>
              <w:t>X</w:t>
            </w:r>
            <w:r>
              <w:rPr>
                <w:rFonts w:ascii="Arial" w:hAnsi="Arial" w:cs="Arial"/>
                <w:color w:val="000000"/>
                <w:sz w:val="24"/>
                <w:szCs w:val="24"/>
              </w:rPr>
              <w:t>(2)</w:t>
            </w:r>
          </w:p>
        </w:tc>
      </w:tr>
      <w:tr w:rsidR="008E6B81" w:rsidRPr="00632F88" w:rsidTr="005B393C">
        <w:trPr>
          <w:trHeight w:val="290"/>
        </w:trPr>
        <w:tc>
          <w:tcPr>
            <w:tcW w:w="2268" w:type="dxa"/>
            <w:tcBorders>
              <w:top w:val="nil"/>
              <w:left w:val="nil"/>
              <w:bottom w:val="nil"/>
              <w:right w:val="nil"/>
            </w:tcBorders>
            <w:shd w:val="clear" w:color="auto" w:fill="auto"/>
            <w:noWrap/>
            <w:vAlign w:val="bottom"/>
          </w:tcPr>
          <w:p w:rsidR="008E6B81" w:rsidRPr="00632F88" w:rsidRDefault="008E6B81" w:rsidP="00F83D4F">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Note 3</w:t>
            </w:r>
          </w:p>
        </w:tc>
        <w:tc>
          <w:tcPr>
            <w:tcW w:w="2250" w:type="dxa"/>
            <w:tcBorders>
              <w:top w:val="nil"/>
              <w:left w:val="nil"/>
              <w:bottom w:val="nil"/>
              <w:right w:val="nil"/>
            </w:tcBorders>
            <w:shd w:val="clear" w:color="auto" w:fill="auto"/>
            <w:noWrap/>
            <w:vAlign w:val="bottom"/>
          </w:tcPr>
          <w:p w:rsidR="008E6B81" w:rsidRPr="00632F88" w:rsidRDefault="008E6B81" w:rsidP="00F83D4F">
            <w:pPr>
              <w:jc w:val="center"/>
              <w:rPr>
                <w:rFonts w:ascii="Arial" w:hAnsi="Arial" w:cs="Arial"/>
                <w:color w:val="000000"/>
                <w:sz w:val="24"/>
                <w:szCs w:val="24"/>
              </w:rPr>
            </w:pPr>
            <w:r>
              <w:rPr>
                <w:rFonts w:ascii="Arial" w:hAnsi="Arial" w:cs="Arial"/>
                <w:color w:val="000000"/>
                <w:sz w:val="24"/>
                <w:szCs w:val="24"/>
              </w:rPr>
              <w:t>Note 4</w:t>
            </w:r>
          </w:p>
        </w:tc>
      </w:tr>
      <w:tr w:rsidR="008E6B81" w:rsidRPr="00632F88" w:rsidTr="005B393C">
        <w:trPr>
          <w:trHeight w:val="290"/>
        </w:trPr>
        <w:tc>
          <w:tcPr>
            <w:tcW w:w="2268" w:type="dxa"/>
            <w:tcBorders>
              <w:top w:val="nil"/>
              <w:left w:val="nil"/>
              <w:bottom w:val="nil"/>
              <w:right w:val="nil"/>
            </w:tcBorders>
            <w:shd w:val="clear" w:color="auto" w:fill="auto"/>
            <w:noWrap/>
            <w:vAlign w:val="bottom"/>
          </w:tcPr>
          <w:p w:rsidR="008E6B81" w:rsidRPr="00632F88" w:rsidRDefault="008E6B81" w:rsidP="00F83D4F">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8E6B81" w:rsidRPr="00632F88" w:rsidRDefault="008E6B81" w:rsidP="00F83D4F">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8E6B81" w:rsidRPr="00632F88" w:rsidRDefault="008E6B81" w:rsidP="00F83D4F">
            <w:pPr>
              <w:jc w:val="right"/>
              <w:rPr>
                <w:rFonts w:ascii="Arial" w:hAnsi="Arial" w:cs="Arial"/>
                <w:color w:val="000000"/>
                <w:sz w:val="24"/>
                <w:szCs w:val="24"/>
              </w:rPr>
            </w:pPr>
          </w:p>
        </w:tc>
        <w:tc>
          <w:tcPr>
            <w:tcW w:w="2250" w:type="dxa"/>
            <w:tcBorders>
              <w:top w:val="nil"/>
              <w:left w:val="nil"/>
              <w:bottom w:val="nil"/>
              <w:right w:val="nil"/>
            </w:tcBorders>
            <w:shd w:val="clear" w:color="auto" w:fill="auto"/>
            <w:noWrap/>
            <w:vAlign w:val="bottom"/>
          </w:tcPr>
          <w:p w:rsidR="008E6B81" w:rsidRPr="00632F88" w:rsidRDefault="008E6B81" w:rsidP="00F83D4F">
            <w:pPr>
              <w:jc w:val="right"/>
              <w:rPr>
                <w:rFonts w:ascii="Arial" w:hAnsi="Arial" w:cs="Arial"/>
                <w:color w:val="000000"/>
                <w:sz w:val="24"/>
                <w:szCs w:val="24"/>
              </w:rPr>
            </w:pP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0</w:t>
            </w:r>
          </w:p>
        </w:tc>
        <w:tc>
          <w:tcPr>
            <w:tcW w:w="1894" w:type="dxa"/>
            <w:tcBorders>
              <w:top w:val="nil"/>
              <w:left w:val="nil"/>
              <w:bottom w:val="nil"/>
              <w:right w:val="nil"/>
            </w:tcBorders>
            <w:shd w:val="clear" w:color="auto" w:fill="auto"/>
            <w:noWrap/>
            <w:vAlign w:val="bottom"/>
            <w:hideMark/>
          </w:tcPr>
          <w:p w:rsidR="008E6B81" w:rsidRPr="00632F88" w:rsidRDefault="008E6B81" w:rsidP="003C45ED">
            <w:pPr>
              <w:jc w:val="right"/>
              <w:rPr>
                <w:rFonts w:ascii="Arial" w:hAnsi="Arial" w:cs="Arial"/>
                <w:color w:val="000000"/>
                <w:sz w:val="24"/>
                <w:szCs w:val="24"/>
              </w:rPr>
            </w:pPr>
            <w:r>
              <w:rPr>
                <w:rFonts w:ascii="Arial" w:hAnsi="Arial" w:cs="Arial"/>
                <w:color w:val="000000"/>
                <w:sz w:val="24"/>
                <w:szCs w:val="24"/>
              </w:rPr>
              <w:t xml:space="preserve">      5</w:t>
            </w:r>
            <w:r w:rsidR="003C45ED">
              <w:rPr>
                <w:rFonts w:ascii="Arial" w:hAnsi="Arial" w:cs="Arial"/>
                <w:color w:val="000000"/>
                <w:sz w:val="24"/>
                <w:szCs w:val="24"/>
              </w:rPr>
              <w:t>59</w:t>
            </w:r>
            <w:r w:rsidRPr="00632F88">
              <w:rPr>
                <w:rFonts w:ascii="Arial" w:hAnsi="Arial" w:cs="Arial"/>
                <w:color w:val="000000"/>
                <w:sz w:val="24"/>
                <w:szCs w:val="24"/>
              </w:rPr>
              <w:t>,</w:t>
            </w:r>
            <w:r w:rsidR="003C45ED">
              <w:rPr>
                <w:rFonts w:ascii="Arial" w:hAnsi="Arial" w:cs="Arial"/>
                <w:color w:val="000000"/>
                <w:sz w:val="24"/>
                <w:szCs w:val="24"/>
              </w:rPr>
              <w:t>254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F83D4F">
            <w:pPr>
              <w:jc w:val="right"/>
              <w:rPr>
                <w:rFonts w:ascii="Arial" w:hAnsi="Arial" w:cs="Arial"/>
                <w:color w:val="000000"/>
                <w:sz w:val="24"/>
                <w:szCs w:val="24"/>
              </w:rPr>
            </w:pPr>
            <w:r>
              <w:rPr>
                <w:rFonts w:ascii="Arial" w:hAnsi="Arial" w:cs="Arial"/>
                <w:color w:val="000000"/>
                <w:sz w:val="24"/>
                <w:szCs w:val="24"/>
              </w:rPr>
              <w:t>$        0.2997</w:t>
            </w:r>
          </w:p>
        </w:tc>
        <w:tc>
          <w:tcPr>
            <w:tcW w:w="2250" w:type="dxa"/>
            <w:tcBorders>
              <w:top w:val="nil"/>
              <w:left w:val="nil"/>
              <w:bottom w:val="nil"/>
              <w:right w:val="nil"/>
            </w:tcBorders>
            <w:shd w:val="clear" w:color="auto" w:fill="auto"/>
            <w:noWrap/>
            <w:vAlign w:val="bottom"/>
            <w:hideMark/>
          </w:tcPr>
          <w:p w:rsidR="008E6B81" w:rsidRPr="00632F88" w:rsidRDefault="008E6B81" w:rsidP="009D248F">
            <w:pPr>
              <w:jc w:val="right"/>
              <w:rPr>
                <w:rFonts w:ascii="Arial" w:hAnsi="Arial" w:cs="Arial"/>
                <w:color w:val="000000"/>
                <w:sz w:val="24"/>
                <w:szCs w:val="24"/>
              </w:rPr>
            </w:pPr>
            <w:r>
              <w:rPr>
                <w:rFonts w:ascii="Arial" w:hAnsi="Arial" w:cs="Arial"/>
                <w:color w:val="000000"/>
                <w:sz w:val="24"/>
                <w:szCs w:val="24"/>
              </w:rPr>
              <w:t xml:space="preserve">$   </w:t>
            </w:r>
            <w:r w:rsidR="00F27D42">
              <w:rPr>
                <w:rFonts w:ascii="Arial" w:hAnsi="Arial" w:cs="Arial"/>
                <w:color w:val="000000"/>
                <w:sz w:val="24"/>
                <w:szCs w:val="24"/>
              </w:rPr>
              <w:t xml:space="preserve">   </w:t>
            </w:r>
            <w:r>
              <w:rPr>
                <w:rFonts w:ascii="Arial" w:hAnsi="Arial" w:cs="Arial"/>
                <w:color w:val="000000"/>
                <w:sz w:val="24"/>
                <w:szCs w:val="24"/>
              </w:rPr>
              <w:t xml:space="preserve"> </w:t>
            </w:r>
            <w:r w:rsidR="003C45ED">
              <w:rPr>
                <w:rFonts w:ascii="Arial" w:hAnsi="Arial" w:cs="Arial"/>
                <w:color w:val="000000"/>
                <w:sz w:val="24"/>
                <w:szCs w:val="24"/>
              </w:rPr>
              <w:t>1</w:t>
            </w:r>
            <w:r w:rsidRPr="00632F88">
              <w:rPr>
                <w:rFonts w:ascii="Arial" w:hAnsi="Arial" w:cs="Arial"/>
                <w:color w:val="000000"/>
                <w:sz w:val="24"/>
                <w:szCs w:val="24"/>
              </w:rPr>
              <w:t>6</w:t>
            </w:r>
            <w:r w:rsidR="003C45ED">
              <w:rPr>
                <w:rFonts w:ascii="Arial" w:hAnsi="Arial" w:cs="Arial"/>
                <w:color w:val="000000"/>
                <w:sz w:val="24"/>
                <w:szCs w:val="24"/>
              </w:rPr>
              <w:t>7</w:t>
            </w:r>
            <w:r w:rsidRPr="00632F88">
              <w:rPr>
                <w:rFonts w:ascii="Arial" w:hAnsi="Arial" w:cs="Arial"/>
                <w:color w:val="000000"/>
                <w:sz w:val="24"/>
                <w:szCs w:val="24"/>
              </w:rPr>
              <w:t>,</w:t>
            </w:r>
            <w:r w:rsidR="003C45ED">
              <w:rPr>
                <w:rFonts w:ascii="Arial" w:hAnsi="Arial" w:cs="Arial"/>
                <w:color w:val="000000"/>
                <w:sz w:val="24"/>
                <w:szCs w:val="24"/>
              </w:rPr>
              <w:t>60</w:t>
            </w:r>
            <w:r>
              <w:rPr>
                <w:rFonts w:ascii="Arial" w:hAnsi="Arial" w:cs="Arial"/>
                <w:color w:val="000000"/>
                <w:sz w:val="24"/>
                <w:szCs w:val="24"/>
              </w:rPr>
              <w:t>8</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8E6B81" w:rsidRPr="00632F88" w:rsidRDefault="003C45ED" w:rsidP="00233371">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sidR="00233371">
              <w:rPr>
                <w:rFonts w:ascii="Arial" w:hAnsi="Arial" w:cs="Arial"/>
                <w:color w:val="000000"/>
                <w:sz w:val="24"/>
                <w:szCs w:val="24"/>
              </w:rPr>
              <w:t>5</w:t>
            </w:r>
            <w:r>
              <w:rPr>
                <w:rFonts w:ascii="Arial" w:hAnsi="Arial" w:cs="Arial"/>
                <w:color w:val="000000"/>
                <w:sz w:val="24"/>
                <w:szCs w:val="24"/>
              </w:rPr>
              <w:t>87</w:t>
            </w:r>
            <w:r w:rsidR="008E6B81" w:rsidRPr="00632F88">
              <w:rPr>
                <w:rFonts w:ascii="Arial" w:hAnsi="Arial" w:cs="Arial"/>
                <w:color w:val="000000"/>
                <w:sz w:val="24"/>
                <w:szCs w:val="24"/>
              </w:rPr>
              <w:t>,</w:t>
            </w:r>
            <w:r>
              <w:rPr>
                <w:rFonts w:ascii="Arial" w:hAnsi="Arial" w:cs="Arial"/>
                <w:color w:val="000000"/>
                <w:sz w:val="24"/>
                <w:szCs w:val="24"/>
              </w:rPr>
              <w:t>722</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F83D4F">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475</w:t>
            </w:r>
            <w:r w:rsidR="008E6B81" w:rsidRPr="00632F88">
              <w:rPr>
                <w:rFonts w:ascii="Arial" w:hAnsi="Arial" w:cs="Arial"/>
                <w:color w:val="000000"/>
                <w:sz w:val="24"/>
                <w:szCs w:val="24"/>
              </w:rPr>
              <w:t>,</w:t>
            </w:r>
            <w:r>
              <w:rPr>
                <w:rFonts w:ascii="Arial" w:hAnsi="Arial" w:cs="Arial"/>
                <w:color w:val="000000"/>
                <w:sz w:val="24"/>
                <w:szCs w:val="24"/>
              </w:rPr>
              <w:t>840</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3</w:t>
            </w:r>
            <w:r w:rsidR="008E6B81" w:rsidRPr="00632F88">
              <w:rPr>
                <w:rFonts w:ascii="Arial" w:hAnsi="Arial" w:cs="Arial"/>
                <w:color w:val="000000"/>
                <w:sz w:val="24"/>
                <w:szCs w:val="24"/>
              </w:rPr>
              <w:t>,</w:t>
            </w:r>
            <w:r>
              <w:rPr>
                <w:rFonts w:ascii="Arial" w:hAnsi="Arial" w:cs="Arial"/>
                <w:color w:val="000000"/>
                <w:sz w:val="24"/>
                <w:szCs w:val="24"/>
              </w:rPr>
              <w:t>282</w:t>
            </w:r>
            <w:r w:rsidR="008E6B81" w:rsidRPr="00632F88">
              <w:rPr>
                <w:rFonts w:ascii="Arial" w:hAnsi="Arial" w:cs="Arial"/>
                <w:color w:val="000000"/>
                <w:sz w:val="24"/>
                <w:szCs w:val="24"/>
              </w:rPr>
              <w:t>,</w:t>
            </w:r>
            <w:r>
              <w:rPr>
                <w:rFonts w:ascii="Arial" w:hAnsi="Arial" w:cs="Arial"/>
                <w:color w:val="000000"/>
                <w:sz w:val="24"/>
                <w:szCs w:val="24"/>
              </w:rPr>
              <w:t>045</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983</w:t>
            </w:r>
            <w:r w:rsidR="008E6B81" w:rsidRPr="00632F88">
              <w:rPr>
                <w:rFonts w:ascii="Arial" w:hAnsi="Arial" w:cs="Arial"/>
                <w:color w:val="000000"/>
                <w:sz w:val="24"/>
                <w:szCs w:val="24"/>
              </w:rPr>
              <w:t>,</w:t>
            </w:r>
            <w:r>
              <w:rPr>
                <w:rFonts w:ascii="Arial" w:hAnsi="Arial" w:cs="Arial"/>
                <w:color w:val="000000"/>
                <w:sz w:val="24"/>
                <w:szCs w:val="24"/>
              </w:rPr>
              <w:t>629</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6</w:t>
            </w:r>
            <w:r w:rsidR="008E6B81" w:rsidRPr="00632F88">
              <w:rPr>
                <w:rFonts w:ascii="Arial" w:hAnsi="Arial" w:cs="Arial"/>
                <w:color w:val="000000"/>
                <w:sz w:val="24"/>
                <w:szCs w:val="24"/>
              </w:rPr>
              <w:t>,</w:t>
            </w:r>
            <w:r>
              <w:rPr>
                <w:rFonts w:ascii="Arial" w:hAnsi="Arial" w:cs="Arial"/>
                <w:color w:val="000000"/>
                <w:sz w:val="24"/>
                <w:szCs w:val="24"/>
              </w:rPr>
              <w:t>923</w:t>
            </w:r>
            <w:r w:rsidR="008E6B81" w:rsidRPr="00632F88">
              <w:rPr>
                <w:rFonts w:ascii="Arial" w:hAnsi="Arial" w:cs="Arial"/>
                <w:color w:val="000000"/>
                <w:sz w:val="24"/>
                <w:szCs w:val="24"/>
              </w:rPr>
              <w:t>,</w:t>
            </w:r>
            <w:r>
              <w:rPr>
                <w:rFonts w:ascii="Arial" w:hAnsi="Arial" w:cs="Arial"/>
                <w:color w:val="000000"/>
                <w:sz w:val="24"/>
                <w:szCs w:val="24"/>
              </w:rPr>
              <w:t>984</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8E6B81" w:rsidP="003C45ED">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sidR="003C45ED">
              <w:rPr>
                <w:rFonts w:ascii="Arial" w:hAnsi="Arial" w:cs="Arial"/>
                <w:color w:val="000000"/>
                <w:sz w:val="24"/>
                <w:szCs w:val="24"/>
              </w:rPr>
              <w:t>075</w:t>
            </w:r>
            <w:r w:rsidRPr="00632F88">
              <w:rPr>
                <w:rFonts w:ascii="Arial" w:hAnsi="Arial" w:cs="Arial"/>
                <w:color w:val="000000"/>
                <w:sz w:val="24"/>
                <w:szCs w:val="24"/>
              </w:rPr>
              <w:t>,</w:t>
            </w:r>
            <w:r w:rsidR="003C45ED">
              <w:rPr>
                <w:rFonts w:ascii="Arial" w:hAnsi="Arial" w:cs="Arial"/>
                <w:color w:val="000000"/>
                <w:sz w:val="24"/>
                <w:szCs w:val="24"/>
              </w:rPr>
              <w:t>118</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1</w:t>
            </w:r>
          </w:p>
        </w:tc>
        <w:tc>
          <w:tcPr>
            <w:tcW w:w="1894" w:type="dxa"/>
            <w:tcBorders>
              <w:top w:val="nil"/>
              <w:left w:val="nil"/>
              <w:bottom w:val="nil"/>
              <w:right w:val="nil"/>
            </w:tcBorders>
            <w:shd w:val="clear" w:color="auto" w:fill="auto"/>
            <w:noWrap/>
            <w:vAlign w:val="bottom"/>
            <w:hideMark/>
          </w:tcPr>
          <w:p w:rsidR="008E6B81" w:rsidRPr="00632F88" w:rsidRDefault="008E6B81" w:rsidP="003C45ED">
            <w:pPr>
              <w:jc w:val="right"/>
              <w:rPr>
                <w:rFonts w:ascii="Arial" w:hAnsi="Arial" w:cs="Arial"/>
                <w:color w:val="000000"/>
                <w:sz w:val="24"/>
                <w:szCs w:val="24"/>
              </w:rPr>
            </w:pPr>
            <w:r w:rsidRPr="00632F88">
              <w:rPr>
                <w:rFonts w:ascii="Arial" w:hAnsi="Arial" w:cs="Arial"/>
                <w:color w:val="000000"/>
                <w:sz w:val="24"/>
                <w:szCs w:val="24"/>
              </w:rPr>
              <w:t>1</w:t>
            </w:r>
            <w:r w:rsidR="003C45ED">
              <w:rPr>
                <w:rFonts w:ascii="Arial" w:hAnsi="Arial" w:cs="Arial"/>
                <w:color w:val="000000"/>
                <w:sz w:val="24"/>
                <w:szCs w:val="24"/>
              </w:rPr>
              <w:t>0</w:t>
            </w:r>
            <w:r w:rsidRPr="00632F88">
              <w:rPr>
                <w:rFonts w:ascii="Arial" w:hAnsi="Arial" w:cs="Arial"/>
                <w:color w:val="000000"/>
                <w:sz w:val="24"/>
                <w:szCs w:val="24"/>
              </w:rPr>
              <w:t>,</w:t>
            </w:r>
            <w:r w:rsidR="003C45ED">
              <w:rPr>
                <w:rFonts w:ascii="Arial" w:hAnsi="Arial" w:cs="Arial"/>
                <w:color w:val="000000"/>
                <w:sz w:val="24"/>
                <w:szCs w:val="24"/>
              </w:rPr>
              <w:t>817</w:t>
            </w:r>
            <w:r w:rsidRPr="00632F88">
              <w:rPr>
                <w:rFonts w:ascii="Arial" w:hAnsi="Arial" w:cs="Arial"/>
                <w:color w:val="000000"/>
                <w:sz w:val="24"/>
                <w:szCs w:val="24"/>
              </w:rPr>
              <w:t>,</w:t>
            </w:r>
            <w:r w:rsidR="003C45ED">
              <w:rPr>
                <w:rFonts w:ascii="Arial" w:hAnsi="Arial" w:cs="Arial"/>
                <w:color w:val="000000"/>
                <w:sz w:val="24"/>
                <w:szCs w:val="24"/>
              </w:rPr>
              <w:t>948</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3</w:t>
            </w:r>
            <w:r w:rsidR="008E6B81" w:rsidRPr="00632F88">
              <w:rPr>
                <w:rFonts w:ascii="Arial" w:hAnsi="Arial" w:cs="Arial"/>
                <w:color w:val="000000"/>
                <w:sz w:val="24"/>
                <w:szCs w:val="24"/>
              </w:rPr>
              <w:t>,</w:t>
            </w:r>
            <w:r>
              <w:rPr>
                <w:rFonts w:ascii="Arial" w:hAnsi="Arial" w:cs="Arial"/>
                <w:color w:val="000000"/>
                <w:sz w:val="24"/>
                <w:szCs w:val="24"/>
              </w:rPr>
              <w:t>242</w:t>
            </w:r>
            <w:r w:rsidR="008E6B81" w:rsidRPr="00632F88">
              <w:rPr>
                <w:rFonts w:ascii="Arial" w:hAnsi="Arial" w:cs="Arial"/>
                <w:color w:val="000000"/>
                <w:sz w:val="24"/>
                <w:szCs w:val="24"/>
              </w:rPr>
              <w:t>,</w:t>
            </w:r>
            <w:r>
              <w:rPr>
                <w:rFonts w:ascii="Arial" w:hAnsi="Arial" w:cs="Arial"/>
                <w:color w:val="000000"/>
                <w:sz w:val="24"/>
                <w:szCs w:val="24"/>
              </w:rPr>
              <w:t>139</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9</w:t>
            </w:r>
            <w:r w:rsidR="008E6B81" w:rsidRPr="00632F88">
              <w:rPr>
                <w:rFonts w:ascii="Arial" w:hAnsi="Arial" w:cs="Arial"/>
                <w:color w:val="000000"/>
                <w:sz w:val="24"/>
                <w:szCs w:val="24"/>
              </w:rPr>
              <w:t>,</w:t>
            </w:r>
            <w:r w:rsidR="008E6B81">
              <w:rPr>
                <w:rFonts w:ascii="Arial" w:hAnsi="Arial" w:cs="Arial"/>
                <w:color w:val="000000"/>
                <w:sz w:val="24"/>
                <w:szCs w:val="24"/>
              </w:rPr>
              <w:t>3</w:t>
            </w:r>
            <w:r>
              <w:rPr>
                <w:rFonts w:ascii="Arial" w:hAnsi="Arial" w:cs="Arial"/>
                <w:color w:val="000000"/>
                <w:sz w:val="24"/>
                <w:szCs w:val="24"/>
              </w:rPr>
              <w:t>9</w:t>
            </w:r>
            <w:r w:rsidR="008E6B81">
              <w:rPr>
                <w:rFonts w:ascii="Arial" w:hAnsi="Arial" w:cs="Arial"/>
                <w:color w:val="000000"/>
                <w:sz w:val="24"/>
                <w:szCs w:val="24"/>
              </w:rPr>
              <w:t>3</w:t>
            </w:r>
            <w:r w:rsidR="008E6B81" w:rsidRPr="00632F88">
              <w:rPr>
                <w:rFonts w:ascii="Arial" w:hAnsi="Arial" w:cs="Arial"/>
                <w:color w:val="000000"/>
                <w:sz w:val="24"/>
                <w:szCs w:val="24"/>
              </w:rPr>
              <w:t>,</w:t>
            </w:r>
            <w:r>
              <w:rPr>
                <w:rFonts w:ascii="Arial" w:hAnsi="Arial" w:cs="Arial"/>
                <w:color w:val="000000"/>
                <w:sz w:val="24"/>
                <w:szCs w:val="24"/>
              </w:rPr>
              <w:t>220</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A5613D" w:rsidP="00A5613D">
            <w:pPr>
              <w:jc w:val="right"/>
              <w:rPr>
                <w:rFonts w:ascii="Arial" w:hAnsi="Arial" w:cs="Arial"/>
                <w:color w:val="000000"/>
                <w:sz w:val="24"/>
                <w:szCs w:val="24"/>
              </w:rPr>
            </w:pP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815</w:t>
            </w:r>
            <w:r w:rsidR="008E6B81" w:rsidRPr="00632F88">
              <w:rPr>
                <w:rFonts w:ascii="Arial" w:hAnsi="Arial" w:cs="Arial"/>
                <w:color w:val="000000"/>
                <w:sz w:val="24"/>
                <w:szCs w:val="24"/>
              </w:rPr>
              <w:t>,</w:t>
            </w:r>
            <w:r>
              <w:rPr>
                <w:rFonts w:ascii="Arial" w:hAnsi="Arial" w:cs="Arial"/>
                <w:color w:val="000000"/>
                <w:sz w:val="24"/>
                <w:szCs w:val="24"/>
              </w:rPr>
              <w:t>148</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6</w:t>
            </w:r>
            <w:r w:rsidR="008E6B81" w:rsidRPr="00632F88">
              <w:rPr>
                <w:rFonts w:ascii="Arial" w:hAnsi="Arial" w:cs="Arial"/>
                <w:color w:val="000000"/>
                <w:sz w:val="24"/>
                <w:szCs w:val="24"/>
              </w:rPr>
              <w:t>,</w:t>
            </w:r>
            <w:r>
              <w:rPr>
                <w:rFonts w:ascii="Arial" w:hAnsi="Arial" w:cs="Arial"/>
                <w:color w:val="000000"/>
                <w:sz w:val="24"/>
                <w:szCs w:val="24"/>
              </w:rPr>
              <w:t>853</w:t>
            </w:r>
            <w:r w:rsidR="008E6B81" w:rsidRPr="00632F88">
              <w:rPr>
                <w:rFonts w:ascii="Arial" w:hAnsi="Arial" w:cs="Arial"/>
                <w:color w:val="000000"/>
                <w:sz w:val="24"/>
                <w:szCs w:val="24"/>
              </w:rPr>
              <w:t>,</w:t>
            </w:r>
            <w:r>
              <w:rPr>
                <w:rFonts w:ascii="Arial" w:hAnsi="Arial" w:cs="Arial"/>
                <w:color w:val="000000"/>
                <w:sz w:val="24"/>
                <w:szCs w:val="24"/>
              </w:rPr>
              <w:t>494</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A5613D" w:rsidP="00A5613D">
            <w:pPr>
              <w:jc w:val="right"/>
              <w:rPr>
                <w:rFonts w:ascii="Arial" w:hAnsi="Arial" w:cs="Arial"/>
                <w:color w:val="000000"/>
                <w:sz w:val="24"/>
                <w:szCs w:val="24"/>
              </w:rPr>
            </w:pP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053</w:t>
            </w:r>
            <w:r w:rsidR="008E6B81" w:rsidRPr="00632F88">
              <w:rPr>
                <w:rFonts w:ascii="Arial" w:hAnsi="Arial" w:cs="Arial"/>
                <w:color w:val="000000"/>
                <w:sz w:val="24"/>
                <w:szCs w:val="24"/>
              </w:rPr>
              <w:t>,</w:t>
            </w:r>
            <w:r>
              <w:rPr>
                <w:rFonts w:ascii="Arial" w:hAnsi="Arial" w:cs="Arial"/>
                <w:color w:val="000000"/>
                <w:sz w:val="24"/>
                <w:szCs w:val="24"/>
              </w:rPr>
              <w:t>992</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4</w:t>
            </w:r>
            <w:r w:rsidR="008E6B81" w:rsidRPr="00632F88">
              <w:rPr>
                <w:rFonts w:ascii="Arial" w:hAnsi="Arial" w:cs="Arial"/>
                <w:color w:val="000000"/>
                <w:sz w:val="24"/>
                <w:szCs w:val="24"/>
              </w:rPr>
              <w:t>,</w:t>
            </w:r>
            <w:r>
              <w:rPr>
                <w:rFonts w:ascii="Arial" w:hAnsi="Arial" w:cs="Arial"/>
                <w:color w:val="000000"/>
                <w:sz w:val="24"/>
                <w:szCs w:val="24"/>
              </w:rPr>
              <w:t>758</w:t>
            </w:r>
            <w:r w:rsidR="008E6B81" w:rsidRPr="00632F88">
              <w:rPr>
                <w:rFonts w:ascii="Arial" w:hAnsi="Arial" w:cs="Arial"/>
                <w:color w:val="000000"/>
                <w:sz w:val="24"/>
                <w:szCs w:val="24"/>
              </w:rPr>
              <w:t>,</w:t>
            </w:r>
            <w:r>
              <w:rPr>
                <w:rFonts w:ascii="Arial" w:hAnsi="Arial" w:cs="Arial"/>
                <w:color w:val="000000"/>
                <w:sz w:val="24"/>
                <w:szCs w:val="24"/>
              </w:rPr>
              <w:t>482</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A5613D" w:rsidP="00A5613D">
            <w:pPr>
              <w:jc w:val="right"/>
              <w:rPr>
                <w:rFonts w:ascii="Arial" w:hAnsi="Arial" w:cs="Arial"/>
                <w:color w:val="000000"/>
                <w:sz w:val="24"/>
                <w:szCs w:val="24"/>
              </w:rPr>
            </w:pPr>
            <w:r>
              <w:rPr>
                <w:rFonts w:ascii="Arial" w:hAnsi="Arial" w:cs="Arial"/>
                <w:color w:val="000000"/>
                <w:sz w:val="24"/>
                <w:szCs w:val="24"/>
              </w:rPr>
              <w:t>1,426</w:t>
            </w:r>
            <w:r w:rsidR="008E6B81">
              <w:rPr>
                <w:rFonts w:ascii="Arial" w:hAnsi="Arial" w:cs="Arial"/>
                <w:color w:val="000000"/>
                <w:sz w:val="24"/>
                <w:szCs w:val="24"/>
              </w:rPr>
              <w:t>,</w:t>
            </w:r>
            <w:r>
              <w:rPr>
                <w:rFonts w:ascii="Arial" w:hAnsi="Arial" w:cs="Arial"/>
                <w:color w:val="000000"/>
                <w:sz w:val="24"/>
                <w:szCs w:val="24"/>
              </w:rPr>
              <w:t>117</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2</w:t>
            </w:r>
            <w:r w:rsidR="008E6B81" w:rsidRPr="00632F88">
              <w:rPr>
                <w:rFonts w:ascii="Arial" w:hAnsi="Arial" w:cs="Arial"/>
                <w:color w:val="000000"/>
                <w:sz w:val="24"/>
                <w:szCs w:val="24"/>
              </w:rPr>
              <w:t>,</w:t>
            </w:r>
            <w:r>
              <w:rPr>
                <w:rFonts w:ascii="Arial" w:hAnsi="Arial" w:cs="Arial"/>
                <w:color w:val="000000"/>
                <w:sz w:val="24"/>
                <w:szCs w:val="24"/>
              </w:rPr>
              <w:t>30</w:t>
            </w:r>
            <w:r w:rsidR="008E6B81">
              <w:rPr>
                <w:rFonts w:ascii="Arial" w:hAnsi="Arial" w:cs="Arial"/>
                <w:color w:val="000000"/>
                <w:sz w:val="24"/>
                <w:szCs w:val="24"/>
              </w:rPr>
              <w:t>0</w:t>
            </w:r>
            <w:r w:rsidR="008E6B81" w:rsidRPr="00632F88">
              <w:rPr>
                <w:rFonts w:ascii="Arial" w:hAnsi="Arial" w:cs="Arial"/>
                <w:color w:val="000000"/>
                <w:sz w:val="24"/>
                <w:szCs w:val="24"/>
              </w:rPr>
              <w:t>,</w:t>
            </w:r>
            <w:r>
              <w:rPr>
                <w:rFonts w:ascii="Arial" w:hAnsi="Arial" w:cs="Arial"/>
                <w:color w:val="000000"/>
                <w:sz w:val="24"/>
                <w:szCs w:val="24"/>
              </w:rPr>
              <w:t>839</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022744" w:rsidP="00022744">
            <w:pPr>
              <w:jc w:val="right"/>
              <w:rPr>
                <w:rFonts w:ascii="Arial" w:hAnsi="Arial" w:cs="Arial"/>
                <w:color w:val="000000"/>
                <w:sz w:val="24"/>
                <w:szCs w:val="24"/>
              </w:rPr>
            </w:pPr>
            <w:r>
              <w:rPr>
                <w:rFonts w:ascii="Arial" w:hAnsi="Arial" w:cs="Arial"/>
                <w:color w:val="000000"/>
                <w:sz w:val="24"/>
                <w:szCs w:val="24"/>
              </w:rPr>
              <w:t>689</w:t>
            </w:r>
            <w:r w:rsidR="008E6B81" w:rsidRPr="00632F88">
              <w:rPr>
                <w:rFonts w:ascii="Arial" w:hAnsi="Arial" w:cs="Arial"/>
                <w:color w:val="000000"/>
                <w:sz w:val="24"/>
                <w:szCs w:val="24"/>
              </w:rPr>
              <w:t>,</w:t>
            </w:r>
            <w:r w:rsidR="00A5613D">
              <w:rPr>
                <w:rFonts w:ascii="Arial" w:hAnsi="Arial" w:cs="Arial"/>
                <w:color w:val="000000"/>
                <w:sz w:val="24"/>
                <w:szCs w:val="24"/>
              </w:rPr>
              <w:t>5</w:t>
            </w:r>
            <w:r>
              <w:rPr>
                <w:rFonts w:ascii="Arial" w:hAnsi="Arial" w:cs="Arial"/>
                <w:color w:val="000000"/>
                <w:sz w:val="24"/>
                <w:szCs w:val="24"/>
              </w:rPr>
              <w:t>61</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393</w:t>
            </w:r>
            <w:r w:rsidR="008E6B81" w:rsidRPr="00632F88">
              <w:rPr>
                <w:rFonts w:ascii="Arial" w:hAnsi="Arial" w:cs="Arial"/>
                <w:color w:val="000000"/>
                <w:sz w:val="24"/>
                <w:szCs w:val="24"/>
              </w:rPr>
              <w:t>,</w:t>
            </w:r>
            <w:r>
              <w:rPr>
                <w:rFonts w:ascii="Arial" w:hAnsi="Arial" w:cs="Arial"/>
                <w:color w:val="000000"/>
                <w:sz w:val="24"/>
                <w:szCs w:val="24"/>
              </w:rPr>
              <w:t>309</w:t>
            </w:r>
            <w:r w:rsidR="008E6B8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8E6B81" w:rsidRPr="00632F88" w:rsidRDefault="003C45ED" w:rsidP="003F0CF2">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022744" w:rsidP="00022744">
            <w:pPr>
              <w:jc w:val="right"/>
              <w:rPr>
                <w:rFonts w:ascii="Arial" w:hAnsi="Arial" w:cs="Arial"/>
                <w:color w:val="000000"/>
                <w:sz w:val="24"/>
                <w:szCs w:val="24"/>
              </w:rPr>
            </w:pPr>
            <w:r>
              <w:rPr>
                <w:rFonts w:ascii="Arial" w:hAnsi="Arial" w:cs="Arial"/>
                <w:color w:val="000000"/>
                <w:sz w:val="24"/>
                <w:szCs w:val="24"/>
              </w:rPr>
              <w:t>417</w:t>
            </w:r>
            <w:r w:rsidRPr="00632F88">
              <w:rPr>
                <w:rFonts w:ascii="Arial" w:hAnsi="Arial" w:cs="Arial"/>
                <w:color w:val="000000"/>
                <w:sz w:val="24"/>
                <w:szCs w:val="24"/>
              </w:rPr>
              <w:t>,</w:t>
            </w:r>
            <w:r>
              <w:rPr>
                <w:rFonts w:ascii="Arial" w:hAnsi="Arial" w:cs="Arial"/>
                <w:color w:val="000000"/>
                <w:sz w:val="24"/>
                <w:szCs w:val="24"/>
              </w:rPr>
              <w:t>575</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8E6B81" w:rsidRPr="00632F88" w:rsidRDefault="003C45ED" w:rsidP="003C45ED">
            <w:pPr>
              <w:jc w:val="right"/>
              <w:rPr>
                <w:rFonts w:ascii="Arial" w:hAnsi="Arial" w:cs="Arial"/>
                <w:color w:val="000000"/>
                <w:sz w:val="24"/>
                <w:szCs w:val="24"/>
              </w:rPr>
            </w:pPr>
            <w:r>
              <w:rPr>
                <w:rFonts w:ascii="Arial" w:hAnsi="Arial" w:cs="Arial"/>
                <w:color w:val="000000"/>
                <w:sz w:val="24"/>
                <w:szCs w:val="24"/>
              </w:rPr>
              <w:t>1</w:t>
            </w:r>
            <w:r w:rsidR="008E6B81" w:rsidRPr="00632F88">
              <w:rPr>
                <w:rFonts w:ascii="Arial" w:hAnsi="Arial" w:cs="Arial"/>
                <w:color w:val="000000"/>
                <w:sz w:val="24"/>
                <w:szCs w:val="24"/>
              </w:rPr>
              <w:t>,</w:t>
            </w:r>
            <w:r>
              <w:rPr>
                <w:rFonts w:ascii="Arial" w:hAnsi="Arial" w:cs="Arial"/>
                <w:color w:val="000000"/>
                <w:sz w:val="24"/>
                <w:szCs w:val="24"/>
              </w:rPr>
              <w:t>168</w:t>
            </w:r>
            <w:r w:rsidR="008E6B81" w:rsidRPr="00632F88">
              <w:rPr>
                <w:rFonts w:ascii="Arial" w:hAnsi="Arial" w:cs="Arial"/>
                <w:color w:val="000000"/>
                <w:sz w:val="24"/>
                <w:szCs w:val="24"/>
              </w:rPr>
              <w:t>,</w:t>
            </w:r>
            <w:r>
              <w:rPr>
                <w:rFonts w:ascii="Arial" w:hAnsi="Arial" w:cs="Arial"/>
                <w:color w:val="000000"/>
                <w:sz w:val="24"/>
                <w:szCs w:val="24"/>
              </w:rPr>
              <w:t>202</w:t>
            </w:r>
          </w:p>
        </w:tc>
        <w:tc>
          <w:tcPr>
            <w:tcW w:w="1976" w:type="dxa"/>
            <w:tcBorders>
              <w:top w:val="nil"/>
              <w:left w:val="nil"/>
              <w:bottom w:val="nil"/>
              <w:right w:val="nil"/>
            </w:tcBorders>
            <w:shd w:val="clear" w:color="auto" w:fill="auto"/>
            <w:noWrap/>
            <w:vAlign w:val="bottom"/>
            <w:hideMark/>
          </w:tcPr>
          <w:p w:rsidR="008E6B81" w:rsidRPr="00632F88" w:rsidRDefault="003C45ED" w:rsidP="00F83D4F">
            <w:pPr>
              <w:jc w:val="right"/>
              <w:rPr>
                <w:rFonts w:ascii="Arial" w:hAnsi="Arial" w:cs="Arial"/>
                <w:color w:val="000000"/>
                <w:sz w:val="24"/>
                <w:szCs w:val="24"/>
              </w:rPr>
            </w:pPr>
            <w:r>
              <w:rPr>
                <w:rFonts w:ascii="Arial" w:hAnsi="Arial" w:cs="Arial"/>
                <w:color w:val="000000"/>
                <w:sz w:val="24"/>
                <w:szCs w:val="24"/>
              </w:rPr>
              <w:t>0.2997</w:t>
            </w:r>
          </w:p>
        </w:tc>
        <w:tc>
          <w:tcPr>
            <w:tcW w:w="2250" w:type="dxa"/>
            <w:tcBorders>
              <w:top w:val="nil"/>
              <w:left w:val="nil"/>
              <w:bottom w:val="nil"/>
              <w:right w:val="nil"/>
            </w:tcBorders>
            <w:shd w:val="clear" w:color="auto" w:fill="auto"/>
            <w:noWrap/>
            <w:vAlign w:val="bottom"/>
            <w:hideMark/>
          </w:tcPr>
          <w:p w:rsidR="008E6B81" w:rsidRPr="00632F88" w:rsidRDefault="00022744" w:rsidP="00022744">
            <w:pPr>
              <w:jc w:val="right"/>
              <w:rPr>
                <w:rFonts w:ascii="Arial" w:hAnsi="Arial" w:cs="Arial"/>
                <w:color w:val="000000"/>
                <w:sz w:val="24"/>
                <w:szCs w:val="24"/>
              </w:rPr>
            </w:pPr>
            <w:r>
              <w:rPr>
                <w:rFonts w:ascii="Arial" w:hAnsi="Arial" w:cs="Arial"/>
                <w:color w:val="000000"/>
                <w:sz w:val="24"/>
                <w:szCs w:val="24"/>
              </w:rPr>
              <w:t>350</w:t>
            </w:r>
            <w:r w:rsidRPr="00632F88">
              <w:rPr>
                <w:rFonts w:ascii="Arial" w:hAnsi="Arial" w:cs="Arial"/>
                <w:color w:val="000000"/>
                <w:sz w:val="24"/>
                <w:szCs w:val="24"/>
              </w:rPr>
              <w:t>,</w:t>
            </w:r>
            <w:r>
              <w:rPr>
                <w:rFonts w:ascii="Arial" w:hAnsi="Arial" w:cs="Arial"/>
                <w:color w:val="000000"/>
                <w:sz w:val="24"/>
                <w:szCs w:val="24"/>
              </w:rPr>
              <w:t>110</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8E6B81" w:rsidRPr="00632F88" w:rsidRDefault="009D248F" w:rsidP="003C45ED">
            <w:pPr>
              <w:jc w:val="right"/>
              <w:rPr>
                <w:rFonts w:ascii="Arial" w:hAnsi="Arial" w:cs="Arial"/>
                <w:color w:val="000000"/>
                <w:sz w:val="24"/>
                <w:szCs w:val="24"/>
                <w:u w:val="single"/>
              </w:rPr>
            </w:pPr>
            <w:r w:rsidRPr="00503C64">
              <w:rPr>
                <w:rFonts w:ascii="Arial" w:hAnsi="Arial" w:cs="Arial"/>
                <w:color w:val="000000"/>
                <w:sz w:val="24"/>
                <w:szCs w:val="24"/>
              </w:rPr>
              <w:t xml:space="preserve"> </w:t>
            </w:r>
            <w:r w:rsidR="008E6B81" w:rsidRPr="00503C64">
              <w:rPr>
                <w:rFonts w:ascii="Arial" w:hAnsi="Arial" w:cs="Arial"/>
                <w:color w:val="000000"/>
                <w:sz w:val="24"/>
                <w:szCs w:val="24"/>
              </w:rPr>
              <w:t xml:space="preserve">  </w:t>
            </w:r>
            <w:r w:rsidR="008E6B81">
              <w:rPr>
                <w:rFonts w:ascii="Arial" w:hAnsi="Arial" w:cs="Arial"/>
                <w:color w:val="000000"/>
                <w:sz w:val="24"/>
                <w:szCs w:val="24"/>
                <w:u w:val="single"/>
              </w:rPr>
              <w:t xml:space="preserve">  </w:t>
            </w:r>
            <w:r w:rsidR="003C45ED">
              <w:rPr>
                <w:rFonts w:ascii="Arial" w:hAnsi="Arial" w:cs="Arial"/>
                <w:color w:val="000000"/>
                <w:sz w:val="24"/>
                <w:szCs w:val="24"/>
                <w:u w:val="single"/>
              </w:rPr>
              <w:t>1</w:t>
            </w:r>
            <w:r w:rsidR="008E6B81">
              <w:rPr>
                <w:rFonts w:ascii="Arial" w:hAnsi="Arial" w:cs="Arial"/>
                <w:color w:val="000000"/>
                <w:sz w:val="24"/>
                <w:szCs w:val="24"/>
                <w:u w:val="single"/>
              </w:rPr>
              <w:t>,</w:t>
            </w:r>
            <w:r w:rsidR="003C45ED">
              <w:rPr>
                <w:rFonts w:ascii="Arial" w:hAnsi="Arial" w:cs="Arial"/>
                <w:color w:val="000000"/>
                <w:sz w:val="24"/>
                <w:szCs w:val="24"/>
                <w:u w:val="single"/>
              </w:rPr>
              <w:t>072</w:t>
            </w:r>
            <w:r w:rsidR="008E6B81" w:rsidRPr="00632F88">
              <w:rPr>
                <w:rFonts w:ascii="Arial" w:hAnsi="Arial" w:cs="Arial"/>
                <w:color w:val="000000"/>
                <w:sz w:val="24"/>
                <w:szCs w:val="24"/>
                <w:u w:val="single"/>
              </w:rPr>
              <w:t>,</w:t>
            </w:r>
            <w:r w:rsidR="003C45ED">
              <w:rPr>
                <w:rFonts w:ascii="Arial" w:hAnsi="Arial" w:cs="Arial"/>
                <w:color w:val="000000"/>
                <w:sz w:val="24"/>
                <w:szCs w:val="24"/>
                <w:u w:val="single"/>
              </w:rPr>
              <w:t>633</w:t>
            </w:r>
            <w:r w:rsidR="008E6B81"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8E6B81" w:rsidRPr="003C45ED" w:rsidRDefault="008E6B81" w:rsidP="00F83D4F">
            <w:pPr>
              <w:jc w:val="right"/>
              <w:rPr>
                <w:rFonts w:ascii="Arial" w:hAnsi="Arial" w:cs="Arial"/>
                <w:color w:val="000000"/>
                <w:sz w:val="24"/>
                <w:szCs w:val="24"/>
                <w:u w:val="single"/>
              </w:rPr>
            </w:pPr>
            <w:r>
              <w:rPr>
                <w:rFonts w:ascii="Arial" w:hAnsi="Arial" w:cs="Arial"/>
                <w:color w:val="000000"/>
                <w:sz w:val="24"/>
                <w:szCs w:val="24"/>
                <w:u w:val="single"/>
              </w:rPr>
              <w:t xml:space="preserve">     </w:t>
            </w:r>
            <w:r w:rsidR="003C45ED" w:rsidRPr="003C45ED">
              <w:rPr>
                <w:rFonts w:ascii="Arial" w:hAnsi="Arial" w:cs="Arial"/>
                <w:color w:val="000000"/>
                <w:sz w:val="24"/>
                <w:szCs w:val="24"/>
                <w:u w:val="single"/>
              </w:rPr>
              <w:t>0.2997</w:t>
            </w:r>
          </w:p>
        </w:tc>
        <w:tc>
          <w:tcPr>
            <w:tcW w:w="2250" w:type="dxa"/>
            <w:tcBorders>
              <w:top w:val="nil"/>
              <w:left w:val="nil"/>
              <w:bottom w:val="nil"/>
              <w:right w:val="nil"/>
            </w:tcBorders>
            <w:shd w:val="clear" w:color="auto" w:fill="auto"/>
            <w:noWrap/>
            <w:vAlign w:val="bottom"/>
            <w:hideMark/>
          </w:tcPr>
          <w:p w:rsidR="008E6B81" w:rsidRPr="00632F88" w:rsidRDefault="00F27D42" w:rsidP="00022744">
            <w:pPr>
              <w:jc w:val="right"/>
              <w:rPr>
                <w:rFonts w:ascii="Arial" w:hAnsi="Arial" w:cs="Arial"/>
                <w:color w:val="000000"/>
                <w:sz w:val="24"/>
                <w:szCs w:val="24"/>
                <w:u w:val="single"/>
              </w:rPr>
            </w:pPr>
            <w:r>
              <w:rPr>
                <w:rFonts w:ascii="Arial" w:hAnsi="Arial" w:cs="Arial"/>
                <w:color w:val="000000"/>
                <w:sz w:val="24"/>
                <w:szCs w:val="24"/>
                <w:u w:val="single"/>
              </w:rPr>
              <w:t xml:space="preserve">   </w:t>
            </w:r>
            <w:r w:rsidR="008E6B81">
              <w:rPr>
                <w:rFonts w:ascii="Arial" w:hAnsi="Arial" w:cs="Arial"/>
                <w:color w:val="000000"/>
                <w:sz w:val="24"/>
                <w:szCs w:val="24"/>
                <w:u w:val="single"/>
              </w:rPr>
              <w:t xml:space="preserve">      3</w:t>
            </w:r>
            <w:r w:rsidR="00022744">
              <w:rPr>
                <w:rFonts w:ascii="Arial" w:hAnsi="Arial" w:cs="Arial"/>
                <w:color w:val="000000"/>
                <w:sz w:val="24"/>
                <w:szCs w:val="24"/>
                <w:u w:val="single"/>
              </w:rPr>
              <w:t>21</w:t>
            </w:r>
            <w:r w:rsidR="008E6B81" w:rsidRPr="00632F88">
              <w:rPr>
                <w:rFonts w:ascii="Arial" w:hAnsi="Arial" w:cs="Arial"/>
                <w:color w:val="000000"/>
                <w:sz w:val="24"/>
                <w:szCs w:val="24"/>
                <w:u w:val="single"/>
              </w:rPr>
              <w:t>,</w:t>
            </w:r>
            <w:r w:rsidR="00022744">
              <w:rPr>
                <w:rFonts w:ascii="Arial" w:hAnsi="Arial" w:cs="Arial"/>
                <w:color w:val="000000"/>
                <w:sz w:val="24"/>
                <w:szCs w:val="24"/>
                <w:u w:val="single"/>
              </w:rPr>
              <w:t>468</w:t>
            </w:r>
            <w:r w:rsidR="008E6B81">
              <w:rPr>
                <w:rFonts w:ascii="Arial" w:hAnsi="Arial" w:cs="Arial"/>
                <w:color w:val="000000"/>
                <w:sz w:val="24"/>
                <w:szCs w:val="24"/>
                <w:u w:val="single"/>
              </w:rPr>
              <w:t xml:space="preserve">                                                                                                                                                                                                                                                                                                                                                                                                                                                                                                                                                                                                                                                                                                                                                                                                                                                                                                                                                                                                                                                                                                                                                                                         </w:t>
            </w:r>
          </w:p>
        </w:tc>
      </w:tr>
      <w:tr w:rsidR="008E6B81" w:rsidRPr="00632F88" w:rsidTr="005B393C">
        <w:trPr>
          <w:trHeight w:val="432"/>
        </w:trPr>
        <w:tc>
          <w:tcPr>
            <w:tcW w:w="2268" w:type="dxa"/>
            <w:tcBorders>
              <w:top w:val="nil"/>
              <w:left w:val="nil"/>
              <w:bottom w:val="nil"/>
              <w:right w:val="nil"/>
            </w:tcBorders>
            <w:shd w:val="clear" w:color="auto" w:fill="auto"/>
            <w:noWrap/>
            <w:vAlign w:val="bottom"/>
            <w:hideMark/>
          </w:tcPr>
          <w:p w:rsidR="008E6B81" w:rsidRPr="00632F88" w:rsidRDefault="008E6B81" w:rsidP="00F83D4F">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8E6B81" w:rsidRPr="00632F88" w:rsidRDefault="008E6B81" w:rsidP="003C45ED">
            <w:pPr>
              <w:jc w:val="right"/>
              <w:rPr>
                <w:rFonts w:ascii="Arial" w:hAnsi="Arial" w:cs="Arial"/>
                <w:color w:val="000000"/>
                <w:sz w:val="24"/>
                <w:szCs w:val="24"/>
                <w:u w:val="double"/>
              </w:rPr>
            </w:pPr>
            <w:r w:rsidRPr="00503C64">
              <w:rPr>
                <w:rFonts w:ascii="Arial" w:hAnsi="Arial" w:cs="Arial"/>
                <w:color w:val="000000"/>
                <w:sz w:val="24"/>
                <w:szCs w:val="24"/>
              </w:rPr>
              <w:t xml:space="preserve">  </w:t>
            </w:r>
            <w:r w:rsidR="003C45ED" w:rsidRPr="00503C64">
              <w:rPr>
                <w:rFonts w:ascii="Arial" w:hAnsi="Arial" w:cs="Arial"/>
                <w:color w:val="000000"/>
                <w:sz w:val="24"/>
                <w:szCs w:val="24"/>
              </w:rPr>
              <w:t xml:space="preserve"> </w:t>
            </w:r>
            <w:r w:rsidR="003C45ED">
              <w:rPr>
                <w:rFonts w:ascii="Arial" w:hAnsi="Arial" w:cs="Arial"/>
                <w:color w:val="000000"/>
                <w:sz w:val="24"/>
                <w:szCs w:val="24"/>
                <w:u w:val="double"/>
              </w:rPr>
              <w:t>50</w:t>
            </w:r>
            <w:r w:rsidRPr="00632F88">
              <w:rPr>
                <w:rFonts w:ascii="Arial" w:hAnsi="Arial" w:cs="Arial"/>
                <w:color w:val="000000"/>
                <w:sz w:val="24"/>
                <w:szCs w:val="24"/>
                <w:u w:val="double"/>
              </w:rPr>
              <w:t>,</w:t>
            </w:r>
            <w:r w:rsidR="003C45ED">
              <w:rPr>
                <w:rFonts w:ascii="Arial" w:hAnsi="Arial" w:cs="Arial"/>
                <w:color w:val="000000"/>
                <w:sz w:val="24"/>
                <w:szCs w:val="24"/>
                <w:u w:val="double"/>
              </w:rPr>
              <w:t>111</w:t>
            </w:r>
            <w:r w:rsidRPr="00632F88">
              <w:rPr>
                <w:rFonts w:ascii="Arial" w:hAnsi="Arial" w:cs="Arial"/>
                <w:color w:val="000000"/>
                <w:sz w:val="24"/>
                <w:szCs w:val="24"/>
                <w:u w:val="double"/>
              </w:rPr>
              <w:t>,</w:t>
            </w:r>
            <w:r w:rsidR="003C45ED">
              <w:rPr>
                <w:rFonts w:ascii="Arial" w:hAnsi="Arial" w:cs="Arial"/>
                <w:color w:val="000000"/>
                <w:sz w:val="24"/>
                <w:szCs w:val="24"/>
                <w:u w:val="double"/>
              </w:rPr>
              <w:t>132</w:t>
            </w:r>
            <w:r>
              <w:rPr>
                <w:rFonts w:ascii="Arial" w:hAnsi="Arial" w:cs="Arial"/>
                <w:color w:val="000000"/>
                <w:sz w:val="24"/>
                <w:szCs w:val="24"/>
                <w:u w:val="double"/>
              </w:rPr>
              <w:t xml:space="preserve">                                                                                                                                                                                                                                                                                                                                                                                                                                                                                                                                                                                                                                                                                                                                                                                                                                                                                                                                                                                                                                                                                                                                                                                                                                                                                                                                                                                                                                                                                                                                                                  </w:t>
            </w:r>
            <w:r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hideMark/>
          </w:tcPr>
          <w:p w:rsidR="008E6B81" w:rsidRPr="00632F88" w:rsidRDefault="008E6B81" w:rsidP="00F83D4F">
            <w:pPr>
              <w:ind w:right="72"/>
              <w:jc w:val="right"/>
              <w:rPr>
                <w:rFonts w:ascii="Arial" w:hAnsi="Arial" w:cs="Arial"/>
                <w:color w:val="000000"/>
                <w:sz w:val="24"/>
                <w:szCs w:val="24"/>
                <w:u w:val="double"/>
              </w:rPr>
            </w:pPr>
          </w:p>
        </w:tc>
        <w:tc>
          <w:tcPr>
            <w:tcW w:w="2250" w:type="dxa"/>
            <w:tcBorders>
              <w:top w:val="nil"/>
              <w:left w:val="nil"/>
              <w:bottom w:val="nil"/>
              <w:right w:val="nil"/>
            </w:tcBorders>
            <w:shd w:val="clear" w:color="auto" w:fill="auto"/>
            <w:noWrap/>
            <w:vAlign w:val="bottom"/>
            <w:hideMark/>
          </w:tcPr>
          <w:p w:rsidR="008E6B81" w:rsidRPr="00632F88" w:rsidRDefault="009D248F" w:rsidP="00022744">
            <w:pPr>
              <w:jc w:val="right"/>
              <w:rPr>
                <w:rFonts w:ascii="Arial" w:hAnsi="Arial" w:cs="Arial"/>
                <w:color w:val="000000"/>
                <w:sz w:val="24"/>
                <w:szCs w:val="24"/>
                <w:u w:val="double"/>
              </w:rPr>
            </w:pPr>
            <w:r>
              <w:rPr>
                <w:rFonts w:ascii="Arial" w:hAnsi="Arial" w:cs="Arial"/>
                <w:color w:val="000000"/>
                <w:sz w:val="24"/>
                <w:szCs w:val="24"/>
                <w:u w:val="double"/>
              </w:rPr>
              <w:t>$</w:t>
            </w:r>
            <w:r w:rsidR="00F27D42">
              <w:rPr>
                <w:rFonts w:ascii="Arial" w:hAnsi="Arial" w:cs="Arial"/>
                <w:color w:val="000000"/>
                <w:sz w:val="24"/>
                <w:szCs w:val="24"/>
                <w:u w:val="double"/>
              </w:rPr>
              <w:t xml:space="preserve">  </w:t>
            </w:r>
            <w:r w:rsidR="00022744">
              <w:rPr>
                <w:rFonts w:ascii="Arial" w:hAnsi="Arial" w:cs="Arial"/>
                <w:color w:val="000000"/>
                <w:sz w:val="24"/>
                <w:szCs w:val="24"/>
                <w:u w:val="double"/>
              </w:rPr>
              <w:t>15,018</w:t>
            </w:r>
            <w:r w:rsidR="008E6B81" w:rsidRPr="00632F88">
              <w:rPr>
                <w:rFonts w:ascii="Arial" w:hAnsi="Arial" w:cs="Arial"/>
                <w:color w:val="000000"/>
                <w:sz w:val="24"/>
                <w:szCs w:val="24"/>
                <w:u w:val="double"/>
              </w:rPr>
              <w:t>,</w:t>
            </w:r>
            <w:r w:rsidR="00022744">
              <w:rPr>
                <w:rFonts w:ascii="Arial" w:hAnsi="Arial" w:cs="Arial"/>
                <w:color w:val="000000"/>
                <w:sz w:val="24"/>
                <w:szCs w:val="24"/>
                <w:u w:val="double"/>
              </w:rPr>
              <w:t>306</w:t>
            </w:r>
            <w:r w:rsidR="008E6B81" w:rsidRPr="00632F88">
              <w:rPr>
                <w:rFonts w:ascii="Arial" w:hAnsi="Arial" w:cs="Arial"/>
                <w:color w:val="000000"/>
                <w:sz w:val="24"/>
                <w:szCs w:val="24"/>
                <w:u w:val="double"/>
              </w:rPr>
              <w:t xml:space="preserve"> </w:t>
            </w:r>
          </w:p>
        </w:tc>
      </w:tr>
    </w:tbl>
    <w:p w:rsidR="008E6B81" w:rsidRDefault="008E6B81" w:rsidP="008E6B81">
      <w:pPr>
        <w:rPr>
          <w:rFonts w:ascii="Arial" w:hAnsi="Arial" w:cs="Arial"/>
          <w:sz w:val="24"/>
          <w:szCs w:val="24"/>
        </w:rPr>
      </w:pPr>
    </w:p>
    <w:p w:rsidR="004D5F21" w:rsidRDefault="004D5F21" w:rsidP="002E5B87">
      <w:pPr>
        <w:tabs>
          <w:tab w:val="left" w:pos="8100"/>
        </w:tabs>
        <w:spacing w:line="360" w:lineRule="atLeast"/>
        <w:ind w:left="540" w:firstLine="14"/>
        <w:outlineLvl w:val="0"/>
        <w:rPr>
          <w:rFonts w:ascii="Arial" w:hAnsi="Arial" w:cs="Arial"/>
          <w:sz w:val="24"/>
          <w:szCs w:val="24"/>
        </w:rPr>
      </w:pPr>
      <w:r>
        <w:rPr>
          <w:rFonts w:ascii="Arial" w:hAnsi="Arial" w:cs="Arial"/>
          <w:sz w:val="24"/>
          <w:szCs w:val="24"/>
        </w:rPr>
        <w:t>FY 20</w:t>
      </w:r>
      <w:r w:rsidR="00930805">
        <w:rPr>
          <w:rFonts w:ascii="Arial" w:hAnsi="Arial" w:cs="Arial"/>
          <w:sz w:val="24"/>
          <w:szCs w:val="24"/>
        </w:rPr>
        <w:t>11 OPEB Revenues</w:t>
      </w:r>
      <w:r>
        <w:rPr>
          <w:rFonts w:ascii="Arial" w:hAnsi="Arial" w:cs="Arial"/>
          <w:sz w:val="24"/>
          <w:szCs w:val="24"/>
        </w:rPr>
        <w:t xml:space="preserve">                                                      </w:t>
      </w:r>
      <w:r w:rsidR="00EA293B">
        <w:rPr>
          <w:rFonts w:ascii="Arial" w:hAnsi="Arial" w:cs="Arial"/>
          <w:sz w:val="24"/>
          <w:szCs w:val="24"/>
        </w:rPr>
        <w:t xml:space="preserve">  </w:t>
      </w:r>
      <w:r>
        <w:rPr>
          <w:rFonts w:ascii="Arial" w:hAnsi="Arial" w:cs="Arial"/>
          <w:sz w:val="24"/>
          <w:szCs w:val="24"/>
        </w:rPr>
        <w:t xml:space="preserve">      $15,018,306</w:t>
      </w:r>
    </w:p>
    <w:p w:rsidR="004D5F21" w:rsidRDefault="004D5F21" w:rsidP="002E5B87">
      <w:pPr>
        <w:tabs>
          <w:tab w:val="left" w:pos="8100"/>
        </w:tabs>
        <w:spacing w:line="360" w:lineRule="atLeast"/>
        <w:ind w:left="540" w:firstLine="14"/>
        <w:outlineLvl w:val="0"/>
        <w:rPr>
          <w:rFonts w:ascii="Arial" w:hAnsi="Arial" w:cs="Arial"/>
          <w:sz w:val="24"/>
          <w:szCs w:val="24"/>
          <w:u w:val="single"/>
        </w:rPr>
      </w:pPr>
      <w:r>
        <w:rPr>
          <w:rFonts w:ascii="Arial" w:hAnsi="Arial" w:cs="Arial"/>
          <w:sz w:val="24"/>
          <w:szCs w:val="24"/>
        </w:rPr>
        <w:t>FY 2011 Permitted Recovery</w:t>
      </w:r>
      <w:r w:rsidR="00AD7928">
        <w:rPr>
          <w:rFonts w:ascii="Arial" w:hAnsi="Arial" w:cs="Arial"/>
          <w:sz w:val="24"/>
          <w:szCs w:val="24"/>
        </w:rPr>
        <w:t xml:space="preserve"> </w:t>
      </w:r>
      <w:r w:rsidR="00E91187">
        <w:rPr>
          <w:rFonts w:ascii="Arial" w:hAnsi="Arial" w:cs="Arial"/>
          <w:sz w:val="24"/>
          <w:szCs w:val="24"/>
        </w:rPr>
        <w:t xml:space="preserve">- </w:t>
      </w:r>
      <w:r w:rsidR="00AD7928">
        <w:rPr>
          <w:rFonts w:ascii="Arial" w:hAnsi="Arial" w:cs="Arial"/>
          <w:sz w:val="24"/>
          <w:szCs w:val="24"/>
        </w:rPr>
        <w:t>Note 5</w:t>
      </w:r>
      <w:r w:rsidR="00E91187">
        <w:rPr>
          <w:rFonts w:ascii="Arial" w:hAnsi="Arial" w:cs="Arial"/>
          <w:sz w:val="24"/>
          <w:szCs w:val="24"/>
        </w:rPr>
        <w:t xml:space="preserve"> </w:t>
      </w:r>
      <w:r>
        <w:rPr>
          <w:rFonts w:ascii="Arial" w:hAnsi="Arial" w:cs="Arial"/>
          <w:sz w:val="24"/>
          <w:szCs w:val="24"/>
        </w:rPr>
        <w:t xml:space="preserve">                                     </w:t>
      </w:r>
      <w:r w:rsidR="00EA293B">
        <w:rPr>
          <w:rFonts w:ascii="Arial" w:hAnsi="Arial" w:cs="Arial"/>
          <w:sz w:val="24"/>
          <w:szCs w:val="24"/>
        </w:rPr>
        <w:t xml:space="preserve">  </w:t>
      </w:r>
      <w:r>
        <w:rPr>
          <w:rFonts w:ascii="Arial" w:hAnsi="Arial" w:cs="Arial"/>
          <w:sz w:val="24"/>
          <w:szCs w:val="24"/>
        </w:rPr>
        <w:t xml:space="preserve">   </w:t>
      </w:r>
      <w:r w:rsidRPr="00CB1FDC">
        <w:rPr>
          <w:rFonts w:ascii="Arial" w:hAnsi="Arial" w:cs="Arial"/>
          <w:sz w:val="24"/>
          <w:szCs w:val="24"/>
        </w:rPr>
        <w:t xml:space="preserve"> </w:t>
      </w:r>
      <w:r w:rsidRPr="00326605">
        <w:rPr>
          <w:rFonts w:ascii="Arial" w:hAnsi="Arial" w:cs="Arial"/>
          <w:sz w:val="24"/>
          <w:szCs w:val="24"/>
          <w:u w:val="single"/>
        </w:rPr>
        <w:t xml:space="preserve">  </w:t>
      </w:r>
      <w:r w:rsidRPr="003C45ED">
        <w:rPr>
          <w:rFonts w:ascii="Arial" w:hAnsi="Arial" w:cs="Arial"/>
          <w:sz w:val="24"/>
          <w:szCs w:val="24"/>
          <w:u w:val="single"/>
        </w:rPr>
        <w:t>16,000,000</w:t>
      </w:r>
    </w:p>
    <w:p w:rsidR="004D5F21" w:rsidRDefault="00CB1FDC" w:rsidP="002E5B87">
      <w:pPr>
        <w:tabs>
          <w:tab w:val="left" w:pos="8100"/>
        </w:tabs>
        <w:spacing w:line="360" w:lineRule="atLeast"/>
        <w:ind w:left="540" w:firstLine="14"/>
        <w:outlineLvl w:val="0"/>
        <w:rPr>
          <w:rFonts w:ascii="Arial" w:hAnsi="Arial" w:cs="Arial"/>
          <w:sz w:val="24"/>
          <w:szCs w:val="24"/>
        </w:rPr>
      </w:pPr>
      <w:r>
        <w:rPr>
          <w:rFonts w:ascii="Arial" w:hAnsi="Arial" w:cs="Arial"/>
          <w:sz w:val="24"/>
          <w:szCs w:val="24"/>
        </w:rPr>
        <w:t>Over</w:t>
      </w:r>
      <w:proofErr w:type="gramStart"/>
      <w:r>
        <w:rPr>
          <w:rFonts w:ascii="Arial" w:hAnsi="Arial" w:cs="Arial"/>
          <w:sz w:val="24"/>
          <w:szCs w:val="24"/>
        </w:rPr>
        <w:t>/(</w:t>
      </w:r>
      <w:proofErr w:type="gramEnd"/>
      <w:r>
        <w:rPr>
          <w:rFonts w:ascii="Arial" w:hAnsi="Arial" w:cs="Arial"/>
          <w:sz w:val="24"/>
          <w:szCs w:val="24"/>
        </w:rPr>
        <w:t xml:space="preserve">Under) Collections </w:t>
      </w:r>
      <w:r w:rsidR="00E91187">
        <w:rPr>
          <w:rFonts w:ascii="Arial" w:hAnsi="Arial" w:cs="Arial"/>
          <w:sz w:val="24"/>
          <w:szCs w:val="24"/>
        </w:rPr>
        <w:t xml:space="preserve">- </w:t>
      </w:r>
      <w:r>
        <w:rPr>
          <w:rFonts w:ascii="Arial" w:hAnsi="Arial" w:cs="Arial"/>
          <w:sz w:val="24"/>
          <w:szCs w:val="24"/>
        </w:rPr>
        <w:t xml:space="preserve">Note 6 </w:t>
      </w:r>
      <w:r w:rsidR="004D5F21">
        <w:rPr>
          <w:rFonts w:ascii="Arial" w:hAnsi="Arial" w:cs="Arial"/>
          <w:sz w:val="24"/>
          <w:szCs w:val="24"/>
        </w:rPr>
        <w:t xml:space="preserve">                          </w:t>
      </w:r>
      <w:r w:rsidR="00EA293B">
        <w:rPr>
          <w:rFonts w:ascii="Arial" w:hAnsi="Arial" w:cs="Arial"/>
          <w:sz w:val="24"/>
          <w:szCs w:val="24"/>
        </w:rPr>
        <w:t xml:space="preserve">   </w:t>
      </w:r>
      <w:r w:rsidR="004D5F21">
        <w:rPr>
          <w:rFonts w:ascii="Arial" w:hAnsi="Arial" w:cs="Arial"/>
          <w:sz w:val="24"/>
          <w:szCs w:val="24"/>
        </w:rPr>
        <w:t xml:space="preserve"> </w:t>
      </w:r>
      <w:r w:rsidR="003C4AE5">
        <w:rPr>
          <w:rFonts w:ascii="Arial" w:hAnsi="Arial" w:cs="Arial"/>
          <w:sz w:val="24"/>
          <w:szCs w:val="24"/>
        </w:rPr>
        <w:t xml:space="preserve">                  </w:t>
      </w:r>
      <w:r w:rsidR="004D5F21" w:rsidRPr="00326605">
        <w:rPr>
          <w:rFonts w:ascii="Arial" w:hAnsi="Arial" w:cs="Arial"/>
          <w:sz w:val="24"/>
          <w:szCs w:val="24"/>
          <w:u w:val="double"/>
        </w:rPr>
        <w:t>$</w:t>
      </w:r>
      <w:r w:rsidR="00EA293B">
        <w:rPr>
          <w:rFonts w:ascii="Arial" w:hAnsi="Arial" w:cs="Arial"/>
          <w:sz w:val="24"/>
          <w:szCs w:val="24"/>
          <w:u w:val="double"/>
        </w:rPr>
        <w:t xml:space="preserve"> </w:t>
      </w:r>
      <w:r w:rsidR="004D5F21" w:rsidRPr="00326605">
        <w:rPr>
          <w:rFonts w:ascii="Arial" w:hAnsi="Arial" w:cs="Arial"/>
          <w:sz w:val="24"/>
          <w:szCs w:val="24"/>
          <w:u w:val="double"/>
        </w:rPr>
        <w:t xml:space="preserve"> </w:t>
      </w:r>
      <w:r w:rsidR="00EA293B">
        <w:rPr>
          <w:rFonts w:ascii="Arial" w:hAnsi="Arial" w:cs="Arial"/>
          <w:sz w:val="24"/>
          <w:szCs w:val="24"/>
          <w:u w:val="double"/>
        </w:rPr>
        <w:t xml:space="preserve"> </w:t>
      </w:r>
      <w:r w:rsidR="004D5F21" w:rsidRPr="00326605">
        <w:rPr>
          <w:rFonts w:ascii="Arial" w:hAnsi="Arial" w:cs="Arial"/>
          <w:sz w:val="24"/>
          <w:szCs w:val="24"/>
          <w:u w:val="double"/>
        </w:rPr>
        <w:t xml:space="preserve">  (981,694)</w:t>
      </w:r>
    </w:p>
    <w:p w:rsidR="000B69D7" w:rsidRDefault="00EA293B" w:rsidP="002E5B87">
      <w:pPr>
        <w:spacing w:line="360" w:lineRule="atLeast"/>
        <w:ind w:left="540"/>
        <w:outlineLvl w:val="0"/>
        <w:rPr>
          <w:rFonts w:ascii="Arial" w:hAnsi="Arial" w:cs="Arial"/>
          <w:sz w:val="24"/>
          <w:szCs w:val="24"/>
        </w:rPr>
      </w:pPr>
      <w:r>
        <w:rPr>
          <w:rFonts w:ascii="Arial" w:hAnsi="Arial" w:cs="Arial"/>
          <w:sz w:val="24"/>
          <w:szCs w:val="24"/>
        </w:rPr>
        <w:t xml:space="preserve"> </w:t>
      </w:r>
    </w:p>
    <w:p w:rsidR="00930805" w:rsidRDefault="00930805" w:rsidP="00630E58">
      <w:pPr>
        <w:spacing w:line="360" w:lineRule="atLeast"/>
        <w:outlineLvl w:val="0"/>
        <w:rPr>
          <w:rFonts w:ascii="Arial" w:hAnsi="Arial" w:cs="Arial"/>
          <w:sz w:val="24"/>
          <w:szCs w:val="24"/>
        </w:rPr>
      </w:pPr>
    </w:p>
    <w:p w:rsidR="00A24136" w:rsidRDefault="00A24136" w:rsidP="00930805">
      <w:pPr>
        <w:tabs>
          <w:tab w:val="left" w:pos="0"/>
          <w:tab w:val="left" w:pos="1800"/>
          <w:tab w:val="decimal" w:pos="6300"/>
          <w:tab w:val="decimal" w:pos="8550"/>
          <w:tab w:val="decimal" w:pos="10350"/>
          <w:tab w:val="left" w:pos="10800"/>
        </w:tabs>
        <w:ind w:right="-144" w:firstLine="630"/>
        <w:jc w:val="both"/>
        <w:rPr>
          <w:rFonts w:ascii="Arial" w:hAnsi="Arial" w:cs="Arial"/>
          <w:sz w:val="24"/>
          <w:szCs w:val="24"/>
        </w:rPr>
      </w:pPr>
      <w:r>
        <w:rPr>
          <w:rFonts w:ascii="Arial" w:hAnsi="Arial" w:cs="Arial"/>
          <w:sz w:val="24"/>
          <w:szCs w:val="24"/>
        </w:rPr>
        <w:t xml:space="preserve">* - As reported to the Commission at Docket No. </w:t>
      </w:r>
      <w:proofErr w:type="gramStart"/>
      <w:r>
        <w:rPr>
          <w:rFonts w:ascii="Arial" w:hAnsi="Arial" w:cs="Arial"/>
          <w:sz w:val="24"/>
          <w:szCs w:val="24"/>
        </w:rPr>
        <w:t>R-2012-2286447.</w:t>
      </w:r>
      <w:proofErr w:type="gramEnd"/>
    </w:p>
    <w:p w:rsidR="00A24136" w:rsidRDefault="00A24136" w:rsidP="00930805">
      <w:pPr>
        <w:tabs>
          <w:tab w:val="left" w:pos="0"/>
          <w:tab w:val="left" w:pos="8100"/>
        </w:tabs>
        <w:ind w:firstLine="630"/>
        <w:outlineLvl w:val="0"/>
        <w:rPr>
          <w:rFonts w:ascii="Arial" w:hAnsi="Arial" w:cs="Arial"/>
          <w:sz w:val="24"/>
          <w:szCs w:val="24"/>
        </w:rPr>
      </w:pPr>
    </w:p>
    <w:p w:rsidR="00A24136" w:rsidRDefault="00A24136" w:rsidP="00930805">
      <w:pPr>
        <w:tabs>
          <w:tab w:val="left" w:pos="0"/>
          <w:tab w:val="left" w:pos="8100"/>
        </w:tabs>
        <w:ind w:firstLine="630"/>
        <w:outlineLvl w:val="0"/>
        <w:rPr>
          <w:rFonts w:ascii="Arial" w:hAnsi="Arial" w:cs="Arial"/>
          <w:sz w:val="24"/>
          <w:szCs w:val="24"/>
        </w:rPr>
      </w:pPr>
      <w:r>
        <w:rPr>
          <w:rFonts w:ascii="Arial" w:hAnsi="Arial" w:cs="Arial"/>
          <w:sz w:val="24"/>
          <w:szCs w:val="24"/>
        </w:rPr>
        <w:t>Arithmetic differences are due to rounding.</w:t>
      </w:r>
    </w:p>
    <w:p w:rsidR="00A24136" w:rsidRPr="00D82C3C" w:rsidRDefault="00A24136" w:rsidP="00930805">
      <w:pPr>
        <w:tabs>
          <w:tab w:val="left" w:pos="0"/>
          <w:tab w:val="left" w:pos="8100"/>
        </w:tabs>
        <w:ind w:left="126" w:firstLine="630"/>
        <w:outlineLvl w:val="0"/>
        <w:rPr>
          <w:rFonts w:ascii="Arial" w:hAnsi="Arial" w:cs="Arial"/>
        </w:rPr>
      </w:pPr>
    </w:p>
    <w:p w:rsidR="00A24136" w:rsidRDefault="00A24136" w:rsidP="00930805">
      <w:pPr>
        <w:tabs>
          <w:tab w:val="left" w:pos="0"/>
        </w:tabs>
        <w:ind w:firstLine="630"/>
        <w:outlineLvl w:val="0"/>
        <w:rPr>
          <w:rFonts w:ascii="Arial" w:hAnsi="Arial" w:cs="Arial"/>
          <w:sz w:val="24"/>
          <w:szCs w:val="24"/>
        </w:rPr>
      </w:pPr>
      <w:r w:rsidRPr="007A1DB0">
        <w:rPr>
          <w:rFonts w:ascii="Arial" w:hAnsi="Arial" w:cs="Arial"/>
          <w:sz w:val="24"/>
          <w:szCs w:val="24"/>
        </w:rPr>
        <w:t xml:space="preserve">Notes to the Financial Statements </w:t>
      </w:r>
      <w:bookmarkStart w:id="0" w:name="_GoBack"/>
      <w:bookmarkEnd w:id="0"/>
      <w:r w:rsidRPr="007A1DB0">
        <w:rPr>
          <w:rFonts w:ascii="Arial" w:hAnsi="Arial" w:cs="Arial"/>
          <w:sz w:val="24"/>
          <w:szCs w:val="24"/>
        </w:rPr>
        <w:t>are an integral part of this report.</w:t>
      </w:r>
    </w:p>
    <w:p w:rsidR="00EC58EA" w:rsidRPr="00743107" w:rsidRDefault="00FC3ABB" w:rsidP="0062771A">
      <w:pPr>
        <w:jc w:val="center"/>
        <w:outlineLvl w:val="0"/>
        <w:rPr>
          <w:rFonts w:ascii="Arial" w:hAnsi="Arial" w:cs="Arial"/>
          <w:b/>
          <w:sz w:val="26"/>
          <w:szCs w:val="26"/>
        </w:rPr>
      </w:pPr>
      <w:r w:rsidRPr="00743107">
        <w:rPr>
          <w:rFonts w:ascii="Arial" w:hAnsi="Arial" w:cs="Arial"/>
          <w:b/>
          <w:sz w:val="26"/>
          <w:szCs w:val="26"/>
        </w:rPr>
        <w:lastRenderedPageBreak/>
        <w:t>P</w:t>
      </w:r>
      <w:r w:rsidR="00EC58EA" w:rsidRPr="00743107">
        <w:rPr>
          <w:rFonts w:ascii="Arial" w:hAnsi="Arial" w:cs="Arial"/>
          <w:b/>
          <w:sz w:val="26"/>
          <w:szCs w:val="26"/>
        </w:rPr>
        <w:t>HILADELPHIA GAS WORKS</w:t>
      </w:r>
    </w:p>
    <w:p w:rsidR="00EC58EA" w:rsidRPr="00743107" w:rsidRDefault="00EC58EA">
      <w:pPr>
        <w:rPr>
          <w:rFonts w:ascii="Arial" w:hAnsi="Arial" w:cs="Arial"/>
          <w:b/>
          <w:sz w:val="26"/>
          <w:szCs w:val="26"/>
          <w:u w:val="single"/>
        </w:rPr>
      </w:pPr>
    </w:p>
    <w:p w:rsidR="00EC58EA" w:rsidRPr="00743107" w:rsidRDefault="00EC58EA">
      <w:pPr>
        <w:jc w:val="center"/>
        <w:rPr>
          <w:rFonts w:ascii="Arial" w:hAnsi="Arial" w:cs="Arial"/>
          <w:b/>
          <w:sz w:val="26"/>
          <w:szCs w:val="26"/>
        </w:rPr>
      </w:pPr>
      <w:r w:rsidRPr="00743107">
        <w:rPr>
          <w:rFonts w:ascii="Arial" w:hAnsi="Arial" w:cs="Arial"/>
          <w:b/>
          <w:sz w:val="26"/>
          <w:szCs w:val="26"/>
        </w:rPr>
        <w:t xml:space="preserve">Notes </w:t>
      </w:r>
      <w:r w:rsidR="00795B0B" w:rsidRPr="00743107">
        <w:rPr>
          <w:rFonts w:ascii="Arial" w:hAnsi="Arial" w:cs="Arial"/>
          <w:b/>
          <w:sz w:val="26"/>
          <w:szCs w:val="26"/>
        </w:rPr>
        <w:t>to</w:t>
      </w:r>
      <w:r w:rsidRPr="00743107">
        <w:rPr>
          <w:rFonts w:ascii="Arial" w:hAnsi="Arial" w:cs="Arial"/>
          <w:b/>
          <w:sz w:val="26"/>
          <w:szCs w:val="26"/>
        </w:rPr>
        <w:t xml:space="preserve"> </w:t>
      </w:r>
      <w:r w:rsidR="00795B0B" w:rsidRPr="00743107">
        <w:rPr>
          <w:rFonts w:ascii="Arial" w:hAnsi="Arial" w:cs="Arial"/>
          <w:b/>
          <w:sz w:val="26"/>
          <w:szCs w:val="26"/>
        </w:rPr>
        <w:t>the</w:t>
      </w:r>
      <w:r w:rsidRPr="00743107">
        <w:rPr>
          <w:rFonts w:ascii="Arial" w:hAnsi="Arial" w:cs="Arial"/>
          <w:b/>
          <w:sz w:val="26"/>
          <w:szCs w:val="26"/>
        </w:rPr>
        <w:t xml:space="preserve"> Financial Statements</w:t>
      </w:r>
    </w:p>
    <w:p w:rsidR="00307C90" w:rsidRPr="008B560F" w:rsidRDefault="00307C90" w:rsidP="008B560F">
      <w:pPr>
        <w:rPr>
          <w:rFonts w:ascii="Arial" w:hAnsi="Arial" w:cs="Arial"/>
          <w:b/>
          <w:sz w:val="22"/>
          <w:szCs w:val="26"/>
          <w:u w:val="single"/>
        </w:rPr>
      </w:pPr>
    </w:p>
    <w:p w:rsidR="00280D50" w:rsidRPr="0008323F" w:rsidRDefault="00280D50" w:rsidP="00280D50">
      <w:pPr>
        <w:tabs>
          <w:tab w:val="left" w:pos="360"/>
          <w:tab w:val="left" w:pos="9720"/>
        </w:tabs>
        <w:rPr>
          <w:rFonts w:ascii="Arial" w:hAnsi="Arial" w:cs="Arial"/>
          <w:b/>
          <w:sz w:val="24"/>
          <w:szCs w:val="24"/>
          <w:u w:val="single"/>
        </w:rPr>
      </w:pPr>
      <w:r w:rsidRPr="0008323F">
        <w:rPr>
          <w:rFonts w:ascii="Arial" w:hAnsi="Arial" w:cs="Arial"/>
          <w:b/>
          <w:sz w:val="24"/>
          <w:szCs w:val="24"/>
          <w:u w:val="single"/>
        </w:rPr>
        <w:t>1 – Statements</w:t>
      </w:r>
    </w:p>
    <w:p w:rsidR="00280D50" w:rsidRPr="00F0063C" w:rsidRDefault="00280D50" w:rsidP="00280D50">
      <w:pPr>
        <w:autoSpaceDE w:val="0"/>
        <w:autoSpaceDN w:val="0"/>
        <w:adjustRightInd w:val="0"/>
        <w:ind w:left="450"/>
        <w:rPr>
          <w:rFonts w:ascii="Arial" w:hAnsi="Arial" w:cs="Arial"/>
          <w:sz w:val="18"/>
          <w:szCs w:val="18"/>
        </w:rPr>
      </w:pPr>
    </w:p>
    <w:p w:rsidR="00280D50" w:rsidRDefault="00280D50" w:rsidP="00280D50">
      <w:pPr>
        <w:tabs>
          <w:tab w:val="left" w:pos="0"/>
        </w:tabs>
        <w:ind w:left="360"/>
        <w:rPr>
          <w:rFonts w:ascii="Arial" w:hAnsi="Arial" w:cs="Arial"/>
          <w:sz w:val="24"/>
          <w:szCs w:val="24"/>
        </w:rPr>
      </w:pPr>
      <w:r>
        <w:rPr>
          <w:rFonts w:ascii="Arial" w:hAnsi="Arial" w:cs="Arial"/>
          <w:sz w:val="24"/>
          <w:szCs w:val="24"/>
        </w:rPr>
        <w:t xml:space="preserve">The Statements of </w:t>
      </w:r>
      <w:r w:rsidRPr="00280D50">
        <w:rPr>
          <w:rFonts w:ascii="Arial" w:hAnsi="Arial" w:cs="Arial"/>
          <w:sz w:val="24"/>
          <w:szCs w:val="24"/>
        </w:rPr>
        <w:t xml:space="preserve">Other Post Employment Benefit </w:t>
      </w:r>
      <w:r w:rsidR="00DD2799">
        <w:rPr>
          <w:rFonts w:ascii="Arial" w:hAnsi="Arial" w:cs="Arial"/>
          <w:sz w:val="24"/>
          <w:szCs w:val="24"/>
        </w:rPr>
        <w:t xml:space="preserve">(OPEB) </w:t>
      </w:r>
      <w:r w:rsidRPr="00280D50">
        <w:rPr>
          <w:rFonts w:ascii="Arial" w:hAnsi="Arial" w:cs="Arial"/>
          <w:sz w:val="24"/>
          <w:szCs w:val="24"/>
        </w:rPr>
        <w:t>Surcharge</w:t>
      </w:r>
      <w:r>
        <w:rPr>
          <w:rFonts w:ascii="Arial" w:hAnsi="Arial" w:cs="Arial"/>
          <w:sz w:val="24"/>
          <w:szCs w:val="24"/>
        </w:rPr>
        <w:t xml:space="preserve"> Over</w:t>
      </w:r>
      <w:proofErr w:type="gramStart"/>
      <w:r>
        <w:rPr>
          <w:rFonts w:ascii="Arial" w:hAnsi="Arial" w:cs="Arial"/>
          <w:sz w:val="24"/>
          <w:szCs w:val="24"/>
        </w:rPr>
        <w:t>/(</w:t>
      </w:r>
      <w:proofErr w:type="gramEnd"/>
      <w:r>
        <w:rPr>
          <w:rFonts w:ascii="Arial" w:hAnsi="Arial" w:cs="Arial"/>
          <w:sz w:val="24"/>
          <w:szCs w:val="24"/>
        </w:rPr>
        <w:t xml:space="preserve">Under) Collections audit was conducted on Philadelphia Gas Works’ (PGW or Company) </w:t>
      </w:r>
      <w:r w:rsidRPr="00AC28F0">
        <w:rPr>
          <w:rFonts w:ascii="Arial" w:hAnsi="Arial" w:cs="Arial"/>
          <w:sz w:val="24"/>
          <w:szCs w:val="24"/>
        </w:rPr>
        <w:t xml:space="preserve">officially filed </w:t>
      </w:r>
      <w:r w:rsidRPr="00914928">
        <w:rPr>
          <w:rFonts w:ascii="Arial" w:hAnsi="Arial" w:cs="Arial"/>
          <w:sz w:val="24"/>
          <w:szCs w:val="24"/>
        </w:rPr>
        <w:t xml:space="preserve">1307(f) </w:t>
      </w:r>
      <w:r>
        <w:rPr>
          <w:rFonts w:ascii="Arial" w:hAnsi="Arial" w:cs="Arial"/>
          <w:sz w:val="24"/>
          <w:szCs w:val="24"/>
        </w:rPr>
        <w:t xml:space="preserve">reconciliation </w:t>
      </w:r>
      <w:r w:rsidRPr="00AC28F0">
        <w:rPr>
          <w:rFonts w:ascii="Arial" w:hAnsi="Arial" w:cs="Arial"/>
          <w:sz w:val="24"/>
          <w:szCs w:val="24"/>
        </w:rPr>
        <w:t>statements submitted to the Pennsylvania Public Utility Commission (PUC) in accordance with Section 1307(f)(3) of the Public Utility Code</w:t>
      </w:r>
      <w:r>
        <w:rPr>
          <w:rFonts w:ascii="Arial" w:hAnsi="Arial" w:cs="Arial"/>
          <w:sz w:val="24"/>
          <w:szCs w:val="24"/>
        </w:rPr>
        <w:t xml:space="preserve"> on February 28, 2013 and February 29, 2012 and are available at Docket Nos. </w:t>
      </w:r>
      <w:proofErr w:type="gramStart"/>
      <w:r>
        <w:rPr>
          <w:rFonts w:ascii="Arial" w:hAnsi="Arial" w:cs="Arial"/>
          <w:sz w:val="24"/>
          <w:szCs w:val="24"/>
        </w:rPr>
        <w:t xml:space="preserve">R-2013-2346376 and R-2012-2286447, respectively, via </w:t>
      </w:r>
      <w:hyperlink r:id="rId18" w:history="1">
        <w:r w:rsidRPr="004A2F97">
          <w:rPr>
            <w:rStyle w:val="Hyperlink"/>
            <w:rFonts w:ascii="Arial" w:hAnsi="Arial" w:cs="Arial"/>
            <w:sz w:val="24"/>
            <w:szCs w:val="24"/>
          </w:rPr>
          <w:t>http://www.puc.pa.gov</w:t>
        </w:r>
      </w:hyperlink>
      <w:r>
        <w:rPr>
          <w:rFonts w:ascii="Arial" w:hAnsi="Arial" w:cs="Arial"/>
          <w:sz w:val="24"/>
          <w:szCs w:val="24"/>
        </w:rPr>
        <w:t>.</w:t>
      </w:r>
      <w:proofErr w:type="gramEnd"/>
    </w:p>
    <w:p w:rsidR="00D96B05" w:rsidRPr="00F0063C" w:rsidRDefault="00D96B05" w:rsidP="002501B1">
      <w:pPr>
        <w:spacing w:line="360" w:lineRule="atLeast"/>
        <w:jc w:val="center"/>
        <w:outlineLvl w:val="0"/>
        <w:rPr>
          <w:rFonts w:ascii="Arial" w:hAnsi="Arial" w:cs="Arial"/>
          <w:b/>
          <w:sz w:val="18"/>
          <w:szCs w:val="18"/>
          <w:u w:val="single"/>
        </w:rPr>
      </w:pPr>
    </w:p>
    <w:p w:rsidR="00862D8B" w:rsidRDefault="00862D8B" w:rsidP="00862D8B">
      <w:pPr>
        <w:tabs>
          <w:tab w:val="left" w:pos="360"/>
          <w:tab w:val="left" w:pos="9720"/>
        </w:tabs>
        <w:rPr>
          <w:rFonts w:ascii="Arial" w:hAnsi="Arial" w:cs="Arial"/>
          <w:b/>
          <w:sz w:val="24"/>
          <w:szCs w:val="24"/>
          <w:u w:val="single"/>
        </w:rPr>
      </w:pPr>
      <w:r>
        <w:rPr>
          <w:rFonts w:ascii="Arial" w:hAnsi="Arial" w:cs="Arial"/>
          <w:b/>
          <w:sz w:val="24"/>
          <w:szCs w:val="24"/>
          <w:u w:val="single"/>
        </w:rPr>
        <w:t>2</w:t>
      </w:r>
      <w:r w:rsidRPr="0008323F">
        <w:rPr>
          <w:rFonts w:ascii="Arial" w:hAnsi="Arial" w:cs="Arial"/>
          <w:b/>
          <w:sz w:val="24"/>
          <w:szCs w:val="24"/>
          <w:u w:val="single"/>
        </w:rPr>
        <w:t xml:space="preserve"> – </w:t>
      </w:r>
      <w:r>
        <w:rPr>
          <w:rFonts w:ascii="Arial" w:hAnsi="Arial" w:cs="Arial"/>
          <w:b/>
          <w:sz w:val="24"/>
          <w:szCs w:val="24"/>
          <w:u w:val="single"/>
        </w:rPr>
        <w:t>OPEB Volumes</w:t>
      </w:r>
    </w:p>
    <w:p w:rsidR="00862D8B" w:rsidRPr="00F0063C" w:rsidRDefault="00862D8B" w:rsidP="00862D8B">
      <w:pPr>
        <w:tabs>
          <w:tab w:val="left" w:pos="360"/>
          <w:tab w:val="left" w:pos="9720"/>
        </w:tabs>
        <w:rPr>
          <w:rFonts w:ascii="Arial" w:hAnsi="Arial" w:cs="Arial"/>
          <w:b/>
          <w:sz w:val="18"/>
          <w:szCs w:val="18"/>
          <w:u w:val="single"/>
        </w:rPr>
      </w:pPr>
    </w:p>
    <w:p w:rsidR="00D96B05" w:rsidRPr="00F0063C" w:rsidRDefault="00856879" w:rsidP="00F0063C">
      <w:pPr>
        <w:autoSpaceDE w:val="0"/>
        <w:autoSpaceDN w:val="0"/>
        <w:adjustRightInd w:val="0"/>
        <w:ind w:left="450"/>
        <w:rPr>
          <w:rFonts w:ascii="Arial" w:hAnsi="Arial" w:cs="Arial"/>
          <w:sz w:val="24"/>
          <w:szCs w:val="24"/>
        </w:rPr>
      </w:pPr>
      <w:r>
        <w:rPr>
          <w:rFonts w:ascii="Arial" w:hAnsi="Arial" w:cs="Arial"/>
          <w:sz w:val="24"/>
          <w:szCs w:val="24"/>
        </w:rPr>
        <w:t xml:space="preserve">OPEB Volumes are the </w:t>
      </w:r>
      <w:r w:rsidRPr="00856879">
        <w:rPr>
          <w:rFonts w:ascii="Arial" w:hAnsi="Arial" w:cs="Arial"/>
          <w:sz w:val="24"/>
          <w:szCs w:val="24"/>
        </w:rPr>
        <w:t xml:space="preserve">sales volumes </w:t>
      </w:r>
      <w:r>
        <w:rPr>
          <w:rFonts w:ascii="Arial" w:hAnsi="Arial" w:cs="Arial"/>
          <w:sz w:val="24"/>
          <w:szCs w:val="24"/>
        </w:rPr>
        <w:t>in M</w:t>
      </w:r>
      <w:r w:rsidR="00513E50">
        <w:rPr>
          <w:rFonts w:ascii="Arial" w:hAnsi="Arial" w:cs="Arial"/>
          <w:sz w:val="24"/>
          <w:szCs w:val="24"/>
        </w:rPr>
        <w:t>CF</w:t>
      </w:r>
      <w:r>
        <w:rPr>
          <w:rFonts w:ascii="Arial" w:hAnsi="Arial" w:cs="Arial"/>
          <w:sz w:val="24"/>
          <w:szCs w:val="24"/>
        </w:rPr>
        <w:t xml:space="preserve">s </w:t>
      </w:r>
      <w:r w:rsidRPr="00856879">
        <w:rPr>
          <w:rFonts w:ascii="Arial" w:hAnsi="Arial" w:cs="Arial"/>
          <w:sz w:val="24"/>
          <w:szCs w:val="24"/>
        </w:rPr>
        <w:t>billed during the month</w:t>
      </w:r>
      <w:r>
        <w:rPr>
          <w:rFonts w:ascii="Arial" w:hAnsi="Arial" w:cs="Arial"/>
          <w:sz w:val="24"/>
          <w:szCs w:val="24"/>
        </w:rPr>
        <w:t>.  One M</w:t>
      </w:r>
      <w:r w:rsidR="00513E50">
        <w:rPr>
          <w:rFonts w:ascii="Arial" w:hAnsi="Arial" w:cs="Arial"/>
          <w:sz w:val="24"/>
          <w:szCs w:val="24"/>
        </w:rPr>
        <w:t>CF</w:t>
      </w:r>
      <w:r>
        <w:rPr>
          <w:rFonts w:ascii="Arial" w:hAnsi="Arial" w:cs="Arial"/>
          <w:sz w:val="24"/>
          <w:szCs w:val="24"/>
        </w:rPr>
        <w:t xml:space="preserve"> is equal to </w:t>
      </w:r>
      <w:r w:rsidRPr="00F0063C">
        <w:rPr>
          <w:rFonts w:ascii="Arial" w:hAnsi="Arial" w:cs="Arial"/>
          <w:sz w:val="24"/>
          <w:szCs w:val="24"/>
        </w:rPr>
        <w:t>a thousand cubic feet of natural gas.</w:t>
      </w:r>
    </w:p>
    <w:p w:rsidR="00513E50" w:rsidRPr="00F0063C" w:rsidRDefault="00513E50" w:rsidP="00856879">
      <w:pPr>
        <w:spacing w:line="360" w:lineRule="atLeast"/>
        <w:ind w:left="450"/>
        <w:outlineLvl w:val="0"/>
        <w:rPr>
          <w:rFonts w:ascii="Arial" w:hAnsi="Arial" w:cs="Arial"/>
          <w:color w:val="111111"/>
          <w:sz w:val="18"/>
          <w:szCs w:val="18"/>
        </w:rPr>
      </w:pPr>
    </w:p>
    <w:p w:rsidR="00513E50" w:rsidRDefault="004617B0" w:rsidP="00513E50">
      <w:pPr>
        <w:tabs>
          <w:tab w:val="left" w:pos="360"/>
          <w:tab w:val="left" w:pos="9720"/>
        </w:tabs>
        <w:rPr>
          <w:rFonts w:ascii="Arial" w:hAnsi="Arial" w:cs="Arial"/>
          <w:b/>
          <w:sz w:val="24"/>
          <w:szCs w:val="24"/>
          <w:u w:val="single"/>
        </w:rPr>
      </w:pPr>
      <w:r>
        <w:rPr>
          <w:rFonts w:ascii="Arial" w:hAnsi="Arial" w:cs="Arial"/>
          <w:b/>
          <w:sz w:val="24"/>
          <w:szCs w:val="24"/>
          <w:u w:val="single"/>
        </w:rPr>
        <w:t>3</w:t>
      </w:r>
      <w:r w:rsidR="00513E50" w:rsidRPr="0008323F">
        <w:rPr>
          <w:rFonts w:ascii="Arial" w:hAnsi="Arial" w:cs="Arial"/>
          <w:b/>
          <w:sz w:val="24"/>
          <w:szCs w:val="24"/>
          <w:u w:val="single"/>
        </w:rPr>
        <w:t xml:space="preserve"> – </w:t>
      </w:r>
      <w:r w:rsidR="00513E50">
        <w:rPr>
          <w:rFonts w:ascii="Arial" w:hAnsi="Arial" w:cs="Arial"/>
          <w:b/>
          <w:sz w:val="24"/>
          <w:szCs w:val="24"/>
          <w:u w:val="single"/>
        </w:rPr>
        <w:t>OPEB Surcharge</w:t>
      </w:r>
    </w:p>
    <w:p w:rsidR="00513E50" w:rsidRPr="00F0063C" w:rsidRDefault="00513E50" w:rsidP="00513E50">
      <w:pPr>
        <w:tabs>
          <w:tab w:val="left" w:pos="360"/>
          <w:tab w:val="left" w:pos="9720"/>
        </w:tabs>
        <w:rPr>
          <w:rFonts w:ascii="Arial" w:hAnsi="Arial" w:cs="Arial"/>
          <w:b/>
          <w:sz w:val="18"/>
          <w:szCs w:val="18"/>
          <w:u w:val="single"/>
        </w:rPr>
      </w:pPr>
    </w:p>
    <w:p w:rsidR="00EE1536" w:rsidRDefault="00BF7FEB" w:rsidP="00EE1536">
      <w:pPr>
        <w:autoSpaceDE w:val="0"/>
        <w:autoSpaceDN w:val="0"/>
        <w:adjustRightInd w:val="0"/>
        <w:ind w:left="450"/>
        <w:rPr>
          <w:rFonts w:ascii="Arial" w:hAnsi="Arial" w:cs="Arial"/>
          <w:sz w:val="24"/>
          <w:szCs w:val="24"/>
        </w:rPr>
      </w:pPr>
      <w:r w:rsidRPr="00703C5D">
        <w:rPr>
          <w:rFonts w:ascii="Arial" w:hAnsi="Arial" w:cs="Arial"/>
          <w:sz w:val="24"/>
          <w:szCs w:val="24"/>
        </w:rPr>
        <w:t xml:space="preserve">The </w:t>
      </w:r>
      <w:r>
        <w:rPr>
          <w:rFonts w:ascii="Arial" w:hAnsi="Arial" w:cs="Arial"/>
          <w:sz w:val="24"/>
          <w:szCs w:val="24"/>
        </w:rPr>
        <w:t>OPEB S</w:t>
      </w:r>
      <w:r w:rsidRPr="00703C5D">
        <w:rPr>
          <w:rFonts w:ascii="Arial" w:hAnsi="Arial" w:cs="Arial"/>
          <w:sz w:val="24"/>
          <w:szCs w:val="24"/>
        </w:rPr>
        <w:t xml:space="preserve">urcharge is calculated by dividing the total costs approved for annual recovery </w:t>
      </w:r>
      <w:r w:rsidR="00DA13CC">
        <w:rPr>
          <w:rFonts w:ascii="Arial" w:hAnsi="Arial" w:cs="Arial"/>
          <w:sz w:val="24"/>
          <w:szCs w:val="24"/>
        </w:rPr>
        <w:t xml:space="preserve">(see Note 5) </w:t>
      </w:r>
      <w:r w:rsidRPr="00703C5D">
        <w:rPr>
          <w:rFonts w:ascii="Arial" w:hAnsi="Arial" w:cs="Arial"/>
          <w:sz w:val="24"/>
          <w:szCs w:val="24"/>
        </w:rPr>
        <w:t>by the estimated applicable MCFs of throughput and applied to all firm sales and transportation volumes.</w:t>
      </w:r>
      <w:r>
        <w:rPr>
          <w:rFonts w:ascii="Arial" w:hAnsi="Arial" w:cs="Arial"/>
          <w:sz w:val="24"/>
          <w:szCs w:val="24"/>
        </w:rPr>
        <w:t xml:space="preserve">  </w:t>
      </w:r>
    </w:p>
    <w:p w:rsidR="00EE1536" w:rsidRPr="00F0063C" w:rsidRDefault="00EE1536" w:rsidP="00513E50">
      <w:pPr>
        <w:tabs>
          <w:tab w:val="left" w:pos="360"/>
          <w:tab w:val="left" w:pos="9720"/>
        </w:tabs>
        <w:ind w:left="450"/>
        <w:rPr>
          <w:rFonts w:ascii="Arial" w:hAnsi="Arial" w:cs="Arial"/>
          <w:sz w:val="18"/>
          <w:szCs w:val="18"/>
        </w:rPr>
      </w:pPr>
    </w:p>
    <w:p w:rsidR="00EE1536" w:rsidRDefault="00EE1536" w:rsidP="00EE1536">
      <w:pPr>
        <w:tabs>
          <w:tab w:val="left" w:pos="360"/>
          <w:tab w:val="left" w:pos="9720"/>
        </w:tabs>
        <w:rPr>
          <w:rFonts w:ascii="Arial" w:hAnsi="Arial" w:cs="Arial"/>
          <w:b/>
          <w:sz w:val="24"/>
          <w:szCs w:val="24"/>
          <w:u w:val="single"/>
        </w:rPr>
      </w:pPr>
      <w:r>
        <w:rPr>
          <w:rFonts w:ascii="Arial" w:hAnsi="Arial" w:cs="Arial"/>
          <w:b/>
          <w:sz w:val="24"/>
          <w:szCs w:val="24"/>
          <w:u w:val="single"/>
        </w:rPr>
        <w:t>4</w:t>
      </w:r>
      <w:r w:rsidRPr="0008323F">
        <w:rPr>
          <w:rFonts w:ascii="Arial" w:hAnsi="Arial" w:cs="Arial"/>
          <w:b/>
          <w:sz w:val="24"/>
          <w:szCs w:val="24"/>
          <w:u w:val="single"/>
        </w:rPr>
        <w:t xml:space="preserve"> – </w:t>
      </w:r>
      <w:r>
        <w:rPr>
          <w:rFonts w:ascii="Arial" w:hAnsi="Arial" w:cs="Arial"/>
          <w:b/>
          <w:sz w:val="24"/>
          <w:szCs w:val="24"/>
          <w:u w:val="single"/>
        </w:rPr>
        <w:t>OPEB Revenues</w:t>
      </w:r>
    </w:p>
    <w:p w:rsidR="00EE1536" w:rsidRPr="00F0063C" w:rsidRDefault="00EE1536" w:rsidP="00EE1536">
      <w:pPr>
        <w:tabs>
          <w:tab w:val="left" w:pos="360"/>
          <w:tab w:val="left" w:pos="9720"/>
        </w:tabs>
        <w:rPr>
          <w:rFonts w:ascii="Arial" w:hAnsi="Arial" w:cs="Arial"/>
          <w:b/>
          <w:sz w:val="18"/>
          <w:szCs w:val="18"/>
          <w:u w:val="single"/>
        </w:rPr>
      </w:pPr>
    </w:p>
    <w:p w:rsidR="00EE1536" w:rsidRDefault="00EE1536" w:rsidP="00EE1536">
      <w:pPr>
        <w:autoSpaceDE w:val="0"/>
        <w:autoSpaceDN w:val="0"/>
        <w:adjustRightInd w:val="0"/>
        <w:ind w:left="450"/>
        <w:rPr>
          <w:rFonts w:ascii="Arial" w:hAnsi="Arial" w:cs="Arial"/>
          <w:sz w:val="24"/>
          <w:szCs w:val="24"/>
        </w:rPr>
      </w:pPr>
      <w:r>
        <w:rPr>
          <w:rFonts w:ascii="Arial" w:hAnsi="Arial" w:cs="Arial"/>
          <w:sz w:val="24"/>
          <w:szCs w:val="24"/>
        </w:rPr>
        <w:t>OPEB</w:t>
      </w:r>
      <w:r w:rsidRPr="00F476E3">
        <w:rPr>
          <w:rFonts w:ascii="Arial" w:hAnsi="Arial" w:cs="Arial"/>
          <w:sz w:val="24"/>
          <w:szCs w:val="24"/>
        </w:rPr>
        <w:t xml:space="preserve"> Revenues are derived by multiplying the sales </w:t>
      </w:r>
      <w:r>
        <w:rPr>
          <w:rFonts w:ascii="Arial" w:hAnsi="Arial" w:cs="Arial"/>
          <w:sz w:val="24"/>
          <w:szCs w:val="24"/>
        </w:rPr>
        <w:t xml:space="preserve">volumes </w:t>
      </w:r>
      <w:r w:rsidRPr="00F476E3">
        <w:rPr>
          <w:rFonts w:ascii="Arial" w:hAnsi="Arial" w:cs="Arial"/>
          <w:sz w:val="24"/>
          <w:szCs w:val="24"/>
        </w:rPr>
        <w:t xml:space="preserve">billed during the month by the </w:t>
      </w:r>
      <w:r w:rsidRPr="00E729D3">
        <w:rPr>
          <w:rFonts w:ascii="Arial" w:hAnsi="Arial" w:cs="Arial"/>
          <w:sz w:val="24"/>
          <w:szCs w:val="24"/>
        </w:rPr>
        <w:t xml:space="preserve">applicable </w:t>
      </w:r>
      <w:r>
        <w:rPr>
          <w:rFonts w:ascii="Arial" w:hAnsi="Arial" w:cs="Arial"/>
          <w:sz w:val="24"/>
          <w:szCs w:val="24"/>
        </w:rPr>
        <w:t>OPEB rate</w:t>
      </w:r>
      <w:r w:rsidRPr="00E729D3">
        <w:rPr>
          <w:rFonts w:ascii="Arial" w:hAnsi="Arial" w:cs="Arial"/>
          <w:sz w:val="24"/>
          <w:szCs w:val="24"/>
        </w:rPr>
        <w:t xml:space="preserve">.  </w:t>
      </w:r>
      <w:r>
        <w:rPr>
          <w:rFonts w:ascii="Arial" w:hAnsi="Arial" w:cs="Arial"/>
          <w:sz w:val="24"/>
          <w:szCs w:val="24"/>
        </w:rPr>
        <w:t>The OPEB is applied to each MCF of firm sales</w:t>
      </w:r>
      <w:r w:rsidRPr="00703C5D">
        <w:rPr>
          <w:rFonts w:ascii="Arial" w:hAnsi="Arial" w:cs="Arial"/>
          <w:sz w:val="24"/>
          <w:szCs w:val="24"/>
        </w:rPr>
        <w:t xml:space="preserve"> and transportation volumes</w:t>
      </w:r>
      <w:r>
        <w:rPr>
          <w:rFonts w:ascii="Arial" w:hAnsi="Arial" w:cs="Arial"/>
          <w:sz w:val="24"/>
          <w:szCs w:val="24"/>
        </w:rPr>
        <w:t xml:space="preserve"> with the exception of the Natural Gas Vehicle Service Firm customers</w:t>
      </w:r>
      <w:r w:rsidRPr="00703C5D">
        <w:rPr>
          <w:rFonts w:ascii="Arial" w:hAnsi="Arial" w:cs="Arial"/>
          <w:sz w:val="24"/>
          <w:szCs w:val="24"/>
        </w:rPr>
        <w:t>.</w:t>
      </w:r>
    </w:p>
    <w:p w:rsidR="008C34E1" w:rsidRPr="00F0063C" w:rsidRDefault="008C34E1" w:rsidP="008C34E1">
      <w:pPr>
        <w:tabs>
          <w:tab w:val="left" w:pos="360"/>
          <w:tab w:val="left" w:pos="9720"/>
        </w:tabs>
        <w:ind w:left="450"/>
        <w:rPr>
          <w:rFonts w:ascii="Arial" w:hAnsi="Arial" w:cs="Arial"/>
          <w:sz w:val="18"/>
          <w:szCs w:val="18"/>
        </w:rPr>
      </w:pPr>
    </w:p>
    <w:p w:rsidR="008C34E1" w:rsidRDefault="008C34E1" w:rsidP="008C34E1">
      <w:pPr>
        <w:tabs>
          <w:tab w:val="left" w:pos="360"/>
          <w:tab w:val="left" w:pos="9720"/>
        </w:tabs>
        <w:rPr>
          <w:rFonts w:ascii="Arial" w:hAnsi="Arial" w:cs="Arial"/>
          <w:b/>
          <w:sz w:val="24"/>
          <w:szCs w:val="24"/>
          <w:u w:val="single"/>
        </w:rPr>
      </w:pPr>
      <w:r>
        <w:rPr>
          <w:rFonts w:ascii="Arial" w:hAnsi="Arial" w:cs="Arial"/>
          <w:b/>
          <w:sz w:val="24"/>
          <w:szCs w:val="24"/>
          <w:u w:val="single"/>
        </w:rPr>
        <w:t>5</w:t>
      </w:r>
      <w:r w:rsidRPr="0008323F">
        <w:rPr>
          <w:rFonts w:ascii="Arial" w:hAnsi="Arial" w:cs="Arial"/>
          <w:b/>
          <w:sz w:val="24"/>
          <w:szCs w:val="24"/>
          <w:u w:val="single"/>
        </w:rPr>
        <w:t xml:space="preserve"> – </w:t>
      </w:r>
      <w:r>
        <w:rPr>
          <w:rFonts w:ascii="Arial" w:hAnsi="Arial" w:cs="Arial"/>
          <w:b/>
          <w:sz w:val="24"/>
          <w:szCs w:val="24"/>
          <w:u w:val="single"/>
        </w:rPr>
        <w:t>Permitted Recovery</w:t>
      </w:r>
    </w:p>
    <w:p w:rsidR="008C34E1" w:rsidRPr="00F0063C" w:rsidRDefault="008C34E1" w:rsidP="00EE1536">
      <w:pPr>
        <w:autoSpaceDE w:val="0"/>
        <w:autoSpaceDN w:val="0"/>
        <w:adjustRightInd w:val="0"/>
        <w:ind w:left="450"/>
        <w:rPr>
          <w:rFonts w:ascii="Arial" w:hAnsi="Arial" w:cs="Arial"/>
          <w:sz w:val="18"/>
          <w:szCs w:val="18"/>
        </w:rPr>
      </w:pPr>
    </w:p>
    <w:p w:rsidR="00F67D4A" w:rsidRDefault="00F67D4A" w:rsidP="00EE1536">
      <w:pPr>
        <w:autoSpaceDE w:val="0"/>
        <w:autoSpaceDN w:val="0"/>
        <w:adjustRightInd w:val="0"/>
        <w:ind w:left="450"/>
        <w:rPr>
          <w:rFonts w:ascii="Arial" w:hAnsi="Arial" w:cs="Arial"/>
          <w:sz w:val="24"/>
          <w:szCs w:val="24"/>
        </w:rPr>
      </w:pPr>
      <w:proofErr w:type="gramStart"/>
      <w:r>
        <w:rPr>
          <w:rFonts w:ascii="Arial" w:hAnsi="Arial" w:cs="Arial"/>
          <w:sz w:val="24"/>
          <w:szCs w:val="24"/>
        </w:rPr>
        <w:t xml:space="preserve">On July 29, 2010, </w:t>
      </w:r>
      <w:r w:rsidR="00761CA1">
        <w:rPr>
          <w:rFonts w:ascii="Arial" w:hAnsi="Arial" w:cs="Arial"/>
          <w:sz w:val="24"/>
          <w:szCs w:val="24"/>
        </w:rPr>
        <w:t>at Docket No.</w:t>
      </w:r>
      <w:proofErr w:type="gramEnd"/>
      <w:r w:rsidR="00761CA1">
        <w:rPr>
          <w:rFonts w:ascii="Arial" w:hAnsi="Arial" w:cs="Arial"/>
          <w:sz w:val="24"/>
          <w:szCs w:val="24"/>
        </w:rPr>
        <w:t xml:space="preserve"> R-2009-2139884, the PUC</w:t>
      </w:r>
      <w:r>
        <w:rPr>
          <w:rFonts w:ascii="Arial" w:hAnsi="Arial" w:cs="Arial"/>
          <w:sz w:val="24"/>
          <w:szCs w:val="24"/>
        </w:rPr>
        <w:t xml:space="preserve"> approved the settlement of the base rate filing filed by PGW in December 2009, under which PGW was permitted to maintain virtually all of the $60 million extraordinary rate increase granted by the PUC in 2008 that was effective as of January 1, 2009.  In addition, PGW was allowed to collect an additional $16 million annually </w:t>
      </w:r>
      <w:r w:rsidR="00761CA1">
        <w:rPr>
          <w:rFonts w:ascii="Arial" w:hAnsi="Arial" w:cs="Arial"/>
          <w:sz w:val="24"/>
          <w:szCs w:val="24"/>
        </w:rPr>
        <w:t>to fund OPEB through an adjustment clause.</w:t>
      </w:r>
      <w:r>
        <w:rPr>
          <w:rFonts w:ascii="Arial" w:hAnsi="Arial" w:cs="Arial"/>
          <w:sz w:val="24"/>
          <w:szCs w:val="24"/>
        </w:rPr>
        <w:t xml:space="preserve">  </w:t>
      </w:r>
    </w:p>
    <w:p w:rsidR="0014729C" w:rsidRPr="00F0063C" w:rsidRDefault="0014729C" w:rsidP="00EE1536">
      <w:pPr>
        <w:autoSpaceDE w:val="0"/>
        <w:autoSpaceDN w:val="0"/>
        <w:adjustRightInd w:val="0"/>
        <w:ind w:left="450"/>
        <w:rPr>
          <w:rFonts w:ascii="Arial" w:hAnsi="Arial" w:cs="Arial"/>
          <w:sz w:val="18"/>
          <w:szCs w:val="18"/>
        </w:rPr>
      </w:pPr>
    </w:p>
    <w:p w:rsidR="0014729C" w:rsidRDefault="0014729C" w:rsidP="0014729C">
      <w:pPr>
        <w:tabs>
          <w:tab w:val="left" w:pos="360"/>
          <w:tab w:val="left" w:pos="9720"/>
        </w:tabs>
        <w:rPr>
          <w:rFonts w:ascii="Arial" w:hAnsi="Arial" w:cs="Arial"/>
          <w:b/>
          <w:sz w:val="24"/>
          <w:szCs w:val="24"/>
          <w:u w:val="single"/>
        </w:rPr>
      </w:pPr>
      <w:r>
        <w:rPr>
          <w:rFonts w:ascii="Arial" w:hAnsi="Arial" w:cs="Arial"/>
          <w:b/>
          <w:sz w:val="24"/>
          <w:szCs w:val="24"/>
          <w:u w:val="single"/>
        </w:rPr>
        <w:t>6</w:t>
      </w:r>
      <w:r w:rsidRPr="0008323F">
        <w:rPr>
          <w:rFonts w:ascii="Arial" w:hAnsi="Arial" w:cs="Arial"/>
          <w:b/>
          <w:sz w:val="24"/>
          <w:szCs w:val="24"/>
          <w:u w:val="single"/>
        </w:rPr>
        <w:t xml:space="preserve"> – </w:t>
      </w:r>
      <w:r w:rsidRPr="0014729C">
        <w:rPr>
          <w:rFonts w:ascii="Arial" w:hAnsi="Arial" w:cs="Arial"/>
          <w:b/>
          <w:sz w:val="24"/>
          <w:szCs w:val="24"/>
          <w:u w:val="single"/>
        </w:rPr>
        <w:t>Over</w:t>
      </w:r>
      <w:proofErr w:type="gramStart"/>
      <w:r w:rsidRPr="0014729C">
        <w:rPr>
          <w:rFonts w:ascii="Arial" w:hAnsi="Arial" w:cs="Arial"/>
          <w:b/>
          <w:sz w:val="24"/>
          <w:szCs w:val="24"/>
          <w:u w:val="single"/>
        </w:rPr>
        <w:t>/(</w:t>
      </w:r>
      <w:proofErr w:type="gramEnd"/>
      <w:r w:rsidRPr="0014729C">
        <w:rPr>
          <w:rFonts w:ascii="Arial" w:hAnsi="Arial" w:cs="Arial"/>
          <w:b/>
          <w:sz w:val="24"/>
          <w:szCs w:val="24"/>
          <w:u w:val="single"/>
        </w:rPr>
        <w:t>Under) Collections</w:t>
      </w:r>
    </w:p>
    <w:p w:rsidR="0014729C" w:rsidRPr="00F0063C" w:rsidRDefault="0014729C" w:rsidP="00EE1536">
      <w:pPr>
        <w:autoSpaceDE w:val="0"/>
        <w:autoSpaceDN w:val="0"/>
        <w:adjustRightInd w:val="0"/>
        <w:ind w:left="450"/>
        <w:rPr>
          <w:rFonts w:ascii="Arial" w:hAnsi="Arial" w:cs="Arial"/>
          <w:sz w:val="18"/>
          <w:szCs w:val="18"/>
        </w:rPr>
      </w:pPr>
    </w:p>
    <w:p w:rsidR="00001E25" w:rsidRDefault="003C4AE5" w:rsidP="00FF1243">
      <w:pPr>
        <w:tabs>
          <w:tab w:val="left" w:pos="360"/>
        </w:tabs>
        <w:ind w:left="450"/>
        <w:rPr>
          <w:rFonts w:ascii="Arial" w:hAnsi="Arial" w:cs="Arial"/>
          <w:sz w:val="24"/>
          <w:szCs w:val="24"/>
        </w:rPr>
      </w:pPr>
      <w:r w:rsidRPr="00F1241D">
        <w:rPr>
          <w:rFonts w:ascii="Arial" w:hAnsi="Arial" w:cs="Arial"/>
          <w:sz w:val="24"/>
          <w:szCs w:val="24"/>
        </w:rPr>
        <w:t>The Over</w:t>
      </w:r>
      <w:proofErr w:type="gramStart"/>
      <w:r w:rsidRPr="00F1241D">
        <w:rPr>
          <w:rFonts w:ascii="Arial" w:hAnsi="Arial" w:cs="Arial"/>
          <w:sz w:val="24"/>
          <w:szCs w:val="24"/>
        </w:rPr>
        <w:t>/(</w:t>
      </w:r>
      <w:proofErr w:type="gramEnd"/>
      <w:r w:rsidRPr="00F1241D">
        <w:rPr>
          <w:rFonts w:ascii="Arial" w:hAnsi="Arial" w:cs="Arial"/>
          <w:sz w:val="24"/>
          <w:szCs w:val="24"/>
        </w:rPr>
        <w:t xml:space="preserve">Under) Collections are the differences between the </w:t>
      </w:r>
      <w:r>
        <w:rPr>
          <w:rFonts w:ascii="Arial" w:hAnsi="Arial" w:cs="Arial"/>
          <w:sz w:val="24"/>
          <w:szCs w:val="24"/>
        </w:rPr>
        <w:t>OPEB</w:t>
      </w:r>
      <w:r w:rsidRPr="00F1241D">
        <w:rPr>
          <w:rFonts w:ascii="Arial" w:hAnsi="Arial" w:cs="Arial"/>
          <w:sz w:val="24"/>
          <w:szCs w:val="24"/>
        </w:rPr>
        <w:t xml:space="preserve"> Revenues and the </w:t>
      </w:r>
      <w:r>
        <w:rPr>
          <w:rFonts w:ascii="Arial" w:hAnsi="Arial" w:cs="Arial"/>
          <w:sz w:val="24"/>
          <w:szCs w:val="24"/>
        </w:rPr>
        <w:t>Permitted Recovery</w:t>
      </w:r>
      <w:r w:rsidRPr="00F1241D">
        <w:rPr>
          <w:rFonts w:ascii="Arial" w:hAnsi="Arial" w:cs="Arial"/>
          <w:sz w:val="24"/>
          <w:szCs w:val="24"/>
        </w:rPr>
        <w:t xml:space="preserve">.  The resulting amounts represent the portion of </w:t>
      </w:r>
      <w:r>
        <w:rPr>
          <w:rFonts w:ascii="Arial" w:hAnsi="Arial" w:cs="Arial"/>
          <w:sz w:val="24"/>
          <w:szCs w:val="24"/>
        </w:rPr>
        <w:t>OPEB</w:t>
      </w:r>
      <w:r w:rsidRPr="00F1241D">
        <w:rPr>
          <w:rFonts w:ascii="Arial" w:hAnsi="Arial" w:cs="Arial"/>
          <w:sz w:val="24"/>
          <w:szCs w:val="24"/>
        </w:rPr>
        <w:t xml:space="preserve"> Revenues refundable to or </w:t>
      </w:r>
      <w:r>
        <w:rPr>
          <w:rFonts w:ascii="Arial" w:hAnsi="Arial" w:cs="Arial"/>
          <w:sz w:val="24"/>
          <w:szCs w:val="24"/>
        </w:rPr>
        <w:t>Permitted Recovery</w:t>
      </w:r>
      <w:r w:rsidRPr="00F1241D">
        <w:rPr>
          <w:rFonts w:ascii="Arial" w:hAnsi="Arial" w:cs="Arial"/>
          <w:sz w:val="24"/>
          <w:szCs w:val="24"/>
        </w:rPr>
        <w:t xml:space="preserve"> from customers through subsequent </w:t>
      </w:r>
      <w:r>
        <w:rPr>
          <w:rFonts w:ascii="Arial" w:hAnsi="Arial" w:cs="Arial"/>
          <w:sz w:val="24"/>
          <w:szCs w:val="24"/>
        </w:rPr>
        <w:t>OPEB</w:t>
      </w:r>
      <w:r w:rsidRPr="00F1241D">
        <w:rPr>
          <w:rFonts w:ascii="Arial" w:hAnsi="Arial" w:cs="Arial"/>
          <w:sz w:val="24"/>
          <w:szCs w:val="24"/>
        </w:rPr>
        <w:t xml:space="preserve"> filings.  Interest is not applicable to over or under </w:t>
      </w:r>
      <w:r w:rsidRPr="00113367">
        <w:rPr>
          <w:rFonts w:ascii="Arial" w:hAnsi="Arial" w:cs="Arial"/>
          <w:sz w:val="24"/>
          <w:szCs w:val="24"/>
        </w:rPr>
        <w:t>billed</w:t>
      </w:r>
      <w:r w:rsidR="00F0063C" w:rsidRPr="00F0063C">
        <w:rPr>
          <w:rFonts w:ascii="Arial" w:hAnsi="Arial" w:cs="Arial"/>
          <w:sz w:val="24"/>
          <w:szCs w:val="24"/>
        </w:rPr>
        <w:t xml:space="preserve"> </w:t>
      </w:r>
      <w:r w:rsidR="00F0063C" w:rsidRPr="00F1241D">
        <w:rPr>
          <w:rFonts w:ascii="Arial" w:hAnsi="Arial" w:cs="Arial"/>
          <w:sz w:val="24"/>
          <w:szCs w:val="24"/>
        </w:rPr>
        <w:t xml:space="preserve">collections.  Differences arise </w:t>
      </w:r>
      <w:r w:rsidR="00F0063C">
        <w:rPr>
          <w:rFonts w:ascii="Arial" w:hAnsi="Arial" w:cs="Arial"/>
          <w:sz w:val="24"/>
          <w:szCs w:val="24"/>
        </w:rPr>
        <w:t>due to v</w:t>
      </w:r>
      <w:r w:rsidR="00F0063C" w:rsidRPr="00F476E3">
        <w:rPr>
          <w:rFonts w:ascii="Arial" w:hAnsi="Arial" w:cs="Arial"/>
          <w:sz w:val="24"/>
          <w:szCs w:val="24"/>
        </w:rPr>
        <w:t xml:space="preserve">ariations between the actual </w:t>
      </w:r>
      <w:r w:rsidR="008A2357">
        <w:rPr>
          <w:rFonts w:ascii="Arial" w:hAnsi="Arial" w:cs="Arial"/>
          <w:sz w:val="24"/>
          <w:szCs w:val="24"/>
        </w:rPr>
        <w:t xml:space="preserve">sales </w:t>
      </w:r>
      <w:r w:rsidR="00F0063C" w:rsidRPr="00113367">
        <w:rPr>
          <w:rFonts w:ascii="Arial" w:hAnsi="Arial" w:cs="Arial"/>
          <w:sz w:val="24"/>
          <w:szCs w:val="24"/>
        </w:rPr>
        <w:t>volumes</w:t>
      </w:r>
      <w:r w:rsidRPr="00113367">
        <w:rPr>
          <w:rFonts w:ascii="Arial" w:hAnsi="Arial" w:cs="Arial"/>
          <w:sz w:val="24"/>
          <w:szCs w:val="24"/>
        </w:rPr>
        <w:t xml:space="preserve"> to customers and the estimates used to determine the </w:t>
      </w:r>
      <w:r>
        <w:rPr>
          <w:rFonts w:ascii="Arial" w:hAnsi="Arial" w:cs="Arial"/>
          <w:sz w:val="24"/>
          <w:szCs w:val="24"/>
        </w:rPr>
        <w:t>OPEB</w:t>
      </w:r>
      <w:r w:rsidRPr="00113367">
        <w:rPr>
          <w:rFonts w:ascii="Arial" w:hAnsi="Arial" w:cs="Arial"/>
          <w:sz w:val="24"/>
          <w:szCs w:val="24"/>
        </w:rPr>
        <w:t xml:space="preserve"> rate.</w:t>
      </w:r>
    </w:p>
    <w:p w:rsidR="00F0063C" w:rsidRDefault="00F0063C" w:rsidP="00FF1243">
      <w:pPr>
        <w:tabs>
          <w:tab w:val="left" w:pos="360"/>
        </w:tabs>
        <w:ind w:left="450"/>
        <w:rPr>
          <w:rFonts w:ascii="Arial" w:hAnsi="Arial" w:cs="Arial"/>
          <w:sz w:val="24"/>
          <w:szCs w:val="24"/>
        </w:rPr>
        <w:sectPr w:rsidR="00F0063C" w:rsidSect="00E05616">
          <w:headerReference w:type="even" r:id="rId19"/>
          <w:headerReference w:type="default" r:id="rId20"/>
          <w:footerReference w:type="default" r:id="rId21"/>
          <w:headerReference w:type="first" r:id="rId22"/>
          <w:pgSz w:w="12240" w:h="15840" w:code="1"/>
          <w:pgMar w:top="1440" w:right="1440" w:bottom="1152" w:left="1440" w:header="0" w:footer="720" w:gutter="0"/>
          <w:pgNumType w:fmt="numberInDash" w:start="2"/>
          <w:cols w:space="720"/>
          <w:vAlign w:val="center"/>
          <w:noEndnote/>
        </w:sectPr>
      </w:pPr>
    </w:p>
    <w:p w:rsidR="003C4AE5" w:rsidRDefault="003C4AE5" w:rsidP="00FF1243">
      <w:pPr>
        <w:tabs>
          <w:tab w:val="left" w:pos="360"/>
        </w:tabs>
        <w:ind w:left="450"/>
        <w:rPr>
          <w:rFonts w:ascii="Arial" w:hAnsi="Arial" w:cs="Arial"/>
        </w:rPr>
      </w:pPr>
    </w:p>
    <w:p w:rsidR="00B90891" w:rsidRDefault="00B90891" w:rsidP="00B90891">
      <w:pPr>
        <w:jc w:val="center"/>
        <w:outlineLvl w:val="0"/>
        <w:rPr>
          <w:rFonts w:ascii="Arial" w:hAnsi="Arial" w:cs="Arial"/>
          <w:b/>
          <w:sz w:val="36"/>
          <w:szCs w:val="36"/>
        </w:rPr>
      </w:pPr>
      <w:r>
        <w:rPr>
          <w:rFonts w:ascii="Arial" w:hAnsi="Arial" w:cs="Arial"/>
          <w:b/>
          <w:sz w:val="36"/>
          <w:szCs w:val="36"/>
        </w:rPr>
        <w:t>BACKGROUND</w:t>
      </w:r>
    </w:p>
    <w:p w:rsidR="00B90891" w:rsidRDefault="00B90891" w:rsidP="00B90891">
      <w:pPr>
        <w:jc w:val="center"/>
        <w:outlineLvl w:val="0"/>
        <w:rPr>
          <w:rFonts w:ascii="Arial" w:hAnsi="Arial" w:cs="Arial"/>
          <w:b/>
          <w:sz w:val="36"/>
          <w:szCs w:val="36"/>
        </w:rPr>
      </w:pPr>
    </w:p>
    <w:p w:rsidR="00B90891" w:rsidRDefault="00B90891" w:rsidP="00B90891">
      <w:pPr>
        <w:jc w:val="center"/>
        <w:outlineLvl w:val="0"/>
        <w:rPr>
          <w:rFonts w:ascii="Arial" w:hAnsi="Arial" w:cs="Arial"/>
          <w:b/>
          <w:sz w:val="36"/>
          <w:szCs w:val="36"/>
        </w:rPr>
      </w:pPr>
      <w:r>
        <w:rPr>
          <w:rFonts w:ascii="Arial" w:hAnsi="Arial" w:cs="Arial"/>
          <w:b/>
          <w:sz w:val="36"/>
          <w:szCs w:val="36"/>
        </w:rPr>
        <w:t>AND</w:t>
      </w:r>
    </w:p>
    <w:p w:rsidR="00EE1536" w:rsidRDefault="00EE1536" w:rsidP="00EE1536">
      <w:pPr>
        <w:tabs>
          <w:tab w:val="left" w:pos="360"/>
          <w:tab w:val="left" w:pos="9720"/>
        </w:tabs>
        <w:rPr>
          <w:rFonts w:ascii="Arial" w:hAnsi="Arial" w:cs="Arial"/>
          <w:b/>
          <w:sz w:val="24"/>
          <w:szCs w:val="24"/>
          <w:u w:val="single"/>
        </w:rPr>
      </w:pPr>
    </w:p>
    <w:p w:rsidR="00C122C6" w:rsidRDefault="00C122C6" w:rsidP="00C122C6">
      <w:pPr>
        <w:autoSpaceDE w:val="0"/>
        <w:autoSpaceDN w:val="0"/>
        <w:adjustRightInd w:val="0"/>
        <w:ind w:left="450"/>
        <w:rPr>
          <w:rFonts w:ascii="Arial" w:hAnsi="Arial" w:cs="Arial"/>
          <w:sz w:val="24"/>
          <w:szCs w:val="24"/>
        </w:rPr>
      </w:pP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001E25">
          <w:headerReference w:type="even" r:id="rId23"/>
          <w:headerReference w:type="default" r:id="rId24"/>
          <w:footerReference w:type="default" r:id="rId25"/>
          <w:headerReference w:type="first" r:id="rId26"/>
          <w:pgSz w:w="12240" w:h="15840" w:code="1"/>
          <w:pgMar w:top="1440" w:right="1440" w:bottom="1152" w:left="1440" w:header="0" w:footer="720" w:gutter="0"/>
          <w:pgNumType w:fmt="numberInDash" w:start="2"/>
          <w:cols w:space="720"/>
          <w:vAlign w:val="center"/>
          <w:noEndnote/>
        </w:sectPr>
      </w:pPr>
    </w:p>
    <w:p w:rsidR="00EC58EA" w:rsidRPr="00DC3443" w:rsidRDefault="00EC58EA">
      <w:pPr>
        <w:pStyle w:val="Heading4"/>
        <w:rPr>
          <w:rFonts w:ascii="Arial" w:hAnsi="Arial" w:cs="Arial"/>
          <w:b/>
          <w:sz w:val="26"/>
          <w:szCs w:val="26"/>
          <w:u w:val="none"/>
        </w:rPr>
      </w:pPr>
      <w:r w:rsidRPr="00DC3443">
        <w:rPr>
          <w:rFonts w:ascii="Arial" w:hAnsi="Arial" w:cs="Arial"/>
          <w:b/>
          <w:sz w:val="26"/>
          <w:szCs w:val="26"/>
          <w:u w:val="none"/>
        </w:rPr>
        <w:lastRenderedPageBreak/>
        <w:t>PHILADELPHIA GAS WORKS</w:t>
      </w:r>
    </w:p>
    <w:p w:rsidR="00EC58EA" w:rsidRPr="00DC3443" w:rsidRDefault="00EC58EA">
      <w:pPr>
        <w:rPr>
          <w:rFonts w:ascii="Arial" w:hAnsi="Arial" w:cs="Arial"/>
          <w:sz w:val="26"/>
          <w:szCs w:val="26"/>
        </w:rPr>
      </w:pPr>
    </w:p>
    <w:p w:rsidR="00EC58EA" w:rsidRPr="00DC3443" w:rsidRDefault="00EC58EA">
      <w:pPr>
        <w:pStyle w:val="Heading4"/>
        <w:rPr>
          <w:rFonts w:ascii="Arial" w:hAnsi="Arial" w:cs="Arial"/>
          <w:b/>
          <w:sz w:val="26"/>
          <w:szCs w:val="26"/>
          <w:u w:val="none"/>
        </w:rPr>
      </w:pPr>
      <w:r w:rsidRPr="00DC3443">
        <w:rPr>
          <w:rFonts w:ascii="Arial" w:hAnsi="Arial" w:cs="Arial"/>
          <w:b/>
          <w:sz w:val="26"/>
          <w:szCs w:val="26"/>
          <w:u w:val="none"/>
        </w:rPr>
        <w:t>Background</w:t>
      </w:r>
    </w:p>
    <w:p w:rsidR="00EC58EA" w:rsidRPr="00FA202A" w:rsidRDefault="00EC58EA">
      <w:pPr>
        <w:tabs>
          <w:tab w:val="left" w:pos="-1440"/>
          <w:tab w:val="left" w:pos="-720"/>
          <w:tab w:val="left" w:pos="864"/>
        </w:tabs>
        <w:suppressAutoHyphens/>
        <w:rPr>
          <w:rFonts w:ascii="Arial" w:hAnsi="Arial" w:cs="Arial"/>
          <w:sz w:val="24"/>
          <w:szCs w:val="26"/>
        </w:rPr>
      </w:pPr>
    </w:p>
    <w:p w:rsidR="00EC58EA" w:rsidRPr="00FA202A" w:rsidRDefault="00EC58EA">
      <w:pPr>
        <w:tabs>
          <w:tab w:val="left" w:pos="-1440"/>
          <w:tab w:val="left" w:pos="-720"/>
          <w:tab w:val="left" w:pos="864"/>
        </w:tabs>
        <w:suppressAutoHyphens/>
        <w:rPr>
          <w:rFonts w:ascii="Arial" w:hAnsi="Arial" w:cs="Arial"/>
          <w:sz w:val="24"/>
          <w:szCs w:val="26"/>
        </w:rPr>
      </w:pPr>
    </w:p>
    <w:p w:rsidR="00DC3443" w:rsidRPr="00334404" w:rsidRDefault="00EC58EA" w:rsidP="00DC3443">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00DC3443" w:rsidRPr="00334404">
        <w:rPr>
          <w:rFonts w:ascii="Arial" w:hAnsi="Arial" w:cs="Arial"/>
          <w:sz w:val="24"/>
          <w:szCs w:val="24"/>
        </w:rPr>
        <w:t xml:space="preserve">This background section was developed substantially from </w:t>
      </w:r>
      <w:r w:rsidR="00DC3443">
        <w:rPr>
          <w:rFonts w:ascii="Arial" w:hAnsi="Arial" w:cs="Arial"/>
          <w:sz w:val="24"/>
          <w:szCs w:val="24"/>
        </w:rPr>
        <w:t xml:space="preserve">unaudited </w:t>
      </w:r>
      <w:r w:rsidR="00DC3443" w:rsidRPr="00334404">
        <w:rPr>
          <w:rFonts w:ascii="Arial" w:hAnsi="Arial" w:cs="Arial"/>
          <w:sz w:val="24"/>
          <w:szCs w:val="24"/>
        </w:rPr>
        <w:t>data and documentation made available by PGW and is presented solely for informational purposes.</w:t>
      </w:r>
    </w:p>
    <w:p w:rsidR="00DC3443" w:rsidRPr="00334404" w:rsidRDefault="00DC3443" w:rsidP="00DC3443">
      <w:pPr>
        <w:tabs>
          <w:tab w:val="left" w:pos="-1440"/>
          <w:tab w:val="left" w:pos="-720"/>
          <w:tab w:val="left" w:pos="864"/>
        </w:tabs>
        <w:suppressAutoHyphens/>
        <w:rPr>
          <w:rFonts w:ascii="Arial" w:hAnsi="Arial" w:cs="Arial"/>
          <w:sz w:val="24"/>
          <w:szCs w:val="24"/>
        </w:rPr>
      </w:pPr>
    </w:p>
    <w:p w:rsidR="00DC3443" w:rsidRDefault="00DC3443" w:rsidP="00DC3443">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PGW is owned by the City of Philadelphia (City) and is the largest municipally</w:t>
      </w:r>
      <w:r>
        <w:rPr>
          <w:rFonts w:ascii="Arial" w:hAnsi="Arial" w:cs="Arial"/>
          <w:sz w:val="24"/>
          <w:szCs w:val="24"/>
        </w:rPr>
        <w:noBreakHyphen/>
      </w:r>
      <w:r w:rsidRPr="00334404">
        <w:rPr>
          <w:rFonts w:ascii="Arial" w:hAnsi="Arial" w:cs="Arial"/>
          <w:sz w:val="24"/>
          <w:szCs w:val="24"/>
        </w:rPr>
        <w:t xml:space="preserve">owned gas utility in the nation. </w:t>
      </w:r>
      <w:r>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w:t>
      </w:r>
      <w:r w:rsidR="005718CD">
        <w:rPr>
          <w:rFonts w:ascii="Arial" w:hAnsi="Arial" w:cs="Arial"/>
          <w:sz w:val="24"/>
          <w:szCs w:val="24"/>
        </w:rPr>
        <w:t>for the years</w:t>
      </w:r>
      <w:r>
        <w:rPr>
          <w:rFonts w:ascii="Arial" w:hAnsi="Arial" w:cs="Arial"/>
          <w:sz w:val="24"/>
          <w:szCs w:val="24"/>
        </w:rPr>
        <w:t xml:space="preserve"> 2012 and 2011 PGW’s total sales revenues from residential, commercial, industrial, and public authorities were $</w:t>
      </w:r>
      <w:r w:rsidRPr="00716D2E">
        <w:rPr>
          <w:rFonts w:ascii="Arial" w:hAnsi="Arial" w:cs="Arial"/>
          <w:sz w:val="24"/>
          <w:szCs w:val="24"/>
        </w:rPr>
        <w:t>6</w:t>
      </w:r>
      <w:r>
        <w:rPr>
          <w:rFonts w:ascii="Arial" w:hAnsi="Arial" w:cs="Arial"/>
          <w:sz w:val="24"/>
          <w:szCs w:val="24"/>
        </w:rPr>
        <w:t>05,762,387</w:t>
      </w:r>
      <w:r w:rsidRPr="00716D2E">
        <w:rPr>
          <w:rFonts w:ascii="Arial" w:hAnsi="Arial" w:cs="Arial"/>
          <w:sz w:val="24"/>
          <w:szCs w:val="24"/>
        </w:rPr>
        <w:t xml:space="preserve"> and $</w:t>
      </w:r>
      <w:r>
        <w:rPr>
          <w:rFonts w:ascii="Arial" w:hAnsi="Arial" w:cs="Arial"/>
          <w:sz w:val="24"/>
          <w:szCs w:val="24"/>
        </w:rPr>
        <w:t>673,794,502 respectively.</w:t>
      </w:r>
      <w:r w:rsidRPr="00334404">
        <w:rPr>
          <w:rFonts w:ascii="Arial" w:hAnsi="Arial" w:cs="Arial"/>
          <w:sz w:val="24"/>
          <w:szCs w:val="24"/>
        </w:rPr>
        <w:t xml:space="preserve"> </w:t>
      </w:r>
    </w:p>
    <w:p w:rsidR="00DC3443" w:rsidRDefault="00DC3443" w:rsidP="00DC3443">
      <w:pPr>
        <w:tabs>
          <w:tab w:val="left" w:pos="-1440"/>
          <w:tab w:val="left" w:pos="-720"/>
          <w:tab w:val="left" w:pos="720"/>
        </w:tabs>
        <w:suppressAutoHyphens/>
        <w:rPr>
          <w:rFonts w:ascii="Arial" w:hAnsi="Arial" w:cs="Arial"/>
          <w:sz w:val="24"/>
          <w:szCs w:val="24"/>
        </w:rPr>
      </w:pPr>
    </w:p>
    <w:p w:rsidR="00DC3443" w:rsidRPr="00334404" w:rsidRDefault="00DC3443" w:rsidP="00DC3443">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storage companies. 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DC3443" w:rsidRPr="00334404" w:rsidRDefault="00DC3443" w:rsidP="00DC3443">
      <w:pPr>
        <w:tabs>
          <w:tab w:val="left" w:pos="-1440"/>
          <w:tab w:val="left" w:pos="-720"/>
          <w:tab w:val="left" w:pos="864"/>
        </w:tabs>
        <w:suppressAutoHyphens/>
        <w:rPr>
          <w:rFonts w:ascii="Arial" w:hAnsi="Arial" w:cs="Arial"/>
          <w:sz w:val="24"/>
          <w:szCs w:val="24"/>
        </w:rPr>
      </w:pPr>
    </w:p>
    <w:p w:rsidR="00DC3443" w:rsidRDefault="00DC3443" w:rsidP="00DC3443">
      <w:pPr>
        <w:tabs>
          <w:tab w:val="left" w:pos="-1440"/>
          <w:tab w:val="left" w:pos="-720"/>
          <w:tab w:val="left" w:pos="720"/>
          <w:tab w:val="left" w:pos="864"/>
        </w:tabs>
        <w:suppressAutoHyphens/>
        <w:ind w:firstLine="720"/>
        <w:rPr>
          <w:rFonts w:ascii="Arial" w:hAnsi="Arial" w:cs="Arial"/>
          <w:sz w:val="24"/>
          <w:szCs w:val="24"/>
        </w:rPr>
      </w:pPr>
      <w:r w:rsidRPr="00334404">
        <w:rPr>
          <w:rFonts w:ascii="Arial" w:hAnsi="Arial" w:cs="Arial"/>
          <w:sz w:val="24"/>
          <w:szCs w:val="24"/>
        </w:rPr>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Pr>
          <w:rFonts w:ascii="Arial" w:hAnsi="Arial" w:cs="Arial"/>
          <w:sz w:val="24"/>
          <w:szCs w:val="24"/>
        </w:rPr>
        <w:t xml:space="preserve">  </w:t>
      </w:r>
      <w:r w:rsidRPr="00334404">
        <w:rPr>
          <w:rFonts w:ascii="Arial" w:hAnsi="Arial" w:cs="Arial"/>
          <w:sz w:val="24"/>
          <w:szCs w:val="24"/>
        </w:rPr>
        <w:t xml:space="preserve">Under the Act, notwithstanding any other provision of the Public Utility Code to the contrary, the </w:t>
      </w:r>
      <w:r w:rsidR="00DA31BD">
        <w:rPr>
          <w:rFonts w:ascii="Arial" w:hAnsi="Arial" w:cs="Arial"/>
          <w:sz w:val="24"/>
          <w:szCs w:val="24"/>
        </w:rPr>
        <w:t>PUC</w:t>
      </w:r>
      <w:r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Pr>
          <w:rFonts w:ascii="Arial" w:hAnsi="Arial" w:cs="Arial"/>
          <w:sz w:val="24"/>
          <w:szCs w:val="24"/>
        </w:rPr>
        <w:t xml:space="preserve">  </w:t>
      </w:r>
    </w:p>
    <w:p w:rsidR="00EC58EA" w:rsidRPr="00334404" w:rsidRDefault="00EC58EA" w:rsidP="00845E62">
      <w:pPr>
        <w:tabs>
          <w:tab w:val="left" w:pos="-1440"/>
          <w:tab w:val="left" w:pos="-720"/>
          <w:tab w:val="left" w:pos="720"/>
        </w:tabs>
        <w:suppressAutoHyphens/>
        <w:rPr>
          <w:rFonts w:ascii="Arial" w:hAnsi="Arial" w:cs="Arial"/>
          <w:sz w:val="24"/>
          <w:szCs w:val="24"/>
        </w:rPr>
      </w:pPr>
    </w:p>
    <w:p w:rsidR="00063D32" w:rsidRDefault="00DC3443" w:rsidP="00DC3443">
      <w:pPr>
        <w:autoSpaceDE w:val="0"/>
        <w:autoSpaceDN w:val="0"/>
        <w:adjustRightInd w:val="0"/>
        <w:ind w:firstLine="720"/>
        <w:rPr>
          <w:rFonts w:ascii="Arial" w:hAnsi="Arial" w:cs="Arial"/>
          <w:sz w:val="24"/>
          <w:szCs w:val="24"/>
        </w:rPr>
      </w:pPr>
      <w:proofErr w:type="gramStart"/>
      <w:r>
        <w:rPr>
          <w:rFonts w:ascii="Arial" w:hAnsi="Arial" w:cs="Arial"/>
          <w:sz w:val="24"/>
          <w:szCs w:val="24"/>
        </w:rPr>
        <w:t>On July 29, 2010, at Docket No.</w:t>
      </w:r>
      <w:proofErr w:type="gramEnd"/>
      <w:r>
        <w:rPr>
          <w:rFonts w:ascii="Arial" w:hAnsi="Arial" w:cs="Arial"/>
          <w:sz w:val="24"/>
          <w:szCs w:val="24"/>
        </w:rPr>
        <w:t xml:space="preserve"> R-2009-2139884, the PUC approved the settlement of the base rate filing filed by PGW in December 2009, under which PGW was permitted to maintain virtually all of the $60 million extraordinary rate increase granted by the PUC in 2008 that was effective as of January 1, 2009.  In addition, PGW was allowed to collect an additional $16 million annually to fund OPEB through an adjustment clause.  </w:t>
      </w:r>
      <w:r w:rsidR="00063D32">
        <w:rPr>
          <w:rFonts w:ascii="Arial" w:hAnsi="Arial" w:cs="Arial"/>
          <w:sz w:val="24"/>
          <w:szCs w:val="24"/>
        </w:rPr>
        <w:t xml:space="preserve">PGW is required under the settlement to fund </w:t>
      </w:r>
      <w:r w:rsidR="00C37865">
        <w:rPr>
          <w:rFonts w:ascii="Arial" w:hAnsi="Arial" w:cs="Arial"/>
          <w:sz w:val="24"/>
          <w:szCs w:val="24"/>
        </w:rPr>
        <w:t xml:space="preserve">$18.5 </w:t>
      </w:r>
      <w:r w:rsidR="00063D32">
        <w:rPr>
          <w:rFonts w:ascii="Arial" w:hAnsi="Arial" w:cs="Arial"/>
          <w:sz w:val="24"/>
          <w:szCs w:val="24"/>
        </w:rPr>
        <w:t>annually of its Unfunded Actuarial Accrued Liability (UAAL) in each of the fiscal year</w:t>
      </w:r>
      <w:r w:rsidR="00F97DFE">
        <w:rPr>
          <w:rFonts w:ascii="Arial" w:hAnsi="Arial" w:cs="Arial"/>
          <w:sz w:val="24"/>
          <w:szCs w:val="24"/>
        </w:rPr>
        <w:t>s</w:t>
      </w:r>
      <w:r w:rsidR="00063D32">
        <w:rPr>
          <w:rFonts w:ascii="Arial" w:hAnsi="Arial" w:cs="Arial"/>
          <w:sz w:val="24"/>
          <w:szCs w:val="24"/>
        </w:rPr>
        <w:t xml:space="preserve"> 2011 through 2015.</w:t>
      </w:r>
    </w:p>
    <w:p w:rsidR="001D62E6" w:rsidRDefault="001D62E6" w:rsidP="00063D32">
      <w:pPr>
        <w:autoSpaceDE w:val="0"/>
        <w:autoSpaceDN w:val="0"/>
        <w:adjustRightInd w:val="0"/>
        <w:ind w:left="450"/>
        <w:rPr>
          <w:rFonts w:ascii="Arial" w:hAnsi="Arial" w:cs="Arial"/>
          <w:sz w:val="24"/>
          <w:szCs w:val="24"/>
        </w:rPr>
      </w:pPr>
    </w:p>
    <w:p w:rsidR="001D62E6" w:rsidRDefault="001D62E6" w:rsidP="00063D32">
      <w:pPr>
        <w:autoSpaceDE w:val="0"/>
        <w:autoSpaceDN w:val="0"/>
        <w:adjustRightInd w:val="0"/>
        <w:ind w:left="450"/>
        <w:rPr>
          <w:rFonts w:ascii="Arial" w:hAnsi="Arial" w:cs="Arial"/>
          <w:sz w:val="24"/>
          <w:szCs w:val="24"/>
        </w:rPr>
      </w:pPr>
    </w:p>
    <w:p w:rsidR="0062771A" w:rsidRDefault="0062771A" w:rsidP="0062771A">
      <w:pPr>
        <w:tabs>
          <w:tab w:val="left" w:pos="-1440"/>
          <w:tab w:val="left" w:pos="-720"/>
          <w:tab w:val="left" w:pos="720"/>
          <w:tab w:val="left" w:pos="864"/>
        </w:tabs>
        <w:suppressAutoHyphens/>
        <w:rPr>
          <w:rFonts w:ascii="Arial" w:hAnsi="Arial" w:cs="Arial"/>
          <w:sz w:val="24"/>
          <w:szCs w:val="24"/>
        </w:rPr>
      </w:pPr>
    </w:p>
    <w:p w:rsidR="0063215F" w:rsidRPr="000E33BC" w:rsidRDefault="0062771A" w:rsidP="000E33BC">
      <w:pPr>
        <w:jc w:val="center"/>
        <w:rPr>
          <w:rFonts w:ascii="Arial" w:hAnsi="Arial" w:cs="Arial"/>
          <w:b/>
          <w:sz w:val="26"/>
          <w:szCs w:val="26"/>
        </w:rPr>
      </w:pPr>
      <w:r>
        <w:rPr>
          <w:rFonts w:ascii="Arial" w:hAnsi="Arial" w:cs="Arial"/>
          <w:sz w:val="24"/>
          <w:szCs w:val="24"/>
        </w:rPr>
        <w:br w:type="page"/>
      </w:r>
      <w:r w:rsidR="0063215F" w:rsidRPr="000E33BC">
        <w:rPr>
          <w:rFonts w:ascii="Arial" w:hAnsi="Arial" w:cs="Arial"/>
          <w:b/>
          <w:sz w:val="26"/>
          <w:szCs w:val="26"/>
        </w:rPr>
        <w:lastRenderedPageBreak/>
        <w:t>PHILADELPHIA GAS WORKS</w:t>
      </w:r>
    </w:p>
    <w:p w:rsidR="0063215F" w:rsidRPr="000E33BC" w:rsidRDefault="0063215F" w:rsidP="0063215F">
      <w:pPr>
        <w:rPr>
          <w:rFonts w:ascii="Arial" w:hAnsi="Arial" w:cs="Arial"/>
          <w:sz w:val="26"/>
          <w:szCs w:val="26"/>
        </w:rPr>
      </w:pPr>
    </w:p>
    <w:p w:rsidR="0063215F" w:rsidRPr="000E33BC" w:rsidRDefault="0063215F" w:rsidP="0063215F">
      <w:pPr>
        <w:jc w:val="center"/>
        <w:rPr>
          <w:rFonts w:ascii="Arial" w:hAnsi="Arial" w:cs="Arial"/>
          <w:b/>
          <w:sz w:val="26"/>
          <w:szCs w:val="26"/>
        </w:rPr>
      </w:pPr>
      <w:r w:rsidRPr="000E33BC">
        <w:rPr>
          <w:rFonts w:ascii="Arial" w:hAnsi="Arial" w:cs="Arial"/>
          <w:b/>
          <w:sz w:val="26"/>
          <w:szCs w:val="26"/>
        </w:rPr>
        <w:t xml:space="preserve">Current </w:t>
      </w:r>
      <w:r w:rsidR="00AC30E7">
        <w:rPr>
          <w:rFonts w:ascii="Arial" w:hAnsi="Arial" w:cs="Arial"/>
          <w:b/>
          <w:sz w:val="26"/>
          <w:szCs w:val="26"/>
        </w:rPr>
        <w:t>Period</w:t>
      </w:r>
      <w:r w:rsidRPr="000E33BC">
        <w:rPr>
          <w:rFonts w:ascii="Arial" w:hAnsi="Arial" w:cs="Arial"/>
          <w:b/>
          <w:sz w:val="26"/>
          <w:szCs w:val="26"/>
        </w:rPr>
        <w:t xml:space="preserve"> Audit Finding</w:t>
      </w:r>
    </w:p>
    <w:p w:rsidR="0063215F" w:rsidRDefault="0063215F" w:rsidP="0063215F">
      <w:pPr>
        <w:jc w:val="center"/>
        <w:rPr>
          <w:rFonts w:ascii="Arial" w:hAnsi="Arial" w:cs="Arial"/>
          <w:b/>
          <w:sz w:val="26"/>
          <w:szCs w:val="26"/>
          <w:u w:val="single"/>
        </w:rPr>
      </w:pPr>
    </w:p>
    <w:p w:rsidR="0063215F" w:rsidRDefault="0063215F" w:rsidP="0063215F">
      <w:pPr>
        <w:jc w:val="center"/>
        <w:rPr>
          <w:rFonts w:ascii="Arial" w:hAnsi="Arial" w:cs="Arial"/>
          <w:b/>
          <w:sz w:val="26"/>
          <w:szCs w:val="26"/>
          <w:u w:val="single"/>
        </w:rPr>
      </w:pPr>
    </w:p>
    <w:p w:rsidR="0063215F" w:rsidRDefault="0063215F" w:rsidP="00D43FDB">
      <w:pPr>
        <w:ind w:left="1170" w:hanging="1170"/>
        <w:rPr>
          <w:rFonts w:ascii="Arial" w:hAnsi="Arial" w:cs="Arial"/>
          <w:b/>
          <w:sz w:val="24"/>
          <w:szCs w:val="24"/>
        </w:rPr>
      </w:pPr>
      <w:r>
        <w:rPr>
          <w:rFonts w:ascii="Arial" w:hAnsi="Arial" w:cs="Arial"/>
          <w:b/>
          <w:sz w:val="24"/>
          <w:szCs w:val="24"/>
        </w:rPr>
        <w:t xml:space="preserve">Finding – The Company </w:t>
      </w:r>
      <w:r w:rsidR="00D43FDB">
        <w:rPr>
          <w:rFonts w:ascii="Arial" w:hAnsi="Arial" w:cs="Arial"/>
          <w:b/>
          <w:sz w:val="24"/>
          <w:szCs w:val="24"/>
        </w:rPr>
        <w:t>E</w:t>
      </w:r>
      <w:r>
        <w:rPr>
          <w:rFonts w:ascii="Arial" w:hAnsi="Arial" w:cs="Arial"/>
          <w:b/>
          <w:sz w:val="24"/>
          <w:szCs w:val="24"/>
        </w:rPr>
        <w:t xml:space="preserve">rroneously </w:t>
      </w:r>
      <w:r w:rsidR="00D43FDB">
        <w:rPr>
          <w:rFonts w:ascii="Arial" w:hAnsi="Arial" w:cs="Arial"/>
          <w:b/>
          <w:sz w:val="24"/>
          <w:szCs w:val="24"/>
        </w:rPr>
        <w:t>C</w:t>
      </w:r>
      <w:r>
        <w:rPr>
          <w:rFonts w:ascii="Arial" w:hAnsi="Arial" w:cs="Arial"/>
          <w:b/>
          <w:sz w:val="24"/>
          <w:szCs w:val="24"/>
        </w:rPr>
        <w:t xml:space="preserve">harged the Natural Gas Vehicle (NGVSF) </w:t>
      </w:r>
      <w:r w:rsidR="00D43FDB">
        <w:rPr>
          <w:rFonts w:ascii="Arial" w:hAnsi="Arial" w:cs="Arial"/>
          <w:b/>
          <w:sz w:val="24"/>
          <w:szCs w:val="24"/>
        </w:rPr>
        <w:t>C</w:t>
      </w:r>
      <w:r w:rsidR="007A3EEF">
        <w:rPr>
          <w:rFonts w:ascii="Arial" w:hAnsi="Arial" w:cs="Arial"/>
          <w:b/>
          <w:sz w:val="24"/>
          <w:szCs w:val="24"/>
        </w:rPr>
        <w:t xml:space="preserve">ustomer </w:t>
      </w:r>
      <w:r w:rsidR="00D43FDB">
        <w:rPr>
          <w:rFonts w:ascii="Arial" w:hAnsi="Arial" w:cs="Arial"/>
          <w:b/>
          <w:sz w:val="24"/>
          <w:szCs w:val="24"/>
        </w:rPr>
        <w:t>C</w:t>
      </w:r>
      <w:r>
        <w:rPr>
          <w:rFonts w:ascii="Arial" w:hAnsi="Arial" w:cs="Arial"/>
          <w:b/>
          <w:sz w:val="24"/>
          <w:szCs w:val="24"/>
        </w:rPr>
        <w:t>lass the Other Post Employment Benefit Surcharge.</w:t>
      </w:r>
    </w:p>
    <w:p w:rsidR="0063215F" w:rsidRDefault="0063215F" w:rsidP="0063215F">
      <w:pPr>
        <w:rPr>
          <w:rFonts w:ascii="Arial" w:hAnsi="Arial" w:cs="Arial"/>
          <w:b/>
          <w:sz w:val="24"/>
          <w:szCs w:val="24"/>
          <w:u w:val="single"/>
        </w:rPr>
      </w:pPr>
    </w:p>
    <w:p w:rsidR="002859D1" w:rsidRDefault="002859D1" w:rsidP="0063215F">
      <w:pPr>
        <w:ind w:firstLine="720"/>
        <w:rPr>
          <w:rFonts w:ascii="Arial" w:hAnsi="Arial" w:cs="Arial"/>
          <w:sz w:val="24"/>
          <w:szCs w:val="24"/>
        </w:rPr>
      </w:pPr>
    </w:p>
    <w:p w:rsidR="0063215F" w:rsidRDefault="002859D1" w:rsidP="0063215F">
      <w:pPr>
        <w:ind w:firstLine="720"/>
        <w:rPr>
          <w:rFonts w:ascii="Arial" w:hAnsi="Arial" w:cs="Arial"/>
          <w:sz w:val="24"/>
          <w:szCs w:val="24"/>
        </w:rPr>
      </w:pPr>
      <w:r>
        <w:rPr>
          <w:rFonts w:ascii="Arial" w:hAnsi="Arial" w:cs="Arial"/>
          <w:sz w:val="24"/>
          <w:szCs w:val="24"/>
        </w:rPr>
        <w:t>From September 2010 through May 2011, PGW erroneously charged t</w:t>
      </w:r>
      <w:r w:rsidR="0063215F">
        <w:rPr>
          <w:rFonts w:ascii="Arial" w:hAnsi="Arial" w:cs="Arial"/>
          <w:sz w:val="24"/>
          <w:szCs w:val="24"/>
        </w:rPr>
        <w:t xml:space="preserve">he NGVSF </w:t>
      </w:r>
      <w:r>
        <w:rPr>
          <w:rFonts w:ascii="Arial" w:hAnsi="Arial" w:cs="Arial"/>
          <w:sz w:val="24"/>
          <w:szCs w:val="24"/>
        </w:rPr>
        <w:t>customer</w:t>
      </w:r>
      <w:r w:rsidR="0063215F">
        <w:rPr>
          <w:rFonts w:ascii="Arial" w:hAnsi="Arial" w:cs="Arial"/>
          <w:sz w:val="24"/>
          <w:szCs w:val="24"/>
        </w:rPr>
        <w:t xml:space="preserve"> class </w:t>
      </w:r>
      <w:r>
        <w:rPr>
          <w:rFonts w:ascii="Arial" w:hAnsi="Arial" w:cs="Arial"/>
          <w:sz w:val="24"/>
          <w:szCs w:val="24"/>
        </w:rPr>
        <w:t>t</w:t>
      </w:r>
      <w:r w:rsidR="0063215F">
        <w:rPr>
          <w:rFonts w:ascii="Arial" w:hAnsi="Arial" w:cs="Arial"/>
          <w:sz w:val="24"/>
          <w:szCs w:val="24"/>
        </w:rPr>
        <w:t xml:space="preserve">he OPEB surcharge. </w:t>
      </w:r>
      <w:r>
        <w:rPr>
          <w:rFonts w:ascii="Arial" w:hAnsi="Arial" w:cs="Arial"/>
          <w:sz w:val="24"/>
          <w:szCs w:val="24"/>
        </w:rPr>
        <w:t xml:space="preserve"> </w:t>
      </w:r>
      <w:r w:rsidR="0063215F">
        <w:rPr>
          <w:rFonts w:ascii="Arial" w:hAnsi="Arial" w:cs="Arial"/>
          <w:sz w:val="24"/>
          <w:szCs w:val="24"/>
        </w:rPr>
        <w:t>As a result</w:t>
      </w:r>
      <w:r>
        <w:rPr>
          <w:rFonts w:ascii="Arial" w:hAnsi="Arial" w:cs="Arial"/>
          <w:sz w:val="24"/>
          <w:szCs w:val="24"/>
        </w:rPr>
        <w:t>,</w:t>
      </w:r>
      <w:r w:rsidR="0063215F">
        <w:rPr>
          <w:rFonts w:ascii="Arial" w:hAnsi="Arial" w:cs="Arial"/>
          <w:sz w:val="24"/>
          <w:szCs w:val="24"/>
        </w:rPr>
        <w:t xml:space="preserve"> the NGVSF </w:t>
      </w:r>
      <w:r>
        <w:rPr>
          <w:rFonts w:ascii="Arial" w:hAnsi="Arial" w:cs="Arial"/>
          <w:sz w:val="24"/>
          <w:szCs w:val="24"/>
        </w:rPr>
        <w:t>customer</w:t>
      </w:r>
      <w:r w:rsidR="0063215F">
        <w:rPr>
          <w:rFonts w:ascii="Arial" w:hAnsi="Arial" w:cs="Arial"/>
          <w:sz w:val="24"/>
          <w:szCs w:val="24"/>
        </w:rPr>
        <w:t xml:space="preserve"> class was overcharged approximately $211.  According to PGW’s tariff</w:t>
      </w:r>
      <w:r>
        <w:rPr>
          <w:rFonts w:ascii="Arial" w:hAnsi="Arial" w:cs="Arial"/>
          <w:sz w:val="24"/>
          <w:szCs w:val="24"/>
        </w:rPr>
        <w:t>,</w:t>
      </w:r>
      <w:r w:rsidR="0063215F">
        <w:rPr>
          <w:rFonts w:ascii="Arial" w:hAnsi="Arial" w:cs="Arial"/>
          <w:sz w:val="24"/>
          <w:szCs w:val="24"/>
        </w:rPr>
        <w:t xml:space="preserve"> the NGVSF </w:t>
      </w:r>
      <w:r>
        <w:rPr>
          <w:rFonts w:ascii="Arial" w:hAnsi="Arial" w:cs="Arial"/>
          <w:sz w:val="24"/>
          <w:szCs w:val="24"/>
        </w:rPr>
        <w:t>customer</w:t>
      </w:r>
      <w:r w:rsidR="0063215F">
        <w:rPr>
          <w:rFonts w:ascii="Arial" w:hAnsi="Arial" w:cs="Arial"/>
          <w:sz w:val="24"/>
          <w:szCs w:val="24"/>
        </w:rPr>
        <w:t xml:space="preserve"> class applicable surcharges are </w:t>
      </w:r>
      <w:r w:rsidR="004F4DC1">
        <w:rPr>
          <w:rFonts w:ascii="Arial" w:hAnsi="Arial" w:cs="Arial"/>
          <w:sz w:val="24"/>
          <w:szCs w:val="24"/>
        </w:rPr>
        <w:t xml:space="preserve">limited to </w:t>
      </w:r>
      <w:r w:rsidR="0063215F">
        <w:rPr>
          <w:rFonts w:ascii="Arial" w:hAnsi="Arial" w:cs="Arial"/>
          <w:sz w:val="24"/>
          <w:szCs w:val="24"/>
        </w:rPr>
        <w:t>the Universal Service and Energy Conservation Surcharge</w:t>
      </w:r>
      <w:r w:rsidR="00F727C7">
        <w:rPr>
          <w:rFonts w:ascii="Arial" w:hAnsi="Arial" w:cs="Arial"/>
          <w:sz w:val="24"/>
          <w:szCs w:val="24"/>
        </w:rPr>
        <w:t>,</w:t>
      </w:r>
      <w:r w:rsidR="0063215F">
        <w:rPr>
          <w:rFonts w:ascii="Arial" w:hAnsi="Arial" w:cs="Arial"/>
          <w:sz w:val="24"/>
          <w:szCs w:val="24"/>
        </w:rPr>
        <w:t xml:space="preserve"> and the Restructuring and Consumer Education Surcharge.  </w:t>
      </w:r>
    </w:p>
    <w:p w:rsidR="002859D1" w:rsidRDefault="002859D1" w:rsidP="0063215F">
      <w:pPr>
        <w:ind w:firstLine="720"/>
        <w:rPr>
          <w:rFonts w:ascii="Arial" w:hAnsi="Arial" w:cs="Arial"/>
          <w:sz w:val="24"/>
          <w:szCs w:val="24"/>
        </w:rPr>
      </w:pPr>
    </w:p>
    <w:p w:rsidR="0063215F" w:rsidRDefault="0063215F" w:rsidP="0063215F">
      <w:pPr>
        <w:rPr>
          <w:rFonts w:ascii="Arial" w:hAnsi="Arial" w:cs="Arial"/>
          <w:b/>
          <w:sz w:val="24"/>
          <w:szCs w:val="24"/>
          <w:u w:val="single"/>
        </w:rPr>
      </w:pPr>
      <w:r>
        <w:rPr>
          <w:rFonts w:ascii="Arial" w:hAnsi="Arial" w:cs="Arial"/>
          <w:b/>
          <w:sz w:val="24"/>
          <w:szCs w:val="24"/>
        </w:rPr>
        <w:t>Recommendation</w:t>
      </w:r>
    </w:p>
    <w:p w:rsidR="0063215F" w:rsidRPr="002859D1" w:rsidRDefault="0063215F" w:rsidP="0063215F">
      <w:pPr>
        <w:rPr>
          <w:rFonts w:ascii="Arial" w:hAnsi="Arial" w:cs="Arial"/>
          <w:sz w:val="24"/>
          <w:szCs w:val="24"/>
        </w:rPr>
      </w:pPr>
    </w:p>
    <w:p w:rsidR="0063215F" w:rsidRPr="002859D1" w:rsidRDefault="0063215F" w:rsidP="006E0162">
      <w:pPr>
        <w:tabs>
          <w:tab w:val="left" w:pos="720"/>
          <w:tab w:val="left" w:pos="1170"/>
          <w:tab w:val="decimal" w:pos="6120"/>
          <w:tab w:val="decimal" w:pos="7560"/>
        </w:tabs>
        <w:ind w:firstLine="720"/>
        <w:rPr>
          <w:rFonts w:ascii="Arial" w:hAnsi="Arial" w:cs="Arial"/>
          <w:sz w:val="24"/>
          <w:szCs w:val="24"/>
        </w:rPr>
      </w:pPr>
      <w:r>
        <w:rPr>
          <w:rFonts w:ascii="Arial" w:hAnsi="Arial" w:cs="Arial"/>
          <w:sz w:val="24"/>
          <w:szCs w:val="24"/>
        </w:rPr>
        <w:t>We recommended that PG</w:t>
      </w:r>
      <w:r w:rsidR="002859D1">
        <w:rPr>
          <w:rFonts w:ascii="Arial" w:hAnsi="Arial" w:cs="Arial"/>
          <w:sz w:val="24"/>
          <w:szCs w:val="24"/>
        </w:rPr>
        <w:t>W</w:t>
      </w:r>
      <w:r>
        <w:rPr>
          <w:rFonts w:ascii="Arial" w:hAnsi="Arial" w:cs="Arial"/>
          <w:sz w:val="24"/>
          <w:szCs w:val="24"/>
        </w:rPr>
        <w:t xml:space="preserve"> refund </w:t>
      </w:r>
      <w:r w:rsidR="002859D1">
        <w:rPr>
          <w:rFonts w:ascii="Arial" w:hAnsi="Arial" w:cs="Arial"/>
          <w:sz w:val="24"/>
          <w:szCs w:val="24"/>
        </w:rPr>
        <w:t xml:space="preserve">$211 to </w:t>
      </w:r>
      <w:r>
        <w:rPr>
          <w:rFonts w:ascii="Arial" w:hAnsi="Arial" w:cs="Arial"/>
          <w:sz w:val="24"/>
          <w:szCs w:val="24"/>
        </w:rPr>
        <w:t xml:space="preserve">the </w:t>
      </w:r>
      <w:r w:rsidR="002859D1">
        <w:rPr>
          <w:rFonts w:ascii="Arial" w:hAnsi="Arial" w:cs="Arial"/>
          <w:sz w:val="24"/>
          <w:szCs w:val="24"/>
        </w:rPr>
        <w:t xml:space="preserve">NGVSF </w:t>
      </w:r>
      <w:r>
        <w:rPr>
          <w:rFonts w:ascii="Arial" w:hAnsi="Arial" w:cs="Arial"/>
          <w:sz w:val="24"/>
          <w:szCs w:val="24"/>
        </w:rPr>
        <w:t xml:space="preserve">customer </w:t>
      </w:r>
      <w:r w:rsidR="002859D1">
        <w:rPr>
          <w:rFonts w:ascii="Arial" w:hAnsi="Arial" w:cs="Arial"/>
          <w:sz w:val="24"/>
          <w:szCs w:val="24"/>
        </w:rPr>
        <w:t xml:space="preserve">class </w:t>
      </w:r>
      <w:r w:rsidR="002859D1" w:rsidRPr="002859D1">
        <w:rPr>
          <w:rFonts w:ascii="Arial" w:hAnsi="Arial" w:cs="Arial"/>
          <w:sz w:val="24"/>
          <w:szCs w:val="24"/>
        </w:rPr>
        <w:t>in a subsequent OPEB Rate filing.</w:t>
      </w:r>
      <w:r>
        <w:rPr>
          <w:rFonts w:ascii="Arial" w:hAnsi="Arial" w:cs="Arial"/>
          <w:sz w:val="24"/>
          <w:szCs w:val="24"/>
        </w:rPr>
        <w:t xml:space="preserve">  We also recommend that the </w:t>
      </w:r>
      <w:r w:rsidRPr="002859D1">
        <w:rPr>
          <w:rFonts w:ascii="Arial" w:hAnsi="Arial" w:cs="Arial"/>
          <w:sz w:val="24"/>
          <w:szCs w:val="24"/>
        </w:rPr>
        <w:t>Company review and monitor their rate implement</w:t>
      </w:r>
      <w:r w:rsidR="00D82C57">
        <w:rPr>
          <w:rFonts w:ascii="Arial" w:hAnsi="Arial" w:cs="Arial"/>
          <w:sz w:val="24"/>
          <w:szCs w:val="24"/>
        </w:rPr>
        <w:t>ation system to ensure each customer</w:t>
      </w:r>
      <w:r w:rsidRPr="002859D1">
        <w:rPr>
          <w:rFonts w:ascii="Arial" w:hAnsi="Arial" w:cs="Arial"/>
          <w:sz w:val="24"/>
          <w:szCs w:val="24"/>
        </w:rPr>
        <w:t xml:space="preserve"> class is properly charged.</w:t>
      </w:r>
    </w:p>
    <w:p w:rsidR="0063215F" w:rsidRDefault="0063215F" w:rsidP="0063215F">
      <w:pPr>
        <w:rPr>
          <w:rFonts w:ascii="Arial" w:hAnsi="Arial" w:cs="Arial"/>
          <w:b/>
          <w:sz w:val="24"/>
          <w:szCs w:val="24"/>
          <w:u w:val="single"/>
        </w:rPr>
      </w:pPr>
    </w:p>
    <w:p w:rsidR="0063215F" w:rsidRPr="0063215F" w:rsidRDefault="0063215F" w:rsidP="0063215F">
      <w:pPr>
        <w:tabs>
          <w:tab w:val="left" w:pos="4500"/>
          <w:tab w:val="center" w:pos="4680"/>
        </w:tabs>
        <w:suppressAutoHyphens/>
        <w:outlineLvl w:val="0"/>
        <w:rPr>
          <w:rFonts w:ascii="Arial" w:hAnsi="Arial" w:cs="Arial"/>
          <w:b/>
          <w:sz w:val="24"/>
          <w:szCs w:val="24"/>
        </w:rPr>
      </w:pPr>
      <w:r w:rsidRPr="0063215F">
        <w:rPr>
          <w:rFonts w:ascii="Arial" w:hAnsi="Arial" w:cs="Arial"/>
          <w:b/>
          <w:sz w:val="24"/>
          <w:szCs w:val="24"/>
        </w:rPr>
        <w:t>Auditor’s Note</w:t>
      </w:r>
    </w:p>
    <w:p w:rsidR="0063215F" w:rsidRPr="0063215F" w:rsidRDefault="0063215F" w:rsidP="0063215F">
      <w:pPr>
        <w:rPr>
          <w:rFonts w:ascii="Arial" w:hAnsi="Arial" w:cs="Arial"/>
          <w:sz w:val="24"/>
          <w:szCs w:val="24"/>
        </w:rPr>
      </w:pPr>
    </w:p>
    <w:p w:rsidR="0063215F" w:rsidRPr="0063215F" w:rsidRDefault="006E0162" w:rsidP="0063215F">
      <w:pPr>
        <w:ind w:firstLine="720"/>
        <w:rPr>
          <w:rFonts w:ascii="Times New Roman" w:hAnsi="Times New Roman"/>
          <w:sz w:val="28"/>
          <w:szCs w:val="28"/>
        </w:rPr>
      </w:pPr>
      <w:r>
        <w:rPr>
          <w:rFonts w:ascii="Arial" w:hAnsi="Arial" w:cs="Arial"/>
          <w:sz w:val="24"/>
          <w:szCs w:val="24"/>
        </w:rPr>
        <w:t>The Company</w:t>
      </w:r>
      <w:r w:rsidR="0063215F" w:rsidRPr="0063215F">
        <w:rPr>
          <w:rFonts w:ascii="Arial" w:hAnsi="Arial" w:cs="Arial"/>
          <w:sz w:val="24"/>
          <w:szCs w:val="24"/>
        </w:rPr>
        <w:t xml:space="preserve"> agree</w:t>
      </w:r>
      <w:r w:rsidR="00090CD2">
        <w:rPr>
          <w:rFonts w:ascii="Arial" w:hAnsi="Arial" w:cs="Arial"/>
          <w:sz w:val="24"/>
          <w:szCs w:val="24"/>
        </w:rPr>
        <w:t>d</w:t>
      </w:r>
      <w:r w:rsidR="0063215F" w:rsidRPr="0063215F">
        <w:rPr>
          <w:rFonts w:ascii="Arial" w:hAnsi="Arial" w:cs="Arial"/>
          <w:sz w:val="24"/>
          <w:szCs w:val="24"/>
        </w:rPr>
        <w:t xml:space="preserve"> with the </w:t>
      </w:r>
      <w:r>
        <w:rPr>
          <w:rFonts w:ascii="Arial" w:hAnsi="Arial" w:cs="Arial"/>
          <w:sz w:val="24"/>
          <w:szCs w:val="24"/>
        </w:rPr>
        <w:t>recommendation</w:t>
      </w:r>
      <w:r w:rsidR="004056A7">
        <w:rPr>
          <w:rFonts w:ascii="Arial" w:hAnsi="Arial" w:cs="Arial"/>
          <w:sz w:val="24"/>
          <w:szCs w:val="24"/>
        </w:rPr>
        <w:t xml:space="preserve"> and</w:t>
      </w:r>
      <w:r w:rsidR="00090CD2">
        <w:rPr>
          <w:rFonts w:ascii="Arial" w:hAnsi="Arial" w:cs="Arial"/>
          <w:sz w:val="24"/>
          <w:szCs w:val="24"/>
        </w:rPr>
        <w:t xml:space="preserve"> made a billing adjustment to the NGVSF customer class in August 2014.</w:t>
      </w:r>
    </w:p>
    <w:p w:rsidR="0063215F" w:rsidRDefault="0063215F" w:rsidP="0063215F">
      <w:pPr>
        <w:rPr>
          <w:rFonts w:ascii="Arial" w:hAnsi="Arial" w:cs="Arial"/>
          <w:b/>
          <w:sz w:val="28"/>
          <w:szCs w:val="28"/>
          <w:u w:val="single"/>
        </w:rPr>
      </w:pPr>
    </w:p>
    <w:p w:rsidR="0063215F" w:rsidRDefault="0063215F" w:rsidP="0063215F">
      <w:pPr>
        <w:rPr>
          <w:rFonts w:ascii="Arial" w:hAnsi="Arial" w:cs="Arial"/>
          <w:b/>
          <w:sz w:val="28"/>
          <w:szCs w:val="28"/>
          <w:u w:val="single"/>
        </w:rPr>
      </w:pPr>
      <w:r>
        <w:rPr>
          <w:rFonts w:ascii="Arial" w:hAnsi="Arial" w:cs="Arial"/>
          <w:b/>
          <w:sz w:val="28"/>
          <w:szCs w:val="28"/>
          <w:u w:val="single"/>
        </w:rPr>
        <w:br w:type="page"/>
      </w:r>
    </w:p>
    <w:p w:rsidR="00E8554B" w:rsidRDefault="00E8554B" w:rsidP="00455750">
      <w:pPr>
        <w:jc w:val="center"/>
        <w:rPr>
          <w:rFonts w:ascii="Arial" w:hAnsi="Arial" w:cs="Arial"/>
          <w:b/>
          <w:sz w:val="26"/>
          <w:szCs w:val="26"/>
        </w:rPr>
      </w:pPr>
      <w:r w:rsidRPr="000E33BC">
        <w:rPr>
          <w:rFonts w:ascii="Arial" w:hAnsi="Arial" w:cs="Arial"/>
          <w:b/>
          <w:sz w:val="26"/>
          <w:szCs w:val="26"/>
        </w:rPr>
        <w:lastRenderedPageBreak/>
        <w:t>PHILADELPHIA GAS WORKS</w:t>
      </w:r>
      <w:r w:rsidRPr="0003739F">
        <w:rPr>
          <w:rFonts w:ascii="Arial" w:hAnsi="Arial" w:cs="Arial"/>
          <w:b/>
          <w:sz w:val="26"/>
          <w:szCs w:val="26"/>
        </w:rPr>
        <w:t xml:space="preserve"> </w:t>
      </w:r>
    </w:p>
    <w:p w:rsidR="00E8554B" w:rsidRDefault="00E8554B" w:rsidP="00455750">
      <w:pPr>
        <w:jc w:val="center"/>
        <w:rPr>
          <w:rFonts w:ascii="Arial" w:hAnsi="Arial" w:cs="Arial"/>
          <w:b/>
          <w:sz w:val="26"/>
          <w:szCs w:val="26"/>
        </w:rPr>
      </w:pPr>
    </w:p>
    <w:p w:rsidR="00EC58EA" w:rsidRPr="0003739F" w:rsidRDefault="00F83825" w:rsidP="00455750">
      <w:pPr>
        <w:jc w:val="center"/>
        <w:rPr>
          <w:rFonts w:ascii="Arial" w:hAnsi="Arial" w:cs="Arial"/>
          <w:sz w:val="26"/>
          <w:szCs w:val="26"/>
        </w:rPr>
      </w:pPr>
      <w:r w:rsidRPr="0003739F">
        <w:rPr>
          <w:rFonts w:ascii="Arial" w:hAnsi="Arial" w:cs="Arial"/>
          <w:b/>
          <w:sz w:val="26"/>
          <w:szCs w:val="26"/>
        </w:rPr>
        <w:t>A</w:t>
      </w:r>
      <w:r w:rsidR="00E8554B" w:rsidRPr="0003739F">
        <w:rPr>
          <w:rFonts w:ascii="Arial" w:hAnsi="Arial" w:cs="Arial"/>
          <w:b/>
          <w:sz w:val="26"/>
          <w:szCs w:val="26"/>
        </w:rPr>
        <w:t>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0003739F" w:rsidRPr="00E32D70">
        <w:rPr>
          <w:rFonts w:ascii="Arial" w:hAnsi="Arial" w:cs="Arial"/>
          <w:sz w:val="24"/>
          <w:szCs w:val="24"/>
        </w:rPr>
        <w:t xml:space="preserve">We wish to express our appreciation to the officers and staff of Philadelphia Gas Works for the cooperation and assistance given </w:t>
      </w:r>
      <w:r w:rsidR="0003739F">
        <w:rPr>
          <w:rFonts w:ascii="Arial" w:hAnsi="Arial" w:cs="Arial"/>
          <w:sz w:val="24"/>
          <w:szCs w:val="24"/>
        </w:rPr>
        <w:t xml:space="preserve">to </w:t>
      </w:r>
      <w:r w:rsidR="0003739F" w:rsidRPr="00E32D70">
        <w:rPr>
          <w:rFonts w:ascii="Arial" w:hAnsi="Arial" w:cs="Arial"/>
          <w:sz w:val="24"/>
          <w:szCs w:val="24"/>
        </w:rPr>
        <w:t xml:space="preserve">us during the course of our examination.  The audit was conducted by </w:t>
      </w:r>
      <w:r w:rsidR="0003739F">
        <w:rPr>
          <w:rFonts w:ascii="Arial" w:hAnsi="Arial" w:cs="Arial"/>
          <w:sz w:val="24"/>
          <w:szCs w:val="24"/>
        </w:rPr>
        <w:t xml:space="preserve">Katrina S. </w:t>
      </w:r>
      <w:r w:rsidR="0003739F">
        <w:rPr>
          <w:rFonts w:ascii="Arial" w:hAnsi="Arial" w:cs="Arial"/>
          <w:sz w:val="24"/>
          <w:szCs w:val="24"/>
        </w:rPr>
        <w:tab/>
        <w:t>Johnson,</w:t>
      </w:r>
      <w:r w:rsidR="0003739F" w:rsidRPr="00E32D70">
        <w:rPr>
          <w:rFonts w:ascii="Arial" w:hAnsi="Arial" w:cs="Arial"/>
          <w:sz w:val="24"/>
          <w:szCs w:val="24"/>
        </w:rPr>
        <w:t xml:space="preserve"> assisted by </w:t>
      </w:r>
      <w:r w:rsidR="0003739F">
        <w:rPr>
          <w:rFonts w:ascii="Arial" w:hAnsi="Arial" w:cs="Arial"/>
          <w:sz w:val="24"/>
          <w:szCs w:val="24"/>
        </w:rPr>
        <w:t>Darrell Baxter</w:t>
      </w:r>
      <w:r w:rsidR="0003739F" w:rsidRPr="00E32D70">
        <w:rPr>
          <w:rFonts w:ascii="Arial" w:hAnsi="Arial" w:cs="Arial"/>
          <w:sz w:val="24"/>
          <w:szCs w:val="24"/>
        </w:rPr>
        <w:t>.</w:t>
      </w:r>
    </w:p>
    <w:sectPr w:rsidR="00EC58EA" w:rsidRPr="00E32D70" w:rsidSect="0084418D">
      <w:headerReference w:type="even" r:id="rId27"/>
      <w:headerReference w:type="default" r:id="rId28"/>
      <w:footerReference w:type="default" r:id="rId29"/>
      <w:headerReference w:type="first" r:id="rId30"/>
      <w:pgSz w:w="12240" w:h="15840" w:code="1"/>
      <w:pgMar w:top="1440" w:right="1440" w:bottom="1440" w:left="1440" w:header="0" w:footer="720" w:gutter="0"/>
      <w:pgNumType w:fmt="numberInDash"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13" w:rsidRDefault="00DE0813">
      <w:r>
        <w:separator/>
      </w:r>
    </w:p>
  </w:endnote>
  <w:endnote w:type="continuationSeparator" w:id="0">
    <w:p w:rsidR="00DE0813" w:rsidRDefault="00DE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42928" w:rsidRDefault="00E94EB1"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001E25" w:rsidRDefault="00E94EB1" w:rsidP="00001E25">
    <w:pPr>
      <w:pStyle w:val="Footer"/>
      <w:jc w:val="center"/>
      <w:rPr>
        <w:rFonts w:ascii="Arial" w:hAnsi="Arial" w:cs="Arial"/>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15293"/>
      <w:docPartObj>
        <w:docPartGallery w:val="Page Numbers (Bottom of Page)"/>
        <w:docPartUnique/>
      </w:docPartObj>
    </w:sdtPr>
    <w:sdtEndPr>
      <w:rPr>
        <w:rFonts w:ascii="Arial" w:hAnsi="Arial" w:cs="Arial"/>
        <w:noProof/>
        <w:sz w:val="24"/>
      </w:rPr>
    </w:sdtEndPr>
    <w:sdtContent>
      <w:p w:rsidR="00001E25" w:rsidRPr="00001E25" w:rsidRDefault="00001E25" w:rsidP="00001E25">
        <w:pPr>
          <w:pStyle w:val="Footer"/>
          <w:jc w:val="center"/>
          <w:rPr>
            <w:rFonts w:ascii="Arial" w:hAnsi="Arial" w:cs="Arial"/>
            <w:sz w:val="24"/>
          </w:rPr>
        </w:pPr>
        <w:r w:rsidRPr="00001E25">
          <w:rPr>
            <w:rFonts w:ascii="Arial" w:hAnsi="Arial" w:cs="Arial"/>
            <w:sz w:val="24"/>
          </w:rPr>
          <w:fldChar w:fldCharType="begin"/>
        </w:r>
        <w:r w:rsidRPr="00001E25">
          <w:rPr>
            <w:rFonts w:ascii="Arial" w:hAnsi="Arial" w:cs="Arial"/>
            <w:sz w:val="24"/>
          </w:rPr>
          <w:instrText xml:space="preserve"> PAGE   \* MERGEFORMAT </w:instrText>
        </w:r>
        <w:r w:rsidRPr="00001E25">
          <w:rPr>
            <w:rFonts w:ascii="Arial" w:hAnsi="Arial" w:cs="Arial"/>
            <w:sz w:val="24"/>
          </w:rPr>
          <w:fldChar w:fldCharType="separate"/>
        </w:r>
        <w:r w:rsidR="00E05616">
          <w:rPr>
            <w:rFonts w:ascii="Arial" w:hAnsi="Arial" w:cs="Arial"/>
            <w:noProof/>
            <w:sz w:val="24"/>
          </w:rPr>
          <w:t>- 2 -</w:t>
        </w:r>
        <w:r w:rsidRPr="00001E25">
          <w:rPr>
            <w:rFonts w:ascii="Arial" w:hAnsi="Arial" w:cs="Arial"/>
            <w:noProof/>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25" w:rsidRPr="00001E25" w:rsidRDefault="00001E25" w:rsidP="00001E25">
    <w:pPr>
      <w:pStyle w:val="Footer"/>
      <w:jc w:val="center"/>
      <w:rPr>
        <w:rFonts w:ascii="Arial" w:hAnsi="Arial" w:cs="Arial"/>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053270"/>
      <w:docPartObj>
        <w:docPartGallery w:val="Page Numbers (Bottom of Page)"/>
        <w:docPartUnique/>
      </w:docPartObj>
    </w:sdtPr>
    <w:sdtEndPr>
      <w:rPr>
        <w:noProof/>
      </w:rPr>
    </w:sdtEndPr>
    <w:sdtContent>
      <w:p w:rsidR="00E94EB1" w:rsidRPr="0062771A" w:rsidRDefault="0062771A" w:rsidP="0062771A">
        <w:pPr>
          <w:pStyle w:val="Footer"/>
          <w:jc w:val="center"/>
        </w:pPr>
        <w:r w:rsidRPr="0062771A">
          <w:rPr>
            <w:rFonts w:ascii="Arial" w:hAnsi="Arial" w:cs="Arial"/>
            <w:sz w:val="24"/>
          </w:rPr>
          <w:fldChar w:fldCharType="begin"/>
        </w:r>
        <w:r w:rsidRPr="0062771A">
          <w:rPr>
            <w:rFonts w:ascii="Arial" w:hAnsi="Arial" w:cs="Arial"/>
            <w:sz w:val="24"/>
          </w:rPr>
          <w:instrText xml:space="preserve"> PAGE   \* MERGEFORMAT </w:instrText>
        </w:r>
        <w:r w:rsidRPr="0062771A">
          <w:rPr>
            <w:rFonts w:ascii="Arial" w:hAnsi="Arial" w:cs="Arial"/>
            <w:sz w:val="24"/>
          </w:rPr>
          <w:fldChar w:fldCharType="separate"/>
        </w:r>
        <w:r w:rsidR="00E05616">
          <w:rPr>
            <w:rFonts w:ascii="Arial" w:hAnsi="Arial" w:cs="Arial"/>
            <w:noProof/>
            <w:sz w:val="24"/>
          </w:rPr>
          <w:t>- 5 -</w:t>
        </w:r>
        <w:r w:rsidRPr="0062771A">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13" w:rsidRDefault="00DE0813">
      <w:r>
        <w:rPr>
          <w:sz w:val="24"/>
        </w:rPr>
        <w:separator/>
      </w:r>
    </w:p>
  </w:footnote>
  <w:footnote w:type="continuationSeparator" w:id="0">
    <w:p w:rsidR="00DE0813" w:rsidRDefault="00DE0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AD" w:rsidRDefault="006D7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1DDF1EE4"/>
    <w:multiLevelType w:val="hybridMultilevel"/>
    <w:tmpl w:val="B68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1E25"/>
    <w:rsid w:val="00002F04"/>
    <w:rsid w:val="00002FF0"/>
    <w:rsid w:val="00005470"/>
    <w:rsid w:val="000100B9"/>
    <w:rsid w:val="00021EFF"/>
    <w:rsid w:val="00022744"/>
    <w:rsid w:val="00025404"/>
    <w:rsid w:val="00025FA2"/>
    <w:rsid w:val="00026C48"/>
    <w:rsid w:val="00031148"/>
    <w:rsid w:val="00033E1E"/>
    <w:rsid w:val="00036C3E"/>
    <w:rsid w:val="0003739F"/>
    <w:rsid w:val="00051545"/>
    <w:rsid w:val="000558CF"/>
    <w:rsid w:val="000570CF"/>
    <w:rsid w:val="00057300"/>
    <w:rsid w:val="00057A59"/>
    <w:rsid w:val="00062389"/>
    <w:rsid w:val="0006368F"/>
    <w:rsid w:val="00063D32"/>
    <w:rsid w:val="00067375"/>
    <w:rsid w:val="000712BC"/>
    <w:rsid w:val="00071ED0"/>
    <w:rsid w:val="000722FD"/>
    <w:rsid w:val="00083CAB"/>
    <w:rsid w:val="000903D2"/>
    <w:rsid w:val="00090CD2"/>
    <w:rsid w:val="00091A69"/>
    <w:rsid w:val="00091E93"/>
    <w:rsid w:val="00094E55"/>
    <w:rsid w:val="000A44C8"/>
    <w:rsid w:val="000A55CF"/>
    <w:rsid w:val="000B0649"/>
    <w:rsid w:val="000B49E7"/>
    <w:rsid w:val="000B69D7"/>
    <w:rsid w:val="000C016A"/>
    <w:rsid w:val="000C1514"/>
    <w:rsid w:val="000C2895"/>
    <w:rsid w:val="000E15A9"/>
    <w:rsid w:val="000E1C5D"/>
    <w:rsid w:val="000E33BC"/>
    <w:rsid w:val="000E5C7D"/>
    <w:rsid w:val="000E64EC"/>
    <w:rsid w:val="000E6C1C"/>
    <w:rsid w:val="000F4465"/>
    <w:rsid w:val="000F4ADE"/>
    <w:rsid w:val="000F634D"/>
    <w:rsid w:val="000F751C"/>
    <w:rsid w:val="00102368"/>
    <w:rsid w:val="00104683"/>
    <w:rsid w:val="00110C1C"/>
    <w:rsid w:val="00116332"/>
    <w:rsid w:val="00127F65"/>
    <w:rsid w:val="00133F0E"/>
    <w:rsid w:val="00137EAD"/>
    <w:rsid w:val="001437AB"/>
    <w:rsid w:val="0014729C"/>
    <w:rsid w:val="00153537"/>
    <w:rsid w:val="00157BF3"/>
    <w:rsid w:val="00164EBA"/>
    <w:rsid w:val="0016795A"/>
    <w:rsid w:val="00170780"/>
    <w:rsid w:val="00171631"/>
    <w:rsid w:val="00171F95"/>
    <w:rsid w:val="0017282F"/>
    <w:rsid w:val="00172C33"/>
    <w:rsid w:val="00180B59"/>
    <w:rsid w:val="001812A9"/>
    <w:rsid w:val="00181737"/>
    <w:rsid w:val="00183D20"/>
    <w:rsid w:val="001849D4"/>
    <w:rsid w:val="0018653D"/>
    <w:rsid w:val="001866A8"/>
    <w:rsid w:val="0018674E"/>
    <w:rsid w:val="00191D62"/>
    <w:rsid w:val="001A278B"/>
    <w:rsid w:val="001A59C0"/>
    <w:rsid w:val="001B3725"/>
    <w:rsid w:val="001B39E8"/>
    <w:rsid w:val="001B5F87"/>
    <w:rsid w:val="001C0358"/>
    <w:rsid w:val="001D3B81"/>
    <w:rsid w:val="001D3E87"/>
    <w:rsid w:val="001D4C6C"/>
    <w:rsid w:val="001D62E6"/>
    <w:rsid w:val="00200CCA"/>
    <w:rsid w:val="00206446"/>
    <w:rsid w:val="00206E69"/>
    <w:rsid w:val="00207628"/>
    <w:rsid w:val="002130B0"/>
    <w:rsid w:val="00220DDF"/>
    <w:rsid w:val="00222A8E"/>
    <w:rsid w:val="00224CC5"/>
    <w:rsid w:val="002269C6"/>
    <w:rsid w:val="00226EB2"/>
    <w:rsid w:val="00233371"/>
    <w:rsid w:val="0023415B"/>
    <w:rsid w:val="0023542C"/>
    <w:rsid w:val="00235734"/>
    <w:rsid w:val="00236ED8"/>
    <w:rsid w:val="002419C4"/>
    <w:rsid w:val="0024348A"/>
    <w:rsid w:val="002501B1"/>
    <w:rsid w:val="00250D09"/>
    <w:rsid w:val="0025277C"/>
    <w:rsid w:val="002627D0"/>
    <w:rsid w:val="00265970"/>
    <w:rsid w:val="00266297"/>
    <w:rsid w:val="00266671"/>
    <w:rsid w:val="00270689"/>
    <w:rsid w:val="00270F72"/>
    <w:rsid w:val="002774E4"/>
    <w:rsid w:val="00280D50"/>
    <w:rsid w:val="002817DE"/>
    <w:rsid w:val="002859D1"/>
    <w:rsid w:val="00290DDE"/>
    <w:rsid w:val="00296431"/>
    <w:rsid w:val="00297C11"/>
    <w:rsid w:val="002A6835"/>
    <w:rsid w:val="002B30A8"/>
    <w:rsid w:val="002C2982"/>
    <w:rsid w:val="002C5184"/>
    <w:rsid w:val="002C5E34"/>
    <w:rsid w:val="002D745E"/>
    <w:rsid w:val="002E5B87"/>
    <w:rsid w:val="002F152F"/>
    <w:rsid w:val="002F270D"/>
    <w:rsid w:val="002F32F1"/>
    <w:rsid w:val="002F7950"/>
    <w:rsid w:val="003001D6"/>
    <w:rsid w:val="00302A26"/>
    <w:rsid w:val="00303FBF"/>
    <w:rsid w:val="00305D3D"/>
    <w:rsid w:val="00307C90"/>
    <w:rsid w:val="00311436"/>
    <w:rsid w:val="00312758"/>
    <w:rsid w:val="00315A4E"/>
    <w:rsid w:val="00320203"/>
    <w:rsid w:val="00321942"/>
    <w:rsid w:val="00324623"/>
    <w:rsid w:val="003248EB"/>
    <w:rsid w:val="00326605"/>
    <w:rsid w:val="003316B7"/>
    <w:rsid w:val="00331A92"/>
    <w:rsid w:val="0033437E"/>
    <w:rsid w:val="00334404"/>
    <w:rsid w:val="00340ED4"/>
    <w:rsid w:val="00354948"/>
    <w:rsid w:val="00356486"/>
    <w:rsid w:val="00366D2F"/>
    <w:rsid w:val="00367491"/>
    <w:rsid w:val="00367F28"/>
    <w:rsid w:val="00367FCE"/>
    <w:rsid w:val="00371DDC"/>
    <w:rsid w:val="00373D2A"/>
    <w:rsid w:val="00374FB6"/>
    <w:rsid w:val="00376DD6"/>
    <w:rsid w:val="003778B1"/>
    <w:rsid w:val="00382903"/>
    <w:rsid w:val="00391485"/>
    <w:rsid w:val="00392BBB"/>
    <w:rsid w:val="003A1A2D"/>
    <w:rsid w:val="003A2BEF"/>
    <w:rsid w:val="003B293D"/>
    <w:rsid w:val="003B3A72"/>
    <w:rsid w:val="003C45ED"/>
    <w:rsid w:val="003C4AE5"/>
    <w:rsid w:val="003D1DB6"/>
    <w:rsid w:val="003E29DF"/>
    <w:rsid w:val="003F0CF2"/>
    <w:rsid w:val="00400894"/>
    <w:rsid w:val="004017BA"/>
    <w:rsid w:val="00405669"/>
    <w:rsid w:val="004056A7"/>
    <w:rsid w:val="0041125E"/>
    <w:rsid w:val="00411B9D"/>
    <w:rsid w:val="004227E7"/>
    <w:rsid w:val="00424006"/>
    <w:rsid w:val="0042485D"/>
    <w:rsid w:val="0042580B"/>
    <w:rsid w:val="00426EB2"/>
    <w:rsid w:val="0044633C"/>
    <w:rsid w:val="00454826"/>
    <w:rsid w:val="00455750"/>
    <w:rsid w:val="00457A99"/>
    <w:rsid w:val="004617B0"/>
    <w:rsid w:val="00461FDF"/>
    <w:rsid w:val="004648D9"/>
    <w:rsid w:val="00464EF5"/>
    <w:rsid w:val="00466A44"/>
    <w:rsid w:val="00466B83"/>
    <w:rsid w:val="0047343E"/>
    <w:rsid w:val="004813E8"/>
    <w:rsid w:val="0048234E"/>
    <w:rsid w:val="00482951"/>
    <w:rsid w:val="00492035"/>
    <w:rsid w:val="00492D5F"/>
    <w:rsid w:val="0049713D"/>
    <w:rsid w:val="004A4DAD"/>
    <w:rsid w:val="004B5DDA"/>
    <w:rsid w:val="004C0E81"/>
    <w:rsid w:val="004C4343"/>
    <w:rsid w:val="004C5477"/>
    <w:rsid w:val="004D3CD9"/>
    <w:rsid w:val="004D5F21"/>
    <w:rsid w:val="004E2B6F"/>
    <w:rsid w:val="004E3A19"/>
    <w:rsid w:val="004E3EBA"/>
    <w:rsid w:val="004E6441"/>
    <w:rsid w:val="004F0994"/>
    <w:rsid w:val="004F0C6B"/>
    <w:rsid w:val="004F0EA6"/>
    <w:rsid w:val="004F2DA6"/>
    <w:rsid w:val="004F4DC1"/>
    <w:rsid w:val="004F61AE"/>
    <w:rsid w:val="00501B3A"/>
    <w:rsid w:val="0050371C"/>
    <w:rsid w:val="00503C64"/>
    <w:rsid w:val="00505159"/>
    <w:rsid w:val="00507913"/>
    <w:rsid w:val="00512547"/>
    <w:rsid w:val="00513E50"/>
    <w:rsid w:val="00514F0C"/>
    <w:rsid w:val="00515E7E"/>
    <w:rsid w:val="0052043C"/>
    <w:rsid w:val="00522C2C"/>
    <w:rsid w:val="005251D1"/>
    <w:rsid w:val="00534447"/>
    <w:rsid w:val="00545E73"/>
    <w:rsid w:val="00551057"/>
    <w:rsid w:val="005528AB"/>
    <w:rsid w:val="0055766F"/>
    <w:rsid w:val="00561B65"/>
    <w:rsid w:val="00564BCD"/>
    <w:rsid w:val="00565D6E"/>
    <w:rsid w:val="0057099A"/>
    <w:rsid w:val="005712C8"/>
    <w:rsid w:val="005718CD"/>
    <w:rsid w:val="00573E3C"/>
    <w:rsid w:val="0057434B"/>
    <w:rsid w:val="0057453E"/>
    <w:rsid w:val="00581625"/>
    <w:rsid w:val="00582AEC"/>
    <w:rsid w:val="0058468E"/>
    <w:rsid w:val="00587E8F"/>
    <w:rsid w:val="00590ABA"/>
    <w:rsid w:val="00591D89"/>
    <w:rsid w:val="0059597A"/>
    <w:rsid w:val="00595D6C"/>
    <w:rsid w:val="005A25FD"/>
    <w:rsid w:val="005A4DB0"/>
    <w:rsid w:val="005A5B75"/>
    <w:rsid w:val="005A7165"/>
    <w:rsid w:val="005B393C"/>
    <w:rsid w:val="005B4421"/>
    <w:rsid w:val="005B6D2B"/>
    <w:rsid w:val="005C018D"/>
    <w:rsid w:val="005C2241"/>
    <w:rsid w:val="005D2455"/>
    <w:rsid w:val="005D3B56"/>
    <w:rsid w:val="005D564B"/>
    <w:rsid w:val="005F34A4"/>
    <w:rsid w:val="005F4E5C"/>
    <w:rsid w:val="00601992"/>
    <w:rsid w:val="00604FFF"/>
    <w:rsid w:val="00605255"/>
    <w:rsid w:val="00605422"/>
    <w:rsid w:val="006054CF"/>
    <w:rsid w:val="00607556"/>
    <w:rsid w:val="00613660"/>
    <w:rsid w:val="006145D6"/>
    <w:rsid w:val="00625757"/>
    <w:rsid w:val="0062771A"/>
    <w:rsid w:val="00630E58"/>
    <w:rsid w:val="0063215F"/>
    <w:rsid w:val="00644E22"/>
    <w:rsid w:val="00652451"/>
    <w:rsid w:val="00661779"/>
    <w:rsid w:val="00665440"/>
    <w:rsid w:val="00665D8C"/>
    <w:rsid w:val="00665E24"/>
    <w:rsid w:val="006723D0"/>
    <w:rsid w:val="006752A3"/>
    <w:rsid w:val="0067538F"/>
    <w:rsid w:val="00680899"/>
    <w:rsid w:val="006951CC"/>
    <w:rsid w:val="00697026"/>
    <w:rsid w:val="006978C6"/>
    <w:rsid w:val="006A3954"/>
    <w:rsid w:val="006A64D0"/>
    <w:rsid w:val="006A6AD0"/>
    <w:rsid w:val="006B34AF"/>
    <w:rsid w:val="006C2D70"/>
    <w:rsid w:val="006C2E1D"/>
    <w:rsid w:val="006C52FA"/>
    <w:rsid w:val="006C53F8"/>
    <w:rsid w:val="006C740F"/>
    <w:rsid w:val="006C7425"/>
    <w:rsid w:val="006D20E2"/>
    <w:rsid w:val="006D5702"/>
    <w:rsid w:val="006D7AAD"/>
    <w:rsid w:val="006E0162"/>
    <w:rsid w:val="006E11CC"/>
    <w:rsid w:val="006E2ED6"/>
    <w:rsid w:val="006E58D2"/>
    <w:rsid w:val="006E7147"/>
    <w:rsid w:val="006F314C"/>
    <w:rsid w:val="006F7320"/>
    <w:rsid w:val="006F798A"/>
    <w:rsid w:val="00702560"/>
    <w:rsid w:val="00703C5D"/>
    <w:rsid w:val="00707305"/>
    <w:rsid w:val="00713E0A"/>
    <w:rsid w:val="00715E3E"/>
    <w:rsid w:val="0072072A"/>
    <w:rsid w:val="007228A8"/>
    <w:rsid w:val="00725DD0"/>
    <w:rsid w:val="00731171"/>
    <w:rsid w:val="0073324A"/>
    <w:rsid w:val="00733821"/>
    <w:rsid w:val="00743107"/>
    <w:rsid w:val="007445B8"/>
    <w:rsid w:val="00757B53"/>
    <w:rsid w:val="007611E0"/>
    <w:rsid w:val="00761CA1"/>
    <w:rsid w:val="007621ED"/>
    <w:rsid w:val="0076402F"/>
    <w:rsid w:val="00766003"/>
    <w:rsid w:val="00766447"/>
    <w:rsid w:val="00767552"/>
    <w:rsid w:val="0076760B"/>
    <w:rsid w:val="00770840"/>
    <w:rsid w:val="007708E8"/>
    <w:rsid w:val="0077232C"/>
    <w:rsid w:val="00781CE3"/>
    <w:rsid w:val="00784D7F"/>
    <w:rsid w:val="00787426"/>
    <w:rsid w:val="007906E6"/>
    <w:rsid w:val="00794DEB"/>
    <w:rsid w:val="00795B0B"/>
    <w:rsid w:val="007A14D7"/>
    <w:rsid w:val="007A1DB0"/>
    <w:rsid w:val="007A3806"/>
    <w:rsid w:val="007A3EEF"/>
    <w:rsid w:val="007A6B2A"/>
    <w:rsid w:val="007A793D"/>
    <w:rsid w:val="007A7FB4"/>
    <w:rsid w:val="007B6CE7"/>
    <w:rsid w:val="007C5FC1"/>
    <w:rsid w:val="007C71D9"/>
    <w:rsid w:val="007D0FD1"/>
    <w:rsid w:val="007D4B55"/>
    <w:rsid w:val="007D5B2E"/>
    <w:rsid w:val="007E0EFD"/>
    <w:rsid w:val="007E3C85"/>
    <w:rsid w:val="007E72F2"/>
    <w:rsid w:val="007E7D51"/>
    <w:rsid w:val="007F22F9"/>
    <w:rsid w:val="007F242D"/>
    <w:rsid w:val="007F6BB4"/>
    <w:rsid w:val="008000BD"/>
    <w:rsid w:val="00800B17"/>
    <w:rsid w:val="008123E9"/>
    <w:rsid w:val="00813736"/>
    <w:rsid w:val="00822271"/>
    <w:rsid w:val="008241C6"/>
    <w:rsid w:val="00824C36"/>
    <w:rsid w:val="0082666F"/>
    <w:rsid w:val="00827A4B"/>
    <w:rsid w:val="00827B39"/>
    <w:rsid w:val="00827E0A"/>
    <w:rsid w:val="00833633"/>
    <w:rsid w:val="0083596D"/>
    <w:rsid w:val="0084418D"/>
    <w:rsid w:val="00845E62"/>
    <w:rsid w:val="008502C5"/>
    <w:rsid w:val="00851274"/>
    <w:rsid w:val="00856879"/>
    <w:rsid w:val="0086087D"/>
    <w:rsid w:val="0086109A"/>
    <w:rsid w:val="00861B71"/>
    <w:rsid w:val="00862D8B"/>
    <w:rsid w:val="00864390"/>
    <w:rsid w:val="00865874"/>
    <w:rsid w:val="00873305"/>
    <w:rsid w:val="008869C1"/>
    <w:rsid w:val="00896598"/>
    <w:rsid w:val="008A2357"/>
    <w:rsid w:val="008A4A9F"/>
    <w:rsid w:val="008A4AA6"/>
    <w:rsid w:val="008B53CE"/>
    <w:rsid w:val="008B560F"/>
    <w:rsid w:val="008B5ED3"/>
    <w:rsid w:val="008B6262"/>
    <w:rsid w:val="008B7591"/>
    <w:rsid w:val="008C2021"/>
    <w:rsid w:val="008C34E1"/>
    <w:rsid w:val="008C429F"/>
    <w:rsid w:val="008D745A"/>
    <w:rsid w:val="008D7A64"/>
    <w:rsid w:val="008E05DB"/>
    <w:rsid w:val="008E210C"/>
    <w:rsid w:val="008E6B81"/>
    <w:rsid w:val="008F2B79"/>
    <w:rsid w:val="008F48FF"/>
    <w:rsid w:val="008F4B2C"/>
    <w:rsid w:val="008F5081"/>
    <w:rsid w:val="0090453B"/>
    <w:rsid w:val="0091029F"/>
    <w:rsid w:val="0091170D"/>
    <w:rsid w:val="0091182B"/>
    <w:rsid w:val="0091221E"/>
    <w:rsid w:val="00916A73"/>
    <w:rsid w:val="00923D72"/>
    <w:rsid w:val="00926FF0"/>
    <w:rsid w:val="00930805"/>
    <w:rsid w:val="009339A6"/>
    <w:rsid w:val="00933B61"/>
    <w:rsid w:val="00936903"/>
    <w:rsid w:val="00942B5B"/>
    <w:rsid w:val="00943161"/>
    <w:rsid w:val="00947508"/>
    <w:rsid w:val="00960994"/>
    <w:rsid w:val="009609BA"/>
    <w:rsid w:val="00965632"/>
    <w:rsid w:val="009729F6"/>
    <w:rsid w:val="00977514"/>
    <w:rsid w:val="00981A3D"/>
    <w:rsid w:val="00984081"/>
    <w:rsid w:val="0098421F"/>
    <w:rsid w:val="009876F5"/>
    <w:rsid w:val="0099094B"/>
    <w:rsid w:val="00991FFA"/>
    <w:rsid w:val="00993693"/>
    <w:rsid w:val="00993777"/>
    <w:rsid w:val="009938BE"/>
    <w:rsid w:val="009A0C4E"/>
    <w:rsid w:val="009A391F"/>
    <w:rsid w:val="009B2161"/>
    <w:rsid w:val="009B3187"/>
    <w:rsid w:val="009B4985"/>
    <w:rsid w:val="009C334F"/>
    <w:rsid w:val="009C7C26"/>
    <w:rsid w:val="009D248F"/>
    <w:rsid w:val="009D3514"/>
    <w:rsid w:val="009D76EB"/>
    <w:rsid w:val="009E095A"/>
    <w:rsid w:val="009E0ABF"/>
    <w:rsid w:val="009E60B9"/>
    <w:rsid w:val="009E6EC6"/>
    <w:rsid w:val="009F1BF8"/>
    <w:rsid w:val="00A04024"/>
    <w:rsid w:val="00A0425B"/>
    <w:rsid w:val="00A06FA8"/>
    <w:rsid w:val="00A170C3"/>
    <w:rsid w:val="00A20683"/>
    <w:rsid w:val="00A210E4"/>
    <w:rsid w:val="00A222A3"/>
    <w:rsid w:val="00A22C97"/>
    <w:rsid w:val="00A2372A"/>
    <w:rsid w:val="00A24136"/>
    <w:rsid w:val="00A252DD"/>
    <w:rsid w:val="00A262D0"/>
    <w:rsid w:val="00A30CD0"/>
    <w:rsid w:val="00A334FB"/>
    <w:rsid w:val="00A33965"/>
    <w:rsid w:val="00A3590A"/>
    <w:rsid w:val="00A44401"/>
    <w:rsid w:val="00A46209"/>
    <w:rsid w:val="00A52127"/>
    <w:rsid w:val="00A54128"/>
    <w:rsid w:val="00A5613D"/>
    <w:rsid w:val="00A6139D"/>
    <w:rsid w:val="00A75A66"/>
    <w:rsid w:val="00A827C3"/>
    <w:rsid w:val="00A82C9F"/>
    <w:rsid w:val="00A846B4"/>
    <w:rsid w:val="00A86A65"/>
    <w:rsid w:val="00A908FD"/>
    <w:rsid w:val="00A943F6"/>
    <w:rsid w:val="00A96122"/>
    <w:rsid w:val="00AA0718"/>
    <w:rsid w:val="00AA6885"/>
    <w:rsid w:val="00AB1510"/>
    <w:rsid w:val="00AB4F95"/>
    <w:rsid w:val="00AB5D84"/>
    <w:rsid w:val="00AB6682"/>
    <w:rsid w:val="00AB66FB"/>
    <w:rsid w:val="00AC30E7"/>
    <w:rsid w:val="00AC5630"/>
    <w:rsid w:val="00AC7515"/>
    <w:rsid w:val="00AD113F"/>
    <w:rsid w:val="00AD44F0"/>
    <w:rsid w:val="00AD7928"/>
    <w:rsid w:val="00AE1737"/>
    <w:rsid w:val="00AF26A9"/>
    <w:rsid w:val="00AF7525"/>
    <w:rsid w:val="00B0172F"/>
    <w:rsid w:val="00B07C39"/>
    <w:rsid w:val="00B12E37"/>
    <w:rsid w:val="00B25C3A"/>
    <w:rsid w:val="00B30029"/>
    <w:rsid w:val="00B30F62"/>
    <w:rsid w:val="00B332F7"/>
    <w:rsid w:val="00B37D07"/>
    <w:rsid w:val="00B43A1A"/>
    <w:rsid w:val="00B44152"/>
    <w:rsid w:val="00B56BDA"/>
    <w:rsid w:val="00B6364F"/>
    <w:rsid w:val="00B67006"/>
    <w:rsid w:val="00B70FD9"/>
    <w:rsid w:val="00B72A0E"/>
    <w:rsid w:val="00B75B88"/>
    <w:rsid w:val="00B906D6"/>
    <w:rsid w:val="00B907FB"/>
    <w:rsid w:val="00B90891"/>
    <w:rsid w:val="00B9376B"/>
    <w:rsid w:val="00BB2F48"/>
    <w:rsid w:val="00BD5B29"/>
    <w:rsid w:val="00BE75C1"/>
    <w:rsid w:val="00BF7FEB"/>
    <w:rsid w:val="00C02B50"/>
    <w:rsid w:val="00C04224"/>
    <w:rsid w:val="00C122C6"/>
    <w:rsid w:val="00C15209"/>
    <w:rsid w:val="00C16F88"/>
    <w:rsid w:val="00C3173E"/>
    <w:rsid w:val="00C32AF1"/>
    <w:rsid w:val="00C33087"/>
    <w:rsid w:val="00C331C8"/>
    <w:rsid w:val="00C373FC"/>
    <w:rsid w:val="00C37865"/>
    <w:rsid w:val="00C41B6C"/>
    <w:rsid w:val="00C41D73"/>
    <w:rsid w:val="00C46B82"/>
    <w:rsid w:val="00C525EA"/>
    <w:rsid w:val="00C55F1E"/>
    <w:rsid w:val="00C6025D"/>
    <w:rsid w:val="00C664D4"/>
    <w:rsid w:val="00C704CB"/>
    <w:rsid w:val="00C73B37"/>
    <w:rsid w:val="00C80461"/>
    <w:rsid w:val="00C9034E"/>
    <w:rsid w:val="00C91F78"/>
    <w:rsid w:val="00C93030"/>
    <w:rsid w:val="00C93420"/>
    <w:rsid w:val="00C93B6F"/>
    <w:rsid w:val="00C96BF5"/>
    <w:rsid w:val="00CA5941"/>
    <w:rsid w:val="00CA7729"/>
    <w:rsid w:val="00CB1FDC"/>
    <w:rsid w:val="00CB2881"/>
    <w:rsid w:val="00CB4C9A"/>
    <w:rsid w:val="00CB5930"/>
    <w:rsid w:val="00CC1D98"/>
    <w:rsid w:val="00CD100E"/>
    <w:rsid w:val="00CD7144"/>
    <w:rsid w:val="00CD7D73"/>
    <w:rsid w:val="00CE3214"/>
    <w:rsid w:val="00CE4C3C"/>
    <w:rsid w:val="00CE62DB"/>
    <w:rsid w:val="00CF3B16"/>
    <w:rsid w:val="00D01A41"/>
    <w:rsid w:val="00D0219E"/>
    <w:rsid w:val="00D04417"/>
    <w:rsid w:val="00D07935"/>
    <w:rsid w:val="00D16893"/>
    <w:rsid w:val="00D175E4"/>
    <w:rsid w:val="00D2106E"/>
    <w:rsid w:val="00D21CDB"/>
    <w:rsid w:val="00D30409"/>
    <w:rsid w:val="00D40213"/>
    <w:rsid w:val="00D41A80"/>
    <w:rsid w:val="00D43FDB"/>
    <w:rsid w:val="00D448C9"/>
    <w:rsid w:val="00D512D9"/>
    <w:rsid w:val="00D52C7A"/>
    <w:rsid w:val="00D532E7"/>
    <w:rsid w:val="00D541E0"/>
    <w:rsid w:val="00D561C6"/>
    <w:rsid w:val="00D57B96"/>
    <w:rsid w:val="00D60292"/>
    <w:rsid w:val="00D63589"/>
    <w:rsid w:val="00D70CF5"/>
    <w:rsid w:val="00D712C2"/>
    <w:rsid w:val="00D74E9D"/>
    <w:rsid w:val="00D81ADE"/>
    <w:rsid w:val="00D82C3C"/>
    <w:rsid w:val="00D82C57"/>
    <w:rsid w:val="00D95A69"/>
    <w:rsid w:val="00D96B05"/>
    <w:rsid w:val="00DA1167"/>
    <w:rsid w:val="00DA13CC"/>
    <w:rsid w:val="00DA21A0"/>
    <w:rsid w:val="00DA31BD"/>
    <w:rsid w:val="00DA4698"/>
    <w:rsid w:val="00DB23F5"/>
    <w:rsid w:val="00DB24B8"/>
    <w:rsid w:val="00DC0FC1"/>
    <w:rsid w:val="00DC1BAC"/>
    <w:rsid w:val="00DC3443"/>
    <w:rsid w:val="00DC59C5"/>
    <w:rsid w:val="00DD0653"/>
    <w:rsid w:val="00DD2799"/>
    <w:rsid w:val="00DD7064"/>
    <w:rsid w:val="00DE0813"/>
    <w:rsid w:val="00DE16CC"/>
    <w:rsid w:val="00DE410B"/>
    <w:rsid w:val="00DE4F5C"/>
    <w:rsid w:val="00DF04C7"/>
    <w:rsid w:val="00DF5868"/>
    <w:rsid w:val="00E01763"/>
    <w:rsid w:val="00E05616"/>
    <w:rsid w:val="00E074AF"/>
    <w:rsid w:val="00E07E7F"/>
    <w:rsid w:val="00E13E2C"/>
    <w:rsid w:val="00E16219"/>
    <w:rsid w:val="00E279CB"/>
    <w:rsid w:val="00E328ED"/>
    <w:rsid w:val="00E32D70"/>
    <w:rsid w:val="00E34E9C"/>
    <w:rsid w:val="00E365CC"/>
    <w:rsid w:val="00E424E3"/>
    <w:rsid w:val="00E42928"/>
    <w:rsid w:val="00E578CA"/>
    <w:rsid w:val="00E637C8"/>
    <w:rsid w:val="00E641A8"/>
    <w:rsid w:val="00E65AB3"/>
    <w:rsid w:val="00E6754E"/>
    <w:rsid w:val="00E73E5A"/>
    <w:rsid w:val="00E83A9A"/>
    <w:rsid w:val="00E8554B"/>
    <w:rsid w:val="00E862C2"/>
    <w:rsid w:val="00E91187"/>
    <w:rsid w:val="00E916BA"/>
    <w:rsid w:val="00E9251D"/>
    <w:rsid w:val="00E94EB1"/>
    <w:rsid w:val="00E96CC2"/>
    <w:rsid w:val="00E97630"/>
    <w:rsid w:val="00EA293B"/>
    <w:rsid w:val="00EA413E"/>
    <w:rsid w:val="00EA4852"/>
    <w:rsid w:val="00EB18D8"/>
    <w:rsid w:val="00EB21CD"/>
    <w:rsid w:val="00EB4640"/>
    <w:rsid w:val="00EC2237"/>
    <w:rsid w:val="00EC4A03"/>
    <w:rsid w:val="00EC58EA"/>
    <w:rsid w:val="00ED1514"/>
    <w:rsid w:val="00ED471F"/>
    <w:rsid w:val="00ED4B18"/>
    <w:rsid w:val="00ED6C9B"/>
    <w:rsid w:val="00ED7545"/>
    <w:rsid w:val="00EE1536"/>
    <w:rsid w:val="00EE3FBC"/>
    <w:rsid w:val="00EE49A1"/>
    <w:rsid w:val="00EF4447"/>
    <w:rsid w:val="00EF7B88"/>
    <w:rsid w:val="00F0057B"/>
    <w:rsid w:val="00F0063C"/>
    <w:rsid w:val="00F1331A"/>
    <w:rsid w:val="00F208ED"/>
    <w:rsid w:val="00F26C24"/>
    <w:rsid w:val="00F27D42"/>
    <w:rsid w:val="00F30723"/>
    <w:rsid w:val="00F350B8"/>
    <w:rsid w:val="00F354BA"/>
    <w:rsid w:val="00F40B1C"/>
    <w:rsid w:val="00F43184"/>
    <w:rsid w:val="00F46EF1"/>
    <w:rsid w:val="00F64CB4"/>
    <w:rsid w:val="00F67C2D"/>
    <w:rsid w:val="00F67D4A"/>
    <w:rsid w:val="00F71130"/>
    <w:rsid w:val="00F727C7"/>
    <w:rsid w:val="00F73D95"/>
    <w:rsid w:val="00F80E77"/>
    <w:rsid w:val="00F83825"/>
    <w:rsid w:val="00F86D79"/>
    <w:rsid w:val="00F93029"/>
    <w:rsid w:val="00F9408F"/>
    <w:rsid w:val="00F97DFE"/>
    <w:rsid w:val="00FA1003"/>
    <w:rsid w:val="00FA202A"/>
    <w:rsid w:val="00FA3FA7"/>
    <w:rsid w:val="00FA6CFA"/>
    <w:rsid w:val="00FA781D"/>
    <w:rsid w:val="00FB40B2"/>
    <w:rsid w:val="00FC1A45"/>
    <w:rsid w:val="00FC26DE"/>
    <w:rsid w:val="00FC3ABB"/>
    <w:rsid w:val="00FC40C3"/>
    <w:rsid w:val="00FC600A"/>
    <w:rsid w:val="00FE3B07"/>
    <w:rsid w:val="00FE7050"/>
    <w:rsid w:val="00FE755E"/>
    <w:rsid w:val="00FF1243"/>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280D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280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841602">
      <w:bodyDiv w:val="1"/>
      <w:marLeft w:val="0"/>
      <w:marRight w:val="0"/>
      <w:marTop w:val="0"/>
      <w:marBottom w:val="0"/>
      <w:divBdr>
        <w:top w:val="none" w:sz="0" w:space="0" w:color="auto"/>
        <w:left w:val="none" w:sz="0" w:space="0" w:color="auto"/>
        <w:bottom w:val="none" w:sz="0" w:space="0" w:color="auto"/>
        <w:right w:val="none" w:sz="0" w:space="0" w:color="auto"/>
      </w:divBdr>
    </w:div>
    <w:div w:id="18614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puc.pa.gov"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EFC5-3ADF-495A-B0AD-5DB45283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11</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PGW R&amp;CES</vt:lpstr>
    </vt:vector>
  </TitlesOfParts>
  <Company>PA PUC</Company>
  <LinksUpToDate>false</LinksUpToDate>
  <CharactersWithSpaces>17056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PGW R&amp;CES</dc:title>
  <dc:creator>RMK</dc:creator>
  <cp:lastModifiedBy>Administrator</cp:lastModifiedBy>
  <cp:revision>130</cp:revision>
  <cp:lastPrinted>2015-04-10T15:23:00Z</cp:lastPrinted>
  <dcterms:created xsi:type="dcterms:W3CDTF">2015-04-10T15:34:00Z</dcterms:created>
  <dcterms:modified xsi:type="dcterms:W3CDTF">2015-06-01T15:05:00Z</dcterms:modified>
</cp:coreProperties>
</file>