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33" w:rsidRPr="00585BD0" w:rsidRDefault="00A76233" w:rsidP="00CA4D58">
      <w:pPr>
        <w:pStyle w:val="Title"/>
        <w:rPr>
          <w:sz w:val="24"/>
          <w:szCs w:val="24"/>
        </w:rPr>
      </w:pPr>
      <w:r w:rsidRPr="00585BD0">
        <w:rPr>
          <w:sz w:val="24"/>
          <w:szCs w:val="24"/>
        </w:rPr>
        <w:t>BEFORE THE</w:t>
      </w:r>
    </w:p>
    <w:p w:rsidR="00A76233" w:rsidRPr="00585BD0" w:rsidRDefault="00A76233" w:rsidP="00CA4D58">
      <w:pPr>
        <w:pStyle w:val="Subtitle"/>
        <w:rPr>
          <w:sz w:val="24"/>
          <w:szCs w:val="24"/>
        </w:rPr>
      </w:pPr>
      <w:r w:rsidRPr="00585BD0">
        <w:rPr>
          <w:sz w:val="24"/>
          <w:szCs w:val="24"/>
        </w:rPr>
        <w:t>PENNSYLVANIA PUBLIC UTILITY COMMISSION</w:t>
      </w:r>
    </w:p>
    <w:p w:rsidR="00A76233" w:rsidRPr="00F7430C" w:rsidRDefault="00A76233" w:rsidP="00CA4D58">
      <w:pPr>
        <w:tabs>
          <w:tab w:val="left" w:pos="720"/>
        </w:tabs>
        <w:rPr>
          <w:kern w:val="26"/>
          <w:sz w:val="24"/>
          <w:szCs w:val="24"/>
        </w:rPr>
      </w:pPr>
    </w:p>
    <w:p w:rsidR="00A76233" w:rsidRPr="00F7430C" w:rsidRDefault="00A76233" w:rsidP="00CA4D58">
      <w:pPr>
        <w:tabs>
          <w:tab w:val="left" w:pos="720"/>
        </w:tabs>
        <w:rPr>
          <w:kern w:val="26"/>
          <w:sz w:val="24"/>
          <w:szCs w:val="24"/>
        </w:rPr>
      </w:pPr>
    </w:p>
    <w:p w:rsidR="00A76233" w:rsidRPr="00F7430C" w:rsidRDefault="00A76233" w:rsidP="00CA4D58">
      <w:pPr>
        <w:tabs>
          <w:tab w:val="left" w:pos="720"/>
        </w:tabs>
        <w:rPr>
          <w:kern w:val="26"/>
          <w:sz w:val="24"/>
          <w:szCs w:val="24"/>
        </w:rPr>
      </w:pPr>
    </w:p>
    <w:p w:rsidR="00B079FB" w:rsidRPr="00F7430C" w:rsidRDefault="00B079FB" w:rsidP="00CA4D58">
      <w:pPr>
        <w:tabs>
          <w:tab w:val="left" w:pos="720"/>
        </w:tabs>
        <w:rPr>
          <w:kern w:val="26"/>
          <w:sz w:val="24"/>
          <w:szCs w:val="24"/>
        </w:rPr>
      </w:pPr>
      <w:r w:rsidRPr="00F7430C">
        <w:rPr>
          <w:kern w:val="26"/>
          <w:sz w:val="24"/>
          <w:szCs w:val="24"/>
        </w:rPr>
        <w:t>PECO Energy Company</w:t>
      </w:r>
      <w:r w:rsidR="0048600C" w:rsidRPr="00F7430C">
        <w:rPr>
          <w:kern w:val="26"/>
          <w:sz w:val="24"/>
          <w:szCs w:val="24"/>
        </w:rPr>
        <w:t xml:space="preserve"> Universal Service</w:t>
      </w:r>
      <w:r w:rsidRPr="00F7430C">
        <w:rPr>
          <w:kern w:val="26"/>
          <w:sz w:val="24"/>
          <w:szCs w:val="24"/>
        </w:rPr>
        <w:tab/>
      </w:r>
      <w:r w:rsidR="00375064" w:rsidRPr="00F7430C">
        <w:rPr>
          <w:kern w:val="26"/>
          <w:sz w:val="24"/>
          <w:szCs w:val="24"/>
        </w:rPr>
        <w:tab/>
      </w:r>
      <w:r w:rsidRPr="00F7430C">
        <w:rPr>
          <w:kern w:val="26"/>
          <w:sz w:val="24"/>
          <w:szCs w:val="24"/>
        </w:rPr>
        <w:t>:</w:t>
      </w:r>
    </w:p>
    <w:p w:rsidR="00B079FB" w:rsidRPr="00F7430C" w:rsidRDefault="00B079FB" w:rsidP="00CA4D58">
      <w:pPr>
        <w:tabs>
          <w:tab w:val="left" w:pos="720"/>
        </w:tabs>
        <w:rPr>
          <w:kern w:val="26"/>
          <w:sz w:val="24"/>
          <w:szCs w:val="24"/>
        </w:rPr>
      </w:pPr>
      <w:r w:rsidRPr="00F7430C">
        <w:rPr>
          <w:kern w:val="26"/>
          <w:sz w:val="24"/>
          <w:szCs w:val="24"/>
        </w:rPr>
        <w:t>and Energy</w:t>
      </w:r>
      <w:r w:rsidR="0048600C" w:rsidRPr="00F7430C">
        <w:rPr>
          <w:kern w:val="26"/>
          <w:sz w:val="24"/>
          <w:szCs w:val="24"/>
        </w:rPr>
        <w:t xml:space="preserve"> Conservation Plan</w:t>
      </w:r>
      <w:r w:rsidRPr="00F7430C">
        <w:rPr>
          <w:kern w:val="26"/>
          <w:sz w:val="24"/>
          <w:szCs w:val="24"/>
        </w:rPr>
        <w:tab/>
      </w:r>
      <w:r w:rsidRPr="00F7430C">
        <w:rPr>
          <w:kern w:val="26"/>
          <w:sz w:val="24"/>
          <w:szCs w:val="24"/>
        </w:rPr>
        <w:tab/>
      </w:r>
      <w:r w:rsidR="00375064" w:rsidRPr="00F7430C">
        <w:rPr>
          <w:kern w:val="26"/>
          <w:sz w:val="24"/>
          <w:szCs w:val="24"/>
        </w:rPr>
        <w:tab/>
      </w:r>
      <w:r w:rsidRPr="00F7430C">
        <w:rPr>
          <w:kern w:val="26"/>
          <w:sz w:val="24"/>
          <w:szCs w:val="24"/>
        </w:rPr>
        <w:t>:</w:t>
      </w:r>
    </w:p>
    <w:p w:rsidR="00B079FB" w:rsidRPr="00F7430C" w:rsidRDefault="00B079FB" w:rsidP="00CA4D58">
      <w:pPr>
        <w:tabs>
          <w:tab w:val="left" w:pos="720"/>
        </w:tabs>
        <w:rPr>
          <w:kern w:val="26"/>
          <w:sz w:val="24"/>
          <w:szCs w:val="24"/>
        </w:rPr>
      </w:pPr>
      <w:r w:rsidRPr="00F7430C">
        <w:rPr>
          <w:kern w:val="26"/>
          <w:sz w:val="24"/>
          <w:szCs w:val="24"/>
        </w:rPr>
        <w:t>for 2013-2015</w:t>
      </w:r>
      <w:r w:rsidR="0048600C" w:rsidRPr="00F7430C">
        <w:rPr>
          <w:kern w:val="26"/>
          <w:sz w:val="24"/>
          <w:szCs w:val="24"/>
        </w:rPr>
        <w:t xml:space="preserve"> Submitted in Compliance</w:t>
      </w:r>
      <w:r w:rsidRPr="00F7430C">
        <w:rPr>
          <w:kern w:val="26"/>
          <w:sz w:val="24"/>
          <w:szCs w:val="24"/>
        </w:rPr>
        <w:tab/>
      </w:r>
      <w:r w:rsidR="00375064" w:rsidRPr="00F7430C">
        <w:rPr>
          <w:kern w:val="26"/>
          <w:sz w:val="24"/>
          <w:szCs w:val="24"/>
        </w:rPr>
        <w:tab/>
      </w:r>
      <w:r w:rsidRPr="00F7430C">
        <w:rPr>
          <w:kern w:val="26"/>
          <w:sz w:val="24"/>
          <w:szCs w:val="24"/>
        </w:rPr>
        <w:t>:</w:t>
      </w:r>
      <w:r w:rsidRPr="00F7430C">
        <w:rPr>
          <w:kern w:val="26"/>
          <w:sz w:val="24"/>
          <w:szCs w:val="24"/>
        </w:rPr>
        <w:tab/>
      </w:r>
      <w:r w:rsidR="00375064" w:rsidRPr="00F7430C">
        <w:rPr>
          <w:kern w:val="26"/>
          <w:sz w:val="24"/>
          <w:szCs w:val="24"/>
        </w:rPr>
        <w:tab/>
      </w:r>
      <w:r w:rsidRPr="00F7430C">
        <w:rPr>
          <w:kern w:val="26"/>
          <w:sz w:val="24"/>
          <w:szCs w:val="24"/>
        </w:rPr>
        <w:t>M-2012-2290911</w:t>
      </w:r>
    </w:p>
    <w:p w:rsidR="00B079FB" w:rsidRPr="00F7430C" w:rsidRDefault="00B079FB" w:rsidP="00CA4D58">
      <w:pPr>
        <w:tabs>
          <w:tab w:val="left" w:pos="720"/>
        </w:tabs>
        <w:rPr>
          <w:kern w:val="26"/>
          <w:sz w:val="24"/>
          <w:szCs w:val="24"/>
        </w:rPr>
      </w:pPr>
      <w:r w:rsidRPr="00F7430C">
        <w:rPr>
          <w:kern w:val="26"/>
          <w:sz w:val="24"/>
          <w:szCs w:val="24"/>
        </w:rPr>
        <w:t xml:space="preserve">with 52 </w:t>
      </w:r>
      <w:r w:rsidR="009A1F40" w:rsidRPr="00F7430C">
        <w:rPr>
          <w:kern w:val="26"/>
          <w:sz w:val="24"/>
          <w:szCs w:val="24"/>
        </w:rPr>
        <w:t>Pa.Code</w:t>
      </w:r>
      <w:r w:rsidRPr="00F7430C">
        <w:rPr>
          <w:kern w:val="26"/>
          <w:sz w:val="24"/>
          <w:szCs w:val="24"/>
        </w:rPr>
        <w:t xml:space="preserve"> §§ 54.74 and 62.4</w:t>
      </w:r>
      <w:r w:rsidRPr="00F7430C">
        <w:rPr>
          <w:kern w:val="26"/>
          <w:sz w:val="24"/>
          <w:szCs w:val="24"/>
        </w:rPr>
        <w:tab/>
      </w:r>
      <w:r w:rsidRPr="00F7430C">
        <w:rPr>
          <w:kern w:val="26"/>
          <w:sz w:val="24"/>
          <w:szCs w:val="24"/>
        </w:rPr>
        <w:tab/>
      </w:r>
      <w:r w:rsidR="00375064" w:rsidRPr="00F7430C">
        <w:rPr>
          <w:kern w:val="26"/>
          <w:sz w:val="24"/>
          <w:szCs w:val="24"/>
        </w:rPr>
        <w:tab/>
      </w:r>
      <w:r w:rsidRPr="00F7430C">
        <w:rPr>
          <w:kern w:val="26"/>
          <w:sz w:val="24"/>
          <w:szCs w:val="24"/>
        </w:rPr>
        <w:t>:</w:t>
      </w:r>
    </w:p>
    <w:p w:rsidR="00B079FB" w:rsidRPr="00F7430C" w:rsidRDefault="00B079FB" w:rsidP="00CA4D58">
      <w:pPr>
        <w:tabs>
          <w:tab w:val="left" w:pos="720"/>
        </w:tabs>
        <w:rPr>
          <w:kern w:val="26"/>
          <w:sz w:val="24"/>
          <w:szCs w:val="24"/>
        </w:rPr>
      </w:pPr>
    </w:p>
    <w:p w:rsidR="00D47CD7" w:rsidRPr="00F7430C" w:rsidRDefault="00D47CD7" w:rsidP="00CA4D58">
      <w:pPr>
        <w:rPr>
          <w:sz w:val="24"/>
          <w:szCs w:val="24"/>
        </w:rPr>
      </w:pPr>
    </w:p>
    <w:p w:rsidR="009A1F40" w:rsidRPr="00F7430C" w:rsidRDefault="009A1F40" w:rsidP="00CA4D58">
      <w:pPr>
        <w:rPr>
          <w:sz w:val="24"/>
          <w:szCs w:val="24"/>
        </w:rPr>
      </w:pPr>
    </w:p>
    <w:p w:rsidR="00A76233" w:rsidRPr="00F7430C" w:rsidRDefault="00A76233" w:rsidP="00CA4D58">
      <w:pPr>
        <w:pStyle w:val="Heading1"/>
        <w:rPr>
          <w:b/>
          <w:sz w:val="24"/>
          <w:szCs w:val="24"/>
        </w:rPr>
      </w:pPr>
      <w:r w:rsidRPr="00F7430C">
        <w:rPr>
          <w:b/>
          <w:sz w:val="24"/>
          <w:szCs w:val="24"/>
        </w:rPr>
        <w:t>RECOMMENDED DECISION</w:t>
      </w:r>
    </w:p>
    <w:p w:rsidR="00A76233" w:rsidRDefault="00A76233" w:rsidP="00CA4D58">
      <w:pPr>
        <w:rPr>
          <w:sz w:val="24"/>
          <w:szCs w:val="24"/>
        </w:rPr>
      </w:pPr>
    </w:p>
    <w:p w:rsidR="00725B8A" w:rsidRPr="00F7430C" w:rsidRDefault="00725B8A" w:rsidP="00CA4D58">
      <w:pPr>
        <w:rPr>
          <w:sz w:val="24"/>
          <w:szCs w:val="24"/>
        </w:rPr>
      </w:pPr>
    </w:p>
    <w:p w:rsidR="00A76233" w:rsidRPr="00F7430C" w:rsidRDefault="00A76233" w:rsidP="00CA4D58">
      <w:pPr>
        <w:pStyle w:val="Heading2"/>
        <w:spacing w:line="240" w:lineRule="auto"/>
        <w:rPr>
          <w:sz w:val="24"/>
          <w:szCs w:val="24"/>
          <w:u w:val="none"/>
        </w:rPr>
      </w:pPr>
      <w:r w:rsidRPr="00F7430C">
        <w:rPr>
          <w:sz w:val="24"/>
          <w:szCs w:val="24"/>
          <w:u w:val="none"/>
        </w:rPr>
        <w:t>Before</w:t>
      </w:r>
    </w:p>
    <w:p w:rsidR="00A76233" w:rsidRPr="00F7430C" w:rsidRDefault="00A76233" w:rsidP="00CA4D58">
      <w:pPr>
        <w:pStyle w:val="Heading4"/>
        <w:spacing w:line="240" w:lineRule="auto"/>
        <w:rPr>
          <w:b w:val="0"/>
          <w:sz w:val="24"/>
          <w:szCs w:val="24"/>
        </w:rPr>
      </w:pPr>
      <w:r w:rsidRPr="00F7430C">
        <w:rPr>
          <w:b w:val="0"/>
          <w:sz w:val="24"/>
          <w:szCs w:val="24"/>
        </w:rPr>
        <w:t>Cynthia Williams Fordham</w:t>
      </w:r>
    </w:p>
    <w:p w:rsidR="00A76233" w:rsidRPr="00F7430C" w:rsidRDefault="00A76233" w:rsidP="00CA4D58">
      <w:pPr>
        <w:jc w:val="center"/>
        <w:rPr>
          <w:sz w:val="24"/>
          <w:szCs w:val="24"/>
        </w:rPr>
      </w:pPr>
      <w:r w:rsidRPr="00F7430C">
        <w:rPr>
          <w:sz w:val="24"/>
          <w:szCs w:val="24"/>
        </w:rPr>
        <w:t>Administrative Law Judge</w:t>
      </w:r>
    </w:p>
    <w:p w:rsidR="009023CB" w:rsidRDefault="009023CB" w:rsidP="00CA4D58">
      <w:pPr>
        <w:jc w:val="center"/>
        <w:rPr>
          <w:sz w:val="24"/>
          <w:szCs w:val="24"/>
        </w:rPr>
      </w:pPr>
    </w:p>
    <w:p w:rsidR="00A06688" w:rsidRDefault="00A06688" w:rsidP="00CA4D58">
      <w:pPr>
        <w:jc w:val="center"/>
        <w:rPr>
          <w:sz w:val="24"/>
          <w:szCs w:val="24"/>
        </w:rPr>
      </w:pPr>
    </w:p>
    <w:p w:rsidR="00A06688" w:rsidRDefault="00A06688" w:rsidP="00A06688">
      <w:pPr>
        <w:jc w:val="center"/>
        <w:rPr>
          <w:sz w:val="24"/>
          <w:szCs w:val="24"/>
          <w:u w:val="single"/>
        </w:rPr>
      </w:pPr>
      <w:r>
        <w:rPr>
          <w:sz w:val="24"/>
          <w:szCs w:val="24"/>
          <w:u w:val="single"/>
        </w:rPr>
        <w:t>INTRODUCTION</w:t>
      </w:r>
    </w:p>
    <w:p w:rsidR="00A06688" w:rsidRPr="00A06688" w:rsidRDefault="00A06688" w:rsidP="00A06688">
      <w:pPr>
        <w:rPr>
          <w:sz w:val="24"/>
          <w:szCs w:val="24"/>
        </w:rPr>
      </w:pPr>
    </w:p>
    <w:p w:rsidR="00A06688" w:rsidRPr="00A06688" w:rsidRDefault="00A06688" w:rsidP="00A06688">
      <w:pPr>
        <w:rPr>
          <w:sz w:val="24"/>
          <w:szCs w:val="24"/>
        </w:rPr>
      </w:pPr>
    </w:p>
    <w:p w:rsidR="00A06688" w:rsidRDefault="00A06688" w:rsidP="00A06688">
      <w:pPr>
        <w:spacing w:line="360" w:lineRule="auto"/>
        <w:rPr>
          <w:sz w:val="24"/>
          <w:szCs w:val="24"/>
        </w:rPr>
      </w:pPr>
      <w:r>
        <w:rPr>
          <w:sz w:val="24"/>
          <w:szCs w:val="24"/>
        </w:rPr>
        <w:tab/>
      </w:r>
      <w:r>
        <w:rPr>
          <w:sz w:val="24"/>
          <w:szCs w:val="24"/>
        </w:rPr>
        <w:tab/>
        <w:t xml:space="preserve">On February 28, 2012, PECO Energy Company filed its Universal Service and Energy Conservation Plan covering the three-year period 2013-15 (the “2013-15 Plan”).  An amended plan was filed on October 15, 2012.  In response to the Commission’s April 4, 2013 Order requiring PECO Energy Company to make certain changes to its 2013-2015 Plan and the April 25, 2014 Secretarial Letter directing the parties in this matter to attempt to reach agreement on a new CAP design, the parties engaged in extensive settlement discussions with the assistance of Mediator Cynthia Lehman.  On March 20, 2015, a Joint Petition for Settlement was filed in this docket by PECO Energy Company, the Office of Consumer Advocate, the Tenant Union Representative Network and Action Alliance of Senior Citizens of Greater Philadelphia, and the Coalition for Affordable Utility Services and Energy Efficiency in Pennsylvania (collectively, the “Joint Petitioners”).  Subsequently, the Joint Petitioners filed Statements in Support of the Joint Petition.  All active participants have signed and support the settlement.  </w:t>
      </w:r>
    </w:p>
    <w:p w:rsidR="00A06688" w:rsidRDefault="00A06688" w:rsidP="00A06688">
      <w:pPr>
        <w:spacing w:line="360" w:lineRule="auto"/>
        <w:rPr>
          <w:sz w:val="24"/>
          <w:szCs w:val="24"/>
        </w:rPr>
      </w:pPr>
    </w:p>
    <w:p w:rsidR="00A06688" w:rsidRDefault="00A06688" w:rsidP="00A06688">
      <w:pPr>
        <w:spacing w:line="360" w:lineRule="auto"/>
        <w:rPr>
          <w:sz w:val="24"/>
          <w:szCs w:val="24"/>
        </w:rPr>
      </w:pPr>
      <w:r>
        <w:rPr>
          <w:sz w:val="24"/>
          <w:szCs w:val="24"/>
        </w:rPr>
        <w:tab/>
      </w:r>
      <w:r>
        <w:rPr>
          <w:sz w:val="24"/>
          <w:szCs w:val="24"/>
        </w:rPr>
        <w:tab/>
        <w:t xml:space="preserve">The Joint Petition changes PECO Energy Company’s Customer Assistance Program (“CAP”) from a seven tier CAP Rate program to Fixed Credit Option Percentage of Income Program.  The parties have presented evidence to show that the Fixed Credit Option </w:t>
      </w:r>
      <w:r>
        <w:rPr>
          <w:sz w:val="24"/>
          <w:szCs w:val="24"/>
        </w:rPr>
        <w:lastRenderedPageBreak/>
        <w:t>Percentage of Income Program is more affordable and is in the public interest.  Accordingly, the undersigned recommends that the Joint Petition for Settlement be approved without modification.</w:t>
      </w:r>
    </w:p>
    <w:p w:rsidR="00A06688" w:rsidRDefault="00A06688" w:rsidP="00A06688">
      <w:pPr>
        <w:spacing w:line="360" w:lineRule="auto"/>
        <w:rPr>
          <w:sz w:val="24"/>
          <w:szCs w:val="24"/>
        </w:rPr>
      </w:pPr>
    </w:p>
    <w:p w:rsidR="00A06688" w:rsidRDefault="00A06688" w:rsidP="00A06688">
      <w:pPr>
        <w:spacing w:line="360" w:lineRule="auto"/>
        <w:rPr>
          <w:sz w:val="24"/>
          <w:szCs w:val="24"/>
        </w:rPr>
      </w:pPr>
      <w:r>
        <w:rPr>
          <w:sz w:val="24"/>
          <w:szCs w:val="24"/>
        </w:rPr>
        <w:tab/>
      </w:r>
      <w:r>
        <w:rPr>
          <w:sz w:val="24"/>
          <w:szCs w:val="24"/>
        </w:rPr>
        <w:tab/>
        <w:t xml:space="preserve">The parties request a Commission decision by the July 8, 2015 public meeting, if possible.  The parties in PECO Energy Company’s current base rate proceeding will be addressing the arrearage forgiveness proposal and the transitional IT costs related to the revised CAP program.  An order addressing the Joint Petition for Settlement in this matter would facilitate the discussion and maybe the resolution of these issues in the base rate case.  In addition, PECO Energy Company cannot begin its IT work for the CAP program until the Commission issues its final order.  It is estimated that it will take approximately eighteen months of IT work to implement the new CAP program, which is scheduled to start in October 2016.  </w:t>
      </w:r>
    </w:p>
    <w:p w:rsidR="00A06688" w:rsidRPr="00F7430C" w:rsidRDefault="00A06688" w:rsidP="003F472E">
      <w:pPr>
        <w:spacing w:line="360" w:lineRule="auto"/>
        <w:jc w:val="center"/>
        <w:rPr>
          <w:sz w:val="24"/>
          <w:szCs w:val="24"/>
        </w:rPr>
      </w:pPr>
    </w:p>
    <w:p w:rsidR="00A76233" w:rsidRPr="00F7430C" w:rsidRDefault="00A76233" w:rsidP="00EF4A09">
      <w:pPr>
        <w:pStyle w:val="Heading1"/>
        <w:spacing w:line="360" w:lineRule="auto"/>
        <w:rPr>
          <w:sz w:val="24"/>
          <w:szCs w:val="24"/>
        </w:rPr>
      </w:pPr>
      <w:r w:rsidRPr="00F7430C">
        <w:rPr>
          <w:sz w:val="24"/>
          <w:szCs w:val="24"/>
        </w:rPr>
        <w:t>HISTORY OF THE PROCEEDING</w:t>
      </w:r>
    </w:p>
    <w:p w:rsidR="002434EB" w:rsidRPr="00F7430C" w:rsidRDefault="002434EB" w:rsidP="00EF4A09">
      <w:pPr>
        <w:spacing w:line="360" w:lineRule="auto"/>
        <w:rPr>
          <w:sz w:val="24"/>
          <w:szCs w:val="24"/>
        </w:rPr>
      </w:pPr>
    </w:p>
    <w:p w:rsidR="002434EB" w:rsidRPr="00F7430C" w:rsidRDefault="00A67263"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On February 28, 2012, PECO Energy Company (</w:t>
      </w:r>
      <w:r w:rsidR="0048600C" w:rsidRPr="00F7430C">
        <w:rPr>
          <w:sz w:val="24"/>
          <w:szCs w:val="24"/>
        </w:rPr>
        <w:t>“</w:t>
      </w:r>
      <w:r w:rsidR="00C0530D" w:rsidRPr="00F7430C">
        <w:rPr>
          <w:sz w:val="24"/>
          <w:szCs w:val="24"/>
        </w:rPr>
        <w:t>PECO</w:t>
      </w:r>
      <w:r w:rsidR="0048600C" w:rsidRPr="00F7430C">
        <w:rPr>
          <w:sz w:val="24"/>
          <w:szCs w:val="24"/>
        </w:rPr>
        <w:t>”</w:t>
      </w:r>
      <w:r w:rsidR="00C0530D" w:rsidRPr="00F7430C">
        <w:rPr>
          <w:sz w:val="24"/>
          <w:szCs w:val="24"/>
        </w:rPr>
        <w:t xml:space="preserve"> or the </w:t>
      </w:r>
      <w:r w:rsidR="0048600C" w:rsidRPr="00F7430C">
        <w:rPr>
          <w:sz w:val="24"/>
          <w:szCs w:val="24"/>
        </w:rPr>
        <w:t>“</w:t>
      </w:r>
      <w:r w:rsidR="00C0530D" w:rsidRPr="00F7430C">
        <w:rPr>
          <w:sz w:val="24"/>
          <w:szCs w:val="24"/>
        </w:rPr>
        <w:t>Company</w:t>
      </w:r>
      <w:r w:rsidR="0048600C" w:rsidRPr="00F7430C">
        <w:rPr>
          <w:sz w:val="24"/>
          <w:szCs w:val="24"/>
        </w:rPr>
        <w:t>”</w:t>
      </w:r>
      <w:r w:rsidR="00C0530D" w:rsidRPr="00F7430C">
        <w:rPr>
          <w:sz w:val="24"/>
          <w:szCs w:val="24"/>
        </w:rPr>
        <w:t>) filed its Universal Service and Energy Conservation Plan (</w:t>
      </w:r>
      <w:r w:rsidR="0048600C" w:rsidRPr="00F7430C">
        <w:rPr>
          <w:sz w:val="24"/>
          <w:szCs w:val="24"/>
        </w:rPr>
        <w:t>“</w:t>
      </w:r>
      <w:r w:rsidR="00C0530D" w:rsidRPr="00F7430C">
        <w:rPr>
          <w:sz w:val="24"/>
          <w:szCs w:val="24"/>
        </w:rPr>
        <w:t>USECP</w:t>
      </w:r>
      <w:r w:rsidR="0048600C" w:rsidRPr="00F7430C">
        <w:rPr>
          <w:sz w:val="24"/>
          <w:szCs w:val="24"/>
        </w:rPr>
        <w:t>”</w:t>
      </w:r>
      <w:r w:rsidR="00C0530D" w:rsidRPr="00F7430C">
        <w:rPr>
          <w:sz w:val="24"/>
          <w:szCs w:val="24"/>
        </w:rPr>
        <w:t xml:space="preserve"> or </w:t>
      </w:r>
      <w:r w:rsidR="0048600C" w:rsidRPr="00F7430C">
        <w:rPr>
          <w:sz w:val="24"/>
          <w:szCs w:val="24"/>
        </w:rPr>
        <w:t>“</w:t>
      </w:r>
      <w:r w:rsidR="00C0530D" w:rsidRPr="00F7430C">
        <w:rPr>
          <w:sz w:val="24"/>
          <w:szCs w:val="24"/>
        </w:rPr>
        <w:t>Plan</w:t>
      </w:r>
      <w:r w:rsidR="0048600C" w:rsidRPr="00F7430C">
        <w:rPr>
          <w:sz w:val="24"/>
          <w:szCs w:val="24"/>
        </w:rPr>
        <w:t>”</w:t>
      </w:r>
      <w:r w:rsidR="00C0530D" w:rsidRPr="00F7430C">
        <w:rPr>
          <w:sz w:val="24"/>
          <w:szCs w:val="24"/>
        </w:rPr>
        <w:t xml:space="preserve">) in this docket in accordance with the Pennsylvania Public Utility Commission’s </w:t>
      </w:r>
      <w:r w:rsidR="0048600C" w:rsidRPr="00F7430C">
        <w:rPr>
          <w:sz w:val="24"/>
          <w:szCs w:val="24"/>
        </w:rPr>
        <w:t xml:space="preserve">("Commission") </w:t>
      </w:r>
      <w:r w:rsidR="00C0530D" w:rsidRPr="00F7430C">
        <w:rPr>
          <w:sz w:val="24"/>
          <w:szCs w:val="24"/>
        </w:rPr>
        <w:t>regulations at 52 Pa.</w:t>
      </w:r>
      <w:r w:rsidR="002434EB" w:rsidRPr="00F7430C">
        <w:rPr>
          <w:sz w:val="24"/>
          <w:szCs w:val="24"/>
        </w:rPr>
        <w:t xml:space="preserve">Code </w:t>
      </w:r>
      <w:r w:rsidR="00C0530D" w:rsidRPr="00F7430C">
        <w:rPr>
          <w:sz w:val="24"/>
          <w:szCs w:val="24"/>
        </w:rPr>
        <w:t xml:space="preserve">§§ 54.71-54.78, relating to electric universal service and energy conservation requirements and at 52 Pa.Code §§ 62.1-62.8, relating to natural gas and universal service and energy conservation requirements.  On October 25, 2012, PECO filed an Amended USECP.  </w:t>
      </w:r>
    </w:p>
    <w:p w:rsidR="002434EB" w:rsidRPr="00F7430C" w:rsidRDefault="002434EB" w:rsidP="00EF4A09">
      <w:pPr>
        <w:spacing w:line="360" w:lineRule="auto"/>
        <w:rPr>
          <w:sz w:val="24"/>
          <w:szCs w:val="24"/>
        </w:rPr>
      </w:pPr>
    </w:p>
    <w:p w:rsidR="00C0530D" w:rsidRPr="00F7430C" w:rsidRDefault="0048600C"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On October 31, 2012, PECO filed its APPRISE</w:t>
      </w:r>
      <w:r w:rsidR="00C15633">
        <w:rPr>
          <w:rStyle w:val="FootnoteReference"/>
          <w:sz w:val="24"/>
          <w:szCs w:val="24"/>
        </w:rPr>
        <w:footnoteReference w:id="1"/>
      </w:r>
      <w:r w:rsidR="00C0530D" w:rsidRPr="00F7430C">
        <w:rPr>
          <w:sz w:val="24"/>
          <w:szCs w:val="24"/>
        </w:rPr>
        <w:t xml:space="preserve"> six-year evaluation in compliance with 52 Pa.Code § 54.76.</w:t>
      </w:r>
    </w:p>
    <w:p w:rsidR="002434EB" w:rsidRPr="00F7430C" w:rsidRDefault="002434EB" w:rsidP="00EF4A09">
      <w:pPr>
        <w:spacing w:line="360" w:lineRule="auto"/>
        <w:rPr>
          <w:sz w:val="24"/>
          <w:szCs w:val="24"/>
        </w:rPr>
      </w:pPr>
    </w:p>
    <w:p w:rsidR="00C0530D" w:rsidRPr="00F7430C" w:rsidRDefault="0048600C" w:rsidP="00EF4A09">
      <w:pPr>
        <w:spacing w:line="360" w:lineRule="auto"/>
        <w:rPr>
          <w:sz w:val="24"/>
          <w:szCs w:val="24"/>
        </w:rPr>
      </w:pPr>
      <w:r w:rsidRPr="00F7430C">
        <w:rPr>
          <w:sz w:val="24"/>
          <w:szCs w:val="24"/>
        </w:rPr>
        <w:tab/>
      </w:r>
      <w:r w:rsidR="00C0530D" w:rsidRPr="00F7430C">
        <w:rPr>
          <w:sz w:val="24"/>
          <w:szCs w:val="24"/>
        </w:rPr>
        <w:tab/>
        <w:t>On November 8, 2012, the Commission entered a Tentative Order and requested Comments on twelve issues.  Two of the principle issues were whether PECO’s current seven-tier CAP Rate program should be changed to a Percentage of Income Payment Program (</w:t>
      </w:r>
      <w:r w:rsidRPr="00F7430C">
        <w:rPr>
          <w:sz w:val="24"/>
          <w:szCs w:val="24"/>
        </w:rPr>
        <w:t>“</w:t>
      </w:r>
      <w:r w:rsidR="00C0530D" w:rsidRPr="00F7430C">
        <w:rPr>
          <w:sz w:val="24"/>
          <w:szCs w:val="24"/>
        </w:rPr>
        <w:t>PIP</w:t>
      </w:r>
      <w:r w:rsidRPr="00F7430C">
        <w:rPr>
          <w:sz w:val="24"/>
          <w:szCs w:val="24"/>
        </w:rPr>
        <w:t>”</w:t>
      </w:r>
      <w:r w:rsidR="00C0530D" w:rsidRPr="00F7430C">
        <w:rPr>
          <w:sz w:val="24"/>
          <w:szCs w:val="24"/>
        </w:rPr>
        <w:t>) and whether an alternative program structure would address affordability issues raised by the Commission.  The Commission also sought information on the costs and benefits of such a program.  Further, the Commission asked what the impact of switching to a PIP would be on a CAP customer</w:t>
      </w:r>
      <w:r w:rsidR="00325A87" w:rsidRPr="00F7430C">
        <w:rPr>
          <w:sz w:val="24"/>
          <w:szCs w:val="24"/>
        </w:rPr>
        <w:t>’</w:t>
      </w:r>
      <w:r w:rsidR="00C0530D" w:rsidRPr="00F7430C">
        <w:rPr>
          <w:sz w:val="24"/>
          <w:szCs w:val="24"/>
        </w:rPr>
        <w:t xml:space="preserve">s ability to shop.  </w:t>
      </w:r>
      <w:r w:rsidR="00C0530D" w:rsidRPr="00F7430C">
        <w:rPr>
          <w:i/>
          <w:sz w:val="24"/>
          <w:szCs w:val="24"/>
        </w:rPr>
        <w:t>See</w:t>
      </w:r>
      <w:r w:rsidR="00C0530D" w:rsidRPr="00F7430C">
        <w:rPr>
          <w:sz w:val="24"/>
          <w:szCs w:val="24"/>
        </w:rPr>
        <w:t xml:space="preserve"> </w:t>
      </w:r>
      <w:r w:rsidR="00C0530D" w:rsidRPr="00F7430C">
        <w:rPr>
          <w:i/>
          <w:sz w:val="24"/>
          <w:szCs w:val="24"/>
        </w:rPr>
        <w:t>PECO Energy Company Universal Service and Energy Conservation Plan for 2013-2015 Submitted in Compliance with 52 Pa.Code §§ 54.74 and 62.4</w:t>
      </w:r>
      <w:r w:rsidR="00C0530D" w:rsidRPr="00F7430C">
        <w:rPr>
          <w:sz w:val="24"/>
          <w:szCs w:val="24"/>
        </w:rPr>
        <w:t xml:space="preserve">, Docket No. M-2012-2290911, </w:t>
      </w:r>
      <w:r w:rsidR="00C0530D" w:rsidRPr="00F7430C">
        <w:rPr>
          <w:i/>
          <w:sz w:val="24"/>
          <w:szCs w:val="24"/>
        </w:rPr>
        <w:t>Tentative Order</w:t>
      </w:r>
      <w:r w:rsidR="00C0530D" w:rsidRPr="00F7430C">
        <w:rPr>
          <w:sz w:val="24"/>
          <w:szCs w:val="24"/>
        </w:rPr>
        <w:t xml:space="preserve"> (November 8, 2012); </w:t>
      </w:r>
      <w:r w:rsidR="00C0530D" w:rsidRPr="00F7430C">
        <w:rPr>
          <w:i/>
          <w:sz w:val="24"/>
          <w:szCs w:val="24"/>
        </w:rPr>
        <w:t>Petition of PECO Energy Company for Approval of its Default Service program (DSP II)</w:t>
      </w:r>
      <w:r w:rsidR="00C0530D" w:rsidRPr="00F7430C">
        <w:rPr>
          <w:sz w:val="24"/>
          <w:szCs w:val="24"/>
        </w:rPr>
        <w:t>, Docket No. P-2012-2283641, Order at Ordering ¶ 18 (</w:t>
      </w:r>
      <w:r w:rsidR="00347894">
        <w:rPr>
          <w:sz w:val="24"/>
          <w:szCs w:val="24"/>
        </w:rPr>
        <w:t xml:space="preserve">Opinion and </w:t>
      </w:r>
      <w:r w:rsidR="00325A87" w:rsidRPr="00F7430C">
        <w:rPr>
          <w:sz w:val="24"/>
          <w:szCs w:val="24"/>
        </w:rPr>
        <w:t xml:space="preserve">Order entered </w:t>
      </w:r>
      <w:r w:rsidR="00C0530D" w:rsidRPr="00F7430C">
        <w:rPr>
          <w:sz w:val="24"/>
          <w:szCs w:val="24"/>
        </w:rPr>
        <w:t>October 12, 2012) (</w:t>
      </w:r>
      <w:r w:rsidR="00C0530D" w:rsidRPr="00F7430C">
        <w:rPr>
          <w:i/>
          <w:sz w:val="24"/>
          <w:szCs w:val="24"/>
        </w:rPr>
        <w:t>DSP II Order</w:t>
      </w:r>
      <w:r w:rsidR="00C0530D" w:rsidRPr="00F7430C">
        <w:rPr>
          <w:sz w:val="24"/>
          <w:szCs w:val="24"/>
        </w:rPr>
        <w:t>).</w:t>
      </w:r>
    </w:p>
    <w:p w:rsidR="0048600C" w:rsidRPr="00F7430C" w:rsidRDefault="0048600C" w:rsidP="00EF4A09">
      <w:pPr>
        <w:spacing w:line="360" w:lineRule="auto"/>
        <w:contextualSpacing/>
        <w:rPr>
          <w:sz w:val="24"/>
          <w:szCs w:val="24"/>
        </w:rPr>
      </w:pPr>
    </w:p>
    <w:p w:rsidR="00267085" w:rsidRPr="00F7430C" w:rsidRDefault="00267085" w:rsidP="00EF4A09">
      <w:pPr>
        <w:spacing w:line="360" w:lineRule="auto"/>
        <w:rPr>
          <w:sz w:val="24"/>
          <w:szCs w:val="24"/>
        </w:rPr>
      </w:pPr>
      <w:r w:rsidRPr="00F7430C">
        <w:rPr>
          <w:sz w:val="24"/>
          <w:szCs w:val="24"/>
        </w:rPr>
        <w:tab/>
      </w:r>
      <w:r w:rsidRPr="00F7430C">
        <w:rPr>
          <w:sz w:val="24"/>
          <w:szCs w:val="24"/>
        </w:rPr>
        <w:tab/>
        <w:t xml:space="preserve">On November 15, 2012, H. Gil Peach and Associate, LLC., filed Comments in response to the Tentative Order.  On November 28, 2012, </w:t>
      </w:r>
      <w:r w:rsidR="00472F69" w:rsidRPr="00F7430C">
        <w:rPr>
          <w:sz w:val="24"/>
          <w:szCs w:val="24"/>
        </w:rPr>
        <w:t>the Office of Consumer Advocate (the “OCA”);</w:t>
      </w:r>
      <w:r w:rsidRPr="00F7430C">
        <w:rPr>
          <w:sz w:val="24"/>
          <w:szCs w:val="24"/>
        </w:rPr>
        <w:t xml:space="preserve"> PECO; Tenant Union Representative Network (</w:t>
      </w:r>
      <w:r w:rsidR="00472F69" w:rsidRPr="00F7430C">
        <w:rPr>
          <w:sz w:val="24"/>
          <w:szCs w:val="24"/>
        </w:rPr>
        <w:t>“</w:t>
      </w:r>
      <w:r w:rsidRPr="00F7430C">
        <w:rPr>
          <w:sz w:val="24"/>
          <w:szCs w:val="24"/>
        </w:rPr>
        <w:t>TURN</w:t>
      </w:r>
      <w:r w:rsidR="00472F69" w:rsidRPr="00F7430C">
        <w:rPr>
          <w:sz w:val="24"/>
          <w:szCs w:val="24"/>
        </w:rPr>
        <w:t>”</w:t>
      </w:r>
      <w:r w:rsidRPr="00F7430C">
        <w:rPr>
          <w:sz w:val="24"/>
          <w:szCs w:val="24"/>
        </w:rPr>
        <w:t>), and Action Alliance of Senior Citizens of Greater Philadelphia (</w:t>
      </w:r>
      <w:r w:rsidR="00472F69" w:rsidRPr="00F7430C">
        <w:rPr>
          <w:sz w:val="24"/>
          <w:szCs w:val="24"/>
        </w:rPr>
        <w:t>“</w:t>
      </w:r>
      <w:r w:rsidRPr="00F7430C">
        <w:rPr>
          <w:sz w:val="24"/>
          <w:szCs w:val="24"/>
        </w:rPr>
        <w:t>Action Alliance</w:t>
      </w:r>
      <w:r w:rsidR="00472F69" w:rsidRPr="00F7430C">
        <w:rPr>
          <w:sz w:val="24"/>
          <w:szCs w:val="24"/>
        </w:rPr>
        <w:t>”</w:t>
      </w:r>
      <w:r w:rsidR="003231B0">
        <w:rPr>
          <w:sz w:val="24"/>
          <w:szCs w:val="24"/>
        </w:rPr>
        <w:t xml:space="preserve">) </w:t>
      </w:r>
      <w:r w:rsidRPr="00F7430C">
        <w:rPr>
          <w:sz w:val="24"/>
          <w:szCs w:val="24"/>
        </w:rPr>
        <w:t xml:space="preserve">(collectively referred to as </w:t>
      </w:r>
      <w:r w:rsidR="00472F69" w:rsidRPr="00F7430C">
        <w:rPr>
          <w:sz w:val="24"/>
          <w:szCs w:val="24"/>
        </w:rPr>
        <w:t>“</w:t>
      </w:r>
      <w:r w:rsidR="00351026">
        <w:rPr>
          <w:sz w:val="24"/>
          <w:szCs w:val="24"/>
        </w:rPr>
        <w:t>TURN et al.</w:t>
      </w:r>
      <w:r w:rsidR="00472F69" w:rsidRPr="00F7430C">
        <w:rPr>
          <w:i/>
          <w:sz w:val="24"/>
          <w:szCs w:val="24"/>
        </w:rPr>
        <w:t>”</w:t>
      </w:r>
      <w:r w:rsidRPr="00F7430C">
        <w:rPr>
          <w:sz w:val="24"/>
          <w:szCs w:val="24"/>
        </w:rPr>
        <w:t>); The Coalition for Affordable Utility Services and Energy Efficiency in Pennsylvania (</w:t>
      </w:r>
      <w:r w:rsidR="00472F69" w:rsidRPr="00F7430C">
        <w:rPr>
          <w:sz w:val="24"/>
          <w:szCs w:val="24"/>
        </w:rPr>
        <w:t>“</w:t>
      </w:r>
      <w:r w:rsidRPr="00F7430C">
        <w:rPr>
          <w:sz w:val="24"/>
          <w:szCs w:val="24"/>
        </w:rPr>
        <w:t>CAUSE-PA</w:t>
      </w:r>
      <w:r w:rsidR="00472F69" w:rsidRPr="00F7430C">
        <w:rPr>
          <w:sz w:val="24"/>
          <w:szCs w:val="24"/>
        </w:rPr>
        <w:t>”</w:t>
      </w:r>
      <w:r w:rsidRPr="00F7430C">
        <w:rPr>
          <w:sz w:val="24"/>
          <w:szCs w:val="24"/>
        </w:rPr>
        <w:t>); Pennsylvania Coalition Against Domestic Violence (</w:t>
      </w:r>
      <w:r w:rsidR="00472F69" w:rsidRPr="00F7430C">
        <w:rPr>
          <w:sz w:val="24"/>
          <w:szCs w:val="24"/>
        </w:rPr>
        <w:t>“</w:t>
      </w:r>
      <w:r w:rsidRPr="00F7430C">
        <w:rPr>
          <w:sz w:val="24"/>
          <w:szCs w:val="24"/>
        </w:rPr>
        <w:t>PCADV</w:t>
      </w:r>
      <w:r w:rsidR="00472F69" w:rsidRPr="00F7430C">
        <w:rPr>
          <w:sz w:val="24"/>
          <w:szCs w:val="24"/>
        </w:rPr>
        <w:t>”</w:t>
      </w:r>
      <w:r w:rsidRPr="00F7430C">
        <w:rPr>
          <w:sz w:val="24"/>
          <w:szCs w:val="24"/>
        </w:rPr>
        <w:t xml:space="preserve">); and Face to Face filed Comments. </w:t>
      </w:r>
    </w:p>
    <w:p w:rsidR="00267085" w:rsidRPr="00F7430C" w:rsidRDefault="00267085" w:rsidP="00EF4A09">
      <w:pPr>
        <w:spacing w:line="360" w:lineRule="auto"/>
        <w:contextualSpacing/>
        <w:rPr>
          <w:sz w:val="24"/>
          <w:szCs w:val="24"/>
        </w:rPr>
      </w:pPr>
    </w:p>
    <w:p w:rsidR="00267085" w:rsidRPr="00F7430C" w:rsidRDefault="00267085" w:rsidP="00EF4A09">
      <w:pPr>
        <w:spacing w:line="360" w:lineRule="auto"/>
        <w:rPr>
          <w:sz w:val="24"/>
          <w:szCs w:val="24"/>
        </w:rPr>
      </w:pPr>
      <w:r w:rsidRPr="00F7430C">
        <w:rPr>
          <w:sz w:val="24"/>
          <w:szCs w:val="24"/>
        </w:rPr>
        <w:tab/>
      </w:r>
      <w:r w:rsidRPr="00F7430C">
        <w:rPr>
          <w:sz w:val="24"/>
          <w:szCs w:val="24"/>
        </w:rPr>
        <w:tab/>
      </w:r>
      <w:r w:rsidR="00351026">
        <w:rPr>
          <w:sz w:val="24"/>
          <w:szCs w:val="24"/>
        </w:rPr>
        <w:t>TURN et al.</w:t>
      </w:r>
      <w:r w:rsidR="009A1F40" w:rsidRPr="00F7430C">
        <w:rPr>
          <w:sz w:val="24"/>
          <w:szCs w:val="24"/>
        </w:rPr>
        <w:t xml:space="preserve">, PECO and the OCA filed </w:t>
      </w:r>
      <w:r w:rsidRPr="00F7430C">
        <w:rPr>
          <w:sz w:val="24"/>
          <w:szCs w:val="24"/>
        </w:rPr>
        <w:t>Reply Comments on December 10, 2012</w:t>
      </w:r>
      <w:r w:rsidR="009A1F40" w:rsidRPr="00F7430C">
        <w:rPr>
          <w:sz w:val="24"/>
          <w:szCs w:val="24"/>
        </w:rPr>
        <w:t>.</w:t>
      </w:r>
      <w:r w:rsidRPr="00F7430C">
        <w:rPr>
          <w:sz w:val="24"/>
          <w:szCs w:val="24"/>
        </w:rPr>
        <w:t xml:space="preserve">  </w:t>
      </w:r>
    </w:p>
    <w:p w:rsidR="00267085" w:rsidRPr="00F7430C" w:rsidRDefault="00267085" w:rsidP="00EF4A09">
      <w:pPr>
        <w:spacing w:line="360" w:lineRule="auto"/>
        <w:contextualSpacing/>
        <w:rPr>
          <w:sz w:val="24"/>
          <w:szCs w:val="24"/>
        </w:rPr>
      </w:pPr>
    </w:p>
    <w:p w:rsidR="00C0530D" w:rsidRPr="00F7430C" w:rsidRDefault="00267085" w:rsidP="00EF4A09">
      <w:pPr>
        <w:spacing w:line="360" w:lineRule="auto"/>
        <w:contextualSpacing/>
        <w:rPr>
          <w:sz w:val="24"/>
          <w:szCs w:val="24"/>
        </w:rPr>
      </w:pPr>
      <w:r w:rsidRPr="00F7430C">
        <w:rPr>
          <w:sz w:val="24"/>
          <w:szCs w:val="24"/>
        </w:rPr>
        <w:tab/>
      </w:r>
      <w:r w:rsidRPr="00F7430C">
        <w:rPr>
          <w:sz w:val="24"/>
          <w:szCs w:val="24"/>
        </w:rPr>
        <w:tab/>
      </w:r>
      <w:r w:rsidR="00C0530D" w:rsidRPr="00F7430C">
        <w:rPr>
          <w:sz w:val="24"/>
          <w:szCs w:val="24"/>
        </w:rPr>
        <w:t>By Secretarial Letter dated January 3, 2013, the matter was referred to the Office of Administrative Law Judge to conduct evidentiary hearings and to certify the record to the Commission by March 1, 2013.  The matter was assigned to A</w:t>
      </w:r>
      <w:r w:rsidR="00EF4A09">
        <w:rPr>
          <w:sz w:val="24"/>
          <w:szCs w:val="24"/>
        </w:rPr>
        <w:t>dministrative Law Judge Cynthia </w:t>
      </w:r>
      <w:r w:rsidR="00C0530D" w:rsidRPr="00F7430C">
        <w:rPr>
          <w:sz w:val="24"/>
          <w:szCs w:val="24"/>
        </w:rPr>
        <w:t>Williams Fordham.</w:t>
      </w:r>
    </w:p>
    <w:p w:rsidR="00325A87" w:rsidRPr="00F7430C" w:rsidRDefault="00325A87" w:rsidP="00EF4A09">
      <w:pPr>
        <w:spacing w:line="360" w:lineRule="auto"/>
        <w:rPr>
          <w:sz w:val="24"/>
          <w:szCs w:val="24"/>
        </w:rPr>
      </w:pPr>
    </w:p>
    <w:p w:rsidR="00325A87" w:rsidRPr="00F7430C" w:rsidRDefault="00325A87" w:rsidP="00EF4A09">
      <w:pPr>
        <w:spacing w:line="360" w:lineRule="auto"/>
        <w:rPr>
          <w:sz w:val="24"/>
          <w:szCs w:val="24"/>
        </w:rPr>
      </w:pPr>
      <w:r w:rsidRPr="00F7430C">
        <w:rPr>
          <w:sz w:val="24"/>
          <w:szCs w:val="24"/>
        </w:rPr>
        <w:tab/>
      </w:r>
      <w:r w:rsidRPr="00F7430C">
        <w:rPr>
          <w:sz w:val="24"/>
          <w:szCs w:val="24"/>
        </w:rPr>
        <w:tab/>
        <w:t xml:space="preserve">PECO, CAUSE-PA, </w:t>
      </w:r>
      <w:r w:rsidR="00826E95" w:rsidRPr="00F7430C">
        <w:rPr>
          <w:sz w:val="24"/>
          <w:szCs w:val="24"/>
        </w:rPr>
        <w:t>the OCA</w:t>
      </w:r>
      <w:r w:rsidRPr="00F7430C">
        <w:rPr>
          <w:sz w:val="24"/>
          <w:szCs w:val="24"/>
        </w:rPr>
        <w:t xml:space="preserve"> and </w:t>
      </w:r>
      <w:r w:rsidR="00351026">
        <w:rPr>
          <w:sz w:val="24"/>
          <w:szCs w:val="24"/>
        </w:rPr>
        <w:t>TURN et al.</w:t>
      </w:r>
      <w:r w:rsidRPr="00F7430C">
        <w:rPr>
          <w:sz w:val="24"/>
          <w:szCs w:val="24"/>
        </w:rPr>
        <w:t xml:space="preserve"> and several other parties served testimony prior to the hearing. </w:t>
      </w:r>
    </w:p>
    <w:p w:rsidR="00325A87" w:rsidRPr="00F7430C" w:rsidRDefault="00325A87" w:rsidP="00EF4A09">
      <w:pPr>
        <w:spacing w:line="360" w:lineRule="auto"/>
        <w:rPr>
          <w:sz w:val="24"/>
          <w:szCs w:val="24"/>
        </w:rPr>
      </w:pPr>
    </w:p>
    <w:p w:rsidR="00CC142D" w:rsidRPr="00F7430C" w:rsidRDefault="00CC142D" w:rsidP="00EF4A09">
      <w:pPr>
        <w:spacing w:line="360" w:lineRule="auto"/>
        <w:rPr>
          <w:sz w:val="24"/>
          <w:szCs w:val="24"/>
        </w:rPr>
      </w:pPr>
      <w:r w:rsidRPr="00F7430C">
        <w:rPr>
          <w:sz w:val="24"/>
          <w:szCs w:val="24"/>
        </w:rPr>
        <w:tab/>
      </w:r>
      <w:r w:rsidRPr="00F7430C">
        <w:rPr>
          <w:sz w:val="24"/>
          <w:szCs w:val="24"/>
        </w:rPr>
        <w:tab/>
      </w:r>
      <w:r w:rsidR="00351026">
        <w:rPr>
          <w:sz w:val="24"/>
          <w:szCs w:val="24"/>
        </w:rPr>
        <w:t>TURN et al.</w:t>
      </w:r>
      <w:r w:rsidRPr="00F7430C">
        <w:rPr>
          <w:sz w:val="24"/>
          <w:szCs w:val="24"/>
        </w:rPr>
        <w:t xml:space="preserve"> served the direct and rebuttal testimony of Hugh Gilbert Peach. </w:t>
      </w:r>
    </w:p>
    <w:p w:rsidR="00682760" w:rsidRDefault="00682760" w:rsidP="00EF4A09">
      <w:pPr>
        <w:spacing w:line="360" w:lineRule="auto"/>
        <w:rPr>
          <w:sz w:val="24"/>
          <w:szCs w:val="24"/>
        </w:rPr>
      </w:pPr>
    </w:p>
    <w:p w:rsidR="00325A87" w:rsidRPr="00F7430C" w:rsidRDefault="00325A87" w:rsidP="00EF4A09">
      <w:pPr>
        <w:spacing w:line="360" w:lineRule="auto"/>
        <w:rPr>
          <w:sz w:val="24"/>
          <w:szCs w:val="24"/>
        </w:rPr>
      </w:pPr>
      <w:r w:rsidRPr="00F7430C">
        <w:rPr>
          <w:sz w:val="24"/>
          <w:szCs w:val="24"/>
        </w:rPr>
        <w:tab/>
      </w:r>
      <w:r w:rsidRPr="00F7430C">
        <w:rPr>
          <w:sz w:val="24"/>
          <w:szCs w:val="24"/>
        </w:rPr>
        <w:tab/>
        <w:t xml:space="preserve">CAUSE-PA served the direct and rebuttal testimony of Mitchell Miller and the direct testimony of Maripat Pileggi.  Mr. Miller’s testimony focused on the need to achieve an affordable energy burden for low-income customers through modifications to PECO’s existing CAP program.  In his rebuttal testimony, Mr. Miller supported the conclusions of Mr. H. Gil Peach, expert witness for TURN </w:t>
      </w:r>
      <w:r w:rsidRPr="00F7430C">
        <w:rPr>
          <w:i/>
          <w:sz w:val="24"/>
          <w:szCs w:val="24"/>
        </w:rPr>
        <w:t>et al</w:t>
      </w:r>
      <w:r w:rsidRPr="00F7430C">
        <w:rPr>
          <w:sz w:val="24"/>
          <w:szCs w:val="24"/>
        </w:rPr>
        <w:t>., “that a [Percentage of Income Program] PIP model has the ability to produce bills that are within the Commission’s guidelines for each CAP participant.”  (See CAUSE-PA St. 1R, at 3-4).  CAUSE</w:t>
      </w:r>
      <w:r w:rsidR="00CC142D" w:rsidRPr="00F7430C">
        <w:rPr>
          <w:sz w:val="24"/>
          <w:szCs w:val="24"/>
        </w:rPr>
        <w:t>-</w:t>
      </w:r>
      <w:r w:rsidRPr="00F7430C">
        <w:rPr>
          <w:sz w:val="24"/>
          <w:szCs w:val="24"/>
        </w:rPr>
        <w:t>PA Statement in Support at 2, 3</w:t>
      </w:r>
      <w:r w:rsidR="00CC142D" w:rsidRPr="00F7430C">
        <w:rPr>
          <w:sz w:val="24"/>
          <w:szCs w:val="24"/>
        </w:rPr>
        <w:t>.</w:t>
      </w:r>
    </w:p>
    <w:p w:rsidR="00325A87" w:rsidRPr="00F7430C" w:rsidRDefault="00325A87" w:rsidP="00EF4A09">
      <w:pPr>
        <w:spacing w:line="360" w:lineRule="auto"/>
        <w:rPr>
          <w:sz w:val="24"/>
          <w:szCs w:val="24"/>
        </w:rPr>
      </w:pPr>
    </w:p>
    <w:p w:rsidR="00CC142D" w:rsidRPr="00F7430C" w:rsidRDefault="009A1F40" w:rsidP="00EF4A09">
      <w:pPr>
        <w:spacing w:line="360" w:lineRule="auto"/>
        <w:rPr>
          <w:sz w:val="24"/>
          <w:szCs w:val="24"/>
        </w:rPr>
      </w:pPr>
      <w:r w:rsidRPr="00F7430C">
        <w:rPr>
          <w:sz w:val="24"/>
          <w:szCs w:val="24"/>
        </w:rPr>
        <w:tab/>
      </w:r>
      <w:r w:rsidRPr="00F7430C">
        <w:rPr>
          <w:sz w:val="24"/>
          <w:szCs w:val="24"/>
        </w:rPr>
        <w:tab/>
      </w:r>
      <w:r w:rsidR="00826E95" w:rsidRPr="00F7430C">
        <w:rPr>
          <w:sz w:val="24"/>
          <w:szCs w:val="24"/>
        </w:rPr>
        <w:t>The OCA</w:t>
      </w:r>
      <w:r w:rsidR="00267085" w:rsidRPr="00F7430C">
        <w:rPr>
          <w:sz w:val="24"/>
          <w:szCs w:val="24"/>
        </w:rPr>
        <w:t xml:space="preserve"> served the direct and rebuttal testimony of Roger Colton</w:t>
      </w:r>
      <w:r w:rsidR="00CC142D" w:rsidRPr="00F7430C">
        <w:rPr>
          <w:sz w:val="24"/>
          <w:szCs w:val="24"/>
        </w:rPr>
        <w:t xml:space="preserve">.  </w:t>
      </w:r>
      <w:r w:rsidR="00267085" w:rsidRPr="00F7430C">
        <w:rPr>
          <w:sz w:val="24"/>
          <w:szCs w:val="24"/>
        </w:rPr>
        <w:t xml:space="preserve">In his Direct Testimony, Mr. Colton offered for consideration a </w:t>
      </w:r>
      <w:r w:rsidR="00CC142D" w:rsidRPr="00F7430C">
        <w:rPr>
          <w:sz w:val="24"/>
          <w:szCs w:val="24"/>
        </w:rPr>
        <w:t>modified Percentage of Income Program (“</w:t>
      </w:r>
      <w:r w:rsidR="00267085" w:rsidRPr="00F7430C">
        <w:rPr>
          <w:sz w:val="24"/>
          <w:szCs w:val="24"/>
        </w:rPr>
        <w:t>PIP</w:t>
      </w:r>
      <w:r w:rsidR="00CC142D" w:rsidRPr="00F7430C">
        <w:rPr>
          <w:sz w:val="24"/>
          <w:szCs w:val="24"/>
        </w:rPr>
        <w:t>”)</w:t>
      </w:r>
      <w:r w:rsidR="00267085" w:rsidRPr="00F7430C">
        <w:rPr>
          <w:sz w:val="24"/>
          <w:szCs w:val="24"/>
        </w:rPr>
        <w:t xml:space="preserve"> called a “fixed credit” PIP.</w:t>
      </w:r>
      <w:r w:rsidR="00CC142D" w:rsidRPr="00F7430C">
        <w:rPr>
          <w:sz w:val="24"/>
          <w:szCs w:val="24"/>
        </w:rPr>
        <w:t xml:space="preserve">  OCA Statement in Support at 2, CAUSE-PA Statement in Support at 3.  He argued that a “fixed credit” PIP would be more cost effective than a straight PIP and would achieve a higher level of affordability than the existing program.  (See Colton St. 1, at 19-20.) </w:t>
      </w:r>
      <w:r w:rsidR="00040348" w:rsidRPr="00F7430C">
        <w:rPr>
          <w:sz w:val="24"/>
          <w:szCs w:val="24"/>
        </w:rPr>
        <w:t xml:space="preserve"> </w:t>
      </w:r>
      <w:r w:rsidR="00351026">
        <w:rPr>
          <w:sz w:val="24"/>
          <w:szCs w:val="24"/>
        </w:rPr>
        <w:t>CAUSE-PA</w:t>
      </w:r>
      <w:r w:rsidR="00CC142D" w:rsidRPr="00F7430C">
        <w:rPr>
          <w:sz w:val="24"/>
          <w:szCs w:val="24"/>
        </w:rPr>
        <w:t xml:space="preserve"> Statement in Support at 3.</w:t>
      </w:r>
    </w:p>
    <w:p w:rsidR="00267085" w:rsidRPr="00F7430C" w:rsidRDefault="00267085" w:rsidP="00EF4A09">
      <w:pPr>
        <w:spacing w:line="360" w:lineRule="auto"/>
        <w:rPr>
          <w:sz w:val="24"/>
          <w:szCs w:val="24"/>
        </w:rPr>
      </w:pPr>
    </w:p>
    <w:p w:rsidR="00267085" w:rsidRPr="00F7430C" w:rsidRDefault="00CC142D" w:rsidP="00EF4A09">
      <w:pPr>
        <w:spacing w:line="360" w:lineRule="auto"/>
        <w:rPr>
          <w:sz w:val="24"/>
          <w:szCs w:val="24"/>
        </w:rPr>
      </w:pPr>
      <w:r w:rsidRPr="00F7430C">
        <w:rPr>
          <w:sz w:val="24"/>
          <w:szCs w:val="24"/>
        </w:rPr>
        <w:tab/>
      </w:r>
      <w:r w:rsidRPr="00F7430C">
        <w:rPr>
          <w:sz w:val="24"/>
          <w:szCs w:val="24"/>
        </w:rPr>
        <w:tab/>
        <w:t xml:space="preserve">Evidentiary </w:t>
      </w:r>
      <w:r w:rsidR="00E71E51" w:rsidRPr="00F7430C">
        <w:rPr>
          <w:sz w:val="24"/>
          <w:szCs w:val="24"/>
        </w:rPr>
        <w:t>hearings were</w:t>
      </w:r>
      <w:r w:rsidR="004364F5" w:rsidRPr="00F7430C">
        <w:rPr>
          <w:sz w:val="24"/>
          <w:szCs w:val="24"/>
        </w:rPr>
        <w:t xml:space="preserve"> held on Feb</w:t>
      </w:r>
      <w:r w:rsidR="00682760">
        <w:rPr>
          <w:sz w:val="24"/>
          <w:szCs w:val="24"/>
        </w:rPr>
        <w:t>ruary</w:t>
      </w:r>
      <w:r w:rsidR="004364F5" w:rsidRPr="00F7430C">
        <w:rPr>
          <w:sz w:val="24"/>
          <w:szCs w:val="24"/>
        </w:rPr>
        <w:t xml:space="preserve"> 15, and 19, 2013</w:t>
      </w:r>
      <w:r w:rsidR="00682760">
        <w:rPr>
          <w:sz w:val="24"/>
          <w:szCs w:val="24"/>
        </w:rPr>
        <w:t>,</w:t>
      </w:r>
      <w:r w:rsidRPr="00F7430C">
        <w:rPr>
          <w:sz w:val="24"/>
          <w:szCs w:val="24"/>
        </w:rPr>
        <w:t xml:space="preserve"> in Philadelphia</w:t>
      </w:r>
      <w:r w:rsidR="004364F5" w:rsidRPr="00F7430C">
        <w:rPr>
          <w:sz w:val="24"/>
          <w:szCs w:val="24"/>
        </w:rPr>
        <w:t>.</w:t>
      </w:r>
      <w:r w:rsidRPr="00F7430C">
        <w:rPr>
          <w:sz w:val="24"/>
          <w:szCs w:val="24"/>
        </w:rPr>
        <w:t xml:space="preserve">  The testimony and exhibits of the parties’ witnesses were entered into the record. </w:t>
      </w:r>
    </w:p>
    <w:p w:rsidR="00267085" w:rsidRPr="00F7430C" w:rsidRDefault="00267085" w:rsidP="00EF4A09">
      <w:pPr>
        <w:spacing w:line="360" w:lineRule="auto"/>
        <w:rPr>
          <w:sz w:val="24"/>
          <w:szCs w:val="24"/>
        </w:rPr>
      </w:pPr>
    </w:p>
    <w:p w:rsidR="00267085" w:rsidRPr="00F7430C" w:rsidRDefault="00267085" w:rsidP="00EF4A09">
      <w:pPr>
        <w:spacing w:line="360" w:lineRule="auto"/>
        <w:rPr>
          <w:sz w:val="24"/>
          <w:szCs w:val="24"/>
        </w:rPr>
      </w:pPr>
      <w:r w:rsidRPr="00F7430C">
        <w:rPr>
          <w:sz w:val="24"/>
          <w:szCs w:val="24"/>
        </w:rPr>
        <w:tab/>
      </w:r>
      <w:r w:rsidRPr="00F7430C">
        <w:rPr>
          <w:sz w:val="24"/>
          <w:szCs w:val="24"/>
        </w:rPr>
        <w:tab/>
        <w:t xml:space="preserve">On February 27, 2013, in accordance with the procedural schedule, main briefs were filed by PECO, </w:t>
      </w:r>
      <w:r w:rsidR="00826E95" w:rsidRPr="00F7430C">
        <w:rPr>
          <w:sz w:val="24"/>
          <w:szCs w:val="24"/>
        </w:rPr>
        <w:t>the OCA</w:t>
      </w:r>
      <w:r w:rsidRPr="00F7430C">
        <w:rPr>
          <w:sz w:val="24"/>
          <w:szCs w:val="24"/>
        </w:rPr>
        <w:t xml:space="preserve">, CAUSE-PA, </w:t>
      </w:r>
      <w:r w:rsidR="00351026">
        <w:rPr>
          <w:sz w:val="24"/>
          <w:szCs w:val="24"/>
        </w:rPr>
        <w:t>TURN et al.</w:t>
      </w:r>
      <w:r w:rsidRPr="00F7430C">
        <w:rPr>
          <w:sz w:val="24"/>
          <w:szCs w:val="24"/>
        </w:rPr>
        <w:t>, Direct Energy, PCADV and First Energy Solutions.</w:t>
      </w:r>
    </w:p>
    <w:p w:rsidR="005F7228" w:rsidRPr="00F7430C" w:rsidRDefault="005F7228" w:rsidP="00EF4A09">
      <w:pPr>
        <w:spacing w:line="360" w:lineRule="auto"/>
        <w:rPr>
          <w:i/>
          <w:sz w:val="24"/>
          <w:szCs w:val="24"/>
        </w:rPr>
      </w:pPr>
    </w:p>
    <w:p w:rsidR="00C0530D" w:rsidRPr="00F7430C" w:rsidRDefault="009A1F40"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 xml:space="preserve">The </w:t>
      </w:r>
      <w:r w:rsidR="00267085" w:rsidRPr="00F7430C">
        <w:rPr>
          <w:sz w:val="24"/>
          <w:szCs w:val="24"/>
        </w:rPr>
        <w:t xml:space="preserve">undersigned certified the </w:t>
      </w:r>
      <w:r w:rsidR="00C0530D" w:rsidRPr="00F7430C">
        <w:rPr>
          <w:sz w:val="24"/>
          <w:szCs w:val="24"/>
        </w:rPr>
        <w:t xml:space="preserve">record </w:t>
      </w:r>
      <w:r w:rsidR="00267085" w:rsidRPr="00F7430C">
        <w:rPr>
          <w:sz w:val="24"/>
          <w:szCs w:val="24"/>
        </w:rPr>
        <w:t>t</w:t>
      </w:r>
      <w:r w:rsidR="00C0530D" w:rsidRPr="00F7430C">
        <w:rPr>
          <w:sz w:val="24"/>
          <w:szCs w:val="24"/>
        </w:rPr>
        <w:t>o the Commission on March 1, 2013.</w:t>
      </w:r>
    </w:p>
    <w:p w:rsidR="00E4225E" w:rsidRPr="00F7430C" w:rsidRDefault="00E4225E" w:rsidP="00EF4A09">
      <w:pPr>
        <w:spacing w:line="360" w:lineRule="auto"/>
        <w:rPr>
          <w:sz w:val="24"/>
          <w:szCs w:val="24"/>
        </w:rPr>
      </w:pPr>
    </w:p>
    <w:p w:rsidR="00E5239D" w:rsidRPr="00F7430C" w:rsidRDefault="00267085" w:rsidP="00EF4A09">
      <w:pPr>
        <w:spacing w:line="360" w:lineRule="auto"/>
        <w:contextualSpacing/>
        <w:rPr>
          <w:sz w:val="24"/>
          <w:szCs w:val="24"/>
        </w:rPr>
      </w:pPr>
      <w:r w:rsidRPr="00F7430C">
        <w:rPr>
          <w:sz w:val="24"/>
          <w:szCs w:val="24"/>
        </w:rPr>
        <w:tab/>
      </w:r>
      <w:r w:rsidRPr="00F7430C">
        <w:rPr>
          <w:sz w:val="24"/>
          <w:szCs w:val="24"/>
        </w:rPr>
        <w:tab/>
      </w:r>
      <w:r w:rsidR="00E71E51" w:rsidRPr="00F7430C">
        <w:rPr>
          <w:sz w:val="24"/>
          <w:szCs w:val="24"/>
        </w:rPr>
        <w:t>On April 4, 2013,</w:t>
      </w:r>
      <w:r w:rsidR="00F9518C" w:rsidRPr="00F7430C">
        <w:rPr>
          <w:sz w:val="24"/>
          <w:szCs w:val="24"/>
        </w:rPr>
        <w:t xml:space="preserve"> </w:t>
      </w:r>
      <w:r w:rsidR="00E5239D" w:rsidRPr="00F7430C">
        <w:rPr>
          <w:sz w:val="24"/>
          <w:szCs w:val="24"/>
        </w:rPr>
        <w:t xml:space="preserve">the Commission issued an Order </w:t>
      </w:r>
      <w:r w:rsidR="00E71E51" w:rsidRPr="00F7430C">
        <w:rPr>
          <w:sz w:val="24"/>
          <w:szCs w:val="24"/>
        </w:rPr>
        <w:t>(</w:t>
      </w:r>
      <w:r w:rsidR="00E71E51" w:rsidRPr="00F7430C">
        <w:rPr>
          <w:i/>
          <w:sz w:val="24"/>
          <w:szCs w:val="24"/>
        </w:rPr>
        <w:t>April 4 Order</w:t>
      </w:r>
      <w:r w:rsidR="00E71E51" w:rsidRPr="00F7430C">
        <w:rPr>
          <w:sz w:val="24"/>
          <w:szCs w:val="24"/>
        </w:rPr>
        <w:t xml:space="preserve">) </w:t>
      </w:r>
      <w:r w:rsidR="00E5239D" w:rsidRPr="00F7430C">
        <w:rPr>
          <w:sz w:val="24"/>
          <w:szCs w:val="24"/>
        </w:rPr>
        <w:t>requir</w:t>
      </w:r>
      <w:r w:rsidR="006E5855" w:rsidRPr="00F7430C">
        <w:rPr>
          <w:sz w:val="24"/>
          <w:szCs w:val="24"/>
        </w:rPr>
        <w:t>ing</w:t>
      </w:r>
      <w:r w:rsidR="00E5239D" w:rsidRPr="00F7430C">
        <w:rPr>
          <w:sz w:val="24"/>
          <w:szCs w:val="24"/>
        </w:rPr>
        <w:t xml:space="preserve"> PECO to make certain changes to its 2013-2015 Plan.  The Commission’s Order also directed PECO to conduct a study of the </w:t>
      </w:r>
      <w:r w:rsidR="00E71E51" w:rsidRPr="00F7430C">
        <w:rPr>
          <w:sz w:val="24"/>
          <w:szCs w:val="24"/>
        </w:rPr>
        <w:t>Fixed Credit Option (“</w:t>
      </w:r>
      <w:r w:rsidR="00E5239D" w:rsidRPr="00F7430C">
        <w:rPr>
          <w:sz w:val="24"/>
          <w:szCs w:val="24"/>
        </w:rPr>
        <w:t>FCO</w:t>
      </w:r>
      <w:r w:rsidR="00E71E51" w:rsidRPr="00F7430C">
        <w:rPr>
          <w:sz w:val="24"/>
          <w:szCs w:val="24"/>
        </w:rPr>
        <w:t>”)</w:t>
      </w:r>
      <w:r w:rsidR="00E5239D" w:rsidRPr="00F7430C">
        <w:rPr>
          <w:sz w:val="24"/>
          <w:szCs w:val="24"/>
        </w:rPr>
        <w:t>, and other possible CAP design alternatives, for potential use by PECO in its three-year plan covering the period 2016-2018.</w:t>
      </w:r>
      <w:r w:rsidRPr="00F7430C">
        <w:rPr>
          <w:sz w:val="24"/>
          <w:szCs w:val="24"/>
        </w:rPr>
        <w:t xml:space="preserve"> </w:t>
      </w:r>
      <w:r w:rsidR="003A2E99" w:rsidRPr="00F7430C">
        <w:rPr>
          <w:sz w:val="24"/>
          <w:szCs w:val="24"/>
        </w:rPr>
        <w:t xml:space="preserve"> </w:t>
      </w:r>
      <w:r w:rsidR="00F33BE1" w:rsidRPr="00F7430C">
        <w:rPr>
          <w:sz w:val="24"/>
          <w:szCs w:val="24"/>
        </w:rPr>
        <w:t xml:space="preserve">The Commission directed PECO to test various models to improve the affordability of its CAP program to participants, subject to the limitation of not placing </w:t>
      </w:r>
      <w:r w:rsidR="00682760">
        <w:rPr>
          <w:sz w:val="24"/>
          <w:szCs w:val="24"/>
        </w:rPr>
        <w:t>additional</w:t>
      </w:r>
      <w:r w:rsidR="00F33BE1" w:rsidRPr="00F7430C">
        <w:rPr>
          <w:sz w:val="24"/>
          <w:szCs w:val="24"/>
        </w:rPr>
        <w:t xml:space="preserve"> financial burden</w:t>
      </w:r>
      <w:r w:rsidR="00682760">
        <w:rPr>
          <w:sz w:val="24"/>
          <w:szCs w:val="24"/>
        </w:rPr>
        <w:t>s</w:t>
      </w:r>
      <w:r w:rsidR="00F33BE1" w:rsidRPr="00F7430C">
        <w:rPr>
          <w:sz w:val="24"/>
          <w:szCs w:val="24"/>
        </w:rPr>
        <w:t xml:space="preserve"> on the non-participants.  </w:t>
      </w:r>
      <w:r w:rsidR="00F33BE1" w:rsidRPr="00F7430C">
        <w:rPr>
          <w:i/>
          <w:sz w:val="24"/>
          <w:szCs w:val="24"/>
        </w:rPr>
        <w:t>April 4 Order</w:t>
      </w:r>
      <w:r w:rsidR="00F33BE1" w:rsidRPr="00F7430C">
        <w:rPr>
          <w:sz w:val="24"/>
          <w:szCs w:val="24"/>
        </w:rPr>
        <w:t xml:space="preserve"> at 24. </w:t>
      </w:r>
      <w:r w:rsidR="00F33BE1" w:rsidRPr="00F7430C">
        <w:rPr>
          <w:b/>
          <w:i/>
          <w:sz w:val="24"/>
          <w:szCs w:val="24"/>
        </w:rPr>
        <w:t xml:space="preserve"> </w:t>
      </w:r>
      <w:r w:rsidR="00F9518C" w:rsidRPr="00F7430C">
        <w:rPr>
          <w:sz w:val="24"/>
          <w:szCs w:val="24"/>
        </w:rPr>
        <w:t>The Commission issued its Order in the matter on April 4, 2013</w:t>
      </w:r>
      <w:r w:rsidR="00682760">
        <w:rPr>
          <w:sz w:val="24"/>
          <w:szCs w:val="24"/>
        </w:rPr>
        <w:t>,</w:t>
      </w:r>
      <w:r w:rsidR="00F9518C" w:rsidRPr="00F7430C">
        <w:rPr>
          <w:sz w:val="24"/>
          <w:szCs w:val="24"/>
        </w:rPr>
        <w:t xml:space="preserve"> and directed PECO to file a report on the fixed credit PIP option on or before September 30, 2013.  </w:t>
      </w:r>
      <w:r w:rsidR="009A1F40" w:rsidRPr="00F7430C">
        <w:rPr>
          <w:i/>
          <w:sz w:val="24"/>
          <w:szCs w:val="24"/>
        </w:rPr>
        <w:t>April 4 Order</w:t>
      </w:r>
      <w:r w:rsidR="00F9518C" w:rsidRPr="00F7430C">
        <w:rPr>
          <w:sz w:val="24"/>
          <w:szCs w:val="24"/>
        </w:rPr>
        <w:t xml:space="preserve"> at 24-25.</w:t>
      </w:r>
    </w:p>
    <w:p w:rsidR="00E5239D" w:rsidRPr="00F7430C" w:rsidRDefault="009A1F40" w:rsidP="00EF4A09">
      <w:pPr>
        <w:spacing w:line="360" w:lineRule="auto"/>
        <w:contextualSpacing/>
        <w:rPr>
          <w:sz w:val="24"/>
          <w:szCs w:val="24"/>
        </w:rPr>
      </w:pPr>
      <w:r w:rsidRPr="00F7430C">
        <w:rPr>
          <w:sz w:val="24"/>
          <w:szCs w:val="24"/>
        </w:rPr>
        <w:tab/>
      </w:r>
      <w:r w:rsidR="006E5855" w:rsidRPr="00F7430C">
        <w:rPr>
          <w:sz w:val="24"/>
          <w:szCs w:val="24"/>
        </w:rPr>
        <w:tab/>
      </w:r>
      <w:r w:rsidR="00E5239D" w:rsidRPr="00F7430C">
        <w:rPr>
          <w:sz w:val="24"/>
          <w:szCs w:val="24"/>
        </w:rPr>
        <w:t xml:space="preserve">PECO filed the required report on September 20, 2013.  In that report, PECO recommended </w:t>
      </w:r>
      <w:r w:rsidR="00095C2C" w:rsidRPr="00F7430C">
        <w:rPr>
          <w:sz w:val="24"/>
          <w:szCs w:val="24"/>
        </w:rPr>
        <w:t>keep</w:t>
      </w:r>
      <w:r w:rsidR="00682760">
        <w:rPr>
          <w:sz w:val="24"/>
          <w:szCs w:val="24"/>
        </w:rPr>
        <w:t>ing</w:t>
      </w:r>
      <w:r w:rsidR="00E5239D" w:rsidRPr="00F7430C">
        <w:rPr>
          <w:sz w:val="24"/>
          <w:szCs w:val="24"/>
        </w:rPr>
        <w:t xml:space="preserve"> its existing CAP design</w:t>
      </w:r>
      <w:r w:rsidR="00095C2C" w:rsidRPr="00F7430C">
        <w:rPr>
          <w:sz w:val="24"/>
          <w:szCs w:val="24"/>
        </w:rPr>
        <w:t xml:space="preserve"> instead of changing</w:t>
      </w:r>
      <w:r w:rsidR="00E5239D" w:rsidRPr="00F7430C">
        <w:rPr>
          <w:sz w:val="24"/>
          <w:szCs w:val="24"/>
        </w:rPr>
        <w:t xml:space="preserve"> to the FCO or </w:t>
      </w:r>
      <w:r w:rsidR="00095C2C" w:rsidRPr="00F7430C">
        <w:rPr>
          <w:sz w:val="24"/>
          <w:szCs w:val="24"/>
        </w:rPr>
        <w:t>ano</w:t>
      </w:r>
      <w:r w:rsidR="00E5239D" w:rsidRPr="00F7430C">
        <w:rPr>
          <w:sz w:val="24"/>
          <w:szCs w:val="24"/>
        </w:rPr>
        <w:t>ther alternative design.  The Joint Petitioners filed comments and reply comments on that report.</w:t>
      </w:r>
    </w:p>
    <w:p w:rsidR="00F9518C" w:rsidRPr="00F7430C" w:rsidRDefault="00F9518C" w:rsidP="00EF4A09">
      <w:pPr>
        <w:spacing w:line="360" w:lineRule="auto"/>
        <w:rPr>
          <w:sz w:val="24"/>
          <w:szCs w:val="24"/>
        </w:rPr>
      </w:pPr>
    </w:p>
    <w:p w:rsidR="00E5239D" w:rsidRPr="00F7430C" w:rsidRDefault="00295C4B"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 xml:space="preserve">On September 30, 2013, PECO filed its Report on Alternative Models for Delivery of Customer Assistance Program (CAP) Benefits Submitted Pursuant to the Commission’s April 4, 2013 Order.  </w:t>
      </w:r>
    </w:p>
    <w:p w:rsidR="00E5239D" w:rsidRPr="00F7430C" w:rsidRDefault="00E5239D" w:rsidP="00EF4A09">
      <w:pPr>
        <w:spacing w:line="360" w:lineRule="auto"/>
        <w:rPr>
          <w:sz w:val="24"/>
          <w:szCs w:val="24"/>
        </w:rPr>
      </w:pPr>
    </w:p>
    <w:p w:rsidR="00E5239D" w:rsidRPr="00F7430C" w:rsidRDefault="00295C4B"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 xml:space="preserve">On October 15, 2013, PECO filed Supplemental Information in response to information requests from the OCA, </w:t>
      </w:r>
      <w:r w:rsidR="00351026">
        <w:rPr>
          <w:sz w:val="24"/>
          <w:szCs w:val="24"/>
        </w:rPr>
        <w:t>TURN et al.</w:t>
      </w:r>
      <w:r w:rsidR="00C0530D" w:rsidRPr="00F7430C">
        <w:rPr>
          <w:sz w:val="24"/>
          <w:szCs w:val="24"/>
        </w:rPr>
        <w:t xml:space="preserve"> and CAUSE-PA.  On October 21, 2013, the OCA filed Comments and Attachment A, Review of PECO Energy’s Report on Alternative Models for the Delivery of Customer Assistance Benefits prepared by OCA witness, </w:t>
      </w:r>
      <w:r w:rsidR="00682760">
        <w:rPr>
          <w:sz w:val="24"/>
          <w:szCs w:val="24"/>
        </w:rPr>
        <w:t>M</w:t>
      </w:r>
      <w:r w:rsidR="00C0530D" w:rsidRPr="00F7430C">
        <w:rPr>
          <w:sz w:val="24"/>
          <w:szCs w:val="24"/>
        </w:rPr>
        <w:t>r</w:t>
      </w:r>
      <w:r w:rsidR="00682760">
        <w:rPr>
          <w:sz w:val="24"/>
          <w:szCs w:val="24"/>
        </w:rPr>
        <w:t>.</w:t>
      </w:r>
      <w:r w:rsidR="00C0530D" w:rsidRPr="00F7430C">
        <w:rPr>
          <w:sz w:val="24"/>
          <w:szCs w:val="24"/>
        </w:rPr>
        <w:t xml:space="preserve"> Colton.  Also on October 21, 2013, </w:t>
      </w:r>
      <w:r w:rsidR="00351026">
        <w:rPr>
          <w:sz w:val="24"/>
          <w:szCs w:val="24"/>
        </w:rPr>
        <w:t>TURN et al.</w:t>
      </w:r>
      <w:r w:rsidR="00C0530D" w:rsidRPr="00F7430C">
        <w:rPr>
          <w:sz w:val="24"/>
          <w:szCs w:val="24"/>
        </w:rPr>
        <w:t xml:space="preserve"> and CAUSE-PA filed Comments.  </w:t>
      </w:r>
    </w:p>
    <w:p w:rsidR="00FB4998" w:rsidRPr="00F7430C" w:rsidRDefault="00FB4998" w:rsidP="00EF4A09">
      <w:pPr>
        <w:spacing w:line="360" w:lineRule="auto"/>
        <w:rPr>
          <w:sz w:val="24"/>
          <w:szCs w:val="24"/>
        </w:rPr>
      </w:pPr>
    </w:p>
    <w:p w:rsidR="00C0530D" w:rsidRPr="00F7430C" w:rsidRDefault="00295C4B" w:rsidP="00EF4A09">
      <w:pPr>
        <w:spacing w:line="360" w:lineRule="auto"/>
        <w:rPr>
          <w:sz w:val="24"/>
          <w:szCs w:val="24"/>
        </w:rPr>
      </w:pPr>
      <w:r w:rsidRPr="00F7430C">
        <w:rPr>
          <w:sz w:val="24"/>
          <w:szCs w:val="24"/>
        </w:rPr>
        <w:tab/>
      </w:r>
      <w:r w:rsidRPr="00F7430C">
        <w:rPr>
          <w:sz w:val="24"/>
          <w:szCs w:val="24"/>
        </w:rPr>
        <w:tab/>
      </w:r>
      <w:r w:rsidR="00C0530D" w:rsidRPr="00F7430C">
        <w:rPr>
          <w:sz w:val="24"/>
          <w:szCs w:val="24"/>
        </w:rPr>
        <w:t>On October 31, 2013, the OCA filed Reply Comments.  On November 1, 2013, PECO filed Reply Comments.</w:t>
      </w:r>
    </w:p>
    <w:p w:rsidR="006E5855" w:rsidRPr="00F7430C" w:rsidRDefault="006E5855" w:rsidP="00EF4A09">
      <w:pPr>
        <w:spacing w:line="360" w:lineRule="auto"/>
        <w:contextualSpacing/>
        <w:rPr>
          <w:sz w:val="24"/>
          <w:szCs w:val="24"/>
        </w:rPr>
      </w:pPr>
    </w:p>
    <w:p w:rsidR="007170EB" w:rsidRPr="00F7430C" w:rsidRDefault="00295C4B" w:rsidP="00EF4A09">
      <w:pPr>
        <w:spacing w:line="360" w:lineRule="auto"/>
        <w:contextualSpacing/>
        <w:rPr>
          <w:sz w:val="24"/>
          <w:szCs w:val="24"/>
        </w:rPr>
      </w:pPr>
      <w:r w:rsidRPr="00F7430C">
        <w:rPr>
          <w:sz w:val="24"/>
          <w:szCs w:val="24"/>
        </w:rPr>
        <w:tab/>
      </w:r>
      <w:r w:rsidR="00C0530D" w:rsidRPr="00F7430C">
        <w:rPr>
          <w:sz w:val="24"/>
          <w:szCs w:val="24"/>
        </w:rPr>
        <w:tab/>
        <w:t xml:space="preserve">On April 25, 2014, the Commission issued a Secretarial Letter </w:t>
      </w:r>
      <w:r w:rsidR="00F9518C" w:rsidRPr="00F7430C">
        <w:rPr>
          <w:sz w:val="24"/>
          <w:szCs w:val="24"/>
        </w:rPr>
        <w:t>directing the parties i</w:t>
      </w:r>
      <w:r w:rsidR="00095C2C" w:rsidRPr="00F7430C">
        <w:rPr>
          <w:sz w:val="24"/>
          <w:szCs w:val="24"/>
        </w:rPr>
        <w:t>n thi</w:t>
      </w:r>
      <w:r w:rsidR="00F9518C" w:rsidRPr="00F7430C">
        <w:rPr>
          <w:sz w:val="24"/>
          <w:szCs w:val="24"/>
        </w:rPr>
        <w:t xml:space="preserve">s </w:t>
      </w:r>
      <w:r w:rsidR="00095C2C" w:rsidRPr="00F7430C">
        <w:rPr>
          <w:sz w:val="24"/>
          <w:szCs w:val="24"/>
        </w:rPr>
        <w:t>ma</w:t>
      </w:r>
      <w:r w:rsidR="00F9518C" w:rsidRPr="00F7430C">
        <w:rPr>
          <w:sz w:val="24"/>
          <w:szCs w:val="24"/>
        </w:rPr>
        <w:t>t</w:t>
      </w:r>
      <w:r w:rsidR="00095C2C" w:rsidRPr="00F7430C">
        <w:rPr>
          <w:sz w:val="24"/>
          <w:szCs w:val="24"/>
        </w:rPr>
        <w:t>ter</w:t>
      </w:r>
      <w:r w:rsidR="00F9518C" w:rsidRPr="00F7430C">
        <w:rPr>
          <w:sz w:val="24"/>
          <w:szCs w:val="24"/>
        </w:rPr>
        <w:t xml:space="preserve"> to attempt to reach agreement on a new CAP design.</w:t>
      </w:r>
      <w:r w:rsidR="00C0530D" w:rsidRPr="00F7430C">
        <w:rPr>
          <w:sz w:val="24"/>
          <w:szCs w:val="24"/>
        </w:rPr>
        <w:t xml:space="preserve">  The Secretarial Letter also proposed that the parties utilize the Commission’s Mediation Office.  </w:t>
      </w:r>
      <w:r w:rsidR="00F9518C" w:rsidRPr="00F7430C">
        <w:rPr>
          <w:sz w:val="24"/>
          <w:szCs w:val="24"/>
        </w:rPr>
        <w:t>The Commission requested a status report on July 31, 2014, i</w:t>
      </w:r>
      <w:r w:rsidR="00C0530D" w:rsidRPr="00F7430C">
        <w:rPr>
          <w:sz w:val="24"/>
          <w:szCs w:val="24"/>
        </w:rPr>
        <w:t xml:space="preserve">f </w:t>
      </w:r>
      <w:r w:rsidR="00F9518C" w:rsidRPr="00F7430C">
        <w:rPr>
          <w:sz w:val="24"/>
          <w:szCs w:val="24"/>
        </w:rPr>
        <w:t>the parties had not reached a s</w:t>
      </w:r>
      <w:r w:rsidR="00C0530D" w:rsidRPr="00F7430C">
        <w:rPr>
          <w:sz w:val="24"/>
          <w:szCs w:val="24"/>
        </w:rPr>
        <w:t xml:space="preserve">ettlement.  The parties engaged in extensive settlement discussions with the assistance of Mediator Cynthia Lehman and the parties requested </w:t>
      </w:r>
      <w:r w:rsidR="00095C2C" w:rsidRPr="00F7430C">
        <w:rPr>
          <w:sz w:val="24"/>
          <w:szCs w:val="24"/>
        </w:rPr>
        <w:t xml:space="preserve">a </w:t>
      </w:r>
      <w:r w:rsidR="00C0530D" w:rsidRPr="00F7430C">
        <w:rPr>
          <w:sz w:val="24"/>
          <w:szCs w:val="24"/>
        </w:rPr>
        <w:t xml:space="preserve">further extension until September 25, 2014.  </w:t>
      </w:r>
      <w:r w:rsidR="00095C2C" w:rsidRPr="00F7430C">
        <w:rPr>
          <w:sz w:val="24"/>
          <w:szCs w:val="24"/>
        </w:rPr>
        <w:t xml:space="preserve">PECO, CAUSE-PA, </w:t>
      </w:r>
      <w:r w:rsidR="00826E95" w:rsidRPr="00F7430C">
        <w:rPr>
          <w:sz w:val="24"/>
          <w:szCs w:val="24"/>
        </w:rPr>
        <w:t>the OCA</w:t>
      </w:r>
      <w:r w:rsidR="00095C2C" w:rsidRPr="00F7430C">
        <w:rPr>
          <w:sz w:val="24"/>
          <w:szCs w:val="24"/>
        </w:rPr>
        <w:t xml:space="preserve"> and </w:t>
      </w:r>
      <w:r w:rsidR="00351026">
        <w:rPr>
          <w:sz w:val="24"/>
          <w:szCs w:val="24"/>
        </w:rPr>
        <w:t>TURN et al.</w:t>
      </w:r>
      <w:r w:rsidR="00095C2C" w:rsidRPr="00F7430C">
        <w:rPr>
          <w:sz w:val="24"/>
          <w:szCs w:val="24"/>
        </w:rPr>
        <w:t xml:space="preserve"> participated in a</w:t>
      </w:r>
      <w:r w:rsidR="00F9518C" w:rsidRPr="00F7430C">
        <w:rPr>
          <w:sz w:val="24"/>
          <w:szCs w:val="24"/>
        </w:rPr>
        <w:t>t least eight half</w:t>
      </w:r>
      <w:r w:rsidR="00682760">
        <w:rPr>
          <w:sz w:val="24"/>
          <w:szCs w:val="24"/>
        </w:rPr>
        <w:t xml:space="preserve"> </w:t>
      </w:r>
      <w:r w:rsidR="00F9518C" w:rsidRPr="00F7430C">
        <w:rPr>
          <w:sz w:val="24"/>
          <w:szCs w:val="24"/>
        </w:rPr>
        <w:t>or full day sessions over the next several months</w:t>
      </w:r>
      <w:r w:rsidR="00095C2C" w:rsidRPr="00F7430C">
        <w:rPr>
          <w:sz w:val="24"/>
          <w:szCs w:val="24"/>
        </w:rPr>
        <w:t xml:space="preserve"> and exchanged</w:t>
      </w:r>
      <w:r w:rsidR="00F9518C" w:rsidRPr="00F7430C">
        <w:rPr>
          <w:sz w:val="24"/>
          <w:szCs w:val="24"/>
        </w:rPr>
        <w:t xml:space="preserve"> extensive data and other information.  </w:t>
      </w:r>
      <w:r w:rsidR="00C0530D" w:rsidRPr="00F7430C">
        <w:rPr>
          <w:sz w:val="24"/>
          <w:szCs w:val="24"/>
        </w:rPr>
        <w:t xml:space="preserve">An additional extension was provided until October 30, 2014.  The matter was re-assigned to </w:t>
      </w:r>
      <w:r w:rsidR="00F9518C" w:rsidRPr="00F7430C">
        <w:rPr>
          <w:sz w:val="24"/>
          <w:szCs w:val="24"/>
        </w:rPr>
        <w:t xml:space="preserve">the undersigned again </w:t>
      </w:r>
      <w:r w:rsidR="00C0530D" w:rsidRPr="00F7430C">
        <w:rPr>
          <w:sz w:val="24"/>
          <w:szCs w:val="24"/>
        </w:rPr>
        <w:t xml:space="preserve">in November 2014.  </w:t>
      </w:r>
    </w:p>
    <w:p w:rsidR="00F9518C" w:rsidRPr="00F7430C" w:rsidRDefault="00F9518C" w:rsidP="00EF4A09">
      <w:pPr>
        <w:spacing w:line="360" w:lineRule="auto"/>
        <w:rPr>
          <w:sz w:val="24"/>
          <w:szCs w:val="24"/>
        </w:rPr>
      </w:pPr>
    </w:p>
    <w:p w:rsidR="00F9518C" w:rsidRPr="00F7430C" w:rsidRDefault="006E5855" w:rsidP="00EF4A09">
      <w:pPr>
        <w:spacing w:line="360" w:lineRule="auto"/>
        <w:contextualSpacing/>
        <w:rPr>
          <w:sz w:val="24"/>
          <w:szCs w:val="24"/>
        </w:rPr>
      </w:pPr>
      <w:r w:rsidRPr="00F7430C">
        <w:rPr>
          <w:sz w:val="24"/>
          <w:szCs w:val="24"/>
        </w:rPr>
        <w:tab/>
      </w:r>
      <w:r w:rsidR="00F9518C" w:rsidRPr="00F7430C">
        <w:rPr>
          <w:sz w:val="24"/>
          <w:szCs w:val="24"/>
        </w:rPr>
        <w:tab/>
      </w:r>
      <w:r w:rsidR="00C0530D" w:rsidRPr="00F7430C">
        <w:rPr>
          <w:sz w:val="24"/>
          <w:szCs w:val="24"/>
        </w:rPr>
        <w:t xml:space="preserve">On December 5, 2014, the parties provided a status update to </w:t>
      </w:r>
      <w:r w:rsidR="00095C2C" w:rsidRPr="00F7430C">
        <w:rPr>
          <w:sz w:val="24"/>
          <w:szCs w:val="24"/>
        </w:rPr>
        <w:t>the undersigned</w:t>
      </w:r>
      <w:r w:rsidR="00C0530D" w:rsidRPr="00F7430C">
        <w:rPr>
          <w:sz w:val="24"/>
          <w:szCs w:val="24"/>
        </w:rPr>
        <w:t xml:space="preserve"> that settlement negotiations had resumed.  Further status reports were provided to </w:t>
      </w:r>
      <w:r w:rsidR="00095C2C" w:rsidRPr="00F7430C">
        <w:rPr>
          <w:sz w:val="24"/>
          <w:szCs w:val="24"/>
        </w:rPr>
        <w:t>the undersigned</w:t>
      </w:r>
      <w:r w:rsidR="00C0530D" w:rsidRPr="00F7430C">
        <w:rPr>
          <w:sz w:val="24"/>
          <w:szCs w:val="24"/>
        </w:rPr>
        <w:t xml:space="preserve">, and in March 2015, the parties reported to </w:t>
      </w:r>
      <w:r w:rsidR="00095C2C" w:rsidRPr="00F7430C">
        <w:rPr>
          <w:sz w:val="24"/>
          <w:szCs w:val="24"/>
        </w:rPr>
        <w:t>the undersigned</w:t>
      </w:r>
      <w:r w:rsidR="00C0530D" w:rsidRPr="00F7430C">
        <w:rPr>
          <w:sz w:val="24"/>
          <w:szCs w:val="24"/>
        </w:rPr>
        <w:t xml:space="preserve"> that a settlement in principle had been reached.  </w:t>
      </w:r>
      <w:r w:rsidR="00F9518C" w:rsidRPr="00F7430C">
        <w:rPr>
          <w:sz w:val="24"/>
          <w:szCs w:val="24"/>
        </w:rPr>
        <w:t xml:space="preserve">As a result of that extensive mediation effort and related settlement discussions, </w:t>
      </w:r>
      <w:r w:rsidR="00095C2C" w:rsidRPr="00F7430C">
        <w:rPr>
          <w:sz w:val="24"/>
          <w:szCs w:val="24"/>
        </w:rPr>
        <w:t xml:space="preserve">PECO, CAUSE-PA, </w:t>
      </w:r>
      <w:r w:rsidR="00826E95" w:rsidRPr="00F7430C">
        <w:rPr>
          <w:sz w:val="24"/>
          <w:szCs w:val="24"/>
        </w:rPr>
        <w:t>the OCA</w:t>
      </w:r>
      <w:r w:rsidR="00095C2C" w:rsidRPr="00F7430C">
        <w:rPr>
          <w:sz w:val="24"/>
          <w:szCs w:val="24"/>
        </w:rPr>
        <w:t xml:space="preserve"> and </w:t>
      </w:r>
      <w:r w:rsidR="00351026">
        <w:rPr>
          <w:sz w:val="24"/>
          <w:szCs w:val="24"/>
        </w:rPr>
        <w:t>TURN et al.</w:t>
      </w:r>
      <w:r w:rsidR="00095C2C" w:rsidRPr="00F7430C">
        <w:rPr>
          <w:sz w:val="24"/>
          <w:szCs w:val="24"/>
        </w:rPr>
        <w:t xml:space="preserve"> </w:t>
      </w:r>
      <w:r w:rsidR="00F9518C" w:rsidRPr="00F7430C">
        <w:rPr>
          <w:sz w:val="24"/>
          <w:szCs w:val="24"/>
        </w:rPr>
        <w:t>reached agreement on a new CAP design and related issues, as set forth in the Term Sheet.</w:t>
      </w:r>
    </w:p>
    <w:p w:rsidR="00C0530D" w:rsidRPr="00F7430C" w:rsidRDefault="00C0530D" w:rsidP="00EF4A09">
      <w:pPr>
        <w:spacing w:line="360" w:lineRule="auto"/>
        <w:rPr>
          <w:sz w:val="24"/>
          <w:szCs w:val="24"/>
        </w:rPr>
      </w:pPr>
    </w:p>
    <w:p w:rsidR="008076D5" w:rsidRPr="00F7430C" w:rsidRDefault="006E5855" w:rsidP="00EF4A09">
      <w:pPr>
        <w:pStyle w:val="OutlineL2"/>
        <w:numPr>
          <w:ilvl w:val="0"/>
          <w:numId w:val="0"/>
        </w:numPr>
        <w:tabs>
          <w:tab w:val="left" w:pos="720"/>
        </w:tabs>
        <w:spacing w:after="0" w:line="360" w:lineRule="auto"/>
        <w:rPr>
          <w:szCs w:val="24"/>
        </w:rPr>
      </w:pPr>
      <w:r w:rsidRPr="00F7430C">
        <w:rPr>
          <w:szCs w:val="24"/>
        </w:rPr>
        <w:tab/>
      </w:r>
      <w:r w:rsidRPr="00F7430C">
        <w:rPr>
          <w:szCs w:val="24"/>
        </w:rPr>
        <w:tab/>
      </w:r>
      <w:r w:rsidR="00457A94" w:rsidRPr="00F7430C">
        <w:rPr>
          <w:szCs w:val="24"/>
        </w:rPr>
        <w:t xml:space="preserve">On March 20, 2015, a Joint Petition for Settlement (the “Joint Petition”) was filed in this docket by PECO, the OCA, TURN </w:t>
      </w:r>
      <w:r w:rsidR="00457A94" w:rsidRPr="00351026">
        <w:rPr>
          <w:szCs w:val="24"/>
        </w:rPr>
        <w:t>et al.</w:t>
      </w:r>
      <w:r w:rsidR="00457A94" w:rsidRPr="00F7430C">
        <w:rPr>
          <w:szCs w:val="24"/>
        </w:rPr>
        <w:t xml:space="preserve"> and CAUSE-PA (collectively, the “Joint Petitioners”).</w:t>
      </w:r>
    </w:p>
    <w:p w:rsidR="007170EB" w:rsidRPr="00F7430C" w:rsidRDefault="007170EB" w:rsidP="00EF4A09">
      <w:pPr>
        <w:spacing w:line="360" w:lineRule="auto"/>
        <w:rPr>
          <w:sz w:val="24"/>
          <w:szCs w:val="24"/>
        </w:rPr>
      </w:pPr>
    </w:p>
    <w:p w:rsidR="009A1F40" w:rsidRPr="00F7430C" w:rsidRDefault="006E5855" w:rsidP="00EF4A09">
      <w:pPr>
        <w:suppressAutoHyphens/>
        <w:spacing w:line="360" w:lineRule="auto"/>
        <w:rPr>
          <w:sz w:val="24"/>
          <w:szCs w:val="24"/>
        </w:rPr>
      </w:pPr>
      <w:r w:rsidRPr="00F7430C">
        <w:rPr>
          <w:sz w:val="24"/>
          <w:szCs w:val="24"/>
        </w:rPr>
        <w:tab/>
      </w:r>
      <w:r w:rsidRPr="00F7430C">
        <w:rPr>
          <w:sz w:val="24"/>
          <w:szCs w:val="24"/>
        </w:rPr>
        <w:tab/>
      </w:r>
      <w:r w:rsidR="005842A5" w:rsidRPr="00F7430C">
        <w:rPr>
          <w:sz w:val="24"/>
          <w:szCs w:val="24"/>
        </w:rPr>
        <w:t xml:space="preserve">Subsequently, Statements in Support of the Joint Petition were filed by </w:t>
      </w:r>
      <w:r w:rsidR="00663FD3" w:rsidRPr="00F7430C">
        <w:rPr>
          <w:sz w:val="24"/>
          <w:szCs w:val="24"/>
        </w:rPr>
        <w:t xml:space="preserve">the </w:t>
      </w:r>
      <w:r w:rsidR="00E46750">
        <w:rPr>
          <w:sz w:val="24"/>
          <w:szCs w:val="24"/>
        </w:rPr>
        <w:t>Joint Petitioner</w:t>
      </w:r>
      <w:r w:rsidR="00663FD3" w:rsidRPr="00F7430C">
        <w:rPr>
          <w:sz w:val="24"/>
          <w:szCs w:val="24"/>
        </w:rPr>
        <w:t>s</w:t>
      </w:r>
      <w:r w:rsidR="009A1F40" w:rsidRPr="00F7430C">
        <w:rPr>
          <w:sz w:val="24"/>
          <w:szCs w:val="24"/>
        </w:rPr>
        <w:t xml:space="preserve">, </w:t>
      </w:r>
      <w:r w:rsidR="00040348" w:rsidRPr="00F7430C">
        <w:rPr>
          <w:sz w:val="24"/>
          <w:szCs w:val="24"/>
        </w:rPr>
        <w:t>PECO,</w:t>
      </w:r>
      <w:r w:rsidR="009A1F40" w:rsidRPr="00F7430C">
        <w:rPr>
          <w:sz w:val="24"/>
          <w:szCs w:val="24"/>
        </w:rPr>
        <w:t xml:space="preserve"> the OCA, CAUSE-PA and </w:t>
      </w:r>
      <w:r w:rsidR="00351026">
        <w:rPr>
          <w:sz w:val="24"/>
          <w:szCs w:val="24"/>
        </w:rPr>
        <w:t>TURN et al.</w:t>
      </w:r>
    </w:p>
    <w:p w:rsidR="009A1F40" w:rsidRPr="00F7430C" w:rsidRDefault="005842A5" w:rsidP="00EF4A09">
      <w:pPr>
        <w:spacing w:line="360" w:lineRule="auto"/>
        <w:rPr>
          <w:sz w:val="24"/>
          <w:szCs w:val="24"/>
        </w:rPr>
      </w:pPr>
      <w:r w:rsidRPr="00F7430C">
        <w:rPr>
          <w:sz w:val="24"/>
          <w:szCs w:val="24"/>
        </w:rPr>
        <w:t>.</w:t>
      </w:r>
    </w:p>
    <w:p w:rsidR="00A76233" w:rsidRPr="00F7430C" w:rsidRDefault="004159DA" w:rsidP="00EF4A09">
      <w:pPr>
        <w:spacing w:line="360" w:lineRule="auto"/>
        <w:rPr>
          <w:sz w:val="24"/>
          <w:szCs w:val="24"/>
        </w:rPr>
      </w:pPr>
      <w:r w:rsidRPr="00F7430C">
        <w:rPr>
          <w:b/>
          <w:sz w:val="24"/>
          <w:szCs w:val="24"/>
        </w:rPr>
        <w:tab/>
      </w:r>
      <w:r w:rsidR="00A76233" w:rsidRPr="00F7430C">
        <w:rPr>
          <w:b/>
          <w:sz w:val="24"/>
          <w:szCs w:val="24"/>
        </w:rPr>
        <w:tab/>
      </w:r>
      <w:r w:rsidR="00A76233" w:rsidRPr="00F7430C">
        <w:rPr>
          <w:sz w:val="24"/>
          <w:szCs w:val="24"/>
        </w:rPr>
        <w:t xml:space="preserve">The record consists of </w:t>
      </w:r>
      <w:r w:rsidR="00295C4B" w:rsidRPr="00F7430C">
        <w:rPr>
          <w:sz w:val="24"/>
          <w:szCs w:val="24"/>
        </w:rPr>
        <w:t xml:space="preserve">the testimony, briefs and transcripts from the 2013 proceeding, </w:t>
      </w:r>
      <w:r w:rsidR="005842A5" w:rsidRPr="00F7430C">
        <w:rPr>
          <w:sz w:val="24"/>
          <w:szCs w:val="24"/>
        </w:rPr>
        <w:t>t</w:t>
      </w:r>
      <w:r w:rsidR="00A76233" w:rsidRPr="00F7430C">
        <w:rPr>
          <w:sz w:val="24"/>
          <w:szCs w:val="24"/>
        </w:rPr>
        <w:t xml:space="preserve">he Joint Petition for Settlement </w:t>
      </w:r>
      <w:r w:rsidR="00457A94" w:rsidRPr="00F7430C">
        <w:rPr>
          <w:sz w:val="24"/>
          <w:szCs w:val="24"/>
        </w:rPr>
        <w:t>and the Statements in Support</w:t>
      </w:r>
      <w:r w:rsidR="00295C4B" w:rsidRPr="00F7430C">
        <w:rPr>
          <w:sz w:val="24"/>
          <w:szCs w:val="24"/>
        </w:rPr>
        <w:t xml:space="preserve"> submitted by PECO, the OCA, CAUSE-PA and </w:t>
      </w:r>
      <w:r w:rsidR="00351026">
        <w:rPr>
          <w:sz w:val="24"/>
          <w:szCs w:val="24"/>
        </w:rPr>
        <w:t>TURN et al.</w:t>
      </w:r>
    </w:p>
    <w:p w:rsidR="00B63DDB" w:rsidRDefault="00B63DDB" w:rsidP="00EF4A09">
      <w:pPr>
        <w:suppressAutoHyphens/>
        <w:spacing w:line="360" w:lineRule="auto"/>
        <w:jc w:val="center"/>
        <w:rPr>
          <w:sz w:val="24"/>
          <w:szCs w:val="24"/>
          <w:u w:val="single"/>
        </w:rPr>
      </w:pPr>
    </w:p>
    <w:p w:rsidR="00A76233" w:rsidRPr="00F7430C" w:rsidRDefault="00A76233" w:rsidP="00EF4A09">
      <w:pPr>
        <w:suppressAutoHyphens/>
        <w:spacing w:line="360" w:lineRule="auto"/>
        <w:jc w:val="center"/>
        <w:rPr>
          <w:sz w:val="24"/>
          <w:szCs w:val="24"/>
          <w:u w:val="single"/>
        </w:rPr>
      </w:pPr>
      <w:r w:rsidRPr="00F7430C">
        <w:rPr>
          <w:sz w:val="24"/>
          <w:szCs w:val="24"/>
          <w:u w:val="single"/>
        </w:rPr>
        <w:t>DESCRIPTION AND TERMS OF THE JOINT PETITION FOR SETTLEMENT</w:t>
      </w:r>
    </w:p>
    <w:p w:rsidR="00295C4B" w:rsidRPr="00F7430C" w:rsidRDefault="00295C4B" w:rsidP="00EF4A09">
      <w:pPr>
        <w:suppressAutoHyphens/>
        <w:spacing w:line="360" w:lineRule="auto"/>
        <w:rPr>
          <w:sz w:val="24"/>
          <w:szCs w:val="24"/>
          <w:u w:val="single"/>
        </w:rPr>
      </w:pPr>
    </w:p>
    <w:p w:rsidR="00295C4B" w:rsidRPr="00F7430C" w:rsidRDefault="00A76233" w:rsidP="00EF4A09">
      <w:pPr>
        <w:suppressAutoHyphens/>
        <w:spacing w:line="360" w:lineRule="auto"/>
        <w:rPr>
          <w:sz w:val="24"/>
          <w:szCs w:val="24"/>
        </w:rPr>
      </w:pPr>
      <w:r w:rsidRPr="00F7430C">
        <w:rPr>
          <w:sz w:val="24"/>
          <w:szCs w:val="24"/>
        </w:rPr>
        <w:tab/>
      </w:r>
      <w:r w:rsidRPr="00F7430C">
        <w:rPr>
          <w:sz w:val="24"/>
          <w:szCs w:val="24"/>
        </w:rPr>
        <w:tab/>
        <w:t xml:space="preserve">The Joint Petition is a </w:t>
      </w:r>
      <w:r w:rsidR="00037E2E" w:rsidRPr="00F7430C">
        <w:rPr>
          <w:sz w:val="24"/>
          <w:szCs w:val="24"/>
        </w:rPr>
        <w:t>four (</w:t>
      </w:r>
      <w:r w:rsidR="00E54E16" w:rsidRPr="00F7430C">
        <w:rPr>
          <w:sz w:val="24"/>
          <w:szCs w:val="24"/>
        </w:rPr>
        <w:t>4)-page</w:t>
      </w:r>
      <w:r w:rsidR="00037E2E" w:rsidRPr="00F7430C">
        <w:rPr>
          <w:sz w:val="24"/>
          <w:szCs w:val="24"/>
        </w:rPr>
        <w:t xml:space="preserve"> document with </w:t>
      </w:r>
      <w:r w:rsidR="00E54E16" w:rsidRPr="00F7430C">
        <w:rPr>
          <w:sz w:val="24"/>
          <w:szCs w:val="24"/>
        </w:rPr>
        <w:t xml:space="preserve">Exhibit A, </w:t>
      </w:r>
      <w:r w:rsidR="00037E2E" w:rsidRPr="00F7430C">
        <w:rPr>
          <w:sz w:val="24"/>
          <w:szCs w:val="24"/>
        </w:rPr>
        <w:t xml:space="preserve">a </w:t>
      </w:r>
      <w:r w:rsidR="006E5855" w:rsidRPr="00F7430C">
        <w:rPr>
          <w:sz w:val="24"/>
          <w:szCs w:val="24"/>
        </w:rPr>
        <w:t xml:space="preserve">twelve </w:t>
      </w:r>
      <w:r w:rsidRPr="00F7430C">
        <w:rPr>
          <w:sz w:val="24"/>
          <w:szCs w:val="24"/>
        </w:rPr>
        <w:t>(1</w:t>
      </w:r>
      <w:r w:rsidR="006E5855" w:rsidRPr="00F7430C">
        <w:rPr>
          <w:sz w:val="24"/>
          <w:szCs w:val="24"/>
        </w:rPr>
        <w:t>2</w:t>
      </w:r>
      <w:r w:rsidRPr="00F7430C">
        <w:rPr>
          <w:sz w:val="24"/>
          <w:szCs w:val="24"/>
        </w:rPr>
        <w:t>)</w:t>
      </w:r>
      <w:r w:rsidR="00E54E16" w:rsidRPr="00F7430C">
        <w:rPr>
          <w:sz w:val="24"/>
          <w:szCs w:val="24"/>
        </w:rPr>
        <w:t>-</w:t>
      </w:r>
      <w:r w:rsidRPr="00F7430C">
        <w:rPr>
          <w:sz w:val="24"/>
          <w:szCs w:val="24"/>
        </w:rPr>
        <w:t xml:space="preserve">page </w:t>
      </w:r>
      <w:r w:rsidR="00037E2E" w:rsidRPr="00F7430C">
        <w:rPr>
          <w:sz w:val="24"/>
          <w:szCs w:val="24"/>
        </w:rPr>
        <w:t xml:space="preserve">Term Sheet.  The Joint Petition was </w:t>
      </w:r>
      <w:r w:rsidRPr="00F7430C">
        <w:rPr>
          <w:sz w:val="24"/>
          <w:szCs w:val="24"/>
        </w:rPr>
        <w:t>signed by</w:t>
      </w:r>
      <w:r w:rsidR="00295C4B" w:rsidRPr="00F7430C">
        <w:rPr>
          <w:sz w:val="24"/>
          <w:szCs w:val="24"/>
        </w:rPr>
        <w:t xml:space="preserve"> </w:t>
      </w:r>
      <w:r w:rsidR="00E54E16" w:rsidRPr="00F7430C">
        <w:rPr>
          <w:sz w:val="24"/>
          <w:szCs w:val="24"/>
        </w:rPr>
        <w:t>PECO,</w:t>
      </w:r>
      <w:r w:rsidR="00295C4B" w:rsidRPr="00F7430C">
        <w:rPr>
          <w:sz w:val="24"/>
          <w:szCs w:val="24"/>
        </w:rPr>
        <w:t xml:space="preserve"> the OCA, CAUSE-PA and </w:t>
      </w:r>
      <w:r w:rsidR="00351026">
        <w:rPr>
          <w:sz w:val="24"/>
          <w:szCs w:val="24"/>
        </w:rPr>
        <w:t>TURN et al.</w:t>
      </w:r>
    </w:p>
    <w:p w:rsidR="005B67A2" w:rsidRPr="00F7430C" w:rsidRDefault="005B67A2" w:rsidP="00EF4A09">
      <w:pPr>
        <w:spacing w:line="360" w:lineRule="auto"/>
        <w:rPr>
          <w:sz w:val="24"/>
          <w:szCs w:val="24"/>
        </w:rPr>
      </w:pPr>
      <w:r w:rsidRPr="00F7430C">
        <w:rPr>
          <w:sz w:val="24"/>
          <w:szCs w:val="24"/>
        </w:rPr>
        <w:t>P</w:t>
      </w:r>
      <w:r w:rsidR="006E5855" w:rsidRPr="00F7430C">
        <w:rPr>
          <w:sz w:val="24"/>
          <w:szCs w:val="24"/>
        </w:rPr>
        <w:t>ECO</w:t>
      </w:r>
      <w:r w:rsidR="005842A5" w:rsidRPr="00F7430C">
        <w:rPr>
          <w:sz w:val="24"/>
          <w:szCs w:val="24"/>
        </w:rPr>
        <w:t>’s</w:t>
      </w:r>
      <w:r w:rsidRPr="00F7430C">
        <w:rPr>
          <w:sz w:val="24"/>
          <w:szCs w:val="24"/>
        </w:rPr>
        <w:t xml:space="preserve"> Statement </w:t>
      </w:r>
      <w:r w:rsidR="003E01F8" w:rsidRPr="00F7430C">
        <w:rPr>
          <w:sz w:val="24"/>
          <w:szCs w:val="24"/>
        </w:rPr>
        <w:t>in Supp</w:t>
      </w:r>
      <w:r w:rsidR="00206D90" w:rsidRPr="00F7430C">
        <w:rPr>
          <w:sz w:val="24"/>
          <w:szCs w:val="24"/>
        </w:rPr>
        <w:t>o</w:t>
      </w:r>
      <w:r w:rsidR="003E01F8" w:rsidRPr="00F7430C">
        <w:rPr>
          <w:sz w:val="24"/>
          <w:szCs w:val="24"/>
        </w:rPr>
        <w:t>rt</w:t>
      </w:r>
      <w:r w:rsidR="00E54E16" w:rsidRPr="00F7430C">
        <w:rPr>
          <w:sz w:val="24"/>
          <w:szCs w:val="24"/>
        </w:rPr>
        <w:t xml:space="preserve"> was filed on April 30, 2015</w:t>
      </w:r>
      <w:r w:rsidRPr="00F7430C">
        <w:rPr>
          <w:sz w:val="24"/>
          <w:szCs w:val="24"/>
        </w:rPr>
        <w:t>.</w:t>
      </w:r>
      <w:r w:rsidR="00BD1D0F" w:rsidRPr="00F7430C">
        <w:rPr>
          <w:sz w:val="24"/>
          <w:szCs w:val="24"/>
        </w:rPr>
        <w:t xml:space="preserve">  </w:t>
      </w:r>
      <w:r w:rsidRPr="00F7430C">
        <w:rPr>
          <w:sz w:val="24"/>
          <w:szCs w:val="24"/>
        </w:rPr>
        <w:t xml:space="preserve">OCA’s Statement </w:t>
      </w:r>
      <w:r w:rsidR="00C6732F" w:rsidRPr="00F7430C">
        <w:rPr>
          <w:sz w:val="24"/>
          <w:szCs w:val="24"/>
        </w:rPr>
        <w:t>in Support</w:t>
      </w:r>
      <w:r w:rsidR="00040348" w:rsidRPr="00F7430C">
        <w:rPr>
          <w:sz w:val="24"/>
          <w:szCs w:val="24"/>
        </w:rPr>
        <w:t xml:space="preserve"> was filed on March 20, 2015</w:t>
      </w:r>
      <w:r w:rsidR="00BD1D0F" w:rsidRPr="00F7430C">
        <w:rPr>
          <w:sz w:val="24"/>
          <w:szCs w:val="24"/>
        </w:rPr>
        <w:t xml:space="preserve">.  </w:t>
      </w:r>
      <w:r w:rsidR="00037E2E" w:rsidRPr="00F7430C">
        <w:rPr>
          <w:bCs/>
          <w:sz w:val="24"/>
          <w:szCs w:val="24"/>
        </w:rPr>
        <w:t>TURN</w:t>
      </w:r>
      <w:r w:rsidRPr="00F7430C">
        <w:rPr>
          <w:sz w:val="24"/>
          <w:szCs w:val="24"/>
        </w:rPr>
        <w:t xml:space="preserve">’s Statement </w:t>
      </w:r>
      <w:r w:rsidR="00C6732F" w:rsidRPr="00F7430C">
        <w:rPr>
          <w:sz w:val="24"/>
          <w:szCs w:val="24"/>
        </w:rPr>
        <w:t>in Support</w:t>
      </w:r>
      <w:r w:rsidR="00040348" w:rsidRPr="00F7430C">
        <w:rPr>
          <w:sz w:val="24"/>
          <w:szCs w:val="24"/>
        </w:rPr>
        <w:t xml:space="preserve"> </w:t>
      </w:r>
      <w:r w:rsidR="000E0F32" w:rsidRPr="00F7430C">
        <w:rPr>
          <w:sz w:val="24"/>
          <w:szCs w:val="24"/>
        </w:rPr>
        <w:t>was</w:t>
      </w:r>
      <w:r w:rsidR="00040348" w:rsidRPr="00F7430C">
        <w:rPr>
          <w:sz w:val="24"/>
          <w:szCs w:val="24"/>
        </w:rPr>
        <w:t xml:space="preserve"> filed on April 20, 2015</w:t>
      </w:r>
      <w:r w:rsidRPr="00F7430C">
        <w:rPr>
          <w:sz w:val="24"/>
          <w:szCs w:val="24"/>
        </w:rPr>
        <w:t xml:space="preserve">.  </w:t>
      </w:r>
      <w:r w:rsidR="00037E2E" w:rsidRPr="00F7430C">
        <w:rPr>
          <w:sz w:val="24"/>
          <w:szCs w:val="24"/>
        </w:rPr>
        <w:t>CAUSE-PA</w:t>
      </w:r>
      <w:r w:rsidR="00F96E57" w:rsidRPr="00F7430C">
        <w:rPr>
          <w:sz w:val="24"/>
          <w:szCs w:val="24"/>
        </w:rPr>
        <w:t xml:space="preserve">’s </w:t>
      </w:r>
      <w:r w:rsidRPr="00F7430C">
        <w:rPr>
          <w:sz w:val="24"/>
          <w:szCs w:val="24"/>
        </w:rPr>
        <w:t xml:space="preserve">Statement </w:t>
      </w:r>
      <w:r w:rsidR="006B25A6" w:rsidRPr="00F7430C">
        <w:rPr>
          <w:sz w:val="24"/>
          <w:szCs w:val="24"/>
        </w:rPr>
        <w:t>in Supp</w:t>
      </w:r>
      <w:r w:rsidR="00206D90" w:rsidRPr="00F7430C">
        <w:rPr>
          <w:sz w:val="24"/>
          <w:szCs w:val="24"/>
        </w:rPr>
        <w:t>o</w:t>
      </w:r>
      <w:r w:rsidR="006B25A6" w:rsidRPr="00F7430C">
        <w:rPr>
          <w:sz w:val="24"/>
          <w:szCs w:val="24"/>
        </w:rPr>
        <w:t>r</w:t>
      </w:r>
      <w:r w:rsidRPr="00F7430C">
        <w:rPr>
          <w:sz w:val="24"/>
          <w:szCs w:val="24"/>
        </w:rPr>
        <w:t>t</w:t>
      </w:r>
      <w:r w:rsidR="00040348" w:rsidRPr="00F7430C">
        <w:rPr>
          <w:sz w:val="24"/>
          <w:szCs w:val="24"/>
        </w:rPr>
        <w:t xml:space="preserve"> was filed on April 22, 2015</w:t>
      </w:r>
      <w:r w:rsidRPr="00F7430C">
        <w:rPr>
          <w:sz w:val="24"/>
          <w:szCs w:val="24"/>
        </w:rPr>
        <w:t xml:space="preserve">.  </w:t>
      </w:r>
    </w:p>
    <w:p w:rsidR="00F96E57" w:rsidRPr="00F7430C" w:rsidRDefault="00F96E57" w:rsidP="00EF4A09">
      <w:pPr>
        <w:spacing w:line="360" w:lineRule="auto"/>
        <w:rPr>
          <w:sz w:val="24"/>
          <w:szCs w:val="24"/>
        </w:rPr>
      </w:pPr>
    </w:p>
    <w:p w:rsidR="00A76233" w:rsidRPr="00F7430C" w:rsidRDefault="00A76233" w:rsidP="00EF4A09">
      <w:pPr>
        <w:spacing w:line="360" w:lineRule="auto"/>
        <w:rPr>
          <w:sz w:val="24"/>
          <w:szCs w:val="24"/>
        </w:rPr>
      </w:pPr>
      <w:r w:rsidRPr="00F7430C">
        <w:rPr>
          <w:sz w:val="24"/>
          <w:szCs w:val="24"/>
        </w:rPr>
        <w:tab/>
      </w:r>
      <w:r w:rsidRPr="00F7430C">
        <w:rPr>
          <w:sz w:val="24"/>
          <w:szCs w:val="24"/>
        </w:rPr>
        <w:tab/>
        <w:t xml:space="preserve">The essential terms of the Joint Petition for Settlement </w:t>
      </w:r>
      <w:r w:rsidR="000E0F32" w:rsidRPr="00F7430C">
        <w:rPr>
          <w:sz w:val="24"/>
          <w:szCs w:val="24"/>
        </w:rPr>
        <w:t>as</w:t>
      </w:r>
      <w:r w:rsidRPr="00F7430C">
        <w:rPr>
          <w:sz w:val="24"/>
          <w:szCs w:val="24"/>
        </w:rPr>
        <w:t xml:space="preserve"> set forth in </w:t>
      </w:r>
      <w:r w:rsidR="00037E2E" w:rsidRPr="00F7430C">
        <w:rPr>
          <w:sz w:val="24"/>
          <w:szCs w:val="24"/>
        </w:rPr>
        <w:t xml:space="preserve">the Term Sheet </w:t>
      </w:r>
      <w:r w:rsidRPr="00F7430C">
        <w:rPr>
          <w:sz w:val="24"/>
          <w:szCs w:val="24"/>
        </w:rPr>
        <w:t>are as follows:</w:t>
      </w:r>
    </w:p>
    <w:p w:rsidR="00E46750" w:rsidRDefault="00E46750" w:rsidP="00EF4A09">
      <w:pPr>
        <w:rPr>
          <w:sz w:val="24"/>
          <w:szCs w:val="24"/>
        </w:rPr>
      </w:pPr>
      <w:r>
        <w:rPr>
          <w:sz w:val="24"/>
          <w:szCs w:val="24"/>
        </w:rPr>
        <w:br w:type="page"/>
      </w:r>
    </w:p>
    <w:p w:rsidR="00DC67EB" w:rsidRPr="00EF4A09" w:rsidRDefault="00DC67EB" w:rsidP="00875AA6">
      <w:pPr>
        <w:pStyle w:val="OutlineL1"/>
        <w:numPr>
          <w:ilvl w:val="0"/>
          <w:numId w:val="0"/>
        </w:numPr>
        <w:spacing w:line="360" w:lineRule="auto"/>
        <w:rPr>
          <w:rFonts w:ascii="Times New Roman" w:hAnsi="Times New Roman"/>
          <w:b w:val="0"/>
          <w:szCs w:val="24"/>
          <w:u w:val="single"/>
        </w:rPr>
      </w:pPr>
      <w:r w:rsidRPr="00EF4A09">
        <w:rPr>
          <w:rFonts w:ascii="Times New Roman" w:hAnsi="Times New Roman"/>
          <w:b w:val="0"/>
          <w:szCs w:val="24"/>
          <w:u w:val="single"/>
        </w:rPr>
        <w:t>TERMS AND CONDITIONS</w:t>
      </w:r>
    </w:p>
    <w:p w:rsidR="00E54E16" w:rsidRPr="00F7430C" w:rsidRDefault="00E54E16" w:rsidP="00E54E16">
      <w:pPr>
        <w:pStyle w:val="ListParagraph"/>
        <w:numPr>
          <w:ilvl w:val="0"/>
          <w:numId w:val="23"/>
        </w:numPr>
        <w:spacing w:after="200" w:line="276" w:lineRule="auto"/>
        <w:contextualSpacing/>
        <w:rPr>
          <w:b/>
          <w:sz w:val="24"/>
          <w:szCs w:val="24"/>
          <w:u w:val="single"/>
        </w:rPr>
      </w:pPr>
      <w:r w:rsidRPr="00F7430C">
        <w:rPr>
          <w:b/>
          <w:sz w:val="24"/>
          <w:szCs w:val="24"/>
          <w:u w:val="single"/>
        </w:rPr>
        <w:t>FCO/CAP Design</w:t>
      </w:r>
    </w:p>
    <w:p w:rsidR="00E54E16" w:rsidRPr="00F7430C" w:rsidRDefault="00E54E16" w:rsidP="00E54E16">
      <w:pPr>
        <w:pStyle w:val="ListParagraph"/>
        <w:ind w:left="1080"/>
        <w:rPr>
          <w:sz w:val="24"/>
          <w:szCs w:val="24"/>
        </w:rPr>
      </w:pPr>
    </w:p>
    <w:p w:rsidR="00E54E16" w:rsidRPr="00F7430C" w:rsidRDefault="00E54E16" w:rsidP="00E54E16">
      <w:pPr>
        <w:pStyle w:val="ListParagraph"/>
        <w:numPr>
          <w:ilvl w:val="0"/>
          <w:numId w:val="12"/>
        </w:numPr>
        <w:spacing w:after="200" w:line="276" w:lineRule="auto"/>
        <w:contextualSpacing/>
        <w:rPr>
          <w:sz w:val="24"/>
          <w:szCs w:val="24"/>
        </w:rPr>
      </w:pPr>
      <w:r w:rsidRPr="00F7430C">
        <w:rPr>
          <w:sz w:val="24"/>
          <w:szCs w:val="24"/>
          <w:u w:val="single"/>
        </w:rPr>
        <w:t>Determination of Credits</w:t>
      </w:r>
      <w:r w:rsidRPr="00F7430C">
        <w:rPr>
          <w:sz w:val="24"/>
          <w:szCs w:val="24"/>
        </w:rPr>
        <w:t>:</w:t>
      </w:r>
    </w:p>
    <w:p w:rsidR="00E54E16" w:rsidRPr="00F7430C" w:rsidRDefault="00E54E16" w:rsidP="00E54E16">
      <w:pPr>
        <w:pStyle w:val="ListParagraph"/>
        <w:ind w:left="1080"/>
        <w:rPr>
          <w:sz w:val="24"/>
          <w:szCs w:val="24"/>
        </w:rPr>
      </w:pPr>
    </w:p>
    <w:p w:rsidR="00E54E16" w:rsidRPr="00F7430C" w:rsidRDefault="00E54E16" w:rsidP="00E54E16">
      <w:pPr>
        <w:pStyle w:val="ListParagraph"/>
        <w:ind w:left="1080"/>
        <w:rPr>
          <w:sz w:val="24"/>
          <w:szCs w:val="24"/>
        </w:rPr>
      </w:pPr>
      <w:r w:rsidRPr="00F7430C">
        <w:rPr>
          <w:sz w:val="24"/>
          <w:szCs w:val="24"/>
        </w:rPr>
        <w:t>Beginning with PECO’s October 2016 IT push, PECO will implement a new design for its Customer Assistance Program (“CAP”).  The new CAP design will be based upon the Fixed Credit Option (“FCO”), with customer benefits calculated as follows:</w:t>
      </w:r>
    </w:p>
    <w:p w:rsidR="00E54E16" w:rsidRPr="00F7430C" w:rsidRDefault="00E54E16" w:rsidP="00E54E16">
      <w:pPr>
        <w:pStyle w:val="ListParagraph"/>
        <w:ind w:left="1080"/>
        <w:rPr>
          <w:sz w:val="24"/>
          <w:szCs w:val="24"/>
        </w:rPr>
      </w:pPr>
    </w:p>
    <w:p w:rsidR="00E54E16" w:rsidRPr="00F7430C" w:rsidRDefault="00E54E16" w:rsidP="002D727F">
      <w:pPr>
        <w:pStyle w:val="ListParagraph"/>
        <w:ind w:left="1440"/>
        <w:rPr>
          <w:sz w:val="24"/>
          <w:szCs w:val="24"/>
          <w:u w:val="single"/>
        </w:rPr>
      </w:pPr>
      <w:r w:rsidRPr="00F7430C">
        <w:rPr>
          <w:sz w:val="24"/>
          <w:szCs w:val="24"/>
          <w:u w:val="single"/>
        </w:rPr>
        <w:t>Step 1:  Determine customer’s prior year’s undiscounted charges:</w:t>
      </w:r>
    </w:p>
    <w:p w:rsidR="00E54E16" w:rsidRPr="00F7430C" w:rsidRDefault="00E54E16" w:rsidP="002D727F">
      <w:pPr>
        <w:pStyle w:val="ListParagraph"/>
        <w:ind w:left="1440"/>
        <w:rPr>
          <w:sz w:val="24"/>
          <w:szCs w:val="24"/>
        </w:rPr>
      </w:pPr>
    </w:p>
    <w:p w:rsidR="00E54E16" w:rsidRPr="00F7430C" w:rsidRDefault="00E54E16" w:rsidP="00233928">
      <w:pPr>
        <w:pStyle w:val="ListParagraph"/>
        <w:numPr>
          <w:ilvl w:val="0"/>
          <w:numId w:val="24"/>
        </w:numPr>
        <w:spacing w:after="200"/>
        <w:contextualSpacing/>
        <w:rPr>
          <w:sz w:val="24"/>
          <w:szCs w:val="24"/>
        </w:rPr>
      </w:pPr>
      <w:r w:rsidRPr="00F7430C">
        <w:rPr>
          <w:sz w:val="24"/>
          <w:szCs w:val="24"/>
        </w:rPr>
        <w:t xml:space="preserve">For each CAP customer, PECO will review the customer’s bills at that residence for the prior 12 months and determine the dollar amount that the customer would have been charged </w:t>
      </w:r>
      <w:r w:rsidRPr="00F7430C">
        <w:rPr>
          <w:i/>
          <w:sz w:val="24"/>
          <w:szCs w:val="24"/>
        </w:rPr>
        <w:t>on an undiscounted basis</w:t>
      </w:r>
      <w:r w:rsidRPr="00F7430C">
        <w:rPr>
          <w:sz w:val="24"/>
          <w:szCs w:val="24"/>
        </w:rPr>
        <w:t xml:space="preserve"> in those prior 12 months for their PECO-supplied utility service, including both the regulated and unregulated portions of that service (that is, including generation service, whether obtained from an EGS or PECO, and natural gas commodity service, whether obtained from an NGS or PECO) (the “Base Charge(s)”).</w:t>
      </w:r>
    </w:p>
    <w:p w:rsidR="00E54E16" w:rsidRPr="00F7430C" w:rsidRDefault="00E54E16" w:rsidP="00E54E16">
      <w:pPr>
        <w:pStyle w:val="ListParagraph"/>
        <w:ind w:left="1440"/>
        <w:rPr>
          <w:sz w:val="24"/>
          <w:szCs w:val="24"/>
        </w:rPr>
      </w:pPr>
    </w:p>
    <w:p w:rsidR="00E54E16" w:rsidRPr="00F7430C" w:rsidRDefault="00E54E16" w:rsidP="004C4F99">
      <w:pPr>
        <w:pStyle w:val="ListParagraph"/>
        <w:numPr>
          <w:ilvl w:val="0"/>
          <w:numId w:val="24"/>
        </w:numPr>
        <w:spacing w:after="200"/>
        <w:contextualSpacing/>
        <w:rPr>
          <w:sz w:val="24"/>
          <w:szCs w:val="24"/>
        </w:rPr>
      </w:pPr>
      <w:r w:rsidRPr="00F7430C">
        <w:rPr>
          <w:sz w:val="24"/>
          <w:szCs w:val="24"/>
        </w:rPr>
        <w:t>For regulated charges, the undiscounted charge will be calculated using the PECO tariff rates in effect for the time period being examined.  For generation charges, the undiscounted charges will be calculated using PECO’s generation price-to-compare (“PTC”) for the time period being examined.  For natural gas commodity charges, the undiscounted charges will be calculated using PECO’s natural gas PTC for the time period being examined.  (For the effect of base rate cases and quarterly GSA filings on determination of Base Charges, see Step 6 below.)</w:t>
      </w:r>
    </w:p>
    <w:p w:rsidR="00E54E16" w:rsidRPr="00F7430C" w:rsidRDefault="00E54E16" w:rsidP="004C4F99">
      <w:pPr>
        <w:pStyle w:val="ListParagraph"/>
        <w:ind w:left="1440"/>
        <w:rPr>
          <w:sz w:val="24"/>
          <w:szCs w:val="24"/>
        </w:rPr>
      </w:pPr>
    </w:p>
    <w:p w:rsidR="00E54E16" w:rsidRPr="00F7430C" w:rsidRDefault="00E54E16" w:rsidP="004C4F99">
      <w:pPr>
        <w:pStyle w:val="ListParagraph"/>
        <w:numPr>
          <w:ilvl w:val="0"/>
          <w:numId w:val="24"/>
        </w:numPr>
        <w:spacing w:after="200"/>
        <w:contextualSpacing/>
        <w:rPr>
          <w:sz w:val="24"/>
          <w:szCs w:val="24"/>
        </w:rPr>
      </w:pPr>
      <w:r w:rsidRPr="00F7430C">
        <w:rPr>
          <w:sz w:val="24"/>
          <w:szCs w:val="24"/>
        </w:rPr>
        <w:t>Pro forma method of determining prior year’s usage:   If the customer does not have 12 months of prior service at their current residence at the time the above calculation is conducted, then PECO will create a pro forma profile to calculate that customer’s trailing twelve months usage/charges.  The pro forma profile will be based on the following, in order of preference if data is available:</w:t>
      </w:r>
      <w:r w:rsidRPr="00F7430C">
        <w:rPr>
          <w:rStyle w:val="FootnoteReference"/>
          <w:sz w:val="24"/>
          <w:szCs w:val="24"/>
        </w:rPr>
        <w:footnoteReference w:id="2"/>
      </w:r>
    </w:p>
    <w:p w:rsidR="00E54E16" w:rsidRPr="00F7430C" w:rsidRDefault="00E54E16" w:rsidP="004C4F99">
      <w:pPr>
        <w:pStyle w:val="ListParagraph"/>
        <w:rPr>
          <w:sz w:val="24"/>
          <w:szCs w:val="24"/>
        </w:rPr>
      </w:pPr>
    </w:p>
    <w:p w:rsidR="00E54E16" w:rsidRPr="00F7430C" w:rsidRDefault="00E54E16" w:rsidP="004C4F99">
      <w:pPr>
        <w:pStyle w:val="ListParagraph"/>
        <w:numPr>
          <w:ilvl w:val="1"/>
          <w:numId w:val="24"/>
        </w:numPr>
        <w:spacing w:after="200"/>
        <w:contextualSpacing/>
        <w:rPr>
          <w:sz w:val="24"/>
          <w:szCs w:val="24"/>
        </w:rPr>
      </w:pPr>
      <w:r w:rsidRPr="00F7430C">
        <w:rPr>
          <w:sz w:val="24"/>
          <w:szCs w:val="24"/>
        </w:rPr>
        <w:t>Usage at that residence by the customer for the months available and actual usage by prior customers for the months unavailable.</w:t>
      </w:r>
    </w:p>
    <w:p w:rsidR="00E54E16" w:rsidRPr="00F7430C" w:rsidRDefault="00E54E16" w:rsidP="004C4F99">
      <w:pPr>
        <w:pStyle w:val="ListParagraph"/>
        <w:numPr>
          <w:ilvl w:val="1"/>
          <w:numId w:val="24"/>
        </w:numPr>
        <w:spacing w:after="200"/>
        <w:contextualSpacing/>
        <w:rPr>
          <w:sz w:val="24"/>
          <w:szCs w:val="24"/>
        </w:rPr>
      </w:pPr>
      <w:r w:rsidRPr="00F7430C">
        <w:rPr>
          <w:sz w:val="24"/>
          <w:szCs w:val="24"/>
        </w:rPr>
        <w:t>Usage at that residence by prior customers;</w:t>
      </w:r>
    </w:p>
    <w:p w:rsidR="00E54E16" w:rsidRPr="00F7430C" w:rsidRDefault="00E54E16" w:rsidP="004C4F99">
      <w:pPr>
        <w:pStyle w:val="ListParagraph"/>
        <w:numPr>
          <w:ilvl w:val="1"/>
          <w:numId w:val="24"/>
        </w:numPr>
        <w:spacing w:after="200"/>
        <w:contextualSpacing/>
        <w:rPr>
          <w:sz w:val="24"/>
          <w:szCs w:val="24"/>
        </w:rPr>
      </w:pPr>
      <w:r w:rsidRPr="00F7430C">
        <w:rPr>
          <w:sz w:val="24"/>
          <w:szCs w:val="24"/>
        </w:rPr>
        <w:t>Usage at similar residences or CAP residences in the same area; or</w:t>
      </w:r>
    </w:p>
    <w:p w:rsidR="00E54E16" w:rsidRPr="00F7430C" w:rsidRDefault="00E54E16" w:rsidP="004C4F99">
      <w:pPr>
        <w:pStyle w:val="ListParagraph"/>
        <w:numPr>
          <w:ilvl w:val="1"/>
          <w:numId w:val="24"/>
        </w:numPr>
        <w:spacing w:after="200"/>
        <w:contextualSpacing/>
        <w:rPr>
          <w:sz w:val="24"/>
          <w:szCs w:val="24"/>
        </w:rPr>
      </w:pPr>
      <w:r w:rsidRPr="00F7430C">
        <w:rPr>
          <w:sz w:val="24"/>
          <w:szCs w:val="24"/>
        </w:rPr>
        <w:t>System-wide usage or</w:t>
      </w:r>
      <w:r w:rsidRPr="00F7430C">
        <w:rPr>
          <w:sz w:val="24"/>
          <w:szCs w:val="24"/>
          <w:u w:val="single"/>
        </w:rPr>
        <w:t xml:space="preserve"> </w:t>
      </w:r>
      <w:r w:rsidRPr="00F7430C">
        <w:rPr>
          <w:sz w:val="24"/>
          <w:szCs w:val="24"/>
        </w:rPr>
        <w:t>CAP usage averages.</w:t>
      </w:r>
    </w:p>
    <w:p w:rsidR="00E54E16" w:rsidRPr="00F7430C" w:rsidRDefault="00E54E16" w:rsidP="00E54E16">
      <w:pPr>
        <w:pStyle w:val="ListParagraph"/>
        <w:ind w:left="1800"/>
        <w:rPr>
          <w:color w:val="000000" w:themeColor="text1"/>
          <w:sz w:val="24"/>
          <w:szCs w:val="24"/>
        </w:rPr>
      </w:pPr>
    </w:p>
    <w:p w:rsidR="00E54E16" w:rsidRPr="00F7430C" w:rsidRDefault="00E54E16" w:rsidP="002D727F">
      <w:pPr>
        <w:pStyle w:val="ListParagraph"/>
        <w:numPr>
          <w:ilvl w:val="0"/>
          <w:numId w:val="24"/>
        </w:numPr>
        <w:spacing w:after="200"/>
        <w:contextualSpacing/>
        <w:rPr>
          <w:color w:val="000000" w:themeColor="text1"/>
          <w:sz w:val="24"/>
          <w:szCs w:val="24"/>
        </w:rPr>
      </w:pPr>
      <w:r w:rsidRPr="00F7430C">
        <w:rPr>
          <w:color w:val="000000" w:themeColor="text1"/>
          <w:sz w:val="24"/>
          <w:szCs w:val="24"/>
        </w:rPr>
        <w:t>PECO will prepare a weather normalization table that compares the weather in each of the trailing twelve months to “normal” weather for that calendar month, and which gives an adjustment factor to normalize usage and charges for each month on a weather-adjusted basis.  This chart will be updated each month so that, at any time, PECO has available adjustment factors for the trailing 12 months.  Once PECO has determined the Base Charges, those charges will be weather-normalized using the weather normalization table to create the “Weather-Normalized Base Charges.”</w:t>
      </w:r>
    </w:p>
    <w:p w:rsidR="00E54E16" w:rsidRPr="00F7430C" w:rsidRDefault="00E54E16" w:rsidP="00E54E16">
      <w:pPr>
        <w:pStyle w:val="ListParagraph"/>
        <w:ind w:left="1800"/>
        <w:rPr>
          <w:color w:val="000000" w:themeColor="text1"/>
          <w:sz w:val="24"/>
          <w:szCs w:val="24"/>
        </w:rPr>
      </w:pPr>
    </w:p>
    <w:p w:rsidR="00E54E16" w:rsidRPr="00F7430C" w:rsidRDefault="00E54E16" w:rsidP="002D727F">
      <w:pPr>
        <w:pStyle w:val="ListParagraph"/>
        <w:ind w:left="1440"/>
        <w:rPr>
          <w:sz w:val="24"/>
          <w:szCs w:val="24"/>
        </w:rPr>
      </w:pPr>
      <w:r w:rsidRPr="00F7430C">
        <w:rPr>
          <w:sz w:val="24"/>
          <w:szCs w:val="24"/>
          <w:u w:val="single"/>
        </w:rPr>
        <w:t>Step 2:  Determine Verified Household Income and Federal Poverty Level:</w:t>
      </w:r>
    </w:p>
    <w:p w:rsidR="00E54E16" w:rsidRPr="00F7430C" w:rsidRDefault="00E54E16" w:rsidP="002D727F">
      <w:pPr>
        <w:pStyle w:val="ListParagraph"/>
        <w:ind w:left="1440"/>
        <w:rPr>
          <w:sz w:val="24"/>
          <w:szCs w:val="24"/>
        </w:rPr>
      </w:pPr>
    </w:p>
    <w:p w:rsidR="00E54E16" w:rsidRPr="00F7430C" w:rsidRDefault="00E54E16" w:rsidP="002D727F">
      <w:pPr>
        <w:pStyle w:val="ListParagraph"/>
        <w:numPr>
          <w:ilvl w:val="0"/>
          <w:numId w:val="24"/>
        </w:numPr>
        <w:spacing w:after="200"/>
        <w:contextualSpacing/>
        <w:rPr>
          <w:sz w:val="24"/>
          <w:szCs w:val="24"/>
        </w:rPr>
      </w:pPr>
      <w:r w:rsidRPr="00F7430C">
        <w:rPr>
          <w:sz w:val="24"/>
          <w:szCs w:val="24"/>
        </w:rPr>
        <w:t>PECO’s existing income verification procedures will be used to determine Verified Household Income. PECO will then use that information and the number of people in the household to determine the household’s Federal Poverty Level.</w:t>
      </w:r>
      <w:r w:rsidRPr="00F7430C">
        <w:rPr>
          <w:rStyle w:val="FootnoteReference"/>
          <w:sz w:val="24"/>
          <w:szCs w:val="24"/>
        </w:rPr>
        <w:footnoteReference w:id="3"/>
      </w:r>
      <w:r w:rsidRPr="00F7430C">
        <w:rPr>
          <w:sz w:val="24"/>
          <w:szCs w:val="24"/>
        </w:rPr>
        <w:t xml:space="preserve"> </w:t>
      </w:r>
      <w:r w:rsidRPr="00F7430C">
        <w:rPr>
          <w:sz w:val="24"/>
          <w:szCs w:val="24"/>
          <w:u w:val="single"/>
        </w:rPr>
        <w:t>Customers determined eligible as a result of receipt of a LIHEAP Cash Grant will, if possible, be placed into the federal poverty level commensurate with the grant amount</w:t>
      </w:r>
      <w:r w:rsidRPr="00F7430C">
        <w:rPr>
          <w:sz w:val="24"/>
          <w:szCs w:val="24"/>
        </w:rPr>
        <w:t>.  If PECO is not able to determine the FPL of a customer from LIHEAP Cash Grant materials, then PECO will utilize the LIHEAP Cash Grant recipient list to perform FCO outreach to the Grant recipients.</w:t>
      </w:r>
    </w:p>
    <w:p w:rsidR="00E54E16" w:rsidRPr="00F7430C" w:rsidRDefault="00E54E16" w:rsidP="002D727F">
      <w:pPr>
        <w:pStyle w:val="ListParagraph"/>
        <w:ind w:left="1440"/>
        <w:rPr>
          <w:sz w:val="24"/>
          <w:szCs w:val="24"/>
        </w:rPr>
      </w:pPr>
    </w:p>
    <w:p w:rsidR="00E54E16" w:rsidRPr="00F7430C" w:rsidRDefault="00E54E16" w:rsidP="002D727F">
      <w:pPr>
        <w:pStyle w:val="ListParagraph"/>
        <w:ind w:left="1440"/>
        <w:rPr>
          <w:sz w:val="24"/>
          <w:szCs w:val="24"/>
        </w:rPr>
      </w:pPr>
      <w:r w:rsidRPr="00F7430C">
        <w:rPr>
          <w:sz w:val="24"/>
          <w:szCs w:val="24"/>
          <w:u w:val="single"/>
        </w:rPr>
        <w:t>Step 3:  Determine customer’s allowable Energy Burden</w:t>
      </w:r>
      <w:r w:rsidRPr="00F7430C">
        <w:rPr>
          <w:sz w:val="24"/>
          <w:szCs w:val="24"/>
        </w:rPr>
        <w:t>:</w:t>
      </w:r>
    </w:p>
    <w:p w:rsidR="00E54E16" w:rsidRPr="00F7430C" w:rsidRDefault="00E54E16" w:rsidP="002D727F">
      <w:pPr>
        <w:pStyle w:val="ListParagraph"/>
        <w:ind w:left="1440"/>
        <w:rPr>
          <w:sz w:val="24"/>
          <w:szCs w:val="24"/>
        </w:rPr>
      </w:pPr>
    </w:p>
    <w:p w:rsidR="00E54E16" w:rsidRPr="00F7430C" w:rsidRDefault="00E54E16" w:rsidP="002D727F">
      <w:pPr>
        <w:pStyle w:val="ListParagraph"/>
        <w:numPr>
          <w:ilvl w:val="0"/>
          <w:numId w:val="24"/>
        </w:numPr>
        <w:spacing w:after="200"/>
        <w:contextualSpacing/>
        <w:rPr>
          <w:sz w:val="24"/>
          <w:szCs w:val="24"/>
        </w:rPr>
      </w:pPr>
      <w:r w:rsidRPr="00F7430C">
        <w:rPr>
          <w:sz w:val="24"/>
          <w:szCs w:val="24"/>
        </w:rPr>
        <w:t>Once the household’s Federal Poverty Level has been determined, PECO will determine the household’s allowable Energy Burden, as follows:</w:t>
      </w:r>
      <w:r w:rsidRPr="00F7430C">
        <w:rPr>
          <w:rStyle w:val="FootnoteReference"/>
          <w:sz w:val="24"/>
          <w:szCs w:val="24"/>
        </w:rPr>
        <w:footnoteReference w:id="4"/>
      </w:r>
    </w:p>
    <w:p w:rsidR="00E54E16" w:rsidRPr="00F7430C" w:rsidRDefault="00E54E16" w:rsidP="002D727F">
      <w:pPr>
        <w:pStyle w:val="ListParagraph"/>
        <w:ind w:left="1800"/>
        <w:rPr>
          <w:sz w:val="24"/>
          <w:szCs w:val="24"/>
        </w:rPr>
      </w:pPr>
    </w:p>
    <w:p w:rsidR="00E54E16" w:rsidRDefault="00E54E16" w:rsidP="00E54E16">
      <w:pPr>
        <w:pStyle w:val="ListParagraph"/>
        <w:ind w:left="1800"/>
        <w:jc w:val="center"/>
        <w:rPr>
          <w:sz w:val="24"/>
          <w:szCs w:val="24"/>
        </w:rPr>
      </w:pPr>
      <w:r w:rsidRPr="00F7430C">
        <w:rPr>
          <w:sz w:val="24"/>
          <w:szCs w:val="24"/>
        </w:rPr>
        <w:t>Table 1:  Energy Burdens</w:t>
      </w:r>
    </w:p>
    <w:p w:rsidR="007B56E6" w:rsidRPr="00F7430C" w:rsidRDefault="007B56E6" w:rsidP="00E54E16">
      <w:pPr>
        <w:pStyle w:val="ListParagraph"/>
        <w:ind w:left="1800"/>
        <w:jc w:val="center"/>
        <w:rPr>
          <w:sz w:val="24"/>
          <w:szCs w:val="24"/>
        </w:rPr>
      </w:pPr>
    </w:p>
    <w:tbl>
      <w:tblPr>
        <w:tblStyle w:val="TableGrid"/>
        <w:tblW w:w="0" w:type="auto"/>
        <w:tblInd w:w="1440" w:type="dxa"/>
        <w:tblLook w:val="04A0" w:firstRow="1" w:lastRow="0" w:firstColumn="1" w:lastColumn="0" w:noHBand="0" w:noVBand="1"/>
      </w:tblPr>
      <w:tblGrid>
        <w:gridCol w:w="1980"/>
        <w:gridCol w:w="2052"/>
        <w:gridCol w:w="2052"/>
        <w:gridCol w:w="2052"/>
      </w:tblGrid>
      <w:tr w:rsidR="00E54E16" w:rsidRPr="00F7430C" w:rsidTr="00E54E16">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FPL</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Electric Non-Heating</w:t>
            </w:r>
            <w:r w:rsidRPr="00F7430C">
              <w:rPr>
                <w:rStyle w:val="FootnoteReference"/>
                <w:rFonts w:ascii="Times New Roman" w:hAnsi="Times New Roman" w:cs="Times New Roman"/>
                <w:sz w:val="24"/>
                <w:szCs w:val="24"/>
              </w:rPr>
              <w:footnoteReference w:id="5"/>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Electric Heating</w:t>
            </w:r>
            <w:r w:rsidRPr="00F7430C">
              <w:rPr>
                <w:rStyle w:val="FootnoteReference"/>
                <w:rFonts w:ascii="Times New Roman" w:hAnsi="Times New Roman" w:cs="Times New Roman"/>
                <w:sz w:val="24"/>
                <w:szCs w:val="24"/>
              </w:rPr>
              <w:footnoteReference w:id="6"/>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Electric with Gas Heating</w:t>
            </w:r>
            <w:r w:rsidRPr="00F7430C">
              <w:rPr>
                <w:rStyle w:val="FootnoteReference"/>
                <w:rFonts w:ascii="Times New Roman" w:hAnsi="Times New Roman" w:cs="Times New Roman"/>
                <w:sz w:val="24"/>
                <w:szCs w:val="24"/>
              </w:rPr>
              <w:footnoteReference w:id="7"/>
            </w:r>
          </w:p>
        </w:tc>
      </w:tr>
      <w:tr w:rsidR="00E54E16" w:rsidRPr="00F7430C" w:rsidTr="00E54E16">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0-50%</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13%</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13%</w:t>
            </w:r>
          </w:p>
        </w:tc>
      </w:tr>
      <w:tr w:rsidR="00E54E16" w:rsidRPr="00F7430C" w:rsidTr="00E54E16">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51-100%</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16%</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16%</w:t>
            </w:r>
          </w:p>
        </w:tc>
      </w:tr>
      <w:tr w:rsidR="00E54E16" w:rsidRPr="00F7430C" w:rsidTr="00E54E16">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101-150%</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7%</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17%</w:t>
            </w:r>
          </w:p>
        </w:tc>
        <w:tc>
          <w:tcPr>
            <w:tcW w:w="2394"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17%</w:t>
            </w:r>
          </w:p>
        </w:tc>
      </w:tr>
    </w:tbl>
    <w:p w:rsidR="00E54E16" w:rsidRPr="00F7430C" w:rsidRDefault="00E54E16" w:rsidP="00E54E16">
      <w:pPr>
        <w:ind w:firstLine="720"/>
        <w:rPr>
          <w:sz w:val="24"/>
          <w:szCs w:val="24"/>
        </w:rPr>
      </w:pPr>
      <w:r w:rsidRPr="00F7430C">
        <w:rPr>
          <w:sz w:val="24"/>
          <w:szCs w:val="24"/>
          <w:u w:val="single"/>
        </w:rPr>
        <w:t>Step 4:  Calculate customer’s Annual Credit</w:t>
      </w:r>
      <w:r w:rsidRPr="00F7430C">
        <w:rPr>
          <w:sz w:val="24"/>
          <w:szCs w:val="24"/>
        </w:rPr>
        <w:t>:</w:t>
      </w:r>
    </w:p>
    <w:p w:rsidR="000E0F32" w:rsidRPr="00F7430C" w:rsidRDefault="000E0F32" w:rsidP="000E0F32">
      <w:pPr>
        <w:pStyle w:val="ListParagraph"/>
        <w:spacing w:after="200" w:line="276" w:lineRule="auto"/>
        <w:ind w:left="1800"/>
        <w:contextualSpacing/>
        <w:rPr>
          <w:sz w:val="24"/>
          <w:szCs w:val="24"/>
        </w:rPr>
      </w:pPr>
    </w:p>
    <w:p w:rsidR="00E54E16" w:rsidRPr="00F7430C" w:rsidRDefault="00E54E16" w:rsidP="007B56E6">
      <w:pPr>
        <w:pStyle w:val="ListParagraph"/>
        <w:numPr>
          <w:ilvl w:val="0"/>
          <w:numId w:val="24"/>
        </w:numPr>
        <w:spacing w:after="200"/>
        <w:contextualSpacing/>
        <w:rPr>
          <w:sz w:val="24"/>
          <w:szCs w:val="24"/>
        </w:rPr>
      </w:pPr>
      <w:r w:rsidRPr="00F7430C">
        <w:rPr>
          <w:sz w:val="24"/>
          <w:szCs w:val="24"/>
        </w:rPr>
        <w:t>PECO will determine the customer’s Annual Credit by multiplying the Verified</w:t>
      </w:r>
    </w:p>
    <w:p w:rsidR="00E54E16" w:rsidRPr="00F7430C" w:rsidRDefault="00E54E16" w:rsidP="00E54E16">
      <w:pPr>
        <w:pStyle w:val="ListParagraph"/>
        <w:ind w:left="1800"/>
        <w:rPr>
          <w:sz w:val="24"/>
          <w:szCs w:val="24"/>
        </w:rPr>
      </w:pPr>
      <w:r w:rsidRPr="00F7430C">
        <w:rPr>
          <w:sz w:val="24"/>
          <w:szCs w:val="24"/>
        </w:rPr>
        <w:t>Household Income times that household’s allowable Energy Burden to determine an Annual CAP Bill amount.   The Annual CAP Bill will then be subtracted from the Weather-Normalized Base Charges; the resulting amount is the Annual Credit amount for that household.    That is:  Weather-Normalized Base Charges – Annual CAP Bill = Annual Credit.</w:t>
      </w:r>
    </w:p>
    <w:p w:rsidR="00E54E16" w:rsidRPr="00F7430C" w:rsidRDefault="00E54E16" w:rsidP="00E54E16">
      <w:pPr>
        <w:pStyle w:val="ListParagraph"/>
        <w:ind w:left="1800"/>
        <w:rPr>
          <w:sz w:val="24"/>
          <w:szCs w:val="24"/>
        </w:rPr>
      </w:pPr>
    </w:p>
    <w:p w:rsidR="00A73E82" w:rsidRPr="00B63DDB" w:rsidRDefault="00E54E16" w:rsidP="00B63DDB">
      <w:pPr>
        <w:pStyle w:val="ListParagraph"/>
        <w:numPr>
          <w:ilvl w:val="0"/>
          <w:numId w:val="24"/>
        </w:numPr>
        <w:spacing w:after="200" w:line="276" w:lineRule="auto"/>
        <w:contextualSpacing/>
        <w:rPr>
          <w:sz w:val="24"/>
          <w:szCs w:val="24"/>
        </w:rPr>
      </w:pPr>
      <w:r w:rsidRPr="00B63DDB">
        <w:rPr>
          <w:sz w:val="24"/>
          <w:szCs w:val="24"/>
        </w:rPr>
        <w:t>The maximum Annual Credit for any household will be</w:t>
      </w:r>
      <w:r w:rsidRPr="00F7430C">
        <w:rPr>
          <w:rStyle w:val="FootnoteReference"/>
          <w:sz w:val="24"/>
          <w:szCs w:val="24"/>
        </w:rPr>
        <w:footnoteReference w:id="8"/>
      </w:r>
      <w:r w:rsidRPr="00B63DDB">
        <w:rPr>
          <w:sz w:val="24"/>
          <w:szCs w:val="24"/>
        </w:rPr>
        <w:t>:</w:t>
      </w:r>
      <w:r w:rsidR="00A73E82" w:rsidRPr="00B63DDB">
        <w:rPr>
          <w:sz w:val="24"/>
          <w:szCs w:val="24"/>
        </w:rPr>
        <w:br w:type="page"/>
      </w:r>
    </w:p>
    <w:p w:rsidR="00E54E16" w:rsidRPr="00F7430C" w:rsidRDefault="00E54E16" w:rsidP="00E54E16">
      <w:pPr>
        <w:pStyle w:val="ListParagraph"/>
        <w:ind w:left="1440"/>
        <w:jc w:val="center"/>
        <w:rPr>
          <w:sz w:val="24"/>
          <w:szCs w:val="24"/>
        </w:rPr>
      </w:pPr>
      <w:r w:rsidRPr="00F7430C">
        <w:rPr>
          <w:sz w:val="24"/>
          <w:szCs w:val="24"/>
        </w:rPr>
        <w:t>Table 2:  Maximum Annual Credits</w:t>
      </w:r>
    </w:p>
    <w:p w:rsidR="00E54E16" w:rsidRPr="00F7430C" w:rsidRDefault="00E54E16" w:rsidP="00E54E16">
      <w:pPr>
        <w:pStyle w:val="ListParagraph"/>
        <w:ind w:left="1440"/>
        <w:jc w:val="center"/>
        <w:rPr>
          <w:sz w:val="24"/>
          <w:szCs w:val="24"/>
        </w:rPr>
      </w:pPr>
    </w:p>
    <w:tbl>
      <w:tblPr>
        <w:tblStyle w:val="TableGrid"/>
        <w:tblW w:w="0" w:type="auto"/>
        <w:tblInd w:w="1440" w:type="dxa"/>
        <w:tblLook w:val="04A0" w:firstRow="1" w:lastRow="0" w:firstColumn="1" w:lastColumn="0" w:noHBand="0" w:noVBand="1"/>
      </w:tblPr>
      <w:tblGrid>
        <w:gridCol w:w="1188"/>
        <w:gridCol w:w="2070"/>
        <w:gridCol w:w="1710"/>
        <w:gridCol w:w="3168"/>
      </w:tblGrid>
      <w:tr w:rsidR="00E54E16" w:rsidRPr="00F7430C" w:rsidTr="00E54E16">
        <w:tc>
          <w:tcPr>
            <w:tcW w:w="118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FPL</w:t>
            </w:r>
          </w:p>
        </w:tc>
        <w:tc>
          <w:tcPr>
            <w:tcW w:w="207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Electric Non-Heating (Rate R)</w:t>
            </w:r>
            <w:r w:rsidRPr="00F7430C">
              <w:rPr>
                <w:rStyle w:val="FootnoteReference"/>
                <w:rFonts w:ascii="Times New Roman" w:hAnsi="Times New Roman" w:cs="Times New Roman"/>
                <w:sz w:val="24"/>
                <w:szCs w:val="24"/>
              </w:rPr>
              <w:t xml:space="preserve"> </w:t>
            </w:r>
            <w:r w:rsidRPr="00F7430C">
              <w:rPr>
                <w:rStyle w:val="FootnoteReference"/>
                <w:rFonts w:ascii="Times New Roman" w:hAnsi="Times New Roman" w:cs="Times New Roman"/>
                <w:sz w:val="24"/>
                <w:szCs w:val="24"/>
              </w:rPr>
              <w:footnoteReference w:id="9"/>
            </w:r>
          </w:p>
        </w:tc>
        <w:tc>
          <w:tcPr>
            <w:tcW w:w="171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Electric Heating (Rate RH)</w:t>
            </w:r>
            <w:r w:rsidRPr="00F7430C">
              <w:rPr>
                <w:rStyle w:val="FootnoteReference"/>
                <w:rFonts w:ascii="Times New Roman" w:hAnsi="Times New Roman" w:cs="Times New Roman"/>
                <w:sz w:val="24"/>
                <w:szCs w:val="24"/>
              </w:rPr>
              <w:t xml:space="preserve"> </w:t>
            </w:r>
            <w:r w:rsidRPr="00F7430C">
              <w:rPr>
                <w:rStyle w:val="FootnoteReference"/>
                <w:rFonts w:ascii="Times New Roman" w:hAnsi="Times New Roman" w:cs="Times New Roman"/>
                <w:sz w:val="24"/>
                <w:szCs w:val="24"/>
              </w:rPr>
              <w:footnoteReference w:id="10"/>
            </w:r>
          </w:p>
        </w:tc>
        <w:tc>
          <w:tcPr>
            <w:tcW w:w="316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Electric with Gas Heating (PECO Dual Commodity Customer)</w:t>
            </w:r>
            <w:r w:rsidRPr="00F7430C">
              <w:rPr>
                <w:rStyle w:val="FootnoteReference"/>
                <w:rFonts w:ascii="Times New Roman" w:hAnsi="Times New Roman" w:cs="Times New Roman"/>
                <w:sz w:val="24"/>
                <w:szCs w:val="24"/>
              </w:rPr>
              <w:t xml:space="preserve"> </w:t>
            </w:r>
            <w:r w:rsidRPr="00F7430C">
              <w:rPr>
                <w:rStyle w:val="FootnoteReference"/>
                <w:rFonts w:ascii="Times New Roman" w:hAnsi="Times New Roman" w:cs="Times New Roman"/>
                <w:sz w:val="24"/>
                <w:szCs w:val="24"/>
              </w:rPr>
              <w:footnoteReference w:id="11"/>
            </w:r>
          </w:p>
        </w:tc>
      </w:tr>
      <w:tr w:rsidR="00E54E16" w:rsidRPr="00F7430C" w:rsidTr="00E54E16">
        <w:tc>
          <w:tcPr>
            <w:tcW w:w="118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0-50%</w:t>
            </w:r>
          </w:p>
        </w:tc>
        <w:tc>
          <w:tcPr>
            <w:tcW w:w="207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$2,048</w:t>
            </w:r>
          </w:p>
        </w:tc>
        <w:tc>
          <w:tcPr>
            <w:tcW w:w="171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$2,922</w:t>
            </w:r>
          </w:p>
        </w:tc>
        <w:tc>
          <w:tcPr>
            <w:tcW w:w="316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Same as Rate R for electric service; no maximum for gas service</w:t>
            </w:r>
            <w:r w:rsidRPr="00F7430C">
              <w:rPr>
                <w:rStyle w:val="FootnoteReference"/>
                <w:rFonts w:ascii="Times New Roman" w:hAnsi="Times New Roman" w:cs="Times New Roman"/>
                <w:sz w:val="24"/>
                <w:szCs w:val="24"/>
              </w:rPr>
              <w:footnoteReference w:id="12"/>
            </w:r>
          </w:p>
        </w:tc>
      </w:tr>
      <w:tr w:rsidR="00E54E16" w:rsidRPr="00F7430C" w:rsidTr="00E54E16">
        <w:tc>
          <w:tcPr>
            <w:tcW w:w="118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51-100%</w:t>
            </w:r>
          </w:p>
        </w:tc>
        <w:tc>
          <w:tcPr>
            <w:tcW w:w="207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$1,389</w:t>
            </w:r>
          </w:p>
        </w:tc>
        <w:tc>
          <w:tcPr>
            <w:tcW w:w="171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$1,881</w:t>
            </w:r>
          </w:p>
        </w:tc>
        <w:tc>
          <w:tcPr>
            <w:tcW w:w="3168" w:type="dxa"/>
            <w:tcBorders>
              <w:top w:val="single" w:sz="4" w:space="0" w:color="auto"/>
              <w:left w:val="single" w:sz="4" w:space="0" w:color="auto"/>
              <w:bottom w:val="single" w:sz="4" w:space="0" w:color="auto"/>
              <w:right w:val="single" w:sz="4" w:space="0" w:color="auto"/>
            </w:tcBorders>
          </w:tcPr>
          <w:p w:rsidR="00E54E16" w:rsidRPr="00F7430C" w:rsidRDefault="00E54E16">
            <w:pPr>
              <w:pStyle w:val="ListParagraph"/>
              <w:ind w:left="0"/>
              <w:rPr>
                <w:rFonts w:ascii="Times New Roman" w:hAnsi="Times New Roman" w:cs="Times New Roman"/>
                <w:sz w:val="24"/>
                <w:szCs w:val="24"/>
              </w:rPr>
            </w:pPr>
          </w:p>
        </w:tc>
      </w:tr>
      <w:tr w:rsidR="00E54E16" w:rsidRPr="00F7430C" w:rsidTr="00E54E16">
        <w:tc>
          <w:tcPr>
            <w:tcW w:w="118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101-150%</w:t>
            </w:r>
          </w:p>
        </w:tc>
        <w:tc>
          <w:tcPr>
            <w:tcW w:w="207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$1,241</w:t>
            </w:r>
          </w:p>
        </w:tc>
        <w:tc>
          <w:tcPr>
            <w:tcW w:w="171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$1,661</w:t>
            </w:r>
          </w:p>
        </w:tc>
        <w:tc>
          <w:tcPr>
            <w:tcW w:w="3168" w:type="dxa"/>
            <w:tcBorders>
              <w:top w:val="single" w:sz="4" w:space="0" w:color="auto"/>
              <w:left w:val="single" w:sz="4" w:space="0" w:color="auto"/>
              <w:bottom w:val="single" w:sz="4" w:space="0" w:color="auto"/>
              <w:right w:val="single" w:sz="4" w:space="0" w:color="auto"/>
            </w:tcBorders>
          </w:tcPr>
          <w:p w:rsidR="00E54E16" w:rsidRPr="00F7430C" w:rsidRDefault="00E54E16">
            <w:pPr>
              <w:pStyle w:val="ListParagraph"/>
              <w:ind w:left="0"/>
              <w:rPr>
                <w:rFonts w:ascii="Times New Roman" w:hAnsi="Times New Roman" w:cs="Times New Roman"/>
                <w:sz w:val="24"/>
                <w:szCs w:val="24"/>
              </w:rPr>
            </w:pPr>
          </w:p>
        </w:tc>
      </w:tr>
    </w:tbl>
    <w:p w:rsidR="00E54E16" w:rsidRPr="00F7430C" w:rsidRDefault="00E54E16" w:rsidP="00E54E16">
      <w:pPr>
        <w:pStyle w:val="ListParagraph"/>
        <w:ind w:left="1440"/>
        <w:rPr>
          <w:sz w:val="24"/>
          <w:szCs w:val="24"/>
        </w:rPr>
      </w:pPr>
    </w:p>
    <w:p w:rsidR="00E54E16" w:rsidRPr="00F7430C" w:rsidRDefault="00E54E16" w:rsidP="00E54E16">
      <w:pPr>
        <w:pStyle w:val="ListParagraph"/>
        <w:ind w:left="1440"/>
        <w:rPr>
          <w:sz w:val="24"/>
          <w:szCs w:val="24"/>
          <w:u w:val="single"/>
        </w:rPr>
      </w:pPr>
    </w:p>
    <w:p w:rsidR="00B96CAD" w:rsidRPr="00F7430C" w:rsidRDefault="00E54E16" w:rsidP="00E54E16">
      <w:pPr>
        <w:pStyle w:val="ListParagraph"/>
        <w:ind w:left="1440"/>
        <w:rPr>
          <w:sz w:val="24"/>
          <w:szCs w:val="24"/>
        </w:rPr>
      </w:pPr>
      <w:r w:rsidRPr="00F7430C">
        <w:rPr>
          <w:sz w:val="24"/>
          <w:szCs w:val="24"/>
        </w:rPr>
        <w:t xml:space="preserve">(These are the credit limits for any given household.  As noted below in the Cost Containment section, PECO will also continue to apply a system-wide cost containment mechanism in which the total cost of its program is limited to the number of participants in the program times the inflation-adjusted Maximum Annual Credit set forth set forth in the Commission’s guidelines at 52 </w:t>
      </w:r>
      <w:r w:rsidR="00B96CAD" w:rsidRPr="00F7430C">
        <w:rPr>
          <w:sz w:val="24"/>
          <w:szCs w:val="24"/>
        </w:rPr>
        <w:t>Pa.Code</w:t>
      </w:r>
      <w:r w:rsidRPr="00F7430C">
        <w:rPr>
          <w:sz w:val="24"/>
          <w:szCs w:val="24"/>
        </w:rPr>
        <w:t xml:space="preserve"> </w:t>
      </w:r>
    </w:p>
    <w:p w:rsidR="00E54E16" w:rsidRPr="00F7430C" w:rsidRDefault="00E54E16" w:rsidP="00E54E16">
      <w:pPr>
        <w:pStyle w:val="ListParagraph"/>
        <w:ind w:left="1440"/>
        <w:rPr>
          <w:sz w:val="24"/>
          <w:szCs w:val="24"/>
        </w:rPr>
      </w:pPr>
      <w:r w:rsidRPr="00F7430C">
        <w:rPr>
          <w:sz w:val="24"/>
          <w:szCs w:val="24"/>
        </w:rPr>
        <w:t>§ 69.265(3)(v).)</w:t>
      </w:r>
    </w:p>
    <w:p w:rsidR="00E54E16" w:rsidRPr="00F7430C" w:rsidRDefault="00E54E16" w:rsidP="00E54E16">
      <w:pPr>
        <w:pStyle w:val="ListParagraph"/>
        <w:ind w:left="1440"/>
        <w:rPr>
          <w:sz w:val="24"/>
          <w:szCs w:val="24"/>
          <w:u w:val="single"/>
        </w:rPr>
      </w:pPr>
    </w:p>
    <w:p w:rsidR="00E54E16" w:rsidRPr="00F7430C" w:rsidRDefault="00E54E16" w:rsidP="00310DDF">
      <w:pPr>
        <w:pStyle w:val="ListParagraph"/>
        <w:rPr>
          <w:sz w:val="24"/>
          <w:szCs w:val="24"/>
        </w:rPr>
      </w:pPr>
      <w:r w:rsidRPr="00F7430C">
        <w:rPr>
          <w:sz w:val="24"/>
          <w:szCs w:val="24"/>
          <w:u w:val="single"/>
        </w:rPr>
        <w:t>Step 5:  Apply Annual Credit to Bill</w:t>
      </w:r>
      <w:r w:rsidRPr="00F7430C">
        <w:rPr>
          <w:sz w:val="24"/>
          <w:szCs w:val="24"/>
        </w:rPr>
        <w:t>:</w:t>
      </w:r>
    </w:p>
    <w:p w:rsidR="00E54E16" w:rsidRPr="00F7430C" w:rsidRDefault="00E54E16" w:rsidP="00E54E16">
      <w:pPr>
        <w:pStyle w:val="ListParagraph"/>
        <w:ind w:left="1440"/>
        <w:rPr>
          <w:sz w:val="24"/>
          <w:szCs w:val="24"/>
        </w:rPr>
      </w:pPr>
    </w:p>
    <w:p w:rsidR="00E54E16" w:rsidRPr="00F7430C" w:rsidRDefault="00E54E16" w:rsidP="00E54E16">
      <w:pPr>
        <w:pStyle w:val="ListParagraph"/>
        <w:numPr>
          <w:ilvl w:val="0"/>
          <w:numId w:val="24"/>
        </w:numPr>
        <w:spacing w:after="200" w:line="276" w:lineRule="auto"/>
        <w:contextualSpacing/>
        <w:rPr>
          <w:sz w:val="24"/>
          <w:szCs w:val="24"/>
        </w:rPr>
      </w:pPr>
      <w:r w:rsidRPr="00F7430C">
        <w:rPr>
          <w:sz w:val="24"/>
          <w:szCs w:val="24"/>
        </w:rPr>
        <w:t>PECO will apply the total dollar amount of the Annual Credit over the course of the year.  The credits will be applied in a manner intended to track the seasonal nature of usage, using the following monthly percentages</w:t>
      </w:r>
      <w:r w:rsidRPr="00F7430C">
        <w:rPr>
          <w:rStyle w:val="FootnoteReference"/>
          <w:sz w:val="24"/>
          <w:szCs w:val="24"/>
        </w:rPr>
        <w:footnoteReference w:id="13"/>
      </w:r>
      <w:r w:rsidRPr="00F7430C">
        <w:rPr>
          <w:sz w:val="24"/>
          <w:szCs w:val="24"/>
        </w:rPr>
        <w:t>:</w:t>
      </w:r>
    </w:p>
    <w:p w:rsidR="00E54E16" w:rsidRPr="00F7430C" w:rsidRDefault="0011319E" w:rsidP="00A73E82">
      <w:pPr>
        <w:jc w:val="center"/>
        <w:rPr>
          <w:sz w:val="24"/>
          <w:szCs w:val="24"/>
        </w:rPr>
      </w:pPr>
      <w:r>
        <w:rPr>
          <w:sz w:val="24"/>
          <w:szCs w:val="24"/>
        </w:rPr>
        <w:br w:type="page"/>
      </w:r>
      <w:r w:rsidR="00E54E16" w:rsidRPr="00F7430C">
        <w:rPr>
          <w:sz w:val="24"/>
          <w:szCs w:val="24"/>
        </w:rPr>
        <w:t>Table 3:  Seasonality Distribution</w:t>
      </w:r>
    </w:p>
    <w:p w:rsidR="00E54E16" w:rsidRPr="00F7430C" w:rsidRDefault="00E54E16" w:rsidP="00E54E16">
      <w:pPr>
        <w:pStyle w:val="ListParagraph"/>
        <w:ind w:left="1440"/>
        <w:rPr>
          <w:sz w:val="24"/>
          <w:szCs w:val="24"/>
        </w:rPr>
      </w:pPr>
    </w:p>
    <w:tbl>
      <w:tblPr>
        <w:tblStyle w:val="TableGrid"/>
        <w:tblW w:w="0" w:type="auto"/>
        <w:tblInd w:w="2268" w:type="dxa"/>
        <w:tblLook w:val="04A0" w:firstRow="1" w:lastRow="0" w:firstColumn="1" w:lastColumn="0" w:noHBand="0" w:noVBand="1"/>
      </w:tblPr>
      <w:tblGrid>
        <w:gridCol w:w="1440"/>
        <w:gridCol w:w="1350"/>
        <w:gridCol w:w="1350"/>
        <w:gridCol w:w="1440"/>
      </w:tblGrid>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Month</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Rate R</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Rate RH</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Gas</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Jan</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9.6%</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13.9%</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color w:val="000000" w:themeColor="text1"/>
                <w:sz w:val="24"/>
                <w:szCs w:val="24"/>
              </w:rPr>
            </w:pPr>
            <w:r w:rsidRPr="00F7430C">
              <w:rPr>
                <w:rFonts w:ascii="Times New Roman" w:hAnsi="Times New Roman" w:cs="Times New Roman"/>
                <w:color w:val="000000" w:themeColor="text1"/>
                <w:sz w:val="24"/>
                <w:szCs w:val="24"/>
              </w:rPr>
              <w:t>20.6%</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Feb</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8.9%</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14.2%</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19.5</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Mar</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8.9%</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12.2%</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14.5</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Apr</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7.0%</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9.0%</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9.6</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May</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5.8%</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5.3%</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4.5</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June</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7.7%</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5.2%</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2.6</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July</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11.3%</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6.4%</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2.0</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Aug</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10.6%</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5.9%</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1.8</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Sept</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9.3%</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5.4%</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2.0</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Oct</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6.6%</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4.5%</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2.6</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Nov</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6.6%</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6.4%</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6.9</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Dec</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8.7%</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11.7%</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13.6</w:t>
            </w:r>
            <w:r w:rsidRPr="00F7430C">
              <w:rPr>
                <w:rFonts w:ascii="Times New Roman" w:hAnsi="Times New Roman" w:cs="Times New Roman"/>
                <w:color w:val="000000" w:themeColor="text1"/>
                <w:sz w:val="24"/>
                <w:szCs w:val="24"/>
              </w:rPr>
              <w:t>%</w:t>
            </w:r>
          </w:p>
        </w:tc>
      </w:tr>
      <w:tr w:rsidR="00E54E16" w:rsidRPr="00F7430C" w:rsidTr="00E54E16">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Total</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100.0%</w:t>
            </w:r>
          </w:p>
        </w:tc>
        <w:tc>
          <w:tcPr>
            <w:tcW w:w="135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100.0%</w:t>
            </w:r>
          </w:p>
        </w:tc>
        <w:tc>
          <w:tcPr>
            <w:tcW w:w="1440"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jc w:val="center"/>
              <w:rPr>
                <w:rFonts w:ascii="Times New Roman" w:hAnsi="Times New Roman" w:cs="Times New Roman"/>
                <w:sz w:val="24"/>
                <w:szCs w:val="24"/>
              </w:rPr>
            </w:pPr>
            <w:r w:rsidRPr="00F7430C">
              <w:rPr>
                <w:rFonts w:ascii="Times New Roman" w:hAnsi="Times New Roman" w:cs="Times New Roman"/>
                <w:sz w:val="24"/>
                <w:szCs w:val="24"/>
              </w:rPr>
              <w:t>100.0%</w:t>
            </w:r>
          </w:p>
        </w:tc>
      </w:tr>
    </w:tbl>
    <w:p w:rsidR="00E54E16" w:rsidRPr="00F7430C" w:rsidRDefault="00E54E16" w:rsidP="00E54E16">
      <w:pPr>
        <w:pStyle w:val="ListParagraph"/>
        <w:ind w:left="1800"/>
        <w:rPr>
          <w:sz w:val="24"/>
          <w:szCs w:val="24"/>
        </w:rPr>
      </w:pPr>
    </w:p>
    <w:p w:rsidR="00E54E16" w:rsidRPr="00F7430C" w:rsidRDefault="00E54E16" w:rsidP="009729CF">
      <w:pPr>
        <w:pStyle w:val="ListParagraph"/>
        <w:numPr>
          <w:ilvl w:val="0"/>
          <w:numId w:val="24"/>
        </w:numPr>
        <w:spacing w:after="200"/>
        <w:contextualSpacing/>
        <w:rPr>
          <w:sz w:val="24"/>
          <w:szCs w:val="24"/>
        </w:rPr>
      </w:pPr>
      <w:r w:rsidRPr="00F7430C">
        <w:rPr>
          <w:sz w:val="24"/>
          <w:szCs w:val="24"/>
        </w:rPr>
        <w:t xml:space="preserve">Credits will be applied on a “rolling” basis; that is, if the customer’s credit in a month exceeds the outstanding balance, the credit will be “rolled” forward to future months and used to offset future balances.  </w:t>
      </w:r>
    </w:p>
    <w:p w:rsidR="00E54E16" w:rsidRPr="00F7430C" w:rsidRDefault="00E54E16" w:rsidP="009729CF">
      <w:pPr>
        <w:pStyle w:val="ListParagraph"/>
        <w:ind w:left="1440"/>
        <w:rPr>
          <w:sz w:val="24"/>
          <w:szCs w:val="24"/>
        </w:rPr>
      </w:pPr>
    </w:p>
    <w:p w:rsidR="00E54E16" w:rsidRPr="00F7430C" w:rsidRDefault="00E54E16" w:rsidP="009729CF">
      <w:pPr>
        <w:pStyle w:val="ListParagraph"/>
        <w:rPr>
          <w:sz w:val="24"/>
          <w:szCs w:val="24"/>
          <w:u w:val="single"/>
        </w:rPr>
      </w:pPr>
      <w:r w:rsidRPr="00F7430C">
        <w:rPr>
          <w:sz w:val="24"/>
          <w:szCs w:val="24"/>
          <w:u w:val="single"/>
        </w:rPr>
        <w:t>Step 6:  Periodic Recalculation and Adjustment of Annual Credit</w:t>
      </w:r>
    </w:p>
    <w:p w:rsidR="00E54E16" w:rsidRPr="00F7430C" w:rsidRDefault="00E54E16" w:rsidP="009729CF">
      <w:pPr>
        <w:pStyle w:val="ListParagraph"/>
        <w:ind w:left="1080" w:firstLine="360"/>
        <w:rPr>
          <w:sz w:val="24"/>
          <w:szCs w:val="24"/>
          <w:u w:val="single"/>
        </w:rPr>
      </w:pPr>
    </w:p>
    <w:p w:rsidR="00E54E16" w:rsidRPr="00F7430C" w:rsidRDefault="00E54E16" w:rsidP="009729CF">
      <w:pPr>
        <w:pStyle w:val="ListParagraph"/>
        <w:numPr>
          <w:ilvl w:val="0"/>
          <w:numId w:val="24"/>
        </w:numPr>
        <w:spacing w:after="200"/>
        <w:contextualSpacing/>
        <w:rPr>
          <w:sz w:val="24"/>
          <w:szCs w:val="24"/>
        </w:rPr>
      </w:pPr>
      <w:r w:rsidRPr="00F7430C">
        <w:rPr>
          <w:sz w:val="24"/>
          <w:szCs w:val="24"/>
        </w:rPr>
        <w:t xml:space="preserve">PECO will recalculate Step 2 for each customer during a biennial certification and recalculation.  At that time, each customer will be required to re-verify their income level and size of household. </w:t>
      </w:r>
    </w:p>
    <w:p w:rsidR="00E54E16" w:rsidRPr="00F7430C" w:rsidRDefault="00E54E16" w:rsidP="009729CF">
      <w:pPr>
        <w:pStyle w:val="ListParagraph"/>
        <w:ind w:left="1800"/>
        <w:rPr>
          <w:sz w:val="24"/>
          <w:szCs w:val="24"/>
        </w:rPr>
      </w:pPr>
    </w:p>
    <w:p w:rsidR="00E54E16" w:rsidRPr="00F7430C" w:rsidRDefault="00E54E16" w:rsidP="009729CF">
      <w:pPr>
        <w:pStyle w:val="ListParagraph"/>
        <w:numPr>
          <w:ilvl w:val="0"/>
          <w:numId w:val="24"/>
        </w:numPr>
        <w:spacing w:after="200"/>
        <w:contextualSpacing/>
        <w:rPr>
          <w:sz w:val="24"/>
          <w:szCs w:val="24"/>
        </w:rPr>
      </w:pPr>
      <w:r w:rsidRPr="00F7430C">
        <w:rPr>
          <w:sz w:val="24"/>
          <w:szCs w:val="24"/>
        </w:rPr>
        <w:t>PECO will recalculate Steps 1,</w:t>
      </w:r>
      <w:r w:rsidR="00B96CAD" w:rsidRPr="00F7430C">
        <w:rPr>
          <w:sz w:val="24"/>
          <w:szCs w:val="24"/>
        </w:rPr>
        <w:t xml:space="preserve"> </w:t>
      </w:r>
      <w:r w:rsidRPr="00F7430C">
        <w:rPr>
          <w:sz w:val="24"/>
          <w:szCs w:val="24"/>
        </w:rPr>
        <w:t>3,</w:t>
      </w:r>
      <w:r w:rsidR="00B96CAD" w:rsidRPr="00F7430C">
        <w:rPr>
          <w:sz w:val="24"/>
          <w:szCs w:val="24"/>
        </w:rPr>
        <w:t xml:space="preserve"> </w:t>
      </w:r>
      <w:r w:rsidRPr="00F7430C">
        <w:rPr>
          <w:sz w:val="24"/>
          <w:szCs w:val="24"/>
        </w:rPr>
        <w:t>4 and 5 annually to determine a new Annual Credit for each customer.  PECO currently intends to perform this recalculation on or near the anniversary of a customer’s enrollment in the FCO, but retains the right to spread the recalculation event across the full calendar year for work management purposes.</w:t>
      </w:r>
    </w:p>
    <w:p w:rsidR="00E54E16" w:rsidRPr="00F7430C" w:rsidRDefault="00E54E16" w:rsidP="009729CF">
      <w:pPr>
        <w:pStyle w:val="ListParagraph"/>
        <w:ind w:left="1800"/>
        <w:rPr>
          <w:sz w:val="24"/>
          <w:szCs w:val="24"/>
        </w:rPr>
      </w:pPr>
    </w:p>
    <w:p w:rsidR="00E54E16" w:rsidRPr="00F7430C" w:rsidRDefault="00E54E16" w:rsidP="009729CF">
      <w:pPr>
        <w:pStyle w:val="ListParagraph"/>
        <w:numPr>
          <w:ilvl w:val="0"/>
          <w:numId w:val="24"/>
        </w:numPr>
        <w:spacing w:after="200"/>
        <w:contextualSpacing/>
        <w:rPr>
          <w:sz w:val="24"/>
          <w:szCs w:val="24"/>
        </w:rPr>
      </w:pPr>
      <w:r w:rsidRPr="00F7430C">
        <w:rPr>
          <w:sz w:val="24"/>
          <w:szCs w:val="24"/>
        </w:rPr>
        <w:t>Every three months, PECO will recalculate Step 1 using the customer’s most recent three months’ data on usage/charges.  PECO will then use the results of the Step 1 recalculation as inputs to complete Steps 2 through 5 to determine a Quarterly Recalculation of the Annual Credit.  The adjusted Annual Credit will be applied to bills on a going-forward basis</w:t>
      </w:r>
      <w:r w:rsidR="00310DDF" w:rsidRPr="00F7430C">
        <w:rPr>
          <w:sz w:val="24"/>
          <w:szCs w:val="24"/>
        </w:rPr>
        <w:t xml:space="preserve">.  </w:t>
      </w:r>
      <w:r w:rsidRPr="00F7430C">
        <w:rPr>
          <w:sz w:val="24"/>
          <w:szCs w:val="24"/>
        </w:rPr>
        <w:t>This quarterly recalculation will be coordinated with the results of PECO’s quarterly Generation Services Adjustment filing and approval so that, in each such quarterly adjustment, PECO’s just-approved PTC will replace the oldest three months of PTC data in the underlying calculation.</w:t>
      </w:r>
    </w:p>
    <w:p w:rsidR="00E54E16" w:rsidRPr="00F7430C" w:rsidRDefault="00E54E16" w:rsidP="009729CF">
      <w:pPr>
        <w:pStyle w:val="ListParagraph"/>
        <w:rPr>
          <w:sz w:val="24"/>
          <w:szCs w:val="24"/>
        </w:rPr>
      </w:pP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 xml:space="preserve">At any time during the year, a customer may verify to PECO that their household income or size of household has changed.  Upon completion of that verification, if the changes result in a change in FPL tier, then PECO will recalculate Steps 1 through 5 to determine and apply a new Annual Credit for that household.  The new Annual Credit will be applied prospectively beginning with the next monthly bill after the recalculation is completed and processed through PECO’s billing system.  </w:t>
      </w:r>
    </w:p>
    <w:p w:rsidR="00E54E16" w:rsidRPr="00F7430C" w:rsidRDefault="00E54E16" w:rsidP="005E39F1">
      <w:pPr>
        <w:pStyle w:val="ListParagraph"/>
        <w:rPr>
          <w:sz w:val="24"/>
          <w:szCs w:val="24"/>
        </w:rPr>
      </w:pP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At any time during the year, a customer may verify to PECO that a member of their household has increased usage as a result of medical reasons documented by a medical professional and that such increased, medically-driven usage is expected to be a part of that customer’s long-term (more than 12 months) usage pattern.  PECO will verify, through field visits or otherwise, that the increased usage is expected to be long-term</w:t>
      </w:r>
      <w:r w:rsidR="00310DDF" w:rsidRPr="00F7430C">
        <w:rPr>
          <w:sz w:val="24"/>
          <w:szCs w:val="24"/>
        </w:rPr>
        <w:t xml:space="preserve">.  </w:t>
      </w:r>
      <w:r w:rsidRPr="00F7430C">
        <w:rPr>
          <w:sz w:val="24"/>
          <w:szCs w:val="24"/>
        </w:rPr>
        <w:t xml:space="preserve">Upon such verification, PECO will increase the customer’s Annual Credit by an amount equal to the estimated charges for increased usage as a result of medical equipment for the remainder of that quarter, provided however that the Annual Credit cannot exceed the maximum Annual Credit specified above in Step 4.  </w:t>
      </w:r>
    </w:p>
    <w:p w:rsidR="00E54E16" w:rsidRPr="00F7430C" w:rsidRDefault="00E54E16" w:rsidP="005E39F1">
      <w:pPr>
        <w:pStyle w:val="ListParagraph"/>
        <w:rPr>
          <w:sz w:val="24"/>
          <w:szCs w:val="24"/>
        </w:rPr>
      </w:pPr>
    </w:p>
    <w:p w:rsidR="00E54E16" w:rsidRPr="00F7430C" w:rsidRDefault="00E54E16" w:rsidP="005E39F1">
      <w:pPr>
        <w:pStyle w:val="FootnoteText"/>
        <w:widowControl/>
        <w:numPr>
          <w:ilvl w:val="0"/>
          <w:numId w:val="24"/>
        </w:numPr>
        <w:rPr>
          <w:sz w:val="24"/>
          <w:szCs w:val="24"/>
        </w:rPr>
      </w:pPr>
      <w:r w:rsidRPr="00F7430C">
        <w:rPr>
          <w:sz w:val="24"/>
          <w:szCs w:val="24"/>
        </w:rPr>
        <w:t>Base rate case adjustments:</w:t>
      </w:r>
    </w:p>
    <w:p w:rsidR="00E54E16" w:rsidRPr="00F7430C" w:rsidRDefault="00E54E16" w:rsidP="005E39F1">
      <w:pPr>
        <w:pStyle w:val="ListParagraph"/>
        <w:rPr>
          <w:sz w:val="24"/>
          <w:szCs w:val="24"/>
        </w:rPr>
      </w:pPr>
    </w:p>
    <w:p w:rsidR="00E54E16" w:rsidRPr="00F7430C" w:rsidRDefault="00E54E16" w:rsidP="005E39F1">
      <w:pPr>
        <w:pStyle w:val="FootnoteText"/>
        <w:widowControl/>
        <w:numPr>
          <w:ilvl w:val="1"/>
          <w:numId w:val="24"/>
        </w:numPr>
        <w:rPr>
          <w:sz w:val="24"/>
          <w:szCs w:val="24"/>
        </w:rPr>
      </w:pPr>
      <w:r w:rsidRPr="00F7430C">
        <w:rPr>
          <w:sz w:val="24"/>
          <w:szCs w:val="24"/>
        </w:rPr>
        <w:t>If PECO is granted an electric base rate increase, the portion of each Rate R customer’s Annual Credit that is attributable to distribution rates will be increased by a percentage equal to the system-wide residential distribution rate increase .</w:t>
      </w:r>
    </w:p>
    <w:p w:rsidR="00E54E16" w:rsidRPr="00F7430C" w:rsidRDefault="00E54E16" w:rsidP="005E39F1">
      <w:pPr>
        <w:pStyle w:val="FootnoteText"/>
        <w:ind w:left="2520"/>
        <w:rPr>
          <w:sz w:val="24"/>
          <w:szCs w:val="24"/>
        </w:rPr>
      </w:pPr>
    </w:p>
    <w:p w:rsidR="00E54E16" w:rsidRPr="00F7430C" w:rsidRDefault="00E54E16" w:rsidP="005E39F1">
      <w:pPr>
        <w:pStyle w:val="FootnoteText"/>
        <w:widowControl/>
        <w:numPr>
          <w:ilvl w:val="1"/>
          <w:numId w:val="24"/>
        </w:numPr>
        <w:rPr>
          <w:sz w:val="24"/>
          <w:szCs w:val="24"/>
        </w:rPr>
      </w:pPr>
      <w:r w:rsidRPr="00F7430C">
        <w:rPr>
          <w:sz w:val="24"/>
          <w:szCs w:val="24"/>
        </w:rPr>
        <w:t>If PECO is granted an electric base rate increase, the portion of each Rate RH customer’s Annual Credit that is attributable to distribution rates will be increased by a percentage equal to the system-wide RH distribution rate increase.</w:t>
      </w:r>
    </w:p>
    <w:p w:rsidR="00E54E16" w:rsidRPr="00F7430C" w:rsidRDefault="00E54E16" w:rsidP="005E39F1">
      <w:pPr>
        <w:pStyle w:val="FootnoteText"/>
        <w:ind w:left="2520"/>
        <w:rPr>
          <w:sz w:val="24"/>
          <w:szCs w:val="24"/>
        </w:rPr>
      </w:pPr>
    </w:p>
    <w:p w:rsidR="00E54E16" w:rsidRPr="00F7430C" w:rsidRDefault="00E54E16" w:rsidP="005E39F1">
      <w:pPr>
        <w:pStyle w:val="FootnoteText"/>
        <w:widowControl/>
        <w:numPr>
          <w:ilvl w:val="1"/>
          <w:numId w:val="24"/>
        </w:numPr>
        <w:rPr>
          <w:sz w:val="24"/>
          <w:szCs w:val="24"/>
        </w:rPr>
      </w:pPr>
      <w:r w:rsidRPr="00F7430C">
        <w:rPr>
          <w:sz w:val="24"/>
          <w:szCs w:val="24"/>
        </w:rPr>
        <w:t>If PECO is granted a gas base rate increase, the portion of each Rate R customer’s Annual Credit that is attributable to distribution rates will be increased by a percentage equal to the system-wide residential gas distribution rate increase.</w:t>
      </w:r>
    </w:p>
    <w:p w:rsidR="00E54E16" w:rsidRPr="00F7430C" w:rsidRDefault="00E54E16" w:rsidP="005E39F1">
      <w:pPr>
        <w:pStyle w:val="FootnoteText"/>
        <w:rPr>
          <w:sz w:val="24"/>
          <w:szCs w:val="24"/>
        </w:rPr>
      </w:pPr>
      <w:r w:rsidRPr="00F7430C">
        <w:rPr>
          <w:sz w:val="24"/>
          <w:szCs w:val="24"/>
        </w:rPr>
        <w:t xml:space="preserve"> </w:t>
      </w:r>
    </w:p>
    <w:p w:rsidR="00E54E16" w:rsidRDefault="00E54E16" w:rsidP="005E39F1">
      <w:pPr>
        <w:ind w:left="720"/>
        <w:rPr>
          <w:sz w:val="24"/>
          <w:szCs w:val="24"/>
          <w:u w:val="single"/>
        </w:rPr>
      </w:pPr>
      <w:r w:rsidRPr="00F7430C">
        <w:rPr>
          <w:sz w:val="24"/>
          <w:szCs w:val="24"/>
          <w:u w:val="single"/>
        </w:rPr>
        <w:t>Step 7:</w:t>
      </w:r>
      <w:r w:rsidRPr="00F7430C">
        <w:rPr>
          <w:sz w:val="24"/>
          <w:szCs w:val="24"/>
          <w:u w:val="single"/>
        </w:rPr>
        <w:tab/>
        <w:t>New entrants to CAP program after program begins</w:t>
      </w:r>
    </w:p>
    <w:p w:rsidR="005E39F1" w:rsidRPr="00F7430C" w:rsidRDefault="005E39F1" w:rsidP="005E39F1">
      <w:pPr>
        <w:ind w:left="720"/>
        <w:rPr>
          <w:sz w:val="24"/>
          <w:szCs w:val="24"/>
        </w:rPr>
      </w:pP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Customers who enter CAP after the FCO program begins will be required to verify income and household size.  PECO will then apply Steps 1 through 6 to the new CAP participant.</w:t>
      </w:r>
    </w:p>
    <w:p w:rsidR="00E54E16" w:rsidRPr="00F7430C" w:rsidRDefault="00E54E16" w:rsidP="005E39F1">
      <w:pPr>
        <w:pStyle w:val="ListParagraph"/>
        <w:ind w:left="1080"/>
        <w:rPr>
          <w:sz w:val="24"/>
          <w:szCs w:val="24"/>
          <w:u w:val="single"/>
        </w:rPr>
      </w:pPr>
    </w:p>
    <w:p w:rsidR="00E54E16" w:rsidRPr="00F7430C" w:rsidRDefault="00E54E16" w:rsidP="00E54E16">
      <w:pPr>
        <w:pStyle w:val="ListParagraph"/>
        <w:numPr>
          <w:ilvl w:val="0"/>
          <w:numId w:val="12"/>
        </w:numPr>
        <w:spacing w:after="200" w:line="276" w:lineRule="auto"/>
        <w:contextualSpacing/>
        <w:rPr>
          <w:sz w:val="24"/>
          <w:szCs w:val="24"/>
          <w:u w:val="single"/>
        </w:rPr>
      </w:pPr>
      <w:r w:rsidRPr="00F7430C">
        <w:rPr>
          <w:sz w:val="24"/>
          <w:szCs w:val="24"/>
          <w:u w:val="single"/>
        </w:rPr>
        <w:t>Customers Who Do Not Receive An Annual Credit</w:t>
      </w:r>
    </w:p>
    <w:p w:rsidR="00E54E16" w:rsidRPr="00F7430C" w:rsidRDefault="00E54E16" w:rsidP="00E54E16">
      <w:pPr>
        <w:pStyle w:val="ListParagraph"/>
        <w:ind w:left="1080"/>
        <w:rPr>
          <w:sz w:val="24"/>
          <w:szCs w:val="24"/>
          <w:u w:val="single"/>
        </w:rPr>
      </w:pP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 xml:space="preserve">In the FCO, it is possible for a customer to be income-eligible for CAP (defined as having income of less than 150% of the Federal Poverty Level), but nonetheless receive a $0 credit.  </w:t>
      </w:r>
    </w:p>
    <w:p w:rsidR="00E54E16" w:rsidRPr="00F7430C" w:rsidRDefault="00E54E16" w:rsidP="005E39F1">
      <w:pPr>
        <w:pStyle w:val="ListParagraph"/>
        <w:ind w:left="1080"/>
        <w:rPr>
          <w:sz w:val="24"/>
          <w:szCs w:val="24"/>
        </w:rPr>
      </w:pPr>
    </w:p>
    <w:p w:rsidR="00E54E16" w:rsidRPr="00F7430C" w:rsidRDefault="00E54E16" w:rsidP="005E39F1">
      <w:pPr>
        <w:pStyle w:val="ListParagraph"/>
        <w:numPr>
          <w:ilvl w:val="0"/>
          <w:numId w:val="25"/>
        </w:numPr>
        <w:spacing w:after="200"/>
        <w:ind w:left="1800"/>
        <w:contextualSpacing/>
        <w:rPr>
          <w:sz w:val="24"/>
          <w:szCs w:val="24"/>
        </w:rPr>
      </w:pPr>
      <w:r w:rsidRPr="00F7430C">
        <w:rPr>
          <w:sz w:val="24"/>
          <w:szCs w:val="24"/>
        </w:rPr>
        <w:t>Phase-Out Benefit:  PECO estimates that, under the FCO approach, approximately 40,000 households that receive rate discounts under PECO’s current program will not receive discounts under the FCO.  PECO will identify the individuals in that category as of the October 2016 FCO implementation date and, for that population, will provide a Phase-Out Benefit of $50 per household.  The Phase-Out Benefit will be provided as a monthly bill credit of $4.17 for each month the household continues to take service, up to a maximum of 12 consecutive months</w:t>
      </w:r>
    </w:p>
    <w:p w:rsidR="00E54E16" w:rsidRPr="00F7430C" w:rsidRDefault="00E54E16" w:rsidP="005E39F1">
      <w:pPr>
        <w:pStyle w:val="ListParagraph"/>
        <w:ind w:left="1800"/>
        <w:rPr>
          <w:sz w:val="24"/>
          <w:szCs w:val="24"/>
        </w:rPr>
      </w:pP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Other Benefits:  Any customer who is verified to be eligible for CAP, but who does not receive an Annual Credit, will nonetheless be eligible for any other benefits that may be available to CAP customers including, but not limited to, PPA forgiveness, LIURP priority, etc., according to the terms of those program components.</w:t>
      </w:r>
    </w:p>
    <w:p w:rsidR="00E54E16" w:rsidRPr="00F7430C" w:rsidRDefault="00E54E16" w:rsidP="005E39F1">
      <w:pPr>
        <w:pStyle w:val="ListParagraph"/>
        <w:ind w:left="1080"/>
        <w:rPr>
          <w:sz w:val="24"/>
          <w:szCs w:val="24"/>
          <w:u w:val="single"/>
        </w:rPr>
      </w:pPr>
    </w:p>
    <w:p w:rsidR="00E54E16" w:rsidRPr="00F7430C" w:rsidRDefault="00E54E16" w:rsidP="005E39F1">
      <w:pPr>
        <w:pStyle w:val="ListParagraph"/>
        <w:numPr>
          <w:ilvl w:val="0"/>
          <w:numId w:val="12"/>
        </w:numPr>
        <w:spacing w:after="200"/>
        <w:contextualSpacing/>
        <w:rPr>
          <w:sz w:val="24"/>
          <w:szCs w:val="24"/>
          <w:u w:val="single"/>
        </w:rPr>
      </w:pPr>
      <w:r w:rsidRPr="00F7430C">
        <w:rPr>
          <w:sz w:val="24"/>
          <w:szCs w:val="24"/>
          <w:u w:val="single"/>
        </w:rPr>
        <w:t xml:space="preserve">Cost Containment </w:t>
      </w:r>
    </w:p>
    <w:p w:rsidR="00E54E16" w:rsidRPr="00F7430C" w:rsidRDefault="00E54E16" w:rsidP="005E39F1">
      <w:pPr>
        <w:pStyle w:val="NormalWeb"/>
        <w:numPr>
          <w:ilvl w:val="0"/>
          <w:numId w:val="24"/>
        </w:numPr>
      </w:pPr>
      <w:r w:rsidRPr="00F7430C">
        <w:t>Minimum monthly billing amounts:  The Commission’s CAP Guidelines, 52 Pa.Code §</w:t>
      </w:r>
      <w:r w:rsidR="00B96CAD" w:rsidRPr="00F7430C">
        <w:t xml:space="preserve"> </w:t>
      </w:r>
      <w:r w:rsidRPr="00F7430C">
        <w:t xml:space="preserve">69.265(3)(i), state that CAP participant payments should be at least: </w:t>
      </w:r>
    </w:p>
    <w:p w:rsidR="00E54E16" w:rsidRPr="00F7430C" w:rsidRDefault="00E54E16" w:rsidP="005E39F1">
      <w:pPr>
        <w:pStyle w:val="NormalWeb"/>
        <w:ind w:left="1440" w:firstLine="720"/>
      </w:pPr>
      <w:r w:rsidRPr="00F7430C">
        <w:t>Rate R: $12 per month</w:t>
      </w:r>
    </w:p>
    <w:p w:rsidR="00E54E16" w:rsidRPr="00F7430C" w:rsidRDefault="00E54E16" w:rsidP="005E39F1">
      <w:pPr>
        <w:pStyle w:val="NormalWeb"/>
        <w:ind w:left="1440" w:firstLine="720"/>
      </w:pPr>
      <w:r w:rsidRPr="00F7430C">
        <w:t>Rate RH: $30 per month</w:t>
      </w:r>
    </w:p>
    <w:p w:rsidR="00E54E16" w:rsidRPr="00F7430C" w:rsidRDefault="00E54E16" w:rsidP="005E39F1">
      <w:pPr>
        <w:pStyle w:val="NormalWeb"/>
        <w:ind w:left="1440" w:firstLine="720"/>
      </w:pPr>
      <w:r w:rsidRPr="00F7430C">
        <w:t>Gas Heat: $25 per month</w:t>
      </w:r>
    </w:p>
    <w:p w:rsidR="00E54E16" w:rsidRPr="00F7430C" w:rsidRDefault="00E54E16" w:rsidP="005E39F1">
      <w:pPr>
        <w:pStyle w:val="NormalWeb"/>
        <w:ind w:left="1800"/>
      </w:pPr>
      <w:r w:rsidRPr="00F7430C">
        <w:t>Each monthly bill rendered under this program will have an asked-to-pay amount equal or greater to these monthly minimums, even if a rolling credit creates an overall credit or owed amount of less than the applicable minimum ($12, $25 or $30).</w:t>
      </w:r>
    </w:p>
    <w:p w:rsidR="00E54E16" w:rsidRPr="00F7430C" w:rsidRDefault="00E54E16" w:rsidP="005E39F1">
      <w:pPr>
        <w:pStyle w:val="ListParagraph"/>
        <w:numPr>
          <w:ilvl w:val="0"/>
          <w:numId w:val="24"/>
        </w:numPr>
        <w:spacing w:after="200"/>
        <w:contextualSpacing/>
        <w:rPr>
          <w:sz w:val="24"/>
          <w:szCs w:val="24"/>
        </w:rPr>
      </w:pPr>
      <w:r w:rsidRPr="00F7430C">
        <w:rPr>
          <w:sz w:val="24"/>
          <w:szCs w:val="24"/>
        </w:rPr>
        <w:t xml:space="preserve">Maximum Annual Credits:  The maximum Annual Credits set forth in Table 2 of this settlement exceed the maximum annual credits set forth in the Commission’s guidelines at 52 </w:t>
      </w:r>
      <w:r w:rsidR="00B96CAD" w:rsidRPr="00F7430C">
        <w:rPr>
          <w:sz w:val="24"/>
          <w:szCs w:val="24"/>
        </w:rPr>
        <w:t>Pa.Code</w:t>
      </w:r>
      <w:r w:rsidRPr="00F7430C">
        <w:rPr>
          <w:sz w:val="24"/>
          <w:szCs w:val="24"/>
        </w:rPr>
        <w:t xml:space="preserve"> § 69.265(3)(v).  However, the Commission has previously granted PECO permission to apply those maximum annual credits on a system-wide average, rather than as an individual customer limit.  This settlement continues that practice.  </w:t>
      </w:r>
    </w:p>
    <w:p w:rsidR="00E54E16" w:rsidRPr="00F7430C" w:rsidRDefault="00E54E16" w:rsidP="005E39F1">
      <w:pPr>
        <w:pStyle w:val="ListParagraph"/>
        <w:ind w:left="1800"/>
        <w:rPr>
          <w:sz w:val="24"/>
          <w:szCs w:val="24"/>
        </w:rPr>
      </w:pPr>
    </w:p>
    <w:p w:rsidR="00E54E16" w:rsidRPr="00F7430C" w:rsidRDefault="00E54E16" w:rsidP="005E39F1">
      <w:pPr>
        <w:pStyle w:val="ListParagraph"/>
        <w:ind w:left="1800"/>
        <w:rPr>
          <w:sz w:val="24"/>
          <w:szCs w:val="24"/>
        </w:rPr>
      </w:pPr>
      <w:r w:rsidRPr="00F7430C">
        <w:rPr>
          <w:sz w:val="24"/>
          <w:szCs w:val="24"/>
        </w:rPr>
        <w:t>As of December 31, 2014, the inflation-adjusted maximum Annual Credit for Rate R is $686.83 per customer, and the inflation-adjusted maximum credit for Rate RH is $1,766.13.  PECO’s CAP population is approximately 127,000 Rate R customers and approximately 13,000 Rate RH customers.  Applied on a system-wide basis, the current limit on electric CAP program costs</w:t>
      </w:r>
      <w:r w:rsidRPr="00F7430C">
        <w:rPr>
          <w:rStyle w:val="FootnoteReference"/>
          <w:sz w:val="24"/>
          <w:szCs w:val="24"/>
        </w:rPr>
        <w:footnoteReference w:id="14"/>
      </w:r>
      <w:r w:rsidRPr="00F7430C">
        <w:rPr>
          <w:sz w:val="24"/>
          <w:szCs w:val="24"/>
        </w:rPr>
        <w:t xml:space="preserve"> is:</w:t>
      </w:r>
    </w:p>
    <w:tbl>
      <w:tblPr>
        <w:tblStyle w:val="TableGrid"/>
        <w:tblW w:w="0" w:type="auto"/>
        <w:tblInd w:w="1800" w:type="dxa"/>
        <w:tblLook w:val="04A0" w:firstRow="1" w:lastRow="0" w:firstColumn="1" w:lastColumn="0" w:noHBand="0" w:noVBand="1"/>
      </w:tblPr>
      <w:tblGrid>
        <w:gridCol w:w="1875"/>
        <w:gridCol w:w="1941"/>
        <w:gridCol w:w="1952"/>
        <w:gridCol w:w="2008"/>
      </w:tblGrid>
      <w:tr w:rsidR="00E54E16" w:rsidRPr="00F7430C" w:rsidTr="00FE6942">
        <w:tc>
          <w:tcPr>
            <w:tcW w:w="1875" w:type="dxa"/>
            <w:tcBorders>
              <w:top w:val="single" w:sz="4" w:space="0" w:color="auto"/>
              <w:left w:val="single" w:sz="4" w:space="0" w:color="auto"/>
              <w:bottom w:val="single" w:sz="4" w:space="0" w:color="auto"/>
              <w:right w:val="single" w:sz="4" w:space="0" w:color="auto"/>
            </w:tcBorders>
          </w:tcPr>
          <w:p w:rsidR="00E54E16" w:rsidRPr="00F7430C" w:rsidRDefault="00E54E16">
            <w:pPr>
              <w:pStyle w:val="ListParagraph"/>
              <w:ind w:left="0"/>
              <w:rPr>
                <w:rFonts w:ascii="Times New Roman" w:hAnsi="Times New Roman" w:cs="Times New Roman"/>
                <w:sz w:val="24"/>
                <w:szCs w:val="24"/>
              </w:rPr>
            </w:pPr>
          </w:p>
        </w:tc>
        <w:tc>
          <w:tcPr>
            <w:tcW w:w="1941"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Maximum Per Customer</w:t>
            </w:r>
          </w:p>
        </w:tc>
        <w:tc>
          <w:tcPr>
            <w:tcW w:w="1952"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Number of Customers</w:t>
            </w:r>
          </w:p>
        </w:tc>
        <w:tc>
          <w:tcPr>
            <w:tcW w:w="200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Systemwide Limit</w:t>
            </w:r>
          </w:p>
        </w:tc>
      </w:tr>
      <w:tr w:rsidR="00E54E16" w:rsidRPr="00F7430C" w:rsidTr="00FE6942">
        <w:tc>
          <w:tcPr>
            <w:tcW w:w="1875"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Rate R</w:t>
            </w:r>
          </w:p>
        </w:tc>
        <w:tc>
          <w:tcPr>
            <w:tcW w:w="1941"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$686.83</w:t>
            </w:r>
          </w:p>
        </w:tc>
        <w:tc>
          <w:tcPr>
            <w:tcW w:w="1952"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127,000</w:t>
            </w:r>
          </w:p>
        </w:tc>
        <w:tc>
          <w:tcPr>
            <w:tcW w:w="200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$87.2 m</w:t>
            </w:r>
          </w:p>
        </w:tc>
      </w:tr>
      <w:tr w:rsidR="00E54E16" w:rsidRPr="00F7430C" w:rsidTr="00FE6942">
        <w:tc>
          <w:tcPr>
            <w:tcW w:w="1875"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Rate RH</w:t>
            </w:r>
          </w:p>
        </w:tc>
        <w:tc>
          <w:tcPr>
            <w:tcW w:w="1941"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$1,766.13</w:t>
            </w:r>
          </w:p>
        </w:tc>
        <w:tc>
          <w:tcPr>
            <w:tcW w:w="1952"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14,000</w:t>
            </w:r>
          </w:p>
        </w:tc>
        <w:tc>
          <w:tcPr>
            <w:tcW w:w="200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$23 m</w:t>
            </w:r>
          </w:p>
        </w:tc>
      </w:tr>
      <w:tr w:rsidR="00E54E16" w:rsidRPr="00F7430C" w:rsidTr="00FE6942">
        <w:tc>
          <w:tcPr>
            <w:tcW w:w="1875"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Max Total Program Cost</w:t>
            </w:r>
          </w:p>
        </w:tc>
        <w:tc>
          <w:tcPr>
            <w:tcW w:w="1941" w:type="dxa"/>
            <w:tcBorders>
              <w:top w:val="single" w:sz="4" w:space="0" w:color="auto"/>
              <w:left w:val="single" w:sz="4" w:space="0" w:color="auto"/>
              <w:bottom w:val="single" w:sz="4" w:space="0" w:color="auto"/>
              <w:right w:val="single" w:sz="4" w:space="0" w:color="auto"/>
            </w:tcBorders>
          </w:tcPr>
          <w:p w:rsidR="00E54E16" w:rsidRPr="00F7430C" w:rsidRDefault="00E54E16">
            <w:pPr>
              <w:pStyle w:val="ListParagraph"/>
              <w:ind w:left="0"/>
              <w:rPr>
                <w:rFonts w:ascii="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E16" w:rsidRPr="00F7430C" w:rsidRDefault="00E54E16">
            <w:pPr>
              <w:pStyle w:val="ListParagraph"/>
              <w:ind w:left="0"/>
              <w:rPr>
                <w:rFonts w:ascii="Times New Roman"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hideMark/>
          </w:tcPr>
          <w:p w:rsidR="00E54E16" w:rsidRPr="00F7430C" w:rsidRDefault="00E54E16">
            <w:pPr>
              <w:pStyle w:val="ListParagraph"/>
              <w:ind w:left="0"/>
              <w:rPr>
                <w:rFonts w:ascii="Times New Roman" w:hAnsi="Times New Roman" w:cs="Times New Roman"/>
                <w:sz w:val="24"/>
                <w:szCs w:val="24"/>
              </w:rPr>
            </w:pPr>
            <w:r w:rsidRPr="00F7430C">
              <w:rPr>
                <w:rFonts w:ascii="Times New Roman" w:hAnsi="Times New Roman" w:cs="Times New Roman"/>
                <w:sz w:val="24"/>
                <w:szCs w:val="24"/>
              </w:rPr>
              <w:t>$110.2 m</w:t>
            </w:r>
          </w:p>
        </w:tc>
      </w:tr>
    </w:tbl>
    <w:p w:rsidR="00E54E16" w:rsidRPr="00F7430C" w:rsidRDefault="00E54E16" w:rsidP="00E54E16">
      <w:pPr>
        <w:rPr>
          <w:sz w:val="24"/>
          <w:szCs w:val="24"/>
          <w:u w:val="single"/>
        </w:rPr>
      </w:pPr>
    </w:p>
    <w:p w:rsidR="00E54E16" w:rsidRPr="00F7430C" w:rsidRDefault="00E54E16" w:rsidP="00FE6942">
      <w:pPr>
        <w:pStyle w:val="ListParagraph"/>
        <w:numPr>
          <w:ilvl w:val="0"/>
          <w:numId w:val="12"/>
        </w:numPr>
        <w:spacing w:after="200"/>
        <w:contextualSpacing/>
        <w:rPr>
          <w:sz w:val="24"/>
          <w:szCs w:val="24"/>
          <w:u w:val="single"/>
        </w:rPr>
      </w:pPr>
      <w:r w:rsidRPr="00F7430C">
        <w:rPr>
          <w:sz w:val="24"/>
          <w:szCs w:val="24"/>
          <w:u w:val="single"/>
        </w:rPr>
        <w:t>Cost Recovery</w:t>
      </w:r>
    </w:p>
    <w:p w:rsidR="00E54E16" w:rsidRPr="00F7430C" w:rsidRDefault="00E54E16" w:rsidP="00FE6942">
      <w:pPr>
        <w:pStyle w:val="ListParagraph"/>
        <w:ind w:left="1080"/>
        <w:rPr>
          <w:sz w:val="24"/>
          <w:szCs w:val="24"/>
          <w:u w:val="single"/>
        </w:rPr>
      </w:pPr>
    </w:p>
    <w:p w:rsidR="00E54E16" w:rsidRPr="00F7430C" w:rsidRDefault="00E54E16" w:rsidP="00FE6942">
      <w:pPr>
        <w:pStyle w:val="ListParagraph"/>
        <w:numPr>
          <w:ilvl w:val="0"/>
          <w:numId w:val="24"/>
        </w:numPr>
        <w:spacing w:after="200"/>
        <w:contextualSpacing/>
        <w:rPr>
          <w:sz w:val="24"/>
          <w:szCs w:val="24"/>
        </w:rPr>
      </w:pPr>
      <w:r w:rsidRPr="00F7430C">
        <w:rPr>
          <w:sz w:val="24"/>
          <w:szCs w:val="24"/>
        </w:rPr>
        <w:t xml:space="preserve">“Shortfall” cost recovery:  The total amount of credits to customers is known as the “shortfall” amount.  The shortfall amount is recovered through PECO’s Universal Services Fund Charge (“USFC”).  At present, USFC cost recovery includes a reduction of 22% for presumed reduction in PECO’s uncollectible expense, and 5% for presumed improvement in PECO’s cash working capital.  Recovery of shortfall amounts, including the Phase-Out Benefit, shall continue on that same basis; provided, however, that the signatories reserve the right to challenge the appropriateness of the 22% and 5% offsets in any PECO base rate case.  </w:t>
      </w:r>
    </w:p>
    <w:p w:rsidR="00E54E16" w:rsidRPr="00F7430C" w:rsidRDefault="00E54E16" w:rsidP="00FE6942">
      <w:pPr>
        <w:pStyle w:val="ListParagraph"/>
        <w:ind w:left="1800"/>
        <w:rPr>
          <w:sz w:val="24"/>
          <w:szCs w:val="24"/>
        </w:rPr>
      </w:pPr>
    </w:p>
    <w:p w:rsidR="00E54E16" w:rsidRPr="00F7430C" w:rsidRDefault="00E54E16" w:rsidP="00FE6942">
      <w:pPr>
        <w:pStyle w:val="ListParagraph"/>
        <w:numPr>
          <w:ilvl w:val="0"/>
          <w:numId w:val="24"/>
        </w:numPr>
        <w:spacing w:after="200"/>
        <w:contextualSpacing/>
        <w:rPr>
          <w:sz w:val="24"/>
          <w:szCs w:val="24"/>
        </w:rPr>
      </w:pPr>
      <w:r w:rsidRPr="00F7430C">
        <w:rPr>
          <w:sz w:val="24"/>
          <w:szCs w:val="24"/>
        </w:rPr>
        <w:t>IT cost recovery: PECO estimates that it will incur $7-11 million in IT transition costs to implement the FCO system.  PECO shall not be required to move forward with the FCO program until it is satisfied that the Commission has approved or will approve recovery of its IT transition costs. The parties agree that PECO, in its discretion, may request that a maximum of $11 million in IT transition costs be treated as a regulatory asset and deferred for accounting and financial reporting purposes subject to the following conditions:</w:t>
      </w:r>
    </w:p>
    <w:p w:rsidR="00651C69" w:rsidRPr="00F7430C" w:rsidRDefault="00651C69" w:rsidP="00FE6942">
      <w:pPr>
        <w:pStyle w:val="ListParagraph"/>
        <w:ind w:left="1800"/>
        <w:rPr>
          <w:sz w:val="24"/>
          <w:szCs w:val="24"/>
        </w:rPr>
      </w:pPr>
    </w:p>
    <w:p w:rsidR="00E54E16" w:rsidRPr="00F7430C" w:rsidRDefault="00E54E16" w:rsidP="00FE6942">
      <w:pPr>
        <w:pStyle w:val="ListParagraph"/>
        <w:ind w:left="1800"/>
        <w:rPr>
          <w:sz w:val="24"/>
          <w:szCs w:val="24"/>
        </w:rPr>
      </w:pPr>
      <w:r w:rsidRPr="00F7430C">
        <w:rPr>
          <w:sz w:val="24"/>
          <w:szCs w:val="24"/>
        </w:rPr>
        <w:t>A.</w:t>
      </w:r>
      <w:r w:rsidRPr="00F7430C">
        <w:rPr>
          <w:sz w:val="24"/>
          <w:szCs w:val="24"/>
        </w:rPr>
        <w:tab/>
        <w:t>That authorization for deferred accounting treatment is not an assurance that there will be future rate recovery;</w:t>
      </w:r>
    </w:p>
    <w:p w:rsidR="00E54E16" w:rsidRPr="00F7430C" w:rsidRDefault="00E54E16" w:rsidP="00FE6942">
      <w:pPr>
        <w:pStyle w:val="ListParagraph"/>
        <w:ind w:left="1800"/>
        <w:rPr>
          <w:sz w:val="24"/>
          <w:szCs w:val="24"/>
        </w:rPr>
      </w:pPr>
      <w:r w:rsidRPr="00F7430C">
        <w:rPr>
          <w:sz w:val="24"/>
          <w:szCs w:val="24"/>
        </w:rPr>
        <w:t>B.</w:t>
      </w:r>
      <w:r w:rsidRPr="00F7430C">
        <w:rPr>
          <w:sz w:val="24"/>
          <w:szCs w:val="24"/>
        </w:rPr>
        <w:tab/>
        <w:t>That PECO claim the deferred costs at the first available opportunity in a base rate case;</w:t>
      </w:r>
    </w:p>
    <w:p w:rsidR="00E54E16" w:rsidRPr="00F7430C" w:rsidRDefault="00E54E16" w:rsidP="00FE6942">
      <w:pPr>
        <w:pStyle w:val="ListParagraph"/>
        <w:ind w:left="1800"/>
        <w:rPr>
          <w:sz w:val="24"/>
          <w:szCs w:val="24"/>
        </w:rPr>
      </w:pPr>
      <w:r w:rsidRPr="00F7430C">
        <w:rPr>
          <w:sz w:val="24"/>
          <w:szCs w:val="24"/>
        </w:rPr>
        <w:t>C.</w:t>
      </w:r>
      <w:r w:rsidRPr="00F7430C">
        <w:rPr>
          <w:sz w:val="24"/>
          <w:szCs w:val="24"/>
        </w:rPr>
        <w:tab/>
        <w:t>That PECO be directed to commence amortization on a reasonable schedule beginning with the IT in-service date;</w:t>
      </w:r>
    </w:p>
    <w:p w:rsidR="00E54E16" w:rsidRPr="00F7430C" w:rsidRDefault="00E54E16" w:rsidP="00FE6942">
      <w:pPr>
        <w:pStyle w:val="ListParagraph"/>
        <w:ind w:left="1800"/>
        <w:rPr>
          <w:sz w:val="24"/>
          <w:szCs w:val="24"/>
        </w:rPr>
      </w:pPr>
      <w:r w:rsidRPr="00F7430C">
        <w:rPr>
          <w:sz w:val="24"/>
          <w:szCs w:val="24"/>
        </w:rPr>
        <w:t>D.</w:t>
      </w:r>
      <w:r w:rsidRPr="00F7430C">
        <w:rPr>
          <w:sz w:val="24"/>
          <w:szCs w:val="24"/>
        </w:rPr>
        <w:tab/>
        <w:t>That any authorization for deferred accounting be limited to the IT expense and not extend to capital costs; and</w:t>
      </w:r>
    </w:p>
    <w:p w:rsidR="00E54E16" w:rsidRPr="00F7430C" w:rsidRDefault="00E54E16" w:rsidP="00FE6942">
      <w:pPr>
        <w:pStyle w:val="ListParagraph"/>
        <w:ind w:left="1800"/>
        <w:rPr>
          <w:sz w:val="24"/>
          <w:szCs w:val="24"/>
        </w:rPr>
      </w:pPr>
      <w:r w:rsidRPr="00F7430C">
        <w:rPr>
          <w:sz w:val="24"/>
          <w:szCs w:val="24"/>
        </w:rPr>
        <w:t>E.</w:t>
      </w:r>
      <w:r w:rsidRPr="00F7430C">
        <w:rPr>
          <w:sz w:val="24"/>
          <w:szCs w:val="24"/>
        </w:rPr>
        <w:tab/>
        <w:t>That any order will not limit any party in its ability to contest rate recovery of the deferred costs.</w:t>
      </w:r>
    </w:p>
    <w:p w:rsidR="00E54E16" w:rsidRPr="00F7430C" w:rsidRDefault="00E54E16" w:rsidP="00FE6942">
      <w:pPr>
        <w:pStyle w:val="ListParagraph"/>
        <w:ind w:left="1800"/>
        <w:rPr>
          <w:sz w:val="24"/>
          <w:szCs w:val="24"/>
        </w:rPr>
      </w:pPr>
    </w:p>
    <w:p w:rsidR="00E54E16" w:rsidRPr="00F7430C" w:rsidRDefault="00E54E16" w:rsidP="00FE6942">
      <w:pPr>
        <w:pStyle w:val="ListParagraph"/>
        <w:numPr>
          <w:ilvl w:val="0"/>
          <w:numId w:val="12"/>
        </w:numPr>
        <w:spacing w:after="200"/>
        <w:contextualSpacing/>
        <w:rPr>
          <w:sz w:val="24"/>
          <w:szCs w:val="24"/>
        </w:rPr>
      </w:pPr>
      <w:r w:rsidRPr="00F7430C">
        <w:rPr>
          <w:sz w:val="24"/>
          <w:szCs w:val="24"/>
        </w:rPr>
        <w:t>External review of FCO program:</w:t>
      </w:r>
    </w:p>
    <w:p w:rsidR="00E54E16" w:rsidRPr="00F7430C" w:rsidRDefault="00E54E16" w:rsidP="00FE6942">
      <w:pPr>
        <w:pStyle w:val="FootnoteText"/>
        <w:ind w:left="1800"/>
        <w:rPr>
          <w:sz w:val="24"/>
          <w:szCs w:val="24"/>
        </w:rPr>
      </w:pPr>
      <w:r w:rsidRPr="00F7430C">
        <w:rPr>
          <w:sz w:val="24"/>
          <w:szCs w:val="24"/>
        </w:rPr>
        <w:t xml:space="preserve">Expert external evaluation of the new FCO program will require two full calendar years of operational data, plus a six-month period for data analysis and evaluation.  With a nominal start date of October 2016, this timeline will require until December 2018 for operational data collection, and until June 30, 2019 to complete data analysis and evaluation.   PECO’s periodic six-year evaluation is currently required to be filed with the Commission on October 1, 2018.  As part of its filing, PECO will therefore request that its six-year evaluation be rescheduled for filing on June 30, 2019.  The evaluator’s report will be provided to the Commission and to each member of PECO’s USECP Advisory Committee and the signatories to this agreement at that time.  </w:t>
      </w:r>
    </w:p>
    <w:p w:rsidR="00E54E16" w:rsidRPr="00F7430C" w:rsidRDefault="00E54E16" w:rsidP="00E54E16">
      <w:pPr>
        <w:pStyle w:val="ListParagraph"/>
        <w:ind w:left="1080"/>
        <w:rPr>
          <w:sz w:val="24"/>
          <w:szCs w:val="24"/>
        </w:rPr>
      </w:pPr>
    </w:p>
    <w:p w:rsidR="00E54E16" w:rsidRPr="00F7430C" w:rsidRDefault="00E54E16" w:rsidP="00E54E16">
      <w:pPr>
        <w:pStyle w:val="ListParagraph"/>
        <w:numPr>
          <w:ilvl w:val="0"/>
          <w:numId w:val="23"/>
        </w:numPr>
        <w:spacing w:after="200" w:line="276" w:lineRule="auto"/>
        <w:contextualSpacing/>
        <w:rPr>
          <w:b/>
          <w:sz w:val="24"/>
          <w:szCs w:val="24"/>
          <w:u w:val="single"/>
        </w:rPr>
      </w:pPr>
      <w:r w:rsidRPr="00F7430C">
        <w:rPr>
          <w:b/>
          <w:sz w:val="24"/>
          <w:szCs w:val="24"/>
          <w:u w:val="single"/>
        </w:rPr>
        <w:t>Arrearage Forgiveness</w:t>
      </w:r>
    </w:p>
    <w:p w:rsidR="00E54E16" w:rsidRPr="00F7430C" w:rsidRDefault="00E54E16" w:rsidP="00E54E16">
      <w:pPr>
        <w:pStyle w:val="ListParagraph"/>
        <w:rPr>
          <w:b/>
          <w:sz w:val="24"/>
          <w:szCs w:val="24"/>
          <w:u w:val="single"/>
        </w:rPr>
      </w:pPr>
    </w:p>
    <w:p w:rsidR="00E54E16" w:rsidRPr="00F7430C" w:rsidRDefault="00E54E16" w:rsidP="00E54E16">
      <w:pPr>
        <w:ind w:left="1440" w:hanging="720"/>
        <w:rPr>
          <w:sz w:val="24"/>
          <w:szCs w:val="24"/>
        </w:rPr>
      </w:pPr>
      <w:r w:rsidRPr="00F7430C">
        <w:rPr>
          <w:sz w:val="24"/>
          <w:szCs w:val="24"/>
        </w:rPr>
        <w:t>1.</w:t>
      </w:r>
      <w:r w:rsidR="00651C69" w:rsidRPr="00F7430C">
        <w:rPr>
          <w:sz w:val="24"/>
          <w:szCs w:val="24"/>
        </w:rPr>
        <w:tab/>
      </w:r>
      <w:r w:rsidRPr="00F7430C">
        <w:rPr>
          <w:sz w:val="24"/>
          <w:szCs w:val="24"/>
        </w:rPr>
        <w:t xml:space="preserve">In a separate petition or in its next base rate case, in either case, to be filed on or before the first calendar quarter of 2016 to permit PUC review to occur before FCO program implementation in October 2016, PECO will propose an in-program arrearage forgiveness program with the following core provisions: </w:t>
      </w:r>
    </w:p>
    <w:p w:rsidR="00032357" w:rsidRDefault="00032357" w:rsidP="00651C69">
      <w:pPr>
        <w:pStyle w:val="ListParagraph"/>
        <w:ind w:left="1800"/>
        <w:rPr>
          <w:sz w:val="24"/>
          <w:szCs w:val="24"/>
        </w:rPr>
      </w:pPr>
    </w:p>
    <w:p w:rsidR="00E54E16" w:rsidRPr="00F7430C" w:rsidRDefault="00E54E16" w:rsidP="00957D4D">
      <w:pPr>
        <w:pStyle w:val="ListParagraph"/>
        <w:numPr>
          <w:ilvl w:val="0"/>
          <w:numId w:val="25"/>
        </w:numPr>
        <w:tabs>
          <w:tab w:val="left" w:pos="1890"/>
        </w:tabs>
        <w:ind w:left="1890" w:hanging="450"/>
        <w:rPr>
          <w:sz w:val="24"/>
          <w:szCs w:val="24"/>
        </w:rPr>
      </w:pPr>
      <w:r w:rsidRPr="00F7430C">
        <w:rPr>
          <w:sz w:val="24"/>
          <w:szCs w:val="24"/>
        </w:rPr>
        <w:t>For each customer who is a CAP participant when PECO transitions to the FCO program in October 2016, PECO will determine the amount, if any, of that customer’s IPA balance (the “Initial IPA Balance”).</w:t>
      </w:r>
      <w:r w:rsidR="00651C69" w:rsidRPr="00F7430C">
        <w:rPr>
          <w:sz w:val="24"/>
          <w:szCs w:val="24"/>
        </w:rPr>
        <w:t xml:space="preserve"> </w:t>
      </w:r>
      <w:r w:rsidRPr="00F7430C">
        <w:rPr>
          <w:sz w:val="24"/>
          <w:szCs w:val="24"/>
        </w:rPr>
        <w:t xml:space="preserve"> PECO will enter into a 60-month payment arrangement for an amount equal to 1/3rd of that customer’s Initial IPA Balance (the “Payment Arrangement Amount”).</w:t>
      </w:r>
    </w:p>
    <w:p w:rsidR="00E54E16" w:rsidRPr="00F7430C" w:rsidRDefault="00E54E16" w:rsidP="00E54E16">
      <w:pPr>
        <w:pStyle w:val="ListParagraph"/>
        <w:ind w:left="1800"/>
        <w:rPr>
          <w:sz w:val="24"/>
          <w:szCs w:val="24"/>
        </w:rPr>
      </w:pPr>
    </w:p>
    <w:p w:rsidR="00E54E16" w:rsidRPr="00F7430C" w:rsidRDefault="00E54E16" w:rsidP="00957D4D">
      <w:pPr>
        <w:pStyle w:val="ListParagraph"/>
        <w:numPr>
          <w:ilvl w:val="0"/>
          <w:numId w:val="25"/>
        </w:numPr>
        <w:tabs>
          <w:tab w:val="left" w:pos="1080"/>
          <w:tab w:val="left" w:pos="1890"/>
        </w:tabs>
        <w:ind w:left="1890" w:hanging="450"/>
        <w:rPr>
          <w:sz w:val="24"/>
          <w:szCs w:val="24"/>
        </w:rPr>
      </w:pPr>
      <w:r w:rsidRPr="00F7430C">
        <w:rPr>
          <w:sz w:val="24"/>
          <w:szCs w:val="24"/>
        </w:rPr>
        <w:t>For each dollar of the customer’s Initial IPA Balance that the customer pays via its payment arrangement or otherwise, the customer’s Initial IPA balance</w:t>
      </w:r>
      <w:r w:rsidR="00651C69" w:rsidRPr="00F7430C">
        <w:rPr>
          <w:sz w:val="24"/>
          <w:szCs w:val="24"/>
        </w:rPr>
        <w:t xml:space="preserve"> </w:t>
      </w:r>
      <w:r w:rsidRPr="00F7430C">
        <w:rPr>
          <w:sz w:val="24"/>
          <w:szCs w:val="24"/>
        </w:rPr>
        <w:t>will be reduced by an additional $2.00.</w:t>
      </w:r>
    </w:p>
    <w:p w:rsidR="00E54E16" w:rsidRPr="00F7430C" w:rsidRDefault="00E54E16" w:rsidP="00E54E16">
      <w:pPr>
        <w:pStyle w:val="ListParagraph"/>
        <w:ind w:left="1800" w:hanging="360"/>
        <w:rPr>
          <w:sz w:val="24"/>
          <w:szCs w:val="24"/>
        </w:rPr>
      </w:pPr>
    </w:p>
    <w:p w:rsidR="00E54E16" w:rsidRPr="00F7430C" w:rsidRDefault="00E54E16" w:rsidP="00E54E16">
      <w:pPr>
        <w:pStyle w:val="ListParagraph"/>
        <w:ind w:left="1800" w:hanging="360"/>
        <w:rPr>
          <w:sz w:val="24"/>
          <w:szCs w:val="24"/>
        </w:rPr>
      </w:pPr>
      <w:r w:rsidRPr="00F7430C">
        <w:rPr>
          <w:sz w:val="24"/>
          <w:szCs w:val="24"/>
        </w:rPr>
        <w:sym w:font="Symbol" w:char="F0B7"/>
      </w:r>
      <w:r w:rsidR="00651C69" w:rsidRPr="00F7430C">
        <w:rPr>
          <w:sz w:val="24"/>
          <w:szCs w:val="24"/>
        </w:rPr>
        <w:tab/>
      </w:r>
      <w:r w:rsidRPr="00F7430C">
        <w:rPr>
          <w:sz w:val="24"/>
          <w:szCs w:val="24"/>
        </w:rPr>
        <w:t>A proposed cost recovery mechanism for the in-program arrearage forgiveness program.  If the proposal is made in a base rate proceeding, PECO agrees that it will not seek recovery of more than 2/3 of the projected cumulative Initial IPA balance for the entire CAP population as of October 1, 2016 from CAP customers in arrears or other ratepayers.  If the proposal is made in a proceeding other than a base rate proceeding, PECO may propose a cost recovery mechanism that has substantially similar financial effect.  All other parties reserve all rights to address PECO’s proposed IPA cost recovery mechanism when PECO makes its IPA arrearage forgiveness filing.</w:t>
      </w:r>
    </w:p>
    <w:p w:rsidR="00651C69" w:rsidRPr="00F7430C" w:rsidRDefault="00651C69" w:rsidP="00E54E16">
      <w:pPr>
        <w:pStyle w:val="ListParagraph"/>
        <w:ind w:left="1800" w:hanging="360"/>
        <w:rPr>
          <w:sz w:val="24"/>
          <w:szCs w:val="24"/>
        </w:rPr>
      </w:pPr>
    </w:p>
    <w:p w:rsidR="00E54E16" w:rsidRPr="00F7430C" w:rsidRDefault="00E54E16" w:rsidP="00FE6942">
      <w:pPr>
        <w:ind w:left="1440" w:hanging="720"/>
        <w:rPr>
          <w:sz w:val="24"/>
          <w:szCs w:val="24"/>
        </w:rPr>
      </w:pPr>
      <w:r w:rsidRPr="00F7430C">
        <w:rPr>
          <w:sz w:val="24"/>
          <w:szCs w:val="24"/>
        </w:rPr>
        <w:t>2.</w:t>
      </w:r>
      <w:r w:rsidR="00651C69" w:rsidRPr="00F7430C">
        <w:rPr>
          <w:sz w:val="24"/>
          <w:szCs w:val="24"/>
        </w:rPr>
        <w:tab/>
      </w:r>
      <w:r w:rsidRPr="00F7430C">
        <w:rPr>
          <w:sz w:val="24"/>
          <w:szCs w:val="24"/>
        </w:rPr>
        <w:t>PECO will use its best efforts to obtain final PUC approval of the IPA forgiveness program and the core provisions described in paragraph 1.</w:t>
      </w:r>
    </w:p>
    <w:p w:rsidR="00651C69" w:rsidRPr="00F7430C" w:rsidRDefault="00651C69" w:rsidP="00FE6942">
      <w:pPr>
        <w:ind w:left="1440" w:hanging="720"/>
        <w:rPr>
          <w:sz w:val="24"/>
          <w:szCs w:val="24"/>
        </w:rPr>
      </w:pPr>
    </w:p>
    <w:p w:rsidR="00E54E16" w:rsidRPr="00F7430C" w:rsidRDefault="00E54E16" w:rsidP="00FE6942">
      <w:pPr>
        <w:ind w:left="1440" w:hanging="720"/>
        <w:rPr>
          <w:sz w:val="24"/>
          <w:szCs w:val="24"/>
        </w:rPr>
      </w:pPr>
      <w:r w:rsidRPr="00F7430C">
        <w:rPr>
          <w:sz w:val="24"/>
          <w:szCs w:val="24"/>
        </w:rPr>
        <w:t>3.</w:t>
      </w:r>
      <w:r w:rsidRPr="00F7430C">
        <w:rPr>
          <w:sz w:val="24"/>
          <w:szCs w:val="24"/>
        </w:rPr>
        <w:tab/>
        <w:t xml:space="preserve">PECO shall serve its petition on the signatories to this settlement and the Commission’s Bureau of Investigation and Enforcement.  </w:t>
      </w:r>
    </w:p>
    <w:p w:rsidR="00651C69" w:rsidRPr="00F7430C" w:rsidRDefault="00651C69" w:rsidP="00FE6942">
      <w:pPr>
        <w:ind w:left="1440" w:hanging="720"/>
        <w:rPr>
          <w:sz w:val="24"/>
          <w:szCs w:val="24"/>
        </w:rPr>
      </w:pPr>
    </w:p>
    <w:p w:rsidR="00E54E16" w:rsidRPr="00F7430C" w:rsidRDefault="00E54E16" w:rsidP="00FE6942">
      <w:pPr>
        <w:ind w:left="1440" w:hanging="720"/>
        <w:rPr>
          <w:sz w:val="24"/>
          <w:szCs w:val="24"/>
        </w:rPr>
      </w:pPr>
      <w:r w:rsidRPr="00F7430C">
        <w:rPr>
          <w:sz w:val="24"/>
          <w:szCs w:val="24"/>
        </w:rPr>
        <w:t>4.</w:t>
      </w:r>
      <w:r w:rsidRPr="00F7430C">
        <w:rPr>
          <w:sz w:val="24"/>
          <w:szCs w:val="24"/>
        </w:rPr>
        <w:tab/>
        <w:t>PECO shall not be required to proceed with the arrearage forgiveness program unless the cost recovery mechanism is approved by the Commission in substantially the form proposed by PECO or which PECO agrees to in subsequent settlement discussions with the parties to that proceeding.</w:t>
      </w:r>
    </w:p>
    <w:p w:rsidR="00651C69" w:rsidRPr="00F7430C" w:rsidRDefault="00651C69" w:rsidP="00FE6942">
      <w:pPr>
        <w:ind w:left="1440" w:hanging="720"/>
        <w:rPr>
          <w:sz w:val="24"/>
          <w:szCs w:val="24"/>
        </w:rPr>
      </w:pPr>
    </w:p>
    <w:p w:rsidR="00E54E16" w:rsidRPr="00F7430C" w:rsidRDefault="00E54E16" w:rsidP="00FE6942">
      <w:pPr>
        <w:ind w:left="1440" w:hanging="720"/>
        <w:rPr>
          <w:sz w:val="24"/>
          <w:szCs w:val="24"/>
        </w:rPr>
      </w:pPr>
      <w:r w:rsidRPr="00F7430C">
        <w:rPr>
          <w:sz w:val="24"/>
          <w:szCs w:val="24"/>
        </w:rPr>
        <w:t>5.</w:t>
      </w:r>
      <w:r w:rsidR="00651C69" w:rsidRPr="00F7430C">
        <w:rPr>
          <w:sz w:val="24"/>
          <w:szCs w:val="24"/>
        </w:rPr>
        <w:tab/>
      </w:r>
      <w:r w:rsidRPr="00F7430C">
        <w:rPr>
          <w:sz w:val="24"/>
          <w:szCs w:val="24"/>
        </w:rPr>
        <w:t>If the proposed PECO’s IPA forgiveness program obtains final Commission approval, including (a) the core arrearage forgiveness provisions described in paragraph 1 (or forgiveness provisions substantially as beneficial to CAP participants as the core provisions described in paragraph 1, as determined by TURN, Action Alliance and CAUSE-PA, in their discretion), and (b) cost recovery that meets the requirements of Paragraph 4 above, and such approval is obtained from the PUC prior to FCO program implementation, PECO will implement the approved arrearage forgiveness program at or before the implementation of the FCO program.  If such approval is not obtained, then upon implementation of the FCO program in October 2016, PECO shall provide each CAP participant a 60-month payment agreement on their full Initial IPA Balance.</w:t>
      </w:r>
      <w:r w:rsidR="00504642">
        <w:rPr>
          <w:sz w:val="24"/>
          <w:szCs w:val="24"/>
        </w:rPr>
        <w:t xml:space="preserve"> </w:t>
      </w:r>
      <w:r w:rsidRPr="00F7430C">
        <w:rPr>
          <w:sz w:val="24"/>
          <w:szCs w:val="24"/>
        </w:rPr>
        <w:t xml:space="preserve"> Such 60-month payment agreement shall remain in effect: (a) until such time as final approval of PECO’s IPA forgiveness program is obtained, or (b) in the event no such final approval is obtained, then for 60 months.</w:t>
      </w:r>
    </w:p>
    <w:p w:rsidR="00E54E16" w:rsidRPr="00F7430C" w:rsidRDefault="00E54E16" w:rsidP="00E54E16">
      <w:pPr>
        <w:ind w:left="1440" w:hanging="720"/>
        <w:rPr>
          <w:sz w:val="24"/>
          <w:szCs w:val="24"/>
        </w:rPr>
      </w:pPr>
    </w:p>
    <w:p w:rsidR="00E54E16" w:rsidRPr="00F7430C" w:rsidRDefault="00E54E16" w:rsidP="00E54E16">
      <w:pPr>
        <w:pStyle w:val="ListParagraph"/>
        <w:numPr>
          <w:ilvl w:val="0"/>
          <w:numId w:val="23"/>
        </w:numPr>
        <w:spacing w:after="200" w:line="276" w:lineRule="auto"/>
        <w:contextualSpacing/>
        <w:rPr>
          <w:b/>
          <w:sz w:val="24"/>
          <w:szCs w:val="24"/>
          <w:u w:val="single"/>
        </w:rPr>
      </w:pPr>
      <w:r w:rsidRPr="00F7430C">
        <w:rPr>
          <w:b/>
          <w:sz w:val="24"/>
          <w:szCs w:val="24"/>
          <w:u w:val="single"/>
        </w:rPr>
        <w:t>Usage reduction</w:t>
      </w:r>
    </w:p>
    <w:p w:rsidR="00E54E16" w:rsidRPr="00F7430C" w:rsidRDefault="00E54E16" w:rsidP="00E54E16">
      <w:pPr>
        <w:pStyle w:val="ListParagraph"/>
        <w:rPr>
          <w:sz w:val="24"/>
          <w:szCs w:val="24"/>
        </w:rPr>
      </w:pPr>
    </w:p>
    <w:p w:rsidR="00E54E16" w:rsidRPr="00F7430C" w:rsidRDefault="00E54E16" w:rsidP="00E54E16">
      <w:pPr>
        <w:pStyle w:val="ListParagraph"/>
        <w:numPr>
          <w:ilvl w:val="0"/>
          <w:numId w:val="15"/>
        </w:numPr>
        <w:spacing w:after="200" w:line="276" w:lineRule="auto"/>
        <w:contextualSpacing/>
        <w:rPr>
          <w:sz w:val="24"/>
          <w:szCs w:val="24"/>
          <w:u w:val="single"/>
        </w:rPr>
      </w:pPr>
      <w:r w:rsidRPr="00F7430C">
        <w:rPr>
          <w:sz w:val="24"/>
          <w:szCs w:val="24"/>
          <w:u w:val="single"/>
        </w:rPr>
        <w:t>Low-Income Usage Reduction Program (“LIURP”):</w:t>
      </w:r>
    </w:p>
    <w:p w:rsidR="00E54E16" w:rsidRPr="00F7430C" w:rsidRDefault="00E54E16" w:rsidP="00E54E16">
      <w:pPr>
        <w:ind w:left="1080"/>
        <w:rPr>
          <w:sz w:val="24"/>
          <w:szCs w:val="24"/>
        </w:rPr>
      </w:pPr>
      <w:r w:rsidRPr="00F7430C">
        <w:rPr>
          <w:sz w:val="24"/>
          <w:szCs w:val="24"/>
        </w:rPr>
        <w:t>PECO will make the following changes to its LIURP program:</w:t>
      </w:r>
    </w:p>
    <w:p w:rsidR="00651C69" w:rsidRPr="00F7430C" w:rsidRDefault="00651C69" w:rsidP="00651C69">
      <w:pPr>
        <w:pStyle w:val="ListParagraph"/>
        <w:ind w:left="1440"/>
        <w:contextualSpacing/>
        <w:rPr>
          <w:bCs/>
          <w:sz w:val="24"/>
          <w:szCs w:val="24"/>
        </w:rPr>
      </w:pPr>
    </w:p>
    <w:p w:rsidR="00E54E16" w:rsidRPr="00F7430C" w:rsidRDefault="00E54E16" w:rsidP="00E54E16">
      <w:pPr>
        <w:pStyle w:val="ListParagraph"/>
        <w:numPr>
          <w:ilvl w:val="0"/>
          <w:numId w:val="26"/>
        </w:numPr>
        <w:ind w:left="1440"/>
        <w:contextualSpacing/>
        <w:rPr>
          <w:bCs/>
          <w:sz w:val="24"/>
          <w:szCs w:val="24"/>
        </w:rPr>
      </w:pPr>
      <w:r w:rsidRPr="00F7430C">
        <w:rPr>
          <w:bCs/>
          <w:sz w:val="24"/>
          <w:szCs w:val="24"/>
        </w:rPr>
        <w:t xml:space="preserve">Beginning October 2017, for a period of three years PECO will commit $1 million annually in additional funds to LIURP to reduce the energy burden of CAP customers whose bills exceed the Commission’s energy burden guidelines.  These funds are in addition to the $700,000 designated in this settlement to address de facto heating, but at PECO’s discretion may be used for the de facto heating program if PECO determines that there is demand for additional de facto heating services and that such additional expenditures can be made within de facto heating program requirements.  </w:t>
      </w:r>
    </w:p>
    <w:p w:rsidR="00E54E16" w:rsidRPr="00F7430C" w:rsidRDefault="00E54E16" w:rsidP="00E54E16">
      <w:pPr>
        <w:rPr>
          <w:sz w:val="24"/>
          <w:szCs w:val="24"/>
        </w:rPr>
      </w:pPr>
    </w:p>
    <w:p w:rsidR="00E54E16" w:rsidRPr="00F7430C" w:rsidRDefault="00E54E16" w:rsidP="00FE6942">
      <w:pPr>
        <w:pStyle w:val="ListParagraph"/>
        <w:numPr>
          <w:ilvl w:val="0"/>
          <w:numId w:val="24"/>
        </w:numPr>
        <w:spacing w:after="200"/>
        <w:ind w:left="1440"/>
        <w:contextualSpacing/>
        <w:rPr>
          <w:sz w:val="24"/>
          <w:szCs w:val="24"/>
        </w:rPr>
      </w:pPr>
      <w:r w:rsidRPr="00F7430C">
        <w:rPr>
          <w:sz w:val="24"/>
          <w:szCs w:val="24"/>
          <w:u w:val="single"/>
        </w:rPr>
        <w:t>Prior to the implementation of the FCO program</w:t>
      </w:r>
      <w:r w:rsidRPr="00F7430C">
        <w:rPr>
          <w:sz w:val="24"/>
          <w:szCs w:val="24"/>
        </w:rPr>
        <w:t>, PECO will identify CAP customers with extremely high use and benefits for highest priority LIURP treatment</w:t>
      </w:r>
      <w:r w:rsidRPr="00F7430C">
        <w:rPr>
          <w:rStyle w:val="FootnoteReference"/>
          <w:sz w:val="24"/>
          <w:szCs w:val="24"/>
        </w:rPr>
        <w:footnoteReference w:id="15"/>
      </w:r>
      <w:r w:rsidRPr="00F7430C">
        <w:rPr>
          <w:sz w:val="24"/>
          <w:szCs w:val="24"/>
        </w:rPr>
        <w:t>, including the de facto heating treatment described below.</w:t>
      </w:r>
    </w:p>
    <w:p w:rsidR="00E54E16" w:rsidRPr="00F7430C" w:rsidRDefault="00E54E16" w:rsidP="00FE6942">
      <w:pPr>
        <w:pStyle w:val="ListParagraph"/>
        <w:ind w:left="1800"/>
        <w:rPr>
          <w:sz w:val="24"/>
          <w:szCs w:val="24"/>
        </w:rPr>
      </w:pPr>
    </w:p>
    <w:p w:rsidR="00E54E16" w:rsidRPr="00F7430C" w:rsidRDefault="00E54E16" w:rsidP="00FE6942">
      <w:pPr>
        <w:pStyle w:val="ListParagraph"/>
        <w:numPr>
          <w:ilvl w:val="0"/>
          <w:numId w:val="24"/>
        </w:numPr>
        <w:spacing w:after="200"/>
        <w:ind w:left="1440"/>
        <w:contextualSpacing/>
        <w:rPr>
          <w:sz w:val="24"/>
          <w:szCs w:val="24"/>
        </w:rPr>
      </w:pPr>
      <w:r w:rsidRPr="00F7430C">
        <w:rPr>
          <w:sz w:val="24"/>
          <w:szCs w:val="24"/>
          <w:u w:val="single"/>
        </w:rPr>
        <w:t>After the FCO program begins</w:t>
      </w:r>
      <w:r w:rsidRPr="00F7430C">
        <w:rPr>
          <w:sz w:val="24"/>
          <w:szCs w:val="24"/>
        </w:rPr>
        <w:t>, PECO will identify those customers whose calculated Annual Credit exceeds the allowable maximum.  Again, that list of customers will be given highest priority for LIURP treatment,</w:t>
      </w:r>
      <w:r w:rsidRPr="00F7430C">
        <w:rPr>
          <w:rStyle w:val="FootnoteReference"/>
          <w:sz w:val="24"/>
          <w:szCs w:val="24"/>
        </w:rPr>
        <w:footnoteReference w:id="16"/>
      </w:r>
      <w:r w:rsidRPr="00F7430C">
        <w:rPr>
          <w:sz w:val="24"/>
          <w:szCs w:val="24"/>
        </w:rPr>
        <w:t xml:space="preserve"> including the de facto heating treatment described below.</w:t>
      </w:r>
    </w:p>
    <w:p w:rsidR="00651C69" w:rsidRPr="00F7430C" w:rsidRDefault="00651C69" w:rsidP="00FE6942">
      <w:pPr>
        <w:pStyle w:val="ListParagraph"/>
        <w:spacing w:after="200"/>
        <w:ind w:left="1440"/>
        <w:contextualSpacing/>
        <w:rPr>
          <w:sz w:val="24"/>
          <w:szCs w:val="24"/>
        </w:rPr>
      </w:pPr>
    </w:p>
    <w:p w:rsidR="00E54E16" w:rsidRPr="00F7430C" w:rsidRDefault="00E54E16" w:rsidP="00FE6942">
      <w:pPr>
        <w:pStyle w:val="ListParagraph"/>
        <w:numPr>
          <w:ilvl w:val="0"/>
          <w:numId w:val="24"/>
        </w:numPr>
        <w:spacing w:after="200"/>
        <w:ind w:left="1440"/>
        <w:contextualSpacing/>
        <w:rPr>
          <w:sz w:val="24"/>
          <w:szCs w:val="24"/>
        </w:rPr>
      </w:pPr>
      <w:r w:rsidRPr="00F7430C">
        <w:rPr>
          <w:sz w:val="24"/>
          <w:szCs w:val="24"/>
        </w:rPr>
        <w:t xml:space="preserve">Collectively, the groups of high users identified </w:t>
      </w:r>
      <w:r w:rsidRPr="00F7430C">
        <w:rPr>
          <w:sz w:val="24"/>
          <w:szCs w:val="24"/>
          <w:u w:val="single"/>
        </w:rPr>
        <w:t>before and after</w:t>
      </w:r>
      <w:r w:rsidRPr="00F7430C">
        <w:rPr>
          <w:sz w:val="24"/>
          <w:szCs w:val="24"/>
        </w:rPr>
        <w:t xml:space="preserve"> the start of the FCO program are designated as the “De Facto Target Population”.</w:t>
      </w:r>
    </w:p>
    <w:p w:rsidR="00E54E16" w:rsidRPr="00F7430C" w:rsidRDefault="00E54E16" w:rsidP="00E54E16">
      <w:pPr>
        <w:pStyle w:val="ListParagraph"/>
        <w:ind w:left="1800"/>
        <w:rPr>
          <w:sz w:val="24"/>
          <w:szCs w:val="24"/>
        </w:rPr>
      </w:pPr>
    </w:p>
    <w:p w:rsidR="00E54E16" w:rsidRPr="00F7430C" w:rsidRDefault="00E54E16" w:rsidP="00E54E16">
      <w:pPr>
        <w:pStyle w:val="ListParagraph"/>
        <w:numPr>
          <w:ilvl w:val="0"/>
          <w:numId w:val="15"/>
        </w:numPr>
        <w:spacing w:after="200" w:line="276" w:lineRule="auto"/>
        <w:contextualSpacing/>
        <w:rPr>
          <w:sz w:val="24"/>
          <w:szCs w:val="24"/>
          <w:u w:val="single"/>
        </w:rPr>
      </w:pPr>
      <w:r w:rsidRPr="00F7430C">
        <w:rPr>
          <w:sz w:val="24"/>
          <w:szCs w:val="24"/>
          <w:u w:val="single"/>
        </w:rPr>
        <w:t>De facto heating:</w:t>
      </w:r>
    </w:p>
    <w:p w:rsidR="00E54E16" w:rsidRPr="00F7430C" w:rsidRDefault="00E54E16" w:rsidP="00E54E16">
      <w:pPr>
        <w:ind w:left="1080"/>
        <w:rPr>
          <w:sz w:val="24"/>
          <w:szCs w:val="24"/>
        </w:rPr>
      </w:pPr>
      <w:r w:rsidRPr="00F7430C">
        <w:rPr>
          <w:sz w:val="24"/>
          <w:szCs w:val="24"/>
        </w:rPr>
        <w:t xml:space="preserve">“De facto” heating refers to Rate R customers, whose residence is nominally heated by a source other than electricity, but where the customer is in-fact heating with electricity (usually space heaters) because the other-fuel heating is not available.  This can be due to a broken gas or oil furnace; it can also be due to inability to pay gas or oil bills, resulting in termination of that service.  As noted, in such situations the customer often heats their home using inefficient electric space heaters, driving their electric bills.  </w:t>
      </w:r>
    </w:p>
    <w:p w:rsidR="00651C69" w:rsidRPr="00F7430C" w:rsidRDefault="00651C69" w:rsidP="00E54E16">
      <w:pPr>
        <w:ind w:left="1080"/>
        <w:rPr>
          <w:sz w:val="24"/>
          <w:szCs w:val="24"/>
        </w:rPr>
      </w:pPr>
    </w:p>
    <w:p w:rsidR="00E54E16" w:rsidRPr="00F7430C" w:rsidRDefault="00E54E16" w:rsidP="00E54E16">
      <w:pPr>
        <w:ind w:left="1080"/>
        <w:rPr>
          <w:sz w:val="24"/>
          <w:szCs w:val="24"/>
        </w:rPr>
      </w:pPr>
      <w:r w:rsidRPr="00F7430C">
        <w:rPr>
          <w:sz w:val="24"/>
          <w:szCs w:val="24"/>
        </w:rPr>
        <w:t>The stakeholders believe that use of LIURP funds to address certain de facto heating situations is an appropriate use of LIURP funds where: (1) the mitigation measure is repair or replacement of a broken heater or furnace (but not payment of a gas or oil bill to re-establish oil or gas service); and (2) the mitigation measure has a payback period that meets certain criteria set forth below.</w:t>
      </w:r>
    </w:p>
    <w:p w:rsidR="00E54E16" w:rsidRPr="00F7430C" w:rsidRDefault="00E54E16" w:rsidP="00E54E16">
      <w:pPr>
        <w:rPr>
          <w:sz w:val="24"/>
          <w:szCs w:val="24"/>
        </w:rPr>
      </w:pPr>
    </w:p>
    <w:p w:rsidR="00E54E16" w:rsidRPr="00F7430C" w:rsidRDefault="00E54E16" w:rsidP="00071323">
      <w:pPr>
        <w:pStyle w:val="ListParagraph"/>
        <w:numPr>
          <w:ilvl w:val="0"/>
          <w:numId w:val="24"/>
        </w:numPr>
        <w:spacing w:after="200"/>
        <w:contextualSpacing/>
        <w:rPr>
          <w:sz w:val="24"/>
          <w:szCs w:val="24"/>
        </w:rPr>
      </w:pPr>
      <w:r w:rsidRPr="00F7430C">
        <w:rPr>
          <w:sz w:val="24"/>
          <w:szCs w:val="24"/>
        </w:rPr>
        <w:t>PECO will assess members of the De Facto Target Population for de facto heating mitigation.  PECO may offer to implement de facto heating mitigation measures in any De Facto Target Population household in which:</w:t>
      </w:r>
    </w:p>
    <w:p w:rsidR="00E54E16" w:rsidRPr="00F7430C" w:rsidRDefault="00E54E16" w:rsidP="00071323">
      <w:pPr>
        <w:pStyle w:val="ListParagraph"/>
        <w:ind w:left="1440"/>
        <w:rPr>
          <w:sz w:val="24"/>
          <w:szCs w:val="24"/>
        </w:rPr>
      </w:pPr>
    </w:p>
    <w:p w:rsidR="00E54E16" w:rsidRPr="00F7430C" w:rsidRDefault="00E54E16" w:rsidP="00071323">
      <w:pPr>
        <w:pStyle w:val="ListParagraph"/>
        <w:numPr>
          <w:ilvl w:val="1"/>
          <w:numId w:val="24"/>
        </w:numPr>
        <w:spacing w:after="200"/>
        <w:contextualSpacing/>
        <w:rPr>
          <w:sz w:val="24"/>
          <w:szCs w:val="24"/>
        </w:rPr>
      </w:pPr>
      <w:r w:rsidRPr="00F7430C">
        <w:rPr>
          <w:sz w:val="24"/>
          <w:szCs w:val="24"/>
        </w:rPr>
        <w:t xml:space="preserve">The mitigation measure is repair or replacement of a broken gas or oil heater or furnace; </w:t>
      </w:r>
    </w:p>
    <w:p w:rsidR="00E54E16" w:rsidRPr="00F7430C" w:rsidRDefault="00E54E16" w:rsidP="00071323">
      <w:pPr>
        <w:pStyle w:val="ListParagraph"/>
        <w:numPr>
          <w:ilvl w:val="1"/>
          <w:numId w:val="24"/>
        </w:numPr>
        <w:spacing w:after="200"/>
        <w:contextualSpacing/>
        <w:rPr>
          <w:sz w:val="24"/>
          <w:szCs w:val="24"/>
        </w:rPr>
      </w:pPr>
      <w:r w:rsidRPr="00F7430C">
        <w:rPr>
          <w:sz w:val="24"/>
          <w:szCs w:val="24"/>
        </w:rPr>
        <w:t>The residence does not have other structural issues that would make it inappropriate under LIURP to perform a heater or furnace repair; and</w:t>
      </w:r>
    </w:p>
    <w:p w:rsidR="00E54E16" w:rsidRPr="00F7430C" w:rsidRDefault="00E54E16" w:rsidP="00071323">
      <w:pPr>
        <w:pStyle w:val="ListParagraph"/>
        <w:numPr>
          <w:ilvl w:val="1"/>
          <w:numId w:val="24"/>
        </w:numPr>
        <w:spacing w:after="200"/>
        <w:contextualSpacing/>
        <w:rPr>
          <w:sz w:val="24"/>
          <w:szCs w:val="24"/>
        </w:rPr>
      </w:pPr>
      <w:r w:rsidRPr="00F7430C">
        <w:rPr>
          <w:sz w:val="24"/>
          <w:szCs w:val="24"/>
        </w:rPr>
        <w:t>The mitigation measure, on average, has a payback period of 15 years or less, or is less than the expected life of the new measure, as determined by data available to PECO at that time.</w:t>
      </w:r>
      <w:r w:rsidRPr="00F7430C">
        <w:rPr>
          <w:rStyle w:val="FootnoteReference"/>
          <w:sz w:val="24"/>
          <w:szCs w:val="24"/>
        </w:rPr>
        <w:footnoteReference w:id="17"/>
      </w:r>
    </w:p>
    <w:p w:rsidR="00E54E16" w:rsidRPr="00F7430C" w:rsidRDefault="00E54E16" w:rsidP="00071323">
      <w:pPr>
        <w:pStyle w:val="ListParagraph"/>
        <w:ind w:left="2520"/>
        <w:rPr>
          <w:sz w:val="24"/>
          <w:szCs w:val="24"/>
        </w:rPr>
      </w:pPr>
    </w:p>
    <w:p w:rsidR="00E54E16" w:rsidRPr="00F7430C" w:rsidRDefault="00E54E16" w:rsidP="00071323">
      <w:pPr>
        <w:pStyle w:val="ListParagraph"/>
        <w:numPr>
          <w:ilvl w:val="0"/>
          <w:numId w:val="24"/>
        </w:numPr>
        <w:spacing w:after="200"/>
        <w:contextualSpacing/>
        <w:rPr>
          <w:sz w:val="24"/>
          <w:szCs w:val="24"/>
        </w:rPr>
      </w:pPr>
      <w:r w:rsidRPr="00F7430C">
        <w:rPr>
          <w:sz w:val="24"/>
          <w:szCs w:val="24"/>
        </w:rPr>
        <w:t>Beginning October 2017, for a period of three years PECO will increase its current annual electric LIURP budget by $700,000 per year for the purpose of implementing measures for the De Facto Target group.</w:t>
      </w:r>
    </w:p>
    <w:p w:rsidR="00E54E16" w:rsidRPr="00F7430C" w:rsidRDefault="00E54E16" w:rsidP="00071323">
      <w:pPr>
        <w:pStyle w:val="ListParagraph"/>
        <w:ind w:left="2520"/>
        <w:rPr>
          <w:sz w:val="24"/>
          <w:szCs w:val="24"/>
        </w:rPr>
      </w:pPr>
    </w:p>
    <w:p w:rsidR="00E54E16" w:rsidRPr="00F7430C" w:rsidRDefault="00E54E16" w:rsidP="00071323">
      <w:pPr>
        <w:pStyle w:val="ListParagraph"/>
        <w:numPr>
          <w:ilvl w:val="0"/>
          <w:numId w:val="24"/>
        </w:numPr>
        <w:spacing w:after="200"/>
        <w:contextualSpacing/>
        <w:rPr>
          <w:sz w:val="24"/>
          <w:szCs w:val="24"/>
        </w:rPr>
      </w:pPr>
      <w:r w:rsidRPr="00F7430C">
        <w:rPr>
          <w:sz w:val="24"/>
          <w:szCs w:val="24"/>
        </w:rPr>
        <w:t xml:space="preserve">PECO may spend these de facto heating funds on any de facto heating measure in which  the payback period for de facto heating measures up to the expected length of life of the new measure (furnace, etc.).  </w:t>
      </w:r>
    </w:p>
    <w:p w:rsidR="00E54E16" w:rsidRPr="00F7430C" w:rsidRDefault="00E54E16" w:rsidP="00E54E16">
      <w:pPr>
        <w:pStyle w:val="ListParagraph"/>
        <w:ind w:left="1800"/>
        <w:rPr>
          <w:sz w:val="24"/>
          <w:szCs w:val="24"/>
        </w:rPr>
      </w:pPr>
    </w:p>
    <w:p w:rsidR="00E54E16" w:rsidRPr="00F7430C" w:rsidRDefault="00E54E16" w:rsidP="00E54E16">
      <w:pPr>
        <w:pStyle w:val="ListParagraph"/>
        <w:numPr>
          <w:ilvl w:val="0"/>
          <w:numId w:val="15"/>
        </w:numPr>
        <w:spacing w:after="200" w:line="276" w:lineRule="auto"/>
        <w:contextualSpacing/>
        <w:rPr>
          <w:sz w:val="24"/>
          <w:szCs w:val="24"/>
          <w:u w:val="single"/>
        </w:rPr>
      </w:pPr>
      <w:r w:rsidRPr="00F7430C">
        <w:rPr>
          <w:sz w:val="24"/>
          <w:szCs w:val="24"/>
          <w:u w:val="single"/>
        </w:rPr>
        <w:t>Act 129 Advocacy</w:t>
      </w:r>
    </w:p>
    <w:p w:rsidR="00E54E16" w:rsidRPr="00F7430C" w:rsidRDefault="00E54E16" w:rsidP="00E54E16">
      <w:pPr>
        <w:pStyle w:val="ListParagraph"/>
        <w:ind w:left="1080"/>
        <w:rPr>
          <w:sz w:val="24"/>
          <w:szCs w:val="24"/>
        </w:rPr>
      </w:pPr>
    </w:p>
    <w:p w:rsidR="00E54E16" w:rsidRPr="00F7430C" w:rsidRDefault="00E54E16" w:rsidP="00071323">
      <w:pPr>
        <w:pStyle w:val="ListParagraph"/>
        <w:numPr>
          <w:ilvl w:val="0"/>
          <w:numId w:val="24"/>
        </w:numPr>
        <w:spacing w:after="200"/>
        <w:ind w:left="1440"/>
        <w:contextualSpacing/>
        <w:rPr>
          <w:sz w:val="24"/>
          <w:szCs w:val="24"/>
        </w:rPr>
      </w:pPr>
      <w:r w:rsidRPr="00F7430C">
        <w:rPr>
          <w:sz w:val="24"/>
          <w:szCs w:val="24"/>
        </w:rPr>
        <w:t xml:space="preserve">PECO will propose a budget addition to its low-income LEEP of $1 million annually to be used in its Act 129 Phase III program to target programs to address the needs of the portion of the CAP population that has income in the 0-50% FPL range and which has high usage.  This proposal will be an addition to the budget designated for PECO’s Act 129 LEEP, and the de facto heating mitigation budget, and will not be a reallocation of Act 129 low-income designated resources.  </w:t>
      </w:r>
    </w:p>
    <w:p w:rsidR="00E54E16" w:rsidRPr="00F7430C" w:rsidRDefault="00E54E16" w:rsidP="00071323">
      <w:pPr>
        <w:pStyle w:val="ListParagraph"/>
        <w:ind w:left="1800"/>
        <w:rPr>
          <w:sz w:val="24"/>
          <w:szCs w:val="24"/>
        </w:rPr>
      </w:pPr>
    </w:p>
    <w:p w:rsidR="00E54E16" w:rsidRPr="00F7430C" w:rsidRDefault="00E54E16" w:rsidP="00071323">
      <w:pPr>
        <w:pStyle w:val="ListParagraph"/>
        <w:numPr>
          <w:ilvl w:val="0"/>
          <w:numId w:val="15"/>
        </w:numPr>
        <w:spacing w:after="200"/>
        <w:contextualSpacing/>
        <w:rPr>
          <w:sz w:val="24"/>
          <w:szCs w:val="24"/>
        </w:rPr>
      </w:pPr>
      <w:r w:rsidRPr="00F7430C">
        <w:rPr>
          <w:sz w:val="24"/>
          <w:szCs w:val="24"/>
          <w:u w:val="single"/>
        </w:rPr>
        <w:t>Overall Advocacy</w:t>
      </w:r>
      <w:r w:rsidRPr="00F7430C">
        <w:rPr>
          <w:sz w:val="24"/>
          <w:szCs w:val="24"/>
        </w:rPr>
        <w:t xml:space="preserve">:  The signatories agree that they will support PECO’s additional low-income LIURP, de facto heating and Act 129 funding levels. </w:t>
      </w:r>
    </w:p>
    <w:p w:rsidR="00E54E16" w:rsidRPr="00F7430C" w:rsidRDefault="00E54E16" w:rsidP="00071323">
      <w:pPr>
        <w:pStyle w:val="ListParagraph"/>
        <w:ind w:left="1080"/>
        <w:rPr>
          <w:sz w:val="24"/>
          <w:szCs w:val="24"/>
        </w:rPr>
      </w:pPr>
    </w:p>
    <w:p w:rsidR="00E54E16" w:rsidRPr="00F7430C" w:rsidRDefault="00E54E16" w:rsidP="00071323">
      <w:pPr>
        <w:pStyle w:val="ListParagraph"/>
        <w:numPr>
          <w:ilvl w:val="0"/>
          <w:numId w:val="15"/>
        </w:numPr>
        <w:spacing w:after="200"/>
        <w:contextualSpacing/>
        <w:rPr>
          <w:sz w:val="24"/>
          <w:szCs w:val="24"/>
          <w:u w:val="single"/>
        </w:rPr>
      </w:pPr>
      <w:r w:rsidRPr="00F7430C">
        <w:rPr>
          <w:sz w:val="24"/>
          <w:szCs w:val="24"/>
          <w:u w:val="single"/>
        </w:rPr>
        <w:t>Collaborative</w:t>
      </w:r>
    </w:p>
    <w:p w:rsidR="00E54E16" w:rsidRPr="00F7430C" w:rsidRDefault="00E54E16" w:rsidP="00071323">
      <w:pPr>
        <w:pStyle w:val="ListParagraph"/>
        <w:rPr>
          <w:sz w:val="24"/>
          <w:szCs w:val="24"/>
        </w:rPr>
      </w:pPr>
    </w:p>
    <w:p w:rsidR="00E54E16" w:rsidRPr="00F7430C" w:rsidRDefault="00E54E16" w:rsidP="00071323">
      <w:pPr>
        <w:pStyle w:val="ListParagraph"/>
        <w:ind w:left="1440"/>
        <w:rPr>
          <w:sz w:val="24"/>
          <w:szCs w:val="24"/>
        </w:rPr>
      </w:pPr>
      <w:r w:rsidRPr="00F7430C">
        <w:rPr>
          <w:sz w:val="24"/>
          <w:szCs w:val="24"/>
        </w:rPr>
        <w:t>Within 90 days of final Commission approval of this settlement, PECO will convene a stakeholder collaborative to address the following issues:</w:t>
      </w:r>
    </w:p>
    <w:p w:rsidR="00E54E16" w:rsidRPr="00F7430C" w:rsidRDefault="00E54E16" w:rsidP="00071323">
      <w:pPr>
        <w:pStyle w:val="ListParagraph"/>
        <w:ind w:left="1440"/>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 xml:space="preserve"> Development of a detailed and comprehensive  consumer education program regarding the CAP design changes and the effect of the changes on CAP participant benefits and obligations;</w:t>
      </w:r>
    </w:p>
    <w:p w:rsidR="00E54E16" w:rsidRPr="00F7430C" w:rsidRDefault="00E54E16" w:rsidP="00071323">
      <w:pPr>
        <w:pStyle w:val="ListParagraph"/>
        <w:ind w:left="2160"/>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 xml:space="preserve"> Educational materials regarding the effect on CAP customers of shopping decisions and the interrelationship of price changes to the CAP bill. (This collaborative agenda item will not be addressed until final resolution of the CAP shopping docket);</w:t>
      </w:r>
    </w:p>
    <w:p w:rsidR="00E54E16" w:rsidRPr="00F7430C" w:rsidRDefault="00E54E16" w:rsidP="00071323">
      <w:pPr>
        <w:pStyle w:val="ListParagraph"/>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 xml:space="preserve">Educational materials regarding the importance of LIURP and Act 129 measures. </w:t>
      </w:r>
    </w:p>
    <w:p w:rsidR="00E54E16" w:rsidRPr="00F7430C" w:rsidRDefault="00E54E16" w:rsidP="00071323">
      <w:pPr>
        <w:pStyle w:val="ListParagraph"/>
        <w:ind w:left="2520"/>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 xml:space="preserve">The intended audiences of these education programs will be: CAP participants, low-income customers who are not CAP participants, and social service and health agencies; </w:t>
      </w:r>
    </w:p>
    <w:p w:rsidR="00E54E16" w:rsidRPr="00F7430C" w:rsidRDefault="00E54E16" w:rsidP="00071323">
      <w:pPr>
        <w:pStyle w:val="ListParagraph"/>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Determination of alternative languages for the translation of educational materials.</w:t>
      </w:r>
    </w:p>
    <w:p w:rsidR="00E54E16" w:rsidRPr="00F7430C" w:rsidRDefault="00E54E16" w:rsidP="00071323">
      <w:pPr>
        <w:pStyle w:val="ListParagraph"/>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Suggested measures to be pursued in the de facto heating program.</w:t>
      </w:r>
    </w:p>
    <w:p w:rsidR="00E54E16" w:rsidRPr="00F7430C" w:rsidRDefault="00E54E16" w:rsidP="00071323">
      <w:pPr>
        <w:pStyle w:val="ListParagraph"/>
        <w:rPr>
          <w:sz w:val="24"/>
          <w:szCs w:val="24"/>
        </w:rPr>
      </w:pPr>
    </w:p>
    <w:p w:rsidR="00E54E16" w:rsidRPr="00F7430C" w:rsidRDefault="00E54E16" w:rsidP="00071323">
      <w:pPr>
        <w:pStyle w:val="ListParagraph"/>
        <w:numPr>
          <w:ilvl w:val="2"/>
          <w:numId w:val="15"/>
        </w:numPr>
        <w:contextualSpacing/>
        <w:rPr>
          <w:sz w:val="24"/>
          <w:szCs w:val="24"/>
        </w:rPr>
      </w:pPr>
      <w:r w:rsidRPr="00F7430C">
        <w:rPr>
          <w:sz w:val="24"/>
          <w:szCs w:val="24"/>
        </w:rPr>
        <w:t>For each of the above, cost recovery mechanisms for the program involved.</w:t>
      </w:r>
    </w:p>
    <w:p w:rsidR="0091041E" w:rsidRPr="00F7430C" w:rsidRDefault="0091041E" w:rsidP="00875AA6">
      <w:pPr>
        <w:pStyle w:val="FootnoteText"/>
        <w:spacing w:line="360" w:lineRule="auto"/>
        <w:rPr>
          <w:sz w:val="24"/>
          <w:szCs w:val="24"/>
        </w:rPr>
      </w:pPr>
    </w:p>
    <w:p w:rsidR="00A76233" w:rsidRPr="00F7430C" w:rsidRDefault="00A76233" w:rsidP="00875AA6">
      <w:pPr>
        <w:pStyle w:val="Heading2"/>
        <w:spacing w:line="360" w:lineRule="auto"/>
        <w:rPr>
          <w:sz w:val="24"/>
          <w:szCs w:val="24"/>
        </w:rPr>
      </w:pPr>
      <w:r w:rsidRPr="00F7430C">
        <w:rPr>
          <w:sz w:val="24"/>
          <w:szCs w:val="24"/>
        </w:rPr>
        <w:t>DISCUSSION</w:t>
      </w:r>
    </w:p>
    <w:p w:rsidR="008500F8" w:rsidRPr="00F7430C" w:rsidRDefault="008500F8" w:rsidP="00875AA6">
      <w:pPr>
        <w:spacing w:line="360" w:lineRule="auto"/>
        <w:jc w:val="both"/>
        <w:rPr>
          <w:sz w:val="24"/>
          <w:szCs w:val="24"/>
        </w:rPr>
      </w:pPr>
    </w:p>
    <w:p w:rsidR="008500F8" w:rsidRPr="00F7430C" w:rsidRDefault="008500F8" w:rsidP="00A94B35">
      <w:pPr>
        <w:spacing w:line="360" w:lineRule="auto"/>
        <w:rPr>
          <w:sz w:val="24"/>
          <w:szCs w:val="24"/>
        </w:rPr>
      </w:pPr>
      <w:r w:rsidRPr="00F7430C">
        <w:rPr>
          <w:sz w:val="24"/>
          <w:szCs w:val="24"/>
        </w:rPr>
        <w:tab/>
      </w:r>
      <w:r w:rsidRPr="00F7430C">
        <w:rPr>
          <w:sz w:val="24"/>
          <w:szCs w:val="24"/>
        </w:rPr>
        <w:tab/>
        <w:t xml:space="preserve">Pursuant to the Commission’s regulations, 52 Pa.Code § 54.71 </w:t>
      </w:r>
      <w:r w:rsidRPr="00F7430C">
        <w:rPr>
          <w:i/>
          <w:sz w:val="24"/>
          <w:szCs w:val="24"/>
        </w:rPr>
        <w:t>et seq</w:t>
      </w:r>
      <w:r w:rsidRPr="00F7430C">
        <w:rPr>
          <w:sz w:val="24"/>
          <w:szCs w:val="24"/>
        </w:rPr>
        <w:t>., every three years Pennsylvania electric distribution companies are required to file with the Commission their “universal service and energy conservation plans.”  This docket initially involved PECO’s universal service and energy conservation plan covering the three-year period 2013-15 (the “2013-15 Plan”) which PECO filed in this docket on February 28, 2012.</w:t>
      </w:r>
    </w:p>
    <w:p w:rsidR="00CA6EF4" w:rsidRPr="00F7430C" w:rsidRDefault="008500F8" w:rsidP="00A94B35">
      <w:pPr>
        <w:spacing w:line="360" w:lineRule="auto"/>
        <w:rPr>
          <w:sz w:val="24"/>
          <w:szCs w:val="24"/>
        </w:rPr>
      </w:pPr>
      <w:r w:rsidRPr="00F7430C">
        <w:rPr>
          <w:sz w:val="24"/>
          <w:szCs w:val="24"/>
        </w:rPr>
        <w:tab/>
      </w:r>
      <w:r w:rsidRPr="00F7430C">
        <w:rPr>
          <w:sz w:val="24"/>
          <w:szCs w:val="24"/>
        </w:rPr>
        <w:tab/>
        <w:t xml:space="preserve">PECO’s current program is a rate discount program with six tiers of discounted rates (Tiers B, C, D, D1, E and E1) and an additional seventh tier, CAP Rate A, for those customers with “extenuating circumstances.”  Under the current CAP Rate program, rate discounts are set through a formula </w:t>
      </w:r>
      <w:r w:rsidR="00651C69" w:rsidRPr="00F7430C">
        <w:rPr>
          <w:sz w:val="24"/>
          <w:szCs w:val="24"/>
        </w:rPr>
        <w:t xml:space="preserve">based on </w:t>
      </w:r>
      <w:r w:rsidRPr="00F7430C">
        <w:rPr>
          <w:sz w:val="24"/>
          <w:szCs w:val="24"/>
        </w:rPr>
        <w:t>expected consumption and income levels</w:t>
      </w:r>
      <w:r w:rsidR="00651C69" w:rsidRPr="00F7430C">
        <w:rPr>
          <w:sz w:val="24"/>
          <w:szCs w:val="24"/>
        </w:rPr>
        <w:t>.  T</w:t>
      </w:r>
      <w:r w:rsidRPr="00F7430C">
        <w:rPr>
          <w:sz w:val="24"/>
          <w:szCs w:val="24"/>
        </w:rPr>
        <w:t xml:space="preserve">he </w:t>
      </w:r>
      <w:r w:rsidR="00651C69" w:rsidRPr="00F7430C">
        <w:rPr>
          <w:sz w:val="24"/>
          <w:szCs w:val="24"/>
        </w:rPr>
        <w:t xml:space="preserve">current program </w:t>
      </w:r>
      <w:r w:rsidRPr="00F7430C">
        <w:rPr>
          <w:sz w:val="24"/>
          <w:szCs w:val="24"/>
        </w:rPr>
        <w:t>achieve</w:t>
      </w:r>
      <w:r w:rsidR="00651C69" w:rsidRPr="00F7430C">
        <w:rPr>
          <w:sz w:val="24"/>
          <w:szCs w:val="24"/>
        </w:rPr>
        <w:t>s</w:t>
      </w:r>
      <w:r w:rsidRPr="00F7430C">
        <w:rPr>
          <w:sz w:val="24"/>
          <w:szCs w:val="24"/>
        </w:rPr>
        <w:t xml:space="preserve"> an affordable percentage of income burden for 90% of customers in CAP Rates A-C and 88% CAP population affordability in CAP Rate Tiers D-E.  </w:t>
      </w:r>
      <w:r w:rsidRPr="00F7430C">
        <w:rPr>
          <w:i/>
          <w:sz w:val="24"/>
          <w:szCs w:val="24"/>
        </w:rPr>
        <w:t>Pa. PUC v. PECO Energy Company- Electric Division (2010 Base Rate Proceeding)</w:t>
      </w:r>
      <w:r w:rsidRPr="00F7430C">
        <w:rPr>
          <w:sz w:val="24"/>
          <w:szCs w:val="24"/>
        </w:rPr>
        <w:t>, Docket No. R-2010-216575, Settlement at 7 (Order entered December 21, 2010); OCA St. 1 at 7, fn. 5.  The APPRISE Evaluation found that under this approach of using expected income levels and usage, in 2011, 30% of CAP Rate participants did not achieve a home energy burden that was within the Commission’s affordability guidelines.  PECO Ex. LF-8 (APPRISE Evaluation) at 99.</w:t>
      </w:r>
      <w:r w:rsidR="00D240AA" w:rsidRPr="00F7430C">
        <w:rPr>
          <w:sz w:val="24"/>
          <w:szCs w:val="24"/>
        </w:rPr>
        <w:t xml:space="preserve"> </w:t>
      </w:r>
      <w:r w:rsidR="00F42BC5" w:rsidRPr="00F7430C">
        <w:rPr>
          <w:sz w:val="24"/>
          <w:szCs w:val="24"/>
        </w:rPr>
        <w:t xml:space="preserve"> OCA Statement in Support at 4, 5</w:t>
      </w:r>
      <w:r w:rsidR="00A94B35" w:rsidRPr="00F7430C">
        <w:rPr>
          <w:sz w:val="24"/>
          <w:szCs w:val="24"/>
        </w:rPr>
        <w:t xml:space="preserve">; </w:t>
      </w:r>
      <w:r w:rsidR="00351026">
        <w:rPr>
          <w:sz w:val="24"/>
          <w:szCs w:val="24"/>
        </w:rPr>
        <w:t>CAUSE-PA</w:t>
      </w:r>
      <w:r w:rsidR="00CA6EF4" w:rsidRPr="00F7430C">
        <w:rPr>
          <w:sz w:val="24"/>
          <w:szCs w:val="24"/>
        </w:rPr>
        <w:t xml:space="preserve"> Statement in Support at 5.</w:t>
      </w:r>
    </w:p>
    <w:p w:rsidR="008500F8" w:rsidRPr="00F7430C" w:rsidRDefault="008500F8" w:rsidP="00875AA6">
      <w:pPr>
        <w:spacing w:line="360" w:lineRule="auto"/>
        <w:rPr>
          <w:sz w:val="24"/>
          <w:szCs w:val="24"/>
        </w:rPr>
      </w:pPr>
    </w:p>
    <w:p w:rsidR="0043192E" w:rsidRPr="00F7430C" w:rsidRDefault="0043192E" w:rsidP="00875AA6">
      <w:pPr>
        <w:spacing w:after="200" w:line="360" w:lineRule="auto"/>
        <w:contextualSpacing/>
        <w:rPr>
          <w:sz w:val="24"/>
          <w:szCs w:val="24"/>
        </w:rPr>
      </w:pPr>
      <w:r w:rsidRPr="00F7430C">
        <w:rPr>
          <w:sz w:val="24"/>
          <w:szCs w:val="24"/>
        </w:rPr>
        <w:tab/>
      </w:r>
      <w:r w:rsidRPr="00F7430C">
        <w:rPr>
          <w:sz w:val="24"/>
          <w:szCs w:val="24"/>
        </w:rPr>
        <w:tab/>
        <w:t xml:space="preserve">The parties engaged in extensive settlement discussions with the assistance of Mediator Cynthia Lehman.  There was a </w:t>
      </w:r>
      <w:r w:rsidR="00071323">
        <w:rPr>
          <w:sz w:val="24"/>
          <w:szCs w:val="24"/>
        </w:rPr>
        <w:t>substantial</w:t>
      </w:r>
      <w:r w:rsidR="00071323" w:rsidRPr="00F7430C">
        <w:rPr>
          <w:sz w:val="24"/>
          <w:szCs w:val="24"/>
        </w:rPr>
        <w:t xml:space="preserve"> </w:t>
      </w:r>
      <w:r w:rsidRPr="00F7430C">
        <w:rPr>
          <w:sz w:val="24"/>
          <w:szCs w:val="24"/>
        </w:rPr>
        <w:t xml:space="preserve">exchange of data and other information between the Joint Petitioners, including the process of negotiating the Term Sheet.  </w:t>
      </w:r>
    </w:p>
    <w:p w:rsidR="008500F8" w:rsidRPr="00F7430C" w:rsidRDefault="008500F8" w:rsidP="00875AA6">
      <w:pPr>
        <w:spacing w:after="200" w:line="360" w:lineRule="auto"/>
        <w:contextualSpacing/>
        <w:rPr>
          <w:sz w:val="24"/>
          <w:szCs w:val="24"/>
        </w:rPr>
      </w:pPr>
    </w:p>
    <w:p w:rsidR="008500F8" w:rsidRPr="00F7430C" w:rsidRDefault="008500F8" w:rsidP="00875AA6">
      <w:pPr>
        <w:spacing w:after="200" w:line="360" w:lineRule="auto"/>
        <w:contextualSpacing/>
        <w:rPr>
          <w:sz w:val="24"/>
          <w:szCs w:val="24"/>
        </w:rPr>
      </w:pPr>
      <w:r w:rsidRPr="00F7430C">
        <w:rPr>
          <w:sz w:val="24"/>
          <w:szCs w:val="24"/>
        </w:rPr>
        <w:tab/>
      </w:r>
      <w:r w:rsidRPr="00F7430C">
        <w:rPr>
          <w:sz w:val="24"/>
          <w:szCs w:val="24"/>
        </w:rPr>
        <w:tab/>
        <w:t>The Term Sheet has three principal elements:</w:t>
      </w:r>
      <w:r w:rsidR="00DD4347">
        <w:rPr>
          <w:sz w:val="24"/>
          <w:szCs w:val="24"/>
        </w:rPr>
        <w:t xml:space="preserve"> </w:t>
      </w:r>
      <w:r w:rsidRPr="00F7430C">
        <w:rPr>
          <w:sz w:val="24"/>
          <w:szCs w:val="24"/>
        </w:rPr>
        <w:t>(1) PECO will move to the Fixed Credit Option effective October 2016; (2) at that same time, PECO will implement a program to address arrearages that have accrued while CAP customers are in the CAP program (either through a forgiveness program currently being evaluated in PECO’s base rate case, or through payment arrangements proposed as part of the Term Sheet as a contingency), and (3) PECO will devote additional funds to usage reduction programs such as the Low-Income Usage Reduction Program (“LIURP”) and other programs.</w:t>
      </w:r>
      <w:r w:rsidR="0043192E" w:rsidRPr="00F7430C">
        <w:rPr>
          <w:sz w:val="24"/>
          <w:szCs w:val="24"/>
        </w:rPr>
        <w:t xml:space="preserve"> </w:t>
      </w:r>
    </w:p>
    <w:p w:rsidR="0043192E" w:rsidRPr="00F7430C" w:rsidRDefault="0043192E" w:rsidP="00875AA6">
      <w:pPr>
        <w:spacing w:after="200" w:line="360" w:lineRule="auto"/>
        <w:contextualSpacing/>
        <w:rPr>
          <w:sz w:val="24"/>
          <w:szCs w:val="24"/>
        </w:rPr>
      </w:pPr>
    </w:p>
    <w:p w:rsidR="0043192E" w:rsidRPr="00F7430C" w:rsidRDefault="0043192E" w:rsidP="0043192E">
      <w:pPr>
        <w:spacing w:line="360" w:lineRule="auto"/>
        <w:rPr>
          <w:sz w:val="24"/>
          <w:szCs w:val="24"/>
        </w:rPr>
      </w:pPr>
      <w:r w:rsidRPr="00F7430C">
        <w:rPr>
          <w:b/>
          <w:sz w:val="24"/>
          <w:szCs w:val="24"/>
        </w:rPr>
        <w:tab/>
      </w:r>
      <w:r w:rsidRPr="00F7430C">
        <w:rPr>
          <w:b/>
          <w:sz w:val="24"/>
          <w:szCs w:val="24"/>
        </w:rPr>
        <w:tab/>
      </w:r>
      <w:r w:rsidRPr="00F7430C">
        <w:rPr>
          <w:sz w:val="24"/>
          <w:szCs w:val="24"/>
        </w:rPr>
        <w:t xml:space="preserve">To determine whether the parties’ settlement should be approved, one must decide whether the settlement promotes the public interest.  See </w:t>
      </w:r>
      <w:r w:rsidRPr="00F7430C">
        <w:rPr>
          <w:i/>
          <w:sz w:val="24"/>
          <w:szCs w:val="24"/>
        </w:rPr>
        <w:t>Pa. Pub. Util. Comm’n. v. York Water Co.</w:t>
      </w:r>
      <w:r w:rsidRPr="00F7430C">
        <w:rPr>
          <w:sz w:val="24"/>
          <w:szCs w:val="24"/>
        </w:rPr>
        <w:t xml:space="preserve">, Docket No. R-00049165 (Order entered October 4, 2004); </w:t>
      </w:r>
      <w:r w:rsidRPr="00F7430C">
        <w:rPr>
          <w:i/>
          <w:sz w:val="24"/>
          <w:szCs w:val="24"/>
        </w:rPr>
        <w:t>Pa. Pub. Util. Comm’n. v. C.S. Water &amp; Sewer Associates,</w:t>
      </w:r>
      <w:r w:rsidRPr="00F7430C">
        <w:rPr>
          <w:sz w:val="24"/>
          <w:szCs w:val="24"/>
        </w:rPr>
        <w:t xml:space="preserve"> 74 Pa. PUC 767 (1991); </w:t>
      </w:r>
      <w:r w:rsidRPr="00F7430C">
        <w:rPr>
          <w:i/>
          <w:sz w:val="24"/>
          <w:szCs w:val="24"/>
        </w:rPr>
        <w:t>Pa. Pub. Util. Comm’n. v. Philadelphia Electric Company,</w:t>
      </w:r>
      <w:r w:rsidRPr="00F7430C">
        <w:rPr>
          <w:sz w:val="24"/>
          <w:szCs w:val="24"/>
        </w:rPr>
        <w:t xml:space="preserve"> 60 Pa. PUC 1 (1985).  </w:t>
      </w:r>
    </w:p>
    <w:p w:rsidR="00DF45B6" w:rsidRDefault="00DF45B6">
      <w:pPr>
        <w:rPr>
          <w:sz w:val="24"/>
          <w:szCs w:val="24"/>
          <w:u w:val="single"/>
        </w:rPr>
      </w:pPr>
      <w:r>
        <w:rPr>
          <w:sz w:val="24"/>
          <w:szCs w:val="24"/>
          <w:u w:val="single"/>
        </w:rPr>
        <w:br w:type="page"/>
      </w:r>
    </w:p>
    <w:p w:rsidR="00816E03" w:rsidRPr="00F7430C" w:rsidRDefault="00190DC0" w:rsidP="0098213D">
      <w:pPr>
        <w:pStyle w:val="BodyText"/>
        <w:tabs>
          <w:tab w:val="clear" w:pos="1980"/>
          <w:tab w:val="left" w:pos="-720"/>
        </w:tabs>
        <w:suppressAutoHyphens/>
        <w:spacing w:line="360" w:lineRule="auto"/>
        <w:jc w:val="center"/>
        <w:rPr>
          <w:rFonts w:ascii="Times New Roman" w:hAnsi="Times New Roman"/>
          <w:sz w:val="24"/>
          <w:szCs w:val="24"/>
          <w:u w:val="single"/>
        </w:rPr>
      </w:pPr>
      <w:r w:rsidRPr="00F7430C">
        <w:rPr>
          <w:rFonts w:ascii="Times New Roman" w:hAnsi="Times New Roman"/>
          <w:sz w:val="24"/>
          <w:szCs w:val="24"/>
          <w:u w:val="single"/>
        </w:rPr>
        <w:t>STATEMENTS IN SUPPORT</w:t>
      </w:r>
    </w:p>
    <w:p w:rsidR="00816E03" w:rsidRPr="00F7430C" w:rsidRDefault="00816E03" w:rsidP="00875AA6">
      <w:pPr>
        <w:pStyle w:val="BodyText"/>
        <w:tabs>
          <w:tab w:val="clear" w:pos="1980"/>
          <w:tab w:val="left" w:pos="-720"/>
        </w:tabs>
        <w:suppressAutoHyphens/>
        <w:spacing w:line="360" w:lineRule="auto"/>
        <w:jc w:val="left"/>
        <w:rPr>
          <w:rFonts w:ascii="Times New Roman" w:hAnsi="Times New Roman"/>
          <w:sz w:val="24"/>
          <w:szCs w:val="24"/>
        </w:rPr>
      </w:pPr>
    </w:p>
    <w:p w:rsidR="00FB4998" w:rsidRPr="00F7430C" w:rsidRDefault="00F22C7C" w:rsidP="00C766C9">
      <w:pPr>
        <w:pStyle w:val="BodyText"/>
        <w:tabs>
          <w:tab w:val="clear" w:pos="1980"/>
          <w:tab w:val="left" w:pos="-720"/>
          <w:tab w:val="left" w:pos="0"/>
        </w:tabs>
        <w:suppressAutoHyphens/>
        <w:spacing w:line="360" w:lineRule="auto"/>
        <w:jc w:val="left"/>
        <w:rPr>
          <w:rFonts w:ascii="Times New Roman" w:hAnsi="Times New Roman"/>
          <w:sz w:val="24"/>
          <w:szCs w:val="24"/>
        </w:rPr>
      </w:pPr>
      <w:r w:rsidRPr="00F7430C">
        <w:rPr>
          <w:rFonts w:ascii="Times New Roman" w:hAnsi="Times New Roman"/>
          <w:sz w:val="24"/>
          <w:szCs w:val="24"/>
        </w:rPr>
        <w:tab/>
      </w:r>
      <w:r w:rsidRPr="00F7430C">
        <w:rPr>
          <w:rFonts w:ascii="Times New Roman" w:hAnsi="Times New Roman"/>
          <w:sz w:val="24"/>
          <w:szCs w:val="24"/>
        </w:rPr>
        <w:tab/>
        <w:t xml:space="preserve">The parties stated that </w:t>
      </w:r>
      <w:r w:rsidR="00E43AE9" w:rsidRPr="00F7430C">
        <w:rPr>
          <w:rFonts w:ascii="Times New Roman" w:hAnsi="Times New Roman"/>
          <w:sz w:val="24"/>
          <w:szCs w:val="24"/>
        </w:rPr>
        <w:t xml:space="preserve">the Settlement </w:t>
      </w:r>
      <w:r w:rsidR="00C766C9" w:rsidRPr="00F7430C">
        <w:rPr>
          <w:rFonts w:ascii="Times New Roman" w:hAnsi="Times New Roman"/>
          <w:sz w:val="24"/>
          <w:szCs w:val="24"/>
        </w:rPr>
        <w:t>improves affordability and imposes controls on overall program costs.  The parties engaged in extensive settlement di</w:t>
      </w:r>
      <w:r w:rsidR="00E43AE9" w:rsidRPr="00F7430C">
        <w:rPr>
          <w:rFonts w:ascii="Times New Roman" w:hAnsi="Times New Roman"/>
          <w:sz w:val="24"/>
          <w:szCs w:val="24"/>
        </w:rPr>
        <w:t>s</w:t>
      </w:r>
      <w:r w:rsidR="00C766C9" w:rsidRPr="00F7430C">
        <w:rPr>
          <w:rFonts w:ascii="Times New Roman" w:hAnsi="Times New Roman"/>
          <w:sz w:val="24"/>
          <w:szCs w:val="24"/>
        </w:rPr>
        <w:t xml:space="preserve">cussions to design a FCO that addresses affordability and cost containment for a program that will service approximately 140,000 low-income customers.  </w:t>
      </w:r>
      <w:r w:rsidR="00CA6EF4" w:rsidRPr="00F7430C">
        <w:rPr>
          <w:rFonts w:ascii="Times New Roman" w:hAnsi="Times New Roman"/>
          <w:sz w:val="24"/>
          <w:szCs w:val="24"/>
        </w:rPr>
        <w:t xml:space="preserve">The </w:t>
      </w:r>
      <w:r w:rsidR="004364F5" w:rsidRPr="00F7430C">
        <w:rPr>
          <w:rFonts w:ascii="Times New Roman" w:hAnsi="Times New Roman"/>
          <w:sz w:val="24"/>
          <w:szCs w:val="24"/>
        </w:rPr>
        <w:t xml:space="preserve">parties agree that the </w:t>
      </w:r>
      <w:r w:rsidR="00CA6EF4" w:rsidRPr="00F7430C">
        <w:rPr>
          <w:rFonts w:ascii="Times New Roman" w:hAnsi="Times New Roman"/>
          <w:sz w:val="24"/>
          <w:szCs w:val="24"/>
        </w:rPr>
        <w:t xml:space="preserve">terms and conditions of the Settlement represent the result of extensive negotiations between the parties, are in the public interest, and should be approved. </w:t>
      </w:r>
      <w:r w:rsidR="00C766C9" w:rsidRPr="00F7430C">
        <w:rPr>
          <w:rFonts w:ascii="Times New Roman" w:hAnsi="Times New Roman"/>
          <w:sz w:val="24"/>
          <w:szCs w:val="24"/>
        </w:rPr>
        <w:t xml:space="preserve"> PECO Statement in Support at 1; </w:t>
      </w:r>
      <w:r w:rsidR="004364F5" w:rsidRPr="00F7430C">
        <w:rPr>
          <w:rFonts w:ascii="Times New Roman" w:hAnsi="Times New Roman"/>
          <w:sz w:val="24"/>
          <w:szCs w:val="24"/>
        </w:rPr>
        <w:t xml:space="preserve">OCA Statement in Support at 3; </w:t>
      </w:r>
      <w:r w:rsidR="00351026">
        <w:rPr>
          <w:rFonts w:ascii="Times New Roman" w:hAnsi="Times New Roman"/>
          <w:sz w:val="24"/>
          <w:szCs w:val="24"/>
        </w:rPr>
        <w:t>CAUSE-PA</w:t>
      </w:r>
      <w:r w:rsidR="00CA6EF4" w:rsidRPr="00F7430C">
        <w:rPr>
          <w:rFonts w:ascii="Times New Roman" w:hAnsi="Times New Roman"/>
          <w:sz w:val="24"/>
          <w:szCs w:val="24"/>
        </w:rPr>
        <w:t xml:space="preserve"> Statement in Support at 4</w:t>
      </w:r>
      <w:r w:rsidR="00FB4998" w:rsidRPr="00F7430C">
        <w:rPr>
          <w:rFonts w:ascii="Times New Roman" w:hAnsi="Times New Roman"/>
          <w:sz w:val="24"/>
          <w:szCs w:val="24"/>
        </w:rPr>
        <w:t>; TURN Statement in Support at 3.</w:t>
      </w:r>
    </w:p>
    <w:p w:rsidR="00FB4998" w:rsidRPr="00F7430C" w:rsidRDefault="00FB4998" w:rsidP="00875AA6">
      <w:pPr>
        <w:spacing w:line="360" w:lineRule="auto"/>
        <w:jc w:val="both"/>
        <w:rPr>
          <w:sz w:val="24"/>
          <w:szCs w:val="24"/>
        </w:rPr>
      </w:pPr>
    </w:p>
    <w:p w:rsidR="00FB4998" w:rsidRPr="00F7430C" w:rsidRDefault="00C766C9" w:rsidP="00875AA6">
      <w:pPr>
        <w:spacing w:line="360" w:lineRule="auto"/>
        <w:jc w:val="both"/>
        <w:rPr>
          <w:sz w:val="24"/>
          <w:szCs w:val="24"/>
        </w:rPr>
      </w:pPr>
      <w:r w:rsidRPr="00F7430C">
        <w:rPr>
          <w:sz w:val="24"/>
          <w:szCs w:val="24"/>
        </w:rPr>
        <w:tab/>
      </w:r>
      <w:r w:rsidRPr="00F7430C">
        <w:rPr>
          <w:sz w:val="24"/>
          <w:szCs w:val="24"/>
        </w:rPr>
        <w:tab/>
      </w:r>
      <w:r w:rsidR="00351026">
        <w:rPr>
          <w:sz w:val="24"/>
          <w:szCs w:val="24"/>
        </w:rPr>
        <w:t>TURN et al.</w:t>
      </w:r>
      <w:r w:rsidR="00FB4998" w:rsidRPr="00F7430C">
        <w:rPr>
          <w:sz w:val="24"/>
          <w:szCs w:val="24"/>
        </w:rPr>
        <w:t xml:space="preserve"> supports this settlement because it is intended to more closely target affordable bills for CAP participants pursuant to the Commission’s CAP Policy Statement, 52 Pa.Code </w:t>
      </w:r>
      <w:r w:rsidR="00826E95" w:rsidRPr="00F7430C">
        <w:rPr>
          <w:sz w:val="24"/>
          <w:szCs w:val="24"/>
        </w:rPr>
        <w:t xml:space="preserve">§ </w:t>
      </w:r>
      <w:r w:rsidR="00FB4998" w:rsidRPr="00F7430C">
        <w:rPr>
          <w:sz w:val="24"/>
          <w:szCs w:val="24"/>
        </w:rPr>
        <w:t>69.261, et seq., provides short-term benefits to assist CAP participants who will not receive discounts under the redesigned CAP</w:t>
      </w:r>
      <w:r w:rsidR="00826E95" w:rsidRPr="00F7430C">
        <w:rPr>
          <w:sz w:val="24"/>
          <w:szCs w:val="24"/>
        </w:rPr>
        <w:t xml:space="preserve"> and</w:t>
      </w:r>
      <w:r w:rsidR="00FB4998" w:rsidRPr="00F7430C">
        <w:rPr>
          <w:sz w:val="24"/>
          <w:szCs w:val="24"/>
        </w:rPr>
        <w:t xml:space="preserve"> includes additional funds and commitments for usage reduction. </w:t>
      </w:r>
      <w:r w:rsidR="00826E95" w:rsidRPr="00F7430C">
        <w:rPr>
          <w:sz w:val="24"/>
          <w:szCs w:val="24"/>
        </w:rPr>
        <w:t xml:space="preserve"> </w:t>
      </w:r>
      <w:r w:rsidR="00FB4998" w:rsidRPr="00F7430C">
        <w:rPr>
          <w:sz w:val="24"/>
          <w:szCs w:val="24"/>
        </w:rPr>
        <w:t>TURN Statement in Support at 3.</w:t>
      </w:r>
    </w:p>
    <w:p w:rsidR="00FB4998" w:rsidRPr="00F7430C" w:rsidRDefault="00FB4998" w:rsidP="00875AA6">
      <w:pPr>
        <w:spacing w:line="360" w:lineRule="auto"/>
        <w:jc w:val="both"/>
        <w:rPr>
          <w:sz w:val="24"/>
          <w:szCs w:val="24"/>
        </w:rPr>
      </w:pPr>
    </w:p>
    <w:p w:rsidR="00C0530D" w:rsidRPr="00F7430C" w:rsidRDefault="00C0530D" w:rsidP="00875AA6">
      <w:pPr>
        <w:pStyle w:val="ListParagraph"/>
        <w:numPr>
          <w:ilvl w:val="0"/>
          <w:numId w:val="18"/>
        </w:numPr>
        <w:spacing w:after="200" w:line="360" w:lineRule="auto"/>
        <w:ind w:firstLine="0"/>
        <w:contextualSpacing/>
        <w:rPr>
          <w:b/>
          <w:sz w:val="24"/>
          <w:szCs w:val="24"/>
        </w:rPr>
      </w:pPr>
      <w:r w:rsidRPr="00F7430C">
        <w:rPr>
          <w:b/>
          <w:sz w:val="24"/>
          <w:szCs w:val="24"/>
        </w:rPr>
        <w:t>The Fixed Credit Option</w:t>
      </w:r>
      <w:r w:rsidR="00420FF5">
        <w:rPr>
          <w:b/>
          <w:sz w:val="24"/>
          <w:szCs w:val="24"/>
        </w:rPr>
        <w:t xml:space="preserve"> (“FCO”)</w:t>
      </w:r>
    </w:p>
    <w:p w:rsidR="00C0530D" w:rsidRPr="00F7430C" w:rsidRDefault="00C0530D" w:rsidP="00875AA6">
      <w:pPr>
        <w:pStyle w:val="ListParagraph"/>
        <w:spacing w:line="360" w:lineRule="auto"/>
        <w:ind w:left="1080"/>
        <w:rPr>
          <w:sz w:val="24"/>
          <w:szCs w:val="24"/>
        </w:rPr>
      </w:pPr>
    </w:p>
    <w:p w:rsidR="00826E95" w:rsidRPr="00F7430C" w:rsidRDefault="00826E95" w:rsidP="00875AA6">
      <w:pPr>
        <w:spacing w:line="360" w:lineRule="auto"/>
        <w:jc w:val="both"/>
        <w:rPr>
          <w:sz w:val="24"/>
          <w:szCs w:val="24"/>
        </w:rPr>
      </w:pPr>
      <w:r w:rsidRPr="00DD4347">
        <w:rPr>
          <w:sz w:val="24"/>
          <w:szCs w:val="24"/>
        </w:rPr>
        <w:t>1.</w:t>
      </w:r>
      <w:r w:rsidRPr="00DD4347">
        <w:rPr>
          <w:sz w:val="24"/>
          <w:szCs w:val="24"/>
        </w:rPr>
        <w:tab/>
      </w:r>
      <w:r w:rsidR="00C0530D" w:rsidRPr="00F7430C">
        <w:rPr>
          <w:sz w:val="24"/>
          <w:szCs w:val="24"/>
          <w:u w:val="single"/>
        </w:rPr>
        <w:t>Brief Description of the FCO</w:t>
      </w:r>
    </w:p>
    <w:p w:rsidR="00826E95" w:rsidRPr="00F7430C" w:rsidRDefault="00826E95" w:rsidP="00875AA6">
      <w:pPr>
        <w:spacing w:line="360" w:lineRule="auto"/>
        <w:jc w:val="both"/>
        <w:rPr>
          <w:sz w:val="24"/>
          <w:szCs w:val="24"/>
        </w:rPr>
      </w:pPr>
    </w:p>
    <w:p w:rsidR="00CA6EF4" w:rsidRPr="00F7430C" w:rsidRDefault="00826E95" w:rsidP="00875AA6">
      <w:pPr>
        <w:spacing w:line="360" w:lineRule="auto"/>
        <w:jc w:val="both"/>
        <w:rPr>
          <w:sz w:val="24"/>
          <w:szCs w:val="24"/>
        </w:rPr>
      </w:pPr>
      <w:r w:rsidRPr="00F7430C">
        <w:rPr>
          <w:sz w:val="24"/>
          <w:szCs w:val="24"/>
        </w:rPr>
        <w:tab/>
      </w:r>
      <w:r w:rsidRPr="00F7430C">
        <w:rPr>
          <w:sz w:val="24"/>
          <w:szCs w:val="24"/>
        </w:rPr>
        <w:tab/>
      </w:r>
      <w:r w:rsidR="00C0530D" w:rsidRPr="00F7430C">
        <w:rPr>
          <w:sz w:val="24"/>
          <w:szCs w:val="24"/>
        </w:rPr>
        <w:t>The Term Sheet provides a detailed description of how PECO will implement the FCO</w:t>
      </w:r>
      <w:r w:rsidR="0097038D" w:rsidRPr="00F7430C">
        <w:rPr>
          <w:sz w:val="24"/>
          <w:szCs w:val="24"/>
        </w:rPr>
        <w:t xml:space="preserve">.  </w:t>
      </w:r>
      <w:r w:rsidR="00C0530D" w:rsidRPr="00F7430C">
        <w:rPr>
          <w:sz w:val="24"/>
          <w:szCs w:val="24"/>
        </w:rPr>
        <w:t xml:space="preserve">For purposes of describing why PECO supports the Term Sheet, however, it is necessary to provide a brief narrative description of the FCO.  PECO will review each customer’s income and usage characteristics and determine the amount of financial assistance that the customer requires in order to have their overall utility bills reduced to an amount that falls within the Commission-defined range of “affordability.”  Within the limits </w:t>
      </w:r>
      <w:r w:rsidRPr="00F7430C">
        <w:rPr>
          <w:sz w:val="24"/>
          <w:szCs w:val="24"/>
        </w:rPr>
        <w:t>in the Term Sheet</w:t>
      </w:r>
      <w:r w:rsidR="00C0530D" w:rsidRPr="00F7430C">
        <w:rPr>
          <w:sz w:val="24"/>
          <w:szCs w:val="24"/>
        </w:rPr>
        <w:t>, PECO will then provide each customer with a fixed credit, for the next program year, designed to result in the customer receiving an affordable bill for utility service for the next program year</w:t>
      </w:r>
      <w:r w:rsidRPr="00F7430C">
        <w:rPr>
          <w:sz w:val="24"/>
          <w:szCs w:val="24"/>
        </w:rPr>
        <w:t xml:space="preserve">.  </w:t>
      </w:r>
      <w:r w:rsidR="00CA6EF4" w:rsidRPr="00F7430C">
        <w:rPr>
          <w:sz w:val="24"/>
          <w:szCs w:val="24"/>
        </w:rPr>
        <w:t xml:space="preserve">PECO Statement in Support at </w:t>
      </w:r>
      <w:r w:rsidR="00CF2503" w:rsidRPr="00F7430C">
        <w:rPr>
          <w:sz w:val="24"/>
          <w:szCs w:val="24"/>
        </w:rPr>
        <w:t>4.</w:t>
      </w:r>
    </w:p>
    <w:p w:rsidR="000C45D4" w:rsidRDefault="000C45D4">
      <w:pPr>
        <w:rPr>
          <w:sz w:val="24"/>
          <w:szCs w:val="24"/>
        </w:rPr>
      </w:pPr>
      <w:r>
        <w:rPr>
          <w:sz w:val="24"/>
          <w:szCs w:val="24"/>
        </w:rPr>
        <w:br w:type="page"/>
      </w:r>
    </w:p>
    <w:p w:rsidR="0033411A" w:rsidRPr="00F7430C" w:rsidRDefault="0033411A" w:rsidP="0033411A">
      <w:pPr>
        <w:spacing w:line="360" w:lineRule="auto"/>
        <w:jc w:val="both"/>
        <w:rPr>
          <w:sz w:val="24"/>
          <w:szCs w:val="24"/>
        </w:rPr>
      </w:pPr>
      <w:r w:rsidRPr="00F7430C">
        <w:rPr>
          <w:sz w:val="24"/>
          <w:szCs w:val="24"/>
        </w:rPr>
        <w:t>2</w:t>
      </w:r>
      <w:r w:rsidR="00291148" w:rsidRPr="00F7430C">
        <w:rPr>
          <w:sz w:val="24"/>
          <w:szCs w:val="24"/>
        </w:rPr>
        <w:t>.</w:t>
      </w:r>
      <w:r w:rsidRPr="00F7430C">
        <w:rPr>
          <w:sz w:val="24"/>
          <w:szCs w:val="24"/>
        </w:rPr>
        <w:tab/>
      </w:r>
      <w:r w:rsidRPr="00F7430C">
        <w:rPr>
          <w:sz w:val="24"/>
          <w:szCs w:val="24"/>
          <w:u w:val="single"/>
        </w:rPr>
        <w:t>Affordability</w:t>
      </w:r>
    </w:p>
    <w:p w:rsidR="0033411A" w:rsidRPr="00F7430C" w:rsidRDefault="0033411A" w:rsidP="0033411A">
      <w:pPr>
        <w:spacing w:after="200" w:line="360" w:lineRule="auto"/>
        <w:contextualSpacing/>
        <w:rPr>
          <w:sz w:val="24"/>
          <w:szCs w:val="24"/>
        </w:rPr>
      </w:pPr>
    </w:p>
    <w:p w:rsidR="0033411A" w:rsidRPr="00F7430C" w:rsidRDefault="0033411A" w:rsidP="0033411A">
      <w:pPr>
        <w:spacing w:after="200" w:line="360" w:lineRule="auto"/>
        <w:contextualSpacing/>
        <w:rPr>
          <w:sz w:val="24"/>
          <w:szCs w:val="24"/>
        </w:rPr>
      </w:pPr>
      <w:r w:rsidRPr="00F7430C">
        <w:rPr>
          <w:sz w:val="24"/>
          <w:szCs w:val="24"/>
        </w:rPr>
        <w:tab/>
      </w:r>
      <w:r w:rsidRPr="00F7430C">
        <w:rPr>
          <w:sz w:val="24"/>
          <w:szCs w:val="24"/>
        </w:rPr>
        <w:tab/>
        <w:t xml:space="preserve">The Commission ordered PECO to evaluate the FCO program and other alternative CAP designs primarily in order to increase the affordability of utility service offered by PECO to its CAP customers.  PECO conducted extensive pro forma analyses of affordability for its current program and the FCO program as set forth in the Term Sheet, and it expects to see significant improvements in affordability, both for breadth of unaffordability (percentage of customers who receive unaffordable bills) and depth of unaffordability (amount by which an unaffordable customer misses the affordability target).  It should be noted that, because of certain Commission-required cost containment mechanisms such as the minimum monthly bill, the program cannot achieve 100% affordability.  In addition, the affordability numbers set forth below are expected to be achieved with normal usage in a normal weather year.  </w:t>
      </w:r>
      <w:r w:rsidR="00DD4347" w:rsidRPr="00F7430C">
        <w:rPr>
          <w:sz w:val="24"/>
          <w:szCs w:val="24"/>
        </w:rPr>
        <w:t xml:space="preserve">The </w:t>
      </w:r>
      <w:r w:rsidRPr="00F7430C">
        <w:rPr>
          <w:sz w:val="24"/>
          <w:szCs w:val="24"/>
        </w:rPr>
        <w:t xml:space="preserve">Term Sheet FCO requires customers to manage usage beyond normal weather usage.  Similarly, customers will bear the effects of their shopping decisions, which could increase or decrease their bills and affect FCO program affordability.  With that understanding, PECO expects to see the following affordability on a pro forma basis, compared to its current program:  </w:t>
      </w:r>
    </w:p>
    <w:p w:rsidR="0033411A" w:rsidRDefault="0033411A" w:rsidP="0033411A">
      <w:pPr>
        <w:pStyle w:val="ListParagraph"/>
        <w:spacing w:line="360" w:lineRule="auto"/>
        <w:ind w:left="360"/>
        <w:jc w:val="center"/>
        <w:rPr>
          <w:sz w:val="24"/>
          <w:szCs w:val="24"/>
        </w:rPr>
      </w:pPr>
      <w:r w:rsidRPr="00F7430C">
        <w:rPr>
          <w:sz w:val="24"/>
          <w:szCs w:val="24"/>
          <w:u w:val="single"/>
        </w:rPr>
        <w:t>Table 1:</w:t>
      </w:r>
      <w:r w:rsidRPr="00F7430C">
        <w:rPr>
          <w:sz w:val="24"/>
          <w:szCs w:val="24"/>
        </w:rPr>
        <w:t xml:space="preserve">  Expected Pro Forma Changes to Breadth and Depth of Unaffordability</w:t>
      </w:r>
    </w:p>
    <w:p w:rsidR="00504D25" w:rsidRPr="00F7430C" w:rsidRDefault="00504D25" w:rsidP="0033411A">
      <w:pPr>
        <w:pStyle w:val="ListParagraph"/>
        <w:spacing w:line="360" w:lineRule="auto"/>
        <w:ind w:left="360"/>
        <w:jc w:val="center"/>
        <w:rPr>
          <w:sz w:val="24"/>
          <w:szCs w:val="24"/>
        </w:rPr>
      </w:pPr>
    </w:p>
    <w:tbl>
      <w:tblPr>
        <w:tblStyle w:val="TableGrid"/>
        <w:tblW w:w="0" w:type="auto"/>
        <w:tblInd w:w="360" w:type="dxa"/>
        <w:tblLook w:val="04A0" w:firstRow="1" w:lastRow="0" w:firstColumn="1" w:lastColumn="0" w:noHBand="0" w:noVBand="1"/>
      </w:tblPr>
      <w:tblGrid>
        <w:gridCol w:w="987"/>
        <w:gridCol w:w="1528"/>
        <w:gridCol w:w="1483"/>
        <w:gridCol w:w="1528"/>
        <w:gridCol w:w="1527"/>
        <w:gridCol w:w="1074"/>
        <w:gridCol w:w="1089"/>
      </w:tblGrid>
      <w:tr w:rsidR="0033411A" w:rsidRPr="00F7430C" w:rsidTr="00682760">
        <w:tc>
          <w:tcPr>
            <w:tcW w:w="987" w:type="dxa"/>
            <w:tcBorders>
              <w:top w:val="single" w:sz="4" w:space="0" w:color="auto"/>
              <w:left w:val="single" w:sz="4" w:space="0" w:color="auto"/>
              <w:bottom w:val="single" w:sz="4" w:space="0" w:color="auto"/>
              <w:right w:val="single" w:sz="4" w:space="0" w:color="auto"/>
            </w:tcBorders>
            <w:vAlign w:val="center"/>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Current Program Percent Unaffordable</w:t>
            </w:r>
          </w:p>
        </w:tc>
        <w:tc>
          <w:tcPr>
            <w:tcW w:w="1483"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Current Program $ Over Affordability (Mean)</w:t>
            </w: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Term Sheet FCO Percent Unaffordable</w:t>
            </w:r>
          </w:p>
        </w:tc>
        <w:tc>
          <w:tcPr>
            <w:tcW w:w="1527"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Term Sheet FCO</w:t>
            </w:r>
          </w:p>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 Over Affordability (Mean)</w:t>
            </w:r>
          </w:p>
        </w:tc>
        <w:tc>
          <w:tcPr>
            <w:tcW w:w="1074" w:type="dxa"/>
            <w:tcBorders>
              <w:top w:val="single" w:sz="4" w:space="0" w:color="auto"/>
              <w:left w:val="single" w:sz="4" w:space="0" w:color="auto"/>
              <w:bottom w:val="single" w:sz="4" w:space="0" w:color="auto"/>
              <w:right w:val="single" w:sz="4" w:space="0" w:color="auto"/>
            </w:tcBorders>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Change in</w:t>
            </w:r>
          </w:p>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Breadth</w:t>
            </w:r>
          </w:p>
          <w:p w:rsidR="0033411A" w:rsidRPr="00F7430C" w:rsidRDefault="0033411A" w:rsidP="00682760">
            <w:pPr>
              <w:pStyle w:val="ListParagraph"/>
              <w:spacing w:line="360" w:lineRule="auto"/>
              <w:ind w:left="0"/>
              <w:rPr>
                <w:rFonts w:ascii="Times New Roman" w:hAnsi="Times New Roman" w:cs="Times New Roman"/>
                <w:sz w:val="24"/>
                <w:szCs w:val="24"/>
              </w:rPr>
            </w:pPr>
          </w:p>
        </w:tc>
        <w:tc>
          <w:tcPr>
            <w:tcW w:w="1089" w:type="dxa"/>
            <w:tcBorders>
              <w:top w:val="single" w:sz="4" w:space="0" w:color="auto"/>
              <w:left w:val="single" w:sz="4" w:space="0" w:color="auto"/>
              <w:bottom w:val="single" w:sz="4" w:space="0" w:color="auto"/>
              <w:right w:val="single" w:sz="4" w:space="0" w:color="auto"/>
            </w:tcBorders>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Change</w:t>
            </w:r>
          </w:p>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in</w:t>
            </w:r>
          </w:p>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Depth</w:t>
            </w:r>
          </w:p>
        </w:tc>
      </w:tr>
      <w:tr w:rsidR="0033411A" w:rsidRPr="00F7430C" w:rsidTr="00682760">
        <w:tc>
          <w:tcPr>
            <w:tcW w:w="987"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Rate R</w:t>
            </w: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34%</w:t>
            </w:r>
          </w:p>
        </w:tc>
        <w:tc>
          <w:tcPr>
            <w:tcW w:w="1483"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$504</w:t>
            </w: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12%</w:t>
            </w:r>
          </w:p>
        </w:tc>
        <w:tc>
          <w:tcPr>
            <w:tcW w:w="1527"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$414</w:t>
            </w:r>
          </w:p>
        </w:tc>
        <w:tc>
          <w:tcPr>
            <w:tcW w:w="1074" w:type="dxa"/>
            <w:tcBorders>
              <w:top w:val="single" w:sz="4" w:space="0" w:color="auto"/>
              <w:left w:val="single" w:sz="4" w:space="0" w:color="auto"/>
              <w:bottom w:val="single" w:sz="4" w:space="0" w:color="auto"/>
              <w:right w:val="single" w:sz="4" w:space="0" w:color="auto"/>
            </w:tcBorders>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-22%</w:t>
            </w:r>
          </w:p>
        </w:tc>
        <w:tc>
          <w:tcPr>
            <w:tcW w:w="1089" w:type="dxa"/>
            <w:tcBorders>
              <w:top w:val="single" w:sz="4" w:space="0" w:color="auto"/>
              <w:left w:val="single" w:sz="4" w:space="0" w:color="auto"/>
              <w:bottom w:val="single" w:sz="4" w:space="0" w:color="auto"/>
              <w:right w:val="single" w:sz="4" w:space="0" w:color="auto"/>
            </w:tcBorders>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-$90</w:t>
            </w:r>
          </w:p>
        </w:tc>
      </w:tr>
      <w:tr w:rsidR="0033411A" w:rsidRPr="00F7430C" w:rsidTr="00682760">
        <w:tc>
          <w:tcPr>
            <w:tcW w:w="987"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Rate RH</w:t>
            </w: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28%</w:t>
            </w:r>
          </w:p>
        </w:tc>
        <w:tc>
          <w:tcPr>
            <w:tcW w:w="1483"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$764</w:t>
            </w:r>
          </w:p>
        </w:tc>
        <w:tc>
          <w:tcPr>
            <w:tcW w:w="1528"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10%</w:t>
            </w:r>
          </w:p>
        </w:tc>
        <w:tc>
          <w:tcPr>
            <w:tcW w:w="1527" w:type="dxa"/>
            <w:tcBorders>
              <w:top w:val="single" w:sz="4" w:space="0" w:color="auto"/>
              <w:left w:val="single" w:sz="4" w:space="0" w:color="auto"/>
              <w:bottom w:val="single" w:sz="4" w:space="0" w:color="auto"/>
              <w:right w:val="single" w:sz="4" w:space="0" w:color="auto"/>
            </w:tcBorders>
            <w:vAlign w:val="center"/>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$426</w:t>
            </w:r>
          </w:p>
        </w:tc>
        <w:tc>
          <w:tcPr>
            <w:tcW w:w="1074" w:type="dxa"/>
            <w:tcBorders>
              <w:top w:val="single" w:sz="4" w:space="0" w:color="auto"/>
              <w:left w:val="single" w:sz="4" w:space="0" w:color="auto"/>
              <w:bottom w:val="single" w:sz="4" w:space="0" w:color="auto"/>
              <w:right w:val="single" w:sz="4" w:space="0" w:color="auto"/>
            </w:tcBorders>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-18%</w:t>
            </w:r>
          </w:p>
        </w:tc>
        <w:tc>
          <w:tcPr>
            <w:tcW w:w="1089" w:type="dxa"/>
            <w:tcBorders>
              <w:top w:val="single" w:sz="4" w:space="0" w:color="auto"/>
              <w:left w:val="single" w:sz="4" w:space="0" w:color="auto"/>
              <w:bottom w:val="single" w:sz="4" w:space="0" w:color="auto"/>
              <w:right w:val="single" w:sz="4" w:space="0" w:color="auto"/>
            </w:tcBorders>
            <w:hideMark/>
          </w:tcPr>
          <w:p w:rsidR="0033411A" w:rsidRPr="00F7430C" w:rsidRDefault="0033411A" w:rsidP="00682760">
            <w:pPr>
              <w:pStyle w:val="ListParagraph"/>
              <w:spacing w:line="360" w:lineRule="auto"/>
              <w:ind w:left="0"/>
              <w:jc w:val="center"/>
              <w:rPr>
                <w:rFonts w:ascii="Times New Roman" w:hAnsi="Times New Roman" w:cs="Times New Roman"/>
                <w:sz w:val="24"/>
                <w:szCs w:val="24"/>
              </w:rPr>
            </w:pPr>
            <w:r w:rsidRPr="00F7430C">
              <w:rPr>
                <w:rFonts w:ascii="Times New Roman" w:hAnsi="Times New Roman" w:cs="Times New Roman"/>
                <w:sz w:val="24"/>
                <w:szCs w:val="24"/>
              </w:rPr>
              <w:t>-$338</w:t>
            </w:r>
          </w:p>
        </w:tc>
      </w:tr>
    </w:tbl>
    <w:p w:rsidR="00504D25" w:rsidRDefault="00504D25" w:rsidP="0033411A">
      <w:pPr>
        <w:pStyle w:val="ListParagraph"/>
        <w:spacing w:line="360" w:lineRule="auto"/>
        <w:ind w:left="360"/>
        <w:rPr>
          <w:sz w:val="24"/>
          <w:szCs w:val="24"/>
        </w:rPr>
      </w:pPr>
    </w:p>
    <w:p w:rsidR="0033411A" w:rsidRPr="00F7430C" w:rsidRDefault="0033411A" w:rsidP="0033411A">
      <w:pPr>
        <w:pStyle w:val="ListParagraph"/>
        <w:spacing w:line="360" w:lineRule="auto"/>
        <w:ind w:left="360"/>
        <w:rPr>
          <w:sz w:val="24"/>
          <w:szCs w:val="24"/>
        </w:rPr>
      </w:pPr>
      <w:r w:rsidRPr="00F7430C">
        <w:rPr>
          <w:sz w:val="24"/>
          <w:szCs w:val="24"/>
        </w:rPr>
        <w:t>PECO Statement in Support at 5</w:t>
      </w:r>
      <w:r w:rsidR="00DD4347">
        <w:rPr>
          <w:sz w:val="24"/>
          <w:szCs w:val="24"/>
        </w:rPr>
        <w:t>.</w:t>
      </w:r>
    </w:p>
    <w:p w:rsidR="0033411A" w:rsidRPr="00F7430C" w:rsidRDefault="0033411A" w:rsidP="0033411A">
      <w:pPr>
        <w:pStyle w:val="ListParagraph"/>
        <w:spacing w:line="360" w:lineRule="auto"/>
        <w:rPr>
          <w:sz w:val="24"/>
          <w:szCs w:val="24"/>
        </w:rPr>
      </w:pPr>
    </w:p>
    <w:p w:rsidR="003E0B9E" w:rsidRPr="00F7430C" w:rsidRDefault="003E0B9E" w:rsidP="003E0B9E">
      <w:pPr>
        <w:pStyle w:val="ListParagraph"/>
        <w:spacing w:after="200" w:line="360" w:lineRule="auto"/>
        <w:ind w:left="0"/>
        <w:contextualSpacing/>
        <w:rPr>
          <w:sz w:val="24"/>
          <w:szCs w:val="24"/>
        </w:rPr>
      </w:pPr>
      <w:r w:rsidRPr="00F7430C">
        <w:rPr>
          <w:sz w:val="24"/>
          <w:szCs w:val="24"/>
        </w:rPr>
        <w:tab/>
      </w:r>
      <w:r w:rsidRPr="00F7430C">
        <w:rPr>
          <w:sz w:val="24"/>
          <w:szCs w:val="24"/>
        </w:rPr>
        <w:tab/>
        <w:t xml:space="preserve">The OCA stated that the proposed Settlement is designed to address affordability concerns that were raised in the Commission’s Tentative Order and April 4 Order in this case.  The Settlement provides that beginning in October 2016, PECO will implement a new design for its CAP program based upon a Fixed Credit Option (FCO) model, similar to that proposed by Mr. Colton through the course of the underlying proceeding, to address the fact that PECO’s current program produces bills which do not satisfy the outside limits of affordability prescribed in the Commission’s guidelines.  Settlement at ¶ A(1).  The FCO will provide a fixed, weather-normalized credit to CAP customers based on the customer’s rolling 12-month usage and upon PECO’s Price to Compare (PTC).  </w:t>
      </w:r>
      <w:r w:rsidRPr="00F7430C">
        <w:rPr>
          <w:i/>
          <w:sz w:val="24"/>
          <w:szCs w:val="24"/>
        </w:rPr>
        <w:t>Id</w:t>
      </w:r>
      <w:r w:rsidRPr="00F7430C">
        <w:rPr>
          <w:sz w:val="24"/>
          <w:szCs w:val="24"/>
        </w:rPr>
        <w:t xml:space="preserve">.  The OCA submits that any CAP program design changes must balance the affordability needs of CAP customers with the potential for increased program costs that are paid for by all other non-CAP residential customers.  The FCO model presented in the Settlement achieves the goal of affordability for CAP customers, and at the same time, also balances the costs to be paid by non-CAP residential ratepayers.  The FCO model will also allow for a CAP shopping platform and the portability of the CAP benefit.  </w:t>
      </w:r>
      <w:r>
        <w:rPr>
          <w:sz w:val="24"/>
          <w:szCs w:val="24"/>
        </w:rPr>
        <w:t>Therefore</w:t>
      </w:r>
      <w:r w:rsidRPr="00F7430C">
        <w:rPr>
          <w:sz w:val="24"/>
          <w:szCs w:val="24"/>
        </w:rPr>
        <w:t>, the OCA submits that the proposed FCO model is in the public interest and should be approved.</w:t>
      </w:r>
      <w:r>
        <w:rPr>
          <w:sz w:val="24"/>
          <w:szCs w:val="24"/>
        </w:rPr>
        <w:t xml:space="preserve"> </w:t>
      </w:r>
      <w:r w:rsidRPr="00F7430C">
        <w:rPr>
          <w:sz w:val="24"/>
          <w:szCs w:val="24"/>
        </w:rPr>
        <w:t xml:space="preserve"> OCA Statement in Support at 4.</w:t>
      </w:r>
    </w:p>
    <w:p w:rsidR="003E0B9E" w:rsidRDefault="003E0B9E" w:rsidP="003E0B9E">
      <w:pPr>
        <w:pStyle w:val="ListParagraph"/>
        <w:spacing w:after="200" w:line="360" w:lineRule="auto"/>
        <w:ind w:left="0"/>
        <w:contextualSpacing/>
        <w:rPr>
          <w:sz w:val="24"/>
          <w:szCs w:val="24"/>
        </w:rPr>
      </w:pPr>
    </w:p>
    <w:p w:rsidR="003E0B9E" w:rsidRDefault="003E0B9E" w:rsidP="00285539">
      <w:pPr>
        <w:pStyle w:val="ListParagraph"/>
        <w:spacing w:line="360" w:lineRule="auto"/>
        <w:ind w:left="0"/>
        <w:contextualSpacing/>
        <w:rPr>
          <w:sz w:val="24"/>
          <w:szCs w:val="24"/>
        </w:rPr>
      </w:pPr>
      <w:r w:rsidRPr="00F7430C">
        <w:rPr>
          <w:sz w:val="24"/>
          <w:szCs w:val="24"/>
        </w:rPr>
        <w:tab/>
      </w:r>
      <w:r w:rsidRPr="00F7430C">
        <w:rPr>
          <w:sz w:val="24"/>
          <w:szCs w:val="24"/>
        </w:rPr>
        <w:tab/>
        <w:t xml:space="preserve">In response to the Commission’s identified concerns and the APPRISE Evaluation, OCA witness Colton offered for consideration a “fixed credit” PIP or FCO.  Under the FCO, the CAP credit provided to the CAP participant is fixed for the customer, not the payment.  The design that Mr. Colton proposed was, in part, based upon existing models such as Colorado’s Fixed Credit Option program.  </w:t>
      </w:r>
      <w:r>
        <w:rPr>
          <w:sz w:val="24"/>
          <w:szCs w:val="24"/>
        </w:rPr>
        <w:t xml:space="preserve">In this case, </w:t>
      </w:r>
      <w:r w:rsidRPr="00F7430C">
        <w:rPr>
          <w:sz w:val="24"/>
          <w:szCs w:val="24"/>
        </w:rPr>
        <w:t>Mr. Colton’s model was modified to address Pennsylvania specific issues such as CAP customer shopping and the quarterly changes in the Price to Compare (PTC).  OCA witness Colton recommended the following objectives to measure the continuing appropriateness of the CAP Rate Discount and other alternative CAP designs:</w:t>
      </w:r>
    </w:p>
    <w:p w:rsidR="00504D25" w:rsidRDefault="00504D25" w:rsidP="00285539">
      <w:pPr>
        <w:pStyle w:val="ListParagraph"/>
        <w:spacing w:line="360" w:lineRule="auto"/>
        <w:ind w:left="0"/>
        <w:contextualSpacing/>
        <w:rPr>
          <w:sz w:val="24"/>
          <w:szCs w:val="24"/>
        </w:rPr>
      </w:pPr>
    </w:p>
    <w:p w:rsidR="003E0B9E" w:rsidRPr="00F7430C" w:rsidRDefault="003E0B9E" w:rsidP="00285539">
      <w:pPr>
        <w:pStyle w:val="ListParagraph"/>
        <w:spacing w:line="360" w:lineRule="auto"/>
        <w:contextualSpacing/>
        <w:rPr>
          <w:sz w:val="24"/>
          <w:szCs w:val="24"/>
        </w:rPr>
      </w:pPr>
      <w:r w:rsidRPr="00F7430C">
        <w:rPr>
          <w:sz w:val="24"/>
          <w:szCs w:val="24"/>
        </w:rPr>
        <w:t>Does the program design achieve affordable service to the maximum extent practicable, with affordability measured by the PUC’s percentage of income affordability guidelines;</w:t>
      </w:r>
    </w:p>
    <w:p w:rsidR="00504D25" w:rsidRDefault="00504D25" w:rsidP="00285539">
      <w:pPr>
        <w:spacing w:line="360" w:lineRule="auto"/>
        <w:rPr>
          <w:sz w:val="24"/>
          <w:szCs w:val="24"/>
        </w:rPr>
      </w:pPr>
    </w:p>
    <w:p w:rsidR="003E0B9E" w:rsidRPr="00F7430C" w:rsidRDefault="003E0B9E" w:rsidP="00285539">
      <w:pPr>
        <w:pStyle w:val="ListParagraph"/>
        <w:spacing w:line="360" w:lineRule="auto"/>
        <w:contextualSpacing/>
        <w:rPr>
          <w:sz w:val="24"/>
          <w:szCs w:val="24"/>
        </w:rPr>
      </w:pPr>
      <w:r w:rsidRPr="00F7430C">
        <w:rPr>
          <w:sz w:val="24"/>
          <w:szCs w:val="24"/>
        </w:rPr>
        <w:t>Does the program involve an efficient use of ratepayer-supplied funding;</w:t>
      </w:r>
    </w:p>
    <w:p w:rsidR="003E0B9E" w:rsidRPr="00F7430C" w:rsidRDefault="003E0B9E" w:rsidP="003E0B9E">
      <w:pPr>
        <w:pStyle w:val="ListParagraph"/>
        <w:spacing w:after="200" w:line="360" w:lineRule="auto"/>
        <w:contextualSpacing/>
        <w:rPr>
          <w:sz w:val="24"/>
          <w:szCs w:val="24"/>
        </w:rPr>
      </w:pPr>
      <w:r w:rsidRPr="00F7430C">
        <w:rPr>
          <w:sz w:val="24"/>
          <w:szCs w:val="24"/>
        </w:rPr>
        <w:t>Does the program adequately balance the objective of achieving affordability to the maximum extent possible for program participants with the interests of non-participants in paying reasonable rates;</w:t>
      </w:r>
    </w:p>
    <w:p w:rsidR="003E0B9E" w:rsidRDefault="003E0B9E" w:rsidP="003E0B9E">
      <w:pPr>
        <w:pStyle w:val="ListParagraph"/>
        <w:spacing w:after="200" w:line="360" w:lineRule="auto"/>
        <w:contextualSpacing/>
        <w:rPr>
          <w:sz w:val="24"/>
          <w:szCs w:val="24"/>
        </w:rPr>
      </w:pPr>
    </w:p>
    <w:p w:rsidR="003E0B9E" w:rsidRDefault="003E0B9E" w:rsidP="003E0B9E">
      <w:pPr>
        <w:pStyle w:val="ListParagraph"/>
        <w:spacing w:after="200" w:line="360" w:lineRule="auto"/>
        <w:contextualSpacing/>
        <w:rPr>
          <w:sz w:val="24"/>
          <w:szCs w:val="24"/>
        </w:rPr>
      </w:pPr>
      <w:r w:rsidRPr="00F7430C">
        <w:rPr>
          <w:sz w:val="24"/>
          <w:szCs w:val="24"/>
        </w:rPr>
        <w:t xml:space="preserve">Does the program provide a platform for retail shopping without imposing harms on the program participant, on the ability to achieve program objectives, or on program non-participants.  </w:t>
      </w:r>
    </w:p>
    <w:p w:rsidR="0098213D" w:rsidRDefault="0098213D" w:rsidP="0098213D">
      <w:pPr>
        <w:pStyle w:val="ListParagraph"/>
        <w:spacing w:after="200"/>
        <w:contextualSpacing/>
        <w:rPr>
          <w:sz w:val="24"/>
          <w:szCs w:val="24"/>
        </w:rPr>
      </w:pPr>
    </w:p>
    <w:p w:rsidR="003E0B9E" w:rsidRPr="00F7430C" w:rsidRDefault="003E0B9E" w:rsidP="0098213D">
      <w:pPr>
        <w:pStyle w:val="ListParagraph"/>
        <w:spacing w:after="200"/>
        <w:contextualSpacing/>
        <w:rPr>
          <w:sz w:val="24"/>
          <w:szCs w:val="24"/>
        </w:rPr>
      </w:pPr>
      <w:r w:rsidRPr="00F7430C">
        <w:rPr>
          <w:sz w:val="24"/>
          <w:szCs w:val="24"/>
        </w:rPr>
        <w:t xml:space="preserve">OCA St. 1 at 6 (Footnotes omitted).  </w:t>
      </w:r>
    </w:p>
    <w:p w:rsidR="003E0B9E" w:rsidRDefault="003E0B9E" w:rsidP="0098213D">
      <w:pPr>
        <w:pStyle w:val="ListParagraph"/>
        <w:spacing w:line="360" w:lineRule="auto"/>
        <w:ind w:left="0"/>
        <w:rPr>
          <w:sz w:val="24"/>
          <w:szCs w:val="24"/>
        </w:rPr>
      </w:pPr>
    </w:p>
    <w:p w:rsidR="0033411A" w:rsidRPr="00F7430C" w:rsidRDefault="0033411A" w:rsidP="0033411A">
      <w:pPr>
        <w:pStyle w:val="ListParagraph"/>
        <w:spacing w:line="360" w:lineRule="auto"/>
        <w:ind w:left="0"/>
        <w:rPr>
          <w:sz w:val="24"/>
          <w:szCs w:val="24"/>
        </w:rPr>
      </w:pPr>
      <w:r w:rsidRPr="00F7430C">
        <w:rPr>
          <w:sz w:val="24"/>
          <w:szCs w:val="24"/>
        </w:rPr>
        <w:tab/>
      </w:r>
      <w:r w:rsidRPr="00F7430C">
        <w:rPr>
          <w:sz w:val="24"/>
          <w:szCs w:val="24"/>
        </w:rPr>
        <w:tab/>
        <w:t>T</w:t>
      </w:r>
      <w:r w:rsidR="00DD4347">
        <w:rPr>
          <w:sz w:val="24"/>
          <w:szCs w:val="24"/>
        </w:rPr>
        <w:t xml:space="preserve">URN et al. </w:t>
      </w:r>
      <w:r w:rsidRPr="00F7430C">
        <w:rPr>
          <w:sz w:val="24"/>
          <w:szCs w:val="24"/>
        </w:rPr>
        <w:t>stated that although the meth</w:t>
      </w:r>
      <w:r w:rsidR="00BF4F90">
        <w:rPr>
          <w:sz w:val="24"/>
          <w:szCs w:val="24"/>
        </w:rPr>
        <w:t>odology is more complicated than</w:t>
      </w:r>
      <w:r w:rsidRPr="00F7430C">
        <w:rPr>
          <w:sz w:val="24"/>
          <w:szCs w:val="24"/>
        </w:rPr>
        <w:t xml:space="preserve"> the PIP advocated by </w:t>
      </w:r>
      <w:r w:rsidR="00351026">
        <w:rPr>
          <w:sz w:val="24"/>
          <w:szCs w:val="24"/>
        </w:rPr>
        <w:t>TURN et al.</w:t>
      </w:r>
      <w:r w:rsidRPr="00F7430C">
        <w:rPr>
          <w:sz w:val="24"/>
          <w:szCs w:val="24"/>
        </w:rPr>
        <w:t xml:space="preserve"> and CAUSE-PA, it reflects a reasonable compromised to improve the affordability for PECO’s CAP participants  TURN Statement in Support at 4.</w:t>
      </w:r>
    </w:p>
    <w:p w:rsidR="00DD4347" w:rsidRDefault="00DD4347" w:rsidP="0033411A">
      <w:pPr>
        <w:pStyle w:val="ListParagraph"/>
        <w:spacing w:line="360" w:lineRule="auto"/>
        <w:ind w:left="0"/>
        <w:rPr>
          <w:sz w:val="24"/>
          <w:szCs w:val="24"/>
        </w:rPr>
      </w:pPr>
    </w:p>
    <w:p w:rsidR="003E0B9E" w:rsidRPr="00F7430C" w:rsidRDefault="0033411A" w:rsidP="003E0B9E">
      <w:pPr>
        <w:spacing w:line="360" w:lineRule="auto"/>
        <w:jc w:val="both"/>
        <w:rPr>
          <w:sz w:val="24"/>
          <w:szCs w:val="24"/>
        </w:rPr>
      </w:pPr>
      <w:r w:rsidRPr="00F7430C">
        <w:rPr>
          <w:sz w:val="24"/>
          <w:szCs w:val="24"/>
        </w:rPr>
        <w:tab/>
      </w:r>
      <w:r w:rsidRPr="00F7430C">
        <w:rPr>
          <w:sz w:val="24"/>
          <w:szCs w:val="24"/>
        </w:rPr>
        <w:tab/>
        <w:t>After engaging in extensive negotiations, the parties arrived at the proposed FCO CAP program that, based on PECO’s modeling from 2013 billing data, is projected to reach an energy burden consistent with Commission guidelines for a higher percentage of CAP customers than the existing PECO tiered rate discount design.</w:t>
      </w:r>
      <w:r w:rsidR="00DD4347">
        <w:rPr>
          <w:sz w:val="24"/>
          <w:szCs w:val="24"/>
        </w:rPr>
        <w:t xml:space="preserve"> </w:t>
      </w:r>
      <w:r w:rsidRPr="00F7430C">
        <w:rPr>
          <w:sz w:val="24"/>
          <w:szCs w:val="24"/>
        </w:rPr>
        <w:t xml:space="preserve"> The FCO CAP program will provide CAP participants with a fixed, weather-normalized credit amount intended to achieve an overall energy burden within Commission guidelines for 87% R and 91% RH CAP participants.  This is in contrast to the roughly 70% of CAP customers which receive an affordable bill under the existing program.</w:t>
      </w:r>
      <w:r w:rsidR="003E0B9E" w:rsidRPr="003E0B9E">
        <w:rPr>
          <w:sz w:val="24"/>
          <w:szCs w:val="24"/>
        </w:rPr>
        <w:t xml:space="preserve"> </w:t>
      </w:r>
      <w:r w:rsidR="003E0B9E">
        <w:rPr>
          <w:sz w:val="24"/>
          <w:szCs w:val="24"/>
        </w:rPr>
        <w:t xml:space="preserve"> </w:t>
      </w:r>
      <w:r w:rsidR="003E0B9E" w:rsidRPr="00F7430C">
        <w:rPr>
          <w:sz w:val="24"/>
          <w:szCs w:val="24"/>
        </w:rPr>
        <w:t>These energy burdens are consistent with the affordability burdens set forth in the Commission’s CAP Policy Statement.  OCA Statement in Support at 6.</w:t>
      </w:r>
    </w:p>
    <w:p w:rsidR="0033411A" w:rsidRDefault="0033411A" w:rsidP="0033411A">
      <w:pPr>
        <w:pStyle w:val="ListParagraph"/>
        <w:spacing w:line="360" w:lineRule="auto"/>
        <w:ind w:left="0"/>
        <w:rPr>
          <w:sz w:val="24"/>
          <w:szCs w:val="24"/>
        </w:rPr>
      </w:pPr>
    </w:p>
    <w:p w:rsidR="003E0B9E" w:rsidRDefault="003E0B9E" w:rsidP="003E0B9E">
      <w:pPr>
        <w:spacing w:line="360" w:lineRule="auto"/>
        <w:jc w:val="both"/>
        <w:rPr>
          <w:sz w:val="24"/>
          <w:szCs w:val="24"/>
        </w:rPr>
      </w:pPr>
      <w:r>
        <w:rPr>
          <w:sz w:val="24"/>
          <w:szCs w:val="24"/>
        </w:rPr>
        <w:tab/>
      </w:r>
      <w:r>
        <w:rPr>
          <w:sz w:val="24"/>
          <w:szCs w:val="24"/>
        </w:rPr>
        <w:tab/>
        <w:t>The FCO model targets these energy burdens to individual customer circumstances rather than to broad tiers of customers as in PECO’s current program.  By more closely targeting the individual customer, affordability is achieved for more customers.  Under PECO’s current program, approximately 30% of the CAP customers receive unaffordable bills, but under the FCO, this is reduced to 13% for Rate R customers</w:t>
      </w:r>
      <w:r w:rsidR="00477095">
        <w:rPr>
          <w:sz w:val="24"/>
          <w:szCs w:val="24"/>
        </w:rPr>
        <w:t xml:space="preserve"> and 9% for Rate RH customers. T</w:t>
      </w:r>
      <w:r>
        <w:rPr>
          <w:sz w:val="24"/>
          <w:szCs w:val="24"/>
        </w:rPr>
        <w:t>he continuing extent to which a small proportion of low-income customers still have burdens that exceed an affordable level is due primarily to the minimum bill requirements and maximum CAP credit, which are important cost containment measures.  OCA Statement in Support at 6, 7.</w:t>
      </w:r>
    </w:p>
    <w:p w:rsidR="0033411A" w:rsidRPr="00F7430C" w:rsidRDefault="0033411A" w:rsidP="0033411A">
      <w:pPr>
        <w:pStyle w:val="ListParagraph"/>
        <w:spacing w:line="360" w:lineRule="auto"/>
        <w:ind w:left="0"/>
        <w:rPr>
          <w:sz w:val="24"/>
          <w:szCs w:val="24"/>
        </w:rPr>
      </w:pPr>
      <w:r w:rsidRPr="00F7430C">
        <w:rPr>
          <w:sz w:val="24"/>
          <w:szCs w:val="24"/>
        </w:rPr>
        <w:tab/>
      </w:r>
      <w:r w:rsidRPr="00F7430C">
        <w:rPr>
          <w:sz w:val="24"/>
          <w:szCs w:val="24"/>
        </w:rPr>
        <w:tab/>
        <w:t xml:space="preserve">CAUSE-PA notes that, under the FCO design, there continues to be a portion of low-income customers, especially customers with very high usage and/or very low or no income, who will continue to receive an unaffordable bill that exceeds the energy burden levels established by the Commission in its CAP Policy Statement.  However, the complete package, while not yet achieving full energy burden compliance for all CAP participants, has been arrived at through negotiation and compromise.  Together with increased funds for weatherization and energy efficiency programs targeted at the highest users with the lowest incomes, as well as a comprehensive arrearage forgiveness program assisting those negatively affected by current program design flaws CAUSE-PA believes the FCO design satisfactorily addresses the varied interests and issues in this proceeding while increasing affordability over the existing PECO program.  </w:t>
      </w:r>
    </w:p>
    <w:p w:rsidR="0033411A" w:rsidRPr="00F7430C" w:rsidRDefault="0033411A" w:rsidP="0033411A">
      <w:pPr>
        <w:pStyle w:val="ListParagraph"/>
        <w:spacing w:line="360" w:lineRule="auto"/>
        <w:ind w:left="0"/>
        <w:rPr>
          <w:sz w:val="24"/>
          <w:szCs w:val="24"/>
        </w:rPr>
      </w:pPr>
    </w:p>
    <w:p w:rsidR="00F33BE1" w:rsidRPr="00F7430C" w:rsidRDefault="00F33BE1" w:rsidP="00875AA6">
      <w:pPr>
        <w:spacing w:line="360" w:lineRule="auto"/>
        <w:jc w:val="both"/>
        <w:rPr>
          <w:sz w:val="24"/>
          <w:szCs w:val="24"/>
        </w:rPr>
      </w:pPr>
      <w:r w:rsidRPr="00F7430C">
        <w:rPr>
          <w:sz w:val="24"/>
          <w:szCs w:val="24"/>
        </w:rPr>
        <w:tab/>
      </w:r>
      <w:r w:rsidRPr="00F7430C">
        <w:rPr>
          <w:sz w:val="24"/>
          <w:szCs w:val="24"/>
        </w:rPr>
        <w:tab/>
      </w:r>
      <w:r w:rsidR="00351026">
        <w:rPr>
          <w:sz w:val="24"/>
          <w:szCs w:val="24"/>
        </w:rPr>
        <w:t>TURN et al.</w:t>
      </w:r>
      <w:r w:rsidRPr="00F7430C">
        <w:rPr>
          <w:sz w:val="24"/>
          <w:szCs w:val="24"/>
        </w:rPr>
        <w:t xml:space="preserve"> stated that since 1984 when PECO’s CAP started out as a percentage of income payment plan design, it has gone through a number of modifications</w:t>
      </w:r>
      <w:r w:rsidR="00826E95" w:rsidRPr="00F7430C">
        <w:rPr>
          <w:sz w:val="24"/>
          <w:szCs w:val="24"/>
        </w:rPr>
        <w:t>.</w:t>
      </w:r>
      <w:r w:rsidRPr="00F7430C">
        <w:rPr>
          <w:sz w:val="24"/>
          <w:szCs w:val="24"/>
        </w:rPr>
        <w:t xml:space="preserve">  TURN Statement in Support at 1.  </w:t>
      </w:r>
      <w:r w:rsidR="00351026">
        <w:rPr>
          <w:sz w:val="24"/>
          <w:szCs w:val="24"/>
        </w:rPr>
        <w:t>TURN et al.</w:t>
      </w:r>
      <w:r w:rsidRPr="00F7430C">
        <w:rPr>
          <w:sz w:val="24"/>
          <w:szCs w:val="24"/>
        </w:rPr>
        <w:t xml:space="preserve"> noted that in the APPRISE s</w:t>
      </w:r>
      <w:r w:rsidR="00826E95" w:rsidRPr="00F7430C">
        <w:rPr>
          <w:sz w:val="24"/>
          <w:szCs w:val="24"/>
        </w:rPr>
        <w:t>i</w:t>
      </w:r>
      <w:r w:rsidRPr="00F7430C">
        <w:rPr>
          <w:sz w:val="24"/>
          <w:szCs w:val="24"/>
        </w:rPr>
        <w:t xml:space="preserve">x-year evaluation report that PECO submitted on October 31, 2012, APPRISE suggested that PECO increase affordability for the lowest poverty group participants and target </w:t>
      </w:r>
      <w:r w:rsidR="00826E95" w:rsidRPr="00F7430C">
        <w:rPr>
          <w:sz w:val="24"/>
          <w:szCs w:val="24"/>
        </w:rPr>
        <w:t xml:space="preserve">the </w:t>
      </w:r>
      <w:r w:rsidRPr="00F7430C">
        <w:rPr>
          <w:sz w:val="24"/>
          <w:szCs w:val="24"/>
        </w:rPr>
        <w:t>lowest income CAP customers who exceed CAP usage discount limits for LIURP.  See APPRISE Evaluation Report</w:t>
      </w:r>
      <w:r w:rsidR="00826E95" w:rsidRPr="00F7430C">
        <w:rPr>
          <w:sz w:val="24"/>
          <w:szCs w:val="24"/>
        </w:rPr>
        <w:t>;</w:t>
      </w:r>
      <w:r w:rsidRPr="00F7430C">
        <w:rPr>
          <w:sz w:val="24"/>
          <w:szCs w:val="24"/>
        </w:rPr>
        <w:t xml:space="preserve"> TURN Statement in Support at 1.</w:t>
      </w:r>
    </w:p>
    <w:p w:rsidR="00FD2E7B" w:rsidRPr="00F7430C" w:rsidRDefault="00FD2E7B" w:rsidP="00FD2E7B">
      <w:pPr>
        <w:spacing w:line="360" w:lineRule="auto"/>
        <w:jc w:val="both"/>
        <w:rPr>
          <w:sz w:val="24"/>
          <w:szCs w:val="24"/>
        </w:rPr>
      </w:pPr>
    </w:p>
    <w:p w:rsidR="00C0530D" w:rsidRPr="00F7430C" w:rsidRDefault="00FD2E7B" w:rsidP="00875AA6">
      <w:pPr>
        <w:spacing w:line="360" w:lineRule="auto"/>
        <w:jc w:val="both"/>
        <w:rPr>
          <w:sz w:val="24"/>
          <w:szCs w:val="24"/>
        </w:rPr>
      </w:pPr>
      <w:r w:rsidRPr="00F7430C">
        <w:rPr>
          <w:sz w:val="24"/>
          <w:szCs w:val="24"/>
        </w:rPr>
        <w:tab/>
      </w:r>
      <w:r w:rsidRPr="00F7430C">
        <w:rPr>
          <w:sz w:val="24"/>
          <w:szCs w:val="24"/>
        </w:rPr>
        <w:tab/>
      </w:r>
      <w:r w:rsidR="00CA6EF4" w:rsidRPr="00F7430C">
        <w:rPr>
          <w:sz w:val="24"/>
          <w:szCs w:val="24"/>
        </w:rPr>
        <w:t xml:space="preserve">As CAUSE-PA has argued from the outset of this proceeding, and the Commission acknowledged in its Tentative Order and </w:t>
      </w:r>
      <w:r w:rsidR="00CA6EF4" w:rsidRPr="00F7430C">
        <w:rPr>
          <w:i/>
          <w:sz w:val="24"/>
          <w:szCs w:val="24"/>
        </w:rPr>
        <w:t>April 4, 2013 Order</w:t>
      </w:r>
      <w:r w:rsidR="00CA6EF4" w:rsidRPr="00F7430C">
        <w:rPr>
          <w:sz w:val="24"/>
          <w:szCs w:val="24"/>
        </w:rPr>
        <w:t xml:space="preserve">, it is critical that PECO’s CAP be designed in a manner that ensures low income customers will receive a bill that does not exceed the energy burdens prescribed in the Commission’s standards.  The FCO model presented in the Settlement represents a negotiated compromise, which is intended to provide lower energy burdens for CAP customers than PECO’s current tiered discount model.  The FCO model will also allow for a CAP shopping platform and the portability of the CAP benefit.  For the reasons set forth below, CAUSE-PA submits that the proposed FCO model, which the parties have agreed upon and as outlined in the settlement, is in the public interest and should be approved. </w:t>
      </w:r>
      <w:r w:rsidR="00351026">
        <w:rPr>
          <w:sz w:val="24"/>
          <w:szCs w:val="24"/>
        </w:rPr>
        <w:t>CAUSE-PA</w:t>
      </w:r>
      <w:r w:rsidR="00CA6EF4" w:rsidRPr="00F7430C">
        <w:rPr>
          <w:sz w:val="24"/>
          <w:szCs w:val="24"/>
        </w:rPr>
        <w:t xml:space="preserve"> Statement in Support at 8, 9</w:t>
      </w:r>
    </w:p>
    <w:p w:rsidR="007E53E1" w:rsidRPr="00F7430C" w:rsidRDefault="007E53E1" w:rsidP="00291148">
      <w:pPr>
        <w:pStyle w:val="ListParagraph"/>
        <w:spacing w:after="200" w:line="360" w:lineRule="auto"/>
        <w:ind w:left="360"/>
        <w:contextualSpacing/>
        <w:rPr>
          <w:sz w:val="24"/>
          <w:szCs w:val="24"/>
          <w:u w:val="single"/>
        </w:rPr>
      </w:pPr>
    </w:p>
    <w:p w:rsidR="003E0B9E" w:rsidRDefault="00291148" w:rsidP="007E53E1">
      <w:pPr>
        <w:pStyle w:val="ListParagraph"/>
        <w:spacing w:after="200" w:line="360" w:lineRule="auto"/>
        <w:ind w:left="0"/>
        <w:contextualSpacing/>
        <w:rPr>
          <w:sz w:val="24"/>
          <w:szCs w:val="24"/>
        </w:rPr>
      </w:pPr>
      <w:r w:rsidRPr="003E0B9E">
        <w:rPr>
          <w:sz w:val="24"/>
          <w:szCs w:val="24"/>
        </w:rPr>
        <w:t>3.</w:t>
      </w:r>
      <w:r w:rsidRPr="003E0B9E">
        <w:rPr>
          <w:sz w:val="24"/>
          <w:szCs w:val="24"/>
        </w:rPr>
        <w:tab/>
      </w:r>
      <w:r w:rsidRPr="00F7430C">
        <w:rPr>
          <w:sz w:val="24"/>
          <w:szCs w:val="24"/>
          <w:u w:val="single"/>
        </w:rPr>
        <w:t>Coordination with CAP Shopping</w:t>
      </w:r>
    </w:p>
    <w:p w:rsidR="003E0B9E" w:rsidRDefault="003E0B9E" w:rsidP="007E53E1">
      <w:pPr>
        <w:pStyle w:val="ListParagraph"/>
        <w:spacing w:after="200" w:line="360" w:lineRule="auto"/>
        <w:ind w:left="0"/>
        <w:contextualSpacing/>
        <w:rPr>
          <w:sz w:val="24"/>
          <w:szCs w:val="24"/>
        </w:rPr>
      </w:pPr>
    </w:p>
    <w:p w:rsidR="00291148" w:rsidRDefault="003E0B9E" w:rsidP="007E53E1">
      <w:pPr>
        <w:pStyle w:val="ListParagraph"/>
        <w:spacing w:after="200" w:line="360" w:lineRule="auto"/>
        <w:ind w:left="0"/>
        <w:contextualSpacing/>
        <w:rPr>
          <w:sz w:val="24"/>
          <w:szCs w:val="24"/>
        </w:rPr>
      </w:pPr>
      <w:r>
        <w:rPr>
          <w:sz w:val="24"/>
          <w:szCs w:val="24"/>
        </w:rPr>
        <w:tab/>
      </w:r>
      <w:r>
        <w:rPr>
          <w:sz w:val="24"/>
          <w:szCs w:val="24"/>
        </w:rPr>
        <w:tab/>
      </w:r>
      <w:r w:rsidR="00291148" w:rsidRPr="00F7430C">
        <w:rPr>
          <w:sz w:val="24"/>
          <w:szCs w:val="24"/>
        </w:rPr>
        <w:t xml:space="preserve">PECO’s CAP Shopping program is </w:t>
      </w:r>
      <w:r w:rsidR="00A84055">
        <w:rPr>
          <w:sz w:val="24"/>
          <w:szCs w:val="24"/>
        </w:rPr>
        <w:t xml:space="preserve">currently </w:t>
      </w:r>
      <w:r w:rsidR="00291148" w:rsidRPr="00F7430C">
        <w:rPr>
          <w:sz w:val="24"/>
          <w:szCs w:val="24"/>
        </w:rPr>
        <w:t xml:space="preserve">on appeal to the Commonwealth Court, and that Court has stayed implementation of the Commission’s Orders regarding CAP Shopping.  However, the FCO program as set forth in the Term Sheet is structured so that, when CAP customers are allowed to shop, CAP customers will bear both the risks and benefits of their own shopping decisions.  If they make a shopping decision that decreases their overall utility costs, they will be allowed to retain that benefit; if they make a shopping decision that increases their overall utility costs, they will be required to pay for those additional costs.  This approach makes CAP customers similarly-situated to other residential customers in the retail shopping market.  PECO </w:t>
      </w:r>
      <w:r>
        <w:rPr>
          <w:sz w:val="24"/>
          <w:szCs w:val="24"/>
        </w:rPr>
        <w:t>Statement in Support</w:t>
      </w:r>
      <w:r w:rsidR="00291148" w:rsidRPr="00F7430C">
        <w:rPr>
          <w:sz w:val="24"/>
          <w:szCs w:val="24"/>
        </w:rPr>
        <w:t xml:space="preserve"> at 5</w:t>
      </w:r>
      <w:r>
        <w:rPr>
          <w:sz w:val="24"/>
          <w:szCs w:val="24"/>
        </w:rPr>
        <w:t>.</w:t>
      </w:r>
    </w:p>
    <w:p w:rsidR="00504D25" w:rsidRPr="00F7430C" w:rsidRDefault="00504D25" w:rsidP="007E53E1">
      <w:pPr>
        <w:pStyle w:val="ListParagraph"/>
        <w:spacing w:after="200" w:line="360" w:lineRule="auto"/>
        <w:ind w:left="0"/>
        <w:contextualSpacing/>
        <w:rPr>
          <w:sz w:val="24"/>
          <w:szCs w:val="24"/>
        </w:rPr>
      </w:pPr>
    </w:p>
    <w:p w:rsidR="003E0B9E" w:rsidRDefault="00291148" w:rsidP="007E53E1">
      <w:pPr>
        <w:spacing w:line="360" w:lineRule="auto"/>
        <w:rPr>
          <w:sz w:val="24"/>
          <w:szCs w:val="24"/>
        </w:rPr>
      </w:pPr>
      <w:r w:rsidRPr="003E0B9E">
        <w:rPr>
          <w:sz w:val="24"/>
          <w:szCs w:val="24"/>
        </w:rPr>
        <w:t>4.</w:t>
      </w:r>
      <w:r w:rsidRPr="003E0B9E">
        <w:rPr>
          <w:sz w:val="24"/>
          <w:szCs w:val="24"/>
        </w:rPr>
        <w:tab/>
      </w:r>
      <w:r w:rsidRPr="00F7430C">
        <w:rPr>
          <w:sz w:val="24"/>
          <w:szCs w:val="24"/>
          <w:u w:val="single"/>
        </w:rPr>
        <w:t>Responsibility to Manage Usage/Incentive to Conserve</w:t>
      </w:r>
      <w:r w:rsidRPr="00F7430C">
        <w:rPr>
          <w:sz w:val="24"/>
          <w:szCs w:val="24"/>
        </w:rPr>
        <w:t xml:space="preserve"> </w:t>
      </w:r>
    </w:p>
    <w:p w:rsidR="003E0B9E" w:rsidRDefault="003E0B9E" w:rsidP="007E53E1">
      <w:pPr>
        <w:spacing w:line="360" w:lineRule="auto"/>
        <w:rPr>
          <w:sz w:val="24"/>
          <w:szCs w:val="24"/>
        </w:rPr>
      </w:pPr>
    </w:p>
    <w:p w:rsidR="00291148" w:rsidRPr="00F7430C" w:rsidRDefault="003E0B9E" w:rsidP="007E53E1">
      <w:pPr>
        <w:spacing w:line="360" w:lineRule="auto"/>
        <w:rPr>
          <w:sz w:val="24"/>
          <w:szCs w:val="24"/>
        </w:rPr>
      </w:pPr>
      <w:r>
        <w:rPr>
          <w:sz w:val="24"/>
          <w:szCs w:val="24"/>
        </w:rPr>
        <w:tab/>
      </w:r>
      <w:r>
        <w:rPr>
          <w:sz w:val="24"/>
          <w:szCs w:val="24"/>
        </w:rPr>
        <w:tab/>
      </w:r>
      <w:r w:rsidR="00291148" w:rsidRPr="00F7430C">
        <w:rPr>
          <w:sz w:val="24"/>
          <w:szCs w:val="24"/>
        </w:rPr>
        <w:t xml:space="preserve">The amount of a customer’s fixed credit will be adjusted to reflect projected usage in a normal weather year.  The effect of this adjustment will be to make customers responsible to manage their usage and conserve energy, because they will not receive an additional credit to cover usage caused by extreme weather or other drivers of increased usage.  Conversely, when CAP customers successfully conserve energy, they will retain the benefit of having done so.  PECO believes that this structure will provide CAP customers with an incentive to conserve energy. </w:t>
      </w:r>
      <w:r w:rsidR="007E53E1" w:rsidRPr="00F7430C">
        <w:rPr>
          <w:sz w:val="24"/>
          <w:szCs w:val="24"/>
        </w:rPr>
        <w:t xml:space="preserve"> </w:t>
      </w:r>
      <w:r w:rsidR="00291148" w:rsidRPr="00F7430C">
        <w:rPr>
          <w:sz w:val="24"/>
          <w:szCs w:val="24"/>
        </w:rPr>
        <w:t>PECO Statement in Support at 6.</w:t>
      </w:r>
    </w:p>
    <w:p w:rsidR="00291148" w:rsidRPr="00F7430C" w:rsidRDefault="00291148" w:rsidP="00291148">
      <w:pPr>
        <w:pStyle w:val="ListParagraph"/>
        <w:spacing w:line="360" w:lineRule="auto"/>
        <w:ind w:left="0"/>
        <w:rPr>
          <w:sz w:val="24"/>
          <w:szCs w:val="24"/>
        </w:rPr>
      </w:pPr>
    </w:p>
    <w:p w:rsidR="003E0B9E" w:rsidRDefault="00291148" w:rsidP="00291148">
      <w:pPr>
        <w:pStyle w:val="ListParagraph"/>
        <w:spacing w:line="360" w:lineRule="auto"/>
        <w:ind w:left="0"/>
        <w:contextualSpacing/>
        <w:rPr>
          <w:sz w:val="24"/>
          <w:szCs w:val="24"/>
        </w:rPr>
      </w:pPr>
      <w:r w:rsidRPr="003E0B9E">
        <w:rPr>
          <w:sz w:val="24"/>
          <w:szCs w:val="24"/>
        </w:rPr>
        <w:t>5.</w:t>
      </w:r>
      <w:r w:rsidRPr="003E0B9E">
        <w:rPr>
          <w:sz w:val="24"/>
          <w:szCs w:val="24"/>
        </w:rPr>
        <w:tab/>
      </w:r>
      <w:r w:rsidRPr="00F7430C">
        <w:rPr>
          <w:sz w:val="24"/>
          <w:szCs w:val="24"/>
          <w:u w:val="single"/>
        </w:rPr>
        <w:t>Cost of Program and Cost Containment Mechanisms</w:t>
      </w:r>
      <w:r w:rsidRPr="00F7430C">
        <w:rPr>
          <w:sz w:val="24"/>
          <w:szCs w:val="24"/>
        </w:rPr>
        <w:t xml:space="preserve">  </w:t>
      </w:r>
    </w:p>
    <w:p w:rsidR="003E0B9E" w:rsidRDefault="003E0B9E" w:rsidP="00291148">
      <w:pPr>
        <w:pStyle w:val="ListParagraph"/>
        <w:spacing w:line="360" w:lineRule="auto"/>
        <w:ind w:left="0"/>
        <w:contextualSpacing/>
        <w:rPr>
          <w:sz w:val="24"/>
          <w:szCs w:val="24"/>
        </w:rPr>
      </w:pPr>
    </w:p>
    <w:p w:rsidR="00291148" w:rsidRPr="00F7430C" w:rsidRDefault="003E0B9E" w:rsidP="00285539">
      <w:pPr>
        <w:pStyle w:val="ListParagraph"/>
        <w:spacing w:line="360" w:lineRule="auto"/>
        <w:ind w:left="0"/>
        <w:contextualSpacing/>
        <w:rPr>
          <w:sz w:val="24"/>
          <w:szCs w:val="24"/>
        </w:rPr>
      </w:pPr>
      <w:r>
        <w:rPr>
          <w:sz w:val="24"/>
          <w:szCs w:val="24"/>
        </w:rPr>
        <w:tab/>
      </w:r>
      <w:r>
        <w:rPr>
          <w:sz w:val="24"/>
          <w:szCs w:val="24"/>
        </w:rPr>
        <w:tab/>
      </w:r>
      <w:r w:rsidR="00291148" w:rsidRPr="00F7430C">
        <w:rPr>
          <w:sz w:val="24"/>
          <w:szCs w:val="24"/>
        </w:rPr>
        <w:t xml:space="preserve">PECO estimates that, in a normal weather year, the FCO program will be approximately $3.4 million per year less expensive than PECO’s current tiered approach. ($77 million per year for PECO’s current program; $73.6 million for the FCO.)  PECO expects a material increase in affordability through the FCO program.  This balancing – increased affordability at the same or a reduced cost – is achieved by </w:t>
      </w:r>
      <w:r w:rsidRPr="00F7430C">
        <w:rPr>
          <w:sz w:val="24"/>
          <w:szCs w:val="24"/>
        </w:rPr>
        <w:t>redistributing</w:t>
      </w:r>
      <w:r w:rsidR="00291148" w:rsidRPr="00F7430C">
        <w:rPr>
          <w:sz w:val="24"/>
          <w:szCs w:val="24"/>
        </w:rPr>
        <w:t xml:space="preserve"> some of the existing discounts from customers in the higher ranges of eligibility – approximately 100-150% of the Federal Poverty Level – and re-directing those funds to the poorest of the poor.  This approach of </w:t>
      </w:r>
      <w:r w:rsidR="00854AB1" w:rsidRPr="00F7430C">
        <w:rPr>
          <w:sz w:val="24"/>
          <w:szCs w:val="24"/>
        </w:rPr>
        <w:t>redistributing</w:t>
      </w:r>
      <w:r w:rsidR="00291148" w:rsidRPr="00F7430C">
        <w:rPr>
          <w:sz w:val="24"/>
          <w:szCs w:val="24"/>
        </w:rPr>
        <w:t xml:space="preserve"> funds from higher income levels to lower income levels is the primary mechanism by which the FCO increases affordability while maintaining program costs.</w:t>
      </w:r>
      <w:r w:rsidR="007E53E1" w:rsidRPr="00F7430C">
        <w:rPr>
          <w:sz w:val="24"/>
          <w:szCs w:val="24"/>
        </w:rPr>
        <w:t xml:space="preserve">  </w:t>
      </w:r>
      <w:r w:rsidR="00291148" w:rsidRPr="00F7430C">
        <w:rPr>
          <w:rFonts w:eastAsia="Calibri"/>
          <w:sz w:val="24"/>
          <w:szCs w:val="24"/>
        </w:rPr>
        <w:t>PE</w:t>
      </w:r>
      <w:r w:rsidR="00291148" w:rsidRPr="00F7430C">
        <w:rPr>
          <w:sz w:val="24"/>
          <w:szCs w:val="24"/>
        </w:rPr>
        <w:t>CO Statement in Support at 6.</w:t>
      </w:r>
    </w:p>
    <w:p w:rsidR="00291148" w:rsidRPr="00F7430C" w:rsidRDefault="00291148" w:rsidP="00285539">
      <w:pPr>
        <w:pStyle w:val="ListParagraph"/>
        <w:spacing w:line="360" w:lineRule="auto"/>
        <w:ind w:left="0"/>
        <w:rPr>
          <w:sz w:val="24"/>
          <w:szCs w:val="24"/>
        </w:rPr>
      </w:pPr>
    </w:p>
    <w:p w:rsidR="00291148" w:rsidRPr="00F7430C" w:rsidRDefault="007E53E1" w:rsidP="00285539">
      <w:pPr>
        <w:pStyle w:val="ListParagraph"/>
        <w:spacing w:line="360" w:lineRule="auto"/>
        <w:ind w:left="0"/>
        <w:rPr>
          <w:sz w:val="24"/>
          <w:szCs w:val="24"/>
        </w:rPr>
      </w:pPr>
      <w:r w:rsidRPr="00F7430C">
        <w:rPr>
          <w:sz w:val="24"/>
          <w:szCs w:val="24"/>
        </w:rPr>
        <w:tab/>
      </w:r>
      <w:r w:rsidRPr="00F7430C">
        <w:rPr>
          <w:sz w:val="24"/>
          <w:szCs w:val="24"/>
        </w:rPr>
        <w:tab/>
      </w:r>
      <w:r w:rsidR="00291148" w:rsidRPr="00F7430C">
        <w:rPr>
          <w:sz w:val="24"/>
          <w:szCs w:val="24"/>
        </w:rPr>
        <w:t xml:space="preserve">In addition, the FCO program includes several other important cost-containment mechanisms.  First, the Commission’s minimum monthly bill requirements -- $12.00 for non-heating electric customers, $30.00 for electric heating customers, and $25.00 for gas heating customers – will be applied to customer bills.  Second, PECO will continue its current Commission-approved practice of limiting the cost of its overall program by applying the maximum credit allowed by 52 Pa.Code § 69.265(3)(i) on a system-wide average basis.  Third, the FCO provides a maximum annual credit amount that each customer may receive.  </w:t>
      </w:r>
    </w:p>
    <w:p w:rsidR="00854AB1" w:rsidRDefault="00291148" w:rsidP="00285539">
      <w:pPr>
        <w:pStyle w:val="ListParagraph"/>
        <w:spacing w:line="360" w:lineRule="auto"/>
        <w:ind w:left="0"/>
        <w:rPr>
          <w:sz w:val="24"/>
          <w:szCs w:val="24"/>
        </w:rPr>
      </w:pPr>
      <w:r w:rsidRPr="00F7430C">
        <w:rPr>
          <w:sz w:val="24"/>
          <w:szCs w:val="24"/>
        </w:rPr>
        <w:t xml:space="preserve"> </w:t>
      </w:r>
      <w:r w:rsidRPr="00F7430C">
        <w:rPr>
          <w:rFonts w:eastAsia="Calibri"/>
          <w:sz w:val="24"/>
          <w:szCs w:val="24"/>
        </w:rPr>
        <w:t>PE</w:t>
      </w:r>
      <w:r w:rsidRPr="00F7430C">
        <w:rPr>
          <w:sz w:val="24"/>
          <w:szCs w:val="24"/>
        </w:rPr>
        <w:t>CO Statement in Support at 6, 7</w:t>
      </w:r>
      <w:r w:rsidR="00854AB1">
        <w:rPr>
          <w:sz w:val="24"/>
          <w:szCs w:val="24"/>
        </w:rPr>
        <w:t>; OCA Statement in Support at 7.</w:t>
      </w:r>
    </w:p>
    <w:p w:rsidR="00291148" w:rsidRPr="00F7430C" w:rsidRDefault="00291148" w:rsidP="00285539">
      <w:pPr>
        <w:pStyle w:val="ListParagraph"/>
        <w:spacing w:line="360" w:lineRule="auto"/>
        <w:ind w:left="0"/>
        <w:rPr>
          <w:sz w:val="24"/>
          <w:szCs w:val="24"/>
        </w:rPr>
      </w:pPr>
    </w:p>
    <w:p w:rsidR="00291148" w:rsidRPr="00F7430C" w:rsidRDefault="007E53E1" w:rsidP="00285539">
      <w:pPr>
        <w:pStyle w:val="ListParagraph"/>
        <w:spacing w:line="360" w:lineRule="auto"/>
        <w:ind w:left="0"/>
        <w:rPr>
          <w:sz w:val="24"/>
          <w:szCs w:val="24"/>
        </w:rPr>
      </w:pPr>
      <w:r w:rsidRPr="00F7430C">
        <w:rPr>
          <w:sz w:val="24"/>
          <w:szCs w:val="24"/>
        </w:rPr>
        <w:tab/>
      </w:r>
      <w:r w:rsidRPr="00F7430C">
        <w:rPr>
          <w:sz w:val="24"/>
          <w:szCs w:val="24"/>
        </w:rPr>
        <w:tab/>
        <w:t xml:space="preserve">The </w:t>
      </w:r>
      <w:r w:rsidR="00291148" w:rsidRPr="00F7430C">
        <w:rPr>
          <w:sz w:val="24"/>
          <w:szCs w:val="24"/>
        </w:rPr>
        <w:t>OCA</w:t>
      </w:r>
      <w:r w:rsidRPr="00F7430C">
        <w:rPr>
          <w:sz w:val="24"/>
          <w:szCs w:val="24"/>
        </w:rPr>
        <w:t xml:space="preserve"> </w:t>
      </w:r>
      <w:r w:rsidR="00854AB1">
        <w:rPr>
          <w:sz w:val="24"/>
          <w:szCs w:val="24"/>
        </w:rPr>
        <w:t>sta</w:t>
      </w:r>
      <w:r w:rsidRPr="00F7430C">
        <w:rPr>
          <w:sz w:val="24"/>
          <w:szCs w:val="24"/>
        </w:rPr>
        <w:t xml:space="preserve">ted that </w:t>
      </w:r>
      <w:r w:rsidR="00854AB1">
        <w:rPr>
          <w:sz w:val="24"/>
          <w:szCs w:val="24"/>
        </w:rPr>
        <w:t>c</w:t>
      </w:r>
      <w:r w:rsidR="00291148" w:rsidRPr="00F7430C">
        <w:rPr>
          <w:sz w:val="24"/>
          <w:szCs w:val="24"/>
        </w:rPr>
        <w:t>ustomers will be asked to pay this minimum bill even if a rolling credit would otherwise create an overall credit or amount of less than these minimum amounts.  Settlement at ¶ A(3). The minimum CAP payment requirement allows the CAP customer to conserve the benefit of its CAP credits for a month when the credit is actually needed.  If the benefit is used in a month when it is not needed, the CAP customer may be at risk for exhausting the customer’s maximum CAP credits.  The minimum payment requirement also acts as both a cost control measure and a requirement that CAP customers share in the monthly responsibility of the costs of their electric service.  Finally, the minimum monthly requirement establishes the habit of regular monthly bills and arrearage forgiveness for each of those months, and it prevents the situation where a customer pays nothing in one or more months because a credit exists on the bill.  OCA Statement in Support at 7</w:t>
      </w:r>
      <w:r w:rsidR="00854AB1">
        <w:rPr>
          <w:sz w:val="24"/>
          <w:szCs w:val="24"/>
        </w:rPr>
        <w:t xml:space="preserve">; </w:t>
      </w:r>
      <w:r w:rsidR="00351026">
        <w:rPr>
          <w:sz w:val="24"/>
          <w:szCs w:val="24"/>
        </w:rPr>
        <w:t>CAUSE-PA</w:t>
      </w:r>
      <w:r w:rsidR="00291148" w:rsidRPr="00F7430C">
        <w:rPr>
          <w:sz w:val="24"/>
          <w:szCs w:val="24"/>
        </w:rPr>
        <w:t xml:space="preserve"> Statement in Support </w:t>
      </w:r>
      <w:r w:rsidR="00854AB1">
        <w:rPr>
          <w:sz w:val="24"/>
          <w:szCs w:val="24"/>
        </w:rPr>
        <w:t>at 8.</w:t>
      </w:r>
    </w:p>
    <w:p w:rsidR="007E53E1" w:rsidRPr="00F7430C" w:rsidRDefault="007E53E1" w:rsidP="00F7430C">
      <w:pPr>
        <w:spacing w:line="360" w:lineRule="auto"/>
        <w:jc w:val="both"/>
        <w:rPr>
          <w:sz w:val="24"/>
          <w:szCs w:val="24"/>
        </w:rPr>
      </w:pPr>
    </w:p>
    <w:p w:rsidR="00291148" w:rsidRPr="00F7430C" w:rsidRDefault="00291148" w:rsidP="00F7430C">
      <w:pPr>
        <w:spacing w:line="360" w:lineRule="auto"/>
        <w:jc w:val="both"/>
        <w:rPr>
          <w:sz w:val="24"/>
          <w:szCs w:val="24"/>
        </w:rPr>
      </w:pPr>
      <w:r w:rsidRPr="00F7430C">
        <w:rPr>
          <w:sz w:val="24"/>
          <w:szCs w:val="24"/>
        </w:rPr>
        <w:tab/>
      </w:r>
      <w:r w:rsidR="007E53E1" w:rsidRPr="00F7430C">
        <w:rPr>
          <w:sz w:val="24"/>
          <w:szCs w:val="24"/>
        </w:rPr>
        <w:tab/>
      </w:r>
      <w:r w:rsidR="00854AB1" w:rsidRPr="00F7430C">
        <w:rPr>
          <w:sz w:val="24"/>
          <w:szCs w:val="24"/>
        </w:rPr>
        <w:t xml:space="preserve">The </w:t>
      </w:r>
      <w:r w:rsidRPr="00F7430C">
        <w:rPr>
          <w:sz w:val="24"/>
          <w:szCs w:val="24"/>
        </w:rPr>
        <w:t>Settlement includes an individual household maximum CAP credit and maintains the Company’s current practice of applying the maximum annual credits on a system-wide average.  Settlement at ¶ A(1) at Step 4, ¶ A(3).  Individual households will receive a maximum Annual Credit as follows:</w:t>
      </w:r>
    </w:p>
    <w:p w:rsidR="00504D25" w:rsidRDefault="00504D25">
      <w:pPr>
        <w:rPr>
          <w:sz w:val="24"/>
          <w:szCs w:val="24"/>
        </w:rPr>
      </w:pPr>
      <w:r>
        <w:rPr>
          <w:sz w:val="24"/>
          <w:szCs w:val="24"/>
        </w:rPr>
        <w:br w:type="page"/>
      </w:r>
    </w:p>
    <w:p w:rsidR="007E53E1" w:rsidRPr="00F7430C" w:rsidRDefault="007E53E1" w:rsidP="00F7430C">
      <w:pPr>
        <w:pStyle w:val="ListParagraph"/>
        <w:spacing w:line="360" w:lineRule="auto"/>
        <w:ind w:left="1440"/>
        <w:jc w:val="center"/>
        <w:rPr>
          <w:sz w:val="24"/>
          <w:szCs w:val="24"/>
        </w:rPr>
      </w:pPr>
      <w:r w:rsidRPr="00F7430C">
        <w:rPr>
          <w:sz w:val="24"/>
          <w:szCs w:val="24"/>
        </w:rPr>
        <w:t>Table 2:  Maximum Annual Credits</w:t>
      </w:r>
    </w:p>
    <w:p w:rsidR="007E53E1" w:rsidRPr="00F7430C" w:rsidRDefault="007E53E1" w:rsidP="00F7430C">
      <w:pPr>
        <w:pStyle w:val="ListParagraph"/>
        <w:spacing w:line="360" w:lineRule="auto"/>
        <w:ind w:left="1440"/>
        <w:jc w:val="center"/>
        <w:rPr>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70"/>
        <w:gridCol w:w="1710"/>
        <w:gridCol w:w="3168"/>
      </w:tblGrid>
      <w:tr w:rsidR="007E53E1" w:rsidRPr="00F7430C" w:rsidTr="007E53E1">
        <w:tc>
          <w:tcPr>
            <w:tcW w:w="118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jc w:val="center"/>
              <w:rPr>
                <w:sz w:val="24"/>
                <w:szCs w:val="24"/>
              </w:rPr>
            </w:pPr>
            <w:r w:rsidRPr="00F7430C">
              <w:rPr>
                <w:sz w:val="24"/>
                <w:szCs w:val="24"/>
              </w:rPr>
              <w:t>FPL</w:t>
            </w:r>
          </w:p>
        </w:tc>
        <w:tc>
          <w:tcPr>
            <w:tcW w:w="207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Electric Non-Heating (Rate R)</w:t>
            </w:r>
            <w:r w:rsidRPr="00F7430C">
              <w:rPr>
                <w:rStyle w:val="FootnoteReference"/>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Electric Heating (Rate RH)</w:t>
            </w:r>
            <w:r w:rsidRPr="00F7430C">
              <w:rPr>
                <w:rStyle w:val="FootnoteReference"/>
                <w:sz w:val="24"/>
                <w:szCs w:val="24"/>
              </w:rPr>
              <w:t xml:space="preserve"> </w:t>
            </w:r>
          </w:p>
        </w:tc>
        <w:tc>
          <w:tcPr>
            <w:tcW w:w="316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Electric with Gas Heating (PECO Dual Commodity Customer)</w:t>
            </w:r>
            <w:r w:rsidRPr="00F7430C">
              <w:rPr>
                <w:rStyle w:val="FootnoteReference"/>
                <w:sz w:val="24"/>
                <w:szCs w:val="24"/>
              </w:rPr>
              <w:t xml:space="preserve"> </w:t>
            </w:r>
          </w:p>
        </w:tc>
      </w:tr>
      <w:tr w:rsidR="007E53E1" w:rsidRPr="00F7430C" w:rsidTr="007E53E1">
        <w:tc>
          <w:tcPr>
            <w:tcW w:w="118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0-50%</w:t>
            </w:r>
          </w:p>
        </w:tc>
        <w:tc>
          <w:tcPr>
            <w:tcW w:w="207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$2,048</w:t>
            </w:r>
          </w:p>
        </w:tc>
        <w:tc>
          <w:tcPr>
            <w:tcW w:w="171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$2,922</w:t>
            </w:r>
          </w:p>
        </w:tc>
        <w:tc>
          <w:tcPr>
            <w:tcW w:w="316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Same as Rate R for electric service; no maximum for gas service</w:t>
            </w:r>
            <w:r w:rsidRPr="00F7430C">
              <w:rPr>
                <w:rStyle w:val="FootnoteReference"/>
                <w:sz w:val="24"/>
                <w:szCs w:val="24"/>
              </w:rPr>
              <w:footnoteReference w:id="18"/>
            </w:r>
          </w:p>
        </w:tc>
      </w:tr>
      <w:tr w:rsidR="007E53E1" w:rsidRPr="00F7430C" w:rsidTr="007E53E1">
        <w:tc>
          <w:tcPr>
            <w:tcW w:w="118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51-100%</w:t>
            </w:r>
          </w:p>
        </w:tc>
        <w:tc>
          <w:tcPr>
            <w:tcW w:w="207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$1,389</w:t>
            </w:r>
          </w:p>
        </w:tc>
        <w:tc>
          <w:tcPr>
            <w:tcW w:w="171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$1,881</w:t>
            </w:r>
          </w:p>
        </w:tc>
        <w:tc>
          <w:tcPr>
            <w:tcW w:w="3168" w:type="dxa"/>
            <w:tcBorders>
              <w:top w:val="single" w:sz="4" w:space="0" w:color="auto"/>
              <w:left w:val="single" w:sz="4" w:space="0" w:color="auto"/>
              <w:bottom w:val="single" w:sz="4" w:space="0" w:color="auto"/>
              <w:right w:val="single" w:sz="4" w:space="0" w:color="auto"/>
            </w:tcBorders>
          </w:tcPr>
          <w:p w:rsidR="007E53E1" w:rsidRPr="00F7430C" w:rsidRDefault="007E53E1" w:rsidP="00F7430C">
            <w:pPr>
              <w:pStyle w:val="ListParagraph"/>
              <w:spacing w:line="360" w:lineRule="auto"/>
              <w:ind w:left="0"/>
              <w:rPr>
                <w:sz w:val="24"/>
                <w:szCs w:val="24"/>
              </w:rPr>
            </w:pPr>
          </w:p>
        </w:tc>
      </w:tr>
      <w:tr w:rsidR="007E53E1" w:rsidRPr="00F7430C" w:rsidTr="007E53E1">
        <w:tc>
          <w:tcPr>
            <w:tcW w:w="1188"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101-150%</w:t>
            </w:r>
          </w:p>
        </w:tc>
        <w:tc>
          <w:tcPr>
            <w:tcW w:w="207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$1,241</w:t>
            </w:r>
          </w:p>
        </w:tc>
        <w:tc>
          <w:tcPr>
            <w:tcW w:w="1710" w:type="dxa"/>
            <w:tcBorders>
              <w:top w:val="single" w:sz="4" w:space="0" w:color="auto"/>
              <w:left w:val="single" w:sz="4" w:space="0" w:color="auto"/>
              <w:bottom w:val="single" w:sz="4" w:space="0" w:color="auto"/>
              <w:right w:val="single" w:sz="4" w:space="0" w:color="auto"/>
            </w:tcBorders>
            <w:hideMark/>
          </w:tcPr>
          <w:p w:rsidR="007E53E1" w:rsidRPr="00F7430C" w:rsidRDefault="007E53E1" w:rsidP="00F7430C">
            <w:pPr>
              <w:pStyle w:val="ListParagraph"/>
              <w:spacing w:line="360" w:lineRule="auto"/>
              <w:ind w:left="0"/>
              <w:rPr>
                <w:sz w:val="24"/>
                <w:szCs w:val="24"/>
              </w:rPr>
            </w:pPr>
            <w:r w:rsidRPr="00F7430C">
              <w:rPr>
                <w:sz w:val="24"/>
                <w:szCs w:val="24"/>
              </w:rPr>
              <w:t>$1,661</w:t>
            </w:r>
          </w:p>
        </w:tc>
        <w:tc>
          <w:tcPr>
            <w:tcW w:w="3168" w:type="dxa"/>
            <w:tcBorders>
              <w:top w:val="single" w:sz="4" w:space="0" w:color="auto"/>
              <w:left w:val="single" w:sz="4" w:space="0" w:color="auto"/>
              <w:bottom w:val="single" w:sz="4" w:space="0" w:color="auto"/>
              <w:right w:val="single" w:sz="4" w:space="0" w:color="auto"/>
            </w:tcBorders>
          </w:tcPr>
          <w:p w:rsidR="007E53E1" w:rsidRPr="00F7430C" w:rsidRDefault="007E53E1" w:rsidP="00F7430C">
            <w:pPr>
              <w:pStyle w:val="ListParagraph"/>
              <w:spacing w:line="360" w:lineRule="auto"/>
              <w:ind w:left="0"/>
              <w:rPr>
                <w:sz w:val="24"/>
                <w:szCs w:val="24"/>
              </w:rPr>
            </w:pPr>
          </w:p>
        </w:tc>
      </w:tr>
    </w:tbl>
    <w:p w:rsidR="00504D25" w:rsidRDefault="00504D25" w:rsidP="00F7430C">
      <w:pPr>
        <w:spacing w:line="360" w:lineRule="auto"/>
        <w:jc w:val="both"/>
        <w:rPr>
          <w:sz w:val="24"/>
          <w:szCs w:val="24"/>
        </w:rPr>
      </w:pPr>
    </w:p>
    <w:p w:rsidR="00291148" w:rsidRPr="00F7430C" w:rsidRDefault="00291148" w:rsidP="00F7430C">
      <w:pPr>
        <w:spacing w:line="360" w:lineRule="auto"/>
        <w:jc w:val="both"/>
        <w:rPr>
          <w:sz w:val="24"/>
          <w:szCs w:val="24"/>
        </w:rPr>
      </w:pPr>
      <w:r w:rsidRPr="00F7430C">
        <w:rPr>
          <w:sz w:val="24"/>
          <w:szCs w:val="24"/>
        </w:rPr>
        <w:t xml:space="preserve">Settlement at ¶ A(1) (footnotes omitted).  The individual CAP customer cannot receive a maximum CAP credit higher than those identified in Table 2, but the system-wide average maximum CAP credit of $686.83 for Rate R customers and $1,766.13 for Rate RH ensures that the potential cost of the program will not exceed the current potential cost of the program.  Settlement at ¶ A (3).  The individual and system-wide maximum CAP credits are independently calculated and applied.  </w:t>
      </w:r>
    </w:p>
    <w:p w:rsidR="00F7430C" w:rsidRDefault="00F7430C" w:rsidP="00F7430C">
      <w:pPr>
        <w:spacing w:line="360" w:lineRule="auto"/>
        <w:jc w:val="both"/>
        <w:rPr>
          <w:sz w:val="24"/>
          <w:szCs w:val="24"/>
        </w:rPr>
      </w:pPr>
    </w:p>
    <w:p w:rsidR="00291148" w:rsidRPr="00F7430C" w:rsidRDefault="00F7430C" w:rsidP="00F7430C">
      <w:pPr>
        <w:spacing w:line="360" w:lineRule="auto"/>
        <w:jc w:val="both"/>
        <w:rPr>
          <w:sz w:val="24"/>
          <w:szCs w:val="24"/>
        </w:rPr>
      </w:pPr>
      <w:r>
        <w:rPr>
          <w:sz w:val="24"/>
          <w:szCs w:val="24"/>
        </w:rPr>
        <w:tab/>
      </w:r>
      <w:r w:rsidR="00291148" w:rsidRPr="00F7430C">
        <w:rPr>
          <w:sz w:val="24"/>
          <w:szCs w:val="24"/>
        </w:rPr>
        <w:tab/>
        <w:t>The OCA submits that the proposed FCO model meets the objectives identified in the OCA’s testimony in this case</w:t>
      </w:r>
      <w:r w:rsidRPr="00F7430C">
        <w:rPr>
          <w:sz w:val="24"/>
          <w:szCs w:val="24"/>
        </w:rPr>
        <w:t xml:space="preserve">.  </w:t>
      </w:r>
      <w:r w:rsidR="00291148" w:rsidRPr="00F7430C">
        <w:rPr>
          <w:sz w:val="24"/>
          <w:szCs w:val="24"/>
        </w:rPr>
        <w:t xml:space="preserve">The proposed FCO will provide for affordable service that meets the guidelines set forth in the Commission’s CAP Policy Statement; will more efficiently utilize ratepayer-supplied funding to direct benefits towards those customers who are most in need; and will provide for a CAP Shopping platform that will balance the interests of CAP customers and non-CAP residential customers who pay the costs of the program. OCA Statement in Support at </w:t>
      </w:r>
      <w:r w:rsidR="00854AB1">
        <w:rPr>
          <w:sz w:val="24"/>
          <w:szCs w:val="24"/>
        </w:rPr>
        <w:t>8.</w:t>
      </w:r>
    </w:p>
    <w:p w:rsidR="00BC4B45" w:rsidRDefault="00BC4B45">
      <w:pPr>
        <w:rPr>
          <w:sz w:val="24"/>
          <w:szCs w:val="24"/>
        </w:rPr>
      </w:pPr>
      <w:r>
        <w:rPr>
          <w:sz w:val="24"/>
          <w:szCs w:val="24"/>
        </w:rPr>
        <w:br w:type="page"/>
      </w:r>
    </w:p>
    <w:p w:rsidR="00291148" w:rsidRPr="00F7430C" w:rsidRDefault="00291148" w:rsidP="00291148">
      <w:pPr>
        <w:spacing w:line="360" w:lineRule="auto"/>
        <w:rPr>
          <w:sz w:val="24"/>
          <w:szCs w:val="24"/>
        </w:rPr>
      </w:pPr>
      <w:r w:rsidRPr="00854AB1">
        <w:rPr>
          <w:sz w:val="24"/>
          <w:szCs w:val="24"/>
        </w:rPr>
        <w:t>6.</w:t>
      </w:r>
      <w:r w:rsidRPr="00854AB1">
        <w:rPr>
          <w:sz w:val="24"/>
          <w:szCs w:val="24"/>
        </w:rPr>
        <w:tab/>
      </w:r>
      <w:r w:rsidRPr="00F7430C">
        <w:rPr>
          <w:sz w:val="24"/>
          <w:szCs w:val="24"/>
          <w:u w:val="single"/>
        </w:rPr>
        <w:t>Customers who will not receive an annual credit/Transitional Benefits</w:t>
      </w:r>
    </w:p>
    <w:p w:rsidR="00854AB1" w:rsidRDefault="00854AB1" w:rsidP="00291148">
      <w:pPr>
        <w:pStyle w:val="ListParagraph"/>
        <w:spacing w:line="360" w:lineRule="auto"/>
        <w:ind w:left="0"/>
        <w:contextualSpacing/>
        <w:rPr>
          <w:sz w:val="24"/>
          <w:szCs w:val="24"/>
        </w:rPr>
      </w:pPr>
    </w:p>
    <w:p w:rsidR="00291148" w:rsidRPr="00F7430C" w:rsidRDefault="00854AB1" w:rsidP="00291148">
      <w:pPr>
        <w:pStyle w:val="ListParagraph"/>
        <w:spacing w:line="360" w:lineRule="auto"/>
        <w:ind w:left="0"/>
        <w:contextualSpacing/>
        <w:rPr>
          <w:sz w:val="24"/>
          <w:szCs w:val="24"/>
        </w:rPr>
      </w:pPr>
      <w:r>
        <w:rPr>
          <w:sz w:val="24"/>
          <w:szCs w:val="24"/>
        </w:rPr>
        <w:tab/>
      </w:r>
      <w:r>
        <w:rPr>
          <w:sz w:val="24"/>
          <w:szCs w:val="24"/>
        </w:rPr>
        <w:tab/>
      </w:r>
      <w:r w:rsidR="00291148" w:rsidRPr="00F7430C">
        <w:rPr>
          <w:sz w:val="24"/>
          <w:szCs w:val="24"/>
        </w:rPr>
        <w:t>The FCO causes a redistribution of benefits from higher income tiers to lower income tiers.  As a consequence, PECO estimates that approximately 40,000 households that currently receive CAP discounts under PECO’s existing tiered CAP program will not receive a credit under the FCO program.  To ease this transition, the Term Sheet provides for a one-year transitional payment of $50.00 per household so affected.  PECO Statement in Support at 7</w:t>
      </w:r>
      <w:r>
        <w:rPr>
          <w:sz w:val="24"/>
          <w:szCs w:val="24"/>
        </w:rPr>
        <w:t xml:space="preserve">; </w:t>
      </w:r>
    </w:p>
    <w:p w:rsidR="00291148" w:rsidRPr="00F7430C" w:rsidRDefault="00291148" w:rsidP="00291148">
      <w:pPr>
        <w:spacing w:line="360" w:lineRule="auto"/>
        <w:jc w:val="both"/>
        <w:rPr>
          <w:sz w:val="24"/>
          <w:szCs w:val="24"/>
        </w:rPr>
      </w:pPr>
      <w:r w:rsidRPr="00F7430C">
        <w:rPr>
          <w:sz w:val="24"/>
          <w:szCs w:val="24"/>
        </w:rPr>
        <w:t>OCA Statement in Support at 9</w:t>
      </w:r>
      <w:r w:rsidR="00854AB1">
        <w:rPr>
          <w:sz w:val="24"/>
          <w:szCs w:val="24"/>
        </w:rPr>
        <w:t>; CAUSE-PA Statement in Support at 8.</w:t>
      </w:r>
    </w:p>
    <w:p w:rsidR="00291148" w:rsidRDefault="00291148" w:rsidP="00042BFA">
      <w:pPr>
        <w:pStyle w:val="ListParagraph"/>
        <w:spacing w:after="200" w:line="360" w:lineRule="auto"/>
        <w:ind w:left="0"/>
        <w:contextualSpacing/>
        <w:rPr>
          <w:sz w:val="24"/>
          <w:szCs w:val="24"/>
        </w:rPr>
      </w:pPr>
    </w:p>
    <w:p w:rsidR="00042BFA" w:rsidRDefault="00042BFA" w:rsidP="00042BFA">
      <w:pPr>
        <w:pStyle w:val="ListParagraph"/>
        <w:spacing w:line="360" w:lineRule="auto"/>
        <w:ind w:left="0"/>
        <w:rPr>
          <w:sz w:val="24"/>
          <w:szCs w:val="24"/>
        </w:rPr>
      </w:pPr>
      <w:r>
        <w:rPr>
          <w:sz w:val="24"/>
          <w:szCs w:val="24"/>
        </w:rPr>
        <w:tab/>
      </w:r>
      <w:r>
        <w:rPr>
          <w:sz w:val="24"/>
          <w:szCs w:val="24"/>
        </w:rPr>
        <w:tab/>
      </w:r>
      <w:r w:rsidR="00291148" w:rsidRPr="00F7430C">
        <w:rPr>
          <w:sz w:val="24"/>
          <w:szCs w:val="24"/>
        </w:rPr>
        <w:t>Participation in CAP entitles customers to other benefits, such as pre-program arrearage forgiveness, priority for low-income usage reduction program (LIURP) treatments, and other non-bill discount benefits available to CAP participants. TURN Statement in Support at 5</w:t>
      </w:r>
      <w:r>
        <w:rPr>
          <w:sz w:val="24"/>
          <w:szCs w:val="24"/>
        </w:rPr>
        <w:t>; OCA Statement in Support at 9; CAUSE-PA Statement in Support at 7.</w:t>
      </w:r>
    </w:p>
    <w:p w:rsidR="00291148" w:rsidRPr="00F7430C" w:rsidRDefault="00291148" w:rsidP="00291148">
      <w:pPr>
        <w:pStyle w:val="ListParagraph"/>
        <w:spacing w:after="200" w:line="360" w:lineRule="auto"/>
        <w:ind w:left="360"/>
        <w:contextualSpacing/>
        <w:rPr>
          <w:sz w:val="24"/>
          <w:szCs w:val="24"/>
        </w:rPr>
      </w:pPr>
    </w:p>
    <w:p w:rsidR="00291148" w:rsidRPr="00F7430C" w:rsidRDefault="00F7430C" w:rsidP="00F7430C">
      <w:pPr>
        <w:pStyle w:val="ListParagraph"/>
        <w:spacing w:line="360" w:lineRule="auto"/>
        <w:ind w:left="0"/>
        <w:rPr>
          <w:sz w:val="24"/>
          <w:szCs w:val="24"/>
        </w:rPr>
      </w:pPr>
      <w:r>
        <w:rPr>
          <w:sz w:val="24"/>
          <w:szCs w:val="24"/>
        </w:rPr>
        <w:tab/>
      </w:r>
      <w:r>
        <w:rPr>
          <w:sz w:val="24"/>
          <w:szCs w:val="24"/>
        </w:rPr>
        <w:tab/>
      </w:r>
      <w:r w:rsidR="00291148" w:rsidRPr="00F7430C">
        <w:rPr>
          <w:sz w:val="24"/>
          <w:szCs w:val="24"/>
        </w:rPr>
        <w:t xml:space="preserve">Under the terms of the proposed FCO, approximately 40,000 customers will no longer qualify for a rate discount.  See Settlement at ¶ A(2); Options Report at 20, Appendix C; OCA Comments at Attachment A, Colton Review, at 18.  Through the course of settlement discussions and information exchanges, the parties determined that this segment of PECO’s CAP customers – which consists primarily of those in the income tier closest to 150% of the Federal Poverty Level (FPL) – receive a bill within the energy burdens consistent with Commission guidelines without application of a CAP benefit.  </w:t>
      </w:r>
      <w:r w:rsidR="00351026">
        <w:rPr>
          <w:sz w:val="24"/>
          <w:szCs w:val="24"/>
        </w:rPr>
        <w:t>CAUSE-PA</w:t>
      </w:r>
      <w:r w:rsidR="00291148" w:rsidRPr="00F7430C">
        <w:rPr>
          <w:sz w:val="24"/>
          <w:szCs w:val="24"/>
        </w:rPr>
        <w:t xml:space="preserve"> Statement in Support at 7.</w:t>
      </w:r>
    </w:p>
    <w:p w:rsidR="00F7430C" w:rsidRDefault="00F7430C" w:rsidP="00291148">
      <w:pPr>
        <w:pStyle w:val="ListParagraph"/>
        <w:spacing w:line="360" w:lineRule="auto"/>
        <w:ind w:left="360"/>
        <w:rPr>
          <w:sz w:val="24"/>
          <w:szCs w:val="24"/>
        </w:rPr>
      </w:pPr>
    </w:p>
    <w:p w:rsidR="00291148" w:rsidRPr="00F7430C" w:rsidRDefault="00291148" w:rsidP="00F7430C">
      <w:pPr>
        <w:pStyle w:val="ListParagraph"/>
        <w:spacing w:line="360" w:lineRule="auto"/>
        <w:ind w:left="0"/>
        <w:rPr>
          <w:sz w:val="24"/>
          <w:szCs w:val="24"/>
        </w:rPr>
      </w:pPr>
      <w:r w:rsidRPr="00F7430C">
        <w:rPr>
          <w:sz w:val="24"/>
          <w:szCs w:val="24"/>
        </w:rPr>
        <w:tab/>
      </w:r>
      <w:r w:rsidR="00F7430C">
        <w:rPr>
          <w:sz w:val="24"/>
          <w:szCs w:val="24"/>
        </w:rPr>
        <w:tab/>
      </w:r>
      <w:r w:rsidRPr="00F7430C">
        <w:rPr>
          <w:sz w:val="24"/>
          <w:szCs w:val="24"/>
        </w:rPr>
        <w:t>The OCA submits that the proposed minimum benefit Phase-Out will allow these CAP participants to receive a continued minimum benefit for up to 12 months and then be transitioned to zero dollar credit.  The average current level of benefit for this group of customers is approximately $8.00 and will be reduced by half before going to zero in order to mitigate the impact of the loss of the credit. These customers will remain in CAP, even at a zero dollar credit, so that they may continue to receive arrearage forgiveness for full payments and other CAP benefits such as Low Income Usage Reduction Program (LIURP) prioritization and energy efficiency education. OCA Statement in Support at 10.</w:t>
      </w:r>
    </w:p>
    <w:p w:rsidR="00291148" w:rsidRDefault="00042BFA" w:rsidP="00F7430C">
      <w:pPr>
        <w:pStyle w:val="ListParagraph"/>
        <w:spacing w:line="360" w:lineRule="auto"/>
        <w:ind w:left="0"/>
        <w:rPr>
          <w:sz w:val="24"/>
          <w:szCs w:val="24"/>
        </w:rPr>
      </w:pPr>
      <w:r>
        <w:rPr>
          <w:sz w:val="24"/>
          <w:szCs w:val="24"/>
        </w:rPr>
        <w:tab/>
      </w:r>
      <w:r>
        <w:rPr>
          <w:sz w:val="24"/>
          <w:szCs w:val="24"/>
        </w:rPr>
        <w:tab/>
      </w:r>
      <w:r w:rsidR="00291148" w:rsidRPr="00F7430C">
        <w:rPr>
          <w:sz w:val="24"/>
          <w:szCs w:val="24"/>
        </w:rPr>
        <w:t>In light of this information, the parties agree that the dollars used to provide a benefit to those already receiving a bill compliant with energy burden policies would be used more effectively if redirected to those with high energy burdens that exceed the Commission’s guidelines. To lessen the potential impact of this change on the affected households, the Settlement provides that these customers will receive a Phase-Out Benefit of approximately $50 per household in the first year, which will be provided as a monthly bill credit of $4.17 for each month for a maximum of 12 months.</w:t>
      </w:r>
      <w:r>
        <w:rPr>
          <w:sz w:val="24"/>
          <w:szCs w:val="24"/>
        </w:rPr>
        <w:t xml:space="preserve"> </w:t>
      </w:r>
      <w:r w:rsidR="00291148" w:rsidRPr="00F7430C">
        <w:rPr>
          <w:sz w:val="24"/>
          <w:szCs w:val="24"/>
        </w:rPr>
        <w:t xml:space="preserve"> This Phase-Out Benefit is approximately 50% of the average monthly benefit currently received by these customers under PECO’s existing CAP.  </w:t>
      </w:r>
      <w:r w:rsidR="00291148" w:rsidRPr="00042BFA">
        <w:rPr>
          <w:i/>
          <w:sz w:val="24"/>
          <w:szCs w:val="24"/>
        </w:rPr>
        <w:t>Id</w:t>
      </w:r>
      <w:r w:rsidR="00291148" w:rsidRPr="00F7430C">
        <w:rPr>
          <w:sz w:val="24"/>
          <w:szCs w:val="24"/>
        </w:rPr>
        <w:t xml:space="preserve">.  </w:t>
      </w:r>
      <w:r>
        <w:rPr>
          <w:sz w:val="24"/>
          <w:szCs w:val="24"/>
        </w:rPr>
        <w:t>CAUSE-PA Statement in Support at 7.</w:t>
      </w:r>
    </w:p>
    <w:p w:rsidR="00F7430C" w:rsidRDefault="00F7430C" w:rsidP="00F7430C">
      <w:pPr>
        <w:pStyle w:val="ListParagraph"/>
        <w:spacing w:line="360" w:lineRule="auto"/>
        <w:ind w:left="0"/>
        <w:rPr>
          <w:sz w:val="24"/>
          <w:szCs w:val="24"/>
        </w:rPr>
      </w:pPr>
    </w:p>
    <w:p w:rsidR="00291148" w:rsidRPr="00F7430C" w:rsidRDefault="00F7430C" w:rsidP="00F7430C">
      <w:pPr>
        <w:pStyle w:val="ListParagraph"/>
        <w:spacing w:line="360" w:lineRule="auto"/>
        <w:ind w:left="0"/>
        <w:rPr>
          <w:sz w:val="24"/>
          <w:szCs w:val="24"/>
        </w:rPr>
      </w:pPr>
      <w:r>
        <w:rPr>
          <w:sz w:val="24"/>
          <w:szCs w:val="24"/>
        </w:rPr>
        <w:tab/>
      </w:r>
      <w:r w:rsidR="00291148" w:rsidRPr="00F7430C">
        <w:rPr>
          <w:sz w:val="24"/>
          <w:szCs w:val="24"/>
        </w:rPr>
        <w:tab/>
        <w:t xml:space="preserve">CAUSE-PA asserts that the proposed Phase-Out Benefit is in the public interest and should be approved, as it is carefully designed to redirect CAP benefits to those customers with greater energy burdens while mitigating the effect on those CAP participants negatively impacted by the FCO programmatic change. </w:t>
      </w:r>
      <w:r w:rsidR="00351026">
        <w:rPr>
          <w:sz w:val="24"/>
          <w:szCs w:val="24"/>
        </w:rPr>
        <w:t>CAUSE-PA</w:t>
      </w:r>
      <w:r w:rsidR="00291148" w:rsidRPr="00F7430C">
        <w:rPr>
          <w:sz w:val="24"/>
          <w:szCs w:val="24"/>
        </w:rPr>
        <w:t xml:space="preserve"> Statement in Support at 7.</w:t>
      </w:r>
    </w:p>
    <w:p w:rsidR="00291148" w:rsidRDefault="00291148" w:rsidP="00F7430C">
      <w:pPr>
        <w:pStyle w:val="ListParagraph"/>
        <w:spacing w:line="360" w:lineRule="auto"/>
        <w:ind w:left="0"/>
        <w:rPr>
          <w:sz w:val="24"/>
          <w:szCs w:val="24"/>
        </w:rPr>
      </w:pPr>
    </w:p>
    <w:p w:rsidR="00042BFA" w:rsidRDefault="00291148" w:rsidP="00F7430C">
      <w:pPr>
        <w:spacing w:after="200" w:line="360" w:lineRule="auto"/>
        <w:contextualSpacing/>
        <w:rPr>
          <w:sz w:val="24"/>
          <w:szCs w:val="24"/>
          <w:u w:val="single"/>
        </w:rPr>
      </w:pPr>
      <w:r w:rsidRPr="00042BFA">
        <w:rPr>
          <w:sz w:val="24"/>
          <w:szCs w:val="24"/>
        </w:rPr>
        <w:t>7.</w:t>
      </w:r>
      <w:r w:rsidRPr="00042BFA">
        <w:rPr>
          <w:sz w:val="24"/>
          <w:szCs w:val="24"/>
        </w:rPr>
        <w:tab/>
      </w:r>
      <w:r w:rsidRPr="00F7430C">
        <w:rPr>
          <w:sz w:val="24"/>
          <w:szCs w:val="24"/>
          <w:u w:val="single"/>
        </w:rPr>
        <w:t>Implementation Date</w:t>
      </w:r>
    </w:p>
    <w:p w:rsidR="00042BFA" w:rsidRDefault="00042BFA" w:rsidP="00F7430C">
      <w:pPr>
        <w:spacing w:after="200" w:line="360" w:lineRule="auto"/>
        <w:contextualSpacing/>
        <w:rPr>
          <w:sz w:val="24"/>
          <w:szCs w:val="24"/>
        </w:rPr>
      </w:pPr>
    </w:p>
    <w:p w:rsidR="00291148" w:rsidRDefault="00042BFA" w:rsidP="00042BFA">
      <w:pPr>
        <w:spacing w:after="200" w:line="360" w:lineRule="auto"/>
        <w:contextualSpacing/>
        <w:rPr>
          <w:sz w:val="24"/>
          <w:szCs w:val="24"/>
        </w:rPr>
      </w:pPr>
      <w:r>
        <w:rPr>
          <w:sz w:val="24"/>
          <w:szCs w:val="24"/>
        </w:rPr>
        <w:tab/>
      </w:r>
      <w:r>
        <w:rPr>
          <w:sz w:val="24"/>
          <w:szCs w:val="24"/>
        </w:rPr>
        <w:tab/>
      </w:r>
      <w:r w:rsidR="00291148" w:rsidRPr="00F7430C">
        <w:rPr>
          <w:sz w:val="24"/>
          <w:szCs w:val="24"/>
        </w:rPr>
        <w:t>The Term Sheet provides for an October 2016 implementation date for the FCO.  This date reflects PECO’s best estimate of the amount of time necessary to complete IT transition work to implement the FCO</w:t>
      </w:r>
      <w:r w:rsidRPr="00F7430C">
        <w:rPr>
          <w:sz w:val="24"/>
          <w:szCs w:val="24"/>
        </w:rPr>
        <w:t xml:space="preserve">.  </w:t>
      </w:r>
      <w:r w:rsidR="00291148" w:rsidRPr="00F7430C">
        <w:rPr>
          <w:sz w:val="24"/>
          <w:szCs w:val="24"/>
        </w:rPr>
        <w:t xml:space="preserve">Adopting a schedule that allows PECO the necessary time to do the IT transition work is a material term of the Term Sheet. PECO </w:t>
      </w:r>
      <w:r>
        <w:rPr>
          <w:sz w:val="24"/>
          <w:szCs w:val="24"/>
        </w:rPr>
        <w:t>Statement in Support</w:t>
      </w:r>
      <w:r w:rsidR="00291148" w:rsidRPr="00F7430C">
        <w:rPr>
          <w:sz w:val="24"/>
          <w:szCs w:val="24"/>
        </w:rPr>
        <w:t xml:space="preserve">  at 7.</w:t>
      </w:r>
    </w:p>
    <w:p w:rsidR="00042BFA" w:rsidRPr="00F7430C" w:rsidRDefault="00042BFA" w:rsidP="00F7430C">
      <w:pPr>
        <w:spacing w:after="200" w:line="360" w:lineRule="auto"/>
        <w:contextualSpacing/>
        <w:rPr>
          <w:sz w:val="24"/>
          <w:szCs w:val="24"/>
        </w:rPr>
      </w:pPr>
    </w:p>
    <w:p w:rsidR="00042BFA" w:rsidRDefault="007E53E1" w:rsidP="00042BFA">
      <w:pPr>
        <w:spacing w:line="360" w:lineRule="auto"/>
        <w:rPr>
          <w:sz w:val="24"/>
          <w:szCs w:val="24"/>
          <w:u w:val="single"/>
        </w:rPr>
      </w:pPr>
      <w:r w:rsidRPr="00042BFA">
        <w:rPr>
          <w:sz w:val="24"/>
          <w:szCs w:val="24"/>
        </w:rPr>
        <w:t>8.</w:t>
      </w:r>
      <w:r w:rsidR="00042BFA">
        <w:rPr>
          <w:sz w:val="24"/>
          <w:szCs w:val="24"/>
        </w:rPr>
        <w:tab/>
      </w:r>
      <w:r w:rsidRPr="00F7430C">
        <w:rPr>
          <w:sz w:val="24"/>
          <w:szCs w:val="24"/>
          <w:u w:val="single"/>
        </w:rPr>
        <w:t>Change of Date for Next Six-Year Evaluation</w:t>
      </w:r>
    </w:p>
    <w:p w:rsidR="00042BFA" w:rsidRDefault="00042BFA" w:rsidP="00042BFA">
      <w:pPr>
        <w:spacing w:line="360" w:lineRule="auto"/>
        <w:rPr>
          <w:sz w:val="24"/>
          <w:szCs w:val="24"/>
          <w:u w:val="single"/>
        </w:rPr>
      </w:pPr>
    </w:p>
    <w:p w:rsidR="007E53E1" w:rsidRDefault="00042BFA" w:rsidP="00042BFA">
      <w:pPr>
        <w:spacing w:line="360" w:lineRule="auto"/>
        <w:rPr>
          <w:sz w:val="24"/>
          <w:szCs w:val="24"/>
        </w:rPr>
      </w:pPr>
      <w:r w:rsidRPr="00042BFA">
        <w:rPr>
          <w:sz w:val="24"/>
          <w:szCs w:val="24"/>
        </w:rPr>
        <w:tab/>
      </w:r>
      <w:r w:rsidRPr="00042BFA">
        <w:rPr>
          <w:sz w:val="24"/>
          <w:szCs w:val="24"/>
        </w:rPr>
        <w:tab/>
      </w:r>
      <w:r w:rsidR="007E53E1" w:rsidRPr="00F7430C">
        <w:rPr>
          <w:sz w:val="24"/>
          <w:szCs w:val="24"/>
        </w:rPr>
        <w:t>PECO is currently required to file its next CAP program evaluation, known as a “six-year evaluation,” on October 1, 2018.  In order to allow collection of two years’ of operational data on the FCO program prior to filing the next evaluation, the Term Sheet provides, and PECO requests, that its next six-year evaluation filing date be rescheduled from October 1, 2018 to June 30, 2019.</w:t>
      </w:r>
      <w:r>
        <w:rPr>
          <w:sz w:val="24"/>
          <w:szCs w:val="24"/>
        </w:rPr>
        <w:t xml:space="preserve">  </w:t>
      </w:r>
      <w:r w:rsidR="007E53E1" w:rsidRPr="00F7430C">
        <w:rPr>
          <w:rFonts w:eastAsia="Calibri"/>
          <w:sz w:val="24"/>
          <w:szCs w:val="24"/>
        </w:rPr>
        <w:t>PE</w:t>
      </w:r>
      <w:r w:rsidR="007E53E1" w:rsidRPr="00F7430C">
        <w:rPr>
          <w:sz w:val="24"/>
          <w:szCs w:val="24"/>
        </w:rPr>
        <w:t>CO Statement in Support at 7.</w:t>
      </w:r>
    </w:p>
    <w:p w:rsidR="00042BFA" w:rsidRDefault="00042BFA" w:rsidP="00042BFA">
      <w:pPr>
        <w:pStyle w:val="ListParagraph"/>
        <w:spacing w:line="360" w:lineRule="auto"/>
        <w:ind w:left="0"/>
        <w:rPr>
          <w:sz w:val="24"/>
          <w:szCs w:val="24"/>
        </w:rPr>
      </w:pPr>
      <w:r>
        <w:rPr>
          <w:sz w:val="24"/>
          <w:szCs w:val="24"/>
        </w:rPr>
        <w:tab/>
      </w:r>
      <w:r>
        <w:rPr>
          <w:sz w:val="24"/>
          <w:szCs w:val="24"/>
        </w:rPr>
        <w:tab/>
        <w:t>TURN et al.</w:t>
      </w:r>
      <w:r w:rsidRPr="00042BFA">
        <w:rPr>
          <w:sz w:val="24"/>
          <w:szCs w:val="24"/>
        </w:rPr>
        <w:t xml:space="preserve"> supports the external evaluation in late 2018 so that two years of operational data</w:t>
      </w:r>
      <w:r>
        <w:rPr>
          <w:sz w:val="24"/>
          <w:szCs w:val="24"/>
        </w:rPr>
        <w:t xml:space="preserve"> can be assessed</w:t>
      </w:r>
      <w:r w:rsidRPr="00042BFA">
        <w:rPr>
          <w:sz w:val="24"/>
          <w:szCs w:val="24"/>
        </w:rPr>
        <w:t>.  TURN Statement in Support at 4.</w:t>
      </w:r>
    </w:p>
    <w:p w:rsidR="00042BFA" w:rsidRPr="00F7430C" w:rsidRDefault="00042BFA" w:rsidP="00042BFA">
      <w:pPr>
        <w:pStyle w:val="ListParagraph"/>
        <w:spacing w:line="360" w:lineRule="auto"/>
        <w:ind w:left="0"/>
        <w:rPr>
          <w:sz w:val="24"/>
          <w:szCs w:val="24"/>
        </w:rPr>
      </w:pPr>
    </w:p>
    <w:p w:rsidR="00876D31" w:rsidRDefault="00876D31" w:rsidP="00876D31">
      <w:pPr>
        <w:spacing w:line="360" w:lineRule="auto"/>
        <w:rPr>
          <w:sz w:val="24"/>
          <w:szCs w:val="24"/>
          <w:u w:val="single"/>
        </w:rPr>
      </w:pPr>
      <w:r w:rsidRPr="00876D31">
        <w:rPr>
          <w:sz w:val="24"/>
          <w:szCs w:val="24"/>
        </w:rPr>
        <w:t>9.</w:t>
      </w:r>
      <w:r w:rsidRPr="00876D31">
        <w:rPr>
          <w:sz w:val="24"/>
          <w:szCs w:val="24"/>
        </w:rPr>
        <w:tab/>
      </w:r>
      <w:r w:rsidR="007E53E1" w:rsidRPr="00876D31">
        <w:rPr>
          <w:sz w:val="24"/>
          <w:szCs w:val="24"/>
          <w:u w:val="single"/>
        </w:rPr>
        <w:t>Cost Recovery</w:t>
      </w:r>
    </w:p>
    <w:p w:rsidR="00876D31" w:rsidRDefault="00876D31" w:rsidP="00876D31">
      <w:pPr>
        <w:spacing w:line="360" w:lineRule="auto"/>
        <w:rPr>
          <w:sz w:val="24"/>
          <w:szCs w:val="24"/>
          <w:u w:val="single"/>
        </w:rPr>
      </w:pPr>
    </w:p>
    <w:p w:rsidR="007E53E1" w:rsidRPr="00F7430C" w:rsidRDefault="00876D31" w:rsidP="00F7430C">
      <w:pPr>
        <w:spacing w:line="360" w:lineRule="auto"/>
        <w:rPr>
          <w:sz w:val="24"/>
          <w:szCs w:val="24"/>
        </w:rPr>
      </w:pPr>
      <w:r w:rsidRPr="00876D31">
        <w:rPr>
          <w:sz w:val="24"/>
          <w:szCs w:val="24"/>
        </w:rPr>
        <w:tab/>
      </w:r>
      <w:r w:rsidRPr="00876D31">
        <w:rPr>
          <w:sz w:val="24"/>
          <w:szCs w:val="24"/>
        </w:rPr>
        <w:tab/>
      </w:r>
      <w:r w:rsidR="007E53E1" w:rsidRPr="00876D31">
        <w:rPr>
          <w:sz w:val="24"/>
          <w:szCs w:val="24"/>
        </w:rPr>
        <w:t>The Term Sheet provides for two elements of FCO cost recovery.  First, PECO will continue to collect the value of benefits given through its CAP program, known as the CAP “shortfall,” through its base rates and its Universal Services Fund Surcharge.  Second, in its pending electric base rate case at Docket No. R-2015-2468981, PECO has included its IT transition costs in its rate base capital spend.  Recovery of those costs is a material element of the Term Sheet, and PECO avers that it is in the public interest to allow it to recover its FCO program costs through these normal cost recovery mechanisms.</w:t>
      </w:r>
      <w:r>
        <w:rPr>
          <w:sz w:val="24"/>
          <w:szCs w:val="24"/>
        </w:rPr>
        <w:t xml:space="preserve">  </w:t>
      </w:r>
      <w:r w:rsidR="007E53E1" w:rsidRPr="00F7430C">
        <w:rPr>
          <w:sz w:val="24"/>
          <w:szCs w:val="24"/>
        </w:rPr>
        <w:t>PECO Statement in Support at 7, 8</w:t>
      </w:r>
      <w:r>
        <w:rPr>
          <w:sz w:val="24"/>
          <w:szCs w:val="24"/>
        </w:rPr>
        <w:t>.</w:t>
      </w:r>
    </w:p>
    <w:p w:rsidR="00F7430C" w:rsidRDefault="00F7430C" w:rsidP="00F7430C">
      <w:pPr>
        <w:pStyle w:val="BodyText"/>
        <w:tabs>
          <w:tab w:val="left" w:pos="-720"/>
          <w:tab w:val="left" w:pos="0"/>
        </w:tabs>
        <w:suppressAutoHyphens/>
        <w:spacing w:line="360" w:lineRule="auto"/>
        <w:jc w:val="left"/>
        <w:rPr>
          <w:rFonts w:ascii="Times New Roman" w:hAnsi="Times New Roman"/>
          <w:sz w:val="24"/>
          <w:szCs w:val="24"/>
        </w:rPr>
      </w:pPr>
    </w:p>
    <w:p w:rsidR="007E53E1" w:rsidRDefault="00F7430C" w:rsidP="00F7430C">
      <w:pPr>
        <w:pStyle w:val="BodyText"/>
        <w:tabs>
          <w:tab w:val="clear" w:pos="1980"/>
          <w:tab w:val="left" w:pos="-720"/>
          <w:tab w:val="left" w:pos="0"/>
        </w:tabs>
        <w:suppressAutoHyphen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53E1" w:rsidRPr="00F7430C">
        <w:rPr>
          <w:rFonts w:ascii="Times New Roman" w:hAnsi="Times New Roman"/>
          <w:sz w:val="24"/>
          <w:szCs w:val="24"/>
        </w:rPr>
        <w:t xml:space="preserve">The Settlement provides for the cost recovery treatment of IT (Information Technology) transition costs to implement the FCO system.  Settlement at ¶ A(4).  </w:t>
      </w:r>
      <w:r w:rsidR="00876D31">
        <w:rPr>
          <w:rFonts w:ascii="Times New Roman" w:hAnsi="Times New Roman"/>
          <w:sz w:val="24"/>
          <w:szCs w:val="24"/>
        </w:rPr>
        <w:t>OCA and CAUSE-PA state that t</w:t>
      </w:r>
      <w:r w:rsidR="007E53E1" w:rsidRPr="00F7430C">
        <w:rPr>
          <w:rFonts w:ascii="Times New Roman" w:hAnsi="Times New Roman"/>
          <w:sz w:val="24"/>
          <w:szCs w:val="24"/>
        </w:rPr>
        <w:t>he parties agree that the Company may request that a maximum of $11 million to be treated as a regulatory asset and deferred for accounting and financial reporting purposes.  The proposal will be subject to the following conditions:</w:t>
      </w:r>
    </w:p>
    <w:p w:rsidR="00876D31" w:rsidRPr="00F7430C" w:rsidRDefault="00876D31" w:rsidP="00F7430C">
      <w:pPr>
        <w:pStyle w:val="BodyText"/>
        <w:tabs>
          <w:tab w:val="clear" w:pos="1980"/>
          <w:tab w:val="left" w:pos="-720"/>
          <w:tab w:val="left" w:pos="0"/>
        </w:tabs>
        <w:suppressAutoHyphens/>
        <w:spacing w:line="360" w:lineRule="auto"/>
        <w:jc w:val="left"/>
        <w:rPr>
          <w:rFonts w:ascii="Times New Roman" w:hAnsi="Times New Roman"/>
          <w:sz w:val="24"/>
          <w:szCs w:val="24"/>
        </w:rPr>
      </w:pPr>
    </w:p>
    <w:p w:rsidR="007E53E1" w:rsidRPr="00F7430C" w:rsidRDefault="007E53E1" w:rsidP="00876D31">
      <w:pPr>
        <w:pStyle w:val="BodyText"/>
        <w:tabs>
          <w:tab w:val="clear" w:pos="1980"/>
          <w:tab w:val="left" w:pos="-720"/>
          <w:tab w:val="left" w:pos="0"/>
        </w:tabs>
        <w:suppressAutoHyphens/>
        <w:spacing w:line="360" w:lineRule="auto"/>
        <w:ind w:left="720"/>
        <w:jc w:val="left"/>
        <w:rPr>
          <w:rFonts w:ascii="Times New Roman" w:hAnsi="Times New Roman"/>
          <w:sz w:val="24"/>
          <w:szCs w:val="24"/>
        </w:rPr>
      </w:pPr>
      <w:r w:rsidRPr="00F7430C">
        <w:rPr>
          <w:rFonts w:ascii="Times New Roman" w:hAnsi="Times New Roman"/>
          <w:sz w:val="24"/>
          <w:szCs w:val="24"/>
        </w:rPr>
        <w:t>A.</w:t>
      </w:r>
      <w:r w:rsidRPr="00F7430C">
        <w:rPr>
          <w:rFonts w:ascii="Times New Roman" w:hAnsi="Times New Roman"/>
          <w:sz w:val="24"/>
          <w:szCs w:val="24"/>
        </w:rPr>
        <w:tab/>
        <w:t>That authorization for deferred accounting treatment is not an assurance that there will be future rate recovery;</w:t>
      </w:r>
    </w:p>
    <w:p w:rsidR="007E53E1" w:rsidRPr="00F7430C" w:rsidRDefault="007E53E1" w:rsidP="00876D31">
      <w:pPr>
        <w:pStyle w:val="BodyText"/>
        <w:tabs>
          <w:tab w:val="left" w:pos="-720"/>
          <w:tab w:val="left" w:pos="0"/>
        </w:tabs>
        <w:suppressAutoHyphens/>
        <w:spacing w:line="360" w:lineRule="auto"/>
        <w:ind w:left="720"/>
        <w:jc w:val="left"/>
        <w:rPr>
          <w:rFonts w:ascii="Times New Roman" w:hAnsi="Times New Roman"/>
          <w:sz w:val="24"/>
          <w:szCs w:val="24"/>
        </w:rPr>
      </w:pPr>
    </w:p>
    <w:p w:rsidR="007E53E1" w:rsidRPr="00F7430C" w:rsidRDefault="007E53E1" w:rsidP="00876D31">
      <w:pPr>
        <w:pStyle w:val="BodyText"/>
        <w:tabs>
          <w:tab w:val="clear" w:pos="1980"/>
          <w:tab w:val="left" w:pos="-720"/>
          <w:tab w:val="left" w:pos="0"/>
        </w:tabs>
        <w:suppressAutoHyphens/>
        <w:spacing w:line="360" w:lineRule="auto"/>
        <w:ind w:left="720"/>
        <w:jc w:val="left"/>
        <w:rPr>
          <w:rFonts w:ascii="Times New Roman" w:hAnsi="Times New Roman"/>
          <w:sz w:val="24"/>
          <w:szCs w:val="24"/>
        </w:rPr>
      </w:pPr>
      <w:r w:rsidRPr="00F7430C">
        <w:rPr>
          <w:rFonts w:ascii="Times New Roman" w:hAnsi="Times New Roman"/>
          <w:sz w:val="24"/>
          <w:szCs w:val="24"/>
        </w:rPr>
        <w:t>B.</w:t>
      </w:r>
      <w:r w:rsidRPr="00F7430C">
        <w:rPr>
          <w:rFonts w:ascii="Times New Roman" w:hAnsi="Times New Roman"/>
          <w:sz w:val="24"/>
          <w:szCs w:val="24"/>
        </w:rPr>
        <w:tab/>
        <w:t>That PECO claim the deferred costs at the first available opportunity in a base rate case;</w:t>
      </w:r>
    </w:p>
    <w:p w:rsidR="007E53E1" w:rsidRPr="00F7430C" w:rsidRDefault="007E53E1" w:rsidP="00876D31">
      <w:pPr>
        <w:pStyle w:val="BodyText"/>
        <w:tabs>
          <w:tab w:val="left" w:pos="-720"/>
          <w:tab w:val="left" w:pos="0"/>
        </w:tabs>
        <w:suppressAutoHyphens/>
        <w:spacing w:line="360" w:lineRule="auto"/>
        <w:ind w:left="720"/>
        <w:jc w:val="left"/>
        <w:rPr>
          <w:rFonts w:ascii="Times New Roman" w:hAnsi="Times New Roman"/>
          <w:sz w:val="24"/>
          <w:szCs w:val="24"/>
        </w:rPr>
      </w:pPr>
    </w:p>
    <w:p w:rsidR="007E53E1" w:rsidRPr="00F7430C" w:rsidRDefault="007E53E1" w:rsidP="00876D31">
      <w:pPr>
        <w:pStyle w:val="BodyText"/>
        <w:tabs>
          <w:tab w:val="clear" w:pos="1980"/>
          <w:tab w:val="left" w:pos="-720"/>
          <w:tab w:val="left" w:pos="0"/>
        </w:tabs>
        <w:suppressAutoHyphens/>
        <w:spacing w:line="360" w:lineRule="auto"/>
        <w:ind w:left="720"/>
        <w:jc w:val="left"/>
        <w:rPr>
          <w:rFonts w:ascii="Times New Roman" w:hAnsi="Times New Roman"/>
          <w:sz w:val="24"/>
          <w:szCs w:val="24"/>
        </w:rPr>
      </w:pPr>
      <w:r w:rsidRPr="00F7430C">
        <w:rPr>
          <w:rFonts w:ascii="Times New Roman" w:hAnsi="Times New Roman"/>
          <w:sz w:val="24"/>
          <w:szCs w:val="24"/>
        </w:rPr>
        <w:t>C.</w:t>
      </w:r>
      <w:r w:rsidRPr="00F7430C">
        <w:rPr>
          <w:rFonts w:ascii="Times New Roman" w:hAnsi="Times New Roman"/>
          <w:sz w:val="24"/>
          <w:szCs w:val="24"/>
        </w:rPr>
        <w:tab/>
        <w:t>That PECO be directed to commence amortization on a reasonable schedule beginning with the IT in-service date;</w:t>
      </w:r>
    </w:p>
    <w:p w:rsidR="007E53E1" w:rsidRPr="00F7430C" w:rsidRDefault="007E53E1" w:rsidP="00876D31">
      <w:pPr>
        <w:pStyle w:val="BodyText"/>
        <w:tabs>
          <w:tab w:val="left" w:pos="-720"/>
          <w:tab w:val="left" w:pos="0"/>
        </w:tabs>
        <w:suppressAutoHyphens/>
        <w:spacing w:line="360" w:lineRule="auto"/>
        <w:ind w:left="720"/>
        <w:jc w:val="left"/>
        <w:rPr>
          <w:rFonts w:ascii="Times New Roman" w:hAnsi="Times New Roman"/>
          <w:sz w:val="24"/>
          <w:szCs w:val="24"/>
        </w:rPr>
      </w:pPr>
    </w:p>
    <w:p w:rsidR="007E53E1" w:rsidRPr="00F7430C" w:rsidRDefault="007E53E1" w:rsidP="00876D31">
      <w:pPr>
        <w:pStyle w:val="BodyText"/>
        <w:tabs>
          <w:tab w:val="clear" w:pos="1980"/>
          <w:tab w:val="left" w:pos="-720"/>
          <w:tab w:val="left" w:pos="0"/>
        </w:tabs>
        <w:suppressAutoHyphens/>
        <w:spacing w:line="360" w:lineRule="auto"/>
        <w:ind w:left="720"/>
        <w:jc w:val="left"/>
        <w:rPr>
          <w:rFonts w:ascii="Times New Roman" w:hAnsi="Times New Roman"/>
          <w:sz w:val="24"/>
          <w:szCs w:val="24"/>
        </w:rPr>
      </w:pPr>
      <w:r w:rsidRPr="00F7430C">
        <w:rPr>
          <w:rFonts w:ascii="Times New Roman" w:hAnsi="Times New Roman"/>
          <w:sz w:val="24"/>
          <w:szCs w:val="24"/>
        </w:rPr>
        <w:t>D.</w:t>
      </w:r>
      <w:r w:rsidRPr="00F7430C">
        <w:rPr>
          <w:rFonts w:ascii="Times New Roman" w:hAnsi="Times New Roman"/>
          <w:sz w:val="24"/>
          <w:szCs w:val="24"/>
        </w:rPr>
        <w:tab/>
        <w:t>That any authorization for deferred accounting be limited to the IT expense and not extend to capital costs; and</w:t>
      </w:r>
    </w:p>
    <w:p w:rsidR="007E53E1" w:rsidRPr="00F7430C" w:rsidRDefault="007E53E1" w:rsidP="00876D31">
      <w:pPr>
        <w:pStyle w:val="BodyText"/>
        <w:tabs>
          <w:tab w:val="clear" w:pos="1980"/>
          <w:tab w:val="left" w:pos="-720"/>
          <w:tab w:val="left" w:pos="-90"/>
          <w:tab w:val="left" w:pos="0"/>
        </w:tabs>
        <w:suppressAutoHyphens/>
        <w:spacing w:line="360" w:lineRule="auto"/>
        <w:ind w:left="720"/>
        <w:jc w:val="left"/>
        <w:rPr>
          <w:rFonts w:ascii="Times New Roman" w:hAnsi="Times New Roman"/>
          <w:sz w:val="24"/>
          <w:szCs w:val="24"/>
        </w:rPr>
      </w:pPr>
      <w:r w:rsidRPr="00F7430C">
        <w:rPr>
          <w:rFonts w:ascii="Times New Roman" w:hAnsi="Times New Roman"/>
          <w:sz w:val="24"/>
          <w:szCs w:val="24"/>
        </w:rPr>
        <w:t>E.</w:t>
      </w:r>
      <w:r w:rsidRPr="00F7430C">
        <w:rPr>
          <w:rFonts w:ascii="Times New Roman" w:hAnsi="Times New Roman"/>
          <w:sz w:val="24"/>
          <w:szCs w:val="24"/>
        </w:rPr>
        <w:tab/>
        <w:t>That any order will not limit any party in its ability to contest rate recovery of the deferred costs.</w:t>
      </w:r>
    </w:p>
    <w:p w:rsidR="00876D31" w:rsidRDefault="00876D31" w:rsidP="00F7430C">
      <w:pPr>
        <w:pStyle w:val="BodyText"/>
        <w:tabs>
          <w:tab w:val="left" w:pos="-720"/>
          <w:tab w:val="left" w:pos="0"/>
        </w:tabs>
        <w:suppressAutoHyphens/>
        <w:spacing w:line="360" w:lineRule="auto"/>
        <w:jc w:val="left"/>
        <w:rPr>
          <w:rFonts w:ascii="Times New Roman" w:hAnsi="Times New Roman"/>
          <w:sz w:val="24"/>
          <w:szCs w:val="24"/>
        </w:rPr>
      </w:pPr>
    </w:p>
    <w:p w:rsidR="007E53E1" w:rsidRPr="00F7430C" w:rsidRDefault="007E53E1" w:rsidP="00F7430C">
      <w:pPr>
        <w:pStyle w:val="BodyText"/>
        <w:tabs>
          <w:tab w:val="left" w:pos="-720"/>
          <w:tab w:val="left" w:pos="0"/>
        </w:tabs>
        <w:suppressAutoHyphens/>
        <w:spacing w:line="360" w:lineRule="auto"/>
        <w:jc w:val="left"/>
        <w:rPr>
          <w:rFonts w:ascii="Times New Roman" w:hAnsi="Times New Roman"/>
          <w:sz w:val="24"/>
          <w:szCs w:val="24"/>
        </w:rPr>
      </w:pPr>
      <w:r w:rsidRPr="00F7430C">
        <w:rPr>
          <w:rFonts w:ascii="Times New Roman" w:hAnsi="Times New Roman"/>
          <w:sz w:val="24"/>
          <w:szCs w:val="24"/>
        </w:rPr>
        <w:t xml:space="preserve">Settlement at ¶ A(4).  The OCA </w:t>
      </w:r>
      <w:r w:rsidR="00876D31">
        <w:rPr>
          <w:rFonts w:ascii="Times New Roman" w:hAnsi="Times New Roman"/>
          <w:sz w:val="24"/>
          <w:szCs w:val="24"/>
        </w:rPr>
        <w:t xml:space="preserve">and </w:t>
      </w:r>
      <w:r w:rsidR="00876D31" w:rsidRPr="00876D31">
        <w:rPr>
          <w:rFonts w:ascii="Times New Roman" w:hAnsi="Times New Roman"/>
          <w:sz w:val="24"/>
          <w:szCs w:val="24"/>
        </w:rPr>
        <w:t xml:space="preserve">CAUSE-PA </w:t>
      </w:r>
      <w:r w:rsidRPr="00F7430C">
        <w:rPr>
          <w:rFonts w:ascii="Times New Roman" w:hAnsi="Times New Roman"/>
          <w:sz w:val="24"/>
          <w:szCs w:val="24"/>
        </w:rPr>
        <w:t>submit that these proposed conditions are consistent with Commission decisions regarding the treatment of a regulatory asset outside of a base rate proceeding and should be approved.</w:t>
      </w:r>
      <w:r w:rsidR="00F7430C">
        <w:rPr>
          <w:rFonts w:ascii="Times New Roman" w:hAnsi="Times New Roman"/>
          <w:sz w:val="24"/>
          <w:szCs w:val="24"/>
        </w:rPr>
        <w:t xml:space="preserve"> </w:t>
      </w:r>
      <w:r w:rsidR="00876D31">
        <w:rPr>
          <w:rFonts w:ascii="Times New Roman" w:hAnsi="Times New Roman"/>
          <w:sz w:val="24"/>
          <w:szCs w:val="24"/>
        </w:rPr>
        <w:t xml:space="preserve"> </w:t>
      </w:r>
      <w:r w:rsidRPr="00F7430C">
        <w:rPr>
          <w:rFonts w:ascii="Times New Roman" w:hAnsi="Times New Roman"/>
          <w:sz w:val="24"/>
          <w:szCs w:val="24"/>
        </w:rPr>
        <w:t>OCA Statement in Support at 10</w:t>
      </w:r>
      <w:r w:rsidR="00876D31">
        <w:rPr>
          <w:rFonts w:ascii="Times New Roman" w:hAnsi="Times New Roman"/>
          <w:sz w:val="24"/>
          <w:szCs w:val="24"/>
        </w:rPr>
        <w:t xml:space="preserve">; </w:t>
      </w:r>
      <w:r w:rsidR="00876D31" w:rsidRPr="00876D31">
        <w:rPr>
          <w:rFonts w:ascii="Times New Roman" w:hAnsi="Times New Roman"/>
          <w:sz w:val="24"/>
          <w:szCs w:val="24"/>
        </w:rPr>
        <w:t xml:space="preserve">CAUSE-PA Statement in Support at </w:t>
      </w:r>
      <w:r w:rsidR="00876D31">
        <w:rPr>
          <w:rFonts w:ascii="Times New Roman" w:hAnsi="Times New Roman"/>
          <w:sz w:val="24"/>
          <w:szCs w:val="24"/>
        </w:rPr>
        <w:t>10</w:t>
      </w:r>
      <w:r w:rsidR="00876D31" w:rsidRPr="00876D31">
        <w:rPr>
          <w:rFonts w:ascii="Times New Roman" w:hAnsi="Times New Roman"/>
          <w:sz w:val="24"/>
          <w:szCs w:val="24"/>
        </w:rPr>
        <w:t>.</w:t>
      </w:r>
    </w:p>
    <w:p w:rsidR="00876D31" w:rsidRDefault="00876D31">
      <w:pPr>
        <w:rPr>
          <w:sz w:val="24"/>
          <w:szCs w:val="24"/>
        </w:rPr>
      </w:pPr>
    </w:p>
    <w:p w:rsidR="00A55BFA" w:rsidRPr="00773407" w:rsidRDefault="00A55BFA" w:rsidP="00FD2E7B">
      <w:pPr>
        <w:pStyle w:val="ListParagraph"/>
        <w:numPr>
          <w:ilvl w:val="0"/>
          <w:numId w:val="18"/>
        </w:numPr>
        <w:spacing w:line="360" w:lineRule="auto"/>
        <w:rPr>
          <w:b/>
          <w:sz w:val="24"/>
          <w:szCs w:val="24"/>
        </w:rPr>
      </w:pPr>
      <w:r w:rsidRPr="00773407">
        <w:rPr>
          <w:b/>
          <w:sz w:val="24"/>
          <w:szCs w:val="24"/>
        </w:rPr>
        <w:t>Arrearage Forgiveness</w:t>
      </w:r>
    </w:p>
    <w:p w:rsidR="00876D31" w:rsidRDefault="00876D31" w:rsidP="00291148">
      <w:pPr>
        <w:spacing w:after="200" w:line="360" w:lineRule="auto"/>
        <w:contextualSpacing/>
        <w:rPr>
          <w:rFonts w:eastAsia="Calibri"/>
          <w:sz w:val="24"/>
          <w:szCs w:val="24"/>
          <w:u w:val="single"/>
        </w:rPr>
      </w:pPr>
    </w:p>
    <w:p w:rsidR="00291148" w:rsidRPr="00F7430C" w:rsidRDefault="00291148" w:rsidP="00291148">
      <w:pPr>
        <w:spacing w:after="200" w:line="360" w:lineRule="auto"/>
        <w:contextualSpacing/>
        <w:rPr>
          <w:rFonts w:eastAsia="Calibri"/>
          <w:sz w:val="24"/>
          <w:szCs w:val="24"/>
          <w:u w:val="single"/>
        </w:rPr>
      </w:pPr>
      <w:r w:rsidRPr="00876D31">
        <w:rPr>
          <w:rFonts w:eastAsia="Calibri"/>
          <w:sz w:val="24"/>
          <w:szCs w:val="24"/>
        </w:rPr>
        <w:t>10.</w:t>
      </w:r>
      <w:r w:rsidRPr="00876D31">
        <w:rPr>
          <w:rFonts w:eastAsia="Calibri"/>
          <w:sz w:val="24"/>
          <w:szCs w:val="24"/>
        </w:rPr>
        <w:tab/>
      </w:r>
      <w:r w:rsidR="00875AA6" w:rsidRPr="00F7430C">
        <w:rPr>
          <w:rFonts w:eastAsia="Calibri"/>
          <w:sz w:val="24"/>
          <w:szCs w:val="24"/>
          <w:u w:val="single"/>
        </w:rPr>
        <w:t>Status of Filing 2/3 Forgiveness Program</w:t>
      </w:r>
    </w:p>
    <w:p w:rsidR="00291148" w:rsidRPr="00F7430C" w:rsidRDefault="00291148" w:rsidP="00291148">
      <w:pPr>
        <w:spacing w:after="200" w:line="360" w:lineRule="auto"/>
        <w:contextualSpacing/>
        <w:rPr>
          <w:rFonts w:eastAsia="Calibri"/>
          <w:sz w:val="24"/>
          <w:szCs w:val="24"/>
        </w:rPr>
      </w:pPr>
    </w:p>
    <w:p w:rsidR="00875AA6" w:rsidRPr="00F7430C" w:rsidRDefault="00291148" w:rsidP="00291148">
      <w:pPr>
        <w:spacing w:after="200" w:line="360" w:lineRule="auto"/>
        <w:contextualSpacing/>
        <w:rPr>
          <w:rFonts w:eastAsia="Calibri"/>
          <w:sz w:val="24"/>
          <w:szCs w:val="24"/>
        </w:rPr>
      </w:pPr>
      <w:r w:rsidRPr="00F7430C">
        <w:rPr>
          <w:rFonts w:eastAsia="Calibri"/>
          <w:sz w:val="24"/>
          <w:szCs w:val="24"/>
        </w:rPr>
        <w:tab/>
      </w:r>
      <w:r w:rsidRPr="00F7430C">
        <w:rPr>
          <w:rFonts w:eastAsia="Calibri"/>
          <w:sz w:val="24"/>
          <w:szCs w:val="24"/>
        </w:rPr>
        <w:tab/>
      </w:r>
      <w:r w:rsidR="00875AA6" w:rsidRPr="00F7430C">
        <w:rPr>
          <w:rFonts w:eastAsia="Calibri"/>
          <w:sz w:val="24"/>
          <w:szCs w:val="24"/>
        </w:rPr>
        <w:t>The Term Sheet requires PECO to propose, in a separate base rate case or other proceeding, a form of arrearage forgiveness outlined in the Term Sheet that could result in a customer obtaining forgiveness for 2/3 of accumulated in-program arrearages</w:t>
      </w:r>
      <w:r w:rsidR="00FD2E7B" w:rsidRPr="00F7430C">
        <w:rPr>
          <w:rFonts w:eastAsia="Calibri"/>
          <w:sz w:val="24"/>
          <w:szCs w:val="24"/>
        </w:rPr>
        <w:t xml:space="preserve">.  </w:t>
      </w:r>
      <w:r w:rsidR="00875AA6" w:rsidRPr="00F7430C">
        <w:rPr>
          <w:rFonts w:eastAsia="Calibri"/>
          <w:sz w:val="24"/>
          <w:szCs w:val="24"/>
        </w:rPr>
        <w:t>PECO proposed the agreed-upon arrearage forgiveness program in its pending electric base rate proceeding at Docket No. R-2015-2468981.  PECO will abide by the Commission’s resolution of the proposed arrearage forgiveness program in that docket, and is not seeking any additional review of the 2/3 forgiveness program in this docket.</w:t>
      </w:r>
      <w:r w:rsidRPr="00F7430C">
        <w:rPr>
          <w:rFonts w:eastAsia="Calibri"/>
          <w:sz w:val="24"/>
          <w:szCs w:val="24"/>
        </w:rPr>
        <w:t xml:space="preserve">  PE</w:t>
      </w:r>
      <w:r w:rsidRPr="00F7430C">
        <w:rPr>
          <w:sz w:val="24"/>
          <w:szCs w:val="24"/>
        </w:rPr>
        <w:t>CO Statement in Support at 8.</w:t>
      </w:r>
    </w:p>
    <w:p w:rsidR="00875AA6" w:rsidRPr="00F7430C" w:rsidRDefault="00875AA6" w:rsidP="00291148">
      <w:pPr>
        <w:spacing w:after="200" w:line="360" w:lineRule="auto"/>
        <w:contextualSpacing/>
        <w:rPr>
          <w:rFonts w:eastAsia="Calibri"/>
          <w:sz w:val="24"/>
          <w:szCs w:val="24"/>
        </w:rPr>
      </w:pPr>
    </w:p>
    <w:p w:rsidR="008C2381" w:rsidRDefault="00291148" w:rsidP="00FD2E7B">
      <w:pPr>
        <w:spacing w:after="200" w:line="360" w:lineRule="auto"/>
        <w:contextualSpacing/>
        <w:rPr>
          <w:rFonts w:eastAsia="Calibri"/>
          <w:sz w:val="24"/>
          <w:szCs w:val="24"/>
        </w:rPr>
      </w:pPr>
      <w:r w:rsidRPr="00876D31">
        <w:rPr>
          <w:rFonts w:eastAsia="Calibri"/>
          <w:sz w:val="24"/>
          <w:szCs w:val="24"/>
        </w:rPr>
        <w:t>11</w:t>
      </w:r>
      <w:r w:rsidR="00FD2E7B" w:rsidRPr="00876D31">
        <w:rPr>
          <w:rFonts w:eastAsia="Calibri"/>
          <w:sz w:val="24"/>
          <w:szCs w:val="24"/>
        </w:rPr>
        <w:t>.</w:t>
      </w:r>
      <w:r w:rsidR="00FD2E7B" w:rsidRPr="00876D31">
        <w:rPr>
          <w:rFonts w:eastAsia="Calibri"/>
          <w:sz w:val="24"/>
          <w:szCs w:val="24"/>
        </w:rPr>
        <w:tab/>
      </w:r>
      <w:r w:rsidR="00875AA6" w:rsidRPr="00F7430C">
        <w:rPr>
          <w:rFonts w:eastAsia="Calibri"/>
          <w:sz w:val="24"/>
          <w:szCs w:val="24"/>
          <w:u w:val="single"/>
        </w:rPr>
        <w:t>Alternative Method of Addressing Arrears</w:t>
      </w:r>
      <w:r w:rsidR="00875AA6" w:rsidRPr="00F7430C">
        <w:rPr>
          <w:rFonts w:eastAsia="Calibri"/>
          <w:sz w:val="24"/>
          <w:szCs w:val="24"/>
        </w:rPr>
        <w:t xml:space="preserve">  </w:t>
      </w:r>
    </w:p>
    <w:p w:rsidR="008C2381" w:rsidRDefault="008C2381" w:rsidP="00FD2E7B">
      <w:pPr>
        <w:spacing w:after="200" w:line="360" w:lineRule="auto"/>
        <w:contextualSpacing/>
        <w:rPr>
          <w:rFonts w:eastAsia="Calibri"/>
          <w:sz w:val="24"/>
          <w:szCs w:val="24"/>
        </w:rPr>
      </w:pPr>
    </w:p>
    <w:p w:rsidR="00875AA6" w:rsidRDefault="008C2381" w:rsidP="00285539">
      <w:pPr>
        <w:spacing w:line="360" w:lineRule="auto"/>
        <w:contextualSpacing/>
        <w:rPr>
          <w:sz w:val="24"/>
          <w:szCs w:val="24"/>
        </w:rPr>
      </w:pPr>
      <w:r>
        <w:rPr>
          <w:rFonts w:eastAsia="Calibri"/>
          <w:sz w:val="24"/>
          <w:szCs w:val="24"/>
        </w:rPr>
        <w:tab/>
      </w:r>
      <w:r>
        <w:rPr>
          <w:rFonts w:eastAsia="Calibri"/>
          <w:sz w:val="24"/>
          <w:szCs w:val="24"/>
        </w:rPr>
        <w:tab/>
      </w:r>
      <w:r w:rsidR="00875AA6" w:rsidRPr="00F7430C">
        <w:rPr>
          <w:rFonts w:eastAsia="Calibri"/>
          <w:sz w:val="24"/>
          <w:szCs w:val="24"/>
        </w:rPr>
        <w:t>The Term Sheet provides that, if the Commission does not approve the 2/3 forgiveness program that is currently under evaluation in PECO’s pending electric base rate proceeding, then PECO will instead place all in-program arrearages on a 60-month payment agreement when the FCO program starts in October 2016.  If the 2/3 forgiveness program is not approved, PECO believes that 60-month payment arrangements will be in the public interest as an alternative method of addressing the arrearages that will have accumulated prior to implementing the more affordable terms of the FCO.  PECO therefore requests that, in this docket, the Commission conditionally approve the use of 60-month payment agreements, as described in the Term Sheet, as an alternative to be used if the 2/3 forgiveness program is not approved in PECO’s pending electric base rate proceeding.</w:t>
      </w:r>
      <w:r w:rsidR="00291148" w:rsidRPr="00F7430C">
        <w:rPr>
          <w:rFonts w:eastAsia="Calibri"/>
          <w:sz w:val="24"/>
          <w:szCs w:val="24"/>
        </w:rPr>
        <w:t xml:space="preserve">  PE</w:t>
      </w:r>
      <w:r w:rsidR="00291148" w:rsidRPr="00F7430C">
        <w:rPr>
          <w:sz w:val="24"/>
          <w:szCs w:val="24"/>
        </w:rPr>
        <w:t>CO Statement in Support at 8.</w:t>
      </w:r>
    </w:p>
    <w:p w:rsidR="00285539" w:rsidRPr="00F7430C" w:rsidRDefault="00285539" w:rsidP="00285539">
      <w:pPr>
        <w:spacing w:line="360" w:lineRule="auto"/>
        <w:contextualSpacing/>
        <w:rPr>
          <w:rFonts w:eastAsia="Calibri"/>
          <w:sz w:val="24"/>
          <w:szCs w:val="24"/>
        </w:rPr>
      </w:pPr>
      <w:bookmarkStart w:id="0" w:name="_GoBack"/>
      <w:bookmarkEnd w:id="0"/>
    </w:p>
    <w:p w:rsidR="00A55BFA" w:rsidRPr="00F7430C" w:rsidRDefault="006630EE" w:rsidP="00285539">
      <w:pPr>
        <w:pStyle w:val="ListParagraph"/>
        <w:spacing w:line="360" w:lineRule="auto"/>
        <w:ind w:left="0"/>
        <w:rPr>
          <w:sz w:val="24"/>
          <w:szCs w:val="24"/>
        </w:rPr>
      </w:pPr>
      <w:r w:rsidRPr="00F7430C">
        <w:rPr>
          <w:sz w:val="24"/>
          <w:szCs w:val="24"/>
        </w:rPr>
        <w:tab/>
      </w:r>
      <w:r w:rsidRPr="00F7430C">
        <w:rPr>
          <w:sz w:val="24"/>
          <w:szCs w:val="24"/>
        </w:rPr>
        <w:tab/>
        <w:t>The</w:t>
      </w:r>
      <w:r w:rsidR="00826E95" w:rsidRPr="00F7430C">
        <w:rPr>
          <w:sz w:val="24"/>
          <w:szCs w:val="24"/>
        </w:rPr>
        <w:t xml:space="preserve"> OCA</w:t>
      </w:r>
      <w:r w:rsidRPr="00F7430C">
        <w:rPr>
          <w:sz w:val="24"/>
          <w:szCs w:val="24"/>
        </w:rPr>
        <w:t xml:space="preserve"> stated that as</w:t>
      </w:r>
      <w:r w:rsidR="00A55BFA" w:rsidRPr="00F7430C">
        <w:rPr>
          <w:sz w:val="24"/>
          <w:szCs w:val="24"/>
        </w:rPr>
        <w:t xml:space="preserve"> the parties addressed the issue of affordability in this proceeding, an issue was raised regarding the treatment of the arrearages accumulated by CAP customers while enrolled in the CAP program, or PECO’s “in-program arrearage forgiveness.”  The Settlement provides that PECO will present, in a separate petition or in its next base rate proceeding, an in-program arrearage forgiveness program.  Settlement at ¶ B(1).  The proposed in-program arrearage forgiveness program will provide a 60-month payment arrangement equal to 1/3 of the customer’s Initial IPA Balance and the CAP customer will receive a reduction of $2.00 for every dollar that the CAP customer pays towards the balance.  Id.</w:t>
      </w:r>
    </w:p>
    <w:p w:rsidR="006630EE" w:rsidRPr="00F7430C" w:rsidRDefault="006630EE" w:rsidP="00285539">
      <w:pPr>
        <w:pStyle w:val="ListParagraph"/>
        <w:spacing w:line="360" w:lineRule="auto"/>
        <w:ind w:left="0"/>
        <w:rPr>
          <w:sz w:val="24"/>
          <w:szCs w:val="24"/>
        </w:rPr>
      </w:pPr>
    </w:p>
    <w:p w:rsidR="00876D31" w:rsidRDefault="006630EE" w:rsidP="00285539">
      <w:pPr>
        <w:pStyle w:val="ListParagraph"/>
        <w:spacing w:line="360" w:lineRule="auto"/>
        <w:ind w:left="0"/>
        <w:rPr>
          <w:sz w:val="24"/>
          <w:szCs w:val="24"/>
        </w:rPr>
      </w:pPr>
      <w:r w:rsidRPr="00F7430C">
        <w:rPr>
          <w:sz w:val="24"/>
          <w:szCs w:val="24"/>
        </w:rPr>
        <w:tab/>
      </w:r>
      <w:r w:rsidR="00A55BFA" w:rsidRPr="00F7430C">
        <w:rPr>
          <w:sz w:val="24"/>
          <w:szCs w:val="24"/>
        </w:rPr>
        <w:tab/>
        <w:t>The Company will also propose a cost-recovery mechanism in the future proceeding.  Any proposed cost recovery mechanism will be limited to no more than “2/3 of the projected cumulative Initial IPA balance for the entire CAP population as of October 1, 2016.”  Id.  The other parties have explicitly reserved their right to oppose the proposed cost recovery mechanism when the Company makes its filing.  PECO has reserved its right to not implement such a program without a cost recovery mechanism that is acceptable to PECO.</w:t>
      </w:r>
      <w:r w:rsidR="00876D31">
        <w:rPr>
          <w:sz w:val="24"/>
          <w:szCs w:val="24"/>
        </w:rPr>
        <w:t xml:space="preserve">  CAUSE-PA Statement in Support at 11; OCA Statement in Support at 7.</w:t>
      </w:r>
    </w:p>
    <w:p w:rsidR="00A55BFA" w:rsidRPr="00F7430C" w:rsidRDefault="00876D31" w:rsidP="00FD2E7B">
      <w:pPr>
        <w:pStyle w:val="ListParagraph"/>
        <w:spacing w:line="360" w:lineRule="auto"/>
        <w:ind w:left="0"/>
        <w:rPr>
          <w:sz w:val="24"/>
          <w:szCs w:val="24"/>
        </w:rPr>
      </w:pPr>
      <w:r>
        <w:rPr>
          <w:sz w:val="24"/>
          <w:szCs w:val="24"/>
        </w:rPr>
        <w:t>.</w:t>
      </w:r>
    </w:p>
    <w:p w:rsidR="00A55BFA" w:rsidRPr="00F7430C" w:rsidRDefault="006630EE" w:rsidP="006630EE">
      <w:pPr>
        <w:pStyle w:val="ListParagraph"/>
        <w:spacing w:line="360" w:lineRule="auto"/>
        <w:ind w:left="0"/>
        <w:rPr>
          <w:sz w:val="24"/>
          <w:szCs w:val="24"/>
        </w:rPr>
      </w:pPr>
      <w:r w:rsidRPr="00F7430C">
        <w:rPr>
          <w:sz w:val="24"/>
          <w:szCs w:val="24"/>
        </w:rPr>
        <w:tab/>
      </w:r>
      <w:r w:rsidR="00A55BFA" w:rsidRPr="00F7430C">
        <w:rPr>
          <w:sz w:val="24"/>
          <w:szCs w:val="24"/>
        </w:rPr>
        <w:tab/>
        <w:t>The OCA agrees that the issue of cost recovery for an in-program arrearage forgiveness program should be addressed in a separate proceeding or in the Company’s next base rate proceeding.  This was not an issue that was raised by the Commission’s Tentative Order or in the testimony or Comments presented in this proceeding.  The in-program arrearage forgiveness program is not directly related to the design of the proposed FCO model.  The Settlement, by providing for consideration in a separate petition proceeding or the Company’s next base rate proceeding, will preserve this issue to be more fully addressed on a complete record.</w:t>
      </w:r>
      <w:r w:rsidRPr="00F7430C">
        <w:rPr>
          <w:sz w:val="24"/>
          <w:szCs w:val="24"/>
        </w:rPr>
        <w:t xml:space="preserve">  </w:t>
      </w:r>
      <w:r w:rsidR="00A55BFA" w:rsidRPr="00F7430C">
        <w:rPr>
          <w:sz w:val="24"/>
          <w:szCs w:val="24"/>
        </w:rPr>
        <w:t>OCA Statement in Support at 11, 12</w:t>
      </w:r>
      <w:r w:rsidR="00876D31">
        <w:rPr>
          <w:sz w:val="24"/>
          <w:szCs w:val="24"/>
        </w:rPr>
        <w:t>.</w:t>
      </w:r>
    </w:p>
    <w:p w:rsidR="007E53E1" w:rsidRPr="00F7430C" w:rsidRDefault="007E53E1" w:rsidP="007E53E1">
      <w:pPr>
        <w:pStyle w:val="BodyText"/>
        <w:tabs>
          <w:tab w:val="left" w:pos="-720"/>
          <w:tab w:val="left" w:pos="0"/>
        </w:tabs>
        <w:suppressAutoHyphens/>
        <w:spacing w:line="360" w:lineRule="auto"/>
        <w:rPr>
          <w:rFonts w:ascii="Times New Roman" w:hAnsi="Times New Roman"/>
          <w:sz w:val="24"/>
          <w:szCs w:val="24"/>
          <w:u w:val="single"/>
        </w:rPr>
      </w:pPr>
    </w:p>
    <w:p w:rsidR="007E53E1" w:rsidRDefault="007E53E1" w:rsidP="007E53E1">
      <w:pPr>
        <w:pStyle w:val="ListParagraph"/>
        <w:spacing w:line="360" w:lineRule="auto"/>
        <w:ind w:left="0"/>
        <w:rPr>
          <w:sz w:val="24"/>
          <w:szCs w:val="24"/>
        </w:rPr>
      </w:pPr>
      <w:r w:rsidRPr="00F7430C">
        <w:rPr>
          <w:sz w:val="24"/>
          <w:szCs w:val="24"/>
        </w:rPr>
        <w:tab/>
      </w:r>
      <w:r w:rsidRPr="00F7430C">
        <w:rPr>
          <w:sz w:val="24"/>
          <w:szCs w:val="24"/>
        </w:rPr>
        <w:tab/>
        <w:t>TURN</w:t>
      </w:r>
      <w:r w:rsidR="000F5220">
        <w:rPr>
          <w:sz w:val="24"/>
          <w:szCs w:val="24"/>
        </w:rPr>
        <w:t xml:space="preserve"> et al.</w:t>
      </w:r>
      <w:r w:rsidRPr="00F7430C">
        <w:rPr>
          <w:sz w:val="24"/>
          <w:szCs w:val="24"/>
        </w:rPr>
        <w:t xml:space="preserve"> states that in program arrears have accumulated during the ongoing operation of PECO’s tiered rate discount CAP.  Order at 13-14.  TURN </w:t>
      </w:r>
      <w:r w:rsidR="000F5220">
        <w:rPr>
          <w:sz w:val="24"/>
          <w:szCs w:val="24"/>
        </w:rPr>
        <w:t xml:space="preserve">et al. </w:t>
      </w:r>
      <w:r w:rsidRPr="00F7430C">
        <w:rPr>
          <w:sz w:val="24"/>
          <w:szCs w:val="24"/>
        </w:rPr>
        <w:t>submits that this phenomenon is the result of PECO’s existing CAP design.  With the redesign of CAP proposed in the settlement, the parties must recognize that CAP participants must be provided reasonable means to resolve these arrear without unduly compromising affordability.  TURN Statement in Support at 5.  In the recent rate filing of March 27, 2015, R-2015-2468981, PECO proposed a IPA forgiveness program.  TURN</w:t>
      </w:r>
      <w:r w:rsidR="000F5220">
        <w:rPr>
          <w:sz w:val="24"/>
          <w:szCs w:val="24"/>
        </w:rPr>
        <w:t xml:space="preserve"> et al.</w:t>
      </w:r>
      <w:r w:rsidRPr="00F7430C">
        <w:rPr>
          <w:sz w:val="24"/>
          <w:szCs w:val="24"/>
        </w:rPr>
        <w:t xml:space="preserve"> supports Commission approval of the proposed program.  TURN Statement in Support at 6.</w:t>
      </w:r>
    </w:p>
    <w:p w:rsidR="00876D31" w:rsidRDefault="00876D31">
      <w:pPr>
        <w:rPr>
          <w:sz w:val="24"/>
          <w:szCs w:val="24"/>
        </w:rPr>
      </w:pPr>
    </w:p>
    <w:p w:rsidR="00F7430C" w:rsidRDefault="00F7430C" w:rsidP="00F7430C">
      <w:pPr>
        <w:pStyle w:val="ListParagraph"/>
        <w:spacing w:line="360" w:lineRule="auto"/>
        <w:rPr>
          <w:sz w:val="24"/>
          <w:szCs w:val="24"/>
        </w:rPr>
      </w:pPr>
      <w:r>
        <w:rPr>
          <w:sz w:val="24"/>
          <w:szCs w:val="24"/>
        </w:rPr>
        <w:t>C.</w:t>
      </w:r>
      <w:r>
        <w:rPr>
          <w:sz w:val="24"/>
          <w:szCs w:val="24"/>
        </w:rPr>
        <w:tab/>
      </w:r>
      <w:r w:rsidRPr="000F5220">
        <w:rPr>
          <w:b/>
          <w:sz w:val="24"/>
          <w:szCs w:val="24"/>
        </w:rPr>
        <w:t>Usage Reduction</w:t>
      </w:r>
    </w:p>
    <w:p w:rsidR="00332C90" w:rsidRDefault="00332C90" w:rsidP="00F7430C">
      <w:pPr>
        <w:pStyle w:val="ListParagraph"/>
        <w:spacing w:line="360" w:lineRule="auto"/>
        <w:rPr>
          <w:sz w:val="24"/>
          <w:szCs w:val="24"/>
        </w:rPr>
      </w:pPr>
    </w:p>
    <w:p w:rsidR="000F5220" w:rsidRDefault="00332C90" w:rsidP="000F5220">
      <w:pPr>
        <w:rPr>
          <w:sz w:val="24"/>
          <w:szCs w:val="24"/>
          <w:u w:val="single"/>
        </w:rPr>
      </w:pPr>
      <w:r>
        <w:rPr>
          <w:sz w:val="24"/>
          <w:szCs w:val="24"/>
        </w:rPr>
        <w:t>12</w:t>
      </w:r>
      <w:r w:rsidR="000F5220">
        <w:rPr>
          <w:sz w:val="24"/>
          <w:szCs w:val="24"/>
        </w:rPr>
        <w:t>.</w:t>
      </w:r>
      <w:r w:rsidR="000F5220">
        <w:rPr>
          <w:sz w:val="24"/>
          <w:szCs w:val="24"/>
        </w:rPr>
        <w:tab/>
      </w:r>
      <w:r w:rsidR="000F5220">
        <w:rPr>
          <w:sz w:val="24"/>
          <w:szCs w:val="24"/>
          <w:u w:val="single"/>
        </w:rPr>
        <w:t>Low-Income Usage Reduction Program (“LIURP”):</w:t>
      </w:r>
    </w:p>
    <w:p w:rsidR="00332C90" w:rsidRPr="00332C90" w:rsidRDefault="00332C90" w:rsidP="00332C90">
      <w:pPr>
        <w:spacing w:line="360" w:lineRule="auto"/>
        <w:rPr>
          <w:sz w:val="24"/>
          <w:szCs w:val="24"/>
        </w:rPr>
      </w:pPr>
    </w:p>
    <w:p w:rsidR="00F7430C" w:rsidRDefault="001C2DE2" w:rsidP="00876D31">
      <w:pPr>
        <w:pStyle w:val="ListParagraph"/>
        <w:spacing w:line="360" w:lineRule="auto"/>
        <w:ind w:left="0"/>
        <w:rPr>
          <w:sz w:val="24"/>
          <w:szCs w:val="24"/>
        </w:rPr>
      </w:pPr>
      <w:r>
        <w:rPr>
          <w:sz w:val="24"/>
          <w:szCs w:val="24"/>
        </w:rPr>
        <w:tab/>
      </w:r>
      <w:r w:rsidR="00F7430C">
        <w:rPr>
          <w:sz w:val="24"/>
          <w:szCs w:val="24"/>
        </w:rPr>
        <w:tab/>
      </w:r>
      <w:r>
        <w:rPr>
          <w:sz w:val="24"/>
          <w:szCs w:val="24"/>
        </w:rPr>
        <w:t>The OCA stated that o</w:t>
      </w:r>
      <w:r w:rsidR="00F7430C">
        <w:rPr>
          <w:sz w:val="24"/>
          <w:szCs w:val="24"/>
        </w:rPr>
        <w:t xml:space="preserve">ne issue that directly impacts customer affordability is CAP customer usage levels.  The Settlement provides that PECO will commit $1 million annually in additional funds to the Low Income Usage Reduction Program in order to assist low-income customers with reducing their energy burdens and will direct $700,000 to address de facto space heating issues.  Settlement at ¶ C(1), (2).  The Company’s de facto space heating program will work to address Rate R customers who are heating with electricity because other fuel heating is not available where: (1) the mitigation measure is repair or replacement of a broken heater or furnace and (2) meets the necessary payback period criterion.  Id. at C(2).  The Company will actively identify CAP customers with extremely high usage and will give these customers the highest prioritization for LIURP treatment.  Id.  PECO will also advocate within its Act 129 stakeholder group to propose a $1 million addition to its Act 129 Low Income Energy Efficiency Program (LEEP) to address customers with high usage who have incomes at or below 150% of the Federal Poverty Level.  Settlement at ¶ C(3).  </w:t>
      </w:r>
    </w:p>
    <w:p w:rsidR="0050564B" w:rsidRDefault="0050564B" w:rsidP="00876D31">
      <w:pPr>
        <w:pStyle w:val="ListParagraph"/>
        <w:spacing w:line="360" w:lineRule="auto"/>
        <w:ind w:left="0"/>
        <w:rPr>
          <w:sz w:val="24"/>
          <w:szCs w:val="24"/>
        </w:rPr>
      </w:pPr>
    </w:p>
    <w:p w:rsidR="00F7430C" w:rsidRDefault="00F7430C" w:rsidP="0050564B">
      <w:pPr>
        <w:pStyle w:val="ListParagraph"/>
        <w:spacing w:line="360" w:lineRule="auto"/>
        <w:ind w:left="0"/>
        <w:rPr>
          <w:sz w:val="24"/>
          <w:szCs w:val="24"/>
        </w:rPr>
      </w:pPr>
      <w:r>
        <w:rPr>
          <w:sz w:val="24"/>
          <w:szCs w:val="24"/>
        </w:rPr>
        <w:tab/>
      </w:r>
      <w:r w:rsidR="0050564B">
        <w:rPr>
          <w:sz w:val="24"/>
          <w:szCs w:val="24"/>
        </w:rPr>
        <w:tab/>
      </w:r>
      <w:r>
        <w:rPr>
          <w:sz w:val="24"/>
          <w:szCs w:val="24"/>
        </w:rPr>
        <w:t xml:space="preserve">The OCA supports these proposed measures to increase LIURP funding and to direct LIURP funding to address the problems created by </w:t>
      </w:r>
      <w:r w:rsidRPr="00332C90">
        <w:rPr>
          <w:sz w:val="24"/>
          <w:szCs w:val="24"/>
        </w:rPr>
        <w:t>de facto</w:t>
      </w:r>
      <w:r>
        <w:rPr>
          <w:sz w:val="24"/>
          <w:szCs w:val="24"/>
        </w:rPr>
        <w:t xml:space="preserve"> space heating.  There are some low-income customers for whom their usage is so high that CAP credits alone cannot provide an otherwise affordable bill.  Many of these customers are unable to reduce their usage due to the condition of their housing or due to a broken or inoperable furnace that uses a fuel other than electricity.</w:t>
      </w:r>
      <w:r w:rsidR="0050564B">
        <w:rPr>
          <w:sz w:val="24"/>
          <w:szCs w:val="24"/>
        </w:rPr>
        <w:t xml:space="preserve"> </w:t>
      </w:r>
      <w:r>
        <w:rPr>
          <w:sz w:val="24"/>
          <w:szCs w:val="24"/>
        </w:rPr>
        <w:t xml:space="preserve"> These customers rely upon alternative, more costly </w:t>
      </w:r>
      <w:r w:rsidRPr="00332C90">
        <w:rPr>
          <w:sz w:val="24"/>
          <w:szCs w:val="24"/>
        </w:rPr>
        <w:t>de facto</w:t>
      </w:r>
      <w:r>
        <w:rPr>
          <w:sz w:val="24"/>
          <w:szCs w:val="24"/>
        </w:rPr>
        <w:t xml:space="preserve"> space heating measures.  Increasing LIURP funding, and directing those funds towards </w:t>
      </w:r>
      <w:r w:rsidRPr="00332C90">
        <w:rPr>
          <w:sz w:val="24"/>
          <w:szCs w:val="24"/>
        </w:rPr>
        <w:t>de facto</w:t>
      </w:r>
      <w:r>
        <w:rPr>
          <w:sz w:val="24"/>
          <w:szCs w:val="24"/>
        </w:rPr>
        <w:t xml:space="preserve"> space heating, will work to benefit both CAP customers and the non-CAP residential customers who pay the costs of the program.</w:t>
      </w:r>
      <w:r w:rsidR="0050564B">
        <w:rPr>
          <w:sz w:val="24"/>
          <w:szCs w:val="24"/>
        </w:rPr>
        <w:t xml:space="preserve"> </w:t>
      </w:r>
      <w:r>
        <w:rPr>
          <w:sz w:val="24"/>
          <w:szCs w:val="24"/>
        </w:rPr>
        <w:t xml:space="preserve"> Low-income customers will receive the benefit of lower energy bills, and hence greater level of affordability, and have a greater number of measures installed to address energy conservation issues.  Non-low-income residential ratepayers will benefit because lower energy usage will decrease the amount of the CAP </w:t>
      </w:r>
      <w:r w:rsidR="00BF2F94">
        <w:rPr>
          <w:sz w:val="24"/>
          <w:szCs w:val="24"/>
        </w:rPr>
        <w:t>shortfall, which</w:t>
      </w:r>
      <w:r>
        <w:rPr>
          <w:sz w:val="24"/>
          <w:szCs w:val="24"/>
        </w:rPr>
        <w:t xml:space="preserve"> in turn, will decrease the amount that non-CAP customers must pay for the program.  OCA Statement in Support at 12, 13</w:t>
      </w:r>
      <w:r w:rsidR="0050564B">
        <w:rPr>
          <w:sz w:val="24"/>
          <w:szCs w:val="24"/>
        </w:rPr>
        <w:t xml:space="preserve">; </w:t>
      </w:r>
      <w:r>
        <w:rPr>
          <w:sz w:val="24"/>
          <w:szCs w:val="24"/>
        </w:rPr>
        <w:t>TURN</w:t>
      </w:r>
      <w:r w:rsidR="0050564B">
        <w:rPr>
          <w:sz w:val="24"/>
          <w:szCs w:val="24"/>
        </w:rPr>
        <w:t xml:space="preserve"> Statement in Support at 6</w:t>
      </w:r>
      <w:r>
        <w:rPr>
          <w:sz w:val="24"/>
          <w:szCs w:val="24"/>
        </w:rPr>
        <w:t>, 7</w:t>
      </w:r>
      <w:r w:rsidR="0050564B">
        <w:rPr>
          <w:sz w:val="24"/>
          <w:szCs w:val="24"/>
        </w:rPr>
        <w:t>.</w:t>
      </w:r>
    </w:p>
    <w:p w:rsidR="001C2DE2" w:rsidRDefault="001C2DE2" w:rsidP="00F7430C">
      <w:pPr>
        <w:spacing w:line="360" w:lineRule="auto"/>
        <w:jc w:val="both"/>
        <w:rPr>
          <w:sz w:val="24"/>
          <w:szCs w:val="24"/>
        </w:rPr>
      </w:pPr>
    </w:p>
    <w:p w:rsidR="0050564B" w:rsidRDefault="00332C90" w:rsidP="00F7430C">
      <w:pPr>
        <w:spacing w:line="360" w:lineRule="auto"/>
        <w:jc w:val="both"/>
        <w:rPr>
          <w:sz w:val="24"/>
          <w:szCs w:val="24"/>
        </w:rPr>
      </w:pPr>
      <w:r>
        <w:rPr>
          <w:sz w:val="24"/>
          <w:szCs w:val="24"/>
        </w:rPr>
        <w:t>13</w:t>
      </w:r>
      <w:r w:rsidR="00F7430C">
        <w:rPr>
          <w:sz w:val="24"/>
          <w:szCs w:val="24"/>
        </w:rPr>
        <w:t>.</w:t>
      </w:r>
      <w:r w:rsidR="0050564B">
        <w:rPr>
          <w:sz w:val="24"/>
          <w:szCs w:val="24"/>
        </w:rPr>
        <w:tab/>
      </w:r>
      <w:r w:rsidR="00F7430C" w:rsidRPr="00332C90">
        <w:rPr>
          <w:sz w:val="24"/>
          <w:szCs w:val="24"/>
          <w:u w:val="single"/>
        </w:rPr>
        <w:t>De facto heating</w:t>
      </w:r>
      <w:r w:rsidR="00F7430C">
        <w:rPr>
          <w:sz w:val="24"/>
          <w:szCs w:val="24"/>
        </w:rPr>
        <w:t xml:space="preserve">  </w:t>
      </w:r>
    </w:p>
    <w:p w:rsidR="0050564B" w:rsidRDefault="0050564B" w:rsidP="00F7430C">
      <w:pPr>
        <w:spacing w:line="360" w:lineRule="auto"/>
        <w:jc w:val="both"/>
        <w:rPr>
          <w:sz w:val="24"/>
          <w:szCs w:val="24"/>
        </w:rPr>
      </w:pPr>
    </w:p>
    <w:p w:rsidR="00F7430C" w:rsidRDefault="0050564B" w:rsidP="00F7430C">
      <w:pPr>
        <w:spacing w:line="360" w:lineRule="auto"/>
        <w:jc w:val="both"/>
        <w:rPr>
          <w:sz w:val="24"/>
          <w:szCs w:val="24"/>
        </w:rPr>
      </w:pPr>
      <w:r>
        <w:rPr>
          <w:sz w:val="24"/>
          <w:szCs w:val="24"/>
        </w:rPr>
        <w:tab/>
      </w:r>
      <w:r>
        <w:rPr>
          <w:sz w:val="24"/>
          <w:szCs w:val="24"/>
        </w:rPr>
        <w:tab/>
        <w:t xml:space="preserve">The settlement proposes to use LIURP funds to redress </w:t>
      </w:r>
      <w:r w:rsidRPr="00332C90">
        <w:rPr>
          <w:sz w:val="24"/>
          <w:szCs w:val="24"/>
        </w:rPr>
        <w:t>de facto</w:t>
      </w:r>
      <w:r>
        <w:rPr>
          <w:sz w:val="24"/>
          <w:szCs w:val="24"/>
        </w:rPr>
        <w:t xml:space="preserve"> heating situations.  The parties agree that due </w:t>
      </w:r>
      <w:r w:rsidR="00BF2F94">
        <w:rPr>
          <w:sz w:val="24"/>
          <w:szCs w:val="24"/>
        </w:rPr>
        <w:t>to</w:t>
      </w:r>
      <w:r>
        <w:rPr>
          <w:sz w:val="24"/>
          <w:szCs w:val="24"/>
        </w:rPr>
        <w:t xml:space="preserve"> the impact of these situations </w:t>
      </w:r>
      <w:r w:rsidR="00BF2F94">
        <w:rPr>
          <w:sz w:val="24"/>
          <w:szCs w:val="24"/>
        </w:rPr>
        <w:t>on electric</w:t>
      </w:r>
      <w:r>
        <w:rPr>
          <w:sz w:val="24"/>
          <w:szCs w:val="24"/>
        </w:rPr>
        <w:t xml:space="preserve"> usage and resulting unaffordable bills, up to $700</w:t>
      </w:r>
      <w:r w:rsidR="000F5220">
        <w:rPr>
          <w:sz w:val="24"/>
          <w:szCs w:val="24"/>
        </w:rPr>
        <w:t>,0</w:t>
      </w:r>
      <w:r>
        <w:rPr>
          <w:sz w:val="24"/>
          <w:szCs w:val="24"/>
        </w:rPr>
        <w:t>00</w:t>
      </w:r>
      <w:r w:rsidR="000F5220">
        <w:rPr>
          <w:sz w:val="24"/>
          <w:szCs w:val="24"/>
        </w:rPr>
        <w:t>.0</w:t>
      </w:r>
      <w:r>
        <w:rPr>
          <w:sz w:val="24"/>
          <w:szCs w:val="24"/>
        </w:rPr>
        <w:t xml:space="preserve">0 per year of new PECO LIURP funds are to be available to repair or replace a broken oil or gas furnace as long as not structural issues impede the repair and the payback period for the LIURP investment does not exceed 15 years. The parties agree to support PECO’s additional LIURP funds and </w:t>
      </w:r>
      <w:r w:rsidRPr="00332C90">
        <w:rPr>
          <w:sz w:val="24"/>
          <w:szCs w:val="24"/>
        </w:rPr>
        <w:t>de facto</w:t>
      </w:r>
      <w:r>
        <w:rPr>
          <w:sz w:val="24"/>
          <w:szCs w:val="24"/>
        </w:rPr>
        <w:t xml:space="preserve"> mitigation measures.  </w:t>
      </w:r>
      <w:r w:rsidR="00F7430C">
        <w:rPr>
          <w:sz w:val="24"/>
          <w:szCs w:val="24"/>
        </w:rPr>
        <w:t>TURN Statement in Support at 7</w:t>
      </w:r>
    </w:p>
    <w:p w:rsidR="007E53E1" w:rsidRPr="00F7430C" w:rsidRDefault="007E53E1" w:rsidP="007E53E1">
      <w:pPr>
        <w:pStyle w:val="BodyText"/>
        <w:tabs>
          <w:tab w:val="left" w:pos="-720"/>
          <w:tab w:val="left" w:pos="0"/>
        </w:tabs>
        <w:suppressAutoHyphens/>
        <w:spacing w:line="360" w:lineRule="auto"/>
        <w:jc w:val="left"/>
        <w:rPr>
          <w:rFonts w:ascii="Times New Roman" w:hAnsi="Times New Roman"/>
          <w:sz w:val="24"/>
          <w:szCs w:val="24"/>
        </w:rPr>
      </w:pPr>
    </w:p>
    <w:p w:rsidR="007E53E1" w:rsidRPr="00F7430C" w:rsidRDefault="007E53E1" w:rsidP="007E53E1">
      <w:pPr>
        <w:pStyle w:val="BodyText"/>
        <w:tabs>
          <w:tab w:val="clear" w:pos="1980"/>
          <w:tab w:val="left" w:pos="-720"/>
          <w:tab w:val="left" w:pos="0"/>
        </w:tabs>
        <w:suppressAutoHyphens/>
        <w:spacing w:line="360" w:lineRule="auto"/>
        <w:rPr>
          <w:rFonts w:ascii="Times New Roman" w:hAnsi="Times New Roman"/>
          <w:sz w:val="24"/>
          <w:szCs w:val="24"/>
          <w:u w:val="single"/>
        </w:rPr>
      </w:pPr>
      <w:r w:rsidRPr="001C2DE2">
        <w:rPr>
          <w:rFonts w:ascii="Times New Roman" w:hAnsi="Times New Roman"/>
          <w:sz w:val="24"/>
          <w:szCs w:val="24"/>
        </w:rPr>
        <w:t>1</w:t>
      </w:r>
      <w:r w:rsidR="00352096">
        <w:rPr>
          <w:rFonts w:ascii="Times New Roman" w:hAnsi="Times New Roman"/>
          <w:sz w:val="24"/>
          <w:szCs w:val="24"/>
        </w:rPr>
        <w:t>4</w:t>
      </w:r>
      <w:r w:rsidRPr="001C2DE2">
        <w:rPr>
          <w:rFonts w:ascii="Times New Roman" w:hAnsi="Times New Roman"/>
          <w:sz w:val="24"/>
          <w:szCs w:val="24"/>
        </w:rPr>
        <w:t>.</w:t>
      </w:r>
      <w:r w:rsidRPr="001C2DE2">
        <w:rPr>
          <w:rFonts w:ascii="Times New Roman" w:hAnsi="Times New Roman"/>
          <w:sz w:val="24"/>
          <w:szCs w:val="24"/>
        </w:rPr>
        <w:tab/>
      </w:r>
      <w:r w:rsidRPr="00F7430C">
        <w:rPr>
          <w:rFonts w:ascii="Times New Roman" w:hAnsi="Times New Roman"/>
          <w:sz w:val="24"/>
          <w:szCs w:val="24"/>
          <w:u w:val="single"/>
        </w:rPr>
        <w:t>Collaborative</w:t>
      </w:r>
    </w:p>
    <w:p w:rsidR="007E53E1" w:rsidRPr="00F7430C" w:rsidRDefault="007E53E1" w:rsidP="007E53E1">
      <w:pPr>
        <w:spacing w:line="360" w:lineRule="auto"/>
        <w:jc w:val="both"/>
        <w:rPr>
          <w:sz w:val="24"/>
          <w:szCs w:val="24"/>
        </w:rPr>
      </w:pPr>
    </w:p>
    <w:p w:rsidR="007E53E1" w:rsidRPr="00F7430C" w:rsidRDefault="007E53E1" w:rsidP="007E53E1">
      <w:pPr>
        <w:spacing w:line="360" w:lineRule="auto"/>
        <w:jc w:val="both"/>
        <w:rPr>
          <w:sz w:val="24"/>
          <w:szCs w:val="24"/>
        </w:rPr>
      </w:pPr>
      <w:r w:rsidRPr="00F7430C">
        <w:rPr>
          <w:sz w:val="24"/>
          <w:szCs w:val="24"/>
        </w:rPr>
        <w:tab/>
      </w:r>
      <w:r w:rsidRPr="00F7430C">
        <w:rPr>
          <w:sz w:val="24"/>
          <w:szCs w:val="24"/>
        </w:rPr>
        <w:tab/>
        <w:t xml:space="preserve">The Settlement provides that the parties will engage in a collaborative within ninety days of the approval of the Settlement to address consumer education regarding the CAP design changes; the effect of the design on CAP shopping materials; educational materials on the importance of LIURP and Act 129 measures; the suggested measures to address de facto space heating; the intended audience for the materials; alternative languages for the translation of education materials; and the cost recovery mechanisms for the proposed educational materials.  Settlement at ¶ C(5).  The OCA submits that education on these programmatic changes will be a necessary and important aspect of improving the CAP program.  The </w:t>
      </w:r>
      <w:r w:rsidR="0050564B">
        <w:rPr>
          <w:sz w:val="24"/>
          <w:szCs w:val="24"/>
        </w:rPr>
        <w:t>parties</w:t>
      </w:r>
      <w:r w:rsidRPr="00F7430C">
        <w:rPr>
          <w:sz w:val="24"/>
          <w:szCs w:val="24"/>
        </w:rPr>
        <w:t xml:space="preserve"> support the proposal to engage in additional collaborative discussions on these important issues.  OCA Statement in Support at 13; </w:t>
      </w:r>
      <w:r w:rsidR="00351026">
        <w:rPr>
          <w:sz w:val="24"/>
          <w:szCs w:val="24"/>
        </w:rPr>
        <w:t>CAUSE-PA</w:t>
      </w:r>
      <w:r w:rsidRPr="00F7430C">
        <w:rPr>
          <w:sz w:val="24"/>
          <w:szCs w:val="24"/>
        </w:rPr>
        <w:t xml:space="preserve"> Statement in Support at 14; TURN Statement in Support at 7, 8.</w:t>
      </w:r>
    </w:p>
    <w:p w:rsidR="007E53E1" w:rsidRPr="00F7430C" w:rsidRDefault="007E53E1" w:rsidP="007E53E1">
      <w:pPr>
        <w:spacing w:line="360" w:lineRule="auto"/>
        <w:jc w:val="both"/>
        <w:rPr>
          <w:sz w:val="24"/>
          <w:szCs w:val="24"/>
        </w:rPr>
      </w:pPr>
    </w:p>
    <w:p w:rsidR="007E53E1" w:rsidRPr="00F7430C" w:rsidRDefault="007E53E1" w:rsidP="007E53E1">
      <w:pPr>
        <w:spacing w:line="360" w:lineRule="auto"/>
        <w:jc w:val="both"/>
        <w:rPr>
          <w:sz w:val="24"/>
          <w:szCs w:val="24"/>
        </w:rPr>
      </w:pPr>
      <w:r w:rsidRPr="00F7430C">
        <w:rPr>
          <w:sz w:val="24"/>
          <w:szCs w:val="24"/>
        </w:rPr>
        <w:tab/>
      </w:r>
      <w:r w:rsidRPr="00F7430C">
        <w:rPr>
          <w:sz w:val="24"/>
          <w:szCs w:val="24"/>
        </w:rPr>
        <w:tab/>
      </w:r>
      <w:r w:rsidR="00351026">
        <w:rPr>
          <w:sz w:val="24"/>
          <w:szCs w:val="24"/>
        </w:rPr>
        <w:t>TURN et al.</w:t>
      </w:r>
      <w:r w:rsidRPr="00F7430C">
        <w:rPr>
          <w:sz w:val="24"/>
          <w:szCs w:val="24"/>
        </w:rPr>
        <w:t xml:space="preserve"> states that the settlement in the public interest because it intends to reduce the depth and breadth of unaffordability experienced by PECO’s most vulnerable customers participating in CAP.  It is a reasonable compromise of the parties.  TURN Statement in Support at 8.</w:t>
      </w:r>
    </w:p>
    <w:p w:rsidR="00291148" w:rsidRDefault="00291148" w:rsidP="0050564B">
      <w:pPr>
        <w:pStyle w:val="ListParagraph"/>
        <w:spacing w:after="200" w:line="360" w:lineRule="auto"/>
        <w:ind w:left="0"/>
        <w:contextualSpacing/>
        <w:rPr>
          <w:sz w:val="24"/>
          <w:szCs w:val="24"/>
          <w:u w:val="single"/>
        </w:rPr>
      </w:pPr>
    </w:p>
    <w:p w:rsidR="00A76233" w:rsidRPr="00F7430C" w:rsidRDefault="0050564B" w:rsidP="0098213D">
      <w:pPr>
        <w:pStyle w:val="ListParagraph"/>
        <w:spacing w:line="360" w:lineRule="auto"/>
        <w:ind w:left="0"/>
        <w:contextualSpacing/>
        <w:rPr>
          <w:sz w:val="24"/>
          <w:szCs w:val="24"/>
        </w:rPr>
      </w:pPr>
      <w:r w:rsidRPr="0050564B">
        <w:rPr>
          <w:sz w:val="24"/>
          <w:szCs w:val="24"/>
        </w:rPr>
        <w:tab/>
      </w:r>
      <w:r w:rsidRPr="0050564B">
        <w:rPr>
          <w:sz w:val="24"/>
          <w:szCs w:val="24"/>
        </w:rPr>
        <w:tab/>
      </w:r>
      <w:r>
        <w:rPr>
          <w:sz w:val="24"/>
          <w:szCs w:val="24"/>
        </w:rPr>
        <w:t xml:space="preserve">The parties have presented clear and reasonable reasons for approval of the FCO program.  </w:t>
      </w:r>
      <w:r w:rsidR="00A76233" w:rsidRPr="00F7430C">
        <w:rPr>
          <w:sz w:val="24"/>
          <w:szCs w:val="24"/>
        </w:rPr>
        <w:t xml:space="preserve">After considering the Joint Petition for Settlement, including the </w:t>
      </w:r>
      <w:r w:rsidR="001C2DE2">
        <w:rPr>
          <w:sz w:val="24"/>
          <w:szCs w:val="24"/>
        </w:rPr>
        <w:t xml:space="preserve">affordability of the new program, the </w:t>
      </w:r>
      <w:r w:rsidR="001C2DE2" w:rsidRPr="001C2DE2">
        <w:rPr>
          <w:sz w:val="24"/>
          <w:szCs w:val="24"/>
        </w:rPr>
        <w:t xml:space="preserve">cost </w:t>
      </w:r>
      <w:r w:rsidR="001C2DE2">
        <w:rPr>
          <w:sz w:val="24"/>
          <w:szCs w:val="24"/>
        </w:rPr>
        <w:t>c</w:t>
      </w:r>
      <w:r w:rsidR="001C2DE2" w:rsidRPr="001C2DE2">
        <w:rPr>
          <w:sz w:val="24"/>
          <w:szCs w:val="24"/>
        </w:rPr>
        <w:t>ontainment</w:t>
      </w:r>
      <w:r w:rsidR="001C2DE2">
        <w:rPr>
          <w:sz w:val="24"/>
          <w:szCs w:val="24"/>
        </w:rPr>
        <w:t>, the c</w:t>
      </w:r>
      <w:r w:rsidR="001C2DE2" w:rsidRPr="001C2DE2">
        <w:rPr>
          <w:sz w:val="24"/>
          <w:szCs w:val="24"/>
        </w:rPr>
        <w:t xml:space="preserve">ost </w:t>
      </w:r>
      <w:r w:rsidR="001C2DE2">
        <w:rPr>
          <w:sz w:val="24"/>
          <w:szCs w:val="24"/>
        </w:rPr>
        <w:t>r</w:t>
      </w:r>
      <w:r w:rsidR="001C2DE2" w:rsidRPr="001C2DE2">
        <w:rPr>
          <w:sz w:val="24"/>
          <w:szCs w:val="24"/>
        </w:rPr>
        <w:t>ecovery</w:t>
      </w:r>
      <w:r w:rsidR="001C2DE2">
        <w:rPr>
          <w:sz w:val="24"/>
          <w:szCs w:val="24"/>
        </w:rPr>
        <w:t>, a</w:t>
      </w:r>
      <w:r w:rsidR="001C2DE2" w:rsidRPr="001C2DE2">
        <w:rPr>
          <w:sz w:val="24"/>
          <w:szCs w:val="24"/>
        </w:rPr>
        <w:t xml:space="preserve">rrearage </w:t>
      </w:r>
      <w:r w:rsidR="001C2DE2">
        <w:rPr>
          <w:sz w:val="24"/>
          <w:szCs w:val="24"/>
        </w:rPr>
        <w:t>f</w:t>
      </w:r>
      <w:r w:rsidR="001C2DE2" w:rsidRPr="001C2DE2">
        <w:rPr>
          <w:sz w:val="24"/>
          <w:szCs w:val="24"/>
        </w:rPr>
        <w:t>orgiveness</w:t>
      </w:r>
      <w:r w:rsidR="001C2DE2">
        <w:rPr>
          <w:sz w:val="24"/>
          <w:szCs w:val="24"/>
        </w:rPr>
        <w:t>, u</w:t>
      </w:r>
      <w:r w:rsidR="001C2DE2" w:rsidRPr="001C2DE2">
        <w:rPr>
          <w:sz w:val="24"/>
          <w:szCs w:val="24"/>
        </w:rPr>
        <w:t>sage reduction</w:t>
      </w:r>
      <w:r w:rsidR="001C2DE2">
        <w:rPr>
          <w:sz w:val="24"/>
          <w:szCs w:val="24"/>
        </w:rPr>
        <w:t>, the proposed evaluation after two years and the ongoing c</w:t>
      </w:r>
      <w:r w:rsidR="001C2DE2" w:rsidRPr="001C2DE2">
        <w:rPr>
          <w:sz w:val="24"/>
          <w:szCs w:val="24"/>
        </w:rPr>
        <w:t xml:space="preserve">ollaborative </w:t>
      </w:r>
      <w:r w:rsidR="001C2DE2">
        <w:rPr>
          <w:sz w:val="24"/>
          <w:szCs w:val="24"/>
        </w:rPr>
        <w:t xml:space="preserve">to address issues that arise </w:t>
      </w:r>
      <w:r w:rsidR="00A76233" w:rsidRPr="00F7430C">
        <w:rPr>
          <w:sz w:val="24"/>
          <w:szCs w:val="24"/>
        </w:rPr>
        <w:t>and the savings achieved by not litigating the case fu</w:t>
      </w:r>
      <w:r w:rsidR="001F3D6D" w:rsidRPr="00F7430C">
        <w:rPr>
          <w:sz w:val="24"/>
          <w:szCs w:val="24"/>
        </w:rPr>
        <w:t>lly, it is my opinion that the S</w:t>
      </w:r>
      <w:r w:rsidR="00A76233" w:rsidRPr="00F7430C">
        <w:rPr>
          <w:sz w:val="24"/>
          <w:szCs w:val="24"/>
        </w:rPr>
        <w:t>ettlement is fair, just, reasonable and in the public interest.  Accordingly, I recommend that the Joint Petition for Settlement be approved.</w:t>
      </w:r>
    </w:p>
    <w:p w:rsidR="00A811D3" w:rsidRPr="00F7430C" w:rsidRDefault="00A811D3" w:rsidP="0098213D">
      <w:pPr>
        <w:pStyle w:val="BodyText"/>
        <w:tabs>
          <w:tab w:val="clear" w:pos="1980"/>
          <w:tab w:val="left" w:pos="-720"/>
        </w:tabs>
        <w:suppressAutoHyphens/>
        <w:spacing w:line="360" w:lineRule="auto"/>
        <w:jc w:val="center"/>
        <w:rPr>
          <w:rFonts w:ascii="Times New Roman" w:hAnsi="Times New Roman"/>
          <w:sz w:val="24"/>
          <w:szCs w:val="24"/>
          <w:u w:val="single"/>
        </w:rPr>
      </w:pPr>
    </w:p>
    <w:p w:rsidR="00BA008F" w:rsidRPr="00F7430C" w:rsidRDefault="00BA008F" w:rsidP="0098213D">
      <w:pPr>
        <w:pStyle w:val="Heading1"/>
        <w:spacing w:line="360" w:lineRule="auto"/>
        <w:rPr>
          <w:sz w:val="24"/>
          <w:szCs w:val="24"/>
        </w:rPr>
      </w:pPr>
      <w:bookmarkStart w:id="1" w:name="_Toc398805332"/>
      <w:r w:rsidRPr="00F7430C">
        <w:rPr>
          <w:sz w:val="24"/>
          <w:szCs w:val="24"/>
        </w:rPr>
        <w:t>CONCLUSIONS OF LAW</w:t>
      </w:r>
      <w:bookmarkEnd w:id="1"/>
    </w:p>
    <w:p w:rsidR="00BA008F" w:rsidRPr="00F7430C" w:rsidRDefault="00BA008F" w:rsidP="0098213D">
      <w:pPr>
        <w:spacing w:line="360" w:lineRule="auto"/>
        <w:rPr>
          <w:sz w:val="24"/>
          <w:szCs w:val="24"/>
        </w:rPr>
      </w:pPr>
    </w:p>
    <w:p w:rsidR="00BA008F" w:rsidRPr="00F7430C" w:rsidRDefault="00BA008F" w:rsidP="0098213D">
      <w:pPr>
        <w:spacing w:line="360" w:lineRule="auto"/>
        <w:rPr>
          <w:sz w:val="24"/>
          <w:szCs w:val="24"/>
        </w:rPr>
      </w:pPr>
      <w:r w:rsidRPr="00F7430C">
        <w:rPr>
          <w:sz w:val="24"/>
          <w:szCs w:val="24"/>
        </w:rPr>
        <w:tab/>
      </w:r>
      <w:r w:rsidRPr="00F7430C">
        <w:rPr>
          <w:sz w:val="24"/>
          <w:szCs w:val="24"/>
        </w:rPr>
        <w:tab/>
        <w:t>1.</w:t>
      </w:r>
      <w:r w:rsidRPr="00F7430C">
        <w:rPr>
          <w:sz w:val="24"/>
          <w:szCs w:val="24"/>
        </w:rPr>
        <w:tab/>
        <w:t xml:space="preserve">The Commission has jurisdiction over the parties and subject matter of this proceeding.  66 Pa.C.S. § 2801 </w:t>
      </w:r>
      <w:r w:rsidRPr="00F7430C">
        <w:rPr>
          <w:i/>
          <w:sz w:val="24"/>
          <w:szCs w:val="24"/>
        </w:rPr>
        <w:t>et seq.</w:t>
      </w:r>
      <w:r w:rsidRPr="00F7430C">
        <w:rPr>
          <w:sz w:val="24"/>
          <w:szCs w:val="24"/>
        </w:rPr>
        <w:t>; 52 Pa.Code §§ 54.181-54.189.</w:t>
      </w:r>
    </w:p>
    <w:p w:rsidR="00BA008F" w:rsidRPr="00F7430C" w:rsidRDefault="00BA008F" w:rsidP="0098213D">
      <w:pPr>
        <w:spacing w:line="360" w:lineRule="auto"/>
        <w:rPr>
          <w:sz w:val="24"/>
          <w:szCs w:val="24"/>
        </w:rPr>
      </w:pPr>
    </w:p>
    <w:p w:rsidR="00BA008F" w:rsidRPr="00F7430C" w:rsidRDefault="00BA008F" w:rsidP="0098213D">
      <w:pPr>
        <w:spacing w:line="360" w:lineRule="auto"/>
        <w:jc w:val="both"/>
        <w:rPr>
          <w:sz w:val="24"/>
          <w:szCs w:val="24"/>
        </w:rPr>
      </w:pPr>
      <w:r w:rsidRPr="00F7430C">
        <w:rPr>
          <w:sz w:val="24"/>
          <w:szCs w:val="24"/>
        </w:rPr>
        <w:tab/>
      </w:r>
      <w:r w:rsidRPr="00F7430C">
        <w:rPr>
          <w:sz w:val="24"/>
          <w:szCs w:val="24"/>
        </w:rPr>
        <w:tab/>
        <w:t>2.</w:t>
      </w:r>
      <w:r w:rsidRPr="00F7430C">
        <w:rPr>
          <w:sz w:val="24"/>
          <w:szCs w:val="24"/>
        </w:rPr>
        <w:tab/>
        <w:t xml:space="preserve">To determine whether the parties’ settlement should be approved, one must decide whether the settlement promotes the public interest.  See </w:t>
      </w:r>
      <w:r w:rsidRPr="00F7430C">
        <w:rPr>
          <w:i/>
          <w:sz w:val="24"/>
          <w:szCs w:val="24"/>
        </w:rPr>
        <w:t>Pa. Pub. Util. Comm’n.</w:t>
      </w:r>
      <w:r w:rsidR="00BF2F94">
        <w:rPr>
          <w:i/>
          <w:sz w:val="24"/>
          <w:szCs w:val="24"/>
        </w:rPr>
        <w:t xml:space="preserve"> </w:t>
      </w:r>
      <w:r w:rsidRPr="00F7430C">
        <w:rPr>
          <w:i/>
          <w:sz w:val="24"/>
          <w:szCs w:val="24"/>
        </w:rPr>
        <w:t>v. York Water Co.</w:t>
      </w:r>
      <w:r w:rsidRPr="00F7430C">
        <w:rPr>
          <w:sz w:val="24"/>
          <w:szCs w:val="24"/>
        </w:rPr>
        <w:t xml:space="preserve">, Docket No. R-00049165 (Order entered October 4, 2004); </w:t>
      </w:r>
      <w:r w:rsidRPr="00F7430C">
        <w:rPr>
          <w:i/>
          <w:sz w:val="24"/>
          <w:szCs w:val="24"/>
        </w:rPr>
        <w:t>Pa. Pub. Util. Comm’n. v. C.S. Water &amp; Sewer Associates,</w:t>
      </w:r>
      <w:r w:rsidRPr="00F7430C">
        <w:rPr>
          <w:sz w:val="24"/>
          <w:szCs w:val="24"/>
        </w:rPr>
        <w:t xml:space="preserve"> 74 Pa. PUC 767 (1991); </w:t>
      </w:r>
      <w:r w:rsidRPr="00F7430C">
        <w:rPr>
          <w:i/>
          <w:sz w:val="24"/>
          <w:szCs w:val="24"/>
        </w:rPr>
        <w:t>Pa. Pub. Util. Comm’n. v. Philadelphia Electric Company,</w:t>
      </w:r>
      <w:r w:rsidRPr="00F7430C">
        <w:rPr>
          <w:sz w:val="24"/>
          <w:szCs w:val="24"/>
        </w:rPr>
        <w:t xml:space="preserve"> 60 Pa. PUC 1 (1985).  </w:t>
      </w:r>
    </w:p>
    <w:p w:rsidR="00BA240F" w:rsidRDefault="00BA240F">
      <w:pPr>
        <w:rPr>
          <w:sz w:val="24"/>
          <w:szCs w:val="24"/>
          <w:u w:val="single"/>
        </w:rPr>
      </w:pPr>
      <w:r>
        <w:rPr>
          <w:sz w:val="24"/>
          <w:szCs w:val="24"/>
          <w:u w:val="single"/>
        </w:rPr>
        <w:br w:type="page"/>
      </w:r>
    </w:p>
    <w:p w:rsidR="00BA008F" w:rsidRPr="00F7430C" w:rsidRDefault="00BA008F" w:rsidP="00BA008F">
      <w:pPr>
        <w:pStyle w:val="Heading1"/>
        <w:spacing w:line="360" w:lineRule="auto"/>
        <w:rPr>
          <w:sz w:val="24"/>
          <w:szCs w:val="24"/>
        </w:rPr>
      </w:pPr>
      <w:r w:rsidRPr="00F7430C">
        <w:rPr>
          <w:sz w:val="24"/>
          <w:szCs w:val="24"/>
        </w:rPr>
        <w:t>ORDER</w:t>
      </w:r>
    </w:p>
    <w:p w:rsidR="00BA008F" w:rsidRPr="00F7430C" w:rsidRDefault="00BA008F" w:rsidP="00BA008F">
      <w:pPr>
        <w:spacing w:line="360" w:lineRule="auto"/>
        <w:rPr>
          <w:sz w:val="24"/>
          <w:szCs w:val="24"/>
        </w:rPr>
      </w:pPr>
    </w:p>
    <w:p w:rsidR="00BA008F" w:rsidRPr="00F7430C" w:rsidRDefault="00BA008F" w:rsidP="00BA008F">
      <w:pPr>
        <w:spacing w:line="360" w:lineRule="auto"/>
        <w:ind w:left="720" w:firstLine="720"/>
        <w:rPr>
          <w:sz w:val="24"/>
          <w:szCs w:val="24"/>
        </w:rPr>
      </w:pPr>
      <w:r w:rsidRPr="00F7430C">
        <w:rPr>
          <w:sz w:val="24"/>
          <w:szCs w:val="24"/>
        </w:rPr>
        <w:t>THEREFORE,</w:t>
      </w:r>
    </w:p>
    <w:p w:rsidR="00BA008F" w:rsidRPr="00F7430C" w:rsidRDefault="00BA008F" w:rsidP="00BA008F">
      <w:pPr>
        <w:spacing w:line="360" w:lineRule="auto"/>
        <w:rPr>
          <w:sz w:val="24"/>
          <w:szCs w:val="24"/>
        </w:rPr>
      </w:pPr>
    </w:p>
    <w:p w:rsidR="00BA008F" w:rsidRPr="00F7430C" w:rsidRDefault="00BA008F" w:rsidP="00BA008F">
      <w:pPr>
        <w:spacing w:line="360" w:lineRule="auto"/>
        <w:rPr>
          <w:sz w:val="24"/>
          <w:szCs w:val="24"/>
        </w:rPr>
      </w:pPr>
      <w:r w:rsidRPr="00F7430C">
        <w:rPr>
          <w:sz w:val="24"/>
          <w:szCs w:val="24"/>
        </w:rPr>
        <w:tab/>
      </w:r>
      <w:r w:rsidRPr="00F7430C">
        <w:rPr>
          <w:sz w:val="24"/>
          <w:szCs w:val="24"/>
        </w:rPr>
        <w:tab/>
        <w:t>IT IS RECOMMENDED:</w:t>
      </w:r>
    </w:p>
    <w:p w:rsidR="00BA008F" w:rsidRPr="00F7430C" w:rsidRDefault="00BA008F" w:rsidP="00BA008F">
      <w:pPr>
        <w:spacing w:line="360" w:lineRule="auto"/>
        <w:rPr>
          <w:sz w:val="24"/>
          <w:szCs w:val="24"/>
        </w:rPr>
      </w:pPr>
    </w:p>
    <w:p w:rsidR="00BA008F" w:rsidRPr="00F7430C" w:rsidRDefault="00BA008F" w:rsidP="0098213D">
      <w:pPr>
        <w:tabs>
          <w:tab w:val="left" w:pos="720"/>
        </w:tabs>
        <w:spacing w:line="360" w:lineRule="auto"/>
        <w:rPr>
          <w:sz w:val="24"/>
          <w:szCs w:val="24"/>
        </w:rPr>
      </w:pPr>
      <w:r w:rsidRPr="00F7430C">
        <w:rPr>
          <w:sz w:val="24"/>
          <w:szCs w:val="24"/>
        </w:rPr>
        <w:tab/>
      </w:r>
      <w:r w:rsidRPr="00F7430C">
        <w:rPr>
          <w:sz w:val="24"/>
          <w:szCs w:val="24"/>
        </w:rPr>
        <w:tab/>
        <w:t>1.</w:t>
      </w:r>
      <w:r w:rsidRPr="00F7430C">
        <w:rPr>
          <w:sz w:val="24"/>
          <w:szCs w:val="24"/>
        </w:rPr>
        <w:tab/>
        <w:t xml:space="preserve">That the Joint Petition for Settlement filed in the matter captioned as PECO Energy Company </w:t>
      </w:r>
      <w:r w:rsidR="006630EE" w:rsidRPr="00F7430C">
        <w:rPr>
          <w:kern w:val="26"/>
          <w:sz w:val="24"/>
          <w:szCs w:val="24"/>
        </w:rPr>
        <w:t>Universal Service and Energy Conservation Plan</w:t>
      </w:r>
      <w:r w:rsidR="00291148" w:rsidRPr="00F7430C">
        <w:rPr>
          <w:kern w:val="26"/>
          <w:sz w:val="24"/>
          <w:szCs w:val="24"/>
        </w:rPr>
        <w:t xml:space="preserve"> </w:t>
      </w:r>
      <w:r w:rsidR="006630EE" w:rsidRPr="00F7430C">
        <w:rPr>
          <w:kern w:val="26"/>
          <w:sz w:val="24"/>
          <w:szCs w:val="24"/>
        </w:rPr>
        <w:t xml:space="preserve">for 2013-2015 Submitted in Compliance with 52 Pa.Code §§ 54.74 and 62.4 </w:t>
      </w:r>
      <w:r w:rsidRPr="00F7430C">
        <w:rPr>
          <w:sz w:val="24"/>
          <w:szCs w:val="24"/>
        </w:rPr>
        <w:t xml:space="preserve">at Docket Number </w:t>
      </w:r>
      <w:r w:rsidR="006630EE" w:rsidRPr="00F7430C">
        <w:rPr>
          <w:kern w:val="26"/>
          <w:sz w:val="24"/>
          <w:szCs w:val="24"/>
        </w:rPr>
        <w:t>M-2012-2290911</w:t>
      </w:r>
      <w:r w:rsidRPr="00F7430C">
        <w:rPr>
          <w:sz w:val="24"/>
          <w:szCs w:val="24"/>
        </w:rPr>
        <w:t xml:space="preserve"> is approved without modification.</w:t>
      </w:r>
    </w:p>
    <w:p w:rsidR="001C2DE2" w:rsidRDefault="001C2DE2" w:rsidP="0098213D">
      <w:pPr>
        <w:spacing w:line="360" w:lineRule="auto"/>
        <w:rPr>
          <w:sz w:val="24"/>
          <w:szCs w:val="24"/>
        </w:rPr>
      </w:pPr>
    </w:p>
    <w:p w:rsidR="00BA008F" w:rsidRPr="00F7430C" w:rsidRDefault="00BA008F" w:rsidP="0098213D">
      <w:pPr>
        <w:tabs>
          <w:tab w:val="left" w:pos="-720"/>
        </w:tabs>
        <w:suppressAutoHyphens/>
        <w:spacing w:line="360" w:lineRule="auto"/>
        <w:rPr>
          <w:spacing w:val="-3"/>
          <w:sz w:val="24"/>
          <w:szCs w:val="24"/>
        </w:rPr>
      </w:pPr>
      <w:r w:rsidRPr="00F7430C">
        <w:rPr>
          <w:spacing w:val="-3"/>
          <w:sz w:val="24"/>
          <w:szCs w:val="24"/>
        </w:rPr>
        <w:tab/>
      </w:r>
      <w:r w:rsidRPr="00F7430C">
        <w:rPr>
          <w:spacing w:val="-3"/>
          <w:sz w:val="24"/>
          <w:szCs w:val="24"/>
        </w:rPr>
        <w:tab/>
      </w:r>
      <w:r w:rsidR="00291148" w:rsidRPr="00F7430C">
        <w:rPr>
          <w:spacing w:val="-3"/>
          <w:sz w:val="24"/>
          <w:szCs w:val="24"/>
        </w:rPr>
        <w:t>2</w:t>
      </w:r>
      <w:r w:rsidRPr="00F7430C">
        <w:rPr>
          <w:spacing w:val="-3"/>
          <w:sz w:val="24"/>
          <w:szCs w:val="24"/>
        </w:rPr>
        <w:t>.</w:t>
      </w:r>
      <w:r w:rsidRPr="00F7430C">
        <w:rPr>
          <w:spacing w:val="-3"/>
          <w:sz w:val="24"/>
          <w:szCs w:val="24"/>
        </w:rPr>
        <w:tab/>
        <w:t xml:space="preserve">That the proceeding at Docket No. </w:t>
      </w:r>
      <w:r w:rsidR="00291148" w:rsidRPr="00F7430C">
        <w:rPr>
          <w:spacing w:val="-3"/>
          <w:sz w:val="24"/>
          <w:szCs w:val="24"/>
        </w:rPr>
        <w:t>M</w:t>
      </w:r>
      <w:r w:rsidRPr="00F7430C">
        <w:rPr>
          <w:sz w:val="24"/>
          <w:szCs w:val="24"/>
        </w:rPr>
        <w:t>-201</w:t>
      </w:r>
      <w:r w:rsidR="00291148" w:rsidRPr="00F7430C">
        <w:rPr>
          <w:sz w:val="24"/>
          <w:szCs w:val="24"/>
        </w:rPr>
        <w:t>2</w:t>
      </w:r>
      <w:r w:rsidRPr="00F7430C">
        <w:rPr>
          <w:sz w:val="24"/>
          <w:szCs w:val="24"/>
        </w:rPr>
        <w:t>-2</w:t>
      </w:r>
      <w:r w:rsidR="00291148" w:rsidRPr="00F7430C">
        <w:rPr>
          <w:sz w:val="24"/>
          <w:szCs w:val="24"/>
        </w:rPr>
        <w:t>2</w:t>
      </w:r>
      <w:r w:rsidRPr="00F7430C">
        <w:rPr>
          <w:sz w:val="24"/>
          <w:szCs w:val="24"/>
        </w:rPr>
        <w:t>9</w:t>
      </w:r>
      <w:r w:rsidR="00291148" w:rsidRPr="00F7430C">
        <w:rPr>
          <w:sz w:val="24"/>
          <w:szCs w:val="24"/>
        </w:rPr>
        <w:t>0911</w:t>
      </w:r>
      <w:r w:rsidRPr="00F7430C">
        <w:rPr>
          <w:spacing w:val="-3"/>
          <w:sz w:val="24"/>
          <w:szCs w:val="24"/>
        </w:rPr>
        <w:t xml:space="preserve"> be terminated and that the case be marked closed.</w:t>
      </w:r>
    </w:p>
    <w:p w:rsidR="00BA008F" w:rsidRPr="00F7430C" w:rsidRDefault="00BA008F" w:rsidP="00BA008F">
      <w:pPr>
        <w:tabs>
          <w:tab w:val="left" w:pos="-720"/>
        </w:tabs>
        <w:suppressAutoHyphens/>
        <w:rPr>
          <w:spacing w:val="-3"/>
          <w:sz w:val="24"/>
          <w:szCs w:val="24"/>
        </w:rPr>
      </w:pPr>
    </w:p>
    <w:p w:rsidR="00BA008F" w:rsidRPr="00F7430C" w:rsidRDefault="00BA008F" w:rsidP="00BA008F">
      <w:pPr>
        <w:tabs>
          <w:tab w:val="left" w:pos="-720"/>
        </w:tabs>
        <w:suppressAutoHyphens/>
        <w:rPr>
          <w:spacing w:val="-3"/>
          <w:sz w:val="24"/>
          <w:szCs w:val="24"/>
        </w:rPr>
      </w:pPr>
    </w:p>
    <w:p w:rsidR="00291148" w:rsidRPr="00F7430C" w:rsidRDefault="00291148" w:rsidP="00BA008F">
      <w:pPr>
        <w:tabs>
          <w:tab w:val="left" w:pos="-720"/>
        </w:tabs>
        <w:suppressAutoHyphens/>
        <w:rPr>
          <w:spacing w:val="-3"/>
          <w:sz w:val="24"/>
          <w:szCs w:val="24"/>
        </w:rPr>
      </w:pPr>
    </w:p>
    <w:p w:rsidR="00BA008F" w:rsidRPr="00F7430C" w:rsidRDefault="00BA008F" w:rsidP="00BA008F">
      <w:pPr>
        <w:tabs>
          <w:tab w:val="left" w:pos="-720"/>
        </w:tabs>
        <w:suppressAutoHyphens/>
        <w:rPr>
          <w:spacing w:val="-3"/>
          <w:sz w:val="24"/>
          <w:szCs w:val="24"/>
          <w:u w:val="single"/>
        </w:rPr>
      </w:pPr>
      <w:r w:rsidRPr="00F7430C">
        <w:rPr>
          <w:spacing w:val="-3"/>
          <w:sz w:val="24"/>
          <w:szCs w:val="24"/>
        </w:rPr>
        <w:t>Date:</w:t>
      </w:r>
      <w:r w:rsidRPr="00F7430C">
        <w:rPr>
          <w:spacing w:val="-3"/>
          <w:sz w:val="24"/>
          <w:szCs w:val="24"/>
        </w:rPr>
        <w:tab/>
      </w:r>
      <w:r w:rsidRPr="00F7430C">
        <w:rPr>
          <w:spacing w:val="-3"/>
          <w:sz w:val="24"/>
          <w:szCs w:val="24"/>
          <w:u w:val="single"/>
        </w:rPr>
        <w:t>June 1</w:t>
      </w:r>
      <w:r w:rsidR="001C2DE2">
        <w:rPr>
          <w:spacing w:val="-3"/>
          <w:sz w:val="24"/>
          <w:szCs w:val="24"/>
          <w:u w:val="single"/>
        </w:rPr>
        <w:t>1</w:t>
      </w:r>
      <w:r w:rsidRPr="00F7430C">
        <w:rPr>
          <w:spacing w:val="-3"/>
          <w:sz w:val="24"/>
          <w:szCs w:val="24"/>
          <w:u w:val="single"/>
        </w:rPr>
        <w:t>, 2015</w:t>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u w:val="single"/>
        </w:rPr>
        <w:tab/>
        <w:t>/s/</w:t>
      </w:r>
      <w:r w:rsidRPr="00F7430C">
        <w:rPr>
          <w:spacing w:val="-3"/>
          <w:sz w:val="24"/>
          <w:szCs w:val="24"/>
          <w:u w:val="single"/>
        </w:rPr>
        <w:tab/>
      </w:r>
      <w:r w:rsidRPr="00F7430C">
        <w:rPr>
          <w:spacing w:val="-3"/>
          <w:sz w:val="24"/>
          <w:szCs w:val="24"/>
          <w:u w:val="single"/>
        </w:rPr>
        <w:tab/>
      </w:r>
      <w:r w:rsidRPr="00F7430C">
        <w:rPr>
          <w:spacing w:val="-3"/>
          <w:sz w:val="24"/>
          <w:szCs w:val="24"/>
          <w:u w:val="single"/>
        </w:rPr>
        <w:tab/>
      </w:r>
      <w:r w:rsidRPr="00F7430C">
        <w:rPr>
          <w:spacing w:val="-3"/>
          <w:sz w:val="24"/>
          <w:szCs w:val="24"/>
          <w:u w:val="single"/>
        </w:rPr>
        <w:tab/>
      </w:r>
      <w:r w:rsidRPr="00F7430C">
        <w:rPr>
          <w:spacing w:val="-3"/>
          <w:sz w:val="24"/>
          <w:szCs w:val="24"/>
          <w:u w:val="single"/>
        </w:rPr>
        <w:tab/>
      </w:r>
    </w:p>
    <w:p w:rsidR="00BA008F" w:rsidRPr="00F7430C" w:rsidRDefault="00BA008F" w:rsidP="00BA008F">
      <w:pPr>
        <w:tabs>
          <w:tab w:val="left" w:pos="-720"/>
        </w:tabs>
        <w:suppressAutoHyphens/>
        <w:rPr>
          <w:spacing w:val="-3"/>
          <w:sz w:val="24"/>
          <w:szCs w:val="24"/>
        </w:rPr>
      </w:pP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t>Cynthia Williams Fordham</w:t>
      </w:r>
    </w:p>
    <w:p w:rsidR="00BA008F" w:rsidRPr="00F7430C" w:rsidRDefault="00BA008F" w:rsidP="00BA008F">
      <w:pPr>
        <w:tabs>
          <w:tab w:val="left" w:pos="-720"/>
        </w:tabs>
        <w:suppressAutoHyphens/>
        <w:rPr>
          <w:spacing w:val="-3"/>
          <w:sz w:val="24"/>
          <w:szCs w:val="24"/>
        </w:rPr>
      </w:pP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r>
      <w:r w:rsidRPr="00F7430C">
        <w:rPr>
          <w:spacing w:val="-3"/>
          <w:sz w:val="24"/>
          <w:szCs w:val="24"/>
        </w:rPr>
        <w:tab/>
        <w:t>Administrative Law Judge</w:t>
      </w:r>
    </w:p>
    <w:p w:rsidR="00BA008F" w:rsidRPr="00F7430C" w:rsidRDefault="00BA008F" w:rsidP="00BA008F">
      <w:pPr>
        <w:spacing w:line="360" w:lineRule="auto"/>
        <w:rPr>
          <w:sz w:val="24"/>
          <w:szCs w:val="24"/>
        </w:rPr>
      </w:pPr>
    </w:p>
    <w:p w:rsidR="00BA008F" w:rsidRPr="00F7430C" w:rsidRDefault="00BA008F" w:rsidP="00875AA6">
      <w:pPr>
        <w:pStyle w:val="BodyText"/>
        <w:tabs>
          <w:tab w:val="clear" w:pos="1980"/>
          <w:tab w:val="left" w:pos="-720"/>
        </w:tabs>
        <w:suppressAutoHyphens/>
        <w:spacing w:line="360" w:lineRule="auto"/>
        <w:jc w:val="center"/>
        <w:rPr>
          <w:rFonts w:ascii="Times New Roman" w:hAnsi="Times New Roman"/>
          <w:sz w:val="24"/>
          <w:szCs w:val="24"/>
          <w:u w:val="single"/>
        </w:rPr>
      </w:pPr>
    </w:p>
    <w:sectPr w:rsidR="00BA008F" w:rsidRPr="00F7430C" w:rsidSect="00EF4A09">
      <w:footerReference w:type="default" r:id="rId9"/>
      <w:pgSz w:w="12240" w:h="15840" w:code="1"/>
      <w:pgMar w:top="1440" w:right="1440" w:bottom="1440" w:left="1440"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7E" w:rsidRDefault="004D347E">
      <w:r>
        <w:separator/>
      </w:r>
    </w:p>
  </w:endnote>
  <w:endnote w:type="continuationSeparator" w:id="0">
    <w:p w:rsidR="004D347E" w:rsidRDefault="004D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866331"/>
      <w:docPartObj>
        <w:docPartGallery w:val="Page Numbers (Bottom of Page)"/>
        <w:docPartUnique/>
      </w:docPartObj>
    </w:sdtPr>
    <w:sdtEndPr>
      <w:rPr>
        <w:noProof/>
        <w:sz w:val="20"/>
      </w:rPr>
    </w:sdtEndPr>
    <w:sdtContent>
      <w:p w:rsidR="00957D4D" w:rsidRPr="00EF4A09" w:rsidRDefault="00957D4D">
        <w:pPr>
          <w:pStyle w:val="Footer"/>
          <w:jc w:val="center"/>
          <w:rPr>
            <w:sz w:val="20"/>
          </w:rPr>
        </w:pPr>
        <w:r w:rsidRPr="00EF4A09">
          <w:rPr>
            <w:sz w:val="20"/>
          </w:rPr>
          <w:fldChar w:fldCharType="begin"/>
        </w:r>
        <w:r w:rsidRPr="00EF4A09">
          <w:rPr>
            <w:sz w:val="20"/>
          </w:rPr>
          <w:instrText xml:space="preserve"> PAGE   \* MERGEFORMAT </w:instrText>
        </w:r>
        <w:r w:rsidRPr="00EF4A09">
          <w:rPr>
            <w:sz w:val="20"/>
          </w:rPr>
          <w:fldChar w:fldCharType="separate"/>
        </w:r>
        <w:r w:rsidR="004D347E">
          <w:rPr>
            <w:noProof/>
            <w:sz w:val="20"/>
          </w:rPr>
          <w:t>1</w:t>
        </w:r>
        <w:r w:rsidRPr="00EF4A0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7E" w:rsidRDefault="004D347E">
      <w:r>
        <w:separator/>
      </w:r>
    </w:p>
  </w:footnote>
  <w:footnote w:type="continuationSeparator" w:id="0">
    <w:p w:rsidR="004D347E" w:rsidRPr="00B63DDB" w:rsidRDefault="004D347E">
      <w:pPr>
        <w:rPr>
          <w:sz w:val="20"/>
        </w:rPr>
      </w:pPr>
      <w:r w:rsidRPr="00B63DDB">
        <w:rPr>
          <w:sz w:val="20"/>
        </w:rPr>
        <w:continuationSeparator/>
      </w:r>
    </w:p>
  </w:footnote>
  <w:footnote w:id="1">
    <w:p w:rsidR="00C15633" w:rsidRDefault="00C15633" w:rsidP="00C15633">
      <w:pPr>
        <w:rPr>
          <w:sz w:val="20"/>
        </w:rPr>
      </w:pPr>
      <w:r>
        <w:rPr>
          <w:rStyle w:val="FootnoteReference"/>
        </w:rPr>
        <w:footnoteRef/>
      </w:r>
      <w:r>
        <w:t xml:space="preserve"> </w:t>
      </w:r>
      <w:r>
        <w:tab/>
      </w:r>
      <w:r>
        <w:rPr>
          <w:sz w:val="20"/>
        </w:rPr>
        <w:t>The Applied Public Policy Research Institute for Study and Evaluation (“APPRISE”) October 2012 PECO Energy Universal Services Program Final Evaluation Report</w:t>
      </w:r>
      <w:r w:rsidR="00841BF7">
        <w:rPr>
          <w:sz w:val="20"/>
        </w:rPr>
        <w:t>.</w:t>
      </w:r>
    </w:p>
    <w:p w:rsidR="00C15633" w:rsidRDefault="00C15633">
      <w:pPr>
        <w:pStyle w:val="FootnoteText"/>
      </w:pPr>
    </w:p>
  </w:footnote>
  <w:footnote w:id="2">
    <w:p w:rsidR="00957D4D" w:rsidRPr="00B63DDB" w:rsidRDefault="00957D4D" w:rsidP="00E46750">
      <w:pPr>
        <w:pStyle w:val="FootnoteText"/>
        <w:rPr>
          <w:rFonts w:cstheme="minorBidi"/>
          <w:sz w:val="20"/>
        </w:rPr>
      </w:pPr>
      <w:r w:rsidRPr="00B63DDB">
        <w:rPr>
          <w:rStyle w:val="FootnoteReference"/>
          <w:sz w:val="20"/>
        </w:rPr>
        <w:footnoteRef/>
      </w:r>
      <w:r w:rsidRPr="00B63DDB">
        <w:rPr>
          <w:sz w:val="20"/>
        </w:rPr>
        <w:t xml:space="preserve"> </w:t>
      </w:r>
      <w:r w:rsidRPr="00B63DDB">
        <w:rPr>
          <w:sz w:val="20"/>
        </w:rPr>
        <w:tab/>
        <w:t>Because of the quarterly recalculations discussed in Step 6 below, these pro forma calculations will start to be replaced by data on the customer’s actual usage three months after the pro forma calculation is done.</w:t>
      </w:r>
    </w:p>
    <w:p w:rsidR="00957D4D" w:rsidRDefault="00957D4D" w:rsidP="00E54E16">
      <w:pPr>
        <w:pStyle w:val="FootnoteText"/>
        <w:rPr>
          <w:sz w:val="22"/>
        </w:rPr>
      </w:pPr>
    </w:p>
  </w:footnote>
  <w:footnote w:id="3">
    <w:p w:rsidR="00957D4D" w:rsidRPr="00E46750" w:rsidRDefault="00957D4D" w:rsidP="00E54E16">
      <w:pPr>
        <w:pStyle w:val="FootnoteText"/>
        <w:rPr>
          <w:sz w:val="20"/>
        </w:rPr>
      </w:pPr>
      <w:r w:rsidRPr="00E46750">
        <w:rPr>
          <w:rStyle w:val="FootnoteReference"/>
          <w:sz w:val="20"/>
        </w:rPr>
        <w:footnoteRef/>
      </w:r>
      <w:r>
        <w:rPr>
          <w:sz w:val="20"/>
        </w:rPr>
        <w:tab/>
      </w:r>
      <w:r w:rsidRPr="00E46750">
        <w:rPr>
          <w:sz w:val="20"/>
        </w:rPr>
        <w:t>A customer’s Federal Poverty Level percentage will be determined by reference to the then-current version of the Federal Poverty Guidelines published by the Federal Department of Health and Human Services.</w:t>
      </w:r>
    </w:p>
  </w:footnote>
  <w:footnote w:id="4">
    <w:p w:rsidR="00957D4D" w:rsidRPr="00310DDF" w:rsidRDefault="00957D4D" w:rsidP="00E54E16">
      <w:pPr>
        <w:pStyle w:val="NormalWeb"/>
        <w:rPr>
          <w:sz w:val="22"/>
        </w:rPr>
      </w:pPr>
      <w:r w:rsidRPr="00E46750">
        <w:rPr>
          <w:rStyle w:val="FootnoteReference"/>
          <w:rFonts w:asciiTheme="minorHAnsi" w:hAnsiTheme="minorHAnsi"/>
          <w:sz w:val="20"/>
          <w:szCs w:val="20"/>
        </w:rPr>
        <w:footnoteRef/>
      </w:r>
      <w:r w:rsidRPr="00E46750">
        <w:rPr>
          <w:rFonts w:asciiTheme="minorHAnsi" w:hAnsiTheme="minorHAnsi"/>
          <w:sz w:val="20"/>
          <w:szCs w:val="20"/>
        </w:rPr>
        <w:t xml:space="preserve"> </w:t>
      </w:r>
      <w:r>
        <w:rPr>
          <w:rFonts w:asciiTheme="minorHAnsi" w:hAnsiTheme="minorHAnsi"/>
          <w:sz w:val="20"/>
          <w:szCs w:val="20"/>
        </w:rPr>
        <w:tab/>
      </w:r>
      <w:r w:rsidRPr="00E46750">
        <w:rPr>
          <w:sz w:val="20"/>
          <w:szCs w:val="20"/>
        </w:rPr>
        <w:t>The table is based upon the ranges found at 52 Pa.Code §69.265 (2)(i)(A).  In each case, the energy burden listed in the table is the maximum allowable energy burden for that poverty level.  If the Commission changes the energy burden ranges set forth in its Policy Statement, PECO will utilize the new maximum allowable energy burden for each poverty level</w:t>
      </w:r>
      <w:r w:rsidRPr="00310DDF">
        <w:rPr>
          <w:sz w:val="22"/>
        </w:rPr>
        <w:t>.   </w:t>
      </w:r>
    </w:p>
  </w:footnote>
  <w:footnote w:id="5">
    <w:p w:rsidR="00957D4D" w:rsidRPr="00E46750" w:rsidRDefault="00957D4D" w:rsidP="00E54E16">
      <w:pPr>
        <w:pStyle w:val="FootnoteText"/>
        <w:rPr>
          <w:rFonts w:asciiTheme="minorHAnsi" w:hAnsiTheme="minorHAnsi"/>
          <w:sz w:val="20"/>
        </w:rPr>
      </w:pPr>
      <w:r>
        <w:rPr>
          <w:rStyle w:val="FootnoteReference"/>
          <w:sz w:val="22"/>
        </w:rPr>
        <w:footnoteRef/>
      </w:r>
      <w:r>
        <w:rPr>
          <w:sz w:val="22"/>
        </w:rPr>
        <w:t xml:space="preserve"> </w:t>
      </w:r>
      <w:r>
        <w:rPr>
          <w:sz w:val="22"/>
        </w:rPr>
        <w:tab/>
      </w:r>
      <w:r w:rsidRPr="00E46750">
        <w:rPr>
          <w:sz w:val="20"/>
        </w:rPr>
        <w:t xml:space="preserve">Applies to PECO Rate R customers who use a non-PECO heating fuel </w:t>
      </w:r>
      <w:r>
        <w:rPr>
          <w:sz w:val="20"/>
        </w:rPr>
        <w:t xml:space="preserve">source, including PGW, propane, </w:t>
      </w:r>
      <w:r w:rsidRPr="00E46750">
        <w:rPr>
          <w:sz w:val="20"/>
        </w:rPr>
        <w:t>and oil.</w:t>
      </w:r>
    </w:p>
    <w:p w:rsidR="00957D4D" w:rsidRPr="00E46750" w:rsidRDefault="00957D4D" w:rsidP="00E54E16">
      <w:pPr>
        <w:pStyle w:val="FootnoteText"/>
        <w:rPr>
          <w:sz w:val="20"/>
        </w:rPr>
      </w:pPr>
    </w:p>
  </w:footnote>
  <w:footnote w:id="6">
    <w:p w:rsidR="00957D4D" w:rsidRPr="00E46750" w:rsidRDefault="00957D4D" w:rsidP="00E54E16">
      <w:pPr>
        <w:pStyle w:val="FootnoteText"/>
        <w:rPr>
          <w:sz w:val="20"/>
        </w:rPr>
      </w:pPr>
      <w:r w:rsidRPr="00E46750">
        <w:rPr>
          <w:rStyle w:val="FootnoteReference"/>
          <w:sz w:val="20"/>
        </w:rPr>
        <w:footnoteRef/>
      </w:r>
      <w:r w:rsidRPr="00E46750">
        <w:rPr>
          <w:sz w:val="20"/>
        </w:rPr>
        <w:t xml:space="preserve"> </w:t>
      </w:r>
      <w:r w:rsidRPr="00E46750">
        <w:rPr>
          <w:sz w:val="20"/>
        </w:rPr>
        <w:tab/>
        <w:t>Applies to PECO Rate RH customers.</w:t>
      </w:r>
    </w:p>
    <w:p w:rsidR="00957D4D" w:rsidRPr="00E46750" w:rsidRDefault="00957D4D" w:rsidP="00E54E16">
      <w:pPr>
        <w:pStyle w:val="FootnoteText"/>
        <w:rPr>
          <w:sz w:val="20"/>
        </w:rPr>
      </w:pPr>
    </w:p>
  </w:footnote>
  <w:footnote w:id="7">
    <w:p w:rsidR="00957D4D" w:rsidRPr="00E46750" w:rsidRDefault="00957D4D" w:rsidP="00E54E16">
      <w:pPr>
        <w:pStyle w:val="FootnoteText"/>
        <w:rPr>
          <w:sz w:val="20"/>
        </w:rPr>
      </w:pPr>
      <w:r w:rsidRPr="00E46750">
        <w:rPr>
          <w:rStyle w:val="FootnoteReference"/>
          <w:sz w:val="20"/>
        </w:rPr>
        <w:footnoteRef/>
      </w:r>
      <w:r w:rsidRPr="00E46750">
        <w:rPr>
          <w:sz w:val="20"/>
        </w:rPr>
        <w:t xml:space="preserve"> </w:t>
      </w:r>
      <w:r w:rsidRPr="00E46750">
        <w:rPr>
          <w:sz w:val="20"/>
        </w:rPr>
        <w:tab/>
        <w:t xml:space="preserve">Applies to PECO dual commodity customers.  </w:t>
      </w:r>
    </w:p>
  </w:footnote>
  <w:footnote w:id="8">
    <w:p w:rsidR="00957D4D" w:rsidRPr="00E46750" w:rsidRDefault="00957D4D" w:rsidP="00E54E16">
      <w:pPr>
        <w:pStyle w:val="FootnoteText"/>
        <w:rPr>
          <w:sz w:val="20"/>
        </w:rPr>
      </w:pPr>
      <w:r w:rsidRPr="00E46750">
        <w:rPr>
          <w:rStyle w:val="FootnoteReference"/>
          <w:sz w:val="20"/>
        </w:rPr>
        <w:footnoteRef/>
      </w:r>
      <w:r w:rsidRPr="00E46750">
        <w:rPr>
          <w:sz w:val="20"/>
        </w:rPr>
        <w:t xml:space="preserve"> </w:t>
      </w:r>
      <w:r w:rsidRPr="00E46750">
        <w:rPr>
          <w:sz w:val="20"/>
        </w:rPr>
        <w:tab/>
        <w:t xml:space="preserve">The maximum Annual Credit was calculated to provide bills within Commission energy burden guidelines to approximately 93% of Rate R customers (including dual fuel customers), and approximately 96% of Rate RH customers.  In addition, application of the Commission-required minimum monthly bills ($12 for Rate R; $30 for Rate RH) results in bills above Commission energy burden guidelines for approximately 6% of PECO’s CAP customers overall.  The combination of those two effects will result in 12% of PECO’s Rate R, and 10% for PECO’s Rate RH, with bills exceeding Commission energy burden guidelines, assuming a normal weather year.  </w:t>
      </w:r>
    </w:p>
    <w:p w:rsidR="00957D4D" w:rsidRDefault="00957D4D" w:rsidP="00E54E16">
      <w:pPr>
        <w:pStyle w:val="FootnoteText"/>
        <w:rPr>
          <w:sz w:val="22"/>
          <w:szCs w:val="22"/>
        </w:rPr>
      </w:pPr>
    </w:p>
    <w:p w:rsidR="00957D4D" w:rsidRPr="00E46750" w:rsidRDefault="00957D4D" w:rsidP="00E54E16">
      <w:pPr>
        <w:pStyle w:val="FootnoteText"/>
        <w:rPr>
          <w:sz w:val="20"/>
        </w:rPr>
      </w:pPr>
      <w:r w:rsidRPr="00E46750">
        <w:rPr>
          <w:sz w:val="20"/>
        </w:rPr>
        <w:t>The maximum Annual Credit levels set forth above will remain at these levels for four years after the program is implemented in October 2016.  After four years, PECO will confer with the other signatories to determine whether there is a consensus new maximum Annual Credit level.  If so, PECO will adopt that new level in its next-filed Three-Year Plan.  If no consensus is reached, PECO may propose a new maximum Annual Credit level in its next-filed Three-Year Plan.</w:t>
      </w:r>
    </w:p>
    <w:p w:rsidR="00957D4D" w:rsidRPr="00E46750" w:rsidRDefault="00957D4D" w:rsidP="00E54E16">
      <w:pPr>
        <w:pStyle w:val="FootnoteText"/>
        <w:rPr>
          <w:sz w:val="20"/>
        </w:rPr>
      </w:pPr>
    </w:p>
    <w:p w:rsidR="00957D4D" w:rsidRPr="00E46750" w:rsidRDefault="00957D4D" w:rsidP="00E54E16">
      <w:pPr>
        <w:pStyle w:val="FootnoteText"/>
        <w:rPr>
          <w:sz w:val="20"/>
        </w:rPr>
      </w:pPr>
      <w:r w:rsidRPr="00E46750">
        <w:rPr>
          <w:sz w:val="20"/>
        </w:rPr>
        <w:t>The maximum Annual Credits set forth in the table have been determined in an effort to reduce the number of CAP customers whose bills exceed commission energy burden guidelines. The Commission has previously granted PECO permission to apply maximum annual credits on a system-wide average, rather than as an individual customer limit.  This settlement continues that practice.  See also section A3 (Cost Containment) below.</w:t>
      </w:r>
    </w:p>
    <w:p w:rsidR="00957D4D" w:rsidRDefault="00957D4D" w:rsidP="00E54E16">
      <w:pPr>
        <w:pStyle w:val="FootnoteText"/>
        <w:rPr>
          <w:sz w:val="22"/>
        </w:rPr>
      </w:pPr>
    </w:p>
  </w:footnote>
  <w:footnote w:id="9">
    <w:p w:rsidR="00957D4D" w:rsidRPr="00B63DDB" w:rsidRDefault="00957D4D" w:rsidP="00E54E16">
      <w:pPr>
        <w:pStyle w:val="FootnoteText"/>
        <w:rPr>
          <w:sz w:val="20"/>
        </w:rPr>
      </w:pPr>
      <w:r w:rsidRPr="00B63DDB">
        <w:rPr>
          <w:rStyle w:val="FootnoteReference"/>
          <w:sz w:val="20"/>
        </w:rPr>
        <w:footnoteRef/>
      </w:r>
      <w:r w:rsidRPr="00B63DDB">
        <w:rPr>
          <w:sz w:val="20"/>
        </w:rPr>
        <w:t xml:space="preserve"> </w:t>
      </w:r>
      <w:r w:rsidRPr="00B63DDB">
        <w:rPr>
          <w:sz w:val="20"/>
        </w:rPr>
        <w:tab/>
        <w:t xml:space="preserve">If PECO is granted an electric base rate increase, the maximum allowable credits will be increased by a percentage equal to the system-wide residential distribution rate increase, applied to the portion of the Maximum Credit that is attributable to distribution rates. </w:t>
      </w:r>
    </w:p>
    <w:p w:rsidR="00957D4D" w:rsidRPr="00B63DDB" w:rsidRDefault="00957D4D" w:rsidP="00E54E16">
      <w:pPr>
        <w:pStyle w:val="FootnoteText"/>
        <w:rPr>
          <w:sz w:val="20"/>
        </w:rPr>
      </w:pPr>
      <w:r w:rsidRPr="00B63DDB">
        <w:rPr>
          <w:sz w:val="20"/>
        </w:rPr>
        <w:t xml:space="preserve"> </w:t>
      </w:r>
    </w:p>
  </w:footnote>
  <w:footnote w:id="10">
    <w:p w:rsidR="00957D4D" w:rsidRPr="00B63DDB" w:rsidRDefault="00957D4D" w:rsidP="00E54E16">
      <w:pPr>
        <w:pStyle w:val="FootnoteText"/>
        <w:rPr>
          <w:sz w:val="20"/>
        </w:rPr>
      </w:pPr>
      <w:r w:rsidRPr="00B63DDB">
        <w:rPr>
          <w:rStyle w:val="FootnoteReference"/>
          <w:sz w:val="20"/>
        </w:rPr>
        <w:footnoteRef/>
      </w:r>
      <w:r w:rsidRPr="00B63DDB">
        <w:rPr>
          <w:sz w:val="20"/>
        </w:rPr>
        <w:t xml:space="preserve"> </w:t>
      </w:r>
      <w:r w:rsidRPr="00B63DDB">
        <w:rPr>
          <w:sz w:val="20"/>
        </w:rPr>
        <w:tab/>
        <w:t xml:space="preserve">If PECO is granted an electric base rate increase, the maximum allowable credits will be increased by a percentage equal to the system-wide residential heating distribution rate increase, applied to the portion of the Maximum Credit that is attributable to distribution rates. </w:t>
      </w:r>
    </w:p>
    <w:p w:rsidR="00957D4D" w:rsidRPr="00B63DDB" w:rsidRDefault="00957D4D" w:rsidP="00E54E16">
      <w:pPr>
        <w:pStyle w:val="FootnoteText"/>
        <w:rPr>
          <w:sz w:val="20"/>
        </w:rPr>
      </w:pPr>
      <w:r w:rsidRPr="00B63DDB">
        <w:rPr>
          <w:sz w:val="20"/>
        </w:rPr>
        <w:t xml:space="preserve"> </w:t>
      </w:r>
    </w:p>
  </w:footnote>
  <w:footnote w:id="11">
    <w:p w:rsidR="00957D4D" w:rsidRPr="00B63DDB" w:rsidRDefault="00957D4D" w:rsidP="00E54E16">
      <w:pPr>
        <w:pStyle w:val="FootnoteText"/>
        <w:rPr>
          <w:sz w:val="20"/>
        </w:rPr>
      </w:pPr>
      <w:r w:rsidRPr="00B63DDB">
        <w:rPr>
          <w:rStyle w:val="FootnoteReference"/>
          <w:sz w:val="20"/>
        </w:rPr>
        <w:footnoteRef/>
      </w:r>
      <w:r w:rsidRPr="00B63DDB">
        <w:rPr>
          <w:sz w:val="20"/>
        </w:rPr>
        <w:t xml:space="preserve"> </w:t>
      </w:r>
      <w:r w:rsidRPr="00B63DDB">
        <w:rPr>
          <w:sz w:val="20"/>
        </w:rPr>
        <w:tab/>
        <w:t xml:space="preserve">If PECO is granted a gas base rate increase, the maximum allowable credits will be increased by a percentage equal to the system-wide residential distribution rate increase, applied to the portion of the Maximum Credit that is attributable to distribution rates. </w:t>
      </w:r>
    </w:p>
    <w:p w:rsidR="00957D4D" w:rsidRPr="00B63DDB" w:rsidRDefault="00957D4D" w:rsidP="00E54E16">
      <w:pPr>
        <w:pStyle w:val="FootnoteText"/>
        <w:rPr>
          <w:sz w:val="20"/>
        </w:rPr>
      </w:pPr>
      <w:r w:rsidRPr="00B63DDB">
        <w:rPr>
          <w:sz w:val="20"/>
        </w:rPr>
        <w:t xml:space="preserve"> </w:t>
      </w:r>
    </w:p>
  </w:footnote>
  <w:footnote w:id="12">
    <w:p w:rsidR="00957D4D" w:rsidRPr="00B63DDB" w:rsidRDefault="00957D4D" w:rsidP="00E54E16">
      <w:pPr>
        <w:pStyle w:val="FootnoteText"/>
        <w:rPr>
          <w:sz w:val="20"/>
        </w:rPr>
      </w:pPr>
      <w:r w:rsidRPr="00B63DDB">
        <w:rPr>
          <w:rStyle w:val="FootnoteReference"/>
          <w:sz w:val="20"/>
        </w:rPr>
        <w:footnoteRef/>
      </w:r>
      <w:r w:rsidRPr="00B63DDB">
        <w:rPr>
          <w:sz w:val="20"/>
        </w:rPr>
        <w:t xml:space="preserve"> </w:t>
      </w:r>
      <w:r w:rsidRPr="00B63DDB">
        <w:rPr>
          <w:sz w:val="20"/>
        </w:rPr>
        <w:tab/>
        <w:t>This continues PECO’s current gas CAP program policy.</w:t>
      </w:r>
    </w:p>
    <w:p w:rsidR="00957D4D" w:rsidRPr="00B63DDB" w:rsidRDefault="00957D4D" w:rsidP="00E54E16">
      <w:pPr>
        <w:pStyle w:val="FootnoteText"/>
        <w:rPr>
          <w:sz w:val="20"/>
        </w:rPr>
      </w:pPr>
    </w:p>
  </w:footnote>
  <w:footnote w:id="13">
    <w:p w:rsidR="00957D4D" w:rsidRPr="00B63DDB" w:rsidRDefault="00957D4D" w:rsidP="00E54E16">
      <w:pPr>
        <w:pStyle w:val="FootnoteText"/>
        <w:rPr>
          <w:sz w:val="20"/>
        </w:rPr>
      </w:pPr>
      <w:r w:rsidRPr="00B63DDB">
        <w:rPr>
          <w:rStyle w:val="FootnoteReference"/>
          <w:sz w:val="20"/>
        </w:rPr>
        <w:footnoteRef/>
      </w:r>
      <w:r w:rsidRPr="00B63DDB">
        <w:rPr>
          <w:sz w:val="20"/>
        </w:rPr>
        <w:t xml:space="preserve"> </w:t>
      </w:r>
      <w:r w:rsidRPr="00B63DDB">
        <w:rPr>
          <w:sz w:val="20"/>
        </w:rPr>
        <w:tab/>
        <w:t>PECO may adjust these percentages to reflect the most current data available to it at any given time.  However, any such adjustments will affect only the distribution of the Annual Credit to bills, not the amount of the Annual Credit.</w:t>
      </w:r>
    </w:p>
  </w:footnote>
  <w:footnote w:id="14">
    <w:p w:rsidR="00957D4D" w:rsidRPr="00B63DDB" w:rsidRDefault="00957D4D" w:rsidP="00B63DDB">
      <w:pPr>
        <w:pStyle w:val="ListParagraph"/>
        <w:ind w:left="0"/>
        <w:rPr>
          <w:rFonts w:cstheme="minorHAnsi"/>
          <w:sz w:val="20"/>
          <w:u w:val="single"/>
        </w:rPr>
      </w:pPr>
      <w:r w:rsidRPr="00B63DDB">
        <w:rPr>
          <w:rStyle w:val="FootnoteReference"/>
          <w:sz w:val="20"/>
        </w:rPr>
        <w:footnoteRef/>
      </w:r>
      <w:r w:rsidRPr="00B63DDB">
        <w:rPr>
          <w:sz w:val="20"/>
        </w:rPr>
        <w:t xml:space="preserve"> </w:t>
      </w:r>
      <w:r w:rsidRPr="00B63DDB">
        <w:rPr>
          <w:sz w:val="20"/>
        </w:rPr>
        <w:tab/>
      </w:r>
      <w:r w:rsidRPr="00B63DDB">
        <w:rPr>
          <w:rFonts w:cstheme="minorHAnsi"/>
          <w:sz w:val="20"/>
          <w:u w:val="single"/>
        </w:rPr>
        <w:t>The maximum total program cost changes with inflation and number of CAP participants.</w:t>
      </w:r>
    </w:p>
  </w:footnote>
  <w:footnote w:id="15">
    <w:p w:rsidR="00957D4D" w:rsidRPr="00504642" w:rsidRDefault="00957D4D" w:rsidP="00E54E16">
      <w:pPr>
        <w:pStyle w:val="FootnoteText"/>
        <w:rPr>
          <w:sz w:val="20"/>
        </w:rPr>
      </w:pPr>
      <w:r w:rsidRPr="00504642">
        <w:rPr>
          <w:rStyle w:val="FootnoteReference"/>
          <w:sz w:val="20"/>
        </w:rPr>
        <w:footnoteRef/>
      </w:r>
      <w:r w:rsidRPr="00504642">
        <w:rPr>
          <w:sz w:val="20"/>
        </w:rPr>
        <w:t xml:space="preserve"> </w:t>
      </w:r>
      <w:r>
        <w:rPr>
          <w:sz w:val="20"/>
        </w:rPr>
        <w:tab/>
      </w:r>
      <w:r w:rsidRPr="00504642">
        <w:rPr>
          <w:sz w:val="20"/>
        </w:rPr>
        <w:t xml:space="preserve">Many of the noted customers were previously offered LIURP services, and have either received or rejected those services.  However, at that time, the de facto heating pilot was not available.  LIURP services that include the de facto heating pilot may be more successful in reducing usage at these residences.  </w:t>
      </w:r>
    </w:p>
    <w:p w:rsidR="00957D4D" w:rsidRPr="00504642" w:rsidRDefault="00957D4D" w:rsidP="00E54E16">
      <w:pPr>
        <w:pStyle w:val="FootnoteText"/>
        <w:rPr>
          <w:sz w:val="20"/>
        </w:rPr>
      </w:pPr>
    </w:p>
  </w:footnote>
  <w:footnote w:id="16">
    <w:p w:rsidR="00957D4D" w:rsidRPr="00504642" w:rsidRDefault="00957D4D" w:rsidP="00E54E16">
      <w:pPr>
        <w:pStyle w:val="FootnoteText"/>
        <w:rPr>
          <w:sz w:val="20"/>
        </w:rPr>
      </w:pPr>
      <w:r w:rsidRPr="00504642">
        <w:rPr>
          <w:rStyle w:val="FootnoteReference"/>
          <w:sz w:val="20"/>
        </w:rPr>
        <w:footnoteRef/>
      </w:r>
      <w:r w:rsidRPr="00504642">
        <w:rPr>
          <w:sz w:val="20"/>
        </w:rPr>
        <w:t xml:space="preserve"> </w:t>
      </w:r>
      <w:r>
        <w:rPr>
          <w:sz w:val="20"/>
        </w:rPr>
        <w:tab/>
      </w:r>
      <w:r w:rsidRPr="00504642">
        <w:rPr>
          <w:sz w:val="20"/>
        </w:rPr>
        <w:t xml:space="preserve"> See prior footnote.</w:t>
      </w:r>
    </w:p>
    <w:p w:rsidR="00957D4D" w:rsidRDefault="00957D4D" w:rsidP="00E54E16">
      <w:pPr>
        <w:pStyle w:val="FootnoteText"/>
        <w:rPr>
          <w:sz w:val="22"/>
        </w:rPr>
      </w:pPr>
    </w:p>
  </w:footnote>
  <w:footnote w:id="17">
    <w:p w:rsidR="00957D4D" w:rsidRPr="0098213D" w:rsidRDefault="00957D4D" w:rsidP="00E54E16">
      <w:pPr>
        <w:pStyle w:val="FootnoteText"/>
        <w:rPr>
          <w:sz w:val="20"/>
        </w:rPr>
      </w:pPr>
      <w:r w:rsidRPr="0098213D">
        <w:rPr>
          <w:rStyle w:val="FootnoteReference"/>
          <w:sz w:val="20"/>
        </w:rPr>
        <w:footnoteRef/>
      </w:r>
      <w:r w:rsidRPr="0098213D">
        <w:rPr>
          <w:sz w:val="20"/>
        </w:rPr>
        <w:t xml:space="preserve"> </w:t>
      </w:r>
      <w:r w:rsidRPr="0098213D">
        <w:rPr>
          <w:sz w:val="20"/>
        </w:rPr>
        <w:tab/>
        <w:t>The Commission’s regulations, 52 Pa.Code §58.11, provide that “space heating system replacement” measures should meet a 12-year payback period.  In a 1996 audit of PECO’s LIURP program, the auditors noted that: “As of December 4, 1995 the auditors have been instructed to use the 15 year payback criteria for recommending all allowable treatments that fall within this payback period.</w:t>
      </w:r>
      <w:r w:rsidR="00841BF7">
        <w:rPr>
          <w:sz w:val="20"/>
        </w:rPr>
        <w:t>”</w:t>
      </w:r>
    </w:p>
  </w:footnote>
  <w:footnote w:id="18">
    <w:p w:rsidR="00957D4D" w:rsidRPr="0098213D" w:rsidRDefault="00957D4D" w:rsidP="007E53E1">
      <w:pPr>
        <w:pStyle w:val="FootnoteText"/>
        <w:rPr>
          <w:sz w:val="20"/>
        </w:rPr>
      </w:pPr>
      <w:r w:rsidRPr="0098213D">
        <w:rPr>
          <w:rStyle w:val="FootnoteReference"/>
          <w:sz w:val="20"/>
        </w:rPr>
        <w:footnoteRef/>
      </w:r>
      <w:r w:rsidRPr="0098213D">
        <w:rPr>
          <w:sz w:val="20"/>
        </w:rPr>
        <w:t xml:space="preserve"> </w:t>
      </w:r>
      <w:r w:rsidRPr="0098213D">
        <w:rPr>
          <w:sz w:val="20"/>
        </w:rPr>
        <w:tab/>
        <w:t xml:space="preserve">This continues PECO’s current gas CAP program policy.  </w:t>
      </w:r>
      <w:r w:rsidRPr="0098213D">
        <w:rPr>
          <w:i/>
          <w:sz w:val="20"/>
        </w:rPr>
        <w:t>Id</w:t>
      </w:r>
      <w:r w:rsidRPr="0098213D">
        <w:rPr>
          <w:sz w:val="20"/>
        </w:rPr>
        <w:t xml:space="preserve">.  </w:t>
      </w:r>
    </w:p>
    <w:p w:rsidR="00957D4D" w:rsidRPr="0098213D" w:rsidRDefault="00957D4D" w:rsidP="007E53E1">
      <w:pPr>
        <w:pStyle w:val="FootnoteText"/>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66"/>
    <w:multiLevelType w:val="hybridMultilevel"/>
    <w:tmpl w:val="E3AA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AB32C7"/>
    <w:multiLevelType w:val="hybridMultilevel"/>
    <w:tmpl w:val="E7F2DFDA"/>
    <w:lvl w:ilvl="0" w:tplc="BDCCB33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0C3A4DE3"/>
    <w:multiLevelType w:val="hybridMultilevel"/>
    <w:tmpl w:val="772C2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D37AD"/>
    <w:multiLevelType w:val="singleLevel"/>
    <w:tmpl w:val="6860B998"/>
    <w:lvl w:ilvl="0">
      <w:start w:val="1"/>
      <w:numFmt w:val="lowerRoman"/>
      <w:lvlText w:val="(%1) "/>
      <w:legacy w:legacy="1" w:legacySpace="0" w:legacyIndent="360"/>
      <w:lvlJc w:val="left"/>
      <w:pPr>
        <w:ind w:left="2520" w:hanging="360"/>
      </w:pPr>
      <w:rPr>
        <w:rFonts w:ascii="Times New Roman" w:hAnsi="Times New Roman" w:hint="default"/>
        <w:b w:val="0"/>
        <w:i w:val="0"/>
        <w:sz w:val="24"/>
        <w:u w:val="none"/>
      </w:rPr>
    </w:lvl>
  </w:abstractNum>
  <w:abstractNum w:abstractNumId="4">
    <w:nsid w:val="148907FE"/>
    <w:multiLevelType w:val="hybridMultilevel"/>
    <w:tmpl w:val="FF84285C"/>
    <w:lvl w:ilvl="0" w:tplc="023ADC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93128F1"/>
    <w:multiLevelType w:val="hybridMultilevel"/>
    <w:tmpl w:val="ECC253E6"/>
    <w:lvl w:ilvl="0" w:tplc="10C4A66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37B7B"/>
    <w:multiLevelType w:val="hybridMultilevel"/>
    <w:tmpl w:val="D7B6F3B4"/>
    <w:lvl w:ilvl="0" w:tplc="77F8C71C">
      <w:start w:val="8"/>
      <w:numFmt w:val="decimal"/>
      <w:lvlText w:val="%1."/>
      <w:lvlJc w:val="left"/>
      <w:pPr>
        <w:ind w:left="144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0113C8"/>
    <w:multiLevelType w:val="singleLevel"/>
    <w:tmpl w:val="0CC4FC92"/>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25AF5F53"/>
    <w:multiLevelType w:val="hybridMultilevel"/>
    <w:tmpl w:val="FF84285C"/>
    <w:lvl w:ilvl="0" w:tplc="023ADC6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283D54EB"/>
    <w:multiLevelType w:val="hybridMultilevel"/>
    <w:tmpl w:val="9D66D694"/>
    <w:lvl w:ilvl="0" w:tplc="87AAFE2C">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92778"/>
    <w:multiLevelType w:val="hybridMultilevel"/>
    <w:tmpl w:val="143A3286"/>
    <w:lvl w:ilvl="0" w:tplc="87AAFE2C">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22BEE"/>
    <w:multiLevelType w:val="hybridMultilevel"/>
    <w:tmpl w:val="A45265CA"/>
    <w:lvl w:ilvl="0" w:tplc="87AAFE2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42A49"/>
    <w:multiLevelType w:val="hybridMultilevel"/>
    <w:tmpl w:val="89DC664A"/>
    <w:lvl w:ilvl="0" w:tplc="87AAFE2C">
      <w:start w:val="1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504F3"/>
    <w:multiLevelType w:val="hybridMultilevel"/>
    <w:tmpl w:val="E9AAC9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C901528"/>
    <w:multiLevelType w:val="hybridMultilevel"/>
    <w:tmpl w:val="85ACB0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3957193"/>
    <w:multiLevelType w:val="singleLevel"/>
    <w:tmpl w:val="AC26C3EC"/>
    <w:lvl w:ilvl="0">
      <w:start w:val="1"/>
      <w:numFmt w:val="bullet"/>
      <w:lvlText w:val=""/>
      <w:lvlJc w:val="left"/>
      <w:pPr>
        <w:tabs>
          <w:tab w:val="num" w:pos="360"/>
        </w:tabs>
        <w:ind w:left="72" w:hanging="72"/>
      </w:pPr>
      <w:rPr>
        <w:rFonts w:ascii="Wingdings" w:hAnsi="Wingdings" w:hint="default"/>
      </w:rPr>
    </w:lvl>
  </w:abstractNum>
  <w:abstractNum w:abstractNumId="16">
    <w:nsid w:val="4B6B03D4"/>
    <w:multiLevelType w:val="multilevel"/>
    <w:tmpl w:val="2D9ABAA8"/>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trike w:val="0"/>
        <w:dstrike w:val="0"/>
        <w:sz w:val="24"/>
        <w:u w:val="none"/>
        <w:effect w:val="none"/>
      </w:rPr>
    </w:lvl>
    <w:lvl w:ilvl="1">
      <w:start w:val="1"/>
      <w:numFmt w:val="decimal"/>
      <w:lvlRestart w:val="0"/>
      <w:pStyle w:val="OutlineL2"/>
      <w:lvlText w:val="%2."/>
      <w:lvlJc w:val="left"/>
      <w:pPr>
        <w:tabs>
          <w:tab w:val="num" w:pos="2070"/>
        </w:tabs>
        <w:ind w:left="630" w:firstLine="720"/>
      </w:pPr>
      <w:rPr>
        <w:rFonts w:ascii="Times New Roman" w:hAnsi="Times New Roman" w:cs="Times New Roman"/>
        <w:b w:val="0"/>
        <w:i w:val="0"/>
        <w:caps w:val="0"/>
        <w:strike w:val="0"/>
        <w:dstrike w:val="0"/>
        <w:sz w:val="24"/>
        <w:u w:val="none"/>
        <w:effect w:val="none"/>
      </w:rPr>
    </w:lvl>
    <w:lvl w:ilvl="2">
      <w:start w:val="1"/>
      <w:numFmt w:val="lowerLetter"/>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abstractNum w:abstractNumId="17">
    <w:nsid w:val="53D01F71"/>
    <w:multiLevelType w:val="hybridMultilevel"/>
    <w:tmpl w:val="150CE42E"/>
    <w:lvl w:ilvl="0" w:tplc="77F8C71C">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326E61"/>
    <w:multiLevelType w:val="hybridMultilevel"/>
    <w:tmpl w:val="918C45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0BA06A0"/>
    <w:multiLevelType w:val="hybridMultilevel"/>
    <w:tmpl w:val="2D625EF2"/>
    <w:lvl w:ilvl="0" w:tplc="E388649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672C3EA7"/>
    <w:multiLevelType w:val="hybridMultilevel"/>
    <w:tmpl w:val="ED6A9C4E"/>
    <w:lvl w:ilvl="0" w:tplc="87AAFE2C">
      <w:start w:val="1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C007B"/>
    <w:multiLevelType w:val="hybridMultilevel"/>
    <w:tmpl w:val="FC06FF06"/>
    <w:lvl w:ilvl="0" w:tplc="B32E6A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0E96D79"/>
    <w:multiLevelType w:val="hybridMultilevel"/>
    <w:tmpl w:val="79680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7D15399"/>
    <w:multiLevelType w:val="hybridMultilevel"/>
    <w:tmpl w:val="1996D3E6"/>
    <w:lvl w:ilvl="0" w:tplc="27B21C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3">
    <w:abstractNumId w:val="3"/>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8"/>
    </w:lvlOverride>
  </w:num>
  <w:num w:numId="7">
    <w:abstractNumId w:val="16"/>
  </w:num>
  <w:num w:numId="8">
    <w:abstractNumId w:val="13"/>
  </w:num>
  <w:num w:numId="9">
    <w:abstractNumId w:val="14"/>
  </w:num>
  <w:num w:numId="10">
    <w:abstractNumId w:val="2"/>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0"/>
  </w:num>
  <w:num w:numId="27">
    <w:abstractNumId w:val="11"/>
  </w:num>
  <w:num w:numId="28">
    <w:abstractNumId w:val="12"/>
  </w:num>
  <w:num w:numId="29">
    <w:abstractNumId w:val="10"/>
  </w:num>
  <w:num w:numId="30">
    <w:abstractNumId w:val="9"/>
  </w:num>
  <w:num w:numId="31">
    <w:abstractNumId w:val="20"/>
  </w:num>
  <w:num w:numId="32">
    <w:abstractNumId w:val="17"/>
  </w:num>
  <w:num w:numId="33">
    <w:abstractNumId w:val="6"/>
  </w:num>
  <w:num w:numId="34">
    <w:abstractNumId w:val="5"/>
  </w:num>
  <w:num w:numId="3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92"/>
    <w:rsid w:val="00002CAA"/>
    <w:rsid w:val="00004ABB"/>
    <w:rsid w:val="00013F1C"/>
    <w:rsid w:val="00015C78"/>
    <w:rsid w:val="000228AE"/>
    <w:rsid w:val="00025E26"/>
    <w:rsid w:val="0003082A"/>
    <w:rsid w:val="00030E60"/>
    <w:rsid w:val="00031C45"/>
    <w:rsid w:val="00032357"/>
    <w:rsid w:val="00032F8C"/>
    <w:rsid w:val="000357BB"/>
    <w:rsid w:val="00037E2E"/>
    <w:rsid w:val="00040348"/>
    <w:rsid w:val="00040BFE"/>
    <w:rsid w:val="00042BFA"/>
    <w:rsid w:val="000456E8"/>
    <w:rsid w:val="000468B1"/>
    <w:rsid w:val="00046DEC"/>
    <w:rsid w:val="00056CC4"/>
    <w:rsid w:val="000607ED"/>
    <w:rsid w:val="0006346B"/>
    <w:rsid w:val="000650E9"/>
    <w:rsid w:val="00065A5C"/>
    <w:rsid w:val="00071323"/>
    <w:rsid w:val="00083FE7"/>
    <w:rsid w:val="00086B15"/>
    <w:rsid w:val="00087AC2"/>
    <w:rsid w:val="00091447"/>
    <w:rsid w:val="00092637"/>
    <w:rsid w:val="000934E7"/>
    <w:rsid w:val="00095C2C"/>
    <w:rsid w:val="000A076D"/>
    <w:rsid w:val="000B3135"/>
    <w:rsid w:val="000B3E38"/>
    <w:rsid w:val="000B5CC9"/>
    <w:rsid w:val="000C2356"/>
    <w:rsid w:val="000C45D4"/>
    <w:rsid w:val="000C7DB9"/>
    <w:rsid w:val="000D1DBC"/>
    <w:rsid w:val="000D2116"/>
    <w:rsid w:val="000D5EAB"/>
    <w:rsid w:val="000E0F32"/>
    <w:rsid w:val="000E1119"/>
    <w:rsid w:val="000E4B43"/>
    <w:rsid w:val="000E5E29"/>
    <w:rsid w:val="000E6120"/>
    <w:rsid w:val="000E7BD8"/>
    <w:rsid w:val="000F5220"/>
    <w:rsid w:val="000F5B12"/>
    <w:rsid w:val="00103F64"/>
    <w:rsid w:val="00104843"/>
    <w:rsid w:val="0011319E"/>
    <w:rsid w:val="00125BDF"/>
    <w:rsid w:val="001304B2"/>
    <w:rsid w:val="00130A42"/>
    <w:rsid w:val="00143953"/>
    <w:rsid w:val="00143BC5"/>
    <w:rsid w:val="00145349"/>
    <w:rsid w:val="001512FC"/>
    <w:rsid w:val="001616B7"/>
    <w:rsid w:val="00161D4A"/>
    <w:rsid w:val="001626CE"/>
    <w:rsid w:val="0017110C"/>
    <w:rsid w:val="0017436A"/>
    <w:rsid w:val="00177CD7"/>
    <w:rsid w:val="00186784"/>
    <w:rsid w:val="00190DC0"/>
    <w:rsid w:val="00193DF0"/>
    <w:rsid w:val="00195173"/>
    <w:rsid w:val="00196561"/>
    <w:rsid w:val="001A0EAB"/>
    <w:rsid w:val="001A1F1A"/>
    <w:rsid w:val="001A2DB3"/>
    <w:rsid w:val="001B1C8E"/>
    <w:rsid w:val="001B498F"/>
    <w:rsid w:val="001B54DF"/>
    <w:rsid w:val="001B5BFC"/>
    <w:rsid w:val="001B7C0A"/>
    <w:rsid w:val="001C0B92"/>
    <w:rsid w:val="001C2DE2"/>
    <w:rsid w:val="001C476E"/>
    <w:rsid w:val="001C4EFF"/>
    <w:rsid w:val="001D1A55"/>
    <w:rsid w:val="001D31DD"/>
    <w:rsid w:val="001D3728"/>
    <w:rsid w:val="001D73EC"/>
    <w:rsid w:val="001E1B01"/>
    <w:rsid w:val="001E320C"/>
    <w:rsid w:val="001E4C84"/>
    <w:rsid w:val="001F0A6F"/>
    <w:rsid w:val="001F156D"/>
    <w:rsid w:val="001F17EA"/>
    <w:rsid w:val="001F3D6D"/>
    <w:rsid w:val="001F3FC8"/>
    <w:rsid w:val="001F40AC"/>
    <w:rsid w:val="001F5F55"/>
    <w:rsid w:val="001F7A1B"/>
    <w:rsid w:val="001F7C58"/>
    <w:rsid w:val="00201CCC"/>
    <w:rsid w:val="00203E17"/>
    <w:rsid w:val="00206D90"/>
    <w:rsid w:val="002073E5"/>
    <w:rsid w:val="00213496"/>
    <w:rsid w:val="00215458"/>
    <w:rsid w:val="002172DD"/>
    <w:rsid w:val="002177E8"/>
    <w:rsid w:val="00223378"/>
    <w:rsid w:val="00223F78"/>
    <w:rsid w:val="002243D0"/>
    <w:rsid w:val="002332FD"/>
    <w:rsid w:val="00233928"/>
    <w:rsid w:val="00235044"/>
    <w:rsid w:val="0023654A"/>
    <w:rsid w:val="00237F1A"/>
    <w:rsid w:val="002412D1"/>
    <w:rsid w:val="002434EB"/>
    <w:rsid w:val="00244A7F"/>
    <w:rsid w:val="00245729"/>
    <w:rsid w:val="0024647D"/>
    <w:rsid w:val="002640E9"/>
    <w:rsid w:val="00264CDC"/>
    <w:rsid w:val="00267085"/>
    <w:rsid w:val="00273BFC"/>
    <w:rsid w:val="00281659"/>
    <w:rsid w:val="00281BD3"/>
    <w:rsid w:val="00285539"/>
    <w:rsid w:val="00285EB7"/>
    <w:rsid w:val="002877E9"/>
    <w:rsid w:val="00291148"/>
    <w:rsid w:val="00292656"/>
    <w:rsid w:val="00294FAE"/>
    <w:rsid w:val="00295C4B"/>
    <w:rsid w:val="002A0CD1"/>
    <w:rsid w:val="002A5F38"/>
    <w:rsid w:val="002B11B5"/>
    <w:rsid w:val="002B5AC2"/>
    <w:rsid w:val="002B7E50"/>
    <w:rsid w:val="002C10EE"/>
    <w:rsid w:val="002C375A"/>
    <w:rsid w:val="002D2923"/>
    <w:rsid w:val="002D6657"/>
    <w:rsid w:val="002D727F"/>
    <w:rsid w:val="002D7707"/>
    <w:rsid w:val="002E0973"/>
    <w:rsid w:val="002F18AC"/>
    <w:rsid w:val="002F6C81"/>
    <w:rsid w:val="003018F2"/>
    <w:rsid w:val="00302451"/>
    <w:rsid w:val="00304BC0"/>
    <w:rsid w:val="00305059"/>
    <w:rsid w:val="00306342"/>
    <w:rsid w:val="00310DDF"/>
    <w:rsid w:val="003174BA"/>
    <w:rsid w:val="003231B0"/>
    <w:rsid w:val="00325A87"/>
    <w:rsid w:val="003307E1"/>
    <w:rsid w:val="00332C90"/>
    <w:rsid w:val="0033411A"/>
    <w:rsid w:val="00336BDD"/>
    <w:rsid w:val="0034445D"/>
    <w:rsid w:val="00344711"/>
    <w:rsid w:val="00347894"/>
    <w:rsid w:val="00351026"/>
    <w:rsid w:val="00352096"/>
    <w:rsid w:val="0035213B"/>
    <w:rsid w:val="003544F5"/>
    <w:rsid w:val="00363D69"/>
    <w:rsid w:val="00365D25"/>
    <w:rsid w:val="00366273"/>
    <w:rsid w:val="00371753"/>
    <w:rsid w:val="003725BE"/>
    <w:rsid w:val="003726F9"/>
    <w:rsid w:val="00373216"/>
    <w:rsid w:val="00375064"/>
    <w:rsid w:val="00375551"/>
    <w:rsid w:val="0038477E"/>
    <w:rsid w:val="003A0230"/>
    <w:rsid w:val="003A0C97"/>
    <w:rsid w:val="003A2E99"/>
    <w:rsid w:val="003A34D2"/>
    <w:rsid w:val="003A5414"/>
    <w:rsid w:val="003A5589"/>
    <w:rsid w:val="003B48F7"/>
    <w:rsid w:val="003C2BF9"/>
    <w:rsid w:val="003C4511"/>
    <w:rsid w:val="003C6D16"/>
    <w:rsid w:val="003D0F25"/>
    <w:rsid w:val="003D5524"/>
    <w:rsid w:val="003E01F8"/>
    <w:rsid w:val="003E0B9E"/>
    <w:rsid w:val="003E2804"/>
    <w:rsid w:val="003E374B"/>
    <w:rsid w:val="003E4624"/>
    <w:rsid w:val="003E551D"/>
    <w:rsid w:val="003F2218"/>
    <w:rsid w:val="003F472E"/>
    <w:rsid w:val="003F7D01"/>
    <w:rsid w:val="00400060"/>
    <w:rsid w:val="00400F33"/>
    <w:rsid w:val="0040329C"/>
    <w:rsid w:val="00403F24"/>
    <w:rsid w:val="004135C0"/>
    <w:rsid w:val="00413B5E"/>
    <w:rsid w:val="00414C85"/>
    <w:rsid w:val="00415891"/>
    <w:rsid w:val="004159DA"/>
    <w:rsid w:val="00420231"/>
    <w:rsid w:val="00420FF5"/>
    <w:rsid w:val="0042399E"/>
    <w:rsid w:val="0043192E"/>
    <w:rsid w:val="004347F5"/>
    <w:rsid w:val="004364F5"/>
    <w:rsid w:val="004447EB"/>
    <w:rsid w:val="00450267"/>
    <w:rsid w:val="00451FBF"/>
    <w:rsid w:val="00452F0D"/>
    <w:rsid w:val="00457388"/>
    <w:rsid w:val="00457A94"/>
    <w:rsid w:val="00472F69"/>
    <w:rsid w:val="00477095"/>
    <w:rsid w:val="00481AA1"/>
    <w:rsid w:val="004849DE"/>
    <w:rsid w:val="0048552C"/>
    <w:rsid w:val="0048600C"/>
    <w:rsid w:val="0048670E"/>
    <w:rsid w:val="00487D7A"/>
    <w:rsid w:val="004901B1"/>
    <w:rsid w:val="004922CF"/>
    <w:rsid w:val="00493773"/>
    <w:rsid w:val="00497EE6"/>
    <w:rsid w:val="004A18A2"/>
    <w:rsid w:val="004A4D22"/>
    <w:rsid w:val="004B12F5"/>
    <w:rsid w:val="004B589A"/>
    <w:rsid w:val="004C20AE"/>
    <w:rsid w:val="004C2EF0"/>
    <w:rsid w:val="004C3850"/>
    <w:rsid w:val="004C4F99"/>
    <w:rsid w:val="004C65F7"/>
    <w:rsid w:val="004D347E"/>
    <w:rsid w:val="004D3BF7"/>
    <w:rsid w:val="004E283B"/>
    <w:rsid w:val="004E6034"/>
    <w:rsid w:val="004E60DE"/>
    <w:rsid w:val="004E743D"/>
    <w:rsid w:val="004F1624"/>
    <w:rsid w:val="00504319"/>
    <w:rsid w:val="00504642"/>
    <w:rsid w:val="00504D25"/>
    <w:rsid w:val="0050564B"/>
    <w:rsid w:val="00506EE1"/>
    <w:rsid w:val="005073F5"/>
    <w:rsid w:val="00507AAC"/>
    <w:rsid w:val="00514DA3"/>
    <w:rsid w:val="00516303"/>
    <w:rsid w:val="00526415"/>
    <w:rsid w:val="0052694B"/>
    <w:rsid w:val="00527365"/>
    <w:rsid w:val="00527E97"/>
    <w:rsid w:val="00542A4C"/>
    <w:rsid w:val="00555276"/>
    <w:rsid w:val="005563EF"/>
    <w:rsid w:val="00556931"/>
    <w:rsid w:val="005636EB"/>
    <w:rsid w:val="0056755A"/>
    <w:rsid w:val="00574924"/>
    <w:rsid w:val="00583BA7"/>
    <w:rsid w:val="0058425C"/>
    <w:rsid w:val="005842A5"/>
    <w:rsid w:val="00585718"/>
    <w:rsid w:val="00585BD0"/>
    <w:rsid w:val="0059130B"/>
    <w:rsid w:val="00595DC5"/>
    <w:rsid w:val="00595F92"/>
    <w:rsid w:val="005B2471"/>
    <w:rsid w:val="005B56B7"/>
    <w:rsid w:val="005B67A2"/>
    <w:rsid w:val="005C3925"/>
    <w:rsid w:val="005D24AB"/>
    <w:rsid w:val="005D3502"/>
    <w:rsid w:val="005D6A59"/>
    <w:rsid w:val="005E39F1"/>
    <w:rsid w:val="005E7338"/>
    <w:rsid w:val="005F1A42"/>
    <w:rsid w:val="005F5541"/>
    <w:rsid w:val="005F624C"/>
    <w:rsid w:val="005F6AC8"/>
    <w:rsid w:val="005F7228"/>
    <w:rsid w:val="0060081A"/>
    <w:rsid w:val="0060425C"/>
    <w:rsid w:val="00605294"/>
    <w:rsid w:val="006059FF"/>
    <w:rsid w:val="0060675D"/>
    <w:rsid w:val="00606D79"/>
    <w:rsid w:val="00614A63"/>
    <w:rsid w:val="006153E4"/>
    <w:rsid w:val="006200BF"/>
    <w:rsid w:val="00622733"/>
    <w:rsid w:val="00627A3C"/>
    <w:rsid w:val="0064268C"/>
    <w:rsid w:val="00651C69"/>
    <w:rsid w:val="00653FE4"/>
    <w:rsid w:val="006573E9"/>
    <w:rsid w:val="00663005"/>
    <w:rsid w:val="006630EE"/>
    <w:rsid w:val="00663FD3"/>
    <w:rsid w:val="00673AB1"/>
    <w:rsid w:val="00675724"/>
    <w:rsid w:val="00675C9D"/>
    <w:rsid w:val="00682760"/>
    <w:rsid w:val="00684AA1"/>
    <w:rsid w:val="00694484"/>
    <w:rsid w:val="0069756F"/>
    <w:rsid w:val="006A515F"/>
    <w:rsid w:val="006A7352"/>
    <w:rsid w:val="006B25A6"/>
    <w:rsid w:val="006B2C27"/>
    <w:rsid w:val="006B3E82"/>
    <w:rsid w:val="006B4736"/>
    <w:rsid w:val="006B47FE"/>
    <w:rsid w:val="006B483C"/>
    <w:rsid w:val="006C45E3"/>
    <w:rsid w:val="006C7C1B"/>
    <w:rsid w:val="006D0414"/>
    <w:rsid w:val="006D1C44"/>
    <w:rsid w:val="006D4A5F"/>
    <w:rsid w:val="006D668F"/>
    <w:rsid w:val="006D6F12"/>
    <w:rsid w:val="006E2614"/>
    <w:rsid w:val="006E3BDA"/>
    <w:rsid w:val="006E44E0"/>
    <w:rsid w:val="006E548A"/>
    <w:rsid w:val="006E5855"/>
    <w:rsid w:val="006E7252"/>
    <w:rsid w:val="006F0FD6"/>
    <w:rsid w:val="006F2253"/>
    <w:rsid w:val="006F79C4"/>
    <w:rsid w:val="0070016B"/>
    <w:rsid w:val="00703F65"/>
    <w:rsid w:val="007170EB"/>
    <w:rsid w:val="007176CD"/>
    <w:rsid w:val="00724829"/>
    <w:rsid w:val="00725B8A"/>
    <w:rsid w:val="00727372"/>
    <w:rsid w:val="00730874"/>
    <w:rsid w:val="00730F69"/>
    <w:rsid w:val="00731403"/>
    <w:rsid w:val="00732843"/>
    <w:rsid w:val="0073404E"/>
    <w:rsid w:val="00740E6E"/>
    <w:rsid w:val="007428DD"/>
    <w:rsid w:val="00742F6E"/>
    <w:rsid w:val="00750D3A"/>
    <w:rsid w:val="00755740"/>
    <w:rsid w:val="007621DE"/>
    <w:rsid w:val="007635A9"/>
    <w:rsid w:val="00773407"/>
    <w:rsid w:val="00773430"/>
    <w:rsid w:val="00775FC3"/>
    <w:rsid w:val="0078020B"/>
    <w:rsid w:val="00780F8E"/>
    <w:rsid w:val="00787FD2"/>
    <w:rsid w:val="00791B75"/>
    <w:rsid w:val="00791E23"/>
    <w:rsid w:val="007A3749"/>
    <w:rsid w:val="007A77AF"/>
    <w:rsid w:val="007B26AF"/>
    <w:rsid w:val="007B56E6"/>
    <w:rsid w:val="007B5740"/>
    <w:rsid w:val="007B66D5"/>
    <w:rsid w:val="007B7A33"/>
    <w:rsid w:val="007C34BE"/>
    <w:rsid w:val="007C4BD1"/>
    <w:rsid w:val="007D1342"/>
    <w:rsid w:val="007D154B"/>
    <w:rsid w:val="007D24A3"/>
    <w:rsid w:val="007D317B"/>
    <w:rsid w:val="007D5DAE"/>
    <w:rsid w:val="007E53E1"/>
    <w:rsid w:val="007F34B2"/>
    <w:rsid w:val="00803842"/>
    <w:rsid w:val="00806630"/>
    <w:rsid w:val="008076D5"/>
    <w:rsid w:val="00812C13"/>
    <w:rsid w:val="00816E03"/>
    <w:rsid w:val="008263CD"/>
    <w:rsid w:val="00826E95"/>
    <w:rsid w:val="008327BC"/>
    <w:rsid w:val="00841BF7"/>
    <w:rsid w:val="00846B13"/>
    <w:rsid w:val="00847AA9"/>
    <w:rsid w:val="008500F8"/>
    <w:rsid w:val="00854AB1"/>
    <w:rsid w:val="00855EC0"/>
    <w:rsid w:val="00855F8D"/>
    <w:rsid w:val="008612C8"/>
    <w:rsid w:val="008638B2"/>
    <w:rsid w:val="00867EDD"/>
    <w:rsid w:val="00872061"/>
    <w:rsid w:val="00875AA6"/>
    <w:rsid w:val="00876D31"/>
    <w:rsid w:val="00880B28"/>
    <w:rsid w:val="00882103"/>
    <w:rsid w:val="0088482A"/>
    <w:rsid w:val="008904A7"/>
    <w:rsid w:val="0089384A"/>
    <w:rsid w:val="0089478A"/>
    <w:rsid w:val="008A23D0"/>
    <w:rsid w:val="008A52BC"/>
    <w:rsid w:val="008B1675"/>
    <w:rsid w:val="008B2662"/>
    <w:rsid w:val="008B293D"/>
    <w:rsid w:val="008B415F"/>
    <w:rsid w:val="008C2381"/>
    <w:rsid w:val="008D7B30"/>
    <w:rsid w:val="008E0F0A"/>
    <w:rsid w:val="008F72BB"/>
    <w:rsid w:val="00901917"/>
    <w:rsid w:val="009023CB"/>
    <w:rsid w:val="0091041E"/>
    <w:rsid w:val="009134C9"/>
    <w:rsid w:val="00922B84"/>
    <w:rsid w:val="00925A85"/>
    <w:rsid w:val="00935485"/>
    <w:rsid w:val="009360B2"/>
    <w:rsid w:val="0094126D"/>
    <w:rsid w:val="0094449C"/>
    <w:rsid w:val="00945E36"/>
    <w:rsid w:val="0095078A"/>
    <w:rsid w:val="0095298C"/>
    <w:rsid w:val="00953519"/>
    <w:rsid w:val="00955732"/>
    <w:rsid w:val="00956CBD"/>
    <w:rsid w:val="00957D4D"/>
    <w:rsid w:val="009627B6"/>
    <w:rsid w:val="00965065"/>
    <w:rsid w:val="009650B3"/>
    <w:rsid w:val="00967045"/>
    <w:rsid w:val="0097038D"/>
    <w:rsid w:val="00970591"/>
    <w:rsid w:val="009729CF"/>
    <w:rsid w:val="00974EE8"/>
    <w:rsid w:val="0098197F"/>
    <w:rsid w:val="0098213D"/>
    <w:rsid w:val="00984245"/>
    <w:rsid w:val="009849BF"/>
    <w:rsid w:val="009853AE"/>
    <w:rsid w:val="00992315"/>
    <w:rsid w:val="0099446D"/>
    <w:rsid w:val="00996C9D"/>
    <w:rsid w:val="00996FF3"/>
    <w:rsid w:val="009A1BA6"/>
    <w:rsid w:val="009A1F40"/>
    <w:rsid w:val="009A2169"/>
    <w:rsid w:val="009B0880"/>
    <w:rsid w:val="009B39C0"/>
    <w:rsid w:val="009C3CD4"/>
    <w:rsid w:val="009C6E2B"/>
    <w:rsid w:val="009D25D5"/>
    <w:rsid w:val="009D4D3C"/>
    <w:rsid w:val="009D64EE"/>
    <w:rsid w:val="009E1CBF"/>
    <w:rsid w:val="009E1D7F"/>
    <w:rsid w:val="009E4500"/>
    <w:rsid w:val="009E4DA6"/>
    <w:rsid w:val="009E76C8"/>
    <w:rsid w:val="009F0530"/>
    <w:rsid w:val="009F3EC2"/>
    <w:rsid w:val="009F4DC9"/>
    <w:rsid w:val="009F6214"/>
    <w:rsid w:val="00A06688"/>
    <w:rsid w:val="00A133B8"/>
    <w:rsid w:val="00A21B21"/>
    <w:rsid w:val="00A247DD"/>
    <w:rsid w:val="00A2535B"/>
    <w:rsid w:val="00A42168"/>
    <w:rsid w:val="00A4781A"/>
    <w:rsid w:val="00A52C15"/>
    <w:rsid w:val="00A52DAB"/>
    <w:rsid w:val="00A55BFA"/>
    <w:rsid w:val="00A65332"/>
    <w:rsid w:val="00A66398"/>
    <w:rsid w:val="00A67263"/>
    <w:rsid w:val="00A71D4F"/>
    <w:rsid w:val="00A73E82"/>
    <w:rsid w:val="00A76233"/>
    <w:rsid w:val="00A767DC"/>
    <w:rsid w:val="00A77440"/>
    <w:rsid w:val="00A80343"/>
    <w:rsid w:val="00A81005"/>
    <w:rsid w:val="00A811D3"/>
    <w:rsid w:val="00A84055"/>
    <w:rsid w:val="00A84490"/>
    <w:rsid w:val="00A9277F"/>
    <w:rsid w:val="00A94B35"/>
    <w:rsid w:val="00A94CCA"/>
    <w:rsid w:val="00A97C76"/>
    <w:rsid w:val="00AA57FA"/>
    <w:rsid w:val="00AB458E"/>
    <w:rsid w:val="00AC6B35"/>
    <w:rsid w:val="00AD5EED"/>
    <w:rsid w:val="00AE0E23"/>
    <w:rsid w:val="00AE56F7"/>
    <w:rsid w:val="00AE6913"/>
    <w:rsid w:val="00AF34CE"/>
    <w:rsid w:val="00AF38F9"/>
    <w:rsid w:val="00AF4042"/>
    <w:rsid w:val="00AF448F"/>
    <w:rsid w:val="00B00E55"/>
    <w:rsid w:val="00B05B92"/>
    <w:rsid w:val="00B05C12"/>
    <w:rsid w:val="00B079FB"/>
    <w:rsid w:val="00B1459E"/>
    <w:rsid w:val="00B16752"/>
    <w:rsid w:val="00B23DA5"/>
    <w:rsid w:val="00B24DAE"/>
    <w:rsid w:val="00B36788"/>
    <w:rsid w:val="00B4287B"/>
    <w:rsid w:val="00B45C66"/>
    <w:rsid w:val="00B55599"/>
    <w:rsid w:val="00B603D2"/>
    <w:rsid w:val="00B63372"/>
    <w:rsid w:val="00B63DDB"/>
    <w:rsid w:val="00B714B3"/>
    <w:rsid w:val="00B82B78"/>
    <w:rsid w:val="00B838F3"/>
    <w:rsid w:val="00B85692"/>
    <w:rsid w:val="00B92433"/>
    <w:rsid w:val="00B95D11"/>
    <w:rsid w:val="00B96CAD"/>
    <w:rsid w:val="00BA008F"/>
    <w:rsid w:val="00BA240F"/>
    <w:rsid w:val="00BA4866"/>
    <w:rsid w:val="00BB7204"/>
    <w:rsid w:val="00BB7DDC"/>
    <w:rsid w:val="00BC102C"/>
    <w:rsid w:val="00BC1118"/>
    <w:rsid w:val="00BC1238"/>
    <w:rsid w:val="00BC4B45"/>
    <w:rsid w:val="00BC7939"/>
    <w:rsid w:val="00BC7C0E"/>
    <w:rsid w:val="00BD1D0F"/>
    <w:rsid w:val="00BD73BB"/>
    <w:rsid w:val="00BE133F"/>
    <w:rsid w:val="00BE208A"/>
    <w:rsid w:val="00BE507E"/>
    <w:rsid w:val="00BE5F28"/>
    <w:rsid w:val="00BF229E"/>
    <w:rsid w:val="00BF2F94"/>
    <w:rsid w:val="00BF4F90"/>
    <w:rsid w:val="00C016FF"/>
    <w:rsid w:val="00C023FC"/>
    <w:rsid w:val="00C02D29"/>
    <w:rsid w:val="00C02E2D"/>
    <w:rsid w:val="00C04B3C"/>
    <w:rsid w:val="00C0530D"/>
    <w:rsid w:val="00C12920"/>
    <w:rsid w:val="00C15633"/>
    <w:rsid w:val="00C17B89"/>
    <w:rsid w:val="00C24021"/>
    <w:rsid w:val="00C254B5"/>
    <w:rsid w:val="00C26B66"/>
    <w:rsid w:val="00C37273"/>
    <w:rsid w:val="00C402EC"/>
    <w:rsid w:val="00C426D0"/>
    <w:rsid w:val="00C47562"/>
    <w:rsid w:val="00C50550"/>
    <w:rsid w:val="00C61009"/>
    <w:rsid w:val="00C659CB"/>
    <w:rsid w:val="00C65C1D"/>
    <w:rsid w:val="00C65C28"/>
    <w:rsid w:val="00C6732F"/>
    <w:rsid w:val="00C76537"/>
    <w:rsid w:val="00C766C9"/>
    <w:rsid w:val="00C847D3"/>
    <w:rsid w:val="00C91DED"/>
    <w:rsid w:val="00C92626"/>
    <w:rsid w:val="00C9775D"/>
    <w:rsid w:val="00CA1E85"/>
    <w:rsid w:val="00CA268F"/>
    <w:rsid w:val="00CA4D58"/>
    <w:rsid w:val="00CA6684"/>
    <w:rsid w:val="00CA6EF4"/>
    <w:rsid w:val="00CB2145"/>
    <w:rsid w:val="00CB31F4"/>
    <w:rsid w:val="00CB4228"/>
    <w:rsid w:val="00CC03B7"/>
    <w:rsid w:val="00CC142D"/>
    <w:rsid w:val="00CD1C1A"/>
    <w:rsid w:val="00CD1EC3"/>
    <w:rsid w:val="00CD3DCD"/>
    <w:rsid w:val="00CD43BD"/>
    <w:rsid w:val="00CD6401"/>
    <w:rsid w:val="00CD7D13"/>
    <w:rsid w:val="00CE1994"/>
    <w:rsid w:val="00CE344D"/>
    <w:rsid w:val="00CF2503"/>
    <w:rsid w:val="00CF63C1"/>
    <w:rsid w:val="00CF77F3"/>
    <w:rsid w:val="00CF7DA6"/>
    <w:rsid w:val="00D002DF"/>
    <w:rsid w:val="00D01A71"/>
    <w:rsid w:val="00D04DFD"/>
    <w:rsid w:val="00D10681"/>
    <w:rsid w:val="00D14AB5"/>
    <w:rsid w:val="00D17694"/>
    <w:rsid w:val="00D17ED9"/>
    <w:rsid w:val="00D20DAE"/>
    <w:rsid w:val="00D21F72"/>
    <w:rsid w:val="00D240AA"/>
    <w:rsid w:val="00D259E9"/>
    <w:rsid w:val="00D3707A"/>
    <w:rsid w:val="00D37454"/>
    <w:rsid w:val="00D40CD5"/>
    <w:rsid w:val="00D46034"/>
    <w:rsid w:val="00D46D30"/>
    <w:rsid w:val="00D47CD7"/>
    <w:rsid w:val="00D51099"/>
    <w:rsid w:val="00D51BC1"/>
    <w:rsid w:val="00D5603A"/>
    <w:rsid w:val="00D64D68"/>
    <w:rsid w:val="00D660D2"/>
    <w:rsid w:val="00D67EDD"/>
    <w:rsid w:val="00D731CB"/>
    <w:rsid w:val="00D76919"/>
    <w:rsid w:val="00D76B01"/>
    <w:rsid w:val="00D81CC3"/>
    <w:rsid w:val="00D84181"/>
    <w:rsid w:val="00D84C29"/>
    <w:rsid w:val="00D90FD3"/>
    <w:rsid w:val="00DA0A3D"/>
    <w:rsid w:val="00DA2029"/>
    <w:rsid w:val="00DA3999"/>
    <w:rsid w:val="00DB2325"/>
    <w:rsid w:val="00DB35FB"/>
    <w:rsid w:val="00DB7F14"/>
    <w:rsid w:val="00DC2675"/>
    <w:rsid w:val="00DC67EB"/>
    <w:rsid w:val="00DC74FF"/>
    <w:rsid w:val="00DC76BF"/>
    <w:rsid w:val="00DC7B57"/>
    <w:rsid w:val="00DD0589"/>
    <w:rsid w:val="00DD172E"/>
    <w:rsid w:val="00DD1C44"/>
    <w:rsid w:val="00DD4347"/>
    <w:rsid w:val="00DD4BA9"/>
    <w:rsid w:val="00DD63B2"/>
    <w:rsid w:val="00DE43F6"/>
    <w:rsid w:val="00DF1CAF"/>
    <w:rsid w:val="00DF45B6"/>
    <w:rsid w:val="00E031B5"/>
    <w:rsid w:val="00E0528F"/>
    <w:rsid w:val="00E06F6C"/>
    <w:rsid w:val="00E11078"/>
    <w:rsid w:val="00E1405C"/>
    <w:rsid w:val="00E15CE9"/>
    <w:rsid w:val="00E229A3"/>
    <w:rsid w:val="00E23FC6"/>
    <w:rsid w:val="00E24230"/>
    <w:rsid w:val="00E24B69"/>
    <w:rsid w:val="00E250E3"/>
    <w:rsid w:val="00E27621"/>
    <w:rsid w:val="00E2796D"/>
    <w:rsid w:val="00E30976"/>
    <w:rsid w:val="00E3112B"/>
    <w:rsid w:val="00E316BA"/>
    <w:rsid w:val="00E31DB4"/>
    <w:rsid w:val="00E353E1"/>
    <w:rsid w:val="00E404C5"/>
    <w:rsid w:val="00E4225E"/>
    <w:rsid w:val="00E4354B"/>
    <w:rsid w:val="00E43AE9"/>
    <w:rsid w:val="00E46750"/>
    <w:rsid w:val="00E509D4"/>
    <w:rsid w:val="00E51C5D"/>
    <w:rsid w:val="00E5239D"/>
    <w:rsid w:val="00E54E16"/>
    <w:rsid w:val="00E55DC5"/>
    <w:rsid w:val="00E71E51"/>
    <w:rsid w:val="00E75EDC"/>
    <w:rsid w:val="00E80BCC"/>
    <w:rsid w:val="00E812B0"/>
    <w:rsid w:val="00E93EA0"/>
    <w:rsid w:val="00E96BB7"/>
    <w:rsid w:val="00EA6D50"/>
    <w:rsid w:val="00EB43AB"/>
    <w:rsid w:val="00EB4570"/>
    <w:rsid w:val="00EB508F"/>
    <w:rsid w:val="00EC347D"/>
    <w:rsid w:val="00ED3E30"/>
    <w:rsid w:val="00ED4F56"/>
    <w:rsid w:val="00ED6A52"/>
    <w:rsid w:val="00EE25E0"/>
    <w:rsid w:val="00EE2605"/>
    <w:rsid w:val="00EE2611"/>
    <w:rsid w:val="00EE4049"/>
    <w:rsid w:val="00EE4713"/>
    <w:rsid w:val="00EE4C61"/>
    <w:rsid w:val="00EF0ECC"/>
    <w:rsid w:val="00EF2FDB"/>
    <w:rsid w:val="00EF39D2"/>
    <w:rsid w:val="00EF4A09"/>
    <w:rsid w:val="00F01C60"/>
    <w:rsid w:val="00F02492"/>
    <w:rsid w:val="00F0653C"/>
    <w:rsid w:val="00F1603C"/>
    <w:rsid w:val="00F22C7C"/>
    <w:rsid w:val="00F33BE1"/>
    <w:rsid w:val="00F35409"/>
    <w:rsid w:val="00F37030"/>
    <w:rsid w:val="00F410D2"/>
    <w:rsid w:val="00F41450"/>
    <w:rsid w:val="00F42318"/>
    <w:rsid w:val="00F42BC5"/>
    <w:rsid w:val="00F43AB8"/>
    <w:rsid w:val="00F453EB"/>
    <w:rsid w:val="00F521FC"/>
    <w:rsid w:val="00F5256F"/>
    <w:rsid w:val="00F52917"/>
    <w:rsid w:val="00F53550"/>
    <w:rsid w:val="00F55341"/>
    <w:rsid w:val="00F623DC"/>
    <w:rsid w:val="00F63814"/>
    <w:rsid w:val="00F644AE"/>
    <w:rsid w:val="00F6617B"/>
    <w:rsid w:val="00F72525"/>
    <w:rsid w:val="00F7430C"/>
    <w:rsid w:val="00F756D9"/>
    <w:rsid w:val="00F91F8D"/>
    <w:rsid w:val="00F9518C"/>
    <w:rsid w:val="00F95C06"/>
    <w:rsid w:val="00F95E34"/>
    <w:rsid w:val="00F96B6E"/>
    <w:rsid w:val="00F96E57"/>
    <w:rsid w:val="00FA2FDF"/>
    <w:rsid w:val="00FA510B"/>
    <w:rsid w:val="00FA6997"/>
    <w:rsid w:val="00FB3678"/>
    <w:rsid w:val="00FB4393"/>
    <w:rsid w:val="00FB466C"/>
    <w:rsid w:val="00FB4998"/>
    <w:rsid w:val="00FC7DC6"/>
    <w:rsid w:val="00FD0C35"/>
    <w:rsid w:val="00FD2E7B"/>
    <w:rsid w:val="00FE084B"/>
    <w:rsid w:val="00FE6942"/>
    <w:rsid w:val="00FF1B37"/>
    <w:rsid w:val="00FF2432"/>
    <w:rsid w:val="00FF49C4"/>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318"/>
    <w:rPr>
      <w:sz w:val="26"/>
    </w:rPr>
  </w:style>
  <w:style w:type="paragraph" w:styleId="Heading1">
    <w:name w:val="heading 1"/>
    <w:basedOn w:val="Normal"/>
    <w:next w:val="Normal"/>
    <w:link w:val="Heading1Char"/>
    <w:qFormat/>
    <w:rsid w:val="00237F1A"/>
    <w:pPr>
      <w:keepNext/>
      <w:jc w:val="center"/>
      <w:outlineLvl w:val="0"/>
    </w:pPr>
    <w:rPr>
      <w:u w:val="single"/>
    </w:rPr>
  </w:style>
  <w:style w:type="paragraph" w:styleId="Heading2">
    <w:name w:val="heading 2"/>
    <w:basedOn w:val="Normal"/>
    <w:next w:val="Normal"/>
    <w:qFormat/>
    <w:rsid w:val="00237F1A"/>
    <w:pPr>
      <w:keepNext/>
      <w:tabs>
        <w:tab w:val="left" w:pos="-720"/>
      </w:tabs>
      <w:suppressAutoHyphens/>
      <w:spacing w:line="480" w:lineRule="auto"/>
      <w:jc w:val="center"/>
      <w:outlineLvl w:val="1"/>
    </w:pPr>
    <w:rPr>
      <w:u w:val="single"/>
    </w:rPr>
  </w:style>
  <w:style w:type="paragraph" w:styleId="Heading4">
    <w:name w:val="heading 4"/>
    <w:basedOn w:val="Normal"/>
    <w:next w:val="Normal"/>
    <w:qFormat/>
    <w:rsid w:val="00237F1A"/>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37F1A"/>
    <w:pPr>
      <w:widowControl w:val="0"/>
    </w:pPr>
  </w:style>
  <w:style w:type="character" w:styleId="FootnoteReference">
    <w:name w:val="footnote reference"/>
    <w:aliases w:val="footnote text"/>
    <w:basedOn w:val="DefaultParagraphFont"/>
    <w:uiPriority w:val="99"/>
    <w:semiHidden/>
    <w:rsid w:val="00237F1A"/>
    <w:rPr>
      <w:vertAlign w:val="superscript"/>
    </w:rPr>
  </w:style>
  <w:style w:type="paragraph" w:styleId="Caption">
    <w:name w:val="caption"/>
    <w:basedOn w:val="Normal"/>
    <w:next w:val="Normal"/>
    <w:qFormat/>
    <w:rsid w:val="00237F1A"/>
    <w:pPr>
      <w:widowControl w:val="0"/>
    </w:pPr>
  </w:style>
  <w:style w:type="character" w:styleId="PageNumber">
    <w:name w:val="page number"/>
    <w:basedOn w:val="DefaultParagraphFont"/>
    <w:rsid w:val="00237F1A"/>
  </w:style>
  <w:style w:type="paragraph" w:styleId="Footer">
    <w:name w:val="footer"/>
    <w:basedOn w:val="Normal"/>
    <w:link w:val="FooterChar"/>
    <w:uiPriority w:val="99"/>
    <w:rsid w:val="00237F1A"/>
    <w:pPr>
      <w:tabs>
        <w:tab w:val="center" w:pos="4320"/>
        <w:tab w:val="right" w:pos="8640"/>
      </w:tabs>
    </w:pPr>
  </w:style>
  <w:style w:type="paragraph" w:styleId="Header">
    <w:name w:val="header"/>
    <w:basedOn w:val="Normal"/>
    <w:rsid w:val="00237F1A"/>
    <w:pPr>
      <w:tabs>
        <w:tab w:val="center" w:pos="4320"/>
        <w:tab w:val="right" w:pos="8640"/>
      </w:tabs>
    </w:pPr>
  </w:style>
  <w:style w:type="paragraph" w:styleId="Title">
    <w:name w:val="Title"/>
    <w:basedOn w:val="Normal"/>
    <w:qFormat/>
    <w:rsid w:val="00237F1A"/>
    <w:pPr>
      <w:jc w:val="center"/>
    </w:pPr>
    <w:rPr>
      <w:b/>
    </w:rPr>
  </w:style>
  <w:style w:type="paragraph" w:styleId="Subtitle">
    <w:name w:val="Subtitle"/>
    <w:basedOn w:val="Normal"/>
    <w:qFormat/>
    <w:rsid w:val="00237F1A"/>
    <w:pPr>
      <w:jc w:val="center"/>
    </w:pPr>
    <w:rPr>
      <w:b/>
    </w:rPr>
  </w:style>
  <w:style w:type="paragraph" w:styleId="BodyText">
    <w:name w:val="Body Text"/>
    <w:basedOn w:val="Normal"/>
    <w:link w:val="BodyTextChar"/>
    <w:rsid w:val="00237F1A"/>
    <w:pPr>
      <w:tabs>
        <w:tab w:val="left" w:pos="1980"/>
      </w:tabs>
      <w:spacing w:line="480" w:lineRule="auto"/>
      <w:jc w:val="both"/>
    </w:pPr>
    <w:rPr>
      <w:rFonts w:ascii="Courier" w:hAnsi="Courier"/>
    </w:rPr>
  </w:style>
  <w:style w:type="paragraph" w:styleId="BodyText3">
    <w:name w:val="Body Text 3"/>
    <w:basedOn w:val="Normal"/>
    <w:rsid w:val="00237F1A"/>
    <w:pPr>
      <w:tabs>
        <w:tab w:val="center" w:pos="4680"/>
      </w:tabs>
      <w:suppressAutoHyphens/>
      <w:spacing w:line="360" w:lineRule="auto"/>
      <w:jc w:val="both"/>
    </w:pPr>
    <w:rPr>
      <w:spacing w:val="-3"/>
    </w:rPr>
  </w:style>
  <w:style w:type="paragraph" w:styleId="BodyText2">
    <w:name w:val="Body Text 2"/>
    <w:basedOn w:val="Normal"/>
    <w:rsid w:val="00237F1A"/>
    <w:pPr>
      <w:tabs>
        <w:tab w:val="left" w:pos="-720"/>
      </w:tabs>
      <w:suppressAutoHyphens/>
      <w:spacing w:line="480" w:lineRule="auto"/>
    </w:pPr>
  </w:style>
  <w:style w:type="paragraph" w:styleId="BalloonText">
    <w:name w:val="Balloon Text"/>
    <w:basedOn w:val="Normal"/>
    <w:semiHidden/>
    <w:rsid w:val="00C37273"/>
    <w:rPr>
      <w:rFonts w:ascii="Tahoma" w:hAnsi="Tahoma" w:cs="Tahoma"/>
      <w:sz w:val="16"/>
      <w:szCs w:val="16"/>
    </w:rPr>
  </w:style>
  <w:style w:type="paragraph" w:styleId="CommentText">
    <w:name w:val="annotation text"/>
    <w:basedOn w:val="Normal"/>
    <w:semiHidden/>
    <w:rsid w:val="00A4781A"/>
    <w:rPr>
      <w:sz w:val="20"/>
    </w:rPr>
  </w:style>
  <w:style w:type="character" w:styleId="CommentReference">
    <w:name w:val="annotation reference"/>
    <w:basedOn w:val="DefaultParagraphFont"/>
    <w:semiHidden/>
    <w:rsid w:val="00A4781A"/>
    <w:rPr>
      <w:sz w:val="16"/>
      <w:szCs w:val="16"/>
    </w:rPr>
  </w:style>
  <w:style w:type="character" w:customStyle="1" w:styleId="FootnoteTextChar">
    <w:name w:val="Footnote Text Char"/>
    <w:basedOn w:val="DefaultParagraphFont"/>
    <w:link w:val="FootnoteText"/>
    <w:uiPriority w:val="99"/>
    <w:semiHidden/>
    <w:rsid w:val="008A23D0"/>
    <w:rPr>
      <w:sz w:val="26"/>
    </w:rPr>
  </w:style>
  <w:style w:type="paragraph" w:customStyle="1" w:styleId="OutlineL1">
    <w:name w:val="Outline_L1"/>
    <w:basedOn w:val="Normal"/>
    <w:next w:val="FootnoteText"/>
    <w:rsid w:val="008A23D0"/>
    <w:pPr>
      <w:keepNext/>
      <w:numPr>
        <w:numId w:val="5"/>
      </w:numPr>
      <w:spacing w:after="240"/>
      <w:jc w:val="center"/>
      <w:outlineLvl w:val="0"/>
    </w:pPr>
    <w:rPr>
      <w:rFonts w:ascii="Times New Roman Bold" w:hAnsi="Times New Roman Bold"/>
      <w:b/>
      <w:caps/>
      <w:sz w:val="24"/>
    </w:rPr>
  </w:style>
  <w:style w:type="paragraph" w:customStyle="1" w:styleId="OutlineL2">
    <w:name w:val="Outline_L2"/>
    <w:basedOn w:val="OutlineL1"/>
    <w:rsid w:val="008A23D0"/>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8A23D0"/>
    <w:pPr>
      <w:numPr>
        <w:ilvl w:val="2"/>
      </w:numPr>
      <w:spacing w:after="120"/>
      <w:outlineLvl w:val="2"/>
    </w:pPr>
  </w:style>
  <w:style w:type="paragraph" w:customStyle="1" w:styleId="OutlineL4">
    <w:name w:val="Outline_L4"/>
    <w:basedOn w:val="OutlineL3"/>
    <w:rsid w:val="008A23D0"/>
    <w:pPr>
      <w:numPr>
        <w:ilvl w:val="3"/>
      </w:numPr>
      <w:outlineLvl w:val="3"/>
    </w:pPr>
  </w:style>
  <w:style w:type="paragraph" w:customStyle="1" w:styleId="OutlineL5">
    <w:name w:val="Outline_L5"/>
    <w:basedOn w:val="OutlineL4"/>
    <w:rsid w:val="008A23D0"/>
    <w:pPr>
      <w:numPr>
        <w:ilvl w:val="4"/>
      </w:numPr>
      <w:spacing w:line="240" w:lineRule="auto"/>
      <w:outlineLvl w:val="4"/>
    </w:pPr>
  </w:style>
  <w:style w:type="paragraph" w:customStyle="1" w:styleId="OutlineL6">
    <w:name w:val="Outline_L6"/>
    <w:basedOn w:val="OutlineL5"/>
    <w:rsid w:val="008A23D0"/>
    <w:pPr>
      <w:numPr>
        <w:ilvl w:val="5"/>
      </w:numPr>
      <w:spacing w:after="240"/>
      <w:outlineLvl w:val="5"/>
    </w:pPr>
    <w:rPr>
      <w:szCs w:val="24"/>
    </w:rPr>
  </w:style>
  <w:style w:type="paragraph" w:customStyle="1" w:styleId="OutlineL7">
    <w:name w:val="Outline_L7"/>
    <w:basedOn w:val="OutlineL6"/>
    <w:rsid w:val="008A23D0"/>
    <w:pPr>
      <w:numPr>
        <w:ilvl w:val="6"/>
      </w:numPr>
      <w:outlineLvl w:val="6"/>
    </w:pPr>
    <w:rPr>
      <w:rFonts w:ascii="Times New Roman Bold" w:hAnsi="Times New Roman Bold"/>
      <w:b/>
    </w:rPr>
  </w:style>
  <w:style w:type="paragraph" w:customStyle="1" w:styleId="OutlineL8">
    <w:name w:val="Outline_L8"/>
    <w:basedOn w:val="OutlineL7"/>
    <w:rsid w:val="008A23D0"/>
    <w:pPr>
      <w:numPr>
        <w:ilvl w:val="7"/>
      </w:numPr>
      <w:outlineLvl w:val="7"/>
    </w:pPr>
  </w:style>
  <w:style w:type="paragraph" w:customStyle="1" w:styleId="OutlineL9">
    <w:name w:val="Outline_L9"/>
    <w:basedOn w:val="OutlineL8"/>
    <w:rsid w:val="008A23D0"/>
    <w:pPr>
      <w:numPr>
        <w:ilvl w:val="8"/>
      </w:numPr>
      <w:outlineLvl w:val="8"/>
    </w:pPr>
  </w:style>
  <w:style w:type="paragraph" w:styleId="PlainText">
    <w:name w:val="Plain Text"/>
    <w:basedOn w:val="Normal"/>
    <w:link w:val="PlainTextChar"/>
    <w:uiPriority w:val="99"/>
    <w:unhideWhenUsed/>
    <w:rsid w:val="00A71D4F"/>
    <w:rPr>
      <w:rFonts w:ascii="Consolas" w:eastAsia="Calibri" w:hAnsi="Consolas"/>
      <w:sz w:val="21"/>
      <w:szCs w:val="21"/>
    </w:rPr>
  </w:style>
  <w:style w:type="character" w:customStyle="1" w:styleId="PlainTextChar">
    <w:name w:val="Plain Text Char"/>
    <w:basedOn w:val="DefaultParagraphFont"/>
    <w:link w:val="PlainText"/>
    <w:uiPriority w:val="99"/>
    <w:rsid w:val="00A71D4F"/>
    <w:rPr>
      <w:rFonts w:ascii="Consolas" w:eastAsia="Calibri" w:hAnsi="Consolas"/>
      <w:sz w:val="21"/>
      <w:szCs w:val="21"/>
    </w:rPr>
  </w:style>
  <w:style w:type="paragraph" w:styleId="ListParagraph">
    <w:name w:val="List Paragraph"/>
    <w:basedOn w:val="Normal"/>
    <w:uiPriority w:val="34"/>
    <w:qFormat/>
    <w:rsid w:val="00730F69"/>
    <w:pPr>
      <w:ind w:left="720"/>
    </w:pPr>
  </w:style>
  <w:style w:type="paragraph" w:styleId="EnvelopeReturn">
    <w:name w:val="envelope return"/>
    <w:basedOn w:val="Normal"/>
    <w:rsid w:val="00F95C06"/>
    <w:rPr>
      <w:rFonts w:ascii="Arial Narrow" w:hAnsi="Arial Narrow"/>
      <w:sz w:val="24"/>
    </w:rPr>
  </w:style>
  <w:style w:type="paragraph" w:styleId="NormalWeb">
    <w:name w:val="Normal (Web)"/>
    <w:basedOn w:val="Normal"/>
    <w:uiPriority w:val="99"/>
    <w:unhideWhenUsed/>
    <w:rsid w:val="00F72525"/>
    <w:pPr>
      <w:spacing w:before="100" w:beforeAutospacing="1" w:after="100" w:afterAutospacing="1"/>
    </w:pPr>
    <w:rPr>
      <w:sz w:val="24"/>
      <w:szCs w:val="24"/>
    </w:rPr>
  </w:style>
  <w:style w:type="table" w:styleId="TableGrid">
    <w:name w:val="Table Grid"/>
    <w:basedOn w:val="TableNormal"/>
    <w:uiPriority w:val="59"/>
    <w:rsid w:val="00F7252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008F"/>
    <w:rPr>
      <w:sz w:val="26"/>
      <w:u w:val="single"/>
    </w:rPr>
  </w:style>
  <w:style w:type="character" w:customStyle="1" w:styleId="BodyTextChar">
    <w:name w:val="Body Text Char"/>
    <w:basedOn w:val="DefaultParagraphFont"/>
    <w:link w:val="BodyText"/>
    <w:rsid w:val="007E53E1"/>
    <w:rPr>
      <w:rFonts w:ascii="Courier" w:hAnsi="Courier"/>
      <w:sz w:val="26"/>
    </w:rPr>
  </w:style>
  <w:style w:type="character" w:customStyle="1" w:styleId="FooterChar">
    <w:name w:val="Footer Char"/>
    <w:basedOn w:val="DefaultParagraphFont"/>
    <w:link w:val="Footer"/>
    <w:uiPriority w:val="99"/>
    <w:rsid w:val="0011319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318"/>
    <w:rPr>
      <w:sz w:val="26"/>
    </w:rPr>
  </w:style>
  <w:style w:type="paragraph" w:styleId="Heading1">
    <w:name w:val="heading 1"/>
    <w:basedOn w:val="Normal"/>
    <w:next w:val="Normal"/>
    <w:link w:val="Heading1Char"/>
    <w:qFormat/>
    <w:rsid w:val="00237F1A"/>
    <w:pPr>
      <w:keepNext/>
      <w:jc w:val="center"/>
      <w:outlineLvl w:val="0"/>
    </w:pPr>
    <w:rPr>
      <w:u w:val="single"/>
    </w:rPr>
  </w:style>
  <w:style w:type="paragraph" w:styleId="Heading2">
    <w:name w:val="heading 2"/>
    <w:basedOn w:val="Normal"/>
    <w:next w:val="Normal"/>
    <w:qFormat/>
    <w:rsid w:val="00237F1A"/>
    <w:pPr>
      <w:keepNext/>
      <w:tabs>
        <w:tab w:val="left" w:pos="-720"/>
      </w:tabs>
      <w:suppressAutoHyphens/>
      <w:spacing w:line="480" w:lineRule="auto"/>
      <w:jc w:val="center"/>
      <w:outlineLvl w:val="1"/>
    </w:pPr>
    <w:rPr>
      <w:u w:val="single"/>
    </w:rPr>
  </w:style>
  <w:style w:type="paragraph" w:styleId="Heading4">
    <w:name w:val="heading 4"/>
    <w:basedOn w:val="Normal"/>
    <w:next w:val="Normal"/>
    <w:qFormat/>
    <w:rsid w:val="00237F1A"/>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37F1A"/>
    <w:pPr>
      <w:widowControl w:val="0"/>
    </w:pPr>
  </w:style>
  <w:style w:type="character" w:styleId="FootnoteReference">
    <w:name w:val="footnote reference"/>
    <w:aliases w:val="footnote text"/>
    <w:basedOn w:val="DefaultParagraphFont"/>
    <w:uiPriority w:val="99"/>
    <w:semiHidden/>
    <w:rsid w:val="00237F1A"/>
    <w:rPr>
      <w:vertAlign w:val="superscript"/>
    </w:rPr>
  </w:style>
  <w:style w:type="paragraph" w:styleId="Caption">
    <w:name w:val="caption"/>
    <w:basedOn w:val="Normal"/>
    <w:next w:val="Normal"/>
    <w:qFormat/>
    <w:rsid w:val="00237F1A"/>
    <w:pPr>
      <w:widowControl w:val="0"/>
    </w:pPr>
  </w:style>
  <w:style w:type="character" w:styleId="PageNumber">
    <w:name w:val="page number"/>
    <w:basedOn w:val="DefaultParagraphFont"/>
    <w:rsid w:val="00237F1A"/>
  </w:style>
  <w:style w:type="paragraph" w:styleId="Footer">
    <w:name w:val="footer"/>
    <w:basedOn w:val="Normal"/>
    <w:link w:val="FooterChar"/>
    <w:uiPriority w:val="99"/>
    <w:rsid w:val="00237F1A"/>
    <w:pPr>
      <w:tabs>
        <w:tab w:val="center" w:pos="4320"/>
        <w:tab w:val="right" w:pos="8640"/>
      </w:tabs>
    </w:pPr>
  </w:style>
  <w:style w:type="paragraph" w:styleId="Header">
    <w:name w:val="header"/>
    <w:basedOn w:val="Normal"/>
    <w:rsid w:val="00237F1A"/>
    <w:pPr>
      <w:tabs>
        <w:tab w:val="center" w:pos="4320"/>
        <w:tab w:val="right" w:pos="8640"/>
      </w:tabs>
    </w:pPr>
  </w:style>
  <w:style w:type="paragraph" w:styleId="Title">
    <w:name w:val="Title"/>
    <w:basedOn w:val="Normal"/>
    <w:qFormat/>
    <w:rsid w:val="00237F1A"/>
    <w:pPr>
      <w:jc w:val="center"/>
    </w:pPr>
    <w:rPr>
      <w:b/>
    </w:rPr>
  </w:style>
  <w:style w:type="paragraph" w:styleId="Subtitle">
    <w:name w:val="Subtitle"/>
    <w:basedOn w:val="Normal"/>
    <w:qFormat/>
    <w:rsid w:val="00237F1A"/>
    <w:pPr>
      <w:jc w:val="center"/>
    </w:pPr>
    <w:rPr>
      <w:b/>
    </w:rPr>
  </w:style>
  <w:style w:type="paragraph" w:styleId="BodyText">
    <w:name w:val="Body Text"/>
    <w:basedOn w:val="Normal"/>
    <w:link w:val="BodyTextChar"/>
    <w:rsid w:val="00237F1A"/>
    <w:pPr>
      <w:tabs>
        <w:tab w:val="left" w:pos="1980"/>
      </w:tabs>
      <w:spacing w:line="480" w:lineRule="auto"/>
      <w:jc w:val="both"/>
    </w:pPr>
    <w:rPr>
      <w:rFonts w:ascii="Courier" w:hAnsi="Courier"/>
    </w:rPr>
  </w:style>
  <w:style w:type="paragraph" w:styleId="BodyText3">
    <w:name w:val="Body Text 3"/>
    <w:basedOn w:val="Normal"/>
    <w:rsid w:val="00237F1A"/>
    <w:pPr>
      <w:tabs>
        <w:tab w:val="center" w:pos="4680"/>
      </w:tabs>
      <w:suppressAutoHyphens/>
      <w:spacing w:line="360" w:lineRule="auto"/>
      <w:jc w:val="both"/>
    </w:pPr>
    <w:rPr>
      <w:spacing w:val="-3"/>
    </w:rPr>
  </w:style>
  <w:style w:type="paragraph" w:styleId="BodyText2">
    <w:name w:val="Body Text 2"/>
    <w:basedOn w:val="Normal"/>
    <w:rsid w:val="00237F1A"/>
    <w:pPr>
      <w:tabs>
        <w:tab w:val="left" w:pos="-720"/>
      </w:tabs>
      <w:suppressAutoHyphens/>
      <w:spacing w:line="480" w:lineRule="auto"/>
    </w:pPr>
  </w:style>
  <w:style w:type="paragraph" w:styleId="BalloonText">
    <w:name w:val="Balloon Text"/>
    <w:basedOn w:val="Normal"/>
    <w:semiHidden/>
    <w:rsid w:val="00C37273"/>
    <w:rPr>
      <w:rFonts w:ascii="Tahoma" w:hAnsi="Tahoma" w:cs="Tahoma"/>
      <w:sz w:val="16"/>
      <w:szCs w:val="16"/>
    </w:rPr>
  </w:style>
  <w:style w:type="paragraph" w:styleId="CommentText">
    <w:name w:val="annotation text"/>
    <w:basedOn w:val="Normal"/>
    <w:semiHidden/>
    <w:rsid w:val="00A4781A"/>
    <w:rPr>
      <w:sz w:val="20"/>
    </w:rPr>
  </w:style>
  <w:style w:type="character" w:styleId="CommentReference">
    <w:name w:val="annotation reference"/>
    <w:basedOn w:val="DefaultParagraphFont"/>
    <w:semiHidden/>
    <w:rsid w:val="00A4781A"/>
    <w:rPr>
      <w:sz w:val="16"/>
      <w:szCs w:val="16"/>
    </w:rPr>
  </w:style>
  <w:style w:type="character" w:customStyle="1" w:styleId="FootnoteTextChar">
    <w:name w:val="Footnote Text Char"/>
    <w:basedOn w:val="DefaultParagraphFont"/>
    <w:link w:val="FootnoteText"/>
    <w:uiPriority w:val="99"/>
    <w:semiHidden/>
    <w:rsid w:val="008A23D0"/>
    <w:rPr>
      <w:sz w:val="26"/>
    </w:rPr>
  </w:style>
  <w:style w:type="paragraph" w:customStyle="1" w:styleId="OutlineL1">
    <w:name w:val="Outline_L1"/>
    <w:basedOn w:val="Normal"/>
    <w:next w:val="FootnoteText"/>
    <w:rsid w:val="008A23D0"/>
    <w:pPr>
      <w:keepNext/>
      <w:numPr>
        <w:numId w:val="5"/>
      </w:numPr>
      <w:spacing w:after="240"/>
      <w:jc w:val="center"/>
      <w:outlineLvl w:val="0"/>
    </w:pPr>
    <w:rPr>
      <w:rFonts w:ascii="Times New Roman Bold" w:hAnsi="Times New Roman Bold"/>
      <w:b/>
      <w:caps/>
      <w:sz w:val="24"/>
    </w:rPr>
  </w:style>
  <w:style w:type="paragraph" w:customStyle="1" w:styleId="OutlineL2">
    <w:name w:val="Outline_L2"/>
    <w:basedOn w:val="OutlineL1"/>
    <w:rsid w:val="008A23D0"/>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8A23D0"/>
    <w:pPr>
      <w:numPr>
        <w:ilvl w:val="2"/>
      </w:numPr>
      <w:spacing w:after="120"/>
      <w:outlineLvl w:val="2"/>
    </w:pPr>
  </w:style>
  <w:style w:type="paragraph" w:customStyle="1" w:styleId="OutlineL4">
    <w:name w:val="Outline_L4"/>
    <w:basedOn w:val="OutlineL3"/>
    <w:rsid w:val="008A23D0"/>
    <w:pPr>
      <w:numPr>
        <w:ilvl w:val="3"/>
      </w:numPr>
      <w:outlineLvl w:val="3"/>
    </w:pPr>
  </w:style>
  <w:style w:type="paragraph" w:customStyle="1" w:styleId="OutlineL5">
    <w:name w:val="Outline_L5"/>
    <w:basedOn w:val="OutlineL4"/>
    <w:rsid w:val="008A23D0"/>
    <w:pPr>
      <w:numPr>
        <w:ilvl w:val="4"/>
      </w:numPr>
      <w:spacing w:line="240" w:lineRule="auto"/>
      <w:outlineLvl w:val="4"/>
    </w:pPr>
  </w:style>
  <w:style w:type="paragraph" w:customStyle="1" w:styleId="OutlineL6">
    <w:name w:val="Outline_L6"/>
    <w:basedOn w:val="OutlineL5"/>
    <w:rsid w:val="008A23D0"/>
    <w:pPr>
      <w:numPr>
        <w:ilvl w:val="5"/>
      </w:numPr>
      <w:spacing w:after="240"/>
      <w:outlineLvl w:val="5"/>
    </w:pPr>
    <w:rPr>
      <w:szCs w:val="24"/>
    </w:rPr>
  </w:style>
  <w:style w:type="paragraph" w:customStyle="1" w:styleId="OutlineL7">
    <w:name w:val="Outline_L7"/>
    <w:basedOn w:val="OutlineL6"/>
    <w:rsid w:val="008A23D0"/>
    <w:pPr>
      <w:numPr>
        <w:ilvl w:val="6"/>
      </w:numPr>
      <w:outlineLvl w:val="6"/>
    </w:pPr>
    <w:rPr>
      <w:rFonts w:ascii="Times New Roman Bold" w:hAnsi="Times New Roman Bold"/>
      <w:b/>
    </w:rPr>
  </w:style>
  <w:style w:type="paragraph" w:customStyle="1" w:styleId="OutlineL8">
    <w:name w:val="Outline_L8"/>
    <w:basedOn w:val="OutlineL7"/>
    <w:rsid w:val="008A23D0"/>
    <w:pPr>
      <w:numPr>
        <w:ilvl w:val="7"/>
      </w:numPr>
      <w:outlineLvl w:val="7"/>
    </w:pPr>
  </w:style>
  <w:style w:type="paragraph" w:customStyle="1" w:styleId="OutlineL9">
    <w:name w:val="Outline_L9"/>
    <w:basedOn w:val="OutlineL8"/>
    <w:rsid w:val="008A23D0"/>
    <w:pPr>
      <w:numPr>
        <w:ilvl w:val="8"/>
      </w:numPr>
      <w:outlineLvl w:val="8"/>
    </w:pPr>
  </w:style>
  <w:style w:type="paragraph" w:styleId="PlainText">
    <w:name w:val="Plain Text"/>
    <w:basedOn w:val="Normal"/>
    <w:link w:val="PlainTextChar"/>
    <w:uiPriority w:val="99"/>
    <w:unhideWhenUsed/>
    <w:rsid w:val="00A71D4F"/>
    <w:rPr>
      <w:rFonts w:ascii="Consolas" w:eastAsia="Calibri" w:hAnsi="Consolas"/>
      <w:sz w:val="21"/>
      <w:szCs w:val="21"/>
    </w:rPr>
  </w:style>
  <w:style w:type="character" w:customStyle="1" w:styleId="PlainTextChar">
    <w:name w:val="Plain Text Char"/>
    <w:basedOn w:val="DefaultParagraphFont"/>
    <w:link w:val="PlainText"/>
    <w:uiPriority w:val="99"/>
    <w:rsid w:val="00A71D4F"/>
    <w:rPr>
      <w:rFonts w:ascii="Consolas" w:eastAsia="Calibri" w:hAnsi="Consolas"/>
      <w:sz w:val="21"/>
      <w:szCs w:val="21"/>
    </w:rPr>
  </w:style>
  <w:style w:type="paragraph" w:styleId="ListParagraph">
    <w:name w:val="List Paragraph"/>
    <w:basedOn w:val="Normal"/>
    <w:uiPriority w:val="34"/>
    <w:qFormat/>
    <w:rsid w:val="00730F69"/>
    <w:pPr>
      <w:ind w:left="720"/>
    </w:pPr>
  </w:style>
  <w:style w:type="paragraph" w:styleId="EnvelopeReturn">
    <w:name w:val="envelope return"/>
    <w:basedOn w:val="Normal"/>
    <w:rsid w:val="00F95C06"/>
    <w:rPr>
      <w:rFonts w:ascii="Arial Narrow" w:hAnsi="Arial Narrow"/>
      <w:sz w:val="24"/>
    </w:rPr>
  </w:style>
  <w:style w:type="paragraph" w:styleId="NormalWeb">
    <w:name w:val="Normal (Web)"/>
    <w:basedOn w:val="Normal"/>
    <w:uiPriority w:val="99"/>
    <w:unhideWhenUsed/>
    <w:rsid w:val="00F72525"/>
    <w:pPr>
      <w:spacing w:before="100" w:beforeAutospacing="1" w:after="100" w:afterAutospacing="1"/>
    </w:pPr>
    <w:rPr>
      <w:sz w:val="24"/>
      <w:szCs w:val="24"/>
    </w:rPr>
  </w:style>
  <w:style w:type="table" w:styleId="TableGrid">
    <w:name w:val="Table Grid"/>
    <w:basedOn w:val="TableNormal"/>
    <w:uiPriority w:val="59"/>
    <w:rsid w:val="00F7252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008F"/>
    <w:rPr>
      <w:sz w:val="26"/>
      <w:u w:val="single"/>
    </w:rPr>
  </w:style>
  <w:style w:type="character" w:customStyle="1" w:styleId="BodyTextChar">
    <w:name w:val="Body Text Char"/>
    <w:basedOn w:val="DefaultParagraphFont"/>
    <w:link w:val="BodyText"/>
    <w:rsid w:val="007E53E1"/>
    <w:rPr>
      <w:rFonts w:ascii="Courier" w:hAnsi="Courier"/>
      <w:sz w:val="26"/>
    </w:rPr>
  </w:style>
  <w:style w:type="character" w:customStyle="1" w:styleId="FooterChar">
    <w:name w:val="Footer Char"/>
    <w:basedOn w:val="DefaultParagraphFont"/>
    <w:link w:val="Footer"/>
    <w:uiPriority w:val="99"/>
    <w:rsid w:val="0011319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277">
      <w:bodyDiv w:val="1"/>
      <w:marLeft w:val="0"/>
      <w:marRight w:val="0"/>
      <w:marTop w:val="0"/>
      <w:marBottom w:val="0"/>
      <w:divBdr>
        <w:top w:val="none" w:sz="0" w:space="0" w:color="auto"/>
        <w:left w:val="none" w:sz="0" w:space="0" w:color="auto"/>
        <w:bottom w:val="none" w:sz="0" w:space="0" w:color="auto"/>
        <w:right w:val="none" w:sz="0" w:space="0" w:color="auto"/>
      </w:divBdr>
    </w:div>
    <w:div w:id="38626509">
      <w:bodyDiv w:val="1"/>
      <w:marLeft w:val="0"/>
      <w:marRight w:val="0"/>
      <w:marTop w:val="0"/>
      <w:marBottom w:val="0"/>
      <w:divBdr>
        <w:top w:val="none" w:sz="0" w:space="0" w:color="auto"/>
        <w:left w:val="none" w:sz="0" w:space="0" w:color="auto"/>
        <w:bottom w:val="none" w:sz="0" w:space="0" w:color="auto"/>
        <w:right w:val="none" w:sz="0" w:space="0" w:color="auto"/>
      </w:divBdr>
    </w:div>
    <w:div w:id="66540023">
      <w:bodyDiv w:val="1"/>
      <w:marLeft w:val="0"/>
      <w:marRight w:val="0"/>
      <w:marTop w:val="0"/>
      <w:marBottom w:val="0"/>
      <w:divBdr>
        <w:top w:val="none" w:sz="0" w:space="0" w:color="auto"/>
        <w:left w:val="none" w:sz="0" w:space="0" w:color="auto"/>
        <w:bottom w:val="none" w:sz="0" w:space="0" w:color="auto"/>
        <w:right w:val="none" w:sz="0" w:space="0" w:color="auto"/>
      </w:divBdr>
    </w:div>
    <w:div w:id="77145022">
      <w:bodyDiv w:val="1"/>
      <w:marLeft w:val="0"/>
      <w:marRight w:val="0"/>
      <w:marTop w:val="0"/>
      <w:marBottom w:val="0"/>
      <w:divBdr>
        <w:top w:val="none" w:sz="0" w:space="0" w:color="auto"/>
        <w:left w:val="none" w:sz="0" w:space="0" w:color="auto"/>
        <w:bottom w:val="none" w:sz="0" w:space="0" w:color="auto"/>
        <w:right w:val="none" w:sz="0" w:space="0" w:color="auto"/>
      </w:divBdr>
    </w:div>
    <w:div w:id="8192401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101192532">
      <w:bodyDiv w:val="1"/>
      <w:marLeft w:val="0"/>
      <w:marRight w:val="0"/>
      <w:marTop w:val="0"/>
      <w:marBottom w:val="0"/>
      <w:divBdr>
        <w:top w:val="none" w:sz="0" w:space="0" w:color="auto"/>
        <w:left w:val="none" w:sz="0" w:space="0" w:color="auto"/>
        <w:bottom w:val="none" w:sz="0" w:space="0" w:color="auto"/>
        <w:right w:val="none" w:sz="0" w:space="0" w:color="auto"/>
      </w:divBdr>
    </w:div>
    <w:div w:id="116803984">
      <w:bodyDiv w:val="1"/>
      <w:marLeft w:val="0"/>
      <w:marRight w:val="0"/>
      <w:marTop w:val="0"/>
      <w:marBottom w:val="0"/>
      <w:divBdr>
        <w:top w:val="none" w:sz="0" w:space="0" w:color="auto"/>
        <w:left w:val="none" w:sz="0" w:space="0" w:color="auto"/>
        <w:bottom w:val="none" w:sz="0" w:space="0" w:color="auto"/>
        <w:right w:val="none" w:sz="0" w:space="0" w:color="auto"/>
      </w:divBdr>
    </w:div>
    <w:div w:id="130633677">
      <w:bodyDiv w:val="1"/>
      <w:marLeft w:val="0"/>
      <w:marRight w:val="0"/>
      <w:marTop w:val="0"/>
      <w:marBottom w:val="0"/>
      <w:divBdr>
        <w:top w:val="none" w:sz="0" w:space="0" w:color="auto"/>
        <w:left w:val="none" w:sz="0" w:space="0" w:color="auto"/>
        <w:bottom w:val="none" w:sz="0" w:space="0" w:color="auto"/>
        <w:right w:val="none" w:sz="0" w:space="0" w:color="auto"/>
      </w:divBdr>
    </w:div>
    <w:div w:id="134222258">
      <w:bodyDiv w:val="1"/>
      <w:marLeft w:val="0"/>
      <w:marRight w:val="0"/>
      <w:marTop w:val="0"/>
      <w:marBottom w:val="0"/>
      <w:divBdr>
        <w:top w:val="none" w:sz="0" w:space="0" w:color="auto"/>
        <w:left w:val="none" w:sz="0" w:space="0" w:color="auto"/>
        <w:bottom w:val="none" w:sz="0" w:space="0" w:color="auto"/>
        <w:right w:val="none" w:sz="0" w:space="0" w:color="auto"/>
      </w:divBdr>
    </w:div>
    <w:div w:id="145782453">
      <w:bodyDiv w:val="1"/>
      <w:marLeft w:val="0"/>
      <w:marRight w:val="0"/>
      <w:marTop w:val="0"/>
      <w:marBottom w:val="0"/>
      <w:divBdr>
        <w:top w:val="none" w:sz="0" w:space="0" w:color="auto"/>
        <w:left w:val="none" w:sz="0" w:space="0" w:color="auto"/>
        <w:bottom w:val="none" w:sz="0" w:space="0" w:color="auto"/>
        <w:right w:val="none" w:sz="0" w:space="0" w:color="auto"/>
      </w:divBdr>
    </w:div>
    <w:div w:id="148403180">
      <w:bodyDiv w:val="1"/>
      <w:marLeft w:val="0"/>
      <w:marRight w:val="0"/>
      <w:marTop w:val="0"/>
      <w:marBottom w:val="0"/>
      <w:divBdr>
        <w:top w:val="none" w:sz="0" w:space="0" w:color="auto"/>
        <w:left w:val="none" w:sz="0" w:space="0" w:color="auto"/>
        <w:bottom w:val="none" w:sz="0" w:space="0" w:color="auto"/>
        <w:right w:val="none" w:sz="0" w:space="0" w:color="auto"/>
      </w:divBdr>
    </w:div>
    <w:div w:id="148905873">
      <w:bodyDiv w:val="1"/>
      <w:marLeft w:val="0"/>
      <w:marRight w:val="0"/>
      <w:marTop w:val="0"/>
      <w:marBottom w:val="0"/>
      <w:divBdr>
        <w:top w:val="none" w:sz="0" w:space="0" w:color="auto"/>
        <w:left w:val="none" w:sz="0" w:space="0" w:color="auto"/>
        <w:bottom w:val="none" w:sz="0" w:space="0" w:color="auto"/>
        <w:right w:val="none" w:sz="0" w:space="0" w:color="auto"/>
      </w:divBdr>
    </w:div>
    <w:div w:id="184833543">
      <w:bodyDiv w:val="1"/>
      <w:marLeft w:val="0"/>
      <w:marRight w:val="0"/>
      <w:marTop w:val="0"/>
      <w:marBottom w:val="0"/>
      <w:divBdr>
        <w:top w:val="none" w:sz="0" w:space="0" w:color="auto"/>
        <w:left w:val="none" w:sz="0" w:space="0" w:color="auto"/>
        <w:bottom w:val="none" w:sz="0" w:space="0" w:color="auto"/>
        <w:right w:val="none" w:sz="0" w:space="0" w:color="auto"/>
      </w:divBdr>
    </w:div>
    <w:div w:id="189731188">
      <w:bodyDiv w:val="1"/>
      <w:marLeft w:val="0"/>
      <w:marRight w:val="0"/>
      <w:marTop w:val="0"/>
      <w:marBottom w:val="0"/>
      <w:divBdr>
        <w:top w:val="none" w:sz="0" w:space="0" w:color="auto"/>
        <w:left w:val="none" w:sz="0" w:space="0" w:color="auto"/>
        <w:bottom w:val="none" w:sz="0" w:space="0" w:color="auto"/>
        <w:right w:val="none" w:sz="0" w:space="0" w:color="auto"/>
      </w:divBdr>
    </w:div>
    <w:div w:id="199559227">
      <w:bodyDiv w:val="1"/>
      <w:marLeft w:val="0"/>
      <w:marRight w:val="0"/>
      <w:marTop w:val="0"/>
      <w:marBottom w:val="0"/>
      <w:divBdr>
        <w:top w:val="none" w:sz="0" w:space="0" w:color="auto"/>
        <w:left w:val="none" w:sz="0" w:space="0" w:color="auto"/>
        <w:bottom w:val="none" w:sz="0" w:space="0" w:color="auto"/>
        <w:right w:val="none" w:sz="0" w:space="0" w:color="auto"/>
      </w:divBdr>
    </w:div>
    <w:div w:id="202641771">
      <w:bodyDiv w:val="1"/>
      <w:marLeft w:val="0"/>
      <w:marRight w:val="0"/>
      <w:marTop w:val="0"/>
      <w:marBottom w:val="0"/>
      <w:divBdr>
        <w:top w:val="none" w:sz="0" w:space="0" w:color="auto"/>
        <w:left w:val="none" w:sz="0" w:space="0" w:color="auto"/>
        <w:bottom w:val="none" w:sz="0" w:space="0" w:color="auto"/>
        <w:right w:val="none" w:sz="0" w:space="0" w:color="auto"/>
      </w:divBdr>
    </w:div>
    <w:div w:id="215092394">
      <w:bodyDiv w:val="1"/>
      <w:marLeft w:val="0"/>
      <w:marRight w:val="0"/>
      <w:marTop w:val="0"/>
      <w:marBottom w:val="0"/>
      <w:divBdr>
        <w:top w:val="none" w:sz="0" w:space="0" w:color="auto"/>
        <w:left w:val="none" w:sz="0" w:space="0" w:color="auto"/>
        <w:bottom w:val="none" w:sz="0" w:space="0" w:color="auto"/>
        <w:right w:val="none" w:sz="0" w:space="0" w:color="auto"/>
      </w:divBdr>
    </w:div>
    <w:div w:id="231545826">
      <w:bodyDiv w:val="1"/>
      <w:marLeft w:val="0"/>
      <w:marRight w:val="0"/>
      <w:marTop w:val="0"/>
      <w:marBottom w:val="0"/>
      <w:divBdr>
        <w:top w:val="none" w:sz="0" w:space="0" w:color="auto"/>
        <w:left w:val="none" w:sz="0" w:space="0" w:color="auto"/>
        <w:bottom w:val="none" w:sz="0" w:space="0" w:color="auto"/>
        <w:right w:val="none" w:sz="0" w:space="0" w:color="auto"/>
      </w:divBdr>
    </w:div>
    <w:div w:id="233321746">
      <w:bodyDiv w:val="1"/>
      <w:marLeft w:val="0"/>
      <w:marRight w:val="0"/>
      <w:marTop w:val="0"/>
      <w:marBottom w:val="0"/>
      <w:divBdr>
        <w:top w:val="none" w:sz="0" w:space="0" w:color="auto"/>
        <w:left w:val="none" w:sz="0" w:space="0" w:color="auto"/>
        <w:bottom w:val="none" w:sz="0" w:space="0" w:color="auto"/>
        <w:right w:val="none" w:sz="0" w:space="0" w:color="auto"/>
      </w:divBdr>
    </w:div>
    <w:div w:id="236400120">
      <w:bodyDiv w:val="1"/>
      <w:marLeft w:val="0"/>
      <w:marRight w:val="0"/>
      <w:marTop w:val="0"/>
      <w:marBottom w:val="0"/>
      <w:divBdr>
        <w:top w:val="none" w:sz="0" w:space="0" w:color="auto"/>
        <w:left w:val="none" w:sz="0" w:space="0" w:color="auto"/>
        <w:bottom w:val="none" w:sz="0" w:space="0" w:color="auto"/>
        <w:right w:val="none" w:sz="0" w:space="0" w:color="auto"/>
      </w:divBdr>
    </w:div>
    <w:div w:id="238949218">
      <w:bodyDiv w:val="1"/>
      <w:marLeft w:val="0"/>
      <w:marRight w:val="0"/>
      <w:marTop w:val="0"/>
      <w:marBottom w:val="0"/>
      <w:divBdr>
        <w:top w:val="none" w:sz="0" w:space="0" w:color="auto"/>
        <w:left w:val="none" w:sz="0" w:space="0" w:color="auto"/>
        <w:bottom w:val="none" w:sz="0" w:space="0" w:color="auto"/>
        <w:right w:val="none" w:sz="0" w:space="0" w:color="auto"/>
      </w:divBdr>
    </w:div>
    <w:div w:id="241333611">
      <w:bodyDiv w:val="1"/>
      <w:marLeft w:val="0"/>
      <w:marRight w:val="0"/>
      <w:marTop w:val="0"/>
      <w:marBottom w:val="0"/>
      <w:divBdr>
        <w:top w:val="none" w:sz="0" w:space="0" w:color="auto"/>
        <w:left w:val="none" w:sz="0" w:space="0" w:color="auto"/>
        <w:bottom w:val="none" w:sz="0" w:space="0" w:color="auto"/>
        <w:right w:val="none" w:sz="0" w:space="0" w:color="auto"/>
      </w:divBdr>
    </w:div>
    <w:div w:id="251361019">
      <w:bodyDiv w:val="1"/>
      <w:marLeft w:val="0"/>
      <w:marRight w:val="0"/>
      <w:marTop w:val="0"/>
      <w:marBottom w:val="0"/>
      <w:divBdr>
        <w:top w:val="none" w:sz="0" w:space="0" w:color="auto"/>
        <w:left w:val="none" w:sz="0" w:space="0" w:color="auto"/>
        <w:bottom w:val="none" w:sz="0" w:space="0" w:color="auto"/>
        <w:right w:val="none" w:sz="0" w:space="0" w:color="auto"/>
      </w:divBdr>
    </w:div>
    <w:div w:id="255284196">
      <w:bodyDiv w:val="1"/>
      <w:marLeft w:val="0"/>
      <w:marRight w:val="0"/>
      <w:marTop w:val="0"/>
      <w:marBottom w:val="0"/>
      <w:divBdr>
        <w:top w:val="none" w:sz="0" w:space="0" w:color="auto"/>
        <w:left w:val="none" w:sz="0" w:space="0" w:color="auto"/>
        <w:bottom w:val="none" w:sz="0" w:space="0" w:color="auto"/>
        <w:right w:val="none" w:sz="0" w:space="0" w:color="auto"/>
      </w:divBdr>
    </w:div>
    <w:div w:id="262566704">
      <w:bodyDiv w:val="1"/>
      <w:marLeft w:val="0"/>
      <w:marRight w:val="0"/>
      <w:marTop w:val="0"/>
      <w:marBottom w:val="0"/>
      <w:divBdr>
        <w:top w:val="none" w:sz="0" w:space="0" w:color="auto"/>
        <w:left w:val="none" w:sz="0" w:space="0" w:color="auto"/>
        <w:bottom w:val="none" w:sz="0" w:space="0" w:color="auto"/>
        <w:right w:val="none" w:sz="0" w:space="0" w:color="auto"/>
      </w:divBdr>
    </w:div>
    <w:div w:id="263348194">
      <w:bodyDiv w:val="1"/>
      <w:marLeft w:val="0"/>
      <w:marRight w:val="0"/>
      <w:marTop w:val="0"/>
      <w:marBottom w:val="0"/>
      <w:divBdr>
        <w:top w:val="none" w:sz="0" w:space="0" w:color="auto"/>
        <w:left w:val="none" w:sz="0" w:space="0" w:color="auto"/>
        <w:bottom w:val="none" w:sz="0" w:space="0" w:color="auto"/>
        <w:right w:val="none" w:sz="0" w:space="0" w:color="auto"/>
      </w:divBdr>
    </w:div>
    <w:div w:id="265381460">
      <w:bodyDiv w:val="1"/>
      <w:marLeft w:val="0"/>
      <w:marRight w:val="0"/>
      <w:marTop w:val="0"/>
      <w:marBottom w:val="0"/>
      <w:divBdr>
        <w:top w:val="none" w:sz="0" w:space="0" w:color="auto"/>
        <w:left w:val="none" w:sz="0" w:space="0" w:color="auto"/>
        <w:bottom w:val="none" w:sz="0" w:space="0" w:color="auto"/>
        <w:right w:val="none" w:sz="0" w:space="0" w:color="auto"/>
      </w:divBdr>
    </w:div>
    <w:div w:id="268122061">
      <w:bodyDiv w:val="1"/>
      <w:marLeft w:val="0"/>
      <w:marRight w:val="0"/>
      <w:marTop w:val="0"/>
      <w:marBottom w:val="0"/>
      <w:divBdr>
        <w:top w:val="none" w:sz="0" w:space="0" w:color="auto"/>
        <w:left w:val="none" w:sz="0" w:space="0" w:color="auto"/>
        <w:bottom w:val="none" w:sz="0" w:space="0" w:color="auto"/>
        <w:right w:val="none" w:sz="0" w:space="0" w:color="auto"/>
      </w:divBdr>
    </w:div>
    <w:div w:id="278536038">
      <w:bodyDiv w:val="1"/>
      <w:marLeft w:val="0"/>
      <w:marRight w:val="0"/>
      <w:marTop w:val="0"/>
      <w:marBottom w:val="0"/>
      <w:divBdr>
        <w:top w:val="none" w:sz="0" w:space="0" w:color="auto"/>
        <w:left w:val="none" w:sz="0" w:space="0" w:color="auto"/>
        <w:bottom w:val="none" w:sz="0" w:space="0" w:color="auto"/>
        <w:right w:val="none" w:sz="0" w:space="0" w:color="auto"/>
      </w:divBdr>
    </w:div>
    <w:div w:id="285744524">
      <w:bodyDiv w:val="1"/>
      <w:marLeft w:val="0"/>
      <w:marRight w:val="0"/>
      <w:marTop w:val="0"/>
      <w:marBottom w:val="0"/>
      <w:divBdr>
        <w:top w:val="none" w:sz="0" w:space="0" w:color="auto"/>
        <w:left w:val="none" w:sz="0" w:space="0" w:color="auto"/>
        <w:bottom w:val="none" w:sz="0" w:space="0" w:color="auto"/>
        <w:right w:val="none" w:sz="0" w:space="0" w:color="auto"/>
      </w:divBdr>
    </w:div>
    <w:div w:id="295109435">
      <w:bodyDiv w:val="1"/>
      <w:marLeft w:val="0"/>
      <w:marRight w:val="0"/>
      <w:marTop w:val="0"/>
      <w:marBottom w:val="0"/>
      <w:divBdr>
        <w:top w:val="none" w:sz="0" w:space="0" w:color="auto"/>
        <w:left w:val="none" w:sz="0" w:space="0" w:color="auto"/>
        <w:bottom w:val="none" w:sz="0" w:space="0" w:color="auto"/>
        <w:right w:val="none" w:sz="0" w:space="0" w:color="auto"/>
      </w:divBdr>
    </w:div>
    <w:div w:id="295573043">
      <w:bodyDiv w:val="1"/>
      <w:marLeft w:val="0"/>
      <w:marRight w:val="0"/>
      <w:marTop w:val="0"/>
      <w:marBottom w:val="0"/>
      <w:divBdr>
        <w:top w:val="none" w:sz="0" w:space="0" w:color="auto"/>
        <w:left w:val="none" w:sz="0" w:space="0" w:color="auto"/>
        <w:bottom w:val="none" w:sz="0" w:space="0" w:color="auto"/>
        <w:right w:val="none" w:sz="0" w:space="0" w:color="auto"/>
      </w:divBdr>
    </w:div>
    <w:div w:id="297104629">
      <w:bodyDiv w:val="1"/>
      <w:marLeft w:val="0"/>
      <w:marRight w:val="0"/>
      <w:marTop w:val="0"/>
      <w:marBottom w:val="0"/>
      <w:divBdr>
        <w:top w:val="none" w:sz="0" w:space="0" w:color="auto"/>
        <w:left w:val="none" w:sz="0" w:space="0" w:color="auto"/>
        <w:bottom w:val="none" w:sz="0" w:space="0" w:color="auto"/>
        <w:right w:val="none" w:sz="0" w:space="0" w:color="auto"/>
      </w:divBdr>
    </w:div>
    <w:div w:id="331876328">
      <w:bodyDiv w:val="1"/>
      <w:marLeft w:val="0"/>
      <w:marRight w:val="0"/>
      <w:marTop w:val="0"/>
      <w:marBottom w:val="0"/>
      <w:divBdr>
        <w:top w:val="none" w:sz="0" w:space="0" w:color="auto"/>
        <w:left w:val="none" w:sz="0" w:space="0" w:color="auto"/>
        <w:bottom w:val="none" w:sz="0" w:space="0" w:color="auto"/>
        <w:right w:val="none" w:sz="0" w:space="0" w:color="auto"/>
      </w:divBdr>
    </w:div>
    <w:div w:id="358943494">
      <w:bodyDiv w:val="1"/>
      <w:marLeft w:val="0"/>
      <w:marRight w:val="0"/>
      <w:marTop w:val="0"/>
      <w:marBottom w:val="0"/>
      <w:divBdr>
        <w:top w:val="none" w:sz="0" w:space="0" w:color="auto"/>
        <w:left w:val="none" w:sz="0" w:space="0" w:color="auto"/>
        <w:bottom w:val="none" w:sz="0" w:space="0" w:color="auto"/>
        <w:right w:val="none" w:sz="0" w:space="0" w:color="auto"/>
      </w:divBdr>
    </w:div>
    <w:div w:id="361177720">
      <w:bodyDiv w:val="1"/>
      <w:marLeft w:val="0"/>
      <w:marRight w:val="0"/>
      <w:marTop w:val="0"/>
      <w:marBottom w:val="0"/>
      <w:divBdr>
        <w:top w:val="none" w:sz="0" w:space="0" w:color="auto"/>
        <w:left w:val="none" w:sz="0" w:space="0" w:color="auto"/>
        <w:bottom w:val="none" w:sz="0" w:space="0" w:color="auto"/>
        <w:right w:val="none" w:sz="0" w:space="0" w:color="auto"/>
      </w:divBdr>
    </w:div>
    <w:div w:id="366292775">
      <w:bodyDiv w:val="1"/>
      <w:marLeft w:val="0"/>
      <w:marRight w:val="0"/>
      <w:marTop w:val="0"/>
      <w:marBottom w:val="0"/>
      <w:divBdr>
        <w:top w:val="none" w:sz="0" w:space="0" w:color="auto"/>
        <w:left w:val="none" w:sz="0" w:space="0" w:color="auto"/>
        <w:bottom w:val="none" w:sz="0" w:space="0" w:color="auto"/>
        <w:right w:val="none" w:sz="0" w:space="0" w:color="auto"/>
      </w:divBdr>
    </w:div>
    <w:div w:id="374938642">
      <w:bodyDiv w:val="1"/>
      <w:marLeft w:val="0"/>
      <w:marRight w:val="0"/>
      <w:marTop w:val="0"/>
      <w:marBottom w:val="0"/>
      <w:divBdr>
        <w:top w:val="none" w:sz="0" w:space="0" w:color="auto"/>
        <w:left w:val="none" w:sz="0" w:space="0" w:color="auto"/>
        <w:bottom w:val="none" w:sz="0" w:space="0" w:color="auto"/>
        <w:right w:val="none" w:sz="0" w:space="0" w:color="auto"/>
      </w:divBdr>
    </w:div>
    <w:div w:id="376441296">
      <w:bodyDiv w:val="1"/>
      <w:marLeft w:val="0"/>
      <w:marRight w:val="0"/>
      <w:marTop w:val="0"/>
      <w:marBottom w:val="0"/>
      <w:divBdr>
        <w:top w:val="none" w:sz="0" w:space="0" w:color="auto"/>
        <w:left w:val="none" w:sz="0" w:space="0" w:color="auto"/>
        <w:bottom w:val="none" w:sz="0" w:space="0" w:color="auto"/>
        <w:right w:val="none" w:sz="0" w:space="0" w:color="auto"/>
      </w:divBdr>
    </w:div>
    <w:div w:id="389305364">
      <w:bodyDiv w:val="1"/>
      <w:marLeft w:val="0"/>
      <w:marRight w:val="0"/>
      <w:marTop w:val="0"/>
      <w:marBottom w:val="0"/>
      <w:divBdr>
        <w:top w:val="none" w:sz="0" w:space="0" w:color="auto"/>
        <w:left w:val="none" w:sz="0" w:space="0" w:color="auto"/>
        <w:bottom w:val="none" w:sz="0" w:space="0" w:color="auto"/>
        <w:right w:val="none" w:sz="0" w:space="0" w:color="auto"/>
      </w:divBdr>
    </w:div>
    <w:div w:id="401373015">
      <w:bodyDiv w:val="1"/>
      <w:marLeft w:val="0"/>
      <w:marRight w:val="0"/>
      <w:marTop w:val="0"/>
      <w:marBottom w:val="0"/>
      <w:divBdr>
        <w:top w:val="none" w:sz="0" w:space="0" w:color="auto"/>
        <w:left w:val="none" w:sz="0" w:space="0" w:color="auto"/>
        <w:bottom w:val="none" w:sz="0" w:space="0" w:color="auto"/>
        <w:right w:val="none" w:sz="0" w:space="0" w:color="auto"/>
      </w:divBdr>
    </w:div>
    <w:div w:id="401563660">
      <w:bodyDiv w:val="1"/>
      <w:marLeft w:val="0"/>
      <w:marRight w:val="0"/>
      <w:marTop w:val="0"/>
      <w:marBottom w:val="0"/>
      <w:divBdr>
        <w:top w:val="none" w:sz="0" w:space="0" w:color="auto"/>
        <w:left w:val="none" w:sz="0" w:space="0" w:color="auto"/>
        <w:bottom w:val="none" w:sz="0" w:space="0" w:color="auto"/>
        <w:right w:val="none" w:sz="0" w:space="0" w:color="auto"/>
      </w:divBdr>
    </w:div>
    <w:div w:id="406075007">
      <w:bodyDiv w:val="1"/>
      <w:marLeft w:val="0"/>
      <w:marRight w:val="0"/>
      <w:marTop w:val="0"/>
      <w:marBottom w:val="0"/>
      <w:divBdr>
        <w:top w:val="none" w:sz="0" w:space="0" w:color="auto"/>
        <w:left w:val="none" w:sz="0" w:space="0" w:color="auto"/>
        <w:bottom w:val="none" w:sz="0" w:space="0" w:color="auto"/>
        <w:right w:val="none" w:sz="0" w:space="0" w:color="auto"/>
      </w:divBdr>
    </w:div>
    <w:div w:id="412167292">
      <w:bodyDiv w:val="1"/>
      <w:marLeft w:val="0"/>
      <w:marRight w:val="0"/>
      <w:marTop w:val="0"/>
      <w:marBottom w:val="0"/>
      <w:divBdr>
        <w:top w:val="none" w:sz="0" w:space="0" w:color="auto"/>
        <w:left w:val="none" w:sz="0" w:space="0" w:color="auto"/>
        <w:bottom w:val="none" w:sz="0" w:space="0" w:color="auto"/>
        <w:right w:val="none" w:sz="0" w:space="0" w:color="auto"/>
      </w:divBdr>
    </w:div>
    <w:div w:id="417558571">
      <w:bodyDiv w:val="1"/>
      <w:marLeft w:val="0"/>
      <w:marRight w:val="0"/>
      <w:marTop w:val="0"/>
      <w:marBottom w:val="0"/>
      <w:divBdr>
        <w:top w:val="none" w:sz="0" w:space="0" w:color="auto"/>
        <w:left w:val="none" w:sz="0" w:space="0" w:color="auto"/>
        <w:bottom w:val="none" w:sz="0" w:space="0" w:color="auto"/>
        <w:right w:val="none" w:sz="0" w:space="0" w:color="auto"/>
      </w:divBdr>
    </w:div>
    <w:div w:id="436143853">
      <w:bodyDiv w:val="1"/>
      <w:marLeft w:val="0"/>
      <w:marRight w:val="0"/>
      <w:marTop w:val="0"/>
      <w:marBottom w:val="0"/>
      <w:divBdr>
        <w:top w:val="none" w:sz="0" w:space="0" w:color="auto"/>
        <w:left w:val="none" w:sz="0" w:space="0" w:color="auto"/>
        <w:bottom w:val="none" w:sz="0" w:space="0" w:color="auto"/>
        <w:right w:val="none" w:sz="0" w:space="0" w:color="auto"/>
      </w:divBdr>
    </w:div>
    <w:div w:id="441346762">
      <w:bodyDiv w:val="1"/>
      <w:marLeft w:val="0"/>
      <w:marRight w:val="0"/>
      <w:marTop w:val="0"/>
      <w:marBottom w:val="0"/>
      <w:divBdr>
        <w:top w:val="none" w:sz="0" w:space="0" w:color="auto"/>
        <w:left w:val="none" w:sz="0" w:space="0" w:color="auto"/>
        <w:bottom w:val="none" w:sz="0" w:space="0" w:color="auto"/>
        <w:right w:val="none" w:sz="0" w:space="0" w:color="auto"/>
      </w:divBdr>
    </w:div>
    <w:div w:id="456685827">
      <w:bodyDiv w:val="1"/>
      <w:marLeft w:val="0"/>
      <w:marRight w:val="0"/>
      <w:marTop w:val="0"/>
      <w:marBottom w:val="0"/>
      <w:divBdr>
        <w:top w:val="none" w:sz="0" w:space="0" w:color="auto"/>
        <w:left w:val="none" w:sz="0" w:space="0" w:color="auto"/>
        <w:bottom w:val="none" w:sz="0" w:space="0" w:color="auto"/>
        <w:right w:val="none" w:sz="0" w:space="0" w:color="auto"/>
      </w:divBdr>
    </w:div>
    <w:div w:id="457576203">
      <w:bodyDiv w:val="1"/>
      <w:marLeft w:val="0"/>
      <w:marRight w:val="0"/>
      <w:marTop w:val="0"/>
      <w:marBottom w:val="0"/>
      <w:divBdr>
        <w:top w:val="none" w:sz="0" w:space="0" w:color="auto"/>
        <w:left w:val="none" w:sz="0" w:space="0" w:color="auto"/>
        <w:bottom w:val="none" w:sz="0" w:space="0" w:color="auto"/>
        <w:right w:val="none" w:sz="0" w:space="0" w:color="auto"/>
      </w:divBdr>
    </w:div>
    <w:div w:id="468010397">
      <w:bodyDiv w:val="1"/>
      <w:marLeft w:val="0"/>
      <w:marRight w:val="0"/>
      <w:marTop w:val="0"/>
      <w:marBottom w:val="0"/>
      <w:divBdr>
        <w:top w:val="none" w:sz="0" w:space="0" w:color="auto"/>
        <w:left w:val="none" w:sz="0" w:space="0" w:color="auto"/>
        <w:bottom w:val="none" w:sz="0" w:space="0" w:color="auto"/>
        <w:right w:val="none" w:sz="0" w:space="0" w:color="auto"/>
      </w:divBdr>
    </w:div>
    <w:div w:id="470053228">
      <w:bodyDiv w:val="1"/>
      <w:marLeft w:val="0"/>
      <w:marRight w:val="0"/>
      <w:marTop w:val="0"/>
      <w:marBottom w:val="0"/>
      <w:divBdr>
        <w:top w:val="none" w:sz="0" w:space="0" w:color="auto"/>
        <w:left w:val="none" w:sz="0" w:space="0" w:color="auto"/>
        <w:bottom w:val="none" w:sz="0" w:space="0" w:color="auto"/>
        <w:right w:val="none" w:sz="0" w:space="0" w:color="auto"/>
      </w:divBdr>
    </w:div>
    <w:div w:id="470368454">
      <w:bodyDiv w:val="1"/>
      <w:marLeft w:val="0"/>
      <w:marRight w:val="0"/>
      <w:marTop w:val="0"/>
      <w:marBottom w:val="0"/>
      <w:divBdr>
        <w:top w:val="none" w:sz="0" w:space="0" w:color="auto"/>
        <w:left w:val="none" w:sz="0" w:space="0" w:color="auto"/>
        <w:bottom w:val="none" w:sz="0" w:space="0" w:color="auto"/>
        <w:right w:val="none" w:sz="0" w:space="0" w:color="auto"/>
      </w:divBdr>
    </w:div>
    <w:div w:id="506872953">
      <w:bodyDiv w:val="1"/>
      <w:marLeft w:val="0"/>
      <w:marRight w:val="0"/>
      <w:marTop w:val="0"/>
      <w:marBottom w:val="0"/>
      <w:divBdr>
        <w:top w:val="none" w:sz="0" w:space="0" w:color="auto"/>
        <w:left w:val="none" w:sz="0" w:space="0" w:color="auto"/>
        <w:bottom w:val="none" w:sz="0" w:space="0" w:color="auto"/>
        <w:right w:val="none" w:sz="0" w:space="0" w:color="auto"/>
      </w:divBdr>
    </w:div>
    <w:div w:id="526679950">
      <w:bodyDiv w:val="1"/>
      <w:marLeft w:val="0"/>
      <w:marRight w:val="0"/>
      <w:marTop w:val="0"/>
      <w:marBottom w:val="0"/>
      <w:divBdr>
        <w:top w:val="none" w:sz="0" w:space="0" w:color="auto"/>
        <w:left w:val="none" w:sz="0" w:space="0" w:color="auto"/>
        <w:bottom w:val="none" w:sz="0" w:space="0" w:color="auto"/>
        <w:right w:val="none" w:sz="0" w:space="0" w:color="auto"/>
      </w:divBdr>
    </w:div>
    <w:div w:id="563763573">
      <w:bodyDiv w:val="1"/>
      <w:marLeft w:val="0"/>
      <w:marRight w:val="0"/>
      <w:marTop w:val="0"/>
      <w:marBottom w:val="0"/>
      <w:divBdr>
        <w:top w:val="none" w:sz="0" w:space="0" w:color="auto"/>
        <w:left w:val="none" w:sz="0" w:space="0" w:color="auto"/>
        <w:bottom w:val="none" w:sz="0" w:space="0" w:color="auto"/>
        <w:right w:val="none" w:sz="0" w:space="0" w:color="auto"/>
      </w:divBdr>
    </w:div>
    <w:div w:id="571425655">
      <w:bodyDiv w:val="1"/>
      <w:marLeft w:val="0"/>
      <w:marRight w:val="0"/>
      <w:marTop w:val="0"/>
      <w:marBottom w:val="0"/>
      <w:divBdr>
        <w:top w:val="none" w:sz="0" w:space="0" w:color="auto"/>
        <w:left w:val="none" w:sz="0" w:space="0" w:color="auto"/>
        <w:bottom w:val="none" w:sz="0" w:space="0" w:color="auto"/>
        <w:right w:val="none" w:sz="0" w:space="0" w:color="auto"/>
      </w:divBdr>
    </w:div>
    <w:div w:id="584148323">
      <w:bodyDiv w:val="1"/>
      <w:marLeft w:val="0"/>
      <w:marRight w:val="0"/>
      <w:marTop w:val="0"/>
      <w:marBottom w:val="0"/>
      <w:divBdr>
        <w:top w:val="none" w:sz="0" w:space="0" w:color="auto"/>
        <w:left w:val="none" w:sz="0" w:space="0" w:color="auto"/>
        <w:bottom w:val="none" w:sz="0" w:space="0" w:color="auto"/>
        <w:right w:val="none" w:sz="0" w:space="0" w:color="auto"/>
      </w:divBdr>
    </w:div>
    <w:div w:id="595794700">
      <w:bodyDiv w:val="1"/>
      <w:marLeft w:val="0"/>
      <w:marRight w:val="0"/>
      <w:marTop w:val="0"/>
      <w:marBottom w:val="0"/>
      <w:divBdr>
        <w:top w:val="none" w:sz="0" w:space="0" w:color="auto"/>
        <w:left w:val="none" w:sz="0" w:space="0" w:color="auto"/>
        <w:bottom w:val="none" w:sz="0" w:space="0" w:color="auto"/>
        <w:right w:val="none" w:sz="0" w:space="0" w:color="auto"/>
      </w:divBdr>
    </w:div>
    <w:div w:id="609708142">
      <w:bodyDiv w:val="1"/>
      <w:marLeft w:val="0"/>
      <w:marRight w:val="0"/>
      <w:marTop w:val="0"/>
      <w:marBottom w:val="0"/>
      <w:divBdr>
        <w:top w:val="none" w:sz="0" w:space="0" w:color="auto"/>
        <w:left w:val="none" w:sz="0" w:space="0" w:color="auto"/>
        <w:bottom w:val="none" w:sz="0" w:space="0" w:color="auto"/>
        <w:right w:val="none" w:sz="0" w:space="0" w:color="auto"/>
      </w:divBdr>
    </w:div>
    <w:div w:id="630984045">
      <w:bodyDiv w:val="1"/>
      <w:marLeft w:val="0"/>
      <w:marRight w:val="0"/>
      <w:marTop w:val="0"/>
      <w:marBottom w:val="0"/>
      <w:divBdr>
        <w:top w:val="none" w:sz="0" w:space="0" w:color="auto"/>
        <w:left w:val="none" w:sz="0" w:space="0" w:color="auto"/>
        <w:bottom w:val="none" w:sz="0" w:space="0" w:color="auto"/>
        <w:right w:val="none" w:sz="0" w:space="0" w:color="auto"/>
      </w:divBdr>
    </w:div>
    <w:div w:id="646589622">
      <w:bodyDiv w:val="1"/>
      <w:marLeft w:val="0"/>
      <w:marRight w:val="0"/>
      <w:marTop w:val="0"/>
      <w:marBottom w:val="0"/>
      <w:divBdr>
        <w:top w:val="none" w:sz="0" w:space="0" w:color="auto"/>
        <w:left w:val="none" w:sz="0" w:space="0" w:color="auto"/>
        <w:bottom w:val="none" w:sz="0" w:space="0" w:color="auto"/>
        <w:right w:val="none" w:sz="0" w:space="0" w:color="auto"/>
      </w:divBdr>
    </w:div>
    <w:div w:id="650906557">
      <w:bodyDiv w:val="1"/>
      <w:marLeft w:val="0"/>
      <w:marRight w:val="0"/>
      <w:marTop w:val="0"/>
      <w:marBottom w:val="0"/>
      <w:divBdr>
        <w:top w:val="none" w:sz="0" w:space="0" w:color="auto"/>
        <w:left w:val="none" w:sz="0" w:space="0" w:color="auto"/>
        <w:bottom w:val="none" w:sz="0" w:space="0" w:color="auto"/>
        <w:right w:val="none" w:sz="0" w:space="0" w:color="auto"/>
      </w:divBdr>
    </w:div>
    <w:div w:id="653729175">
      <w:bodyDiv w:val="1"/>
      <w:marLeft w:val="0"/>
      <w:marRight w:val="0"/>
      <w:marTop w:val="0"/>
      <w:marBottom w:val="0"/>
      <w:divBdr>
        <w:top w:val="none" w:sz="0" w:space="0" w:color="auto"/>
        <w:left w:val="none" w:sz="0" w:space="0" w:color="auto"/>
        <w:bottom w:val="none" w:sz="0" w:space="0" w:color="auto"/>
        <w:right w:val="none" w:sz="0" w:space="0" w:color="auto"/>
      </w:divBdr>
    </w:div>
    <w:div w:id="658853159">
      <w:bodyDiv w:val="1"/>
      <w:marLeft w:val="0"/>
      <w:marRight w:val="0"/>
      <w:marTop w:val="0"/>
      <w:marBottom w:val="0"/>
      <w:divBdr>
        <w:top w:val="none" w:sz="0" w:space="0" w:color="auto"/>
        <w:left w:val="none" w:sz="0" w:space="0" w:color="auto"/>
        <w:bottom w:val="none" w:sz="0" w:space="0" w:color="auto"/>
        <w:right w:val="none" w:sz="0" w:space="0" w:color="auto"/>
      </w:divBdr>
    </w:div>
    <w:div w:id="679548510">
      <w:bodyDiv w:val="1"/>
      <w:marLeft w:val="0"/>
      <w:marRight w:val="0"/>
      <w:marTop w:val="0"/>
      <w:marBottom w:val="0"/>
      <w:divBdr>
        <w:top w:val="none" w:sz="0" w:space="0" w:color="auto"/>
        <w:left w:val="none" w:sz="0" w:space="0" w:color="auto"/>
        <w:bottom w:val="none" w:sz="0" w:space="0" w:color="auto"/>
        <w:right w:val="none" w:sz="0" w:space="0" w:color="auto"/>
      </w:divBdr>
    </w:div>
    <w:div w:id="700521687">
      <w:bodyDiv w:val="1"/>
      <w:marLeft w:val="0"/>
      <w:marRight w:val="0"/>
      <w:marTop w:val="0"/>
      <w:marBottom w:val="0"/>
      <w:divBdr>
        <w:top w:val="none" w:sz="0" w:space="0" w:color="auto"/>
        <w:left w:val="none" w:sz="0" w:space="0" w:color="auto"/>
        <w:bottom w:val="none" w:sz="0" w:space="0" w:color="auto"/>
        <w:right w:val="none" w:sz="0" w:space="0" w:color="auto"/>
      </w:divBdr>
    </w:div>
    <w:div w:id="718552217">
      <w:bodyDiv w:val="1"/>
      <w:marLeft w:val="0"/>
      <w:marRight w:val="0"/>
      <w:marTop w:val="0"/>
      <w:marBottom w:val="0"/>
      <w:divBdr>
        <w:top w:val="none" w:sz="0" w:space="0" w:color="auto"/>
        <w:left w:val="none" w:sz="0" w:space="0" w:color="auto"/>
        <w:bottom w:val="none" w:sz="0" w:space="0" w:color="auto"/>
        <w:right w:val="none" w:sz="0" w:space="0" w:color="auto"/>
      </w:divBdr>
    </w:div>
    <w:div w:id="738945918">
      <w:bodyDiv w:val="1"/>
      <w:marLeft w:val="0"/>
      <w:marRight w:val="0"/>
      <w:marTop w:val="0"/>
      <w:marBottom w:val="0"/>
      <w:divBdr>
        <w:top w:val="none" w:sz="0" w:space="0" w:color="auto"/>
        <w:left w:val="none" w:sz="0" w:space="0" w:color="auto"/>
        <w:bottom w:val="none" w:sz="0" w:space="0" w:color="auto"/>
        <w:right w:val="none" w:sz="0" w:space="0" w:color="auto"/>
      </w:divBdr>
    </w:div>
    <w:div w:id="739210655">
      <w:bodyDiv w:val="1"/>
      <w:marLeft w:val="0"/>
      <w:marRight w:val="0"/>
      <w:marTop w:val="0"/>
      <w:marBottom w:val="0"/>
      <w:divBdr>
        <w:top w:val="none" w:sz="0" w:space="0" w:color="auto"/>
        <w:left w:val="none" w:sz="0" w:space="0" w:color="auto"/>
        <w:bottom w:val="none" w:sz="0" w:space="0" w:color="auto"/>
        <w:right w:val="none" w:sz="0" w:space="0" w:color="auto"/>
      </w:divBdr>
    </w:div>
    <w:div w:id="748162878">
      <w:bodyDiv w:val="1"/>
      <w:marLeft w:val="0"/>
      <w:marRight w:val="0"/>
      <w:marTop w:val="0"/>
      <w:marBottom w:val="0"/>
      <w:divBdr>
        <w:top w:val="none" w:sz="0" w:space="0" w:color="auto"/>
        <w:left w:val="none" w:sz="0" w:space="0" w:color="auto"/>
        <w:bottom w:val="none" w:sz="0" w:space="0" w:color="auto"/>
        <w:right w:val="none" w:sz="0" w:space="0" w:color="auto"/>
      </w:divBdr>
    </w:div>
    <w:div w:id="761069760">
      <w:bodyDiv w:val="1"/>
      <w:marLeft w:val="0"/>
      <w:marRight w:val="0"/>
      <w:marTop w:val="0"/>
      <w:marBottom w:val="0"/>
      <w:divBdr>
        <w:top w:val="none" w:sz="0" w:space="0" w:color="auto"/>
        <w:left w:val="none" w:sz="0" w:space="0" w:color="auto"/>
        <w:bottom w:val="none" w:sz="0" w:space="0" w:color="auto"/>
        <w:right w:val="none" w:sz="0" w:space="0" w:color="auto"/>
      </w:divBdr>
    </w:div>
    <w:div w:id="783883741">
      <w:bodyDiv w:val="1"/>
      <w:marLeft w:val="0"/>
      <w:marRight w:val="0"/>
      <w:marTop w:val="0"/>
      <w:marBottom w:val="0"/>
      <w:divBdr>
        <w:top w:val="none" w:sz="0" w:space="0" w:color="auto"/>
        <w:left w:val="none" w:sz="0" w:space="0" w:color="auto"/>
        <w:bottom w:val="none" w:sz="0" w:space="0" w:color="auto"/>
        <w:right w:val="none" w:sz="0" w:space="0" w:color="auto"/>
      </w:divBdr>
    </w:div>
    <w:div w:id="785196109">
      <w:bodyDiv w:val="1"/>
      <w:marLeft w:val="0"/>
      <w:marRight w:val="0"/>
      <w:marTop w:val="0"/>
      <w:marBottom w:val="0"/>
      <w:divBdr>
        <w:top w:val="none" w:sz="0" w:space="0" w:color="auto"/>
        <w:left w:val="none" w:sz="0" w:space="0" w:color="auto"/>
        <w:bottom w:val="none" w:sz="0" w:space="0" w:color="auto"/>
        <w:right w:val="none" w:sz="0" w:space="0" w:color="auto"/>
      </w:divBdr>
    </w:div>
    <w:div w:id="790128350">
      <w:bodyDiv w:val="1"/>
      <w:marLeft w:val="0"/>
      <w:marRight w:val="0"/>
      <w:marTop w:val="0"/>
      <w:marBottom w:val="0"/>
      <w:divBdr>
        <w:top w:val="none" w:sz="0" w:space="0" w:color="auto"/>
        <w:left w:val="none" w:sz="0" w:space="0" w:color="auto"/>
        <w:bottom w:val="none" w:sz="0" w:space="0" w:color="auto"/>
        <w:right w:val="none" w:sz="0" w:space="0" w:color="auto"/>
      </w:divBdr>
    </w:div>
    <w:div w:id="797335849">
      <w:bodyDiv w:val="1"/>
      <w:marLeft w:val="0"/>
      <w:marRight w:val="0"/>
      <w:marTop w:val="0"/>
      <w:marBottom w:val="0"/>
      <w:divBdr>
        <w:top w:val="none" w:sz="0" w:space="0" w:color="auto"/>
        <w:left w:val="none" w:sz="0" w:space="0" w:color="auto"/>
        <w:bottom w:val="none" w:sz="0" w:space="0" w:color="auto"/>
        <w:right w:val="none" w:sz="0" w:space="0" w:color="auto"/>
      </w:divBdr>
    </w:div>
    <w:div w:id="804469952">
      <w:bodyDiv w:val="1"/>
      <w:marLeft w:val="0"/>
      <w:marRight w:val="0"/>
      <w:marTop w:val="0"/>
      <w:marBottom w:val="0"/>
      <w:divBdr>
        <w:top w:val="none" w:sz="0" w:space="0" w:color="auto"/>
        <w:left w:val="none" w:sz="0" w:space="0" w:color="auto"/>
        <w:bottom w:val="none" w:sz="0" w:space="0" w:color="auto"/>
        <w:right w:val="none" w:sz="0" w:space="0" w:color="auto"/>
      </w:divBdr>
    </w:div>
    <w:div w:id="804548940">
      <w:bodyDiv w:val="1"/>
      <w:marLeft w:val="0"/>
      <w:marRight w:val="0"/>
      <w:marTop w:val="0"/>
      <w:marBottom w:val="0"/>
      <w:divBdr>
        <w:top w:val="none" w:sz="0" w:space="0" w:color="auto"/>
        <w:left w:val="none" w:sz="0" w:space="0" w:color="auto"/>
        <w:bottom w:val="none" w:sz="0" w:space="0" w:color="auto"/>
        <w:right w:val="none" w:sz="0" w:space="0" w:color="auto"/>
      </w:divBdr>
    </w:div>
    <w:div w:id="810945145">
      <w:bodyDiv w:val="1"/>
      <w:marLeft w:val="0"/>
      <w:marRight w:val="0"/>
      <w:marTop w:val="0"/>
      <w:marBottom w:val="0"/>
      <w:divBdr>
        <w:top w:val="none" w:sz="0" w:space="0" w:color="auto"/>
        <w:left w:val="none" w:sz="0" w:space="0" w:color="auto"/>
        <w:bottom w:val="none" w:sz="0" w:space="0" w:color="auto"/>
        <w:right w:val="none" w:sz="0" w:space="0" w:color="auto"/>
      </w:divBdr>
    </w:div>
    <w:div w:id="831678375">
      <w:bodyDiv w:val="1"/>
      <w:marLeft w:val="0"/>
      <w:marRight w:val="0"/>
      <w:marTop w:val="0"/>
      <w:marBottom w:val="0"/>
      <w:divBdr>
        <w:top w:val="none" w:sz="0" w:space="0" w:color="auto"/>
        <w:left w:val="none" w:sz="0" w:space="0" w:color="auto"/>
        <w:bottom w:val="none" w:sz="0" w:space="0" w:color="auto"/>
        <w:right w:val="none" w:sz="0" w:space="0" w:color="auto"/>
      </w:divBdr>
    </w:div>
    <w:div w:id="853039194">
      <w:bodyDiv w:val="1"/>
      <w:marLeft w:val="0"/>
      <w:marRight w:val="0"/>
      <w:marTop w:val="0"/>
      <w:marBottom w:val="0"/>
      <w:divBdr>
        <w:top w:val="none" w:sz="0" w:space="0" w:color="auto"/>
        <w:left w:val="none" w:sz="0" w:space="0" w:color="auto"/>
        <w:bottom w:val="none" w:sz="0" w:space="0" w:color="auto"/>
        <w:right w:val="none" w:sz="0" w:space="0" w:color="auto"/>
      </w:divBdr>
    </w:div>
    <w:div w:id="856894573">
      <w:bodyDiv w:val="1"/>
      <w:marLeft w:val="0"/>
      <w:marRight w:val="0"/>
      <w:marTop w:val="0"/>
      <w:marBottom w:val="0"/>
      <w:divBdr>
        <w:top w:val="none" w:sz="0" w:space="0" w:color="auto"/>
        <w:left w:val="none" w:sz="0" w:space="0" w:color="auto"/>
        <w:bottom w:val="none" w:sz="0" w:space="0" w:color="auto"/>
        <w:right w:val="none" w:sz="0" w:space="0" w:color="auto"/>
      </w:divBdr>
    </w:div>
    <w:div w:id="875237237">
      <w:bodyDiv w:val="1"/>
      <w:marLeft w:val="0"/>
      <w:marRight w:val="0"/>
      <w:marTop w:val="0"/>
      <w:marBottom w:val="0"/>
      <w:divBdr>
        <w:top w:val="none" w:sz="0" w:space="0" w:color="auto"/>
        <w:left w:val="none" w:sz="0" w:space="0" w:color="auto"/>
        <w:bottom w:val="none" w:sz="0" w:space="0" w:color="auto"/>
        <w:right w:val="none" w:sz="0" w:space="0" w:color="auto"/>
      </w:divBdr>
    </w:div>
    <w:div w:id="888759073">
      <w:bodyDiv w:val="1"/>
      <w:marLeft w:val="0"/>
      <w:marRight w:val="0"/>
      <w:marTop w:val="0"/>
      <w:marBottom w:val="0"/>
      <w:divBdr>
        <w:top w:val="none" w:sz="0" w:space="0" w:color="auto"/>
        <w:left w:val="none" w:sz="0" w:space="0" w:color="auto"/>
        <w:bottom w:val="none" w:sz="0" w:space="0" w:color="auto"/>
        <w:right w:val="none" w:sz="0" w:space="0" w:color="auto"/>
      </w:divBdr>
    </w:div>
    <w:div w:id="895354691">
      <w:bodyDiv w:val="1"/>
      <w:marLeft w:val="0"/>
      <w:marRight w:val="0"/>
      <w:marTop w:val="0"/>
      <w:marBottom w:val="0"/>
      <w:divBdr>
        <w:top w:val="none" w:sz="0" w:space="0" w:color="auto"/>
        <w:left w:val="none" w:sz="0" w:space="0" w:color="auto"/>
        <w:bottom w:val="none" w:sz="0" w:space="0" w:color="auto"/>
        <w:right w:val="none" w:sz="0" w:space="0" w:color="auto"/>
      </w:divBdr>
    </w:div>
    <w:div w:id="898592656">
      <w:bodyDiv w:val="1"/>
      <w:marLeft w:val="0"/>
      <w:marRight w:val="0"/>
      <w:marTop w:val="0"/>
      <w:marBottom w:val="0"/>
      <w:divBdr>
        <w:top w:val="none" w:sz="0" w:space="0" w:color="auto"/>
        <w:left w:val="none" w:sz="0" w:space="0" w:color="auto"/>
        <w:bottom w:val="none" w:sz="0" w:space="0" w:color="auto"/>
        <w:right w:val="none" w:sz="0" w:space="0" w:color="auto"/>
      </w:divBdr>
    </w:div>
    <w:div w:id="904804306">
      <w:bodyDiv w:val="1"/>
      <w:marLeft w:val="0"/>
      <w:marRight w:val="0"/>
      <w:marTop w:val="0"/>
      <w:marBottom w:val="0"/>
      <w:divBdr>
        <w:top w:val="none" w:sz="0" w:space="0" w:color="auto"/>
        <w:left w:val="none" w:sz="0" w:space="0" w:color="auto"/>
        <w:bottom w:val="none" w:sz="0" w:space="0" w:color="auto"/>
        <w:right w:val="none" w:sz="0" w:space="0" w:color="auto"/>
      </w:divBdr>
    </w:div>
    <w:div w:id="917790838">
      <w:bodyDiv w:val="1"/>
      <w:marLeft w:val="0"/>
      <w:marRight w:val="0"/>
      <w:marTop w:val="0"/>
      <w:marBottom w:val="0"/>
      <w:divBdr>
        <w:top w:val="none" w:sz="0" w:space="0" w:color="auto"/>
        <w:left w:val="none" w:sz="0" w:space="0" w:color="auto"/>
        <w:bottom w:val="none" w:sz="0" w:space="0" w:color="auto"/>
        <w:right w:val="none" w:sz="0" w:space="0" w:color="auto"/>
      </w:divBdr>
    </w:div>
    <w:div w:id="920211246">
      <w:bodyDiv w:val="1"/>
      <w:marLeft w:val="0"/>
      <w:marRight w:val="0"/>
      <w:marTop w:val="0"/>
      <w:marBottom w:val="0"/>
      <w:divBdr>
        <w:top w:val="none" w:sz="0" w:space="0" w:color="auto"/>
        <w:left w:val="none" w:sz="0" w:space="0" w:color="auto"/>
        <w:bottom w:val="none" w:sz="0" w:space="0" w:color="auto"/>
        <w:right w:val="none" w:sz="0" w:space="0" w:color="auto"/>
      </w:divBdr>
    </w:div>
    <w:div w:id="923878452">
      <w:bodyDiv w:val="1"/>
      <w:marLeft w:val="0"/>
      <w:marRight w:val="0"/>
      <w:marTop w:val="0"/>
      <w:marBottom w:val="0"/>
      <w:divBdr>
        <w:top w:val="none" w:sz="0" w:space="0" w:color="auto"/>
        <w:left w:val="none" w:sz="0" w:space="0" w:color="auto"/>
        <w:bottom w:val="none" w:sz="0" w:space="0" w:color="auto"/>
        <w:right w:val="none" w:sz="0" w:space="0" w:color="auto"/>
      </w:divBdr>
    </w:div>
    <w:div w:id="944848809">
      <w:bodyDiv w:val="1"/>
      <w:marLeft w:val="0"/>
      <w:marRight w:val="0"/>
      <w:marTop w:val="0"/>
      <w:marBottom w:val="0"/>
      <w:divBdr>
        <w:top w:val="none" w:sz="0" w:space="0" w:color="auto"/>
        <w:left w:val="none" w:sz="0" w:space="0" w:color="auto"/>
        <w:bottom w:val="none" w:sz="0" w:space="0" w:color="auto"/>
        <w:right w:val="none" w:sz="0" w:space="0" w:color="auto"/>
      </w:divBdr>
    </w:div>
    <w:div w:id="951281901">
      <w:bodyDiv w:val="1"/>
      <w:marLeft w:val="0"/>
      <w:marRight w:val="0"/>
      <w:marTop w:val="0"/>
      <w:marBottom w:val="0"/>
      <w:divBdr>
        <w:top w:val="none" w:sz="0" w:space="0" w:color="auto"/>
        <w:left w:val="none" w:sz="0" w:space="0" w:color="auto"/>
        <w:bottom w:val="none" w:sz="0" w:space="0" w:color="auto"/>
        <w:right w:val="none" w:sz="0" w:space="0" w:color="auto"/>
      </w:divBdr>
    </w:div>
    <w:div w:id="954101124">
      <w:bodyDiv w:val="1"/>
      <w:marLeft w:val="0"/>
      <w:marRight w:val="0"/>
      <w:marTop w:val="0"/>
      <w:marBottom w:val="0"/>
      <w:divBdr>
        <w:top w:val="none" w:sz="0" w:space="0" w:color="auto"/>
        <w:left w:val="none" w:sz="0" w:space="0" w:color="auto"/>
        <w:bottom w:val="none" w:sz="0" w:space="0" w:color="auto"/>
        <w:right w:val="none" w:sz="0" w:space="0" w:color="auto"/>
      </w:divBdr>
    </w:div>
    <w:div w:id="955864896">
      <w:bodyDiv w:val="1"/>
      <w:marLeft w:val="0"/>
      <w:marRight w:val="0"/>
      <w:marTop w:val="0"/>
      <w:marBottom w:val="0"/>
      <w:divBdr>
        <w:top w:val="none" w:sz="0" w:space="0" w:color="auto"/>
        <w:left w:val="none" w:sz="0" w:space="0" w:color="auto"/>
        <w:bottom w:val="none" w:sz="0" w:space="0" w:color="auto"/>
        <w:right w:val="none" w:sz="0" w:space="0" w:color="auto"/>
      </w:divBdr>
    </w:div>
    <w:div w:id="975835219">
      <w:bodyDiv w:val="1"/>
      <w:marLeft w:val="0"/>
      <w:marRight w:val="0"/>
      <w:marTop w:val="0"/>
      <w:marBottom w:val="0"/>
      <w:divBdr>
        <w:top w:val="none" w:sz="0" w:space="0" w:color="auto"/>
        <w:left w:val="none" w:sz="0" w:space="0" w:color="auto"/>
        <w:bottom w:val="none" w:sz="0" w:space="0" w:color="auto"/>
        <w:right w:val="none" w:sz="0" w:space="0" w:color="auto"/>
      </w:divBdr>
    </w:div>
    <w:div w:id="975914885">
      <w:bodyDiv w:val="1"/>
      <w:marLeft w:val="0"/>
      <w:marRight w:val="0"/>
      <w:marTop w:val="0"/>
      <w:marBottom w:val="0"/>
      <w:divBdr>
        <w:top w:val="none" w:sz="0" w:space="0" w:color="auto"/>
        <w:left w:val="none" w:sz="0" w:space="0" w:color="auto"/>
        <w:bottom w:val="none" w:sz="0" w:space="0" w:color="auto"/>
        <w:right w:val="none" w:sz="0" w:space="0" w:color="auto"/>
      </w:divBdr>
    </w:div>
    <w:div w:id="980186331">
      <w:bodyDiv w:val="1"/>
      <w:marLeft w:val="0"/>
      <w:marRight w:val="0"/>
      <w:marTop w:val="0"/>
      <w:marBottom w:val="0"/>
      <w:divBdr>
        <w:top w:val="none" w:sz="0" w:space="0" w:color="auto"/>
        <w:left w:val="none" w:sz="0" w:space="0" w:color="auto"/>
        <w:bottom w:val="none" w:sz="0" w:space="0" w:color="auto"/>
        <w:right w:val="none" w:sz="0" w:space="0" w:color="auto"/>
      </w:divBdr>
    </w:div>
    <w:div w:id="984696252">
      <w:bodyDiv w:val="1"/>
      <w:marLeft w:val="0"/>
      <w:marRight w:val="0"/>
      <w:marTop w:val="0"/>
      <w:marBottom w:val="0"/>
      <w:divBdr>
        <w:top w:val="none" w:sz="0" w:space="0" w:color="auto"/>
        <w:left w:val="none" w:sz="0" w:space="0" w:color="auto"/>
        <w:bottom w:val="none" w:sz="0" w:space="0" w:color="auto"/>
        <w:right w:val="none" w:sz="0" w:space="0" w:color="auto"/>
      </w:divBdr>
    </w:div>
    <w:div w:id="991757191">
      <w:bodyDiv w:val="1"/>
      <w:marLeft w:val="0"/>
      <w:marRight w:val="0"/>
      <w:marTop w:val="0"/>
      <w:marBottom w:val="0"/>
      <w:divBdr>
        <w:top w:val="none" w:sz="0" w:space="0" w:color="auto"/>
        <w:left w:val="none" w:sz="0" w:space="0" w:color="auto"/>
        <w:bottom w:val="none" w:sz="0" w:space="0" w:color="auto"/>
        <w:right w:val="none" w:sz="0" w:space="0" w:color="auto"/>
      </w:divBdr>
    </w:div>
    <w:div w:id="1002314297">
      <w:bodyDiv w:val="1"/>
      <w:marLeft w:val="0"/>
      <w:marRight w:val="0"/>
      <w:marTop w:val="0"/>
      <w:marBottom w:val="0"/>
      <w:divBdr>
        <w:top w:val="none" w:sz="0" w:space="0" w:color="auto"/>
        <w:left w:val="none" w:sz="0" w:space="0" w:color="auto"/>
        <w:bottom w:val="none" w:sz="0" w:space="0" w:color="auto"/>
        <w:right w:val="none" w:sz="0" w:space="0" w:color="auto"/>
      </w:divBdr>
    </w:div>
    <w:div w:id="1006904449">
      <w:bodyDiv w:val="1"/>
      <w:marLeft w:val="0"/>
      <w:marRight w:val="0"/>
      <w:marTop w:val="0"/>
      <w:marBottom w:val="0"/>
      <w:divBdr>
        <w:top w:val="none" w:sz="0" w:space="0" w:color="auto"/>
        <w:left w:val="none" w:sz="0" w:space="0" w:color="auto"/>
        <w:bottom w:val="none" w:sz="0" w:space="0" w:color="auto"/>
        <w:right w:val="none" w:sz="0" w:space="0" w:color="auto"/>
      </w:divBdr>
    </w:div>
    <w:div w:id="1026366429">
      <w:bodyDiv w:val="1"/>
      <w:marLeft w:val="0"/>
      <w:marRight w:val="0"/>
      <w:marTop w:val="0"/>
      <w:marBottom w:val="0"/>
      <w:divBdr>
        <w:top w:val="none" w:sz="0" w:space="0" w:color="auto"/>
        <w:left w:val="none" w:sz="0" w:space="0" w:color="auto"/>
        <w:bottom w:val="none" w:sz="0" w:space="0" w:color="auto"/>
        <w:right w:val="none" w:sz="0" w:space="0" w:color="auto"/>
      </w:divBdr>
    </w:div>
    <w:div w:id="1035541243">
      <w:bodyDiv w:val="1"/>
      <w:marLeft w:val="0"/>
      <w:marRight w:val="0"/>
      <w:marTop w:val="0"/>
      <w:marBottom w:val="0"/>
      <w:divBdr>
        <w:top w:val="none" w:sz="0" w:space="0" w:color="auto"/>
        <w:left w:val="none" w:sz="0" w:space="0" w:color="auto"/>
        <w:bottom w:val="none" w:sz="0" w:space="0" w:color="auto"/>
        <w:right w:val="none" w:sz="0" w:space="0" w:color="auto"/>
      </w:divBdr>
    </w:div>
    <w:div w:id="1057054049">
      <w:bodyDiv w:val="1"/>
      <w:marLeft w:val="0"/>
      <w:marRight w:val="0"/>
      <w:marTop w:val="0"/>
      <w:marBottom w:val="0"/>
      <w:divBdr>
        <w:top w:val="none" w:sz="0" w:space="0" w:color="auto"/>
        <w:left w:val="none" w:sz="0" w:space="0" w:color="auto"/>
        <w:bottom w:val="none" w:sz="0" w:space="0" w:color="auto"/>
        <w:right w:val="none" w:sz="0" w:space="0" w:color="auto"/>
      </w:divBdr>
    </w:div>
    <w:div w:id="1064178196">
      <w:bodyDiv w:val="1"/>
      <w:marLeft w:val="0"/>
      <w:marRight w:val="0"/>
      <w:marTop w:val="0"/>
      <w:marBottom w:val="0"/>
      <w:divBdr>
        <w:top w:val="none" w:sz="0" w:space="0" w:color="auto"/>
        <w:left w:val="none" w:sz="0" w:space="0" w:color="auto"/>
        <w:bottom w:val="none" w:sz="0" w:space="0" w:color="auto"/>
        <w:right w:val="none" w:sz="0" w:space="0" w:color="auto"/>
      </w:divBdr>
    </w:div>
    <w:div w:id="1069380928">
      <w:bodyDiv w:val="1"/>
      <w:marLeft w:val="0"/>
      <w:marRight w:val="0"/>
      <w:marTop w:val="0"/>
      <w:marBottom w:val="0"/>
      <w:divBdr>
        <w:top w:val="none" w:sz="0" w:space="0" w:color="auto"/>
        <w:left w:val="none" w:sz="0" w:space="0" w:color="auto"/>
        <w:bottom w:val="none" w:sz="0" w:space="0" w:color="auto"/>
        <w:right w:val="none" w:sz="0" w:space="0" w:color="auto"/>
      </w:divBdr>
    </w:div>
    <w:div w:id="1077552637">
      <w:bodyDiv w:val="1"/>
      <w:marLeft w:val="0"/>
      <w:marRight w:val="0"/>
      <w:marTop w:val="0"/>
      <w:marBottom w:val="0"/>
      <w:divBdr>
        <w:top w:val="none" w:sz="0" w:space="0" w:color="auto"/>
        <w:left w:val="none" w:sz="0" w:space="0" w:color="auto"/>
        <w:bottom w:val="none" w:sz="0" w:space="0" w:color="auto"/>
        <w:right w:val="none" w:sz="0" w:space="0" w:color="auto"/>
      </w:divBdr>
    </w:div>
    <w:div w:id="1094593345">
      <w:bodyDiv w:val="1"/>
      <w:marLeft w:val="0"/>
      <w:marRight w:val="0"/>
      <w:marTop w:val="0"/>
      <w:marBottom w:val="0"/>
      <w:divBdr>
        <w:top w:val="none" w:sz="0" w:space="0" w:color="auto"/>
        <w:left w:val="none" w:sz="0" w:space="0" w:color="auto"/>
        <w:bottom w:val="none" w:sz="0" w:space="0" w:color="auto"/>
        <w:right w:val="none" w:sz="0" w:space="0" w:color="auto"/>
      </w:divBdr>
    </w:div>
    <w:div w:id="1097605321">
      <w:bodyDiv w:val="1"/>
      <w:marLeft w:val="0"/>
      <w:marRight w:val="0"/>
      <w:marTop w:val="0"/>
      <w:marBottom w:val="0"/>
      <w:divBdr>
        <w:top w:val="none" w:sz="0" w:space="0" w:color="auto"/>
        <w:left w:val="none" w:sz="0" w:space="0" w:color="auto"/>
        <w:bottom w:val="none" w:sz="0" w:space="0" w:color="auto"/>
        <w:right w:val="none" w:sz="0" w:space="0" w:color="auto"/>
      </w:divBdr>
    </w:div>
    <w:div w:id="1098140711">
      <w:bodyDiv w:val="1"/>
      <w:marLeft w:val="0"/>
      <w:marRight w:val="0"/>
      <w:marTop w:val="0"/>
      <w:marBottom w:val="0"/>
      <w:divBdr>
        <w:top w:val="none" w:sz="0" w:space="0" w:color="auto"/>
        <w:left w:val="none" w:sz="0" w:space="0" w:color="auto"/>
        <w:bottom w:val="none" w:sz="0" w:space="0" w:color="auto"/>
        <w:right w:val="none" w:sz="0" w:space="0" w:color="auto"/>
      </w:divBdr>
    </w:div>
    <w:div w:id="1100831329">
      <w:bodyDiv w:val="1"/>
      <w:marLeft w:val="0"/>
      <w:marRight w:val="0"/>
      <w:marTop w:val="0"/>
      <w:marBottom w:val="0"/>
      <w:divBdr>
        <w:top w:val="none" w:sz="0" w:space="0" w:color="auto"/>
        <w:left w:val="none" w:sz="0" w:space="0" w:color="auto"/>
        <w:bottom w:val="none" w:sz="0" w:space="0" w:color="auto"/>
        <w:right w:val="none" w:sz="0" w:space="0" w:color="auto"/>
      </w:divBdr>
    </w:div>
    <w:div w:id="1103063868">
      <w:bodyDiv w:val="1"/>
      <w:marLeft w:val="0"/>
      <w:marRight w:val="0"/>
      <w:marTop w:val="0"/>
      <w:marBottom w:val="0"/>
      <w:divBdr>
        <w:top w:val="none" w:sz="0" w:space="0" w:color="auto"/>
        <w:left w:val="none" w:sz="0" w:space="0" w:color="auto"/>
        <w:bottom w:val="none" w:sz="0" w:space="0" w:color="auto"/>
        <w:right w:val="none" w:sz="0" w:space="0" w:color="auto"/>
      </w:divBdr>
    </w:div>
    <w:div w:id="1106775970">
      <w:bodyDiv w:val="1"/>
      <w:marLeft w:val="0"/>
      <w:marRight w:val="0"/>
      <w:marTop w:val="0"/>
      <w:marBottom w:val="0"/>
      <w:divBdr>
        <w:top w:val="none" w:sz="0" w:space="0" w:color="auto"/>
        <w:left w:val="none" w:sz="0" w:space="0" w:color="auto"/>
        <w:bottom w:val="none" w:sz="0" w:space="0" w:color="auto"/>
        <w:right w:val="none" w:sz="0" w:space="0" w:color="auto"/>
      </w:divBdr>
    </w:div>
    <w:div w:id="1112555497">
      <w:bodyDiv w:val="1"/>
      <w:marLeft w:val="0"/>
      <w:marRight w:val="0"/>
      <w:marTop w:val="0"/>
      <w:marBottom w:val="0"/>
      <w:divBdr>
        <w:top w:val="none" w:sz="0" w:space="0" w:color="auto"/>
        <w:left w:val="none" w:sz="0" w:space="0" w:color="auto"/>
        <w:bottom w:val="none" w:sz="0" w:space="0" w:color="auto"/>
        <w:right w:val="none" w:sz="0" w:space="0" w:color="auto"/>
      </w:divBdr>
    </w:div>
    <w:div w:id="1119762950">
      <w:bodyDiv w:val="1"/>
      <w:marLeft w:val="0"/>
      <w:marRight w:val="0"/>
      <w:marTop w:val="0"/>
      <w:marBottom w:val="0"/>
      <w:divBdr>
        <w:top w:val="none" w:sz="0" w:space="0" w:color="auto"/>
        <w:left w:val="none" w:sz="0" w:space="0" w:color="auto"/>
        <w:bottom w:val="none" w:sz="0" w:space="0" w:color="auto"/>
        <w:right w:val="none" w:sz="0" w:space="0" w:color="auto"/>
      </w:divBdr>
    </w:div>
    <w:div w:id="1125655343">
      <w:bodyDiv w:val="1"/>
      <w:marLeft w:val="0"/>
      <w:marRight w:val="0"/>
      <w:marTop w:val="0"/>
      <w:marBottom w:val="0"/>
      <w:divBdr>
        <w:top w:val="none" w:sz="0" w:space="0" w:color="auto"/>
        <w:left w:val="none" w:sz="0" w:space="0" w:color="auto"/>
        <w:bottom w:val="none" w:sz="0" w:space="0" w:color="auto"/>
        <w:right w:val="none" w:sz="0" w:space="0" w:color="auto"/>
      </w:divBdr>
    </w:div>
    <w:div w:id="1127167315">
      <w:bodyDiv w:val="1"/>
      <w:marLeft w:val="0"/>
      <w:marRight w:val="0"/>
      <w:marTop w:val="0"/>
      <w:marBottom w:val="0"/>
      <w:divBdr>
        <w:top w:val="none" w:sz="0" w:space="0" w:color="auto"/>
        <w:left w:val="none" w:sz="0" w:space="0" w:color="auto"/>
        <w:bottom w:val="none" w:sz="0" w:space="0" w:color="auto"/>
        <w:right w:val="none" w:sz="0" w:space="0" w:color="auto"/>
      </w:divBdr>
    </w:div>
    <w:div w:id="1142964468">
      <w:bodyDiv w:val="1"/>
      <w:marLeft w:val="0"/>
      <w:marRight w:val="0"/>
      <w:marTop w:val="0"/>
      <w:marBottom w:val="0"/>
      <w:divBdr>
        <w:top w:val="none" w:sz="0" w:space="0" w:color="auto"/>
        <w:left w:val="none" w:sz="0" w:space="0" w:color="auto"/>
        <w:bottom w:val="none" w:sz="0" w:space="0" w:color="auto"/>
        <w:right w:val="none" w:sz="0" w:space="0" w:color="auto"/>
      </w:divBdr>
    </w:div>
    <w:div w:id="1166479288">
      <w:bodyDiv w:val="1"/>
      <w:marLeft w:val="0"/>
      <w:marRight w:val="0"/>
      <w:marTop w:val="0"/>
      <w:marBottom w:val="0"/>
      <w:divBdr>
        <w:top w:val="none" w:sz="0" w:space="0" w:color="auto"/>
        <w:left w:val="none" w:sz="0" w:space="0" w:color="auto"/>
        <w:bottom w:val="none" w:sz="0" w:space="0" w:color="auto"/>
        <w:right w:val="none" w:sz="0" w:space="0" w:color="auto"/>
      </w:divBdr>
    </w:div>
    <w:div w:id="1166900580">
      <w:bodyDiv w:val="1"/>
      <w:marLeft w:val="0"/>
      <w:marRight w:val="0"/>
      <w:marTop w:val="0"/>
      <w:marBottom w:val="0"/>
      <w:divBdr>
        <w:top w:val="none" w:sz="0" w:space="0" w:color="auto"/>
        <w:left w:val="none" w:sz="0" w:space="0" w:color="auto"/>
        <w:bottom w:val="none" w:sz="0" w:space="0" w:color="auto"/>
        <w:right w:val="none" w:sz="0" w:space="0" w:color="auto"/>
      </w:divBdr>
    </w:div>
    <w:div w:id="1168978025">
      <w:bodyDiv w:val="1"/>
      <w:marLeft w:val="0"/>
      <w:marRight w:val="0"/>
      <w:marTop w:val="0"/>
      <w:marBottom w:val="0"/>
      <w:divBdr>
        <w:top w:val="none" w:sz="0" w:space="0" w:color="auto"/>
        <w:left w:val="none" w:sz="0" w:space="0" w:color="auto"/>
        <w:bottom w:val="none" w:sz="0" w:space="0" w:color="auto"/>
        <w:right w:val="none" w:sz="0" w:space="0" w:color="auto"/>
      </w:divBdr>
    </w:div>
    <w:div w:id="1179468277">
      <w:bodyDiv w:val="1"/>
      <w:marLeft w:val="0"/>
      <w:marRight w:val="0"/>
      <w:marTop w:val="0"/>
      <w:marBottom w:val="0"/>
      <w:divBdr>
        <w:top w:val="none" w:sz="0" w:space="0" w:color="auto"/>
        <w:left w:val="none" w:sz="0" w:space="0" w:color="auto"/>
        <w:bottom w:val="none" w:sz="0" w:space="0" w:color="auto"/>
        <w:right w:val="none" w:sz="0" w:space="0" w:color="auto"/>
      </w:divBdr>
    </w:div>
    <w:div w:id="1197163681">
      <w:bodyDiv w:val="1"/>
      <w:marLeft w:val="0"/>
      <w:marRight w:val="0"/>
      <w:marTop w:val="0"/>
      <w:marBottom w:val="0"/>
      <w:divBdr>
        <w:top w:val="none" w:sz="0" w:space="0" w:color="auto"/>
        <w:left w:val="none" w:sz="0" w:space="0" w:color="auto"/>
        <w:bottom w:val="none" w:sz="0" w:space="0" w:color="auto"/>
        <w:right w:val="none" w:sz="0" w:space="0" w:color="auto"/>
      </w:divBdr>
    </w:div>
    <w:div w:id="1229414477">
      <w:bodyDiv w:val="1"/>
      <w:marLeft w:val="0"/>
      <w:marRight w:val="0"/>
      <w:marTop w:val="0"/>
      <w:marBottom w:val="0"/>
      <w:divBdr>
        <w:top w:val="none" w:sz="0" w:space="0" w:color="auto"/>
        <w:left w:val="none" w:sz="0" w:space="0" w:color="auto"/>
        <w:bottom w:val="none" w:sz="0" w:space="0" w:color="auto"/>
        <w:right w:val="none" w:sz="0" w:space="0" w:color="auto"/>
      </w:divBdr>
    </w:div>
    <w:div w:id="1236206689">
      <w:bodyDiv w:val="1"/>
      <w:marLeft w:val="0"/>
      <w:marRight w:val="0"/>
      <w:marTop w:val="0"/>
      <w:marBottom w:val="0"/>
      <w:divBdr>
        <w:top w:val="none" w:sz="0" w:space="0" w:color="auto"/>
        <w:left w:val="none" w:sz="0" w:space="0" w:color="auto"/>
        <w:bottom w:val="none" w:sz="0" w:space="0" w:color="auto"/>
        <w:right w:val="none" w:sz="0" w:space="0" w:color="auto"/>
      </w:divBdr>
    </w:div>
    <w:div w:id="1238705080">
      <w:bodyDiv w:val="1"/>
      <w:marLeft w:val="0"/>
      <w:marRight w:val="0"/>
      <w:marTop w:val="0"/>
      <w:marBottom w:val="0"/>
      <w:divBdr>
        <w:top w:val="none" w:sz="0" w:space="0" w:color="auto"/>
        <w:left w:val="none" w:sz="0" w:space="0" w:color="auto"/>
        <w:bottom w:val="none" w:sz="0" w:space="0" w:color="auto"/>
        <w:right w:val="none" w:sz="0" w:space="0" w:color="auto"/>
      </w:divBdr>
    </w:div>
    <w:div w:id="1245840642">
      <w:bodyDiv w:val="1"/>
      <w:marLeft w:val="0"/>
      <w:marRight w:val="0"/>
      <w:marTop w:val="0"/>
      <w:marBottom w:val="0"/>
      <w:divBdr>
        <w:top w:val="none" w:sz="0" w:space="0" w:color="auto"/>
        <w:left w:val="none" w:sz="0" w:space="0" w:color="auto"/>
        <w:bottom w:val="none" w:sz="0" w:space="0" w:color="auto"/>
        <w:right w:val="none" w:sz="0" w:space="0" w:color="auto"/>
      </w:divBdr>
    </w:div>
    <w:div w:id="1252159429">
      <w:bodyDiv w:val="1"/>
      <w:marLeft w:val="0"/>
      <w:marRight w:val="0"/>
      <w:marTop w:val="0"/>
      <w:marBottom w:val="0"/>
      <w:divBdr>
        <w:top w:val="none" w:sz="0" w:space="0" w:color="auto"/>
        <w:left w:val="none" w:sz="0" w:space="0" w:color="auto"/>
        <w:bottom w:val="none" w:sz="0" w:space="0" w:color="auto"/>
        <w:right w:val="none" w:sz="0" w:space="0" w:color="auto"/>
      </w:divBdr>
    </w:div>
    <w:div w:id="1261915803">
      <w:bodyDiv w:val="1"/>
      <w:marLeft w:val="0"/>
      <w:marRight w:val="0"/>
      <w:marTop w:val="0"/>
      <w:marBottom w:val="0"/>
      <w:divBdr>
        <w:top w:val="none" w:sz="0" w:space="0" w:color="auto"/>
        <w:left w:val="none" w:sz="0" w:space="0" w:color="auto"/>
        <w:bottom w:val="none" w:sz="0" w:space="0" w:color="auto"/>
        <w:right w:val="none" w:sz="0" w:space="0" w:color="auto"/>
      </w:divBdr>
    </w:div>
    <w:div w:id="1266231028">
      <w:bodyDiv w:val="1"/>
      <w:marLeft w:val="0"/>
      <w:marRight w:val="0"/>
      <w:marTop w:val="0"/>
      <w:marBottom w:val="0"/>
      <w:divBdr>
        <w:top w:val="none" w:sz="0" w:space="0" w:color="auto"/>
        <w:left w:val="none" w:sz="0" w:space="0" w:color="auto"/>
        <w:bottom w:val="none" w:sz="0" w:space="0" w:color="auto"/>
        <w:right w:val="none" w:sz="0" w:space="0" w:color="auto"/>
      </w:divBdr>
    </w:div>
    <w:div w:id="1274437105">
      <w:bodyDiv w:val="1"/>
      <w:marLeft w:val="0"/>
      <w:marRight w:val="0"/>
      <w:marTop w:val="0"/>
      <w:marBottom w:val="0"/>
      <w:divBdr>
        <w:top w:val="none" w:sz="0" w:space="0" w:color="auto"/>
        <w:left w:val="none" w:sz="0" w:space="0" w:color="auto"/>
        <w:bottom w:val="none" w:sz="0" w:space="0" w:color="auto"/>
        <w:right w:val="none" w:sz="0" w:space="0" w:color="auto"/>
      </w:divBdr>
    </w:div>
    <w:div w:id="1308625165">
      <w:bodyDiv w:val="1"/>
      <w:marLeft w:val="0"/>
      <w:marRight w:val="0"/>
      <w:marTop w:val="0"/>
      <w:marBottom w:val="0"/>
      <w:divBdr>
        <w:top w:val="none" w:sz="0" w:space="0" w:color="auto"/>
        <w:left w:val="none" w:sz="0" w:space="0" w:color="auto"/>
        <w:bottom w:val="none" w:sz="0" w:space="0" w:color="auto"/>
        <w:right w:val="none" w:sz="0" w:space="0" w:color="auto"/>
      </w:divBdr>
    </w:div>
    <w:div w:id="1312563155">
      <w:bodyDiv w:val="1"/>
      <w:marLeft w:val="0"/>
      <w:marRight w:val="0"/>
      <w:marTop w:val="0"/>
      <w:marBottom w:val="0"/>
      <w:divBdr>
        <w:top w:val="none" w:sz="0" w:space="0" w:color="auto"/>
        <w:left w:val="none" w:sz="0" w:space="0" w:color="auto"/>
        <w:bottom w:val="none" w:sz="0" w:space="0" w:color="auto"/>
        <w:right w:val="none" w:sz="0" w:space="0" w:color="auto"/>
      </w:divBdr>
    </w:div>
    <w:div w:id="1315602196">
      <w:bodyDiv w:val="1"/>
      <w:marLeft w:val="0"/>
      <w:marRight w:val="0"/>
      <w:marTop w:val="0"/>
      <w:marBottom w:val="0"/>
      <w:divBdr>
        <w:top w:val="none" w:sz="0" w:space="0" w:color="auto"/>
        <w:left w:val="none" w:sz="0" w:space="0" w:color="auto"/>
        <w:bottom w:val="none" w:sz="0" w:space="0" w:color="auto"/>
        <w:right w:val="none" w:sz="0" w:space="0" w:color="auto"/>
      </w:divBdr>
    </w:div>
    <w:div w:id="1340623247">
      <w:bodyDiv w:val="1"/>
      <w:marLeft w:val="0"/>
      <w:marRight w:val="0"/>
      <w:marTop w:val="0"/>
      <w:marBottom w:val="0"/>
      <w:divBdr>
        <w:top w:val="none" w:sz="0" w:space="0" w:color="auto"/>
        <w:left w:val="none" w:sz="0" w:space="0" w:color="auto"/>
        <w:bottom w:val="none" w:sz="0" w:space="0" w:color="auto"/>
        <w:right w:val="none" w:sz="0" w:space="0" w:color="auto"/>
      </w:divBdr>
    </w:div>
    <w:div w:id="1347101736">
      <w:bodyDiv w:val="1"/>
      <w:marLeft w:val="0"/>
      <w:marRight w:val="0"/>
      <w:marTop w:val="0"/>
      <w:marBottom w:val="0"/>
      <w:divBdr>
        <w:top w:val="none" w:sz="0" w:space="0" w:color="auto"/>
        <w:left w:val="none" w:sz="0" w:space="0" w:color="auto"/>
        <w:bottom w:val="none" w:sz="0" w:space="0" w:color="auto"/>
        <w:right w:val="none" w:sz="0" w:space="0" w:color="auto"/>
      </w:divBdr>
    </w:div>
    <w:div w:id="1365401933">
      <w:bodyDiv w:val="1"/>
      <w:marLeft w:val="0"/>
      <w:marRight w:val="0"/>
      <w:marTop w:val="0"/>
      <w:marBottom w:val="0"/>
      <w:divBdr>
        <w:top w:val="none" w:sz="0" w:space="0" w:color="auto"/>
        <w:left w:val="none" w:sz="0" w:space="0" w:color="auto"/>
        <w:bottom w:val="none" w:sz="0" w:space="0" w:color="auto"/>
        <w:right w:val="none" w:sz="0" w:space="0" w:color="auto"/>
      </w:divBdr>
    </w:div>
    <w:div w:id="1372262037">
      <w:bodyDiv w:val="1"/>
      <w:marLeft w:val="0"/>
      <w:marRight w:val="0"/>
      <w:marTop w:val="0"/>
      <w:marBottom w:val="0"/>
      <w:divBdr>
        <w:top w:val="none" w:sz="0" w:space="0" w:color="auto"/>
        <w:left w:val="none" w:sz="0" w:space="0" w:color="auto"/>
        <w:bottom w:val="none" w:sz="0" w:space="0" w:color="auto"/>
        <w:right w:val="none" w:sz="0" w:space="0" w:color="auto"/>
      </w:divBdr>
    </w:div>
    <w:div w:id="1374383704">
      <w:bodyDiv w:val="1"/>
      <w:marLeft w:val="0"/>
      <w:marRight w:val="0"/>
      <w:marTop w:val="0"/>
      <w:marBottom w:val="0"/>
      <w:divBdr>
        <w:top w:val="none" w:sz="0" w:space="0" w:color="auto"/>
        <w:left w:val="none" w:sz="0" w:space="0" w:color="auto"/>
        <w:bottom w:val="none" w:sz="0" w:space="0" w:color="auto"/>
        <w:right w:val="none" w:sz="0" w:space="0" w:color="auto"/>
      </w:divBdr>
    </w:div>
    <w:div w:id="1376542763">
      <w:bodyDiv w:val="1"/>
      <w:marLeft w:val="0"/>
      <w:marRight w:val="0"/>
      <w:marTop w:val="0"/>
      <w:marBottom w:val="0"/>
      <w:divBdr>
        <w:top w:val="none" w:sz="0" w:space="0" w:color="auto"/>
        <w:left w:val="none" w:sz="0" w:space="0" w:color="auto"/>
        <w:bottom w:val="none" w:sz="0" w:space="0" w:color="auto"/>
        <w:right w:val="none" w:sz="0" w:space="0" w:color="auto"/>
      </w:divBdr>
    </w:div>
    <w:div w:id="1378044929">
      <w:bodyDiv w:val="1"/>
      <w:marLeft w:val="0"/>
      <w:marRight w:val="0"/>
      <w:marTop w:val="0"/>
      <w:marBottom w:val="0"/>
      <w:divBdr>
        <w:top w:val="none" w:sz="0" w:space="0" w:color="auto"/>
        <w:left w:val="none" w:sz="0" w:space="0" w:color="auto"/>
        <w:bottom w:val="none" w:sz="0" w:space="0" w:color="auto"/>
        <w:right w:val="none" w:sz="0" w:space="0" w:color="auto"/>
      </w:divBdr>
    </w:div>
    <w:div w:id="1398820207">
      <w:bodyDiv w:val="1"/>
      <w:marLeft w:val="0"/>
      <w:marRight w:val="0"/>
      <w:marTop w:val="0"/>
      <w:marBottom w:val="0"/>
      <w:divBdr>
        <w:top w:val="none" w:sz="0" w:space="0" w:color="auto"/>
        <w:left w:val="none" w:sz="0" w:space="0" w:color="auto"/>
        <w:bottom w:val="none" w:sz="0" w:space="0" w:color="auto"/>
        <w:right w:val="none" w:sz="0" w:space="0" w:color="auto"/>
      </w:divBdr>
    </w:div>
    <w:div w:id="1400322937">
      <w:bodyDiv w:val="1"/>
      <w:marLeft w:val="0"/>
      <w:marRight w:val="0"/>
      <w:marTop w:val="0"/>
      <w:marBottom w:val="0"/>
      <w:divBdr>
        <w:top w:val="none" w:sz="0" w:space="0" w:color="auto"/>
        <w:left w:val="none" w:sz="0" w:space="0" w:color="auto"/>
        <w:bottom w:val="none" w:sz="0" w:space="0" w:color="auto"/>
        <w:right w:val="none" w:sz="0" w:space="0" w:color="auto"/>
      </w:divBdr>
    </w:div>
    <w:div w:id="1408728661">
      <w:bodyDiv w:val="1"/>
      <w:marLeft w:val="0"/>
      <w:marRight w:val="0"/>
      <w:marTop w:val="0"/>
      <w:marBottom w:val="0"/>
      <w:divBdr>
        <w:top w:val="none" w:sz="0" w:space="0" w:color="auto"/>
        <w:left w:val="none" w:sz="0" w:space="0" w:color="auto"/>
        <w:bottom w:val="none" w:sz="0" w:space="0" w:color="auto"/>
        <w:right w:val="none" w:sz="0" w:space="0" w:color="auto"/>
      </w:divBdr>
    </w:div>
    <w:div w:id="1416365466">
      <w:bodyDiv w:val="1"/>
      <w:marLeft w:val="0"/>
      <w:marRight w:val="0"/>
      <w:marTop w:val="0"/>
      <w:marBottom w:val="0"/>
      <w:divBdr>
        <w:top w:val="none" w:sz="0" w:space="0" w:color="auto"/>
        <w:left w:val="none" w:sz="0" w:space="0" w:color="auto"/>
        <w:bottom w:val="none" w:sz="0" w:space="0" w:color="auto"/>
        <w:right w:val="none" w:sz="0" w:space="0" w:color="auto"/>
      </w:divBdr>
    </w:div>
    <w:div w:id="1419524825">
      <w:bodyDiv w:val="1"/>
      <w:marLeft w:val="0"/>
      <w:marRight w:val="0"/>
      <w:marTop w:val="0"/>
      <w:marBottom w:val="0"/>
      <w:divBdr>
        <w:top w:val="none" w:sz="0" w:space="0" w:color="auto"/>
        <w:left w:val="none" w:sz="0" w:space="0" w:color="auto"/>
        <w:bottom w:val="none" w:sz="0" w:space="0" w:color="auto"/>
        <w:right w:val="none" w:sz="0" w:space="0" w:color="auto"/>
      </w:divBdr>
    </w:div>
    <w:div w:id="1422988644">
      <w:bodyDiv w:val="1"/>
      <w:marLeft w:val="0"/>
      <w:marRight w:val="0"/>
      <w:marTop w:val="0"/>
      <w:marBottom w:val="0"/>
      <w:divBdr>
        <w:top w:val="none" w:sz="0" w:space="0" w:color="auto"/>
        <w:left w:val="none" w:sz="0" w:space="0" w:color="auto"/>
        <w:bottom w:val="none" w:sz="0" w:space="0" w:color="auto"/>
        <w:right w:val="none" w:sz="0" w:space="0" w:color="auto"/>
      </w:divBdr>
    </w:div>
    <w:div w:id="1471939512">
      <w:bodyDiv w:val="1"/>
      <w:marLeft w:val="0"/>
      <w:marRight w:val="0"/>
      <w:marTop w:val="0"/>
      <w:marBottom w:val="0"/>
      <w:divBdr>
        <w:top w:val="none" w:sz="0" w:space="0" w:color="auto"/>
        <w:left w:val="none" w:sz="0" w:space="0" w:color="auto"/>
        <w:bottom w:val="none" w:sz="0" w:space="0" w:color="auto"/>
        <w:right w:val="none" w:sz="0" w:space="0" w:color="auto"/>
      </w:divBdr>
    </w:div>
    <w:div w:id="1487622885">
      <w:bodyDiv w:val="1"/>
      <w:marLeft w:val="0"/>
      <w:marRight w:val="0"/>
      <w:marTop w:val="0"/>
      <w:marBottom w:val="0"/>
      <w:divBdr>
        <w:top w:val="none" w:sz="0" w:space="0" w:color="auto"/>
        <w:left w:val="none" w:sz="0" w:space="0" w:color="auto"/>
        <w:bottom w:val="none" w:sz="0" w:space="0" w:color="auto"/>
        <w:right w:val="none" w:sz="0" w:space="0" w:color="auto"/>
      </w:divBdr>
    </w:div>
    <w:div w:id="1502161616">
      <w:bodyDiv w:val="1"/>
      <w:marLeft w:val="0"/>
      <w:marRight w:val="0"/>
      <w:marTop w:val="0"/>
      <w:marBottom w:val="0"/>
      <w:divBdr>
        <w:top w:val="none" w:sz="0" w:space="0" w:color="auto"/>
        <w:left w:val="none" w:sz="0" w:space="0" w:color="auto"/>
        <w:bottom w:val="none" w:sz="0" w:space="0" w:color="auto"/>
        <w:right w:val="none" w:sz="0" w:space="0" w:color="auto"/>
      </w:divBdr>
    </w:div>
    <w:div w:id="1505322980">
      <w:bodyDiv w:val="1"/>
      <w:marLeft w:val="0"/>
      <w:marRight w:val="0"/>
      <w:marTop w:val="0"/>
      <w:marBottom w:val="0"/>
      <w:divBdr>
        <w:top w:val="none" w:sz="0" w:space="0" w:color="auto"/>
        <w:left w:val="none" w:sz="0" w:space="0" w:color="auto"/>
        <w:bottom w:val="none" w:sz="0" w:space="0" w:color="auto"/>
        <w:right w:val="none" w:sz="0" w:space="0" w:color="auto"/>
      </w:divBdr>
    </w:div>
    <w:div w:id="1506045838">
      <w:bodyDiv w:val="1"/>
      <w:marLeft w:val="0"/>
      <w:marRight w:val="0"/>
      <w:marTop w:val="0"/>
      <w:marBottom w:val="0"/>
      <w:divBdr>
        <w:top w:val="none" w:sz="0" w:space="0" w:color="auto"/>
        <w:left w:val="none" w:sz="0" w:space="0" w:color="auto"/>
        <w:bottom w:val="none" w:sz="0" w:space="0" w:color="auto"/>
        <w:right w:val="none" w:sz="0" w:space="0" w:color="auto"/>
      </w:divBdr>
    </w:div>
    <w:div w:id="1510487448">
      <w:bodyDiv w:val="1"/>
      <w:marLeft w:val="0"/>
      <w:marRight w:val="0"/>
      <w:marTop w:val="0"/>
      <w:marBottom w:val="0"/>
      <w:divBdr>
        <w:top w:val="none" w:sz="0" w:space="0" w:color="auto"/>
        <w:left w:val="none" w:sz="0" w:space="0" w:color="auto"/>
        <w:bottom w:val="none" w:sz="0" w:space="0" w:color="auto"/>
        <w:right w:val="none" w:sz="0" w:space="0" w:color="auto"/>
      </w:divBdr>
    </w:div>
    <w:div w:id="1564632469">
      <w:bodyDiv w:val="1"/>
      <w:marLeft w:val="0"/>
      <w:marRight w:val="0"/>
      <w:marTop w:val="0"/>
      <w:marBottom w:val="0"/>
      <w:divBdr>
        <w:top w:val="none" w:sz="0" w:space="0" w:color="auto"/>
        <w:left w:val="none" w:sz="0" w:space="0" w:color="auto"/>
        <w:bottom w:val="none" w:sz="0" w:space="0" w:color="auto"/>
        <w:right w:val="none" w:sz="0" w:space="0" w:color="auto"/>
      </w:divBdr>
    </w:div>
    <w:div w:id="1565917466">
      <w:bodyDiv w:val="1"/>
      <w:marLeft w:val="0"/>
      <w:marRight w:val="0"/>
      <w:marTop w:val="0"/>
      <w:marBottom w:val="0"/>
      <w:divBdr>
        <w:top w:val="none" w:sz="0" w:space="0" w:color="auto"/>
        <w:left w:val="none" w:sz="0" w:space="0" w:color="auto"/>
        <w:bottom w:val="none" w:sz="0" w:space="0" w:color="auto"/>
        <w:right w:val="none" w:sz="0" w:space="0" w:color="auto"/>
      </w:divBdr>
    </w:div>
    <w:div w:id="1569002653">
      <w:bodyDiv w:val="1"/>
      <w:marLeft w:val="0"/>
      <w:marRight w:val="0"/>
      <w:marTop w:val="0"/>
      <w:marBottom w:val="0"/>
      <w:divBdr>
        <w:top w:val="none" w:sz="0" w:space="0" w:color="auto"/>
        <w:left w:val="none" w:sz="0" w:space="0" w:color="auto"/>
        <w:bottom w:val="none" w:sz="0" w:space="0" w:color="auto"/>
        <w:right w:val="none" w:sz="0" w:space="0" w:color="auto"/>
      </w:divBdr>
    </w:div>
    <w:div w:id="1576010235">
      <w:bodyDiv w:val="1"/>
      <w:marLeft w:val="0"/>
      <w:marRight w:val="0"/>
      <w:marTop w:val="0"/>
      <w:marBottom w:val="0"/>
      <w:divBdr>
        <w:top w:val="none" w:sz="0" w:space="0" w:color="auto"/>
        <w:left w:val="none" w:sz="0" w:space="0" w:color="auto"/>
        <w:bottom w:val="none" w:sz="0" w:space="0" w:color="auto"/>
        <w:right w:val="none" w:sz="0" w:space="0" w:color="auto"/>
      </w:divBdr>
    </w:div>
    <w:div w:id="1580870355">
      <w:bodyDiv w:val="1"/>
      <w:marLeft w:val="0"/>
      <w:marRight w:val="0"/>
      <w:marTop w:val="0"/>
      <w:marBottom w:val="0"/>
      <w:divBdr>
        <w:top w:val="none" w:sz="0" w:space="0" w:color="auto"/>
        <w:left w:val="none" w:sz="0" w:space="0" w:color="auto"/>
        <w:bottom w:val="none" w:sz="0" w:space="0" w:color="auto"/>
        <w:right w:val="none" w:sz="0" w:space="0" w:color="auto"/>
      </w:divBdr>
    </w:div>
    <w:div w:id="1580939290">
      <w:bodyDiv w:val="1"/>
      <w:marLeft w:val="0"/>
      <w:marRight w:val="0"/>
      <w:marTop w:val="0"/>
      <w:marBottom w:val="0"/>
      <w:divBdr>
        <w:top w:val="none" w:sz="0" w:space="0" w:color="auto"/>
        <w:left w:val="none" w:sz="0" w:space="0" w:color="auto"/>
        <w:bottom w:val="none" w:sz="0" w:space="0" w:color="auto"/>
        <w:right w:val="none" w:sz="0" w:space="0" w:color="auto"/>
      </w:divBdr>
    </w:div>
    <w:div w:id="1596401438">
      <w:bodyDiv w:val="1"/>
      <w:marLeft w:val="0"/>
      <w:marRight w:val="0"/>
      <w:marTop w:val="0"/>
      <w:marBottom w:val="0"/>
      <w:divBdr>
        <w:top w:val="none" w:sz="0" w:space="0" w:color="auto"/>
        <w:left w:val="none" w:sz="0" w:space="0" w:color="auto"/>
        <w:bottom w:val="none" w:sz="0" w:space="0" w:color="auto"/>
        <w:right w:val="none" w:sz="0" w:space="0" w:color="auto"/>
      </w:divBdr>
    </w:div>
    <w:div w:id="1610893896">
      <w:bodyDiv w:val="1"/>
      <w:marLeft w:val="0"/>
      <w:marRight w:val="0"/>
      <w:marTop w:val="0"/>
      <w:marBottom w:val="0"/>
      <w:divBdr>
        <w:top w:val="none" w:sz="0" w:space="0" w:color="auto"/>
        <w:left w:val="none" w:sz="0" w:space="0" w:color="auto"/>
        <w:bottom w:val="none" w:sz="0" w:space="0" w:color="auto"/>
        <w:right w:val="none" w:sz="0" w:space="0" w:color="auto"/>
      </w:divBdr>
    </w:div>
    <w:div w:id="1621376572">
      <w:bodyDiv w:val="1"/>
      <w:marLeft w:val="0"/>
      <w:marRight w:val="0"/>
      <w:marTop w:val="0"/>
      <w:marBottom w:val="0"/>
      <w:divBdr>
        <w:top w:val="none" w:sz="0" w:space="0" w:color="auto"/>
        <w:left w:val="none" w:sz="0" w:space="0" w:color="auto"/>
        <w:bottom w:val="none" w:sz="0" w:space="0" w:color="auto"/>
        <w:right w:val="none" w:sz="0" w:space="0" w:color="auto"/>
      </w:divBdr>
    </w:div>
    <w:div w:id="1624380835">
      <w:bodyDiv w:val="1"/>
      <w:marLeft w:val="0"/>
      <w:marRight w:val="0"/>
      <w:marTop w:val="0"/>
      <w:marBottom w:val="0"/>
      <w:divBdr>
        <w:top w:val="none" w:sz="0" w:space="0" w:color="auto"/>
        <w:left w:val="none" w:sz="0" w:space="0" w:color="auto"/>
        <w:bottom w:val="none" w:sz="0" w:space="0" w:color="auto"/>
        <w:right w:val="none" w:sz="0" w:space="0" w:color="auto"/>
      </w:divBdr>
    </w:div>
    <w:div w:id="1626934798">
      <w:bodyDiv w:val="1"/>
      <w:marLeft w:val="0"/>
      <w:marRight w:val="0"/>
      <w:marTop w:val="0"/>
      <w:marBottom w:val="0"/>
      <w:divBdr>
        <w:top w:val="none" w:sz="0" w:space="0" w:color="auto"/>
        <w:left w:val="none" w:sz="0" w:space="0" w:color="auto"/>
        <w:bottom w:val="none" w:sz="0" w:space="0" w:color="auto"/>
        <w:right w:val="none" w:sz="0" w:space="0" w:color="auto"/>
      </w:divBdr>
    </w:div>
    <w:div w:id="1628589291">
      <w:bodyDiv w:val="1"/>
      <w:marLeft w:val="0"/>
      <w:marRight w:val="0"/>
      <w:marTop w:val="0"/>
      <w:marBottom w:val="0"/>
      <w:divBdr>
        <w:top w:val="none" w:sz="0" w:space="0" w:color="auto"/>
        <w:left w:val="none" w:sz="0" w:space="0" w:color="auto"/>
        <w:bottom w:val="none" w:sz="0" w:space="0" w:color="auto"/>
        <w:right w:val="none" w:sz="0" w:space="0" w:color="auto"/>
      </w:divBdr>
    </w:div>
    <w:div w:id="1632436455">
      <w:bodyDiv w:val="1"/>
      <w:marLeft w:val="0"/>
      <w:marRight w:val="0"/>
      <w:marTop w:val="0"/>
      <w:marBottom w:val="0"/>
      <w:divBdr>
        <w:top w:val="none" w:sz="0" w:space="0" w:color="auto"/>
        <w:left w:val="none" w:sz="0" w:space="0" w:color="auto"/>
        <w:bottom w:val="none" w:sz="0" w:space="0" w:color="auto"/>
        <w:right w:val="none" w:sz="0" w:space="0" w:color="auto"/>
      </w:divBdr>
    </w:div>
    <w:div w:id="1636980616">
      <w:bodyDiv w:val="1"/>
      <w:marLeft w:val="0"/>
      <w:marRight w:val="0"/>
      <w:marTop w:val="0"/>
      <w:marBottom w:val="0"/>
      <w:divBdr>
        <w:top w:val="none" w:sz="0" w:space="0" w:color="auto"/>
        <w:left w:val="none" w:sz="0" w:space="0" w:color="auto"/>
        <w:bottom w:val="none" w:sz="0" w:space="0" w:color="auto"/>
        <w:right w:val="none" w:sz="0" w:space="0" w:color="auto"/>
      </w:divBdr>
    </w:div>
    <w:div w:id="1660957516">
      <w:bodyDiv w:val="1"/>
      <w:marLeft w:val="0"/>
      <w:marRight w:val="0"/>
      <w:marTop w:val="0"/>
      <w:marBottom w:val="0"/>
      <w:divBdr>
        <w:top w:val="none" w:sz="0" w:space="0" w:color="auto"/>
        <w:left w:val="none" w:sz="0" w:space="0" w:color="auto"/>
        <w:bottom w:val="none" w:sz="0" w:space="0" w:color="auto"/>
        <w:right w:val="none" w:sz="0" w:space="0" w:color="auto"/>
      </w:divBdr>
    </w:div>
    <w:div w:id="1676615010">
      <w:bodyDiv w:val="1"/>
      <w:marLeft w:val="0"/>
      <w:marRight w:val="0"/>
      <w:marTop w:val="0"/>
      <w:marBottom w:val="0"/>
      <w:divBdr>
        <w:top w:val="none" w:sz="0" w:space="0" w:color="auto"/>
        <w:left w:val="none" w:sz="0" w:space="0" w:color="auto"/>
        <w:bottom w:val="none" w:sz="0" w:space="0" w:color="auto"/>
        <w:right w:val="none" w:sz="0" w:space="0" w:color="auto"/>
      </w:divBdr>
    </w:div>
    <w:div w:id="1676879124">
      <w:bodyDiv w:val="1"/>
      <w:marLeft w:val="0"/>
      <w:marRight w:val="0"/>
      <w:marTop w:val="0"/>
      <w:marBottom w:val="0"/>
      <w:divBdr>
        <w:top w:val="none" w:sz="0" w:space="0" w:color="auto"/>
        <w:left w:val="none" w:sz="0" w:space="0" w:color="auto"/>
        <w:bottom w:val="none" w:sz="0" w:space="0" w:color="auto"/>
        <w:right w:val="none" w:sz="0" w:space="0" w:color="auto"/>
      </w:divBdr>
    </w:div>
    <w:div w:id="1677225179">
      <w:bodyDiv w:val="1"/>
      <w:marLeft w:val="0"/>
      <w:marRight w:val="0"/>
      <w:marTop w:val="0"/>
      <w:marBottom w:val="0"/>
      <w:divBdr>
        <w:top w:val="none" w:sz="0" w:space="0" w:color="auto"/>
        <w:left w:val="none" w:sz="0" w:space="0" w:color="auto"/>
        <w:bottom w:val="none" w:sz="0" w:space="0" w:color="auto"/>
        <w:right w:val="none" w:sz="0" w:space="0" w:color="auto"/>
      </w:divBdr>
    </w:div>
    <w:div w:id="1692102248">
      <w:bodyDiv w:val="1"/>
      <w:marLeft w:val="0"/>
      <w:marRight w:val="0"/>
      <w:marTop w:val="0"/>
      <w:marBottom w:val="0"/>
      <w:divBdr>
        <w:top w:val="none" w:sz="0" w:space="0" w:color="auto"/>
        <w:left w:val="none" w:sz="0" w:space="0" w:color="auto"/>
        <w:bottom w:val="none" w:sz="0" w:space="0" w:color="auto"/>
        <w:right w:val="none" w:sz="0" w:space="0" w:color="auto"/>
      </w:divBdr>
    </w:div>
    <w:div w:id="1701009974">
      <w:bodyDiv w:val="1"/>
      <w:marLeft w:val="0"/>
      <w:marRight w:val="0"/>
      <w:marTop w:val="0"/>
      <w:marBottom w:val="0"/>
      <w:divBdr>
        <w:top w:val="none" w:sz="0" w:space="0" w:color="auto"/>
        <w:left w:val="none" w:sz="0" w:space="0" w:color="auto"/>
        <w:bottom w:val="none" w:sz="0" w:space="0" w:color="auto"/>
        <w:right w:val="none" w:sz="0" w:space="0" w:color="auto"/>
      </w:divBdr>
    </w:div>
    <w:div w:id="1703281077">
      <w:bodyDiv w:val="1"/>
      <w:marLeft w:val="0"/>
      <w:marRight w:val="0"/>
      <w:marTop w:val="0"/>
      <w:marBottom w:val="0"/>
      <w:divBdr>
        <w:top w:val="none" w:sz="0" w:space="0" w:color="auto"/>
        <w:left w:val="none" w:sz="0" w:space="0" w:color="auto"/>
        <w:bottom w:val="none" w:sz="0" w:space="0" w:color="auto"/>
        <w:right w:val="none" w:sz="0" w:space="0" w:color="auto"/>
      </w:divBdr>
    </w:div>
    <w:div w:id="1707213240">
      <w:bodyDiv w:val="1"/>
      <w:marLeft w:val="0"/>
      <w:marRight w:val="0"/>
      <w:marTop w:val="0"/>
      <w:marBottom w:val="0"/>
      <w:divBdr>
        <w:top w:val="none" w:sz="0" w:space="0" w:color="auto"/>
        <w:left w:val="none" w:sz="0" w:space="0" w:color="auto"/>
        <w:bottom w:val="none" w:sz="0" w:space="0" w:color="auto"/>
        <w:right w:val="none" w:sz="0" w:space="0" w:color="auto"/>
      </w:divBdr>
    </w:div>
    <w:div w:id="1718434536">
      <w:bodyDiv w:val="1"/>
      <w:marLeft w:val="0"/>
      <w:marRight w:val="0"/>
      <w:marTop w:val="0"/>
      <w:marBottom w:val="0"/>
      <w:divBdr>
        <w:top w:val="none" w:sz="0" w:space="0" w:color="auto"/>
        <w:left w:val="none" w:sz="0" w:space="0" w:color="auto"/>
        <w:bottom w:val="none" w:sz="0" w:space="0" w:color="auto"/>
        <w:right w:val="none" w:sz="0" w:space="0" w:color="auto"/>
      </w:divBdr>
    </w:div>
    <w:div w:id="1721635206">
      <w:bodyDiv w:val="1"/>
      <w:marLeft w:val="0"/>
      <w:marRight w:val="0"/>
      <w:marTop w:val="0"/>
      <w:marBottom w:val="0"/>
      <w:divBdr>
        <w:top w:val="none" w:sz="0" w:space="0" w:color="auto"/>
        <w:left w:val="none" w:sz="0" w:space="0" w:color="auto"/>
        <w:bottom w:val="none" w:sz="0" w:space="0" w:color="auto"/>
        <w:right w:val="none" w:sz="0" w:space="0" w:color="auto"/>
      </w:divBdr>
    </w:div>
    <w:div w:id="1732582409">
      <w:bodyDiv w:val="1"/>
      <w:marLeft w:val="0"/>
      <w:marRight w:val="0"/>
      <w:marTop w:val="0"/>
      <w:marBottom w:val="0"/>
      <w:divBdr>
        <w:top w:val="none" w:sz="0" w:space="0" w:color="auto"/>
        <w:left w:val="none" w:sz="0" w:space="0" w:color="auto"/>
        <w:bottom w:val="none" w:sz="0" w:space="0" w:color="auto"/>
        <w:right w:val="none" w:sz="0" w:space="0" w:color="auto"/>
      </w:divBdr>
    </w:div>
    <w:div w:id="1735280411">
      <w:bodyDiv w:val="1"/>
      <w:marLeft w:val="0"/>
      <w:marRight w:val="0"/>
      <w:marTop w:val="0"/>
      <w:marBottom w:val="0"/>
      <w:divBdr>
        <w:top w:val="none" w:sz="0" w:space="0" w:color="auto"/>
        <w:left w:val="none" w:sz="0" w:space="0" w:color="auto"/>
        <w:bottom w:val="none" w:sz="0" w:space="0" w:color="auto"/>
        <w:right w:val="none" w:sz="0" w:space="0" w:color="auto"/>
      </w:divBdr>
    </w:div>
    <w:div w:id="1739672432">
      <w:bodyDiv w:val="1"/>
      <w:marLeft w:val="0"/>
      <w:marRight w:val="0"/>
      <w:marTop w:val="0"/>
      <w:marBottom w:val="0"/>
      <w:divBdr>
        <w:top w:val="none" w:sz="0" w:space="0" w:color="auto"/>
        <w:left w:val="none" w:sz="0" w:space="0" w:color="auto"/>
        <w:bottom w:val="none" w:sz="0" w:space="0" w:color="auto"/>
        <w:right w:val="none" w:sz="0" w:space="0" w:color="auto"/>
      </w:divBdr>
    </w:div>
    <w:div w:id="1741756070">
      <w:bodyDiv w:val="1"/>
      <w:marLeft w:val="0"/>
      <w:marRight w:val="0"/>
      <w:marTop w:val="0"/>
      <w:marBottom w:val="0"/>
      <w:divBdr>
        <w:top w:val="none" w:sz="0" w:space="0" w:color="auto"/>
        <w:left w:val="none" w:sz="0" w:space="0" w:color="auto"/>
        <w:bottom w:val="none" w:sz="0" w:space="0" w:color="auto"/>
        <w:right w:val="none" w:sz="0" w:space="0" w:color="auto"/>
      </w:divBdr>
    </w:div>
    <w:div w:id="1750808576">
      <w:bodyDiv w:val="1"/>
      <w:marLeft w:val="0"/>
      <w:marRight w:val="0"/>
      <w:marTop w:val="0"/>
      <w:marBottom w:val="0"/>
      <w:divBdr>
        <w:top w:val="none" w:sz="0" w:space="0" w:color="auto"/>
        <w:left w:val="none" w:sz="0" w:space="0" w:color="auto"/>
        <w:bottom w:val="none" w:sz="0" w:space="0" w:color="auto"/>
        <w:right w:val="none" w:sz="0" w:space="0" w:color="auto"/>
      </w:divBdr>
    </w:div>
    <w:div w:id="1754937701">
      <w:bodyDiv w:val="1"/>
      <w:marLeft w:val="0"/>
      <w:marRight w:val="0"/>
      <w:marTop w:val="0"/>
      <w:marBottom w:val="0"/>
      <w:divBdr>
        <w:top w:val="none" w:sz="0" w:space="0" w:color="auto"/>
        <w:left w:val="none" w:sz="0" w:space="0" w:color="auto"/>
        <w:bottom w:val="none" w:sz="0" w:space="0" w:color="auto"/>
        <w:right w:val="none" w:sz="0" w:space="0" w:color="auto"/>
      </w:divBdr>
    </w:div>
    <w:div w:id="1780179127">
      <w:bodyDiv w:val="1"/>
      <w:marLeft w:val="0"/>
      <w:marRight w:val="0"/>
      <w:marTop w:val="0"/>
      <w:marBottom w:val="0"/>
      <w:divBdr>
        <w:top w:val="none" w:sz="0" w:space="0" w:color="auto"/>
        <w:left w:val="none" w:sz="0" w:space="0" w:color="auto"/>
        <w:bottom w:val="none" w:sz="0" w:space="0" w:color="auto"/>
        <w:right w:val="none" w:sz="0" w:space="0" w:color="auto"/>
      </w:divBdr>
    </w:div>
    <w:div w:id="1782649171">
      <w:bodyDiv w:val="1"/>
      <w:marLeft w:val="0"/>
      <w:marRight w:val="0"/>
      <w:marTop w:val="0"/>
      <w:marBottom w:val="0"/>
      <w:divBdr>
        <w:top w:val="none" w:sz="0" w:space="0" w:color="auto"/>
        <w:left w:val="none" w:sz="0" w:space="0" w:color="auto"/>
        <w:bottom w:val="none" w:sz="0" w:space="0" w:color="auto"/>
        <w:right w:val="none" w:sz="0" w:space="0" w:color="auto"/>
      </w:divBdr>
    </w:div>
    <w:div w:id="1803158105">
      <w:bodyDiv w:val="1"/>
      <w:marLeft w:val="0"/>
      <w:marRight w:val="0"/>
      <w:marTop w:val="0"/>
      <w:marBottom w:val="0"/>
      <w:divBdr>
        <w:top w:val="none" w:sz="0" w:space="0" w:color="auto"/>
        <w:left w:val="none" w:sz="0" w:space="0" w:color="auto"/>
        <w:bottom w:val="none" w:sz="0" w:space="0" w:color="auto"/>
        <w:right w:val="none" w:sz="0" w:space="0" w:color="auto"/>
      </w:divBdr>
    </w:div>
    <w:div w:id="1819111831">
      <w:bodyDiv w:val="1"/>
      <w:marLeft w:val="0"/>
      <w:marRight w:val="0"/>
      <w:marTop w:val="0"/>
      <w:marBottom w:val="0"/>
      <w:divBdr>
        <w:top w:val="none" w:sz="0" w:space="0" w:color="auto"/>
        <w:left w:val="none" w:sz="0" w:space="0" w:color="auto"/>
        <w:bottom w:val="none" w:sz="0" w:space="0" w:color="auto"/>
        <w:right w:val="none" w:sz="0" w:space="0" w:color="auto"/>
      </w:divBdr>
    </w:div>
    <w:div w:id="1821772347">
      <w:bodyDiv w:val="1"/>
      <w:marLeft w:val="0"/>
      <w:marRight w:val="0"/>
      <w:marTop w:val="0"/>
      <w:marBottom w:val="0"/>
      <w:divBdr>
        <w:top w:val="none" w:sz="0" w:space="0" w:color="auto"/>
        <w:left w:val="none" w:sz="0" w:space="0" w:color="auto"/>
        <w:bottom w:val="none" w:sz="0" w:space="0" w:color="auto"/>
        <w:right w:val="none" w:sz="0" w:space="0" w:color="auto"/>
      </w:divBdr>
    </w:div>
    <w:div w:id="1825318959">
      <w:bodyDiv w:val="1"/>
      <w:marLeft w:val="0"/>
      <w:marRight w:val="0"/>
      <w:marTop w:val="0"/>
      <w:marBottom w:val="0"/>
      <w:divBdr>
        <w:top w:val="none" w:sz="0" w:space="0" w:color="auto"/>
        <w:left w:val="none" w:sz="0" w:space="0" w:color="auto"/>
        <w:bottom w:val="none" w:sz="0" w:space="0" w:color="auto"/>
        <w:right w:val="none" w:sz="0" w:space="0" w:color="auto"/>
      </w:divBdr>
    </w:div>
    <w:div w:id="1826315506">
      <w:bodyDiv w:val="1"/>
      <w:marLeft w:val="0"/>
      <w:marRight w:val="0"/>
      <w:marTop w:val="0"/>
      <w:marBottom w:val="0"/>
      <w:divBdr>
        <w:top w:val="none" w:sz="0" w:space="0" w:color="auto"/>
        <w:left w:val="none" w:sz="0" w:space="0" w:color="auto"/>
        <w:bottom w:val="none" w:sz="0" w:space="0" w:color="auto"/>
        <w:right w:val="none" w:sz="0" w:space="0" w:color="auto"/>
      </w:divBdr>
    </w:div>
    <w:div w:id="1831410185">
      <w:bodyDiv w:val="1"/>
      <w:marLeft w:val="0"/>
      <w:marRight w:val="0"/>
      <w:marTop w:val="0"/>
      <w:marBottom w:val="0"/>
      <w:divBdr>
        <w:top w:val="none" w:sz="0" w:space="0" w:color="auto"/>
        <w:left w:val="none" w:sz="0" w:space="0" w:color="auto"/>
        <w:bottom w:val="none" w:sz="0" w:space="0" w:color="auto"/>
        <w:right w:val="none" w:sz="0" w:space="0" w:color="auto"/>
      </w:divBdr>
    </w:div>
    <w:div w:id="1835757519">
      <w:bodyDiv w:val="1"/>
      <w:marLeft w:val="0"/>
      <w:marRight w:val="0"/>
      <w:marTop w:val="0"/>
      <w:marBottom w:val="0"/>
      <w:divBdr>
        <w:top w:val="none" w:sz="0" w:space="0" w:color="auto"/>
        <w:left w:val="none" w:sz="0" w:space="0" w:color="auto"/>
        <w:bottom w:val="none" w:sz="0" w:space="0" w:color="auto"/>
        <w:right w:val="none" w:sz="0" w:space="0" w:color="auto"/>
      </w:divBdr>
    </w:div>
    <w:div w:id="1837530105">
      <w:bodyDiv w:val="1"/>
      <w:marLeft w:val="0"/>
      <w:marRight w:val="0"/>
      <w:marTop w:val="0"/>
      <w:marBottom w:val="0"/>
      <w:divBdr>
        <w:top w:val="none" w:sz="0" w:space="0" w:color="auto"/>
        <w:left w:val="none" w:sz="0" w:space="0" w:color="auto"/>
        <w:bottom w:val="none" w:sz="0" w:space="0" w:color="auto"/>
        <w:right w:val="none" w:sz="0" w:space="0" w:color="auto"/>
      </w:divBdr>
    </w:div>
    <w:div w:id="1840727909">
      <w:bodyDiv w:val="1"/>
      <w:marLeft w:val="0"/>
      <w:marRight w:val="0"/>
      <w:marTop w:val="0"/>
      <w:marBottom w:val="0"/>
      <w:divBdr>
        <w:top w:val="none" w:sz="0" w:space="0" w:color="auto"/>
        <w:left w:val="none" w:sz="0" w:space="0" w:color="auto"/>
        <w:bottom w:val="none" w:sz="0" w:space="0" w:color="auto"/>
        <w:right w:val="none" w:sz="0" w:space="0" w:color="auto"/>
      </w:divBdr>
    </w:div>
    <w:div w:id="1860897033">
      <w:bodyDiv w:val="1"/>
      <w:marLeft w:val="0"/>
      <w:marRight w:val="0"/>
      <w:marTop w:val="0"/>
      <w:marBottom w:val="0"/>
      <w:divBdr>
        <w:top w:val="none" w:sz="0" w:space="0" w:color="auto"/>
        <w:left w:val="none" w:sz="0" w:space="0" w:color="auto"/>
        <w:bottom w:val="none" w:sz="0" w:space="0" w:color="auto"/>
        <w:right w:val="none" w:sz="0" w:space="0" w:color="auto"/>
      </w:divBdr>
    </w:div>
    <w:div w:id="1871215656">
      <w:bodyDiv w:val="1"/>
      <w:marLeft w:val="0"/>
      <w:marRight w:val="0"/>
      <w:marTop w:val="0"/>
      <w:marBottom w:val="0"/>
      <w:divBdr>
        <w:top w:val="none" w:sz="0" w:space="0" w:color="auto"/>
        <w:left w:val="none" w:sz="0" w:space="0" w:color="auto"/>
        <w:bottom w:val="none" w:sz="0" w:space="0" w:color="auto"/>
        <w:right w:val="none" w:sz="0" w:space="0" w:color="auto"/>
      </w:divBdr>
    </w:div>
    <w:div w:id="1888450153">
      <w:bodyDiv w:val="1"/>
      <w:marLeft w:val="0"/>
      <w:marRight w:val="0"/>
      <w:marTop w:val="0"/>
      <w:marBottom w:val="0"/>
      <w:divBdr>
        <w:top w:val="none" w:sz="0" w:space="0" w:color="auto"/>
        <w:left w:val="none" w:sz="0" w:space="0" w:color="auto"/>
        <w:bottom w:val="none" w:sz="0" w:space="0" w:color="auto"/>
        <w:right w:val="none" w:sz="0" w:space="0" w:color="auto"/>
      </w:divBdr>
    </w:div>
    <w:div w:id="1891724247">
      <w:bodyDiv w:val="1"/>
      <w:marLeft w:val="0"/>
      <w:marRight w:val="0"/>
      <w:marTop w:val="0"/>
      <w:marBottom w:val="0"/>
      <w:divBdr>
        <w:top w:val="none" w:sz="0" w:space="0" w:color="auto"/>
        <w:left w:val="none" w:sz="0" w:space="0" w:color="auto"/>
        <w:bottom w:val="none" w:sz="0" w:space="0" w:color="auto"/>
        <w:right w:val="none" w:sz="0" w:space="0" w:color="auto"/>
      </w:divBdr>
    </w:div>
    <w:div w:id="1892301328">
      <w:bodyDiv w:val="1"/>
      <w:marLeft w:val="0"/>
      <w:marRight w:val="0"/>
      <w:marTop w:val="0"/>
      <w:marBottom w:val="0"/>
      <w:divBdr>
        <w:top w:val="none" w:sz="0" w:space="0" w:color="auto"/>
        <w:left w:val="none" w:sz="0" w:space="0" w:color="auto"/>
        <w:bottom w:val="none" w:sz="0" w:space="0" w:color="auto"/>
        <w:right w:val="none" w:sz="0" w:space="0" w:color="auto"/>
      </w:divBdr>
    </w:div>
    <w:div w:id="1902053026">
      <w:bodyDiv w:val="1"/>
      <w:marLeft w:val="0"/>
      <w:marRight w:val="0"/>
      <w:marTop w:val="0"/>
      <w:marBottom w:val="0"/>
      <w:divBdr>
        <w:top w:val="none" w:sz="0" w:space="0" w:color="auto"/>
        <w:left w:val="none" w:sz="0" w:space="0" w:color="auto"/>
        <w:bottom w:val="none" w:sz="0" w:space="0" w:color="auto"/>
        <w:right w:val="none" w:sz="0" w:space="0" w:color="auto"/>
      </w:divBdr>
    </w:div>
    <w:div w:id="1909000066">
      <w:bodyDiv w:val="1"/>
      <w:marLeft w:val="0"/>
      <w:marRight w:val="0"/>
      <w:marTop w:val="0"/>
      <w:marBottom w:val="0"/>
      <w:divBdr>
        <w:top w:val="none" w:sz="0" w:space="0" w:color="auto"/>
        <w:left w:val="none" w:sz="0" w:space="0" w:color="auto"/>
        <w:bottom w:val="none" w:sz="0" w:space="0" w:color="auto"/>
        <w:right w:val="none" w:sz="0" w:space="0" w:color="auto"/>
      </w:divBdr>
    </w:div>
    <w:div w:id="1913077045">
      <w:bodyDiv w:val="1"/>
      <w:marLeft w:val="0"/>
      <w:marRight w:val="0"/>
      <w:marTop w:val="0"/>
      <w:marBottom w:val="0"/>
      <w:divBdr>
        <w:top w:val="none" w:sz="0" w:space="0" w:color="auto"/>
        <w:left w:val="none" w:sz="0" w:space="0" w:color="auto"/>
        <w:bottom w:val="none" w:sz="0" w:space="0" w:color="auto"/>
        <w:right w:val="none" w:sz="0" w:space="0" w:color="auto"/>
      </w:divBdr>
    </w:div>
    <w:div w:id="1927493803">
      <w:bodyDiv w:val="1"/>
      <w:marLeft w:val="0"/>
      <w:marRight w:val="0"/>
      <w:marTop w:val="0"/>
      <w:marBottom w:val="0"/>
      <w:divBdr>
        <w:top w:val="none" w:sz="0" w:space="0" w:color="auto"/>
        <w:left w:val="none" w:sz="0" w:space="0" w:color="auto"/>
        <w:bottom w:val="none" w:sz="0" w:space="0" w:color="auto"/>
        <w:right w:val="none" w:sz="0" w:space="0" w:color="auto"/>
      </w:divBdr>
    </w:div>
    <w:div w:id="1932156888">
      <w:bodyDiv w:val="1"/>
      <w:marLeft w:val="0"/>
      <w:marRight w:val="0"/>
      <w:marTop w:val="0"/>
      <w:marBottom w:val="0"/>
      <w:divBdr>
        <w:top w:val="none" w:sz="0" w:space="0" w:color="auto"/>
        <w:left w:val="none" w:sz="0" w:space="0" w:color="auto"/>
        <w:bottom w:val="none" w:sz="0" w:space="0" w:color="auto"/>
        <w:right w:val="none" w:sz="0" w:space="0" w:color="auto"/>
      </w:divBdr>
    </w:div>
    <w:div w:id="1944075278">
      <w:bodyDiv w:val="1"/>
      <w:marLeft w:val="0"/>
      <w:marRight w:val="0"/>
      <w:marTop w:val="0"/>
      <w:marBottom w:val="0"/>
      <w:divBdr>
        <w:top w:val="none" w:sz="0" w:space="0" w:color="auto"/>
        <w:left w:val="none" w:sz="0" w:space="0" w:color="auto"/>
        <w:bottom w:val="none" w:sz="0" w:space="0" w:color="auto"/>
        <w:right w:val="none" w:sz="0" w:space="0" w:color="auto"/>
      </w:divBdr>
    </w:div>
    <w:div w:id="1963028361">
      <w:bodyDiv w:val="1"/>
      <w:marLeft w:val="0"/>
      <w:marRight w:val="0"/>
      <w:marTop w:val="0"/>
      <w:marBottom w:val="0"/>
      <w:divBdr>
        <w:top w:val="none" w:sz="0" w:space="0" w:color="auto"/>
        <w:left w:val="none" w:sz="0" w:space="0" w:color="auto"/>
        <w:bottom w:val="none" w:sz="0" w:space="0" w:color="auto"/>
        <w:right w:val="none" w:sz="0" w:space="0" w:color="auto"/>
      </w:divBdr>
    </w:div>
    <w:div w:id="1986884779">
      <w:bodyDiv w:val="1"/>
      <w:marLeft w:val="0"/>
      <w:marRight w:val="0"/>
      <w:marTop w:val="0"/>
      <w:marBottom w:val="0"/>
      <w:divBdr>
        <w:top w:val="none" w:sz="0" w:space="0" w:color="auto"/>
        <w:left w:val="none" w:sz="0" w:space="0" w:color="auto"/>
        <w:bottom w:val="none" w:sz="0" w:space="0" w:color="auto"/>
        <w:right w:val="none" w:sz="0" w:space="0" w:color="auto"/>
      </w:divBdr>
    </w:div>
    <w:div w:id="2000956205">
      <w:bodyDiv w:val="1"/>
      <w:marLeft w:val="0"/>
      <w:marRight w:val="0"/>
      <w:marTop w:val="0"/>
      <w:marBottom w:val="0"/>
      <w:divBdr>
        <w:top w:val="none" w:sz="0" w:space="0" w:color="auto"/>
        <w:left w:val="none" w:sz="0" w:space="0" w:color="auto"/>
        <w:bottom w:val="none" w:sz="0" w:space="0" w:color="auto"/>
        <w:right w:val="none" w:sz="0" w:space="0" w:color="auto"/>
      </w:divBdr>
    </w:div>
    <w:div w:id="2011105688">
      <w:bodyDiv w:val="1"/>
      <w:marLeft w:val="0"/>
      <w:marRight w:val="0"/>
      <w:marTop w:val="0"/>
      <w:marBottom w:val="0"/>
      <w:divBdr>
        <w:top w:val="none" w:sz="0" w:space="0" w:color="auto"/>
        <w:left w:val="none" w:sz="0" w:space="0" w:color="auto"/>
        <w:bottom w:val="none" w:sz="0" w:space="0" w:color="auto"/>
        <w:right w:val="none" w:sz="0" w:space="0" w:color="auto"/>
      </w:divBdr>
    </w:div>
    <w:div w:id="2013141943">
      <w:bodyDiv w:val="1"/>
      <w:marLeft w:val="0"/>
      <w:marRight w:val="0"/>
      <w:marTop w:val="0"/>
      <w:marBottom w:val="0"/>
      <w:divBdr>
        <w:top w:val="none" w:sz="0" w:space="0" w:color="auto"/>
        <w:left w:val="none" w:sz="0" w:space="0" w:color="auto"/>
        <w:bottom w:val="none" w:sz="0" w:space="0" w:color="auto"/>
        <w:right w:val="none" w:sz="0" w:space="0" w:color="auto"/>
      </w:divBdr>
    </w:div>
    <w:div w:id="2032561992">
      <w:bodyDiv w:val="1"/>
      <w:marLeft w:val="0"/>
      <w:marRight w:val="0"/>
      <w:marTop w:val="0"/>
      <w:marBottom w:val="0"/>
      <w:divBdr>
        <w:top w:val="none" w:sz="0" w:space="0" w:color="auto"/>
        <w:left w:val="none" w:sz="0" w:space="0" w:color="auto"/>
        <w:bottom w:val="none" w:sz="0" w:space="0" w:color="auto"/>
        <w:right w:val="none" w:sz="0" w:space="0" w:color="auto"/>
      </w:divBdr>
    </w:div>
    <w:div w:id="2035693108">
      <w:bodyDiv w:val="1"/>
      <w:marLeft w:val="0"/>
      <w:marRight w:val="0"/>
      <w:marTop w:val="0"/>
      <w:marBottom w:val="0"/>
      <w:divBdr>
        <w:top w:val="none" w:sz="0" w:space="0" w:color="auto"/>
        <w:left w:val="none" w:sz="0" w:space="0" w:color="auto"/>
        <w:bottom w:val="none" w:sz="0" w:space="0" w:color="auto"/>
        <w:right w:val="none" w:sz="0" w:space="0" w:color="auto"/>
      </w:divBdr>
    </w:div>
    <w:div w:id="2048025738">
      <w:bodyDiv w:val="1"/>
      <w:marLeft w:val="0"/>
      <w:marRight w:val="0"/>
      <w:marTop w:val="0"/>
      <w:marBottom w:val="0"/>
      <w:divBdr>
        <w:top w:val="none" w:sz="0" w:space="0" w:color="auto"/>
        <w:left w:val="none" w:sz="0" w:space="0" w:color="auto"/>
        <w:bottom w:val="none" w:sz="0" w:space="0" w:color="auto"/>
        <w:right w:val="none" w:sz="0" w:space="0" w:color="auto"/>
      </w:divBdr>
    </w:div>
    <w:div w:id="2062752413">
      <w:bodyDiv w:val="1"/>
      <w:marLeft w:val="0"/>
      <w:marRight w:val="0"/>
      <w:marTop w:val="0"/>
      <w:marBottom w:val="0"/>
      <w:divBdr>
        <w:top w:val="none" w:sz="0" w:space="0" w:color="auto"/>
        <w:left w:val="none" w:sz="0" w:space="0" w:color="auto"/>
        <w:bottom w:val="none" w:sz="0" w:space="0" w:color="auto"/>
        <w:right w:val="none" w:sz="0" w:space="0" w:color="auto"/>
      </w:divBdr>
    </w:div>
    <w:div w:id="2064668014">
      <w:bodyDiv w:val="1"/>
      <w:marLeft w:val="0"/>
      <w:marRight w:val="0"/>
      <w:marTop w:val="0"/>
      <w:marBottom w:val="0"/>
      <w:divBdr>
        <w:top w:val="none" w:sz="0" w:space="0" w:color="auto"/>
        <w:left w:val="none" w:sz="0" w:space="0" w:color="auto"/>
        <w:bottom w:val="none" w:sz="0" w:space="0" w:color="auto"/>
        <w:right w:val="none" w:sz="0" w:space="0" w:color="auto"/>
      </w:divBdr>
    </w:div>
    <w:div w:id="2068603237">
      <w:bodyDiv w:val="1"/>
      <w:marLeft w:val="0"/>
      <w:marRight w:val="0"/>
      <w:marTop w:val="0"/>
      <w:marBottom w:val="0"/>
      <w:divBdr>
        <w:top w:val="none" w:sz="0" w:space="0" w:color="auto"/>
        <w:left w:val="none" w:sz="0" w:space="0" w:color="auto"/>
        <w:bottom w:val="none" w:sz="0" w:space="0" w:color="auto"/>
        <w:right w:val="none" w:sz="0" w:space="0" w:color="auto"/>
      </w:divBdr>
    </w:div>
    <w:div w:id="2078240142">
      <w:bodyDiv w:val="1"/>
      <w:marLeft w:val="0"/>
      <w:marRight w:val="0"/>
      <w:marTop w:val="0"/>
      <w:marBottom w:val="0"/>
      <w:divBdr>
        <w:top w:val="none" w:sz="0" w:space="0" w:color="auto"/>
        <w:left w:val="none" w:sz="0" w:space="0" w:color="auto"/>
        <w:bottom w:val="none" w:sz="0" w:space="0" w:color="auto"/>
        <w:right w:val="none" w:sz="0" w:space="0" w:color="auto"/>
      </w:divBdr>
    </w:div>
    <w:div w:id="2099907875">
      <w:bodyDiv w:val="1"/>
      <w:marLeft w:val="0"/>
      <w:marRight w:val="0"/>
      <w:marTop w:val="0"/>
      <w:marBottom w:val="0"/>
      <w:divBdr>
        <w:top w:val="none" w:sz="0" w:space="0" w:color="auto"/>
        <w:left w:val="none" w:sz="0" w:space="0" w:color="auto"/>
        <w:bottom w:val="none" w:sz="0" w:space="0" w:color="auto"/>
        <w:right w:val="none" w:sz="0" w:space="0" w:color="auto"/>
      </w:divBdr>
    </w:div>
    <w:div w:id="2101027905">
      <w:bodyDiv w:val="1"/>
      <w:marLeft w:val="0"/>
      <w:marRight w:val="0"/>
      <w:marTop w:val="0"/>
      <w:marBottom w:val="0"/>
      <w:divBdr>
        <w:top w:val="none" w:sz="0" w:space="0" w:color="auto"/>
        <w:left w:val="none" w:sz="0" w:space="0" w:color="auto"/>
        <w:bottom w:val="none" w:sz="0" w:space="0" w:color="auto"/>
        <w:right w:val="none" w:sz="0" w:space="0" w:color="auto"/>
      </w:divBdr>
    </w:div>
    <w:div w:id="2113012483">
      <w:bodyDiv w:val="1"/>
      <w:marLeft w:val="0"/>
      <w:marRight w:val="0"/>
      <w:marTop w:val="0"/>
      <w:marBottom w:val="0"/>
      <w:divBdr>
        <w:top w:val="none" w:sz="0" w:space="0" w:color="auto"/>
        <w:left w:val="none" w:sz="0" w:space="0" w:color="auto"/>
        <w:bottom w:val="none" w:sz="0" w:space="0" w:color="auto"/>
        <w:right w:val="none" w:sz="0" w:space="0" w:color="auto"/>
      </w:divBdr>
    </w:div>
    <w:div w:id="2116320175">
      <w:bodyDiv w:val="1"/>
      <w:marLeft w:val="0"/>
      <w:marRight w:val="0"/>
      <w:marTop w:val="0"/>
      <w:marBottom w:val="0"/>
      <w:divBdr>
        <w:top w:val="none" w:sz="0" w:space="0" w:color="auto"/>
        <w:left w:val="none" w:sz="0" w:space="0" w:color="auto"/>
        <w:bottom w:val="none" w:sz="0" w:space="0" w:color="auto"/>
        <w:right w:val="none" w:sz="0" w:space="0" w:color="auto"/>
      </w:divBdr>
    </w:div>
    <w:div w:id="2117435153">
      <w:bodyDiv w:val="1"/>
      <w:marLeft w:val="0"/>
      <w:marRight w:val="0"/>
      <w:marTop w:val="0"/>
      <w:marBottom w:val="0"/>
      <w:divBdr>
        <w:top w:val="none" w:sz="0" w:space="0" w:color="auto"/>
        <w:left w:val="none" w:sz="0" w:space="0" w:color="auto"/>
        <w:bottom w:val="none" w:sz="0" w:space="0" w:color="auto"/>
        <w:right w:val="none" w:sz="0" w:space="0" w:color="auto"/>
      </w:divBdr>
    </w:div>
    <w:div w:id="2121870076">
      <w:bodyDiv w:val="1"/>
      <w:marLeft w:val="0"/>
      <w:marRight w:val="0"/>
      <w:marTop w:val="0"/>
      <w:marBottom w:val="0"/>
      <w:divBdr>
        <w:top w:val="none" w:sz="0" w:space="0" w:color="auto"/>
        <w:left w:val="none" w:sz="0" w:space="0" w:color="auto"/>
        <w:bottom w:val="none" w:sz="0" w:space="0" w:color="auto"/>
        <w:right w:val="none" w:sz="0" w:space="0" w:color="auto"/>
      </w:divBdr>
    </w:div>
    <w:div w:id="2130202414">
      <w:bodyDiv w:val="1"/>
      <w:marLeft w:val="0"/>
      <w:marRight w:val="0"/>
      <w:marTop w:val="0"/>
      <w:marBottom w:val="0"/>
      <w:divBdr>
        <w:top w:val="none" w:sz="0" w:space="0" w:color="auto"/>
        <w:left w:val="none" w:sz="0" w:space="0" w:color="auto"/>
        <w:bottom w:val="none" w:sz="0" w:space="0" w:color="auto"/>
        <w:right w:val="none" w:sz="0" w:space="0" w:color="auto"/>
      </w:divBdr>
    </w:div>
    <w:div w:id="214284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A17C-46AA-408E-8115-7D00247A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36</Pages>
  <Words>10315</Words>
  <Characters>58801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BEFORE THE</vt:lpstr>
    </vt:vector>
  </TitlesOfParts>
  <Company>Amerigas</Company>
  <LinksUpToDate>false</LinksUpToDate>
  <CharactersWithSpaces>68979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shoffner</cp:lastModifiedBy>
  <cp:revision>23</cp:revision>
  <cp:lastPrinted>2015-06-17T13:00:00Z</cp:lastPrinted>
  <dcterms:created xsi:type="dcterms:W3CDTF">2015-06-11T18:49:00Z</dcterms:created>
  <dcterms:modified xsi:type="dcterms:W3CDTF">2015-06-17T13:12:00Z</dcterms:modified>
</cp:coreProperties>
</file>