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70" w:rsidRDefault="007E0B70" w:rsidP="007E0B70">
      <w:pPr>
        <w:pStyle w:val="Heading8"/>
        <w:ind w:left="270"/>
        <w:jc w:val="center"/>
        <w:rPr>
          <w:sz w:val="32"/>
          <w:szCs w:val="32"/>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7E0B70" w:rsidRPr="00B366C5" w:rsidRDefault="00D31697" w:rsidP="001E1F5F">
      <w:pPr>
        <w:pStyle w:val="Title"/>
        <w:rPr>
          <w:rFonts w:ascii="Arial" w:hAnsi="Arial" w:cs="Arial"/>
          <w:b w:val="0"/>
          <w:szCs w:val="24"/>
        </w:rPr>
      </w:pPr>
      <w:r w:rsidRPr="00B366C5">
        <w:rPr>
          <w:rFonts w:ascii="Arial" w:hAnsi="Arial" w:cs="Arial"/>
          <w:sz w:val="36"/>
          <w:szCs w:val="36"/>
          <w:u w:val="none"/>
        </w:rPr>
        <w:t xml:space="preserve">PECO </w:t>
      </w:r>
      <w:r w:rsidR="00E21B10" w:rsidRPr="00B366C5">
        <w:rPr>
          <w:rFonts w:ascii="Arial" w:hAnsi="Arial" w:cs="Arial"/>
          <w:sz w:val="36"/>
          <w:szCs w:val="36"/>
          <w:u w:val="none"/>
        </w:rPr>
        <w:t>ENERGY COMPANY</w:t>
      </w:r>
    </w:p>
    <w:p w:rsidR="007E0B70" w:rsidRPr="00B366C5" w:rsidRDefault="007E0B70" w:rsidP="007E0B70">
      <w:pPr>
        <w:pStyle w:val="Heading8"/>
        <w:jc w:val="center"/>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tabs>
          <w:tab w:val="clear" w:pos="4680"/>
        </w:tabs>
        <w:rPr>
          <w:rFonts w:ascii="Arial" w:hAnsi="Arial" w:cs="Arial"/>
          <w:sz w:val="24"/>
          <w:szCs w:val="24"/>
        </w:rPr>
      </w:pPr>
    </w:p>
    <w:p w:rsidR="007E0B70" w:rsidRPr="00B366C5" w:rsidRDefault="007E0B70" w:rsidP="007E0B70">
      <w:pPr>
        <w:pStyle w:val="BodyText2"/>
        <w:tabs>
          <w:tab w:val="clear" w:pos="4680"/>
        </w:tabs>
        <w:rPr>
          <w:rFonts w:ascii="Arial" w:hAnsi="Arial" w:cs="Arial"/>
          <w:sz w:val="24"/>
          <w:szCs w:val="24"/>
        </w:rPr>
      </w:pPr>
    </w:p>
    <w:p w:rsidR="007E0B70" w:rsidRPr="00B366C5" w:rsidRDefault="007E0B70" w:rsidP="007E0B70">
      <w:pPr>
        <w:pStyle w:val="BodyText2"/>
        <w:tabs>
          <w:tab w:val="clear" w:pos="4680"/>
        </w:tabs>
        <w:rPr>
          <w:rFonts w:ascii="Arial" w:hAnsi="Arial" w:cs="Arial"/>
          <w:sz w:val="28"/>
          <w:szCs w:val="24"/>
        </w:rPr>
      </w:pPr>
    </w:p>
    <w:p w:rsidR="001E1F5F" w:rsidRDefault="007E0B70" w:rsidP="007E0B70">
      <w:pPr>
        <w:suppressAutoHyphens/>
        <w:jc w:val="center"/>
        <w:rPr>
          <w:rFonts w:ascii="Arial" w:hAnsi="Arial" w:cs="Arial"/>
          <w:b/>
          <w:sz w:val="28"/>
          <w:szCs w:val="28"/>
        </w:rPr>
      </w:pPr>
      <w:r w:rsidRPr="00B366C5">
        <w:rPr>
          <w:rFonts w:ascii="Arial" w:hAnsi="Arial" w:cs="Arial"/>
          <w:b/>
          <w:sz w:val="28"/>
          <w:szCs w:val="28"/>
        </w:rPr>
        <w:t>A REPORT ON</w:t>
      </w:r>
      <w:r w:rsidR="007E0A17" w:rsidRPr="00B366C5">
        <w:rPr>
          <w:rFonts w:ascii="Arial" w:hAnsi="Arial" w:cs="Arial"/>
          <w:b/>
          <w:sz w:val="28"/>
          <w:szCs w:val="28"/>
        </w:rPr>
        <w:t xml:space="preserve"> THE </w:t>
      </w:r>
      <w:r w:rsidR="00D31697" w:rsidRPr="00B366C5">
        <w:rPr>
          <w:rFonts w:ascii="Arial" w:hAnsi="Arial" w:cs="Arial"/>
          <w:b/>
          <w:sz w:val="28"/>
          <w:szCs w:val="28"/>
        </w:rPr>
        <w:t xml:space="preserve">ALTERNATIVE ENERGY PORTFOLIO </w:t>
      </w:r>
    </w:p>
    <w:p w:rsidR="001E1F5F" w:rsidRDefault="001E1F5F" w:rsidP="007E0B70">
      <w:pPr>
        <w:suppressAutoHyphens/>
        <w:jc w:val="center"/>
        <w:rPr>
          <w:rFonts w:ascii="Arial" w:hAnsi="Arial" w:cs="Arial"/>
          <w:b/>
          <w:sz w:val="28"/>
          <w:szCs w:val="28"/>
        </w:rPr>
      </w:pPr>
    </w:p>
    <w:p w:rsidR="007E0B70" w:rsidRPr="00B366C5" w:rsidRDefault="00D31697" w:rsidP="007E0B70">
      <w:pPr>
        <w:suppressAutoHyphens/>
        <w:jc w:val="center"/>
        <w:rPr>
          <w:rFonts w:ascii="Arial" w:hAnsi="Arial" w:cs="Arial"/>
          <w:sz w:val="28"/>
          <w:szCs w:val="28"/>
        </w:rPr>
      </w:pPr>
      <w:r w:rsidRPr="00B366C5">
        <w:rPr>
          <w:rFonts w:ascii="Arial" w:hAnsi="Arial" w:cs="Arial"/>
          <w:b/>
          <w:sz w:val="28"/>
          <w:szCs w:val="28"/>
        </w:rPr>
        <w:t>STANDARDS</w:t>
      </w:r>
      <w:r w:rsidR="00D37966" w:rsidRPr="00B366C5">
        <w:rPr>
          <w:rFonts w:ascii="Arial" w:hAnsi="Arial" w:cs="Arial"/>
          <w:b/>
          <w:sz w:val="28"/>
          <w:szCs w:val="28"/>
        </w:rPr>
        <w:t xml:space="preserve"> </w:t>
      </w:r>
      <w:r w:rsidRPr="00B366C5">
        <w:rPr>
          <w:rFonts w:ascii="Arial" w:hAnsi="Arial" w:cs="Arial"/>
          <w:b/>
          <w:sz w:val="28"/>
          <w:szCs w:val="28"/>
        </w:rPr>
        <w:t>SUR</w:t>
      </w:r>
      <w:r w:rsidR="00D37966" w:rsidRPr="00B366C5">
        <w:rPr>
          <w:rFonts w:ascii="Arial" w:hAnsi="Arial" w:cs="Arial"/>
          <w:b/>
          <w:sz w:val="28"/>
          <w:szCs w:val="28"/>
        </w:rPr>
        <w:t>CHARGE</w:t>
      </w:r>
    </w:p>
    <w:p w:rsidR="007E0B70" w:rsidRPr="00B366C5" w:rsidRDefault="007E0B70" w:rsidP="007E0B70">
      <w:pPr>
        <w:suppressAutoHyphens/>
        <w:jc w:val="center"/>
        <w:rPr>
          <w:rFonts w:ascii="Arial" w:hAnsi="Arial" w:cs="Arial"/>
          <w:sz w:val="28"/>
          <w:szCs w:val="28"/>
        </w:rPr>
      </w:pPr>
    </w:p>
    <w:p w:rsidR="00D37966" w:rsidRPr="00B366C5" w:rsidRDefault="007E0B70" w:rsidP="00D37966">
      <w:pPr>
        <w:suppressAutoHyphens/>
        <w:jc w:val="center"/>
        <w:rPr>
          <w:rFonts w:ascii="Arial" w:hAnsi="Arial" w:cs="Arial"/>
          <w:b/>
          <w:sz w:val="28"/>
          <w:szCs w:val="28"/>
        </w:rPr>
      </w:pPr>
      <w:r w:rsidRPr="00B366C5">
        <w:rPr>
          <w:rFonts w:ascii="Arial" w:hAnsi="Arial" w:cs="Arial"/>
          <w:b/>
          <w:sz w:val="28"/>
          <w:szCs w:val="28"/>
        </w:rPr>
        <w:t xml:space="preserve">FOR THE </w:t>
      </w:r>
      <w:r w:rsidR="008E3061" w:rsidRPr="00B366C5">
        <w:rPr>
          <w:rFonts w:ascii="Arial" w:hAnsi="Arial" w:cs="Arial"/>
          <w:b/>
          <w:sz w:val="28"/>
          <w:szCs w:val="28"/>
        </w:rPr>
        <w:t>THIRT</w:t>
      </w:r>
      <w:r w:rsidR="00D37966" w:rsidRPr="00B366C5">
        <w:rPr>
          <w:rFonts w:ascii="Arial" w:hAnsi="Arial" w:cs="Arial"/>
          <w:b/>
          <w:sz w:val="28"/>
          <w:szCs w:val="28"/>
        </w:rPr>
        <w:t>EEN</w:t>
      </w:r>
      <w:r w:rsidR="008E3061" w:rsidRPr="00B366C5">
        <w:rPr>
          <w:rFonts w:ascii="Arial" w:hAnsi="Arial" w:cs="Arial"/>
          <w:b/>
          <w:sz w:val="28"/>
          <w:szCs w:val="28"/>
        </w:rPr>
        <w:t xml:space="preserve"> MONTHS ENDED JANUARY</w:t>
      </w:r>
      <w:r w:rsidR="007E0A17" w:rsidRPr="00B366C5">
        <w:rPr>
          <w:rFonts w:ascii="Arial" w:hAnsi="Arial" w:cs="Arial"/>
          <w:b/>
          <w:sz w:val="28"/>
          <w:szCs w:val="28"/>
        </w:rPr>
        <w:t xml:space="preserve"> 31, 201</w:t>
      </w:r>
      <w:r w:rsidR="00D37966" w:rsidRPr="00B366C5">
        <w:rPr>
          <w:rFonts w:ascii="Arial" w:hAnsi="Arial" w:cs="Arial"/>
          <w:b/>
          <w:sz w:val="28"/>
          <w:szCs w:val="28"/>
        </w:rPr>
        <w:t>2</w:t>
      </w:r>
    </w:p>
    <w:p w:rsidR="00D37966" w:rsidRPr="00B366C5" w:rsidRDefault="00D37966" w:rsidP="00D37966">
      <w:pPr>
        <w:suppressAutoHyphens/>
        <w:jc w:val="center"/>
        <w:rPr>
          <w:rFonts w:ascii="Arial" w:hAnsi="Arial" w:cs="Arial"/>
          <w:b/>
          <w:sz w:val="28"/>
          <w:szCs w:val="28"/>
        </w:rPr>
      </w:pPr>
    </w:p>
    <w:p w:rsidR="00D37966" w:rsidRPr="00B366C5" w:rsidRDefault="00D37966" w:rsidP="00D37966">
      <w:pPr>
        <w:suppressAutoHyphens/>
        <w:jc w:val="center"/>
        <w:rPr>
          <w:rFonts w:ascii="Arial" w:hAnsi="Arial" w:cs="Arial"/>
          <w:b/>
          <w:sz w:val="28"/>
          <w:szCs w:val="28"/>
        </w:rPr>
      </w:pPr>
    </w:p>
    <w:p w:rsidR="007E0B70" w:rsidRPr="00B366C5" w:rsidRDefault="007E0B70" w:rsidP="007E0B70">
      <w:pPr>
        <w:pStyle w:val="BodyText2"/>
        <w:rPr>
          <w:rFonts w:ascii="Arial" w:hAnsi="Arial" w:cs="Arial"/>
          <w:sz w:val="28"/>
          <w:szCs w:val="28"/>
        </w:rPr>
      </w:pPr>
    </w:p>
    <w:p w:rsidR="007E0B70" w:rsidRPr="00B366C5" w:rsidRDefault="007E0B70" w:rsidP="007E0B70">
      <w:pPr>
        <w:tabs>
          <w:tab w:val="center" w:pos="4680"/>
        </w:tabs>
        <w:suppressAutoHyphens/>
        <w:jc w:val="center"/>
        <w:rPr>
          <w:rFonts w:ascii="Arial" w:hAnsi="Arial" w:cs="Arial"/>
          <w:b/>
          <w:sz w:val="28"/>
          <w:szCs w:val="28"/>
        </w:rPr>
      </w:pPr>
    </w:p>
    <w:p w:rsidR="00C26FE9" w:rsidRPr="00B366C5" w:rsidRDefault="00C26FE9" w:rsidP="007E0B70">
      <w:pPr>
        <w:tabs>
          <w:tab w:val="center" w:pos="4680"/>
        </w:tabs>
        <w:suppressAutoHyphens/>
        <w:jc w:val="center"/>
        <w:rPr>
          <w:rFonts w:ascii="Arial" w:hAnsi="Arial" w:cs="Arial"/>
          <w:b/>
          <w:sz w:val="28"/>
          <w:szCs w:val="28"/>
        </w:rPr>
      </w:pPr>
    </w:p>
    <w:p w:rsidR="007E0B70" w:rsidRPr="00B366C5" w:rsidRDefault="007E0B70" w:rsidP="007E0B70">
      <w:pPr>
        <w:tabs>
          <w:tab w:val="center" w:pos="4680"/>
        </w:tabs>
        <w:suppressAutoHyphens/>
        <w:jc w:val="center"/>
        <w:rPr>
          <w:rFonts w:ascii="Arial" w:hAnsi="Arial" w:cs="Arial"/>
          <w:b/>
          <w:sz w:val="28"/>
          <w:szCs w:val="28"/>
        </w:rPr>
      </w:pPr>
    </w:p>
    <w:p w:rsidR="007E0B70" w:rsidRPr="00B366C5" w:rsidRDefault="007E0B70" w:rsidP="007E0B70">
      <w:pPr>
        <w:tabs>
          <w:tab w:val="center" w:pos="4680"/>
        </w:tabs>
        <w:suppressAutoHyphens/>
        <w:jc w:val="center"/>
        <w:rPr>
          <w:rFonts w:ascii="Arial" w:hAnsi="Arial" w:cs="Arial"/>
          <w:b/>
          <w:sz w:val="28"/>
          <w:szCs w:val="28"/>
        </w:rPr>
      </w:pPr>
    </w:p>
    <w:p w:rsidR="007E0B70" w:rsidRPr="00B366C5" w:rsidRDefault="007E0B70" w:rsidP="007E0B70">
      <w:pPr>
        <w:tabs>
          <w:tab w:val="center" w:pos="4680"/>
        </w:tabs>
        <w:suppressAutoHyphens/>
        <w:jc w:val="center"/>
        <w:outlineLvl w:val="0"/>
        <w:rPr>
          <w:rFonts w:ascii="Arial" w:hAnsi="Arial" w:cs="Arial"/>
          <w:b/>
          <w:sz w:val="28"/>
          <w:szCs w:val="28"/>
        </w:rPr>
      </w:pPr>
      <w:r w:rsidRPr="00B366C5">
        <w:rPr>
          <w:rFonts w:ascii="Arial" w:hAnsi="Arial" w:cs="Arial"/>
          <w:b/>
          <w:sz w:val="28"/>
          <w:szCs w:val="28"/>
        </w:rPr>
        <w:t>Prepared By The</w:t>
      </w:r>
    </w:p>
    <w:p w:rsidR="007E0B70" w:rsidRPr="00B366C5" w:rsidRDefault="007E0B70" w:rsidP="007E0B70">
      <w:pPr>
        <w:tabs>
          <w:tab w:val="center" w:pos="4680"/>
        </w:tabs>
        <w:suppressAutoHyphens/>
        <w:jc w:val="center"/>
        <w:outlineLvl w:val="0"/>
        <w:rPr>
          <w:rFonts w:ascii="Arial" w:hAnsi="Arial" w:cs="Arial"/>
          <w:b/>
          <w:sz w:val="28"/>
          <w:szCs w:val="28"/>
        </w:rPr>
      </w:pPr>
      <w:r w:rsidRPr="00B366C5">
        <w:rPr>
          <w:rFonts w:ascii="Arial" w:hAnsi="Arial" w:cs="Arial"/>
          <w:b/>
          <w:sz w:val="28"/>
          <w:szCs w:val="28"/>
        </w:rPr>
        <w:t>Pennsylvania Public Utility Commission</w:t>
      </w:r>
    </w:p>
    <w:p w:rsidR="007E0B70" w:rsidRPr="00B366C5" w:rsidRDefault="007E0B70" w:rsidP="007E0B70">
      <w:pPr>
        <w:tabs>
          <w:tab w:val="center" w:pos="4680"/>
        </w:tabs>
        <w:suppressAutoHyphens/>
        <w:rPr>
          <w:rFonts w:ascii="Arial" w:hAnsi="Arial" w:cs="Arial"/>
          <w:b/>
          <w:sz w:val="28"/>
          <w:szCs w:val="28"/>
        </w:rPr>
      </w:pPr>
      <w:r w:rsidRPr="00B366C5">
        <w:rPr>
          <w:rFonts w:ascii="Arial" w:hAnsi="Arial" w:cs="Arial"/>
          <w:b/>
          <w:sz w:val="28"/>
          <w:szCs w:val="28"/>
        </w:rPr>
        <w:tab/>
        <w:t xml:space="preserve">Bureau </w:t>
      </w:r>
      <w:proofErr w:type="gramStart"/>
      <w:r w:rsidRPr="00B366C5">
        <w:rPr>
          <w:rFonts w:ascii="Arial" w:hAnsi="Arial" w:cs="Arial"/>
          <w:b/>
          <w:sz w:val="28"/>
          <w:szCs w:val="28"/>
        </w:rPr>
        <w:t>Of</w:t>
      </w:r>
      <w:proofErr w:type="gramEnd"/>
      <w:r w:rsidRPr="00B366C5">
        <w:rPr>
          <w:rFonts w:ascii="Arial" w:hAnsi="Arial" w:cs="Arial"/>
          <w:b/>
          <w:sz w:val="28"/>
          <w:szCs w:val="28"/>
        </w:rPr>
        <w:t xml:space="preserve"> Audits</w:t>
      </w:r>
    </w:p>
    <w:p w:rsidR="007E0B70" w:rsidRPr="00B366C5" w:rsidRDefault="007E0B70" w:rsidP="007E0B70">
      <w:pPr>
        <w:tabs>
          <w:tab w:val="center" w:pos="4680"/>
        </w:tabs>
        <w:suppressAutoHyphens/>
        <w:rPr>
          <w:rFonts w:ascii="Arial" w:hAnsi="Arial" w:cs="Arial"/>
          <w:b/>
          <w:sz w:val="28"/>
          <w:szCs w:val="28"/>
        </w:rPr>
      </w:pPr>
      <w:r w:rsidRPr="00B366C5">
        <w:rPr>
          <w:rFonts w:ascii="Arial" w:hAnsi="Arial" w:cs="Arial"/>
          <w:b/>
          <w:sz w:val="28"/>
          <w:szCs w:val="28"/>
        </w:rPr>
        <w:tab/>
      </w:r>
      <w:r w:rsidR="00771E67" w:rsidRPr="00B366C5">
        <w:rPr>
          <w:rFonts w:ascii="Arial" w:hAnsi="Arial" w:cs="Arial"/>
          <w:b/>
          <w:sz w:val="28"/>
          <w:szCs w:val="28"/>
        </w:rPr>
        <w:t>Report Date:</w:t>
      </w:r>
      <w:r w:rsidR="00971B91">
        <w:rPr>
          <w:rFonts w:ascii="Arial" w:hAnsi="Arial" w:cs="Arial"/>
          <w:b/>
          <w:sz w:val="28"/>
          <w:szCs w:val="28"/>
        </w:rPr>
        <w:t xml:space="preserve">  January 28</w:t>
      </w:r>
      <w:r w:rsidRPr="00B366C5">
        <w:rPr>
          <w:rFonts w:ascii="Arial" w:hAnsi="Arial" w:cs="Arial"/>
          <w:b/>
          <w:sz w:val="28"/>
          <w:szCs w:val="28"/>
        </w:rPr>
        <w:t>, 20</w:t>
      </w:r>
      <w:r w:rsidR="00794C32" w:rsidRPr="00B366C5">
        <w:rPr>
          <w:rFonts w:ascii="Arial" w:hAnsi="Arial" w:cs="Arial"/>
          <w:b/>
          <w:sz w:val="28"/>
          <w:szCs w:val="28"/>
        </w:rPr>
        <w:t>1</w:t>
      </w:r>
      <w:r w:rsidR="0078457C">
        <w:rPr>
          <w:rFonts w:ascii="Arial" w:hAnsi="Arial" w:cs="Arial"/>
          <w:b/>
          <w:sz w:val="28"/>
          <w:szCs w:val="28"/>
        </w:rPr>
        <w:t>4</w:t>
      </w:r>
    </w:p>
    <w:p w:rsidR="007E0B70" w:rsidRPr="00B366C5" w:rsidRDefault="007E0B70" w:rsidP="007E0B70">
      <w:pPr>
        <w:tabs>
          <w:tab w:val="center" w:pos="4680"/>
        </w:tabs>
        <w:suppressAutoHyphens/>
        <w:rPr>
          <w:rFonts w:ascii="Arial" w:hAnsi="Arial" w:cs="Arial"/>
          <w:b/>
          <w:sz w:val="28"/>
          <w:szCs w:val="28"/>
        </w:rPr>
      </w:pPr>
    </w:p>
    <w:p w:rsidR="004102EC" w:rsidRPr="00B366C5" w:rsidRDefault="007E0B70" w:rsidP="00484BF0">
      <w:pPr>
        <w:tabs>
          <w:tab w:val="center" w:pos="4680"/>
        </w:tabs>
        <w:suppressAutoHyphens/>
        <w:rPr>
          <w:rFonts w:ascii="Arial" w:hAnsi="Arial" w:cs="Arial"/>
          <w:b/>
          <w:sz w:val="28"/>
          <w:szCs w:val="28"/>
        </w:rPr>
      </w:pPr>
      <w:r w:rsidRPr="00B366C5">
        <w:rPr>
          <w:rFonts w:ascii="Arial" w:hAnsi="Arial" w:cs="Arial"/>
          <w:b/>
          <w:sz w:val="28"/>
          <w:szCs w:val="28"/>
        </w:rPr>
        <w:tab/>
        <w:t>Docket: D-201</w:t>
      </w:r>
      <w:r w:rsidR="003E1275">
        <w:rPr>
          <w:rFonts w:ascii="Arial" w:hAnsi="Arial" w:cs="Arial"/>
          <w:b/>
          <w:sz w:val="28"/>
          <w:szCs w:val="28"/>
        </w:rPr>
        <w:t>2</w:t>
      </w:r>
      <w:bookmarkStart w:id="0" w:name="_GoBack"/>
      <w:bookmarkEnd w:id="0"/>
      <w:r w:rsidR="000C387C" w:rsidRPr="00B366C5">
        <w:rPr>
          <w:rFonts w:ascii="Arial" w:hAnsi="Arial" w:cs="Arial"/>
          <w:b/>
          <w:sz w:val="28"/>
          <w:szCs w:val="28"/>
        </w:rPr>
        <w:t>-229099</w:t>
      </w:r>
      <w:r w:rsidR="00330BBD">
        <w:rPr>
          <w:rFonts w:ascii="Arial" w:hAnsi="Arial" w:cs="Arial"/>
          <w:b/>
          <w:sz w:val="28"/>
          <w:szCs w:val="28"/>
        </w:rPr>
        <w:t>4</w:t>
      </w:r>
      <w:r w:rsidRPr="00B366C5">
        <w:rPr>
          <w:rFonts w:ascii="Arial" w:hAnsi="Arial" w:cs="Arial"/>
          <w:b/>
          <w:sz w:val="28"/>
          <w:szCs w:val="28"/>
        </w:rPr>
        <w:t xml:space="preserve"> </w:t>
      </w:r>
    </w:p>
    <w:p w:rsidR="007E0B70" w:rsidRPr="004E4262" w:rsidRDefault="00D31697" w:rsidP="001D2717">
      <w:pPr>
        <w:overflowPunct/>
        <w:autoSpaceDE/>
        <w:autoSpaceDN/>
        <w:adjustRightInd/>
        <w:jc w:val="center"/>
        <w:textAlignment w:val="auto"/>
        <w:rPr>
          <w:rFonts w:ascii="Arial" w:hAnsi="Arial" w:cs="Arial"/>
          <w:b/>
          <w:sz w:val="26"/>
          <w:szCs w:val="24"/>
        </w:rPr>
      </w:pPr>
      <w:r w:rsidRPr="004E4262">
        <w:rPr>
          <w:rFonts w:ascii="Arial" w:hAnsi="Arial" w:cs="Arial"/>
          <w:b/>
          <w:sz w:val="26"/>
          <w:szCs w:val="24"/>
        </w:rPr>
        <w:lastRenderedPageBreak/>
        <w:t xml:space="preserve">PECO ENERGY </w:t>
      </w:r>
      <w:r w:rsidR="002D3DB3" w:rsidRPr="004E4262">
        <w:rPr>
          <w:rFonts w:ascii="Arial" w:hAnsi="Arial" w:cs="Arial"/>
          <w:b/>
          <w:sz w:val="26"/>
          <w:szCs w:val="24"/>
        </w:rPr>
        <w:t>COMPANY</w:t>
      </w:r>
    </w:p>
    <w:p w:rsidR="007E0B70" w:rsidRPr="004E4262" w:rsidRDefault="007E0B70" w:rsidP="007E0B70">
      <w:pPr>
        <w:tabs>
          <w:tab w:val="left" w:pos="180"/>
          <w:tab w:val="left" w:pos="270"/>
        </w:tabs>
        <w:suppressAutoHyphens/>
        <w:rPr>
          <w:rFonts w:ascii="Arial" w:hAnsi="Arial" w:cs="Arial"/>
          <w:szCs w:val="24"/>
        </w:rPr>
      </w:pPr>
    </w:p>
    <w:p w:rsidR="007E0B70" w:rsidRPr="00E55B81" w:rsidRDefault="00E55B81" w:rsidP="007E0B70">
      <w:pPr>
        <w:jc w:val="center"/>
        <w:rPr>
          <w:rFonts w:ascii="Arial" w:hAnsi="Arial" w:cs="Arial"/>
          <w:b/>
          <w:sz w:val="26"/>
          <w:szCs w:val="26"/>
        </w:rPr>
      </w:pPr>
      <w:r>
        <w:rPr>
          <w:rFonts w:ascii="Arial" w:hAnsi="Arial" w:cs="Arial"/>
          <w:b/>
          <w:sz w:val="26"/>
          <w:szCs w:val="26"/>
        </w:rPr>
        <w:t xml:space="preserve">Table of </w:t>
      </w:r>
      <w:r w:rsidR="007E0B70" w:rsidRPr="00E55B81">
        <w:rPr>
          <w:rFonts w:ascii="Arial" w:hAnsi="Arial" w:cs="Arial"/>
          <w:b/>
          <w:sz w:val="26"/>
          <w:szCs w:val="26"/>
        </w:rPr>
        <w:t>Contents</w:t>
      </w:r>
    </w:p>
    <w:p w:rsidR="007E0B70" w:rsidRPr="004E4262" w:rsidRDefault="007E0B70" w:rsidP="007E0B70">
      <w:pPr>
        <w:tabs>
          <w:tab w:val="left" w:pos="-720"/>
          <w:tab w:val="left" w:pos="180"/>
          <w:tab w:val="left" w:pos="270"/>
        </w:tabs>
        <w:suppressAutoHyphens/>
        <w:ind w:right="-90"/>
        <w:rPr>
          <w:rFonts w:ascii="Arial" w:hAnsi="Arial" w:cs="Arial"/>
          <w:b/>
          <w:szCs w:val="24"/>
        </w:rPr>
      </w:pPr>
    </w:p>
    <w:p w:rsidR="007E0B70" w:rsidRPr="00B366C5" w:rsidRDefault="007E0B70" w:rsidP="007E0B70">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7E0B70" w:rsidRPr="00B366C5" w:rsidTr="00B872C9">
        <w:tc>
          <w:tcPr>
            <w:tcW w:w="8478" w:type="dxa"/>
          </w:tcPr>
          <w:p w:rsidR="007E0B70" w:rsidRPr="00B366C5" w:rsidRDefault="007E0B70" w:rsidP="00C5320E">
            <w:pPr>
              <w:tabs>
                <w:tab w:val="left" w:pos="-720"/>
                <w:tab w:val="left" w:pos="180"/>
                <w:tab w:val="left" w:pos="270"/>
              </w:tabs>
              <w:suppressAutoHyphens/>
              <w:rPr>
                <w:rFonts w:ascii="Arial" w:hAnsi="Arial" w:cs="Arial"/>
                <w:b/>
                <w:szCs w:val="24"/>
                <w:u w:val="single"/>
              </w:rPr>
            </w:pPr>
          </w:p>
        </w:tc>
        <w:tc>
          <w:tcPr>
            <w:tcW w:w="1098" w:type="dxa"/>
          </w:tcPr>
          <w:p w:rsidR="007E0B70" w:rsidRPr="00B366C5" w:rsidRDefault="007E0B70" w:rsidP="00C5320E">
            <w:pPr>
              <w:pStyle w:val="EndnoteText"/>
              <w:tabs>
                <w:tab w:val="left" w:pos="-720"/>
                <w:tab w:val="left" w:pos="180"/>
                <w:tab w:val="left" w:pos="270"/>
              </w:tabs>
              <w:suppressAutoHyphens/>
              <w:jc w:val="center"/>
              <w:rPr>
                <w:rFonts w:ascii="Arial" w:hAnsi="Arial" w:cs="Arial"/>
                <w:b/>
                <w:szCs w:val="24"/>
                <w:u w:val="single"/>
              </w:rPr>
            </w:pPr>
            <w:r w:rsidRPr="00B366C5">
              <w:rPr>
                <w:rFonts w:ascii="Arial" w:hAnsi="Arial" w:cs="Arial"/>
                <w:b/>
                <w:szCs w:val="24"/>
                <w:u w:val="single"/>
              </w:rPr>
              <w:t>Page</w:t>
            </w:r>
          </w:p>
        </w:tc>
      </w:tr>
      <w:tr w:rsidR="007E0B70" w:rsidRPr="00B366C5" w:rsidTr="00B872C9">
        <w:tc>
          <w:tcPr>
            <w:tcW w:w="8478" w:type="dxa"/>
          </w:tcPr>
          <w:p w:rsidR="007E0B70" w:rsidRPr="00554158" w:rsidRDefault="007E0B70" w:rsidP="00C5320E">
            <w:pPr>
              <w:tabs>
                <w:tab w:val="left" w:pos="-720"/>
                <w:tab w:val="left" w:pos="180"/>
                <w:tab w:val="left" w:pos="270"/>
              </w:tabs>
              <w:suppressAutoHyphens/>
              <w:rPr>
                <w:rFonts w:ascii="Arial" w:hAnsi="Arial" w:cs="Arial"/>
                <w:b/>
                <w:szCs w:val="24"/>
                <w:u w:val="single"/>
              </w:rPr>
            </w:pPr>
            <w:r w:rsidRPr="00554158">
              <w:rPr>
                <w:rFonts w:ascii="Arial" w:hAnsi="Arial" w:cs="Arial"/>
                <w:b/>
                <w:szCs w:val="24"/>
                <w:u w:val="single"/>
              </w:rPr>
              <w:t xml:space="preserve">FINANCIAL REVIEW </w:t>
            </w:r>
          </w:p>
        </w:tc>
        <w:tc>
          <w:tcPr>
            <w:tcW w:w="1098" w:type="dxa"/>
          </w:tcPr>
          <w:p w:rsidR="007E0B70" w:rsidRPr="00B366C5" w:rsidRDefault="007E0B70" w:rsidP="00C5320E">
            <w:pPr>
              <w:pStyle w:val="EndnoteText"/>
              <w:tabs>
                <w:tab w:val="right" w:pos="562"/>
              </w:tabs>
              <w:suppressAutoHyphens/>
              <w:rPr>
                <w:rFonts w:ascii="Arial" w:hAnsi="Arial" w:cs="Arial"/>
                <w:szCs w:val="24"/>
              </w:rPr>
            </w:pPr>
          </w:p>
        </w:tc>
      </w:tr>
      <w:tr w:rsidR="007E0B70" w:rsidRPr="00B366C5" w:rsidTr="00B872C9">
        <w:tc>
          <w:tcPr>
            <w:tcW w:w="8478" w:type="dxa"/>
          </w:tcPr>
          <w:p w:rsidR="007E0B70" w:rsidRPr="004E4262"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Pr>
          <w:p w:rsidR="007E0B70" w:rsidRPr="00B366C5" w:rsidRDefault="007E0B70" w:rsidP="00C5320E">
            <w:pPr>
              <w:pStyle w:val="EndnoteText"/>
              <w:tabs>
                <w:tab w:val="right" w:pos="562"/>
              </w:tabs>
              <w:suppressAutoHyphens/>
              <w:rPr>
                <w:rFonts w:ascii="Arial" w:hAnsi="Arial" w:cs="Arial"/>
                <w:szCs w:val="24"/>
              </w:rPr>
            </w:pPr>
          </w:p>
        </w:tc>
      </w:tr>
      <w:tr w:rsidR="007E0B70" w:rsidRPr="00B366C5" w:rsidTr="00B872C9">
        <w:tc>
          <w:tcPr>
            <w:tcW w:w="8478" w:type="dxa"/>
          </w:tcPr>
          <w:p w:rsidR="007E0B70" w:rsidRPr="00B366C5"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r w:rsidRPr="00B366C5">
              <w:rPr>
                <w:rFonts w:ascii="Arial" w:hAnsi="Arial" w:cs="Arial"/>
                <w:szCs w:val="24"/>
              </w:rPr>
              <w:tab/>
              <w:t>Independent Auditor's Report</w:t>
            </w:r>
          </w:p>
        </w:tc>
        <w:tc>
          <w:tcPr>
            <w:tcW w:w="1098" w:type="dxa"/>
          </w:tcPr>
          <w:p w:rsidR="007E0B70" w:rsidRPr="00B366C5" w:rsidRDefault="007E0B70" w:rsidP="00C5320E">
            <w:pPr>
              <w:pStyle w:val="EndnoteText"/>
              <w:tabs>
                <w:tab w:val="right" w:pos="562"/>
              </w:tabs>
              <w:suppressAutoHyphens/>
              <w:jc w:val="center"/>
              <w:rPr>
                <w:rFonts w:ascii="Arial" w:hAnsi="Arial" w:cs="Arial"/>
                <w:szCs w:val="24"/>
              </w:rPr>
            </w:pPr>
            <w:r w:rsidRPr="00B366C5">
              <w:rPr>
                <w:rFonts w:ascii="Arial" w:hAnsi="Arial" w:cs="Arial"/>
                <w:szCs w:val="24"/>
              </w:rPr>
              <w:t>1</w:t>
            </w:r>
          </w:p>
        </w:tc>
      </w:tr>
      <w:tr w:rsidR="007E0B70" w:rsidRPr="00B366C5" w:rsidTr="00B872C9">
        <w:tc>
          <w:tcPr>
            <w:tcW w:w="8478" w:type="dxa"/>
          </w:tcPr>
          <w:p w:rsidR="007E0B70" w:rsidRPr="00B366C5" w:rsidRDefault="007E0B70" w:rsidP="00C5320E">
            <w:pPr>
              <w:pStyle w:val="EndnoteText"/>
              <w:tabs>
                <w:tab w:val="left" w:pos="9180"/>
              </w:tabs>
              <w:suppressAutoHyphens/>
              <w:ind w:left="360"/>
              <w:rPr>
                <w:rFonts w:ascii="Arial" w:hAnsi="Arial" w:cs="Arial"/>
                <w:szCs w:val="24"/>
              </w:rPr>
            </w:pPr>
          </w:p>
        </w:tc>
        <w:tc>
          <w:tcPr>
            <w:tcW w:w="1098" w:type="dxa"/>
          </w:tcPr>
          <w:p w:rsidR="007E0B70" w:rsidRPr="00B366C5" w:rsidRDefault="007E0B70" w:rsidP="00C5320E">
            <w:pPr>
              <w:tabs>
                <w:tab w:val="right" w:pos="562"/>
              </w:tabs>
              <w:suppressAutoHyphens/>
              <w:rPr>
                <w:rFonts w:ascii="Arial" w:hAnsi="Arial" w:cs="Arial"/>
                <w:szCs w:val="24"/>
              </w:rPr>
            </w:pPr>
          </w:p>
        </w:tc>
      </w:tr>
      <w:tr w:rsidR="004B51AF" w:rsidRPr="00B366C5" w:rsidTr="00B872C9">
        <w:tc>
          <w:tcPr>
            <w:tcW w:w="8478" w:type="dxa"/>
          </w:tcPr>
          <w:p w:rsidR="004B51AF" w:rsidRPr="00B366C5" w:rsidRDefault="00D01410" w:rsidP="007D1C20">
            <w:pPr>
              <w:pStyle w:val="EndnoteText"/>
              <w:tabs>
                <w:tab w:val="left" w:pos="9180"/>
              </w:tabs>
              <w:suppressAutoHyphens/>
              <w:ind w:left="360"/>
              <w:rPr>
                <w:rFonts w:ascii="Arial" w:hAnsi="Arial" w:cs="Arial"/>
                <w:szCs w:val="24"/>
              </w:rPr>
            </w:pPr>
            <w:r>
              <w:rPr>
                <w:rFonts w:ascii="Arial" w:hAnsi="Arial" w:cs="Arial"/>
                <w:szCs w:val="24"/>
              </w:rPr>
              <w:t xml:space="preserve">Condensed Statement of </w:t>
            </w:r>
            <w:r w:rsidR="000C387C" w:rsidRPr="00B366C5">
              <w:rPr>
                <w:rFonts w:ascii="Arial" w:hAnsi="Arial" w:cs="Arial"/>
                <w:szCs w:val="24"/>
              </w:rPr>
              <w:t>Alternative Energy Portfolio Standards</w:t>
            </w:r>
            <w:r w:rsidR="000322C9" w:rsidRPr="00B366C5">
              <w:rPr>
                <w:rFonts w:ascii="Arial" w:hAnsi="Arial" w:cs="Arial"/>
                <w:szCs w:val="24"/>
              </w:rPr>
              <w:t xml:space="preserve"> </w:t>
            </w:r>
            <w:r w:rsidR="00A250B0" w:rsidRPr="00B366C5">
              <w:rPr>
                <w:rFonts w:ascii="Arial" w:hAnsi="Arial" w:cs="Arial"/>
                <w:szCs w:val="24"/>
              </w:rPr>
              <w:t>(</w:t>
            </w:r>
            <w:r w:rsidR="00BD10D5" w:rsidRPr="00B366C5">
              <w:rPr>
                <w:rFonts w:ascii="Arial" w:hAnsi="Arial" w:cs="Arial"/>
                <w:szCs w:val="24"/>
              </w:rPr>
              <w:t>AEPS</w:t>
            </w:r>
            <w:r w:rsidR="00A250B0" w:rsidRPr="00B366C5">
              <w:rPr>
                <w:rFonts w:ascii="Arial" w:hAnsi="Arial" w:cs="Arial"/>
                <w:szCs w:val="24"/>
              </w:rPr>
              <w:t xml:space="preserve">) </w:t>
            </w:r>
            <w:r>
              <w:rPr>
                <w:rFonts w:ascii="Arial" w:hAnsi="Arial" w:cs="Arial"/>
                <w:szCs w:val="24"/>
              </w:rPr>
              <w:t>Over/(Under) Collections (Section</w:t>
            </w:r>
            <w:r w:rsidR="009A3806" w:rsidRPr="00B366C5">
              <w:rPr>
                <w:rFonts w:ascii="Arial" w:hAnsi="Arial" w:cs="Arial"/>
                <w:szCs w:val="24"/>
              </w:rPr>
              <w:t xml:space="preserve"> 1</w:t>
            </w:r>
            <w:r w:rsidR="00A250B0" w:rsidRPr="00B366C5">
              <w:rPr>
                <w:rFonts w:ascii="Arial" w:hAnsi="Arial" w:cs="Arial"/>
                <w:szCs w:val="24"/>
              </w:rPr>
              <w:t>307(e)</w:t>
            </w:r>
            <w:r>
              <w:rPr>
                <w:rFonts w:ascii="Arial" w:hAnsi="Arial" w:cs="Arial"/>
                <w:szCs w:val="24"/>
              </w:rPr>
              <w:t xml:space="preserve">) </w:t>
            </w:r>
            <w:r w:rsidR="007D1C20">
              <w:rPr>
                <w:rFonts w:ascii="Arial" w:hAnsi="Arial" w:cs="Arial"/>
                <w:szCs w:val="24"/>
              </w:rPr>
              <w:t>F</w:t>
            </w:r>
            <w:r w:rsidR="004B51AF" w:rsidRPr="00B366C5">
              <w:rPr>
                <w:rFonts w:ascii="Arial" w:hAnsi="Arial" w:cs="Arial"/>
                <w:szCs w:val="24"/>
              </w:rPr>
              <w:t xml:space="preserve">or </w:t>
            </w:r>
            <w:r w:rsidR="007D1C20">
              <w:rPr>
                <w:rFonts w:ascii="Arial" w:hAnsi="Arial" w:cs="Arial"/>
                <w:szCs w:val="24"/>
              </w:rPr>
              <w:t>T</w:t>
            </w:r>
            <w:r w:rsidR="004B51AF" w:rsidRPr="00B366C5">
              <w:rPr>
                <w:rFonts w:ascii="Arial" w:hAnsi="Arial" w:cs="Arial"/>
                <w:szCs w:val="24"/>
              </w:rPr>
              <w:t xml:space="preserve">he </w:t>
            </w:r>
            <w:r w:rsidR="000C387C" w:rsidRPr="00B366C5">
              <w:rPr>
                <w:rFonts w:ascii="Arial" w:hAnsi="Arial" w:cs="Arial"/>
                <w:szCs w:val="24"/>
              </w:rPr>
              <w:t>Thirteen</w:t>
            </w:r>
            <w:r w:rsidR="004B51AF" w:rsidRPr="00B366C5">
              <w:rPr>
                <w:rFonts w:ascii="Arial" w:hAnsi="Arial" w:cs="Arial"/>
                <w:szCs w:val="24"/>
              </w:rPr>
              <w:t xml:space="preserve"> Months Ended </w:t>
            </w:r>
            <w:r w:rsidR="000C387C" w:rsidRPr="00B366C5">
              <w:rPr>
                <w:rFonts w:ascii="Arial" w:hAnsi="Arial" w:cs="Arial"/>
                <w:szCs w:val="24"/>
              </w:rPr>
              <w:t>January</w:t>
            </w:r>
            <w:r w:rsidR="000322C9" w:rsidRPr="00B366C5">
              <w:rPr>
                <w:rFonts w:ascii="Arial" w:hAnsi="Arial" w:cs="Arial"/>
                <w:szCs w:val="24"/>
              </w:rPr>
              <w:t xml:space="preserve"> 31, 2012</w:t>
            </w:r>
            <w:r w:rsidR="00D16EF5" w:rsidRPr="00B366C5">
              <w:rPr>
                <w:rFonts w:ascii="Arial" w:hAnsi="Arial" w:cs="Arial"/>
                <w:szCs w:val="24"/>
              </w:rPr>
              <w:t xml:space="preserve">       </w:t>
            </w:r>
          </w:p>
        </w:tc>
        <w:tc>
          <w:tcPr>
            <w:tcW w:w="1098" w:type="dxa"/>
          </w:tcPr>
          <w:p w:rsidR="004B51AF" w:rsidRPr="00B366C5" w:rsidRDefault="004B51AF" w:rsidP="00A21754">
            <w:pPr>
              <w:suppressAutoHyphens/>
              <w:ind w:left="62"/>
              <w:jc w:val="center"/>
              <w:rPr>
                <w:rFonts w:ascii="Arial" w:hAnsi="Arial" w:cs="Arial"/>
                <w:szCs w:val="24"/>
              </w:rPr>
            </w:pPr>
          </w:p>
          <w:p w:rsidR="007D1C20" w:rsidRDefault="007D1C20" w:rsidP="00A21754">
            <w:pPr>
              <w:suppressAutoHyphens/>
              <w:ind w:left="62"/>
              <w:jc w:val="center"/>
              <w:rPr>
                <w:rFonts w:ascii="Arial" w:hAnsi="Arial" w:cs="Arial"/>
                <w:szCs w:val="24"/>
              </w:rPr>
            </w:pPr>
          </w:p>
          <w:p w:rsidR="00A21754" w:rsidRPr="00B366C5" w:rsidRDefault="00A21754" w:rsidP="00A21754">
            <w:pPr>
              <w:suppressAutoHyphens/>
              <w:ind w:left="62"/>
              <w:jc w:val="center"/>
              <w:rPr>
                <w:rFonts w:ascii="Arial" w:hAnsi="Arial" w:cs="Arial"/>
                <w:szCs w:val="24"/>
              </w:rPr>
            </w:pPr>
            <w:r w:rsidRPr="00B366C5">
              <w:rPr>
                <w:rFonts w:ascii="Arial" w:hAnsi="Arial" w:cs="Arial"/>
                <w:szCs w:val="24"/>
              </w:rPr>
              <w:t>2</w:t>
            </w:r>
          </w:p>
        </w:tc>
      </w:tr>
      <w:tr w:rsidR="004B51AF" w:rsidRPr="00B366C5" w:rsidTr="00B872C9">
        <w:tc>
          <w:tcPr>
            <w:tcW w:w="8478" w:type="dxa"/>
          </w:tcPr>
          <w:p w:rsidR="004B51AF" w:rsidRPr="00B366C5" w:rsidRDefault="004B51AF" w:rsidP="00C5320E">
            <w:pPr>
              <w:pStyle w:val="EndnoteText"/>
              <w:tabs>
                <w:tab w:val="left" w:pos="9180"/>
              </w:tabs>
              <w:suppressAutoHyphens/>
              <w:ind w:left="360"/>
              <w:rPr>
                <w:rFonts w:ascii="Arial" w:hAnsi="Arial" w:cs="Arial"/>
                <w:szCs w:val="24"/>
              </w:rPr>
            </w:pPr>
          </w:p>
        </w:tc>
        <w:tc>
          <w:tcPr>
            <w:tcW w:w="1098" w:type="dxa"/>
          </w:tcPr>
          <w:p w:rsidR="00237B8A" w:rsidRPr="00B366C5" w:rsidRDefault="00237B8A" w:rsidP="00C5320E">
            <w:pPr>
              <w:tabs>
                <w:tab w:val="right" w:pos="562"/>
              </w:tabs>
              <w:suppressAutoHyphens/>
              <w:rPr>
                <w:rFonts w:ascii="Arial" w:hAnsi="Arial" w:cs="Arial"/>
                <w:szCs w:val="24"/>
              </w:rPr>
            </w:pPr>
          </w:p>
        </w:tc>
      </w:tr>
      <w:tr w:rsidR="004B51AF" w:rsidRPr="00B366C5" w:rsidTr="00B872C9">
        <w:tc>
          <w:tcPr>
            <w:tcW w:w="8478" w:type="dxa"/>
          </w:tcPr>
          <w:p w:rsidR="00787FED" w:rsidRDefault="00787FED" w:rsidP="00787FED">
            <w:pPr>
              <w:pStyle w:val="EndnoteText"/>
              <w:tabs>
                <w:tab w:val="left" w:pos="9270"/>
              </w:tabs>
              <w:suppressAutoHyphens/>
              <w:ind w:left="360" w:right="-738"/>
              <w:rPr>
                <w:rFonts w:ascii="Arial" w:hAnsi="Arial" w:cs="Arial"/>
                <w:szCs w:val="24"/>
              </w:rPr>
            </w:pPr>
            <w:r>
              <w:rPr>
                <w:rFonts w:ascii="Arial" w:hAnsi="Arial" w:cs="Arial"/>
                <w:szCs w:val="24"/>
              </w:rPr>
              <w:t xml:space="preserve">Condensed </w:t>
            </w:r>
            <w:r w:rsidR="00AC7DF5">
              <w:rPr>
                <w:rFonts w:ascii="Arial" w:hAnsi="Arial" w:cs="Arial"/>
                <w:szCs w:val="24"/>
              </w:rPr>
              <w:t>Amortization</w:t>
            </w:r>
            <w:r>
              <w:rPr>
                <w:rFonts w:ascii="Arial" w:hAnsi="Arial" w:cs="Arial"/>
                <w:szCs w:val="24"/>
              </w:rPr>
              <w:t xml:space="preserve"> Statement of Rate Cap Costs (RCC) f</w:t>
            </w:r>
            <w:r w:rsidR="00237B8A" w:rsidRPr="00B366C5">
              <w:rPr>
                <w:rFonts w:ascii="Arial" w:hAnsi="Arial" w:cs="Arial"/>
                <w:szCs w:val="24"/>
              </w:rPr>
              <w:t xml:space="preserve">or </w:t>
            </w:r>
            <w:r>
              <w:rPr>
                <w:rFonts w:ascii="Arial" w:hAnsi="Arial" w:cs="Arial"/>
                <w:szCs w:val="24"/>
              </w:rPr>
              <w:t>T</w:t>
            </w:r>
            <w:r w:rsidR="00237B8A" w:rsidRPr="00B366C5">
              <w:rPr>
                <w:rFonts w:ascii="Arial" w:hAnsi="Arial" w:cs="Arial"/>
                <w:szCs w:val="24"/>
              </w:rPr>
              <w:t xml:space="preserve">he  </w:t>
            </w:r>
          </w:p>
          <w:p w:rsidR="00237B8A" w:rsidRPr="00B366C5" w:rsidRDefault="00787FED" w:rsidP="00787FED">
            <w:pPr>
              <w:pStyle w:val="EndnoteText"/>
              <w:tabs>
                <w:tab w:val="left" w:pos="9270"/>
              </w:tabs>
              <w:suppressAutoHyphens/>
              <w:ind w:left="360" w:right="-738"/>
              <w:rPr>
                <w:rFonts w:ascii="Arial" w:hAnsi="Arial" w:cs="Arial"/>
                <w:szCs w:val="24"/>
              </w:rPr>
            </w:pPr>
            <w:r>
              <w:rPr>
                <w:rFonts w:ascii="Arial" w:hAnsi="Arial" w:cs="Arial"/>
                <w:szCs w:val="24"/>
              </w:rPr>
              <w:t xml:space="preserve">Twelve Months Ended </w:t>
            </w:r>
            <w:r w:rsidR="00237B8A" w:rsidRPr="00B366C5">
              <w:rPr>
                <w:rFonts w:ascii="Arial" w:hAnsi="Arial" w:cs="Arial"/>
                <w:szCs w:val="24"/>
              </w:rPr>
              <w:t>December 31, 2011</w:t>
            </w:r>
          </w:p>
        </w:tc>
        <w:tc>
          <w:tcPr>
            <w:tcW w:w="1098" w:type="dxa"/>
          </w:tcPr>
          <w:p w:rsidR="004B51AF" w:rsidRPr="00B366C5" w:rsidRDefault="00D16EF5" w:rsidP="00A21754">
            <w:pPr>
              <w:tabs>
                <w:tab w:val="right" w:pos="562"/>
              </w:tabs>
              <w:suppressAutoHyphens/>
              <w:rPr>
                <w:rFonts w:ascii="Arial" w:hAnsi="Arial" w:cs="Arial"/>
                <w:szCs w:val="24"/>
              </w:rPr>
            </w:pPr>
            <w:r w:rsidRPr="00B366C5">
              <w:rPr>
                <w:rFonts w:ascii="Arial" w:hAnsi="Arial" w:cs="Arial"/>
                <w:szCs w:val="24"/>
              </w:rPr>
              <w:t xml:space="preserve">      </w:t>
            </w:r>
          </w:p>
          <w:p w:rsidR="00A21754" w:rsidRPr="00B366C5" w:rsidRDefault="00A21754" w:rsidP="00F6781B">
            <w:pPr>
              <w:tabs>
                <w:tab w:val="right" w:pos="562"/>
              </w:tabs>
              <w:suppressAutoHyphens/>
              <w:ind w:left="-108"/>
              <w:rPr>
                <w:rFonts w:ascii="Arial" w:hAnsi="Arial" w:cs="Arial"/>
                <w:szCs w:val="24"/>
              </w:rPr>
            </w:pPr>
            <w:r w:rsidRPr="00B366C5">
              <w:rPr>
                <w:rFonts w:ascii="Arial" w:hAnsi="Arial" w:cs="Arial"/>
                <w:szCs w:val="24"/>
              </w:rPr>
              <w:t xml:space="preserve">      </w:t>
            </w:r>
            <w:r w:rsidR="00F6781B" w:rsidRPr="00B366C5">
              <w:rPr>
                <w:rFonts w:ascii="Arial" w:hAnsi="Arial" w:cs="Arial"/>
                <w:szCs w:val="24"/>
              </w:rPr>
              <w:t xml:space="preserve">  </w:t>
            </w:r>
            <w:r w:rsidRPr="00B366C5">
              <w:rPr>
                <w:rFonts w:ascii="Arial" w:hAnsi="Arial" w:cs="Arial"/>
                <w:szCs w:val="24"/>
              </w:rPr>
              <w:t>3</w:t>
            </w:r>
          </w:p>
        </w:tc>
      </w:tr>
      <w:tr w:rsidR="00D16EF5" w:rsidRPr="00B366C5" w:rsidTr="00B872C9">
        <w:tc>
          <w:tcPr>
            <w:tcW w:w="8478" w:type="dxa"/>
          </w:tcPr>
          <w:p w:rsidR="00D16EF5" w:rsidRPr="00B366C5" w:rsidRDefault="00D16EF5" w:rsidP="00D16EF5">
            <w:pPr>
              <w:pStyle w:val="EndnoteText"/>
              <w:tabs>
                <w:tab w:val="left" w:pos="9180"/>
              </w:tabs>
              <w:suppressAutoHyphens/>
              <w:ind w:left="360"/>
              <w:rPr>
                <w:rFonts w:ascii="Arial" w:hAnsi="Arial" w:cs="Arial"/>
                <w:szCs w:val="24"/>
              </w:rPr>
            </w:pPr>
          </w:p>
        </w:tc>
        <w:tc>
          <w:tcPr>
            <w:tcW w:w="1098" w:type="dxa"/>
          </w:tcPr>
          <w:p w:rsidR="00D16EF5" w:rsidRPr="00B366C5" w:rsidRDefault="00D16EF5" w:rsidP="00C5320E">
            <w:pPr>
              <w:tabs>
                <w:tab w:val="right" w:pos="562"/>
              </w:tabs>
              <w:suppressAutoHyphens/>
              <w:rPr>
                <w:rFonts w:ascii="Arial" w:hAnsi="Arial" w:cs="Arial"/>
                <w:szCs w:val="24"/>
              </w:rPr>
            </w:pPr>
          </w:p>
        </w:tc>
      </w:tr>
      <w:tr w:rsidR="007E0B70" w:rsidRPr="00B366C5" w:rsidTr="00B872C9">
        <w:trPr>
          <w:trHeight w:val="252"/>
        </w:trPr>
        <w:tc>
          <w:tcPr>
            <w:tcW w:w="8478" w:type="dxa"/>
          </w:tcPr>
          <w:p w:rsidR="007E0B70" w:rsidRPr="00B366C5" w:rsidRDefault="007E0B70" w:rsidP="00C5320E">
            <w:pPr>
              <w:tabs>
                <w:tab w:val="left" w:pos="390"/>
                <w:tab w:val="left" w:pos="9180"/>
              </w:tabs>
              <w:suppressAutoHyphens/>
              <w:ind w:left="360"/>
              <w:rPr>
                <w:rFonts w:ascii="Arial" w:hAnsi="Arial" w:cs="Arial"/>
                <w:szCs w:val="24"/>
              </w:rPr>
            </w:pPr>
            <w:r w:rsidRPr="00B366C5">
              <w:rPr>
                <w:rFonts w:ascii="Arial" w:hAnsi="Arial" w:cs="Arial"/>
                <w:szCs w:val="24"/>
              </w:rPr>
              <w:t>Notes To The Financial Statement</w:t>
            </w:r>
            <w:r w:rsidR="001B649C">
              <w:rPr>
                <w:rFonts w:ascii="Arial" w:hAnsi="Arial" w:cs="Arial"/>
                <w:szCs w:val="24"/>
              </w:rPr>
              <w:t>s</w:t>
            </w:r>
          </w:p>
        </w:tc>
        <w:tc>
          <w:tcPr>
            <w:tcW w:w="1098" w:type="dxa"/>
          </w:tcPr>
          <w:p w:rsidR="007E0B70" w:rsidRPr="00B366C5" w:rsidRDefault="00F6781B" w:rsidP="00C5320E">
            <w:pPr>
              <w:tabs>
                <w:tab w:val="right" w:pos="562"/>
              </w:tabs>
              <w:suppressAutoHyphens/>
              <w:jc w:val="center"/>
              <w:rPr>
                <w:rFonts w:ascii="Arial" w:hAnsi="Arial" w:cs="Arial"/>
                <w:szCs w:val="24"/>
              </w:rPr>
            </w:pPr>
            <w:r w:rsidRPr="00B366C5">
              <w:rPr>
                <w:rFonts w:ascii="Arial" w:hAnsi="Arial" w:cs="Arial"/>
                <w:szCs w:val="24"/>
              </w:rPr>
              <w:t xml:space="preserve"> </w:t>
            </w:r>
            <w:r w:rsidR="00A250B0" w:rsidRPr="00B366C5">
              <w:rPr>
                <w:rFonts w:ascii="Arial" w:hAnsi="Arial" w:cs="Arial"/>
                <w:szCs w:val="24"/>
              </w:rPr>
              <w:t>4</w:t>
            </w:r>
          </w:p>
        </w:tc>
      </w:tr>
      <w:tr w:rsidR="007E0B70" w:rsidRPr="00B366C5" w:rsidTr="00EF5871">
        <w:trPr>
          <w:trHeight w:val="504"/>
        </w:trPr>
        <w:tc>
          <w:tcPr>
            <w:tcW w:w="8478" w:type="dxa"/>
          </w:tcPr>
          <w:p w:rsidR="007E0B70" w:rsidRPr="00B366C5" w:rsidRDefault="007E0B70" w:rsidP="00C5320E">
            <w:pPr>
              <w:tabs>
                <w:tab w:val="left" w:pos="-2880"/>
                <w:tab w:val="left" w:pos="-720"/>
                <w:tab w:val="left" w:pos="1440"/>
                <w:tab w:val="left" w:pos="9180"/>
              </w:tabs>
              <w:suppressAutoHyphens/>
              <w:rPr>
                <w:rFonts w:ascii="Arial" w:hAnsi="Arial" w:cs="Arial"/>
                <w:b/>
                <w:szCs w:val="24"/>
                <w:u w:val="single"/>
              </w:rPr>
            </w:pPr>
          </w:p>
          <w:p w:rsidR="007E0B70" w:rsidRPr="00EF5871" w:rsidRDefault="00EF5871" w:rsidP="00C5320E">
            <w:pPr>
              <w:tabs>
                <w:tab w:val="left" w:pos="-2880"/>
                <w:tab w:val="left" w:pos="-720"/>
                <w:tab w:val="left" w:pos="1440"/>
                <w:tab w:val="left" w:pos="9180"/>
              </w:tabs>
              <w:suppressAutoHyphens/>
              <w:rPr>
                <w:rFonts w:ascii="Arial" w:hAnsi="Arial" w:cs="Arial"/>
                <w:szCs w:val="24"/>
                <w:u w:val="single"/>
              </w:rPr>
            </w:pPr>
            <w:r w:rsidRPr="00EF5871">
              <w:rPr>
                <w:rFonts w:ascii="Arial" w:hAnsi="Arial" w:cs="Arial"/>
                <w:b/>
                <w:szCs w:val="24"/>
                <w:u w:val="single"/>
              </w:rPr>
              <w:t xml:space="preserve">BACKGROUND AND </w:t>
            </w:r>
            <w:r w:rsidR="007E0B70" w:rsidRPr="00EF5871">
              <w:rPr>
                <w:rFonts w:ascii="Arial" w:hAnsi="Arial" w:cs="Arial"/>
                <w:b/>
                <w:szCs w:val="24"/>
                <w:u w:val="single"/>
              </w:rPr>
              <w:t>OPERATIONAL REVIEW</w:t>
            </w:r>
          </w:p>
        </w:tc>
        <w:tc>
          <w:tcPr>
            <w:tcW w:w="1098" w:type="dxa"/>
            <w:vAlign w:val="bottom"/>
          </w:tcPr>
          <w:p w:rsidR="007E0B70" w:rsidRPr="00B366C5" w:rsidRDefault="00EF5871" w:rsidP="00EF5871">
            <w:pPr>
              <w:tabs>
                <w:tab w:val="right" w:pos="562"/>
              </w:tabs>
              <w:suppressAutoHyphens/>
              <w:jc w:val="center"/>
              <w:rPr>
                <w:rFonts w:ascii="Arial" w:hAnsi="Arial" w:cs="Arial"/>
                <w:szCs w:val="24"/>
              </w:rPr>
            </w:pPr>
            <w:r>
              <w:rPr>
                <w:rFonts w:ascii="Arial" w:hAnsi="Arial" w:cs="Arial"/>
                <w:szCs w:val="24"/>
              </w:rPr>
              <w:t>6</w:t>
            </w:r>
          </w:p>
        </w:tc>
      </w:tr>
      <w:tr w:rsidR="007E0B70" w:rsidRPr="00B366C5" w:rsidTr="00B872C9">
        <w:tc>
          <w:tcPr>
            <w:tcW w:w="8478" w:type="dxa"/>
          </w:tcPr>
          <w:p w:rsidR="007E0B70" w:rsidRPr="00B366C5" w:rsidRDefault="007E0B70"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7E0B70" w:rsidRPr="00B366C5" w:rsidRDefault="007E0B70" w:rsidP="00C5320E">
            <w:pPr>
              <w:tabs>
                <w:tab w:val="right" w:pos="562"/>
              </w:tabs>
              <w:suppressAutoHyphens/>
              <w:rPr>
                <w:rFonts w:ascii="Arial" w:hAnsi="Arial" w:cs="Arial"/>
                <w:szCs w:val="24"/>
              </w:rPr>
            </w:pPr>
          </w:p>
        </w:tc>
      </w:tr>
      <w:tr w:rsidR="007E0B70" w:rsidRPr="00B366C5" w:rsidTr="00B872C9">
        <w:tc>
          <w:tcPr>
            <w:tcW w:w="8478" w:type="dxa"/>
          </w:tcPr>
          <w:p w:rsidR="007E0B70" w:rsidRPr="00EF5871" w:rsidRDefault="007E0B70" w:rsidP="00C5320E">
            <w:pPr>
              <w:tabs>
                <w:tab w:val="left" w:pos="-720"/>
                <w:tab w:val="left" w:pos="360"/>
                <w:tab w:val="left" w:pos="1440"/>
                <w:tab w:val="left" w:pos="9180"/>
              </w:tabs>
              <w:suppressAutoHyphens/>
              <w:rPr>
                <w:rFonts w:ascii="Arial" w:hAnsi="Arial" w:cs="Arial"/>
                <w:b/>
                <w:szCs w:val="24"/>
                <w:u w:val="single"/>
              </w:rPr>
            </w:pPr>
            <w:r w:rsidRPr="00EF5871">
              <w:rPr>
                <w:rFonts w:ascii="Arial" w:hAnsi="Arial" w:cs="Arial"/>
                <w:b/>
                <w:szCs w:val="24"/>
                <w:u w:val="single"/>
              </w:rPr>
              <w:t>ACKNOWLEDGEMENTS</w:t>
            </w:r>
          </w:p>
        </w:tc>
        <w:tc>
          <w:tcPr>
            <w:tcW w:w="1098" w:type="dxa"/>
          </w:tcPr>
          <w:p w:rsidR="007E0B70" w:rsidRPr="00B366C5" w:rsidRDefault="00644FE2" w:rsidP="001D2717">
            <w:pPr>
              <w:tabs>
                <w:tab w:val="right" w:pos="562"/>
              </w:tabs>
              <w:suppressAutoHyphens/>
              <w:jc w:val="center"/>
              <w:rPr>
                <w:rFonts w:ascii="Arial" w:hAnsi="Arial" w:cs="Arial"/>
                <w:szCs w:val="24"/>
              </w:rPr>
            </w:pPr>
            <w:r w:rsidRPr="00B366C5">
              <w:rPr>
                <w:rFonts w:ascii="Arial" w:hAnsi="Arial" w:cs="Arial"/>
                <w:szCs w:val="24"/>
              </w:rPr>
              <w:t>8</w:t>
            </w:r>
          </w:p>
        </w:tc>
      </w:tr>
      <w:tr w:rsidR="007E0B70" w:rsidRPr="00B366C5" w:rsidTr="00B872C9">
        <w:tc>
          <w:tcPr>
            <w:tcW w:w="8478" w:type="dxa"/>
          </w:tcPr>
          <w:p w:rsidR="007E0B70" w:rsidRPr="00B366C5" w:rsidRDefault="007E0B70"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7E0B70" w:rsidRPr="00B366C5" w:rsidRDefault="007E0B70" w:rsidP="00C5320E">
            <w:pPr>
              <w:tabs>
                <w:tab w:val="right" w:pos="562"/>
              </w:tabs>
              <w:suppressAutoHyphens/>
              <w:rPr>
                <w:rFonts w:ascii="Arial" w:hAnsi="Arial" w:cs="Arial"/>
                <w:szCs w:val="24"/>
              </w:rPr>
            </w:pPr>
          </w:p>
        </w:tc>
      </w:tr>
    </w:tbl>
    <w:p w:rsidR="007E0B70" w:rsidRPr="00B366C5" w:rsidRDefault="007E0B70" w:rsidP="007E0B70">
      <w:pPr>
        <w:tabs>
          <w:tab w:val="center" w:pos="4680"/>
        </w:tabs>
        <w:suppressAutoHyphens/>
        <w:rPr>
          <w:rFonts w:ascii="Arial" w:hAnsi="Arial" w:cs="Arial"/>
          <w:szCs w:val="24"/>
        </w:rPr>
      </w:pPr>
    </w:p>
    <w:p w:rsidR="003A0379" w:rsidRDefault="003A0379" w:rsidP="007E0B70">
      <w:pPr>
        <w:overflowPunct/>
        <w:autoSpaceDE/>
        <w:autoSpaceDN/>
        <w:adjustRightInd/>
        <w:textAlignment w:val="auto"/>
        <w:rPr>
          <w:rFonts w:ascii="Arial" w:hAnsi="Arial" w:cs="Arial"/>
          <w:szCs w:val="24"/>
        </w:rPr>
        <w:sectPr w:rsidR="003A0379" w:rsidSect="00A02D09">
          <w:headerReference w:type="even" r:id="rId9"/>
          <w:headerReference w:type="default"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pgNumType w:start="3"/>
          <w:cols w:space="720"/>
          <w:noEndnote/>
          <w:docGrid w:linePitch="326"/>
        </w:sectPr>
      </w:pPr>
    </w:p>
    <w:p w:rsidR="007E0B70" w:rsidRPr="00B366C5" w:rsidRDefault="007E0B70" w:rsidP="007E0B70">
      <w:pPr>
        <w:overflowPunct/>
        <w:autoSpaceDE/>
        <w:autoSpaceDN/>
        <w:adjustRightInd/>
        <w:textAlignment w:val="auto"/>
        <w:rPr>
          <w:rFonts w:ascii="Arial" w:hAnsi="Arial" w:cs="Arial"/>
          <w:szCs w:val="24"/>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r w:rsidRPr="00B366C5">
        <w:rPr>
          <w:rFonts w:ascii="Arial" w:hAnsi="Arial" w:cs="Arial"/>
          <w:sz w:val="36"/>
          <w:szCs w:val="24"/>
          <w:u w:val="none"/>
        </w:rPr>
        <w:t>FINANCIAL REVIEW</w:t>
      </w:r>
    </w:p>
    <w:p w:rsidR="007E0B70" w:rsidRDefault="007E0B70" w:rsidP="007E0B70">
      <w:pPr>
        <w:overflowPunct/>
        <w:autoSpaceDE/>
        <w:autoSpaceDN/>
        <w:adjustRightInd/>
        <w:textAlignment w:val="auto"/>
        <w:rPr>
          <w:rFonts w:ascii="Arial" w:hAnsi="Arial" w:cs="Arial"/>
          <w:szCs w:val="24"/>
        </w:rPr>
      </w:pPr>
    </w:p>
    <w:p w:rsidR="00CA53B2" w:rsidRDefault="00CA53B2" w:rsidP="007E0B70">
      <w:pPr>
        <w:overflowPunct/>
        <w:autoSpaceDE/>
        <w:autoSpaceDN/>
        <w:adjustRightInd/>
        <w:textAlignment w:val="auto"/>
        <w:rPr>
          <w:rFonts w:ascii="Arial" w:hAnsi="Arial" w:cs="Arial"/>
          <w:szCs w:val="24"/>
        </w:rPr>
        <w:sectPr w:rsidR="00CA53B2" w:rsidSect="003A0379">
          <w:headerReference w:type="even" r:id="rId14"/>
          <w:headerReference w:type="default" r:id="rId15"/>
          <w:footerReference w:type="default" r:id="rId16"/>
          <w:headerReference w:type="first" r:id="rId17"/>
          <w:endnotePr>
            <w:numFmt w:val="decimal"/>
          </w:endnotePr>
          <w:pgSz w:w="12240" w:h="15840" w:code="1"/>
          <w:pgMar w:top="432" w:right="1440" w:bottom="1440" w:left="1440" w:header="720" w:footer="720" w:gutter="0"/>
          <w:pgNumType w:start="3"/>
          <w:cols w:space="720"/>
          <w:noEndnote/>
          <w:docGrid w:linePitch="326"/>
        </w:sectPr>
      </w:pPr>
    </w:p>
    <w:p w:rsidR="00CA53B2" w:rsidRPr="00B366C5" w:rsidRDefault="00CA53B2" w:rsidP="007E0B70">
      <w:pPr>
        <w:overflowPunct/>
        <w:autoSpaceDE/>
        <w:autoSpaceDN/>
        <w:adjustRightInd/>
        <w:textAlignment w:val="auto"/>
        <w:rPr>
          <w:rFonts w:ascii="Arial" w:hAnsi="Arial" w:cs="Arial"/>
          <w:szCs w:val="24"/>
        </w:rPr>
        <w:sectPr w:rsidR="00CA53B2" w:rsidRPr="00B366C5" w:rsidSect="001A3A85">
          <w:headerReference w:type="even" r:id="rId18"/>
          <w:headerReference w:type="default" r:id="rId19"/>
          <w:footerReference w:type="default" r:id="rId20"/>
          <w:headerReference w:type="first" r:id="rId21"/>
          <w:endnotePr>
            <w:numFmt w:val="decimal"/>
          </w:endnotePr>
          <w:pgSz w:w="12240" w:h="15840" w:code="1"/>
          <w:pgMar w:top="432" w:right="1440" w:bottom="1440" w:left="1440" w:header="720" w:footer="720" w:gutter="0"/>
          <w:pgNumType w:fmt="numberInDash" w:start="1"/>
          <w:cols w:space="720"/>
          <w:noEndnote/>
          <w:docGrid w:linePitch="326"/>
        </w:sectPr>
      </w:pPr>
    </w:p>
    <w:tbl>
      <w:tblPr>
        <w:tblW w:w="10890" w:type="dxa"/>
        <w:tblInd w:w="-702" w:type="dxa"/>
        <w:tblLayout w:type="fixed"/>
        <w:tblLook w:val="0000" w:firstRow="0" w:lastRow="0" w:firstColumn="0" w:lastColumn="0" w:noHBand="0" w:noVBand="0"/>
      </w:tblPr>
      <w:tblGrid>
        <w:gridCol w:w="1363"/>
        <w:gridCol w:w="8075"/>
        <w:gridCol w:w="1452"/>
      </w:tblGrid>
      <w:tr w:rsidR="007E0B70" w:rsidRPr="00B366C5" w:rsidTr="00C5320E">
        <w:trPr>
          <w:trHeight w:val="990"/>
        </w:trPr>
        <w:tc>
          <w:tcPr>
            <w:tcW w:w="1363" w:type="dxa"/>
          </w:tcPr>
          <w:p w:rsidR="007E0B70" w:rsidRPr="00B366C5" w:rsidRDefault="007E0B70" w:rsidP="00C5320E">
            <w:pPr>
              <w:rPr>
                <w:rFonts w:ascii="Arial" w:hAnsi="Arial" w:cs="Arial"/>
                <w:szCs w:val="24"/>
              </w:rPr>
            </w:pPr>
            <w:r w:rsidRPr="00B366C5">
              <w:rPr>
                <w:rFonts w:ascii="Arial" w:hAnsi="Arial" w:cs="Arial"/>
                <w:noProof/>
                <w:spacing w:val="-2"/>
                <w:szCs w:val="24"/>
              </w:rPr>
              <w:lastRenderedPageBreak/>
              <w:drawing>
                <wp:inline distT="0" distB="0" distL="0" distR="0" wp14:anchorId="0AF6C7BF" wp14:editId="3859AB33">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2"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7E0B70" w:rsidRPr="00B366C5" w:rsidRDefault="007E0B70" w:rsidP="00C5320E">
            <w:pPr>
              <w:suppressAutoHyphens/>
              <w:spacing w:line="204" w:lineRule="auto"/>
              <w:jc w:val="center"/>
              <w:rPr>
                <w:rFonts w:ascii="Arial" w:hAnsi="Arial" w:cs="Arial"/>
                <w:color w:val="000080"/>
                <w:spacing w:val="-3"/>
                <w:szCs w:val="24"/>
              </w:rPr>
            </w:pPr>
            <w:r w:rsidRPr="00B366C5">
              <w:rPr>
                <w:rFonts w:ascii="Arial" w:hAnsi="Arial" w:cs="Arial"/>
                <w:color w:val="000080"/>
                <w:spacing w:val="-3"/>
                <w:szCs w:val="24"/>
              </w:rPr>
              <w:t>COMMONWEALTH OF PENNSYLVANIA</w:t>
            </w:r>
          </w:p>
          <w:p w:rsidR="007E0B70" w:rsidRPr="00B366C5" w:rsidRDefault="007E0B70" w:rsidP="00C5320E">
            <w:pPr>
              <w:suppressAutoHyphens/>
              <w:spacing w:line="204" w:lineRule="auto"/>
              <w:jc w:val="center"/>
              <w:rPr>
                <w:rFonts w:ascii="Arial" w:hAnsi="Arial" w:cs="Arial"/>
                <w:color w:val="000080"/>
                <w:spacing w:val="-3"/>
                <w:szCs w:val="24"/>
              </w:rPr>
            </w:pPr>
            <w:r w:rsidRPr="00B366C5">
              <w:rPr>
                <w:rFonts w:ascii="Arial" w:hAnsi="Arial" w:cs="Arial"/>
                <w:color w:val="000080"/>
                <w:spacing w:val="-3"/>
                <w:szCs w:val="24"/>
              </w:rPr>
              <w:t>PENNSYLVANIA PUBLIC UTILITY COMMISSION</w:t>
            </w:r>
          </w:p>
          <w:p w:rsidR="007E0B70" w:rsidRPr="00B366C5" w:rsidRDefault="007E0B70" w:rsidP="00C5320E">
            <w:pPr>
              <w:jc w:val="center"/>
              <w:rPr>
                <w:rFonts w:ascii="Arial" w:hAnsi="Arial" w:cs="Arial"/>
                <w:szCs w:val="24"/>
              </w:rPr>
            </w:pPr>
            <w:r w:rsidRPr="00B366C5">
              <w:rPr>
                <w:rFonts w:ascii="Arial" w:hAnsi="Arial" w:cs="Arial"/>
                <w:color w:val="000080"/>
                <w:spacing w:val="-3"/>
                <w:szCs w:val="24"/>
              </w:rPr>
              <w:t>P.O. BOX 3265, HARRISBURG, PA 17105-3265</w:t>
            </w:r>
          </w:p>
        </w:tc>
        <w:tc>
          <w:tcPr>
            <w:tcW w:w="1452" w:type="dxa"/>
          </w:tcPr>
          <w:p w:rsidR="007E0B70" w:rsidRPr="00B366C5" w:rsidRDefault="007E0B70" w:rsidP="00C5320E">
            <w:pPr>
              <w:rPr>
                <w:rFonts w:ascii="Arial" w:hAnsi="Arial" w:cs="Arial"/>
                <w:sz w:val="18"/>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Cs w:val="24"/>
              </w:rPr>
            </w:pPr>
            <w:r w:rsidRPr="00B366C5">
              <w:rPr>
                <w:rFonts w:ascii="Arial" w:hAnsi="Arial" w:cs="Arial"/>
                <w:sz w:val="12"/>
                <w:szCs w:val="24"/>
              </w:rPr>
              <w:t>IN REPLY PLEASE REFER TO OUR FILE</w:t>
            </w:r>
          </w:p>
        </w:tc>
      </w:tr>
    </w:tbl>
    <w:p w:rsidR="007E0B70" w:rsidRPr="004E4262" w:rsidRDefault="00446586" w:rsidP="007E0B70">
      <w:pPr>
        <w:pStyle w:val="Heading1"/>
        <w:tabs>
          <w:tab w:val="clear" w:pos="4680"/>
        </w:tabs>
        <w:rPr>
          <w:rFonts w:ascii="Arial" w:hAnsi="Arial" w:cs="Arial"/>
          <w:sz w:val="26"/>
          <w:szCs w:val="24"/>
          <w:u w:val="none"/>
        </w:rPr>
      </w:pPr>
      <w:r>
        <w:rPr>
          <w:rFonts w:ascii="Arial" w:hAnsi="Arial" w:cs="Arial"/>
          <w:sz w:val="26"/>
          <w:szCs w:val="24"/>
          <w:u w:val="none"/>
        </w:rPr>
        <w:t xml:space="preserve">INDEPENDENT </w:t>
      </w:r>
      <w:r w:rsidR="007E0B70" w:rsidRPr="004E4262">
        <w:rPr>
          <w:rFonts w:ascii="Arial" w:hAnsi="Arial" w:cs="Arial"/>
          <w:sz w:val="26"/>
          <w:szCs w:val="24"/>
          <w:u w:val="none"/>
        </w:rPr>
        <w:t>AUDITOR'S REPORT</w:t>
      </w:r>
    </w:p>
    <w:p w:rsidR="007E0B70" w:rsidRPr="004E4262" w:rsidRDefault="007E0B70" w:rsidP="007E0B70">
      <w:pPr>
        <w:suppressAutoHyphens/>
        <w:rPr>
          <w:rFonts w:ascii="Arial" w:hAnsi="Arial" w:cs="Arial"/>
          <w:b/>
          <w:sz w:val="16"/>
          <w:szCs w:val="24"/>
        </w:rPr>
      </w:pPr>
    </w:p>
    <w:p w:rsidR="007E0B70" w:rsidRPr="004E4262" w:rsidRDefault="007E0B70" w:rsidP="007E0B70">
      <w:pPr>
        <w:pStyle w:val="Heading1"/>
        <w:tabs>
          <w:tab w:val="clear" w:pos="4680"/>
        </w:tabs>
        <w:rPr>
          <w:rFonts w:ascii="Arial" w:hAnsi="Arial" w:cs="Arial"/>
          <w:szCs w:val="24"/>
          <w:u w:val="none"/>
        </w:rPr>
      </w:pPr>
      <w:r w:rsidRPr="004E4262">
        <w:rPr>
          <w:rFonts w:ascii="Arial" w:hAnsi="Arial" w:cs="Arial"/>
          <w:szCs w:val="24"/>
          <w:u w:val="none"/>
        </w:rPr>
        <w:t>To The Pennsylvania Public Utility Commission</w:t>
      </w:r>
    </w:p>
    <w:p w:rsidR="007E0B70" w:rsidRPr="00B366C5" w:rsidRDefault="007E0B70" w:rsidP="007E0B70">
      <w:pPr>
        <w:suppressAutoHyphens/>
        <w:rPr>
          <w:rFonts w:ascii="Arial" w:hAnsi="Arial" w:cs="Arial"/>
          <w:szCs w:val="24"/>
        </w:rPr>
      </w:pPr>
    </w:p>
    <w:p w:rsidR="007E0B70" w:rsidRPr="00B366C5" w:rsidRDefault="007E0B70" w:rsidP="007E0B70">
      <w:pPr>
        <w:suppressAutoHyphens/>
        <w:ind w:firstLine="720"/>
        <w:rPr>
          <w:rFonts w:ascii="Arial" w:hAnsi="Arial" w:cs="Arial"/>
          <w:szCs w:val="24"/>
        </w:rPr>
      </w:pPr>
      <w:r w:rsidRPr="00B366C5">
        <w:rPr>
          <w:rFonts w:ascii="Arial" w:hAnsi="Arial" w:cs="Arial"/>
          <w:szCs w:val="24"/>
        </w:rPr>
        <w:t xml:space="preserve">We have audited </w:t>
      </w:r>
      <w:r w:rsidR="000C387C" w:rsidRPr="00B366C5">
        <w:rPr>
          <w:rFonts w:ascii="Arial" w:hAnsi="Arial" w:cs="Arial"/>
          <w:szCs w:val="24"/>
        </w:rPr>
        <w:t xml:space="preserve">PECO Energy </w:t>
      </w:r>
      <w:r w:rsidRPr="00B366C5">
        <w:rPr>
          <w:rFonts w:ascii="Arial" w:hAnsi="Arial" w:cs="Arial"/>
          <w:szCs w:val="24"/>
        </w:rPr>
        <w:t xml:space="preserve">Company’s </w:t>
      </w:r>
      <w:r w:rsidR="000C387C" w:rsidRPr="00B366C5">
        <w:rPr>
          <w:rFonts w:ascii="Arial" w:hAnsi="Arial" w:cs="Arial"/>
          <w:szCs w:val="24"/>
        </w:rPr>
        <w:t>Alternative Energy Portfolio Standards</w:t>
      </w:r>
      <w:r w:rsidRPr="00B366C5">
        <w:rPr>
          <w:rFonts w:ascii="Arial" w:hAnsi="Arial" w:cs="Arial"/>
          <w:szCs w:val="24"/>
        </w:rPr>
        <w:t xml:space="preserve"> (</w:t>
      </w:r>
      <w:r w:rsidR="000C387C" w:rsidRPr="00B366C5">
        <w:rPr>
          <w:rFonts w:ascii="Arial" w:hAnsi="Arial" w:cs="Arial"/>
          <w:szCs w:val="24"/>
        </w:rPr>
        <w:t>AEPS</w:t>
      </w:r>
      <w:r w:rsidRPr="00B366C5">
        <w:rPr>
          <w:rFonts w:ascii="Arial" w:hAnsi="Arial" w:cs="Arial"/>
          <w:szCs w:val="24"/>
        </w:rPr>
        <w:t xml:space="preserve">) </w:t>
      </w:r>
      <w:r w:rsidR="004E3957" w:rsidRPr="00936DE2">
        <w:rPr>
          <w:rFonts w:ascii="Arial" w:hAnsi="Arial" w:cs="Arial"/>
          <w:szCs w:val="24"/>
        </w:rPr>
        <w:t xml:space="preserve">Over/Under Collections </w:t>
      </w:r>
      <w:r w:rsidR="004E3957">
        <w:rPr>
          <w:rFonts w:ascii="Arial" w:hAnsi="Arial" w:cs="Arial"/>
          <w:szCs w:val="24"/>
        </w:rPr>
        <w:t xml:space="preserve">(Section 1307(e)) </w:t>
      </w:r>
      <w:r w:rsidRPr="00B366C5">
        <w:rPr>
          <w:rFonts w:ascii="Arial" w:hAnsi="Arial" w:cs="Arial"/>
          <w:szCs w:val="24"/>
        </w:rPr>
        <w:t>for the</w:t>
      </w:r>
      <w:r w:rsidR="000322C9" w:rsidRPr="00B366C5">
        <w:rPr>
          <w:rFonts w:ascii="Arial" w:hAnsi="Arial" w:cs="Arial"/>
          <w:szCs w:val="24"/>
        </w:rPr>
        <w:t xml:space="preserve"> </w:t>
      </w:r>
      <w:r w:rsidR="00392C19" w:rsidRPr="00B366C5">
        <w:rPr>
          <w:rFonts w:ascii="Arial" w:hAnsi="Arial" w:cs="Arial"/>
          <w:szCs w:val="24"/>
        </w:rPr>
        <w:t>thirteen</w:t>
      </w:r>
      <w:r w:rsidRPr="00B366C5">
        <w:rPr>
          <w:rFonts w:ascii="Arial" w:hAnsi="Arial" w:cs="Arial"/>
          <w:szCs w:val="24"/>
        </w:rPr>
        <w:t xml:space="preserve"> months ended </w:t>
      </w:r>
      <w:r w:rsidR="000C387C" w:rsidRPr="00B366C5">
        <w:rPr>
          <w:rFonts w:ascii="Arial" w:hAnsi="Arial" w:cs="Arial"/>
          <w:szCs w:val="24"/>
        </w:rPr>
        <w:t>January</w:t>
      </w:r>
      <w:r w:rsidRPr="00B366C5">
        <w:rPr>
          <w:rFonts w:ascii="Arial" w:hAnsi="Arial" w:cs="Arial"/>
          <w:szCs w:val="24"/>
        </w:rPr>
        <w:t xml:space="preserve"> 31, 201</w:t>
      </w:r>
      <w:r w:rsidR="000322C9" w:rsidRPr="00B366C5">
        <w:rPr>
          <w:rFonts w:ascii="Arial" w:hAnsi="Arial" w:cs="Arial"/>
          <w:szCs w:val="24"/>
        </w:rPr>
        <w:t>2</w:t>
      </w:r>
      <w:r w:rsidR="00A064B6" w:rsidRPr="00B366C5">
        <w:rPr>
          <w:rFonts w:ascii="Arial" w:hAnsi="Arial" w:cs="Arial"/>
          <w:szCs w:val="24"/>
        </w:rPr>
        <w:t xml:space="preserve"> and </w:t>
      </w:r>
      <w:r w:rsidR="001E1F5F">
        <w:rPr>
          <w:rFonts w:ascii="Arial" w:hAnsi="Arial" w:cs="Arial"/>
          <w:szCs w:val="24"/>
        </w:rPr>
        <w:t xml:space="preserve">the </w:t>
      </w:r>
      <w:r w:rsidR="003B6886">
        <w:rPr>
          <w:rFonts w:ascii="Arial" w:hAnsi="Arial" w:cs="Arial"/>
          <w:szCs w:val="24"/>
        </w:rPr>
        <w:t xml:space="preserve">accompanying </w:t>
      </w:r>
      <w:r w:rsidR="004E3957">
        <w:rPr>
          <w:rFonts w:ascii="Arial" w:hAnsi="Arial" w:cs="Arial"/>
          <w:szCs w:val="24"/>
        </w:rPr>
        <w:t xml:space="preserve">Rate Cap Costs (RCC) </w:t>
      </w:r>
      <w:r w:rsidR="00AF0CA0">
        <w:rPr>
          <w:rFonts w:ascii="Arial" w:hAnsi="Arial" w:cs="Arial"/>
          <w:szCs w:val="24"/>
        </w:rPr>
        <w:t>Amortization</w:t>
      </w:r>
      <w:r w:rsidR="004E3957">
        <w:rPr>
          <w:rFonts w:ascii="Arial" w:hAnsi="Arial" w:cs="Arial"/>
          <w:szCs w:val="24"/>
        </w:rPr>
        <w:t xml:space="preserve"> </w:t>
      </w:r>
      <w:r w:rsidR="00A064B6" w:rsidRPr="00B366C5">
        <w:rPr>
          <w:rFonts w:ascii="Arial" w:hAnsi="Arial" w:cs="Arial"/>
          <w:szCs w:val="24"/>
        </w:rPr>
        <w:t xml:space="preserve">Statement for the </w:t>
      </w:r>
      <w:r w:rsidR="001E1F5F">
        <w:rPr>
          <w:rFonts w:ascii="Arial" w:hAnsi="Arial" w:cs="Arial"/>
          <w:szCs w:val="24"/>
        </w:rPr>
        <w:t>twelve months</w:t>
      </w:r>
      <w:r w:rsidR="004E3957">
        <w:rPr>
          <w:rFonts w:ascii="Arial" w:hAnsi="Arial" w:cs="Arial"/>
          <w:szCs w:val="24"/>
        </w:rPr>
        <w:t xml:space="preserve"> ended December 31,</w:t>
      </w:r>
      <w:r w:rsidR="00A064B6" w:rsidRPr="00B366C5">
        <w:rPr>
          <w:rFonts w:ascii="Arial" w:hAnsi="Arial" w:cs="Arial"/>
          <w:szCs w:val="24"/>
        </w:rPr>
        <w:t xml:space="preserve"> 2011</w:t>
      </w:r>
      <w:r w:rsidRPr="00B366C5">
        <w:rPr>
          <w:rFonts w:ascii="Arial" w:hAnsi="Arial" w:cs="Arial"/>
          <w:szCs w:val="24"/>
        </w:rPr>
        <w:t xml:space="preserve">. </w:t>
      </w:r>
      <w:r w:rsidR="004E3957">
        <w:rPr>
          <w:rFonts w:ascii="Arial" w:hAnsi="Arial" w:cs="Arial"/>
          <w:szCs w:val="24"/>
        </w:rPr>
        <w:t xml:space="preserve"> </w:t>
      </w:r>
      <w:r w:rsidRPr="00B366C5">
        <w:rPr>
          <w:rFonts w:ascii="Arial" w:hAnsi="Arial" w:cs="Arial"/>
          <w:szCs w:val="24"/>
        </w:rPr>
        <w:t>The</w:t>
      </w:r>
      <w:r w:rsidR="00ED42F8" w:rsidRPr="00B366C5">
        <w:rPr>
          <w:rFonts w:ascii="Arial" w:hAnsi="Arial" w:cs="Arial"/>
          <w:szCs w:val="24"/>
        </w:rPr>
        <w:t>se</w:t>
      </w:r>
      <w:r w:rsidRPr="00B366C5">
        <w:rPr>
          <w:rFonts w:ascii="Arial" w:hAnsi="Arial" w:cs="Arial"/>
          <w:szCs w:val="24"/>
        </w:rPr>
        <w:t xml:space="preserve"> statement</w:t>
      </w:r>
      <w:r w:rsidR="00ED42F8" w:rsidRPr="00B366C5">
        <w:rPr>
          <w:rFonts w:ascii="Arial" w:hAnsi="Arial" w:cs="Arial"/>
          <w:szCs w:val="24"/>
        </w:rPr>
        <w:t>s</w:t>
      </w:r>
      <w:r w:rsidRPr="00B366C5">
        <w:rPr>
          <w:rFonts w:ascii="Arial" w:hAnsi="Arial" w:cs="Arial"/>
          <w:szCs w:val="24"/>
        </w:rPr>
        <w:t xml:space="preserve"> </w:t>
      </w:r>
      <w:r w:rsidR="00ED42F8" w:rsidRPr="00B366C5">
        <w:rPr>
          <w:rFonts w:ascii="Arial" w:hAnsi="Arial" w:cs="Arial"/>
          <w:szCs w:val="24"/>
        </w:rPr>
        <w:t>are</w:t>
      </w:r>
      <w:r w:rsidRPr="00B366C5">
        <w:rPr>
          <w:rFonts w:ascii="Arial" w:hAnsi="Arial" w:cs="Arial"/>
          <w:szCs w:val="24"/>
        </w:rPr>
        <w:t xml:space="preserve"> the responsibility of the Company's management.  Our responsibility is to express an opinion on the</w:t>
      </w:r>
      <w:r w:rsidR="001E1F5F">
        <w:rPr>
          <w:rFonts w:ascii="Arial" w:hAnsi="Arial" w:cs="Arial"/>
          <w:szCs w:val="24"/>
        </w:rPr>
        <w:t>se</w:t>
      </w:r>
      <w:r w:rsidRPr="00B366C5">
        <w:rPr>
          <w:rFonts w:ascii="Arial" w:hAnsi="Arial" w:cs="Arial"/>
          <w:szCs w:val="24"/>
        </w:rPr>
        <w:t xml:space="preserve"> statement</w:t>
      </w:r>
      <w:r w:rsidR="00B366C5">
        <w:rPr>
          <w:rFonts w:ascii="Arial" w:hAnsi="Arial" w:cs="Arial"/>
          <w:szCs w:val="24"/>
        </w:rPr>
        <w:t>s</w:t>
      </w:r>
      <w:r w:rsidRPr="00B366C5">
        <w:rPr>
          <w:rFonts w:ascii="Arial" w:hAnsi="Arial" w:cs="Arial"/>
          <w:szCs w:val="24"/>
        </w:rPr>
        <w:t xml:space="preserve"> based on our audit.</w:t>
      </w:r>
    </w:p>
    <w:p w:rsidR="007E0B70" w:rsidRPr="00B366C5" w:rsidRDefault="007E0B70" w:rsidP="007E0B70">
      <w:pPr>
        <w:suppressAutoHyphens/>
        <w:rPr>
          <w:rFonts w:ascii="Arial" w:hAnsi="Arial" w:cs="Arial"/>
          <w:szCs w:val="24"/>
        </w:rPr>
      </w:pPr>
    </w:p>
    <w:p w:rsidR="007E0B70" w:rsidRPr="00F32008" w:rsidRDefault="007E0B70" w:rsidP="007E0B70">
      <w:pPr>
        <w:suppressAutoHyphens/>
        <w:rPr>
          <w:rFonts w:ascii="Arial" w:hAnsi="Arial" w:cs="Arial"/>
          <w:szCs w:val="24"/>
        </w:rPr>
      </w:pPr>
      <w:r w:rsidRPr="00B366C5">
        <w:rPr>
          <w:rFonts w:ascii="Arial" w:hAnsi="Arial" w:cs="Arial"/>
          <w:szCs w:val="24"/>
        </w:rPr>
        <w:tab/>
      </w:r>
      <w:r w:rsidR="00ED42F8" w:rsidRPr="00F32008">
        <w:rPr>
          <w:rFonts w:ascii="Arial" w:hAnsi="Arial" w:cs="Arial"/>
          <w:szCs w:val="24"/>
        </w:rPr>
        <w:t>We conducted our audit in accordance with auditing standards generally accepted in the United States of America.  Those standards require that we plan and perform the audit to obtain reasonable assurance about whether the specified statements are free of material misstatement.  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  We believe that our audit provides a reasonable basis for our opinion.</w:t>
      </w:r>
    </w:p>
    <w:p w:rsidR="007E0B70" w:rsidRPr="00F32008" w:rsidRDefault="007E0B70" w:rsidP="007E0B70">
      <w:pPr>
        <w:suppressAutoHyphens/>
        <w:rPr>
          <w:rFonts w:ascii="Arial" w:hAnsi="Arial" w:cs="Arial"/>
          <w:szCs w:val="24"/>
        </w:rPr>
      </w:pPr>
    </w:p>
    <w:p w:rsidR="003579F4" w:rsidRPr="00936DE2" w:rsidRDefault="003579F4" w:rsidP="003579F4">
      <w:pPr>
        <w:suppressAutoHyphens/>
        <w:rPr>
          <w:rFonts w:ascii="Arial" w:hAnsi="Arial" w:cs="Arial"/>
          <w:szCs w:val="24"/>
        </w:rPr>
      </w:pPr>
      <w:r>
        <w:rPr>
          <w:rFonts w:ascii="Arial" w:hAnsi="Arial" w:cs="Arial"/>
          <w:szCs w:val="24"/>
        </w:rPr>
        <w:tab/>
      </w:r>
      <w:r w:rsidRPr="00936DE2">
        <w:rPr>
          <w:rFonts w:ascii="Arial" w:hAnsi="Arial" w:cs="Arial"/>
          <w:szCs w:val="24"/>
        </w:rPr>
        <w:t xml:space="preserve">The </w:t>
      </w:r>
      <w:r>
        <w:rPr>
          <w:rFonts w:ascii="Arial" w:hAnsi="Arial" w:cs="Arial"/>
          <w:szCs w:val="24"/>
        </w:rPr>
        <w:t>S</w:t>
      </w:r>
      <w:r w:rsidRPr="00936DE2">
        <w:rPr>
          <w:rFonts w:ascii="Arial" w:hAnsi="Arial" w:cs="Arial"/>
          <w:szCs w:val="24"/>
        </w:rPr>
        <w:t>tatement</w:t>
      </w:r>
      <w:r>
        <w:rPr>
          <w:rFonts w:ascii="Arial" w:hAnsi="Arial" w:cs="Arial"/>
          <w:szCs w:val="24"/>
        </w:rPr>
        <w:t xml:space="preserve"> of </w:t>
      </w:r>
      <w:r w:rsidRPr="00B366C5">
        <w:rPr>
          <w:rFonts w:ascii="Arial" w:hAnsi="Arial" w:cs="Arial"/>
          <w:szCs w:val="24"/>
        </w:rPr>
        <w:t>Alternative Energy Portfolio Standards (AEPS)</w:t>
      </w:r>
      <w:r>
        <w:rPr>
          <w:rFonts w:ascii="Arial" w:hAnsi="Arial" w:cs="Arial"/>
          <w:szCs w:val="24"/>
        </w:rPr>
        <w:t xml:space="preserve"> Over/Under Collections </w:t>
      </w:r>
      <w:r w:rsidR="00AC2D25" w:rsidRPr="00B366C5">
        <w:rPr>
          <w:rFonts w:ascii="Arial" w:hAnsi="Arial" w:cs="Arial"/>
          <w:szCs w:val="24"/>
        </w:rPr>
        <w:t xml:space="preserve">and </w:t>
      </w:r>
      <w:r w:rsidR="00AC2D25">
        <w:rPr>
          <w:rFonts w:ascii="Arial" w:hAnsi="Arial" w:cs="Arial"/>
          <w:szCs w:val="24"/>
        </w:rPr>
        <w:t xml:space="preserve">the Rate Cap Costs (RCC) </w:t>
      </w:r>
      <w:r w:rsidR="002A0E91">
        <w:rPr>
          <w:rFonts w:ascii="Arial" w:hAnsi="Arial" w:cs="Arial"/>
          <w:szCs w:val="24"/>
        </w:rPr>
        <w:t>Amortization</w:t>
      </w:r>
      <w:r w:rsidR="00AC2D25">
        <w:rPr>
          <w:rFonts w:ascii="Arial" w:hAnsi="Arial" w:cs="Arial"/>
          <w:szCs w:val="24"/>
        </w:rPr>
        <w:t xml:space="preserve"> </w:t>
      </w:r>
      <w:r w:rsidR="00AC2D25" w:rsidRPr="00B366C5">
        <w:rPr>
          <w:rFonts w:ascii="Arial" w:hAnsi="Arial" w:cs="Arial"/>
          <w:szCs w:val="24"/>
        </w:rPr>
        <w:t xml:space="preserve">Statement </w:t>
      </w:r>
      <w:r w:rsidR="00F32E2F">
        <w:rPr>
          <w:rFonts w:ascii="Arial" w:hAnsi="Arial" w:cs="Arial"/>
          <w:szCs w:val="24"/>
        </w:rPr>
        <w:t>were</w:t>
      </w:r>
      <w:r>
        <w:rPr>
          <w:rFonts w:ascii="Arial" w:hAnsi="Arial" w:cs="Arial"/>
          <w:szCs w:val="24"/>
        </w:rPr>
        <w:t xml:space="preserve"> </w:t>
      </w:r>
      <w:r w:rsidRPr="00936DE2">
        <w:rPr>
          <w:rFonts w:ascii="Arial" w:hAnsi="Arial" w:cs="Arial"/>
          <w:szCs w:val="24"/>
        </w:rPr>
        <w:t>prepared for the purpose of complying with the rules and regulations</w:t>
      </w:r>
      <w:r>
        <w:rPr>
          <w:rFonts w:ascii="Arial" w:hAnsi="Arial" w:cs="Arial"/>
          <w:szCs w:val="24"/>
        </w:rPr>
        <w:t xml:space="preserve"> (Section 1307(e))</w:t>
      </w:r>
      <w:r w:rsidRPr="00936DE2">
        <w:rPr>
          <w:rFonts w:ascii="Arial" w:hAnsi="Arial" w:cs="Arial"/>
          <w:szCs w:val="24"/>
        </w:rPr>
        <w:t xml:space="preserve"> of the Pennsylvania Public Utility Commission and </w:t>
      </w:r>
      <w:r>
        <w:rPr>
          <w:rFonts w:ascii="Arial" w:hAnsi="Arial" w:cs="Arial"/>
          <w:szCs w:val="24"/>
        </w:rPr>
        <w:t>is</w:t>
      </w:r>
      <w:r w:rsidRPr="00936DE2">
        <w:rPr>
          <w:rFonts w:ascii="Arial" w:hAnsi="Arial" w:cs="Arial"/>
          <w:szCs w:val="24"/>
        </w:rPr>
        <w:t xml:space="preserve"> not intended to be a complete presentation of the Company's revenues and expenses.</w:t>
      </w:r>
    </w:p>
    <w:p w:rsidR="007E0B70" w:rsidRPr="00B366C5" w:rsidRDefault="007E0B70" w:rsidP="007E0B70">
      <w:pPr>
        <w:suppressAutoHyphens/>
        <w:rPr>
          <w:rFonts w:ascii="Arial" w:hAnsi="Arial" w:cs="Arial"/>
          <w:szCs w:val="24"/>
        </w:rPr>
      </w:pPr>
    </w:p>
    <w:p w:rsidR="0013272C" w:rsidRPr="00936DE2" w:rsidRDefault="007E0B70" w:rsidP="0013272C">
      <w:pPr>
        <w:suppressAutoHyphens/>
        <w:rPr>
          <w:rFonts w:ascii="Arial" w:hAnsi="Arial" w:cs="Arial"/>
          <w:szCs w:val="24"/>
        </w:rPr>
      </w:pPr>
      <w:r w:rsidRPr="00B366C5">
        <w:rPr>
          <w:rFonts w:ascii="Arial" w:hAnsi="Arial" w:cs="Arial"/>
          <w:szCs w:val="24"/>
        </w:rPr>
        <w:tab/>
      </w:r>
      <w:r w:rsidR="0013272C" w:rsidRPr="00936DE2">
        <w:rPr>
          <w:rFonts w:ascii="Arial" w:hAnsi="Arial" w:cs="Arial"/>
          <w:szCs w:val="24"/>
        </w:rPr>
        <w:t xml:space="preserve">In our opinion, </w:t>
      </w:r>
      <w:r w:rsidR="0013272C">
        <w:rPr>
          <w:rFonts w:ascii="Arial" w:hAnsi="Arial" w:cs="Arial"/>
          <w:szCs w:val="24"/>
        </w:rPr>
        <w:t xml:space="preserve">the information set forth in </w:t>
      </w:r>
      <w:r w:rsidR="0013272C" w:rsidRPr="00936DE2">
        <w:rPr>
          <w:rFonts w:ascii="Arial" w:hAnsi="Arial" w:cs="Arial"/>
          <w:szCs w:val="24"/>
        </w:rPr>
        <w:t xml:space="preserve">the accompanying </w:t>
      </w:r>
      <w:r w:rsidR="0013272C">
        <w:rPr>
          <w:rFonts w:ascii="Arial" w:hAnsi="Arial" w:cs="Arial"/>
          <w:szCs w:val="24"/>
        </w:rPr>
        <w:t xml:space="preserve">condensed </w:t>
      </w:r>
      <w:r w:rsidR="0013272C" w:rsidRPr="00936DE2">
        <w:rPr>
          <w:rFonts w:ascii="Arial" w:hAnsi="Arial" w:cs="Arial"/>
          <w:szCs w:val="24"/>
        </w:rPr>
        <w:t>statement</w:t>
      </w:r>
      <w:r w:rsidR="002A0E91">
        <w:rPr>
          <w:rFonts w:ascii="Arial" w:hAnsi="Arial" w:cs="Arial"/>
          <w:szCs w:val="24"/>
        </w:rPr>
        <w:t>s</w:t>
      </w:r>
      <w:r w:rsidR="0013272C" w:rsidRPr="00936DE2">
        <w:rPr>
          <w:rFonts w:ascii="Arial" w:hAnsi="Arial" w:cs="Arial"/>
          <w:szCs w:val="24"/>
        </w:rPr>
        <w:t xml:space="preserve"> of</w:t>
      </w:r>
      <w:r w:rsidR="0013272C" w:rsidRPr="00BE0936">
        <w:rPr>
          <w:rFonts w:ascii="Arial" w:hAnsi="Arial" w:cs="Arial"/>
          <w:szCs w:val="24"/>
        </w:rPr>
        <w:t xml:space="preserve"> </w:t>
      </w:r>
      <w:r w:rsidR="005D0E1D" w:rsidRPr="00B366C5">
        <w:rPr>
          <w:rFonts w:ascii="Arial" w:hAnsi="Arial" w:cs="Arial"/>
          <w:szCs w:val="24"/>
        </w:rPr>
        <w:t>Alternative Energy Portfolio Standards (AEPS)</w:t>
      </w:r>
      <w:r w:rsidR="005D0E1D">
        <w:rPr>
          <w:rFonts w:ascii="Arial" w:hAnsi="Arial" w:cs="Arial"/>
          <w:szCs w:val="24"/>
        </w:rPr>
        <w:t xml:space="preserve"> </w:t>
      </w:r>
      <w:r w:rsidR="0013272C">
        <w:rPr>
          <w:rFonts w:ascii="Arial" w:hAnsi="Arial" w:cs="Arial"/>
          <w:szCs w:val="24"/>
        </w:rPr>
        <w:t xml:space="preserve">Over/Under Collections for the </w:t>
      </w:r>
      <w:r w:rsidR="005D0E1D">
        <w:rPr>
          <w:rFonts w:ascii="Arial" w:hAnsi="Arial" w:cs="Arial"/>
          <w:szCs w:val="24"/>
        </w:rPr>
        <w:t>thirteen</w:t>
      </w:r>
      <w:r w:rsidR="0013272C">
        <w:rPr>
          <w:rFonts w:ascii="Arial" w:hAnsi="Arial" w:cs="Arial"/>
          <w:szCs w:val="24"/>
        </w:rPr>
        <w:t xml:space="preserve"> months ended </w:t>
      </w:r>
      <w:r w:rsidR="005D0E1D">
        <w:rPr>
          <w:rFonts w:ascii="Arial" w:hAnsi="Arial" w:cs="Arial"/>
          <w:szCs w:val="24"/>
        </w:rPr>
        <w:t>January</w:t>
      </w:r>
      <w:r w:rsidR="0013272C">
        <w:rPr>
          <w:rFonts w:ascii="Arial" w:hAnsi="Arial" w:cs="Arial"/>
          <w:szCs w:val="24"/>
        </w:rPr>
        <w:t xml:space="preserve"> 31, 201</w:t>
      </w:r>
      <w:r w:rsidR="005D0E1D">
        <w:rPr>
          <w:rFonts w:ascii="Arial" w:hAnsi="Arial" w:cs="Arial"/>
          <w:szCs w:val="24"/>
        </w:rPr>
        <w:t>2</w:t>
      </w:r>
      <w:r w:rsidR="0013272C">
        <w:rPr>
          <w:rFonts w:ascii="Arial" w:hAnsi="Arial" w:cs="Arial"/>
          <w:szCs w:val="24"/>
        </w:rPr>
        <w:t xml:space="preserve"> </w:t>
      </w:r>
      <w:r w:rsidR="005D0E1D" w:rsidRPr="00B366C5">
        <w:rPr>
          <w:rFonts w:ascii="Arial" w:hAnsi="Arial" w:cs="Arial"/>
          <w:szCs w:val="24"/>
        </w:rPr>
        <w:t xml:space="preserve">and </w:t>
      </w:r>
      <w:r w:rsidR="005D0E1D">
        <w:rPr>
          <w:rFonts w:ascii="Arial" w:hAnsi="Arial" w:cs="Arial"/>
          <w:szCs w:val="24"/>
        </w:rPr>
        <w:t xml:space="preserve">the Rate </w:t>
      </w:r>
      <w:r w:rsidR="00D82D74">
        <w:rPr>
          <w:rFonts w:ascii="Arial" w:hAnsi="Arial" w:cs="Arial"/>
          <w:szCs w:val="24"/>
        </w:rPr>
        <w:t>Cap Costs (RCC) Amortization</w:t>
      </w:r>
      <w:r w:rsidR="005D0E1D">
        <w:rPr>
          <w:rFonts w:ascii="Arial" w:hAnsi="Arial" w:cs="Arial"/>
          <w:szCs w:val="24"/>
        </w:rPr>
        <w:t xml:space="preserve"> </w:t>
      </w:r>
      <w:r w:rsidR="005D0E1D" w:rsidRPr="00B366C5">
        <w:rPr>
          <w:rFonts w:ascii="Arial" w:hAnsi="Arial" w:cs="Arial"/>
          <w:szCs w:val="24"/>
        </w:rPr>
        <w:t xml:space="preserve">Statement </w:t>
      </w:r>
      <w:r w:rsidR="005D0E1D">
        <w:rPr>
          <w:rFonts w:ascii="Arial" w:hAnsi="Arial" w:cs="Arial"/>
          <w:szCs w:val="24"/>
        </w:rPr>
        <w:t>for the twelve months ended December 31, 2011</w:t>
      </w:r>
      <w:r w:rsidR="002A0E91">
        <w:rPr>
          <w:rFonts w:ascii="Arial" w:hAnsi="Arial" w:cs="Arial"/>
          <w:szCs w:val="24"/>
        </w:rPr>
        <w:t>,</w:t>
      </w:r>
      <w:r w:rsidR="005D0E1D">
        <w:rPr>
          <w:rFonts w:ascii="Arial" w:hAnsi="Arial" w:cs="Arial"/>
          <w:szCs w:val="24"/>
        </w:rPr>
        <w:t xml:space="preserve"> </w:t>
      </w:r>
      <w:r w:rsidR="0013272C">
        <w:rPr>
          <w:rFonts w:ascii="Arial" w:hAnsi="Arial" w:cs="Arial"/>
          <w:szCs w:val="24"/>
        </w:rPr>
        <w:t>of PECO Energy Company</w:t>
      </w:r>
      <w:r w:rsidR="002A0E91">
        <w:rPr>
          <w:rFonts w:ascii="Arial" w:hAnsi="Arial" w:cs="Arial"/>
          <w:szCs w:val="24"/>
        </w:rPr>
        <w:t>,</w:t>
      </w:r>
      <w:r w:rsidR="0013272C">
        <w:rPr>
          <w:rFonts w:ascii="Arial" w:hAnsi="Arial" w:cs="Arial"/>
          <w:szCs w:val="24"/>
        </w:rPr>
        <w:t xml:space="preserve"> </w:t>
      </w:r>
      <w:r w:rsidR="00F85E35">
        <w:rPr>
          <w:rFonts w:ascii="Arial" w:hAnsi="Arial" w:cs="Arial"/>
          <w:szCs w:val="24"/>
        </w:rPr>
        <w:t>present</w:t>
      </w:r>
      <w:r w:rsidR="0013272C" w:rsidRPr="00936DE2">
        <w:rPr>
          <w:rFonts w:ascii="Arial" w:hAnsi="Arial" w:cs="Arial"/>
          <w:szCs w:val="24"/>
        </w:rPr>
        <w:t xml:space="preserve"> fairly, in all material respects, </w:t>
      </w:r>
      <w:r w:rsidR="0013272C">
        <w:rPr>
          <w:rFonts w:ascii="Arial" w:hAnsi="Arial" w:cs="Arial"/>
          <w:szCs w:val="24"/>
        </w:rPr>
        <w:t>in relation to the audited financial statement</w:t>
      </w:r>
      <w:r w:rsidR="00F85E35">
        <w:rPr>
          <w:rFonts w:ascii="Arial" w:hAnsi="Arial" w:cs="Arial"/>
          <w:szCs w:val="24"/>
        </w:rPr>
        <w:t>s</w:t>
      </w:r>
      <w:r w:rsidR="0013272C">
        <w:rPr>
          <w:rFonts w:ascii="Arial" w:hAnsi="Arial" w:cs="Arial"/>
          <w:szCs w:val="24"/>
        </w:rPr>
        <w:t xml:space="preserve"> from which it has been derived.</w:t>
      </w:r>
    </w:p>
    <w:p w:rsidR="007E0B70" w:rsidRPr="00B366C5" w:rsidRDefault="007E0B70" w:rsidP="00771E67">
      <w:pPr>
        <w:suppressAutoHyphens/>
        <w:rPr>
          <w:rFonts w:ascii="Arial" w:hAnsi="Arial" w:cs="Arial"/>
          <w:szCs w:val="24"/>
        </w:rPr>
      </w:pPr>
    </w:p>
    <w:p w:rsidR="00E42E07" w:rsidRDefault="007E0B70" w:rsidP="00CA53B2">
      <w:pPr>
        <w:suppressAutoHyphens/>
        <w:outlineLvl w:val="0"/>
        <w:rPr>
          <w:rFonts w:ascii="Arial" w:hAnsi="Arial" w:cs="Arial"/>
          <w:szCs w:val="24"/>
        </w:rPr>
      </w:pP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p>
    <w:p w:rsidR="00E42E07" w:rsidRDefault="00E42E07" w:rsidP="00CA53B2">
      <w:pPr>
        <w:suppressAutoHyphens/>
        <w:outlineLvl w:val="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7E0B70" w:rsidRPr="00B366C5" w:rsidRDefault="00E42E07" w:rsidP="00CA53B2">
      <w:pPr>
        <w:suppressAutoHyphens/>
        <w:outlineLvl w:val="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4E4262">
        <w:rPr>
          <w:rFonts w:ascii="Arial" w:hAnsi="Arial" w:cs="Arial"/>
          <w:szCs w:val="24"/>
        </w:rPr>
        <w:t>Dennis P. Hosler</w:t>
      </w:r>
      <w:r w:rsidR="007E0B70" w:rsidRPr="00B366C5">
        <w:rPr>
          <w:rFonts w:ascii="Arial" w:hAnsi="Arial" w:cs="Arial"/>
          <w:szCs w:val="24"/>
        </w:rPr>
        <w:t>, CPA</w:t>
      </w:r>
    </w:p>
    <w:p w:rsidR="007E0B70" w:rsidRPr="00B366C5" w:rsidRDefault="007E0B70" w:rsidP="007E0B70">
      <w:pPr>
        <w:suppressAutoHyphens/>
        <w:outlineLvl w:val="0"/>
        <w:rPr>
          <w:rFonts w:ascii="Arial" w:hAnsi="Arial" w:cs="Arial"/>
          <w:szCs w:val="24"/>
        </w:rPr>
      </w:pP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r>
      <w:r w:rsidRPr="00B366C5">
        <w:rPr>
          <w:rFonts w:ascii="Arial" w:hAnsi="Arial" w:cs="Arial"/>
          <w:szCs w:val="24"/>
        </w:rPr>
        <w:tab/>
        <w:t xml:space="preserve">Director </w:t>
      </w:r>
    </w:p>
    <w:p w:rsidR="001A3A85" w:rsidRDefault="0007024A">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Pr="00B366C5">
        <w:rPr>
          <w:rFonts w:ascii="Arial" w:hAnsi="Arial" w:cs="Arial"/>
          <w:szCs w:val="24"/>
        </w:rPr>
        <w:t>Bureau of Audits</w:t>
      </w:r>
    </w:p>
    <w:p w:rsidR="0007024A" w:rsidRDefault="0007024A"/>
    <w:tbl>
      <w:tblPr>
        <w:tblW w:w="8730" w:type="dxa"/>
        <w:jc w:val="center"/>
        <w:tblInd w:w="-202" w:type="dxa"/>
        <w:tblLook w:val="0000" w:firstRow="0" w:lastRow="0" w:firstColumn="0" w:lastColumn="0" w:noHBand="0" w:noVBand="0"/>
      </w:tblPr>
      <w:tblGrid>
        <w:gridCol w:w="8730"/>
      </w:tblGrid>
      <w:tr w:rsidR="002C7125" w:rsidRPr="00B366C5" w:rsidTr="002C7125">
        <w:trPr>
          <w:trHeight w:val="277"/>
          <w:jc w:val="center"/>
        </w:trPr>
        <w:tc>
          <w:tcPr>
            <w:tcW w:w="8730" w:type="dxa"/>
            <w:tcBorders>
              <w:top w:val="nil"/>
              <w:left w:val="nil"/>
              <w:bottom w:val="nil"/>
              <w:right w:val="nil"/>
            </w:tcBorders>
            <w:shd w:val="clear" w:color="auto" w:fill="auto"/>
            <w:noWrap/>
            <w:vAlign w:val="bottom"/>
          </w:tcPr>
          <w:p w:rsidR="002C7125" w:rsidRPr="004E4262" w:rsidRDefault="00985C86" w:rsidP="0007024A">
            <w:pPr>
              <w:overflowPunct/>
              <w:autoSpaceDE/>
              <w:autoSpaceDN/>
              <w:adjustRightInd/>
              <w:jc w:val="center"/>
              <w:textAlignment w:val="auto"/>
              <w:rPr>
                <w:rFonts w:ascii="Arial" w:hAnsi="Arial" w:cs="Arial"/>
                <w:b/>
                <w:sz w:val="26"/>
                <w:szCs w:val="24"/>
              </w:rPr>
            </w:pPr>
            <w:r w:rsidRPr="004E4262">
              <w:rPr>
                <w:rFonts w:ascii="Arial" w:hAnsi="Arial" w:cs="Arial"/>
                <w:szCs w:val="24"/>
              </w:rPr>
              <w:lastRenderedPageBreak/>
              <w:br w:type="page"/>
            </w:r>
            <w:r w:rsidR="002C7125" w:rsidRPr="004E4262">
              <w:rPr>
                <w:rFonts w:ascii="Arial" w:hAnsi="Arial" w:cs="Arial"/>
                <w:b/>
                <w:sz w:val="26"/>
                <w:szCs w:val="24"/>
              </w:rPr>
              <w:t>PECO E</w:t>
            </w:r>
            <w:r w:rsidR="00794C32" w:rsidRPr="004E4262">
              <w:rPr>
                <w:rFonts w:ascii="Arial" w:hAnsi="Arial" w:cs="Arial"/>
                <w:b/>
                <w:sz w:val="26"/>
                <w:szCs w:val="24"/>
              </w:rPr>
              <w:t>NERGY COMPANY</w:t>
            </w:r>
          </w:p>
        </w:tc>
      </w:tr>
      <w:tr w:rsidR="002C7125" w:rsidRPr="00B366C5" w:rsidTr="002C7125">
        <w:trPr>
          <w:trHeight w:val="277"/>
          <w:jc w:val="center"/>
        </w:trPr>
        <w:tc>
          <w:tcPr>
            <w:tcW w:w="8730" w:type="dxa"/>
            <w:tcBorders>
              <w:top w:val="nil"/>
              <w:left w:val="nil"/>
              <w:bottom w:val="nil"/>
              <w:right w:val="nil"/>
            </w:tcBorders>
            <w:shd w:val="clear" w:color="auto" w:fill="auto"/>
            <w:noWrap/>
            <w:vAlign w:val="bottom"/>
          </w:tcPr>
          <w:p w:rsidR="003B6886" w:rsidRDefault="003B6886" w:rsidP="00F51456">
            <w:pPr>
              <w:overflowPunct/>
              <w:autoSpaceDE/>
              <w:autoSpaceDN/>
              <w:adjustRightInd/>
              <w:jc w:val="center"/>
              <w:textAlignment w:val="auto"/>
              <w:rPr>
                <w:rFonts w:ascii="Arial" w:hAnsi="Arial" w:cs="Arial"/>
                <w:b/>
                <w:sz w:val="26"/>
                <w:szCs w:val="26"/>
              </w:rPr>
            </w:pPr>
          </w:p>
          <w:p w:rsidR="00F51456" w:rsidRDefault="00F51456" w:rsidP="00F51456">
            <w:pPr>
              <w:overflowPunct/>
              <w:autoSpaceDE/>
              <w:autoSpaceDN/>
              <w:adjustRightInd/>
              <w:jc w:val="center"/>
              <w:textAlignment w:val="auto"/>
              <w:rPr>
                <w:rFonts w:ascii="Arial" w:hAnsi="Arial" w:cs="Arial"/>
                <w:b/>
                <w:sz w:val="26"/>
                <w:szCs w:val="26"/>
              </w:rPr>
            </w:pPr>
            <w:r>
              <w:rPr>
                <w:rFonts w:ascii="Arial" w:hAnsi="Arial" w:cs="Arial"/>
                <w:b/>
                <w:sz w:val="26"/>
                <w:szCs w:val="26"/>
              </w:rPr>
              <w:t>Condensed (Note 1)</w:t>
            </w:r>
          </w:p>
          <w:p w:rsidR="00F51456" w:rsidRDefault="00F51456" w:rsidP="00F51456">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Of </w:t>
            </w:r>
            <w:r w:rsidRPr="00F51456">
              <w:rPr>
                <w:rFonts w:ascii="Arial" w:hAnsi="Arial" w:cs="Arial"/>
                <w:b/>
                <w:sz w:val="26"/>
                <w:szCs w:val="26"/>
              </w:rPr>
              <w:t xml:space="preserve">Alternative Energy Portfolio Standards (AEPS) </w:t>
            </w:r>
          </w:p>
          <w:p w:rsidR="00F51456" w:rsidRDefault="00F51456" w:rsidP="00F51456">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rsidR="002C7125" w:rsidRPr="00F51456" w:rsidRDefault="00F51456" w:rsidP="00F51456">
            <w:pPr>
              <w:overflowPunct/>
              <w:autoSpaceDE/>
              <w:autoSpaceDN/>
              <w:adjustRightInd/>
              <w:jc w:val="center"/>
              <w:textAlignment w:val="auto"/>
              <w:rPr>
                <w:rFonts w:ascii="Arial" w:hAnsi="Arial" w:cs="Arial"/>
                <w:b/>
                <w:sz w:val="26"/>
                <w:szCs w:val="26"/>
              </w:rPr>
            </w:pPr>
            <w:r w:rsidRPr="00F51456">
              <w:rPr>
                <w:rFonts w:ascii="Arial" w:hAnsi="Arial" w:cs="Arial"/>
                <w:b/>
                <w:sz w:val="26"/>
                <w:szCs w:val="26"/>
              </w:rPr>
              <w:t>For The Thirteen Months Ended January 31, 2012*</w:t>
            </w:r>
          </w:p>
        </w:tc>
      </w:tr>
    </w:tbl>
    <w:p w:rsidR="002C7125" w:rsidRPr="00B366C5" w:rsidRDefault="002C7125" w:rsidP="002C7125">
      <w:pPr>
        <w:jc w:val="center"/>
        <w:rPr>
          <w:sz w:val="26"/>
          <w:szCs w:val="26"/>
        </w:rPr>
      </w:pPr>
    </w:p>
    <w:p w:rsidR="002C7125" w:rsidRPr="00B366C5" w:rsidRDefault="002C7125" w:rsidP="00985C86">
      <w:pPr>
        <w:rPr>
          <w:rFonts w:ascii="Arial" w:hAnsi="Arial" w:cs="Arial"/>
          <w:sz w:val="28"/>
          <w:szCs w:val="28"/>
        </w:rPr>
      </w:pPr>
    </w:p>
    <w:p w:rsidR="002C7125" w:rsidRPr="00B366C5" w:rsidRDefault="002C7125" w:rsidP="00985C86">
      <w:pPr>
        <w:rPr>
          <w:rFonts w:ascii="Arial" w:hAnsi="Arial" w:cs="Arial"/>
          <w:sz w:val="28"/>
          <w:szCs w:val="28"/>
        </w:rPr>
      </w:pPr>
    </w:p>
    <w:tbl>
      <w:tblPr>
        <w:tblW w:w="8203" w:type="dxa"/>
        <w:jc w:val="center"/>
        <w:tblInd w:w="-3812" w:type="dxa"/>
        <w:tblLayout w:type="fixed"/>
        <w:tblLook w:val="01E0" w:firstRow="1" w:lastRow="1" w:firstColumn="1" w:lastColumn="1" w:noHBand="0" w:noVBand="0"/>
      </w:tblPr>
      <w:tblGrid>
        <w:gridCol w:w="1972"/>
        <w:gridCol w:w="270"/>
        <w:gridCol w:w="1710"/>
        <w:gridCol w:w="270"/>
        <w:gridCol w:w="1800"/>
        <w:gridCol w:w="270"/>
        <w:gridCol w:w="1911"/>
      </w:tblGrid>
      <w:tr w:rsidR="00E010A6" w:rsidRPr="00B366C5" w:rsidTr="004B2A8C">
        <w:trPr>
          <w:jc w:val="center"/>
        </w:trPr>
        <w:tc>
          <w:tcPr>
            <w:tcW w:w="1972" w:type="dxa"/>
            <w:tcBorders>
              <w:bottom w:val="single" w:sz="4" w:space="0" w:color="auto"/>
            </w:tcBorders>
          </w:tcPr>
          <w:p w:rsidR="00A32FBF" w:rsidRPr="0075161F" w:rsidRDefault="00A32FBF" w:rsidP="00B872C9">
            <w:pPr>
              <w:rPr>
                <w:rFonts w:ascii="Arial" w:hAnsi="Arial" w:cs="Arial"/>
                <w:szCs w:val="24"/>
              </w:rPr>
            </w:pPr>
          </w:p>
          <w:p w:rsidR="00A32FBF" w:rsidRPr="0075161F" w:rsidRDefault="00A32FBF" w:rsidP="00B872C9">
            <w:pPr>
              <w:rPr>
                <w:rFonts w:ascii="Arial" w:hAnsi="Arial" w:cs="Arial"/>
                <w:szCs w:val="24"/>
              </w:rPr>
            </w:pPr>
          </w:p>
          <w:p w:rsidR="0075161F" w:rsidRPr="0075161F" w:rsidRDefault="0075161F" w:rsidP="004B2A8C">
            <w:pPr>
              <w:jc w:val="center"/>
              <w:rPr>
                <w:rFonts w:ascii="Arial" w:hAnsi="Arial" w:cs="Arial"/>
                <w:szCs w:val="24"/>
              </w:rPr>
            </w:pPr>
          </w:p>
          <w:p w:rsidR="00A32FBF" w:rsidRPr="0075161F" w:rsidRDefault="00A32FBF" w:rsidP="004B2A8C">
            <w:pPr>
              <w:jc w:val="center"/>
              <w:rPr>
                <w:rFonts w:ascii="Arial" w:hAnsi="Arial" w:cs="Arial"/>
                <w:szCs w:val="24"/>
              </w:rPr>
            </w:pPr>
            <w:r w:rsidRPr="0075161F">
              <w:rPr>
                <w:rFonts w:ascii="Arial" w:hAnsi="Arial" w:cs="Arial"/>
                <w:szCs w:val="24"/>
              </w:rPr>
              <w:t>Procurement Class</w:t>
            </w:r>
          </w:p>
        </w:tc>
        <w:tc>
          <w:tcPr>
            <w:tcW w:w="270" w:type="dxa"/>
          </w:tcPr>
          <w:p w:rsidR="00A32FBF" w:rsidRPr="0075161F" w:rsidRDefault="00A32FBF" w:rsidP="004006B6">
            <w:pPr>
              <w:jc w:val="center"/>
              <w:rPr>
                <w:rFonts w:ascii="Arial" w:hAnsi="Arial" w:cs="Arial"/>
                <w:szCs w:val="24"/>
              </w:rPr>
            </w:pPr>
          </w:p>
        </w:tc>
        <w:tc>
          <w:tcPr>
            <w:tcW w:w="1710" w:type="dxa"/>
            <w:tcBorders>
              <w:bottom w:val="single" w:sz="4" w:space="0" w:color="auto"/>
            </w:tcBorders>
          </w:tcPr>
          <w:p w:rsidR="00A32FBF" w:rsidRPr="0075161F" w:rsidRDefault="00A32FBF" w:rsidP="004006B6">
            <w:pPr>
              <w:jc w:val="center"/>
              <w:rPr>
                <w:rFonts w:ascii="Arial" w:hAnsi="Arial" w:cs="Arial"/>
                <w:szCs w:val="24"/>
              </w:rPr>
            </w:pPr>
          </w:p>
          <w:p w:rsidR="00A32FBF" w:rsidRPr="0075161F" w:rsidRDefault="00A32FBF" w:rsidP="004006B6">
            <w:pPr>
              <w:jc w:val="center"/>
              <w:rPr>
                <w:rFonts w:ascii="Arial" w:hAnsi="Arial" w:cs="Arial"/>
                <w:szCs w:val="24"/>
              </w:rPr>
            </w:pPr>
          </w:p>
          <w:p w:rsidR="0075161F" w:rsidRPr="0075161F" w:rsidRDefault="0075161F" w:rsidP="004006B6">
            <w:pPr>
              <w:jc w:val="center"/>
              <w:rPr>
                <w:rFonts w:ascii="Arial" w:hAnsi="Arial" w:cs="Arial"/>
                <w:szCs w:val="24"/>
              </w:rPr>
            </w:pPr>
          </w:p>
          <w:p w:rsidR="00B423EA" w:rsidRDefault="00B423EA" w:rsidP="004006B6">
            <w:pPr>
              <w:jc w:val="center"/>
              <w:rPr>
                <w:rFonts w:ascii="Arial" w:hAnsi="Arial" w:cs="Arial"/>
                <w:szCs w:val="24"/>
              </w:rPr>
            </w:pPr>
          </w:p>
          <w:p w:rsidR="00A32FBF" w:rsidRPr="0075161F" w:rsidRDefault="00A32FBF" w:rsidP="004006B6">
            <w:pPr>
              <w:jc w:val="center"/>
              <w:rPr>
                <w:rFonts w:ascii="Arial" w:hAnsi="Arial" w:cs="Arial"/>
                <w:szCs w:val="24"/>
              </w:rPr>
            </w:pPr>
            <w:r w:rsidRPr="0075161F">
              <w:rPr>
                <w:rFonts w:ascii="Arial" w:hAnsi="Arial" w:cs="Arial"/>
                <w:szCs w:val="24"/>
              </w:rPr>
              <w:t>AEPS Costs</w:t>
            </w:r>
          </w:p>
        </w:tc>
        <w:tc>
          <w:tcPr>
            <w:tcW w:w="270" w:type="dxa"/>
          </w:tcPr>
          <w:p w:rsidR="00A32FBF" w:rsidRPr="0075161F" w:rsidRDefault="00A32FBF" w:rsidP="004006B6">
            <w:pPr>
              <w:jc w:val="center"/>
              <w:rPr>
                <w:rFonts w:ascii="Arial" w:hAnsi="Arial" w:cs="Arial"/>
                <w:szCs w:val="24"/>
              </w:rPr>
            </w:pPr>
          </w:p>
        </w:tc>
        <w:tc>
          <w:tcPr>
            <w:tcW w:w="1800" w:type="dxa"/>
            <w:tcBorders>
              <w:bottom w:val="single" w:sz="4" w:space="0" w:color="auto"/>
            </w:tcBorders>
          </w:tcPr>
          <w:p w:rsidR="00A32FBF" w:rsidRPr="0075161F" w:rsidRDefault="00A32FBF" w:rsidP="004006B6">
            <w:pPr>
              <w:jc w:val="center"/>
              <w:rPr>
                <w:rFonts w:ascii="Arial" w:hAnsi="Arial" w:cs="Arial"/>
                <w:szCs w:val="24"/>
              </w:rPr>
            </w:pPr>
          </w:p>
          <w:p w:rsidR="00A32FBF" w:rsidRPr="0075161F" w:rsidRDefault="00A32FBF" w:rsidP="004006B6">
            <w:pPr>
              <w:jc w:val="center"/>
              <w:rPr>
                <w:rFonts w:ascii="Arial" w:hAnsi="Arial" w:cs="Arial"/>
                <w:szCs w:val="24"/>
              </w:rPr>
            </w:pPr>
          </w:p>
          <w:p w:rsidR="00B423EA" w:rsidRDefault="00B423EA" w:rsidP="004006B6">
            <w:pPr>
              <w:jc w:val="center"/>
              <w:rPr>
                <w:rFonts w:ascii="Arial" w:hAnsi="Arial" w:cs="Arial"/>
                <w:szCs w:val="24"/>
              </w:rPr>
            </w:pPr>
          </w:p>
          <w:p w:rsidR="00A32FBF" w:rsidRPr="0075161F" w:rsidRDefault="00A32FBF" w:rsidP="004006B6">
            <w:pPr>
              <w:jc w:val="center"/>
              <w:rPr>
                <w:rFonts w:ascii="Arial" w:hAnsi="Arial" w:cs="Arial"/>
                <w:szCs w:val="24"/>
              </w:rPr>
            </w:pPr>
            <w:r w:rsidRPr="0075161F">
              <w:rPr>
                <w:rFonts w:ascii="Arial" w:hAnsi="Arial" w:cs="Arial"/>
                <w:szCs w:val="24"/>
              </w:rPr>
              <w:t>AEPS Revenues</w:t>
            </w:r>
          </w:p>
        </w:tc>
        <w:tc>
          <w:tcPr>
            <w:tcW w:w="270" w:type="dxa"/>
          </w:tcPr>
          <w:p w:rsidR="00A32FBF" w:rsidRPr="0075161F" w:rsidRDefault="00A32FBF" w:rsidP="004006B6">
            <w:pPr>
              <w:jc w:val="center"/>
              <w:rPr>
                <w:rFonts w:ascii="Arial" w:hAnsi="Arial" w:cs="Arial"/>
                <w:szCs w:val="24"/>
              </w:rPr>
            </w:pPr>
          </w:p>
        </w:tc>
        <w:tc>
          <w:tcPr>
            <w:tcW w:w="1911" w:type="dxa"/>
            <w:tcBorders>
              <w:bottom w:val="single" w:sz="4" w:space="0" w:color="auto"/>
            </w:tcBorders>
          </w:tcPr>
          <w:p w:rsidR="00A32FBF" w:rsidRPr="0075161F" w:rsidRDefault="00A32FBF" w:rsidP="004006B6">
            <w:pPr>
              <w:jc w:val="center"/>
              <w:rPr>
                <w:rFonts w:ascii="Arial" w:hAnsi="Arial" w:cs="Arial"/>
                <w:szCs w:val="24"/>
              </w:rPr>
            </w:pPr>
          </w:p>
          <w:p w:rsidR="0075161F" w:rsidRPr="0075161F" w:rsidRDefault="0075161F" w:rsidP="004006B6">
            <w:pPr>
              <w:jc w:val="center"/>
              <w:rPr>
                <w:rFonts w:ascii="Arial" w:hAnsi="Arial" w:cs="Arial"/>
                <w:szCs w:val="24"/>
              </w:rPr>
            </w:pPr>
          </w:p>
          <w:p w:rsidR="00B423EA" w:rsidRDefault="00B423EA" w:rsidP="004006B6">
            <w:pPr>
              <w:jc w:val="center"/>
              <w:rPr>
                <w:rFonts w:ascii="Arial" w:hAnsi="Arial" w:cs="Arial"/>
                <w:szCs w:val="24"/>
              </w:rPr>
            </w:pPr>
          </w:p>
          <w:p w:rsidR="00A32FBF" w:rsidRPr="0075161F" w:rsidRDefault="00A32FBF" w:rsidP="004006B6">
            <w:pPr>
              <w:jc w:val="center"/>
              <w:rPr>
                <w:rFonts w:ascii="Arial" w:hAnsi="Arial" w:cs="Arial"/>
                <w:szCs w:val="24"/>
              </w:rPr>
            </w:pPr>
            <w:r w:rsidRPr="0075161F">
              <w:rPr>
                <w:rFonts w:ascii="Arial" w:hAnsi="Arial" w:cs="Arial"/>
                <w:szCs w:val="24"/>
              </w:rPr>
              <w:t>Over/(Under) Collections</w:t>
            </w:r>
          </w:p>
        </w:tc>
      </w:tr>
      <w:tr w:rsidR="00650C81" w:rsidRPr="00B366C5" w:rsidTr="004B2A8C">
        <w:trPr>
          <w:jc w:val="center"/>
        </w:trPr>
        <w:tc>
          <w:tcPr>
            <w:tcW w:w="1972" w:type="dxa"/>
            <w:tcBorders>
              <w:top w:val="single" w:sz="4" w:space="0" w:color="auto"/>
            </w:tcBorders>
          </w:tcPr>
          <w:p w:rsidR="00A32FBF" w:rsidRPr="0075161F" w:rsidRDefault="00A32FBF" w:rsidP="004006B6">
            <w:pPr>
              <w:jc w:val="center"/>
              <w:rPr>
                <w:rFonts w:ascii="Arial" w:hAnsi="Arial" w:cs="Arial"/>
                <w:szCs w:val="24"/>
              </w:rPr>
            </w:pPr>
          </w:p>
        </w:tc>
        <w:tc>
          <w:tcPr>
            <w:tcW w:w="270" w:type="dxa"/>
          </w:tcPr>
          <w:p w:rsidR="00A32FBF" w:rsidRPr="0075161F" w:rsidRDefault="00A32FBF" w:rsidP="004006B6">
            <w:pPr>
              <w:jc w:val="center"/>
              <w:rPr>
                <w:rFonts w:ascii="Arial" w:hAnsi="Arial" w:cs="Arial"/>
                <w:szCs w:val="24"/>
              </w:rPr>
            </w:pPr>
          </w:p>
        </w:tc>
        <w:tc>
          <w:tcPr>
            <w:tcW w:w="1710" w:type="dxa"/>
            <w:tcBorders>
              <w:top w:val="single" w:sz="4" w:space="0" w:color="auto"/>
            </w:tcBorders>
          </w:tcPr>
          <w:p w:rsidR="00A32FBF" w:rsidRPr="0075161F" w:rsidRDefault="00A32FBF" w:rsidP="004006B6">
            <w:pPr>
              <w:jc w:val="center"/>
              <w:rPr>
                <w:rFonts w:ascii="Arial" w:hAnsi="Arial" w:cs="Arial"/>
                <w:szCs w:val="24"/>
              </w:rPr>
            </w:pPr>
            <w:r w:rsidRPr="0075161F">
              <w:rPr>
                <w:rFonts w:ascii="Arial" w:hAnsi="Arial" w:cs="Arial"/>
                <w:szCs w:val="24"/>
              </w:rPr>
              <w:t>(1)</w:t>
            </w:r>
          </w:p>
        </w:tc>
        <w:tc>
          <w:tcPr>
            <w:tcW w:w="270" w:type="dxa"/>
          </w:tcPr>
          <w:p w:rsidR="00A32FBF" w:rsidRPr="0075161F" w:rsidRDefault="00A32FBF" w:rsidP="004006B6">
            <w:pPr>
              <w:jc w:val="center"/>
              <w:rPr>
                <w:rFonts w:ascii="Arial" w:hAnsi="Arial" w:cs="Arial"/>
                <w:szCs w:val="24"/>
              </w:rPr>
            </w:pPr>
          </w:p>
        </w:tc>
        <w:tc>
          <w:tcPr>
            <w:tcW w:w="1800" w:type="dxa"/>
            <w:tcBorders>
              <w:top w:val="single" w:sz="4" w:space="0" w:color="auto"/>
            </w:tcBorders>
          </w:tcPr>
          <w:p w:rsidR="00A32FBF" w:rsidRPr="0075161F" w:rsidRDefault="00A32FBF" w:rsidP="004006B6">
            <w:pPr>
              <w:jc w:val="center"/>
              <w:rPr>
                <w:rFonts w:ascii="Arial" w:hAnsi="Arial" w:cs="Arial"/>
                <w:szCs w:val="24"/>
              </w:rPr>
            </w:pPr>
            <w:r w:rsidRPr="0075161F">
              <w:rPr>
                <w:rFonts w:ascii="Arial" w:hAnsi="Arial" w:cs="Arial"/>
                <w:szCs w:val="24"/>
              </w:rPr>
              <w:t>(2)</w:t>
            </w:r>
          </w:p>
        </w:tc>
        <w:tc>
          <w:tcPr>
            <w:tcW w:w="270" w:type="dxa"/>
          </w:tcPr>
          <w:p w:rsidR="00A32FBF" w:rsidRPr="0075161F" w:rsidRDefault="00A32FBF" w:rsidP="004006B6">
            <w:pPr>
              <w:jc w:val="center"/>
              <w:rPr>
                <w:rFonts w:ascii="Arial" w:hAnsi="Arial" w:cs="Arial"/>
                <w:szCs w:val="24"/>
              </w:rPr>
            </w:pPr>
          </w:p>
        </w:tc>
        <w:tc>
          <w:tcPr>
            <w:tcW w:w="1911" w:type="dxa"/>
            <w:tcBorders>
              <w:top w:val="single" w:sz="4" w:space="0" w:color="auto"/>
            </w:tcBorders>
          </w:tcPr>
          <w:p w:rsidR="00A32FBF" w:rsidRPr="0075161F" w:rsidRDefault="00A32FBF" w:rsidP="00E010A6">
            <w:pPr>
              <w:jc w:val="center"/>
              <w:rPr>
                <w:rFonts w:ascii="Arial" w:hAnsi="Arial" w:cs="Arial"/>
                <w:szCs w:val="24"/>
              </w:rPr>
            </w:pPr>
            <w:r w:rsidRPr="0075161F">
              <w:rPr>
                <w:rFonts w:ascii="Arial" w:hAnsi="Arial" w:cs="Arial"/>
                <w:szCs w:val="24"/>
              </w:rPr>
              <w:t>(3)=(</w:t>
            </w:r>
            <w:r w:rsidR="00E010A6" w:rsidRPr="0075161F">
              <w:rPr>
                <w:rFonts w:ascii="Arial" w:hAnsi="Arial" w:cs="Arial"/>
                <w:szCs w:val="24"/>
              </w:rPr>
              <w:t>2</w:t>
            </w:r>
            <w:r w:rsidRPr="0075161F">
              <w:rPr>
                <w:rFonts w:ascii="Arial" w:hAnsi="Arial" w:cs="Arial"/>
                <w:szCs w:val="24"/>
              </w:rPr>
              <w:t>)-(</w:t>
            </w:r>
            <w:r w:rsidR="00E010A6" w:rsidRPr="0075161F">
              <w:rPr>
                <w:rFonts w:ascii="Arial" w:hAnsi="Arial" w:cs="Arial"/>
                <w:szCs w:val="24"/>
              </w:rPr>
              <w:t>1</w:t>
            </w:r>
            <w:r w:rsidRPr="0075161F">
              <w:rPr>
                <w:rFonts w:ascii="Arial" w:hAnsi="Arial" w:cs="Arial"/>
                <w:szCs w:val="24"/>
              </w:rPr>
              <w:t>)</w:t>
            </w:r>
          </w:p>
        </w:tc>
      </w:tr>
      <w:tr w:rsidR="00650C81" w:rsidRPr="00B366C5" w:rsidTr="004B2A8C">
        <w:trPr>
          <w:jc w:val="center"/>
        </w:trPr>
        <w:tc>
          <w:tcPr>
            <w:tcW w:w="1972" w:type="dxa"/>
          </w:tcPr>
          <w:p w:rsidR="00A32FBF" w:rsidRPr="0075161F" w:rsidRDefault="00A32FBF" w:rsidP="004006B6">
            <w:pPr>
              <w:jc w:val="center"/>
              <w:rPr>
                <w:rFonts w:ascii="Arial" w:hAnsi="Arial" w:cs="Arial"/>
                <w:szCs w:val="24"/>
              </w:rPr>
            </w:pPr>
          </w:p>
        </w:tc>
        <w:tc>
          <w:tcPr>
            <w:tcW w:w="270" w:type="dxa"/>
          </w:tcPr>
          <w:p w:rsidR="00A32FBF" w:rsidRPr="0075161F" w:rsidRDefault="00A32FBF" w:rsidP="004006B6">
            <w:pPr>
              <w:jc w:val="center"/>
              <w:rPr>
                <w:rFonts w:ascii="Arial" w:hAnsi="Arial" w:cs="Arial"/>
                <w:szCs w:val="24"/>
              </w:rPr>
            </w:pPr>
          </w:p>
        </w:tc>
        <w:tc>
          <w:tcPr>
            <w:tcW w:w="1710" w:type="dxa"/>
          </w:tcPr>
          <w:p w:rsidR="00A32FBF" w:rsidRPr="0075161F" w:rsidRDefault="00A32FBF" w:rsidP="004006B6">
            <w:pPr>
              <w:jc w:val="center"/>
              <w:rPr>
                <w:rFonts w:ascii="Arial" w:hAnsi="Arial" w:cs="Arial"/>
                <w:szCs w:val="24"/>
              </w:rPr>
            </w:pPr>
            <w:r w:rsidRPr="0075161F">
              <w:rPr>
                <w:rFonts w:ascii="Arial" w:hAnsi="Arial" w:cs="Arial"/>
                <w:szCs w:val="24"/>
              </w:rPr>
              <w:t>(Note 2)</w:t>
            </w:r>
          </w:p>
        </w:tc>
        <w:tc>
          <w:tcPr>
            <w:tcW w:w="270" w:type="dxa"/>
          </w:tcPr>
          <w:p w:rsidR="00A32FBF" w:rsidRPr="0075161F" w:rsidRDefault="00A32FBF" w:rsidP="004006B6">
            <w:pPr>
              <w:jc w:val="center"/>
              <w:rPr>
                <w:rFonts w:ascii="Arial" w:hAnsi="Arial" w:cs="Arial"/>
                <w:szCs w:val="24"/>
              </w:rPr>
            </w:pPr>
          </w:p>
        </w:tc>
        <w:tc>
          <w:tcPr>
            <w:tcW w:w="1800" w:type="dxa"/>
          </w:tcPr>
          <w:p w:rsidR="00A32FBF" w:rsidRPr="0075161F" w:rsidRDefault="00A32FBF" w:rsidP="004006B6">
            <w:pPr>
              <w:jc w:val="center"/>
              <w:rPr>
                <w:rFonts w:ascii="Arial" w:hAnsi="Arial" w:cs="Arial"/>
                <w:szCs w:val="24"/>
              </w:rPr>
            </w:pPr>
            <w:r w:rsidRPr="0075161F">
              <w:rPr>
                <w:rFonts w:ascii="Arial" w:hAnsi="Arial" w:cs="Arial"/>
                <w:szCs w:val="24"/>
              </w:rPr>
              <w:t>(Note 3)</w:t>
            </w:r>
          </w:p>
        </w:tc>
        <w:tc>
          <w:tcPr>
            <w:tcW w:w="270" w:type="dxa"/>
          </w:tcPr>
          <w:p w:rsidR="00A32FBF" w:rsidRPr="0075161F" w:rsidRDefault="00A32FBF" w:rsidP="004006B6">
            <w:pPr>
              <w:jc w:val="center"/>
              <w:rPr>
                <w:rFonts w:ascii="Arial" w:hAnsi="Arial" w:cs="Arial"/>
                <w:szCs w:val="24"/>
              </w:rPr>
            </w:pPr>
          </w:p>
        </w:tc>
        <w:tc>
          <w:tcPr>
            <w:tcW w:w="1911" w:type="dxa"/>
          </w:tcPr>
          <w:p w:rsidR="00A32FBF" w:rsidRPr="0075161F" w:rsidRDefault="00A32FBF" w:rsidP="004006B6">
            <w:pPr>
              <w:jc w:val="center"/>
              <w:rPr>
                <w:rFonts w:ascii="Arial" w:hAnsi="Arial" w:cs="Arial"/>
                <w:szCs w:val="24"/>
              </w:rPr>
            </w:pPr>
            <w:r w:rsidRPr="0075161F">
              <w:rPr>
                <w:rFonts w:ascii="Arial" w:hAnsi="Arial" w:cs="Arial"/>
                <w:szCs w:val="24"/>
              </w:rPr>
              <w:t>(Note 4)</w:t>
            </w:r>
          </w:p>
        </w:tc>
      </w:tr>
      <w:tr w:rsidR="00650C81" w:rsidRPr="00B366C5" w:rsidTr="004B2A8C">
        <w:trPr>
          <w:jc w:val="center"/>
        </w:trPr>
        <w:tc>
          <w:tcPr>
            <w:tcW w:w="1972" w:type="dxa"/>
          </w:tcPr>
          <w:p w:rsidR="00A32FBF" w:rsidRPr="0075161F" w:rsidRDefault="00A32FBF" w:rsidP="004006B6">
            <w:pPr>
              <w:jc w:val="center"/>
              <w:rPr>
                <w:rFonts w:ascii="Arial" w:hAnsi="Arial" w:cs="Arial"/>
                <w:szCs w:val="24"/>
              </w:rPr>
            </w:pPr>
          </w:p>
        </w:tc>
        <w:tc>
          <w:tcPr>
            <w:tcW w:w="270" w:type="dxa"/>
          </w:tcPr>
          <w:p w:rsidR="00A32FBF" w:rsidRPr="0075161F" w:rsidRDefault="00A32FBF" w:rsidP="004006B6">
            <w:pPr>
              <w:jc w:val="center"/>
              <w:rPr>
                <w:rFonts w:ascii="Arial" w:hAnsi="Arial" w:cs="Arial"/>
                <w:szCs w:val="24"/>
              </w:rPr>
            </w:pPr>
          </w:p>
        </w:tc>
        <w:tc>
          <w:tcPr>
            <w:tcW w:w="1710" w:type="dxa"/>
          </w:tcPr>
          <w:p w:rsidR="00A32FBF" w:rsidRPr="0075161F" w:rsidRDefault="00A32FBF" w:rsidP="004006B6">
            <w:pPr>
              <w:jc w:val="center"/>
              <w:rPr>
                <w:rFonts w:ascii="Arial" w:hAnsi="Arial" w:cs="Arial"/>
                <w:szCs w:val="24"/>
              </w:rPr>
            </w:pPr>
          </w:p>
        </w:tc>
        <w:tc>
          <w:tcPr>
            <w:tcW w:w="270" w:type="dxa"/>
          </w:tcPr>
          <w:p w:rsidR="00A32FBF" w:rsidRPr="0075161F" w:rsidRDefault="00A32FBF" w:rsidP="004006B6">
            <w:pPr>
              <w:jc w:val="center"/>
              <w:rPr>
                <w:rFonts w:ascii="Arial" w:hAnsi="Arial" w:cs="Arial"/>
                <w:szCs w:val="24"/>
              </w:rPr>
            </w:pPr>
          </w:p>
        </w:tc>
        <w:tc>
          <w:tcPr>
            <w:tcW w:w="1800" w:type="dxa"/>
          </w:tcPr>
          <w:p w:rsidR="00A32FBF" w:rsidRPr="0075161F" w:rsidRDefault="00A32FBF" w:rsidP="004006B6">
            <w:pPr>
              <w:jc w:val="center"/>
              <w:rPr>
                <w:rFonts w:ascii="Arial" w:hAnsi="Arial" w:cs="Arial"/>
                <w:szCs w:val="24"/>
              </w:rPr>
            </w:pPr>
          </w:p>
        </w:tc>
        <w:tc>
          <w:tcPr>
            <w:tcW w:w="270" w:type="dxa"/>
          </w:tcPr>
          <w:p w:rsidR="00A32FBF" w:rsidRPr="0075161F" w:rsidRDefault="00A32FBF" w:rsidP="004006B6">
            <w:pPr>
              <w:jc w:val="center"/>
              <w:rPr>
                <w:rFonts w:ascii="Arial" w:hAnsi="Arial" w:cs="Arial"/>
                <w:szCs w:val="24"/>
              </w:rPr>
            </w:pPr>
          </w:p>
        </w:tc>
        <w:tc>
          <w:tcPr>
            <w:tcW w:w="1911" w:type="dxa"/>
          </w:tcPr>
          <w:p w:rsidR="00A32FBF" w:rsidRPr="0075161F" w:rsidRDefault="00A32FBF" w:rsidP="004006B6">
            <w:pPr>
              <w:jc w:val="center"/>
              <w:rPr>
                <w:rFonts w:ascii="Arial" w:hAnsi="Arial" w:cs="Arial"/>
                <w:szCs w:val="24"/>
              </w:rPr>
            </w:pPr>
          </w:p>
        </w:tc>
      </w:tr>
      <w:tr w:rsidR="00650C81" w:rsidRPr="00B366C5" w:rsidTr="004B2A8C">
        <w:trPr>
          <w:jc w:val="center"/>
        </w:trPr>
        <w:tc>
          <w:tcPr>
            <w:tcW w:w="1972" w:type="dxa"/>
          </w:tcPr>
          <w:p w:rsidR="00A32FBF" w:rsidRPr="0075161F" w:rsidRDefault="00A32FBF" w:rsidP="004006B6">
            <w:pPr>
              <w:rPr>
                <w:rFonts w:ascii="Arial" w:hAnsi="Arial" w:cs="Arial"/>
                <w:szCs w:val="24"/>
              </w:rPr>
            </w:pPr>
            <w:r w:rsidRPr="0075161F">
              <w:rPr>
                <w:rFonts w:ascii="Arial" w:hAnsi="Arial" w:cs="Arial"/>
                <w:szCs w:val="24"/>
              </w:rPr>
              <w:t>Class 1</w:t>
            </w:r>
          </w:p>
        </w:tc>
        <w:tc>
          <w:tcPr>
            <w:tcW w:w="270" w:type="dxa"/>
          </w:tcPr>
          <w:p w:rsidR="00A32FBF" w:rsidRPr="0075161F" w:rsidRDefault="00A32FBF" w:rsidP="004006B6">
            <w:pPr>
              <w:jc w:val="center"/>
              <w:rPr>
                <w:rFonts w:ascii="Arial" w:hAnsi="Arial" w:cs="Arial"/>
                <w:szCs w:val="24"/>
              </w:rPr>
            </w:pPr>
          </w:p>
        </w:tc>
        <w:tc>
          <w:tcPr>
            <w:tcW w:w="1710" w:type="dxa"/>
          </w:tcPr>
          <w:p w:rsidR="00A32FBF" w:rsidRPr="0075161F" w:rsidRDefault="00A32FBF" w:rsidP="004006B6">
            <w:pPr>
              <w:jc w:val="right"/>
              <w:rPr>
                <w:rFonts w:ascii="Arial" w:hAnsi="Arial" w:cs="Arial"/>
                <w:szCs w:val="24"/>
              </w:rPr>
            </w:pPr>
            <w:r w:rsidRPr="0075161F">
              <w:rPr>
                <w:rFonts w:ascii="Arial" w:hAnsi="Arial" w:cs="Arial"/>
                <w:szCs w:val="24"/>
              </w:rPr>
              <w:t>$</w:t>
            </w:r>
            <w:r w:rsidR="0075161F">
              <w:rPr>
                <w:rFonts w:ascii="Arial" w:hAnsi="Arial" w:cs="Arial"/>
                <w:szCs w:val="24"/>
              </w:rPr>
              <w:t xml:space="preserve">  </w:t>
            </w:r>
            <w:r w:rsidRPr="0075161F">
              <w:rPr>
                <w:rFonts w:ascii="Arial" w:hAnsi="Arial" w:cs="Arial"/>
                <w:szCs w:val="24"/>
              </w:rPr>
              <w:t>2,259,172</w:t>
            </w: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75161F">
            <w:pPr>
              <w:jc w:val="right"/>
              <w:rPr>
                <w:rFonts w:ascii="Arial" w:hAnsi="Arial" w:cs="Arial"/>
                <w:szCs w:val="24"/>
              </w:rPr>
            </w:pPr>
            <w:r w:rsidRPr="0075161F">
              <w:rPr>
                <w:rFonts w:ascii="Arial" w:hAnsi="Arial" w:cs="Arial"/>
                <w:szCs w:val="24"/>
              </w:rPr>
              <w:t>$</w:t>
            </w:r>
            <w:r w:rsidR="0075161F">
              <w:rPr>
                <w:rFonts w:ascii="Arial" w:hAnsi="Arial" w:cs="Arial"/>
                <w:szCs w:val="24"/>
              </w:rPr>
              <w:t xml:space="preserve">      </w:t>
            </w:r>
            <w:r w:rsidRPr="0075161F">
              <w:rPr>
                <w:rFonts w:ascii="Arial" w:hAnsi="Arial" w:cs="Arial"/>
                <w:szCs w:val="24"/>
              </w:rPr>
              <w:t xml:space="preserve">        0</w:t>
            </w: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r w:rsidRPr="0075161F">
              <w:rPr>
                <w:rFonts w:ascii="Arial" w:hAnsi="Arial" w:cs="Arial"/>
                <w:szCs w:val="24"/>
              </w:rPr>
              <w:t>$</w:t>
            </w:r>
            <w:r w:rsidR="0075161F">
              <w:rPr>
                <w:rFonts w:ascii="Arial" w:hAnsi="Arial" w:cs="Arial"/>
                <w:szCs w:val="24"/>
              </w:rPr>
              <w:t xml:space="preserve">  </w:t>
            </w:r>
            <w:r w:rsidRPr="0075161F">
              <w:rPr>
                <w:rFonts w:ascii="Arial" w:hAnsi="Arial" w:cs="Arial"/>
                <w:szCs w:val="24"/>
              </w:rPr>
              <w:t>(2,259,172)</w:t>
            </w:r>
          </w:p>
        </w:tc>
      </w:tr>
      <w:tr w:rsidR="00650C81" w:rsidRPr="00B366C5" w:rsidTr="004B2A8C">
        <w:trPr>
          <w:jc w:val="center"/>
        </w:trPr>
        <w:tc>
          <w:tcPr>
            <w:tcW w:w="1972" w:type="dxa"/>
          </w:tcPr>
          <w:p w:rsidR="00A32FBF" w:rsidRPr="0075161F" w:rsidRDefault="00A32FBF" w:rsidP="004006B6">
            <w:pPr>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p>
        </w:tc>
      </w:tr>
      <w:tr w:rsidR="00650C81" w:rsidRPr="00B366C5" w:rsidTr="004B2A8C">
        <w:trPr>
          <w:jc w:val="center"/>
        </w:trPr>
        <w:tc>
          <w:tcPr>
            <w:tcW w:w="1972" w:type="dxa"/>
          </w:tcPr>
          <w:p w:rsidR="00A32FBF" w:rsidRPr="0075161F" w:rsidRDefault="00A32FBF" w:rsidP="004006B6">
            <w:pPr>
              <w:rPr>
                <w:rFonts w:ascii="Arial" w:hAnsi="Arial" w:cs="Arial"/>
                <w:szCs w:val="24"/>
              </w:rPr>
            </w:pPr>
            <w:r w:rsidRPr="0075161F">
              <w:rPr>
                <w:rFonts w:ascii="Arial" w:hAnsi="Arial" w:cs="Arial"/>
                <w:szCs w:val="24"/>
              </w:rPr>
              <w:t>Class 2</w:t>
            </w: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r w:rsidRPr="0075161F">
              <w:rPr>
                <w:rFonts w:ascii="Arial" w:hAnsi="Arial" w:cs="Arial"/>
                <w:szCs w:val="24"/>
              </w:rPr>
              <w:t>720,475</w:t>
            </w: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r w:rsidRPr="0075161F">
              <w:rPr>
                <w:rFonts w:ascii="Arial" w:hAnsi="Arial" w:cs="Arial"/>
                <w:szCs w:val="24"/>
              </w:rPr>
              <w:t>0</w:t>
            </w: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r w:rsidRPr="0075161F">
              <w:rPr>
                <w:rFonts w:ascii="Arial" w:hAnsi="Arial" w:cs="Arial"/>
                <w:szCs w:val="24"/>
              </w:rPr>
              <w:t>(720,475)</w:t>
            </w:r>
          </w:p>
        </w:tc>
      </w:tr>
      <w:tr w:rsidR="00650C81" w:rsidRPr="00B366C5" w:rsidTr="004B2A8C">
        <w:trPr>
          <w:jc w:val="center"/>
        </w:trPr>
        <w:tc>
          <w:tcPr>
            <w:tcW w:w="1972" w:type="dxa"/>
          </w:tcPr>
          <w:p w:rsidR="00A32FBF" w:rsidRPr="0075161F" w:rsidRDefault="00A32FBF" w:rsidP="004006B6">
            <w:pPr>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p>
        </w:tc>
      </w:tr>
      <w:tr w:rsidR="00650C81" w:rsidRPr="00B366C5" w:rsidTr="004B2A8C">
        <w:trPr>
          <w:jc w:val="center"/>
        </w:trPr>
        <w:tc>
          <w:tcPr>
            <w:tcW w:w="1972" w:type="dxa"/>
          </w:tcPr>
          <w:p w:rsidR="00A32FBF" w:rsidRPr="0075161F" w:rsidRDefault="00A32FBF" w:rsidP="004006B6">
            <w:pPr>
              <w:rPr>
                <w:rFonts w:ascii="Arial" w:hAnsi="Arial" w:cs="Arial"/>
                <w:szCs w:val="24"/>
              </w:rPr>
            </w:pPr>
            <w:r w:rsidRPr="0075161F">
              <w:rPr>
                <w:rFonts w:ascii="Arial" w:hAnsi="Arial" w:cs="Arial"/>
                <w:szCs w:val="24"/>
              </w:rPr>
              <w:t>Class 3</w:t>
            </w: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r w:rsidRPr="0075161F">
              <w:rPr>
                <w:rFonts w:ascii="Arial" w:hAnsi="Arial" w:cs="Arial"/>
                <w:szCs w:val="24"/>
              </w:rPr>
              <w:t>601,908</w:t>
            </w: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r w:rsidRPr="0075161F">
              <w:rPr>
                <w:rFonts w:ascii="Arial" w:hAnsi="Arial" w:cs="Arial"/>
                <w:szCs w:val="24"/>
              </w:rPr>
              <w:t>0</w:t>
            </w: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r w:rsidRPr="0075161F">
              <w:rPr>
                <w:rFonts w:ascii="Arial" w:hAnsi="Arial" w:cs="Arial"/>
                <w:szCs w:val="24"/>
              </w:rPr>
              <w:t>(601,908)</w:t>
            </w:r>
          </w:p>
        </w:tc>
      </w:tr>
      <w:tr w:rsidR="00650C81" w:rsidRPr="00B366C5" w:rsidTr="004B2A8C">
        <w:trPr>
          <w:jc w:val="center"/>
        </w:trPr>
        <w:tc>
          <w:tcPr>
            <w:tcW w:w="1972" w:type="dxa"/>
          </w:tcPr>
          <w:p w:rsidR="00A32FBF" w:rsidRPr="0075161F" w:rsidRDefault="00A32FBF" w:rsidP="004006B6">
            <w:pPr>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p>
        </w:tc>
      </w:tr>
      <w:tr w:rsidR="00650C81" w:rsidRPr="00B366C5" w:rsidTr="004B2A8C">
        <w:trPr>
          <w:jc w:val="center"/>
        </w:trPr>
        <w:tc>
          <w:tcPr>
            <w:tcW w:w="1972" w:type="dxa"/>
          </w:tcPr>
          <w:p w:rsidR="00A32FBF" w:rsidRPr="0075161F" w:rsidRDefault="00A32FBF" w:rsidP="004006B6">
            <w:pPr>
              <w:rPr>
                <w:rFonts w:ascii="Arial" w:hAnsi="Arial" w:cs="Arial"/>
                <w:szCs w:val="24"/>
              </w:rPr>
            </w:pPr>
            <w:r w:rsidRPr="0075161F">
              <w:rPr>
                <w:rFonts w:ascii="Arial" w:hAnsi="Arial" w:cs="Arial"/>
                <w:szCs w:val="24"/>
              </w:rPr>
              <w:t>Class 4</w:t>
            </w: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75161F" w:rsidP="004006B6">
            <w:pPr>
              <w:jc w:val="right"/>
              <w:rPr>
                <w:rFonts w:ascii="Arial" w:hAnsi="Arial" w:cs="Arial"/>
                <w:szCs w:val="24"/>
                <w:u w:val="single"/>
              </w:rPr>
            </w:pPr>
            <w:r>
              <w:rPr>
                <w:rFonts w:ascii="Arial" w:hAnsi="Arial" w:cs="Arial"/>
                <w:szCs w:val="24"/>
                <w:u w:val="single"/>
              </w:rPr>
              <w:t xml:space="preserve">  </w:t>
            </w:r>
            <w:r w:rsidR="00A32FBF" w:rsidRPr="0075161F">
              <w:rPr>
                <w:rFonts w:ascii="Arial" w:hAnsi="Arial" w:cs="Arial"/>
                <w:szCs w:val="24"/>
                <w:u w:val="single"/>
              </w:rPr>
              <w:t xml:space="preserve">     471,542</w:t>
            </w: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75161F" w:rsidP="004006B6">
            <w:pPr>
              <w:jc w:val="right"/>
              <w:rPr>
                <w:rFonts w:ascii="Arial" w:hAnsi="Arial" w:cs="Arial"/>
                <w:szCs w:val="24"/>
                <w:u w:val="single"/>
              </w:rPr>
            </w:pPr>
            <w:r>
              <w:rPr>
                <w:rFonts w:ascii="Arial" w:hAnsi="Arial" w:cs="Arial"/>
                <w:szCs w:val="24"/>
                <w:u w:val="single"/>
              </w:rPr>
              <w:t xml:space="preserve">     </w:t>
            </w:r>
            <w:r w:rsidR="00A32FBF" w:rsidRPr="0075161F">
              <w:rPr>
                <w:rFonts w:ascii="Arial" w:hAnsi="Arial" w:cs="Arial"/>
                <w:szCs w:val="24"/>
                <w:u w:val="single"/>
              </w:rPr>
              <w:t xml:space="preserve">  45,349</w:t>
            </w: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u w:val="single"/>
              </w:rPr>
            </w:pPr>
            <w:r w:rsidRPr="0075161F">
              <w:rPr>
                <w:rFonts w:ascii="Arial" w:hAnsi="Arial" w:cs="Arial"/>
                <w:szCs w:val="24"/>
                <w:u w:val="single"/>
              </w:rPr>
              <w:t xml:space="preserve"> </w:t>
            </w:r>
            <w:r w:rsidR="0075161F">
              <w:rPr>
                <w:rFonts w:ascii="Arial" w:hAnsi="Arial" w:cs="Arial"/>
                <w:szCs w:val="24"/>
                <w:u w:val="single"/>
              </w:rPr>
              <w:t xml:space="preserve">   </w:t>
            </w:r>
            <w:r w:rsidRPr="0075161F">
              <w:rPr>
                <w:rFonts w:ascii="Arial" w:hAnsi="Arial" w:cs="Arial"/>
                <w:szCs w:val="24"/>
                <w:u w:val="single"/>
              </w:rPr>
              <w:t xml:space="preserve">   (426,193)</w:t>
            </w:r>
          </w:p>
        </w:tc>
      </w:tr>
      <w:tr w:rsidR="00650C81" w:rsidRPr="00B366C5" w:rsidTr="004B2A8C">
        <w:trPr>
          <w:jc w:val="center"/>
        </w:trPr>
        <w:tc>
          <w:tcPr>
            <w:tcW w:w="1972" w:type="dxa"/>
          </w:tcPr>
          <w:p w:rsidR="00A32FBF" w:rsidRPr="0075161F" w:rsidRDefault="00A32FBF" w:rsidP="004006B6">
            <w:pPr>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800" w:type="dxa"/>
          </w:tcPr>
          <w:p w:rsidR="00A32FBF" w:rsidRPr="0075161F" w:rsidRDefault="00A32FBF" w:rsidP="004006B6">
            <w:pPr>
              <w:jc w:val="right"/>
              <w:rPr>
                <w:rFonts w:ascii="Arial" w:hAnsi="Arial" w:cs="Arial"/>
                <w:szCs w:val="24"/>
              </w:rPr>
            </w:pPr>
          </w:p>
        </w:tc>
        <w:tc>
          <w:tcPr>
            <w:tcW w:w="270" w:type="dxa"/>
          </w:tcPr>
          <w:p w:rsidR="00A32FBF" w:rsidRPr="0075161F" w:rsidRDefault="00A32FBF" w:rsidP="004006B6">
            <w:pPr>
              <w:jc w:val="right"/>
              <w:rPr>
                <w:rFonts w:ascii="Arial" w:hAnsi="Arial" w:cs="Arial"/>
                <w:szCs w:val="24"/>
              </w:rPr>
            </w:pPr>
          </w:p>
        </w:tc>
        <w:tc>
          <w:tcPr>
            <w:tcW w:w="1911" w:type="dxa"/>
          </w:tcPr>
          <w:p w:rsidR="00A32FBF" w:rsidRPr="0075161F" w:rsidRDefault="00A32FBF" w:rsidP="004006B6">
            <w:pPr>
              <w:jc w:val="right"/>
              <w:rPr>
                <w:rFonts w:ascii="Arial" w:hAnsi="Arial" w:cs="Arial"/>
                <w:szCs w:val="24"/>
              </w:rPr>
            </w:pPr>
          </w:p>
        </w:tc>
      </w:tr>
      <w:tr w:rsidR="00650C81" w:rsidRPr="00B366C5" w:rsidTr="004B2A8C">
        <w:trPr>
          <w:jc w:val="center"/>
        </w:trPr>
        <w:tc>
          <w:tcPr>
            <w:tcW w:w="1972" w:type="dxa"/>
          </w:tcPr>
          <w:p w:rsidR="00A32FBF" w:rsidRPr="0075161F" w:rsidRDefault="00A32FBF" w:rsidP="004006B6">
            <w:pPr>
              <w:rPr>
                <w:rFonts w:ascii="Arial" w:hAnsi="Arial" w:cs="Arial"/>
                <w:szCs w:val="24"/>
              </w:rPr>
            </w:pPr>
            <w:r w:rsidRPr="0075161F">
              <w:rPr>
                <w:rFonts w:ascii="Arial" w:hAnsi="Arial" w:cs="Arial"/>
                <w:szCs w:val="24"/>
              </w:rPr>
              <w:t>Total</w:t>
            </w:r>
            <w:r w:rsidR="00E010A6" w:rsidRPr="0075161F">
              <w:rPr>
                <w:rFonts w:ascii="Arial" w:hAnsi="Arial" w:cs="Arial"/>
                <w:szCs w:val="24"/>
              </w:rPr>
              <w:t>s</w:t>
            </w:r>
          </w:p>
        </w:tc>
        <w:tc>
          <w:tcPr>
            <w:tcW w:w="270" w:type="dxa"/>
          </w:tcPr>
          <w:p w:rsidR="00A32FBF" w:rsidRPr="0075161F" w:rsidRDefault="00A32FBF" w:rsidP="004006B6">
            <w:pPr>
              <w:jc w:val="right"/>
              <w:rPr>
                <w:rFonts w:ascii="Arial" w:hAnsi="Arial" w:cs="Arial"/>
                <w:szCs w:val="24"/>
              </w:rPr>
            </w:pPr>
          </w:p>
        </w:tc>
        <w:tc>
          <w:tcPr>
            <w:tcW w:w="1710" w:type="dxa"/>
          </w:tcPr>
          <w:p w:rsidR="00A32FBF" w:rsidRPr="0075161F" w:rsidRDefault="00A32FBF" w:rsidP="004006B6">
            <w:pPr>
              <w:jc w:val="right"/>
              <w:rPr>
                <w:rFonts w:ascii="Arial" w:hAnsi="Arial" w:cs="Arial"/>
                <w:szCs w:val="24"/>
                <w:u w:val="double"/>
              </w:rPr>
            </w:pPr>
            <w:r w:rsidRPr="0075161F">
              <w:rPr>
                <w:rFonts w:ascii="Arial" w:hAnsi="Arial" w:cs="Arial"/>
                <w:szCs w:val="24"/>
                <w:u w:val="double"/>
              </w:rPr>
              <w:t>$</w:t>
            </w:r>
            <w:r w:rsidR="0075161F">
              <w:rPr>
                <w:rFonts w:ascii="Arial" w:hAnsi="Arial" w:cs="Arial"/>
                <w:szCs w:val="24"/>
                <w:u w:val="double"/>
              </w:rPr>
              <w:t xml:space="preserve">  </w:t>
            </w:r>
            <w:r w:rsidRPr="0075161F">
              <w:rPr>
                <w:rFonts w:ascii="Arial" w:hAnsi="Arial" w:cs="Arial"/>
                <w:szCs w:val="24"/>
                <w:u w:val="double"/>
              </w:rPr>
              <w:t>4,053,097</w:t>
            </w:r>
          </w:p>
        </w:tc>
        <w:tc>
          <w:tcPr>
            <w:tcW w:w="270" w:type="dxa"/>
          </w:tcPr>
          <w:p w:rsidR="00A32FBF" w:rsidRPr="0075161F" w:rsidRDefault="00A32FBF" w:rsidP="004006B6">
            <w:pPr>
              <w:jc w:val="right"/>
              <w:rPr>
                <w:rFonts w:ascii="Arial" w:hAnsi="Arial" w:cs="Arial"/>
                <w:szCs w:val="24"/>
                <w:u w:val="double"/>
              </w:rPr>
            </w:pPr>
          </w:p>
        </w:tc>
        <w:tc>
          <w:tcPr>
            <w:tcW w:w="1800" w:type="dxa"/>
          </w:tcPr>
          <w:p w:rsidR="00A32FBF" w:rsidRPr="0075161F" w:rsidRDefault="00A32FBF" w:rsidP="004006B6">
            <w:pPr>
              <w:jc w:val="right"/>
              <w:rPr>
                <w:rFonts w:ascii="Arial" w:hAnsi="Arial" w:cs="Arial"/>
                <w:szCs w:val="24"/>
                <w:u w:val="double"/>
              </w:rPr>
            </w:pPr>
            <w:r w:rsidRPr="0075161F">
              <w:rPr>
                <w:rFonts w:ascii="Arial" w:hAnsi="Arial" w:cs="Arial"/>
                <w:szCs w:val="24"/>
                <w:u w:val="double"/>
              </w:rPr>
              <w:t>$</w:t>
            </w:r>
            <w:r w:rsidR="0075161F">
              <w:rPr>
                <w:rFonts w:ascii="Arial" w:hAnsi="Arial" w:cs="Arial"/>
                <w:szCs w:val="24"/>
                <w:u w:val="double"/>
              </w:rPr>
              <w:t xml:space="preserve">     </w:t>
            </w:r>
            <w:r w:rsidRPr="0075161F">
              <w:rPr>
                <w:rFonts w:ascii="Arial" w:hAnsi="Arial" w:cs="Arial"/>
                <w:szCs w:val="24"/>
                <w:u w:val="double"/>
              </w:rPr>
              <w:t>45,349</w:t>
            </w:r>
          </w:p>
        </w:tc>
        <w:tc>
          <w:tcPr>
            <w:tcW w:w="270" w:type="dxa"/>
          </w:tcPr>
          <w:p w:rsidR="00A32FBF" w:rsidRPr="0075161F" w:rsidRDefault="00A32FBF" w:rsidP="004006B6">
            <w:pPr>
              <w:jc w:val="right"/>
              <w:rPr>
                <w:rFonts w:ascii="Arial" w:hAnsi="Arial" w:cs="Arial"/>
                <w:szCs w:val="24"/>
                <w:u w:val="double"/>
              </w:rPr>
            </w:pPr>
          </w:p>
        </w:tc>
        <w:tc>
          <w:tcPr>
            <w:tcW w:w="1911" w:type="dxa"/>
          </w:tcPr>
          <w:p w:rsidR="00A32FBF" w:rsidRPr="0075161F" w:rsidRDefault="00A32FBF" w:rsidP="004006B6">
            <w:pPr>
              <w:jc w:val="right"/>
              <w:rPr>
                <w:rFonts w:ascii="Arial" w:hAnsi="Arial" w:cs="Arial"/>
                <w:szCs w:val="24"/>
                <w:u w:val="double"/>
              </w:rPr>
            </w:pPr>
            <w:r w:rsidRPr="0075161F">
              <w:rPr>
                <w:rFonts w:ascii="Arial" w:hAnsi="Arial" w:cs="Arial"/>
                <w:szCs w:val="24"/>
                <w:u w:val="double"/>
              </w:rPr>
              <w:t>$</w:t>
            </w:r>
            <w:r w:rsidR="0075161F">
              <w:rPr>
                <w:rFonts w:ascii="Arial" w:hAnsi="Arial" w:cs="Arial"/>
                <w:szCs w:val="24"/>
                <w:u w:val="double"/>
              </w:rPr>
              <w:t xml:space="preserve">  </w:t>
            </w:r>
            <w:r w:rsidRPr="0075161F">
              <w:rPr>
                <w:rFonts w:ascii="Arial" w:hAnsi="Arial" w:cs="Arial"/>
                <w:szCs w:val="24"/>
                <w:u w:val="double"/>
              </w:rPr>
              <w:t>(4,007,748)</w:t>
            </w:r>
          </w:p>
        </w:tc>
      </w:tr>
    </w:tbl>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6E166E" w:rsidRDefault="00F81C7D" w:rsidP="00F81C7D">
      <w:pPr>
        <w:tabs>
          <w:tab w:val="center" w:pos="4680"/>
        </w:tabs>
        <w:suppressAutoHyphens/>
        <w:rPr>
          <w:rFonts w:ascii="Arial" w:hAnsi="Arial" w:cs="Arial"/>
          <w:szCs w:val="24"/>
        </w:rPr>
      </w:pPr>
      <w:r w:rsidRPr="00B366C5">
        <w:rPr>
          <w:rFonts w:ascii="Arial" w:hAnsi="Arial" w:cs="Arial"/>
          <w:szCs w:val="24"/>
        </w:rPr>
        <w:t xml:space="preserve">*As </w:t>
      </w:r>
      <w:r w:rsidR="006E166E">
        <w:rPr>
          <w:rFonts w:ascii="Arial" w:hAnsi="Arial" w:cs="Arial"/>
          <w:szCs w:val="24"/>
        </w:rPr>
        <w:t>reported</w:t>
      </w:r>
      <w:r w:rsidRPr="00B366C5">
        <w:rPr>
          <w:rFonts w:ascii="Arial" w:hAnsi="Arial" w:cs="Arial"/>
          <w:szCs w:val="24"/>
        </w:rPr>
        <w:t xml:space="preserve"> to the Commission </w:t>
      </w:r>
      <w:r w:rsidR="006E166E">
        <w:rPr>
          <w:rFonts w:ascii="Arial" w:hAnsi="Arial" w:cs="Arial"/>
          <w:szCs w:val="24"/>
        </w:rPr>
        <w:t xml:space="preserve">on April 2, 2012 </w:t>
      </w:r>
      <w:r w:rsidRPr="00B366C5">
        <w:rPr>
          <w:rFonts w:ascii="Arial" w:hAnsi="Arial" w:cs="Arial"/>
          <w:szCs w:val="24"/>
        </w:rPr>
        <w:t xml:space="preserve">at Docket No. </w:t>
      </w:r>
      <w:proofErr w:type="gramStart"/>
      <w:r w:rsidR="00392C19" w:rsidRPr="00B366C5">
        <w:rPr>
          <w:rFonts w:ascii="Arial" w:hAnsi="Arial" w:cs="Arial"/>
          <w:szCs w:val="24"/>
        </w:rPr>
        <w:t>M</w:t>
      </w:r>
      <w:r w:rsidR="00A12FE1" w:rsidRPr="00B366C5">
        <w:rPr>
          <w:rFonts w:ascii="Arial" w:hAnsi="Arial" w:cs="Arial"/>
          <w:szCs w:val="24"/>
        </w:rPr>
        <w:t>-2012</w:t>
      </w:r>
      <w:r w:rsidR="00DB75D3" w:rsidRPr="00B366C5">
        <w:rPr>
          <w:rFonts w:ascii="Arial" w:hAnsi="Arial" w:cs="Arial"/>
          <w:szCs w:val="24"/>
        </w:rPr>
        <w:t>-</w:t>
      </w:r>
      <w:r w:rsidR="00A12FE1" w:rsidRPr="00B366C5">
        <w:rPr>
          <w:rFonts w:ascii="Arial" w:hAnsi="Arial" w:cs="Arial"/>
          <w:szCs w:val="24"/>
        </w:rPr>
        <w:t>229</w:t>
      </w:r>
      <w:r w:rsidR="000D6E2C" w:rsidRPr="00B366C5">
        <w:rPr>
          <w:rFonts w:ascii="Arial" w:hAnsi="Arial" w:cs="Arial"/>
          <w:szCs w:val="24"/>
        </w:rPr>
        <w:t>7</w:t>
      </w:r>
      <w:r w:rsidR="00A12FE1" w:rsidRPr="00B366C5">
        <w:rPr>
          <w:rFonts w:ascii="Arial" w:hAnsi="Arial" w:cs="Arial"/>
          <w:szCs w:val="24"/>
        </w:rPr>
        <w:t>870</w:t>
      </w:r>
      <w:r w:rsidR="00810ADC">
        <w:rPr>
          <w:rFonts w:ascii="Arial" w:hAnsi="Arial" w:cs="Arial"/>
          <w:szCs w:val="24"/>
        </w:rPr>
        <w:t>.</w:t>
      </w:r>
      <w:proofErr w:type="gramEnd"/>
      <w:r w:rsidR="00810ADC">
        <w:rPr>
          <w:rFonts w:ascii="Arial" w:hAnsi="Arial" w:cs="Arial"/>
          <w:szCs w:val="24"/>
        </w:rPr>
        <w:t xml:space="preserve"> </w:t>
      </w:r>
      <w:r w:rsidR="00D10086">
        <w:rPr>
          <w:rFonts w:ascii="Arial" w:hAnsi="Arial" w:cs="Arial"/>
          <w:szCs w:val="24"/>
        </w:rPr>
        <w:t xml:space="preserve"> </w:t>
      </w:r>
    </w:p>
    <w:p w:rsidR="006E166E" w:rsidRDefault="006E166E" w:rsidP="00F81C7D">
      <w:pPr>
        <w:tabs>
          <w:tab w:val="center" w:pos="4680"/>
        </w:tabs>
        <w:suppressAutoHyphens/>
        <w:rPr>
          <w:rFonts w:ascii="Arial" w:hAnsi="Arial" w:cs="Arial"/>
          <w:szCs w:val="24"/>
        </w:rPr>
      </w:pPr>
      <w:r>
        <w:rPr>
          <w:rFonts w:ascii="Arial" w:hAnsi="Arial" w:cs="Arial"/>
          <w:szCs w:val="24"/>
        </w:rPr>
        <w:t xml:space="preserve"> </w:t>
      </w:r>
    </w:p>
    <w:p w:rsidR="001A3A85" w:rsidRDefault="006E166E" w:rsidP="003B6886">
      <w:pPr>
        <w:tabs>
          <w:tab w:val="center" w:pos="4680"/>
        </w:tabs>
        <w:suppressAutoHyphens/>
        <w:rPr>
          <w:rFonts w:ascii="Arial" w:hAnsi="Arial" w:cs="Arial"/>
          <w:szCs w:val="24"/>
        </w:rPr>
      </w:pPr>
      <w:r>
        <w:rPr>
          <w:rFonts w:ascii="Arial" w:hAnsi="Arial" w:cs="Arial"/>
          <w:szCs w:val="24"/>
        </w:rPr>
        <w:t xml:space="preserve"> </w:t>
      </w:r>
      <w:r w:rsidR="00F81C7D" w:rsidRPr="00B366C5">
        <w:rPr>
          <w:rFonts w:ascii="Arial" w:hAnsi="Arial" w:cs="Arial"/>
          <w:szCs w:val="24"/>
        </w:rPr>
        <w:t>No</w:t>
      </w:r>
      <w:r w:rsidR="00810ADC">
        <w:rPr>
          <w:rFonts w:ascii="Arial" w:hAnsi="Arial" w:cs="Arial"/>
          <w:szCs w:val="24"/>
        </w:rPr>
        <w:t>t</w:t>
      </w:r>
      <w:r w:rsidR="00F81C7D" w:rsidRPr="00B366C5">
        <w:rPr>
          <w:rFonts w:ascii="Arial" w:hAnsi="Arial" w:cs="Arial"/>
          <w:szCs w:val="24"/>
        </w:rPr>
        <w:t>es to the Financial Statement</w:t>
      </w:r>
      <w:r w:rsidR="006D095B">
        <w:rPr>
          <w:rFonts w:ascii="Arial" w:hAnsi="Arial" w:cs="Arial"/>
          <w:szCs w:val="24"/>
        </w:rPr>
        <w:t>s</w:t>
      </w:r>
      <w:r w:rsidR="00F81C7D" w:rsidRPr="00B366C5">
        <w:rPr>
          <w:rFonts w:ascii="Arial" w:hAnsi="Arial" w:cs="Arial"/>
          <w:szCs w:val="24"/>
        </w:rPr>
        <w:t xml:space="preserve"> are an integral part of this report.</w:t>
      </w:r>
    </w:p>
    <w:p w:rsidR="001A3A85" w:rsidRDefault="001A3A85" w:rsidP="001A3A85">
      <w:r>
        <w:br w:type="page"/>
      </w:r>
    </w:p>
    <w:tbl>
      <w:tblPr>
        <w:tblW w:w="8730" w:type="dxa"/>
        <w:jc w:val="center"/>
        <w:tblInd w:w="-202" w:type="dxa"/>
        <w:tblLook w:val="0000" w:firstRow="0" w:lastRow="0" w:firstColumn="0" w:lastColumn="0" w:noHBand="0" w:noVBand="0"/>
      </w:tblPr>
      <w:tblGrid>
        <w:gridCol w:w="8730"/>
      </w:tblGrid>
      <w:tr w:rsidR="00A12FE1" w:rsidRPr="00B366C5" w:rsidTr="004006B6">
        <w:trPr>
          <w:trHeight w:val="277"/>
          <w:jc w:val="center"/>
        </w:trPr>
        <w:tc>
          <w:tcPr>
            <w:tcW w:w="8730" w:type="dxa"/>
            <w:tcBorders>
              <w:top w:val="nil"/>
              <w:left w:val="nil"/>
              <w:bottom w:val="nil"/>
              <w:right w:val="nil"/>
            </w:tcBorders>
            <w:shd w:val="clear" w:color="auto" w:fill="auto"/>
            <w:noWrap/>
            <w:vAlign w:val="bottom"/>
          </w:tcPr>
          <w:p w:rsidR="00A12FE1" w:rsidRPr="004E4262" w:rsidRDefault="00A12FE1" w:rsidP="004006B6">
            <w:pPr>
              <w:overflowPunct/>
              <w:autoSpaceDE/>
              <w:autoSpaceDN/>
              <w:adjustRightInd/>
              <w:jc w:val="center"/>
              <w:textAlignment w:val="auto"/>
              <w:rPr>
                <w:rFonts w:ascii="Arial" w:hAnsi="Arial" w:cs="Arial"/>
                <w:b/>
                <w:sz w:val="26"/>
                <w:szCs w:val="24"/>
              </w:rPr>
            </w:pPr>
            <w:r w:rsidRPr="004E4262">
              <w:rPr>
                <w:rFonts w:ascii="Arial" w:hAnsi="Arial" w:cs="Arial"/>
                <w:szCs w:val="24"/>
              </w:rPr>
              <w:lastRenderedPageBreak/>
              <w:br w:type="page"/>
            </w:r>
            <w:r w:rsidRPr="004E4262">
              <w:rPr>
                <w:rFonts w:ascii="Arial" w:hAnsi="Arial" w:cs="Arial"/>
                <w:b/>
                <w:sz w:val="26"/>
                <w:szCs w:val="24"/>
              </w:rPr>
              <w:t>PECO ENERGY COMPANY</w:t>
            </w:r>
          </w:p>
        </w:tc>
      </w:tr>
      <w:tr w:rsidR="00A12FE1" w:rsidRPr="00B366C5" w:rsidTr="004006B6">
        <w:trPr>
          <w:trHeight w:val="277"/>
          <w:jc w:val="center"/>
        </w:trPr>
        <w:tc>
          <w:tcPr>
            <w:tcW w:w="8730" w:type="dxa"/>
            <w:tcBorders>
              <w:top w:val="nil"/>
              <w:left w:val="nil"/>
              <w:bottom w:val="nil"/>
              <w:right w:val="nil"/>
            </w:tcBorders>
            <w:shd w:val="clear" w:color="auto" w:fill="auto"/>
            <w:noWrap/>
            <w:vAlign w:val="bottom"/>
          </w:tcPr>
          <w:p w:rsidR="006D095B" w:rsidRDefault="006D095B" w:rsidP="004006B6">
            <w:pPr>
              <w:overflowPunct/>
              <w:autoSpaceDE/>
              <w:autoSpaceDN/>
              <w:adjustRightInd/>
              <w:jc w:val="center"/>
              <w:textAlignment w:val="auto"/>
              <w:rPr>
                <w:rFonts w:ascii="Arial" w:hAnsi="Arial" w:cs="Arial"/>
                <w:b/>
                <w:sz w:val="26"/>
                <w:szCs w:val="26"/>
              </w:rPr>
            </w:pPr>
          </w:p>
          <w:p w:rsidR="00A12FE1" w:rsidRPr="006D095B" w:rsidRDefault="006D095B" w:rsidP="004006B6">
            <w:pPr>
              <w:overflowPunct/>
              <w:autoSpaceDE/>
              <w:autoSpaceDN/>
              <w:adjustRightInd/>
              <w:jc w:val="center"/>
              <w:textAlignment w:val="auto"/>
              <w:rPr>
                <w:rFonts w:ascii="Arial" w:hAnsi="Arial" w:cs="Arial"/>
                <w:b/>
                <w:sz w:val="26"/>
                <w:szCs w:val="26"/>
              </w:rPr>
            </w:pPr>
            <w:r w:rsidRPr="006D095B">
              <w:rPr>
                <w:rFonts w:ascii="Arial" w:hAnsi="Arial" w:cs="Arial"/>
                <w:b/>
                <w:sz w:val="26"/>
                <w:szCs w:val="26"/>
              </w:rPr>
              <w:t>Condensed (Note 1)</w:t>
            </w:r>
          </w:p>
          <w:p w:rsidR="006D095B" w:rsidRDefault="00287A12" w:rsidP="006D095B">
            <w:pPr>
              <w:overflowPunct/>
              <w:autoSpaceDE/>
              <w:autoSpaceDN/>
              <w:adjustRightInd/>
              <w:jc w:val="center"/>
              <w:textAlignment w:val="auto"/>
              <w:rPr>
                <w:rFonts w:ascii="Arial" w:hAnsi="Arial" w:cs="Arial"/>
                <w:b/>
                <w:sz w:val="26"/>
                <w:szCs w:val="26"/>
              </w:rPr>
            </w:pPr>
            <w:r>
              <w:rPr>
                <w:rFonts w:ascii="Arial" w:hAnsi="Arial" w:cs="Arial"/>
                <w:b/>
                <w:sz w:val="26"/>
                <w:szCs w:val="26"/>
              </w:rPr>
              <w:t xml:space="preserve">Amortization </w:t>
            </w:r>
            <w:r w:rsidR="006D095B" w:rsidRPr="006D095B">
              <w:rPr>
                <w:rFonts w:ascii="Arial" w:hAnsi="Arial" w:cs="Arial"/>
                <w:b/>
                <w:sz w:val="26"/>
                <w:szCs w:val="26"/>
              </w:rPr>
              <w:t>Statement Of Rate Cap Costs (RCC)</w:t>
            </w:r>
          </w:p>
          <w:p w:rsidR="00A12FE1" w:rsidRPr="004E4262" w:rsidRDefault="006D095B" w:rsidP="006D095B">
            <w:pPr>
              <w:overflowPunct/>
              <w:autoSpaceDE/>
              <w:autoSpaceDN/>
              <w:adjustRightInd/>
              <w:jc w:val="center"/>
              <w:textAlignment w:val="auto"/>
              <w:rPr>
                <w:rFonts w:ascii="Arial" w:hAnsi="Arial" w:cs="Arial"/>
                <w:b/>
                <w:szCs w:val="24"/>
              </w:rPr>
            </w:pPr>
            <w:r w:rsidRPr="00F51456">
              <w:rPr>
                <w:rFonts w:ascii="Arial" w:hAnsi="Arial" w:cs="Arial"/>
                <w:b/>
                <w:sz w:val="26"/>
                <w:szCs w:val="26"/>
              </w:rPr>
              <w:t xml:space="preserve">For The </w:t>
            </w:r>
            <w:r>
              <w:rPr>
                <w:rFonts w:ascii="Arial" w:hAnsi="Arial" w:cs="Arial"/>
                <w:b/>
                <w:sz w:val="26"/>
                <w:szCs w:val="26"/>
              </w:rPr>
              <w:t>Twelve</w:t>
            </w:r>
            <w:r w:rsidRPr="00F51456">
              <w:rPr>
                <w:rFonts w:ascii="Arial" w:hAnsi="Arial" w:cs="Arial"/>
                <w:b/>
                <w:sz w:val="26"/>
                <w:szCs w:val="26"/>
              </w:rPr>
              <w:t xml:space="preserve"> Months Ended</w:t>
            </w:r>
            <w:r>
              <w:rPr>
                <w:rFonts w:ascii="Arial" w:hAnsi="Arial" w:cs="Arial"/>
                <w:b/>
                <w:sz w:val="26"/>
                <w:szCs w:val="26"/>
              </w:rPr>
              <w:t xml:space="preserve"> December 31, 2011</w:t>
            </w:r>
            <w:r w:rsidR="000254D4">
              <w:rPr>
                <w:rFonts w:ascii="Arial" w:hAnsi="Arial" w:cs="Arial"/>
                <w:b/>
                <w:szCs w:val="24"/>
              </w:rPr>
              <w:t xml:space="preserve"> </w:t>
            </w:r>
            <w:r w:rsidR="000254D4" w:rsidRPr="000254D4">
              <w:rPr>
                <w:rFonts w:ascii="Arial" w:hAnsi="Arial" w:cs="Arial"/>
                <w:b/>
                <w:sz w:val="26"/>
                <w:szCs w:val="26"/>
              </w:rPr>
              <w:t>(Note 5)</w:t>
            </w:r>
            <w:r w:rsidR="00F45A69">
              <w:rPr>
                <w:rFonts w:ascii="Arial" w:hAnsi="Arial" w:cs="Arial"/>
                <w:b/>
                <w:sz w:val="26"/>
                <w:szCs w:val="26"/>
              </w:rPr>
              <w:t>*</w:t>
            </w:r>
          </w:p>
        </w:tc>
      </w:tr>
    </w:tbl>
    <w:p w:rsidR="00A12FE1" w:rsidRPr="00B366C5" w:rsidRDefault="00A12FE1">
      <w:pPr>
        <w:overflowPunct/>
        <w:autoSpaceDE/>
        <w:autoSpaceDN/>
        <w:adjustRightInd/>
        <w:spacing w:after="200" w:line="276" w:lineRule="auto"/>
        <w:textAlignment w:val="auto"/>
        <w:rPr>
          <w:rFonts w:ascii="Times New Roman" w:hAnsi="Times New Roman"/>
          <w:szCs w:val="24"/>
        </w:rPr>
      </w:pPr>
    </w:p>
    <w:p w:rsidR="00A12FE1" w:rsidRPr="00B366C5" w:rsidRDefault="00A12FE1">
      <w:pPr>
        <w:overflowPunct/>
        <w:autoSpaceDE/>
        <w:autoSpaceDN/>
        <w:adjustRightInd/>
        <w:spacing w:after="200" w:line="276" w:lineRule="auto"/>
        <w:textAlignment w:val="auto"/>
        <w:rPr>
          <w:rFonts w:ascii="Times New Roman" w:hAnsi="Times New Roman"/>
          <w:szCs w:val="24"/>
        </w:rPr>
      </w:pPr>
    </w:p>
    <w:tbl>
      <w:tblPr>
        <w:tblW w:w="0" w:type="auto"/>
        <w:jc w:val="center"/>
        <w:tblInd w:w="-3633" w:type="dxa"/>
        <w:tblLayout w:type="fixed"/>
        <w:tblLook w:val="01E0" w:firstRow="1" w:lastRow="1" w:firstColumn="1" w:lastColumn="1" w:noHBand="0" w:noVBand="0"/>
      </w:tblPr>
      <w:tblGrid>
        <w:gridCol w:w="1762"/>
        <w:gridCol w:w="270"/>
        <w:gridCol w:w="1710"/>
        <w:gridCol w:w="270"/>
        <w:gridCol w:w="1448"/>
        <w:gridCol w:w="236"/>
        <w:gridCol w:w="1736"/>
        <w:gridCol w:w="270"/>
        <w:gridCol w:w="1942"/>
      </w:tblGrid>
      <w:tr w:rsidR="00C136B6" w:rsidRPr="00B366C5" w:rsidTr="00C136B6">
        <w:trPr>
          <w:jc w:val="center"/>
        </w:trPr>
        <w:tc>
          <w:tcPr>
            <w:tcW w:w="1762" w:type="dxa"/>
            <w:tcBorders>
              <w:bottom w:val="single" w:sz="4" w:space="0" w:color="auto"/>
            </w:tcBorders>
          </w:tcPr>
          <w:p w:rsidR="00F02767" w:rsidRPr="00B366C5" w:rsidRDefault="004B2A8C" w:rsidP="004B2A8C">
            <w:pPr>
              <w:jc w:val="center"/>
              <w:rPr>
                <w:rFonts w:ascii="Arial" w:hAnsi="Arial" w:cs="Arial"/>
                <w:b/>
                <w:szCs w:val="22"/>
              </w:rPr>
            </w:pPr>
            <w:r w:rsidRPr="0075161F">
              <w:rPr>
                <w:rFonts w:ascii="Arial" w:hAnsi="Arial" w:cs="Arial"/>
                <w:szCs w:val="24"/>
              </w:rPr>
              <w:t>Procurement Class</w:t>
            </w:r>
          </w:p>
        </w:tc>
        <w:tc>
          <w:tcPr>
            <w:tcW w:w="270" w:type="dxa"/>
          </w:tcPr>
          <w:p w:rsidR="00F02767" w:rsidRPr="00B366C5" w:rsidRDefault="00F02767" w:rsidP="004006B6">
            <w:pPr>
              <w:jc w:val="center"/>
              <w:rPr>
                <w:rFonts w:ascii="Arial" w:hAnsi="Arial" w:cs="Arial"/>
                <w:szCs w:val="22"/>
              </w:rPr>
            </w:pPr>
          </w:p>
        </w:tc>
        <w:tc>
          <w:tcPr>
            <w:tcW w:w="1710" w:type="dxa"/>
            <w:tcBorders>
              <w:bottom w:val="single" w:sz="4" w:space="0" w:color="auto"/>
            </w:tcBorders>
            <w:vAlign w:val="bottom"/>
          </w:tcPr>
          <w:p w:rsidR="00F02767" w:rsidRPr="00BE4E0B" w:rsidRDefault="00BE4E0B" w:rsidP="00BE4E0B">
            <w:pPr>
              <w:jc w:val="center"/>
              <w:rPr>
                <w:rFonts w:ascii="Arial" w:hAnsi="Arial" w:cs="Arial"/>
                <w:szCs w:val="24"/>
              </w:rPr>
            </w:pPr>
            <w:r w:rsidRPr="00BE4E0B">
              <w:rPr>
                <w:rFonts w:ascii="Arial" w:hAnsi="Arial" w:cs="Arial"/>
                <w:szCs w:val="24"/>
              </w:rPr>
              <w:t>RCC Balance @ 1/1/11</w:t>
            </w:r>
          </w:p>
        </w:tc>
        <w:tc>
          <w:tcPr>
            <w:tcW w:w="270" w:type="dxa"/>
            <w:vAlign w:val="center"/>
          </w:tcPr>
          <w:p w:rsidR="00F02767" w:rsidRPr="004B2A8C" w:rsidRDefault="00F02767" w:rsidP="00952F78">
            <w:pPr>
              <w:jc w:val="center"/>
              <w:rPr>
                <w:rFonts w:ascii="Arial" w:hAnsi="Arial" w:cs="Arial"/>
                <w:szCs w:val="22"/>
              </w:rPr>
            </w:pPr>
          </w:p>
        </w:tc>
        <w:tc>
          <w:tcPr>
            <w:tcW w:w="1448" w:type="dxa"/>
            <w:tcBorders>
              <w:bottom w:val="single" w:sz="4" w:space="0" w:color="auto"/>
            </w:tcBorders>
            <w:vAlign w:val="center"/>
          </w:tcPr>
          <w:p w:rsidR="00F02767" w:rsidRDefault="00BE4E0B" w:rsidP="00952F78">
            <w:pPr>
              <w:jc w:val="center"/>
              <w:rPr>
                <w:rFonts w:ascii="Arial" w:hAnsi="Arial" w:cs="Arial"/>
                <w:szCs w:val="24"/>
              </w:rPr>
            </w:pPr>
            <w:r>
              <w:rPr>
                <w:rFonts w:ascii="Arial" w:hAnsi="Arial" w:cs="Arial"/>
                <w:szCs w:val="24"/>
              </w:rPr>
              <w:t>Interest</w:t>
            </w:r>
          </w:p>
          <w:p w:rsidR="00BE4E0B" w:rsidRPr="00BE4E0B" w:rsidRDefault="00BE4E0B" w:rsidP="00952F78">
            <w:pPr>
              <w:jc w:val="center"/>
              <w:rPr>
                <w:rFonts w:ascii="Arial" w:hAnsi="Arial" w:cs="Arial"/>
                <w:szCs w:val="24"/>
              </w:rPr>
            </w:pPr>
            <w:r>
              <w:rPr>
                <w:rFonts w:ascii="Arial" w:hAnsi="Arial" w:cs="Arial"/>
                <w:szCs w:val="24"/>
              </w:rPr>
              <w:t>Recouped</w:t>
            </w:r>
          </w:p>
        </w:tc>
        <w:tc>
          <w:tcPr>
            <w:tcW w:w="236" w:type="dxa"/>
            <w:vAlign w:val="center"/>
          </w:tcPr>
          <w:p w:rsidR="00F02767" w:rsidRPr="004B2A8C" w:rsidRDefault="00F02767" w:rsidP="00952F78">
            <w:pPr>
              <w:jc w:val="center"/>
              <w:rPr>
                <w:rFonts w:ascii="Arial" w:hAnsi="Arial" w:cs="Arial"/>
                <w:szCs w:val="22"/>
              </w:rPr>
            </w:pPr>
          </w:p>
        </w:tc>
        <w:tc>
          <w:tcPr>
            <w:tcW w:w="1736" w:type="dxa"/>
            <w:tcBorders>
              <w:bottom w:val="single" w:sz="4" w:space="0" w:color="auto"/>
            </w:tcBorders>
            <w:vAlign w:val="center"/>
          </w:tcPr>
          <w:p w:rsidR="00F02767" w:rsidRPr="00BE4E0B" w:rsidRDefault="00BE4E0B" w:rsidP="00952F78">
            <w:pPr>
              <w:jc w:val="center"/>
              <w:rPr>
                <w:rFonts w:ascii="Arial" w:hAnsi="Arial" w:cs="Arial"/>
                <w:szCs w:val="24"/>
              </w:rPr>
            </w:pPr>
            <w:r w:rsidRPr="00BE4E0B">
              <w:rPr>
                <w:rFonts w:ascii="Arial" w:hAnsi="Arial" w:cs="Arial"/>
                <w:szCs w:val="24"/>
              </w:rPr>
              <w:t>RCC Revenue</w:t>
            </w:r>
          </w:p>
        </w:tc>
        <w:tc>
          <w:tcPr>
            <w:tcW w:w="270" w:type="dxa"/>
            <w:vAlign w:val="center"/>
          </w:tcPr>
          <w:p w:rsidR="00F02767" w:rsidRPr="004B2A8C" w:rsidRDefault="00F02767" w:rsidP="00952F78">
            <w:pPr>
              <w:jc w:val="center"/>
              <w:rPr>
                <w:rFonts w:ascii="Arial" w:hAnsi="Arial" w:cs="Arial"/>
                <w:szCs w:val="22"/>
              </w:rPr>
            </w:pPr>
          </w:p>
        </w:tc>
        <w:tc>
          <w:tcPr>
            <w:tcW w:w="1942" w:type="dxa"/>
            <w:tcBorders>
              <w:bottom w:val="single" w:sz="4" w:space="0" w:color="auto"/>
            </w:tcBorders>
            <w:vAlign w:val="center"/>
          </w:tcPr>
          <w:p w:rsidR="00F02767" w:rsidRPr="00BE4E0B" w:rsidRDefault="00BE4E0B" w:rsidP="00952F78">
            <w:pPr>
              <w:jc w:val="center"/>
              <w:rPr>
                <w:rFonts w:ascii="Arial" w:hAnsi="Arial" w:cs="Arial"/>
                <w:szCs w:val="24"/>
              </w:rPr>
            </w:pPr>
            <w:r>
              <w:rPr>
                <w:rFonts w:ascii="Arial" w:hAnsi="Arial" w:cs="Arial"/>
                <w:szCs w:val="24"/>
              </w:rPr>
              <w:t>RCC Balance @ 12/31/11</w:t>
            </w:r>
          </w:p>
        </w:tc>
      </w:tr>
      <w:tr w:rsidR="00C136B6" w:rsidRPr="00B366C5" w:rsidTr="00C136B6">
        <w:trPr>
          <w:jc w:val="center"/>
        </w:trPr>
        <w:tc>
          <w:tcPr>
            <w:tcW w:w="1762" w:type="dxa"/>
            <w:tcBorders>
              <w:top w:val="single" w:sz="4" w:space="0" w:color="auto"/>
            </w:tcBorders>
          </w:tcPr>
          <w:p w:rsidR="00F02767" w:rsidRPr="00B366C5" w:rsidRDefault="00F02767" w:rsidP="004006B6">
            <w:pPr>
              <w:jc w:val="center"/>
              <w:rPr>
                <w:rFonts w:ascii="Arial" w:hAnsi="Arial" w:cs="Arial"/>
                <w:szCs w:val="22"/>
              </w:rPr>
            </w:pPr>
          </w:p>
        </w:tc>
        <w:tc>
          <w:tcPr>
            <w:tcW w:w="270" w:type="dxa"/>
          </w:tcPr>
          <w:p w:rsidR="00F02767" w:rsidRPr="00B366C5" w:rsidRDefault="00F02767" w:rsidP="004006B6">
            <w:pPr>
              <w:jc w:val="center"/>
              <w:rPr>
                <w:rFonts w:ascii="Arial" w:hAnsi="Arial" w:cs="Arial"/>
                <w:szCs w:val="22"/>
              </w:rPr>
            </w:pPr>
          </w:p>
        </w:tc>
        <w:tc>
          <w:tcPr>
            <w:tcW w:w="1710" w:type="dxa"/>
            <w:tcBorders>
              <w:top w:val="single" w:sz="4" w:space="0" w:color="auto"/>
            </w:tcBorders>
          </w:tcPr>
          <w:p w:rsidR="00F02767" w:rsidRPr="004B2A8C" w:rsidRDefault="00952F78" w:rsidP="004006B6">
            <w:pPr>
              <w:jc w:val="center"/>
              <w:rPr>
                <w:rFonts w:ascii="Arial" w:hAnsi="Arial" w:cs="Arial"/>
                <w:szCs w:val="24"/>
              </w:rPr>
            </w:pPr>
            <w:r w:rsidRPr="004B2A8C">
              <w:rPr>
                <w:rFonts w:ascii="Arial" w:hAnsi="Arial" w:cs="Arial"/>
                <w:szCs w:val="24"/>
              </w:rPr>
              <w:t>(</w:t>
            </w:r>
            <w:r w:rsidR="00156474" w:rsidRPr="004B2A8C">
              <w:rPr>
                <w:rFonts w:ascii="Arial" w:hAnsi="Arial" w:cs="Arial"/>
                <w:szCs w:val="24"/>
              </w:rPr>
              <w:t>1</w:t>
            </w:r>
            <w:r w:rsidRPr="004B2A8C">
              <w:rPr>
                <w:rFonts w:ascii="Arial" w:hAnsi="Arial" w:cs="Arial"/>
                <w:szCs w:val="24"/>
              </w:rPr>
              <w:t>)</w:t>
            </w:r>
          </w:p>
        </w:tc>
        <w:tc>
          <w:tcPr>
            <w:tcW w:w="270" w:type="dxa"/>
          </w:tcPr>
          <w:p w:rsidR="00F02767" w:rsidRPr="00B366C5" w:rsidRDefault="00F02767" w:rsidP="004006B6">
            <w:pPr>
              <w:jc w:val="center"/>
              <w:rPr>
                <w:rFonts w:ascii="Arial" w:hAnsi="Arial" w:cs="Arial"/>
                <w:szCs w:val="22"/>
              </w:rPr>
            </w:pPr>
          </w:p>
        </w:tc>
        <w:tc>
          <w:tcPr>
            <w:tcW w:w="1448" w:type="dxa"/>
            <w:tcBorders>
              <w:top w:val="single" w:sz="4" w:space="0" w:color="auto"/>
            </w:tcBorders>
          </w:tcPr>
          <w:p w:rsidR="00F02767" w:rsidRPr="004B2A8C" w:rsidRDefault="00952F78" w:rsidP="004006B6">
            <w:pPr>
              <w:jc w:val="center"/>
              <w:rPr>
                <w:rFonts w:ascii="Arial" w:hAnsi="Arial" w:cs="Arial"/>
                <w:szCs w:val="24"/>
              </w:rPr>
            </w:pPr>
            <w:r w:rsidRPr="004B2A8C">
              <w:rPr>
                <w:rFonts w:ascii="Arial" w:hAnsi="Arial" w:cs="Arial"/>
                <w:szCs w:val="24"/>
              </w:rPr>
              <w:t>(</w:t>
            </w:r>
            <w:r w:rsidR="00156474" w:rsidRPr="004B2A8C">
              <w:rPr>
                <w:rFonts w:ascii="Arial" w:hAnsi="Arial" w:cs="Arial"/>
                <w:szCs w:val="24"/>
              </w:rPr>
              <w:t>2</w:t>
            </w:r>
            <w:r w:rsidRPr="004B2A8C">
              <w:rPr>
                <w:rFonts w:ascii="Arial" w:hAnsi="Arial" w:cs="Arial"/>
                <w:szCs w:val="24"/>
              </w:rPr>
              <w:t>)</w:t>
            </w:r>
          </w:p>
        </w:tc>
        <w:tc>
          <w:tcPr>
            <w:tcW w:w="236" w:type="dxa"/>
          </w:tcPr>
          <w:p w:rsidR="00F02767" w:rsidRPr="00B366C5" w:rsidRDefault="00F02767" w:rsidP="004006B6">
            <w:pPr>
              <w:jc w:val="center"/>
              <w:rPr>
                <w:rFonts w:ascii="Arial" w:hAnsi="Arial" w:cs="Arial"/>
                <w:szCs w:val="22"/>
              </w:rPr>
            </w:pPr>
          </w:p>
        </w:tc>
        <w:tc>
          <w:tcPr>
            <w:tcW w:w="1736" w:type="dxa"/>
            <w:tcBorders>
              <w:top w:val="single" w:sz="4" w:space="0" w:color="auto"/>
            </w:tcBorders>
          </w:tcPr>
          <w:p w:rsidR="00F02767" w:rsidRPr="004B2A8C" w:rsidRDefault="00952F78" w:rsidP="004006B6">
            <w:pPr>
              <w:jc w:val="center"/>
              <w:rPr>
                <w:rFonts w:ascii="Arial" w:hAnsi="Arial" w:cs="Arial"/>
                <w:szCs w:val="24"/>
              </w:rPr>
            </w:pPr>
            <w:r w:rsidRPr="004B2A8C">
              <w:rPr>
                <w:rFonts w:ascii="Arial" w:hAnsi="Arial" w:cs="Arial"/>
                <w:szCs w:val="24"/>
              </w:rPr>
              <w:t>(</w:t>
            </w:r>
            <w:r w:rsidR="00156474" w:rsidRPr="004B2A8C">
              <w:rPr>
                <w:rFonts w:ascii="Arial" w:hAnsi="Arial" w:cs="Arial"/>
                <w:szCs w:val="24"/>
              </w:rPr>
              <w:t>3</w:t>
            </w:r>
            <w:r w:rsidRPr="004B2A8C">
              <w:rPr>
                <w:rFonts w:ascii="Arial" w:hAnsi="Arial" w:cs="Arial"/>
                <w:szCs w:val="24"/>
              </w:rPr>
              <w:t>)</w:t>
            </w:r>
          </w:p>
        </w:tc>
        <w:tc>
          <w:tcPr>
            <w:tcW w:w="270" w:type="dxa"/>
          </w:tcPr>
          <w:p w:rsidR="00F02767" w:rsidRPr="00B366C5" w:rsidRDefault="00F02767" w:rsidP="004006B6">
            <w:pPr>
              <w:jc w:val="center"/>
              <w:rPr>
                <w:rFonts w:ascii="Arial" w:hAnsi="Arial" w:cs="Arial"/>
                <w:szCs w:val="22"/>
              </w:rPr>
            </w:pPr>
          </w:p>
        </w:tc>
        <w:tc>
          <w:tcPr>
            <w:tcW w:w="1942" w:type="dxa"/>
            <w:tcBorders>
              <w:top w:val="single" w:sz="4" w:space="0" w:color="auto"/>
            </w:tcBorders>
          </w:tcPr>
          <w:p w:rsidR="00F02767" w:rsidRPr="004B2A8C" w:rsidRDefault="00952F78" w:rsidP="004006B6">
            <w:pPr>
              <w:jc w:val="center"/>
              <w:rPr>
                <w:rFonts w:ascii="Arial" w:hAnsi="Arial" w:cs="Arial"/>
                <w:szCs w:val="24"/>
              </w:rPr>
            </w:pPr>
            <w:r w:rsidRPr="004B2A8C">
              <w:rPr>
                <w:rFonts w:ascii="Arial" w:hAnsi="Arial" w:cs="Arial"/>
                <w:szCs w:val="24"/>
              </w:rPr>
              <w:t>(</w:t>
            </w:r>
            <w:r w:rsidR="00156474" w:rsidRPr="004B2A8C">
              <w:rPr>
                <w:rFonts w:ascii="Arial" w:hAnsi="Arial" w:cs="Arial"/>
                <w:szCs w:val="24"/>
              </w:rPr>
              <w:t>4</w:t>
            </w:r>
            <w:r w:rsidRPr="004B2A8C">
              <w:rPr>
                <w:rFonts w:ascii="Arial" w:hAnsi="Arial" w:cs="Arial"/>
                <w:szCs w:val="24"/>
              </w:rPr>
              <w:t>)</w:t>
            </w:r>
            <w:r w:rsidR="00156474" w:rsidRPr="004B2A8C">
              <w:rPr>
                <w:rFonts w:ascii="Arial" w:hAnsi="Arial" w:cs="Arial"/>
                <w:szCs w:val="24"/>
              </w:rPr>
              <w:t>=</w:t>
            </w:r>
            <w:r w:rsidRPr="004B2A8C">
              <w:rPr>
                <w:rFonts w:ascii="Arial" w:hAnsi="Arial" w:cs="Arial"/>
                <w:szCs w:val="24"/>
              </w:rPr>
              <w:t>(</w:t>
            </w:r>
            <w:r w:rsidR="00156474" w:rsidRPr="004B2A8C">
              <w:rPr>
                <w:rFonts w:ascii="Arial" w:hAnsi="Arial" w:cs="Arial"/>
                <w:szCs w:val="24"/>
              </w:rPr>
              <w:t>1</w:t>
            </w:r>
            <w:r w:rsidRPr="004B2A8C">
              <w:rPr>
                <w:rFonts w:ascii="Arial" w:hAnsi="Arial" w:cs="Arial"/>
                <w:szCs w:val="24"/>
              </w:rPr>
              <w:t>)</w:t>
            </w:r>
            <w:r w:rsidR="00156474" w:rsidRPr="004B2A8C">
              <w:rPr>
                <w:rFonts w:ascii="Arial" w:hAnsi="Arial" w:cs="Arial"/>
                <w:szCs w:val="24"/>
              </w:rPr>
              <w:t>+</w:t>
            </w:r>
            <w:r w:rsidRPr="004B2A8C">
              <w:rPr>
                <w:rFonts w:ascii="Arial" w:hAnsi="Arial" w:cs="Arial"/>
                <w:szCs w:val="24"/>
              </w:rPr>
              <w:t>(</w:t>
            </w:r>
            <w:r w:rsidR="00156474" w:rsidRPr="004B2A8C">
              <w:rPr>
                <w:rFonts w:ascii="Arial" w:hAnsi="Arial" w:cs="Arial"/>
                <w:szCs w:val="24"/>
              </w:rPr>
              <w:t>2</w:t>
            </w:r>
            <w:r w:rsidRPr="004B2A8C">
              <w:rPr>
                <w:rFonts w:ascii="Arial" w:hAnsi="Arial" w:cs="Arial"/>
                <w:szCs w:val="24"/>
              </w:rPr>
              <w:t>)</w:t>
            </w:r>
            <w:r w:rsidR="00156474" w:rsidRPr="004B2A8C">
              <w:rPr>
                <w:rFonts w:ascii="Arial" w:hAnsi="Arial" w:cs="Arial"/>
                <w:szCs w:val="24"/>
              </w:rPr>
              <w:t>-</w:t>
            </w:r>
            <w:r w:rsidRPr="004B2A8C">
              <w:rPr>
                <w:rFonts w:ascii="Arial" w:hAnsi="Arial" w:cs="Arial"/>
                <w:szCs w:val="24"/>
              </w:rPr>
              <w:t>(</w:t>
            </w:r>
            <w:r w:rsidR="00156474" w:rsidRPr="004B2A8C">
              <w:rPr>
                <w:rFonts w:ascii="Arial" w:hAnsi="Arial" w:cs="Arial"/>
                <w:szCs w:val="24"/>
              </w:rPr>
              <w:t>3</w:t>
            </w:r>
            <w:r w:rsidRPr="004B2A8C">
              <w:rPr>
                <w:rFonts w:ascii="Arial" w:hAnsi="Arial" w:cs="Arial"/>
                <w:szCs w:val="24"/>
              </w:rPr>
              <w:t>)</w:t>
            </w:r>
          </w:p>
        </w:tc>
      </w:tr>
      <w:tr w:rsidR="004B2A8C" w:rsidRPr="00B366C5" w:rsidTr="00C136B6">
        <w:trPr>
          <w:jc w:val="center"/>
        </w:trPr>
        <w:tc>
          <w:tcPr>
            <w:tcW w:w="1762" w:type="dxa"/>
          </w:tcPr>
          <w:p w:rsidR="004B2A8C" w:rsidRPr="004B2A8C" w:rsidRDefault="004B2A8C" w:rsidP="004006B6">
            <w:pPr>
              <w:jc w:val="center"/>
              <w:rPr>
                <w:rFonts w:ascii="Arial" w:hAnsi="Arial" w:cs="Arial"/>
                <w:szCs w:val="24"/>
              </w:rPr>
            </w:pPr>
          </w:p>
        </w:tc>
        <w:tc>
          <w:tcPr>
            <w:tcW w:w="270" w:type="dxa"/>
          </w:tcPr>
          <w:p w:rsidR="004B2A8C" w:rsidRPr="00B366C5" w:rsidRDefault="004B2A8C" w:rsidP="004006B6">
            <w:pPr>
              <w:jc w:val="center"/>
              <w:rPr>
                <w:rFonts w:ascii="Arial" w:hAnsi="Arial" w:cs="Arial"/>
                <w:szCs w:val="22"/>
              </w:rPr>
            </w:pPr>
          </w:p>
        </w:tc>
        <w:tc>
          <w:tcPr>
            <w:tcW w:w="1710" w:type="dxa"/>
          </w:tcPr>
          <w:p w:rsidR="004B2A8C" w:rsidRPr="007B37B6" w:rsidRDefault="004B2A8C" w:rsidP="004006B6">
            <w:pPr>
              <w:jc w:val="center"/>
              <w:rPr>
                <w:rFonts w:ascii="Arial" w:hAnsi="Arial" w:cs="Arial"/>
                <w:szCs w:val="24"/>
              </w:rPr>
            </w:pPr>
            <w:r w:rsidRPr="007B37B6">
              <w:rPr>
                <w:rFonts w:ascii="Arial" w:hAnsi="Arial" w:cs="Arial"/>
                <w:szCs w:val="24"/>
              </w:rPr>
              <w:t>(Note 6)</w:t>
            </w:r>
          </w:p>
        </w:tc>
        <w:tc>
          <w:tcPr>
            <w:tcW w:w="270" w:type="dxa"/>
          </w:tcPr>
          <w:p w:rsidR="004B2A8C" w:rsidRPr="007B37B6" w:rsidRDefault="004B2A8C" w:rsidP="004006B6">
            <w:pPr>
              <w:jc w:val="center"/>
              <w:rPr>
                <w:rFonts w:ascii="Arial" w:hAnsi="Arial" w:cs="Arial"/>
                <w:szCs w:val="22"/>
              </w:rPr>
            </w:pPr>
          </w:p>
        </w:tc>
        <w:tc>
          <w:tcPr>
            <w:tcW w:w="1448" w:type="dxa"/>
          </w:tcPr>
          <w:p w:rsidR="004B2A8C" w:rsidRPr="007B37B6" w:rsidRDefault="004B2A8C" w:rsidP="004006B6">
            <w:pPr>
              <w:jc w:val="center"/>
              <w:rPr>
                <w:rFonts w:ascii="Arial" w:hAnsi="Arial" w:cs="Arial"/>
                <w:szCs w:val="22"/>
              </w:rPr>
            </w:pPr>
            <w:r w:rsidRPr="007B37B6">
              <w:rPr>
                <w:rFonts w:ascii="Arial" w:hAnsi="Arial" w:cs="Arial"/>
                <w:szCs w:val="24"/>
              </w:rPr>
              <w:t>(Note 7)</w:t>
            </w:r>
          </w:p>
        </w:tc>
        <w:tc>
          <w:tcPr>
            <w:tcW w:w="236" w:type="dxa"/>
          </w:tcPr>
          <w:p w:rsidR="004B2A8C" w:rsidRPr="007B37B6" w:rsidRDefault="004B2A8C" w:rsidP="004006B6">
            <w:pPr>
              <w:jc w:val="center"/>
              <w:rPr>
                <w:rFonts w:ascii="Arial" w:hAnsi="Arial" w:cs="Arial"/>
                <w:szCs w:val="22"/>
              </w:rPr>
            </w:pPr>
          </w:p>
        </w:tc>
        <w:tc>
          <w:tcPr>
            <w:tcW w:w="1736" w:type="dxa"/>
          </w:tcPr>
          <w:p w:rsidR="004B2A8C" w:rsidRPr="007B37B6" w:rsidRDefault="004B2A8C" w:rsidP="004006B6">
            <w:pPr>
              <w:jc w:val="center"/>
              <w:rPr>
                <w:rFonts w:ascii="Arial" w:hAnsi="Arial" w:cs="Arial"/>
                <w:szCs w:val="22"/>
              </w:rPr>
            </w:pPr>
            <w:r w:rsidRPr="007B37B6">
              <w:rPr>
                <w:rFonts w:ascii="Arial" w:hAnsi="Arial" w:cs="Arial"/>
                <w:szCs w:val="24"/>
              </w:rPr>
              <w:t>(Note 8)</w:t>
            </w:r>
          </w:p>
        </w:tc>
        <w:tc>
          <w:tcPr>
            <w:tcW w:w="270" w:type="dxa"/>
          </w:tcPr>
          <w:p w:rsidR="004B2A8C" w:rsidRPr="007B37B6" w:rsidRDefault="004B2A8C" w:rsidP="004006B6">
            <w:pPr>
              <w:jc w:val="center"/>
              <w:rPr>
                <w:rFonts w:ascii="Arial" w:hAnsi="Arial" w:cs="Arial"/>
                <w:szCs w:val="22"/>
              </w:rPr>
            </w:pPr>
          </w:p>
        </w:tc>
        <w:tc>
          <w:tcPr>
            <w:tcW w:w="1942" w:type="dxa"/>
          </w:tcPr>
          <w:p w:rsidR="004B2A8C" w:rsidRPr="007B37B6" w:rsidRDefault="004B2A8C" w:rsidP="004006B6">
            <w:pPr>
              <w:jc w:val="center"/>
              <w:rPr>
                <w:rFonts w:ascii="Arial" w:hAnsi="Arial" w:cs="Arial"/>
                <w:szCs w:val="22"/>
              </w:rPr>
            </w:pPr>
            <w:r w:rsidRPr="007B37B6">
              <w:rPr>
                <w:rFonts w:ascii="Arial" w:hAnsi="Arial" w:cs="Arial"/>
                <w:szCs w:val="24"/>
              </w:rPr>
              <w:t>(Note 9)</w:t>
            </w:r>
          </w:p>
        </w:tc>
      </w:tr>
      <w:tr w:rsidR="00156474" w:rsidRPr="00B366C5" w:rsidTr="00C136B6">
        <w:trPr>
          <w:jc w:val="center"/>
        </w:trPr>
        <w:tc>
          <w:tcPr>
            <w:tcW w:w="1762" w:type="dxa"/>
          </w:tcPr>
          <w:p w:rsidR="00156474" w:rsidRPr="004B2A8C" w:rsidRDefault="00156474" w:rsidP="004006B6">
            <w:pPr>
              <w:jc w:val="center"/>
              <w:rPr>
                <w:rFonts w:ascii="Arial" w:hAnsi="Arial" w:cs="Arial"/>
                <w:szCs w:val="24"/>
              </w:rPr>
            </w:pPr>
          </w:p>
        </w:tc>
        <w:tc>
          <w:tcPr>
            <w:tcW w:w="270" w:type="dxa"/>
          </w:tcPr>
          <w:p w:rsidR="00156474" w:rsidRPr="00B366C5" w:rsidRDefault="00156474" w:rsidP="004006B6">
            <w:pPr>
              <w:jc w:val="center"/>
              <w:rPr>
                <w:rFonts w:ascii="Arial" w:hAnsi="Arial" w:cs="Arial"/>
                <w:szCs w:val="22"/>
              </w:rPr>
            </w:pPr>
          </w:p>
        </w:tc>
        <w:tc>
          <w:tcPr>
            <w:tcW w:w="1710" w:type="dxa"/>
          </w:tcPr>
          <w:p w:rsidR="00156474" w:rsidRPr="004B2A8C" w:rsidRDefault="00156474" w:rsidP="004006B6">
            <w:pPr>
              <w:jc w:val="center"/>
              <w:rPr>
                <w:rFonts w:ascii="Arial" w:hAnsi="Arial" w:cs="Arial"/>
                <w:szCs w:val="24"/>
              </w:rPr>
            </w:pPr>
          </w:p>
        </w:tc>
        <w:tc>
          <w:tcPr>
            <w:tcW w:w="270" w:type="dxa"/>
          </w:tcPr>
          <w:p w:rsidR="00156474" w:rsidRPr="00B366C5" w:rsidRDefault="00156474" w:rsidP="004006B6">
            <w:pPr>
              <w:jc w:val="center"/>
              <w:rPr>
                <w:rFonts w:ascii="Arial" w:hAnsi="Arial" w:cs="Arial"/>
                <w:szCs w:val="22"/>
              </w:rPr>
            </w:pPr>
          </w:p>
        </w:tc>
        <w:tc>
          <w:tcPr>
            <w:tcW w:w="1448" w:type="dxa"/>
          </w:tcPr>
          <w:p w:rsidR="00156474" w:rsidRPr="00B366C5" w:rsidRDefault="00156474" w:rsidP="004006B6">
            <w:pPr>
              <w:jc w:val="center"/>
              <w:rPr>
                <w:rFonts w:ascii="Arial" w:hAnsi="Arial" w:cs="Arial"/>
                <w:szCs w:val="22"/>
              </w:rPr>
            </w:pPr>
          </w:p>
        </w:tc>
        <w:tc>
          <w:tcPr>
            <w:tcW w:w="236" w:type="dxa"/>
          </w:tcPr>
          <w:p w:rsidR="00156474" w:rsidRPr="00B366C5" w:rsidRDefault="00156474" w:rsidP="004006B6">
            <w:pPr>
              <w:jc w:val="center"/>
              <w:rPr>
                <w:rFonts w:ascii="Arial" w:hAnsi="Arial" w:cs="Arial"/>
                <w:szCs w:val="22"/>
              </w:rPr>
            </w:pPr>
          </w:p>
        </w:tc>
        <w:tc>
          <w:tcPr>
            <w:tcW w:w="1736" w:type="dxa"/>
          </w:tcPr>
          <w:p w:rsidR="00156474" w:rsidRPr="00B366C5" w:rsidRDefault="00156474" w:rsidP="004006B6">
            <w:pPr>
              <w:jc w:val="center"/>
              <w:rPr>
                <w:rFonts w:ascii="Arial" w:hAnsi="Arial" w:cs="Arial"/>
                <w:szCs w:val="22"/>
              </w:rPr>
            </w:pPr>
          </w:p>
        </w:tc>
        <w:tc>
          <w:tcPr>
            <w:tcW w:w="270" w:type="dxa"/>
          </w:tcPr>
          <w:p w:rsidR="00156474" w:rsidRPr="00B366C5" w:rsidRDefault="00156474" w:rsidP="004006B6">
            <w:pPr>
              <w:jc w:val="center"/>
              <w:rPr>
                <w:rFonts w:ascii="Arial" w:hAnsi="Arial" w:cs="Arial"/>
                <w:szCs w:val="22"/>
              </w:rPr>
            </w:pPr>
          </w:p>
        </w:tc>
        <w:tc>
          <w:tcPr>
            <w:tcW w:w="1942" w:type="dxa"/>
          </w:tcPr>
          <w:p w:rsidR="00156474" w:rsidRPr="00B366C5" w:rsidRDefault="00156474" w:rsidP="004006B6">
            <w:pPr>
              <w:jc w:val="center"/>
              <w:rPr>
                <w:rFonts w:ascii="Arial" w:hAnsi="Arial" w:cs="Arial"/>
                <w:szCs w:val="22"/>
              </w:rPr>
            </w:pPr>
          </w:p>
        </w:tc>
      </w:tr>
      <w:tr w:rsidR="00F02767" w:rsidRPr="00B366C5" w:rsidTr="00C136B6">
        <w:trPr>
          <w:jc w:val="center"/>
        </w:trPr>
        <w:tc>
          <w:tcPr>
            <w:tcW w:w="1762" w:type="dxa"/>
          </w:tcPr>
          <w:p w:rsidR="00F02767" w:rsidRPr="004B2A8C" w:rsidRDefault="00F02767" w:rsidP="004006B6">
            <w:pPr>
              <w:rPr>
                <w:rFonts w:ascii="Arial" w:hAnsi="Arial" w:cs="Arial"/>
                <w:szCs w:val="24"/>
              </w:rPr>
            </w:pPr>
            <w:r w:rsidRPr="004B2A8C">
              <w:rPr>
                <w:rFonts w:ascii="Arial" w:hAnsi="Arial" w:cs="Arial"/>
                <w:szCs w:val="24"/>
              </w:rPr>
              <w:t>Class 1</w:t>
            </w:r>
          </w:p>
        </w:tc>
        <w:tc>
          <w:tcPr>
            <w:tcW w:w="270" w:type="dxa"/>
          </w:tcPr>
          <w:p w:rsidR="00F02767" w:rsidRPr="00B366C5" w:rsidRDefault="00F02767" w:rsidP="004006B6">
            <w:pPr>
              <w:jc w:val="center"/>
              <w:rPr>
                <w:rFonts w:ascii="Arial" w:hAnsi="Arial" w:cs="Arial"/>
                <w:szCs w:val="22"/>
              </w:rPr>
            </w:pPr>
          </w:p>
        </w:tc>
        <w:tc>
          <w:tcPr>
            <w:tcW w:w="1710" w:type="dxa"/>
          </w:tcPr>
          <w:p w:rsidR="00F02767" w:rsidRPr="004B2A8C" w:rsidRDefault="00F02767" w:rsidP="004006B6">
            <w:pPr>
              <w:jc w:val="right"/>
              <w:rPr>
                <w:rFonts w:ascii="Arial" w:hAnsi="Arial" w:cs="Arial"/>
                <w:szCs w:val="24"/>
              </w:rPr>
            </w:pPr>
            <w:r w:rsidRPr="004B2A8C">
              <w:rPr>
                <w:rFonts w:ascii="Arial" w:hAnsi="Arial" w:cs="Arial"/>
                <w:szCs w:val="24"/>
              </w:rPr>
              <w:t>$</w:t>
            </w:r>
            <w:r w:rsidR="00AF6A69">
              <w:rPr>
                <w:rFonts w:ascii="Arial" w:hAnsi="Arial" w:cs="Arial"/>
                <w:szCs w:val="24"/>
              </w:rPr>
              <w:t xml:space="preserve">  </w:t>
            </w:r>
            <w:r w:rsidRPr="004B2A8C">
              <w:rPr>
                <w:rFonts w:ascii="Arial" w:hAnsi="Arial" w:cs="Arial"/>
                <w:szCs w:val="24"/>
              </w:rPr>
              <w:t>13,207,588</w:t>
            </w:r>
          </w:p>
        </w:tc>
        <w:tc>
          <w:tcPr>
            <w:tcW w:w="270" w:type="dxa"/>
          </w:tcPr>
          <w:p w:rsidR="00F02767" w:rsidRPr="00B366C5" w:rsidRDefault="00F02767" w:rsidP="004006B6">
            <w:pPr>
              <w:jc w:val="right"/>
              <w:rPr>
                <w:rFonts w:ascii="Arial" w:hAnsi="Arial" w:cs="Arial"/>
                <w:szCs w:val="22"/>
              </w:rPr>
            </w:pPr>
          </w:p>
        </w:tc>
        <w:tc>
          <w:tcPr>
            <w:tcW w:w="1448" w:type="dxa"/>
          </w:tcPr>
          <w:p w:rsidR="00F02767" w:rsidRPr="004B2A8C" w:rsidRDefault="00F02767" w:rsidP="004006B6">
            <w:pPr>
              <w:jc w:val="right"/>
              <w:rPr>
                <w:rFonts w:ascii="Arial" w:hAnsi="Arial" w:cs="Arial"/>
                <w:szCs w:val="24"/>
              </w:rPr>
            </w:pPr>
            <w:r w:rsidRPr="004B2A8C">
              <w:rPr>
                <w:rFonts w:ascii="Arial" w:hAnsi="Arial" w:cs="Arial"/>
                <w:szCs w:val="24"/>
              </w:rPr>
              <w:t>$</w:t>
            </w:r>
            <w:r w:rsidR="00AF6A69">
              <w:rPr>
                <w:rFonts w:ascii="Arial" w:hAnsi="Arial" w:cs="Arial"/>
                <w:szCs w:val="24"/>
              </w:rPr>
              <w:t xml:space="preserve">  </w:t>
            </w:r>
            <w:r w:rsidRPr="004B2A8C">
              <w:rPr>
                <w:rFonts w:ascii="Arial" w:hAnsi="Arial" w:cs="Arial"/>
                <w:szCs w:val="24"/>
              </w:rPr>
              <w:t>446,349</w:t>
            </w:r>
          </w:p>
        </w:tc>
        <w:tc>
          <w:tcPr>
            <w:tcW w:w="236" w:type="dxa"/>
          </w:tcPr>
          <w:p w:rsidR="00F02767" w:rsidRPr="00B366C5" w:rsidRDefault="00F02767" w:rsidP="004006B6">
            <w:pPr>
              <w:jc w:val="right"/>
              <w:rPr>
                <w:rFonts w:ascii="Arial" w:hAnsi="Arial" w:cs="Arial"/>
                <w:szCs w:val="22"/>
              </w:rPr>
            </w:pPr>
          </w:p>
        </w:tc>
        <w:tc>
          <w:tcPr>
            <w:tcW w:w="1736" w:type="dxa"/>
          </w:tcPr>
          <w:p w:rsidR="00F02767" w:rsidRPr="004B2A8C" w:rsidRDefault="00F02767" w:rsidP="004006B6">
            <w:pPr>
              <w:jc w:val="right"/>
              <w:rPr>
                <w:rFonts w:ascii="Arial" w:hAnsi="Arial" w:cs="Arial"/>
                <w:szCs w:val="24"/>
              </w:rPr>
            </w:pPr>
            <w:r w:rsidRPr="004B2A8C">
              <w:rPr>
                <w:rFonts w:ascii="Arial" w:hAnsi="Arial" w:cs="Arial"/>
                <w:szCs w:val="24"/>
              </w:rPr>
              <w:t>$</w:t>
            </w:r>
            <w:r w:rsidR="00AF6A69">
              <w:rPr>
                <w:rFonts w:ascii="Arial" w:hAnsi="Arial" w:cs="Arial"/>
                <w:szCs w:val="24"/>
              </w:rPr>
              <w:t xml:space="preserve"> </w:t>
            </w:r>
            <w:r w:rsidR="00C136B6">
              <w:rPr>
                <w:rFonts w:ascii="Arial" w:hAnsi="Arial" w:cs="Arial"/>
                <w:szCs w:val="24"/>
              </w:rPr>
              <w:t xml:space="preserve"> </w:t>
            </w:r>
            <w:r w:rsidRPr="004B2A8C">
              <w:rPr>
                <w:rFonts w:ascii="Arial" w:hAnsi="Arial" w:cs="Arial"/>
                <w:szCs w:val="24"/>
              </w:rPr>
              <w:t>13,439,944</w:t>
            </w:r>
          </w:p>
        </w:tc>
        <w:tc>
          <w:tcPr>
            <w:tcW w:w="270" w:type="dxa"/>
          </w:tcPr>
          <w:p w:rsidR="00F02767" w:rsidRPr="00B366C5" w:rsidRDefault="00F02767" w:rsidP="004006B6">
            <w:pPr>
              <w:jc w:val="right"/>
              <w:rPr>
                <w:rFonts w:ascii="Arial" w:hAnsi="Arial" w:cs="Arial"/>
                <w:szCs w:val="22"/>
              </w:rPr>
            </w:pPr>
          </w:p>
        </w:tc>
        <w:tc>
          <w:tcPr>
            <w:tcW w:w="1942" w:type="dxa"/>
            <w:vAlign w:val="bottom"/>
          </w:tcPr>
          <w:p w:rsidR="00F02767" w:rsidRPr="004B2A8C" w:rsidRDefault="00C136B6" w:rsidP="00C136B6">
            <w:pPr>
              <w:jc w:val="right"/>
              <w:rPr>
                <w:rFonts w:ascii="Arial" w:hAnsi="Arial" w:cs="Arial"/>
                <w:szCs w:val="24"/>
              </w:rPr>
            </w:pPr>
            <w:r>
              <w:rPr>
                <w:rFonts w:ascii="Arial" w:hAnsi="Arial" w:cs="Arial"/>
                <w:szCs w:val="24"/>
              </w:rPr>
              <w:t xml:space="preserve">   $  </w:t>
            </w:r>
            <w:r w:rsidR="00AF6A69">
              <w:rPr>
                <w:rFonts w:ascii="Arial" w:hAnsi="Arial" w:cs="Arial"/>
                <w:szCs w:val="24"/>
              </w:rPr>
              <w:t xml:space="preserve"> </w:t>
            </w:r>
            <w:r w:rsidR="00F02767" w:rsidRPr="004B2A8C">
              <w:rPr>
                <w:rFonts w:ascii="Arial" w:hAnsi="Arial" w:cs="Arial"/>
                <w:szCs w:val="24"/>
              </w:rPr>
              <w:t xml:space="preserve">  </w:t>
            </w:r>
            <w:r>
              <w:rPr>
                <w:rFonts w:ascii="Arial" w:hAnsi="Arial" w:cs="Arial"/>
                <w:szCs w:val="24"/>
              </w:rPr>
              <w:t xml:space="preserve"> </w:t>
            </w:r>
            <w:r w:rsidR="00F02767" w:rsidRPr="004B2A8C">
              <w:rPr>
                <w:rFonts w:ascii="Arial" w:hAnsi="Arial" w:cs="Arial"/>
                <w:szCs w:val="24"/>
              </w:rPr>
              <w:t>213,993</w:t>
            </w:r>
          </w:p>
        </w:tc>
      </w:tr>
      <w:tr w:rsidR="00C136B6" w:rsidRPr="00B366C5" w:rsidTr="00C136B6">
        <w:trPr>
          <w:trHeight w:val="306"/>
          <w:jc w:val="center"/>
        </w:trPr>
        <w:tc>
          <w:tcPr>
            <w:tcW w:w="1762" w:type="dxa"/>
          </w:tcPr>
          <w:p w:rsidR="00C136B6" w:rsidRPr="004B2A8C" w:rsidRDefault="00C136B6" w:rsidP="004006B6">
            <w:pPr>
              <w:rPr>
                <w:rFonts w:ascii="Arial" w:hAnsi="Arial" w:cs="Arial"/>
                <w:szCs w:val="24"/>
              </w:rPr>
            </w:pPr>
          </w:p>
        </w:tc>
        <w:tc>
          <w:tcPr>
            <w:tcW w:w="270" w:type="dxa"/>
          </w:tcPr>
          <w:p w:rsidR="00C136B6" w:rsidRPr="00B366C5" w:rsidRDefault="00C136B6" w:rsidP="004006B6">
            <w:pPr>
              <w:jc w:val="right"/>
              <w:rPr>
                <w:rFonts w:ascii="Arial" w:hAnsi="Arial" w:cs="Arial"/>
                <w:szCs w:val="22"/>
              </w:rPr>
            </w:pPr>
          </w:p>
        </w:tc>
        <w:tc>
          <w:tcPr>
            <w:tcW w:w="1710" w:type="dxa"/>
          </w:tcPr>
          <w:p w:rsidR="00C136B6" w:rsidRPr="004B2A8C" w:rsidRDefault="00C136B6" w:rsidP="004006B6">
            <w:pPr>
              <w:jc w:val="right"/>
              <w:rPr>
                <w:rFonts w:ascii="Arial" w:hAnsi="Arial" w:cs="Arial"/>
                <w:szCs w:val="24"/>
              </w:rPr>
            </w:pPr>
          </w:p>
        </w:tc>
        <w:tc>
          <w:tcPr>
            <w:tcW w:w="270" w:type="dxa"/>
          </w:tcPr>
          <w:p w:rsidR="00C136B6" w:rsidRPr="00B366C5" w:rsidRDefault="00C136B6" w:rsidP="004006B6">
            <w:pPr>
              <w:jc w:val="right"/>
              <w:rPr>
                <w:rFonts w:ascii="Arial" w:hAnsi="Arial" w:cs="Arial"/>
                <w:szCs w:val="22"/>
              </w:rPr>
            </w:pPr>
          </w:p>
        </w:tc>
        <w:tc>
          <w:tcPr>
            <w:tcW w:w="1448" w:type="dxa"/>
          </w:tcPr>
          <w:p w:rsidR="00C136B6" w:rsidRPr="004B2A8C" w:rsidRDefault="00C136B6" w:rsidP="004006B6">
            <w:pPr>
              <w:jc w:val="right"/>
              <w:rPr>
                <w:rFonts w:ascii="Arial" w:hAnsi="Arial" w:cs="Arial"/>
                <w:szCs w:val="24"/>
              </w:rPr>
            </w:pPr>
          </w:p>
        </w:tc>
        <w:tc>
          <w:tcPr>
            <w:tcW w:w="236" w:type="dxa"/>
          </w:tcPr>
          <w:p w:rsidR="00C136B6" w:rsidRPr="00B366C5" w:rsidRDefault="00C136B6" w:rsidP="004006B6">
            <w:pPr>
              <w:jc w:val="right"/>
              <w:rPr>
                <w:rFonts w:ascii="Arial" w:hAnsi="Arial" w:cs="Arial"/>
                <w:szCs w:val="22"/>
              </w:rPr>
            </w:pPr>
          </w:p>
        </w:tc>
        <w:tc>
          <w:tcPr>
            <w:tcW w:w="1736" w:type="dxa"/>
          </w:tcPr>
          <w:p w:rsidR="00C136B6" w:rsidRPr="004B2A8C" w:rsidRDefault="00C136B6" w:rsidP="004006B6">
            <w:pPr>
              <w:jc w:val="right"/>
              <w:rPr>
                <w:rFonts w:ascii="Arial" w:hAnsi="Arial" w:cs="Arial"/>
                <w:szCs w:val="24"/>
              </w:rPr>
            </w:pPr>
          </w:p>
        </w:tc>
        <w:tc>
          <w:tcPr>
            <w:tcW w:w="270" w:type="dxa"/>
          </w:tcPr>
          <w:p w:rsidR="00C136B6" w:rsidRPr="00B366C5" w:rsidRDefault="00C136B6" w:rsidP="004006B6">
            <w:pPr>
              <w:jc w:val="right"/>
              <w:rPr>
                <w:rFonts w:ascii="Arial" w:hAnsi="Arial" w:cs="Arial"/>
                <w:szCs w:val="22"/>
              </w:rPr>
            </w:pPr>
          </w:p>
        </w:tc>
        <w:tc>
          <w:tcPr>
            <w:tcW w:w="1942" w:type="dxa"/>
            <w:vAlign w:val="bottom"/>
          </w:tcPr>
          <w:p w:rsidR="00C136B6" w:rsidRPr="004B2A8C" w:rsidRDefault="00C136B6" w:rsidP="00AF6A69">
            <w:pPr>
              <w:jc w:val="right"/>
              <w:rPr>
                <w:rFonts w:ascii="Arial" w:hAnsi="Arial" w:cs="Arial"/>
                <w:szCs w:val="24"/>
              </w:rPr>
            </w:pPr>
          </w:p>
        </w:tc>
      </w:tr>
      <w:tr w:rsidR="00F02767" w:rsidRPr="00B366C5" w:rsidTr="00C136B6">
        <w:trPr>
          <w:trHeight w:val="306"/>
          <w:jc w:val="center"/>
        </w:trPr>
        <w:tc>
          <w:tcPr>
            <w:tcW w:w="1762" w:type="dxa"/>
          </w:tcPr>
          <w:p w:rsidR="00F02767" w:rsidRPr="004B2A8C" w:rsidRDefault="00F02767" w:rsidP="004006B6">
            <w:pPr>
              <w:rPr>
                <w:rFonts w:ascii="Arial" w:hAnsi="Arial" w:cs="Arial"/>
                <w:szCs w:val="24"/>
              </w:rPr>
            </w:pPr>
            <w:r w:rsidRPr="004B2A8C">
              <w:rPr>
                <w:rFonts w:ascii="Arial" w:hAnsi="Arial" w:cs="Arial"/>
                <w:szCs w:val="24"/>
              </w:rPr>
              <w:t>Class 2</w:t>
            </w:r>
          </w:p>
        </w:tc>
        <w:tc>
          <w:tcPr>
            <w:tcW w:w="270" w:type="dxa"/>
          </w:tcPr>
          <w:p w:rsidR="00F02767" w:rsidRPr="00B366C5" w:rsidRDefault="00F02767" w:rsidP="004006B6">
            <w:pPr>
              <w:jc w:val="right"/>
              <w:rPr>
                <w:rFonts w:ascii="Arial" w:hAnsi="Arial" w:cs="Arial"/>
                <w:szCs w:val="22"/>
              </w:rPr>
            </w:pPr>
          </w:p>
        </w:tc>
        <w:tc>
          <w:tcPr>
            <w:tcW w:w="1710" w:type="dxa"/>
          </w:tcPr>
          <w:p w:rsidR="00F02767" w:rsidRPr="004B2A8C" w:rsidRDefault="00F02767" w:rsidP="004006B6">
            <w:pPr>
              <w:jc w:val="right"/>
              <w:rPr>
                <w:rFonts w:ascii="Arial" w:hAnsi="Arial" w:cs="Arial"/>
                <w:szCs w:val="24"/>
              </w:rPr>
            </w:pPr>
            <w:r w:rsidRPr="004B2A8C">
              <w:rPr>
                <w:rFonts w:ascii="Arial" w:hAnsi="Arial" w:cs="Arial"/>
                <w:szCs w:val="24"/>
              </w:rPr>
              <w:t>3,818,286</w:t>
            </w:r>
          </w:p>
        </w:tc>
        <w:tc>
          <w:tcPr>
            <w:tcW w:w="270" w:type="dxa"/>
          </w:tcPr>
          <w:p w:rsidR="00F02767" w:rsidRPr="00B366C5" w:rsidRDefault="00F02767" w:rsidP="004006B6">
            <w:pPr>
              <w:jc w:val="right"/>
              <w:rPr>
                <w:rFonts w:ascii="Arial" w:hAnsi="Arial" w:cs="Arial"/>
                <w:szCs w:val="22"/>
              </w:rPr>
            </w:pPr>
          </w:p>
        </w:tc>
        <w:tc>
          <w:tcPr>
            <w:tcW w:w="1448" w:type="dxa"/>
          </w:tcPr>
          <w:p w:rsidR="00F02767" w:rsidRPr="004B2A8C" w:rsidRDefault="00F02767" w:rsidP="004006B6">
            <w:pPr>
              <w:jc w:val="right"/>
              <w:rPr>
                <w:rFonts w:ascii="Arial" w:hAnsi="Arial" w:cs="Arial"/>
                <w:szCs w:val="24"/>
              </w:rPr>
            </w:pPr>
            <w:r w:rsidRPr="004B2A8C">
              <w:rPr>
                <w:rFonts w:ascii="Arial" w:hAnsi="Arial" w:cs="Arial"/>
                <w:szCs w:val="24"/>
              </w:rPr>
              <w:t>131,848</w:t>
            </w:r>
          </w:p>
        </w:tc>
        <w:tc>
          <w:tcPr>
            <w:tcW w:w="236" w:type="dxa"/>
          </w:tcPr>
          <w:p w:rsidR="00F02767" w:rsidRPr="00B366C5" w:rsidRDefault="00F02767" w:rsidP="004006B6">
            <w:pPr>
              <w:jc w:val="right"/>
              <w:rPr>
                <w:rFonts w:ascii="Arial" w:hAnsi="Arial" w:cs="Arial"/>
                <w:szCs w:val="22"/>
              </w:rPr>
            </w:pPr>
          </w:p>
        </w:tc>
        <w:tc>
          <w:tcPr>
            <w:tcW w:w="1736" w:type="dxa"/>
          </w:tcPr>
          <w:p w:rsidR="00F02767" w:rsidRPr="004B2A8C" w:rsidRDefault="00F02767" w:rsidP="004006B6">
            <w:pPr>
              <w:jc w:val="right"/>
              <w:rPr>
                <w:rFonts w:ascii="Arial" w:hAnsi="Arial" w:cs="Arial"/>
                <w:szCs w:val="24"/>
              </w:rPr>
            </w:pPr>
            <w:r w:rsidRPr="004B2A8C">
              <w:rPr>
                <w:rFonts w:ascii="Arial" w:hAnsi="Arial" w:cs="Arial"/>
                <w:szCs w:val="24"/>
              </w:rPr>
              <w:t>3,699,968</w:t>
            </w:r>
          </w:p>
        </w:tc>
        <w:tc>
          <w:tcPr>
            <w:tcW w:w="270" w:type="dxa"/>
          </w:tcPr>
          <w:p w:rsidR="00F02767" w:rsidRPr="00B366C5" w:rsidRDefault="00F02767" w:rsidP="004006B6">
            <w:pPr>
              <w:jc w:val="right"/>
              <w:rPr>
                <w:rFonts w:ascii="Arial" w:hAnsi="Arial" w:cs="Arial"/>
                <w:szCs w:val="22"/>
              </w:rPr>
            </w:pPr>
          </w:p>
        </w:tc>
        <w:tc>
          <w:tcPr>
            <w:tcW w:w="1942" w:type="dxa"/>
            <w:vAlign w:val="bottom"/>
          </w:tcPr>
          <w:p w:rsidR="00F02767" w:rsidRPr="004B2A8C" w:rsidRDefault="00F02767" w:rsidP="00AF6A69">
            <w:pPr>
              <w:jc w:val="right"/>
              <w:rPr>
                <w:rFonts w:ascii="Arial" w:hAnsi="Arial" w:cs="Arial"/>
                <w:szCs w:val="24"/>
              </w:rPr>
            </w:pPr>
            <w:r w:rsidRPr="004B2A8C">
              <w:rPr>
                <w:rFonts w:ascii="Arial" w:hAnsi="Arial" w:cs="Arial"/>
                <w:szCs w:val="24"/>
              </w:rPr>
              <w:t xml:space="preserve">           </w:t>
            </w:r>
            <w:r w:rsidR="00C136B6">
              <w:rPr>
                <w:rFonts w:ascii="Arial" w:hAnsi="Arial" w:cs="Arial"/>
                <w:szCs w:val="24"/>
              </w:rPr>
              <w:t xml:space="preserve"> </w:t>
            </w:r>
            <w:r w:rsidRPr="004B2A8C">
              <w:rPr>
                <w:rFonts w:ascii="Arial" w:hAnsi="Arial" w:cs="Arial"/>
                <w:szCs w:val="24"/>
              </w:rPr>
              <w:t>250,166</w:t>
            </w:r>
          </w:p>
        </w:tc>
      </w:tr>
      <w:tr w:rsidR="00F02767" w:rsidRPr="00B366C5" w:rsidTr="00C136B6">
        <w:trPr>
          <w:jc w:val="center"/>
        </w:trPr>
        <w:tc>
          <w:tcPr>
            <w:tcW w:w="1762" w:type="dxa"/>
          </w:tcPr>
          <w:p w:rsidR="00F02767" w:rsidRPr="004B2A8C" w:rsidRDefault="00F02767" w:rsidP="004006B6">
            <w:pPr>
              <w:rPr>
                <w:rFonts w:ascii="Arial" w:hAnsi="Arial" w:cs="Arial"/>
                <w:szCs w:val="24"/>
              </w:rPr>
            </w:pPr>
          </w:p>
        </w:tc>
        <w:tc>
          <w:tcPr>
            <w:tcW w:w="270" w:type="dxa"/>
          </w:tcPr>
          <w:p w:rsidR="00F02767" w:rsidRPr="00B366C5" w:rsidRDefault="00F02767" w:rsidP="004006B6">
            <w:pPr>
              <w:jc w:val="right"/>
              <w:rPr>
                <w:rFonts w:ascii="Arial" w:hAnsi="Arial" w:cs="Arial"/>
                <w:szCs w:val="22"/>
              </w:rPr>
            </w:pPr>
          </w:p>
        </w:tc>
        <w:tc>
          <w:tcPr>
            <w:tcW w:w="1710" w:type="dxa"/>
          </w:tcPr>
          <w:p w:rsidR="00F02767" w:rsidRPr="004B2A8C" w:rsidRDefault="00F02767" w:rsidP="004006B6">
            <w:pPr>
              <w:jc w:val="right"/>
              <w:rPr>
                <w:rFonts w:ascii="Arial" w:hAnsi="Arial" w:cs="Arial"/>
                <w:szCs w:val="24"/>
              </w:rPr>
            </w:pPr>
          </w:p>
        </w:tc>
        <w:tc>
          <w:tcPr>
            <w:tcW w:w="270" w:type="dxa"/>
          </w:tcPr>
          <w:p w:rsidR="00F02767" w:rsidRPr="00B366C5" w:rsidRDefault="00F02767" w:rsidP="004006B6">
            <w:pPr>
              <w:jc w:val="right"/>
              <w:rPr>
                <w:rFonts w:ascii="Arial" w:hAnsi="Arial" w:cs="Arial"/>
                <w:szCs w:val="22"/>
              </w:rPr>
            </w:pPr>
          </w:p>
        </w:tc>
        <w:tc>
          <w:tcPr>
            <w:tcW w:w="1448" w:type="dxa"/>
          </w:tcPr>
          <w:p w:rsidR="00F02767" w:rsidRPr="004B2A8C" w:rsidRDefault="00F02767" w:rsidP="004006B6">
            <w:pPr>
              <w:jc w:val="right"/>
              <w:rPr>
                <w:rFonts w:ascii="Arial" w:hAnsi="Arial" w:cs="Arial"/>
                <w:szCs w:val="24"/>
              </w:rPr>
            </w:pPr>
          </w:p>
        </w:tc>
        <w:tc>
          <w:tcPr>
            <w:tcW w:w="236" w:type="dxa"/>
          </w:tcPr>
          <w:p w:rsidR="00F02767" w:rsidRPr="00B366C5" w:rsidRDefault="00F02767" w:rsidP="004006B6">
            <w:pPr>
              <w:jc w:val="right"/>
              <w:rPr>
                <w:rFonts w:ascii="Arial" w:hAnsi="Arial" w:cs="Arial"/>
                <w:szCs w:val="22"/>
              </w:rPr>
            </w:pPr>
          </w:p>
        </w:tc>
        <w:tc>
          <w:tcPr>
            <w:tcW w:w="1736" w:type="dxa"/>
          </w:tcPr>
          <w:p w:rsidR="00F02767" w:rsidRPr="004B2A8C" w:rsidRDefault="00F02767" w:rsidP="004006B6">
            <w:pPr>
              <w:jc w:val="right"/>
              <w:rPr>
                <w:rFonts w:ascii="Arial" w:hAnsi="Arial" w:cs="Arial"/>
                <w:szCs w:val="24"/>
              </w:rPr>
            </w:pPr>
          </w:p>
        </w:tc>
        <w:tc>
          <w:tcPr>
            <w:tcW w:w="270" w:type="dxa"/>
          </w:tcPr>
          <w:p w:rsidR="00F02767" w:rsidRPr="00B366C5" w:rsidRDefault="00F02767" w:rsidP="004006B6">
            <w:pPr>
              <w:jc w:val="right"/>
              <w:rPr>
                <w:rFonts w:ascii="Arial" w:hAnsi="Arial" w:cs="Arial"/>
                <w:szCs w:val="22"/>
              </w:rPr>
            </w:pPr>
          </w:p>
        </w:tc>
        <w:tc>
          <w:tcPr>
            <w:tcW w:w="1942" w:type="dxa"/>
            <w:vAlign w:val="bottom"/>
          </w:tcPr>
          <w:p w:rsidR="00F02767" w:rsidRPr="004B2A8C" w:rsidRDefault="00F02767" w:rsidP="00AF6A69">
            <w:pPr>
              <w:jc w:val="right"/>
              <w:rPr>
                <w:rFonts w:ascii="Arial" w:hAnsi="Arial" w:cs="Arial"/>
                <w:szCs w:val="24"/>
              </w:rPr>
            </w:pPr>
          </w:p>
        </w:tc>
      </w:tr>
      <w:tr w:rsidR="00F02767" w:rsidRPr="00B366C5" w:rsidTr="00C136B6">
        <w:trPr>
          <w:trHeight w:val="288"/>
          <w:jc w:val="center"/>
        </w:trPr>
        <w:tc>
          <w:tcPr>
            <w:tcW w:w="1762" w:type="dxa"/>
          </w:tcPr>
          <w:p w:rsidR="00F02767" w:rsidRPr="004B2A8C" w:rsidRDefault="00F02767" w:rsidP="004006B6">
            <w:pPr>
              <w:rPr>
                <w:rFonts w:ascii="Arial" w:hAnsi="Arial" w:cs="Arial"/>
                <w:szCs w:val="24"/>
              </w:rPr>
            </w:pPr>
            <w:r w:rsidRPr="004B2A8C">
              <w:rPr>
                <w:rFonts w:ascii="Arial" w:hAnsi="Arial" w:cs="Arial"/>
                <w:szCs w:val="24"/>
              </w:rPr>
              <w:t>Class 3</w:t>
            </w:r>
          </w:p>
        </w:tc>
        <w:tc>
          <w:tcPr>
            <w:tcW w:w="270" w:type="dxa"/>
          </w:tcPr>
          <w:p w:rsidR="00F02767" w:rsidRPr="00B366C5" w:rsidRDefault="00F02767" w:rsidP="004006B6">
            <w:pPr>
              <w:jc w:val="right"/>
              <w:rPr>
                <w:rFonts w:ascii="Arial" w:hAnsi="Arial" w:cs="Arial"/>
                <w:szCs w:val="22"/>
              </w:rPr>
            </w:pPr>
          </w:p>
        </w:tc>
        <w:tc>
          <w:tcPr>
            <w:tcW w:w="1710" w:type="dxa"/>
          </w:tcPr>
          <w:p w:rsidR="00F02767" w:rsidRPr="004B2A8C" w:rsidRDefault="00F02767" w:rsidP="004006B6">
            <w:pPr>
              <w:jc w:val="right"/>
              <w:rPr>
                <w:rFonts w:ascii="Arial" w:hAnsi="Arial" w:cs="Arial"/>
                <w:szCs w:val="24"/>
              </w:rPr>
            </w:pPr>
            <w:r w:rsidRPr="004B2A8C">
              <w:rPr>
                <w:rFonts w:ascii="Arial" w:hAnsi="Arial" w:cs="Arial"/>
                <w:szCs w:val="24"/>
              </w:rPr>
              <w:t>3,485,761</w:t>
            </w:r>
          </w:p>
        </w:tc>
        <w:tc>
          <w:tcPr>
            <w:tcW w:w="270" w:type="dxa"/>
          </w:tcPr>
          <w:p w:rsidR="00F02767" w:rsidRPr="00B366C5" w:rsidRDefault="00F02767" w:rsidP="004006B6">
            <w:pPr>
              <w:jc w:val="right"/>
              <w:rPr>
                <w:rFonts w:ascii="Arial" w:hAnsi="Arial" w:cs="Arial"/>
                <w:szCs w:val="22"/>
              </w:rPr>
            </w:pPr>
          </w:p>
        </w:tc>
        <w:tc>
          <w:tcPr>
            <w:tcW w:w="1448" w:type="dxa"/>
          </w:tcPr>
          <w:p w:rsidR="00F02767" w:rsidRPr="004B2A8C" w:rsidRDefault="00F02767" w:rsidP="004006B6">
            <w:pPr>
              <w:jc w:val="right"/>
              <w:rPr>
                <w:rFonts w:ascii="Arial" w:hAnsi="Arial" w:cs="Arial"/>
                <w:szCs w:val="24"/>
              </w:rPr>
            </w:pPr>
            <w:r w:rsidRPr="004B2A8C">
              <w:rPr>
                <w:rFonts w:ascii="Arial" w:hAnsi="Arial" w:cs="Arial"/>
                <w:szCs w:val="24"/>
              </w:rPr>
              <w:t>139,613</w:t>
            </w:r>
          </w:p>
        </w:tc>
        <w:tc>
          <w:tcPr>
            <w:tcW w:w="236" w:type="dxa"/>
          </w:tcPr>
          <w:p w:rsidR="00F02767" w:rsidRPr="00B366C5" w:rsidRDefault="00F02767" w:rsidP="004006B6">
            <w:pPr>
              <w:jc w:val="right"/>
              <w:rPr>
                <w:rFonts w:ascii="Arial" w:hAnsi="Arial" w:cs="Arial"/>
                <w:szCs w:val="22"/>
              </w:rPr>
            </w:pPr>
          </w:p>
        </w:tc>
        <w:tc>
          <w:tcPr>
            <w:tcW w:w="1736" w:type="dxa"/>
          </w:tcPr>
          <w:p w:rsidR="00F02767" w:rsidRPr="004B2A8C" w:rsidRDefault="00F02767" w:rsidP="004006B6">
            <w:pPr>
              <w:jc w:val="right"/>
              <w:rPr>
                <w:rFonts w:ascii="Arial" w:hAnsi="Arial" w:cs="Arial"/>
                <w:szCs w:val="24"/>
              </w:rPr>
            </w:pPr>
            <w:r w:rsidRPr="004B2A8C">
              <w:rPr>
                <w:rFonts w:ascii="Arial" w:hAnsi="Arial" w:cs="Arial"/>
                <w:szCs w:val="24"/>
              </w:rPr>
              <w:t>2,569,672</w:t>
            </w:r>
          </w:p>
        </w:tc>
        <w:tc>
          <w:tcPr>
            <w:tcW w:w="270" w:type="dxa"/>
          </w:tcPr>
          <w:p w:rsidR="00F02767" w:rsidRPr="00B366C5" w:rsidRDefault="00F02767" w:rsidP="004006B6">
            <w:pPr>
              <w:jc w:val="right"/>
              <w:rPr>
                <w:rFonts w:ascii="Arial" w:hAnsi="Arial" w:cs="Arial"/>
                <w:szCs w:val="22"/>
              </w:rPr>
            </w:pPr>
          </w:p>
        </w:tc>
        <w:tc>
          <w:tcPr>
            <w:tcW w:w="1942" w:type="dxa"/>
            <w:vAlign w:val="bottom"/>
          </w:tcPr>
          <w:p w:rsidR="00F02767" w:rsidRPr="004B2A8C" w:rsidRDefault="00F02767" w:rsidP="00AF6A69">
            <w:pPr>
              <w:jc w:val="right"/>
              <w:rPr>
                <w:rFonts w:ascii="Arial" w:hAnsi="Arial" w:cs="Arial"/>
                <w:szCs w:val="24"/>
              </w:rPr>
            </w:pPr>
            <w:r w:rsidRPr="004B2A8C">
              <w:rPr>
                <w:rFonts w:ascii="Arial" w:hAnsi="Arial" w:cs="Arial"/>
                <w:szCs w:val="24"/>
              </w:rPr>
              <w:t xml:space="preserve">        </w:t>
            </w:r>
            <w:r w:rsidR="00C136B6">
              <w:rPr>
                <w:rFonts w:ascii="Arial" w:hAnsi="Arial" w:cs="Arial"/>
                <w:szCs w:val="24"/>
              </w:rPr>
              <w:t xml:space="preserve"> </w:t>
            </w:r>
            <w:r w:rsidRPr="004B2A8C">
              <w:rPr>
                <w:rFonts w:ascii="Arial" w:hAnsi="Arial" w:cs="Arial"/>
                <w:szCs w:val="24"/>
              </w:rPr>
              <w:t>1,055,70</w:t>
            </w:r>
            <w:r w:rsidR="00A303E1" w:rsidRPr="004B2A8C">
              <w:rPr>
                <w:rFonts w:ascii="Arial" w:hAnsi="Arial" w:cs="Arial"/>
                <w:szCs w:val="24"/>
              </w:rPr>
              <w:t>2</w:t>
            </w:r>
          </w:p>
        </w:tc>
      </w:tr>
      <w:tr w:rsidR="00C136B6" w:rsidRPr="00B366C5" w:rsidTr="00C136B6">
        <w:trPr>
          <w:trHeight w:val="297"/>
          <w:jc w:val="center"/>
        </w:trPr>
        <w:tc>
          <w:tcPr>
            <w:tcW w:w="1762" w:type="dxa"/>
          </w:tcPr>
          <w:p w:rsidR="00C136B6" w:rsidRPr="004B2A8C" w:rsidRDefault="00C136B6" w:rsidP="004006B6">
            <w:pPr>
              <w:rPr>
                <w:rFonts w:ascii="Arial" w:hAnsi="Arial" w:cs="Arial"/>
                <w:szCs w:val="24"/>
              </w:rPr>
            </w:pPr>
          </w:p>
        </w:tc>
        <w:tc>
          <w:tcPr>
            <w:tcW w:w="270" w:type="dxa"/>
          </w:tcPr>
          <w:p w:rsidR="00C136B6" w:rsidRPr="00B366C5" w:rsidRDefault="00C136B6" w:rsidP="004006B6">
            <w:pPr>
              <w:jc w:val="right"/>
              <w:rPr>
                <w:rFonts w:ascii="Arial" w:hAnsi="Arial" w:cs="Arial"/>
                <w:szCs w:val="22"/>
              </w:rPr>
            </w:pPr>
          </w:p>
        </w:tc>
        <w:tc>
          <w:tcPr>
            <w:tcW w:w="1710" w:type="dxa"/>
          </w:tcPr>
          <w:p w:rsidR="00C136B6" w:rsidRPr="004B2A8C" w:rsidRDefault="00C136B6" w:rsidP="00C136B6">
            <w:pPr>
              <w:jc w:val="right"/>
              <w:rPr>
                <w:rFonts w:ascii="Arial" w:hAnsi="Arial" w:cs="Arial"/>
                <w:szCs w:val="24"/>
                <w:u w:val="single"/>
              </w:rPr>
            </w:pPr>
          </w:p>
        </w:tc>
        <w:tc>
          <w:tcPr>
            <w:tcW w:w="270" w:type="dxa"/>
          </w:tcPr>
          <w:p w:rsidR="00C136B6" w:rsidRPr="00B366C5" w:rsidRDefault="00C136B6" w:rsidP="004006B6">
            <w:pPr>
              <w:jc w:val="right"/>
              <w:rPr>
                <w:rFonts w:ascii="Arial" w:hAnsi="Arial" w:cs="Arial"/>
                <w:szCs w:val="22"/>
              </w:rPr>
            </w:pPr>
          </w:p>
        </w:tc>
        <w:tc>
          <w:tcPr>
            <w:tcW w:w="1448" w:type="dxa"/>
          </w:tcPr>
          <w:p w:rsidR="00C136B6" w:rsidRPr="004B2A8C" w:rsidRDefault="00C136B6" w:rsidP="004006B6">
            <w:pPr>
              <w:jc w:val="right"/>
              <w:rPr>
                <w:rFonts w:ascii="Arial" w:hAnsi="Arial" w:cs="Arial"/>
                <w:szCs w:val="24"/>
                <w:u w:val="single"/>
              </w:rPr>
            </w:pPr>
          </w:p>
        </w:tc>
        <w:tc>
          <w:tcPr>
            <w:tcW w:w="236" w:type="dxa"/>
          </w:tcPr>
          <w:p w:rsidR="00C136B6" w:rsidRPr="00B366C5" w:rsidRDefault="00C136B6" w:rsidP="004006B6">
            <w:pPr>
              <w:jc w:val="right"/>
              <w:rPr>
                <w:rFonts w:ascii="Arial" w:hAnsi="Arial" w:cs="Arial"/>
                <w:szCs w:val="22"/>
                <w:u w:val="single"/>
              </w:rPr>
            </w:pPr>
          </w:p>
        </w:tc>
        <w:tc>
          <w:tcPr>
            <w:tcW w:w="1736" w:type="dxa"/>
          </w:tcPr>
          <w:p w:rsidR="00C136B6" w:rsidRDefault="00C136B6" w:rsidP="004006B6">
            <w:pPr>
              <w:jc w:val="right"/>
              <w:rPr>
                <w:rFonts w:ascii="Arial" w:hAnsi="Arial" w:cs="Arial"/>
                <w:szCs w:val="24"/>
                <w:u w:val="single"/>
              </w:rPr>
            </w:pPr>
          </w:p>
        </w:tc>
        <w:tc>
          <w:tcPr>
            <w:tcW w:w="270" w:type="dxa"/>
          </w:tcPr>
          <w:p w:rsidR="00C136B6" w:rsidRPr="00B366C5" w:rsidRDefault="00C136B6" w:rsidP="004006B6">
            <w:pPr>
              <w:jc w:val="right"/>
              <w:rPr>
                <w:rFonts w:ascii="Arial" w:hAnsi="Arial" w:cs="Arial"/>
                <w:szCs w:val="22"/>
                <w:u w:val="single"/>
              </w:rPr>
            </w:pPr>
          </w:p>
        </w:tc>
        <w:tc>
          <w:tcPr>
            <w:tcW w:w="1942" w:type="dxa"/>
          </w:tcPr>
          <w:p w:rsidR="00C136B6" w:rsidRPr="00AF6A69" w:rsidRDefault="00C136B6" w:rsidP="00AF6A69">
            <w:pPr>
              <w:jc w:val="right"/>
              <w:rPr>
                <w:rFonts w:ascii="Arial" w:hAnsi="Arial" w:cs="Arial"/>
                <w:szCs w:val="24"/>
              </w:rPr>
            </w:pPr>
          </w:p>
        </w:tc>
      </w:tr>
      <w:tr w:rsidR="00F02767" w:rsidRPr="00B366C5" w:rsidTr="00C136B6">
        <w:trPr>
          <w:trHeight w:val="297"/>
          <w:jc w:val="center"/>
        </w:trPr>
        <w:tc>
          <w:tcPr>
            <w:tcW w:w="1762" w:type="dxa"/>
          </w:tcPr>
          <w:p w:rsidR="00F02767" w:rsidRPr="004B2A8C" w:rsidRDefault="00F02767" w:rsidP="004006B6">
            <w:pPr>
              <w:rPr>
                <w:rFonts w:ascii="Arial" w:hAnsi="Arial" w:cs="Arial"/>
                <w:szCs w:val="24"/>
              </w:rPr>
            </w:pPr>
            <w:r w:rsidRPr="004B2A8C">
              <w:rPr>
                <w:rFonts w:ascii="Arial" w:hAnsi="Arial" w:cs="Arial"/>
                <w:szCs w:val="24"/>
              </w:rPr>
              <w:t>Class 4</w:t>
            </w:r>
          </w:p>
        </w:tc>
        <w:tc>
          <w:tcPr>
            <w:tcW w:w="270" w:type="dxa"/>
          </w:tcPr>
          <w:p w:rsidR="00F02767" w:rsidRPr="00B366C5" w:rsidRDefault="00F02767" w:rsidP="004006B6">
            <w:pPr>
              <w:jc w:val="right"/>
              <w:rPr>
                <w:rFonts w:ascii="Arial" w:hAnsi="Arial" w:cs="Arial"/>
                <w:szCs w:val="22"/>
              </w:rPr>
            </w:pPr>
          </w:p>
        </w:tc>
        <w:tc>
          <w:tcPr>
            <w:tcW w:w="1710" w:type="dxa"/>
          </w:tcPr>
          <w:p w:rsidR="00F02767" w:rsidRPr="004B2A8C" w:rsidRDefault="00F02767" w:rsidP="00C136B6">
            <w:pPr>
              <w:jc w:val="right"/>
              <w:rPr>
                <w:rFonts w:ascii="Arial" w:hAnsi="Arial" w:cs="Arial"/>
                <w:szCs w:val="24"/>
                <w:u w:val="single"/>
              </w:rPr>
            </w:pPr>
            <w:r w:rsidRPr="004B2A8C">
              <w:rPr>
                <w:rFonts w:ascii="Arial" w:hAnsi="Arial" w:cs="Arial"/>
                <w:szCs w:val="24"/>
                <w:u w:val="single"/>
              </w:rPr>
              <w:t xml:space="preserve">  </w:t>
            </w:r>
            <w:r w:rsidR="00C136B6">
              <w:rPr>
                <w:rFonts w:ascii="Arial" w:hAnsi="Arial" w:cs="Arial"/>
                <w:szCs w:val="24"/>
                <w:u w:val="single"/>
              </w:rPr>
              <w:t xml:space="preserve">   </w:t>
            </w:r>
            <w:r w:rsidRPr="004B2A8C">
              <w:rPr>
                <w:rFonts w:ascii="Arial" w:hAnsi="Arial" w:cs="Arial"/>
                <w:szCs w:val="24"/>
                <w:u w:val="single"/>
              </w:rPr>
              <w:t>3,154,750</w:t>
            </w:r>
          </w:p>
        </w:tc>
        <w:tc>
          <w:tcPr>
            <w:tcW w:w="270" w:type="dxa"/>
          </w:tcPr>
          <w:p w:rsidR="00F02767" w:rsidRPr="00B366C5" w:rsidRDefault="00F02767" w:rsidP="004006B6">
            <w:pPr>
              <w:jc w:val="right"/>
              <w:rPr>
                <w:rFonts w:ascii="Arial" w:hAnsi="Arial" w:cs="Arial"/>
                <w:szCs w:val="22"/>
              </w:rPr>
            </w:pPr>
          </w:p>
        </w:tc>
        <w:tc>
          <w:tcPr>
            <w:tcW w:w="1448" w:type="dxa"/>
          </w:tcPr>
          <w:p w:rsidR="00F02767" w:rsidRPr="004B2A8C" w:rsidRDefault="00F02767" w:rsidP="004006B6">
            <w:pPr>
              <w:jc w:val="right"/>
              <w:rPr>
                <w:rFonts w:ascii="Arial" w:hAnsi="Arial" w:cs="Arial"/>
                <w:szCs w:val="24"/>
                <w:u w:val="single"/>
              </w:rPr>
            </w:pPr>
            <w:r w:rsidRPr="004B2A8C">
              <w:rPr>
                <w:rFonts w:ascii="Arial" w:hAnsi="Arial" w:cs="Arial"/>
                <w:szCs w:val="24"/>
                <w:u w:val="single"/>
              </w:rPr>
              <w:t xml:space="preserve"> </w:t>
            </w:r>
            <w:r w:rsidR="00C136B6">
              <w:rPr>
                <w:rFonts w:ascii="Arial" w:hAnsi="Arial" w:cs="Arial"/>
                <w:szCs w:val="24"/>
                <w:u w:val="single"/>
              </w:rPr>
              <w:t xml:space="preserve">  </w:t>
            </w:r>
            <w:r w:rsidRPr="004B2A8C">
              <w:rPr>
                <w:rFonts w:ascii="Arial" w:hAnsi="Arial" w:cs="Arial"/>
                <w:szCs w:val="24"/>
                <w:u w:val="single"/>
              </w:rPr>
              <w:t xml:space="preserve"> 139,928</w:t>
            </w:r>
          </w:p>
        </w:tc>
        <w:tc>
          <w:tcPr>
            <w:tcW w:w="236" w:type="dxa"/>
          </w:tcPr>
          <w:p w:rsidR="00F02767" w:rsidRPr="00B366C5" w:rsidRDefault="00F02767" w:rsidP="004006B6">
            <w:pPr>
              <w:jc w:val="right"/>
              <w:rPr>
                <w:rFonts w:ascii="Arial" w:hAnsi="Arial" w:cs="Arial"/>
                <w:szCs w:val="22"/>
                <w:u w:val="single"/>
              </w:rPr>
            </w:pPr>
          </w:p>
        </w:tc>
        <w:tc>
          <w:tcPr>
            <w:tcW w:w="1736" w:type="dxa"/>
          </w:tcPr>
          <w:p w:rsidR="00F02767" w:rsidRPr="004B2A8C" w:rsidRDefault="00C136B6" w:rsidP="004006B6">
            <w:pPr>
              <w:jc w:val="right"/>
              <w:rPr>
                <w:rFonts w:ascii="Arial" w:hAnsi="Arial" w:cs="Arial"/>
                <w:szCs w:val="24"/>
                <w:u w:val="single"/>
              </w:rPr>
            </w:pPr>
            <w:r>
              <w:rPr>
                <w:rFonts w:ascii="Arial" w:hAnsi="Arial" w:cs="Arial"/>
                <w:szCs w:val="24"/>
                <w:u w:val="single"/>
              </w:rPr>
              <w:t xml:space="preserve">  </w:t>
            </w:r>
            <w:r w:rsidR="00F02767" w:rsidRPr="004B2A8C">
              <w:rPr>
                <w:rFonts w:ascii="Arial" w:hAnsi="Arial" w:cs="Arial"/>
                <w:szCs w:val="24"/>
                <w:u w:val="single"/>
              </w:rPr>
              <w:t xml:space="preserve">    1,537,187</w:t>
            </w:r>
          </w:p>
        </w:tc>
        <w:tc>
          <w:tcPr>
            <w:tcW w:w="270" w:type="dxa"/>
          </w:tcPr>
          <w:p w:rsidR="00F02767" w:rsidRPr="00B366C5" w:rsidRDefault="00F02767" w:rsidP="004006B6">
            <w:pPr>
              <w:jc w:val="right"/>
              <w:rPr>
                <w:rFonts w:ascii="Arial" w:hAnsi="Arial" w:cs="Arial"/>
                <w:szCs w:val="22"/>
                <w:u w:val="single"/>
              </w:rPr>
            </w:pPr>
          </w:p>
        </w:tc>
        <w:tc>
          <w:tcPr>
            <w:tcW w:w="1942" w:type="dxa"/>
          </w:tcPr>
          <w:p w:rsidR="00F02767" w:rsidRPr="00AF6A69" w:rsidRDefault="00F02767" w:rsidP="00AF6A69">
            <w:pPr>
              <w:jc w:val="right"/>
              <w:rPr>
                <w:rFonts w:ascii="Arial" w:hAnsi="Arial" w:cs="Arial"/>
                <w:szCs w:val="24"/>
                <w:u w:val="single"/>
              </w:rPr>
            </w:pPr>
            <w:r w:rsidRPr="00AF6A69">
              <w:rPr>
                <w:rFonts w:ascii="Arial" w:hAnsi="Arial" w:cs="Arial"/>
                <w:szCs w:val="24"/>
              </w:rPr>
              <w:t xml:space="preserve">    </w:t>
            </w:r>
            <w:r w:rsidRPr="00AF6A69">
              <w:rPr>
                <w:rFonts w:ascii="Arial" w:hAnsi="Arial" w:cs="Arial"/>
                <w:szCs w:val="24"/>
                <w:u w:val="single"/>
              </w:rPr>
              <w:t xml:space="preserve">   </w:t>
            </w:r>
            <w:r w:rsidR="00C136B6">
              <w:rPr>
                <w:rFonts w:ascii="Arial" w:hAnsi="Arial" w:cs="Arial"/>
                <w:szCs w:val="24"/>
                <w:u w:val="single"/>
              </w:rPr>
              <w:t xml:space="preserve">  </w:t>
            </w:r>
            <w:r w:rsidR="00AF6A69" w:rsidRPr="00AF6A69">
              <w:rPr>
                <w:rFonts w:ascii="Arial" w:hAnsi="Arial" w:cs="Arial"/>
                <w:szCs w:val="24"/>
                <w:u w:val="single"/>
              </w:rPr>
              <w:t>1,757,491</w:t>
            </w:r>
          </w:p>
        </w:tc>
      </w:tr>
      <w:tr w:rsidR="00C136B6" w:rsidRPr="00B366C5" w:rsidTr="00C136B6">
        <w:trPr>
          <w:jc w:val="center"/>
        </w:trPr>
        <w:tc>
          <w:tcPr>
            <w:tcW w:w="1762" w:type="dxa"/>
          </w:tcPr>
          <w:p w:rsidR="00C136B6" w:rsidRPr="004B2A8C" w:rsidRDefault="00C136B6" w:rsidP="004006B6">
            <w:pPr>
              <w:rPr>
                <w:rFonts w:ascii="Arial" w:hAnsi="Arial" w:cs="Arial"/>
                <w:szCs w:val="24"/>
              </w:rPr>
            </w:pPr>
          </w:p>
        </w:tc>
        <w:tc>
          <w:tcPr>
            <w:tcW w:w="270" w:type="dxa"/>
          </w:tcPr>
          <w:p w:rsidR="00C136B6" w:rsidRPr="00B366C5" w:rsidRDefault="00C136B6" w:rsidP="004006B6">
            <w:pPr>
              <w:jc w:val="right"/>
              <w:rPr>
                <w:rFonts w:ascii="Arial" w:hAnsi="Arial" w:cs="Arial"/>
                <w:szCs w:val="22"/>
              </w:rPr>
            </w:pPr>
          </w:p>
        </w:tc>
        <w:tc>
          <w:tcPr>
            <w:tcW w:w="1710" w:type="dxa"/>
          </w:tcPr>
          <w:p w:rsidR="00C136B6" w:rsidRPr="004B2A8C" w:rsidRDefault="00C136B6" w:rsidP="004006B6">
            <w:pPr>
              <w:jc w:val="right"/>
              <w:rPr>
                <w:rFonts w:ascii="Arial" w:hAnsi="Arial" w:cs="Arial"/>
                <w:szCs w:val="24"/>
                <w:u w:val="double"/>
              </w:rPr>
            </w:pPr>
          </w:p>
        </w:tc>
        <w:tc>
          <w:tcPr>
            <w:tcW w:w="270" w:type="dxa"/>
          </w:tcPr>
          <w:p w:rsidR="00C136B6" w:rsidRPr="00B366C5" w:rsidRDefault="00C136B6" w:rsidP="004006B6">
            <w:pPr>
              <w:jc w:val="right"/>
              <w:rPr>
                <w:rFonts w:ascii="Arial" w:hAnsi="Arial" w:cs="Arial"/>
                <w:szCs w:val="22"/>
                <w:u w:val="double"/>
              </w:rPr>
            </w:pPr>
          </w:p>
        </w:tc>
        <w:tc>
          <w:tcPr>
            <w:tcW w:w="1448" w:type="dxa"/>
          </w:tcPr>
          <w:p w:rsidR="00C136B6" w:rsidRPr="004B2A8C" w:rsidRDefault="00C136B6" w:rsidP="004006B6">
            <w:pPr>
              <w:jc w:val="right"/>
              <w:rPr>
                <w:rFonts w:ascii="Arial" w:hAnsi="Arial" w:cs="Arial"/>
                <w:szCs w:val="24"/>
                <w:u w:val="double"/>
              </w:rPr>
            </w:pPr>
          </w:p>
        </w:tc>
        <w:tc>
          <w:tcPr>
            <w:tcW w:w="236" w:type="dxa"/>
          </w:tcPr>
          <w:p w:rsidR="00C136B6" w:rsidRPr="00B366C5" w:rsidRDefault="00C136B6" w:rsidP="004006B6">
            <w:pPr>
              <w:jc w:val="right"/>
              <w:rPr>
                <w:rFonts w:ascii="Arial" w:hAnsi="Arial" w:cs="Arial"/>
                <w:szCs w:val="22"/>
                <w:u w:val="double"/>
              </w:rPr>
            </w:pPr>
          </w:p>
        </w:tc>
        <w:tc>
          <w:tcPr>
            <w:tcW w:w="1736" w:type="dxa"/>
          </w:tcPr>
          <w:p w:rsidR="00C136B6" w:rsidRPr="004B2A8C" w:rsidRDefault="00C136B6" w:rsidP="004006B6">
            <w:pPr>
              <w:jc w:val="right"/>
              <w:rPr>
                <w:rFonts w:ascii="Arial" w:hAnsi="Arial" w:cs="Arial"/>
                <w:szCs w:val="24"/>
                <w:u w:val="double"/>
              </w:rPr>
            </w:pPr>
          </w:p>
        </w:tc>
        <w:tc>
          <w:tcPr>
            <w:tcW w:w="270" w:type="dxa"/>
          </w:tcPr>
          <w:p w:rsidR="00C136B6" w:rsidRPr="00B366C5" w:rsidRDefault="00C136B6" w:rsidP="004006B6">
            <w:pPr>
              <w:jc w:val="right"/>
              <w:rPr>
                <w:rFonts w:ascii="Arial" w:hAnsi="Arial" w:cs="Arial"/>
                <w:szCs w:val="22"/>
                <w:u w:val="double"/>
              </w:rPr>
            </w:pPr>
          </w:p>
        </w:tc>
        <w:tc>
          <w:tcPr>
            <w:tcW w:w="1942" w:type="dxa"/>
          </w:tcPr>
          <w:p w:rsidR="00C136B6" w:rsidRDefault="00C136B6" w:rsidP="00C136B6">
            <w:pPr>
              <w:jc w:val="right"/>
              <w:rPr>
                <w:rFonts w:ascii="Arial" w:hAnsi="Arial" w:cs="Arial"/>
                <w:szCs w:val="24"/>
                <w:u w:val="double"/>
              </w:rPr>
            </w:pPr>
          </w:p>
        </w:tc>
      </w:tr>
      <w:tr w:rsidR="00F02767" w:rsidRPr="00B366C5" w:rsidTr="00C136B6">
        <w:trPr>
          <w:jc w:val="center"/>
        </w:trPr>
        <w:tc>
          <w:tcPr>
            <w:tcW w:w="1762" w:type="dxa"/>
          </w:tcPr>
          <w:p w:rsidR="00F02767" w:rsidRPr="004B2A8C" w:rsidRDefault="00F02767" w:rsidP="004006B6">
            <w:pPr>
              <w:rPr>
                <w:rFonts w:ascii="Arial" w:hAnsi="Arial" w:cs="Arial"/>
                <w:szCs w:val="24"/>
              </w:rPr>
            </w:pPr>
            <w:r w:rsidRPr="004B2A8C">
              <w:rPr>
                <w:rFonts w:ascii="Arial" w:hAnsi="Arial" w:cs="Arial"/>
                <w:szCs w:val="24"/>
              </w:rPr>
              <w:t>Total</w:t>
            </w:r>
            <w:r w:rsidR="0069603F">
              <w:rPr>
                <w:rFonts w:ascii="Arial" w:hAnsi="Arial" w:cs="Arial"/>
                <w:szCs w:val="24"/>
              </w:rPr>
              <w:t>s</w:t>
            </w:r>
          </w:p>
        </w:tc>
        <w:tc>
          <w:tcPr>
            <w:tcW w:w="270" w:type="dxa"/>
          </w:tcPr>
          <w:p w:rsidR="00F02767" w:rsidRPr="00B366C5" w:rsidRDefault="00F02767" w:rsidP="004006B6">
            <w:pPr>
              <w:jc w:val="right"/>
              <w:rPr>
                <w:rFonts w:ascii="Arial" w:hAnsi="Arial" w:cs="Arial"/>
                <w:szCs w:val="22"/>
              </w:rPr>
            </w:pPr>
          </w:p>
        </w:tc>
        <w:tc>
          <w:tcPr>
            <w:tcW w:w="1710" w:type="dxa"/>
          </w:tcPr>
          <w:p w:rsidR="00F02767" w:rsidRPr="004B2A8C" w:rsidRDefault="00F02767" w:rsidP="004006B6">
            <w:pPr>
              <w:jc w:val="right"/>
              <w:rPr>
                <w:rFonts w:ascii="Arial" w:hAnsi="Arial" w:cs="Arial"/>
                <w:szCs w:val="24"/>
                <w:u w:val="double"/>
              </w:rPr>
            </w:pPr>
            <w:r w:rsidRPr="004B2A8C">
              <w:rPr>
                <w:rFonts w:ascii="Arial" w:hAnsi="Arial" w:cs="Arial"/>
                <w:szCs w:val="24"/>
                <w:u w:val="double"/>
              </w:rPr>
              <w:t>$</w:t>
            </w:r>
            <w:r w:rsidR="00AF6A69">
              <w:rPr>
                <w:rFonts w:ascii="Arial" w:hAnsi="Arial" w:cs="Arial"/>
                <w:szCs w:val="24"/>
                <w:u w:val="double"/>
              </w:rPr>
              <w:t xml:space="preserve">  </w:t>
            </w:r>
            <w:r w:rsidRPr="004B2A8C">
              <w:rPr>
                <w:rFonts w:ascii="Arial" w:hAnsi="Arial" w:cs="Arial"/>
                <w:szCs w:val="24"/>
                <w:u w:val="double"/>
              </w:rPr>
              <w:t>23,666,385</w:t>
            </w:r>
          </w:p>
        </w:tc>
        <w:tc>
          <w:tcPr>
            <w:tcW w:w="270" w:type="dxa"/>
          </w:tcPr>
          <w:p w:rsidR="00F02767" w:rsidRPr="00B366C5" w:rsidRDefault="00F02767" w:rsidP="004006B6">
            <w:pPr>
              <w:jc w:val="right"/>
              <w:rPr>
                <w:rFonts w:ascii="Arial" w:hAnsi="Arial" w:cs="Arial"/>
                <w:szCs w:val="22"/>
                <w:u w:val="double"/>
              </w:rPr>
            </w:pPr>
          </w:p>
        </w:tc>
        <w:tc>
          <w:tcPr>
            <w:tcW w:w="1448" w:type="dxa"/>
          </w:tcPr>
          <w:p w:rsidR="00F02767" w:rsidRPr="004B2A8C" w:rsidRDefault="00F02767" w:rsidP="004006B6">
            <w:pPr>
              <w:jc w:val="right"/>
              <w:rPr>
                <w:rFonts w:ascii="Arial" w:hAnsi="Arial" w:cs="Arial"/>
                <w:szCs w:val="24"/>
                <w:u w:val="double"/>
              </w:rPr>
            </w:pPr>
            <w:r w:rsidRPr="004B2A8C">
              <w:rPr>
                <w:rFonts w:ascii="Arial" w:hAnsi="Arial" w:cs="Arial"/>
                <w:szCs w:val="24"/>
                <w:u w:val="double"/>
              </w:rPr>
              <w:t>$</w:t>
            </w:r>
            <w:r w:rsidR="00AF6A69">
              <w:rPr>
                <w:rFonts w:ascii="Arial" w:hAnsi="Arial" w:cs="Arial"/>
                <w:szCs w:val="24"/>
                <w:u w:val="double"/>
              </w:rPr>
              <w:t xml:space="preserve">  </w:t>
            </w:r>
            <w:r w:rsidRPr="004B2A8C">
              <w:rPr>
                <w:rFonts w:ascii="Arial" w:hAnsi="Arial" w:cs="Arial"/>
                <w:szCs w:val="24"/>
                <w:u w:val="double"/>
              </w:rPr>
              <w:t>857,738</w:t>
            </w:r>
          </w:p>
        </w:tc>
        <w:tc>
          <w:tcPr>
            <w:tcW w:w="236" w:type="dxa"/>
          </w:tcPr>
          <w:p w:rsidR="00F02767" w:rsidRPr="00B366C5" w:rsidRDefault="00F02767" w:rsidP="004006B6">
            <w:pPr>
              <w:jc w:val="right"/>
              <w:rPr>
                <w:rFonts w:ascii="Arial" w:hAnsi="Arial" w:cs="Arial"/>
                <w:szCs w:val="22"/>
                <w:u w:val="double"/>
              </w:rPr>
            </w:pPr>
          </w:p>
        </w:tc>
        <w:tc>
          <w:tcPr>
            <w:tcW w:w="1736" w:type="dxa"/>
          </w:tcPr>
          <w:p w:rsidR="00F02767" w:rsidRPr="004B2A8C" w:rsidRDefault="00F02767" w:rsidP="004006B6">
            <w:pPr>
              <w:jc w:val="right"/>
              <w:rPr>
                <w:rFonts w:ascii="Arial" w:hAnsi="Arial" w:cs="Arial"/>
                <w:szCs w:val="24"/>
                <w:u w:val="double"/>
              </w:rPr>
            </w:pPr>
            <w:r w:rsidRPr="004B2A8C">
              <w:rPr>
                <w:rFonts w:ascii="Arial" w:hAnsi="Arial" w:cs="Arial"/>
                <w:szCs w:val="24"/>
                <w:u w:val="double"/>
              </w:rPr>
              <w:t>$</w:t>
            </w:r>
            <w:r w:rsidR="00C136B6">
              <w:rPr>
                <w:rFonts w:ascii="Arial" w:hAnsi="Arial" w:cs="Arial"/>
                <w:szCs w:val="24"/>
                <w:u w:val="double"/>
              </w:rPr>
              <w:t xml:space="preserve"> </w:t>
            </w:r>
            <w:r w:rsidR="00AF6A69">
              <w:rPr>
                <w:rFonts w:ascii="Arial" w:hAnsi="Arial" w:cs="Arial"/>
                <w:szCs w:val="24"/>
                <w:u w:val="double"/>
              </w:rPr>
              <w:t xml:space="preserve"> </w:t>
            </w:r>
            <w:r w:rsidRPr="004B2A8C">
              <w:rPr>
                <w:rFonts w:ascii="Arial" w:hAnsi="Arial" w:cs="Arial"/>
                <w:szCs w:val="24"/>
                <w:u w:val="double"/>
              </w:rPr>
              <w:t>21,246,771</w:t>
            </w:r>
          </w:p>
        </w:tc>
        <w:tc>
          <w:tcPr>
            <w:tcW w:w="270" w:type="dxa"/>
          </w:tcPr>
          <w:p w:rsidR="00F02767" w:rsidRPr="00B366C5" w:rsidRDefault="00F02767" w:rsidP="004006B6">
            <w:pPr>
              <w:jc w:val="right"/>
              <w:rPr>
                <w:rFonts w:ascii="Arial" w:hAnsi="Arial" w:cs="Arial"/>
                <w:szCs w:val="22"/>
                <w:u w:val="double"/>
              </w:rPr>
            </w:pPr>
          </w:p>
        </w:tc>
        <w:tc>
          <w:tcPr>
            <w:tcW w:w="1942" w:type="dxa"/>
          </w:tcPr>
          <w:p w:rsidR="00F02767" w:rsidRPr="004B2A8C" w:rsidRDefault="00C136B6" w:rsidP="00C136B6">
            <w:pPr>
              <w:jc w:val="right"/>
              <w:rPr>
                <w:rFonts w:ascii="Arial" w:hAnsi="Arial" w:cs="Arial"/>
                <w:szCs w:val="24"/>
                <w:u w:val="double"/>
              </w:rPr>
            </w:pPr>
            <w:r>
              <w:rPr>
                <w:rFonts w:ascii="Arial" w:hAnsi="Arial" w:cs="Arial"/>
                <w:szCs w:val="24"/>
                <w:u w:val="double"/>
              </w:rPr>
              <w:t xml:space="preserve">$   </w:t>
            </w:r>
            <w:r w:rsidR="00F02767" w:rsidRPr="004B2A8C">
              <w:rPr>
                <w:rFonts w:ascii="Arial" w:hAnsi="Arial" w:cs="Arial"/>
                <w:szCs w:val="24"/>
                <w:u w:val="double"/>
              </w:rPr>
              <w:t>3,277,35</w:t>
            </w:r>
            <w:r w:rsidR="0025670C">
              <w:rPr>
                <w:rFonts w:ascii="Arial" w:hAnsi="Arial" w:cs="Arial"/>
                <w:szCs w:val="24"/>
                <w:u w:val="double"/>
              </w:rPr>
              <w:t>2</w:t>
            </w:r>
          </w:p>
        </w:tc>
      </w:tr>
    </w:tbl>
    <w:p w:rsidR="00F81C7D" w:rsidRPr="00B366C5" w:rsidRDefault="00F81C7D" w:rsidP="007E0B70">
      <w:pPr>
        <w:tabs>
          <w:tab w:val="center" w:pos="4680"/>
        </w:tabs>
        <w:suppressAutoHyphens/>
        <w:rPr>
          <w:rFonts w:ascii="Times New Roman" w:hAnsi="Times New Roman"/>
          <w:szCs w:val="24"/>
        </w:rPr>
      </w:pPr>
    </w:p>
    <w:p w:rsidR="00A12FE1" w:rsidRPr="00B366C5" w:rsidRDefault="00A12FE1" w:rsidP="007E0B70">
      <w:pPr>
        <w:tabs>
          <w:tab w:val="center" w:pos="4680"/>
        </w:tabs>
        <w:suppressAutoHyphens/>
        <w:rPr>
          <w:rFonts w:ascii="Times New Roman" w:hAnsi="Times New Roman"/>
          <w:szCs w:val="24"/>
        </w:rPr>
      </w:pPr>
    </w:p>
    <w:p w:rsidR="00A12FE1" w:rsidRPr="00B366C5" w:rsidRDefault="00A12FE1" w:rsidP="007E0B70">
      <w:pPr>
        <w:tabs>
          <w:tab w:val="center" w:pos="4680"/>
        </w:tabs>
        <w:suppressAutoHyphens/>
        <w:rPr>
          <w:rFonts w:ascii="Times New Roman" w:hAnsi="Times New Roman"/>
          <w:szCs w:val="24"/>
        </w:rPr>
      </w:pPr>
    </w:p>
    <w:p w:rsidR="00A12FE1" w:rsidRPr="00B366C5" w:rsidRDefault="00A12FE1" w:rsidP="007E0B70">
      <w:pPr>
        <w:tabs>
          <w:tab w:val="center" w:pos="4680"/>
        </w:tabs>
        <w:suppressAutoHyphens/>
        <w:rPr>
          <w:rFonts w:ascii="Times New Roman" w:hAnsi="Times New Roman"/>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810ADC" w:rsidRDefault="00810ADC" w:rsidP="00A12FE1">
      <w:pPr>
        <w:tabs>
          <w:tab w:val="center" w:pos="4680"/>
        </w:tabs>
        <w:suppressAutoHyphens/>
        <w:rPr>
          <w:rFonts w:ascii="Arial" w:hAnsi="Arial" w:cs="Arial"/>
          <w:szCs w:val="24"/>
        </w:rPr>
      </w:pPr>
    </w:p>
    <w:p w:rsidR="00B872C9" w:rsidRPr="00B366C5" w:rsidRDefault="00B872C9" w:rsidP="00A12FE1">
      <w:pPr>
        <w:tabs>
          <w:tab w:val="center" w:pos="4680"/>
        </w:tabs>
        <w:suppressAutoHyphens/>
        <w:rPr>
          <w:rFonts w:ascii="Arial" w:hAnsi="Arial" w:cs="Arial"/>
          <w:szCs w:val="24"/>
        </w:rPr>
      </w:pPr>
    </w:p>
    <w:p w:rsidR="00B872C9" w:rsidRPr="00B366C5" w:rsidRDefault="00B872C9" w:rsidP="00A12FE1">
      <w:pPr>
        <w:tabs>
          <w:tab w:val="center" w:pos="4680"/>
        </w:tabs>
        <w:suppressAutoHyphens/>
        <w:rPr>
          <w:rFonts w:ascii="Arial" w:hAnsi="Arial" w:cs="Arial"/>
          <w:szCs w:val="24"/>
        </w:rPr>
      </w:pPr>
    </w:p>
    <w:p w:rsidR="00DD534C" w:rsidRDefault="00DD534C" w:rsidP="00DD534C">
      <w:pPr>
        <w:tabs>
          <w:tab w:val="center" w:pos="4680"/>
        </w:tabs>
        <w:suppressAutoHyphens/>
        <w:rPr>
          <w:rFonts w:ascii="Arial" w:hAnsi="Arial" w:cs="Arial"/>
          <w:szCs w:val="24"/>
        </w:rPr>
      </w:pPr>
      <w:r w:rsidRPr="00B366C5">
        <w:rPr>
          <w:rFonts w:ascii="Arial" w:hAnsi="Arial" w:cs="Arial"/>
          <w:szCs w:val="24"/>
        </w:rPr>
        <w:t xml:space="preserve">*As </w:t>
      </w:r>
      <w:r>
        <w:rPr>
          <w:rFonts w:ascii="Arial" w:hAnsi="Arial" w:cs="Arial"/>
          <w:szCs w:val="24"/>
        </w:rPr>
        <w:t>reported</w:t>
      </w:r>
      <w:r w:rsidRPr="00B366C5">
        <w:rPr>
          <w:rFonts w:ascii="Arial" w:hAnsi="Arial" w:cs="Arial"/>
          <w:szCs w:val="24"/>
        </w:rPr>
        <w:t xml:space="preserve"> to the Commission </w:t>
      </w:r>
      <w:r>
        <w:rPr>
          <w:rFonts w:ascii="Arial" w:hAnsi="Arial" w:cs="Arial"/>
          <w:szCs w:val="24"/>
        </w:rPr>
        <w:t xml:space="preserve">on April 2, 2012 </w:t>
      </w:r>
      <w:r w:rsidRPr="00B366C5">
        <w:rPr>
          <w:rFonts w:ascii="Arial" w:hAnsi="Arial" w:cs="Arial"/>
          <w:szCs w:val="24"/>
        </w:rPr>
        <w:t>at Docket No. M-2012-2297870</w:t>
      </w:r>
      <w:r>
        <w:rPr>
          <w:rFonts w:ascii="Arial" w:hAnsi="Arial" w:cs="Arial"/>
          <w:szCs w:val="24"/>
        </w:rPr>
        <w:t xml:space="preserve">.  </w:t>
      </w:r>
    </w:p>
    <w:p w:rsidR="00DD534C" w:rsidRDefault="00DD534C" w:rsidP="00DD534C">
      <w:pPr>
        <w:tabs>
          <w:tab w:val="center" w:pos="4680"/>
        </w:tabs>
        <w:suppressAutoHyphens/>
        <w:rPr>
          <w:rFonts w:ascii="Arial" w:hAnsi="Arial" w:cs="Arial"/>
          <w:szCs w:val="24"/>
        </w:rPr>
      </w:pPr>
      <w:r>
        <w:rPr>
          <w:rFonts w:ascii="Arial" w:hAnsi="Arial" w:cs="Arial"/>
          <w:szCs w:val="24"/>
        </w:rPr>
        <w:t xml:space="preserve"> </w:t>
      </w:r>
    </w:p>
    <w:p w:rsidR="00DD534C" w:rsidRPr="00B366C5" w:rsidRDefault="00DD534C" w:rsidP="00DD534C">
      <w:pPr>
        <w:tabs>
          <w:tab w:val="center" w:pos="4680"/>
        </w:tabs>
        <w:suppressAutoHyphens/>
        <w:rPr>
          <w:rFonts w:ascii="Arial" w:hAnsi="Arial" w:cs="Arial"/>
          <w:szCs w:val="24"/>
        </w:rPr>
      </w:pPr>
      <w:r>
        <w:rPr>
          <w:rFonts w:ascii="Arial" w:hAnsi="Arial" w:cs="Arial"/>
          <w:szCs w:val="24"/>
        </w:rPr>
        <w:t xml:space="preserve"> </w:t>
      </w:r>
      <w:r w:rsidRPr="00B366C5">
        <w:rPr>
          <w:rFonts w:ascii="Arial" w:hAnsi="Arial" w:cs="Arial"/>
          <w:szCs w:val="24"/>
        </w:rPr>
        <w:t>No</w:t>
      </w:r>
      <w:r>
        <w:rPr>
          <w:rFonts w:ascii="Arial" w:hAnsi="Arial" w:cs="Arial"/>
          <w:szCs w:val="24"/>
        </w:rPr>
        <w:t>t</w:t>
      </w:r>
      <w:r w:rsidRPr="00B366C5">
        <w:rPr>
          <w:rFonts w:ascii="Arial" w:hAnsi="Arial" w:cs="Arial"/>
          <w:szCs w:val="24"/>
        </w:rPr>
        <w:t>es to the Financial Statement</w:t>
      </w:r>
      <w:r>
        <w:rPr>
          <w:rFonts w:ascii="Arial" w:hAnsi="Arial" w:cs="Arial"/>
          <w:szCs w:val="24"/>
        </w:rPr>
        <w:t>s</w:t>
      </w:r>
      <w:r w:rsidRPr="00B366C5">
        <w:rPr>
          <w:rFonts w:ascii="Arial" w:hAnsi="Arial" w:cs="Arial"/>
          <w:szCs w:val="24"/>
        </w:rPr>
        <w:t xml:space="preserve"> are an integral part of this report.</w:t>
      </w:r>
    </w:p>
    <w:p w:rsidR="0069603F" w:rsidRDefault="0069603F" w:rsidP="007E0B70">
      <w:pPr>
        <w:tabs>
          <w:tab w:val="center" w:pos="4680"/>
        </w:tabs>
        <w:suppressAutoHyphens/>
        <w:rPr>
          <w:rFonts w:ascii="Times New Roman" w:hAnsi="Times New Roman"/>
          <w:szCs w:val="24"/>
        </w:rPr>
        <w:sectPr w:rsidR="0069603F" w:rsidSect="001A3A85">
          <w:headerReference w:type="even" r:id="rId23"/>
          <w:headerReference w:type="default" r:id="rId24"/>
          <w:footerReference w:type="default" r:id="rId25"/>
          <w:headerReference w:type="first" r:id="rId26"/>
          <w:endnotePr>
            <w:numFmt w:val="decimal"/>
          </w:endnotePr>
          <w:type w:val="continuous"/>
          <w:pgSz w:w="12240" w:h="15840" w:code="1"/>
          <w:pgMar w:top="1440" w:right="1440" w:bottom="1152" w:left="1440" w:header="0" w:footer="720" w:gutter="0"/>
          <w:pgNumType w:fmt="numberInDash" w:start="1"/>
          <w:cols w:space="720"/>
          <w:noEndnote/>
          <w:docGrid w:linePitch="326"/>
        </w:sectPr>
      </w:pPr>
    </w:p>
    <w:p w:rsidR="007E0B70" w:rsidRPr="004E4262" w:rsidRDefault="00B02B85" w:rsidP="007E0B70">
      <w:pPr>
        <w:pStyle w:val="Heading1"/>
        <w:rPr>
          <w:rFonts w:ascii="Arial" w:hAnsi="Arial" w:cs="Arial"/>
          <w:sz w:val="26"/>
          <w:szCs w:val="24"/>
          <w:u w:val="none"/>
        </w:rPr>
      </w:pPr>
      <w:r w:rsidRPr="004E4262">
        <w:rPr>
          <w:rFonts w:ascii="Arial" w:hAnsi="Arial" w:cs="Arial"/>
          <w:sz w:val="26"/>
          <w:szCs w:val="24"/>
          <w:u w:val="none"/>
        </w:rPr>
        <w:lastRenderedPageBreak/>
        <w:t>PECO</w:t>
      </w:r>
      <w:r w:rsidR="00F81C7D" w:rsidRPr="004E4262">
        <w:rPr>
          <w:rFonts w:ascii="Arial" w:hAnsi="Arial" w:cs="Arial"/>
          <w:sz w:val="26"/>
          <w:szCs w:val="24"/>
          <w:u w:val="none"/>
        </w:rPr>
        <w:t xml:space="preserve"> </w:t>
      </w:r>
      <w:r w:rsidRPr="004E4262">
        <w:rPr>
          <w:rFonts w:ascii="Arial" w:hAnsi="Arial" w:cs="Arial"/>
          <w:sz w:val="26"/>
          <w:szCs w:val="24"/>
          <w:u w:val="none"/>
        </w:rPr>
        <w:t>ENERGY COMPANY</w:t>
      </w:r>
    </w:p>
    <w:p w:rsidR="007E0B70" w:rsidRPr="00613CB0" w:rsidRDefault="007E0B70" w:rsidP="007E0B70">
      <w:pPr>
        <w:pStyle w:val="Heading1"/>
        <w:rPr>
          <w:rFonts w:ascii="Arial" w:hAnsi="Arial" w:cs="Arial"/>
          <w:sz w:val="26"/>
          <w:szCs w:val="26"/>
          <w:u w:val="none"/>
        </w:rPr>
      </w:pPr>
    </w:p>
    <w:p w:rsidR="007E0B70" w:rsidRPr="00613CB0" w:rsidRDefault="007E0B70" w:rsidP="007E0B70">
      <w:pPr>
        <w:pStyle w:val="Heading1"/>
        <w:rPr>
          <w:rFonts w:ascii="Arial" w:hAnsi="Arial" w:cs="Arial"/>
          <w:sz w:val="26"/>
          <w:szCs w:val="26"/>
          <w:u w:val="none"/>
        </w:rPr>
      </w:pPr>
      <w:r w:rsidRPr="00613CB0">
        <w:rPr>
          <w:rFonts w:ascii="Arial" w:hAnsi="Arial" w:cs="Arial"/>
          <w:sz w:val="26"/>
          <w:szCs w:val="26"/>
          <w:u w:val="none"/>
        </w:rPr>
        <w:t>Notes to the Financial Statement</w:t>
      </w:r>
      <w:r w:rsidR="00E57146" w:rsidRPr="00613CB0">
        <w:rPr>
          <w:rFonts w:ascii="Arial" w:hAnsi="Arial" w:cs="Arial"/>
          <w:sz w:val="26"/>
          <w:szCs w:val="26"/>
          <w:u w:val="none"/>
        </w:rPr>
        <w:t>s</w:t>
      </w:r>
    </w:p>
    <w:p w:rsidR="007E0B70" w:rsidRDefault="007E0B70" w:rsidP="007E0B70">
      <w:pPr>
        <w:tabs>
          <w:tab w:val="center" w:pos="4680"/>
        </w:tabs>
        <w:suppressAutoHyphens/>
        <w:outlineLvl w:val="0"/>
        <w:rPr>
          <w:rFonts w:ascii="Arial" w:hAnsi="Arial" w:cs="Arial"/>
          <w:b/>
          <w:szCs w:val="24"/>
        </w:rPr>
      </w:pPr>
    </w:p>
    <w:p w:rsidR="00613CB0" w:rsidRPr="00B366C5" w:rsidRDefault="00613CB0" w:rsidP="007E0B70">
      <w:pPr>
        <w:tabs>
          <w:tab w:val="center" w:pos="4680"/>
        </w:tabs>
        <w:suppressAutoHyphens/>
        <w:outlineLvl w:val="0"/>
        <w:rPr>
          <w:rFonts w:ascii="Arial" w:hAnsi="Arial" w:cs="Arial"/>
          <w:b/>
          <w:szCs w:val="24"/>
        </w:rPr>
      </w:pPr>
    </w:p>
    <w:p w:rsidR="00613CB0" w:rsidRPr="00936DE2" w:rsidRDefault="00613CB0" w:rsidP="00613CB0">
      <w:pPr>
        <w:jc w:val="both"/>
        <w:rPr>
          <w:rFonts w:ascii="Arial" w:hAnsi="Arial" w:cs="Arial"/>
          <w:b/>
          <w:szCs w:val="24"/>
          <w:u w:val="single"/>
        </w:rPr>
      </w:pPr>
      <w:r>
        <w:rPr>
          <w:rFonts w:ascii="Arial" w:hAnsi="Arial" w:cs="Arial"/>
          <w:b/>
          <w:szCs w:val="24"/>
          <w:u w:val="single"/>
        </w:rPr>
        <w:t xml:space="preserve">1 </w:t>
      </w:r>
      <w:r w:rsidRPr="00936DE2">
        <w:rPr>
          <w:rFonts w:ascii="Arial" w:hAnsi="Arial" w:cs="Arial"/>
          <w:b/>
          <w:szCs w:val="24"/>
          <w:u w:val="single"/>
        </w:rPr>
        <w:t>–</w:t>
      </w:r>
      <w:r>
        <w:rPr>
          <w:rFonts w:ascii="Arial" w:hAnsi="Arial" w:cs="Arial"/>
          <w:b/>
          <w:szCs w:val="24"/>
          <w:u w:val="single"/>
        </w:rPr>
        <w:t xml:space="preserve"> Condensed Statement</w:t>
      </w:r>
    </w:p>
    <w:p w:rsidR="007E0B70" w:rsidRPr="00B366C5" w:rsidRDefault="007E0B70" w:rsidP="007E0B70">
      <w:pPr>
        <w:tabs>
          <w:tab w:val="center" w:pos="4680"/>
        </w:tabs>
        <w:suppressAutoHyphens/>
        <w:outlineLvl w:val="0"/>
        <w:rPr>
          <w:rFonts w:ascii="Arial" w:hAnsi="Arial" w:cs="Arial"/>
          <w:b/>
          <w:szCs w:val="24"/>
        </w:rPr>
      </w:pPr>
    </w:p>
    <w:p w:rsidR="00613CB0" w:rsidRPr="007D5DFB" w:rsidRDefault="00613CB0" w:rsidP="00613CB0">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f</w:t>
      </w:r>
      <w:r>
        <w:rPr>
          <w:rFonts w:ascii="Arial" w:hAnsi="Arial" w:cs="Arial"/>
          <w:szCs w:val="24"/>
        </w:rPr>
        <w:t xml:space="preserve"> Alternative </w:t>
      </w:r>
      <w:r w:rsidRPr="00B366C5">
        <w:rPr>
          <w:rFonts w:ascii="Arial" w:hAnsi="Arial" w:cs="Arial"/>
          <w:szCs w:val="24"/>
        </w:rPr>
        <w:t xml:space="preserve">Energy Portfolio Standards (AEPS) </w:t>
      </w:r>
      <w:r>
        <w:rPr>
          <w:rFonts w:ascii="Arial" w:hAnsi="Arial" w:cs="Arial"/>
          <w:szCs w:val="24"/>
        </w:rPr>
        <w:t>Over/(Under) Collections and the Amortization Statement of Rate Cap Costs (RCC)</w:t>
      </w:r>
      <w:r w:rsidR="00C81D5B">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 report are</w:t>
      </w:r>
      <w:r w:rsidRPr="007D5DFB">
        <w:rPr>
          <w:rFonts w:ascii="Arial" w:hAnsi="Arial" w:cs="Arial"/>
          <w:szCs w:val="26"/>
        </w:rPr>
        <w:t xml:space="preserve"> condensed from the officially filed statement</w:t>
      </w:r>
      <w:r>
        <w:rPr>
          <w:rFonts w:ascii="Arial" w:hAnsi="Arial" w:cs="Arial"/>
          <w:szCs w:val="26"/>
        </w:rPr>
        <w:t>s</w:t>
      </w:r>
      <w:r w:rsidRPr="007D5DFB">
        <w:rPr>
          <w:rFonts w:ascii="Arial" w:hAnsi="Arial" w:cs="Arial"/>
          <w:szCs w:val="26"/>
        </w:rPr>
        <w:t xml:space="preserve">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6"/>
        </w:rPr>
        <w:t>PECO Energy Company</w:t>
      </w:r>
      <w:r>
        <w:rPr>
          <w:rFonts w:ascii="Arial" w:hAnsi="Arial" w:cs="Arial"/>
          <w:szCs w:val="24"/>
        </w:rPr>
        <w:t xml:space="preserve">’s (PECO or Company) </w:t>
      </w:r>
      <w:r w:rsidRPr="007D5DFB">
        <w:rPr>
          <w:rFonts w:ascii="Arial" w:hAnsi="Arial" w:cs="Arial"/>
          <w:szCs w:val="26"/>
        </w:rPr>
        <w:t xml:space="preserve">officially filed 1307(e) </w:t>
      </w:r>
      <w:r>
        <w:rPr>
          <w:rFonts w:ascii="Arial" w:hAnsi="Arial" w:cs="Arial"/>
          <w:szCs w:val="26"/>
        </w:rPr>
        <w:t xml:space="preserve">statement and amortization schedule </w:t>
      </w:r>
      <w:r w:rsidRPr="007D5DFB">
        <w:rPr>
          <w:rFonts w:ascii="Arial" w:hAnsi="Arial" w:cs="Arial"/>
          <w:szCs w:val="26"/>
        </w:rPr>
        <w:t>submitted to the Commission on</w:t>
      </w:r>
      <w:r>
        <w:rPr>
          <w:rFonts w:ascii="Arial" w:hAnsi="Arial" w:cs="Arial"/>
          <w:szCs w:val="26"/>
        </w:rPr>
        <w:t xml:space="preserve"> </w:t>
      </w:r>
      <w:r w:rsidR="00106FDE">
        <w:rPr>
          <w:rFonts w:ascii="Arial" w:hAnsi="Arial" w:cs="Arial"/>
          <w:szCs w:val="26"/>
        </w:rPr>
        <w:t>April 2, 2012</w:t>
      </w:r>
      <w:r>
        <w:rPr>
          <w:rFonts w:ascii="Arial" w:hAnsi="Arial" w:cs="Arial"/>
          <w:szCs w:val="26"/>
        </w:rPr>
        <w:t xml:space="preserve"> </w:t>
      </w:r>
      <w:r w:rsidRPr="007D5DFB">
        <w:rPr>
          <w:rFonts w:ascii="Arial" w:hAnsi="Arial" w:cs="Arial"/>
          <w:szCs w:val="26"/>
        </w:rPr>
        <w:t>and is available at Docket No. M</w:t>
      </w:r>
      <w:r>
        <w:rPr>
          <w:rFonts w:ascii="Arial" w:hAnsi="Arial" w:cs="Arial"/>
          <w:szCs w:val="26"/>
        </w:rPr>
        <w:noBreakHyphen/>
      </w:r>
      <w:r w:rsidRPr="007D5DFB">
        <w:rPr>
          <w:rFonts w:ascii="Arial" w:hAnsi="Arial" w:cs="Arial"/>
          <w:szCs w:val="26"/>
        </w:rPr>
        <w:t>20</w:t>
      </w:r>
      <w:r>
        <w:rPr>
          <w:rFonts w:ascii="Arial" w:hAnsi="Arial" w:cs="Arial"/>
          <w:szCs w:val="26"/>
        </w:rPr>
        <w:t>12</w:t>
      </w:r>
      <w:r w:rsidRPr="007D5DFB">
        <w:rPr>
          <w:rFonts w:ascii="Arial" w:hAnsi="Arial" w:cs="Arial"/>
          <w:szCs w:val="26"/>
        </w:rPr>
        <w:t>-</w:t>
      </w:r>
      <w:r>
        <w:rPr>
          <w:rFonts w:ascii="Arial" w:hAnsi="Arial" w:cs="Arial"/>
          <w:szCs w:val="26"/>
        </w:rPr>
        <w:t>2297870</w:t>
      </w:r>
      <w:r w:rsidRPr="007D5DFB">
        <w:rPr>
          <w:rFonts w:ascii="Arial" w:hAnsi="Arial" w:cs="Arial"/>
          <w:szCs w:val="26"/>
        </w:rPr>
        <w:t xml:space="preserve"> via http://www.puc.pa.gov</w:t>
      </w:r>
      <w:r>
        <w:rPr>
          <w:rFonts w:ascii="Arial" w:hAnsi="Arial" w:cs="Arial"/>
          <w:szCs w:val="26"/>
        </w:rPr>
        <w:t>.</w:t>
      </w:r>
    </w:p>
    <w:p w:rsidR="00613CB0" w:rsidRDefault="00613CB0" w:rsidP="00613CB0">
      <w:pPr>
        <w:ind w:left="360"/>
        <w:jc w:val="both"/>
        <w:rPr>
          <w:rFonts w:ascii="Arial" w:hAnsi="Arial" w:cs="Arial"/>
          <w:b/>
          <w:szCs w:val="24"/>
        </w:rPr>
      </w:pPr>
    </w:p>
    <w:p w:rsidR="00DB4906" w:rsidRPr="007701F3" w:rsidRDefault="00DB4906" w:rsidP="00DB4906">
      <w:pPr>
        <w:pStyle w:val="EndnoteText"/>
        <w:tabs>
          <w:tab w:val="left" w:pos="360"/>
        </w:tabs>
        <w:suppressAutoHyphens/>
        <w:rPr>
          <w:rFonts w:ascii="Arial" w:hAnsi="Arial" w:cs="Arial"/>
          <w:b/>
          <w:szCs w:val="24"/>
          <w:u w:val="single"/>
        </w:rPr>
      </w:pPr>
      <w:r w:rsidRPr="007701F3">
        <w:rPr>
          <w:rFonts w:ascii="Arial" w:hAnsi="Arial" w:cs="Arial"/>
          <w:b/>
          <w:szCs w:val="24"/>
          <w:u w:val="single"/>
        </w:rPr>
        <w:t xml:space="preserve">2 </w:t>
      </w:r>
      <w:r w:rsidR="007701F3" w:rsidRPr="007701F3">
        <w:rPr>
          <w:rFonts w:ascii="Arial" w:hAnsi="Arial" w:cs="Arial"/>
          <w:b/>
          <w:szCs w:val="24"/>
          <w:u w:val="single"/>
        </w:rPr>
        <w:t>–</w:t>
      </w:r>
      <w:r w:rsidRPr="007701F3">
        <w:rPr>
          <w:rFonts w:ascii="Arial" w:hAnsi="Arial" w:cs="Arial"/>
          <w:b/>
          <w:szCs w:val="24"/>
          <w:u w:val="single"/>
        </w:rPr>
        <w:tab/>
      </w:r>
      <w:r w:rsidR="007701F3">
        <w:rPr>
          <w:rFonts w:ascii="Arial" w:hAnsi="Arial" w:cs="Arial"/>
          <w:b/>
          <w:szCs w:val="24"/>
          <w:u w:val="single"/>
        </w:rPr>
        <w:t xml:space="preserve">AEPS </w:t>
      </w:r>
      <w:r w:rsidRPr="007701F3">
        <w:rPr>
          <w:rFonts w:ascii="Arial" w:hAnsi="Arial" w:cs="Arial"/>
          <w:b/>
          <w:szCs w:val="24"/>
          <w:u w:val="single"/>
        </w:rPr>
        <w:t xml:space="preserve">Costs </w:t>
      </w:r>
    </w:p>
    <w:p w:rsidR="00DB4906" w:rsidRPr="00B366C5" w:rsidRDefault="00DB4906" w:rsidP="00DB4906">
      <w:pPr>
        <w:tabs>
          <w:tab w:val="left" w:pos="360"/>
        </w:tabs>
        <w:ind w:left="360"/>
        <w:rPr>
          <w:rFonts w:ascii="Arial" w:hAnsi="Arial" w:cs="Arial"/>
          <w:szCs w:val="24"/>
        </w:rPr>
      </w:pPr>
    </w:p>
    <w:p w:rsidR="00F16853" w:rsidRPr="00B366C5" w:rsidRDefault="00B216C2" w:rsidP="00DB4906">
      <w:pPr>
        <w:tabs>
          <w:tab w:val="left" w:pos="360"/>
        </w:tabs>
        <w:ind w:left="360"/>
        <w:rPr>
          <w:rFonts w:ascii="Arial" w:hAnsi="Arial" w:cs="Arial"/>
          <w:szCs w:val="24"/>
        </w:rPr>
      </w:pPr>
      <w:r>
        <w:rPr>
          <w:rFonts w:ascii="Arial" w:hAnsi="Arial" w:cs="Arial"/>
        </w:rPr>
        <w:t xml:space="preserve">AEPS Costs are </w:t>
      </w:r>
      <w:r w:rsidR="008A2839">
        <w:rPr>
          <w:rFonts w:ascii="Arial" w:hAnsi="Arial" w:cs="Arial"/>
        </w:rPr>
        <w:t>t</w:t>
      </w:r>
      <w:r w:rsidR="005A37AE" w:rsidRPr="00B366C5">
        <w:rPr>
          <w:rFonts w:ascii="Arial" w:hAnsi="Arial" w:cs="Arial"/>
        </w:rPr>
        <w:t>he</w:t>
      </w:r>
      <w:r w:rsidR="00F16853" w:rsidRPr="00B366C5">
        <w:rPr>
          <w:rFonts w:ascii="Arial" w:hAnsi="Arial" w:cs="Arial"/>
        </w:rPr>
        <w:t xml:space="preserve"> costs of </w:t>
      </w:r>
      <w:r w:rsidR="008A2839">
        <w:rPr>
          <w:rFonts w:ascii="Arial" w:hAnsi="Arial" w:cs="Arial"/>
        </w:rPr>
        <w:t>complying with the Alternative Energy Portfolio Standards Act</w:t>
      </w:r>
      <w:r w:rsidR="00F870E1">
        <w:rPr>
          <w:rFonts w:ascii="Arial" w:hAnsi="Arial" w:cs="Arial"/>
        </w:rPr>
        <w:t xml:space="preserve"> (AEPS Act)</w:t>
      </w:r>
      <w:r w:rsidR="008A2839">
        <w:rPr>
          <w:rFonts w:ascii="Arial" w:hAnsi="Arial" w:cs="Arial"/>
        </w:rPr>
        <w:t xml:space="preserve">.  These costs include the amount paid for Alternative Energy and/or </w:t>
      </w:r>
      <w:r w:rsidR="00F16853" w:rsidRPr="00B366C5">
        <w:rPr>
          <w:rFonts w:ascii="Arial" w:hAnsi="Arial" w:cs="Arial"/>
        </w:rPr>
        <w:t>A</w:t>
      </w:r>
      <w:r w:rsidR="005A37AE" w:rsidRPr="00B366C5">
        <w:rPr>
          <w:rFonts w:ascii="Arial" w:hAnsi="Arial" w:cs="Arial"/>
        </w:rPr>
        <w:t xml:space="preserve">lternative </w:t>
      </w:r>
      <w:r w:rsidR="00F16853" w:rsidRPr="00B366C5">
        <w:rPr>
          <w:rFonts w:ascii="Arial" w:hAnsi="Arial" w:cs="Arial"/>
        </w:rPr>
        <w:t>E</w:t>
      </w:r>
      <w:r w:rsidR="005A37AE" w:rsidRPr="00B366C5">
        <w:rPr>
          <w:rFonts w:ascii="Arial" w:hAnsi="Arial" w:cs="Arial"/>
        </w:rPr>
        <w:t xml:space="preserve">nergy </w:t>
      </w:r>
      <w:r w:rsidR="00F16853" w:rsidRPr="00B366C5">
        <w:rPr>
          <w:rFonts w:ascii="Arial" w:hAnsi="Arial" w:cs="Arial"/>
        </w:rPr>
        <w:t>C</w:t>
      </w:r>
      <w:r w:rsidR="005A37AE" w:rsidRPr="00B366C5">
        <w:rPr>
          <w:rFonts w:ascii="Arial" w:hAnsi="Arial" w:cs="Arial"/>
        </w:rPr>
        <w:t>redit</w:t>
      </w:r>
      <w:r w:rsidR="00F16853" w:rsidRPr="00B366C5">
        <w:rPr>
          <w:rFonts w:ascii="Arial" w:hAnsi="Arial" w:cs="Arial"/>
        </w:rPr>
        <w:t xml:space="preserve">s </w:t>
      </w:r>
      <w:r w:rsidR="005A37AE" w:rsidRPr="00B366C5">
        <w:rPr>
          <w:rFonts w:ascii="Arial" w:hAnsi="Arial" w:cs="Arial"/>
        </w:rPr>
        <w:t xml:space="preserve">(AECs) </w:t>
      </w:r>
      <w:r w:rsidR="008A2839">
        <w:rPr>
          <w:rFonts w:ascii="Arial" w:hAnsi="Arial" w:cs="Arial"/>
        </w:rPr>
        <w:t xml:space="preserve">purchased or banked for the purpose of being used by PECO during a </w:t>
      </w:r>
      <w:r w:rsidR="00F870E1">
        <w:rPr>
          <w:rFonts w:ascii="Arial" w:hAnsi="Arial" w:cs="Arial"/>
        </w:rPr>
        <w:t xml:space="preserve">compliance period, administrative costs for the procurement process, </w:t>
      </w:r>
      <w:r w:rsidR="00F870E1" w:rsidRPr="00B366C5">
        <w:rPr>
          <w:rFonts w:ascii="Arial" w:hAnsi="Arial" w:cs="Arial"/>
        </w:rPr>
        <w:t>payments to the Commission’s AEPS program administrator,</w:t>
      </w:r>
      <w:r w:rsidR="00F870E1">
        <w:rPr>
          <w:rFonts w:ascii="Arial" w:hAnsi="Arial" w:cs="Arial"/>
        </w:rPr>
        <w:t xml:space="preserve"> payments to a third party for operation of the AEC registry, </w:t>
      </w:r>
      <w:r w:rsidR="00F870E1" w:rsidRPr="00B366C5">
        <w:rPr>
          <w:rFonts w:ascii="Arial" w:hAnsi="Arial" w:cs="Arial"/>
        </w:rPr>
        <w:t xml:space="preserve">charges levied by </w:t>
      </w:r>
      <w:r w:rsidR="00F870E1" w:rsidRPr="00F51FF0">
        <w:rPr>
          <w:rFonts w:ascii="Arial" w:hAnsi="Arial" w:cs="Arial"/>
          <w:szCs w:val="24"/>
        </w:rPr>
        <w:t>P</w:t>
      </w:r>
      <w:r w:rsidR="00F870E1">
        <w:rPr>
          <w:rFonts w:ascii="Arial" w:hAnsi="Arial" w:cs="Arial"/>
          <w:szCs w:val="24"/>
        </w:rPr>
        <w:t xml:space="preserve">ennsylvania-New </w:t>
      </w:r>
      <w:r w:rsidR="00F870E1" w:rsidRPr="00F51FF0">
        <w:rPr>
          <w:rFonts w:ascii="Arial" w:hAnsi="Arial" w:cs="Arial"/>
          <w:szCs w:val="24"/>
        </w:rPr>
        <w:t>J</w:t>
      </w:r>
      <w:r w:rsidR="00F870E1">
        <w:rPr>
          <w:rFonts w:ascii="Arial" w:hAnsi="Arial" w:cs="Arial"/>
          <w:szCs w:val="24"/>
        </w:rPr>
        <w:t>ersey-</w:t>
      </w:r>
      <w:r w:rsidR="00F870E1" w:rsidRPr="00F51FF0">
        <w:rPr>
          <w:rFonts w:ascii="Arial" w:hAnsi="Arial" w:cs="Arial"/>
          <w:szCs w:val="24"/>
        </w:rPr>
        <w:t>M</w:t>
      </w:r>
      <w:r w:rsidR="00F870E1">
        <w:rPr>
          <w:rFonts w:ascii="Arial" w:hAnsi="Arial" w:cs="Arial"/>
          <w:szCs w:val="24"/>
        </w:rPr>
        <w:t>aryland Interconnection</w:t>
      </w:r>
      <w:r w:rsidR="00F870E1" w:rsidRPr="00F51FF0">
        <w:rPr>
          <w:rFonts w:ascii="Arial" w:hAnsi="Arial" w:cs="Arial"/>
          <w:szCs w:val="24"/>
        </w:rPr>
        <w:t xml:space="preserve"> </w:t>
      </w:r>
      <w:r w:rsidR="00F870E1">
        <w:rPr>
          <w:rFonts w:ascii="Arial" w:hAnsi="Arial" w:cs="Arial"/>
          <w:szCs w:val="24"/>
        </w:rPr>
        <w:t>(PJM)</w:t>
      </w:r>
      <w:r w:rsidR="00F870E1" w:rsidRPr="00B366C5">
        <w:rPr>
          <w:rFonts w:ascii="Arial" w:hAnsi="Arial" w:cs="Arial"/>
        </w:rPr>
        <w:t xml:space="preserve"> to ensure that alternative energy sources are reliable,</w:t>
      </w:r>
      <w:r w:rsidR="00F870E1">
        <w:rPr>
          <w:rFonts w:ascii="Arial" w:hAnsi="Arial" w:cs="Arial"/>
        </w:rPr>
        <w:t xml:space="preserve"> a credit for the sale of any AECs sold during the calculation period, </w:t>
      </w:r>
      <w:r w:rsidR="00F16853" w:rsidRPr="00B366C5">
        <w:rPr>
          <w:rFonts w:ascii="Arial" w:hAnsi="Arial" w:cs="Arial"/>
        </w:rPr>
        <w:t xml:space="preserve">the cost of AEPS compliance payments deemed recoverable by the Commission and any other direct or indirect cost of acquiring </w:t>
      </w:r>
      <w:r w:rsidR="00F870E1">
        <w:rPr>
          <w:rFonts w:ascii="Arial" w:hAnsi="Arial" w:cs="Arial"/>
        </w:rPr>
        <w:t>Alternative E</w:t>
      </w:r>
      <w:r w:rsidR="00F16853" w:rsidRPr="00B366C5">
        <w:rPr>
          <w:rFonts w:ascii="Arial" w:hAnsi="Arial" w:cs="Arial"/>
        </w:rPr>
        <w:t>nergy and/or AECs and complying with the AEPS Act.</w:t>
      </w:r>
    </w:p>
    <w:p w:rsidR="00DB4906" w:rsidRPr="00B366C5" w:rsidRDefault="00DB4906" w:rsidP="00DB4906">
      <w:pPr>
        <w:tabs>
          <w:tab w:val="left" w:pos="360"/>
        </w:tabs>
        <w:ind w:left="360"/>
        <w:rPr>
          <w:rFonts w:ascii="Arial" w:hAnsi="Arial" w:cs="Arial"/>
          <w:szCs w:val="24"/>
        </w:rPr>
      </w:pPr>
    </w:p>
    <w:p w:rsidR="007701F3" w:rsidRPr="007701F3" w:rsidRDefault="007701F3" w:rsidP="007701F3">
      <w:pPr>
        <w:pStyle w:val="EndnoteText"/>
        <w:tabs>
          <w:tab w:val="left" w:pos="360"/>
        </w:tabs>
        <w:suppressAutoHyphens/>
        <w:rPr>
          <w:rFonts w:ascii="Arial" w:hAnsi="Arial" w:cs="Arial"/>
          <w:b/>
          <w:szCs w:val="24"/>
          <w:u w:val="single"/>
        </w:rPr>
      </w:pPr>
      <w:r>
        <w:rPr>
          <w:rFonts w:ascii="Arial" w:hAnsi="Arial" w:cs="Arial"/>
          <w:b/>
          <w:szCs w:val="24"/>
          <w:u w:val="single"/>
        </w:rPr>
        <w:t>3</w:t>
      </w:r>
      <w:r w:rsidRPr="007701F3">
        <w:rPr>
          <w:rFonts w:ascii="Arial" w:hAnsi="Arial" w:cs="Arial"/>
          <w:b/>
          <w:szCs w:val="24"/>
          <w:u w:val="single"/>
        </w:rPr>
        <w:t xml:space="preserve"> –</w:t>
      </w:r>
      <w:r w:rsidRPr="007701F3">
        <w:rPr>
          <w:rFonts w:ascii="Arial" w:hAnsi="Arial" w:cs="Arial"/>
          <w:b/>
          <w:szCs w:val="24"/>
          <w:u w:val="single"/>
        </w:rPr>
        <w:tab/>
      </w:r>
      <w:r>
        <w:rPr>
          <w:rFonts w:ascii="Arial" w:hAnsi="Arial" w:cs="Arial"/>
          <w:b/>
          <w:szCs w:val="24"/>
          <w:u w:val="single"/>
        </w:rPr>
        <w:t>AEPS Revenues</w:t>
      </w:r>
      <w:r w:rsidRPr="007701F3">
        <w:rPr>
          <w:rFonts w:ascii="Arial" w:hAnsi="Arial" w:cs="Arial"/>
          <w:b/>
          <w:szCs w:val="24"/>
          <w:u w:val="single"/>
        </w:rPr>
        <w:t xml:space="preserve"> </w:t>
      </w:r>
    </w:p>
    <w:p w:rsidR="007E0B70" w:rsidRPr="00B366C5" w:rsidRDefault="007E0B70" w:rsidP="007E0B70">
      <w:pPr>
        <w:tabs>
          <w:tab w:val="left" w:pos="360"/>
        </w:tabs>
        <w:jc w:val="both"/>
        <w:rPr>
          <w:rFonts w:ascii="Arial" w:hAnsi="Arial" w:cs="Arial"/>
          <w:b/>
          <w:szCs w:val="24"/>
          <w:u w:val="single"/>
        </w:rPr>
      </w:pPr>
    </w:p>
    <w:p w:rsidR="007E0B70" w:rsidRPr="00B366C5" w:rsidRDefault="005F248C" w:rsidP="007E0B70">
      <w:pPr>
        <w:tabs>
          <w:tab w:val="left" w:pos="360"/>
        </w:tabs>
        <w:ind w:left="360"/>
        <w:rPr>
          <w:rFonts w:ascii="Arial" w:hAnsi="Arial" w:cs="Arial"/>
          <w:szCs w:val="24"/>
        </w:rPr>
      </w:pPr>
      <w:r w:rsidRPr="00B366C5">
        <w:rPr>
          <w:rFonts w:ascii="Arial" w:hAnsi="Arial" w:cs="Arial"/>
          <w:szCs w:val="24"/>
        </w:rPr>
        <w:t>AEPS</w:t>
      </w:r>
      <w:r w:rsidR="007E0B70" w:rsidRPr="00B366C5">
        <w:rPr>
          <w:rFonts w:ascii="Arial" w:hAnsi="Arial" w:cs="Arial"/>
          <w:szCs w:val="24"/>
        </w:rPr>
        <w:t xml:space="preserve"> Revenue</w:t>
      </w:r>
      <w:r w:rsidR="00613B93" w:rsidRPr="00B366C5">
        <w:rPr>
          <w:rFonts w:ascii="Arial" w:hAnsi="Arial" w:cs="Arial"/>
          <w:szCs w:val="24"/>
        </w:rPr>
        <w:t>s</w:t>
      </w:r>
      <w:r w:rsidR="007E0B70" w:rsidRPr="00B366C5">
        <w:rPr>
          <w:rFonts w:ascii="Arial" w:hAnsi="Arial" w:cs="Arial"/>
          <w:szCs w:val="24"/>
        </w:rPr>
        <w:t xml:space="preserve"> are the amounts actually billed by </w:t>
      </w:r>
      <w:r w:rsidRPr="00B366C5">
        <w:rPr>
          <w:rFonts w:ascii="Arial" w:hAnsi="Arial" w:cs="Arial"/>
          <w:szCs w:val="24"/>
        </w:rPr>
        <w:t xml:space="preserve">PECO </w:t>
      </w:r>
      <w:r w:rsidR="00E56298">
        <w:rPr>
          <w:rFonts w:ascii="Arial" w:hAnsi="Arial" w:cs="Arial"/>
          <w:szCs w:val="24"/>
        </w:rPr>
        <w:t xml:space="preserve">as a result of applying the approved C-Factor rate </w:t>
      </w:r>
      <w:r w:rsidR="00E56298" w:rsidRPr="00A507DA">
        <w:rPr>
          <w:rFonts w:ascii="Arial" w:hAnsi="Arial" w:cs="Arial"/>
          <w:szCs w:val="24"/>
        </w:rPr>
        <w:t>to each kilowatt-hour (kWh)</w:t>
      </w:r>
      <w:r w:rsidR="00E56298">
        <w:rPr>
          <w:rFonts w:ascii="Arial" w:hAnsi="Arial" w:cs="Arial"/>
          <w:szCs w:val="24"/>
        </w:rPr>
        <w:t xml:space="preserve"> of energy</w:t>
      </w:r>
      <w:r w:rsidR="00E56298" w:rsidRPr="00A507DA">
        <w:rPr>
          <w:rFonts w:ascii="Arial" w:hAnsi="Arial" w:cs="Arial"/>
          <w:szCs w:val="24"/>
        </w:rPr>
        <w:t xml:space="preserve"> delivered to all </w:t>
      </w:r>
      <w:r w:rsidR="00E56298">
        <w:rPr>
          <w:rFonts w:ascii="Arial" w:hAnsi="Arial" w:cs="Arial"/>
          <w:szCs w:val="24"/>
        </w:rPr>
        <w:t>Default</w:t>
      </w:r>
      <w:r w:rsidR="00E56298" w:rsidRPr="00A507DA">
        <w:rPr>
          <w:rFonts w:ascii="Arial" w:hAnsi="Arial" w:cs="Arial"/>
          <w:szCs w:val="24"/>
        </w:rPr>
        <w:t xml:space="preserve"> Service Customers</w:t>
      </w:r>
      <w:r w:rsidR="007A5E30">
        <w:rPr>
          <w:rFonts w:ascii="Arial" w:hAnsi="Arial" w:cs="Arial"/>
          <w:szCs w:val="24"/>
        </w:rPr>
        <w:t>.</w:t>
      </w:r>
      <w:r w:rsidR="006A1688">
        <w:rPr>
          <w:rFonts w:ascii="Arial" w:hAnsi="Arial" w:cs="Arial"/>
          <w:szCs w:val="24"/>
        </w:rPr>
        <w:t xml:space="preserve">  The approved C-Factor rate for the 5</w:t>
      </w:r>
      <w:r w:rsidR="006A1688">
        <w:rPr>
          <w:rFonts w:ascii="Arial" w:hAnsi="Arial" w:cs="Arial"/>
          <w:szCs w:val="24"/>
        </w:rPr>
        <w:noBreakHyphen/>
        <w:t>months ended May 31, 2011 was $0.0000 per kWh for Classes 1, 2, 3 and 4.  The approved C</w:t>
      </w:r>
      <w:r w:rsidR="006A1688">
        <w:rPr>
          <w:rFonts w:ascii="Arial" w:hAnsi="Arial" w:cs="Arial"/>
          <w:szCs w:val="24"/>
        </w:rPr>
        <w:noBreakHyphen/>
        <w:t xml:space="preserve">Factor rate for the </w:t>
      </w:r>
      <w:r w:rsidR="00482D4F">
        <w:rPr>
          <w:rFonts w:ascii="Arial" w:hAnsi="Arial" w:cs="Arial"/>
          <w:szCs w:val="24"/>
        </w:rPr>
        <w:t>8</w:t>
      </w:r>
      <w:r w:rsidR="006A1688">
        <w:rPr>
          <w:rFonts w:ascii="Arial" w:hAnsi="Arial" w:cs="Arial"/>
          <w:szCs w:val="24"/>
        </w:rPr>
        <w:t xml:space="preserve">-months ended </w:t>
      </w:r>
      <w:r w:rsidR="00482D4F">
        <w:rPr>
          <w:rFonts w:ascii="Arial" w:hAnsi="Arial" w:cs="Arial"/>
          <w:szCs w:val="24"/>
        </w:rPr>
        <w:t>January</w:t>
      </w:r>
      <w:r w:rsidR="006A1688">
        <w:rPr>
          <w:rFonts w:ascii="Arial" w:hAnsi="Arial" w:cs="Arial"/>
          <w:szCs w:val="24"/>
        </w:rPr>
        <w:t xml:space="preserve"> 31, 201</w:t>
      </w:r>
      <w:r w:rsidR="00482D4F">
        <w:rPr>
          <w:rFonts w:ascii="Arial" w:hAnsi="Arial" w:cs="Arial"/>
          <w:szCs w:val="24"/>
        </w:rPr>
        <w:t>2</w:t>
      </w:r>
      <w:r w:rsidR="006A1688">
        <w:rPr>
          <w:rFonts w:ascii="Arial" w:hAnsi="Arial" w:cs="Arial"/>
          <w:szCs w:val="24"/>
        </w:rPr>
        <w:t xml:space="preserve"> was $0.0000 per kWh for Classes 1, 2, and 3 and $0.0001 </w:t>
      </w:r>
      <w:r w:rsidR="00E46708">
        <w:rPr>
          <w:rFonts w:ascii="Arial" w:hAnsi="Arial" w:cs="Arial"/>
          <w:szCs w:val="24"/>
        </w:rPr>
        <w:t xml:space="preserve">per kWh </w:t>
      </w:r>
      <w:r w:rsidR="006A1688">
        <w:rPr>
          <w:rFonts w:ascii="Arial" w:hAnsi="Arial" w:cs="Arial"/>
          <w:szCs w:val="24"/>
        </w:rPr>
        <w:t>for Class 4.</w:t>
      </w:r>
    </w:p>
    <w:p w:rsidR="00520831" w:rsidRPr="00B366C5" w:rsidRDefault="00520831" w:rsidP="007E0B70">
      <w:pPr>
        <w:tabs>
          <w:tab w:val="left" w:pos="360"/>
        </w:tabs>
        <w:jc w:val="both"/>
        <w:rPr>
          <w:rFonts w:ascii="Arial" w:hAnsi="Arial" w:cs="Arial"/>
          <w:b/>
          <w:szCs w:val="24"/>
          <w:u w:val="single"/>
        </w:rPr>
      </w:pPr>
    </w:p>
    <w:p w:rsidR="00144876" w:rsidRPr="00BE0936" w:rsidRDefault="00144876" w:rsidP="00144876">
      <w:pPr>
        <w:tabs>
          <w:tab w:val="left" w:pos="360"/>
        </w:tabs>
        <w:jc w:val="both"/>
        <w:rPr>
          <w:rFonts w:ascii="Arial" w:hAnsi="Arial" w:cs="Arial"/>
          <w:b/>
          <w:szCs w:val="24"/>
          <w:u w:val="single"/>
        </w:rPr>
      </w:pPr>
      <w:r>
        <w:rPr>
          <w:rFonts w:ascii="Arial" w:hAnsi="Arial" w:cs="Arial"/>
          <w:b/>
          <w:szCs w:val="24"/>
          <w:u w:val="single"/>
        </w:rPr>
        <w:t>4</w:t>
      </w:r>
      <w:r w:rsidR="00942A4C">
        <w:rPr>
          <w:rFonts w:ascii="Arial" w:hAnsi="Arial" w:cs="Arial"/>
          <w:b/>
          <w:szCs w:val="24"/>
          <w:u w:val="single"/>
        </w:rPr>
        <w:t xml:space="preserve"> </w:t>
      </w:r>
      <w:r w:rsidR="00942A4C" w:rsidRPr="007701F3">
        <w:rPr>
          <w:rFonts w:ascii="Arial" w:hAnsi="Arial" w:cs="Arial"/>
          <w:b/>
          <w:szCs w:val="24"/>
          <w:u w:val="single"/>
        </w:rPr>
        <w:t>–</w:t>
      </w:r>
      <w:r w:rsidR="00942A4C">
        <w:rPr>
          <w:rFonts w:ascii="Arial" w:hAnsi="Arial" w:cs="Arial"/>
          <w:b/>
          <w:szCs w:val="24"/>
          <w:u w:val="single"/>
        </w:rPr>
        <w:t xml:space="preserve"> </w:t>
      </w:r>
      <w:r w:rsidRPr="00BE0936">
        <w:rPr>
          <w:rFonts w:ascii="Arial" w:hAnsi="Arial" w:cs="Arial"/>
          <w:b/>
          <w:szCs w:val="24"/>
          <w:u w:val="single"/>
        </w:rPr>
        <w:t>Over/</w:t>
      </w:r>
      <w:r>
        <w:rPr>
          <w:rFonts w:ascii="Arial" w:hAnsi="Arial" w:cs="Arial"/>
          <w:b/>
          <w:szCs w:val="24"/>
          <w:u w:val="single"/>
        </w:rPr>
        <w:t>(</w:t>
      </w:r>
      <w:r w:rsidRPr="00BE0936">
        <w:rPr>
          <w:rFonts w:ascii="Arial" w:hAnsi="Arial" w:cs="Arial"/>
          <w:b/>
          <w:szCs w:val="24"/>
          <w:u w:val="single"/>
        </w:rPr>
        <w:t>Under</w:t>
      </w:r>
      <w:r>
        <w:rPr>
          <w:rFonts w:ascii="Arial" w:hAnsi="Arial" w:cs="Arial"/>
          <w:b/>
          <w:szCs w:val="24"/>
          <w:u w:val="single"/>
        </w:rPr>
        <w:t>)</w:t>
      </w:r>
      <w:r w:rsidRPr="00BE0936">
        <w:rPr>
          <w:rFonts w:ascii="Arial" w:hAnsi="Arial" w:cs="Arial"/>
          <w:b/>
          <w:szCs w:val="24"/>
          <w:u w:val="single"/>
        </w:rPr>
        <w:t xml:space="preserve"> Collection</w:t>
      </w:r>
      <w:r>
        <w:rPr>
          <w:rFonts w:ascii="Arial" w:hAnsi="Arial" w:cs="Arial"/>
          <w:b/>
          <w:szCs w:val="24"/>
          <w:u w:val="single"/>
        </w:rPr>
        <w:t>s</w:t>
      </w:r>
    </w:p>
    <w:p w:rsidR="00144876" w:rsidRPr="00BE0936" w:rsidRDefault="00144876" w:rsidP="00144876">
      <w:pPr>
        <w:jc w:val="both"/>
        <w:rPr>
          <w:rFonts w:ascii="Arial" w:hAnsi="Arial" w:cs="Arial"/>
          <w:b/>
          <w:szCs w:val="24"/>
          <w:highlight w:val="lightGray"/>
          <w:u w:val="single"/>
        </w:rPr>
      </w:pPr>
    </w:p>
    <w:p w:rsidR="00144876" w:rsidRDefault="00144876" w:rsidP="00144876">
      <w:pPr>
        <w:ind w:left="360"/>
        <w:rPr>
          <w:rFonts w:ascii="Arial" w:hAnsi="Arial" w:cs="Arial"/>
        </w:rPr>
      </w:pPr>
      <w:r w:rsidRPr="00936DE2">
        <w:rPr>
          <w:rFonts w:ascii="Arial" w:hAnsi="Arial" w:cs="Arial"/>
          <w:szCs w:val="24"/>
        </w:rPr>
        <w:t xml:space="preserve">The Over/(Under) Collections </w:t>
      </w:r>
      <w:r>
        <w:rPr>
          <w:rFonts w:ascii="Arial" w:hAnsi="Arial" w:cs="Arial"/>
          <w:szCs w:val="24"/>
        </w:rPr>
        <w:t>is the</w:t>
      </w:r>
      <w:r w:rsidRPr="00936DE2">
        <w:rPr>
          <w:rFonts w:ascii="Arial" w:hAnsi="Arial" w:cs="Arial"/>
          <w:szCs w:val="24"/>
        </w:rPr>
        <w:t xml:space="preserve"> difference between the </w:t>
      </w:r>
      <w:r>
        <w:rPr>
          <w:rFonts w:ascii="Arial" w:hAnsi="Arial" w:cs="Arial"/>
          <w:szCs w:val="24"/>
        </w:rPr>
        <w:t xml:space="preserve">AEPS </w:t>
      </w:r>
      <w:r w:rsidRPr="00936DE2">
        <w:rPr>
          <w:rFonts w:ascii="Arial" w:hAnsi="Arial" w:cs="Arial"/>
          <w:szCs w:val="24"/>
        </w:rPr>
        <w:t>Revenue</w:t>
      </w:r>
      <w:r>
        <w:rPr>
          <w:rFonts w:ascii="Arial" w:hAnsi="Arial" w:cs="Arial"/>
          <w:szCs w:val="24"/>
        </w:rPr>
        <w:t xml:space="preserve">s </w:t>
      </w:r>
      <w:r w:rsidRPr="00936DE2">
        <w:rPr>
          <w:rFonts w:ascii="Arial" w:hAnsi="Arial" w:cs="Arial"/>
          <w:szCs w:val="24"/>
        </w:rPr>
        <w:t xml:space="preserve">and the </w:t>
      </w:r>
      <w:r>
        <w:rPr>
          <w:rFonts w:ascii="Arial" w:hAnsi="Arial" w:cs="Arial"/>
          <w:szCs w:val="24"/>
        </w:rPr>
        <w:t>AEPS Costs</w:t>
      </w:r>
      <w:r w:rsidRPr="00936DE2">
        <w:rPr>
          <w:rFonts w:ascii="Arial" w:hAnsi="Arial" w:cs="Arial"/>
          <w:szCs w:val="24"/>
        </w:rPr>
        <w:t>.  The resulting amount</w:t>
      </w:r>
      <w:r>
        <w:rPr>
          <w:rFonts w:ascii="Arial" w:hAnsi="Arial" w:cs="Arial"/>
          <w:szCs w:val="24"/>
        </w:rPr>
        <w:t>s</w:t>
      </w:r>
      <w:r w:rsidRPr="00936DE2">
        <w:rPr>
          <w:rFonts w:ascii="Arial" w:hAnsi="Arial" w:cs="Arial"/>
          <w:szCs w:val="24"/>
        </w:rPr>
        <w:t xml:space="preserve"> represent the portion of </w:t>
      </w:r>
      <w:r>
        <w:rPr>
          <w:rFonts w:ascii="Arial" w:hAnsi="Arial" w:cs="Arial"/>
          <w:szCs w:val="24"/>
        </w:rPr>
        <w:t xml:space="preserve">AEPS Revenues </w:t>
      </w:r>
      <w:r w:rsidRPr="00DF518D">
        <w:rPr>
          <w:rFonts w:ascii="Arial" w:hAnsi="Arial" w:cs="Arial"/>
        </w:rPr>
        <w:t>refundable</w:t>
      </w:r>
      <w:r>
        <w:rPr>
          <w:rFonts w:ascii="Arial" w:hAnsi="Arial" w:cs="Arial"/>
        </w:rPr>
        <w:t xml:space="preserve"> to or expenses </w:t>
      </w:r>
      <w:r w:rsidRPr="00DF518D">
        <w:rPr>
          <w:rFonts w:ascii="Arial" w:hAnsi="Arial" w:cs="Arial"/>
        </w:rPr>
        <w:t>recoverable from con</w:t>
      </w:r>
      <w:r>
        <w:rPr>
          <w:rFonts w:ascii="Arial" w:hAnsi="Arial" w:cs="Arial"/>
        </w:rPr>
        <w:t xml:space="preserve">sumers through subsequent AEPS filings.  </w:t>
      </w:r>
    </w:p>
    <w:p w:rsidR="00144876" w:rsidRDefault="00144876" w:rsidP="00144876">
      <w:pPr>
        <w:ind w:left="360"/>
        <w:rPr>
          <w:rFonts w:ascii="Arial" w:hAnsi="Arial" w:cs="Arial"/>
        </w:rPr>
      </w:pPr>
    </w:p>
    <w:p w:rsidR="003A0379" w:rsidRDefault="00144876" w:rsidP="00B54D22">
      <w:pPr>
        <w:tabs>
          <w:tab w:val="left" w:pos="360"/>
        </w:tabs>
        <w:ind w:left="360"/>
        <w:rPr>
          <w:rFonts w:ascii="Arial" w:hAnsi="Arial" w:cs="Arial"/>
          <w:b/>
          <w:sz w:val="26"/>
          <w:szCs w:val="26"/>
        </w:rPr>
      </w:pPr>
      <w:r>
        <w:rPr>
          <w:rFonts w:ascii="Arial" w:hAnsi="Arial" w:cs="Arial"/>
        </w:rPr>
        <w:t xml:space="preserve">Interest is applied to both over and under collections.  </w:t>
      </w:r>
      <w:r w:rsidRPr="00936DE2">
        <w:rPr>
          <w:rFonts w:ascii="Arial" w:hAnsi="Arial" w:cs="Arial"/>
          <w:szCs w:val="24"/>
        </w:rPr>
        <w:t>Differences arise for two primary reasons:</w:t>
      </w:r>
      <w:r w:rsidR="003A0379">
        <w:rPr>
          <w:rFonts w:ascii="Arial" w:hAnsi="Arial" w:cs="Arial"/>
          <w:b/>
          <w:sz w:val="26"/>
          <w:szCs w:val="26"/>
        </w:rPr>
        <w:br w:type="page"/>
      </w:r>
    </w:p>
    <w:p w:rsidR="002F10E1" w:rsidRPr="004E4262" w:rsidRDefault="002F10E1" w:rsidP="002F10E1">
      <w:pPr>
        <w:tabs>
          <w:tab w:val="left" w:pos="360"/>
        </w:tabs>
        <w:jc w:val="center"/>
        <w:rPr>
          <w:rFonts w:ascii="Arial" w:hAnsi="Arial" w:cs="Arial"/>
          <w:b/>
          <w:sz w:val="26"/>
          <w:szCs w:val="26"/>
        </w:rPr>
      </w:pPr>
      <w:r w:rsidRPr="004E4262">
        <w:rPr>
          <w:rFonts w:ascii="Arial" w:hAnsi="Arial" w:cs="Arial"/>
          <w:b/>
          <w:sz w:val="26"/>
          <w:szCs w:val="26"/>
        </w:rPr>
        <w:lastRenderedPageBreak/>
        <w:t>PECO ENERGY COMPANY</w:t>
      </w:r>
    </w:p>
    <w:p w:rsidR="00E57146" w:rsidRPr="004E4262" w:rsidRDefault="00E57146" w:rsidP="002F10E1">
      <w:pPr>
        <w:tabs>
          <w:tab w:val="left" w:pos="360"/>
        </w:tabs>
        <w:jc w:val="center"/>
        <w:rPr>
          <w:rFonts w:ascii="Arial" w:hAnsi="Arial" w:cs="Arial"/>
          <w:b/>
          <w:szCs w:val="24"/>
        </w:rPr>
      </w:pPr>
    </w:p>
    <w:p w:rsidR="002F10E1" w:rsidRDefault="002F10E1" w:rsidP="002F10E1">
      <w:pPr>
        <w:tabs>
          <w:tab w:val="left" w:pos="360"/>
        </w:tabs>
        <w:jc w:val="center"/>
        <w:rPr>
          <w:rFonts w:ascii="Arial" w:hAnsi="Arial" w:cs="Arial"/>
          <w:b/>
          <w:sz w:val="26"/>
          <w:szCs w:val="26"/>
        </w:rPr>
      </w:pPr>
      <w:r w:rsidRPr="008F44AD">
        <w:rPr>
          <w:rFonts w:ascii="Arial" w:hAnsi="Arial" w:cs="Arial"/>
          <w:b/>
          <w:sz w:val="26"/>
          <w:szCs w:val="26"/>
        </w:rPr>
        <w:t>Notes to the Financial Statement</w:t>
      </w:r>
      <w:r w:rsidR="00E57146" w:rsidRPr="008F44AD">
        <w:rPr>
          <w:rFonts w:ascii="Arial" w:hAnsi="Arial" w:cs="Arial"/>
          <w:b/>
          <w:sz w:val="26"/>
          <w:szCs w:val="26"/>
        </w:rPr>
        <w:t>s</w:t>
      </w:r>
      <w:r w:rsidRPr="008F44AD">
        <w:rPr>
          <w:rFonts w:ascii="Arial" w:hAnsi="Arial" w:cs="Arial"/>
          <w:b/>
          <w:sz w:val="26"/>
          <w:szCs w:val="26"/>
        </w:rPr>
        <w:t xml:space="preserve"> (continued)</w:t>
      </w:r>
    </w:p>
    <w:p w:rsidR="0081334A" w:rsidRDefault="0081334A" w:rsidP="002F10E1">
      <w:pPr>
        <w:tabs>
          <w:tab w:val="left" w:pos="360"/>
        </w:tabs>
        <w:jc w:val="center"/>
        <w:rPr>
          <w:rFonts w:ascii="Arial" w:hAnsi="Arial" w:cs="Arial"/>
          <w:b/>
          <w:sz w:val="26"/>
          <w:szCs w:val="26"/>
        </w:rPr>
      </w:pPr>
    </w:p>
    <w:p w:rsidR="004D3A33" w:rsidRDefault="004D3A33" w:rsidP="002F10E1">
      <w:pPr>
        <w:tabs>
          <w:tab w:val="left" w:pos="360"/>
        </w:tabs>
        <w:jc w:val="center"/>
        <w:rPr>
          <w:rFonts w:ascii="Arial" w:hAnsi="Arial" w:cs="Arial"/>
          <w:b/>
          <w:sz w:val="26"/>
          <w:szCs w:val="26"/>
        </w:rPr>
      </w:pPr>
    </w:p>
    <w:p w:rsidR="004D3A33" w:rsidRPr="00936DE2" w:rsidRDefault="004D3A33" w:rsidP="004D3A33">
      <w:pPr>
        <w:numPr>
          <w:ilvl w:val="0"/>
          <w:numId w:val="4"/>
        </w:numPr>
        <w:tabs>
          <w:tab w:val="left" w:pos="360"/>
        </w:tabs>
        <w:rPr>
          <w:rFonts w:ascii="Arial" w:hAnsi="Arial" w:cs="Arial"/>
          <w:szCs w:val="24"/>
        </w:rPr>
      </w:pPr>
      <w:r w:rsidRPr="00936DE2">
        <w:rPr>
          <w:rFonts w:ascii="Arial" w:hAnsi="Arial" w:cs="Arial"/>
          <w:szCs w:val="24"/>
        </w:rPr>
        <w:t>Variations between the actual month</w:t>
      </w:r>
      <w:r>
        <w:rPr>
          <w:rFonts w:ascii="Arial" w:hAnsi="Arial" w:cs="Arial"/>
          <w:szCs w:val="24"/>
        </w:rPr>
        <w:t>ly volumes</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estimates used to determine the AEPS</w:t>
      </w:r>
      <w:r w:rsidRPr="00936DE2">
        <w:rPr>
          <w:rFonts w:ascii="Arial" w:hAnsi="Arial" w:cs="Arial"/>
          <w:szCs w:val="24"/>
        </w:rPr>
        <w:t xml:space="preserve"> rate</w:t>
      </w:r>
      <w:r>
        <w:rPr>
          <w:rFonts w:ascii="Arial" w:hAnsi="Arial" w:cs="Arial"/>
          <w:szCs w:val="24"/>
        </w:rPr>
        <w:t>s</w:t>
      </w:r>
      <w:r w:rsidRPr="00936DE2">
        <w:rPr>
          <w:rFonts w:ascii="Arial" w:hAnsi="Arial" w:cs="Arial"/>
          <w:szCs w:val="24"/>
        </w:rPr>
        <w:t>.</w:t>
      </w:r>
    </w:p>
    <w:p w:rsidR="0081334A" w:rsidRDefault="0081334A" w:rsidP="002F10E1">
      <w:pPr>
        <w:tabs>
          <w:tab w:val="left" w:pos="360"/>
        </w:tabs>
        <w:jc w:val="center"/>
        <w:rPr>
          <w:rFonts w:ascii="Arial" w:hAnsi="Arial" w:cs="Arial"/>
          <w:b/>
          <w:sz w:val="26"/>
          <w:szCs w:val="26"/>
        </w:rPr>
      </w:pPr>
    </w:p>
    <w:p w:rsidR="00E57146" w:rsidRPr="003A0379" w:rsidRDefault="0081334A" w:rsidP="003A0379">
      <w:pPr>
        <w:numPr>
          <w:ilvl w:val="0"/>
          <w:numId w:val="4"/>
        </w:numPr>
        <w:tabs>
          <w:tab w:val="left" w:pos="360"/>
        </w:tabs>
        <w:rPr>
          <w:rFonts w:ascii="Arial" w:hAnsi="Arial" w:cs="Arial"/>
          <w:szCs w:val="24"/>
        </w:rPr>
      </w:pPr>
      <w:r w:rsidRPr="003A0379">
        <w:rPr>
          <w:rFonts w:ascii="Arial" w:hAnsi="Arial" w:cs="Arial"/>
          <w:szCs w:val="24"/>
        </w:rPr>
        <w:t xml:space="preserve">Variations between the actual AEPS costs and the estimated expenses used to determine the AEPS rates.  </w:t>
      </w:r>
    </w:p>
    <w:p w:rsidR="003A0379" w:rsidRPr="003A0379" w:rsidRDefault="003A0379" w:rsidP="003A0379">
      <w:pPr>
        <w:tabs>
          <w:tab w:val="left" w:pos="360"/>
        </w:tabs>
        <w:ind w:left="1080"/>
        <w:rPr>
          <w:rFonts w:ascii="Arial" w:hAnsi="Arial" w:cs="Arial"/>
          <w:szCs w:val="24"/>
        </w:rPr>
      </w:pPr>
    </w:p>
    <w:p w:rsidR="001D725D" w:rsidRPr="00C14A2D" w:rsidRDefault="001D725D" w:rsidP="001D725D">
      <w:pPr>
        <w:pStyle w:val="ListParagraph"/>
        <w:tabs>
          <w:tab w:val="left" w:pos="360"/>
        </w:tabs>
        <w:ind w:left="0"/>
        <w:jc w:val="both"/>
        <w:rPr>
          <w:rFonts w:ascii="Arial" w:hAnsi="Arial" w:cs="Arial"/>
          <w:b/>
          <w:szCs w:val="24"/>
          <w:u w:val="single"/>
        </w:rPr>
      </w:pPr>
      <w:r w:rsidRPr="00C14A2D">
        <w:rPr>
          <w:rFonts w:ascii="Arial" w:hAnsi="Arial" w:cs="Arial"/>
          <w:b/>
          <w:szCs w:val="24"/>
          <w:u w:val="single"/>
        </w:rPr>
        <w:t xml:space="preserve">5 – Amortization </w:t>
      </w:r>
      <w:r w:rsidR="00C14A2D" w:rsidRPr="00C14A2D">
        <w:rPr>
          <w:rFonts w:ascii="Arial" w:hAnsi="Arial" w:cs="Arial"/>
          <w:b/>
          <w:szCs w:val="24"/>
          <w:u w:val="single"/>
        </w:rPr>
        <w:t xml:space="preserve">Statement </w:t>
      </w:r>
      <w:r w:rsidRPr="00C14A2D">
        <w:rPr>
          <w:rFonts w:ascii="Arial" w:hAnsi="Arial" w:cs="Arial"/>
          <w:b/>
          <w:szCs w:val="24"/>
          <w:u w:val="single"/>
        </w:rPr>
        <w:t>of Rate Cap Cost</w:t>
      </w:r>
      <w:r w:rsidR="00C14A2D" w:rsidRPr="00C14A2D">
        <w:rPr>
          <w:rFonts w:ascii="Arial" w:hAnsi="Arial" w:cs="Arial"/>
          <w:b/>
          <w:szCs w:val="24"/>
          <w:u w:val="single"/>
        </w:rPr>
        <w:t>s</w:t>
      </w:r>
    </w:p>
    <w:p w:rsidR="001D725D" w:rsidRPr="00B366C5" w:rsidRDefault="001D725D" w:rsidP="001D725D">
      <w:pPr>
        <w:tabs>
          <w:tab w:val="left" w:pos="360"/>
        </w:tabs>
        <w:jc w:val="both"/>
        <w:rPr>
          <w:rFonts w:ascii="Arial" w:hAnsi="Arial" w:cs="Arial"/>
          <w:b/>
          <w:szCs w:val="24"/>
          <w:u w:val="single"/>
        </w:rPr>
      </w:pPr>
    </w:p>
    <w:p w:rsidR="00464FB9" w:rsidRDefault="00CD32C3" w:rsidP="001D725D">
      <w:pPr>
        <w:pStyle w:val="EndnoteText"/>
        <w:tabs>
          <w:tab w:val="left" w:pos="-720"/>
        </w:tabs>
        <w:suppressAutoHyphens/>
        <w:ind w:left="360"/>
        <w:rPr>
          <w:rFonts w:ascii="Arial" w:hAnsi="Arial" w:cs="Arial"/>
          <w:szCs w:val="24"/>
        </w:rPr>
      </w:pPr>
      <w:r w:rsidRPr="00B366C5">
        <w:rPr>
          <w:rFonts w:ascii="Arial" w:hAnsi="Arial" w:cs="Arial"/>
          <w:szCs w:val="24"/>
        </w:rPr>
        <w:t xml:space="preserve">Rate Cap Costs (RCC) are the costs that PECO incurred procuring AECs during the </w:t>
      </w:r>
      <w:r w:rsidR="007E0595">
        <w:rPr>
          <w:rFonts w:ascii="Arial" w:hAnsi="Arial" w:cs="Arial"/>
          <w:szCs w:val="24"/>
        </w:rPr>
        <w:t>period</w:t>
      </w:r>
      <w:r w:rsidRPr="00B366C5">
        <w:rPr>
          <w:rFonts w:ascii="Arial" w:hAnsi="Arial" w:cs="Arial"/>
          <w:szCs w:val="24"/>
        </w:rPr>
        <w:t xml:space="preserve"> that </w:t>
      </w:r>
      <w:r w:rsidR="007E0595">
        <w:rPr>
          <w:rFonts w:ascii="Arial" w:hAnsi="Arial" w:cs="Arial"/>
          <w:szCs w:val="24"/>
        </w:rPr>
        <w:t xml:space="preserve">the Company </w:t>
      </w:r>
      <w:r w:rsidRPr="00B366C5">
        <w:rPr>
          <w:rFonts w:ascii="Arial" w:hAnsi="Arial" w:cs="Arial"/>
          <w:szCs w:val="24"/>
        </w:rPr>
        <w:t>was under a generation rate cap</w:t>
      </w:r>
      <w:r w:rsidR="004550C6">
        <w:rPr>
          <w:rFonts w:ascii="Arial" w:hAnsi="Arial" w:cs="Arial"/>
          <w:szCs w:val="24"/>
        </w:rPr>
        <w:t>,</w:t>
      </w:r>
      <w:r w:rsidRPr="00B366C5">
        <w:rPr>
          <w:rFonts w:ascii="Arial" w:hAnsi="Arial" w:cs="Arial"/>
          <w:szCs w:val="24"/>
        </w:rPr>
        <w:t xml:space="preserve"> which </w:t>
      </w:r>
      <w:r w:rsidR="007E0595">
        <w:rPr>
          <w:rFonts w:ascii="Arial" w:hAnsi="Arial" w:cs="Arial"/>
          <w:szCs w:val="24"/>
        </w:rPr>
        <w:t xml:space="preserve">ended </w:t>
      </w:r>
      <w:r w:rsidR="00516FA8">
        <w:rPr>
          <w:rFonts w:ascii="Arial" w:hAnsi="Arial" w:cs="Arial"/>
          <w:szCs w:val="24"/>
        </w:rPr>
        <w:t>December 31</w:t>
      </w:r>
      <w:r w:rsidR="007E0595">
        <w:rPr>
          <w:rFonts w:ascii="Arial" w:hAnsi="Arial" w:cs="Arial"/>
          <w:szCs w:val="24"/>
        </w:rPr>
        <w:t>, 201</w:t>
      </w:r>
      <w:r w:rsidR="00516FA8">
        <w:rPr>
          <w:rFonts w:ascii="Arial" w:hAnsi="Arial" w:cs="Arial"/>
          <w:szCs w:val="24"/>
        </w:rPr>
        <w:t>0</w:t>
      </w:r>
      <w:r w:rsidRPr="00B366C5">
        <w:rPr>
          <w:rFonts w:ascii="Arial" w:hAnsi="Arial" w:cs="Arial"/>
          <w:szCs w:val="24"/>
        </w:rPr>
        <w:t xml:space="preserve">. </w:t>
      </w:r>
      <w:r w:rsidR="004550C6">
        <w:rPr>
          <w:rFonts w:ascii="Arial" w:hAnsi="Arial" w:cs="Arial"/>
          <w:szCs w:val="24"/>
        </w:rPr>
        <w:t xml:space="preserve"> </w:t>
      </w:r>
      <w:r w:rsidRPr="00B366C5">
        <w:rPr>
          <w:rFonts w:ascii="Arial" w:hAnsi="Arial" w:cs="Arial"/>
          <w:szCs w:val="24"/>
        </w:rPr>
        <w:t xml:space="preserve">These costs were deferred in accordance with the AEPS </w:t>
      </w:r>
      <w:r w:rsidR="004550C6">
        <w:rPr>
          <w:rFonts w:ascii="Arial" w:hAnsi="Arial" w:cs="Arial"/>
          <w:szCs w:val="24"/>
        </w:rPr>
        <w:t>Act</w:t>
      </w:r>
      <w:r w:rsidRPr="00B366C5">
        <w:rPr>
          <w:rFonts w:ascii="Arial" w:hAnsi="Arial" w:cs="Arial"/>
          <w:szCs w:val="24"/>
        </w:rPr>
        <w:t>.</w:t>
      </w:r>
      <w:r w:rsidR="004550C6">
        <w:rPr>
          <w:rFonts w:ascii="Arial" w:hAnsi="Arial" w:cs="Arial"/>
          <w:szCs w:val="24"/>
        </w:rPr>
        <w:t xml:space="preserve"> </w:t>
      </w:r>
      <w:r w:rsidRPr="00B366C5">
        <w:rPr>
          <w:rFonts w:ascii="Arial" w:hAnsi="Arial" w:cs="Arial"/>
          <w:szCs w:val="24"/>
        </w:rPr>
        <w:t xml:space="preserve"> In accordance with the </w:t>
      </w:r>
      <w:r w:rsidR="004550C6">
        <w:rPr>
          <w:rFonts w:ascii="Arial" w:hAnsi="Arial" w:cs="Arial"/>
          <w:szCs w:val="24"/>
        </w:rPr>
        <w:t>PECO</w:t>
      </w:r>
      <w:r w:rsidRPr="00B366C5">
        <w:rPr>
          <w:rFonts w:ascii="Arial" w:hAnsi="Arial" w:cs="Arial"/>
          <w:szCs w:val="24"/>
        </w:rPr>
        <w:t>’s approved tariff, the RCC</w:t>
      </w:r>
      <w:r w:rsidR="00B25368" w:rsidRPr="00B366C5">
        <w:rPr>
          <w:rFonts w:ascii="Arial" w:hAnsi="Arial" w:cs="Arial"/>
          <w:szCs w:val="24"/>
        </w:rPr>
        <w:t xml:space="preserve">, plus a 6% </w:t>
      </w:r>
      <w:r w:rsidR="00BF7A5C">
        <w:rPr>
          <w:rFonts w:ascii="Arial" w:hAnsi="Arial" w:cs="Arial"/>
          <w:szCs w:val="24"/>
        </w:rPr>
        <w:t xml:space="preserve">interest </w:t>
      </w:r>
      <w:r w:rsidR="00B25368" w:rsidRPr="00B366C5">
        <w:rPr>
          <w:rFonts w:ascii="Arial" w:hAnsi="Arial" w:cs="Arial"/>
          <w:szCs w:val="24"/>
        </w:rPr>
        <w:t>rate on the unamortized balance,</w:t>
      </w:r>
      <w:r w:rsidRPr="00B366C5">
        <w:rPr>
          <w:rFonts w:ascii="Arial" w:hAnsi="Arial" w:cs="Arial"/>
          <w:szCs w:val="24"/>
        </w:rPr>
        <w:t xml:space="preserve"> </w:t>
      </w:r>
      <w:r w:rsidR="004550C6">
        <w:rPr>
          <w:rFonts w:ascii="Arial" w:hAnsi="Arial" w:cs="Arial"/>
          <w:szCs w:val="24"/>
        </w:rPr>
        <w:t>is</w:t>
      </w:r>
      <w:r w:rsidRPr="00B366C5">
        <w:rPr>
          <w:rFonts w:ascii="Arial" w:hAnsi="Arial" w:cs="Arial"/>
          <w:szCs w:val="24"/>
        </w:rPr>
        <w:t xml:space="preserve"> recover</w:t>
      </w:r>
      <w:r w:rsidR="004550C6">
        <w:rPr>
          <w:rFonts w:ascii="Arial" w:hAnsi="Arial" w:cs="Arial"/>
          <w:szCs w:val="24"/>
        </w:rPr>
        <w:t>able</w:t>
      </w:r>
      <w:r w:rsidRPr="00B366C5">
        <w:rPr>
          <w:rFonts w:ascii="Arial" w:hAnsi="Arial" w:cs="Arial"/>
          <w:szCs w:val="24"/>
        </w:rPr>
        <w:t xml:space="preserve"> from customers during the </w:t>
      </w:r>
      <w:r w:rsidR="006E3B86">
        <w:rPr>
          <w:rFonts w:ascii="Arial" w:hAnsi="Arial" w:cs="Arial"/>
          <w:szCs w:val="24"/>
        </w:rPr>
        <w:t xml:space="preserve">12-month </w:t>
      </w:r>
      <w:r w:rsidRPr="00B366C5">
        <w:rPr>
          <w:rFonts w:ascii="Arial" w:hAnsi="Arial" w:cs="Arial"/>
          <w:szCs w:val="24"/>
        </w:rPr>
        <w:t xml:space="preserve">period January 1, 2011 </w:t>
      </w:r>
      <w:r w:rsidR="00591456">
        <w:rPr>
          <w:rFonts w:ascii="Arial" w:hAnsi="Arial" w:cs="Arial"/>
          <w:szCs w:val="24"/>
        </w:rPr>
        <w:t xml:space="preserve">through </w:t>
      </w:r>
      <w:r w:rsidRPr="00B366C5">
        <w:rPr>
          <w:rFonts w:ascii="Arial" w:hAnsi="Arial" w:cs="Arial"/>
          <w:szCs w:val="24"/>
        </w:rPr>
        <w:t>December 31, 2011.</w:t>
      </w:r>
      <w:r w:rsidR="00B25368" w:rsidRPr="00B366C5">
        <w:rPr>
          <w:rFonts w:ascii="Arial" w:hAnsi="Arial" w:cs="Arial"/>
          <w:szCs w:val="24"/>
        </w:rPr>
        <w:t xml:space="preserve"> </w:t>
      </w:r>
      <w:r w:rsidR="004550C6">
        <w:rPr>
          <w:rFonts w:ascii="Arial" w:hAnsi="Arial" w:cs="Arial"/>
          <w:szCs w:val="24"/>
        </w:rPr>
        <w:t xml:space="preserve"> Any</w:t>
      </w:r>
      <w:r w:rsidR="00B25368" w:rsidRPr="00B366C5">
        <w:rPr>
          <w:rFonts w:ascii="Arial" w:hAnsi="Arial" w:cs="Arial"/>
          <w:szCs w:val="24"/>
        </w:rPr>
        <w:t xml:space="preserve"> outstanding RCC balance at December 31, 2011 </w:t>
      </w:r>
      <w:r w:rsidR="004550C6">
        <w:rPr>
          <w:rFonts w:ascii="Arial" w:hAnsi="Arial" w:cs="Arial"/>
          <w:szCs w:val="24"/>
        </w:rPr>
        <w:t>will be</w:t>
      </w:r>
      <w:r w:rsidR="00B25368" w:rsidRPr="00B366C5">
        <w:rPr>
          <w:rFonts w:ascii="Arial" w:hAnsi="Arial" w:cs="Arial"/>
          <w:szCs w:val="24"/>
        </w:rPr>
        <w:t xml:space="preserve"> included in the </w:t>
      </w:r>
      <w:r w:rsidR="00494FE7" w:rsidRPr="00B366C5">
        <w:rPr>
          <w:rFonts w:ascii="Arial" w:hAnsi="Arial" w:cs="Arial"/>
          <w:szCs w:val="24"/>
        </w:rPr>
        <w:t>AEPS rates effective June 1, 2012.</w:t>
      </w:r>
    </w:p>
    <w:p w:rsidR="00156474" w:rsidRDefault="00156474" w:rsidP="001D725D">
      <w:pPr>
        <w:pStyle w:val="EndnoteText"/>
        <w:tabs>
          <w:tab w:val="left" w:pos="-720"/>
        </w:tabs>
        <w:suppressAutoHyphens/>
        <w:ind w:left="360"/>
        <w:rPr>
          <w:rFonts w:ascii="Arial" w:hAnsi="Arial" w:cs="Arial"/>
          <w:szCs w:val="24"/>
        </w:rPr>
      </w:pPr>
    </w:p>
    <w:p w:rsidR="00156474" w:rsidRPr="00C2249C" w:rsidRDefault="00BF7A5C" w:rsidP="00BF7A5C">
      <w:pPr>
        <w:pStyle w:val="EndnoteText"/>
        <w:tabs>
          <w:tab w:val="left" w:pos="-720"/>
        </w:tabs>
        <w:suppressAutoHyphens/>
        <w:rPr>
          <w:rFonts w:ascii="Arial" w:hAnsi="Arial" w:cs="Arial"/>
          <w:b/>
          <w:szCs w:val="24"/>
          <w:u w:val="single"/>
        </w:rPr>
      </w:pPr>
      <w:r w:rsidRPr="00C2249C">
        <w:rPr>
          <w:rFonts w:ascii="Arial" w:hAnsi="Arial" w:cs="Arial"/>
          <w:b/>
          <w:szCs w:val="24"/>
          <w:u w:val="single"/>
        </w:rPr>
        <w:t>6 – RCC Balance @ 1/1/11</w:t>
      </w:r>
    </w:p>
    <w:p w:rsidR="00BF7A5C" w:rsidRDefault="00BF7A5C" w:rsidP="001C2540">
      <w:pPr>
        <w:pStyle w:val="EndnoteText"/>
        <w:tabs>
          <w:tab w:val="left" w:pos="-720"/>
        </w:tabs>
        <w:suppressAutoHyphens/>
        <w:ind w:left="360"/>
        <w:rPr>
          <w:rFonts w:ascii="Arial" w:hAnsi="Arial" w:cs="Arial"/>
          <w:szCs w:val="24"/>
        </w:rPr>
      </w:pPr>
    </w:p>
    <w:p w:rsidR="00516FA8" w:rsidRDefault="001C2540" w:rsidP="001C2540">
      <w:pPr>
        <w:pStyle w:val="EndnoteText"/>
        <w:tabs>
          <w:tab w:val="left" w:pos="-720"/>
        </w:tabs>
        <w:suppressAutoHyphens/>
        <w:ind w:left="360"/>
        <w:rPr>
          <w:rFonts w:ascii="Arial" w:hAnsi="Arial" w:cs="Arial"/>
          <w:szCs w:val="24"/>
        </w:rPr>
      </w:pPr>
      <w:r>
        <w:rPr>
          <w:rFonts w:ascii="Arial" w:hAnsi="Arial" w:cs="Arial"/>
          <w:szCs w:val="24"/>
        </w:rPr>
        <w:t xml:space="preserve">The </w:t>
      </w:r>
      <w:r w:rsidR="00516FA8">
        <w:rPr>
          <w:rFonts w:ascii="Arial" w:hAnsi="Arial" w:cs="Arial"/>
          <w:szCs w:val="24"/>
        </w:rPr>
        <w:t xml:space="preserve">RCC balance at January 1, 2011 is the accumulated </w:t>
      </w:r>
      <w:r w:rsidR="00516FA8" w:rsidRPr="00B366C5">
        <w:rPr>
          <w:rFonts w:ascii="Arial" w:hAnsi="Arial" w:cs="Arial"/>
          <w:szCs w:val="24"/>
        </w:rPr>
        <w:t xml:space="preserve">costs that PECO incurred procuring AECs during the </w:t>
      </w:r>
      <w:r w:rsidR="00516FA8">
        <w:rPr>
          <w:rFonts w:ascii="Arial" w:hAnsi="Arial" w:cs="Arial"/>
          <w:szCs w:val="24"/>
        </w:rPr>
        <w:t>period</w:t>
      </w:r>
      <w:r w:rsidR="00516FA8" w:rsidRPr="00B366C5">
        <w:rPr>
          <w:rFonts w:ascii="Arial" w:hAnsi="Arial" w:cs="Arial"/>
          <w:szCs w:val="24"/>
        </w:rPr>
        <w:t xml:space="preserve"> that </w:t>
      </w:r>
      <w:r w:rsidR="00516FA8">
        <w:rPr>
          <w:rFonts w:ascii="Arial" w:hAnsi="Arial" w:cs="Arial"/>
          <w:szCs w:val="24"/>
        </w:rPr>
        <w:t xml:space="preserve">the Company </w:t>
      </w:r>
      <w:r w:rsidR="00516FA8" w:rsidRPr="00B366C5">
        <w:rPr>
          <w:rFonts w:ascii="Arial" w:hAnsi="Arial" w:cs="Arial"/>
          <w:szCs w:val="24"/>
        </w:rPr>
        <w:t>was under a generation rate cap</w:t>
      </w:r>
      <w:r w:rsidR="00516FA8">
        <w:rPr>
          <w:rFonts w:ascii="Arial" w:hAnsi="Arial" w:cs="Arial"/>
          <w:szCs w:val="24"/>
        </w:rPr>
        <w:t>,</w:t>
      </w:r>
      <w:r w:rsidR="00516FA8" w:rsidRPr="00B366C5">
        <w:rPr>
          <w:rFonts w:ascii="Arial" w:hAnsi="Arial" w:cs="Arial"/>
          <w:szCs w:val="24"/>
        </w:rPr>
        <w:t xml:space="preserve"> which </w:t>
      </w:r>
      <w:r w:rsidR="00516FA8">
        <w:rPr>
          <w:rFonts w:ascii="Arial" w:hAnsi="Arial" w:cs="Arial"/>
          <w:szCs w:val="24"/>
        </w:rPr>
        <w:t>ended December 31, 2010</w:t>
      </w:r>
      <w:r w:rsidR="00516FA8" w:rsidRPr="00B366C5">
        <w:rPr>
          <w:rFonts w:ascii="Arial" w:hAnsi="Arial" w:cs="Arial"/>
          <w:szCs w:val="24"/>
        </w:rPr>
        <w:t xml:space="preserve">. </w:t>
      </w:r>
      <w:r w:rsidR="00516FA8">
        <w:rPr>
          <w:rFonts w:ascii="Arial" w:hAnsi="Arial" w:cs="Arial"/>
          <w:szCs w:val="24"/>
        </w:rPr>
        <w:t xml:space="preserve"> </w:t>
      </w:r>
    </w:p>
    <w:p w:rsidR="00BF7A5C" w:rsidRDefault="00BF7A5C" w:rsidP="001C2540">
      <w:pPr>
        <w:pStyle w:val="EndnoteText"/>
        <w:tabs>
          <w:tab w:val="left" w:pos="-720"/>
        </w:tabs>
        <w:suppressAutoHyphens/>
        <w:ind w:left="360"/>
        <w:rPr>
          <w:rFonts w:ascii="Arial" w:hAnsi="Arial" w:cs="Arial"/>
          <w:szCs w:val="24"/>
        </w:rPr>
      </w:pPr>
    </w:p>
    <w:p w:rsidR="000F6FAE" w:rsidRPr="00C2249C" w:rsidRDefault="005F0284" w:rsidP="005F0284">
      <w:pPr>
        <w:pStyle w:val="EndnoteText"/>
        <w:tabs>
          <w:tab w:val="left" w:pos="-720"/>
        </w:tabs>
        <w:suppressAutoHyphens/>
        <w:rPr>
          <w:rFonts w:ascii="Arial" w:hAnsi="Arial" w:cs="Arial"/>
          <w:b/>
          <w:szCs w:val="24"/>
          <w:u w:val="single"/>
        </w:rPr>
      </w:pPr>
      <w:r w:rsidRPr="00C2249C">
        <w:rPr>
          <w:rFonts w:ascii="Arial" w:hAnsi="Arial" w:cs="Arial"/>
          <w:b/>
          <w:szCs w:val="24"/>
          <w:u w:val="single"/>
        </w:rPr>
        <w:t>7 – Interest Recouped</w:t>
      </w:r>
    </w:p>
    <w:p w:rsidR="000F6FAE" w:rsidRDefault="000F6FAE" w:rsidP="001C2540">
      <w:pPr>
        <w:pStyle w:val="EndnoteText"/>
        <w:tabs>
          <w:tab w:val="left" w:pos="-720"/>
        </w:tabs>
        <w:suppressAutoHyphens/>
        <w:ind w:left="360"/>
        <w:rPr>
          <w:rFonts w:ascii="Arial" w:hAnsi="Arial" w:cs="Arial"/>
          <w:szCs w:val="24"/>
        </w:rPr>
      </w:pPr>
    </w:p>
    <w:p w:rsidR="00BF7A5C" w:rsidRDefault="005F0284" w:rsidP="001C2540">
      <w:pPr>
        <w:pStyle w:val="EndnoteText"/>
        <w:tabs>
          <w:tab w:val="left" w:pos="-720"/>
        </w:tabs>
        <w:suppressAutoHyphens/>
        <w:ind w:left="360"/>
        <w:rPr>
          <w:rFonts w:ascii="Arial" w:hAnsi="Arial" w:cs="Arial"/>
          <w:szCs w:val="24"/>
        </w:rPr>
      </w:pPr>
      <w:r>
        <w:rPr>
          <w:rFonts w:ascii="Arial" w:hAnsi="Arial" w:cs="Arial"/>
          <w:szCs w:val="24"/>
        </w:rPr>
        <w:t>I</w:t>
      </w:r>
      <w:r w:rsidR="00BF7A5C">
        <w:rPr>
          <w:rFonts w:ascii="Arial" w:hAnsi="Arial" w:cs="Arial"/>
          <w:szCs w:val="24"/>
        </w:rPr>
        <w:t xml:space="preserve">nterest </w:t>
      </w:r>
      <w:r>
        <w:rPr>
          <w:rFonts w:ascii="Arial" w:hAnsi="Arial" w:cs="Arial"/>
          <w:szCs w:val="24"/>
        </w:rPr>
        <w:t xml:space="preserve">recouped is the </w:t>
      </w:r>
      <w:r w:rsidR="00BF7A5C">
        <w:rPr>
          <w:rFonts w:ascii="Arial" w:hAnsi="Arial" w:cs="Arial"/>
          <w:szCs w:val="24"/>
        </w:rPr>
        <w:t xml:space="preserve">calculated </w:t>
      </w:r>
      <w:r>
        <w:rPr>
          <w:rFonts w:ascii="Arial" w:hAnsi="Arial" w:cs="Arial"/>
          <w:szCs w:val="24"/>
        </w:rPr>
        <w:t xml:space="preserve">interest </w:t>
      </w:r>
      <w:r w:rsidR="00BF7A5C">
        <w:rPr>
          <w:rFonts w:ascii="Arial" w:hAnsi="Arial" w:cs="Arial"/>
          <w:szCs w:val="24"/>
        </w:rPr>
        <w:t xml:space="preserve">on the deferred RCC balance by procurement class which will be recovered </w:t>
      </w:r>
      <w:r>
        <w:rPr>
          <w:rFonts w:ascii="Arial" w:hAnsi="Arial" w:cs="Arial"/>
          <w:szCs w:val="24"/>
        </w:rPr>
        <w:t xml:space="preserve">from customers </w:t>
      </w:r>
      <w:r w:rsidR="00BF7A5C">
        <w:rPr>
          <w:rFonts w:ascii="Arial" w:hAnsi="Arial" w:cs="Arial"/>
          <w:szCs w:val="24"/>
        </w:rPr>
        <w:t xml:space="preserve">over a </w:t>
      </w:r>
      <w:r w:rsidR="00B60699">
        <w:rPr>
          <w:rFonts w:ascii="Arial" w:hAnsi="Arial" w:cs="Arial"/>
          <w:szCs w:val="24"/>
        </w:rPr>
        <w:t>12</w:t>
      </w:r>
      <w:r w:rsidR="00373904">
        <w:rPr>
          <w:rFonts w:ascii="Arial" w:hAnsi="Arial" w:cs="Arial"/>
          <w:szCs w:val="24"/>
        </w:rPr>
        <w:t>-</w:t>
      </w:r>
      <w:r w:rsidR="00BF7A5C">
        <w:rPr>
          <w:rFonts w:ascii="Arial" w:hAnsi="Arial" w:cs="Arial"/>
          <w:szCs w:val="24"/>
        </w:rPr>
        <w:t>month period ending December 31, 2011.</w:t>
      </w:r>
    </w:p>
    <w:p w:rsidR="000F6FAE" w:rsidRPr="00C2249C" w:rsidRDefault="000F6FAE" w:rsidP="001C2540">
      <w:pPr>
        <w:pStyle w:val="EndnoteText"/>
        <w:tabs>
          <w:tab w:val="left" w:pos="-720"/>
        </w:tabs>
        <w:suppressAutoHyphens/>
        <w:ind w:left="360"/>
        <w:rPr>
          <w:rFonts w:ascii="Arial" w:hAnsi="Arial" w:cs="Arial"/>
          <w:szCs w:val="24"/>
          <w:u w:val="single"/>
        </w:rPr>
      </w:pPr>
    </w:p>
    <w:p w:rsidR="000F6FAE" w:rsidRPr="00C2249C" w:rsidRDefault="005F0284" w:rsidP="005F0284">
      <w:pPr>
        <w:pStyle w:val="EndnoteText"/>
        <w:tabs>
          <w:tab w:val="left" w:pos="-720"/>
        </w:tabs>
        <w:suppressAutoHyphens/>
        <w:rPr>
          <w:rFonts w:ascii="Arial" w:hAnsi="Arial" w:cs="Arial"/>
          <w:b/>
          <w:szCs w:val="24"/>
          <w:u w:val="single"/>
        </w:rPr>
      </w:pPr>
      <w:r w:rsidRPr="00C2249C">
        <w:rPr>
          <w:rFonts w:ascii="Arial" w:hAnsi="Arial" w:cs="Arial"/>
          <w:b/>
          <w:szCs w:val="24"/>
          <w:u w:val="single"/>
        </w:rPr>
        <w:t>8 – RCC Revenue</w:t>
      </w:r>
    </w:p>
    <w:p w:rsidR="000F6FAE" w:rsidRDefault="000F6FAE" w:rsidP="001C2540">
      <w:pPr>
        <w:pStyle w:val="EndnoteText"/>
        <w:tabs>
          <w:tab w:val="left" w:pos="-720"/>
        </w:tabs>
        <w:suppressAutoHyphens/>
        <w:ind w:left="360"/>
        <w:rPr>
          <w:rFonts w:ascii="Arial" w:hAnsi="Arial" w:cs="Arial"/>
          <w:szCs w:val="24"/>
        </w:rPr>
      </w:pPr>
    </w:p>
    <w:p w:rsidR="00BF7A5C" w:rsidRDefault="0062583B" w:rsidP="001C2540">
      <w:pPr>
        <w:pStyle w:val="EndnoteText"/>
        <w:tabs>
          <w:tab w:val="left" w:pos="-720"/>
        </w:tabs>
        <w:suppressAutoHyphens/>
        <w:ind w:left="360"/>
        <w:rPr>
          <w:rFonts w:ascii="Arial" w:hAnsi="Arial" w:cs="Arial"/>
          <w:szCs w:val="24"/>
        </w:rPr>
      </w:pPr>
      <w:r>
        <w:rPr>
          <w:rFonts w:ascii="Arial" w:hAnsi="Arial" w:cs="Arial"/>
          <w:szCs w:val="24"/>
        </w:rPr>
        <w:t>RCC</w:t>
      </w:r>
      <w:r w:rsidR="00BF7A5C">
        <w:rPr>
          <w:rFonts w:ascii="Arial" w:hAnsi="Arial" w:cs="Arial"/>
          <w:szCs w:val="24"/>
        </w:rPr>
        <w:t xml:space="preserve"> revenue </w:t>
      </w:r>
      <w:r>
        <w:rPr>
          <w:rFonts w:ascii="Arial" w:hAnsi="Arial" w:cs="Arial"/>
          <w:szCs w:val="24"/>
        </w:rPr>
        <w:t xml:space="preserve">is the revenue </w:t>
      </w:r>
      <w:r w:rsidR="00BF7A5C">
        <w:rPr>
          <w:rFonts w:ascii="Arial" w:hAnsi="Arial" w:cs="Arial"/>
          <w:szCs w:val="24"/>
        </w:rPr>
        <w:t xml:space="preserve">billed to customers </w:t>
      </w:r>
      <w:r w:rsidR="00114E8C">
        <w:rPr>
          <w:rFonts w:ascii="Arial" w:hAnsi="Arial" w:cs="Arial"/>
          <w:szCs w:val="24"/>
        </w:rPr>
        <w:t xml:space="preserve">in each procurement class </w:t>
      </w:r>
      <w:r w:rsidR="00BF7A5C">
        <w:rPr>
          <w:rFonts w:ascii="Arial" w:hAnsi="Arial" w:cs="Arial"/>
          <w:szCs w:val="24"/>
        </w:rPr>
        <w:t>by applying the RCC surcharge to each billed kWh</w:t>
      </w:r>
      <w:r w:rsidR="00305B7B">
        <w:rPr>
          <w:rFonts w:ascii="Arial" w:hAnsi="Arial" w:cs="Arial"/>
          <w:szCs w:val="24"/>
        </w:rPr>
        <w:t xml:space="preserve"> </w:t>
      </w:r>
      <w:r>
        <w:rPr>
          <w:rFonts w:ascii="Arial" w:hAnsi="Arial" w:cs="Arial"/>
          <w:szCs w:val="24"/>
        </w:rPr>
        <w:t xml:space="preserve">in order </w:t>
      </w:r>
      <w:r w:rsidR="000F6FAE">
        <w:rPr>
          <w:rFonts w:ascii="Arial" w:hAnsi="Arial" w:cs="Arial"/>
          <w:szCs w:val="24"/>
        </w:rPr>
        <w:t>to recover the deferred RCC balance and interest.</w:t>
      </w:r>
      <w:r w:rsidR="00373904">
        <w:rPr>
          <w:rFonts w:ascii="Arial" w:hAnsi="Arial" w:cs="Arial"/>
          <w:szCs w:val="24"/>
        </w:rPr>
        <w:t xml:space="preserve"> </w:t>
      </w:r>
      <w:r w:rsidR="000F6FAE">
        <w:rPr>
          <w:rFonts w:ascii="Arial" w:hAnsi="Arial" w:cs="Arial"/>
          <w:szCs w:val="24"/>
        </w:rPr>
        <w:t xml:space="preserve"> The RCC surcharge was designed to collect the RCC balance and interest over a </w:t>
      </w:r>
      <w:r w:rsidR="00B60699">
        <w:rPr>
          <w:rFonts w:ascii="Arial" w:hAnsi="Arial" w:cs="Arial"/>
          <w:szCs w:val="24"/>
        </w:rPr>
        <w:t>12</w:t>
      </w:r>
      <w:r w:rsidR="00373904">
        <w:rPr>
          <w:rFonts w:ascii="Arial" w:hAnsi="Arial" w:cs="Arial"/>
          <w:szCs w:val="24"/>
        </w:rPr>
        <w:t>-</w:t>
      </w:r>
      <w:r w:rsidR="000F6FAE">
        <w:rPr>
          <w:rFonts w:ascii="Arial" w:hAnsi="Arial" w:cs="Arial"/>
          <w:szCs w:val="24"/>
        </w:rPr>
        <w:t>month period ending on December 31, 2011.</w:t>
      </w:r>
    </w:p>
    <w:p w:rsidR="000F6FAE" w:rsidRDefault="000F6FAE" w:rsidP="001C2540">
      <w:pPr>
        <w:pStyle w:val="EndnoteText"/>
        <w:tabs>
          <w:tab w:val="left" w:pos="-720"/>
        </w:tabs>
        <w:suppressAutoHyphens/>
        <w:ind w:left="360"/>
        <w:rPr>
          <w:rFonts w:ascii="Arial" w:hAnsi="Arial" w:cs="Arial"/>
          <w:szCs w:val="24"/>
        </w:rPr>
      </w:pPr>
    </w:p>
    <w:p w:rsidR="00114E8C" w:rsidRPr="00C2249C" w:rsidRDefault="00C142D4" w:rsidP="00C142D4">
      <w:pPr>
        <w:pStyle w:val="EndnoteText"/>
        <w:tabs>
          <w:tab w:val="left" w:pos="-720"/>
        </w:tabs>
        <w:suppressAutoHyphens/>
        <w:rPr>
          <w:rFonts w:ascii="Arial" w:hAnsi="Arial" w:cs="Arial"/>
          <w:b/>
          <w:szCs w:val="24"/>
          <w:u w:val="single"/>
        </w:rPr>
      </w:pPr>
      <w:r w:rsidRPr="00C2249C">
        <w:rPr>
          <w:rFonts w:ascii="Arial" w:hAnsi="Arial" w:cs="Arial"/>
          <w:b/>
          <w:szCs w:val="24"/>
          <w:u w:val="single"/>
        </w:rPr>
        <w:t>9 – RCC Balance @ 12/31/11</w:t>
      </w:r>
    </w:p>
    <w:p w:rsidR="00114E8C" w:rsidRDefault="00114E8C" w:rsidP="001C2540">
      <w:pPr>
        <w:pStyle w:val="EndnoteText"/>
        <w:tabs>
          <w:tab w:val="left" w:pos="-720"/>
        </w:tabs>
        <w:suppressAutoHyphens/>
        <w:ind w:left="360"/>
        <w:rPr>
          <w:rFonts w:ascii="Arial" w:hAnsi="Arial" w:cs="Arial"/>
          <w:szCs w:val="24"/>
        </w:rPr>
      </w:pPr>
    </w:p>
    <w:p w:rsidR="00BF7A5C" w:rsidRDefault="00114E8C" w:rsidP="001C2540">
      <w:pPr>
        <w:pStyle w:val="EndnoteText"/>
        <w:tabs>
          <w:tab w:val="left" w:pos="-720"/>
        </w:tabs>
        <w:suppressAutoHyphens/>
        <w:ind w:left="360"/>
        <w:rPr>
          <w:rFonts w:ascii="Arial" w:hAnsi="Arial" w:cs="Arial"/>
          <w:szCs w:val="24"/>
        </w:rPr>
      </w:pPr>
      <w:r>
        <w:rPr>
          <w:rFonts w:ascii="Arial" w:hAnsi="Arial" w:cs="Arial"/>
          <w:szCs w:val="24"/>
        </w:rPr>
        <w:t xml:space="preserve">The RCC balance at December 31, 2011 is the balance at the end of the </w:t>
      </w:r>
      <w:r w:rsidR="00B60699">
        <w:rPr>
          <w:rFonts w:ascii="Arial" w:hAnsi="Arial" w:cs="Arial"/>
          <w:szCs w:val="24"/>
        </w:rPr>
        <w:t>12</w:t>
      </w:r>
      <w:r w:rsidR="00373904">
        <w:rPr>
          <w:rFonts w:ascii="Arial" w:hAnsi="Arial" w:cs="Arial"/>
          <w:szCs w:val="24"/>
        </w:rPr>
        <w:t>-</w:t>
      </w:r>
      <w:r>
        <w:rPr>
          <w:rFonts w:ascii="Arial" w:hAnsi="Arial" w:cs="Arial"/>
          <w:szCs w:val="24"/>
        </w:rPr>
        <w:t xml:space="preserve">month </w:t>
      </w:r>
      <w:r w:rsidR="00C142D4">
        <w:rPr>
          <w:rFonts w:ascii="Arial" w:hAnsi="Arial" w:cs="Arial"/>
          <w:szCs w:val="24"/>
        </w:rPr>
        <w:t>amortization</w:t>
      </w:r>
      <w:r>
        <w:rPr>
          <w:rFonts w:ascii="Arial" w:hAnsi="Arial" w:cs="Arial"/>
          <w:szCs w:val="24"/>
        </w:rPr>
        <w:t xml:space="preserve"> period. </w:t>
      </w:r>
      <w:r w:rsidR="00CC4A29">
        <w:rPr>
          <w:rFonts w:ascii="Arial" w:hAnsi="Arial" w:cs="Arial"/>
          <w:szCs w:val="24"/>
        </w:rPr>
        <w:t xml:space="preserve"> </w:t>
      </w:r>
    </w:p>
    <w:p w:rsidR="00BF7A5C" w:rsidRDefault="00BF7A5C" w:rsidP="00BF7A5C">
      <w:pPr>
        <w:pStyle w:val="EndnoteText"/>
        <w:tabs>
          <w:tab w:val="left" w:pos="-720"/>
        </w:tabs>
        <w:suppressAutoHyphens/>
        <w:rPr>
          <w:rFonts w:ascii="Arial" w:hAnsi="Arial" w:cs="Arial"/>
          <w:szCs w:val="24"/>
        </w:rPr>
      </w:pPr>
    </w:p>
    <w:p w:rsidR="001C2540" w:rsidRDefault="001C2540" w:rsidP="001C2540">
      <w:pPr>
        <w:pStyle w:val="EndnoteText"/>
        <w:tabs>
          <w:tab w:val="left" w:pos="-720"/>
        </w:tabs>
        <w:suppressAutoHyphens/>
        <w:ind w:left="360"/>
        <w:rPr>
          <w:rFonts w:ascii="Arial" w:hAnsi="Arial" w:cs="Arial"/>
          <w:szCs w:val="24"/>
        </w:rPr>
      </w:pPr>
    </w:p>
    <w:p w:rsidR="001C2540" w:rsidRPr="00B366C5" w:rsidRDefault="001C2540" w:rsidP="001C2540">
      <w:pPr>
        <w:pStyle w:val="EndnoteText"/>
        <w:tabs>
          <w:tab w:val="left" w:pos="-720"/>
        </w:tabs>
        <w:suppressAutoHyphens/>
        <w:rPr>
          <w:rFonts w:ascii="Arial" w:hAnsi="Arial" w:cs="Arial"/>
          <w:szCs w:val="24"/>
        </w:rPr>
        <w:sectPr w:rsidR="001C2540" w:rsidRPr="00B366C5" w:rsidSect="003A0379">
          <w:headerReference w:type="even" r:id="rId27"/>
          <w:headerReference w:type="default" r:id="rId28"/>
          <w:headerReference w:type="first" r:id="rId29"/>
          <w:footerReference w:type="first" r:id="rId30"/>
          <w:endnotePr>
            <w:numFmt w:val="decimal"/>
          </w:endnotePr>
          <w:type w:val="continuous"/>
          <w:pgSz w:w="12240" w:h="15840" w:code="1"/>
          <w:pgMar w:top="1440" w:right="1440" w:bottom="1152" w:left="1440" w:header="0" w:footer="720" w:gutter="0"/>
          <w:pgNumType w:fmt="numberInDash" w:start="4"/>
          <w:cols w:space="720"/>
          <w:noEndnote/>
          <w:titlePg/>
        </w:sectPr>
      </w:pPr>
    </w:p>
    <w:p w:rsidR="001D725D" w:rsidRPr="00B366C5" w:rsidRDefault="001D725D" w:rsidP="001D725D">
      <w:pPr>
        <w:pStyle w:val="EndnoteText"/>
        <w:tabs>
          <w:tab w:val="left" w:pos="-720"/>
        </w:tabs>
        <w:suppressAutoHyphens/>
        <w:ind w:left="360"/>
        <w:rPr>
          <w:rFonts w:ascii="Arial" w:hAnsi="Arial" w:cs="Arial"/>
          <w:szCs w:val="24"/>
        </w:rPr>
      </w:pPr>
    </w:p>
    <w:p w:rsidR="001D725D" w:rsidRPr="00B366C5" w:rsidRDefault="001D725D" w:rsidP="001D725D"/>
    <w:p w:rsidR="003E4581" w:rsidRPr="00B366C5" w:rsidRDefault="003E4581" w:rsidP="00E532F3">
      <w:pPr>
        <w:pStyle w:val="Heading4"/>
        <w:tabs>
          <w:tab w:val="clear" w:pos="4680"/>
        </w:tabs>
        <w:rPr>
          <w:rFonts w:ascii="Arial" w:hAnsi="Arial" w:cs="Arial"/>
          <w:b w:val="0"/>
          <w:sz w:val="26"/>
          <w:szCs w:val="24"/>
        </w:rPr>
      </w:pPr>
    </w:p>
    <w:p w:rsidR="001D725D" w:rsidRPr="00B366C5" w:rsidRDefault="001D725D" w:rsidP="00B02B85">
      <w:pPr>
        <w:tabs>
          <w:tab w:val="left" w:pos="360"/>
        </w:tabs>
        <w:jc w:val="center"/>
        <w:rPr>
          <w:rFonts w:ascii="Arial" w:hAnsi="Arial" w:cs="Arial"/>
          <w:b/>
          <w:szCs w:val="24"/>
          <w:u w:val="single"/>
        </w:rPr>
      </w:pPr>
    </w:p>
    <w:p w:rsidR="001D725D" w:rsidRPr="00B366C5" w:rsidRDefault="001D725D" w:rsidP="001D725D"/>
    <w:p w:rsidR="001D725D" w:rsidRDefault="001D725D" w:rsidP="001D725D">
      <w:pPr>
        <w:pStyle w:val="Heading4"/>
        <w:tabs>
          <w:tab w:val="clear" w:pos="4680"/>
        </w:tabs>
        <w:rPr>
          <w:rFonts w:ascii="Arial" w:hAnsi="Arial" w:cs="Arial"/>
          <w:sz w:val="36"/>
          <w:szCs w:val="24"/>
          <w:u w:val="none"/>
        </w:rPr>
      </w:pPr>
    </w:p>
    <w:p w:rsidR="003A0379" w:rsidRDefault="003A0379" w:rsidP="003A0379"/>
    <w:p w:rsidR="003A0379" w:rsidRPr="003A0379" w:rsidRDefault="003A0379" w:rsidP="003A0379"/>
    <w:p w:rsidR="003A0379" w:rsidRDefault="003A0379" w:rsidP="003A0379"/>
    <w:p w:rsidR="003A0379" w:rsidRDefault="003A0379" w:rsidP="003A0379"/>
    <w:p w:rsidR="003A0379" w:rsidRDefault="003A0379" w:rsidP="003A0379"/>
    <w:p w:rsidR="003A0379" w:rsidRDefault="003A0379" w:rsidP="003A0379"/>
    <w:p w:rsidR="003A0379" w:rsidRDefault="003A0379" w:rsidP="003A0379"/>
    <w:p w:rsidR="003A0379" w:rsidRDefault="003A0379" w:rsidP="003A0379"/>
    <w:p w:rsidR="003A0379" w:rsidRPr="003A0379" w:rsidRDefault="003A0379" w:rsidP="003A0379"/>
    <w:p w:rsidR="006D5E28" w:rsidRDefault="006D5E28" w:rsidP="006D5E28"/>
    <w:p w:rsidR="006D5E28" w:rsidRPr="006D5E28" w:rsidRDefault="006D5E28" w:rsidP="006D5E28"/>
    <w:p w:rsidR="00C2249C" w:rsidRDefault="001D725D" w:rsidP="001D725D">
      <w:pPr>
        <w:pStyle w:val="Heading4"/>
        <w:tabs>
          <w:tab w:val="clear" w:pos="4680"/>
        </w:tabs>
        <w:rPr>
          <w:rFonts w:ascii="Arial" w:hAnsi="Arial" w:cs="Arial"/>
          <w:sz w:val="36"/>
          <w:szCs w:val="24"/>
          <w:u w:val="none"/>
        </w:rPr>
      </w:pPr>
      <w:r w:rsidRPr="00B366C5">
        <w:rPr>
          <w:rFonts w:ascii="Arial" w:hAnsi="Arial" w:cs="Arial"/>
          <w:sz w:val="36"/>
          <w:szCs w:val="24"/>
          <w:u w:val="none"/>
        </w:rPr>
        <w:t>OPERATIONAL REVIEW</w:t>
      </w:r>
    </w:p>
    <w:p w:rsidR="00C2249C" w:rsidRDefault="00C2249C" w:rsidP="00C2249C">
      <w:r>
        <w:br w:type="page"/>
      </w:r>
    </w:p>
    <w:p w:rsidR="001D725D" w:rsidRPr="00B366C5" w:rsidRDefault="001D725D" w:rsidP="001D725D">
      <w:pPr>
        <w:pStyle w:val="Heading4"/>
        <w:tabs>
          <w:tab w:val="clear" w:pos="4680"/>
        </w:tabs>
        <w:rPr>
          <w:rFonts w:ascii="Arial" w:hAnsi="Arial" w:cs="Arial"/>
          <w:sz w:val="36"/>
          <w:szCs w:val="24"/>
          <w:u w:val="none"/>
        </w:rPr>
        <w:sectPr w:rsidR="001D725D" w:rsidRPr="00B366C5" w:rsidSect="00650C81">
          <w:headerReference w:type="even" r:id="rId31"/>
          <w:headerReference w:type="default" r:id="rId32"/>
          <w:footerReference w:type="default" r:id="rId33"/>
          <w:headerReference w:type="first" r:id="rId34"/>
          <w:footerReference w:type="first" r:id="rId35"/>
          <w:endnotePr>
            <w:numFmt w:val="decimal"/>
          </w:endnotePr>
          <w:type w:val="continuous"/>
          <w:pgSz w:w="12240" w:h="15840" w:code="1"/>
          <w:pgMar w:top="1440" w:right="1440" w:bottom="1152" w:left="1440" w:header="0" w:footer="720" w:gutter="0"/>
          <w:pgNumType w:start="5"/>
          <w:cols w:space="720"/>
          <w:noEndnote/>
          <w:titlePg/>
        </w:sectPr>
      </w:pPr>
    </w:p>
    <w:p w:rsidR="00BF7F33" w:rsidRPr="006D5E28" w:rsidRDefault="00B02B85" w:rsidP="00E57146">
      <w:pPr>
        <w:tabs>
          <w:tab w:val="left" w:pos="360"/>
        </w:tabs>
        <w:jc w:val="center"/>
        <w:rPr>
          <w:rFonts w:ascii="Arial" w:hAnsi="Arial" w:cs="Arial"/>
          <w:b/>
          <w:sz w:val="26"/>
          <w:szCs w:val="26"/>
        </w:rPr>
      </w:pPr>
      <w:r w:rsidRPr="006D5E28">
        <w:rPr>
          <w:rFonts w:ascii="Arial" w:hAnsi="Arial" w:cs="Arial"/>
          <w:b/>
          <w:sz w:val="26"/>
          <w:szCs w:val="26"/>
        </w:rPr>
        <w:lastRenderedPageBreak/>
        <w:t>PECO ENERGY COMPANY</w:t>
      </w:r>
    </w:p>
    <w:p w:rsidR="000D6292" w:rsidRDefault="000D6292" w:rsidP="00BF7F33">
      <w:pPr>
        <w:tabs>
          <w:tab w:val="left" w:pos="-1440"/>
          <w:tab w:val="left" w:pos="-720"/>
        </w:tabs>
        <w:suppressAutoHyphens/>
        <w:jc w:val="center"/>
        <w:rPr>
          <w:rFonts w:ascii="Arial" w:hAnsi="Arial" w:cs="Arial"/>
          <w:b/>
          <w:sz w:val="26"/>
          <w:szCs w:val="26"/>
        </w:rPr>
      </w:pPr>
    </w:p>
    <w:p w:rsidR="00BF7F33" w:rsidRPr="006D5E28" w:rsidRDefault="00BF7F33" w:rsidP="00BF7F33">
      <w:pPr>
        <w:tabs>
          <w:tab w:val="left" w:pos="-1440"/>
          <w:tab w:val="left" w:pos="-720"/>
        </w:tabs>
        <w:suppressAutoHyphens/>
        <w:jc w:val="center"/>
        <w:rPr>
          <w:rFonts w:ascii="Arial" w:hAnsi="Arial" w:cs="Arial"/>
          <w:sz w:val="26"/>
          <w:szCs w:val="26"/>
        </w:rPr>
      </w:pPr>
      <w:r w:rsidRPr="006D5E28">
        <w:rPr>
          <w:rFonts w:ascii="Arial" w:hAnsi="Arial" w:cs="Arial"/>
          <w:b/>
          <w:sz w:val="26"/>
          <w:szCs w:val="26"/>
        </w:rPr>
        <w:t>Background</w:t>
      </w:r>
    </w:p>
    <w:p w:rsidR="00BF7F33" w:rsidRPr="00B366C5" w:rsidRDefault="00BF7F33" w:rsidP="00BF7F33">
      <w:pPr>
        <w:tabs>
          <w:tab w:val="left" w:pos="-1440"/>
          <w:tab w:val="left" w:pos="-720"/>
        </w:tabs>
        <w:suppressAutoHyphens/>
        <w:rPr>
          <w:rFonts w:ascii="Arial" w:hAnsi="Arial" w:cs="Arial"/>
          <w:szCs w:val="24"/>
        </w:rPr>
      </w:pPr>
    </w:p>
    <w:p w:rsidR="00BF7F33" w:rsidRPr="00B366C5" w:rsidRDefault="00BF7F33" w:rsidP="00BF7F33">
      <w:pPr>
        <w:tabs>
          <w:tab w:val="left" w:pos="-1440"/>
          <w:tab w:val="left" w:pos="-720"/>
        </w:tabs>
        <w:suppressAutoHyphens/>
        <w:rPr>
          <w:rFonts w:ascii="Arial" w:hAnsi="Arial" w:cs="Arial"/>
          <w:szCs w:val="24"/>
        </w:rPr>
      </w:pPr>
    </w:p>
    <w:p w:rsidR="006D5E28" w:rsidRPr="00E712CA" w:rsidRDefault="006D5E28" w:rsidP="006D5E28">
      <w:pPr>
        <w:rPr>
          <w:rFonts w:ascii="Arial" w:hAnsi="Arial" w:cs="Arial"/>
        </w:rPr>
      </w:pPr>
      <w:r>
        <w:rPr>
          <w:rFonts w:ascii="Arial" w:hAnsi="Arial" w:cs="Arial"/>
        </w:rPr>
        <w:tab/>
      </w:r>
      <w:r w:rsidRPr="00E712CA">
        <w:rPr>
          <w:rFonts w:ascii="Arial" w:hAnsi="Arial" w:cs="Arial"/>
        </w:rPr>
        <w:t>PECO is a company principally engaged in providing transmission and distribution of electric and natural gas services to retail customers in southeastern Pennsylvania.  PECO’s operations as an electric distribution company and natural gas distribution company are subject to regulation by the Pennsylvania Public Utility Commission.  PECO is a wholly owned subsidiary of Exelon Corporation headquartered in Chicago, Illinois.</w:t>
      </w:r>
      <w:r>
        <w:rPr>
          <w:rFonts w:ascii="Arial" w:hAnsi="Arial" w:cs="Arial"/>
        </w:rPr>
        <w:t xml:space="preserve">  During 2011, </w:t>
      </w:r>
      <w:r w:rsidRPr="00E113B3">
        <w:rPr>
          <w:rFonts w:ascii="Arial" w:hAnsi="Arial" w:cs="Arial"/>
        </w:rPr>
        <w:t xml:space="preserve">PECO’s total electric distribution revenues </w:t>
      </w:r>
      <w:r>
        <w:rPr>
          <w:rFonts w:ascii="Arial" w:hAnsi="Arial" w:cs="Arial"/>
        </w:rPr>
        <w:t>from</w:t>
      </w:r>
      <w:r w:rsidRPr="00E113B3">
        <w:rPr>
          <w:rFonts w:ascii="Arial" w:hAnsi="Arial" w:cs="Arial"/>
        </w:rPr>
        <w:t xml:space="preserve"> retail residential, commercial and industrial customers </w:t>
      </w:r>
      <w:r>
        <w:rPr>
          <w:rFonts w:ascii="Arial" w:hAnsi="Arial" w:cs="Arial"/>
        </w:rPr>
        <w:t>were approximately</w:t>
      </w:r>
      <w:r w:rsidRPr="00E113B3">
        <w:rPr>
          <w:rFonts w:ascii="Arial" w:hAnsi="Arial" w:cs="Arial"/>
        </w:rPr>
        <w:t xml:space="preserve"> $2,865 million</w:t>
      </w:r>
      <w:r>
        <w:rPr>
          <w:rFonts w:ascii="Arial" w:hAnsi="Arial" w:cs="Arial"/>
        </w:rPr>
        <w:t xml:space="preserve"> and its</w:t>
      </w:r>
      <w:r w:rsidRPr="00E113B3">
        <w:rPr>
          <w:rFonts w:ascii="Arial" w:hAnsi="Arial" w:cs="Arial"/>
        </w:rPr>
        <w:t xml:space="preserve"> total </w:t>
      </w:r>
      <w:r>
        <w:rPr>
          <w:rFonts w:ascii="Arial" w:hAnsi="Arial" w:cs="Arial"/>
        </w:rPr>
        <w:t xml:space="preserve">natural </w:t>
      </w:r>
      <w:r w:rsidRPr="00E113B3">
        <w:rPr>
          <w:rFonts w:ascii="Arial" w:hAnsi="Arial" w:cs="Arial"/>
        </w:rPr>
        <w:t xml:space="preserve">gas distribution revenues </w:t>
      </w:r>
      <w:r>
        <w:rPr>
          <w:rFonts w:ascii="Arial" w:hAnsi="Arial" w:cs="Arial"/>
        </w:rPr>
        <w:t>were</w:t>
      </w:r>
      <w:r w:rsidRPr="00E113B3">
        <w:rPr>
          <w:rFonts w:ascii="Arial" w:hAnsi="Arial" w:cs="Arial"/>
        </w:rPr>
        <w:t xml:space="preserve"> $567 million.</w:t>
      </w:r>
      <w:r w:rsidRPr="00E712CA">
        <w:rPr>
          <w:rFonts w:ascii="Arial" w:hAnsi="Arial" w:cs="Arial"/>
        </w:rPr>
        <w:t xml:space="preserve"> </w:t>
      </w:r>
    </w:p>
    <w:p w:rsidR="006D5E28" w:rsidRDefault="006D5E28" w:rsidP="006D5E28">
      <w:pPr>
        <w:rPr>
          <w:rFonts w:ascii="Arial" w:hAnsi="Arial" w:cs="Arial"/>
        </w:rPr>
      </w:pPr>
    </w:p>
    <w:p w:rsidR="006D5E28" w:rsidRDefault="006D5E28" w:rsidP="006D5E28">
      <w:pPr>
        <w:rPr>
          <w:rFonts w:ascii="Arial" w:hAnsi="Arial" w:cs="Arial"/>
        </w:rPr>
      </w:pPr>
      <w:r>
        <w:rPr>
          <w:rFonts w:ascii="Arial" w:hAnsi="Arial" w:cs="Arial"/>
        </w:rPr>
        <w:tab/>
      </w:r>
      <w:r w:rsidRPr="00E113B3">
        <w:rPr>
          <w:rFonts w:ascii="Arial" w:hAnsi="Arial" w:cs="Arial"/>
        </w:rPr>
        <w:t>PECO provides electric distribution service in an area of approximately 1</w:t>
      </w:r>
      <w:r>
        <w:rPr>
          <w:rFonts w:ascii="Arial" w:hAnsi="Arial" w:cs="Arial"/>
        </w:rPr>
        <w:t>,</w:t>
      </w:r>
      <w:r w:rsidRPr="00E113B3">
        <w:rPr>
          <w:rFonts w:ascii="Arial" w:hAnsi="Arial" w:cs="Arial"/>
        </w:rPr>
        <w:t>900 square miles with a population of approximately 3.9 million, including 1.5 million in the city of Philadelphia.</w:t>
      </w:r>
      <w:r>
        <w:rPr>
          <w:rFonts w:ascii="Arial" w:hAnsi="Arial" w:cs="Arial"/>
        </w:rPr>
        <w:t xml:space="preserve"> </w:t>
      </w:r>
      <w:r w:rsidRPr="00E113B3">
        <w:rPr>
          <w:rFonts w:ascii="Arial" w:hAnsi="Arial" w:cs="Arial"/>
        </w:rPr>
        <w:t xml:space="preserve"> PECO provides natural gas distribution service </w:t>
      </w:r>
      <w:r>
        <w:rPr>
          <w:rFonts w:ascii="Arial" w:hAnsi="Arial" w:cs="Arial"/>
        </w:rPr>
        <w:t>to</w:t>
      </w:r>
      <w:r w:rsidRPr="00E113B3">
        <w:rPr>
          <w:rFonts w:ascii="Arial" w:hAnsi="Arial" w:cs="Arial"/>
        </w:rPr>
        <w:t xml:space="preserve"> an area </w:t>
      </w:r>
      <w:r>
        <w:rPr>
          <w:rFonts w:ascii="Arial" w:hAnsi="Arial" w:cs="Arial"/>
        </w:rPr>
        <w:t>adjacent to the City of Philadelphia</w:t>
      </w:r>
      <w:r w:rsidRPr="00E113B3">
        <w:rPr>
          <w:rFonts w:ascii="Arial" w:hAnsi="Arial" w:cs="Arial"/>
        </w:rPr>
        <w:t>.</w:t>
      </w:r>
      <w:r>
        <w:rPr>
          <w:rFonts w:ascii="Arial" w:hAnsi="Arial" w:cs="Arial"/>
        </w:rPr>
        <w:t xml:space="preserve">  During 2011, </w:t>
      </w:r>
      <w:r w:rsidRPr="00E113B3">
        <w:rPr>
          <w:rFonts w:ascii="Arial" w:hAnsi="Arial" w:cs="Arial"/>
        </w:rPr>
        <w:t>PECO deliver</w:t>
      </w:r>
      <w:r>
        <w:rPr>
          <w:rFonts w:ascii="Arial" w:hAnsi="Arial" w:cs="Arial"/>
        </w:rPr>
        <w:t>ed</w:t>
      </w:r>
      <w:r w:rsidRPr="00E113B3">
        <w:rPr>
          <w:rFonts w:ascii="Arial" w:hAnsi="Arial" w:cs="Arial"/>
        </w:rPr>
        <w:t xml:space="preserve"> electricity to </w:t>
      </w:r>
      <w:r>
        <w:rPr>
          <w:rFonts w:ascii="Arial" w:hAnsi="Arial" w:cs="Arial"/>
        </w:rPr>
        <w:t xml:space="preserve">approximately </w:t>
      </w:r>
      <w:r w:rsidRPr="00E113B3">
        <w:rPr>
          <w:rFonts w:ascii="Arial" w:hAnsi="Arial" w:cs="Arial"/>
        </w:rPr>
        <w:t>1,577,0</w:t>
      </w:r>
      <w:r>
        <w:rPr>
          <w:rFonts w:ascii="Arial" w:hAnsi="Arial" w:cs="Arial"/>
        </w:rPr>
        <w:t>00</w:t>
      </w:r>
      <w:r w:rsidRPr="00E113B3">
        <w:rPr>
          <w:rFonts w:ascii="Arial" w:hAnsi="Arial" w:cs="Arial"/>
        </w:rPr>
        <w:t xml:space="preserve"> residential, commercial and industrial customers</w:t>
      </w:r>
      <w:r>
        <w:rPr>
          <w:rFonts w:ascii="Arial" w:hAnsi="Arial" w:cs="Arial"/>
        </w:rPr>
        <w:t xml:space="preserve"> and </w:t>
      </w:r>
      <w:r w:rsidRPr="00E113B3">
        <w:rPr>
          <w:rFonts w:ascii="Arial" w:hAnsi="Arial" w:cs="Arial"/>
        </w:rPr>
        <w:t xml:space="preserve">natural gas service to </w:t>
      </w:r>
      <w:r>
        <w:rPr>
          <w:rFonts w:ascii="Arial" w:hAnsi="Arial" w:cs="Arial"/>
        </w:rPr>
        <w:t xml:space="preserve">approximately </w:t>
      </w:r>
      <w:r w:rsidRPr="00E113B3">
        <w:rPr>
          <w:rFonts w:ascii="Arial" w:hAnsi="Arial" w:cs="Arial"/>
        </w:rPr>
        <w:t>493,6</w:t>
      </w:r>
      <w:r>
        <w:rPr>
          <w:rFonts w:ascii="Arial" w:hAnsi="Arial" w:cs="Arial"/>
        </w:rPr>
        <w:t>00</w:t>
      </w:r>
      <w:r w:rsidRPr="00E113B3">
        <w:rPr>
          <w:rFonts w:ascii="Arial" w:hAnsi="Arial" w:cs="Arial"/>
        </w:rPr>
        <w:t xml:space="preserve"> customers. </w:t>
      </w:r>
    </w:p>
    <w:p w:rsidR="006D5E28" w:rsidRPr="00E113B3" w:rsidRDefault="006D5E28" w:rsidP="006D5E28">
      <w:pPr>
        <w:rPr>
          <w:rFonts w:ascii="Arial" w:hAnsi="Arial" w:cs="Arial"/>
        </w:rPr>
      </w:pPr>
    </w:p>
    <w:p w:rsidR="006D5E28" w:rsidRPr="00E113B3" w:rsidRDefault="006D5E28" w:rsidP="004E1F1F">
      <w:pPr>
        <w:rPr>
          <w:rFonts w:ascii="Arial" w:hAnsi="Arial" w:cs="Arial"/>
        </w:rPr>
      </w:pPr>
      <w:r>
        <w:rPr>
          <w:rFonts w:ascii="Arial" w:hAnsi="Arial" w:cs="Arial"/>
        </w:rPr>
        <w:tab/>
      </w:r>
      <w:r w:rsidRPr="00E113B3">
        <w:rPr>
          <w:rFonts w:ascii="Arial" w:hAnsi="Arial" w:cs="Arial"/>
        </w:rPr>
        <w:t>PECO owns 1,085 miles of high voltage electric tr</w:t>
      </w:r>
      <w:r>
        <w:rPr>
          <w:rFonts w:ascii="Arial" w:hAnsi="Arial" w:cs="Arial"/>
        </w:rPr>
        <w:t xml:space="preserve">ansmission lines within its service territory.  </w:t>
      </w:r>
      <w:r w:rsidRPr="00E113B3">
        <w:rPr>
          <w:rFonts w:ascii="Arial" w:hAnsi="Arial" w:cs="Arial"/>
        </w:rPr>
        <w:t xml:space="preserve">In addition, PECO has a 22.00% </w:t>
      </w:r>
      <w:r>
        <w:rPr>
          <w:rFonts w:ascii="Arial" w:hAnsi="Arial" w:cs="Arial"/>
        </w:rPr>
        <w:t xml:space="preserve">ownership of </w:t>
      </w:r>
      <w:r w:rsidRPr="00E113B3">
        <w:rPr>
          <w:rFonts w:ascii="Arial" w:hAnsi="Arial" w:cs="Arial"/>
        </w:rPr>
        <w:t xml:space="preserve">127 miles of 500 kV lines located in Pennsylvania and a 42.55% </w:t>
      </w:r>
      <w:r>
        <w:rPr>
          <w:rFonts w:ascii="Arial" w:hAnsi="Arial" w:cs="Arial"/>
        </w:rPr>
        <w:t>ownership of</w:t>
      </w:r>
      <w:r w:rsidRPr="00E113B3">
        <w:rPr>
          <w:rFonts w:ascii="Arial" w:hAnsi="Arial" w:cs="Arial"/>
        </w:rPr>
        <w:t xml:space="preserve"> 500 kV lines located in Delaware and New Jersey.</w:t>
      </w:r>
      <w:r>
        <w:rPr>
          <w:rFonts w:ascii="Arial" w:hAnsi="Arial" w:cs="Arial"/>
        </w:rPr>
        <w:t xml:space="preserve"> </w:t>
      </w:r>
      <w:r w:rsidRPr="00E113B3">
        <w:rPr>
          <w:rFonts w:ascii="Arial" w:hAnsi="Arial" w:cs="Arial"/>
        </w:rPr>
        <w:t xml:space="preserve"> PECO’s electric distribution system includes 12,972 circuit miles of overhead lines and 8,851 circuit miles of underground lines.</w:t>
      </w:r>
    </w:p>
    <w:p w:rsidR="004E1F1F" w:rsidRDefault="00BF7F33" w:rsidP="004E1F1F">
      <w:pPr>
        <w:rPr>
          <w:rFonts w:ascii="Arial" w:hAnsi="Arial" w:cs="Arial"/>
          <w:szCs w:val="24"/>
        </w:rPr>
      </w:pPr>
      <w:r w:rsidRPr="00B366C5">
        <w:rPr>
          <w:rFonts w:ascii="Arial" w:hAnsi="Arial" w:cs="Arial"/>
          <w:szCs w:val="24"/>
        </w:rPr>
        <w:tab/>
      </w:r>
    </w:p>
    <w:p w:rsidR="004220F1" w:rsidRDefault="004220F1" w:rsidP="004E1F1F">
      <w:pPr>
        <w:rPr>
          <w:rFonts w:ascii="Arial" w:hAnsi="Arial" w:cs="Arial"/>
        </w:rPr>
      </w:pPr>
      <w:r w:rsidRPr="00B366C5">
        <w:rPr>
          <w:rFonts w:ascii="Arial" w:hAnsi="Arial" w:cs="Arial"/>
        </w:rPr>
        <w:tab/>
        <w:t>On December 26, 2007, the Commission entered a Final Order at Docket No. P</w:t>
      </w:r>
      <w:r w:rsidRPr="00B366C5">
        <w:rPr>
          <w:rFonts w:ascii="Arial" w:hAnsi="Arial" w:cs="Arial"/>
        </w:rPr>
        <w:noBreakHyphen/>
        <w:t xml:space="preserve">00072260 (Final Order) approving a Tentative Order for a Petition filed by PECO.  The Petition </w:t>
      </w:r>
      <w:r w:rsidR="006F7DD2">
        <w:rPr>
          <w:rFonts w:ascii="Arial" w:hAnsi="Arial" w:cs="Arial"/>
        </w:rPr>
        <w:t>requested</w:t>
      </w:r>
      <w:r w:rsidRPr="00B366C5">
        <w:rPr>
          <w:rFonts w:ascii="Arial" w:hAnsi="Arial" w:cs="Arial"/>
        </w:rPr>
        <w:t xml:space="preserve"> approval of the process </w:t>
      </w:r>
      <w:r w:rsidR="006F7DD2">
        <w:rPr>
          <w:rFonts w:ascii="Arial" w:hAnsi="Arial" w:cs="Arial"/>
        </w:rPr>
        <w:t>for</w:t>
      </w:r>
      <w:r w:rsidRPr="00B366C5">
        <w:rPr>
          <w:rFonts w:ascii="Arial" w:hAnsi="Arial" w:cs="Arial"/>
        </w:rPr>
        <w:t xml:space="preserve"> banking AECs and for recovery of costs incurred for AEC acquisition under a proposed Section 1307 surcharge mechanism and related tariff provisions.  Specifically, PECO was seeking approval for a voluntary initial procurement of up to 450,000 non</w:t>
      </w:r>
      <w:r w:rsidR="00754A0F">
        <w:rPr>
          <w:rFonts w:ascii="Arial" w:hAnsi="Arial" w:cs="Arial"/>
        </w:rPr>
        <w:noBreakHyphen/>
      </w:r>
      <w:r w:rsidRPr="00B366C5">
        <w:rPr>
          <w:rFonts w:ascii="Arial" w:hAnsi="Arial" w:cs="Arial"/>
        </w:rPr>
        <w:t>solar Tier I AECs annually for the interim five year period during its remaining generation rate cap period to satisfy a portion of PECO’s future requirements under the AEPS Act.</w:t>
      </w:r>
    </w:p>
    <w:p w:rsidR="006D5E28" w:rsidRPr="00B366C5" w:rsidRDefault="006D5E28" w:rsidP="004E1F1F">
      <w:pPr>
        <w:rPr>
          <w:rFonts w:ascii="Arial" w:hAnsi="Arial" w:cs="Arial"/>
        </w:rPr>
      </w:pPr>
    </w:p>
    <w:p w:rsidR="00853C34" w:rsidRDefault="004220F1" w:rsidP="004C0803">
      <w:pPr>
        <w:ind w:firstLine="720"/>
        <w:rPr>
          <w:rFonts w:ascii="Arial" w:hAnsi="Arial" w:cs="Arial"/>
        </w:rPr>
      </w:pPr>
      <w:r w:rsidRPr="00B366C5">
        <w:rPr>
          <w:rFonts w:ascii="Arial" w:hAnsi="Arial" w:cs="Arial"/>
        </w:rPr>
        <w:t xml:space="preserve">The Final Order allowed PECO to treat the </w:t>
      </w:r>
      <w:r w:rsidR="004C0803">
        <w:rPr>
          <w:rFonts w:ascii="Arial" w:hAnsi="Arial" w:cs="Arial"/>
        </w:rPr>
        <w:t>RCCs</w:t>
      </w:r>
      <w:r w:rsidRPr="00B366C5">
        <w:rPr>
          <w:rFonts w:ascii="Arial" w:hAnsi="Arial" w:cs="Arial"/>
        </w:rPr>
        <w:t xml:space="preserve"> incurred for the AECs purchased prior to January 1, 2011, as a deferred regulatory asset which will be entirely recovered (with a return on the unamortized balance) through a Section </w:t>
      </w:r>
      <w:r w:rsidR="00C2249C" w:rsidRPr="00B366C5">
        <w:rPr>
          <w:rFonts w:ascii="Arial" w:hAnsi="Arial" w:cs="Arial"/>
        </w:rPr>
        <w:t xml:space="preserve">1307 AEPS surcharge over a </w:t>
      </w:r>
      <w:r w:rsidR="000B7DC8">
        <w:rPr>
          <w:rFonts w:ascii="Arial" w:hAnsi="Arial" w:cs="Arial"/>
        </w:rPr>
        <w:t>12-</w:t>
      </w:r>
      <w:r w:rsidR="00C2249C">
        <w:rPr>
          <w:rFonts w:ascii="Arial" w:hAnsi="Arial" w:cs="Arial"/>
        </w:rPr>
        <w:t>month</w:t>
      </w:r>
      <w:r w:rsidR="00C2249C" w:rsidRPr="00B366C5">
        <w:rPr>
          <w:rFonts w:ascii="Arial" w:hAnsi="Arial" w:cs="Arial"/>
        </w:rPr>
        <w:t xml:space="preserve"> period </w:t>
      </w:r>
      <w:r w:rsidR="00C2249C">
        <w:rPr>
          <w:rFonts w:ascii="Arial" w:hAnsi="Arial" w:cs="Arial"/>
        </w:rPr>
        <w:t>beginn</w:t>
      </w:r>
      <w:r w:rsidR="00C2249C" w:rsidRPr="00B366C5">
        <w:rPr>
          <w:rFonts w:ascii="Arial" w:hAnsi="Arial" w:cs="Arial"/>
        </w:rPr>
        <w:t xml:space="preserve">ing January 1, 2011.  The </w:t>
      </w:r>
      <w:r w:rsidR="00673DDF">
        <w:rPr>
          <w:rFonts w:ascii="Arial" w:hAnsi="Arial" w:cs="Arial"/>
        </w:rPr>
        <w:t>12-</w:t>
      </w:r>
      <w:r w:rsidR="00C2249C">
        <w:rPr>
          <w:rFonts w:ascii="Arial" w:hAnsi="Arial" w:cs="Arial"/>
        </w:rPr>
        <w:t>month</w:t>
      </w:r>
      <w:r w:rsidR="00C2249C" w:rsidRPr="00B366C5">
        <w:rPr>
          <w:rFonts w:ascii="Arial" w:hAnsi="Arial" w:cs="Arial"/>
        </w:rPr>
        <w:t xml:space="preserve"> AEPS surcharge will include the deferred costs of banked AECs as well</w:t>
      </w:r>
      <w:r w:rsidR="004C0803">
        <w:rPr>
          <w:rFonts w:ascii="Arial" w:hAnsi="Arial" w:cs="Arial"/>
        </w:rPr>
        <w:t xml:space="preserve"> </w:t>
      </w:r>
      <w:r w:rsidR="00C2249C" w:rsidRPr="00B366C5">
        <w:rPr>
          <w:rFonts w:ascii="Arial" w:hAnsi="Arial" w:cs="Arial"/>
        </w:rPr>
        <w:t>as projected costs of AECs to be purchased in that first compliance year.  The AEPS</w:t>
      </w:r>
      <w:r w:rsidR="004C0803">
        <w:rPr>
          <w:rFonts w:ascii="Arial" w:hAnsi="Arial" w:cs="Arial"/>
        </w:rPr>
        <w:t xml:space="preserve"> </w:t>
      </w:r>
      <w:r w:rsidR="006D5E28" w:rsidRPr="00B366C5">
        <w:rPr>
          <w:rFonts w:ascii="Arial" w:hAnsi="Arial" w:cs="Arial"/>
        </w:rPr>
        <w:t xml:space="preserve">surcharge will also allow PECO to recover, subject to reconciliation and adjustment for over/under collection, the costs of AECs procured during the remaining term of the Alternative Energy Credits Purchase and Sales Agreements and other ongoing AEPS </w:t>
      </w:r>
      <w:r w:rsidR="00853C34" w:rsidRPr="00B366C5">
        <w:rPr>
          <w:rFonts w:ascii="Arial" w:hAnsi="Arial" w:cs="Arial"/>
        </w:rPr>
        <w:t>compliance costs; including payments to the Commission’s AEPS program administrator, payments to PJM GATS for operating the AEC registry, charges levied by</w:t>
      </w:r>
      <w:r w:rsidR="004C0803">
        <w:rPr>
          <w:rFonts w:ascii="Arial" w:hAnsi="Arial" w:cs="Arial"/>
        </w:rPr>
        <w:t xml:space="preserve"> </w:t>
      </w:r>
      <w:r w:rsidR="004C0803" w:rsidRPr="00B366C5">
        <w:rPr>
          <w:rFonts w:ascii="Arial" w:hAnsi="Arial" w:cs="Arial"/>
        </w:rPr>
        <w:t>PJM to ensure that</w:t>
      </w:r>
    </w:p>
    <w:p w:rsidR="000D6292" w:rsidRDefault="001C41AA" w:rsidP="000D6292">
      <w:pPr>
        <w:spacing w:line="480" w:lineRule="auto"/>
        <w:ind w:firstLine="720"/>
        <w:jc w:val="center"/>
        <w:rPr>
          <w:rFonts w:ascii="Arial" w:hAnsi="Arial" w:cs="Arial"/>
          <w:b/>
          <w:sz w:val="26"/>
          <w:szCs w:val="26"/>
        </w:rPr>
      </w:pPr>
      <w:r w:rsidRPr="004E4262">
        <w:rPr>
          <w:rFonts w:ascii="Arial" w:hAnsi="Arial" w:cs="Arial"/>
          <w:b/>
          <w:sz w:val="26"/>
          <w:szCs w:val="26"/>
        </w:rPr>
        <w:lastRenderedPageBreak/>
        <w:t>PECO ENERGY COMPANY</w:t>
      </w:r>
    </w:p>
    <w:p w:rsidR="001C41AA" w:rsidRPr="000D6292" w:rsidRDefault="001C41AA" w:rsidP="000D6292">
      <w:pPr>
        <w:ind w:firstLine="720"/>
        <w:jc w:val="center"/>
        <w:rPr>
          <w:rFonts w:ascii="Arial" w:hAnsi="Arial" w:cs="Arial"/>
          <w:b/>
          <w:szCs w:val="24"/>
        </w:rPr>
      </w:pPr>
      <w:r w:rsidRPr="00E60C33">
        <w:rPr>
          <w:rFonts w:ascii="Arial" w:hAnsi="Arial" w:cs="Arial"/>
          <w:b/>
          <w:sz w:val="26"/>
          <w:szCs w:val="26"/>
        </w:rPr>
        <w:t>Background (continued)</w:t>
      </w:r>
    </w:p>
    <w:p w:rsidR="001C41AA" w:rsidRDefault="001C41AA" w:rsidP="006D5E28">
      <w:pPr>
        <w:rPr>
          <w:rFonts w:ascii="Arial" w:hAnsi="Arial" w:cs="Arial"/>
        </w:rPr>
      </w:pPr>
    </w:p>
    <w:p w:rsidR="003B3899" w:rsidRDefault="003B3899" w:rsidP="006D5E28">
      <w:pPr>
        <w:rPr>
          <w:rFonts w:ascii="Arial" w:hAnsi="Arial" w:cs="Arial"/>
        </w:rPr>
      </w:pPr>
    </w:p>
    <w:p w:rsidR="004220F1" w:rsidRPr="00B366C5" w:rsidRDefault="004220F1" w:rsidP="006D5E28">
      <w:pPr>
        <w:rPr>
          <w:rFonts w:ascii="Arial" w:hAnsi="Arial" w:cs="Arial"/>
        </w:rPr>
      </w:pPr>
      <w:proofErr w:type="gramStart"/>
      <w:r w:rsidRPr="00B366C5">
        <w:rPr>
          <w:rFonts w:ascii="Arial" w:hAnsi="Arial" w:cs="Arial"/>
        </w:rPr>
        <w:t>alternative</w:t>
      </w:r>
      <w:proofErr w:type="gramEnd"/>
      <w:r w:rsidRPr="00B366C5">
        <w:rPr>
          <w:rFonts w:ascii="Arial" w:hAnsi="Arial" w:cs="Arial"/>
        </w:rPr>
        <w:t xml:space="preserve"> energy sources are reliable, the cost of AEPS compliance payments deemed recoverable by the Commission and any other direct or indirect cost of acquiring </w:t>
      </w:r>
      <w:r w:rsidR="004C0803">
        <w:rPr>
          <w:rFonts w:ascii="Arial" w:hAnsi="Arial" w:cs="Arial"/>
        </w:rPr>
        <w:t>Alt</w:t>
      </w:r>
      <w:r w:rsidRPr="00B366C5">
        <w:rPr>
          <w:rFonts w:ascii="Arial" w:hAnsi="Arial" w:cs="Arial"/>
        </w:rPr>
        <w:t xml:space="preserve">ernative </w:t>
      </w:r>
      <w:r w:rsidR="004C0803">
        <w:rPr>
          <w:rFonts w:ascii="Arial" w:hAnsi="Arial" w:cs="Arial"/>
        </w:rPr>
        <w:t>E</w:t>
      </w:r>
      <w:r w:rsidRPr="00B366C5">
        <w:rPr>
          <w:rFonts w:ascii="Arial" w:hAnsi="Arial" w:cs="Arial"/>
        </w:rPr>
        <w:t xml:space="preserve">nergy and/or AECs and complying with the AEPS Act.  </w:t>
      </w:r>
    </w:p>
    <w:p w:rsidR="004220F1" w:rsidRPr="00B366C5" w:rsidRDefault="004220F1" w:rsidP="006D5E28">
      <w:pPr>
        <w:ind w:firstLine="720"/>
        <w:rPr>
          <w:rFonts w:ascii="Arial" w:hAnsi="Arial" w:cs="Arial"/>
        </w:rPr>
      </w:pPr>
    </w:p>
    <w:p w:rsidR="006D5E28" w:rsidRDefault="006D5E28">
      <w:pPr>
        <w:overflowPunct/>
        <w:autoSpaceDE/>
        <w:autoSpaceDN/>
        <w:adjustRightInd/>
        <w:spacing w:after="200" w:line="276" w:lineRule="auto"/>
        <w:textAlignment w:val="auto"/>
        <w:rPr>
          <w:rFonts w:ascii="Arial" w:hAnsi="Arial" w:cs="Arial"/>
          <w:b/>
          <w:sz w:val="36"/>
          <w:szCs w:val="24"/>
          <w:u w:val="single"/>
        </w:rPr>
      </w:pPr>
      <w:r>
        <w:rPr>
          <w:rFonts w:ascii="Arial" w:hAnsi="Arial" w:cs="Arial"/>
          <w:b/>
          <w:sz w:val="36"/>
          <w:szCs w:val="24"/>
          <w:u w:val="single"/>
        </w:rPr>
        <w:br w:type="page"/>
      </w:r>
    </w:p>
    <w:p w:rsidR="00B4314C" w:rsidRPr="00B366C5" w:rsidRDefault="00B4314C">
      <w:pPr>
        <w:overflowPunct/>
        <w:autoSpaceDE/>
        <w:autoSpaceDN/>
        <w:adjustRightInd/>
        <w:spacing w:after="200" w:line="276" w:lineRule="auto"/>
        <w:textAlignment w:val="auto"/>
        <w:rPr>
          <w:rFonts w:ascii="Arial" w:hAnsi="Arial" w:cs="Arial"/>
          <w:b/>
          <w:sz w:val="36"/>
          <w:szCs w:val="24"/>
          <w:u w:val="single"/>
        </w:rPr>
        <w:sectPr w:rsidR="00B4314C" w:rsidRPr="00B366C5" w:rsidSect="003A0379">
          <w:headerReference w:type="even" r:id="rId36"/>
          <w:headerReference w:type="default" r:id="rId37"/>
          <w:footerReference w:type="default" r:id="rId38"/>
          <w:headerReference w:type="first" r:id="rId39"/>
          <w:endnotePr>
            <w:numFmt w:val="decimal"/>
          </w:endnotePr>
          <w:type w:val="continuous"/>
          <w:pgSz w:w="12240" w:h="15840" w:code="1"/>
          <w:pgMar w:top="1440" w:right="1440" w:bottom="1152" w:left="1440" w:header="0" w:footer="720" w:gutter="0"/>
          <w:pgNumType w:fmt="numberInDash" w:start="6"/>
          <w:cols w:space="720"/>
          <w:noEndnote/>
        </w:sectPr>
      </w:pPr>
    </w:p>
    <w:p w:rsidR="00B02B85" w:rsidRPr="004E4262" w:rsidRDefault="00B02B85" w:rsidP="00B02B85">
      <w:pPr>
        <w:tabs>
          <w:tab w:val="left" w:pos="360"/>
        </w:tabs>
        <w:jc w:val="center"/>
        <w:rPr>
          <w:rFonts w:ascii="Arial" w:hAnsi="Arial" w:cs="Arial"/>
          <w:b/>
          <w:sz w:val="26"/>
          <w:szCs w:val="26"/>
        </w:rPr>
      </w:pPr>
      <w:r w:rsidRPr="004E4262">
        <w:rPr>
          <w:rFonts w:ascii="Arial" w:hAnsi="Arial" w:cs="Arial"/>
          <w:b/>
          <w:sz w:val="26"/>
          <w:szCs w:val="26"/>
        </w:rPr>
        <w:lastRenderedPageBreak/>
        <w:t>PECO ENERGY COMPANY</w:t>
      </w:r>
    </w:p>
    <w:p w:rsidR="004B51AF" w:rsidRPr="004E4262" w:rsidRDefault="004B51AF" w:rsidP="00BF7F33">
      <w:pPr>
        <w:pStyle w:val="Heading1"/>
        <w:rPr>
          <w:rFonts w:ascii="Arial" w:hAnsi="Arial" w:cs="Arial"/>
          <w:sz w:val="26"/>
          <w:szCs w:val="24"/>
          <w:u w:val="none"/>
        </w:rPr>
      </w:pPr>
    </w:p>
    <w:p w:rsidR="00BF7F33" w:rsidRPr="00E60C33" w:rsidRDefault="00BF7F33" w:rsidP="00BF7F33">
      <w:pPr>
        <w:pStyle w:val="Heading1"/>
        <w:rPr>
          <w:rFonts w:ascii="Arial" w:hAnsi="Arial" w:cs="Arial"/>
          <w:sz w:val="26"/>
          <w:szCs w:val="26"/>
          <w:u w:val="none"/>
        </w:rPr>
      </w:pPr>
      <w:r w:rsidRPr="00E60C33">
        <w:rPr>
          <w:rFonts w:ascii="Arial" w:hAnsi="Arial" w:cs="Arial"/>
          <w:sz w:val="26"/>
          <w:szCs w:val="26"/>
          <w:u w:val="none"/>
        </w:rPr>
        <w:t>ACKNOWLEDGEMENTS</w:t>
      </w:r>
    </w:p>
    <w:p w:rsidR="00BF7F33" w:rsidRPr="00B366C5" w:rsidRDefault="00BF7F33" w:rsidP="00BF7F33">
      <w:pPr>
        <w:rPr>
          <w:rFonts w:ascii="Arial" w:hAnsi="Arial" w:cs="Arial"/>
          <w:b/>
          <w:szCs w:val="24"/>
          <w:u w:val="single"/>
        </w:rPr>
      </w:pPr>
    </w:p>
    <w:p w:rsidR="00BF7F33" w:rsidRPr="00B366C5" w:rsidRDefault="00BF7F33" w:rsidP="00BF7F33">
      <w:pPr>
        <w:rPr>
          <w:rFonts w:ascii="Arial" w:hAnsi="Arial" w:cs="Arial"/>
          <w:b/>
          <w:szCs w:val="24"/>
          <w:u w:val="single"/>
        </w:rPr>
      </w:pPr>
    </w:p>
    <w:p w:rsidR="00BF7F33" w:rsidRPr="00BA6124" w:rsidRDefault="00BF7F33" w:rsidP="00BF7F33">
      <w:pPr>
        <w:rPr>
          <w:rFonts w:ascii="Arial" w:hAnsi="Arial" w:cs="Arial"/>
          <w:szCs w:val="24"/>
        </w:rPr>
      </w:pPr>
      <w:r w:rsidRPr="00B366C5">
        <w:rPr>
          <w:rFonts w:ascii="Arial" w:hAnsi="Arial" w:cs="Arial"/>
          <w:szCs w:val="24"/>
        </w:rPr>
        <w:tab/>
        <w:t xml:space="preserve">We wish to express our appreciation to the officers and staff of </w:t>
      </w:r>
      <w:r w:rsidR="009F5F03" w:rsidRPr="00B366C5">
        <w:rPr>
          <w:rFonts w:ascii="Arial" w:hAnsi="Arial" w:cs="Arial"/>
          <w:szCs w:val="24"/>
        </w:rPr>
        <w:t>PECO Energy</w:t>
      </w:r>
      <w:r w:rsidR="00F15D49" w:rsidRPr="00B366C5">
        <w:rPr>
          <w:rFonts w:ascii="Arial" w:hAnsi="Arial" w:cs="Arial"/>
          <w:szCs w:val="24"/>
        </w:rPr>
        <w:t xml:space="preserve"> Company</w:t>
      </w:r>
      <w:r w:rsidRPr="00B366C5">
        <w:rPr>
          <w:rFonts w:ascii="Arial" w:hAnsi="Arial" w:cs="Arial"/>
          <w:szCs w:val="24"/>
        </w:rPr>
        <w:t xml:space="preserve"> for the cooperation and assistance given to us during the course of our examination.</w:t>
      </w:r>
      <w:r w:rsidR="005B074C">
        <w:rPr>
          <w:rFonts w:ascii="Arial" w:hAnsi="Arial" w:cs="Arial"/>
          <w:szCs w:val="24"/>
        </w:rPr>
        <w:t xml:space="preserve"> </w:t>
      </w:r>
      <w:r w:rsidRPr="00B366C5">
        <w:rPr>
          <w:rFonts w:ascii="Arial" w:hAnsi="Arial" w:cs="Arial"/>
          <w:szCs w:val="24"/>
        </w:rPr>
        <w:t xml:space="preserve"> The audit was conducted by </w:t>
      </w:r>
      <w:r w:rsidR="00515B8D" w:rsidRPr="00B366C5">
        <w:rPr>
          <w:rFonts w:ascii="Arial" w:hAnsi="Arial" w:cs="Arial"/>
          <w:szCs w:val="24"/>
        </w:rPr>
        <w:t>William Pierce</w:t>
      </w:r>
      <w:r w:rsidR="00F15D49" w:rsidRPr="00B366C5">
        <w:rPr>
          <w:rFonts w:ascii="Arial" w:hAnsi="Arial" w:cs="Arial"/>
          <w:szCs w:val="24"/>
        </w:rPr>
        <w:t>, CPA and assisted by Joseph McGrory and Katrina Johnson</w:t>
      </w:r>
      <w:r w:rsidR="00515B8D" w:rsidRPr="00B366C5">
        <w:rPr>
          <w:rFonts w:ascii="Arial" w:hAnsi="Arial" w:cs="Arial"/>
          <w:szCs w:val="24"/>
        </w:rPr>
        <w:t>.</w:t>
      </w:r>
      <w:r w:rsidRPr="00BA6124">
        <w:rPr>
          <w:rFonts w:ascii="Arial" w:hAnsi="Arial" w:cs="Arial"/>
          <w:szCs w:val="24"/>
        </w:rPr>
        <w:t xml:space="preserve">  </w:t>
      </w:r>
    </w:p>
    <w:p w:rsidR="00BF7F33" w:rsidRPr="00BA6124" w:rsidRDefault="00BF7F33" w:rsidP="00BF7F33">
      <w:pPr>
        <w:rPr>
          <w:rFonts w:ascii="Arial" w:hAnsi="Arial" w:cs="Arial"/>
          <w:szCs w:val="24"/>
        </w:rPr>
      </w:pPr>
    </w:p>
    <w:sectPr w:rsidR="00BF7F33" w:rsidRPr="00BA6124" w:rsidSect="003A0379">
      <w:headerReference w:type="even" r:id="rId40"/>
      <w:headerReference w:type="default" r:id="rId41"/>
      <w:footerReference w:type="default" r:id="rId42"/>
      <w:headerReference w:type="first" r:id="rId43"/>
      <w:endnotePr>
        <w:numFmt w:val="decimal"/>
      </w:endnotePr>
      <w:type w:val="continuous"/>
      <w:pgSz w:w="12240" w:h="15840" w:code="1"/>
      <w:pgMar w:top="1440" w:right="1440" w:bottom="1152" w:left="1440" w:header="0" w:footer="720" w:gutter="0"/>
      <w:pgNumType w:fmt="numberInDash"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073" w:rsidRDefault="00DE4073" w:rsidP="005E2A00">
      <w:r>
        <w:separator/>
      </w:r>
    </w:p>
  </w:endnote>
  <w:endnote w:type="continuationSeparator" w:id="0">
    <w:p w:rsidR="00DE4073" w:rsidRDefault="00DE4073" w:rsidP="005E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DB3" w:rsidRDefault="002D3DB3">
    <w:pPr>
      <w:pStyle w:val="Footer"/>
      <w:jc w:val="center"/>
    </w:pPr>
  </w:p>
  <w:p w:rsidR="002D3DB3" w:rsidRDefault="002D3DB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243108"/>
      <w:docPartObj>
        <w:docPartGallery w:val="Page Numbers (Bottom of Page)"/>
        <w:docPartUnique/>
      </w:docPartObj>
    </w:sdtPr>
    <w:sdtEndPr>
      <w:rPr>
        <w:rFonts w:ascii="Arial" w:hAnsi="Arial" w:cs="Arial"/>
        <w:noProof/>
      </w:rPr>
    </w:sdtEndPr>
    <w:sdtContent>
      <w:p w:rsidR="002D3DB3" w:rsidRPr="003A0379" w:rsidRDefault="003A0379" w:rsidP="003A0379">
        <w:pPr>
          <w:pStyle w:val="Footer"/>
          <w:jc w:val="center"/>
          <w:rPr>
            <w:rFonts w:ascii="Arial" w:hAnsi="Arial" w:cs="Arial"/>
          </w:rPr>
        </w:pPr>
        <w:r w:rsidRPr="003A0379">
          <w:rPr>
            <w:rFonts w:ascii="Arial" w:hAnsi="Arial" w:cs="Arial"/>
          </w:rPr>
          <w:fldChar w:fldCharType="begin"/>
        </w:r>
        <w:r w:rsidRPr="003A0379">
          <w:rPr>
            <w:rFonts w:ascii="Arial" w:hAnsi="Arial" w:cs="Arial"/>
          </w:rPr>
          <w:instrText xml:space="preserve"> PAGE   \* MERGEFORMAT </w:instrText>
        </w:r>
        <w:r w:rsidRPr="003A0379">
          <w:rPr>
            <w:rFonts w:ascii="Arial" w:hAnsi="Arial" w:cs="Arial"/>
          </w:rPr>
          <w:fldChar w:fldCharType="separate"/>
        </w:r>
        <w:r w:rsidR="003E1275">
          <w:rPr>
            <w:rFonts w:ascii="Arial" w:hAnsi="Arial" w:cs="Arial"/>
            <w:noProof/>
          </w:rPr>
          <w:t>- 8 -</w:t>
        </w:r>
        <w:r w:rsidRPr="003A0379">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DB3" w:rsidRDefault="002D3DB3">
    <w:pPr>
      <w:pStyle w:val="Footer"/>
      <w:jc w:val="center"/>
    </w:pPr>
    <w:r>
      <w:t>12</w:t>
    </w:r>
  </w:p>
  <w:p w:rsidR="002D3DB3" w:rsidRDefault="002D3D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79" w:rsidRDefault="003A0379">
    <w:pPr>
      <w:pStyle w:val="Footer"/>
      <w:jc w:val="center"/>
    </w:pPr>
  </w:p>
  <w:p w:rsidR="003A0379" w:rsidRDefault="003A03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392216"/>
      <w:docPartObj>
        <w:docPartGallery w:val="Page Numbers (Bottom of Page)"/>
        <w:docPartUnique/>
      </w:docPartObj>
    </w:sdtPr>
    <w:sdtEndPr>
      <w:rPr>
        <w:rFonts w:ascii="Arial" w:hAnsi="Arial" w:cs="Arial"/>
        <w:noProof/>
      </w:rPr>
    </w:sdtEndPr>
    <w:sdtContent>
      <w:p w:rsidR="003A0379" w:rsidRPr="003A0379" w:rsidRDefault="003A0379" w:rsidP="003A0379">
        <w:pPr>
          <w:pStyle w:val="Footer"/>
          <w:jc w:val="center"/>
          <w:rPr>
            <w:rFonts w:ascii="Arial" w:hAnsi="Arial" w:cs="Arial"/>
          </w:rPr>
        </w:pPr>
        <w:r w:rsidRPr="003A0379">
          <w:rPr>
            <w:rFonts w:ascii="Arial" w:hAnsi="Arial" w:cs="Arial"/>
          </w:rPr>
          <w:fldChar w:fldCharType="begin"/>
        </w:r>
        <w:r w:rsidRPr="003A0379">
          <w:rPr>
            <w:rFonts w:ascii="Arial" w:hAnsi="Arial" w:cs="Arial"/>
          </w:rPr>
          <w:instrText xml:space="preserve"> PAGE   \* MERGEFORMAT </w:instrText>
        </w:r>
        <w:r w:rsidRPr="003A0379">
          <w:rPr>
            <w:rFonts w:ascii="Arial" w:hAnsi="Arial" w:cs="Arial"/>
          </w:rPr>
          <w:fldChar w:fldCharType="separate"/>
        </w:r>
        <w:r w:rsidR="003E1275">
          <w:rPr>
            <w:rFonts w:ascii="Arial" w:hAnsi="Arial" w:cs="Arial"/>
            <w:noProof/>
          </w:rPr>
          <w:t>- 1 -</w:t>
        </w:r>
        <w:r w:rsidRPr="003A0379">
          <w:rPr>
            <w:rFonts w:ascii="Arial" w:hAnsi="Arial" w:cs="Arial"/>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591862"/>
      <w:docPartObj>
        <w:docPartGallery w:val="Page Numbers (Bottom of Page)"/>
        <w:docPartUnique/>
      </w:docPartObj>
    </w:sdtPr>
    <w:sdtEndPr>
      <w:rPr>
        <w:rFonts w:ascii="Arial" w:hAnsi="Arial" w:cs="Arial"/>
        <w:noProof/>
      </w:rPr>
    </w:sdtEndPr>
    <w:sdtContent>
      <w:p w:rsidR="002D3DB3" w:rsidRPr="001A3A85" w:rsidRDefault="001A3A85" w:rsidP="001A3A85">
        <w:pPr>
          <w:pStyle w:val="Footer"/>
          <w:jc w:val="center"/>
          <w:rPr>
            <w:rFonts w:ascii="Arial" w:hAnsi="Arial" w:cs="Arial"/>
          </w:rPr>
        </w:pPr>
        <w:r w:rsidRPr="001A3A85">
          <w:rPr>
            <w:rFonts w:ascii="Arial" w:hAnsi="Arial" w:cs="Arial"/>
          </w:rPr>
          <w:fldChar w:fldCharType="begin"/>
        </w:r>
        <w:r w:rsidRPr="001A3A85">
          <w:rPr>
            <w:rFonts w:ascii="Arial" w:hAnsi="Arial" w:cs="Arial"/>
          </w:rPr>
          <w:instrText xml:space="preserve"> PAGE   \* MERGEFORMAT </w:instrText>
        </w:r>
        <w:r w:rsidRPr="001A3A85">
          <w:rPr>
            <w:rFonts w:ascii="Arial" w:hAnsi="Arial" w:cs="Arial"/>
          </w:rPr>
          <w:fldChar w:fldCharType="separate"/>
        </w:r>
        <w:r w:rsidR="003E1275">
          <w:rPr>
            <w:rFonts w:ascii="Arial" w:hAnsi="Arial" w:cs="Arial"/>
            <w:noProof/>
          </w:rPr>
          <w:t>- 5 -</w:t>
        </w:r>
        <w:r w:rsidRPr="001A3A85">
          <w:rPr>
            <w:rFonts w:ascii="Arial" w:hAnsi="Arial"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908564"/>
      <w:docPartObj>
        <w:docPartGallery w:val="Page Numbers (Bottom of Page)"/>
        <w:docPartUnique/>
      </w:docPartObj>
    </w:sdtPr>
    <w:sdtEndPr>
      <w:rPr>
        <w:rFonts w:ascii="Arial" w:hAnsi="Arial" w:cs="Arial"/>
        <w:noProof/>
      </w:rPr>
    </w:sdtEndPr>
    <w:sdtContent>
      <w:p w:rsidR="001D725D" w:rsidRPr="003A0379" w:rsidRDefault="003A0379" w:rsidP="003A0379">
        <w:pPr>
          <w:pStyle w:val="Footer"/>
          <w:jc w:val="center"/>
          <w:rPr>
            <w:rFonts w:ascii="Arial" w:hAnsi="Arial" w:cs="Arial"/>
          </w:rPr>
        </w:pPr>
        <w:r w:rsidRPr="003A0379">
          <w:rPr>
            <w:rFonts w:ascii="Arial" w:hAnsi="Arial" w:cs="Arial"/>
          </w:rPr>
          <w:fldChar w:fldCharType="begin"/>
        </w:r>
        <w:r w:rsidRPr="003A0379">
          <w:rPr>
            <w:rFonts w:ascii="Arial" w:hAnsi="Arial" w:cs="Arial"/>
          </w:rPr>
          <w:instrText xml:space="preserve"> PAGE   \* MERGEFORMAT </w:instrText>
        </w:r>
        <w:r w:rsidRPr="003A0379">
          <w:rPr>
            <w:rFonts w:ascii="Arial" w:hAnsi="Arial" w:cs="Arial"/>
          </w:rPr>
          <w:fldChar w:fldCharType="separate"/>
        </w:r>
        <w:r w:rsidR="003E1275">
          <w:rPr>
            <w:rFonts w:ascii="Arial" w:hAnsi="Arial" w:cs="Arial"/>
            <w:noProof/>
          </w:rPr>
          <w:t>- 4 -</w:t>
        </w:r>
        <w:r w:rsidRPr="003A0379">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9BD" w:rsidRPr="003A0379" w:rsidRDefault="006149BD" w:rsidP="00D10086">
    <w:pPr>
      <w:pStyle w:val="Footer"/>
      <w:jc w:val="center"/>
      <w:rPr>
        <w:rFonts w:ascii="Arial" w:hAnsi="Arial" w:cs="Arial"/>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B9" w:rsidRDefault="00464FB9">
    <w:pPr>
      <w:pStyle w:val="Footer"/>
      <w:jc w:val="center"/>
    </w:pPr>
  </w:p>
  <w:p w:rsidR="00464FB9" w:rsidRDefault="00464FB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649173"/>
      <w:docPartObj>
        <w:docPartGallery w:val="Page Numbers (Bottom of Page)"/>
        <w:docPartUnique/>
      </w:docPartObj>
    </w:sdtPr>
    <w:sdtEndPr>
      <w:rPr>
        <w:rFonts w:ascii="Arial" w:hAnsi="Arial" w:cs="Arial"/>
        <w:noProof/>
      </w:rPr>
    </w:sdtEndPr>
    <w:sdtContent>
      <w:p w:rsidR="00464FB9" w:rsidRPr="003A0379" w:rsidRDefault="003A0379" w:rsidP="003A0379">
        <w:pPr>
          <w:pStyle w:val="Footer"/>
          <w:jc w:val="center"/>
          <w:rPr>
            <w:rFonts w:ascii="Arial" w:hAnsi="Arial" w:cs="Arial"/>
          </w:rPr>
        </w:pPr>
        <w:r w:rsidRPr="003A0379">
          <w:rPr>
            <w:rFonts w:ascii="Arial" w:hAnsi="Arial" w:cs="Arial"/>
          </w:rPr>
          <w:fldChar w:fldCharType="begin"/>
        </w:r>
        <w:r w:rsidRPr="003A0379">
          <w:rPr>
            <w:rFonts w:ascii="Arial" w:hAnsi="Arial" w:cs="Arial"/>
          </w:rPr>
          <w:instrText xml:space="preserve"> PAGE   \* MERGEFORMAT </w:instrText>
        </w:r>
        <w:r w:rsidRPr="003A0379">
          <w:rPr>
            <w:rFonts w:ascii="Arial" w:hAnsi="Arial" w:cs="Arial"/>
          </w:rPr>
          <w:fldChar w:fldCharType="separate"/>
        </w:r>
        <w:r w:rsidR="003E1275">
          <w:rPr>
            <w:rFonts w:ascii="Arial" w:hAnsi="Arial" w:cs="Arial"/>
            <w:noProof/>
          </w:rPr>
          <w:t>- 7 -</w:t>
        </w:r>
        <w:r w:rsidRPr="003A0379">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073" w:rsidRDefault="00DE4073" w:rsidP="005E2A00">
      <w:r>
        <w:separator/>
      </w:r>
    </w:p>
  </w:footnote>
  <w:footnote w:type="continuationSeparator" w:id="0">
    <w:p w:rsidR="00DE4073" w:rsidRDefault="00DE4073" w:rsidP="005E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25C"/>
    <w:multiLevelType w:val="hybridMultilevel"/>
    <w:tmpl w:val="CF58117E"/>
    <w:lvl w:ilvl="0" w:tplc="7D5C8F16">
      <w:numFmt w:val="bullet"/>
      <w:lvlText w:val="-"/>
      <w:lvlJc w:val="left"/>
      <w:pPr>
        <w:ind w:left="1740" w:hanging="13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F7352"/>
    <w:multiLevelType w:val="hybridMultilevel"/>
    <w:tmpl w:val="13FC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9C3813"/>
    <w:multiLevelType w:val="hybridMultilevel"/>
    <w:tmpl w:val="062E816E"/>
    <w:lvl w:ilvl="0" w:tplc="94728328">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70"/>
    <w:rsid w:val="00000B6D"/>
    <w:rsid w:val="00012C2D"/>
    <w:rsid w:val="00015EB9"/>
    <w:rsid w:val="00021E3B"/>
    <w:rsid w:val="000254D4"/>
    <w:rsid w:val="00026CE1"/>
    <w:rsid w:val="00027740"/>
    <w:rsid w:val="000309D0"/>
    <w:rsid w:val="000322C9"/>
    <w:rsid w:val="000348B6"/>
    <w:rsid w:val="0004344F"/>
    <w:rsid w:val="0004347E"/>
    <w:rsid w:val="0007024A"/>
    <w:rsid w:val="000A0107"/>
    <w:rsid w:val="000A20A6"/>
    <w:rsid w:val="000B0230"/>
    <w:rsid w:val="000B3C97"/>
    <w:rsid w:val="000B7DC8"/>
    <w:rsid w:val="000C387C"/>
    <w:rsid w:val="000C4F1F"/>
    <w:rsid w:val="000D489E"/>
    <w:rsid w:val="000D624F"/>
    <w:rsid w:val="000D6292"/>
    <w:rsid w:val="000D6E2C"/>
    <w:rsid w:val="000F0FFD"/>
    <w:rsid w:val="000F61C9"/>
    <w:rsid w:val="000F6FAE"/>
    <w:rsid w:val="00106FDE"/>
    <w:rsid w:val="0010716B"/>
    <w:rsid w:val="00114E8C"/>
    <w:rsid w:val="0013272C"/>
    <w:rsid w:val="00142647"/>
    <w:rsid w:val="00144578"/>
    <w:rsid w:val="00144876"/>
    <w:rsid w:val="00145B13"/>
    <w:rsid w:val="00147EC5"/>
    <w:rsid w:val="00150CC5"/>
    <w:rsid w:val="00151038"/>
    <w:rsid w:val="0015416E"/>
    <w:rsid w:val="00156474"/>
    <w:rsid w:val="001666F1"/>
    <w:rsid w:val="0017015A"/>
    <w:rsid w:val="00185493"/>
    <w:rsid w:val="001963A0"/>
    <w:rsid w:val="001A3A85"/>
    <w:rsid w:val="001A62A3"/>
    <w:rsid w:val="001A66E2"/>
    <w:rsid w:val="001B0F02"/>
    <w:rsid w:val="001B649C"/>
    <w:rsid w:val="001C2540"/>
    <w:rsid w:val="001C41AA"/>
    <w:rsid w:val="001D2717"/>
    <w:rsid w:val="001D55C8"/>
    <w:rsid w:val="001D725D"/>
    <w:rsid w:val="001E1F5F"/>
    <w:rsid w:val="001F04E5"/>
    <w:rsid w:val="001F0A2C"/>
    <w:rsid w:val="00203BC6"/>
    <w:rsid w:val="0022027A"/>
    <w:rsid w:val="00220C38"/>
    <w:rsid w:val="00227538"/>
    <w:rsid w:val="00237B8A"/>
    <w:rsid w:val="0025670C"/>
    <w:rsid w:val="00257747"/>
    <w:rsid w:val="00260A91"/>
    <w:rsid w:val="00267F7B"/>
    <w:rsid w:val="00274F11"/>
    <w:rsid w:val="00277739"/>
    <w:rsid w:val="002868D0"/>
    <w:rsid w:val="00287A12"/>
    <w:rsid w:val="0029486D"/>
    <w:rsid w:val="002A0E91"/>
    <w:rsid w:val="002A251A"/>
    <w:rsid w:val="002B00EC"/>
    <w:rsid w:val="002B0767"/>
    <w:rsid w:val="002B6A50"/>
    <w:rsid w:val="002C0F7B"/>
    <w:rsid w:val="002C51DC"/>
    <w:rsid w:val="002C7125"/>
    <w:rsid w:val="002C7288"/>
    <w:rsid w:val="002C77D1"/>
    <w:rsid w:val="002D3DB3"/>
    <w:rsid w:val="002D639B"/>
    <w:rsid w:val="002D6D6D"/>
    <w:rsid w:val="002F10E1"/>
    <w:rsid w:val="002F3332"/>
    <w:rsid w:val="003007CE"/>
    <w:rsid w:val="00305B7B"/>
    <w:rsid w:val="0031215C"/>
    <w:rsid w:val="003126ED"/>
    <w:rsid w:val="003142C2"/>
    <w:rsid w:val="00314E35"/>
    <w:rsid w:val="003220E6"/>
    <w:rsid w:val="0032314E"/>
    <w:rsid w:val="00330BBD"/>
    <w:rsid w:val="00347ACF"/>
    <w:rsid w:val="003579F4"/>
    <w:rsid w:val="00373904"/>
    <w:rsid w:val="003740C9"/>
    <w:rsid w:val="0037501F"/>
    <w:rsid w:val="00391AF1"/>
    <w:rsid w:val="00392C19"/>
    <w:rsid w:val="003A0379"/>
    <w:rsid w:val="003A1326"/>
    <w:rsid w:val="003A1D10"/>
    <w:rsid w:val="003B0B5D"/>
    <w:rsid w:val="003B3899"/>
    <w:rsid w:val="003B60CF"/>
    <w:rsid w:val="003B647E"/>
    <w:rsid w:val="003B6886"/>
    <w:rsid w:val="003C0D72"/>
    <w:rsid w:val="003C3CF3"/>
    <w:rsid w:val="003E1275"/>
    <w:rsid w:val="003E4581"/>
    <w:rsid w:val="00406C10"/>
    <w:rsid w:val="004102EC"/>
    <w:rsid w:val="004163B9"/>
    <w:rsid w:val="004163D6"/>
    <w:rsid w:val="00417BA1"/>
    <w:rsid w:val="004220F1"/>
    <w:rsid w:val="004224AC"/>
    <w:rsid w:val="004356A9"/>
    <w:rsid w:val="0044214F"/>
    <w:rsid w:val="00443E49"/>
    <w:rsid w:val="00446586"/>
    <w:rsid w:val="004550C6"/>
    <w:rsid w:val="00464FB9"/>
    <w:rsid w:val="0046532C"/>
    <w:rsid w:val="00466070"/>
    <w:rsid w:val="00481887"/>
    <w:rsid w:val="00482D4F"/>
    <w:rsid w:val="00484BF0"/>
    <w:rsid w:val="00491053"/>
    <w:rsid w:val="00494FE7"/>
    <w:rsid w:val="004A13EF"/>
    <w:rsid w:val="004B2A8C"/>
    <w:rsid w:val="004B51AF"/>
    <w:rsid w:val="004B73E9"/>
    <w:rsid w:val="004C0803"/>
    <w:rsid w:val="004C7C38"/>
    <w:rsid w:val="004D3A33"/>
    <w:rsid w:val="004E1F1F"/>
    <w:rsid w:val="004E3367"/>
    <w:rsid w:val="004E3957"/>
    <w:rsid w:val="004E4262"/>
    <w:rsid w:val="004E7663"/>
    <w:rsid w:val="004F1B15"/>
    <w:rsid w:val="004F7D85"/>
    <w:rsid w:val="00515B8D"/>
    <w:rsid w:val="00516FA8"/>
    <w:rsid w:val="00520831"/>
    <w:rsid w:val="00534D81"/>
    <w:rsid w:val="005379CB"/>
    <w:rsid w:val="0054006A"/>
    <w:rsid w:val="00542877"/>
    <w:rsid w:val="00542EA5"/>
    <w:rsid w:val="00554158"/>
    <w:rsid w:val="00557DF7"/>
    <w:rsid w:val="005650BC"/>
    <w:rsid w:val="00566025"/>
    <w:rsid w:val="0056678A"/>
    <w:rsid w:val="0059093A"/>
    <w:rsid w:val="00591456"/>
    <w:rsid w:val="005A29CE"/>
    <w:rsid w:val="005A37AE"/>
    <w:rsid w:val="005A3CF4"/>
    <w:rsid w:val="005B074C"/>
    <w:rsid w:val="005B56C7"/>
    <w:rsid w:val="005C34EA"/>
    <w:rsid w:val="005C42EF"/>
    <w:rsid w:val="005C4D25"/>
    <w:rsid w:val="005C794C"/>
    <w:rsid w:val="005D095B"/>
    <w:rsid w:val="005D0E1D"/>
    <w:rsid w:val="005D6E5C"/>
    <w:rsid w:val="005E28D3"/>
    <w:rsid w:val="005E2A00"/>
    <w:rsid w:val="005E2B48"/>
    <w:rsid w:val="005F0284"/>
    <w:rsid w:val="005F248C"/>
    <w:rsid w:val="005F6194"/>
    <w:rsid w:val="00600EC2"/>
    <w:rsid w:val="006039E9"/>
    <w:rsid w:val="0060640C"/>
    <w:rsid w:val="00606871"/>
    <w:rsid w:val="00613B93"/>
    <w:rsid w:val="00613CB0"/>
    <w:rsid w:val="006144E6"/>
    <w:rsid w:val="006149BD"/>
    <w:rsid w:val="00621F07"/>
    <w:rsid w:val="0062583B"/>
    <w:rsid w:val="00634CBA"/>
    <w:rsid w:val="00640E8A"/>
    <w:rsid w:val="00644189"/>
    <w:rsid w:val="00644FE2"/>
    <w:rsid w:val="00650C81"/>
    <w:rsid w:val="00651C27"/>
    <w:rsid w:val="00657C6A"/>
    <w:rsid w:val="00673DDF"/>
    <w:rsid w:val="00680A3A"/>
    <w:rsid w:val="0069603F"/>
    <w:rsid w:val="006A1688"/>
    <w:rsid w:val="006A3EAA"/>
    <w:rsid w:val="006B7BA3"/>
    <w:rsid w:val="006D095B"/>
    <w:rsid w:val="006D5E28"/>
    <w:rsid w:val="006E166E"/>
    <w:rsid w:val="006E3052"/>
    <w:rsid w:val="006E3B86"/>
    <w:rsid w:val="006F7DD2"/>
    <w:rsid w:val="00701043"/>
    <w:rsid w:val="007036A6"/>
    <w:rsid w:val="007053BF"/>
    <w:rsid w:val="0071503F"/>
    <w:rsid w:val="007216FC"/>
    <w:rsid w:val="00731328"/>
    <w:rsid w:val="00737BD5"/>
    <w:rsid w:val="00746FDA"/>
    <w:rsid w:val="00747F9E"/>
    <w:rsid w:val="0075161F"/>
    <w:rsid w:val="0075305F"/>
    <w:rsid w:val="00754A0F"/>
    <w:rsid w:val="0076175D"/>
    <w:rsid w:val="00765C83"/>
    <w:rsid w:val="007701F3"/>
    <w:rsid w:val="00771E67"/>
    <w:rsid w:val="00777F35"/>
    <w:rsid w:val="0078457C"/>
    <w:rsid w:val="00787FED"/>
    <w:rsid w:val="007940D5"/>
    <w:rsid w:val="00794C32"/>
    <w:rsid w:val="007A39C2"/>
    <w:rsid w:val="007A4789"/>
    <w:rsid w:val="007A56D9"/>
    <w:rsid w:val="007A5E30"/>
    <w:rsid w:val="007A68AF"/>
    <w:rsid w:val="007B26A7"/>
    <w:rsid w:val="007B36BD"/>
    <w:rsid w:val="007B37B6"/>
    <w:rsid w:val="007B39AF"/>
    <w:rsid w:val="007C39A1"/>
    <w:rsid w:val="007D06FE"/>
    <w:rsid w:val="007D1C20"/>
    <w:rsid w:val="007D37DF"/>
    <w:rsid w:val="007E0595"/>
    <w:rsid w:val="007E0A17"/>
    <w:rsid w:val="007E0B70"/>
    <w:rsid w:val="007E48F4"/>
    <w:rsid w:val="007E5138"/>
    <w:rsid w:val="007F7DFD"/>
    <w:rsid w:val="00810ADC"/>
    <w:rsid w:val="0081334A"/>
    <w:rsid w:val="00825C50"/>
    <w:rsid w:val="00834502"/>
    <w:rsid w:val="00851869"/>
    <w:rsid w:val="00853C34"/>
    <w:rsid w:val="00864E82"/>
    <w:rsid w:val="00866955"/>
    <w:rsid w:val="00883176"/>
    <w:rsid w:val="008871CE"/>
    <w:rsid w:val="008901B4"/>
    <w:rsid w:val="008945B1"/>
    <w:rsid w:val="008A2839"/>
    <w:rsid w:val="008C5FE1"/>
    <w:rsid w:val="008C68E0"/>
    <w:rsid w:val="008C71A7"/>
    <w:rsid w:val="008D5059"/>
    <w:rsid w:val="008E2B91"/>
    <w:rsid w:val="008E3061"/>
    <w:rsid w:val="008F2C49"/>
    <w:rsid w:val="008F44AD"/>
    <w:rsid w:val="008F4D91"/>
    <w:rsid w:val="008F54BB"/>
    <w:rsid w:val="009217A9"/>
    <w:rsid w:val="00921C84"/>
    <w:rsid w:val="0092730B"/>
    <w:rsid w:val="0093185F"/>
    <w:rsid w:val="009365FD"/>
    <w:rsid w:val="00941A5E"/>
    <w:rsid w:val="00942A4C"/>
    <w:rsid w:val="00952F78"/>
    <w:rsid w:val="00965929"/>
    <w:rsid w:val="00971B91"/>
    <w:rsid w:val="00972C29"/>
    <w:rsid w:val="00985C86"/>
    <w:rsid w:val="00991DAD"/>
    <w:rsid w:val="00992FE4"/>
    <w:rsid w:val="00993B7D"/>
    <w:rsid w:val="009A3806"/>
    <w:rsid w:val="009C0E92"/>
    <w:rsid w:val="009E69E3"/>
    <w:rsid w:val="009F1B6A"/>
    <w:rsid w:val="009F1FCB"/>
    <w:rsid w:val="009F5F03"/>
    <w:rsid w:val="009F7E82"/>
    <w:rsid w:val="00A00676"/>
    <w:rsid w:val="00A0272C"/>
    <w:rsid w:val="00A02D09"/>
    <w:rsid w:val="00A05848"/>
    <w:rsid w:val="00A064B6"/>
    <w:rsid w:val="00A1180D"/>
    <w:rsid w:val="00A12FE1"/>
    <w:rsid w:val="00A1650A"/>
    <w:rsid w:val="00A21754"/>
    <w:rsid w:val="00A250B0"/>
    <w:rsid w:val="00A303E1"/>
    <w:rsid w:val="00A32FBF"/>
    <w:rsid w:val="00A43AE6"/>
    <w:rsid w:val="00A54EB3"/>
    <w:rsid w:val="00A866DF"/>
    <w:rsid w:val="00A925B1"/>
    <w:rsid w:val="00AA1181"/>
    <w:rsid w:val="00AB4C73"/>
    <w:rsid w:val="00AC2D25"/>
    <w:rsid w:val="00AC4BF6"/>
    <w:rsid w:val="00AC7DF5"/>
    <w:rsid w:val="00AE3621"/>
    <w:rsid w:val="00AF0CA0"/>
    <w:rsid w:val="00AF6A69"/>
    <w:rsid w:val="00B0095F"/>
    <w:rsid w:val="00B013DF"/>
    <w:rsid w:val="00B01D02"/>
    <w:rsid w:val="00B02B85"/>
    <w:rsid w:val="00B14DAB"/>
    <w:rsid w:val="00B216C2"/>
    <w:rsid w:val="00B22F34"/>
    <w:rsid w:val="00B25368"/>
    <w:rsid w:val="00B3117B"/>
    <w:rsid w:val="00B319AE"/>
    <w:rsid w:val="00B366C5"/>
    <w:rsid w:val="00B406C9"/>
    <w:rsid w:val="00B423EA"/>
    <w:rsid w:val="00B4314C"/>
    <w:rsid w:val="00B43ACB"/>
    <w:rsid w:val="00B54D22"/>
    <w:rsid w:val="00B60699"/>
    <w:rsid w:val="00B80770"/>
    <w:rsid w:val="00B872C9"/>
    <w:rsid w:val="00B9260D"/>
    <w:rsid w:val="00B93134"/>
    <w:rsid w:val="00BA4625"/>
    <w:rsid w:val="00BB0708"/>
    <w:rsid w:val="00BC0157"/>
    <w:rsid w:val="00BC576B"/>
    <w:rsid w:val="00BD10D5"/>
    <w:rsid w:val="00BD470B"/>
    <w:rsid w:val="00BE4E0B"/>
    <w:rsid w:val="00BE744E"/>
    <w:rsid w:val="00BF7A5C"/>
    <w:rsid w:val="00BF7F33"/>
    <w:rsid w:val="00C03B5F"/>
    <w:rsid w:val="00C04E2C"/>
    <w:rsid w:val="00C136B6"/>
    <w:rsid w:val="00C142D4"/>
    <w:rsid w:val="00C14A2D"/>
    <w:rsid w:val="00C206A0"/>
    <w:rsid w:val="00C2249C"/>
    <w:rsid w:val="00C26FE9"/>
    <w:rsid w:val="00C272E8"/>
    <w:rsid w:val="00C34E7C"/>
    <w:rsid w:val="00C42E04"/>
    <w:rsid w:val="00C5320E"/>
    <w:rsid w:val="00C66948"/>
    <w:rsid w:val="00C74A61"/>
    <w:rsid w:val="00C81D5B"/>
    <w:rsid w:val="00CA0E39"/>
    <w:rsid w:val="00CA311E"/>
    <w:rsid w:val="00CA53B2"/>
    <w:rsid w:val="00CC4A29"/>
    <w:rsid w:val="00CD32C3"/>
    <w:rsid w:val="00CD44A5"/>
    <w:rsid w:val="00CD5515"/>
    <w:rsid w:val="00CD6F82"/>
    <w:rsid w:val="00CE4639"/>
    <w:rsid w:val="00CE6013"/>
    <w:rsid w:val="00CF0641"/>
    <w:rsid w:val="00D01410"/>
    <w:rsid w:val="00D03905"/>
    <w:rsid w:val="00D10086"/>
    <w:rsid w:val="00D16EF5"/>
    <w:rsid w:val="00D25620"/>
    <w:rsid w:val="00D30A48"/>
    <w:rsid w:val="00D31697"/>
    <w:rsid w:val="00D37966"/>
    <w:rsid w:val="00D4755E"/>
    <w:rsid w:val="00D542A8"/>
    <w:rsid w:val="00D63E68"/>
    <w:rsid w:val="00D72E7B"/>
    <w:rsid w:val="00D73351"/>
    <w:rsid w:val="00D82D74"/>
    <w:rsid w:val="00DA086E"/>
    <w:rsid w:val="00DA5521"/>
    <w:rsid w:val="00DB4906"/>
    <w:rsid w:val="00DB75D3"/>
    <w:rsid w:val="00DC3CF8"/>
    <w:rsid w:val="00DC6E6C"/>
    <w:rsid w:val="00DD534C"/>
    <w:rsid w:val="00DE3A51"/>
    <w:rsid w:val="00DE4073"/>
    <w:rsid w:val="00DF01B8"/>
    <w:rsid w:val="00E010A6"/>
    <w:rsid w:val="00E0518A"/>
    <w:rsid w:val="00E17727"/>
    <w:rsid w:val="00E21B10"/>
    <w:rsid w:val="00E27CB4"/>
    <w:rsid w:val="00E30EDA"/>
    <w:rsid w:val="00E40C61"/>
    <w:rsid w:val="00E42E07"/>
    <w:rsid w:val="00E46475"/>
    <w:rsid w:val="00E46708"/>
    <w:rsid w:val="00E532F3"/>
    <w:rsid w:val="00E55B81"/>
    <w:rsid w:val="00E56298"/>
    <w:rsid w:val="00E57146"/>
    <w:rsid w:val="00E60C33"/>
    <w:rsid w:val="00E76BC7"/>
    <w:rsid w:val="00E83CEC"/>
    <w:rsid w:val="00EA251F"/>
    <w:rsid w:val="00EC28DD"/>
    <w:rsid w:val="00ED42F8"/>
    <w:rsid w:val="00EE15D9"/>
    <w:rsid w:val="00EE603D"/>
    <w:rsid w:val="00EE6BA8"/>
    <w:rsid w:val="00EF5871"/>
    <w:rsid w:val="00EF71C1"/>
    <w:rsid w:val="00EF7773"/>
    <w:rsid w:val="00F02767"/>
    <w:rsid w:val="00F15D49"/>
    <w:rsid w:val="00F16853"/>
    <w:rsid w:val="00F16F74"/>
    <w:rsid w:val="00F2273F"/>
    <w:rsid w:val="00F32008"/>
    <w:rsid w:val="00F32E2F"/>
    <w:rsid w:val="00F33030"/>
    <w:rsid w:val="00F4094E"/>
    <w:rsid w:val="00F45A69"/>
    <w:rsid w:val="00F51456"/>
    <w:rsid w:val="00F60120"/>
    <w:rsid w:val="00F6781B"/>
    <w:rsid w:val="00F70133"/>
    <w:rsid w:val="00F701A0"/>
    <w:rsid w:val="00F81051"/>
    <w:rsid w:val="00F81C7D"/>
    <w:rsid w:val="00F8354D"/>
    <w:rsid w:val="00F85E35"/>
    <w:rsid w:val="00F870E1"/>
    <w:rsid w:val="00F93F28"/>
    <w:rsid w:val="00FD4216"/>
    <w:rsid w:val="00FD4AF6"/>
    <w:rsid w:val="00FD58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paragraph" w:styleId="DocumentMap">
    <w:name w:val="Document Map"/>
    <w:basedOn w:val="Normal"/>
    <w:link w:val="DocumentMapChar"/>
    <w:uiPriority w:val="99"/>
    <w:semiHidden/>
    <w:unhideWhenUsed/>
    <w:rsid w:val="00985C86"/>
    <w:rPr>
      <w:rFonts w:ascii="Tahoma" w:hAnsi="Tahoma" w:cs="Tahoma"/>
      <w:sz w:val="16"/>
      <w:szCs w:val="16"/>
    </w:rPr>
  </w:style>
  <w:style w:type="character" w:customStyle="1" w:styleId="DocumentMapChar">
    <w:name w:val="Document Map Char"/>
    <w:basedOn w:val="DefaultParagraphFont"/>
    <w:link w:val="DocumentMap"/>
    <w:uiPriority w:val="99"/>
    <w:semiHidden/>
    <w:rsid w:val="00985C86"/>
    <w:rPr>
      <w:rFonts w:ascii="Tahoma" w:eastAsia="Times New Roman" w:hAnsi="Tahoma" w:cs="Tahoma"/>
      <w:sz w:val="16"/>
      <w:szCs w:val="16"/>
    </w:rPr>
  </w:style>
  <w:style w:type="table" w:styleId="TableGrid">
    <w:name w:val="Table Grid"/>
    <w:basedOn w:val="TableNormal"/>
    <w:uiPriority w:val="59"/>
    <w:rsid w:val="00985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paragraph" w:styleId="DocumentMap">
    <w:name w:val="Document Map"/>
    <w:basedOn w:val="Normal"/>
    <w:link w:val="DocumentMapChar"/>
    <w:uiPriority w:val="99"/>
    <w:semiHidden/>
    <w:unhideWhenUsed/>
    <w:rsid w:val="00985C86"/>
    <w:rPr>
      <w:rFonts w:ascii="Tahoma" w:hAnsi="Tahoma" w:cs="Tahoma"/>
      <w:sz w:val="16"/>
      <w:szCs w:val="16"/>
    </w:rPr>
  </w:style>
  <w:style w:type="character" w:customStyle="1" w:styleId="DocumentMapChar">
    <w:name w:val="Document Map Char"/>
    <w:basedOn w:val="DefaultParagraphFont"/>
    <w:link w:val="DocumentMap"/>
    <w:uiPriority w:val="99"/>
    <w:semiHidden/>
    <w:rsid w:val="00985C86"/>
    <w:rPr>
      <w:rFonts w:ascii="Tahoma" w:eastAsia="Times New Roman" w:hAnsi="Tahoma" w:cs="Tahoma"/>
      <w:sz w:val="16"/>
      <w:szCs w:val="16"/>
    </w:rPr>
  </w:style>
  <w:style w:type="table" w:styleId="TableGrid">
    <w:name w:val="Table Grid"/>
    <w:basedOn w:val="TableNormal"/>
    <w:uiPriority w:val="59"/>
    <w:rsid w:val="00985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8.xml"/><Relationship Id="rId42"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5.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header" Target="header13.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A10C-E9CB-4019-B138-A0DC085D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12</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Pyle, Cherie</cp:lastModifiedBy>
  <cp:revision>148</cp:revision>
  <cp:lastPrinted>2013-12-18T16:43:00Z</cp:lastPrinted>
  <dcterms:created xsi:type="dcterms:W3CDTF">2013-05-28T14:11:00Z</dcterms:created>
  <dcterms:modified xsi:type="dcterms:W3CDTF">2015-06-16T15:29:00Z</dcterms:modified>
</cp:coreProperties>
</file>