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38" w:rsidRPr="009D2C51" w:rsidRDefault="00BD1838" w:rsidP="00BD1838">
      <w:pPr>
        <w:tabs>
          <w:tab w:val="clear" w:pos="1440"/>
          <w:tab w:val="left" w:pos="0"/>
        </w:tabs>
        <w:spacing w:after="0" w:line="233" w:lineRule="auto"/>
        <w:jc w:val="center"/>
        <w:rPr>
          <w:b/>
        </w:rPr>
      </w:pPr>
      <w:r w:rsidRPr="009D2C51">
        <w:rPr>
          <w:b/>
        </w:rPr>
        <w:t>BEFORE THE</w:t>
      </w:r>
    </w:p>
    <w:p w:rsidR="00BD1838" w:rsidRPr="009D2C51" w:rsidRDefault="00BD1838" w:rsidP="00BD1838">
      <w:pPr>
        <w:tabs>
          <w:tab w:val="clear" w:pos="1440"/>
          <w:tab w:val="left" w:pos="0"/>
        </w:tabs>
        <w:spacing w:after="0" w:line="233" w:lineRule="auto"/>
        <w:jc w:val="center"/>
        <w:rPr>
          <w:b/>
        </w:rPr>
      </w:pPr>
      <w:r w:rsidRPr="009D2C51">
        <w:rPr>
          <w:b/>
        </w:rPr>
        <w:t>PENNSYLVANIA PUBLIC UTILITY COMMISSION</w:t>
      </w:r>
    </w:p>
    <w:p w:rsidR="00BD1838" w:rsidRPr="009D2C51" w:rsidRDefault="00BD1838" w:rsidP="00BD1838">
      <w:pPr>
        <w:tabs>
          <w:tab w:val="clear" w:pos="1440"/>
          <w:tab w:val="left" w:pos="0"/>
        </w:tabs>
        <w:spacing w:after="0" w:line="233" w:lineRule="auto"/>
        <w:jc w:val="both"/>
        <w:rPr>
          <w:b/>
        </w:rPr>
      </w:pPr>
    </w:p>
    <w:p w:rsidR="00BD1838" w:rsidRPr="009D2C51" w:rsidRDefault="00BD1838" w:rsidP="00BD1838">
      <w:pPr>
        <w:tabs>
          <w:tab w:val="clear" w:pos="1440"/>
          <w:tab w:val="left" w:pos="0"/>
        </w:tabs>
        <w:spacing w:after="0" w:line="233" w:lineRule="auto"/>
        <w:jc w:val="both"/>
        <w:rPr>
          <w:b/>
        </w:rPr>
      </w:pPr>
    </w:p>
    <w:p w:rsidR="00BD1838" w:rsidRPr="009D2C51" w:rsidRDefault="00BD1838" w:rsidP="00BD1838">
      <w:pPr>
        <w:tabs>
          <w:tab w:val="clear" w:pos="1440"/>
          <w:tab w:val="left" w:pos="0"/>
        </w:tabs>
        <w:spacing w:after="0" w:line="233" w:lineRule="auto"/>
        <w:jc w:val="both"/>
        <w:rPr>
          <w:b/>
        </w:rPr>
      </w:pPr>
    </w:p>
    <w:p w:rsidR="00BD1838" w:rsidRPr="009D2C51" w:rsidRDefault="00BD1838" w:rsidP="00BD1838">
      <w:pPr>
        <w:tabs>
          <w:tab w:val="clear" w:pos="1440"/>
          <w:tab w:val="left" w:pos="0"/>
        </w:tabs>
        <w:spacing w:after="0" w:line="233" w:lineRule="auto"/>
        <w:jc w:val="both"/>
        <w:rPr>
          <w:b/>
        </w:rPr>
      </w:pPr>
      <w:r w:rsidRPr="009D2C51">
        <w:t>Robert W. Coyne, Sr.</w:t>
      </w:r>
      <w:r w:rsidRPr="009D2C51">
        <w:tab/>
      </w:r>
      <w:r>
        <w:t>and Virginia D. Coyne</w:t>
      </w:r>
      <w:r w:rsidRPr="009D2C51">
        <w:tab/>
        <w:t>:</w:t>
      </w:r>
    </w:p>
    <w:p w:rsidR="00BD1838" w:rsidRPr="009D2C51" w:rsidRDefault="00BD1838" w:rsidP="00BD1838">
      <w:pPr>
        <w:tabs>
          <w:tab w:val="clear" w:pos="1440"/>
          <w:tab w:val="left" w:pos="0"/>
        </w:tabs>
        <w:spacing w:after="0" w:line="233" w:lineRule="auto"/>
        <w:jc w:val="both"/>
      </w:pPr>
      <w:r w:rsidRPr="009D2C51">
        <w:rPr>
          <w:b/>
        </w:rPr>
        <w:tab/>
      </w:r>
      <w:r w:rsidRPr="009D2C51">
        <w:rPr>
          <w:b/>
        </w:rPr>
        <w:tab/>
      </w:r>
      <w:r w:rsidRPr="009D2C51">
        <w:rPr>
          <w:b/>
        </w:rPr>
        <w:tab/>
      </w:r>
      <w:r w:rsidRPr="009D2C51">
        <w:rPr>
          <w:b/>
        </w:rPr>
        <w:tab/>
      </w:r>
      <w:r w:rsidRPr="009D2C51">
        <w:rPr>
          <w:b/>
        </w:rPr>
        <w:tab/>
      </w:r>
      <w:r w:rsidRPr="009D2C51">
        <w:rPr>
          <w:b/>
        </w:rPr>
        <w:tab/>
      </w:r>
      <w:r w:rsidRPr="009D2C51">
        <w:rPr>
          <w:b/>
        </w:rPr>
        <w:tab/>
      </w:r>
      <w:r w:rsidRPr="009D2C51">
        <w:t>:</w:t>
      </w:r>
    </w:p>
    <w:p w:rsidR="00BD1838" w:rsidRPr="009D2C51" w:rsidRDefault="00BD1838" w:rsidP="00BD1838">
      <w:pPr>
        <w:tabs>
          <w:tab w:val="clear" w:pos="1440"/>
          <w:tab w:val="left" w:pos="0"/>
          <w:tab w:val="left" w:pos="720"/>
        </w:tabs>
        <w:spacing w:after="0" w:line="233" w:lineRule="auto"/>
        <w:jc w:val="both"/>
      </w:pPr>
      <w:r w:rsidRPr="009D2C51">
        <w:tab/>
        <w:t>v.</w:t>
      </w:r>
      <w:r w:rsidRPr="009D2C51">
        <w:tab/>
      </w:r>
      <w:r w:rsidRPr="009D2C51">
        <w:tab/>
      </w:r>
      <w:r w:rsidRPr="009D2C51">
        <w:tab/>
      </w:r>
      <w:r w:rsidRPr="009D2C51">
        <w:tab/>
      </w:r>
      <w:r w:rsidRPr="009D2C51">
        <w:tab/>
      </w:r>
      <w:r w:rsidRPr="009D2C51">
        <w:tab/>
        <w:t>:</w:t>
      </w:r>
      <w:r w:rsidRPr="009D2C51">
        <w:rPr>
          <w:b/>
        </w:rPr>
        <w:tab/>
      </w:r>
      <w:r w:rsidRPr="009D2C51">
        <w:rPr>
          <w:b/>
        </w:rPr>
        <w:tab/>
      </w:r>
      <w:r w:rsidRPr="009D2C51">
        <w:t>C-2014-2448576</w:t>
      </w:r>
    </w:p>
    <w:p w:rsidR="00BD1838" w:rsidRPr="009D2C51" w:rsidRDefault="00BD1838" w:rsidP="00BD1838">
      <w:pPr>
        <w:tabs>
          <w:tab w:val="clear" w:pos="1440"/>
          <w:tab w:val="left" w:pos="0"/>
        </w:tabs>
        <w:spacing w:after="0" w:line="233" w:lineRule="auto"/>
        <w:jc w:val="both"/>
      </w:pPr>
      <w:r w:rsidRPr="009D2C51">
        <w:tab/>
      </w:r>
      <w:r w:rsidRPr="009D2C51">
        <w:tab/>
      </w:r>
      <w:r w:rsidRPr="009D2C51">
        <w:tab/>
      </w:r>
      <w:r w:rsidRPr="009D2C51">
        <w:tab/>
      </w:r>
      <w:r w:rsidRPr="009D2C51">
        <w:tab/>
      </w:r>
      <w:r w:rsidRPr="009D2C51">
        <w:tab/>
      </w:r>
      <w:r w:rsidRPr="009D2C51">
        <w:tab/>
        <w:t>:</w:t>
      </w:r>
    </w:p>
    <w:p w:rsidR="00BD1838" w:rsidRPr="009D2C51" w:rsidRDefault="00BD1838" w:rsidP="00056DF7">
      <w:pPr>
        <w:tabs>
          <w:tab w:val="clear" w:pos="1440"/>
          <w:tab w:val="left" w:pos="0"/>
        </w:tabs>
        <w:spacing w:after="0" w:line="240" w:lineRule="auto"/>
        <w:jc w:val="both"/>
      </w:pPr>
      <w:r w:rsidRPr="009D2C51">
        <w:t>PECO Energy Company</w:t>
      </w:r>
      <w:r w:rsidRPr="009D2C51">
        <w:tab/>
      </w:r>
      <w:r w:rsidRPr="009D2C51">
        <w:tab/>
      </w:r>
      <w:r w:rsidRPr="009D2C51">
        <w:tab/>
      </w:r>
      <w:r w:rsidRPr="009D2C51">
        <w:tab/>
        <w:t>:</w:t>
      </w:r>
    </w:p>
    <w:p w:rsidR="00BD1838" w:rsidRPr="009D2C51" w:rsidRDefault="00BD1838" w:rsidP="00056DF7">
      <w:pPr>
        <w:tabs>
          <w:tab w:val="clear" w:pos="1440"/>
          <w:tab w:val="left" w:pos="0"/>
        </w:tabs>
        <w:spacing w:after="0" w:line="240" w:lineRule="auto"/>
        <w:jc w:val="both"/>
      </w:pPr>
      <w:r w:rsidRPr="009D2C51">
        <w:tab/>
      </w:r>
      <w:r w:rsidRPr="009D2C51">
        <w:tab/>
      </w:r>
    </w:p>
    <w:p w:rsidR="00BD1838" w:rsidRPr="009D2C51" w:rsidRDefault="00BD1838" w:rsidP="00056DF7">
      <w:pPr>
        <w:tabs>
          <w:tab w:val="clear" w:pos="1440"/>
          <w:tab w:val="left" w:pos="0"/>
        </w:tabs>
        <w:spacing w:after="0" w:line="240" w:lineRule="auto"/>
        <w:jc w:val="both"/>
      </w:pPr>
    </w:p>
    <w:p w:rsidR="00792796" w:rsidRDefault="00792796" w:rsidP="00056DF7">
      <w:pPr>
        <w:spacing w:after="0" w:line="240" w:lineRule="auto"/>
      </w:pPr>
    </w:p>
    <w:p w:rsidR="00983CAC" w:rsidRDefault="00983CAC" w:rsidP="00056DF7">
      <w:pPr>
        <w:spacing w:after="0"/>
        <w:jc w:val="center"/>
        <w:rPr>
          <w:b/>
          <w:u w:val="single"/>
        </w:rPr>
      </w:pPr>
      <w:r w:rsidRPr="00BD1838">
        <w:rPr>
          <w:b/>
          <w:u w:val="single"/>
        </w:rPr>
        <w:t>INITIAL DECISION</w:t>
      </w:r>
    </w:p>
    <w:p w:rsidR="00056DF7" w:rsidRPr="00BD1838" w:rsidRDefault="00056DF7" w:rsidP="00056DF7">
      <w:pPr>
        <w:spacing w:after="0"/>
        <w:jc w:val="center"/>
        <w:rPr>
          <w:b/>
          <w:u w:val="single"/>
        </w:rPr>
      </w:pPr>
    </w:p>
    <w:p w:rsidR="00983CAC" w:rsidRDefault="00983CAC" w:rsidP="00BD1838">
      <w:pPr>
        <w:spacing w:after="0" w:line="240" w:lineRule="auto"/>
        <w:jc w:val="center"/>
      </w:pPr>
      <w:r>
        <w:t>Before</w:t>
      </w:r>
    </w:p>
    <w:p w:rsidR="00983CAC" w:rsidRDefault="00983CAC" w:rsidP="00BD1838">
      <w:pPr>
        <w:spacing w:after="0" w:line="240" w:lineRule="auto"/>
        <w:jc w:val="center"/>
      </w:pPr>
      <w:r>
        <w:t>Mary D. Long</w:t>
      </w:r>
    </w:p>
    <w:p w:rsidR="00983CAC" w:rsidRDefault="00983CAC" w:rsidP="00BD1838">
      <w:pPr>
        <w:spacing w:after="0" w:line="240" w:lineRule="auto"/>
        <w:jc w:val="center"/>
      </w:pPr>
      <w:r>
        <w:t>Administrative Law Judge</w:t>
      </w:r>
    </w:p>
    <w:p w:rsidR="00BD1838" w:rsidRDefault="00BD1838" w:rsidP="00056DF7">
      <w:pPr>
        <w:spacing w:after="0"/>
      </w:pPr>
    </w:p>
    <w:p w:rsidR="00561D6E" w:rsidRDefault="00561D6E" w:rsidP="00561D6E">
      <w:pPr>
        <w:spacing w:after="0" w:line="240" w:lineRule="auto"/>
      </w:pPr>
    </w:p>
    <w:p w:rsidR="00983CAC" w:rsidRDefault="00983CAC" w:rsidP="00056DF7">
      <w:pPr>
        <w:spacing w:after="0"/>
        <w:jc w:val="center"/>
        <w:rPr>
          <w:u w:val="single"/>
        </w:rPr>
      </w:pPr>
      <w:r w:rsidRPr="00BD1838">
        <w:rPr>
          <w:u w:val="single"/>
        </w:rPr>
        <w:t>INTRODUCTION</w:t>
      </w:r>
    </w:p>
    <w:p w:rsidR="00056DF7" w:rsidRPr="00BD1838" w:rsidRDefault="00056DF7" w:rsidP="00056DF7">
      <w:pPr>
        <w:spacing w:after="0"/>
        <w:jc w:val="center"/>
        <w:rPr>
          <w:u w:val="single"/>
        </w:rPr>
      </w:pPr>
    </w:p>
    <w:p w:rsidR="00983CAC" w:rsidRDefault="00D25C2B" w:rsidP="00EA2534">
      <w:pPr>
        <w:spacing w:after="0"/>
      </w:pPr>
      <w:r>
        <w:tab/>
        <w:t>This decision dismisses in part the complaint of customers who allege that a utility company improperly terminated a discounted winter heating rate and who complain that the budget amount is too high.  However, the comp</w:t>
      </w:r>
      <w:r w:rsidR="00EA2534">
        <w:t>laint is sustained to the extent</w:t>
      </w:r>
      <w:r>
        <w:t xml:space="preserve"> the customers have requested a payment a</w:t>
      </w:r>
      <w:r w:rsidR="00986B9B">
        <w:t>rrangement</w:t>
      </w:r>
      <w:r>
        <w:t xml:space="preserve"> for the past due </w:t>
      </w:r>
      <w:r w:rsidR="00695426">
        <w:t>deferred budget</w:t>
      </w:r>
      <w:r w:rsidR="004557B9">
        <w:t xml:space="preserve"> </w:t>
      </w:r>
      <w:r>
        <w:t>balance on the account.</w:t>
      </w:r>
    </w:p>
    <w:p w:rsidR="00EA2534" w:rsidRDefault="00EA2534" w:rsidP="00EA2534">
      <w:pPr>
        <w:spacing w:after="0"/>
      </w:pPr>
    </w:p>
    <w:p w:rsidR="00983CAC" w:rsidRDefault="00983CAC" w:rsidP="00EA2534">
      <w:pPr>
        <w:spacing w:after="0"/>
        <w:jc w:val="center"/>
        <w:rPr>
          <w:u w:val="single"/>
        </w:rPr>
      </w:pPr>
      <w:r w:rsidRPr="00BD1838">
        <w:rPr>
          <w:u w:val="single"/>
        </w:rPr>
        <w:t>PROCEDURAL HISTORY</w:t>
      </w:r>
    </w:p>
    <w:p w:rsidR="00EA2534" w:rsidRPr="00BD1838" w:rsidRDefault="00EA2534" w:rsidP="00EA2534">
      <w:pPr>
        <w:spacing w:after="0"/>
        <w:jc w:val="center"/>
        <w:rPr>
          <w:u w:val="single"/>
        </w:rPr>
      </w:pPr>
    </w:p>
    <w:p w:rsidR="00983CAC" w:rsidRDefault="00983CAC" w:rsidP="00EA2534">
      <w:pPr>
        <w:spacing w:after="0"/>
      </w:pPr>
      <w:r>
        <w:tab/>
        <w:t>On October 1, 2014, Robert W. Coyne, Sr. (Complainant) filed a formal complaint against PECO Energy Company (PECO), alleging that PECO reneged on a promise to provide a discount during the winter months and that PECO was improperly assessing late charges and interest on his account.  PECO filed an answer and preliminary objections on October 24, 2014.</w:t>
      </w:r>
    </w:p>
    <w:p w:rsidR="00EA2534" w:rsidRDefault="00EA2534" w:rsidP="00EA2534">
      <w:pPr>
        <w:spacing w:after="0"/>
      </w:pPr>
    </w:p>
    <w:p w:rsidR="00983CAC" w:rsidRDefault="00983CAC" w:rsidP="00EA2534">
      <w:pPr>
        <w:spacing w:after="0"/>
      </w:pPr>
      <w:r>
        <w:lastRenderedPageBreak/>
        <w:tab/>
        <w:t>By notice dated January 6, 2015, this matter was assigned to me and scheduled for a telephonic hearing on February 25, 2015.  By interim order dated January 13, 2015, I dismissed PECO’s preliminary objections.  I also issued a prehearing order on January 13, 2015.</w:t>
      </w:r>
    </w:p>
    <w:p w:rsidR="0064543A" w:rsidRDefault="0064543A" w:rsidP="00EA2534">
      <w:pPr>
        <w:spacing w:after="0"/>
      </w:pPr>
    </w:p>
    <w:p w:rsidR="00983CAC" w:rsidRDefault="00983CAC" w:rsidP="00EA2534">
      <w:pPr>
        <w:tabs>
          <w:tab w:val="clear" w:pos="1440"/>
          <w:tab w:val="left" w:pos="0"/>
        </w:tabs>
        <w:spacing w:after="0"/>
      </w:pPr>
      <w:r>
        <w:tab/>
      </w:r>
      <w:r w:rsidR="00191CFF">
        <w:tab/>
      </w:r>
      <w:r>
        <w:t>The hearing was held as scheduled.  The Complainant’s wife, Virginia D. Coyne, appeared because Robert Coyne was recovering from an illness and was not available.  Mrs.</w:t>
      </w:r>
      <w:r w:rsidR="0064543A">
        <w:t> </w:t>
      </w:r>
      <w:r>
        <w:t>Coyne asked to</w:t>
      </w:r>
      <w:r w:rsidR="00062F86">
        <w:t xml:space="preserve"> be</w:t>
      </w:r>
      <w:r>
        <w:t xml:space="preserve"> added to the complaint as a party to the case and PECO had no objection.  Accordingly, Mrs. Coyne</w:t>
      </w:r>
      <w:r w:rsidR="00814CEF">
        <w:t xml:space="preserve"> was added as a party and she</w:t>
      </w:r>
      <w:r>
        <w:t xml:space="preserve"> testified in support of the claims made in the complaint.  Mrs. Coyne offered two exhibits which were admitted into the record.  Shawane L. Lee, Esquire appeared on behalf of PECO and offered the testimony of one witness, Renee Tarpley. </w:t>
      </w:r>
      <w:r w:rsidR="00EA2534">
        <w:t xml:space="preserve"> </w:t>
      </w:r>
      <w:r>
        <w:t xml:space="preserve">At the hearing, PECO offered five exhibits which were admitted into the record.  PECO also requested the admission of a late-filed exhibit.  That exhibit was admitted into the record by order dated </w:t>
      </w:r>
      <w:r w:rsidR="00062F86">
        <w:t>March 20, 2015</w:t>
      </w:r>
      <w:r>
        <w:t>.</w:t>
      </w:r>
      <w:r w:rsidR="00062F86">
        <w:t xml:space="preserve">  The hearing resulted in a transcript of 79 pages.  The record closed on March 20, 2015.</w:t>
      </w:r>
    </w:p>
    <w:p w:rsidR="00EA2534" w:rsidRDefault="00EA2534" w:rsidP="00EA1D3B">
      <w:pPr>
        <w:tabs>
          <w:tab w:val="clear" w:pos="1440"/>
        </w:tabs>
        <w:spacing w:after="0"/>
      </w:pPr>
    </w:p>
    <w:p w:rsidR="007170EA" w:rsidRDefault="007170EA" w:rsidP="00EA1D3B">
      <w:pPr>
        <w:spacing w:after="0"/>
        <w:jc w:val="center"/>
        <w:rPr>
          <w:u w:val="single"/>
        </w:rPr>
      </w:pPr>
      <w:r w:rsidRPr="004B2474">
        <w:rPr>
          <w:u w:val="single"/>
        </w:rPr>
        <w:t>FINDINGS OF FACT</w:t>
      </w:r>
    </w:p>
    <w:p w:rsidR="00EA2534" w:rsidRDefault="00EA2534" w:rsidP="00EA1D3B">
      <w:pPr>
        <w:spacing w:after="0"/>
        <w:jc w:val="center"/>
        <w:rPr>
          <w:u w:val="single"/>
        </w:rPr>
      </w:pPr>
    </w:p>
    <w:p w:rsidR="00896EA5" w:rsidRDefault="007170EA" w:rsidP="00EA1D3B">
      <w:pPr>
        <w:spacing w:after="0"/>
      </w:pPr>
      <w:r>
        <w:t xml:space="preserve"> </w:t>
      </w:r>
      <w:r w:rsidR="00EA2534">
        <w:tab/>
      </w:r>
      <w:r w:rsidR="00EA1D3B">
        <w:t>1.</w:t>
      </w:r>
      <w:r w:rsidR="00EA1D3B">
        <w:tab/>
      </w:r>
      <w:r>
        <w:t xml:space="preserve">The Complainants are Robert W. and Virginia D. Coyne.  They receive residential </w:t>
      </w:r>
      <w:r w:rsidR="0071242D">
        <w:t xml:space="preserve">gas and </w:t>
      </w:r>
      <w:r>
        <w:t xml:space="preserve">electric service from PECO Energy Company at the service address, </w:t>
      </w:r>
    </w:p>
    <w:p w:rsidR="007170EA" w:rsidRDefault="007170EA" w:rsidP="00EA1D3B">
      <w:pPr>
        <w:spacing w:after="0"/>
      </w:pPr>
      <w:r>
        <w:t>1545 Hollywood Avenue, Langhorne, Bucks County, Pennsylvania.</w:t>
      </w:r>
      <w:r w:rsidR="00FE0588">
        <w:t xml:space="preserve"> </w:t>
      </w:r>
      <w:r w:rsidR="00BD7E49">
        <w:t xml:space="preserve"> (N.T. 11</w:t>
      </w:r>
      <w:r w:rsidR="0071242D">
        <w:t>; 36</w:t>
      </w:r>
      <w:r w:rsidR="00BD7E49">
        <w:t>)</w:t>
      </w:r>
    </w:p>
    <w:p w:rsidR="00EA1399" w:rsidRPr="004B2474" w:rsidRDefault="00EA1399" w:rsidP="00EA1399">
      <w:pPr>
        <w:spacing w:after="0"/>
        <w:rPr>
          <w:u w:val="single"/>
        </w:rPr>
      </w:pPr>
    </w:p>
    <w:p w:rsidR="00F46E2D" w:rsidRDefault="00EA1D3B" w:rsidP="00EA1399">
      <w:pPr>
        <w:pStyle w:val="ListParagraph"/>
      </w:pPr>
      <w:r>
        <w:tab/>
        <w:t>2.</w:t>
      </w:r>
      <w:r>
        <w:tab/>
      </w:r>
      <w:r w:rsidR="00F46E2D">
        <w:t xml:space="preserve">PECO’s budget billing program is based on a customer’s usage.  </w:t>
      </w:r>
      <w:r w:rsidR="00695426">
        <w:t>For each month, t</w:t>
      </w:r>
      <w:r w:rsidR="00F46E2D">
        <w:t>he budget amount is calculated by adding the customer’s last 12 months of usage and dividing it by</w:t>
      </w:r>
      <w:r w:rsidR="002A76FF">
        <w:t> </w:t>
      </w:r>
      <w:r w:rsidR="00F46E2D">
        <w:t>12.  The budget billing is reviewed every four months to keep the custom</w:t>
      </w:r>
      <w:r w:rsidR="00695426">
        <w:t>er’s amount due aligned with the customer’s</w:t>
      </w:r>
      <w:r w:rsidR="00F46E2D">
        <w:t xml:space="preserve"> usage.</w:t>
      </w:r>
      <w:r w:rsidR="00695426">
        <w:t xml:space="preserve"> </w:t>
      </w:r>
      <w:r w:rsidR="00F46E2D">
        <w:t xml:space="preserve"> At the end of the budget cycle, the customer is expected to pay the difference between the budget payments made and the actual amounts incurred during the period. </w:t>
      </w:r>
      <w:r w:rsidR="0021023C">
        <w:t xml:space="preserve"> If the customer paid more than the amount incurred, the customer would have a credit balance.  </w:t>
      </w:r>
      <w:r w:rsidR="00F46E2D">
        <w:t>(N.T. 38</w:t>
      </w:r>
      <w:r w:rsidR="00713403">
        <w:t>, 42</w:t>
      </w:r>
      <w:r w:rsidR="000367EA">
        <w:t>; PECO Ex. 2</w:t>
      </w:r>
      <w:r w:rsidR="00F46E2D">
        <w:t>)</w:t>
      </w:r>
    </w:p>
    <w:p w:rsidR="00EA1399" w:rsidRDefault="00EA1399" w:rsidP="00EA1399">
      <w:pPr>
        <w:pStyle w:val="ListParagraph"/>
      </w:pPr>
    </w:p>
    <w:p w:rsidR="007A36AA" w:rsidRDefault="00EA1D3B" w:rsidP="00EA1399">
      <w:pPr>
        <w:pStyle w:val="ListParagraph"/>
      </w:pPr>
      <w:r>
        <w:tab/>
        <w:t>3.</w:t>
      </w:r>
      <w:r>
        <w:tab/>
      </w:r>
      <w:r w:rsidR="007A36AA">
        <w:t>PECO’s records indicate that the Complainants</w:t>
      </w:r>
      <w:r w:rsidR="00695426">
        <w:t>’</w:t>
      </w:r>
      <w:r w:rsidR="007A36AA">
        <w:t xml:space="preserve"> account is enrolled in the budget billing program. </w:t>
      </w:r>
      <w:r w:rsidR="000B34F6">
        <w:t xml:space="preserve"> </w:t>
      </w:r>
      <w:r w:rsidR="007A36AA">
        <w:t>(N.T. 36-37)</w:t>
      </w:r>
    </w:p>
    <w:p w:rsidR="00CA1A3A" w:rsidRDefault="00EA1399" w:rsidP="00EA1399">
      <w:pPr>
        <w:pStyle w:val="ListParagraph"/>
      </w:pPr>
      <w:r>
        <w:lastRenderedPageBreak/>
        <w:tab/>
        <w:t>4.</w:t>
      </w:r>
      <w:r>
        <w:tab/>
      </w:r>
      <w:r w:rsidR="00CA1A3A">
        <w:t>The Complainants</w:t>
      </w:r>
      <w:r w:rsidR="00695426">
        <w:t>’</w:t>
      </w:r>
      <w:r w:rsidR="00CA1A3A">
        <w:t xml:space="preserve"> budget billing cycle ends in March.  (N.T. 39)</w:t>
      </w:r>
    </w:p>
    <w:p w:rsidR="006342B5" w:rsidRDefault="006342B5" w:rsidP="00EA1399">
      <w:pPr>
        <w:pStyle w:val="ListParagraph"/>
      </w:pPr>
    </w:p>
    <w:p w:rsidR="00CA1A3A" w:rsidRDefault="00EA1399" w:rsidP="00EA1399">
      <w:pPr>
        <w:pStyle w:val="ListParagraph"/>
      </w:pPr>
      <w:r>
        <w:tab/>
        <w:t xml:space="preserve">5. </w:t>
      </w:r>
      <w:r>
        <w:tab/>
      </w:r>
      <w:r w:rsidR="00CA1A3A">
        <w:t xml:space="preserve">At the end of </w:t>
      </w:r>
      <w:r w:rsidR="00CA1A3A" w:rsidRPr="001C38F8">
        <w:t xml:space="preserve">the </w:t>
      </w:r>
      <w:r w:rsidR="001C38F8">
        <w:t>2014</w:t>
      </w:r>
      <w:r w:rsidR="00CA1A3A" w:rsidRPr="001C38F8">
        <w:t xml:space="preserve"> budget</w:t>
      </w:r>
      <w:r w:rsidR="00CA1A3A">
        <w:t xml:space="preserve"> billing cycle the difference between the budget payments made </w:t>
      </w:r>
      <w:r w:rsidR="00695426">
        <w:t xml:space="preserve">by the Complainants </w:t>
      </w:r>
      <w:r w:rsidR="00CA1A3A">
        <w:t>and the actual amounts incurred was $ 1,178.59.</w:t>
      </w:r>
      <w:r w:rsidR="000B34F6">
        <w:t xml:space="preserve"> </w:t>
      </w:r>
      <w:r w:rsidR="00CA1A3A">
        <w:t xml:space="preserve"> (N.T. 39-40; PECO</w:t>
      </w:r>
      <w:r w:rsidR="00FC0A77">
        <w:t xml:space="preserve"> </w:t>
      </w:r>
      <w:r w:rsidR="00CA1A3A">
        <w:t>Ex. 1)</w:t>
      </w:r>
    </w:p>
    <w:p w:rsidR="00EA1399" w:rsidRDefault="00EA1399" w:rsidP="00EA1399">
      <w:pPr>
        <w:pStyle w:val="ListParagraph"/>
      </w:pPr>
    </w:p>
    <w:p w:rsidR="00CA1A3A" w:rsidRDefault="00EA1399" w:rsidP="00EA1399">
      <w:pPr>
        <w:pStyle w:val="ListParagraph"/>
      </w:pPr>
      <w:r>
        <w:tab/>
        <w:t xml:space="preserve">6. </w:t>
      </w:r>
      <w:r>
        <w:tab/>
      </w:r>
      <w:r w:rsidR="00CA1A3A">
        <w:t>The Complainant’s consumption during the winter season between December 2013 and March 2014 was higher than it had been in the past due to the unusually cold winter, often referred to as the “polar vortex.”  (N.T. 40)</w:t>
      </w:r>
    </w:p>
    <w:p w:rsidR="00EA1399" w:rsidRDefault="00EA1399" w:rsidP="00EA1399">
      <w:pPr>
        <w:pStyle w:val="ListParagraph"/>
      </w:pPr>
    </w:p>
    <w:p w:rsidR="00710DE7" w:rsidRDefault="00EA1399" w:rsidP="00EA1399">
      <w:pPr>
        <w:pStyle w:val="ListParagraph"/>
      </w:pPr>
      <w:r>
        <w:tab/>
        <w:t>7.</w:t>
      </w:r>
      <w:r>
        <w:tab/>
      </w:r>
      <w:r w:rsidR="00710DE7">
        <w:t>PECO permits customers to enter into a payment agreement to pay off the under</w:t>
      </w:r>
      <w:r w:rsidR="00713403">
        <w:t>-</w:t>
      </w:r>
      <w:r w:rsidR="00710DE7">
        <w:t>billed (deferred) amount from the previous year’s budget cycle.  In this case a customer would pay the budget amount for the new budget cycle plus an additional amount toward the deferred amount.  (N.T. 41)</w:t>
      </w:r>
    </w:p>
    <w:p w:rsidR="00EA1399" w:rsidRDefault="00EA1399" w:rsidP="00EA1399">
      <w:pPr>
        <w:pStyle w:val="ListParagraph"/>
      </w:pPr>
    </w:p>
    <w:p w:rsidR="00327144" w:rsidRDefault="00EA1399" w:rsidP="00EA1399">
      <w:pPr>
        <w:pStyle w:val="ListParagraph"/>
      </w:pPr>
      <w:r>
        <w:tab/>
        <w:t>8.</w:t>
      </w:r>
      <w:r>
        <w:tab/>
      </w:r>
      <w:r w:rsidR="00713403">
        <w:t>PECO’s record</w:t>
      </w:r>
      <w:r w:rsidR="001C38F8">
        <w:t>s indicate that the Complainant</w:t>
      </w:r>
      <w:r w:rsidR="00713403">
        <w:t>s did not want a payment arrangement for the deferred amount.</w:t>
      </w:r>
      <w:r w:rsidR="000B34F6">
        <w:t xml:space="preserve">  </w:t>
      </w:r>
      <w:r w:rsidR="00F312DA">
        <w:t>(N.T. 46</w:t>
      </w:r>
      <w:r w:rsidR="00DC0774">
        <w:t>-47</w:t>
      </w:r>
      <w:r w:rsidR="00F312DA">
        <w:t>)</w:t>
      </w:r>
    </w:p>
    <w:p w:rsidR="00EA1399" w:rsidRDefault="00EA1399" w:rsidP="00EA1399">
      <w:pPr>
        <w:pStyle w:val="ListParagraph"/>
      </w:pPr>
    </w:p>
    <w:p w:rsidR="00713403" w:rsidRDefault="00EA1399" w:rsidP="00EA1399">
      <w:pPr>
        <w:pStyle w:val="ListParagraph"/>
      </w:pPr>
      <w:r>
        <w:tab/>
        <w:t>9.</w:t>
      </w:r>
      <w:r>
        <w:tab/>
      </w:r>
      <w:r w:rsidR="00713403">
        <w:t>Beginning</w:t>
      </w:r>
      <w:r w:rsidR="001C38F8">
        <w:t xml:space="preserve"> in April 2014, the Complainant</w:t>
      </w:r>
      <w:r w:rsidR="00713403">
        <w:t>s began to pay their actual consumption amount.  (N.T. 43)</w:t>
      </w:r>
    </w:p>
    <w:p w:rsidR="00EA1399" w:rsidRDefault="00EA1399" w:rsidP="00EA1399">
      <w:pPr>
        <w:pStyle w:val="ListParagraph"/>
      </w:pPr>
    </w:p>
    <w:p w:rsidR="00111F6F" w:rsidRDefault="00EA1399" w:rsidP="00EA1399">
      <w:pPr>
        <w:pStyle w:val="ListParagraph"/>
      </w:pPr>
      <w:r>
        <w:tab/>
        <w:t>10.</w:t>
      </w:r>
      <w:r>
        <w:tab/>
      </w:r>
      <w:r w:rsidR="00111F6F">
        <w:t>The Complainants filed an informal complaint with the Commission’s Bureau of Consumer Services on April 18, 2014.</w:t>
      </w:r>
      <w:r w:rsidR="000B34F6">
        <w:t xml:space="preserve"> </w:t>
      </w:r>
      <w:r w:rsidR="00111F6F">
        <w:t xml:space="preserve"> (PECO Ex. 5; BCS No. 003225216)</w:t>
      </w:r>
    </w:p>
    <w:p w:rsidR="00EA1399" w:rsidRDefault="00EA1399" w:rsidP="00EA1399">
      <w:pPr>
        <w:pStyle w:val="ListParagraph"/>
      </w:pPr>
    </w:p>
    <w:p w:rsidR="00EA1399" w:rsidRDefault="00EA1399" w:rsidP="00EA1399">
      <w:pPr>
        <w:pStyle w:val="ListParagraph"/>
      </w:pPr>
      <w:r>
        <w:tab/>
        <w:t>11.</w:t>
      </w:r>
      <w:r>
        <w:tab/>
      </w:r>
      <w:r w:rsidR="00F312DA">
        <w:t>The unpaid deferred amount from the budget bill cycle remained a past due balance, even though the Complainants continued to pay the amount for the current consumption.  (N.T. 45)</w:t>
      </w:r>
      <w:r w:rsidR="00057307" w:rsidRPr="00057307">
        <w:t xml:space="preserve"> </w:t>
      </w:r>
    </w:p>
    <w:p w:rsidR="004D4961" w:rsidRDefault="004D4961" w:rsidP="00EA1399">
      <w:pPr>
        <w:pStyle w:val="ListParagraph"/>
      </w:pPr>
    </w:p>
    <w:p w:rsidR="00F312DA" w:rsidRDefault="00EA1399" w:rsidP="00EA1399">
      <w:pPr>
        <w:pStyle w:val="ListParagraph"/>
      </w:pPr>
      <w:r>
        <w:tab/>
        <w:t>12.</w:t>
      </w:r>
      <w:r>
        <w:tab/>
      </w:r>
      <w:r w:rsidR="00057307">
        <w:t xml:space="preserve">As of the date of the hearing the balance on </w:t>
      </w:r>
      <w:r w:rsidR="00111F6F">
        <w:t>the Complainants’ account was $</w:t>
      </w:r>
      <w:r w:rsidR="00057307">
        <w:t>1,638.33.  This includes both the current consumption charges as well as the remaining past due deferred budget balance.  (N.T. 58; Complainants’ Ex. 2)</w:t>
      </w:r>
    </w:p>
    <w:p w:rsidR="00197A55" w:rsidRDefault="00EA1399" w:rsidP="00EA1399">
      <w:pPr>
        <w:pStyle w:val="ListParagraph"/>
      </w:pPr>
      <w:r>
        <w:lastRenderedPageBreak/>
        <w:tab/>
        <w:t>13.</w:t>
      </w:r>
      <w:r>
        <w:tab/>
      </w:r>
      <w:r w:rsidR="001C38F8">
        <w:t xml:space="preserve">Mr. Coyne receives $1,700 per month in social security benefits.  </w:t>
      </w:r>
    </w:p>
    <w:p w:rsidR="001C38F8" w:rsidRDefault="001C38F8" w:rsidP="00EA1399">
      <w:pPr>
        <w:pStyle w:val="ListParagraph"/>
      </w:pPr>
      <w:bookmarkStart w:id="0" w:name="_GoBack"/>
      <w:bookmarkEnd w:id="0"/>
      <w:r>
        <w:t>(N.T. 66)</w:t>
      </w:r>
    </w:p>
    <w:p w:rsidR="001839FF" w:rsidRDefault="001839FF" w:rsidP="00EA1399">
      <w:pPr>
        <w:pStyle w:val="ListParagraph"/>
      </w:pPr>
    </w:p>
    <w:p w:rsidR="001C38F8" w:rsidRDefault="00EA1399" w:rsidP="00EA1399">
      <w:pPr>
        <w:pStyle w:val="ListParagraph"/>
      </w:pPr>
      <w:r>
        <w:tab/>
        <w:t>14.</w:t>
      </w:r>
      <w:r>
        <w:tab/>
      </w:r>
      <w:r w:rsidR="001C38F8">
        <w:t>Mrs. Coyne receives $623 per month in social security benefits.  (N.T. 66)</w:t>
      </w:r>
    </w:p>
    <w:p w:rsidR="00EA1399" w:rsidRDefault="00EA1399" w:rsidP="00EA1399">
      <w:pPr>
        <w:pStyle w:val="ListParagraph"/>
      </w:pPr>
    </w:p>
    <w:p w:rsidR="001C38F8" w:rsidRDefault="00EA1399" w:rsidP="00EA1399">
      <w:pPr>
        <w:pStyle w:val="ListParagraph"/>
      </w:pPr>
      <w:r>
        <w:tab/>
        <w:t>15.</w:t>
      </w:r>
      <w:r>
        <w:tab/>
      </w:r>
      <w:r w:rsidR="001C38F8">
        <w:t>Mr. Coyne also receives a pension benefit in the amount of $400 per month.</w:t>
      </w:r>
      <w:r w:rsidR="00695426">
        <w:t xml:space="preserve">  (N.T. 66)</w:t>
      </w:r>
    </w:p>
    <w:p w:rsidR="00EA1399" w:rsidRDefault="00EA1399" w:rsidP="00EA1399">
      <w:pPr>
        <w:pStyle w:val="ListParagraph"/>
      </w:pPr>
    </w:p>
    <w:p w:rsidR="001C38F8" w:rsidRDefault="005A4224" w:rsidP="00EA1399">
      <w:pPr>
        <w:pStyle w:val="ListParagraph"/>
      </w:pPr>
      <w:r>
        <w:tab/>
        <w:t>16.</w:t>
      </w:r>
      <w:r>
        <w:tab/>
      </w:r>
      <w:r w:rsidR="001C38F8">
        <w:t>No other people live with the Complainants.</w:t>
      </w:r>
      <w:r w:rsidR="00695426">
        <w:t xml:space="preserve">  (N.T. 66)</w:t>
      </w:r>
    </w:p>
    <w:p w:rsidR="00EA1399" w:rsidRDefault="00EA1399" w:rsidP="00EA1399">
      <w:pPr>
        <w:pStyle w:val="ListParagraph"/>
      </w:pPr>
    </w:p>
    <w:p w:rsidR="00DC0774" w:rsidRDefault="00DC0774" w:rsidP="005A4224">
      <w:pPr>
        <w:spacing w:after="0"/>
        <w:rPr>
          <w:u w:val="single"/>
        </w:rPr>
      </w:pPr>
      <w:r w:rsidRPr="000874AC">
        <w:rPr>
          <w:u w:val="single"/>
        </w:rPr>
        <w:t>Discount Program</w:t>
      </w:r>
    </w:p>
    <w:p w:rsidR="005A4224" w:rsidRPr="000874AC" w:rsidRDefault="005A4224" w:rsidP="005A4224">
      <w:pPr>
        <w:spacing w:after="0"/>
        <w:rPr>
          <w:u w:val="single"/>
        </w:rPr>
      </w:pPr>
    </w:p>
    <w:p w:rsidR="00113108" w:rsidRDefault="005A4224" w:rsidP="00EA1399">
      <w:pPr>
        <w:pStyle w:val="ListParagraph"/>
      </w:pPr>
      <w:r>
        <w:tab/>
        <w:t>17.</w:t>
      </w:r>
      <w:r>
        <w:tab/>
      </w:r>
      <w:r w:rsidR="00695426">
        <w:t>At one time, PECO offered a discounted</w:t>
      </w:r>
      <w:r w:rsidR="00113108">
        <w:t xml:space="preserve"> electrical residential heating rate that was effective during the winter heating period.  (N.T. 49)</w:t>
      </w:r>
    </w:p>
    <w:p w:rsidR="005A4224" w:rsidRDefault="005A4224" w:rsidP="00EA1399">
      <w:pPr>
        <w:pStyle w:val="ListParagraph"/>
      </w:pPr>
    </w:p>
    <w:p w:rsidR="00E47A7E" w:rsidRDefault="005A4224" w:rsidP="00EA1399">
      <w:pPr>
        <w:pStyle w:val="ListParagraph"/>
      </w:pPr>
      <w:r>
        <w:tab/>
        <w:t>18.</w:t>
      </w:r>
      <w:r>
        <w:tab/>
      </w:r>
      <w:r w:rsidR="00113108">
        <w:t>PECO notified its customers that it was discontinuing the winter heating rate</w:t>
      </w:r>
      <w:r w:rsidR="001C38F8">
        <w:t>.</w:t>
      </w:r>
      <w:r w:rsidR="00113108">
        <w:t xml:space="preserve">  </w:t>
      </w:r>
      <w:r w:rsidR="00E47A7E">
        <w:t>PECO generated a notific</w:t>
      </w:r>
      <w:r w:rsidR="001C38F8">
        <w:t>ation letter to the Complainant</w:t>
      </w:r>
      <w:r w:rsidR="00E47A7E">
        <w:t xml:space="preserve">s on June 20, 2011.  (N.T. 49, 69; </w:t>
      </w:r>
      <w:r w:rsidR="00113108">
        <w:t>PECO Ex. 3)</w:t>
      </w:r>
    </w:p>
    <w:p w:rsidR="005A4224" w:rsidRDefault="005A4224" w:rsidP="00EA1399">
      <w:pPr>
        <w:pStyle w:val="ListParagraph"/>
      </w:pPr>
    </w:p>
    <w:p w:rsidR="00E47A7E" w:rsidRDefault="005A4224" w:rsidP="00EA1399">
      <w:pPr>
        <w:pStyle w:val="ListParagraph"/>
      </w:pPr>
      <w:r>
        <w:tab/>
        <w:t>19.</w:t>
      </w:r>
      <w:r>
        <w:tab/>
      </w:r>
      <w:r w:rsidR="00E47A7E">
        <w:t>There is no indication in PECO’s records that the letter was returned to PECO by the U.S. Postal Service.  (N.T. 70)</w:t>
      </w:r>
    </w:p>
    <w:p w:rsidR="005A4224" w:rsidRDefault="005A4224" w:rsidP="00EA1399">
      <w:pPr>
        <w:pStyle w:val="ListParagraph"/>
      </w:pPr>
    </w:p>
    <w:p w:rsidR="005C57C7" w:rsidRDefault="005A4224" w:rsidP="00EA1399">
      <w:pPr>
        <w:pStyle w:val="ListParagraph"/>
      </w:pPr>
      <w:r>
        <w:tab/>
        <w:t>20.</w:t>
      </w:r>
      <w:r>
        <w:tab/>
      </w:r>
      <w:r w:rsidR="005C57C7">
        <w:t>The discounted rate was completely phased out as of December 31, 2012.  (PECO Ex. 3)</w:t>
      </w:r>
    </w:p>
    <w:p w:rsidR="005A4224" w:rsidRDefault="005A4224" w:rsidP="00EA1399">
      <w:pPr>
        <w:pStyle w:val="ListParagraph"/>
      </w:pPr>
    </w:p>
    <w:p w:rsidR="00113108" w:rsidRDefault="00FD7C19" w:rsidP="00EA1399">
      <w:pPr>
        <w:pStyle w:val="ListParagraph"/>
      </w:pPr>
      <w:r>
        <w:tab/>
        <w:t>21.</w:t>
      </w:r>
      <w:r>
        <w:tab/>
      </w:r>
      <w:r w:rsidR="00113108">
        <w:t xml:space="preserve">The Commission approved PECO’s plan to discontinue the discounted winter heating rate.  </w:t>
      </w:r>
      <w:r w:rsidR="00113108" w:rsidRPr="001C38F8">
        <w:t>(</w:t>
      </w:r>
      <w:r w:rsidR="001C38F8">
        <w:t>P-2008-2062739; N.T. 54)</w:t>
      </w:r>
    </w:p>
    <w:p w:rsidR="00342083" w:rsidRDefault="00342083" w:rsidP="00EA1399">
      <w:pPr>
        <w:pStyle w:val="ListParagraph"/>
      </w:pPr>
    </w:p>
    <w:p w:rsidR="00057307" w:rsidRDefault="00FD7C19" w:rsidP="00EA1399">
      <w:pPr>
        <w:pStyle w:val="ListParagraph"/>
      </w:pPr>
      <w:r>
        <w:tab/>
        <w:t>22.</w:t>
      </w:r>
      <w:r>
        <w:tab/>
      </w:r>
      <w:r w:rsidR="00057307">
        <w:t>Mrs. Coyne does not recall receiving a notice that the discounted winter heating rate was being discontinued.  (N.T. 62</w:t>
      </w:r>
      <w:r w:rsidR="00E47A7E">
        <w:t>, 69</w:t>
      </w:r>
      <w:r w:rsidR="00057307">
        <w:t>)</w:t>
      </w:r>
    </w:p>
    <w:p w:rsidR="00191FFB" w:rsidRDefault="00191FFB" w:rsidP="00EA1399">
      <w:pPr>
        <w:spacing w:after="0"/>
        <w:jc w:val="center"/>
        <w:rPr>
          <w:u w:val="single"/>
        </w:rPr>
      </w:pPr>
    </w:p>
    <w:p w:rsidR="00E47A7E" w:rsidRDefault="00F83993" w:rsidP="00EA1399">
      <w:pPr>
        <w:spacing w:after="0"/>
        <w:jc w:val="center"/>
        <w:rPr>
          <w:u w:val="single"/>
        </w:rPr>
      </w:pPr>
      <w:r w:rsidRPr="00F93F3D">
        <w:rPr>
          <w:u w:val="single"/>
        </w:rPr>
        <w:lastRenderedPageBreak/>
        <w:t>DISCUSSION</w:t>
      </w:r>
    </w:p>
    <w:p w:rsidR="0047409E" w:rsidRDefault="0047409E" w:rsidP="00EA1399">
      <w:pPr>
        <w:spacing w:after="0"/>
        <w:jc w:val="center"/>
        <w:rPr>
          <w:u w:val="single"/>
        </w:rPr>
      </w:pPr>
    </w:p>
    <w:p w:rsidR="00F83993" w:rsidRDefault="00F83993" w:rsidP="00EA1399">
      <w:pPr>
        <w:spacing w:after="0"/>
      </w:pPr>
      <w:r>
        <w:tab/>
      </w:r>
      <w:r w:rsidRPr="00F83993">
        <w:t>In this matter, the Complainant</w:t>
      </w:r>
      <w:r>
        <w:t xml:space="preserve">s are </w:t>
      </w:r>
      <w:r w:rsidRPr="00F83993">
        <w:t xml:space="preserve">the party seeking affirmative relief from the Commission; therefore, </w:t>
      </w:r>
      <w:r>
        <w:t>they have</w:t>
      </w:r>
      <w:r w:rsidRPr="00F83993">
        <w:t xml:space="preserve"> the burden of proof.</w:t>
      </w:r>
      <w:r w:rsidRPr="00F83993">
        <w:rPr>
          <w:vertAlign w:val="superscript"/>
        </w:rPr>
        <w:footnoteReference w:id="1"/>
      </w:r>
      <w:r w:rsidRPr="00F83993">
        <w:t xml:space="preserve">  This means that </w:t>
      </w:r>
      <w:r>
        <w:t xml:space="preserve">they </w:t>
      </w:r>
      <w:r w:rsidRPr="00F83993">
        <w:t>must establ</w:t>
      </w:r>
      <w:r w:rsidR="00695426">
        <w:t>ish each fact which supports their</w:t>
      </w:r>
      <w:r w:rsidRPr="00F83993">
        <w:t xml:space="preserve"> claims by a preponderance of the evidence, and must show that </w:t>
      </w:r>
      <w:r>
        <w:t>PECO</w:t>
      </w:r>
      <w:r w:rsidRPr="00F83993">
        <w:t xml:space="preserve"> has violated the Public Utility Code or Commission regulations.</w:t>
      </w:r>
      <w:r w:rsidRPr="00F83993">
        <w:rPr>
          <w:vertAlign w:val="superscript"/>
        </w:rPr>
        <w:footnoteReference w:id="2"/>
      </w:r>
      <w:r w:rsidRPr="00F83993">
        <w:t xml:space="preserve"> </w:t>
      </w:r>
    </w:p>
    <w:p w:rsidR="00EA1399" w:rsidRPr="00F83993" w:rsidRDefault="00EA1399" w:rsidP="00EA1399">
      <w:pPr>
        <w:spacing w:after="0"/>
      </w:pPr>
    </w:p>
    <w:p w:rsidR="00F83993" w:rsidRDefault="00F83993" w:rsidP="00EA1399">
      <w:pPr>
        <w:spacing w:after="0"/>
      </w:pPr>
      <w:r>
        <w:tab/>
      </w:r>
      <w:r w:rsidRPr="00F83993">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F83993">
        <w:rPr>
          <w:vertAlign w:val="superscript"/>
        </w:rPr>
        <w:footnoteReference w:id="3"/>
      </w:r>
    </w:p>
    <w:p w:rsidR="00EA1399" w:rsidRDefault="00EA1399" w:rsidP="00EA1399">
      <w:pPr>
        <w:spacing w:after="0"/>
      </w:pPr>
    </w:p>
    <w:p w:rsidR="000D0B02" w:rsidRDefault="000D0B02" w:rsidP="00EA1399">
      <w:pPr>
        <w:spacing w:after="0"/>
      </w:pPr>
      <w:r>
        <w:tab/>
        <w:t>The Complainants contend that PECO “reneged” on an agreement to provide a discounted winter heating rate.  PECO counters that although it discontinued the discounted winter heating rate, it did so with the approval of the Commission</w:t>
      </w:r>
      <w:r w:rsidR="00695426">
        <w:t xml:space="preserve"> in its 2008 default service petition.</w:t>
      </w:r>
    </w:p>
    <w:p w:rsidR="00EA1399" w:rsidRDefault="00EA1399" w:rsidP="00EA1399">
      <w:pPr>
        <w:spacing w:after="0"/>
      </w:pPr>
    </w:p>
    <w:p w:rsidR="000D0B02" w:rsidRDefault="000D0B02" w:rsidP="00EA1399">
      <w:pPr>
        <w:spacing w:after="0"/>
      </w:pPr>
      <w:r>
        <w:tab/>
        <w:t>Commission-approved tariffs have the force of law.</w:t>
      </w:r>
      <w:r w:rsidR="00017DDF" w:rsidRPr="00017DDF">
        <w:rPr>
          <w:rStyle w:val="FootnoteReference"/>
          <w:spacing w:val="-3"/>
          <w:szCs w:val="24"/>
        </w:rPr>
        <w:t xml:space="preserve"> </w:t>
      </w:r>
      <w:r w:rsidR="00017DDF">
        <w:rPr>
          <w:rStyle w:val="FootnoteReference"/>
          <w:spacing w:val="-3"/>
          <w:szCs w:val="24"/>
        </w:rPr>
        <w:footnoteReference w:id="4"/>
      </w:r>
      <w:r w:rsidR="00017DDF">
        <w:rPr>
          <w:spacing w:val="-3"/>
          <w:szCs w:val="24"/>
        </w:rPr>
        <w:t xml:space="preserve"> </w:t>
      </w:r>
      <w:r>
        <w:t xml:space="preserve"> A complainant may evade the effect of an existing tariff by proving that the “facts and circumstances have changed so drastically as to render the application of the tariff provision unreasonable.”</w:t>
      </w:r>
      <w:r>
        <w:rPr>
          <w:rStyle w:val="FootnoteReference"/>
        </w:rPr>
        <w:footnoteReference w:id="5"/>
      </w:r>
      <w:r>
        <w:t xml:space="preserve">  This burden of </w:t>
      </w:r>
      <w:r>
        <w:lastRenderedPageBreak/>
        <w:t>proving these facts rests upon the Complainant and it is a heavy burden.</w:t>
      </w:r>
      <w:r>
        <w:rPr>
          <w:rStyle w:val="FootnoteReference"/>
        </w:rPr>
        <w:footnoteReference w:id="6"/>
      </w:r>
      <w:r>
        <w:t xml:space="preserve">  Tariff provisions previously approved by the Commission are </w:t>
      </w:r>
      <w:r w:rsidRPr="0039295D">
        <w:rPr>
          <w:i/>
        </w:rPr>
        <w:t>prima facie</w:t>
      </w:r>
      <w:r>
        <w:t xml:space="preserve"> reasonable.</w:t>
      </w:r>
      <w:r>
        <w:rPr>
          <w:rStyle w:val="FootnoteReference"/>
        </w:rPr>
        <w:footnoteReference w:id="7"/>
      </w:r>
      <w:r>
        <w:t xml:space="preserve">  </w:t>
      </w:r>
    </w:p>
    <w:p w:rsidR="00901652" w:rsidRDefault="00901652" w:rsidP="00EA1399">
      <w:pPr>
        <w:spacing w:after="0"/>
      </w:pPr>
    </w:p>
    <w:p w:rsidR="00017DDF" w:rsidRDefault="00017DDF" w:rsidP="000D0B02">
      <w:pPr>
        <w:spacing w:after="0"/>
      </w:pPr>
      <w:r>
        <w:tab/>
        <w:t xml:space="preserve">The Commission has approved decisions which dismiss a complaint challenging the phase-out of discounted rates by PECO in its 2008 </w:t>
      </w:r>
      <w:r w:rsidR="00D32FCA">
        <w:t>default service</w:t>
      </w:r>
      <w:r>
        <w:t xml:space="preserve"> filing:</w:t>
      </w:r>
    </w:p>
    <w:p w:rsidR="00017DDF" w:rsidRDefault="00017DDF" w:rsidP="000D0B02">
      <w:pPr>
        <w:spacing w:after="0"/>
      </w:pPr>
    </w:p>
    <w:p w:rsidR="00017DDF" w:rsidRDefault="00017DDF" w:rsidP="00017DDF">
      <w:pPr>
        <w:spacing w:line="240" w:lineRule="auto"/>
        <w:ind w:left="1440" w:right="1440"/>
        <w:rPr>
          <w:szCs w:val="24"/>
        </w:rPr>
      </w:pPr>
      <w:r>
        <w:rPr>
          <w:szCs w:val="24"/>
        </w:rPr>
        <w:tab/>
        <w:t>Clearly, there are no genuine issues as to material facts presented in this proceeding.  There is no dispute that complainant is a Rate RH customer, that the Commission has approved the phasing-out of that rate as part of PECO’s DSP program and that residential heating customers will no longer benefit from the energy price differential that exists.  Further, there is no dispute as to the impact on the Rate RH customers as the result of the phasing out of the discount.</w:t>
      </w:r>
    </w:p>
    <w:p w:rsidR="00017DDF" w:rsidRDefault="00017DDF" w:rsidP="00017DDF">
      <w:pPr>
        <w:spacing w:line="240" w:lineRule="auto"/>
        <w:ind w:left="1440" w:right="1440"/>
        <w:rPr>
          <w:szCs w:val="24"/>
        </w:rPr>
      </w:pPr>
      <w:r>
        <w:rPr>
          <w:szCs w:val="24"/>
        </w:rPr>
        <w:tab/>
        <w:t>Complainant’s dispute is not with PECO; he is not alleging that the company made any error in billing him or in applying the tariffed rate for service.  Rather, he is objecting to the Commission’s decision approving the phase-out of the rate.  To the extent that Mr. Kupchinskas disagrees with the Commission’s decision, the appropriate procedure would be to file a petition for recession or amendment pursuant to Section 703 of the Public Utility Code, 66 Pa.C.S.A. § 703(g).</w:t>
      </w:r>
    </w:p>
    <w:p w:rsidR="00017DDF" w:rsidRDefault="00017DDF" w:rsidP="00017DDF">
      <w:pPr>
        <w:spacing w:line="240" w:lineRule="auto"/>
        <w:ind w:left="1440" w:right="1440"/>
        <w:rPr>
          <w:spacing w:val="-3"/>
          <w:szCs w:val="24"/>
        </w:rPr>
      </w:pPr>
      <w:r>
        <w:rPr>
          <w:szCs w:val="24"/>
        </w:rPr>
        <w:tab/>
        <w:t>That would be a fruitless exercise, however, in light of the Competition Act.  In 1996, the Pennsylvania General Assembly passed the Electricity Generation Customer Choice and Competition Act (Competition Act), 66 Pa.C.S.A. §§ 2801-2812, which</w:t>
      </w:r>
      <w:r>
        <w:rPr>
          <w:spacing w:val="-3"/>
          <w:szCs w:val="24"/>
        </w:rPr>
        <w:t xml:space="preserve"> allows customers to buy generation from licensed alternative suppliers by unbundling generation from transmission and distribution.  The Competition Act established a transitional period, during which generation rates were capped, and further provided that electric distribution companies, such as PECO, must act as providers of default service in order to provide electric generation service to customers not served by alternative generation suppliers or whose contracted generation is not delivered.  The result is that after full transition to competition, each customer pays for the electricity used, at the price it is obtained by the generation supplier (whether from an alternative supplier or through PECO’s default service) and charged to that customer.  The Competition Act provides that default service </w:t>
      </w:r>
      <w:r>
        <w:rPr>
          <w:spacing w:val="-3"/>
          <w:szCs w:val="24"/>
        </w:rPr>
        <w:lastRenderedPageBreak/>
        <w:t xml:space="preserve">rates must be based on prevailing market prices, not promotional discounts or subsidies; offering reduced rates for winter heating customers would require other default service customers to subsidize the Rate RH customers to cover the difference, and therefore would violate the Public Utility Code. </w:t>
      </w:r>
    </w:p>
    <w:p w:rsidR="00017DDF" w:rsidRDefault="00017DDF" w:rsidP="00017DDF">
      <w:pPr>
        <w:spacing w:line="240" w:lineRule="auto"/>
        <w:ind w:left="1440" w:right="1440"/>
        <w:rPr>
          <w:szCs w:val="24"/>
        </w:rPr>
      </w:pPr>
      <w:r>
        <w:rPr>
          <w:spacing w:val="-3"/>
          <w:szCs w:val="24"/>
        </w:rPr>
        <w:tab/>
        <w:t>As required by the Competition Act, PECO developed a default service plan, the DSP program (which included various rate mitigation measures to assist customers throughout the transition to fully market-based rates), which was fully investigated at Docket</w:t>
      </w:r>
      <w:r w:rsidR="0087187C">
        <w:rPr>
          <w:spacing w:val="-3"/>
          <w:szCs w:val="24"/>
        </w:rPr>
        <w:t xml:space="preserve"> </w:t>
      </w:r>
      <w:r>
        <w:rPr>
          <w:spacing w:val="-3"/>
          <w:szCs w:val="24"/>
        </w:rPr>
        <w:t xml:space="preserve">No. P-2008-2062739.  The DSP program included elimination of the residential heating rate.  That was one of several proposals to comply with the Commission’s regulations </w:t>
      </w:r>
      <w:r>
        <w:rPr>
          <w:szCs w:val="24"/>
        </w:rPr>
        <w:t xml:space="preserve">(52 Pa. Code §54.187(c)) and Policy Statement (52 Pa. Code § 69.1810) that default service rates should eliminate demand charges and declining energy blocks in order to achieve the “single rate option” identified as the Price-To-Compare.  </w:t>
      </w:r>
      <w:r>
        <w:rPr>
          <w:spacing w:val="-3"/>
          <w:szCs w:val="24"/>
        </w:rPr>
        <w:t>As modified by a settlement agreement reached by the parties, the DSP program (including phase-out of Rate RH) was approved by the Commission by Opinion and Order entered June 2, 2009 (2009 DSP Order).  Tariffs implementing the Commission’s decision were filed by PECO and accepted by the Commission.</w:t>
      </w:r>
      <w:r>
        <w:rPr>
          <w:rStyle w:val="FootnoteReference"/>
          <w:spacing w:val="-3"/>
          <w:szCs w:val="24"/>
        </w:rPr>
        <w:footnoteReference w:id="8"/>
      </w:r>
      <w:r>
        <w:rPr>
          <w:spacing w:val="-3"/>
          <w:szCs w:val="24"/>
        </w:rPr>
        <w:t xml:space="preserve"> </w:t>
      </w:r>
    </w:p>
    <w:p w:rsidR="00017DDF" w:rsidRDefault="00017DDF" w:rsidP="0047409E">
      <w:pPr>
        <w:spacing w:after="0"/>
      </w:pPr>
    </w:p>
    <w:p w:rsidR="00AC61FD" w:rsidRDefault="00AC61FD" w:rsidP="0047409E">
      <w:pPr>
        <w:spacing w:after="0"/>
      </w:pPr>
      <w:r>
        <w:tab/>
        <w:t>Similarly, there does not appear to be any circumstances presented by the facts in this case which would render the application of PECO’s Commission-approved tariff to the Complainants unreasonable.  Moreover, public utilities are permitted by law to adjust their rates when the increase in supply or distribution rates can be properly justified in a rate proceeding before the Commission.  Indeed, the present tariff was approved in the context of a proceeding</w:t>
      </w:r>
    </w:p>
    <w:p w:rsidR="00AC61FD" w:rsidRDefault="00AC61FD" w:rsidP="0047409E">
      <w:pPr>
        <w:spacing w:after="0"/>
      </w:pPr>
      <w:r>
        <w:t>before the Commission in which the interests of residential consumers and many others were represented and considered by the Commission.</w:t>
      </w:r>
      <w:r>
        <w:rPr>
          <w:rStyle w:val="FootnoteReference"/>
        </w:rPr>
        <w:footnoteReference w:id="9"/>
      </w:r>
      <w:r>
        <w:t xml:space="preserve"> </w:t>
      </w:r>
    </w:p>
    <w:p w:rsidR="0047409E" w:rsidRDefault="0047409E" w:rsidP="0047409E">
      <w:pPr>
        <w:spacing w:after="0"/>
      </w:pPr>
    </w:p>
    <w:p w:rsidR="00AF6470" w:rsidRDefault="00AC61FD" w:rsidP="0047409E">
      <w:pPr>
        <w:spacing w:after="0"/>
      </w:pPr>
      <w:r>
        <w:tab/>
        <w:t xml:space="preserve">Next, the Complainants contend that their budget payment is </w:t>
      </w:r>
      <w:r w:rsidR="00111F6F">
        <w:t>unreasonable</w:t>
      </w:r>
      <w:r>
        <w:t>.  The source for this concern is the Complainants</w:t>
      </w:r>
      <w:r w:rsidR="00D32FCA">
        <w:t>’</w:t>
      </w:r>
      <w:r>
        <w:t xml:space="preserve"> March 2014</w:t>
      </w:r>
      <w:r w:rsidR="00111F6F">
        <w:t xml:space="preserve"> bill</w:t>
      </w:r>
      <w:r>
        <w:t xml:space="preserve"> which noted a</w:t>
      </w:r>
      <w:r w:rsidR="00111F6F">
        <w:t>n</w:t>
      </w:r>
      <w:r>
        <w:t xml:space="preserve"> unpaid deferred </w:t>
      </w:r>
      <w:r>
        <w:lastRenderedPageBreak/>
        <w:t>balance from the past year’s usage</w:t>
      </w:r>
      <w:r w:rsidR="00111F6F">
        <w:t xml:space="preserve"> and changed the Complainants</w:t>
      </w:r>
      <w:r w:rsidR="00D32FCA">
        <w:t>’</w:t>
      </w:r>
      <w:r w:rsidR="00111F6F">
        <w:t xml:space="preserve"> budget amount from $292 to $387.</w:t>
      </w:r>
      <w:r w:rsidR="00111F6F">
        <w:rPr>
          <w:rStyle w:val="FootnoteReference"/>
        </w:rPr>
        <w:footnoteReference w:id="10"/>
      </w:r>
    </w:p>
    <w:p w:rsidR="0047409E" w:rsidRDefault="0047409E" w:rsidP="0047409E">
      <w:pPr>
        <w:spacing w:after="0"/>
      </w:pPr>
    </w:p>
    <w:p w:rsidR="00E16CF1" w:rsidRDefault="00AF6470" w:rsidP="0047409E">
      <w:pPr>
        <w:spacing w:after="0"/>
      </w:pPr>
      <w:r>
        <w:tab/>
      </w:r>
      <w:r w:rsidR="00AC61FD">
        <w:t xml:space="preserve">Renee Tarpley, PECO’s regulatory assessor, </w:t>
      </w:r>
      <w:r w:rsidR="00C919A6">
        <w:t>explained that PECO’s budget billing program is based on a customer’s usage.  The budget amount is calculated by adding the customer’s last 12 months of usage and dividing it by 12.  The budget billing is reviewed every four months to keep the customer’s amount due aligned with this usage. At the end of the budget cycle, the customer is expected to pay the difference between the budget payments made and the actual amounts incurred during the period</w:t>
      </w:r>
      <w:r w:rsidR="00D32FCA">
        <w:t>.  Customers are permitted to amortize the deferred balancing by paying an amount in addition to the monthly budget payment.</w:t>
      </w:r>
    </w:p>
    <w:p w:rsidR="00D32FCA" w:rsidRDefault="00D32FCA" w:rsidP="0047409E">
      <w:pPr>
        <w:spacing w:after="0"/>
      </w:pPr>
    </w:p>
    <w:p w:rsidR="00443010" w:rsidRDefault="00C919A6" w:rsidP="00E16CF1">
      <w:pPr>
        <w:spacing w:after="0"/>
      </w:pPr>
      <w:r>
        <w:tab/>
        <w:t xml:space="preserve">Ms. Tarpley further </w:t>
      </w:r>
      <w:r w:rsidR="00AC61FD">
        <w:t>testified that the Complainants</w:t>
      </w:r>
      <w:r w:rsidR="00D32FCA">
        <w:t>’</w:t>
      </w:r>
      <w:r w:rsidR="00AC61FD">
        <w:t xml:space="preserve"> winter usage was higher during the winter months of 2013 and 2014 due to the unusually cold weather that season, sometimes referred to as the “polar vortex.”</w:t>
      </w:r>
      <w:r w:rsidR="00AF6470">
        <w:t xml:space="preserve">  Further,</w:t>
      </w:r>
      <w:r w:rsidR="00E8638A">
        <w:t xml:space="preserve"> the Complainants</w:t>
      </w:r>
      <w:r w:rsidR="00D32FCA">
        <w:t>’</w:t>
      </w:r>
      <w:r w:rsidR="00E8638A">
        <w:t xml:space="preserve"> discounted rate ended on December 21, 2012.  T</w:t>
      </w:r>
      <w:r w:rsidR="00AF6470">
        <w:t>he winter of 2013 was the first full winter which did not include the discounted winter heating rate that the Complainants had previously enjoyed.</w:t>
      </w:r>
      <w:r w:rsidR="00443010">
        <w:t xml:space="preserve">  The deferral amount billed to the Complainants was the difference between the budget payments made by the Complainants during the last twelve month period and the amount of energy which was actually consumed by the Complainants.  The Complainants did not offer any evidence which refutes this explanation.  Therefore, I must conclude that the Complainants did not demonstrate that PECO violated its tariff or </w:t>
      </w:r>
      <w:r w:rsidR="00483AD8">
        <w:t>that the billing is incorrect.</w:t>
      </w:r>
      <w:r w:rsidR="001C079D">
        <w:rPr>
          <w:rStyle w:val="FootnoteReference"/>
        </w:rPr>
        <w:footnoteReference w:id="11"/>
      </w:r>
    </w:p>
    <w:p w:rsidR="00E16CF1" w:rsidRDefault="00E16CF1" w:rsidP="00E16CF1">
      <w:pPr>
        <w:spacing w:after="0"/>
      </w:pPr>
    </w:p>
    <w:p w:rsidR="00483AD8" w:rsidRDefault="00483AD8" w:rsidP="00AC61FD">
      <w:r>
        <w:tab/>
        <w:t>At the hearing the Complainants asked for a payment agreement.  Section 1405 of the Public Utility Code permits the Commission to establish a payment agreement so that a customer may amortize or pay the unpaid balance of the account in one or more payments.</w:t>
      </w:r>
      <w:r>
        <w:rPr>
          <w:rStyle w:val="FootnoteReference"/>
        </w:rPr>
        <w:footnoteReference w:id="12"/>
      </w:r>
      <w:r>
        <w:t xml:space="preserve"> Mrs. Coyne testified that the Complainants’ monthly income is $2,723.   For a two-person household with the Complainants’ income level, the Public Utility Code permits them to </w:t>
      </w:r>
      <w:r>
        <w:lastRenderedPageBreak/>
        <w:t>amortize the deferred balance on the account over a period of 24 months.</w:t>
      </w:r>
      <w:r>
        <w:rPr>
          <w:rStyle w:val="FootnoteReference"/>
        </w:rPr>
        <w:footnoteReference w:id="13"/>
      </w:r>
      <w:r>
        <w:t xml:space="preserve">  The Complainants have a satisfactory payment history</w:t>
      </w:r>
      <w:r w:rsidR="009D5AA1">
        <w:t xml:space="preserve"> and a moderate past due balance</w:t>
      </w:r>
      <w:r>
        <w:t>.  Therefore, it is appropriate to establish a payment agreement for the Complainants</w:t>
      </w:r>
      <w:r w:rsidR="001E12CE">
        <w:t xml:space="preserve"> with terms that are the budget amount plus 1/24 of the arrearage on the account.</w:t>
      </w:r>
    </w:p>
    <w:p w:rsidR="001E12CE" w:rsidRDefault="001E12CE" w:rsidP="001E12CE">
      <w:pPr>
        <w:spacing w:after="0"/>
        <w:ind w:firstLine="1440"/>
        <w:rPr>
          <w:szCs w:val="24"/>
        </w:rPr>
      </w:pPr>
    </w:p>
    <w:p w:rsidR="001E12CE" w:rsidRDefault="001E12CE" w:rsidP="001E12CE">
      <w:pPr>
        <w:spacing w:after="0"/>
        <w:jc w:val="center"/>
        <w:rPr>
          <w:szCs w:val="24"/>
          <w:u w:val="single"/>
        </w:rPr>
      </w:pPr>
      <w:r w:rsidRPr="00260998">
        <w:rPr>
          <w:szCs w:val="24"/>
          <w:u w:val="single"/>
        </w:rPr>
        <w:t>CONCLUSIONS OF LAW</w:t>
      </w:r>
    </w:p>
    <w:p w:rsidR="001E12CE" w:rsidRPr="00260998" w:rsidRDefault="001E12CE" w:rsidP="001E12CE">
      <w:pPr>
        <w:spacing w:after="0"/>
        <w:jc w:val="center"/>
        <w:rPr>
          <w:szCs w:val="24"/>
          <w:u w:val="single"/>
        </w:rPr>
      </w:pPr>
    </w:p>
    <w:p w:rsidR="001E12CE" w:rsidRDefault="001E12CE" w:rsidP="001E12CE">
      <w:pPr>
        <w:spacing w:after="0"/>
        <w:ind w:firstLine="1440"/>
      </w:pPr>
      <w:r w:rsidRPr="00A70FF2">
        <w:t>1.</w:t>
      </w:r>
      <w:r w:rsidRPr="00A70FF2">
        <w:tab/>
        <w:t>The Commission has jurisdiction over the subject matter and parties to this proceeding.</w:t>
      </w:r>
      <w:r w:rsidR="009768B2">
        <w:t xml:space="preserve">  66 Pa.C.S. § 701.</w:t>
      </w:r>
    </w:p>
    <w:p w:rsidR="001E12CE" w:rsidRPr="00A70FF2" w:rsidRDefault="001E12CE" w:rsidP="001E12CE">
      <w:pPr>
        <w:spacing w:after="0"/>
        <w:ind w:firstLine="1440"/>
      </w:pPr>
    </w:p>
    <w:p w:rsidR="001E12CE" w:rsidRDefault="001E12CE" w:rsidP="001E12CE">
      <w:pPr>
        <w:spacing w:after="0"/>
        <w:ind w:firstLine="1440"/>
      </w:pPr>
      <w:r w:rsidRPr="00A70FF2">
        <w:t>2.</w:t>
      </w:r>
      <w:r w:rsidRPr="00A70FF2">
        <w:tab/>
      </w:r>
      <w:r>
        <w:t>There is no evidence that PECO violated the Public Utility Code or any rules, regulations or orders of the Commission</w:t>
      </w:r>
      <w:r w:rsidRPr="00A70FF2">
        <w:t>.</w:t>
      </w:r>
    </w:p>
    <w:p w:rsidR="001E12CE" w:rsidRPr="00A70FF2" w:rsidRDefault="001E12CE" w:rsidP="001E12CE">
      <w:pPr>
        <w:spacing w:after="0"/>
        <w:ind w:firstLine="1440"/>
      </w:pPr>
    </w:p>
    <w:p w:rsidR="001E12CE" w:rsidRDefault="001E12CE" w:rsidP="001E12CE">
      <w:pPr>
        <w:spacing w:after="0"/>
        <w:ind w:firstLine="1440"/>
      </w:pPr>
      <w:r w:rsidRPr="00A70FF2">
        <w:t>3.</w:t>
      </w:r>
      <w:r w:rsidRPr="00A70FF2">
        <w:tab/>
        <w:t xml:space="preserve">The Commission is authorized to establish payment </w:t>
      </w:r>
      <w:r w:rsidR="00984B69">
        <w:t>arrangements</w:t>
      </w:r>
      <w:r w:rsidRPr="00A70FF2">
        <w:t xml:space="preserve"> between a public utility and customers within the limits established in Chapter 14 of the Public Utility Code.</w:t>
      </w:r>
      <w:r w:rsidR="009768B2">
        <w:t xml:space="preserve">  66 Pa.C.S. § 1405.</w:t>
      </w:r>
    </w:p>
    <w:p w:rsidR="001E12CE" w:rsidRDefault="001E12CE" w:rsidP="001E12CE">
      <w:pPr>
        <w:spacing w:after="0"/>
        <w:ind w:firstLine="1440"/>
      </w:pPr>
    </w:p>
    <w:p w:rsidR="001E12CE" w:rsidRDefault="001E12CE" w:rsidP="001E12CE">
      <w:pPr>
        <w:tabs>
          <w:tab w:val="left" w:pos="0"/>
        </w:tabs>
        <w:spacing w:after="0"/>
        <w:jc w:val="center"/>
        <w:rPr>
          <w:u w:val="single"/>
        </w:rPr>
      </w:pPr>
      <w:r w:rsidRPr="008B54B1">
        <w:rPr>
          <w:u w:val="single"/>
        </w:rPr>
        <w:t>ORDER</w:t>
      </w:r>
    </w:p>
    <w:p w:rsidR="0029172B" w:rsidRPr="008B54B1" w:rsidRDefault="0029172B" w:rsidP="001E12CE">
      <w:pPr>
        <w:tabs>
          <w:tab w:val="left" w:pos="0"/>
        </w:tabs>
        <w:spacing w:after="0"/>
        <w:jc w:val="center"/>
        <w:rPr>
          <w:u w:val="single"/>
        </w:rPr>
      </w:pPr>
    </w:p>
    <w:p w:rsidR="001E12CE" w:rsidRDefault="001E12CE" w:rsidP="001E12CE">
      <w:pPr>
        <w:tabs>
          <w:tab w:val="left" w:pos="0"/>
        </w:tabs>
        <w:spacing w:after="0"/>
      </w:pPr>
      <w:r w:rsidRPr="00A70FF2">
        <w:tab/>
      </w:r>
      <w:r w:rsidRPr="00A70FF2">
        <w:tab/>
      </w:r>
    </w:p>
    <w:p w:rsidR="001E12CE" w:rsidRDefault="001E12CE" w:rsidP="001E12CE">
      <w:pPr>
        <w:spacing w:after="0"/>
      </w:pPr>
      <w:r>
        <w:tab/>
      </w:r>
      <w:r w:rsidRPr="00A70FF2">
        <w:t>THEREFORE,</w:t>
      </w:r>
    </w:p>
    <w:p w:rsidR="001E12CE" w:rsidRPr="00A70FF2" w:rsidRDefault="001E12CE" w:rsidP="001E12CE">
      <w:pPr>
        <w:spacing w:after="0"/>
      </w:pPr>
    </w:p>
    <w:p w:rsidR="001E12CE" w:rsidRDefault="001E12CE" w:rsidP="001E12CE">
      <w:pPr>
        <w:spacing w:after="0"/>
      </w:pPr>
      <w:r w:rsidRPr="00A70FF2">
        <w:tab/>
        <w:t>IT IS ORDERED:</w:t>
      </w:r>
    </w:p>
    <w:p w:rsidR="001E12CE" w:rsidRDefault="001E12CE" w:rsidP="001E12CE">
      <w:pPr>
        <w:spacing w:after="0"/>
      </w:pPr>
    </w:p>
    <w:p w:rsidR="001E12CE" w:rsidRDefault="001E12CE" w:rsidP="001E12CE">
      <w:pPr>
        <w:tabs>
          <w:tab w:val="left" w:pos="-1440"/>
          <w:tab w:val="left" w:pos="-720"/>
        </w:tabs>
        <w:suppressAutoHyphens/>
        <w:spacing w:after="0"/>
        <w:ind w:firstLine="1440"/>
        <w:rPr>
          <w:szCs w:val="24"/>
        </w:rPr>
      </w:pPr>
      <w:r w:rsidRPr="004849AA">
        <w:rPr>
          <w:spacing w:val="-3"/>
          <w:szCs w:val="24"/>
        </w:rPr>
        <w:t>1.</w:t>
      </w:r>
      <w:r w:rsidRPr="004849AA">
        <w:rPr>
          <w:spacing w:val="-3"/>
          <w:szCs w:val="24"/>
        </w:rPr>
        <w:tab/>
        <w:t xml:space="preserve">That </w:t>
      </w:r>
      <w:r w:rsidRPr="00A70FF2">
        <w:t xml:space="preserve">the formal </w:t>
      </w:r>
      <w:r>
        <w:t>c</w:t>
      </w:r>
      <w:r w:rsidRPr="00A70FF2">
        <w:t xml:space="preserve">omplaint filed by </w:t>
      </w:r>
      <w:r>
        <w:t>Robert W. and Virginia D. Coyne at Docket No. C-2014-2448576</w:t>
      </w:r>
      <w:r w:rsidRPr="00A70FF2">
        <w:t xml:space="preserve"> </w:t>
      </w:r>
      <w:r>
        <w:t xml:space="preserve">is </w:t>
      </w:r>
      <w:r w:rsidRPr="00A70FF2">
        <w:t>dismissed in part and sustained in part.</w:t>
      </w:r>
      <w:r>
        <w:t xml:space="preserve">  The complaint is sustained to the extent it requests a payment arrangement and dismissed in all other respects</w:t>
      </w:r>
      <w:r w:rsidRPr="004849AA">
        <w:rPr>
          <w:spacing w:val="-3"/>
          <w:szCs w:val="24"/>
        </w:rPr>
        <w:t>.</w:t>
      </w:r>
    </w:p>
    <w:p w:rsidR="001E12CE" w:rsidRPr="004849AA" w:rsidRDefault="001E12CE" w:rsidP="001E12CE">
      <w:pPr>
        <w:autoSpaceDE w:val="0"/>
        <w:autoSpaceDN w:val="0"/>
        <w:spacing w:after="0"/>
        <w:ind w:firstLine="1440"/>
        <w:rPr>
          <w:szCs w:val="24"/>
        </w:rPr>
      </w:pPr>
    </w:p>
    <w:p w:rsidR="001E12CE" w:rsidRDefault="001E12CE" w:rsidP="001E12CE">
      <w:pPr>
        <w:autoSpaceDE w:val="0"/>
        <w:autoSpaceDN w:val="0"/>
        <w:spacing w:after="0"/>
        <w:ind w:firstLine="1440"/>
        <w:rPr>
          <w:szCs w:val="24"/>
        </w:rPr>
      </w:pPr>
      <w:r>
        <w:rPr>
          <w:spacing w:val="-3"/>
          <w:szCs w:val="24"/>
        </w:rPr>
        <w:t>2</w:t>
      </w:r>
      <w:r w:rsidRPr="004849AA">
        <w:rPr>
          <w:spacing w:val="-3"/>
          <w:szCs w:val="24"/>
        </w:rPr>
        <w:t>.</w:t>
      </w:r>
      <w:r w:rsidRPr="004849AA">
        <w:rPr>
          <w:spacing w:val="-3"/>
          <w:szCs w:val="24"/>
        </w:rPr>
        <w:tab/>
      </w:r>
      <w:r w:rsidRPr="004849AA">
        <w:rPr>
          <w:szCs w:val="24"/>
        </w:rPr>
        <w:t xml:space="preserve">That </w:t>
      </w:r>
      <w:r>
        <w:t>Robert W. and Virginia D. Coyne</w:t>
      </w:r>
      <w:r w:rsidRPr="00A70FF2">
        <w:t xml:space="preserve"> shall pay </w:t>
      </w:r>
      <w:r>
        <w:t>PECO Energy Company</w:t>
      </w:r>
      <w:r w:rsidRPr="00A70FF2">
        <w:t xml:space="preserve"> on or before the due date for payment of each monthly bill, the monthly budget amount fo</w:t>
      </w:r>
      <w:r>
        <w:t xml:space="preserve">r </w:t>
      </w:r>
      <w:r>
        <w:lastRenderedPageBreak/>
        <w:t>current consumption, plus 1/24</w:t>
      </w:r>
      <w:r w:rsidRPr="00A70FF2">
        <w:t xml:space="preserve">th of the arrearage owed on </w:t>
      </w:r>
      <w:r w:rsidR="008C7D5F">
        <w:t>t</w:t>
      </w:r>
      <w:r w:rsidRPr="00A70FF2">
        <w: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r w:rsidRPr="004849AA">
        <w:rPr>
          <w:szCs w:val="24"/>
        </w:rPr>
        <w:t>.</w:t>
      </w:r>
    </w:p>
    <w:p w:rsidR="001E12CE" w:rsidRPr="004849AA" w:rsidRDefault="001E12CE" w:rsidP="001E12CE">
      <w:pPr>
        <w:autoSpaceDE w:val="0"/>
        <w:autoSpaceDN w:val="0"/>
        <w:spacing w:after="0"/>
        <w:ind w:firstLine="1440"/>
        <w:rPr>
          <w:szCs w:val="24"/>
        </w:rPr>
      </w:pPr>
    </w:p>
    <w:p w:rsidR="001E12CE" w:rsidRDefault="001E12CE" w:rsidP="00DF01FF">
      <w:pPr>
        <w:autoSpaceDE w:val="0"/>
        <w:autoSpaceDN w:val="0"/>
        <w:spacing w:after="0"/>
        <w:ind w:firstLine="1440"/>
        <w:rPr>
          <w:szCs w:val="24"/>
        </w:rPr>
      </w:pPr>
      <w:r>
        <w:rPr>
          <w:spacing w:val="-3"/>
          <w:szCs w:val="24"/>
        </w:rPr>
        <w:t>3</w:t>
      </w:r>
      <w:r w:rsidRPr="004849AA">
        <w:rPr>
          <w:spacing w:val="-3"/>
          <w:szCs w:val="24"/>
        </w:rPr>
        <w:t>.</w:t>
      </w:r>
      <w:r w:rsidRPr="004849AA">
        <w:rPr>
          <w:spacing w:val="-3"/>
          <w:szCs w:val="24"/>
        </w:rPr>
        <w:tab/>
      </w:r>
      <w:r w:rsidRPr="004849AA">
        <w:rPr>
          <w:szCs w:val="24"/>
        </w:rPr>
        <w:t>That</w:t>
      </w:r>
      <w:r w:rsidRPr="00A70FF2">
        <w:t xml:space="preserve">, so long as </w:t>
      </w:r>
      <w:r>
        <w:t>Robert W. and Virginia D. Coyne</w:t>
      </w:r>
      <w:r w:rsidRPr="00A70FF2">
        <w:t xml:space="preserve"> adhere to the terms of this Order, </w:t>
      </w:r>
      <w:r>
        <w:t>PECO Energy Company</w:t>
      </w:r>
      <w:r w:rsidRPr="00A70FF2">
        <w:t xml:space="preserve"> shall not assess any late payment charges nor shall </w:t>
      </w:r>
      <w:r>
        <w:t>PECO Energy Company</w:t>
      </w:r>
      <w:r w:rsidRPr="00A70FF2">
        <w:t xml:space="preserve"> terminate service to </w:t>
      </w:r>
      <w:r>
        <w:t>the Coynes</w:t>
      </w:r>
      <w:r w:rsidRPr="00A70FF2">
        <w:t>, except for valid safety and/or emergency reasons</w:t>
      </w:r>
      <w:r w:rsidRPr="004849AA">
        <w:rPr>
          <w:szCs w:val="24"/>
        </w:rPr>
        <w:t>.</w:t>
      </w:r>
    </w:p>
    <w:p w:rsidR="001E12CE" w:rsidRDefault="001E12CE" w:rsidP="00DF01FF">
      <w:pPr>
        <w:autoSpaceDE w:val="0"/>
        <w:autoSpaceDN w:val="0"/>
        <w:spacing w:after="0"/>
        <w:ind w:firstLine="1440"/>
        <w:rPr>
          <w:szCs w:val="24"/>
        </w:rPr>
      </w:pPr>
    </w:p>
    <w:p w:rsidR="001E12CE" w:rsidRDefault="001E12CE" w:rsidP="00DF01FF">
      <w:pPr>
        <w:autoSpaceDE w:val="0"/>
        <w:autoSpaceDN w:val="0"/>
        <w:spacing w:after="0"/>
        <w:ind w:firstLine="1440"/>
        <w:rPr>
          <w:szCs w:val="24"/>
        </w:rPr>
      </w:pPr>
      <w:r>
        <w:rPr>
          <w:szCs w:val="24"/>
        </w:rPr>
        <w:t>4.</w:t>
      </w:r>
      <w:r>
        <w:rPr>
          <w:szCs w:val="24"/>
        </w:rPr>
        <w:tab/>
        <w:t xml:space="preserve">That, if  </w:t>
      </w:r>
      <w:r>
        <w:t>Robert W. and Virginia D. Coyne</w:t>
      </w:r>
      <w:r w:rsidRPr="00A70FF2">
        <w:t xml:space="preserve"> </w:t>
      </w:r>
      <w:r>
        <w:t xml:space="preserve">fail </w:t>
      </w:r>
      <w:r>
        <w:rPr>
          <w:szCs w:val="24"/>
        </w:rPr>
        <w:t>to keep the payment schedule stated in this order, PECO Energy Company is authorized to suspend or terminate his utility service in accordance with the Commission’s statute and regulations.</w:t>
      </w:r>
    </w:p>
    <w:p w:rsidR="001E12CE" w:rsidRDefault="001E12CE" w:rsidP="00DF01FF">
      <w:pPr>
        <w:autoSpaceDE w:val="0"/>
        <w:autoSpaceDN w:val="0"/>
        <w:spacing w:after="0"/>
        <w:ind w:firstLine="1440"/>
        <w:rPr>
          <w:szCs w:val="24"/>
        </w:rPr>
      </w:pPr>
    </w:p>
    <w:p w:rsidR="001E12CE" w:rsidRPr="004849AA" w:rsidRDefault="001E12CE" w:rsidP="00DF01FF">
      <w:pPr>
        <w:autoSpaceDE w:val="0"/>
        <w:autoSpaceDN w:val="0"/>
        <w:spacing w:after="0"/>
        <w:ind w:firstLine="1440"/>
        <w:rPr>
          <w:szCs w:val="24"/>
        </w:rPr>
      </w:pPr>
      <w:r>
        <w:rPr>
          <w:szCs w:val="24"/>
        </w:rPr>
        <w:t>5.</w:t>
      </w:r>
      <w:r>
        <w:rPr>
          <w:szCs w:val="24"/>
        </w:rPr>
        <w:tab/>
        <w:t>That the Secretary mark this docket closed and discontinued.</w:t>
      </w:r>
    </w:p>
    <w:p w:rsidR="001E12CE" w:rsidRDefault="001E12CE" w:rsidP="00DF01FF">
      <w:pPr>
        <w:spacing w:after="0"/>
      </w:pPr>
    </w:p>
    <w:p w:rsidR="000D0B02" w:rsidRDefault="000D0B02" w:rsidP="00DF01FF">
      <w:pPr>
        <w:spacing w:after="0"/>
      </w:pPr>
    </w:p>
    <w:p w:rsidR="00DF01FF" w:rsidRPr="00F83993" w:rsidRDefault="00DF01FF" w:rsidP="00DF01FF">
      <w:pPr>
        <w:spacing w:after="0"/>
      </w:pPr>
    </w:p>
    <w:p w:rsidR="00603619" w:rsidRDefault="00603619" w:rsidP="00603619">
      <w:pPr>
        <w:spacing w:after="0" w:line="240" w:lineRule="auto"/>
      </w:pPr>
      <w:r>
        <w:t xml:space="preserve">Dated:  </w:t>
      </w:r>
      <w:r w:rsidRPr="00603619">
        <w:rPr>
          <w:u w:val="single"/>
        </w:rPr>
        <w:t>June 3, 2015</w:t>
      </w:r>
      <w:r w:rsidRPr="00603619">
        <w:tab/>
      </w:r>
      <w:r>
        <w:tab/>
      </w:r>
      <w:r>
        <w:tab/>
      </w:r>
      <w:r>
        <w:tab/>
      </w:r>
      <w:r>
        <w:tab/>
      </w:r>
      <w:r>
        <w:tab/>
      </w:r>
      <w:r>
        <w:rPr>
          <w:u w:val="single"/>
        </w:rPr>
        <w:tab/>
      </w:r>
      <w:r>
        <w:rPr>
          <w:u w:val="single"/>
        </w:rPr>
        <w:tab/>
        <w:t>/s/</w:t>
      </w:r>
      <w:r>
        <w:rPr>
          <w:u w:val="single"/>
        </w:rPr>
        <w:tab/>
      </w:r>
      <w:r>
        <w:rPr>
          <w:u w:val="single"/>
        </w:rPr>
        <w:tab/>
      </w:r>
      <w:r>
        <w:rPr>
          <w:u w:val="single"/>
        </w:rPr>
        <w:tab/>
      </w:r>
    </w:p>
    <w:p w:rsidR="00603619" w:rsidRDefault="00603619" w:rsidP="00603619">
      <w:pPr>
        <w:spacing w:after="0" w:line="240" w:lineRule="auto"/>
      </w:pPr>
      <w:r>
        <w:tab/>
      </w:r>
      <w:r>
        <w:tab/>
      </w:r>
      <w:r>
        <w:tab/>
      </w:r>
      <w:r>
        <w:tab/>
      </w:r>
      <w:r>
        <w:tab/>
      </w:r>
      <w:r>
        <w:tab/>
      </w:r>
      <w:r>
        <w:tab/>
        <w:t>Mary D. Long</w:t>
      </w:r>
    </w:p>
    <w:p w:rsidR="00603619" w:rsidRDefault="00603619" w:rsidP="00603619">
      <w:pPr>
        <w:spacing w:after="0" w:line="240" w:lineRule="auto"/>
      </w:pPr>
      <w:r>
        <w:tab/>
      </w:r>
      <w:r>
        <w:tab/>
      </w:r>
      <w:r>
        <w:tab/>
      </w:r>
      <w:r>
        <w:tab/>
      </w:r>
      <w:r>
        <w:tab/>
      </w:r>
      <w:r>
        <w:tab/>
      </w:r>
      <w:r>
        <w:tab/>
        <w:t>Administrative Law Judge</w:t>
      </w:r>
    </w:p>
    <w:p w:rsidR="00F83993" w:rsidRDefault="00F83993" w:rsidP="00F83993"/>
    <w:sectPr w:rsidR="00F83993" w:rsidSect="002C181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6A" w:rsidRDefault="00924C6A" w:rsidP="002C1817">
      <w:pPr>
        <w:spacing w:after="0" w:line="240" w:lineRule="auto"/>
      </w:pPr>
      <w:r>
        <w:separator/>
      </w:r>
    </w:p>
  </w:endnote>
  <w:endnote w:type="continuationSeparator" w:id="0">
    <w:p w:rsidR="00924C6A" w:rsidRDefault="00924C6A" w:rsidP="002C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665641"/>
      <w:docPartObj>
        <w:docPartGallery w:val="Page Numbers (Bottom of Page)"/>
        <w:docPartUnique/>
      </w:docPartObj>
    </w:sdtPr>
    <w:sdtEndPr>
      <w:rPr>
        <w:noProof/>
        <w:sz w:val="20"/>
      </w:rPr>
    </w:sdtEndPr>
    <w:sdtContent>
      <w:p w:rsidR="002C1817" w:rsidRPr="00BE7E3B" w:rsidRDefault="002C1817">
        <w:pPr>
          <w:pStyle w:val="Footer"/>
          <w:jc w:val="center"/>
          <w:rPr>
            <w:sz w:val="20"/>
          </w:rPr>
        </w:pPr>
        <w:r w:rsidRPr="00BE7E3B">
          <w:rPr>
            <w:sz w:val="20"/>
          </w:rPr>
          <w:fldChar w:fldCharType="begin"/>
        </w:r>
        <w:r w:rsidRPr="00BE7E3B">
          <w:rPr>
            <w:sz w:val="20"/>
          </w:rPr>
          <w:instrText xml:space="preserve"> PAGE   \* MERGEFORMAT </w:instrText>
        </w:r>
        <w:r w:rsidRPr="00BE7E3B">
          <w:rPr>
            <w:sz w:val="20"/>
          </w:rPr>
          <w:fldChar w:fldCharType="separate"/>
        </w:r>
        <w:r w:rsidR="00197A55">
          <w:rPr>
            <w:noProof/>
            <w:sz w:val="20"/>
          </w:rPr>
          <w:t>4</w:t>
        </w:r>
        <w:r w:rsidRPr="00BE7E3B">
          <w:rPr>
            <w:noProof/>
            <w:sz w:val="20"/>
          </w:rPr>
          <w:fldChar w:fldCharType="end"/>
        </w:r>
      </w:p>
    </w:sdtContent>
  </w:sdt>
  <w:p w:rsidR="002C1817" w:rsidRDefault="002C1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6A" w:rsidRDefault="00924C6A" w:rsidP="002C1817">
      <w:pPr>
        <w:spacing w:after="0" w:line="240" w:lineRule="auto"/>
      </w:pPr>
      <w:r>
        <w:separator/>
      </w:r>
    </w:p>
  </w:footnote>
  <w:footnote w:type="continuationSeparator" w:id="0">
    <w:p w:rsidR="00924C6A" w:rsidRDefault="00924C6A" w:rsidP="002C1817">
      <w:pPr>
        <w:spacing w:after="0" w:line="240" w:lineRule="auto"/>
      </w:pPr>
      <w:r>
        <w:continuationSeparator/>
      </w:r>
    </w:p>
  </w:footnote>
  <w:footnote w:id="1">
    <w:p w:rsidR="00F83993" w:rsidRDefault="00F83993" w:rsidP="0047409E">
      <w:pPr>
        <w:pStyle w:val="FootnoteText"/>
        <w:spacing w:after="0"/>
        <w:ind w:firstLine="720"/>
      </w:pPr>
      <w:r>
        <w:rPr>
          <w:rStyle w:val="FootnoteReference"/>
        </w:rPr>
        <w:footnoteRef/>
      </w:r>
      <w:r>
        <w:t xml:space="preserve"> </w:t>
      </w:r>
      <w:r>
        <w:tab/>
      </w:r>
      <w:proofErr w:type="gramStart"/>
      <w:r>
        <w:t>66 Pa.C.S.</w:t>
      </w:r>
      <w:proofErr w:type="gramEnd"/>
      <w:r>
        <w:t xml:space="preserve"> § 332(a).</w:t>
      </w:r>
    </w:p>
    <w:p w:rsidR="00A66B81" w:rsidRDefault="00A66B81" w:rsidP="0047409E">
      <w:pPr>
        <w:pStyle w:val="FootnoteText"/>
        <w:spacing w:after="0"/>
        <w:ind w:firstLine="720"/>
      </w:pPr>
    </w:p>
  </w:footnote>
  <w:footnote w:id="2">
    <w:p w:rsidR="00F83993" w:rsidRDefault="00F83993" w:rsidP="0047409E">
      <w:pPr>
        <w:pStyle w:val="FootnoteText"/>
        <w:spacing w:after="0"/>
        <w:ind w:firstLine="720"/>
      </w:pPr>
      <w:r>
        <w:rPr>
          <w:rStyle w:val="FootnoteReference"/>
        </w:rPr>
        <w:footnoteRef/>
      </w:r>
      <w:r>
        <w:t xml:space="preserve"> </w:t>
      </w:r>
      <w:r>
        <w:tab/>
      </w:r>
      <w:proofErr w:type="gramStart"/>
      <w:r>
        <w:rPr>
          <w:i/>
        </w:rPr>
        <w:t>Se-Ling Hosiery, Inc. v. Margulies</w:t>
      </w:r>
      <w:r>
        <w:t xml:space="preserve">, 70 A.2d 854 (Pa. 1950); </w:t>
      </w:r>
      <w:r>
        <w:rPr>
          <w:i/>
        </w:rPr>
        <w:t>Feinstein v. Philadelphia Suburban Water Company</w:t>
      </w:r>
      <w:r>
        <w:t>, 50 Pa. PUC 300 (1976).</w:t>
      </w:r>
      <w:proofErr w:type="gramEnd"/>
    </w:p>
    <w:p w:rsidR="00A66B81" w:rsidRDefault="00A66B81" w:rsidP="0047409E">
      <w:pPr>
        <w:pStyle w:val="FootnoteText"/>
        <w:spacing w:after="0"/>
        <w:ind w:firstLine="720"/>
      </w:pPr>
    </w:p>
  </w:footnote>
  <w:footnote w:id="3">
    <w:p w:rsidR="00F83993" w:rsidRDefault="00F83993" w:rsidP="0047409E">
      <w:pPr>
        <w:pStyle w:val="FootnoteText"/>
        <w:spacing w:after="0"/>
        <w:ind w:firstLine="720"/>
      </w:pPr>
      <w:r>
        <w:rPr>
          <w:rStyle w:val="FootnoteReference"/>
        </w:rPr>
        <w:footnoteRef/>
      </w:r>
      <w:r>
        <w:t xml:space="preserve"> </w:t>
      </w:r>
      <w:r>
        <w:tab/>
      </w:r>
      <w:proofErr w:type="gramStart"/>
      <w:r>
        <w:t>66 Pa.C.S.</w:t>
      </w:r>
      <w:proofErr w:type="gramEnd"/>
      <w:r>
        <w:t xml:space="preserve"> § 701.</w:t>
      </w:r>
    </w:p>
    <w:p w:rsidR="00A66B81" w:rsidRDefault="00A66B81" w:rsidP="0047409E">
      <w:pPr>
        <w:pStyle w:val="FootnoteText"/>
        <w:spacing w:after="0"/>
        <w:ind w:firstLine="720"/>
      </w:pPr>
    </w:p>
  </w:footnote>
  <w:footnote w:id="4">
    <w:p w:rsidR="00017DDF" w:rsidRDefault="00017DDF" w:rsidP="0047409E">
      <w:pPr>
        <w:pStyle w:val="FootnoteText"/>
        <w:spacing w:after="0"/>
        <w:ind w:firstLine="720"/>
      </w:pPr>
      <w:r>
        <w:rPr>
          <w:rStyle w:val="FootnoteReference"/>
        </w:rPr>
        <w:footnoteRef/>
      </w:r>
      <w:r>
        <w:t xml:space="preserve"> </w:t>
      </w:r>
      <w:r>
        <w:tab/>
        <w:t xml:space="preserve">A tariff is a set of operating rules and rates imposed by the Commission that each public utility must follow in order to provide service to its customers.  </w:t>
      </w:r>
      <w:proofErr w:type="gramStart"/>
      <w:r>
        <w:t>66 Pa.C.S.</w:t>
      </w:r>
      <w:proofErr w:type="gramEnd"/>
      <w:r>
        <w:t xml:space="preserve"> § 102.</w:t>
      </w:r>
    </w:p>
    <w:p w:rsidR="0047409E" w:rsidRDefault="0047409E" w:rsidP="0047409E">
      <w:pPr>
        <w:pStyle w:val="FootnoteText"/>
        <w:spacing w:after="0"/>
        <w:ind w:firstLine="720"/>
      </w:pPr>
    </w:p>
  </w:footnote>
  <w:footnote w:id="5">
    <w:p w:rsidR="000D0B02" w:rsidRDefault="000D0B02" w:rsidP="0047409E">
      <w:pPr>
        <w:pStyle w:val="FootnoteText"/>
        <w:spacing w:after="0"/>
        <w:ind w:firstLine="720"/>
      </w:pPr>
      <w:r>
        <w:rPr>
          <w:rStyle w:val="FootnoteReference"/>
        </w:rPr>
        <w:footnoteRef/>
      </w:r>
      <w:r>
        <w:t xml:space="preserve"> </w:t>
      </w:r>
      <w:r>
        <w:tab/>
      </w:r>
      <w:proofErr w:type="gramStart"/>
      <w:r w:rsidRPr="000637F9">
        <w:rPr>
          <w:i/>
        </w:rPr>
        <w:t>Shenango Township Board of Supervisors v. Pa. Pub</w:t>
      </w:r>
      <w:r>
        <w:rPr>
          <w:i/>
        </w:rPr>
        <w:t>.</w:t>
      </w:r>
      <w:proofErr w:type="gramEnd"/>
      <w:r w:rsidRPr="000637F9">
        <w:rPr>
          <w:i/>
        </w:rPr>
        <w:t xml:space="preserve"> </w:t>
      </w:r>
      <w:proofErr w:type="gramStart"/>
      <w:r w:rsidRPr="000637F9">
        <w:rPr>
          <w:i/>
        </w:rPr>
        <w:t>Util. Comm’n</w:t>
      </w:r>
      <w:r>
        <w:t>, 606 A.2d 910, 913 (</w:t>
      </w:r>
      <w:proofErr w:type="spellStart"/>
      <w:r>
        <w:t>Pa.Cmwlth</w:t>
      </w:r>
      <w:proofErr w:type="spellEnd"/>
      <w:r>
        <w:t>. 1996).</w:t>
      </w:r>
      <w:proofErr w:type="gramEnd"/>
    </w:p>
    <w:p w:rsidR="000D0B02" w:rsidRPr="00A95553" w:rsidRDefault="000D0B02" w:rsidP="0047409E">
      <w:pPr>
        <w:pStyle w:val="FootnoteText"/>
        <w:spacing w:after="0"/>
      </w:pPr>
    </w:p>
  </w:footnote>
  <w:footnote w:id="6">
    <w:p w:rsidR="000D0B02" w:rsidRDefault="000D0B02" w:rsidP="0047409E">
      <w:pPr>
        <w:pStyle w:val="FootnoteText"/>
        <w:spacing w:after="0"/>
        <w:ind w:firstLine="720"/>
      </w:pPr>
      <w:r>
        <w:rPr>
          <w:rStyle w:val="FootnoteReference"/>
        </w:rPr>
        <w:footnoteRef/>
      </w:r>
      <w:r>
        <w:t xml:space="preserve"> </w:t>
      </w:r>
      <w:r>
        <w:tab/>
      </w:r>
      <w:r w:rsidRPr="00681321">
        <w:rPr>
          <w:i/>
        </w:rPr>
        <w:t>Id</w:t>
      </w:r>
      <w:r>
        <w:t>.</w:t>
      </w:r>
    </w:p>
    <w:p w:rsidR="00A66B81" w:rsidRPr="00A95553" w:rsidRDefault="00A66B81" w:rsidP="0047409E">
      <w:pPr>
        <w:pStyle w:val="FootnoteText"/>
        <w:spacing w:after="0"/>
        <w:ind w:firstLine="720"/>
      </w:pPr>
    </w:p>
  </w:footnote>
  <w:footnote w:id="7">
    <w:p w:rsidR="000D0B02" w:rsidRDefault="000D0B02" w:rsidP="0047409E">
      <w:pPr>
        <w:pStyle w:val="FootnoteText"/>
        <w:spacing w:after="0"/>
        <w:ind w:firstLine="720"/>
      </w:pPr>
      <w:r>
        <w:rPr>
          <w:rStyle w:val="FootnoteReference"/>
        </w:rPr>
        <w:footnoteRef/>
      </w:r>
      <w:r>
        <w:tab/>
      </w:r>
      <w:r w:rsidRPr="00681321">
        <w:rPr>
          <w:i/>
        </w:rPr>
        <w:t>Id</w:t>
      </w:r>
      <w:r>
        <w:t>.</w:t>
      </w:r>
    </w:p>
    <w:p w:rsidR="00A66B81" w:rsidRPr="0070171B" w:rsidRDefault="00A66B81" w:rsidP="0047409E">
      <w:pPr>
        <w:pStyle w:val="FootnoteText"/>
        <w:spacing w:after="0"/>
        <w:ind w:firstLine="720"/>
      </w:pPr>
    </w:p>
  </w:footnote>
  <w:footnote w:id="8">
    <w:p w:rsidR="00017DDF" w:rsidRDefault="00017DDF" w:rsidP="00832740">
      <w:pPr>
        <w:pStyle w:val="FootnoteText"/>
        <w:spacing w:after="0"/>
        <w:ind w:firstLine="720"/>
      </w:pPr>
      <w:r>
        <w:rPr>
          <w:rStyle w:val="FootnoteReference"/>
        </w:rPr>
        <w:footnoteRef/>
      </w:r>
      <w:r>
        <w:t xml:space="preserve">  </w:t>
      </w:r>
      <w:r>
        <w:tab/>
      </w:r>
      <w:r>
        <w:rPr>
          <w:i/>
        </w:rPr>
        <w:t>Kupchinskas v. PECO Energy Company,</w:t>
      </w:r>
      <w:r>
        <w:t xml:space="preserve"> Docket No. C-2011-2253896 (Initial Decision issued December 9, 2011, Final Order January 10, 2012), at pp. 5-6 (footnotes omitted).  </w:t>
      </w:r>
      <w:r>
        <w:rPr>
          <w:i/>
        </w:rPr>
        <w:t xml:space="preserve">See also </w:t>
      </w:r>
      <w:r w:rsidRPr="00017DDF">
        <w:rPr>
          <w:i/>
        </w:rPr>
        <w:t xml:space="preserve">Herting v PPL Electric Utilities Corporation, </w:t>
      </w:r>
      <w:r w:rsidRPr="00DF01FF">
        <w:t>Docket No.</w:t>
      </w:r>
      <w:r w:rsidRPr="00017DDF">
        <w:rPr>
          <w:i/>
        </w:rPr>
        <w:t xml:space="preserve"> </w:t>
      </w:r>
      <w:r w:rsidRPr="00017DDF">
        <w:t>C-2010-2153688</w:t>
      </w:r>
      <w:r w:rsidR="00B8481C">
        <w:t xml:space="preserve"> (Final Order</w:t>
      </w:r>
      <w:r w:rsidRPr="00017DDF">
        <w:t xml:space="preserve"> entered October 6, 2011</w:t>
      </w:r>
      <w:r w:rsidR="00B8481C">
        <w:t>)</w:t>
      </w:r>
      <w:r w:rsidRPr="00017DDF">
        <w:rPr>
          <w:i/>
        </w:rPr>
        <w:t xml:space="preserve">; </w:t>
      </w:r>
      <w:r w:rsidR="00B8481C" w:rsidRPr="00017DDF">
        <w:rPr>
          <w:i/>
        </w:rPr>
        <w:t xml:space="preserve">Laudenslager v. Duquesne Light Company, </w:t>
      </w:r>
      <w:r w:rsidR="00B8481C" w:rsidRPr="00DF01FF">
        <w:t>Docket No.</w:t>
      </w:r>
      <w:r w:rsidR="00B8481C" w:rsidRPr="00017DDF">
        <w:rPr>
          <w:i/>
        </w:rPr>
        <w:t xml:space="preserve"> </w:t>
      </w:r>
      <w:r w:rsidR="00B8481C" w:rsidRPr="00017DDF">
        <w:t>C-2010-2156300</w:t>
      </w:r>
      <w:r w:rsidR="00B8481C">
        <w:t xml:space="preserve"> (</w:t>
      </w:r>
      <w:proofErr w:type="gramStart"/>
      <w:r w:rsidR="00B8481C">
        <w:t xml:space="preserve">Final </w:t>
      </w:r>
      <w:r w:rsidR="00B8481C" w:rsidRPr="00017DDF">
        <w:t xml:space="preserve"> Order</w:t>
      </w:r>
      <w:proofErr w:type="gramEnd"/>
      <w:r w:rsidR="00B8481C" w:rsidRPr="00017DDF">
        <w:t xml:space="preserve"> entered June 29, 2011</w:t>
      </w:r>
      <w:r w:rsidR="00B8481C">
        <w:t xml:space="preserve">); </w:t>
      </w:r>
      <w:r w:rsidRPr="00017DDF">
        <w:rPr>
          <w:i/>
        </w:rPr>
        <w:t xml:space="preserve">Brickner v PPL Electric Utilities Corporation, </w:t>
      </w:r>
      <w:r w:rsidRPr="00017DDF">
        <w:t>Docket No. C-2009-2105583</w:t>
      </w:r>
      <w:r w:rsidR="00B8481C">
        <w:t xml:space="preserve"> (Final Order </w:t>
      </w:r>
      <w:r w:rsidRPr="00017DDF">
        <w:t>entered May 21, 2010</w:t>
      </w:r>
      <w:r w:rsidR="00B8481C">
        <w:t>).</w:t>
      </w:r>
      <w:r w:rsidRPr="00017DDF">
        <w:t xml:space="preserve">  </w:t>
      </w:r>
    </w:p>
    <w:p w:rsidR="00832740" w:rsidRPr="00017DDF" w:rsidRDefault="00832740" w:rsidP="00832740">
      <w:pPr>
        <w:pStyle w:val="FootnoteText"/>
        <w:spacing w:after="0"/>
        <w:ind w:firstLine="720"/>
      </w:pPr>
    </w:p>
  </w:footnote>
  <w:footnote w:id="9">
    <w:p w:rsidR="00AC61FD" w:rsidRPr="001201E0" w:rsidRDefault="00AC61FD" w:rsidP="00832740">
      <w:pPr>
        <w:pStyle w:val="FootnoteText"/>
        <w:spacing w:after="0"/>
        <w:ind w:firstLine="720"/>
      </w:pPr>
      <w:r>
        <w:rPr>
          <w:rStyle w:val="FootnoteReference"/>
        </w:rPr>
        <w:footnoteRef/>
      </w:r>
      <w:r>
        <w:t xml:space="preserve">  </w:t>
      </w:r>
      <w:r>
        <w:tab/>
      </w:r>
      <w:proofErr w:type="gramStart"/>
      <w:r>
        <w:rPr>
          <w:i/>
        </w:rPr>
        <w:t>Petition of PECO Energy Company for Approval of Its Default Service Program and Rate Mitigation Plan</w:t>
      </w:r>
      <w:r>
        <w:t>, Docket No.</w:t>
      </w:r>
      <w:proofErr w:type="gramEnd"/>
      <w:r>
        <w:t xml:space="preserve"> P-2008-2062739 (Opinion and Order entered June 2, 2009).</w:t>
      </w:r>
    </w:p>
  </w:footnote>
  <w:footnote w:id="10">
    <w:p w:rsidR="00111F6F" w:rsidRDefault="00111F6F" w:rsidP="0025426E">
      <w:pPr>
        <w:pStyle w:val="FootnoteText"/>
        <w:spacing w:after="0"/>
        <w:ind w:firstLine="720"/>
      </w:pPr>
      <w:r>
        <w:rPr>
          <w:rStyle w:val="FootnoteReference"/>
        </w:rPr>
        <w:footnoteRef/>
      </w:r>
      <w:r>
        <w:t xml:space="preserve">  </w:t>
      </w:r>
      <w:r>
        <w:tab/>
        <w:t>See Complainants’ Ex. 2.</w:t>
      </w:r>
    </w:p>
    <w:p w:rsidR="0025426E" w:rsidRDefault="0025426E" w:rsidP="0025426E">
      <w:pPr>
        <w:pStyle w:val="FootnoteText"/>
        <w:spacing w:after="0"/>
        <w:ind w:firstLine="720"/>
      </w:pPr>
    </w:p>
  </w:footnote>
  <w:footnote w:id="11">
    <w:p w:rsidR="001C079D" w:rsidRDefault="001C079D" w:rsidP="0025426E">
      <w:pPr>
        <w:pStyle w:val="FootnoteText"/>
        <w:spacing w:after="0"/>
        <w:ind w:firstLine="720"/>
      </w:pPr>
      <w:r>
        <w:rPr>
          <w:rStyle w:val="FootnoteReference"/>
        </w:rPr>
        <w:footnoteRef/>
      </w:r>
      <w:r>
        <w:t xml:space="preserve">  </w:t>
      </w:r>
      <w:r>
        <w:tab/>
        <w:t>The written formal complaint alleged that PECO was improperly assessing late charges and interest on the account.  At the time of the hearing, PECO had removed those charges and the Complainants withdrew the claim as an allegation in the complaint.</w:t>
      </w:r>
    </w:p>
    <w:p w:rsidR="0025426E" w:rsidRDefault="0025426E" w:rsidP="0025426E">
      <w:pPr>
        <w:pStyle w:val="FootnoteText"/>
        <w:spacing w:after="0"/>
        <w:ind w:firstLine="720"/>
      </w:pPr>
    </w:p>
  </w:footnote>
  <w:footnote w:id="12">
    <w:p w:rsidR="00483AD8" w:rsidRDefault="00483AD8" w:rsidP="0025426E">
      <w:pPr>
        <w:pStyle w:val="FootnoteText"/>
        <w:spacing w:after="0"/>
        <w:ind w:firstLine="720"/>
      </w:pPr>
      <w:r>
        <w:rPr>
          <w:rStyle w:val="FootnoteReference"/>
        </w:rPr>
        <w:footnoteRef/>
      </w:r>
      <w:r>
        <w:t xml:space="preserve">  </w:t>
      </w:r>
      <w:r>
        <w:tab/>
      </w:r>
      <w:proofErr w:type="gramStart"/>
      <w:r>
        <w:t>66 Pa.C.S.</w:t>
      </w:r>
      <w:proofErr w:type="gramEnd"/>
      <w:r>
        <w:t xml:space="preserve"> § 1405 (a).</w:t>
      </w:r>
    </w:p>
  </w:footnote>
  <w:footnote w:id="13">
    <w:p w:rsidR="00483AD8" w:rsidRDefault="00483AD8" w:rsidP="00C13C67">
      <w:pPr>
        <w:pStyle w:val="FootnoteText"/>
        <w:spacing w:after="0"/>
        <w:ind w:firstLine="720"/>
      </w:pPr>
      <w:r>
        <w:rPr>
          <w:rStyle w:val="FootnoteReference"/>
        </w:rPr>
        <w:footnoteRef/>
      </w:r>
      <w:r>
        <w:t xml:space="preserve">  </w:t>
      </w:r>
      <w:r>
        <w:tab/>
      </w:r>
      <w:proofErr w:type="gramStart"/>
      <w:r>
        <w:t>66 Pa.C.S.</w:t>
      </w:r>
      <w:proofErr w:type="gramEnd"/>
      <w:r>
        <w:t xml:space="preserve"> § 1405(b</w:t>
      </w:r>
      <w:proofErr w:type="gramStart"/>
      <w:r>
        <w:t>)</w:t>
      </w:r>
      <w:r w:rsidR="00006EE4">
        <w:t>(</w:t>
      </w:r>
      <w:proofErr w:type="gramEnd"/>
      <w:r w:rsidR="00006EE4">
        <w: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67A70"/>
    <w:lvl w:ilvl="0">
      <w:start w:val="1"/>
      <w:numFmt w:val="decimal"/>
      <w:lvlText w:val="%1."/>
      <w:lvlJc w:val="left"/>
      <w:pPr>
        <w:tabs>
          <w:tab w:val="num" w:pos="1800"/>
        </w:tabs>
        <w:ind w:left="1800" w:hanging="360"/>
      </w:pPr>
    </w:lvl>
  </w:abstractNum>
  <w:abstractNum w:abstractNumId="1">
    <w:nsid w:val="FFFFFF7D"/>
    <w:multiLevelType w:val="singleLevel"/>
    <w:tmpl w:val="A9326EB8"/>
    <w:lvl w:ilvl="0">
      <w:start w:val="1"/>
      <w:numFmt w:val="decimal"/>
      <w:lvlText w:val="%1."/>
      <w:lvlJc w:val="left"/>
      <w:pPr>
        <w:tabs>
          <w:tab w:val="num" w:pos="1440"/>
        </w:tabs>
        <w:ind w:left="1440" w:hanging="360"/>
      </w:pPr>
    </w:lvl>
  </w:abstractNum>
  <w:abstractNum w:abstractNumId="2">
    <w:nsid w:val="FFFFFF7E"/>
    <w:multiLevelType w:val="singleLevel"/>
    <w:tmpl w:val="DF66EF84"/>
    <w:lvl w:ilvl="0">
      <w:start w:val="1"/>
      <w:numFmt w:val="decimal"/>
      <w:lvlText w:val="%1."/>
      <w:lvlJc w:val="left"/>
      <w:pPr>
        <w:tabs>
          <w:tab w:val="num" w:pos="1080"/>
        </w:tabs>
        <w:ind w:left="1080" w:hanging="360"/>
      </w:pPr>
    </w:lvl>
  </w:abstractNum>
  <w:abstractNum w:abstractNumId="3">
    <w:nsid w:val="FFFFFF7F"/>
    <w:multiLevelType w:val="singleLevel"/>
    <w:tmpl w:val="F072F884"/>
    <w:lvl w:ilvl="0">
      <w:start w:val="1"/>
      <w:numFmt w:val="decimal"/>
      <w:lvlText w:val="%1."/>
      <w:lvlJc w:val="left"/>
      <w:pPr>
        <w:tabs>
          <w:tab w:val="num" w:pos="720"/>
        </w:tabs>
        <w:ind w:left="720" w:hanging="360"/>
      </w:pPr>
    </w:lvl>
  </w:abstractNum>
  <w:abstractNum w:abstractNumId="4">
    <w:nsid w:val="FFFFFF80"/>
    <w:multiLevelType w:val="singleLevel"/>
    <w:tmpl w:val="F6B41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78A7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0446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9C2D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88407A"/>
    <w:lvl w:ilvl="0">
      <w:start w:val="1"/>
      <w:numFmt w:val="decimal"/>
      <w:lvlText w:val="%1."/>
      <w:lvlJc w:val="left"/>
      <w:pPr>
        <w:tabs>
          <w:tab w:val="num" w:pos="360"/>
        </w:tabs>
        <w:ind w:left="360" w:hanging="360"/>
      </w:pPr>
    </w:lvl>
  </w:abstractNum>
  <w:abstractNum w:abstractNumId="9">
    <w:nsid w:val="FFFFFF89"/>
    <w:multiLevelType w:val="singleLevel"/>
    <w:tmpl w:val="E474C85C"/>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E26AF"/>
    <w:multiLevelType w:val="hybridMultilevel"/>
    <w:tmpl w:val="DBC24588"/>
    <w:lvl w:ilvl="0" w:tplc="F91431FC">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7"/>
  </w:num>
  <w:num w:numId="3">
    <w:abstractNumId w:val="21"/>
  </w:num>
  <w:num w:numId="4">
    <w:abstractNumId w:val="25"/>
  </w:num>
  <w:num w:numId="5">
    <w:abstractNumId w:val="15"/>
  </w:num>
  <w:num w:numId="6">
    <w:abstractNumId w:val="13"/>
  </w:num>
  <w:num w:numId="7">
    <w:abstractNumId w:val="12"/>
  </w:num>
  <w:num w:numId="8">
    <w:abstractNumId w:val="24"/>
  </w:num>
  <w:num w:numId="9">
    <w:abstractNumId w:val="11"/>
  </w:num>
  <w:num w:numId="10">
    <w:abstractNumId w:val="18"/>
  </w:num>
  <w:num w:numId="11">
    <w:abstractNumId w:val="20"/>
  </w:num>
  <w:num w:numId="12">
    <w:abstractNumId w:val="16"/>
  </w:num>
  <w:num w:numId="13">
    <w:abstractNumId w:val="19"/>
  </w:num>
  <w:num w:numId="14">
    <w:abstractNumId w:val="22"/>
  </w:num>
  <w:num w:numId="15">
    <w:abstractNumId w:val="10"/>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AC"/>
    <w:rsid w:val="00004C37"/>
    <w:rsid w:val="00006EE4"/>
    <w:rsid w:val="00017DDF"/>
    <w:rsid w:val="000367EA"/>
    <w:rsid w:val="00056DF7"/>
    <w:rsid w:val="00057307"/>
    <w:rsid w:val="00062F86"/>
    <w:rsid w:val="000874AC"/>
    <w:rsid w:val="000B34F6"/>
    <w:rsid w:val="000D0B02"/>
    <w:rsid w:val="00111F6F"/>
    <w:rsid w:val="00113108"/>
    <w:rsid w:val="001201E0"/>
    <w:rsid w:val="001839FF"/>
    <w:rsid w:val="00191CFF"/>
    <w:rsid w:val="00191FFB"/>
    <w:rsid w:val="00196238"/>
    <w:rsid w:val="00197A55"/>
    <w:rsid w:val="001A620B"/>
    <w:rsid w:val="001B1CBA"/>
    <w:rsid w:val="001C079D"/>
    <w:rsid w:val="001C38F8"/>
    <w:rsid w:val="001E12CE"/>
    <w:rsid w:val="0021023C"/>
    <w:rsid w:val="00213167"/>
    <w:rsid w:val="002512F9"/>
    <w:rsid w:val="002525CD"/>
    <w:rsid w:val="0025426E"/>
    <w:rsid w:val="0029172B"/>
    <w:rsid w:val="002A76FF"/>
    <w:rsid w:val="002C1817"/>
    <w:rsid w:val="002E3114"/>
    <w:rsid w:val="00327144"/>
    <w:rsid w:val="00342083"/>
    <w:rsid w:val="00393C92"/>
    <w:rsid w:val="003C677F"/>
    <w:rsid w:val="003D7854"/>
    <w:rsid w:val="003E7CA4"/>
    <w:rsid w:val="00443010"/>
    <w:rsid w:val="004557B9"/>
    <w:rsid w:val="0047409E"/>
    <w:rsid w:val="00483AD8"/>
    <w:rsid w:val="004B2474"/>
    <w:rsid w:val="004D4961"/>
    <w:rsid w:val="004D523C"/>
    <w:rsid w:val="004E129F"/>
    <w:rsid w:val="004F16BF"/>
    <w:rsid w:val="0053192E"/>
    <w:rsid w:val="00561D6E"/>
    <w:rsid w:val="005A1C17"/>
    <w:rsid w:val="005A2ABA"/>
    <w:rsid w:val="005A4224"/>
    <w:rsid w:val="005C57C7"/>
    <w:rsid w:val="005C672E"/>
    <w:rsid w:val="005F3204"/>
    <w:rsid w:val="00603619"/>
    <w:rsid w:val="0061775F"/>
    <w:rsid w:val="006342B5"/>
    <w:rsid w:val="0064543A"/>
    <w:rsid w:val="00695426"/>
    <w:rsid w:val="006F0329"/>
    <w:rsid w:val="00710DE7"/>
    <w:rsid w:val="0071242D"/>
    <w:rsid w:val="00712E58"/>
    <w:rsid w:val="00713403"/>
    <w:rsid w:val="007170EA"/>
    <w:rsid w:val="00723D26"/>
    <w:rsid w:val="00736009"/>
    <w:rsid w:val="00752E49"/>
    <w:rsid w:val="00792796"/>
    <w:rsid w:val="007A36AA"/>
    <w:rsid w:val="007E6779"/>
    <w:rsid w:val="007F1ED7"/>
    <w:rsid w:val="00814CEF"/>
    <w:rsid w:val="00820B4C"/>
    <w:rsid w:val="00832740"/>
    <w:rsid w:val="00834D28"/>
    <w:rsid w:val="008529D2"/>
    <w:rsid w:val="0087187C"/>
    <w:rsid w:val="00896EA5"/>
    <w:rsid w:val="008C6A75"/>
    <w:rsid w:val="008C7D5F"/>
    <w:rsid w:val="00901652"/>
    <w:rsid w:val="00924C6A"/>
    <w:rsid w:val="009768B2"/>
    <w:rsid w:val="00983CAC"/>
    <w:rsid w:val="00984B69"/>
    <w:rsid w:val="00986B9B"/>
    <w:rsid w:val="009D5AA1"/>
    <w:rsid w:val="00A54518"/>
    <w:rsid w:val="00A66B81"/>
    <w:rsid w:val="00AA2EC5"/>
    <w:rsid w:val="00AB4C73"/>
    <w:rsid w:val="00AC61FD"/>
    <w:rsid w:val="00AE6E20"/>
    <w:rsid w:val="00AE6F47"/>
    <w:rsid w:val="00AF6470"/>
    <w:rsid w:val="00B8481C"/>
    <w:rsid w:val="00B95871"/>
    <w:rsid w:val="00BC6B21"/>
    <w:rsid w:val="00BD1838"/>
    <w:rsid w:val="00BD7E49"/>
    <w:rsid w:val="00BE7E3B"/>
    <w:rsid w:val="00C13C67"/>
    <w:rsid w:val="00C518E3"/>
    <w:rsid w:val="00C87E57"/>
    <w:rsid w:val="00C919A6"/>
    <w:rsid w:val="00CA1A3A"/>
    <w:rsid w:val="00CB3886"/>
    <w:rsid w:val="00CC26AC"/>
    <w:rsid w:val="00D25B04"/>
    <w:rsid w:val="00D25C2B"/>
    <w:rsid w:val="00D32FCA"/>
    <w:rsid w:val="00DC0774"/>
    <w:rsid w:val="00DC4F33"/>
    <w:rsid w:val="00DD5C37"/>
    <w:rsid w:val="00DF01FF"/>
    <w:rsid w:val="00E16CF1"/>
    <w:rsid w:val="00E4239A"/>
    <w:rsid w:val="00E47A7E"/>
    <w:rsid w:val="00E8638A"/>
    <w:rsid w:val="00EA1399"/>
    <w:rsid w:val="00EA1D3B"/>
    <w:rsid w:val="00EA2534"/>
    <w:rsid w:val="00EC1CBA"/>
    <w:rsid w:val="00EC441B"/>
    <w:rsid w:val="00EE7801"/>
    <w:rsid w:val="00EF74D7"/>
    <w:rsid w:val="00F16554"/>
    <w:rsid w:val="00F312DA"/>
    <w:rsid w:val="00F46E2D"/>
    <w:rsid w:val="00F544E1"/>
    <w:rsid w:val="00F83993"/>
    <w:rsid w:val="00F93F3D"/>
    <w:rsid w:val="00FC0A77"/>
    <w:rsid w:val="00FC3DC1"/>
    <w:rsid w:val="00FD0BC4"/>
    <w:rsid w:val="00FD5C10"/>
    <w:rsid w:val="00FD7C19"/>
    <w:rsid w:val="00FE0588"/>
    <w:rsid w:val="00FE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A1399"/>
    <w:pPr>
      <w:spacing w:after="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2C181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C1817"/>
    <w:rPr>
      <w:rFonts w:ascii="Times New Roman" w:hAnsi="Times New Roman" w:cs="Times New Roman"/>
      <w:sz w:val="24"/>
      <w:szCs w:val="20"/>
    </w:rPr>
  </w:style>
  <w:style w:type="paragraph" w:styleId="Footer">
    <w:name w:val="footer"/>
    <w:basedOn w:val="Normal"/>
    <w:link w:val="FooterChar"/>
    <w:uiPriority w:val="99"/>
    <w:unhideWhenUsed/>
    <w:rsid w:val="002C181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C181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3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09"/>
    <w:rPr>
      <w:rFonts w:ascii="Tahoma" w:hAnsi="Tahoma" w:cs="Tahoma"/>
      <w:sz w:val="16"/>
      <w:szCs w:val="16"/>
    </w:rPr>
  </w:style>
  <w:style w:type="character" w:styleId="FootnoteReference">
    <w:name w:val="footnote reference"/>
    <w:basedOn w:val="DefaultParagraphFont"/>
    <w:uiPriority w:val="99"/>
    <w:unhideWhenUsed/>
    <w:rsid w:val="00F839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A1399"/>
    <w:pPr>
      <w:spacing w:after="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2C181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C1817"/>
    <w:rPr>
      <w:rFonts w:ascii="Times New Roman" w:hAnsi="Times New Roman" w:cs="Times New Roman"/>
      <w:sz w:val="24"/>
      <w:szCs w:val="20"/>
    </w:rPr>
  </w:style>
  <w:style w:type="paragraph" w:styleId="Footer">
    <w:name w:val="footer"/>
    <w:basedOn w:val="Normal"/>
    <w:link w:val="FooterChar"/>
    <w:uiPriority w:val="99"/>
    <w:unhideWhenUsed/>
    <w:rsid w:val="002C181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C181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3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09"/>
    <w:rPr>
      <w:rFonts w:ascii="Tahoma" w:hAnsi="Tahoma" w:cs="Tahoma"/>
      <w:sz w:val="16"/>
      <w:szCs w:val="16"/>
    </w:rPr>
  </w:style>
  <w:style w:type="character" w:styleId="FootnoteReference">
    <w:name w:val="footnote reference"/>
    <w:basedOn w:val="DefaultParagraphFont"/>
    <w:uiPriority w:val="99"/>
    <w:unhideWhenUsed/>
    <w:rsid w:val="00F83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4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10</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23</cp:revision>
  <cp:lastPrinted>2015-06-03T18:39:00Z</cp:lastPrinted>
  <dcterms:created xsi:type="dcterms:W3CDTF">2015-06-03T14:20:00Z</dcterms:created>
  <dcterms:modified xsi:type="dcterms:W3CDTF">2015-06-17T12:50:00Z</dcterms:modified>
</cp:coreProperties>
</file>