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F7" w:rsidRPr="009D2C51" w:rsidRDefault="001A1FF7" w:rsidP="006E677A">
      <w:pPr>
        <w:tabs>
          <w:tab w:val="clear" w:pos="1440"/>
          <w:tab w:val="left" w:pos="0"/>
        </w:tabs>
        <w:spacing w:after="0" w:line="233" w:lineRule="auto"/>
        <w:jc w:val="center"/>
        <w:rPr>
          <w:b/>
        </w:rPr>
      </w:pPr>
      <w:r>
        <w:rPr>
          <w:b/>
        </w:rPr>
        <w:t>BE</w:t>
      </w:r>
      <w:r w:rsidRPr="009D2C51">
        <w:rPr>
          <w:b/>
        </w:rPr>
        <w:t>FORE THE</w:t>
      </w:r>
    </w:p>
    <w:p w:rsidR="001A1FF7" w:rsidRPr="009D2C51" w:rsidRDefault="001A1FF7" w:rsidP="006E677A">
      <w:pPr>
        <w:tabs>
          <w:tab w:val="clear" w:pos="1440"/>
          <w:tab w:val="left" w:pos="0"/>
        </w:tabs>
        <w:spacing w:after="0" w:line="233" w:lineRule="auto"/>
        <w:jc w:val="center"/>
        <w:rPr>
          <w:b/>
        </w:rPr>
      </w:pPr>
      <w:r w:rsidRPr="009D2C51">
        <w:rPr>
          <w:b/>
        </w:rPr>
        <w:t>PENNSYLVANIA PUBLIC UTILITY COMMISSION</w:t>
      </w:r>
    </w:p>
    <w:p w:rsidR="001A1FF7" w:rsidRPr="009D2C51" w:rsidRDefault="001A1FF7" w:rsidP="006E677A">
      <w:pPr>
        <w:tabs>
          <w:tab w:val="clear" w:pos="1440"/>
          <w:tab w:val="left" w:pos="0"/>
        </w:tabs>
        <w:spacing w:after="0" w:line="233" w:lineRule="auto"/>
        <w:jc w:val="both"/>
        <w:rPr>
          <w:b/>
        </w:rPr>
      </w:pPr>
    </w:p>
    <w:p w:rsidR="001A1FF7" w:rsidRPr="009D2C51" w:rsidRDefault="001A1FF7" w:rsidP="006E677A">
      <w:pPr>
        <w:tabs>
          <w:tab w:val="clear" w:pos="1440"/>
          <w:tab w:val="left" w:pos="0"/>
        </w:tabs>
        <w:spacing w:after="0" w:line="233" w:lineRule="auto"/>
        <w:jc w:val="both"/>
        <w:rPr>
          <w:b/>
        </w:rPr>
      </w:pPr>
    </w:p>
    <w:p w:rsidR="001A1FF7" w:rsidRPr="009D2C51" w:rsidRDefault="001A1FF7" w:rsidP="006E677A">
      <w:pPr>
        <w:tabs>
          <w:tab w:val="clear" w:pos="1440"/>
          <w:tab w:val="left" w:pos="0"/>
        </w:tabs>
        <w:spacing w:after="0" w:line="233" w:lineRule="auto"/>
        <w:jc w:val="both"/>
        <w:rPr>
          <w:b/>
        </w:rPr>
      </w:pPr>
    </w:p>
    <w:p w:rsidR="001A1FF7" w:rsidRPr="009D2C51" w:rsidRDefault="001A1FF7" w:rsidP="006E677A">
      <w:pPr>
        <w:tabs>
          <w:tab w:val="clear" w:pos="1440"/>
          <w:tab w:val="left" w:pos="0"/>
        </w:tabs>
        <w:spacing w:after="0" w:line="233" w:lineRule="auto"/>
        <w:jc w:val="both"/>
        <w:rPr>
          <w:b/>
        </w:rPr>
      </w:pPr>
      <w:r>
        <w:t xml:space="preserve">Kathleen </w:t>
      </w:r>
      <w:r w:rsidR="00327344">
        <w:t xml:space="preserve">L. </w:t>
      </w:r>
      <w:r>
        <w:t>Petrich</w:t>
      </w:r>
      <w:r>
        <w:tab/>
      </w:r>
      <w:r>
        <w:tab/>
      </w:r>
      <w:r>
        <w:tab/>
      </w:r>
      <w:r>
        <w:tab/>
      </w:r>
      <w:r w:rsidRPr="009D2C51">
        <w:tab/>
        <w:t>:</w:t>
      </w:r>
    </w:p>
    <w:p w:rsidR="001A1FF7" w:rsidRPr="009D2C51" w:rsidRDefault="001A1FF7" w:rsidP="006E677A">
      <w:pPr>
        <w:tabs>
          <w:tab w:val="clear" w:pos="1440"/>
          <w:tab w:val="left" w:pos="0"/>
        </w:tabs>
        <w:spacing w:after="0" w:line="233" w:lineRule="auto"/>
        <w:jc w:val="both"/>
      </w:pPr>
      <w:r w:rsidRPr="009D2C51">
        <w:rPr>
          <w:b/>
        </w:rPr>
        <w:tab/>
      </w:r>
      <w:r w:rsidRPr="009D2C51">
        <w:rPr>
          <w:b/>
        </w:rPr>
        <w:tab/>
      </w:r>
      <w:r w:rsidRPr="009D2C51">
        <w:rPr>
          <w:b/>
        </w:rPr>
        <w:tab/>
      </w:r>
      <w:r w:rsidRPr="009D2C51">
        <w:rPr>
          <w:b/>
        </w:rPr>
        <w:tab/>
      </w:r>
      <w:r w:rsidRPr="009D2C51">
        <w:rPr>
          <w:b/>
        </w:rPr>
        <w:tab/>
      </w:r>
      <w:r w:rsidRPr="009D2C51">
        <w:rPr>
          <w:b/>
        </w:rPr>
        <w:tab/>
      </w:r>
      <w:r w:rsidRPr="009D2C51">
        <w:rPr>
          <w:b/>
        </w:rPr>
        <w:tab/>
      </w:r>
      <w:r w:rsidRPr="009D2C51">
        <w:t>:</w:t>
      </w:r>
    </w:p>
    <w:p w:rsidR="001A1FF7" w:rsidRPr="009D2C51" w:rsidRDefault="001A1FF7" w:rsidP="006E677A">
      <w:pPr>
        <w:tabs>
          <w:tab w:val="clear" w:pos="1440"/>
          <w:tab w:val="left" w:pos="0"/>
          <w:tab w:val="left" w:pos="720"/>
        </w:tabs>
        <w:spacing w:after="0" w:line="233" w:lineRule="auto"/>
        <w:jc w:val="both"/>
      </w:pPr>
      <w:r w:rsidRPr="009D2C51">
        <w:tab/>
        <w:t>v.</w:t>
      </w:r>
      <w:r w:rsidRPr="009D2C51">
        <w:tab/>
      </w:r>
      <w:r w:rsidRPr="009D2C51">
        <w:tab/>
      </w:r>
      <w:r w:rsidRPr="009D2C51">
        <w:tab/>
      </w:r>
      <w:r w:rsidRPr="009D2C51">
        <w:tab/>
      </w:r>
      <w:r w:rsidRPr="009D2C51">
        <w:tab/>
      </w:r>
      <w:r w:rsidRPr="009D2C51">
        <w:tab/>
        <w:t>:</w:t>
      </w:r>
      <w:r w:rsidRPr="009D2C51">
        <w:rPr>
          <w:b/>
        </w:rPr>
        <w:tab/>
      </w:r>
      <w:r w:rsidRPr="009D2C51">
        <w:rPr>
          <w:b/>
        </w:rPr>
        <w:tab/>
      </w:r>
      <w:r>
        <w:t>F-2014-2457352</w:t>
      </w:r>
    </w:p>
    <w:p w:rsidR="001A1FF7" w:rsidRPr="009D2C51" w:rsidRDefault="001A1FF7" w:rsidP="006E677A">
      <w:pPr>
        <w:tabs>
          <w:tab w:val="clear" w:pos="1440"/>
          <w:tab w:val="left" w:pos="0"/>
        </w:tabs>
        <w:spacing w:after="0" w:line="233" w:lineRule="auto"/>
        <w:jc w:val="both"/>
      </w:pPr>
      <w:r w:rsidRPr="009D2C51">
        <w:tab/>
      </w:r>
      <w:r w:rsidRPr="009D2C51">
        <w:tab/>
      </w:r>
      <w:r w:rsidRPr="009D2C51">
        <w:tab/>
      </w:r>
      <w:r w:rsidRPr="009D2C51">
        <w:tab/>
      </w:r>
      <w:r w:rsidRPr="009D2C51">
        <w:tab/>
      </w:r>
      <w:r w:rsidRPr="009D2C51">
        <w:tab/>
      </w:r>
      <w:r w:rsidRPr="009D2C51">
        <w:tab/>
        <w:t>:</w:t>
      </w:r>
    </w:p>
    <w:p w:rsidR="001A1FF7" w:rsidRDefault="001A1FF7" w:rsidP="006E677A">
      <w:pPr>
        <w:tabs>
          <w:tab w:val="clear" w:pos="1440"/>
          <w:tab w:val="left" w:pos="0"/>
        </w:tabs>
        <w:spacing w:after="0" w:line="233" w:lineRule="auto"/>
        <w:jc w:val="both"/>
      </w:pPr>
      <w:r>
        <w:t>Duquesne Light Company</w:t>
      </w:r>
      <w:r w:rsidRPr="009D2C51">
        <w:tab/>
      </w:r>
      <w:r w:rsidRPr="009D2C51">
        <w:tab/>
      </w:r>
      <w:r w:rsidRPr="009D2C51">
        <w:tab/>
      </w:r>
      <w:r w:rsidRPr="009D2C51">
        <w:tab/>
        <w:t>:</w:t>
      </w:r>
    </w:p>
    <w:p w:rsidR="00327344" w:rsidRDefault="00327344" w:rsidP="006E677A">
      <w:pPr>
        <w:tabs>
          <w:tab w:val="clear" w:pos="1440"/>
          <w:tab w:val="left" w:pos="0"/>
        </w:tabs>
        <w:spacing w:after="0" w:line="233" w:lineRule="auto"/>
        <w:jc w:val="both"/>
      </w:pPr>
    </w:p>
    <w:p w:rsidR="00327344" w:rsidRPr="009D2C51" w:rsidRDefault="00327344" w:rsidP="006E677A">
      <w:pPr>
        <w:tabs>
          <w:tab w:val="clear" w:pos="1440"/>
          <w:tab w:val="left" w:pos="0"/>
        </w:tabs>
        <w:spacing w:after="0" w:line="233" w:lineRule="auto"/>
        <w:jc w:val="both"/>
      </w:pPr>
    </w:p>
    <w:p w:rsidR="001A1FF7" w:rsidRDefault="001A1FF7" w:rsidP="006E677A">
      <w:pPr>
        <w:tabs>
          <w:tab w:val="clear" w:pos="1440"/>
          <w:tab w:val="left" w:pos="0"/>
        </w:tabs>
        <w:spacing w:after="0" w:line="240" w:lineRule="auto"/>
        <w:jc w:val="both"/>
      </w:pPr>
      <w:r w:rsidRPr="009D2C51">
        <w:tab/>
      </w:r>
      <w:r w:rsidRPr="009D2C51">
        <w:tab/>
      </w:r>
    </w:p>
    <w:p w:rsidR="00D45815" w:rsidRDefault="00D45815" w:rsidP="006E677A">
      <w:pPr>
        <w:spacing w:after="0"/>
        <w:jc w:val="center"/>
        <w:rPr>
          <w:b/>
          <w:u w:val="single"/>
        </w:rPr>
      </w:pPr>
      <w:r w:rsidRPr="001A1FF7">
        <w:rPr>
          <w:b/>
          <w:u w:val="single"/>
        </w:rPr>
        <w:t>INITIAL DECISION</w:t>
      </w:r>
    </w:p>
    <w:p w:rsidR="00BB3114" w:rsidRPr="001A1FF7" w:rsidRDefault="00BB3114" w:rsidP="006E677A">
      <w:pPr>
        <w:spacing w:after="0"/>
        <w:jc w:val="center"/>
        <w:rPr>
          <w:b/>
          <w:u w:val="single"/>
        </w:rPr>
      </w:pPr>
    </w:p>
    <w:p w:rsidR="00D45815" w:rsidRDefault="00D45815" w:rsidP="006E677A">
      <w:pPr>
        <w:spacing w:after="0" w:line="240" w:lineRule="auto"/>
        <w:jc w:val="center"/>
      </w:pPr>
      <w:r>
        <w:t>Before</w:t>
      </w:r>
    </w:p>
    <w:p w:rsidR="00D45815" w:rsidRDefault="00D45815" w:rsidP="006E677A">
      <w:pPr>
        <w:spacing w:after="0" w:line="240" w:lineRule="auto"/>
        <w:jc w:val="center"/>
      </w:pPr>
      <w:r>
        <w:t>Mary D. Long</w:t>
      </w:r>
    </w:p>
    <w:p w:rsidR="00D45815" w:rsidRDefault="00D45815" w:rsidP="006E677A">
      <w:pPr>
        <w:spacing w:after="0" w:line="240" w:lineRule="auto"/>
        <w:jc w:val="center"/>
      </w:pPr>
      <w:r>
        <w:t>Administrative Law Judge</w:t>
      </w:r>
    </w:p>
    <w:p w:rsidR="00D45815" w:rsidRDefault="00D45815" w:rsidP="006E677A">
      <w:pPr>
        <w:spacing w:after="0"/>
      </w:pPr>
    </w:p>
    <w:p w:rsidR="00D45815" w:rsidRDefault="00D45815" w:rsidP="006E677A">
      <w:pPr>
        <w:spacing w:after="0"/>
      </w:pPr>
      <w:r>
        <w:tab/>
        <w:t>The formal complaint of a</w:t>
      </w:r>
      <w:r w:rsidR="004C0E8E">
        <w:t xml:space="preserve">n applicant for utility service </w:t>
      </w:r>
      <w:r>
        <w:t xml:space="preserve">is dismissed.  The </w:t>
      </w:r>
      <w:r w:rsidR="004C0E8E">
        <w:t xml:space="preserve">applicant is responsible for a </w:t>
      </w:r>
      <w:r>
        <w:t>substantial past due balance and does not meet the criteria for a payment agreement.</w:t>
      </w:r>
    </w:p>
    <w:p w:rsidR="004100EC" w:rsidRDefault="004100EC" w:rsidP="006E677A">
      <w:pPr>
        <w:spacing w:after="0"/>
      </w:pPr>
    </w:p>
    <w:p w:rsidR="00D45815" w:rsidRDefault="00D45815" w:rsidP="006E677A">
      <w:pPr>
        <w:spacing w:after="0"/>
        <w:jc w:val="center"/>
        <w:rPr>
          <w:u w:val="single"/>
        </w:rPr>
      </w:pPr>
      <w:r w:rsidRPr="001A1FF7">
        <w:rPr>
          <w:u w:val="single"/>
        </w:rPr>
        <w:t>HISTORY OF THE PROCEEDING</w:t>
      </w:r>
    </w:p>
    <w:p w:rsidR="004100EC" w:rsidRDefault="004100EC" w:rsidP="006E677A">
      <w:pPr>
        <w:spacing w:after="0"/>
        <w:jc w:val="center"/>
        <w:rPr>
          <w:u w:val="single"/>
        </w:rPr>
      </w:pPr>
    </w:p>
    <w:p w:rsidR="00D45815" w:rsidRDefault="00D45815" w:rsidP="006E677A">
      <w:pPr>
        <w:spacing w:after="0"/>
      </w:pPr>
      <w:r>
        <w:tab/>
        <w:t>On December 3, 2014, Kathleen L. Petrich (Complainant) filed a formal complaint against Duquesne Light Company (Duquesne Light), checking the box which notes her desire for a payment agreement.  As relief, she requested that her service be restored and that her past due balance be dropped due to financial hardship.  Duquesne Light filed an answer on December 29, 2014</w:t>
      </w:r>
      <w:r w:rsidR="00771C41">
        <w:t xml:space="preserve"> denying the material allegations in the complaint</w:t>
      </w:r>
      <w:r>
        <w:t>.</w:t>
      </w:r>
    </w:p>
    <w:p w:rsidR="004100EC" w:rsidRDefault="004100EC" w:rsidP="006E677A">
      <w:pPr>
        <w:spacing w:after="0"/>
      </w:pPr>
    </w:p>
    <w:p w:rsidR="00D45815" w:rsidRDefault="00D45815" w:rsidP="006E677A">
      <w:pPr>
        <w:spacing w:after="0"/>
      </w:pPr>
      <w:r>
        <w:tab/>
        <w:t>By notice dated March 3, 2015, this matter was assigned to me and scheduled for a telephonic hearing on April 6, 2015.  The hearing was held as scheduled.  The Complainant appeared and testified on her own behalf.  She also presented the testimony of one witness.  She did not proffer any exhibits for admission into the record.  Jeremy Ferrell, Esquire</w:t>
      </w:r>
      <w:r w:rsidR="00657DA9">
        <w:t>,</w:t>
      </w:r>
      <w:r>
        <w:t xml:space="preserve"> appeared on behalf of Duquesne Light and offered the testimony of one witness.  </w:t>
      </w:r>
      <w:r w:rsidR="004C0E8E">
        <w:t>Two</w:t>
      </w:r>
      <w:r>
        <w:t xml:space="preserve"> exhibits were admitted into the record at the hearing.  Duquesne Light also offered additional exhibi</w:t>
      </w:r>
      <w:r w:rsidR="004C0E8E">
        <w:t>ts</w:t>
      </w:r>
      <w:r>
        <w:t xml:space="preserve"> which </w:t>
      </w:r>
      <w:r w:rsidR="004C0E8E">
        <w:t>were</w:t>
      </w:r>
      <w:r>
        <w:t xml:space="preserve"> later </w:t>
      </w:r>
      <w:r>
        <w:lastRenderedPageBreak/>
        <w:t xml:space="preserve">admitted into the record </w:t>
      </w:r>
      <w:r w:rsidR="00BB3114">
        <w:t>as late-filed exhibits</w:t>
      </w:r>
      <w:r>
        <w:t xml:space="preserve">. </w:t>
      </w:r>
      <w:r w:rsidR="00A72F38">
        <w:t xml:space="preserve"> Following the receipt of the late-filed exhibit</w:t>
      </w:r>
      <w:r w:rsidR="004C0E8E">
        <w:t>s</w:t>
      </w:r>
      <w:r w:rsidR="00A72F38">
        <w:t>, the Complainant</w:t>
      </w:r>
      <w:r w:rsidR="00EE282B">
        <w:t>’</w:t>
      </w:r>
      <w:r w:rsidR="00A72F38">
        <w:t>s objections</w:t>
      </w:r>
      <w:r w:rsidR="004C0E8E">
        <w:t>,</w:t>
      </w:r>
      <w:r w:rsidR="00A72F38">
        <w:t xml:space="preserve"> and the transcript, the record was closed by order dated April 22, 2015.  The hearing generated a transcript of 49 pages.</w:t>
      </w:r>
    </w:p>
    <w:p w:rsidR="004100EC" w:rsidRDefault="004100EC" w:rsidP="006E677A">
      <w:pPr>
        <w:spacing w:after="0"/>
      </w:pPr>
    </w:p>
    <w:p w:rsidR="001C6109" w:rsidRDefault="001C6109" w:rsidP="00F879A7">
      <w:pPr>
        <w:spacing w:after="0"/>
        <w:jc w:val="center"/>
        <w:rPr>
          <w:u w:val="single"/>
        </w:rPr>
      </w:pPr>
      <w:r w:rsidRPr="005A20C0">
        <w:rPr>
          <w:u w:val="single"/>
        </w:rPr>
        <w:t>FINDINGS OF FACT</w:t>
      </w:r>
    </w:p>
    <w:p w:rsidR="004100EC" w:rsidRPr="005A20C0" w:rsidRDefault="004100EC" w:rsidP="00F879A7">
      <w:pPr>
        <w:spacing w:after="0"/>
        <w:jc w:val="center"/>
        <w:rPr>
          <w:u w:val="single"/>
        </w:rPr>
      </w:pPr>
    </w:p>
    <w:p w:rsidR="001C6109" w:rsidRDefault="00CB10BA" w:rsidP="00F879A7">
      <w:pPr>
        <w:spacing w:after="0"/>
      </w:pPr>
      <w:r>
        <w:tab/>
        <w:t>1.</w:t>
      </w:r>
      <w:r>
        <w:tab/>
      </w:r>
      <w:r w:rsidR="004B0EC3">
        <w:t xml:space="preserve">Kathleen L. </w:t>
      </w:r>
      <w:r w:rsidR="001C6109">
        <w:t>Petrich (Compl</w:t>
      </w:r>
      <w:r w:rsidR="002E3D76">
        <w:t>ainant) resides at 333 East 11</w:t>
      </w:r>
      <w:r w:rsidR="002E3D76" w:rsidRPr="002E3D76">
        <w:rPr>
          <w:vertAlign w:val="superscript"/>
        </w:rPr>
        <w:t>th</w:t>
      </w:r>
      <w:r w:rsidR="002E3D76">
        <w:t xml:space="preserve"> </w:t>
      </w:r>
      <w:r w:rsidR="001C6109">
        <w:t>Avenue, Homestead, Pennsylvania</w:t>
      </w:r>
      <w:r w:rsidR="00491A5C">
        <w:t xml:space="preserve"> (service address)</w:t>
      </w:r>
      <w:r w:rsidR="001C6109">
        <w:t>.  She owns the property and has lived th</w:t>
      </w:r>
      <w:r w:rsidR="009B61C8">
        <w:t>ere</w:t>
      </w:r>
      <w:r w:rsidR="00E417F3">
        <w:t xml:space="preserve"> continuously</w:t>
      </w:r>
      <w:r w:rsidR="009B61C8">
        <w:t xml:space="preserve"> since 2001</w:t>
      </w:r>
      <w:r w:rsidR="001C6109">
        <w:t>.</w:t>
      </w:r>
      <w:r w:rsidR="004100EC">
        <w:t xml:space="preserve"> </w:t>
      </w:r>
      <w:r w:rsidR="001C6109">
        <w:t xml:space="preserve"> (N.T. 6</w:t>
      </w:r>
      <w:r w:rsidR="009B61C8">
        <w:t>, 11</w:t>
      </w:r>
      <w:r w:rsidR="00E417F3">
        <w:t>, 22</w:t>
      </w:r>
      <w:r w:rsidR="001C6109">
        <w:t>)</w:t>
      </w:r>
    </w:p>
    <w:p w:rsidR="004100EC" w:rsidRDefault="004100EC" w:rsidP="00F879A7">
      <w:pPr>
        <w:spacing w:after="0"/>
        <w:ind w:left="720"/>
      </w:pPr>
    </w:p>
    <w:p w:rsidR="009864E5" w:rsidRDefault="00CB10BA" w:rsidP="00F879A7">
      <w:pPr>
        <w:pStyle w:val="ListParagraph"/>
      </w:pPr>
      <w:r>
        <w:tab/>
        <w:t>2.</w:t>
      </w:r>
      <w:r>
        <w:tab/>
      </w:r>
      <w:r w:rsidR="001C6109">
        <w:t>Duquesne Light Company is an electric distribution company.</w:t>
      </w:r>
      <w:r w:rsidR="009864E5" w:rsidRPr="009864E5">
        <w:t xml:space="preserve"> </w:t>
      </w:r>
    </w:p>
    <w:p w:rsidR="004100EC" w:rsidRDefault="004100EC" w:rsidP="00F879A7">
      <w:pPr>
        <w:spacing w:after="0"/>
        <w:ind w:left="720"/>
      </w:pPr>
    </w:p>
    <w:p w:rsidR="00F879A7" w:rsidRDefault="00CB10BA" w:rsidP="00F879A7">
      <w:pPr>
        <w:pStyle w:val="ListParagraph"/>
        <w:ind w:firstLine="0"/>
      </w:pPr>
      <w:r>
        <w:tab/>
        <w:t>3.</w:t>
      </w:r>
      <w:r>
        <w:tab/>
      </w:r>
      <w:r w:rsidR="009864E5">
        <w:t xml:space="preserve">The Complainant purchased the property from Karen Bryan in 2001.  </w:t>
      </w:r>
    </w:p>
    <w:p w:rsidR="009B61C8" w:rsidRDefault="009864E5" w:rsidP="00F879A7">
      <w:pPr>
        <w:pStyle w:val="ListParagraph"/>
        <w:ind w:firstLine="0"/>
      </w:pPr>
      <w:r>
        <w:t>Ms. Brya</w:t>
      </w:r>
      <w:r w:rsidR="004100EC">
        <w:t>n is now deceased.  (N.T. 10-11</w:t>
      </w:r>
      <w:r w:rsidR="00241F59">
        <w:t>)</w:t>
      </w:r>
    </w:p>
    <w:p w:rsidR="004100EC" w:rsidRDefault="004100EC" w:rsidP="00F879A7">
      <w:pPr>
        <w:spacing w:after="0"/>
        <w:ind w:left="720"/>
      </w:pPr>
    </w:p>
    <w:p w:rsidR="001C6109" w:rsidRDefault="00F879A7" w:rsidP="00F879A7">
      <w:pPr>
        <w:pStyle w:val="ListParagraph"/>
      </w:pPr>
      <w:r>
        <w:tab/>
        <w:t>4.</w:t>
      </w:r>
      <w:r>
        <w:tab/>
      </w:r>
      <w:r w:rsidR="001C6109">
        <w:t>As of the date of the hearing, the Complainant did not have electricity service at the property.</w:t>
      </w:r>
      <w:r w:rsidR="004100EC">
        <w:t xml:space="preserve"> </w:t>
      </w:r>
      <w:r w:rsidR="001C6109">
        <w:t xml:space="preserve"> (N.T. 6, 7)</w:t>
      </w:r>
    </w:p>
    <w:p w:rsidR="004100EC" w:rsidRDefault="004100EC" w:rsidP="00F879A7">
      <w:pPr>
        <w:spacing w:after="0"/>
        <w:ind w:left="720"/>
      </w:pPr>
    </w:p>
    <w:p w:rsidR="009864E5" w:rsidRDefault="00F879A7" w:rsidP="00F879A7">
      <w:pPr>
        <w:pStyle w:val="ListParagraph"/>
      </w:pPr>
      <w:r>
        <w:tab/>
        <w:t>5.</w:t>
      </w:r>
      <w:r>
        <w:tab/>
      </w:r>
      <w:r w:rsidR="00131401">
        <w:t xml:space="preserve">The Complainant established an account at the service address in her name on October 1, 2001.  Service was terminated in her name on August 16, 2010 for non-payment.  </w:t>
      </w:r>
      <w:r w:rsidR="006179AC">
        <w:t>At the time of termination</w:t>
      </w:r>
      <w:r w:rsidR="00894868">
        <w:t xml:space="preserve"> the unpaid balance was $4,608.87.</w:t>
      </w:r>
      <w:r w:rsidR="004100EC">
        <w:t xml:space="preserve"> </w:t>
      </w:r>
      <w:r w:rsidR="00894868">
        <w:t xml:space="preserve"> </w:t>
      </w:r>
      <w:r w:rsidR="00131401">
        <w:t>(N.T. 20)</w:t>
      </w:r>
      <w:r w:rsidR="009864E5" w:rsidRPr="009864E5">
        <w:t xml:space="preserve"> </w:t>
      </w:r>
    </w:p>
    <w:p w:rsidR="004100EC" w:rsidRDefault="004100EC" w:rsidP="00F879A7">
      <w:pPr>
        <w:spacing w:after="0"/>
        <w:ind w:left="720"/>
      </w:pPr>
    </w:p>
    <w:p w:rsidR="00131401" w:rsidRDefault="00F879A7" w:rsidP="00F879A7">
      <w:pPr>
        <w:pStyle w:val="ListParagraph"/>
      </w:pPr>
      <w:r>
        <w:tab/>
        <w:t>6.</w:t>
      </w:r>
      <w:r>
        <w:tab/>
      </w:r>
      <w:r w:rsidR="009864E5">
        <w:t>The Complainant participated in Duquesne Light’s Customer Assistance Program (CAP) from 2006 until she defaulted in 2008 for failing to complete a “smart comfort” visit.  (N.T. 21)</w:t>
      </w:r>
    </w:p>
    <w:p w:rsidR="004100EC" w:rsidRDefault="004100EC" w:rsidP="00F879A7">
      <w:pPr>
        <w:spacing w:after="0"/>
        <w:ind w:left="720"/>
      </w:pPr>
    </w:p>
    <w:p w:rsidR="009864E5" w:rsidRDefault="00F879A7" w:rsidP="00F879A7">
      <w:pPr>
        <w:pStyle w:val="ListParagraph"/>
      </w:pPr>
      <w:r>
        <w:tab/>
        <w:t>7.</w:t>
      </w:r>
      <w:r>
        <w:tab/>
      </w:r>
      <w:r w:rsidR="00835EF9">
        <w:t>A Mr. Walker established service at the service address</w:t>
      </w:r>
      <w:r w:rsidR="009864E5">
        <w:t xml:space="preserve"> in his name</w:t>
      </w:r>
      <w:r w:rsidR="00835EF9">
        <w:t xml:space="preserve"> on July 11, 2011.</w:t>
      </w:r>
      <w:r w:rsidR="00567771">
        <w:t xml:space="preserve">  </w:t>
      </w:r>
      <w:r w:rsidR="009864E5">
        <w:t>That account</w:t>
      </w:r>
      <w:r w:rsidR="00567771">
        <w:t xml:space="preserve"> was terminated on March 2, 2012 for non-payment.</w:t>
      </w:r>
      <w:r w:rsidR="00F65502">
        <w:t xml:space="preserve"> </w:t>
      </w:r>
      <w:r>
        <w:t xml:space="preserve"> </w:t>
      </w:r>
      <w:r w:rsidR="00F65502">
        <w:t>The final balance on that account was $ 926.67.</w:t>
      </w:r>
      <w:r w:rsidR="004100EC">
        <w:t xml:space="preserve"> </w:t>
      </w:r>
      <w:r w:rsidR="00835EF9">
        <w:t xml:space="preserve"> (N.T. 22</w:t>
      </w:r>
      <w:r w:rsidR="00567771">
        <w:t>, 26</w:t>
      </w:r>
      <w:r w:rsidR="005A20C0">
        <w:t>, 31</w:t>
      </w:r>
      <w:r w:rsidR="00F65502">
        <w:t>; Duquesne Light Ex. 7</w:t>
      </w:r>
      <w:r w:rsidR="00835EF9">
        <w:t>)</w:t>
      </w:r>
      <w:r w:rsidR="009864E5" w:rsidRPr="009864E5">
        <w:t xml:space="preserve"> </w:t>
      </w:r>
    </w:p>
    <w:p w:rsidR="00835EF9" w:rsidRDefault="00F879A7" w:rsidP="00F879A7">
      <w:pPr>
        <w:pStyle w:val="ListParagraph"/>
      </w:pPr>
      <w:r>
        <w:tab/>
        <w:t>8.</w:t>
      </w:r>
      <w:r>
        <w:tab/>
      </w:r>
      <w:r w:rsidR="009864E5">
        <w:t>Service was established in the name of Ms. Bryan from March 30, 2012 until May 30, 2013.  The account was terminated for non-payment.  The final balance on that account was $325.42.  (N.T. 27; Duquesne Light Ex. 7)</w:t>
      </w:r>
    </w:p>
    <w:p w:rsidR="004100EC" w:rsidRDefault="004100EC" w:rsidP="00F879A7">
      <w:pPr>
        <w:spacing w:after="0"/>
        <w:ind w:left="720"/>
      </w:pPr>
    </w:p>
    <w:p w:rsidR="00F65502" w:rsidRDefault="00F879A7" w:rsidP="00F879A7">
      <w:pPr>
        <w:pStyle w:val="ListParagraph"/>
      </w:pPr>
      <w:r>
        <w:tab/>
        <w:t>9.</w:t>
      </w:r>
      <w:r>
        <w:tab/>
      </w:r>
      <w:r w:rsidR="00567771">
        <w:t xml:space="preserve">Service was </w:t>
      </w:r>
      <w:r w:rsidR="009864E5">
        <w:t xml:space="preserve">also </w:t>
      </w:r>
      <w:r w:rsidR="00567771">
        <w:t xml:space="preserve">established in the name of a Ms. Ray from March 2, 2013 until May 30, 2013. </w:t>
      </w:r>
      <w:r w:rsidR="004100EC">
        <w:t xml:space="preserve"> </w:t>
      </w:r>
      <w:r w:rsidR="009864E5">
        <w:t xml:space="preserve">The account was terminated for non-payment. </w:t>
      </w:r>
      <w:r w:rsidR="00F65502">
        <w:t xml:space="preserve"> The final balance on that account was $2098.10</w:t>
      </w:r>
      <w:r w:rsidR="009864E5">
        <w:t>.</w:t>
      </w:r>
      <w:r w:rsidR="00567771">
        <w:t xml:space="preserve"> </w:t>
      </w:r>
      <w:r w:rsidR="004100EC">
        <w:t xml:space="preserve"> </w:t>
      </w:r>
      <w:r w:rsidR="00567771">
        <w:t>(N.T. 26</w:t>
      </w:r>
      <w:r w:rsidR="00F65502">
        <w:t>; Duquesne Light Supplemental Ex. 7)</w:t>
      </w:r>
    </w:p>
    <w:p w:rsidR="004100EC" w:rsidRDefault="004100EC" w:rsidP="00F879A7">
      <w:pPr>
        <w:spacing w:after="0"/>
        <w:ind w:left="720"/>
      </w:pPr>
    </w:p>
    <w:p w:rsidR="005A1222" w:rsidRDefault="00F879A7" w:rsidP="00F879A7">
      <w:pPr>
        <w:pStyle w:val="ListParagraph"/>
      </w:pPr>
      <w:r>
        <w:tab/>
        <w:t>10.</w:t>
      </w:r>
      <w:r>
        <w:tab/>
      </w:r>
      <w:r w:rsidR="005A1222">
        <w:t>The Complainant notified Duquesne Light that Ms. Bryan was dead on September 10, 2013.  (N.T. 35)</w:t>
      </w:r>
    </w:p>
    <w:p w:rsidR="004100EC" w:rsidRDefault="004100EC" w:rsidP="00F879A7">
      <w:pPr>
        <w:spacing w:after="0"/>
        <w:ind w:left="720"/>
      </w:pPr>
    </w:p>
    <w:p w:rsidR="001C6109" w:rsidRDefault="00F879A7" w:rsidP="00F879A7">
      <w:pPr>
        <w:pStyle w:val="ListParagraph"/>
      </w:pPr>
      <w:r>
        <w:tab/>
        <w:t>11.</w:t>
      </w:r>
      <w:r>
        <w:tab/>
      </w:r>
      <w:r w:rsidR="001C6109">
        <w:t>The Complainant</w:t>
      </w:r>
      <w:r w:rsidR="00B27047">
        <w:t xml:space="preserve"> testified that she </w:t>
      </w:r>
      <w:r w:rsidR="001C6109">
        <w:t>suffers from congestiv</w:t>
      </w:r>
      <w:bookmarkStart w:id="0" w:name="_GoBack"/>
      <w:bookmarkEnd w:id="0"/>
      <w:r w:rsidR="001C6109">
        <w:t xml:space="preserve">e heart failure and requires a CPAP machine. </w:t>
      </w:r>
      <w:r w:rsidR="004100EC">
        <w:t xml:space="preserve"> </w:t>
      </w:r>
      <w:r w:rsidR="001C6109">
        <w:t>(N.T. 7)</w:t>
      </w:r>
    </w:p>
    <w:p w:rsidR="004100EC" w:rsidRDefault="004100EC" w:rsidP="00F879A7">
      <w:pPr>
        <w:spacing w:after="0"/>
        <w:ind w:left="720"/>
      </w:pPr>
    </w:p>
    <w:p w:rsidR="00131401" w:rsidRDefault="00F879A7" w:rsidP="00F879A7">
      <w:pPr>
        <w:pStyle w:val="ListParagraph"/>
      </w:pPr>
      <w:r>
        <w:tab/>
        <w:t>12</w:t>
      </w:r>
      <w:r w:rsidR="007D583D">
        <w:t>.</w:t>
      </w:r>
      <w:r>
        <w:tab/>
      </w:r>
      <w:r w:rsidR="001C6109">
        <w:t>The Complainant contacted Duquesne Light in April 2014 to reinstate service</w:t>
      </w:r>
      <w:r w:rsidR="009864E5">
        <w:t xml:space="preserve"> in her name</w:t>
      </w:r>
      <w:r w:rsidR="001C6109">
        <w:t>.</w:t>
      </w:r>
      <w:r w:rsidR="009B61C8">
        <w:t xml:space="preserve">  </w:t>
      </w:r>
      <w:r w:rsidR="00131401">
        <w:t>To establish service in her name at 333 East 11</w:t>
      </w:r>
      <w:r w:rsidR="00131401" w:rsidRPr="00131401">
        <w:rPr>
          <w:vertAlign w:val="superscript"/>
        </w:rPr>
        <w:t>th</w:t>
      </w:r>
      <w:r w:rsidR="00131401">
        <w:t xml:space="preserve"> Avenue,</w:t>
      </w:r>
      <w:r w:rsidR="005F6FCB">
        <w:t xml:space="preserve"> Respondent requires </w:t>
      </w:r>
      <w:r w:rsidR="00131401">
        <w:t>the Complain</w:t>
      </w:r>
      <w:r w:rsidR="005F6FCB">
        <w:t>ant t</w:t>
      </w:r>
      <w:r w:rsidR="00131401">
        <w:t xml:space="preserve">o pay the outstanding balance of $3,346.42 and a security deposit in the amount of $166.  (N.T. </w:t>
      </w:r>
      <w:r w:rsidR="00E33A75">
        <w:t xml:space="preserve">8, </w:t>
      </w:r>
      <w:r w:rsidR="00131401">
        <w:t>18)</w:t>
      </w:r>
    </w:p>
    <w:p w:rsidR="004100EC" w:rsidRDefault="004100EC" w:rsidP="00C53ACF">
      <w:pPr>
        <w:spacing w:after="0"/>
        <w:ind w:left="720"/>
      </w:pPr>
    </w:p>
    <w:p w:rsidR="009B61C8" w:rsidRDefault="007059DD" w:rsidP="00F879A7">
      <w:pPr>
        <w:pStyle w:val="ListParagraph"/>
      </w:pPr>
      <w:r>
        <w:tab/>
        <w:t>13</w:t>
      </w:r>
      <w:r w:rsidR="00F879A7">
        <w:t>.</w:t>
      </w:r>
      <w:r w:rsidR="00F879A7">
        <w:tab/>
      </w:r>
      <w:r w:rsidR="009B61C8">
        <w:t xml:space="preserve">The Complainant has not made any payments on the account. </w:t>
      </w:r>
      <w:r w:rsidR="004100EC">
        <w:t xml:space="preserve"> </w:t>
      </w:r>
      <w:r w:rsidR="009B61C8">
        <w:t>(N.T. 9)</w:t>
      </w:r>
    </w:p>
    <w:p w:rsidR="004100EC" w:rsidRDefault="004100EC" w:rsidP="00F879A7">
      <w:pPr>
        <w:spacing w:after="0"/>
        <w:ind w:left="720"/>
      </w:pPr>
    </w:p>
    <w:p w:rsidR="009B61C8" w:rsidRDefault="00F879A7" w:rsidP="00F879A7">
      <w:pPr>
        <w:pStyle w:val="ListParagraph"/>
      </w:pPr>
      <w:r>
        <w:tab/>
        <w:t>1</w:t>
      </w:r>
      <w:r w:rsidR="007059DD">
        <w:t>4</w:t>
      </w:r>
      <w:r>
        <w:t>.</w:t>
      </w:r>
      <w:r>
        <w:tab/>
      </w:r>
      <w:r w:rsidR="009B61C8">
        <w:t xml:space="preserve">The Complainant is disabled and does not work. </w:t>
      </w:r>
      <w:r w:rsidR="004100EC">
        <w:t xml:space="preserve"> </w:t>
      </w:r>
      <w:r w:rsidR="009B61C8">
        <w:t>She receives social security benefits in the amount of $775.10 per month.  (N.T. 9)</w:t>
      </w:r>
    </w:p>
    <w:p w:rsidR="004100EC" w:rsidRDefault="00F879A7" w:rsidP="00F879A7">
      <w:pPr>
        <w:spacing w:after="0"/>
        <w:ind w:left="720"/>
      </w:pPr>
      <w:r>
        <w:tab/>
      </w:r>
    </w:p>
    <w:p w:rsidR="009B61C8" w:rsidRDefault="007059DD" w:rsidP="00F879A7">
      <w:pPr>
        <w:pStyle w:val="ListParagraph"/>
      </w:pPr>
      <w:r>
        <w:tab/>
        <w:t>15</w:t>
      </w:r>
      <w:r w:rsidR="00F879A7">
        <w:t>.</w:t>
      </w:r>
      <w:r w:rsidR="00F879A7">
        <w:tab/>
      </w:r>
      <w:r w:rsidR="009B61C8">
        <w:t>No children live in the household.  (N.T. 10)</w:t>
      </w:r>
    </w:p>
    <w:p w:rsidR="004100EC" w:rsidRDefault="004100EC" w:rsidP="003245E1">
      <w:pPr>
        <w:spacing w:after="0"/>
        <w:ind w:left="720"/>
      </w:pPr>
    </w:p>
    <w:p w:rsidR="00BB3500" w:rsidRDefault="007059DD" w:rsidP="00F879A7">
      <w:pPr>
        <w:pStyle w:val="ListParagraph"/>
      </w:pPr>
      <w:r>
        <w:tab/>
        <w:t>16</w:t>
      </w:r>
      <w:r w:rsidR="00F879A7">
        <w:t>.</w:t>
      </w:r>
      <w:r w:rsidR="00F879A7">
        <w:tab/>
      </w:r>
      <w:r w:rsidR="00B27047">
        <w:t xml:space="preserve">No medical certificate has been filed with Duquesne Light by the </w:t>
      </w:r>
      <w:r w:rsidR="00B91E2E">
        <w:t xml:space="preserve">Complainant or by her physician </w:t>
      </w:r>
      <w:r w:rsidR="005F6FCB">
        <w:t>to verify</w:t>
      </w:r>
      <w:r w:rsidR="00B27047">
        <w:t xml:space="preserve"> her medical condition and the reason for which electricity service is required. </w:t>
      </w:r>
      <w:r w:rsidR="004100EC">
        <w:t xml:space="preserve"> </w:t>
      </w:r>
      <w:r w:rsidR="00B27047">
        <w:t>(N.T. 17)</w:t>
      </w:r>
    </w:p>
    <w:p w:rsidR="007059DD" w:rsidRDefault="007059DD">
      <w:pPr>
        <w:tabs>
          <w:tab w:val="clear" w:pos="1440"/>
        </w:tabs>
        <w:spacing w:after="200" w:line="276" w:lineRule="auto"/>
        <w:rPr>
          <w:u w:val="single"/>
        </w:rPr>
      </w:pPr>
      <w:r>
        <w:rPr>
          <w:u w:val="single"/>
        </w:rPr>
        <w:br w:type="page"/>
      </w:r>
    </w:p>
    <w:p w:rsidR="00284CBD" w:rsidRDefault="00284CBD" w:rsidP="00921D68">
      <w:pPr>
        <w:spacing w:after="0"/>
        <w:jc w:val="center"/>
        <w:rPr>
          <w:u w:val="single"/>
        </w:rPr>
      </w:pPr>
      <w:r w:rsidRPr="00894868">
        <w:rPr>
          <w:u w:val="single"/>
        </w:rPr>
        <w:t>DISCUSSION</w:t>
      </w:r>
    </w:p>
    <w:p w:rsidR="004100EC" w:rsidRPr="00894868" w:rsidRDefault="004100EC" w:rsidP="00921D68">
      <w:pPr>
        <w:spacing w:after="0"/>
        <w:jc w:val="center"/>
        <w:rPr>
          <w:u w:val="single"/>
        </w:rPr>
      </w:pPr>
    </w:p>
    <w:p w:rsidR="00284CBD" w:rsidRDefault="00284CBD" w:rsidP="00921D68">
      <w:pPr>
        <w:spacing w:after="0"/>
      </w:pPr>
      <w:r>
        <w:tab/>
      </w:r>
      <w:r w:rsidRPr="00284CBD">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284CBD">
        <w:rPr>
          <w:vertAlign w:val="superscript"/>
        </w:rPr>
        <w:footnoteReference w:id="1"/>
      </w:r>
      <w:r w:rsidRPr="00284CBD">
        <w:t xml:space="preserve">  A person seeking affirmative relief from the Commission has the burden of proof.</w:t>
      </w:r>
      <w:r w:rsidRPr="00284CBD">
        <w:rPr>
          <w:vertAlign w:val="superscript"/>
        </w:rPr>
        <w:footnoteReference w:id="2"/>
      </w:r>
    </w:p>
    <w:p w:rsidR="00921D68" w:rsidRPr="00284CBD" w:rsidRDefault="00921D68" w:rsidP="00921D68">
      <w:pPr>
        <w:spacing w:after="0"/>
      </w:pPr>
    </w:p>
    <w:p w:rsidR="00284CBD" w:rsidRDefault="00284CBD" w:rsidP="00921D68">
      <w:pPr>
        <w:spacing w:after="0"/>
      </w:pPr>
      <w:r>
        <w:tab/>
      </w:r>
      <w:r w:rsidRPr="00284CBD">
        <w:t xml:space="preserve">In this matter, the Complainant is the party seeking affirmative relief from the Commission; therefore, </w:t>
      </w:r>
      <w:r w:rsidR="00E5677F">
        <w:t>s</w:t>
      </w:r>
      <w:r w:rsidRPr="00284CBD">
        <w:t xml:space="preserve">he has the burden of proof.  This means that </w:t>
      </w:r>
      <w:r w:rsidR="005F6FCB">
        <w:t>s</w:t>
      </w:r>
      <w:r w:rsidRPr="00284CBD">
        <w:t xml:space="preserve">he has the duty to establish </w:t>
      </w:r>
      <w:r w:rsidR="00B91E2E">
        <w:t>facts in support of her claims</w:t>
      </w:r>
      <w:r w:rsidRPr="00284CBD">
        <w:t xml:space="preserve"> by a preponderance of the evidence, and must show that Duquesne Light has violated the Public Utility Code or Commission regulations.</w:t>
      </w:r>
      <w:r w:rsidRPr="00284CBD">
        <w:rPr>
          <w:vertAlign w:val="superscript"/>
        </w:rPr>
        <w:footnoteReference w:id="3"/>
      </w:r>
      <w:r w:rsidRPr="00284CBD">
        <w:t xml:space="preserve">  </w:t>
      </w:r>
    </w:p>
    <w:p w:rsidR="00921D68" w:rsidRPr="00284CBD" w:rsidRDefault="00921D68" w:rsidP="00921D68">
      <w:pPr>
        <w:spacing w:after="0"/>
      </w:pPr>
    </w:p>
    <w:p w:rsidR="00B80CFB" w:rsidRDefault="00B80CFB" w:rsidP="006E677A">
      <w:pPr>
        <w:spacing w:after="0"/>
        <w:ind w:firstLine="1440"/>
        <w:rPr>
          <w:szCs w:val="24"/>
        </w:rPr>
      </w:pPr>
      <w:r>
        <w:rPr>
          <w:szCs w:val="24"/>
        </w:rPr>
        <w:t>The Complainant wants electricity to be reconnected at the service address, but she contends that she cannot pay the outstanding balance or the security deposit.  She also suggests that she is not responsible for the entire outstanding balance.</w:t>
      </w:r>
    </w:p>
    <w:p w:rsidR="00921D68" w:rsidRDefault="00921D68" w:rsidP="006E677A">
      <w:pPr>
        <w:spacing w:after="0"/>
        <w:ind w:firstLine="1440"/>
        <w:rPr>
          <w:szCs w:val="24"/>
        </w:rPr>
      </w:pPr>
    </w:p>
    <w:p w:rsidR="001B532B" w:rsidRDefault="00DE46EC" w:rsidP="004B0EC3">
      <w:pPr>
        <w:spacing w:after="0"/>
        <w:ind w:firstLine="1440"/>
      </w:pPr>
      <w:r>
        <w:rPr>
          <w:szCs w:val="24"/>
        </w:rPr>
        <w:t>The Complainant admits that she has lived at the service address continuously since 2001</w:t>
      </w:r>
      <w:r w:rsidR="00B91E2E">
        <w:rPr>
          <w:szCs w:val="24"/>
        </w:rPr>
        <w:t xml:space="preserve"> and has benefitted from electricity service when it was provided</w:t>
      </w:r>
      <w:r>
        <w:rPr>
          <w:szCs w:val="24"/>
        </w:rPr>
        <w:t xml:space="preserve">.  </w:t>
      </w:r>
      <w:r w:rsidR="001B532B">
        <w:rPr>
          <w:szCs w:val="24"/>
        </w:rPr>
        <w:t xml:space="preserve">Therefore, Duquesne Light is authorized to request payment of the outstanding balance as a condition of reconnecting electricity service, even though the Complainant’s name was not on the account at the time.  </w:t>
      </w:r>
      <w:r w:rsidR="005F6FCB">
        <w:t>Section 1407(d) provides that:</w:t>
      </w:r>
    </w:p>
    <w:p w:rsidR="00871603" w:rsidRDefault="00871603" w:rsidP="002E3D76">
      <w:pPr>
        <w:spacing w:after="0" w:line="240" w:lineRule="auto"/>
        <w:ind w:firstLine="1440"/>
      </w:pPr>
    </w:p>
    <w:p w:rsidR="001B532B" w:rsidRDefault="005F6FCB" w:rsidP="002E3D76">
      <w:pPr>
        <w:spacing w:after="0" w:line="240" w:lineRule="auto"/>
        <w:ind w:left="1440" w:right="1440"/>
      </w:pPr>
      <w:r>
        <w:t xml:space="preserve">A </w:t>
      </w:r>
      <w:r w:rsidR="001B532B">
        <w:t>public utility may also require the payment of any outstanding balance or portion of an outstanding balance if the applicant resided at the property for which service is requested during the time the outstanding balance accrued and for the time the applicant resided there.</w:t>
      </w:r>
      <w:r w:rsidR="001B532B">
        <w:rPr>
          <w:rStyle w:val="FootnoteReference"/>
        </w:rPr>
        <w:footnoteReference w:id="4"/>
      </w:r>
    </w:p>
    <w:p w:rsidR="00DE46EC" w:rsidRDefault="001B532B" w:rsidP="00921D68">
      <w:pPr>
        <w:spacing w:after="0"/>
      </w:pPr>
      <w:r>
        <w:t>Even if the other tenants had an agreement with the Complainant that they would pay for the utility service, she is still responsible</w:t>
      </w:r>
      <w:r w:rsidR="00E5677F">
        <w:t xml:space="preserve"> for the outstanding balance</w:t>
      </w:r>
      <w:r>
        <w:t>.  Those agreements are private agreements between the Complainant and the other individuals and are not enforceable by the Public Utility Commission.</w:t>
      </w:r>
      <w:r>
        <w:rPr>
          <w:rStyle w:val="FootnoteReference"/>
        </w:rPr>
        <w:footnoteReference w:id="5"/>
      </w:r>
      <w:r w:rsidR="00E5677F">
        <w:t xml:space="preserve">  </w:t>
      </w:r>
    </w:p>
    <w:p w:rsidR="00C91965" w:rsidRDefault="00C91965" w:rsidP="00921D68">
      <w:pPr>
        <w:spacing w:after="0"/>
      </w:pPr>
    </w:p>
    <w:p w:rsidR="00B80CFB" w:rsidRDefault="00B80CFB" w:rsidP="00921D68">
      <w:pPr>
        <w:spacing w:after="0"/>
      </w:pPr>
      <w:r>
        <w:tab/>
        <w:t xml:space="preserve">It was also proper for Duquesne Light to request a security deposit.  Section 1404 of the Public Utility Code permits a utility to request a cash deposit </w:t>
      </w:r>
      <w:r w:rsidR="005F6FCB">
        <w:t>from</w:t>
      </w:r>
      <w:r>
        <w:t xml:space="preserve"> an applicant who previously had utility service which was terminated for non-payment.</w:t>
      </w:r>
      <w:r>
        <w:rPr>
          <w:rStyle w:val="FootnoteReference"/>
        </w:rPr>
        <w:footnoteReference w:id="6"/>
      </w:r>
    </w:p>
    <w:p w:rsidR="00C91965" w:rsidRDefault="00C91965" w:rsidP="00921D68">
      <w:pPr>
        <w:spacing w:after="0"/>
      </w:pPr>
    </w:p>
    <w:p w:rsidR="00CF41BA" w:rsidRDefault="00CF41BA" w:rsidP="00921D68">
      <w:pPr>
        <w:spacing w:after="0"/>
      </w:pPr>
      <w:r>
        <w:tab/>
        <w:t>The Complainant also contends that Duquesne Light should reconnect her utility service because of her medical condition.</w:t>
      </w:r>
      <w:r w:rsidR="00BB3500">
        <w:t xml:space="preserve">  Section 56.111 of the Commissions regulations provide</w:t>
      </w:r>
      <w:r w:rsidR="00B91E2E">
        <w:t>s</w:t>
      </w:r>
      <w:r w:rsidR="00BB3500">
        <w:t>:</w:t>
      </w:r>
    </w:p>
    <w:p w:rsidR="00C91965" w:rsidRDefault="00C91965" w:rsidP="00921D68">
      <w:pPr>
        <w:spacing w:after="0" w:line="240" w:lineRule="auto"/>
      </w:pPr>
    </w:p>
    <w:p w:rsidR="00BB3500" w:rsidRDefault="00BB3500" w:rsidP="006E677A">
      <w:pPr>
        <w:spacing w:after="0" w:line="240" w:lineRule="auto"/>
        <w:ind w:left="1440" w:right="1440"/>
      </w:pPr>
      <w:r>
        <w:t>A public utility may not terminate service, or refuse to restore service, to a premises when a licensed physician or nurse practitioner has certified that the customer or an applicant seeking restoration of service under § 56.191 (relating to payment and timing) or a member of the customer’s or applicant’s household is seriously ill or afflicted with a medical condition that will be aggravated by cessation of service. The customer shall obtain a letter from a licensed physician verifying the condition and promptly forward it to the public utility. The determination of whether a medical condition qualifies for the purposes of this section resides entirely with the physician or nurse practitioner and not with the public utility. A public utility may not impose any qualification standards for medical certificates other than those specified in this section.</w:t>
      </w:r>
      <w:r>
        <w:rPr>
          <w:rStyle w:val="FootnoteReference"/>
        </w:rPr>
        <w:footnoteReference w:id="7"/>
      </w:r>
    </w:p>
    <w:p w:rsidR="00C91965" w:rsidRDefault="00C91965" w:rsidP="006E677A">
      <w:pPr>
        <w:spacing w:after="0" w:line="240" w:lineRule="auto"/>
        <w:ind w:left="1440" w:right="1440"/>
      </w:pPr>
    </w:p>
    <w:p w:rsidR="00C91965" w:rsidRDefault="00C91965" w:rsidP="006E677A">
      <w:pPr>
        <w:spacing w:after="0" w:line="240" w:lineRule="auto"/>
        <w:ind w:left="1440" w:right="1440"/>
      </w:pPr>
    </w:p>
    <w:p w:rsidR="00B27047" w:rsidRDefault="00585451" w:rsidP="006E677A">
      <w:pPr>
        <w:spacing w:after="0"/>
      </w:pPr>
      <w:r>
        <w:t>Customers who have their service restored based upon the submission of a medical certification retain the duty to make payments on all current undisputed bills.</w:t>
      </w:r>
      <w:r>
        <w:rPr>
          <w:rStyle w:val="FootnoteReference"/>
        </w:rPr>
        <w:footnoteReference w:id="8"/>
      </w:r>
      <w:r>
        <w:t xml:space="preserve">  </w:t>
      </w:r>
      <w:r w:rsidR="00B27047">
        <w:t>The contents of a medical certificate are set forth in Section 56.113:</w:t>
      </w:r>
    </w:p>
    <w:p w:rsidR="00921D68" w:rsidRDefault="00921D68" w:rsidP="00921D68">
      <w:pPr>
        <w:spacing w:after="0" w:line="240" w:lineRule="auto"/>
      </w:pPr>
    </w:p>
    <w:p w:rsidR="00B27047" w:rsidRDefault="00B27047" w:rsidP="006E677A">
      <w:pPr>
        <w:pStyle w:val="NormalWeb"/>
        <w:spacing w:before="0" w:beforeAutospacing="0" w:after="0" w:afterAutospacing="0"/>
        <w:ind w:left="1440" w:right="1440"/>
      </w:pPr>
      <w:bookmarkStart w:id="1" w:name="56.113."/>
      <w:r>
        <w:t xml:space="preserve">Certifications initially may be written or oral, subject to the right of the public utility to verify the certification by calling the physician or nurse practitioner or to require written verification within 7 days. Certifications, whether written or oral, must include the following: </w:t>
      </w:r>
    </w:p>
    <w:p w:rsidR="00921D68" w:rsidRDefault="00921D68" w:rsidP="006E677A">
      <w:pPr>
        <w:pStyle w:val="NormalWeb"/>
        <w:spacing w:before="0" w:beforeAutospacing="0" w:after="0" w:afterAutospacing="0"/>
        <w:ind w:left="1440" w:right="1440"/>
      </w:pPr>
    </w:p>
    <w:p w:rsidR="00B27047" w:rsidRDefault="00B27047" w:rsidP="006E677A">
      <w:pPr>
        <w:pStyle w:val="NormalWeb"/>
        <w:spacing w:before="0" w:beforeAutospacing="0" w:after="0" w:afterAutospacing="0"/>
        <w:ind w:left="1440" w:right="1440"/>
      </w:pPr>
      <w:r>
        <w:t xml:space="preserve">(1) The name and address of the customer or applicant in whose name the account is registered. </w:t>
      </w:r>
    </w:p>
    <w:p w:rsidR="00921D68" w:rsidRDefault="00921D68" w:rsidP="006E677A">
      <w:pPr>
        <w:pStyle w:val="NormalWeb"/>
        <w:spacing w:before="0" w:beforeAutospacing="0" w:after="0" w:afterAutospacing="0"/>
        <w:ind w:left="1440" w:right="1440"/>
      </w:pPr>
    </w:p>
    <w:p w:rsidR="00B27047" w:rsidRDefault="00B27047" w:rsidP="006E677A">
      <w:pPr>
        <w:pStyle w:val="NormalWeb"/>
        <w:spacing w:before="0" w:beforeAutospacing="0" w:after="0" w:afterAutospacing="0"/>
        <w:ind w:left="1440" w:right="1440"/>
      </w:pPr>
      <w:r>
        <w:t xml:space="preserve">(2) The name and address of the afflicted person and relationship to the customer or applicant. </w:t>
      </w:r>
    </w:p>
    <w:p w:rsidR="00921D68" w:rsidRDefault="00921D68" w:rsidP="006E677A">
      <w:pPr>
        <w:pStyle w:val="NormalWeb"/>
        <w:spacing w:before="0" w:beforeAutospacing="0" w:after="0" w:afterAutospacing="0"/>
        <w:ind w:left="1440" w:right="1440"/>
      </w:pPr>
    </w:p>
    <w:p w:rsidR="00B27047" w:rsidRDefault="00B27047" w:rsidP="006E677A">
      <w:pPr>
        <w:pStyle w:val="NormalWeb"/>
        <w:spacing w:before="0" w:beforeAutospacing="0" w:after="0" w:afterAutospacing="0"/>
        <w:ind w:left="1440" w:right="1440"/>
      </w:pPr>
      <w:r>
        <w:t xml:space="preserve">(3) The nature and anticipated length of the affliction. </w:t>
      </w:r>
    </w:p>
    <w:p w:rsidR="00921D68" w:rsidRDefault="00921D68" w:rsidP="006E677A">
      <w:pPr>
        <w:pStyle w:val="NormalWeb"/>
        <w:spacing w:before="0" w:beforeAutospacing="0" w:after="0" w:afterAutospacing="0"/>
        <w:ind w:left="1440" w:right="1440"/>
      </w:pPr>
    </w:p>
    <w:p w:rsidR="00B27047" w:rsidRDefault="00B27047" w:rsidP="006E677A">
      <w:pPr>
        <w:pStyle w:val="NormalWeb"/>
        <w:spacing w:before="0" w:beforeAutospacing="0" w:after="0" w:afterAutospacing="0"/>
        <w:ind w:left="1440" w:right="1440"/>
      </w:pPr>
      <w:r>
        <w:t xml:space="preserve">(4) The specific reason for which the service is required. </w:t>
      </w:r>
    </w:p>
    <w:p w:rsidR="00921D68" w:rsidRDefault="00921D68" w:rsidP="006E677A">
      <w:pPr>
        <w:pStyle w:val="NormalWeb"/>
        <w:spacing w:before="0" w:beforeAutospacing="0" w:after="0" w:afterAutospacing="0"/>
        <w:ind w:left="1440" w:right="1440"/>
      </w:pPr>
    </w:p>
    <w:p w:rsidR="00B27047" w:rsidRDefault="00B27047" w:rsidP="006E677A">
      <w:pPr>
        <w:pStyle w:val="NormalWeb"/>
        <w:spacing w:before="0" w:beforeAutospacing="0" w:after="0" w:afterAutospacing="0"/>
        <w:ind w:left="1440" w:right="1440"/>
      </w:pPr>
      <w:r>
        <w:t>(5) The name, office address and telephone number of the certifying physician or nurse practitioner.</w:t>
      </w:r>
      <w:r>
        <w:rPr>
          <w:rStyle w:val="FootnoteReference"/>
        </w:rPr>
        <w:footnoteReference w:id="9"/>
      </w:r>
    </w:p>
    <w:bookmarkEnd w:id="1"/>
    <w:p w:rsidR="00B27047" w:rsidRDefault="00B27047" w:rsidP="006E677A">
      <w:pPr>
        <w:spacing w:after="0"/>
      </w:pPr>
    </w:p>
    <w:p w:rsidR="00BB3500" w:rsidRDefault="00585451" w:rsidP="00504F44">
      <w:pPr>
        <w:spacing w:after="0"/>
      </w:pPr>
      <w:r>
        <w:t>If a customer fails to pay current charges, the utility is only required to accept two 30-day certifications and need not honor a third renewal of the certificate before terminating service for non-payment.</w:t>
      </w:r>
      <w:r w:rsidR="0049540B">
        <w:rPr>
          <w:rStyle w:val="FootnoteReference"/>
        </w:rPr>
        <w:footnoteReference w:id="10"/>
      </w:r>
    </w:p>
    <w:p w:rsidR="00504F44" w:rsidRDefault="00504F44" w:rsidP="00504F44">
      <w:pPr>
        <w:spacing w:after="0"/>
      </w:pPr>
    </w:p>
    <w:p w:rsidR="00B27047" w:rsidRDefault="00B27047" w:rsidP="00504F44">
      <w:pPr>
        <w:spacing w:after="0"/>
      </w:pPr>
      <w:r>
        <w:tab/>
        <w:t>Roxanne Morris, a Regulatory Consumer Relations Specialist for Duquesne Light, reviewed the records related to the Complainant’s account.  No medical certificate has been filed with Duquesne Light by the Complainant or by her physician</w:t>
      </w:r>
      <w:r w:rsidR="003B7F20">
        <w:t>,</w:t>
      </w:r>
      <w:r>
        <w:t xml:space="preserve"> </w:t>
      </w:r>
      <w:r w:rsidR="005F6FCB">
        <w:t>to verify</w:t>
      </w:r>
      <w:r>
        <w:t xml:space="preserve"> her medical condition and the reason for which electricity service is required.</w:t>
      </w:r>
      <w:r w:rsidR="001F6813">
        <w:t xml:space="preserve">  Therefore, Duquesne Light was not required to reconnect her service</w:t>
      </w:r>
      <w:r w:rsidR="00B91E2E">
        <w:t xml:space="preserve"> because of her alleged medical condition</w:t>
      </w:r>
      <w:r w:rsidR="001F6813">
        <w:t>.</w:t>
      </w:r>
    </w:p>
    <w:p w:rsidR="00076715" w:rsidRDefault="00076715" w:rsidP="00504F44">
      <w:pPr>
        <w:spacing w:after="0"/>
      </w:pPr>
    </w:p>
    <w:p w:rsidR="004D7B08" w:rsidRPr="00DD7545" w:rsidRDefault="004D7B08" w:rsidP="00FC4CE3">
      <w:pPr>
        <w:tabs>
          <w:tab w:val="clear" w:pos="1440"/>
        </w:tabs>
        <w:spacing w:after="0"/>
        <w:ind w:firstLine="1440"/>
        <w:rPr>
          <w:szCs w:val="24"/>
        </w:rPr>
      </w:pPr>
      <w:r>
        <w:t xml:space="preserve">Finally, the Complainant seeks a payment agreement. </w:t>
      </w:r>
      <w:r w:rsidRPr="00DD7545">
        <w:rPr>
          <w:szCs w:val="24"/>
        </w:rPr>
        <w:t>Chapter 14 of the Public Utility Code provides that in certain circumstances a customer</w:t>
      </w:r>
      <w:r w:rsidR="00B91E2E">
        <w:rPr>
          <w:szCs w:val="24"/>
        </w:rPr>
        <w:t xml:space="preserve"> or an applicant</w:t>
      </w:r>
      <w:r w:rsidRPr="00DD7545">
        <w:rPr>
          <w:szCs w:val="24"/>
        </w:rPr>
        <w:t xml:space="preserve"> may be permitted to amortize the amount due on a utility account:</w:t>
      </w:r>
    </w:p>
    <w:p w:rsidR="004D7B08" w:rsidRPr="00DD7545" w:rsidRDefault="004D7B08" w:rsidP="001F23D3">
      <w:pPr>
        <w:tabs>
          <w:tab w:val="clear" w:pos="1440"/>
        </w:tabs>
        <w:spacing w:after="0" w:line="240" w:lineRule="auto"/>
        <w:ind w:left="1440" w:right="1440"/>
        <w:rPr>
          <w:szCs w:val="24"/>
        </w:rPr>
      </w:pPr>
    </w:p>
    <w:p w:rsidR="004D7B08" w:rsidRPr="00DD7545" w:rsidRDefault="004D7B08" w:rsidP="001F23D3">
      <w:pPr>
        <w:tabs>
          <w:tab w:val="clear" w:pos="1440"/>
        </w:tabs>
        <w:spacing w:after="0" w:line="240" w:lineRule="auto"/>
        <w:ind w:left="1440" w:right="1440"/>
        <w:rPr>
          <w:szCs w:val="24"/>
        </w:rPr>
      </w:pPr>
      <w:r w:rsidRPr="00DD7545">
        <w:rPr>
          <w:szCs w:val="24"/>
        </w:rPr>
        <w:t>The Commission is authorized to investigate complaints regarding payment disputes between a public utility, applicants and customers.  The Commission is authorized to establish payment agreements between a public utility, customers and applicants within the time limits established by this chapter.</w:t>
      </w:r>
      <w:r w:rsidRPr="00DD7545">
        <w:rPr>
          <w:szCs w:val="24"/>
          <w:vertAlign w:val="superscript"/>
        </w:rPr>
        <w:footnoteReference w:id="11"/>
      </w:r>
    </w:p>
    <w:p w:rsidR="004D7B08" w:rsidRPr="00DD7545" w:rsidRDefault="004D7B08" w:rsidP="006E677A">
      <w:pPr>
        <w:tabs>
          <w:tab w:val="clear" w:pos="1440"/>
        </w:tabs>
        <w:spacing w:after="0"/>
        <w:rPr>
          <w:szCs w:val="24"/>
        </w:rPr>
      </w:pPr>
    </w:p>
    <w:p w:rsidR="006E677A" w:rsidRDefault="004D7B08" w:rsidP="001F23D3">
      <w:pPr>
        <w:spacing w:after="0"/>
        <w:rPr>
          <w:szCs w:val="24"/>
        </w:rPr>
      </w:pPr>
      <w:r w:rsidRPr="00DD7545">
        <w:rPr>
          <w:szCs w:val="24"/>
        </w:rPr>
        <w:t>The award of a payment arrangement is not mandatory.</w:t>
      </w:r>
      <w:r w:rsidRPr="00DD7545">
        <w:rPr>
          <w:szCs w:val="24"/>
          <w:vertAlign w:val="superscript"/>
        </w:rPr>
        <w:footnoteReference w:id="12"/>
      </w:r>
    </w:p>
    <w:p w:rsidR="006E677A" w:rsidRDefault="006E677A" w:rsidP="001F23D3">
      <w:pPr>
        <w:spacing w:after="0"/>
        <w:rPr>
          <w:szCs w:val="24"/>
        </w:rPr>
      </w:pPr>
    </w:p>
    <w:p w:rsidR="002D1346" w:rsidRDefault="002D1346" w:rsidP="001F23D3">
      <w:pPr>
        <w:spacing w:after="0"/>
        <w:rPr>
          <w:szCs w:val="24"/>
        </w:rPr>
      </w:pPr>
      <w:r>
        <w:rPr>
          <w:szCs w:val="24"/>
        </w:rPr>
        <w:tab/>
      </w:r>
      <w:r w:rsidR="00953241" w:rsidRPr="00953241">
        <w:t>A public utility is entitled to full payment for service provided to customers and all customers are obligated to pay for the utility service provided to them.  Otherwise, a customer’s unpaid bills are included in the utility’s uncollectible expenses and ultimately paid</w:t>
      </w:r>
      <w:r w:rsidR="00953241">
        <w:t xml:space="preserve"> for by other utility customers</w:t>
      </w:r>
      <w:r w:rsidR="00953241" w:rsidRPr="00953241">
        <w:rPr>
          <w:szCs w:val="24"/>
        </w:rPr>
        <w:t>.</w:t>
      </w:r>
      <w:r w:rsidRPr="00DD7545">
        <w:rPr>
          <w:szCs w:val="24"/>
          <w:vertAlign w:val="superscript"/>
        </w:rPr>
        <w:footnoteReference w:id="13"/>
      </w:r>
    </w:p>
    <w:p w:rsidR="001F23D3" w:rsidRDefault="001F23D3" w:rsidP="001F23D3">
      <w:pPr>
        <w:spacing w:after="0"/>
        <w:rPr>
          <w:szCs w:val="24"/>
        </w:rPr>
      </w:pPr>
    </w:p>
    <w:p w:rsidR="004B3C9D" w:rsidRDefault="00715FF7" w:rsidP="001F23D3">
      <w:pPr>
        <w:spacing w:after="0"/>
        <w:rPr>
          <w:szCs w:val="24"/>
        </w:rPr>
      </w:pPr>
      <w:r>
        <w:rPr>
          <w:szCs w:val="24"/>
        </w:rPr>
        <w:tab/>
        <w:t>After carefully considering the testimony and reviewing the account records for this service address, I find that it is no</w:t>
      </w:r>
      <w:r w:rsidR="004B3C9D">
        <w:rPr>
          <w:szCs w:val="24"/>
        </w:rPr>
        <w:t>t</w:t>
      </w:r>
      <w:r>
        <w:rPr>
          <w:szCs w:val="24"/>
        </w:rPr>
        <w:t xml:space="preserve"> appropriate to award this Complainant a payment agreement.  There is no indication that the Complainant will ever make payments on her account.  While I recognize that this </w:t>
      </w:r>
      <w:r w:rsidR="004B3C9D">
        <w:rPr>
          <w:szCs w:val="24"/>
        </w:rPr>
        <w:t xml:space="preserve">may </w:t>
      </w:r>
      <w:r>
        <w:rPr>
          <w:szCs w:val="24"/>
        </w:rPr>
        <w:t xml:space="preserve">create a hardship on the Complainant, to require the ratepayers of Duquesne Light to risk taking on more of the cost of utility service to the Complainant is not fair to Duquesne Light’s ratepayers.  </w:t>
      </w:r>
    </w:p>
    <w:p w:rsidR="001F23D3" w:rsidRDefault="001F23D3" w:rsidP="001F23D3">
      <w:pPr>
        <w:spacing w:after="0"/>
        <w:rPr>
          <w:szCs w:val="24"/>
        </w:rPr>
      </w:pPr>
    </w:p>
    <w:p w:rsidR="00715FF7" w:rsidRDefault="004B3C9D" w:rsidP="001F23D3">
      <w:pPr>
        <w:spacing w:after="0"/>
        <w:rPr>
          <w:szCs w:val="24"/>
        </w:rPr>
      </w:pPr>
      <w:r>
        <w:rPr>
          <w:szCs w:val="24"/>
        </w:rPr>
        <w:tab/>
      </w:r>
      <w:r w:rsidR="00715FF7">
        <w:rPr>
          <w:szCs w:val="24"/>
        </w:rPr>
        <w:t>The Complainant had an account in her name at this service address which was terminated for non-payment.  At that time, over $4,000 became uncollectible and was passed on to ratepayers.  Other individuals who lived with the Complainant established a series of accounts for the service address between 2011 and 2013</w:t>
      </w:r>
      <w:r w:rsidR="00035DC4">
        <w:rPr>
          <w:szCs w:val="24"/>
        </w:rPr>
        <w:t xml:space="preserve">. </w:t>
      </w:r>
      <w:r w:rsidR="00396A22">
        <w:rPr>
          <w:szCs w:val="24"/>
        </w:rPr>
        <w:t xml:space="preserve"> </w:t>
      </w:r>
      <w:r w:rsidR="00035DC4">
        <w:rPr>
          <w:szCs w:val="24"/>
        </w:rPr>
        <w:t>During that period of time</w:t>
      </w:r>
      <w:r w:rsidR="00715FF7">
        <w:rPr>
          <w:szCs w:val="24"/>
        </w:rPr>
        <w:t xml:space="preserve"> </w:t>
      </w:r>
      <w:r w:rsidR="009E40AB">
        <w:rPr>
          <w:szCs w:val="24"/>
        </w:rPr>
        <w:t>only two payments were made on the account.  Therefore, once again, a substantial balance has accrued for which the Complainant seeks to avoid responsibility.</w:t>
      </w:r>
      <w:r w:rsidR="00715FF7">
        <w:rPr>
          <w:szCs w:val="24"/>
        </w:rPr>
        <w:t xml:space="preserve"> </w:t>
      </w:r>
      <w:r w:rsidR="00396A22">
        <w:rPr>
          <w:szCs w:val="24"/>
        </w:rPr>
        <w:t xml:space="preserve"> </w:t>
      </w:r>
      <w:r w:rsidR="00035DC4">
        <w:rPr>
          <w:szCs w:val="24"/>
        </w:rPr>
        <w:t>There is no evidence of any good faith attempt to make any payments for the utility service from which she has benefitted.  It is unlikely that she will change her behavior in the future.  Therefore, it is not appropriate to award the Complainant a payment arrangement.</w:t>
      </w:r>
    </w:p>
    <w:p w:rsidR="001F23D3" w:rsidRDefault="001F23D3" w:rsidP="001F23D3">
      <w:pPr>
        <w:spacing w:after="0"/>
        <w:rPr>
          <w:szCs w:val="24"/>
        </w:rPr>
      </w:pPr>
    </w:p>
    <w:p w:rsidR="00035E7C" w:rsidRDefault="00035E7C" w:rsidP="001F23D3">
      <w:pPr>
        <w:spacing w:after="0"/>
        <w:jc w:val="center"/>
        <w:rPr>
          <w:szCs w:val="24"/>
          <w:u w:val="single"/>
        </w:rPr>
      </w:pPr>
      <w:r w:rsidRPr="005B0678">
        <w:rPr>
          <w:szCs w:val="24"/>
          <w:u w:val="single"/>
        </w:rPr>
        <w:t>CONCLUSIONS OF LAW</w:t>
      </w:r>
    </w:p>
    <w:p w:rsidR="001F23D3" w:rsidRPr="005B0678" w:rsidRDefault="001F23D3" w:rsidP="001F23D3">
      <w:pPr>
        <w:spacing w:after="0"/>
        <w:jc w:val="center"/>
        <w:rPr>
          <w:szCs w:val="24"/>
          <w:u w:val="single"/>
        </w:rPr>
      </w:pPr>
    </w:p>
    <w:p w:rsidR="00035E7C" w:rsidRDefault="00035E7C" w:rsidP="001F23D3">
      <w:pPr>
        <w:spacing w:after="0"/>
        <w:rPr>
          <w:szCs w:val="24"/>
        </w:rPr>
      </w:pPr>
      <w:r>
        <w:rPr>
          <w:szCs w:val="24"/>
        </w:rPr>
        <w:tab/>
        <w:t>1.</w:t>
      </w:r>
      <w:r>
        <w:rPr>
          <w:szCs w:val="24"/>
        </w:rPr>
        <w:tab/>
        <w:t xml:space="preserve">The Commission has jurisdiction over the parties and subject matter of this dispute.  </w:t>
      </w:r>
      <w:proofErr w:type="gramStart"/>
      <w:r>
        <w:rPr>
          <w:szCs w:val="24"/>
        </w:rPr>
        <w:t>66 Pa.C.S.</w:t>
      </w:r>
      <w:proofErr w:type="gramEnd"/>
      <w:r>
        <w:rPr>
          <w:szCs w:val="24"/>
        </w:rPr>
        <w:t xml:space="preserve"> § 701.</w:t>
      </w:r>
    </w:p>
    <w:p w:rsidR="001F23D3" w:rsidRDefault="001F23D3" w:rsidP="001F23D3">
      <w:pPr>
        <w:spacing w:after="0"/>
        <w:rPr>
          <w:szCs w:val="24"/>
        </w:rPr>
      </w:pPr>
    </w:p>
    <w:p w:rsidR="00035E7C" w:rsidRDefault="00035E7C" w:rsidP="006E677A">
      <w:pPr>
        <w:spacing w:after="0"/>
      </w:pPr>
      <w:r>
        <w:rPr>
          <w:szCs w:val="24"/>
        </w:rPr>
        <w:tab/>
        <w:t>2.</w:t>
      </w:r>
      <w:r>
        <w:rPr>
          <w:szCs w:val="24"/>
        </w:rPr>
        <w:tab/>
      </w:r>
      <w:r w:rsidR="005B0678">
        <w:rPr>
          <w:szCs w:val="24"/>
        </w:rPr>
        <w:t xml:space="preserve">Duquesne Light was authorized to require payment of the outstanding balance at the service address because the Complainant </w:t>
      </w:r>
      <w:r w:rsidR="004B3C9D">
        <w:rPr>
          <w:szCs w:val="24"/>
        </w:rPr>
        <w:t xml:space="preserve">owned and </w:t>
      </w:r>
      <w:r>
        <w:t xml:space="preserve">resided at </w:t>
      </w:r>
      <w:r w:rsidR="005B0678">
        <w:t>the property for which service wa</w:t>
      </w:r>
      <w:r>
        <w:t>s requested during the tim</w:t>
      </w:r>
      <w:r w:rsidR="005B0678">
        <w:t>e the outstanding balance</w:t>
      </w:r>
      <w:r>
        <w:t xml:space="preserve">. </w:t>
      </w:r>
      <w:proofErr w:type="gramStart"/>
      <w:r>
        <w:t>66 Pa.C.S.</w:t>
      </w:r>
      <w:proofErr w:type="gramEnd"/>
      <w:r>
        <w:t xml:space="preserve"> § 1407.</w:t>
      </w:r>
    </w:p>
    <w:p w:rsidR="001F23D3" w:rsidRDefault="001F23D3" w:rsidP="006E677A">
      <w:pPr>
        <w:spacing w:after="0"/>
      </w:pPr>
    </w:p>
    <w:p w:rsidR="00035E7C" w:rsidRDefault="00035E7C" w:rsidP="006E677A">
      <w:pPr>
        <w:spacing w:after="0"/>
      </w:pPr>
      <w:r>
        <w:tab/>
        <w:t>3.</w:t>
      </w:r>
      <w:r>
        <w:tab/>
        <w:t xml:space="preserve">Duquesne Light was authorized to request a security deposit as a condition of establishing service </w:t>
      </w:r>
      <w:r w:rsidR="005B0678">
        <w:t>because the Complainant previously</w:t>
      </w:r>
      <w:r>
        <w:t xml:space="preserve"> had utility service which was terminated for non-payment</w:t>
      </w:r>
      <w:r w:rsidR="005B0678">
        <w:t xml:space="preserve">.  </w:t>
      </w:r>
      <w:proofErr w:type="gramStart"/>
      <w:r w:rsidR="005B0678">
        <w:t>66 Pa.C.S.</w:t>
      </w:r>
      <w:proofErr w:type="gramEnd"/>
      <w:r w:rsidR="005B0678">
        <w:t xml:space="preserve"> § 1404.</w:t>
      </w:r>
    </w:p>
    <w:p w:rsidR="001F23D3" w:rsidRDefault="001F23D3" w:rsidP="006E677A">
      <w:pPr>
        <w:spacing w:after="0"/>
      </w:pPr>
    </w:p>
    <w:p w:rsidR="005B0678" w:rsidRDefault="005B0678" w:rsidP="006E677A">
      <w:pPr>
        <w:spacing w:after="0"/>
      </w:pPr>
      <w:r>
        <w:tab/>
        <w:t>4.</w:t>
      </w:r>
      <w:r>
        <w:tab/>
        <w:t xml:space="preserve">Duquesne Light was not required to establish service at the service address due to the Complainant’s alleged medical condition because the Complainant did not submit a medical certification.  </w:t>
      </w:r>
      <w:proofErr w:type="gramStart"/>
      <w:r>
        <w:t>52 Pa.Code § 56.111.</w:t>
      </w:r>
      <w:proofErr w:type="gramEnd"/>
    </w:p>
    <w:p w:rsidR="001F23D3" w:rsidRDefault="001F23D3" w:rsidP="006E677A">
      <w:pPr>
        <w:spacing w:after="0"/>
      </w:pPr>
    </w:p>
    <w:p w:rsidR="005B0678" w:rsidRDefault="005B0678" w:rsidP="006E677A">
      <w:pPr>
        <w:spacing w:after="0"/>
      </w:pPr>
      <w:r>
        <w:tab/>
        <w:t>5.</w:t>
      </w:r>
      <w:r>
        <w:tab/>
        <w:t>The Complainant failed to sustain her burden of proving that she was entitled to a payment agreement where she has a very poor payment history and failed to demonstrate any likelihood that she w</w:t>
      </w:r>
      <w:r w:rsidR="005F6FCB">
        <w:t>ould</w:t>
      </w:r>
      <w:r>
        <w:t xml:space="preserve"> comply with the terms of the agreement.  </w:t>
      </w:r>
      <w:r>
        <w:rPr>
          <w:i/>
        </w:rPr>
        <w:t>Buchanan v. Pike County Light and Power Company</w:t>
      </w:r>
      <w:r>
        <w:t xml:space="preserve">, PUC Docket No. F-2009-2137873 (Final Order entered December 12, 2011); </w:t>
      </w:r>
      <w:r>
        <w:rPr>
          <w:i/>
        </w:rPr>
        <w:t>Creekmur v. PECO Energy Co</w:t>
      </w:r>
      <w:r w:rsidR="002A3E6A">
        <w:rPr>
          <w:i/>
        </w:rPr>
        <w:t>mpany</w:t>
      </w:r>
      <w:r>
        <w:rPr>
          <w:i/>
        </w:rPr>
        <w:t>,</w:t>
      </w:r>
      <w:r>
        <w:t xml:space="preserve"> PUC Docket No. C-2008-2079322 (Final Order entered February 4, 2010); </w:t>
      </w:r>
      <w:r>
        <w:rPr>
          <w:i/>
        </w:rPr>
        <w:t>Crawford v. National Fuel Gas Distribution Corp</w:t>
      </w:r>
      <w:r>
        <w:t>., PUC Docket No. C-20066348 (Final Order entered December 6, 2007.</w:t>
      </w:r>
    </w:p>
    <w:p w:rsidR="00332A76" w:rsidRDefault="00332A76" w:rsidP="006E677A">
      <w:pPr>
        <w:spacing w:after="0"/>
      </w:pPr>
    </w:p>
    <w:p w:rsidR="005B0678" w:rsidRDefault="005B0678" w:rsidP="001F23D3">
      <w:pPr>
        <w:spacing w:after="0"/>
        <w:jc w:val="center"/>
        <w:rPr>
          <w:u w:val="single"/>
        </w:rPr>
      </w:pPr>
      <w:r w:rsidRPr="005B0678">
        <w:rPr>
          <w:u w:val="single"/>
        </w:rPr>
        <w:t>ORDER</w:t>
      </w:r>
    </w:p>
    <w:p w:rsidR="001F23D3" w:rsidRDefault="001F23D3" w:rsidP="001F23D3">
      <w:pPr>
        <w:spacing w:after="0"/>
        <w:jc w:val="center"/>
        <w:rPr>
          <w:u w:val="single"/>
        </w:rPr>
      </w:pPr>
    </w:p>
    <w:p w:rsidR="001F23D3" w:rsidRDefault="001F23D3" w:rsidP="001F23D3">
      <w:pPr>
        <w:spacing w:after="0"/>
        <w:jc w:val="center"/>
        <w:rPr>
          <w:u w:val="single"/>
        </w:rPr>
      </w:pPr>
    </w:p>
    <w:p w:rsidR="005B0678" w:rsidRDefault="00123128" w:rsidP="001F23D3">
      <w:pPr>
        <w:spacing w:after="0"/>
      </w:pPr>
      <w:r>
        <w:tab/>
      </w:r>
      <w:r w:rsidR="005B0678">
        <w:t>THEREFORE,</w:t>
      </w:r>
    </w:p>
    <w:p w:rsidR="001F23D3" w:rsidRDefault="001F23D3" w:rsidP="001F23D3">
      <w:pPr>
        <w:spacing w:after="0"/>
      </w:pPr>
    </w:p>
    <w:p w:rsidR="005B0678" w:rsidRDefault="00123128" w:rsidP="006E677A">
      <w:pPr>
        <w:spacing w:after="0"/>
      </w:pPr>
      <w:r>
        <w:tab/>
      </w:r>
      <w:r w:rsidR="005B0678">
        <w:t>IT IS ORDERED:</w:t>
      </w:r>
    </w:p>
    <w:p w:rsidR="001F23D3" w:rsidRDefault="001F23D3" w:rsidP="001F23D3">
      <w:pPr>
        <w:spacing w:after="0"/>
      </w:pPr>
    </w:p>
    <w:p w:rsidR="005B0678" w:rsidRDefault="005B0678" w:rsidP="006E677A">
      <w:pPr>
        <w:spacing w:after="0"/>
      </w:pPr>
      <w:r>
        <w:tab/>
        <w:t>1.</w:t>
      </w:r>
      <w:r>
        <w:tab/>
        <w:t>That the Complaint of Kathleen L. Petrich v. Duquesne Light Company at Docket No. F-2014-2457352 is dismissed.</w:t>
      </w:r>
    </w:p>
    <w:p w:rsidR="001F23D3" w:rsidRDefault="001F23D3" w:rsidP="006E677A">
      <w:pPr>
        <w:spacing w:after="0"/>
      </w:pPr>
    </w:p>
    <w:p w:rsidR="005B0678" w:rsidRDefault="005B0678" w:rsidP="006E677A">
      <w:pPr>
        <w:spacing w:after="0"/>
      </w:pPr>
      <w:r>
        <w:tab/>
        <w:t>2.</w:t>
      </w:r>
      <w:r>
        <w:tab/>
        <w:t>That the Secretary</w:t>
      </w:r>
      <w:r w:rsidR="00C419B9">
        <w:t xml:space="preserve"> shall</w:t>
      </w:r>
      <w:r>
        <w:t xml:space="preserve"> mark the docket closed.</w:t>
      </w:r>
    </w:p>
    <w:p w:rsidR="001F23D3" w:rsidRDefault="001F23D3" w:rsidP="006E677A">
      <w:pPr>
        <w:spacing w:after="0"/>
      </w:pPr>
    </w:p>
    <w:p w:rsidR="001F23D3" w:rsidRDefault="001F23D3" w:rsidP="006E677A">
      <w:pPr>
        <w:spacing w:after="0"/>
      </w:pPr>
    </w:p>
    <w:p w:rsidR="001F23D3" w:rsidRDefault="001F23D3" w:rsidP="006E677A">
      <w:pPr>
        <w:spacing w:after="0"/>
      </w:pPr>
    </w:p>
    <w:p w:rsidR="001F23D3" w:rsidRPr="001F23D3" w:rsidRDefault="001F23D3" w:rsidP="001F23D3">
      <w:pPr>
        <w:spacing w:after="0" w:line="240" w:lineRule="auto"/>
      </w:pPr>
      <w:r w:rsidRPr="001F23D3">
        <w:t xml:space="preserve">Date:  </w:t>
      </w:r>
      <w:r w:rsidR="00FC4CE3">
        <w:rPr>
          <w:u w:val="single"/>
        </w:rPr>
        <w:t>June 9</w:t>
      </w:r>
      <w:r w:rsidRPr="001F23D3">
        <w:rPr>
          <w:u w:val="single"/>
        </w:rPr>
        <w:t>, 2015</w:t>
      </w:r>
      <w:r w:rsidRPr="001F23D3">
        <w:tab/>
      </w:r>
      <w:r w:rsidRPr="001F23D3">
        <w:tab/>
      </w:r>
      <w:r w:rsidRPr="001F23D3">
        <w:tab/>
      </w:r>
      <w:r w:rsidRPr="001F23D3">
        <w:tab/>
      </w:r>
      <w:r w:rsidRPr="001F23D3">
        <w:tab/>
      </w:r>
      <w:r w:rsidRPr="001F23D3">
        <w:tab/>
      </w:r>
      <w:r w:rsidRPr="001F23D3">
        <w:rPr>
          <w:u w:val="single"/>
        </w:rPr>
        <w:tab/>
      </w:r>
      <w:r w:rsidRPr="001F23D3">
        <w:rPr>
          <w:u w:val="single"/>
        </w:rPr>
        <w:tab/>
        <w:t>/s/</w:t>
      </w:r>
      <w:r w:rsidRPr="001F23D3">
        <w:rPr>
          <w:u w:val="single"/>
        </w:rPr>
        <w:tab/>
      </w:r>
      <w:r w:rsidRPr="001F23D3">
        <w:rPr>
          <w:u w:val="single"/>
        </w:rPr>
        <w:tab/>
      </w:r>
      <w:r w:rsidRPr="001F23D3">
        <w:rPr>
          <w:u w:val="single"/>
        </w:rPr>
        <w:tab/>
      </w:r>
    </w:p>
    <w:p w:rsidR="001F23D3" w:rsidRPr="001F23D3" w:rsidRDefault="001F23D3" w:rsidP="001F23D3">
      <w:pPr>
        <w:spacing w:after="0" w:line="240" w:lineRule="auto"/>
      </w:pPr>
      <w:r w:rsidRPr="001F23D3">
        <w:tab/>
      </w:r>
      <w:r w:rsidRPr="001F23D3">
        <w:tab/>
      </w:r>
      <w:r w:rsidRPr="001F23D3">
        <w:tab/>
      </w:r>
      <w:r w:rsidRPr="001F23D3">
        <w:tab/>
      </w:r>
      <w:r w:rsidRPr="001F23D3">
        <w:tab/>
      </w:r>
      <w:r w:rsidRPr="001F23D3">
        <w:tab/>
      </w:r>
      <w:r w:rsidRPr="001F23D3">
        <w:tab/>
        <w:t>Mary D. Long</w:t>
      </w:r>
    </w:p>
    <w:p w:rsidR="001F23D3" w:rsidRPr="001F23D3" w:rsidRDefault="001F23D3" w:rsidP="001F23D3">
      <w:pPr>
        <w:spacing w:after="0" w:line="240" w:lineRule="auto"/>
      </w:pPr>
      <w:r w:rsidRPr="001F23D3">
        <w:tab/>
      </w:r>
      <w:r w:rsidRPr="001F23D3">
        <w:tab/>
      </w:r>
      <w:r w:rsidRPr="001F23D3">
        <w:tab/>
      </w:r>
      <w:r w:rsidRPr="001F23D3">
        <w:tab/>
      </w:r>
      <w:r w:rsidRPr="001F23D3">
        <w:tab/>
      </w:r>
      <w:r w:rsidRPr="001F23D3">
        <w:tab/>
      </w:r>
      <w:r w:rsidRPr="001F23D3">
        <w:tab/>
        <w:t>Administrative Law Judge</w:t>
      </w:r>
    </w:p>
    <w:p w:rsidR="001F23D3" w:rsidRDefault="001F23D3" w:rsidP="006E677A">
      <w:pPr>
        <w:spacing w:after="0"/>
      </w:pPr>
    </w:p>
    <w:p w:rsidR="001F23D3" w:rsidRDefault="001F23D3" w:rsidP="006E677A">
      <w:pPr>
        <w:spacing w:after="0"/>
      </w:pPr>
    </w:p>
    <w:p w:rsidR="001F23D3" w:rsidRDefault="001F23D3" w:rsidP="006E677A">
      <w:pPr>
        <w:spacing w:after="0"/>
      </w:pPr>
    </w:p>
    <w:p w:rsidR="001F23D3" w:rsidRDefault="001F23D3" w:rsidP="006E677A">
      <w:pPr>
        <w:spacing w:after="0"/>
      </w:pPr>
    </w:p>
    <w:p w:rsidR="001F23D3" w:rsidRPr="00035E7C" w:rsidRDefault="001F23D3" w:rsidP="006E677A">
      <w:pPr>
        <w:spacing w:after="0"/>
        <w:rPr>
          <w:szCs w:val="24"/>
        </w:rPr>
      </w:pPr>
    </w:p>
    <w:sectPr w:rsidR="001F23D3" w:rsidRPr="00035E7C" w:rsidSect="0052718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F3" w:rsidRDefault="006A67F3" w:rsidP="001A1FF7">
      <w:pPr>
        <w:spacing w:after="0" w:line="240" w:lineRule="auto"/>
      </w:pPr>
      <w:r>
        <w:separator/>
      </w:r>
    </w:p>
  </w:endnote>
  <w:endnote w:type="continuationSeparator" w:id="0">
    <w:p w:rsidR="006A67F3" w:rsidRDefault="006A67F3" w:rsidP="001A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823400"/>
      <w:docPartObj>
        <w:docPartGallery w:val="Page Numbers (Bottom of Page)"/>
        <w:docPartUnique/>
      </w:docPartObj>
    </w:sdtPr>
    <w:sdtEndPr>
      <w:rPr>
        <w:noProof/>
        <w:sz w:val="20"/>
      </w:rPr>
    </w:sdtEndPr>
    <w:sdtContent>
      <w:p w:rsidR="00527187" w:rsidRPr="00657DA9" w:rsidRDefault="00527187">
        <w:pPr>
          <w:pStyle w:val="Footer"/>
          <w:jc w:val="center"/>
          <w:rPr>
            <w:sz w:val="20"/>
          </w:rPr>
        </w:pPr>
        <w:r w:rsidRPr="00657DA9">
          <w:rPr>
            <w:sz w:val="20"/>
          </w:rPr>
          <w:fldChar w:fldCharType="begin"/>
        </w:r>
        <w:r w:rsidRPr="00657DA9">
          <w:rPr>
            <w:sz w:val="20"/>
          </w:rPr>
          <w:instrText xml:space="preserve"> PAGE   \* MERGEFORMAT </w:instrText>
        </w:r>
        <w:r w:rsidRPr="00657DA9">
          <w:rPr>
            <w:sz w:val="20"/>
          </w:rPr>
          <w:fldChar w:fldCharType="separate"/>
        </w:r>
        <w:r w:rsidR="007059DD">
          <w:rPr>
            <w:noProof/>
            <w:sz w:val="20"/>
          </w:rPr>
          <w:t>3</w:t>
        </w:r>
        <w:r w:rsidRPr="00657DA9">
          <w:rPr>
            <w:noProof/>
            <w:sz w:val="20"/>
          </w:rPr>
          <w:fldChar w:fldCharType="end"/>
        </w:r>
      </w:p>
    </w:sdtContent>
  </w:sdt>
  <w:p w:rsidR="001A1FF7" w:rsidRDefault="001A1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F3" w:rsidRDefault="006A67F3" w:rsidP="001A1FF7">
      <w:pPr>
        <w:spacing w:after="0" w:line="240" w:lineRule="auto"/>
      </w:pPr>
      <w:r>
        <w:separator/>
      </w:r>
    </w:p>
  </w:footnote>
  <w:footnote w:type="continuationSeparator" w:id="0">
    <w:p w:rsidR="006A67F3" w:rsidRDefault="006A67F3" w:rsidP="001A1FF7">
      <w:pPr>
        <w:spacing w:after="0" w:line="240" w:lineRule="auto"/>
      </w:pPr>
      <w:r>
        <w:continuationSeparator/>
      </w:r>
    </w:p>
  </w:footnote>
  <w:footnote w:id="1">
    <w:p w:rsidR="00284CBD" w:rsidRDefault="00284CBD" w:rsidP="000C309A">
      <w:pPr>
        <w:pStyle w:val="FootnoteText"/>
        <w:spacing w:after="0"/>
      </w:pPr>
      <w:r w:rsidRPr="00C81B96">
        <w:rPr>
          <w:rStyle w:val="FootnoteReference"/>
        </w:rPr>
        <w:footnoteRef/>
      </w:r>
      <w:r w:rsidRPr="00C81B96">
        <w:t xml:space="preserve"> </w:t>
      </w:r>
      <w:r>
        <w:tab/>
      </w:r>
      <w:proofErr w:type="gramStart"/>
      <w:r w:rsidRPr="00C81B96">
        <w:t>66 Pa.C.S.</w:t>
      </w:r>
      <w:proofErr w:type="gramEnd"/>
      <w:r w:rsidRPr="00C81B96">
        <w:t xml:space="preserve"> §</w:t>
      </w:r>
      <w:r>
        <w:t xml:space="preserve"> </w:t>
      </w:r>
      <w:r w:rsidRPr="00C81B96">
        <w:t>701.</w:t>
      </w:r>
    </w:p>
    <w:p w:rsidR="00284CBD" w:rsidRPr="00C81B96" w:rsidRDefault="00284CBD" w:rsidP="00921D68">
      <w:pPr>
        <w:pStyle w:val="FootnoteText"/>
        <w:spacing w:after="0"/>
        <w:ind w:firstLine="720"/>
      </w:pPr>
    </w:p>
  </w:footnote>
  <w:footnote w:id="2">
    <w:p w:rsidR="00284CBD" w:rsidRDefault="00284CBD" w:rsidP="000C309A">
      <w:pPr>
        <w:pStyle w:val="FootnoteText"/>
        <w:spacing w:after="0"/>
      </w:pPr>
      <w:r w:rsidRPr="00C81B96">
        <w:rPr>
          <w:rStyle w:val="FootnoteReference"/>
        </w:rPr>
        <w:footnoteRef/>
      </w:r>
      <w:r w:rsidRPr="00C81B96">
        <w:t xml:space="preserve"> </w:t>
      </w:r>
      <w:r>
        <w:tab/>
      </w:r>
      <w:r w:rsidRPr="00C81B96">
        <w:t>66 Pa.C.S. §</w:t>
      </w:r>
      <w:r>
        <w:t xml:space="preserve"> </w:t>
      </w:r>
      <w:r w:rsidRPr="00C81B96">
        <w:t>332(a).</w:t>
      </w:r>
    </w:p>
    <w:p w:rsidR="00284CBD" w:rsidRPr="00C81B96" w:rsidRDefault="00284CBD" w:rsidP="00921D68">
      <w:pPr>
        <w:pStyle w:val="FootnoteText"/>
        <w:spacing w:after="0"/>
        <w:ind w:firstLine="720"/>
      </w:pPr>
    </w:p>
  </w:footnote>
  <w:footnote w:id="3">
    <w:p w:rsidR="00284CBD" w:rsidRDefault="00284CBD" w:rsidP="000C309A">
      <w:pPr>
        <w:pStyle w:val="FootnoteText"/>
        <w:spacing w:after="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035E7C" w:rsidRPr="00C81B96" w:rsidRDefault="00035E7C" w:rsidP="00921D68">
      <w:pPr>
        <w:pStyle w:val="FootnoteText"/>
        <w:spacing w:after="0"/>
        <w:ind w:firstLine="720"/>
      </w:pPr>
    </w:p>
  </w:footnote>
  <w:footnote w:id="4">
    <w:p w:rsidR="001B532B" w:rsidRDefault="001B532B" w:rsidP="000C309A">
      <w:pPr>
        <w:pStyle w:val="FootnoteText"/>
        <w:spacing w:after="0"/>
      </w:pPr>
      <w:r>
        <w:rPr>
          <w:rStyle w:val="FootnoteReference"/>
        </w:rPr>
        <w:footnoteRef/>
      </w:r>
      <w:r>
        <w:t xml:space="preserve"> </w:t>
      </w:r>
      <w:r>
        <w:tab/>
        <w:t>66 Pa.C.S. §1407(d).</w:t>
      </w:r>
    </w:p>
  </w:footnote>
  <w:footnote w:id="5">
    <w:p w:rsidR="00327344" w:rsidRDefault="001B532B" w:rsidP="000C309A">
      <w:pPr>
        <w:pStyle w:val="FootnoteText"/>
        <w:spacing w:after="0"/>
      </w:pPr>
      <w:r>
        <w:rPr>
          <w:rStyle w:val="FootnoteReference"/>
        </w:rPr>
        <w:footnoteRef/>
      </w:r>
      <w:r>
        <w:t xml:space="preserve">  </w:t>
      </w:r>
      <w:r>
        <w:tab/>
      </w:r>
      <w:r w:rsidRPr="001B532B">
        <w:rPr>
          <w:i/>
        </w:rPr>
        <w:t xml:space="preserve">E.g. </w:t>
      </w:r>
      <w:proofErr w:type="spellStart"/>
      <w:r w:rsidR="006B1396">
        <w:rPr>
          <w:i/>
        </w:rPr>
        <w:t>Swartley</w:t>
      </w:r>
      <w:proofErr w:type="spellEnd"/>
      <w:r w:rsidR="006B1396">
        <w:rPr>
          <w:i/>
        </w:rPr>
        <w:t xml:space="preserve"> v. PECO Energy Company, </w:t>
      </w:r>
      <w:r w:rsidR="006B1396">
        <w:t>Docket No. F-2013</w:t>
      </w:r>
      <w:r w:rsidR="00921D68">
        <w:t>-</w:t>
      </w:r>
      <w:r w:rsidR="006B1396">
        <w:t xml:space="preserve">2367019 (Initial Decision issued February 4, 2014, Final Order entered March 17, 2014); </w:t>
      </w:r>
      <w:r w:rsidRPr="001B532B">
        <w:rPr>
          <w:i/>
        </w:rPr>
        <w:t>Kopf v. PECO Energy Company</w:t>
      </w:r>
      <w:r w:rsidRPr="001B532B">
        <w:t xml:space="preserve">, PUC Docket No. C-2012-2332993 (Opinion and Order entered June 13, 2013); </w:t>
      </w:r>
      <w:proofErr w:type="spellStart"/>
      <w:r w:rsidRPr="001B532B">
        <w:rPr>
          <w:i/>
        </w:rPr>
        <w:t>Corazzini</w:t>
      </w:r>
      <w:proofErr w:type="spellEnd"/>
      <w:r w:rsidRPr="001B532B">
        <w:rPr>
          <w:i/>
        </w:rPr>
        <w:t xml:space="preserve"> v. UGI Penn National Gas</w:t>
      </w:r>
      <w:r w:rsidR="006719E5">
        <w:rPr>
          <w:i/>
        </w:rPr>
        <w:t>,</w:t>
      </w:r>
      <w:r w:rsidRPr="001B532B">
        <w:rPr>
          <w:i/>
        </w:rPr>
        <w:t xml:space="preserve"> Inc.,</w:t>
      </w:r>
      <w:r w:rsidRPr="001B532B">
        <w:t xml:space="preserve"> PUC Docket No.</w:t>
      </w:r>
    </w:p>
    <w:p w:rsidR="001B532B" w:rsidRDefault="001B532B" w:rsidP="00C91965">
      <w:pPr>
        <w:pStyle w:val="FootnoteText"/>
        <w:spacing w:after="0"/>
      </w:pPr>
      <w:r w:rsidRPr="001B532B">
        <w:t xml:space="preserve"> F-2009-2101282 (Opinion and Order entered July 16, 2010).</w:t>
      </w:r>
    </w:p>
    <w:p w:rsidR="00327344" w:rsidRDefault="00327344" w:rsidP="00C91965">
      <w:pPr>
        <w:pStyle w:val="FootnoteText"/>
        <w:spacing w:after="0"/>
      </w:pPr>
    </w:p>
  </w:footnote>
  <w:footnote w:id="6">
    <w:p w:rsidR="00B80CFB" w:rsidRDefault="00B80CFB" w:rsidP="000C309A">
      <w:pPr>
        <w:pStyle w:val="FootnoteText"/>
        <w:spacing w:after="0"/>
      </w:pPr>
      <w:r>
        <w:rPr>
          <w:rStyle w:val="FootnoteReference"/>
        </w:rPr>
        <w:footnoteRef/>
      </w:r>
      <w:r>
        <w:t xml:space="preserve">  </w:t>
      </w:r>
      <w:r>
        <w:tab/>
        <w:t>66 Pa.C.S. § 1404(a)(1)(i)</w:t>
      </w:r>
    </w:p>
    <w:p w:rsidR="00C91965" w:rsidRDefault="00C91965" w:rsidP="00C91965">
      <w:pPr>
        <w:pStyle w:val="FootnoteText"/>
        <w:spacing w:after="0"/>
        <w:ind w:firstLine="720"/>
      </w:pPr>
    </w:p>
  </w:footnote>
  <w:footnote w:id="7">
    <w:p w:rsidR="00BB3500" w:rsidRDefault="00BB3500" w:rsidP="000C309A">
      <w:pPr>
        <w:pStyle w:val="FootnoteText"/>
        <w:spacing w:after="0"/>
      </w:pPr>
      <w:r>
        <w:rPr>
          <w:rStyle w:val="FootnoteReference"/>
        </w:rPr>
        <w:footnoteRef/>
      </w:r>
      <w:r>
        <w:t xml:space="preserve">  </w:t>
      </w:r>
      <w:r>
        <w:tab/>
        <w:t>5</w:t>
      </w:r>
      <w:r w:rsidR="00585451">
        <w:t>2</w:t>
      </w:r>
      <w:r>
        <w:t xml:space="preserve"> Pa.Code § 56.111.</w:t>
      </w:r>
    </w:p>
    <w:p w:rsidR="00C91965" w:rsidRDefault="00C91965" w:rsidP="00C91965">
      <w:pPr>
        <w:pStyle w:val="FootnoteText"/>
        <w:spacing w:after="0"/>
        <w:ind w:firstLine="720"/>
      </w:pPr>
    </w:p>
  </w:footnote>
  <w:footnote w:id="8">
    <w:p w:rsidR="00585451" w:rsidRDefault="00585451" w:rsidP="000C309A">
      <w:pPr>
        <w:pStyle w:val="FootnoteText"/>
        <w:spacing w:after="0"/>
      </w:pPr>
      <w:r>
        <w:rPr>
          <w:rStyle w:val="FootnoteReference"/>
        </w:rPr>
        <w:footnoteRef/>
      </w:r>
      <w:r>
        <w:t xml:space="preserve">  </w:t>
      </w:r>
      <w:r>
        <w:tab/>
      </w:r>
      <w:proofErr w:type="gramStart"/>
      <w:r>
        <w:t>52 Pa.Code § 56.116.</w:t>
      </w:r>
      <w:proofErr w:type="gramEnd"/>
    </w:p>
    <w:p w:rsidR="00076715" w:rsidRDefault="00076715" w:rsidP="000C309A">
      <w:pPr>
        <w:pStyle w:val="FootnoteText"/>
        <w:spacing w:after="0"/>
      </w:pPr>
    </w:p>
  </w:footnote>
  <w:footnote w:id="9">
    <w:p w:rsidR="00B27047" w:rsidRDefault="00B27047" w:rsidP="000C309A">
      <w:pPr>
        <w:pStyle w:val="FootnoteText"/>
        <w:spacing w:after="0"/>
      </w:pPr>
      <w:r>
        <w:rPr>
          <w:rStyle w:val="FootnoteReference"/>
        </w:rPr>
        <w:footnoteRef/>
      </w:r>
      <w:r>
        <w:t xml:space="preserve">  </w:t>
      </w:r>
      <w:r>
        <w:tab/>
      </w:r>
      <w:proofErr w:type="gramStart"/>
      <w:r>
        <w:t>52 Pa.Code § 56.113.</w:t>
      </w:r>
      <w:proofErr w:type="gramEnd"/>
    </w:p>
    <w:p w:rsidR="00076715" w:rsidRDefault="00076715" w:rsidP="000C309A">
      <w:pPr>
        <w:pStyle w:val="FootnoteText"/>
        <w:spacing w:after="0"/>
      </w:pPr>
    </w:p>
  </w:footnote>
  <w:footnote w:id="10">
    <w:p w:rsidR="0049540B" w:rsidRDefault="0049540B" w:rsidP="000C309A">
      <w:pPr>
        <w:pStyle w:val="FootnoteText"/>
        <w:spacing w:after="0"/>
      </w:pPr>
      <w:r>
        <w:rPr>
          <w:rStyle w:val="FootnoteReference"/>
        </w:rPr>
        <w:footnoteRef/>
      </w:r>
      <w:r>
        <w:t xml:space="preserve">  </w:t>
      </w:r>
      <w:r>
        <w:tab/>
      </w:r>
      <w:proofErr w:type="gramStart"/>
      <w:r>
        <w:t>52 Pa.Code § 56.114.</w:t>
      </w:r>
      <w:proofErr w:type="gramEnd"/>
    </w:p>
  </w:footnote>
  <w:footnote w:id="11">
    <w:p w:rsidR="004D7B08" w:rsidRPr="00B91E2E" w:rsidRDefault="004D7B08" w:rsidP="001E7924">
      <w:pPr>
        <w:pStyle w:val="FootnoteText"/>
        <w:spacing w:after="0"/>
      </w:pPr>
      <w:r w:rsidRPr="00FA2394">
        <w:rPr>
          <w:rStyle w:val="FootnoteReference"/>
        </w:rPr>
        <w:footnoteRef/>
      </w:r>
      <w:r w:rsidRPr="00FA2394">
        <w:t xml:space="preserve"> </w:t>
      </w:r>
      <w:r w:rsidRPr="00FA2394">
        <w:tab/>
      </w:r>
      <w:proofErr w:type="gramStart"/>
      <w:r w:rsidRPr="00FA2394">
        <w:t>66 Pa</w:t>
      </w:r>
      <w:r>
        <w:t>.</w:t>
      </w:r>
      <w:r w:rsidRPr="00FA2394">
        <w:t>C.S.</w:t>
      </w:r>
      <w:proofErr w:type="gramEnd"/>
      <w:r w:rsidRPr="00FA2394">
        <w:t xml:space="preserve"> §</w:t>
      </w:r>
      <w:r>
        <w:t xml:space="preserve"> 1405</w:t>
      </w:r>
      <w:r w:rsidRPr="00FA2394">
        <w:t>.</w:t>
      </w:r>
      <w:r w:rsidR="00B91E2E">
        <w:t xml:space="preserve">  </w:t>
      </w:r>
      <w:r w:rsidR="00B91E2E">
        <w:rPr>
          <w:i/>
        </w:rPr>
        <w:t>Cobb v. UGI Penn Natural Gas</w:t>
      </w:r>
      <w:r w:rsidR="00B91E2E">
        <w:t>,</w:t>
      </w:r>
      <w:r w:rsidR="00221A7D">
        <w:t xml:space="preserve"> </w:t>
      </w:r>
      <w:r w:rsidR="00221A7D" w:rsidRPr="00221A7D">
        <w:rPr>
          <w:i/>
        </w:rPr>
        <w:t>Inc.</w:t>
      </w:r>
      <w:r w:rsidR="00221A7D">
        <w:rPr>
          <w:i/>
        </w:rPr>
        <w:t>,</w:t>
      </w:r>
      <w:r w:rsidR="00B91E2E">
        <w:t xml:space="preserve"> Docket No. F-2010-2207096 (Opinion and Order entered November 10, 2011).</w:t>
      </w:r>
    </w:p>
    <w:p w:rsidR="00715FF7" w:rsidRPr="00FA2394" w:rsidRDefault="00715FF7" w:rsidP="001E7924">
      <w:pPr>
        <w:pStyle w:val="FootnoteText"/>
        <w:spacing w:after="0"/>
      </w:pPr>
    </w:p>
  </w:footnote>
  <w:footnote w:id="12">
    <w:p w:rsidR="004D7B08" w:rsidRDefault="004D7B08" w:rsidP="001E7924">
      <w:pPr>
        <w:pStyle w:val="FootnoteText"/>
        <w:spacing w:after="0"/>
      </w:pPr>
      <w:r>
        <w:rPr>
          <w:rStyle w:val="FootnoteReference"/>
        </w:rPr>
        <w:footnoteRef/>
      </w:r>
      <w:r>
        <w:t xml:space="preserve">  </w:t>
      </w:r>
      <w:r>
        <w:tab/>
      </w:r>
      <w:proofErr w:type="gramStart"/>
      <w:r>
        <w:rPr>
          <w:i/>
        </w:rPr>
        <w:t>Buchanan v. Pike County Light and Power Company</w:t>
      </w:r>
      <w:r>
        <w:t>, PUC Docket No.</w:t>
      </w:r>
      <w:proofErr w:type="gramEnd"/>
      <w:r>
        <w:t xml:space="preserve"> F-2009-2137873 (Final Order entered December 12, 2011); </w:t>
      </w:r>
      <w:proofErr w:type="spellStart"/>
      <w:r>
        <w:rPr>
          <w:i/>
        </w:rPr>
        <w:t>Creekmur</w:t>
      </w:r>
      <w:proofErr w:type="spellEnd"/>
      <w:r>
        <w:rPr>
          <w:i/>
        </w:rPr>
        <w:t xml:space="preserve"> v. PECO Energy Co</w:t>
      </w:r>
      <w:r w:rsidR="002A3E6A">
        <w:rPr>
          <w:i/>
        </w:rPr>
        <w:t>mpany</w:t>
      </w:r>
      <w:r>
        <w:rPr>
          <w:i/>
        </w:rPr>
        <w:t>,</w:t>
      </w:r>
      <w:r>
        <w:t xml:space="preserve"> PUC Docket No. C-2008-2079322 (Final Order entered February 4, 2010); </w:t>
      </w:r>
      <w:r>
        <w:rPr>
          <w:i/>
        </w:rPr>
        <w:t>Crawford v. National Fuel Gas Distribution Corp</w:t>
      </w:r>
      <w:r>
        <w:t>., PUC Docket No. C-20066348 (Final Order entered December 6, 2007).</w:t>
      </w:r>
    </w:p>
    <w:p w:rsidR="00715FF7" w:rsidRPr="00800102" w:rsidRDefault="00715FF7" w:rsidP="001E7924">
      <w:pPr>
        <w:pStyle w:val="FootnoteText"/>
        <w:spacing w:after="0"/>
      </w:pPr>
    </w:p>
  </w:footnote>
  <w:footnote w:id="13">
    <w:p w:rsidR="002D1346" w:rsidRPr="00953241" w:rsidRDefault="002D1346" w:rsidP="001E7924">
      <w:pPr>
        <w:pStyle w:val="FootnoteText"/>
        <w:spacing w:after="0"/>
        <w:rPr>
          <w:i/>
        </w:rPr>
      </w:pPr>
      <w:r>
        <w:rPr>
          <w:rStyle w:val="FootnoteReference"/>
        </w:rPr>
        <w:footnoteRef/>
      </w:r>
      <w:r>
        <w:t xml:space="preserve"> </w:t>
      </w:r>
      <w:r>
        <w:tab/>
      </w:r>
      <w:r w:rsidRPr="003C009E">
        <w:rPr>
          <w:i/>
        </w:rPr>
        <w:t xml:space="preserve">E.g., </w:t>
      </w:r>
      <w:proofErr w:type="spellStart"/>
      <w:r w:rsidRPr="003C009E">
        <w:rPr>
          <w:i/>
        </w:rPr>
        <w:t>Scaccia</w:t>
      </w:r>
      <w:proofErr w:type="spellEnd"/>
      <w:r w:rsidRPr="003C009E">
        <w:rPr>
          <w:i/>
        </w:rPr>
        <w:t xml:space="preserve"> v. West Penn Power Co.</w:t>
      </w:r>
      <w:r>
        <w:t>, 55 Pa.</w:t>
      </w:r>
      <w:r w:rsidRPr="003C009E">
        <w:t xml:space="preserve"> PUC 637 (1982)</w:t>
      </w:r>
      <w:r>
        <w:t xml:space="preserve"> </w:t>
      </w:r>
      <w:r w:rsidRPr="003C009E">
        <w:t>(holding that a public utility is entitled to payment for services provided to customers).</w:t>
      </w:r>
      <w:r w:rsidR="00953241">
        <w:t xml:space="preserve">  </w:t>
      </w:r>
      <w:r w:rsidR="00953241">
        <w:rPr>
          <w:i/>
        </w:rPr>
        <w:t xml:space="preserve">See also </w:t>
      </w:r>
      <w:r w:rsidR="00953241" w:rsidRPr="00953241">
        <w:rPr>
          <w:i/>
          <w:szCs w:val="24"/>
        </w:rPr>
        <w:t>Mill v. Pa. Pub</w:t>
      </w:r>
      <w:r w:rsidR="006719E5">
        <w:rPr>
          <w:i/>
          <w:szCs w:val="24"/>
        </w:rPr>
        <w:t>. Util. Comm’n</w:t>
      </w:r>
      <w:r w:rsidR="00953241" w:rsidRPr="00953241">
        <w:rPr>
          <w:szCs w:val="24"/>
        </w:rPr>
        <w:t>, 447 A.2d 1100 (</w:t>
      </w:r>
      <w:proofErr w:type="spellStart"/>
      <w:r w:rsidR="00953241">
        <w:rPr>
          <w:szCs w:val="24"/>
        </w:rPr>
        <w:t>Pa.Cmwlth</w:t>
      </w:r>
      <w:proofErr w:type="spellEnd"/>
      <w:r w:rsidR="00953241">
        <w:rPr>
          <w:szCs w:val="24"/>
        </w:rPr>
        <w:t xml:space="preserve">. </w:t>
      </w:r>
      <w:r w:rsidR="00953241" w:rsidRPr="00953241">
        <w:rPr>
          <w:szCs w:val="24"/>
        </w:rPr>
        <w:t xml:space="preserve">1982); </w:t>
      </w:r>
      <w:r w:rsidR="00953241" w:rsidRPr="00953241">
        <w:rPr>
          <w:i/>
          <w:szCs w:val="24"/>
        </w:rPr>
        <w:t>Bolt v. Duquesne Light Company</w:t>
      </w:r>
      <w:r w:rsidR="00953241" w:rsidRPr="00953241">
        <w:rPr>
          <w:szCs w:val="24"/>
        </w:rPr>
        <w:t xml:space="preserve">, Docket No. </w:t>
      </w:r>
      <w:proofErr w:type="gramStart"/>
      <w:r w:rsidR="00953241" w:rsidRPr="00953241">
        <w:rPr>
          <w:szCs w:val="24"/>
        </w:rPr>
        <w:t>Z-8712758 (Order entered April 8, 1988)</w:t>
      </w:r>
      <w:r w:rsidR="00953241">
        <w:rPr>
          <w:szCs w:val="24"/>
        </w:rPr>
        <w:t>.</w:t>
      </w:r>
      <w:proofErr w:type="gramEnd"/>
    </w:p>
    <w:p w:rsidR="002D1346" w:rsidRDefault="002D1346" w:rsidP="002D1346">
      <w:pPr>
        <w:pStyle w:val="FootnoteText"/>
        <w:spacing w:after="0"/>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B230EE"/>
    <w:lvl w:ilvl="0">
      <w:start w:val="1"/>
      <w:numFmt w:val="decimal"/>
      <w:lvlText w:val="%1."/>
      <w:lvlJc w:val="left"/>
      <w:pPr>
        <w:tabs>
          <w:tab w:val="num" w:pos="1800"/>
        </w:tabs>
        <w:ind w:left="1800" w:hanging="360"/>
      </w:pPr>
    </w:lvl>
  </w:abstractNum>
  <w:abstractNum w:abstractNumId="1">
    <w:nsid w:val="FFFFFF7D"/>
    <w:multiLevelType w:val="singleLevel"/>
    <w:tmpl w:val="D8C81D12"/>
    <w:lvl w:ilvl="0">
      <w:start w:val="1"/>
      <w:numFmt w:val="decimal"/>
      <w:lvlText w:val="%1."/>
      <w:lvlJc w:val="left"/>
      <w:pPr>
        <w:tabs>
          <w:tab w:val="num" w:pos="1440"/>
        </w:tabs>
        <w:ind w:left="1440" w:hanging="360"/>
      </w:pPr>
    </w:lvl>
  </w:abstractNum>
  <w:abstractNum w:abstractNumId="2">
    <w:nsid w:val="FFFFFF7E"/>
    <w:multiLevelType w:val="singleLevel"/>
    <w:tmpl w:val="6D8C293A"/>
    <w:lvl w:ilvl="0">
      <w:start w:val="1"/>
      <w:numFmt w:val="decimal"/>
      <w:lvlText w:val="%1."/>
      <w:lvlJc w:val="left"/>
      <w:pPr>
        <w:tabs>
          <w:tab w:val="num" w:pos="1080"/>
        </w:tabs>
        <w:ind w:left="1080" w:hanging="360"/>
      </w:pPr>
    </w:lvl>
  </w:abstractNum>
  <w:abstractNum w:abstractNumId="3">
    <w:nsid w:val="FFFFFF7F"/>
    <w:multiLevelType w:val="singleLevel"/>
    <w:tmpl w:val="6974F660"/>
    <w:lvl w:ilvl="0">
      <w:start w:val="1"/>
      <w:numFmt w:val="decimal"/>
      <w:lvlText w:val="%1."/>
      <w:lvlJc w:val="left"/>
      <w:pPr>
        <w:tabs>
          <w:tab w:val="num" w:pos="720"/>
        </w:tabs>
        <w:ind w:left="720" w:hanging="360"/>
      </w:pPr>
    </w:lvl>
  </w:abstractNum>
  <w:abstractNum w:abstractNumId="4">
    <w:nsid w:val="FFFFFF80"/>
    <w:multiLevelType w:val="singleLevel"/>
    <w:tmpl w:val="404632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1EB7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340D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AA41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86E568"/>
    <w:lvl w:ilvl="0">
      <w:start w:val="1"/>
      <w:numFmt w:val="decimal"/>
      <w:lvlText w:val="%1."/>
      <w:lvlJc w:val="left"/>
      <w:pPr>
        <w:tabs>
          <w:tab w:val="num" w:pos="360"/>
        </w:tabs>
        <w:ind w:left="360" w:hanging="360"/>
      </w:pPr>
    </w:lvl>
  </w:abstractNum>
  <w:abstractNum w:abstractNumId="9">
    <w:nsid w:val="FFFFFF89"/>
    <w:multiLevelType w:val="singleLevel"/>
    <w:tmpl w:val="10C849C6"/>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C81C86"/>
    <w:multiLevelType w:val="hybridMultilevel"/>
    <w:tmpl w:val="C7CC6A1E"/>
    <w:lvl w:ilvl="0" w:tplc="9DE02CAA">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6"/>
  </w:num>
  <w:num w:numId="3">
    <w:abstractNumId w:val="21"/>
  </w:num>
  <w:num w:numId="4">
    <w:abstractNumId w:val="25"/>
  </w:num>
  <w:num w:numId="5">
    <w:abstractNumId w:val="14"/>
  </w:num>
  <w:num w:numId="6">
    <w:abstractNumId w:val="13"/>
  </w:num>
  <w:num w:numId="7">
    <w:abstractNumId w:val="12"/>
  </w:num>
  <w:num w:numId="8">
    <w:abstractNumId w:val="24"/>
  </w:num>
  <w:num w:numId="9">
    <w:abstractNumId w:val="11"/>
  </w:num>
  <w:num w:numId="10">
    <w:abstractNumId w:val="18"/>
  </w:num>
  <w:num w:numId="11">
    <w:abstractNumId w:val="20"/>
  </w:num>
  <w:num w:numId="12">
    <w:abstractNumId w:val="15"/>
  </w:num>
  <w:num w:numId="13">
    <w:abstractNumId w:val="19"/>
  </w:num>
  <w:num w:numId="14">
    <w:abstractNumId w:val="22"/>
  </w:num>
  <w:num w:numId="15">
    <w:abstractNumId w:val="10"/>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15"/>
    <w:rsid w:val="00004C37"/>
    <w:rsid w:val="00012FDB"/>
    <w:rsid w:val="00030365"/>
    <w:rsid w:val="00035DC4"/>
    <w:rsid w:val="00035E7C"/>
    <w:rsid w:val="00076715"/>
    <w:rsid w:val="000C309A"/>
    <w:rsid w:val="000E3741"/>
    <w:rsid w:val="00123128"/>
    <w:rsid w:val="00131401"/>
    <w:rsid w:val="00151F64"/>
    <w:rsid w:val="001A1FF7"/>
    <w:rsid w:val="001B1CBA"/>
    <w:rsid w:val="001B532B"/>
    <w:rsid w:val="001B7B8D"/>
    <w:rsid w:val="001C6109"/>
    <w:rsid w:val="001E7924"/>
    <w:rsid w:val="001F1B92"/>
    <w:rsid w:val="001F23D3"/>
    <w:rsid w:val="001F6813"/>
    <w:rsid w:val="00213167"/>
    <w:rsid w:val="00221A7D"/>
    <w:rsid w:val="00241F59"/>
    <w:rsid w:val="002512F9"/>
    <w:rsid w:val="00284CBD"/>
    <w:rsid w:val="002A3E6A"/>
    <w:rsid w:val="002D1346"/>
    <w:rsid w:val="002E3D76"/>
    <w:rsid w:val="003245E1"/>
    <w:rsid w:val="00327344"/>
    <w:rsid w:val="00332A76"/>
    <w:rsid w:val="003737D8"/>
    <w:rsid w:val="00393C92"/>
    <w:rsid w:val="00396A22"/>
    <w:rsid w:val="003A1B43"/>
    <w:rsid w:val="003B7F20"/>
    <w:rsid w:val="004062A4"/>
    <w:rsid w:val="004100EC"/>
    <w:rsid w:val="00440441"/>
    <w:rsid w:val="00477755"/>
    <w:rsid w:val="00491A5C"/>
    <w:rsid w:val="0049540B"/>
    <w:rsid w:val="004B0EC3"/>
    <w:rsid w:val="004B3C9D"/>
    <w:rsid w:val="004C0E8E"/>
    <w:rsid w:val="004D523C"/>
    <w:rsid w:val="004D7B08"/>
    <w:rsid w:val="004E5ADA"/>
    <w:rsid w:val="00500163"/>
    <w:rsid w:val="00504F44"/>
    <w:rsid w:val="00527187"/>
    <w:rsid w:val="00567771"/>
    <w:rsid w:val="00585451"/>
    <w:rsid w:val="005A1222"/>
    <w:rsid w:val="005A1C17"/>
    <w:rsid w:val="005A20C0"/>
    <w:rsid w:val="005A2ABA"/>
    <w:rsid w:val="005B0678"/>
    <w:rsid w:val="005F6FCB"/>
    <w:rsid w:val="00615E1B"/>
    <w:rsid w:val="0061775F"/>
    <w:rsid w:val="006179AC"/>
    <w:rsid w:val="00657DA9"/>
    <w:rsid w:val="006719E5"/>
    <w:rsid w:val="006A67F3"/>
    <w:rsid w:val="006B1396"/>
    <w:rsid w:val="006E677A"/>
    <w:rsid w:val="006F0329"/>
    <w:rsid w:val="007059DD"/>
    <w:rsid w:val="00712D98"/>
    <w:rsid w:val="00712E58"/>
    <w:rsid w:val="00715FF7"/>
    <w:rsid w:val="00720738"/>
    <w:rsid w:val="00771C41"/>
    <w:rsid w:val="00792796"/>
    <w:rsid w:val="007A496E"/>
    <w:rsid w:val="007D583D"/>
    <w:rsid w:val="007E6779"/>
    <w:rsid w:val="00815A45"/>
    <w:rsid w:val="0081611F"/>
    <w:rsid w:val="00820B4C"/>
    <w:rsid w:val="00820E61"/>
    <w:rsid w:val="00835EF9"/>
    <w:rsid w:val="00850CDE"/>
    <w:rsid w:val="008529D2"/>
    <w:rsid w:val="00871603"/>
    <w:rsid w:val="00894868"/>
    <w:rsid w:val="00921D68"/>
    <w:rsid w:val="00953241"/>
    <w:rsid w:val="009864E5"/>
    <w:rsid w:val="00995B12"/>
    <w:rsid w:val="009B09D5"/>
    <w:rsid w:val="009B182D"/>
    <w:rsid w:val="009B2FE5"/>
    <w:rsid w:val="009B61C8"/>
    <w:rsid w:val="009E40AB"/>
    <w:rsid w:val="00A72F38"/>
    <w:rsid w:val="00AA2EC5"/>
    <w:rsid w:val="00AB0518"/>
    <w:rsid w:val="00AB4C73"/>
    <w:rsid w:val="00AE06AD"/>
    <w:rsid w:val="00AE6F47"/>
    <w:rsid w:val="00B27047"/>
    <w:rsid w:val="00B405D7"/>
    <w:rsid w:val="00B62823"/>
    <w:rsid w:val="00B80CFB"/>
    <w:rsid w:val="00B91E2E"/>
    <w:rsid w:val="00BB3114"/>
    <w:rsid w:val="00BB3500"/>
    <w:rsid w:val="00BC6B21"/>
    <w:rsid w:val="00C270C8"/>
    <w:rsid w:val="00C419B9"/>
    <w:rsid w:val="00C53ACF"/>
    <w:rsid w:val="00C87E57"/>
    <w:rsid w:val="00C91965"/>
    <w:rsid w:val="00CB10BA"/>
    <w:rsid w:val="00CF41BA"/>
    <w:rsid w:val="00D45815"/>
    <w:rsid w:val="00DD5C37"/>
    <w:rsid w:val="00DE46EC"/>
    <w:rsid w:val="00DE63B9"/>
    <w:rsid w:val="00E33A75"/>
    <w:rsid w:val="00E417F3"/>
    <w:rsid w:val="00E4239A"/>
    <w:rsid w:val="00E5677F"/>
    <w:rsid w:val="00EC1CBA"/>
    <w:rsid w:val="00EC6EFC"/>
    <w:rsid w:val="00EE282B"/>
    <w:rsid w:val="00EE7801"/>
    <w:rsid w:val="00F16554"/>
    <w:rsid w:val="00F544E1"/>
    <w:rsid w:val="00F65502"/>
    <w:rsid w:val="00F879A7"/>
    <w:rsid w:val="00FC4CE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B10BA"/>
    <w:pPr>
      <w:spacing w:after="0"/>
      <w:ind w:firstLine="72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1A1FF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1A1FF7"/>
    <w:rPr>
      <w:rFonts w:ascii="Times New Roman" w:hAnsi="Times New Roman" w:cs="Times New Roman"/>
      <w:sz w:val="24"/>
      <w:szCs w:val="20"/>
    </w:rPr>
  </w:style>
  <w:style w:type="paragraph" w:styleId="Footer">
    <w:name w:val="footer"/>
    <w:basedOn w:val="Normal"/>
    <w:link w:val="FooterChar"/>
    <w:uiPriority w:val="99"/>
    <w:unhideWhenUsed/>
    <w:rsid w:val="001A1FF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1A1FF7"/>
    <w:rPr>
      <w:rFonts w:ascii="Times New Roman" w:hAnsi="Times New Roman" w:cs="Times New Roman"/>
      <w:sz w:val="24"/>
      <w:szCs w:val="20"/>
    </w:rPr>
  </w:style>
  <w:style w:type="character" w:styleId="FootnoteReference">
    <w:name w:val="footnote reference"/>
    <w:basedOn w:val="DefaultParagraphFont"/>
    <w:uiPriority w:val="99"/>
    <w:unhideWhenUsed/>
    <w:rsid w:val="00284CBD"/>
    <w:rPr>
      <w:vertAlign w:val="superscript"/>
    </w:rPr>
  </w:style>
  <w:style w:type="paragraph" w:styleId="NormalWeb">
    <w:name w:val="Normal (Web)"/>
    <w:basedOn w:val="Normal"/>
    <w:uiPriority w:val="99"/>
    <w:semiHidden/>
    <w:unhideWhenUsed/>
    <w:rsid w:val="00B27047"/>
    <w:pPr>
      <w:tabs>
        <w:tab w:val="clear" w:pos="1440"/>
      </w:tabs>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705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B10BA"/>
    <w:pPr>
      <w:spacing w:after="0"/>
      <w:ind w:firstLine="72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1A1FF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1A1FF7"/>
    <w:rPr>
      <w:rFonts w:ascii="Times New Roman" w:hAnsi="Times New Roman" w:cs="Times New Roman"/>
      <w:sz w:val="24"/>
      <w:szCs w:val="20"/>
    </w:rPr>
  </w:style>
  <w:style w:type="paragraph" w:styleId="Footer">
    <w:name w:val="footer"/>
    <w:basedOn w:val="Normal"/>
    <w:link w:val="FooterChar"/>
    <w:uiPriority w:val="99"/>
    <w:unhideWhenUsed/>
    <w:rsid w:val="001A1FF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1A1FF7"/>
    <w:rPr>
      <w:rFonts w:ascii="Times New Roman" w:hAnsi="Times New Roman" w:cs="Times New Roman"/>
      <w:sz w:val="24"/>
      <w:szCs w:val="20"/>
    </w:rPr>
  </w:style>
  <w:style w:type="character" w:styleId="FootnoteReference">
    <w:name w:val="footnote reference"/>
    <w:basedOn w:val="DefaultParagraphFont"/>
    <w:uiPriority w:val="99"/>
    <w:unhideWhenUsed/>
    <w:rsid w:val="00284CBD"/>
    <w:rPr>
      <w:vertAlign w:val="superscript"/>
    </w:rPr>
  </w:style>
  <w:style w:type="paragraph" w:styleId="NormalWeb">
    <w:name w:val="Normal (Web)"/>
    <w:basedOn w:val="Normal"/>
    <w:uiPriority w:val="99"/>
    <w:semiHidden/>
    <w:unhideWhenUsed/>
    <w:rsid w:val="00B27047"/>
    <w:pPr>
      <w:tabs>
        <w:tab w:val="clear" w:pos="1440"/>
      </w:tabs>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705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15049">
      <w:bodyDiv w:val="1"/>
      <w:marLeft w:val="0"/>
      <w:marRight w:val="0"/>
      <w:marTop w:val="0"/>
      <w:marBottom w:val="0"/>
      <w:divBdr>
        <w:top w:val="none" w:sz="0" w:space="0" w:color="auto"/>
        <w:left w:val="none" w:sz="0" w:space="0" w:color="auto"/>
        <w:bottom w:val="none" w:sz="0" w:space="0" w:color="auto"/>
        <w:right w:val="none" w:sz="0" w:space="0" w:color="auto"/>
      </w:divBdr>
      <w:divsChild>
        <w:div w:id="2055812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9</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45</cp:revision>
  <cp:lastPrinted>2015-06-23T17:44:00Z</cp:lastPrinted>
  <dcterms:created xsi:type="dcterms:W3CDTF">2015-06-05T16:13:00Z</dcterms:created>
  <dcterms:modified xsi:type="dcterms:W3CDTF">2015-06-23T17:44:00Z</dcterms:modified>
</cp:coreProperties>
</file>