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5A" w:rsidRPr="0041162F" w:rsidRDefault="0075275A" w:rsidP="0075275A">
      <w:pPr>
        <w:spacing w:after="0" w:line="240" w:lineRule="auto"/>
        <w:jc w:val="center"/>
        <w:rPr>
          <w:rFonts w:ascii="Times New Roman" w:hAnsi="Times New Roman"/>
          <w:b/>
          <w:sz w:val="24"/>
          <w:szCs w:val="24"/>
        </w:rPr>
      </w:pPr>
      <w:r w:rsidRPr="0041162F">
        <w:rPr>
          <w:rFonts w:ascii="Times New Roman" w:hAnsi="Times New Roman"/>
          <w:b/>
          <w:sz w:val="24"/>
          <w:szCs w:val="24"/>
        </w:rPr>
        <w:t>BEFORE THE</w:t>
      </w:r>
    </w:p>
    <w:p w:rsidR="0075275A" w:rsidRPr="0041162F" w:rsidRDefault="0075275A" w:rsidP="0075275A">
      <w:pPr>
        <w:spacing w:after="0" w:line="240" w:lineRule="auto"/>
        <w:jc w:val="center"/>
        <w:rPr>
          <w:rFonts w:ascii="Times New Roman" w:hAnsi="Times New Roman"/>
          <w:b/>
          <w:sz w:val="24"/>
          <w:szCs w:val="24"/>
        </w:rPr>
      </w:pPr>
      <w:r w:rsidRPr="0041162F">
        <w:rPr>
          <w:rFonts w:ascii="Times New Roman" w:hAnsi="Times New Roman"/>
          <w:b/>
          <w:sz w:val="24"/>
          <w:szCs w:val="24"/>
        </w:rPr>
        <w:t>PENNSYLVANIA PUBLIC UTILITY COMMISSION</w:t>
      </w:r>
    </w:p>
    <w:p w:rsidR="0075275A" w:rsidRPr="0041162F" w:rsidRDefault="0075275A" w:rsidP="009B212D">
      <w:pPr>
        <w:spacing w:after="0" w:line="240" w:lineRule="auto"/>
        <w:jc w:val="both"/>
        <w:rPr>
          <w:rFonts w:ascii="Times New Roman" w:hAnsi="Times New Roman"/>
          <w:sz w:val="24"/>
          <w:szCs w:val="24"/>
        </w:rPr>
      </w:pPr>
    </w:p>
    <w:p w:rsidR="0075275A" w:rsidRPr="0041162F" w:rsidRDefault="0075275A" w:rsidP="0075275A">
      <w:pPr>
        <w:spacing w:after="0" w:line="240" w:lineRule="auto"/>
        <w:jc w:val="both"/>
        <w:rPr>
          <w:rFonts w:ascii="Times New Roman" w:hAnsi="Times New Roman"/>
          <w:sz w:val="24"/>
          <w:szCs w:val="24"/>
        </w:rPr>
      </w:pPr>
    </w:p>
    <w:p w:rsidR="0075275A" w:rsidRPr="0041162F" w:rsidRDefault="0075275A" w:rsidP="0075275A">
      <w:pPr>
        <w:spacing w:after="0" w:line="240" w:lineRule="auto"/>
        <w:jc w:val="both"/>
        <w:rPr>
          <w:rFonts w:ascii="Times New Roman" w:hAnsi="Times New Roman"/>
          <w:sz w:val="24"/>
          <w:szCs w:val="24"/>
        </w:rPr>
      </w:pPr>
    </w:p>
    <w:p w:rsidR="0075275A" w:rsidRPr="0041162F" w:rsidRDefault="005F49FC" w:rsidP="009B212D">
      <w:pPr>
        <w:spacing w:after="0" w:line="240" w:lineRule="auto"/>
        <w:jc w:val="both"/>
        <w:rPr>
          <w:rFonts w:ascii="Times New Roman" w:hAnsi="Times New Roman"/>
          <w:sz w:val="24"/>
          <w:szCs w:val="24"/>
        </w:rPr>
      </w:pPr>
      <w:r>
        <w:rPr>
          <w:rFonts w:ascii="Times New Roman" w:hAnsi="Times New Roman"/>
          <w:sz w:val="24"/>
          <w:szCs w:val="24"/>
        </w:rPr>
        <w:t>Emerald Housing Resources, LLC</w:t>
      </w:r>
      <w:r w:rsidR="00D77547" w:rsidRPr="0041162F">
        <w:rPr>
          <w:rFonts w:ascii="Times New Roman" w:hAnsi="Times New Roman"/>
          <w:sz w:val="24"/>
          <w:szCs w:val="24"/>
        </w:rPr>
        <w:tab/>
      </w:r>
      <w:r w:rsidR="00D77547" w:rsidRPr="0041162F">
        <w:rPr>
          <w:rFonts w:ascii="Times New Roman" w:hAnsi="Times New Roman"/>
          <w:sz w:val="24"/>
          <w:szCs w:val="24"/>
        </w:rPr>
        <w:tab/>
      </w:r>
      <w:r w:rsidR="00D77547" w:rsidRPr="0041162F">
        <w:rPr>
          <w:rFonts w:ascii="Times New Roman" w:hAnsi="Times New Roman"/>
          <w:sz w:val="24"/>
          <w:szCs w:val="24"/>
        </w:rPr>
        <w:tab/>
        <w:t>:</w:t>
      </w:r>
      <w:bookmarkStart w:id="0" w:name="_GoBack"/>
      <w:bookmarkEnd w:id="0"/>
    </w:p>
    <w:p w:rsidR="0075275A" w:rsidRPr="0041162F" w:rsidRDefault="0075275A" w:rsidP="009B212D">
      <w:pPr>
        <w:spacing w:after="0" w:line="240" w:lineRule="auto"/>
        <w:ind w:left="1440" w:firstLine="720"/>
        <w:jc w:val="both"/>
        <w:rPr>
          <w:rFonts w:ascii="Times New Roman" w:hAnsi="Times New Roman"/>
          <w:sz w:val="24"/>
          <w:szCs w:val="24"/>
        </w:rPr>
      </w:pP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t>:</w:t>
      </w:r>
    </w:p>
    <w:p w:rsidR="0075275A" w:rsidRPr="0041162F" w:rsidRDefault="0075275A" w:rsidP="009B212D">
      <w:pPr>
        <w:spacing w:after="0" w:line="240" w:lineRule="auto"/>
        <w:ind w:firstLine="720"/>
        <w:jc w:val="both"/>
        <w:rPr>
          <w:rFonts w:ascii="Times New Roman" w:hAnsi="Times New Roman"/>
          <w:sz w:val="24"/>
          <w:szCs w:val="24"/>
        </w:rPr>
      </w:pPr>
      <w:r w:rsidRPr="0041162F">
        <w:rPr>
          <w:rFonts w:ascii="Times New Roman" w:hAnsi="Times New Roman"/>
          <w:sz w:val="24"/>
          <w:szCs w:val="24"/>
        </w:rPr>
        <w:t>v.</w:t>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t>:</w:t>
      </w:r>
      <w:r w:rsidR="0096747A" w:rsidRPr="0041162F">
        <w:rPr>
          <w:rFonts w:ascii="Times New Roman" w:hAnsi="Times New Roman"/>
          <w:sz w:val="24"/>
          <w:szCs w:val="24"/>
        </w:rPr>
        <w:tab/>
      </w:r>
      <w:r w:rsidR="009B212D" w:rsidRPr="0041162F">
        <w:rPr>
          <w:rFonts w:ascii="Times New Roman" w:hAnsi="Times New Roman"/>
          <w:sz w:val="24"/>
          <w:szCs w:val="24"/>
        </w:rPr>
        <w:tab/>
      </w:r>
      <w:r w:rsidR="009863B3" w:rsidRPr="009863B3">
        <w:rPr>
          <w:rFonts w:ascii="Times New Roman" w:hAnsi="Times New Roman"/>
          <w:sz w:val="24"/>
          <w:szCs w:val="24"/>
        </w:rPr>
        <w:t>C-2015-247</w:t>
      </w:r>
      <w:r w:rsidR="005F49FC">
        <w:rPr>
          <w:rFonts w:ascii="Times New Roman" w:hAnsi="Times New Roman"/>
          <w:sz w:val="24"/>
          <w:szCs w:val="24"/>
        </w:rPr>
        <w:t>5950</w:t>
      </w:r>
    </w:p>
    <w:p w:rsidR="0075275A" w:rsidRPr="0041162F" w:rsidRDefault="0075275A" w:rsidP="009B212D">
      <w:pPr>
        <w:spacing w:after="0" w:line="240" w:lineRule="auto"/>
        <w:ind w:left="4320" w:firstLine="720"/>
        <w:jc w:val="both"/>
        <w:rPr>
          <w:rFonts w:ascii="Times New Roman" w:hAnsi="Times New Roman"/>
          <w:sz w:val="24"/>
          <w:szCs w:val="24"/>
        </w:rPr>
      </w:pPr>
      <w:r w:rsidRPr="0041162F">
        <w:rPr>
          <w:rFonts w:ascii="Times New Roman" w:hAnsi="Times New Roman"/>
          <w:sz w:val="24"/>
          <w:szCs w:val="24"/>
        </w:rPr>
        <w:t>:</w:t>
      </w:r>
    </w:p>
    <w:p w:rsidR="0096747A" w:rsidRPr="0041162F" w:rsidRDefault="0075275A" w:rsidP="009B212D">
      <w:pPr>
        <w:spacing w:after="0" w:line="240" w:lineRule="auto"/>
        <w:jc w:val="both"/>
        <w:rPr>
          <w:rFonts w:ascii="Times New Roman" w:hAnsi="Times New Roman"/>
          <w:sz w:val="24"/>
          <w:szCs w:val="24"/>
        </w:rPr>
      </w:pPr>
      <w:r w:rsidRPr="0041162F">
        <w:rPr>
          <w:rFonts w:ascii="Times New Roman" w:hAnsi="Times New Roman"/>
          <w:sz w:val="24"/>
          <w:szCs w:val="24"/>
        </w:rPr>
        <w:t xml:space="preserve">Philadelphia Gas Works </w:t>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Pr="0041162F">
        <w:rPr>
          <w:rFonts w:ascii="Times New Roman" w:hAnsi="Times New Roman"/>
          <w:sz w:val="24"/>
          <w:szCs w:val="24"/>
        </w:rPr>
        <w:tab/>
      </w:r>
      <w:r w:rsidR="009B212D" w:rsidRPr="0041162F">
        <w:rPr>
          <w:rFonts w:ascii="Times New Roman" w:hAnsi="Times New Roman"/>
          <w:sz w:val="24"/>
          <w:szCs w:val="24"/>
        </w:rPr>
        <w:t>:</w:t>
      </w:r>
    </w:p>
    <w:p w:rsidR="0096747A" w:rsidRPr="0041162F" w:rsidRDefault="0096747A" w:rsidP="00F00BDF">
      <w:pPr>
        <w:spacing w:after="0" w:line="240" w:lineRule="auto"/>
        <w:jc w:val="both"/>
        <w:rPr>
          <w:rFonts w:ascii="Times New Roman" w:hAnsi="Times New Roman"/>
          <w:sz w:val="24"/>
          <w:szCs w:val="24"/>
        </w:rPr>
      </w:pPr>
    </w:p>
    <w:p w:rsidR="00FD31AD" w:rsidRPr="0041162F" w:rsidRDefault="00FD31AD" w:rsidP="0075275A">
      <w:pPr>
        <w:spacing w:after="0" w:line="240" w:lineRule="auto"/>
        <w:jc w:val="both"/>
        <w:rPr>
          <w:rFonts w:ascii="Times New Roman" w:hAnsi="Times New Roman"/>
          <w:sz w:val="24"/>
          <w:szCs w:val="24"/>
        </w:rPr>
      </w:pPr>
    </w:p>
    <w:p w:rsidR="0075275A" w:rsidRPr="0041162F" w:rsidRDefault="0075275A" w:rsidP="0090038E">
      <w:pPr>
        <w:keepNext/>
        <w:spacing w:after="0" w:line="240" w:lineRule="auto"/>
        <w:outlineLvl w:val="0"/>
        <w:rPr>
          <w:rFonts w:ascii="Times New Roman" w:hAnsi="Times New Roman"/>
          <w:b/>
          <w:sz w:val="24"/>
          <w:szCs w:val="24"/>
          <w:u w:val="single"/>
        </w:rPr>
      </w:pPr>
    </w:p>
    <w:p w:rsidR="0075275A" w:rsidRPr="0041162F" w:rsidRDefault="0075275A" w:rsidP="0075275A">
      <w:pPr>
        <w:keepNext/>
        <w:spacing w:after="0" w:line="240" w:lineRule="auto"/>
        <w:jc w:val="center"/>
        <w:outlineLvl w:val="0"/>
        <w:rPr>
          <w:rFonts w:ascii="Times New Roman" w:hAnsi="Times New Roman"/>
          <w:b/>
          <w:sz w:val="24"/>
          <w:szCs w:val="24"/>
          <w:u w:val="single"/>
        </w:rPr>
      </w:pPr>
      <w:r w:rsidRPr="0041162F">
        <w:rPr>
          <w:rFonts w:ascii="Times New Roman" w:hAnsi="Times New Roman"/>
          <w:b/>
          <w:sz w:val="24"/>
          <w:szCs w:val="24"/>
          <w:u w:val="single"/>
        </w:rPr>
        <w:t>INITIAL DECISION</w:t>
      </w:r>
      <w:r w:rsidR="000B31C3">
        <w:rPr>
          <w:rFonts w:ascii="Times New Roman" w:hAnsi="Times New Roman"/>
          <w:b/>
          <w:sz w:val="24"/>
          <w:szCs w:val="24"/>
          <w:u w:val="single"/>
        </w:rPr>
        <w:t xml:space="preserve"> GRANTING PRELIMINARY OBJECTIONS</w:t>
      </w:r>
    </w:p>
    <w:p w:rsidR="0075275A" w:rsidRPr="0041162F" w:rsidRDefault="0075275A" w:rsidP="00F00BDF">
      <w:pPr>
        <w:spacing w:after="0" w:line="240" w:lineRule="auto"/>
        <w:jc w:val="center"/>
        <w:rPr>
          <w:rFonts w:ascii="Times New Roman" w:hAnsi="Times New Roman"/>
          <w:sz w:val="24"/>
          <w:szCs w:val="24"/>
        </w:rPr>
      </w:pPr>
    </w:p>
    <w:p w:rsidR="0075275A" w:rsidRPr="0041162F" w:rsidRDefault="0075275A" w:rsidP="0075275A">
      <w:pPr>
        <w:spacing w:after="0" w:line="240" w:lineRule="auto"/>
        <w:jc w:val="center"/>
        <w:rPr>
          <w:rFonts w:ascii="Times New Roman" w:hAnsi="Times New Roman"/>
          <w:sz w:val="24"/>
          <w:szCs w:val="24"/>
        </w:rPr>
      </w:pPr>
    </w:p>
    <w:p w:rsidR="0075275A" w:rsidRPr="0041162F" w:rsidRDefault="0075275A" w:rsidP="0075275A">
      <w:pPr>
        <w:spacing w:after="0" w:line="240" w:lineRule="auto"/>
        <w:jc w:val="center"/>
        <w:rPr>
          <w:rFonts w:ascii="Times New Roman" w:hAnsi="Times New Roman"/>
          <w:sz w:val="24"/>
          <w:szCs w:val="24"/>
        </w:rPr>
      </w:pPr>
      <w:r w:rsidRPr="0041162F">
        <w:rPr>
          <w:rFonts w:ascii="Times New Roman" w:hAnsi="Times New Roman"/>
          <w:sz w:val="24"/>
          <w:szCs w:val="24"/>
        </w:rPr>
        <w:t>Before</w:t>
      </w:r>
    </w:p>
    <w:p w:rsidR="0075275A" w:rsidRPr="0041162F" w:rsidRDefault="00CD207B" w:rsidP="0075275A">
      <w:pPr>
        <w:spacing w:after="0" w:line="240" w:lineRule="auto"/>
        <w:jc w:val="center"/>
        <w:rPr>
          <w:rFonts w:ascii="Times New Roman" w:hAnsi="Times New Roman"/>
          <w:sz w:val="24"/>
          <w:szCs w:val="24"/>
        </w:rPr>
      </w:pPr>
      <w:r w:rsidRPr="0041162F">
        <w:rPr>
          <w:rFonts w:ascii="Times New Roman" w:hAnsi="Times New Roman"/>
          <w:sz w:val="24"/>
          <w:szCs w:val="24"/>
        </w:rPr>
        <w:t>Elizabeth H. Barnes</w:t>
      </w:r>
    </w:p>
    <w:p w:rsidR="0075275A" w:rsidRPr="0041162F" w:rsidRDefault="0075275A" w:rsidP="0075275A">
      <w:pPr>
        <w:spacing w:after="0" w:line="240" w:lineRule="auto"/>
        <w:jc w:val="center"/>
        <w:rPr>
          <w:rFonts w:ascii="Times New Roman" w:hAnsi="Times New Roman"/>
          <w:sz w:val="24"/>
          <w:szCs w:val="24"/>
        </w:rPr>
      </w:pPr>
      <w:r w:rsidRPr="0041162F">
        <w:rPr>
          <w:rFonts w:ascii="Times New Roman" w:hAnsi="Times New Roman"/>
          <w:sz w:val="24"/>
          <w:szCs w:val="24"/>
        </w:rPr>
        <w:t>Administrative Law Judge</w:t>
      </w:r>
    </w:p>
    <w:p w:rsidR="0075275A" w:rsidRDefault="0075275A" w:rsidP="00F00BDF">
      <w:pPr>
        <w:spacing w:after="0" w:line="240" w:lineRule="auto"/>
        <w:jc w:val="center"/>
        <w:rPr>
          <w:rFonts w:ascii="Times New Roman" w:hAnsi="Times New Roman"/>
          <w:sz w:val="24"/>
          <w:szCs w:val="24"/>
        </w:rPr>
      </w:pPr>
    </w:p>
    <w:p w:rsidR="00EE61AB" w:rsidRDefault="00EE61AB" w:rsidP="00F00BDF">
      <w:pPr>
        <w:spacing w:after="0" w:line="240" w:lineRule="auto"/>
        <w:jc w:val="center"/>
        <w:rPr>
          <w:rFonts w:ascii="Times New Roman" w:hAnsi="Times New Roman"/>
          <w:sz w:val="24"/>
          <w:szCs w:val="24"/>
        </w:rPr>
      </w:pPr>
    </w:p>
    <w:p w:rsidR="00EE61AB" w:rsidRPr="0041162F" w:rsidRDefault="00EE61AB" w:rsidP="000C14D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w:t>
      </w:r>
      <w:r w:rsidR="004303F2">
        <w:rPr>
          <w:rFonts w:ascii="Times New Roman" w:hAnsi="Times New Roman"/>
          <w:sz w:val="24"/>
          <w:szCs w:val="24"/>
        </w:rPr>
        <w:t>is</w:t>
      </w:r>
      <w:r>
        <w:rPr>
          <w:rFonts w:ascii="Times New Roman" w:hAnsi="Times New Roman"/>
          <w:sz w:val="24"/>
          <w:szCs w:val="24"/>
        </w:rPr>
        <w:t xml:space="preserve"> Initial Decision </w:t>
      </w:r>
      <w:r w:rsidR="004303F2">
        <w:rPr>
          <w:rFonts w:ascii="Times New Roman" w:hAnsi="Times New Roman"/>
          <w:sz w:val="24"/>
          <w:szCs w:val="24"/>
        </w:rPr>
        <w:t xml:space="preserve">grants Preliminary Objections and </w:t>
      </w:r>
      <w:r>
        <w:rPr>
          <w:rFonts w:ascii="Times New Roman" w:hAnsi="Times New Roman"/>
          <w:sz w:val="24"/>
          <w:szCs w:val="24"/>
        </w:rPr>
        <w:t>dismiss</w:t>
      </w:r>
      <w:r w:rsidR="004303F2">
        <w:rPr>
          <w:rFonts w:ascii="Times New Roman" w:hAnsi="Times New Roman"/>
          <w:sz w:val="24"/>
          <w:szCs w:val="24"/>
        </w:rPr>
        <w:t>es</w:t>
      </w:r>
      <w:r>
        <w:rPr>
          <w:rFonts w:ascii="Times New Roman" w:hAnsi="Times New Roman"/>
          <w:sz w:val="24"/>
          <w:szCs w:val="24"/>
        </w:rPr>
        <w:t xml:space="preserve"> a formal complaint </w:t>
      </w:r>
      <w:r w:rsidR="00516F6D">
        <w:rPr>
          <w:rFonts w:ascii="Times New Roman" w:hAnsi="Times New Roman"/>
          <w:sz w:val="24"/>
          <w:szCs w:val="24"/>
        </w:rPr>
        <w:t xml:space="preserve">for lack of jurisdiction </w:t>
      </w:r>
      <w:r>
        <w:rPr>
          <w:rFonts w:ascii="Times New Roman" w:hAnsi="Times New Roman"/>
          <w:sz w:val="24"/>
          <w:szCs w:val="24"/>
        </w:rPr>
        <w:t xml:space="preserve">where the complainant </w:t>
      </w:r>
      <w:r w:rsidR="00194D22" w:rsidRPr="00194D22">
        <w:rPr>
          <w:rFonts w:ascii="Times New Roman" w:hAnsi="Times New Roman"/>
          <w:sz w:val="24"/>
          <w:szCs w:val="24"/>
        </w:rPr>
        <w:t>landlord seek</w:t>
      </w:r>
      <w:r w:rsidR="006C3E53">
        <w:rPr>
          <w:rFonts w:ascii="Times New Roman" w:hAnsi="Times New Roman"/>
          <w:sz w:val="24"/>
          <w:szCs w:val="24"/>
        </w:rPr>
        <w:t xml:space="preserve">s </w:t>
      </w:r>
      <w:r w:rsidR="005F49FC">
        <w:rPr>
          <w:rFonts w:ascii="Times New Roman" w:hAnsi="Times New Roman"/>
          <w:sz w:val="24"/>
          <w:szCs w:val="24"/>
        </w:rPr>
        <w:t xml:space="preserve">refund </w:t>
      </w:r>
      <w:r w:rsidR="00516F6D">
        <w:rPr>
          <w:rFonts w:ascii="Times New Roman" w:hAnsi="Times New Roman"/>
          <w:sz w:val="24"/>
          <w:szCs w:val="24"/>
        </w:rPr>
        <w:t xml:space="preserve">of a </w:t>
      </w:r>
      <w:r w:rsidR="005F49FC">
        <w:rPr>
          <w:rFonts w:ascii="Times New Roman" w:hAnsi="Times New Roman"/>
          <w:sz w:val="24"/>
          <w:szCs w:val="24"/>
        </w:rPr>
        <w:t>payment of a</w:t>
      </w:r>
      <w:r w:rsidR="00194D22" w:rsidRPr="00194D22">
        <w:rPr>
          <w:rFonts w:ascii="Times New Roman" w:hAnsi="Times New Roman"/>
          <w:sz w:val="24"/>
          <w:szCs w:val="24"/>
        </w:rPr>
        <w:t xml:space="preserve"> </w:t>
      </w:r>
      <w:r w:rsidR="005F49FC">
        <w:rPr>
          <w:rFonts w:ascii="Times New Roman" w:hAnsi="Times New Roman"/>
          <w:sz w:val="24"/>
          <w:szCs w:val="24"/>
        </w:rPr>
        <w:t xml:space="preserve">$545.48 </w:t>
      </w:r>
      <w:r w:rsidR="00BD4821">
        <w:rPr>
          <w:rFonts w:ascii="Times New Roman" w:hAnsi="Times New Roman"/>
          <w:sz w:val="24"/>
          <w:szCs w:val="24"/>
        </w:rPr>
        <w:t>i</w:t>
      </w:r>
      <w:r w:rsidR="00516F6D">
        <w:rPr>
          <w:rFonts w:ascii="Times New Roman" w:hAnsi="Times New Roman"/>
          <w:sz w:val="24"/>
          <w:szCs w:val="24"/>
        </w:rPr>
        <w:t>t</w:t>
      </w:r>
      <w:r w:rsidR="00BD4821">
        <w:rPr>
          <w:rFonts w:ascii="Times New Roman" w:hAnsi="Times New Roman"/>
          <w:sz w:val="24"/>
          <w:szCs w:val="24"/>
        </w:rPr>
        <w:t xml:space="preserve"> made</w:t>
      </w:r>
      <w:r w:rsidR="00516F6D">
        <w:rPr>
          <w:rFonts w:ascii="Times New Roman" w:hAnsi="Times New Roman"/>
          <w:sz w:val="24"/>
          <w:szCs w:val="24"/>
        </w:rPr>
        <w:t xml:space="preserve"> to satisfy a </w:t>
      </w:r>
      <w:r w:rsidR="00194D22" w:rsidRPr="00194D22">
        <w:rPr>
          <w:rFonts w:ascii="Times New Roman" w:hAnsi="Times New Roman"/>
          <w:sz w:val="24"/>
          <w:szCs w:val="24"/>
        </w:rPr>
        <w:t>municipal lien filed by the City of Philadelphia a</w:t>
      </w:r>
      <w:r w:rsidR="00516F6D">
        <w:rPr>
          <w:rFonts w:ascii="Times New Roman" w:hAnsi="Times New Roman"/>
          <w:sz w:val="24"/>
          <w:szCs w:val="24"/>
        </w:rPr>
        <w:t>gainst</w:t>
      </w:r>
      <w:r w:rsidR="00194D22" w:rsidRPr="00194D22">
        <w:rPr>
          <w:rFonts w:ascii="Times New Roman" w:hAnsi="Times New Roman"/>
          <w:sz w:val="24"/>
          <w:szCs w:val="24"/>
        </w:rPr>
        <w:t xml:space="preserve"> the </w:t>
      </w:r>
      <w:r w:rsidR="005F49FC">
        <w:rPr>
          <w:rFonts w:ascii="Times New Roman" w:hAnsi="Times New Roman"/>
          <w:sz w:val="24"/>
          <w:szCs w:val="24"/>
        </w:rPr>
        <w:t>s</w:t>
      </w:r>
      <w:r w:rsidR="00194D22" w:rsidRPr="00194D22">
        <w:rPr>
          <w:rFonts w:ascii="Times New Roman" w:hAnsi="Times New Roman"/>
          <w:sz w:val="24"/>
          <w:szCs w:val="24"/>
        </w:rPr>
        <w:t xml:space="preserve">ervice </w:t>
      </w:r>
      <w:r w:rsidR="005F49FC">
        <w:rPr>
          <w:rFonts w:ascii="Times New Roman" w:hAnsi="Times New Roman"/>
          <w:sz w:val="24"/>
          <w:szCs w:val="24"/>
        </w:rPr>
        <w:t>a</w:t>
      </w:r>
      <w:r w:rsidR="00194D22" w:rsidRPr="00194D22">
        <w:rPr>
          <w:rFonts w:ascii="Times New Roman" w:hAnsi="Times New Roman"/>
          <w:sz w:val="24"/>
          <w:szCs w:val="24"/>
        </w:rPr>
        <w:t xml:space="preserve">ddress.  </w:t>
      </w:r>
    </w:p>
    <w:p w:rsidR="00FD31AD" w:rsidRPr="0041162F" w:rsidRDefault="00FD31AD" w:rsidP="000C14DA">
      <w:pPr>
        <w:spacing w:after="0" w:line="360" w:lineRule="auto"/>
        <w:jc w:val="center"/>
        <w:rPr>
          <w:rFonts w:ascii="Times New Roman" w:hAnsi="Times New Roman"/>
          <w:sz w:val="24"/>
          <w:szCs w:val="24"/>
        </w:rPr>
      </w:pPr>
    </w:p>
    <w:p w:rsidR="0075275A" w:rsidRPr="0041162F" w:rsidRDefault="0075275A" w:rsidP="00F00BDF">
      <w:pPr>
        <w:spacing w:after="0" w:line="240" w:lineRule="auto"/>
        <w:jc w:val="center"/>
        <w:rPr>
          <w:rFonts w:ascii="Times New Roman" w:hAnsi="Times New Roman"/>
          <w:caps/>
          <w:sz w:val="24"/>
          <w:szCs w:val="24"/>
          <w:u w:val="single"/>
        </w:rPr>
      </w:pPr>
      <w:r w:rsidRPr="0041162F">
        <w:rPr>
          <w:rFonts w:ascii="Times New Roman" w:hAnsi="Times New Roman"/>
          <w:caps/>
          <w:sz w:val="24"/>
          <w:szCs w:val="24"/>
          <w:u w:val="single"/>
        </w:rPr>
        <w:t>history of the proceeding</w:t>
      </w:r>
    </w:p>
    <w:p w:rsidR="00F00BDF" w:rsidRPr="0041162F" w:rsidRDefault="00F00BDF" w:rsidP="00034822">
      <w:pPr>
        <w:spacing w:after="0" w:line="360" w:lineRule="auto"/>
        <w:rPr>
          <w:rFonts w:ascii="Times New Roman" w:hAnsi="Times New Roman"/>
          <w:caps/>
          <w:sz w:val="24"/>
          <w:szCs w:val="24"/>
          <w:u w:val="single"/>
        </w:rPr>
      </w:pPr>
    </w:p>
    <w:p w:rsidR="00493917" w:rsidRPr="0041162F" w:rsidRDefault="00194D22" w:rsidP="00BF43B1">
      <w:pPr>
        <w:autoSpaceDE w:val="0"/>
        <w:autoSpaceDN w:val="0"/>
        <w:spacing w:after="0" w:line="360" w:lineRule="auto"/>
        <w:ind w:firstLine="1440"/>
        <w:rPr>
          <w:rFonts w:ascii="Times New Roman" w:hAnsi="Times New Roman"/>
          <w:sz w:val="24"/>
          <w:szCs w:val="24"/>
        </w:rPr>
      </w:pPr>
      <w:r w:rsidRPr="00194D22">
        <w:rPr>
          <w:rFonts w:ascii="Times New Roman" w:hAnsi="Times New Roman"/>
          <w:sz w:val="24"/>
          <w:szCs w:val="24"/>
        </w:rPr>
        <w:t xml:space="preserve">On or about </w:t>
      </w:r>
      <w:r w:rsidR="005F49FC">
        <w:rPr>
          <w:rFonts w:ascii="Times New Roman" w:hAnsi="Times New Roman"/>
          <w:sz w:val="24"/>
          <w:szCs w:val="24"/>
        </w:rPr>
        <w:t>April 7, 2015</w:t>
      </w:r>
      <w:r w:rsidRPr="00194D22">
        <w:rPr>
          <w:rFonts w:ascii="Times New Roman" w:hAnsi="Times New Roman"/>
          <w:sz w:val="24"/>
          <w:szCs w:val="24"/>
        </w:rPr>
        <w:t xml:space="preserve">, </w:t>
      </w:r>
      <w:r w:rsidR="005F49FC">
        <w:rPr>
          <w:rFonts w:ascii="Times New Roman" w:hAnsi="Times New Roman"/>
          <w:sz w:val="24"/>
          <w:szCs w:val="24"/>
        </w:rPr>
        <w:t xml:space="preserve">Emerald </w:t>
      </w:r>
      <w:r w:rsidR="00516F6D">
        <w:rPr>
          <w:rFonts w:ascii="Times New Roman" w:hAnsi="Times New Roman"/>
          <w:sz w:val="24"/>
          <w:szCs w:val="24"/>
        </w:rPr>
        <w:t>H</w:t>
      </w:r>
      <w:r w:rsidR="005F49FC">
        <w:rPr>
          <w:rFonts w:ascii="Times New Roman" w:hAnsi="Times New Roman"/>
          <w:sz w:val="24"/>
          <w:szCs w:val="24"/>
        </w:rPr>
        <w:t>ousing Resources, LLC</w:t>
      </w:r>
      <w:r w:rsidRPr="00194D22">
        <w:rPr>
          <w:rFonts w:ascii="Times New Roman" w:hAnsi="Times New Roman"/>
          <w:sz w:val="24"/>
          <w:szCs w:val="24"/>
        </w:rPr>
        <w:t xml:space="preserve"> (Complainant) filed a formal Complaint against Philadelphia Gas Works (PGW or Respondent) </w:t>
      </w:r>
      <w:r w:rsidR="0075275A" w:rsidRPr="0041162F">
        <w:rPr>
          <w:rFonts w:ascii="Times New Roman" w:hAnsi="Times New Roman"/>
          <w:sz w:val="24"/>
          <w:szCs w:val="24"/>
        </w:rPr>
        <w:t xml:space="preserve">with the Pennsylvania Public Utility Commission (Commission), alleging that Respondent </w:t>
      </w:r>
      <w:r w:rsidR="00CD207B" w:rsidRPr="0041162F">
        <w:rPr>
          <w:rFonts w:ascii="Times New Roman" w:hAnsi="Times New Roman"/>
          <w:sz w:val="24"/>
          <w:szCs w:val="24"/>
        </w:rPr>
        <w:t xml:space="preserve">wrongfully </w:t>
      </w:r>
      <w:r w:rsidR="00D77547" w:rsidRPr="0041162F">
        <w:rPr>
          <w:rFonts w:ascii="Times New Roman" w:hAnsi="Times New Roman"/>
          <w:sz w:val="24"/>
          <w:szCs w:val="24"/>
        </w:rPr>
        <w:t xml:space="preserve">placed </w:t>
      </w:r>
      <w:r w:rsidR="005F49FC">
        <w:rPr>
          <w:rFonts w:ascii="Times New Roman" w:hAnsi="Times New Roman"/>
          <w:sz w:val="24"/>
          <w:szCs w:val="24"/>
        </w:rPr>
        <w:t>an unauthorized</w:t>
      </w:r>
      <w:r w:rsidR="00F556F6">
        <w:rPr>
          <w:rFonts w:ascii="Times New Roman" w:hAnsi="Times New Roman"/>
          <w:sz w:val="24"/>
          <w:szCs w:val="24"/>
        </w:rPr>
        <w:t xml:space="preserve"> tenant’s gas bill in </w:t>
      </w:r>
      <w:r w:rsidR="005F49FC">
        <w:rPr>
          <w:rFonts w:ascii="Times New Roman" w:hAnsi="Times New Roman"/>
          <w:sz w:val="24"/>
          <w:szCs w:val="24"/>
        </w:rPr>
        <w:t>its</w:t>
      </w:r>
      <w:r w:rsidR="00F556F6">
        <w:rPr>
          <w:rFonts w:ascii="Times New Roman" w:hAnsi="Times New Roman"/>
          <w:sz w:val="24"/>
          <w:szCs w:val="24"/>
        </w:rPr>
        <w:t xml:space="preserve"> name for the </w:t>
      </w:r>
      <w:r w:rsidRPr="00194D22">
        <w:rPr>
          <w:rFonts w:ascii="Times New Roman" w:hAnsi="Times New Roman"/>
          <w:sz w:val="24"/>
          <w:szCs w:val="24"/>
        </w:rPr>
        <w:t>property</w:t>
      </w:r>
      <w:r w:rsidR="00F556F6">
        <w:rPr>
          <w:rFonts w:ascii="Times New Roman" w:hAnsi="Times New Roman"/>
          <w:sz w:val="24"/>
          <w:szCs w:val="24"/>
        </w:rPr>
        <w:t xml:space="preserve"> </w:t>
      </w:r>
      <w:r w:rsidR="005F49FC">
        <w:rPr>
          <w:rFonts w:ascii="Times New Roman" w:hAnsi="Times New Roman"/>
          <w:sz w:val="24"/>
          <w:szCs w:val="24"/>
        </w:rPr>
        <w:t>it owns</w:t>
      </w:r>
      <w:r w:rsidRPr="00194D22">
        <w:rPr>
          <w:rFonts w:ascii="Times New Roman" w:hAnsi="Times New Roman"/>
          <w:sz w:val="24"/>
          <w:szCs w:val="24"/>
        </w:rPr>
        <w:t xml:space="preserve"> at </w:t>
      </w:r>
      <w:r w:rsidR="005F49FC">
        <w:rPr>
          <w:rFonts w:ascii="Times New Roman" w:hAnsi="Times New Roman"/>
          <w:sz w:val="24"/>
          <w:szCs w:val="24"/>
        </w:rPr>
        <w:t>606 North 64</w:t>
      </w:r>
      <w:r w:rsidR="005F49FC" w:rsidRPr="005F49FC">
        <w:rPr>
          <w:rFonts w:ascii="Times New Roman" w:hAnsi="Times New Roman"/>
          <w:sz w:val="24"/>
          <w:szCs w:val="24"/>
          <w:vertAlign w:val="superscript"/>
        </w:rPr>
        <w:t>th</w:t>
      </w:r>
      <w:r w:rsidR="005F49FC">
        <w:rPr>
          <w:rFonts w:ascii="Times New Roman" w:hAnsi="Times New Roman"/>
          <w:sz w:val="24"/>
          <w:szCs w:val="24"/>
        </w:rPr>
        <w:t xml:space="preserve"> Street, 2</w:t>
      </w:r>
      <w:r w:rsidR="005F49FC" w:rsidRPr="005F49FC">
        <w:rPr>
          <w:rFonts w:ascii="Times New Roman" w:hAnsi="Times New Roman"/>
          <w:sz w:val="24"/>
          <w:szCs w:val="24"/>
          <w:vertAlign w:val="superscript"/>
        </w:rPr>
        <w:t>nd</w:t>
      </w:r>
      <w:r w:rsidR="005F49FC">
        <w:rPr>
          <w:rFonts w:ascii="Times New Roman" w:hAnsi="Times New Roman"/>
          <w:sz w:val="24"/>
          <w:szCs w:val="24"/>
        </w:rPr>
        <w:t xml:space="preserve"> Floor, Philadelphia, PA 19151.</w:t>
      </w:r>
      <w:r w:rsidR="00235EBC">
        <w:rPr>
          <w:rFonts w:ascii="Times New Roman" w:hAnsi="Times New Roman"/>
          <w:sz w:val="24"/>
          <w:szCs w:val="24"/>
        </w:rPr>
        <w:t xml:space="preserve">  </w:t>
      </w:r>
      <w:r w:rsidR="005F49FC">
        <w:rPr>
          <w:rFonts w:ascii="Times New Roman" w:hAnsi="Times New Roman"/>
          <w:sz w:val="24"/>
          <w:szCs w:val="24"/>
        </w:rPr>
        <w:t xml:space="preserve"> </w:t>
      </w:r>
    </w:p>
    <w:p w:rsidR="00493917" w:rsidRPr="0041162F" w:rsidRDefault="00493917" w:rsidP="00BF43B1">
      <w:pPr>
        <w:autoSpaceDE w:val="0"/>
        <w:autoSpaceDN w:val="0"/>
        <w:spacing w:after="0" w:line="360" w:lineRule="auto"/>
        <w:ind w:firstLine="1440"/>
        <w:rPr>
          <w:rFonts w:ascii="Times New Roman" w:hAnsi="Times New Roman"/>
          <w:sz w:val="24"/>
          <w:szCs w:val="24"/>
        </w:rPr>
      </w:pPr>
    </w:p>
    <w:p w:rsidR="00DB4A90" w:rsidRDefault="00493917" w:rsidP="00BF43B1">
      <w:pPr>
        <w:autoSpaceDE w:val="0"/>
        <w:autoSpaceDN w:val="0"/>
        <w:spacing w:after="0" w:line="360" w:lineRule="auto"/>
        <w:ind w:firstLine="1440"/>
        <w:rPr>
          <w:rFonts w:ascii="Times New Roman" w:hAnsi="Times New Roman"/>
          <w:sz w:val="24"/>
          <w:szCs w:val="24"/>
        </w:rPr>
      </w:pPr>
      <w:r w:rsidRPr="0041162F">
        <w:rPr>
          <w:rFonts w:ascii="Times New Roman" w:hAnsi="Times New Roman"/>
          <w:sz w:val="24"/>
          <w:szCs w:val="24"/>
        </w:rPr>
        <w:t xml:space="preserve">Complainant claims </w:t>
      </w:r>
      <w:r w:rsidR="005F49FC">
        <w:rPr>
          <w:rFonts w:ascii="Times New Roman" w:hAnsi="Times New Roman"/>
          <w:sz w:val="24"/>
          <w:szCs w:val="24"/>
        </w:rPr>
        <w:t xml:space="preserve">an unauthorized tenant with no lease is the account holder that failed to pay a bill of $545.48.   Complainant avers PGW should never have opened a gas account with tenant and should now bear the cost of </w:t>
      </w:r>
      <w:r w:rsidR="00A60397">
        <w:rPr>
          <w:rFonts w:ascii="Times New Roman" w:hAnsi="Times New Roman"/>
          <w:sz w:val="24"/>
          <w:szCs w:val="24"/>
        </w:rPr>
        <w:t>providing</w:t>
      </w:r>
      <w:r w:rsidR="005F49FC">
        <w:rPr>
          <w:rFonts w:ascii="Times New Roman" w:hAnsi="Times New Roman"/>
          <w:sz w:val="24"/>
          <w:szCs w:val="24"/>
        </w:rPr>
        <w:t xml:space="preserve"> gas service to an “unverified </w:t>
      </w:r>
      <w:r w:rsidR="00DB4A90">
        <w:rPr>
          <w:rFonts w:ascii="Times New Roman" w:hAnsi="Times New Roman"/>
          <w:sz w:val="24"/>
          <w:szCs w:val="24"/>
        </w:rPr>
        <w:t>anonymous</w:t>
      </w:r>
      <w:r w:rsidR="005F49FC">
        <w:rPr>
          <w:rFonts w:ascii="Times New Roman" w:hAnsi="Times New Roman"/>
          <w:sz w:val="24"/>
          <w:szCs w:val="24"/>
        </w:rPr>
        <w:t xml:space="preserve"> person</w:t>
      </w:r>
      <w:r w:rsidR="00DB4A90">
        <w:rPr>
          <w:rFonts w:ascii="Times New Roman" w:hAnsi="Times New Roman"/>
          <w:sz w:val="24"/>
          <w:szCs w:val="24"/>
        </w:rPr>
        <w:t xml:space="preserve">.” </w:t>
      </w:r>
    </w:p>
    <w:p w:rsidR="00DB4A90" w:rsidRDefault="00540CD1" w:rsidP="00BF43B1">
      <w:pPr>
        <w:autoSpaceDE w:val="0"/>
        <w:autoSpaceDN w:val="0"/>
        <w:spacing w:after="0" w:line="360" w:lineRule="auto"/>
        <w:ind w:firstLine="1440"/>
        <w:rPr>
          <w:rFonts w:ascii="Times New Roman" w:hAnsi="Times New Roman"/>
          <w:sz w:val="24"/>
          <w:szCs w:val="24"/>
        </w:rPr>
      </w:pPr>
      <w:r w:rsidRPr="00F556F6">
        <w:rPr>
          <w:rFonts w:ascii="Times New Roman" w:hAnsi="Times New Roman"/>
          <w:sz w:val="24"/>
          <w:szCs w:val="24"/>
        </w:rPr>
        <w:lastRenderedPageBreak/>
        <w:t>Complainant states</w:t>
      </w:r>
      <w:r>
        <w:rPr>
          <w:rFonts w:ascii="Times New Roman" w:hAnsi="Times New Roman"/>
          <w:sz w:val="24"/>
          <w:szCs w:val="24"/>
        </w:rPr>
        <w:t xml:space="preserve"> </w:t>
      </w:r>
      <w:r w:rsidRPr="00F556F6">
        <w:rPr>
          <w:rFonts w:ascii="Times New Roman" w:hAnsi="Times New Roman"/>
          <w:sz w:val="24"/>
          <w:szCs w:val="24"/>
        </w:rPr>
        <w:t>that PGW has held Complainant, as the property owner, responsible for the bill</w:t>
      </w:r>
      <w:r>
        <w:rPr>
          <w:rFonts w:ascii="Times New Roman" w:hAnsi="Times New Roman"/>
          <w:sz w:val="24"/>
          <w:szCs w:val="24"/>
        </w:rPr>
        <w:t xml:space="preserve">.  Complainant believes the bill is the responsibility of </w:t>
      </w:r>
      <w:r w:rsidR="00DB4A90">
        <w:rPr>
          <w:rFonts w:ascii="Times New Roman" w:hAnsi="Times New Roman"/>
          <w:sz w:val="24"/>
          <w:szCs w:val="24"/>
        </w:rPr>
        <w:t xml:space="preserve">PGW.  </w:t>
      </w:r>
      <w:r w:rsidR="00F556F6">
        <w:rPr>
          <w:rFonts w:ascii="Times New Roman" w:hAnsi="Times New Roman"/>
          <w:sz w:val="24"/>
          <w:szCs w:val="24"/>
        </w:rPr>
        <w:t xml:space="preserve">As relief, </w:t>
      </w:r>
      <w:r w:rsidR="00F556F6" w:rsidRPr="00F556F6">
        <w:rPr>
          <w:rFonts w:ascii="Times New Roman" w:hAnsi="Times New Roman"/>
          <w:sz w:val="24"/>
          <w:szCs w:val="24"/>
        </w:rPr>
        <w:t xml:space="preserve">Complainant seeks the Commission </w:t>
      </w:r>
      <w:r w:rsidR="00DB4A90">
        <w:rPr>
          <w:rFonts w:ascii="Times New Roman" w:hAnsi="Times New Roman"/>
          <w:sz w:val="24"/>
          <w:szCs w:val="24"/>
        </w:rPr>
        <w:t xml:space="preserve">direct PGW to provide a “check refund” in the amount of $545.48. </w:t>
      </w:r>
    </w:p>
    <w:p w:rsidR="00493917" w:rsidRPr="0041162F" w:rsidRDefault="00493917" w:rsidP="00BF43B1">
      <w:pPr>
        <w:autoSpaceDE w:val="0"/>
        <w:autoSpaceDN w:val="0"/>
        <w:spacing w:after="0" w:line="360" w:lineRule="auto"/>
        <w:ind w:firstLine="1440"/>
        <w:rPr>
          <w:rFonts w:ascii="Times New Roman" w:hAnsi="Times New Roman"/>
          <w:sz w:val="24"/>
          <w:szCs w:val="24"/>
        </w:rPr>
      </w:pPr>
    </w:p>
    <w:p w:rsidR="00227300" w:rsidRDefault="00DB0F0B" w:rsidP="00DB0F0B">
      <w:pPr>
        <w:spacing w:after="0" w:line="360" w:lineRule="auto"/>
        <w:rPr>
          <w:rFonts w:ascii="Times New Roman" w:hAnsi="Times New Roman"/>
          <w:color w:val="000000" w:themeColor="text1"/>
          <w:sz w:val="24"/>
          <w:szCs w:val="24"/>
        </w:rPr>
      </w:pPr>
      <w:r>
        <w:rPr>
          <w:rFonts w:ascii="Times New Roman" w:hAnsi="Times New Roman"/>
          <w:color w:val="FF0000"/>
          <w:sz w:val="24"/>
          <w:szCs w:val="24"/>
        </w:rPr>
        <w:tab/>
      </w:r>
      <w:r>
        <w:rPr>
          <w:rFonts w:ascii="Times New Roman" w:hAnsi="Times New Roman"/>
          <w:color w:val="FF0000"/>
          <w:sz w:val="24"/>
          <w:szCs w:val="24"/>
        </w:rPr>
        <w:tab/>
      </w:r>
      <w:r w:rsidRPr="00DB0F0B">
        <w:rPr>
          <w:rFonts w:ascii="Times New Roman" w:hAnsi="Times New Roman"/>
          <w:color w:val="000000" w:themeColor="text1"/>
          <w:sz w:val="24"/>
          <w:szCs w:val="24"/>
        </w:rPr>
        <w:t xml:space="preserve">On April </w:t>
      </w:r>
      <w:r w:rsidR="00DB4A90">
        <w:rPr>
          <w:rFonts w:ascii="Times New Roman" w:hAnsi="Times New Roman"/>
          <w:color w:val="000000" w:themeColor="text1"/>
          <w:sz w:val="24"/>
          <w:szCs w:val="24"/>
        </w:rPr>
        <w:t>29</w:t>
      </w:r>
      <w:r w:rsidRPr="00DB0F0B">
        <w:rPr>
          <w:rFonts w:ascii="Times New Roman" w:hAnsi="Times New Roman"/>
          <w:color w:val="000000" w:themeColor="text1"/>
          <w:sz w:val="24"/>
          <w:szCs w:val="24"/>
        </w:rPr>
        <w:t xml:space="preserve">, 2015, PGW filed its Answer, which denies that there are incorrect charges </w:t>
      </w:r>
      <w:r w:rsidR="00227300">
        <w:rPr>
          <w:rFonts w:ascii="Times New Roman" w:hAnsi="Times New Roman"/>
          <w:color w:val="000000" w:themeColor="text1"/>
          <w:sz w:val="24"/>
          <w:szCs w:val="24"/>
        </w:rPr>
        <w:t xml:space="preserve">on the Complainant’s account.  </w:t>
      </w:r>
      <w:r w:rsidRPr="00DB0F0B">
        <w:rPr>
          <w:rFonts w:ascii="Times New Roman" w:hAnsi="Times New Roman"/>
          <w:color w:val="000000" w:themeColor="text1"/>
          <w:sz w:val="24"/>
          <w:szCs w:val="24"/>
        </w:rPr>
        <w:t xml:space="preserve">PGW states that the Complainant has been the owner of </w:t>
      </w:r>
      <w:r w:rsidR="006C3E53">
        <w:rPr>
          <w:rFonts w:ascii="Times New Roman" w:hAnsi="Times New Roman"/>
          <w:color w:val="000000" w:themeColor="text1"/>
          <w:sz w:val="24"/>
          <w:szCs w:val="24"/>
        </w:rPr>
        <w:t xml:space="preserve">the </w:t>
      </w:r>
      <w:r w:rsidRPr="00DB0F0B">
        <w:rPr>
          <w:rFonts w:ascii="Times New Roman" w:hAnsi="Times New Roman"/>
          <w:color w:val="000000" w:themeColor="text1"/>
          <w:sz w:val="24"/>
          <w:szCs w:val="24"/>
        </w:rPr>
        <w:t>property at the Service Address since A</w:t>
      </w:r>
      <w:r w:rsidR="00DB4A90">
        <w:rPr>
          <w:rFonts w:ascii="Times New Roman" w:hAnsi="Times New Roman"/>
          <w:color w:val="000000" w:themeColor="text1"/>
          <w:sz w:val="24"/>
          <w:szCs w:val="24"/>
        </w:rPr>
        <w:t>ugust 4, 2003</w:t>
      </w:r>
      <w:r w:rsidRPr="00DB0F0B">
        <w:rPr>
          <w:rFonts w:ascii="Times New Roman" w:hAnsi="Times New Roman"/>
          <w:color w:val="000000" w:themeColor="text1"/>
          <w:sz w:val="24"/>
          <w:szCs w:val="24"/>
        </w:rPr>
        <w:t xml:space="preserve">, and that </w:t>
      </w:r>
      <w:r w:rsidR="00DB4A90" w:rsidRPr="0041162F">
        <w:rPr>
          <w:rFonts w:ascii="Times New Roman" w:hAnsi="Times New Roman"/>
          <w:sz w:val="24"/>
          <w:szCs w:val="24"/>
        </w:rPr>
        <w:t xml:space="preserve">landlord </w:t>
      </w:r>
      <w:r w:rsidR="00DB4A90">
        <w:rPr>
          <w:rFonts w:ascii="Times New Roman" w:hAnsi="Times New Roman"/>
          <w:sz w:val="24"/>
          <w:szCs w:val="24"/>
        </w:rPr>
        <w:t xml:space="preserve">is </w:t>
      </w:r>
      <w:r w:rsidR="00DB4A90" w:rsidRPr="0041162F">
        <w:rPr>
          <w:rFonts w:ascii="Times New Roman" w:hAnsi="Times New Roman"/>
          <w:sz w:val="24"/>
          <w:szCs w:val="24"/>
        </w:rPr>
        <w:t>enrolled in PGW’s Landlord Cooperation Program (LCP)</w:t>
      </w:r>
      <w:r w:rsidR="00DB4A90">
        <w:rPr>
          <w:rFonts w:ascii="Times New Roman" w:hAnsi="Times New Roman"/>
          <w:sz w:val="24"/>
          <w:szCs w:val="24"/>
        </w:rPr>
        <w:t xml:space="preserve"> as of </w:t>
      </w:r>
      <w:r w:rsidR="007456DA">
        <w:rPr>
          <w:rFonts w:ascii="Times New Roman" w:hAnsi="Times New Roman"/>
          <w:sz w:val="24"/>
          <w:szCs w:val="24"/>
        </w:rPr>
        <w:t xml:space="preserve">October 19, 2006, but </w:t>
      </w:r>
      <w:r w:rsidR="007456DA" w:rsidRPr="00DB0F0B">
        <w:rPr>
          <w:rFonts w:ascii="Times New Roman" w:hAnsi="Times New Roman"/>
          <w:color w:val="000000" w:themeColor="text1"/>
          <w:sz w:val="24"/>
          <w:szCs w:val="24"/>
        </w:rPr>
        <w:t xml:space="preserve">did not register the </w:t>
      </w:r>
      <w:r w:rsidR="007456DA">
        <w:rPr>
          <w:rFonts w:ascii="Times New Roman" w:hAnsi="Times New Roman"/>
          <w:color w:val="000000" w:themeColor="text1"/>
          <w:sz w:val="24"/>
          <w:szCs w:val="24"/>
        </w:rPr>
        <w:t>s</w:t>
      </w:r>
      <w:r w:rsidR="007456DA" w:rsidRPr="00DB0F0B">
        <w:rPr>
          <w:rFonts w:ascii="Times New Roman" w:hAnsi="Times New Roman"/>
          <w:color w:val="000000" w:themeColor="text1"/>
          <w:sz w:val="24"/>
          <w:szCs w:val="24"/>
        </w:rPr>
        <w:t xml:space="preserve">ervice </w:t>
      </w:r>
      <w:r w:rsidR="007456DA">
        <w:rPr>
          <w:rFonts w:ascii="Times New Roman" w:hAnsi="Times New Roman"/>
          <w:color w:val="000000" w:themeColor="text1"/>
          <w:sz w:val="24"/>
          <w:szCs w:val="24"/>
        </w:rPr>
        <w:t>a</w:t>
      </w:r>
      <w:r w:rsidR="007456DA" w:rsidRPr="00DB0F0B">
        <w:rPr>
          <w:rFonts w:ascii="Times New Roman" w:hAnsi="Times New Roman"/>
          <w:color w:val="000000" w:themeColor="text1"/>
          <w:sz w:val="24"/>
          <w:szCs w:val="24"/>
        </w:rPr>
        <w:t>ddress under LCP at that time</w:t>
      </w:r>
      <w:r w:rsidR="007456DA">
        <w:rPr>
          <w:rFonts w:ascii="Times New Roman" w:hAnsi="Times New Roman"/>
          <w:color w:val="000000" w:themeColor="text1"/>
          <w:sz w:val="24"/>
          <w:szCs w:val="24"/>
        </w:rPr>
        <w:t xml:space="preserve">.  </w:t>
      </w:r>
      <w:r w:rsidR="00DB4A90">
        <w:rPr>
          <w:rFonts w:ascii="Times New Roman" w:hAnsi="Times New Roman"/>
          <w:sz w:val="24"/>
          <w:szCs w:val="24"/>
        </w:rPr>
        <w:t xml:space="preserve">The Answer further states that </w:t>
      </w:r>
      <w:r w:rsidRPr="00DB0F0B">
        <w:rPr>
          <w:rFonts w:ascii="Times New Roman" w:hAnsi="Times New Roman"/>
          <w:color w:val="000000" w:themeColor="text1"/>
          <w:sz w:val="24"/>
          <w:szCs w:val="24"/>
        </w:rPr>
        <w:t xml:space="preserve">tenant, </w:t>
      </w:r>
      <w:r w:rsidR="007456DA">
        <w:rPr>
          <w:rFonts w:ascii="Times New Roman" w:hAnsi="Times New Roman"/>
          <w:color w:val="000000" w:themeColor="text1"/>
          <w:sz w:val="24"/>
          <w:szCs w:val="24"/>
        </w:rPr>
        <w:t>Terrence L. Benson</w:t>
      </w:r>
      <w:r w:rsidRPr="00DB0F0B">
        <w:rPr>
          <w:rFonts w:ascii="Times New Roman" w:hAnsi="Times New Roman"/>
          <w:color w:val="000000" w:themeColor="text1"/>
          <w:sz w:val="24"/>
          <w:szCs w:val="24"/>
        </w:rPr>
        <w:t xml:space="preserve">, established </w:t>
      </w:r>
      <w:r w:rsidR="007456DA">
        <w:rPr>
          <w:rFonts w:ascii="Times New Roman" w:hAnsi="Times New Roman"/>
          <w:color w:val="000000" w:themeColor="text1"/>
          <w:sz w:val="24"/>
          <w:szCs w:val="24"/>
        </w:rPr>
        <w:t xml:space="preserve">residential </w:t>
      </w:r>
      <w:r w:rsidRPr="00DB0F0B">
        <w:rPr>
          <w:rFonts w:ascii="Times New Roman" w:hAnsi="Times New Roman"/>
          <w:color w:val="000000" w:themeColor="text1"/>
          <w:sz w:val="24"/>
          <w:szCs w:val="24"/>
        </w:rPr>
        <w:t xml:space="preserve">gas service there on </w:t>
      </w:r>
      <w:r w:rsidR="007456DA">
        <w:rPr>
          <w:rFonts w:ascii="Times New Roman" w:hAnsi="Times New Roman"/>
          <w:color w:val="000000" w:themeColor="text1"/>
          <w:sz w:val="24"/>
          <w:szCs w:val="24"/>
        </w:rPr>
        <w:t>September 17, 2007</w:t>
      </w:r>
      <w:r w:rsidRPr="00DB0F0B">
        <w:rPr>
          <w:rFonts w:ascii="Times New Roman" w:hAnsi="Times New Roman"/>
          <w:color w:val="000000" w:themeColor="text1"/>
          <w:sz w:val="24"/>
          <w:szCs w:val="24"/>
        </w:rPr>
        <w:t>,</w:t>
      </w:r>
      <w:r w:rsidR="007456DA">
        <w:rPr>
          <w:rFonts w:ascii="Times New Roman" w:hAnsi="Times New Roman"/>
          <w:color w:val="000000" w:themeColor="text1"/>
          <w:sz w:val="24"/>
          <w:szCs w:val="24"/>
        </w:rPr>
        <w:t xml:space="preserve"> by visiting a PGW Service Center. </w:t>
      </w:r>
      <w:r w:rsidRPr="00DB0F0B">
        <w:rPr>
          <w:rFonts w:ascii="Times New Roman" w:hAnsi="Times New Roman"/>
          <w:color w:val="000000" w:themeColor="text1"/>
          <w:sz w:val="24"/>
          <w:szCs w:val="24"/>
        </w:rPr>
        <w:t xml:space="preserve"> </w:t>
      </w:r>
    </w:p>
    <w:p w:rsidR="00227300" w:rsidRDefault="00227300" w:rsidP="00DB0F0B">
      <w:pPr>
        <w:spacing w:after="0" w:line="360" w:lineRule="auto"/>
        <w:rPr>
          <w:rFonts w:ascii="Times New Roman" w:hAnsi="Times New Roman"/>
          <w:color w:val="000000" w:themeColor="text1"/>
          <w:sz w:val="24"/>
          <w:szCs w:val="24"/>
        </w:rPr>
      </w:pPr>
    </w:p>
    <w:p w:rsidR="007456DA" w:rsidRDefault="00227300" w:rsidP="00DB0F0B">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DB0F0B" w:rsidRPr="00DB0F0B">
        <w:rPr>
          <w:rFonts w:ascii="Times New Roman" w:hAnsi="Times New Roman"/>
          <w:color w:val="000000" w:themeColor="text1"/>
          <w:sz w:val="24"/>
          <w:szCs w:val="24"/>
        </w:rPr>
        <w:t xml:space="preserve">PGW further alleges that on </w:t>
      </w:r>
      <w:r w:rsidR="007456DA">
        <w:rPr>
          <w:rFonts w:ascii="Times New Roman" w:hAnsi="Times New Roman"/>
          <w:color w:val="000000" w:themeColor="text1"/>
          <w:sz w:val="24"/>
          <w:szCs w:val="24"/>
        </w:rPr>
        <w:t>August 23, 2011, a municipal lien was filed in the amount of $767.41 against the service address</w:t>
      </w:r>
      <w:r w:rsidR="00A60397">
        <w:rPr>
          <w:rFonts w:ascii="Times New Roman" w:hAnsi="Times New Roman"/>
          <w:color w:val="000000" w:themeColor="text1"/>
          <w:sz w:val="24"/>
          <w:szCs w:val="24"/>
        </w:rPr>
        <w:t xml:space="preserve"> (606 North 64</w:t>
      </w:r>
      <w:r w:rsidR="00A60397" w:rsidRPr="00A60397">
        <w:rPr>
          <w:rFonts w:ascii="Times New Roman" w:hAnsi="Times New Roman"/>
          <w:color w:val="000000" w:themeColor="text1"/>
          <w:sz w:val="24"/>
          <w:szCs w:val="24"/>
          <w:vertAlign w:val="superscript"/>
        </w:rPr>
        <w:t>th</w:t>
      </w:r>
      <w:r w:rsidR="00A60397">
        <w:rPr>
          <w:rFonts w:ascii="Times New Roman" w:hAnsi="Times New Roman"/>
          <w:color w:val="000000" w:themeColor="text1"/>
          <w:sz w:val="24"/>
          <w:szCs w:val="24"/>
        </w:rPr>
        <w:t xml:space="preserve"> Street, 2</w:t>
      </w:r>
      <w:r w:rsidR="00A60397" w:rsidRPr="00A60397">
        <w:rPr>
          <w:rFonts w:ascii="Times New Roman" w:hAnsi="Times New Roman"/>
          <w:color w:val="000000" w:themeColor="text1"/>
          <w:sz w:val="24"/>
          <w:szCs w:val="24"/>
          <w:vertAlign w:val="superscript"/>
        </w:rPr>
        <w:t>nd</w:t>
      </w:r>
      <w:r w:rsidR="00A60397">
        <w:rPr>
          <w:rFonts w:ascii="Times New Roman" w:hAnsi="Times New Roman"/>
          <w:color w:val="000000" w:themeColor="text1"/>
          <w:sz w:val="24"/>
          <w:szCs w:val="24"/>
        </w:rPr>
        <w:t xml:space="preserve"> Floor)</w:t>
      </w:r>
      <w:r w:rsidR="007456DA">
        <w:rPr>
          <w:rFonts w:ascii="Times New Roman" w:hAnsi="Times New Roman"/>
          <w:color w:val="000000" w:themeColor="text1"/>
          <w:sz w:val="24"/>
          <w:szCs w:val="24"/>
        </w:rPr>
        <w:t xml:space="preserve">.  On December 4, 2012, the account was noted that the landlord and property were LCP participants and were in pending status as of October 19, 2006.  </w:t>
      </w:r>
      <w:r w:rsidR="008F5ED2">
        <w:rPr>
          <w:rFonts w:ascii="Times New Roman" w:hAnsi="Times New Roman"/>
          <w:color w:val="000000" w:themeColor="text1"/>
          <w:sz w:val="24"/>
          <w:szCs w:val="24"/>
        </w:rPr>
        <w:t xml:space="preserve">On April 30, 2013, PGW completed a payoff inquiry form showing a balance owed of $545.48 under PGW Account No. </w:t>
      </w:r>
      <w:r w:rsidR="00235EBC">
        <w:rPr>
          <w:rFonts w:ascii="Times New Roman" w:hAnsi="Times New Roman"/>
          <w:color w:val="000000" w:themeColor="text1"/>
          <w:sz w:val="24"/>
          <w:szCs w:val="24"/>
        </w:rPr>
        <w:t xml:space="preserve">ending in </w:t>
      </w:r>
      <w:r w:rsidR="008F5ED2">
        <w:rPr>
          <w:rFonts w:ascii="Times New Roman" w:hAnsi="Times New Roman"/>
          <w:color w:val="000000" w:themeColor="text1"/>
          <w:sz w:val="24"/>
          <w:szCs w:val="24"/>
        </w:rPr>
        <w:t xml:space="preserve">8967.  On May 6, 2013, PGW received a check in the amount of $545.48.  </w:t>
      </w:r>
      <w:r w:rsidR="007456DA">
        <w:rPr>
          <w:rFonts w:ascii="Times New Roman" w:hAnsi="Times New Roman"/>
          <w:color w:val="000000" w:themeColor="text1"/>
          <w:sz w:val="24"/>
          <w:szCs w:val="24"/>
        </w:rPr>
        <w:t xml:space="preserve">In March, 2014, instead of issuing Complainant a refund check for $545.48, the amount was credited towards an outstanding balance </w:t>
      </w:r>
      <w:r w:rsidR="004303F2">
        <w:rPr>
          <w:rFonts w:ascii="Times New Roman" w:hAnsi="Times New Roman"/>
          <w:color w:val="000000" w:themeColor="text1"/>
          <w:sz w:val="24"/>
          <w:szCs w:val="24"/>
        </w:rPr>
        <w:t xml:space="preserve">the </w:t>
      </w:r>
      <w:r w:rsidR="007456DA">
        <w:rPr>
          <w:rFonts w:ascii="Times New Roman" w:hAnsi="Times New Roman"/>
          <w:color w:val="000000" w:themeColor="text1"/>
          <w:sz w:val="24"/>
          <w:szCs w:val="24"/>
        </w:rPr>
        <w:t>landlord owed PGW of $1,520.28</w:t>
      </w:r>
      <w:r w:rsidR="004303F2">
        <w:rPr>
          <w:rFonts w:ascii="Times New Roman" w:hAnsi="Times New Roman"/>
          <w:color w:val="000000" w:themeColor="text1"/>
          <w:sz w:val="24"/>
          <w:szCs w:val="24"/>
        </w:rPr>
        <w:t xml:space="preserve"> for </w:t>
      </w:r>
      <w:r w:rsidR="00A60397">
        <w:rPr>
          <w:rFonts w:ascii="Times New Roman" w:hAnsi="Times New Roman"/>
          <w:color w:val="000000" w:themeColor="text1"/>
          <w:sz w:val="24"/>
          <w:szCs w:val="24"/>
        </w:rPr>
        <w:t xml:space="preserve">service at 5899 Lancaster Avenue (Account No. </w:t>
      </w:r>
      <w:r w:rsidR="00235EBC">
        <w:rPr>
          <w:rFonts w:ascii="Times New Roman" w:hAnsi="Times New Roman"/>
          <w:color w:val="000000" w:themeColor="text1"/>
          <w:sz w:val="24"/>
          <w:szCs w:val="24"/>
        </w:rPr>
        <w:t xml:space="preserve">ending in </w:t>
      </w:r>
      <w:r w:rsidR="00A60397">
        <w:rPr>
          <w:rFonts w:ascii="Times New Roman" w:hAnsi="Times New Roman"/>
          <w:color w:val="000000" w:themeColor="text1"/>
          <w:sz w:val="24"/>
          <w:szCs w:val="24"/>
        </w:rPr>
        <w:t>0148)</w:t>
      </w:r>
      <w:r w:rsidR="007456DA">
        <w:rPr>
          <w:rFonts w:ascii="Times New Roman" w:hAnsi="Times New Roman"/>
          <w:color w:val="000000" w:themeColor="text1"/>
          <w:sz w:val="24"/>
          <w:szCs w:val="24"/>
        </w:rPr>
        <w:t xml:space="preserve">. </w:t>
      </w:r>
    </w:p>
    <w:p w:rsidR="00CA7409" w:rsidRDefault="00CA7409" w:rsidP="00DB0F0B">
      <w:pPr>
        <w:spacing w:after="0" w:line="360" w:lineRule="auto"/>
        <w:rPr>
          <w:rFonts w:ascii="Times New Roman" w:hAnsi="Times New Roman"/>
          <w:color w:val="000000" w:themeColor="text1"/>
          <w:sz w:val="24"/>
          <w:szCs w:val="24"/>
        </w:rPr>
      </w:pPr>
    </w:p>
    <w:p w:rsidR="0075275A" w:rsidRPr="00DB0F0B" w:rsidRDefault="007456DA" w:rsidP="00DB0F0B">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ab/>
      </w:r>
      <w:r w:rsidR="00DB0F0B" w:rsidRPr="00DB0F0B">
        <w:rPr>
          <w:rFonts w:ascii="Times New Roman" w:hAnsi="Times New Roman"/>
          <w:color w:val="000000" w:themeColor="text1"/>
          <w:sz w:val="24"/>
          <w:szCs w:val="24"/>
        </w:rPr>
        <w:tab/>
        <w:t xml:space="preserve">Also on April </w:t>
      </w:r>
      <w:r>
        <w:rPr>
          <w:rFonts w:ascii="Times New Roman" w:hAnsi="Times New Roman"/>
          <w:color w:val="000000" w:themeColor="text1"/>
          <w:sz w:val="24"/>
          <w:szCs w:val="24"/>
        </w:rPr>
        <w:t>29</w:t>
      </w:r>
      <w:r w:rsidR="00DB0F0B" w:rsidRPr="00DB0F0B">
        <w:rPr>
          <w:rFonts w:ascii="Times New Roman" w:hAnsi="Times New Roman"/>
          <w:color w:val="000000" w:themeColor="text1"/>
          <w:sz w:val="24"/>
          <w:szCs w:val="24"/>
        </w:rPr>
        <w:t>, 2015, PGW filed Preliminary Objection</w:t>
      </w:r>
      <w:r w:rsidR="00841634">
        <w:rPr>
          <w:rFonts w:ascii="Times New Roman" w:hAnsi="Times New Roman"/>
          <w:color w:val="000000" w:themeColor="text1"/>
          <w:sz w:val="24"/>
          <w:szCs w:val="24"/>
        </w:rPr>
        <w:t>s</w:t>
      </w:r>
      <w:r w:rsidR="00DB0F0B" w:rsidRPr="00DB0F0B">
        <w:rPr>
          <w:rFonts w:ascii="Times New Roman" w:hAnsi="Times New Roman"/>
          <w:color w:val="000000" w:themeColor="text1"/>
          <w:sz w:val="24"/>
          <w:szCs w:val="24"/>
        </w:rPr>
        <w:t xml:space="preserve"> with Motion to Strike.  PGW states that the lien was placed in full compliance with applicable law and that the Complainant has requested relief which the Commission is not authorized to grant.  Therefore, PGW seeks dismissal of the Complaint for lack of jurisdiction.</w:t>
      </w:r>
    </w:p>
    <w:p w:rsidR="00DB0F0B" w:rsidRPr="005146EC" w:rsidRDefault="00DB0F0B" w:rsidP="00BF43B1">
      <w:pPr>
        <w:spacing w:after="0" w:line="360" w:lineRule="auto"/>
        <w:rPr>
          <w:rFonts w:ascii="Times New Roman" w:hAnsi="Times New Roman"/>
          <w:sz w:val="24"/>
          <w:szCs w:val="24"/>
        </w:rPr>
      </w:pPr>
    </w:p>
    <w:p w:rsidR="00220A70" w:rsidRPr="00EB1359" w:rsidRDefault="0075275A" w:rsidP="00EB1359">
      <w:pPr>
        <w:spacing w:after="0" w:line="360" w:lineRule="auto"/>
        <w:ind w:firstLine="1440"/>
        <w:rPr>
          <w:rFonts w:ascii="Times New Roman" w:hAnsi="Times New Roman"/>
          <w:color w:val="000000" w:themeColor="text1"/>
          <w:sz w:val="24"/>
          <w:szCs w:val="24"/>
        </w:rPr>
      </w:pPr>
      <w:r w:rsidRPr="00DB0F0B">
        <w:rPr>
          <w:rFonts w:ascii="Times New Roman" w:hAnsi="Times New Roman"/>
          <w:color w:val="000000" w:themeColor="text1"/>
          <w:sz w:val="24"/>
          <w:szCs w:val="24"/>
        </w:rPr>
        <w:t xml:space="preserve">By Motion Judge Assignment Notice, the matter was assigned to me on </w:t>
      </w:r>
      <w:r w:rsidR="007456DA">
        <w:rPr>
          <w:rFonts w:ascii="Times New Roman" w:hAnsi="Times New Roman"/>
          <w:color w:val="000000" w:themeColor="text1"/>
          <w:sz w:val="24"/>
          <w:szCs w:val="24"/>
        </w:rPr>
        <w:t xml:space="preserve">May 11, </w:t>
      </w:r>
      <w:r w:rsidR="00DB0F0B" w:rsidRPr="00DB0F0B">
        <w:rPr>
          <w:rFonts w:ascii="Times New Roman" w:hAnsi="Times New Roman"/>
          <w:color w:val="000000" w:themeColor="text1"/>
          <w:sz w:val="24"/>
          <w:szCs w:val="24"/>
        </w:rPr>
        <w:t>2015</w:t>
      </w:r>
      <w:r w:rsidRPr="00DB0F0B">
        <w:rPr>
          <w:rFonts w:ascii="Times New Roman" w:hAnsi="Times New Roman"/>
          <w:color w:val="000000" w:themeColor="text1"/>
          <w:sz w:val="24"/>
          <w:szCs w:val="24"/>
        </w:rPr>
        <w:t>.</w:t>
      </w:r>
      <w:r w:rsidR="001F246E" w:rsidRPr="00DB0F0B">
        <w:rPr>
          <w:rFonts w:ascii="Times New Roman" w:hAnsi="Times New Roman"/>
          <w:color w:val="000000" w:themeColor="text1"/>
          <w:sz w:val="24"/>
          <w:szCs w:val="24"/>
        </w:rPr>
        <w:t xml:space="preserve">  </w:t>
      </w:r>
      <w:r w:rsidR="00D544EC" w:rsidRPr="00DB0F0B">
        <w:rPr>
          <w:rFonts w:ascii="Times New Roman" w:hAnsi="Times New Roman"/>
          <w:color w:val="000000" w:themeColor="text1"/>
          <w:sz w:val="24"/>
          <w:szCs w:val="24"/>
        </w:rPr>
        <w:t xml:space="preserve">To date, no response has been filed by Complainant.  </w:t>
      </w:r>
      <w:r w:rsidR="00517605" w:rsidRPr="00DB0F0B">
        <w:rPr>
          <w:rFonts w:ascii="Times New Roman" w:hAnsi="Times New Roman"/>
          <w:color w:val="000000" w:themeColor="text1"/>
          <w:sz w:val="24"/>
          <w:szCs w:val="24"/>
        </w:rPr>
        <w:t xml:space="preserve">The Preliminary Objections and Motion to Strike Impertinent Matter </w:t>
      </w:r>
      <w:r w:rsidR="00C64F5C" w:rsidRPr="00DB0F0B">
        <w:rPr>
          <w:rFonts w:ascii="Times New Roman" w:hAnsi="Times New Roman"/>
          <w:color w:val="000000" w:themeColor="text1"/>
          <w:sz w:val="24"/>
          <w:szCs w:val="24"/>
        </w:rPr>
        <w:t>are</w:t>
      </w:r>
      <w:r w:rsidR="00517605" w:rsidRPr="00DB0F0B">
        <w:rPr>
          <w:rFonts w:ascii="Times New Roman" w:hAnsi="Times New Roman"/>
          <w:color w:val="000000" w:themeColor="text1"/>
          <w:sz w:val="24"/>
          <w:szCs w:val="24"/>
        </w:rPr>
        <w:t xml:space="preserve"> ripe for a decision.</w:t>
      </w:r>
    </w:p>
    <w:p w:rsidR="006C3E53" w:rsidRPr="00F556F6" w:rsidRDefault="006C3E53" w:rsidP="006C3E53">
      <w:pPr>
        <w:spacing w:after="0" w:line="360" w:lineRule="auto"/>
        <w:rPr>
          <w:rFonts w:ascii="Times New Roman" w:hAnsi="Times New Roman"/>
          <w:color w:val="FF0000"/>
          <w:sz w:val="24"/>
          <w:szCs w:val="24"/>
        </w:rPr>
      </w:pPr>
    </w:p>
    <w:p w:rsidR="009C1CEA" w:rsidRPr="00227300" w:rsidRDefault="009C1CEA" w:rsidP="006C3E53">
      <w:pPr>
        <w:spacing w:after="0" w:line="360" w:lineRule="auto"/>
        <w:jc w:val="center"/>
        <w:rPr>
          <w:rFonts w:ascii="Times New Roman" w:hAnsi="Times New Roman"/>
          <w:color w:val="000000" w:themeColor="text1"/>
          <w:sz w:val="24"/>
          <w:szCs w:val="24"/>
          <w:u w:val="single"/>
        </w:rPr>
      </w:pPr>
      <w:r w:rsidRPr="00227300">
        <w:rPr>
          <w:rFonts w:ascii="Times New Roman" w:hAnsi="Times New Roman"/>
          <w:color w:val="000000" w:themeColor="text1"/>
          <w:sz w:val="24"/>
          <w:szCs w:val="24"/>
          <w:u w:val="single"/>
        </w:rPr>
        <w:t>FINDINGS OF FACT</w:t>
      </w:r>
    </w:p>
    <w:p w:rsidR="009C1CEA" w:rsidRPr="00227300" w:rsidRDefault="009C1CEA" w:rsidP="006C3E53">
      <w:pPr>
        <w:spacing w:after="0" w:line="360" w:lineRule="auto"/>
        <w:jc w:val="center"/>
        <w:rPr>
          <w:rFonts w:ascii="Times New Roman" w:hAnsi="Times New Roman"/>
          <w:color w:val="000000" w:themeColor="text1"/>
          <w:sz w:val="24"/>
          <w:szCs w:val="24"/>
          <w:u w:val="single"/>
        </w:rPr>
      </w:pPr>
    </w:p>
    <w:p w:rsidR="007456DA" w:rsidRPr="0041162F" w:rsidRDefault="009C1CEA" w:rsidP="007456DA">
      <w:pPr>
        <w:autoSpaceDE w:val="0"/>
        <w:autoSpaceDN w:val="0"/>
        <w:spacing w:after="0" w:line="360" w:lineRule="auto"/>
        <w:ind w:firstLine="1440"/>
        <w:rPr>
          <w:rFonts w:ascii="Times New Roman" w:hAnsi="Times New Roman"/>
          <w:sz w:val="24"/>
          <w:szCs w:val="24"/>
        </w:rPr>
      </w:pPr>
      <w:r w:rsidRPr="00227300">
        <w:rPr>
          <w:rFonts w:ascii="Times New Roman" w:hAnsi="Times New Roman"/>
          <w:color w:val="000000" w:themeColor="text1"/>
          <w:sz w:val="24"/>
          <w:szCs w:val="24"/>
        </w:rPr>
        <w:t>1.</w:t>
      </w:r>
      <w:r w:rsidRPr="00227300">
        <w:rPr>
          <w:rFonts w:ascii="Times New Roman" w:hAnsi="Times New Roman"/>
          <w:color w:val="000000" w:themeColor="text1"/>
          <w:sz w:val="24"/>
          <w:szCs w:val="24"/>
        </w:rPr>
        <w:tab/>
        <w:t xml:space="preserve">Complainant is </w:t>
      </w:r>
      <w:r w:rsidR="007456DA">
        <w:rPr>
          <w:rFonts w:ascii="Times New Roman" w:hAnsi="Times New Roman"/>
          <w:sz w:val="24"/>
          <w:szCs w:val="24"/>
        </w:rPr>
        <w:t xml:space="preserve">Emerald Housing Resources, LLC, which owns </w:t>
      </w:r>
      <w:r w:rsidR="00235EBC">
        <w:rPr>
          <w:rFonts w:ascii="Times New Roman" w:hAnsi="Times New Roman"/>
          <w:sz w:val="24"/>
          <w:szCs w:val="24"/>
        </w:rPr>
        <w:t>the</w:t>
      </w:r>
      <w:r w:rsidR="007456DA">
        <w:rPr>
          <w:rFonts w:ascii="Times New Roman" w:hAnsi="Times New Roman"/>
          <w:sz w:val="24"/>
          <w:szCs w:val="24"/>
        </w:rPr>
        <w:t xml:space="preserve"> service property located at</w:t>
      </w:r>
      <w:r w:rsidR="007456DA" w:rsidRPr="00194D22">
        <w:rPr>
          <w:rFonts w:ascii="Times New Roman" w:hAnsi="Times New Roman"/>
          <w:sz w:val="24"/>
          <w:szCs w:val="24"/>
        </w:rPr>
        <w:t xml:space="preserve"> </w:t>
      </w:r>
      <w:r w:rsidR="007456DA">
        <w:rPr>
          <w:rFonts w:ascii="Times New Roman" w:hAnsi="Times New Roman"/>
          <w:sz w:val="24"/>
          <w:szCs w:val="24"/>
        </w:rPr>
        <w:t>606 North 64</w:t>
      </w:r>
      <w:r w:rsidR="007456DA" w:rsidRPr="005F49FC">
        <w:rPr>
          <w:rFonts w:ascii="Times New Roman" w:hAnsi="Times New Roman"/>
          <w:sz w:val="24"/>
          <w:szCs w:val="24"/>
          <w:vertAlign w:val="superscript"/>
        </w:rPr>
        <w:t>th</w:t>
      </w:r>
      <w:r w:rsidR="007456DA">
        <w:rPr>
          <w:rFonts w:ascii="Times New Roman" w:hAnsi="Times New Roman"/>
          <w:sz w:val="24"/>
          <w:szCs w:val="24"/>
        </w:rPr>
        <w:t xml:space="preserve"> Street, 2</w:t>
      </w:r>
      <w:r w:rsidR="007456DA" w:rsidRPr="005F49FC">
        <w:rPr>
          <w:rFonts w:ascii="Times New Roman" w:hAnsi="Times New Roman"/>
          <w:sz w:val="24"/>
          <w:szCs w:val="24"/>
          <w:vertAlign w:val="superscript"/>
        </w:rPr>
        <w:t>nd</w:t>
      </w:r>
      <w:r w:rsidR="007456DA">
        <w:rPr>
          <w:rFonts w:ascii="Times New Roman" w:hAnsi="Times New Roman"/>
          <w:sz w:val="24"/>
          <w:szCs w:val="24"/>
        </w:rPr>
        <w:t xml:space="preserve"> Floor, Philadelphia, PA 19151</w:t>
      </w:r>
      <w:r w:rsidR="00235EBC">
        <w:rPr>
          <w:rFonts w:ascii="Times New Roman" w:hAnsi="Times New Roman"/>
          <w:sz w:val="24"/>
          <w:szCs w:val="24"/>
        </w:rPr>
        <w:t xml:space="preserve"> and another service property located at </w:t>
      </w:r>
      <w:r w:rsidR="00235EBC">
        <w:rPr>
          <w:rFonts w:ascii="Times New Roman" w:hAnsi="Times New Roman"/>
          <w:color w:val="000000" w:themeColor="text1"/>
          <w:sz w:val="24"/>
          <w:szCs w:val="24"/>
        </w:rPr>
        <w:t>5899 Lancaster Avenue, Philadelphia, PA</w:t>
      </w:r>
      <w:r w:rsidR="007456DA">
        <w:rPr>
          <w:rFonts w:ascii="Times New Roman" w:hAnsi="Times New Roman"/>
          <w:sz w:val="24"/>
          <w:szCs w:val="24"/>
        </w:rPr>
        <w:t xml:space="preserve">. </w:t>
      </w:r>
    </w:p>
    <w:p w:rsidR="009C1CEA" w:rsidRPr="00227300" w:rsidRDefault="009C1CEA" w:rsidP="00BF43B1">
      <w:pPr>
        <w:spacing w:after="0" w:line="360" w:lineRule="auto"/>
        <w:ind w:firstLine="1440"/>
        <w:rPr>
          <w:rFonts w:ascii="Times New Roman" w:hAnsi="Times New Roman"/>
          <w:color w:val="000000" w:themeColor="text1"/>
          <w:sz w:val="24"/>
          <w:szCs w:val="24"/>
        </w:rPr>
      </w:pPr>
    </w:p>
    <w:p w:rsidR="009C1CEA" w:rsidRPr="00227300" w:rsidRDefault="009C1CEA" w:rsidP="00BF43B1">
      <w:pPr>
        <w:spacing w:after="0" w:line="360" w:lineRule="auto"/>
        <w:ind w:firstLine="1440"/>
        <w:rPr>
          <w:rFonts w:ascii="Times New Roman" w:hAnsi="Times New Roman"/>
          <w:color w:val="000000" w:themeColor="text1"/>
          <w:sz w:val="24"/>
          <w:szCs w:val="24"/>
        </w:rPr>
      </w:pPr>
      <w:r w:rsidRPr="00227300">
        <w:rPr>
          <w:rFonts w:ascii="Times New Roman" w:hAnsi="Times New Roman"/>
          <w:color w:val="000000" w:themeColor="text1"/>
          <w:sz w:val="24"/>
          <w:szCs w:val="24"/>
        </w:rPr>
        <w:t>2.</w:t>
      </w:r>
      <w:r w:rsidRPr="00227300">
        <w:rPr>
          <w:rFonts w:ascii="Times New Roman" w:hAnsi="Times New Roman"/>
          <w:color w:val="000000" w:themeColor="text1"/>
          <w:sz w:val="24"/>
          <w:szCs w:val="24"/>
        </w:rPr>
        <w:tab/>
        <w:t>Respondent is Philadelphia Gas Works (PGW).</w:t>
      </w:r>
    </w:p>
    <w:p w:rsidR="009C1CEA" w:rsidRPr="00227300" w:rsidRDefault="009C1CEA" w:rsidP="00BF43B1">
      <w:pPr>
        <w:spacing w:after="0" w:line="360" w:lineRule="auto"/>
        <w:ind w:firstLine="1440"/>
        <w:rPr>
          <w:rFonts w:ascii="Times New Roman" w:hAnsi="Times New Roman"/>
          <w:color w:val="000000" w:themeColor="text1"/>
          <w:sz w:val="24"/>
          <w:szCs w:val="24"/>
        </w:rPr>
      </w:pPr>
    </w:p>
    <w:p w:rsidR="00C64F5C" w:rsidRPr="00227300" w:rsidRDefault="009C1CEA" w:rsidP="00BF43B1">
      <w:pPr>
        <w:spacing w:after="0" w:line="360" w:lineRule="auto"/>
        <w:ind w:firstLine="1440"/>
        <w:rPr>
          <w:rFonts w:ascii="Times New Roman" w:hAnsi="Times New Roman"/>
          <w:color w:val="000000" w:themeColor="text1"/>
          <w:sz w:val="24"/>
          <w:szCs w:val="24"/>
        </w:rPr>
      </w:pPr>
      <w:r w:rsidRPr="00227300">
        <w:rPr>
          <w:rFonts w:ascii="Times New Roman" w:hAnsi="Times New Roman"/>
          <w:color w:val="000000" w:themeColor="text1"/>
          <w:sz w:val="24"/>
          <w:szCs w:val="24"/>
        </w:rPr>
        <w:t>3.</w:t>
      </w:r>
      <w:r w:rsidRPr="00227300">
        <w:rPr>
          <w:rFonts w:ascii="Times New Roman" w:hAnsi="Times New Roman"/>
          <w:color w:val="000000" w:themeColor="text1"/>
          <w:sz w:val="24"/>
          <w:szCs w:val="24"/>
        </w:rPr>
        <w:tab/>
      </w:r>
      <w:r w:rsidR="0025784C" w:rsidRPr="00227300">
        <w:rPr>
          <w:rFonts w:ascii="Times New Roman" w:hAnsi="Times New Roman"/>
          <w:color w:val="000000" w:themeColor="text1"/>
          <w:sz w:val="24"/>
          <w:szCs w:val="24"/>
        </w:rPr>
        <w:t xml:space="preserve">Complainant requests </w:t>
      </w:r>
      <w:r w:rsidR="007456DA">
        <w:rPr>
          <w:rFonts w:ascii="Times New Roman" w:hAnsi="Times New Roman"/>
          <w:color w:val="000000" w:themeColor="text1"/>
          <w:sz w:val="24"/>
          <w:szCs w:val="24"/>
        </w:rPr>
        <w:t xml:space="preserve">a “check refund” in the amount of $545.48, </w:t>
      </w:r>
      <w:r w:rsidR="00E01BAE" w:rsidRPr="00227300">
        <w:rPr>
          <w:rFonts w:ascii="Times New Roman" w:hAnsi="Times New Roman"/>
          <w:color w:val="000000" w:themeColor="text1"/>
          <w:sz w:val="24"/>
          <w:szCs w:val="24"/>
        </w:rPr>
        <w:t>the</w:t>
      </w:r>
      <w:r w:rsidR="007456DA">
        <w:rPr>
          <w:rFonts w:ascii="Times New Roman" w:hAnsi="Times New Roman"/>
          <w:color w:val="000000" w:themeColor="text1"/>
          <w:sz w:val="24"/>
          <w:szCs w:val="24"/>
        </w:rPr>
        <w:t xml:space="preserve"> amount Complainant paid </w:t>
      </w:r>
      <w:r w:rsidR="00516F6D">
        <w:rPr>
          <w:rFonts w:ascii="Times New Roman" w:hAnsi="Times New Roman"/>
          <w:color w:val="000000" w:themeColor="text1"/>
          <w:sz w:val="24"/>
          <w:szCs w:val="24"/>
        </w:rPr>
        <w:t>to satisfy a</w:t>
      </w:r>
      <w:r w:rsidR="007456DA">
        <w:rPr>
          <w:rFonts w:ascii="Times New Roman" w:hAnsi="Times New Roman"/>
          <w:color w:val="000000" w:themeColor="text1"/>
          <w:sz w:val="24"/>
          <w:szCs w:val="24"/>
        </w:rPr>
        <w:t xml:space="preserve"> </w:t>
      </w:r>
      <w:r w:rsidR="00E01BAE" w:rsidRPr="00227300">
        <w:rPr>
          <w:rFonts w:ascii="Times New Roman" w:hAnsi="Times New Roman"/>
          <w:color w:val="000000" w:themeColor="text1"/>
          <w:sz w:val="24"/>
          <w:szCs w:val="24"/>
        </w:rPr>
        <w:t xml:space="preserve">municipal lien filed by </w:t>
      </w:r>
      <w:r w:rsidR="008F5ED2">
        <w:rPr>
          <w:rFonts w:ascii="Times New Roman" w:hAnsi="Times New Roman"/>
          <w:color w:val="000000" w:themeColor="text1"/>
          <w:sz w:val="24"/>
          <w:szCs w:val="24"/>
        </w:rPr>
        <w:t>t</w:t>
      </w:r>
      <w:r w:rsidR="00E01BAE" w:rsidRPr="00227300">
        <w:rPr>
          <w:rFonts w:ascii="Times New Roman" w:hAnsi="Times New Roman"/>
          <w:color w:val="000000" w:themeColor="text1"/>
          <w:sz w:val="24"/>
          <w:szCs w:val="24"/>
        </w:rPr>
        <w:t>he City of Philadelphia a</w:t>
      </w:r>
      <w:r w:rsidR="00516F6D">
        <w:rPr>
          <w:rFonts w:ascii="Times New Roman" w:hAnsi="Times New Roman"/>
          <w:color w:val="000000" w:themeColor="text1"/>
          <w:sz w:val="24"/>
          <w:szCs w:val="24"/>
        </w:rPr>
        <w:t>gainst</w:t>
      </w:r>
      <w:r w:rsidR="00E01BAE" w:rsidRPr="00227300">
        <w:rPr>
          <w:rFonts w:ascii="Times New Roman" w:hAnsi="Times New Roman"/>
          <w:color w:val="000000" w:themeColor="text1"/>
          <w:sz w:val="24"/>
          <w:szCs w:val="24"/>
        </w:rPr>
        <w:t xml:space="preserve"> the Service Address</w:t>
      </w:r>
      <w:r w:rsidR="00841D3B">
        <w:rPr>
          <w:rFonts w:ascii="Times New Roman" w:hAnsi="Times New Roman"/>
          <w:color w:val="000000" w:themeColor="text1"/>
          <w:sz w:val="24"/>
          <w:szCs w:val="24"/>
        </w:rPr>
        <w:t>.</w:t>
      </w:r>
    </w:p>
    <w:p w:rsidR="00C64F5C" w:rsidRPr="00227300" w:rsidRDefault="00C64F5C" w:rsidP="00BF43B1">
      <w:pPr>
        <w:spacing w:after="0" w:line="360" w:lineRule="auto"/>
        <w:ind w:firstLine="1440"/>
        <w:rPr>
          <w:rFonts w:ascii="Times New Roman" w:hAnsi="Times New Roman"/>
          <w:color w:val="000000" w:themeColor="text1"/>
          <w:sz w:val="24"/>
          <w:szCs w:val="24"/>
        </w:rPr>
      </w:pPr>
    </w:p>
    <w:p w:rsidR="006C3E53" w:rsidRDefault="00C64F5C" w:rsidP="00EB1359">
      <w:pPr>
        <w:spacing w:after="0" w:line="360" w:lineRule="auto"/>
        <w:ind w:firstLine="1440"/>
        <w:rPr>
          <w:rFonts w:ascii="Times New Roman" w:hAnsi="Times New Roman"/>
          <w:color w:val="000000" w:themeColor="text1"/>
          <w:sz w:val="24"/>
          <w:szCs w:val="24"/>
        </w:rPr>
      </w:pPr>
      <w:r w:rsidRPr="00227300">
        <w:rPr>
          <w:rFonts w:ascii="Times New Roman" w:hAnsi="Times New Roman"/>
          <w:color w:val="000000" w:themeColor="text1"/>
          <w:sz w:val="24"/>
          <w:szCs w:val="24"/>
        </w:rPr>
        <w:t>4.</w:t>
      </w:r>
      <w:r w:rsidRPr="00227300">
        <w:rPr>
          <w:rFonts w:ascii="Times New Roman" w:hAnsi="Times New Roman"/>
          <w:color w:val="000000" w:themeColor="text1"/>
          <w:sz w:val="24"/>
          <w:szCs w:val="24"/>
        </w:rPr>
        <w:tab/>
        <w:t>Complainant</w:t>
      </w:r>
      <w:r w:rsidR="00841D3B">
        <w:rPr>
          <w:rFonts w:ascii="Times New Roman" w:hAnsi="Times New Roman"/>
          <w:color w:val="000000" w:themeColor="text1"/>
          <w:sz w:val="24"/>
          <w:szCs w:val="24"/>
        </w:rPr>
        <w:t xml:space="preserve"> is</w:t>
      </w:r>
      <w:r w:rsidRPr="00227300">
        <w:rPr>
          <w:rFonts w:ascii="Times New Roman" w:hAnsi="Times New Roman"/>
          <w:color w:val="000000" w:themeColor="text1"/>
          <w:sz w:val="24"/>
          <w:szCs w:val="24"/>
        </w:rPr>
        <w:t xml:space="preserve"> </w:t>
      </w:r>
      <w:r w:rsidR="0025784C" w:rsidRPr="00227300">
        <w:rPr>
          <w:rFonts w:ascii="Times New Roman" w:hAnsi="Times New Roman"/>
          <w:color w:val="000000" w:themeColor="text1"/>
          <w:sz w:val="24"/>
          <w:szCs w:val="24"/>
        </w:rPr>
        <w:t>the owner and</w:t>
      </w:r>
      <w:r w:rsidR="00E01BAE" w:rsidRPr="00227300">
        <w:rPr>
          <w:rFonts w:ascii="Times New Roman" w:hAnsi="Times New Roman"/>
          <w:color w:val="000000" w:themeColor="text1"/>
          <w:sz w:val="24"/>
          <w:szCs w:val="24"/>
        </w:rPr>
        <w:t xml:space="preserve"> landlord for the Service Address.</w:t>
      </w:r>
    </w:p>
    <w:p w:rsidR="00A60397" w:rsidRDefault="00A60397" w:rsidP="00EB1359">
      <w:pPr>
        <w:spacing w:after="0" w:line="360" w:lineRule="auto"/>
        <w:ind w:firstLine="1440"/>
        <w:rPr>
          <w:rFonts w:ascii="Times New Roman" w:hAnsi="Times New Roman"/>
          <w:color w:val="000000" w:themeColor="text1"/>
          <w:sz w:val="24"/>
          <w:szCs w:val="24"/>
        </w:rPr>
      </w:pPr>
    </w:p>
    <w:p w:rsidR="00A60397" w:rsidRDefault="00A60397" w:rsidP="00A60397">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5.</w:t>
      </w:r>
      <w:r>
        <w:rPr>
          <w:rFonts w:ascii="Times New Roman" w:hAnsi="Times New Roman"/>
          <w:color w:val="000000" w:themeColor="text1"/>
          <w:sz w:val="24"/>
          <w:szCs w:val="24"/>
        </w:rPr>
        <w:tab/>
        <w:t>Instead of refunding a check to Complainant of $545.48, Respondent credited the amount towards an outstanding balance Complainant owed at a different service property</w:t>
      </w:r>
      <w:r w:rsidR="006401D1">
        <w:rPr>
          <w:rFonts w:ascii="Times New Roman" w:hAnsi="Times New Roman"/>
          <w:color w:val="000000" w:themeColor="text1"/>
          <w:sz w:val="24"/>
          <w:szCs w:val="24"/>
        </w:rPr>
        <w:t>,</w:t>
      </w:r>
      <w:r w:rsidR="00235EBC" w:rsidRPr="00235EBC">
        <w:rPr>
          <w:rFonts w:ascii="Times New Roman" w:hAnsi="Times New Roman"/>
          <w:color w:val="000000" w:themeColor="text1"/>
          <w:sz w:val="24"/>
          <w:szCs w:val="24"/>
        </w:rPr>
        <w:t xml:space="preserve"> </w:t>
      </w:r>
      <w:r w:rsidR="00235EBC">
        <w:rPr>
          <w:rFonts w:ascii="Times New Roman" w:hAnsi="Times New Roman"/>
          <w:color w:val="000000" w:themeColor="text1"/>
          <w:sz w:val="24"/>
          <w:szCs w:val="24"/>
        </w:rPr>
        <w:t>5899 Lancaster Avenue (Account No. ending in 0148)</w:t>
      </w:r>
      <w:r>
        <w:rPr>
          <w:rFonts w:ascii="Times New Roman" w:hAnsi="Times New Roman"/>
          <w:color w:val="000000" w:themeColor="text1"/>
          <w:sz w:val="24"/>
          <w:szCs w:val="24"/>
        </w:rPr>
        <w:t xml:space="preserve">. </w:t>
      </w:r>
    </w:p>
    <w:p w:rsidR="00A60397" w:rsidRPr="00EB1359" w:rsidRDefault="00A60397" w:rsidP="00EB1359">
      <w:pPr>
        <w:spacing w:after="0" w:line="360" w:lineRule="auto"/>
        <w:ind w:firstLine="1440"/>
        <w:rPr>
          <w:rFonts w:ascii="Times New Roman" w:hAnsi="Times New Roman"/>
          <w:color w:val="000000" w:themeColor="text1"/>
          <w:sz w:val="24"/>
          <w:szCs w:val="24"/>
        </w:rPr>
      </w:pPr>
    </w:p>
    <w:p w:rsidR="006C3E53" w:rsidRDefault="006C3E53" w:rsidP="00220A70">
      <w:pPr>
        <w:spacing w:after="0" w:line="360" w:lineRule="auto"/>
        <w:jc w:val="center"/>
        <w:outlineLvl w:val="0"/>
        <w:rPr>
          <w:rFonts w:ascii="Times New Roman" w:hAnsi="Times New Roman"/>
          <w:color w:val="FF0000"/>
          <w:sz w:val="24"/>
          <w:szCs w:val="24"/>
          <w:u w:val="single"/>
        </w:rPr>
      </w:pPr>
    </w:p>
    <w:p w:rsidR="009C1CEA" w:rsidRPr="002B64B5" w:rsidRDefault="009C1CEA" w:rsidP="00220A70">
      <w:pPr>
        <w:spacing w:after="0" w:line="360" w:lineRule="auto"/>
        <w:jc w:val="center"/>
        <w:outlineLvl w:val="0"/>
        <w:rPr>
          <w:rFonts w:ascii="Times New Roman" w:hAnsi="Times New Roman"/>
          <w:color w:val="000000" w:themeColor="text1"/>
          <w:sz w:val="24"/>
          <w:szCs w:val="24"/>
          <w:u w:val="single"/>
        </w:rPr>
      </w:pPr>
      <w:r w:rsidRPr="002B64B5">
        <w:rPr>
          <w:rFonts w:ascii="Times New Roman" w:hAnsi="Times New Roman"/>
          <w:color w:val="000000" w:themeColor="text1"/>
          <w:sz w:val="24"/>
          <w:szCs w:val="24"/>
          <w:u w:val="single"/>
        </w:rPr>
        <w:t>DISCUSSION</w:t>
      </w:r>
    </w:p>
    <w:p w:rsidR="00B34A64" w:rsidRPr="002B64B5" w:rsidRDefault="00B34A64" w:rsidP="00BF43B1">
      <w:pPr>
        <w:spacing w:after="0" w:line="360" w:lineRule="auto"/>
        <w:ind w:left="2880" w:firstLine="720"/>
        <w:outlineLvl w:val="0"/>
        <w:rPr>
          <w:rFonts w:ascii="Times New Roman" w:hAnsi="Times New Roman"/>
          <w:color w:val="000000" w:themeColor="text1"/>
          <w:sz w:val="24"/>
          <w:szCs w:val="24"/>
          <w:u w:val="single"/>
        </w:rPr>
      </w:pPr>
    </w:p>
    <w:p w:rsidR="00C64F5C" w:rsidRPr="002B64B5" w:rsidRDefault="00C64F5C" w:rsidP="00BF43B1">
      <w:pPr>
        <w:spacing w:after="0" w:line="360" w:lineRule="auto"/>
        <w:ind w:firstLine="1440"/>
        <w:rPr>
          <w:rFonts w:ascii="Times New Roman" w:hAnsi="Times New Roman"/>
          <w:color w:val="000000" w:themeColor="text1"/>
          <w:sz w:val="24"/>
          <w:szCs w:val="24"/>
        </w:rPr>
      </w:pPr>
      <w:r w:rsidRPr="002B64B5">
        <w:rPr>
          <w:rFonts w:ascii="Times New Roman" w:hAnsi="Times New Roman"/>
          <w:color w:val="000000" w:themeColor="text1"/>
          <w:sz w:val="24"/>
          <w:szCs w:val="24"/>
        </w:rPr>
        <w:t>Commission preliminary</w:t>
      </w:r>
      <w:r w:rsidR="003F6B3A" w:rsidRPr="002B64B5">
        <w:rPr>
          <w:rFonts w:ascii="Times New Roman" w:hAnsi="Times New Roman"/>
          <w:color w:val="000000" w:themeColor="text1"/>
          <w:sz w:val="24"/>
          <w:szCs w:val="24"/>
        </w:rPr>
        <w:t xml:space="preserve"> </w:t>
      </w:r>
      <w:r w:rsidRPr="002B64B5">
        <w:rPr>
          <w:rFonts w:ascii="Times New Roman" w:hAnsi="Times New Roman"/>
          <w:color w:val="000000" w:themeColor="text1"/>
          <w:sz w:val="24"/>
          <w:szCs w:val="24"/>
        </w:rPr>
        <w:t xml:space="preserve">objection practice is comparable to Pennsylvania civil practice respecting the filing of preliminary objections.  </w:t>
      </w:r>
      <w:r w:rsidRPr="002B64B5">
        <w:rPr>
          <w:rFonts w:ascii="Times New Roman" w:hAnsi="Times New Roman"/>
          <w:i/>
          <w:color w:val="000000" w:themeColor="text1"/>
          <w:sz w:val="24"/>
          <w:szCs w:val="24"/>
        </w:rPr>
        <w:t>Equitable Small Transportation Intervenors v. Equitable Gas Company</w:t>
      </w:r>
      <w:r w:rsidRPr="002B64B5">
        <w:rPr>
          <w:rFonts w:ascii="Times New Roman" w:hAnsi="Times New Roman"/>
          <w:color w:val="000000" w:themeColor="text1"/>
          <w:sz w:val="24"/>
          <w:szCs w:val="24"/>
        </w:rPr>
        <w:t xml:space="preserve">, 1994 Pa PUC LEXIS </w:t>
      </w:r>
      <w:r w:rsidR="00B34A64" w:rsidRPr="002B64B5">
        <w:rPr>
          <w:rFonts w:ascii="Times New Roman" w:hAnsi="Times New Roman"/>
          <w:color w:val="000000" w:themeColor="text1"/>
          <w:sz w:val="24"/>
          <w:szCs w:val="24"/>
        </w:rPr>
        <w:t>69, Docket No. C-00935435 (July 18, </w:t>
      </w:r>
      <w:r w:rsidRPr="002B64B5">
        <w:rPr>
          <w:rFonts w:ascii="Times New Roman" w:hAnsi="Times New Roman"/>
          <w:color w:val="000000" w:themeColor="text1"/>
          <w:sz w:val="24"/>
          <w:szCs w:val="24"/>
        </w:rPr>
        <w:t>1994).</w:t>
      </w:r>
    </w:p>
    <w:p w:rsidR="002B1D1D" w:rsidRPr="002B64B5" w:rsidRDefault="002B1D1D" w:rsidP="00BF43B1">
      <w:pPr>
        <w:spacing w:after="0" w:line="360" w:lineRule="auto"/>
        <w:rPr>
          <w:rFonts w:ascii="Times New Roman" w:hAnsi="Times New Roman"/>
          <w:color w:val="000000" w:themeColor="text1"/>
          <w:sz w:val="24"/>
          <w:szCs w:val="24"/>
        </w:rPr>
      </w:pPr>
    </w:p>
    <w:p w:rsidR="00C64F5C" w:rsidRPr="002B64B5" w:rsidRDefault="00C64F5C" w:rsidP="00220A70">
      <w:pPr>
        <w:spacing w:after="0" w:line="360" w:lineRule="auto"/>
        <w:rPr>
          <w:rFonts w:ascii="Times New Roman" w:hAnsi="Times New Roman"/>
          <w:color w:val="000000" w:themeColor="text1"/>
          <w:sz w:val="24"/>
          <w:szCs w:val="24"/>
        </w:rPr>
      </w:pPr>
      <w:r w:rsidRPr="002B64B5">
        <w:rPr>
          <w:rFonts w:ascii="Times New Roman" w:hAnsi="Times New Roman"/>
          <w:color w:val="000000" w:themeColor="text1"/>
          <w:sz w:val="24"/>
          <w:szCs w:val="24"/>
        </w:rPr>
        <w:tab/>
      </w:r>
      <w:r w:rsidRPr="002B64B5">
        <w:rPr>
          <w:rFonts w:ascii="Times New Roman" w:hAnsi="Times New Roman"/>
          <w:color w:val="000000" w:themeColor="text1"/>
          <w:sz w:val="24"/>
          <w:szCs w:val="24"/>
        </w:rPr>
        <w:tab/>
        <w:t xml:space="preserve">The Commission’s regulations provide, </w:t>
      </w:r>
      <w:r w:rsidRPr="002B64B5">
        <w:rPr>
          <w:rFonts w:ascii="Times New Roman" w:hAnsi="Times New Roman"/>
          <w:i/>
          <w:color w:val="000000" w:themeColor="text1"/>
          <w:sz w:val="24"/>
          <w:szCs w:val="24"/>
        </w:rPr>
        <w:t>inter alia</w:t>
      </w:r>
      <w:r w:rsidR="002B1D1D" w:rsidRPr="002B64B5">
        <w:rPr>
          <w:rFonts w:ascii="Times New Roman" w:hAnsi="Times New Roman"/>
          <w:color w:val="000000" w:themeColor="text1"/>
          <w:sz w:val="24"/>
          <w:szCs w:val="24"/>
        </w:rPr>
        <w:t>:</w:t>
      </w:r>
    </w:p>
    <w:p w:rsidR="00220A70" w:rsidRPr="002B64B5" w:rsidRDefault="00220A70" w:rsidP="00220A70">
      <w:pPr>
        <w:spacing w:after="0" w:line="360" w:lineRule="auto"/>
        <w:rPr>
          <w:rFonts w:ascii="Times New Roman" w:hAnsi="Times New Roman"/>
          <w:color w:val="000000" w:themeColor="text1"/>
          <w:sz w:val="24"/>
          <w:szCs w:val="24"/>
        </w:rPr>
      </w:pPr>
    </w:p>
    <w:p w:rsidR="00C64F5C" w:rsidRPr="002B64B5" w:rsidRDefault="00C64F5C" w:rsidP="00C64F5C">
      <w:pPr>
        <w:numPr>
          <w:ilvl w:val="0"/>
          <w:numId w:val="2"/>
        </w:numPr>
        <w:spacing w:after="0" w:line="240" w:lineRule="auto"/>
        <w:rPr>
          <w:rFonts w:ascii="Times New Roman" w:hAnsi="Times New Roman"/>
          <w:color w:val="000000" w:themeColor="text1"/>
          <w:sz w:val="24"/>
          <w:szCs w:val="24"/>
        </w:rPr>
      </w:pPr>
      <w:r w:rsidRPr="002B64B5">
        <w:rPr>
          <w:rFonts w:ascii="Times New Roman" w:hAnsi="Times New Roman"/>
          <w:i/>
          <w:color w:val="000000" w:themeColor="text1"/>
          <w:sz w:val="24"/>
          <w:szCs w:val="24"/>
        </w:rPr>
        <w:t>Grounds</w:t>
      </w:r>
      <w:r w:rsidRPr="002B64B5">
        <w:rPr>
          <w:rFonts w:ascii="Times New Roman" w:hAnsi="Times New Roman"/>
          <w:color w:val="000000" w:themeColor="text1"/>
          <w:sz w:val="24"/>
          <w:szCs w:val="24"/>
        </w:rPr>
        <w:t>.  Preliminary objections are available to parties</w:t>
      </w:r>
    </w:p>
    <w:p w:rsidR="00C64F5C" w:rsidRPr="002B64B5" w:rsidRDefault="00C64F5C" w:rsidP="001F246E">
      <w:pPr>
        <w:spacing w:after="0" w:line="240" w:lineRule="auto"/>
        <w:ind w:left="1440"/>
        <w:rPr>
          <w:rFonts w:ascii="Times New Roman" w:hAnsi="Times New Roman"/>
          <w:color w:val="000000" w:themeColor="text1"/>
          <w:sz w:val="24"/>
          <w:szCs w:val="24"/>
        </w:rPr>
      </w:pPr>
      <w:r w:rsidRPr="002B64B5">
        <w:rPr>
          <w:rFonts w:ascii="Times New Roman" w:hAnsi="Times New Roman"/>
          <w:color w:val="000000" w:themeColor="text1"/>
          <w:sz w:val="24"/>
          <w:szCs w:val="24"/>
        </w:rPr>
        <w:t>and may be filed in response to a pleading except motions and</w:t>
      </w:r>
    </w:p>
    <w:p w:rsidR="00C64F5C" w:rsidRPr="002B64B5" w:rsidRDefault="00C64F5C" w:rsidP="001F246E">
      <w:pPr>
        <w:spacing w:after="0" w:line="240" w:lineRule="auto"/>
        <w:ind w:left="1440"/>
        <w:rPr>
          <w:rFonts w:ascii="Times New Roman" w:hAnsi="Times New Roman"/>
          <w:color w:val="000000" w:themeColor="text1"/>
          <w:sz w:val="24"/>
          <w:szCs w:val="24"/>
        </w:rPr>
      </w:pPr>
      <w:r w:rsidRPr="002B64B5">
        <w:rPr>
          <w:rFonts w:ascii="Times New Roman" w:hAnsi="Times New Roman"/>
          <w:color w:val="000000" w:themeColor="text1"/>
          <w:sz w:val="24"/>
          <w:szCs w:val="24"/>
        </w:rPr>
        <w:t xml:space="preserve">prior preliminary objections.  Preliminary objections must be </w:t>
      </w:r>
    </w:p>
    <w:p w:rsidR="00C64F5C" w:rsidRPr="002B64B5" w:rsidRDefault="00C64F5C" w:rsidP="001F246E">
      <w:pPr>
        <w:spacing w:after="0" w:line="240" w:lineRule="auto"/>
        <w:ind w:left="1440"/>
        <w:rPr>
          <w:rFonts w:ascii="Times New Roman" w:hAnsi="Times New Roman"/>
          <w:color w:val="000000" w:themeColor="text1"/>
          <w:sz w:val="24"/>
          <w:szCs w:val="24"/>
        </w:rPr>
      </w:pPr>
      <w:r w:rsidRPr="002B64B5">
        <w:rPr>
          <w:rFonts w:ascii="Times New Roman" w:hAnsi="Times New Roman"/>
          <w:color w:val="000000" w:themeColor="text1"/>
          <w:sz w:val="24"/>
          <w:szCs w:val="24"/>
        </w:rPr>
        <w:t>accompanied by a notice to plead, must state specifically the legal</w:t>
      </w:r>
    </w:p>
    <w:p w:rsidR="00C64F5C" w:rsidRPr="002B64B5" w:rsidRDefault="00C64F5C" w:rsidP="001F246E">
      <w:pPr>
        <w:spacing w:after="0" w:line="240" w:lineRule="auto"/>
        <w:ind w:left="1440"/>
        <w:rPr>
          <w:rFonts w:ascii="Times New Roman" w:hAnsi="Times New Roman"/>
          <w:color w:val="000000" w:themeColor="text1"/>
          <w:sz w:val="24"/>
          <w:szCs w:val="24"/>
        </w:rPr>
      </w:pPr>
      <w:r w:rsidRPr="002B64B5">
        <w:rPr>
          <w:rFonts w:ascii="Times New Roman" w:hAnsi="Times New Roman"/>
          <w:color w:val="000000" w:themeColor="text1"/>
          <w:sz w:val="24"/>
          <w:szCs w:val="24"/>
        </w:rPr>
        <w:t>and factual grounds relied upon and be limited to the following:</w:t>
      </w:r>
    </w:p>
    <w:p w:rsidR="00C64F5C" w:rsidRPr="002B64B5" w:rsidRDefault="00C64F5C" w:rsidP="00220A70">
      <w:pPr>
        <w:spacing w:after="0" w:line="240" w:lineRule="auto"/>
        <w:ind w:left="1440"/>
        <w:rPr>
          <w:rFonts w:ascii="Times New Roman" w:hAnsi="Times New Roman"/>
          <w:color w:val="000000" w:themeColor="text1"/>
          <w:sz w:val="24"/>
          <w:szCs w:val="24"/>
        </w:rPr>
      </w:pPr>
    </w:p>
    <w:p w:rsidR="00C64F5C" w:rsidRPr="00EB1359" w:rsidRDefault="00C64F5C" w:rsidP="00EB1359">
      <w:pPr>
        <w:numPr>
          <w:ilvl w:val="0"/>
          <w:numId w:val="3"/>
        </w:numPr>
        <w:spacing w:after="0" w:line="240" w:lineRule="auto"/>
        <w:ind w:left="1440" w:right="1440" w:firstLine="0"/>
        <w:rPr>
          <w:rFonts w:ascii="Times New Roman" w:hAnsi="Times New Roman"/>
          <w:color w:val="000000" w:themeColor="text1"/>
          <w:sz w:val="24"/>
          <w:szCs w:val="24"/>
        </w:rPr>
      </w:pPr>
      <w:r w:rsidRPr="00EB1359">
        <w:rPr>
          <w:rFonts w:ascii="Times New Roman" w:hAnsi="Times New Roman"/>
          <w:color w:val="000000" w:themeColor="text1"/>
          <w:sz w:val="24"/>
          <w:szCs w:val="24"/>
        </w:rPr>
        <w:t>Lack of Commission jurisdiction or improper service of</w:t>
      </w:r>
      <w:r w:rsidR="00EB1359">
        <w:rPr>
          <w:rFonts w:ascii="Times New Roman" w:hAnsi="Times New Roman"/>
          <w:color w:val="000000" w:themeColor="text1"/>
          <w:sz w:val="24"/>
          <w:szCs w:val="24"/>
        </w:rPr>
        <w:t xml:space="preserve"> </w:t>
      </w:r>
      <w:r w:rsidRPr="00EB1359">
        <w:rPr>
          <w:rFonts w:ascii="Times New Roman" w:hAnsi="Times New Roman"/>
          <w:color w:val="000000" w:themeColor="text1"/>
          <w:sz w:val="24"/>
          <w:szCs w:val="24"/>
        </w:rPr>
        <w:t>the pleading initiating the proceeding.</w:t>
      </w:r>
    </w:p>
    <w:p w:rsidR="00220A70" w:rsidRPr="002B64B5" w:rsidRDefault="00220A70" w:rsidP="00220A70">
      <w:pPr>
        <w:spacing w:after="0" w:line="240" w:lineRule="auto"/>
        <w:ind w:left="1440"/>
        <w:rPr>
          <w:rFonts w:ascii="Times New Roman" w:hAnsi="Times New Roman"/>
          <w:color w:val="000000" w:themeColor="text1"/>
          <w:sz w:val="24"/>
          <w:szCs w:val="24"/>
        </w:rPr>
      </w:pPr>
    </w:p>
    <w:p w:rsidR="00C64F5C" w:rsidRPr="00EB1359" w:rsidRDefault="00C64F5C" w:rsidP="00EB1359">
      <w:pPr>
        <w:numPr>
          <w:ilvl w:val="0"/>
          <w:numId w:val="3"/>
        </w:numPr>
        <w:spacing w:after="0" w:line="240" w:lineRule="auto"/>
        <w:ind w:left="1440" w:firstLine="0"/>
        <w:rPr>
          <w:rFonts w:ascii="Times New Roman" w:hAnsi="Times New Roman"/>
          <w:color w:val="000000" w:themeColor="text1"/>
          <w:sz w:val="24"/>
          <w:szCs w:val="24"/>
        </w:rPr>
      </w:pPr>
      <w:r w:rsidRPr="00EB1359">
        <w:rPr>
          <w:rFonts w:ascii="Times New Roman" w:hAnsi="Times New Roman"/>
          <w:color w:val="000000" w:themeColor="text1"/>
          <w:sz w:val="24"/>
          <w:szCs w:val="24"/>
        </w:rPr>
        <w:t>Failure of a pleading to conform to this chapter or the</w:t>
      </w:r>
      <w:r w:rsidR="00EB1359">
        <w:rPr>
          <w:rFonts w:ascii="Times New Roman" w:hAnsi="Times New Roman"/>
          <w:color w:val="000000" w:themeColor="text1"/>
          <w:sz w:val="24"/>
          <w:szCs w:val="24"/>
        </w:rPr>
        <w:t xml:space="preserve"> </w:t>
      </w:r>
      <w:r w:rsidRPr="00EB1359">
        <w:rPr>
          <w:rFonts w:ascii="Times New Roman" w:hAnsi="Times New Roman"/>
          <w:color w:val="000000" w:themeColor="text1"/>
          <w:sz w:val="24"/>
          <w:szCs w:val="24"/>
        </w:rPr>
        <w:t>inclusion of scandalous or impertinent matter.</w:t>
      </w:r>
    </w:p>
    <w:p w:rsidR="00220A70" w:rsidRPr="002B64B5" w:rsidRDefault="00220A70" w:rsidP="00220A70">
      <w:pPr>
        <w:spacing w:after="0" w:line="240" w:lineRule="auto"/>
        <w:ind w:left="1440"/>
        <w:rPr>
          <w:rFonts w:ascii="Times New Roman" w:hAnsi="Times New Roman"/>
          <w:color w:val="000000" w:themeColor="text1"/>
          <w:sz w:val="24"/>
          <w:szCs w:val="24"/>
        </w:rPr>
      </w:pPr>
    </w:p>
    <w:p w:rsidR="00C64F5C" w:rsidRPr="002B64B5" w:rsidRDefault="00C64F5C" w:rsidP="00220A70">
      <w:pPr>
        <w:spacing w:after="0" w:line="360" w:lineRule="auto"/>
        <w:ind w:left="1440"/>
        <w:rPr>
          <w:rFonts w:ascii="Times New Roman" w:hAnsi="Times New Roman"/>
          <w:color w:val="000000" w:themeColor="text1"/>
          <w:sz w:val="24"/>
          <w:szCs w:val="24"/>
        </w:rPr>
      </w:pPr>
      <w:r w:rsidRPr="002B64B5">
        <w:rPr>
          <w:rFonts w:ascii="Times New Roman" w:hAnsi="Times New Roman"/>
          <w:color w:val="000000" w:themeColor="text1"/>
          <w:sz w:val="24"/>
          <w:szCs w:val="24"/>
        </w:rPr>
        <w:t>52 Pa.Code § 5.101(a)(1), (2)</w:t>
      </w:r>
      <w:r w:rsidR="00AC6FA7" w:rsidRPr="002B64B5">
        <w:rPr>
          <w:rFonts w:ascii="Times New Roman" w:hAnsi="Times New Roman"/>
          <w:color w:val="000000" w:themeColor="text1"/>
          <w:sz w:val="24"/>
          <w:szCs w:val="24"/>
        </w:rPr>
        <w:t>.</w:t>
      </w:r>
    </w:p>
    <w:p w:rsidR="00AC2087" w:rsidRDefault="00AC2087" w:rsidP="00220A70">
      <w:pPr>
        <w:spacing w:after="0" w:line="360" w:lineRule="auto"/>
        <w:ind w:left="1440"/>
        <w:rPr>
          <w:rFonts w:ascii="Times New Roman" w:hAnsi="Times New Roman"/>
          <w:color w:val="FF0000"/>
          <w:sz w:val="24"/>
          <w:szCs w:val="24"/>
        </w:rPr>
      </w:pPr>
    </w:p>
    <w:p w:rsidR="00F95E77" w:rsidRPr="00F95E77" w:rsidRDefault="00F95E77" w:rsidP="00F95E77">
      <w:pPr>
        <w:spacing w:after="0" w:line="360" w:lineRule="auto"/>
        <w:rPr>
          <w:rFonts w:ascii="Times New Roman" w:hAnsi="Times New Roman"/>
          <w:color w:val="000000" w:themeColor="text1"/>
          <w:sz w:val="24"/>
          <w:szCs w:val="24"/>
        </w:rPr>
      </w:pPr>
      <w:r>
        <w:rPr>
          <w:rFonts w:ascii="Times New Roman" w:hAnsi="Times New Roman"/>
          <w:color w:val="FF0000"/>
          <w:sz w:val="24"/>
          <w:szCs w:val="24"/>
        </w:rPr>
        <w:tab/>
      </w:r>
      <w:r w:rsidRPr="00F95E77">
        <w:rPr>
          <w:rFonts w:ascii="Times New Roman" w:hAnsi="Times New Roman"/>
          <w:color w:val="000000" w:themeColor="text1"/>
          <w:sz w:val="24"/>
          <w:szCs w:val="24"/>
        </w:rPr>
        <w:tab/>
      </w:r>
      <w:r w:rsidR="008F5ED2">
        <w:rPr>
          <w:rFonts w:ascii="Times New Roman" w:hAnsi="Times New Roman"/>
          <w:color w:val="000000" w:themeColor="text1"/>
          <w:sz w:val="24"/>
          <w:szCs w:val="24"/>
        </w:rPr>
        <w:t>The</w:t>
      </w:r>
      <w:r w:rsidRPr="00F95E77">
        <w:rPr>
          <w:rFonts w:ascii="Times New Roman" w:hAnsi="Times New Roman"/>
          <w:color w:val="000000" w:themeColor="text1"/>
          <w:sz w:val="24"/>
          <w:szCs w:val="24"/>
        </w:rPr>
        <w:t xml:space="preserve"> Preliminary Objections</w:t>
      </w:r>
      <w:r w:rsidR="008F5ED2">
        <w:rPr>
          <w:rFonts w:ascii="Times New Roman" w:hAnsi="Times New Roman"/>
          <w:color w:val="000000" w:themeColor="text1"/>
          <w:sz w:val="24"/>
          <w:szCs w:val="24"/>
        </w:rPr>
        <w:t xml:space="preserve"> allege that </w:t>
      </w:r>
      <w:r w:rsidRPr="00F95E77">
        <w:rPr>
          <w:rFonts w:ascii="Times New Roman" w:hAnsi="Times New Roman"/>
          <w:color w:val="000000" w:themeColor="text1"/>
          <w:sz w:val="24"/>
          <w:szCs w:val="24"/>
        </w:rPr>
        <w:t>the Commission lack</w:t>
      </w:r>
      <w:r w:rsidR="008F5ED2">
        <w:rPr>
          <w:rFonts w:ascii="Times New Roman" w:hAnsi="Times New Roman"/>
          <w:color w:val="000000" w:themeColor="text1"/>
          <w:sz w:val="24"/>
          <w:szCs w:val="24"/>
        </w:rPr>
        <w:t>s</w:t>
      </w:r>
      <w:r w:rsidRPr="00F95E77">
        <w:rPr>
          <w:rFonts w:ascii="Times New Roman" w:hAnsi="Times New Roman"/>
          <w:color w:val="000000" w:themeColor="text1"/>
          <w:sz w:val="24"/>
          <w:szCs w:val="24"/>
        </w:rPr>
        <w:t xml:space="preserve"> jurisdiction</w:t>
      </w:r>
      <w:r w:rsidR="008F5ED2">
        <w:rPr>
          <w:rFonts w:ascii="Times New Roman" w:hAnsi="Times New Roman"/>
          <w:color w:val="000000" w:themeColor="text1"/>
          <w:sz w:val="24"/>
          <w:szCs w:val="24"/>
        </w:rPr>
        <w:t xml:space="preserve"> over the subject matter of the complaint, specifically</w:t>
      </w:r>
      <w:r w:rsidRPr="00F95E77">
        <w:rPr>
          <w:rFonts w:ascii="Times New Roman" w:hAnsi="Times New Roman"/>
          <w:color w:val="000000" w:themeColor="text1"/>
          <w:sz w:val="24"/>
          <w:szCs w:val="24"/>
        </w:rPr>
        <w:t xml:space="preserve"> to hear cases requiring adjudication of municipal liens</w:t>
      </w:r>
      <w:r w:rsidR="008F5ED2">
        <w:rPr>
          <w:rFonts w:ascii="Times New Roman" w:hAnsi="Times New Roman"/>
          <w:color w:val="000000" w:themeColor="text1"/>
          <w:sz w:val="24"/>
          <w:szCs w:val="24"/>
        </w:rPr>
        <w:t>.  The Commission also lacks jurisdiction over disputes involving terms and conditions of the LCP</w:t>
      </w:r>
      <w:r w:rsidRPr="00F95E77">
        <w:rPr>
          <w:rFonts w:ascii="Times New Roman" w:hAnsi="Times New Roman"/>
          <w:color w:val="000000" w:themeColor="text1"/>
          <w:sz w:val="24"/>
          <w:szCs w:val="24"/>
        </w:rPr>
        <w:t>.  As stated above, preliminary objections can only be based on facts set forth in the Complaint.  Any facts or issues raised in responsive pleadings cannot be considered in the disposition of preliminary objections.</w:t>
      </w:r>
    </w:p>
    <w:p w:rsidR="00F95E77" w:rsidRDefault="00F95E77" w:rsidP="00F95E77">
      <w:pPr>
        <w:spacing w:after="0" w:line="360" w:lineRule="auto"/>
        <w:rPr>
          <w:rFonts w:ascii="Times New Roman" w:hAnsi="Times New Roman"/>
          <w:color w:val="000000" w:themeColor="text1"/>
          <w:sz w:val="24"/>
          <w:szCs w:val="24"/>
        </w:rPr>
      </w:pPr>
    </w:p>
    <w:p w:rsidR="008F5ED2" w:rsidRDefault="00B20846" w:rsidP="00E52D7C">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4821">
        <w:rPr>
          <w:rFonts w:ascii="Times New Roman" w:hAnsi="Times New Roman"/>
          <w:sz w:val="24"/>
          <w:szCs w:val="24"/>
        </w:rPr>
        <w:t>L</w:t>
      </w:r>
      <w:r w:rsidR="0037742D" w:rsidRPr="00B20846">
        <w:rPr>
          <w:rFonts w:ascii="Times New Roman" w:hAnsi="Times New Roman"/>
          <w:sz w:val="24"/>
          <w:szCs w:val="24"/>
        </w:rPr>
        <w:t xml:space="preserve">ack of Commission jurisdiction is a legitimate ground for a </w:t>
      </w:r>
      <w:r>
        <w:rPr>
          <w:rFonts w:ascii="Times New Roman" w:hAnsi="Times New Roman"/>
          <w:sz w:val="24"/>
          <w:szCs w:val="24"/>
        </w:rPr>
        <w:t>preliminary objection</w:t>
      </w:r>
      <w:r w:rsidR="0037742D" w:rsidRPr="00B20846">
        <w:rPr>
          <w:rFonts w:ascii="Times New Roman" w:hAnsi="Times New Roman"/>
          <w:sz w:val="24"/>
          <w:szCs w:val="24"/>
        </w:rPr>
        <w:t>, 52 Pa.Code § 5.101(a)(1),</w:t>
      </w:r>
      <w:r w:rsidR="00BD4821">
        <w:rPr>
          <w:rFonts w:ascii="Times New Roman" w:hAnsi="Times New Roman"/>
          <w:sz w:val="24"/>
          <w:szCs w:val="24"/>
        </w:rPr>
        <w:t xml:space="preserve"> and it is </w:t>
      </w:r>
      <w:r w:rsidR="0037742D" w:rsidRPr="00B20846">
        <w:rPr>
          <w:rFonts w:ascii="Times New Roman" w:hAnsi="Times New Roman"/>
          <w:sz w:val="24"/>
          <w:szCs w:val="24"/>
        </w:rPr>
        <w:t xml:space="preserve">evident on the face of the Complaint.  </w:t>
      </w:r>
      <w:r>
        <w:rPr>
          <w:rFonts w:ascii="Times New Roman" w:hAnsi="Times New Roman"/>
          <w:sz w:val="24"/>
          <w:szCs w:val="24"/>
        </w:rPr>
        <w:t>As stated above, a preliminary objection</w:t>
      </w:r>
      <w:r w:rsidR="0037742D" w:rsidRPr="00B20846">
        <w:rPr>
          <w:rFonts w:ascii="Times New Roman" w:hAnsi="Times New Roman"/>
          <w:sz w:val="24"/>
          <w:szCs w:val="24"/>
        </w:rPr>
        <w:t xml:space="preserve"> can only be based on facts set forth in the Complaint.  Any facts or issues raised in responsive pleadings cannot be considered in the disposition of a </w:t>
      </w:r>
      <w:r>
        <w:rPr>
          <w:rFonts w:ascii="Times New Roman" w:hAnsi="Times New Roman"/>
          <w:sz w:val="24"/>
          <w:szCs w:val="24"/>
        </w:rPr>
        <w:t>preliminary objection</w:t>
      </w:r>
      <w:r w:rsidR="0037742D" w:rsidRPr="00B20846">
        <w:rPr>
          <w:rFonts w:ascii="Times New Roman" w:hAnsi="Times New Roman"/>
          <w:sz w:val="24"/>
          <w:szCs w:val="24"/>
        </w:rPr>
        <w:t>.</w:t>
      </w:r>
    </w:p>
    <w:p w:rsidR="00E52D7C" w:rsidRDefault="00E52D7C" w:rsidP="00E52D7C">
      <w:pPr>
        <w:spacing w:after="0" w:line="360" w:lineRule="auto"/>
        <w:rPr>
          <w:rFonts w:ascii="Times New Roman" w:hAnsi="Times New Roman"/>
          <w:sz w:val="24"/>
          <w:szCs w:val="24"/>
        </w:rPr>
      </w:pPr>
    </w:p>
    <w:p w:rsidR="00F95E77" w:rsidRPr="00F95E77" w:rsidRDefault="00B20846" w:rsidP="00E52D7C">
      <w:pPr>
        <w:spacing w:after="0" w:line="360" w:lineRule="auto"/>
        <w:rPr>
          <w:rFonts w:ascii="Times New Roman" w:hAnsi="Times New Roman"/>
          <w:color w:val="000000" w:themeColor="text1"/>
          <w:sz w:val="24"/>
          <w:szCs w:val="24"/>
        </w:rPr>
      </w:pPr>
      <w:r>
        <w:rPr>
          <w:rFonts w:ascii="Times New Roman" w:hAnsi="Times New Roman"/>
          <w:sz w:val="24"/>
          <w:szCs w:val="24"/>
        </w:rPr>
        <w:tab/>
      </w:r>
      <w:r>
        <w:rPr>
          <w:rFonts w:ascii="Times New Roman" w:hAnsi="Times New Roman"/>
          <w:sz w:val="24"/>
          <w:szCs w:val="24"/>
        </w:rPr>
        <w:tab/>
      </w:r>
      <w:r w:rsidR="00F95E77" w:rsidRPr="00F95E77">
        <w:rPr>
          <w:rFonts w:ascii="Times New Roman" w:hAnsi="Times New Roman"/>
          <w:color w:val="000000" w:themeColor="text1"/>
          <w:sz w:val="24"/>
          <w:szCs w:val="24"/>
        </w:rPr>
        <w:t>The Commission regulation at 52 Pa.Code §5.21(a) states that a person may file a formal complaint claiming violation of a statute that the Commission has jurisdiction to administer.  The regulation at 52 Pa.Code §5.21(d) authorizes the Commission to dismiss a complaint if a hearing is not necessary and authorizes preliminary objections, motions for summary judgment and motions for judgment on the pleadings to be filed in response to a complaint.</w:t>
      </w:r>
    </w:p>
    <w:p w:rsidR="00F95E77" w:rsidRPr="00F95E77" w:rsidRDefault="00F95E77" w:rsidP="00F95E77">
      <w:pPr>
        <w:spacing w:after="0" w:line="360" w:lineRule="auto"/>
        <w:rPr>
          <w:rFonts w:ascii="Times New Roman" w:hAnsi="Times New Roman"/>
          <w:color w:val="000000" w:themeColor="text1"/>
          <w:sz w:val="24"/>
          <w:szCs w:val="24"/>
        </w:rPr>
      </w:pPr>
    </w:p>
    <w:p w:rsidR="006D3A56" w:rsidRDefault="00F95E77" w:rsidP="006D3A56">
      <w:pPr>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r>
      <w:r w:rsidR="006D3A56" w:rsidRPr="006D3A56">
        <w:rPr>
          <w:rFonts w:ascii="Times New Roman" w:hAnsi="Times New Roman"/>
          <w:color w:val="000000" w:themeColor="text1"/>
          <w:sz w:val="24"/>
          <w:szCs w:val="24"/>
        </w:rPr>
        <w:t xml:space="preserve">I will view the factual averments in the Complaint in this case as true for purposes of disposing of the </w:t>
      </w:r>
      <w:r w:rsidR="00BD4821">
        <w:rPr>
          <w:rFonts w:ascii="Times New Roman" w:hAnsi="Times New Roman"/>
          <w:color w:val="000000" w:themeColor="text1"/>
          <w:sz w:val="24"/>
          <w:szCs w:val="24"/>
        </w:rPr>
        <w:t>Preliminary Objections</w:t>
      </w:r>
      <w:r w:rsidR="006D3A56" w:rsidRPr="006D3A56">
        <w:rPr>
          <w:rFonts w:ascii="Times New Roman" w:hAnsi="Times New Roman"/>
          <w:color w:val="000000" w:themeColor="text1"/>
          <w:sz w:val="24"/>
          <w:szCs w:val="24"/>
        </w:rPr>
        <w:t xml:space="preserve">.  The </w:t>
      </w:r>
      <w:r w:rsidR="00235EBC">
        <w:rPr>
          <w:rFonts w:ascii="Times New Roman" w:hAnsi="Times New Roman"/>
          <w:color w:val="000000" w:themeColor="text1"/>
          <w:sz w:val="24"/>
          <w:szCs w:val="24"/>
        </w:rPr>
        <w:t>main</w:t>
      </w:r>
      <w:r w:rsidR="006D3A56">
        <w:rPr>
          <w:rFonts w:ascii="Times New Roman" w:hAnsi="Times New Roman"/>
          <w:color w:val="000000" w:themeColor="text1"/>
          <w:sz w:val="24"/>
          <w:szCs w:val="24"/>
        </w:rPr>
        <w:t xml:space="preserve"> allegation in the Complaint is that PGW has wrongfully held the Complainant responsible for </w:t>
      </w:r>
      <w:r w:rsidR="008F5ED2">
        <w:rPr>
          <w:rFonts w:ascii="Times New Roman" w:hAnsi="Times New Roman"/>
          <w:color w:val="000000" w:themeColor="text1"/>
          <w:sz w:val="24"/>
          <w:szCs w:val="24"/>
        </w:rPr>
        <w:t>an unauthorized</w:t>
      </w:r>
      <w:r w:rsidR="006D3A56">
        <w:rPr>
          <w:rFonts w:ascii="Times New Roman" w:hAnsi="Times New Roman"/>
          <w:color w:val="000000" w:themeColor="text1"/>
          <w:sz w:val="24"/>
          <w:szCs w:val="24"/>
        </w:rPr>
        <w:t xml:space="preserve"> tenant’s gas bill at the Service Address</w:t>
      </w:r>
      <w:r w:rsidR="00235EBC">
        <w:rPr>
          <w:rFonts w:ascii="Times New Roman" w:hAnsi="Times New Roman"/>
          <w:color w:val="000000" w:themeColor="text1"/>
          <w:sz w:val="24"/>
          <w:szCs w:val="24"/>
        </w:rPr>
        <w:t xml:space="preserve">.  Complainant also avers that </w:t>
      </w:r>
      <w:r w:rsidR="00B564D3">
        <w:rPr>
          <w:rFonts w:ascii="Times New Roman" w:hAnsi="Times New Roman"/>
          <w:color w:val="000000" w:themeColor="text1"/>
          <w:sz w:val="24"/>
          <w:szCs w:val="24"/>
        </w:rPr>
        <w:t xml:space="preserve">it is not clear from PGW’s bills whether Complainant’s </w:t>
      </w:r>
      <w:r w:rsidR="00235EBC">
        <w:rPr>
          <w:rFonts w:ascii="Times New Roman" w:hAnsi="Times New Roman"/>
          <w:color w:val="000000" w:themeColor="text1"/>
          <w:sz w:val="24"/>
          <w:szCs w:val="24"/>
        </w:rPr>
        <w:t>payment of $545.</w:t>
      </w:r>
      <w:r w:rsidR="00B564D3">
        <w:rPr>
          <w:rFonts w:ascii="Times New Roman" w:hAnsi="Times New Roman"/>
          <w:color w:val="000000" w:themeColor="text1"/>
          <w:sz w:val="24"/>
          <w:szCs w:val="24"/>
        </w:rPr>
        <w:t>48</w:t>
      </w:r>
      <w:r w:rsidR="008F5ED2">
        <w:rPr>
          <w:rFonts w:ascii="Times New Roman" w:hAnsi="Times New Roman"/>
          <w:color w:val="000000" w:themeColor="text1"/>
          <w:sz w:val="24"/>
          <w:szCs w:val="24"/>
        </w:rPr>
        <w:t xml:space="preserve"> towards a municipal lien </w:t>
      </w:r>
      <w:r w:rsidR="00B564D3">
        <w:rPr>
          <w:rFonts w:ascii="Times New Roman" w:hAnsi="Times New Roman"/>
          <w:color w:val="000000" w:themeColor="text1"/>
          <w:sz w:val="24"/>
          <w:szCs w:val="24"/>
        </w:rPr>
        <w:t xml:space="preserve">on the service property was then credited </w:t>
      </w:r>
      <w:r w:rsidR="008F5ED2">
        <w:rPr>
          <w:rFonts w:ascii="Times New Roman" w:hAnsi="Times New Roman"/>
          <w:color w:val="000000" w:themeColor="text1"/>
          <w:sz w:val="24"/>
          <w:szCs w:val="24"/>
        </w:rPr>
        <w:t xml:space="preserve">to a past due balance of another account </w:t>
      </w:r>
      <w:r w:rsidR="00B564D3">
        <w:rPr>
          <w:rFonts w:ascii="Times New Roman" w:hAnsi="Times New Roman"/>
          <w:color w:val="000000" w:themeColor="text1"/>
          <w:sz w:val="24"/>
          <w:szCs w:val="24"/>
        </w:rPr>
        <w:t xml:space="preserve">that </w:t>
      </w:r>
      <w:r w:rsidR="008F5ED2">
        <w:rPr>
          <w:rFonts w:ascii="Times New Roman" w:hAnsi="Times New Roman"/>
          <w:color w:val="000000" w:themeColor="text1"/>
          <w:sz w:val="24"/>
          <w:szCs w:val="24"/>
        </w:rPr>
        <w:t>Complainant is responsible for at another a</w:t>
      </w:r>
      <w:r w:rsidR="00516F6D">
        <w:rPr>
          <w:rFonts w:ascii="Times New Roman" w:hAnsi="Times New Roman"/>
          <w:color w:val="000000" w:themeColor="text1"/>
          <w:sz w:val="24"/>
          <w:szCs w:val="24"/>
        </w:rPr>
        <w:t>ddress</w:t>
      </w:r>
      <w:r w:rsidR="008F5ED2">
        <w:rPr>
          <w:rFonts w:ascii="Times New Roman" w:hAnsi="Times New Roman"/>
          <w:color w:val="000000" w:themeColor="text1"/>
          <w:sz w:val="24"/>
          <w:szCs w:val="24"/>
        </w:rPr>
        <w:t xml:space="preserve">, Account No. </w:t>
      </w:r>
      <w:r w:rsidR="00235EBC">
        <w:rPr>
          <w:rFonts w:ascii="Times New Roman" w:hAnsi="Times New Roman"/>
          <w:color w:val="000000" w:themeColor="text1"/>
          <w:sz w:val="24"/>
          <w:szCs w:val="24"/>
        </w:rPr>
        <w:t>ending in 01</w:t>
      </w:r>
      <w:r w:rsidR="008F5ED2">
        <w:rPr>
          <w:rFonts w:ascii="Times New Roman" w:hAnsi="Times New Roman"/>
          <w:color w:val="000000" w:themeColor="text1"/>
          <w:sz w:val="24"/>
          <w:szCs w:val="24"/>
        </w:rPr>
        <w:t>48, service address – 5899 Lancaster Avenue</w:t>
      </w:r>
      <w:r w:rsidR="006D3A56">
        <w:rPr>
          <w:rFonts w:ascii="Times New Roman" w:hAnsi="Times New Roman"/>
          <w:color w:val="000000" w:themeColor="text1"/>
          <w:sz w:val="24"/>
          <w:szCs w:val="24"/>
        </w:rPr>
        <w:t>.</w:t>
      </w:r>
      <w:r w:rsidR="006D3A56" w:rsidRPr="006D3A56">
        <w:rPr>
          <w:rFonts w:ascii="Times New Roman" w:hAnsi="Times New Roman"/>
          <w:color w:val="000000" w:themeColor="text1"/>
          <w:sz w:val="24"/>
          <w:szCs w:val="24"/>
        </w:rPr>
        <w:t xml:space="preserve">  The Complaint requests that the Commission order </w:t>
      </w:r>
      <w:r w:rsidR="00B04AB8">
        <w:rPr>
          <w:rFonts w:ascii="Times New Roman" w:hAnsi="Times New Roman"/>
          <w:color w:val="000000" w:themeColor="text1"/>
          <w:sz w:val="24"/>
          <w:szCs w:val="24"/>
        </w:rPr>
        <w:t>a “check refund” of $545.48 because PGW never should have initiated residential gas service to an unauthorized tenant at the service address.</w:t>
      </w:r>
      <w:r w:rsidR="00CA7409">
        <w:rPr>
          <w:rFonts w:ascii="Times New Roman" w:hAnsi="Times New Roman"/>
          <w:color w:val="000000" w:themeColor="text1"/>
          <w:sz w:val="24"/>
          <w:szCs w:val="24"/>
        </w:rPr>
        <w:t xml:space="preserve">  Complainant is concerned PGW has never provided a full accounting of the beginning and monthly charges on the 0148 account to show a credit of $545.48 was applied to that balance.  Further, Complainant does not agree it owes a balance on the 0148 account.</w:t>
      </w:r>
    </w:p>
    <w:p w:rsidR="00B04AB8" w:rsidRPr="00F95E77" w:rsidRDefault="00B04AB8" w:rsidP="006D3A56">
      <w:pPr>
        <w:spacing w:after="0" w:line="360" w:lineRule="auto"/>
        <w:rPr>
          <w:rFonts w:ascii="Times New Roman" w:hAnsi="Times New Roman"/>
          <w:color w:val="000000" w:themeColor="text1"/>
          <w:sz w:val="24"/>
          <w:szCs w:val="24"/>
        </w:rPr>
      </w:pPr>
    </w:p>
    <w:p w:rsidR="00CA7409" w:rsidRDefault="00CA7409" w:rsidP="00CA7409">
      <w:pPr>
        <w:autoSpaceDE w:val="0"/>
        <w:autoSpaceDN w:val="0"/>
        <w:spacing w:after="0" w:line="360" w:lineRule="auto"/>
        <w:ind w:firstLine="1440"/>
        <w:rPr>
          <w:rFonts w:ascii="Times New Roman" w:hAnsi="Times New Roman"/>
          <w:sz w:val="24"/>
          <w:szCs w:val="24"/>
        </w:rPr>
      </w:pPr>
      <w:r w:rsidRPr="00F556F6">
        <w:rPr>
          <w:rFonts w:ascii="Times New Roman" w:hAnsi="Times New Roman"/>
          <w:sz w:val="24"/>
          <w:szCs w:val="24"/>
        </w:rPr>
        <w:t xml:space="preserve">The </w:t>
      </w:r>
      <w:r>
        <w:rPr>
          <w:rFonts w:ascii="Times New Roman" w:hAnsi="Times New Roman"/>
          <w:sz w:val="24"/>
          <w:szCs w:val="24"/>
        </w:rPr>
        <w:t xml:space="preserve">Commission’s Bureau of Consumer Services (BCS) </w:t>
      </w:r>
      <w:r w:rsidRPr="00F556F6">
        <w:rPr>
          <w:rFonts w:ascii="Times New Roman" w:hAnsi="Times New Roman"/>
          <w:sz w:val="24"/>
          <w:szCs w:val="24"/>
        </w:rPr>
        <w:t>previously issued a decision at BCS No. 3</w:t>
      </w:r>
      <w:r>
        <w:rPr>
          <w:rFonts w:ascii="Times New Roman" w:hAnsi="Times New Roman"/>
          <w:sz w:val="24"/>
          <w:szCs w:val="24"/>
        </w:rPr>
        <w:t xml:space="preserve">186729 on May 1, 2014 </w:t>
      </w:r>
      <w:r w:rsidRPr="00F556F6">
        <w:rPr>
          <w:rFonts w:ascii="Times New Roman" w:hAnsi="Times New Roman"/>
          <w:sz w:val="24"/>
          <w:szCs w:val="24"/>
        </w:rPr>
        <w:t xml:space="preserve">in response to </w:t>
      </w:r>
      <w:r>
        <w:rPr>
          <w:rFonts w:ascii="Times New Roman" w:hAnsi="Times New Roman"/>
          <w:sz w:val="24"/>
          <w:szCs w:val="24"/>
        </w:rPr>
        <w:t xml:space="preserve">an </w:t>
      </w:r>
      <w:r w:rsidRPr="00F556F6">
        <w:rPr>
          <w:rFonts w:ascii="Times New Roman" w:hAnsi="Times New Roman"/>
          <w:sz w:val="24"/>
          <w:szCs w:val="24"/>
        </w:rPr>
        <w:t xml:space="preserve">informal complaint filed by </w:t>
      </w:r>
      <w:r>
        <w:rPr>
          <w:rFonts w:ascii="Times New Roman" w:hAnsi="Times New Roman"/>
          <w:sz w:val="24"/>
          <w:szCs w:val="24"/>
        </w:rPr>
        <w:t>Mia Green</w:t>
      </w:r>
      <w:r w:rsidRPr="00F556F6">
        <w:rPr>
          <w:rFonts w:ascii="Times New Roman" w:hAnsi="Times New Roman"/>
          <w:sz w:val="24"/>
          <w:szCs w:val="24"/>
        </w:rPr>
        <w:t>, who is the Complainant’s</w:t>
      </w:r>
      <w:r>
        <w:rPr>
          <w:rFonts w:ascii="Times New Roman" w:hAnsi="Times New Roman"/>
          <w:sz w:val="24"/>
          <w:szCs w:val="24"/>
        </w:rPr>
        <w:t xml:space="preserve"> Treasurer according to the Complaint.  </w:t>
      </w:r>
      <w:r w:rsidRPr="00F556F6">
        <w:rPr>
          <w:rFonts w:ascii="Times New Roman" w:hAnsi="Times New Roman"/>
          <w:sz w:val="24"/>
          <w:szCs w:val="24"/>
        </w:rPr>
        <w:t>The BCS decision</w:t>
      </w:r>
      <w:r>
        <w:rPr>
          <w:rFonts w:ascii="Times New Roman" w:hAnsi="Times New Roman"/>
          <w:sz w:val="24"/>
          <w:szCs w:val="24"/>
        </w:rPr>
        <w:t xml:space="preserve"> denies Complainant an additional refund because the amount was already credited towards an unpaid balance of $1,520.28 regarding another service property Complainant owns located at 5899 Lancaster Ave., reducing a balance at that account to $974.80.  BCS closed the informal complaint holding that Complainant has no claim to an additional refund.  </w:t>
      </w:r>
      <w:r w:rsidRPr="00F556F6">
        <w:rPr>
          <w:rFonts w:ascii="Times New Roman" w:hAnsi="Times New Roman"/>
          <w:sz w:val="24"/>
          <w:szCs w:val="24"/>
        </w:rPr>
        <w:t xml:space="preserve">A copy of the </w:t>
      </w:r>
      <w:r>
        <w:rPr>
          <w:rFonts w:ascii="Times New Roman" w:hAnsi="Times New Roman"/>
          <w:sz w:val="24"/>
          <w:szCs w:val="24"/>
        </w:rPr>
        <w:t>BCS decision is attached to PGW’s Answer.</w:t>
      </w:r>
      <w:r w:rsidRPr="00F556F6">
        <w:rPr>
          <w:rFonts w:ascii="Times New Roman" w:hAnsi="Times New Roman"/>
          <w:sz w:val="24"/>
          <w:szCs w:val="24"/>
        </w:rPr>
        <w:t xml:space="preserve">  </w:t>
      </w:r>
      <w:r w:rsidR="00B564D3">
        <w:rPr>
          <w:rFonts w:ascii="Times New Roman" w:hAnsi="Times New Roman"/>
          <w:sz w:val="24"/>
          <w:szCs w:val="24"/>
        </w:rPr>
        <w:t>The instant Complaint (filed approximately one year later) is not an appeal of the BCS decision, but rather a formal complaint pertaining to a similar issue.</w:t>
      </w:r>
    </w:p>
    <w:p w:rsidR="00CA7409" w:rsidRDefault="00CA7409" w:rsidP="00CA7409">
      <w:pPr>
        <w:spacing w:after="0" w:line="360" w:lineRule="auto"/>
        <w:rPr>
          <w:rFonts w:ascii="Times New Roman" w:hAnsi="Times New Roman"/>
          <w:color w:val="000000" w:themeColor="text1"/>
          <w:sz w:val="24"/>
          <w:szCs w:val="24"/>
        </w:rPr>
      </w:pPr>
    </w:p>
    <w:p w:rsidR="00C64F5C" w:rsidRPr="00EC5C8A" w:rsidRDefault="00C64F5C" w:rsidP="00220A70">
      <w:pPr>
        <w:spacing w:after="0" w:line="360" w:lineRule="auto"/>
        <w:ind w:firstLine="1440"/>
        <w:rPr>
          <w:rFonts w:ascii="Times New Roman" w:hAnsi="Times New Roman"/>
          <w:color w:val="000000" w:themeColor="text1"/>
          <w:sz w:val="24"/>
          <w:szCs w:val="24"/>
        </w:rPr>
      </w:pPr>
      <w:r w:rsidRPr="00EC5C8A">
        <w:rPr>
          <w:rFonts w:ascii="Times New Roman" w:hAnsi="Times New Roman"/>
          <w:color w:val="000000" w:themeColor="text1"/>
          <w:sz w:val="24"/>
          <w:szCs w:val="24"/>
        </w:rPr>
        <w:t xml:space="preserve">In the instant matter, PGW asserts that the Commission lacks </w:t>
      </w:r>
      <w:r w:rsidR="006C3BAA" w:rsidRPr="00EC5C8A">
        <w:rPr>
          <w:rFonts w:ascii="Times New Roman" w:hAnsi="Times New Roman"/>
          <w:color w:val="000000" w:themeColor="text1"/>
          <w:sz w:val="24"/>
          <w:szCs w:val="24"/>
        </w:rPr>
        <w:t>s</w:t>
      </w:r>
      <w:r w:rsidR="0089302A" w:rsidRPr="00EC5C8A">
        <w:rPr>
          <w:rFonts w:ascii="Times New Roman" w:hAnsi="Times New Roman"/>
          <w:color w:val="000000" w:themeColor="text1"/>
          <w:sz w:val="24"/>
          <w:szCs w:val="24"/>
        </w:rPr>
        <w:t>ubject</w:t>
      </w:r>
      <w:r w:rsidRPr="00EC5C8A">
        <w:rPr>
          <w:rFonts w:ascii="Times New Roman" w:hAnsi="Times New Roman"/>
          <w:color w:val="000000" w:themeColor="text1"/>
          <w:sz w:val="24"/>
          <w:szCs w:val="24"/>
        </w:rPr>
        <w:t xml:space="preserve"> matter jurisdiction over the</w:t>
      </w:r>
      <w:r w:rsidR="00105B93">
        <w:rPr>
          <w:rFonts w:ascii="Times New Roman" w:hAnsi="Times New Roman"/>
          <w:color w:val="000000" w:themeColor="text1"/>
          <w:sz w:val="24"/>
          <w:szCs w:val="24"/>
        </w:rPr>
        <w:t xml:space="preserve"> municipal</w:t>
      </w:r>
      <w:r w:rsidRPr="00EC5C8A">
        <w:rPr>
          <w:rFonts w:ascii="Times New Roman" w:hAnsi="Times New Roman"/>
          <w:color w:val="000000" w:themeColor="text1"/>
          <w:sz w:val="24"/>
          <w:szCs w:val="24"/>
        </w:rPr>
        <w:t xml:space="preserve"> lien </w:t>
      </w:r>
      <w:r w:rsidR="00105B93">
        <w:rPr>
          <w:rFonts w:ascii="Times New Roman" w:hAnsi="Times New Roman"/>
          <w:color w:val="000000" w:themeColor="text1"/>
          <w:sz w:val="24"/>
          <w:szCs w:val="24"/>
        </w:rPr>
        <w:t xml:space="preserve">placed on the property at the Service Address </w:t>
      </w:r>
      <w:r w:rsidRPr="00EC5C8A">
        <w:rPr>
          <w:rFonts w:ascii="Times New Roman" w:hAnsi="Times New Roman"/>
          <w:color w:val="000000" w:themeColor="text1"/>
          <w:sz w:val="24"/>
          <w:szCs w:val="24"/>
        </w:rPr>
        <w:t>and that the portion of the Complaint requesting the Complainant not be held personally liable for gas services rendered to</w:t>
      </w:r>
      <w:r w:rsidR="0089302A" w:rsidRPr="00EC5C8A">
        <w:rPr>
          <w:rFonts w:ascii="Times New Roman" w:hAnsi="Times New Roman"/>
          <w:color w:val="000000" w:themeColor="text1"/>
          <w:sz w:val="24"/>
          <w:szCs w:val="24"/>
        </w:rPr>
        <w:t xml:space="preserve"> the</w:t>
      </w:r>
      <w:r w:rsidRPr="00EC5C8A">
        <w:rPr>
          <w:rFonts w:ascii="Times New Roman" w:hAnsi="Times New Roman"/>
          <w:color w:val="000000" w:themeColor="text1"/>
          <w:sz w:val="24"/>
          <w:szCs w:val="24"/>
        </w:rPr>
        <w:t xml:space="preserve"> tenant be stricken as impertinent matter.</w:t>
      </w:r>
    </w:p>
    <w:p w:rsidR="00C64F5C" w:rsidRPr="00EC5C8A" w:rsidRDefault="00C64F5C" w:rsidP="00BF43B1">
      <w:pPr>
        <w:spacing w:after="0" w:line="360" w:lineRule="auto"/>
        <w:rPr>
          <w:rFonts w:ascii="Times New Roman" w:hAnsi="Times New Roman"/>
          <w:color w:val="000000" w:themeColor="text1"/>
          <w:sz w:val="24"/>
          <w:szCs w:val="24"/>
        </w:rPr>
      </w:pPr>
    </w:p>
    <w:p w:rsidR="00C64F5C" w:rsidRPr="00EC5C8A" w:rsidRDefault="00C64F5C" w:rsidP="00BF43B1">
      <w:pPr>
        <w:spacing w:after="0" w:line="360" w:lineRule="auto"/>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ab/>
        <w:t xml:space="preserve">With respect to </w:t>
      </w:r>
      <w:r w:rsidR="006C3BAA" w:rsidRPr="00EC5C8A">
        <w:rPr>
          <w:rFonts w:ascii="Times New Roman" w:hAnsi="Times New Roman"/>
          <w:color w:val="000000" w:themeColor="text1"/>
          <w:sz w:val="24"/>
          <w:szCs w:val="24"/>
        </w:rPr>
        <w:t>s</w:t>
      </w:r>
      <w:r w:rsidR="0089302A" w:rsidRPr="00EC5C8A">
        <w:rPr>
          <w:rFonts w:ascii="Times New Roman" w:hAnsi="Times New Roman"/>
          <w:color w:val="000000" w:themeColor="text1"/>
          <w:sz w:val="24"/>
          <w:szCs w:val="24"/>
        </w:rPr>
        <w:t>ubject</w:t>
      </w:r>
      <w:r w:rsidRPr="00EC5C8A">
        <w:rPr>
          <w:rFonts w:ascii="Times New Roman" w:hAnsi="Times New Roman"/>
          <w:color w:val="000000" w:themeColor="text1"/>
          <w:sz w:val="24"/>
          <w:szCs w:val="24"/>
        </w:rPr>
        <w:t xml:space="preserve"> matter jurisdiction, the Court in </w:t>
      </w:r>
      <w:r w:rsidRPr="00EC5C8A">
        <w:rPr>
          <w:rFonts w:ascii="Times New Roman" w:hAnsi="Times New Roman"/>
          <w:i/>
          <w:color w:val="000000" w:themeColor="text1"/>
          <w:sz w:val="24"/>
          <w:szCs w:val="24"/>
        </w:rPr>
        <w:t>Riedel v. The Human Relations Comm’n Of the City of Reading</w:t>
      </w:r>
      <w:r w:rsidRPr="00EC5C8A">
        <w:rPr>
          <w:rFonts w:ascii="Times New Roman" w:hAnsi="Times New Roman"/>
          <w:color w:val="000000" w:themeColor="text1"/>
          <w:sz w:val="24"/>
          <w:szCs w:val="24"/>
        </w:rPr>
        <w:t>, 559 Pa. 33; 39, 739 A.2d 121</w:t>
      </w:r>
      <w:r w:rsidR="0059093B" w:rsidRPr="00EC5C8A">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124 (1990), explained that jurisdiction relates solely to the competency of the particular court or administrative body to determine controversies of the general class to which the case then presented for its consideration belongs.  In </w:t>
      </w:r>
      <w:r w:rsidRPr="00EC5C8A">
        <w:rPr>
          <w:rFonts w:ascii="Times New Roman" w:hAnsi="Times New Roman"/>
          <w:i/>
          <w:color w:val="000000" w:themeColor="text1"/>
          <w:sz w:val="24"/>
          <w:szCs w:val="24"/>
        </w:rPr>
        <w:t>Hughes v. PA. State Police</w:t>
      </w:r>
      <w:r w:rsidRPr="00EC5C8A">
        <w:rPr>
          <w:rFonts w:ascii="Times New Roman" w:hAnsi="Times New Roman"/>
          <w:color w:val="000000" w:themeColor="text1"/>
          <w:sz w:val="24"/>
          <w:szCs w:val="24"/>
        </w:rPr>
        <w:t xml:space="preserve">, 152 Pa.Cmwlth. 409, 619 A.2d 390 (1992), app. Denied, 536 Pa. 633, 637 A.2d 293 (1993), it was held that </w:t>
      </w:r>
      <w:r w:rsidR="006C3BAA" w:rsidRPr="00EC5C8A">
        <w:rPr>
          <w:rFonts w:ascii="Times New Roman" w:hAnsi="Times New Roman"/>
          <w:color w:val="000000" w:themeColor="text1"/>
          <w:sz w:val="24"/>
          <w:szCs w:val="24"/>
        </w:rPr>
        <w:t>s</w:t>
      </w:r>
      <w:r w:rsidR="0089302A" w:rsidRPr="00EC5C8A">
        <w:rPr>
          <w:rFonts w:ascii="Times New Roman" w:hAnsi="Times New Roman"/>
          <w:color w:val="000000" w:themeColor="text1"/>
          <w:sz w:val="24"/>
          <w:szCs w:val="24"/>
        </w:rPr>
        <w:t xml:space="preserve">ubject </w:t>
      </w:r>
      <w:r w:rsidRPr="00EC5C8A">
        <w:rPr>
          <w:rFonts w:ascii="Times New Roman" w:hAnsi="Times New Roman"/>
          <w:color w:val="000000" w:themeColor="text1"/>
          <w:sz w:val="24"/>
          <w:szCs w:val="24"/>
        </w:rPr>
        <w:t>matter jurisdiction is a prerequisite to the exercise of the power to decide a controversy.</w:t>
      </w:r>
    </w:p>
    <w:p w:rsidR="00C64F5C" w:rsidRPr="00EC5C8A" w:rsidRDefault="00C64F5C" w:rsidP="00EB1359">
      <w:pPr>
        <w:spacing w:after="0" w:line="360" w:lineRule="auto"/>
        <w:rPr>
          <w:rFonts w:ascii="Times New Roman" w:hAnsi="Times New Roman"/>
          <w:color w:val="000000" w:themeColor="text1"/>
          <w:sz w:val="24"/>
          <w:szCs w:val="24"/>
        </w:rPr>
      </w:pPr>
    </w:p>
    <w:p w:rsidR="00C64F5C" w:rsidRPr="00EC5C8A" w:rsidRDefault="00C64F5C" w:rsidP="00BF43B1">
      <w:pPr>
        <w:spacing w:after="0" w:line="360" w:lineRule="auto"/>
        <w:ind w:firstLine="1440"/>
        <w:rPr>
          <w:rFonts w:ascii="Times New Roman" w:hAnsi="Times New Roman"/>
          <w:color w:val="000000" w:themeColor="text1"/>
          <w:sz w:val="24"/>
          <w:szCs w:val="24"/>
        </w:rPr>
      </w:pPr>
      <w:r w:rsidRPr="00EC5C8A">
        <w:rPr>
          <w:rFonts w:ascii="Times New Roman" w:hAnsi="Times New Roman"/>
          <w:color w:val="000000" w:themeColor="text1"/>
          <w:sz w:val="24"/>
          <w:szCs w:val="24"/>
        </w:rPr>
        <w:t xml:space="preserve">Moreover, jurisdiction may not be conferred by the parties where none exists.  </w:t>
      </w:r>
      <w:r w:rsidRPr="00EC5C8A">
        <w:rPr>
          <w:rFonts w:ascii="Times New Roman" w:hAnsi="Times New Roman"/>
          <w:i/>
          <w:color w:val="000000" w:themeColor="text1"/>
          <w:sz w:val="24"/>
          <w:szCs w:val="24"/>
        </w:rPr>
        <w:t>Roberts v. Martorano</w:t>
      </w:r>
      <w:r w:rsidRPr="00EC5C8A">
        <w:rPr>
          <w:rFonts w:ascii="Times New Roman" w:hAnsi="Times New Roman"/>
          <w:color w:val="000000" w:themeColor="text1"/>
          <w:sz w:val="24"/>
          <w:szCs w:val="24"/>
        </w:rPr>
        <w:t xml:space="preserve">, 427 Pa. 581, 235 A.2d 602 (1967).  Neither silence nor agreement of the parties will confer jurisdiction where it otherwise would not exist, </w:t>
      </w:r>
      <w:r w:rsidRPr="00EC5C8A">
        <w:rPr>
          <w:rFonts w:ascii="Times New Roman" w:hAnsi="Times New Roman"/>
          <w:i/>
          <w:color w:val="000000" w:themeColor="text1"/>
          <w:sz w:val="24"/>
          <w:szCs w:val="24"/>
        </w:rPr>
        <w:t>Commonwealth v. VanBuskirk</w:t>
      </w:r>
      <w:r w:rsidRPr="00EC5C8A">
        <w:rPr>
          <w:rFonts w:ascii="Times New Roman" w:hAnsi="Times New Roman"/>
          <w:color w:val="000000" w:themeColor="text1"/>
          <w:sz w:val="24"/>
          <w:szCs w:val="24"/>
        </w:rPr>
        <w:t xml:space="preserve">, 303 Pa.Super. 148, 449 A.2d 621 (1982); nor can jurisdiction be obtained by waiver or estoppel, </w:t>
      </w:r>
      <w:r w:rsidRPr="00EC5C8A">
        <w:rPr>
          <w:rFonts w:ascii="Times New Roman" w:hAnsi="Times New Roman"/>
          <w:i/>
          <w:color w:val="000000" w:themeColor="text1"/>
          <w:sz w:val="24"/>
          <w:szCs w:val="24"/>
        </w:rPr>
        <w:t>Scott v. Bristol Twp. Police Dep’t</w:t>
      </w:r>
      <w:r w:rsidRPr="00EC5C8A">
        <w:rPr>
          <w:rFonts w:ascii="Times New Roman" w:hAnsi="Times New Roman"/>
          <w:color w:val="000000" w:themeColor="text1"/>
          <w:sz w:val="24"/>
          <w:szCs w:val="24"/>
        </w:rPr>
        <w:t xml:space="preserve">, 669 A.2d 457 (Pa.Cmwlth. 1995).  Therefore, the Commission must act within, and cannot exceed, its jurisdiction.  </w:t>
      </w:r>
      <w:r w:rsidRPr="00EC5C8A">
        <w:rPr>
          <w:rFonts w:ascii="Times New Roman" w:hAnsi="Times New Roman"/>
          <w:i/>
          <w:color w:val="000000" w:themeColor="text1"/>
          <w:sz w:val="24"/>
          <w:szCs w:val="24"/>
        </w:rPr>
        <w:t>City of Pittsburgh v. Pa. Pub</w:t>
      </w:r>
      <w:r w:rsidR="0089302A" w:rsidRPr="00EC5C8A">
        <w:rPr>
          <w:rFonts w:ascii="Times New Roman" w:hAnsi="Times New Roman"/>
          <w:i/>
          <w:color w:val="000000" w:themeColor="text1"/>
          <w:sz w:val="24"/>
          <w:szCs w:val="24"/>
        </w:rPr>
        <w:t>.</w:t>
      </w:r>
      <w:r w:rsidRPr="00EC5C8A">
        <w:rPr>
          <w:rFonts w:ascii="Times New Roman" w:hAnsi="Times New Roman"/>
          <w:i/>
          <w:color w:val="000000" w:themeColor="text1"/>
          <w:sz w:val="24"/>
          <w:szCs w:val="24"/>
        </w:rPr>
        <w:t xml:space="preserve"> Util</w:t>
      </w:r>
      <w:r w:rsidR="0089302A" w:rsidRPr="00EC5C8A">
        <w:rPr>
          <w:rFonts w:ascii="Times New Roman" w:hAnsi="Times New Roman"/>
          <w:i/>
          <w:color w:val="000000" w:themeColor="text1"/>
          <w:sz w:val="24"/>
          <w:szCs w:val="24"/>
        </w:rPr>
        <w:t>.</w:t>
      </w:r>
      <w:r w:rsidRPr="00EC5C8A">
        <w:rPr>
          <w:rFonts w:ascii="Times New Roman" w:hAnsi="Times New Roman"/>
          <w:i/>
          <w:color w:val="000000" w:themeColor="text1"/>
          <w:sz w:val="24"/>
          <w:szCs w:val="24"/>
        </w:rPr>
        <w:t xml:space="preserve"> Comm’n</w:t>
      </w:r>
      <w:r w:rsidRPr="00EC5C8A">
        <w:rPr>
          <w:rFonts w:ascii="Times New Roman" w:hAnsi="Times New Roman"/>
          <w:color w:val="000000" w:themeColor="text1"/>
          <w:sz w:val="24"/>
          <w:szCs w:val="24"/>
        </w:rPr>
        <w:t>, 157 Pa.Super. 595, 43 A.2d 348 (1945).</w:t>
      </w:r>
    </w:p>
    <w:p w:rsidR="00C64F5C" w:rsidRPr="00EC5C8A" w:rsidRDefault="00C64F5C" w:rsidP="00EB1359">
      <w:pPr>
        <w:spacing w:after="0" w:line="360" w:lineRule="auto"/>
        <w:rPr>
          <w:rFonts w:ascii="Times New Roman" w:hAnsi="Times New Roman"/>
          <w:color w:val="000000" w:themeColor="text1"/>
          <w:sz w:val="24"/>
          <w:szCs w:val="24"/>
        </w:rPr>
      </w:pPr>
    </w:p>
    <w:p w:rsidR="00C64F5C" w:rsidRPr="00EC5C8A" w:rsidRDefault="00C64F5C" w:rsidP="00034822">
      <w:pPr>
        <w:spacing w:after="0" w:line="360" w:lineRule="auto"/>
        <w:ind w:firstLine="1440"/>
        <w:rPr>
          <w:rFonts w:ascii="Times New Roman" w:hAnsi="Times New Roman"/>
          <w:color w:val="000000" w:themeColor="text1"/>
          <w:sz w:val="24"/>
          <w:szCs w:val="24"/>
        </w:rPr>
      </w:pPr>
      <w:r w:rsidRPr="00EC5C8A">
        <w:rPr>
          <w:rFonts w:ascii="Times New Roman" w:hAnsi="Times New Roman"/>
          <w:color w:val="000000" w:themeColor="text1"/>
          <w:sz w:val="24"/>
          <w:szCs w:val="24"/>
        </w:rPr>
        <w:t xml:space="preserve">The issue then, raised by PGW in its Preliminary Objections is whether or not the Commission has jurisdiction with respect to the municipal lien filed by the City of Philadelphia.  This issue was considered in the case of </w:t>
      </w:r>
      <w:r w:rsidRPr="00EC5C8A">
        <w:rPr>
          <w:rFonts w:ascii="Times New Roman" w:hAnsi="Times New Roman"/>
          <w:i/>
          <w:color w:val="000000" w:themeColor="text1"/>
          <w:sz w:val="24"/>
          <w:szCs w:val="24"/>
        </w:rPr>
        <w:t>Josephine Pitt v. Philadelphia Gas Works</w:t>
      </w:r>
      <w:r w:rsidRPr="00EC5C8A">
        <w:rPr>
          <w:rFonts w:ascii="Times New Roman" w:hAnsi="Times New Roman"/>
          <w:color w:val="000000" w:themeColor="text1"/>
          <w:sz w:val="24"/>
          <w:szCs w:val="24"/>
        </w:rPr>
        <w:t>,</w:t>
      </w:r>
      <w:r w:rsidR="00034822">
        <w:rPr>
          <w:rFonts w:ascii="Times New Roman" w:hAnsi="Times New Roman"/>
          <w:color w:val="000000" w:themeColor="text1"/>
          <w:sz w:val="24"/>
          <w:szCs w:val="24"/>
        </w:rPr>
        <w:br/>
      </w:r>
      <w:r w:rsidRPr="00EC5C8A">
        <w:rPr>
          <w:rFonts w:ascii="Times New Roman" w:hAnsi="Times New Roman"/>
          <w:color w:val="000000" w:themeColor="text1"/>
          <w:sz w:val="24"/>
          <w:szCs w:val="24"/>
        </w:rPr>
        <w:t xml:space="preserve"> C-2009-</w:t>
      </w:r>
      <w:r w:rsidR="0059093B" w:rsidRPr="00EC5C8A">
        <w:rPr>
          <w:rFonts w:ascii="Times New Roman" w:hAnsi="Times New Roman"/>
          <w:color w:val="000000" w:themeColor="text1"/>
          <w:sz w:val="24"/>
          <w:szCs w:val="24"/>
        </w:rPr>
        <w:t>2140025</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00B564D3">
        <w:rPr>
          <w:rFonts w:ascii="Times New Roman" w:hAnsi="Times New Roman"/>
          <w:color w:val="000000" w:themeColor="text1"/>
          <w:sz w:val="24"/>
          <w:szCs w:val="24"/>
        </w:rPr>
        <w:t>(</w:t>
      </w:r>
      <w:r w:rsidR="0059093B" w:rsidRPr="00EC5C8A">
        <w:rPr>
          <w:rFonts w:ascii="Times New Roman" w:hAnsi="Times New Roman"/>
          <w:color w:val="000000" w:themeColor="text1"/>
          <w:sz w:val="24"/>
          <w:szCs w:val="24"/>
        </w:rPr>
        <w:t>Final Order April 29, 2010),</w:t>
      </w:r>
      <w:r w:rsidRPr="00EC5C8A">
        <w:rPr>
          <w:rFonts w:ascii="Times New Roman" w:hAnsi="Times New Roman"/>
          <w:color w:val="000000" w:themeColor="text1"/>
          <w:sz w:val="24"/>
          <w:szCs w:val="24"/>
        </w:rPr>
        <w:t xml:space="preserve"> wherein the City of Philadelphia’s Municipal Lien practice and authority with respect to PGW was thoroughly reviewed.  There, it was held that the entire proceeding for the effectuation of and defense to the statutory lien of the City is within the jurisdiction of the Court of Common Pleas of Philadelphia County (or Municipal Court of Philadelphia, if the amount is within its jurisdiction.  53 P.S. § 7101 et seq.)</w:t>
      </w:r>
      <w:r w:rsidRPr="00EC5C8A">
        <w:rPr>
          <w:rStyle w:val="FootnoteReference"/>
          <w:rFonts w:ascii="Times New Roman" w:hAnsi="Times New Roman"/>
          <w:color w:val="000000" w:themeColor="text1"/>
          <w:sz w:val="24"/>
          <w:szCs w:val="24"/>
        </w:rPr>
        <w:footnoteReference w:id="2"/>
      </w:r>
      <w:r w:rsidRPr="00EC5C8A">
        <w:rPr>
          <w:rFonts w:ascii="Times New Roman" w:hAnsi="Times New Roman"/>
          <w:color w:val="000000" w:themeColor="text1"/>
          <w:sz w:val="24"/>
          <w:szCs w:val="24"/>
        </w:rPr>
        <w:t xml:space="preserve"> and not the Commission; and that municipal lien proceedings are exclusively matters of judicial, not administrative, jurisdiction.  There, as in the instant matter, the lien is that of the City of Philadelphia, not Respondent PGW.  Therefore, as to the municipal lien, there is no public utility involved.  Thus, in placing a municipal lien upon the premises, the City was acting in its capacity as a municipality.  Under existing law, the Public Utility Commission has jurisdiction over public utilities, 66 Pa.C.S</w:t>
      </w:r>
      <w:r w:rsidR="0089302A" w:rsidRPr="00EC5C8A">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 101 et seq., and not over municipalities acting in their municipal capacity</w:t>
      </w:r>
      <w:r w:rsidRPr="00EC5C8A">
        <w:rPr>
          <w:rStyle w:val="FootnoteReference"/>
          <w:rFonts w:ascii="Times New Roman" w:hAnsi="Times New Roman"/>
          <w:color w:val="000000" w:themeColor="text1"/>
          <w:sz w:val="24"/>
          <w:szCs w:val="24"/>
        </w:rPr>
        <w:footnoteReference w:id="3"/>
      </w:r>
      <w:r w:rsidR="00AF2A83" w:rsidRPr="00EC5C8A">
        <w:rPr>
          <w:rFonts w:ascii="Times New Roman" w:hAnsi="Times New Roman"/>
          <w:color w:val="000000" w:themeColor="text1"/>
          <w:sz w:val="24"/>
          <w:szCs w:val="24"/>
        </w:rPr>
        <w:t>.</w:t>
      </w:r>
    </w:p>
    <w:p w:rsidR="00AF2A83" w:rsidRPr="00EC5C8A" w:rsidRDefault="00AF2A83" w:rsidP="00BF43B1">
      <w:pPr>
        <w:spacing w:after="0" w:line="360" w:lineRule="auto"/>
        <w:rPr>
          <w:rFonts w:ascii="Times New Roman" w:hAnsi="Times New Roman"/>
          <w:color w:val="000000" w:themeColor="text1"/>
          <w:sz w:val="24"/>
          <w:szCs w:val="24"/>
        </w:rPr>
      </w:pPr>
    </w:p>
    <w:p w:rsidR="00C64F5C" w:rsidRPr="00EC5C8A" w:rsidRDefault="00C64F5C" w:rsidP="00BF43B1">
      <w:pPr>
        <w:spacing w:after="0" w:line="360" w:lineRule="auto"/>
        <w:ind w:firstLine="1440"/>
        <w:rPr>
          <w:rFonts w:ascii="Times New Roman" w:hAnsi="Times New Roman"/>
          <w:color w:val="000000" w:themeColor="text1"/>
          <w:sz w:val="24"/>
          <w:szCs w:val="24"/>
        </w:rPr>
      </w:pPr>
      <w:r w:rsidRPr="00EC5C8A">
        <w:rPr>
          <w:rFonts w:ascii="Times New Roman" w:hAnsi="Times New Roman"/>
          <w:color w:val="000000" w:themeColor="text1"/>
          <w:sz w:val="24"/>
          <w:szCs w:val="24"/>
        </w:rPr>
        <w:t xml:space="preserve">In </w:t>
      </w:r>
      <w:r w:rsidRPr="00EC5C8A">
        <w:rPr>
          <w:rFonts w:ascii="Times New Roman" w:hAnsi="Times New Roman"/>
          <w:i/>
          <w:color w:val="000000" w:themeColor="text1"/>
          <w:sz w:val="24"/>
          <w:szCs w:val="24"/>
        </w:rPr>
        <w:t>Pitt v. Philadelphia Gas Works</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supra</w:t>
      </w:r>
      <w:r w:rsidRPr="00EC5C8A">
        <w:rPr>
          <w:rFonts w:ascii="Times New Roman" w:hAnsi="Times New Roman"/>
          <w:color w:val="000000" w:themeColor="text1"/>
          <w:sz w:val="24"/>
          <w:szCs w:val="24"/>
        </w:rPr>
        <w:t xml:space="preserve">, it is emphasized that the Commission has repeatedly recognized its lack of </w:t>
      </w:r>
      <w:r w:rsidR="006C3BAA" w:rsidRPr="00EC5C8A">
        <w:rPr>
          <w:rFonts w:ascii="Times New Roman" w:hAnsi="Times New Roman"/>
          <w:color w:val="000000" w:themeColor="text1"/>
          <w:sz w:val="24"/>
          <w:szCs w:val="24"/>
        </w:rPr>
        <w:t>s</w:t>
      </w:r>
      <w:r w:rsidR="0089302A" w:rsidRPr="00EC5C8A">
        <w:rPr>
          <w:rFonts w:ascii="Times New Roman" w:hAnsi="Times New Roman"/>
          <w:color w:val="000000" w:themeColor="text1"/>
          <w:sz w:val="24"/>
          <w:szCs w:val="24"/>
        </w:rPr>
        <w:t>ubject</w:t>
      </w:r>
      <w:r w:rsidRPr="00EC5C8A">
        <w:rPr>
          <w:rFonts w:ascii="Times New Roman" w:hAnsi="Times New Roman"/>
          <w:color w:val="000000" w:themeColor="text1"/>
          <w:sz w:val="24"/>
          <w:szCs w:val="24"/>
        </w:rPr>
        <w:t xml:space="preserve"> matter jurisdiction in cases involving a dispute over a municipal lien placed upon a property</w:t>
      </w:r>
      <w:r w:rsidR="000B31C3">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000B31C3">
        <w:rPr>
          <w:rFonts w:ascii="Times New Roman" w:hAnsi="Times New Roman"/>
          <w:i/>
          <w:color w:val="000000" w:themeColor="text1"/>
          <w:sz w:val="24"/>
          <w:szCs w:val="24"/>
        </w:rPr>
        <w:t xml:space="preserve">See also, </w:t>
      </w:r>
      <w:r w:rsidRPr="00EC5C8A">
        <w:rPr>
          <w:rFonts w:ascii="Times New Roman" w:hAnsi="Times New Roman"/>
          <w:i/>
          <w:color w:val="000000" w:themeColor="text1"/>
          <w:sz w:val="24"/>
          <w:szCs w:val="24"/>
        </w:rPr>
        <w:t>Debra Williams Lawrence v. Philadelphia Gas Works</w:t>
      </w:r>
      <w:r w:rsidRPr="00EC5C8A">
        <w:rPr>
          <w:rFonts w:ascii="Times New Roman" w:hAnsi="Times New Roman"/>
          <w:color w:val="000000" w:themeColor="text1"/>
          <w:sz w:val="24"/>
          <w:szCs w:val="24"/>
        </w:rPr>
        <w:t xml:space="preserve">, Docket Number C-20066672, </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Final Order entered January 22, 2007</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Lawrence</w:t>
      </w:r>
      <w:r w:rsidRPr="00EC5C8A">
        <w:rPr>
          <w:rFonts w:ascii="Times New Roman" w:hAnsi="Times New Roman"/>
          <w:color w:val="000000" w:themeColor="text1"/>
          <w:sz w:val="24"/>
          <w:szCs w:val="24"/>
        </w:rPr>
        <w:t>)</w:t>
      </w:r>
      <w:r w:rsidR="0059093B" w:rsidRPr="00EC5C8A">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Tina L. Francis-Young v. Philadelphia Gas Works</w:t>
      </w:r>
      <w:r w:rsidRPr="00EC5C8A">
        <w:rPr>
          <w:rFonts w:ascii="Times New Roman" w:hAnsi="Times New Roman"/>
          <w:color w:val="000000" w:themeColor="text1"/>
          <w:sz w:val="24"/>
          <w:szCs w:val="24"/>
        </w:rPr>
        <w:t>, Docket Number C-2008-202967</w:t>
      </w:r>
      <w:r w:rsidR="004B2FE3" w:rsidRPr="00EC5C8A">
        <w:rPr>
          <w:rFonts w:ascii="Times New Roman" w:hAnsi="Times New Roman"/>
          <w:color w:val="000000" w:themeColor="text1"/>
          <w:sz w:val="24"/>
          <w:szCs w:val="24"/>
        </w:rPr>
        <w:t xml:space="preserve">2, </w:t>
      </w:r>
      <w:r w:rsidR="00B564D3">
        <w:rPr>
          <w:rFonts w:ascii="Times New Roman" w:hAnsi="Times New Roman"/>
          <w:color w:val="000000" w:themeColor="text1"/>
          <w:sz w:val="24"/>
          <w:szCs w:val="24"/>
        </w:rPr>
        <w:t>(</w:t>
      </w:r>
      <w:r w:rsidR="004B2FE3" w:rsidRPr="00EC5C8A">
        <w:rPr>
          <w:rFonts w:ascii="Times New Roman" w:hAnsi="Times New Roman"/>
          <w:color w:val="000000" w:themeColor="text1"/>
          <w:sz w:val="24"/>
          <w:szCs w:val="24"/>
        </w:rPr>
        <w:t xml:space="preserve">Final Order entered February 23, </w:t>
      </w:r>
      <w:r w:rsidRPr="00EC5C8A">
        <w:rPr>
          <w:rFonts w:ascii="Times New Roman" w:hAnsi="Times New Roman"/>
          <w:color w:val="000000" w:themeColor="text1"/>
          <w:sz w:val="24"/>
          <w:szCs w:val="24"/>
        </w:rPr>
        <w:t>2009</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Young</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Dung Phat, LLC v. Philadelphia Gas Works</w:t>
      </w:r>
      <w:r w:rsidRPr="00EC5C8A">
        <w:rPr>
          <w:rFonts w:ascii="Times New Roman" w:hAnsi="Times New Roman"/>
          <w:color w:val="000000" w:themeColor="text1"/>
          <w:sz w:val="24"/>
          <w:szCs w:val="24"/>
        </w:rPr>
        <w:t xml:space="preserve">, Docket Number C-2009-2135667, </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Final Order entered January 13, 2010</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Dung Phat</w:t>
      </w:r>
      <w:r w:rsidRPr="00EC5C8A">
        <w:rPr>
          <w:rFonts w:ascii="Times New Roman" w:hAnsi="Times New Roman"/>
          <w:color w:val="000000" w:themeColor="text1"/>
          <w:sz w:val="24"/>
          <w:szCs w:val="24"/>
        </w:rPr>
        <w:t>)</w:t>
      </w:r>
      <w:r w:rsidR="0059093B" w:rsidRPr="00EC5C8A">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David Golan v. Philadelphia Gas Works</w:t>
      </w:r>
      <w:r w:rsidRPr="00EC5C8A">
        <w:rPr>
          <w:rFonts w:ascii="Times New Roman" w:hAnsi="Times New Roman"/>
          <w:color w:val="000000" w:themeColor="text1"/>
          <w:sz w:val="24"/>
          <w:szCs w:val="24"/>
        </w:rPr>
        <w:t>, Docket Number C-2009-213811</w:t>
      </w:r>
      <w:r w:rsidR="004B2FE3" w:rsidRPr="00EC5C8A">
        <w:rPr>
          <w:rFonts w:ascii="Times New Roman" w:hAnsi="Times New Roman"/>
          <w:color w:val="000000" w:themeColor="text1"/>
          <w:sz w:val="24"/>
          <w:szCs w:val="24"/>
        </w:rPr>
        <w:t xml:space="preserve">5, </w:t>
      </w:r>
      <w:r w:rsidR="00B564D3">
        <w:rPr>
          <w:rFonts w:ascii="Times New Roman" w:hAnsi="Times New Roman"/>
          <w:color w:val="000000" w:themeColor="text1"/>
          <w:sz w:val="24"/>
          <w:szCs w:val="24"/>
        </w:rPr>
        <w:t>(</w:t>
      </w:r>
      <w:r w:rsidR="004B2FE3" w:rsidRPr="00EC5C8A">
        <w:rPr>
          <w:rFonts w:ascii="Times New Roman" w:hAnsi="Times New Roman"/>
          <w:color w:val="000000" w:themeColor="text1"/>
          <w:sz w:val="24"/>
          <w:szCs w:val="24"/>
        </w:rPr>
        <w:t>Final Order entered February 4, </w:t>
      </w:r>
      <w:r w:rsidRPr="00EC5C8A">
        <w:rPr>
          <w:rFonts w:ascii="Times New Roman" w:hAnsi="Times New Roman"/>
          <w:color w:val="000000" w:themeColor="text1"/>
          <w:sz w:val="24"/>
          <w:szCs w:val="24"/>
        </w:rPr>
        <w:t>2010</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Golan</w:t>
      </w:r>
      <w:r w:rsidR="003F7F0A" w:rsidRPr="00EC5C8A">
        <w:rPr>
          <w:rFonts w:ascii="Times New Roman" w:hAnsi="Times New Roman"/>
          <w:color w:val="000000" w:themeColor="text1"/>
          <w:sz w:val="24"/>
          <w:szCs w:val="24"/>
        </w:rPr>
        <w:t>)</w:t>
      </w:r>
      <w:r w:rsidR="0059093B" w:rsidRPr="00EC5C8A">
        <w:rPr>
          <w:rFonts w:ascii="Times New Roman" w:hAnsi="Times New Roman"/>
          <w:color w:val="000000" w:themeColor="text1"/>
          <w:sz w:val="24"/>
          <w:szCs w:val="24"/>
        </w:rPr>
        <w:t>;</w:t>
      </w:r>
      <w:r w:rsidR="004B2FE3"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2020 West Passyunk Avenue Inc. v. Philadelphia Gas Works</w:t>
      </w:r>
      <w:r w:rsidRPr="00EC5C8A">
        <w:rPr>
          <w:rFonts w:ascii="Times New Roman" w:hAnsi="Times New Roman"/>
          <w:color w:val="000000" w:themeColor="text1"/>
          <w:sz w:val="24"/>
          <w:szCs w:val="24"/>
        </w:rPr>
        <w:t xml:space="preserve">, Docket Number C-2009-2138727, </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Final Order entered February 4, 2010</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2020 West Passyunk</w:t>
      </w:r>
      <w:r w:rsidRPr="00EC5C8A">
        <w:rPr>
          <w:rFonts w:ascii="Times New Roman" w:hAnsi="Times New Roman"/>
          <w:color w:val="000000" w:themeColor="text1"/>
          <w:sz w:val="24"/>
          <w:szCs w:val="24"/>
        </w:rPr>
        <w:t>)</w:t>
      </w:r>
      <w:r w:rsidR="0059093B" w:rsidRPr="00EC5C8A">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Jean Charles v. Philadelphia Gas Works</w:t>
      </w:r>
      <w:r w:rsidRPr="00EC5C8A">
        <w:rPr>
          <w:rFonts w:ascii="Times New Roman" w:hAnsi="Times New Roman"/>
          <w:color w:val="000000" w:themeColor="text1"/>
          <w:sz w:val="24"/>
          <w:szCs w:val="24"/>
        </w:rPr>
        <w:t>, Docket Number C-2009-213863</w:t>
      </w:r>
      <w:r w:rsidR="00F63BC6" w:rsidRPr="00EC5C8A">
        <w:rPr>
          <w:rFonts w:ascii="Times New Roman" w:hAnsi="Times New Roman"/>
          <w:color w:val="000000" w:themeColor="text1"/>
          <w:sz w:val="24"/>
          <w:szCs w:val="24"/>
        </w:rPr>
        <w:t xml:space="preserve">8, </w:t>
      </w:r>
      <w:r w:rsidR="00B564D3">
        <w:rPr>
          <w:rFonts w:ascii="Times New Roman" w:hAnsi="Times New Roman"/>
          <w:color w:val="000000" w:themeColor="text1"/>
          <w:sz w:val="24"/>
          <w:szCs w:val="24"/>
        </w:rPr>
        <w:t>(</w:t>
      </w:r>
      <w:r w:rsidR="00F63BC6" w:rsidRPr="00EC5C8A">
        <w:rPr>
          <w:rFonts w:ascii="Times New Roman" w:hAnsi="Times New Roman"/>
          <w:color w:val="000000" w:themeColor="text1"/>
          <w:sz w:val="24"/>
          <w:szCs w:val="24"/>
        </w:rPr>
        <w:t>Final Order entered February 5, </w:t>
      </w:r>
      <w:r w:rsidRPr="00EC5C8A">
        <w:rPr>
          <w:rFonts w:ascii="Times New Roman" w:hAnsi="Times New Roman"/>
          <w:color w:val="000000" w:themeColor="text1"/>
          <w:sz w:val="24"/>
          <w:szCs w:val="24"/>
        </w:rPr>
        <w:t>2010</w:t>
      </w:r>
      <w:r w:rsidR="00B564D3">
        <w:rPr>
          <w:rFonts w:ascii="Times New Roman" w:hAnsi="Times New Roman"/>
          <w:color w:val="000000" w:themeColor="text1"/>
          <w:sz w:val="24"/>
          <w:szCs w:val="24"/>
        </w:rPr>
        <w:t>)</w:t>
      </w:r>
      <w:r w:rsidRPr="00EC5C8A">
        <w:rPr>
          <w:rFonts w:ascii="Times New Roman" w:hAnsi="Times New Roman"/>
          <w:color w:val="000000" w:themeColor="text1"/>
          <w:sz w:val="24"/>
          <w:szCs w:val="24"/>
        </w:rPr>
        <w:t xml:space="preserve"> (</w:t>
      </w:r>
      <w:r w:rsidRPr="00EC5C8A">
        <w:rPr>
          <w:rFonts w:ascii="Times New Roman" w:hAnsi="Times New Roman"/>
          <w:i/>
          <w:color w:val="000000" w:themeColor="text1"/>
          <w:sz w:val="24"/>
          <w:szCs w:val="24"/>
        </w:rPr>
        <w:t>Charles</w:t>
      </w:r>
      <w:r w:rsidRPr="00EC5C8A">
        <w:rPr>
          <w:rFonts w:ascii="Times New Roman" w:hAnsi="Times New Roman"/>
          <w:color w:val="000000" w:themeColor="text1"/>
          <w:sz w:val="24"/>
          <w:szCs w:val="24"/>
        </w:rPr>
        <w:t>).</w:t>
      </w:r>
    </w:p>
    <w:p w:rsidR="001F246E" w:rsidRPr="00EC5C8A" w:rsidRDefault="001F246E" w:rsidP="00EB1359">
      <w:pPr>
        <w:spacing w:after="0" w:line="360" w:lineRule="auto"/>
        <w:rPr>
          <w:rFonts w:ascii="Times New Roman" w:hAnsi="Times New Roman"/>
          <w:color w:val="000000" w:themeColor="text1"/>
          <w:sz w:val="24"/>
          <w:szCs w:val="24"/>
        </w:rPr>
      </w:pPr>
    </w:p>
    <w:p w:rsidR="00C64F5C" w:rsidRPr="00EC5C8A" w:rsidRDefault="00C64F5C" w:rsidP="004B2FE3">
      <w:pPr>
        <w:spacing w:after="0" w:line="360" w:lineRule="auto"/>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ab/>
        <w:t>The foregoing decisions are consistent with the Public Utility Code, 66 Pa.C.S.</w:t>
      </w:r>
      <w:r w:rsidR="0089302A" w:rsidRPr="00EC5C8A">
        <w:rPr>
          <w:rFonts w:ascii="Times New Roman" w:hAnsi="Times New Roman"/>
          <w:color w:val="000000" w:themeColor="text1"/>
          <w:sz w:val="24"/>
          <w:szCs w:val="24"/>
        </w:rPr>
        <w:t xml:space="preserve">  </w:t>
      </w:r>
      <w:r w:rsidRPr="00EC5C8A">
        <w:rPr>
          <w:rFonts w:ascii="Times New Roman" w:hAnsi="Times New Roman"/>
          <w:color w:val="000000" w:themeColor="text1"/>
          <w:sz w:val="24"/>
          <w:szCs w:val="24"/>
        </w:rPr>
        <w:t>§§ 1414(a) and 2212(n) which provide, as follows:</w:t>
      </w:r>
    </w:p>
    <w:p w:rsidR="004B2FE3" w:rsidRPr="00EC5C8A" w:rsidRDefault="004B2FE3" w:rsidP="004B2FE3">
      <w:pPr>
        <w:spacing w:after="0" w:line="360" w:lineRule="auto"/>
        <w:rPr>
          <w:rFonts w:ascii="Times New Roman" w:hAnsi="Times New Roman"/>
          <w:color w:val="000000" w:themeColor="text1"/>
          <w:sz w:val="24"/>
          <w:szCs w:val="24"/>
        </w:rPr>
      </w:pPr>
    </w:p>
    <w:p w:rsidR="00C64F5C" w:rsidRPr="00EC5C8A" w:rsidRDefault="00C64F5C" w:rsidP="004B2FE3">
      <w:pPr>
        <w:spacing w:after="0" w:line="360" w:lineRule="auto"/>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0058749F"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66 Pa.C.S. § 1414(a):</w:t>
      </w:r>
    </w:p>
    <w:p w:rsidR="004B2FE3" w:rsidRPr="00EC5C8A" w:rsidRDefault="004B2FE3" w:rsidP="004B2FE3">
      <w:pPr>
        <w:spacing w:after="0" w:line="360" w:lineRule="auto"/>
        <w:rPr>
          <w:rFonts w:ascii="Times New Roman" w:hAnsi="Times New Roman"/>
          <w:color w:val="000000" w:themeColor="text1"/>
          <w:sz w:val="24"/>
          <w:szCs w:val="24"/>
        </w:rPr>
      </w:pPr>
    </w:p>
    <w:p w:rsidR="00C64F5C" w:rsidRPr="00EC5C8A" w:rsidRDefault="00C64F5C" w:rsidP="006C65C0">
      <w:pPr>
        <w:numPr>
          <w:ilvl w:val="0"/>
          <w:numId w:val="1"/>
        </w:numPr>
        <w:spacing w:after="0" w:line="240" w:lineRule="auto"/>
        <w:ind w:left="2160" w:right="1440" w:hanging="720"/>
        <w:rPr>
          <w:rFonts w:ascii="Times New Roman" w:hAnsi="Times New Roman"/>
          <w:color w:val="000000" w:themeColor="text1"/>
          <w:sz w:val="24"/>
          <w:szCs w:val="24"/>
        </w:rPr>
      </w:pPr>
      <w:r w:rsidRPr="00EC5C8A">
        <w:rPr>
          <w:rFonts w:ascii="Times New Roman" w:hAnsi="Times New Roman"/>
          <w:b/>
          <w:color w:val="000000" w:themeColor="text1"/>
          <w:sz w:val="24"/>
          <w:szCs w:val="24"/>
        </w:rPr>
        <w:t>General rule</w:t>
      </w:r>
      <w:r w:rsidRPr="00EC5C8A">
        <w:rPr>
          <w:rFonts w:ascii="Times New Roman" w:hAnsi="Times New Roman"/>
          <w:color w:val="000000" w:themeColor="text1"/>
          <w:sz w:val="24"/>
          <w:szCs w:val="24"/>
        </w:rPr>
        <w:t xml:space="preserve">.—A city natural gas distribution operation </w:t>
      </w:r>
    </w:p>
    <w:p w:rsidR="00C64F5C" w:rsidRPr="00EC5C8A" w:rsidRDefault="001F246E" w:rsidP="004B2FE3">
      <w:pPr>
        <w:spacing w:after="0" w:line="240" w:lineRule="auto"/>
        <w:ind w:left="1440" w:right="1440"/>
        <w:rPr>
          <w:rFonts w:ascii="Times New Roman" w:hAnsi="Times New Roman"/>
          <w:color w:val="000000" w:themeColor="text1"/>
          <w:sz w:val="24"/>
          <w:szCs w:val="24"/>
        </w:rPr>
      </w:pPr>
      <w:r w:rsidRPr="00EC5C8A">
        <w:rPr>
          <w:rFonts w:ascii="Times New Roman" w:hAnsi="Times New Roman"/>
          <w:color w:val="000000" w:themeColor="text1"/>
          <w:sz w:val="24"/>
          <w:szCs w:val="24"/>
        </w:rPr>
        <w:t>furnishing</w:t>
      </w:r>
      <w:r w:rsidR="00C64F5C" w:rsidRPr="00EC5C8A">
        <w:rPr>
          <w:rFonts w:ascii="Times New Roman" w:hAnsi="Times New Roman"/>
          <w:color w:val="000000" w:themeColor="text1"/>
          <w:sz w:val="24"/>
          <w:szCs w:val="24"/>
        </w:rPr>
        <w:t xml:space="preserve"> gas service to a property is entitled to impose or assess a municipal claim against the property and file as liens or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w:t>
      </w:r>
      <w:r w:rsidR="00AC6FA7" w:rsidRPr="00EC5C8A">
        <w:rPr>
          <w:rFonts w:ascii="Times New Roman" w:hAnsi="Times New Roman"/>
          <w:color w:val="000000" w:themeColor="text1"/>
          <w:sz w:val="24"/>
          <w:szCs w:val="24"/>
        </w:rPr>
        <w:t>m and Tax Lien Law, and chapter </w:t>
      </w:r>
      <w:r w:rsidR="00C64F5C" w:rsidRPr="00EC5C8A">
        <w:rPr>
          <w:rFonts w:ascii="Times New Roman" w:hAnsi="Times New Roman"/>
          <w:color w:val="000000" w:themeColor="text1"/>
          <w:sz w:val="24"/>
          <w:szCs w:val="24"/>
        </w:rPr>
        <w:t>22 (relating to natural gas competition).</w:t>
      </w:r>
    </w:p>
    <w:p w:rsidR="004B2FE3" w:rsidRPr="00EC5C8A" w:rsidRDefault="004B2FE3" w:rsidP="004B2FE3">
      <w:pPr>
        <w:spacing w:after="0" w:line="240" w:lineRule="auto"/>
        <w:ind w:left="1440" w:right="1440"/>
        <w:rPr>
          <w:rFonts w:ascii="Times New Roman" w:hAnsi="Times New Roman"/>
          <w:color w:val="000000" w:themeColor="text1"/>
          <w:sz w:val="24"/>
          <w:szCs w:val="24"/>
        </w:rPr>
      </w:pPr>
    </w:p>
    <w:p w:rsidR="00C64F5C" w:rsidRPr="00EC5C8A" w:rsidRDefault="004B2FE3" w:rsidP="00AC6FA7">
      <w:pPr>
        <w:spacing w:after="0" w:line="360" w:lineRule="auto"/>
        <w:rPr>
          <w:rFonts w:ascii="Times New Roman" w:hAnsi="Times New Roman"/>
          <w:color w:val="000000" w:themeColor="text1"/>
          <w:sz w:val="24"/>
          <w:szCs w:val="24"/>
        </w:rPr>
      </w:pPr>
      <w:r w:rsidRPr="00EC5C8A">
        <w:rPr>
          <w:rFonts w:ascii="Times New Roman" w:hAnsi="Times New Roman"/>
          <w:color w:val="000000" w:themeColor="text1"/>
          <w:sz w:val="24"/>
          <w:szCs w:val="24"/>
        </w:rPr>
        <w:t>66 Pa.</w:t>
      </w:r>
      <w:r w:rsidR="00C64F5C" w:rsidRPr="00EC5C8A">
        <w:rPr>
          <w:rFonts w:ascii="Times New Roman" w:hAnsi="Times New Roman"/>
          <w:color w:val="000000" w:themeColor="text1"/>
          <w:sz w:val="24"/>
          <w:szCs w:val="24"/>
        </w:rPr>
        <w:t>C.S.</w:t>
      </w:r>
      <w:r w:rsidR="0089302A" w:rsidRPr="00EC5C8A">
        <w:rPr>
          <w:rFonts w:ascii="Times New Roman" w:hAnsi="Times New Roman"/>
          <w:color w:val="000000" w:themeColor="text1"/>
          <w:sz w:val="24"/>
          <w:szCs w:val="24"/>
        </w:rPr>
        <w:t xml:space="preserve"> </w:t>
      </w:r>
      <w:r w:rsidR="00C64F5C" w:rsidRPr="00EC5C8A">
        <w:rPr>
          <w:rFonts w:ascii="Times New Roman" w:hAnsi="Times New Roman"/>
          <w:color w:val="000000" w:themeColor="text1"/>
          <w:sz w:val="24"/>
          <w:szCs w:val="24"/>
        </w:rPr>
        <w:t>§ 1414(a)(footnotes omitted)</w:t>
      </w:r>
      <w:r w:rsidR="00654567" w:rsidRPr="00EC5C8A">
        <w:rPr>
          <w:rFonts w:ascii="Times New Roman" w:hAnsi="Times New Roman"/>
          <w:color w:val="000000" w:themeColor="text1"/>
          <w:sz w:val="24"/>
          <w:szCs w:val="24"/>
        </w:rPr>
        <w:t>.</w:t>
      </w:r>
    </w:p>
    <w:p w:rsidR="00C64F5C" w:rsidRPr="00EC5C8A" w:rsidRDefault="00C64F5C" w:rsidP="004B2FE3">
      <w:pPr>
        <w:spacing w:after="0" w:line="240" w:lineRule="auto"/>
        <w:ind w:left="1440"/>
        <w:rPr>
          <w:rFonts w:ascii="Times New Roman" w:hAnsi="Times New Roman"/>
          <w:color w:val="000000" w:themeColor="text1"/>
          <w:sz w:val="24"/>
          <w:szCs w:val="24"/>
        </w:rPr>
      </w:pPr>
    </w:p>
    <w:p w:rsidR="001F246E" w:rsidRPr="00EC5C8A" w:rsidRDefault="001F246E" w:rsidP="007E1B39">
      <w:pPr>
        <w:spacing w:after="0" w:line="360" w:lineRule="auto"/>
        <w:ind w:left="720"/>
        <w:jc w:val="center"/>
        <w:rPr>
          <w:rFonts w:ascii="Times New Roman" w:hAnsi="Times New Roman"/>
          <w:color w:val="000000" w:themeColor="text1"/>
          <w:sz w:val="24"/>
          <w:szCs w:val="24"/>
        </w:rPr>
      </w:pPr>
      <w:r w:rsidRPr="00EC5C8A">
        <w:rPr>
          <w:rFonts w:ascii="Times New Roman" w:hAnsi="Times New Roman"/>
          <w:color w:val="000000" w:themeColor="text1"/>
          <w:sz w:val="24"/>
          <w:szCs w:val="24"/>
        </w:rPr>
        <w:t xml:space="preserve">* * * </w:t>
      </w:r>
    </w:p>
    <w:p w:rsidR="007E1B39" w:rsidRPr="00EC5C8A" w:rsidRDefault="007E1B39" w:rsidP="007E1B39">
      <w:pPr>
        <w:spacing w:after="0" w:line="360" w:lineRule="auto"/>
        <w:ind w:left="720"/>
        <w:jc w:val="center"/>
        <w:rPr>
          <w:rFonts w:ascii="Times New Roman" w:hAnsi="Times New Roman"/>
          <w:color w:val="000000" w:themeColor="text1"/>
          <w:sz w:val="24"/>
          <w:szCs w:val="24"/>
        </w:rPr>
      </w:pPr>
    </w:p>
    <w:p w:rsidR="00C64F5C" w:rsidRPr="00EC5C8A" w:rsidRDefault="00C64F5C" w:rsidP="007E1B39">
      <w:pPr>
        <w:spacing w:after="0" w:line="360" w:lineRule="auto"/>
        <w:jc w:val="both"/>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ab/>
        <w:t>66 Pa.C.S. § 2212(n):</w:t>
      </w:r>
    </w:p>
    <w:p w:rsidR="007E1B39" w:rsidRPr="00EC5C8A" w:rsidRDefault="007E1B39" w:rsidP="007E1B39">
      <w:pPr>
        <w:spacing w:after="0" w:line="360" w:lineRule="auto"/>
        <w:jc w:val="both"/>
        <w:rPr>
          <w:rFonts w:ascii="Times New Roman" w:hAnsi="Times New Roman"/>
          <w:color w:val="000000" w:themeColor="text1"/>
          <w:sz w:val="24"/>
          <w:szCs w:val="24"/>
        </w:rPr>
      </w:pPr>
    </w:p>
    <w:p w:rsidR="00C64F5C" w:rsidRPr="00EC5C8A" w:rsidRDefault="00C64F5C" w:rsidP="007E1B39">
      <w:pPr>
        <w:spacing w:after="0" w:line="240" w:lineRule="auto"/>
        <w:ind w:right="1440"/>
        <w:rPr>
          <w:rFonts w:ascii="Times New Roman" w:hAnsi="Times New Roman"/>
          <w:color w:val="000000" w:themeColor="text1"/>
          <w:sz w:val="24"/>
          <w:szCs w:val="24"/>
        </w:rPr>
      </w:pPr>
      <w:r w:rsidRPr="00EC5C8A">
        <w:rPr>
          <w:rFonts w:ascii="Times New Roman" w:hAnsi="Times New Roman"/>
          <w:color w:val="000000" w:themeColor="text1"/>
          <w:sz w:val="24"/>
          <w:szCs w:val="24"/>
        </w:rPr>
        <w:tab/>
      </w:r>
      <w:r w:rsidRPr="00EC5C8A">
        <w:rPr>
          <w:rFonts w:ascii="Times New Roman" w:hAnsi="Times New Roman"/>
          <w:color w:val="000000" w:themeColor="text1"/>
          <w:sz w:val="24"/>
          <w:szCs w:val="24"/>
        </w:rPr>
        <w:tab/>
      </w:r>
      <w:r w:rsidRPr="00EC5C8A">
        <w:rPr>
          <w:rFonts w:ascii="Times New Roman" w:hAnsi="Times New Roman"/>
          <w:b/>
          <w:color w:val="000000" w:themeColor="text1"/>
          <w:sz w:val="24"/>
          <w:szCs w:val="24"/>
        </w:rPr>
        <w:t>(n)</w:t>
      </w:r>
      <w:r w:rsidRPr="00EC5C8A">
        <w:rPr>
          <w:rFonts w:ascii="Times New Roman" w:hAnsi="Times New Roman"/>
          <w:color w:val="000000" w:themeColor="text1"/>
          <w:sz w:val="24"/>
          <w:szCs w:val="24"/>
        </w:rPr>
        <w:tab/>
      </w:r>
      <w:r w:rsidRPr="00EC5C8A">
        <w:rPr>
          <w:rFonts w:ascii="Times New Roman" w:hAnsi="Times New Roman"/>
          <w:b/>
          <w:color w:val="000000" w:themeColor="text1"/>
          <w:sz w:val="24"/>
          <w:szCs w:val="24"/>
        </w:rPr>
        <w:t>Collections</w:t>
      </w:r>
      <w:r w:rsidRPr="00EC5C8A">
        <w:rPr>
          <w:rFonts w:ascii="Times New Roman" w:hAnsi="Times New Roman"/>
          <w:color w:val="000000" w:themeColor="text1"/>
          <w:sz w:val="24"/>
          <w:szCs w:val="24"/>
        </w:rPr>
        <w:t>.—Nothing contained in this title shall abrogate</w:t>
      </w:r>
    </w:p>
    <w:p w:rsidR="00C64F5C" w:rsidRPr="00EC5C8A" w:rsidRDefault="00C64F5C" w:rsidP="007E1B39">
      <w:pPr>
        <w:spacing w:after="0" w:line="240" w:lineRule="auto"/>
        <w:ind w:left="1440" w:right="1440"/>
        <w:rPr>
          <w:rFonts w:ascii="Times New Roman" w:hAnsi="Times New Roman"/>
          <w:color w:val="000000" w:themeColor="text1"/>
          <w:sz w:val="24"/>
          <w:szCs w:val="24"/>
        </w:rPr>
      </w:pPr>
      <w:r w:rsidRPr="00EC5C8A">
        <w:rPr>
          <w:rFonts w:ascii="Times New Roman" w:hAnsi="Times New Roman"/>
          <w:color w:val="000000" w:themeColor="text1"/>
          <w:sz w:val="24"/>
          <w:szCs w:val="24"/>
        </w:rPr>
        <w:t>the power of a city natural gas distribution operation to collect delinquent receivables through the imposition of liens pursuant to section 3 of the act of May 16, 1923 (P.L. 207, No. 153), referred to as the Municipal Cla</w:t>
      </w:r>
      <w:r w:rsidR="00F443A1" w:rsidRPr="00EC5C8A">
        <w:rPr>
          <w:rFonts w:ascii="Times New Roman" w:hAnsi="Times New Roman"/>
          <w:color w:val="000000" w:themeColor="text1"/>
          <w:sz w:val="24"/>
          <w:szCs w:val="24"/>
        </w:rPr>
        <w:t>im and Tax Lien, or otherwise.</w:t>
      </w:r>
    </w:p>
    <w:p w:rsidR="007E1B39" w:rsidRPr="00EC5C8A" w:rsidRDefault="007E1B39" w:rsidP="007E1B39">
      <w:pPr>
        <w:spacing w:after="0" w:line="240" w:lineRule="auto"/>
        <w:ind w:left="1440" w:right="1440"/>
        <w:rPr>
          <w:rFonts w:ascii="Times New Roman" w:hAnsi="Times New Roman"/>
          <w:color w:val="000000" w:themeColor="text1"/>
          <w:sz w:val="24"/>
          <w:szCs w:val="24"/>
        </w:rPr>
      </w:pPr>
    </w:p>
    <w:p w:rsidR="00C64F5C" w:rsidRPr="00EC5C8A" w:rsidRDefault="00C64F5C" w:rsidP="005565BD">
      <w:pPr>
        <w:spacing w:after="0" w:line="360" w:lineRule="auto"/>
        <w:rPr>
          <w:rFonts w:ascii="Times New Roman" w:hAnsi="Times New Roman"/>
          <w:color w:val="000000" w:themeColor="text1"/>
          <w:sz w:val="24"/>
          <w:szCs w:val="24"/>
        </w:rPr>
      </w:pPr>
      <w:proofErr w:type="gramStart"/>
      <w:r w:rsidRPr="00EC5C8A">
        <w:rPr>
          <w:rFonts w:ascii="Times New Roman" w:hAnsi="Times New Roman"/>
          <w:color w:val="000000" w:themeColor="text1"/>
          <w:sz w:val="24"/>
          <w:szCs w:val="24"/>
        </w:rPr>
        <w:t>66 Pa.C.S.</w:t>
      </w:r>
      <w:proofErr w:type="gramEnd"/>
      <w:r w:rsidRPr="00EC5C8A">
        <w:rPr>
          <w:rFonts w:ascii="Times New Roman" w:hAnsi="Times New Roman"/>
          <w:color w:val="000000" w:themeColor="text1"/>
          <w:sz w:val="24"/>
          <w:szCs w:val="24"/>
        </w:rPr>
        <w:t xml:space="preserve"> § 2212(n</w:t>
      </w:r>
      <w:proofErr w:type="gramStart"/>
      <w:r w:rsidRPr="00EC5C8A">
        <w:rPr>
          <w:rFonts w:ascii="Times New Roman" w:hAnsi="Times New Roman"/>
          <w:color w:val="000000" w:themeColor="text1"/>
          <w:sz w:val="24"/>
          <w:szCs w:val="24"/>
        </w:rPr>
        <w:t>)(</w:t>
      </w:r>
      <w:proofErr w:type="gramEnd"/>
      <w:r w:rsidRPr="00EC5C8A">
        <w:rPr>
          <w:rFonts w:ascii="Times New Roman" w:hAnsi="Times New Roman"/>
          <w:color w:val="000000" w:themeColor="text1"/>
          <w:sz w:val="24"/>
          <w:szCs w:val="24"/>
        </w:rPr>
        <w:t>footnote omitted)</w:t>
      </w:r>
      <w:r w:rsidR="00654567" w:rsidRPr="00EC5C8A">
        <w:rPr>
          <w:rFonts w:ascii="Times New Roman" w:hAnsi="Times New Roman"/>
          <w:color w:val="000000" w:themeColor="text1"/>
          <w:sz w:val="24"/>
          <w:szCs w:val="24"/>
        </w:rPr>
        <w:t>.</w:t>
      </w:r>
    </w:p>
    <w:p w:rsidR="00C64F5C" w:rsidRPr="00F556F6" w:rsidRDefault="00C64F5C" w:rsidP="00BF43B1">
      <w:pPr>
        <w:spacing w:after="0" w:line="360" w:lineRule="auto"/>
        <w:rPr>
          <w:rFonts w:ascii="Times New Roman" w:hAnsi="Times New Roman"/>
          <w:color w:val="FF0000"/>
          <w:sz w:val="24"/>
          <w:szCs w:val="24"/>
        </w:rPr>
      </w:pPr>
    </w:p>
    <w:p w:rsidR="000B74F8" w:rsidRDefault="00C64F5C" w:rsidP="00BF43B1">
      <w:pPr>
        <w:spacing w:after="0" w:line="360" w:lineRule="auto"/>
        <w:rPr>
          <w:rFonts w:ascii="Times New Roman" w:hAnsi="Times New Roman"/>
          <w:color w:val="000000" w:themeColor="text1"/>
          <w:sz w:val="24"/>
          <w:szCs w:val="24"/>
        </w:rPr>
      </w:pPr>
      <w:r w:rsidRPr="00F556F6">
        <w:rPr>
          <w:rFonts w:ascii="Times New Roman" w:hAnsi="Times New Roman"/>
          <w:color w:val="FF0000"/>
          <w:spacing w:val="-3"/>
          <w:sz w:val="24"/>
          <w:szCs w:val="24"/>
        </w:rPr>
        <w:tab/>
      </w:r>
      <w:r w:rsidRPr="00F556F6">
        <w:rPr>
          <w:rFonts w:ascii="Times New Roman" w:hAnsi="Times New Roman"/>
          <w:color w:val="FF0000"/>
          <w:spacing w:val="-3"/>
          <w:sz w:val="24"/>
          <w:szCs w:val="24"/>
        </w:rPr>
        <w:tab/>
      </w:r>
      <w:r w:rsidR="00E26850" w:rsidRPr="00B728F3">
        <w:rPr>
          <w:rFonts w:ascii="Times New Roman" w:hAnsi="Times New Roman"/>
          <w:color w:val="000000" w:themeColor="text1"/>
          <w:sz w:val="24"/>
          <w:szCs w:val="24"/>
        </w:rPr>
        <w:t xml:space="preserve">In the present case, </w:t>
      </w:r>
      <w:r w:rsidR="00CA5943" w:rsidRPr="00B728F3">
        <w:rPr>
          <w:rFonts w:ascii="Times New Roman" w:hAnsi="Times New Roman"/>
          <w:color w:val="000000" w:themeColor="text1"/>
          <w:sz w:val="24"/>
          <w:szCs w:val="24"/>
        </w:rPr>
        <w:t xml:space="preserve">the Complainant appears to believe </w:t>
      </w:r>
      <w:r w:rsidR="00B04AB8">
        <w:rPr>
          <w:rFonts w:ascii="Times New Roman" w:hAnsi="Times New Roman"/>
          <w:color w:val="000000" w:themeColor="text1"/>
          <w:sz w:val="24"/>
          <w:szCs w:val="24"/>
        </w:rPr>
        <w:t>the</w:t>
      </w:r>
      <w:r w:rsidR="00CA5943" w:rsidRPr="00B728F3">
        <w:rPr>
          <w:rFonts w:ascii="Times New Roman" w:hAnsi="Times New Roman"/>
          <w:color w:val="000000" w:themeColor="text1"/>
          <w:sz w:val="24"/>
          <w:szCs w:val="24"/>
        </w:rPr>
        <w:t xml:space="preserve"> tenant’s gas bill and the municipal lien filed at the Service Address are </w:t>
      </w:r>
      <w:r w:rsidR="00B728F3">
        <w:rPr>
          <w:rFonts w:ascii="Times New Roman" w:hAnsi="Times New Roman"/>
          <w:color w:val="000000" w:themeColor="text1"/>
          <w:sz w:val="24"/>
          <w:szCs w:val="24"/>
        </w:rPr>
        <w:t>the same matter</w:t>
      </w:r>
      <w:r w:rsidR="00C403D4">
        <w:rPr>
          <w:rFonts w:ascii="Times New Roman" w:hAnsi="Times New Roman"/>
          <w:color w:val="000000" w:themeColor="text1"/>
          <w:sz w:val="24"/>
          <w:szCs w:val="24"/>
        </w:rPr>
        <w:t xml:space="preserve">.  </w:t>
      </w:r>
      <w:r w:rsidR="00C403D4" w:rsidRPr="00B728F3">
        <w:rPr>
          <w:rFonts w:ascii="Times New Roman" w:hAnsi="Times New Roman"/>
          <w:color w:val="000000" w:themeColor="text1"/>
          <w:sz w:val="24"/>
          <w:szCs w:val="24"/>
        </w:rPr>
        <w:t>This is incorrect</w:t>
      </w:r>
      <w:r w:rsidR="00C403D4">
        <w:rPr>
          <w:rFonts w:ascii="Times New Roman" w:hAnsi="Times New Roman"/>
          <w:color w:val="000000" w:themeColor="text1"/>
          <w:sz w:val="24"/>
          <w:szCs w:val="24"/>
        </w:rPr>
        <w:t>.  The tenant’s gas bill and the municipal</w:t>
      </w:r>
      <w:r w:rsidR="000B74F8">
        <w:rPr>
          <w:rFonts w:ascii="Times New Roman" w:hAnsi="Times New Roman"/>
          <w:color w:val="000000" w:themeColor="text1"/>
          <w:sz w:val="24"/>
          <w:szCs w:val="24"/>
        </w:rPr>
        <w:t xml:space="preserve"> lien are two separate matters</w:t>
      </w:r>
      <w:r w:rsidR="00A7730B">
        <w:rPr>
          <w:rFonts w:ascii="Times New Roman" w:hAnsi="Times New Roman"/>
          <w:color w:val="000000" w:themeColor="text1"/>
          <w:sz w:val="24"/>
          <w:szCs w:val="24"/>
        </w:rPr>
        <w:t>, wherein the arrearage</w:t>
      </w:r>
      <w:r w:rsidR="00102BA6">
        <w:rPr>
          <w:rFonts w:ascii="Times New Roman" w:hAnsi="Times New Roman"/>
          <w:color w:val="000000" w:themeColor="text1"/>
          <w:sz w:val="24"/>
          <w:szCs w:val="24"/>
        </w:rPr>
        <w:t>s are</w:t>
      </w:r>
      <w:r w:rsidR="00A7730B">
        <w:rPr>
          <w:rFonts w:ascii="Times New Roman" w:hAnsi="Times New Roman"/>
          <w:color w:val="000000" w:themeColor="text1"/>
          <w:sz w:val="24"/>
          <w:szCs w:val="24"/>
        </w:rPr>
        <w:t xml:space="preserve"> owed to two separate entities, and likewise must be satisfied by two separate parties.</w:t>
      </w:r>
      <w:r w:rsidR="00C403D4">
        <w:rPr>
          <w:rFonts w:ascii="Times New Roman" w:hAnsi="Times New Roman"/>
          <w:color w:val="000000" w:themeColor="text1"/>
          <w:sz w:val="24"/>
          <w:szCs w:val="24"/>
        </w:rPr>
        <w:t xml:space="preserve">  </w:t>
      </w:r>
    </w:p>
    <w:p w:rsidR="000B74F8" w:rsidRDefault="000B74F8" w:rsidP="00BF43B1">
      <w:pPr>
        <w:spacing w:after="0" w:line="360" w:lineRule="auto"/>
        <w:rPr>
          <w:rFonts w:ascii="Times New Roman" w:hAnsi="Times New Roman"/>
          <w:color w:val="000000" w:themeColor="text1"/>
          <w:sz w:val="24"/>
          <w:szCs w:val="24"/>
        </w:rPr>
      </w:pPr>
    </w:p>
    <w:p w:rsidR="00B04AB8" w:rsidRDefault="000B74F8" w:rsidP="00BF43B1">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C403D4">
        <w:rPr>
          <w:rFonts w:ascii="Times New Roman" w:hAnsi="Times New Roman"/>
          <w:color w:val="000000" w:themeColor="text1"/>
          <w:sz w:val="24"/>
          <w:szCs w:val="24"/>
        </w:rPr>
        <w:t>Complainant also believes that</w:t>
      </w:r>
      <w:r w:rsidR="00B728F3">
        <w:rPr>
          <w:rFonts w:ascii="Times New Roman" w:hAnsi="Times New Roman"/>
          <w:color w:val="000000" w:themeColor="text1"/>
          <w:sz w:val="24"/>
          <w:szCs w:val="24"/>
        </w:rPr>
        <w:t xml:space="preserve"> the Commission has the authority to determine </w:t>
      </w:r>
      <w:r w:rsidR="009428B3">
        <w:rPr>
          <w:rFonts w:ascii="Times New Roman" w:hAnsi="Times New Roman"/>
          <w:color w:val="000000" w:themeColor="text1"/>
          <w:sz w:val="24"/>
          <w:szCs w:val="24"/>
        </w:rPr>
        <w:t>the party or parties</w:t>
      </w:r>
      <w:r w:rsidR="00B728F3">
        <w:rPr>
          <w:rFonts w:ascii="Times New Roman" w:hAnsi="Times New Roman"/>
          <w:color w:val="000000" w:themeColor="text1"/>
          <w:sz w:val="24"/>
          <w:szCs w:val="24"/>
        </w:rPr>
        <w:t xml:space="preserve"> responsible for satisfying the lien.  </w:t>
      </w:r>
      <w:r w:rsidR="00C403D4">
        <w:rPr>
          <w:rFonts w:ascii="Times New Roman" w:hAnsi="Times New Roman"/>
          <w:color w:val="000000" w:themeColor="text1"/>
          <w:sz w:val="24"/>
          <w:szCs w:val="24"/>
        </w:rPr>
        <w:t xml:space="preserve">This is likewise incorrect.  </w:t>
      </w:r>
      <w:r w:rsidR="00654567" w:rsidRPr="00B728F3">
        <w:rPr>
          <w:rFonts w:ascii="Times New Roman" w:hAnsi="Times New Roman"/>
          <w:color w:val="000000" w:themeColor="text1"/>
          <w:spacing w:val="-3"/>
          <w:sz w:val="24"/>
          <w:szCs w:val="24"/>
        </w:rPr>
        <w:t xml:space="preserve">The Commission does not have </w:t>
      </w:r>
      <w:r w:rsidR="006C3BAA" w:rsidRPr="00B728F3">
        <w:rPr>
          <w:rFonts w:ascii="Times New Roman" w:hAnsi="Times New Roman"/>
          <w:color w:val="000000" w:themeColor="text1"/>
          <w:spacing w:val="-3"/>
          <w:sz w:val="24"/>
          <w:szCs w:val="24"/>
        </w:rPr>
        <w:t>s</w:t>
      </w:r>
      <w:r w:rsidR="0089302A" w:rsidRPr="00B728F3">
        <w:rPr>
          <w:rFonts w:ascii="Times New Roman" w:hAnsi="Times New Roman"/>
          <w:color w:val="000000" w:themeColor="text1"/>
          <w:spacing w:val="-3"/>
          <w:sz w:val="24"/>
          <w:szCs w:val="24"/>
        </w:rPr>
        <w:t>ubject</w:t>
      </w:r>
      <w:r w:rsidR="00654567" w:rsidRPr="00B728F3">
        <w:rPr>
          <w:rFonts w:ascii="Times New Roman" w:hAnsi="Times New Roman"/>
          <w:color w:val="000000" w:themeColor="text1"/>
          <w:spacing w:val="-3"/>
          <w:sz w:val="24"/>
          <w:szCs w:val="24"/>
        </w:rPr>
        <w:t xml:space="preserve"> matter jurisdiction </w:t>
      </w:r>
      <w:r w:rsidR="00654567" w:rsidRPr="00B728F3">
        <w:rPr>
          <w:rFonts w:ascii="Times New Roman" w:hAnsi="Times New Roman"/>
          <w:color w:val="000000" w:themeColor="text1"/>
          <w:sz w:val="24"/>
          <w:szCs w:val="24"/>
        </w:rPr>
        <w:t>to adjudicate a dispute over the municipal lien placed upon the Premises</w:t>
      </w:r>
      <w:r w:rsidR="00654567" w:rsidRPr="00B728F3">
        <w:rPr>
          <w:rFonts w:ascii="Times New Roman" w:hAnsi="Times New Roman"/>
          <w:color w:val="000000" w:themeColor="text1"/>
          <w:spacing w:val="-3"/>
          <w:sz w:val="24"/>
          <w:szCs w:val="24"/>
        </w:rPr>
        <w:t xml:space="preserve">.  </w:t>
      </w:r>
      <w:r w:rsidR="00CA5943" w:rsidRPr="00B728F3">
        <w:rPr>
          <w:rFonts w:ascii="Times New Roman" w:hAnsi="Times New Roman"/>
          <w:color w:val="000000" w:themeColor="text1"/>
          <w:spacing w:val="-3"/>
          <w:sz w:val="24"/>
          <w:szCs w:val="24"/>
        </w:rPr>
        <w:t>Any proceeding for</w:t>
      </w:r>
      <w:r w:rsidR="00654567" w:rsidRPr="00B728F3">
        <w:rPr>
          <w:rFonts w:ascii="Times New Roman" w:hAnsi="Times New Roman"/>
          <w:color w:val="000000" w:themeColor="text1"/>
          <w:sz w:val="24"/>
          <w:szCs w:val="24"/>
        </w:rPr>
        <w:t xml:space="preserve"> defense to the statutory lien of the City is within the jurisdiction of the Court of Common Pleas of Philadelphia County, not the Commission.  Municipal lien proceedings are exclusively matters of judicial, not administrative, jurisdiction.  </w:t>
      </w:r>
    </w:p>
    <w:p w:rsidR="00B04AB8" w:rsidRDefault="00B04AB8" w:rsidP="00BF43B1">
      <w:pPr>
        <w:spacing w:after="0" w:line="360" w:lineRule="auto"/>
        <w:rPr>
          <w:rFonts w:ascii="Times New Roman" w:hAnsi="Times New Roman"/>
          <w:color w:val="000000" w:themeColor="text1"/>
          <w:sz w:val="24"/>
          <w:szCs w:val="24"/>
        </w:rPr>
      </w:pPr>
    </w:p>
    <w:p w:rsidR="009C1CEA" w:rsidRPr="00E52D7C" w:rsidRDefault="00B04AB8" w:rsidP="00BF43B1">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Additionally, the Complaint does not allege poor customer service with the LCP program, i.e. issues with enrollment.  An LCP is not a tariffed provision, but a voluntary service provided by PGW, which falls within the ambit of Section 1501 of the Public Utility Code, 66 Pa. C.S. §1501, which requires public utilities to provide reasonable service.  I find the Complaint alleges no issue over which the Commission has jurisdiction.  </w:t>
      </w:r>
      <w:r w:rsidR="00AB7D17" w:rsidRPr="00B728F3">
        <w:rPr>
          <w:rFonts w:ascii="Times New Roman" w:hAnsi="Times New Roman"/>
          <w:color w:val="000000" w:themeColor="text1"/>
          <w:sz w:val="24"/>
          <w:szCs w:val="24"/>
        </w:rPr>
        <w:t xml:space="preserve">Therefore, </w:t>
      </w:r>
      <w:r w:rsidR="00E26850" w:rsidRPr="00B728F3">
        <w:rPr>
          <w:rFonts w:ascii="Times New Roman" w:hAnsi="Times New Roman"/>
          <w:color w:val="000000" w:themeColor="text1"/>
          <w:sz w:val="24"/>
          <w:szCs w:val="24"/>
        </w:rPr>
        <w:t xml:space="preserve">it is just, reasonable and in the public interest that the Complaint be dismissed, in its entirety, without a hearing.  </w:t>
      </w:r>
      <w:r w:rsidR="00CA442C" w:rsidRPr="00B728F3">
        <w:rPr>
          <w:rFonts w:ascii="Times New Roman" w:hAnsi="Times New Roman"/>
          <w:color w:val="000000" w:themeColor="text1"/>
          <w:sz w:val="24"/>
          <w:szCs w:val="24"/>
        </w:rPr>
        <w:t>See 66 Pa.</w:t>
      </w:r>
      <w:r w:rsidR="00E26850" w:rsidRPr="00B728F3">
        <w:rPr>
          <w:rFonts w:ascii="Times New Roman" w:hAnsi="Times New Roman"/>
          <w:color w:val="000000" w:themeColor="text1"/>
          <w:sz w:val="24"/>
          <w:szCs w:val="24"/>
        </w:rPr>
        <w:t>C.S. § 703(b); also 52</w:t>
      </w:r>
      <w:r w:rsidR="00CA442C" w:rsidRPr="00B728F3">
        <w:rPr>
          <w:rFonts w:ascii="Times New Roman" w:hAnsi="Times New Roman"/>
          <w:color w:val="000000" w:themeColor="text1"/>
          <w:sz w:val="24"/>
          <w:szCs w:val="24"/>
        </w:rPr>
        <w:t xml:space="preserve"> Pa.</w:t>
      </w:r>
      <w:r w:rsidR="00E26850" w:rsidRPr="00B728F3">
        <w:rPr>
          <w:rFonts w:ascii="Times New Roman" w:hAnsi="Times New Roman"/>
          <w:color w:val="000000" w:themeColor="text1"/>
          <w:sz w:val="24"/>
          <w:szCs w:val="24"/>
        </w:rPr>
        <w:t>Code § 5.21(d).</w:t>
      </w:r>
      <w:r>
        <w:rPr>
          <w:rFonts w:ascii="Times New Roman" w:hAnsi="Times New Roman"/>
          <w:color w:val="000000" w:themeColor="text1"/>
          <w:sz w:val="24"/>
          <w:szCs w:val="24"/>
        </w:rPr>
        <w:t xml:space="preserve">  </w:t>
      </w:r>
      <w:r w:rsidRPr="00B04AB8">
        <w:rPr>
          <w:rFonts w:ascii="Times New Roman" w:hAnsi="Times New Roman"/>
          <w:i/>
          <w:color w:val="000000" w:themeColor="text1"/>
          <w:sz w:val="24"/>
          <w:szCs w:val="24"/>
        </w:rPr>
        <w:t>See also, Frank Melfi III v. Philadelphia Gas Works,</w:t>
      </w:r>
      <w:r>
        <w:rPr>
          <w:rFonts w:ascii="Times New Roman" w:hAnsi="Times New Roman"/>
          <w:color w:val="000000" w:themeColor="text1"/>
          <w:sz w:val="24"/>
          <w:szCs w:val="24"/>
        </w:rPr>
        <w:t xml:space="preserve"> Docket No. C-2013-2385249, </w:t>
      </w:r>
      <w:r w:rsidR="00BA4FAE">
        <w:rPr>
          <w:rFonts w:ascii="Times New Roman" w:hAnsi="Times New Roman"/>
          <w:color w:val="000000" w:themeColor="text1"/>
          <w:sz w:val="24"/>
          <w:szCs w:val="24"/>
        </w:rPr>
        <w:t xml:space="preserve">(Final </w:t>
      </w:r>
      <w:r>
        <w:rPr>
          <w:rFonts w:ascii="Times New Roman" w:hAnsi="Times New Roman"/>
          <w:color w:val="000000" w:themeColor="text1"/>
          <w:sz w:val="24"/>
          <w:szCs w:val="24"/>
        </w:rPr>
        <w:t xml:space="preserve">Order </w:t>
      </w:r>
      <w:r w:rsidR="00BA4FAE">
        <w:rPr>
          <w:rFonts w:ascii="Times New Roman" w:hAnsi="Times New Roman"/>
          <w:color w:val="000000" w:themeColor="text1"/>
          <w:sz w:val="24"/>
          <w:szCs w:val="24"/>
        </w:rPr>
        <w:t xml:space="preserve">entered </w:t>
      </w:r>
      <w:r>
        <w:rPr>
          <w:rFonts w:ascii="Times New Roman" w:hAnsi="Times New Roman"/>
          <w:color w:val="000000" w:themeColor="text1"/>
          <w:sz w:val="24"/>
          <w:szCs w:val="24"/>
        </w:rPr>
        <w:t>January 9, 2014</w:t>
      </w:r>
      <w:r w:rsidR="0058335D">
        <w:rPr>
          <w:rFonts w:ascii="Times New Roman" w:hAnsi="Times New Roman"/>
          <w:color w:val="000000" w:themeColor="text1"/>
          <w:sz w:val="24"/>
          <w:szCs w:val="24"/>
        </w:rPr>
        <w:t>)</w:t>
      </w:r>
      <w:r>
        <w:rPr>
          <w:rFonts w:ascii="Times New Roman" w:hAnsi="Times New Roman"/>
          <w:color w:val="000000" w:themeColor="text1"/>
          <w:sz w:val="24"/>
          <w:szCs w:val="24"/>
        </w:rPr>
        <w:t>.</w:t>
      </w:r>
    </w:p>
    <w:p w:rsidR="00143F76" w:rsidRPr="00F95E77" w:rsidRDefault="00143F76" w:rsidP="00BF43B1">
      <w:pPr>
        <w:spacing w:after="0" w:line="360" w:lineRule="auto"/>
        <w:rPr>
          <w:rFonts w:ascii="Times New Roman" w:eastAsia="Calibri" w:hAnsi="Times New Roman"/>
          <w:bCs/>
          <w:color w:val="000000" w:themeColor="text1"/>
          <w:sz w:val="24"/>
          <w:szCs w:val="24"/>
        </w:rPr>
      </w:pPr>
    </w:p>
    <w:p w:rsidR="009C1CEA" w:rsidRPr="00F95E77" w:rsidRDefault="009C1CEA" w:rsidP="00CA442C">
      <w:pPr>
        <w:spacing w:after="0" w:line="360" w:lineRule="auto"/>
        <w:jc w:val="center"/>
        <w:rPr>
          <w:rFonts w:ascii="Times New Roman" w:hAnsi="Times New Roman"/>
          <w:color w:val="000000" w:themeColor="text1"/>
          <w:sz w:val="24"/>
          <w:szCs w:val="24"/>
          <w:u w:val="single"/>
        </w:rPr>
      </w:pPr>
      <w:r w:rsidRPr="00F95E77">
        <w:rPr>
          <w:rFonts w:ascii="Times New Roman" w:hAnsi="Times New Roman"/>
          <w:color w:val="000000" w:themeColor="text1"/>
          <w:sz w:val="24"/>
          <w:szCs w:val="24"/>
          <w:u w:val="single"/>
        </w:rPr>
        <w:t>CONCLUSIONS OF LAW</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654567" w:rsidRPr="00F95E77" w:rsidRDefault="00654567" w:rsidP="00BF43B1">
      <w:pPr>
        <w:widowControl w:val="0"/>
        <w:autoSpaceDE w:val="0"/>
        <w:autoSpaceDN w:val="0"/>
        <w:adjustRightInd w:val="0"/>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sidR="002209C6">
        <w:rPr>
          <w:rFonts w:ascii="Times New Roman" w:hAnsi="Times New Roman"/>
          <w:color w:val="000000" w:themeColor="text1"/>
          <w:sz w:val="24"/>
          <w:szCs w:val="24"/>
        </w:rPr>
        <w:tab/>
      </w:r>
      <w:r w:rsidRPr="00F95E77">
        <w:rPr>
          <w:rFonts w:ascii="Times New Roman" w:hAnsi="Times New Roman"/>
          <w:color w:val="000000" w:themeColor="text1"/>
          <w:sz w:val="24"/>
          <w:szCs w:val="24"/>
        </w:rPr>
        <w:t xml:space="preserve">The Commission, as a creation of the General Assembly, has only the powers and authority granted to it by the General Assembly contained in the Public Utility Code.  </w:t>
      </w:r>
      <w:r w:rsidRPr="00F95E77">
        <w:rPr>
          <w:rFonts w:ascii="Times New Roman" w:hAnsi="Times New Roman"/>
          <w:i/>
          <w:color w:val="000000" w:themeColor="text1"/>
          <w:sz w:val="24"/>
          <w:szCs w:val="24"/>
        </w:rPr>
        <w:t>Feingold v. Bell Tel. Co. of Pa.</w:t>
      </w:r>
      <w:r w:rsidRPr="00F95E77">
        <w:rPr>
          <w:rFonts w:ascii="Times New Roman" w:hAnsi="Times New Roman"/>
          <w:color w:val="000000" w:themeColor="text1"/>
          <w:sz w:val="24"/>
          <w:szCs w:val="24"/>
        </w:rPr>
        <w:t>, 383 A.2d 791 (Pa. 1977).</w:t>
      </w:r>
    </w:p>
    <w:p w:rsidR="00654567" w:rsidRPr="00F95E77" w:rsidRDefault="00654567" w:rsidP="00BF43B1">
      <w:pPr>
        <w:widowControl w:val="0"/>
        <w:autoSpaceDE w:val="0"/>
        <w:autoSpaceDN w:val="0"/>
        <w:adjustRightInd w:val="0"/>
        <w:spacing w:after="0" w:line="360" w:lineRule="auto"/>
        <w:rPr>
          <w:rFonts w:ascii="Times New Roman" w:hAnsi="Times New Roman"/>
          <w:color w:val="000000" w:themeColor="text1"/>
          <w:sz w:val="24"/>
          <w:szCs w:val="24"/>
        </w:rPr>
      </w:pPr>
    </w:p>
    <w:p w:rsidR="00654567" w:rsidRPr="00F95E77" w:rsidRDefault="00654567" w:rsidP="00BF43B1">
      <w:pPr>
        <w:widowControl w:val="0"/>
        <w:autoSpaceDE w:val="0"/>
        <w:autoSpaceDN w:val="0"/>
        <w:adjustRightInd w:val="0"/>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r>
      <w:r w:rsidR="00BD4821">
        <w:rPr>
          <w:rFonts w:ascii="Times New Roman" w:hAnsi="Times New Roman"/>
          <w:color w:val="000000" w:themeColor="text1"/>
          <w:sz w:val="24"/>
          <w:szCs w:val="24"/>
        </w:rPr>
        <w:t>2</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 xml:space="preserve">The Commission must act within, and cannot exceed, its jurisdiction.  </w:t>
      </w:r>
      <w:r w:rsidRPr="00F95E77">
        <w:rPr>
          <w:rFonts w:ascii="Times New Roman" w:hAnsi="Times New Roman"/>
          <w:i/>
          <w:color w:val="000000" w:themeColor="text1"/>
          <w:sz w:val="24"/>
          <w:szCs w:val="24"/>
        </w:rPr>
        <w:t>City of Pittsburgh v. Pa</w:t>
      </w:r>
      <w:r w:rsidR="0089302A" w:rsidRPr="00F95E77">
        <w:rPr>
          <w:rFonts w:ascii="Times New Roman" w:hAnsi="Times New Roman"/>
          <w:i/>
          <w:color w:val="000000" w:themeColor="text1"/>
          <w:sz w:val="24"/>
          <w:szCs w:val="24"/>
        </w:rPr>
        <w:t>.</w:t>
      </w:r>
      <w:r w:rsidRPr="00F95E77">
        <w:rPr>
          <w:rFonts w:ascii="Times New Roman" w:hAnsi="Times New Roman"/>
          <w:i/>
          <w:color w:val="000000" w:themeColor="text1"/>
          <w:sz w:val="24"/>
          <w:szCs w:val="24"/>
        </w:rPr>
        <w:t xml:space="preserve"> Pub. Util. Comm’n.,</w:t>
      </w:r>
      <w:r w:rsidR="0037742D">
        <w:rPr>
          <w:rFonts w:ascii="Times New Roman" w:hAnsi="Times New Roman"/>
          <w:color w:val="000000" w:themeColor="text1"/>
          <w:sz w:val="24"/>
          <w:szCs w:val="24"/>
        </w:rPr>
        <w:t xml:space="preserve"> 43 A.2d 348 (Pa.</w:t>
      </w:r>
      <w:r w:rsidRPr="00F95E77">
        <w:rPr>
          <w:rFonts w:ascii="Times New Roman" w:hAnsi="Times New Roman"/>
          <w:color w:val="000000" w:themeColor="text1"/>
          <w:sz w:val="24"/>
          <w:szCs w:val="24"/>
        </w:rPr>
        <w:t>Super. 1945).</w:t>
      </w:r>
    </w:p>
    <w:p w:rsidR="00654567" w:rsidRPr="00F95E77" w:rsidRDefault="00654567" w:rsidP="00BF43B1">
      <w:pPr>
        <w:widowControl w:val="0"/>
        <w:autoSpaceDE w:val="0"/>
        <w:autoSpaceDN w:val="0"/>
        <w:adjustRightInd w:val="0"/>
        <w:spacing w:after="0" w:line="360" w:lineRule="auto"/>
        <w:rPr>
          <w:rFonts w:ascii="Times New Roman" w:hAnsi="Times New Roman"/>
          <w:color w:val="000000" w:themeColor="text1"/>
          <w:sz w:val="24"/>
          <w:szCs w:val="24"/>
        </w:rPr>
      </w:pPr>
    </w:p>
    <w:p w:rsidR="00654567" w:rsidRPr="00F95E77" w:rsidRDefault="00654567" w:rsidP="00BF43B1">
      <w:pPr>
        <w:autoSpaceDE w:val="0"/>
        <w:autoSpaceDN w:val="0"/>
        <w:adjustRightInd w:val="0"/>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r>
      <w:r w:rsidR="00BD4821">
        <w:rPr>
          <w:rFonts w:ascii="Times New Roman" w:hAnsi="Times New Roman"/>
          <w:color w:val="000000" w:themeColor="text1"/>
          <w:sz w:val="24"/>
          <w:szCs w:val="24"/>
        </w:rPr>
        <w:t>3</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 xml:space="preserve">Jurisdiction may not be conferred by the parties where none exists.  </w:t>
      </w:r>
      <w:r w:rsidRPr="00F95E77">
        <w:rPr>
          <w:rFonts w:ascii="Times New Roman" w:hAnsi="Times New Roman"/>
          <w:i/>
          <w:color w:val="000000" w:themeColor="text1"/>
          <w:sz w:val="24"/>
          <w:szCs w:val="24"/>
        </w:rPr>
        <w:t>Roberts v. Martorano</w:t>
      </w:r>
      <w:r w:rsidRPr="00F95E77">
        <w:rPr>
          <w:rFonts w:ascii="Times New Roman" w:hAnsi="Times New Roman"/>
          <w:color w:val="000000" w:themeColor="text1"/>
          <w:sz w:val="24"/>
          <w:szCs w:val="24"/>
        </w:rPr>
        <w:t>, 235 A.2d 602 (Pa. 1967).</w:t>
      </w:r>
    </w:p>
    <w:p w:rsidR="00654567" w:rsidRPr="00F95E77" w:rsidRDefault="00654567" w:rsidP="00BF43B1">
      <w:pPr>
        <w:widowControl w:val="0"/>
        <w:autoSpaceDE w:val="0"/>
        <w:autoSpaceDN w:val="0"/>
        <w:adjustRightInd w:val="0"/>
        <w:spacing w:after="0" w:line="360" w:lineRule="auto"/>
        <w:rPr>
          <w:rFonts w:ascii="Times New Roman" w:hAnsi="Times New Roman"/>
          <w:color w:val="000000" w:themeColor="text1"/>
          <w:sz w:val="24"/>
          <w:szCs w:val="24"/>
        </w:rPr>
      </w:pPr>
    </w:p>
    <w:p w:rsidR="00654567" w:rsidRPr="00F95E77" w:rsidRDefault="00654567" w:rsidP="00BF43B1">
      <w:pPr>
        <w:widowControl w:val="0"/>
        <w:autoSpaceDE w:val="0"/>
        <w:autoSpaceDN w:val="0"/>
        <w:adjustRightInd w:val="0"/>
        <w:spacing w:after="0" w:line="360" w:lineRule="auto"/>
        <w:rPr>
          <w:rFonts w:ascii="Times New Roman" w:hAnsi="Times New Roman"/>
          <w:color w:val="000000" w:themeColor="text1"/>
          <w:sz w:val="24"/>
          <w:szCs w:val="24"/>
        </w:rPr>
      </w:pPr>
      <w:r w:rsidRPr="00F95E77">
        <w:rPr>
          <w:rFonts w:ascii="Times New Roman" w:hAnsi="Times New Roman"/>
          <w:color w:val="000000" w:themeColor="text1"/>
          <w:sz w:val="24"/>
          <w:szCs w:val="24"/>
        </w:rPr>
        <w:tab/>
      </w:r>
      <w:r w:rsidRPr="00F95E77">
        <w:rPr>
          <w:rFonts w:ascii="Times New Roman" w:hAnsi="Times New Roman"/>
          <w:color w:val="000000" w:themeColor="text1"/>
          <w:sz w:val="24"/>
          <w:szCs w:val="24"/>
        </w:rPr>
        <w:tab/>
      </w:r>
      <w:r w:rsidR="00BD4821">
        <w:rPr>
          <w:rFonts w:ascii="Times New Roman" w:hAnsi="Times New Roman"/>
          <w:color w:val="000000" w:themeColor="text1"/>
          <w:sz w:val="24"/>
          <w:szCs w:val="24"/>
        </w:rPr>
        <w:t>4</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r>
      <w:r w:rsidR="006C3BAA" w:rsidRPr="00F95E77">
        <w:rPr>
          <w:rFonts w:ascii="Times New Roman" w:hAnsi="Times New Roman"/>
          <w:color w:val="000000" w:themeColor="text1"/>
          <w:sz w:val="24"/>
          <w:szCs w:val="24"/>
        </w:rPr>
        <w:t>S</w:t>
      </w:r>
      <w:r w:rsidR="0089302A" w:rsidRPr="00F95E77">
        <w:rPr>
          <w:rFonts w:ascii="Times New Roman" w:hAnsi="Times New Roman"/>
          <w:color w:val="000000" w:themeColor="text1"/>
          <w:sz w:val="24"/>
          <w:szCs w:val="24"/>
        </w:rPr>
        <w:t>ubject</w:t>
      </w:r>
      <w:r w:rsidRPr="00F95E77">
        <w:rPr>
          <w:rFonts w:ascii="Times New Roman" w:hAnsi="Times New Roman"/>
          <w:color w:val="000000" w:themeColor="text1"/>
          <w:sz w:val="24"/>
          <w:szCs w:val="24"/>
        </w:rPr>
        <w:t xml:space="preserve"> matter jurisdiction is a prerequisite to the exercise of power to decide a controversy.  </w:t>
      </w:r>
      <w:r w:rsidRPr="00F95E77">
        <w:rPr>
          <w:rFonts w:ascii="Times New Roman" w:hAnsi="Times New Roman"/>
          <w:i/>
          <w:color w:val="000000" w:themeColor="text1"/>
          <w:sz w:val="24"/>
          <w:szCs w:val="24"/>
        </w:rPr>
        <w:t>Hughes v. Pennsylvania State Police</w:t>
      </w:r>
      <w:r w:rsidRPr="00F95E77">
        <w:rPr>
          <w:rFonts w:ascii="Times New Roman" w:hAnsi="Times New Roman"/>
          <w:color w:val="000000" w:themeColor="text1"/>
          <w:sz w:val="24"/>
          <w:szCs w:val="24"/>
        </w:rPr>
        <w:t xml:space="preserve">, 619 A.2d 390 (Pa.Cmwlth. 1992), </w:t>
      </w:r>
      <w:r w:rsidRPr="00F95E77">
        <w:rPr>
          <w:rFonts w:ascii="Times New Roman" w:hAnsi="Times New Roman"/>
          <w:i/>
          <w:color w:val="000000" w:themeColor="text1"/>
          <w:sz w:val="24"/>
          <w:szCs w:val="24"/>
        </w:rPr>
        <w:t>alloc. denied</w:t>
      </w:r>
      <w:r w:rsidRPr="00F95E77">
        <w:rPr>
          <w:rFonts w:ascii="Times New Roman" w:hAnsi="Times New Roman"/>
          <w:color w:val="000000" w:themeColor="text1"/>
          <w:sz w:val="24"/>
          <w:szCs w:val="24"/>
        </w:rPr>
        <w:t>, 637 A.2d 293 (Pa. 1993).</w:t>
      </w:r>
    </w:p>
    <w:p w:rsidR="00654567" w:rsidRPr="00F95E77" w:rsidRDefault="00654567" w:rsidP="00BF43B1">
      <w:pPr>
        <w:widowControl w:val="0"/>
        <w:autoSpaceDE w:val="0"/>
        <w:autoSpaceDN w:val="0"/>
        <w:adjustRightInd w:val="0"/>
        <w:spacing w:after="0" w:line="360" w:lineRule="auto"/>
        <w:rPr>
          <w:rFonts w:ascii="Times New Roman" w:hAnsi="Times New Roman"/>
          <w:color w:val="000000" w:themeColor="text1"/>
          <w:sz w:val="24"/>
          <w:szCs w:val="24"/>
        </w:rPr>
      </w:pPr>
    </w:p>
    <w:p w:rsidR="009C1CEA" w:rsidRPr="00F95E77" w:rsidRDefault="00BD4821" w:rsidP="00BF43B1">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5</w:t>
      </w:r>
      <w:r w:rsidR="009C1CEA" w:rsidRPr="00F95E77">
        <w:rPr>
          <w:rFonts w:ascii="Times New Roman" w:hAnsi="Times New Roman"/>
          <w:color w:val="000000" w:themeColor="text1"/>
          <w:sz w:val="24"/>
          <w:szCs w:val="24"/>
        </w:rPr>
        <w:t>.</w:t>
      </w:r>
      <w:r w:rsidR="009C1CEA" w:rsidRPr="00F95E77">
        <w:rPr>
          <w:rFonts w:ascii="Times New Roman" w:hAnsi="Times New Roman"/>
          <w:color w:val="000000" w:themeColor="text1"/>
          <w:sz w:val="24"/>
          <w:szCs w:val="24"/>
        </w:rPr>
        <w:tab/>
        <w:t>Acting under the authority and power granted in the Municipal Claim and Tax Lien Law, 53 P.S. § 7101 et seq., the City files a lien to enforce municipal claims against property for unpaid natural gas service rendered by respondent.</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BD4821" w:rsidP="00BF43B1">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6</w:t>
      </w:r>
      <w:r w:rsidR="009C1CEA" w:rsidRPr="00F95E77">
        <w:rPr>
          <w:rFonts w:ascii="Times New Roman" w:hAnsi="Times New Roman"/>
          <w:color w:val="000000" w:themeColor="text1"/>
          <w:sz w:val="24"/>
          <w:szCs w:val="24"/>
        </w:rPr>
        <w:t>.</w:t>
      </w:r>
      <w:r w:rsidR="009C1CEA" w:rsidRPr="00F95E77">
        <w:rPr>
          <w:rFonts w:ascii="Times New Roman" w:hAnsi="Times New Roman"/>
          <w:color w:val="000000" w:themeColor="text1"/>
          <w:sz w:val="24"/>
          <w:szCs w:val="24"/>
        </w:rPr>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BD4821" w:rsidP="00BF43B1">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7</w:t>
      </w:r>
      <w:r w:rsidR="009C1CEA" w:rsidRPr="00F95E77">
        <w:rPr>
          <w:rFonts w:ascii="Times New Roman" w:hAnsi="Times New Roman"/>
          <w:color w:val="000000" w:themeColor="text1"/>
          <w:sz w:val="24"/>
          <w:szCs w:val="24"/>
        </w:rPr>
        <w:t>.</w:t>
      </w:r>
      <w:r w:rsidR="009C1CEA" w:rsidRPr="00F95E77">
        <w:rPr>
          <w:rFonts w:ascii="Times New Roman" w:hAnsi="Times New Roman"/>
          <w:color w:val="000000" w:themeColor="text1"/>
          <w:sz w:val="24"/>
          <w:szCs w:val="24"/>
        </w:rPr>
        <w:tab/>
        <w:t>It is only the municipality that can file a municipal lien to enforce municipal claims against property for unpaid natural gas service rendered by respondent.</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BD4821" w:rsidP="00BF43B1">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8</w:t>
      </w:r>
      <w:r w:rsidR="009C1CEA" w:rsidRPr="00F95E77">
        <w:rPr>
          <w:rFonts w:ascii="Times New Roman" w:hAnsi="Times New Roman"/>
          <w:color w:val="000000" w:themeColor="text1"/>
          <w:sz w:val="24"/>
          <w:szCs w:val="24"/>
        </w:rPr>
        <w:t>.</w:t>
      </w:r>
      <w:r w:rsidR="009C1CEA" w:rsidRPr="00F95E77">
        <w:rPr>
          <w:rFonts w:ascii="Times New Roman" w:hAnsi="Times New Roman"/>
          <w:color w:val="000000" w:themeColor="text1"/>
          <w:sz w:val="24"/>
          <w:szCs w:val="24"/>
        </w:rPr>
        <w:tab/>
        <w:t>Respondent is a municipal utility that is wholly owned by the City of Philadelphia.  Respondent consists only of the real and personal assets that are used to manufacture and deliver natural gas to entities within the City of Philadelphia’s borders.</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BD4821" w:rsidP="00BF43B1">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9</w:t>
      </w:r>
      <w:r w:rsidR="009C1CEA" w:rsidRPr="00F95E77">
        <w:rPr>
          <w:rFonts w:ascii="Times New Roman" w:hAnsi="Times New Roman"/>
          <w:color w:val="000000" w:themeColor="text1"/>
          <w:sz w:val="24"/>
          <w:szCs w:val="24"/>
        </w:rPr>
        <w:t>.</w:t>
      </w:r>
      <w:r w:rsidR="009C1CEA" w:rsidRPr="00F95E77">
        <w:rPr>
          <w:rFonts w:ascii="Times New Roman" w:hAnsi="Times New Roman"/>
          <w:color w:val="000000" w:themeColor="text1"/>
          <w:sz w:val="24"/>
          <w:szCs w:val="24"/>
        </w:rPr>
        <w:tab/>
        <w:t>The procedure which the City must follow to establish a lien on a specific property, such as the Premises, is set forth in the Municipal Claim and Tax Lien Law.</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0B31C3" w:rsidRDefault="009C1CEA" w:rsidP="00BF43B1">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sidR="00BD4821">
        <w:rPr>
          <w:rFonts w:ascii="Times New Roman" w:hAnsi="Times New Roman"/>
          <w:color w:val="000000" w:themeColor="text1"/>
          <w:sz w:val="24"/>
          <w:szCs w:val="24"/>
        </w:rPr>
        <w:t>0</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 xml:space="preserve">The lien obtained for the enforcement of the City’s municipal claim is an </w:t>
      </w:r>
      <w:r w:rsidRPr="00F95E77">
        <w:rPr>
          <w:rFonts w:ascii="Times New Roman" w:hAnsi="Times New Roman"/>
          <w:i/>
          <w:color w:val="000000" w:themeColor="text1"/>
          <w:sz w:val="24"/>
          <w:szCs w:val="24"/>
        </w:rPr>
        <w:t>in rem</w:t>
      </w:r>
      <w:r w:rsidRPr="00F95E77">
        <w:rPr>
          <w:rFonts w:ascii="Times New Roman" w:hAnsi="Times New Roman"/>
          <w:color w:val="000000" w:themeColor="text1"/>
          <w:sz w:val="24"/>
          <w:szCs w:val="24"/>
        </w:rPr>
        <w:t xml:space="preserve"> proceeding.</w:t>
      </w:r>
      <w:r w:rsidR="000B31C3" w:rsidRPr="000B31C3">
        <w:rPr>
          <w:rFonts w:ascii="Times New Roman" w:hAnsi="Times New Roman"/>
          <w:sz w:val="20"/>
          <w:szCs w:val="20"/>
        </w:rPr>
        <w:t xml:space="preserve"> </w:t>
      </w:r>
      <w:r w:rsidR="000B31C3" w:rsidRPr="000B31C3">
        <w:rPr>
          <w:rFonts w:ascii="Times New Roman" w:hAnsi="Times New Roman"/>
          <w:i/>
          <w:sz w:val="24"/>
          <w:szCs w:val="24"/>
        </w:rPr>
        <w:t>Borough of Towanda v. Brannaka</w:t>
      </w:r>
      <w:r w:rsidR="000B31C3" w:rsidRPr="000B31C3">
        <w:rPr>
          <w:rFonts w:ascii="Times New Roman" w:hAnsi="Times New Roman"/>
          <w:sz w:val="24"/>
          <w:szCs w:val="24"/>
        </w:rPr>
        <w:t xml:space="preserve">, 61 Pa.Cmwlth. 622; 625-626, 434 A.2d 889; 891 (1981).  </w:t>
      </w:r>
    </w:p>
    <w:p w:rsidR="009C1CEA" w:rsidRPr="000B31C3"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9C1CEA" w:rsidP="00BF43B1">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sidR="00BD4821">
        <w:rPr>
          <w:rFonts w:ascii="Times New Roman" w:hAnsi="Times New Roman"/>
          <w:color w:val="000000" w:themeColor="text1"/>
          <w:sz w:val="24"/>
          <w:szCs w:val="24"/>
        </w:rPr>
        <w:t>1</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w:t>
      </w:r>
      <w:r w:rsidRPr="00F95E77">
        <w:rPr>
          <w:rFonts w:ascii="Times New Roman" w:hAnsi="Times New Roman"/>
          <w:i/>
          <w:color w:val="000000" w:themeColor="text1"/>
          <w:sz w:val="24"/>
          <w:szCs w:val="24"/>
        </w:rPr>
        <w:t>In rem</w:t>
      </w:r>
      <w:r w:rsidRPr="00F95E77">
        <w:rPr>
          <w:rFonts w:ascii="Times New Roman" w:hAnsi="Times New Roman"/>
          <w:color w:val="000000" w:themeColor="text1"/>
          <w:sz w:val="24"/>
          <w:szCs w:val="24"/>
        </w:rPr>
        <w:t xml:space="preserve">” is a term of art used to designate proceedings or actions instituted against the thing, in contradistinction to personal actions, which are said to be </w:t>
      </w:r>
      <w:r w:rsidRPr="00F95E77">
        <w:rPr>
          <w:rFonts w:ascii="Times New Roman" w:hAnsi="Times New Roman"/>
          <w:i/>
          <w:color w:val="000000" w:themeColor="text1"/>
          <w:sz w:val="24"/>
          <w:szCs w:val="24"/>
        </w:rPr>
        <w:t>in personam.</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9C1CEA" w:rsidP="00BF43B1">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sidR="00BD4821">
        <w:rPr>
          <w:rFonts w:ascii="Times New Roman" w:hAnsi="Times New Roman"/>
          <w:color w:val="000000" w:themeColor="text1"/>
          <w:sz w:val="24"/>
          <w:szCs w:val="24"/>
        </w:rPr>
        <w:t>2</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The City’s lien is either valid or invalid as to the property in question rather than as to the respective property interests involved.</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9C1CEA" w:rsidP="00BF43B1">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sidR="00BD4821">
        <w:rPr>
          <w:rFonts w:ascii="Times New Roman" w:hAnsi="Times New Roman"/>
          <w:color w:val="000000" w:themeColor="text1"/>
          <w:sz w:val="24"/>
          <w:szCs w:val="24"/>
        </w:rPr>
        <w:t>3</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No personal responsibility is asserted against Complainant by the City’s filing of a lien on the Premises.</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9C1CEA" w:rsidP="00BF43B1">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sidR="00BD4821">
        <w:rPr>
          <w:rFonts w:ascii="Times New Roman" w:hAnsi="Times New Roman"/>
          <w:color w:val="000000" w:themeColor="text1"/>
          <w:sz w:val="24"/>
          <w:szCs w:val="24"/>
        </w:rPr>
        <w:t>4</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Enforcement of the City of Philadelphia’s lien is a judicial procedure controlled by the Court of Common Pleas, with due process safeguards provided to protect the rights of interested parties.</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9C1CEA" w:rsidP="00BF43B1">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sidR="00BD4821">
        <w:rPr>
          <w:rFonts w:ascii="Times New Roman" w:hAnsi="Times New Roman"/>
          <w:color w:val="000000" w:themeColor="text1"/>
          <w:sz w:val="24"/>
          <w:szCs w:val="24"/>
        </w:rPr>
        <w:t>5</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Ultimate recovery of the amount of any municipal claims resulting in the City of Philadelphia’s lien is effectuated by sale of the property.</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9C1CEA" w:rsidP="00BF43B1">
      <w:pPr>
        <w:spacing w:after="0" w:line="360" w:lineRule="auto"/>
        <w:ind w:firstLine="1440"/>
        <w:rPr>
          <w:rFonts w:ascii="Times New Roman" w:hAnsi="Times New Roman"/>
          <w:color w:val="000000" w:themeColor="text1"/>
          <w:sz w:val="24"/>
          <w:szCs w:val="24"/>
        </w:rPr>
      </w:pPr>
      <w:r w:rsidRPr="00F95E77">
        <w:rPr>
          <w:rFonts w:ascii="Times New Roman" w:hAnsi="Times New Roman"/>
          <w:color w:val="000000" w:themeColor="text1"/>
          <w:sz w:val="24"/>
          <w:szCs w:val="24"/>
        </w:rPr>
        <w:t>1</w:t>
      </w:r>
      <w:r w:rsidR="00BD4821">
        <w:rPr>
          <w:rFonts w:ascii="Times New Roman" w:hAnsi="Times New Roman"/>
          <w:color w:val="000000" w:themeColor="text1"/>
          <w:sz w:val="24"/>
          <w:szCs w:val="24"/>
        </w:rPr>
        <w:t>6</w:t>
      </w:r>
      <w:r w:rsidRPr="00F95E77">
        <w:rPr>
          <w:rFonts w:ascii="Times New Roman" w:hAnsi="Times New Roman"/>
          <w:color w:val="000000" w:themeColor="text1"/>
          <w:sz w:val="24"/>
          <w:szCs w:val="24"/>
        </w:rPr>
        <w:t>.</w:t>
      </w:r>
      <w:r w:rsidRPr="00F95E77">
        <w:rPr>
          <w:rFonts w:ascii="Times New Roman" w:hAnsi="Times New Roman"/>
          <w:color w:val="000000" w:themeColor="text1"/>
          <w:sz w:val="24"/>
          <w:szCs w:val="24"/>
        </w:rPr>
        <w:tab/>
        <w:t>Lien proceedings are exclusively matters of judicial, not administrative, jurisdiction.</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BD4821" w:rsidP="00BF43B1">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17</w:t>
      </w:r>
      <w:r w:rsidR="009C1CEA" w:rsidRPr="00F95E77">
        <w:rPr>
          <w:rFonts w:ascii="Times New Roman" w:hAnsi="Times New Roman"/>
          <w:color w:val="000000" w:themeColor="text1"/>
          <w:sz w:val="24"/>
          <w:szCs w:val="24"/>
        </w:rPr>
        <w:t>.</w:t>
      </w:r>
      <w:r w:rsidR="009C1CEA" w:rsidRPr="00F95E77">
        <w:rPr>
          <w:rFonts w:ascii="Times New Roman" w:hAnsi="Times New Roman"/>
          <w:color w:val="000000" w:themeColor="text1"/>
          <w:sz w:val="24"/>
          <w:szCs w:val="24"/>
        </w:rPr>
        <w:tab/>
        <w:t xml:space="preserve">The Commission has recognized its lack of </w:t>
      </w:r>
      <w:r w:rsidR="006C3BAA" w:rsidRPr="00F95E77">
        <w:rPr>
          <w:rFonts w:ascii="Times New Roman" w:hAnsi="Times New Roman"/>
          <w:color w:val="000000" w:themeColor="text1"/>
          <w:sz w:val="24"/>
          <w:szCs w:val="24"/>
        </w:rPr>
        <w:t>s</w:t>
      </w:r>
      <w:r w:rsidR="0089302A" w:rsidRPr="00F95E77">
        <w:rPr>
          <w:rFonts w:ascii="Times New Roman" w:hAnsi="Times New Roman"/>
          <w:color w:val="000000" w:themeColor="text1"/>
          <w:sz w:val="24"/>
          <w:szCs w:val="24"/>
        </w:rPr>
        <w:t>ubject</w:t>
      </w:r>
      <w:r w:rsidR="009C1CEA" w:rsidRPr="00F95E77">
        <w:rPr>
          <w:rFonts w:ascii="Times New Roman" w:hAnsi="Times New Roman"/>
          <w:color w:val="000000" w:themeColor="text1"/>
          <w:sz w:val="24"/>
          <w:szCs w:val="24"/>
        </w:rPr>
        <w:t xml:space="preserve"> matter jurisdiction in cases involving a dispute over a municipal lien placed upon a property.</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C1CEA" w:rsidRPr="00F95E77" w:rsidRDefault="00BD4821" w:rsidP="00BF43B1">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18</w:t>
      </w:r>
      <w:r w:rsidR="009C1CEA" w:rsidRPr="00F95E77">
        <w:rPr>
          <w:rFonts w:ascii="Times New Roman" w:hAnsi="Times New Roman"/>
          <w:color w:val="000000" w:themeColor="text1"/>
          <w:sz w:val="24"/>
          <w:szCs w:val="24"/>
        </w:rPr>
        <w:t>.</w:t>
      </w:r>
      <w:r w:rsidR="009C1CEA" w:rsidRPr="00F95E77">
        <w:rPr>
          <w:rFonts w:ascii="Times New Roman" w:hAnsi="Times New Roman"/>
          <w:color w:val="000000" w:themeColor="text1"/>
          <w:sz w:val="24"/>
          <w:szCs w:val="24"/>
        </w:rPr>
        <w:tab/>
        <w:t>Code section 1414(a) reiterates the General Assembly’s determination that the previously existing right of the City to enforce payment for natural gas service rendered by the respondent through the municipal claim and lien procedure of the Municipal Claim and Tax Lien Law remains unabated.</w:t>
      </w:r>
    </w:p>
    <w:p w:rsidR="009C1CEA" w:rsidRPr="00F95E77" w:rsidRDefault="009C1CEA" w:rsidP="00BF43B1">
      <w:pPr>
        <w:spacing w:after="0" w:line="360" w:lineRule="auto"/>
        <w:ind w:firstLine="1440"/>
        <w:rPr>
          <w:rFonts w:ascii="Times New Roman" w:hAnsi="Times New Roman"/>
          <w:color w:val="000000" w:themeColor="text1"/>
          <w:sz w:val="24"/>
          <w:szCs w:val="24"/>
        </w:rPr>
      </w:pPr>
    </w:p>
    <w:p w:rsidR="00991D9E" w:rsidRDefault="00BD4821" w:rsidP="00A07AB9">
      <w:pPr>
        <w:spacing w:after="0" w:line="360" w:lineRule="auto"/>
        <w:ind w:firstLine="1440"/>
        <w:rPr>
          <w:rFonts w:ascii="Times New Roman" w:hAnsi="Times New Roman"/>
          <w:color w:val="000000" w:themeColor="text1"/>
          <w:sz w:val="24"/>
          <w:szCs w:val="24"/>
        </w:rPr>
      </w:pPr>
      <w:r>
        <w:rPr>
          <w:rFonts w:ascii="Times New Roman" w:hAnsi="Times New Roman"/>
          <w:color w:val="000000" w:themeColor="text1"/>
          <w:sz w:val="24"/>
          <w:szCs w:val="24"/>
        </w:rPr>
        <w:t>19</w:t>
      </w:r>
      <w:r w:rsidR="009C1CEA" w:rsidRPr="00F95E77">
        <w:rPr>
          <w:rFonts w:ascii="Times New Roman" w:hAnsi="Times New Roman"/>
          <w:color w:val="000000" w:themeColor="text1"/>
          <w:sz w:val="24"/>
          <w:szCs w:val="24"/>
        </w:rPr>
        <w:t>.</w:t>
      </w:r>
      <w:r w:rsidR="009C1CEA" w:rsidRPr="00F95E77">
        <w:rPr>
          <w:rFonts w:ascii="Times New Roman" w:hAnsi="Times New Roman"/>
          <w:color w:val="000000" w:themeColor="text1"/>
          <w:sz w:val="24"/>
          <w:szCs w:val="24"/>
        </w:rPr>
        <w:tab/>
        <w:t xml:space="preserve">Code section 2212(n) specifically states that “[n]othing contained in this </w:t>
      </w:r>
      <w:r w:rsidR="009C1CEA" w:rsidRPr="00F95E77">
        <w:rPr>
          <w:rFonts w:ascii="Times New Roman" w:hAnsi="Times New Roman"/>
          <w:color w:val="000000" w:themeColor="text1"/>
          <w:sz w:val="24"/>
          <w:szCs w:val="24"/>
          <w:u w:val="single"/>
        </w:rPr>
        <w:t>title</w:t>
      </w:r>
      <w:r w:rsidR="009C1CEA" w:rsidRPr="00F95E77">
        <w:rPr>
          <w:rFonts w:ascii="Times New Roman" w:hAnsi="Times New Roman"/>
          <w:color w:val="000000" w:themeColor="text1"/>
          <w:sz w:val="24"/>
          <w:szCs w:val="24"/>
        </w:rPr>
        <w:t>”, that is; Title 66, the entire Code, shall abrogate the right of the City to collect unpaid bills for natural gas service through the mechanisms provided by the M</w:t>
      </w:r>
      <w:r w:rsidR="00A07AB9">
        <w:rPr>
          <w:rFonts w:ascii="Times New Roman" w:hAnsi="Times New Roman"/>
          <w:color w:val="000000" w:themeColor="text1"/>
          <w:sz w:val="24"/>
          <w:szCs w:val="24"/>
        </w:rPr>
        <w:t>unicipal Claim and Tax Lien Law.</w:t>
      </w:r>
    </w:p>
    <w:p w:rsidR="00A07AB9" w:rsidRPr="004303F2" w:rsidRDefault="00A07AB9" w:rsidP="00A07AB9">
      <w:pPr>
        <w:tabs>
          <w:tab w:val="left" w:pos="3600"/>
        </w:tabs>
        <w:spacing w:after="0" w:line="360" w:lineRule="auto"/>
        <w:outlineLvl w:val="0"/>
        <w:rPr>
          <w:rFonts w:ascii="Times New Roman" w:hAnsi="Times New Roman"/>
          <w:color w:val="000000" w:themeColor="text1"/>
          <w:sz w:val="24"/>
          <w:szCs w:val="24"/>
        </w:rPr>
      </w:pPr>
    </w:p>
    <w:p w:rsidR="00991D9E" w:rsidRPr="004303F2" w:rsidRDefault="00A07AB9" w:rsidP="00B1007F">
      <w:pPr>
        <w:spacing w:line="360" w:lineRule="auto"/>
        <w:ind w:firstLine="1440"/>
        <w:rPr>
          <w:rFonts w:ascii="Times New Roman" w:hAnsi="Times New Roman"/>
          <w:sz w:val="24"/>
          <w:szCs w:val="24"/>
        </w:rPr>
      </w:pPr>
      <w:r w:rsidRPr="004303F2">
        <w:rPr>
          <w:rFonts w:ascii="Times New Roman" w:hAnsi="Times New Roman"/>
          <w:sz w:val="24"/>
          <w:szCs w:val="24"/>
        </w:rPr>
        <w:t>2</w:t>
      </w:r>
      <w:r w:rsidR="00BD4821" w:rsidRPr="004303F2">
        <w:rPr>
          <w:rFonts w:ascii="Times New Roman" w:hAnsi="Times New Roman"/>
          <w:sz w:val="24"/>
          <w:szCs w:val="24"/>
        </w:rPr>
        <w:t>0</w:t>
      </w:r>
      <w:r w:rsidRPr="004303F2">
        <w:rPr>
          <w:rFonts w:ascii="Times New Roman" w:hAnsi="Times New Roman"/>
          <w:sz w:val="24"/>
          <w:szCs w:val="24"/>
        </w:rPr>
        <w:t>.</w:t>
      </w:r>
      <w:r w:rsidRPr="004303F2">
        <w:rPr>
          <w:rFonts w:ascii="Times New Roman" w:hAnsi="Times New Roman"/>
          <w:sz w:val="24"/>
          <w:szCs w:val="24"/>
        </w:rPr>
        <w:tab/>
        <w:t xml:space="preserve">It is just, reasonable and in the public interest that the complaint filed at Docket No. </w:t>
      </w:r>
      <w:r w:rsidRPr="004303F2">
        <w:rPr>
          <w:rFonts w:ascii="Times New Roman" w:hAnsi="Times New Roman"/>
          <w:spacing w:val="-3"/>
          <w:sz w:val="24"/>
          <w:szCs w:val="24"/>
        </w:rPr>
        <w:t>C-2015-247</w:t>
      </w:r>
      <w:r w:rsidR="00516F6D" w:rsidRPr="004303F2">
        <w:rPr>
          <w:rFonts w:ascii="Times New Roman" w:hAnsi="Times New Roman"/>
          <w:spacing w:val="-3"/>
          <w:sz w:val="24"/>
          <w:szCs w:val="24"/>
        </w:rPr>
        <w:t>5950</w:t>
      </w:r>
      <w:r w:rsidRPr="004303F2">
        <w:rPr>
          <w:rFonts w:ascii="Times New Roman" w:hAnsi="Times New Roman"/>
          <w:spacing w:val="-3"/>
          <w:sz w:val="24"/>
          <w:szCs w:val="24"/>
        </w:rPr>
        <w:t xml:space="preserve"> </w:t>
      </w:r>
      <w:r w:rsidRPr="004303F2">
        <w:rPr>
          <w:rFonts w:ascii="Times New Roman" w:hAnsi="Times New Roman"/>
          <w:sz w:val="24"/>
          <w:szCs w:val="24"/>
        </w:rPr>
        <w:t>be dismissed.</w:t>
      </w:r>
    </w:p>
    <w:p w:rsidR="00991D9E" w:rsidRPr="004303F2" w:rsidRDefault="00991D9E" w:rsidP="009E515F">
      <w:pPr>
        <w:tabs>
          <w:tab w:val="left" w:pos="3600"/>
        </w:tabs>
        <w:spacing w:after="0" w:line="360" w:lineRule="auto"/>
        <w:outlineLvl w:val="0"/>
        <w:rPr>
          <w:rFonts w:ascii="Times New Roman" w:hAnsi="Times New Roman"/>
          <w:bCs/>
          <w:color w:val="000000" w:themeColor="text1"/>
          <w:sz w:val="24"/>
          <w:szCs w:val="24"/>
          <w:u w:val="single"/>
        </w:rPr>
      </w:pPr>
    </w:p>
    <w:p w:rsidR="009C1CEA" w:rsidRPr="004857C5" w:rsidRDefault="009C1CEA" w:rsidP="00CA442C">
      <w:pPr>
        <w:tabs>
          <w:tab w:val="left" w:pos="3600"/>
        </w:tabs>
        <w:spacing w:after="0" w:line="360" w:lineRule="auto"/>
        <w:jc w:val="center"/>
        <w:outlineLvl w:val="0"/>
        <w:rPr>
          <w:rFonts w:ascii="Times New Roman" w:hAnsi="Times New Roman"/>
          <w:bCs/>
          <w:color w:val="000000" w:themeColor="text1"/>
          <w:sz w:val="24"/>
          <w:szCs w:val="24"/>
        </w:rPr>
      </w:pPr>
      <w:r w:rsidRPr="004857C5">
        <w:rPr>
          <w:rFonts w:ascii="Times New Roman" w:hAnsi="Times New Roman"/>
          <w:bCs/>
          <w:color w:val="000000" w:themeColor="text1"/>
          <w:sz w:val="24"/>
          <w:szCs w:val="24"/>
          <w:u w:val="single"/>
        </w:rPr>
        <w:t>ORDER</w:t>
      </w:r>
    </w:p>
    <w:p w:rsidR="009E515F" w:rsidRDefault="009E515F" w:rsidP="00BF43B1">
      <w:pPr>
        <w:spacing w:after="0" w:line="360" w:lineRule="auto"/>
        <w:ind w:firstLine="1440"/>
        <w:rPr>
          <w:rFonts w:ascii="Times New Roman" w:hAnsi="Times New Roman"/>
          <w:color w:val="000000" w:themeColor="text1"/>
          <w:sz w:val="24"/>
          <w:szCs w:val="24"/>
        </w:rPr>
      </w:pPr>
    </w:p>
    <w:p w:rsidR="00B1007F" w:rsidRPr="004857C5" w:rsidRDefault="00B1007F" w:rsidP="00BF43B1">
      <w:pPr>
        <w:spacing w:after="0" w:line="360" w:lineRule="auto"/>
        <w:ind w:firstLine="1440"/>
        <w:rPr>
          <w:rFonts w:ascii="Times New Roman" w:hAnsi="Times New Roman"/>
          <w:color w:val="000000" w:themeColor="text1"/>
          <w:sz w:val="24"/>
          <w:szCs w:val="24"/>
        </w:rPr>
      </w:pPr>
    </w:p>
    <w:p w:rsidR="00772C6D" w:rsidRPr="004857C5" w:rsidRDefault="001F2DDC" w:rsidP="00772C6D">
      <w:pPr>
        <w:pStyle w:val="BodyText"/>
        <w:spacing w:after="0" w:line="360" w:lineRule="auto"/>
        <w:rPr>
          <w:color w:val="000000" w:themeColor="text1"/>
        </w:rPr>
      </w:pPr>
      <w:r>
        <w:rPr>
          <w:color w:val="000000" w:themeColor="text1"/>
        </w:rPr>
        <w:tab/>
      </w:r>
      <w:r>
        <w:rPr>
          <w:color w:val="000000" w:themeColor="text1"/>
        </w:rPr>
        <w:tab/>
      </w:r>
      <w:r w:rsidR="00772C6D" w:rsidRPr="004857C5">
        <w:rPr>
          <w:color w:val="000000" w:themeColor="text1"/>
        </w:rPr>
        <w:t>THEREFORE,</w:t>
      </w:r>
    </w:p>
    <w:p w:rsidR="00772C6D" w:rsidRPr="004857C5" w:rsidRDefault="00772C6D" w:rsidP="00772C6D">
      <w:pPr>
        <w:pStyle w:val="BodyText"/>
        <w:spacing w:after="0" w:line="360" w:lineRule="auto"/>
        <w:rPr>
          <w:color w:val="000000" w:themeColor="text1"/>
        </w:rPr>
      </w:pPr>
    </w:p>
    <w:p w:rsidR="00772C6D" w:rsidRPr="004857C5" w:rsidRDefault="00772C6D" w:rsidP="00772C6D">
      <w:pPr>
        <w:pStyle w:val="BodyText"/>
        <w:spacing w:after="0" w:line="360" w:lineRule="auto"/>
        <w:rPr>
          <w:color w:val="000000" w:themeColor="text1"/>
        </w:rPr>
      </w:pPr>
      <w:r w:rsidRPr="004857C5">
        <w:rPr>
          <w:color w:val="000000" w:themeColor="text1"/>
        </w:rPr>
        <w:tab/>
      </w:r>
      <w:r w:rsidRPr="004857C5">
        <w:rPr>
          <w:color w:val="000000" w:themeColor="text1"/>
        </w:rPr>
        <w:tab/>
        <w:t>IT IS ORDERED:</w:t>
      </w:r>
    </w:p>
    <w:p w:rsidR="00772C6D" w:rsidRPr="004857C5" w:rsidRDefault="00772C6D" w:rsidP="00772C6D">
      <w:pPr>
        <w:pStyle w:val="BodyText"/>
        <w:spacing w:after="0" w:line="360" w:lineRule="auto"/>
        <w:rPr>
          <w:color w:val="000000" w:themeColor="text1"/>
        </w:rPr>
      </w:pPr>
    </w:p>
    <w:p w:rsidR="00772C6D" w:rsidRPr="004857C5" w:rsidRDefault="00772C6D" w:rsidP="00772C6D">
      <w:pPr>
        <w:pStyle w:val="BodyText"/>
        <w:spacing w:after="0" w:line="360" w:lineRule="auto"/>
        <w:rPr>
          <w:color w:val="000000" w:themeColor="text1"/>
        </w:rPr>
      </w:pPr>
      <w:r w:rsidRPr="004857C5">
        <w:rPr>
          <w:color w:val="000000" w:themeColor="text1"/>
        </w:rPr>
        <w:tab/>
      </w:r>
      <w:r w:rsidRPr="004857C5">
        <w:rPr>
          <w:color w:val="000000" w:themeColor="text1"/>
        </w:rPr>
        <w:tab/>
        <w:t>1.</w:t>
      </w:r>
      <w:r w:rsidRPr="004857C5">
        <w:rPr>
          <w:color w:val="000000" w:themeColor="text1"/>
        </w:rPr>
        <w:tab/>
        <w:t xml:space="preserve">That </w:t>
      </w:r>
      <w:r w:rsidR="001F2DDC">
        <w:rPr>
          <w:color w:val="000000" w:themeColor="text1"/>
        </w:rPr>
        <w:t xml:space="preserve">the </w:t>
      </w:r>
      <w:r w:rsidRPr="004857C5">
        <w:rPr>
          <w:color w:val="000000" w:themeColor="text1"/>
        </w:rPr>
        <w:t xml:space="preserve">Preliminary Objections of Philadelphia Gas Works are </w:t>
      </w:r>
      <w:r w:rsidR="001E0D25">
        <w:rPr>
          <w:color w:val="000000" w:themeColor="text1"/>
        </w:rPr>
        <w:t>granted</w:t>
      </w:r>
      <w:r w:rsidRPr="004857C5">
        <w:rPr>
          <w:color w:val="000000" w:themeColor="text1"/>
        </w:rPr>
        <w:t>.</w:t>
      </w:r>
    </w:p>
    <w:p w:rsidR="00772C6D" w:rsidRPr="004857C5" w:rsidRDefault="00772C6D" w:rsidP="00772C6D">
      <w:pPr>
        <w:pStyle w:val="BodyText"/>
        <w:spacing w:after="0" w:line="360" w:lineRule="auto"/>
        <w:rPr>
          <w:color w:val="000000" w:themeColor="text1"/>
        </w:rPr>
      </w:pPr>
    </w:p>
    <w:p w:rsidR="00772C6D" w:rsidRPr="004857C5" w:rsidRDefault="00772C6D" w:rsidP="00772C6D">
      <w:pPr>
        <w:pStyle w:val="BodyText"/>
        <w:spacing w:after="0" w:line="360" w:lineRule="auto"/>
        <w:rPr>
          <w:color w:val="000000" w:themeColor="text1"/>
        </w:rPr>
      </w:pPr>
      <w:r w:rsidRPr="004857C5">
        <w:rPr>
          <w:color w:val="000000" w:themeColor="text1"/>
        </w:rPr>
        <w:tab/>
      </w:r>
      <w:r w:rsidRPr="004857C5">
        <w:rPr>
          <w:color w:val="000000" w:themeColor="text1"/>
        </w:rPr>
        <w:tab/>
        <w:t>2.</w:t>
      </w:r>
      <w:r w:rsidRPr="004857C5">
        <w:rPr>
          <w:color w:val="000000" w:themeColor="text1"/>
        </w:rPr>
        <w:tab/>
        <w:t xml:space="preserve">That the </w:t>
      </w:r>
      <w:r w:rsidR="001F2DDC">
        <w:rPr>
          <w:color w:val="000000" w:themeColor="text1"/>
        </w:rPr>
        <w:t>Complaint</w:t>
      </w:r>
      <w:r w:rsidRPr="004857C5">
        <w:rPr>
          <w:color w:val="000000" w:themeColor="text1"/>
        </w:rPr>
        <w:t xml:space="preserve"> filed by </w:t>
      </w:r>
      <w:r w:rsidR="0058335D">
        <w:rPr>
          <w:color w:val="000000" w:themeColor="text1"/>
        </w:rPr>
        <w:t xml:space="preserve">Emerald Housing Resources, LLC </w:t>
      </w:r>
      <w:r w:rsidRPr="004857C5">
        <w:rPr>
          <w:color w:val="000000" w:themeColor="text1"/>
        </w:rPr>
        <w:t xml:space="preserve">against Philadelphia Gas Works at Docket No. </w:t>
      </w:r>
      <w:r w:rsidR="009863B3" w:rsidRPr="004857C5">
        <w:rPr>
          <w:color w:val="000000" w:themeColor="text1"/>
        </w:rPr>
        <w:t>C-2015-247</w:t>
      </w:r>
      <w:r w:rsidR="0058335D">
        <w:rPr>
          <w:color w:val="000000" w:themeColor="text1"/>
        </w:rPr>
        <w:t>5950</w:t>
      </w:r>
      <w:r w:rsidR="009863B3" w:rsidRPr="004857C5">
        <w:rPr>
          <w:color w:val="000000" w:themeColor="text1"/>
        </w:rPr>
        <w:t xml:space="preserve"> </w:t>
      </w:r>
      <w:r w:rsidRPr="004857C5">
        <w:rPr>
          <w:color w:val="000000" w:themeColor="text1"/>
        </w:rPr>
        <w:t xml:space="preserve">is </w:t>
      </w:r>
      <w:r w:rsidR="001F2DDC">
        <w:rPr>
          <w:color w:val="000000" w:themeColor="text1"/>
        </w:rPr>
        <w:t xml:space="preserve">denied and </w:t>
      </w:r>
      <w:r w:rsidRPr="004857C5">
        <w:rPr>
          <w:color w:val="000000" w:themeColor="text1"/>
        </w:rPr>
        <w:t>dismissed.</w:t>
      </w:r>
    </w:p>
    <w:p w:rsidR="00772C6D" w:rsidRPr="004857C5" w:rsidRDefault="00772C6D" w:rsidP="00772C6D">
      <w:pPr>
        <w:pStyle w:val="BodyText"/>
        <w:spacing w:after="0" w:line="360" w:lineRule="auto"/>
        <w:rPr>
          <w:color w:val="000000" w:themeColor="text1"/>
        </w:rPr>
      </w:pPr>
    </w:p>
    <w:p w:rsidR="00772C6D" w:rsidRDefault="00772C6D" w:rsidP="00772C6D">
      <w:pPr>
        <w:pStyle w:val="BodyText"/>
        <w:spacing w:after="0" w:line="360" w:lineRule="auto"/>
        <w:rPr>
          <w:color w:val="000000" w:themeColor="text1"/>
        </w:rPr>
      </w:pPr>
      <w:r w:rsidRPr="004857C5">
        <w:rPr>
          <w:color w:val="000000" w:themeColor="text1"/>
        </w:rPr>
        <w:tab/>
      </w:r>
      <w:r w:rsidRPr="004857C5">
        <w:rPr>
          <w:color w:val="000000" w:themeColor="text1"/>
        </w:rPr>
        <w:tab/>
        <w:t>3.</w:t>
      </w:r>
      <w:r w:rsidRPr="004857C5">
        <w:rPr>
          <w:color w:val="000000" w:themeColor="text1"/>
        </w:rPr>
        <w:tab/>
        <w:t xml:space="preserve">That the Secretary mark this </w:t>
      </w:r>
      <w:r w:rsidR="001F2DDC">
        <w:rPr>
          <w:color w:val="000000" w:themeColor="text1"/>
        </w:rPr>
        <w:t xml:space="preserve">matter </w:t>
      </w:r>
      <w:r w:rsidRPr="004857C5">
        <w:rPr>
          <w:color w:val="000000" w:themeColor="text1"/>
        </w:rPr>
        <w:t>closed.</w:t>
      </w:r>
    </w:p>
    <w:p w:rsidR="003761D4" w:rsidRPr="004857C5" w:rsidRDefault="003761D4" w:rsidP="00772C6D">
      <w:pPr>
        <w:pStyle w:val="BodyText"/>
        <w:spacing w:after="0" w:line="360" w:lineRule="auto"/>
        <w:rPr>
          <w:color w:val="000000" w:themeColor="text1"/>
        </w:rPr>
      </w:pPr>
    </w:p>
    <w:p w:rsidR="00772C6D" w:rsidRPr="004857C5" w:rsidRDefault="00772C6D" w:rsidP="00772C6D">
      <w:pPr>
        <w:pStyle w:val="BodyText"/>
        <w:spacing w:after="0" w:line="360" w:lineRule="auto"/>
        <w:rPr>
          <w:color w:val="000000" w:themeColor="text1"/>
        </w:rPr>
      </w:pPr>
    </w:p>
    <w:p w:rsidR="00772C6D" w:rsidRPr="004857C5" w:rsidRDefault="00772C6D" w:rsidP="00772C6D">
      <w:pPr>
        <w:pStyle w:val="BodyText"/>
        <w:spacing w:after="0"/>
        <w:rPr>
          <w:color w:val="000000" w:themeColor="text1"/>
        </w:rPr>
      </w:pPr>
      <w:r w:rsidRPr="004857C5">
        <w:rPr>
          <w:color w:val="000000" w:themeColor="text1"/>
        </w:rPr>
        <w:t>Dated:</w:t>
      </w:r>
      <w:r w:rsidRPr="004857C5">
        <w:rPr>
          <w:color w:val="000000" w:themeColor="text1"/>
        </w:rPr>
        <w:tab/>
      </w:r>
      <w:r w:rsidR="00745DDC">
        <w:rPr>
          <w:color w:val="000000" w:themeColor="text1"/>
          <w:u w:val="single"/>
        </w:rPr>
        <w:t xml:space="preserve">June </w:t>
      </w:r>
      <w:r w:rsidR="0058335D">
        <w:rPr>
          <w:color w:val="000000" w:themeColor="text1"/>
          <w:u w:val="single"/>
        </w:rPr>
        <w:t>4</w:t>
      </w:r>
      <w:r w:rsidRPr="001F2DDC">
        <w:rPr>
          <w:color w:val="000000" w:themeColor="text1"/>
          <w:u w:val="single"/>
        </w:rPr>
        <w:t>, 2015</w:t>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00B51C54">
        <w:rPr>
          <w:color w:val="000000" w:themeColor="text1"/>
          <w:u w:val="single"/>
        </w:rPr>
        <w:tab/>
      </w:r>
      <w:r w:rsidR="00B51C54">
        <w:rPr>
          <w:color w:val="000000" w:themeColor="text1"/>
          <w:u w:val="single"/>
        </w:rPr>
        <w:tab/>
        <w:t>/s/</w:t>
      </w:r>
      <w:r w:rsidR="00B51C54">
        <w:rPr>
          <w:color w:val="000000" w:themeColor="text1"/>
          <w:u w:val="single"/>
        </w:rPr>
        <w:tab/>
      </w:r>
      <w:r w:rsidR="00B51C54">
        <w:rPr>
          <w:color w:val="000000" w:themeColor="text1"/>
          <w:u w:val="single"/>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Pr="004857C5">
        <w:rPr>
          <w:color w:val="000000" w:themeColor="text1"/>
        </w:rPr>
        <w:tab/>
      </w:r>
      <w:r w:rsidR="001F2DDC">
        <w:rPr>
          <w:color w:val="000000" w:themeColor="text1"/>
        </w:rPr>
        <w:tab/>
      </w:r>
      <w:r w:rsidRPr="004857C5">
        <w:rPr>
          <w:color w:val="000000" w:themeColor="text1"/>
        </w:rPr>
        <w:t>Elizabeth H. Barnes</w:t>
      </w:r>
    </w:p>
    <w:p w:rsidR="00AE7C47" w:rsidRPr="006C3D9F" w:rsidRDefault="00772C6D" w:rsidP="006C3D9F">
      <w:pPr>
        <w:pStyle w:val="BodyText"/>
        <w:spacing w:after="0"/>
        <w:rPr>
          <w:color w:val="000000" w:themeColor="text1"/>
        </w:rPr>
      </w:pPr>
      <w:r w:rsidRPr="004857C5">
        <w:rPr>
          <w:color w:val="000000" w:themeColor="text1"/>
        </w:rPr>
        <w:tab/>
      </w:r>
      <w:r w:rsidR="006C3D9F">
        <w:rPr>
          <w:color w:val="000000" w:themeColor="text1"/>
        </w:rPr>
        <w:tab/>
      </w:r>
      <w:r w:rsidR="006C3D9F">
        <w:rPr>
          <w:color w:val="000000" w:themeColor="text1"/>
        </w:rPr>
        <w:tab/>
      </w:r>
      <w:r w:rsidR="006C3D9F">
        <w:rPr>
          <w:color w:val="000000" w:themeColor="text1"/>
        </w:rPr>
        <w:tab/>
      </w:r>
      <w:r w:rsidR="006C3D9F">
        <w:rPr>
          <w:color w:val="000000" w:themeColor="text1"/>
        </w:rPr>
        <w:tab/>
      </w:r>
      <w:r w:rsidR="006C3D9F">
        <w:rPr>
          <w:color w:val="000000" w:themeColor="text1"/>
        </w:rPr>
        <w:tab/>
      </w:r>
      <w:r w:rsidR="006C3D9F">
        <w:rPr>
          <w:color w:val="000000" w:themeColor="text1"/>
        </w:rPr>
        <w:tab/>
      </w:r>
      <w:r w:rsidR="006C3D9F">
        <w:rPr>
          <w:color w:val="000000" w:themeColor="text1"/>
        </w:rPr>
        <w:tab/>
        <w:t>Administrative Law Judge</w:t>
      </w:r>
    </w:p>
    <w:sectPr w:rsidR="00AE7C47" w:rsidRPr="006C3D9F" w:rsidSect="000E5C93">
      <w:footerReference w:type="default" r:id="rId9"/>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F91" w:rsidRDefault="00173F91">
      <w:pPr>
        <w:spacing w:after="0" w:line="240" w:lineRule="auto"/>
      </w:pPr>
      <w:r>
        <w:separator/>
      </w:r>
    </w:p>
  </w:endnote>
  <w:endnote w:type="continuationSeparator" w:id="0">
    <w:p w:rsidR="00173F91" w:rsidRDefault="0017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688754111"/>
      <w:docPartObj>
        <w:docPartGallery w:val="Page Numbers (Bottom of Page)"/>
        <w:docPartUnique/>
      </w:docPartObj>
    </w:sdtPr>
    <w:sdtEndPr>
      <w:rPr>
        <w:noProof/>
      </w:rPr>
    </w:sdtEndPr>
    <w:sdtContent>
      <w:p w:rsidR="007D6B46" w:rsidRPr="007E1B39" w:rsidRDefault="007D6B46" w:rsidP="007E1B39">
        <w:pPr>
          <w:pStyle w:val="Footer"/>
          <w:jc w:val="center"/>
          <w:rPr>
            <w:rFonts w:ascii="Times New Roman" w:hAnsi="Times New Roman"/>
            <w:sz w:val="20"/>
            <w:szCs w:val="20"/>
          </w:rPr>
        </w:pPr>
        <w:r w:rsidRPr="007E1B39">
          <w:rPr>
            <w:rFonts w:ascii="Times New Roman" w:hAnsi="Times New Roman"/>
            <w:sz w:val="20"/>
            <w:szCs w:val="20"/>
          </w:rPr>
          <w:fldChar w:fldCharType="begin"/>
        </w:r>
        <w:r w:rsidRPr="007E1B39">
          <w:rPr>
            <w:rFonts w:ascii="Times New Roman" w:hAnsi="Times New Roman"/>
            <w:sz w:val="20"/>
            <w:szCs w:val="20"/>
          </w:rPr>
          <w:instrText xml:space="preserve"> PAGE   \* MERGEFORMAT </w:instrText>
        </w:r>
        <w:r w:rsidRPr="007E1B39">
          <w:rPr>
            <w:rFonts w:ascii="Times New Roman" w:hAnsi="Times New Roman"/>
            <w:sz w:val="20"/>
            <w:szCs w:val="20"/>
          </w:rPr>
          <w:fldChar w:fldCharType="separate"/>
        </w:r>
        <w:r w:rsidR="00F04129">
          <w:rPr>
            <w:rFonts w:ascii="Times New Roman" w:hAnsi="Times New Roman"/>
            <w:noProof/>
            <w:sz w:val="20"/>
            <w:szCs w:val="20"/>
          </w:rPr>
          <w:t>12</w:t>
        </w:r>
        <w:r w:rsidRPr="007E1B39">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F91" w:rsidRDefault="00173F91" w:rsidP="00B51C54">
      <w:pPr>
        <w:spacing w:after="0" w:line="240" w:lineRule="auto"/>
      </w:pPr>
      <w:r>
        <w:separator/>
      </w:r>
    </w:p>
  </w:footnote>
  <w:footnote w:type="continuationSeparator" w:id="0">
    <w:p w:rsidR="00173F91" w:rsidRDefault="00173F91">
      <w:pPr>
        <w:spacing w:after="0" w:line="240" w:lineRule="auto"/>
      </w:pPr>
      <w:r>
        <w:continuationSeparator/>
      </w:r>
    </w:p>
  </w:footnote>
  <w:footnote w:type="continuationNotice" w:id="1">
    <w:p w:rsidR="00173F91" w:rsidRDefault="00173F91">
      <w:pPr>
        <w:spacing w:after="0" w:line="240" w:lineRule="auto"/>
      </w:pPr>
    </w:p>
  </w:footnote>
  <w:footnote w:id="2">
    <w:p w:rsidR="007D6B46" w:rsidRDefault="007D6B46" w:rsidP="000E5C93">
      <w:pPr>
        <w:spacing w:after="0"/>
        <w:rPr>
          <w:rFonts w:ascii="Times New Roman" w:hAnsi="Times New Roman"/>
          <w:sz w:val="20"/>
          <w:szCs w:val="20"/>
        </w:rPr>
      </w:pPr>
      <w:r>
        <w:rPr>
          <w:sz w:val="20"/>
          <w:szCs w:val="20"/>
        </w:rPr>
        <w:tab/>
      </w:r>
      <w:r w:rsidRPr="00E2446D">
        <w:rPr>
          <w:rStyle w:val="FootnoteReference"/>
          <w:rFonts w:ascii="Times New Roman" w:hAnsi="Times New Roman"/>
          <w:sz w:val="20"/>
          <w:szCs w:val="20"/>
        </w:rPr>
        <w:footnoteRef/>
      </w:r>
      <w:r w:rsidRPr="00E2446D">
        <w:rPr>
          <w:rFonts w:ascii="Times New Roman" w:hAnsi="Times New Roman"/>
          <w:sz w:val="20"/>
          <w:szCs w:val="20"/>
        </w:rPr>
        <w:t xml:space="preserve"> </w:t>
      </w:r>
      <w:r w:rsidRPr="00E2446D">
        <w:rPr>
          <w:rFonts w:ascii="Times New Roman" w:hAnsi="Times New Roman"/>
          <w:sz w:val="20"/>
          <w:szCs w:val="20"/>
        </w:rPr>
        <w:tab/>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E2446D">
        <w:rPr>
          <w:rFonts w:ascii="Times New Roman" w:hAnsi="Times New Roman"/>
          <w:i/>
          <w:sz w:val="20"/>
          <w:szCs w:val="20"/>
        </w:rPr>
        <w:t>Newberry Twp. v. Stambaugh</w:t>
      </w:r>
      <w:r w:rsidRPr="00E2446D">
        <w:rPr>
          <w:rFonts w:ascii="Times New Roman" w:hAnsi="Times New Roman"/>
          <w:sz w:val="20"/>
          <w:szCs w:val="20"/>
        </w:rPr>
        <w:t>, 848 A.2d 173 (Pa.Cmwlth. 2004), app. denied, 580 Pa. 708, 860 A.2d 491 (2004), 53 P.S. §§ 7106(c), 7283.  Ultimate recovery of the amount of the municipal claims resulting in the lien is effectuated by a court ordered sheriff’s sale.  53 P.S. § 7283.</w:t>
      </w:r>
    </w:p>
    <w:p w:rsidR="000E5C93" w:rsidRPr="00E2446D" w:rsidRDefault="000E5C93" w:rsidP="000E5C93">
      <w:pPr>
        <w:spacing w:after="0"/>
        <w:rPr>
          <w:rFonts w:ascii="Times New Roman" w:hAnsi="Times New Roman"/>
          <w:sz w:val="20"/>
          <w:szCs w:val="20"/>
        </w:rPr>
      </w:pPr>
    </w:p>
    <w:p w:rsidR="007D6B46" w:rsidRPr="00E2446D" w:rsidRDefault="007D6B46" w:rsidP="000E5C93">
      <w:pPr>
        <w:spacing w:after="0"/>
        <w:ind w:firstLine="1440"/>
        <w:rPr>
          <w:rFonts w:ascii="Times New Roman" w:hAnsi="Times New Roman"/>
          <w:sz w:val="20"/>
          <w:szCs w:val="20"/>
        </w:rPr>
      </w:pPr>
      <w:r w:rsidRPr="00E2446D">
        <w:rPr>
          <w:rFonts w:ascii="Times New Roman" w:hAnsi="Times New Roman"/>
          <w:sz w:val="20"/>
          <w:szCs w:val="20"/>
        </w:rPr>
        <w:t xml:space="preserve">The proceeding to obtain and enforce the City’s municipal claim lien is an </w:t>
      </w:r>
      <w:r w:rsidRPr="00E2446D">
        <w:rPr>
          <w:rFonts w:ascii="Times New Roman" w:hAnsi="Times New Roman"/>
          <w:i/>
          <w:sz w:val="20"/>
          <w:szCs w:val="20"/>
        </w:rPr>
        <w:t>in rem</w:t>
      </w:r>
      <w:r w:rsidRPr="00E2446D">
        <w:rPr>
          <w:rFonts w:ascii="Times New Roman" w:hAnsi="Times New Roman"/>
          <w:sz w:val="20"/>
          <w:szCs w:val="20"/>
        </w:rPr>
        <w:t xml:space="preserve"> proceeding.  “Accordingly, the lien is either valid or invalid as to the property in question rather than as to the respective property interests involved.”  </w:t>
      </w:r>
      <w:r w:rsidRPr="00E2446D">
        <w:rPr>
          <w:rFonts w:ascii="Times New Roman" w:hAnsi="Times New Roman"/>
          <w:i/>
          <w:sz w:val="20"/>
          <w:szCs w:val="20"/>
        </w:rPr>
        <w:t>Borough of Towanda v. Brannaka</w:t>
      </w:r>
      <w:r w:rsidRPr="00E2446D">
        <w:rPr>
          <w:rFonts w:ascii="Times New Roman" w:hAnsi="Times New Roman"/>
          <w:sz w:val="20"/>
          <w:szCs w:val="20"/>
        </w:rPr>
        <w:t xml:space="preserve">, 61 Pa.Cmwlth. 622; 625-626, 434 A.2d 889; 891 (1981).  What this means is that the Premises, not complainant nor her tenant, is responsible for satisfying the claim secured by the municipal lien.  No personal responsibility is asserted against the complainant by the filing of the lien on the Premises.  </w:t>
      </w:r>
      <w:r w:rsidRPr="00E2446D">
        <w:rPr>
          <w:rFonts w:ascii="Times New Roman" w:hAnsi="Times New Roman"/>
          <w:i/>
          <w:sz w:val="20"/>
          <w:szCs w:val="20"/>
        </w:rPr>
        <w:t>Philadelphia v. Northwood Textile Mills, Inc.</w:t>
      </w:r>
      <w:r w:rsidRPr="00E2446D">
        <w:rPr>
          <w:rFonts w:ascii="Times New Roman" w:hAnsi="Times New Roman"/>
          <w:sz w:val="20"/>
          <w:szCs w:val="20"/>
        </w:rPr>
        <w:t xml:space="preserve">, 395 Pa. 112, 149 A.2d 60 (1959).  See, also, </w:t>
      </w:r>
      <w:r w:rsidRPr="00E2446D">
        <w:rPr>
          <w:rFonts w:ascii="Times New Roman" w:hAnsi="Times New Roman"/>
          <w:i/>
          <w:sz w:val="20"/>
          <w:szCs w:val="20"/>
        </w:rPr>
        <w:t>Ransom v. Marrazzo</w:t>
      </w:r>
      <w:r w:rsidRPr="00E2446D">
        <w:rPr>
          <w:rFonts w:ascii="Times New Roman" w:hAnsi="Times New Roman"/>
          <w:sz w:val="20"/>
          <w:szCs w:val="20"/>
        </w:rPr>
        <w:t>, 848 F.2d 398 (3d Cir. 1988).</w:t>
      </w:r>
    </w:p>
    <w:p w:rsidR="007D6B46" w:rsidRPr="006C65C0" w:rsidRDefault="007D6B46" w:rsidP="000E5C93">
      <w:pPr>
        <w:pStyle w:val="FootnoteText"/>
        <w:rPr>
          <w:rFonts w:ascii="Times New Roman" w:hAnsi="Times New Roman"/>
          <w:u w:val="single"/>
        </w:rPr>
      </w:pPr>
    </w:p>
  </w:footnote>
  <w:footnote w:id="3">
    <w:p w:rsidR="007D6B46" w:rsidRPr="00E2446D" w:rsidRDefault="00EB1359" w:rsidP="000E5C93">
      <w:pPr>
        <w:pStyle w:val="Footer"/>
        <w:tabs>
          <w:tab w:val="clear" w:pos="4680"/>
          <w:tab w:val="clear" w:pos="9360"/>
        </w:tabs>
        <w:rPr>
          <w:rFonts w:ascii="Times New Roman" w:hAnsi="Times New Roman"/>
          <w:sz w:val="20"/>
        </w:rPr>
      </w:pPr>
      <w:r>
        <w:rPr>
          <w:rFonts w:ascii="Times New Roman" w:hAnsi="Times New Roman"/>
        </w:rPr>
        <w:tab/>
      </w:r>
      <w:r w:rsidR="007D6B46" w:rsidRPr="00E2446D">
        <w:rPr>
          <w:rStyle w:val="FootnoteReference"/>
          <w:rFonts w:ascii="Times New Roman" w:hAnsi="Times New Roman"/>
        </w:rPr>
        <w:footnoteRef/>
      </w:r>
      <w:r w:rsidR="007D6B46" w:rsidRPr="00E2446D">
        <w:rPr>
          <w:rFonts w:ascii="Times New Roman" w:hAnsi="Times New Roman"/>
        </w:rPr>
        <w:t xml:space="preserve"> </w:t>
      </w:r>
      <w:r>
        <w:rPr>
          <w:rFonts w:ascii="Times New Roman" w:hAnsi="Times New Roman"/>
        </w:rPr>
        <w:tab/>
      </w:r>
      <w:r w:rsidR="007D6B46">
        <w:rPr>
          <w:rFonts w:ascii="Times New Roman" w:hAnsi="Times New Roman"/>
        </w:rPr>
        <w:t>T</w:t>
      </w:r>
      <w:r w:rsidR="007D6B46" w:rsidRPr="00E2446D">
        <w:rPr>
          <w:rFonts w:ascii="Times New Roman" w:hAnsi="Times New Roman"/>
          <w:sz w:val="20"/>
        </w:rPr>
        <w:t xml:space="preserve">he Commission does have jurisdiction over municipalities providing utility service outside their municipal boundaries, but only as to the public utility service being rendered.  </w:t>
      </w:r>
      <w:r w:rsidR="007D6B46" w:rsidRPr="00E2446D">
        <w:rPr>
          <w:rFonts w:ascii="Times New Roman" w:hAnsi="Times New Roman"/>
          <w:i/>
          <w:sz w:val="20"/>
        </w:rPr>
        <w:t>Petition of Borough of Boyertown</w:t>
      </w:r>
      <w:r w:rsidR="007D6B46" w:rsidRPr="00E2446D">
        <w:rPr>
          <w:rFonts w:ascii="Times New Roman" w:hAnsi="Times New Roman"/>
          <w:sz w:val="20"/>
        </w:rPr>
        <w:t>, 77 Pa.Cmwlth. 357, 466 A.2d 239 (1983).  The case at bar does not involve municipality provided extra-territorial utility service.</w:t>
      </w:r>
    </w:p>
    <w:p w:rsidR="007D6B46" w:rsidRDefault="007D6B46" w:rsidP="00C64F5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78"/>
    <w:multiLevelType w:val="hybridMultilevel"/>
    <w:tmpl w:val="9C5C1C08"/>
    <w:lvl w:ilvl="0" w:tplc="DB4C6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A26945"/>
    <w:multiLevelType w:val="hybridMultilevel"/>
    <w:tmpl w:val="8696CE68"/>
    <w:lvl w:ilvl="0" w:tplc="2150474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52181A"/>
    <w:multiLevelType w:val="hybridMultilevel"/>
    <w:tmpl w:val="9B7A46B4"/>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CE3C11"/>
    <w:multiLevelType w:val="hybridMultilevel"/>
    <w:tmpl w:val="CA6C0BD6"/>
    <w:lvl w:ilvl="0" w:tplc="CBE47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5A"/>
    <w:rsid w:val="0000162F"/>
    <w:rsid w:val="00034822"/>
    <w:rsid w:val="00040372"/>
    <w:rsid w:val="0006796D"/>
    <w:rsid w:val="00074B48"/>
    <w:rsid w:val="00076D4B"/>
    <w:rsid w:val="00095ABA"/>
    <w:rsid w:val="000B31C3"/>
    <w:rsid w:val="000B3CCA"/>
    <w:rsid w:val="000B5A1E"/>
    <w:rsid w:val="000B74F8"/>
    <w:rsid w:val="000C14DA"/>
    <w:rsid w:val="000C62AC"/>
    <w:rsid w:val="000D3BD4"/>
    <w:rsid w:val="000E1F2A"/>
    <w:rsid w:val="000E5C93"/>
    <w:rsid w:val="00102BA6"/>
    <w:rsid w:val="00105B93"/>
    <w:rsid w:val="00115253"/>
    <w:rsid w:val="00143F76"/>
    <w:rsid w:val="00146B94"/>
    <w:rsid w:val="00155FC1"/>
    <w:rsid w:val="00165141"/>
    <w:rsid w:val="001663FA"/>
    <w:rsid w:val="00166552"/>
    <w:rsid w:val="00173F91"/>
    <w:rsid w:val="00185C5D"/>
    <w:rsid w:val="001902E8"/>
    <w:rsid w:val="00194D22"/>
    <w:rsid w:val="001C2569"/>
    <w:rsid w:val="001E0D25"/>
    <w:rsid w:val="001E7305"/>
    <w:rsid w:val="001F0990"/>
    <w:rsid w:val="001F246E"/>
    <w:rsid w:val="001F2DDC"/>
    <w:rsid w:val="001F443B"/>
    <w:rsid w:val="00210597"/>
    <w:rsid w:val="00213A95"/>
    <w:rsid w:val="00214292"/>
    <w:rsid w:val="002179FB"/>
    <w:rsid w:val="002209C6"/>
    <w:rsid w:val="00220A70"/>
    <w:rsid w:val="00222694"/>
    <w:rsid w:val="00227300"/>
    <w:rsid w:val="00235EBC"/>
    <w:rsid w:val="00242AA5"/>
    <w:rsid w:val="002513E7"/>
    <w:rsid w:val="0025784C"/>
    <w:rsid w:val="0026291D"/>
    <w:rsid w:val="002730ED"/>
    <w:rsid w:val="00291BD1"/>
    <w:rsid w:val="002B1D1D"/>
    <w:rsid w:val="002B2DEA"/>
    <w:rsid w:val="002B64B5"/>
    <w:rsid w:val="002D0200"/>
    <w:rsid w:val="002D4420"/>
    <w:rsid w:val="002D5F28"/>
    <w:rsid w:val="002D6C1C"/>
    <w:rsid w:val="002E1BC6"/>
    <w:rsid w:val="002F5032"/>
    <w:rsid w:val="00301858"/>
    <w:rsid w:val="0032054D"/>
    <w:rsid w:val="00321BF9"/>
    <w:rsid w:val="003346E3"/>
    <w:rsid w:val="00341D08"/>
    <w:rsid w:val="003761D4"/>
    <w:rsid w:val="0037742D"/>
    <w:rsid w:val="0038363E"/>
    <w:rsid w:val="003A4D46"/>
    <w:rsid w:val="003A6965"/>
    <w:rsid w:val="003B0D89"/>
    <w:rsid w:val="003C50BA"/>
    <w:rsid w:val="003D186D"/>
    <w:rsid w:val="003E777A"/>
    <w:rsid w:val="003F6B3A"/>
    <w:rsid w:val="003F7F0A"/>
    <w:rsid w:val="00406E3F"/>
    <w:rsid w:val="0041162F"/>
    <w:rsid w:val="004146E2"/>
    <w:rsid w:val="00424E80"/>
    <w:rsid w:val="004303F2"/>
    <w:rsid w:val="00452DD2"/>
    <w:rsid w:val="004533E4"/>
    <w:rsid w:val="00462584"/>
    <w:rsid w:val="00464962"/>
    <w:rsid w:val="00485172"/>
    <w:rsid w:val="004851E7"/>
    <w:rsid w:val="004857C5"/>
    <w:rsid w:val="00485DF0"/>
    <w:rsid w:val="004908E8"/>
    <w:rsid w:val="00491B9C"/>
    <w:rsid w:val="00493917"/>
    <w:rsid w:val="004A4941"/>
    <w:rsid w:val="004A63E1"/>
    <w:rsid w:val="004B0841"/>
    <w:rsid w:val="004B2FE3"/>
    <w:rsid w:val="004C0D28"/>
    <w:rsid w:val="004C5B8E"/>
    <w:rsid w:val="005077B7"/>
    <w:rsid w:val="005146EC"/>
    <w:rsid w:val="00516F6D"/>
    <w:rsid w:val="00517605"/>
    <w:rsid w:val="00536F93"/>
    <w:rsid w:val="00540CD1"/>
    <w:rsid w:val="00544F94"/>
    <w:rsid w:val="0054655A"/>
    <w:rsid w:val="005565BD"/>
    <w:rsid w:val="005612D8"/>
    <w:rsid w:val="005640A6"/>
    <w:rsid w:val="0057134D"/>
    <w:rsid w:val="0058335D"/>
    <w:rsid w:val="00586A9C"/>
    <w:rsid w:val="0058749F"/>
    <w:rsid w:val="0059093B"/>
    <w:rsid w:val="005A39DB"/>
    <w:rsid w:val="005A7719"/>
    <w:rsid w:val="005A7CED"/>
    <w:rsid w:val="005B7F82"/>
    <w:rsid w:val="005C2DA6"/>
    <w:rsid w:val="005C31AB"/>
    <w:rsid w:val="005C69A4"/>
    <w:rsid w:val="005D0508"/>
    <w:rsid w:val="005F49FC"/>
    <w:rsid w:val="006046B4"/>
    <w:rsid w:val="00604AAB"/>
    <w:rsid w:val="00611E7D"/>
    <w:rsid w:val="0062652F"/>
    <w:rsid w:val="006362AA"/>
    <w:rsid w:val="006379AC"/>
    <w:rsid w:val="006401D1"/>
    <w:rsid w:val="00644B9A"/>
    <w:rsid w:val="00645BC1"/>
    <w:rsid w:val="006471B4"/>
    <w:rsid w:val="00654567"/>
    <w:rsid w:val="00664A4B"/>
    <w:rsid w:val="00692618"/>
    <w:rsid w:val="006A0020"/>
    <w:rsid w:val="006B5276"/>
    <w:rsid w:val="006C3BAA"/>
    <w:rsid w:val="006C3D9F"/>
    <w:rsid w:val="006C3E53"/>
    <w:rsid w:val="006C65C0"/>
    <w:rsid w:val="006D3A56"/>
    <w:rsid w:val="006D3E74"/>
    <w:rsid w:val="006E1910"/>
    <w:rsid w:val="006E7E98"/>
    <w:rsid w:val="00724E51"/>
    <w:rsid w:val="007456DA"/>
    <w:rsid w:val="00745DDC"/>
    <w:rsid w:val="0075275A"/>
    <w:rsid w:val="00772C6D"/>
    <w:rsid w:val="007734E3"/>
    <w:rsid w:val="00775ED1"/>
    <w:rsid w:val="007879DE"/>
    <w:rsid w:val="00794389"/>
    <w:rsid w:val="007A3331"/>
    <w:rsid w:val="007A56D9"/>
    <w:rsid w:val="007B304A"/>
    <w:rsid w:val="007B548A"/>
    <w:rsid w:val="007D6B46"/>
    <w:rsid w:val="007E1B39"/>
    <w:rsid w:val="007F32F6"/>
    <w:rsid w:val="008066E5"/>
    <w:rsid w:val="00814870"/>
    <w:rsid w:val="00816BB0"/>
    <w:rsid w:val="0082481E"/>
    <w:rsid w:val="008248C3"/>
    <w:rsid w:val="00827272"/>
    <w:rsid w:val="00830ED8"/>
    <w:rsid w:val="0083206A"/>
    <w:rsid w:val="00841634"/>
    <w:rsid w:val="00841D3B"/>
    <w:rsid w:val="0084670B"/>
    <w:rsid w:val="00846E27"/>
    <w:rsid w:val="00857D8F"/>
    <w:rsid w:val="00861508"/>
    <w:rsid w:val="00867B00"/>
    <w:rsid w:val="0087522A"/>
    <w:rsid w:val="008817AE"/>
    <w:rsid w:val="008921E8"/>
    <w:rsid w:val="0089302A"/>
    <w:rsid w:val="008D5AD9"/>
    <w:rsid w:val="008F5ED2"/>
    <w:rsid w:val="0090038E"/>
    <w:rsid w:val="00902D43"/>
    <w:rsid w:val="00906362"/>
    <w:rsid w:val="00915A1B"/>
    <w:rsid w:val="00923C07"/>
    <w:rsid w:val="0092556E"/>
    <w:rsid w:val="009428B3"/>
    <w:rsid w:val="00946F41"/>
    <w:rsid w:val="00957915"/>
    <w:rsid w:val="00965813"/>
    <w:rsid w:val="0096747A"/>
    <w:rsid w:val="0097326C"/>
    <w:rsid w:val="009733F8"/>
    <w:rsid w:val="009863B3"/>
    <w:rsid w:val="00991D9E"/>
    <w:rsid w:val="009962D1"/>
    <w:rsid w:val="009A59F1"/>
    <w:rsid w:val="009A671B"/>
    <w:rsid w:val="009B212D"/>
    <w:rsid w:val="009C1CEA"/>
    <w:rsid w:val="009C72AF"/>
    <w:rsid w:val="009D30B7"/>
    <w:rsid w:val="009D5B24"/>
    <w:rsid w:val="009E515F"/>
    <w:rsid w:val="009F5763"/>
    <w:rsid w:val="00A07AB9"/>
    <w:rsid w:val="00A24330"/>
    <w:rsid w:val="00A52F73"/>
    <w:rsid w:val="00A561FC"/>
    <w:rsid w:val="00A56A80"/>
    <w:rsid w:val="00A60397"/>
    <w:rsid w:val="00A74F02"/>
    <w:rsid w:val="00A7730B"/>
    <w:rsid w:val="00A7792A"/>
    <w:rsid w:val="00A87FC2"/>
    <w:rsid w:val="00AA0D57"/>
    <w:rsid w:val="00AA0E36"/>
    <w:rsid w:val="00AB58BE"/>
    <w:rsid w:val="00AB7D17"/>
    <w:rsid w:val="00AC2087"/>
    <w:rsid w:val="00AC6FA7"/>
    <w:rsid w:val="00AE7C47"/>
    <w:rsid w:val="00AF012E"/>
    <w:rsid w:val="00AF2A83"/>
    <w:rsid w:val="00B04AB8"/>
    <w:rsid w:val="00B1007F"/>
    <w:rsid w:val="00B20846"/>
    <w:rsid w:val="00B20C82"/>
    <w:rsid w:val="00B232CB"/>
    <w:rsid w:val="00B34A64"/>
    <w:rsid w:val="00B43AB2"/>
    <w:rsid w:val="00B4705E"/>
    <w:rsid w:val="00B51895"/>
    <w:rsid w:val="00B51C54"/>
    <w:rsid w:val="00B5385E"/>
    <w:rsid w:val="00B53F33"/>
    <w:rsid w:val="00B564D3"/>
    <w:rsid w:val="00B64CA4"/>
    <w:rsid w:val="00B653D9"/>
    <w:rsid w:val="00B728F3"/>
    <w:rsid w:val="00B77BAD"/>
    <w:rsid w:val="00B96C10"/>
    <w:rsid w:val="00BA4FAE"/>
    <w:rsid w:val="00BC393C"/>
    <w:rsid w:val="00BD1CFD"/>
    <w:rsid w:val="00BD4821"/>
    <w:rsid w:val="00BE1A3B"/>
    <w:rsid w:val="00BF03D8"/>
    <w:rsid w:val="00BF24EC"/>
    <w:rsid w:val="00BF43B1"/>
    <w:rsid w:val="00C2283B"/>
    <w:rsid w:val="00C31B65"/>
    <w:rsid w:val="00C403D4"/>
    <w:rsid w:val="00C52446"/>
    <w:rsid w:val="00C64F5C"/>
    <w:rsid w:val="00C758CA"/>
    <w:rsid w:val="00C760FB"/>
    <w:rsid w:val="00C80E43"/>
    <w:rsid w:val="00C95FE7"/>
    <w:rsid w:val="00CA2223"/>
    <w:rsid w:val="00CA442C"/>
    <w:rsid w:val="00CA5943"/>
    <w:rsid w:val="00CA7409"/>
    <w:rsid w:val="00CC23B6"/>
    <w:rsid w:val="00CC2496"/>
    <w:rsid w:val="00CC34C0"/>
    <w:rsid w:val="00CC5333"/>
    <w:rsid w:val="00CD207B"/>
    <w:rsid w:val="00CE2532"/>
    <w:rsid w:val="00CF0509"/>
    <w:rsid w:val="00CF35A5"/>
    <w:rsid w:val="00D15601"/>
    <w:rsid w:val="00D33BC5"/>
    <w:rsid w:val="00D37726"/>
    <w:rsid w:val="00D453C1"/>
    <w:rsid w:val="00D50E57"/>
    <w:rsid w:val="00D544EC"/>
    <w:rsid w:val="00D6414A"/>
    <w:rsid w:val="00D70E70"/>
    <w:rsid w:val="00D75959"/>
    <w:rsid w:val="00D76A1F"/>
    <w:rsid w:val="00D77547"/>
    <w:rsid w:val="00D77602"/>
    <w:rsid w:val="00DB0F0B"/>
    <w:rsid w:val="00DB3C23"/>
    <w:rsid w:val="00DB4963"/>
    <w:rsid w:val="00DB4A90"/>
    <w:rsid w:val="00DD25D1"/>
    <w:rsid w:val="00DD7503"/>
    <w:rsid w:val="00DE02D0"/>
    <w:rsid w:val="00DF5471"/>
    <w:rsid w:val="00E01BAE"/>
    <w:rsid w:val="00E0327E"/>
    <w:rsid w:val="00E05073"/>
    <w:rsid w:val="00E2446D"/>
    <w:rsid w:val="00E26850"/>
    <w:rsid w:val="00E276C0"/>
    <w:rsid w:val="00E3594D"/>
    <w:rsid w:val="00E5102C"/>
    <w:rsid w:val="00E52D7C"/>
    <w:rsid w:val="00E55CDA"/>
    <w:rsid w:val="00E56542"/>
    <w:rsid w:val="00E611FB"/>
    <w:rsid w:val="00E70E05"/>
    <w:rsid w:val="00E87211"/>
    <w:rsid w:val="00E9365B"/>
    <w:rsid w:val="00EB1359"/>
    <w:rsid w:val="00EB2F7A"/>
    <w:rsid w:val="00EC0CC8"/>
    <w:rsid w:val="00EC5842"/>
    <w:rsid w:val="00EC5902"/>
    <w:rsid w:val="00EC5C8A"/>
    <w:rsid w:val="00ED56B2"/>
    <w:rsid w:val="00ED6DD4"/>
    <w:rsid w:val="00EE61AB"/>
    <w:rsid w:val="00EE7CDD"/>
    <w:rsid w:val="00EF2F78"/>
    <w:rsid w:val="00F00BDF"/>
    <w:rsid w:val="00F04129"/>
    <w:rsid w:val="00F10386"/>
    <w:rsid w:val="00F1563C"/>
    <w:rsid w:val="00F443A1"/>
    <w:rsid w:val="00F556F6"/>
    <w:rsid w:val="00F63BC6"/>
    <w:rsid w:val="00F712D2"/>
    <w:rsid w:val="00F8556A"/>
    <w:rsid w:val="00F95E77"/>
    <w:rsid w:val="00FA648D"/>
    <w:rsid w:val="00FC3CC4"/>
    <w:rsid w:val="00FC3F10"/>
    <w:rsid w:val="00FD31AD"/>
    <w:rsid w:val="00FE1882"/>
    <w:rsid w:val="00FE73EA"/>
    <w:rsid w:val="00FE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1669">
      <w:bodyDiv w:val="1"/>
      <w:marLeft w:val="0"/>
      <w:marRight w:val="0"/>
      <w:marTop w:val="0"/>
      <w:marBottom w:val="0"/>
      <w:divBdr>
        <w:top w:val="none" w:sz="0" w:space="0" w:color="auto"/>
        <w:left w:val="none" w:sz="0" w:space="0" w:color="auto"/>
        <w:bottom w:val="none" w:sz="0" w:space="0" w:color="auto"/>
        <w:right w:val="none" w:sz="0" w:space="0" w:color="auto"/>
      </w:divBdr>
      <w:divsChild>
        <w:div w:id="612712463">
          <w:marLeft w:val="0"/>
          <w:marRight w:val="0"/>
          <w:marTop w:val="0"/>
          <w:marBottom w:val="0"/>
          <w:divBdr>
            <w:top w:val="none" w:sz="0" w:space="0" w:color="auto"/>
            <w:left w:val="none" w:sz="0" w:space="0" w:color="auto"/>
            <w:bottom w:val="none" w:sz="0" w:space="0" w:color="auto"/>
            <w:right w:val="none" w:sz="0" w:space="0" w:color="auto"/>
          </w:divBdr>
          <w:divsChild>
            <w:div w:id="1476679667">
              <w:marLeft w:val="0"/>
              <w:marRight w:val="0"/>
              <w:marTop w:val="0"/>
              <w:marBottom w:val="0"/>
              <w:divBdr>
                <w:top w:val="none" w:sz="0" w:space="0" w:color="auto"/>
                <w:left w:val="none" w:sz="0" w:space="0" w:color="auto"/>
                <w:bottom w:val="none" w:sz="0" w:space="0" w:color="auto"/>
                <w:right w:val="none" w:sz="0" w:space="0" w:color="auto"/>
              </w:divBdr>
              <w:divsChild>
                <w:div w:id="495418903">
                  <w:marLeft w:val="0"/>
                  <w:marRight w:val="0"/>
                  <w:marTop w:val="0"/>
                  <w:marBottom w:val="0"/>
                  <w:divBdr>
                    <w:top w:val="none" w:sz="0" w:space="0" w:color="auto"/>
                    <w:left w:val="none" w:sz="0" w:space="0" w:color="auto"/>
                    <w:bottom w:val="none" w:sz="0" w:space="0" w:color="auto"/>
                    <w:right w:val="none" w:sz="0" w:space="0" w:color="auto"/>
                  </w:divBdr>
                  <w:divsChild>
                    <w:div w:id="150250264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43587">
      <w:bodyDiv w:val="1"/>
      <w:marLeft w:val="0"/>
      <w:marRight w:val="0"/>
      <w:marTop w:val="0"/>
      <w:marBottom w:val="0"/>
      <w:divBdr>
        <w:top w:val="none" w:sz="0" w:space="0" w:color="auto"/>
        <w:left w:val="none" w:sz="0" w:space="0" w:color="auto"/>
        <w:bottom w:val="none" w:sz="0" w:space="0" w:color="auto"/>
        <w:right w:val="none" w:sz="0" w:space="0" w:color="auto"/>
      </w:divBdr>
      <w:divsChild>
        <w:div w:id="815220335">
          <w:marLeft w:val="0"/>
          <w:marRight w:val="0"/>
          <w:marTop w:val="0"/>
          <w:marBottom w:val="0"/>
          <w:divBdr>
            <w:top w:val="none" w:sz="0" w:space="0" w:color="auto"/>
            <w:left w:val="none" w:sz="0" w:space="0" w:color="auto"/>
            <w:bottom w:val="none" w:sz="0" w:space="0" w:color="auto"/>
            <w:right w:val="none" w:sz="0" w:space="0" w:color="auto"/>
          </w:divBdr>
          <w:divsChild>
            <w:div w:id="1886676927">
              <w:marLeft w:val="0"/>
              <w:marRight w:val="0"/>
              <w:marTop w:val="0"/>
              <w:marBottom w:val="0"/>
              <w:divBdr>
                <w:top w:val="none" w:sz="0" w:space="0" w:color="auto"/>
                <w:left w:val="none" w:sz="0" w:space="0" w:color="auto"/>
                <w:bottom w:val="none" w:sz="0" w:space="0" w:color="auto"/>
                <w:right w:val="none" w:sz="0" w:space="0" w:color="auto"/>
              </w:divBdr>
              <w:divsChild>
                <w:div w:id="1092702774">
                  <w:marLeft w:val="0"/>
                  <w:marRight w:val="0"/>
                  <w:marTop w:val="0"/>
                  <w:marBottom w:val="0"/>
                  <w:divBdr>
                    <w:top w:val="none" w:sz="0" w:space="0" w:color="auto"/>
                    <w:left w:val="none" w:sz="0" w:space="0" w:color="auto"/>
                    <w:bottom w:val="none" w:sz="0" w:space="0" w:color="auto"/>
                    <w:right w:val="none" w:sz="0" w:space="0" w:color="auto"/>
                  </w:divBdr>
                  <w:divsChild>
                    <w:div w:id="7050659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2188">
      <w:bodyDiv w:val="1"/>
      <w:marLeft w:val="0"/>
      <w:marRight w:val="0"/>
      <w:marTop w:val="0"/>
      <w:marBottom w:val="0"/>
      <w:divBdr>
        <w:top w:val="none" w:sz="0" w:space="0" w:color="auto"/>
        <w:left w:val="none" w:sz="0" w:space="0" w:color="auto"/>
        <w:bottom w:val="none" w:sz="0" w:space="0" w:color="auto"/>
        <w:right w:val="none" w:sz="0" w:space="0" w:color="auto"/>
      </w:divBdr>
      <w:divsChild>
        <w:div w:id="853153793">
          <w:marLeft w:val="0"/>
          <w:marRight w:val="0"/>
          <w:marTop w:val="0"/>
          <w:marBottom w:val="0"/>
          <w:divBdr>
            <w:top w:val="none" w:sz="0" w:space="0" w:color="auto"/>
            <w:left w:val="none" w:sz="0" w:space="0" w:color="auto"/>
            <w:bottom w:val="none" w:sz="0" w:space="0" w:color="auto"/>
            <w:right w:val="none" w:sz="0" w:space="0" w:color="auto"/>
          </w:divBdr>
          <w:divsChild>
            <w:div w:id="2107537978">
              <w:marLeft w:val="0"/>
              <w:marRight w:val="0"/>
              <w:marTop w:val="0"/>
              <w:marBottom w:val="0"/>
              <w:divBdr>
                <w:top w:val="none" w:sz="0" w:space="0" w:color="auto"/>
                <w:left w:val="none" w:sz="0" w:space="0" w:color="auto"/>
                <w:bottom w:val="none" w:sz="0" w:space="0" w:color="auto"/>
                <w:right w:val="none" w:sz="0" w:space="0" w:color="auto"/>
              </w:divBdr>
              <w:divsChild>
                <w:div w:id="1773281756">
                  <w:marLeft w:val="0"/>
                  <w:marRight w:val="0"/>
                  <w:marTop w:val="0"/>
                  <w:marBottom w:val="0"/>
                  <w:divBdr>
                    <w:top w:val="none" w:sz="0" w:space="0" w:color="auto"/>
                    <w:left w:val="none" w:sz="0" w:space="0" w:color="auto"/>
                    <w:bottom w:val="none" w:sz="0" w:space="0" w:color="auto"/>
                    <w:right w:val="none" w:sz="0" w:space="0" w:color="auto"/>
                  </w:divBdr>
                  <w:divsChild>
                    <w:div w:id="228928151">
                      <w:marLeft w:val="300"/>
                      <w:marRight w:val="300"/>
                      <w:marTop w:val="0"/>
                      <w:marBottom w:val="0"/>
                      <w:divBdr>
                        <w:top w:val="none" w:sz="0" w:space="0" w:color="auto"/>
                        <w:left w:val="none" w:sz="0" w:space="0" w:color="auto"/>
                        <w:bottom w:val="none" w:sz="0" w:space="0" w:color="auto"/>
                        <w:right w:val="none" w:sz="0" w:space="0" w:color="auto"/>
                      </w:divBdr>
                      <w:divsChild>
                        <w:div w:id="8768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37054">
      <w:bodyDiv w:val="1"/>
      <w:marLeft w:val="0"/>
      <w:marRight w:val="0"/>
      <w:marTop w:val="0"/>
      <w:marBottom w:val="0"/>
      <w:divBdr>
        <w:top w:val="none" w:sz="0" w:space="0" w:color="auto"/>
        <w:left w:val="none" w:sz="0" w:space="0" w:color="auto"/>
        <w:bottom w:val="none" w:sz="0" w:space="0" w:color="auto"/>
        <w:right w:val="none" w:sz="0" w:space="0" w:color="auto"/>
      </w:divBdr>
      <w:divsChild>
        <w:div w:id="1855457994">
          <w:marLeft w:val="0"/>
          <w:marRight w:val="0"/>
          <w:marTop w:val="0"/>
          <w:marBottom w:val="0"/>
          <w:divBdr>
            <w:top w:val="none" w:sz="0" w:space="0" w:color="auto"/>
            <w:left w:val="none" w:sz="0" w:space="0" w:color="auto"/>
            <w:bottom w:val="none" w:sz="0" w:space="0" w:color="auto"/>
            <w:right w:val="none" w:sz="0" w:space="0" w:color="auto"/>
          </w:divBdr>
          <w:divsChild>
            <w:div w:id="1167943186">
              <w:marLeft w:val="0"/>
              <w:marRight w:val="0"/>
              <w:marTop w:val="0"/>
              <w:marBottom w:val="0"/>
              <w:divBdr>
                <w:top w:val="none" w:sz="0" w:space="0" w:color="auto"/>
                <w:left w:val="none" w:sz="0" w:space="0" w:color="auto"/>
                <w:bottom w:val="none" w:sz="0" w:space="0" w:color="auto"/>
                <w:right w:val="none" w:sz="0" w:space="0" w:color="auto"/>
              </w:divBdr>
              <w:divsChild>
                <w:div w:id="680275332">
                  <w:marLeft w:val="0"/>
                  <w:marRight w:val="0"/>
                  <w:marTop w:val="0"/>
                  <w:marBottom w:val="0"/>
                  <w:divBdr>
                    <w:top w:val="none" w:sz="0" w:space="0" w:color="auto"/>
                    <w:left w:val="none" w:sz="0" w:space="0" w:color="auto"/>
                    <w:bottom w:val="none" w:sz="0" w:space="0" w:color="auto"/>
                    <w:right w:val="none" w:sz="0" w:space="0" w:color="auto"/>
                  </w:divBdr>
                  <w:divsChild>
                    <w:div w:id="1162967967">
                      <w:marLeft w:val="300"/>
                      <w:marRight w:val="300"/>
                      <w:marTop w:val="0"/>
                      <w:marBottom w:val="0"/>
                      <w:divBdr>
                        <w:top w:val="none" w:sz="0" w:space="0" w:color="auto"/>
                        <w:left w:val="none" w:sz="0" w:space="0" w:color="auto"/>
                        <w:bottom w:val="none" w:sz="0" w:space="0" w:color="auto"/>
                        <w:right w:val="none" w:sz="0" w:space="0" w:color="auto"/>
                      </w:divBdr>
                      <w:divsChild>
                        <w:div w:id="1216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430078">
      <w:bodyDiv w:val="1"/>
      <w:marLeft w:val="0"/>
      <w:marRight w:val="0"/>
      <w:marTop w:val="0"/>
      <w:marBottom w:val="0"/>
      <w:divBdr>
        <w:top w:val="none" w:sz="0" w:space="0" w:color="auto"/>
        <w:left w:val="none" w:sz="0" w:space="0" w:color="auto"/>
        <w:bottom w:val="none" w:sz="0" w:space="0" w:color="auto"/>
        <w:right w:val="none" w:sz="0" w:space="0" w:color="auto"/>
      </w:divBdr>
      <w:divsChild>
        <w:div w:id="1559170999">
          <w:marLeft w:val="0"/>
          <w:marRight w:val="0"/>
          <w:marTop w:val="0"/>
          <w:marBottom w:val="0"/>
          <w:divBdr>
            <w:top w:val="none" w:sz="0" w:space="0" w:color="auto"/>
            <w:left w:val="none" w:sz="0" w:space="0" w:color="auto"/>
            <w:bottom w:val="none" w:sz="0" w:space="0" w:color="auto"/>
            <w:right w:val="none" w:sz="0" w:space="0" w:color="auto"/>
          </w:divBdr>
          <w:divsChild>
            <w:div w:id="514730259">
              <w:marLeft w:val="0"/>
              <w:marRight w:val="0"/>
              <w:marTop w:val="0"/>
              <w:marBottom w:val="0"/>
              <w:divBdr>
                <w:top w:val="none" w:sz="0" w:space="0" w:color="auto"/>
                <w:left w:val="none" w:sz="0" w:space="0" w:color="auto"/>
                <w:bottom w:val="none" w:sz="0" w:space="0" w:color="auto"/>
                <w:right w:val="none" w:sz="0" w:space="0" w:color="auto"/>
              </w:divBdr>
              <w:divsChild>
                <w:div w:id="1962032767">
                  <w:marLeft w:val="0"/>
                  <w:marRight w:val="0"/>
                  <w:marTop w:val="120"/>
                  <w:marBottom w:val="120"/>
                  <w:divBdr>
                    <w:top w:val="none" w:sz="0" w:space="0" w:color="auto"/>
                    <w:left w:val="none" w:sz="0" w:space="0" w:color="auto"/>
                    <w:bottom w:val="none" w:sz="0" w:space="0" w:color="auto"/>
                    <w:right w:val="none" w:sz="0" w:space="0" w:color="auto"/>
                  </w:divBdr>
                  <w:divsChild>
                    <w:div w:id="1377001825">
                      <w:marLeft w:val="0"/>
                      <w:marRight w:val="0"/>
                      <w:marTop w:val="0"/>
                      <w:marBottom w:val="144"/>
                      <w:divBdr>
                        <w:top w:val="none" w:sz="0" w:space="0" w:color="auto"/>
                        <w:left w:val="none" w:sz="0" w:space="0" w:color="auto"/>
                        <w:bottom w:val="single" w:sz="12" w:space="2" w:color="02519F"/>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A972C-E40C-4962-8246-C273C46E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2880</Words>
  <Characters>16418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EraTani</dc:creator>
  <cp:lastModifiedBy>shoffner</cp:lastModifiedBy>
  <cp:revision>2</cp:revision>
  <cp:lastPrinted>2015-06-09T13:02:00Z</cp:lastPrinted>
  <dcterms:created xsi:type="dcterms:W3CDTF">2015-06-30T19:59:00Z</dcterms:created>
  <dcterms:modified xsi:type="dcterms:W3CDTF">2015-06-30T19:59:00Z</dcterms:modified>
</cp:coreProperties>
</file>