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1C" w:rsidRPr="009E2BE6" w:rsidRDefault="00D5421C" w:rsidP="00D5421C">
      <w:pPr>
        <w:spacing w:line="240" w:lineRule="auto"/>
        <w:rPr>
          <w:b/>
        </w:rPr>
      </w:pPr>
      <w:r w:rsidRPr="009E2BE6">
        <w:rPr>
          <w:b/>
        </w:rPr>
        <w:t>BEFORE THE</w:t>
      </w:r>
    </w:p>
    <w:p w:rsidR="00D5421C" w:rsidRPr="009E2BE6" w:rsidRDefault="00D5421C" w:rsidP="00D5421C">
      <w:pPr>
        <w:spacing w:line="240" w:lineRule="auto"/>
        <w:rPr>
          <w:b/>
        </w:rPr>
      </w:pPr>
      <w:r w:rsidRPr="009E2BE6">
        <w:rPr>
          <w:b/>
        </w:rPr>
        <w:t>PENNSYLVANIA PUBLIC UTILITY COMMISSION</w:t>
      </w:r>
      <w:r w:rsidRPr="009E2BE6">
        <w:rPr>
          <w:b/>
        </w:rPr>
        <w:br/>
      </w:r>
    </w:p>
    <w:p w:rsidR="00D5421C" w:rsidRPr="009E2BE6" w:rsidRDefault="00D5421C" w:rsidP="00D5421C">
      <w:pPr>
        <w:spacing w:line="240" w:lineRule="auto"/>
        <w:rPr>
          <w:b/>
        </w:rPr>
      </w:pPr>
    </w:p>
    <w:p w:rsidR="00D5421C" w:rsidRPr="009E2BE6" w:rsidRDefault="00D5421C" w:rsidP="00D5421C">
      <w:pPr>
        <w:spacing w:line="240" w:lineRule="auto"/>
        <w:rPr>
          <w:b/>
        </w:rPr>
      </w:pPr>
    </w:p>
    <w:p w:rsidR="00D5421C" w:rsidRPr="009E2BE6" w:rsidRDefault="00D5421C" w:rsidP="00D5421C">
      <w:pPr>
        <w:spacing w:line="240" w:lineRule="auto"/>
        <w:jc w:val="left"/>
      </w:pPr>
      <w:r w:rsidRPr="009E2BE6">
        <w:t>Pennsylvania Public Utility Commission</w:t>
      </w:r>
      <w:r w:rsidRPr="009E2BE6">
        <w:tab/>
      </w:r>
      <w:r w:rsidRPr="009E2BE6">
        <w:tab/>
        <w:t>:</w:t>
      </w:r>
      <w:r w:rsidR="00811EC5" w:rsidRPr="009E2BE6">
        <w:tab/>
      </w:r>
      <w:r w:rsidR="00811EC5" w:rsidRPr="009E2BE6">
        <w:tab/>
      </w:r>
      <w:r w:rsidR="00811EC5" w:rsidRPr="009E2BE6">
        <w:tab/>
        <w:t>R-2014-2445660</w:t>
      </w:r>
    </w:p>
    <w:p w:rsidR="00811EC5" w:rsidRPr="009E2BE6" w:rsidRDefault="00811EC5" w:rsidP="00D5421C">
      <w:pPr>
        <w:spacing w:line="240" w:lineRule="auto"/>
        <w:jc w:val="left"/>
      </w:pPr>
      <w:r w:rsidRPr="009E2BE6">
        <w:tab/>
      </w:r>
      <w:r w:rsidRPr="009E2BE6">
        <w:tab/>
      </w:r>
      <w:r w:rsidRPr="009E2BE6">
        <w:tab/>
      </w:r>
      <w:r w:rsidRPr="009E2BE6">
        <w:tab/>
      </w:r>
      <w:r w:rsidRPr="009E2BE6">
        <w:tab/>
      </w:r>
      <w:r w:rsidRPr="009E2BE6">
        <w:tab/>
      </w:r>
      <w:r w:rsidRPr="009E2BE6">
        <w:tab/>
        <w:t>:</w:t>
      </w:r>
    </w:p>
    <w:p w:rsidR="00811EC5" w:rsidRPr="009E2BE6" w:rsidRDefault="00811EC5" w:rsidP="00811EC5">
      <w:pPr>
        <w:spacing w:line="240" w:lineRule="auto"/>
        <w:jc w:val="left"/>
      </w:pPr>
      <w:r w:rsidRPr="009E2BE6">
        <w:t xml:space="preserve">Vincent E. Collier, III </w:t>
      </w:r>
      <w:r w:rsidRPr="009E2BE6">
        <w:tab/>
      </w:r>
      <w:r w:rsidRPr="009E2BE6">
        <w:tab/>
      </w:r>
      <w:r w:rsidRPr="009E2BE6">
        <w:tab/>
      </w:r>
      <w:r w:rsidRPr="009E2BE6">
        <w:tab/>
        <w:t>:</w:t>
      </w:r>
      <w:r w:rsidRPr="009E2BE6">
        <w:tab/>
      </w:r>
      <w:r w:rsidRPr="009E2BE6">
        <w:tab/>
      </w:r>
      <w:r w:rsidRPr="009E2BE6">
        <w:tab/>
        <w:t>C-2014-2451639</w:t>
      </w:r>
    </w:p>
    <w:p w:rsidR="00811EC5" w:rsidRPr="009E2BE6" w:rsidRDefault="00811EC5" w:rsidP="00811EC5">
      <w:pPr>
        <w:spacing w:line="240" w:lineRule="auto"/>
        <w:jc w:val="left"/>
      </w:pPr>
      <w:r w:rsidRPr="009E2BE6">
        <w:tab/>
      </w:r>
      <w:r w:rsidRPr="009E2BE6">
        <w:tab/>
      </w:r>
      <w:r w:rsidRPr="009E2BE6">
        <w:tab/>
      </w:r>
      <w:r w:rsidRPr="009E2BE6">
        <w:tab/>
      </w:r>
      <w:r w:rsidRPr="009E2BE6">
        <w:tab/>
      </w:r>
      <w:r w:rsidRPr="009E2BE6">
        <w:tab/>
      </w:r>
      <w:r w:rsidRPr="009E2BE6">
        <w:tab/>
        <w:t>:</w:t>
      </w:r>
    </w:p>
    <w:p w:rsidR="00811EC5" w:rsidRPr="009E2BE6" w:rsidRDefault="00811EC5" w:rsidP="00811EC5">
      <w:pPr>
        <w:spacing w:line="240" w:lineRule="auto"/>
        <w:jc w:val="left"/>
      </w:pPr>
      <w:r w:rsidRPr="009E2BE6">
        <w:t xml:space="preserve">Sandra Shaub </w:t>
      </w:r>
      <w:r w:rsidRPr="009E2BE6">
        <w:tab/>
      </w:r>
      <w:r w:rsidRPr="009E2BE6">
        <w:tab/>
      </w:r>
      <w:r w:rsidRPr="009E2BE6">
        <w:tab/>
      </w:r>
      <w:r w:rsidRPr="009E2BE6">
        <w:tab/>
      </w:r>
      <w:r w:rsidRPr="009E2BE6">
        <w:tab/>
      </w:r>
      <w:r w:rsidRPr="009E2BE6">
        <w:tab/>
        <w:t>:</w:t>
      </w:r>
      <w:r w:rsidRPr="009E2BE6">
        <w:tab/>
      </w:r>
      <w:r w:rsidRPr="009E2BE6">
        <w:tab/>
      </w:r>
      <w:r w:rsidRPr="009E2BE6">
        <w:tab/>
        <w:t>C-2014-2452858</w:t>
      </w:r>
    </w:p>
    <w:p w:rsidR="00811EC5" w:rsidRPr="009E2BE6" w:rsidRDefault="00811EC5" w:rsidP="00811EC5">
      <w:pPr>
        <w:spacing w:line="240" w:lineRule="auto"/>
        <w:jc w:val="left"/>
      </w:pPr>
      <w:r w:rsidRPr="009E2BE6">
        <w:tab/>
      </w:r>
      <w:r w:rsidRPr="009E2BE6">
        <w:tab/>
      </w:r>
      <w:r w:rsidRPr="009E2BE6">
        <w:tab/>
      </w:r>
      <w:r w:rsidRPr="009E2BE6">
        <w:tab/>
      </w:r>
      <w:r w:rsidRPr="009E2BE6">
        <w:tab/>
      </w:r>
      <w:r w:rsidRPr="009E2BE6">
        <w:tab/>
      </w:r>
      <w:r w:rsidRPr="009E2BE6">
        <w:tab/>
        <w:t>:</w:t>
      </w:r>
    </w:p>
    <w:p w:rsidR="00811EC5" w:rsidRPr="009E2BE6" w:rsidRDefault="00811EC5" w:rsidP="00811EC5">
      <w:pPr>
        <w:spacing w:line="240" w:lineRule="auto"/>
        <w:jc w:val="left"/>
      </w:pPr>
      <w:r w:rsidRPr="009E2BE6">
        <w:t>Office of Consumer Advocate</w:t>
      </w:r>
      <w:r w:rsidRPr="009E2BE6">
        <w:tab/>
      </w:r>
      <w:r w:rsidRPr="009E2BE6">
        <w:tab/>
      </w:r>
      <w:r w:rsidRPr="009E2BE6">
        <w:tab/>
        <w:t>:</w:t>
      </w:r>
      <w:r w:rsidRPr="009E2BE6">
        <w:tab/>
      </w:r>
      <w:r w:rsidRPr="009E2BE6">
        <w:tab/>
      </w:r>
      <w:r w:rsidRPr="009E2BE6">
        <w:tab/>
        <w:t>C-2014-2452991</w:t>
      </w:r>
    </w:p>
    <w:p w:rsidR="00811EC5" w:rsidRPr="009E2BE6" w:rsidRDefault="00811EC5" w:rsidP="00811EC5">
      <w:pPr>
        <w:spacing w:line="240" w:lineRule="auto"/>
        <w:jc w:val="left"/>
      </w:pPr>
      <w:r w:rsidRPr="009E2BE6">
        <w:tab/>
      </w:r>
      <w:r w:rsidRPr="009E2BE6">
        <w:tab/>
      </w:r>
      <w:r w:rsidRPr="009E2BE6">
        <w:tab/>
      </w:r>
      <w:r w:rsidRPr="009E2BE6">
        <w:tab/>
      </w:r>
      <w:r w:rsidRPr="009E2BE6">
        <w:tab/>
      </w:r>
      <w:r w:rsidRPr="009E2BE6">
        <w:tab/>
      </w:r>
      <w:r w:rsidRPr="009E2BE6">
        <w:tab/>
        <w:t>:</w:t>
      </w:r>
    </w:p>
    <w:p w:rsidR="00D5421C" w:rsidRPr="009E2BE6" w:rsidRDefault="00D5421C" w:rsidP="00D5421C">
      <w:pPr>
        <w:spacing w:line="240" w:lineRule="auto"/>
        <w:jc w:val="left"/>
      </w:pPr>
      <w:r w:rsidRPr="009E2BE6">
        <w:tab/>
        <w:t>v.</w:t>
      </w:r>
      <w:r w:rsidRPr="009E2BE6">
        <w:tab/>
      </w:r>
      <w:r w:rsidRPr="009E2BE6">
        <w:tab/>
      </w:r>
      <w:r w:rsidRPr="009E2BE6">
        <w:tab/>
      </w:r>
      <w:r w:rsidRPr="009E2BE6">
        <w:tab/>
      </w:r>
      <w:r w:rsidRPr="009E2BE6">
        <w:tab/>
      </w:r>
      <w:r w:rsidRPr="009E2BE6">
        <w:tab/>
        <w:t>:</w:t>
      </w:r>
      <w:r w:rsidRPr="009E2BE6">
        <w:tab/>
      </w:r>
      <w:r w:rsidRPr="009E2BE6">
        <w:tab/>
      </w:r>
      <w:r w:rsidRPr="009E2BE6">
        <w:tab/>
      </w:r>
      <w:r w:rsidRPr="009E2BE6">
        <w:br/>
      </w:r>
      <w:r w:rsidRPr="009E2BE6">
        <w:tab/>
      </w:r>
      <w:r w:rsidRPr="009E2BE6">
        <w:tab/>
      </w:r>
      <w:r w:rsidRPr="009E2BE6">
        <w:tab/>
      </w:r>
      <w:r w:rsidRPr="009E2BE6">
        <w:tab/>
      </w:r>
      <w:r w:rsidRPr="009E2BE6">
        <w:tab/>
      </w:r>
      <w:r w:rsidRPr="009E2BE6">
        <w:tab/>
      </w:r>
      <w:r w:rsidRPr="009E2BE6">
        <w:tab/>
        <w:t>:</w:t>
      </w:r>
    </w:p>
    <w:p w:rsidR="00D5421C" w:rsidRPr="009E2BE6" w:rsidRDefault="00D5421C" w:rsidP="00D5421C">
      <w:pPr>
        <w:spacing w:line="240" w:lineRule="auto"/>
        <w:jc w:val="left"/>
      </w:pPr>
      <w:r w:rsidRPr="009E2BE6">
        <w:t>The Columbia Water Company</w:t>
      </w:r>
      <w:r w:rsidRPr="009E2BE6">
        <w:tab/>
      </w:r>
      <w:r w:rsidRPr="009E2BE6">
        <w:tab/>
      </w:r>
      <w:r w:rsidRPr="009E2BE6">
        <w:tab/>
        <w:t>:</w:t>
      </w:r>
    </w:p>
    <w:p w:rsidR="00D5421C" w:rsidRPr="009E2BE6" w:rsidRDefault="00D5421C" w:rsidP="00D5421C">
      <w:pPr>
        <w:spacing w:line="240" w:lineRule="auto"/>
        <w:jc w:val="left"/>
      </w:pPr>
    </w:p>
    <w:p w:rsidR="009E2BE6" w:rsidRPr="009E2BE6" w:rsidRDefault="009E2BE6" w:rsidP="00D5421C">
      <w:pPr>
        <w:spacing w:line="240" w:lineRule="auto"/>
        <w:jc w:val="left"/>
      </w:pPr>
    </w:p>
    <w:p w:rsidR="00D5421C" w:rsidRPr="009E2BE6" w:rsidRDefault="00D5421C" w:rsidP="009E2BE6">
      <w:pPr>
        <w:spacing w:line="240" w:lineRule="auto"/>
        <w:jc w:val="both"/>
      </w:pPr>
    </w:p>
    <w:p w:rsidR="00D5421C" w:rsidRPr="009E2BE6" w:rsidRDefault="00D5421C" w:rsidP="00D5421C">
      <w:pPr>
        <w:spacing w:line="240" w:lineRule="auto"/>
        <w:rPr>
          <w:b/>
          <w:u w:val="single"/>
        </w:rPr>
      </w:pPr>
      <w:r w:rsidRPr="009E2BE6">
        <w:rPr>
          <w:b/>
          <w:u w:val="single"/>
        </w:rPr>
        <w:t>RECOMMENDED DECISION</w:t>
      </w:r>
    </w:p>
    <w:p w:rsidR="00D5421C" w:rsidRPr="009E2BE6" w:rsidRDefault="00D5421C" w:rsidP="00D5421C">
      <w:pPr>
        <w:spacing w:line="240" w:lineRule="auto"/>
        <w:rPr>
          <w:b/>
          <w:u w:val="single"/>
        </w:rPr>
      </w:pPr>
    </w:p>
    <w:p w:rsidR="009E2BE6" w:rsidRPr="009E2BE6" w:rsidRDefault="009E2BE6" w:rsidP="00D5421C">
      <w:pPr>
        <w:spacing w:line="240" w:lineRule="auto"/>
        <w:rPr>
          <w:b/>
          <w:u w:val="single"/>
        </w:rPr>
      </w:pPr>
    </w:p>
    <w:p w:rsidR="00D5421C" w:rsidRPr="009E2BE6" w:rsidRDefault="00D5421C" w:rsidP="00D5421C">
      <w:pPr>
        <w:spacing w:line="240" w:lineRule="auto"/>
      </w:pPr>
      <w:r w:rsidRPr="009E2BE6">
        <w:t>Before</w:t>
      </w:r>
    </w:p>
    <w:p w:rsidR="00D5421C" w:rsidRPr="009E2BE6" w:rsidRDefault="00D5421C" w:rsidP="00D5421C">
      <w:pPr>
        <w:spacing w:line="240" w:lineRule="auto"/>
      </w:pPr>
      <w:r w:rsidRPr="009E2BE6">
        <w:t>Susan D. Colwell</w:t>
      </w:r>
    </w:p>
    <w:p w:rsidR="00D5421C" w:rsidRPr="009E2BE6" w:rsidRDefault="00D5421C" w:rsidP="00D5421C">
      <w:pPr>
        <w:spacing w:line="240" w:lineRule="auto"/>
      </w:pPr>
      <w:r w:rsidRPr="009E2BE6">
        <w:t>Administrative Law Judge</w:t>
      </w:r>
    </w:p>
    <w:p w:rsidR="00D5421C" w:rsidRPr="009E2BE6" w:rsidRDefault="00D5421C" w:rsidP="00D5421C">
      <w:pPr>
        <w:spacing w:line="240" w:lineRule="auto"/>
      </w:pPr>
    </w:p>
    <w:p w:rsidR="009E2BE6" w:rsidRPr="009E2BE6" w:rsidRDefault="009E2BE6" w:rsidP="00D5421C">
      <w:pPr>
        <w:spacing w:line="240" w:lineRule="auto"/>
      </w:pPr>
    </w:p>
    <w:p w:rsidR="00D5421C" w:rsidRPr="009E2BE6" w:rsidRDefault="00D5421C" w:rsidP="00D5421C">
      <w:pPr>
        <w:rPr>
          <w:u w:val="single"/>
        </w:rPr>
      </w:pPr>
      <w:r w:rsidRPr="009E2BE6">
        <w:rPr>
          <w:u w:val="single"/>
        </w:rPr>
        <w:t>INTRODUCTION</w:t>
      </w:r>
    </w:p>
    <w:p w:rsidR="00D5421C" w:rsidRPr="009E2BE6" w:rsidRDefault="00D5421C" w:rsidP="00D5421C">
      <w:pPr>
        <w:rPr>
          <w:u w:val="single"/>
        </w:rPr>
      </w:pPr>
    </w:p>
    <w:p w:rsidR="00D5421C" w:rsidRPr="009E2BE6" w:rsidRDefault="00D5421C" w:rsidP="00E50AAF">
      <w:pPr>
        <w:jc w:val="left"/>
      </w:pPr>
      <w:r w:rsidRPr="009E2BE6">
        <w:tab/>
      </w:r>
      <w:r w:rsidRPr="009E2BE6">
        <w:tab/>
        <w:t>This Recommended Decision approves a joint petition for full settlement of outstanding issues</w:t>
      </w:r>
      <w:r w:rsidR="005F00BA" w:rsidRPr="009E2BE6">
        <w:t>.  If approved, all complaints are satisfied by agreement</w:t>
      </w:r>
      <w:r w:rsidRPr="009E2BE6">
        <w:t>.</w:t>
      </w:r>
      <w:r w:rsidR="006E2F74" w:rsidRPr="009E2BE6">
        <w:t xml:space="preserve">  This recommendation of approval without modification means that the Joint Petitioners waive exceptions.  ¶33.</w:t>
      </w:r>
    </w:p>
    <w:p w:rsidR="00D5421C" w:rsidRPr="009E2BE6" w:rsidRDefault="00D5421C" w:rsidP="00D276FA">
      <w:pPr>
        <w:tabs>
          <w:tab w:val="left" w:pos="5040"/>
        </w:tabs>
        <w:jc w:val="left"/>
      </w:pPr>
    </w:p>
    <w:p w:rsidR="00D5421C" w:rsidRPr="009E2BE6" w:rsidRDefault="00D5421C" w:rsidP="001F3B2A">
      <w:pPr>
        <w:rPr>
          <w:u w:val="single"/>
        </w:rPr>
      </w:pPr>
      <w:r w:rsidRPr="009E2BE6">
        <w:rPr>
          <w:u w:val="single"/>
        </w:rPr>
        <w:t>HISTORY OF THE PROCEEDING</w:t>
      </w:r>
    </w:p>
    <w:p w:rsidR="00D5421C" w:rsidRPr="009E2BE6" w:rsidRDefault="00D5421C" w:rsidP="00E50AAF">
      <w:pPr>
        <w:jc w:val="left"/>
        <w:rPr>
          <w:b/>
        </w:rPr>
      </w:pPr>
    </w:p>
    <w:p w:rsidR="00D5421C" w:rsidRPr="009E2BE6" w:rsidRDefault="00D5421C" w:rsidP="00E50AAF">
      <w:pPr>
        <w:jc w:val="left"/>
      </w:pPr>
      <w:r w:rsidRPr="009E2BE6">
        <w:tab/>
      </w:r>
      <w:r w:rsidRPr="009E2BE6">
        <w:tab/>
        <w:t xml:space="preserve">On September 30, 2014, The Columbia Water Company (Columbia), filed Supplement No. 68 to Tariff Water-Pa. P.U.C. No. 7 and supporting data establishing a PENNVEST surcharge pursuant to 52 Pa.Code §§ 69.361 et seq. and 66 Pa.C.S. § 1307(a) to provide for repayment of a $15.25 million loan.  The effective date of the filing was January 1, </w:t>
      </w:r>
      <w:r w:rsidRPr="009E2BE6">
        <w:lastRenderedPageBreak/>
        <w:t>2015.  The surcharge is to recover fund</w:t>
      </w:r>
      <w:r w:rsidR="005F00BA" w:rsidRPr="009E2BE6">
        <w:t>s</w:t>
      </w:r>
      <w:r w:rsidRPr="009E2BE6">
        <w:t xml:space="preserve"> secured to upgrade the Walnut Street Water Treatment Plant and related facilities in the Borough of Columbia, Lancaster County.  Proofs of customer notifications and service to appropriate entities were submitted by Columbia.</w:t>
      </w:r>
    </w:p>
    <w:p w:rsidR="00D5421C" w:rsidRPr="009E2BE6" w:rsidRDefault="00D5421C" w:rsidP="00E50AAF">
      <w:pPr>
        <w:jc w:val="left"/>
      </w:pPr>
    </w:p>
    <w:p w:rsidR="00D5421C" w:rsidRPr="009E2BE6" w:rsidRDefault="00D5421C" w:rsidP="00E50AAF">
      <w:pPr>
        <w:jc w:val="left"/>
      </w:pPr>
      <w:r w:rsidRPr="009E2BE6">
        <w:tab/>
      </w:r>
      <w:r w:rsidRPr="009E2BE6">
        <w:tab/>
        <w:t xml:space="preserve">On November 6, 2014, Vincent E. Collier, III, filed a formal Complaint and on November 13, 2014, Sandra Shaub filed a formal Complaint against Columbia's Tariff Supplement No. 68, asking that the Commission not allow the proposed surcharge to pay for a PENNVEST loan on the bills of customers.  The </w:t>
      </w:r>
      <w:r w:rsidR="00635306">
        <w:t xml:space="preserve">Collier </w:t>
      </w:r>
      <w:r w:rsidRPr="009E2BE6">
        <w:t>Complaint charges that the last PENNVEST loan had been paid off but that the Company had failed to reduce the bills of the ratepayers to reflect it, which appears to be fraudulent.  The Complaint requests further that the matter be turned over to the Office of Attorney General for investigation.</w:t>
      </w:r>
    </w:p>
    <w:p w:rsidR="00D5421C" w:rsidRPr="009E2BE6" w:rsidRDefault="00D5421C" w:rsidP="00E50AAF">
      <w:pPr>
        <w:jc w:val="left"/>
      </w:pPr>
    </w:p>
    <w:p w:rsidR="00D5421C" w:rsidRPr="009E2BE6" w:rsidRDefault="00D5421C" w:rsidP="00E50AAF">
      <w:pPr>
        <w:jc w:val="left"/>
      </w:pPr>
      <w:r w:rsidRPr="009E2BE6">
        <w:tab/>
      </w:r>
      <w:r w:rsidRPr="009E2BE6">
        <w:tab/>
        <w:t>Also on November 13, 2014, the Office of Consumer Advocate (OCA) filed a formal Complaint protesting the surcharge.  The OCA charges that the proposed surcharge constitutes a general rate increase and must be filed pursuant to 66 Pa.C.S. § 1308(d).</w:t>
      </w:r>
    </w:p>
    <w:p w:rsidR="00D5421C" w:rsidRPr="009E2BE6" w:rsidRDefault="00D5421C" w:rsidP="00E50AAF">
      <w:pPr>
        <w:jc w:val="left"/>
      </w:pPr>
    </w:p>
    <w:p w:rsidR="00D5421C" w:rsidRPr="009E2BE6" w:rsidRDefault="00D5421C" w:rsidP="00E50AAF">
      <w:pPr>
        <w:jc w:val="left"/>
      </w:pPr>
      <w:r w:rsidRPr="009E2BE6">
        <w:tab/>
      </w:r>
      <w:r w:rsidRPr="009E2BE6">
        <w:tab/>
        <w:t xml:space="preserve">The Collier Complaint was served on the Company on November 6, 2014.  On </w:t>
      </w:r>
    </w:p>
    <w:p w:rsidR="00D5421C" w:rsidRPr="009E2BE6" w:rsidRDefault="00D5421C" w:rsidP="00E50AAF">
      <w:pPr>
        <w:jc w:val="left"/>
      </w:pPr>
      <w:r w:rsidRPr="009E2BE6">
        <w:t>November 18, 2014, the Company filed its Answer and New Matter, as well as Preliminary Objections (POs).  The Answer denies that the Company committed any wrongdoing, both admitting that it paid off a PENNVEST loan in 2011 and denying that there was no rate reduction to reflect this pay-off.  The Answer alleges that the Complainant did not contact the Company to explore this issue, and that if he had, he would have been informed that the Commission did approve a reduction in rates when the loan was paid off.  The Answer denies that there was any fraudulent behavior at all.  A copy of Columbia's Supplement No. 50 to Tariff Water – PA P.U.C. No. 7 is attached to the Answer as Appendix A.</w:t>
      </w:r>
    </w:p>
    <w:p w:rsidR="00D5421C" w:rsidRPr="009E2BE6" w:rsidRDefault="00D5421C" w:rsidP="00E50AAF">
      <w:pPr>
        <w:jc w:val="left"/>
      </w:pPr>
    </w:p>
    <w:p w:rsidR="00D5421C" w:rsidRPr="009E2BE6" w:rsidRDefault="00D5421C" w:rsidP="00E50AAF">
      <w:pPr>
        <w:jc w:val="left"/>
      </w:pPr>
      <w:r w:rsidRPr="009E2BE6">
        <w:tab/>
      </w:r>
      <w:r w:rsidRPr="009E2BE6">
        <w:tab/>
        <w:t>In New Matter, Columbia avers that it filed the aforesaid Supplement to reduce the rates due to the retirement of the PENNVEST loan.  Further, Respondent avers that there was a reduction to the actual bill of Complainant after June 1, 2011.  The Company lists the chronology of events to support its defense in detail and asks the Commission to dismiss the Complaint.</w:t>
      </w:r>
    </w:p>
    <w:p w:rsidR="00D5421C" w:rsidRPr="009E2BE6" w:rsidRDefault="00D5421C" w:rsidP="00E50AAF">
      <w:pPr>
        <w:jc w:val="left"/>
      </w:pPr>
      <w:r w:rsidRPr="009E2BE6">
        <w:tab/>
      </w:r>
      <w:r w:rsidRPr="009E2BE6">
        <w:tab/>
        <w:t xml:space="preserve">The POs aver that there is one fact upon which the Complaint relies, i.e., that Columbia did not reduce its rates after paying off the last PENNVEST loan in 2011, and that the "fact" is patently false.  As this "fact" is a conclusion that is countered by the existence of the Commission's own records, dismissal is warranted.  </w:t>
      </w:r>
    </w:p>
    <w:p w:rsidR="00D5421C" w:rsidRPr="009E2BE6" w:rsidRDefault="00D5421C" w:rsidP="00E50AAF">
      <w:pPr>
        <w:jc w:val="left"/>
      </w:pPr>
    </w:p>
    <w:p w:rsidR="00D5421C" w:rsidRPr="009E2BE6" w:rsidRDefault="00D5421C" w:rsidP="00E50AAF">
      <w:pPr>
        <w:jc w:val="left"/>
      </w:pPr>
      <w:r w:rsidRPr="009E2BE6">
        <w:tab/>
      </w:r>
      <w:r w:rsidRPr="009E2BE6">
        <w:tab/>
        <w:t xml:space="preserve">On November 25, 2014, Complainant </w:t>
      </w:r>
      <w:r w:rsidR="002769C9">
        <w:t xml:space="preserve">Collier </w:t>
      </w:r>
      <w:r w:rsidRPr="009E2BE6">
        <w:t>filed his Answer to Preliminary Objections, in which he counters the Company's argument by stating that after the Company ended the surcharge in 2011, the Company put the same PENNVEST plant into its base rates that it began charging him in 2014.  He does not want this to happen again.</w:t>
      </w:r>
    </w:p>
    <w:p w:rsidR="00D5421C" w:rsidRPr="009E2BE6" w:rsidRDefault="00D5421C" w:rsidP="00E50AAF">
      <w:pPr>
        <w:jc w:val="left"/>
      </w:pPr>
    </w:p>
    <w:p w:rsidR="00D5421C" w:rsidRPr="009E2BE6" w:rsidRDefault="00D5421C" w:rsidP="00E50AAF">
      <w:pPr>
        <w:jc w:val="left"/>
      </w:pPr>
      <w:r w:rsidRPr="009E2BE6">
        <w:tab/>
      </w:r>
      <w:r w:rsidRPr="009E2BE6">
        <w:tab/>
        <w:t xml:space="preserve">On November 21, 2014, the Company filed its Answer and New Matter to the Shaub Complaint, averring that its actions were well within the expedited surcharge procedures set by 52 Pa.Code § 69.361 et. seq. and questioning the standing of the Complainant for failure to pay her bills and having her service subject to termination.  </w:t>
      </w:r>
    </w:p>
    <w:p w:rsidR="00D5421C" w:rsidRPr="009E2BE6" w:rsidRDefault="00D5421C" w:rsidP="00E50AAF">
      <w:pPr>
        <w:jc w:val="left"/>
      </w:pPr>
    </w:p>
    <w:p w:rsidR="00D5421C" w:rsidRPr="009E2BE6" w:rsidRDefault="00D5421C" w:rsidP="00E50AAF">
      <w:pPr>
        <w:jc w:val="left"/>
      </w:pPr>
      <w:r w:rsidRPr="009E2BE6">
        <w:tab/>
      </w:r>
      <w:r w:rsidRPr="009E2BE6">
        <w:tab/>
        <w:t>Also on November 21, 2014, the Company filed its Answer and New Matter to the formal Complaint of the OCA, denying any wrongdoing and stating that its use of the mechanism established by the Commission for PENNVEST recovery is proper.  In New Matter, Columbia pleads judicial estoppel and laches.</w:t>
      </w:r>
    </w:p>
    <w:p w:rsidR="005F00BA" w:rsidRPr="009E2BE6" w:rsidRDefault="005F00BA" w:rsidP="00E50AAF">
      <w:pPr>
        <w:jc w:val="left"/>
      </w:pPr>
    </w:p>
    <w:p w:rsidR="005F00BA" w:rsidRPr="009E2BE6" w:rsidRDefault="005F00BA" w:rsidP="00E50AAF">
      <w:pPr>
        <w:jc w:val="left"/>
      </w:pPr>
      <w:r w:rsidRPr="009E2BE6">
        <w:tab/>
      </w:r>
      <w:r w:rsidRPr="009E2BE6">
        <w:tab/>
        <w:t>On November 24, 2014, the Commission's Bureau of Investigation &amp; Enforcement (I&amp;E) filed a Notice of Appearance.</w:t>
      </w:r>
    </w:p>
    <w:p w:rsidR="00D5421C" w:rsidRPr="009E2BE6" w:rsidRDefault="00D5421C" w:rsidP="00E50AAF">
      <w:pPr>
        <w:jc w:val="left"/>
      </w:pPr>
    </w:p>
    <w:p w:rsidR="00D5421C" w:rsidRPr="009E2BE6" w:rsidRDefault="00D5421C" w:rsidP="00E50AAF">
      <w:pPr>
        <w:jc w:val="left"/>
      </w:pPr>
      <w:r w:rsidRPr="009E2BE6">
        <w:tab/>
      </w:r>
      <w:r w:rsidRPr="009E2BE6">
        <w:tab/>
        <w:t xml:space="preserve">On December 15, 2014, OCA filed its Reply to New Matter disputing the Company's conclusion that the process that it utilized was the proper one instead of filing a </w:t>
      </w:r>
      <w:r w:rsidR="005F00BA" w:rsidRPr="009E2BE6">
        <w:t xml:space="preserve">Section </w:t>
      </w:r>
      <w:r w:rsidRPr="009E2BE6">
        <w:t>1308 rate case.</w:t>
      </w:r>
    </w:p>
    <w:p w:rsidR="00D5421C" w:rsidRPr="009E2BE6" w:rsidRDefault="00D5421C" w:rsidP="00E50AAF">
      <w:pPr>
        <w:jc w:val="left"/>
      </w:pPr>
    </w:p>
    <w:p w:rsidR="00D5421C" w:rsidRPr="009E2BE6" w:rsidRDefault="00D5421C" w:rsidP="00E50AAF">
      <w:pPr>
        <w:jc w:val="left"/>
      </w:pPr>
      <w:r w:rsidRPr="009E2BE6">
        <w:tab/>
      </w:r>
      <w:r w:rsidRPr="009E2BE6">
        <w:tab/>
        <w:t xml:space="preserve">On December 4, 2014, the Commission approved the proposed tariff subject to refund pending the outcome of the litigation of the three complaints, which were assigned to the Office of Administrative Law Judge for the prompt scheduling of such hearings as may be necessary culminating in the issuance of a Recommended Decision.  </w:t>
      </w:r>
    </w:p>
    <w:p w:rsidR="00D5421C" w:rsidRPr="009E2BE6" w:rsidRDefault="00D5421C" w:rsidP="00D5421C">
      <w:pPr>
        <w:jc w:val="left"/>
      </w:pPr>
      <w:r w:rsidRPr="009E2BE6">
        <w:tab/>
      </w:r>
      <w:r w:rsidRPr="009E2BE6">
        <w:tab/>
        <w:t xml:space="preserve">On December 19, 2014, the POs filed against the Complaint of Vincent E. Collier, III, were dismissed by order.  On January 26, 2015, a Notice of initial prehearing conference was issued which set the prehearing conference for February 9, 2015.  </w:t>
      </w:r>
    </w:p>
    <w:p w:rsidR="00D5421C" w:rsidRPr="009E2BE6" w:rsidRDefault="00D5421C" w:rsidP="00D5421C">
      <w:pPr>
        <w:jc w:val="left"/>
      </w:pPr>
    </w:p>
    <w:p w:rsidR="00D5421C" w:rsidRPr="009E2BE6" w:rsidRDefault="00D5421C" w:rsidP="00D5421C">
      <w:pPr>
        <w:jc w:val="left"/>
      </w:pPr>
      <w:r w:rsidRPr="009E2BE6">
        <w:tab/>
      </w:r>
      <w:r w:rsidRPr="009E2BE6">
        <w:tab/>
        <w:t>The prehearing conference was held as scheduled, with the Company represented by Thomas J. Sniscak, Esq., and William Lehman, Esq.; OCA was represented by Erin Gannon, Esq., and the Commission's Bureau of Investigation &amp; Enforcement was represented by P</w:t>
      </w:r>
      <w:r w:rsidR="00D3607D">
        <w:t>hillip </w:t>
      </w:r>
      <w:r w:rsidRPr="009E2BE6">
        <w:t xml:space="preserve">C. Kirschner, Esq.  Neither Ms. Shaub nor Mr. Collier attended, although Ms. Gannon stated that they simply were not able to attend and wished to remain parties to the case.  </w:t>
      </w:r>
    </w:p>
    <w:p w:rsidR="00D5421C" w:rsidRPr="009E2BE6" w:rsidRDefault="00D5421C" w:rsidP="00D5421C">
      <w:pPr>
        <w:jc w:val="left"/>
      </w:pPr>
    </w:p>
    <w:p w:rsidR="00D5421C" w:rsidRPr="009E2BE6" w:rsidRDefault="00D5421C" w:rsidP="00D5421C">
      <w:pPr>
        <w:jc w:val="left"/>
      </w:pPr>
      <w:r w:rsidRPr="009E2BE6">
        <w:tab/>
      </w:r>
      <w:r w:rsidRPr="009E2BE6">
        <w:tab/>
        <w:t xml:space="preserve">The parties agreed to continue to seek an amicable resolution to this matter, and asked that a second prehearing conference be set by which time they hoped to provide a stipulation that might resolve or streamline the litigation.  The second prehearing conference date was set as March 16, 2015 at 2:00 pm, and the prospective </w:t>
      </w:r>
      <w:r w:rsidR="005F00BA" w:rsidRPr="009E2BE6">
        <w:t xml:space="preserve">evidentiary hearing </w:t>
      </w:r>
      <w:r w:rsidRPr="009E2BE6">
        <w:t xml:space="preserve">dates were set for May 12 and 13, 2015.  The parties agreed to the discovery modifications offered by the Company, </w:t>
      </w:r>
      <w:r w:rsidR="00115236" w:rsidRPr="009E2BE6">
        <w:t xml:space="preserve">which were ordered by Scheduling Order issued February 9, 2015.  </w:t>
      </w:r>
    </w:p>
    <w:p w:rsidR="00115236" w:rsidRPr="009E2BE6" w:rsidRDefault="00115236" w:rsidP="00D5421C">
      <w:pPr>
        <w:jc w:val="left"/>
      </w:pPr>
    </w:p>
    <w:p w:rsidR="00115236" w:rsidRPr="009E2BE6" w:rsidRDefault="00115236" w:rsidP="00D5421C">
      <w:pPr>
        <w:jc w:val="left"/>
      </w:pPr>
      <w:r w:rsidRPr="009E2BE6">
        <w:tab/>
      </w:r>
      <w:r w:rsidRPr="009E2BE6">
        <w:tab/>
        <w:t xml:space="preserve">The parties continued to negotiate and asked that the May 12 and 13, 2015 hearing dates be converted to a further prehearing conference, which was done by notice issued March 31, 2015.  Prior to the scheduled prehearing conference, the parties reached a full settlement with all parties, and the prehearing conference was canceled.  </w:t>
      </w:r>
    </w:p>
    <w:p w:rsidR="00115236" w:rsidRPr="009E2BE6" w:rsidRDefault="00115236" w:rsidP="00D5421C">
      <w:pPr>
        <w:jc w:val="left"/>
      </w:pPr>
    </w:p>
    <w:p w:rsidR="00115236" w:rsidRPr="009E2BE6" w:rsidRDefault="00115236" w:rsidP="00D5421C">
      <w:pPr>
        <w:jc w:val="left"/>
      </w:pPr>
      <w:r w:rsidRPr="009E2BE6">
        <w:tab/>
      </w:r>
      <w:r w:rsidRPr="009E2BE6">
        <w:tab/>
        <w:t xml:space="preserve">On June 2, 2015, the parties filed a Joint Petition for Settlement and statements in support.  </w:t>
      </w:r>
      <w:r w:rsidR="008529AC" w:rsidRPr="009E2BE6">
        <w:t>The Petition states that Complainants Collier and Shaub authorized the Joint Petitioners to represent that they neither support nor oppose the proposed Settlement and agree to have their Formal Complain</w:t>
      </w:r>
      <w:r w:rsidR="002769C9">
        <w:t>t</w:t>
      </w:r>
      <w:r w:rsidR="008529AC" w:rsidRPr="009E2BE6">
        <w:t xml:space="preserve">s discontinued if the proposed Settlement is approved.  </w:t>
      </w:r>
      <w:r w:rsidRPr="009E2BE6">
        <w:t>For the reasons which appear below, approval without modification is recommended.</w:t>
      </w:r>
    </w:p>
    <w:p w:rsidR="00115236" w:rsidRPr="009E2BE6" w:rsidRDefault="00115236" w:rsidP="00D5421C">
      <w:pPr>
        <w:jc w:val="left"/>
      </w:pPr>
    </w:p>
    <w:p w:rsidR="00D3607D" w:rsidRDefault="00D3607D">
      <w:pPr>
        <w:rPr>
          <w:u w:val="single"/>
        </w:rPr>
      </w:pPr>
      <w:r>
        <w:rPr>
          <w:u w:val="single"/>
        </w:rPr>
        <w:br w:type="page"/>
      </w:r>
    </w:p>
    <w:p w:rsidR="00115236" w:rsidRPr="009E2BE6" w:rsidRDefault="00115236" w:rsidP="00115236">
      <w:pPr>
        <w:rPr>
          <w:u w:val="single"/>
        </w:rPr>
      </w:pPr>
      <w:r w:rsidRPr="009E2BE6">
        <w:rPr>
          <w:u w:val="single"/>
        </w:rPr>
        <w:t>TERMS OF THE SETTLEMENT</w:t>
      </w:r>
    </w:p>
    <w:p w:rsidR="00115236" w:rsidRPr="009E2BE6" w:rsidRDefault="00115236" w:rsidP="008529AC">
      <w:pPr>
        <w:jc w:val="left"/>
      </w:pPr>
    </w:p>
    <w:p w:rsidR="008529AC" w:rsidRPr="009E2BE6" w:rsidRDefault="008529AC" w:rsidP="00E50AAF">
      <w:pPr>
        <w:jc w:val="left"/>
      </w:pPr>
      <w:r w:rsidRPr="009E2BE6">
        <w:tab/>
      </w:r>
      <w:r w:rsidRPr="009E2BE6">
        <w:tab/>
        <w:t>Paragraphs 1 through 15 of the Joint Petition for Settlement are the history of the proceeding which do not need to be reproduced here.  Starting with Paragraph 16, the Terms of the Settlement are set forth below as they appear in the Joint Petition, with the numbers remaining the same for ease of reference.</w:t>
      </w:r>
    </w:p>
    <w:p w:rsidR="008529AC" w:rsidRPr="009E2BE6" w:rsidRDefault="008529AC" w:rsidP="008529AC">
      <w:pPr>
        <w:jc w:val="left"/>
      </w:pPr>
    </w:p>
    <w:p w:rsidR="008529AC" w:rsidRPr="009E2BE6" w:rsidRDefault="008529AC" w:rsidP="00ED03A7">
      <w:pPr>
        <w:spacing w:line="240" w:lineRule="auto"/>
        <w:ind w:left="1440" w:right="1440"/>
        <w:jc w:val="left"/>
        <w:rPr>
          <w:b/>
        </w:rPr>
      </w:pPr>
      <w:r w:rsidRPr="009E2BE6">
        <w:rPr>
          <w:b/>
        </w:rPr>
        <w:t>THE SETTLEMENT</w:t>
      </w:r>
    </w:p>
    <w:p w:rsidR="008529AC" w:rsidRPr="009E2BE6" w:rsidRDefault="008529AC" w:rsidP="00ED03A7">
      <w:pPr>
        <w:spacing w:line="240" w:lineRule="auto"/>
        <w:ind w:left="1440" w:right="1440"/>
        <w:jc w:val="left"/>
      </w:pPr>
    </w:p>
    <w:p w:rsidR="008529AC" w:rsidRPr="009E2BE6" w:rsidRDefault="008529AC" w:rsidP="00ED03A7">
      <w:pPr>
        <w:spacing w:line="240" w:lineRule="auto"/>
        <w:ind w:left="1440" w:right="1440"/>
        <w:jc w:val="left"/>
      </w:pPr>
      <w:r w:rsidRPr="009E2BE6">
        <w:tab/>
        <w:t>16.</w:t>
      </w:r>
      <w:r w:rsidRPr="009E2BE6">
        <w:tab/>
        <w:t>The parties engaged in discussions to determine if, consistent with the Commission's policy to "encourage settlements," stated at 52 Pa.Code § 5.231(a), an amicable resolution was possible.  I&amp;E, OCA, and Columbia Water engaged in intensive and time-consuming settlement negotiations to see if they could bridge their considerable differences – which they have.  The settlement provided by the Joint Petition is the product of those negotiations, representing give-and-take by all parties without admission.  The Joint Petitioners agree that this settlement is a reasonable resolution of this matter in a way that meets and promotes the public interest.  It also represents an outcome that is preferable to the time, expense and uncertainty of litigation before the Commission and potentially, appellate courts.</w:t>
      </w:r>
    </w:p>
    <w:p w:rsidR="008529AC" w:rsidRPr="009E2BE6" w:rsidRDefault="008529AC" w:rsidP="00ED03A7">
      <w:pPr>
        <w:spacing w:line="240" w:lineRule="auto"/>
        <w:ind w:left="1440" w:right="1440"/>
        <w:jc w:val="left"/>
      </w:pPr>
    </w:p>
    <w:p w:rsidR="00510F7E" w:rsidRPr="009E2BE6" w:rsidRDefault="00510F7E" w:rsidP="00ED03A7">
      <w:pPr>
        <w:spacing w:line="240" w:lineRule="auto"/>
        <w:ind w:left="1440" w:right="1440"/>
        <w:jc w:val="left"/>
      </w:pPr>
      <w:r w:rsidRPr="009E2BE6">
        <w:tab/>
        <w:t>17.</w:t>
      </w:r>
      <w:r w:rsidRPr="009E2BE6">
        <w:tab/>
        <w:t>Upon approval by Your Honor and the Commission of this Settlement, in full, without modification, the Company will file Supplement No. 7__</w:t>
      </w:r>
      <w:r w:rsidRPr="009E2BE6">
        <w:rPr>
          <w:rStyle w:val="FootnoteReference"/>
        </w:rPr>
        <w:footnoteReference w:id="1"/>
      </w:r>
      <w:r w:rsidRPr="009E2BE6">
        <w:t xml:space="preserve"> to Tariff – Water Pa. P.U.C. No. 7 in the general form attached to this Joint Petition as </w:t>
      </w:r>
      <w:r w:rsidRPr="009E2BE6">
        <w:rPr>
          <w:b/>
        </w:rPr>
        <w:t>Appendix A</w:t>
      </w:r>
      <w:r w:rsidRPr="009E2BE6">
        <w:t xml:space="preserve"> to become effective upon one day's notice.</w:t>
      </w:r>
    </w:p>
    <w:p w:rsidR="00ED03A7" w:rsidRPr="009E2BE6" w:rsidRDefault="00ED03A7" w:rsidP="00ED03A7">
      <w:pPr>
        <w:spacing w:line="240" w:lineRule="auto"/>
        <w:ind w:left="1440" w:right="1440"/>
        <w:jc w:val="left"/>
      </w:pPr>
    </w:p>
    <w:p w:rsidR="00510F7E" w:rsidRPr="009E2BE6" w:rsidRDefault="00510F7E" w:rsidP="00ED03A7">
      <w:pPr>
        <w:spacing w:line="240" w:lineRule="auto"/>
        <w:ind w:left="1440" w:right="1440"/>
        <w:jc w:val="left"/>
        <w:rPr>
          <w:b/>
        </w:rPr>
      </w:pPr>
      <w:r w:rsidRPr="009E2BE6">
        <w:rPr>
          <w:b/>
        </w:rPr>
        <w:t>Tariff Supplement</w:t>
      </w:r>
    </w:p>
    <w:p w:rsidR="00ED03A7" w:rsidRPr="009E2BE6" w:rsidRDefault="00ED03A7" w:rsidP="00ED03A7">
      <w:pPr>
        <w:spacing w:line="240" w:lineRule="auto"/>
        <w:ind w:left="1440" w:right="1440"/>
        <w:jc w:val="left"/>
        <w:rPr>
          <w:b/>
        </w:rPr>
      </w:pPr>
    </w:p>
    <w:p w:rsidR="00510F7E" w:rsidRPr="009E2BE6" w:rsidRDefault="00510F7E" w:rsidP="00ED03A7">
      <w:pPr>
        <w:spacing w:line="240" w:lineRule="auto"/>
        <w:ind w:left="1440" w:right="1440"/>
        <w:jc w:val="left"/>
      </w:pPr>
      <w:r w:rsidRPr="009E2BE6">
        <w:rPr>
          <w:b/>
        </w:rPr>
        <w:tab/>
      </w:r>
      <w:r w:rsidRPr="009E2BE6">
        <w:t>18.</w:t>
      </w:r>
      <w:r w:rsidRPr="009E2BE6">
        <w:tab/>
        <w:t>In its December 4, 2014 Order, the Commission approved a surcharge of $8.18 per equivalent dwelling unit ("EDU"), which has been in effect since January 1, 2015.  The settlement proposes an initial surcharge of the same amount.  The settlement proposes a different surcharge mechanism and procedures, however, that would replace the mechanism and procedures approved in the December 4, 2014 Order.</w:t>
      </w:r>
    </w:p>
    <w:p w:rsidR="00510F7E" w:rsidRPr="009E2BE6" w:rsidRDefault="00510F7E" w:rsidP="00ED03A7">
      <w:pPr>
        <w:spacing w:line="240" w:lineRule="auto"/>
        <w:ind w:left="1440" w:right="1440"/>
        <w:jc w:val="left"/>
      </w:pPr>
    </w:p>
    <w:p w:rsidR="00510F7E" w:rsidRPr="009E2BE6" w:rsidRDefault="00510F7E" w:rsidP="00ED03A7">
      <w:pPr>
        <w:spacing w:line="240" w:lineRule="auto"/>
        <w:ind w:left="1440" w:right="1440"/>
        <w:jc w:val="left"/>
      </w:pPr>
      <w:r w:rsidRPr="009E2BE6">
        <w:tab/>
        <w:t>19.</w:t>
      </w:r>
      <w:r w:rsidRPr="009E2BE6">
        <w:tab/>
        <w:t xml:space="preserve">Supplement No. 7__ adds a per equivalent dwelling unit PENNVEST prospectively adjustable surcharge (initially in the amount of </w:t>
      </w:r>
      <w:r w:rsidR="006E2F74" w:rsidRPr="009E2BE6">
        <w:t>$</w:t>
      </w:r>
      <w:r w:rsidRPr="009E2BE6">
        <w:t>8.18 per EDU).  This surcharge is calculated to recover the principal and interest amounts payable pursuant to the final amortization schedule for PENNVEST loan 80180, and shall remain in effect until all such principal and interest is recovered, at which point it shall be set to zero unless there are subsequent PENNVEST loans approved by the Commission for surcharge recovery.</w:t>
      </w:r>
    </w:p>
    <w:p w:rsidR="00510F7E" w:rsidRPr="009E2BE6" w:rsidRDefault="00510F7E" w:rsidP="00ED03A7">
      <w:pPr>
        <w:spacing w:line="240" w:lineRule="auto"/>
        <w:ind w:left="1440" w:right="1440"/>
        <w:jc w:val="left"/>
      </w:pPr>
    </w:p>
    <w:p w:rsidR="00B013A3" w:rsidRPr="009E2BE6" w:rsidRDefault="00510F7E" w:rsidP="00ED03A7">
      <w:pPr>
        <w:spacing w:line="240" w:lineRule="auto"/>
        <w:ind w:left="1440" w:right="1440"/>
        <w:jc w:val="left"/>
      </w:pPr>
      <w:r w:rsidRPr="009E2BE6">
        <w:tab/>
        <w:t>20.</w:t>
      </w:r>
      <w:r w:rsidRPr="009E2BE6">
        <w:tab/>
        <w:t>For the limited purpose of recovering PENNVEST loan principal and interest only for used and useful assets financed by such loan, an EDU surcharge will be uniformly applied to all classes of customers</w:t>
      </w:r>
      <w:r w:rsidR="008A6247" w:rsidRPr="009E2BE6">
        <w:t xml:space="preserve"> (with the exception of public fire protection customers) for service rendered on or after January 1 2015.  This per-EDU surcharge is calculated to recover the total principal and interest amounts payable pursuant to the final PENNVEST amortization schedule for Columbia's PENNVEST loan obligations.  This and the provisions below shall apply to</w:t>
      </w:r>
      <w:r w:rsidR="00B013A3" w:rsidRPr="009E2BE6">
        <w:t xml:space="preserve"> PENNVEST loan 80180 and any subsequent PENNVEST Loan approved for surcharge recovery by the Commission.</w:t>
      </w:r>
    </w:p>
    <w:p w:rsidR="00B013A3" w:rsidRPr="009E2BE6" w:rsidRDefault="00B013A3" w:rsidP="00ED03A7">
      <w:pPr>
        <w:spacing w:line="240" w:lineRule="auto"/>
        <w:ind w:left="1440" w:right="1440"/>
        <w:jc w:val="left"/>
      </w:pPr>
    </w:p>
    <w:p w:rsidR="00B013A3" w:rsidRPr="009E2BE6" w:rsidRDefault="00B013A3" w:rsidP="00ED03A7">
      <w:pPr>
        <w:spacing w:line="240" w:lineRule="auto"/>
        <w:ind w:left="1440" w:right="1440"/>
        <w:jc w:val="left"/>
      </w:pPr>
      <w:r w:rsidRPr="009E2BE6">
        <w:tab/>
        <w:t>21.</w:t>
      </w:r>
      <w:r w:rsidRPr="009E2BE6">
        <w:tab/>
        <w:t>The initial surcharge amount of $8.18 per EDU is determined as follows:</w:t>
      </w:r>
    </w:p>
    <w:p w:rsidR="00B013A3" w:rsidRPr="009E2BE6" w:rsidRDefault="00B013A3" w:rsidP="00ED03A7">
      <w:pPr>
        <w:spacing w:line="240" w:lineRule="auto"/>
        <w:ind w:left="1440" w:right="1440"/>
        <w:jc w:val="left"/>
      </w:pPr>
    </w:p>
    <w:p w:rsidR="00510F7E" w:rsidRPr="009E2BE6" w:rsidRDefault="00B013A3" w:rsidP="00ED03A7">
      <w:pPr>
        <w:spacing w:line="240" w:lineRule="auto"/>
        <w:ind w:left="1440" w:right="1440"/>
      </w:pPr>
      <w:r w:rsidRPr="009E2BE6">
        <w:t>PVS</w:t>
      </w:r>
      <w:r w:rsidR="00F877B3" w:rsidRPr="009E2BE6">
        <w:t xml:space="preserve"> </w:t>
      </w:r>
      <w:r w:rsidRPr="009E2BE6">
        <w:t>=</w:t>
      </w:r>
      <w:r w:rsidR="00F877B3" w:rsidRPr="009E2BE6">
        <w:t xml:space="preserve"> </w:t>
      </w:r>
      <w:r w:rsidRPr="009E2BE6">
        <w:t>(PI/EDU's)/12</w:t>
      </w:r>
    </w:p>
    <w:p w:rsidR="00B013A3" w:rsidRPr="009E2BE6" w:rsidRDefault="00B013A3" w:rsidP="00ED03A7">
      <w:pPr>
        <w:spacing w:line="240" w:lineRule="auto"/>
        <w:ind w:left="1440" w:right="1440"/>
        <w:jc w:val="left"/>
      </w:pPr>
      <w:r w:rsidRPr="009E2BE6">
        <w:t>PVS</w:t>
      </w:r>
      <w:r w:rsidRPr="009E2BE6">
        <w:tab/>
        <w:t>=</w:t>
      </w:r>
      <w:r w:rsidRPr="009E2BE6">
        <w:tab/>
        <w:t>Prospective Penn Vest Monthly Surcharge per EDU</w:t>
      </w:r>
    </w:p>
    <w:p w:rsidR="00B013A3" w:rsidRPr="009E2BE6" w:rsidRDefault="00B013A3" w:rsidP="00ED03A7">
      <w:pPr>
        <w:spacing w:line="240" w:lineRule="auto"/>
        <w:ind w:left="1440" w:right="1440"/>
        <w:jc w:val="left"/>
      </w:pPr>
      <w:r w:rsidRPr="009E2BE6">
        <w:t>PI</w:t>
      </w:r>
      <w:r w:rsidRPr="009E2BE6">
        <w:tab/>
        <w:t xml:space="preserve">= </w:t>
      </w:r>
      <w:r w:rsidRPr="009E2BE6">
        <w:tab/>
        <w:t>Annual Principal and Interest per PennVest Loan</w:t>
      </w:r>
    </w:p>
    <w:p w:rsidR="00B013A3" w:rsidRPr="009E2BE6" w:rsidRDefault="00B013A3" w:rsidP="00ED03A7">
      <w:pPr>
        <w:spacing w:line="240" w:lineRule="auto"/>
        <w:ind w:left="1440" w:right="1440"/>
        <w:jc w:val="left"/>
      </w:pPr>
      <w:r w:rsidRPr="009E2BE6">
        <w:t>EDU's</w:t>
      </w:r>
      <w:r w:rsidRPr="009E2BE6">
        <w:tab/>
        <w:t>=</w:t>
      </w:r>
      <w:r w:rsidRPr="009E2BE6">
        <w:tab/>
        <w:t xml:space="preserve">Current Equivalent Dwelling Units as determined </w:t>
      </w:r>
      <w:r w:rsidR="00F877B3" w:rsidRPr="009E2BE6">
        <w:tab/>
      </w:r>
      <w:r w:rsidR="00F877B3" w:rsidRPr="009E2BE6">
        <w:tab/>
      </w:r>
      <w:r w:rsidR="00F877B3" w:rsidRPr="009E2BE6">
        <w:tab/>
      </w:r>
      <w:r w:rsidRPr="009E2BE6">
        <w:t>from</w:t>
      </w:r>
      <w:r w:rsidR="00F877B3" w:rsidRPr="009E2BE6">
        <w:t xml:space="preserve"> t</w:t>
      </w:r>
      <w:r w:rsidRPr="009E2BE6">
        <w:t>he Company's Billing Records</w:t>
      </w:r>
    </w:p>
    <w:p w:rsidR="00B013A3" w:rsidRPr="009E2BE6" w:rsidRDefault="00B013A3" w:rsidP="00ED03A7">
      <w:pPr>
        <w:spacing w:line="240" w:lineRule="auto"/>
        <w:ind w:left="1440" w:right="1440"/>
        <w:jc w:val="left"/>
      </w:pPr>
    </w:p>
    <w:p w:rsidR="00B013A3" w:rsidRPr="009E2BE6" w:rsidRDefault="00B013A3" w:rsidP="00ED03A7">
      <w:pPr>
        <w:spacing w:line="240" w:lineRule="auto"/>
        <w:ind w:left="1440" w:right="1440"/>
        <w:jc w:val="left"/>
      </w:pPr>
      <w:r w:rsidRPr="009E2BE6">
        <w:tab/>
        <w:t>22.</w:t>
      </w:r>
      <w:r w:rsidRPr="009E2BE6">
        <w:tab/>
        <w:t>The Company shall recalculate the prospective surcharge amount in a Section 1308 filing made within 60 days of a material change to PI or EDU's and at the time of general rate case filings under Section 1308(d).  For purposes of this recalculation, a material change is a change that would result in a cumulative increase or decrease in the currently-approved PVS of 1.5% or more.</w:t>
      </w:r>
    </w:p>
    <w:p w:rsidR="00B013A3" w:rsidRPr="009E2BE6" w:rsidRDefault="00B013A3" w:rsidP="00ED03A7">
      <w:pPr>
        <w:spacing w:line="240" w:lineRule="auto"/>
        <w:ind w:left="1440" w:right="1440"/>
        <w:jc w:val="left"/>
      </w:pPr>
    </w:p>
    <w:p w:rsidR="00B013A3" w:rsidRPr="009E2BE6" w:rsidRDefault="00B013A3" w:rsidP="00ED03A7">
      <w:pPr>
        <w:spacing w:line="240" w:lineRule="auto"/>
        <w:ind w:left="1440" w:right="1440"/>
        <w:jc w:val="left"/>
      </w:pPr>
      <w:r w:rsidRPr="009E2BE6">
        <w:tab/>
        <w:t>23.</w:t>
      </w:r>
      <w:r w:rsidRPr="009E2BE6">
        <w:tab/>
        <w:t xml:space="preserve">The surcharge is reflected as a separate line item on each customer's bill and will remain in effect until all the principal and interest charges (amounts payable pursuant </w:t>
      </w:r>
      <w:r w:rsidR="00D3607D" w:rsidRPr="009E2BE6">
        <w:t>to</w:t>
      </w:r>
      <w:r w:rsidRPr="009E2BE6">
        <w:t xml:space="preserve"> the final amortization schedule) for the applicable loan have been collected.  The surcharge mechanism will be continued but set at zero if there are no PENNVEST loans approved by the Commission for surcharge recovery.</w:t>
      </w:r>
    </w:p>
    <w:p w:rsidR="00B013A3" w:rsidRPr="009E2BE6" w:rsidRDefault="00B013A3" w:rsidP="00ED03A7">
      <w:pPr>
        <w:spacing w:line="240" w:lineRule="auto"/>
        <w:ind w:left="1440" w:right="1440"/>
        <w:jc w:val="left"/>
      </w:pPr>
      <w:r w:rsidRPr="009E2BE6">
        <w:tab/>
        <w:t>24.</w:t>
      </w:r>
      <w:r w:rsidRPr="009E2BE6">
        <w:tab/>
        <w:t>The surcharge is solely designed to begin timely recover</w:t>
      </w:r>
      <w:r w:rsidR="006E2F74" w:rsidRPr="009E2BE6">
        <w:t>y</w:t>
      </w:r>
      <w:r w:rsidRPr="009E2BE6">
        <w:t xml:space="preserve"> of PENNVEST principal and interest loan obligations(s).[sic]</w:t>
      </w:r>
    </w:p>
    <w:p w:rsidR="00B013A3" w:rsidRPr="009E2BE6" w:rsidRDefault="00B013A3" w:rsidP="00ED03A7">
      <w:pPr>
        <w:spacing w:line="240" w:lineRule="auto"/>
        <w:ind w:left="1440" w:right="1440"/>
        <w:jc w:val="left"/>
      </w:pPr>
    </w:p>
    <w:p w:rsidR="00B013A3" w:rsidRPr="009E2BE6" w:rsidRDefault="00B013A3" w:rsidP="00ED03A7">
      <w:pPr>
        <w:spacing w:line="240" w:lineRule="auto"/>
        <w:ind w:left="1440" w:right="1440"/>
        <w:jc w:val="left"/>
      </w:pPr>
      <w:r w:rsidRPr="009E2BE6">
        <w:tab/>
        <w:t>25.</w:t>
      </w:r>
      <w:r w:rsidRPr="009E2BE6">
        <w:tab/>
        <w:t>The Company will segregate all revenues dedicated for PENNVEST repayment so long as the surcharge remains in effect.</w:t>
      </w:r>
    </w:p>
    <w:p w:rsidR="00ED03A7" w:rsidRPr="009E2BE6" w:rsidRDefault="00ED03A7" w:rsidP="00ED03A7">
      <w:pPr>
        <w:spacing w:line="240" w:lineRule="auto"/>
        <w:ind w:left="1440" w:right="1440"/>
        <w:jc w:val="left"/>
      </w:pPr>
    </w:p>
    <w:p w:rsidR="00B013A3" w:rsidRDefault="00B013A3" w:rsidP="00ED03A7">
      <w:pPr>
        <w:spacing w:line="240" w:lineRule="auto"/>
        <w:ind w:left="1440" w:right="1440"/>
        <w:jc w:val="left"/>
        <w:rPr>
          <w:b/>
        </w:rPr>
      </w:pPr>
      <w:r w:rsidRPr="009E2BE6">
        <w:rPr>
          <w:b/>
        </w:rPr>
        <w:t>Additional Settlement Terms</w:t>
      </w:r>
    </w:p>
    <w:p w:rsidR="00E50AAF" w:rsidRPr="009E2BE6" w:rsidRDefault="00E50AAF" w:rsidP="00ED03A7">
      <w:pPr>
        <w:spacing w:line="240" w:lineRule="auto"/>
        <w:ind w:left="1440" w:right="1440"/>
        <w:jc w:val="left"/>
        <w:rPr>
          <w:b/>
        </w:rPr>
      </w:pPr>
    </w:p>
    <w:p w:rsidR="00B013A3" w:rsidRPr="009E2BE6" w:rsidRDefault="00B013A3" w:rsidP="00ED03A7">
      <w:pPr>
        <w:spacing w:line="240" w:lineRule="auto"/>
        <w:ind w:left="1440" w:right="1440"/>
        <w:jc w:val="left"/>
      </w:pPr>
      <w:r w:rsidRPr="009E2BE6">
        <w:rPr>
          <w:b/>
        </w:rPr>
        <w:tab/>
      </w:r>
      <w:r w:rsidRPr="009E2BE6">
        <w:t>26.</w:t>
      </w:r>
      <w:r w:rsidRPr="009E2BE6">
        <w:tab/>
        <w:t>The OCA agrees that the surcharge mechanism in the proposed tariff supplement may be used for recovery of future PENNVEST loans filed pursuant to Section 1308(a) or (d).</w:t>
      </w:r>
    </w:p>
    <w:p w:rsidR="00B013A3" w:rsidRPr="009E2BE6" w:rsidRDefault="00B013A3" w:rsidP="00ED03A7">
      <w:pPr>
        <w:spacing w:line="240" w:lineRule="auto"/>
        <w:ind w:left="1440" w:right="1440"/>
        <w:jc w:val="left"/>
      </w:pPr>
    </w:p>
    <w:p w:rsidR="00B013A3" w:rsidRPr="009E2BE6" w:rsidRDefault="00B013A3" w:rsidP="00ED03A7">
      <w:pPr>
        <w:spacing w:line="240" w:lineRule="auto"/>
        <w:ind w:left="1440" w:right="1440"/>
        <w:jc w:val="left"/>
      </w:pPr>
      <w:r w:rsidRPr="009E2BE6">
        <w:tab/>
        <w:t>27.</w:t>
      </w:r>
      <w:r w:rsidRPr="009E2BE6">
        <w:tab/>
        <w:t xml:space="preserve">Subject to any Commission Order establishing single tariff pricing:  a) the PENNVEST surcharge for Loan 80180 shall apply to Columbia Division customers only, and b) the PENNVEST surcharge for any future loan(s) </w:t>
      </w:r>
      <w:r w:rsidR="00FF339A" w:rsidRPr="009E2BE6">
        <w:t>shall apply only to the Division whose customers are served by the PENNVEST-funded plant.  If more than one PENNVEST loan is approved by the Commission for surcharge recovery and the loans relate to more than one Division, a separate surcharge amount will apply to each Division.</w:t>
      </w:r>
    </w:p>
    <w:p w:rsidR="00FF339A" w:rsidRPr="009E2BE6" w:rsidRDefault="00FF339A" w:rsidP="00ED03A7">
      <w:pPr>
        <w:spacing w:line="240" w:lineRule="auto"/>
        <w:ind w:left="1440" w:right="1440"/>
        <w:jc w:val="left"/>
      </w:pPr>
    </w:p>
    <w:p w:rsidR="00F173B0" w:rsidRPr="009E2BE6" w:rsidRDefault="00FF339A" w:rsidP="00ED03A7">
      <w:pPr>
        <w:spacing w:line="240" w:lineRule="auto"/>
        <w:ind w:left="1440" w:right="1440"/>
        <w:jc w:val="left"/>
      </w:pPr>
      <w:r w:rsidRPr="009E2BE6">
        <w:tab/>
        <w:t>28.</w:t>
      </w:r>
      <w:r w:rsidRPr="009E2BE6">
        <w:tab/>
        <w:t>During the existence of each PENNVEST loan and associated surcharge or portion thereof, the Company will not claim in any rate filing</w:t>
      </w:r>
      <w:r w:rsidR="00F173B0" w:rsidRPr="009E2BE6">
        <w:t>, return on (profit) or return of (depreciation expense) the used and useful assets financed by such existing PENNVEST loan being recovered through this surcharge.  All parties reserve their right to oppose any claim by the Company for rate base recovery of the assets financed by any PENNVEST loan recovered by surcharge.</w:t>
      </w:r>
    </w:p>
    <w:p w:rsidR="00F173B0" w:rsidRPr="009E2BE6" w:rsidRDefault="00F173B0" w:rsidP="00ED03A7">
      <w:pPr>
        <w:spacing w:line="240" w:lineRule="auto"/>
        <w:ind w:left="1440" w:right="1440"/>
        <w:jc w:val="left"/>
      </w:pPr>
    </w:p>
    <w:p w:rsidR="00F173B0" w:rsidRPr="009E2BE6" w:rsidRDefault="00F173B0" w:rsidP="00ED03A7">
      <w:pPr>
        <w:spacing w:line="240" w:lineRule="auto"/>
        <w:ind w:left="1440" w:right="1440"/>
        <w:jc w:val="left"/>
      </w:pPr>
      <w:r w:rsidRPr="009E2BE6">
        <w:tab/>
        <w:t>29.</w:t>
      </w:r>
      <w:r w:rsidRPr="009E2BE6">
        <w:tab/>
        <w:t>The Commission's approval of the Settlement shall not be construed as approval of any Joint Petitioner's position on any issue, except to the extent required to effectuate the terms and agreements of the Settlement.  Accordingly, this Settlement may not be cited as precedent in any future proceeding, except to the extent required to implement or to enforce this Settlement.</w:t>
      </w:r>
    </w:p>
    <w:p w:rsidR="00F173B0" w:rsidRPr="009E2BE6" w:rsidRDefault="00F173B0" w:rsidP="00ED03A7">
      <w:pPr>
        <w:spacing w:line="240" w:lineRule="auto"/>
        <w:ind w:left="1440" w:right="1440"/>
        <w:jc w:val="left"/>
      </w:pPr>
    </w:p>
    <w:p w:rsidR="00F173B0" w:rsidRPr="009E2BE6" w:rsidRDefault="00F173B0" w:rsidP="00ED03A7">
      <w:pPr>
        <w:spacing w:line="240" w:lineRule="auto"/>
        <w:ind w:left="1440" w:right="1440"/>
        <w:jc w:val="left"/>
      </w:pPr>
      <w:r w:rsidRPr="009E2BE6">
        <w:tab/>
        <w:t>30.</w:t>
      </w:r>
      <w:r w:rsidRPr="009E2BE6">
        <w:tab/>
        <w:t>It is understood and agreed among the Joint Petitioners that the Settlement is the result of compromise and does not necessarily represent the position(s) that would be advanced by any Joint Petitioner in this or any other proceeding, if it were fully litigated.</w:t>
      </w:r>
    </w:p>
    <w:p w:rsidR="00F173B0" w:rsidRPr="009E2BE6" w:rsidRDefault="00F173B0" w:rsidP="00ED03A7">
      <w:pPr>
        <w:spacing w:line="240" w:lineRule="auto"/>
        <w:ind w:left="1440" w:right="1440"/>
        <w:jc w:val="left"/>
      </w:pPr>
    </w:p>
    <w:p w:rsidR="00FF339A" w:rsidRPr="009E2BE6" w:rsidRDefault="00F173B0" w:rsidP="00ED03A7">
      <w:pPr>
        <w:spacing w:line="240" w:lineRule="auto"/>
        <w:ind w:left="1440" w:right="1440"/>
        <w:jc w:val="left"/>
      </w:pPr>
      <w:r w:rsidRPr="009E2BE6">
        <w:tab/>
        <w:t>31.</w:t>
      </w:r>
      <w:r w:rsidRPr="009E2BE6">
        <w:tab/>
        <w:t>This Settlement is being presented only in the context of this proceeding in an effort to resolve the issues presented in this proceeding in a manner that is fair and reasonable.</w:t>
      </w:r>
      <w:r w:rsidR="00FF339A" w:rsidRPr="009E2BE6">
        <w:t xml:space="preserve"> </w:t>
      </w:r>
      <w:r w:rsidR="00B0679C" w:rsidRPr="009E2BE6">
        <w:t xml:space="preserve">The Settlement is the product of compromise.  This Settlement is presented without prejudice to any position which any of the Joint Petitioners may have advanced and without prejudice to the position any of the Joint Petitioners may advance on the merits of the issues in future proceedings, except to the extent necessary to effectuate or enforce the terms and conditions of this Settlement.  </w:t>
      </w:r>
    </w:p>
    <w:p w:rsidR="00B0679C" w:rsidRPr="009E2BE6" w:rsidRDefault="00B0679C" w:rsidP="00ED03A7">
      <w:pPr>
        <w:spacing w:line="240" w:lineRule="auto"/>
        <w:ind w:left="1440" w:right="1440"/>
        <w:jc w:val="left"/>
      </w:pPr>
    </w:p>
    <w:p w:rsidR="00B0679C" w:rsidRPr="009E2BE6" w:rsidRDefault="00B0679C" w:rsidP="00ED03A7">
      <w:pPr>
        <w:spacing w:line="240" w:lineRule="auto"/>
        <w:ind w:left="1440" w:right="1440"/>
        <w:jc w:val="left"/>
      </w:pPr>
      <w:r w:rsidRPr="009E2BE6">
        <w:tab/>
        <w:t>32.</w:t>
      </w:r>
      <w:r w:rsidRPr="009E2BE6">
        <w:tab/>
        <w:t xml:space="preserve">This Settlement is conditioned upon the Commission's approval of the terms and conditions contained herein without modification.  In reaching </w:t>
      </w:r>
      <w:r w:rsidR="000E376B" w:rsidRPr="009E2BE6">
        <w:t>this Settlement, the Joint Petitioners thoroughly considered all issues and give and take of positions.  As a result of that consideration, the Joint Petitioners believe that the settlement agreement meaningfully addresses all such issues raised and therefore should be approved without modification.  If the Commission should disapprove the Settlement or modify any terms and conditions herein, this Settlement may be withdrawn upon written notice to the Commission and all active parties within five (5) business days following entry of the Commission's Order by any of the Joint Petitioners and, in such event, shall be of no force and effect.  In the event that the Commission disapproves the Settlement or the Company and other Joint Petitioner elects to withdraw the Settlement as provided above, the Joint Petitioners reserve their respective rights to fully litigate this case, including, but not limited to, presentation of witnesses, cross-examination and legal argument through submission of Briefs, Exceptions and Replies to Exceptions.</w:t>
      </w:r>
    </w:p>
    <w:p w:rsidR="000E376B" w:rsidRPr="009E2BE6" w:rsidRDefault="000E376B" w:rsidP="00ED03A7">
      <w:pPr>
        <w:spacing w:line="240" w:lineRule="auto"/>
        <w:ind w:left="1440" w:right="1440"/>
        <w:jc w:val="left"/>
      </w:pPr>
    </w:p>
    <w:p w:rsidR="000E376B" w:rsidRPr="009E2BE6" w:rsidRDefault="000E376B" w:rsidP="00ED03A7">
      <w:pPr>
        <w:spacing w:line="240" w:lineRule="auto"/>
        <w:ind w:left="1440" w:right="1440"/>
        <w:jc w:val="left"/>
      </w:pPr>
      <w:r w:rsidRPr="009E2BE6">
        <w:tab/>
        <w:t>33.</w:t>
      </w:r>
      <w:r w:rsidRPr="009E2BE6">
        <w:tab/>
        <w:t>All Joint Petitioners shall support the Settlement and make reasonable and good faith efforts to obtain approval of the Settlement by the ALJ and the Commission without modification</w:t>
      </w:r>
      <w:r w:rsidR="00ED03A7" w:rsidRPr="009E2BE6">
        <w:t>.  If the ALJ, in her Recommended Decision, recommends that the Commission adopt the Settlement as herein proposed without modification, the Joint Petitioners agree to waive the filing of Exceptions with respect to any issues resolved by the Settlement.  However, to the extent any terms and conditions of the Settlement are modified, or additional matters are proposed by the ALJ in her Recommended Decision, the Joint Petitioners do not waive their rights to fi</w:t>
      </w:r>
      <w:r w:rsidR="00635306">
        <w:t>l</w:t>
      </w:r>
      <w:r w:rsidR="00ED03A7" w:rsidRPr="009E2BE6">
        <w:t>e Exceptions in support of the Settlement.  The Joint Petitioners also reserve the right to file Replies to any Exceptions that may be filed.</w:t>
      </w:r>
    </w:p>
    <w:p w:rsidR="00ED03A7" w:rsidRPr="009E2BE6" w:rsidRDefault="00ED03A7" w:rsidP="00A02619">
      <w:pPr>
        <w:ind w:left="1440" w:right="1440"/>
        <w:jc w:val="left"/>
      </w:pPr>
    </w:p>
    <w:p w:rsidR="00ED03A7" w:rsidRPr="009E2BE6" w:rsidRDefault="00635306" w:rsidP="00D3607D">
      <w:pPr>
        <w:jc w:val="left"/>
      </w:pPr>
      <w:r>
        <w:t>(</w:t>
      </w:r>
      <w:r w:rsidR="00ED03A7" w:rsidRPr="009E2BE6">
        <w:t>End direct quote of Joint Petition for Settlement.</w:t>
      </w:r>
      <w:r>
        <w:t>)</w:t>
      </w:r>
      <w:r w:rsidR="00ED03A7" w:rsidRPr="009E2BE6">
        <w:t xml:space="preserve">  Additional paragraphs in the Joint Petition provide for the execution in joint documents, and state that the Settlement is in the public interest for reasons discussed further below.</w:t>
      </w:r>
    </w:p>
    <w:p w:rsidR="00F877B3" w:rsidRPr="009E2BE6" w:rsidRDefault="00F877B3" w:rsidP="00D3607D">
      <w:pPr>
        <w:jc w:val="left"/>
      </w:pPr>
    </w:p>
    <w:p w:rsidR="00F877B3" w:rsidRPr="009E2BE6" w:rsidRDefault="00F877B3" w:rsidP="00D3607D">
      <w:pPr>
        <w:rPr>
          <w:u w:val="single"/>
        </w:rPr>
      </w:pPr>
      <w:r w:rsidRPr="009E2BE6">
        <w:rPr>
          <w:u w:val="single"/>
        </w:rPr>
        <w:t>DISCUSSION</w:t>
      </w:r>
    </w:p>
    <w:p w:rsidR="00F877B3" w:rsidRPr="009E2BE6" w:rsidRDefault="00F877B3" w:rsidP="00D3607D">
      <w:pPr>
        <w:rPr>
          <w:u w:val="single"/>
        </w:rPr>
      </w:pPr>
    </w:p>
    <w:p w:rsidR="00537624" w:rsidRPr="009E2BE6" w:rsidRDefault="00A55FA0" w:rsidP="00D3607D">
      <w:pPr>
        <w:jc w:val="left"/>
      </w:pPr>
      <w:r w:rsidRPr="009E2BE6">
        <w:rPr>
          <w:b/>
        </w:rPr>
        <w:t>Columbia's Proposal</w:t>
      </w:r>
    </w:p>
    <w:p w:rsidR="00A55FA0" w:rsidRPr="009E2BE6" w:rsidRDefault="00A55FA0" w:rsidP="00D3607D">
      <w:pPr>
        <w:jc w:val="left"/>
      </w:pPr>
    </w:p>
    <w:p w:rsidR="004A48D3" w:rsidRPr="009E2BE6" w:rsidRDefault="00A55FA0" w:rsidP="00D3607D">
      <w:pPr>
        <w:jc w:val="left"/>
      </w:pPr>
      <w:r w:rsidRPr="009E2BE6">
        <w:tab/>
      </w:r>
      <w:r w:rsidRPr="009E2BE6">
        <w:tab/>
        <w:t>Columbia's proposal was to establish a PENNVEST surcharge pursuant to 52 Pa.Code §§ 69.361 e seq. and 66 Pa.C.S. § 1307(1) to provide for repayment of a $15.25 million loan (No. 80180)</w:t>
      </w:r>
      <w:r w:rsidR="004A48D3" w:rsidRPr="009E2BE6">
        <w:t>, effective date January 1, 2015</w:t>
      </w:r>
      <w:r w:rsidRPr="009E2BE6">
        <w:t>.</w:t>
      </w:r>
      <w:r w:rsidR="004A48D3" w:rsidRPr="009E2BE6">
        <w:t xml:space="preserve">  The proposed surcharge was to recover funds secured to upgrade the Walnut Street Water Treatment Plant and related facilities in the Borough of Columbia, Lancaster County.  </w:t>
      </w:r>
      <w:r w:rsidR="0001059C" w:rsidRPr="009E2BE6">
        <w:t xml:space="preserve"> The upgrade is intended to increase capacity as well as to meet more rigorous environmental water quality requirements of </w:t>
      </w:r>
      <w:r w:rsidR="002769C9">
        <w:t xml:space="preserve">the Pennsylvania </w:t>
      </w:r>
      <w:r w:rsidR="0001059C" w:rsidRPr="009E2BE6">
        <w:t>D</w:t>
      </w:r>
      <w:r w:rsidR="002769C9">
        <w:t xml:space="preserve">epartment of </w:t>
      </w:r>
      <w:r w:rsidR="0001059C" w:rsidRPr="009E2BE6">
        <w:t>E</w:t>
      </w:r>
      <w:r w:rsidR="002769C9">
        <w:t xml:space="preserve">nvironmental </w:t>
      </w:r>
      <w:r w:rsidR="0001059C" w:rsidRPr="009E2BE6">
        <w:t>P</w:t>
      </w:r>
      <w:r w:rsidR="002769C9">
        <w:t>rotection</w:t>
      </w:r>
      <w:r w:rsidR="0001059C" w:rsidRPr="009E2BE6">
        <w:t xml:space="preserve">.  </w:t>
      </w:r>
    </w:p>
    <w:p w:rsidR="004A48D3" w:rsidRPr="009E2BE6" w:rsidRDefault="004A48D3" w:rsidP="00A55FA0">
      <w:pPr>
        <w:jc w:val="left"/>
      </w:pPr>
    </w:p>
    <w:p w:rsidR="00DF513C" w:rsidRPr="009E2BE6" w:rsidRDefault="004A48D3" w:rsidP="00A55FA0">
      <w:pPr>
        <w:jc w:val="left"/>
      </w:pPr>
      <w:r w:rsidRPr="009E2BE6">
        <w:tab/>
      </w:r>
      <w:r w:rsidRPr="009E2BE6">
        <w:tab/>
        <w:t xml:space="preserve">Columbia proposed an initial flat rate monthly surcharge of $8.18 per Equivalent Dwelling Unit (EDU) to recover the necessary funds.  Each customer's EDU is based on the size of the water meter.  The surcharge would be adjusted to conform to the principal and interest amounts payable pursuant to the final PENNVEST amortization schedule.   </w:t>
      </w:r>
      <w:r w:rsidR="00DF513C" w:rsidRPr="009E2BE6">
        <w:t>In its Order entered December 4, 2014, the Commission stated:</w:t>
      </w:r>
    </w:p>
    <w:p w:rsidR="00DF513C" w:rsidRPr="009E2BE6" w:rsidRDefault="00DF513C" w:rsidP="00A55FA0">
      <w:pPr>
        <w:jc w:val="left"/>
      </w:pPr>
    </w:p>
    <w:p w:rsidR="00DF513C" w:rsidRDefault="00A63E13" w:rsidP="005C5418">
      <w:pPr>
        <w:spacing w:line="240" w:lineRule="auto"/>
        <w:ind w:left="1440" w:right="1440"/>
        <w:contextualSpacing/>
        <w:jc w:val="left"/>
        <w:rPr>
          <w:spacing w:val="3"/>
        </w:rPr>
      </w:pPr>
      <w:r w:rsidRPr="009E2BE6">
        <w:tab/>
      </w:r>
      <w:r w:rsidR="00DF513C" w:rsidRPr="009E2BE6">
        <w:rPr>
          <w:spacing w:val="3"/>
        </w:rPr>
        <w:t>We find the supporting data accompanying the filing is in conformance with the Commission's Statement of Policy, PENNVEST Loan Obligations for Water</w:t>
      </w:r>
      <w:r w:rsidR="00486F0A" w:rsidRPr="009E2BE6">
        <w:rPr>
          <w:spacing w:val="3"/>
        </w:rPr>
        <w:t xml:space="preserve"> and Sewer Companies, at 52 Pa.</w:t>
      </w:r>
      <w:r w:rsidR="00DF513C" w:rsidRPr="009E2BE6">
        <w:rPr>
          <w:spacing w:val="3"/>
        </w:rPr>
        <w:t>Cod</w:t>
      </w:r>
      <w:r w:rsidR="00486F0A" w:rsidRPr="009E2BE6">
        <w:rPr>
          <w:spacing w:val="3"/>
        </w:rPr>
        <w:t>e §§ 69.361 et. seq. and 66 Pa.</w:t>
      </w:r>
      <w:r w:rsidR="00DF513C" w:rsidRPr="009E2BE6">
        <w:rPr>
          <w:spacing w:val="3"/>
        </w:rPr>
        <w:t>C.S. § 1307 (a).  However, the proposed tariff supplement is lacking key information necessary to meet the requirements of 66 Pa.C.S. § 1307(e) and 52 Pa. Code § 63.363(e)</w:t>
      </w:r>
      <w:r w:rsidRPr="009E2BE6">
        <w:rPr>
          <w:spacing w:val="3"/>
        </w:rPr>
        <w:t xml:space="preserve">[sic] </w:t>
      </w:r>
      <w:r w:rsidR="00DF513C" w:rsidRPr="009E2BE6">
        <w:rPr>
          <w:spacing w:val="3"/>
        </w:rPr>
        <w:t xml:space="preserve">pertaining to reconciliation.  </w:t>
      </w:r>
      <w:r w:rsidR="00DF513C" w:rsidRPr="009E2BE6">
        <w:rPr>
          <w:spacing w:val="1"/>
        </w:rPr>
        <w:t>D</w:t>
      </w:r>
      <w:r w:rsidR="00DF513C" w:rsidRPr="009E2BE6">
        <w:rPr>
          <w:spacing w:val="3"/>
        </w:rPr>
        <w:t>ue to the stringent repayment schedule requiring Columbia to make its first installment in March 2015, we shall afford Columbia the opportunity to revise its proposed tariff supplement to capture the details noted below.  Furthermore, approval of the tariff supplement is subject to any refunds or adjustments resulting from the resolution of the above referenced formal complaints as well as any other complaints that may be filed.  Specifically, the following details are to be added to the proposed tariff supplement:</w:t>
      </w:r>
    </w:p>
    <w:p w:rsidR="00E50AAF" w:rsidRPr="009E2BE6" w:rsidRDefault="00E50AAF" w:rsidP="005C5418">
      <w:pPr>
        <w:spacing w:line="240" w:lineRule="auto"/>
        <w:ind w:left="1440" w:right="1440"/>
        <w:contextualSpacing/>
        <w:jc w:val="left"/>
        <w:rPr>
          <w:spacing w:val="3"/>
        </w:rPr>
      </w:pPr>
    </w:p>
    <w:p w:rsidR="00DF513C" w:rsidRPr="009E2BE6" w:rsidRDefault="00DF513C" w:rsidP="005C5418">
      <w:pPr>
        <w:pStyle w:val="ListParagraph"/>
        <w:numPr>
          <w:ilvl w:val="0"/>
          <w:numId w:val="2"/>
        </w:numPr>
        <w:ind w:left="1440" w:right="1440"/>
        <w:rPr>
          <w:sz w:val="24"/>
          <w:szCs w:val="24"/>
        </w:rPr>
      </w:pPr>
      <w:r w:rsidRPr="009E2BE6">
        <w:rPr>
          <w:spacing w:val="3"/>
          <w:sz w:val="24"/>
          <w:szCs w:val="24"/>
        </w:rPr>
        <w:t>Language stating the</w:t>
      </w:r>
      <w:r w:rsidRPr="009E2BE6">
        <w:rPr>
          <w:sz w:val="24"/>
          <w:szCs w:val="24"/>
        </w:rPr>
        <w:t xml:space="preserve"> PENNVEST surcharge is “Subject to audit and review”.</w:t>
      </w:r>
    </w:p>
    <w:p w:rsidR="00DF513C" w:rsidRPr="009E2BE6" w:rsidRDefault="00DF513C" w:rsidP="00F27D23">
      <w:pPr>
        <w:pStyle w:val="ListParagraph"/>
        <w:numPr>
          <w:ilvl w:val="0"/>
          <w:numId w:val="2"/>
        </w:numPr>
        <w:spacing w:before="240"/>
        <w:ind w:left="1440" w:right="1440"/>
        <w:rPr>
          <w:sz w:val="24"/>
          <w:szCs w:val="24"/>
        </w:rPr>
      </w:pPr>
      <w:r w:rsidRPr="009E2BE6">
        <w:rPr>
          <w:sz w:val="24"/>
          <w:szCs w:val="24"/>
        </w:rPr>
        <w:t>Definition of the rate computational period (i.e., the 12 month period the rate is effective).</w:t>
      </w:r>
    </w:p>
    <w:p w:rsidR="00DF513C" w:rsidRPr="009E2BE6" w:rsidRDefault="00DF513C" w:rsidP="00F27D23">
      <w:pPr>
        <w:pStyle w:val="ListParagraph"/>
        <w:numPr>
          <w:ilvl w:val="0"/>
          <w:numId w:val="2"/>
        </w:numPr>
        <w:spacing w:before="240"/>
        <w:ind w:left="1440" w:right="1440"/>
        <w:rPr>
          <w:sz w:val="24"/>
          <w:szCs w:val="24"/>
        </w:rPr>
      </w:pPr>
      <w:r w:rsidRPr="009E2BE6">
        <w:rPr>
          <w:sz w:val="24"/>
          <w:szCs w:val="24"/>
        </w:rPr>
        <w:t>Definition of the reconciliation period (i.e., the 12 month period for the reconciliati</w:t>
      </w:r>
      <w:r w:rsidR="00486F0A" w:rsidRPr="009E2BE6">
        <w:rPr>
          <w:sz w:val="24"/>
          <w:szCs w:val="24"/>
        </w:rPr>
        <w:t>on statement required by 66 Pa.</w:t>
      </w:r>
      <w:r w:rsidRPr="009E2BE6">
        <w:rPr>
          <w:sz w:val="24"/>
          <w:szCs w:val="24"/>
        </w:rPr>
        <w:t>C.S. § 1307(e)).  The initial reconciliation period can be less than a 12 month period to account for the customary lag between the reconciliation and computational periods, and should also be defined.</w:t>
      </w:r>
    </w:p>
    <w:p w:rsidR="00DF513C" w:rsidRPr="009E2BE6" w:rsidRDefault="00DF513C" w:rsidP="00F27D23">
      <w:pPr>
        <w:pStyle w:val="ListParagraph"/>
        <w:numPr>
          <w:ilvl w:val="0"/>
          <w:numId w:val="2"/>
        </w:numPr>
        <w:spacing w:before="240"/>
        <w:ind w:left="1440" w:right="1440"/>
        <w:rPr>
          <w:sz w:val="24"/>
          <w:szCs w:val="24"/>
        </w:rPr>
      </w:pPr>
      <w:r w:rsidRPr="009E2BE6">
        <w:rPr>
          <w:sz w:val="24"/>
          <w:szCs w:val="24"/>
        </w:rPr>
        <w:t>Definition of the time period when the reconciliation statement will be filed (e.g., within thirty days following the end of the reconciliation period).</w:t>
      </w:r>
    </w:p>
    <w:p w:rsidR="00DF513C" w:rsidRPr="009E2BE6" w:rsidRDefault="00DF513C" w:rsidP="00F27D23">
      <w:pPr>
        <w:pStyle w:val="ListParagraph"/>
        <w:numPr>
          <w:ilvl w:val="0"/>
          <w:numId w:val="2"/>
        </w:numPr>
        <w:spacing w:before="240"/>
        <w:ind w:left="1440" w:right="1440"/>
        <w:rPr>
          <w:sz w:val="24"/>
          <w:szCs w:val="24"/>
        </w:rPr>
      </w:pPr>
      <w:r w:rsidRPr="009E2BE6">
        <w:rPr>
          <w:sz w:val="24"/>
          <w:szCs w:val="24"/>
        </w:rPr>
        <w:t>Statement that no interest is to be applied to over or under collections.</w:t>
      </w:r>
    </w:p>
    <w:p w:rsidR="00DF513C" w:rsidRPr="009E2BE6" w:rsidRDefault="00DF513C" w:rsidP="00F27D23">
      <w:pPr>
        <w:pStyle w:val="ListParagraph"/>
        <w:numPr>
          <w:ilvl w:val="0"/>
          <w:numId w:val="2"/>
        </w:numPr>
        <w:spacing w:before="240"/>
        <w:ind w:left="1440" w:right="1440"/>
        <w:rPr>
          <w:sz w:val="24"/>
          <w:szCs w:val="24"/>
        </w:rPr>
      </w:pPr>
      <w:r w:rsidRPr="009E2BE6">
        <w:rPr>
          <w:sz w:val="24"/>
          <w:szCs w:val="24"/>
        </w:rPr>
        <w:t>Inclusion of an accurate formula that shows the major rate components (i.e., cost, EDUs, and over/under collection components), with each component defined.</w:t>
      </w:r>
    </w:p>
    <w:p w:rsidR="00DF513C" w:rsidRPr="009E2BE6" w:rsidRDefault="00DF513C" w:rsidP="00F27D23">
      <w:pPr>
        <w:pStyle w:val="ListParagraph"/>
        <w:numPr>
          <w:ilvl w:val="0"/>
          <w:numId w:val="2"/>
        </w:numPr>
        <w:spacing w:before="240"/>
        <w:ind w:left="1440" w:right="1440"/>
        <w:rPr>
          <w:sz w:val="24"/>
          <w:szCs w:val="24"/>
        </w:rPr>
      </w:pPr>
      <w:r w:rsidRPr="009E2BE6">
        <w:rPr>
          <w:sz w:val="24"/>
          <w:szCs w:val="24"/>
        </w:rPr>
        <w:t>Statement that the PENNVEST surcharge is applicable to customers in the Columbia Division only.</w:t>
      </w:r>
    </w:p>
    <w:p w:rsidR="00DF513C" w:rsidRDefault="00DF513C" w:rsidP="00264D52">
      <w:pPr>
        <w:pStyle w:val="ListParagraph"/>
        <w:numPr>
          <w:ilvl w:val="0"/>
          <w:numId w:val="2"/>
        </w:numPr>
        <w:ind w:left="1440" w:right="1440"/>
        <w:rPr>
          <w:sz w:val="24"/>
          <w:szCs w:val="24"/>
        </w:rPr>
      </w:pPr>
      <w:r w:rsidRPr="009E2BE6">
        <w:rPr>
          <w:sz w:val="24"/>
          <w:szCs w:val="24"/>
        </w:rPr>
        <w:t>Statement that the surcharge shall be listed as a separate line item on the customer's water bill</w:t>
      </w:r>
    </w:p>
    <w:p w:rsidR="005C5418" w:rsidRPr="009E2BE6" w:rsidRDefault="005C5418" w:rsidP="00264D52">
      <w:pPr>
        <w:pStyle w:val="ListParagraph"/>
        <w:ind w:left="1440" w:right="1440"/>
        <w:rPr>
          <w:sz w:val="24"/>
          <w:szCs w:val="24"/>
        </w:rPr>
      </w:pPr>
    </w:p>
    <w:p w:rsidR="00DF513C" w:rsidRPr="009E2BE6" w:rsidRDefault="00A63E13" w:rsidP="007E77DC">
      <w:pPr>
        <w:spacing w:line="240" w:lineRule="auto"/>
        <w:ind w:left="1440" w:right="1440"/>
        <w:contextualSpacing/>
        <w:jc w:val="left"/>
        <w:rPr>
          <w:spacing w:val="3"/>
        </w:rPr>
      </w:pPr>
      <w:r w:rsidRPr="009E2BE6">
        <w:rPr>
          <w:spacing w:val="3"/>
        </w:rPr>
        <w:tab/>
      </w:r>
      <w:r w:rsidR="00DF513C" w:rsidRPr="009E2BE6">
        <w:rPr>
          <w:spacing w:val="3"/>
        </w:rPr>
        <w:t>In the alternative, Columbia may elect to have the tariff supplement suspended and the issues discussed in the context of the formal complaint proceedings before the Office of Administrative Law Judge</w:t>
      </w:r>
      <w:r w:rsidR="00F27D23" w:rsidRPr="009E2BE6">
        <w:rPr>
          <w:spacing w:val="3"/>
        </w:rPr>
        <w:t>.</w:t>
      </w:r>
    </w:p>
    <w:p w:rsidR="00F27D23" w:rsidRPr="009E2BE6" w:rsidRDefault="00F27D23" w:rsidP="007E77DC">
      <w:pPr>
        <w:spacing w:before="240" w:line="240" w:lineRule="auto"/>
        <w:ind w:left="1440" w:right="1440" w:firstLine="1440"/>
        <w:contextualSpacing/>
        <w:jc w:val="left"/>
        <w:rPr>
          <w:spacing w:val="3"/>
        </w:rPr>
      </w:pPr>
    </w:p>
    <w:p w:rsidR="00F27D23" w:rsidRPr="009E2BE6" w:rsidRDefault="00A63E13" w:rsidP="007E77DC">
      <w:pPr>
        <w:spacing w:before="240" w:line="240" w:lineRule="auto"/>
        <w:contextualSpacing/>
        <w:jc w:val="left"/>
      </w:pPr>
      <w:r w:rsidRPr="009E2BE6">
        <w:rPr>
          <w:i/>
        </w:rPr>
        <w:t>Order</w:t>
      </w:r>
      <w:r w:rsidRPr="009E2BE6">
        <w:t xml:space="preserve"> of December 4, 2014.  </w:t>
      </w:r>
    </w:p>
    <w:p w:rsidR="00A63E13" w:rsidRPr="009E2BE6" w:rsidRDefault="00A63E13" w:rsidP="007E77DC">
      <w:pPr>
        <w:ind w:left="1440" w:right="1440"/>
        <w:contextualSpacing/>
        <w:jc w:val="left"/>
        <w:rPr>
          <w:b/>
        </w:rPr>
      </w:pPr>
    </w:p>
    <w:p w:rsidR="00A63E13" w:rsidRPr="009E2BE6" w:rsidRDefault="00A63E13" w:rsidP="007E77DC">
      <w:pPr>
        <w:contextualSpacing/>
        <w:jc w:val="left"/>
      </w:pPr>
      <w:r w:rsidRPr="009E2BE6">
        <w:tab/>
      </w:r>
      <w:r w:rsidRPr="009E2BE6">
        <w:tab/>
        <w:t xml:space="preserve">Columbia chose to file a revised tariff supplement, and the complaints were referred to the Office of Administrative Law Judge for disposition.  </w:t>
      </w:r>
    </w:p>
    <w:p w:rsidR="00A63E13" w:rsidRPr="009E2BE6" w:rsidRDefault="00A63E13" w:rsidP="00A63E13">
      <w:pPr>
        <w:contextualSpacing/>
        <w:jc w:val="left"/>
      </w:pPr>
    </w:p>
    <w:p w:rsidR="00A55FA0" w:rsidRPr="009E2BE6" w:rsidRDefault="00486F0A" w:rsidP="00A55FA0">
      <w:pPr>
        <w:jc w:val="left"/>
        <w:rPr>
          <w:b/>
        </w:rPr>
      </w:pPr>
      <w:r w:rsidRPr="009E2BE6">
        <w:rPr>
          <w:b/>
        </w:rPr>
        <w:t>Legal Standard</w:t>
      </w:r>
    </w:p>
    <w:p w:rsidR="000F0360" w:rsidRPr="009E2BE6" w:rsidRDefault="000F0360" w:rsidP="00A55FA0">
      <w:pPr>
        <w:jc w:val="left"/>
      </w:pPr>
    </w:p>
    <w:p w:rsidR="000F0360" w:rsidRPr="009E2BE6" w:rsidRDefault="000F0360" w:rsidP="000F0360">
      <w:pPr>
        <w:pStyle w:val="ListNumber"/>
        <w:numPr>
          <w:ilvl w:val="0"/>
          <w:numId w:val="0"/>
        </w:numPr>
        <w:spacing w:line="360" w:lineRule="auto"/>
        <w:jc w:val="left"/>
      </w:pPr>
      <w:r w:rsidRPr="009E2BE6">
        <w:tab/>
      </w:r>
      <w:r w:rsidRPr="009E2BE6">
        <w:tab/>
      </w:r>
      <w:r w:rsidR="00C278A2" w:rsidRPr="009E2BE6">
        <w:t>C</w:t>
      </w:r>
      <w:r w:rsidRPr="009E2BE6">
        <w:t xml:space="preserve">ommission policy promotes settlements.  </w:t>
      </w:r>
      <w:r w:rsidRPr="009E2BE6">
        <w:rPr>
          <w:i/>
        </w:rPr>
        <w:t>See</w:t>
      </w:r>
      <w:r w:rsidRPr="009E2BE6">
        <w:t xml:space="preserve"> 52 Pa.Code § 5.231.  Settlements lessen the time and expense that parties must expend litigating a case and, at the same time, conserve precious administrative resources.  The Commission has indicated that settlement results are often preferable to those achieved at the conclusion of a fully litigated proceeding.  </w:t>
      </w:r>
      <w:r w:rsidRPr="009E2BE6">
        <w:rPr>
          <w:i/>
        </w:rPr>
        <w:t xml:space="preserve">See </w:t>
      </w:r>
      <w:r w:rsidRPr="009E2BE6">
        <w:t xml:space="preserve">52 Pa.Code § 69.401.  However, in order to accept a settlement, the Commission must first evaluate whether the proposed terms and conditions are in the public interest.  </w:t>
      </w:r>
      <w:r w:rsidRPr="009E2BE6">
        <w:rPr>
          <w:i/>
        </w:rPr>
        <w:t>Pa. Pub. Util. Comm'n v. York Water Co.</w:t>
      </w:r>
      <w:r w:rsidRPr="009E2BE6">
        <w:t xml:space="preserve">, Docket No. R-00049165 (Oct. 4, 2004); </w:t>
      </w:r>
      <w:r w:rsidRPr="009E2BE6">
        <w:rPr>
          <w:i/>
        </w:rPr>
        <w:t>Pa. Pub. Util. Comm'n v. C.S. Water and Sewer Assocs.</w:t>
      </w:r>
      <w:r w:rsidRPr="009E2BE6">
        <w:t xml:space="preserve">, 74 Pa. PUC 767 (1991).  </w:t>
      </w:r>
    </w:p>
    <w:p w:rsidR="000F0360" w:rsidRPr="009E2BE6" w:rsidRDefault="000F0360" w:rsidP="000F0360">
      <w:pPr>
        <w:pStyle w:val="BodyText2"/>
        <w:spacing w:after="0" w:line="360" w:lineRule="auto"/>
        <w:rPr>
          <w:sz w:val="24"/>
          <w:szCs w:val="24"/>
        </w:rPr>
      </w:pPr>
    </w:p>
    <w:p w:rsidR="000F0360" w:rsidRPr="009E2BE6" w:rsidRDefault="000F0360" w:rsidP="000F0360">
      <w:pPr>
        <w:pStyle w:val="BodyText2"/>
        <w:spacing w:after="0" w:line="360" w:lineRule="auto"/>
        <w:rPr>
          <w:sz w:val="24"/>
          <w:szCs w:val="24"/>
        </w:rPr>
      </w:pPr>
      <w:r w:rsidRPr="009E2BE6">
        <w:rPr>
          <w:sz w:val="24"/>
          <w:szCs w:val="24"/>
        </w:rPr>
        <w:tab/>
      </w:r>
      <w:r w:rsidRPr="009E2BE6">
        <w:rPr>
          <w:sz w:val="24"/>
          <w:szCs w:val="24"/>
        </w:rPr>
        <w:tab/>
        <w:t>The public interest is best served by ensuring that the underlying transaction complies with applicable law.  Therefore, the discussion turns to the applicable law and evaluation of compliance.</w:t>
      </w:r>
    </w:p>
    <w:p w:rsidR="000F0360" w:rsidRPr="009E2BE6" w:rsidRDefault="000F0360" w:rsidP="000F0360">
      <w:pPr>
        <w:pStyle w:val="BodyText2"/>
        <w:spacing w:after="0" w:line="360" w:lineRule="auto"/>
        <w:rPr>
          <w:sz w:val="24"/>
          <w:szCs w:val="24"/>
        </w:rPr>
      </w:pPr>
    </w:p>
    <w:p w:rsidR="008C31DC" w:rsidRPr="009E2BE6" w:rsidRDefault="008C31DC" w:rsidP="005C5418">
      <w:pPr>
        <w:jc w:val="left"/>
      </w:pPr>
      <w:r w:rsidRPr="009E2BE6">
        <w:tab/>
      </w:r>
      <w:r w:rsidRPr="009E2BE6">
        <w:tab/>
        <w:t>The Commission policy statement guides the treatment of PENNVEST loans:</w:t>
      </w:r>
    </w:p>
    <w:p w:rsidR="00BB04D5" w:rsidRPr="009E2BE6" w:rsidRDefault="00BB04D5" w:rsidP="005C5418">
      <w:pPr>
        <w:spacing w:before="100" w:beforeAutospacing="1" w:after="100" w:afterAutospacing="1" w:line="240" w:lineRule="auto"/>
        <w:ind w:left="1440" w:right="1440"/>
        <w:jc w:val="left"/>
        <w:outlineLvl w:val="3"/>
        <w:rPr>
          <w:rFonts w:eastAsia="Times New Roman"/>
          <w:b/>
          <w:bCs/>
        </w:rPr>
      </w:pPr>
      <w:bookmarkStart w:id="0" w:name="69.363."/>
      <w:r w:rsidRPr="009E2BE6">
        <w:rPr>
          <w:rFonts w:eastAsia="Times New Roman"/>
          <w:b/>
          <w:bCs/>
        </w:rPr>
        <w:t>§ 69.363. Treatment of PENNVEST obligations.</w:t>
      </w:r>
    </w:p>
    <w:p w:rsidR="00BB04D5" w:rsidRPr="009E2BE6" w:rsidRDefault="00BB04D5" w:rsidP="00BB04D5">
      <w:pPr>
        <w:spacing w:before="100" w:beforeAutospacing="1" w:after="100" w:afterAutospacing="1" w:line="240" w:lineRule="auto"/>
        <w:ind w:left="1440" w:right="1440"/>
        <w:jc w:val="left"/>
        <w:rPr>
          <w:rFonts w:eastAsia="Times New Roman"/>
        </w:rPr>
      </w:pPr>
      <w:r w:rsidRPr="009E2BE6">
        <w:rPr>
          <w:rFonts w:eastAsia="Times New Roman"/>
        </w:rPr>
        <w:t xml:space="preserve">(a) Water and wastewater companies with outstanding PENNVEST obligations that have not been reflected in rates or future PENNVEST obligations, may establish under 66 Pa.C.S. § 1307(a) (relating to sliding scale of rates; adjustments) an automatic adjustment by means of a sliding scale of rates or other method limited solely to recovery of the company’s PENNVEST principal and interest obligations. </w:t>
      </w:r>
    </w:p>
    <w:p w:rsidR="00BB04D5" w:rsidRPr="009E2BE6" w:rsidRDefault="00BB04D5" w:rsidP="00BB04D5">
      <w:pPr>
        <w:spacing w:before="100" w:beforeAutospacing="1" w:after="100" w:afterAutospacing="1" w:line="240" w:lineRule="auto"/>
        <w:ind w:left="1440" w:right="1440"/>
        <w:jc w:val="left"/>
        <w:rPr>
          <w:rFonts w:eastAsia="Times New Roman"/>
        </w:rPr>
      </w:pPr>
      <w:r w:rsidRPr="009E2BE6">
        <w:rPr>
          <w:rFonts w:eastAsia="Times New Roman"/>
        </w:rPr>
        <w:t xml:space="preserve">(b) Filings for relief under 66 Pa.C.S. § 1307(a), may occur prior to DER inspection and should be submitted to the Commission 60—90 days prior to the first anticipated principal and interest payment. </w:t>
      </w:r>
    </w:p>
    <w:p w:rsidR="00BB04D5" w:rsidRPr="009E2BE6" w:rsidRDefault="00BB04D5" w:rsidP="00BB04D5">
      <w:pPr>
        <w:spacing w:before="100" w:beforeAutospacing="1" w:after="100" w:afterAutospacing="1" w:line="240" w:lineRule="auto"/>
        <w:ind w:left="1440" w:right="1440"/>
        <w:jc w:val="left"/>
        <w:rPr>
          <w:rFonts w:eastAsia="Times New Roman"/>
        </w:rPr>
      </w:pPr>
      <w:r w:rsidRPr="009E2BE6">
        <w:rPr>
          <w:rFonts w:eastAsia="Times New Roman"/>
        </w:rPr>
        <w:t xml:space="preserve">(c) Companies are encouraged to provide notice to customers of the request for a PENNVEST increase by means of a sliding scale of rates or other method for the automatic adjustment of rates by bill insert to begin no less than 60 days prior to the effective date. </w:t>
      </w:r>
    </w:p>
    <w:p w:rsidR="00BB04D5" w:rsidRPr="009E2BE6" w:rsidRDefault="00BB04D5" w:rsidP="00BB04D5">
      <w:pPr>
        <w:spacing w:before="100" w:beforeAutospacing="1" w:after="100" w:afterAutospacing="1" w:line="240" w:lineRule="auto"/>
        <w:ind w:left="1440" w:right="1440"/>
        <w:jc w:val="left"/>
        <w:rPr>
          <w:rFonts w:eastAsia="Times New Roman"/>
        </w:rPr>
      </w:pPr>
      <w:r w:rsidRPr="009E2BE6">
        <w:rPr>
          <w:rFonts w:eastAsia="Times New Roman"/>
        </w:rPr>
        <w:t xml:space="preserve">(d) Rate recovery under a 66 Pa.C.S. § 1307(a) PENNVEST automatic adjustment by means of a sliding scale of rates or other method may be approved only after the receipt of the following: </w:t>
      </w:r>
    </w:p>
    <w:p w:rsidR="00BB04D5" w:rsidRPr="009E2BE6" w:rsidRDefault="008C31DC" w:rsidP="00BB04D5">
      <w:pPr>
        <w:spacing w:before="100" w:beforeAutospacing="1" w:after="100" w:afterAutospacing="1" w:line="240" w:lineRule="auto"/>
        <w:ind w:left="1440" w:right="1440"/>
        <w:jc w:val="left"/>
        <w:rPr>
          <w:rFonts w:eastAsia="Times New Roman"/>
        </w:rPr>
      </w:pPr>
      <w:r w:rsidRPr="009E2BE6">
        <w:rPr>
          <w:rFonts w:eastAsia="Times New Roman"/>
        </w:rPr>
        <w:tab/>
      </w:r>
      <w:r w:rsidR="00BB04D5" w:rsidRPr="009E2BE6">
        <w:rPr>
          <w:rFonts w:eastAsia="Times New Roman"/>
        </w:rPr>
        <w:t xml:space="preserve">(i) DEP inspection. </w:t>
      </w:r>
    </w:p>
    <w:p w:rsidR="00BB04D5" w:rsidRPr="009E2BE6" w:rsidRDefault="008C31DC" w:rsidP="00BB04D5">
      <w:pPr>
        <w:spacing w:before="100" w:beforeAutospacing="1" w:after="100" w:afterAutospacing="1" w:line="240" w:lineRule="auto"/>
        <w:ind w:left="1440" w:right="1440"/>
        <w:jc w:val="left"/>
        <w:rPr>
          <w:rFonts w:eastAsia="Times New Roman"/>
        </w:rPr>
      </w:pPr>
      <w:r w:rsidRPr="009E2BE6">
        <w:rPr>
          <w:rFonts w:eastAsia="Times New Roman"/>
        </w:rPr>
        <w:tab/>
      </w:r>
      <w:r w:rsidR="00BB04D5" w:rsidRPr="009E2BE6">
        <w:rPr>
          <w:rFonts w:eastAsia="Times New Roman"/>
        </w:rPr>
        <w:t xml:space="preserve">(ii) Final PENNVEST amortization schedule. </w:t>
      </w:r>
    </w:p>
    <w:p w:rsidR="00BB04D5" w:rsidRPr="009E2BE6" w:rsidRDefault="00BB04D5" w:rsidP="00BB04D5">
      <w:pPr>
        <w:spacing w:before="100" w:beforeAutospacing="1" w:after="100" w:afterAutospacing="1" w:line="240" w:lineRule="auto"/>
        <w:ind w:left="1440" w:right="1440"/>
        <w:jc w:val="left"/>
        <w:rPr>
          <w:rFonts w:eastAsia="Times New Roman"/>
        </w:rPr>
      </w:pPr>
      <w:r w:rsidRPr="009E2BE6">
        <w:rPr>
          <w:rFonts w:eastAsia="Times New Roman"/>
        </w:rPr>
        <w:t xml:space="preserve">(e) When approved by the Commission, the PENNVEST obligations should be listed on customers’ bills as a separate line item. Amounts collected under the Section 1307(a) PENNVEST automatic adjustment by means of a sliding scale of rates or other method are subject to reconciliation and refund. Revenues should be listed in a separate account dedicated for PENNVEST repayment only. Commingling of funds is discouraged. </w:t>
      </w:r>
    </w:p>
    <w:p w:rsidR="00BB04D5" w:rsidRPr="009E2BE6" w:rsidRDefault="00BB04D5" w:rsidP="00BB04D5">
      <w:pPr>
        <w:spacing w:before="100" w:beforeAutospacing="1" w:after="100" w:afterAutospacing="1" w:line="240" w:lineRule="auto"/>
        <w:ind w:left="1440" w:right="1440"/>
        <w:jc w:val="left"/>
        <w:rPr>
          <w:rFonts w:eastAsia="Times New Roman"/>
        </w:rPr>
      </w:pPr>
      <w:r w:rsidRPr="009E2BE6">
        <w:rPr>
          <w:rFonts w:eastAsia="Times New Roman"/>
        </w:rPr>
        <w:t xml:space="preserve">(f) Complaints against recovery of PENNVEST obligations under a Section 1307(a) automatic adjustment clause will be referred to the Commission’s Office of Administrative Law Judge for hearing and adjudication. The issues of used and usefulness, prudency and reasonableness of the investment will be addressed at this hearing, if necessary. </w:t>
      </w:r>
    </w:p>
    <w:p w:rsidR="00BB04D5" w:rsidRDefault="00BB04D5" w:rsidP="007E77DC">
      <w:pPr>
        <w:spacing w:line="240" w:lineRule="auto"/>
        <w:ind w:left="1440" w:right="1440"/>
        <w:jc w:val="left"/>
        <w:rPr>
          <w:rFonts w:eastAsia="Times New Roman"/>
        </w:rPr>
      </w:pPr>
      <w:r w:rsidRPr="009E2BE6">
        <w:rPr>
          <w:rFonts w:eastAsia="Times New Roman"/>
        </w:rPr>
        <w:t>(g) Companies are encouraged to report the status of PENNVEST obligations in their annual reports.</w:t>
      </w:r>
    </w:p>
    <w:p w:rsidR="00FB1FA8" w:rsidRDefault="00FB1FA8" w:rsidP="007E77DC">
      <w:pPr>
        <w:spacing w:line="240" w:lineRule="auto"/>
        <w:ind w:left="1440" w:right="1440"/>
        <w:jc w:val="left"/>
        <w:rPr>
          <w:rFonts w:eastAsia="Times New Roman"/>
        </w:rPr>
      </w:pPr>
    </w:p>
    <w:bookmarkEnd w:id="0"/>
    <w:p w:rsidR="00BB04D5" w:rsidRPr="009E2BE6" w:rsidRDefault="00BB04D5" w:rsidP="007E77DC">
      <w:pPr>
        <w:spacing w:line="240" w:lineRule="auto"/>
        <w:jc w:val="left"/>
      </w:pPr>
      <w:r w:rsidRPr="009E2BE6">
        <w:t>52 Pa.Code § 69.363.</w:t>
      </w:r>
    </w:p>
    <w:p w:rsidR="00BB04D5" w:rsidRPr="009E2BE6" w:rsidRDefault="00BB04D5" w:rsidP="007E77DC">
      <w:pPr>
        <w:jc w:val="left"/>
      </w:pPr>
    </w:p>
    <w:p w:rsidR="008C31DC" w:rsidRPr="009E2BE6" w:rsidRDefault="00713344" w:rsidP="00A55FA0">
      <w:pPr>
        <w:jc w:val="left"/>
      </w:pPr>
      <w:r w:rsidRPr="009E2BE6">
        <w:tab/>
      </w:r>
      <w:r w:rsidRPr="009E2BE6">
        <w:tab/>
      </w:r>
      <w:r w:rsidR="007A397C" w:rsidRPr="009E2BE6">
        <w:t>The Collier Complaint objects to Tariff Supplement No. 68, stating that when the last PENNVEST loan was paid off, there was no rate reduction, and therefore, this request for a surcharge should be denied.  Columbia responded by stating that the Commission had approved a reduction in rates when the repayment period from the last PENNVEST loa</w:t>
      </w:r>
      <w:r w:rsidR="00486F0A" w:rsidRPr="009E2BE6">
        <w:t>n</w:t>
      </w:r>
      <w:r w:rsidR="007A397C" w:rsidRPr="009E2BE6">
        <w:t xml:space="preserve"> ended, and this is shown in Tariff Supplement No. 50, filed April 25, 2011.  Columbia Answer and New Matter</w:t>
      </w:r>
      <w:r w:rsidR="0028520A" w:rsidRPr="009E2BE6">
        <w:t xml:space="preserve"> to Collier Complaint.</w:t>
      </w:r>
      <w:r w:rsidR="007A397C" w:rsidRPr="009E2BE6">
        <w:t xml:space="preserve">  In Mr. Collier's response to Preliminary Objections, he states that after the surcharge ended, the Company placed the PENNVEST plant into base rates, which results in double charging for the same plant.  Mr. Collier seeks to prevent this from happening with this PENNVEST plan.</w:t>
      </w:r>
    </w:p>
    <w:p w:rsidR="007A397C" w:rsidRPr="009E2BE6" w:rsidRDefault="007A397C" w:rsidP="00A55FA0">
      <w:pPr>
        <w:jc w:val="left"/>
      </w:pPr>
    </w:p>
    <w:p w:rsidR="007A397C" w:rsidRPr="009E2BE6" w:rsidRDefault="007A397C" w:rsidP="00A55FA0">
      <w:pPr>
        <w:jc w:val="left"/>
      </w:pPr>
      <w:r w:rsidRPr="009E2BE6">
        <w:tab/>
      </w:r>
      <w:r w:rsidRPr="009E2BE6">
        <w:tab/>
        <w:t>The Shaub Complaint objects to the surcharge because Columbia will keep the charge after the loan is repaid.  Ms. Shaub states that the Company received a substantial increase recently and should not be permitted to have another one.  Columbia responded by admitting that a base rate increase was approved by the Commission at Docket No. R-2013-2360798</w:t>
      </w:r>
      <w:r w:rsidR="0028520A" w:rsidRPr="009E2BE6">
        <w:t xml:space="preserve"> but states that no claim was made for the present PENNVEST loan or the facilities it involves.  Columbia Answer and New Matter to Shaub Complaint.</w:t>
      </w:r>
    </w:p>
    <w:p w:rsidR="007A397C" w:rsidRPr="009E2BE6" w:rsidRDefault="007A397C" w:rsidP="00A55FA0">
      <w:pPr>
        <w:jc w:val="left"/>
      </w:pPr>
    </w:p>
    <w:p w:rsidR="00AB02D3" w:rsidRPr="009E2BE6" w:rsidRDefault="007A397C" w:rsidP="00AB02D3">
      <w:pPr>
        <w:jc w:val="left"/>
      </w:pPr>
      <w:r w:rsidRPr="009E2BE6">
        <w:tab/>
      </w:r>
      <w:r w:rsidR="00AB02D3" w:rsidRPr="009E2BE6">
        <w:tab/>
        <w:t xml:space="preserve">The OCA Complaint opposed the surcharge alleging that it was unlawful under 66 Pa.C.S. §1307(a), that it constitutes a general rate increase and must, therefore, be filed under Section 1308(d).  OCA also opposed the inclusion of the PENNVEST-funded rate base in base rates at the end of the surcharge period.  </w:t>
      </w:r>
    </w:p>
    <w:p w:rsidR="007A397C" w:rsidRPr="009E2BE6" w:rsidRDefault="007A397C" w:rsidP="00A55FA0">
      <w:pPr>
        <w:jc w:val="left"/>
      </w:pPr>
    </w:p>
    <w:p w:rsidR="00A55FA0" w:rsidRPr="009E2BE6" w:rsidRDefault="000F0360" w:rsidP="00A55FA0">
      <w:pPr>
        <w:jc w:val="left"/>
        <w:rPr>
          <w:b/>
        </w:rPr>
      </w:pPr>
      <w:r w:rsidRPr="009E2BE6">
        <w:rPr>
          <w:b/>
        </w:rPr>
        <w:t>Settlement</w:t>
      </w:r>
    </w:p>
    <w:p w:rsidR="000F0360" w:rsidRPr="009E2BE6" w:rsidRDefault="000F0360" w:rsidP="00A55FA0">
      <w:pPr>
        <w:jc w:val="left"/>
      </w:pPr>
    </w:p>
    <w:p w:rsidR="0001059C" w:rsidRPr="009E2BE6" w:rsidRDefault="0001059C" w:rsidP="00A55FA0">
      <w:pPr>
        <w:jc w:val="left"/>
      </w:pPr>
      <w:r w:rsidRPr="009E2BE6">
        <w:tab/>
      </w:r>
      <w:r w:rsidRPr="009E2BE6">
        <w:tab/>
        <w:t>The Settlement allows for a prospectively adjustable surcharge based on EDUs, which will remain in place until all debt service due under the PENNVEST loan is collected.  The Company states that the per-EDU surcharge allows for a more accurate surcharge than a volumetric surcharge, which is subject to greater fluctuations.  The Company avers that fluctuations will also be reduced by the surcharge being prospectively adjustable after a cumulative material change in the yearly collections of the currently-approved surcharge of 1.5% above or below the</w:t>
      </w:r>
      <w:r w:rsidR="00635306">
        <w:t xml:space="preserve"> a</w:t>
      </w:r>
      <w:r w:rsidRPr="009E2BE6">
        <w:t>mount needed to repay the PENNVEST debt.  This adjustment, the Company states, will benefit ratepayers and Company by protecting against over or under collections in a reasonably timely manner and conserves the time and expense of all involved including the Commission itself should no material change exist.  Columbia Statement in Support at ¶ 9.</w:t>
      </w:r>
    </w:p>
    <w:p w:rsidR="0001059C" w:rsidRPr="009E2BE6" w:rsidRDefault="0001059C" w:rsidP="00A55FA0">
      <w:pPr>
        <w:jc w:val="left"/>
      </w:pPr>
    </w:p>
    <w:p w:rsidR="000F0360" w:rsidRPr="009E2BE6" w:rsidRDefault="0001059C" w:rsidP="00A55FA0">
      <w:pPr>
        <w:jc w:val="left"/>
      </w:pPr>
      <w:r w:rsidRPr="009E2BE6">
        <w:tab/>
      </w:r>
      <w:r w:rsidRPr="009E2BE6">
        <w:tab/>
      </w:r>
      <w:r w:rsidR="000F0360" w:rsidRPr="009E2BE6">
        <w:t xml:space="preserve">The Company </w:t>
      </w:r>
      <w:r w:rsidRPr="009E2BE6">
        <w:t>states that the Settlement amicably and expeditiously resolves a number of important and potentially contentious issues which would have been expensive and time-consuming to litigate before the Commission, as well as the potential appeals.  In addition, the Settlement seeks to obviate future litigation and expense regarding future PENNVEST surcharges by the Company by providing a surcharge mechanism that may be used for recovery of future PENNVEST loans.  Columbia Statement in Support at ¶¶12-13.</w:t>
      </w:r>
    </w:p>
    <w:p w:rsidR="0001059C" w:rsidRPr="009E2BE6" w:rsidRDefault="0001059C" w:rsidP="00A55FA0">
      <w:pPr>
        <w:jc w:val="left"/>
      </w:pPr>
    </w:p>
    <w:p w:rsidR="0001059C" w:rsidRPr="009E2BE6" w:rsidRDefault="003B3FE5" w:rsidP="00A55FA0">
      <w:pPr>
        <w:jc w:val="left"/>
      </w:pPr>
      <w:r w:rsidRPr="009E2BE6">
        <w:tab/>
      </w:r>
      <w:r w:rsidRPr="009E2BE6">
        <w:tab/>
        <w:t>The OCA states that the terms of the proposed Settlement provides a reasonable resolution of its concerns for three reasons:</w:t>
      </w:r>
    </w:p>
    <w:p w:rsidR="003B3FE5" w:rsidRPr="009E2BE6" w:rsidRDefault="003B3FE5" w:rsidP="00A55FA0">
      <w:pPr>
        <w:jc w:val="left"/>
      </w:pPr>
    </w:p>
    <w:p w:rsidR="003B3FE5" w:rsidRPr="009E2BE6" w:rsidRDefault="003B3FE5" w:rsidP="00A55FA0">
      <w:pPr>
        <w:jc w:val="left"/>
      </w:pPr>
      <w:r w:rsidRPr="009E2BE6">
        <w:tab/>
      </w:r>
      <w:r w:rsidRPr="009E2BE6">
        <w:tab/>
        <w:t>1.</w:t>
      </w:r>
      <w:r w:rsidRPr="009E2BE6">
        <w:tab/>
        <w:t>The Settlement replaces the proposed surcharge with one that will be adjusted prospectively only.  The initial surcharge amount is calculated to recover the annual principal and interest for Columbia's PENNVEST</w:t>
      </w:r>
      <w:r w:rsidR="00486F0A" w:rsidRPr="009E2BE6">
        <w:t xml:space="preserve"> L</w:t>
      </w:r>
      <w:r w:rsidRPr="009E2BE6">
        <w:t>oan 80180 based on the Company's current EDUs.</w:t>
      </w:r>
    </w:p>
    <w:p w:rsidR="003B3FE5" w:rsidRPr="009E2BE6" w:rsidRDefault="003B3FE5" w:rsidP="00A55FA0">
      <w:pPr>
        <w:jc w:val="left"/>
      </w:pPr>
      <w:r w:rsidRPr="009E2BE6">
        <w:tab/>
      </w:r>
      <w:r w:rsidRPr="009E2BE6">
        <w:tab/>
        <w:t>2.</w:t>
      </w:r>
      <w:r w:rsidRPr="009E2BE6">
        <w:tab/>
        <w:t>All changes to the amount of the surcharge will be filed under Section 1308 of the Public Utility Code, either in the course of a general rate case or within 60 days of a material change to the PENNVEST principal and interest amounts payable.  The proposed Settlement provides that a material change is one to the EDUs or annual principal and interest payment that would result in a cumulative increase or decrease in the currently-approved surcharge amount of 1.5% or more.  OCA states:</w:t>
      </w:r>
    </w:p>
    <w:p w:rsidR="003B3FE5" w:rsidRPr="009E2BE6" w:rsidRDefault="003B3FE5" w:rsidP="007E77DC">
      <w:pPr>
        <w:spacing w:line="240" w:lineRule="auto"/>
        <w:jc w:val="left"/>
      </w:pPr>
    </w:p>
    <w:p w:rsidR="003B3FE5" w:rsidRDefault="003B3FE5" w:rsidP="007E77DC">
      <w:pPr>
        <w:spacing w:line="240" w:lineRule="auto"/>
        <w:ind w:left="1440" w:right="1440"/>
        <w:jc w:val="left"/>
      </w:pPr>
      <w:r w:rsidRPr="009E2BE6">
        <w:tab/>
        <w:t>Together, paragraphs 18 and 22 are a reasonable way to address the OCA's objection to the recovery of capital costs in a surcharge established outside of a base rate proceeding – by ensuring that, going-forward, the rate charged to customers will only be recalculated in the context of a Section 1308 filing.  It also ensures that, if Columbia receives approval to recover additional PENNVEST loans via surcharge, those filings will also be made in a Section 1308 filing.  At the same time, the settlement surcharge contains a material change threshold that will facilitate and help Columbia to repay its loan(s).</w:t>
      </w:r>
    </w:p>
    <w:p w:rsidR="005760AA" w:rsidRPr="009E2BE6" w:rsidRDefault="005760AA" w:rsidP="007E77DC">
      <w:pPr>
        <w:spacing w:line="240" w:lineRule="auto"/>
        <w:ind w:left="1440" w:right="1440"/>
        <w:jc w:val="left"/>
      </w:pPr>
    </w:p>
    <w:p w:rsidR="00DF4236" w:rsidRPr="009E2BE6" w:rsidRDefault="00DF4236" w:rsidP="007E77DC">
      <w:pPr>
        <w:spacing w:line="240" w:lineRule="auto"/>
        <w:jc w:val="left"/>
      </w:pPr>
      <w:r w:rsidRPr="009E2BE6">
        <w:t xml:space="preserve">OCA Statement in Support at 3-4.  </w:t>
      </w:r>
    </w:p>
    <w:p w:rsidR="00F877B3" w:rsidRPr="009E2BE6" w:rsidRDefault="00F877B3" w:rsidP="007E77DC">
      <w:pPr>
        <w:jc w:val="left"/>
      </w:pPr>
    </w:p>
    <w:p w:rsidR="00DF4236" w:rsidRPr="009E2BE6" w:rsidRDefault="00DF4236" w:rsidP="00F877B3">
      <w:pPr>
        <w:jc w:val="left"/>
      </w:pPr>
      <w:r w:rsidRPr="009E2BE6">
        <w:tab/>
      </w:r>
      <w:r w:rsidRPr="009E2BE6">
        <w:tab/>
        <w:t>3.</w:t>
      </w:r>
      <w:r w:rsidRPr="009E2BE6">
        <w:tab/>
        <w:t xml:space="preserve">While there exists a PENNVEST loan being recovered by surcharge, Columbia agrees not to make a claim to recover return and depreciation on the plant financed by that loan.  After that surcharge period ends, the OCA retains the right to oppose any such claim by Columbia.  Settlement §28; OCA Statement in Support at 4.  </w:t>
      </w:r>
    </w:p>
    <w:p w:rsidR="00DF4236" w:rsidRPr="009E2BE6" w:rsidRDefault="00DF4236" w:rsidP="00F877B3">
      <w:pPr>
        <w:jc w:val="left"/>
      </w:pPr>
    </w:p>
    <w:p w:rsidR="00DF4236" w:rsidRPr="009E2BE6" w:rsidRDefault="00DF4236" w:rsidP="00F877B3">
      <w:pPr>
        <w:jc w:val="left"/>
      </w:pPr>
      <w:r w:rsidRPr="009E2BE6">
        <w:tab/>
      </w:r>
      <w:r w:rsidRPr="009E2BE6">
        <w:tab/>
        <w:t xml:space="preserve">I note that this also addresses the allegations and concerns expressed in the  Collier Complaint.  </w:t>
      </w:r>
    </w:p>
    <w:p w:rsidR="00DF4236" w:rsidRPr="009E2BE6" w:rsidRDefault="00DF4236" w:rsidP="007E77DC">
      <w:pPr>
        <w:spacing w:line="240" w:lineRule="auto"/>
        <w:jc w:val="left"/>
      </w:pPr>
    </w:p>
    <w:p w:rsidR="00DF4236" w:rsidRDefault="00DF4236" w:rsidP="007E77DC">
      <w:pPr>
        <w:spacing w:line="240" w:lineRule="auto"/>
        <w:jc w:val="left"/>
      </w:pPr>
      <w:r w:rsidRPr="009E2BE6">
        <w:tab/>
      </w:r>
      <w:r w:rsidRPr="009E2BE6">
        <w:tab/>
        <w:t>The OCA concludes:</w:t>
      </w:r>
    </w:p>
    <w:p w:rsidR="005C5418" w:rsidRPr="009E2BE6" w:rsidRDefault="005C5418" w:rsidP="007E77DC">
      <w:pPr>
        <w:spacing w:line="240" w:lineRule="auto"/>
        <w:jc w:val="left"/>
      </w:pPr>
    </w:p>
    <w:p w:rsidR="00DF4236" w:rsidRDefault="00DF4236" w:rsidP="007E77DC">
      <w:pPr>
        <w:spacing w:line="240" w:lineRule="auto"/>
        <w:ind w:left="1440" w:right="1440"/>
        <w:jc w:val="left"/>
      </w:pPr>
      <w:r w:rsidRPr="009E2BE6">
        <w:tab/>
        <w:t>While the terms and conditions of the Settlement are limited to the specific facts and circumstances of this proceeding, they are a reasonable compromise of the issues and claims and produce an overall reasonable result.  In addition, the Commission, all parties and customers would benefit by the reduction in rate case expense and the conservation of resources made possible by adoption of the Settlement in lieu of full litigation.</w:t>
      </w:r>
    </w:p>
    <w:p w:rsidR="005760AA" w:rsidRPr="009E2BE6" w:rsidRDefault="005760AA" w:rsidP="007E77DC">
      <w:pPr>
        <w:spacing w:line="240" w:lineRule="auto"/>
        <w:ind w:left="1440" w:right="1440"/>
        <w:jc w:val="left"/>
      </w:pPr>
    </w:p>
    <w:p w:rsidR="00DF4236" w:rsidRPr="009E2BE6" w:rsidRDefault="00DF4236" w:rsidP="007E77DC">
      <w:pPr>
        <w:spacing w:line="240" w:lineRule="auto"/>
        <w:jc w:val="left"/>
      </w:pPr>
      <w:r w:rsidRPr="009E2BE6">
        <w:t>OCA Statement in Support at 4.</w:t>
      </w:r>
    </w:p>
    <w:p w:rsidR="00DF4236" w:rsidRPr="009E2BE6" w:rsidRDefault="00DF4236" w:rsidP="007E77DC">
      <w:pPr>
        <w:jc w:val="left"/>
      </w:pPr>
    </w:p>
    <w:p w:rsidR="00DF4236" w:rsidRPr="009E2BE6" w:rsidRDefault="00DF4236" w:rsidP="00F877B3">
      <w:pPr>
        <w:jc w:val="left"/>
      </w:pPr>
      <w:r w:rsidRPr="009E2BE6">
        <w:tab/>
      </w:r>
      <w:r w:rsidRPr="009E2BE6">
        <w:tab/>
        <w:t xml:space="preserve">I&amp;E echoes the concerns expressed by OCA and Mr. Collier, and notes that the original tariff supplement had language which appeared to permit the inclusion of assets funded by PENNVEST loans in rate base for ratemaking purposes.  The Settlement addresses this concern and preserves the rights of the parties to challenge any such inclusion in future rate </w:t>
      </w:r>
      <w:r w:rsidR="003861A7" w:rsidRPr="009E2BE6">
        <w:t xml:space="preserve">filings.  </w:t>
      </w:r>
      <w:r w:rsidRPr="009E2BE6">
        <w:t xml:space="preserve"> </w:t>
      </w:r>
    </w:p>
    <w:p w:rsidR="00DF4236" w:rsidRPr="009E2BE6" w:rsidRDefault="00DF4236" w:rsidP="00F877B3">
      <w:pPr>
        <w:jc w:val="left"/>
      </w:pPr>
    </w:p>
    <w:p w:rsidR="003861A7" w:rsidRDefault="003861A7" w:rsidP="003861A7">
      <w:pPr>
        <w:jc w:val="left"/>
      </w:pPr>
      <w:r w:rsidRPr="009E2BE6">
        <w:tab/>
      </w:r>
      <w:r w:rsidRPr="009E2BE6">
        <w:tab/>
        <w:t>The Joint Petitioners state that the Settlement is in the public interest.  As Columbia points out:</w:t>
      </w:r>
    </w:p>
    <w:p w:rsidR="005760AA" w:rsidRPr="009E2BE6" w:rsidRDefault="005760AA" w:rsidP="003861A7">
      <w:pPr>
        <w:jc w:val="left"/>
      </w:pPr>
    </w:p>
    <w:p w:rsidR="005760AA" w:rsidRDefault="003861A7" w:rsidP="007E77DC">
      <w:pPr>
        <w:spacing w:line="240" w:lineRule="auto"/>
        <w:ind w:left="1440" w:right="1440"/>
        <w:jc w:val="left"/>
      </w:pPr>
      <w:r w:rsidRPr="009E2BE6">
        <w:tab/>
        <w:t>Significantly, two of the signatories, I&amp;E and OCA, are charged with specific legal obligations to carefully scrutinize all aspects of a utility's request to increase rates.  I&amp;E functions as an independent prosecutorial bureau within the Commission and, as such, is charged with representing the public interest in utility rate proceedings.</w:t>
      </w:r>
      <w:r w:rsidRPr="009E2BE6">
        <w:rPr>
          <w:rStyle w:val="FootnoteReference"/>
        </w:rPr>
        <w:footnoteReference w:id="2"/>
      </w:r>
      <w:r w:rsidRPr="009E2BE6">
        <w:t xml:space="preserve"> The OCA has a statutory obligation to protect the interest of consumers of public utility service.</w:t>
      </w:r>
      <w:r w:rsidRPr="009E2BE6">
        <w:rPr>
          <w:rStyle w:val="FootnoteReference"/>
        </w:rPr>
        <w:footnoteReference w:id="3"/>
      </w:r>
      <w:r w:rsidR="004D2025" w:rsidRPr="009E2BE6">
        <w:t xml:space="preserve"> </w:t>
      </w:r>
    </w:p>
    <w:p w:rsidR="003861A7" w:rsidRPr="009E2BE6" w:rsidRDefault="003861A7" w:rsidP="007E77DC">
      <w:pPr>
        <w:spacing w:line="240" w:lineRule="auto"/>
        <w:ind w:left="1440" w:right="1440"/>
        <w:jc w:val="left"/>
      </w:pPr>
    </w:p>
    <w:p w:rsidR="004D2025" w:rsidRPr="009E2BE6" w:rsidRDefault="004D2025" w:rsidP="007E77DC">
      <w:pPr>
        <w:spacing w:line="240" w:lineRule="auto"/>
        <w:jc w:val="left"/>
      </w:pPr>
      <w:r w:rsidRPr="009E2BE6">
        <w:t>Columbia Statement in Support at ¶14.</w:t>
      </w:r>
    </w:p>
    <w:p w:rsidR="004D2025" w:rsidRPr="009E2BE6" w:rsidRDefault="004D2025" w:rsidP="003861A7">
      <w:pPr>
        <w:jc w:val="left"/>
      </w:pPr>
    </w:p>
    <w:p w:rsidR="00C278A2" w:rsidRPr="009E2BE6" w:rsidRDefault="004D2025" w:rsidP="004D2025">
      <w:pPr>
        <w:jc w:val="left"/>
      </w:pPr>
      <w:r w:rsidRPr="009E2BE6">
        <w:tab/>
      </w:r>
      <w:r w:rsidRPr="009E2BE6">
        <w:tab/>
      </w:r>
      <w:r w:rsidR="00486F0A" w:rsidRPr="009E2BE6">
        <w:t>The Settlement establishes a mechanism consistent with the Commission's policy statement at 52 Pa.Code § 69.363.  In addition, w</w:t>
      </w:r>
      <w:r w:rsidRPr="009E2BE6">
        <w:t>here the parties charged with protecting the public interest agree to a Settlement</w:t>
      </w:r>
      <w:r w:rsidR="00486F0A" w:rsidRPr="009E2BE6">
        <w:t xml:space="preserve"> which satisfies their concerns,</w:t>
      </w:r>
      <w:r w:rsidRPr="009E2BE6">
        <w:t xml:space="preserve"> and have articulated their reasoning clearly, the Settlement is in the public interest.  </w:t>
      </w:r>
      <w:r w:rsidR="00C278A2" w:rsidRPr="009E2BE6">
        <w:t xml:space="preserve">The “substantial public interest” standard is satisfied by a simple preponderance of the evidence of benefits, and such burden can be met by showing a likelihood or probability of public benefits that need not be quantified or guaranteed.  </w:t>
      </w:r>
      <w:r w:rsidR="00C278A2" w:rsidRPr="009E2BE6">
        <w:rPr>
          <w:i/>
        </w:rPr>
        <w:t>Popowsky v. Pa. P</w:t>
      </w:r>
      <w:r w:rsidR="003861A7" w:rsidRPr="009E2BE6">
        <w:rPr>
          <w:i/>
        </w:rPr>
        <w:t>ub. Util. Comm'n</w:t>
      </w:r>
      <w:r w:rsidR="00C278A2" w:rsidRPr="009E2BE6">
        <w:t xml:space="preserve">, 594 Pa. 583, 611, 937 A.2d 1040, 1057 (2007).  </w:t>
      </w:r>
    </w:p>
    <w:p w:rsidR="004D2025" w:rsidRPr="009E2BE6" w:rsidRDefault="004D2025" w:rsidP="004D2025">
      <w:pPr>
        <w:jc w:val="left"/>
      </w:pPr>
    </w:p>
    <w:p w:rsidR="00115236" w:rsidRPr="009E2BE6" w:rsidRDefault="004D2025" w:rsidP="00D5421C">
      <w:pPr>
        <w:jc w:val="left"/>
      </w:pPr>
      <w:r w:rsidRPr="009E2BE6">
        <w:tab/>
      </w:r>
      <w:r w:rsidRPr="009E2BE6">
        <w:tab/>
        <w:t>For the reasons stated above, the Settlement is in the public interest and approval without modification is recommended.</w:t>
      </w:r>
    </w:p>
    <w:p w:rsidR="00F877B3" w:rsidRPr="009E2BE6" w:rsidRDefault="00F877B3" w:rsidP="00D5421C">
      <w:pPr>
        <w:jc w:val="left"/>
      </w:pPr>
    </w:p>
    <w:p w:rsidR="00F877B3" w:rsidRPr="009E2BE6" w:rsidRDefault="00F877B3" w:rsidP="00F877B3">
      <w:pPr>
        <w:rPr>
          <w:u w:val="single"/>
        </w:rPr>
      </w:pPr>
      <w:r w:rsidRPr="009E2BE6">
        <w:rPr>
          <w:u w:val="single"/>
        </w:rPr>
        <w:t>CONCLUSIONS OF LAW</w:t>
      </w:r>
    </w:p>
    <w:p w:rsidR="002D4ADD" w:rsidRPr="009E2BE6" w:rsidRDefault="002D4ADD" w:rsidP="00F877B3">
      <w:pPr>
        <w:rPr>
          <w:u w:val="single"/>
        </w:rPr>
      </w:pPr>
    </w:p>
    <w:p w:rsidR="004D2025" w:rsidRPr="009E2BE6" w:rsidRDefault="004D2025" w:rsidP="004D2025">
      <w:pPr>
        <w:pStyle w:val="ListNumber"/>
        <w:numPr>
          <w:ilvl w:val="0"/>
          <w:numId w:val="0"/>
        </w:numPr>
        <w:spacing w:line="360" w:lineRule="auto"/>
        <w:jc w:val="left"/>
      </w:pPr>
      <w:r w:rsidRPr="009E2BE6">
        <w:tab/>
      </w:r>
      <w:r w:rsidRPr="009E2BE6">
        <w:tab/>
        <w:t>1.</w:t>
      </w:r>
      <w:r w:rsidRPr="009E2BE6">
        <w:tab/>
        <w:t xml:space="preserve">Commission policy promotes settlements.  </w:t>
      </w:r>
      <w:r w:rsidRPr="009E2BE6">
        <w:rPr>
          <w:i/>
        </w:rPr>
        <w:t>See</w:t>
      </w:r>
      <w:r w:rsidRPr="009E2BE6">
        <w:t xml:space="preserve"> 52 Pa.Code § 5.231.  Settlements lessen the time and expense that parties must expend litigating a case and, at the same time, conserve precious administrative resources.  The Commission has indicated that settlement results are often preferable to those achieved at the conclusion of a fully litigated proceeding.  </w:t>
      </w:r>
      <w:r w:rsidRPr="009E2BE6">
        <w:rPr>
          <w:i/>
        </w:rPr>
        <w:t xml:space="preserve">See </w:t>
      </w:r>
      <w:r w:rsidRPr="009E2BE6">
        <w:t xml:space="preserve">52 Pa.Code § 69.401.  </w:t>
      </w:r>
    </w:p>
    <w:p w:rsidR="004D2025" w:rsidRPr="009E2BE6" w:rsidRDefault="004D2025" w:rsidP="004D2025">
      <w:pPr>
        <w:pStyle w:val="ListNumber"/>
        <w:numPr>
          <w:ilvl w:val="0"/>
          <w:numId w:val="0"/>
        </w:numPr>
        <w:spacing w:line="360" w:lineRule="auto"/>
        <w:jc w:val="left"/>
      </w:pPr>
    </w:p>
    <w:p w:rsidR="004D2025" w:rsidRPr="009E2BE6" w:rsidRDefault="004D2025" w:rsidP="004D2025">
      <w:pPr>
        <w:pStyle w:val="ListNumber"/>
        <w:numPr>
          <w:ilvl w:val="0"/>
          <w:numId w:val="0"/>
        </w:numPr>
        <w:spacing w:line="360" w:lineRule="auto"/>
        <w:jc w:val="left"/>
      </w:pPr>
      <w:r w:rsidRPr="009E2BE6">
        <w:tab/>
      </w:r>
      <w:r w:rsidRPr="009E2BE6">
        <w:tab/>
        <w:t>2.</w:t>
      </w:r>
      <w:r w:rsidRPr="009E2BE6">
        <w:tab/>
        <w:t xml:space="preserve">In order to accept a settlement, the Commission must first evaluate whether the proposed terms and conditions are in the public interest.  </w:t>
      </w:r>
      <w:r w:rsidRPr="009E2BE6">
        <w:rPr>
          <w:i/>
        </w:rPr>
        <w:t>Pa. Pub. Util. Comm'n v. York Water Co.</w:t>
      </w:r>
      <w:r w:rsidRPr="009E2BE6">
        <w:t xml:space="preserve">, Docket No. R-00049165 (Oct. 4, 2004); </w:t>
      </w:r>
      <w:r w:rsidRPr="009E2BE6">
        <w:rPr>
          <w:i/>
        </w:rPr>
        <w:t>Pa. Pub. Util. Comm'n v. C.S. Water and Sewer Assocs.</w:t>
      </w:r>
      <w:r w:rsidRPr="009E2BE6">
        <w:t xml:space="preserve">, 74 Pa. PUC 767 (1991).  </w:t>
      </w:r>
    </w:p>
    <w:p w:rsidR="004D2025" w:rsidRPr="009E2BE6" w:rsidRDefault="004D2025" w:rsidP="004D2025">
      <w:pPr>
        <w:pStyle w:val="ListNumber"/>
        <w:numPr>
          <w:ilvl w:val="0"/>
          <w:numId w:val="0"/>
        </w:numPr>
        <w:spacing w:line="360" w:lineRule="auto"/>
        <w:jc w:val="left"/>
      </w:pPr>
    </w:p>
    <w:p w:rsidR="004D2025" w:rsidRPr="009E2BE6" w:rsidRDefault="004D2025" w:rsidP="004D2025">
      <w:pPr>
        <w:pStyle w:val="ListNumber"/>
        <w:numPr>
          <w:ilvl w:val="0"/>
          <w:numId w:val="0"/>
        </w:numPr>
        <w:spacing w:line="360" w:lineRule="auto"/>
        <w:jc w:val="left"/>
      </w:pPr>
      <w:r w:rsidRPr="009E2BE6">
        <w:tab/>
      </w:r>
      <w:r w:rsidRPr="009E2BE6">
        <w:tab/>
        <w:t>3.</w:t>
      </w:r>
      <w:r w:rsidRPr="009E2BE6">
        <w:tab/>
        <w:t>The Commission policy statement guides the treatment of PENNVEST loans.  52 Pa.Code § 69.363.</w:t>
      </w:r>
    </w:p>
    <w:p w:rsidR="00A031C9" w:rsidRPr="009E2BE6" w:rsidRDefault="00A031C9" w:rsidP="004D2025">
      <w:pPr>
        <w:jc w:val="left"/>
      </w:pPr>
    </w:p>
    <w:p w:rsidR="004D2025" w:rsidRPr="009E2BE6" w:rsidRDefault="00A031C9" w:rsidP="004D2025">
      <w:pPr>
        <w:jc w:val="left"/>
      </w:pPr>
      <w:r w:rsidRPr="009E2BE6">
        <w:tab/>
      </w:r>
      <w:r w:rsidRPr="009E2BE6">
        <w:tab/>
        <w:t>4.</w:t>
      </w:r>
      <w:r w:rsidRPr="009E2BE6">
        <w:tab/>
      </w:r>
      <w:r w:rsidR="004D2025" w:rsidRPr="009E2BE6">
        <w:t xml:space="preserve">The “substantial public interest” standard is satisfied by a simple preponderance of the evidence of benefits, and such burden can be met by showing a likelihood or probability of public benefits that need not be quantified or guaranteed.  </w:t>
      </w:r>
      <w:r w:rsidR="004D2025" w:rsidRPr="009E2BE6">
        <w:rPr>
          <w:i/>
        </w:rPr>
        <w:t>Popowsky v. Pa. Pub. Util. Comm'n</w:t>
      </w:r>
      <w:r w:rsidR="004D2025" w:rsidRPr="009E2BE6">
        <w:t xml:space="preserve">, 594 Pa. 583, 611, 937 A.2d 1040, 1057 (2007).  </w:t>
      </w:r>
    </w:p>
    <w:p w:rsidR="00A031C9" w:rsidRPr="009E2BE6" w:rsidRDefault="00A031C9" w:rsidP="004D2025">
      <w:pPr>
        <w:jc w:val="left"/>
      </w:pPr>
    </w:p>
    <w:p w:rsidR="00A031C9" w:rsidRPr="009E2BE6" w:rsidRDefault="00A031C9" w:rsidP="004D2025">
      <w:pPr>
        <w:jc w:val="left"/>
      </w:pPr>
      <w:r w:rsidRPr="009E2BE6">
        <w:tab/>
      </w:r>
      <w:r w:rsidRPr="009E2BE6">
        <w:tab/>
        <w:t>5.</w:t>
      </w:r>
      <w:r w:rsidRPr="009E2BE6">
        <w:tab/>
        <w:t>The Joint Petition for Settlement filed in this case is in the public interest.</w:t>
      </w:r>
    </w:p>
    <w:p w:rsidR="00D5421C" w:rsidRPr="009E2BE6" w:rsidRDefault="00D5421C" w:rsidP="00D5421C">
      <w:pPr>
        <w:jc w:val="left"/>
      </w:pPr>
    </w:p>
    <w:p w:rsidR="00401EA5" w:rsidRDefault="00401EA5" w:rsidP="00F877B3">
      <w:pPr>
        <w:rPr>
          <w:u w:val="single"/>
        </w:rPr>
      </w:pPr>
      <w:bookmarkStart w:id="1" w:name="_GoBack"/>
      <w:bookmarkEnd w:id="1"/>
      <w:r>
        <w:rPr>
          <w:u w:val="single"/>
        </w:rPr>
        <w:br w:type="page"/>
      </w:r>
    </w:p>
    <w:p w:rsidR="00F877B3" w:rsidRPr="005760AA" w:rsidRDefault="005760AA" w:rsidP="00F877B3">
      <w:pPr>
        <w:rPr>
          <w:u w:val="single"/>
        </w:rPr>
      </w:pPr>
      <w:r w:rsidRPr="005760AA">
        <w:rPr>
          <w:u w:val="single"/>
        </w:rPr>
        <w:t>ORDER</w:t>
      </w:r>
    </w:p>
    <w:p w:rsidR="00F877B3" w:rsidRDefault="00F877B3" w:rsidP="00D5421C">
      <w:pPr>
        <w:jc w:val="left"/>
      </w:pPr>
    </w:p>
    <w:p w:rsidR="00401EA5" w:rsidRPr="009E2BE6" w:rsidRDefault="00401EA5" w:rsidP="00D5421C">
      <w:pPr>
        <w:jc w:val="left"/>
      </w:pPr>
    </w:p>
    <w:p w:rsidR="00D5421C" w:rsidRPr="009E2BE6" w:rsidRDefault="00D5421C" w:rsidP="00D5421C">
      <w:pPr>
        <w:jc w:val="left"/>
      </w:pPr>
      <w:r w:rsidRPr="009E2BE6">
        <w:tab/>
      </w:r>
      <w:r w:rsidRPr="009E2BE6">
        <w:tab/>
        <w:t>THEREFORE,</w:t>
      </w:r>
    </w:p>
    <w:p w:rsidR="00D5421C" w:rsidRPr="009E2BE6" w:rsidRDefault="00D5421C" w:rsidP="00D5421C">
      <w:pPr>
        <w:jc w:val="left"/>
      </w:pPr>
    </w:p>
    <w:p w:rsidR="00D5421C" w:rsidRPr="009E2BE6" w:rsidRDefault="00D5421C" w:rsidP="00D5421C">
      <w:pPr>
        <w:jc w:val="left"/>
      </w:pPr>
      <w:r w:rsidRPr="009E2BE6">
        <w:tab/>
      </w:r>
      <w:r w:rsidRPr="009E2BE6">
        <w:tab/>
      </w:r>
      <w:r w:rsidR="005760AA">
        <w:t>IT IS RECOMMENDED</w:t>
      </w:r>
      <w:r w:rsidRPr="009E2BE6">
        <w:t>:</w:t>
      </w:r>
    </w:p>
    <w:p w:rsidR="00D5421C" w:rsidRPr="009E2BE6" w:rsidRDefault="00D5421C" w:rsidP="00D5421C">
      <w:pPr>
        <w:jc w:val="left"/>
      </w:pPr>
    </w:p>
    <w:p w:rsidR="00D5421C" w:rsidRPr="009E2BE6" w:rsidRDefault="00D5421C" w:rsidP="00D3607D">
      <w:pPr>
        <w:jc w:val="left"/>
      </w:pPr>
      <w:r w:rsidRPr="009E2BE6">
        <w:tab/>
      </w:r>
      <w:r w:rsidRPr="009E2BE6">
        <w:tab/>
        <w:t>1.</w:t>
      </w:r>
      <w:r w:rsidRPr="009E2BE6">
        <w:tab/>
      </w:r>
      <w:r w:rsidR="00A031C9" w:rsidRPr="009E2BE6">
        <w:t xml:space="preserve">That the Joint Petition for Settlement filed in the case captioned </w:t>
      </w:r>
      <w:r w:rsidRPr="009E2BE6">
        <w:t xml:space="preserve"> </w:t>
      </w:r>
    </w:p>
    <w:p w:rsidR="00A031C9" w:rsidRPr="009E2BE6" w:rsidRDefault="00A031C9" w:rsidP="00D3607D">
      <w:pPr>
        <w:jc w:val="left"/>
      </w:pPr>
      <w:r w:rsidRPr="009E2BE6">
        <w:t>Pennsylvania Public Utility Commission, et al. v. The Columbia Water Company, Docket Nos. R-2014-2445660, C-2014-2451639, C-2014-2452858, and C-2014-2452991, is approved without modification.</w:t>
      </w:r>
    </w:p>
    <w:p w:rsidR="00A031C9" w:rsidRPr="009E2BE6" w:rsidRDefault="00A031C9" w:rsidP="00D3607D">
      <w:pPr>
        <w:jc w:val="left"/>
      </w:pPr>
    </w:p>
    <w:p w:rsidR="006D5C44" w:rsidRPr="009E2BE6" w:rsidRDefault="00A031C9" w:rsidP="00D3607D">
      <w:pPr>
        <w:jc w:val="left"/>
      </w:pPr>
      <w:r w:rsidRPr="009E2BE6">
        <w:tab/>
      </w:r>
      <w:r w:rsidRPr="009E2BE6">
        <w:tab/>
        <w:t>2.</w:t>
      </w:r>
      <w:r w:rsidRPr="009E2BE6">
        <w:tab/>
      </w:r>
      <w:r w:rsidR="006D5C44" w:rsidRPr="009E2BE6">
        <w:t>That the rates contained in Appendix A of the Joint Petition are approved.</w:t>
      </w:r>
    </w:p>
    <w:p w:rsidR="006D5C44" w:rsidRPr="009E2BE6" w:rsidRDefault="006D5C44" w:rsidP="00D3607D">
      <w:pPr>
        <w:jc w:val="left"/>
      </w:pPr>
    </w:p>
    <w:p w:rsidR="00A031C9" w:rsidRPr="009E2BE6" w:rsidRDefault="006D5C44" w:rsidP="00D3607D">
      <w:pPr>
        <w:jc w:val="left"/>
      </w:pPr>
      <w:r w:rsidRPr="009E2BE6">
        <w:tab/>
      </w:r>
      <w:r w:rsidRPr="009E2BE6">
        <w:tab/>
        <w:t>3.</w:t>
      </w:r>
      <w:r w:rsidRPr="009E2BE6">
        <w:tab/>
        <w:t xml:space="preserve">That The Columbia Water Company </w:t>
      </w:r>
      <w:r w:rsidR="00290453" w:rsidRPr="009E2BE6">
        <w:t>shall be permitted to file a tariff supplement incorporating the terms of the settlement and changes to its rates, rules, and regulations as set forth in Appendix A of the Joint Petition for Settlement of All Issues in Rate Proceeding, to become effective on at least one day’s notice after entry of the Commission’s order approving the settlement,</w:t>
      </w:r>
    </w:p>
    <w:p w:rsidR="00A031C9" w:rsidRPr="009E2BE6" w:rsidRDefault="00A031C9" w:rsidP="005760AA">
      <w:pPr>
        <w:jc w:val="left"/>
      </w:pPr>
    </w:p>
    <w:p w:rsidR="00D5421C" w:rsidRPr="009E2BE6" w:rsidRDefault="00D5421C" w:rsidP="00401EA5">
      <w:pPr>
        <w:tabs>
          <w:tab w:val="left" w:pos="5040"/>
        </w:tabs>
        <w:jc w:val="left"/>
      </w:pPr>
    </w:p>
    <w:p w:rsidR="00D5421C" w:rsidRPr="00D276FA" w:rsidRDefault="00D5421C" w:rsidP="00D5421C">
      <w:pPr>
        <w:spacing w:line="240" w:lineRule="auto"/>
        <w:jc w:val="left"/>
        <w:rPr>
          <w:u w:val="single"/>
        </w:rPr>
      </w:pPr>
      <w:r w:rsidRPr="009E2BE6">
        <w:t>Dated:</w:t>
      </w:r>
      <w:r w:rsidRPr="009E2BE6">
        <w:tab/>
      </w:r>
      <w:r w:rsidR="00F877B3" w:rsidRPr="009E2BE6">
        <w:rPr>
          <w:u w:val="single"/>
        </w:rPr>
        <w:t>June 2</w:t>
      </w:r>
      <w:r w:rsidR="000D1EDC" w:rsidRPr="009E2BE6">
        <w:rPr>
          <w:u w:val="single"/>
        </w:rPr>
        <w:t>2</w:t>
      </w:r>
      <w:r w:rsidR="00F877B3" w:rsidRPr="009E2BE6">
        <w:rPr>
          <w:u w:val="single"/>
        </w:rPr>
        <w:t>,</w:t>
      </w:r>
      <w:r w:rsidRPr="009E2BE6">
        <w:rPr>
          <w:u w:val="single"/>
        </w:rPr>
        <w:t xml:space="preserve"> 2015</w:t>
      </w:r>
      <w:r w:rsidRPr="009E2BE6">
        <w:tab/>
      </w:r>
      <w:r w:rsidRPr="009E2BE6">
        <w:tab/>
      </w:r>
      <w:r w:rsidRPr="009E2BE6">
        <w:tab/>
      </w:r>
      <w:r w:rsidRPr="009E2BE6">
        <w:tab/>
      </w:r>
      <w:r w:rsidRPr="009E2BE6">
        <w:tab/>
      </w:r>
      <w:r w:rsidR="00D276FA">
        <w:rPr>
          <w:u w:val="single"/>
        </w:rPr>
        <w:tab/>
      </w:r>
      <w:r w:rsidR="00D276FA">
        <w:rPr>
          <w:u w:val="single"/>
        </w:rPr>
        <w:tab/>
        <w:t>/s/</w:t>
      </w:r>
      <w:r w:rsidR="00D276FA">
        <w:rPr>
          <w:u w:val="single"/>
        </w:rPr>
        <w:tab/>
      </w:r>
      <w:r w:rsidR="00D276FA">
        <w:rPr>
          <w:u w:val="single"/>
        </w:rPr>
        <w:tab/>
      </w:r>
      <w:r w:rsidR="00D276FA">
        <w:rPr>
          <w:u w:val="single"/>
        </w:rPr>
        <w:tab/>
      </w:r>
    </w:p>
    <w:p w:rsidR="00D5421C" w:rsidRPr="009E2BE6" w:rsidRDefault="005760AA" w:rsidP="00D5421C">
      <w:pPr>
        <w:spacing w:line="240" w:lineRule="auto"/>
        <w:jc w:val="left"/>
      </w:pPr>
      <w:r>
        <w:tab/>
      </w:r>
      <w:r>
        <w:tab/>
      </w:r>
      <w:r>
        <w:tab/>
      </w:r>
      <w:r>
        <w:tab/>
      </w:r>
      <w:r>
        <w:tab/>
      </w:r>
      <w:r>
        <w:tab/>
      </w:r>
      <w:r>
        <w:tab/>
      </w:r>
      <w:r w:rsidR="00D5421C" w:rsidRPr="009E2BE6">
        <w:t>Susan D. Colwell</w:t>
      </w:r>
    </w:p>
    <w:p w:rsidR="00C04960" w:rsidRPr="009E2BE6" w:rsidRDefault="005760AA" w:rsidP="00E50AAF">
      <w:pPr>
        <w:spacing w:line="240" w:lineRule="auto"/>
        <w:jc w:val="left"/>
      </w:pPr>
      <w:r>
        <w:tab/>
      </w:r>
      <w:r>
        <w:tab/>
      </w:r>
      <w:r>
        <w:tab/>
      </w:r>
      <w:r>
        <w:tab/>
      </w:r>
      <w:r>
        <w:tab/>
      </w:r>
      <w:r>
        <w:tab/>
      </w:r>
      <w:r>
        <w:tab/>
      </w:r>
      <w:r w:rsidR="00D5421C" w:rsidRPr="009E2BE6">
        <w:t>Administrative Law Judge</w:t>
      </w:r>
    </w:p>
    <w:sectPr w:rsidR="00C04960" w:rsidRPr="009E2BE6" w:rsidSect="00E50AA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6EA" w:rsidRDefault="00E716EA">
      <w:pPr>
        <w:spacing w:line="240" w:lineRule="auto"/>
      </w:pPr>
      <w:r>
        <w:separator/>
      </w:r>
    </w:p>
  </w:endnote>
  <w:endnote w:type="continuationSeparator" w:id="0">
    <w:p w:rsidR="00E716EA" w:rsidRDefault="00E71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69280607"/>
      <w:docPartObj>
        <w:docPartGallery w:val="Page Numbers (Bottom of Page)"/>
        <w:docPartUnique/>
      </w:docPartObj>
    </w:sdtPr>
    <w:sdtEndPr>
      <w:rPr>
        <w:noProof/>
      </w:rPr>
    </w:sdtEndPr>
    <w:sdtContent>
      <w:p w:rsidR="00556965" w:rsidRPr="009E2BE6" w:rsidRDefault="000E2FB0">
        <w:pPr>
          <w:pStyle w:val="Footer"/>
          <w:rPr>
            <w:sz w:val="20"/>
            <w:szCs w:val="20"/>
          </w:rPr>
        </w:pPr>
        <w:r w:rsidRPr="009E2BE6">
          <w:rPr>
            <w:sz w:val="20"/>
            <w:szCs w:val="20"/>
          </w:rPr>
          <w:fldChar w:fldCharType="begin"/>
        </w:r>
        <w:r w:rsidRPr="009E2BE6">
          <w:rPr>
            <w:sz w:val="20"/>
            <w:szCs w:val="20"/>
          </w:rPr>
          <w:instrText xml:space="preserve"> PAGE   \* MERGEFORMAT </w:instrText>
        </w:r>
        <w:r w:rsidRPr="009E2BE6">
          <w:rPr>
            <w:sz w:val="20"/>
            <w:szCs w:val="20"/>
          </w:rPr>
          <w:fldChar w:fldCharType="separate"/>
        </w:r>
        <w:r w:rsidR="007E77DC">
          <w:rPr>
            <w:noProof/>
            <w:sz w:val="20"/>
            <w:szCs w:val="20"/>
          </w:rPr>
          <w:t>17</w:t>
        </w:r>
        <w:r w:rsidRPr="009E2BE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6EA" w:rsidRDefault="00E716EA" w:rsidP="005760AA">
      <w:pPr>
        <w:spacing w:line="240" w:lineRule="auto"/>
        <w:jc w:val="left"/>
      </w:pPr>
      <w:r>
        <w:separator/>
      </w:r>
    </w:p>
  </w:footnote>
  <w:footnote w:type="continuationSeparator" w:id="0">
    <w:p w:rsidR="00E716EA" w:rsidRDefault="00E716EA">
      <w:pPr>
        <w:spacing w:line="240" w:lineRule="auto"/>
      </w:pPr>
      <w:r>
        <w:continuationSeparator/>
      </w:r>
    </w:p>
  </w:footnote>
  <w:footnote w:id="1">
    <w:p w:rsidR="00510F7E" w:rsidRDefault="00510F7E" w:rsidP="00510F7E">
      <w:pPr>
        <w:pStyle w:val="FootnoteText"/>
        <w:jc w:val="left"/>
      </w:pPr>
      <w:r>
        <w:rPr>
          <w:rStyle w:val="FootnoteReference"/>
        </w:rPr>
        <w:footnoteRef/>
      </w:r>
      <w:r>
        <w:t xml:space="preserve"> </w:t>
      </w:r>
      <w:r w:rsidR="00FB1FA8">
        <w:tab/>
      </w:r>
      <w:r>
        <w:t>Joint Settlement footnote 2 states:  If this settlement and Appendix A are approved by Your Honor and the Commission the compliance supplement number will be in the 70s.</w:t>
      </w:r>
    </w:p>
  </w:footnote>
  <w:footnote w:id="2">
    <w:p w:rsidR="003861A7" w:rsidRDefault="003861A7" w:rsidP="003861A7">
      <w:pPr>
        <w:pStyle w:val="FootnoteText"/>
        <w:jc w:val="left"/>
      </w:pPr>
      <w:r>
        <w:rPr>
          <w:rStyle w:val="FootnoteReference"/>
        </w:rPr>
        <w:footnoteRef/>
      </w:r>
      <w:r w:rsidR="00D3607D">
        <w:tab/>
      </w:r>
      <w:r>
        <w:t xml:space="preserve"> </w:t>
      </w:r>
      <w:r w:rsidRPr="003861A7">
        <w:rPr>
          <w:i/>
        </w:rPr>
        <w:t>See</w:t>
      </w:r>
      <w:r>
        <w:t xml:space="preserve"> </w:t>
      </w:r>
      <w:r>
        <w:rPr>
          <w:i/>
        </w:rPr>
        <w:t xml:space="preserve">Implementation of Act 129 of 2008 Organization of Bureaus and Offices, </w:t>
      </w:r>
      <w:r>
        <w:t>Docket No. M-2008-2071852  (Final Order entered August 11, 2011), p. 5. ("BI&amp;E will serve as the prosecutory bureau for purposes of representing the public interest in ratemaking and service matters…").</w:t>
      </w:r>
    </w:p>
  </w:footnote>
  <w:footnote w:id="3">
    <w:p w:rsidR="003861A7" w:rsidRPr="003861A7" w:rsidRDefault="003861A7" w:rsidP="003861A7">
      <w:pPr>
        <w:pStyle w:val="FootnoteText"/>
        <w:jc w:val="left"/>
        <w:rPr>
          <w:i/>
        </w:rPr>
      </w:pPr>
      <w:r>
        <w:rPr>
          <w:rStyle w:val="FootnoteReference"/>
        </w:rPr>
        <w:footnoteRef/>
      </w:r>
      <w:r>
        <w:t xml:space="preserve"> </w:t>
      </w:r>
      <w:r w:rsidRPr="003861A7">
        <w:rPr>
          <w:i/>
        </w:rPr>
        <w:t>See</w:t>
      </w:r>
      <w:r>
        <w:t xml:space="preserve"> 71 Pa.C.S. See 71 Pa.C.S. 09-1 </w:t>
      </w:r>
      <w:r>
        <w:rPr>
          <w:i/>
        </w:rPr>
        <w:t>et seq.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926CA"/>
    <w:multiLevelType w:val="hybridMultilevel"/>
    <w:tmpl w:val="4474A720"/>
    <w:lvl w:ilvl="0" w:tplc="A46684D2">
      <w:start w:val="1"/>
      <w:numFmt w:val="decimal"/>
      <w:lvlText w:val="%1."/>
      <w:lvlJc w:val="left"/>
      <w:pPr>
        <w:ind w:left="3600" w:hanging="21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86067F6"/>
    <w:multiLevelType w:val="hybridMultilevel"/>
    <w:tmpl w:val="03B0E56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7608686F"/>
    <w:multiLevelType w:val="multilevel"/>
    <w:tmpl w:val="45B6C248"/>
    <w:lvl w:ilvl="0">
      <w:start w:val="1"/>
      <w:numFmt w:val="decimal"/>
      <w:pStyle w:val="ListNumber"/>
      <w:lvlText w:val="%1."/>
      <w:lvlJc w:val="left"/>
      <w:pPr>
        <w:tabs>
          <w:tab w:val="num" w:pos="1800"/>
        </w:tabs>
        <w:ind w:left="1800" w:hanging="720"/>
      </w:pPr>
      <w:rPr>
        <w:rFonts w:hint="default"/>
      </w:rPr>
    </w:lvl>
    <w:lvl w:ilvl="1">
      <w:start w:val="1"/>
      <w:numFmt w:val="lowerLetter"/>
      <w:lvlText w:val="%2)"/>
      <w:lvlJc w:val="left"/>
      <w:pPr>
        <w:tabs>
          <w:tab w:val="num" w:pos="3060"/>
        </w:tabs>
        <w:ind w:left="3060" w:hanging="720"/>
      </w:pPr>
      <w:rPr>
        <w:rFonts w:hint="default"/>
      </w:rPr>
    </w:lvl>
    <w:lvl w:ilvl="2">
      <w:start w:val="1"/>
      <w:numFmt w:val="lowerRoman"/>
      <w:lvlText w:val="%3)"/>
      <w:lvlJc w:val="left"/>
      <w:pPr>
        <w:tabs>
          <w:tab w:val="num" w:pos="3060"/>
        </w:tabs>
        <w:ind w:left="3060" w:hanging="720"/>
      </w:pPr>
      <w:rPr>
        <w:rFonts w:hint="default"/>
      </w:rPr>
    </w:lvl>
    <w:lvl w:ilvl="3">
      <w:start w:val="1"/>
      <w:numFmt w:val="decimal"/>
      <w:lvlText w:val="(%4)"/>
      <w:lvlJc w:val="left"/>
      <w:pPr>
        <w:tabs>
          <w:tab w:val="num" w:pos="3060"/>
        </w:tabs>
        <w:ind w:left="3060" w:hanging="720"/>
      </w:pPr>
      <w:rPr>
        <w:rFonts w:hint="default"/>
      </w:rPr>
    </w:lvl>
    <w:lvl w:ilvl="4">
      <w:start w:val="1"/>
      <w:numFmt w:val="lowerLetter"/>
      <w:lvlText w:val="(%5)"/>
      <w:lvlJc w:val="left"/>
      <w:pPr>
        <w:tabs>
          <w:tab w:val="num" w:pos="3060"/>
        </w:tabs>
        <w:ind w:left="3060" w:hanging="720"/>
      </w:pPr>
      <w:rPr>
        <w:rFonts w:hint="default"/>
      </w:rPr>
    </w:lvl>
    <w:lvl w:ilvl="5">
      <w:start w:val="1"/>
      <w:numFmt w:val="lowerRoman"/>
      <w:lvlText w:val="(%6)"/>
      <w:lvlJc w:val="left"/>
      <w:pPr>
        <w:tabs>
          <w:tab w:val="num" w:pos="3060"/>
        </w:tabs>
        <w:ind w:left="3060" w:hanging="720"/>
      </w:pPr>
      <w:rPr>
        <w:rFonts w:hint="default"/>
      </w:rPr>
    </w:lvl>
    <w:lvl w:ilvl="6">
      <w:start w:val="1"/>
      <w:numFmt w:val="decimal"/>
      <w:lvlText w:val="%7."/>
      <w:lvlJc w:val="left"/>
      <w:pPr>
        <w:tabs>
          <w:tab w:val="num" w:pos="3060"/>
        </w:tabs>
        <w:ind w:left="3060" w:hanging="720"/>
      </w:pPr>
      <w:rPr>
        <w:rFonts w:hint="default"/>
      </w:rPr>
    </w:lvl>
    <w:lvl w:ilvl="7">
      <w:start w:val="1"/>
      <w:numFmt w:val="lowerLetter"/>
      <w:lvlText w:val="%8."/>
      <w:lvlJc w:val="left"/>
      <w:pPr>
        <w:tabs>
          <w:tab w:val="num" w:pos="3060"/>
        </w:tabs>
        <w:ind w:left="3060" w:hanging="720"/>
      </w:pPr>
      <w:rPr>
        <w:rFonts w:hint="default"/>
      </w:rPr>
    </w:lvl>
    <w:lvl w:ilvl="8">
      <w:start w:val="1"/>
      <w:numFmt w:val="lowerRoman"/>
      <w:lvlText w:val="%9."/>
      <w:lvlJc w:val="left"/>
      <w:pPr>
        <w:tabs>
          <w:tab w:val="num" w:pos="3060"/>
        </w:tabs>
        <w:ind w:left="3060" w:hanging="72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1C"/>
    <w:rsid w:val="00001E3A"/>
    <w:rsid w:val="00001EF6"/>
    <w:rsid w:val="000028EA"/>
    <w:rsid w:val="00003D11"/>
    <w:rsid w:val="00004AA3"/>
    <w:rsid w:val="00005558"/>
    <w:rsid w:val="000079FE"/>
    <w:rsid w:val="0001059C"/>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54DC"/>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1EDC"/>
    <w:rsid w:val="000D29BA"/>
    <w:rsid w:val="000D3E49"/>
    <w:rsid w:val="000D5763"/>
    <w:rsid w:val="000E2F36"/>
    <w:rsid w:val="000E2FB0"/>
    <w:rsid w:val="000E376B"/>
    <w:rsid w:val="000E44C4"/>
    <w:rsid w:val="000E49E6"/>
    <w:rsid w:val="000E4A42"/>
    <w:rsid w:val="000E503F"/>
    <w:rsid w:val="000E6827"/>
    <w:rsid w:val="000E71B3"/>
    <w:rsid w:val="000E7515"/>
    <w:rsid w:val="000E7EF5"/>
    <w:rsid w:val="000F0360"/>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6AB"/>
    <w:rsid w:val="00113B1B"/>
    <w:rsid w:val="00115236"/>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9B"/>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0692"/>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3B2A"/>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4D52"/>
    <w:rsid w:val="0026705F"/>
    <w:rsid w:val="002704DD"/>
    <w:rsid w:val="00270AF3"/>
    <w:rsid w:val="0027207B"/>
    <w:rsid w:val="0027210A"/>
    <w:rsid w:val="002748C2"/>
    <w:rsid w:val="002752C3"/>
    <w:rsid w:val="00275659"/>
    <w:rsid w:val="002761E2"/>
    <w:rsid w:val="002769C9"/>
    <w:rsid w:val="00277591"/>
    <w:rsid w:val="00283282"/>
    <w:rsid w:val="00284760"/>
    <w:rsid w:val="0028520A"/>
    <w:rsid w:val="00286A34"/>
    <w:rsid w:val="002871C2"/>
    <w:rsid w:val="00287CB1"/>
    <w:rsid w:val="00290453"/>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2EA5"/>
    <w:rsid w:val="002D4ADD"/>
    <w:rsid w:val="002D4E33"/>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1E0"/>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1A7"/>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3FE5"/>
    <w:rsid w:val="003B4D40"/>
    <w:rsid w:val="003B5D19"/>
    <w:rsid w:val="003B610B"/>
    <w:rsid w:val="003C34F1"/>
    <w:rsid w:val="003C47E8"/>
    <w:rsid w:val="003C5102"/>
    <w:rsid w:val="003C5586"/>
    <w:rsid w:val="003C610C"/>
    <w:rsid w:val="003C6962"/>
    <w:rsid w:val="003C6F65"/>
    <w:rsid w:val="003D0ECD"/>
    <w:rsid w:val="003D1F46"/>
    <w:rsid w:val="003D41CF"/>
    <w:rsid w:val="003D4A07"/>
    <w:rsid w:val="003D5045"/>
    <w:rsid w:val="003E136F"/>
    <w:rsid w:val="003E1442"/>
    <w:rsid w:val="003E2B14"/>
    <w:rsid w:val="003E2FDE"/>
    <w:rsid w:val="003E447A"/>
    <w:rsid w:val="003E5240"/>
    <w:rsid w:val="003E7E85"/>
    <w:rsid w:val="003F01A7"/>
    <w:rsid w:val="003F2E62"/>
    <w:rsid w:val="003F3925"/>
    <w:rsid w:val="003F425B"/>
    <w:rsid w:val="00401386"/>
    <w:rsid w:val="004017C5"/>
    <w:rsid w:val="00401EA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6F0A"/>
    <w:rsid w:val="00487E8F"/>
    <w:rsid w:val="00491F39"/>
    <w:rsid w:val="004938B5"/>
    <w:rsid w:val="00493AC3"/>
    <w:rsid w:val="0049422F"/>
    <w:rsid w:val="0049475D"/>
    <w:rsid w:val="0049575D"/>
    <w:rsid w:val="00496D95"/>
    <w:rsid w:val="00496DB8"/>
    <w:rsid w:val="004A11A6"/>
    <w:rsid w:val="004A1729"/>
    <w:rsid w:val="004A21F4"/>
    <w:rsid w:val="004A3363"/>
    <w:rsid w:val="004A48D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2025"/>
    <w:rsid w:val="004D38F8"/>
    <w:rsid w:val="004D4A68"/>
    <w:rsid w:val="004D5646"/>
    <w:rsid w:val="004D6D13"/>
    <w:rsid w:val="004D6DCE"/>
    <w:rsid w:val="004E1B61"/>
    <w:rsid w:val="004E1FD5"/>
    <w:rsid w:val="004E23ED"/>
    <w:rsid w:val="004E429F"/>
    <w:rsid w:val="004E60E4"/>
    <w:rsid w:val="004F0C0E"/>
    <w:rsid w:val="004F160A"/>
    <w:rsid w:val="004F2F62"/>
    <w:rsid w:val="004F37CB"/>
    <w:rsid w:val="004F45CA"/>
    <w:rsid w:val="004F5216"/>
    <w:rsid w:val="004F616B"/>
    <w:rsid w:val="004F64E4"/>
    <w:rsid w:val="00500A53"/>
    <w:rsid w:val="00503634"/>
    <w:rsid w:val="00504F92"/>
    <w:rsid w:val="00505551"/>
    <w:rsid w:val="005078B3"/>
    <w:rsid w:val="00510A28"/>
    <w:rsid w:val="00510F7E"/>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37624"/>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60AA"/>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5418"/>
    <w:rsid w:val="005C610A"/>
    <w:rsid w:val="005D1442"/>
    <w:rsid w:val="005D1922"/>
    <w:rsid w:val="005D2788"/>
    <w:rsid w:val="005D4281"/>
    <w:rsid w:val="005D6E32"/>
    <w:rsid w:val="005E06D4"/>
    <w:rsid w:val="005E1521"/>
    <w:rsid w:val="005E3768"/>
    <w:rsid w:val="005E448D"/>
    <w:rsid w:val="005F00BA"/>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306"/>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400"/>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C44"/>
    <w:rsid w:val="006D7692"/>
    <w:rsid w:val="006E1753"/>
    <w:rsid w:val="006E2F74"/>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344"/>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A397C"/>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77DC"/>
    <w:rsid w:val="007F07AF"/>
    <w:rsid w:val="007F2A44"/>
    <w:rsid w:val="007F6E2B"/>
    <w:rsid w:val="007F7699"/>
    <w:rsid w:val="007F773D"/>
    <w:rsid w:val="008003C8"/>
    <w:rsid w:val="00802118"/>
    <w:rsid w:val="00804065"/>
    <w:rsid w:val="008047DD"/>
    <w:rsid w:val="0080611B"/>
    <w:rsid w:val="00806213"/>
    <w:rsid w:val="00811EC5"/>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29AC"/>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A6247"/>
    <w:rsid w:val="008B2982"/>
    <w:rsid w:val="008B2F05"/>
    <w:rsid w:val="008B456E"/>
    <w:rsid w:val="008B51B9"/>
    <w:rsid w:val="008B5BC6"/>
    <w:rsid w:val="008B6119"/>
    <w:rsid w:val="008B62FA"/>
    <w:rsid w:val="008B7153"/>
    <w:rsid w:val="008C03AD"/>
    <w:rsid w:val="008C11EE"/>
    <w:rsid w:val="008C1485"/>
    <w:rsid w:val="008C175C"/>
    <w:rsid w:val="008C2DAF"/>
    <w:rsid w:val="008C31DC"/>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2BE6"/>
    <w:rsid w:val="009E362F"/>
    <w:rsid w:val="009E40DF"/>
    <w:rsid w:val="009E59CA"/>
    <w:rsid w:val="009F1AEE"/>
    <w:rsid w:val="009F1DB1"/>
    <w:rsid w:val="009F1EA5"/>
    <w:rsid w:val="009F2343"/>
    <w:rsid w:val="009F5E68"/>
    <w:rsid w:val="009F69E5"/>
    <w:rsid w:val="009F7476"/>
    <w:rsid w:val="009F768D"/>
    <w:rsid w:val="00A00F26"/>
    <w:rsid w:val="00A018F7"/>
    <w:rsid w:val="00A02619"/>
    <w:rsid w:val="00A02ABC"/>
    <w:rsid w:val="00A031C9"/>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27DEF"/>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5FA0"/>
    <w:rsid w:val="00A57796"/>
    <w:rsid w:val="00A57AB1"/>
    <w:rsid w:val="00A635D9"/>
    <w:rsid w:val="00A63E13"/>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02D3"/>
    <w:rsid w:val="00AB16AD"/>
    <w:rsid w:val="00AB24CE"/>
    <w:rsid w:val="00AB3CE6"/>
    <w:rsid w:val="00AB3E2B"/>
    <w:rsid w:val="00AB65C7"/>
    <w:rsid w:val="00AB671D"/>
    <w:rsid w:val="00AB67F0"/>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3A3"/>
    <w:rsid w:val="00B01BE5"/>
    <w:rsid w:val="00B02385"/>
    <w:rsid w:val="00B03878"/>
    <w:rsid w:val="00B0679C"/>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04D5"/>
    <w:rsid w:val="00BB0D99"/>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0734"/>
    <w:rsid w:val="00BE107D"/>
    <w:rsid w:val="00BE2D6C"/>
    <w:rsid w:val="00BE4C2B"/>
    <w:rsid w:val="00BE52CA"/>
    <w:rsid w:val="00BE5D1C"/>
    <w:rsid w:val="00BE701E"/>
    <w:rsid w:val="00BE7640"/>
    <w:rsid w:val="00BF0242"/>
    <w:rsid w:val="00BF0AE5"/>
    <w:rsid w:val="00BF144D"/>
    <w:rsid w:val="00BF214A"/>
    <w:rsid w:val="00BF22B5"/>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278A2"/>
    <w:rsid w:val="00C3028D"/>
    <w:rsid w:val="00C310B8"/>
    <w:rsid w:val="00C31DBD"/>
    <w:rsid w:val="00C32633"/>
    <w:rsid w:val="00C3305D"/>
    <w:rsid w:val="00C3343C"/>
    <w:rsid w:val="00C3343E"/>
    <w:rsid w:val="00C3643C"/>
    <w:rsid w:val="00C36C29"/>
    <w:rsid w:val="00C40369"/>
    <w:rsid w:val="00C41646"/>
    <w:rsid w:val="00C4383B"/>
    <w:rsid w:val="00C4467A"/>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6785"/>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461"/>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6FA"/>
    <w:rsid w:val="00D27EA0"/>
    <w:rsid w:val="00D31593"/>
    <w:rsid w:val="00D33231"/>
    <w:rsid w:val="00D3607D"/>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1343"/>
    <w:rsid w:val="00D5421C"/>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236"/>
    <w:rsid w:val="00DF4C70"/>
    <w:rsid w:val="00DF4D56"/>
    <w:rsid w:val="00DF513C"/>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AAF"/>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16EA"/>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3A7"/>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173B0"/>
    <w:rsid w:val="00F21CA5"/>
    <w:rsid w:val="00F255B6"/>
    <w:rsid w:val="00F26ED7"/>
    <w:rsid w:val="00F27D23"/>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7B3"/>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1FA8"/>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339A"/>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1C"/>
  </w:style>
  <w:style w:type="paragraph" w:styleId="Heading4">
    <w:name w:val="heading 4"/>
    <w:basedOn w:val="Normal"/>
    <w:link w:val="Heading4Char"/>
    <w:uiPriority w:val="9"/>
    <w:qFormat/>
    <w:rsid w:val="00BB04D5"/>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421C"/>
    <w:pPr>
      <w:spacing w:after="120" w:line="240" w:lineRule="auto"/>
      <w:jc w:val="left"/>
    </w:pPr>
    <w:rPr>
      <w:rFonts w:eastAsia="Times New Roman"/>
    </w:rPr>
  </w:style>
  <w:style w:type="character" w:customStyle="1" w:styleId="BodyTextChar">
    <w:name w:val="Body Text Char"/>
    <w:basedOn w:val="DefaultParagraphFont"/>
    <w:link w:val="BodyText"/>
    <w:rsid w:val="00D5421C"/>
    <w:rPr>
      <w:rFonts w:eastAsia="Times New Roman"/>
    </w:rPr>
  </w:style>
  <w:style w:type="paragraph" w:styleId="Footer">
    <w:name w:val="footer"/>
    <w:basedOn w:val="Normal"/>
    <w:link w:val="FooterChar"/>
    <w:uiPriority w:val="99"/>
    <w:unhideWhenUsed/>
    <w:rsid w:val="00D5421C"/>
    <w:pPr>
      <w:tabs>
        <w:tab w:val="center" w:pos="4680"/>
        <w:tab w:val="right" w:pos="9360"/>
      </w:tabs>
      <w:spacing w:line="240" w:lineRule="auto"/>
    </w:pPr>
  </w:style>
  <w:style w:type="character" w:customStyle="1" w:styleId="FooterChar">
    <w:name w:val="Footer Char"/>
    <w:basedOn w:val="DefaultParagraphFont"/>
    <w:link w:val="Footer"/>
    <w:uiPriority w:val="99"/>
    <w:rsid w:val="00D5421C"/>
  </w:style>
  <w:style w:type="paragraph" w:styleId="FootnoteText">
    <w:name w:val="footnote text"/>
    <w:basedOn w:val="Normal"/>
    <w:link w:val="FootnoteTextChar"/>
    <w:uiPriority w:val="99"/>
    <w:semiHidden/>
    <w:unhideWhenUsed/>
    <w:rsid w:val="00510F7E"/>
    <w:pPr>
      <w:spacing w:line="240" w:lineRule="auto"/>
    </w:pPr>
    <w:rPr>
      <w:sz w:val="20"/>
      <w:szCs w:val="20"/>
    </w:rPr>
  </w:style>
  <w:style w:type="character" w:customStyle="1" w:styleId="FootnoteTextChar">
    <w:name w:val="Footnote Text Char"/>
    <w:basedOn w:val="DefaultParagraphFont"/>
    <w:link w:val="FootnoteText"/>
    <w:uiPriority w:val="99"/>
    <w:semiHidden/>
    <w:rsid w:val="00510F7E"/>
    <w:rPr>
      <w:sz w:val="20"/>
      <w:szCs w:val="20"/>
    </w:rPr>
  </w:style>
  <w:style w:type="character" w:styleId="FootnoteReference">
    <w:name w:val="footnote reference"/>
    <w:basedOn w:val="DefaultParagraphFont"/>
    <w:uiPriority w:val="99"/>
    <w:semiHidden/>
    <w:unhideWhenUsed/>
    <w:rsid w:val="00510F7E"/>
    <w:rPr>
      <w:vertAlign w:val="superscript"/>
    </w:rPr>
  </w:style>
  <w:style w:type="paragraph" w:styleId="ListParagraph">
    <w:name w:val="List Paragraph"/>
    <w:basedOn w:val="Normal"/>
    <w:uiPriority w:val="34"/>
    <w:qFormat/>
    <w:rsid w:val="00DF513C"/>
    <w:pPr>
      <w:spacing w:line="240" w:lineRule="auto"/>
      <w:ind w:left="720"/>
      <w:contextualSpacing/>
      <w:jc w:val="left"/>
    </w:pPr>
    <w:rPr>
      <w:rFonts w:eastAsia="Times New Roman"/>
      <w:color w:val="000000"/>
      <w:sz w:val="26"/>
      <w:szCs w:val="20"/>
    </w:rPr>
  </w:style>
  <w:style w:type="character" w:customStyle="1" w:styleId="Heading4Char">
    <w:name w:val="Heading 4 Char"/>
    <w:basedOn w:val="DefaultParagraphFont"/>
    <w:link w:val="Heading4"/>
    <w:uiPriority w:val="9"/>
    <w:rsid w:val="00BB04D5"/>
    <w:rPr>
      <w:rFonts w:eastAsia="Times New Roman"/>
      <w:b/>
      <w:bCs/>
    </w:rPr>
  </w:style>
  <w:style w:type="paragraph" w:styleId="NormalWeb">
    <w:name w:val="Normal (Web)"/>
    <w:basedOn w:val="Normal"/>
    <w:uiPriority w:val="99"/>
    <w:semiHidden/>
    <w:unhideWhenUsed/>
    <w:rsid w:val="00BB04D5"/>
    <w:pPr>
      <w:spacing w:before="100" w:beforeAutospacing="1" w:after="100" w:afterAutospacing="1" w:line="240" w:lineRule="auto"/>
      <w:jc w:val="left"/>
    </w:pPr>
    <w:rPr>
      <w:rFonts w:eastAsia="Times New Roman"/>
    </w:rPr>
  </w:style>
  <w:style w:type="paragraph" w:styleId="ListNumber">
    <w:name w:val="List Number"/>
    <w:aliases w:val="List Number 1"/>
    <w:basedOn w:val="Normal"/>
    <w:qFormat/>
    <w:rsid w:val="000F0360"/>
    <w:pPr>
      <w:numPr>
        <w:numId w:val="3"/>
      </w:numPr>
      <w:tabs>
        <w:tab w:val="num" w:pos="1620"/>
      </w:tabs>
      <w:spacing w:line="480" w:lineRule="auto"/>
      <w:ind w:left="1620"/>
      <w:jc w:val="both"/>
    </w:pPr>
    <w:rPr>
      <w:rFonts w:eastAsia="Times New Roman"/>
    </w:rPr>
  </w:style>
  <w:style w:type="paragraph" w:styleId="BodyText2">
    <w:name w:val="Body Text 2"/>
    <w:basedOn w:val="Normal"/>
    <w:link w:val="BodyText2Char"/>
    <w:uiPriority w:val="99"/>
    <w:unhideWhenUsed/>
    <w:rsid w:val="000F0360"/>
    <w:pPr>
      <w:spacing w:after="120" w:line="480" w:lineRule="auto"/>
      <w:jc w:val="left"/>
    </w:pPr>
    <w:rPr>
      <w:rFonts w:eastAsia="Times New Roman"/>
      <w:sz w:val="26"/>
      <w:szCs w:val="26"/>
    </w:rPr>
  </w:style>
  <w:style w:type="character" w:customStyle="1" w:styleId="BodyText2Char">
    <w:name w:val="Body Text 2 Char"/>
    <w:basedOn w:val="DefaultParagraphFont"/>
    <w:link w:val="BodyText2"/>
    <w:uiPriority w:val="99"/>
    <w:rsid w:val="000F0360"/>
    <w:rPr>
      <w:rFonts w:eastAsia="Times New Roman"/>
      <w:sz w:val="26"/>
      <w:szCs w:val="26"/>
    </w:rPr>
  </w:style>
  <w:style w:type="paragraph" w:styleId="BalloonText">
    <w:name w:val="Balloon Text"/>
    <w:basedOn w:val="Normal"/>
    <w:link w:val="BalloonTextChar"/>
    <w:uiPriority w:val="99"/>
    <w:semiHidden/>
    <w:unhideWhenUsed/>
    <w:rsid w:val="00CB4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461"/>
    <w:rPr>
      <w:rFonts w:ascii="Tahoma" w:hAnsi="Tahoma" w:cs="Tahoma"/>
      <w:sz w:val="16"/>
      <w:szCs w:val="16"/>
    </w:rPr>
  </w:style>
  <w:style w:type="paragraph" w:styleId="Header">
    <w:name w:val="header"/>
    <w:basedOn w:val="Normal"/>
    <w:link w:val="HeaderChar"/>
    <w:uiPriority w:val="99"/>
    <w:unhideWhenUsed/>
    <w:rsid w:val="009E2BE6"/>
    <w:pPr>
      <w:tabs>
        <w:tab w:val="center" w:pos="4680"/>
        <w:tab w:val="right" w:pos="9360"/>
      </w:tabs>
      <w:spacing w:line="240" w:lineRule="auto"/>
    </w:pPr>
  </w:style>
  <w:style w:type="character" w:customStyle="1" w:styleId="HeaderChar">
    <w:name w:val="Header Char"/>
    <w:basedOn w:val="DefaultParagraphFont"/>
    <w:link w:val="Header"/>
    <w:uiPriority w:val="99"/>
    <w:rsid w:val="009E2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1C"/>
  </w:style>
  <w:style w:type="paragraph" w:styleId="Heading4">
    <w:name w:val="heading 4"/>
    <w:basedOn w:val="Normal"/>
    <w:link w:val="Heading4Char"/>
    <w:uiPriority w:val="9"/>
    <w:qFormat/>
    <w:rsid w:val="00BB04D5"/>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421C"/>
    <w:pPr>
      <w:spacing w:after="120" w:line="240" w:lineRule="auto"/>
      <w:jc w:val="left"/>
    </w:pPr>
    <w:rPr>
      <w:rFonts w:eastAsia="Times New Roman"/>
    </w:rPr>
  </w:style>
  <w:style w:type="character" w:customStyle="1" w:styleId="BodyTextChar">
    <w:name w:val="Body Text Char"/>
    <w:basedOn w:val="DefaultParagraphFont"/>
    <w:link w:val="BodyText"/>
    <w:rsid w:val="00D5421C"/>
    <w:rPr>
      <w:rFonts w:eastAsia="Times New Roman"/>
    </w:rPr>
  </w:style>
  <w:style w:type="paragraph" w:styleId="Footer">
    <w:name w:val="footer"/>
    <w:basedOn w:val="Normal"/>
    <w:link w:val="FooterChar"/>
    <w:uiPriority w:val="99"/>
    <w:unhideWhenUsed/>
    <w:rsid w:val="00D5421C"/>
    <w:pPr>
      <w:tabs>
        <w:tab w:val="center" w:pos="4680"/>
        <w:tab w:val="right" w:pos="9360"/>
      </w:tabs>
      <w:spacing w:line="240" w:lineRule="auto"/>
    </w:pPr>
  </w:style>
  <w:style w:type="character" w:customStyle="1" w:styleId="FooterChar">
    <w:name w:val="Footer Char"/>
    <w:basedOn w:val="DefaultParagraphFont"/>
    <w:link w:val="Footer"/>
    <w:uiPriority w:val="99"/>
    <w:rsid w:val="00D5421C"/>
  </w:style>
  <w:style w:type="paragraph" w:styleId="FootnoteText">
    <w:name w:val="footnote text"/>
    <w:basedOn w:val="Normal"/>
    <w:link w:val="FootnoteTextChar"/>
    <w:uiPriority w:val="99"/>
    <w:semiHidden/>
    <w:unhideWhenUsed/>
    <w:rsid w:val="00510F7E"/>
    <w:pPr>
      <w:spacing w:line="240" w:lineRule="auto"/>
    </w:pPr>
    <w:rPr>
      <w:sz w:val="20"/>
      <w:szCs w:val="20"/>
    </w:rPr>
  </w:style>
  <w:style w:type="character" w:customStyle="1" w:styleId="FootnoteTextChar">
    <w:name w:val="Footnote Text Char"/>
    <w:basedOn w:val="DefaultParagraphFont"/>
    <w:link w:val="FootnoteText"/>
    <w:uiPriority w:val="99"/>
    <w:semiHidden/>
    <w:rsid w:val="00510F7E"/>
    <w:rPr>
      <w:sz w:val="20"/>
      <w:szCs w:val="20"/>
    </w:rPr>
  </w:style>
  <w:style w:type="character" w:styleId="FootnoteReference">
    <w:name w:val="footnote reference"/>
    <w:basedOn w:val="DefaultParagraphFont"/>
    <w:uiPriority w:val="99"/>
    <w:semiHidden/>
    <w:unhideWhenUsed/>
    <w:rsid w:val="00510F7E"/>
    <w:rPr>
      <w:vertAlign w:val="superscript"/>
    </w:rPr>
  </w:style>
  <w:style w:type="paragraph" w:styleId="ListParagraph">
    <w:name w:val="List Paragraph"/>
    <w:basedOn w:val="Normal"/>
    <w:uiPriority w:val="34"/>
    <w:qFormat/>
    <w:rsid w:val="00DF513C"/>
    <w:pPr>
      <w:spacing w:line="240" w:lineRule="auto"/>
      <w:ind w:left="720"/>
      <w:contextualSpacing/>
      <w:jc w:val="left"/>
    </w:pPr>
    <w:rPr>
      <w:rFonts w:eastAsia="Times New Roman"/>
      <w:color w:val="000000"/>
      <w:sz w:val="26"/>
      <w:szCs w:val="20"/>
    </w:rPr>
  </w:style>
  <w:style w:type="character" w:customStyle="1" w:styleId="Heading4Char">
    <w:name w:val="Heading 4 Char"/>
    <w:basedOn w:val="DefaultParagraphFont"/>
    <w:link w:val="Heading4"/>
    <w:uiPriority w:val="9"/>
    <w:rsid w:val="00BB04D5"/>
    <w:rPr>
      <w:rFonts w:eastAsia="Times New Roman"/>
      <w:b/>
      <w:bCs/>
    </w:rPr>
  </w:style>
  <w:style w:type="paragraph" w:styleId="NormalWeb">
    <w:name w:val="Normal (Web)"/>
    <w:basedOn w:val="Normal"/>
    <w:uiPriority w:val="99"/>
    <w:semiHidden/>
    <w:unhideWhenUsed/>
    <w:rsid w:val="00BB04D5"/>
    <w:pPr>
      <w:spacing w:before="100" w:beforeAutospacing="1" w:after="100" w:afterAutospacing="1" w:line="240" w:lineRule="auto"/>
      <w:jc w:val="left"/>
    </w:pPr>
    <w:rPr>
      <w:rFonts w:eastAsia="Times New Roman"/>
    </w:rPr>
  </w:style>
  <w:style w:type="paragraph" w:styleId="ListNumber">
    <w:name w:val="List Number"/>
    <w:aliases w:val="List Number 1"/>
    <w:basedOn w:val="Normal"/>
    <w:qFormat/>
    <w:rsid w:val="000F0360"/>
    <w:pPr>
      <w:numPr>
        <w:numId w:val="3"/>
      </w:numPr>
      <w:tabs>
        <w:tab w:val="num" w:pos="1620"/>
      </w:tabs>
      <w:spacing w:line="480" w:lineRule="auto"/>
      <w:ind w:left="1620"/>
      <w:jc w:val="both"/>
    </w:pPr>
    <w:rPr>
      <w:rFonts w:eastAsia="Times New Roman"/>
    </w:rPr>
  </w:style>
  <w:style w:type="paragraph" w:styleId="BodyText2">
    <w:name w:val="Body Text 2"/>
    <w:basedOn w:val="Normal"/>
    <w:link w:val="BodyText2Char"/>
    <w:uiPriority w:val="99"/>
    <w:unhideWhenUsed/>
    <w:rsid w:val="000F0360"/>
    <w:pPr>
      <w:spacing w:after="120" w:line="480" w:lineRule="auto"/>
      <w:jc w:val="left"/>
    </w:pPr>
    <w:rPr>
      <w:rFonts w:eastAsia="Times New Roman"/>
      <w:sz w:val="26"/>
      <w:szCs w:val="26"/>
    </w:rPr>
  </w:style>
  <w:style w:type="character" w:customStyle="1" w:styleId="BodyText2Char">
    <w:name w:val="Body Text 2 Char"/>
    <w:basedOn w:val="DefaultParagraphFont"/>
    <w:link w:val="BodyText2"/>
    <w:uiPriority w:val="99"/>
    <w:rsid w:val="000F0360"/>
    <w:rPr>
      <w:rFonts w:eastAsia="Times New Roman"/>
      <w:sz w:val="26"/>
      <w:szCs w:val="26"/>
    </w:rPr>
  </w:style>
  <w:style w:type="paragraph" w:styleId="BalloonText">
    <w:name w:val="Balloon Text"/>
    <w:basedOn w:val="Normal"/>
    <w:link w:val="BalloonTextChar"/>
    <w:uiPriority w:val="99"/>
    <w:semiHidden/>
    <w:unhideWhenUsed/>
    <w:rsid w:val="00CB4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461"/>
    <w:rPr>
      <w:rFonts w:ascii="Tahoma" w:hAnsi="Tahoma" w:cs="Tahoma"/>
      <w:sz w:val="16"/>
      <w:szCs w:val="16"/>
    </w:rPr>
  </w:style>
  <w:style w:type="paragraph" w:styleId="Header">
    <w:name w:val="header"/>
    <w:basedOn w:val="Normal"/>
    <w:link w:val="HeaderChar"/>
    <w:uiPriority w:val="99"/>
    <w:unhideWhenUsed/>
    <w:rsid w:val="009E2BE6"/>
    <w:pPr>
      <w:tabs>
        <w:tab w:val="center" w:pos="4680"/>
        <w:tab w:val="right" w:pos="9360"/>
      </w:tabs>
      <w:spacing w:line="240" w:lineRule="auto"/>
    </w:pPr>
  </w:style>
  <w:style w:type="character" w:customStyle="1" w:styleId="HeaderChar">
    <w:name w:val="Header Char"/>
    <w:basedOn w:val="DefaultParagraphFont"/>
    <w:link w:val="Header"/>
    <w:uiPriority w:val="99"/>
    <w:rsid w:val="009E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3009">
      <w:bodyDiv w:val="1"/>
      <w:marLeft w:val="0"/>
      <w:marRight w:val="0"/>
      <w:marTop w:val="0"/>
      <w:marBottom w:val="0"/>
      <w:divBdr>
        <w:top w:val="none" w:sz="0" w:space="0" w:color="auto"/>
        <w:left w:val="none" w:sz="0" w:space="0" w:color="auto"/>
        <w:bottom w:val="none" w:sz="0" w:space="0" w:color="auto"/>
        <w:right w:val="none" w:sz="0" w:space="0" w:color="auto"/>
      </w:divBdr>
      <w:divsChild>
        <w:div w:id="184427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460F6-0F85-4FE5-AD27-5C263CD9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2015-06-23T15:42:00Z</cp:lastPrinted>
  <dcterms:created xsi:type="dcterms:W3CDTF">2015-07-01T15:09:00Z</dcterms:created>
  <dcterms:modified xsi:type="dcterms:W3CDTF">2015-07-01T15:17:00Z</dcterms:modified>
</cp:coreProperties>
</file>