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305B" w:rsidRDefault="0014426D" w:rsidP="0014426D">
      <w:pPr>
        <w:spacing w:after="0" w:line="240" w:lineRule="auto"/>
        <w:jc w:val="center"/>
        <w:rPr>
          <w:b/>
        </w:rPr>
      </w:pPr>
      <w:bookmarkStart w:id="0" w:name="_GoBack"/>
      <w:bookmarkEnd w:id="0"/>
      <w:r w:rsidRPr="00941E9B">
        <w:rPr>
          <w:b/>
        </w:rPr>
        <w:t>BEFORE</w:t>
      </w:r>
      <w:r w:rsidR="00C7305B">
        <w:rPr>
          <w:b/>
        </w:rPr>
        <w:t xml:space="preserve"> </w:t>
      </w:r>
      <w:r w:rsidRPr="00941E9B">
        <w:rPr>
          <w:b/>
        </w:rPr>
        <w:t xml:space="preserve">THE </w:t>
      </w:r>
    </w:p>
    <w:p w:rsidR="0014426D" w:rsidRDefault="00C7305B" w:rsidP="0014426D">
      <w:pPr>
        <w:spacing w:after="0" w:line="240" w:lineRule="auto"/>
        <w:jc w:val="center"/>
        <w:rPr>
          <w:b/>
        </w:rPr>
      </w:pPr>
      <w:r>
        <w:rPr>
          <w:b/>
        </w:rPr>
        <w:t xml:space="preserve">PENNSYLVANIA </w:t>
      </w:r>
      <w:r w:rsidR="0014426D" w:rsidRPr="00941E9B">
        <w:rPr>
          <w:b/>
        </w:rPr>
        <w:t>PUBLIC UTILITY COMMISSION</w:t>
      </w:r>
    </w:p>
    <w:p w:rsidR="004D23B7" w:rsidRDefault="004D23B7" w:rsidP="0014426D">
      <w:pPr>
        <w:spacing w:after="0" w:line="240" w:lineRule="auto"/>
        <w:jc w:val="center"/>
        <w:rPr>
          <w:b/>
        </w:rPr>
      </w:pPr>
    </w:p>
    <w:p w:rsidR="00C7305B" w:rsidRDefault="00C7305B" w:rsidP="0014426D">
      <w:pPr>
        <w:spacing w:after="0" w:line="240" w:lineRule="auto"/>
        <w:jc w:val="center"/>
        <w:rPr>
          <w:b/>
        </w:rPr>
      </w:pPr>
    </w:p>
    <w:p w:rsidR="005A1C9A" w:rsidRDefault="005A1C9A" w:rsidP="0014426D">
      <w:pPr>
        <w:spacing w:after="0" w:line="240" w:lineRule="auto"/>
        <w:jc w:val="center"/>
        <w:rPr>
          <w:b/>
        </w:rPr>
      </w:pPr>
    </w:p>
    <w:p w:rsidR="005A1C9A" w:rsidRDefault="005A1C9A" w:rsidP="001D03B3">
      <w:pPr>
        <w:tabs>
          <w:tab w:val="left" w:pos="5040"/>
        </w:tabs>
        <w:spacing w:after="0" w:line="240" w:lineRule="auto"/>
      </w:pPr>
      <w:r>
        <w:t xml:space="preserve">Application of Rasier-PA LLC, a limited liability </w:t>
      </w:r>
      <w:r>
        <w:tab/>
        <w:t>:</w:t>
      </w:r>
      <w:r w:rsidR="00A271AF">
        <w:tab/>
      </w:r>
      <w:r w:rsidR="00A271AF">
        <w:tab/>
        <w:t>A-2015-2469287</w:t>
      </w:r>
    </w:p>
    <w:p w:rsidR="005A1C9A" w:rsidRDefault="005A1C9A" w:rsidP="005A1C9A">
      <w:pPr>
        <w:spacing w:after="0" w:line="240" w:lineRule="auto"/>
      </w:pPr>
      <w:proofErr w:type="gramStart"/>
      <w:r>
        <w:t>company</w:t>
      </w:r>
      <w:proofErr w:type="gramEnd"/>
      <w:r>
        <w:t xml:space="preserve"> of the State of Delaware for amendment </w:t>
      </w:r>
      <w:r>
        <w:tab/>
        <w:t>:</w:t>
      </w:r>
    </w:p>
    <w:p w:rsidR="005A1C9A" w:rsidRDefault="005A1C9A" w:rsidP="005A1C9A">
      <w:pPr>
        <w:spacing w:after="0" w:line="240" w:lineRule="auto"/>
      </w:pPr>
      <w:proofErr w:type="gramStart"/>
      <w:r>
        <w:t>to</w:t>
      </w:r>
      <w:proofErr w:type="gramEnd"/>
      <w:r>
        <w:t xml:space="preserve"> its common carrier certificate, which grants the </w:t>
      </w:r>
      <w:r>
        <w:tab/>
        <w:t>:</w:t>
      </w:r>
    </w:p>
    <w:p w:rsidR="005A1C9A" w:rsidRDefault="005A1C9A" w:rsidP="005A1C9A">
      <w:pPr>
        <w:spacing w:after="0" w:line="240" w:lineRule="auto"/>
      </w:pPr>
      <w:proofErr w:type="gramStart"/>
      <w:r>
        <w:t>right</w:t>
      </w:r>
      <w:proofErr w:type="gramEnd"/>
      <w:r>
        <w:t xml:space="preserve"> to transport by motor vehicle persons in </w:t>
      </w:r>
      <w:r>
        <w:tab/>
        <w:t>:</w:t>
      </w:r>
    </w:p>
    <w:p w:rsidR="005A1C9A" w:rsidRDefault="005A1C9A" w:rsidP="005A1C9A">
      <w:pPr>
        <w:spacing w:after="0" w:line="240" w:lineRule="auto"/>
      </w:pPr>
      <w:proofErr w:type="gramStart"/>
      <w:r>
        <w:t>experimental</w:t>
      </w:r>
      <w:proofErr w:type="gramEnd"/>
      <w:r>
        <w:t xml:space="preserve"> service of ride-sharing network for </w:t>
      </w:r>
      <w:r>
        <w:tab/>
        <w:t>:</w:t>
      </w:r>
    </w:p>
    <w:p w:rsidR="005A1C9A" w:rsidRDefault="005A1C9A" w:rsidP="005A1C9A">
      <w:pPr>
        <w:spacing w:after="0" w:line="240" w:lineRule="auto"/>
      </w:pPr>
      <w:proofErr w:type="gramStart"/>
      <w:r>
        <w:t>passenger</w:t>
      </w:r>
      <w:proofErr w:type="gramEnd"/>
      <w:r>
        <w:t xml:space="preserve"> trips between points in Pennsylvania, </w:t>
      </w:r>
      <w:r>
        <w:tab/>
        <w:t>:</w:t>
      </w:r>
    </w:p>
    <w:p w:rsidR="005A1C9A" w:rsidRDefault="005A1C9A" w:rsidP="005A1C9A">
      <w:pPr>
        <w:spacing w:after="0" w:line="240" w:lineRule="auto"/>
      </w:pPr>
      <w:proofErr w:type="gramStart"/>
      <w:r>
        <w:t>excluding</w:t>
      </w:r>
      <w:proofErr w:type="gramEnd"/>
      <w:r>
        <w:t xml:space="preserve"> those which originate or terminate in the </w:t>
      </w:r>
      <w:r>
        <w:tab/>
        <w:t>:</w:t>
      </w:r>
    </w:p>
    <w:p w:rsidR="005A1C9A" w:rsidRDefault="005A1C9A" w:rsidP="005A1C9A">
      <w:pPr>
        <w:spacing w:after="0" w:line="240" w:lineRule="auto"/>
      </w:pPr>
      <w:r>
        <w:t xml:space="preserve">Counties of Beaver, Clinton, Columbia, </w:t>
      </w:r>
      <w:proofErr w:type="gramStart"/>
      <w:r>
        <w:t>Crawford,</w:t>
      </w:r>
      <w:r>
        <w:tab/>
        <w:t>:</w:t>
      </w:r>
      <w:proofErr w:type="gramEnd"/>
    </w:p>
    <w:p w:rsidR="005A1C9A" w:rsidRDefault="005A1C9A" w:rsidP="005A1C9A">
      <w:pPr>
        <w:spacing w:after="0" w:line="240" w:lineRule="auto"/>
      </w:pPr>
      <w:r>
        <w:t xml:space="preserve">Lawrence, Lycoming, Mercer, </w:t>
      </w:r>
      <w:proofErr w:type="gramStart"/>
      <w:r>
        <w:t>Northumberland</w:t>
      </w:r>
      <w:proofErr w:type="gramEnd"/>
      <w:r>
        <w:t xml:space="preserve"> and</w:t>
      </w:r>
      <w:r w:rsidR="003C580B">
        <w:tab/>
        <w:t>:</w:t>
      </w:r>
    </w:p>
    <w:p w:rsidR="005A1C9A" w:rsidRDefault="005A1C9A" w:rsidP="005A1C9A">
      <w:pPr>
        <w:spacing w:after="0" w:line="240" w:lineRule="auto"/>
      </w:pPr>
      <w:r>
        <w:t xml:space="preserve">Union so as to permit the inclusion of the Counties </w:t>
      </w:r>
      <w:r w:rsidR="003C580B">
        <w:tab/>
        <w:t>:</w:t>
      </w:r>
    </w:p>
    <w:p w:rsidR="005A1C9A" w:rsidRDefault="005A1C9A" w:rsidP="001D03B3">
      <w:pPr>
        <w:tabs>
          <w:tab w:val="left" w:pos="5040"/>
        </w:tabs>
        <w:spacing w:after="0" w:line="240" w:lineRule="auto"/>
      </w:pPr>
      <w:proofErr w:type="gramStart"/>
      <w:r>
        <w:t>of</w:t>
      </w:r>
      <w:proofErr w:type="gramEnd"/>
      <w:r>
        <w:t xml:space="preserve"> Beaver, Clinton, Columbia, Crawford, Lawrence,</w:t>
      </w:r>
      <w:r w:rsidR="001D03B3">
        <w:tab/>
        <w:t>:</w:t>
      </w:r>
    </w:p>
    <w:p w:rsidR="005A1C9A" w:rsidRDefault="005A1C9A" w:rsidP="005A1C9A">
      <w:pPr>
        <w:spacing w:after="0" w:line="240" w:lineRule="auto"/>
      </w:pPr>
      <w:r>
        <w:t xml:space="preserve">Lycoming, Mercer, Northumberland and </w:t>
      </w:r>
      <w:proofErr w:type="gramStart"/>
      <w:r>
        <w:t xml:space="preserve">Union, </w:t>
      </w:r>
      <w:r w:rsidR="003C580B">
        <w:tab/>
        <w:t>:</w:t>
      </w:r>
      <w:proofErr w:type="gramEnd"/>
    </w:p>
    <w:p w:rsidR="005A1C9A" w:rsidRDefault="005A1C9A" w:rsidP="005A1C9A">
      <w:pPr>
        <w:spacing w:after="0" w:line="240" w:lineRule="auto"/>
      </w:pPr>
      <w:proofErr w:type="gramStart"/>
      <w:r>
        <w:t>which</w:t>
      </w:r>
      <w:proofErr w:type="gramEnd"/>
      <w:r>
        <w:t xml:space="preserve"> would allow the transportation of persons </w:t>
      </w:r>
      <w:r w:rsidR="00EA44D9">
        <w:tab/>
        <w:t>:</w:t>
      </w:r>
    </w:p>
    <w:p w:rsidR="00EA44D9" w:rsidRDefault="005A1C9A" w:rsidP="005A1C9A">
      <w:pPr>
        <w:spacing w:after="0" w:line="240" w:lineRule="auto"/>
      </w:pPr>
      <w:proofErr w:type="gramStart"/>
      <w:r>
        <w:t>between</w:t>
      </w:r>
      <w:proofErr w:type="gramEnd"/>
      <w:r>
        <w:t xml:space="preserve"> all points in Pennsylvania, excluding </w:t>
      </w:r>
      <w:r w:rsidR="00EA44D9">
        <w:tab/>
        <w:t>:</w:t>
      </w:r>
    </w:p>
    <w:p w:rsidR="00EA44D9" w:rsidRDefault="005A1C9A" w:rsidP="005A1C9A">
      <w:pPr>
        <w:spacing w:after="0" w:line="240" w:lineRule="auto"/>
      </w:pPr>
      <w:proofErr w:type="gramStart"/>
      <w:r>
        <w:t>service</w:t>
      </w:r>
      <w:proofErr w:type="gramEnd"/>
      <w:r w:rsidR="00EA44D9">
        <w:t xml:space="preserve"> </w:t>
      </w:r>
      <w:r>
        <w:t xml:space="preserve">which is under the jurisdiction of the </w:t>
      </w:r>
      <w:r w:rsidR="00EA44D9">
        <w:tab/>
        <w:t>:</w:t>
      </w:r>
    </w:p>
    <w:p w:rsidR="005A1C9A" w:rsidRDefault="005A1C9A" w:rsidP="005A1C9A">
      <w:pPr>
        <w:spacing w:after="0" w:line="240" w:lineRule="auto"/>
      </w:pPr>
      <w:r>
        <w:t>Philadelphia Parking Authority</w:t>
      </w:r>
      <w:r w:rsidR="00EA44D9">
        <w:tab/>
      </w:r>
      <w:r w:rsidR="00EA44D9">
        <w:tab/>
      </w:r>
      <w:r w:rsidR="00EA44D9">
        <w:tab/>
        <w:t>:</w:t>
      </w:r>
    </w:p>
    <w:p w:rsidR="004D23B7" w:rsidRDefault="004D23B7" w:rsidP="005A1C9A">
      <w:pPr>
        <w:spacing w:after="0" w:line="240" w:lineRule="auto"/>
      </w:pPr>
    </w:p>
    <w:p w:rsidR="004D23B7" w:rsidRDefault="004D23B7" w:rsidP="005A1C9A">
      <w:pPr>
        <w:spacing w:after="0" w:line="240" w:lineRule="auto"/>
      </w:pPr>
    </w:p>
    <w:p w:rsidR="004D23B7" w:rsidRDefault="004D23B7" w:rsidP="005A1C9A">
      <w:pPr>
        <w:spacing w:after="0" w:line="240" w:lineRule="auto"/>
      </w:pPr>
    </w:p>
    <w:p w:rsidR="004D23B7" w:rsidRDefault="004D23B7" w:rsidP="004D23B7">
      <w:pPr>
        <w:spacing w:after="0" w:line="240" w:lineRule="auto"/>
        <w:jc w:val="center"/>
        <w:rPr>
          <w:b/>
        </w:rPr>
      </w:pPr>
      <w:r w:rsidRPr="002D6CAA">
        <w:rPr>
          <w:b/>
        </w:rPr>
        <w:t>IN</w:t>
      </w:r>
      <w:r w:rsidR="007A4C7D">
        <w:rPr>
          <w:b/>
        </w:rPr>
        <w:t>I</w:t>
      </w:r>
      <w:r w:rsidRPr="002D6CAA">
        <w:rPr>
          <w:b/>
        </w:rPr>
        <w:t xml:space="preserve">TIAL DECISION </w:t>
      </w:r>
    </w:p>
    <w:p w:rsidR="004D23B7" w:rsidRDefault="004D23B7" w:rsidP="004D23B7">
      <w:pPr>
        <w:spacing w:after="0" w:line="240" w:lineRule="auto"/>
        <w:jc w:val="center"/>
        <w:rPr>
          <w:b/>
        </w:rPr>
      </w:pPr>
      <w:r w:rsidRPr="002D6CAA">
        <w:rPr>
          <w:b/>
        </w:rPr>
        <w:t>GRANTING</w:t>
      </w:r>
      <w:r>
        <w:rPr>
          <w:b/>
        </w:rPr>
        <w:t xml:space="preserve"> </w:t>
      </w:r>
      <w:r w:rsidRPr="00CA1427">
        <w:rPr>
          <w:b/>
        </w:rPr>
        <w:t>PRELIMINARY OBJECTIONS</w:t>
      </w:r>
    </w:p>
    <w:p w:rsidR="004D23B7" w:rsidRPr="002D6CAA" w:rsidRDefault="004D23B7" w:rsidP="004D23B7">
      <w:pPr>
        <w:spacing w:after="0" w:line="240" w:lineRule="auto"/>
        <w:jc w:val="center"/>
        <w:rPr>
          <w:b/>
          <w:u w:val="single"/>
        </w:rPr>
      </w:pPr>
      <w:r w:rsidRPr="00DD44F4">
        <w:rPr>
          <w:b/>
          <w:u w:val="single"/>
        </w:rPr>
        <w:t>AND D</w:t>
      </w:r>
      <w:r w:rsidRPr="002D6CAA">
        <w:rPr>
          <w:b/>
          <w:u w:val="single"/>
        </w:rPr>
        <w:t>ISMISSING PROTEST</w:t>
      </w:r>
    </w:p>
    <w:p w:rsidR="004D23B7" w:rsidRDefault="004D23B7" w:rsidP="004D23B7">
      <w:pPr>
        <w:spacing w:after="0" w:line="240" w:lineRule="auto"/>
        <w:jc w:val="center"/>
      </w:pPr>
    </w:p>
    <w:p w:rsidR="004D23B7" w:rsidRDefault="004D23B7" w:rsidP="004D23B7">
      <w:pPr>
        <w:spacing w:after="0" w:line="240" w:lineRule="auto"/>
        <w:jc w:val="center"/>
      </w:pPr>
    </w:p>
    <w:p w:rsidR="004D23B7" w:rsidRDefault="004D23B7" w:rsidP="004D23B7">
      <w:pPr>
        <w:spacing w:after="0" w:line="240" w:lineRule="auto"/>
        <w:jc w:val="center"/>
      </w:pPr>
      <w:r>
        <w:t>Before</w:t>
      </w:r>
    </w:p>
    <w:p w:rsidR="004D23B7" w:rsidRDefault="004D23B7" w:rsidP="004D23B7">
      <w:pPr>
        <w:spacing w:after="0" w:line="240" w:lineRule="auto"/>
        <w:jc w:val="center"/>
      </w:pPr>
      <w:r>
        <w:t>Mary D. Long</w:t>
      </w:r>
    </w:p>
    <w:p w:rsidR="004D23B7" w:rsidRDefault="004D23B7" w:rsidP="004D23B7">
      <w:pPr>
        <w:spacing w:after="0" w:line="240" w:lineRule="auto"/>
        <w:jc w:val="center"/>
      </w:pPr>
      <w:r>
        <w:t>Jeffrey A. Watson</w:t>
      </w:r>
    </w:p>
    <w:p w:rsidR="004D23B7" w:rsidRDefault="004D23B7" w:rsidP="004D23B7">
      <w:pPr>
        <w:spacing w:after="0" w:line="240" w:lineRule="auto"/>
        <w:jc w:val="center"/>
      </w:pPr>
      <w:r>
        <w:t>Administrative Law Judges</w:t>
      </w:r>
    </w:p>
    <w:p w:rsidR="004D23B7" w:rsidRDefault="004D23B7" w:rsidP="004D23B7">
      <w:pPr>
        <w:spacing w:after="0"/>
        <w:jc w:val="center"/>
        <w:rPr>
          <w:u w:val="single"/>
        </w:rPr>
      </w:pPr>
    </w:p>
    <w:p w:rsidR="004D23B7" w:rsidRDefault="004D23B7" w:rsidP="004D23B7">
      <w:pPr>
        <w:spacing w:after="0"/>
        <w:jc w:val="center"/>
        <w:rPr>
          <w:u w:val="single"/>
        </w:rPr>
      </w:pPr>
      <w:r w:rsidRPr="005A06FE">
        <w:rPr>
          <w:u w:val="single"/>
        </w:rPr>
        <w:t>PROCEDURAL HISTORY</w:t>
      </w:r>
    </w:p>
    <w:p w:rsidR="004D23B7" w:rsidRPr="005A06FE" w:rsidRDefault="004D23B7" w:rsidP="004D23B7">
      <w:pPr>
        <w:spacing w:after="0"/>
        <w:jc w:val="center"/>
        <w:rPr>
          <w:u w:val="single"/>
        </w:rPr>
      </w:pPr>
    </w:p>
    <w:p w:rsidR="004D23B7" w:rsidRDefault="004D23B7" w:rsidP="004D23B7">
      <w:pPr>
        <w:spacing w:after="0"/>
      </w:pPr>
      <w:r>
        <w:tab/>
        <w:t>On February 27, 2015, Rasier-PA LLC (Applicant), a transportation network company, filed an application to expand the service territory of its experimental service to include passenger trips between points in Beaver, Clinton, Columbia, Crawford, Lawrence, Luzerne, Lycoming, Mercer, Montour, Northumberland and Union Counties, which were excluded from the state-wide experimental authority granted by the Commission on December 5, 2014</w:t>
      </w:r>
      <w:r w:rsidR="00E00BF7">
        <w:t>,</w:t>
      </w:r>
      <w:r>
        <w:t xml:space="preserve"> at Docket No. </w:t>
      </w:r>
      <w:proofErr w:type="gramStart"/>
      <w:r>
        <w:t>A-2014-2424608.</w:t>
      </w:r>
      <w:proofErr w:type="gramEnd"/>
      <w:r>
        <w:t xml:space="preserve">  The application was advertised in the </w:t>
      </w:r>
      <w:r w:rsidRPr="001B3A8A">
        <w:rPr>
          <w:i/>
        </w:rPr>
        <w:t xml:space="preserve">Pennsylvania </w:t>
      </w:r>
      <w:r w:rsidRPr="001B3A8A">
        <w:rPr>
          <w:i/>
        </w:rPr>
        <w:lastRenderedPageBreak/>
        <w:t>Bulletin</w:t>
      </w:r>
      <w:r>
        <w:t xml:space="preserve"> on March 21, 2015.</w:t>
      </w:r>
      <w:r>
        <w:rPr>
          <w:rStyle w:val="FootnoteReference"/>
        </w:rPr>
        <w:footnoteReference w:id="1"/>
      </w:r>
      <w:r>
        <w:t xml:space="preserve">  The notice stated that protests must be filed on or before April 6, 2015.</w:t>
      </w:r>
    </w:p>
    <w:p w:rsidR="004D23B7" w:rsidRDefault="004D23B7" w:rsidP="004D23B7">
      <w:pPr>
        <w:spacing w:after="0"/>
      </w:pPr>
    </w:p>
    <w:p w:rsidR="004D23B7" w:rsidRDefault="004D23B7" w:rsidP="004D23B7">
      <w:pPr>
        <w:spacing w:after="0"/>
      </w:pPr>
      <w:r>
        <w:tab/>
        <w:t>On April 2, 2015, Prime Time Limo Services filed a protest.</w:t>
      </w:r>
      <w:r>
        <w:rPr>
          <w:rStyle w:val="FootnoteReference"/>
        </w:rPr>
        <w:footnoteReference w:id="2"/>
      </w:r>
      <w:r>
        <w:t xml:space="preserve">  On April 27, 2015, Rasier-PA filed preliminary objections seeking dismissal of the protest on the basis of legal insufficiency, lack of standing and insufficient specificity.  To date, Prime Time Limo has not filed an answer.  </w:t>
      </w:r>
    </w:p>
    <w:p w:rsidR="004D23B7" w:rsidRDefault="004D23B7" w:rsidP="004D23B7">
      <w:pPr>
        <w:spacing w:after="0"/>
      </w:pPr>
    </w:p>
    <w:p w:rsidR="004D23B7" w:rsidRDefault="004D23B7" w:rsidP="004D23B7">
      <w:pPr>
        <w:spacing w:after="0"/>
      </w:pPr>
      <w:r>
        <w:tab/>
        <w:t>For the reasons set fort</w:t>
      </w:r>
      <w:r w:rsidR="00E030AA">
        <w:t>h below, Rasier-PA</w:t>
      </w:r>
      <w:r>
        <w:t>’s objections will be granted and the protest will be dismissed.</w:t>
      </w:r>
    </w:p>
    <w:p w:rsidR="004D23B7" w:rsidRDefault="004D23B7" w:rsidP="004D23B7">
      <w:pPr>
        <w:spacing w:after="0"/>
      </w:pPr>
    </w:p>
    <w:p w:rsidR="004D23B7" w:rsidRDefault="004D23B7" w:rsidP="004D23B7">
      <w:pPr>
        <w:spacing w:after="0"/>
        <w:jc w:val="center"/>
        <w:rPr>
          <w:u w:val="single"/>
        </w:rPr>
      </w:pPr>
      <w:r w:rsidRPr="005A06FE">
        <w:rPr>
          <w:u w:val="single"/>
        </w:rPr>
        <w:t>FINDINGS OF FACT</w:t>
      </w:r>
    </w:p>
    <w:p w:rsidR="004D23B7" w:rsidRPr="005A06FE" w:rsidRDefault="004D23B7" w:rsidP="004D23B7">
      <w:pPr>
        <w:spacing w:after="0"/>
        <w:jc w:val="center"/>
        <w:rPr>
          <w:u w:val="single"/>
        </w:rPr>
      </w:pPr>
    </w:p>
    <w:p w:rsidR="004D23B7" w:rsidRDefault="004D23B7" w:rsidP="004D23B7">
      <w:pPr>
        <w:spacing w:after="0"/>
      </w:pPr>
      <w:r>
        <w:tab/>
        <w:t>1.</w:t>
      </w:r>
      <w:r>
        <w:tab/>
        <w:t>The applicant is Rasier-PA LLC.</w:t>
      </w:r>
    </w:p>
    <w:p w:rsidR="004D23B7" w:rsidRDefault="004D23B7" w:rsidP="004D23B7">
      <w:pPr>
        <w:spacing w:after="0"/>
      </w:pPr>
    </w:p>
    <w:p w:rsidR="004D23B7" w:rsidRDefault="004D23B7" w:rsidP="004D23B7">
      <w:pPr>
        <w:spacing w:after="0"/>
      </w:pPr>
      <w:r>
        <w:tab/>
        <w:t>2.</w:t>
      </w:r>
      <w:r>
        <w:tab/>
        <w:t>The protestant is Prime Time Limo Services, Inc.</w:t>
      </w:r>
    </w:p>
    <w:p w:rsidR="004D23B7" w:rsidRDefault="004D23B7" w:rsidP="004D23B7">
      <w:pPr>
        <w:spacing w:after="0"/>
      </w:pPr>
    </w:p>
    <w:p w:rsidR="004D23B7" w:rsidRDefault="004D23B7" w:rsidP="004D23B7">
      <w:pPr>
        <w:spacing w:after="0"/>
      </w:pPr>
      <w:r>
        <w:tab/>
        <w:t>3.</w:t>
      </w:r>
      <w:r>
        <w:tab/>
        <w:t>Rasier-PA LLC filed preliminary objections seeking dismissal of the complaint.</w:t>
      </w:r>
    </w:p>
    <w:p w:rsidR="004D23B7" w:rsidRDefault="004D23B7" w:rsidP="004D23B7">
      <w:pPr>
        <w:spacing w:after="0"/>
      </w:pPr>
    </w:p>
    <w:p w:rsidR="004D23B7" w:rsidRDefault="004D23B7" w:rsidP="004D23B7">
      <w:pPr>
        <w:spacing w:after="0"/>
      </w:pPr>
      <w:r>
        <w:tab/>
        <w:t>4.</w:t>
      </w:r>
      <w:r>
        <w:tab/>
        <w:t>Prime Time Limo Services, Inc. did not file a response to the preliminary objections.</w:t>
      </w:r>
    </w:p>
    <w:p w:rsidR="004D23B7" w:rsidRDefault="004D23B7" w:rsidP="004D23B7">
      <w:pPr>
        <w:spacing w:after="0"/>
      </w:pPr>
    </w:p>
    <w:p w:rsidR="004D23B7" w:rsidRDefault="004D23B7" w:rsidP="004D23B7">
      <w:pPr>
        <w:spacing w:after="0"/>
        <w:jc w:val="center"/>
        <w:rPr>
          <w:u w:val="single"/>
        </w:rPr>
      </w:pPr>
      <w:r w:rsidRPr="005A06FE">
        <w:rPr>
          <w:u w:val="single"/>
        </w:rPr>
        <w:t>DISCUSSION</w:t>
      </w:r>
    </w:p>
    <w:p w:rsidR="004D23B7" w:rsidRPr="005A06FE" w:rsidRDefault="004D23B7" w:rsidP="004D23B7">
      <w:pPr>
        <w:spacing w:after="0"/>
        <w:jc w:val="center"/>
        <w:rPr>
          <w:u w:val="single"/>
        </w:rPr>
      </w:pPr>
    </w:p>
    <w:p w:rsidR="004D23B7" w:rsidRPr="00D51E42" w:rsidRDefault="004D23B7" w:rsidP="004D23B7">
      <w:pPr>
        <w:spacing w:after="0"/>
        <w:rPr>
          <w:szCs w:val="24"/>
        </w:rPr>
      </w:pPr>
      <w:r>
        <w:tab/>
      </w:r>
      <w:r w:rsidRPr="00D51E42">
        <w:rPr>
          <w:szCs w:val="24"/>
        </w:rPr>
        <w:t>Pursuant to the Commission’s rules of procedure, a protest to an application for transportation authority is treated as a pleading and an applicant may file a motion as prov</w:t>
      </w:r>
      <w:r>
        <w:rPr>
          <w:szCs w:val="24"/>
        </w:rPr>
        <w:t>ide</w:t>
      </w:r>
      <w:r w:rsidRPr="00D51E42">
        <w:rPr>
          <w:szCs w:val="24"/>
        </w:rPr>
        <w:t xml:space="preserve">d </w:t>
      </w:r>
      <w:r w:rsidRPr="00D51E42">
        <w:rPr>
          <w:szCs w:val="24"/>
        </w:rPr>
        <w:lastRenderedPageBreak/>
        <w:t>by Section 5.101, relating to preliminary objections.  The grounds for preliminary objection are limited</w:t>
      </w:r>
      <w:r>
        <w:rPr>
          <w:szCs w:val="24"/>
        </w:rPr>
        <w:t>, as follows</w:t>
      </w:r>
      <w:r w:rsidRPr="00D51E42">
        <w:rPr>
          <w:szCs w:val="24"/>
        </w:rPr>
        <w:t xml:space="preserve">: </w:t>
      </w:r>
    </w:p>
    <w:p w:rsidR="004D23B7" w:rsidRPr="00D51E42" w:rsidRDefault="004D23B7" w:rsidP="004D23B7">
      <w:pPr>
        <w:pStyle w:val="Quote"/>
        <w:spacing w:after="0"/>
        <w:ind w:firstLine="720"/>
        <w:rPr>
          <w:szCs w:val="24"/>
        </w:rPr>
      </w:pPr>
    </w:p>
    <w:p w:rsidR="004D23B7" w:rsidRPr="00D51E42" w:rsidRDefault="004D23B7" w:rsidP="004D23B7">
      <w:pPr>
        <w:pStyle w:val="Quote"/>
        <w:spacing w:after="0"/>
        <w:ind w:firstLine="1440"/>
        <w:rPr>
          <w:szCs w:val="24"/>
        </w:rPr>
      </w:pPr>
      <w:r w:rsidRPr="00D51E42">
        <w:rPr>
          <w:szCs w:val="24"/>
        </w:rPr>
        <w:t xml:space="preserve">§ 5.101.  </w:t>
      </w:r>
      <w:proofErr w:type="gramStart"/>
      <w:r w:rsidRPr="00D51E42">
        <w:rPr>
          <w:szCs w:val="24"/>
        </w:rPr>
        <w:t>Preliminary objections.</w:t>
      </w:r>
      <w:proofErr w:type="gramEnd"/>
    </w:p>
    <w:p w:rsidR="004D23B7" w:rsidRPr="00D51E42" w:rsidRDefault="004D23B7" w:rsidP="004D23B7">
      <w:pPr>
        <w:spacing w:after="0" w:line="240" w:lineRule="auto"/>
        <w:rPr>
          <w:szCs w:val="24"/>
        </w:rPr>
      </w:pPr>
    </w:p>
    <w:p w:rsidR="004D23B7" w:rsidRPr="00D51E42" w:rsidRDefault="004D23B7" w:rsidP="004D23B7">
      <w:pPr>
        <w:pStyle w:val="Quote"/>
        <w:spacing w:after="0"/>
        <w:ind w:left="1440" w:right="1440"/>
        <w:rPr>
          <w:szCs w:val="24"/>
        </w:rPr>
      </w:pPr>
      <w:r w:rsidRPr="00D51E42">
        <w:rPr>
          <w:szCs w:val="24"/>
        </w:rPr>
        <w:t>(a)</w:t>
      </w:r>
      <w:r w:rsidRPr="00D51E42">
        <w:rPr>
          <w:szCs w:val="24"/>
        </w:rPr>
        <w:tab/>
        <w:t>Grounds.  Preliminary objections are available to parties and may be filed in response to a pleading except motions and prior preliminary objections.  Preliminary objections must be accompanied by a notice to plead, must state specifically the legal and factual grounds relied upon and be limited to the following:</w:t>
      </w:r>
    </w:p>
    <w:p w:rsidR="004D23B7" w:rsidRPr="00D51E42" w:rsidRDefault="004D23B7" w:rsidP="004D23B7">
      <w:pPr>
        <w:pStyle w:val="Quote"/>
        <w:spacing w:after="0"/>
        <w:ind w:left="1440" w:right="1440" w:firstLine="720"/>
        <w:rPr>
          <w:szCs w:val="24"/>
        </w:rPr>
      </w:pPr>
    </w:p>
    <w:p w:rsidR="004D23B7" w:rsidRPr="00D51E42" w:rsidRDefault="004D23B7" w:rsidP="004D23B7">
      <w:pPr>
        <w:pStyle w:val="Quote"/>
        <w:spacing w:after="0"/>
        <w:ind w:left="1440" w:right="1440" w:firstLine="720"/>
        <w:rPr>
          <w:szCs w:val="24"/>
        </w:rPr>
      </w:pPr>
      <w:r w:rsidRPr="00D51E42">
        <w:rPr>
          <w:szCs w:val="24"/>
        </w:rPr>
        <w:t>(1)</w:t>
      </w:r>
      <w:r w:rsidRPr="00D51E42">
        <w:rPr>
          <w:szCs w:val="24"/>
        </w:rPr>
        <w:tab/>
        <w:t>Lack of Commission jurisdiction or improper service of the pleading initiating the proceeding.</w:t>
      </w:r>
    </w:p>
    <w:p w:rsidR="004D23B7" w:rsidRPr="00D51E42" w:rsidRDefault="004D23B7" w:rsidP="004D23B7">
      <w:pPr>
        <w:pStyle w:val="Quote"/>
        <w:spacing w:after="0"/>
        <w:ind w:left="1440" w:right="1440" w:firstLine="720"/>
        <w:rPr>
          <w:szCs w:val="24"/>
        </w:rPr>
      </w:pPr>
    </w:p>
    <w:p w:rsidR="004D23B7" w:rsidRPr="00D51E42" w:rsidRDefault="004D23B7" w:rsidP="004D23B7">
      <w:pPr>
        <w:pStyle w:val="Quote"/>
        <w:spacing w:after="0"/>
        <w:ind w:left="1440" w:right="1440" w:firstLine="720"/>
        <w:rPr>
          <w:szCs w:val="24"/>
        </w:rPr>
      </w:pPr>
      <w:r w:rsidRPr="00D51E42">
        <w:rPr>
          <w:szCs w:val="24"/>
        </w:rPr>
        <w:t>(2)</w:t>
      </w:r>
      <w:r w:rsidRPr="00D51E42">
        <w:rPr>
          <w:szCs w:val="24"/>
        </w:rPr>
        <w:tab/>
        <w:t>Failure of a pleading to conform to this chapter or the inclusion of scandalous or impertinent matter.</w:t>
      </w:r>
    </w:p>
    <w:p w:rsidR="004D23B7" w:rsidRPr="00D51E42" w:rsidRDefault="004D23B7" w:rsidP="004D23B7">
      <w:pPr>
        <w:pStyle w:val="Quote"/>
        <w:spacing w:after="0"/>
        <w:ind w:left="1440" w:right="1440" w:firstLine="720"/>
        <w:rPr>
          <w:szCs w:val="24"/>
        </w:rPr>
      </w:pPr>
    </w:p>
    <w:p w:rsidR="004D23B7" w:rsidRPr="00D51E42" w:rsidRDefault="004D23B7" w:rsidP="004D23B7">
      <w:pPr>
        <w:pStyle w:val="Quote"/>
        <w:spacing w:after="0"/>
        <w:ind w:left="1440" w:right="1440" w:firstLine="720"/>
        <w:rPr>
          <w:szCs w:val="24"/>
        </w:rPr>
      </w:pPr>
      <w:r w:rsidRPr="00D51E42">
        <w:rPr>
          <w:szCs w:val="24"/>
        </w:rPr>
        <w:t>(3)</w:t>
      </w:r>
      <w:r w:rsidRPr="00D51E42">
        <w:rPr>
          <w:szCs w:val="24"/>
        </w:rPr>
        <w:tab/>
        <w:t>Insufficient specificity of a pleading.</w:t>
      </w:r>
    </w:p>
    <w:p w:rsidR="004D23B7" w:rsidRPr="00D51E42" w:rsidRDefault="004D23B7" w:rsidP="004D23B7">
      <w:pPr>
        <w:pStyle w:val="Quote"/>
        <w:spacing w:after="0"/>
        <w:ind w:left="1440" w:right="1440" w:firstLine="720"/>
        <w:rPr>
          <w:szCs w:val="24"/>
        </w:rPr>
      </w:pPr>
    </w:p>
    <w:p w:rsidR="004D23B7" w:rsidRPr="00D51E42" w:rsidRDefault="004D23B7" w:rsidP="004D23B7">
      <w:pPr>
        <w:pStyle w:val="Quote"/>
        <w:spacing w:after="0"/>
        <w:ind w:left="1440" w:right="1440" w:firstLine="720"/>
        <w:rPr>
          <w:szCs w:val="24"/>
        </w:rPr>
      </w:pPr>
      <w:r w:rsidRPr="00D51E42">
        <w:rPr>
          <w:szCs w:val="24"/>
        </w:rPr>
        <w:t>(4)</w:t>
      </w:r>
      <w:r w:rsidRPr="00D51E42">
        <w:rPr>
          <w:szCs w:val="24"/>
        </w:rPr>
        <w:tab/>
        <w:t>Legal insufficiency of a pleading.</w:t>
      </w:r>
    </w:p>
    <w:p w:rsidR="004D23B7" w:rsidRPr="00D51E42" w:rsidRDefault="004D23B7" w:rsidP="004D23B7">
      <w:pPr>
        <w:pStyle w:val="Quote"/>
        <w:spacing w:after="0"/>
        <w:ind w:left="1440" w:right="1440" w:firstLine="720"/>
        <w:rPr>
          <w:szCs w:val="24"/>
        </w:rPr>
      </w:pPr>
    </w:p>
    <w:p w:rsidR="004D23B7" w:rsidRPr="00D51E42" w:rsidRDefault="004D23B7" w:rsidP="004D23B7">
      <w:pPr>
        <w:pStyle w:val="Quote"/>
        <w:spacing w:after="0"/>
        <w:ind w:left="1440" w:right="1440" w:firstLine="720"/>
        <w:rPr>
          <w:szCs w:val="24"/>
        </w:rPr>
      </w:pPr>
      <w:r w:rsidRPr="00D51E42">
        <w:rPr>
          <w:szCs w:val="24"/>
        </w:rPr>
        <w:t>(5)</w:t>
      </w:r>
      <w:r w:rsidRPr="00D51E42">
        <w:rPr>
          <w:szCs w:val="24"/>
        </w:rPr>
        <w:tab/>
        <w:t xml:space="preserve">Lack of capacity to sue, </w:t>
      </w:r>
      <w:proofErr w:type="spellStart"/>
      <w:r w:rsidRPr="00D51E42">
        <w:rPr>
          <w:szCs w:val="24"/>
        </w:rPr>
        <w:t>nonjoinder</w:t>
      </w:r>
      <w:proofErr w:type="spellEnd"/>
      <w:r w:rsidRPr="00D51E42">
        <w:rPr>
          <w:szCs w:val="24"/>
        </w:rPr>
        <w:t xml:space="preserve"> of a necessary party or misjoinder of a cause of action.</w:t>
      </w:r>
    </w:p>
    <w:p w:rsidR="004D23B7" w:rsidRPr="00D51E42" w:rsidRDefault="004D23B7" w:rsidP="004D23B7">
      <w:pPr>
        <w:pStyle w:val="Quote"/>
        <w:spacing w:after="0"/>
        <w:ind w:left="1440" w:right="1440" w:firstLine="720"/>
        <w:rPr>
          <w:szCs w:val="24"/>
        </w:rPr>
      </w:pPr>
    </w:p>
    <w:p w:rsidR="004D23B7" w:rsidRPr="00D51E42" w:rsidRDefault="004D23B7" w:rsidP="004D23B7">
      <w:pPr>
        <w:pStyle w:val="Quote"/>
        <w:spacing w:after="0"/>
        <w:ind w:left="1440" w:right="1440" w:firstLine="720"/>
        <w:rPr>
          <w:szCs w:val="24"/>
        </w:rPr>
      </w:pPr>
      <w:r w:rsidRPr="00D51E42">
        <w:rPr>
          <w:szCs w:val="24"/>
        </w:rPr>
        <w:t>(6)</w:t>
      </w:r>
      <w:r w:rsidRPr="00D51E42">
        <w:rPr>
          <w:szCs w:val="24"/>
        </w:rPr>
        <w:tab/>
        <w:t>Pendency of a prior proceeding or agreement for alternative dispute resolution.</w:t>
      </w:r>
    </w:p>
    <w:p w:rsidR="004D23B7" w:rsidRPr="00D51E42" w:rsidRDefault="004D23B7" w:rsidP="004D23B7">
      <w:pPr>
        <w:spacing w:after="0" w:line="240" w:lineRule="auto"/>
        <w:ind w:firstLine="720"/>
        <w:rPr>
          <w:szCs w:val="24"/>
        </w:rPr>
      </w:pPr>
      <w:r w:rsidRPr="00D51E42">
        <w:rPr>
          <w:szCs w:val="24"/>
        </w:rPr>
        <w:tab/>
      </w:r>
      <w:r w:rsidRPr="00D51E42">
        <w:rPr>
          <w:szCs w:val="24"/>
        </w:rPr>
        <w:tab/>
      </w:r>
    </w:p>
    <w:p w:rsidR="004D23B7" w:rsidRPr="00D51E42" w:rsidRDefault="004D23B7" w:rsidP="004D23B7">
      <w:pPr>
        <w:spacing w:after="0" w:line="240" w:lineRule="auto"/>
        <w:ind w:left="1440" w:firstLine="720"/>
        <w:rPr>
          <w:szCs w:val="24"/>
        </w:rPr>
      </w:pPr>
      <w:r w:rsidRPr="00D51E42">
        <w:rPr>
          <w:szCs w:val="24"/>
        </w:rPr>
        <w:t xml:space="preserve">(7) </w:t>
      </w:r>
      <w:r w:rsidRPr="00D51E42">
        <w:rPr>
          <w:szCs w:val="24"/>
        </w:rPr>
        <w:tab/>
        <w:t>Standing of a party to participate in the proceeding.</w:t>
      </w:r>
    </w:p>
    <w:p w:rsidR="004D23B7" w:rsidRPr="00D51E42" w:rsidRDefault="004D23B7" w:rsidP="004D23B7">
      <w:pPr>
        <w:spacing w:after="0"/>
        <w:ind w:firstLine="1440"/>
        <w:rPr>
          <w:szCs w:val="24"/>
        </w:rPr>
      </w:pPr>
    </w:p>
    <w:p w:rsidR="004D23B7" w:rsidRDefault="004D23B7" w:rsidP="004D23B7">
      <w:pPr>
        <w:spacing w:after="0"/>
        <w:ind w:firstLine="1440"/>
        <w:rPr>
          <w:szCs w:val="24"/>
        </w:rPr>
      </w:pPr>
      <w:r w:rsidRPr="00D51E42">
        <w:rPr>
          <w:szCs w:val="24"/>
        </w:rPr>
        <w:t>Preliminary objection practice before the Commission is similar to Pennsylvania civil practice respecting preliminary objections.</w:t>
      </w:r>
      <w:r w:rsidRPr="00D51E42">
        <w:rPr>
          <w:rStyle w:val="FootnoteReference"/>
          <w:szCs w:val="24"/>
        </w:rPr>
        <w:footnoteReference w:id="3"/>
      </w:r>
      <w:r w:rsidRPr="00D51E42">
        <w:rPr>
          <w:szCs w:val="24"/>
        </w:rPr>
        <w:t xml:space="preserve">  In deciding the preliminary objections, the Commission must determine whether, based on well-pleaded factual averments of the petitioners, recovery or relief is possible.</w:t>
      </w:r>
      <w:r w:rsidRPr="00D51E42">
        <w:rPr>
          <w:rStyle w:val="FootnoteReference"/>
          <w:szCs w:val="24"/>
        </w:rPr>
        <w:footnoteReference w:id="4"/>
      </w:r>
      <w:r w:rsidRPr="00D51E42">
        <w:rPr>
          <w:szCs w:val="24"/>
        </w:rPr>
        <w:t xml:space="preserve">  Any doubt must be resolved in favor of the non-moving party by refusing to sustain the preliminary objections.</w:t>
      </w:r>
      <w:r w:rsidRPr="00D51E42">
        <w:rPr>
          <w:rStyle w:val="FootnoteReference"/>
          <w:szCs w:val="24"/>
        </w:rPr>
        <w:footnoteReference w:id="5"/>
      </w:r>
      <w:r w:rsidRPr="00D51E42">
        <w:rPr>
          <w:szCs w:val="24"/>
        </w:rPr>
        <w:t xml:space="preserve">  All of the non-moving party’s averments in the complaint must be viewed as true for purposes of deciding the preliminary </w:t>
      </w:r>
      <w:r w:rsidRPr="00D51E42">
        <w:rPr>
          <w:szCs w:val="24"/>
        </w:rPr>
        <w:lastRenderedPageBreak/>
        <w:t>objections, and only those facts specifically admitted may be considered against the non-moving party.</w:t>
      </w:r>
      <w:r w:rsidRPr="00D51E42">
        <w:rPr>
          <w:rStyle w:val="FootnoteReference"/>
          <w:szCs w:val="24"/>
        </w:rPr>
        <w:footnoteReference w:id="6"/>
      </w:r>
      <w:r w:rsidRPr="00D51E42">
        <w:rPr>
          <w:szCs w:val="24"/>
        </w:rPr>
        <w:t xml:space="preserve">  A preliminary objection which seeks dismissal of a pleading will only be granted where relief is clearly warranted and free from doubt.</w:t>
      </w:r>
      <w:r w:rsidRPr="00D51E42">
        <w:rPr>
          <w:rStyle w:val="FootnoteReference"/>
          <w:szCs w:val="24"/>
        </w:rPr>
        <w:footnoteReference w:id="7"/>
      </w:r>
    </w:p>
    <w:p w:rsidR="007A4C7D" w:rsidRDefault="007A4C7D" w:rsidP="004D23B7">
      <w:pPr>
        <w:spacing w:after="0"/>
        <w:ind w:firstLine="1440"/>
        <w:rPr>
          <w:szCs w:val="24"/>
        </w:rPr>
      </w:pPr>
    </w:p>
    <w:p w:rsidR="004D23B7" w:rsidRDefault="004D23B7" w:rsidP="004D23B7">
      <w:pPr>
        <w:spacing w:after="0"/>
      </w:pPr>
      <w:r>
        <w:tab/>
        <w:t>The protest of Prime Time Limo is a cover letter which sets forth the ground</w:t>
      </w:r>
      <w:r w:rsidR="00826172">
        <w:t>s</w:t>
      </w:r>
      <w:r>
        <w:t xml:space="preserve"> for protesting the application:  “As a citizen of Pennsylvania, I feel that the application should be denied until such time any and all litigation with the aforementioned utility is resolved.”  Prime Time Limo further states that it holds statewide authority from the Commission and that it has a “vested interest in the same market area as the applicant.”</w:t>
      </w:r>
    </w:p>
    <w:p w:rsidR="00B31073" w:rsidRDefault="00B31073" w:rsidP="004D23B7">
      <w:pPr>
        <w:spacing w:after="0"/>
      </w:pPr>
    </w:p>
    <w:p w:rsidR="00B31073" w:rsidRDefault="00B31073" w:rsidP="00B31073">
      <w:pPr>
        <w:spacing w:after="0"/>
        <w:ind w:firstLine="1440"/>
        <w:rPr>
          <w:szCs w:val="24"/>
        </w:rPr>
      </w:pPr>
      <w:r>
        <w:rPr>
          <w:szCs w:val="24"/>
        </w:rPr>
        <w:t xml:space="preserve">The Applicant contends that the protest should be dismissed for lack of standing because the </w:t>
      </w:r>
      <w:r w:rsidR="00377FD0">
        <w:rPr>
          <w:szCs w:val="24"/>
        </w:rPr>
        <w:t>Protestant does not</w:t>
      </w:r>
      <w:r>
        <w:rPr>
          <w:szCs w:val="24"/>
        </w:rPr>
        <w:t xml:space="preserve"> hold authority as </w:t>
      </w:r>
      <w:r w:rsidR="00377FD0">
        <w:rPr>
          <w:szCs w:val="24"/>
        </w:rPr>
        <w:t xml:space="preserve">transportation </w:t>
      </w:r>
      <w:proofErr w:type="gramStart"/>
      <w:r w:rsidR="00377FD0">
        <w:rPr>
          <w:szCs w:val="24"/>
        </w:rPr>
        <w:t>network company</w:t>
      </w:r>
      <w:proofErr w:type="gramEnd"/>
      <w:r>
        <w:rPr>
          <w:szCs w:val="24"/>
        </w:rPr>
        <w:t>.  We have rejected this argument that only carriers with experimental authority have standing to challenge the application of a transportation network company:</w:t>
      </w:r>
    </w:p>
    <w:p w:rsidR="00B31073" w:rsidRDefault="00B31073" w:rsidP="00B31073">
      <w:pPr>
        <w:spacing w:after="0" w:line="240" w:lineRule="auto"/>
        <w:ind w:firstLine="1440"/>
        <w:rPr>
          <w:szCs w:val="24"/>
        </w:rPr>
      </w:pPr>
    </w:p>
    <w:p w:rsidR="00B31073" w:rsidRDefault="00B31073" w:rsidP="00B31073">
      <w:pPr>
        <w:tabs>
          <w:tab w:val="left" w:pos="2160"/>
          <w:tab w:val="left" w:pos="8640"/>
        </w:tabs>
        <w:spacing w:after="0" w:line="240" w:lineRule="auto"/>
        <w:ind w:left="1440" w:right="1440"/>
        <w:rPr>
          <w:szCs w:val="24"/>
        </w:rPr>
      </w:pPr>
      <w:r>
        <w:rPr>
          <w:szCs w:val="24"/>
        </w:rPr>
        <w:tab/>
      </w:r>
      <w:r w:rsidRPr="009A5D57">
        <w:rPr>
          <w:szCs w:val="24"/>
        </w:rPr>
        <w:t xml:space="preserve">Generally, Commission precedent provides that a protestant must have some operating rights in actual or potential conflict with the authority sought by an applicant in order to have standing to protest an application.  The Applicant contends that the Protestants do not have operating authority in actual or potential conflict with the authority sought by Applicant to have the requisite standing to protest the application.  </w:t>
      </w:r>
    </w:p>
    <w:p w:rsidR="00B31073" w:rsidRDefault="00B31073" w:rsidP="00B31073">
      <w:pPr>
        <w:tabs>
          <w:tab w:val="left" w:pos="2160"/>
          <w:tab w:val="left" w:pos="8640"/>
        </w:tabs>
        <w:spacing w:after="0" w:line="240" w:lineRule="auto"/>
        <w:ind w:left="1440" w:right="1440"/>
        <w:rPr>
          <w:szCs w:val="24"/>
        </w:rPr>
      </w:pPr>
    </w:p>
    <w:p w:rsidR="00B31073" w:rsidRDefault="00B31073" w:rsidP="00B31073">
      <w:pPr>
        <w:tabs>
          <w:tab w:val="left" w:pos="2160"/>
          <w:tab w:val="left" w:pos="8640"/>
        </w:tabs>
        <w:spacing w:after="0" w:line="240" w:lineRule="auto"/>
        <w:ind w:left="1440" w:right="1440"/>
        <w:rPr>
          <w:szCs w:val="24"/>
        </w:rPr>
      </w:pPr>
      <w:r>
        <w:rPr>
          <w:szCs w:val="24"/>
        </w:rPr>
        <w:tab/>
      </w:r>
      <w:r w:rsidRPr="009A5D57">
        <w:rPr>
          <w:szCs w:val="24"/>
        </w:rPr>
        <w:t xml:space="preserve">Standing to participate in proceedings before an administrative agency is primarily within the discretion of the agency.   “In simple terms, “standing to sue” is a legal concept assuring that the interest of the party who is suing is really and concretely at stake to a degree where he or she can properly bring an action before the court.”   Accordingly, we reject the notion that only carriers holding experimental authority which uses “App-based” technology are in a position to challenge the application.  By its very nature, the purpose of experimental authority is to provide the Commission with the flexibility to consider </w:t>
      </w:r>
      <w:r w:rsidRPr="009A5D57">
        <w:rPr>
          <w:szCs w:val="24"/>
        </w:rPr>
        <w:lastRenderedPageBreak/>
        <w:t>“innovative” transportation schemes that do not fit within the other types of service defined by the Commission’s regulations</w:t>
      </w:r>
      <w:r>
        <w:rPr>
          <w:szCs w:val="24"/>
        </w:rPr>
        <w:t xml:space="preserve"> . . . .</w:t>
      </w:r>
      <w:r w:rsidRPr="009A5D57">
        <w:rPr>
          <w:szCs w:val="24"/>
        </w:rPr>
        <w:t xml:space="preserve"> </w:t>
      </w:r>
    </w:p>
    <w:p w:rsidR="00B31073" w:rsidRPr="009A5D57" w:rsidRDefault="00B31073" w:rsidP="00B31073">
      <w:pPr>
        <w:tabs>
          <w:tab w:val="left" w:pos="2160"/>
          <w:tab w:val="left" w:pos="8640"/>
        </w:tabs>
        <w:spacing w:after="0" w:line="240" w:lineRule="auto"/>
        <w:ind w:left="1440" w:right="1440"/>
        <w:rPr>
          <w:szCs w:val="24"/>
        </w:rPr>
      </w:pPr>
    </w:p>
    <w:p w:rsidR="00B31073" w:rsidRDefault="00B31073" w:rsidP="00B31073">
      <w:pPr>
        <w:tabs>
          <w:tab w:val="left" w:pos="2160"/>
          <w:tab w:val="left" w:pos="8640"/>
        </w:tabs>
        <w:spacing w:line="240" w:lineRule="auto"/>
        <w:ind w:left="1440" w:right="1440"/>
        <w:rPr>
          <w:szCs w:val="24"/>
        </w:rPr>
      </w:pPr>
      <w:r>
        <w:rPr>
          <w:szCs w:val="24"/>
        </w:rPr>
        <w:tab/>
      </w:r>
    </w:p>
    <w:p w:rsidR="00B31073" w:rsidRDefault="00B31073" w:rsidP="00B31073">
      <w:pPr>
        <w:tabs>
          <w:tab w:val="left" w:pos="2160"/>
          <w:tab w:val="left" w:pos="8640"/>
        </w:tabs>
        <w:spacing w:line="240" w:lineRule="auto"/>
        <w:ind w:left="1440" w:right="1440"/>
        <w:rPr>
          <w:szCs w:val="24"/>
        </w:rPr>
      </w:pPr>
      <w:r>
        <w:rPr>
          <w:szCs w:val="24"/>
        </w:rPr>
        <w:tab/>
      </w:r>
      <w:r w:rsidRPr="009A5D57">
        <w:rPr>
          <w:szCs w:val="24"/>
        </w:rPr>
        <w:t>The application provides that the vehicles which will be eligible to participate in the Applicant’s transportation program will include “street-legal coupes, sedans or light-duty vehicles, including vans, minivans, sport utility vehicles, hatchbacks, convertibles, and pickup trucks.”  The application does not explicitly state that there would be any particular restriction on the transportation, i.e. that it would be exclusive or non-exclusive, that the transportation would exclude trips to and from airports or that vans and minivans would only transport one person at a time.  Indeed, read as a whole, it appears that the Applicant would use the proposed service to meet nearly any sort of transportation need sought.  The Protestants hold authority which provides transportation services similar to that which may be provided by the Applicant, under the auspices of traditional call or demand, paratransit or airport transfer authority.  Therefore, the application presents at least a potential conflict with the Protestants’ authority and the preliminary objection based on standing will be dismissed.</w:t>
      </w:r>
      <w:r>
        <w:rPr>
          <w:rStyle w:val="FootnoteReference"/>
          <w:szCs w:val="24"/>
        </w:rPr>
        <w:footnoteReference w:id="8"/>
      </w:r>
    </w:p>
    <w:p w:rsidR="00B31073" w:rsidRDefault="00B31073" w:rsidP="00B31073">
      <w:pPr>
        <w:tabs>
          <w:tab w:val="left" w:pos="2160"/>
          <w:tab w:val="left" w:pos="8640"/>
        </w:tabs>
        <w:spacing w:line="240" w:lineRule="auto"/>
        <w:ind w:left="1440" w:right="1440"/>
        <w:rPr>
          <w:szCs w:val="24"/>
        </w:rPr>
      </w:pPr>
    </w:p>
    <w:p w:rsidR="00B31073" w:rsidRDefault="00B31073" w:rsidP="004D23B7">
      <w:pPr>
        <w:spacing w:after="0"/>
      </w:pPr>
      <w:r>
        <w:t xml:space="preserve">Similarly, the statewide transportation service provided by the Protestant is sufficiently similar to that offered by the Applicant.  Therefore, there is a sufficient allegation of a conflict of authority to </w:t>
      </w:r>
      <w:r w:rsidR="00377FD0">
        <w:t>resist dismissal of the protest</w:t>
      </w:r>
      <w:r>
        <w:t xml:space="preserve"> by preliminary objection.</w:t>
      </w:r>
    </w:p>
    <w:p w:rsidR="00826172" w:rsidRDefault="00826172" w:rsidP="004D23B7">
      <w:pPr>
        <w:spacing w:after="0"/>
      </w:pPr>
    </w:p>
    <w:p w:rsidR="004D23B7" w:rsidRDefault="00826172" w:rsidP="004D23B7">
      <w:pPr>
        <w:spacing w:after="0"/>
      </w:pPr>
      <w:r>
        <w:tab/>
      </w:r>
      <w:r w:rsidR="00815F77">
        <w:t>However, t</w:t>
      </w:r>
      <w:r w:rsidR="004D23B7">
        <w:t>he Commission’s regulations include detailed instructions for the information which must be included in a protest to an application for authority:</w:t>
      </w:r>
    </w:p>
    <w:p w:rsidR="007A4C7D" w:rsidRDefault="007A4C7D" w:rsidP="007A4C7D">
      <w:pPr>
        <w:spacing w:after="0" w:line="240" w:lineRule="auto"/>
      </w:pPr>
    </w:p>
    <w:p w:rsidR="004D23B7" w:rsidRDefault="004D23B7" w:rsidP="004D23B7">
      <w:pPr>
        <w:spacing w:after="0" w:line="240" w:lineRule="auto"/>
        <w:ind w:left="1440" w:right="1440"/>
      </w:pPr>
      <w:r>
        <w:t xml:space="preserve">(c)  Protests </w:t>
      </w:r>
    </w:p>
    <w:p w:rsidR="00951EC1" w:rsidRDefault="00951EC1" w:rsidP="004D23B7">
      <w:pPr>
        <w:spacing w:after="0" w:line="240" w:lineRule="auto"/>
        <w:ind w:left="1440" w:right="1440"/>
      </w:pPr>
    </w:p>
    <w:p w:rsidR="004D23B7" w:rsidRDefault="004D23B7" w:rsidP="004D23B7">
      <w:pPr>
        <w:spacing w:after="0" w:line="240" w:lineRule="auto"/>
        <w:ind w:left="1440" w:right="1440"/>
      </w:pPr>
      <w:r>
        <w:t xml:space="preserve">   (1)  Applications for passenger or household goods in use authority. </w:t>
      </w:r>
    </w:p>
    <w:p w:rsidR="00951EC1" w:rsidRDefault="00951EC1" w:rsidP="004D23B7">
      <w:pPr>
        <w:spacing w:after="0" w:line="240" w:lineRule="auto"/>
        <w:ind w:left="1440" w:right="1440"/>
      </w:pPr>
    </w:p>
    <w:p w:rsidR="004D23B7" w:rsidRDefault="004D23B7" w:rsidP="004D23B7">
      <w:pPr>
        <w:spacing w:after="0" w:line="240" w:lineRule="auto"/>
        <w:ind w:left="1440" w:right="1440"/>
      </w:pPr>
      <w:r>
        <w:t xml:space="preserve">     (i)   Content and effect. </w:t>
      </w:r>
    </w:p>
    <w:p w:rsidR="00951EC1" w:rsidRDefault="00951EC1" w:rsidP="004D23B7">
      <w:pPr>
        <w:spacing w:after="0" w:line="240" w:lineRule="auto"/>
        <w:ind w:left="1440" w:right="1440"/>
      </w:pPr>
    </w:p>
    <w:p w:rsidR="004D23B7" w:rsidRDefault="004D23B7" w:rsidP="004D23B7">
      <w:pPr>
        <w:spacing w:after="0" w:line="240" w:lineRule="auto"/>
        <w:ind w:left="1440" w:right="1440"/>
      </w:pPr>
      <w:r>
        <w:t xml:space="preserve">       (A)   A person objecting to the approval of an application shall file with the Secretary and serve upon the applicant and the </w:t>
      </w:r>
      <w:r>
        <w:lastRenderedPageBreak/>
        <w:t xml:space="preserve">applicant’s attorney, if any, a written protest which shall contain the following: </w:t>
      </w:r>
    </w:p>
    <w:p w:rsidR="00951EC1" w:rsidRDefault="00951EC1" w:rsidP="004D23B7">
      <w:pPr>
        <w:spacing w:after="0" w:line="240" w:lineRule="auto"/>
        <w:ind w:left="1440" w:right="1440"/>
      </w:pPr>
    </w:p>
    <w:p w:rsidR="004D23B7" w:rsidRDefault="004D23B7" w:rsidP="004D23B7">
      <w:pPr>
        <w:spacing w:after="0" w:line="240" w:lineRule="auto"/>
        <w:ind w:left="1440" w:right="1440"/>
      </w:pPr>
      <w:r>
        <w:t xml:space="preserve">         (I)   </w:t>
      </w:r>
      <w:proofErr w:type="gramStart"/>
      <w:r>
        <w:t>The</w:t>
      </w:r>
      <w:proofErr w:type="gramEnd"/>
      <w:r>
        <w:t xml:space="preserve"> applicant’s name and the docket number of the application. </w:t>
      </w:r>
    </w:p>
    <w:p w:rsidR="00951EC1" w:rsidRDefault="00951EC1" w:rsidP="004D23B7">
      <w:pPr>
        <w:spacing w:after="0" w:line="240" w:lineRule="auto"/>
        <w:ind w:left="1440" w:right="1440"/>
      </w:pPr>
    </w:p>
    <w:p w:rsidR="004D23B7" w:rsidRDefault="004D23B7" w:rsidP="004D23B7">
      <w:pPr>
        <w:spacing w:after="0" w:line="240" w:lineRule="auto"/>
        <w:ind w:left="1440" w:right="1440"/>
      </w:pPr>
      <w:r>
        <w:t xml:space="preserve">         (II)   The name, business address and telephone number of the protestant. </w:t>
      </w:r>
    </w:p>
    <w:p w:rsidR="00951EC1" w:rsidRDefault="00951EC1" w:rsidP="004D23B7">
      <w:pPr>
        <w:spacing w:after="0" w:line="240" w:lineRule="auto"/>
        <w:ind w:left="1440" w:right="1440"/>
      </w:pPr>
    </w:p>
    <w:p w:rsidR="004D23B7" w:rsidRDefault="004D23B7" w:rsidP="004D23B7">
      <w:pPr>
        <w:spacing w:after="0" w:line="240" w:lineRule="auto"/>
        <w:ind w:left="1440" w:right="1440"/>
      </w:pPr>
      <w:r>
        <w:t xml:space="preserve">         (III)   The name, business address and telephone number of the protestant’s attorney or other representative. </w:t>
      </w:r>
    </w:p>
    <w:p w:rsidR="00951EC1" w:rsidRDefault="00951EC1" w:rsidP="004D23B7">
      <w:pPr>
        <w:spacing w:after="0" w:line="240" w:lineRule="auto"/>
        <w:ind w:left="1440" w:right="1440"/>
      </w:pPr>
    </w:p>
    <w:p w:rsidR="004D23B7" w:rsidRDefault="004D23B7" w:rsidP="004D23B7">
      <w:pPr>
        <w:spacing w:after="0" w:line="240" w:lineRule="auto"/>
        <w:ind w:left="1440" w:right="1440"/>
      </w:pPr>
      <w:r>
        <w:t xml:space="preserve">         (IV)   A statement of the protestant’s interest in the application, including a statement of any adverse impact which approval of the application can be expected to have on the protestant. </w:t>
      </w:r>
    </w:p>
    <w:p w:rsidR="00951EC1" w:rsidRDefault="00951EC1" w:rsidP="004D23B7">
      <w:pPr>
        <w:spacing w:after="0" w:line="240" w:lineRule="auto"/>
        <w:ind w:left="1440" w:right="1440"/>
      </w:pPr>
    </w:p>
    <w:p w:rsidR="004D23B7" w:rsidRDefault="004D23B7" w:rsidP="004D23B7">
      <w:pPr>
        <w:spacing w:after="0" w:line="240" w:lineRule="auto"/>
        <w:ind w:left="1440" w:right="1440"/>
      </w:pPr>
      <w:r>
        <w:t xml:space="preserve">         (V)   A list of all Commission docket numbers under which the protestant operates, accompanied by a copy of any portion of the protestant’s authority upon which its protest is predicated. </w:t>
      </w:r>
    </w:p>
    <w:p w:rsidR="00951EC1" w:rsidRDefault="00951EC1" w:rsidP="004D23B7">
      <w:pPr>
        <w:spacing w:after="0" w:line="240" w:lineRule="auto"/>
        <w:ind w:left="1440" w:right="1440"/>
      </w:pPr>
    </w:p>
    <w:p w:rsidR="004D23B7" w:rsidRDefault="004D23B7" w:rsidP="004D23B7">
      <w:pPr>
        <w:spacing w:after="0" w:line="240" w:lineRule="auto"/>
        <w:ind w:left="1440" w:right="1440"/>
      </w:pPr>
      <w:r>
        <w:t xml:space="preserve">         (VI)   A statement of any restrictions to the application which would protect the protestant’s interest, including a concise statement of any amendment which would result in a withdrawal of the protest. </w:t>
      </w:r>
      <w:r>
        <w:rPr>
          <w:rStyle w:val="FootnoteReference"/>
        </w:rPr>
        <w:footnoteReference w:id="9"/>
      </w:r>
    </w:p>
    <w:p w:rsidR="004D23B7" w:rsidRDefault="004D23B7" w:rsidP="004D23B7">
      <w:pPr>
        <w:spacing w:after="0"/>
      </w:pPr>
      <w:r>
        <w:tab/>
      </w:r>
    </w:p>
    <w:p w:rsidR="004D23B7" w:rsidRDefault="004D23B7" w:rsidP="004D23B7">
      <w:pPr>
        <w:spacing w:after="0"/>
      </w:pPr>
      <w:r>
        <w:tab/>
        <w:t>Although Prime Time Limo’s protest is on company letterhead which includes its name and business address, the protest lack</w:t>
      </w:r>
      <w:r w:rsidR="00A71504">
        <w:t>s</w:t>
      </w:r>
      <w:r>
        <w:t xml:space="preserve"> any specific information about the type of Commission authority which it holds or the specific adverse impact that it will suffer if the application is granted.  Moreover, we note that the pendency of other litigation is not a factor which the Commission typically considers when reviewing an application for transportation authority.</w:t>
      </w:r>
      <w:r>
        <w:rPr>
          <w:rStyle w:val="FootnoteReference"/>
        </w:rPr>
        <w:footnoteReference w:id="10"/>
      </w:r>
    </w:p>
    <w:p w:rsidR="00951EC1" w:rsidRDefault="00951EC1" w:rsidP="004D23B7">
      <w:pPr>
        <w:spacing w:after="0"/>
      </w:pPr>
    </w:p>
    <w:p w:rsidR="004D23B7" w:rsidRDefault="004D23B7" w:rsidP="004D23B7">
      <w:pPr>
        <w:spacing w:after="0"/>
      </w:pPr>
      <w:r>
        <w:tab/>
        <w:t>Therefore, we find that Prime Time Limo’s protest fails to conform to the Commission’s regulations regarding the content of a protest.  Rasier-PA’s preliminary objections are therefore granted.</w:t>
      </w:r>
    </w:p>
    <w:p w:rsidR="00951EC1" w:rsidRDefault="00951EC1" w:rsidP="004D23B7">
      <w:pPr>
        <w:spacing w:after="0"/>
      </w:pPr>
    </w:p>
    <w:p w:rsidR="004D23B7" w:rsidRDefault="004D23B7" w:rsidP="004D23B7">
      <w:pPr>
        <w:spacing w:after="0"/>
        <w:jc w:val="center"/>
        <w:rPr>
          <w:u w:val="single"/>
        </w:rPr>
      </w:pPr>
      <w:r w:rsidRPr="009E56B1">
        <w:rPr>
          <w:u w:val="single"/>
        </w:rPr>
        <w:lastRenderedPageBreak/>
        <w:t>CONCLUSIONS OF LAW</w:t>
      </w:r>
    </w:p>
    <w:p w:rsidR="00951EC1" w:rsidRPr="009E56B1" w:rsidRDefault="00951EC1" w:rsidP="004D23B7">
      <w:pPr>
        <w:spacing w:after="0"/>
        <w:jc w:val="center"/>
        <w:rPr>
          <w:u w:val="single"/>
        </w:rPr>
      </w:pPr>
    </w:p>
    <w:p w:rsidR="004D23B7" w:rsidRDefault="004D23B7" w:rsidP="004D23B7">
      <w:pPr>
        <w:spacing w:after="0"/>
      </w:pPr>
      <w:r>
        <w:tab/>
        <w:t>1.</w:t>
      </w:r>
      <w:r>
        <w:tab/>
        <w:t xml:space="preserve">The Commission has jurisdiction over the parties and subject matter of this dispute.  </w:t>
      </w:r>
      <w:proofErr w:type="gramStart"/>
      <w:r>
        <w:t>66 Pa.C.S.</w:t>
      </w:r>
      <w:proofErr w:type="gramEnd"/>
      <w:r>
        <w:t xml:space="preserve"> </w:t>
      </w:r>
      <w:proofErr w:type="gramStart"/>
      <w:r>
        <w:t>§§ 1102, 1103.</w:t>
      </w:r>
      <w:proofErr w:type="gramEnd"/>
    </w:p>
    <w:p w:rsidR="004D23B7" w:rsidRDefault="004D23B7" w:rsidP="004D23B7">
      <w:pPr>
        <w:spacing w:after="0"/>
      </w:pPr>
    </w:p>
    <w:p w:rsidR="004D23B7" w:rsidRDefault="004D23B7" w:rsidP="004D23B7">
      <w:pPr>
        <w:spacing w:after="0"/>
      </w:pPr>
      <w:r>
        <w:tab/>
        <w:t>2.</w:t>
      </w:r>
      <w:r>
        <w:tab/>
        <w:t>The protest fails to conform to Commission regulations and is insufficiently specific.  52 Pa.Code § 5.101(a</w:t>
      </w:r>
      <w:proofErr w:type="gramStart"/>
      <w:r>
        <w:t>)(</w:t>
      </w:r>
      <w:proofErr w:type="gramEnd"/>
      <w:r>
        <w:t>2) and (a)(3).</w:t>
      </w:r>
    </w:p>
    <w:p w:rsidR="00951EC1" w:rsidRDefault="00951EC1" w:rsidP="004D23B7">
      <w:pPr>
        <w:spacing w:after="0"/>
      </w:pPr>
    </w:p>
    <w:p w:rsidR="004D23B7" w:rsidRDefault="004D23B7" w:rsidP="004D23B7">
      <w:pPr>
        <w:spacing w:after="0"/>
      </w:pPr>
      <w:r>
        <w:tab/>
        <w:t>3.</w:t>
      </w:r>
      <w:r>
        <w:tab/>
      </w:r>
      <w:r w:rsidRPr="00F255F5">
        <w:t>It is just, reasonable and in the public inter</w:t>
      </w:r>
      <w:r>
        <w:t xml:space="preserve">est that the complaint filed </w:t>
      </w:r>
      <w:r w:rsidRPr="00F255F5">
        <w:t>be dismissed</w:t>
      </w:r>
      <w:r>
        <w:t xml:space="preserve"> without a hearing</w:t>
      </w:r>
      <w:r w:rsidRPr="00F255F5">
        <w:t>.</w:t>
      </w:r>
      <w:r>
        <w:t xml:space="preserve">  </w:t>
      </w:r>
      <w:proofErr w:type="gramStart"/>
      <w:r>
        <w:t>66 Pa.C.S.</w:t>
      </w:r>
      <w:proofErr w:type="gramEnd"/>
      <w:r>
        <w:t xml:space="preserve"> § 703(b).</w:t>
      </w:r>
    </w:p>
    <w:p w:rsidR="004D23B7" w:rsidRDefault="004D23B7" w:rsidP="004D23B7">
      <w:pPr>
        <w:spacing w:after="0"/>
        <w:rPr>
          <w:szCs w:val="24"/>
          <w:u w:val="single"/>
        </w:rPr>
      </w:pPr>
    </w:p>
    <w:p w:rsidR="004D23B7" w:rsidRDefault="004D23B7" w:rsidP="004D23B7">
      <w:pPr>
        <w:spacing w:after="0"/>
        <w:jc w:val="center"/>
        <w:rPr>
          <w:szCs w:val="24"/>
          <w:u w:val="single"/>
        </w:rPr>
      </w:pPr>
      <w:r w:rsidRPr="001552C5">
        <w:rPr>
          <w:szCs w:val="24"/>
          <w:u w:val="single"/>
        </w:rPr>
        <w:t>ORDER</w:t>
      </w:r>
    </w:p>
    <w:p w:rsidR="00951EC1" w:rsidRDefault="00951EC1" w:rsidP="004D23B7">
      <w:pPr>
        <w:spacing w:after="0"/>
        <w:jc w:val="center"/>
        <w:rPr>
          <w:szCs w:val="24"/>
          <w:u w:val="single"/>
        </w:rPr>
      </w:pPr>
    </w:p>
    <w:p w:rsidR="00951EC1" w:rsidRPr="001552C5" w:rsidRDefault="00951EC1" w:rsidP="004D23B7">
      <w:pPr>
        <w:spacing w:after="0"/>
        <w:jc w:val="center"/>
        <w:rPr>
          <w:szCs w:val="24"/>
          <w:u w:val="single"/>
        </w:rPr>
      </w:pPr>
    </w:p>
    <w:p w:rsidR="004D23B7" w:rsidRPr="001552C5" w:rsidRDefault="004D23B7" w:rsidP="004D23B7">
      <w:pPr>
        <w:spacing w:after="0"/>
        <w:ind w:firstLine="1440"/>
        <w:rPr>
          <w:szCs w:val="24"/>
        </w:rPr>
      </w:pPr>
      <w:r w:rsidRPr="001552C5">
        <w:rPr>
          <w:szCs w:val="24"/>
        </w:rPr>
        <w:t>THEREFORE,</w:t>
      </w:r>
      <w:r w:rsidR="00951EC1">
        <w:rPr>
          <w:szCs w:val="24"/>
        </w:rPr>
        <w:br/>
      </w:r>
    </w:p>
    <w:p w:rsidR="004D23B7" w:rsidRDefault="004D23B7" w:rsidP="004D23B7">
      <w:pPr>
        <w:spacing w:after="0"/>
        <w:ind w:firstLine="1440"/>
        <w:rPr>
          <w:szCs w:val="24"/>
        </w:rPr>
      </w:pPr>
      <w:r w:rsidRPr="001552C5">
        <w:rPr>
          <w:szCs w:val="24"/>
        </w:rPr>
        <w:t>IT IS ORDERED:</w:t>
      </w:r>
    </w:p>
    <w:p w:rsidR="00951EC1" w:rsidRPr="001552C5" w:rsidRDefault="00951EC1" w:rsidP="004D23B7">
      <w:pPr>
        <w:spacing w:after="0"/>
        <w:ind w:firstLine="1440"/>
        <w:rPr>
          <w:szCs w:val="24"/>
        </w:rPr>
      </w:pPr>
    </w:p>
    <w:p w:rsidR="004D23B7" w:rsidRDefault="004D23B7" w:rsidP="004D23B7">
      <w:pPr>
        <w:spacing w:after="0"/>
        <w:ind w:firstLine="1440"/>
        <w:rPr>
          <w:szCs w:val="24"/>
        </w:rPr>
      </w:pPr>
      <w:r w:rsidRPr="001552C5">
        <w:rPr>
          <w:szCs w:val="24"/>
        </w:rPr>
        <w:t>1.</w:t>
      </w:r>
      <w:r w:rsidRPr="001552C5">
        <w:rPr>
          <w:szCs w:val="24"/>
        </w:rPr>
        <w:tab/>
        <w:t xml:space="preserve">That the preliminary objection of </w:t>
      </w:r>
      <w:r>
        <w:rPr>
          <w:szCs w:val="24"/>
        </w:rPr>
        <w:t xml:space="preserve">Raiser-PA LLC. </w:t>
      </w:r>
      <w:proofErr w:type="gramStart"/>
      <w:r>
        <w:rPr>
          <w:szCs w:val="24"/>
        </w:rPr>
        <w:t>seeking</w:t>
      </w:r>
      <w:proofErr w:type="gramEnd"/>
      <w:r>
        <w:rPr>
          <w:szCs w:val="24"/>
        </w:rPr>
        <w:t xml:space="preserve"> dismissal of</w:t>
      </w:r>
      <w:r w:rsidRPr="001552C5">
        <w:rPr>
          <w:szCs w:val="24"/>
        </w:rPr>
        <w:t xml:space="preserve"> the protest of </w:t>
      </w:r>
      <w:r>
        <w:rPr>
          <w:szCs w:val="24"/>
        </w:rPr>
        <w:t>Prime Time Limo Services</w:t>
      </w:r>
      <w:r w:rsidRPr="001552C5">
        <w:rPr>
          <w:szCs w:val="24"/>
        </w:rPr>
        <w:t xml:space="preserve"> is </w:t>
      </w:r>
      <w:r>
        <w:rPr>
          <w:szCs w:val="24"/>
        </w:rPr>
        <w:t>granted</w:t>
      </w:r>
      <w:r w:rsidRPr="001552C5">
        <w:rPr>
          <w:szCs w:val="24"/>
        </w:rPr>
        <w:t>.</w:t>
      </w:r>
    </w:p>
    <w:p w:rsidR="00951EC1" w:rsidRDefault="00951EC1" w:rsidP="004D23B7">
      <w:pPr>
        <w:spacing w:after="0"/>
        <w:ind w:firstLine="1440"/>
        <w:rPr>
          <w:szCs w:val="24"/>
        </w:rPr>
      </w:pPr>
    </w:p>
    <w:p w:rsidR="004D23B7" w:rsidRDefault="004D23B7" w:rsidP="004D23B7">
      <w:pPr>
        <w:spacing w:after="0"/>
        <w:ind w:firstLine="1440"/>
        <w:rPr>
          <w:szCs w:val="24"/>
        </w:rPr>
      </w:pPr>
      <w:r w:rsidRPr="001552C5">
        <w:rPr>
          <w:szCs w:val="24"/>
        </w:rPr>
        <w:t>2.</w:t>
      </w:r>
      <w:r w:rsidRPr="001552C5">
        <w:rPr>
          <w:szCs w:val="24"/>
        </w:rPr>
        <w:tab/>
        <w:t xml:space="preserve">That the protest of </w:t>
      </w:r>
      <w:r>
        <w:rPr>
          <w:szCs w:val="24"/>
        </w:rPr>
        <w:t xml:space="preserve">Prime Time Limo Services is dismissed. </w:t>
      </w:r>
    </w:p>
    <w:p w:rsidR="004D23B7" w:rsidRDefault="004D23B7" w:rsidP="004D23B7">
      <w:pPr>
        <w:spacing w:after="0"/>
        <w:rPr>
          <w:szCs w:val="24"/>
        </w:rPr>
      </w:pPr>
    </w:p>
    <w:p w:rsidR="00951EC1" w:rsidRPr="00C8453D" w:rsidRDefault="00951EC1" w:rsidP="004D23B7">
      <w:pPr>
        <w:spacing w:after="0"/>
        <w:rPr>
          <w:szCs w:val="24"/>
        </w:rPr>
      </w:pPr>
    </w:p>
    <w:p w:rsidR="004D23B7" w:rsidRPr="00C8453D" w:rsidRDefault="004D23B7" w:rsidP="004D23B7">
      <w:pPr>
        <w:tabs>
          <w:tab w:val="left" w:pos="0"/>
        </w:tabs>
        <w:spacing w:after="0" w:line="240" w:lineRule="auto"/>
        <w:jc w:val="both"/>
        <w:rPr>
          <w:szCs w:val="24"/>
          <w:u w:val="single"/>
        </w:rPr>
      </w:pPr>
      <w:r w:rsidRPr="00C8453D">
        <w:rPr>
          <w:szCs w:val="24"/>
        </w:rPr>
        <w:tab/>
      </w:r>
      <w:r w:rsidRPr="00C8453D">
        <w:rPr>
          <w:szCs w:val="24"/>
        </w:rPr>
        <w:tab/>
      </w:r>
      <w:r w:rsidRPr="00C8453D">
        <w:rPr>
          <w:szCs w:val="24"/>
        </w:rPr>
        <w:tab/>
      </w:r>
      <w:r w:rsidRPr="00C8453D">
        <w:rPr>
          <w:szCs w:val="24"/>
        </w:rPr>
        <w:tab/>
      </w:r>
      <w:r w:rsidRPr="00C8453D">
        <w:rPr>
          <w:szCs w:val="24"/>
        </w:rPr>
        <w:tab/>
      </w:r>
      <w:r w:rsidR="00B401F2">
        <w:rPr>
          <w:szCs w:val="24"/>
        </w:rPr>
        <w:tab/>
      </w:r>
      <w:r w:rsidRPr="00C8453D">
        <w:rPr>
          <w:szCs w:val="24"/>
          <w:u w:val="single"/>
        </w:rPr>
        <w:tab/>
      </w:r>
      <w:r w:rsidRPr="00C8453D">
        <w:rPr>
          <w:szCs w:val="24"/>
          <w:u w:val="single"/>
        </w:rPr>
        <w:tab/>
        <w:t>/s/</w:t>
      </w:r>
      <w:r w:rsidRPr="00C8453D">
        <w:rPr>
          <w:szCs w:val="24"/>
          <w:u w:val="single"/>
        </w:rPr>
        <w:tab/>
      </w:r>
      <w:r w:rsidRPr="00C8453D">
        <w:rPr>
          <w:szCs w:val="24"/>
          <w:u w:val="single"/>
        </w:rPr>
        <w:tab/>
      </w:r>
      <w:r w:rsidRPr="00C8453D">
        <w:rPr>
          <w:szCs w:val="24"/>
          <w:u w:val="single"/>
        </w:rPr>
        <w:tab/>
      </w:r>
      <w:r w:rsidR="00951EC1" w:rsidRPr="00C8453D">
        <w:rPr>
          <w:szCs w:val="24"/>
          <w:u w:val="single"/>
        </w:rPr>
        <w:tab/>
      </w:r>
    </w:p>
    <w:p w:rsidR="004D23B7" w:rsidRPr="00C8453D" w:rsidRDefault="004D23B7" w:rsidP="004D23B7">
      <w:pPr>
        <w:tabs>
          <w:tab w:val="left" w:pos="0"/>
        </w:tabs>
        <w:spacing w:after="0" w:line="240" w:lineRule="auto"/>
        <w:jc w:val="both"/>
        <w:rPr>
          <w:szCs w:val="24"/>
        </w:rPr>
      </w:pPr>
      <w:r w:rsidRPr="00C8453D">
        <w:rPr>
          <w:szCs w:val="24"/>
        </w:rPr>
        <w:tab/>
      </w:r>
      <w:r w:rsidRPr="00C8453D">
        <w:rPr>
          <w:szCs w:val="24"/>
        </w:rPr>
        <w:tab/>
      </w:r>
      <w:r w:rsidRPr="00C8453D">
        <w:rPr>
          <w:szCs w:val="24"/>
        </w:rPr>
        <w:tab/>
      </w:r>
      <w:r w:rsidRPr="00C8453D">
        <w:rPr>
          <w:szCs w:val="24"/>
        </w:rPr>
        <w:tab/>
      </w:r>
      <w:r w:rsidRPr="00C8453D">
        <w:rPr>
          <w:szCs w:val="24"/>
        </w:rPr>
        <w:tab/>
      </w:r>
      <w:r w:rsidRPr="00C8453D">
        <w:rPr>
          <w:szCs w:val="24"/>
        </w:rPr>
        <w:tab/>
        <w:t>Mary D. Long</w:t>
      </w:r>
    </w:p>
    <w:p w:rsidR="004D23B7" w:rsidRDefault="004D23B7" w:rsidP="00156E85">
      <w:pPr>
        <w:tabs>
          <w:tab w:val="left" w:pos="0"/>
        </w:tabs>
        <w:spacing w:after="0"/>
        <w:jc w:val="both"/>
        <w:rPr>
          <w:szCs w:val="24"/>
        </w:rPr>
      </w:pPr>
      <w:r w:rsidRPr="00C8453D">
        <w:rPr>
          <w:szCs w:val="24"/>
        </w:rPr>
        <w:tab/>
      </w:r>
      <w:r w:rsidRPr="00C8453D">
        <w:rPr>
          <w:szCs w:val="24"/>
        </w:rPr>
        <w:tab/>
      </w:r>
      <w:r w:rsidRPr="00C8453D">
        <w:rPr>
          <w:szCs w:val="24"/>
        </w:rPr>
        <w:tab/>
      </w:r>
      <w:r w:rsidRPr="00C8453D">
        <w:rPr>
          <w:szCs w:val="24"/>
        </w:rPr>
        <w:tab/>
      </w:r>
      <w:r w:rsidRPr="00C8453D">
        <w:rPr>
          <w:szCs w:val="24"/>
        </w:rPr>
        <w:tab/>
      </w:r>
      <w:r w:rsidRPr="00C8453D">
        <w:rPr>
          <w:szCs w:val="24"/>
        </w:rPr>
        <w:tab/>
        <w:t>Administrative Law Judge</w:t>
      </w:r>
    </w:p>
    <w:p w:rsidR="00156E85" w:rsidRDefault="00156E85" w:rsidP="00156E85">
      <w:pPr>
        <w:tabs>
          <w:tab w:val="left" w:pos="0"/>
        </w:tabs>
        <w:spacing w:after="0"/>
        <w:jc w:val="both"/>
        <w:rPr>
          <w:szCs w:val="24"/>
        </w:rPr>
      </w:pPr>
    </w:p>
    <w:p w:rsidR="00156E85" w:rsidRDefault="00156E85" w:rsidP="00156E85">
      <w:pPr>
        <w:tabs>
          <w:tab w:val="left" w:pos="0"/>
        </w:tabs>
        <w:spacing w:after="0"/>
        <w:jc w:val="both"/>
      </w:pPr>
    </w:p>
    <w:p w:rsidR="004D23B7" w:rsidRPr="00A03D6F" w:rsidRDefault="00951EC1" w:rsidP="00B401F2">
      <w:pPr>
        <w:tabs>
          <w:tab w:val="left" w:pos="0"/>
        </w:tabs>
        <w:spacing w:after="0" w:line="240" w:lineRule="auto"/>
        <w:jc w:val="both"/>
      </w:pPr>
      <w:r>
        <w:tab/>
      </w:r>
      <w:r>
        <w:tab/>
      </w:r>
      <w:r>
        <w:tab/>
      </w:r>
      <w:r>
        <w:tab/>
      </w:r>
      <w:r>
        <w:tab/>
      </w:r>
      <w:r>
        <w:tab/>
      </w:r>
      <w:r w:rsidR="004D23B7" w:rsidRPr="00C8453D">
        <w:rPr>
          <w:szCs w:val="24"/>
          <w:u w:val="single"/>
        </w:rPr>
        <w:tab/>
      </w:r>
      <w:r w:rsidR="004D23B7" w:rsidRPr="00C8453D">
        <w:rPr>
          <w:szCs w:val="24"/>
          <w:u w:val="single"/>
        </w:rPr>
        <w:tab/>
        <w:t>/s/</w:t>
      </w:r>
      <w:r w:rsidR="004D23B7" w:rsidRPr="00C8453D">
        <w:rPr>
          <w:szCs w:val="24"/>
          <w:u w:val="single"/>
        </w:rPr>
        <w:tab/>
      </w:r>
      <w:r w:rsidR="004D23B7" w:rsidRPr="00C8453D">
        <w:rPr>
          <w:szCs w:val="24"/>
          <w:u w:val="single"/>
        </w:rPr>
        <w:tab/>
      </w:r>
      <w:r w:rsidR="004D23B7" w:rsidRPr="00C8453D">
        <w:rPr>
          <w:szCs w:val="24"/>
          <w:u w:val="single"/>
        </w:rPr>
        <w:tab/>
      </w:r>
      <w:r w:rsidRPr="00C8453D">
        <w:rPr>
          <w:szCs w:val="24"/>
          <w:u w:val="single"/>
        </w:rPr>
        <w:tab/>
      </w:r>
    </w:p>
    <w:p w:rsidR="004D23B7" w:rsidRPr="00A03D6F" w:rsidRDefault="00B401F2" w:rsidP="00B401F2">
      <w:pPr>
        <w:tabs>
          <w:tab w:val="left" w:pos="0"/>
        </w:tabs>
        <w:spacing w:after="0" w:line="240" w:lineRule="auto"/>
        <w:jc w:val="both"/>
      </w:pPr>
      <w:r w:rsidRPr="00C8453D">
        <w:rPr>
          <w:szCs w:val="24"/>
        </w:rPr>
        <w:t xml:space="preserve">Date:  </w:t>
      </w:r>
      <w:r>
        <w:rPr>
          <w:szCs w:val="24"/>
          <w:u w:val="single"/>
        </w:rPr>
        <w:t>June 18</w:t>
      </w:r>
      <w:r w:rsidRPr="00C8453D">
        <w:rPr>
          <w:szCs w:val="24"/>
          <w:u w:val="single"/>
        </w:rPr>
        <w:t xml:space="preserve">, </w:t>
      </w:r>
      <w:r>
        <w:rPr>
          <w:szCs w:val="24"/>
          <w:u w:val="single"/>
        </w:rPr>
        <w:t>2015</w:t>
      </w:r>
      <w:r w:rsidR="004D23B7" w:rsidRPr="00A03D6F">
        <w:tab/>
      </w:r>
      <w:r w:rsidR="004D23B7" w:rsidRPr="00A03D6F">
        <w:tab/>
      </w:r>
      <w:r w:rsidR="004D23B7" w:rsidRPr="00A03D6F">
        <w:tab/>
      </w:r>
      <w:r w:rsidR="004D23B7" w:rsidRPr="00A03D6F">
        <w:tab/>
      </w:r>
      <w:r w:rsidR="004D23B7" w:rsidRPr="00A03D6F">
        <w:tab/>
      </w:r>
      <w:r w:rsidR="004D23B7">
        <w:t>Jeffrey A. Watson</w:t>
      </w:r>
    </w:p>
    <w:p w:rsidR="0014426D" w:rsidRPr="00941E9B" w:rsidRDefault="004D23B7" w:rsidP="00B401F2">
      <w:pPr>
        <w:tabs>
          <w:tab w:val="left" w:pos="0"/>
        </w:tabs>
        <w:spacing w:after="0" w:line="240" w:lineRule="auto"/>
        <w:jc w:val="both"/>
        <w:rPr>
          <w:b/>
        </w:rPr>
      </w:pPr>
      <w:r w:rsidRPr="00A03D6F">
        <w:tab/>
      </w:r>
      <w:r w:rsidRPr="00A03D6F">
        <w:tab/>
      </w:r>
      <w:r w:rsidRPr="00A03D6F">
        <w:tab/>
      </w:r>
      <w:r w:rsidRPr="00A03D6F">
        <w:tab/>
      </w:r>
      <w:r w:rsidRPr="00A03D6F">
        <w:tab/>
      </w:r>
      <w:r w:rsidRPr="00A03D6F">
        <w:tab/>
        <w:t>Administrative Law Judge</w:t>
      </w:r>
      <w:r>
        <w:tab/>
      </w:r>
    </w:p>
    <w:sectPr w:rsidR="0014426D" w:rsidRPr="00941E9B" w:rsidSect="00F146E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006C" w:rsidRDefault="00BD006C" w:rsidP="001B3A8A">
      <w:pPr>
        <w:spacing w:after="0" w:line="240" w:lineRule="auto"/>
      </w:pPr>
      <w:r>
        <w:separator/>
      </w:r>
    </w:p>
  </w:endnote>
  <w:endnote w:type="continuationSeparator" w:id="0">
    <w:p w:rsidR="00BD006C" w:rsidRDefault="00BD006C" w:rsidP="001B3A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15FA" w:rsidRDefault="005715F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436183"/>
      <w:docPartObj>
        <w:docPartGallery w:val="Page Numbers (Bottom of Page)"/>
        <w:docPartUnique/>
      </w:docPartObj>
    </w:sdtPr>
    <w:sdtEndPr>
      <w:rPr>
        <w:noProof/>
      </w:rPr>
    </w:sdtEndPr>
    <w:sdtContent>
      <w:p w:rsidR="00F146E5" w:rsidRDefault="00F146E5">
        <w:pPr>
          <w:pStyle w:val="Footer"/>
          <w:jc w:val="center"/>
        </w:pPr>
        <w:r w:rsidRPr="005715FA">
          <w:rPr>
            <w:sz w:val="20"/>
          </w:rPr>
          <w:fldChar w:fldCharType="begin"/>
        </w:r>
        <w:r w:rsidRPr="005715FA">
          <w:rPr>
            <w:sz w:val="20"/>
          </w:rPr>
          <w:instrText xml:space="preserve"> PAGE   \* MERGEFORMAT </w:instrText>
        </w:r>
        <w:r w:rsidRPr="005715FA">
          <w:rPr>
            <w:sz w:val="20"/>
          </w:rPr>
          <w:fldChar w:fldCharType="separate"/>
        </w:r>
        <w:r w:rsidR="002B1E9B">
          <w:rPr>
            <w:noProof/>
            <w:sz w:val="20"/>
          </w:rPr>
          <w:t>7</w:t>
        </w:r>
        <w:r w:rsidRPr="005715FA">
          <w:rPr>
            <w:noProof/>
            <w:sz w:val="20"/>
          </w:rPr>
          <w:fldChar w:fldCharType="end"/>
        </w:r>
      </w:p>
    </w:sdtContent>
  </w:sdt>
  <w:p w:rsidR="00F146E5" w:rsidRDefault="00F146E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15FA" w:rsidRDefault="005715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006C" w:rsidRDefault="00BD006C" w:rsidP="001B3A8A">
      <w:pPr>
        <w:spacing w:after="0" w:line="240" w:lineRule="auto"/>
      </w:pPr>
      <w:r>
        <w:separator/>
      </w:r>
    </w:p>
  </w:footnote>
  <w:footnote w:type="continuationSeparator" w:id="0">
    <w:p w:rsidR="00BD006C" w:rsidRDefault="00BD006C" w:rsidP="001B3A8A">
      <w:pPr>
        <w:spacing w:after="0" w:line="240" w:lineRule="auto"/>
      </w:pPr>
      <w:r>
        <w:continuationSeparator/>
      </w:r>
    </w:p>
  </w:footnote>
  <w:footnote w:id="1">
    <w:p w:rsidR="004D23B7" w:rsidRDefault="004D23B7" w:rsidP="004D23B7">
      <w:pPr>
        <w:pStyle w:val="FootnoteText"/>
        <w:spacing w:after="0"/>
      </w:pPr>
      <w:r>
        <w:rPr>
          <w:rStyle w:val="FootnoteReference"/>
        </w:rPr>
        <w:footnoteRef/>
      </w:r>
      <w:r>
        <w:t xml:space="preserve">  </w:t>
      </w:r>
      <w:r>
        <w:tab/>
      </w:r>
      <w:proofErr w:type="gramStart"/>
      <w:r>
        <w:t xml:space="preserve">45 </w:t>
      </w:r>
      <w:proofErr w:type="spellStart"/>
      <w:r>
        <w:t>Pa.B</w:t>
      </w:r>
      <w:proofErr w:type="spellEnd"/>
      <w:r>
        <w:t>.</w:t>
      </w:r>
      <w:proofErr w:type="gramEnd"/>
      <w:r>
        <w:t xml:space="preserve"> 1474 (</w:t>
      </w:r>
      <w:r w:rsidR="00E00BF7">
        <w:t xml:space="preserve">March 21, </w:t>
      </w:r>
      <w:r>
        <w:t>2015)</w:t>
      </w:r>
      <w:r w:rsidR="001D03B3">
        <w:t>.</w:t>
      </w:r>
    </w:p>
    <w:p w:rsidR="004D23B7" w:rsidRDefault="004D23B7" w:rsidP="004D23B7">
      <w:pPr>
        <w:pStyle w:val="FootnoteText"/>
        <w:spacing w:after="0"/>
      </w:pPr>
    </w:p>
  </w:footnote>
  <w:footnote w:id="2">
    <w:p w:rsidR="004D23B7" w:rsidRDefault="004D23B7" w:rsidP="004D23B7">
      <w:pPr>
        <w:pStyle w:val="FootnoteText"/>
        <w:spacing w:after="0"/>
      </w:pPr>
      <w:r>
        <w:rPr>
          <w:rStyle w:val="FootnoteReference"/>
        </w:rPr>
        <w:footnoteRef/>
      </w:r>
      <w:r>
        <w:t xml:space="preserve"> </w:t>
      </w:r>
      <w:r>
        <w:tab/>
        <w:t xml:space="preserve">On March 25, 2015, MTR Transportation, Inc. t/d/b/a/ K-Cab Co. and </w:t>
      </w:r>
      <w:proofErr w:type="spellStart"/>
      <w:r>
        <w:t>Billtown</w:t>
      </w:r>
      <w:proofErr w:type="spellEnd"/>
      <w:r>
        <w:t xml:space="preserve"> Cab Co. Inc. filed protests to the application.  Rasier-PA has also filed preliminary objections seeking dismissal of those protests which have been addressed in a separate order.</w:t>
      </w:r>
    </w:p>
  </w:footnote>
  <w:footnote w:id="3">
    <w:p w:rsidR="004D23B7" w:rsidRDefault="004D23B7" w:rsidP="007A4C7D">
      <w:pPr>
        <w:pStyle w:val="FootnoteText"/>
        <w:spacing w:after="0"/>
      </w:pPr>
      <w:r w:rsidRPr="008652E6">
        <w:rPr>
          <w:rStyle w:val="FootnoteReference"/>
        </w:rPr>
        <w:footnoteRef/>
      </w:r>
      <w:r w:rsidRPr="008652E6">
        <w:t xml:space="preserve"> </w:t>
      </w:r>
      <w:r w:rsidRPr="008652E6">
        <w:tab/>
      </w:r>
      <w:r w:rsidRPr="00737407">
        <w:rPr>
          <w:i/>
        </w:rPr>
        <w:t xml:space="preserve">Equitable Small Transportation </w:t>
      </w:r>
      <w:proofErr w:type="spellStart"/>
      <w:r w:rsidRPr="00737407">
        <w:rPr>
          <w:i/>
        </w:rPr>
        <w:t>Intervenors</w:t>
      </w:r>
      <w:proofErr w:type="spellEnd"/>
      <w:r w:rsidRPr="00737407">
        <w:rPr>
          <w:i/>
        </w:rPr>
        <w:t xml:space="preserve"> v. Equitable Gas Company</w:t>
      </w:r>
      <w:r w:rsidRPr="008652E6">
        <w:t xml:space="preserve">, 1994 Pa. PUC LEXIS 69, Docket No. </w:t>
      </w:r>
      <w:proofErr w:type="gramStart"/>
      <w:r w:rsidRPr="008652E6">
        <w:t>C-00935435 (July 18, 1994).</w:t>
      </w:r>
      <w:proofErr w:type="gramEnd"/>
      <w:r w:rsidRPr="008652E6">
        <w:t xml:space="preserve"> </w:t>
      </w:r>
    </w:p>
    <w:p w:rsidR="004D23B7" w:rsidRPr="008652E6" w:rsidRDefault="004D23B7" w:rsidP="007A4C7D">
      <w:pPr>
        <w:pStyle w:val="FootnoteText"/>
        <w:spacing w:after="0"/>
      </w:pPr>
    </w:p>
  </w:footnote>
  <w:footnote w:id="4">
    <w:p w:rsidR="004D23B7" w:rsidRDefault="004D23B7" w:rsidP="007A4C7D">
      <w:pPr>
        <w:pStyle w:val="FootnoteText"/>
        <w:spacing w:after="0"/>
      </w:pPr>
      <w:r w:rsidRPr="008652E6">
        <w:rPr>
          <w:rStyle w:val="FootnoteReference"/>
        </w:rPr>
        <w:footnoteRef/>
      </w:r>
      <w:r w:rsidRPr="008652E6">
        <w:t xml:space="preserve"> </w:t>
      </w:r>
      <w:r w:rsidRPr="008652E6">
        <w:tab/>
      </w:r>
      <w:proofErr w:type="gramStart"/>
      <w:r w:rsidRPr="008652E6">
        <w:rPr>
          <w:i/>
        </w:rPr>
        <w:t>Dept. of Auditor General v. SERS</w:t>
      </w:r>
      <w:r w:rsidRPr="008652E6">
        <w:t>, 836 A.2d 1053, 1064 (</w:t>
      </w:r>
      <w:proofErr w:type="spellStart"/>
      <w:r w:rsidRPr="008652E6">
        <w:t>Pa.Cmwlth</w:t>
      </w:r>
      <w:proofErr w:type="spellEnd"/>
      <w:r w:rsidRPr="008652E6">
        <w:t xml:space="preserve">. 2003); </w:t>
      </w:r>
      <w:r w:rsidRPr="008652E6">
        <w:rPr>
          <w:i/>
        </w:rPr>
        <w:t>P.J.S. v. Pa. State Ethics Comm’n</w:t>
      </w:r>
      <w:r w:rsidRPr="008652E6">
        <w:t>, 669 A.2d 1105 (</w:t>
      </w:r>
      <w:proofErr w:type="spellStart"/>
      <w:r w:rsidRPr="008652E6">
        <w:t>Pa.Cmwlth</w:t>
      </w:r>
      <w:proofErr w:type="spellEnd"/>
      <w:r w:rsidRPr="008652E6">
        <w:t>. 1996).</w:t>
      </w:r>
      <w:proofErr w:type="gramEnd"/>
    </w:p>
    <w:p w:rsidR="007A4C7D" w:rsidRPr="008652E6" w:rsidRDefault="007A4C7D" w:rsidP="007A4C7D">
      <w:pPr>
        <w:pStyle w:val="FootnoteText"/>
        <w:spacing w:after="0"/>
      </w:pPr>
    </w:p>
  </w:footnote>
  <w:footnote w:id="5">
    <w:p w:rsidR="004D23B7" w:rsidRPr="008652E6" w:rsidRDefault="004D23B7" w:rsidP="007A4C7D">
      <w:pPr>
        <w:pStyle w:val="FootnoteText"/>
        <w:spacing w:after="0"/>
      </w:pPr>
      <w:r w:rsidRPr="008652E6">
        <w:rPr>
          <w:rStyle w:val="FootnoteReference"/>
        </w:rPr>
        <w:footnoteRef/>
      </w:r>
      <w:r w:rsidRPr="008652E6">
        <w:t xml:space="preserve"> </w:t>
      </w:r>
      <w:r w:rsidRPr="008652E6">
        <w:tab/>
      </w:r>
      <w:proofErr w:type="gramStart"/>
      <w:r w:rsidRPr="008652E6">
        <w:rPr>
          <w:i/>
        </w:rPr>
        <w:t>Boyd v. Ward</w:t>
      </w:r>
      <w:r w:rsidRPr="008652E6">
        <w:t>, 802 A.2d 705 (</w:t>
      </w:r>
      <w:proofErr w:type="spellStart"/>
      <w:r w:rsidRPr="008652E6">
        <w:t>Pa.Cmwlth</w:t>
      </w:r>
      <w:proofErr w:type="spellEnd"/>
      <w:r w:rsidRPr="008652E6">
        <w:t>. 2002).</w:t>
      </w:r>
      <w:proofErr w:type="gramEnd"/>
      <w:r w:rsidRPr="008652E6">
        <w:t xml:space="preserve"> </w:t>
      </w:r>
    </w:p>
    <w:p w:rsidR="004D23B7" w:rsidRPr="008652E6" w:rsidRDefault="004D23B7" w:rsidP="007A4C7D">
      <w:pPr>
        <w:pStyle w:val="FootnoteText"/>
        <w:spacing w:after="0"/>
      </w:pPr>
      <w:r w:rsidRPr="008652E6">
        <w:t xml:space="preserve"> </w:t>
      </w:r>
    </w:p>
  </w:footnote>
  <w:footnote w:id="6">
    <w:p w:rsidR="004D23B7" w:rsidRDefault="004D23B7" w:rsidP="004D23B7">
      <w:pPr>
        <w:pStyle w:val="FootnoteText"/>
        <w:spacing w:after="0"/>
        <w:ind w:firstLine="720"/>
      </w:pPr>
      <w:r w:rsidRPr="008652E6">
        <w:rPr>
          <w:rStyle w:val="FootnoteReference"/>
        </w:rPr>
        <w:footnoteRef/>
      </w:r>
      <w:r w:rsidRPr="008652E6">
        <w:t xml:space="preserve"> </w:t>
      </w:r>
      <w:r w:rsidRPr="008652E6">
        <w:tab/>
      </w:r>
      <w:proofErr w:type="gramStart"/>
      <w:r w:rsidRPr="006602A7">
        <w:rPr>
          <w:i/>
        </w:rPr>
        <w:t>Ridge v. State Employees’ Retirement Board</w:t>
      </w:r>
      <w:r w:rsidRPr="008652E6">
        <w:t>, 690 A.2d 1312 (</w:t>
      </w:r>
      <w:proofErr w:type="spellStart"/>
      <w:r w:rsidRPr="008652E6">
        <w:t>Pa.Cmwlth</w:t>
      </w:r>
      <w:proofErr w:type="spellEnd"/>
      <w:r w:rsidRPr="008652E6">
        <w:t>. 1997).</w:t>
      </w:r>
      <w:proofErr w:type="gramEnd"/>
    </w:p>
    <w:p w:rsidR="004D23B7" w:rsidRPr="008652E6" w:rsidRDefault="004D23B7" w:rsidP="004D23B7">
      <w:pPr>
        <w:pStyle w:val="FootnoteText"/>
        <w:spacing w:after="0"/>
        <w:ind w:firstLine="720"/>
      </w:pPr>
      <w:r w:rsidRPr="008652E6">
        <w:t xml:space="preserve"> </w:t>
      </w:r>
    </w:p>
  </w:footnote>
  <w:footnote w:id="7">
    <w:p w:rsidR="004D23B7" w:rsidRPr="008652E6" w:rsidRDefault="004D23B7" w:rsidP="004D23B7">
      <w:pPr>
        <w:pStyle w:val="FootnoteText"/>
        <w:spacing w:after="0"/>
        <w:ind w:firstLine="720"/>
      </w:pPr>
      <w:r w:rsidRPr="008652E6">
        <w:rPr>
          <w:rStyle w:val="FootnoteReference"/>
        </w:rPr>
        <w:footnoteRef/>
      </w:r>
      <w:r w:rsidRPr="008652E6">
        <w:t xml:space="preserve">  </w:t>
      </w:r>
      <w:r w:rsidRPr="008652E6">
        <w:tab/>
      </w:r>
      <w:proofErr w:type="gramStart"/>
      <w:r w:rsidRPr="006602A7">
        <w:rPr>
          <w:i/>
        </w:rPr>
        <w:t xml:space="preserve">Interstate </w:t>
      </w:r>
      <w:proofErr w:type="spellStart"/>
      <w:r w:rsidRPr="006602A7">
        <w:rPr>
          <w:i/>
        </w:rPr>
        <w:t>Traveller</w:t>
      </w:r>
      <w:proofErr w:type="spellEnd"/>
      <w:r w:rsidRPr="006602A7">
        <w:rPr>
          <w:i/>
        </w:rPr>
        <w:t xml:space="preserve"> Services, Inc. v. Pa. Department of Environmental Resources</w:t>
      </w:r>
      <w:r w:rsidRPr="008652E6">
        <w:t xml:space="preserve">, 406 A.2d 1020 (Pa. 1979); </w:t>
      </w:r>
      <w:r w:rsidRPr="006602A7">
        <w:rPr>
          <w:i/>
        </w:rPr>
        <w:t>Application of K&amp;F Medical Transport, LLC</w:t>
      </w:r>
      <w:r w:rsidRPr="008652E6">
        <w:t>, PUC Docket No.</w:t>
      </w:r>
      <w:proofErr w:type="gramEnd"/>
      <w:r w:rsidRPr="008652E6">
        <w:t xml:space="preserve"> A-2008-2020353 (Initial Decision dated April 25, 2008).</w:t>
      </w:r>
    </w:p>
  </w:footnote>
  <w:footnote w:id="8">
    <w:p w:rsidR="00B31073" w:rsidRDefault="00B31073" w:rsidP="00B31073">
      <w:pPr>
        <w:pStyle w:val="FootnoteText"/>
        <w:spacing w:after="0"/>
      </w:pPr>
      <w:r>
        <w:rPr>
          <w:rStyle w:val="FootnoteReference"/>
        </w:rPr>
        <w:footnoteRef/>
      </w:r>
      <w:r>
        <w:t xml:space="preserve">  </w:t>
      </w:r>
      <w:r>
        <w:tab/>
      </w:r>
      <w:r>
        <w:rPr>
          <w:i/>
        </w:rPr>
        <w:t>E.g., Application of Rasier-PA LLC</w:t>
      </w:r>
      <w:r>
        <w:t>, Docket No.</w:t>
      </w:r>
      <w:r w:rsidRPr="00F146E5">
        <w:rPr>
          <w:sz w:val="24"/>
        </w:rPr>
        <w:t xml:space="preserve"> </w:t>
      </w:r>
      <w:r w:rsidRPr="00F146E5">
        <w:t>A-2014-2424608</w:t>
      </w:r>
      <w:r>
        <w:t xml:space="preserve"> (Interim Order Denying Preliminary Objections to the Protests of Various Call and Demand Carriers dated August 11, 2014).</w:t>
      </w:r>
    </w:p>
    <w:p w:rsidR="00B31073" w:rsidRPr="00F146E5" w:rsidRDefault="00B31073" w:rsidP="00B31073">
      <w:pPr>
        <w:pStyle w:val="FootnoteText"/>
        <w:spacing w:after="0"/>
      </w:pPr>
    </w:p>
  </w:footnote>
  <w:footnote w:id="9">
    <w:p w:rsidR="004D23B7" w:rsidRDefault="004D23B7" w:rsidP="00951EC1">
      <w:pPr>
        <w:pStyle w:val="FootnoteText"/>
        <w:spacing w:after="0"/>
      </w:pPr>
      <w:r>
        <w:rPr>
          <w:rStyle w:val="FootnoteReference"/>
        </w:rPr>
        <w:footnoteRef/>
      </w:r>
      <w:r>
        <w:t xml:space="preserve">  </w:t>
      </w:r>
      <w:r>
        <w:tab/>
        <w:t>52 Pa.Code § 3.381(c</w:t>
      </w:r>
      <w:proofErr w:type="gramStart"/>
      <w:r>
        <w:t>)(</w:t>
      </w:r>
      <w:proofErr w:type="gramEnd"/>
      <w:r>
        <w:t>1)(A).</w:t>
      </w:r>
    </w:p>
    <w:p w:rsidR="00951EC1" w:rsidRDefault="00951EC1" w:rsidP="00951EC1">
      <w:pPr>
        <w:pStyle w:val="FootnoteText"/>
        <w:spacing w:after="0"/>
      </w:pPr>
    </w:p>
  </w:footnote>
  <w:footnote w:id="10">
    <w:p w:rsidR="004D23B7" w:rsidRDefault="004D23B7" w:rsidP="00951EC1">
      <w:pPr>
        <w:pStyle w:val="FootnoteText"/>
        <w:spacing w:after="0"/>
      </w:pPr>
      <w:r>
        <w:rPr>
          <w:rStyle w:val="FootnoteReference"/>
        </w:rPr>
        <w:footnoteRef/>
      </w:r>
      <w:r>
        <w:t xml:space="preserve">  </w:t>
      </w:r>
      <w:r>
        <w:tab/>
        <w:t>See 52 Pa.Code § 41.14.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15FA" w:rsidRDefault="005715F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15FA" w:rsidRDefault="005715F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15FA" w:rsidRDefault="005715F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32D57"/>
    <w:multiLevelType w:val="hybridMultilevel"/>
    <w:tmpl w:val="3BB8502C"/>
    <w:lvl w:ilvl="0" w:tplc="3D462258">
      <w:start w:val="1"/>
      <w:numFmt w:val="decimal"/>
      <w:pStyle w:val="ListParagraph"/>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144C6BF6"/>
    <w:multiLevelType w:val="hybridMultilevel"/>
    <w:tmpl w:val="1C2C1DD4"/>
    <w:lvl w:ilvl="0" w:tplc="A98CE02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B17452"/>
    <w:multiLevelType w:val="hybridMultilevel"/>
    <w:tmpl w:val="9C085A1E"/>
    <w:lvl w:ilvl="0" w:tplc="AC782B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3425B8"/>
    <w:multiLevelType w:val="hybridMultilevel"/>
    <w:tmpl w:val="8918C5F0"/>
    <w:lvl w:ilvl="0" w:tplc="0FA221A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564759C"/>
    <w:multiLevelType w:val="hybridMultilevel"/>
    <w:tmpl w:val="B1D612BC"/>
    <w:lvl w:ilvl="0" w:tplc="F39C5B5C">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nsid w:val="4B095837"/>
    <w:multiLevelType w:val="hybridMultilevel"/>
    <w:tmpl w:val="62BAD5EC"/>
    <w:lvl w:ilvl="0" w:tplc="69EE35F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163515A"/>
    <w:multiLevelType w:val="hybridMultilevel"/>
    <w:tmpl w:val="AECA1614"/>
    <w:lvl w:ilvl="0" w:tplc="6A026B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7C240B2"/>
    <w:multiLevelType w:val="hybridMultilevel"/>
    <w:tmpl w:val="DB700314"/>
    <w:lvl w:ilvl="0" w:tplc="990AB5C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D2B4994"/>
    <w:multiLevelType w:val="hybridMultilevel"/>
    <w:tmpl w:val="1CBEED92"/>
    <w:lvl w:ilvl="0" w:tplc="80F0015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F3B6BCD"/>
    <w:multiLevelType w:val="hybridMultilevel"/>
    <w:tmpl w:val="F934C904"/>
    <w:lvl w:ilvl="0" w:tplc="2B1E7B6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30C6BCA"/>
    <w:multiLevelType w:val="hybridMultilevel"/>
    <w:tmpl w:val="28386070"/>
    <w:lvl w:ilvl="0" w:tplc="0C92B14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37D5134"/>
    <w:multiLevelType w:val="hybridMultilevel"/>
    <w:tmpl w:val="130E6982"/>
    <w:lvl w:ilvl="0" w:tplc="F8684FE4">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5A348A0"/>
    <w:multiLevelType w:val="hybridMultilevel"/>
    <w:tmpl w:val="D6202846"/>
    <w:lvl w:ilvl="0" w:tplc="867CA1FC">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77F95CD1"/>
    <w:multiLevelType w:val="hybridMultilevel"/>
    <w:tmpl w:val="6C12450C"/>
    <w:lvl w:ilvl="0" w:tplc="6F9AFBE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8AC4007"/>
    <w:multiLevelType w:val="hybridMultilevel"/>
    <w:tmpl w:val="4524D50A"/>
    <w:lvl w:ilvl="0" w:tplc="57E460E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2"/>
  </w:num>
  <w:num w:numId="2">
    <w:abstractNumId w:val="6"/>
  </w:num>
  <w:num w:numId="3">
    <w:abstractNumId w:val="10"/>
  </w:num>
  <w:num w:numId="4">
    <w:abstractNumId w:val="14"/>
  </w:num>
  <w:num w:numId="5">
    <w:abstractNumId w:val="4"/>
  </w:num>
  <w:num w:numId="6">
    <w:abstractNumId w:val="3"/>
  </w:num>
  <w:num w:numId="7">
    <w:abstractNumId w:val="2"/>
  </w:num>
  <w:num w:numId="8">
    <w:abstractNumId w:val="13"/>
  </w:num>
  <w:num w:numId="9">
    <w:abstractNumId w:val="1"/>
  </w:num>
  <w:num w:numId="10">
    <w:abstractNumId w:val="7"/>
  </w:num>
  <w:num w:numId="11">
    <w:abstractNumId w:val="9"/>
  </w:num>
  <w:num w:numId="12">
    <w:abstractNumId w:val="5"/>
  </w:num>
  <w:num w:numId="13">
    <w:abstractNumId w:val="8"/>
  </w:num>
  <w:num w:numId="14">
    <w:abstractNumId w:val="1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A8A"/>
    <w:rsid w:val="00004C37"/>
    <w:rsid w:val="00021F62"/>
    <w:rsid w:val="000E712F"/>
    <w:rsid w:val="0014426D"/>
    <w:rsid w:val="00156E85"/>
    <w:rsid w:val="00192425"/>
    <w:rsid w:val="001A4B67"/>
    <w:rsid w:val="001B1CBA"/>
    <w:rsid w:val="001B3A8A"/>
    <w:rsid w:val="001D03B3"/>
    <w:rsid w:val="001E73B7"/>
    <w:rsid w:val="001F1D6D"/>
    <w:rsid w:val="00213167"/>
    <w:rsid w:val="0023538F"/>
    <w:rsid w:val="002512F9"/>
    <w:rsid w:val="002B1E9B"/>
    <w:rsid w:val="002D7397"/>
    <w:rsid w:val="00351A44"/>
    <w:rsid w:val="00355ADF"/>
    <w:rsid w:val="00364739"/>
    <w:rsid w:val="00377C23"/>
    <w:rsid w:val="00377FD0"/>
    <w:rsid w:val="00393C92"/>
    <w:rsid w:val="003B6740"/>
    <w:rsid w:val="003C580B"/>
    <w:rsid w:val="003D6323"/>
    <w:rsid w:val="004D23B7"/>
    <w:rsid w:val="004D523C"/>
    <w:rsid w:val="005500EB"/>
    <w:rsid w:val="00551B3A"/>
    <w:rsid w:val="00555DE5"/>
    <w:rsid w:val="005715FA"/>
    <w:rsid w:val="00581DCA"/>
    <w:rsid w:val="005837EC"/>
    <w:rsid w:val="005A1C17"/>
    <w:rsid w:val="005A1C9A"/>
    <w:rsid w:val="005A2ABA"/>
    <w:rsid w:val="005E093D"/>
    <w:rsid w:val="005E368B"/>
    <w:rsid w:val="00612CD5"/>
    <w:rsid w:val="0061775F"/>
    <w:rsid w:val="00675DCB"/>
    <w:rsid w:val="006A0634"/>
    <w:rsid w:val="006F0329"/>
    <w:rsid w:val="0071044A"/>
    <w:rsid w:val="00712E58"/>
    <w:rsid w:val="0074062E"/>
    <w:rsid w:val="007843C3"/>
    <w:rsid w:val="00792796"/>
    <w:rsid w:val="007A4C7D"/>
    <w:rsid w:val="007E6779"/>
    <w:rsid w:val="00815F77"/>
    <w:rsid w:val="00820B4C"/>
    <w:rsid w:val="00826172"/>
    <w:rsid w:val="008529D2"/>
    <w:rsid w:val="00855458"/>
    <w:rsid w:val="0088511E"/>
    <w:rsid w:val="008F69D3"/>
    <w:rsid w:val="00913C89"/>
    <w:rsid w:val="0091457A"/>
    <w:rsid w:val="00922DCB"/>
    <w:rsid w:val="00951EC1"/>
    <w:rsid w:val="0099646C"/>
    <w:rsid w:val="009A5D57"/>
    <w:rsid w:val="00A271AF"/>
    <w:rsid w:val="00A405BC"/>
    <w:rsid w:val="00A71504"/>
    <w:rsid w:val="00A7552C"/>
    <w:rsid w:val="00AA2EC5"/>
    <w:rsid w:val="00AB4C73"/>
    <w:rsid w:val="00AD0737"/>
    <w:rsid w:val="00AE6F47"/>
    <w:rsid w:val="00B31073"/>
    <w:rsid w:val="00B401F2"/>
    <w:rsid w:val="00B81EF3"/>
    <w:rsid w:val="00BC6B21"/>
    <w:rsid w:val="00BD006C"/>
    <w:rsid w:val="00BD343C"/>
    <w:rsid w:val="00C10491"/>
    <w:rsid w:val="00C7305B"/>
    <w:rsid w:val="00C87E57"/>
    <w:rsid w:val="00CD2930"/>
    <w:rsid w:val="00D17307"/>
    <w:rsid w:val="00D45D0E"/>
    <w:rsid w:val="00D843F8"/>
    <w:rsid w:val="00DC7BBD"/>
    <w:rsid w:val="00DD5C37"/>
    <w:rsid w:val="00E00BF7"/>
    <w:rsid w:val="00E030AA"/>
    <w:rsid w:val="00E215BD"/>
    <w:rsid w:val="00E4239A"/>
    <w:rsid w:val="00E54314"/>
    <w:rsid w:val="00E66037"/>
    <w:rsid w:val="00E6734D"/>
    <w:rsid w:val="00E874BD"/>
    <w:rsid w:val="00EA44D9"/>
    <w:rsid w:val="00EC1CBA"/>
    <w:rsid w:val="00EE5824"/>
    <w:rsid w:val="00EE7801"/>
    <w:rsid w:val="00F146E5"/>
    <w:rsid w:val="00F16554"/>
    <w:rsid w:val="00F42129"/>
    <w:rsid w:val="00F46322"/>
    <w:rsid w:val="00F544E1"/>
    <w:rsid w:val="00FD5C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2E58"/>
    <w:pPr>
      <w:tabs>
        <w:tab w:val="left" w:pos="1440"/>
      </w:tabs>
      <w:spacing w:after="120" w:line="360" w:lineRule="auto"/>
    </w:pPr>
    <w:rPr>
      <w:rFonts w:ascii="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E4239A"/>
    <w:pPr>
      <w:numPr>
        <w:numId w:val="15"/>
      </w:numPr>
      <w:spacing w:before="240"/>
    </w:pPr>
  </w:style>
  <w:style w:type="paragraph" w:styleId="FootnoteText">
    <w:name w:val="footnote text"/>
    <w:aliases w:val="Car,fn,ALTS FOOTNOTE,Footnote Text 2,Footnote text,FOOTNOTE,fn Char Char,fn Char,Footnote Text Char1 Char,Footnote Text Char Char Char,ALTS FOOTNOTE Char Char Char,Footnote Text Char2 Char Char Char"/>
    <w:link w:val="FootnoteTextChar"/>
    <w:unhideWhenUsed/>
    <w:qFormat/>
    <w:rsid w:val="007E6779"/>
    <w:pPr>
      <w:spacing w:after="120" w:line="240" w:lineRule="auto"/>
    </w:pPr>
    <w:rPr>
      <w:rFonts w:ascii="Times New Roman" w:hAnsi="Times New Roman" w:cs="Times New Roman"/>
      <w:sz w:val="20"/>
      <w:szCs w:val="20"/>
    </w:rPr>
  </w:style>
  <w:style w:type="character" w:customStyle="1" w:styleId="FootnoteTextChar">
    <w:name w:val="Footnote Text Char"/>
    <w:aliases w:val="Car Char,fn Char1,ALTS FOOTNOTE Char,Footnote Text 2 Char,Footnote text Char,FOOTNOTE Char,fn Char Char Char,fn Char Char1,Footnote Text Char1 Char Char,Footnote Text Char Char Char Char,ALTS FOOTNOTE Char Char Char Char"/>
    <w:basedOn w:val="DefaultParagraphFont"/>
    <w:link w:val="FootnoteText"/>
    <w:rsid w:val="007E6779"/>
    <w:rPr>
      <w:rFonts w:ascii="Times New Roman" w:hAnsi="Times New Roman" w:cs="Times New Roman"/>
      <w:sz w:val="20"/>
      <w:szCs w:val="20"/>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character" w:styleId="FootnoteReference">
    <w:name w:val="footnote reference"/>
    <w:aliases w:val="o,fr"/>
    <w:basedOn w:val="DefaultParagraphFont"/>
    <w:uiPriority w:val="99"/>
    <w:unhideWhenUsed/>
    <w:rsid w:val="001B3A8A"/>
    <w:rPr>
      <w:vertAlign w:val="superscript"/>
    </w:rPr>
  </w:style>
  <w:style w:type="table" w:styleId="TableGrid">
    <w:name w:val="Table Grid"/>
    <w:basedOn w:val="TableNormal"/>
    <w:uiPriority w:val="59"/>
    <w:rsid w:val="001442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basedOn w:val="Normal"/>
    <w:next w:val="Normal"/>
    <w:link w:val="QuoteChar"/>
    <w:uiPriority w:val="29"/>
    <w:qFormat/>
    <w:rsid w:val="0014426D"/>
    <w:pPr>
      <w:spacing w:line="240" w:lineRule="auto"/>
    </w:pPr>
    <w:rPr>
      <w:iCs/>
      <w:color w:val="000000" w:themeColor="text1"/>
    </w:rPr>
  </w:style>
  <w:style w:type="character" w:customStyle="1" w:styleId="QuoteChar">
    <w:name w:val="Quote Char"/>
    <w:basedOn w:val="DefaultParagraphFont"/>
    <w:link w:val="Quote"/>
    <w:uiPriority w:val="29"/>
    <w:rsid w:val="0014426D"/>
    <w:rPr>
      <w:rFonts w:ascii="Times New Roman" w:hAnsi="Times New Roman" w:cs="Times New Roman"/>
      <w:iCs/>
      <w:color w:val="000000" w:themeColor="text1"/>
      <w:sz w:val="24"/>
      <w:szCs w:val="20"/>
    </w:rPr>
  </w:style>
  <w:style w:type="paragraph" w:styleId="Header">
    <w:name w:val="header"/>
    <w:basedOn w:val="Normal"/>
    <w:link w:val="HeaderChar"/>
    <w:uiPriority w:val="99"/>
    <w:unhideWhenUsed/>
    <w:rsid w:val="00F146E5"/>
    <w:pPr>
      <w:tabs>
        <w:tab w:val="clear" w:pos="1440"/>
        <w:tab w:val="center" w:pos="4680"/>
        <w:tab w:val="right" w:pos="9360"/>
      </w:tabs>
      <w:spacing w:after="0" w:line="240" w:lineRule="auto"/>
    </w:pPr>
  </w:style>
  <w:style w:type="character" w:customStyle="1" w:styleId="HeaderChar">
    <w:name w:val="Header Char"/>
    <w:basedOn w:val="DefaultParagraphFont"/>
    <w:link w:val="Header"/>
    <w:uiPriority w:val="99"/>
    <w:rsid w:val="00F146E5"/>
    <w:rPr>
      <w:rFonts w:ascii="Times New Roman" w:hAnsi="Times New Roman" w:cs="Times New Roman"/>
      <w:sz w:val="24"/>
      <w:szCs w:val="20"/>
    </w:rPr>
  </w:style>
  <w:style w:type="paragraph" w:styleId="Footer">
    <w:name w:val="footer"/>
    <w:basedOn w:val="Normal"/>
    <w:link w:val="FooterChar"/>
    <w:uiPriority w:val="99"/>
    <w:unhideWhenUsed/>
    <w:rsid w:val="00F146E5"/>
    <w:pPr>
      <w:tabs>
        <w:tab w:val="clear" w:pos="1440"/>
        <w:tab w:val="center" w:pos="4680"/>
        <w:tab w:val="right" w:pos="9360"/>
      </w:tabs>
      <w:spacing w:after="0" w:line="240" w:lineRule="auto"/>
    </w:pPr>
  </w:style>
  <w:style w:type="character" w:customStyle="1" w:styleId="FooterChar">
    <w:name w:val="Footer Char"/>
    <w:basedOn w:val="DefaultParagraphFont"/>
    <w:link w:val="Footer"/>
    <w:uiPriority w:val="99"/>
    <w:rsid w:val="00F146E5"/>
    <w:rPr>
      <w:rFonts w:ascii="Times New Roman" w:hAnsi="Times New Roman" w:cs="Times New Roman"/>
      <w:sz w:val="24"/>
      <w:szCs w:val="20"/>
    </w:rPr>
  </w:style>
  <w:style w:type="paragraph" w:styleId="BalloonText">
    <w:name w:val="Balloon Text"/>
    <w:basedOn w:val="Normal"/>
    <w:link w:val="BalloonTextChar"/>
    <w:uiPriority w:val="99"/>
    <w:semiHidden/>
    <w:unhideWhenUsed/>
    <w:rsid w:val="007A4C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4C7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2E58"/>
    <w:pPr>
      <w:tabs>
        <w:tab w:val="left" w:pos="1440"/>
      </w:tabs>
      <w:spacing w:after="120" w:line="360" w:lineRule="auto"/>
    </w:pPr>
    <w:rPr>
      <w:rFonts w:ascii="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E4239A"/>
    <w:pPr>
      <w:numPr>
        <w:numId w:val="15"/>
      </w:numPr>
      <w:spacing w:before="240"/>
    </w:pPr>
  </w:style>
  <w:style w:type="paragraph" w:styleId="FootnoteText">
    <w:name w:val="footnote text"/>
    <w:aliases w:val="Car,fn,ALTS FOOTNOTE,Footnote Text 2,Footnote text,FOOTNOTE,fn Char Char,fn Char,Footnote Text Char1 Char,Footnote Text Char Char Char,ALTS FOOTNOTE Char Char Char,Footnote Text Char2 Char Char Char"/>
    <w:link w:val="FootnoteTextChar"/>
    <w:unhideWhenUsed/>
    <w:qFormat/>
    <w:rsid w:val="007E6779"/>
    <w:pPr>
      <w:spacing w:after="120" w:line="240" w:lineRule="auto"/>
    </w:pPr>
    <w:rPr>
      <w:rFonts w:ascii="Times New Roman" w:hAnsi="Times New Roman" w:cs="Times New Roman"/>
      <w:sz w:val="20"/>
      <w:szCs w:val="20"/>
    </w:rPr>
  </w:style>
  <w:style w:type="character" w:customStyle="1" w:styleId="FootnoteTextChar">
    <w:name w:val="Footnote Text Char"/>
    <w:aliases w:val="Car Char,fn Char1,ALTS FOOTNOTE Char,Footnote Text 2 Char,Footnote text Char,FOOTNOTE Char,fn Char Char Char,fn Char Char1,Footnote Text Char1 Char Char,Footnote Text Char Char Char Char,ALTS FOOTNOTE Char Char Char Char"/>
    <w:basedOn w:val="DefaultParagraphFont"/>
    <w:link w:val="FootnoteText"/>
    <w:rsid w:val="007E6779"/>
    <w:rPr>
      <w:rFonts w:ascii="Times New Roman" w:hAnsi="Times New Roman" w:cs="Times New Roman"/>
      <w:sz w:val="20"/>
      <w:szCs w:val="20"/>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character" w:styleId="FootnoteReference">
    <w:name w:val="footnote reference"/>
    <w:aliases w:val="o,fr"/>
    <w:basedOn w:val="DefaultParagraphFont"/>
    <w:uiPriority w:val="99"/>
    <w:unhideWhenUsed/>
    <w:rsid w:val="001B3A8A"/>
    <w:rPr>
      <w:vertAlign w:val="superscript"/>
    </w:rPr>
  </w:style>
  <w:style w:type="table" w:styleId="TableGrid">
    <w:name w:val="Table Grid"/>
    <w:basedOn w:val="TableNormal"/>
    <w:uiPriority w:val="59"/>
    <w:rsid w:val="001442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basedOn w:val="Normal"/>
    <w:next w:val="Normal"/>
    <w:link w:val="QuoteChar"/>
    <w:uiPriority w:val="29"/>
    <w:qFormat/>
    <w:rsid w:val="0014426D"/>
    <w:pPr>
      <w:spacing w:line="240" w:lineRule="auto"/>
    </w:pPr>
    <w:rPr>
      <w:iCs/>
      <w:color w:val="000000" w:themeColor="text1"/>
    </w:rPr>
  </w:style>
  <w:style w:type="character" w:customStyle="1" w:styleId="QuoteChar">
    <w:name w:val="Quote Char"/>
    <w:basedOn w:val="DefaultParagraphFont"/>
    <w:link w:val="Quote"/>
    <w:uiPriority w:val="29"/>
    <w:rsid w:val="0014426D"/>
    <w:rPr>
      <w:rFonts w:ascii="Times New Roman" w:hAnsi="Times New Roman" w:cs="Times New Roman"/>
      <w:iCs/>
      <w:color w:val="000000" w:themeColor="text1"/>
      <w:sz w:val="24"/>
      <w:szCs w:val="20"/>
    </w:rPr>
  </w:style>
  <w:style w:type="paragraph" w:styleId="Header">
    <w:name w:val="header"/>
    <w:basedOn w:val="Normal"/>
    <w:link w:val="HeaderChar"/>
    <w:uiPriority w:val="99"/>
    <w:unhideWhenUsed/>
    <w:rsid w:val="00F146E5"/>
    <w:pPr>
      <w:tabs>
        <w:tab w:val="clear" w:pos="1440"/>
        <w:tab w:val="center" w:pos="4680"/>
        <w:tab w:val="right" w:pos="9360"/>
      </w:tabs>
      <w:spacing w:after="0" w:line="240" w:lineRule="auto"/>
    </w:pPr>
  </w:style>
  <w:style w:type="character" w:customStyle="1" w:styleId="HeaderChar">
    <w:name w:val="Header Char"/>
    <w:basedOn w:val="DefaultParagraphFont"/>
    <w:link w:val="Header"/>
    <w:uiPriority w:val="99"/>
    <w:rsid w:val="00F146E5"/>
    <w:rPr>
      <w:rFonts w:ascii="Times New Roman" w:hAnsi="Times New Roman" w:cs="Times New Roman"/>
      <w:sz w:val="24"/>
      <w:szCs w:val="20"/>
    </w:rPr>
  </w:style>
  <w:style w:type="paragraph" w:styleId="Footer">
    <w:name w:val="footer"/>
    <w:basedOn w:val="Normal"/>
    <w:link w:val="FooterChar"/>
    <w:uiPriority w:val="99"/>
    <w:unhideWhenUsed/>
    <w:rsid w:val="00F146E5"/>
    <w:pPr>
      <w:tabs>
        <w:tab w:val="clear" w:pos="1440"/>
        <w:tab w:val="center" w:pos="4680"/>
        <w:tab w:val="right" w:pos="9360"/>
      </w:tabs>
      <w:spacing w:after="0" w:line="240" w:lineRule="auto"/>
    </w:pPr>
  </w:style>
  <w:style w:type="character" w:customStyle="1" w:styleId="FooterChar">
    <w:name w:val="Footer Char"/>
    <w:basedOn w:val="DefaultParagraphFont"/>
    <w:link w:val="Footer"/>
    <w:uiPriority w:val="99"/>
    <w:rsid w:val="00F146E5"/>
    <w:rPr>
      <w:rFonts w:ascii="Times New Roman" w:hAnsi="Times New Roman" w:cs="Times New Roman"/>
      <w:sz w:val="24"/>
      <w:szCs w:val="20"/>
    </w:rPr>
  </w:style>
  <w:style w:type="paragraph" w:styleId="BalloonText">
    <w:name w:val="Balloon Text"/>
    <w:basedOn w:val="Normal"/>
    <w:link w:val="BalloonTextChar"/>
    <w:uiPriority w:val="99"/>
    <w:semiHidden/>
    <w:unhideWhenUsed/>
    <w:rsid w:val="007A4C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4C7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1570</Words>
  <Characters>8949</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10499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D Long</dc:creator>
  <cp:lastModifiedBy>Blanton, Leah</cp:lastModifiedBy>
  <cp:revision>2</cp:revision>
  <cp:lastPrinted>2015-07-07T17:41:00Z</cp:lastPrinted>
  <dcterms:created xsi:type="dcterms:W3CDTF">2015-07-07T19:10:00Z</dcterms:created>
  <dcterms:modified xsi:type="dcterms:W3CDTF">2015-07-07T19:10:00Z</dcterms:modified>
</cp:coreProperties>
</file>