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85" w:rsidRDefault="00334285" w:rsidP="00781741">
      <w:pPr>
        <w:pStyle w:val="Title"/>
        <w:tabs>
          <w:tab w:val="clear" w:pos="360"/>
          <w:tab w:val="left" w:pos="0"/>
        </w:tabs>
      </w:pPr>
      <w:r>
        <w:t>BEFORE THE</w:t>
      </w:r>
    </w:p>
    <w:p w:rsidR="00334285" w:rsidRDefault="00334285" w:rsidP="00781741">
      <w:pPr>
        <w:tabs>
          <w:tab w:val="left" w:pos="0"/>
        </w:tabs>
        <w:spacing w:after="0" w:line="233" w:lineRule="auto"/>
        <w:jc w:val="center"/>
        <w:rPr>
          <w:b/>
        </w:rPr>
      </w:pPr>
      <w:r>
        <w:rPr>
          <w:b/>
        </w:rPr>
        <w:t>PENNSYLVANIA PUBLIC UTILITY COMMISSION</w:t>
      </w:r>
    </w:p>
    <w:p w:rsidR="00334285" w:rsidRDefault="00334285" w:rsidP="00781741">
      <w:pPr>
        <w:tabs>
          <w:tab w:val="left" w:pos="0"/>
        </w:tabs>
        <w:spacing w:after="0" w:line="233" w:lineRule="auto"/>
        <w:jc w:val="both"/>
        <w:rPr>
          <w:b/>
        </w:rPr>
      </w:pPr>
    </w:p>
    <w:p w:rsidR="00334285" w:rsidRDefault="00334285" w:rsidP="00781741">
      <w:pPr>
        <w:tabs>
          <w:tab w:val="left" w:pos="0"/>
        </w:tabs>
        <w:spacing w:after="0" w:line="233" w:lineRule="auto"/>
        <w:jc w:val="both"/>
        <w:rPr>
          <w:b/>
        </w:rPr>
      </w:pPr>
    </w:p>
    <w:p w:rsidR="00334285" w:rsidRDefault="00334285" w:rsidP="00781741">
      <w:pPr>
        <w:tabs>
          <w:tab w:val="left" w:pos="0"/>
        </w:tabs>
        <w:spacing w:after="0" w:line="233" w:lineRule="auto"/>
        <w:jc w:val="both"/>
        <w:rPr>
          <w:b/>
        </w:rPr>
      </w:pPr>
    </w:p>
    <w:p w:rsidR="00334285" w:rsidRDefault="005F73EB" w:rsidP="00781741">
      <w:pPr>
        <w:tabs>
          <w:tab w:val="left" w:pos="0"/>
        </w:tabs>
        <w:spacing w:after="0" w:line="233" w:lineRule="auto"/>
        <w:jc w:val="both"/>
        <w:rPr>
          <w:b/>
        </w:rPr>
      </w:pPr>
      <w:r>
        <w:t xml:space="preserve">Feasterville Mobil Oil Corporation </w:t>
      </w:r>
      <w:r w:rsidR="00334285">
        <w:tab/>
      </w:r>
      <w:r w:rsidR="00334285">
        <w:tab/>
      </w:r>
      <w:r w:rsidR="00334285">
        <w:tab/>
      </w:r>
      <w:r w:rsidR="00334285" w:rsidRPr="00560DC5">
        <w:t>:</w:t>
      </w:r>
    </w:p>
    <w:p w:rsidR="00334285" w:rsidRPr="00560DC5" w:rsidRDefault="00334285" w:rsidP="00781741">
      <w:pPr>
        <w:tabs>
          <w:tab w:val="left" w:pos="0"/>
        </w:tabs>
        <w:spacing w:after="0" w:line="233" w:lineRule="auto"/>
        <w:jc w:val="both"/>
      </w:pPr>
      <w:r>
        <w:rPr>
          <w:b/>
        </w:rPr>
        <w:tab/>
      </w:r>
      <w:r>
        <w:rPr>
          <w:b/>
        </w:rPr>
        <w:tab/>
      </w:r>
      <w:r>
        <w:rPr>
          <w:b/>
        </w:rPr>
        <w:tab/>
      </w:r>
      <w:r>
        <w:rPr>
          <w:b/>
        </w:rPr>
        <w:tab/>
      </w:r>
      <w:r>
        <w:rPr>
          <w:b/>
        </w:rPr>
        <w:tab/>
      </w:r>
      <w:r>
        <w:rPr>
          <w:b/>
        </w:rPr>
        <w:tab/>
      </w:r>
      <w:r w:rsidRPr="00560DC5">
        <w:t>:</w:t>
      </w:r>
    </w:p>
    <w:p w:rsidR="00334285" w:rsidRDefault="00334285" w:rsidP="00781741">
      <w:pPr>
        <w:tabs>
          <w:tab w:val="clear" w:pos="1440"/>
          <w:tab w:val="left" w:pos="-90"/>
        </w:tabs>
        <w:spacing w:after="0" w:line="233" w:lineRule="auto"/>
        <w:ind w:left="720" w:hanging="720"/>
        <w:jc w:val="both"/>
      </w:pPr>
      <w:r>
        <w:tab/>
        <w:t>v.</w:t>
      </w:r>
      <w:r>
        <w:tab/>
      </w:r>
      <w:r>
        <w:tab/>
      </w:r>
      <w:r>
        <w:tab/>
      </w:r>
      <w:r>
        <w:tab/>
      </w:r>
      <w:r>
        <w:tab/>
      </w:r>
      <w:r>
        <w:tab/>
      </w:r>
      <w:r w:rsidRPr="00560DC5">
        <w:t>:</w:t>
      </w:r>
      <w:r>
        <w:rPr>
          <w:b/>
        </w:rPr>
        <w:tab/>
      </w:r>
      <w:r>
        <w:rPr>
          <w:b/>
        </w:rPr>
        <w:tab/>
      </w:r>
      <w:r w:rsidR="005F73EB">
        <w:t>C-2014-2456918</w:t>
      </w:r>
    </w:p>
    <w:p w:rsidR="00334285" w:rsidRPr="00560DC5" w:rsidRDefault="00334285" w:rsidP="00781741">
      <w:pPr>
        <w:tabs>
          <w:tab w:val="left" w:pos="0"/>
        </w:tabs>
        <w:spacing w:after="0" w:line="233" w:lineRule="auto"/>
        <w:jc w:val="both"/>
      </w:pPr>
      <w:r>
        <w:tab/>
      </w:r>
      <w:r>
        <w:tab/>
      </w:r>
      <w:r>
        <w:tab/>
      </w:r>
      <w:r>
        <w:tab/>
      </w:r>
      <w:r>
        <w:tab/>
      </w:r>
      <w:r>
        <w:tab/>
      </w:r>
      <w:r w:rsidRPr="00560DC5">
        <w:t>:</w:t>
      </w:r>
    </w:p>
    <w:p w:rsidR="005F73EB" w:rsidRDefault="005F73EB" w:rsidP="00781741">
      <w:pPr>
        <w:tabs>
          <w:tab w:val="left" w:pos="0"/>
        </w:tabs>
        <w:spacing w:after="0" w:line="233" w:lineRule="auto"/>
        <w:jc w:val="both"/>
      </w:pPr>
      <w:r>
        <w:t>FirstEnergy Solutions Corporation</w:t>
      </w:r>
      <w:r>
        <w:tab/>
      </w:r>
      <w:r>
        <w:tab/>
      </w:r>
      <w:r>
        <w:tab/>
        <w:t>:</w:t>
      </w:r>
    </w:p>
    <w:p w:rsidR="00334285" w:rsidRDefault="00334285" w:rsidP="00781741">
      <w:pPr>
        <w:tabs>
          <w:tab w:val="left" w:pos="0"/>
        </w:tabs>
        <w:spacing w:after="0" w:line="233" w:lineRule="auto"/>
        <w:jc w:val="both"/>
      </w:pPr>
    </w:p>
    <w:p w:rsidR="00334285" w:rsidRDefault="00334285" w:rsidP="00781741">
      <w:pPr>
        <w:tabs>
          <w:tab w:val="left" w:pos="0"/>
        </w:tabs>
        <w:spacing w:after="0" w:line="233" w:lineRule="auto"/>
        <w:jc w:val="both"/>
        <w:rPr>
          <w:b/>
        </w:rPr>
      </w:pPr>
    </w:p>
    <w:p w:rsidR="00334285" w:rsidRDefault="00334285" w:rsidP="00781741">
      <w:pPr>
        <w:tabs>
          <w:tab w:val="left" w:pos="0"/>
        </w:tabs>
        <w:spacing w:after="0" w:line="233" w:lineRule="auto"/>
        <w:jc w:val="both"/>
        <w:rPr>
          <w:b/>
        </w:rPr>
      </w:pPr>
    </w:p>
    <w:p w:rsidR="00FD0EFE" w:rsidRPr="00F97A4C" w:rsidRDefault="00FD0EFE" w:rsidP="00781741">
      <w:pPr>
        <w:spacing w:after="0" w:line="240" w:lineRule="auto"/>
        <w:jc w:val="center"/>
        <w:rPr>
          <w:b/>
        </w:rPr>
      </w:pPr>
      <w:r w:rsidRPr="00F97A4C">
        <w:rPr>
          <w:b/>
        </w:rPr>
        <w:t>INITIAL DECISION</w:t>
      </w:r>
    </w:p>
    <w:p w:rsidR="00FD0EFE" w:rsidRPr="00A3520D" w:rsidRDefault="00FD0EFE" w:rsidP="00781741">
      <w:pPr>
        <w:spacing w:after="0" w:line="240" w:lineRule="auto"/>
        <w:jc w:val="center"/>
        <w:rPr>
          <w:b/>
          <w:u w:val="single"/>
        </w:rPr>
      </w:pPr>
      <w:r w:rsidRPr="00A3520D">
        <w:rPr>
          <w:b/>
          <w:u w:val="single"/>
        </w:rPr>
        <w:t xml:space="preserve">GRANTING </w:t>
      </w:r>
      <w:r w:rsidR="00A3520D" w:rsidRPr="00A3520D">
        <w:rPr>
          <w:b/>
          <w:u w:val="single"/>
        </w:rPr>
        <w:t>MOTION FOR JUDGEMENT ON THE PLEADINGS</w:t>
      </w:r>
    </w:p>
    <w:p w:rsidR="00C12F46" w:rsidRDefault="00C12F46" w:rsidP="00781741">
      <w:pPr>
        <w:spacing w:after="0" w:line="240" w:lineRule="auto"/>
        <w:jc w:val="center"/>
      </w:pPr>
    </w:p>
    <w:p w:rsidR="00C12F46" w:rsidRDefault="00C12F46" w:rsidP="00781741">
      <w:pPr>
        <w:spacing w:after="0" w:line="240" w:lineRule="auto"/>
        <w:jc w:val="center"/>
      </w:pPr>
    </w:p>
    <w:p w:rsidR="00FD0EFE" w:rsidRDefault="00FD0EFE" w:rsidP="00781741">
      <w:pPr>
        <w:spacing w:after="0" w:line="240" w:lineRule="auto"/>
        <w:jc w:val="center"/>
      </w:pPr>
      <w:r>
        <w:t>Before</w:t>
      </w:r>
    </w:p>
    <w:p w:rsidR="00FD0EFE" w:rsidRDefault="00FD0EFE" w:rsidP="00781741">
      <w:pPr>
        <w:spacing w:after="0" w:line="240" w:lineRule="auto"/>
        <w:jc w:val="center"/>
      </w:pPr>
      <w:r>
        <w:t>Mary D. Long</w:t>
      </w:r>
    </w:p>
    <w:p w:rsidR="00FD0EFE" w:rsidRDefault="00FD0EFE" w:rsidP="00781741">
      <w:pPr>
        <w:spacing w:after="0" w:line="240" w:lineRule="auto"/>
        <w:jc w:val="center"/>
      </w:pPr>
      <w:r>
        <w:t>Administrative Law Judge</w:t>
      </w:r>
    </w:p>
    <w:p w:rsidR="00C12F46" w:rsidRDefault="00C12F46" w:rsidP="00781741">
      <w:pPr>
        <w:spacing w:after="0"/>
        <w:jc w:val="center"/>
      </w:pPr>
    </w:p>
    <w:p w:rsidR="00FD0EFE" w:rsidRDefault="00F020F9" w:rsidP="00781741">
      <w:pPr>
        <w:pStyle w:val="ParaTab1"/>
        <w:spacing w:line="360" w:lineRule="auto"/>
        <w:rPr>
          <w:rFonts w:ascii="Times New Roman" w:hAnsi="Times New Roman" w:cs="Times New Roman"/>
        </w:rPr>
      </w:pPr>
      <w:r>
        <w:rPr>
          <w:rFonts w:ascii="Times New Roman" w:hAnsi="Times New Roman" w:cs="Times New Roman"/>
        </w:rPr>
        <w:t>The motion for judgment on the pleadings by an electric generation supplier to dismiss the complaint of a small business customer is granted where there are no material facts in dispute which support the customer’s claim that the supplier was charging the incorrect rate.</w:t>
      </w:r>
    </w:p>
    <w:p w:rsidR="00FD0EFE" w:rsidRDefault="00FD0EFE" w:rsidP="00781741">
      <w:pPr>
        <w:pStyle w:val="ParaTab1"/>
        <w:spacing w:line="360" w:lineRule="auto"/>
        <w:ind w:firstLine="0"/>
        <w:rPr>
          <w:rFonts w:ascii="Times New Roman" w:hAnsi="Times New Roman" w:cs="Times New Roman"/>
        </w:rPr>
      </w:pPr>
    </w:p>
    <w:p w:rsidR="00FD0EFE" w:rsidRPr="00F61252" w:rsidRDefault="00FD0EFE" w:rsidP="00781741">
      <w:pPr>
        <w:pStyle w:val="ParaTab1"/>
        <w:spacing w:line="360" w:lineRule="auto"/>
        <w:ind w:firstLine="0"/>
        <w:jc w:val="center"/>
        <w:rPr>
          <w:rFonts w:ascii="Times New Roman" w:hAnsi="Times New Roman" w:cs="Times New Roman"/>
          <w:u w:val="single"/>
        </w:rPr>
      </w:pPr>
      <w:r w:rsidRPr="00F61252">
        <w:rPr>
          <w:rFonts w:ascii="Times New Roman" w:hAnsi="Times New Roman" w:cs="Times New Roman"/>
          <w:u w:val="single"/>
        </w:rPr>
        <w:t>PROCEDURAL HISTORY</w:t>
      </w:r>
    </w:p>
    <w:p w:rsidR="00FD0EFE" w:rsidRDefault="00FD0EFE" w:rsidP="00BD6977">
      <w:pPr>
        <w:pStyle w:val="ParaTab1"/>
        <w:tabs>
          <w:tab w:val="left" w:pos="7920"/>
        </w:tabs>
        <w:spacing w:line="360" w:lineRule="auto"/>
        <w:ind w:firstLine="0"/>
        <w:rPr>
          <w:rFonts w:ascii="Times New Roman" w:hAnsi="Times New Roman" w:cs="Times New Roman"/>
        </w:rPr>
      </w:pPr>
    </w:p>
    <w:p w:rsidR="00A767C4" w:rsidRDefault="001100F6" w:rsidP="00781741">
      <w:pPr>
        <w:pStyle w:val="ParaTab1"/>
        <w:spacing w:line="360" w:lineRule="auto"/>
        <w:ind w:firstLine="0"/>
        <w:rPr>
          <w:rFonts w:ascii="Times New Roman" w:hAnsi="Times New Roman" w:cs="Times New Roman"/>
        </w:rPr>
      </w:pPr>
      <w:r>
        <w:rPr>
          <w:rFonts w:ascii="Times New Roman" w:hAnsi="Times New Roman" w:cs="Times New Roman"/>
        </w:rPr>
        <w:tab/>
      </w:r>
      <w:r w:rsidR="00C12F46">
        <w:rPr>
          <w:rFonts w:ascii="Times New Roman" w:hAnsi="Times New Roman" w:cs="Times New Roman"/>
        </w:rPr>
        <w:tab/>
      </w:r>
      <w:r w:rsidR="00A767C4">
        <w:rPr>
          <w:rFonts w:ascii="Times New Roman" w:hAnsi="Times New Roman" w:cs="Times New Roman"/>
        </w:rPr>
        <w:t>On November 19, 20</w:t>
      </w:r>
      <w:r w:rsidR="00350432">
        <w:rPr>
          <w:rFonts w:ascii="Times New Roman" w:hAnsi="Times New Roman" w:cs="Times New Roman"/>
        </w:rPr>
        <w:t>14, Feasterville Mobil Oil Corporation</w:t>
      </w:r>
      <w:r w:rsidR="00A767C4">
        <w:rPr>
          <w:rFonts w:ascii="Times New Roman" w:hAnsi="Times New Roman" w:cs="Times New Roman"/>
        </w:rPr>
        <w:t xml:space="preserve"> (Complainant) filed a formal complaint naming First</w:t>
      </w:r>
      <w:r w:rsidR="00350432">
        <w:rPr>
          <w:rFonts w:ascii="Times New Roman" w:hAnsi="Times New Roman" w:cs="Times New Roman"/>
        </w:rPr>
        <w:t xml:space="preserve">Energy Solutions </w:t>
      </w:r>
      <w:r w:rsidR="00340FC4">
        <w:rPr>
          <w:rFonts w:ascii="Times New Roman" w:hAnsi="Times New Roman" w:cs="Times New Roman"/>
        </w:rPr>
        <w:t>Corporation (</w:t>
      </w:r>
      <w:r w:rsidR="00A767C4">
        <w:rPr>
          <w:rFonts w:ascii="Times New Roman" w:hAnsi="Times New Roman" w:cs="Times New Roman"/>
        </w:rPr>
        <w:t>FE</w:t>
      </w:r>
      <w:r w:rsidR="00A77A61">
        <w:rPr>
          <w:rFonts w:ascii="Times New Roman" w:hAnsi="Times New Roman" w:cs="Times New Roman"/>
        </w:rPr>
        <w:t>S) as the utility about which it</w:t>
      </w:r>
      <w:r w:rsidR="00A767C4">
        <w:rPr>
          <w:rFonts w:ascii="Times New Roman" w:hAnsi="Times New Roman" w:cs="Times New Roman"/>
        </w:rPr>
        <w:t xml:space="preserve"> was complaining.</w:t>
      </w:r>
      <w:r w:rsidR="00A3520D">
        <w:rPr>
          <w:rStyle w:val="FootnoteReference"/>
          <w:rFonts w:cs="Times New Roman"/>
        </w:rPr>
        <w:footnoteReference w:id="1"/>
      </w:r>
      <w:r w:rsidR="00A767C4">
        <w:rPr>
          <w:rFonts w:ascii="Times New Roman" w:hAnsi="Times New Roman" w:cs="Times New Roman"/>
        </w:rPr>
        <w:t xml:space="preserve">  </w:t>
      </w:r>
      <w:r w:rsidR="00A3520D">
        <w:rPr>
          <w:rFonts w:ascii="Times New Roman" w:hAnsi="Times New Roman" w:cs="Times New Roman"/>
        </w:rPr>
        <w:t>The Complainant</w:t>
      </w:r>
      <w:r w:rsidR="00A767C4">
        <w:rPr>
          <w:rFonts w:ascii="Times New Roman" w:hAnsi="Times New Roman" w:cs="Times New Roman"/>
        </w:rPr>
        <w:t xml:space="preserve"> </w:t>
      </w:r>
      <w:r w:rsidR="00A3520D">
        <w:rPr>
          <w:rFonts w:ascii="Times New Roman" w:hAnsi="Times New Roman" w:cs="Times New Roman"/>
        </w:rPr>
        <w:t>alleged</w:t>
      </w:r>
      <w:r w:rsidR="00A767C4">
        <w:rPr>
          <w:rFonts w:ascii="Times New Roman" w:hAnsi="Times New Roman" w:cs="Times New Roman"/>
        </w:rPr>
        <w:t xml:space="preserve"> that </w:t>
      </w:r>
      <w:r w:rsidR="00650028">
        <w:rPr>
          <w:rFonts w:ascii="Times New Roman" w:hAnsi="Times New Roman" w:cs="Times New Roman"/>
        </w:rPr>
        <w:t xml:space="preserve">it executed a </w:t>
      </w:r>
      <w:r w:rsidR="00A767C4">
        <w:rPr>
          <w:rFonts w:ascii="Times New Roman" w:hAnsi="Times New Roman" w:cs="Times New Roman"/>
        </w:rPr>
        <w:t>supply agreement with FES for electricity supply in 2012 at a rate of 5 ½ cents per kWh for 24 months:</w:t>
      </w:r>
    </w:p>
    <w:p w:rsidR="003447F6" w:rsidRDefault="003447F6" w:rsidP="00781741">
      <w:pPr>
        <w:pStyle w:val="ParaTab1"/>
        <w:ind w:left="1440" w:right="1440" w:firstLine="0"/>
        <w:rPr>
          <w:rFonts w:ascii="Times New Roman" w:hAnsi="Times New Roman" w:cs="Times New Roman"/>
        </w:rPr>
      </w:pPr>
    </w:p>
    <w:p w:rsidR="00FD0EFE" w:rsidRDefault="00A767C4" w:rsidP="00781741">
      <w:pPr>
        <w:pStyle w:val="ParaTab1"/>
        <w:ind w:left="1440" w:right="1440" w:firstLine="0"/>
        <w:rPr>
          <w:rFonts w:ascii="Times New Roman" w:hAnsi="Times New Roman" w:cs="Times New Roman"/>
        </w:rPr>
      </w:pPr>
      <w:r>
        <w:rPr>
          <w:rFonts w:ascii="Times New Roman" w:hAnsi="Times New Roman" w:cs="Times New Roman"/>
        </w:rPr>
        <w:t xml:space="preserve">But they started billing at the rate of 7.7 cents per kw.  We requested a copy of our agreement.  On April 18, 2013 they mailed a letter stating 5 ½ kwh rate. </w:t>
      </w:r>
      <w:r w:rsidR="00350432">
        <w:rPr>
          <w:rFonts w:ascii="Times New Roman" w:hAnsi="Times New Roman" w:cs="Times New Roman"/>
        </w:rPr>
        <w:t xml:space="preserve"> </w:t>
      </w:r>
      <w:r>
        <w:rPr>
          <w:rFonts w:ascii="Times New Roman" w:hAnsi="Times New Roman" w:cs="Times New Roman"/>
        </w:rPr>
        <w:t>Numerous calls to their customer service department resulted with no resolution</w:t>
      </w:r>
      <w:r w:rsidR="00C73A01">
        <w:rPr>
          <w:rFonts w:ascii="Times New Roman" w:hAnsi="Times New Roman" w:cs="Times New Roman"/>
        </w:rPr>
        <w:t xml:space="preserve"> . . . </w:t>
      </w:r>
      <w:r>
        <w:rPr>
          <w:rFonts w:ascii="Times New Roman" w:hAnsi="Times New Roman" w:cs="Times New Roman"/>
        </w:rPr>
        <w:t xml:space="preserve">.  </w:t>
      </w:r>
      <w:r w:rsidR="00C73A01">
        <w:rPr>
          <w:rStyle w:val="FootnoteReference"/>
          <w:rFonts w:cs="Times New Roman"/>
        </w:rPr>
        <w:footnoteReference w:id="2"/>
      </w:r>
    </w:p>
    <w:p w:rsidR="00C12F46" w:rsidRDefault="00C73A01" w:rsidP="00781741">
      <w:pPr>
        <w:spacing w:after="0"/>
      </w:pPr>
      <w:r>
        <w:lastRenderedPageBreak/>
        <w:tab/>
        <w:t>FES filed an answer and new matter to</w:t>
      </w:r>
      <w:r w:rsidR="00CB3079">
        <w:t xml:space="preserve"> the complaint on December 30, 2</w:t>
      </w:r>
      <w:r>
        <w:t>014.  The Complainant filed a response to the answer and new matter on January 21, 2015.</w:t>
      </w:r>
      <w:r w:rsidR="00A3520D">
        <w:t xml:space="preserve">  </w:t>
      </w:r>
    </w:p>
    <w:p w:rsidR="00A3520D" w:rsidRDefault="00A3520D" w:rsidP="00781741">
      <w:pPr>
        <w:spacing w:after="0"/>
      </w:pPr>
    </w:p>
    <w:p w:rsidR="00C73A01" w:rsidRDefault="00A3520D" w:rsidP="00781741">
      <w:pPr>
        <w:spacing w:after="0"/>
      </w:pPr>
      <w:r>
        <w:tab/>
        <w:t>FES filed a motion for judgement on the pleadings on May 22, 2015.  The Complainant did not file a timely response to that motion.  This matter is now ripe for decision.</w:t>
      </w:r>
    </w:p>
    <w:p w:rsidR="006E0D8D" w:rsidRDefault="006E0D8D" w:rsidP="00781741">
      <w:pPr>
        <w:spacing w:after="0"/>
      </w:pPr>
    </w:p>
    <w:p w:rsidR="00806FEB" w:rsidRDefault="00806FEB" w:rsidP="00781741">
      <w:pPr>
        <w:spacing w:after="0"/>
        <w:jc w:val="center"/>
        <w:rPr>
          <w:u w:val="single"/>
        </w:rPr>
      </w:pPr>
      <w:r w:rsidRPr="006813DA">
        <w:rPr>
          <w:u w:val="single"/>
        </w:rPr>
        <w:t>FINDINGS OF FACT</w:t>
      </w:r>
    </w:p>
    <w:p w:rsidR="006E0D8D" w:rsidRPr="006813DA" w:rsidRDefault="006E0D8D" w:rsidP="00781741">
      <w:pPr>
        <w:spacing w:after="0"/>
        <w:jc w:val="center"/>
        <w:rPr>
          <w:u w:val="single"/>
        </w:rPr>
      </w:pPr>
    </w:p>
    <w:p w:rsidR="00806FEB" w:rsidRDefault="00806FEB" w:rsidP="00781741">
      <w:pPr>
        <w:spacing w:after="0"/>
      </w:pPr>
      <w:r>
        <w:tab/>
        <w:t>1.</w:t>
      </w:r>
      <w:r>
        <w:tab/>
        <w:t>The Complainant is Feasterville Mobile Oil Corporation.</w:t>
      </w:r>
    </w:p>
    <w:p w:rsidR="006E0D8D" w:rsidRDefault="006E0D8D" w:rsidP="00781741">
      <w:pPr>
        <w:spacing w:after="0"/>
      </w:pPr>
    </w:p>
    <w:p w:rsidR="00806FEB" w:rsidRDefault="005041FC" w:rsidP="00781741">
      <w:pPr>
        <w:spacing w:after="0"/>
      </w:pPr>
      <w:r>
        <w:tab/>
        <w:t xml:space="preserve">2. </w:t>
      </w:r>
      <w:r>
        <w:tab/>
        <w:t>The Respondent is First</w:t>
      </w:r>
      <w:r w:rsidR="00806FEB">
        <w:t>Energy Solutions Corp.</w:t>
      </w:r>
      <w:r w:rsidR="006E0D8D">
        <w:t xml:space="preserve"> </w:t>
      </w:r>
      <w:r w:rsidR="00806FEB">
        <w:t>(FES), an electric generation supplier.</w:t>
      </w:r>
    </w:p>
    <w:p w:rsidR="006E0D8D" w:rsidRDefault="006E0D8D" w:rsidP="00781741">
      <w:pPr>
        <w:spacing w:after="0"/>
      </w:pPr>
    </w:p>
    <w:p w:rsidR="00806FEB" w:rsidRDefault="00806FEB" w:rsidP="00781741">
      <w:pPr>
        <w:spacing w:after="0"/>
      </w:pPr>
      <w:r>
        <w:tab/>
        <w:t>3.</w:t>
      </w:r>
      <w:r>
        <w:tab/>
        <w:t>FES filed a motion for judgment on the pleadings on May 22, 2015.</w:t>
      </w:r>
    </w:p>
    <w:p w:rsidR="006E0D8D" w:rsidRDefault="006E0D8D" w:rsidP="00781741">
      <w:pPr>
        <w:spacing w:after="0"/>
      </w:pPr>
    </w:p>
    <w:p w:rsidR="00806FEB" w:rsidRDefault="00806FEB" w:rsidP="00781741">
      <w:pPr>
        <w:spacing w:after="0"/>
      </w:pPr>
      <w:r>
        <w:tab/>
        <w:t>4.</w:t>
      </w:r>
      <w:r>
        <w:tab/>
        <w:t xml:space="preserve">The Complainant did not file a </w:t>
      </w:r>
      <w:r w:rsidR="006D4C4B">
        <w:t xml:space="preserve">timely </w:t>
      </w:r>
      <w:r>
        <w:t>response to the motion for judgment on the pleadings.</w:t>
      </w:r>
    </w:p>
    <w:p w:rsidR="00FD0EFE" w:rsidRDefault="00FD0EFE" w:rsidP="00781741">
      <w:pPr>
        <w:pStyle w:val="ParaTab1"/>
        <w:spacing w:line="360" w:lineRule="auto"/>
        <w:ind w:firstLine="0"/>
        <w:rPr>
          <w:rFonts w:ascii="Times New Roman" w:hAnsi="Times New Roman" w:cs="Times New Roman"/>
        </w:rPr>
      </w:pPr>
    </w:p>
    <w:p w:rsidR="00FD0EFE" w:rsidRDefault="00FD0EFE" w:rsidP="00781741">
      <w:pPr>
        <w:pStyle w:val="ParaTab1"/>
        <w:spacing w:line="360" w:lineRule="auto"/>
        <w:ind w:firstLine="0"/>
        <w:jc w:val="center"/>
        <w:rPr>
          <w:rFonts w:ascii="Times New Roman" w:hAnsi="Times New Roman" w:cs="Times New Roman"/>
          <w:u w:val="single"/>
        </w:rPr>
      </w:pPr>
      <w:r w:rsidRPr="00FD0EFE">
        <w:rPr>
          <w:rFonts w:ascii="Times New Roman" w:hAnsi="Times New Roman" w:cs="Times New Roman"/>
          <w:u w:val="single"/>
        </w:rPr>
        <w:t>DISCUSSION</w:t>
      </w:r>
    </w:p>
    <w:p w:rsidR="003A437A" w:rsidRPr="00FD0EFE" w:rsidRDefault="003A437A" w:rsidP="00781741">
      <w:pPr>
        <w:pStyle w:val="ParaTab1"/>
        <w:spacing w:line="360" w:lineRule="auto"/>
        <w:ind w:firstLine="0"/>
        <w:jc w:val="center"/>
        <w:rPr>
          <w:rFonts w:ascii="Times New Roman" w:hAnsi="Times New Roman" w:cs="Times New Roman"/>
          <w:u w:val="single"/>
        </w:rPr>
      </w:pPr>
    </w:p>
    <w:p w:rsidR="00F61252" w:rsidRDefault="00FD0EFE" w:rsidP="00781741">
      <w:pPr>
        <w:spacing w:after="0"/>
      </w:pPr>
      <w:r>
        <w:tab/>
      </w:r>
      <w:r w:rsidR="006F03FE" w:rsidRPr="006F03FE">
        <w:t>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w:t>
      </w:r>
      <w:r w:rsidR="006F03FE">
        <w:rPr>
          <w:rStyle w:val="FootnoteReference"/>
        </w:rPr>
        <w:footnoteReference w:id="3"/>
      </w:r>
      <w:r w:rsidR="006F03FE" w:rsidRPr="006F03FE">
        <w:t xml:space="preserve">  Only in a case where the moving party’s right to prevail is so clear that a trial would be a fruitless exercise should judgment on the pleadings be granted.</w:t>
      </w:r>
      <w:r w:rsidR="006F03FE">
        <w:rPr>
          <w:rStyle w:val="FootnoteReference"/>
        </w:rPr>
        <w:footnoteReference w:id="4"/>
      </w:r>
      <w:r w:rsidR="006F03FE" w:rsidRPr="006F03FE">
        <w:t xml:space="preserve">  In ruling on a motion for judgment on the pleadings, the tribunal must consider as true all well-pleaded averments of the party against whom the motion is directed and </w:t>
      </w:r>
      <w:r w:rsidR="006F03FE" w:rsidRPr="006F03FE">
        <w:lastRenderedPageBreak/>
        <w:t>consider against</w:t>
      </w:r>
      <w:r w:rsidR="00D12465">
        <w:t xml:space="preserve"> it</w:t>
      </w:r>
      <w:r w:rsidR="006F03FE" w:rsidRPr="006F03FE">
        <w:t xml:space="preserve"> only those facts </w:t>
      </w:r>
      <w:r w:rsidR="00D12465">
        <w:t>it</w:t>
      </w:r>
      <w:r w:rsidR="006F03FE" w:rsidRPr="006F03FE">
        <w:t xml:space="preserve"> specifically admits.  Judgment on the pleadings should be entered only when the case is clear and free from doubt.</w:t>
      </w:r>
      <w:r w:rsidR="006F03FE">
        <w:rPr>
          <w:rStyle w:val="FootnoteReference"/>
        </w:rPr>
        <w:footnoteReference w:id="5"/>
      </w:r>
      <w:r w:rsidR="006F03FE" w:rsidRPr="006F03FE">
        <w:t xml:space="preserve">  </w:t>
      </w:r>
    </w:p>
    <w:p w:rsidR="006E0D8D" w:rsidRDefault="006E0D8D" w:rsidP="00781741">
      <w:pPr>
        <w:spacing w:after="0"/>
      </w:pPr>
    </w:p>
    <w:p w:rsidR="006F03FE" w:rsidRDefault="006F03FE" w:rsidP="00781741">
      <w:pPr>
        <w:spacing w:after="0"/>
      </w:pPr>
      <w:r>
        <w:tab/>
        <w:t xml:space="preserve">I will view the factual averments in the complaint in this case as true for purposes of disposing of the motion for judgment on the pleadings.  </w:t>
      </w:r>
    </w:p>
    <w:p w:rsidR="006E0D8D" w:rsidRDefault="006E0D8D" w:rsidP="00781741">
      <w:pPr>
        <w:spacing w:after="0"/>
      </w:pPr>
    </w:p>
    <w:p w:rsidR="006F03FE" w:rsidRDefault="006F03FE" w:rsidP="00781741">
      <w:pPr>
        <w:spacing w:after="0"/>
      </w:pPr>
      <w:r>
        <w:tab/>
        <w:t xml:space="preserve">In addition to the facts alleged in the complaint, I must consider the facts alleged in FES’ new matter since the Complainant has admitted those facts by failing </w:t>
      </w:r>
      <w:r w:rsidR="00D6389E">
        <w:t xml:space="preserve">to </w:t>
      </w:r>
      <w:r>
        <w:t xml:space="preserve">file </w:t>
      </w:r>
      <w:r w:rsidR="00D6389E">
        <w:t xml:space="preserve">a </w:t>
      </w:r>
      <w:r w:rsidR="006E0D8D">
        <w:t>sufficient answer to</w:t>
      </w:r>
      <w:r w:rsidR="005041FC">
        <w:t xml:space="preserve"> the R</w:t>
      </w:r>
      <w:r>
        <w:t>espondent’s new matter.  Although the Complainant filed a document labelled as a “response” to the new matter, it simply stated:  “Complainant will rely upon the attached Terms and Conditions provided to it by FirstEnergy Solutions, and Complainants testimony.”</w:t>
      </w:r>
      <w:r>
        <w:rPr>
          <w:rStyle w:val="FootnoteReference"/>
        </w:rPr>
        <w:footnoteReference w:id="6"/>
      </w:r>
      <w:r w:rsidR="0097566D">
        <w:t xml:space="preserve">  The response does not specifically admit or deny the enumerated factual averments made by FES in the new matter.  Therefore, the response is defective and will not be considered.</w:t>
      </w:r>
    </w:p>
    <w:p w:rsidR="006E0D8D" w:rsidRDefault="006E0D8D" w:rsidP="00781741">
      <w:pPr>
        <w:spacing w:after="0"/>
      </w:pPr>
    </w:p>
    <w:p w:rsidR="006F03FE" w:rsidRDefault="0097566D" w:rsidP="00781741">
      <w:pPr>
        <w:spacing w:after="0"/>
      </w:pPr>
      <w:r>
        <w:tab/>
      </w:r>
      <w:r w:rsidR="006F03FE">
        <w:t>The Commission’s regulation at 52 Pa.Code § 5.63(b) states that a party failing to file a timely reply to new matter may be deemed in default and the facts stated in the new matter deemed admitted.  Since the Complainant has not filed a</w:t>
      </w:r>
      <w:r w:rsidR="002E04BA">
        <w:t xml:space="preserve"> </w:t>
      </w:r>
      <w:r>
        <w:t>sufficient</w:t>
      </w:r>
      <w:r w:rsidR="006F03FE">
        <w:t xml:space="preserve"> answer to </w:t>
      </w:r>
      <w:r>
        <w:t>FES’</w:t>
      </w:r>
      <w:r w:rsidR="006F03FE">
        <w:t xml:space="preserve"> new matter denying its factual allegations, I will deem the allegations in the new matter admitted, pursuant to 52 Pa.Code § 5.63(b).</w:t>
      </w:r>
    </w:p>
    <w:p w:rsidR="006E0D8D" w:rsidRDefault="006E0D8D" w:rsidP="00781741">
      <w:pPr>
        <w:spacing w:after="0"/>
      </w:pPr>
    </w:p>
    <w:p w:rsidR="00F151AE" w:rsidRDefault="00F151AE" w:rsidP="00781741">
      <w:pPr>
        <w:pStyle w:val="ParaTab1"/>
        <w:spacing w:line="360" w:lineRule="auto"/>
        <w:ind w:firstLine="0"/>
        <w:rPr>
          <w:rFonts w:ascii="Times New Roman" w:hAnsi="Times New Roman" w:cs="Times New Roman"/>
        </w:rPr>
      </w:pPr>
      <w:r>
        <w:tab/>
      </w:r>
      <w:r w:rsidR="006E0D8D">
        <w:tab/>
      </w:r>
      <w:r>
        <w:rPr>
          <w:rFonts w:ascii="Times New Roman" w:hAnsi="Times New Roman" w:cs="Times New Roman"/>
        </w:rPr>
        <w:t>The Complainant alleged that it executed a supply agreement with FES for electricity supply in 2012 at a rate of 5 ½ cents per kWh for 24 months:</w:t>
      </w:r>
    </w:p>
    <w:p w:rsidR="00F151AE" w:rsidRDefault="00F151AE" w:rsidP="00781741">
      <w:pPr>
        <w:pStyle w:val="ParaTab1"/>
        <w:ind w:left="1440" w:right="1440" w:firstLine="0"/>
        <w:rPr>
          <w:rFonts w:ascii="Times New Roman" w:hAnsi="Times New Roman" w:cs="Times New Roman"/>
        </w:rPr>
      </w:pPr>
    </w:p>
    <w:p w:rsidR="00F151AE" w:rsidRDefault="00F151AE" w:rsidP="00781741">
      <w:pPr>
        <w:pStyle w:val="ParaTab1"/>
        <w:ind w:left="1440" w:right="1440" w:firstLine="0"/>
        <w:rPr>
          <w:rFonts w:ascii="Times New Roman" w:hAnsi="Times New Roman" w:cs="Times New Roman"/>
        </w:rPr>
      </w:pPr>
      <w:r>
        <w:rPr>
          <w:rFonts w:ascii="Times New Roman" w:hAnsi="Times New Roman" w:cs="Times New Roman"/>
        </w:rPr>
        <w:t xml:space="preserve">But they started billing at the rate of 7.7 cents per kw.  We requested a copy of our agreement.  On April 18, 2013 they mailed </w:t>
      </w:r>
      <w:r>
        <w:rPr>
          <w:rFonts w:ascii="Times New Roman" w:hAnsi="Times New Roman" w:cs="Times New Roman"/>
        </w:rPr>
        <w:lastRenderedPageBreak/>
        <w:t xml:space="preserve">a letter stating 5 ½ kwh rate.  Numerous calls to their customer service department resulted with no resolution . . . .  </w:t>
      </w:r>
      <w:r>
        <w:rPr>
          <w:rStyle w:val="FootnoteReference"/>
          <w:rFonts w:cs="Times New Roman"/>
        </w:rPr>
        <w:footnoteReference w:id="7"/>
      </w:r>
    </w:p>
    <w:p w:rsidR="00F151AE" w:rsidRDefault="00F151AE" w:rsidP="006E0D8D">
      <w:pPr>
        <w:pStyle w:val="ParaTab1"/>
        <w:spacing w:line="360" w:lineRule="auto"/>
        <w:ind w:left="1440" w:right="1440" w:firstLine="0"/>
        <w:rPr>
          <w:rFonts w:ascii="Times New Roman" w:hAnsi="Times New Roman" w:cs="Times New Roman"/>
        </w:rPr>
      </w:pPr>
    </w:p>
    <w:p w:rsidR="001257BF" w:rsidRDefault="00F151AE" w:rsidP="00781741">
      <w:pPr>
        <w:spacing w:after="0"/>
      </w:pPr>
      <w:r>
        <w:tab/>
        <w:t>FES admits that the Complainant executed a supply agreement in 2012, but denies that the rate was 5 ½ cents per kWh.</w:t>
      </w:r>
      <w:r w:rsidR="006E0D8D">
        <w:t xml:space="preserve">  </w:t>
      </w:r>
      <w:r>
        <w:t xml:space="preserve">Rather, it alleges that the agreed </w:t>
      </w:r>
      <w:r w:rsidR="00367779">
        <w:t xml:space="preserve">upon </w:t>
      </w:r>
      <w:r>
        <w:t xml:space="preserve">rate was 7.7 kWh.  In support it attached a “Small </w:t>
      </w:r>
      <w:r w:rsidR="00F739BA">
        <w:t>Commercial Disclosure Statement</w:t>
      </w:r>
      <w:r>
        <w:t>”</w:t>
      </w:r>
      <w:r w:rsidR="00F739BA">
        <w:t xml:space="preserve"> which applies to customers in PECO’s service territory.</w:t>
      </w:r>
      <w:r>
        <w:t xml:space="preserve">  FES further alleges that</w:t>
      </w:r>
      <w:r w:rsidR="00F739BA">
        <w:t xml:space="preserve"> the Complainant contact</w:t>
      </w:r>
      <w:r w:rsidR="001120E6">
        <w:t xml:space="preserve">ed FES customer service in 2013.  The </w:t>
      </w:r>
      <w:r w:rsidR="00A00632">
        <w:t>C</w:t>
      </w:r>
      <w:r w:rsidR="001120E6">
        <w:t xml:space="preserve">omplainant stated that </w:t>
      </w:r>
      <w:r w:rsidR="00720881">
        <w:t>it</w:t>
      </w:r>
      <w:r w:rsidR="00F739BA">
        <w:t xml:space="preserve"> had misplaced the original disclosure statement and </w:t>
      </w:r>
      <w:r w:rsidR="001120E6">
        <w:t>requested</w:t>
      </w:r>
      <w:r w:rsidR="00F739BA">
        <w:t xml:space="preserve"> another copy.  As a result of this conversation, the</w:t>
      </w:r>
      <w:r>
        <w:t xml:space="preserve"> FES </w:t>
      </w:r>
      <w:r w:rsidR="00F739BA">
        <w:t xml:space="preserve">customer service representative mistakenly sent the Complainant </w:t>
      </w:r>
      <w:r>
        <w:t>an incorrect copy of a disclosure statement.  The statement sent by FES was for service territory in Ohio and not service territory in Pennsylvania.</w:t>
      </w:r>
      <w:r w:rsidR="0020064D">
        <w:t xml:space="preserve"> </w:t>
      </w:r>
      <w:r>
        <w:t xml:space="preserve"> </w:t>
      </w:r>
      <w:r w:rsidR="00F739BA">
        <w:t>FES states that following a further conversation with the Complainant in February 2014, FES customer service explained the mistake to the Complainant and the correct disclosure was sent.  However, t</w:t>
      </w:r>
      <w:r>
        <w:t>he Ohio disclosure statement was attached to the complaint</w:t>
      </w:r>
      <w:r w:rsidR="00F739BA">
        <w:t xml:space="preserve"> as the sole basis for the allegation that FES was charging the Complainant the incorrect rate</w:t>
      </w:r>
      <w:r>
        <w:t>.</w:t>
      </w:r>
      <w:r>
        <w:rPr>
          <w:rStyle w:val="FootnoteReference"/>
        </w:rPr>
        <w:footnoteReference w:id="8"/>
      </w:r>
      <w:r w:rsidR="0021283D">
        <w:t xml:space="preserve"> </w:t>
      </w:r>
    </w:p>
    <w:p w:rsidR="0021283D" w:rsidRDefault="0021283D" w:rsidP="00781741">
      <w:pPr>
        <w:spacing w:after="0"/>
      </w:pPr>
      <w:r>
        <w:t xml:space="preserve"> </w:t>
      </w:r>
    </w:p>
    <w:p w:rsidR="00F151AE" w:rsidRDefault="0021283D" w:rsidP="00781741">
      <w:pPr>
        <w:spacing w:after="0"/>
      </w:pPr>
      <w:r>
        <w:tab/>
        <w:t>As explained above, the Complainant does not deny or otherwise dispute FES’ version of the circumstances underlying the miscommunication about the correct rate at which the Complainant was billed.</w:t>
      </w:r>
      <w:r w:rsidR="00BE7919">
        <w:t xml:space="preserve">  There is no allegation that the Complainant was not provided with the correct disclosure statement when the Complainant</w:t>
      </w:r>
      <w:r w:rsidR="005A5305">
        <w:t xml:space="preserve"> signed up for service in 2012, or that </w:t>
      </w:r>
      <w:r w:rsidR="00A00632">
        <w:t>it</w:t>
      </w:r>
      <w:r w:rsidR="005A5305">
        <w:t xml:space="preserve"> was ever explicitly told by FES that the terms of the Ohio disclosure were the terms of his agreement with FES.</w:t>
      </w:r>
      <w:r w:rsidR="00475B3F">
        <w:t xml:space="preserve">  Therefore, there are no material facts in dispute.  </w:t>
      </w:r>
      <w:r w:rsidR="00475B3F" w:rsidRPr="001B7605">
        <w:rPr>
          <w:szCs w:val="24"/>
        </w:rPr>
        <w:t>The Commission may dismiss a complaint without a hearing if a hearing in this matter is not necessary or in the public interest.</w:t>
      </w:r>
      <w:r w:rsidR="00475B3F">
        <w:rPr>
          <w:rStyle w:val="FootnoteReference"/>
          <w:szCs w:val="24"/>
        </w:rPr>
        <w:footnoteReference w:id="9"/>
      </w:r>
      <w:r w:rsidR="00475B3F">
        <w:rPr>
          <w:szCs w:val="24"/>
        </w:rPr>
        <w:t xml:space="preserve">  Therefore, the motion for judgement on the pleadings by FES will be granted and the complaint dismissed.</w:t>
      </w:r>
    </w:p>
    <w:p w:rsidR="001A60A0" w:rsidRDefault="001A60A0" w:rsidP="00781741">
      <w:pPr>
        <w:spacing w:after="0"/>
      </w:pPr>
    </w:p>
    <w:p w:rsidR="001257BF" w:rsidRDefault="001257BF" w:rsidP="00781741">
      <w:pPr>
        <w:spacing w:after="0"/>
        <w:jc w:val="center"/>
        <w:rPr>
          <w:u w:val="single"/>
        </w:rPr>
      </w:pPr>
    </w:p>
    <w:p w:rsidR="001257BF" w:rsidRDefault="001257BF" w:rsidP="00781741">
      <w:pPr>
        <w:spacing w:after="0"/>
        <w:jc w:val="center"/>
        <w:rPr>
          <w:u w:val="single"/>
        </w:rPr>
      </w:pPr>
    </w:p>
    <w:p w:rsidR="00F61252" w:rsidRDefault="00F61252" w:rsidP="00781741">
      <w:pPr>
        <w:spacing w:after="0"/>
        <w:jc w:val="center"/>
        <w:rPr>
          <w:u w:val="single"/>
        </w:rPr>
      </w:pPr>
      <w:r w:rsidRPr="00BD63F7">
        <w:rPr>
          <w:u w:val="single"/>
        </w:rPr>
        <w:lastRenderedPageBreak/>
        <w:t>CONCLUSIONS OF LAW</w:t>
      </w:r>
    </w:p>
    <w:p w:rsidR="00F61252" w:rsidRPr="00BD63F7" w:rsidRDefault="00F61252" w:rsidP="00781741">
      <w:pPr>
        <w:spacing w:after="0"/>
        <w:jc w:val="center"/>
        <w:rPr>
          <w:u w:val="single"/>
        </w:rPr>
      </w:pPr>
    </w:p>
    <w:p w:rsidR="00F61252" w:rsidRDefault="00F61252" w:rsidP="00781741">
      <w:pPr>
        <w:tabs>
          <w:tab w:val="left" w:pos="-1440"/>
          <w:tab w:val="left" w:pos="-720"/>
        </w:tabs>
        <w:suppressAutoHyphens/>
        <w:spacing w:after="0"/>
        <w:ind w:firstLine="1440"/>
        <w:rPr>
          <w:spacing w:val="-3"/>
          <w:szCs w:val="24"/>
        </w:rPr>
      </w:pPr>
      <w:r w:rsidRPr="001B7605">
        <w:rPr>
          <w:szCs w:val="24"/>
        </w:rPr>
        <w:t>1.</w:t>
      </w:r>
      <w:r w:rsidRPr="001B7605">
        <w:rPr>
          <w:szCs w:val="24"/>
        </w:rPr>
        <w:tab/>
      </w:r>
      <w:r w:rsidRPr="001B7605">
        <w:rPr>
          <w:spacing w:val="-3"/>
          <w:szCs w:val="24"/>
        </w:rPr>
        <w:t>The Commission has jurisdiction over the parties and the subject matter in this proceeding.</w:t>
      </w:r>
      <w:r>
        <w:rPr>
          <w:spacing w:val="-3"/>
          <w:szCs w:val="24"/>
        </w:rPr>
        <w:t xml:space="preserve">  66 Pa.C.S. § 701.</w:t>
      </w:r>
    </w:p>
    <w:p w:rsidR="00C9788B" w:rsidRPr="001B7605" w:rsidRDefault="00C9788B" w:rsidP="00781741">
      <w:pPr>
        <w:tabs>
          <w:tab w:val="left" w:pos="-1440"/>
          <w:tab w:val="left" w:pos="-720"/>
        </w:tabs>
        <w:suppressAutoHyphens/>
        <w:spacing w:after="0"/>
        <w:ind w:firstLine="1440"/>
        <w:rPr>
          <w:spacing w:val="-3"/>
          <w:szCs w:val="24"/>
        </w:rPr>
      </w:pPr>
    </w:p>
    <w:p w:rsidR="00475B3F" w:rsidRDefault="00F61252" w:rsidP="00781741">
      <w:pPr>
        <w:spacing w:after="0"/>
        <w:ind w:firstLine="1440"/>
        <w:rPr>
          <w:szCs w:val="24"/>
        </w:rPr>
      </w:pPr>
      <w:r w:rsidRPr="001B7605">
        <w:rPr>
          <w:szCs w:val="24"/>
        </w:rPr>
        <w:t>2.</w:t>
      </w:r>
      <w:r w:rsidRPr="001B7605">
        <w:rPr>
          <w:szCs w:val="24"/>
        </w:rPr>
        <w:tab/>
      </w:r>
      <w:r w:rsidR="00475B3F">
        <w:rPr>
          <w:szCs w:val="24"/>
        </w:rPr>
        <w:t>A</w:t>
      </w:r>
      <w:r w:rsidR="00475B3F">
        <w:t xml:space="preserve"> party failing to file a timely reply to new matter may be deemed in default and the facts stated in the new matter deemed admitted.  52 Pa.Code § 5.63.</w:t>
      </w:r>
    </w:p>
    <w:p w:rsidR="00475B3F" w:rsidRDefault="00475B3F" w:rsidP="00781741">
      <w:pPr>
        <w:spacing w:after="0"/>
        <w:ind w:firstLine="1440"/>
        <w:rPr>
          <w:szCs w:val="24"/>
        </w:rPr>
      </w:pPr>
    </w:p>
    <w:p w:rsidR="00F61252" w:rsidRDefault="00475B3F" w:rsidP="00781741">
      <w:pPr>
        <w:spacing w:after="0"/>
        <w:ind w:firstLine="1440"/>
        <w:rPr>
          <w:szCs w:val="24"/>
        </w:rPr>
      </w:pPr>
      <w:r>
        <w:rPr>
          <w:szCs w:val="24"/>
        </w:rPr>
        <w:t>3.</w:t>
      </w:r>
      <w:r>
        <w:rPr>
          <w:szCs w:val="24"/>
        </w:rPr>
        <w:tab/>
        <w:t>A complaint may be dismissed where the pleadings demonstrate that there is no material fact in dispute.  52 Pa.Code § 5.102.</w:t>
      </w:r>
    </w:p>
    <w:p w:rsidR="00F4178A" w:rsidRPr="001B7605" w:rsidRDefault="00F4178A" w:rsidP="00781741">
      <w:pPr>
        <w:spacing w:after="0"/>
        <w:ind w:firstLine="1440"/>
        <w:outlineLvl w:val="0"/>
        <w:rPr>
          <w:szCs w:val="24"/>
        </w:rPr>
      </w:pPr>
    </w:p>
    <w:p w:rsidR="00F61252" w:rsidRDefault="00F61252" w:rsidP="00781741">
      <w:pPr>
        <w:spacing w:after="0"/>
        <w:ind w:firstLine="1440"/>
        <w:rPr>
          <w:szCs w:val="24"/>
        </w:rPr>
      </w:pPr>
      <w:r>
        <w:rPr>
          <w:szCs w:val="24"/>
        </w:rPr>
        <w:t>4</w:t>
      </w:r>
      <w:r w:rsidRPr="001B7605">
        <w:rPr>
          <w:szCs w:val="24"/>
        </w:rPr>
        <w:t>.</w:t>
      </w:r>
      <w:r>
        <w:rPr>
          <w:szCs w:val="24"/>
        </w:rPr>
        <w:tab/>
      </w:r>
      <w:r w:rsidRPr="001B7605">
        <w:rPr>
          <w:szCs w:val="24"/>
        </w:rPr>
        <w:t xml:space="preserve">The Commission may dismiss a complaint without a hearing if a hearing in this matter is not necessary or in the public interest.  </w:t>
      </w:r>
      <w:r>
        <w:rPr>
          <w:szCs w:val="24"/>
        </w:rPr>
        <w:t>66 Pa.C.S. § 703.</w:t>
      </w:r>
    </w:p>
    <w:p w:rsidR="00A212D4" w:rsidRDefault="00A212D4" w:rsidP="00781741">
      <w:pPr>
        <w:spacing w:after="0"/>
        <w:ind w:firstLine="1440"/>
        <w:rPr>
          <w:szCs w:val="24"/>
        </w:rPr>
      </w:pPr>
    </w:p>
    <w:p w:rsidR="00F61252" w:rsidRDefault="00F61252" w:rsidP="00781741">
      <w:pPr>
        <w:spacing w:after="0"/>
        <w:jc w:val="center"/>
        <w:rPr>
          <w:szCs w:val="24"/>
          <w:u w:val="single"/>
        </w:rPr>
      </w:pPr>
      <w:r w:rsidRPr="001259CC">
        <w:rPr>
          <w:szCs w:val="24"/>
          <w:u w:val="single"/>
        </w:rPr>
        <w:t>ORDER</w:t>
      </w:r>
    </w:p>
    <w:p w:rsidR="00F4178A" w:rsidRDefault="00F4178A" w:rsidP="00781741">
      <w:pPr>
        <w:spacing w:after="0"/>
        <w:jc w:val="center"/>
        <w:rPr>
          <w:szCs w:val="24"/>
          <w:u w:val="single"/>
        </w:rPr>
      </w:pPr>
    </w:p>
    <w:p w:rsidR="00E777CE" w:rsidRDefault="00E777CE" w:rsidP="00781741">
      <w:pPr>
        <w:spacing w:after="0"/>
        <w:jc w:val="center"/>
        <w:rPr>
          <w:szCs w:val="24"/>
          <w:u w:val="single"/>
        </w:rPr>
      </w:pPr>
    </w:p>
    <w:p w:rsidR="00F61252" w:rsidRDefault="00F61252" w:rsidP="00781741">
      <w:pPr>
        <w:spacing w:after="0"/>
        <w:rPr>
          <w:szCs w:val="24"/>
        </w:rPr>
      </w:pPr>
      <w:r>
        <w:rPr>
          <w:szCs w:val="24"/>
        </w:rPr>
        <w:tab/>
        <w:t>THEREFORE,</w:t>
      </w:r>
    </w:p>
    <w:p w:rsidR="00F61252" w:rsidRDefault="00F61252" w:rsidP="00781741">
      <w:pPr>
        <w:spacing w:after="0"/>
        <w:rPr>
          <w:szCs w:val="24"/>
        </w:rPr>
      </w:pPr>
    </w:p>
    <w:p w:rsidR="00F61252" w:rsidRDefault="00F61252" w:rsidP="00781741">
      <w:pPr>
        <w:spacing w:after="0"/>
        <w:rPr>
          <w:szCs w:val="24"/>
        </w:rPr>
      </w:pPr>
      <w:r>
        <w:rPr>
          <w:szCs w:val="24"/>
        </w:rPr>
        <w:tab/>
        <w:t>IT IS ORDERED:</w:t>
      </w:r>
    </w:p>
    <w:p w:rsidR="00F61252" w:rsidRDefault="00F61252" w:rsidP="00781741">
      <w:pPr>
        <w:spacing w:after="0"/>
        <w:rPr>
          <w:szCs w:val="24"/>
        </w:rPr>
      </w:pPr>
    </w:p>
    <w:p w:rsidR="00F61252" w:rsidRDefault="00F61252" w:rsidP="00781741">
      <w:pPr>
        <w:spacing w:after="0"/>
        <w:rPr>
          <w:szCs w:val="24"/>
        </w:rPr>
      </w:pPr>
      <w:r>
        <w:rPr>
          <w:szCs w:val="24"/>
        </w:rPr>
        <w:tab/>
        <w:t>1.</w:t>
      </w:r>
      <w:r>
        <w:rPr>
          <w:szCs w:val="24"/>
        </w:rPr>
        <w:tab/>
        <w:t xml:space="preserve">That the </w:t>
      </w:r>
      <w:r w:rsidR="00475B3F">
        <w:rPr>
          <w:szCs w:val="24"/>
        </w:rPr>
        <w:t>motion for judgement on the pleadings by FirstEnergy Solutions</w:t>
      </w:r>
      <w:r>
        <w:rPr>
          <w:szCs w:val="24"/>
        </w:rPr>
        <w:t xml:space="preserve"> </w:t>
      </w:r>
      <w:r w:rsidR="004C4A91">
        <w:rPr>
          <w:szCs w:val="24"/>
        </w:rPr>
        <w:t xml:space="preserve">at </w:t>
      </w:r>
      <w:r w:rsidR="00721D2A">
        <w:rPr>
          <w:szCs w:val="24"/>
        </w:rPr>
        <w:t>Docket No</w:t>
      </w:r>
      <w:r w:rsidR="004C4A91">
        <w:rPr>
          <w:szCs w:val="24"/>
        </w:rPr>
        <w:t xml:space="preserve">. C-2014-2456918 </w:t>
      </w:r>
      <w:r w:rsidR="00475B3F">
        <w:rPr>
          <w:szCs w:val="24"/>
        </w:rPr>
        <w:t>is</w:t>
      </w:r>
      <w:r>
        <w:rPr>
          <w:szCs w:val="24"/>
        </w:rPr>
        <w:t xml:space="preserve"> granted.</w:t>
      </w:r>
    </w:p>
    <w:p w:rsidR="00F4178A" w:rsidRDefault="00F4178A" w:rsidP="00781741">
      <w:pPr>
        <w:spacing w:after="0"/>
        <w:rPr>
          <w:szCs w:val="24"/>
        </w:rPr>
      </w:pPr>
    </w:p>
    <w:p w:rsidR="00F61252" w:rsidRDefault="00F61252" w:rsidP="00781741">
      <w:pPr>
        <w:spacing w:after="0"/>
        <w:rPr>
          <w:szCs w:val="24"/>
        </w:rPr>
      </w:pPr>
      <w:r>
        <w:rPr>
          <w:szCs w:val="24"/>
        </w:rPr>
        <w:tab/>
        <w:t>2.</w:t>
      </w:r>
      <w:r>
        <w:rPr>
          <w:szCs w:val="24"/>
        </w:rPr>
        <w:tab/>
        <w:t xml:space="preserve">That the complaint of Feasterville Mobil Oil Corporation against </w:t>
      </w:r>
      <w:r w:rsidR="00475B3F">
        <w:rPr>
          <w:szCs w:val="24"/>
        </w:rPr>
        <w:t>FirstEnergy Solutions at Docket No. C-2014-2456918</w:t>
      </w:r>
      <w:r>
        <w:rPr>
          <w:szCs w:val="24"/>
        </w:rPr>
        <w:t xml:space="preserve"> </w:t>
      </w:r>
      <w:r w:rsidRPr="001D5A27">
        <w:rPr>
          <w:szCs w:val="24"/>
        </w:rPr>
        <w:t>is</w:t>
      </w:r>
      <w:r>
        <w:rPr>
          <w:szCs w:val="24"/>
        </w:rPr>
        <w:t xml:space="preserve"> dismissed.</w:t>
      </w:r>
    </w:p>
    <w:p w:rsidR="00F4178A" w:rsidRDefault="00F4178A" w:rsidP="00781741">
      <w:pPr>
        <w:spacing w:after="0"/>
        <w:rPr>
          <w:szCs w:val="24"/>
        </w:rPr>
      </w:pPr>
    </w:p>
    <w:p w:rsidR="00F4178A" w:rsidRDefault="00F4178A" w:rsidP="00781741">
      <w:pPr>
        <w:spacing w:after="0"/>
        <w:rPr>
          <w:szCs w:val="24"/>
        </w:rPr>
      </w:pPr>
    </w:p>
    <w:p w:rsidR="00F4178A" w:rsidRDefault="00F4178A" w:rsidP="00F84FF5">
      <w:pPr>
        <w:spacing w:after="0" w:line="240" w:lineRule="auto"/>
        <w:rPr>
          <w:szCs w:val="24"/>
        </w:rPr>
      </w:pPr>
      <w:r w:rsidRPr="00F60C7F">
        <w:rPr>
          <w:spacing w:val="-3"/>
          <w:szCs w:val="24"/>
        </w:rPr>
        <w:t xml:space="preserve">Date:  </w:t>
      </w:r>
      <w:r w:rsidR="00475B3F">
        <w:rPr>
          <w:spacing w:val="-3"/>
          <w:szCs w:val="24"/>
          <w:u w:val="single"/>
        </w:rPr>
        <w:t xml:space="preserve">June </w:t>
      </w:r>
      <w:r w:rsidR="002766A8">
        <w:rPr>
          <w:spacing w:val="-3"/>
          <w:szCs w:val="24"/>
          <w:u w:val="single"/>
        </w:rPr>
        <w:t>24</w:t>
      </w:r>
      <w:r w:rsidR="00781741">
        <w:rPr>
          <w:spacing w:val="-3"/>
          <w:szCs w:val="24"/>
          <w:u w:val="single"/>
        </w:rPr>
        <w:t>,</w:t>
      </w:r>
      <w:r>
        <w:rPr>
          <w:spacing w:val="-3"/>
          <w:szCs w:val="24"/>
          <w:u w:val="single"/>
        </w:rPr>
        <w:t xml:space="preserve"> 2015</w:t>
      </w:r>
      <w:r w:rsidRPr="00F60C7F">
        <w:rPr>
          <w:spacing w:val="-3"/>
          <w:szCs w:val="24"/>
        </w:rPr>
        <w:tab/>
      </w:r>
      <w:r w:rsidRPr="00F60C7F">
        <w:rPr>
          <w:spacing w:val="-3"/>
          <w:szCs w:val="24"/>
        </w:rPr>
        <w:tab/>
      </w:r>
      <w:r w:rsidRPr="00F60C7F">
        <w:rPr>
          <w:spacing w:val="-3"/>
          <w:szCs w:val="24"/>
        </w:rPr>
        <w:tab/>
      </w:r>
      <w:r w:rsidRPr="00F60C7F">
        <w:rPr>
          <w:spacing w:val="-3"/>
          <w:szCs w:val="24"/>
        </w:rPr>
        <w:tab/>
      </w:r>
      <w:r w:rsidRPr="00F60C7F">
        <w:rPr>
          <w:spacing w:val="-3"/>
          <w:szCs w:val="24"/>
        </w:rPr>
        <w:tab/>
      </w:r>
      <w:r w:rsidR="002766A8" w:rsidRPr="00F60C7F">
        <w:rPr>
          <w:szCs w:val="24"/>
          <w:u w:val="single"/>
        </w:rPr>
        <w:tab/>
      </w:r>
      <w:r w:rsidRPr="00F60C7F">
        <w:rPr>
          <w:szCs w:val="24"/>
          <w:u w:val="single"/>
        </w:rPr>
        <w:tab/>
      </w:r>
      <w:r w:rsidRPr="00F60C7F">
        <w:rPr>
          <w:szCs w:val="24"/>
          <w:u w:val="single"/>
        </w:rPr>
        <w:tab/>
        <w:t>/s/</w:t>
      </w:r>
      <w:r w:rsidRPr="00F60C7F">
        <w:rPr>
          <w:szCs w:val="24"/>
          <w:u w:val="single"/>
        </w:rPr>
        <w:tab/>
      </w:r>
      <w:r w:rsidRPr="00F60C7F">
        <w:rPr>
          <w:szCs w:val="24"/>
          <w:u w:val="single"/>
        </w:rPr>
        <w:tab/>
      </w:r>
      <w:r w:rsidRPr="00F60C7F">
        <w:rPr>
          <w:szCs w:val="24"/>
          <w:u w:val="single"/>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t>Mary D. Long</w:t>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t>Administrative Law Judge</w:t>
      </w:r>
    </w:p>
    <w:p w:rsidR="00F61252" w:rsidRDefault="00F61252" w:rsidP="00781741">
      <w:pPr>
        <w:spacing w:after="0"/>
      </w:pPr>
      <w:bookmarkStart w:id="0" w:name="_GoBack"/>
      <w:bookmarkEnd w:id="0"/>
    </w:p>
    <w:sectPr w:rsidR="00F61252" w:rsidSect="00F460A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5C" w:rsidRDefault="00ED645C" w:rsidP="00FD0EFE">
      <w:pPr>
        <w:spacing w:after="0" w:line="240" w:lineRule="auto"/>
      </w:pPr>
      <w:r>
        <w:separator/>
      </w:r>
    </w:p>
  </w:endnote>
  <w:endnote w:type="continuationSeparator" w:id="0">
    <w:p w:rsidR="00ED645C" w:rsidRDefault="00ED645C" w:rsidP="00FD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752046"/>
      <w:docPartObj>
        <w:docPartGallery w:val="Page Numbers (Bottom of Page)"/>
        <w:docPartUnique/>
      </w:docPartObj>
    </w:sdtPr>
    <w:sdtEndPr>
      <w:rPr>
        <w:noProof/>
        <w:sz w:val="20"/>
      </w:rPr>
    </w:sdtEndPr>
    <w:sdtContent>
      <w:p w:rsidR="00F460A1" w:rsidRPr="001372F2" w:rsidRDefault="00F460A1">
        <w:pPr>
          <w:pStyle w:val="Footer"/>
          <w:jc w:val="center"/>
          <w:rPr>
            <w:sz w:val="20"/>
          </w:rPr>
        </w:pPr>
        <w:r w:rsidRPr="001372F2">
          <w:rPr>
            <w:sz w:val="20"/>
          </w:rPr>
          <w:fldChar w:fldCharType="begin"/>
        </w:r>
        <w:r w:rsidRPr="001372F2">
          <w:rPr>
            <w:sz w:val="20"/>
          </w:rPr>
          <w:instrText xml:space="preserve"> PAGE   \* MERGEFORMAT </w:instrText>
        </w:r>
        <w:r w:rsidRPr="001372F2">
          <w:rPr>
            <w:sz w:val="20"/>
          </w:rPr>
          <w:fldChar w:fldCharType="separate"/>
        </w:r>
        <w:r w:rsidR="00367779">
          <w:rPr>
            <w:noProof/>
            <w:sz w:val="20"/>
          </w:rPr>
          <w:t>5</w:t>
        </w:r>
        <w:r w:rsidRPr="001372F2">
          <w:rPr>
            <w:noProof/>
            <w:sz w:val="20"/>
          </w:rPr>
          <w:fldChar w:fldCharType="end"/>
        </w:r>
      </w:p>
    </w:sdtContent>
  </w:sdt>
  <w:p w:rsidR="00F460A1" w:rsidRDefault="00F46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5C" w:rsidRDefault="00ED645C" w:rsidP="00FD0EFE">
      <w:pPr>
        <w:spacing w:after="0" w:line="240" w:lineRule="auto"/>
      </w:pPr>
      <w:r>
        <w:separator/>
      </w:r>
    </w:p>
  </w:footnote>
  <w:footnote w:type="continuationSeparator" w:id="0">
    <w:p w:rsidR="00ED645C" w:rsidRDefault="00ED645C" w:rsidP="00FD0EFE">
      <w:pPr>
        <w:spacing w:after="0" w:line="240" w:lineRule="auto"/>
      </w:pPr>
      <w:r>
        <w:continuationSeparator/>
      </w:r>
    </w:p>
  </w:footnote>
  <w:footnote w:id="1">
    <w:p w:rsidR="00A3520D" w:rsidRDefault="00A3520D">
      <w:pPr>
        <w:pStyle w:val="FootnoteText"/>
      </w:pPr>
      <w:r>
        <w:rPr>
          <w:rStyle w:val="FootnoteReference"/>
        </w:rPr>
        <w:footnoteRef/>
      </w:r>
      <w:r>
        <w:t xml:space="preserve">  </w:t>
      </w:r>
      <w:r>
        <w:tab/>
        <w:t>On December 10, 2014, the Secretary’s Bureau served the complaint on both PECO</w:t>
      </w:r>
      <w:r w:rsidR="005D3714">
        <w:t xml:space="preserve"> and FES</w:t>
      </w:r>
      <w:r>
        <w:t>.</w:t>
      </w:r>
      <w:r w:rsidR="00BD6977">
        <w:t xml:space="preserve"> </w:t>
      </w:r>
      <w:r>
        <w:t xml:space="preserve"> PECO filed preliminary objections on the grounds that the complaint did not allege any violation of the Public Utility Code by PECO.  The preliminary objections were granted</w:t>
      </w:r>
      <w:r w:rsidR="005D3714">
        <w:t>,</w:t>
      </w:r>
      <w:r>
        <w:t xml:space="preserve"> and PECO was dismissed as a party by Initial Decision March 4, 2015.  That decision became final by Final Order entered May 18, 2015.  </w:t>
      </w:r>
    </w:p>
  </w:footnote>
  <w:footnote w:id="2">
    <w:p w:rsidR="00C73A01" w:rsidRDefault="00C73A01" w:rsidP="001372F2">
      <w:pPr>
        <w:pStyle w:val="FootnoteText"/>
        <w:spacing w:after="0"/>
      </w:pPr>
      <w:r>
        <w:rPr>
          <w:rStyle w:val="FootnoteReference"/>
        </w:rPr>
        <w:footnoteRef/>
      </w:r>
      <w:r>
        <w:t xml:space="preserve">  </w:t>
      </w:r>
      <w:r>
        <w:tab/>
        <w:t>Complaint at Paragraph 4.</w:t>
      </w:r>
    </w:p>
  </w:footnote>
  <w:footnote w:id="3">
    <w:p w:rsidR="006F03FE" w:rsidRDefault="006F03FE" w:rsidP="00A212D4">
      <w:pPr>
        <w:pStyle w:val="FootnoteText"/>
        <w:spacing w:after="0"/>
      </w:pPr>
      <w:r>
        <w:rPr>
          <w:rStyle w:val="FootnoteReference"/>
        </w:rPr>
        <w:footnoteRef/>
      </w:r>
      <w:r>
        <w:t xml:space="preserve"> </w:t>
      </w:r>
      <w:r w:rsidR="00DB0A9D">
        <w:tab/>
      </w:r>
      <w:r w:rsidRPr="006F03FE">
        <w:t>52 Pa.Code § 5.102(d</w:t>
      </w:r>
      <w:proofErr w:type="gramStart"/>
      <w:r w:rsidRPr="006F03FE">
        <w:t>)(</w:t>
      </w:r>
      <w:proofErr w:type="gramEnd"/>
      <w:r w:rsidRPr="006F03FE">
        <w:t xml:space="preserve">1).  </w:t>
      </w:r>
    </w:p>
    <w:p w:rsidR="00A212D4" w:rsidRDefault="00A212D4" w:rsidP="00A212D4">
      <w:pPr>
        <w:pStyle w:val="FootnoteText"/>
        <w:spacing w:after="0"/>
      </w:pPr>
    </w:p>
  </w:footnote>
  <w:footnote w:id="4">
    <w:p w:rsidR="00A212D4" w:rsidRDefault="006F03FE" w:rsidP="00A212D4">
      <w:pPr>
        <w:pStyle w:val="FootnoteText"/>
        <w:spacing w:after="0"/>
      </w:pPr>
      <w:r>
        <w:rPr>
          <w:rStyle w:val="FootnoteReference"/>
        </w:rPr>
        <w:footnoteRef/>
      </w:r>
      <w:r>
        <w:t xml:space="preserve"> </w:t>
      </w:r>
      <w:r w:rsidR="00DB0A9D">
        <w:tab/>
      </w:r>
      <w:proofErr w:type="gramStart"/>
      <w:r w:rsidRPr="00DB0A9D">
        <w:rPr>
          <w:i/>
        </w:rPr>
        <w:t>Williams v. Lewis</w:t>
      </w:r>
      <w:r w:rsidR="00DB0A9D">
        <w:t>, 466 A.2d 682 (Pa.</w:t>
      </w:r>
      <w:r w:rsidRPr="006F03FE">
        <w:t xml:space="preserve">Super. 1983); </w:t>
      </w:r>
      <w:r w:rsidRPr="00DB0A9D">
        <w:rPr>
          <w:i/>
        </w:rPr>
        <w:t>Service Employees International Union, Local 69, AFL-CIO v.</w:t>
      </w:r>
      <w:proofErr w:type="gramEnd"/>
      <w:r w:rsidRPr="00DB0A9D">
        <w:rPr>
          <w:i/>
        </w:rPr>
        <w:t xml:space="preserve"> The Peoples Natural Gas Company, d/b/a Dominion Peoples</w:t>
      </w:r>
      <w:r w:rsidRPr="006F03FE">
        <w:t xml:space="preserve">, Docket No. C-20028539 (Order entered December 19, 2003). </w:t>
      </w:r>
    </w:p>
    <w:p w:rsidR="006F03FE" w:rsidRDefault="006F03FE" w:rsidP="00A212D4">
      <w:pPr>
        <w:pStyle w:val="FootnoteText"/>
        <w:spacing w:after="0"/>
      </w:pPr>
      <w:r w:rsidRPr="006F03FE">
        <w:t xml:space="preserve"> </w:t>
      </w:r>
    </w:p>
  </w:footnote>
  <w:footnote w:id="5">
    <w:p w:rsidR="006F03FE" w:rsidRDefault="006F03FE" w:rsidP="00A212D4">
      <w:pPr>
        <w:pStyle w:val="FootnoteText"/>
        <w:spacing w:after="0"/>
      </w:pPr>
      <w:r>
        <w:rPr>
          <w:rStyle w:val="FootnoteReference"/>
        </w:rPr>
        <w:footnoteRef/>
      </w:r>
      <w:r>
        <w:t xml:space="preserve"> </w:t>
      </w:r>
      <w:r w:rsidR="00DB0A9D">
        <w:t xml:space="preserve"> </w:t>
      </w:r>
      <w:r w:rsidR="00DB0A9D">
        <w:tab/>
      </w:r>
      <w:r w:rsidRPr="00DB0A9D">
        <w:rPr>
          <w:i/>
        </w:rPr>
        <w:t>Reuben v. O’Brien</w:t>
      </w:r>
      <w:r w:rsidRPr="006F03FE">
        <w:t>, 496 A.2d 913 (Pa.Super 1985).</w:t>
      </w:r>
    </w:p>
    <w:p w:rsidR="006E0D8D" w:rsidRDefault="006E0D8D" w:rsidP="00A212D4">
      <w:pPr>
        <w:pStyle w:val="FootnoteText"/>
        <w:spacing w:after="0"/>
      </w:pPr>
    </w:p>
  </w:footnote>
  <w:footnote w:id="6">
    <w:p w:rsidR="006F03FE" w:rsidRDefault="006F03FE" w:rsidP="00A212D4">
      <w:pPr>
        <w:pStyle w:val="FootnoteText"/>
        <w:spacing w:after="0"/>
      </w:pPr>
      <w:r>
        <w:rPr>
          <w:rStyle w:val="FootnoteReference"/>
        </w:rPr>
        <w:footnoteRef/>
      </w:r>
      <w:r w:rsidR="00571545">
        <w:t xml:space="preserve"> </w:t>
      </w:r>
      <w:r w:rsidR="00571545">
        <w:tab/>
      </w:r>
      <w:r>
        <w:t xml:space="preserve"> Response to Answer and New Matter filed January 21, 2015.  I further note, that although this document was filed by the Complainant’s attorney, according to counsel’s letterhead, it does not appear that that individual is licensed to practice law in the Commonwealth of Pennsylvania.  To date, no </w:t>
      </w:r>
      <w:r w:rsidR="008D28C1">
        <w:t>petition</w:t>
      </w:r>
      <w:r>
        <w:t xml:space="preserve"> to appear </w:t>
      </w:r>
      <w:r w:rsidRPr="008D28C1">
        <w:rPr>
          <w:i/>
        </w:rPr>
        <w:t>pro hac vice</w:t>
      </w:r>
      <w:r>
        <w:t xml:space="preserve"> has been filed.</w:t>
      </w:r>
      <w:r w:rsidR="008D28C1">
        <w:t xml:space="preserve">  52 Pa.Code §§ 1.21-1.22.</w:t>
      </w:r>
      <w:r w:rsidR="00F151AE">
        <w:t xml:space="preserve">  As the Complainant appears to be a corporation, it must be </w:t>
      </w:r>
      <w:r w:rsidR="000F25FA">
        <w:t>represented</w:t>
      </w:r>
      <w:r w:rsidR="00F151AE">
        <w:t xml:space="preserve"> by an attorney authorized to practice law in Pennsylvania.  52 Pa.Code § 1.22.  </w:t>
      </w:r>
      <w:r w:rsidR="009A077A" w:rsidRPr="009A077A">
        <w:rPr>
          <w:i/>
        </w:rPr>
        <w:t>Cars R Us c/o Holman Copeland v. Philadelphia Gas Works</w:t>
      </w:r>
      <w:r w:rsidR="009A077A" w:rsidRPr="009A077A">
        <w:t>, Docke</w:t>
      </w:r>
      <w:r w:rsidR="009A077A">
        <w:t>t No. C-2008-2033437 (</w:t>
      </w:r>
      <w:r w:rsidR="009A077A" w:rsidRPr="009A077A">
        <w:t>Opinion and Order entered February 4, 2010)</w:t>
      </w:r>
      <w:r w:rsidR="009A077A">
        <w:t>.</w:t>
      </w:r>
    </w:p>
    <w:p w:rsidR="00A212D4" w:rsidRDefault="00A212D4" w:rsidP="00A212D4">
      <w:pPr>
        <w:pStyle w:val="FootnoteText"/>
        <w:spacing w:after="0"/>
      </w:pPr>
    </w:p>
  </w:footnote>
  <w:footnote w:id="7">
    <w:p w:rsidR="00F151AE" w:rsidRDefault="00F151AE" w:rsidP="001257BF">
      <w:pPr>
        <w:pStyle w:val="FootnoteText"/>
        <w:spacing w:after="0"/>
      </w:pPr>
      <w:r>
        <w:rPr>
          <w:rStyle w:val="FootnoteReference"/>
        </w:rPr>
        <w:footnoteRef/>
      </w:r>
      <w:r>
        <w:t xml:space="preserve">  </w:t>
      </w:r>
      <w:r>
        <w:tab/>
        <w:t>Complaint at Paragraph 4.</w:t>
      </w:r>
    </w:p>
    <w:p w:rsidR="001257BF" w:rsidRDefault="001257BF" w:rsidP="001257BF">
      <w:pPr>
        <w:pStyle w:val="FootnoteText"/>
        <w:spacing w:after="0"/>
      </w:pPr>
    </w:p>
  </w:footnote>
  <w:footnote w:id="8">
    <w:p w:rsidR="00F151AE" w:rsidRDefault="00F151AE" w:rsidP="001257BF">
      <w:pPr>
        <w:pStyle w:val="FootnoteText"/>
        <w:spacing w:after="0"/>
      </w:pPr>
      <w:r>
        <w:rPr>
          <w:rStyle w:val="FootnoteReference"/>
        </w:rPr>
        <w:footnoteRef/>
      </w:r>
      <w:r>
        <w:t xml:space="preserve">  </w:t>
      </w:r>
      <w:r>
        <w:tab/>
        <w:t>The Ohio disclosure statement was also attached to the Complainant’s January 21, 2015 response</w:t>
      </w:r>
      <w:r w:rsidR="001257BF">
        <w:t>.</w:t>
      </w:r>
    </w:p>
    <w:p w:rsidR="001257BF" w:rsidRDefault="001257BF" w:rsidP="001257BF">
      <w:pPr>
        <w:pStyle w:val="FootnoteText"/>
        <w:spacing w:after="0"/>
      </w:pPr>
    </w:p>
  </w:footnote>
  <w:footnote w:id="9">
    <w:p w:rsidR="00475B3F" w:rsidRDefault="00475B3F" w:rsidP="001257BF">
      <w:pPr>
        <w:pStyle w:val="FootnoteText"/>
        <w:spacing w:after="0"/>
      </w:pPr>
      <w:r>
        <w:rPr>
          <w:rStyle w:val="FootnoteReference"/>
        </w:rPr>
        <w:footnoteRef/>
      </w:r>
      <w:r>
        <w:t xml:space="preserve">  </w:t>
      </w:r>
      <w:r>
        <w:tab/>
      </w:r>
      <w:r>
        <w:rPr>
          <w:szCs w:val="24"/>
        </w:rPr>
        <w:t>66 Pa.C.S. § 703.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FE"/>
    <w:rsid w:val="00003071"/>
    <w:rsid w:val="00004C37"/>
    <w:rsid w:val="00020DB4"/>
    <w:rsid w:val="000F25FA"/>
    <w:rsid w:val="001100F6"/>
    <w:rsid w:val="001120E6"/>
    <w:rsid w:val="00117A8D"/>
    <w:rsid w:val="0012461B"/>
    <w:rsid w:val="001257BF"/>
    <w:rsid w:val="001372F2"/>
    <w:rsid w:val="001514B7"/>
    <w:rsid w:val="00180EDE"/>
    <w:rsid w:val="001A60A0"/>
    <w:rsid w:val="001B1CBA"/>
    <w:rsid w:val="001D5A27"/>
    <w:rsid w:val="0020064D"/>
    <w:rsid w:val="00203549"/>
    <w:rsid w:val="0021283D"/>
    <w:rsid w:val="00213167"/>
    <w:rsid w:val="00232F49"/>
    <w:rsid w:val="002512F9"/>
    <w:rsid w:val="002617C4"/>
    <w:rsid w:val="00261A0E"/>
    <w:rsid w:val="002766A8"/>
    <w:rsid w:val="002E04BA"/>
    <w:rsid w:val="002E7A53"/>
    <w:rsid w:val="00334285"/>
    <w:rsid w:val="00340F16"/>
    <w:rsid w:val="00340FC4"/>
    <w:rsid w:val="003447F6"/>
    <w:rsid w:val="00350432"/>
    <w:rsid w:val="00367779"/>
    <w:rsid w:val="00393C92"/>
    <w:rsid w:val="003A437A"/>
    <w:rsid w:val="00402A70"/>
    <w:rsid w:val="0043352E"/>
    <w:rsid w:val="00442C49"/>
    <w:rsid w:val="00475B3F"/>
    <w:rsid w:val="004C4A91"/>
    <w:rsid w:val="004D523C"/>
    <w:rsid w:val="005041FC"/>
    <w:rsid w:val="00571545"/>
    <w:rsid w:val="005A1C17"/>
    <w:rsid w:val="005A2ABA"/>
    <w:rsid w:val="005A5305"/>
    <w:rsid w:val="005D3714"/>
    <w:rsid w:val="005F73EB"/>
    <w:rsid w:val="0061775F"/>
    <w:rsid w:val="00650028"/>
    <w:rsid w:val="006813DA"/>
    <w:rsid w:val="006819DD"/>
    <w:rsid w:val="006A0E45"/>
    <w:rsid w:val="006B6D71"/>
    <w:rsid w:val="006D4C4B"/>
    <w:rsid w:val="006D5B8E"/>
    <w:rsid w:val="006E0D8D"/>
    <w:rsid w:val="006E4FD6"/>
    <w:rsid w:val="006F0329"/>
    <w:rsid w:val="006F03FE"/>
    <w:rsid w:val="006F6D81"/>
    <w:rsid w:val="00712E58"/>
    <w:rsid w:val="00720881"/>
    <w:rsid w:val="00721D2A"/>
    <w:rsid w:val="00733581"/>
    <w:rsid w:val="00781741"/>
    <w:rsid w:val="007817B2"/>
    <w:rsid w:val="00792796"/>
    <w:rsid w:val="007E6779"/>
    <w:rsid w:val="00806FEB"/>
    <w:rsid w:val="00820B4C"/>
    <w:rsid w:val="008358CE"/>
    <w:rsid w:val="008529D2"/>
    <w:rsid w:val="0088437C"/>
    <w:rsid w:val="008D28C1"/>
    <w:rsid w:val="008F0443"/>
    <w:rsid w:val="009126EC"/>
    <w:rsid w:val="00973AAB"/>
    <w:rsid w:val="0097566D"/>
    <w:rsid w:val="009A077A"/>
    <w:rsid w:val="009A3134"/>
    <w:rsid w:val="00A00632"/>
    <w:rsid w:val="00A212D4"/>
    <w:rsid w:val="00A3520D"/>
    <w:rsid w:val="00A744D7"/>
    <w:rsid w:val="00A767C4"/>
    <w:rsid w:val="00A77A61"/>
    <w:rsid w:val="00A87F5F"/>
    <w:rsid w:val="00AA2C56"/>
    <w:rsid w:val="00AA2EC5"/>
    <w:rsid w:val="00AA4204"/>
    <w:rsid w:val="00AB4C73"/>
    <w:rsid w:val="00AB6076"/>
    <w:rsid w:val="00AE6F47"/>
    <w:rsid w:val="00BC33E1"/>
    <w:rsid w:val="00BC6B21"/>
    <w:rsid w:val="00BD6977"/>
    <w:rsid w:val="00BE7919"/>
    <w:rsid w:val="00C12F46"/>
    <w:rsid w:val="00C54DF3"/>
    <w:rsid w:val="00C6602E"/>
    <w:rsid w:val="00C73A01"/>
    <w:rsid w:val="00C87E57"/>
    <w:rsid w:val="00C9788B"/>
    <w:rsid w:val="00CB3079"/>
    <w:rsid w:val="00CE1AC9"/>
    <w:rsid w:val="00D12465"/>
    <w:rsid w:val="00D2506A"/>
    <w:rsid w:val="00D6389E"/>
    <w:rsid w:val="00D937BB"/>
    <w:rsid w:val="00DA709F"/>
    <w:rsid w:val="00DB0A9D"/>
    <w:rsid w:val="00DD5C37"/>
    <w:rsid w:val="00E777CE"/>
    <w:rsid w:val="00EC1CBA"/>
    <w:rsid w:val="00ED2D1A"/>
    <w:rsid w:val="00ED5E2E"/>
    <w:rsid w:val="00ED645C"/>
    <w:rsid w:val="00EE7801"/>
    <w:rsid w:val="00F020F9"/>
    <w:rsid w:val="00F151AE"/>
    <w:rsid w:val="00F16554"/>
    <w:rsid w:val="00F4178A"/>
    <w:rsid w:val="00F460A1"/>
    <w:rsid w:val="00F544E1"/>
    <w:rsid w:val="00F61252"/>
    <w:rsid w:val="00F65E72"/>
    <w:rsid w:val="00F739BA"/>
    <w:rsid w:val="00F84FF5"/>
    <w:rsid w:val="00F97A4C"/>
    <w:rsid w:val="00FA4788"/>
    <w:rsid w:val="00FD0EFE"/>
    <w:rsid w:val="00FD5C10"/>
    <w:rsid w:val="00FF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customStyle="1" w:styleId="ParaTab1">
    <w:name w:val="ParaTab 1"/>
    <w:rsid w:val="00FD0EFE"/>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FD0EFE"/>
    <w:rPr>
      <w:rFonts w:ascii="Times New Roman" w:hAnsi="Times New Roman"/>
      <w:vertAlign w:val="superscript"/>
    </w:rPr>
  </w:style>
  <w:style w:type="paragraph" w:styleId="Quote">
    <w:name w:val="Quote"/>
    <w:basedOn w:val="Normal"/>
    <w:next w:val="Normal"/>
    <w:link w:val="QuoteChar"/>
    <w:uiPriority w:val="29"/>
    <w:qFormat/>
    <w:rsid w:val="00FD0EFE"/>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FD0EFE"/>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460A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460A1"/>
    <w:rPr>
      <w:rFonts w:ascii="Times New Roman" w:hAnsi="Times New Roman" w:cs="Times New Roman"/>
      <w:sz w:val="24"/>
      <w:szCs w:val="20"/>
    </w:rPr>
  </w:style>
  <w:style w:type="paragraph" w:styleId="Footer">
    <w:name w:val="footer"/>
    <w:basedOn w:val="Normal"/>
    <w:link w:val="FooterChar"/>
    <w:uiPriority w:val="99"/>
    <w:unhideWhenUsed/>
    <w:rsid w:val="00F460A1"/>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460A1"/>
    <w:rPr>
      <w:rFonts w:ascii="Times New Roman" w:hAnsi="Times New Roman" w:cs="Times New Roman"/>
      <w:sz w:val="24"/>
      <w:szCs w:val="20"/>
    </w:rPr>
  </w:style>
  <w:style w:type="paragraph" w:styleId="Title">
    <w:name w:val="Title"/>
    <w:basedOn w:val="Normal"/>
    <w:link w:val="TitleChar"/>
    <w:qFormat/>
    <w:rsid w:val="00334285"/>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334285"/>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232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customStyle="1" w:styleId="ParaTab1">
    <w:name w:val="ParaTab 1"/>
    <w:rsid w:val="00FD0EFE"/>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FD0EFE"/>
    <w:rPr>
      <w:rFonts w:ascii="Times New Roman" w:hAnsi="Times New Roman"/>
      <w:vertAlign w:val="superscript"/>
    </w:rPr>
  </w:style>
  <w:style w:type="paragraph" w:styleId="Quote">
    <w:name w:val="Quote"/>
    <w:basedOn w:val="Normal"/>
    <w:next w:val="Normal"/>
    <w:link w:val="QuoteChar"/>
    <w:uiPriority w:val="29"/>
    <w:qFormat/>
    <w:rsid w:val="00FD0EFE"/>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FD0EFE"/>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460A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460A1"/>
    <w:rPr>
      <w:rFonts w:ascii="Times New Roman" w:hAnsi="Times New Roman" w:cs="Times New Roman"/>
      <w:sz w:val="24"/>
      <w:szCs w:val="20"/>
    </w:rPr>
  </w:style>
  <w:style w:type="paragraph" w:styleId="Footer">
    <w:name w:val="footer"/>
    <w:basedOn w:val="Normal"/>
    <w:link w:val="FooterChar"/>
    <w:uiPriority w:val="99"/>
    <w:unhideWhenUsed/>
    <w:rsid w:val="00F460A1"/>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460A1"/>
    <w:rPr>
      <w:rFonts w:ascii="Times New Roman" w:hAnsi="Times New Roman" w:cs="Times New Roman"/>
      <w:sz w:val="24"/>
      <w:szCs w:val="20"/>
    </w:rPr>
  </w:style>
  <w:style w:type="paragraph" w:styleId="Title">
    <w:name w:val="Title"/>
    <w:basedOn w:val="Normal"/>
    <w:link w:val="TitleChar"/>
    <w:qFormat/>
    <w:rsid w:val="00334285"/>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334285"/>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232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5AB1-EE9D-4D06-856F-6787A587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3</cp:revision>
  <cp:lastPrinted>2015-06-24T18:21:00Z</cp:lastPrinted>
  <dcterms:created xsi:type="dcterms:W3CDTF">2015-06-24T18:33:00Z</dcterms:created>
  <dcterms:modified xsi:type="dcterms:W3CDTF">2015-07-08T15:00:00Z</dcterms:modified>
</cp:coreProperties>
</file>