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19" w:rsidRPr="00736519" w:rsidRDefault="00736519" w:rsidP="00D1626D">
      <w:pPr>
        <w:tabs>
          <w:tab w:val="clear" w:pos="1440"/>
          <w:tab w:val="left" w:pos="0"/>
        </w:tabs>
        <w:spacing w:after="0" w:line="240" w:lineRule="auto"/>
        <w:jc w:val="center"/>
        <w:rPr>
          <w:b/>
        </w:rPr>
      </w:pPr>
      <w:r w:rsidRPr="00736519">
        <w:rPr>
          <w:b/>
        </w:rPr>
        <w:t>BEFORE THE</w:t>
      </w:r>
    </w:p>
    <w:p w:rsidR="00736519" w:rsidRPr="00736519" w:rsidRDefault="00736519" w:rsidP="00D1626D">
      <w:pPr>
        <w:tabs>
          <w:tab w:val="clear" w:pos="1440"/>
          <w:tab w:val="left" w:pos="0"/>
        </w:tabs>
        <w:spacing w:after="0" w:line="240" w:lineRule="auto"/>
        <w:jc w:val="center"/>
        <w:rPr>
          <w:b/>
          <w:szCs w:val="24"/>
        </w:rPr>
      </w:pPr>
      <w:r w:rsidRPr="00736519">
        <w:rPr>
          <w:b/>
          <w:szCs w:val="24"/>
        </w:rPr>
        <w:t>PENNSYLVANIA PUBLIC UTILITY COMMISSION</w:t>
      </w:r>
    </w:p>
    <w:p w:rsidR="00736519" w:rsidRPr="00736519" w:rsidRDefault="00736519" w:rsidP="00D1626D">
      <w:pPr>
        <w:tabs>
          <w:tab w:val="clear" w:pos="1440"/>
          <w:tab w:val="left" w:pos="0"/>
        </w:tabs>
        <w:spacing w:after="0" w:line="240" w:lineRule="auto"/>
        <w:jc w:val="both"/>
        <w:rPr>
          <w:b/>
          <w:szCs w:val="24"/>
        </w:rPr>
      </w:pPr>
    </w:p>
    <w:p w:rsidR="00736519" w:rsidRPr="00736519" w:rsidRDefault="00736519" w:rsidP="00D1626D">
      <w:pPr>
        <w:tabs>
          <w:tab w:val="clear" w:pos="1440"/>
          <w:tab w:val="left" w:pos="0"/>
        </w:tabs>
        <w:spacing w:after="0" w:line="240" w:lineRule="auto"/>
        <w:jc w:val="both"/>
        <w:rPr>
          <w:b/>
          <w:szCs w:val="24"/>
        </w:rPr>
      </w:pPr>
    </w:p>
    <w:p w:rsidR="00736519" w:rsidRPr="00736519" w:rsidRDefault="00736519" w:rsidP="00D1626D">
      <w:pPr>
        <w:tabs>
          <w:tab w:val="clear" w:pos="1440"/>
          <w:tab w:val="left" w:pos="0"/>
        </w:tabs>
        <w:spacing w:after="0" w:line="240" w:lineRule="auto"/>
        <w:jc w:val="both"/>
        <w:rPr>
          <w:b/>
          <w:szCs w:val="24"/>
        </w:rPr>
      </w:pPr>
    </w:p>
    <w:p w:rsidR="00736519" w:rsidRPr="00736519" w:rsidRDefault="00736519" w:rsidP="00D1626D">
      <w:pPr>
        <w:tabs>
          <w:tab w:val="clear" w:pos="1440"/>
          <w:tab w:val="left" w:pos="0"/>
        </w:tabs>
        <w:spacing w:after="0" w:line="240" w:lineRule="auto"/>
        <w:jc w:val="both"/>
        <w:rPr>
          <w:b/>
          <w:szCs w:val="24"/>
        </w:rPr>
      </w:pPr>
      <w:r w:rsidRPr="00736519">
        <w:rPr>
          <w:szCs w:val="24"/>
        </w:rPr>
        <w:t>Dionne Oliver-Booker</w:t>
      </w:r>
      <w:r w:rsidRPr="00736519">
        <w:rPr>
          <w:szCs w:val="24"/>
        </w:rPr>
        <w:tab/>
      </w:r>
      <w:r w:rsidRPr="00736519">
        <w:rPr>
          <w:szCs w:val="24"/>
        </w:rPr>
        <w:tab/>
      </w:r>
      <w:r w:rsidRPr="00736519">
        <w:rPr>
          <w:szCs w:val="24"/>
        </w:rPr>
        <w:tab/>
      </w:r>
      <w:r w:rsidRPr="00736519">
        <w:rPr>
          <w:szCs w:val="24"/>
        </w:rPr>
        <w:tab/>
        <w:t>:</w:t>
      </w:r>
    </w:p>
    <w:p w:rsidR="00736519" w:rsidRPr="00736519" w:rsidRDefault="00736519" w:rsidP="00D1626D">
      <w:pPr>
        <w:tabs>
          <w:tab w:val="clear" w:pos="1440"/>
          <w:tab w:val="left" w:pos="0"/>
        </w:tabs>
        <w:spacing w:after="0" w:line="240" w:lineRule="auto"/>
        <w:jc w:val="both"/>
        <w:rPr>
          <w:szCs w:val="24"/>
        </w:rPr>
      </w:pPr>
      <w:r w:rsidRPr="00736519">
        <w:rPr>
          <w:b/>
          <w:szCs w:val="24"/>
        </w:rPr>
        <w:tab/>
      </w:r>
      <w:r w:rsidRPr="00736519">
        <w:rPr>
          <w:b/>
          <w:szCs w:val="24"/>
        </w:rPr>
        <w:tab/>
      </w:r>
      <w:r w:rsidRPr="00736519">
        <w:rPr>
          <w:b/>
          <w:szCs w:val="24"/>
        </w:rPr>
        <w:tab/>
      </w:r>
      <w:r w:rsidRPr="00736519">
        <w:rPr>
          <w:b/>
          <w:szCs w:val="24"/>
        </w:rPr>
        <w:tab/>
      </w:r>
      <w:r w:rsidRPr="00736519">
        <w:rPr>
          <w:b/>
          <w:szCs w:val="24"/>
        </w:rPr>
        <w:tab/>
      </w:r>
      <w:r w:rsidRPr="00736519">
        <w:rPr>
          <w:b/>
          <w:szCs w:val="24"/>
        </w:rPr>
        <w:tab/>
      </w:r>
      <w:r w:rsidRPr="00736519">
        <w:rPr>
          <w:b/>
          <w:szCs w:val="24"/>
        </w:rPr>
        <w:tab/>
      </w:r>
      <w:r w:rsidRPr="00736519">
        <w:rPr>
          <w:szCs w:val="24"/>
        </w:rPr>
        <w:t>:</w:t>
      </w:r>
    </w:p>
    <w:p w:rsidR="00736519" w:rsidRPr="00736519" w:rsidRDefault="00736519" w:rsidP="00D1626D">
      <w:pPr>
        <w:tabs>
          <w:tab w:val="clear" w:pos="1440"/>
          <w:tab w:val="left" w:pos="0"/>
        </w:tabs>
        <w:spacing w:after="0" w:line="240" w:lineRule="auto"/>
        <w:jc w:val="both"/>
        <w:rPr>
          <w:szCs w:val="24"/>
        </w:rPr>
      </w:pPr>
      <w:r w:rsidRPr="00736519">
        <w:rPr>
          <w:szCs w:val="24"/>
        </w:rPr>
        <w:tab/>
        <w:t>v.</w:t>
      </w:r>
      <w:r w:rsidRPr="00736519">
        <w:rPr>
          <w:szCs w:val="24"/>
        </w:rPr>
        <w:tab/>
      </w:r>
      <w:r w:rsidRPr="00736519">
        <w:rPr>
          <w:szCs w:val="24"/>
        </w:rPr>
        <w:tab/>
      </w:r>
      <w:r w:rsidRPr="00736519">
        <w:rPr>
          <w:szCs w:val="24"/>
        </w:rPr>
        <w:tab/>
      </w:r>
      <w:r w:rsidRPr="00736519">
        <w:rPr>
          <w:szCs w:val="24"/>
        </w:rPr>
        <w:tab/>
      </w:r>
      <w:r w:rsidRPr="00736519">
        <w:rPr>
          <w:szCs w:val="24"/>
        </w:rPr>
        <w:tab/>
      </w:r>
      <w:r w:rsidRPr="00736519">
        <w:rPr>
          <w:szCs w:val="24"/>
        </w:rPr>
        <w:tab/>
        <w:t>:</w:t>
      </w:r>
      <w:r w:rsidRPr="00736519">
        <w:rPr>
          <w:b/>
          <w:szCs w:val="24"/>
        </w:rPr>
        <w:tab/>
      </w:r>
      <w:r w:rsidRPr="00736519">
        <w:rPr>
          <w:b/>
          <w:szCs w:val="24"/>
        </w:rPr>
        <w:tab/>
      </w:r>
      <w:r w:rsidRPr="00736519">
        <w:rPr>
          <w:szCs w:val="24"/>
        </w:rPr>
        <w:t>C-2014-2452659</w:t>
      </w:r>
    </w:p>
    <w:p w:rsidR="00736519" w:rsidRPr="00736519" w:rsidRDefault="00736519" w:rsidP="00D1626D">
      <w:pPr>
        <w:tabs>
          <w:tab w:val="clear" w:pos="1440"/>
          <w:tab w:val="left" w:pos="0"/>
        </w:tabs>
        <w:spacing w:after="0" w:line="240" w:lineRule="auto"/>
        <w:jc w:val="both"/>
        <w:rPr>
          <w:szCs w:val="24"/>
        </w:rPr>
      </w:pPr>
      <w:r w:rsidRPr="00736519">
        <w:rPr>
          <w:szCs w:val="24"/>
        </w:rPr>
        <w:tab/>
      </w:r>
      <w:r w:rsidRPr="00736519">
        <w:rPr>
          <w:szCs w:val="24"/>
        </w:rPr>
        <w:tab/>
      </w:r>
      <w:r w:rsidRPr="00736519">
        <w:rPr>
          <w:szCs w:val="24"/>
        </w:rPr>
        <w:tab/>
      </w:r>
      <w:r w:rsidRPr="00736519">
        <w:rPr>
          <w:szCs w:val="24"/>
        </w:rPr>
        <w:tab/>
      </w:r>
      <w:r w:rsidRPr="00736519">
        <w:rPr>
          <w:szCs w:val="24"/>
        </w:rPr>
        <w:tab/>
      </w:r>
      <w:r w:rsidRPr="00736519">
        <w:rPr>
          <w:szCs w:val="24"/>
        </w:rPr>
        <w:tab/>
      </w:r>
      <w:r w:rsidRPr="00736519">
        <w:rPr>
          <w:szCs w:val="24"/>
        </w:rPr>
        <w:tab/>
        <w:t>:</w:t>
      </w:r>
      <w:r w:rsidRPr="00736519">
        <w:rPr>
          <w:szCs w:val="24"/>
        </w:rPr>
        <w:tab/>
      </w:r>
      <w:r w:rsidRPr="00736519">
        <w:rPr>
          <w:szCs w:val="24"/>
        </w:rPr>
        <w:tab/>
      </w:r>
    </w:p>
    <w:p w:rsidR="00736519" w:rsidRPr="00736519" w:rsidRDefault="00736519" w:rsidP="00D1626D">
      <w:pPr>
        <w:tabs>
          <w:tab w:val="clear" w:pos="1440"/>
          <w:tab w:val="left" w:pos="0"/>
        </w:tabs>
        <w:spacing w:after="0" w:line="240" w:lineRule="auto"/>
        <w:jc w:val="both"/>
        <w:rPr>
          <w:szCs w:val="24"/>
        </w:rPr>
      </w:pPr>
      <w:r w:rsidRPr="00736519">
        <w:rPr>
          <w:szCs w:val="24"/>
        </w:rPr>
        <w:t>PECO Energy Company</w:t>
      </w:r>
      <w:r w:rsidRPr="00736519">
        <w:rPr>
          <w:szCs w:val="24"/>
        </w:rPr>
        <w:tab/>
      </w:r>
      <w:r w:rsidRPr="00736519">
        <w:rPr>
          <w:szCs w:val="24"/>
        </w:rPr>
        <w:tab/>
      </w:r>
      <w:r w:rsidRPr="00736519">
        <w:rPr>
          <w:szCs w:val="24"/>
        </w:rPr>
        <w:tab/>
      </w:r>
      <w:r w:rsidRPr="00736519">
        <w:rPr>
          <w:szCs w:val="24"/>
        </w:rPr>
        <w:tab/>
        <w:t>:</w:t>
      </w:r>
    </w:p>
    <w:p w:rsidR="00736519" w:rsidRPr="00736519" w:rsidRDefault="00736519" w:rsidP="00D1626D">
      <w:pPr>
        <w:tabs>
          <w:tab w:val="clear" w:pos="1440"/>
          <w:tab w:val="left" w:pos="0"/>
        </w:tabs>
        <w:spacing w:after="0" w:line="240" w:lineRule="auto"/>
        <w:jc w:val="both"/>
        <w:rPr>
          <w:szCs w:val="24"/>
        </w:rPr>
      </w:pPr>
    </w:p>
    <w:p w:rsidR="00736519" w:rsidRPr="00736519" w:rsidRDefault="00736519" w:rsidP="00D1626D">
      <w:pPr>
        <w:tabs>
          <w:tab w:val="clear" w:pos="1440"/>
        </w:tabs>
        <w:spacing w:after="0" w:line="240" w:lineRule="auto"/>
        <w:rPr>
          <w:szCs w:val="24"/>
        </w:rPr>
      </w:pPr>
      <w:r w:rsidRPr="00736519">
        <w:rPr>
          <w:szCs w:val="24"/>
        </w:rPr>
        <w:t xml:space="preserve"> </w:t>
      </w:r>
    </w:p>
    <w:p w:rsidR="00736519" w:rsidRPr="00736519" w:rsidRDefault="00736519" w:rsidP="00D1626D">
      <w:pPr>
        <w:tabs>
          <w:tab w:val="clear" w:pos="1440"/>
        </w:tabs>
        <w:spacing w:after="0" w:line="240" w:lineRule="auto"/>
        <w:rPr>
          <w:szCs w:val="24"/>
        </w:rPr>
      </w:pPr>
    </w:p>
    <w:p w:rsidR="004B05D8" w:rsidRDefault="004B05D8" w:rsidP="00D1626D">
      <w:pPr>
        <w:spacing w:after="0"/>
        <w:jc w:val="center"/>
        <w:rPr>
          <w:b/>
          <w:u w:val="single"/>
        </w:rPr>
      </w:pPr>
      <w:r w:rsidRPr="00100A76">
        <w:rPr>
          <w:b/>
          <w:u w:val="single"/>
        </w:rPr>
        <w:t>INITIAL DECISION</w:t>
      </w:r>
    </w:p>
    <w:p w:rsidR="003342DC" w:rsidRDefault="003342DC" w:rsidP="00D1626D">
      <w:pPr>
        <w:spacing w:after="0" w:line="240" w:lineRule="auto"/>
        <w:jc w:val="center"/>
        <w:rPr>
          <w:b/>
          <w:u w:val="single"/>
        </w:rPr>
      </w:pPr>
    </w:p>
    <w:p w:rsidR="00D1626D" w:rsidRPr="00100A76" w:rsidRDefault="00D1626D" w:rsidP="00D1626D">
      <w:pPr>
        <w:spacing w:after="0" w:line="240" w:lineRule="auto"/>
        <w:jc w:val="center"/>
        <w:rPr>
          <w:b/>
          <w:u w:val="single"/>
        </w:rPr>
      </w:pPr>
    </w:p>
    <w:p w:rsidR="004B05D8" w:rsidRDefault="004B05D8" w:rsidP="00D1626D">
      <w:pPr>
        <w:spacing w:after="0" w:line="240" w:lineRule="auto"/>
        <w:jc w:val="center"/>
      </w:pPr>
      <w:r>
        <w:t>Before</w:t>
      </w:r>
    </w:p>
    <w:p w:rsidR="004B05D8" w:rsidRDefault="004B05D8" w:rsidP="00D1626D">
      <w:pPr>
        <w:spacing w:after="0" w:line="240" w:lineRule="auto"/>
        <w:jc w:val="center"/>
      </w:pPr>
      <w:r>
        <w:t>Mary D. Long</w:t>
      </w:r>
    </w:p>
    <w:p w:rsidR="004B05D8" w:rsidRDefault="004B05D8" w:rsidP="00D1626D">
      <w:pPr>
        <w:spacing w:after="0" w:line="240" w:lineRule="auto"/>
        <w:jc w:val="center"/>
      </w:pPr>
      <w:r>
        <w:t>Administrative Law Judge</w:t>
      </w:r>
    </w:p>
    <w:p w:rsidR="00276C85" w:rsidRDefault="00276C85" w:rsidP="00D1626D">
      <w:pPr>
        <w:spacing w:after="0" w:line="240" w:lineRule="auto"/>
        <w:jc w:val="center"/>
      </w:pPr>
    </w:p>
    <w:p w:rsidR="00100A76" w:rsidRDefault="00100A76" w:rsidP="00D1626D">
      <w:pPr>
        <w:spacing w:after="0" w:line="240" w:lineRule="auto"/>
      </w:pPr>
    </w:p>
    <w:p w:rsidR="004B05D8" w:rsidRDefault="004B05D8" w:rsidP="00D1626D">
      <w:pPr>
        <w:spacing w:after="0" w:line="240" w:lineRule="auto"/>
        <w:jc w:val="center"/>
        <w:rPr>
          <w:u w:val="single"/>
        </w:rPr>
      </w:pPr>
      <w:r w:rsidRPr="00100A76">
        <w:rPr>
          <w:u w:val="single"/>
        </w:rPr>
        <w:t>INTRODUCTION</w:t>
      </w:r>
    </w:p>
    <w:p w:rsidR="003342DC" w:rsidRDefault="003342DC" w:rsidP="00D1626D">
      <w:pPr>
        <w:spacing w:after="0" w:line="240" w:lineRule="auto"/>
        <w:jc w:val="center"/>
        <w:rPr>
          <w:u w:val="single"/>
        </w:rPr>
      </w:pPr>
    </w:p>
    <w:p w:rsidR="003342DC" w:rsidRDefault="003342DC" w:rsidP="00D1626D">
      <w:pPr>
        <w:spacing w:after="0" w:line="240" w:lineRule="auto"/>
        <w:jc w:val="center"/>
        <w:rPr>
          <w:u w:val="single"/>
        </w:rPr>
      </w:pPr>
    </w:p>
    <w:p w:rsidR="002C308D" w:rsidRDefault="002C308D" w:rsidP="00D1626D">
      <w:pPr>
        <w:spacing w:after="0"/>
      </w:pPr>
      <w:r>
        <w:tab/>
        <w:t>The claim in a formal complaint of a customer that her bills are too high is dismissed because the customer failed to sustain her burden of proof.  Further, the company demonstrated that her energy usage was well below the potential consumption.  However, the customer’s request for a payment arrangement will be granted.</w:t>
      </w:r>
    </w:p>
    <w:p w:rsidR="003342DC" w:rsidRDefault="003342DC" w:rsidP="00276C85">
      <w:pPr>
        <w:spacing w:after="0"/>
      </w:pPr>
    </w:p>
    <w:p w:rsidR="00434DA3" w:rsidRDefault="004B05D8" w:rsidP="00276C85">
      <w:pPr>
        <w:spacing w:after="0"/>
        <w:jc w:val="center"/>
        <w:rPr>
          <w:u w:val="single"/>
        </w:rPr>
      </w:pPr>
      <w:r w:rsidRPr="00100A76">
        <w:rPr>
          <w:u w:val="single"/>
        </w:rPr>
        <w:t>HISTORY OF THE PROCEEDING</w:t>
      </w:r>
    </w:p>
    <w:p w:rsidR="00434DA3" w:rsidRPr="00100A76" w:rsidRDefault="00434DA3" w:rsidP="00276C85">
      <w:pPr>
        <w:spacing w:after="0"/>
        <w:jc w:val="center"/>
        <w:rPr>
          <w:u w:val="single"/>
        </w:rPr>
      </w:pPr>
    </w:p>
    <w:p w:rsidR="004B05D8" w:rsidRDefault="004B05D8" w:rsidP="00276C85">
      <w:pPr>
        <w:spacing w:after="0"/>
      </w:pPr>
      <w:r>
        <w:tab/>
        <w:t xml:space="preserve">On November 7, 2014, Dionne Oliver-Booker (Complainant) filed a formal complaint against PECO Energy Company (PECO). </w:t>
      </w:r>
      <w:r w:rsidR="00FA6FCE">
        <w:t xml:space="preserve"> </w:t>
      </w:r>
      <w:r>
        <w:t>In her complaint the Complainant alleges that her bills are too high and that she wants a payment arrangement she can afford</w:t>
      </w:r>
      <w:r w:rsidR="00533E44">
        <w:t>.</w:t>
      </w:r>
      <w:r>
        <w:t xml:space="preserve">  PECO filed an answer denying the material allegations of the complaint on November 17, 2014.</w:t>
      </w:r>
    </w:p>
    <w:p w:rsidR="00434DA3" w:rsidRDefault="00434DA3" w:rsidP="00276C85">
      <w:pPr>
        <w:spacing w:after="0"/>
      </w:pPr>
    </w:p>
    <w:p w:rsidR="004B05D8" w:rsidRDefault="004B05D8" w:rsidP="003950BD">
      <w:pPr>
        <w:spacing w:after="0"/>
      </w:pPr>
      <w:r>
        <w:tab/>
        <w:t xml:space="preserve">By hearing notice dated February 24, 2015, this matter was assigned to me and scheduled for a telephonic hearing on April 3, 2015.  The hearing was held as scheduled.  The Complainant appeared and testified on her own behalf.  PECO was represented by Shawane Lee, </w:t>
      </w:r>
      <w:r>
        <w:lastRenderedPageBreak/>
        <w:t xml:space="preserve">Esquire. </w:t>
      </w:r>
      <w:r w:rsidR="003B3F6C">
        <w:t xml:space="preserve"> </w:t>
      </w:r>
      <w:r>
        <w:t>PECO presented the testimony of two witnesses and offered nine exhibits which were admitted into the record.  After the transcript was received, the record was closed by order dated May 1, 2015.  The hearing generated a transcript of 57 pages.</w:t>
      </w:r>
    </w:p>
    <w:p w:rsidR="00276C85" w:rsidRDefault="00276C85" w:rsidP="003950BD">
      <w:pPr>
        <w:spacing w:after="0"/>
      </w:pPr>
    </w:p>
    <w:p w:rsidR="004B05D8" w:rsidRDefault="004B05D8" w:rsidP="003950BD">
      <w:pPr>
        <w:spacing w:after="0"/>
        <w:jc w:val="center"/>
        <w:rPr>
          <w:u w:val="single"/>
        </w:rPr>
      </w:pPr>
      <w:r w:rsidRPr="00521D21">
        <w:rPr>
          <w:u w:val="single"/>
        </w:rPr>
        <w:t>FINDINGS OF FACT</w:t>
      </w:r>
    </w:p>
    <w:p w:rsidR="00D1626D" w:rsidRPr="00521D21" w:rsidRDefault="00D1626D" w:rsidP="003950BD">
      <w:pPr>
        <w:spacing w:after="0"/>
        <w:jc w:val="center"/>
        <w:rPr>
          <w:u w:val="single"/>
        </w:rPr>
      </w:pPr>
    </w:p>
    <w:p w:rsidR="004B05D8" w:rsidRDefault="004B05D8" w:rsidP="003950BD">
      <w:pPr>
        <w:pStyle w:val="ListParagraph"/>
      </w:pPr>
      <w:r>
        <w:t>The Complainant is Dionne Oliver-Booker.  She resides at 7115 Guilford Road, Upper Darby, Pennsylvania</w:t>
      </w:r>
      <w:r w:rsidR="00DE27A5">
        <w:t xml:space="preserve"> (service address)</w:t>
      </w:r>
      <w:r>
        <w:t>.</w:t>
      </w:r>
    </w:p>
    <w:p w:rsidR="00276C85" w:rsidRDefault="00276C85" w:rsidP="003950BD">
      <w:pPr>
        <w:spacing w:after="0"/>
        <w:ind w:left="2160"/>
      </w:pPr>
    </w:p>
    <w:p w:rsidR="004B05D8" w:rsidRDefault="00C05D99" w:rsidP="003950BD">
      <w:pPr>
        <w:pStyle w:val="ListParagraph"/>
      </w:pPr>
      <w:r>
        <w:t xml:space="preserve">The </w:t>
      </w:r>
      <w:r w:rsidR="00137032">
        <w:t>R</w:t>
      </w:r>
      <w:r>
        <w:t>espondent is PECO Energy Company which provides residential utility service to the Complainant.</w:t>
      </w:r>
    </w:p>
    <w:p w:rsidR="00276C85" w:rsidRDefault="00276C85" w:rsidP="003950BD">
      <w:pPr>
        <w:spacing w:after="0"/>
        <w:ind w:left="2160"/>
      </w:pPr>
    </w:p>
    <w:p w:rsidR="00C05D99" w:rsidRDefault="00C05D99" w:rsidP="003950BD">
      <w:pPr>
        <w:pStyle w:val="ListParagraph"/>
      </w:pPr>
      <w:r>
        <w:t>The Complainant has resided at the ser</w:t>
      </w:r>
      <w:r w:rsidR="00E25FD6">
        <w:t>vice address since November 2013</w:t>
      </w:r>
      <w:r>
        <w:t xml:space="preserve">.  It is a row house and includes two bedrooms, a kitchen, a living area, a dining room and a bathroom. </w:t>
      </w:r>
      <w:r w:rsidR="00790D1A">
        <w:t xml:space="preserve"> </w:t>
      </w:r>
      <w:r>
        <w:t>(N.T. 8-9</w:t>
      </w:r>
      <w:r w:rsidR="00E25FD6">
        <w:t>; 24</w:t>
      </w:r>
      <w:r>
        <w:t>)</w:t>
      </w:r>
    </w:p>
    <w:p w:rsidR="00D1626D" w:rsidRDefault="00D1626D" w:rsidP="003950BD">
      <w:pPr>
        <w:spacing w:after="0"/>
        <w:ind w:left="2160"/>
      </w:pPr>
    </w:p>
    <w:p w:rsidR="00A17D41" w:rsidRDefault="00A17D41" w:rsidP="003950BD">
      <w:pPr>
        <w:pStyle w:val="ListParagraph"/>
      </w:pPr>
      <w:r>
        <w:t>The Complainant resides with her adult daughter.  (N.T. 10)</w:t>
      </w:r>
    </w:p>
    <w:p w:rsidR="00276C85" w:rsidRDefault="00276C85" w:rsidP="003950BD">
      <w:pPr>
        <w:spacing w:after="0"/>
        <w:ind w:left="2160"/>
      </w:pPr>
    </w:p>
    <w:p w:rsidR="00C05D99" w:rsidRDefault="00C05D99" w:rsidP="003950BD">
      <w:pPr>
        <w:pStyle w:val="ListParagraph"/>
      </w:pPr>
      <w:r>
        <w:t>The electric applian</w:t>
      </w:r>
      <w:r w:rsidR="00877633">
        <w:t>ces in the home include a refri</w:t>
      </w:r>
      <w:r w:rsidR="00533E44">
        <w:t>gerator, microwave,</w:t>
      </w:r>
      <w:r w:rsidR="008C3AA0">
        <w:t xml:space="preserve"> a window</w:t>
      </w:r>
      <w:r w:rsidR="0096608C">
        <w:t xml:space="preserve"> air conditioner</w:t>
      </w:r>
      <w:r w:rsidR="009553EC">
        <w:t xml:space="preserve">, </w:t>
      </w:r>
      <w:r w:rsidR="008C3AA0">
        <w:t>two televisions, and three space heaters</w:t>
      </w:r>
      <w:r w:rsidR="009553EC">
        <w:t>.  The Complainant’s residence is heated with a gas hot water heater</w:t>
      </w:r>
      <w:r>
        <w:t>.  (N.T. 9-10</w:t>
      </w:r>
      <w:r w:rsidR="009553EC">
        <w:t>; 39</w:t>
      </w:r>
      <w:r w:rsidR="008C3AA0">
        <w:t>, 42</w:t>
      </w:r>
      <w:r>
        <w:t>)</w:t>
      </w:r>
    </w:p>
    <w:p w:rsidR="00D1626D" w:rsidRDefault="00D1626D" w:rsidP="003950BD">
      <w:pPr>
        <w:spacing w:after="0"/>
        <w:ind w:left="2160"/>
      </w:pPr>
    </w:p>
    <w:p w:rsidR="005A5400" w:rsidRDefault="005A5400" w:rsidP="003950BD">
      <w:pPr>
        <w:pStyle w:val="ListParagraph"/>
      </w:pPr>
      <w:r>
        <w:t>During the winter the Complainant typically sets her thermostat at 75º</w:t>
      </w:r>
      <w:r w:rsidR="00533E44">
        <w:t xml:space="preserve"> F</w:t>
      </w:r>
      <w:r>
        <w:t>. (N.T. 15)</w:t>
      </w:r>
    </w:p>
    <w:p w:rsidR="008C53D2" w:rsidRDefault="008C53D2" w:rsidP="003950BD">
      <w:pPr>
        <w:spacing w:after="0"/>
        <w:ind w:left="1440"/>
      </w:pPr>
    </w:p>
    <w:p w:rsidR="005A5400" w:rsidRDefault="005A5400" w:rsidP="003950BD">
      <w:pPr>
        <w:pStyle w:val="ListParagraph"/>
      </w:pPr>
      <w:r>
        <w:t>The Complainant’s daughter sometimes uses her air conditioner between November and March and set</w:t>
      </w:r>
      <w:r w:rsidR="003A2138">
        <w:t xml:space="preserve">s </w:t>
      </w:r>
      <w:r>
        <w:t>the temperature on “low.”  She does not leave it turned on if she is not in the room.  (N.T. 15)</w:t>
      </w:r>
    </w:p>
    <w:p w:rsidR="00D1626D" w:rsidRDefault="00D1626D" w:rsidP="003950BD">
      <w:pPr>
        <w:spacing w:after="0"/>
        <w:ind w:left="2160"/>
      </w:pPr>
    </w:p>
    <w:p w:rsidR="00780121" w:rsidRDefault="00780121" w:rsidP="003950BD">
      <w:pPr>
        <w:pStyle w:val="ListParagraph"/>
      </w:pPr>
      <w:r>
        <w:t>The Complainant’s daughter sometimes leaves the window open in her room, even in the winter because she gets hot.  (N.T. 20)</w:t>
      </w:r>
    </w:p>
    <w:p w:rsidR="006E78C2" w:rsidRDefault="006E78C2" w:rsidP="005B70DA">
      <w:pPr>
        <w:pStyle w:val="ListParagraph"/>
      </w:pPr>
      <w:r>
        <w:lastRenderedPageBreak/>
        <w:t xml:space="preserve">The Complainant owns space heaters, but does not </w:t>
      </w:r>
      <w:r w:rsidR="000224AD">
        <w:t xml:space="preserve">typically </w:t>
      </w:r>
      <w:r>
        <w:t>use them.  (N.T. 20)</w:t>
      </w:r>
    </w:p>
    <w:p w:rsidR="00D1626D" w:rsidRDefault="00D1626D" w:rsidP="00623C6C">
      <w:pPr>
        <w:spacing w:after="0"/>
        <w:ind w:left="1440"/>
      </w:pPr>
    </w:p>
    <w:p w:rsidR="0096608C" w:rsidRDefault="0096608C" w:rsidP="005B70DA">
      <w:pPr>
        <w:pStyle w:val="ListParagraph"/>
      </w:pPr>
      <w:r>
        <w:t>A high bill investigator visited the Complainant’s residence on December</w:t>
      </w:r>
      <w:r w:rsidR="00234CDE">
        <w:t> 1</w:t>
      </w:r>
      <w:r>
        <w:t>, 2014.</w:t>
      </w:r>
      <w:r w:rsidR="006A6ECF">
        <w:t xml:space="preserve"> </w:t>
      </w:r>
      <w:r>
        <w:t xml:space="preserve"> (N.T. 38; PECO Ex. 9)</w:t>
      </w:r>
    </w:p>
    <w:p w:rsidR="00D1626D" w:rsidRDefault="00D1626D" w:rsidP="00623C6C">
      <w:pPr>
        <w:spacing w:after="0"/>
        <w:ind w:left="1440"/>
      </w:pPr>
    </w:p>
    <w:p w:rsidR="008C3AA0" w:rsidRDefault="008C3AA0" w:rsidP="005B70DA">
      <w:pPr>
        <w:pStyle w:val="ListParagraph"/>
      </w:pPr>
      <w:r>
        <w:t>The investigator performed foreign load testing and also tested the function of the electric and gas meters.  (N.T. 39-40; PECO Ex. 9)</w:t>
      </w:r>
    </w:p>
    <w:p w:rsidR="00D1626D" w:rsidRDefault="00D1626D" w:rsidP="00623C6C">
      <w:pPr>
        <w:spacing w:after="0"/>
        <w:ind w:left="1440"/>
      </w:pPr>
    </w:p>
    <w:p w:rsidR="008C3AA0" w:rsidRDefault="008C3AA0" w:rsidP="005B70DA">
      <w:pPr>
        <w:pStyle w:val="ListParagraph"/>
      </w:pPr>
      <w:r>
        <w:t xml:space="preserve">There was no foreign load, meter mix or meter malfunction indicated by PECO’s testing. </w:t>
      </w:r>
      <w:r w:rsidR="001B3EF4">
        <w:t xml:space="preserve"> </w:t>
      </w:r>
      <w:r>
        <w:t>(N.T. 39-41)</w:t>
      </w:r>
    </w:p>
    <w:p w:rsidR="00D1626D" w:rsidRDefault="00D1626D" w:rsidP="00623C6C">
      <w:pPr>
        <w:spacing w:after="0"/>
        <w:ind w:left="1440"/>
      </w:pPr>
    </w:p>
    <w:p w:rsidR="00D1626D" w:rsidRDefault="000224AD" w:rsidP="005B70DA">
      <w:pPr>
        <w:pStyle w:val="ListParagraph"/>
      </w:pPr>
      <w:r>
        <w:t xml:space="preserve">The investigator calculated the Complainant’s potential </w:t>
      </w:r>
      <w:r w:rsidR="004A322D">
        <w:t>electric</w:t>
      </w:r>
      <w:r>
        <w:t xml:space="preserve"> usage based on the electric appliances and lighting in the house.  </w:t>
      </w:r>
      <w:r w:rsidR="008C3AA0">
        <w:t>The Complainant’s residence has the potential to use 815 kWh</w:t>
      </w:r>
      <w:r>
        <w:t xml:space="preserve"> of electricity</w:t>
      </w:r>
      <w:r w:rsidR="008C3AA0">
        <w:t xml:space="preserve"> per month in the summer. </w:t>
      </w:r>
      <w:r w:rsidR="00491C93">
        <w:t xml:space="preserve"> </w:t>
      </w:r>
      <w:r w:rsidR="008C3AA0">
        <w:t>Winter potential use is 3,684 kWh per month.</w:t>
      </w:r>
      <w:r w:rsidR="00B72915">
        <w:t xml:space="preserve"> </w:t>
      </w:r>
      <w:r w:rsidR="008C3AA0">
        <w:t xml:space="preserve"> (N.T. 43-44)</w:t>
      </w:r>
    </w:p>
    <w:p w:rsidR="00D1626D" w:rsidRDefault="00D1626D" w:rsidP="002F6957">
      <w:pPr>
        <w:spacing w:after="0"/>
        <w:ind w:left="1440"/>
      </w:pPr>
    </w:p>
    <w:p w:rsidR="00542847" w:rsidRDefault="00542847" w:rsidP="005B70DA">
      <w:pPr>
        <w:pStyle w:val="ListParagraph"/>
      </w:pPr>
      <w:r>
        <w:t>The Complainant’s actual summer</w:t>
      </w:r>
      <w:r w:rsidR="000224AD">
        <w:t xml:space="preserve"> electricity</w:t>
      </w:r>
      <w:r>
        <w:t xml:space="preserve"> usage was:</w:t>
      </w:r>
    </w:p>
    <w:p w:rsidR="00D1626D" w:rsidRDefault="00D1626D" w:rsidP="002F6957">
      <w:pPr>
        <w:spacing w:after="0" w:line="240" w:lineRule="auto"/>
        <w:ind w:left="720"/>
      </w:pPr>
    </w:p>
    <w:tbl>
      <w:tblPr>
        <w:tblStyle w:val="TableGrid"/>
        <w:tblW w:w="0" w:type="auto"/>
        <w:tblInd w:w="1702" w:type="dxa"/>
        <w:tblLook w:val="04A0" w:firstRow="1" w:lastRow="0" w:firstColumn="1" w:lastColumn="0" w:noHBand="0" w:noVBand="1"/>
      </w:tblPr>
      <w:tblGrid>
        <w:gridCol w:w="3350"/>
        <w:gridCol w:w="1161"/>
      </w:tblGrid>
      <w:tr w:rsidR="00542847" w:rsidTr="002C66CE">
        <w:trPr>
          <w:trHeight w:val="208"/>
        </w:trPr>
        <w:tc>
          <w:tcPr>
            <w:tcW w:w="3350" w:type="dxa"/>
          </w:tcPr>
          <w:p w:rsidR="00542847" w:rsidRDefault="00542847" w:rsidP="00292DC1">
            <w:pPr>
              <w:spacing w:after="0" w:line="240" w:lineRule="auto"/>
            </w:pPr>
            <w:r>
              <w:t>June 10-July 10, 2014</w:t>
            </w:r>
          </w:p>
        </w:tc>
        <w:tc>
          <w:tcPr>
            <w:tcW w:w="1161" w:type="dxa"/>
          </w:tcPr>
          <w:p w:rsidR="00542847" w:rsidRDefault="00542847" w:rsidP="00292DC1">
            <w:pPr>
              <w:spacing w:after="0" w:line="240" w:lineRule="auto"/>
            </w:pPr>
            <w:r>
              <w:t>716 kWh</w:t>
            </w:r>
          </w:p>
        </w:tc>
      </w:tr>
      <w:tr w:rsidR="00542847" w:rsidTr="002C66CE">
        <w:trPr>
          <w:trHeight w:val="208"/>
        </w:trPr>
        <w:tc>
          <w:tcPr>
            <w:tcW w:w="3350" w:type="dxa"/>
          </w:tcPr>
          <w:p w:rsidR="00542847" w:rsidRDefault="00542847" w:rsidP="00292DC1">
            <w:pPr>
              <w:spacing w:after="0" w:line="240" w:lineRule="auto"/>
            </w:pPr>
            <w:r>
              <w:t>July 10-August 10, 2014</w:t>
            </w:r>
          </w:p>
        </w:tc>
        <w:tc>
          <w:tcPr>
            <w:tcW w:w="1161" w:type="dxa"/>
          </w:tcPr>
          <w:p w:rsidR="00542847" w:rsidRDefault="00542847" w:rsidP="00292DC1">
            <w:pPr>
              <w:spacing w:after="0" w:line="240" w:lineRule="auto"/>
            </w:pPr>
            <w:r>
              <w:t>605 kWh</w:t>
            </w:r>
          </w:p>
        </w:tc>
      </w:tr>
      <w:tr w:rsidR="00542847" w:rsidTr="002C66CE">
        <w:trPr>
          <w:trHeight w:val="213"/>
        </w:trPr>
        <w:tc>
          <w:tcPr>
            <w:tcW w:w="3350" w:type="dxa"/>
          </w:tcPr>
          <w:p w:rsidR="00542847" w:rsidRDefault="00542847" w:rsidP="00292DC1">
            <w:pPr>
              <w:spacing w:after="0" w:line="240" w:lineRule="auto"/>
            </w:pPr>
            <w:r>
              <w:t>August 10-September 10</w:t>
            </w:r>
            <w:r w:rsidR="002C66CE">
              <w:t>, 2014</w:t>
            </w:r>
          </w:p>
        </w:tc>
        <w:tc>
          <w:tcPr>
            <w:tcW w:w="1161" w:type="dxa"/>
          </w:tcPr>
          <w:p w:rsidR="00542847" w:rsidRDefault="00542847" w:rsidP="00292DC1">
            <w:pPr>
              <w:spacing w:after="0" w:line="240" w:lineRule="auto"/>
            </w:pPr>
            <w:r>
              <w:t>490 kWh</w:t>
            </w:r>
          </w:p>
        </w:tc>
      </w:tr>
    </w:tbl>
    <w:p w:rsidR="0088342D" w:rsidRDefault="0088342D" w:rsidP="00BD0F9C">
      <w:pPr>
        <w:spacing w:after="0" w:line="240" w:lineRule="auto"/>
        <w:ind w:left="720"/>
      </w:pPr>
    </w:p>
    <w:p w:rsidR="00542847" w:rsidRDefault="00623C6C" w:rsidP="00BD0F9C">
      <w:pPr>
        <w:spacing w:after="0" w:line="240" w:lineRule="auto"/>
        <w:ind w:left="720"/>
      </w:pPr>
      <w:r>
        <w:tab/>
      </w:r>
      <w:r w:rsidR="000224AD">
        <w:t>(</w:t>
      </w:r>
      <w:r w:rsidR="00542847">
        <w:t>PECO Ex. 1)</w:t>
      </w:r>
    </w:p>
    <w:p w:rsidR="00D1626D" w:rsidRDefault="00D1626D" w:rsidP="00BD0F9C">
      <w:pPr>
        <w:spacing w:after="0"/>
        <w:ind w:left="720"/>
      </w:pPr>
    </w:p>
    <w:p w:rsidR="00620631" w:rsidRDefault="007E7C87" w:rsidP="00292DC1">
      <w:pPr>
        <w:pStyle w:val="ListParagraph"/>
        <w:ind w:left="0"/>
      </w:pPr>
      <w:r>
        <w:t xml:space="preserve">This usage is </w:t>
      </w:r>
      <w:r w:rsidR="000224AD">
        <w:t xml:space="preserve">less than </w:t>
      </w:r>
      <w:r>
        <w:t>the potential use calculated by the PECO investigator</w:t>
      </w:r>
      <w:r w:rsidR="000224AD">
        <w:t xml:space="preserve"> and consistent with her consumption pattern in other time periods</w:t>
      </w:r>
      <w:r>
        <w:t>.  (N.T. 44</w:t>
      </w:r>
      <w:r w:rsidR="008539E0">
        <w:t>-45</w:t>
      </w:r>
      <w:r w:rsidR="00542847">
        <w:t>)</w:t>
      </w:r>
    </w:p>
    <w:p w:rsidR="00620631" w:rsidRDefault="00620631">
      <w:pPr>
        <w:tabs>
          <w:tab w:val="clear" w:pos="1440"/>
        </w:tabs>
        <w:spacing w:after="200" w:line="276" w:lineRule="auto"/>
      </w:pPr>
      <w:r>
        <w:br w:type="page"/>
      </w:r>
    </w:p>
    <w:p w:rsidR="00620631" w:rsidRDefault="002C66CE" w:rsidP="00620631">
      <w:pPr>
        <w:pStyle w:val="ListParagraph"/>
        <w:spacing w:line="240" w:lineRule="auto"/>
        <w:ind w:left="0"/>
      </w:pPr>
      <w:r>
        <w:lastRenderedPageBreak/>
        <w:t xml:space="preserve">The Complainant’s actual winter </w:t>
      </w:r>
      <w:r w:rsidR="00C209AB">
        <w:t xml:space="preserve">electricity </w:t>
      </w:r>
      <w:r>
        <w:t>usage was:</w:t>
      </w:r>
    </w:p>
    <w:p w:rsidR="00620631" w:rsidRDefault="00620631" w:rsidP="00620631">
      <w:pPr>
        <w:pStyle w:val="ListParagraph"/>
        <w:numPr>
          <w:ilvl w:val="0"/>
          <w:numId w:val="0"/>
        </w:numPr>
        <w:spacing w:line="240" w:lineRule="auto"/>
        <w:ind w:left="1350"/>
      </w:pPr>
    </w:p>
    <w:tbl>
      <w:tblPr>
        <w:tblStyle w:val="TableGrid"/>
        <w:tblpPr w:leftFromText="180" w:rightFromText="180" w:vertAnchor="text" w:horzAnchor="page" w:tblpX="2869" w:tblpY="336"/>
        <w:tblW w:w="0" w:type="auto"/>
        <w:tblLook w:val="04A0" w:firstRow="1" w:lastRow="0" w:firstColumn="1" w:lastColumn="0" w:noHBand="0" w:noVBand="1"/>
      </w:tblPr>
      <w:tblGrid>
        <w:gridCol w:w="3409"/>
        <w:gridCol w:w="1581"/>
      </w:tblGrid>
      <w:tr w:rsidR="005A562E" w:rsidTr="007D66B4">
        <w:trPr>
          <w:trHeight w:val="335"/>
        </w:trPr>
        <w:tc>
          <w:tcPr>
            <w:tcW w:w="3409" w:type="dxa"/>
          </w:tcPr>
          <w:p w:rsidR="005A562E" w:rsidRDefault="005A562E" w:rsidP="00292DC1">
            <w:pPr>
              <w:spacing w:after="0" w:line="240" w:lineRule="auto"/>
            </w:pPr>
            <w:r>
              <w:t>November 7-December 10, 2014</w:t>
            </w:r>
          </w:p>
        </w:tc>
        <w:tc>
          <w:tcPr>
            <w:tcW w:w="1581" w:type="dxa"/>
          </w:tcPr>
          <w:p w:rsidR="005A562E" w:rsidRDefault="005A562E" w:rsidP="00292DC1">
            <w:pPr>
              <w:spacing w:after="0" w:line="240" w:lineRule="auto"/>
            </w:pPr>
            <w:r>
              <w:t>633 kWh</w:t>
            </w:r>
          </w:p>
        </w:tc>
      </w:tr>
      <w:tr w:rsidR="005A562E" w:rsidTr="007D66B4">
        <w:trPr>
          <w:trHeight w:val="335"/>
        </w:trPr>
        <w:tc>
          <w:tcPr>
            <w:tcW w:w="3409" w:type="dxa"/>
          </w:tcPr>
          <w:p w:rsidR="005A562E" w:rsidRDefault="005A562E" w:rsidP="00292DC1">
            <w:pPr>
              <w:spacing w:after="0" w:line="240" w:lineRule="auto"/>
            </w:pPr>
            <w:r>
              <w:t>December 10</w:t>
            </w:r>
            <w:r w:rsidR="00F50B1A">
              <w:t>-</w:t>
            </w:r>
            <w:r>
              <w:t xml:space="preserve">January 12, 2015 </w:t>
            </w:r>
          </w:p>
        </w:tc>
        <w:tc>
          <w:tcPr>
            <w:tcW w:w="1581" w:type="dxa"/>
          </w:tcPr>
          <w:p w:rsidR="005A562E" w:rsidRDefault="005A562E" w:rsidP="00292DC1">
            <w:pPr>
              <w:spacing w:after="0" w:line="240" w:lineRule="auto"/>
            </w:pPr>
            <w:r>
              <w:t>647 kWh</w:t>
            </w:r>
          </w:p>
        </w:tc>
      </w:tr>
      <w:tr w:rsidR="005A562E" w:rsidTr="007D66B4">
        <w:trPr>
          <w:trHeight w:val="341"/>
        </w:trPr>
        <w:tc>
          <w:tcPr>
            <w:tcW w:w="3409" w:type="dxa"/>
          </w:tcPr>
          <w:p w:rsidR="005A562E" w:rsidRDefault="005A562E" w:rsidP="00292DC1">
            <w:pPr>
              <w:spacing w:after="0" w:line="240" w:lineRule="auto"/>
            </w:pPr>
            <w:r>
              <w:t>January 12-February 11, 2015</w:t>
            </w:r>
          </w:p>
        </w:tc>
        <w:tc>
          <w:tcPr>
            <w:tcW w:w="1581" w:type="dxa"/>
          </w:tcPr>
          <w:p w:rsidR="005A562E" w:rsidRDefault="005A562E" w:rsidP="00292DC1">
            <w:pPr>
              <w:spacing w:after="0" w:line="240" w:lineRule="auto"/>
            </w:pPr>
            <w:r>
              <w:t>1099 kWh</w:t>
            </w:r>
          </w:p>
        </w:tc>
      </w:tr>
    </w:tbl>
    <w:p w:rsidR="002C66CE" w:rsidRDefault="002C66CE" w:rsidP="00292DC1">
      <w:pPr>
        <w:spacing w:after="0" w:line="240" w:lineRule="auto"/>
      </w:pPr>
    </w:p>
    <w:p w:rsidR="005A562E" w:rsidRDefault="005A562E" w:rsidP="00BD0F9C">
      <w:pPr>
        <w:spacing w:after="0" w:line="240" w:lineRule="auto"/>
        <w:ind w:left="720"/>
      </w:pPr>
    </w:p>
    <w:p w:rsidR="005A562E" w:rsidRDefault="005A562E" w:rsidP="00BD0F9C">
      <w:pPr>
        <w:spacing w:after="0" w:line="240" w:lineRule="auto"/>
        <w:ind w:left="720"/>
      </w:pPr>
    </w:p>
    <w:p w:rsidR="005A562E" w:rsidRDefault="007D66B4" w:rsidP="00BD0F9C">
      <w:pPr>
        <w:spacing w:after="0" w:line="240" w:lineRule="auto"/>
        <w:ind w:left="720"/>
      </w:pPr>
      <w:r>
        <w:t xml:space="preserve"> </w:t>
      </w:r>
    </w:p>
    <w:p w:rsidR="0088342D" w:rsidRDefault="0088342D" w:rsidP="009A774C">
      <w:pPr>
        <w:ind w:left="720"/>
      </w:pPr>
    </w:p>
    <w:p w:rsidR="005A562E" w:rsidRDefault="003C4F46" w:rsidP="003C4F46">
      <w:pPr>
        <w:spacing w:after="0"/>
        <w:ind w:left="720"/>
      </w:pPr>
      <w:r>
        <w:tab/>
      </w:r>
      <w:r w:rsidR="005A562E">
        <w:t>(PECO Ex. 1)</w:t>
      </w:r>
    </w:p>
    <w:p w:rsidR="00BD0F9C" w:rsidRDefault="00BD0F9C" w:rsidP="003950BD">
      <w:pPr>
        <w:spacing w:after="0"/>
        <w:ind w:left="720"/>
      </w:pPr>
    </w:p>
    <w:p w:rsidR="005A562E" w:rsidRDefault="005A562E" w:rsidP="003950BD">
      <w:pPr>
        <w:pStyle w:val="ListParagraph"/>
      </w:pPr>
      <w:r>
        <w:t>This usage is consistent with the potential use calculated by the PECO investigator. (N.T. 48)</w:t>
      </w:r>
    </w:p>
    <w:p w:rsidR="00D1626D" w:rsidRDefault="00D1626D" w:rsidP="003950BD">
      <w:pPr>
        <w:spacing w:after="0"/>
        <w:ind w:left="720"/>
      </w:pPr>
    </w:p>
    <w:p w:rsidR="00AD08F7" w:rsidRDefault="000224AD" w:rsidP="003950BD">
      <w:pPr>
        <w:pStyle w:val="ListParagraph"/>
      </w:pPr>
      <w:r>
        <w:t>The PECO investigator also calculated the</w:t>
      </w:r>
      <w:r w:rsidR="00AD08F7">
        <w:t xml:space="preserve"> Complainant’s potential usage for gas</w:t>
      </w:r>
      <w:r>
        <w:t xml:space="preserve"> based on the gas appliances in the house.  The Complainant’s potential to use gas</w:t>
      </w:r>
      <w:r w:rsidR="00AD08F7">
        <w:t xml:space="preserve"> was 392 ccf per month.</w:t>
      </w:r>
      <w:r w:rsidR="00847715">
        <w:t xml:space="preserve">  The Complainant’s actual consumption during the summer and winter was consistently less than the potential usage. For example her winter usage was: </w:t>
      </w:r>
    </w:p>
    <w:tbl>
      <w:tblPr>
        <w:tblStyle w:val="TableGrid"/>
        <w:tblpPr w:leftFromText="180" w:rightFromText="180" w:vertAnchor="text" w:horzAnchor="page" w:tblpX="2869" w:tblpY="336"/>
        <w:tblW w:w="0" w:type="auto"/>
        <w:tblLook w:val="04A0" w:firstRow="1" w:lastRow="0" w:firstColumn="1" w:lastColumn="0" w:noHBand="0" w:noVBand="1"/>
      </w:tblPr>
      <w:tblGrid>
        <w:gridCol w:w="3401"/>
        <w:gridCol w:w="1579"/>
      </w:tblGrid>
      <w:tr w:rsidR="00847715" w:rsidTr="00620631">
        <w:trPr>
          <w:trHeight w:val="384"/>
        </w:trPr>
        <w:tc>
          <w:tcPr>
            <w:tcW w:w="3401" w:type="dxa"/>
          </w:tcPr>
          <w:p w:rsidR="00847715" w:rsidRDefault="00847715" w:rsidP="00CB406C">
            <w:pPr>
              <w:spacing w:after="0" w:line="240" w:lineRule="auto"/>
            </w:pPr>
            <w:r>
              <w:t>November 7-December 10, 2014</w:t>
            </w:r>
          </w:p>
        </w:tc>
        <w:tc>
          <w:tcPr>
            <w:tcW w:w="1579" w:type="dxa"/>
          </w:tcPr>
          <w:p w:rsidR="00847715" w:rsidRDefault="00847715" w:rsidP="00CB406C">
            <w:pPr>
              <w:spacing w:after="0" w:line="240" w:lineRule="auto"/>
            </w:pPr>
            <w:r>
              <w:t>230 ccf</w:t>
            </w:r>
          </w:p>
        </w:tc>
      </w:tr>
      <w:tr w:rsidR="00847715" w:rsidTr="00620631">
        <w:trPr>
          <w:trHeight w:val="384"/>
        </w:trPr>
        <w:tc>
          <w:tcPr>
            <w:tcW w:w="3401" w:type="dxa"/>
          </w:tcPr>
          <w:p w:rsidR="00847715" w:rsidRDefault="00221068" w:rsidP="00CB406C">
            <w:pPr>
              <w:spacing w:after="0" w:line="240" w:lineRule="auto"/>
            </w:pPr>
            <w:r>
              <w:t>December 10-</w:t>
            </w:r>
            <w:r w:rsidR="00847715">
              <w:t xml:space="preserve">January 12, 2015 </w:t>
            </w:r>
          </w:p>
        </w:tc>
        <w:tc>
          <w:tcPr>
            <w:tcW w:w="1579" w:type="dxa"/>
          </w:tcPr>
          <w:p w:rsidR="00847715" w:rsidRDefault="00847715" w:rsidP="00CB406C">
            <w:pPr>
              <w:spacing w:after="0" w:line="240" w:lineRule="auto"/>
            </w:pPr>
            <w:r>
              <w:t>236 ccf</w:t>
            </w:r>
          </w:p>
        </w:tc>
      </w:tr>
      <w:tr w:rsidR="00847715" w:rsidTr="00620631">
        <w:trPr>
          <w:trHeight w:val="392"/>
        </w:trPr>
        <w:tc>
          <w:tcPr>
            <w:tcW w:w="3401" w:type="dxa"/>
          </w:tcPr>
          <w:p w:rsidR="00847715" w:rsidRDefault="00847715" w:rsidP="00CB406C">
            <w:pPr>
              <w:spacing w:after="0" w:line="240" w:lineRule="auto"/>
            </w:pPr>
            <w:r>
              <w:t>January 12-February 11, 2015</w:t>
            </w:r>
          </w:p>
        </w:tc>
        <w:tc>
          <w:tcPr>
            <w:tcW w:w="1579" w:type="dxa"/>
          </w:tcPr>
          <w:p w:rsidR="00847715" w:rsidRDefault="00847715" w:rsidP="00CB406C">
            <w:pPr>
              <w:spacing w:after="0" w:line="240" w:lineRule="auto"/>
            </w:pPr>
            <w:r>
              <w:t>164 ccf</w:t>
            </w:r>
          </w:p>
        </w:tc>
      </w:tr>
    </w:tbl>
    <w:p w:rsidR="00847715" w:rsidRDefault="00847715" w:rsidP="000224AD">
      <w:pPr>
        <w:spacing w:line="240" w:lineRule="auto"/>
        <w:ind w:left="720"/>
      </w:pPr>
    </w:p>
    <w:p w:rsidR="00847715" w:rsidRDefault="00847715" w:rsidP="000224AD">
      <w:pPr>
        <w:spacing w:line="240" w:lineRule="auto"/>
        <w:ind w:left="720"/>
      </w:pPr>
    </w:p>
    <w:p w:rsidR="003A6D24" w:rsidRDefault="003A6D24" w:rsidP="000224AD">
      <w:pPr>
        <w:spacing w:line="240" w:lineRule="auto"/>
        <w:ind w:left="720"/>
      </w:pPr>
    </w:p>
    <w:p w:rsidR="003A6D24" w:rsidRDefault="003A6D24" w:rsidP="000224AD">
      <w:pPr>
        <w:spacing w:line="240" w:lineRule="auto"/>
        <w:ind w:left="720"/>
      </w:pPr>
    </w:p>
    <w:p w:rsidR="00620631" w:rsidRDefault="00620631" w:rsidP="00BD0F9C">
      <w:pPr>
        <w:spacing w:after="0" w:line="240" w:lineRule="auto"/>
        <w:ind w:left="720"/>
      </w:pPr>
    </w:p>
    <w:p w:rsidR="00847715" w:rsidRDefault="003C4F46" w:rsidP="00BD0F9C">
      <w:pPr>
        <w:spacing w:after="0" w:line="240" w:lineRule="auto"/>
        <w:ind w:left="720"/>
      </w:pPr>
      <w:r>
        <w:tab/>
      </w:r>
      <w:r w:rsidR="00847715">
        <w:t>(PECO Ex. 1)</w:t>
      </w:r>
    </w:p>
    <w:p w:rsidR="00BD0F9C" w:rsidRDefault="00BD0F9C" w:rsidP="00CB406C">
      <w:pPr>
        <w:spacing w:after="0" w:line="240" w:lineRule="auto"/>
      </w:pPr>
    </w:p>
    <w:p w:rsidR="00D1626D" w:rsidRDefault="00D1626D" w:rsidP="003C4F46">
      <w:pPr>
        <w:spacing w:after="0" w:line="240" w:lineRule="auto"/>
        <w:ind w:left="720"/>
      </w:pPr>
    </w:p>
    <w:p w:rsidR="00F8665C" w:rsidRDefault="00F8665C" w:rsidP="003C4F46">
      <w:pPr>
        <w:pStyle w:val="ListParagraph"/>
      </w:pPr>
      <w:r>
        <w:t xml:space="preserve">None of the meter readings for either gas or electric </w:t>
      </w:r>
      <w:r w:rsidR="000224AD">
        <w:t xml:space="preserve">consumption </w:t>
      </w:r>
      <w:r>
        <w:t>were estimated during this period of time.  (N.T. 50)</w:t>
      </w:r>
    </w:p>
    <w:p w:rsidR="00D1626D" w:rsidRDefault="00D1626D" w:rsidP="003C4F46">
      <w:pPr>
        <w:spacing w:after="0"/>
        <w:ind w:left="720"/>
      </w:pPr>
    </w:p>
    <w:p w:rsidR="00F8665C" w:rsidRDefault="00F8665C" w:rsidP="003C4F46">
      <w:pPr>
        <w:pStyle w:val="ListParagraph"/>
      </w:pPr>
      <w:r>
        <w:t>There is no indication that the Complainant’s meters were not correctly measuring her usage.  (N.T. 50)</w:t>
      </w:r>
    </w:p>
    <w:p w:rsidR="00623C6C" w:rsidRDefault="00623C6C" w:rsidP="003C4F46">
      <w:pPr>
        <w:spacing w:after="0"/>
        <w:ind w:left="720"/>
      </w:pPr>
    </w:p>
    <w:p w:rsidR="00907090" w:rsidRDefault="00907090" w:rsidP="005B681D">
      <w:pPr>
        <w:pStyle w:val="ListParagraph"/>
      </w:pPr>
      <w:r>
        <w:t>As of the date of the hearing the Complainant’s current account balance is $ 4,066.05.  This includes balances which were transferred from accounts established at prior addresses.  (N.T. 27</w:t>
      </w:r>
      <w:r w:rsidR="00ED516F">
        <w:t>, 34</w:t>
      </w:r>
      <w:r>
        <w:t>)</w:t>
      </w:r>
    </w:p>
    <w:p w:rsidR="00D1626D" w:rsidRDefault="00D1626D" w:rsidP="005B681D">
      <w:pPr>
        <w:spacing w:after="0"/>
        <w:ind w:left="720"/>
      </w:pPr>
    </w:p>
    <w:p w:rsidR="00907090" w:rsidRDefault="00907090" w:rsidP="00006C9C">
      <w:pPr>
        <w:pStyle w:val="ListParagraph"/>
      </w:pPr>
      <w:r>
        <w:lastRenderedPageBreak/>
        <w:t>T</w:t>
      </w:r>
      <w:r w:rsidR="004408D8">
        <w:t xml:space="preserve">he Complainant was enrolled in </w:t>
      </w:r>
      <w:r>
        <w:t xml:space="preserve">PECO’s </w:t>
      </w:r>
      <w:r w:rsidR="000224AD">
        <w:t>Customer Assistance Program (</w:t>
      </w:r>
      <w:r>
        <w:t>CAP</w:t>
      </w:r>
      <w:r w:rsidR="000224AD">
        <w:t>)</w:t>
      </w:r>
      <w:r>
        <w:t>, but was removed from the program on September 19, 2014, when she elected to go with</w:t>
      </w:r>
      <w:r w:rsidR="000224AD">
        <w:t xml:space="preserve"> an electricity </w:t>
      </w:r>
      <w:r w:rsidR="00FB36A6">
        <w:t>supplier.  (N.T. 27)</w:t>
      </w:r>
    </w:p>
    <w:p w:rsidR="00D1626D" w:rsidRDefault="00D1626D" w:rsidP="00006C9C">
      <w:pPr>
        <w:spacing w:after="0"/>
      </w:pPr>
    </w:p>
    <w:p w:rsidR="00FB36A6" w:rsidRDefault="00FB36A6" w:rsidP="00006C9C">
      <w:pPr>
        <w:pStyle w:val="ListParagraph"/>
      </w:pPr>
      <w:r>
        <w:t>Of the Complainant’s current balance, $2,993.27 is a CAP arrearage.  (N.T. 27</w:t>
      </w:r>
      <w:r w:rsidR="00ED516F">
        <w:t>, 34</w:t>
      </w:r>
      <w:r>
        <w:t>)</w:t>
      </w:r>
    </w:p>
    <w:p w:rsidR="003C4F46" w:rsidRDefault="003C4F46" w:rsidP="00006C9C">
      <w:pPr>
        <w:pStyle w:val="ListParagraph"/>
        <w:numPr>
          <w:ilvl w:val="0"/>
          <w:numId w:val="0"/>
        </w:numPr>
        <w:ind w:left="1440"/>
      </w:pPr>
    </w:p>
    <w:p w:rsidR="000A529C" w:rsidRDefault="000A529C" w:rsidP="00006C9C">
      <w:pPr>
        <w:pStyle w:val="ListParagraph"/>
      </w:pPr>
      <w:r>
        <w:t>During 2014, the Complainant made four payments to her account in January, July, September and November.  The total amount of these payments was $523.27.  (N.T. 27)</w:t>
      </w:r>
    </w:p>
    <w:p w:rsidR="00D1626D" w:rsidRDefault="00D1626D" w:rsidP="00006C9C">
      <w:pPr>
        <w:spacing w:after="0"/>
        <w:ind w:left="720"/>
      </w:pPr>
    </w:p>
    <w:p w:rsidR="000A529C" w:rsidRDefault="000A529C" w:rsidP="00006C9C">
      <w:pPr>
        <w:pStyle w:val="ListParagraph"/>
      </w:pPr>
      <w:r>
        <w:t>The Complainant also received a LIHEAP grant in December 2014 in the amount of $107.</w:t>
      </w:r>
      <w:r w:rsidR="004B738C">
        <w:t xml:space="preserve"> </w:t>
      </w:r>
      <w:r>
        <w:t xml:space="preserve"> (N.T. 27)</w:t>
      </w:r>
    </w:p>
    <w:p w:rsidR="00D1626D" w:rsidRDefault="00D1626D" w:rsidP="00006C9C">
      <w:pPr>
        <w:spacing w:after="0"/>
      </w:pPr>
    </w:p>
    <w:p w:rsidR="000A529C" w:rsidRDefault="000A529C" w:rsidP="00006C9C">
      <w:pPr>
        <w:pStyle w:val="ListParagraph"/>
      </w:pPr>
      <w:r>
        <w:t xml:space="preserve">Even though the Complainant has made some payments to her account, she </w:t>
      </w:r>
      <w:r w:rsidR="000224AD">
        <w:t xml:space="preserve">generally </w:t>
      </w:r>
      <w:r>
        <w:t>does not pay on time or in full each month.  (N.T. 28)</w:t>
      </w:r>
    </w:p>
    <w:p w:rsidR="00D1626D" w:rsidRDefault="00D1626D" w:rsidP="00006C9C">
      <w:pPr>
        <w:spacing w:after="0"/>
      </w:pPr>
    </w:p>
    <w:p w:rsidR="000A529C" w:rsidRDefault="000A529C" w:rsidP="00006C9C">
      <w:pPr>
        <w:pStyle w:val="ListParagraph"/>
      </w:pPr>
      <w:r>
        <w:t xml:space="preserve">PECO has entered into four payment </w:t>
      </w:r>
      <w:r w:rsidR="000224AD">
        <w:t>arrangements</w:t>
      </w:r>
      <w:r>
        <w:t xml:space="preserve"> with the Complainant in 2007, 2011, 2013 and in January 2014.  The Complainant has defaulted on each of the </w:t>
      </w:r>
      <w:r w:rsidR="000224AD">
        <w:t>arrangement</w:t>
      </w:r>
      <w:r>
        <w:t>s.  (N.T. 29)</w:t>
      </w:r>
    </w:p>
    <w:p w:rsidR="00D1626D" w:rsidRDefault="00D1626D" w:rsidP="00006C9C">
      <w:pPr>
        <w:spacing w:after="0"/>
      </w:pPr>
    </w:p>
    <w:p w:rsidR="00C05D99" w:rsidRDefault="00EF2126" w:rsidP="00006C9C">
      <w:pPr>
        <w:pStyle w:val="ListParagraph"/>
      </w:pPr>
      <w:r>
        <w:t xml:space="preserve">At the time of the hearing, the Complainant’s daughter did not have employment.  </w:t>
      </w:r>
      <w:r w:rsidR="000224AD">
        <w:t xml:space="preserve">She has no income and receives no public assistance. </w:t>
      </w:r>
      <w:r>
        <w:t>(N.T. 10)</w:t>
      </w:r>
    </w:p>
    <w:p w:rsidR="00D1626D" w:rsidRDefault="00D1626D" w:rsidP="00006C9C">
      <w:pPr>
        <w:spacing w:after="0"/>
      </w:pPr>
    </w:p>
    <w:p w:rsidR="00EF2126" w:rsidRDefault="00EF2126" w:rsidP="00006C9C">
      <w:pPr>
        <w:pStyle w:val="ListParagraph"/>
      </w:pPr>
      <w:r>
        <w:t>The Complainant has not worked since 2008 and is on disability.</w:t>
      </w:r>
      <w:r w:rsidR="0076684B">
        <w:t xml:space="preserve"> </w:t>
      </w:r>
      <w:r w:rsidR="00C9576D">
        <w:t xml:space="preserve"> (</w:t>
      </w:r>
      <w:r>
        <w:t>N.T.</w:t>
      </w:r>
      <w:r w:rsidR="00C9576D">
        <w:t> </w:t>
      </w:r>
      <w:r>
        <w:t>11)</w:t>
      </w:r>
    </w:p>
    <w:p w:rsidR="00D1626D" w:rsidRDefault="00D1626D" w:rsidP="00006C9C">
      <w:pPr>
        <w:spacing w:after="0"/>
        <w:ind w:left="720"/>
      </w:pPr>
    </w:p>
    <w:p w:rsidR="005A5400" w:rsidRDefault="005A5400" w:rsidP="00006C9C">
      <w:pPr>
        <w:pStyle w:val="ListParagraph"/>
      </w:pPr>
      <w:r>
        <w:t>The Complainant receives $1180 per month in disability.  She also receives $110 in food stamp assistance.</w:t>
      </w:r>
      <w:r w:rsidR="004254CE">
        <w:t xml:space="preserve"> </w:t>
      </w:r>
      <w:r>
        <w:t xml:space="preserve"> (N.T. 12)</w:t>
      </w:r>
    </w:p>
    <w:p w:rsidR="00006C9C" w:rsidRDefault="00006C9C" w:rsidP="00006C9C"/>
    <w:p w:rsidR="003C4F46" w:rsidRDefault="003C4F46" w:rsidP="00006C9C">
      <w:pPr>
        <w:pStyle w:val="ListParagraph"/>
        <w:numPr>
          <w:ilvl w:val="0"/>
          <w:numId w:val="0"/>
        </w:numPr>
        <w:ind w:left="1440"/>
      </w:pPr>
    </w:p>
    <w:p w:rsidR="00684FA5" w:rsidRDefault="00684FA5" w:rsidP="005B681D">
      <w:pPr>
        <w:pStyle w:val="ListParagraph"/>
      </w:pPr>
      <w:r>
        <w:lastRenderedPageBreak/>
        <w:t>Although the Complainant’s income qualifies her for PECO’s CAP program, PECO also considers the Complainant’s payment history.  Due to the Complainant’s poor payment history</w:t>
      </w:r>
      <w:r w:rsidR="00814CCA">
        <w:t>,</w:t>
      </w:r>
      <w:r>
        <w:t xml:space="preserve"> her CAP application is unlikely to be approved.  (N.T. 35)</w:t>
      </w:r>
    </w:p>
    <w:p w:rsidR="00D1626D" w:rsidRDefault="00D1626D" w:rsidP="005B681D">
      <w:pPr>
        <w:spacing w:after="0"/>
        <w:ind w:left="720"/>
      </w:pPr>
    </w:p>
    <w:p w:rsidR="00001FA9" w:rsidRDefault="00001FA9" w:rsidP="005B681D">
      <w:pPr>
        <w:spacing w:after="0"/>
        <w:jc w:val="center"/>
        <w:rPr>
          <w:u w:val="single"/>
        </w:rPr>
      </w:pPr>
      <w:r w:rsidRPr="00CE257D">
        <w:rPr>
          <w:u w:val="single"/>
        </w:rPr>
        <w:t>DISCUSSION</w:t>
      </w:r>
    </w:p>
    <w:p w:rsidR="00623C6C" w:rsidRPr="00CE257D" w:rsidRDefault="00623C6C" w:rsidP="005B681D">
      <w:pPr>
        <w:spacing w:after="0"/>
        <w:jc w:val="center"/>
        <w:rPr>
          <w:u w:val="single"/>
        </w:rPr>
      </w:pPr>
    </w:p>
    <w:p w:rsidR="00001FA9" w:rsidRDefault="00001FA9" w:rsidP="005B681D">
      <w:pPr>
        <w:spacing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1"/>
      </w:r>
      <w:r w:rsidRPr="00035CC2">
        <w:rPr>
          <w:szCs w:val="24"/>
        </w:rPr>
        <w:t xml:space="preserve">  A person seeking affirmative relief from the Commission has the burden of proof.</w:t>
      </w:r>
      <w:r w:rsidRPr="00035CC2">
        <w:rPr>
          <w:rStyle w:val="FootnoteReference"/>
          <w:szCs w:val="24"/>
        </w:rPr>
        <w:footnoteReference w:id="2"/>
      </w:r>
    </w:p>
    <w:p w:rsidR="00623C6C" w:rsidRPr="00035CC2" w:rsidRDefault="00623C6C" w:rsidP="005B681D">
      <w:pPr>
        <w:spacing w:after="0"/>
        <w:ind w:firstLine="1440"/>
        <w:rPr>
          <w:szCs w:val="24"/>
        </w:rPr>
      </w:pPr>
    </w:p>
    <w:p w:rsidR="00001FA9" w:rsidRDefault="00001FA9" w:rsidP="005B681D">
      <w:pPr>
        <w:spacing w:after="0"/>
        <w:ind w:firstLine="1440"/>
        <w:rPr>
          <w:szCs w:val="24"/>
        </w:rPr>
      </w:pPr>
      <w:r w:rsidRPr="00035CC2">
        <w:rPr>
          <w:szCs w:val="24"/>
        </w:rPr>
        <w:t xml:space="preserve">In this matter, the Complainant is the party seeking affirmative relief from the Commission; therefore, </w:t>
      </w:r>
      <w:r>
        <w:rPr>
          <w:szCs w:val="24"/>
        </w:rPr>
        <w:t>s</w:t>
      </w:r>
      <w:r w:rsidRPr="00035CC2">
        <w:rPr>
          <w:szCs w:val="24"/>
        </w:rPr>
        <w:t xml:space="preserve">he has the burden of proof.  This means that </w:t>
      </w:r>
      <w:r>
        <w:rPr>
          <w:szCs w:val="24"/>
        </w:rPr>
        <w:t>s</w:t>
      </w:r>
      <w:r w:rsidRPr="00035CC2">
        <w:rPr>
          <w:szCs w:val="24"/>
        </w:rPr>
        <w:t xml:space="preserve">he has the duty to establish a fact by a preponderance of the evidence, and must show that </w:t>
      </w:r>
      <w:r>
        <w:rPr>
          <w:szCs w:val="24"/>
        </w:rPr>
        <w:t xml:space="preserve">the utility </w:t>
      </w:r>
      <w:r w:rsidRPr="00035CC2">
        <w:rPr>
          <w:szCs w:val="24"/>
        </w:rPr>
        <w:t>has violated the Public Utility Code or Commission regulations.</w:t>
      </w:r>
      <w:r w:rsidRPr="00035CC2">
        <w:rPr>
          <w:rStyle w:val="FootnoteReference"/>
          <w:szCs w:val="24"/>
        </w:rPr>
        <w:footnoteReference w:id="3"/>
      </w:r>
      <w:r w:rsidRPr="00035CC2">
        <w:rPr>
          <w:szCs w:val="24"/>
        </w:rPr>
        <w:t xml:space="preserve"> </w:t>
      </w:r>
    </w:p>
    <w:p w:rsidR="005B681D" w:rsidRDefault="005B681D" w:rsidP="005B681D">
      <w:pPr>
        <w:spacing w:after="0"/>
        <w:ind w:firstLine="1440"/>
        <w:rPr>
          <w:szCs w:val="24"/>
        </w:rPr>
      </w:pPr>
    </w:p>
    <w:p w:rsidR="00FC0DC9" w:rsidRDefault="00FC0DC9" w:rsidP="005B681D">
      <w:pPr>
        <w:spacing w:after="0"/>
        <w:rPr>
          <w:szCs w:val="24"/>
          <w:u w:val="single"/>
        </w:rPr>
      </w:pPr>
      <w:r w:rsidRPr="00FC0DC9">
        <w:rPr>
          <w:szCs w:val="24"/>
          <w:u w:val="single"/>
        </w:rPr>
        <w:t>High Bill Complaint</w:t>
      </w:r>
    </w:p>
    <w:p w:rsidR="00190710" w:rsidRPr="00FC0DC9" w:rsidRDefault="00190710" w:rsidP="005B681D">
      <w:pPr>
        <w:spacing w:after="0"/>
        <w:rPr>
          <w:szCs w:val="24"/>
          <w:u w:val="single"/>
        </w:rPr>
      </w:pPr>
    </w:p>
    <w:p w:rsidR="00FC0DC9" w:rsidRDefault="00FC0DC9" w:rsidP="005B681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1440"/>
      </w:pPr>
      <w:r>
        <w:rPr>
          <w:szCs w:val="24"/>
        </w:rPr>
        <w:t xml:space="preserve">The Complainant contends that she does not think she uses the amount of electricity and gas </w:t>
      </w:r>
      <w:r w:rsidR="00181E1E">
        <w:rPr>
          <w:szCs w:val="24"/>
        </w:rPr>
        <w:t>for which she was</w:t>
      </w:r>
      <w:r>
        <w:rPr>
          <w:szCs w:val="24"/>
        </w:rPr>
        <w:t xml:space="preserve"> billed.  </w:t>
      </w:r>
      <w:r w:rsidRPr="00ED2E14">
        <w:t xml:space="preserve">Therefore, the Complainant’s burden of proof is governed by </w:t>
      </w:r>
      <w:r w:rsidRPr="004C1836">
        <w:rPr>
          <w:i/>
        </w:rPr>
        <w:t>Wald</w:t>
      </w:r>
      <w:r>
        <w:rPr>
          <w:i/>
        </w:rPr>
        <w:t>ron v. Philadelphia Electric Co.</w:t>
      </w:r>
      <w:r w:rsidRPr="00CB39AB">
        <w:rPr>
          <w:rStyle w:val="FootnoteReference"/>
        </w:rPr>
        <w:footnoteReference w:id="4"/>
      </w:r>
      <w:r w:rsidR="00190710">
        <w:t xml:space="preserve"> </w:t>
      </w:r>
      <w:r w:rsidRPr="00CB39AB">
        <w:t xml:space="preserve"> </w:t>
      </w:r>
      <w:r w:rsidRPr="00ED2E14">
        <w:t xml:space="preserve">In </w:t>
      </w:r>
      <w:r w:rsidRPr="004C1836">
        <w:rPr>
          <w:i/>
        </w:rPr>
        <w:t>Waldron</w:t>
      </w:r>
      <w:r w:rsidRPr="00ED2E14">
        <w:t xml:space="preserve">, the Commission concluded that a complainant may establish a </w:t>
      </w:r>
      <w:r w:rsidRPr="004C1836">
        <w:rPr>
          <w:i/>
        </w:rPr>
        <w:t>prima facie</w:t>
      </w:r>
      <w:r w:rsidRPr="00ED2E14">
        <w:t xml:space="preserve"> case by showing that:  (1) the number of occupants of the household has not changed; (2) the potential for energy utilization is low; and (3) the prior billing history shows no previous abnormalities.  </w:t>
      </w:r>
    </w:p>
    <w:p w:rsidR="00FC0DC9" w:rsidRDefault="00FC0DC9" w:rsidP="005B681D">
      <w:pPr>
        <w:spacing w:after="0"/>
        <w:ind w:firstLine="1440"/>
      </w:pPr>
      <w:r w:rsidRPr="00ED2E14">
        <w:lastRenderedPageBreak/>
        <w:t xml:space="preserve">The Commonwealth Court broadened the Commission’s ruling in </w:t>
      </w:r>
      <w:r w:rsidRPr="004C1836">
        <w:rPr>
          <w:i/>
        </w:rPr>
        <w:t>Waldron</w:t>
      </w:r>
      <w:r w:rsidRPr="00ED2E14">
        <w:t xml:space="preserve"> in </w:t>
      </w:r>
      <w:r w:rsidRPr="004C1836">
        <w:rPr>
          <w:i/>
        </w:rPr>
        <w:t>Milkie v. Pennsylvania Pub</w:t>
      </w:r>
      <w:r>
        <w:rPr>
          <w:i/>
        </w:rPr>
        <w:t>lic Utility Commission</w:t>
      </w:r>
      <w:r w:rsidRPr="00254B7C">
        <w:t>.</w:t>
      </w:r>
      <w:r w:rsidRPr="00254B7C">
        <w:rPr>
          <w:rStyle w:val="FootnoteReference"/>
        </w:rPr>
        <w:footnoteReference w:id="5"/>
      </w:r>
      <w:r w:rsidRPr="00254B7C">
        <w:t xml:space="preserve">  The</w:t>
      </w:r>
      <w:r w:rsidRPr="00ED2E14">
        <w:t xml:space="preserve"> Commonwealth Court held that the Commission’s requirement that the Complainant must establish certain specific elements in order to make out a </w:t>
      </w:r>
      <w:r w:rsidRPr="00ED2E14">
        <w:rPr>
          <w:i/>
        </w:rPr>
        <w:t>prima facie</w:t>
      </w:r>
      <w:r w:rsidRPr="00ED2E14">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w:t>
      </w:r>
      <w:r>
        <w:rPr>
          <w:rStyle w:val="FootnoteReference"/>
        </w:rPr>
        <w:footnoteReference w:id="6"/>
      </w:r>
      <w:r w:rsidRPr="00ED2E14">
        <w:t xml:space="preserve">  </w:t>
      </w:r>
      <w:r>
        <w:t>Further, the Commission has also held that in response to a high bill complaint, the accuracy of a meter test alone is not conclusive evidence and does not by itself mandate a finding against a complaint and in favor of a utility.</w:t>
      </w:r>
      <w:r>
        <w:rPr>
          <w:rStyle w:val="FootnoteReference"/>
        </w:rPr>
        <w:footnoteReference w:id="7"/>
      </w:r>
      <w:r>
        <w:t xml:space="preserve">  </w:t>
      </w:r>
      <w:r w:rsidRPr="00ED2E14">
        <w:t>This rule protects t</w:t>
      </w:r>
      <w:r>
        <w:t>he c</w:t>
      </w:r>
      <w:r w:rsidRPr="00ED2E14">
        <w:t>omplainant from dis</w:t>
      </w:r>
      <w:r w:rsidR="00181E1E">
        <w:t>missal because of her</w:t>
      </w:r>
      <w:r w:rsidRPr="00ED2E14">
        <w:t xml:space="preserve"> inability to produce direct proof that the meter malfunctioned. </w:t>
      </w:r>
    </w:p>
    <w:p w:rsidR="00190710" w:rsidRDefault="00190710" w:rsidP="005B681D">
      <w:pPr>
        <w:spacing w:after="0"/>
        <w:ind w:firstLine="1440"/>
      </w:pPr>
    </w:p>
    <w:p w:rsidR="00181E1E" w:rsidRDefault="00597751" w:rsidP="005B681D">
      <w:pPr>
        <w:spacing w:after="0"/>
        <w:ind w:firstLine="1440"/>
      </w:pPr>
      <w:r>
        <w:t xml:space="preserve">Here, the Complainant did not offer any </w:t>
      </w:r>
      <w:r w:rsidR="00181E1E">
        <w:t>evidence</w:t>
      </w:r>
      <w:r>
        <w:t xml:space="preserve"> to support </w:t>
      </w:r>
      <w:r w:rsidR="00181E1E">
        <w:t>her high bill</w:t>
      </w:r>
      <w:r>
        <w:t xml:space="preserve"> claim.  She stated only that she turned off all of her appliances when she left the house.</w:t>
      </w:r>
      <w:r w:rsidR="00181E1E">
        <w:t xml:space="preserve">  She did not describe any billing abnormalities or change in her usage.</w:t>
      </w:r>
    </w:p>
    <w:p w:rsidR="00190710" w:rsidRDefault="00190710" w:rsidP="005B681D">
      <w:pPr>
        <w:spacing w:after="0"/>
        <w:ind w:firstLine="1440"/>
      </w:pPr>
    </w:p>
    <w:p w:rsidR="00597751" w:rsidRDefault="00597751" w:rsidP="00D2709C">
      <w:pPr>
        <w:spacing w:after="0"/>
        <w:ind w:firstLine="1440"/>
      </w:pPr>
      <w:r>
        <w:t xml:space="preserve"> In contrast, PECO offered substantial testimony regarding the Complainant’s usage.  PECO tested the functioning of both the Complainant’s gas meter and electric meter and found no abnormalities.  Nor was there any indication of a foreign load or meter mix.  Significantly, PECO calculated the Complainant’s potential to use both gas and electricity.  Her actual usage was well below the potential consumption based upon the appliances she had at her residence.  Therefore, the Complainant failed to sustain her burden of proving that she is being billed for energy that she does not use.</w:t>
      </w:r>
    </w:p>
    <w:p w:rsidR="006431B5" w:rsidRDefault="006431B5" w:rsidP="00D2709C">
      <w:pPr>
        <w:spacing w:after="0"/>
        <w:ind w:firstLine="1440"/>
      </w:pPr>
    </w:p>
    <w:p w:rsidR="006431B5" w:rsidRDefault="006431B5" w:rsidP="00D2709C">
      <w:pPr>
        <w:spacing w:after="0"/>
        <w:ind w:firstLine="1440"/>
      </w:pPr>
    </w:p>
    <w:p w:rsidR="00F910F7" w:rsidRDefault="00F910F7" w:rsidP="00D2709C">
      <w:pPr>
        <w:spacing w:after="0"/>
        <w:ind w:firstLine="1440"/>
      </w:pPr>
    </w:p>
    <w:p w:rsidR="00AB31BA" w:rsidRDefault="00AB31BA" w:rsidP="00894EB5">
      <w:pPr>
        <w:spacing w:after="0"/>
        <w:rPr>
          <w:u w:val="single"/>
        </w:rPr>
      </w:pPr>
      <w:r w:rsidRPr="00AB31BA">
        <w:rPr>
          <w:u w:val="single"/>
        </w:rPr>
        <w:lastRenderedPageBreak/>
        <w:t>Request for a Payment Arrangement</w:t>
      </w:r>
    </w:p>
    <w:p w:rsidR="00F910F7" w:rsidRPr="00AB31BA" w:rsidRDefault="00F910F7" w:rsidP="00894EB5">
      <w:pPr>
        <w:spacing w:after="0"/>
        <w:rPr>
          <w:u w:val="single"/>
        </w:rPr>
      </w:pPr>
    </w:p>
    <w:p w:rsidR="00AB31BA" w:rsidRPr="00DD7545" w:rsidRDefault="00AB31BA" w:rsidP="00894EB5">
      <w:pPr>
        <w:tabs>
          <w:tab w:val="clear" w:pos="1440"/>
        </w:tabs>
        <w:spacing w:after="0"/>
        <w:ind w:firstLine="1440"/>
        <w:rPr>
          <w:szCs w:val="24"/>
        </w:rPr>
      </w:pPr>
      <w:r>
        <w:t xml:space="preserve">The Complainant has also requested a Commission payment arrangement.  </w:t>
      </w:r>
      <w:r w:rsidRPr="00DD7545">
        <w:rPr>
          <w:szCs w:val="24"/>
        </w:rPr>
        <w:t>Chapter 14 of the Public Utility Code provides that in certain circumstances a customer may be permitted to amortize the amount due on a utility account:</w:t>
      </w:r>
    </w:p>
    <w:p w:rsidR="00AB31BA" w:rsidRPr="00DD7545" w:rsidRDefault="00AB31BA" w:rsidP="00D2709C">
      <w:pPr>
        <w:tabs>
          <w:tab w:val="clear" w:pos="1440"/>
        </w:tabs>
        <w:spacing w:after="0" w:line="240" w:lineRule="auto"/>
        <w:ind w:left="1440" w:right="1440"/>
        <w:rPr>
          <w:szCs w:val="24"/>
        </w:rPr>
      </w:pPr>
    </w:p>
    <w:p w:rsidR="00AB31BA" w:rsidRPr="00DD7545" w:rsidRDefault="00AB31BA" w:rsidP="00D2709C">
      <w:pPr>
        <w:tabs>
          <w:tab w:val="clear" w:pos="1440"/>
        </w:tabs>
        <w:spacing w:after="0" w:line="240" w:lineRule="auto"/>
        <w:ind w:left="1440" w:right="1440"/>
        <w:rPr>
          <w:szCs w:val="24"/>
        </w:rPr>
      </w:pPr>
      <w:r w:rsidRPr="00DD7545">
        <w:rPr>
          <w:szCs w:val="24"/>
        </w:rPr>
        <w:t>The Commission is authorized to investigate complaints regarding payment disputes between a public utility, applicants and customers.  The Commission is authorized to establish payment agreements between a public utility, customers and applicants within the time limits established by this chapter.</w:t>
      </w:r>
      <w:r w:rsidRPr="00DD7545">
        <w:rPr>
          <w:szCs w:val="24"/>
          <w:vertAlign w:val="superscript"/>
        </w:rPr>
        <w:footnoteReference w:id="8"/>
      </w:r>
    </w:p>
    <w:p w:rsidR="00AB31BA" w:rsidRPr="00DD7545" w:rsidRDefault="00AB31BA" w:rsidP="00D2709C">
      <w:pPr>
        <w:tabs>
          <w:tab w:val="clear" w:pos="1440"/>
        </w:tabs>
        <w:spacing w:after="0"/>
        <w:rPr>
          <w:szCs w:val="24"/>
        </w:rPr>
      </w:pPr>
    </w:p>
    <w:p w:rsidR="00AB31BA" w:rsidRDefault="00AB31BA" w:rsidP="00D2709C">
      <w:pPr>
        <w:tabs>
          <w:tab w:val="clear" w:pos="1440"/>
        </w:tabs>
        <w:spacing w:after="0"/>
      </w:pPr>
      <w:r w:rsidRPr="00DD7545">
        <w:rPr>
          <w:szCs w:val="24"/>
        </w:rPr>
        <w:t>The award of a payment arrangement is not mandatory.</w:t>
      </w:r>
      <w:r w:rsidRPr="00DD7545">
        <w:rPr>
          <w:szCs w:val="24"/>
          <w:vertAlign w:val="superscript"/>
        </w:rPr>
        <w:footnoteReference w:id="9"/>
      </w:r>
      <w:r w:rsidRPr="00DD7545">
        <w:rPr>
          <w:szCs w:val="24"/>
        </w:rPr>
        <w:t xml:space="preserve">  </w:t>
      </w:r>
      <w:r w:rsidRPr="00DD7545">
        <w:t>The Commission is authorized to order one payment agreement per customer.</w:t>
      </w:r>
      <w:r w:rsidRPr="00DD7545">
        <w:rPr>
          <w:szCs w:val="24"/>
          <w:vertAlign w:val="superscript"/>
        </w:rPr>
        <w:footnoteReference w:id="10"/>
      </w:r>
      <w:r w:rsidRPr="00DD7545">
        <w:t xml:space="preserve">  </w:t>
      </w:r>
    </w:p>
    <w:p w:rsidR="00F910F7" w:rsidRDefault="00F910F7" w:rsidP="00D2709C">
      <w:pPr>
        <w:tabs>
          <w:tab w:val="clear" w:pos="1440"/>
        </w:tabs>
        <w:spacing w:after="0"/>
      </w:pPr>
    </w:p>
    <w:p w:rsidR="00667916" w:rsidRPr="008E6B02" w:rsidRDefault="00667916" w:rsidP="00D2709C">
      <w:pPr>
        <w:pStyle w:val="ParaTab1"/>
        <w:spacing w:line="360" w:lineRule="auto"/>
        <w:rPr>
          <w:rFonts w:ascii="Times New Roman" w:hAnsi="Times New Roman" w:cs="Times New Roman"/>
        </w:rPr>
      </w:pPr>
      <w:r>
        <w:t>Here, a portion of the Complainant’s</w:t>
      </w:r>
      <w:r w:rsidR="006C3723">
        <w:t xml:space="preserve"> balance</w:t>
      </w:r>
      <w:r>
        <w:t xml:space="preserve"> is a CAP arrearage.   </w:t>
      </w:r>
      <w:r w:rsidRPr="008E6B02">
        <w:rPr>
          <w:rFonts w:ascii="Times New Roman" w:hAnsi="Times New Roman" w:cs="Times New Roman"/>
        </w:rPr>
        <w:t xml:space="preserve">The Commission has no authority to establish a payment arrangement where a customer is enrolled in a utility’s CAP, pursuant to </w:t>
      </w:r>
      <w:r w:rsidR="000B7517">
        <w:rPr>
          <w:rFonts w:ascii="Times New Roman" w:hAnsi="Times New Roman" w:cs="Times New Roman"/>
        </w:rPr>
        <w:t>Section 1405(c)</w:t>
      </w:r>
      <w:r w:rsidRPr="008E6B02">
        <w:rPr>
          <w:rFonts w:ascii="Times New Roman" w:hAnsi="Times New Roman" w:cs="Times New Roman"/>
        </w:rPr>
        <w:t>:</w:t>
      </w:r>
    </w:p>
    <w:p w:rsidR="00667916" w:rsidRDefault="00667916" w:rsidP="00D2709C">
      <w:pPr>
        <w:spacing w:after="0" w:line="240" w:lineRule="auto"/>
        <w:ind w:left="1440" w:right="1440"/>
        <w:rPr>
          <w:b/>
        </w:rPr>
      </w:pPr>
    </w:p>
    <w:p w:rsidR="00667916" w:rsidRPr="008E6B02" w:rsidRDefault="00667916" w:rsidP="00CD6328">
      <w:pPr>
        <w:spacing w:after="0" w:line="240" w:lineRule="auto"/>
        <w:ind w:left="1440" w:right="1440"/>
      </w:pPr>
      <w:r w:rsidRPr="008E6B02">
        <w:rPr>
          <w:b/>
        </w:rPr>
        <w:t>(c)</w:t>
      </w:r>
      <w:r w:rsidRPr="008E6B02">
        <w:rPr>
          <w:b/>
        </w:rPr>
        <w:tab/>
        <w:t>Customer Assistance Programs.</w:t>
      </w:r>
      <w:r w:rsidRPr="008E6B02">
        <w:t xml:space="preserve"> – Customer assistance program rates shall be timely paid and shall not be the subject of payment agreements negotiated or approved by the commission.</w:t>
      </w:r>
      <w:r w:rsidR="000B7517">
        <w:rPr>
          <w:rStyle w:val="FootnoteReference"/>
        </w:rPr>
        <w:footnoteReference w:id="11"/>
      </w:r>
    </w:p>
    <w:p w:rsidR="00667916" w:rsidRPr="008E6B02" w:rsidRDefault="00667916" w:rsidP="00CD6328">
      <w:pPr>
        <w:spacing w:after="0"/>
      </w:pPr>
    </w:p>
    <w:p w:rsidR="000C4CA1" w:rsidRDefault="000C4CA1" w:rsidP="00CD6328">
      <w:pPr>
        <w:spacing w:after="0"/>
      </w:pPr>
      <w:r>
        <w:tab/>
        <w:t>Once enrolled in a customer assistance program (CAP), a customer’s unpaid balance is placed into the CAP forgiveness program.  At this point, these arrearages become “CAP arrears” and can no longer be subject to a Commission payment arrangement.</w:t>
      </w:r>
      <w:r>
        <w:rPr>
          <w:rStyle w:val="FootnoteReference"/>
        </w:rPr>
        <w:footnoteReference w:id="12"/>
      </w:r>
      <w:r>
        <w:t xml:space="preserve">  In this </w:t>
      </w:r>
      <w:r>
        <w:lastRenderedPageBreak/>
        <w:t>case, a portion of the Complainant’s past-due balance was included in PECO’s CAP program.  Accordingly, the Commission is not authorized to include these balances in a Commission-ordered payment agreement.</w:t>
      </w:r>
    </w:p>
    <w:p w:rsidR="009F7921" w:rsidRDefault="009F7921" w:rsidP="00CD6328">
      <w:pPr>
        <w:spacing w:after="0"/>
      </w:pPr>
    </w:p>
    <w:p w:rsidR="00C80627" w:rsidRDefault="00C80627" w:rsidP="00CD6328">
      <w:pPr>
        <w:spacing w:after="0"/>
      </w:pPr>
      <w:r>
        <w:tab/>
        <w:t>However, the non-CAP amounts that have accrued on the Complainant’s account can be the subject of a Commission-ordered payment arrangement.</w:t>
      </w:r>
      <w:r>
        <w:rPr>
          <w:rStyle w:val="FootnoteReference"/>
        </w:rPr>
        <w:footnoteReference w:id="13"/>
      </w:r>
      <w:r>
        <w:t xml:space="preserve">  Thus the first question is whether it is appropriate to award a payment arrangement on these balances.</w:t>
      </w:r>
    </w:p>
    <w:p w:rsidR="009F7921" w:rsidRDefault="009F7921" w:rsidP="00CD6328">
      <w:pPr>
        <w:spacing w:after="0"/>
      </w:pPr>
    </w:p>
    <w:p w:rsidR="00CE257D" w:rsidRDefault="00CE257D" w:rsidP="00CD6328">
      <w:pPr>
        <w:spacing w:after="0"/>
      </w:pPr>
      <w:r>
        <w:tab/>
        <w:t xml:space="preserve">PECO witness testified that the Complainant has defaulted from several payment agreements between the Complainant and PECO, and overall has a poor payment history.  However, the Complainant has not </w:t>
      </w:r>
      <w:r w:rsidR="00181E1E">
        <w:t>been granted</w:t>
      </w:r>
      <w:r>
        <w:t xml:space="preserve"> a Commission-ordered payment arrangement.  In </w:t>
      </w:r>
      <w:r w:rsidR="00D007EA">
        <w:t>2014, the Complainant made at least some payments to her account, although none were the full amount due.</w:t>
      </w:r>
      <w:r w:rsidR="00822686">
        <w:t xml:space="preserve">  Although her daughter is not currently working, the Complainant testified that she had recently completed her training to work in the hair styling industry and that she intended to look for work once she passed her state boards.</w:t>
      </w:r>
    </w:p>
    <w:p w:rsidR="009F7921" w:rsidRDefault="009F7921" w:rsidP="00CD6328">
      <w:pPr>
        <w:spacing w:after="0"/>
      </w:pPr>
    </w:p>
    <w:p w:rsidR="00987ACC" w:rsidRDefault="00822686" w:rsidP="00CD6328">
      <w:pPr>
        <w:spacing w:after="0"/>
      </w:pPr>
      <w:r>
        <w:tab/>
      </w:r>
      <w:r w:rsidR="00181E1E" w:rsidRPr="00DD7545">
        <w:rPr>
          <w:szCs w:val="24"/>
        </w:rPr>
        <w:t>It is axiomatic that a utility customer must pay for the utility service that he consumes.</w:t>
      </w:r>
      <w:r w:rsidR="00181E1E" w:rsidRPr="00DD7545">
        <w:rPr>
          <w:szCs w:val="24"/>
          <w:vertAlign w:val="superscript"/>
        </w:rPr>
        <w:footnoteReference w:id="14"/>
      </w:r>
      <w:r w:rsidR="00CD6328">
        <w:rPr>
          <w:szCs w:val="24"/>
        </w:rPr>
        <w:t xml:space="preserve"> </w:t>
      </w:r>
      <w:r w:rsidR="00181E1E" w:rsidRPr="00DD7545">
        <w:rPr>
          <w:szCs w:val="24"/>
        </w:rPr>
        <w:t xml:space="preserve"> </w:t>
      </w:r>
      <w:r w:rsidR="00987ACC">
        <w:t>Unpaid balances for utility service of one customer are ultimately passed on to the other ratepayers of the utility.  Nevertheless, in my view it is appropriate to give the Complainant one more opportunity, afforded by a</w:t>
      </w:r>
      <w:r w:rsidR="00181E1E">
        <w:t xml:space="preserve"> Commission ordered</w:t>
      </w:r>
      <w:r w:rsidR="00987ACC">
        <w:t xml:space="preserve"> payment </w:t>
      </w:r>
      <w:r w:rsidR="00181E1E">
        <w:t>arrangement</w:t>
      </w:r>
      <w:r w:rsidR="00987ACC">
        <w:t>, to clear her debt with this utility.  The Complainant should be aware that absent a change in income, the Commission will not award a consumer a second payment arrangement.  And even in that circumstance, a second arrangement will only be ordered where a consumer has demonstrated a good faith attempt to make timely payments.</w:t>
      </w:r>
      <w:r w:rsidR="00987ACC">
        <w:rPr>
          <w:rStyle w:val="FootnoteReference"/>
          <w:szCs w:val="24"/>
        </w:rPr>
        <w:footnoteReference w:id="15"/>
      </w:r>
    </w:p>
    <w:p w:rsidR="009F7921" w:rsidRDefault="009F7921" w:rsidP="00CD6328">
      <w:pPr>
        <w:spacing w:after="0"/>
      </w:pPr>
    </w:p>
    <w:p w:rsidR="000B7517" w:rsidRDefault="00822686" w:rsidP="00CD6328">
      <w:pPr>
        <w:spacing w:after="0"/>
      </w:pPr>
      <w:r>
        <w:lastRenderedPageBreak/>
        <w:tab/>
        <w:t xml:space="preserve">The Complainant’s household consists of two adults.   The Complaint’s monthly income is $1,290, which consists of disability and food stamps.  Thus her income is less than 150% of the Federal poverty level.  </w:t>
      </w:r>
      <w:r w:rsidR="00C716FF">
        <w:t xml:space="preserve">In accordance with </w:t>
      </w:r>
      <w:r>
        <w:t>Section 1405(b)(1)</w:t>
      </w:r>
      <w:r w:rsidR="00C716FF">
        <w:t xml:space="preserve"> of the </w:t>
      </w:r>
      <w:r w:rsidR="00C716FF" w:rsidRPr="008E6B02">
        <w:t>Responsible Utility Customer Protection Act</w:t>
      </w:r>
      <w:r>
        <w:t>,</w:t>
      </w:r>
      <w:r w:rsidR="00C716FF">
        <w:rPr>
          <w:rStyle w:val="FootnoteReference"/>
        </w:rPr>
        <w:footnoteReference w:id="16"/>
      </w:r>
      <w:r>
        <w:t xml:space="preserve"> the Complainant may amortize her non-CAP arrearage over a 60-month period.   </w:t>
      </w:r>
    </w:p>
    <w:p w:rsidR="009F7921" w:rsidRDefault="009F7921" w:rsidP="00CD6328">
      <w:pPr>
        <w:spacing w:after="0"/>
      </w:pPr>
    </w:p>
    <w:p w:rsidR="000B7517" w:rsidRDefault="000B7517" w:rsidP="00CD6328">
      <w:pPr>
        <w:spacing w:after="0"/>
        <w:jc w:val="center"/>
        <w:rPr>
          <w:u w:val="single"/>
        </w:rPr>
      </w:pPr>
      <w:r>
        <w:rPr>
          <w:u w:val="single"/>
        </w:rPr>
        <w:t>CONCLUSIONS OF LAW</w:t>
      </w:r>
    </w:p>
    <w:p w:rsidR="009F7921" w:rsidRPr="000B7517" w:rsidRDefault="009F7921" w:rsidP="00CD6328">
      <w:pPr>
        <w:spacing w:after="0"/>
        <w:jc w:val="center"/>
        <w:rPr>
          <w:u w:val="single"/>
        </w:rPr>
      </w:pPr>
    </w:p>
    <w:p w:rsidR="000B7517" w:rsidRDefault="000B7517" w:rsidP="00CD6328">
      <w:pPr>
        <w:spacing w:after="0"/>
        <w:ind w:firstLine="1440"/>
      </w:pPr>
      <w:r w:rsidRPr="00A70FF2">
        <w:t>1.</w:t>
      </w:r>
      <w:r w:rsidRPr="00A70FF2">
        <w:tab/>
        <w:t>The Commission has jurisdiction over the subject matter and parties to this proceeding.</w:t>
      </w:r>
      <w:r>
        <w:t xml:space="preserve">  66 Pa.C.S. § 701.</w:t>
      </w:r>
    </w:p>
    <w:p w:rsidR="000B7517" w:rsidRPr="00A70FF2" w:rsidRDefault="000B7517" w:rsidP="00CD6328">
      <w:pPr>
        <w:spacing w:after="0"/>
        <w:ind w:firstLine="1440"/>
      </w:pPr>
    </w:p>
    <w:p w:rsidR="000B7517" w:rsidRDefault="000B7517" w:rsidP="00CD6328">
      <w:pPr>
        <w:spacing w:after="0"/>
        <w:ind w:firstLine="1440"/>
      </w:pPr>
      <w:r w:rsidRPr="00A70FF2">
        <w:t>2.</w:t>
      </w:r>
      <w:r w:rsidRPr="00A70FF2">
        <w:tab/>
      </w:r>
      <w:r>
        <w:t>There is no evidence that PECO has violated the Public Utility Code or any rules, regulations or orders of the Commission</w:t>
      </w:r>
      <w:r w:rsidRPr="00A70FF2">
        <w:t>.</w:t>
      </w:r>
      <w:r>
        <w:t xml:space="preserve">  </w:t>
      </w:r>
      <w:r w:rsidR="00301364">
        <w:t>66 Pa.C.S. §§ 332, 701.</w:t>
      </w:r>
    </w:p>
    <w:p w:rsidR="000B7517" w:rsidRPr="00A70FF2" w:rsidRDefault="000B7517" w:rsidP="00CD6328">
      <w:pPr>
        <w:spacing w:after="0"/>
        <w:ind w:firstLine="1440"/>
      </w:pPr>
    </w:p>
    <w:p w:rsidR="008D4C30" w:rsidRDefault="000B7517" w:rsidP="00CD6328">
      <w:pPr>
        <w:spacing w:after="0"/>
        <w:ind w:firstLine="1440"/>
      </w:pPr>
      <w:r w:rsidRPr="00A70FF2">
        <w:t>3.</w:t>
      </w:r>
      <w:r w:rsidRPr="00A70FF2">
        <w:tab/>
        <w:t>The Commission is authorized to establish payment agreements between a public utility and customers within the limits established in Chapter 14 of the Public Utility Code.</w:t>
      </w:r>
      <w:r>
        <w:t xml:space="preserve">  </w:t>
      </w:r>
      <w:r w:rsidRPr="008E6B02">
        <w:t xml:space="preserve">Responsible Utility Customer Protection Act, </w:t>
      </w:r>
      <w:proofErr w:type="gramStart"/>
      <w:r w:rsidRPr="008E6B02">
        <w:t>66 Pa.C.S</w:t>
      </w:r>
      <w:proofErr w:type="gramEnd"/>
      <w:r w:rsidRPr="008E6B02">
        <w:t>. §§ 1401-1418</w:t>
      </w:r>
      <w:r>
        <w:t>.</w:t>
      </w:r>
    </w:p>
    <w:p w:rsidR="00CD6328" w:rsidRDefault="00CD6328" w:rsidP="00CD6328">
      <w:pPr>
        <w:spacing w:after="0"/>
        <w:ind w:firstLine="1440"/>
      </w:pPr>
    </w:p>
    <w:p w:rsidR="000B7517" w:rsidRDefault="000B7517" w:rsidP="008B2DC5">
      <w:pPr>
        <w:tabs>
          <w:tab w:val="left" w:pos="0"/>
        </w:tabs>
        <w:spacing w:after="0" w:line="240" w:lineRule="auto"/>
        <w:jc w:val="center"/>
        <w:rPr>
          <w:u w:val="single"/>
        </w:rPr>
      </w:pPr>
      <w:r w:rsidRPr="008B54B1">
        <w:rPr>
          <w:u w:val="single"/>
        </w:rPr>
        <w:t>ORDER</w:t>
      </w:r>
    </w:p>
    <w:p w:rsidR="00BF68CF" w:rsidRDefault="00BF68CF" w:rsidP="008B2DC5">
      <w:pPr>
        <w:tabs>
          <w:tab w:val="left" w:pos="0"/>
        </w:tabs>
        <w:spacing w:after="0"/>
        <w:jc w:val="center"/>
        <w:rPr>
          <w:u w:val="single"/>
        </w:rPr>
      </w:pPr>
    </w:p>
    <w:p w:rsidR="00BF68CF" w:rsidRDefault="00BF68CF" w:rsidP="008B2DC5">
      <w:pPr>
        <w:tabs>
          <w:tab w:val="left" w:pos="0"/>
        </w:tabs>
        <w:spacing w:after="0"/>
        <w:jc w:val="center"/>
        <w:rPr>
          <w:u w:val="single"/>
        </w:rPr>
      </w:pPr>
    </w:p>
    <w:p w:rsidR="000B7517" w:rsidRDefault="000B7517" w:rsidP="008B2DC5">
      <w:pPr>
        <w:tabs>
          <w:tab w:val="left" w:pos="0"/>
        </w:tabs>
        <w:spacing w:after="0"/>
      </w:pPr>
      <w:r w:rsidRPr="00A70FF2">
        <w:tab/>
        <w:t>THEREFORE,</w:t>
      </w:r>
    </w:p>
    <w:p w:rsidR="000B7517" w:rsidRDefault="000B7517" w:rsidP="008B2DC5">
      <w:pPr>
        <w:spacing w:after="0"/>
      </w:pPr>
    </w:p>
    <w:p w:rsidR="000B7517" w:rsidRDefault="000B7517" w:rsidP="008B2DC5">
      <w:pPr>
        <w:spacing w:after="0"/>
      </w:pPr>
      <w:r w:rsidRPr="00A70FF2">
        <w:tab/>
        <w:t>IT IS ORDERED:</w:t>
      </w:r>
    </w:p>
    <w:p w:rsidR="000B7517" w:rsidRDefault="000B7517" w:rsidP="008B2DC5">
      <w:pPr>
        <w:spacing w:after="0"/>
      </w:pPr>
    </w:p>
    <w:p w:rsidR="000B7517" w:rsidRDefault="000B7517" w:rsidP="008B2DC5">
      <w:pPr>
        <w:tabs>
          <w:tab w:val="left" w:pos="-1440"/>
          <w:tab w:val="left" w:pos="-720"/>
        </w:tabs>
        <w:suppressAutoHyphens/>
        <w:spacing w:after="0"/>
        <w:ind w:firstLine="1440"/>
        <w:rPr>
          <w:szCs w:val="24"/>
        </w:rPr>
      </w:pPr>
      <w:r w:rsidRPr="004849AA">
        <w:rPr>
          <w:spacing w:val="-3"/>
          <w:szCs w:val="24"/>
        </w:rPr>
        <w:t>1.</w:t>
      </w:r>
      <w:r w:rsidRPr="004849AA">
        <w:rPr>
          <w:spacing w:val="-3"/>
          <w:szCs w:val="24"/>
        </w:rPr>
        <w:tab/>
        <w:t xml:space="preserve">That </w:t>
      </w:r>
      <w:r w:rsidRPr="00A70FF2">
        <w:t xml:space="preserve">the formal </w:t>
      </w:r>
      <w:r>
        <w:t>c</w:t>
      </w:r>
      <w:r w:rsidRPr="00A70FF2">
        <w:t xml:space="preserve">omplaint filed by </w:t>
      </w:r>
      <w:r w:rsidR="00990439">
        <w:t>Dionne Oliver-Booker at Docket No. C-2014-2452659</w:t>
      </w:r>
      <w:r w:rsidRPr="00A70FF2">
        <w:t xml:space="preserve"> </w:t>
      </w:r>
      <w:r>
        <w:t xml:space="preserve">is </w:t>
      </w:r>
      <w:r w:rsidRPr="00A70FF2">
        <w:t>dismissed in part and sustained in part.</w:t>
      </w:r>
      <w:r>
        <w:t xml:space="preserve">  The complaint is sustained to the extent it requests a payment arrangement</w:t>
      </w:r>
      <w:r w:rsidR="00990439">
        <w:t xml:space="preserve"> on her non-CAP arrearages</w:t>
      </w:r>
      <w:r>
        <w:t xml:space="preserve"> and dismissed in all other respects</w:t>
      </w:r>
      <w:r w:rsidRPr="004849AA">
        <w:rPr>
          <w:spacing w:val="-3"/>
          <w:szCs w:val="24"/>
        </w:rPr>
        <w:t>.</w:t>
      </w:r>
    </w:p>
    <w:p w:rsidR="000B7517" w:rsidRPr="004849AA" w:rsidRDefault="000B7517" w:rsidP="008B2DC5">
      <w:pPr>
        <w:autoSpaceDE w:val="0"/>
        <w:autoSpaceDN w:val="0"/>
        <w:spacing w:after="0"/>
        <w:ind w:firstLine="1440"/>
        <w:rPr>
          <w:szCs w:val="24"/>
        </w:rPr>
      </w:pPr>
    </w:p>
    <w:p w:rsidR="000B7517" w:rsidRDefault="00990439" w:rsidP="008B2DC5">
      <w:pPr>
        <w:autoSpaceDE w:val="0"/>
        <w:autoSpaceDN w:val="0"/>
        <w:spacing w:after="0"/>
        <w:ind w:firstLine="1440"/>
        <w:rPr>
          <w:szCs w:val="24"/>
        </w:rPr>
      </w:pPr>
      <w:r>
        <w:rPr>
          <w:spacing w:val="-3"/>
          <w:szCs w:val="24"/>
        </w:rPr>
        <w:lastRenderedPageBreak/>
        <w:t>2</w:t>
      </w:r>
      <w:r w:rsidR="000B7517" w:rsidRPr="004849AA">
        <w:rPr>
          <w:spacing w:val="-3"/>
          <w:szCs w:val="24"/>
        </w:rPr>
        <w:t>.</w:t>
      </w:r>
      <w:r w:rsidR="000B7517" w:rsidRPr="004849AA">
        <w:rPr>
          <w:spacing w:val="-3"/>
          <w:szCs w:val="24"/>
        </w:rPr>
        <w:tab/>
      </w:r>
      <w:r w:rsidR="000B7517" w:rsidRPr="004849AA">
        <w:rPr>
          <w:szCs w:val="24"/>
        </w:rPr>
        <w:t xml:space="preserve">That </w:t>
      </w:r>
      <w:r>
        <w:t>Dionne Oliver-Booker</w:t>
      </w:r>
      <w:r w:rsidR="000B7517" w:rsidRPr="00A70FF2">
        <w:t xml:space="preserve"> shall pay </w:t>
      </w:r>
      <w:r>
        <w:t>PECO Energy Company</w:t>
      </w:r>
      <w:r w:rsidR="000B7517" w:rsidRPr="00A70FF2">
        <w:t xml:space="preserve"> on or before the due date for payment of each monthly bill, the monthly budget amount fo</w:t>
      </w:r>
      <w:r w:rsidR="000B7517">
        <w:t xml:space="preserve">r current consumption, </w:t>
      </w:r>
      <w:r>
        <w:t>plus 1/60</w:t>
      </w:r>
      <w:r w:rsidR="000B7517" w:rsidRPr="00A70FF2">
        <w:t>th of the</w:t>
      </w:r>
      <w:r>
        <w:t xml:space="preserve"> non-CAP </w:t>
      </w:r>
      <w:r w:rsidR="000B7517" w:rsidRPr="00A70FF2">
        <w:t xml:space="preserve">arrearage owed on </w:t>
      </w:r>
      <w:r>
        <w:t>her</w:t>
      </w:r>
      <w:r w:rsidR="000B7517" w:rsidRPr="00A70FF2">
        <w:t xml:space="preserve"> account to be calculated as of the date the Commission enters its </w:t>
      </w:r>
      <w:r w:rsidR="00BA2475">
        <w:t xml:space="preserve">Final </w:t>
      </w:r>
      <w:r w:rsidR="000B7517" w:rsidRPr="00A70FF2">
        <w:t>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r w:rsidR="000B7517" w:rsidRPr="004849AA">
        <w:rPr>
          <w:szCs w:val="24"/>
        </w:rPr>
        <w:t>.</w:t>
      </w:r>
    </w:p>
    <w:p w:rsidR="000B7517" w:rsidRPr="004849AA" w:rsidRDefault="000B7517" w:rsidP="008B2DC5">
      <w:pPr>
        <w:autoSpaceDE w:val="0"/>
        <w:autoSpaceDN w:val="0"/>
        <w:spacing w:after="0"/>
        <w:ind w:firstLine="1440"/>
        <w:rPr>
          <w:szCs w:val="24"/>
        </w:rPr>
      </w:pPr>
    </w:p>
    <w:p w:rsidR="000B7517" w:rsidRDefault="004D0A5B" w:rsidP="008B2DC5">
      <w:pPr>
        <w:autoSpaceDE w:val="0"/>
        <w:autoSpaceDN w:val="0"/>
        <w:spacing w:after="0"/>
        <w:ind w:firstLine="1440"/>
        <w:rPr>
          <w:szCs w:val="24"/>
        </w:rPr>
      </w:pPr>
      <w:r>
        <w:rPr>
          <w:spacing w:val="-3"/>
          <w:szCs w:val="24"/>
        </w:rPr>
        <w:t>3</w:t>
      </w:r>
      <w:r w:rsidR="000B7517" w:rsidRPr="004849AA">
        <w:rPr>
          <w:spacing w:val="-3"/>
          <w:szCs w:val="24"/>
        </w:rPr>
        <w:t>.</w:t>
      </w:r>
      <w:r w:rsidR="000B7517" w:rsidRPr="004849AA">
        <w:rPr>
          <w:spacing w:val="-3"/>
          <w:szCs w:val="24"/>
        </w:rPr>
        <w:tab/>
      </w:r>
      <w:r w:rsidR="000B7517" w:rsidRPr="004849AA">
        <w:rPr>
          <w:szCs w:val="24"/>
        </w:rPr>
        <w:t>That</w:t>
      </w:r>
      <w:r w:rsidR="000B7517" w:rsidRPr="00A70FF2">
        <w:t xml:space="preserve">, so long as </w:t>
      </w:r>
      <w:r w:rsidR="00990439">
        <w:t>Dionne Oliver-Booker</w:t>
      </w:r>
      <w:r w:rsidR="000B7517" w:rsidRPr="00A70FF2">
        <w:t xml:space="preserve"> adheres to the terms of this Order, </w:t>
      </w:r>
      <w:r w:rsidR="00990439">
        <w:t>PECO Energy Company</w:t>
      </w:r>
      <w:r w:rsidR="00BA2475">
        <w:t xml:space="preserve"> shall not assess any late-</w:t>
      </w:r>
      <w:r w:rsidR="000B7517" w:rsidRPr="00A70FF2">
        <w:t xml:space="preserve">payment charges nor shall </w:t>
      </w:r>
      <w:r w:rsidR="00990439">
        <w:t>PECO Energy Company</w:t>
      </w:r>
      <w:r w:rsidR="000B7517" w:rsidRPr="00A70FF2">
        <w:t xml:space="preserve"> terminate service to </w:t>
      </w:r>
      <w:r w:rsidR="00990439">
        <w:t>Dionne Oliver-Booker</w:t>
      </w:r>
      <w:r w:rsidR="000B7517" w:rsidRPr="00A70FF2">
        <w:t>, except for valid safety and/or emergency reasons</w:t>
      </w:r>
      <w:r w:rsidR="000B7517" w:rsidRPr="004849AA">
        <w:rPr>
          <w:szCs w:val="24"/>
        </w:rPr>
        <w:t>.</w:t>
      </w:r>
    </w:p>
    <w:p w:rsidR="000B7517" w:rsidRDefault="000B7517" w:rsidP="008B2DC5">
      <w:pPr>
        <w:autoSpaceDE w:val="0"/>
        <w:autoSpaceDN w:val="0"/>
        <w:spacing w:after="0"/>
        <w:ind w:firstLine="1440"/>
        <w:rPr>
          <w:szCs w:val="24"/>
        </w:rPr>
      </w:pPr>
    </w:p>
    <w:p w:rsidR="000B7517" w:rsidRDefault="004D0A5B" w:rsidP="008B2DC5">
      <w:pPr>
        <w:autoSpaceDE w:val="0"/>
        <w:autoSpaceDN w:val="0"/>
        <w:spacing w:after="0"/>
        <w:ind w:firstLine="1440"/>
        <w:rPr>
          <w:szCs w:val="24"/>
        </w:rPr>
      </w:pPr>
      <w:r>
        <w:rPr>
          <w:szCs w:val="24"/>
        </w:rPr>
        <w:t>4</w:t>
      </w:r>
      <w:r w:rsidR="000B7517">
        <w:rPr>
          <w:szCs w:val="24"/>
        </w:rPr>
        <w:t>.</w:t>
      </w:r>
      <w:r w:rsidR="000B7517">
        <w:rPr>
          <w:szCs w:val="24"/>
        </w:rPr>
        <w:tab/>
        <w:t xml:space="preserve">That, if </w:t>
      </w:r>
      <w:r w:rsidR="00990439">
        <w:rPr>
          <w:szCs w:val="24"/>
        </w:rPr>
        <w:t>Dionne Oliver-Booker</w:t>
      </w:r>
      <w:r w:rsidR="000B7517">
        <w:rPr>
          <w:szCs w:val="24"/>
        </w:rPr>
        <w:t xml:space="preserve"> fails to keep the payment schedule stated in this order, </w:t>
      </w:r>
      <w:r w:rsidR="00990439">
        <w:rPr>
          <w:szCs w:val="24"/>
        </w:rPr>
        <w:t>PECO Energy Company</w:t>
      </w:r>
      <w:r w:rsidR="000B7517">
        <w:rPr>
          <w:szCs w:val="24"/>
        </w:rPr>
        <w:t xml:space="preserve"> is author</w:t>
      </w:r>
      <w:r w:rsidR="005B72EB">
        <w:rPr>
          <w:szCs w:val="24"/>
        </w:rPr>
        <w:t>ized to suspend or terminate her</w:t>
      </w:r>
      <w:r w:rsidR="000B7517">
        <w:rPr>
          <w:szCs w:val="24"/>
        </w:rPr>
        <w:t xml:space="preserve"> utility service in accordance with the Commission’s statute and regulations.</w:t>
      </w:r>
    </w:p>
    <w:p w:rsidR="00BF68CF" w:rsidRDefault="00BF68CF" w:rsidP="008B2DC5">
      <w:pPr>
        <w:autoSpaceDE w:val="0"/>
        <w:autoSpaceDN w:val="0"/>
        <w:spacing w:after="0"/>
        <w:ind w:firstLine="1440"/>
        <w:rPr>
          <w:szCs w:val="24"/>
        </w:rPr>
      </w:pPr>
    </w:p>
    <w:p w:rsidR="0063693B" w:rsidRDefault="004D0A5B" w:rsidP="008B2DC5">
      <w:pPr>
        <w:autoSpaceDE w:val="0"/>
        <w:autoSpaceDN w:val="0"/>
        <w:spacing w:after="0"/>
        <w:ind w:firstLine="1440"/>
        <w:rPr>
          <w:szCs w:val="24"/>
        </w:rPr>
      </w:pPr>
      <w:bookmarkStart w:id="0" w:name="_GoBack"/>
      <w:bookmarkEnd w:id="0"/>
      <w:r>
        <w:rPr>
          <w:szCs w:val="24"/>
        </w:rPr>
        <w:t>5</w:t>
      </w:r>
      <w:r w:rsidR="000B7517">
        <w:rPr>
          <w:szCs w:val="24"/>
        </w:rPr>
        <w:t>.</w:t>
      </w:r>
      <w:r w:rsidR="000B7517">
        <w:rPr>
          <w:szCs w:val="24"/>
        </w:rPr>
        <w:tab/>
        <w:t>That the Secretary mark this docket closed and discontinued.</w:t>
      </w:r>
    </w:p>
    <w:p w:rsidR="00BF68CF" w:rsidRDefault="00BF68CF" w:rsidP="008B2DC5">
      <w:pPr>
        <w:autoSpaceDE w:val="0"/>
        <w:autoSpaceDN w:val="0"/>
        <w:spacing w:after="0"/>
        <w:ind w:firstLine="1440"/>
        <w:rPr>
          <w:szCs w:val="24"/>
        </w:rPr>
      </w:pPr>
    </w:p>
    <w:p w:rsidR="00BF68CF" w:rsidRDefault="00BF68CF" w:rsidP="008B2DC5">
      <w:pPr>
        <w:autoSpaceDE w:val="0"/>
        <w:autoSpaceDN w:val="0"/>
        <w:spacing w:after="0"/>
        <w:ind w:firstLine="1440"/>
        <w:rPr>
          <w:szCs w:val="24"/>
        </w:rPr>
      </w:pPr>
    </w:p>
    <w:p w:rsidR="00BF68CF" w:rsidRPr="00BF68CF" w:rsidRDefault="00BF68CF" w:rsidP="008B2DC5">
      <w:pPr>
        <w:tabs>
          <w:tab w:val="left" w:pos="0"/>
        </w:tabs>
        <w:spacing w:after="0" w:line="240" w:lineRule="auto"/>
        <w:jc w:val="both"/>
        <w:rPr>
          <w:szCs w:val="24"/>
          <w:u w:val="single"/>
        </w:rPr>
      </w:pPr>
      <w:r w:rsidRPr="00BF68CF">
        <w:rPr>
          <w:szCs w:val="24"/>
        </w:rPr>
        <w:t xml:space="preserve">Date:  </w:t>
      </w:r>
      <w:r w:rsidR="006E6C6C">
        <w:rPr>
          <w:szCs w:val="24"/>
          <w:u w:val="single"/>
        </w:rPr>
        <w:t>June 2</w:t>
      </w:r>
      <w:r w:rsidR="006D458D">
        <w:rPr>
          <w:szCs w:val="24"/>
          <w:u w:val="single"/>
        </w:rPr>
        <w:t>3</w:t>
      </w:r>
      <w:r w:rsidRPr="00BF68CF">
        <w:rPr>
          <w:szCs w:val="24"/>
          <w:u w:val="single"/>
        </w:rPr>
        <w:t>, 2015</w:t>
      </w:r>
      <w:r w:rsidRPr="00BF68CF">
        <w:rPr>
          <w:szCs w:val="24"/>
        </w:rPr>
        <w:tab/>
      </w:r>
      <w:r w:rsidRPr="00BF68CF">
        <w:rPr>
          <w:szCs w:val="24"/>
        </w:rPr>
        <w:tab/>
      </w:r>
      <w:r w:rsidRPr="00BF68CF">
        <w:rPr>
          <w:szCs w:val="24"/>
        </w:rPr>
        <w:tab/>
      </w:r>
      <w:r w:rsidRPr="00BF68CF">
        <w:rPr>
          <w:szCs w:val="24"/>
        </w:rPr>
        <w:tab/>
      </w:r>
      <w:r w:rsidRPr="00BF68CF">
        <w:rPr>
          <w:szCs w:val="24"/>
        </w:rPr>
        <w:tab/>
      </w:r>
      <w:r w:rsidRPr="00BF68CF">
        <w:rPr>
          <w:szCs w:val="24"/>
          <w:u w:val="single"/>
        </w:rPr>
        <w:tab/>
      </w:r>
      <w:r w:rsidRPr="00BF68CF">
        <w:rPr>
          <w:szCs w:val="24"/>
          <w:u w:val="single"/>
        </w:rPr>
        <w:tab/>
        <w:t>/s/</w:t>
      </w:r>
      <w:r w:rsidRPr="00BF68CF">
        <w:rPr>
          <w:szCs w:val="24"/>
          <w:u w:val="single"/>
        </w:rPr>
        <w:tab/>
      </w:r>
      <w:r w:rsidRPr="00BF68CF">
        <w:rPr>
          <w:szCs w:val="24"/>
          <w:u w:val="single"/>
        </w:rPr>
        <w:tab/>
      </w:r>
      <w:r w:rsidRPr="00BF68CF">
        <w:rPr>
          <w:szCs w:val="24"/>
          <w:u w:val="single"/>
        </w:rPr>
        <w:tab/>
      </w:r>
      <w:r w:rsidRPr="00BF68CF">
        <w:rPr>
          <w:szCs w:val="24"/>
          <w:u w:val="single"/>
        </w:rPr>
        <w:tab/>
      </w:r>
    </w:p>
    <w:p w:rsidR="00BF68CF" w:rsidRPr="00BF68CF" w:rsidRDefault="00BF68CF" w:rsidP="008B2DC5">
      <w:pPr>
        <w:tabs>
          <w:tab w:val="left" w:pos="0"/>
        </w:tabs>
        <w:spacing w:after="0" w:line="240" w:lineRule="auto"/>
        <w:jc w:val="both"/>
        <w:rPr>
          <w:szCs w:val="24"/>
        </w:rPr>
      </w:pPr>
      <w:r w:rsidRPr="00BF68CF">
        <w:rPr>
          <w:szCs w:val="24"/>
        </w:rPr>
        <w:tab/>
      </w:r>
      <w:r w:rsidRPr="00BF68CF">
        <w:rPr>
          <w:szCs w:val="24"/>
        </w:rPr>
        <w:tab/>
      </w:r>
      <w:r w:rsidRPr="00BF68CF">
        <w:rPr>
          <w:szCs w:val="24"/>
        </w:rPr>
        <w:tab/>
      </w:r>
      <w:r w:rsidRPr="00BF68CF">
        <w:rPr>
          <w:szCs w:val="24"/>
        </w:rPr>
        <w:tab/>
      </w:r>
      <w:r w:rsidRPr="00BF68CF">
        <w:rPr>
          <w:szCs w:val="24"/>
        </w:rPr>
        <w:tab/>
      </w:r>
      <w:r w:rsidRPr="00BF68CF">
        <w:rPr>
          <w:szCs w:val="24"/>
        </w:rPr>
        <w:tab/>
        <w:t>Mary D. Long</w:t>
      </w:r>
    </w:p>
    <w:p w:rsidR="00BF68CF" w:rsidRPr="00BF68CF" w:rsidRDefault="00BF68CF" w:rsidP="008B2DC5">
      <w:pPr>
        <w:tabs>
          <w:tab w:val="left" w:pos="0"/>
        </w:tabs>
        <w:spacing w:after="0" w:line="240" w:lineRule="auto"/>
        <w:jc w:val="both"/>
        <w:rPr>
          <w:szCs w:val="24"/>
        </w:rPr>
      </w:pPr>
      <w:r w:rsidRPr="00BF68CF">
        <w:rPr>
          <w:szCs w:val="24"/>
        </w:rPr>
        <w:tab/>
      </w:r>
      <w:r w:rsidRPr="00BF68CF">
        <w:rPr>
          <w:szCs w:val="24"/>
        </w:rPr>
        <w:tab/>
      </w:r>
      <w:r w:rsidRPr="00BF68CF">
        <w:rPr>
          <w:szCs w:val="24"/>
        </w:rPr>
        <w:tab/>
      </w:r>
      <w:r w:rsidRPr="00BF68CF">
        <w:rPr>
          <w:szCs w:val="24"/>
        </w:rPr>
        <w:tab/>
      </w:r>
      <w:r w:rsidRPr="00BF68CF">
        <w:rPr>
          <w:szCs w:val="24"/>
        </w:rPr>
        <w:tab/>
      </w:r>
      <w:r w:rsidRPr="00BF68CF">
        <w:rPr>
          <w:szCs w:val="24"/>
        </w:rPr>
        <w:tab/>
        <w:t>Administrative Law Judge</w:t>
      </w:r>
    </w:p>
    <w:p w:rsidR="00667916" w:rsidRPr="00DD7545" w:rsidRDefault="00667916" w:rsidP="008B2DC5">
      <w:pPr>
        <w:spacing w:after="0"/>
      </w:pPr>
    </w:p>
    <w:p w:rsidR="00AB31BA" w:rsidRDefault="00AB31BA" w:rsidP="00AB31BA">
      <w:pPr>
        <w:spacing w:after="240"/>
      </w:pPr>
    </w:p>
    <w:p w:rsidR="00FC0DC9" w:rsidRDefault="00FC0DC9" w:rsidP="00FC0DC9">
      <w:pPr>
        <w:rPr>
          <w:szCs w:val="24"/>
        </w:rPr>
      </w:pPr>
    </w:p>
    <w:p w:rsidR="00001FA9" w:rsidRDefault="00001FA9" w:rsidP="00001FA9"/>
    <w:sectPr w:rsidR="00001FA9" w:rsidSect="00CD632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BBD" w:rsidRDefault="00CB2BBD" w:rsidP="008C22B0">
      <w:pPr>
        <w:spacing w:after="0" w:line="240" w:lineRule="auto"/>
      </w:pPr>
      <w:r>
        <w:separator/>
      </w:r>
    </w:p>
  </w:endnote>
  <w:endnote w:type="continuationSeparator" w:id="0">
    <w:p w:rsidR="00CB2BBD" w:rsidRDefault="00CB2BBD" w:rsidP="008C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54859262"/>
      <w:docPartObj>
        <w:docPartGallery w:val="Page Numbers (Bottom of Page)"/>
        <w:docPartUnique/>
      </w:docPartObj>
    </w:sdtPr>
    <w:sdtEndPr>
      <w:rPr>
        <w:noProof/>
      </w:rPr>
    </w:sdtEndPr>
    <w:sdtContent>
      <w:p w:rsidR="008C22B0" w:rsidRPr="003C4F46" w:rsidRDefault="008C22B0">
        <w:pPr>
          <w:pStyle w:val="Footer"/>
          <w:jc w:val="center"/>
          <w:rPr>
            <w:sz w:val="20"/>
          </w:rPr>
        </w:pPr>
        <w:r w:rsidRPr="003C4F46">
          <w:rPr>
            <w:sz w:val="20"/>
          </w:rPr>
          <w:fldChar w:fldCharType="begin"/>
        </w:r>
        <w:r w:rsidRPr="003C4F46">
          <w:rPr>
            <w:sz w:val="20"/>
          </w:rPr>
          <w:instrText xml:space="preserve"> PAGE   \* MERGEFORMAT </w:instrText>
        </w:r>
        <w:r w:rsidRPr="003C4F46">
          <w:rPr>
            <w:sz w:val="20"/>
          </w:rPr>
          <w:fldChar w:fldCharType="separate"/>
        </w:r>
        <w:r w:rsidR="00930DCF">
          <w:rPr>
            <w:noProof/>
            <w:sz w:val="20"/>
          </w:rPr>
          <w:t>11</w:t>
        </w:r>
        <w:r w:rsidRPr="003C4F46">
          <w:rPr>
            <w:noProof/>
            <w:sz w:val="20"/>
          </w:rPr>
          <w:fldChar w:fldCharType="end"/>
        </w:r>
      </w:p>
    </w:sdtContent>
  </w:sdt>
  <w:p w:rsidR="008C22B0" w:rsidRDefault="008C2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BBD" w:rsidRDefault="00CB2BBD" w:rsidP="008C22B0">
      <w:pPr>
        <w:spacing w:after="0" w:line="240" w:lineRule="auto"/>
      </w:pPr>
      <w:r>
        <w:separator/>
      </w:r>
    </w:p>
  </w:footnote>
  <w:footnote w:type="continuationSeparator" w:id="0">
    <w:p w:rsidR="00CB2BBD" w:rsidRDefault="00CB2BBD" w:rsidP="008C22B0">
      <w:pPr>
        <w:spacing w:after="0" w:line="240" w:lineRule="auto"/>
      </w:pPr>
      <w:r>
        <w:continuationSeparator/>
      </w:r>
    </w:p>
  </w:footnote>
  <w:footnote w:id="1">
    <w:p w:rsidR="00001FA9" w:rsidRDefault="00001FA9" w:rsidP="00181E1E">
      <w:pPr>
        <w:pStyle w:val="FootnoteText"/>
        <w:spacing w:after="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701.</w:t>
      </w:r>
    </w:p>
    <w:p w:rsidR="00001FA9" w:rsidRPr="00C81B96" w:rsidRDefault="00001FA9" w:rsidP="00001FA9">
      <w:pPr>
        <w:pStyle w:val="FootnoteText"/>
        <w:spacing w:after="0"/>
      </w:pPr>
    </w:p>
  </w:footnote>
  <w:footnote w:id="2">
    <w:p w:rsidR="00001FA9" w:rsidRDefault="00001FA9" w:rsidP="00181E1E">
      <w:pPr>
        <w:pStyle w:val="FootnoteText"/>
        <w:spacing w:after="0"/>
      </w:pPr>
      <w:r w:rsidRPr="00C81B96">
        <w:rPr>
          <w:rStyle w:val="FootnoteReference"/>
        </w:rPr>
        <w:footnoteRef/>
      </w:r>
      <w:r w:rsidRPr="00C81B96">
        <w:t xml:space="preserve"> </w:t>
      </w:r>
      <w:r>
        <w:tab/>
      </w:r>
      <w:proofErr w:type="gramStart"/>
      <w:r>
        <w:t>66 Pa.</w:t>
      </w:r>
      <w:r w:rsidRPr="00C81B96">
        <w:t>C.S.</w:t>
      </w:r>
      <w:proofErr w:type="gramEnd"/>
      <w:r w:rsidRPr="00C81B96">
        <w:t xml:space="preserve"> §</w:t>
      </w:r>
      <w:r>
        <w:t xml:space="preserve"> </w:t>
      </w:r>
      <w:r w:rsidRPr="00C81B96">
        <w:t>332(a).</w:t>
      </w:r>
    </w:p>
    <w:p w:rsidR="00001FA9" w:rsidRPr="00C81B96" w:rsidRDefault="00001FA9" w:rsidP="00001FA9">
      <w:pPr>
        <w:pStyle w:val="FootnoteText"/>
        <w:spacing w:after="0"/>
      </w:pPr>
    </w:p>
  </w:footnote>
  <w:footnote w:id="3">
    <w:p w:rsidR="00001FA9" w:rsidRDefault="00001FA9" w:rsidP="00181E1E">
      <w:pPr>
        <w:pStyle w:val="FootnoteText"/>
        <w:spacing w:after="0"/>
      </w:pPr>
      <w:r w:rsidRPr="00C81B96">
        <w:rPr>
          <w:rStyle w:val="FootnoteReference"/>
        </w:rPr>
        <w:footnoteRef/>
      </w:r>
      <w:r w:rsidRPr="00C81B96">
        <w:t xml:space="preserve"> </w:t>
      </w:r>
      <w:r>
        <w:tab/>
      </w:r>
      <w:proofErr w:type="gramStart"/>
      <w:r w:rsidRPr="000637F9">
        <w:rPr>
          <w:i/>
        </w:rPr>
        <w:t>Se-Ling Hosiery, Inc. v. Margulies</w:t>
      </w:r>
      <w:r w:rsidRPr="00C81B96">
        <w:t>, 70 A.2d 854 (</w:t>
      </w:r>
      <w:r w:rsidR="00181E1E">
        <w:t xml:space="preserve">Pa. </w:t>
      </w:r>
      <w:r w:rsidRPr="00C81B96">
        <w:t xml:space="preserve">1950); </w:t>
      </w:r>
      <w:r w:rsidRPr="000637F9">
        <w:rPr>
          <w:i/>
        </w:rPr>
        <w:t>Feinstein v. Philadelphia Suburban Water Company</w:t>
      </w:r>
      <w:r w:rsidRPr="000213A4">
        <w:t>,</w:t>
      </w:r>
      <w:r>
        <w:t xml:space="preserve"> 50 Pa.</w:t>
      </w:r>
      <w:r w:rsidRPr="00C81B96">
        <w:t xml:space="preserve"> PUC 300 (1976).</w:t>
      </w:r>
      <w:proofErr w:type="gramEnd"/>
    </w:p>
    <w:p w:rsidR="00001FA9" w:rsidRPr="00C81B96" w:rsidRDefault="00001FA9" w:rsidP="00001FA9">
      <w:pPr>
        <w:pStyle w:val="FootnoteText"/>
        <w:spacing w:after="0"/>
      </w:pPr>
    </w:p>
  </w:footnote>
  <w:footnote w:id="4">
    <w:p w:rsidR="00FC0DC9" w:rsidRDefault="00FC0DC9" w:rsidP="00190710">
      <w:pPr>
        <w:pStyle w:val="FootnoteText"/>
        <w:spacing w:after="0"/>
      </w:pPr>
      <w:r>
        <w:rPr>
          <w:rStyle w:val="FootnoteReference"/>
        </w:rPr>
        <w:footnoteRef/>
      </w:r>
      <w:r>
        <w:t xml:space="preserve"> </w:t>
      </w:r>
      <w:r>
        <w:tab/>
      </w:r>
      <w:proofErr w:type="gramStart"/>
      <w:r w:rsidRPr="00ED2E14">
        <w:t xml:space="preserve">54 </w:t>
      </w:r>
      <w:proofErr w:type="spellStart"/>
      <w:r w:rsidRPr="00ED2E14">
        <w:t>Pa.</w:t>
      </w:r>
      <w:r>
        <w:t>PUC</w:t>
      </w:r>
      <w:proofErr w:type="spellEnd"/>
      <w:r w:rsidRPr="00ED2E14">
        <w:t xml:space="preserve"> 98 (1980)</w:t>
      </w:r>
      <w:r w:rsidR="00F910F7">
        <w:t>.</w:t>
      </w:r>
      <w:proofErr w:type="gramEnd"/>
    </w:p>
    <w:p w:rsidR="00F910F7" w:rsidRDefault="00F910F7" w:rsidP="00190710">
      <w:pPr>
        <w:pStyle w:val="FootnoteText"/>
        <w:spacing w:after="0"/>
      </w:pPr>
    </w:p>
  </w:footnote>
  <w:footnote w:id="5">
    <w:p w:rsidR="00F910F7" w:rsidRDefault="00FC0DC9" w:rsidP="00190710">
      <w:pPr>
        <w:pStyle w:val="FootnoteText"/>
        <w:spacing w:after="0"/>
      </w:pPr>
      <w:r>
        <w:rPr>
          <w:rStyle w:val="FootnoteReference"/>
        </w:rPr>
        <w:footnoteRef/>
      </w:r>
      <w:r>
        <w:t xml:space="preserve"> </w:t>
      </w:r>
      <w:r>
        <w:tab/>
      </w:r>
      <w:proofErr w:type="gramStart"/>
      <w:r w:rsidRPr="00ED2E14">
        <w:t>768 A.2d 1217 (</w:t>
      </w:r>
      <w:proofErr w:type="spellStart"/>
      <w:r w:rsidRPr="00ED2E14">
        <w:t>Pa.Cmwlth</w:t>
      </w:r>
      <w:proofErr w:type="spellEnd"/>
      <w:r w:rsidRPr="00ED2E14">
        <w:t>. 2001) (</w:t>
      </w:r>
      <w:proofErr w:type="spellStart"/>
      <w:r w:rsidRPr="004C1836">
        <w:rPr>
          <w:i/>
        </w:rPr>
        <w:t>Milkie</w:t>
      </w:r>
      <w:proofErr w:type="spellEnd"/>
      <w:r w:rsidRPr="00ED2E14">
        <w:t>).</w:t>
      </w:r>
      <w:proofErr w:type="gramEnd"/>
      <w:r w:rsidRPr="00ED2E14">
        <w:t xml:space="preserve"> </w:t>
      </w:r>
    </w:p>
    <w:p w:rsidR="00FC0DC9" w:rsidRDefault="00FC0DC9" w:rsidP="00190710">
      <w:pPr>
        <w:pStyle w:val="FootnoteText"/>
        <w:spacing w:after="0"/>
      </w:pPr>
      <w:r w:rsidRPr="00ED2E14">
        <w:t xml:space="preserve"> </w:t>
      </w:r>
    </w:p>
  </w:footnote>
  <w:footnote w:id="6">
    <w:p w:rsidR="00FC0DC9" w:rsidRDefault="00FC0DC9" w:rsidP="00190710">
      <w:pPr>
        <w:pStyle w:val="FootnoteText"/>
        <w:spacing w:after="0"/>
      </w:pPr>
      <w:r>
        <w:rPr>
          <w:rStyle w:val="FootnoteReference"/>
        </w:rPr>
        <w:footnoteRef/>
      </w:r>
      <w:r>
        <w:t xml:space="preserve"> </w:t>
      </w:r>
      <w:r>
        <w:tab/>
      </w:r>
      <w:r w:rsidRPr="00F60717">
        <w:rPr>
          <w:i/>
        </w:rPr>
        <w:t>Bennett v Peoples Natural Gas Co.</w:t>
      </w:r>
      <w:r w:rsidRPr="00ED2E14">
        <w:t>, Docket No. C-2009-2122979 (</w:t>
      </w:r>
      <w:r>
        <w:t xml:space="preserve">Opinion and </w:t>
      </w:r>
      <w:r w:rsidRPr="00ED2E14">
        <w:t xml:space="preserve">Order entered October 13, 2010); </w:t>
      </w:r>
      <w:r w:rsidRPr="00F60717">
        <w:rPr>
          <w:i/>
        </w:rPr>
        <w:t>Thomas v PECO Energy Co.,</w:t>
      </w:r>
      <w:r w:rsidRPr="00ED2E14">
        <w:t xml:space="preserve"> Docket No. C-2010-2187197 </w:t>
      </w:r>
      <w:r>
        <w:t xml:space="preserve">(Opinion and </w:t>
      </w:r>
      <w:r w:rsidRPr="00ED2E14">
        <w:t>O</w:t>
      </w:r>
      <w:r>
        <w:t>rder entered November 15, 2011).</w:t>
      </w:r>
      <w:r w:rsidRPr="00ED2E14">
        <w:t xml:space="preserve"> </w:t>
      </w:r>
    </w:p>
    <w:p w:rsidR="00F910F7" w:rsidRDefault="00F910F7" w:rsidP="00190710">
      <w:pPr>
        <w:pStyle w:val="FootnoteText"/>
        <w:spacing w:after="0"/>
      </w:pPr>
    </w:p>
  </w:footnote>
  <w:footnote w:id="7">
    <w:p w:rsidR="00FC0DC9" w:rsidRPr="004307E8" w:rsidRDefault="00FC0DC9" w:rsidP="00190710">
      <w:pPr>
        <w:pStyle w:val="FootnoteText"/>
        <w:spacing w:after="0"/>
      </w:pPr>
      <w:r>
        <w:rPr>
          <w:rStyle w:val="FootnoteReference"/>
        </w:rPr>
        <w:footnoteRef/>
      </w:r>
      <w:r>
        <w:t xml:space="preserve"> </w:t>
      </w:r>
      <w:r>
        <w:tab/>
      </w:r>
      <w:r>
        <w:rPr>
          <w:i/>
        </w:rPr>
        <w:t>Bennett,</w:t>
      </w:r>
      <w:r>
        <w:t xml:space="preserve"> at 7.</w:t>
      </w:r>
    </w:p>
  </w:footnote>
  <w:footnote w:id="8">
    <w:p w:rsidR="00AB31BA" w:rsidRDefault="00AB31BA" w:rsidP="00EF2B68">
      <w:pPr>
        <w:pStyle w:val="FootnoteText"/>
        <w:spacing w:after="0"/>
      </w:pPr>
      <w:r w:rsidRPr="00FA2394">
        <w:rPr>
          <w:rStyle w:val="FootnoteReference"/>
        </w:rPr>
        <w:footnoteRef/>
      </w:r>
      <w:r w:rsidR="00EF2B68">
        <w:t xml:space="preserve"> </w:t>
      </w:r>
      <w:r w:rsidR="00EF2B68">
        <w:tab/>
      </w:r>
      <w:proofErr w:type="gramStart"/>
      <w:r w:rsidR="00EF2B68">
        <w:t>66 Pa.</w:t>
      </w:r>
      <w:r w:rsidRPr="00FA2394">
        <w:t>C.S.</w:t>
      </w:r>
      <w:proofErr w:type="gramEnd"/>
      <w:r w:rsidRPr="00FA2394">
        <w:t xml:space="preserve"> §</w:t>
      </w:r>
      <w:r>
        <w:t xml:space="preserve"> 1405</w:t>
      </w:r>
      <w:r w:rsidRPr="00FA2394">
        <w:t>.</w:t>
      </w:r>
    </w:p>
    <w:p w:rsidR="00AB31BA" w:rsidRPr="00FA2394" w:rsidRDefault="00AB31BA" w:rsidP="00AB31BA">
      <w:pPr>
        <w:pStyle w:val="FootnoteText"/>
        <w:spacing w:after="0"/>
        <w:ind w:firstLine="720"/>
      </w:pPr>
    </w:p>
  </w:footnote>
  <w:footnote w:id="9">
    <w:p w:rsidR="00AB31BA" w:rsidRPr="000F49D1" w:rsidRDefault="00AB31BA" w:rsidP="00EF2B68">
      <w:pPr>
        <w:pStyle w:val="FootnoteText"/>
        <w:spacing w:after="0"/>
      </w:pPr>
      <w:r>
        <w:rPr>
          <w:rStyle w:val="FootnoteReference"/>
        </w:rPr>
        <w:footnoteRef/>
      </w:r>
      <w:r>
        <w:t xml:space="preserve">  </w:t>
      </w:r>
      <w:r>
        <w:tab/>
      </w:r>
      <w:proofErr w:type="gramStart"/>
      <w:r>
        <w:rPr>
          <w:i/>
        </w:rPr>
        <w:t>Buchanan v. Pike County Light and Power Company</w:t>
      </w:r>
      <w:r>
        <w:t>, PUC Docket No.</w:t>
      </w:r>
      <w:proofErr w:type="gramEnd"/>
      <w:r>
        <w:t xml:space="preserve"> F-2009-2137873 (Final Order entered December 12, 2011); </w:t>
      </w:r>
      <w:proofErr w:type="spellStart"/>
      <w:r>
        <w:rPr>
          <w:i/>
        </w:rPr>
        <w:t>Creekmur</w:t>
      </w:r>
      <w:proofErr w:type="spellEnd"/>
      <w:r>
        <w:rPr>
          <w:i/>
        </w:rPr>
        <w:t xml:space="preserve"> v. PECO Energy Co.,</w:t>
      </w:r>
      <w:r>
        <w:t xml:space="preserve"> PUC Docket No. C-2008-2079322 (Final Order entered February 4, 2010); </w:t>
      </w:r>
      <w:r>
        <w:rPr>
          <w:i/>
        </w:rPr>
        <w:t>Crawford v. National Fuel Gas Distribution Corp</w:t>
      </w:r>
      <w:r>
        <w:t>., PUC Docket No. C-20066348 (Final Order entered December 6, 2007).</w:t>
      </w:r>
    </w:p>
    <w:p w:rsidR="00AB31BA" w:rsidRPr="00800102" w:rsidRDefault="00AB31BA" w:rsidP="00AB31BA">
      <w:pPr>
        <w:pStyle w:val="FootnoteText"/>
        <w:spacing w:after="0"/>
        <w:ind w:firstLine="720"/>
      </w:pPr>
    </w:p>
  </w:footnote>
  <w:footnote w:id="10">
    <w:p w:rsidR="00AB31BA" w:rsidRDefault="00AB31BA" w:rsidP="00181E1E">
      <w:pPr>
        <w:pStyle w:val="FootnoteText"/>
        <w:spacing w:after="0"/>
      </w:pPr>
      <w:r w:rsidRPr="00FA2394">
        <w:rPr>
          <w:rStyle w:val="FootnoteReference"/>
        </w:rPr>
        <w:footnoteRef/>
      </w:r>
      <w:r w:rsidRPr="00FA2394">
        <w:t xml:space="preserve"> </w:t>
      </w:r>
      <w:r w:rsidRPr="00FA2394">
        <w:tab/>
      </w:r>
      <w:proofErr w:type="gramStart"/>
      <w:r w:rsidRPr="00FA2394">
        <w:t>66 Pa.C.S.</w:t>
      </w:r>
      <w:proofErr w:type="gramEnd"/>
      <w:r w:rsidRPr="00FA2394">
        <w:t xml:space="preserve"> </w:t>
      </w:r>
      <w:proofErr w:type="gramStart"/>
      <w:r w:rsidRPr="00FA2394">
        <w:t>§</w:t>
      </w:r>
      <w:r>
        <w:t xml:space="preserve"> </w:t>
      </w:r>
      <w:r w:rsidRPr="00FA2394">
        <w:t>1405(d).</w:t>
      </w:r>
      <w:proofErr w:type="gramEnd"/>
    </w:p>
    <w:p w:rsidR="00AB31BA" w:rsidRPr="00FA2394" w:rsidRDefault="00AB31BA" w:rsidP="00AB31BA">
      <w:pPr>
        <w:pStyle w:val="FootnoteText"/>
        <w:spacing w:after="0"/>
        <w:ind w:firstLine="720"/>
      </w:pPr>
    </w:p>
  </w:footnote>
  <w:footnote w:id="11">
    <w:p w:rsidR="000B7517" w:rsidRDefault="000B7517" w:rsidP="009F7921">
      <w:pPr>
        <w:pStyle w:val="FootnoteText"/>
        <w:spacing w:after="0"/>
      </w:pPr>
      <w:r>
        <w:rPr>
          <w:rStyle w:val="FootnoteReference"/>
        </w:rPr>
        <w:footnoteRef/>
      </w:r>
      <w:r>
        <w:t xml:space="preserve">  </w:t>
      </w:r>
      <w:r>
        <w:tab/>
        <w:t>66 Pa.C.S. § 1405(c).</w:t>
      </w:r>
    </w:p>
    <w:p w:rsidR="009F7921" w:rsidRDefault="009F7921" w:rsidP="009F7921">
      <w:pPr>
        <w:pStyle w:val="FootnoteText"/>
        <w:spacing w:after="0"/>
      </w:pPr>
    </w:p>
  </w:footnote>
  <w:footnote w:id="12">
    <w:p w:rsidR="000C4CA1" w:rsidRDefault="000C4CA1" w:rsidP="009F7921">
      <w:pPr>
        <w:pStyle w:val="FootnoteText"/>
        <w:spacing w:after="0"/>
      </w:pPr>
      <w:r>
        <w:rPr>
          <w:rStyle w:val="FootnoteReference"/>
        </w:rPr>
        <w:footnoteRef/>
      </w:r>
      <w:r w:rsidR="009F7921">
        <w:t xml:space="preserve">  </w:t>
      </w:r>
      <w:r w:rsidR="009F7921">
        <w:tab/>
      </w:r>
      <w:proofErr w:type="gramStart"/>
      <w:r w:rsidR="009F7921">
        <w:t>66 Pa.</w:t>
      </w:r>
      <w:r>
        <w:t>C.S.</w:t>
      </w:r>
      <w:proofErr w:type="gramEnd"/>
      <w:r>
        <w:t xml:space="preserve"> § 1405(c); </w:t>
      </w:r>
      <w:r>
        <w:rPr>
          <w:i/>
        </w:rPr>
        <w:t>Welsh v. Metropolitan Edison Company</w:t>
      </w:r>
      <w:r>
        <w:t>, PUC Docket No. C-2012-2314672 (Initial Decision dated February 7, 2013) (Final Order entered March 28, 2013).</w:t>
      </w:r>
    </w:p>
    <w:p w:rsidR="009F7921" w:rsidRPr="0001676F" w:rsidRDefault="009F7921" w:rsidP="009F7921">
      <w:pPr>
        <w:pStyle w:val="FootnoteText"/>
        <w:spacing w:after="0"/>
        <w:rPr>
          <w:i/>
        </w:rPr>
      </w:pPr>
    </w:p>
  </w:footnote>
  <w:footnote w:id="13">
    <w:p w:rsidR="00C80627" w:rsidRDefault="00C80627" w:rsidP="009F7921">
      <w:pPr>
        <w:pStyle w:val="FootnoteText"/>
        <w:spacing w:after="0"/>
      </w:pPr>
      <w:r>
        <w:rPr>
          <w:rStyle w:val="FootnoteReference"/>
        </w:rPr>
        <w:footnoteRef/>
      </w:r>
      <w:r>
        <w:t xml:space="preserve"> </w:t>
      </w:r>
      <w:r>
        <w:tab/>
      </w:r>
      <w:r>
        <w:rPr>
          <w:i/>
        </w:rPr>
        <w:t>Welsh; see also Gibson v. PECO Energy Company</w:t>
      </w:r>
      <w:r>
        <w:t>, PUC Docket No. F-2012-2324651 (Initial Decision dated January 4, 2013) (Final Order entered February 20, 2013).</w:t>
      </w:r>
    </w:p>
    <w:p w:rsidR="00C80627" w:rsidRPr="00B25438" w:rsidRDefault="00C80627" w:rsidP="009F7921">
      <w:pPr>
        <w:pStyle w:val="FootnoteText"/>
        <w:spacing w:after="0"/>
        <w:ind w:firstLine="720"/>
      </w:pPr>
    </w:p>
  </w:footnote>
  <w:footnote w:id="14">
    <w:p w:rsidR="00181E1E" w:rsidRDefault="004102C7" w:rsidP="009F7921">
      <w:pPr>
        <w:pStyle w:val="FootnoteText"/>
        <w:spacing w:after="0"/>
      </w:pPr>
      <w:r>
        <w:rPr>
          <w:rStyle w:val="FootnoteReference"/>
        </w:rPr>
        <w:footnoteRef/>
      </w:r>
      <w:r w:rsidR="00181E1E">
        <w:tab/>
      </w:r>
      <w:r w:rsidR="00181E1E" w:rsidRPr="003C009E">
        <w:rPr>
          <w:i/>
        </w:rPr>
        <w:t xml:space="preserve">E.g., </w:t>
      </w:r>
      <w:proofErr w:type="spellStart"/>
      <w:r w:rsidR="00181E1E" w:rsidRPr="003C009E">
        <w:rPr>
          <w:i/>
        </w:rPr>
        <w:t>Scaccia</w:t>
      </w:r>
      <w:proofErr w:type="spellEnd"/>
      <w:r w:rsidR="00181E1E" w:rsidRPr="003C009E">
        <w:rPr>
          <w:i/>
        </w:rPr>
        <w:t xml:space="preserve"> v. West Penn Power Co.</w:t>
      </w:r>
      <w:r w:rsidR="00181E1E" w:rsidRPr="003C009E">
        <w:t>, 55 PUC 637 (1982)</w:t>
      </w:r>
      <w:r w:rsidR="00181E1E">
        <w:t xml:space="preserve"> </w:t>
      </w:r>
      <w:r w:rsidR="00181E1E" w:rsidRPr="003C009E">
        <w:t>(holding that a public utility is entitled to payment for services provided to customers).</w:t>
      </w:r>
    </w:p>
    <w:p w:rsidR="00181E1E" w:rsidRDefault="00181E1E" w:rsidP="008D4C30">
      <w:pPr>
        <w:pStyle w:val="FootnoteText"/>
        <w:spacing w:after="0"/>
      </w:pPr>
    </w:p>
  </w:footnote>
  <w:footnote w:id="15">
    <w:p w:rsidR="00987ACC" w:rsidRPr="00987ACC" w:rsidRDefault="00987ACC" w:rsidP="0067405E">
      <w:pPr>
        <w:pStyle w:val="FootnoteText"/>
        <w:spacing w:after="0"/>
      </w:pPr>
      <w:r>
        <w:rPr>
          <w:rStyle w:val="FootnoteReference"/>
        </w:rPr>
        <w:footnoteRef/>
      </w:r>
      <w:r>
        <w:t xml:space="preserve">  </w:t>
      </w:r>
      <w:r>
        <w:tab/>
      </w:r>
      <w:r>
        <w:rPr>
          <w:i/>
        </w:rPr>
        <w:t>Van Patten v. Peoples Natural Gas Company</w:t>
      </w:r>
      <w:r>
        <w:t xml:space="preserve">, Docket No. </w:t>
      </w:r>
      <w:r w:rsidRPr="00987ACC">
        <w:t>F-2012-2298163</w:t>
      </w:r>
      <w:r>
        <w:t xml:space="preserve"> (Opinion and Order entered April 18, 2013).</w:t>
      </w:r>
    </w:p>
    <w:p w:rsidR="00987ACC" w:rsidRPr="00297DD0" w:rsidRDefault="00987ACC" w:rsidP="0067405E">
      <w:pPr>
        <w:pStyle w:val="FootnoteText"/>
        <w:spacing w:after="0"/>
        <w:ind w:firstLine="720"/>
        <w:rPr>
          <w:i/>
        </w:rPr>
      </w:pPr>
    </w:p>
  </w:footnote>
  <w:footnote w:id="16">
    <w:p w:rsidR="00C716FF" w:rsidRDefault="00C716FF" w:rsidP="0067405E">
      <w:pPr>
        <w:pStyle w:val="FootnoteText"/>
        <w:spacing w:after="0"/>
      </w:pPr>
      <w:r>
        <w:rPr>
          <w:rStyle w:val="FootnoteReference"/>
        </w:rPr>
        <w:footnoteRef/>
      </w:r>
      <w:r>
        <w:t xml:space="preserve">  </w:t>
      </w:r>
      <w:r>
        <w:tab/>
        <w:t>66 Pa.C.S. § 1405(b)(1).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94E432"/>
    <w:lvl w:ilvl="0">
      <w:start w:val="1"/>
      <w:numFmt w:val="decimal"/>
      <w:lvlText w:val="%1."/>
      <w:lvlJc w:val="left"/>
      <w:pPr>
        <w:tabs>
          <w:tab w:val="num" w:pos="1800"/>
        </w:tabs>
        <w:ind w:left="1800" w:hanging="360"/>
      </w:pPr>
    </w:lvl>
  </w:abstractNum>
  <w:abstractNum w:abstractNumId="1">
    <w:nsid w:val="FFFFFF7D"/>
    <w:multiLevelType w:val="singleLevel"/>
    <w:tmpl w:val="5CDA86D6"/>
    <w:lvl w:ilvl="0">
      <w:start w:val="1"/>
      <w:numFmt w:val="decimal"/>
      <w:lvlText w:val="%1."/>
      <w:lvlJc w:val="left"/>
      <w:pPr>
        <w:tabs>
          <w:tab w:val="num" w:pos="1440"/>
        </w:tabs>
        <w:ind w:left="1440" w:hanging="360"/>
      </w:pPr>
    </w:lvl>
  </w:abstractNum>
  <w:abstractNum w:abstractNumId="2">
    <w:nsid w:val="FFFFFF7E"/>
    <w:multiLevelType w:val="singleLevel"/>
    <w:tmpl w:val="9C20E582"/>
    <w:lvl w:ilvl="0">
      <w:start w:val="1"/>
      <w:numFmt w:val="decimal"/>
      <w:lvlText w:val="%1."/>
      <w:lvlJc w:val="left"/>
      <w:pPr>
        <w:tabs>
          <w:tab w:val="num" w:pos="1080"/>
        </w:tabs>
        <w:ind w:left="1080" w:hanging="360"/>
      </w:pPr>
    </w:lvl>
  </w:abstractNum>
  <w:abstractNum w:abstractNumId="3">
    <w:nsid w:val="FFFFFF7F"/>
    <w:multiLevelType w:val="singleLevel"/>
    <w:tmpl w:val="0CBA769C"/>
    <w:lvl w:ilvl="0">
      <w:start w:val="1"/>
      <w:numFmt w:val="decimal"/>
      <w:lvlText w:val="%1."/>
      <w:lvlJc w:val="left"/>
      <w:pPr>
        <w:tabs>
          <w:tab w:val="num" w:pos="720"/>
        </w:tabs>
        <w:ind w:left="720" w:hanging="360"/>
      </w:pPr>
    </w:lvl>
  </w:abstractNum>
  <w:abstractNum w:abstractNumId="4">
    <w:nsid w:val="FFFFFF80"/>
    <w:multiLevelType w:val="singleLevel"/>
    <w:tmpl w:val="325C7F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4426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40DB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DCAD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8EC786"/>
    <w:lvl w:ilvl="0">
      <w:start w:val="1"/>
      <w:numFmt w:val="decimal"/>
      <w:lvlText w:val="%1."/>
      <w:lvlJc w:val="left"/>
      <w:pPr>
        <w:tabs>
          <w:tab w:val="num" w:pos="360"/>
        </w:tabs>
        <w:ind w:left="360" w:hanging="360"/>
      </w:pPr>
    </w:lvl>
  </w:abstractNum>
  <w:abstractNum w:abstractNumId="9">
    <w:nsid w:val="FFFFFF89"/>
    <w:multiLevelType w:val="singleLevel"/>
    <w:tmpl w:val="699CEF38"/>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C81C86"/>
    <w:multiLevelType w:val="hybridMultilevel"/>
    <w:tmpl w:val="7C6EF918"/>
    <w:lvl w:ilvl="0" w:tplc="CBF4F36C">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6"/>
  </w:num>
  <w:num w:numId="3">
    <w:abstractNumId w:val="21"/>
  </w:num>
  <w:num w:numId="4">
    <w:abstractNumId w:val="25"/>
  </w:num>
  <w:num w:numId="5">
    <w:abstractNumId w:val="14"/>
  </w:num>
  <w:num w:numId="6">
    <w:abstractNumId w:val="13"/>
  </w:num>
  <w:num w:numId="7">
    <w:abstractNumId w:val="12"/>
  </w:num>
  <w:num w:numId="8">
    <w:abstractNumId w:val="24"/>
  </w:num>
  <w:num w:numId="9">
    <w:abstractNumId w:val="11"/>
  </w:num>
  <w:num w:numId="10">
    <w:abstractNumId w:val="18"/>
  </w:num>
  <w:num w:numId="11">
    <w:abstractNumId w:val="20"/>
  </w:num>
  <w:num w:numId="12">
    <w:abstractNumId w:val="15"/>
  </w:num>
  <w:num w:numId="13">
    <w:abstractNumId w:val="19"/>
  </w:num>
  <w:num w:numId="14">
    <w:abstractNumId w:val="22"/>
  </w:num>
  <w:num w:numId="15">
    <w:abstractNumId w:val="10"/>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D8"/>
    <w:rsid w:val="00001FA9"/>
    <w:rsid w:val="00004C37"/>
    <w:rsid w:val="00006C9C"/>
    <w:rsid w:val="000224AD"/>
    <w:rsid w:val="00025C86"/>
    <w:rsid w:val="000A529C"/>
    <w:rsid w:val="000B7517"/>
    <w:rsid w:val="000C4CA1"/>
    <w:rsid w:val="00100A76"/>
    <w:rsid w:val="00137032"/>
    <w:rsid w:val="00181E1E"/>
    <w:rsid w:val="00190710"/>
    <w:rsid w:val="001B1CBA"/>
    <w:rsid w:val="001B3EF4"/>
    <w:rsid w:val="001D2AF7"/>
    <w:rsid w:val="00213167"/>
    <w:rsid w:val="00215F9D"/>
    <w:rsid w:val="00221068"/>
    <w:rsid w:val="002338BC"/>
    <w:rsid w:val="00234CDE"/>
    <w:rsid w:val="002512F9"/>
    <w:rsid w:val="00276C85"/>
    <w:rsid w:val="00292DC1"/>
    <w:rsid w:val="002C308D"/>
    <w:rsid w:val="002C66CE"/>
    <w:rsid w:val="002E6356"/>
    <w:rsid w:val="002F6957"/>
    <w:rsid w:val="00301364"/>
    <w:rsid w:val="003342DC"/>
    <w:rsid w:val="00393C92"/>
    <w:rsid w:val="003950BD"/>
    <w:rsid w:val="00396F3E"/>
    <w:rsid w:val="003A2138"/>
    <w:rsid w:val="003A6D24"/>
    <w:rsid w:val="003B3F6C"/>
    <w:rsid w:val="003C4F46"/>
    <w:rsid w:val="004102C7"/>
    <w:rsid w:val="004254CE"/>
    <w:rsid w:val="00427074"/>
    <w:rsid w:val="00434DA3"/>
    <w:rsid w:val="004408D8"/>
    <w:rsid w:val="004804A0"/>
    <w:rsid w:val="00482E01"/>
    <w:rsid w:val="00491C93"/>
    <w:rsid w:val="004A322D"/>
    <w:rsid w:val="004B05D8"/>
    <w:rsid w:val="004B738C"/>
    <w:rsid w:val="004C4D43"/>
    <w:rsid w:val="004D0A5B"/>
    <w:rsid w:val="004D523C"/>
    <w:rsid w:val="005152D3"/>
    <w:rsid w:val="0052015F"/>
    <w:rsid w:val="00521D21"/>
    <w:rsid w:val="00533E44"/>
    <w:rsid w:val="00541E2F"/>
    <w:rsid w:val="00542847"/>
    <w:rsid w:val="00597751"/>
    <w:rsid w:val="005A1C17"/>
    <w:rsid w:val="005A2ABA"/>
    <w:rsid w:val="005A5400"/>
    <w:rsid w:val="005A562E"/>
    <w:rsid w:val="005B681D"/>
    <w:rsid w:val="005B70DA"/>
    <w:rsid w:val="005B72EB"/>
    <w:rsid w:val="0061775F"/>
    <w:rsid w:val="00620631"/>
    <w:rsid w:val="00623C6C"/>
    <w:rsid w:val="0063693B"/>
    <w:rsid w:val="006411E4"/>
    <w:rsid w:val="0064264C"/>
    <w:rsid w:val="006431B5"/>
    <w:rsid w:val="00650B9A"/>
    <w:rsid w:val="006559FE"/>
    <w:rsid w:val="00667916"/>
    <w:rsid w:val="0067405E"/>
    <w:rsid w:val="00684FA5"/>
    <w:rsid w:val="006A6ECF"/>
    <w:rsid w:val="006C3723"/>
    <w:rsid w:val="006D458D"/>
    <w:rsid w:val="006E6C6C"/>
    <w:rsid w:val="006E78C2"/>
    <w:rsid w:val="006F0329"/>
    <w:rsid w:val="00712E58"/>
    <w:rsid w:val="00736519"/>
    <w:rsid w:val="0076684B"/>
    <w:rsid w:val="00780121"/>
    <w:rsid w:val="00790D1A"/>
    <w:rsid w:val="00792796"/>
    <w:rsid w:val="007D66B4"/>
    <w:rsid w:val="007E6779"/>
    <w:rsid w:val="007E7C87"/>
    <w:rsid w:val="00814CCA"/>
    <w:rsid w:val="00820B4C"/>
    <w:rsid w:val="00822686"/>
    <w:rsid w:val="00847715"/>
    <w:rsid w:val="008529D2"/>
    <w:rsid w:val="008539E0"/>
    <w:rsid w:val="008626D0"/>
    <w:rsid w:val="00877633"/>
    <w:rsid w:val="0088342D"/>
    <w:rsid w:val="00894EB5"/>
    <w:rsid w:val="008B2DC5"/>
    <w:rsid w:val="008C22B0"/>
    <w:rsid w:val="008C3AA0"/>
    <w:rsid w:val="008C53D2"/>
    <w:rsid w:val="008D4C30"/>
    <w:rsid w:val="00907090"/>
    <w:rsid w:val="00930DCF"/>
    <w:rsid w:val="00940C3A"/>
    <w:rsid w:val="009553EC"/>
    <w:rsid w:val="0096608C"/>
    <w:rsid w:val="00987ACC"/>
    <w:rsid w:val="00990439"/>
    <w:rsid w:val="009A774C"/>
    <w:rsid w:val="009B057B"/>
    <w:rsid w:val="009C7561"/>
    <w:rsid w:val="009E52DE"/>
    <w:rsid w:val="009F7921"/>
    <w:rsid w:val="00A01CD7"/>
    <w:rsid w:val="00A17D41"/>
    <w:rsid w:val="00A4762A"/>
    <w:rsid w:val="00AA2EC5"/>
    <w:rsid w:val="00AB31BA"/>
    <w:rsid w:val="00AB4C73"/>
    <w:rsid w:val="00AD08F7"/>
    <w:rsid w:val="00AE0877"/>
    <w:rsid w:val="00AE6F47"/>
    <w:rsid w:val="00B431DC"/>
    <w:rsid w:val="00B52092"/>
    <w:rsid w:val="00B52882"/>
    <w:rsid w:val="00B72915"/>
    <w:rsid w:val="00BA2475"/>
    <w:rsid w:val="00BC6B21"/>
    <w:rsid w:val="00BD0F9C"/>
    <w:rsid w:val="00BF68CF"/>
    <w:rsid w:val="00C05D99"/>
    <w:rsid w:val="00C20185"/>
    <w:rsid w:val="00C209AB"/>
    <w:rsid w:val="00C716FF"/>
    <w:rsid w:val="00C80627"/>
    <w:rsid w:val="00C87E57"/>
    <w:rsid w:val="00C9576D"/>
    <w:rsid w:val="00CB2BBD"/>
    <w:rsid w:val="00CB406C"/>
    <w:rsid w:val="00CD6328"/>
    <w:rsid w:val="00CE257D"/>
    <w:rsid w:val="00D007EA"/>
    <w:rsid w:val="00D1626D"/>
    <w:rsid w:val="00D2709C"/>
    <w:rsid w:val="00D50D78"/>
    <w:rsid w:val="00D648D5"/>
    <w:rsid w:val="00DD5C37"/>
    <w:rsid w:val="00DE27A5"/>
    <w:rsid w:val="00E25FD6"/>
    <w:rsid w:val="00E4239A"/>
    <w:rsid w:val="00EC1CBA"/>
    <w:rsid w:val="00ED516F"/>
    <w:rsid w:val="00EE7801"/>
    <w:rsid w:val="00EF2126"/>
    <w:rsid w:val="00EF2B68"/>
    <w:rsid w:val="00F16554"/>
    <w:rsid w:val="00F50B1A"/>
    <w:rsid w:val="00F544E1"/>
    <w:rsid w:val="00F8665C"/>
    <w:rsid w:val="00F910F7"/>
    <w:rsid w:val="00FA6FCE"/>
    <w:rsid w:val="00FB36A6"/>
    <w:rsid w:val="00FC0DC9"/>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B70DA"/>
    <w:pPr>
      <w:numPr>
        <w:numId w:val="16"/>
      </w:numPr>
      <w:spacing w:after="0"/>
      <w:ind w:left="90" w:firstLine="135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8C22B0"/>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8C22B0"/>
    <w:rPr>
      <w:rFonts w:ascii="Times New Roman" w:hAnsi="Times New Roman" w:cs="Times New Roman"/>
      <w:sz w:val="24"/>
      <w:szCs w:val="20"/>
    </w:rPr>
  </w:style>
  <w:style w:type="paragraph" w:styleId="Footer">
    <w:name w:val="footer"/>
    <w:basedOn w:val="Normal"/>
    <w:link w:val="FooterChar"/>
    <w:uiPriority w:val="99"/>
    <w:unhideWhenUsed/>
    <w:rsid w:val="008C22B0"/>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8C22B0"/>
    <w:rPr>
      <w:rFonts w:ascii="Times New Roman" w:hAnsi="Times New Roman" w:cs="Times New Roman"/>
      <w:sz w:val="24"/>
      <w:szCs w:val="20"/>
    </w:rPr>
  </w:style>
  <w:style w:type="table" w:styleId="TableGrid">
    <w:name w:val="Table Grid"/>
    <w:basedOn w:val="TableNormal"/>
    <w:uiPriority w:val="59"/>
    <w:rsid w:val="0054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01FA9"/>
    <w:rPr>
      <w:rFonts w:ascii="Times New Roman" w:hAnsi="Times New Roman"/>
      <w:vertAlign w:val="superscript"/>
    </w:rPr>
  </w:style>
  <w:style w:type="paragraph" w:customStyle="1" w:styleId="ParaTab1">
    <w:name w:val="ParaTab 1"/>
    <w:rsid w:val="00667916"/>
    <w:pPr>
      <w:tabs>
        <w:tab w:val="left" w:pos="-720"/>
      </w:tabs>
      <w:suppressAutoHyphens/>
      <w:autoSpaceDE w:val="0"/>
      <w:autoSpaceDN w:val="0"/>
      <w:spacing w:after="0" w:line="240" w:lineRule="auto"/>
      <w:ind w:firstLine="1440"/>
    </w:pPr>
    <w:rPr>
      <w:rFonts w:ascii="CG Times" w:hAnsi="CG Times" w:cs="CG Times"/>
      <w:sz w:val="24"/>
      <w:szCs w:val="24"/>
    </w:rPr>
  </w:style>
  <w:style w:type="paragraph" w:styleId="BalloonText">
    <w:name w:val="Balloon Text"/>
    <w:basedOn w:val="Normal"/>
    <w:link w:val="BalloonTextChar"/>
    <w:uiPriority w:val="99"/>
    <w:semiHidden/>
    <w:unhideWhenUsed/>
    <w:rsid w:val="0018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1E"/>
    <w:rPr>
      <w:rFonts w:ascii="Tahoma" w:hAnsi="Tahoma" w:cs="Tahoma"/>
      <w:sz w:val="16"/>
      <w:szCs w:val="16"/>
    </w:rPr>
  </w:style>
  <w:style w:type="paragraph" w:styleId="EndnoteText">
    <w:name w:val="endnote text"/>
    <w:basedOn w:val="Normal"/>
    <w:link w:val="EndnoteTextChar"/>
    <w:uiPriority w:val="99"/>
    <w:semiHidden/>
    <w:unhideWhenUsed/>
    <w:rsid w:val="00A01CD7"/>
    <w:pPr>
      <w:spacing w:after="0" w:line="240" w:lineRule="auto"/>
    </w:pPr>
    <w:rPr>
      <w:sz w:val="20"/>
    </w:rPr>
  </w:style>
  <w:style w:type="character" w:customStyle="1" w:styleId="EndnoteTextChar">
    <w:name w:val="Endnote Text Char"/>
    <w:basedOn w:val="DefaultParagraphFont"/>
    <w:link w:val="EndnoteText"/>
    <w:uiPriority w:val="99"/>
    <w:semiHidden/>
    <w:rsid w:val="00A01CD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01C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B70DA"/>
    <w:pPr>
      <w:numPr>
        <w:numId w:val="16"/>
      </w:numPr>
      <w:spacing w:after="0"/>
      <w:ind w:left="90" w:firstLine="135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8C22B0"/>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8C22B0"/>
    <w:rPr>
      <w:rFonts w:ascii="Times New Roman" w:hAnsi="Times New Roman" w:cs="Times New Roman"/>
      <w:sz w:val="24"/>
      <w:szCs w:val="20"/>
    </w:rPr>
  </w:style>
  <w:style w:type="paragraph" w:styleId="Footer">
    <w:name w:val="footer"/>
    <w:basedOn w:val="Normal"/>
    <w:link w:val="FooterChar"/>
    <w:uiPriority w:val="99"/>
    <w:unhideWhenUsed/>
    <w:rsid w:val="008C22B0"/>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8C22B0"/>
    <w:rPr>
      <w:rFonts w:ascii="Times New Roman" w:hAnsi="Times New Roman" w:cs="Times New Roman"/>
      <w:sz w:val="24"/>
      <w:szCs w:val="20"/>
    </w:rPr>
  </w:style>
  <w:style w:type="table" w:styleId="TableGrid">
    <w:name w:val="Table Grid"/>
    <w:basedOn w:val="TableNormal"/>
    <w:uiPriority w:val="59"/>
    <w:rsid w:val="0054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01FA9"/>
    <w:rPr>
      <w:rFonts w:ascii="Times New Roman" w:hAnsi="Times New Roman"/>
      <w:vertAlign w:val="superscript"/>
    </w:rPr>
  </w:style>
  <w:style w:type="paragraph" w:customStyle="1" w:styleId="ParaTab1">
    <w:name w:val="ParaTab 1"/>
    <w:rsid w:val="00667916"/>
    <w:pPr>
      <w:tabs>
        <w:tab w:val="left" w:pos="-720"/>
      </w:tabs>
      <w:suppressAutoHyphens/>
      <w:autoSpaceDE w:val="0"/>
      <w:autoSpaceDN w:val="0"/>
      <w:spacing w:after="0" w:line="240" w:lineRule="auto"/>
      <w:ind w:firstLine="1440"/>
    </w:pPr>
    <w:rPr>
      <w:rFonts w:ascii="CG Times" w:hAnsi="CG Times" w:cs="CG Times"/>
      <w:sz w:val="24"/>
      <w:szCs w:val="24"/>
    </w:rPr>
  </w:style>
  <w:style w:type="paragraph" w:styleId="BalloonText">
    <w:name w:val="Balloon Text"/>
    <w:basedOn w:val="Normal"/>
    <w:link w:val="BalloonTextChar"/>
    <w:uiPriority w:val="99"/>
    <w:semiHidden/>
    <w:unhideWhenUsed/>
    <w:rsid w:val="0018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1E"/>
    <w:rPr>
      <w:rFonts w:ascii="Tahoma" w:hAnsi="Tahoma" w:cs="Tahoma"/>
      <w:sz w:val="16"/>
      <w:szCs w:val="16"/>
    </w:rPr>
  </w:style>
  <w:style w:type="paragraph" w:styleId="EndnoteText">
    <w:name w:val="endnote text"/>
    <w:basedOn w:val="Normal"/>
    <w:link w:val="EndnoteTextChar"/>
    <w:uiPriority w:val="99"/>
    <w:semiHidden/>
    <w:unhideWhenUsed/>
    <w:rsid w:val="00A01CD7"/>
    <w:pPr>
      <w:spacing w:after="0" w:line="240" w:lineRule="auto"/>
    </w:pPr>
    <w:rPr>
      <w:sz w:val="20"/>
    </w:rPr>
  </w:style>
  <w:style w:type="character" w:customStyle="1" w:styleId="EndnoteTextChar">
    <w:name w:val="Endnote Text Char"/>
    <w:basedOn w:val="DefaultParagraphFont"/>
    <w:link w:val="EndnoteText"/>
    <w:uiPriority w:val="99"/>
    <w:semiHidden/>
    <w:rsid w:val="00A01CD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01C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CE1B-5179-4AFE-914E-4AE26D92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11</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58</cp:revision>
  <cp:lastPrinted>2015-06-22T20:35:00Z</cp:lastPrinted>
  <dcterms:created xsi:type="dcterms:W3CDTF">2015-06-19T17:15:00Z</dcterms:created>
  <dcterms:modified xsi:type="dcterms:W3CDTF">2015-07-13T18:07:00Z</dcterms:modified>
</cp:coreProperties>
</file>