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18" w:rsidRPr="002A7F81" w:rsidRDefault="00CD5C18" w:rsidP="00CD5C18">
      <w:pPr>
        <w:pStyle w:val="Title"/>
        <w:tabs>
          <w:tab w:val="clear" w:pos="360"/>
        </w:tabs>
        <w:spacing w:line="240" w:lineRule="auto"/>
        <w:rPr>
          <w:szCs w:val="24"/>
        </w:rPr>
      </w:pPr>
      <w:r w:rsidRPr="002A7F81">
        <w:rPr>
          <w:szCs w:val="24"/>
        </w:rPr>
        <w:t>BEFORE THE</w:t>
      </w:r>
    </w:p>
    <w:p w:rsidR="00CD5C18" w:rsidRDefault="00CD5C18" w:rsidP="00CD5C18">
      <w:pPr>
        <w:jc w:val="center"/>
        <w:rPr>
          <w:b/>
          <w:sz w:val="24"/>
          <w:szCs w:val="24"/>
        </w:rPr>
      </w:pPr>
      <w:r w:rsidRPr="00394608">
        <w:rPr>
          <w:b/>
          <w:sz w:val="24"/>
          <w:szCs w:val="24"/>
        </w:rPr>
        <w:t>PENNSYLVANIA PUBLIC UTILITY COMMISSION</w:t>
      </w:r>
    </w:p>
    <w:p w:rsidR="00CD5C18" w:rsidRPr="00394608" w:rsidRDefault="00CD5C18" w:rsidP="00CD5C18">
      <w:pPr>
        <w:jc w:val="center"/>
        <w:rPr>
          <w:b/>
          <w:sz w:val="24"/>
          <w:szCs w:val="24"/>
        </w:rPr>
      </w:pPr>
    </w:p>
    <w:p w:rsidR="00CD5C18" w:rsidRDefault="00CD5C18" w:rsidP="00CD5C18">
      <w:pPr>
        <w:jc w:val="center"/>
        <w:rPr>
          <w:b/>
          <w:sz w:val="24"/>
          <w:szCs w:val="24"/>
        </w:rPr>
      </w:pPr>
    </w:p>
    <w:p w:rsidR="00CD5C18" w:rsidRPr="00394608" w:rsidRDefault="00CD5C18" w:rsidP="00CD5C18">
      <w:pPr>
        <w:rPr>
          <w:sz w:val="24"/>
          <w:szCs w:val="24"/>
        </w:rPr>
      </w:pPr>
      <w:r w:rsidRPr="00394608">
        <w:rPr>
          <w:sz w:val="24"/>
          <w:szCs w:val="24"/>
        </w:rPr>
        <w:tab/>
      </w:r>
      <w:r w:rsidRPr="00394608">
        <w:rPr>
          <w:sz w:val="24"/>
          <w:szCs w:val="24"/>
        </w:rPr>
        <w:tab/>
      </w:r>
      <w:r w:rsidRPr="00394608">
        <w:rPr>
          <w:sz w:val="24"/>
          <w:szCs w:val="24"/>
        </w:rPr>
        <w:tab/>
      </w:r>
      <w:r w:rsidRPr="00394608">
        <w:rPr>
          <w:sz w:val="24"/>
          <w:szCs w:val="24"/>
        </w:rPr>
        <w:tab/>
      </w:r>
      <w:r w:rsidRPr="00394608">
        <w:rPr>
          <w:sz w:val="24"/>
          <w:szCs w:val="24"/>
        </w:rPr>
        <w:tab/>
      </w:r>
      <w:r w:rsidRPr="00394608">
        <w:rPr>
          <w:sz w:val="24"/>
          <w:szCs w:val="24"/>
        </w:rPr>
        <w:tab/>
      </w:r>
      <w:r w:rsidRPr="00394608">
        <w:rPr>
          <w:sz w:val="24"/>
          <w:szCs w:val="24"/>
        </w:rPr>
        <w:tab/>
      </w:r>
    </w:p>
    <w:tbl>
      <w:tblPr>
        <w:tblStyle w:val="TableGrid"/>
        <w:tblW w:w="0" w:type="auto"/>
        <w:tblLook w:val="01E0" w:firstRow="1" w:lastRow="1" w:firstColumn="1" w:lastColumn="1" w:noHBand="0" w:noVBand="0"/>
      </w:tblPr>
      <w:tblGrid>
        <w:gridCol w:w="4428"/>
        <w:gridCol w:w="540"/>
        <w:gridCol w:w="4608"/>
      </w:tblGrid>
      <w:tr w:rsidR="00CD5C18" w:rsidRPr="00833C45" w:rsidTr="002A249E">
        <w:tc>
          <w:tcPr>
            <w:tcW w:w="4428" w:type="dxa"/>
            <w:tcBorders>
              <w:top w:val="nil"/>
              <w:left w:val="nil"/>
              <w:bottom w:val="nil"/>
              <w:right w:val="nil"/>
            </w:tcBorders>
          </w:tcPr>
          <w:p w:rsidR="00B540D2" w:rsidRDefault="00CD5C18" w:rsidP="002A249E">
            <w:pPr>
              <w:rPr>
                <w:sz w:val="24"/>
                <w:szCs w:val="24"/>
              </w:rPr>
            </w:pPr>
            <w:r w:rsidRPr="00833C45">
              <w:rPr>
                <w:sz w:val="24"/>
                <w:szCs w:val="24"/>
              </w:rPr>
              <w:t xml:space="preserve">Pennsylvania Public Utility Commission, Office of Small Business Advocate </w:t>
            </w:r>
          </w:p>
          <w:p w:rsidR="00CD5C18" w:rsidRDefault="00CD5C18" w:rsidP="002A249E">
            <w:pPr>
              <w:rPr>
                <w:sz w:val="24"/>
                <w:szCs w:val="24"/>
              </w:rPr>
            </w:pPr>
            <w:r w:rsidRPr="00833C45">
              <w:rPr>
                <w:sz w:val="24"/>
                <w:szCs w:val="24"/>
              </w:rPr>
              <w:t xml:space="preserve">Office of Consumer Advocate </w:t>
            </w:r>
          </w:p>
          <w:p w:rsidR="00CD5C18" w:rsidRDefault="00CD5C18" w:rsidP="002A249E">
            <w:pPr>
              <w:rPr>
                <w:sz w:val="24"/>
                <w:szCs w:val="24"/>
              </w:rPr>
            </w:pPr>
          </w:p>
          <w:p w:rsidR="00CD5C18" w:rsidRDefault="00CD5C18" w:rsidP="002A249E">
            <w:pPr>
              <w:rPr>
                <w:sz w:val="24"/>
                <w:szCs w:val="24"/>
              </w:rPr>
            </w:pPr>
            <w:r>
              <w:rPr>
                <w:sz w:val="24"/>
                <w:szCs w:val="24"/>
              </w:rPr>
              <w:tab/>
            </w:r>
            <w:r w:rsidRPr="00833C45">
              <w:rPr>
                <w:sz w:val="24"/>
                <w:szCs w:val="24"/>
              </w:rPr>
              <w:t xml:space="preserve">v. </w:t>
            </w:r>
          </w:p>
          <w:p w:rsidR="00CD5C18" w:rsidRDefault="00CD5C18" w:rsidP="002A249E">
            <w:pPr>
              <w:rPr>
                <w:sz w:val="24"/>
                <w:szCs w:val="24"/>
              </w:rPr>
            </w:pPr>
          </w:p>
          <w:p w:rsidR="00CD5C18" w:rsidRPr="00833C45" w:rsidRDefault="00CD5C18" w:rsidP="002A249E">
            <w:pPr>
              <w:rPr>
                <w:sz w:val="24"/>
                <w:szCs w:val="24"/>
              </w:rPr>
            </w:pPr>
            <w:r w:rsidRPr="00833C45">
              <w:rPr>
                <w:sz w:val="24"/>
                <w:szCs w:val="24"/>
              </w:rPr>
              <w:t>Peoples Natural Gas Company LLC</w:t>
            </w:r>
          </w:p>
        </w:tc>
        <w:tc>
          <w:tcPr>
            <w:tcW w:w="540" w:type="dxa"/>
            <w:tcBorders>
              <w:top w:val="nil"/>
              <w:left w:val="nil"/>
              <w:bottom w:val="nil"/>
              <w:right w:val="nil"/>
            </w:tcBorders>
          </w:tcPr>
          <w:p w:rsidR="00CD5C18" w:rsidRDefault="00CD5C18" w:rsidP="002A249E">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p w:rsidR="00CD5C18" w:rsidRPr="00833C45" w:rsidRDefault="00CD5C18" w:rsidP="002A249E">
            <w:pPr>
              <w:rPr>
                <w:b/>
                <w:sz w:val="24"/>
                <w:szCs w:val="24"/>
              </w:rPr>
            </w:pPr>
          </w:p>
        </w:tc>
        <w:tc>
          <w:tcPr>
            <w:tcW w:w="4608" w:type="dxa"/>
            <w:tcBorders>
              <w:top w:val="nil"/>
              <w:left w:val="nil"/>
              <w:bottom w:val="nil"/>
              <w:right w:val="nil"/>
            </w:tcBorders>
          </w:tcPr>
          <w:p w:rsidR="00CD5C18" w:rsidRPr="00833C45" w:rsidRDefault="00B540D2" w:rsidP="002A249E">
            <w:pPr>
              <w:pStyle w:val="BodyText"/>
              <w:rPr>
                <w:sz w:val="24"/>
                <w:szCs w:val="24"/>
              </w:rPr>
            </w:pPr>
            <w:r>
              <w:rPr>
                <w:sz w:val="24"/>
                <w:szCs w:val="24"/>
              </w:rPr>
              <w:t xml:space="preserve">                     </w:t>
            </w:r>
            <w:r w:rsidR="00CD5C18" w:rsidRPr="00833C45">
              <w:rPr>
                <w:sz w:val="24"/>
                <w:szCs w:val="24"/>
              </w:rPr>
              <w:t>R-2015-2465172</w:t>
            </w:r>
            <w:r w:rsidR="00CD5C18">
              <w:rPr>
                <w:sz w:val="24"/>
                <w:szCs w:val="24"/>
              </w:rPr>
              <w:br/>
            </w:r>
            <w:r w:rsidR="00CD5C18">
              <w:rPr>
                <w:sz w:val="24"/>
                <w:szCs w:val="24"/>
              </w:rPr>
              <w:tab/>
              <w:t xml:space="preserve">         </w:t>
            </w:r>
            <w:r w:rsidR="00CD5C18" w:rsidRPr="00833C45">
              <w:rPr>
                <w:sz w:val="24"/>
                <w:szCs w:val="24"/>
              </w:rPr>
              <w:t>C-2015-2472257</w:t>
            </w:r>
            <w:r w:rsidR="00CD5C18">
              <w:rPr>
                <w:sz w:val="24"/>
                <w:szCs w:val="24"/>
              </w:rPr>
              <w:br/>
            </w:r>
            <w:r w:rsidR="00CD5C18">
              <w:rPr>
                <w:sz w:val="24"/>
                <w:szCs w:val="24"/>
              </w:rPr>
              <w:tab/>
              <w:t xml:space="preserve">         C</w:t>
            </w:r>
            <w:r w:rsidR="00CD5C18" w:rsidRPr="00833C45">
              <w:rPr>
                <w:sz w:val="24"/>
                <w:szCs w:val="24"/>
              </w:rPr>
              <w:t>-2015-2472614</w:t>
            </w:r>
          </w:p>
          <w:p w:rsidR="00CD5C18" w:rsidRPr="00833C45" w:rsidRDefault="00CD5C18" w:rsidP="002A249E">
            <w:pPr>
              <w:rPr>
                <w:sz w:val="24"/>
                <w:szCs w:val="24"/>
              </w:rPr>
            </w:pPr>
          </w:p>
        </w:tc>
      </w:tr>
      <w:tr w:rsidR="00CD5C18" w:rsidRPr="00833C45" w:rsidTr="002A249E">
        <w:tc>
          <w:tcPr>
            <w:tcW w:w="4428" w:type="dxa"/>
            <w:tcBorders>
              <w:top w:val="nil"/>
              <w:left w:val="nil"/>
              <w:bottom w:val="nil"/>
              <w:right w:val="nil"/>
            </w:tcBorders>
          </w:tcPr>
          <w:p w:rsidR="00B540D2" w:rsidRDefault="00CD5C18" w:rsidP="002A249E">
            <w:pPr>
              <w:rPr>
                <w:sz w:val="24"/>
                <w:szCs w:val="24"/>
              </w:rPr>
            </w:pPr>
            <w:r w:rsidRPr="00833C45">
              <w:rPr>
                <w:sz w:val="24"/>
                <w:szCs w:val="24"/>
              </w:rPr>
              <w:t xml:space="preserve">Pennsylvania Public Utility Commission, Office of Small Business Advocate </w:t>
            </w:r>
          </w:p>
          <w:p w:rsidR="00CD5C18" w:rsidRDefault="00CD5C18" w:rsidP="002A249E">
            <w:pPr>
              <w:rPr>
                <w:sz w:val="24"/>
                <w:szCs w:val="24"/>
              </w:rPr>
            </w:pPr>
            <w:r w:rsidRPr="00833C45">
              <w:rPr>
                <w:sz w:val="24"/>
                <w:szCs w:val="24"/>
              </w:rPr>
              <w:t xml:space="preserve">Office of Consumer Advocate </w:t>
            </w:r>
          </w:p>
          <w:p w:rsidR="00CD5C18" w:rsidRDefault="00CD5C18" w:rsidP="002A249E">
            <w:pPr>
              <w:rPr>
                <w:sz w:val="24"/>
                <w:szCs w:val="24"/>
              </w:rPr>
            </w:pPr>
          </w:p>
          <w:p w:rsidR="00CD5C18" w:rsidRDefault="00CD5C18" w:rsidP="002A249E">
            <w:pPr>
              <w:rPr>
                <w:sz w:val="24"/>
                <w:szCs w:val="24"/>
              </w:rPr>
            </w:pPr>
            <w:r>
              <w:rPr>
                <w:sz w:val="24"/>
                <w:szCs w:val="24"/>
              </w:rPr>
              <w:tab/>
            </w:r>
            <w:r w:rsidRPr="00833C45">
              <w:rPr>
                <w:sz w:val="24"/>
                <w:szCs w:val="24"/>
              </w:rPr>
              <w:t xml:space="preserve">v. </w:t>
            </w:r>
          </w:p>
          <w:p w:rsidR="00CD5C18" w:rsidRDefault="00CD5C18" w:rsidP="002A249E">
            <w:pPr>
              <w:rPr>
                <w:sz w:val="24"/>
                <w:szCs w:val="24"/>
              </w:rPr>
            </w:pPr>
          </w:p>
          <w:p w:rsidR="00CD5C18" w:rsidRPr="00833C45" w:rsidRDefault="00CD5C18" w:rsidP="002A249E">
            <w:pPr>
              <w:rPr>
                <w:sz w:val="24"/>
                <w:szCs w:val="24"/>
              </w:rPr>
            </w:pPr>
            <w:r w:rsidRPr="00833C45">
              <w:rPr>
                <w:sz w:val="24"/>
                <w:szCs w:val="24"/>
              </w:rPr>
              <w:t>Peoples Natural Gas Company LLC - Equitable Division</w:t>
            </w:r>
          </w:p>
        </w:tc>
        <w:tc>
          <w:tcPr>
            <w:tcW w:w="540" w:type="dxa"/>
            <w:tcBorders>
              <w:top w:val="nil"/>
              <w:left w:val="nil"/>
              <w:bottom w:val="nil"/>
              <w:right w:val="nil"/>
            </w:tcBorders>
          </w:tcPr>
          <w:p w:rsidR="00CD5C18" w:rsidRDefault="00CD5C18" w:rsidP="002A249E">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p w:rsidR="00CD5C18" w:rsidRPr="00833C45" w:rsidRDefault="00CD5C18" w:rsidP="002A249E">
            <w:pPr>
              <w:rPr>
                <w:b/>
                <w:sz w:val="24"/>
                <w:szCs w:val="24"/>
              </w:rPr>
            </w:pPr>
          </w:p>
        </w:tc>
        <w:tc>
          <w:tcPr>
            <w:tcW w:w="4608" w:type="dxa"/>
            <w:tcBorders>
              <w:top w:val="nil"/>
              <w:left w:val="nil"/>
              <w:bottom w:val="nil"/>
              <w:right w:val="nil"/>
            </w:tcBorders>
          </w:tcPr>
          <w:p w:rsidR="00CD5C18" w:rsidRPr="00833C45" w:rsidRDefault="00CD5C18" w:rsidP="00B540D2">
            <w:pPr>
              <w:pStyle w:val="BodyText"/>
              <w:ind w:firstLine="1242"/>
              <w:rPr>
                <w:sz w:val="24"/>
                <w:szCs w:val="24"/>
              </w:rPr>
            </w:pPr>
            <w:r w:rsidRPr="00833C45">
              <w:rPr>
                <w:sz w:val="24"/>
                <w:szCs w:val="24"/>
              </w:rPr>
              <w:t>R-2015-2465181</w:t>
            </w:r>
            <w:r>
              <w:rPr>
                <w:sz w:val="24"/>
                <w:szCs w:val="24"/>
              </w:rPr>
              <w:br/>
            </w:r>
            <w:r>
              <w:rPr>
                <w:sz w:val="24"/>
                <w:szCs w:val="24"/>
              </w:rPr>
              <w:tab/>
              <w:t xml:space="preserve">         </w:t>
            </w:r>
            <w:r w:rsidRPr="00833C45">
              <w:rPr>
                <w:sz w:val="24"/>
                <w:szCs w:val="24"/>
              </w:rPr>
              <w:t>C-2015-2472271</w:t>
            </w:r>
            <w:r>
              <w:rPr>
                <w:sz w:val="24"/>
                <w:szCs w:val="24"/>
              </w:rPr>
              <w:br/>
            </w:r>
            <w:r>
              <w:rPr>
                <w:sz w:val="24"/>
                <w:szCs w:val="24"/>
              </w:rPr>
              <w:tab/>
              <w:t xml:space="preserve">         </w:t>
            </w:r>
            <w:r w:rsidRPr="00833C45">
              <w:rPr>
                <w:sz w:val="24"/>
                <w:szCs w:val="24"/>
              </w:rPr>
              <w:t>C-2015-2472826</w:t>
            </w:r>
          </w:p>
          <w:p w:rsidR="00CD5C18" w:rsidRPr="00833C45" w:rsidRDefault="00CD5C18" w:rsidP="002A249E">
            <w:pPr>
              <w:pStyle w:val="BodyText"/>
              <w:rPr>
                <w:sz w:val="24"/>
                <w:szCs w:val="24"/>
              </w:rPr>
            </w:pPr>
          </w:p>
        </w:tc>
      </w:tr>
    </w:tbl>
    <w:p w:rsidR="00CD5C18" w:rsidRPr="00394608" w:rsidRDefault="00CD5C18" w:rsidP="00CD5C18">
      <w:pPr>
        <w:rPr>
          <w:sz w:val="24"/>
          <w:szCs w:val="24"/>
        </w:rPr>
      </w:pPr>
    </w:p>
    <w:p w:rsidR="00CD5C18" w:rsidRPr="00394608" w:rsidRDefault="00CD5C18" w:rsidP="00CD5C18">
      <w:pPr>
        <w:rPr>
          <w:sz w:val="24"/>
          <w:szCs w:val="24"/>
        </w:rPr>
      </w:pPr>
    </w:p>
    <w:p w:rsidR="00CD5C18" w:rsidRPr="00394608" w:rsidRDefault="00CD5C18" w:rsidP="00CD5C18">
      <w:pPr>
        <w:jc w:val="center"/>
        <w:rPr>
          <w:b/>
          <w:sz w:val="24"/>
          <w:szCs w:val="24"/>
          <w:u w:val="single"/>
        </w:rPr>
      </w:pPr>
      <w:r w:rsidRPr="00394608">
        <w:rPr>
          <w:b/>
          <w:sz w:val="24"/>
          <w:szCs w:val="24"/>
          <w:u w:val="single"/>
        </w:rPr>
        <w:t>RECOMMENDED DECISION</w:t>
      </w:r>
    </w:p>
    <w:p w:rsidR="00CD5C18" w:rsidRPr="00394608" w:rsidRDefault="00CD5C18" w:rsidP="00CD5C18">
      <w:pPr>
        <w:jc w:val="center"/>
        <w:rPr>
          <w:sz w:val="24"/>
          <w:szCs w:val="24"/>
        </w:rPr>
      </w:pPr>
    </w:p>
    <w:p w:rsidR="00CD5C18" w:rsidRPr="00394608" w:rsidRDefault="00CD5C18" w:rsidP="00CD5C18">
      <w:pPr>
        <w:jc w:val="center"/>
        <w:rPr>
          <w:sz w:val="24"/>
          <w:szCs w:val="24"/>
        </w:rPr>
      </w:pPr>
    </w:p>
    <w:p w:rsidR="00CD5C18" w:rsidRPr="00394608" w:rsidRDefault="00CD5C18" w:rsidP="00CD5C18">
      <w:pPr>
        <w:jc w:val="center"/>
        <w:rPr>
          <w:sz w:val="24"/>
          <w:szCs w:val="24"/>
        </w:rPr>
      </w:pPr>
      <w:r w:rsidRPr="00394608">
        <w:rPr>
          <w:sz w:val="24"/>
          <w:szCs w:val="24"/>
        </w:rPr>
        <w:t>Before</w:t>
      </w:r>
    </w:p>
    <w:p w:rsidR="00CD5C18" w:rsidRPr="00394608" w:rsidRDefault="00CD5C18" w:rsidP="00CD5C18">
      <w:pPr>
        <w:jc w:val="center"/>
        <w:rPr>
          <w:sz w:val="24"/>
          <w:szCs w:val="24"/>
        </w:rPr>
      </w:pPr>
      <w:r>
        <w:rPr>
          <w:sz w:val="24"/>
          <w:szCs w:val="24"/>
        </w:rPr>
        <w:t>Jeffrey A. Watson</w:t>
      </w:r>
    </w:p>
    <w:p w:rsidR="00CD5C18" w:rsidRPr="00394608" w:rsidRDefault="00CD5C18" w:rsidP="00CD5C18">
      <w:pPr>
        <w:jc w:val="center"/>
        <w:rPr>
          <w:sz w:val="24"/>
          <w:szCs w:val="24"/>
        </w:rPr>
        <w:sectPr w:rsidR="00CD5C18" w:rsidRPr="00394608" w:rsidSect="002A249E">
          <w:footerReference w:type="default" r:id="rId9"/>
          <w:footerReference w:type="first" r:id="rId10"/>
          <w:pgSz w:w="12240" w:h="15840"/>
          <w:pgMar w:top="1440" w:right="1440" w:bottom="1440" w:left="1440" w:header="720" w:footer="720" w:gutter="0"/>
          <w:cols w:space="720"/>
          <w:titlePg/>
          <w:docGrid w:linePitch="360"/>
        </w:sectPr>
      </w:pPr>
      <w:r w:rsidRPr="00394608">
        <w:rPr>
          <w:sz w:val="24"/>
          <w:szCs w:val="24"/>
        </w:rPr>
        <w:t>Administrative Law Judge</w:t>
      </w:r>
    </w:p>
    <w:p w:rsidR="00F815F2" w:rsidRPr="002A1B0E" w:rsidRDefault="00F815F2" w:rsidP="00F815F2">
      <w:pPr>
        <w:tabs>
          <w:tab w:val="left" w:pos="720"/>
          <w:tab w:val="left" w:pos="1440"/>
          <w:tab w:val="left" w:pos="2160"/>
          <w:tab w:val="center" w:pos="4680"/>
        </w:tabs>
        <w:jc w:val="center"/>
        <w:rPr>
          <w:b/>
          <w:sz w:val="24"/>
          <w:szCs w:val="24"/>
          <w:u w:val="single"/>
        </w:rPr>
      </w:pPr>
      <w:r w:rsidRPr="002A1B0E">
        <w:rPr>
          <w:b/>
          <w:sz w:val="24"/>
          <w:szCs w:val="24"/>
          <w:u w:val="single"/>
        </w:rPr>
        <w:lastRenderedPageBreak/>
        <w:t>TABLE OF CONTENTS</w:t>
      </w:r>
    </w:p>
    <w:p w:rsidR="00F815F2" w:rsidRPr="002A1B0E" w:rsidRDefault="00F815F2" w:rsidP="00F815F2">
      <w:pPr>
        <w:tabs>
          <w:tab w:val="left" w:pos="720"/>
          <w:tab w:val="left" w:pos="1440"/>
          <w:tab w:val="left" w:pos="2160"/>
          <w:tab w:val="center" w:pos="4680"/>
        </w:tabs>
        <w:jc w:val="center"/>
        <w:rPr>
          <w:b/>
          <w:sz w:val="24"/>
          <w:szCs w:val="24"/>
          <w:u w:val="single"/>
        </w:rPr>
      </w:pPr>
    </w:p>
    <w:p w:rsidR="00F815F2" w:rsidRPr="002A1B0E" w:rsidRDefault="00F815F2" w:rsidP="00F815F2">
      <w:pPr>
        <w:tabs>
          <w:tab w:val="left" w:pos="720"/>
          <w:tab w:val="left" w:pos="1440"/>
          <w:tab w:val="left" w:pos="21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I.</w:t>
      </w:r>
      <w:r w:rsidRPr="002A1B0E">
        <w:rPr>
          <w:sz w:val="24"/>
          <w:szCs w:val="24"/>
        </w:rPr>
        <w:tab/>
      </w:r>
      <w:r w:rsidRPr="002A1B0E">
        <w:rPr>
          <w:caps/>
          <w:sz w:val="24"/>
          <w:szCs w:val="24"/>
        </w:rPr>
        <w:t>History of the Proceeding</w:t>
      </w:r>
      <w:r w:rsidRPr="002A1B0E">
        <w:rPr>
          <w:sz w:val="24"/>
          <w:szCs w:val="24"/>
        </w:rPr>
        <w:tab/>
        <w:t>1</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right" w:leader="dot" w:pos="9360"/>
        </w:tabs>
        <w:rPr>
          <w:sz w:val="24"/>
          <w:szCs w:val="24"/>
        </w:rPr>
      </w:pPr>
      <w:r w:rsidRPr="002A1B0E">
        <w:rPr>
          <w:sz w:val="24"/>
          <w:szCs w:val="24"/>
        </w:rPr>
        <w:t>II.</w:t>
      </w:r>
      <w:r w:rsidRPr="002A1B0E">
        <w:rPr>
          <w:sz w:val="24"/>
          <w:szCs w:val="24"/>
        </w:rPr>
        <w:tab/>
        <w:t>FINDINGS OF FACT</w:t>
      </w:r>
      <w:r w:rsidRPr="002A1B0E">
        <w:rPr>
          <w:sz w:val="24"/>
          <w:szCs w:val="24"/>
        </w:rPr>
        <w:tab/>
      </w:r>
      <w:r w:rsidR="001F445D">
        <w:rPr>
          <w:sz w:val="24"/>
          <w:szCs w:val="24"/>
        </w:rPr>
        <w:t>6</w:t>
      </w:r>
    </w:p>
    <w:p w:rsidR="00F815F2" w:rsidRPr="002A1B0E" w:rsidRDefault="00F815F2" w:rsidP="00F815F2">
      <w:pPr>
        <w:tabs>
          <w:tab w:val="left" w:pos="720"/>
          <w:tab w:val="left" w:pos="144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III.</w:t>
      </w:r>
      <w:r w:rsidRPr="002A1B0E">
        <w:rPr>
          <w:sz w:val="24"/>
          <w:szCs w:val="24"/>
        </w:rPr>
        <w:tab/>
        <w:t>DESCRIPTION AND TERMS OF SETTLEMENT</w:t>
      </w:r>
      <w:r w:rsidRPr="002A1B0E">
        <w:rPr>
          <w:sz w:val="24"/>
          <w:szCs w:val="24"/>
        </w:rPr>
        <w:tab/>
      </w:r>
      <w:r w:rsidR="001F445D">
        <w:rPr>
          <w:sz w:val="24"/>
          <w:szCs w:val="24"/>
        </w:rPr>
        <w:t>15</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right" w:leader="dot" w:pos="9360"/>
        </w:tabs>
        <w:rPr>
          <w:sz w:val="24"/>
          <w:szCs w:val="24"/>
        </w:rPr>
      </w:pPr>
      <w:r w:rsidRPr="002A1B0E">
        <w:rPr>
          <w:sz w:val="24"/>
          <w:szCs w:val="24"/>
        </w:rPr>
        <w:tab/>
        <w:t>A.</w:t>
      </w:r>
      <w:r w:rsidRPr="002A1B0E">
        <w:rPr>
          <w:sz w:val="24"/>
          <w:szCs w:val="24"/>
        </w:rPr>
        <w:tab/>
      </w:r>
      <w:r w:rsidR="001F445D">
        <w:rPr>
          <w:sz w:val="24"/>
          <w:szCs w:val="24"/>
        </w:rPr>
        <w:t>Natural Gas Supply</w:t>
      </w:r>
      <w:r w:rsidRPr="002A1B0E">
        <w:rPr>
          <w:sz w:val="24"/>
          <w:szCs w:val="24"/>
        </w:rPr>
        <w:t xml:space="preserve"> Rates</w:t>
      </w:r>
      <w:r w:rsidR="001F445D">
        <w:rPr>
          <w:sz w:val="24"/>
          <w:szCs w:val="24"/>
        </w:rPr>
        <w:t xml:space="preserve"> as of October 1, 2015</w:t>
      </w:r>
      <w:r w:rsidRPr="002A1B0E">
        <w:rPr>
          <w:sz w:val="24"/>
          <w:szCs w:val="24"/>
        </w:rPr>
        <w:tab/>
      </w:r>
      <w:r w:rsidR="001F445D">
        <w:rPr>
          <w:sz w:val="24"/>
          <w:szCs w:val="24"/>
        </w:rPr>
        <w:t>15</w:t>
      </w:r>
    </w:p>
    <w:p w:rsidR="00F815F2" w:rsidRPr="002A1B0E" w:rsidRDefault="00F815F2" w:rsidP="00F815F2">
      <w:pPr>
        <w:tabs>
          <w:tab w:val="left" w:pos="720"/>
          <w:tab w:val="left" w:pos="1440"/>
          <w:tab w:val="right" w:leader="dot" w:pos="9360"/>
        </w:tabs>
        <w:rPr>
          <w:sz w:val="24"/>
          <w:szCs w:val="24"/>
        </w:rPr>
      </w:pPr>
    </w:p>
    <w:p w:rsidR="00812F88" w:rsidRDefault="00F815F2" w:rsidP="00F815F2">
      <w:pPr>
        <w:tabs>
          <w:tab w:val="left" w:pos="720"/>
          <w:tab w:val="left" w:pos="1440"/>
          <w:tab w:val="left" w:pos="2160"/>
          <w:tab w:val="right" w:leader="dot" w:pos="9360"/>
        </w:tabs>
        <w:rPr>
          <w:sz w:val="24"/>
          <w:szCs w:val="24"/>
        </w:rPr>
      </w:pPr>
      <w:r w:rsidRPr="002A1B0E">
        <w:rPr>
          <w:sz w:val="24"/>
          <w:szCs w:val="24"/>
        </w:rPr>
        <w:tab/>
        <w:t>B.</w:t>
      </w:r>
      <w:r w:rsidRPr="002A1B0E">
        <w:rPr>
          <w:sz w:val="24"/>
          <w:szCs w:val="24"/>
        </w:rPr>
        <w:tab/>
        <w:t>C</w:t>
      </w:r>
      <w:r w:rsidR="00812F88">
        <w:rPr>
          <w:sz w:val="24"/>
          <w:szCs w:val="24"/>
        </w:rPr>
        <w:t xml:space="preserve">ombination of Peoples Division’s and Peoples-Equitable Division’s </w:t>
      </w:r>
    </w:p>
    <w:p w:rsidR="00F815F2" w:rsidRPr="002A1B0E" w:rsidRDefault="00812F88" w:rsidP="00F815F2">
      <w:pPr>
        <w:tabs>
          <w:tab w:val="left" w:pos="720"/>
          <w:tab w:val="left" w:pos="1440"/>
          <w:tab w:val="left" w:pos="2160"/>
          <w:tab w:val="right" w:leader="dot" w:pos="9360"/>
        </w:tabs>
        <w:rPr>
          <w:sz w:val="24"/>
          <w:szCs w:val="24"/>
        </w:rPr>
      </w:pPr>
      <w:r>
        <w:rPr>
          <w:sz w:val="24"/>
          <w:szCs w:val="24"/>
        </w:rPr>
        <w:tab/>
      </w:r>
      <w:r>
        <w:rPr>
          <w:sz w:val="24"/>
          <w:szCs w:val="24"/>
        </w:rPr>
        <w:tab/>
        <w:t>PGC Rates</w:t>
      </w:r>
      <w:r w:rsidR="00F815F2" w:rsidRPr="002A1B0E">
        <w:rPr>
          <w:sz w:val="24"/>
          <w:szCs w:val="24"/>
        </w:rPr>
        <w:tab/>
      </w:r>
      <w:r>
        <w:rPr>
          <w:sz w:val="24"/>
          <w:szCs w:val="24"/>
        </w:rPr>
        <w:t>16</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C.</w:t>
      </w:r>
      <w:r w:rsidRPr="002A1B0E">
        <w:rPr>
          <w:sz w:val="24"/>
          <w:szCs w:val="24"/>
        </w:rPr>
        <w:tab/>
      </w:r>
      <w:r w:rsidR="00812F88">
        <w:rPr>
          <w:sz w:val="24"/>
          <w:szCs w:val="24"/>
        </w:rPr>
        <w:t>Capacity Levels</w:t>
      </w:r>
      <w:r w:rsidRPr="002A1B0E">
        <w:rPr>
          <w:sz w:val="24"/>
          <w:szCs w:val="24"/>
        </w:rPr>
        <w:tab/>
      </w:r>
      <w:r w:rsidR="00812F88">
        <w:rPr>
          <w:sz w:val="24"/>
          <w:szCs w:val="24"/>
        </w:rPr>
        <w:t>16</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D.</w:t>
      </w:r>
      <w:r w:rsidRPr="002A1B0E">
        <w:rPr>
          <w:sz w:val="24"/>
          <w:szCs w:val="24"/>
        </w:rPr>
        <w:tab/>
      </w:r>
      <w:r w:rsidR="005B20FB">
        <w:rPr>
          <w:sz w:val="24"/>
          <w:szCs w:val="24"/>
        </w:rPr>
        <w:t>AVC Authorized Overrun Charges</w:t>
      </w:r>
      <w:r w:rsidRPr="002A1B0E">
        <w:rPr>
          <w:sz w:val="24"/>
          <w:szCs w:val="24"/>
        </w:rPr>
        <w:tab/>
      </w:r>
      <w:r w:rsidR="005B20FB">
        <w:rPr>
          <w:sz w:val="24"/>
          <w:szCs w:val="24"/>
        </w:rPr>
        <w:t>17</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E.</w:t>
      </w:r>
      <w:r w:rsidRPr="002A1B0E">
        <w:rPr>
          <w:sz w:val="24"/>
          <w:szCs w:val="24"/>
        </w:rPr>
        <w:tab/>
      </w:r>
      <w:r w:rsidR="005B20FB">
        <w:rPr>
          <w:sz w:val="24"/>
          <w:szCs w:val="24"/>
        </w:rPr>
        <w:t>Banking, Balancing and Advancing (BB&amp;A) Charges</w:t>
      </w:r>
      <w:r w:rsidRPr="002A1B0E">
        <w:rPr>
          <w:sz w:val="24"/>
          <w:szCs w:val="24"/>
        </w:rPr>
        <w:tab/>
      </w:r>
      <w:r w:rsidR="005B20FB">
        <w:rPr>
          <w:sz w:val="24"/>
          <w:szCs w:val="24"/>
        </w:rPr>
        <w:t>17</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F.</w:t>
      </w:r>
      <w:r w:rsidRPr="002A1B0E">
        <w:rPr>
          <w:sz w:val="24"/>
          <w:szCs w:val="24"/>
        </w:rPr>
        <w:tab/>
      </w:r>
      <w:r w:rsidR="008433F8">
        <w:rPr>
          <w:sz w:val="24"/>
          <w:szCs w:val="24"/>
        </w:rPr>
        <w:t>Storage Accounting</w:t>
      </w:r>
      <w:r w:rsidRPr="002A1B0E">
        <w:rPr>
          <w:sz w:val="24"/>
          <w:szCs w:val="24"/>
        </w:rPr>
        <w:tab/>
      </w:r>
      <w:r w:rsidR="008433F8">
        <w:rPr>
          <w:sz w:val="24"/>
          <w:szCs w:val="24"/>
        </w:rPr>
        <w:t>1</w:t>
      </w:r>
      <w:r w:rsidR="005F5D4E">
        <w:rPr>
          <w:sz w:val="24"/>
          <w:szCs w:val="24"/>
        </w:rPr>
        <w:t>8</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G.</w:t>
      </w:r>
      <w:r w:rsidRPr="002A1B0E">
        <w:rPr>
          <w:sz w:val="24"/>
          <w:szCs w:val="24"/>
        </w:rPr>
        <w:tab/>
      </w:r>
      <w:r w:rsidR="00B95F79">
        <w:rPr>
          <w:sz w:val="24"/>
          <w:szCs w:val="24"/>
        </w:rPr>
        <w:t>Retainage</w:t>
      </w:r>
      <w:r w:rsidRPr="002A1B0E">
        <w:rPr>
          <w:sz w:val="24"/>
          <w:szCs w:val="24"/>
        </w:rPr>
        <w:tab/>
      </w:r>
      <w:r w:rsidR="00B95F79">
        <w:rPr>
          <w:sz w:val="24"/>
          <w:szCs w:val="24"/>
        </w:rPr>
        <w:t>18</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H.</w:t>
      </w:r>
      <w:r w:rsidRPr="002A1B0E">
        <w:rPr>
          <w:sz w:val="24"/>
          <w:szCs w:val="24"/>
        </w:rPr>
        <w:tab/>
      </w:r>
      <w:r w:rsidR="00B95F79">
        <w:rPr>
          <w:sz w:val="24"/>
          <w:szCs w:val="24"/>
        </w:rPr>
        <w:t>Sharing Mechanisms</w:t>
      </w:r>
      <w:r w:rsidRPr="002A1B0E">
        <w:rPr>
          <w:sz w:val="24"/>
          <w:szCs w:val="24"/>
        </w:rPr>
        <w:tab/>
      </w:r>
      <w:r w:rsidR="00B95F79">
        <w:rPr>
          <w:sz w:val="24"/>
          <w:szCs w:val="24"/>
        </w:rPr>
        <w:t>1</w:t>
      </w:r>
      <w:r w:rsidR="005F5D4E">
        <w:rPr>
          <w:sz w:val="24"/>
          <w:szCs w:val="24"/>
        </w:rPr>
        <w:t>9</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I.</w:t>
      </w:r>
      <w:r w:rsidRPr="002A1B0E">
        <w:rPr>
          <w:sz w:val="24"/>
          <w:szCs w:val="24"/>
        </w:rPr>
        <w:tab/>
      </w:r>
      <w:r w:rsidR="00B95F79">
        <w:rPr>
          <w:sz w:val="24"/>
          <w:szCs w:val="24"/>
        </w:rPr>
        <w:t>Miscellaneous</w:t>
      </w:r>
      <w:r w:rsidRPr="002A1B0E">
        <w:rPr>
          <w:sz w:val="24"/>
          <w:szCs w:val="24"/>
        </w:rPr>
        <w:tab/>
      </w:r>
      <w:r w:rsidR="00B95F79">
        <w:rPr>
          <w:sz w:val="24"/>
          <w:szCs w:val="24"/>
        </w:rPr>
        <w:t>1</w:t>
      </w:r>
      <w:r w:rsidR="005F5D4E">
        <w:rPr>
          <w:sz w:val="24"/>
          <w:szCs w:val="24"/>
        </w:rPr>
        <w:t>9</w:t>
      </w:r>
    </w:p>
    <w:p w:rsidR="00F815F2" w:rsidRPr="002A1B0E" w:rsidRDefault="00F815F2" w:rsidP="00F815F2">
      <w:pPr>
        <w:tabs>
          <w:tab w:val="left" w:pos="720"/>
          <w:tab w:val="left" w:pos="1440"/>
          <w:tab w:val="left" w:pos="2160"/>
          <w:tab w:val="right" w:leader="dot" w:pos="9360"/>
        </w:tabs>
        <w:rPr>
          <w:sz w:val="24"/>
          <w:szCs w:val="24"/>
        </w:rPr>
      </w:pPr>
    </w:p>
    <w:p w:rsidR="00F815F2" w:rsidRDefault="00F815F2" w:rsidP="00F815F2">
      <w:pPr>
        <w:tabs>
          <w:tab w:val="left" w:pos="720"/>
          <w:tab w:val="left" w:pos="1440"/>
          <w:tab w:val="left" w:pos="2160"/>
          <w:tab w:val="right" w:leader="dot" w:pos="9360"/>
        </w:tabs>
        <w:rPr>
          <w:sz w:val="24"/>
          <w:szCs w:val="24"/>
        </w:rPr>
      </w:pPr>
      <w:r w:rsidRPr="002A1B0E">
        <w:rPr>
          <w:sz w:val="24"/>
          <w:szCs w:val="24"/>
        </w:rPr>
        <w:tab/>
        <w:t>J.</w:t>
      </w:r>
      <w:r w:rsidRPr="002A1B0E">
        <w:rPr>
          <w:sz w:val="24"/>
          <w:szCs w:val="24"/>
        </w:rPr>
        <w:tab/>
      </w:r>
      <w:r w:rsidR="00B95F79">
        <w:rPr>
          <w:sz w:val="24"/>
          <w:szCs w:val="24"/>
        </w:rPr>
        <w:t>Least Cost Fuel Procurement Policy – Reconciliation Period</w:t>
      </w:r>
      <w:r w:rsidRPr="002A1B0E">
        <w:rPr>
          <w:sz w:val="24"/>
          <w:szCs w:val="24"/>
        </w:rPr>
        <w:tab/>
      </w:r>
      <w:r w:rsidR="00B95F79">
        <w:rPr>
          <w:sz w:val="24"/>
          <w:szCs w:val="24"/>
        </w:rPr>
        <w:t>19</w:t>
      </w:r>
    </w:p>
    <w:p w:rsidR="00B95F79" w:rsidRDefault="00B95F79" w:rsidP="00F815F2">
      <w:pPr>
        <w:tabs>
          <w:tab w:val="left" w:pos="720"/>
          <w:tab w:val="left" w:pos="1440"/>
          <w:tab w:val="left" w:pos="2160"/>
          <w:tab w:val="right" w:leader="dot" w:pos="9360"/>
        </w:tabs>
        <w:rPr>
          <w:sz w:val="24"/>
          <w:szCs w:val="24"/>
        </w:rPr>
      </w:pPr>
    </w:p>
    <w:p w:rsidR="00B95F79" w:rsidRPr="002A1B0E" w:rsidRDefault="00B95F79" w:rsidP="00F815F2">
      <w:pPr>
        <w:tabs>
          <w:tab w:val="left" w:pos="720"/>
          <w:tab w:val="left" w:pos="1440"/>
          <w:tab w:val="left" w:pos="2160"/>
          <w:tab w:val="right" w:leader="dot" w:pos="9360"/>
        </w:tabs>
        <w:rPr>
          <w:sz w:val="24"/>
          <w:szCs w:val="24"/>
        </w:rPr>
      </w:pPr>
      <w:r>
        <w:rPr>
          <w:sz w:val="24"/>
          <w:szCs w:val="24"/>
        </w:rPr>
        <w:tab/>
        <w:t>K.</w:t>
      </w:r>
      <w:r>
        <w:rPr>
          <w:sz w:val="24"/>
          <w:szCs w:val="24"/>
        </w:rPr>
        <w:tab/>
        <w:t>Least Cost Fuel Procurement Policy – Projected Period</w:t>
      </w:r>
      <w:r>
        <w:rPr>
          <w:sz w:val="24"/>
          <w:szCs w:val="24"/>
        </w:rPr>
        <w:tab/>
        <w:t>19</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IV.</w:t>
      </w:r>
      <w:r w:rsidRPr="002A1B0E">
        <w:rPr>
          <w:sz w:val="24"/>
          <w:szCs w:val="24"/>
        </w:rPr>
        <w:tab/>
        <w:t>DISCUSSION</w:t>
      </w:r>
      <w:r w:rsidR="004C5529">
        <w:rPr>
          <w:sz w:val="24"/>
          <w:szCs w:val="24"/>
        </w:rPr>
        <w:tab/>
      </w:r>
      <w:r w:rsidRPr="002A1B0E">
        <w:rPr>
          <w:sz w:val="24"/>
          <w:szCs w:val="24"/>
        </w:rPr>
        <w:tab/>
      </w:r>
      <w:r w:rsidR="004C5529">
        <w:rPr>
          <w:sz w:val="24"/>
          <w:szCs w:val="24"/>
        </w:rPr>
        <w:t>20</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t>A.</w:t>
      </w:r>
      <w:r w:rsidRPr="002A1B0E">
        <w:rPr>
          <w:sz w:val="24"/>
          <w:szCs w:val="24"/>
        </w:rPr>
        <w:tab/>
      </w:r>
      <w:r w:rsidR="000328D5">
        <w:rPr>
          <w:sz w:val="24"/>
          <w:szCs w:val="24"/>
        </w:rPr>
        <w:t xml:space="preserve">Natural Gas Supply Rates </w:t>
      </w:r>
      <w:r w:rsidR="00DA791A">
        <w:rPr>
          <w:sz w:val="24"/>
          <w:szCs w:val="24"/>
        </w:rPr>
        <w:t>E</w:t>
      </w:r>
      <w:r w:rsidR="000328D5">
        <w:rPr>
          <w:sz w:val="24"/>
          <w:szCs w:val="24"/>
        </w:rPr>
        <w:t>ffective October 1, 2015</w:t>
      </w:r>
      <w:r w:rsidRPr="002A1B0E">
        <w:rPr>
          <w:sz w:val="24"/>
          <w:szCs w:val="24"/>
        </w:rPr>
        <w:tab/>
      </w:r>
      <w:r w:rsidR="000328D5">
        <w:rPr>
          <w:sz w:val="24"/>
          <w:szCs w:val="24"/>
        </w:rPr>
        <w:t>21</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r>
      <w:r w:rsidRPr="002A1B0E">
        <w:rPr>
          <w:sz w:val="24"/>
          <w:szCs w:val="24"/>
        </w:rPr>
        <w:tab/>
        <w:t>1.</w:t>
      </w:r>
      <w:r w:rsidRPr="002A1B0E">
        <w:rPr>
          <w:sz w:val="24"/>
          <w:szCs w:val="24"/>
        </w:rPr>
        <w:tab/>
      </w:r>
      <w:r w:rsidR="006C76BF">
        <w:rPr>
          <w:sz w:val="24"/>
          <w:szCs w:val="24"/>
        </w:rPr>
        <w:t>Peoples’</w:t>
      </w:r>
      <w:r w:rsidRPr="002A1B0E">
        <w:rPr>
          <w:sz w:val="24"/>
          <w:szCs w:val="24"/>
        </w:rPr>
        <w:t xml:space="preserve"> Position</w:t>
      </w:r>
      <w:r w:rsidRPr="002A1B0E">
        <w:rPr>
          <w:sz w:val="24"/>
          <w:szCs w:val="24"/>
        </w:rPr>
        <w:tab/>
      </w:r>
      <w:r w:rsidR="006C76BF">
        <w:rPr>
          <w:sz w:val="24"/>
          <w:szCs w:val="24"/>
        </w:rPr>
        <w:t>21</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r>
      <w:r w:rsidRPr="002A1B0E">
        <w:rPr>
          <w:sz w:val="24"/>
          <w:szCs w:val="24"/>
        </w:rPr>
        <w:tab/>
        <w:t>2.</w:t>
      </w:r>
      <w:r w:rsidRPr="002A1B0E">
        <w:rPr>
          <w:sz w:val="24"/>
          <w:szCs w:val="24"/>
        </w:rPr>
        <w:tab/>
      </w:r>
      <w:r w:rsidR="006C76BF">
        <w:rPr>
          <w:sz w:val="24"/>
          <w:szCs w:val="24"/>
        </w:rPr>
        <w:t>I&amp;E</w:t>
      </w:r>
      <w:r w:rsidRPr="002A1B0E">
        <w:rPr>
          <w:sz w:val="24"/>
          <w:szCs w:val="24"/>
        </w:rPr>
        <w:t>’s Position</w:t>
      </w:r>
      <w:r w:rsidRPr="002A1B0E">
        <w:rPr>
          <w:sz w:val="24"/>
          <w:szCs w:val="24"/>
        </w:rPr>
        <w:tab/>
      </w:r>
      <w:r w:rsidR="006C76BF">
        <w:rPr>
          <w:sz w:val="24"/>
          <w:szCs w:val="24"/>
        </w:rPr>
        <w:t>2</w:t>
      </w:r>
      <w:r w:rsidRPr="002A1B0E">
        <w:rPr>
          <w:sz w:val="24"/>
          <w:szCs w:val="24"/>
        </w:rPr>
        <w:t>1</w:t>
      </w:r>
    </w:p>
    <w:p w:rsidR="00F815F2" w:rsidRPr="002A1B0E" w:rsidRDefault="00F815F2" w:rsidP="00F815F2">
      <w:pPr>
        <w:tabs>
          <w:tab w:val="left" w:pos="720"/>
          <w:tab w:val="left" w:pos="1440"/>
          <w:tab w:val="left" w:pos="2160"/>
          <w:tab w:val="right" w:leader="dot" w:pos="9360"/>
        </w:tabs>
        <w:rPr>
          <w:sz w:val="24"/>
          <w:szCs w:val="24"/>
        </w:rPr>
      </w:pPr>
    </w:p>
    <w:p w:rsidR="00F815F2" w:rsidRPr="002A1B0E" w:rsidRDefault="00F815F2" w:rsidP="00F815F2">
      <w:pPr>
        <w:tabs>
          <w:tab w:val="left" w:pos="720"/>
          <w:tab w:val="left" w:pos="1440"/>
          <w:tab w:val="left" w:pos="2160"/>
          <w:tab w:val="right" w:leader="dot" w:pos="9360"/>
        </w:tabs>
        <w:rPr>
          <w:sz w:val="24"/>
          <w:szCs w:val="24"/>
        </w:rPr>
      </w:pPr>
      <w:r w:rsidRPr="002A1B0E">
        <w:rPr>
          <w:sz w:val="24"/>
          <w:szCs w:val="24"/>
        </w:rPr>
        <w:tab/>
      </w:r>
      <w:r w:rsidRPr="002A1B0E">
        <w:rPr>
          <w:sz w:val="24"/>
          <w:szCs w:val="24"/>
        </w:rPr>
        <w:tab/>
        <w:t>3.</w:t>
      </w:r>
      <w:r w:rsidRPr="002A1B0E">
        <w:rPr>
          <w:sz w:val="24"/>
          <w:szCs w:val="24"/>
        </w:rPr>
        <w:tab/>
        <w:t>OCA’s Position</w:t>
      </w:r>
      <w:r w:rsidRPr="002A1B0E">
        <w:rPr>
          <w:sz w:val="24"/>
          <w:szCs w:val="24"/>
        </w:rPr>
        <w:tab/>
      </w:r>
      <w:r w:rsidR="006C76BF">
        <w:rPr>
          <w:sz w:val="24"/>
          <w:szCs w:val="24"/>
        </w:rPr>
        <w:t>22</w:t>
      </w:r>
    </w:p>
    <w:p w:rsidR="00F815F2" w:rsidRPr="002A1B0E" w:rsidRDefault="00F815F2" w:rsidP="00F815F2">
      <w:pPr>
        <w:tabs>
          <w:tab w:val="left" w:pos="720"/>
          <w:tab w:val="left" w:pos="1440"/>
          <w:tab w:val="left" w:pos="2160"/>
          <w:tab w:val="right" w:leader="dot" w:pos="9360"/>
        </w:tabs>
        <w:rPr>
          <w:sz w:val="24"/>
          <w:szCs w:val="24"/>
        </w:rPr>
      </w:pPr>
    </w:p>
    <w:p w:rsidR="00F815F2" w:rsidRDefault="00F815F2" w:rsidP="00F815F2">
      <w:pPr>
        <w:tabs>
          <w:tab w:val="left" w:pos="720"/>
          <w:tab w:val="left" w:pos="1440"/>
          <w:tab w:val="left" w:pos="2160"/>
          <w:tab w:val="right" w:leader="dot" w:pos="9360"/>
        </w:tabs>
        <w:rPr>
          <w:sz w:val="24"/>
          <w:szCs w:val="24"/>
        </w:rPr>
      </w:pPr>
      <w:r w:rsidRPr="002A1B0E">
        <w:rPr>
          <w:sz w:val="24"/>
          <w:szCs w:val="24"/>
        </w:rPr>
        <w:tab/>
        <w:t>B.</w:t>
      </w:r>
      <w:r w:rsidRPr="002A1B0E">
        <w:rPr>
          <w:sz w:val="24"/>
          <w:szCs w:val="24"/>
        </w:rPr>
        <w:tab/>
      </w:r>
      <w:r w:rsidR="006C76BF">
        <w:rPr>
          <w:sz w:val="24"/>
          <w:szCs w:val="24"/>
        </w:rPr>
        <w:t>Combination of Peoples and Equitable Division’s PGC Rates</w:t>
      </w:r>
      <w:r w:rsidRPr="002A1B0E">
        <w:rPr>
          <w:sz w:val="24"/>
          <w:szCs w:val="24"/>
        </w:rPr>
        <w:tab/>
      </w:r>
      <w:r w:rsidR="006C76BF">
        <w:rPr>
          <w:sz w:val="24"/>
          <w:szCs w:val="24"/>
        </w:rPr>
        <w:t>2</w:t>
      </w:r>
      <w:r w:rsidR="00832E35">
        <w:rPr>
          <w:sz w:val="24"/>
          <w:szCs w:val="24"/>
        </w:rPr>
        <w:t>3</w:t>
      </w:r>
    </w:p>
    <w:p w:rsidR="006C76BF" w:rsidRDefault="006C76BF" w:rsidP="00F815F2">
      <w:pPr>
        <w:tabs>
          <w:tab w:val="left" w:pos="720"/>
          <w:tab w:val="left" w:pos="1440"/>
          <w:tab w:val="left" w:pos="2160"/>
          <w:tab w:val="right" w:leader="dot" w:pos="9360"/>
        </w:tabs>
        <w:rPr>
          <w:sz w:val="24"/>
          <w:szCs w:val="24"/>
        </w:rPr>
      </w:pPr>
    </w:p>
    <w:p w:rsidR="006C76BF" w:rsidRDefault="006C76BF"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2</w:t>
      </w:r>
      <w:r w:rsidR="00832E35">
        <w:rPr>
          <w:sz w:val="24"/>
          <w:szCs w:val="24"/>
        </w:rPr>
        <w:t>3</w:t>
      </w:r>
    </w:p>
    <w:p w:rsidR="006C76BF" w:rsidRDefault="006C76BF" w:rsidP="00F815F2">
      <w:pPr>
        <w:tabs>
          <w:tab w:val="left" w:pos="720"/>
          <w:tab w:val="left" w:pos="1440"/>
          <w:tab w:val="left" w:pos="2160"/>
          <w:tab w:val="right" w:leader="dot" w:pos="9360"/>
        </w:tabs>
        <w:rPr>
          <w:sz w:val="24"/>
          <w:szCs w:val="24"/>
        </w:rPr>
      </w:pPr>
    </w:p>
    <w:p w:rsidR="006C76BF" w:rsidRDefault="006C76BF" w:rsidP="00F815F2">
      <w:pPr>
        <w:tabs>
          <w:tab w:val="left" w:pos="720"/>
          <w:tab w:val="left" w:pos="1440"/>
          <w:tab w:val="left" w:pos="2160"/>
          <w:tab w:val="right" w:leader="dot" w:pos="9360"/>
        </w:tabs>
        <w:rPr>
          <w:sz w:val="24"/>
          <w:szCs w:val="24"/>
        </w:rPr>
      </w:pPr>
      <w:r>
        <w:rPr>
          <w:sz w:val="24"/>
          <w:szCs w:val="24"/>
        </w:rPr>
        <w:lastRenderedPageBreak/>
        <w:tab/>
      </w:r>
      <w:r>
        <w:rPr>
          <w:sz w:val="24"/>
          <w:szCs w:val="24"/>
        </w:rPr>
        <w:tab/>
        <w:t>2.</w:t>
      </w:r>
      <w:r>
        <w:rPr>
          <w:sz w:val="24"/>
          <w:szCs w:val="24"/>
        </w:rPr>
        <w:tab/>
        <w:t>I&amp;E’s Position</w:t>
      </w:r>
      <w:r>
        <w:rPr>
          <w:sz w:val="24"/>
          <w:szCs w:val="24"/>
        </w:rPr>
        <w:tab/>
        <w:t>24</w:t>
      </w:r>
    </w:p>
    <w:p w:rsidR="006C76BF" w:rsidRDefault="006C76BF" w:rsidP="00F815F2">
      <w:pPr>
        <w:tabs>
          <w:tab w:val="left" w:pos="720"/>
          <w:tab w:val="left" w:pos="1440"/>
          <w:tab w:val="left" w:pos="2160"/>
          <w:tab w:val="right" w:leader="dot" w:pos="9360"/>
        </w:tabs>
        <w:rPr>
          <w:sz w:val="24"/>
          <w:szCs w:val="24"/>
        </w:rPr>
      </w:pPr>
    </w:p>
    <w:p w:rsidR="006C76BF" w:rsidRDefault="006C76BF" w:rsidP="00F815F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OCA’s Position</w:t>
      </w:r>
      <w:r>
        <w:rPr>
          <w:sz w:val="24"/>
          <w:szCs w:val="24"/>
        </w:rPr>
        <w:tab/>
        <w:t>25</w:t>
      </w:r>
    </w:p>
    <w:p w:rsidR="006C76BF" w:rsidRDefault="006C76BF" w:rsidP="00F815F2">
      <w:pPr>
        <w:tabs>
          <w:tab w:val="left" w:pos="720"/>
          <w:tab w:val="left" w:pos="1440"/>
          <w:tab w:val="left" w:pos="2160"/>
          <w:tab w:val="right" w:leader="dot" w:pos="9360"/>
        </w:tabs>
        <w:rPr>
          <w:sz w:val="24"/>
          <w:szCs w:val="24"/>
        </w:rPr>
      </w:pPr>
    </w:p>
    <w:p w:rsidR="006C76BF" w:rsidRPr="002A1B0E" w:rsidRDefault="006C76BF" w:rsidP="00F815F2">
      <w:pPr>
        <w:tabs>
          <w:tab w:val="left" w:pos="720"/>
          <w:tab w:val="left" w:pos="1440"/>
          <w:tab w:val="left" w:pos="2160"/>
          <w:tab w:val="right" w:leader="dot" w:pos="9360"/>
        </w:tabs>
        <w:rPr>
          <w:sz w:val="24"/>
          <w:szCs w:val="24"/>
        </w:rPr>
      </w:pPr>
      <w:r>
        <w:rPr>
          <w:sz w:val="24"/>
          <w:szCs w:val="24"/>
        </w:rPr>
        <w:tab/>
      </w:r>
      <w:r>
        <w:rPr>
          <w:sz w:val="24"/>
          <w:szCs w:val="24"/>
        </w:rPr>
        <w:tab/>
        <w:t>4.</w:t>
      </w:r>
      <w:r>
        <w:rPr>
          <w:sz w:val="24"/>
          <w:szCs w:val="24"/>
        </w:rPr>
        <w:tab/>
        <w:t>OSBA’s Position</w:t>
      </w:r>
      <w:r>
        <w:rPr>
          <w:sz w:val="24"/>
          <w:szCs w:val="24"/>
        </w:rPr>
        <w:tab/>
        <w:t>26</w:t>
      </w:r>
    </w:p>
    <w:p w:rsidR="00F815F2" w:rsidRPr="002A1B0E" w:rsidRDefault="00F815F2" w:rsidP="00F815F2">
      <w:pPr>
        <w:tabs>
          <w:tab w:val="left" w:pos="720"/>
          <w:tab w:val="left" w:pos="1440"/>
          <w:tab w:val="left" w:pos="2160"/>
          <w:tab w:val="right" w:leader="dot" w:pos="9360"/>
        </w:tabs>
        <w:rPr>
          <w:sz w:val="24"/>
          <w:szCs w:val="24"/>
        </w:rPr>
      </w:pPr>
    </w:p>
    <w:p w:rsidR="00F815F2" w:rsidRDefault="00A733EC" w:rsidP="00F815F2">
      <w:pPr>
        <w:tabs>
          <w:tab w:val="left" w:pos="720"/>
          <w:tab w:val="left" w:pos="1440"/>
          <w:tab w:val="left" w:pos="2160"/>
          <w:tab w:val="right" w:leader="dot" w:pos="9360"/>
        </w:tabs>
        <w:rPr>
          <w:sz w:val="24"/>
          <w:szCs w:val="24"/>
        </w:rPr>
      </w:pPr>
      <w:r>
        <w:rPr>
          <w:sz w:val="24"/>
          <w:szCs w:val="24"/>
        </w:rPr>
        <w:tab/>
        <w:t>C.</w:t>
      </w:r>
      <w:r>
        <w:rPr>
          <w:sz w:val="24"/>
          <w:szCs w:val="24"/>
        </w:rPr>
        <w:tab/>
        <w:t>Capacity Levels</w:t>
      </w:r>
      <w:r>
        <w:rPr>
          <w:sz w:val="24"/>
          <w:szCs w:val="24"/>
        </w:rPr>
        <w:tab/>
        <w:t>27</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27</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I&amp;E’s Position</w:t>
      </w:r>
      <w:r>
        <w:rPr>
          <w:sz w:val="24"/>
          <w:szCs w:val="24"/>
        </w:rPr>
        <w:tab/>
        <w:t>28</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OCA’s Position</w:t>
      </w:r>
      <w:r>
        <w:rPr>
          <w:sz w:val="24"/>
          <w:szCs w:val="24"/>
        </w:rPr>
        <w:tab/>
        <w:t>29</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t>D.</w:t>
      </w:r>
      <w:r>
        <w:rPr>
          <w:sz w:val="24"/>
          <w:szCs w:val="24"/>
        </w:rPr>
        <w:tab/>
        <w:t>AVC Authorized Overrun Charge</w:t>
      </w:r>
      <w:r>
        <w:rPr>
          <w:sz w:val="24"/>
          <w:szCs w:val="24"/>
        </w:rPr>
        <w:tab/>
        <w:t>30</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30</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31</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t>E.</w:t>
      </w:r>
      <w:r>
        <w:rPr>
          <w:sz w:val="24"/>
          <w:szCs w:val="24"/>
        </w:rPr>
        <w:tab/>
        <w:t>Banking, Balancing and Advancing (BB&amp;A) Charges</w:t>
      </w:r>
      <w:r>
        <w:rPr>
          <w:sz w:val="24"/>
          <w:szCs w:val="24"/>
        </w:rPr>
        <w:tab/>
        <w:t>32</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32</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33</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OSBA’s Position</w:t>
      </w:r>
      <w:r>
        <w:rPr>
          <w:sz w:val="24"/>
          <w:szCs w:val="24"/>
        </w:rPr>
        <w:tab/>
        <w:t>33</w:t>
      </w: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r>
    </w:p>
    <w:p w:rsidR="00A733EC" w:rsidRDefault="00A733EC" w:rsidP="00F815F2">
      <w:pPr>
        <w:tabs>
          <w:tab w:val="left" w:pos="720"/>
          <w:tab w:val="left" w:pos="1440"/>
          <w:tab w:val="left" w:pos="2160"/>
          <w:tab w:val="right" w:leader="dot" w:pos="9360"/>
        </w:tabs>
        <w:rPr>
          <w:sz w:val="24"/>
          <w:szCs w:val="24"/>
        </w:rPr>
      </w:pPr>
      <w:r>
        <w:rPr>
          <w:sz w:val="24"/>
          <w:szCs w:val="24"/>
        </w:rPr>
        <w:tab/>
        <w:t>F.</w:t>
      </w:r>
      <w:r>
        <w:rPr>
          <w:sz w:val="24"/>
          <w:szCs w:val="24"/>
        </w:rPr>
        <w:tab/>
        <w:t>Storage Accounting</w:t>
      </w:r>
      <w:r>
        <w:rPr>
          <w:sz w:val="24"/>
          <w:szCs w:val="24"/>
        </w:rPr>
        <w:tab/>
        <w:t>34</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34</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OCA’s Position</w:t>
      </w:r>
      <w:r>
        <w:rPr>
          <w:sz w:val="24"/>
          <w:szCs w:val="24"/>
        </w:rPr>
        <w:tab/>
        <w:t>35</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t>G.</w:t>
      </w:r>
      <w:r>
        <w:rPr>
          <w:sz w:val="24"/>
          <w:szCs w:val="24"/>
        </w:rPr>
        <w:tab/>
        <w:t>Retainage</w:t>
      </w:r>
      <w:r>
        <w:rPr>
          <w:sz w:val="24"/>
          <w:szCs w:val="24"/>
        </w:rPr>
        <w:tab/>
        <w:t>36</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36</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2.</w:t>
      </w:r>
      <w:r>
        <w:rPr>
          <w:sz w:val="24"/>
          <w:szCs w:val="24"/>
        </w:rPr>
        <w:tab/>
        <w:t>I&amp;E’s Position</w:t>
      </w:r>
      <w:r>
        <w:rPr>
          <w:sz w:val="24"/>
          <w:szCs w:val="24"/>
        </w:rPr>
        <w:tab/>
        <w:t>37</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OSBA’s Position</w:t>
      </w:r>
      <w:r>
        <w:rPr>
          <w:sz w:val="24"/>
          <w:szCs w:val="24"/>
        </w:rPr>
        <w:tab/>
        <w:t>37</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t>H.</w:t>
      </w:r>
      <w:r>
        <w:rPr>
          <w:sz w:val="24"/>
          <w:szCs w:val="24"/>
        </w:rPr>
        <w:tab/>
        <w:t>Sharing Mechanism</w:t>
      </w:r>
      <w:r>
        <w:rPr>
          <w:sz w:val="24"/>
          <w:szCs w:val="24"/>
        </w:rPr>
        <w:tab/>
        <w:t>38</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1.</w:t>
      </w:r>
      <w:r>
        <w:rPr>
          <w:sz w:val="24"/>
          <w:szCs w:val="24"/>
        </w:rPr>
        <w:tab/>
        <w:t>Company’s Position</w:t>
      </w:r>
      <w:r>
        <w:rPr>
          <w:sz w:val="24"/>
          <w:szCs w:val="24"/>
        </w:rPr>
        <w:tab/>
        <w:t>38</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lastRenderedPageBreak/>
        <w:tab/>
      </w:r>
      <w:r>
        <w:rPr>
          <w:sz w:val="24"/>
          <w:szCs w:val="24"/>
        </w:rPr>
        <w:tab/>
        <w:t>2.</w:t>
      </w:r>
      <w:r>
        <w:rPr>
          <w:sz w:val="24"/>
          <w:szCs w:val="24"/>
        </w:rPr>
        <w:tab/>
        <w:t>I&amp;E’s Position</w:t>
      </w:r>
      <w:r>
        <w:rPr>
          <w:sz w:val="24"/>
          <w:szCs w:val="24"/>
        </w:rPr>
        <w:tab/>
        <w:t>39</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r>
      <w:r>
        <w:rPr>
          <w:sz w:val="24"/>
          <w:szCs w:val="24"/>
        </w:rPr>
        <w:tab/>
        <w:t>3.</w:t>
      </w:r>
      <w:r>
        <w:rPr>
          <w:sz w:val="24"/>
          <w:szCs w:val="24"/>
        </w:rPr>
        <w:tab/>
        <w:t>OSBA’s Position</w:t>
      </w:r>
      <w:r>
        <w:rPr>
          <w:sz w:val="24"/>
          <w:szCs w:val="24"/>
        </w:rPr>
        <w:tab/>
        <w:t>39</w:t>
      </w:r>
    </w:p>
    <w:p w:rsidR="00A733EC" w:rsidRDefault="00A733EC" w:rsidP="00F815F2">
      <w:pPr>
        <w:tabs>
          <w:tab w:val="left" w:pos="720"/>
          <w:tab w:val="left" w:pos="1440"/>
          <w:tab w:val="left" w:pos="2160"/>
          <w:tab w:val="right" w:leader="dot" w:pos="9360"/>
        </w:tabs>
        <w:rPr>
          <w:sz w:val="24"/>
          <w:szCs w:val="24"/>
        </w:rPr>
      </w:pPr>
    </w:p>
    <w:p w:rsidR="00A733EC" w:rsidRDefault="00A733EC" w:rsidP="00F815F2">
      <w:pPr>
        <w:tabs>
          <w:tab w:val="left" w:pos="720"/>
          <w:tab w:val="left" w:pos="1440"/>
          <w:tab w:val="left" w:pos="2160"/>
          <w:tab w:val="right" w:leader="dot" w:pos="9360"/>
        </w:tabs>
        <w:rPr>
          <w:sz w:val="24"/>
          <w:szCs w:val="24"/>
        </w:rPr>
      </w:pPr>
      <w:r>
        <w:rPr>
          <w:sz w:val="24"/>
          <w:szCs w:val="24"/>
        </w:rPr>
        <w:tab/>
        <w:t>I.</w:t>
      </w:r>
      <w:r>
        <w:rPr>
          <w:sz w:val="24"/>
          <w:szCs w:val="24"/>
        </w:rPr>
        <w:tab/>
        <w:t>Miscellaneous</w:t>
      </w:r>
      <w:r>
        <w:rPr>
          <w:sz w:val="24"/>
          <w:szCs w:val="24"/>
        </w:rPr>
        <w:tab/>
        <w:t>39</w:t>
      </w:r>
    </w:p>
    <w:p w:rsidR="00A733EC" w:rsidRPr="002A1B0E" w:rsidRDefault="00A733EC" w:rsidP="00F815F2">
      <w:pPr>
        <w:tabs>
          <w:tab w:val="left" w:pos="720"/>
          <w:tab w:val="left" w:pos="1440"/>
          <w:tab w:val="left" w:pos="2160"/>
          <w:tab w:val="right" w:leader="dot" w:pos="9360"/>
        </w:tabs>
        <w:rPr>
          <w:sz w:val="24"/>
          <w:szCs w:val="24"/>
        </w:rPr>
      </w:pPr>
    </w:p>
    <w:p w:rsidR="00F815F2" w:rsidRDefault="00F815F2" w:rsidP="00F815F2">
      <w:pPr>
        <w:tabs>
          <w:tab w:val="left" w:pos="720"/>
          <w:tab w:val="left" w:pos="1440"/>
          <w:tab w:val="left" w:pos="2160"/>
          <w:tab w:val="right" w:leader="dot" w:pos="9360"/>
        </w:tabs>
        <w:rPr>
          <w:sz w:val="24"/>
          <w:szCs w:val="24"/>
        </w:rPr>
      </w:pPr>
      <w:r w:rsidRPr="002A1B0E">
        <w:rPr>
          <w:sz w:val="24"/>
          <w:szCs w:val="24"/>
        </w:rPr>
        <w:t>V.</w:t>
      </w:r>
      <w:r w:rsidRPr="002A1B0E">
        <w:rPr>
          <w:sz w:val="24"/>
          <w:szCs w:val="24"/>
        </w:rPr>
        <w:tab/>
      </w:r>
      <w:r w:rsidR="00F515DF">
        <w:rPr>
          <w:sz w:val="24"/>
          <w:szCs w:val="24"/>
        </w:rPr>
        <w:t>STANDARDS AND FILINGS</w:t>
      </w:r>
      <w:r w:rsidRPr="002A1B0E">
        <w:rPr>
          <w:sz w:val="24"/>
          <w:szCs w:val="24"/>
        </w:rPr>
        <w:tab/>
      </w:r>
      <w:r w:rsidR="00F515DF">
        <w:rPr>
          <w:sz w:val="24"/>
          <w:szCs w:val="24"/>
        </w:rPr>
        <w:t>40</w:t>
      </w:r>
    </w:p>
    <w:p w:rsidR="00F515DF" w:rsidRDefault="00F515DF" w:rsidP="00F815F2">
      <w:pPr>
        <w:tabs>
          <w:tab w:val="left" w:pos="720"/>
          <w:tab w:val="left" w:pos="1440"/>
          <w:tab w:val="left" w:pos="2160"/>
          <w:tab w:val="right" w:leader="dot" w:pos="9360"/>
        </w:tabs>
        <w:rPr>
          <w:sz w:val="24"/>
          <w:szCs w:val="24"/>
        </w:rPr>
      </w:pPr>
    </w:p>
    <w:p w:rsidR="00F515DF" w:rsidRDefault="00F515DF" w:rsidP="00F815F2">
      <w:pPr>
        <w:tabs>
          <w:tab w:val="left" w:pos="720"/>
          <w:tab w:val="left" w:pos="1440"/>
          <w:tab w:val="left" w:pos="2160"/>
          <w:tab w:val="right" w:leader="dot" w:pos="9360"/>
        </w:tabs>
        <w:rPr>
          <w:sz w:val="24"/>
          <w:szCs w:val="24"/>
        </w:rPr>
      </w:pPr>
      <w:r>
        <w:rPr>
          <w:sz w:val="24"/>
          <w:szCs w:val="24"/>
        </w:rPr>
        <w:tab/>
        <w:t>A.</w:t>
      </w:r>
      <w:r>
        <w:rPr>
          <w:sz w:val="24"/>
          <w:szCs w:val="24"/>
        </w:rPr>
        <w:tab/>
        <w:t>Least Cost Fuel Procurement Policy – Reconciliation Period and Standards</w:t>
      </w:r>
      <w:r>
        <w:rPr>
          <w:sz w:val="24"/>
          <w:szCs w:val="24"/>
        </w:rPr>
        <w:tab/>
        <w:t>40</w:t>
      </w:r>
    </w:p>
    <w:p w:rsidR="00F515DF" w:rsidRDefault="00F515DF" w:rsidP="00F815F2">
      <w:pPr>
        <w:tabs>
          <w:tab w:val="left" w:pos="720"/>
          <w:tab w:val="left" w:pos="1440"/>
          <w:tab w:val="left" w:pos="2160"/>
          <w:tab w:val="right" w:leader="dot" w:pos="9360"/>
        </w:tabs>
        <w:rPr>
          <w:sz w:val="24"/>
          <w:szCs w:val="24"/>
        </w:rPr>
      </w:pPr>
    </w:p>
    <w:p w:rsidR="00F515DF" w:rsidRDefault="00F515DF" w:rsidP="00F815F2">
      <w:pPr>
        <w:tabs>
          <w:tab w:val="left" w:pos="720"/>
          <w:tab w:val="left" w:pos="1440"/>
          <w:tab w:val="left" w:pos="2160"/>
          <w:tab w:val="right" w:leader="dot" w:pos="9360"/>
        </w:tabs>
        <w:rPr>
          <w:sz w:val="24"/>
          <w:szCs w:val="24"/>
        </w:rPr>
      </w:pPr>
      <w:r>
        <w:rPr>
          <w:sz w:val="24"/>
          <w:szCs w:val="24"/>
        </w:rPr>
        <w:tab/>
        <w:t>B.</w:t>
      </w:r>
      <w:r>
        <w:rPr>
          <w:sz w:val="24"/>
          <w:szCs w:val="24"/>
        </w:rPr>
        <w:tab/>
        <w:t>Least Cost Fuel Procurement Policy – Projected Period</w:t>
      </w:r>
      <w:r>
        <w:rPr>
          <w:sz w:val="24"/>
          <w:szCs w:val="24"/>
        </w:rPr>
        <w:tab/>
        <w:t>40</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ab/>
        <w:t>C.</w:t>
      </w:r>
      <w:r>
        <w:rPr>
          <w:sz w:val="24"/>
          <w:szCs w:val="24"/>
        </w:rPr>
        <w:tab/>
        <w:t>Section 1318 Requirements</w:t>
      </w:r>
      <w:r>
        <w:rPr>
          <w:sz w:val="24"/>
          <w:szCs w:val="24"/>
        </w:rPr>
        <w:tab/>
        <w:t>41</w:t>
      </w:r>
    </w:p>
    <w:p w:rsidR="00C77527" w:rsidRDefault="00C77527" w:rsidP="00F815F2">
      <w:pPr>
        <w:tabs>
          <w:tab w:val="left" w:pos="720"/>
          <w:tab w:val="left" w:pos="1440"/>
          <w:tab w:val="left" w:pos="2160"/>
          <w:tab w:val="right" w:leader="dot" w:pos="9360"/>
        </w:tabs>
        <w:rPr>
          <w:sz w:val="24"/>
          <w:szCs w:val="24"/>
        </w:rPr>
      </w:pPr>
    </w:p>
    <w:p w:rsidR="00C77527" w:rsidRDefault="00C77527" w:rsidP="0096614B">
      <w:pPr>
        <w:tabs>
          <w:tab w:val="left" w:pos="720"/>
          <w:tab w:val="left" w:pos="1440"/>
          <w:tab w:val="left" w:pos="2160"/>
          <w:tab w:val="right" w:leader="dot" w:pos="9360"/>
        </w:tabs>
        <w:rPr>
          <w:sz w:val="24"/>
          <w:szCs w:val="24"/>
        </w:rPr>
      </w:pPr>
      <w:r>
        <w:rPr>
          <w:sz w:val="24"/>
          <w:szCs w:val="24"/>
        </w:rPr>
        <w:t>VI.</w:t>
      </w:r>
      <w:r>
        <w:rPr>
          <w:sz w:val="24"/>
          <w:szCs w:val="24"/>
        </w:rPr>
        <w:tab/>
        <w:t>CONDITIONS OF SETTLEMENT</w:t>
      </w:r>
      <w:r>
        <w:rPr>
          <w:sz w:val="24"/>
          <w:szCs w:val="24"/>
        </w:rPr>
        <w:tab/>
        <w:t>41</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VII.</w:t>
      </w:r>
      <w:r>
        <w:rPr>
          <w:sz w:val="24"/>
          <w:szCs w:val="24"/>
        </w:rPr>
        <w:tab/>
        <w:t>SUMMARY AND RECOMMENDATION</w:t>
      </w:r>
      <w:r>
        <w:rPr>
          <w:sz w:val="24"/>
          <w:szCs w:val="24"/>
        </w:rPr>
        <w:tab/>
        <w:t>43</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ab/>
        <w:t>A.</w:t>
      </w:r>
      <w:r>
        <w:rPr>
          <w:sz w:val="24"/>
          <w:szCs w:val="24"/>
        </w:rPr>
        <w:tab/>
        <w:t>Summary of Statutory Requirements</w:t>
      </w:r>
      <w:r>
        <w:rPr>
          <w:sz w:val="24"/>
          <w:szCs w:val="24"/>
        </w:rPr>
        <w:tab/>
        <w:t>43</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ab/>
        <w:t>B.</w:t>
      </w:r>
      <w:r>
        <w:rPr>
          <w:sz w:val="24"/>
          <w:szCs w:val="24"/>
        </w:rPr>
        <w:tab/>
        <w:t>Public Interest</w:t>
      </w:r>
      <w:r>
        <w:rPr>
          <w:sz w:val="24"/>
          <w:szCs w:val="24"/>
        </w:rPr>
        <w:tab/>
        <w:t>44</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ab/>
        <w:t>C.</w:t>
      </w:r>
      <w:r>
        <w:rPr>
          <w:sz w:val="24"/>
          <w:szCs w:val="24"/>
        </w:rPr>
        <w:tab/>
        <w:t>Conclusion</w:t>
      </w:r>
      <w:r>
        <w:rPr>
          <w:sz w:val="24"/>
          <w:szCs w:val="24"/>
        </w:rPr>
        <w:tab/>
        <w:t>50</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VIII.</w:t>
      </w:r>
      <w:r>
        <w:rPr>
          <w:sz w:val="24"/>
          <w:szCs w:val="24"/>
        </w:rPr>
        <w:tab/>
        <w:t>CONCLUSION</w:t>
      </w:r>
      <w:r>
        <w:rPr>
          <w:sz w:val="24"/>
          <w:szCs w:val="24"/>
        </w:rPr>
        <w:tab/>
        <w:t>50</w:t>
      </w:r>
    </w:p>
    <w:p w:rsidR="00C77527" w:rsidRDefault="00C77527" w:rsidP="00F815F2">
      <w:pPr>
        <w:tabs>
          <w:tab w:val="left" w:pos="720"/>
          <w:tab w:val="left" w:pos="1440"/>
          <w:tab w:val="left" w:pos="2160"/>
          <w:tab w:val="right" w:leader="dot" w:pos="9360"/>
        </w:tabs>
        <w:rPr>
          <w:sz w:val="24"/>
          <w:szCs w:val="24"/>
        </w:rPr>
      </w:pPr>
    </w:p>
    <w:p w:rsidR="00C77527" w:rsidRDefault="00C77527" w:rsidP="00F815F2">
      <w:pPr>
        <w:tabs>
          <w:tab w:val="left" w:pos="720"/>
          <w:tab w:val="left" w:pos="1440"/>
          <w:tab w:val="left" w:pos="2160"/>
          <w:tab w:val="right" w:leader="dot" w:pos="9360"/>
        </w:tabs>
        <w:rPr>
          <w:sz w:val="24"/>
          <w:szCs w:val="24"/>
        </w:rPr>
      </w:pPr>
      <w:r>
        <w:rPr>
          <w:sz w:val="24"/>
          <w:szCs w:val="24"/>
        </w:rPr>
        <w:t>IX.</w:t>
      </w:r>
      <w:r>
        <w:rPr>
          <w:sz w:val="24"/>
          <w:szCs w:val="24"/>
        </w:rPr>
        <w:tab/>
        <w:t>CONCLUSIONS OF LAW</w:t>
      </w:r>
      <w:r>
        <w:rPr>
          <w:sz w:val="24"/>
          <w:szCs w:val="24"/>
        </w:rPr>
        <w:tab/>
        <w:t>50</w:t>
      </w:r>
    </w:p>
    <w:p w:rsidR="00C77527" w:rsidRDefault="00C77527" w:rsidP="00F815F2">
      <w:pPr>
        <w:tabs>
          <w:tab w:val="left" w:pos="720"/>
          <w:tab w:val="left" w:pos="1440"/>
          <w:tab w:val="left" w:pos="2160"/>
          <w:tab w:val="right" w:leader="dot" w:pos="9360"/>
        </w:tabs>
        <w:rPr>
          <w:sz w:val="24"/>
          <w:szCs w:val="24"/>
        </w:rPr>
      </w:pPr>
    </w:p>
    <w:p w:rsidR="00C77527" w:rsidRDefault="00C77527" w:rsidP="00C77527">
      <w:pPr>
        <w:tabs>
          <w:tab w:val="left" w:pos="720"/>
          <w:tab w:val="left" w:pos="1440"/>
          <w:tab w:val="right" w:leader="dot" w:pos="9360"/>
        </w:tabs>
        <w:rPr>
          <w:sz w:val="24"/>
          <w:szCs w:val="24"/>
        </w:rPr>
      </w:pPr>
      <w:r>
        <w:rPr>
          <w:sz w:val="24"/>
          <w:szCs w:val="24"/>
        </w:rPr>
        <w:t>X.</w:t>
      </w:r>
      <w:r>
        <w:rPr>
          <w:sz w:val="24"/>
          <w:szCs w:val="24"/>
        </w:rPr>
        <w:tab/>
        <w:t>ORDER</w:t>
      </w:r>
      <w:r>
        <w:rPr>
          <w:sz w:val="24"/>
          <w:szCs w:val="24"/>
        </w:rPr>
        <w:tab/>
        <w:t>52</w:t>
      </w:r>
    </w:p>
    <w:p w:rsidR="00C77527" w:rsidRDefault="00C77527" w:rsidP="00C77527">
      <w:pPr>
        <w:tabs>
          <w:tab w:val="left" w:pos="720"/>
          <w:tab w:val="left" w:pos="1440"/>
          <w:tab w:val="left" w:pos="2160"/>
          <w:tab w:val="left" w:pos="2880"/>
          <w:tab w:val="right" w:leader="dot" w:pos="9360"/>
        </w:tabs>
        <w:rPr>
          <w:sz w:val="24"/>
          <w:szCs w:val="24"/>
        </w:rPr>
      </w:pPr>
    </w:p>
    <w:p w:rsidR="00F515DF" w:rsidRDefault="00F515DF">
      <w:pPr>
        <w:spacing w:after="200" w:line="276" w:lineRule="auto"/>
        <w:rPr>
          <w:sz w:val="24"/>
          <w:szCs w:val="24"/>
        </w:rPr>
      </w:pPr>
      <w:r>
        <w:rPr>
          <w:sz w:val="24"/>
          <w:szCs w:val="24"/>
        </w:rPr>
        <w:br w:type="page"/>
      </w:r>
    </w:p>
    <w:p w:rsidR="00F815F2" w:rsidRDefault="00F815F2" w:rsidP="00CD5C18">
      <w:pPr>
        <w:pStyle w:val="ListParagraph"/>
        <w:numPr>
          <w:ilvl w:val="0"/>
          <w:numId w:val="3"/>
        </w:numPr>
        <w:spacing w:line="360" w:lineRule="auto"/>
        <w:jc w:val="center"/>
        <w:rPr>
          <w:sz w:val="24"/>
          <w:szCs w:val="24"/>
          <w:u w:val="single"/>
        </w:rPr>
        <w:sectPr w:rsidR="00F815F2">
          <w:footerReference w:type="even" r:id="rId11"/>
          <w:footerReference w:type="default" r:id="rId12"/>
          <w:footerReference w:type="first" r:id="rId13"/>
          <w:pgSz w:w="12240" w:h="15840"/>
          <w:pgMar w:top="1440" w:right="1440" w:bottom="1440" w:left="1440" w:header="720" w:footer="720" w:gutter="0"/>
          <w:cols w:space="720"/>
          <w:docGrid w:linePitch="360"/>
        </w:sectPr>
      </w:pPr>
    </w:p>
    <w:p w:rsidR="00CD5C18" w:rsidRPr="00D55CA6" w:rsidRDefault="00CD5C18" w:rsidP="00506D94">
      <w:pPr>
        <w:pStyle w:val="ListParagraph"/>
        <w:numPr>
          <w:ilvl w:val="0"/>
          <w:numId w:val="3"/>
        </w:numPr>
        <w:spacing w:line="360" w:lineRule="auto"/>
        <w:ind w:left="0" w:firstLine="0"/>
        <w:jc w:val="center"/>
        <w:rPr>
          <w:sz w:val="24"/>
          <w:szCs w:val="24"/>
          <w:u w:val="single"/>
        </w:rPr>
      </w:pPr>
      <w:r w:rsidRPr="00D55CA6">
        <w:rPr>
          <w:sz w:val="24"/>
          <w:szCs w:val="24"/>
          <w:u w:val="single"/>
        </w:rPr>
        <w:lastRenderedPageBreak/>
        <w:t>HISTORY OF THE PROCEEDINGS</w:t>
      </w:r>
    </w:p>
    <w:p w:rsidR="00CD5C18" w:rsidRPr="00D55CA6" w:rsidRDefault="00CD5C18" w:rsidP="00EF042F">
      <w:pPr>
        <w:pStyle w:val="ListParagraph"/>
        <w:spacing w:line="360" w:lineRule="auto"/>
        <w:ind w:left="1080"/>
        <w:rPr>
          <w:sz w:val="24"/>
          <w:szCs w:val="24"/>
          <w:u w:val="single"/>
        </w:rPr>
      </w:pPr>
    </w:p>
    <w:p w:rsidR="00CD5C18" w:rsidRDefault="00CD5C18" w:rsidP="00EF042F">
      <w:pPr>
        <w:pStyle w:val="ListNumber"/>
        <w:numPr>
          <w:ilvl w:val="0"/>
          <w:numId w:val="0"/>
        </w:numPr>
        <w:spacing w:line="360" w:lineRule="auto"/>
      </w:pPr>
      <w:r>
        <w:tab/>
      </w:r>
      <w:r>
        <w:tab/>
        <w:t>Peoples Natural Gas Company LLC (Peoples), acting on behalf of its Peoples Division (Peoples Division) and its Equitable Division (Peoples-Equitable Division)</w:t>
      </w:r>
      <w:r w:rsidRPr="00E10884">
        <w:t xml:space="preserve"> </w:t>
      </w:r>
      <w:r>
        <w:t>(collectively, the Company</w:t>
      </w:r>
      <w:r w:rsidR="0016585C">
        <w:t xml:space="preserve">, </w:t>
      </w:r>
      <w:r>
        <w:t>Companies</w:t>
      </w:r>
      <w:r w:rsidR="0016585C">
        <w:t xml:space="preserve"> or Peoples</w:t>
      </w:r>
      <w:r>
        <w:t xml:space="preserve">), </w:t>
      </w:r>
      <w:r w:rsidRPr="0056586C">
        <w:t xml:space="preserve">is a limited liability company formed under the laws of the Commonwealth of Pennsylvania for the purpose of providing natural gas transmission, distribution, and supplier of last resort services subject to the Commission’s regulatory jurisdiction.  </w:t>
      </w:r>
      <w:r>
        <w:t>Peoples also is an affiliate of Peoples TWP LLC (Peoples TWP).</w:t>
      </w:r>
    </w:p>
    <w:p w:rsidR="00603994" w:rsidRDefault="00603994" w:rsidP="00EF042F">
      <w:pPr>
        <w:pStyle w:val="ListNumber"/>
        <w:numPr>
          <w:ilvl w:val="0"/>
          <w:numId w:val="0"/>
        </w:numPr>
        <w:spacing w:line="360" w:lineRule="auto"/>
      </w:pPr>
    </w:p>
    <w:p w:rsidR="00CD5C18" w:rsidRDefault="00CD5C18" w:rsidP="00EF042F">
      <w:pPr>
        <w:pStyle w:val="ListNumber"/>
        <w:numPr>
          <w:ilvl w:val="0"/>
          <w:numId w:val="0"/>
        </w:numPr>
        <w:spacing w:line="360" w:lineRule="auto"/>
        <w:ind w:firstLine="720"/>
      </w:pPr>
      <w:r>
        <w:t xml:space="preserve">            Peoples is a public utility and a natural gas distribution company.  The Peoples Division provides retail natural gas sales and transportation services to approximately 360,000 customers throughout its service territory, which includes all or portions of the following Pennsylvania counties:</w:t>
      </w:r>
      <w:r w:rsidR="003B71CF">
        <w:t xml:space="preserve"> </w:t>
      </w:r>
      <w:r>
        <w:t xml:space="preserve"> </w:t>
      </w:r>
      <w:r w:rsidRPr="002F41E3">
        <w:t>Allegheny, Armstrong, Beaver, Blair, Butler, Cambria, Clarion, Fayette, Greene, Indiana, Lawrence, Mercer, Somerset, Venango, Washington, and Westmoreland</w:t>
      </w:r>
      <w:r>
        <w:t>.  (Joint Petition, p. 3.)</w:t>
      </w:r>
    </w:p>
    <w:p w:rsidR="00603994" w:rsidRDefault="00603994" w:rsidP="00EF042F">
      <w:pPr>
        <w:pStyle w:val="ListNumber"/>
        <w:numPr>
          <w:ilvl w:val="0"/>
          <w:numId w:val="0"/>
        </w:numPr>
        <w:spacing w:line="360" w:lineRule="auto"/>
        <w:ind w:firstLine="720"/>
      </w:pPr>
    </w:p>
    <w:p w:rsidR="00CD5C18" w:rsidRDefault="00CD5C18" w:rsidP="00EF042F">
      <w:pPr>
        <w:pStyle w:val="ListNumber"/>
        <w:numPr>
          <w:ilvl w:val="0"/>
          <w:numId w:val="0"/>
        </w:numPr>
        <w:spacing w:line="360" w:lineRule="auto"/>
        <w:ind w:firstLine="720"/>
      </w:pPr>
      <w:r>
        <w:t xml:space="preserve">            Peoples-Equitable Division provides retail natural gas sales and transportation services to approximately 270,000 customers throughout its service territory, which includes all or portions of the following Pennsylvania counties:  Allegheny, </w:t>
      </w:r>
      <w:r w:rsidRPr="00E10D59">
        <w:t xml:space="preserve">Armstrong, Beaver, Butler, Clarion, </w:t>
      </w:r>
      <w:r>
        <w:t xml:space="preserve">Fayette, </w:t>
      </w:r>
      <w:r w:rsidRPr="00E10D59">
        <w:t>Greene, Indiana, Jefferson, Washington, and Westmoreland</w:t>
      </w:r>
      <w:r>
        <w:t>.  (Joint Petition, p.</w:t>
      </w:r>
      <w:r w:rsidR="00603994">
        <w:t> </w:t>
      </w:r>
      <w:r>
        <w:t>3.)</w:t>
      </w:r>
    </w:p>
    <w:p w:rsidR="00CD5C18" w:rsidRDefault="00CD5C18" w:rsidP="00EF042F">
      <w:pPr>
        <w:pStyle w:val="ListNumber"/>
        <w:numPr>
          <w:ilvl w:val="0"/>
          <w:numId w:val="0"/>
        </w:numPr>
        <w:spacing w:line="360" w:lineRule="auto"/>
        <w:ind w:firstLine="720"/>
      </w:pPr>
    </w:p>
    <w:p w:rsidR="00CD5C18" w:rsidRDefault="00CD5C18" w:rsidP="00EF042F">
      <w:pPr>
        <w:pStyle w:val="BodyText2"/>
        <w:spacing w:after="0" w:line="360" w:lineRule="auto"/>
        <w:ind w:firstLine="720"/>
      </w:pPr>
      <w:r>
        <w:t xml:space="preserve">            On January 30, 2015, Peoples Division and Peoples-Equitable Division made</w:t>
      </w:r>
      <w:r w:rsidR="0058680A">
        <w:t xml:space="preserve"> their purchased gas costs</w:t>
      </w:r>
      <w:r>
        <w:t xml:space="preserve"> </w:t>
      </w:r>
      <w:r w:rsidR="0058680A">
        <w:t>(</w:t>
      </w:r>
      <w:r>
        <w:t>PGC</w:t>
      </w:r>
      <w:r w:rsidR="0058680A">
        <w:t>)</w:t>
      </w:r>
      <w:r>
        <w:t xml:space="preserve"> 60-day pre-filings with the Commission, pursuant to Section 1307(f) of the Public Utility Code, 66 </w:t>
      </w:r>
      <w:proofErr w:type="spellStart"/>
      <w:r>
        <w:t>Pa.C.S</w:t>
      </w:r>
      <w:proofErr w:type="spellEnd"/>
      <w:r>
        <w:t xml:space="preserve">. § 1307(f), and the Commission’s regulations at 52 </w:t>
      </w:r>
      <w:proofErr w:type="spellStart"/>
      <w:r>
        <w:t>Pa.Code</w:t>
      </w:r>
      <w:proofErr w:type="spellEnd"/>
      <w:r>
        <w:t xml:space="preserve"> § 53.65.</w:t>
      </w:r>
    </w:p>
    <w:p w:rsidR="00CD5C18" w:rsidRDefault="00CD5C18" w:rsidP="00EF042F">
      <w:pPr>
        <w:pStyle w:val="BodyText2"/>
        <w:spacing w:after="0" w:line="360" w:lineRule="auto"/>
        <w:ind w:firstLine="720"/>
      </w:pPr>
    </w:p>
    <w:p w:rsidR="00CD5C18" w:rsidRDefault="00CD5C18" w:rsidP="00EF042F">
      <w:pPr>
        <w:pStyle w:val="BodyText2"/>
        <w:spacing w:after="0" w:line="360" w:lineRule="auto"/>
        <w:ind w:firstLine="720"/>
      </w:pPr>
      <w:r>
        <w:t xml:space="preserve">            On March 2, 2015, Peoples Division and Peoples-Equitable Division made their PGC 30-day pre-filings with the Commission in compliance with Section 1307(f) of the Public Utility Code, 66 </w:t>
      </w:r>
      <w:proofErr w:type="spellStart"/>
      <w:r>
        <w:t>Pa.C.S</w:t>
      </w:r>
      <w:proofErr w:type="spellEnd"/>
      <w:r>
        <w:t xml:space="preserve">. § 1307(f), and the Commission’s regulations at 52 </w:t>
      </w:r>
      <w:proofErr w:type="spellStart"/>
      <w:r>
        <w:t>Pa.Code</w:t>
      </w:r>
      <w:proofErr w:type="spellEnd"/>
      <w:r>
        <w:t xml:space="preserve"> §§ 53.64-53.65. </w:t>
      </w:r>
    </w:p>
    <w:p w:rsidR="00CD5C18" w:rsidRPr="0092153C" w:rsidRDefault="00CD5C18" w:rsidP="005657C6">
      <w:pPr>
        <w:pStyle w:val="BodyText2"/>
        <w:spacing w:after="0" w:line="360" w:lineRule="auto"/>
        <w:ind w:firstLine="720"/>
      </w:pPr>
      <w:r>
        <w:lastRenderedPageBreak/>
        <w:t xml:space="preserve"> </w:t>
      </w:r>
      <w:r w:rsidRPr="0092153C">
        <w:tab/>
        <w:t xml:space="preserve">The Commission instituted an investigation to determine the lawfulness, justness and reasonableness of the rates proposed in the Section 1307(f) filing and to satisfy the requirements of Sections 1307, 1317 and 1318 of the Public Utility Code (at 66 </w:t>
      </w:r>
      <w:proofErr w:type="spellStart"/>
      <w:r w:rsidRPr="0092153C">
        <w:t>Pa.C.S.A</w:t>
      </w:r>
      <w:proofErr w:type="spellEnd"/>
      <w:r w:rsidRPr="0092153C">
        <w:t xml:space="preserve">. § 1307(f); § 1317 and § 1318), in connection with the Company’s 2015 Purchased Gas Cost filing for the period ending September 30, 2015.  </w:t>
      </w:r>
      <w:r w:rsidR="0016585C">
        <w:t xml:space="preserve">Peoples Division’s filing proposed a PGC </w:t>
      </w:r>
      <w:r w:rsidR="0064329F">
        <w:t xml:space="preserve">sales </w:t>
      </w:r>
      <w:r w:rsidR="0016585C">
        <w:t xml:space="preserve">rate of </w:t>
      </w:r>
      <w:r w:rsidR="0064329F">
        <w:t>$</w:t>
      </w:r>
      <w:r w:rsidR="0016585C">
        <w:t xml:space="preserve">3.9702 </w:t>
      </w:r>
      <w:proofErr w:type="spellStart"/>
      <w:r w:rsidR="0016585C">
        <w:t>Mcf</w:t>
      </w:r>
      <w:proofErr w:type="spellEnd"/>
      <w:r w:rsidR="0016585C">
        <w:t xml:space="preserve"> for residential customers</w:t>
      </w:r>
      <w:r w:rsidR="00D42E9E">
        <w:t xml:space="preserve"> which would have resulted in an average monthly bill of $72.60</w:t>
      </w:r>
      <w:r w:rsidR="0016585C">
        <w:t xml:space="preserve">.  </w:t>
      </w:r>
      <w:r w:rsidRPr="0092153C">
        <w:t>Peoples-</w:t>
      </w:r>
      <w:proofErr w:type="spellStart"/>
      <w:r w:rsidRPr="0092153C">
        <w:t>Equitable’s</w:t>
      </w:r>
      <w:proofErr w:type="spellEnd"/>
      <w:r w:rsidRPr="0092153C">
        <w:t xml:space="preserve"> filing proposed a PGC </w:t>
      </w:r>
      <w:r w:rsidR="0064329F">
        <w:t xml:space="preserve">sales </w:t>
      </w:r>
      <w:r w:rsidRPr="0092153C">
        <w:t>rate of $</w:t>
      </w:r>
      <w:r w:rsidR="0016585C">
        <w:t xml:space="preserve">4.3900 </w:t>
      </w:r>
      <w:r w:rsidRPr="0092153C">
        <w:t xml:space="preserve">per </w:t>
      </w:r>
      <w:proofErr w:type="spellStart"/>
      <w:r w:rsidRPr="0092153C">
        <w:t>Mcf</w:t>
      </w:r>
      <w:proofErr w:type="spellEnd"/>
      <w:r w:rsidRPr="0092153C">
        <w:t xml:space="preserve">, </w:t>
      </w:r>
      <w:r w:rsidR="0016585C">
        <w:t xml:space="preserve">for residential customers </w:t>
      </w:r>
      <w:r w:rsidR="00D42E9E">
        <w:t>which would have resulted in an average monthly bill of $79.91.</w:t>
      </w:r>
      <w:r w:rsidR="006F703C">
        <w:t xml:space="preserve"> Additional rate changes were proposed</w:t>
      </w:r>
      <w:r w:rsidR="00D42E9E">
        <w:t xml:space="preserve"> with an effective date of October 1, 2015</w:t>
      </w:r>
      <w:r w:rsidR="0016585C">
        <w:t xml:space="preserve">.  </w:t>
      </w:r>
      <w:r w:rsidR="0064329F">
        <w:t xml:space="preserve">The Parties have agreed to a Blended PGC Sales Rate for residential customers for Peoples Division and Peoples-Equitable of $4.1114 </w:t>
      </w:r>
      <w:proofErr w:type="spellStart"/>
      <w:r w:rsidR="0064329F">
        <w:t>Mcf</w:t>
      </w:r>
      <w:proofErr w:type="spellEnd"/>
      <w:r w:rsidR="0064329F">
        <w:t>.</w:t>
      </w:r>
      <w:r w:rsidR="0016585C">
        <w:t xml:space="preserve"> </w:t>
      </w:r>
      <w:r w:rsidRPr="0092153C">
        <w:t xml:space="preserve"> </w:t>
      </w:r>
      <w:r w:rsidR="0064329F">
        <w:t>As a result of the Settlement, the average monthly bill for Peoples Division residential customers is projected to increase by $1.17</w:t>
      </w:r>
      <w:r w:rsidR="002C71F3">
        <w:t>.</w:t>
      </w:r>
      <w:r w:rsidR="0064329F">
        <w:t xml:space="preserve">  The average monthly bill for Peoples-Equitable residential customers is projected to decrease by $2.17</w:t>
      </w:r>
      <w:r w:rsidR="005D6D38">
        <w:t xml:space="preserve">. </w:t>
      </w:r>
      <w:r w:rsidR="002C71F3">
        <w:t xml:space="preserve"> </w:t>
      </w:r>
      <w:proofErr w:type="gramStart"/>
      <w:r w:rsidR="002C71F3">
        <w:t>(Joint Petition, Appendix C</w:t>
      </w:r>
      <w:r w:rsidR="009D2C19">
        <w:t>.</w:t>
      </w:r>
      <w:r w:rsidR="002C71F3">
        <w:t>)</w:t>
      </w:r>
      <w:proofErr w:type="gramEnd"/>
      <w:r w:rsidR="0064329F">
        <w:t xml:space="preserve">  </w:t>
      </w:r>
      <w:r w:rsidRPr="0092153C">
        <w:t xml:space="preserve">The last public meeting date prior to October 1, 2015 is September 17, 2015.  </w:t>
      </w:r>
    </w:p>
    <w:p w:rsidR="00CD5C18" w:rsidRDefault="00CD5C18" w:rsidP="004A53F4">
      <w:pPr>
        <w:pStyle w:val="BodyText2"/>
        <w:spacing w:after="0" w:line="360" w:lineRule="auto"/>
        <w:ind w:firstLine="720"/>
        <w:jc w:val="both"/>
      </w:pPr>
    </w:p>
    <w:p w:rsidR="00CD5C18" w:rsidRDefault="00CD5C18" w:rsidP="00CD5C18">
      <w:pPr>
        <w:pStyle w:val="BodyText2"/>
        <w:tabs>
          <w:tab w:val="left" w:pos="1440"/>
        </w:tabs>
        <w:spacing w:line="360" w:lineRule="auto"/>
      </w:pPr>
      <w:r>
        <w:tab/>
      </w:r>
      <w:r w:rsidRPr="00195274">
        <w:t>On March 1</w:t>
      </w:r>
      <w:r>
        <w:t>2, 2015</w:t>
      </w:r>
      <w:r w:rsidRPr="00195274">
        <w:t xml:space="preserve">, the Commission’s Bureau of Investigation and Enforcement (I&amp;E) </w:t>
      </w:r>
      <w:r>
        <w:t xml:space="preserve">and the Office of Small Business Advocate (OSBA) </w:t>
      </w:r>
      <w:r w:rsidRPr="00195274">
        <w:t>filed Notice</w:t>
      </w:r>
      <w:r>
        <w:t>s</w:t>
      </w:r>
      <w:r w:rsidRPr="00195274">
        <w:t xml:space="preserve"> of Appearance at Docket No</w:t>
      </w:r>
      <w:r>
        <w:t>s</w:t>
      </w:r>
      <w:r w:rsidRPr="00195274">
        <w:t>. R-2015-2465172 and R-2015-2465181.</w:t>
      </w:r>
      <w:r>
        <w:t xml:space="preserve">  </w:t>
      </w:r>
    </w:p>
    <w:p w:rsidR="00CD5C18" w:rsidRDefault="00CD5C18" w:rsidP="004A53F4">
      <w:pPr>
        <w:pStyle w:val="BodyText2"/>
        <w:spacing w:after="0" w:line="360" w:lineRule="auto"/>
      </w:pPr>
    </w:p>
    <w:p w:rsidR="00CD5C18" w:rsidRDefault="00CD5C18" w:rsidP="00CD5C18">
      <w:pPr>
        <w:pStyle w:val="BodyText2"/>
        <w:tabs>
          <w:tab w:val="left" w:pos="1440"/>
        </w:tabs>
        <w:spacing w:line="360" w:lineRule="auto"/>
      </w:pPr>
      <w:r>
        <w:tab/>
        <w:t xml:space="preserve">On March 17, 2015, OSBA filed a Complaint at Docket No. </w:t>
      </w:r>
      <w:proofErr w:type="gramStart"/>
      <w:r>
        <w:t>C-2015-24722</w:t>
      </w:r>
      <w:r w:rsidR="00A45955">
        <w:t>57</w:t>
      </w:r>
      <w:r>
        <w:t>, regarding the Peoples Division filing at Docket No.</w:t>
      </w:r>
      <w:proofErr w:type="gramEnd"/>
      <w:r>
        <w:t xml:space="preserve"> R-2015-2465172, and at Docket No. C</w:t>
      </w:r>
      <w:r w:rsidR="000C01FC">
        <w:noBreakHyphen/>
      </w:r>
      <w:r>
        <w:t>2015-24722</w:t>
      </w:r>
      <w:r w:rsidR="00A45955">
        <w:t>71</w:t>
      </w:r>
      <w:r>
        <w:t xml:space="preserve">, regarding the Peoples-Equitable Division filing at Docket No. </w:t>
      </w:r>
      <w:r w:rsidRPr="00A7051C">
        <w:t>R-2015-2465181</w:t>
      </w:r>
      <w:r>
        <w:t>.</w:t>
      </w:r>
    </w:p>
    <w:p w:rsidR="00CD5C18" w:rsidRDefault="00CD5C18" w:rsidP="004A53F4">
      <w:pPr>
        <w:pStyle w:val="BodyText2"/>
        <w:spacing w:after="0" w:line="360" w:lineRule="auto"/>
      </w:pPr>
    </w:p>
    <w:p w:rsidR="00CD5C18" w:rsidRDefault="00CD5C18" w:rsidP="004A53F4">
      <w:pPr>
        <w:pStyle w:val="BodyText2"/>
        <w:tabs>
          <w:tab w:val="left" w:pos="1440"/>
        </w:tabs>
        <w:spacing w:after="0" w:line="360" w:lineRule="auto"/>
      </w:pPr>
      <w:r>
        <w:tab/>
      </w:r>
      <w:r w:rsidRPr="00A7051C">
        <w:t>On March 18, 2015, the Office of Consumer Advocate (OCA) filed Notice</w:t>
      </w:r>
      <w:r>
        <w:t>s</w:t>
      </w:r>
      <w:r w:rsidRPr="00A7051C">
        <w:t xml:space="preserve"> of Appearance at Docket No</w:t>
      </w:r>
      <w:r>
        <w:t>s</w:t>
      </w:r>
      <w:r w:rsidRPr="00A7051C">
        <w:t>. R-2015-2465172 and</w:t>
      </w:r>
      <w:r>
        <w:t xml:space="preserve"> </w:t>
      </w:r>
      <w:r w:rsidRPr="00A7051C">
        <w:t>R-2015-2465181.</w:t>
      </w:r>
      <w:r>
        <w:t xml:space="preserve">  On March 19, 2015, OCA filed a Complaint at Docket N</w:t>
      </w:r>
      <w:r w:rsidR="00A45955">
        <w:t>o.</w:t>
      </w:r>
      <w:r>
        <w:t xml:space="preserve"> C-2015-2472614 regarding the Peoples Division filing at Docket No. R-2015-2465172.  On March 20, 2015, OCA filed a Complaint at Docket N</w:t>
      </w:r>
      <w:r w:rsidR="00A45955">
        <w:t>o.</w:t>
      </w:r>
      <w:r>
        <w:t xml:space="preserve"> C</w:t>
      </w:r>
      <w:r w:rsidR="00A45955">
        <w:noBreakHyphen/>
      </w:r>
      <w:r>
        <w:t xml:space="preserve">2015-2472826, regarding the Peoples-Equitable Division filing at Docket No. </w:t>
      </w:r>
      <w:r w:rsidRPr="00A7051C">
        <w:t>R-2015-2465181</w:t>
      </w:r>
      <w:r>
        <w:t>.</w:t>
      </w:r>
    </w:p>
    <w:p w:rsidR="00CD5C18" w:rsidRDefault="00CD5C18" w:rsidP="004A53F4">
      <w:pPr>
        <w:pStyle w:val="BodyText2"/>
        <w:tabs>
          <w:tab w:val="left" w:pos="1440"/>
        </w:tabs>
        <w:spacing w:after="0" w:line="360" w:lineRule="auto"/>
      </w:pPr>
    </w:p>
    <w:p w:rsidR="00CD5C18" w:rsidRDefault="00CD5C18" w:rsidP="004A53F4">
      <w:pPr>
        <w:pStyle w:val="BodyText2"/>
        <w:tabs>
          <w:tab w:val="left" w:pos="1440"/>
        </w:tabs>
        <w:spacing w:after="0" w:line="360" w:lineRule="auto"/>
      </w:pPr>
      <w:r>
        <w:lastRenderedPageBreak/>
        <w:tab/>
        <w:t>On March 20, 2015, the Peoples Division filed a Notice of Appearance at Docket No. R-2015-2465172, and the Peoples-Equitable Division filed a Notice of Appearance at Docket No. R-2015-2465181.</w:t>
      </w:r>
    </w:p>
    <w:p w:rsidR="00CD5C18" w:rsidRPr="00A7051C" w:rsidRDefault="00CD5C18" w:rsidP="004A53F4">
      <w:pPr>
        <w:pStyle w:val="BodyText2"/>
        <w:spacing w:after="0" w:line="360" w:lineRule="auto"/>
      </w:pPr>
    </w:p>
    <w:p w:rsidR="00CD5C18" w:rsidRDefault="00CD5C18" w:rsidP="004A53F4">
      <w:pPr>
        <w:tabs>
          <w:tab w:val="left" w:pos="1440"/>
        </w:tabs>
        <w:spacing w:line="360" w:lineRule="auto"/>
        <w:ind w:firstLine="720"/>
        <w:rPr>
          <w:sz w:val="24"/>
          <w:szCs w:val="24"/>
        </w:rPr>
      </w:pPr>
      <w:r>
        <w:rPr>
          <w:sz w:val="24"/>
          <w:szCs w:val="24"/>
        </w:rPr>
        <w:tab/>
      </w:r>
      <w:r w:rsidRPr="006E6283">
        <w:rPr>
          <w:sz w:val="24"/>
          <w:szCs w:val="24"/>
        </w:rPr>
        <w:t>On April 1, 2015,</w:t>
      </w:r>
      <w:r>
        <w:rPr>
          <w:sz w:val="24"/>
          <w:szCs w:val="24"/>
        </w:rPr>
        <w:t xml:space="preserve"> the </w:t>
      </w:r>
      <w:r w:rsidRPr="006E6283">
        <w:rPr>
          <w:sz w:val="24"/>
          <w:szCs w:val="24"/>
        </w:rPr>
        <w:t>Peoples</w:t>
      </w:r>
      <w:r>
        <w:rPr>
          <w:sz w:val="24"/>
          <w:szCs w:val="24"/>
        </w:rPr>
        <w:t xml:space="preserve"> Division</w:t>
      </w:r>
      <w:r w:rsidRPr="006E6283">
        <w:rPr>
          <w:sz w:val="24"/>
          <w:szCs w:val="24"/>
        </w:rPr>
        <w:t xml:space="preserve"> and</w:t>
      </w:r>
      <w:r>
        <w:rPr>
          <w:sz w:val="24"/>
          <w:szCs w:val="24"/>
        </w:rPr>
        <w:t xml:space="preserve"> the</w:t>
      </w:r>
      <w:r w:rsidRPr="006E6283">
        <w:rPr>
          <w:sz w:val="24"/>
          <w:szCs w:val="24"/>
        </w:rPr>
        <w:t xml:space="preserve"> Peoples-Equitable Division filed with the Commission their definitive PGC filings, including supporting information pursuant to the Commission’s regulations, the Companies’ direct testimony, exhibits, and Pro Forma Tariff Supplements reflecting actual and projected changes in natural gas costs and other tariff changes.  </w:t>
      </w:r>
    </w:p>
    <w:p w:rsidR="00CD5C18" w:rsidRDefault="00CD5C18" w:rsidP="004A53F4">
      <w:pPr>
        <w:spacing w:line="360" w:lineRule="auto"/>
        <w:ind w:firstLine="720"/>
      </w:pPr>
    </w:p>
    <w:p w:rsidR="00CD5C18" w:rsidRDefault="00CD5C18" w:rsidP="004A53F4">
      <w:pPr>
        <w:pStyle w:val="BodyText2"/>
        <w:tabs>
          <w:tab w:val="left" w:pos="1440"/>
        </w:tabs>
        <w:spacing w:after="0" w:line="360" w:lineRule="auto"/>
      </w:pPr>
      <w:r>
        <w:tab/>
        <w:t>On April 6, 2015, Dominion Retail, Inc. d/b/a Dominion Energy Solutions (DES) filed a Petition to Intervene at Docket Nos. R-2015-2465172 and R-2015-2465181.</w:t>
      </w:r>
    </w:p>
    <w:p w:rsidR="00CD5C18" w:rsidRDefault="00CD5C18" w:rsidP="004A53F4">
      <w:pPr>
        <w:pStyle w:val="BodyText2"/>
        <w:spacing w:after="0" w:line="360" w:lineRule="auto"/>
      </w:pPr>
    </w:p>
    <w:p w:rsidR="00CD5C18" w:rsidRDefault="00CD5C18" w:rsidP="004A53F4">
      <w:pPr>
        <w:pStyle w:val="BodyText2"/>
        <w:tabs>
          <w:tab w:val="left" w:pos="1440"/>
        </w:tabs>
        <w:spacing w:after="0" w:line="360" w:lineRule="auto"/>
      </w:pPr>
      <w:r>
        <w:tab/>
      </w:r>
      <w:r w:rsidRPr="00E02D96">
        <w:t>By Prehearing Conference Order dated April 9, 2015, the Peoples</w:t>
      </w:r>
      <w:r>
        <w:t xml:space="preserve"> Division</w:t>
      </w:r>
      <w:r w:rsidRPr="00E02D96">
        <w:t>, Peoples–Equitable</w:t>
      </w:r>
      <w:r>
        <w:t xml:space="preserve"> Division</w:t>
      </w:r>
      <w:r w:rsidRPr="00E02D96">
        <w:t xml:space="preserve">, OCA, OSBA, I&amp;E and DES were notified that the proceeding was assigned to the undersigned Administrative Law Judge (ALJ) for a telephonic Prehearing Conference conducted from the Commission’s Pittsburgh Hearing Room on April 17,  2015, at 9:00 a.m.  In accordance with the regulations pertaining to prehearing conferences, 52 </w:t>
      </w:r>
      <w:proofErr w:type="spellStart"/>
      <w:r w:rsidRPr="00E02D96">
        <w:t>Pa.Code</w:t>
      </w:r>
      <w:proofErr w:type="spellEnd"/>
      <w:r w:rsidRPr="00E02D96">
        <w:t xml:space="preserve"> §§ 5.221-5.224, the parties were directed to file their prehearing memorandums on or before April 16, 2015.  </w:t>
      </w:r>
    </w:p>
    <w:p w:rsidR="00CD5C18" w:rsidRDefault="00CD5C18" w:rsidP="004A53F4">
      <w:pPr>
        <w:pStyle w:val="BodyText2"/>
        <w:tabs>
          <w:tab w:val="left" w:pos="1440"/>
        </w:tabs>
        <w:spacing w:after="0" w:line="360" w:lineRule="auto"/>
      </w:pPr>
    </w:p>
    <w:p w:rsidR="00CD5C18" w:rsidRPr="0092153C" w:rsidRDefault="00CD5C18" w:rsidP="004A53F4">
      <w:pPr>
        <w:tabs>
          <w:tab w:val="left" w:pos="1440"/>
        </w:tabs>
        <w:spacing w:line="360" w:lineRule="auto"/>
        <w:ind w:firstLine="720"/>
        <w:rPr>
          <w:sz w:val="24"/>
          <w:szCs w:val="24"/>
        </w:rPr>
      </w:pPr>
      <w:r>
        <w:tab/>
      </w:r>
      <w:r w:rsidRPr="0092153C">
        <w:rPr>
          <w:sz w:val="24"/>
          <w:szCs w:val="24"/>
        </w:rPr>
        <w:t>A prehearing conference was held on April 17, 2015.  Prehearing conference memoranda were submitted by Peoples on behalf of both Divisions, and by I&amp;E, OCA, OSBA, DES, and</w:t>
      </w:r>
      <w:r w:rsidR="004B48DF">
        <w:rPr>
          <w:sz w:val="24"/>
          <w:szCs w:val="24"/>
        </w:rPr>
        <w:t xml:space="preserve"> the Pennsylvania Independent Oil and Gas Association (</w:t>
      </w:r>
      <w:r w:rsidRPr="0092153C">
        <w:rPr>
          <w:sz w:val="24"/>
          <w:szCs w:val="24"/>
        </w:rPr>
        <w:t>PIOGA</w:t>
      </w:r>
      <w:r w:rsidR="004B48DF">
        <w:rPr>
          <w:sz w:val="24"/>
          <w:szCs w:val="24"/>
        </w:rPr>
        <w:t>)</w:t>
      </w:r>
      <w:r w:rsidRPr="0092153C">
        <w:rPr>
          <w:sz w:val="24"/>
          <w:szCs w:val="24"/>
        </w:rPr>
        <w:t>.  A litigation schedule and discovery rule modifications were established and subsequently memorialized in the undersigned ALJ’s Prehearing Order, dated April 27, 2015.  The Prehearing Order also:</w:t>
      </w:r>
      <w:r w:rsidR="004C3665">
        <w:rPr>
          <w:sz w:val="24"/>
          <w:szCs w:val="24"/>
        </w:rPr>
        <w:t xml:space="preserve"> </w:t>
      </w:r>
      <w:r w:rsidRPr="0092153C">
        <w:rPr>
          <w:sz w:val="24"/>
          <w:szCs w:val="24"/>
        </w:rPr>
        <w:t xml:space="preserve"> (1) consolidated the complaints of OCA and OSBA with Peoples Division’s PGC filing at Docket No. R-2015-2465172; (2) consolidated the complaints of OCA and OSBA with Peoples-Equitable Division’s PGC filing at Docket No. R-2015-2465181; (3)</w:t>
      </w:r>
      <w:r w:rsidR="003669E7">
        <w:rPr>
          <w:sz w:val="24"/>
          <w:szCs w:val="24"/>
        </w:rPr>
        <w:t> </w:t>
      </w:r>
      <w:r w:rsidRPr="0092153C">
        <w:rPr>
          <w:sz w:val="24"/>
          <w:szCs w:val="24"/>
        </w:rPr>
        <w:t>consolidated Peoples-Equitable Division’s PGC filing at Docket No. R-2015-2465181 with Peoples Division’s PGC filing at Docket No. R-2015-2465172; and (4) granted PIOGA’s Petition to Intervene and DES’s Petition to Intervene.</w:t>
      </w:r>
    </w:p>
    <w:p w:rsidR="00CD5C18" w:rsidRPr="00714B34" w:rsidRDefault="00CD5C18" w:rsidP="004A53F4">
      <w:pPr>
        <w:pStyle w:val="BodyText2"/>
        <w:tabs>
          <w:tab w:val="left" w:pos="1440"/>
        </w:tabs>
        <w:spacing w:after="0" w:line="360" w:lineRule="auto"/>
      </w:pPr>
      <w:r>
        <w:lastRenderedPageBreak/>
        <w:tab/>
        <w:t xml:space="preserve">On April 16, 2015, PIOGA filed a Petition to Intervene at Docket Nos. </w:t>
      </w:r>
      <w:proofErr w:type="gramStart"/>
      <w:r>
        <w:t>R</w:t>
      </w:r>
      <w:r w:rsidR="009F6877">
        <w:noBreakHyphen/>
      </w:r>
      <w:r>
        <w:t>2015-2465172 and R-2015-2465181.</w:t>
      </w:r>
      <w:proofErr w:type="gramEnd"/>
    </w:p>
    <w:p w:rsidR="00CD5C18" w:rsidRPr="00FA7AA3" w:rsidRDefault="00CD5C18" w:rsidP="004A53F4">
      <w:pPr>
        <w:spacing w:line="360" w:lineRule="auto"/>
        <w:ind w:firstLine="1440"/>
        <w:rPr>
          <w:sz w:val="24"/>
          <w:szCs w:val="24"/>
        </w:rPr>
      </w:pPr>
    </w:p>
    <w:p w:rsidR="00CD5C18" w:rsidRDefault="00CD5C18" w:rsidP="004A53F4">
      <w:pPr>
        <w:tabs>
          <w:tab w:val="left" w:pos="1440"/>
        </w:tabs>
        <w:spacing w:line="360" w:lineRule="auto"/>
        <w:ind w:firstLine="720"/>
        <w:rPr>
          <w:sz w:val="24"/>
          <w:szCs w:val="24"/>
        </w:rPr>
      </w:pPr>
      <w:r>
        <w:rPr>
          <w:sz w:val="24"/>
          <w:szCs w:val="24"/>
        </w:rPr>
        <w:tab/>
        <w:t>On May 1, 2015, a motion for protective order was filed on behalf of the Peoples Division and the Peoples-Equitable Division.  No objection to the motion was filed and on May</w:t>
      </w:r>
      <w:r w:rsidR="00AA52A9">
        <w:rPr>
          <w:sz w:val="24"/>
          <w:szCs w:val="24"/>
        </w:rPr>
        <w:t> </w:t>
      </w:r>
      <w:r>
        <w:rPr>
          <w:sz w:val="24"/>
          <w:szCs w:val="24"/>
        </w:rPr>
        <w:t>29, 2015, the motion was granted and a protective order was issued.</w:t>
      </w:r>
    </w:p>
    <w:p w:rsidR="001510F6" w:rsidRDefault="001510F6" w:rsidP="004A53F4">
      <w:pPr>
        <w:tabs>
          <w:tab w:val="left" w:pos="1440"/>
        </w:tabs>
        <w:spacing w:line="360" w:lineRule="auto"/>
        <w:ind w:firstLine="720"/>
        <w:rPr>
          <w:sz w:val="24"/>
          <w:szCs w:val="24"/>
        </w:rPr>
      </w:pPr>
    </w:p>
    <w:p w:rsidR="00CD5C18" w:rsidRDefault="00CD5C18" w:rsidP="004C3665">
      <w:pPr>
        <w:pStyle w:val="ListNumber"/>
        <w:numPr>
          <w:ilvl w:val="0"/>
          <w:numId w:val="0"/>
        </w:numPr>
        <w:spacing w:line="360" w:lineRule="auto"/>
        <w:ind w:left="720"/>
      </w:pPr>
      <w:r>
        <w:tab/>
        <w:t>On May 8, 2015, OCA, OSBA, and I&amp;E served written direct testimony.</w:t>
      </w:r>
    </w:p>
    <w:p w:rsidR="00AA52A9" w:rsidRDefault="00AA52A9" w:rsidP="00AA52A9">
      <w:pPr>
        <w:pStyle w:val="ListNumber"/>
        <w:numPr>
          <w:ilvl w:val="0"/>
          <w:numId w:val="0"/>
        </w:numPr>
        <w:spacing w:line="360" w:lineRule="auto"/>
        <w:ind w:left="720"/>
      </w:pPr>
    </w:p>
    <w:p w:rsidR="00CD5C18" w:rsidRDefault="00CD5C18" w:rsidP="002A1B0E">
      <w:pPr>
        <w:pStyle w:val="ListNumber"/>
        <w:numPr>
          <w:ilvl w:val="0"/>
          <w:numId w:val="0"/>
        </w:numPr>
        <w:spacing w:line="360" w:lineRule="auto"/>
        <w:ind w:firstLine="1440"/>
      </w:pPr>
      <w:r>
        <w:t>On May 18, 2015, Peoples-Equitable Division served written supplemental direct testimony.</w:t>
      </w:r>
    </w:p>
    <w:p w:rsidR="00AA52A9" w:rsidRDefault="00AA52A9" w:rsidP="00AA52A9">
      <w:pPr>
        <w:pStyle w:val="ListNumber"/>
        <w:numPr>
          <w:ilvl w:val="0"/>
          <w:numId w:val="0"/>
        </w:numPr>
        <w:spacing w:line="360" w:lineRule="auto"/>
        <w:ind w:firstLine="720"/>
      </w:pPr>
    </w:p>
    <w:p w:rsidR="00CD5C18" w:rsidRPr="00FA7AA3" w:rsidRDefault="00CD5C18" w:rsidP="004A53F4">
      <w:pPr>
        <w:tabs>
          <w:tab w:val="left" w:pos="1440"/>
        </w:tabs>
        <w:spacing w:line="360" w:lineRule="auto"/>
        <w:ind w:firstLine="720"/>
        <w:rPr>
          <w:sz w:val="24"/>
          <w:szCs w:val="24"/>
        </w:rPr>
      </w:pPr>
      <w:r>
        <w:rPr>
          <w:sz w:val="24"/>
          <w:szCs w:val="24"/>
        </w:rPr>
        <w:tab/>
        <w:t xml:space="preserve">On May 22, 2015, the undersigned presiding officer was advised by email that the Parties proposed a revision to the litigation schedule, which would provide that the Parties rebuttal testimony in response to supplemental direct testimony would be due on May 29, 2015 and </w:t>
      </w:r>
      <w:proofErr w:type="spellStart"/>
      <w:r>
        <w:rPr>
          <w:sz w:val="24"/>
          <w:szCs w:val="24"/>
        </w:rPr>
        <w:t>surrebuttal</w:t>
      </w:r>
      <w:proofErr w:type="spellEnd"/>
      <w:r>
        <w:rPr>
          <w:sz w:val="24"/>
          <w:szCs w:val="24"/>
        </w:rPr>
        <w:t xml:space="preserve"> testimony in response to rebuttal testimony filed on May 29, 2015 would be due on June 3, 2015.  An interim order was issued on June 3, 2015, which approved the proposal submitted by the Parties.</w:t>
      </w:r>
      <w:r w:rsidRPr="00FA7AA3">
        <w:rPr>
          <w:sz w:val="24"/>
          <w:szCs w:val="24"/>
        </w:rPr>
        <w:t xml:space="preserve"> </w:t>
      </w:r>
    </w:p>
    <w:p w:rsidR="00CD5C18" w:rsidRDefault="00CD5C18" w:rsidP="004A53F4">
      <w:pPr>
        <w:spacing w:line="360" w:lineRule="auto"/>
        <w:ind w:firstLine="1440"/>
        <w:rPr>
          <w:sz w:val="24"/>
          <w:szCs w:val="24"/>
        </w:rPr>
      </w:pPr>
    </w:p>
    <w:p w:rsidR="00CD5C18" w:rsidRDefault="00CD5C18" w:rsidP="004A53F4">
      <w:pPr>
        <w:spacing w:line="360" w:lineRule="auto"/>
        <w:rPr>
          <w:sz w:val="24"/>
          <w:szCs w:val="24"/>
        </w:rPr>
      </w:pPr>
      <w:r w:rsidRPr="00E02D96">
        <w:rPr>
          <w:sz w:val="24"/>
          <w:szCs w:val="24"/>
        </w:rPr>
        <w:tab/>
      </w:r>
      <w:r>
        <w:rPr>
          <w:sz w:val="24"/>
          <w:szCs w:val="24"/>
        </w:rPr>
        <w:tab/>
      </w:r>
      <w:r w:rsidRPr="00E02D96">
        <w:rPr>
          <w:sz w:val="24"/>
          <w:szCs w:val="24"/>
        </w:rPr>
        <w:t>On May 27, 2015, Peoples, on behalf of both Divisions, served written rebuttal testimony.</w:t>
      </w:r>
    </w:p>
    <w:p w:rsidR="00AA52A9" w:rsidRPr="00E02D96" w:rsidRDefault="00AA52A9" w:rsidP="004A53F4">
      <w:pPr>
        <w:spacing w:line="360" w:lineRule="auto"/>
        <w:rPr>
          <w:sz w:val="24"/>
          <w:szCs w:val="24"/>
        </w:rPr>
      </w:pPr>
    </w:p>
    <w:p w:rsidR="00CD5C18" w:rsidRDefault="00CD5C18" w:rsidP="002A1B0E">
      <w:pPr>
        <w:tabs>
          <w:tab w:val="left" w:pos="1440"/>
        </w:tabs>
        <w:spacing w:line="360" w:lineRule="auto"/>
        <w:ind w:firstLine="1440"/>
        <w:rPr>
          <w:sz w:val="24"/>
          <w:szCs w:val="24"/>
        </w:rPr>
      </w:pPr>
      <w:r>
        <w:rPr>
          <w:sz w:val="24"/>
          <w:szCs w:val="24"/>
        </w:rPr>
        <w:t>A hearing notice was issued on June 2, 2015, scheduling the evidentiary hearing is these proceedings for June 8-10, 2015 in Harrisburg, Pennsylvania.</w:t>
      </w:r>
    </w:p>
    <w:p w:rsidR="00CD5C18" w:rsidRDefault="00CD5C18" w:rsidP="004A53F4">
      <w:pPr>
        <w:spacing w:line="360" w:lineRule="auto"/>
        <w:rPr>
          <w:sz w:val="24"/>
          <w:szCs w:val="24"/>
        </w:rPr>
      </w:pPr>
    </w:p>
    <w:p w:rsidR="00CD5C18" w:rsidRDefault="00CD5C18" w:rsidP="00054D18">
      <w:pPr>
        <w:pStyle w:val="ListNumber"/>
        <w:numPr>
          <w:ilvl w:val="0"/>
          <w:numId w:val="0"/>
        </w:numPr>
        <w:spacing w:line="360" w:lineRule="auto"/>
        <w:ind w:left="720" w:firstLine="720"/>
        <w:jc w:val="both"/>
      </w:pPr>
      <w:r>
        <w:t xml:space="preserve">On June 3, 2015, OCA served written </w:t>
      </w:r>
      <w:proofErr w:type="spellStart"/>
      <w:r>
        <w:t>surrebuttal</w:t>
      </w:r>
      <w:proofErr w:type="spellEnd"/>
      <w:r>
        <w:t xml:space="preserve"> testimony.</w:t>
      </w:r>
    </w:p>
    <w:p w:rsidR="002A1B0E" w:rsidRDefault="002A1B0E" w:rsidP="004A53F4">
      <w:pPr>
        <w:pStyle w:val="ListNumber"/>
        <w:numPr>
          <w:ilvl w:val="0"/>
          <w:numId w:val="0"/>
        </w:numPr>
        <w:spacing w:line="360" w:lineRule="auto"/>
        <w:ind w:firstLine="720"/>
        <w:jc w:val="both"/>
      </w:pPr>
    </w:p>
    <w:p w:rsidR="00CD5C18" w:rsidRPr="007533AE" w:rsidRDefault="00CD5C18" w:rsidP="002A1B0E">
      <w:pPr>
        <w:pStyle w:val="ListNumber"/>
        <w:numPr>
          <w:ilvl w:val="0"/>
          <w:numId w:val="0"/>
        </w:numPr>
        <w:spacing w:line="360" w:lineRule="auto"/>
        <w:ind w:firstLine="1440"/>
        <w:jc w:val="both"/>
      </w:pPr>
      <w:r>
        <w:t>The evidentiary hearing was held on June 8, 2015, at which time the Parties’ pre-filed testimony and exhibits were admitted into the record.</w:t>
      </w:r>
    </w:p>
    <w:p w:rsidR="00CD5C18" w:rsidRDefault="00CD5C18" w:rsidP="004A53F4">
      <w:pPr>
        <w:spacing w:line="360" w:lineRule="auto"/>
        <w:rPr>
          <w:sz w:val="24"/>
          <w:szCs w:val="24"/>
        </w:rPr>
      </w:pPr>
    </w:p>
    <w:p w:rsidR="00CD5C18" w:rsidRDefault="00CD5C18" w:rsidP="004A53F4">
      <w:pPr>
        <w:spacing w:line="360" w:lineRule="auto"/>
        <w:rPr>
          <w:sz w:val="24"/>
          <w:szCs w:val="24"/>
        </w:rPr>
      </w:pPr>
      <w:r>
        <w:rPr>
          <w:sz w:val="24"/>
          <w:szCs w:val="24"/>
        </w:rPr>
        <w:lastRenderedPageBreak/>
        <w:tab/>
      </w:r>
      <w:r>
        <w:rPr>
          <w:sz w:val="24"/>
          <w:szCs w:val="24"/>
        </w:rPr>
        <w:tab/>
      </w:r>
      <w:r w:rsidR="008B3AC4">
        <w:rPr>
          <w:sz w:val="24"/>
          <w:szCs w:val="24"/>
        </w:rPr>
        <w:t xml:space="preserve">On June 19, </w:t>
      </w:r>
      <w:r>
        <w:rPr>
          <w:sz w:val="24"/>
          <w:szCs w:val="24"/>
        </w:rPr>
        <w:t xml:space="preserve">2015, the Parties filed a stipulation for admission of evidence, which, </w:t>
      </w:r>
      <w:r w:rsidRPr="000C01FC">
        <w:rPr>
          <w:i/>
          <w:sz w:val="24"/>
          <w:szCs w:val="24"/>
        </w:rPr>
        <w:t>inter alia</w:t>
      </w:r>
      <w:r>
        <w:rPr>
          <w:sz w:val="24"/>
          <w:szCs w:val="24"/>
        </w:rPr>
        <w:t>, requested the admission of the Purchased Gas Cost 30 day pre-filings of Peoples Division and Peoples-Equitable Division into the record.</w:t>
      </w:r>
      <w:r>
        <w:rPr>
          <w:sz w:val="24"/>
          <w:szCs w:val="24"/>
        </w:rPr>
        <w:tab/>
      </w:r>
    </w:p>
    <w:p w:rsidR="00AA52A9" w:rsidRDefault="00AA52A9" w:rsidP="008C3500">
      <w:pPr>
        <w:pStyle w:val="BodyText2"/>
        <w:spacing w:after="0" w:line="360" w:lineRule="auto"/>
      </w:pPr>
    </w:p>
    <w:p w:rsidR="00CD5C18" w:rsidRDefault="00CD5C18" w:rsidP="00AA52A9">
      <w:pPr>
        <w:pStyle w:val="BodyText2"/>
        <w:spacing w:after="0" w:line="360" w:lineRule="auto"/>
      </w:pPr>
      <w:r>
        <w:tab/>
      </w:r>
      <w:r>
        <w:tab/>
        <w:t>On June 23, 2015, Peoples Natural Gas Company LLC,  acting on behalf of its Peoples Division and its Equitable Division, I&amp;E, OCA and OSBA, parties to the above-captioned consolidated proceeding (hereinafter, collectively referred to as the Joint Petitioners or Settling Parties),</w:t>
      </w:r>
      <w:r w:rsidRPr="00602B10">
        <w:rPr>
          <w:rStyle w:val="FootnoteReference"/>
        </w:rPr>
        <w:footnoteReference w:id="1"/>
      </w:r>
      <w:r>
        <w:t xml:space="preserve"> filed a Joint Petition for Settlement of the Section 1307(f), 66 </w:t>
      </w:r>
      <w:proofErr w:type="spellStart"/>
      <w:r>
        <w:t>Pa.C.S</w:t>
      </w:r>
      <w:proofErr w:type="spellEnd"/>
      <w:r>
        <w:t xml:space="preserve">. § 1307(f), Rate Investigation (Joint Petition, Settlement Petition or </w:t>
      </w:r>
      <w:r w:rsidR="004C3665">
        <w:t>S</w:t>
      </w:r>
      <w:r>
        <w:t xml:space="preserve">ettlement).  The Joint Petitioners have agreed to a settlement of all of issues that have been raised in: </w:t>
      </w:r>
      <w:r w:rsidR="004C3665">
        <w:t xml:space="preserve"> </w:t>
      </w:r>
      <w:r>
        <w:t>(1) the Peoples Division’s 2015 Purchased Gas Cost (PGC) proceeding at Docket Nos. R-2015-2465172, C</w:t>
      </w:r>
      <w:r w:rsidR="004C3665">
        <w:noBreakHyphen/>
      </w:r>
      <w:r>
        <w:t xml:space="preserve">2015-2472257, and C-2015-2472614; and (2) Peoples-Equitable Division’s PGC proceeding at Docket Nos. R-2015-2465181, C-2015-2472271, and C-2015-2472826.  The </w:t>
      </w:r>
      <w:r w:rsidR="001510F6">
        <w:t>J</w:t>
      </w:r>
      <w:r>
        <w:t xml:space="preserve">oint </w:t>
      </w:r>
      <w:r w:rsidR="001510F6">
        <w:t>P</w:t>
      </w:r>
      <w:r>
        <w:t xml:space="preserve">etition </w:t>
      </w:r>
      <w:r w:rsidRPr="00394608">
        <w:rPr>
          <w:spacing w:val="-3"/>
        </w:rPr>
        <w:t>includ</w:t>
      </w:r>
      <w:r>
        <w:rPr>
          <w:spacing w:val="-3"/>
        </w:rPr>
        <w:t>ed</w:t>
      </w:r>
      <w:r w:rsidRPr="00394608">
        <w:rPr>
          <w:spacing w:val="-3"/>
        </w:rPr>
        <w:t xml:space="preserve"> Statements in Support by </w:t>
      </w:r>
      <w:r>
        <w:rPr>
          <w:spacing w:val="-3"/>
        </w:rPr>
        <w:t xml:space="preserve">the Company, </w:t>
      </w:r>
      <w:r w:rsidRPr="00394608">
        <w:rPr>
          <w:spacing w:val="-3"/>
        </w:rPr>
        <w:t>I</w:t>
      </w:r>
      <w:r>
        <w:rPr>
          <w:spacing w:val="-3"/>
        </w:rPr>
        <w:t>&amp;</w:t>
      </w:r>
      <w:r w:rsidRPr="00394608">
        <w:rPr>
          <w:spacing w:val="-3"/>
        </w:rPr>
        <w:t>E</w:t>
      </w:r>
      <w:r>
        <w:rPr>
          <w:spacing w:val="-3"/>
        </w:rPr>
        <w:t>, OSBA</w:t>
      </w:r>
      <w:r w:rsidRPr="00394608">
        <w:rPr>
          <w:spacing w:val="-3"/>
        </w:rPr>
        <w:t xml:space="preserve"> and OCA, </w:t>
      </w:r>
      <w:r>
        <w:rPr>
          <w:spacing w:val="-3"/>
        </w:rPr>
        <w:t xml:space="preserve">including letters of non-opposition from PIOGA and DES, which </w:t>
      </w:r>
      <w:r w:rsidRPr="00394608">
        <w:rPr>
          <w:spacing w:val="-3"/>
        </w:rPr>
        <w:t>w</w:t>
      </w:r>
      <w:r>
        <w:rPr>
          <w:spacing w:val="-3"/>
        </w:rPr>
        <w:t>ere</w:t>
      </w:r>
      <w:r w:rsidRPr="00394608">
        <w:rPr>
          <w:spacing w:val="-3"/>
        </w:rPr>
        <w:t xml:space="preserve"> filed with the Secretary’s Bureau.  </w:t>
      </w:r>
      <w:r>
        <w:t xml:space="preserve">The Joint Petitioners requested that the undersigned ALJ recommend approval of, and the Commission approve, the Settlement, without modification.  The Joint Petitioners also request that the Commission: </w:t>
      </w:r>
      <w:r w:rsidR="00B44577">
        <w:t xml:space="preserve"> </w:t>
      </w:r>
      <w:r>
        <w:t xml:space="preserve">(1) authorize Peoples Division to file the form of tariff supplement provided as Appendix A hereto, with rates to become effective October 1, 2015, subject to updates and tariff modifications traditionally performed on </w:t>
      </w:r>
      <w:r w:rsidRPr="00596558">
        <w:t>October 1</w:t>
      </w:r>
      <w:r>
        <w:t>; (2) authorize Peoples-Equitable Division to file the form of tariff supplement provided as Appendix B hereto, with rates to become effective October 1, 2015, subject to updates and tariff modifications traditionally performed on October</w:t>
      </w:r>
      <w:r w:rsidR="00900230">
        <w:t> </w:t>
      </w:r>
      <w:r>
        <w:t xml:space="preserve">1, 2015; and (3) make all associated findings required by Section 1307(f) and Section 1318 of the Public Utility Code, 66 </w:t>
      </w:r>
      <w:proofErr w:type="spellStart"/>
      <w:r>
        <w:t>Pa.C.S</w:t>
      </w:r>
      <w:proofErr w:type="spellEnd"/>
      <w:r>
        <w:t xml:space="preserve">. §§ 1307(f), 1318.  </w:t>
      </w:r>
    </w:p>
    <w:p w:rsidR="00AA52A9" w:rsidRDefault="00AA52A9" w:rsidP="004A53F4">
      <w:pPr>
        <w:spacing w:line="360" w:lineRule="auto"/>
        <w:ind w:firstLine="720"/>
        <w:rPr>
          <w:sz w:val="24"/>
          <w:szCs w:val="24"/>
        </w:rPr>
      </w:pPr>
    </w:p>
    <w:p w:rsidR="00CD5C18" w:rsidRDefault="00CD5C18" w:rsidP="002A1B0E">
      <w:pPr>
        <w:spacing w:line="360" w:lineRule="auto"/>
        <w:ind w:firstLine="1440"/>
        <w:rPr>
          <w:sz w:val="24"/>
          <w:szCs w:val="24"/>
        </w:rPr>
      </w:pPr>
      <w:r>
        <w:rPr>
          <w:sz w:val="24"/>
          <w:szCs w:val="24"/>
        </w:rPr>
        <w:t xml:space="preserve">On June 26, 2015, an interim order was issued which approved the stipulation for admission of evidence and admitted the Purchased Gas Cost 30 day pre-filings of Peoples Division and Peoples-Equitable Division into the record, admitted the Joint Petition for </w:t>
      </w:r>
      <w:r>
        <w:rPr>
          <w:sz w:val="24"/>
          <w:szCs w:val="24"/>
        </w:rPr>
        <w:lastRenderedPageBreak/>
        <w:t>Settlement of the Section 1307(f) Rate Investigation into the record and closed the record in this proceeding.</w:t>
      </w:r>
    </w:p>
    <w:p w:rsidR="00CD5C18" w:rsidRDefault="00CD5C18" w:rsidP="004A53F4">
      <w:pPr>
        <w:spacing w:line="360" w:lineRule="auto"/>
        <w:ind w:firstLine="720"/>
        <w:rPr>
          <w:sz w:val="24"/>
          <w:szCs w:val="24"/>
        </w:rPr>
      </w:pPr>
    </w:p>
    <w:p w:rsidR="00CD5C18" w:rsidRPr="00394608" w:rsidRDefault="00CD5C18" w:rsidP="004A53F4">
      <w:pPr>
        <w:spacing w:line="360" w:lineRule="auto"/>
        <w:ind w:firstLine="1440"/>
        <w:rPr>
          <w:sz w:val="24"/>
          <w:szCs w:val="24"/>
        </w:rPr>
      </w:pPr>
      <w:r w:rsidRPr="00394608">
        <w:rPr>
          <w:sz w:val="24"/>
          <w:szCs w:val="24"/>
        </w:rPr>
        <w:t>This Recommend</w:t>
      </w:r>
      <w:r>
        <w:rPr>
          <w:sz w:val="24"/>
          <w:szCs w:val="24"/>
        </w:rPr>
        <w:t xml:space="preserve">ed Decision </w:t>
      </w:r>
      <w:r w:rsidRPr="00394608">
        <w:rPr>
          <w:sz w:val="24"/>
          <w:szCs w:val="24"/>
        </w:rPr>
        <w:t>recommends the Settlement Agreement be adopted.</w:t>
      </w:r>
    </w:p>
    <w:p w:rsidR="00CD5C18" w:rsidRPr="00394608" w:rsidRDefault="00CD5C18" w:rsidP="004A53F4">
      <w:pPr>
        <w:spacing w:line="360" w:lineRule="auto"/>
        <w:ind w:firstLine="1440"/>
        <w:rPr>
          <w:sz w:val="24"/>
          <w:szCs w:val="24"/>
        </w:rPr>
      </w:pPr>
    </w:p>
    <w:p w:rsidR="00CD5C18" w:rsidRDefault="00CD5C18" w:rsidP="004A53F4">
      <w:pPr>
        <w:spacing w:line="360" w:lineRule="auto"/>
        <w:ind w:firstLine="1440"/>
        <w:rPr>
          <w:sz w:val="24"/>
          <w:szCs w:val="24"/>
        </w:rPr>
      </w:pPr>
      <w:r w:rsidRPr="00394608">
        <w:rPr>
          <w:sz w:val="24"/>
          <w:szCs w:val="24"/>
        </w:rPr>
        <w:t xml:space="preserve">The </w:t>
      </w:r>
      <w:r w:rsidR="00491FBA">
        <w:rPr>
          <w:sz w:val="24"/>
          <w:szCs w:val="24"/>
        </w:rPr>
        <w:t>S</w:t>
      </w:r>
      <w:r w:rsidRPr="00394608">
        <w:rPr>
          <w:sz w:val="24"/>
          <w:szCs w:val="24"/>
        </w:rPr>
        <w:t xml:space="preserve">ettling </w:t>
      </w:r>
      <w:r w:rsidR="00491FBA">
        <w:rPr>
          <w:sz w:val="24"/>
          <w:szCs w:val="24"/>
        </w:rPr>
        <w:t>P</w:t>
      </w:r>
      <w:r w:rsidRPr="00394608">
        <w:rPr>
          <w:sz w:val="24"/>
          <w:szCs w:val="24"/>
        </w:rPr>
        <w:t>arties agreed to several proposed findings of fact with citations to the record of admitted evidence.  These proposed findings provide the information necessary to support the Findings of Fact set forth below.</w:t>
      </w:r>
    </w:p>
    <w:p w:rsidR="00CD5C18" w:rsidRDefault="00CD5C18" w:rsidP="00CD5C18">
      <w:pPr>
        <w:spacing w:line="360" w:lineRule="auto"/>
        <w:ind w:firstLine="1440"/>
        <w:rPr>
          <w:sz w:val="24"/>
          <w:szCs w:val="24"/>
        </w:rPr>
      </w:pPr>
    </w:p>
    <w:p w:rsidR="00CD5C18" w:rsidRPr="00FE5909" w:rsidRDefault="00CD5C18" w:rsidP="00CD5C18">
      <w:pPr>
        <w:pStyle w:val="ListParagraph"/>
        <w:numPr>
          <w:ilvl w:val="0"/>
          <w:numId w:val="3"/>
        </w:numPr>
        <w:spacing w:line="360" w:lineRule="auto"/>
        <w:jc w:val="center"/>
        <w:rPr>
          <w:sz w:val="24"/>
          <w:szCs w:val="24"/>
          <w:u w:val="single"/>
        </w:rPr>
      </w:pPr>
      <w:r w:rsidRPr="00FE5909">
        <w:rPr>
          <w:sz w:val="24"/>
          <w:szCs w:val="24"/>
          <w:u w:val="single"/>
        </w:rPr>
        <w:t>FINDINGS OF FACT</w:t>
      </w:r>
    </w:p>
    <w:p w:rsidR="00CD5C18" w:rsidRPr="00FE5909" w:rsidRDefault="00CD5C18" w:rsidP="00CD5C18">
      <w:pPr>
        <w:pStyle w:val="ListParagraph"/>
        <w:spacing w:line="360" w:lineRule="auto"/>
        <w:ind w:left="1080"/>
        <w:rPr>
          <w:sz w:val="24"/>
          <w:szCs w:val="24"/>
        </w:rPr>
      </w:pPr>
    </w:p>
    <w:p w:rsidR="00CD5C18" w:rsidRDefault="00CD5C18" w:rsidP="00FB67DF">
      <w:pPr>
        <w:pStyle w:val="ListNumber"/>
        <w:spacing w:line="360" w:lineRule="auto"/>
        <w:ind w:firstLine="1440"/>
      </w:pPr>
      <w:r w:rsidRPr="00040DBE">
        <w:t>In December 2013, Peoples’ parent, PNG Companies LLC, acquired the outstanding membership interests of Equitable Gas Company, LLC (EGC).  EGC was then immediately merged into Peoples with Peoples as the surviving entity.  However, Peoples proposed and the parties in the acquisition case, and then ultimately the Commission, agreed that the former EGC would initially be operated as a separate division of Peoples for ratemaking and other regulatory purposes.  Thus, currently Peoples</w:t>
      </w:r>
      <w:r>
        <w:t xml:space="preserve"> Division</w:t>
      </w:r>
      <w:r w:rsidRPr="00040DBE">
        <w:t xml:space="preserve"> and Peoples-Equitable </w:t>
      </w:r>
      <w:r>
        <w:t xml:space="preserve">Division </w:t>
      </w:r>
      <w:r w:rsidRPr="00040DBE">
        <w:t>are a single legal entity – Peoples Natural Gas Company LLC – but they are separate operating divisions of the same company.  Peoples</w:t>
      </w:r>
      <w:r>
        <w:t xml:space="preserve"> Division</w:t>
      </w:r>
      <w:r w:rsidRPr="00040DBE">
        <w:t xml:space="preserve"> and Peoples-Equitable</w:t>
      </w:r>
      <w:r>
        <w:t xml:space="preserve"> Division currently</w:t>
      </w:r>
      <w:r w:rsidRPr="00040DBE">
        <w:t xml:space="preserve"> maintain separate tariffs and charge different rates for both delivery service and the recovery of gas costs.  (</w:t>
      </w:r>
      <w:r>
        <w:t>Joint Petition, p. 11.</w:t>
      </w:r>
      <w:r w:rsidRPr="00040DBE">
        <w:t>)</w:t>
      </w:r>
      <w:r w:rsidRPr="00517B54">
        <w:t xml:space="preserve"> </w:t>
      </w:r>
    </w:p>
    <w:p w:rsidR="00FB67DF" w:rsidRDefault="00FB67DF" w:rsidP="00FB67DF">
      <w:pPr>
        <w:pStyle w:val="ListNumber"/>
        <w:numPr>
          <w:ilvl w:val="0"/>
          <w:numId w:val="0"/>
        </w:numPr>
        <w:spacing w:line="360" w:lineRule="auto"/>
        <w:ind w:left="720" w:firstLine="1440"/>
      </w:pPr>
    </w:p>
    <w:p w:rsidR="00CD5C18" w:rsidRDefault="00CD5C18" w:rsidP="00FB67DF">
      <w:pPr>
        <w:pStyle w:val="ListNumber"/>
        <w:spacing w:line="360" w:lineRule="auto"/>
        <w:ind w:firstLine="1440"/>
      </w:pPr>
      <w:r w:rsidRPr="00040DBE">
        <w:t xml:space="preserve">The Company has a goal to fully consolidate the Divisions through a multi-year transitional process.  It began soon after the merger when the back office administrative functions and operations management of Peoples </w:t>
      </w:r>
      <w:r w:rsidR="00405120">
        <w:t xml:space="preserve">Division </w:t>
      </w:r>
      <w:r w:rsidRPr="00040DBE">
        <w:t xml:space="preserve">and </w:t>
      </w:r>
      <w:r w:rsidR="00405120">
        <w:t>Peoples-</w:t>
      </w:r>
      <w:r w:rsidRPr="00040DBE">
        <w:t xml:space="preserve">Equitable </w:t>
      </w:r>
      <w:r w:rsidR="00405120">
        <w:t xml:space="preserve">Division </w:t>
      </w:r>
      <w:r w:rsidRPr="00040DBE">
        <w:t>were merged into a single operations and management unit.  It continued with the implementation of very similar interstate gas supply arrangements for both Divisions early last year. These consist of Commission-approved long-term interstate pipeline contracts at Peoples and long-term commodity purchase agreements at Peoples</w:t>
      </w:r>
      <w:r>
        <w:t xml:space="preserve"> Division</w:t>
      </w:r>
      <w:r w:rsidRPr="00040DBE">
        <w:t xml:space="preserve"> and </w:t>
      </w:r>
      <w:r>
        <w:t>Peoples-</w:t>
      </w:r>
      <w:r w:rsidRPr="00040DBE">
        <w:t>Equitable</w:t>
      </w:r>
      <w:r>
        <w:t xml:space="preserve"> Division</w:t>
      </w:r>
      <w:r w:rsidRPr="00040DBE">
        <w:t xml:space="preserve">, which, incidentally, performed very well during the two most recent, much colder-than-normal winters.  Also last year, Peoples began the process to standardize the form of local </w:t>
      </w:r>
      <w:r w:rsidRPr="00040DBE">
        <w:lastRenderedPageBreak/>
        <w:t>gas purchase agreement (which continues today) used by each Division, merged many aspects of each Division’s various universal service programs through a series of approved regulatory filings, and undertook an Energy Choice collaborative designed to improve retail shopping and create consistent transportation program rules for both Divisions.  (</w:t>
      </w:r>
      <w:r w:rsidR="00FC7022">
        <w:t>Joint Petition, p</w:t>
      </w:r>
      <w:r>
        <w:t>p. 11-12.</w:t>
      </w:r>
      <w:r w:rsidRPr="00040DBE">
        <w:t>)</w:t>
      </w:r>
      <w:r w:rsidRPr="00517B54">
        <w:t xml:space="preserve"> </w:t>
      </w:r>
    </w:p>
    <w:p w:rsidR="00F862AE" w:rsidRDefault="00F862AE" w:rsidP="00F862AE">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rsidRPr="00040DBE">
        <w:t>The settlement agreement</w:t>
      </w:r>
      <w:r>
        <w:t>s</w:t>
      </w:r>
      <w:r w:rsidRPr="00040DBE">
        <w:t xml:space="preserve"> in last year’s 1307(f) filings for Peoples Division and Peoples-Equitable </w:t>
      </w:r>
      <w:r>
        <w:t xml:space="preserve">Division </w:t>
      </w:r>
      <w:r w:rsidRPr="00040DBE">
        <w:t>included paragraph</w:t>
      </w:r>
      <w:r>
        <w:t>s</w:t>
      </w:r>
      <w:r w:rsidRPr="00040DBE">
        <w:t xml:space="preserve"> that anticipated the proposal to merge the PGC rates of Peoples Division and Peoples-Equitable</w:t>
      </w:r>
      <w:r>
        <w:t xml:space="preserve"> Division</w:t>
      </w:r>
      <w:r w:rsidRPr="00040DBE">
        <w:t xml:space="preserve">. </w:t>
      </w:r>
      <w:r>
        <w:t xml:space="preserve"> </w:t>
      </w:r>
      <w:r w:rsidRPr="00040DBE">
        <w:t>(</w:t>
      </w:r>
      <w:r>
        <w:t>Joint Petition, p. 12.</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FE5909">
        <w:t xml:space="preserve">Peoples pursues its goal of least cost reliable service through a combination of local and interstate assets and supplies.  The local assets are Peoples’ on-system storage facilities and a gathering system, which have allowed Peoples to enhance the deliverability of local natural gas supplies produced in Pennsylvania and purchased by Peoples from Pennsylvania producers.  Through the exchange of assets with EQT and entering into long-term contracts with </w:t>
      </w:r>
      <w:proofErr w:type="spellStart"/>
      <w:r w:rsidRPr="00FE5909">
        <w:t>Equitrans</w:t>
      </w:r>
      <w:proofErr w:type="spellEnd"/>
      <w:r w:rsidRPr="00FE5909">
        <w:t xml:space="preserve"> L.P. (</w:t>
      </w:r>
      <w:proofErr w:type="spellStart"/>
      <w:r w:rsidRPr="00FE5909">
        <w:t>Equitrans</w:t>
      </w:r>
      <w:proofErr w:type="spellEnd"/>
      <w:r w:rsidRPr="00FE5909">
        <w:t xml:space="preserve">), Peoples has reallocated its local and interstate assets but will continue to utilize the same storage facilities and access the same local gas supplies by means of storage and transportation services from </w:t>
      </w:r>
      <w:proofErr w:type="spellStart"/>
      <w:r w:rsidRPr="00FE5909">
        <w:t>Equitrans</w:t>
      </w:r>
      <w:proofErr w:type="spellEnd"/>
      <w:r w:rsidRPr="00FE5909">
        <w:t xml:space="preserve">.  (Joint Petition, p. 12.) </w:t>
      </w:r>
    </w:p>
    <w:p w:rsidR="00FB67DF" w:rsidRPr="00FE5909"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4D7BA7">
        <w:t xml:space="preserve"> Peoples’ interstate assets are comprised of a portfolio of transportation and storage services that Peoples has contracted for with various Federal Energy Regulatory Commission (FERC)-regulated pipelines, including Dominion Transmission, Inc. (DTI), Texas Eastern Transmission LP (TETCO), </w:t>
      </w:r>
      <w:proofErr w:type="spellStart"/>
      <w:r w:rsidRPr="004D7BA7">
        <w:t>Equitrans</w:t>
      </w:r>
      <w:proofErr w:type="spellEnd"/>
      <w:r w:rsidRPr="004D7BA7">
        <w:t xml:space="preserve">, and National Fuel Gas Supply Corporation (NFG).  Those assets give Peoples access to a variety of locations at which it can receive gas supplies that are produced upstream of the Peoples’ system.  Peoples’ interstate supplies are gas that it purchases from suppliers upstream of the Peoples’ system for delivery into various receipt points of the interstate pipelines and occasionally purchases on a delivered-to-the-city gate basis.  (Joint Petition, pp. 12-13.) </w:t>
      </w:r>
    </w:p>
    <w:p w:rsidR="00FB67DF" w:rsidRPr="004D7BA7"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rsidRPr="00040DBE">
        <w:t>Beginning April 1, 2014, Peoples</w:t>
      </w:r>
      <w:r>
        <w:t xml:space="preserve"> Division</w:t>
      </w:r>
      <w:r w:rsidRPr="00040DBE">
        <w:t xml:space="preserve"> began receiving firm transportation service under Rate Schedule FTS from </w:t>
      </w:r>
      <w:proofErr w:type="spellStart"/>
      <w:r w:rsidRPr="00040DBE">
        <w:t>Equitrans</w:t>
      </w:r>
      <w:proofErr w:type="spellEnd"/>
      <w:r w:rsidRPr="00040DBE">
        <w:t xml:space="preserve">’ Sunrise and Mainline systems.  This firm capacity replaces 251,700 </w:t>
      </w:r>
      <w:proofErr w:type="spellStart"/>
      <w:r w:rsidRPr="00040DBE">
        <w:t>Dth</w:t>
      </w:r>
      <w:proofErr w:type="spellEnd"/>
      <w:r w:rsidRPr="00040DBE">
        <w:t xml:space="preserve"> per day of firm transportation and storage capacity </w:t>
      </w:r>
      <w:r w:rsidRPr="00040DBE">
        <w:lastRenderedPageBreak/>
        <w:t xml:space="preserve">previously provided by DTI under service agreements that expired March 31, 2014.  Gas transported under this agreement is sourced from receipt points on the Sunrise system and delivered to </w:t>
      </w:r>
      <w:proofErr w:type="spellStart"/>
      <w:r w:rsidRPr="00040DBE">
        <w:t>Equitrans</w:t>
      </w:r>
      <w:proofErr w:type="spellEnd"/>
      <w:r w:rsidRPr="00040DBE">
        <w:t xml:space="preserve">’ Ginger Hill station, which is the point of interconnection between </w:t>
      </w:r>
      <w:proofErr w:type="spellStart"/>
      <w:r w:rsidRPr="00040DBE">
        <w:t>Equitrans</w:t>
      </w:r>
      <w:proofErr w:type="spellEnd"/>
      <w:r w:rsidRPr="00040DBE">
        <w:t xml:space="preserve">’ Mainline and AVC systems.  The capacity is seasonal, and the maximum daily quantity is 251,700 </w:t>
      </w:r>
      <w:proofErr w:type="spellStart"/>
      <w:r w:rsidRPr="00040DBE">
        <w:t>Dth</w:t>
      </w:r>
      <w:proofErr w:type="spellEnd"/>
      <w:r w:rsidRPr="00040DBE">
        <w:t xml:space="preserve"> during November through March and 62,000 </w:t>
      </w:r>
      <w:proofErr w:type="spellStart"/>
      <w:r w:rsidRPr="00040DBE">
        <w:t>Dth</w:t>
      </w:r>
      <w:proofErr w:type="spellEnd"/>
      <w:r w:rsidRPr="00040DBE">
        <w:t xml:space="preserve"> during April through October. </w:t>
      </w:r>
      <w:r>
        <w:t xml:space="preserve"> </w:t>
      </w:r>
      <w:r w:rsidRPr="00040DBE">
        <w:t>(</w:t>
      </w:r>
      <w:r>
        <w:t>Joint Petition, p. 13.</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For the first two months of the 1307(f)-2015 reconciliation period, Peoples had 66,258 </w:t>
      </w:r>
      <w:proofErr w:type="spellStart"/>
      <w:r w:rsidRPr="00040DBE">
        <w:t>Dths</w:t>
      </w:r>
      <w:proofErr w:type="spellEnd"/>
      <w:r w:rsidRPr="00040DBE">
        <w:t xml:space="preserve">/day of </w:t>
      </w:r>
      <w:r w:rsidR="005E3A61">
        <w:t>firm transportation no notice (</w:t>
      </w:r>
      <w:r w:rsidRPr="00040DBE">
        <w:t>FTNN</w:t>
      </w:r>
      <w:r w:rsidR="005E3A61">
        <w:t>)</w:t>
      </w:r>
      <w:r w:rsidRPr="00040DBE">
        <w:t xml:space="preserve"> service, 240,525 </w:t>
      </w:r>
      <w:proofErr w:type="spellStart"/>
      <w:r w:rsidRPr="00040DBE">
        <w:t>Dths</w:t>
      </w:r>
      <w:proofErr w:type="spellEnd"/>
      <w:r w:rsidRPr="00040DBE">
        <w:t xml:space="preserve">/day of GSS firm storage service, and 240,525 </w:t>
      </w:r>
      <w:proofErr w:type="spellStart"/>
      <w:r w:rsidRPr="00040DBE">
        <w:t>Dths</w:t>
      </w:r>
      <w:proofErr w:type="spellEnd"/>
      <w:r w:rsidRPr="00040DBE">
        <w:t xml:space="preserve">/day of FTNN-GSS firm storage transportation service under contract from DTI.  Corresponding with the April 1, 2014, effective date of the new firm transportation service from </w:t>
      </w:r>
      <w:proofErr w:type="spellStart"/>
      <w:r w:rsidRPr="00040DBE">
        <w:t>Equitrans</w:t>
      </w:r>
      <w:proofErr w:type="spellEnd"/>
      <w:r w:rsidRPr="00040DBE">
        <w:t xml:space="preserve">, Peoples opted not to renew contracts for a corresponding amount of its DTI firm storage and transportation services that expired on March 31, 2014.  Instead, on February 20, 2014, Peoples entered into new FTNN and GSS service agreements with DTI that became effective April 1, 2014, and provide year-round FTNN no-notice transportation service at 40,000 </w:t>
      </w:r>
      <w:proofErr w:type="spellStart"/>
      <w:r w:rsidRPr="00040DBE">
        <w:t>Dth</w:t>
      </w:r>
      <w:proofErr w:type="spellEnd"/>
      <w:r w:rsidRPr="00040DBE">
        <w:t xml:space="preserve">/day and GSS storage service with capacity of 4.6 </w:t>
      </w:r>
      <w:proofErr w:type="spellStart"/>
      <w:r w:rsidRPr="00040DBE">
        <w:t>MMDth</w:t>
      </w:r>
      <w:proofErr w:type="spellEnd"/>
      <w:r w:rsidRPr="00040DBE">
        <w:t xml:space="preserve"> annually and maximum deliverability of 40,000 </w:t>
      </w:r>
      <w:proofErr w:type="spellStart"/>
      <w:r w:rsidRPr="00040DBE">
        <w:t>Dth</w:t>
      </w:r>
      <w:proofErr w:type="spellEnd"/>
      <w:r w:rsidRPr="00040DBE">
        <w:t xml:space="preserve">/day.  There are parts of the Peoples distribution system that are particularly well suited for gas deliveries from DTI, and these agreements allow those gas deliveries to continue. </w:t>
      </w:r>
      <w:r>
        <w:t xml:space="preserve"> </w:t>
      </w:r>
      <w:r w:rsidRPr="00040DBE">
        <w:t>(</w:t>
      </w:r>
      <w:r>
        <w:t>Joint Petition, pp. 13-14.</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TETCO provides Peoples with firm transportation service under rates set by the FERC.  Peoples requires deliveries of gas at Ebensburg, Claysburg and Rockwood, in the eastern portion of its service territory.  TETCO is the only pipeline that physically interconnects with those three receipt points.  Peoples purchases gas on TETCO and moves it over TETCO’s facilities to the Claysburg and Ebensburg delivery points where it is needed.  In </w:t>
      </w:r>
      <w:r>
        <w:t>recent</w:t>
      </w:r>
      <w:r w:rsidRPr="00040DBE">
        <w:t xml:space="preserve"> years, Peoples has contracted for firm delivered-to-Peoples supply arrangements (described in a later section) to meet its needs from the TETCO system at the Rockwood delivery point.  TETCO also provides an operational balancing agreement that helps Peoples to manage the unanticipated swings in demand at its physical interconnections with TETCO.  (</w:t>
      </w:r>
      <w:r>
        <w:t>Joint Petition, pp. 13-14.</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lastRenderedPageBreak/>
        <w:t xml:space="preserve">Peoples requires up to 3,000 </w:t>
      </w:r>
      <w:proofErr w:type="spellStart"/>
      <w:r w:rsidRPr="00040DBE">
        <w:t>Dth</w:t>
      </w:r>
      <w:proofErr w:type="spellEnd"/>
      <w:r w:rsidRPr="00040DBE">
        <w:t xml:space="preserve">/Day at its Rockwood interconnection with TETCO in TETCO’s market zone M2.  Prior to 2007, Peoples satisfied this requirement with TETCO firm transportation capacity, but the Zone M2 firm transportation capacity was not renewed upon its March 31, 2007 expiration.  Since then, Peoples has entered into a series of annual agreements for either firm delivered supply or for the purchase of released capacity that Peoples then matched with spot purchases that extended through the 2013-2014 winter period.  During the first part of the 1307(f)-2015 reconciliation period, Peoples purchased a delivered firm supply from South Jersey Resources for 0 through 3,000 </w:t>
      </w:r>
      <w:proofErr w:type="spellStart"/>
      <w:r w:rsidRPr="00040DBE">
        <w:t>Dth</w:t>
      </w:r>
      <w:proofErr w:type="spellEnd"/>
      <w:r w:rsidRPr="00040DBE">
        <w:t xml:space="preserve">/day with no reservation fee or minimum take obligation.  This agreement expired March 30, 2014.  During the second part of the 1307(f)-2015 reconciliation period (through January 31, 2015), Peoples did not have a firm delivered supply deal at this Rockwood point and relied on spot market purchases.  Peoples intends to enter into another delivered firm supply arrangement for 3,000 </w:t>
      </w:r>
      <w:proofErr w:type="spellStart"/>
      <w:r w:rsidRPr="00040DBE">
        <w:t>Dths</w:t>
      </w:r>
      <w:proofErr w:type="spellEnd"/>
      <w:r w:rsidRPr="00040DBE">
        <w:t xml:space="preserve"> per day at the Peoples’ Rockwood point for the upcoming 2015-2016 winter.  (</w:t>
      </w:r>
      <w:r>
        <w:t>Joint Petition, p. 15.</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Peoples issued an RFP for a firm city-gate delivered gas supply contract for the November 1, 2011 through March 31, 2012 and November 1, 2012 through March 31, 2013 periods.  As a result of the RFP, Peoples entered into firm delivered supply arrangements for November 1, 2011 through March 31, 2012, and also for the November 2012 through March 2013 winter.  Both agreements required the supplier to utilize Tennessee Gas Pipeline Company, LLC (Tennessee) pipeline delivery points directly into Peoples at Pittsburgh Terminal and Pulaski.  In addition, the agreements also required deliveries into the Columbia Gas of Pennsylvania (CPA) natural gas distribution system at New Castle, PA.  This supply supports an exchange agreement under which CPA delivers gas into the Grove City area of Peoples’ service territory, an area that is not physically integrated with the rest of the Peoples’ system.  (</w:t>
      </w:r>
      <w:r>
        <w:t>Joint Petition, p. 15.</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On June 15, 2013, the Company issued another RFP for firm delivered supply on Tennessee.  Peoples accepted the least-cost proposal, which was submitted by Hess Corporation (Hess), and executed an agreement on August 27, 2013, that provides for Hess to deliver on a firm basis at the same Tennessee delivery points as previous years’ agreements natural gas for the winter periods of November 2013 through March 2014 and November 2014 </w:t>
      </w:r>
      <w:r w:rsidRPr="00040DBE">
        <w:lastRenderedPageBreak/>
        <w:t>through March 2015.  The agreement has no minimum take obligation and requires no reservation fees.  Like TETCO, Tennessee also provides Peoples with an operational balancing agreement to manage unanticipated swings in demands at the Tennessee/ Peoples physical interconnections.  (</w:t>
      </w:r>
      <w:r>
        <w:t>Joint Petition, pp. 15-16.</w:t>
      </w:r>
      <w:r w:rsidRPr="00040DBE">
        <w:t>)</w:t>
      </w:r>
      <w:r w:rsidRPr="00517B54">
        <w:t xml:space="preserve"> </w:t>
      </w:r>
    </w:p>
    <w:p w:rsidR="00A330E3" w:rsidRDefault="00A330E3" w:rsidP="00A330E3">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rsidRPr="00040DBE">
        <w:t>In January of 2015, the Company issued another RFP for firm delivered supply on Tennessee that will provide for delivery of natural gas on a firm basis at the same quantities and same Tennessee delivery points as previous years’ agreements for the winter periods of November 2015 through March 2016 and November 2016 through March 2017.  The Company received five proposals for winter 2015-2016 but only two of which included a bid for winter 2016-2017.  The Company selected the least cost option for a winter 2015-2016 delivered supply deal and plans to enter into the arrangement soon.  (</w:t>
      </w:r>
      <w:r>
        <w:t>Joint Petition, pp. 15-16.</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t>NFG</w:t>
      </w:r>
      <w:r w:rsidRPr="00040DBE">
        <w:t xml:space="preserve"> provides Peoples with no-notice storage service and firm transportation service under rates approved</w:t>
      </w:r>
      <w:r>
        <w:t xml:space="preserve"> by the FERC.  Peoples uses NFG</w:t>
      </w:r>
      <w:r w:rsidRPr="00040DBE">
        <w:t>’</w:t>
      </w:r>
      <w:r>
        <w:t>s</w:t>
      </w:r>
      <w:r w:rsidRPr="00040DBE">
        <w:t xml:space="preserve"> services primarily to serve the isolated Grove City area of its service territory.  Like its other storage assets, Peoples uses its storage service from NFG as a no-notice balancing service to manage supply to a uncertain demand and as a way to reduce natural gas costs, by buying supplies when they generally are cheaper during the summer months and injecting them into storage, and to enhance reliability, by withdrawing the volumes from storage during the winter when demand is highest.  Peoples utilizes its firm </w:t>
      </w:r>
      <w:r>
        <w:t>transportation service from NFG both to support the NFG</w:t>
      </w:r>
      <w:r w:rsidRPr="00040DBE">
        <w:t xml:space="preserve"> storage service and for deliveries from other supply sources.  (</w:t>
      </w:r>
      <w:r>
        <w:t>Joint Petition, p. 16.</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rsidRPr="00040DBE">
        <w:t xml:space="preserve">During the entire 1307(f)-2015 reconciliation period and for the first two months of the 1307(f)-2015 projected period, NFG provided 9,793 </w:t>
      </w:r>
      <w:proofErr w:type="spellStart"/>
      <w:r w:rsidRPr="00040DBE">
        <w:t>Dth</w:t>
      </w:r>
      <w:proofErr w:type="spellEnd"/>
      <w:r w:rsidRPr="00040DBE">
        <w:t xml:space="preserve">/day of no-notice storage service to Peoples under its Rate ESS and 15,476 </w:t>
      </w:r>
      <w:proofErr w:type="spellStart"/>
      <w:r w:rsidRPr="00040DBE">
        <w:t>Dth</w:t>
      </w:r>
      <w:proofErr w:type="spellEnd"/>
      <w:r w:rsidRPr="00040DBE">
        <w:t>/day of firm transportation service to Peoples under its Rate EFT.  Peoples entered into both of those contracts in the mid-1990s and the primary terms of those contracts expired on March 31, 2003; however, each of the contracts contain a one-year notice of termination provision so that if neither party give</w:t>
      </w:r>
      <w:r w:rsidR="00A330E3">
        <w:t>s</w:t>
      </w:r>
      <w:r w:rsidRPr="00040DBE">
        <w:t xml:space="preserve"> the other one year’s notice of termination, the contracts automatically renewed for another year.  Because of Peoples’ need for the NFG capacity to meet its system balancing and load requirements, Peoples </w:t>
      </w:r>
      <w:r w:rsidRPr="00040DBE">
        <w:lastRenderedPageBreak/>
        <w:t xml:space="preserve">has not given NFG notice of termination, so the contracts automatically renewed on April 1 of each year since 2003, and will renew again, effective April 1, 2015. </w:t>
      </w:r>
      <w:r>
        <w:t xml:space="preserve"> </w:t>
      </w:r>
      <w:r w:rsidRPr="00040DBE">
        <w:t>(</w:t>
      </w:r>
      <w:r>
        <w:t>Joint Petition, pp. 16-17.</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Peoples and Peoples TWP have a gas exchange agreement that provides for an exchange of equivalent volumes between Peoples and Peoples TWP where the receipt of gas from the other party would provide for more efficient operation of the recipient’s system and will improve service reliability for both companies.  Under the exchange arrangement, Peoples TWP receives gas from Peoples at an interconnection located in Mars, PA.  In exchange, Peoples receives equivalent volumes of gas from Peoples TWP at various interconnections.  (</w:t>
      </w:r>
      <w:r>
        <w:t>Joint Petition, p. 17.</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Peoples has been purchasing spot market supplies since 1986.  Along with its local gas supplies, these are the supplies that Peoples uses to meet the demands of those customers who continue to buy their supplies from Peoples.  With the exception of the EQT Energy supply, these are also the supplies that Peoples uses its various interstate pipeline assets to transport and store.  (</w:t>
      </w:r>
      <w:r>
        <w:t>Joint Petition, p. 17.</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Peoples monitors and participates in various proceedings before the FERC.  Peoples undertakes legal action as necessary to protect the interests of its ratepayers.  (</w:t>
      </w:r>
      <w:r>
        <w:t>Joint Petition, p. 17.</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t>Peoples-</w:t>
      </w:r>
      <w:r w:rsidRPr="00040DBE">
        <w:t xml:space="preserve">Equitable Division has pursued and will continue to pursue its goal of least cost, reliable service through a combination of local and interstate assets and supplies.  The local assets are a gathering system that allows </w:t>
      </w:r>
      <w:r>
        <w:t>Peoples-</w:t>
      </w:r>
      <w:r w:rsidRPr="00040DBE">
        <w:t xml:space="preserve">Equitable Division to directly access local supplies.  The local supplies are gas produced in Pennsylvania and purchased by </w:t>
      </w:r>
      <w:r>
        <w:t>Peoples-</w:t>
      </w:r>
      <w:r w:rsidRPr="00040DBE">
        <w:t>Equitable Division from Pennsylvania producers.  (</w:t>
      </w:r>
      <w:r>
        <w:t>Joint Petition, pp. 17-18.</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t xml:space="preserve">During the historic period, Peoples Division incurred approximately $1,005,000 in authorized overrun charges from </w:t>
      </w:r>
      <w:proofErr w:type="spellStart"/>
      <w:r>
        <w:t>Equitrans</w:t>
      </w:r>
      <w:proofErr w:type="spellEnd"/>
      <w:r>
        <w:t xml:space="preserve"> under its FERC approved tariff.  (Peoples and Equitable Division Statement No. 1-R, pp. 6-7.)  The overrun charges are not a </w:t>
      </w:r>
      <w:r>
        <w:lastRenderedPageBreak/>
        <w:t xml:space="preserve">penalty but are a cost-based rate that compensates the pipeline for the additional service provided.  </w:t>
      </w:r>
      <w:r w:rsidRPr="00040DBE">
        <w:t>(</w:t>
      </w:r>
      <w:r>
        <w:t>Joint Petition, p. 18.</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t>The authorized overrun service was used by the Company to provide system flexibility and to balance the system.  The Company relied on the authorized overrun service for a variety of reasons, including reduced firm contract capacity in April through October, the unavailability of Peoples’ Dice Storage Field from June 2014 through October 2014 and the lack of daily measurement equipment at various demarcation points between the AVC’ sys</w:t>
      </w:r>
      <w:r w:rsidR="002A1B0E">
        <w:t xml:space="preserve">tem into the Peoples’ system.  </w:t>
      </w:r>
      <w:r w:rsidRPr="00040DBE">
        <w:t>(</w:t>
      </w:r>
      <w:r>
        <w:t>Joint Petition, p. 18.</w:t>
      </w:r>
      <w:r w:rsidRPr="00040DBE">
        <w:t>)</w:t>
      </w:r>
      <w:r w:rsidRPr="00517B54">
        <w:t xml:space="preserve"> </w:t>
      </w:r>
    </w:p>
    <w:p w:rsidR="00FB67DF" w:rsidRDefault="00FB67DF" w:rsidP="00FB67DF">
      <w:pPr>
        <w:pStyle w:val="ListNumber"/>
        <w:numPr>
          <w:ilvl w:val="0"/>
          <w:numId w:val="0"/>
        </w:numPr>
        <w:spacing w:line="360" w:lineRule="auto"/>
        <w:ind w:left="1440"/>
      </w:pPr>
    </w:p>
    <w:p w:rsidR="00FB67DF" w:rsidRDefault="00CD5C18" w:rsidP="00FB67DF">
      <w:pPr>
        <w:pStyle w:val="ListNumber"/>
        <w:spacing w:line="360" w:lineRule="auto"/>
        <w:ind w:firstLine="1440"/>
      </w:pPr>
      <w:r>
        <w:t>Peoples-</w:t>
      </w:r>
      <w:r w:rsidRPr="00040DBE">
        <w:t xml:space="preserve">Equitable Division’s interstate assets are comprised of the portfolio of transportation and storage services that </w:t>
      </w:r>
      <w:r>
        <w:t>Peoples</w:t>
      </w:r>
      <w:r w:rsidRPr="00040DBE">
        <w:t xml:space="preserve"> has contracted for with </w:t>
      </w:r>
      <w:proofErr w:type="spellStart"/>
      <w:r w:rsidRPr="00040DBE">
        <w:t>Equitrans</w:t>
      </w:r>
      <w:proofErr w:type="spellEnd"/>
      <w:r w:rsidRPr="00040DBE">
        <w:t xml:space="preserve"> and DTI, both of which are FERC-regulated interstate pipelines.  Those assets give </w:t>
      </w:r>
      <w:r>
        <w:t>Peoples-</w:t>
      </w:r>
      <w:r w:rsidRPr="00040DBE">
        <w:t xml:space="preserve">Equitable Division access to a variety of locations at which it can receive gas supplies that are produced upstream of the </w:t>
      </w:r>
      <w:r>
        <w:t>Peoples-</w:t>
      </w:r>
      <w:r w:rsidRPr="00040DBE">
        <w:t xml:space="preserve">Equitable Division system.  The interstate storage assets allow </w:t>
      </w:r>
      <w:r>
        <w:t>Peoples-</w:t>
      </w:r>
      <w:r w:rsidRPr="00040DBE">
        <w:t xml:space="preserve">Equitable Division to use its upstream assets more efficiently, mitigate the effects of price swings in the natural gas market and enhance the deliverability of </w:t>
      </w:r>
      <w:r>
        <w:t>Peoples-</w:t>
      </w:r>
      <w:r w:rsidRPr="00040DBE">
        <w:t xml:space="preserve">Equitable Division’s interstate natural gas supplies during periods of peak demand.  </w:t>
      </w:r>
      <w:r>
        <w:t>Peoples-</w:t>
      </w:r>
      <w:r w:rsidRPr="00040DBE">
        <w:t xml:space="preserve">Equitable Division’s interstate supplies are primarily EQT Energy and other Appalachian produced gas that it purchases from suppliers upstream of the </w:t>
      </w:r>
      <w:r>
        <w:t>Peoples-</w:t>
      </w:r>
      <w:r w:rsidRPr="00040DBE">
        <w:t xml:space="preserve">Equitable Division system for delivery into various receipt points of the </w:t>
      </w:r>
      <w:proofErr w:type="spellStart"/>
      <w:r w:rsidRPr="00040DBE">
        <w:t>Equitrans</w:t>
      </w:r>
      <w:proofErr w:type="spellEnd"/>
      <w:r w:rsidRPr="00040DBE">
        <w:t xml:space="preserve"> and DTI.  (</w:t>
      </w:r>
      <w:r>
        <w:t>Joint Petition, pp. 18-19.</w:t>
      </w:r>
      <w:r w:rsidRPr="00040DBE">
        <w:t>)</w:t>
      </w:r>
    </w:p>
    <w:p w:rsidR="00CD5C18" w:rsidRDefault="00CD5C18" w:rsidP="00FB67DF">
      <w:pPr>
        <w:pStyle w:val="ListNumber"/>
        <w:numPr>
          <w:ilvl w:val="0"/>
          <w:numId w:val="0"/>
        </w:numPr>
        <w:spacing w:line="360" w:lineRule="auto"/>
        <w:ind w:left="1440"/>
      </w:pPr>
      <w:r w:rsidRPr="00517B54">
        <w:t xml:space="preserve"> </w:t>
      </w:r>
    </w:p>
    <w:p w:rsidR="00CD5C18" w:rsidRDefault="00CD5C18" w:rsidP="00FB67DF">
      <w:pPr>
        <w:pStyle w:val="ListNumber"/>
        <w:spacing w:line="360" w:lineRule="auto"/>
        <w:ind w:firstLine="1440"/>
      </w:pPr>
      <w:r w:rsidRPr="004D7BA7">
        <w:t>Throughout most of the 90’s and the first decade of the 21</w:t>
      </w:r>
      <w:r w:rsidRPr="004D7BA7">
        <w:rPr>
          <w:vertAlign w:val="superscript"/>
        </w:rPr>
        <w:t>st</w:t>
      </w:r>
      <w:r w:rsidRPr="004D7BA7">
        <w:t xml:space="preserve"> century, EGC purchased the majority of its gas supply requirements from the Gulf and Mid-Continent production areas utilizing transmission capacity on the Texas Eastern Transmission L.P. (TETCO) interstate pipeline system.  This supply was then delivered into the </w:t>
      </w:r>
      <w:proofErr w:type="spellStart"/>
      <w:r w:rsidRPr="004D7BA7">
        <w:t>Equitrans</w:t>
      </w:r>
      <w:proofErr w:type="spellEnd"/>
      <w:r w:rsidRPr="004D7BA7">
        <w:t xml:space="preserve"> interstate pipeline system for storage injections or city-gate deliveries.  EGC’s firm transportation contract with TETCO expired on October 31, 2012 and was not renewed.  EGC then transitioned to a gas supply strategy focused on minimizing purchased gas costs through the procurement of Pennsylvania produced Marcellus Shale and other local Appalachian production.  This production is used to meet firm requirements during peak demand periods and for injection into </w:t>
      </w:r>
      <w:r w:rsidRPr="004D7BA7">
        <w:lastRenderedPageBreak/>
        <w:t xml:space="preserve">firm storage during low demand periods.  Based on the Company’s recent experience, ample natural gas supply is readily available for delivery into the </w:t>
      </w:r>
      <w:proofErr w:type="spellStart"/>
      <w:r w:rsidRPr="004D7BA7">
        <w:t>Equitrans</w:t>
      </w:r>
      <w:proofErr w:type="spellEnd"/>
      <w:r w:rsidRPr="004D7BA7">
        <w:t xml:space="preserve"> system.  (Joint Petition, p.</w:t>
      </w:r>
      <w:r w:rsidR="00C229A8">
        <w:t> </w:t>
      </w:r>
      <w:r w:rsidRPr="004D7BA7">
        <w:t xml:space="preserve">19.) </w:t>
      </w:r>
    </w:p>
    <w:p w:rsidR="00FB67DF" w:rsidRPr="004D7BA7"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Historically, while EGC’s transportation service agreement was in effect with TETCO, EGC purchased approximately 60% of its gas supply requirements from the Gulf and Mid-Continent production areas and the remaining 40% from local Appalachian supply sources.  In 2014</w:t>
      </w:r>
      <w:r>
        <w:t>,</w:t>
      </w:r>
      <w:r w:rsidRPr="00040DBE">
        <w:t xml:space="preserve"> </w:t>
      </w:r>
      <w:r>
        <w:t>Peoples-</w:t>
      </w:r>
      <w:r w:rsidRPr="00040DBE">
        <w:t>Equitable Division fulfilled most of its supply requirements with Marcellus Shale and other local Appalachian production.  (</w:t>
      </w:r>
      <w:r>
        <w:t>Joint Petition, p. 19.</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t>Peoples-</w:t>
      </w:r>
      <w:r w:rsidRPr="00040DBE">
        <w:t xml:space="preserve">Equitable Division received firm transportation service under </w:t>
      </w:r>
      <w:proofErr w:type="spellStart"/>
      <w:r w:rsidRPr="00040DBE">
        <w:t>Equitrans</w:t>
      </w:r>
      <w:proofErr w:type="spellEnd"/>
      <w:r w:rsidRPr="00040DBE">
        <w:t xml:space="preserve">’ Rate Schedule FTS, no-notice firm transportation service under </w:t>
      </w:r>
      <w:proofErr w:type="spellStart"/>
      <w:r w:rsidRPr="00040DBE">
        <w:t>Equitrans</w:t>
      </w:r>
      <w:proofErr w:type="spellEnd"/>
      <w:r w:rsidRPr="00040DBE">
        <w:t xml:space="preserve">’ Rate Schedule NOFT, base load storage service under </w:t>
      </w:r>
      <w:proofErr w:type="spellStart"/>
      <w:r w:rsidRPr="00040DBE">
        <w:t>Equitrans</w:t>
      </w:r>
      <w:proofErr w:type="spellEnd"/>
      <w:r w:rsidRPr="00040DBE">
        <w:t xml:space="preserve">’ Rate Schedule 115-SS, and peaking storage service under </w:t>
      </w:r>
      <w:proofErr w:type="spellStart"/>
      <w:r w:rsidRPr="00040DBE">
        <w:t>Equitrans</w:t>
      </w:r>
      <w:proofErr w:type="spellEnd"/>
      <w:r w:rsidRPr="00040DBE">
        <w:t>’ Rate Schedule 60-SS.  (</w:t>
      </w:r>
      <w:r w:rsidR="00C229A8">
        <w:t xml:space="preserve">Joint Petition, pp. </w:t>
      </w:r>
      <w:r>
        <w:t>19-29.</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517B54">
        <w:t xml:space="preserve"> </w:t>
      </w:r>
      <w:r w:rsidRPr="004D7BA7">
        <w:t xml:space="preserve">The Peoples-Equitable Division utilizes a DTI storage service agreement to maintain reliability of cold weather deliveries into </w:t>
      </w:r>
      <w:proofErr w:type="spellStart"/>
      <w:r w:rsidRPr="004D7BA7">
        <w:t>Equitrans</w:t>
      </w:r>
      <w:proofErr w:type="spellEnd"/>
      <w:r w:rsidRPr="004D7BA7">
        <w:t xml:space="preserve">’ H-152 line in the northern part of the Peoples-Equitable Division’s service territory.  The storage agreement under Rate Schedule GSS provides for 2,480,000 </w:t>
      </w:r>
      <w:proofErr w:type="spellStart"/>
      <w:r w:rsidRPr="004D7BA7">
        <w:t>Dth</w:t>
      </w:r>
      <w:proofErr w:type="spellEnd"/>
      <w:r w:rsidRPr="004D7BA7">
        <w:t xml:space="preserve"> of storage capacity and up to 40,000 </w:t>
      </w:r>
      <w:proofErr w:type="spellStart"/>
      <w:r w:rsidRPr="004D7BA7">
        <w:t>Dth</w:t>
      </w:r>
      <w:proofErr w:type="spellEnd"/>
      <w:r w:rsidRPr="004D7BA7">
        <w:t xml:space="preserve">/day of deliverability.  The firm transportation agreement under Rate Schedule FT provides for transportation of up to 40,000 </w:t>
      </w:r>
      <w:proofErr w:type="spellStart"/>
      <w:r w:rsidRPr="004D7BA7">
        <w:t>Dth</w:t>
      </w:r>
      <w:proofErr w:type="spellEnd"/>
      <w:r w:rsidRPr="004D7BA7">
        <w:t xml:space="preserve">/day.  These services utilize the DTI system interconnect with the </w:t>
      </w:r>
      <w:proofErr w:type="spellStart"/>
      <w:r w:rsidRPr="004D7BA7">
        <w:t>Equitrans</w:t>
      </w:r>
      <w:proofErr w:type="spellEnd"/>
      <w:r w:rsidRPr="004D7BA7">
        <w:t xml:space="preserve"> H-152 pipeline at DTI’s Mars Crider delivery point as the primary delivery point and have solved the reliability problem for service from </w:t>
      </w:r>
      <w:proofErr w:type="spellStart"/>
      <w:r w:rsidRPr="004D7BA7">
        <w:t>Equitrans</w:t>
      </w:r>
      <w:proofErr w:type="spellEnd"/>
      <w:r w:rsidRPr="004D7BA7">
        <w:t xml:space="preserve"> Line H-152 by providing Peoples-Equitable Division a firm contract path on DTI to the Mars Crider interconnect.  During the 2013-2014 winter, </w:t>
      </w:r>
      <w:proofErr w:type="spellStart"/>
      <w:r w:rsidRPr="004D7BA7">
        <w:t>Equitrans</w:t>
      </w:r>
      <w:proofErr w:type="spellEnd"/>
      <w:r w:rsidRPr="004D7BA7">
        <w:t xml:space="preserve"> posted 20 operational flow orders (OFOs) requiring the delivery of gas into pipeline H-152.  During the recent winter, </w:t>
      </w:r>
      <w:proofErr w:type="spellStart"/>
      <w:r w:rsidRPr="004D7BA7">
        <w:t>Equitrans</w:t>
      </w:r>
      <w:proofErr w:type="spellEnd"/>
      <w:r w:rsidRPr="004D7BA7">
        <w:t xml:space="preserve"> did not issue a single OFO requiring delivery to H-152.  This is totally attributable to Peoples-Equitable Division having the capability to deliver supply to H-152 from DTI Storage throughout this winter.  If Peoples-Equitable Division had not scheduled firm gas to this point, it projects that </w:t>
      </w:r>
      <w:proofErr w:type="spellStart"/>
      <w:r w:rsidRPr="004D7BA7">
        <w:t>Equitrans</w:t>
      </w:r>
      <w:proofErr w:type="spellEnd"/>
      <w:r w:rsidRPr="004D7BA7">
        <w:t xml:space="preserve"> would have issued at least 9 OFOs during the extremely cold weather conditions we experienced this past winter.  Without these services, Peoples-Equitable Division may not have been able to deliver </w:t>
      </w:r>
      <w:r w:rsidRPr="004D7BA7">
        <w:lastRenderedPageBreak/>
        <w:t xml:space="preserve">gas to this important interconnection, and had Peoples-Equitable Division been able to acquire gas that could have been delivered here, it would have been in an extremely illiquid market.  Peoples-Equitable Division also utilized these services during the 1307(f)-2015 reconciliation period in conjunction with Peoples-Equitable Division’s DTI interconnect at Limestone to provide for additional Appalachian gas flow from Peoples-Equitable Division’s gathering system to DTI storage in the summer when production into the system exceeded demand.  This use promoted the continued production of local gas directly into the Peoples-Equitable Division system and allowed Peoples-Equitable Division to have access to that supply for winter withdrawal and delivery to the Mars Crider interconnect.  (Joint Petition, pp. 20-21.) </w:t>
      </w:r>
    </w:p>
    <w:p w:rsidR="00FB67DF" w:rsidRPr="004D7BA7"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For the 1307(f)-2015 Projected Period, </w:t>
      </w:r>
      <w:r>
        <w:t>Peoples-</w:t>
      </w:r>
      <w:r w:rsidRPr="00040DBE">
        <w:t>Equitable Division’s gas supply portfolio will consist of two categories: Appalachian Purchases and Upstream Pipeline Capacity.  (</w:t>
      </w:r>
      <w:r>
        <w:t>Joint Petition, p. 21.</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Appalachian Purchases refers to Appalachian supplies that are delivered directly into the </w:t>
      </w:r>
      <w:r>
        <w:t>Peoples-</w:t>
      </w:r>
      <w:r w:rsidRPr="00040DBE">
        <w:t xml:space="preserve">Equitable Division’s gathering systems or otherwise aggregated for delivery into the distribution system.   This production, which </w:t>
      </w:r>
      <w:r>
        <w:t xml:space="preserve">is sourced </w:t>
      </w:r>
      <w:r w:rsidRPr="00040DBE">
        <w:t xml:space="preserve"> primarily </w:t>
      </w:r>
      <w:r>
        <w:t xml:space="preserve">from </w:t>
      </w:r>
      <w:r w:rsidRPr="00040DBE">
        <w:t>conventional wells, is received daily in volumes that are constant and, therefore, fulfills a base load function.  (</w:t>
      </w:r>
      <w:r>
        <w:t>Joint Petition, p. 21.</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Upstream Pipeline Supply refers to those Appalachian gas supplies that must be transported through </w:t>
      </w:r>
      <w:proofErr w:type="spellStart"/>
      <w:r w:rsidRPr="00040DBE">
        <w:t>Equitrans</w:t>
      </w:r>
      <w:proofErr w:type="spellEnd"/>
      <w:r w:rsidRPr="00040DBE">
        <w:t xml:space="preserve"> to the Company’s distribution system.  Upstream Pipeline Supply consists primarily of Marcellus Shale production, but also includes other Appalachian production from conventional wells.  The Upstream Pipeline Supply production volumes can be injected into storage when demand is low or delivered directly to </w:t>
      </w:r>
      <w:r>
        <w:t>Peoples-</w:t>
      </w:r>
      <w:r w:rsidRPr="00040DBE">
        <w:t xml:space="preserve">Equitable Division’s city gate during periods of higher demand. </w:t>
      </w:r>
      <w:r>
        <w:t xml:space="preserve"> </w:t>
      </w:r>
      <w:r w:rsidRPr="00040DBE">
        <w:t>(</w:t>
      </w:r>
      <w:r>
        <w:t>Joint Petition, p. 21.</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t>Peoples-</w:t>
      </w:r>
      <w:r w:rsidRPr="00040DBE">
        <w:t xml:space="preserve">Equitable Division does not purchase natural gas from any affiliated interest, but </w:t>
      </w:r>
      <w:r>
        <w:t>Peoples-</w:t>
      </w:r>
      <w:r w:rsidRPr="00040DBE">
        <w:t xml:space="preserve">Equitable Division does use and pay for transportation services provided by Peoples Gathering LLC and Peoples TWP.  These arrangements are a continuation </w:t>
      </w:r>
      <w:r w:rsidRPr="00040DBE">
        <w:lastRenderedPageBreak/>
        <w:t xml:space="preserve">of pre-existing arrangements providing critical supplies to isolated parts of </w:t>
      </w:r>
      <w:r>
        <w:t>Peoples-</w:t>
      </w:r>
      <w:r w:rsidRPr="00040DBE">
        <w:t>Equitable Division’s system that could not be served otherwise.  (</w:t>
      </w:r>
      <w:r>
        <w:t>Joint Petition, p</w:t>
      </w:r>
      <w:r w:rsidR="00570AE6">
        <w:t>p</w:t>
      </w:r>
      <w:r>
        <w:t>. 21-22.</w:t>
      </w:r>
      <w:r w:rsidRPr="00040DBE">
        <w:t>)</w:t>
      </w:r>
      <w:r w:rsidRPr="00517B54">
        <w:t xml:space="preserve"> </w:t>
      </w:r>
    </w:p>
    <w:p w:rsidR="00FB67DF" w:rsidRDefault="00FB67DF" w:rsidP="00FB67DF">
      <w:pPr>
        <w:pStyle w:val="ListNumber"/>
        <w:numPr>
          <w:ilvl w:val="0"/>
          <w:numId w:val="0"/>
        </w:numPr>
        <w:spacing w:line="360" w:lineRule="auto"/>
        <w:ind w:left="1440"/>
      </w:pPr>
    </w:p>
    <w:p w:rsidR="00CD5C18" w:rsidRDefault="00CD5C18" w:rsidP="00FB67DF">
      <w:pPr>
        <w:pStyle w:val="ListNumber"/>
        <w:spacing w:line="360" w:lineRule="auto"/>
        <w:ind w:firstLine="1440"/>
      </w:pPr>
      <w:r w:rsidRPr="00040DBE">
        <w:t xml:space="preserve">Peoples-Equitable </w:t>
      </w:r>
      <w:r>
        <w:t xml:space="preserve">Division </w:t>
      </w:r>
      <w:r w:rsidRPr="00040DBE">
        <w:t xml:space="preserve">monitors and participates in various proceedings before the FERC as a means of assuring the future availability of reasonably priced, reliable gas supplies for its ratepayers.  (Peoples-Equitable Division Exhibit No. 14; </w:t>
      </w:r>
      <w:r>
        <w:t>Joint Petition, p. 22.</w:t>
      </w:r>
      <w:r w:rsidRPr="00040DBE">
        <w:t>)</w:t>
      </w:r>
      <w:r w:rsidRPr="00517B54">
        <w:t xml:space="preserve"> </w:t>
      </w:r>
    </w:p>
    <w:p w:rsidR="00CD5C18" w:rsidRDefault="00CD5C18" w:rsidP="00762098">
      <w:pPr>
        <w:pStyle w:val="ListNumber"/>
        <w:numPr>
          <w:ilvl w:val="0"/>
          <w:numId w:val="0"/>
        </w:numPr>
        <w:spacing w:line="360" w:lineRule="auto"/>
        <w:ind w:left="720" w:firstLine="1440"/>
      </w:pPr>
    </w:p>
    <w:p w:rsidR="00CD5C18" w:rsidRPr="002A7F81" w:rsidRDefault="00CD5C18" w:rsidP="00CD5C18">
      <w:pPr>
        <w:spacing w:line="360" w:lineRule="auto"/>
        <w:jc w:val="center"/>
        <w:rPr>
          <w:sz w:val="24"/>
          <w:szCs w:val="24"/>
        </w:rPr>
      </w:pPr>
      <w:r w:rsidRPr="002A7F81">
        <w:rPr>
          <w:sz w:val="24"/>
          <w:szCs w:val="24"/>
        </w:rPr>
        <w:t>III.</w:t>
      </w:r>
      <w:r w:rsidRPr="002A7F81">
        <w:rPr>
          <w:sz w:val="24"/>
          <w:szCs w:val="24"/>
        </w:rPr>
        <w:tab/>
      </w:r>
      <w:r w:rsidRPr="002A7F81">
        <w:rPr>
          <w:sz w:val="24"/>
          <w:szCs w:val="24"/>
          <w:u w:val="single"/>
        </w:rPr>
        <w:t>DESCRIPTION AND TERMS OF SETTLEMENT</w:t>
      </w:r>
    </w:p>
    <w:p w:rsidR="00CD5C18" w:rsidRDefault="00CD5C18" w:rsidP="00CD5C18">
      <w:pPr>
        <w:spacing w:line="360" w:lineRule="auto"/>
        <w:rPr>
          <w:sz w:val="24"/>
          <w:szCs w:val="24"/>
        </w:rPr>
      </w:pPr>
    </w:p>
    <w:p w:rsidR="00CD5C18" w:rsidRPr="002A7F81" w:rsidRDefault="00CD5C18" w:rsidP="00CD5C18">
      <w:pPr>
        <w:spacing w:line="360" w:lineRule="auto"/>
        <w:ind w:firstLine="1440"/>
        <w:rPr>
          <w:sz w:val="24"/>
          <w:szCs w:val="24"/>
        </w:rPr>
      </w:pPr>
      <w:r w:rsidRPr="002A7F81">
        <w:rPr>
          <w:sz w:val="24"/>
          <w:szCs w:val="24"/>
        </w:rPr>
        <w:t xml:space="preserve">In accordance with Rule 5.231 of the Commission’s Rules of Practice and Procedure, 52 </w:t>
      </w:r>
      <w:proofErr w:type="spellStart"/>
      <w:r w:rsidRPr="002A7F81">
        <w:rPr>
          <w:sz w:val="24"/>
          <w:szCs w:val="24"/>
        </w:rPr>
        <w:t>Pa.Code</w:t>
      </w:r>
      <w:proofErr w:type="spellEnd"/>
      <w:r w:rsidRPr="002A7F81">
        <w:rPr>
          <w:sz w:val="24"/>
          <w:szCs w:val="24"/>
        </w:rPr>
        <w:t xml:space="preserve"> § 5.231, the parties explored the possibility of settlement.  As a result of settlement discussions, the parties achieved a settlement in principle under which all issues are resolved.  The </w:t>
      </w:r>
      <w:r>
        <w:rPr>
          <w:sz w:val="24"/>
          <w:szCs w:val="24"/>
        </w:rPr>
        <w:t>Joint Petition</w:t>
      </w:r>
      <w:r w:rsidRPr="002A7F81">
        <w:rPr>
          <w:sz w:val="24"/>
          <w:szCs w:val="24"/>
        </w:rPr>
        <w:t xml:space="preserve">, which is fully executed by </w:t>
      </w:r>
      <w:r>
        <w:rPr>
          <w:sz w:val="24"/>
          <w:szCs w:val="24"/>
        </w:rPr>
        <w:t xml:space="preserve">Peoples, </w:t>
      </w:r>
      <w:r w:rsidRPr="002A7F81">
        <w:rPr>
          <w:sz w:val="24"/>
          <w:szCs w:val="24"/>
        </w:rPr>
        <w:t>I</w:t>
      </w:r>
      <w:r>
        <w:rPr>
          <w:sz w:val="24"/>
          <w:szCs w:val="24"/>
        </w:rPr>
        <w:t>&amp;</w:t>
      </w:r>
      <w:r w:rsidRPr="002A7F81">
        <w:rPr>
          <w:sz w:val="24"/>
          <w:szCs w:val="24"/>
        </w:rPr>
        <w:t xml:space="preserve">E, OCA and OSBA, consists of </w:t>
      </w:r>
      <w:r>
        <w:rPr>
          <w:sz w:val="24"/>
          <w:szCs w:val="24"/>
        </w:rPr>
        <w:t>28</w:t>
      </w:r>
      <w:r w:rsidRPr="002A7F81">
        <w:rPr>
          <w:sz w:val="24"/>
          <w:szCs w:val="24"/>
        </w:rPr>
        <w:t xml:space="preserve"> pages and Appendix A</w:t>
      </w:r>
      <w:r>
        <w:rPr>
          <w:sz w:val="24"/>
          <w:szCs w:val="24"/>
        </w:rPr>
        <w:t xml:space="preserve"> through and including G.  The appendices set </w:t>
      </w:r>
      <w:r w:rsidRPr="002A7F81">
        <w:rPr>
          <w:sz w:val="24"/>
          <w:szCs w:val="24"/>
        </w:rPr>
        <w:t xml:space="preserve">forth the tariff supplement </w:t>
      </w:r>
      <w:r>
        <w:rPr>
          <w:sz w:val="24"/>
          <w:szCs w:val="24"/>
        </w:rPr>
        <w:t>describing</w:t>
      </w:r>
      <w:r w:rsidRPr="002A7F81">
        <w:rPr>
          <w:sz w:val="24"/>
          <w:szCs w:val="24"/>
        </w:rPr>
        <w:t xml:space="preserve"> the agreed upon rates</w:t>
      </w:r>
      <w:r>
        <w:rPr>
          <w:sz w:val="24"/>
          <w:szCs w:val="24"/>
        </w:rPr>
        <w:t xml:space="preserve"> in Appendix A,</w:t>
      </w:r>
      <w:r w:rsidRPr="002A7F81">
        <w:rPr>
          <w:sz w:val="24"/>
          <w:szCs w:val="24"/>
        </w:rPr>
        <w:t xml:space="preserve"> Appendix B</w:t>
      </w:r>
      <w:r>
        <w:rPr>
          <w:sz w:val="24"/>
          <w:szCs w:val="24"/>
        </w:rPr>
        <w:t xml:space="preserve"> and C</w:t>
      </w:r>
      <w:r w:rsidRPr="002A7F81">
        <w:rPr>
          <w:sz w:val="24"/>
          <w:szCs w:val="24"/>
        </w:rPr>
        <w:t>, which set forth the supporting calculation of those rates</w:t>
      </w:r>
      <w:r>
        <w:rPr>
          <w:sz w:val="24"/>
          <w:szCs w:val="24"/>
        </w:rPr>
        <w:t>, and Appendix D through G, which set forth the statements in support of settlement</w:t>
      </w:r>
      <w:r w:rsidRPr="002A7F81">
        <w:rPr>
          <w:sz w:val="24"/>
          <w:szCs w:val="24"/>
        </w:rPr>
        <w:t xml:space="preserve">. </w:t>
      </w:r>
    </w:p>
    <w:p w:rsidR="00CD5C18" w:rsidRPr="00A85F22" w:rsidRDefault="00CD5C18" w:rsidP="00CD5C18">
      <w:pPr>
        <w:spacing w:line="360" w:lineRule="auto"/>
        <w:rPr>
          <w:sz w:val="24"/>
          <w:szCs w:val="24"/>
        </w:rPr>
      </w:pPr>
    </w:p>
    <w:p w:rsidR="00CD5C18" w:rsidRPr="00E725AF" w:rsidRDefault="00CD5C18" w:rsidP="00CD5C18">
      <w:pPr>
        <w:spacing w:line="360" w:lineRule="auto"/>
        <w:ind w:firstLine="1440"/>
        <w:rPr>
          <w:sz w:val="24"/>
          <w:szCs w:val="24"/>
        </w:rPr>
      </w:pPr>
      <w:r w:rsidRPr="00E725AF">
        <w:rPr>
          <w:sz w:val="24"/>
          <w:szCs w:val="24"/>
        </w:rPr>
        <w:t>The parties also expressed their agreement with respect to eleven separate issues:  (1) Natural Gas Supply Rates as of  October 1, 2015; (2) Combination of Peoples Division’s and Peoples-Equitable Division’s PGC Rates; (3) Capacity Levels; (4)  AVC Authorized Overrun Charges; (5) Banking, Balancing, and Advancing (BB&amp;A) Charges; (6) Storage Accounting; (7)</w:t>
      </w:r>
      <w:r w:rsidR="0045773F">
        <w:rPr>
          <w:sz w:val="24"/>
          <w:szCs w:val="24"/>
        </w:rPr>
        <w:t> </w:t>
      </w:r>
      <w:r w:rsidRPr="00E725AF">
        <w:rPr>
          <w:sz w:val="24"/>
          <w:szCs w:val="24"/>
        </w:rPr>
        <w:t>Retainage; (8) Sharing Mechanisms; (9) Miscellaneous; (10) Least Cost Fuel Procurement Policy – Reconciliation Period; (11) Least Cost Fuel Procurement Policy – Projected Period.  The Parties specifically agreed to the following settlement terms, as provided below.</w:t>
      </w:r>
    </w:p>
    <w:p w:rsidR="00CD5C18" w:rsidRPr="00E725AF" w:rsidRDefault="00CD5C18" w:rsidP="00CD5C18">
      <w:pPr>
        <w:spacing w:line="360" w:lineRule="auto"/>
        <w:rPr>
          <w:sz w:val="24"/>
          <w:szCs w:val="24"/>
        </w:rPr>
      </w:pPr>
    </w:p>
    <w:p w:rsidR="00CD5C18" w:rsidRDefault="00E753C6" w:rsidP="00EE2200">
      <w:pPr>
        <w:pStyle w:val="Heading2"/>
        <w:spacing w:after="0" w:line="360" w:lineRule="auto"/>
        <w:ind w:left="720"/>
        <w:jc w:val="left"/>
        <w:rPr>
          <w:b w:val="0"/>
          <w:caps w:val="0"/>
          <w:u w:val="single"/>
        </w:rPr>
      </w:pPr>
      <w:r w:rsidRPr="00E753C6">
        <w:rPr>
          <w:b w:val="0"/>
          <w:caps w:val="0"/>
          <w:u w:val="single"/>
        </w:rPr>
        <w:t xml:space="preserve">Natural Gas Supply Rates </w:t>
      </w:r>
      <w:r>
        <w:rPr>
          <w:b w:val="0"/>
          <w:caps w:val="0"/>
          <w:u w:val="single"/>
        </w:rPr>
        <w:t>a</w:t>
      </w:r>
      <w:r w:rsidRPr="00E753C6">
        <w:rPr>
          <w:b w:val="0"/>
          <w:caps w:val="0"/>
          <w:u w:val="single"/>
        </w:rPr>
        <w:t xml:space="preserve">s </w:t>
      </w:r>
      <w:r>
        <w:rPr>
          <w:b w:val="0"/>
          <w:caps w:val="0"/>
          <w:u w:val="single"/>
        </w:rPr>
        <w:t>o</w:t>
      </w:r>
      <w:r w:rsidRPr="00E753C6">
        <w:rPr>
          <w:b w:val="0"/>
          <w:caps w:val="0"/>
          <w:u w:val="single"/>
        </w:rPr>
        <w:t>f October 1, 2015</w:t>
      </w:r>
    </w:p>
    <w:p w:rsidR="00E753C6" w:rsidRPr="00E753C6" w:rsidRDefault="00E753C6" w:rsidP="00E753C6">
      <w:pPr>
        <w:pStyle w:val="BodyText2"/>
        <w:spacing w:after="0" w:line="360" w:lineRule="auto"/>
      </w:pPr>
    </w:p>
    <w:p w:rsidR="00CD5C18" w:rsidRDefault="00E753C6" w:rsidP="00E63ACF">
      <w:pPr>
        <w:pStyle w:val="ListNumber"/>
        <w:numPr>
          <w:ilvl w:val="0"/>
          <w:numId w:val="0"/>
        </w:numPr>
        <w:spacing w:line="360" w:lineRule="auto"/>
        <w:ind w:firstLine="720"/>
      </w:pPr>
      <w:r>
        <w:tab/>
      </w:r>
      <w:r w:rsidR="00CD5C18">
        <w:t>People Division shall place into effect, for service rendered on and after October</w:t>
      </w:r>
      <w:r>
        <w:t> </w:t>
      </w:r>
      <w:r w:rsidR="00CD5C18">
        <w:t>1, 2015, the form of tariff supplement attached hereto as Appendix A.  Peoples-</w:t>
      </w:r>
      <w:r w:rsidR="00CD5C18">
        <w:lastRenderedPageBreak/>
        <w:t>Equitable Division shall place into effect, for service rendered on and after October 1, 2015, the form of tariff supplement attached hereto as Appendix B.  The form of tariff supplements in Appendices A and B shall be subject to updates and tariff modifications traditionally performed on October 1.  (Joint Petition, pp. 6-7.)</w:t>
      </w:r>
      <w:r w:rsidR="000C4BFE">
        <w:t xml:space="preserve">  The rates proposed by the Company, the combined or blended rates agreed upon by the Joint Petitioners, and the difference in gas cost rates by customer class are set forth in Appendix C, attached to the Joint Petition.</w:t>
      </w:r>
    </w:p>
    <w:p w:rsidR="000C4BFE" w:rsidRDefault="000C4BFE" w:rsidP="00E63ACF">
      <w:pPr>
        <w:pStyle w:val="ListNumber"/>
        <w:numPr>
          <w:ilvl w:val="0"/>
          <w:numId w:val="0"/>
        </w:numPr>
        <w:spacing w:line="360" w:lineRule="auto"/>
        <w:ind w:firstLine="720"/>
      </w:pPr>
    </w:p>
    <w:p w:rsidR="00CD5C18" w:rsidRPr="00E753C6" w:rsidRDefault="00E753C6" w:rsidP="00E753C6">
      <w:pPr>
        <w:pStyle w:val="Heading2"/>
        <w:keepNext/>
        <w:tabs>
          <w:tab w:val="clear" w:pos="1440"/>
          <w:tab w:val="num" w:pos="720"/>
        </w:tabs>
        <w:spacing w:after="0"/>
        <w:ind w:hanging="1440"/>
        <w:jc w:val="left"/>
        <w:rPr>
          <w:b w:val="0"/>
          <w:u w:val="single"/>
        </w:rPr>
      </w:pPr>
      <w:r w:rsidRPr="00E753C6">
        <w:rPr>
          <w:b w:val="0"/>
          <w:caps w:val="0"/>
          <w:u w:val="single"/>
        </w:rPr>
        <w:t>Combination of Peoples Division’s and Peoples-Equitable Division’s PGC Rates</w:t>
      </w:r>
    </w:p>
    <w:p w:rsidR="00E753C6" w:rsidRPr="00E753C6" w:rsidRDefault="00E753C6" w:rsidP="00E753C6">
      <w:pPr>
        <w:pStyle w:val="BodyText2"/>
        <w:spacing w:line="360" w:lineRule="auto"/>
      </w:pPr>
    </w:p>
    <w:p w:rsidR="00CD5C18" w:rsidRDefault="00E753C6" w:rsidP="00E63ACF">
      <w:pPr>
        <w:pStyle w:val="ListNumber"/>
        <w:numPr>
          <w:ilvl w:val="0"/>
          <w:numId w:val="0"/>
        </w:numPr>
        <w:spacing w:line="360" w:lineRule="auto"/>
        <w:ind w:firstLine="720"/>
      </w:pPr>
      <w:r>
        <w:tab/>
      </w:r>
      <w:r w:rsidR="00CD5C18">
        <w:t xml:space="preserve">Peoples’ </w:t>
      </w:r>
      <w:r w:rsidR="00CD5C18" w:rsidRPr="000C5C3D">
        <w:t>proposal</w:t>
      </w:r>
      <w:r w:rsidR="00CD5C18">
        <w:t xml:space="preserve"> to combine the PGC rates of its Peoples and Equitable Divisions, including over/under collection factors, effective October 1, 2015, should be approved.  Appendix C shows the effects of consolidating the Peoples Division and Peoples-Equitable Division rates under the Settlement.  As explained in </w:t>
      </w:r>
      <w:r w:rsidR="00091235">
        <w:t xml:space="preserve">Section III </w:t>
      </w:r>
      <w:proofErr w:type="gramStart"/>
      <w:r w:rsidR="00091235">
        <w:t>A</w:t>
      </w:r>
      <w:proofErr w:type="gramEnd"/>
      <w:r w:rsidR="00CD5C18">
        <w:t xml:space="preserve"> above, the combined rates will be subject to updates traditionally performed on October 1.  Anticipating approval to combine the PGC rates, the Joint Petitioners agree that the Company shall file a 60-day tariff filing to be effective October 1, 2015, that proposes to merge the separate Merchant Function Charge (“MFC”) and Gas Procurement Charge (“GPC”) of the Divisions so that a single price-to-compare rate is effective October 1, 2015.  All parties reserve their rights to comment on and oppose this tariff filing.</w:t>
      </w:r>
      <w:r w:rsidR="00091235">
        <w:t xml:space="preserve">  (Joint Petition, pp. 6-7.)</w:t>
      </w:r>
    </w:p>
    <w:p w:rsidR="00E753C6" w:rsidRDefault="00E753C6" w:rsidP="00E63ACF">
      <w:pPr>
        <w:pStyle w:val="ListNumber"/>
        <w:numPr>
          <w:ilvl w:val="0"/>
          <w:numId w:val="0"/>
        </w:numPr>
        <w:spacing w:line="360" w:lineRule="auto"/>
        <w:ind w:firstLine="720"/>
      </w:pPr>
    </w:p>
    <w:p w:rsidR="00CD5C18" w:rsidRDefault="00E753C6" w:rsidP="00E63ACF">
      <w:pPr>
        <w:pStyle w:val="ListNumber"/>
        <w:numPr>
          <w:ilvl w:val="0"/>
          <w:numId w:val="0"/>
        </w:numPr>
        <w:spacing w:line="360" w:lineRule="auto"/>
        <w:ind w:firstLine="720"/>
      </w:pPr>
      <w:r>
        <w:tab/>
      </w:r>
      <w:r w:rsidR="00CD5C18">
        <w:t>Peoples will make a single PGC (1307(f)) filing combining data and over/under collections for both Divisions in 2016.  (Joint Petition, p. 7.)</w:t>
      </w:r>
    </w:p>
    <w:p w:rsidR="00CD5C18" w:rsidRDefault="00CD5C18" w:rsidP="00E63ACF">
      <w:pPr>
        <w:pStyle w:val="ListNumber"/>
        <w:numPr>
          <w:ilvl w:val="0"/>
          <w:numId w:val="0"/>
        </w:numPr>
        <w:spacing w:line="360" w:lineRule="auto"/>
        <w:ind w:firstLine="720"/>
      </w:pPr>
    </w:p>
    <w:p w:rsidR="00CD5C18" w:rsidRPr="00E753C6" w:rsidRDefault="00E753C6" w:rsidP="00E753C6">
      <w:pPr>
        <w:pStyle w:val="Heading2"/>
        <w:keepNext/>
        <w:spacing w:after="0" w:line="360" w:lineRule="auto"/>
        <w:ind w:left="720"/>
        <w:jc w:val="left"/>
        <w:rPr>
          <w:b w:val="0"/>
          <w:u w:val="single"/>
        </w:rPr>
      </w:pPr>
      <w:r w:rsidRPr="00E753C6">
        <w:rPr>
          <w:b w:val="0"/>
          <w:caps w:val="0"/>
          <w:u w:val="single"/>
        </w:rPr>
        <w:t>Capacity Levels</w:t>
      </w:r>
    </w:p>
    <w:p w:rsidR="00E753C6" w:rsidRPr="00E753C6" w:rsidRDefault="00E753C6" w:rsidP="00E753C6">
      <w:pPr>
        <w:pStyle w:val="BodyText2"/>
        <w:spacing w:after="0" w:line="360" w:lineRule="auto"/>
      </w:pPr>
    </w:p>
    <w:p w:rsidR="00CD5C18" w:rsidRDefault="00E753C6" w:rsidP="00E63ACF">
      <w:pPr>
        <w:pStyle w:val="ListNumber"/>
        <w:numPr>
          <w:ilvl w:val="0"/>
          <w:numId w:val="0"/>
        </w:numPr>
        <w:spacing w:line="360" w:lineRule="auto"/>
        <w:ind w:firstLine="720"/>
      </w:pPr>
      <w:r>
        <w:tab/>
      </w:r>
      <w:r w:rsidR="00CD5C18">
        <w:t>The Parties to the Settlement agree that the total level of capacity proposed for the Peoples and Peoples-Equitable Divisions for the projected period commencing October 1, 2015 (which includes an arrangement for firm gas supplies of 25,000 Dt/day from TETCO at Ebensburg for late winter season reliability reasons), is appropriate and should be approved.  This Settlement agreement is not intended to approve any methodology for determining capacity requirements or design day criteria in any future proceeding.</w:t>
      </w:r>
    </w:p>
    <w:p w:rsidR="00CD5C18" w:rsidRDefault="00142931" w:rsidP="00E63ACF">
      <w:pPr>
        <w:pStyle w:val="ListNumber"/>
        <w:numPr>
          <w:ilvl w:val="0"/>
          <w:numId w:val="0"/>
        </w:numPr>
        <w:spacing w:line="360" w:lineRule="auto"/>
        <w:ind w:firstLine="720"/>
      </w:pPr>
      <w:r>
        <w:lastRenderedPageBreak/>
        <w:tab/>
      </w:r>
      <w:proofErr w:type="gramStart"/>
      <w:r w:rsidR="00CD5C18">
        <w:t>Peoples agrees</w:t>
      </w:r>
      <w:proofErr w:type="gramEnd"/>
      <w:r w:rsidR="00CD5C18">
        <w:t xml:space="preserve"> to prepare and file a study of the combined capacity requirements and design day criteria for the proposed capacity requirements for the combined requirements of its two Divisions with its PGC filing in 2016.  (Joint Petition, pp. 7-8.)</w:t>
      </w:r>
    </w:p>
    <w:p w:rsidR="00FB0618" w:rsidRDefault="00FB0618" w:rsidP="00E63ACF">
      <w:pPr>
        <w:pStyle w:val="ListNumber"/>
        <w:numPr>
          <w:ilvl w:val="0"/>
          <w:numId w:val="0"/>
        </w:numPr>
        <w:spacing w:line="360" w:lineRule="auto"/>
        <w:ind w:firstLine="720"/>
      </w:pPr>
    </w:p>
    <w:p w:rsidR="00CD5C18" w:rsidRDefault="00142931" w:rsidP="00142931">
      <w:pPr>
        <w:pStyle w:val="Heading2"/>
        <w:tabs>
          <w:tab w:val="clear" w:pos="1440"/>
          <w:tab w:val="num" w:pos="720"/>
        </w:tabs>
        <w:spacing w:after="0" w:line="360" w:lineRule="auto"/>
        <w:ind w:hanging="1440"/>
        <w:jc w:val="left"/>
        <w:rPr>
          <w:b w:val="0"/>
          <w:caps w:val="0"/>
          <w:u w:val="single"/>
        </w:rPr>
      </w:pPr>
      <w:r w:rsidRPr="00142931">
        <w:rPr>
          <w:b w:val="0"/>
          <w:caps w:val="0"/>
          <w:u w:val="single"/>
        </w:rPr>
        <w:t>AVC Authorized Overrun Charges</w:t>
      </w:r>
    </w:p>
    <w:p w:rsidR="00B967B4" w:rsidRPr="00B967B4" w:rsidRDefault="00B967B4" w:rsidP="00B967B4">
      <w:pPr>
        <w:pStyle w:val="BodyText2"/>
        <w:spacing w:after="0" w:line="360" w:lineRule="auto"/>
      </w:pPr>
    </w:p>
    <w:p w:rsidR="00CD5C18" w:rsidRDefault="00B967B4" w:rsidP="00E63ACF">
      <w:pPr>
        <w:pStyle w:val="ListNumber"/>
        <w:numPr>
          <w:ilvl w:val="0"/>
          <w:numId w:val="0"/>
        </w:numPr>
        <w:spacing w:line="360" w:lineRule="auto"/>
        <w:ind w:firstLine="720"/>
      </w:pPr>
      <w:r>
        <w:tab/>
      </w:r>
      <w:r w:rsidR="00CD5C18">
        <w:t>Peoples Division agrees to remove the $1,005,000 of Allegheny Valley Connector (“AVC”) authorized overrun charges from the historic period (12 months ended January 2015) costs, and recover such costs from 1307(f) retail sales customers and choice customers through capacity charges and non-choice transportation customers through the BB&amp;A charge, for a one-year period beginning October 1, 2015.  The recovery rate is based on total projected annual throughput of both Divisions.  This Settlement agreement is not intended to approve any methodology or affect the manner in which authorized overrun charges are recovered in future PGC proceedings.  (Joint Petition, p. 8.)</w:t>
      </w:r>
    </w:p>
    <w:p w:rsidR="00CD5C18" w:rsidRDefault="00CD5C18" w:rsidP="00E63ACF">
      <w:pPr>
        <w:pStyle w:val="ListNumber"/>
        <w:numPr>
          <w:ilvl w:val="0"/>
          <w:numId w:val="0"/>
        </w:numPr>
        <w:spacing w:line="360" w:lineRule="auto"/>
        <w:ind w:firstLine="720"/>
      </w:pPr>
    </w:p>
    <w:p w:rsidR="00CD5C18" w:rsidRPr="00B967B4" w:rsidRDefault="00B967B4" w:rsidP="00B967B4">
      <w:pPr>
        <w:pStyle w:val="Heading2"/>
        <w:tabs>
          <w:tab w:val="clear" w:pos="1440"/>
          <w:tab w:val="num" w:pos="720"/>
        </w:tabs>
        <w:spacing w:after="0" w:line="360" w:lineRule="auto"/>
        <w:ind w:hanging="1440"/>
        <w:jc w:val="left"/>
        <w:rPr>
          <w:b w:val="0"/>
          <w:caps w:val="0"/>
          <w:u w:val="single"/>
        </w:rPr>
      </w:pPr>
      <w:r w:rsidRPr="00B967B4">
        <w:rPr>
          <w:b w:val="0"/>
          <w:caps w:val="0"/>
          <w:u w:val="single"/>
        </w:rPr>
        <w:t>Banking, Balancing and Advancing (BB&amp;A) Charges</w:t>
      </w:r>
    </w:p>
    <w:p w:rsidR="00B967B4" w:rsidRPr="00B967B4" w:rsidRDefault="00B967B4" w:rsidP="00B967B4">
      <w:pPr>
        <w:pStyle w:val="BodyText2"/>
        <w:spacing w:after="0" w:line="360" w:lineRule="auto"/>
      </w:pPr>
    </w:p>
    <w:p w:rsidR="00CD5C18" w:rsidRDefault="00B967B4" w:rsidP="00E63ACF">
      <w:pPr>
        <w:pStyle w:val="ListNumber"/>
        <w:numPr>
          <w:ilvl w:val="0"/>
          <w:numId w:val="0"/>
        </w:numPr>
        <w:spacing w:line="360" w:lineRule="auto"/>
        <w:ind w:firstLine="720"/>
      </w:pPr>
      <w:r>
        <w:tab/>
      </w:r>
      <w:r w:rsidR="00CD5C18">
        <w:t>Balancing charges for non-priority 1 transportation customers of both Divisions shall be combined and reflect the adjustments made in Peoples’ Supplemental and Rebuttal Testimony and Paragraph 40 of this Settlement.</w:t>
      </w:r>
    </w:p>
    <w:p w:rsidR="00B967B4" w:rsidRDefault="00B967B4" w:rsidP="00E63ACF">
      <w:pPr>
        <w:pStyle w:val="ListNumber"/>
        <w:numPr>
          <w:ilvl w:val="0"/>
          <w:numId w:val="0"/>
        </w:numPr>
        <w:spacing w:line="360" w:lineRule="auto"/>
        <w:ind w:firstLine="720"/>
      </w:pPr>
    </w:p>
    <w:p w:rsidR="00CD5C18" w:rsidRDefault="00B967B4" w:rsidP="00E63ACF">
      <w:pPr>
        <w:pStyle w:val="ListNumber"/>
        <w:numPr>
          <w:ilvl w:val="0"/>
          <w:numId w:val="0"/>
        </w:numPr>
        <w:spacing w:line="360" w:lineRule="auto"/>
        <w:ind w:firstLine="720"/>
      </w:pPr>
      <w:r>
        <w:tab/>
      </w:r>
      <w:r w:rsidR="00CD5C18">
        <w:t>If there are subsequent changes to interstate pipeline capacity contracts not identified in this proceeding, and such changes would affect the stand-by and/or balancing charges during the PGC period commencing October 1, 2015, the effects of such changes shall be reflected in future standby and/or balancing charges commencing October 1, 2016.  This provision includes any contracts entered into to maintain system reliability.  (Joint Petition, p. 8.)</w:t>
      </w:r>
    </w:p>
    <w:p w:rsidR="00CD5C18" w:rsidRDefault="00CD5C18" w:rsidP="00E63ACF">
      <w:pPr>
        <w:pStyle w:val="ListNumber"/>
        <w:numPr>
          <w:ilvl w:val="0"/>
          <w:numId w:val="0"/>
        </w:numPr>
        <w:spacing w:line="360" w:lineRule="auto"/>
        <w:ind w:firstLine="720"/>
      </w:pPr>
    </w:p>
    <w:p w:rsidR="00FB0618" w:rsidRDefault="00FB0618" w:rsidP="00E63ACF">
      <w:pPr>
        <w:pStyle w:val="ListNumber"/>
        <w:numPr>
          <w:ilvl w:val="0"/>
          <w:numId w:val="0"/>
        </w:numPr>
        <w:spacing w:line="360" w:lineRule="auto"/>
        <w:ind w:firstLine="720"/>
      </w:pPr>
    </w:p>
    <w:p w:rsidR="00FB0618" w:rsidRDefault="00FB0618" w:rsidP="00E63ACF">
      <w:pPr>
        <w:pStyle w:val="ListNumber"/>
        <w:numPr>
          <w:ilvl w:val="0"/>
          <w:numId w:val="0"/>
        </w:numPr>
        <w:spacing w:line="360" w:lineRule="auto"/>
        <w:ind w:firstLine="720"/>
      </w:pPr>
    </w:p>
    <w:p w:rsidR="00FB0618" w:rsidRDefault="00FB0618" w:rsidP="00E63ACF">
      <w:pPr>
        <w:pStyle w:val="ListNumber"/>
        <w:numPr>
          <w:ilvl w:val="0"/>
          <w:numId w:val="0"/>
        </w:numPr>
        <w:spacing w:line="360" w:lineRule="auto"/>
        <w:ind w:firstLine="720"/>
      </w:pPr>
    </w:p>
    <w:p w:rsidR="00FB0618" w:rsidRDefault="00FB0618" w:rsidP="00E63ACF">
      <w:pPr>
        <w:pStyle w:val="ListNumber"/>
        <w:numPr>
          <w:ilvl w:val="0"/>
          <w:numId w:val="0"/>
        </w:numPr>
        <w:spacing w:line="360" w:lineRule="auto"/>
        <w:ind w:firstLine="720"/>
      </w:pPr>
    </w:p>
    <w:p w:rsidR="00CD5C18" w:rsidRDefault="00B967B4" w:rsidP="00B967B4">
      <w:pPr>
        <w:pStyle w:val="Heading2"/>
        <w:keepNext/>
        <w:tabs>
          <w:tab w:val="clear" w:pos="1440"/>
          <w:tab w:val="num" w:pos="720"/>
        </w:tabs>
        <w:spacing w:after="0" w:line="360" w:lineRule="auto"/>
        <w:ind w:hanging="1440"/>
        <w:jc w:val="left"/>
        <w:rPr>
          <w:b w:val="0"/>
          <w:caps w:val="0"/>
          <w:u w:val="single"/>
        </w:rPr>
      </w:pPr>
      <w:r w:rsidRPr="00B967B4">
        <w:rPr>
          <w:b w:val="0"/>
          <w:caps w:val="0"/>
          <w:u w:val="single"/>
        </w:rPr>
        <w:lastRenderedPageBreak/>
        <w:t>Storage Accounting</w:t>
      </w:r>
    </w:p>
    <w:p w:rsidR="00B967B4" w:rsidRPr="00B967B4" w:rsidRDefault="00B967B4" w:rsidP="00B967B4">
      <w:pPr>
        <w:pStyle w:val="BodyText2"/>
        <w:spacing w:after="0" w:line="360" w:lineRule="auto"/>
      </w:pPr>
    </w:p>
    <w:p w:rsidR="00CD5C18" w:rsidRDefault="00B967B4" w:rsidP="00E63ACF">
      <w:pPr>
        <w:pStyle w:val="ListNumber"/>
        <w:numPr>
          <w:ilvl w:val="0"/>
          <w:numId w:val="0"/>
        </w:numPr>
        <w:spacing w:line="360" w:lineRule="auto"/>
        <w:ind w:firstLine="720"/>
      </w:pPr>
      <w:r>
        <w:tab/>
      </w:r>
      <w:r w:rsidR="00CD5C18">
        <w:t xml:space="preserve">In support of the continued use </w:t>
      </w:r>
      <w:r w:rsidR="00FD70D4">
        <w:t>of the</w:t>
      </w:r>
      <w:r w:rsidR="00CD5C18">
        <w:t xml:space="preserve"> annual </w:t>
      </w:r>
      <w:r w:rsidR="00FD70D4">
        <w:t>last-in/first-out (</w:t>
      </w:r>
      <w:r w:rsidR="00CD5C18">
        <w:t>LIFO</w:t>
      </w:r>
      <w:r w:rsidR="00FD70D4">
        <w:t>)</w:t>
      </w:r>
      <w:r w:rsidR="00CD5C18">
        <w:t xml:space="preserve"> rate for the Peoples Division, Peoples Division’s proposal to use the combined average purchased gas cost of both Divisions that excludes demand costs will be approved effective October 1, 2015.</w:t>
      </w:r>
    </w:p>
    <w:p w:rsidR="00B967B4" w:rsidRDefault="00B967B4" w:rsidP="00E63ACF">
      <w:pPr>
        <w:pStyle w:val="ListNumber"/>
        <w:numPr>
          <w:ilvl w:val="0"/>
          <w:numId w:val="0"/>
        </w:numPr>
        <w:spacing w:line="360" w:lineRule="auto"/>
        <w:ind w:firstLine="720"/>
      </w:pPr>
    </w:p>
    <w:p w:rsidR="00CD5C18" w:rsidRDefault="00B967B4" w:rsidP="00E63ACF">
      <w:pPr>
        <w:pStyle w:val="ListNumber"/>
        <w:numPr>
          <w:ilvl w:val="0"/>
          <w:numId w:val="0"/>
        </w:numPr>
        <w:spacing w:line="360" w:lineRule="auto"/>
        <w:ind w:firstLine="720"/>
      </w:pPr>
      <w:r>
        <w:tab/>
      </w:r>
      <w:r w:rsidR="00CD5C18">
        <w:t xml:space="preserve">The annual LIFO storage accounting rate for 2015 for the Peoples Division shall include </w:t>
      </w:r>
      <w:r w:rsidR="00B718AC">
        <w:t>nine</w:t>
      </w:r>
      <w:r w:rsidR="00CD5C18">
        <w:t xml:space="preserve"> months of Peoples Division costs (including demand costs) for the period of January</w:t>
      </w:r>
      <w:r w:rsidR="00B718AC">
        <w:t> </w:t>
      </w:r>
      <w:r w:rsidR="00CD5C18">
        <w:t xml:space="preserve">1, 2015 through September 30, 2015) and 3 months of combined Division costs (excluding demand costs for the period of October 1, 2015 through December 31, 2015).  </w:t>
      </w:r>
    </w:p>
    <w:p w:rsidR="00B967B4" w:rsidRDefault="00B967B4" w:rsidP="00E63ACF">
      <w:pPr>
        <w:pStyle w:val="ListNumber"/>
        <w:numPr>
          <w:ilvl w:val="0"/>
          <w:numId w:val="0"/>
        </w:numPr>
        <w:spacing w:line="360" w:lineRule="auto"/>
        <w:ind w:firstLine="720"/>
      </w:pPr>
    </w:p>
    <w:p w:rsidR="00CD5C18" w:rsidRDefault="00B967B4" w:rsidP="00E63ACF">
      <w:pPr>
        <w:pStyle w:val="ListNumber"/>
        <w:numPr>
          <w:ilvl w:val="0"/>
          <w:numId w:val="0"/>
        </w:numPr>
        <w:spacing w:line="360" w:lineRule="auto"/>
        <w:ind w:firstLine="720"/>
      </w:pPr>
      <w:r>
        <w:tab/>
      </w:r>
      <w:r w:rsidR="00CD5C18">
        <w:t xml:space="preserve">In support of the continued use of the </w:t>
      </w:r>
      <w:r w:rsidR="00FB0618">
        <w:t>weighted average cost of gas (</w:t>
      </w:r>
      <w:r w:rsidR="00CD5C18">
        <w:t>WACOG</w:t>
      </w:r>
      <w:r w:rsidR="00FB0618">
        <w:t>)</w:t>
      </w:r>
      <w:r w:rsidR="00CD5C18">
        <w:t xml:space="preserve"> rate for the Peoples-Equitable Division, the Company’s proposal to use the combined monthly average commodity cost of gas of both Divisions, will be approved effective October 1, 2015.  (Joint Petition, p. 9.)</w:t>
      </w:r>
    </w:p>
    <w:p w:rsidR="00CD5C18" w:rsidRDefault="00CD5C18" w:rsidP="00E63ACF">
      <w:pPr>
        <w:pStyle w:val="ListNumber"/>
        <w:numPr>
          <w:ilvl w:val="0"/>
          <w:numId w:val="0"/>
        </w:numPr>
        <w:spacing w:line="360" w:lineRule="auto"/>
        <w:ind w:firstLine="720"/>
      </w:pPr>
    </w:p>
    <w:p w:rsidR="00CD5C18" w:rsidRDefault="00B967B4" w:rsidP="00B967B4">
      <w:pPr>
        <w:pStyle w:val="Heading2"/>
        <w:tabs>
          <w:tab w:val="clear" w:pos="1440"/>
        </w:tabs>
        <w:spacing w:after="0" w:line="360" w:lineRule="auto"/>
        <w:ind w:left="720"/>
        <w:jc w:val="left"/>
        <w:rPr>
          <w:b w:val="0"/>
          <w:u w:val="single"/>
        </w:rPr>
      </w:pPr>
      <w:r w:rsidRPr="00B967B4">
        <w:rPr>
          <w:b w:val="0"/>
          <w:caps w:val="0"/>
          <w:u w:val="single"/>
        </w:rPr>
        <w:t>Retainage</w:t>
      </w:r>
      <w:r w:rsidR="00CD5C18" w:rsidRPr="00B967B4">
        <w:rPr>
          <w:b w:val="0"/>
          <w:u w:val="single"/>
        </w:rPr>
        <w:t xml:space="preserve"> </w:t>
      </w:r>
    </w:p>
    <w:p w:rsidR="00B967B4" w:rsidRPr="00B967B4" w:rsidRDefault="00B967B4" w:rsidP="00B967B4">
      <w:pPr>
        <w:pStyle w:val="BodyText2"/>
        <w:spacing w:after="0" w:line="360" w:lineRule="auto"/>
      </w:pPr>
    </w:p>
    <w:p w:rsidR="00CD5C18" w:rsidRDefault="00B967B4" w:rsidP="00E63ACF">
      <w:pPr>
        <w:pStyle w:val="ListNumber"/>
        <w:numPr>
          <w:ilvl w:val="0"/>
          <w:numId w:val="0"/>
        </w:numPr>
        <w:spacing w:line="360" w:lineRule="auto"/>
        <w:ind w:firstLine="720"/>
      </w:pPr>
      <w:r>
        <w:tab/>
      </w:r>
      <w:r w:rsidR="00CD5C18">
        <w:t>Effective October 1, 2015, the tariffed retainage rate for all rate classes of both the Peoples Division and Peoples-Equitable Division shall be 5%.</w:t>
      </w:r>
    </w:p>
    <w:p w:rsidR="00B967B4" w:rsidRDefault="00B967B4" w:rsidP="00E63ACF">
      <w:pPr>
        <w:pStyle w:val="ListNumber"/>
        <w:numPr>
          <w:ilvl w:val="0"/>
          <w:numId w:val="0"/>
        </w:numPr>
        <w:spacing w:line="360" w:lineRule="auto"/>
        <w:ind w:firstLine="720"/>
      </w:pPr>
    </w:p>
    <w:p w:rsidR="00CD5C18" w:rsidRDefault="00B967B4" w:rsidP="00E63ACF">
      <w:pPr>
        <w:pStyle w:val="ListNumber"/>
        <w:numPr>
          <w:ilvl w:val="0"/>
          <w:numId w:val="0"/>
        </w:numPr>
        <w:spacing w:line="360" w:lineRule="auto"/>
        <w:ind w:firstLine="720"/>
      </w:pPr>
      <w:r>
        <w:tab/>
        <w:t>T</w:t>
      </w:r>
      <w:r w:rsidR="00CD5C18">
        <w:t xml:space="preserve">o support the basis for future retainage calculations, Peoples will provide a reconciliation of the volumes used to calculate retainage in the 1307(f) filing with the volumes reported in the annual UFG report.  </w:t>
      </w:r>
    </w:p>
    <w:p w:rsidR="00B967B4" w:rsidRDefault="00B967B4" w:rsidP="00E63ACF">
      <w:pPr>
        <w:pStyle w:val="ListNumber"/>
        <w:numPr>
          <w:ilvl w:val="0"/>
          <w:numId w:val="0"/>
        </w:numPr>
        <w:spacing w:line="360" w:lineRule="auto"/>
        <w:ind w:firstLine="720"/>
      </w:pPr>
    </w:p>
    <w:p w:rsidR="00CD5C18" w:rsidRDefault="00B967B4" w:rsidP="00E63ACF">
      <w:pPr>
        <w:pStyle w:val="ListNumber"/>
        <w:numPr>
          <w:ilvl w:val="0"/>
          <w:numId w:val="0"/>
        </w:numPr>
        <w:spacing w:line="360" w:lineRule="auto"/>
        <w:ind w:firstLine="720"/>
      </w:pPr>
      <w:r>
        <w:tab/>
      </w:r>
      <w:r w:rsidR="00CD5C18">
        <w:t xml:space="preserve">The newly negotiated waivers of retainage contained in Peoples Division and Peoples-Equitable Division Confidential Exhibit </w:t>
      </w:r>
      <w:r w:rsidR="00CD5C18" w:rsidRPr="00DC28DA">
        <w:t>Nos. 12,</w:t>
      </w:r>
      <w:r w:rsidR="00CD5C18">
        <w:t xml:space="preserve"> should be approved.  (Joint Petition, p.</w:t>
      </w:r>
      <w:r>
        <w:t> </w:t>
      </w:r>
      <w:r w:rsidR="00CD5C18">
        <w:t>10.)</w:t>
      </w:r>
    </w:p>
    <w:p w:rsidR="00CD5C18" w:rsidRDefault="00CD5C18" w:rsidP="00E63ACF">
      <w:pPr>
        <w:pStyle w:val="ListNumber"/>
        <w:numPr>
          <w:ilvl w:val="0"/>
          <w:numId w:val="0"/>
        </w:numPr>
        <w:spacing w:line="360" w:lineRule="auto"/>
        <w:ind w:firstLine="720"/>
      </w:pPr>
    </w:p>
    <w:p w:rsidR="00462BFD" w:rsidRDefault="00462BFD" w:rsidP="00E63ACF">
      <w:pPr>
        <w:pStyle w:val="ListNumber"/>
        <w:numPr>
          <w:ilvl w:val="0"/>
          <w:numId w:val="0"/>
        </w:numPr>
        <w:spacing w:line="360" w:lineRule="auto"/>
        <w:ind w:firstLine="720"/>
      </w:pPr>
    </w:p>
    <w:p w:rsidR="00462BFD" w:rsidRDefault="00462BFD" w:rsidP="00E63ACF">
      <w:pPr>
        <w:pStyle w:val="ListNumber"/>
        <w:numPr>
          <w:ilvl w:val="0"/>
          <w:numId w:val="0"/>
        </w:numPr>
        <w:spacing w:line="360" w:lineRule="auto"/>
        <w:ind w:firstLine="720"/>
      </w:pPr>
    </w:p>
    <w:p w:rsidR="00CD5C18" w:rsidRDefault="002E4AB6" w:rsidP="002E4AB6">
      <w:pPr>
        <w:pStyle w:val="Heading2"/>
        <w:tabs>
          <w:tab w:val="clear" w:pos="1440"/>
        </w:tabs>
        <w:spacing w:after="0" w:line="360" w:lineRule="auto"/>
        <w:ind w:left="720"/>
        <w:jc w:val="left"/>
        <w:rPr>
          <w:b w:val="0"/>
          <w:caps w:val="0"/>
          <w:u w:val="single"/>
        </w:rPr>
      </w:pPr>
      <w:r w:rsidRPr="002E4AB6">
        <w:rPr>
          <w:b w:val="0"/>
          <w:caps w:val="0"/>
          <w:u w:val="single"/>
        </w:rPr>
        <w:lastRenderedPageBreak/>
        <w:t>Sharing Mechanisms</w:t>
      </w:r>
    </w:p>
    <w:p w:rsidR="002E4AB6" w:rsidRPr="002E4AB6" w:rsidRDefault="002E4AB6" w:rsidP="002E4AB6">
      <w:pPr>
        <w:pStyle w:val="BodyText2"/>
        <w:spacing w:after="0" w:line="360" w:lineRule="auto"/>
      </w:pPr>
    </w:p>
    <w:p w:rsidR="00CD5C18" w:rsidRDefault="002E4AB6" w:rsidP="00E63ACF">
      <w:pPr>
        <w:pStyle w:val="ListNumber"/>
        <w:numPr>
          <w:ilvl w:val="0"/>
          <w:numId w:val="0"/>
        </w:numPr>
        <w:spacing w:line="360" w:lineRule="auto"/>
        <w:ind w:firstLine="720"/>
      </w:pPr>
      <w:r>
        <w:tab/>
      </w:r>
      <w:r w:rsidR="001D6BE9">
        <w:t xml:space="preserve">The Settling </w:t>
      </w:r>
      <w:r w:rsidR="00CD5C18">
        <w:t>Parties agree that the current 75% customer/25% company capacity release and off-system sales sharing mechanism shall be extended for an additional two-year period through September 30, 2017.  (Joint Petition, p. 9.)</w:t>
      </w:r>
    </w:p>
    <w:p w:rsidR="00CD5C18" w:rsidRPr="00660CEC" w:rsidRDefault="00CD5C18" w:rsidP="00E63ACF">
      <w:pPr>
        <w:pStyle w:val="ListNumber"/>
        <w:numPr>
          <w:ilvl w:val="0"/>
          <w:numId w:val="0"/>
        </w:numPr>
        <w:spacing w:line="360" w:lineRule="auto"/>
        <w:ind w:firstLine="720"/>
      </w:pPr>
    </w:p>
    <w:p w:rsidR="00CD5C18" w:rsidRDefault="002E4AB6" w:rsidP="002E4AB6">
      <w:pPr>
        <w:pStyle w:val="Heading2"/>
        <w:keepNext/>
        <w:tabs>
          <w:tab w:val="clear" w:pos="1440"/>
          <w:tab w:val="num" w:pos="720"/>
        </w:tabs>
        <w:spacing w:after="0" w:line="360" w:lineRule="auto"/>
        <w:ind w:hanging="1440"/>
        <w:jc w:val="left"/>
        <w:rPr>
          <w:b w:val="0"/>
          <w:caps w:val="0"/>
          <w:u w:val="single"/>
        </w:rPr>
      </w:pPr>
      <w:r w:rsidRPr="002E4AB6">
        <w:rPr>
          <w:b w:val="0"/>
          <w:caps w:val="0"/>
          <w:u w:val="single"/>
        </w:rPr>
        <w:t>Miscellaneous</w:t>
      </w:r>
    </w:p>
    <w:p w:rsidR="002E4AB6" w:rsidRPr="002E4AB6" w:rsidRDefault="002E4AB6" w:rsidP="002E4AB6">
      <w:pPr>
        <w:pStyle w:val="BodyText2"/>
        <w:spacing w:after="0" w:line="360" w:lineRule="auto"/>
      </w:pPr>
    </w:p>
    <w:p w:rsidR="00CD5C18" w:rsidRDefault="00F51FDB" w:rsidP="00E63ACF">
      <w:pPr>
        <w:pStyle w:val="ListNumber"/>
        <w:numPr>
          <w:ilvl w:val="0"/>
          <w:numId w:val="0"/>
        </w:numPr>
        <w:spacing w:line="360" w:lineRule="auto"/>
        <w:ind w:firstLine="720"/>
      </w:pPr>
      <w:r>
        <w:tab/>
      </w:r>
      <w:r w:rsidR="00CD5C18">
        <w:t>Except as revised by th</w:t>
      </w:r>
      <w:r w:rsidR="001D6BE9">
        <w:t>e</w:t>
      </w:r>
      <w:r w:rsidR="00CD5C18">
        <w:t xml:space="preserve"> Settlement, the proposed rates and other requested approvals contained in the PGC filings of the Peoples and Equitable Divisions of Peoples should be approved.  (Joint Petition, p. 10.)</w:t>
      </w:r>
    </w:p>
    <w:p w:rsidR="0020516B" w:rsidRDefault="0020516B" w:rsidP="00E63ACF">
      <w:pPr>
        <w:pStyle w:val="ListNumber"/>
        <w:numPr>
          <w:ilvl w:val="0"/>
          <w:numId w:val="0"/>
        </w:numPr>
        <w:spacing w:line="360" w:lineRule="auto"/>
        <w:ind w:firstLine="720"/>
      </w:pPr>
    </w:p>
    <w:p w:rsidR="00CD5C18" w:rsidRDefault="005200D3" w:rsidP="005200D3">
      <w:pPr>
        <w:pStyle w:val="Heading2"/>
        <w:keepNext/>
        <w:spacing w:after="0" w:line="360" w:lineRule="auto"/>
        <w:ind w:left="720"/>
        <w:jc w:val="left"/>
        <w:rPr>
          <w:b w:val="0"/>
          <w:caps w:val="0"/>
          <w:u w:val="single"/>
        </w:rPr>
      </w:pPr>
      <w:r w:rsidRPr="005200D3">
        <w:rPr>
          <w:b w:val="0"/>
          <w:caps w:val="0"/>
          <w:u w:val="single"/>
        </w:rPr>
        <w:t>Least Cost Fuel Procurement Policy – Reconciliation Period</w:t>
      </w:r>
    </w:p>
    <w:p w:rsidR="005200D3" w:rsidRPr="005200D3" w:rsidRDefault="005200D3" w:rsidP="005200D3">
      <w:pPr>
        <w:pStyle w:val="BodyText2"/>
        <w:spacing w:after="0" w:line="360" w:lineRule="auto"/>
      </w:pPr>
    </w:p>
    <w:p w:rsidR="00CD5C18" w:rsidRDefault="005200D3" w:rsidP="00E63ACF">
      <w:pPr>
        <w:pStyle w:val="ListNumber"/>
        <w:numPr>
          <w:ilvl w:val="0"/>
          <w:numId w:val="0"/>
        </w:numPr>
        <w:spacing w:line="360" w:lineRule="auto"/>
        <w:ind w:firstLine="720"/>
      </w:pPr>
      <w:r>
        <w:tab/>
      </w:r>
      <w:r w:rsidR="00CD5C18">
        <w:t xml:space="preserve">Each of the seven specific findings set forth in Sections 1318(a) and (b) of the Public Utility Code, 66 </w:t>
      </w:r>
      <w:proofErr w:type="spellStart"/>
      <w:r w:rsidR="00CD5C18">
        <w:t>Pa.C.S</w:t>
      </w:r>
      <w:proofErr w:type="spellEnd"/>
      <w:r w:rsidR="00CD5C18">
        <w:t xml:space="preserve">. §§ 1318(a) and (b), applies to Peoples Division and Peoples-Equitable Division for the 12-month period of February 1, 2014 through January 31, 2015 and, as a result, the natural gas costs that Peoples Division and Peoples-Equitable Division incurred over the 12-month period of February 1, 2014 through January 31, 2015 were incurred under a “least cost fuel procurement policy, consistent with [Peoples Division’s and Peoples-Equitable </w:t>
      </w:r>
      <w:proofErr w:type="spellStart"/>
      <w:r w:rsidR="00CD5C18">
        <w:t>Divisions’s</w:t>
      </w:r>
      <w:proofErr w:type="spellEnd"/>
      <w:r w:rsidR="00CD5C18">
        <w:t>] obligation to provide safe, adequate and reliable service to its customers.”  (Joint Petition, pp. 10-11.)</w:t>
      </w:r>
    </w:p>
    <w:p w:rsidR="00CD5C18" w:rsidRDefault="00CD5C18" w:rsidP="00E63ACF">
      <w:pPr>
        <w:pStyle w:val="ListNumber"/>
        <w:numPr>
          <w:ilvl w:val="0"/>
          <w:numId w:val="0"/>
        </w:numPr>
        <w:spacing w:line="360" w:lineRule="auto"/>
        <w:ind w:firstLine="720"/>
      </w:pPr>
    </w:p>
    <w:p w:rsidR="00CD5C18" w:rsidRDefault="005200D3" w:rsidP="005200D3">
      <w:pPr>
        <w:pStyle w:val="Heading2"/>
        <w:tabs>
          <w:tab w:val="clear" w:pos="1440"/>
        </w:tabs>
        <w:spacing w:after="0" w:line="360" w:lineRule="auto"/>
        <w:ind w:left="720"/>
        <w:jc w:val="left"/>
        <w:rPr>
          <w:b w:val="0"/>
          <w:caps w:val="0"/>
          <w:u w:val="single"/>
        </w:rPr>
      </w:pPr>
      <w:r w:rsidRPr="005200D3">
        <w:rPr>
          <w:b w:val="0"/>
          <w:caps w:val="0"/>
          <w:u w:val="single"/>
        </w:rPr>
        <w:t>Least Cost Fuel Procurement Policy – Projected Period</w:t>
      </w:r>
    </w:p>
    <w:p w:rsidR="005200D3" w:rsidRPr="005200D3" w:rsidRDefault="005200D3" w:rsidP="005200D3">
      <w:pPr>
        <w:pStyle w:val="BodyText2"/>
        <w:spacing w:after="0" w:line="360" w:lineRule="auto"/>
      </w:pPr>
    </w:p>
    <w:p w:rsidR="00CD5C18" w:rsidRDefault="005200D3" w:rsidP="00E63ACF">
      <w:pPr>
        <w:pStyle w:val="ListNumber"/>
        <w:numPr>
          <w:ilvl w:val="0"/>
          <w:numId w:val="0"/>
        </w:numPr>
        <w:spacing w:line="360" w:lineRule="auto"/>
        <w:ind w:firstLine="720"/>
      </w:pPr>
      <w:r>
        <w:tab/>
      </w:r>
      <w:r w:rsidR="00CD5C18">
        <w:t xml:space="preserve">Each of the seven specific findings set forth in Sections 1318(a) and (b) of the Public Utility Code, 66 </w:t>
      </w:r>
      <w:proofErr w:type="spellStart"/>
      <w:r w:rsidR="00CD5C18">
        <w:t>Pa.C.S</w:t>
      </w:r>
      <w:proofErr w:type="spellEnd"/>
      <w:r w:rsidR="00CD5C18">
        <w:t xml:space="preserve">. §§ 1318(a) and (b), appear to apply to Peoples Division and Peoples-Equitable Division for the 20-month period of February 1, 2015 through September 30, 2016 and, as a result, the natural gas costs that Peoples will incur over the 20-month period of February 1, 2015 through September 30, 2016 appear that they will be incurred under a “least </w:t>
      </w:r>
      <w:r w:rsidR="00CD5C18">
        <w:lastRenderedPageBreak/>
        <w:t xml:space="preserve">cost fuel procurement policy, consistent with [Peoples Division’s and Peoples-Equitable Division’s] obligation to provide safe, adequate and reliable service to its customers.”  </w:t>
      </w:r>
    </w:p>
    <w:p w:rsidR="00EE2200" w:rsidRDefault="00EE2200" w:rsidP="00E63ACF">
      <w:pPr>
        <w:pStyle w:val="ListNumber"/>
        <w:numPr>
          <w:ilvl w:val="0"/>
          <w:numId w:val="0"/>
        </w:numPr>
        <w:spacing w:line="360" w:lineRule="auto"/>
        <w:ind w:firstLine="720"/>
      </w:pPr>
    </w:p>
    <w:p w:rsidR="00CD5C18" w:rsidRDefault="005200D3" w:rsidP="00E63ACF">
      <w:pPr>
        <w:pStyle w:val="ListNumber"/>
        <w:numPr>
          <w:ilvl w:val="0"/>
          <w:numId w:val="0"/>
        </w:numPr>
        <w:spacing w:line="360" w:lineRule="auto"/>
        <w:ind w:firstLine="720"/>
      </w:pPr>
      <w:r>
        <w:tab/>
      </w:r>
      <w:r w:rsidR="00CD5C18">
        <w:t>It is understood and expressly agreed that the Commission’s findings and conclusions relating to the projected 20-month period of February 1, 2015 through September 30, 2016 are made solely for the purpose of setting prospective rates.  The terms and conditions of this Settlement are not intended to limit or prevent in any way the Parties or any future complainant from challenging:  (1) the application of the seven specific findings set forth in Sections 1318(a) and (b) of the Public Utility Code to Peoples Division and Peoples-Equitable Division for the actual 20-month period of February 1, 2015 through September 30, 2016 and, therefore, (2) whether the natural gas costs actually incurred by Peoples Division and Peoples-Equitable Division over that 20-month period were incurred pursuant to a “least cost fuel procurement policy, consistent with [Peoples Division’s and Peoples-Equitable</w:t>
      </w:r>
      <w:r w:rsidR="00CD5C18" w:rsidRPr="00AD75E9">
        <w:t xml:space="preserve"> </w:t>
      </w:r>
      <w:r w:rsidR="00CD5C18">
        <w:t>Division’s] obligation to provide safe, adequate and reliable service to its customers.”  (Joint Petition, pp.</w:t>
      </w:r>
      <w:r w:rsidR="00F25339">
        <w:t> </w:t>
      </w:r>
      <w:r w:rsidR="00CD5C18">
        <w:t>10-11.)</w:t>
      </w:r>
    </w:p>
    <w:p w:rsidR="00CD5C18" w:rsidRPr="003222FA" w:rsidRDefault="00CD5C18" w:rsidP="00CD5C18">
      <w:pPr>
        <w:spacing w:line="360" w:lineRule="auto"/>
        <w:rPr>
          <w:b/>
          <w:sz w:val="24"/>
          <w:szCs w:val="24"/>
        </w:rPr>
      </w:pPr>
    </w:p>
    <w:p w:rsidR="00CD5C18" w:rsidRDefault="00CD5C18" w:rsidP="00CD5C18">
      <w:pPr>
        <w:spacing w:line="360" w:lineRule="auto"/>
        <w:jc w:val="center"/>
        <w:rPr>
          <w:sz w:val="24"/>
          <w:szCs w:val="24"/>
          <w:u w:val="single"/>
        </w:rPr>
      </w:pPr>
      <w:r w:rsidRPr="002A7F81">
        <w:rPr>
          <w:sz w:val="24"/>
          <w:szCs w:val="24"/>
        </w:rPr>
        <w:t>IV.</w:t>
      </w:r>
      <w:r w:rsidRPr="002A7F81">
        <w:rPr>
          <w:sz w:val="24"/>
          <w:szCs w:val="24"/>
        </w:rPr>
        <w:tab/>
      </w:r>
      <w:r w:rsidRPr="002A7F81">
        <w:rPr>
          <w:sz w:val="24"/>
          <w:szCs w:val="24"/>
          <w:u w:val="single"/>
        </w:rPr>
        <w:t>DISCUSSION</w:t>
      </w:r>
    </w:p>
    <w:p w:rsidR="00E63ACF" w:rsidRPr="002A7F81" w:rsidRDefault="00E63ACF" w:rsidP="00CD5C18">
      <w:pPr>
        <w:spacing w:line="360" w:lineRule="auto"/>
        <w:jc w:val="center"/>
        <w:rPr>
          <w:sz w:val="24"/>
          <w:szCs w:val="24"/>
        </w:rPr>
      </w:pPr>
    </w:p>
    <w:p w:rsidR="00CD5C18" w:rsidRPr="002A7F81" w:rsidRDefault="00CD5C18" w:rsidP="00CD5C18">
      <w:pPr>
        <w:spacing w:line="360" w:lineRule="auto"/>
        <w:ind w:firstLine="1440"/>
        <w:rPr>
          <w:sz w:val="24"/>
          <w:szCs w:val="24"/>
        </w:rPr>
      </w:pPr>
      <w:r w:rsidRPr="002A7F81">
        <w:rPr>
          <w:sz w:val="24"/>
          <w:szCs w:val="24"/>
        </w:rPr>
        <w:t>The Commission encourages parties in contested on-the-record proceedings to settle cases.</w:t>
      </w:r>
      <w:r w:rsidRPr="002A7F81">
        <w:rPr>
          <w:rStyle w:val="FootnoteReference"/>
          <w:szCs w:val="24"/>
        </w:rPr>
        <w:footnoteReference w:id="2"/>
      </w:r>
      <w:r w:rsidRPr="002A7F81">
        <w:rPr>
          <w:sz w:val="24"/>
          <w:szCs w:val="24"/>
        </w:rPr>
        <w:t xml:space="preserve">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CD5C18" w:rsidRDefault="00CD5C18" w:rsidP="00CD5C18">
      <w:pPr>
        <w:spacing w:line="360" w:lineRule="auto"/>
        <w:ind w:firstLine="1440"/>
        <w:rPr>
          <w:sz w:val="24"/>
          <w:szCs w:val="24"/>
        </w:rPr>
      </w:pPr>
    </w:p>
    <w:p w:rsidR="00814147" w:rsidRDefault="00CD5C18" w:rsidP="00CD5C18">
      <w:pPr>
        <w:spacing w:line="360" w:lineRule="auto"/>
        <w:ind w:firstLine="1440"/>
        <w:rPr>
          <w:sz w:val="24"/>
          <w:szCs w:val="24"/>
        </w:rPr>
      </w:pPr>
      <w:r w:rsidRPr="002A7F81">
        <w:rPr>
          <w:sz w:val="24"/>
          <w:szCs w:val="24"/>
        </w:rPr>
        <w:t xml:space="preserve">By definition, a “settlement” reflects a compromise of the positions the parties of interest held, which arguably fosters and promotes the public interest.  When active parties in a proceeding reach a settlement, the principal issue for Commission consideration is whether the </w:t>
      </w:r>
    </w:p>
    <w:p w:rsidR="00CD5C18" w:rsidRPr="002A7F81" w:rsidRDefault="00CD5C18" w:rsidP="00814147">
      <w:pPr>
        <w:spacing w:line="360" w:lineRule="auto"/>
        <w:rPr>
          <w:sz w:val="24"/>
          <w:szCs w:val="24"/>
        </w:rPr>
      </w:pPr>
      <w:proofErr w:type="gramStart"/>
      <w:r w:rsidRPr="002A7F81">
        <w:rPr>
          <w:sz w:val="24"/>
          <w:szCs w:val="24"/>
        </w:rPr>
        <w:lastRenderedPageBreak/>
        <w:t>agreement</w:t>
      </w:r>
      <w:proofErr w:type="gramEnd"/>
      <w:r w:rsidRPr="002A7F81">
        <w:rPr>
          <w:sz w:val="24"/>
          <w:szCs w:val="24"/>
        </w:rPr>
        <w:t xml:space="preserve"> reached suits the public interest.</w:t>
      </w:r>
      <w:r w:rsidRPr="002A7F81">
        <w:rPr>
          <w:rStyle w:val="FootnoteReference"/>
          <w:szCs w:val="24"/>
        </w:rPr>
        <w:footnoteReference w:id="3"/>
      </w:r>
      <w:r w:rsidRPr="002A7F81">
        <w:rPr>
          <w:sz w:val="24"/>
          <w:szCs w:val="24"/>
        </w:rPr>
        <w:t xml:space="preserve">  In their supporting statements, </w:t>
      </w:r>
      <w:r>
        <w:rPr>
          <w:sz w:val="24"/>
          <w:szCs w:val="24"/>
        </w:rPr>
        <w:t xml:space="preserve">Peoples, </w:t>
      </w:r>
      <w:r w:rsidRPr="002A7F81">
        <w:rPr>
          <w:sz w:val="24"/>
          <w:szCs w:val="24"/>
        </w:rPr>
        <w:t>I</w:t>
      </w:r>
      <w:r>
        <w:rPr>
          <w:sz w:val="24"/>
          <w:szCs w:val="24"/>
        </w:rPr>
        <w:t>&amp;</w:t>
      </w:r>
      <w:r w:rsidRPr="002A7F81">
        <w:rPr>
          <w:sz w:val="24"/>
          <w:szCs w:val="24"/>
        </w:rPr>
        <w:t xml:space="preserve">E, </w:t>
      </w:r>
      <w:r>
        <w:rPr>
          <w:sz w:val="24"/>
          <w:szCs w:val="24"/>
        </w:rPr>
        <w:t xml:space="preserve">OSBA and </w:t>
      </w:r>
      <w:r w:rsidRPr="002A7F81">
        <w:rPr>
          <w:sz w:val="24"/>
          <w:szCs w:val="24"/>
        </w:rPr>
        <w:t xml:space="preserve">OCA </w:t>
      </w:r>
      <w:r>
        <w:rPr>
          <w:sz w:val="24"/>
          <w:szCs w:val="24"/>
        </w:rPr>
        <w:t>c</w:t>
      </w:r>
      <w:r w:rsidRPr="002A7F81">
        <w:rPr>
          <w:sz w:val="24"/>
          <w:szCs w:val="24"/>
        </w:rPr>
        <w:t xml:space="preserve">onclude, after extensive discovery and discussion, this </w:t>
      </w:r>
      <w:r>
        <w:rPr>
          <w:sz w:val="24"/>
          <w:szCs w:val="24"/>
        </w:rPr>
        <w:t>S</w:t>
      </w:r>
      <w:r w:rsidRPr="002A7F81">
        <w:rPr>
          <w:sz w:val="24"/>
          <w:szCs w:val="24"/>
        </w:rPr>
        <w:t xml:space="preserve">ettlement resolves the issues in this case, fairly balances the interests of </w:t>
      </w:r>
      <w:r>
        <w:rPr>
          <w:sz w:val="24"/>
          <w:szCs w:val="24"/>
        </w:rPr>
        <w:t>Peoples</w:t>
      </w:r>
      <w:r w:rsidRPr="002A7F81">
        <w:rPr>
          <w:sz w:val="24"/>
          <w:szCs w:val="24"/>
        </w:rPr>
        <w:t xml:space="preserve"> and its ratepayers, is in the public interest, is consistent with the requirements of Sections 1307 and 1318 of the Public Utility Code,</w:t>
      </w:r>
      <w:r w:rsidRPr="002A7F81">
        <w:rPr>
          <w:rStyle w:val="FootnoteReference"/>
          <w:szCs w:val="24"/>
        </w:rPr>
        <w:footnoteReference w:id="4"/>
      </w:r>
      <w:r w:rsidRPr="002A7F81">
        <w:rPr>
          <w:sz w:val="24"/>
          <w:szCs w:val="24"/>
        </w:rPr>
        <w:t xml:space="preserve"> and should be approved. </w:t>
      </w:r>
    </w:p>
    <w:p w:rsidR="00CD5C18" w:rsidRDefault="00CD5C18" w:rsidP="00CD5C18">
      <w:pPr>
        <w:spacing w:line="360" w:lineRule="auto"/>
        <w:ind w:firstLine="1440"/>
        <w:rPr>
          <w:sz w:val="24"/>
          <w:szCs w:val="24"/>
        </w:rPr>
      </w:pPr>
    </w:p>
    <w:p w:rsidR="00CD5C18" w:rsidRPr="002A7F81" w:rsidRDefault="00CD5C18" w:rsidP="00CD5C18">
      <w:pPr>
        <w:spacing w:line="360" w:lineRule="auto"/>
        <w:ind w:firstLine="1440"/>
        <w:rPr>
          <w:sz w:val="24"/>
          <w:szCs w:val="24"/>
        </w:rPr>
      </w:pPr>
      <w:r w:rsidRPr="002A7F81">
        <w:rPr>
          <w:sz w:val="24"/>
          <w:szCs w:val="24"/>
        </w:rPr>
        <w:t>The issues specifically addressed by the</w:t>
      </w:r>
      <w:r>
        <w:rPr>
          <w:sz w:val="24"/>
          <w:szCs w:val="24"/>
        </w:rPr>
        <w:t xml:space="preserve"> </w:t>
      </w:r>
      <w:r w:rsidR="00491FBA">
        <w:rPr>
          <w:sz w:val="24"/>
          <w:szCs w:val="24"/>
        </w:rPr>
        <w:t>S</w:t>
      </w:r>
      <w:r>
        <w:rPr>
          <w:sz w:val="24"/>
          <w:szCs w:val="24"/>
        </w:rPr>
        <w:t>ettling</w:t>
      </w:r>
      <w:r w:rsidRPr="002A7F81">
        <w:rPr>
          <w:sz w:val="24"/>
          <w:szCs w:val="24"/>
        </w:rPr>
        <w:t xml:space="preserve"> </w:t>
      </w:r>
      <w:r w:rsidR="00491FBA">
        <w:rPr>
          <w:sz w:val="24"/>
          <w:szCs w:val="24"/>
        </w:rPr>
        <w:t>P</w:t>
      </w:r>
      <w:r w:rsidRPr="002A7F81">
        <w:rPr>
          <w:sz w:val="24"/>
          <w:szCs w:val="24"/>
        </w:rPr>
        <w:t xml:space="preserve">arties are discussed below. </w:t>
      </w:r>
    </w:p>
    <w:p w:rsidR="005200D3" w:rsidRDefault="005200D3" w:rsidP="00CD5C18">
      <w:pPr>
        <w:spacing w:line="360" w:lineRule="auto"/>
        <w:rPr>
          <w:sz w:val="24"/>
          <w:szCs w:val="24"/>
        </w:rPr>
      </w:pPr>
    </w:p>
    <w:p w:rsidR="00CD5C18" w:rsidRPr="002A7F81" w:rsidRDefault="00CD5C18" w:rsidP="00CD5C18">
      <w:pPr>
        <w:spacing w:line="360" w:lineRule="auto"/>
        <w:rPr>
          <w:sz w:val="24"/>
          <w:szCs w:val="24"/>
        </w:rPr>
      </w:pPr>
      <w:r w:rsidRPr="002A7F81">
        <w:rPr>
          <w:sz w:val="24"/>
          <w:szCs w:val="24"/>
        </w:rPr>
        <w:t>A.</w:t>
      </w:r>
      <w:r w:rsidRPr="002A7F81">
        <w:rPr>
          <w:sz w:val="24"/>
          <w:szCs w:val="24"/>
        </w:rPr>
        <w:tab/>
      </w:r>
      <w:r>
        <w:rPr>
          <w:sz w:val="24"/>
          <w:szCs w:val="24"/>
          <w:u w:val="single"/>
        </w:rPr>
        <w:t>Natural Gas Supply</w:t>
      </w:r>
      <w:r w:rsidRPr="002A7F81">
        <w:rPr>
          <w:sz w:val="24"/>
          <w:szCs w:val="24"/>
          <w:u w:val="single"/>
        </w:rPr>
        <w:t xml:space="preserve"> Rates</w:t>
      </w:r>
      <w:r>
        <w:rPr>
          <w:sz w:val="24"/>
          <w:szCs w:val="24"/>
          <w:u w:val="single"/>
        </w:rPr>
        <w:t xml:space="preserve"> </w:t>
      </w:r>
      <w:r w:rsidR="00B40930">
        <w:rPr>
          <w:sz w:val="24"/>
          <w:szCs w:val="24"/>
          <w:u w:val="single"/>
        </w:rPr>
        <w:t>E</w:t>
      </w:r>
      <w:r>
        <w:rPr>
          <w:sz w:val="24"/>
          <w:szCs w:val="24"/>
          <w:u w:val="single"/>
        </w:rPr>
        <w:t>ffective October 1, 2015</w:t>
      </w:r>
    </w:p>
    <w:p w:rsidR="005200D3" w:rsidRDefault="005200D3" w:rsidP="00CD5C18">
      <w:pPr>
        <w:spacing w:line="360" w:lineRule="auto"/>
        <w:rPr>
          <w:sz w:val="24"/>
          <w:szCs w:val="24"/>
        </w:rPr>
      </w:pPr>
    </w:p>
    <w:p w:rsidR="00CD5C18" w:rsidRDefault="005200D3" w:rsidP="005200D3">
      <w:pPr>
        <w:spacing w:line="360" w:lineRule="auto"/>
        <w:rPr>
          <w:sz w:val="24"/>
          <w:szCs w:val="24"/>
        </w:rPr>
      </w:pPr>
      <w:r>
        <w:rPr>
          <w:sz w:val="24"/>
          <w:szCs w:val="24"/>
        </w:rPr>
        <w:tab/>
      </w:r>
      <w:r w:rsidR="00CD5C18">
        <w:rPr>
          <w:sz w:val="24"/>
          <w:szCs w:val="24"/>
        </w:rPr>
        <w:t>1.</w:t>
      </w:r>
      <w:r w:rsidR="00CD5C18">
        <w:rPr>
          <w:sz w:val="24"/>
          <w:szCs w:val="24"/>
        </w:rPr>
        <w:tab/>
      </w:r>
      <w:r w:rsidR="00CD5C18" w:rsidRPr="005200D3">
        <w:rPr>
          <w:sz w:val="24"/>
          <w:szCs w:val="24"/>
          <w:u w:val="single"/>
        </w:rPr>
        <w:t>Peoples’ Position</w:t>
      </w:r>
    </w:p>
    <w:p w:rsidR="00CD5C18" w:rsidRDefault="00CD5C18" w:rsidP="005200D3">
      <w:pPr>
        <w:spacing w:line="360" w:lineRule="auto"/>
        <w:rPr>
          <w:sz w:val="24"/>
          <w:szCs w:val="24"/>
        </w:rPr>
      </w:pPr>
    </w:p>
    <w:p w:rsidR="00CD5C18" w:rsidRDefault="00CD5C18" w:rsidP="005200D3">
      <w:pPr>
        <w:pStyle w:val="BodyText2"/>
        <w:spacing w:after="0" w:line="360" w:lineRule="auto"/>
      </w:pPr>
      <w:r>
        <w:tab/>
      </w:r>
      <w:r w:rsidR="00F51FDB">
        <w:tab/>
      </w:r>
      <w:r>
        <w:t xml:space="preserve">The Company explains that under the terms of the Settlement, the Joint Petitioners agree that, on October 1, 2015, Peoples Division </w:t>
      </w:r>
      <w:r w:rsidRPr="003C555E">
        <w:t>shall place into effect, for service rende</w:t>
      </w:r>
      <w:r>
        <w:t>red on and after October 1, 2015</w:t>
      </w:r>
      <w:r w:rsidRPr="003C555E">
        <w:t xml:space="preserve">, the form of tariff supplement attached </w:t>
      </w:r>
      <w:r>
        <w:t>to the Settlement</w:t>
      </w:r>
      <w:r w:rsidRPr="003C555E">
        <w:t xml:space="preserve"> as Appendix A.  </w:t>
      </w:r>
      <w:r>
        <w:t xml:space="preserve">(Settlement ¶ 35.)  Likewise, Peoples-Equitable shall place into effect, for service rendered on and after October 1, 2015, the form of tariff supplement attached to the Settlement as Appendix B.  (Settlement ¶ 35.)  </w:t>
      </w:r>
      <w:r w:rsidRPr="003C555E">
        <w:t>The form of tariff supplement</w:t>
      </w:r>
      <w:r>
        <w:t>s</w:t>
      </w:r>
      <w:r w:rsidRPr="003C555E">
        <w:t xml:space="preserve"> shall be subject to updates and tariff modifications traditionally performed on October 1.</w:t>
      </w:r>
      <w:r>
        <w:t xml:space="preserve">  (Settlement ¶ 35; Peoples Statement in Support, p. 4.)</w:t>
      </w:r>
    </w:p>
    <w:p w:rsidR="005200D3" w:rsidRDefault="005200D3" w:rsidP="005200D3">
      <w:pPr>
        <w:pStyle w:val="BodyText2"/>
        <w:spacing w:after="0" w:line="360" w:lineRule="auto"/>
      </w:pPr>
    </w:p>
    <w:p w:rsidR="00CD5C18" w:rsidRDefault="00CD5C18" w:rsidP="005200D3">
      <w:pPr>
        <w:pStyle w:val="BodyText2"/>
        <w:spacing w:after="0" w:line="360" w:lineRule="auto"/>
      </w:pPr>
      <w:r>
        <w:tab/>
        <w:t>2.</w:t>
      </w:r>
      <w:r>
        <w:tab/>
      </w:r>
      <w:r w:rsidRPr="005200D3">
        <w:rPr>
          <w:u w:val="single"/>
        </w:rPr>
        <w:t>I&amp;E’s Position</w:t>
      </w:r>
    </w:p>
    <w:p w:rsidR="005200D3" w:rsidRDefault="005200D3" w:rsidP="005200D3">
      <w:pPr>
        <w:pStyle w:val="BodyText2"/>
        <w:spacing w:after="0" w:line="360" w:lineRule="auto"/>
      </w:pPr>
    </w:p>
    <w:p w:rsidR="00CD5C18" w:rsidRDefault="00CD5C18" w:rsidP="005200D3">
      <w:pPr>
        <w:tabs>
          <w:tab w:val="left" w:pos="-720"/>
        </w:tabs>
        <w:suppressAutoHyphens/>
        <w:spacing w:line="360" w:lineRule="auto"/>
        <w:rPr>
          <w:spacing w:val="-3"/>
          <w:sz w:val="24"/>
          <w:szCs w:val="24"/>
        </w:rPr>
      </w:pPr>
      <w:r>
        <w:tab/>
      </w:r>
      <w:r w:rsidR="005200D3">
        <w:tab/>
      </w:r>
      <w:r w:rsidRPr="00E725AF">
        <w:rPr>
          <w:sz w:val="24"/>
          <w:szCs w:val="24"/>
        </w:rPr>
        <w:t xml:space="preserve">I&amp;E explains that </w:t>
      </w:r>
      <w:r w:rsidRPr="00E725AF">
        <w:rPr>
          <w:spacing w:val="-3"/>
          <w:sz w:val="24"/>
          <w:szCs w:val="24"/>
        </w:rPr>
        <w:t xml:space="preserve"> the Companies’ projected gas costs (C-Factor) are  planned in accordance with established Commission practices, as determined by the I&amp;E review.    The </w:t>
      </w:r>
      <w:r w:rsidRPr="00E725AF">
        <w:rPr>
          <w:sz w:val="24"/>
          <w:szCs w:val="24"/>
        </w:rPr>
        <w:t>C-Factor represents the commodity cost of gas component based on the projected cost of gas for the rate effective period, which ends September 30, 2016 in this proceeding.   I&amp;E asserts t</w:t>
      </w:r>
      <w:r w:rsidRPr="00E725AF">
        <w:rPr>
          <w:spacing w:val="-3"/>
          <w:sz w:val="24"/>
          <w:szCs w:val="24"/>
        </w:rPr>
        <w:t xml:space="preserve">his adherence to accepted regulatory principles aids ratepayers in that the Companies’ purchased gas </w:t>
      </w:r>
      <w:r w:rsidRPr="00E725AF">
        <w:rPr>
          <w:spacing w:val="-3"/>
          <w:sz w:val="24"/>
          <w:szCs w:val="24"/>
        </w:rPr>
        <w:lastRenderedPageBreak/>
        <w:t>practices are being accomplished with the balanced interests of both the Companies and their ratepayers being considered. I&amp;E points out the actual implementation of the Companies’ plan will be reviewed in next year’s PGC proceeding.  I&amp;E opines that ratepayers are protected in that the Companies do not gain any unwarranted financial advantage through its gas purchasing practices.</w:t>
      </w:r>
      <w:r>
        <w:rPr>
          <w:spacing w:val="-3"/>
          <w:sz w:val="24"/>
          <w:szCs w:val="24"/>
        </w:rPr>
        <w:t xml:space="preserve">  </w:t>
      </w:r>
      <w:proofErr w:type="gramStart"/>
      <w:r w:rsidR="00A27E97">
        <w:rPr>
          <w:spacing w:val="-3"/>
          <w:sz w:val="24"/>
          <w:szCs w:val="24"/>
        </w:rPr>
        <w:t>(</w:t>
      </w:r>
      <w:r>
        <w:rPr>
          <w:spacing w:val="-3"/>
          <w:sz w:val="24"/>
          <w:szCs w:val="24"/>
        </w:rPr>
        <w:t>I&amp;E Statement in Support, p. 5.)</w:t>
      </w:r>
      <w:proofErr w:type="gramEnd"/>
    </w:p>
    <w:p w:rsidR="005200D3" w:rsidRPr="00E725AF" w:rsidRDefault="005200D3" w:rsidP="005200D3">
      <w:pPr>
        <w:tabs>
          <w:tab w:val="left" w:pos="-720"/>
        </w:tabs>
        <w:suppressAutoHyphens/>
        <w:spacing w:line="360" w:lineRule="auto"/>
        <w:rPr>
          <w:spacing w:val="-3"/>
          <w:sz w:val="24"/>
          <w:szCs w:val="24"/>
        </w:rPr>
      </w:pPr>
    </w:p>
    <w:p w:rsidR="00CD5C18" w:rsidRPr="009E28D2" w:rsidRDefault="00CD5C18" w:rsidP="005200D3">
      <w:pPr>
        <w:tabs>
          <w:tab w:val="left" w:pos="-720"/>
        </w:tabs>
        <w:suppressAutoHyphens/>
        <w:spacing w:line="360" w:lineRule="auto"/>
        <w:rPr>
          <w:spacing w:val="-3"/>
          <w:sz w:val="24"/>
          <w:szCs w:val="24"/>
        </w:rPr>
      </w:pPr>
      <w:r>
        <w:rPr>
          <w:spacing w:val="-3"/>
        </w:rPr>
        <w:tab/>
      </w:r>
      <w:r w:rsidR="005200D3">
        <w:rPr>
          <w:spacing w:val="-3"/>
        </w:rPr>
        <w:tab/>
      </w:r>
      <w:r w:rsidRPr="009E28D2">
        <w:rPr>
          <w:spacing w:val="-3"/>
          <w:sz w:val="24"/>
          <w:szCs w:val="24"/>
        </w:rPr>
        <w:t xml:space="preserve">I&amp;E explains that the Settlement provides that Peoples may place into effect the natural gas supply rates as proposed and identified in the appendices attached to the Joint Petition.  The proposed rates are subject to quarterly updates, with limited exceptions, as required by the Commission’s Regulations.  According to I&amp;E, its  analysis in this proceeding supports that these rates are just and reasonable, accurately reflect the costs of its purchased natural gas and are based on sound regulatory practices.  As such, I&amp;E </w:t>
      </w:r>
      <w:proofErr w:type="gramStart"/>
      <w:r w:rsidRPr="009E28D2">
        <w:rPr>
          <w:spacing w:val="-3"/>
          <w:sz w:val="24"/>
          <w:szCs w:val="24"/>
        </w:rPr>
        <w:t>opines</w:t>
      </w:r>
      <w:proofErr w:type="gramEnd"/>
      <w:r w:rsidRPr="009E28D2">
        <w:rPr>
          <w:spacing w:val="-3"/>
          <w:sz w:val="24"/>
          <w:szCs w:val="24"/>
        </w:rPr>
        <w:t xml:space="preserve"> that these rates are in the public interest and should be approved.</w:t>
      </w:r>
      <w:r w:rsidR="00A27E97">
        <w:rPr>
          <w:spacing w:val="-3"/>
          <w:sz w:val="24"/>
          <w:szCs w:val="24"/>
        </w:rPr>
        <w:t xml:space="preserve">  </w:t>
      </w:r>
      <w:proofErr w:type="gramStart"/>
      <w:r w:rsidR="00A27E97">
        <w:rPr>
          <w:spacing w:val="-3"/>
          <w:sz w:val="24"/>
          <w:szCs w:val="24"/>
        </w:rPr>
        <w:t>(I&amp;E Statement in Support pp. 5-6.)</w:t>
      </w:r>
      <w:proofErr w:type="gramEnd"/>
      <w:r>
        <w:rPr>
          <w:spacing w:val="-3"/>
          <w:sz w:val="24"/>
          <w:szCs w:val="24"/>
        </w:rPr>
        <w:t xml:space="preserve"> </w:t>
      </w:r>
    </w:p>
    <w:p w:rsidR="00F96175" w:rsidRDefault="00CD5C18" w:rsidP="00504A35">
      <w:pPr>
        <w:tabs>
          <w:tab w:val="left" w:pos="-720"/>
        </w:tabs>
        <w:suppressAutoHyphens/>
        <w:spacing w:line="360" w:lineRule="auto"/>
        <w:rPr>
          <w:spacing w:val="-3"/>
        </w:rPr>
      </w:pPr>
      <w:r w:rsidRPr="00B4789C">
        <w:rPr>
          <w:spacing w:val="-3"/>
        </w:rPr>
        <w:t xml:space="preserve"> </w:t>
      </w:r>
    </w:p>
    <w:p w:rsidR="0098610E" w:rsidRDefault="0098610E" w:rsidP="0098610E">
      <w:pPr>
        <w:tabs>
          <w:tab w:val="left" w:pos="-720"/>
        </w:tabs>
        <w:suppressAutoHyphens/>
        <w:spacing w:line="480" w:lineRule="auto"/>
        <w:rPr>
          <w:sz w:val="24"/>
          <w:szCs w:val="24"/>
          <w:u w:val="single"/>
          <w:lang w:eastAsia="ja-JP"/>
        </w:rPr>
      </w:pPr>
      <w:r>
        <w:rPr>
          <w:b/>
          <w:sz w:val="24"/>
          <w:szCs w:val="24"/>
          <w:lang w:eastAsia="ja-JP"/>
        </w:rPr>
        <w:tab/>
      </w:r>
      <w:r w:rsidRPr="001F0204">
        <w:rPr>
          <w:sz w:val="24"/>
          <w:szCs w:val="24"/>
          <w:lang w:eastAsia="ja-JP"/>
        </w:rPr>
        <w:t>3.</w:t>
      </w:r>
      <w:r w:rsidRPr="001F0204">
        <w:rPr>
          <w:sz w:val="24"/>
          <w:szCs w:val="24"/>
          <w:lang w:eastAsia="ja-JP"/>
        </w:rPr>
        <w:tab/>
      </w:r>
      <w:r w:rsidRPr="00D66BC8">
        <w:rPr>
          <w:sz w:val="24"/>
          <w:szCs w:val="24"/>
          <w:u w:val="single"/>
          <w:lang w:eastAsia="ja-JP"/>
        </w:rPr>
        <w:t>OCA’s Position</w:t>
      </w:r>
    </w:p>
    <w:p w:rsidR="00D66BC8" w:rsidRDefault="00D66BC8" w:rsidP="00D66BC8">
      <w:pPr>
        <w:tabs>
          <w:tab w:val="left" w:pos="-720"/>
        </w:tabs>
        <w:suppressAutoHyphens/>
        <w:rPr>
          <w:sz w:val="24"/>
          <w:szCs w:val="24"/>
          <w:lang w:eastAsia="ja-JP"/>
        </w:rPr>
      </w:pPr>
    </w:p>
    <w:p w:rsidR="0098610E" w:rsidRDefault="0098610E" w:rsidP="00CD27D0">
      <w:pPr>
        <w:spacing w:line="360" w:lineRule="auto"/>
        <w:rPr>
          <w:sz w:val="24"/>
          <w:szCs w:val="24"/>
        </w:rPr>
      </w:pPr>
      <w:r>
        <w:rPr>
          <w:sz w:val="24"/>
          <w:szCs w:val="24"/>
          <w:lang w:eastAsia="ja-JP"/>
        </w:rPr>
        <w:tab/>
      </w:r>
      <w:r w:rsidR="00D66BC8">
        <w:rPr>
          <w:sz w:val="24"/>
          <w:szCs w:val="24"/>
          <w:lang w:eastAsia="ja-JP"/>
        </w:rPr>
        <w:tab/>
      </w:r>
      <w:r w:rsidRPr="00162936">
        <w:rPr>
          <w:sz w:val="24"/>
          <w:szCs w:val="24"/>
        </w:rPr>
        <w:t>OCA submits that the Settlement, taken as a whole, is a reasonable compromise in consideration of likely litigation outcomes before the Commission.  Therefore, the OCA submits that the Settlement is in the public interest and supports Commission approval of the Joint Petition without modification.</w:t>
      </w:r>
    </w:p>
    <w:p w:rsidR="00CD27D0" w:rsidRPr="00162936" w:rsidRDefault="00CD27D0" w:rsidP="00CD27D0">
      <w:pPr>
        <w:spacing w:line="360" w:lineRule="auto"/>
        <w:rPr>
          <w:sz w:val="24"/>
          <w:szCs w:val="24"/>
        </w:rPr>
      </w:pPr>
    </w:p>
    <w:p w:rsidR="0098610E" w:rsidRPr="00162936" w:rsidRDefault="0098610E" w:rsidP="00CD27D0">
      <w:pPr>
        <w:spacing w:line="360" w:lineRule="auto"/>
        <w:rPr>
          <w:sz w:val="24"/>
          <w:szCs w:val="24"/>
          <w:lang w:eastAsia="ja-JP"/>
        </w:rPr>
      </w:pPr>
      <w:r w:rsidRPr="00162936">
        <w:rPr>
          <w:sz w:val="24"/>
          <w:szCs w:val="24"/>
        </w:rPr>
        <w:tab/>
      </w:r>
      <w:r w:rsidR="00CD27D0">
        <w:rPr>
          <w:sz w:val="24"/>
          <w:szCs w:val="24"/>
        </w:rPr>
        <w:tab/>
      </w:r>
      <w:r w:rsidRPr="00162936">
        <w:rPr>
          <w:sz w:val="24"/>
          <w:szCs w:val="24"/>
          <w:lang w:eastAsia="ja-JP"/>
        </w:rPr>
        <w:t xml:space="preserve">The OCA submits that settlement is a product of compromise. Accordingly, the Commission should recognize the balance of compromises struck by the </w:t>
      </w:r>
      <w:r w:rsidR="00491FBA">
        <w:rPr>
          <w:sz w:val="24"/>
          <w:szCs w:val="24"/>
          <w:lang w:eastAsia="ja-JP"/>
        </w:rPr>
        <w:t>S</w:t>
      </w:r>
      <w:r w:rsidRPr="00162936">
        <w:rPr>
          <w:sz w:val="24"/>
          <w:szCs w:val="24"/>
          <w:lang w:eastAsia="ja-JP"/>
        </w:rPr>
        <w:t xml:space="preserve">ettling </w:t>
      </w:r>
      <w:r w:rsidR="00491FBA">
        <w:rPr>
          <w:sz w:val="24"/>
          <w:szCs w:val="24"/>
          <w:lang w:eastAsia="ja-JP"/>
        </w:rPr>
        <w:t>P</w:t>
      </w:r>
      <w:r w:rsidRPr="00162936">
        <w:rPr>
          <w:sz w:val="24"/>
          <w:szCs w:val="24"/>
          <w:lang w:eastAsia="ja-JP"/>
        </w:rPr>
        <w:t xml:space="preserve">arties.  </w:t>
      </w:r>
      <w:proofErr w:type="gramStart"/>
      <w:r w:rsidRPr="00162936">
        <w:rPr>
          <w:sz w:val="24"/>
          <w:szCs w:val="24"/>
          <w:lang w:eastAsia="ja-JP"/>
        </w:rPr>
        <w:t>(OCA Statement in Support. p. 2.)</w:t>
      </w:r>
      <w:proofErr w:type="gramEnd"/>
      <w:r w:rsidR="00A27E97" w:rsidRPr="00A27E97">
        <w:rPr>
          <w:rStyle w:val="FootnoteReference"/>
          <w:spacing w:val="-3"/>
          <w:szCs w:val="24"/>
        </w:rPr>
        <w:t xml:space="preserve"> </w:t>
      </w:r>
      <w:r w:rsidR="00A27E97">
        <w:rPr>
          <w:rStyle w:val="FootnoteReference"/>
          <w:spacing w:val="-3"/>
          <w:szCs w:val="24"/>
        </w:rPr>
        <w:footnoteReference w:id="5"/>
      </w:r>
    </w:p>
    <w:p w:rsidR="0098610E" w:rsidRDefault="0098610E" w:rsidP="00EC5CE5">
      <w:pPr>
        <w:tabs>
          <w:tab w:val="left" w:pos="-720"/>
        </w:tabs>
        <w:suppressAutoHyphens/>
        <w:spacing w:line="360" w:lineRule="auto"/>
        <w:rPr>
          <w:sz w:val="24"/>
          <w:szCs w:val="24"/>
          <w:lang w:eastAsia="ja-JP"/>
        </w:rPr>
      </w:pPr>
    </w:p>
    <w:p w:rsidR="00F21B5B" w:rsidRDefault="00F21B5B" w:rsidP="00EC5CE5">
      <w:pPr>
        <w:tabs>
          <w:tab w:val="left" w:pos="-720"/>
        </w:tabs>
        <w:suppressAutoHyphens/>
        <w:spacing w:line="360" w:lineRule="auto"/>
        <w:rPr>
          <w:sz w:val="24"/>
          <w:szCs w:val="24"/>
          <w:lang w:eastAsia="ja-JP"/>
        </w:rPr>
      </w:pPr>
    </w:p>
    <w:p w:rsidR="00F21B5B" w:rsidRDefault="00F21B5B" w:rsidP="00EC5CE5">
      <w:pPr>
        <w:tabs>
          <w:tab w:val="left" w:pos="-720"/>
        </w:tabs>
        <w:suppressAutoHyphens/>
        <w:spacing w:line="360" w:lineRule="auto"/>
        <w:rPr>
          <w:sz w:val="24"/>
          <w:szCs w:val="24"/>
          <w:lang w:eastAsia="ja-JP"/>
        </w:rPr>
      </w:pPr>
    </w:p>
    <w:p w:rsidR="00F21B5B" w:rsidRDefault="00F21B5B" w:rsidP="00EC5CE5">
      <w:pPr>
        <w:tabs>
          <w:tab w:val="left" w:pos="-720"/>
        </w:tabs>
        <w:suppressAutoHyphens/>
        <w:spacing w:line="360" w:lineRule="auto"/>
        <w:rPr>
          <w:sz w:val="24"/>
          <w:szCs w:val="24"/>
          <w:lang w:eastAsia="ja-JP"/>
        </w:rPr>
      </w:pPr>
    </w:p>
    <w:p w:rsidR="00F21B5B" w:rsidRPr="00162936" w:rsidRDefault="00F21B5B" w:rsidP="00EC5CE5">
      <w:pPr>
        <w:tabs>
          <w:tab w:val="left" w:pos="-720"/>
        </w:tabs>
        <w:suppressAutoHyphens/>
        <w:spacing w:line="360" w:lineRule="auto"/>
        <w:rPr>
          <w:sz w:val="24"/>
          <w:szCs w:val="24"/>
          <w:lang w:eastAsia="ja-JP"/>
        </w:rPr>
      </w:pPr>
    </w:p>
    <w:p w:rsidR="0098610E" w:rsidRDefault="0098610E" w:rsidP="0014369A">
      <w:pPr>
        <w:pStyle w:val="Heading2"/>
        <w:keepNext/>
        <w:numPr>
          <w:ilvl w:val="0"/>
          <w:numId w:val="0"/>
        </w:numPr>
        <w:spacing w:after="0" w:line="360" w:lineRule="auto"/>
        <w:ind w:left="720" w:hanging="720"/>
        <w:jc w:val="left"/>
        <w:rPr>
          <w:b w:val="0"/>
          <w:caps w:val="0"/>
          <w:u w:val="single"/>
        </w:rPr>
      </w:pPr>
      <w:r>
        <w:rPr>
          <w:b w:val="0"/>
          <w:szCs w:val="24"/>
          <w:lang w:eastAsia="ja-JP"/>
        </w:rPr>
        <w:lastRenderedPageBreak/>
        <w:t>B.</w:t>
      </w:r>
      <w:r>
        <w:rPr>
          <w:b w:val="0"/>
          <w:szCs w:val="24"/>
          <w:lang w:eastAsia="ja-JP"/>
        </w:rPr>
        <w:tab/>
      </w:r>
      <w:r w:rsidR="00CD27D0" w:rsidRPr="006147C9">
        <w:rPr>
          <w:b w:val="0"/>
          <w:caps w:val="0"/>
          <w:u w:val="single"/>
        </w:rPr>
        <w:t xml:space="preserve">Combination </w:t>
      </w:r>
      <w:r w:rsidR="00CD27D0">
        <w:rPr>
          <w:b w:val="0"/>
          <w:caps w:val="0"/>
          <w:u w:val="single"/>
        </w:rPr>
        <w:t>o</w:t>
      </w:r>
      <w:r w:rsidR="00CD27D0" w:rsidRPr="006147C9">
        <w:rPr>
          <w:b w:val="0"/>
          <w:caps w:val="0"/>
          <w:u w:val="single"/>
        </w:rPr>
        <w:t xml:space="preserve">f Peoples </w:t>
      </w:r>
      <w:r w:rsidR="00CD27D0">
        <w:rPr>
          <w:b w:val="0"/>
          <w:caps w:val="0"/>
          <w:u w:val="single"/>
        </w:rPr>
        <w:t>a</w:t>
      </w:r>
      <w:r w:rsidR="00CD27D0" w:rsidRPr="006147C9">
        <w:rPr>
          <w:b w:val="0"/>
          <w:caps w:val="0"/>
          <w:u w:val="single"/>
        </w:rPr>
        <w:t>nd Equitable Division’s P</w:t>
      </w:r>
      <w:r w:rsidR="00CD27D0">
        <w:rPr>
          <w:b w:val="0"/>
          <w:caps w:val="0"/>
          <w:u w:val="single"/>
        </w:rPr>
        <w:t>GC</w:t>
      </w:r>
      <w:r w:rsidR="00CD27D0" w:rsidRPr="006147C9">
        <w:rPr>
          <w:b w:val="0"/>
          <w:caps w:val="0"/>
          <w:u w:val="single"/>
        </w:rPr>
        <w:t xml:space="preserve"> Rates </w:t>
      </w:r>
      <w:proofErr w:type="spellStart"/>
      <w:r w:rsidR="00CD27D0" w:rsidRPr="006147C9">
        <w:rPr>
          <w:b w:val="0"/>
          <w:caps w:val="0"/>
          <w:u w:val="single"/>
        </w:rPr>
        <w:t>Rates</w:t>
      </w:r>
      <w:proofErr w:type="spellEnd"/>
    </w:p>
    <w:p w:rsidR="0014369A" w:rsidRPr="0014369A" w:rsidRDefault="0014369A" w:rsidP="0014369A">
      <w:pPr>
        <w:pStyle w:val="BodyText2"/>
        <w:spacing w:after="0" w:line="360" w:lineRule="auto"/>
      </w:pPr>
    </w:p>
    <w:p w:rsidR="0098610E" w:rsidRPr="00944B1D" w:rsidRDefault="0098610E" w:rsidP="0098610E">
      <w:pPr>
        <w:pStyle w:val="BodyText2"/>
      </w:pPr>
      <w:r>
        <w:rPr>
          <w:bCs/>
          <w:iCs/>
          <w:caps/>
          <w:lang w:eastAsia="ja-JP"/>
        </w:rPr>
        <w:tab/>
        <w:t>1.</w:t>
      </w:r>
      <w:r>
        <w:t xml:space="preserve"> </w:t>
      </w:r>
      <w:r w:rsidR="00CD27D0">
        <w:tab/>
      </w:r>
      <w:r w:rsidRPr="0078582E">
        <w:rPr>
          <w:u w:val="single"/>
        </w:rPr>
        <w:t>Company’s Position</w:t>
      </w:r>
    </w:p>
    <w:p w:rsidR="0098610E" w:rsidRDefault="00CD27D0" w:rsidP="00F52C0E">
      <w:pPr>
        <w:pStyle w:val="BodyText2"/>
        <w:spacing w:after="0" w:line="360" w:lineRule="auto"/>
        <w:ind w:firstLine="720"/>
      </w:pPr>
      <w:r>
        <w:tab/>
      </w:r>
      <w:r w:rsidR="0098610E">
        <w:t>Peoples proposed to merge the PGC rates of its two Divisions so that, effective October 1, 2015, both Divisions would charge the same PGC rates to their customers.  Peoples also proposed that both Divisions would make a single 1307(f) filing in 2016.  Commencing October 1, 2015, gas supplies will be purchased for the joint use of customers of both Divisions, as will pipeline services under interstate pipeline and storage service agreements.  (Peoples and Equitable Division St. No. 1, p. 9; Peoples Statement in Support, p. 4.)</w:t>
      </w:r>
    </w:p>
    <w:p w:rsidR="00DE3B97" w:rsidRDefault="00DE3B97" w:rsidP="00BD3A02">
      <w:pPr>
        <w:pStyle w:val="BodyText2"/>
        <w:spacing w:line="240" w:lineRule="auto"/>
        <w:ind w:firstLine="720"/>
      </w:pPr>
      <w:bookmarkStart w:id="0" w:name="_GoBack"/>
      <w:bookmarkEnd w:id="0"/>
    </w:p>
    <w:p w:rsidR="0098610E" w:rsidRDefault="00F52C0E" w:rsidP="0098610E">
      <w:pPr>
        <w:pStyle w:val="BodyText2"/>
        <w:ind w:firstLine="720"/>
      </w:pPr>
      <w:r>
        <w:tab/>
      </w:r>
      <w:r w:rsidR="0098610E">
        <w:t>In testimony, the Company explained that the merging of gas cost rates will have many benefits, including:</w:t>
      </w:r>
    </w:p>
    <w:p w:rsidR="0098610E" w:rsidRDefault="0098610E" w:rsidP="00CD27D0">
      <w:pPr>
        <w:pStyle w:val="BodyText2"/>
        <w:numPr>
          <w:ilvl w:val="0"/>
          <w:numId w:val="4"/>
        </w:numPr>
        <w:spacing w:after="0" w:line="240" w:lineRule="auto"/>
      </w:pPr>
      <w:r>
        <w:t>Constructing more physical interconnections between Divisions which will enhance the operational reliability and efficiency of the systems;</w:t>
      </w:r>
    </w:p>
    <w:p w:rsidR="00BD3A02" w:rsidRDefault="00BD3A02" w:rsidP="00BD3A02">
      <w:pPr>
        <w:pStyle w:val="BodyText2"/>
        <w:spacing w:after="0" w:line="240" w:lineRule="auto"/>
        <w:ind w:left="1440"/>
      </w:pPr>
    </w:p>
    <w:p w:rsidR="0098610E" w:rsidRDefault="0098610E" w:rsidP="00CD27D0">
      <w:pPr>
        <w:pStyle w:val="BodyText2"/>
        <w:numPr>
          <w:ilvl w:val="0"/>
          <w:numId w:val="4"/>
        </w:numPr>
        <w:spacing w:after="0" w:line="240" w:lineRule="auto"/>
      </w:pPr>
      <w:r>
        <w:t>Streamline the pipeline facility planning and design process;</w:t>
      </w:r>
    </w:p>
    <w:p w:rsidR="00CD27D0" w:rsidRDefault="00CD27D0" w:rsidP="00CD27D0">
      <w:pPr>
        <w:pStyle w:val="BodyText2"/>
        <w:spacing w:after="0" w:line="240" w:lineRule="auto"/>
        <w:ind w:left="1440"/>
      </w:pPr>
    </w:p>
    <w:p w:rsidR="0098610E" w:rsidRDefault="0098610E" w:rsidP="00CD27D0">
      <w:pPr>
        <w:pStyle w:val="BodyText2"/>
        <w:numPr>
          <w:ilvl w:val="0"/>
          <w:numId w:val="4"/>
        </w:numPr>
        <w:spacing w:after="0" w:line="240" w:lineRule="auto"/>
      </w:pPr>
      <w:r>
        <w:t>Free up capital for additional pipeline replacement projects by eliminating the need for meter connections between the Divisions;</w:t>
      </w:r>
    </w:p>
    <w:p w:rsidR="00CD27D0" w:rsidRDefault="00CD27D0" w:rsidP="00CD27D0">
      <w:pPr>
        <w:pStyle w:val="BodyText2"/>
        <w:spacing w:after="0" w:line="240" w:lineRule="auto"/>
        <w:ind w:left="1440"/>
      </w:pPr>
    </w:p>
    <w:p w:rsidR="0098610E" w:rsidRDefault="0098610E" w:rsidP="00CD27D0">
      <w:pPr>
        <w:pStyle w:val="BodyText2"/>
        <w:numPr>
          <w:ilvl w:val="0"/>
          <w:numId w:val="4"/>
        </w:numPr>
        <w:spacing w:after="0" w:line="240" w:lineRule="auto"/>
      </w:pPr>
      <w:r>
        <w:t>Provide natural gas suppliers (NGS) with more interstate pipeline delivery points and increased access to local gas supplies;</w:t>
      </w:r>
    </w:p>
    <w:p w:rsidR="00CD27D0" w:rsidRDefault="00CD27D0" w:rsidP="00CD27D0">
      <w:pPr>
        <w:pStyle w:val="BodyText2"/>
        <w:spacing w:after="0" w:line="240" w:lineRule="auto"/>
        <w:ind w:left="1440"/>
      </w:pPr>
    </w:p>
    <w:p w:rsidR="0098610E" w:rsidRDefault="0098610E" w:rsidP="00CD27D0">
      <w:pPr>
        <w:pStyle w:val="BodyText2"/>
        <w:numPr>
          <w:ilvl w:val="0"/>
          <w:numId w:val="4"/>
        </w:numPr>
        <w:spacing w:after="0" w:line="240" w:lineRule="auto"/>
      </w:pPr>
      <w:r>
        <w:t>Allow the Divisions to merge suppliers pools;</w:t>
      </w:r>
    </w:p>
    <w:p w:rsidR="00CD27D0" w:rsidRDefault="00CD27D0" w:rsidP="00CD27D0">
      <w:pPr>
        <w:pStyle w:val="BodyText2"/>
        <w:spacing w:after="0" w:line="240" w:lineRule="auto"/>
        <w:ind w:left="1440"/>
      </w:pPr>
    </w:p>
    <w:p w:rsidR="0098610E" w:rsidRDefault="0098610E" w:rsidP="00CD27D0">
      <w:pPr>
        <w:pStyle w:val="BodyText2"/>
        <w:numPr>
          <w:ilvl w:val="0"/>
          <w:numId w:val="4"/>
        </w:numPr>
        <w:spacing w:after="0" w:line="240" w:lineRule="auto"/>
      </w:pPr>
      <w:r>
        <w:t>Increase interstate pipeline replacement options, resulting in gas cost savings for customers; and</w:t>
      </w:r>
    </w:p>
    <w:p w:rsidR="00CD27D0" w:rsidRDefault="00CD27D0" w:rsidP="00CD27D0">
      <w:pPr>
        <w:pStyle w:val="BodyText2"/>
        <w:spacing w:after="0" w:line="240" w:lineRule="auto"/>
        <w:ind w:left="1440"/>
      </w:pPr>
    </w:p>
    <w:p w:rsidR="0098610E" w:rsidRDefault="0098610E" w:rsidP="00CD27D0">
      <w:pPr>
        <w:pStyle w:val="BodyText2"/>
        <w:numPr>
          <w:ilvl w:val="0"/>
          <w:numId w:val="4"/>
        </w:numPr>
        <w:spacing w:after="0" w:line="240" w:lineRule="auto"/>
      </w:pPr>
      <w:r>
        <w:t>Reducing unaccounted for gas (UFG).</w:t>
      </w:r>
    </w:p>
    <w:p w:rsidR="00CD27D0" w:rsidRDefault="00CD27D0" w:rsidP="00BD3A02">
      <w:pPr>
        <w:pStyle w:val="BodyText2"/>
        <w:spacing w:after="0" w:line="240" w:lineRule="auto"/>
        <w:ind w:left="1440"/>
      </w:pPr>
    </w:p>
    <w:p w:rsidR="0098610E" w:rsidRDefault="0098610E" w:rsidP="00CD27D0">
      <w:pPr>
        <w:pStyle w:val="BodyText2"/>
        <w:spacing w:line="240" w:lineRule="auto"/>
      </w:pPr>
      <w:r>
        <w:t>(Peoples and Equitable Division St. No. 1, pp. 20-21; Peoples-Equitable Division St. No. 2, pp.</w:t>
      </w:r>
      <w:r w:rsidR="00CD27D0">
        <w:t> </w:t>
      </w:r>
      <w:r>
        <w:t>24-33; Peoples Statement in Support, pp.</w:t>
      </w:r>
      <w:r w:rsidR="00CF2994">
        <w:t xml:space="preserve"> </w:t>
      </w:r>
      <w:r>
        <w:t>4-5.)</w:t>
      </w:r>
    </w:p>
    <w:p w:rsidR="00CD27D0" w:rsidRDefault="00CD27D0" w:rsidP="00CD27D0">
      <w:pPr>
        <w:pStyle w:val="BodyText2"/>
        <w:spacing w:line="240" w:lineRule="auto"/>
      </w:pPr>
    </w:p>
    <w:p w:rsidR="0098610E" w:rsidRDefault="00CD27D0" w:rsidP="00F52C0E">
      <w:pPr>
        <w:pStyle w:val="BodyText2"/>
        <w:spacing w:after="0" w:line="360" w:lineRule="auto"/>
        <w:ind w:firstLine="720"/>
      </w:pPr>
      <w:r>
        <w:tab/>
      </w:r>
      <w:r w:rsidR="0098610E">
        <w:t xml:space="preserve">The Company points out that the current gas cost rates for the separate divisions are very comparable.  </w:t>
      </w:r>
      <w:r w:rsidR="0098610E" w:rsidRPr="00203399">
        <w:t>For example, the projected October 1, 2015 total 1307(f) rate for Peoples</w:t>
      </w:r>
      <w:r w:rsidR="005A599C">
        <w:t xml:space="preserve"> Division’s</w:t>
      </w:r>
      <w:r w:rsidR="0098610E" w:rsidRPr="00203399">
        <w:t xml:space="preserve"> residential customers is $3.97 per </w:t>
      </w:r>
      <w:proofErr w:type="spellStart"/>
      <w:r w:rsidR="0098610E" w:rsidRPr="00203399">
        <w:t>Mcf</w:t>
      </w:r>
      <w:proofErr w:type="spellEnd"/>
      <w:r w:rsidR="0098610E" w:rsidRPr="00203399">
        <w:t xml:space="preserve">. The projected October 1, 2015 total 1307(f) </w:t>
      </w:r>
      <w:r w:rsidR="0098610E" w:rsidRPr="00203399">
        <w:lastRenderedPageBreak/>
        <w:t xml:space="preserve">rate for the </w:t>
      </w:r>
      <w:r w:rsidR="005A599C">
        <w:t>Peoples-</w:t>
      </w:r>
      <w:r w:rsidR="0098610E" w:rsidRPr="00203399">
        <w:t>Equitable Division</w:t>
      </w:r>
      <w:r w:rsidR="00884DE9">
        <w:t>’s</w:t>
      </w:r>
      <w:r w:rsidR="0098610E" w:rsidRPr="00203399">
        <w:t xml:space="preserve"> residential customers is $4.3</w:t>
      </w:r>
      <w:r w:rsidR="0098610E">
        <w:t>9</w:t>
      </w:r>
      <w:r w:rsidR="0098610E" w:rsidRPr="00203399">
        <w:t xml:space="preserve"> per </w:t>
      </w:r>
      <w:proofErr w:type="spellStart"/>
      <w:r w:rsidR="0098610E" w:rsidRPr="00203399">
        <w:t>Mcf</w:t>
      </w:r>
      <w:proofErr w:type="spellEnd"/>
      <w:r w:rsidR="0098610E" w:rsidRPr="00203399">
        <w:t xml:space="preserve">.  </w:t>
      </w:r>
      <w:r w:rsidR="0098610E">
        <w:t>According to Peoples, m</w:t>
      </w:r>
      <w:r w:rsidR="0098610E" w:rsidRPr="00203399">
        <w:t xml:space="preserve">ost of the difference in the rates is attributable to the over and under-recovery portion of the rate.  </w:t>
      </w:r>
      <w:r w:rsidR="0098610E">
        <w:t>Peoples explains, the</w:t>
      </w:r>
      <w:r w:rsidR="0098610E" w:rsidRPr="00203399">
        <w:t xml:space="preserve"> rates, excluding the projected over/under recovery component, are $4.18 per </w:t>
      </w:r>
      <w:proofErr w:type="spellStart"/>
      <w:r w:rsidR="0098610E" w:rsidRPr="00203399">
        <w:t>Mcf</w:t>
      </w:r>
      <w:proofErr w:type="spellEnd"/>
      <w:r w:rsidR="0098610E" w:rsidRPr="00203399">
        <w:t xml:space="preserve"> for </w:t>
      </w:r>
      <w:r w:rsidR="0098610E">
        <w:t xml:space="preserve">the </w:t>
      </w:r>
      <w:r w:rsidR="0098610E" w:rsidRPr="00203399">
        <w:t xml:space="preserve">Peoples </w:t>
      </w:r>
      <w:r w:rsidR="0098610E">
        <w:t xml:space="preserve">Division </w:t>
      </w:r>
      <w:r w:rsidR="0098610E" w:rsidRPr="00203399">
        <w:t>and $4.2</w:t>
      </w:r>
      <w:r w:rsidR="0098610E">
        <w:t>5</w:t>
      </w:r>
      <w:r w:rsidR="0098610E" w:rsidRPr="00203399">
        <w:t xml:space="preserve"> per </w:t>
      </w:r>
      <w:proofErr w:type="spellStart"/>
      <w:r w:rsidR="0098610E" w:rsidRPr="00203399">
        <w:t>Mcf</w:t>
      </w:r>
      <w:proofErr w:type="spellEnd"/>
      <w:r w:rsidR="0098610E" w:rsidRPr="00203399">
        <w:t xml:space="preserve"> for the </w:t>
      </w:r>
      <w:r w:rsidR="0098610E">
        <w:t>Peoples-</w:t>
      </w:r>
      <w:r w:rsidR="0098610E" w:rsidRPr="00203399">
        <w:t>Equitable Division; a difference in the total gas cost rate of only $0.0</w:t>
      </w:r>
      <w:r w:rsidR="0098610E">
        <w:t>7</w:t>
      </w:r>
      <w:r w:rsidR="0098610E" w:rsidRPr="00203399">
        <w:t xml:space="preserve"> per </w:t>
      </w:r>
      <w:proofErr w:type="spellStart"/>
      <w:r w:rsidR="0098610E" w:rsidRPr="00203399">
        <w:t>Mcf</w:t>
      </w:r>
      <w:proofErr w:type="spellEnd"/>
      <w:r w:rsidR="0098610E" w:rsidRPr="00203399">
        <w:t xml:space="preserve">, or </w:t>
      </w:r>
      <w:r w:rsidR="0098610E">
        <w:t>1.7</w:t>
      </w:r>
      <w:r w:rsidR="0098610E" w:rsidRPr="00203399">
        <w:t xml:space="preserve">%.  </w:t>
      </w:r>
      <w:r w:rsidR="0098610E">
        <w:t>The Company also explained that all customers would receive a gas cost adjustment credit based on its proposal to combine the over/</w:t>
      </w:r>
      <w:proofErr w:type="spellStart"/>
      <w:r w:rsidR="0098610E">
        <w:t>undercollection</w:t>
      </w:r>
      <w:proofErr w:type="spellEnd"/>
      <w:r w:rsidR="0098610E">
        <w:t xml:space="preserve"> provisions.  The Company further explained that under its proposal, NGSs would be able to offer prices in competition with a single gas commodity price for both Divisions to shopping customers commencing October 1, 2015.  (Peoples and Equitable Division St. No. 1-R, p. 4; Peoples Statement in Support, p. 5.)</w:t>
      </w:r>
    </w:p>
    <w:p w:rsidR="00DE3B97" w:rsidRDefault="00DE3B97" w:rsidP="00DE3B97">
      <w:pPr>
        <w:pStyle w:val="BodyText2"/>
        <w:spacing w:line="360" w:lineRule="auto"/>
        <w:ind w:firstLine="720"/>
      </w:pPr>
    </w:p>
    <w:p w:rsidR="0098610E" w:rsidRDefault="000D6686" w:rsidP="00F52C0E">
      <w:pPr>
        <w:pStyle w:val="BodyText2"/>
        <w:spacing w:after="0" w:line="360" w:lineRule="auto"/>
        <w:ind w:firstLine="720"/>
      </w:pPr>
      <w:r>
        <w:tab/>
      </w:r>
      <w:r w:rsidR="0098610E">
        <w:t xml:space="preserve">Peoples points out that the Settlement adopts the Company’s proposal to combine the PGC rates of both Divisions, including the gas cost adjustment rate effective October 1, 2015.  While two other base-rate components of the Divisional prices to compare will not match, the Company also agrees </w:t>
      </w:r>
      <w:r w:rsidR="0098610E" w:rsidRPr="00BF3E4B">
        <w:t xml:space="preserve">to file a 60-day tariff filing to be effective October 1, 2015, that proposes to merge the separate Merchant Function Charge (MFC) and Gas Procurement Charge (GPC) of the Divisions so that a single price-to-compare </w:t>
      </w:r>
      <w:r w:rsidR="0098610E">
        <w:t>can become</w:t>
      </w:r>
      <w:r w:rsidR="0098610E" w:rsidRPr="00BF3E4B">
        <w:t xml:space="preserve"> effective October</w:t>
      </w:r>
      <w:r w:rsidR="00B00A28">
        <w:t> </w:t>
      </w:r>
      <w:r w:rsidR="0098610E" w:rsidRPr="00BF3E4B">
        <w:t>1, 2015</w:t>
      </w:r>
      <w:r w:rsidR="0098610E">
        <w:t>, on Commission approval</w:t>
      </w:r>
      <w:r w:rsidR="0098610E" w:rsidRPr="00BF3E4B">
        <w:t>.  All parties reserve their rights to comment on and oppose this tariff filing.</w:t>
      </w:r>
      <w:r w:rsidR="0098610E">
        <w:t xml:space="preserve">  (Peoples Statement in Support, p. 6.)</w:t>
      </w:r>
    </w:p>
    <w:p w:rsidR="0098610E" w:rsidRDefault="0098610E" w:rsidP="0098610E">
      <w:pPr>
        <w:tabs>
          <w:tab w:val="left" w:pos="540"/>
          <w:tab w:val="left" w:pos="720"/>
        </w:tabs>
        <w:spacing w:line="480" w:lineRule="auto"/>
        <w:rPr>
          <w:b/>
          <w:szCs w:val="24"/>
          <w:lang w:eastAsia="ja-JP"/>
        </w:rPr>
      </w:pPr>
    </w:p>
    <w:p w:rsidR="0098610E" w:rsidRDefault="0098610E" w:rsidP="00DE3B97">
      <w:pPr>
        <w:tabs>
          <w:tab w:val="left" w:pos="540"/>
          <w:tab w:val="left" w:pos="720"/>
        </w:tabs>
        <w:spacing w:line="360" w:lineRule="auto"/>
        <w:ind w:firstLine="720"/>
        <w:rPr>
          <w:sz w:val="24"/>
          <w:szCs w:val="24"/>
          <w:u w:val="single"/>
          <w:lang w:eastAsia="ja-JP"/>
        </w:rPr>
      </w:pPr>
      <w:r w:rsidRPr="004A57BF">
        <w:rPr>
          <w:sz w:val="24"/>
          <w:szCs w:val="24"/>
          <w:lang w:eastAsia="ja-JP"/>
        </w:rPr>
        <w:t>2.</w:t>
      </w:r>
      <w:r w:rsidRPr="004A57BF">
        <w:rPr>
          <w:sz w:val="24"/>
          <w:szCs w:val="24"/>
          <w:lang w:eastAsia="ja-JP"/>
        </w:rPr>
        <w:tab/>
      </w:r>
      <w:r w:rsidRPr="00DE3B97">
        <w:rPr>
          <w:sz w:val="24"/>
          <w:szCs w:val="24"/>
          <w:u w:val="single"/>
          <w:lang w:eastAsia="ja-JP"/>
        </w:rPr>
        <w:t>I&amp;E’s Position</w:t>
      </w:r>
    </w:p>
    <w:p w:rsidR="00DE3B97" w:rsidRPr="004A57BF" w:rsidRDefault="00DE3B97" w:rsidP="00DE3B97">
      <w:pPr>
        <w:tabs>
          <w:tab w:val="left" w:pos="540"/>
          <w:tab w:val="left" w:pos="720"/>
        </w:tabs>
        <w:spacing w:line="360" w:lineRule="auto"/>
        <w:ind w:firstLine="720"/>
        <w:rPr>
          <w:sz w:val="24"/>
          <w:szCs w:val="24"/>
          <w:lang w:eastAsia="ja-JP"/>
        </w:rPr>
      </w:pPr>
    </w:p>
    <w:p w:rsidR="0098610E" w:rsidRDefault="0098610E" w:rsidP="00DE3B97">
      <w:pPr>
        <w:spacing w:line="360" w:lineRule="auto"/>
        <w:rPr>
          <w:spacing w:val="-3"/>
          <w:sz w:val="24"/>
          <w:szCs w:val="24"/>
        </w:rPr>
      </w:pPr>
      <w:r w:rsidRPr="00B4789C">
        <w:rPr>
          <w:spacing w:val="-3"/>
        </w:rPr>
        <w:tab/>
      </w:r>
      <w:r w:rsidR="000D6686">
        <w:rPr>
          <w:spacing w:val="-3"/>
        </w:rPr>
        <w:tab/>
      </w:r>
      <w:r w:rsidRPr="004A57BF">
        <w:rPr>
          <w:spacing w:val="-3"/>
          <w:sz w:val="24"/>
          <w:szCs w:val="24"/>
        </w:rPr>
        <w:t>I&amp;E avers that the merger is in the public interest for multiple reasons.</w:t>
      </w:r>
      <w:r w:rsidRPr="004A57BF">
        <w:rPr>
          <w:rStyle w:val="FootnoteReference"/>
          <w:spacing w:val="-3"/>
          <w:sz w:val="24"/>
          <w:szCs w:val="24"/>
        </w:rPr>
        <w:footnoteReference w:id="6"/>
      </w:r>
      <w:r w:rsidRPr="004A57BF">
        <w:rPr>
          <w:spacing w:val="-3"/>
          <w:sz w:val="24"/>
          <w:szCs w:val="24"/>
        </w:rPr>
        <w:t xml:space="preserve">  First, as described by Peoples witness </w:t>
      </w:r>
      <w:proofErr w:type="spellStart"/>
      <w:r w:rsidRPr="004A57BF">
        <w:rPr>
          <w:spacing w:val="-3"/>
          <w:sz w:val="24"/>
          <w:szCs w:val="24"/>
        </w:rPr>
        <w:t>Gregorini</w:t>
      </w:r>
      <w:proofErr w:type="spellEnd"/>
      <w:r w:rsidRPr="004A57BF">
        <w:rPr>
          <w:spacing w:val="-3"/>
          <w:sz w:val="24"/>
          <w:szCs w:val="24"/>
        </w:rPr>
        <w:t>,</w:t>
      </w:r>
      <w:r w:rsidRPr="004A57BF">
        <w:rPr>
          <w:rStyle w:val="FootnoteReference"/>
          <w:spacing w:val="-3"/>
          <w:sz w:val="24"/>
          <w:szCs w:val="24"/>
        </w:rPr>
        <w:footnoteReference w:id="7"/>
      </w:r>
      <w:r w:rsidRPr="004A57BF">
        <w:rPr>
          <w:spacing w:val="-3"/>
          <w:sz w:val="24"/>
          <w:szCs w:val="24"/>
        </w:rPr>
        <w:t xml:space="preserve"> the merger will lead to the construction of more physical interconnections between the Divisions, enhancing the overall reliability and efficiency of the systems.  I&amp;E asserts, other resulting benefits of the merger are that it will provide the Companies with more pipeline replacement options, free up capital for additional replacement projects, and streamline the Companies’ pipeline facility planning and design process, all to the benefit of ratepayers.  According to I&amp;E, another notable benefit of merging the two divisions would be to </w:t>
      </w:r>
      <w:r w:rsidRPr="004A57BF">
        <w:rPr>
          <w:spacing w:val="-3"/>
          <w:sz w:val="24"/>
          <w:szCs w:val="24"/>
        </w:rPr>
        <w:lastRenderedPageBreak/>
        <w:t>eliminate the costs of preparing and submitting to the Commission the annual 1307(f) filing of the Peoples-Equitable Division, ultimately saving all parties time and money.  (I&amp;E Statement in Support, pp. 7-8.)</w:t>
      </w:r>
    </w:p>
    <w:p w:rsidR="00DE3B97" w:rsidRDefault="00DE3B97" w:rsidP="00DE3B97">
      <w:pPr>
        <w:spacing w:line="360" w:lineRule="auto"/>
        <w:rPr>
          <w:spacing w:val="-3"/>
          <w:sz w:val="24"/>
          <w:szCs w:val="24"/>
        </w:rPr>
      </w:pPr>
    </w:p>
    <w:p w:rsidR="0098610E" w:rsidRPr="004A57BF" w:rsidRDefault="0098610E" w:rsidP="000D26D1">
      <w:pPr>
        <w:tabs>
          <w:tab w:val="left" w:pos="-720"/>
        </w:tabs>
        <w:suppressAutoHyphens/>
        <w:spacing w:line="360" w:lineRule="auto"/>
        <w:rPr>
          <w:spacing w:val="-3"/>
          <w:sz w:val="24"/>
          <w:szCs w:val="24"/>
        </w:rPr>
      </w:pPr>
      <w:r w:rsidRPr="004A57BF">
        <w:rPr>
          <w:spacing w:val="-3"/>
          <w:sz w:val="24"/>
          <w:szCs w:val="24"/>
        </w:rPr>
        <w:tab/>
      </w:r>
      <w:r w:rsidR="000D6686">
        <w:rPr>
          <w:spacing w:val="-3"/>
          <w:sz w:val="24"/>
          <w:szCs w:val="24"/>
        </w:rPr>
        <w:tab/>
      </w:r>
      <w:r w:rsidRPr="004A57BF">
        <w:rPr>
          <w:spacing w:val="-3"/>
          <w:sz w:val="24"/>
          <w:szCs w:val="24"/>
        </w:rPr>
        <w:t>The Settlement provides that Peoples may place into effect the natural gas supply rates as proposed and identified in the appendices attached to the Joint Petition, subject to quarterly updates, with limited exceptions, as required by the Commission’s Regulations.  The I&amp;E analysis in this proceeding concludes that these rates are just and reasonable, accurately reflect the costs of its purchased natural gas and are based on sound regulatory practices.  As such, I&amp;E opines that these rates are in the public interest and should be approved.  (I&amp;E Statement in Support, p. 8.)</w:t>
      </w:r>
    </w:p>
    <w:p w:rsidR="0098610E" w:rsidRDefault="0098610E" w:rsidP="0098610E">
      <w:pPr>
        <w:tabs>
          <w:tab w:val="left" w:pos="-720"/>
        </w:tabs>
        <w:suppressAutoHyphens/>
        <w:spacing w:line="480" w:lineRule="auto"/>
        <w:rPr>
          <w:spacing w:val="-3"/>
          <w:sz w:val="24"/>
          <w:szCs w:val="24"/>
        </w:rPr>
      </w:pPr>
      <w:r w:rsidRPr="004A57BF">
        <w:rPr>
          <w:spacing w:val="-3"/>
          <w:sz w:val="24"/>
          <w:szCs w:val="24"/>
        </w:rPr>
        <w:t xml:space="preserve"> </w:t>
      </w:r>
      <w:r w:rsidRPr="004A57BF">
        <w:rPr>
          <w:spacing w:val="-3"/>
          <w:sz w:val="24"/>
          <w:szCs w:val="24"/>
        </w:rPr>
        <w:tab/>
      </w:r>
    </w:p>
    <w:p w:rsidR="0098610E" w:rsidRDefault="0098610E" w:rsidP="000D26D1">
      <w:pPr>
        <w:tabs>
          <w:tab w:val="left" w:pos="540"/>
          <w:tab w:val="left" w:pos="720"/>
        </w:tabs>
        <w:spacing w:line="360" w:lineRule="auto"/>
        <w:ind w:firstLine="720"/>
        <w:rPr>
          <w:sz w:val="24"/>
          <w:szCs w:val="24"/>
          <w:u w:val="single"/>
          <w:lang w:eastAsia="ja-JP"/>
        </w:rPr>
      </w:pPr>
      <w:r w:rsidRPr="00C6180E">
        <w:rPr>
          <w:sz w:val="24"/>
          <w:szCs w:val="24"/>
          <w:lang w:eastAsia="ja-JP"/>
        </w:rPr>
        <w:t>3.</w:t>
      </w:r>
      <w:r w:rsidRPr="00C6180E">
        <w:rPr>
          <w:sz w:val="24"/>
          <w:szCs w:val="24"/>
          <w:lang w:eastAsia="ja-JP"/>
        </w:rPr>
        <w:tab/>
      </w:r>
      <w:r w:rsidRPr="000D26D1">
        <w:rPr>
          <w:sz w:val="24"/>
          <w:szCs w:val="24"/>
          <w:u w:val="single"/>
          <w:lang w:eastAsia="ja-JP"/>
        </w:rPr>
        <w:t>OCA’s Position</w:t>
      </w:r>
    </w:p>
    <w:p w:rsidR="000D26D1" w:rsidRPr="00C6180E" w:rsidRDefault="000D26D1" w:rsidP="000D26D1">
      <w:pPr>
        <w:tabs>
          <w:tab w:val="left" w:pos="540"/>
          <w:tab w:val="left" w:pos="720"/>
        </w:tabs>
        <w:spacing w:line="360" w:lineRule="auto"/>
        <w:ind w:firstLine="720"/>
        <w:rPr>
          <w:sz w:val="24"/>
          <w:szCs w:val="24"/>
          <w:lang w:eastAsia="ja-JP"/>
        </w:rPr>
      </w:pPr>
    </w:p>
    <w:p w:rsidR="001D0F90" w:rsidRDefault="000D26D1" w:rsidP="000D26D1">
      <w:pPr>
        <w:spacing w:line="360" w:lineRule="auto"/>
        <w:ind w:firstLine="720"/>
        <w:rPr>
          <w:sz w:val="24"/>
          <w:szCs w:val="24"/>
        </w:rPr>
      </w:pPr>
      <w:r>
        <w:rPr>
          <w:sz w:val="24"/>
          <w:szCs w:val="24"/>
        </w:rPr>
        <w:tab/>
      </w:r>
      <w:r w:rsidR="0098610E" w:rsidRPr="00C6180E">
        <w:rPr>
          <w:sz w:val="24"/>
          <w:szCs w:val="24"/>
        </w:rPr>
        <w:t xml:space="preserve">OCA points out that its witness, Mr. </w:t>
      </w:r>
      <w:proofErr w:type="spellStart"/>
      <w:r w:rsidR="0098610E" w:rsidRPr="00C6180E">
        <w:rPr>
          <w:sz w:val="24"/>
          <w:szCs w:val="24"/>
        </w:rPr>
        <w:t>Mierzwa</w:t>
      </w:r>
      <w:proofErr w:type="spellEnd"/>
      <w:r w:rsidR="0098610E" w:rsidRPr="00C6180E">
        <w:rPr>
          <w:sz w:val="24"/>
          <w:szCs w:val="24"/>
        </w:rPr>
        <w:t xml:space="preserve"> testified in his Direct Testimony that the Company’s proposal to combine Peoples and Equitable Division’s PGC rates is reasonable.  (OCA Statement No. 1 at 7; OCA Statement in Support, p. 3.)  Mr. </w:t>
      </w:r>
      <w:proofErr w:type="spellStart"/>
      <w:r w:rsidR="0098610E" w:rsidRPr="00C6180E">
        <w:rPr>
          <w:sz w:val="24"/>
          <w:szCs w:val="24"/>
        </w:rPr>
        <w:t>Mierzwa</w:t>
      </w:r>
      <w:proofErr w:type="spellEnd"/>
      <w:r w:rsidR="0098610E" w:rsidRPr="00C6180E">
        <w:rPr>
          <w:sz w:val="24"/>
          <w:szCs w:val="24"/>
        </w:rPr>
        <w:t xml:space="preserve"> testified that there are a number of benefits associated with combining the PGC rates and that the consolidation of the PGC rates may reduce the need to address a projected capacity deficiency for the Equitable Division.  Mr. </w:t>
      </w:r>
      <w:proofErr w:type="spellStart"/>
      <w:r w:rsidR="0098610E" w:rsidRPr="00C6180E">
        <w:rPr>
          <w:sz w:val="24"/>
          <w:szCs w:val="24"/>
        </w:rPr>
        <w:t>Mierzwa</w:t>
      </w:r>
      <w:proofErr w:type="spellEnd"/>
      <w:r w:rsidR="0098610E" w:rsidRPr="00C6180E">
        <w:rPr>
          <w:sz w:val="24"/>
          <w:szCs w:val="24"/>
        </w:rPr>
        <w:t xml:space="preserve"> also acknowledged that the difference in PGC rates resulting from the consolidation would be </w:t>
      </w:r>
      <w:r w:rsidR="0098610E" w:rsidRPr="00C6180E">
        <w:rPr>
          <w:i/>
          <w:sz w:val="24"/>
          <w:szCs w:val="24"/>
        </w:rPr>
        <w:t xml:space="preserve">de </w:t>
      </w:r>
      <w:proofErr w:type="spellStart"/>
      <w:r w:rsidR="0098610E" w:rsidRPr="00C6180E">
        <w:rPr>
          <w:i/>
          <w:sz w:val="24"/>
          <w:szCs w:val="24"/>
        </w:rPr>
        <w:t>minimis</w:t>
      </w:r>
      <w:proofErr w:type="spellEnd"/>
      <w:r w:rsidR="0098610E" w:rsidRPr="00C6180E">
        <w:rPr>
          <w:sz w:val="24"/>
          <w:szCs w:val="24"/>
        </w:rPr>
        <w:t xml:space="preserve"> (i.e., 2 cents per </w:t>
      </w:r>
      <w:proofErr w:type="spellStart"/>
      <w:r w:rsidR="0098610E" w:rsidRPr="00C6180E">
        <w:rPr>
          <w:sz w:val="24"/>
          <w:szCs w:val="24"/>
        </w:rPr>
        <w:t>Mcf</w:t>
      </w:r>
      <w:proofErr w:type="spellEnd"/>
      <w:r w:rsidR="0098610E" w:rsidRPr="00C6180E">
        <w:rPr>
          <w:sz w:val="24"/>
          <w:szCs w:val="24"/>
        </w:rPr>
        <w:t xml:space="preserve">).   Mr. </w:t>
      </w:r>
      <w:proofErr w:type="spellStart"/>
      <w:r w:rsidR="0098610E" w:rsidRPr="00C6180E">
        <w:rPr>
          <w:sz w:val="24"/>
          <w:szCs w:val="24"/>
        </w:rPr>
        <w:t>Mierzwa</w:t>
      </w:r>
      <w:proofErr w:type="spellEnd"/>
      <w:r w:rsidR="0098610E" w:rsidRPr="00C6180E">
        <w:rPr>
          <w:sz w:val="24"/>
          <w:szCs w:val="24"/>
        </w:rPr>
        <w:t xml:space="preserve">, however, recommended that separate Gas Cost Adjustment (GCA) rate components be maintained for the one-year period from October 1, 2015 through September 30, 2016 in order to “provide for a better match between over- and under-recovery cost responsibility with over- and under-recovery cost collection.”  </w:t>
      </w:r>
      <w:proofErr w:type="gramStart"/>
      <w:r w:rsidR="0098610E" w:rsidRPr="00C6180E">
        <w:rPr>
          <w:sz w:val="24"/>
          <w:szCs w:val="24"/>
        </w:rPr>
        <w:t>(OCA Statement No. 1 at 8; OCA Statement in Support, p. 3.)</w:t>
      </w:r>
      <w:proofErr w:type="gramEnd"/>
      <w:r w:rsidR="0098610E" w:rsidRPr="00C6180E">
        <w:rPr>
          <w:sz w:val="24"/>
          <w:szCs w:val="24"/>
        </w:rPr>
        <w:t xml:space="preserve">    </w:t>
      </w:r>
    </w:p>
    <w:p w:rsidR="001D0F90" w:rsidRDefault="001D0F90" w:rsidP="000D26D1">
      <w:pPr>
        <w:spacing w:line="360" w:lineRule="auto"/>
        <w:ind w:firstLine="720"/>
        <w:rPr>
          <w:sz w:val="24"/>
          <w:szCs w:val="24"/>
        </w:rPr>
      </w:pPr>
    </w:p>
    <w:p w:rsidR="0098610E" w:rsidRDefault="001D0F90" w:rsidP="000D26D1">
      <w:pPr>
        <w:spacing w:line="360" w:lineRule="auto"/>
        <w:ind w:firstLine="720"/>
        <w:rPr>
          <w:sz w:val="24"/>
          <w:szCs w:val="24"/>
        </w:rPr>
      </w:pPr>
      <w:r>
        <w:rPr>
          <w:sz w:val="24"/>
          <w:szCs w:val="24"/>
        </w:rPr>
        <w:tab/>
      </w:r>
      <w:r w:rsidR="0098610E" w:rsidRPr="00C6180E">
        <w:rPr>
          <w:sz w:val="24"/>
          <w:szCs w:val="24"/>
        </w:rPr>
        <w:t xml:space="preserve">In rebuttal, the Company argued that moving to a unified GCA would allow the Companies’ to offer a single price to compare, thus facilitating unified shopping throughout the combined service territories.  OCA witness </w:t>
      </w:r>
      <w:proofErr w:type="spellStart"/>
      <w:r w:rsidR="0098610E" w:rsidRPr="00C6180E">
        <w:rPr>
          <w:sz w:val="24"/>
          <w:szCs w:val="24"/>
        </w:rPr>
        <w:t>Mierzwa</w:t>
      </w:r>
      <w:proofErr w:type="spellEnd"/>
      <w:r w:rsidR="0098610E" w:rsidRPr="00C6180E">
        <w:rPr>
          <w:sz w:val="24"/>
          <w:szCs w:val="24"/>
        </w:rPr>
        <w:t xml:space="preserve"> explained in </w:t>
      </w:r>
      <w:proofErr w:type="spellStart"/>
      <w:r w:rsidR="0098610E" w:rsidRPr="00C6180E">
        <w:rPr>
          <w:sz w:val="24"/>
          <w:szCs w:val="24"/>
        </w:rPr>
        <w:t>Surrebuttal</w:t>
      </w:r>
      <w:proofErr w:type="spellEnd"/>
      <w:r w:rsidR="0098610E" w:rsidRPr="00C6180E">
        <w:rPr>
          <w:sz w:val="24"/>
          <w:szCs w:val="24"/>
        </w:rPr>
        <w:t xml:space="preserve">, however, that each Companies’ Merchant Function Charge would not be merged under the Companies’ filings, and as a result there would not be a unified Price to Compare.  (OCA St. 1S at 2; OCA Statement in Support, p. 3.)  </w:t>
      </w:r>
    </w:p>
    <w:p w:rsidR="0098610E" w:rsidRPr="00C6180E" w:rsidRDefault="000D26D1" w:rsidP="000D26D1">
      <w:pPr>
        <w:spacing w:line="360" w:lineRule="auto"/>
        <w:ind w:firstLine="720"/>
        <w:rPr>
          <w:sz w:val="24"/>
          <w:szCs w:val="24"/>
        </w:rPr>
      </w:pPr>
      <w:r>
        <w:rPr>
          <w:sz w:val="24"/>
          <w:szCs w:val="24"/>
        </w:rPr>
        <w:lastRenderedPageBreak/>
        <w:tab/>
      </w:r>
      <w:r w:rsidR="0098610E" w:rsidRPr="00C6180E">
        <w:rPr>
          <w:sz w:val="24"/>
          <w:szCs w:val="24"/>
        </w:rPr>
        <w:t>OCA explains that, under the Settlement, the Company has agreed to combine the MFC to get a truly identical price to compare across both companies’ service territories.  (Settlement at ¶ 36; OCA Statement in Support, p. 3.)   While the Settlement does not adopt Mr.</w:t>
      </w:r>
      <w:r>
        <w:rPr>
          <w:sz w:val="24"/>
          <w:szCs w:val="24"/>
        </w:rPr>
        <w:t> </w:t>
      </w:r>
      <w:proofErr w:type="spellStart"/>
      <w:r w:rsidR="0098610E" w:rsidRPr="00C6180E">
        <w:rPr>
          <w:sz w:val="24"/>
          <w:szCs w:val="24"/>
        </w:rPr>
        <w:t>Mierzwa’s</w:t>
      </w:r>
      <w:proofErr w:type="spellEnd"/>
      <w:r w:rsidR="0098610E" w:rsidRPr="00C6180E">
        <w:rPr>
          <w:sz w:val="24"/>
          <w:szCs w:val="24"/>
        </w:rPr>
        <w:t xml:space="preserve"> recommendation to maintain separate GCA rate components for a one-year period, the OCA submits that merging the PGC rates to provide identical PTCs as of October 1, 2015 is reasonable and in the interests of the ratepayers and the public interest.  Although, OCA asserts that Mr. </w:t>
      </w:r>
      <w:proofErr w:type="spellStart"/>
      <w:r w:rsidR="0098610E" w:rsidRPr="00C6180E">
        <w:rPr>
          <w:sz w:val="24"/>
          <w:szCs w:val="24"/>
        </w:rPr>
        <w:t>Mierzwa’s</w:t>
      </w:r>
      <w:proofErr w:type="spellEnd"/>
      <w:r w:rsidR="0098610E" w:rsidRPr="00C6180E">
        <w:rPr>
          <w:sz w:val="24"/>
          <w:szCs w:val="24"/>
        </w:rPr>
        <w:t xml:space="preserve"> recommendation to maintain separate GCA rates until September 30, 2016 is technically precise, the difference in rates that the customers would pay if Mr. </w:t>
      </w:r>
      <w:proofErr w:type="spellStart"/>
      <w:r w:rsidR="0098610E" w:rsidRPr="00C6180E">
        <w:rPr>
          <w:sz w:val="24"/>
          <w:szCs w:val="24"/>
        </w:rPr>
        <w:t>Mierzwa’s</w:t>
      </w:r>
      <w:proofErr w:type="spellEnd"/>
      <w:r w:rsidR="0098610E" w:rsidRPr="00C6180E">
        <w:rPr>
          <w:sz w:val="24"/>
          <w:szCs w:val="24"/>
        </w:rPr>
        <w:t xml:space="preserve"> recommendation were to be adopted is relatively minor, and this benefit is outweighed by the benefits that stem from consolidating the PGC rates now.  The OCA submits that the Company’s proposal to consolidate the PGC rates effective October 1, 2015 should be approved, as this proposal is in the best interest of the Company, its customers and the public interest.  (OCA Statement in Support, pp. 3-4.) </w:t>
      </w:r>
    </w:p>
    <w:p w:rsidR="0098610E" w:rsidRPr="00C6180E" w:rsidRDefault="0098610E" w:rsidP="00D94353">
      <w:pPr>
        <w:tabs>
          <w:tab w:val="left" w:pos="540"/>
          <w:tab w:val="left" w:pos="720"/>
        </w:tabs>
        <w:spacing w:line="360" w:lineRule="auto"/>
        <w:ind w:firstLine="720"/>
        <w:rPr>
          <w:b/>
          <w:sz w:val="24"/>
          <w:szCs w:val="24"/>
          <w:lang w:eastAsia="ja-JP"/>
        </w:rPr>
      </w:pPr>
    </w:p>
    <w:p w:rsidR="0098610E" w:rsidRDefault="0098610E" w:rsidP="000D26D1">
      <w:pPr>
        <w:tabs>
          <w:tab w:val="left" w:pos="540"/>
          <w:tab w:val="left" w:pos="720"/>
        </w:tabs>
        <w:spacing w:line="360" w:lineRule="auto"/>
        <w:ind w:firstLine="720"/>
        <w:rPr>
          <w:sz w:val="24"/>
          <w:szCs w:val="24"/>
          <w:u w:val="single"/>
          <w:lang w:eastAsia="ja-JP"/>
        </w:rPr>
      </w:pPr>
      <w:r w:rsidRPr="00C6180E">
        <w:rPr>
          <w:sz w:val="24"/>
          <w:szCs w:val="24"/>
          <w:lang w:eastAsia="ja-JP"/>
        </w:rPr>
        <w:t>4.</w:t>
      </w:r>
      <w:r w:rsidRPr="00C6180E">
        <w:rPr>
          <w:sz w:val="24"/>
          <w:szCs w:val="24"/>
          <w:lang w:eastAsia="ja-JP"/>
        </w:rPr>
        <w:tab/>
      </w:r>
      <w:r w:rsidRPr="000D26D1">
        <w:rPr>
          <w:sz w:val="24"/>
          <w:szCs w:val="24"/>
          <w:u w:val="single"/>
          <w:lang w:eastAsia="ja-JP"/>
        </w:rPr>
        <w:t>OSBA’s Position</w:t>
      </w:r>
    </w:p>
    <w:p w:rsidR="000D26D1" w:rsidRPr="00C6180E" w:rsidRDefault="000D26D1" w:rsidP="000D26D1">
      <w:pPr>
        <w:tabs>
          <w:tab w:val="left" w:pos="540"/>
          <w:tab w:val="left" w:pos="720"/>
        </w:tabs>
        <w:spacing w:line="360" w:lineRule="auto"/>
        <w:ind w:firstLine="720"/>
        <w:rPr>
          <w:sz w:val="24"/>
          <w:szCs w:val="24"/>
          <w:lang w:eastAsia="ja-JP"/>
        </w:rPr>
      </w:pPr>
    </w:p>
    <w:p w:rsidR="0098610E" w:rsidRDefault="0098610E" w:rsidP="000D26D1">
      <w:pPr>
        <w:pStyle w:val="BodyTextIndent"/>
        <w:spacing w:after="0" w:line="360" w:lineRule="auto"/>
        <w:ind w:left="0" w:firstLine="360"/>
        <w:rPr>
          <w:sz w:val="24"/>
          <w:szCs w:val="24"/>
        </w:rPr>
      </w:pPr>
      <w:r w:rsidRPr="00C6180E">
        <w:rPr>
          <w:sz w:val="24"/>
          <w:szCs w:val="24"/>
        </w:rPr>
        <w:t xml:space="preserve">       </w:t>
      </w:r>
      <w:r w:rsidR="000D26D1">
        <w:rPr>
          <w:sz w:val="24"/>
          <w:szCs w:val="24"/>
        </w:rPr>
        <w:tab/>
      </w:r>
      <w:r w:rsidRPr="00C6180E">
        <w:rPr>
          <w:sz w:val="24"/>
          <w:szCs w:val="24"/>
        </w:rPr>
        <w:t xml:space="preserve">OSBA points out that the PGC rate impacts on sales customers (with typical usage levels) due to consolidation are shown in Appendix C to the Joint Petition.  As shown in Appendix C, Peoples’ sales customers would see an increase in PGC costs, while Peoples-Equitable Division’s sales customers would experience a decrease in costs, compared to the case where the Companies maintained separate PGC rates.  The typical bill impact on Peoples’ Rate SGS (Small General Service) and Rate MGS (Medium General Service) sales customers would be an increase of 2.3% and 3.9%, respectively.  For the Peoples-Equitable Division, the typical bill impact on SGS and MGS sales customers would be a decrease of 2.5% and 4.6%, respectively.  </w:t>
      </w:r>
      <w:proofErr w:type="gramStart"/>
      <w:r w:rsidRPr="00C6180E">
        <w:rPr>
          <w:sz w:val="24"/>
          <w:szCs w:val="24"/>
        </w:rPr>
        <w:t>(OSBA Statement in Support, p. 4</w:t>
      </w:r>
      <w:r w:rsidR="00D94353">
        <w:rPr>
          <w:sz w:val="24"/>
          <w:szCs w:val="24"/>
        </w:rPr>
        <w:t>, Appendix C to Joint Petition.)</w:t>
      </w:r>
      <w:proofErr w:type="gramEnd"/>
    </w:p>
    <w:p w:rsidR="000D26D1" w:rsidRPr="00C6180E" w:rsidRDefault="000D26D1" w:rsidP="000D26D1">
      <w:pPr>
        <w:pStyle w:val="BodyTextIndent"/>
        <w:spacing w:line="360" w:lineRule="auto"/>
        <w:ind w:left="0" w:firstLine="360"/>
        <w:rPr>
          <w:sz w:val="24"/>
          <w:szCs w:val="24"/>
        </w:rPr>
      </w:pPr>
    </w:p>
    <w:p w:rsidR="005D050F" w:rsidRDefault="000D26D1" w:rsidP="00070C8F">
      <w:pPr>
        <w:pStyle w:val="BodyTextIndent"/>
        <w:spacing w:after="0" w:line="360" w:lineRule="auto"/>
        <w:ind w:left="0" w:firstLine="720"/>
        <w:rPr>
          <w:sz w:val="24"/>
          <w:szCs w:val="24"/>
        </w:rPr>
      </w:pPr>
      <w:r>
        <w:rPr>
          <w:sz w:val="24"/>
          <w:szCs w:val="24"/>
        </w:rPr>
        <w:tab/>
      </w:r>
      <w:r w:rsidR="0098610E" w:rsidRPr="00C6180E">
        <w:rPr>
          <w:sz w:val="24"/>
          <w:szCs w:val="24"/>
        </w:rPr>
        <w:t xml:space="preserve">According to OSBA, the Companies have identified the following benefits to the joint use of their combined gas supply assets: a) providing increased flexibility, efficiency and reliability when procuring gas supplies; b) providing greater opportunity to use local gas </w:t>
      </w:r>
      <w:r w:rsidR="0098610E" w:rsidRPr="00C6180E">
        <w:rPr>
          <w:sz w:val="24"/>
          <w:szCs w:val="24"/>
        </w:rPr>
        <w:lastRenderedPageBreak/>
        <w:t>supplies; and c) facilitating a more robust retail shopping market.</w:t>
      </w:r>
      <w:r w:rsidR="0098610E" w:rsidRPr="00C6180E">
        <w:rPr>
          <w:rStyle w:val="FootnoteReference"/>
          <w:sz w:val="24"/>
          <w:szCs w:val="24"/>
        </w:rPr>
        <w:footnoteReference w:id="8"/>
      </w:r>
      <w:r w:rsidR="0098610E" w:rsidRPr="00C6180E">
        <w:rPr>
          <w:sz w:val="24"/>
          <w:szCs w:val="24"/>
        </w:rPr>
        <w:t xml:space="preserve">  In addition, the Companies claim that merging their gas supply operations would allow them to pursue “many more pipeline replacement options, free up capital for additional pipeline replacement options, and streamline</w:t>
      </w:r>
    </w:p>
    <w:p w:rsidR="0098610E" w:rsidRDefault="0098610E" w:rsidP="005D050F">
      <w:pPr>
        <w:pStyle w:val="BodyTextIndent"/>
        <w:spacing w:after="0" w:line="360" w:lineRule="auto"/>
        <w:ind w:left="0"/>
        <w:rPr>
          <w:sz w:val="24"/>
          <w:szCs w:val="24"/>
        </w:rPr>
      </w:pPr>
      <w:proofErr w:type="gramStart"/>
      <w:r w:rsidRPr="00C6180E">
        <w:rPr>
          <w:sz w:val="24"/>
          <w:szCs w:val="24"/>
        </w:rPr>
        <w:t>the</w:t>
      </w:r>
      <w:proofErr w:type="gramEnd"/>
      <w:r w:rsidRPr="00C6180E">
        <w:rPr>
          <w:sz w:val="24"/>
          <w:szCs w:val="24"/>
        </w:rPr>
        <w:t xml:space="preserve"> pipeline facility planning and design process.”</w:t>
      </w:r>
      <w:r w:rsidRPr="00C6180E">
        <w:rPr>
          <w:rStyle w:val="FootnoteReference"/>
          <w:sz w:val="24"/>
          <w:szCs w:val="24"/>
        </w:rPr>
        <w:footnoteReference w:id="9"/>
      </w:r>
      <w:r w:rsidRPr="00C6180E">
        <w:rPr>
          <w:sz w:val="24"/>
          <w:szCs w:val="24"/>
        </w:rPr>
        <w:t xml:space="preserve">  Given the benefits identified by the Companies, the OSBA has determined that the relative magnitude of the rate impacts from consolidation is acceptable and therefore the settlement approving such rate consolidation is reasonable and in the interest of the Companies’ Small C&amp;I customers.</w:t>
      </w:r>
      <w:r w:rsidRPr="00C6180E">
        <w:rPr>
          <w:rStyle w:val="FootnoteReference"/>
          <w:sz w:val="24"/>
          <w:szCs w:val="24"/>
        </w:rPr>
        <w:footnoteReference w:id="10"/>
      </w:r>
      <w:r w:rsidRPr="00C6180E">
        <w:rPr>
          <w:sz w:val="24"/>
          <w:szCs w:val="24"/>
        </w:rPr>
        <w:t xml:space="preserve">  (OSBA Statement in Support, pp. 4-5.)</w:t>
      </w:r>
    </w:p>
    <w:p w:rsidR="00115A72" w:rsidRPr="00C6180E" w:rsidRDefault="00115A72" w:rsidP="00115A72">
      <w:pPr>
        <w:pStyle w:val="BodyTextIndent"/>
        <w:spacing w:after="0" w:line="360" w:lineRule="auto"/>
        <w:ind w:left="0" w:firstLine="720"/>
        <w:rPr>
          <w:sz w:val="24"/>
          <w:szCs w:val="24"/>
        </w:rPr>
      </w:pPr>
    </w:p>
    <w:p w:rsidR="0098610E" w:rsidRDefault="003666C0" w:rsidP="00EC5CE5">
      <w:pPr>
        <w:pStyle w:val="Heading1"/>
        <w:numPr>
          <w:ilvl w:val="0"/>
          <w:numId w:val="0"/>
        </w:numPr>
        <w:spacing w:after="0" w:line="360" w:lineRule="auto"/>
        <w:ind w:left="720" w:hanging="720"/>
        <w:jc w:val="left"/>
        <w:rPr>
          <w:b w:val="0"/>
          <w:caps w:val="0"/>
        </w:rPr>
      </w:pPr>
      <w:r w:rsidRPr="003666C0">
        <w:rPr>
          <w:b w:val="0"/>
          <w:caps w:val="0"/>
          <w:u w:val="none"/>
        </w:rPr>
        <w:t>C.</w:t>
      </w:r>
      <w:r w:rsidRPr="003666C0">
        <w:rPr>
          <w:b w:val="0"/>
          <w:caps w:val="0"/>
          <w:u w:val="none"/>
        </w:rPr>
        <w:tab/>
      </w:r>
      <w:r w:rsidR="00115A72" w:rsidRPr="00C6180E">
        <w:rPr>
          <w:b w:val="0"/>
          <w:caps w:val="0"/>
        </w:rPr>
        <w:t>Capacity Levels</w:t>
      </w:r>
    </w:p>
    <w:p w:rsidR="00115A72" w:rsidRPr="00115A72" w:rsidRDefault="00115A72" w:rsidP="00115A72">
      <w:pPr>
        <w:pStyle w:val="BodyText2"/>
        <w:spacing w:after="0" w:line="360" w:lineRule="auto"/>
      </w:pPr>
    </w:p>
    <w:p w:rsidR="0098610E" w:rsidRDefault="0098610E" w:rsidP="00EC5CE5">
      <w:pPr>
        <w:pStyle w:val="Heading3"/>
        <w:numPr>
          <w:ilvl w:val="0"/>
          <w:numId w:val="0"/>
        </w:numPr>
        <w:spacing w:after="0" w:line="360" w:lineRule="auto"/>
        <w:jc w:val="left"/>
        <w:rPr>
          <w:b w:val="0"/>
          <w:u w:val="single"/>
        </w:rPr>
      </w:pPr>
      <w:r w:rsidRPr="00C6180E">
        <w:rPr>
          <w:b w:val="0"/>
        </w:rPr>
        <w:t xml:space="preserve">            1.</w:t>
      </w:r>
      <w:r w:rsidRPr="00C6180E">
        <w:rPr>
          <w:b w:val="0"/>
        </w:rPr>
        <w:tab/>
      </w:r>
      <w:r w:rsidRPr="00115A72">
        <w:rPr>
          <w:b w:val="0"/>
          <w:u w:val="single"/>
        </w:rPr>
        <w:t>Company’s Position</w:t>
      </w:r>
    </w:p>
    <w:p w:rsidR="00EC5CE5" w:rsidRPr="00EC5CE5" w:rsidRDefault="00EC5CE5" w:rsidP="00EC5CE5">
      <w:pPr>
        <w:pStyle w:val="BodyText2"/>
        <w:spacing w:after="0" w:line="360" w:lineRule="auto"/>
      </w:pPr>
    </w:p>
    <w:p w:rsidR="0098610E" w:rsidRDefault="00D1279F" w:rsidP="00D1279F">
      <w:pPr>
        <w:pStyle w:val="BodyText2"/>
        <w:spacing w:after="0" w:line="360" w:lineRule="auto"/>
        <w:ind w:firstLine="720"/>
      </w:pPr>
      <w:r>
        <w:tab/>
      </w:r>
      <w:r w:rsidR="0098610E">
        <w:t>The Company proposed to make the design day criteria consistent for both Divisions and adopt the Peoples-Equitable Division design day temperature of 75 heating degree days (HDD).  The current design day temperature for the Peoples Division is 74 HDD.  The Company explained that many companies use a design day temperature that is based on the coldest temperature in the past 30 years.  The adoption of a 75 HDD design day would adopt a HDD temperature for the Company that has occurred on average every 13 years.  (Peoples and Equitable Division St. No. 3-R, p. 4; Peoples Statement in Support, pp. 6-7.)</w:t>
      </w:r>
    </w:p>
    <w:p w:rsidR="00D1279F" w:rsidRDefault="00D1279F" w:rsidP="00D1279F">
      <w:pPr>
        <w:pStyle w:val="BodyText2"/>
        <w:spacing w:line="360" w:lineRule="auto"/>
        <w:ind w:firstLine="720"/>
      </w:pPr>
    </w:p>
    <w:p w:rsidR="0098610E" w:rsidRDefault="00D1279F" w:rsidP="00431DFD">
      <w:pPr>
        <w:pStyle w:val="BodyText2"/>
        <w:spacing w:after="0" w:line="360" w:lineRule="auto"/>
        <w:ind w:firstLine="720"/>
      </w:pPr>
      <w:r>
        <w:tab/>
      </w:r>
      <w:r w:rsidR="0098610E">
        <w:t xml:space="preserve">The Company explained that it was reasonable to use 75 HDD, which has historically occurred every 13 years, especially when many natural gas companies are using a </w:t>
      </w:r>
      <w:r w:rsidR="0098610E">
        <w:lastRenderedPageBreak/>
        <w:t>30</w:t>
      </w:r>
      <w:r>
        <w:t> </w:t>
      </w:r>
      <w:r w:rsidR="0098610E">
        <w:t>year period.  (Peoples and Equitable Division St. No. 3-R, p. 4; Peoples Statement in Support, p. 7.)</w:t>
      </w:r>
    </w:p>
    <w:p w:rsidR="00D1279F" w:rsidRDefault="00D1279F" w:rsidP="003F1BD0">
      <w:pPr>
        <w:pStyle w:val="BodyText2"/>
        <w:spacing w:after="0" w:line="360" w:lineRule="auto"/>
        <w:ind w:firstLine="720"/>
      </w:pPr>
    </w:p>
    <w:p w:rsidR="004B7F07" w:rsidRDefault="00D1279F" w:rsidP="00641D42">
      <w:pPr>
        <w:pStyle w:val="BodyText2"/>
        <w:spacing w:after="0" w:line="360" w:lineRule="auto"/>
      </w:pPr>
      <w:r>
        <w:tab/>
      </w:r>
      <w:r>
        <w:tab/>
      </w:r>
      <w:r w:rsidR="0098610E">
        <w:t xml:space="preserve">The Company notes that the Settlement does not adopt a specific HDD number.  Rather, the Joint Petitioners agree that the total level of capacity proposed for both Divisions for the projected period is reasonable.  The Settlement clarifies that it is not intended to approve any </w:t>
      </w:r>
    </w:p>
    <w:p w:rsidR="0098610E" w:rsidRDefault="0098610E" w:rsidP="00641D42">
      <w:pPr>
        <w:pStyle w:val="BodyText2"/>
        <w:spacing w:after="0" w:line="360" w:lineRule="auto"/>
      </w:pPr>
      <w:proofErr w:type="gramStart"/>
      <w:r>
        <w:t>methodology</w:t>
      </w:r>
      <w:proofErr w:type="gramEnd"/>
      <w:r>
        <w:t xml:space="preserve"> for determining capacity requirements or design day criteria in any future proceeding.  </w:t>
      </w:r>
      <w:proofErr w:type="gramStart"/>
      <w:r>
        <w:t>(Peoples Statement in Support, p. 7.)</w:t>
      </w:r>
      <w:proofErr w:type="gramEnd"/>
    </w:p>
    <w:p w:rsidR="008178F1" w:rsidRDefault="008178F1" w:rsidP="00641D42">
      <w:pPr>
        <w:pStyle w:val="BodyText2"/>
        <w:spacing w:after="0" w:line="360" w:lineRule="auto"/>
      </w:pPr>
    </w:p>
    <w:p w:rsidR="0098610E" w:rsidRDefault="00641D42" w:rsidP="00641D42">
      <w:pPr>
        <w:pStyle w:val="BodyText2"/>
        <w:spacing w:line="360" w:lineRule="auto"/>
        <w:ind w:firstLine="720"/>
      </w:pPr>
      <w:r>
        <w:tab/>
      </w:r>
      <w:r w:rsidR="0098610E">
        <w:t xml:space="preserve">In addition, under the Settlement, Peoples agrees to prepare and </w:t>
      </w:r>
      <w:r w:rsidR="0098610E" w:rsidRPr="00474F49">
        <w:t>file a study of the combined capacity requirements and design day criteria of its two Divisions with its PGC filing in 2016.</w:t>
      </w:r>
      <w:r w:rsidR="0098610E">
        <w:t xml:space="preserve">  Peoples asserts that this is a reasonable compromise of this issue.  Peoples avers that it expects to have a better understanding of its combined design day requirements in next year’s PGC proceeding because it will have some experience in operating the two Divisions as a combined system.  (Peoples Statement in support, p. 7.)</w:t>
      </w:r>
    </w:p>
    <w:p w:rsidR="00641D42" w:rsidRDefault="00641D42" w:rsidP="00641D42">
      <w:pPr>
        <w:pStyle w:val="BodyText2"/>
        <w:spacing w:after="0" w:line="360" w:lineRule="auto"/>
        <w:ind w:firstLine="720"/>
      </w:pPr>
    </w:p>
    <w:p w:rsidR="0098610E" w:rsidRDefault="0098610E" w:rsidP="00E90F4B">
      <w:pPr>
        <w:pStyle w:val="Heading3"/>
        <w:numPr>
          <w:ilvl w:val="0"/>
          <w:numId w:val="0"/>
        </w:numPr>
        <w:spacing w:after="0" w:line="360" w:lineRule="auto"/>
        <w:ind w:left="1440" w:hanging="720"/>
        <w:jc w:val="left"/>
        <w:rPr>
          <w:b w:val="0"/>
          <w:u w:val="single"/>
        </w:rPr>
      </w:pPr>
      <w:r w:rsidRPr="00595D7B">
        <w:rPr>
          <w:b w:val="0"/>
        </w:rPr>
        <w:t>2.</w:t>
      </w:r>
      <w:r w:rsidRPr="00595D7B">
        <w:rPr>
          <w:b w:val="0"/>
        </w:rPr>
        <w:tab/>
      </w:r>
      <w:r w:rsidRPr="0096022A">
        <w:rPr>
          <w:b w:val="0"/>
          <w:u w:val="single"/>
        </w:rPr>
        <w:t>I&amp;E’s Position</w:t>
      </w:r>
    </w:p>
    <w:p w:rsidR="00E90F4B" w:rsidRPr="00E90F4B" w:rsidRDefault="00E90F4B" w:rsidP="00E90F4B">
      <w:pPr>
        <w:pStyle w:val="BodyText2"/>
        <w:spacing w:line="360" w:lineRule="auto"/>
      </w:pPr>
    </w:p>
    <w:p w:rsidR="0098610E" w:rsidRDefault="0098610E" w:rsidP="00E4225E">
      <w:pPr>
        <w:tabs>
          <w:tab w:val="left" w:pos="-720"/>
        </w:tabs>
        <w:suppressAutoHyphens/>
        <w:spacing w:line="360" w:lineRule="auto"/>
        <w:rPr>
          <w:spacing w:val="-3"/>
          <w:sz w:val="24"/>
          <w:szCs w:val="24"/>
        </w:rPr>
      </w:pPr>
      <w:r>
        <w:rPr>
          <w:spacing w:val="-3"/>
        </w:rPr>
        <w:tab/>
      </w:r>
      <w:r>
        <w:rPr>
          <w:spacing w:val="-3"/>
        </w:rPr>
        <w:tab/>
      </w:r>
      <w:r w:rsidRPr="00162936">
        <w:rPr>
          <w:spacing w:val="-3"/>
          <w:sz w:val="24"/>
          <w:szCs w:val="24"/>
        </w:rPr>
        <w:t>I&amp;</w:t>
      </w:r>
      <w:r w:rsidR="007138DF">
        <w:rPr>
          <w:spacing w:val="-3"/>
          <w:sz w:val="24"/>
          <w:szCs w:val="24"/>
        </w:rPr>
        <w:t xml:space="preserve">E asserts that its </w:t>
      </w:r>
      <w:r w:rsidRPr="00162936">
        <w:rPr>
          <w:spacing w:val="-3"/>
          <w:sz w:val="24"/>
          <w:szCs w:val="24"/>
        </w:rPr>
        <w:t>analysis in this proceeding supports that the proposed rates are just and reasonable, accurately reflect the costs of its purchased natural gas and are based on sound regulatory practices.  As such, I&amp;E opines that these rates are in the public interest and should be approved.  (I&amp;E Statement in Support, p. 8.)</w:t>
      </w:r>
    </w:p>
    <w:p w:rsidR="00E4225E" w:rsidRPr="00162936" w:rsidRDefault="00E4225E" w:rsidP="00E4225E">
      <w:pPr>
        <w:tabs>
          <w:tab w:val="left" w:pos="-720"/>
        </w:tabs>
        <w:suppressAutoHyphens/>
        <w:spacing w:line="360" w:lineRule="auto"/>
        <w:rPr>
          <w:spacing w:val="-3"/>
          <w:sz w:val="24"/>
          <w:szCs w:val="24"/>
        </w:rPr>
      </w:pPr>
    </w:p>
    <w:p w:rsidR="0098610E" w:rsidRDefault="0098610E" w:rsidP="00E4225E">
      <w:pPr>
        <w:tabs>
          <w:tab w:val="left" w:pos="-720"/>
        </w:tabs>
        <w:suppressAutoHyphens/>
        <w:spacing w:line="360" w:lineRule="auto"/>
        <w:rPr>
          <w:spacing w:val="-3"/>
          <w:sz w:val="24"/>
          <w:szCs w:val="24"/>
        </w:rPr>
      </w:pPr>
      <w:r w:rsidRPr="00162936">
        <w:rPr>
          <w:spacing w:val="-3"/>
          <w:sz w:val="24"/>
          <w:szCs w:val="24"/>
        </w:rPr>
        <w:t xml:space="preserve"> </w:t>
      </w:r>
      <w:r w:rsidRPr="00162936">
        <w:rPr>
          <w:spacing w:val="-3"/>
          <w:sz w:val="24"/>
          <w:szCs w:val="24"/>
        </w:rPr>
        <w:tab/>
      </w:r>
      <w:r w:rsidRPr="00162936">
        <w:rPr>
          <w:spacing w:val="-3"/>
          <w:sz w:val="24"/>
          <w:szCs w:val="24"/>
        </w:rPr>
        <w:tab/>
        <w:t xml:space="preserve">I&amp;E further asserts that the active parties to this proceeding are in agreement that the Companies will adhere to the purchasing plan as established by the data and calculations provided in the Companies’ testimony and associated exhibits, noting that the purchasing plan provides reasonable protections for ratepayers and enables the company to adhere to the regulatory requirements in acquiring supplies for its customers.  I&amp;E concludes that the Companies’ projections and plans are reasonable and are in the public interest and, therefore,  should be adopted as presented.  </w:t>
      </w:r>
      <w:proofErr w:type="gramStart"/>
      <w:r w:rsidR="00C03096">
        <w:rPr>
          <w:spacing w:val="-3"/>
          <w:sz w:val="24"/>
          <w:szCs w:val="24"/>
        </w:rPr>
        <w:t>(</w:t>
      </w:r>
      <w:r w:rsidRPr="00162936">
        <w:rPr>
          <w:spacing w:val="-3"/>
          <w:sz w:val="24"/>
          <w:szCs w:val="24"/>
        </w:rPr>
        <w:t>I&amp;E Statement in Support, pp. 8-9.)</w:t>
      </w:r>
      <w:proofErr w:type="gramEnd"/>
      <w:r w:rsidR="003B35DD">
        <w:rPr>
          <w:spacing w:val="-3"/>
          <w:sz w:val="24"/>
          <w:szCs w:val="24"/>
        </w:rPr>
        <w:t xml:space="preserve">  I</w:t>
      </w:r>
      <w:r w:rsidRPr="00162936">
        <w:rPr>
          <w:color w:val="000000"/>
          <w:sz w:val="24"/>
          <w:szCs w:val="24"/>
        </w:rPr>
        <w:t xml:space="preserve">&amp;E </w:t>
      </w:r>
      <w:r w:rsidR="003B35DD">
        <w:rPr>
          <w:color w:val="000000"/>
          <w:sz w:val="24"/>
          <w:szCs w:val="24"/>
        </w:rPr>
        <w:t>a</w:t>
      </w:r>
      <w:r w:rsidRPr="00162936">
        <w:rPr>
          <w:color w:val="000000"/>
          <w:sz w:val="24"/>
          <w:szCs w:val="24"/>
        </w:rPr>
        <w:t>vers that l</w:t>
      </w:r>
      <w:r w:rsidRPr="00162936">
        <w:rPr>
          <w:sz w:val="24"/>
          <w:szCs w:val="24"/>
        </w:rPr>
        <w:t xml:space="preserve">ine by line identification of the ultimate resolution of every averment is not necessary, as I&amp;E represents that the Settlement </w:t>
      </w:r>
      <w:r w:rsidRPr="00162936">
        <w:rPr>
          <w:sz w:val="24"/>
          <w:szCs w:val="24"/>
        </w:rPr>
        <w:lastRenderedPageBreak/>
        <w:t xml:space="preserve">maintains the proper balance of the interests of all parties.  </w:t>
      </w:r>
      <w:r w:rsidRPr="00162936">
        <w:rPr>
          <w:spacing w:val="-3"/>
          <w:sz w:val="24"/>
          <w:szCs w:val="24"/>
        </w:rPr>
        <w:t xml:space="preserve">I&amp;E is satisfied that no further action is necessary and considers its investigation of this filing complete.  </w:t>
      </w:r>
      <w:proofErr w:type="gramStart"/>
      <w:r w:rsidRPr="00162936">
        <w:rPr>
          <w:spacing w:val="-3"/>
          <w:sz w:val="24"/>
          <w:szCs w:val="24"/>
        </w:rPr>
        <w:t>(I&amp;E Statement in Support, pp.</w:t>
      </w:r>
      <w:r w:rsidR="00E4225E">
        <w:rPr>
          <w:spacing w:val="-3"/>
          <w:sz w:val="24"/>
          <w:szCs w:val="24"/>
        </w:rPr>
        <w:t> </w:t>
      </w:r>
      <w:r w:rsidRPr="00162936">
        <w:rPr>
          <w:spacing w:val="-3"/>
          <w:sz w:val="24"/>
          <w:szCs w:val="24"/>
        </w:rPr>
        <w:t>8</w:t>
      </w:r>
      <w:r w:rsidR="00E4225E">
        <w:rPr>
          <w:spacing w:val="-3"/>
          <w:sz w:val="24"/>
          <w:szCs w:val="24"/>
        </w:rPr>
        <w:noBreakHyphen/>
      </w:r>
      <w:r w:rsidRPr="00162936">
        <w:rPr>
          <w:spacing w:val="-3"/>
          <w:sz w:val="24"/>
          <w:szCs w:val="24"/>
        </w:rPr>
        <w:t>9.)</w:t>
      </w:r>
      <w:proofErr w:type="gramEnd"/>
    </w:p>
    <w:p w:rsidR="00FA1EB7" w:rsidRPr="00162936" w:rsidRDefault="00FA1EB7" w:rsidP="00E4225E">
      <w:pPr>
        <w:tabs>
          <w:tab w:val="left" w:pos="-720"/>
        </w:tabs>
        <w:suppressAutoHyphens/>
        <w:spacing w:line="360" w:lineRule="auto"/>
        <w:rPr>
          <w:spacing w:val="-3"/>
          <w:sz w:val="24"/>
          <w:szCs w:val="24"/>
        </w:rPr>
      </w:pPr>
    </w:p>
    <w:p w:rsidR="0098610E" w:rsidRDefault="0098610E" w:rsidP="00A26485">
      <w:pPr>
        <w:pStyle w:val="Heading3"/>
        <w:numPr>
          <w:ilvl w:val="0"/>
          <w:numId w:val="0"/>
        </w:numPr>
        <w:spacing w:after="0" w:line="360" w:lineRule="auto"/>
        <w:ind w:left="1440" w:hanging="720"/>
        <w:jc w:val="left"/>
        <w:rPr>
          <w:b w:val="0"/>
          <w:u w:val="single"/>
        </w:rPr>
      </w:pPr>
      <w:r w:rsidRPr="00113CDC">
        <w:rPr>
          <w:b w:val="0"/>
        </w:rPr>
        <w:t>3.</w:t>
      </w:r>
      <w:r w:rsidRPr="00113CDC">
        <w:rPr>
          <w:b w:val="0"/>
        </w:rPr>
        <w:tab/>
      </w:r>
      <w:r w:rsidRPr="00E4225E">
        <w:rPr>
          <w:b w:val="0"/>
          <w:u w:val="single"/>
        </w:rPr>
        <w:t>OCA’s Position</w:t>
      </w:r>
    </w:p>
    <w:p w:rsidR="00A26485" w:rsidRPr="00A26485" w:rsidRDefault="00A26485" w:rsidP="00A26485">
      <w:pPr>
        <w:pStyle w:val="BodyText2"/>
        <w:spacing w:after="0" w:line="360" w:lineRule="auto"/>
      </w:pPr>
    </w:p>
    <w:p w:rsidR="0098610E" w:rsidRDefault="00A54CDB" w:rsidP="00E4225E">
      <w:pPr>
        <w:spacing w:line="360" w:lineRule="auto"/>
        <w:ind w:firstLine="720"/>
        <w:rPr>
          <w:sz w:val="24"/>
          <w:szCs w:val="24"/>
        </w:rPr>
      </w:pPr>
      <w:r>
        <w:rPr>
          <w:sz w:val="24"/>
          <w:szCs w:val="24"/>
        </w:rPr>
        <w:tab/>
      </w:r>
      <w:r w:rsidR="0098610E" w:rsidRPr="00162936">
        <w:rPr>
          <w:sz w:val="24"/>
          <w:szCs w:val="24"/>
        </w:rPr>
        <w:t xml:space="preserve">OCA witness </w:t>
      </w:r>
      <w:proofErr w:type="spellStart"/>
      <w:r w:rsidR="0098610E" w:rsidRPr="00162936">
        <w:rPr>
          <w:sz w:val="24"/>
          <w:szCs w:val="24"/>
        </w:rPr>
        <w:t>Mierzwa</w:t>
      </w:r>
      <w:proofErr w:type="spellEnd"/>
      <w:r w:rsidR="0098610E" w:rsidRPr="00162936">
        <w:rPr>
          <w:sz w:val="24"/>
          <w:szCs w:val="24"/>
        </w:rPr>
        <w:t xml:space="preserve"> objected to the Company’s  proposal, testifying that Peoples had made no showing that its current design day temperature criteria has or will adversely affect service reliability.  Mr. </w:t>
      </w:r>
      <w:proofErr w:type="spellStart"/>
      <w:r w:rsidR="0098610E" w:rsidRPr="00162936">
        <w:rPr>
          <w:sz w:val="24"/>
          <w:szCs w:val="24"/>
        </w:rPr>
        <w:t>Mierzwa</w:t>
      </w:r>
      <w:proofErr w:type="spellEnd"/>
      <w:r w:rsidR="0098610E" w:rsidRPr="00162936">
        <w:rPr>
          <w:sz w:val="24"/>
          <w:szCs w:val="24"/>
        </w:rPr>
        <w:t xml:space="preserve"> testified that changing the design day temperature criteria would result in increased future capacity costs for PGC customers and, therefore, is inconsistent with least-cost gas procurement.  Accordingly, Mr. </w:t>
      </w:r>
      <w:proofErr w:type="spellStart"/>
      <w:r w:rsidR="0098610E" w:rsidRPr="00162936">
        <w:rPr>
          <w:sz w:val="24"/>
          <w:szCs w:val="24"/>
        </w:rPr>
        <w:t>Mierzwa</w:t>
      </w:r>
      <w:proofErr w:type="spellEnd"/>
      <w:r w:rsidR="0098610E" w:rsidRPr="00162936">
        <w:rPr>
          <w:sz w:val="24"/>
          <w:szCs w:val="24"/>
        </w:rPr>
        <w:t xml:space="preserve"> recommended that if the PGC rates are consolidated, that Peoples’ current design day temperature criteria be adopted for the Equitable Division.  Mr. </w:t>
      </w:r>
      <w:proofErr w:type="spellStart"/>
      <w:r w:rsidR="0098610E" w:rsidRPr="00162936">
        <w:rPr>
          <w:sz w:val="24"/>
          <w:szCs w:val="24"/>
        </w:rPr>
        <w:t>Mierzwa</w:t>
      </w:r>
      <w:proofErr w:type="spellEnd"/>
      <w:r w:rsidR="0098610E" w:rsidRPr="00162936">
        <w:rPr>
          <w:sz w:val="24"/>
          <w:szCs w:val="24"/>
        </w:rPr>
        <w:t xml:space="preserve"> did not oppose the Company’s proposed level of capacity, however.  </w:t>
      </w:r>
      <w:proofErr w:type="gramStart"/>
      <w:r w:rsidR="00B834FB">
        <w:rPr>
          <w:sz w:val="24"/>
          <w:szCs w:val="24"/>
        </w:rPr>
        <w:t>(</w:t>
      </w:r>
      <w:r w:rsidR="0098610E" w:rsidRPr="00162936">
        <w:rPr>
          <w:sz w:val="24"/>
          <w:szCs w:val="24"/>
        </w:rPr>
        <w:t>OCA Statement No. 1 at 9-10; OCA Statement in Support, p. 4.).</w:t>
      </w:r>
      <w:proofErr w:type="gramEnd"/>
      <w:r w:rsidR="0098610E" w:rsidRPr="00162936">
        <w:rPr>
          <w:sz w:val="24"/>
          <w:szCs w:val="24"/>
        </w:rPr>
        <w:t xml:space="preserve">  </w:t>
      </w:r>
    </w:p>
    <w:p w:rsidR="00E4225E" w:rsidRPr="00162936" w:rsidRDefault="00E4225E" w:rsidP="00E4225E">
      <w:pPr>
        <w:spacing w:line="360" w:lineRule="auto"/>
        <w:ind w:firstLine="720"/>
        <w:rPr>
          <w:sz w:val="24"/>
          <w:szCs w:val="24"/>
        </w:rPr>
      </w:pPr>
    </w:p>
    <w:p w:rsidR="0098610E" w:rsidRPr="00A54CDB" w:rsidRDefault="00A54CDB" w:rsidP="00E4225E">
      <w:pPr>
        <w:spacing w:line="360" w:lineRule="auto"/>
        <w:ind w:firstLine="720"/>
        <w:rPr>
          <w:sz w:val="24"/>
          <w:szCs w:val="24"/>
        </w:rPr>
      </w:pPr>
      <w:r>
        <w:rPr>
          <w:sz w:val="24"/>
          <w:szCs w:val="24"/>
        </w:rPr>
        <w:tab/>
      </w:r>
      <w:r w:rsidR="0098610E" w:rsidRPr="00162936">
        <w:rPr>
          <w:sz w:val="24"/>
          <w:szCs w:val="24"/>
        </w:rPr>
        <w:t xml:space="preserve">OCA  points out that the Settlement adopts the Company’s proposed level of capacity for the projected period commencing October 1, 2015, but does not approve the Company’s proposal regarding modifying Peoples’ design day criteria.  OCA further explains that the Settlement  provides that Peoples will prepare and file a study of the combined capacity requirements and design day criteria for the proposed capacity requirements for the combined requirements of its two Divisions with its PGC filing in 2016.  The OCA submits that this portion of the Settlement addresses the OCA’s concern regarding Peoples’ proposal to adopt Equitable Division’s design day criteria.  As Mr. </w:t>
      </w:r>
      <w:proofErr w:type="spellStart"/>
      <w:r w:rsidR="0098610E" w:rsidRPr="00162936">
        <w:rPr>
          <w:sz w:val="24"/>
          <w:szCs w:val="24"/>
        </w:rPr>
        <w:t>Mierzwa</w:t>
      </w:r>
      <w:proofErr w:type="spellEnd"/>
      <w:r w:rsidR="0098610E" w:rsidRPr="00162936">
        <w:rPr>
          <w:sz w:val="24"/>
          <w:szCs w:val="24"/>
        </w:rPr>
        <w:t xml:space="preserve"> testified, in this proceeding, Peoples’ proposed level of capacity was not affected by its proposal to adopt a design day criteria of 75 HDD.  Mr. </w:t>
      </w:r>
      <w:proofErr w:type="spellStart"/>
      <w:r w:rsidR="0098610E" w:rsidRPr="00162936">
        <w:rPr>
          <w:sz w:val="24"/>
          <w:szCs w:val="24"/>
        </w:rPr>
        <w:t>Mierzwa</w:t>
      </w:r>
      <w:proofErr w:type="spellEnd"/>
      <w:r w:rsidR="0098610E" w:rsidRPr="00162936">
        <w:rPr>
          <w:sz w:val="24"/>
          <w:szCs w:val="24"/>
        </w:rPr>
        <w:t xml:space="preserve"> did not oppose Peoples’ proposed level of capacity, only its proposal to modify its design day criteria.  Since the Settlement approves the capacity level without modifying Peoples’ design day criteria, the OCA submits that the Company’s proposed level of capacity should be approved.  (OCA Statement No. 1 at 11; OCA Statement in Support, p.</w:t>
      </w:r>
      <w:r w:rsidR="00AB5F51">
        <w:rPr>
          <w:sz w:val="24"/>
          <w:szCs w:val="24"/>
        </w:rPr>
        <w:t xml:space="preserve"> </w:t>
      </w:r>
      <w:r w:rsidR="0098610E" w:rsidRPr="00162936">
        <w:rPr>
          <w:sz w:val="24"/>
          <w:szCs w:val="24"/>
        </w:rPr>
        <w:t>5)</w:t>
      </w:r>
      <w:r w:rsidR="0098610E" w:rsidRPr="00162936">
        <w:rPr>
          <w:rStyle w:val="FootnoteReference"/>
          <w:sz w:val="24"/>
          <w:szCs w:val="24"/>
        </w:rPr>
        <w:footnoteReference w:id="11"/>
      </w:r>
    </w:p>
    <w:p w:rsidR="0098610E" w:rsidRDefault="00A54CDB" w:rsidP="00BB5411">
      <w:pPr>
        <w:pStyle w:val="Heading1"/>
        <w:numPr>
          <w:ilvl w:val="0"/>
          <w:numId w:val="0"/>
        </w:numPr>
        <w:spacing w:after="0" w:line="360" w:lineRule="auto"/>
        <w:ind w:left="720" w:hanging="720"/>
        <w:jc w:val="left"/>
        <w:rPr>
          <w:b w:val="0"/>
          <w:caps w:val="0"/>
        </w:rPr>
      </w:pPr>
      <w:r w:rsidRPr="00A54CDB">
        <w:rPr>
          <w:b w:val="0"/>
          <w:caps w:val="0"/>
          <w:u w:val="none"/>
        </w:rPr>
        <w:lastRenderedPageBreak/>
        <w:t>D.</w:t>
      </w:r>
      <w:r w:rsidRPr="00A54CDB">
        <w:rPr>
          <w:b w:val="0"/>
          <w:caps w:val="0"/>
          <w:u w:val="none"/>
        </w:rPr>
        <w:tab/>
      </w:r>
      <w:r w:rsidRPr="00A54CDB">
        <w:rPr>
          <w:b w:val="0"/>
          <w:caps w:val="0"/>
        </w:rPr>
        <w:t>A</w:t>
      </w:r>
      <w:r>
        <w:rPr>
          <w:b w:val="0"/>
          <w:caps w:val="0"/>
        </w:rPr>
        <w:t>VC</w:t>
      </w:r>
      <w:r w:rsidRPr="00A54CDB">
        <w:rPr>
          <w:b w:val="0"/>
          <w:caps w:val="0"/>
        </w:rPr>
        <w:t xml:space="preserve"> Authorized Overrun Charge</w:t>
      </w:r>
    </w:p>
    <w:p w:rsidR="004E737E" w:rsidRPr="004E737E" w:rsidRDefault="004E737E" w:rsidP="004E737E">
      <w:pPr>
        <w:pStyle w:val="BodyText2"/>
        <w:spacing w:after="0" w:line="360" w:lineRule="auto"/>
      </w:pPr>
    </w:p>
    <w:p w:rsidR="0098610E" w:rsidRDefault="004E737E" w:rsidP="00BB5411">
      <w:pPr>
        <w:pStyle w:val="Heading3"/>
        <w:numPr>
          <w:ilvl w:val="0"/>
          <w:numId w:val="0"/>
        </w:numPr>
        <w:spacing w:after="0" w:line="360" w:lineRule="auto"/>
        <w:ind w:left="1440" w:hanging="720"/>
        <w:jc w:val="left"/>
        <w:rPr>
          <w:b w:val="0"/>
          <w:u w:val="single"/>
        </w:rPr>
      </w:pPr>
      <w:r>
        <w:rPr>
          <w:b w:val="0"/>
        </w:rPr>
        <w:t>1.</w:t>
      </w:r>
      <w:r>
        <w:rPr>
          <w:b w:val="0"/>
        </w:rPr>
        <w:tab/>
      </w:r>
      <w:r w:rsidR="0098610E" w:rsidRPr="004E737E">
        <w:rPr>
          <w:b w:val="0"/>
          <w:u w:val="single"/>
        </w:rPr>
        <w:t>Company’s Position</w:t>
      </w:r>
    </w:p>
    <w:p w:rsidR="00BB5411" w:rsidRPr="00BB5411" w:rsidRDefault="00BB5411" w:rsidP="001A47A2">
      <w:pPr>
        <w:pStyle w:val="BodyText2"/>
        <w:spacing w:after="0" w:line="360" w:lineRule="auto"/>
      </w:pPr>
    </w:p>
    <w:p w:rsidR="0098610E" w:rsidRDefault="004E737E" w:rsidP="004E737E">
      <w:pPr>
        <w:pStyle w:val="BodyText2"/>
        <w:spacing w:line="360" w:lineRule="auto"/>
        <w:ind w:firstLine="720"/>
      </w:pPr>
      <w:r>
        <w:tab/>
      </w:r>
      <w:r w:rsidR="0098610E">
        <w:t xml:space="preserve">During the historic period, the Peoples Division incurred approximately $1 million in authorized overrun charges from </w:t>
      </w:r>
      <w:proofErr w:type="spellStart"/>
      <w:r w:rsidR="0098610E">
        <w:t>Equitrans</w:t>
      </w:r>
      <w:proofErr w:type="spellEnd"/>
      <w:r w:rsidR="0098610E">
        <w:t xml:space="preserve"> L.P., which Peoples explains are not a penalty and are not a violation of a tariff rule or agreement.  Peoples explains, under the </w:t>
      </w:r>
      <w:proofErr w:type="spellStart"/>
      <w:r w:rsidR="0098610E">
        <w:t>Equitrans</w:t>
      </w:r>
      <w:proofErr w:type="spellEnd"/>
      <w:r w:rsidR="0098610E">
        <w:t xml:space="preserve"> tariff, it can transport more than its maximum firm daily amount, and pay additional charges.  (Peoples and Equitable Division St. No. 2-R, p. 2; Peoples Statement in Support, p.7.)   Peoples further explains, that the authorized overrun charge is a cost-based rate that compensates the pipeline for the additional service that is provided.  (Peoples Statement in Support, p. 7.)</w:t>
      </w:r>
    </w:p>
    <w:p w:rsidR="004E737E" w:rsidRDefault="004E737E" w:rsidP="004E737E">
      <w:pPr>
        <w:pStyle w:val="BodyText2"/>
        <w:spacing w:after="0" w:line="360" w:lineRule="auto"/>
        <w:ind w:firstLine="720"/>
      </w:pPr>
    </w:p>
    <w:p w:rsidR="0098610E" w:rsidRDefault="004E737E" w:rsidP="004E737E">
      <w:pPr>
        <w:pStyle w:val="BodyText2"/>
        <w:spacing w:line="360" w:lineRule="auto"/>
        <w:ind w:firstLine="720"/>
      </w:pPr>
      <w:r>
        <w:tab/>
      </w:r>
      <w:r w:rsidR="0098610E">
        <w:t>As explained by the Company, using the authorized overrun service was the most cost-effective option for providing reliable service to customers.  The authorized overrun service is an interruptible service that has a much lower cost than if the Company had acquired additional firm transportation service.  In addition, the Company explained, it could have entered into an interruptible service agreement to transport gas into AVC city gate or storage, but this would have been more expensive than the authorized overrun service.  (Peoples and Equitable Division St. No. 2-R, pp. 6-7; Peoples Statement in Support, p. 8.)</w:t>
      </w:r>
    </w:p>
    <w:p w:rsidR="004E737E" w:rsidRDefault="004E737E" w:rsidP="004E737E">
      <w:pPr>
        <w:pStyle w:val="BodyText2"/>
        <w:spacing w:after="0" w:line="360" w:lineRule="auto"/>
        <w:ind w:firstLine="720"/>
      </w:pPr>
    </w:p>
    <w:p w:rsidR="0098610E" w:rsidRDefault="004E737E" w:rsidP="004E737E">
      <w:pPr>
        <w:pStyle w:val="BodyText2"/>
        <w:spacing w:line="360" w:lineRule="auto"/>
        <w:ind w:firstLine="720"/>
      </w:pPr>
      <w:r>
        <w:tab/>
      </w:r>
      <w:r w:rsidR="0098610E">
        <w:t xml:space="preserve">The Company disagreed with OCA’s position that the authorized overrun charges were merger transition costs.  Peoples explained that merger transition costs are limited to up-front, non-recurring or immediate costs to consummate or effectuate the merger.  (Peoples and Equitable Division St. No. 1-R, p. 7; Peoples Statement in Support, p. 8.)  </w:t>
      </w:r>
    </w:p>
    <w:p w:rsidR="004E737E" w:rsidRDefault="004E737E" w:rsidP="004E737E">
      <w:pPr>
        <w:pStyle w:val="BodyText2"/>
        <w:spacing w:after="0" w:line="360" w:lineRule="auto"/>
        <w:ind w:firstLine="720"/>
      </w:pPr>
    </w:p>
    <w:p w:rsidR="0098610E" w:rsidRDefault="004E737E" w:rsidP="004E737E">
      <w:pPr>
        <w:pStyle w:val="BodyText2"/>
        <w:spacing w:line="360" w:lineRule="auto"/>
        <w:ind w:firstLine="720"/>
      </w:pPr>
      <w:r>
        <w:tab/>
      </w:r>
      <w:r w:rsidR="0098610E">
        <w:t xml:space="preserve">Under the Settlement, the Joint Petitioners agreed that Peoples would remove the authorized overrun charges from the historic period purchased gas costs charged to sales customers and recover them from all customers over the one year period commencing October 1, 2015.  (Settlement ¶ 40; Peoples Statement in </w:t>
      </w:r>
      <w:proofErr w:type="spellStart"/>
      <w:r w:rsidR="0098610E">
        <w:t>Suport</w:t>
      </w:r>
      <w:proofErr w:type="spellEnd"/>
      <w:r w:rsidR="0098610E">
        <w:t xml:space="preserve">, p. 9.)   According to Peoples, the effect of this Settlement provision is to allow Peoples to recover the authorized overrun costs from all </w:t>
      </w:r>
      <w:r w:rsidR="0098610E">
        <w:lastRenderedPageBreak/>
        <w:t xml:space="preserve">customers as opposed to recovering the costs from just sales customers.  Peoples asserts that the authorized overrun service was necessary to ensure that sufficient gas supplies were nominated and delivered to Peoples’ system to cover all customer usage requirements, and to balance the overall system for all customers. For these reasons, Peoples avers it is reasonable to charge all customers the authorized overrun charges.  (Peoples and Equitable Division St. No. 1-R; Peoples Statement in Support, p. 9.)  </w:t>
      </w:r>
      <w:r w:rsidR="0098610E">
        <w:rPr>
          <w:rStyle w:val="FootnoteReference"/>
        </w:rPr>
        <w:footnoteReference w:id="12"/>
      </w:r>
    </w:p>
    <w:p w:rsidR="004E737E" w:rsidRDefault="004E737E" w:rsidP="004E737E">
      <w:pPr>
        <w:pStyle w:val="BodyText2"/>
        <w:spacing w:after="0" w:line="360" w:lineRule="auto"/>
        <w:ind w:firstLine="720"/>
      </w:pPr>
    </w:p>
    <w:p w:rsidR="0098610E" w:rsidRDefault="0099561D" w:rsidP="004E737E">
      <w:pPr>
        <w:pStyle w:val="Heading3"/>
        <w:numPr>
          <w:ilvl w:val="0"/>
          <w:numId w:val="0"/>
        </w:numPr>
        <w:ind w:left="1440" w:hanging="720"/>
        <w:rPr>
          <w:b w:val="0"/>
          <w:u w:val="single"/>
        </w:rPr>
      </w:pPr>
      <w:r>
        <w:rPr>
          <w:b w:val="0"/>
        </w:rPr>
        <w:t>2</w:t>
      </w:r>
      <w:r w:rsidR="0098610E" w:rsidRPr="001F55B9">
        <w:rPr>
          <w:b w:val="0"/>
        </w:rPr>
        <w:t>.</w:t>
      </w:r>
      <w:r w:rsidR="0098610E" w:rsidRPr="001F55B9">
        <w:rPr>
          <w:b w:val="0"/>
        </w:rPr>
        <w:tab/>
      </w:r>
      <w:r w:rsidR="0098610E" w:rsidRPr="004E737E">
        <w:rPr>
          <w:b w:val="0"/>
          <w:u w:val="single"/>
        </w:rPr>
        <w:t>OCA’s Position</w:t>
      </w:r>
    </w:p>
    <w:p w:rsidR="004E737E" w:rsidRPr="004E737E" w:rsidRDefault="004E737E" w:rsidP="004E737E">
      <w:pPr>
        <w:pStyle w:val="BodyText2"/>
        <w:spacing w:after="0" w:line="360" w:lineRule="auto"/>
      </w:pPr>
    </w:p>
    <w:p w:rsidR="0098610E" w:rsidRDefault="0098610E" w:rsidP="004E737E">
      <w:pPr>
        <w:tabs>
          <w:tab w:val="left" w:pos="0"/>
        </w:tabs>
        <w:spacing w:line="360" w:lineRule="auto"/>
        <w:rPr>
          <w:sz w:val="24"/>
          <w:szCs w:val="24"/>
          <w:lang w:eastAsia="ja-JP"/>
        </w:rPr>
      </w:pPr>
      <w:r>
        <w:rPr>
          <w:szCs w:val="24"/>
          <w:lang w:eastAsia="ja-JP"/>
        </w:rPr>
        <w:tab/>
      </w:r>
      <w:r>
        <w:rPr>
          <w:szCs w:val="24"/>
          <w:lang w:eastAsia="ja-JP"/>
        </w:rPr>
        <w:tab/>
      </w:r>
      <w:r w:rsidRPr="00162936">
        <w:rPr>
          <w:sz w:val="24"/>
          <w:szCs w:val="24"/>
          <w:lang w:eastAsia="ja-JP"/>
        </w:rPr>
        <w:t xml:space="preserve">OCA notes that witness </w:t>
      </w:r>
      <w:proofErr w:type="spellStart"/>
      <w:r w:rsidRPr="00162936">
        <w:rPr>
          <w:sz w:val="24"/>
          <w:szCs w:val="24"/>
          <w:lang w:eastAsia="ja-JP"/>
        </w:rPr>
        <w:t>Mierzwa</w:t>
      </w:r>
      <w:proofErr w:type="spellEnd"/>
      <w:r w:rsidRPr="00162936">
        <w:rPr>
          <w:sz w:val="24"/>
          <w:szCs w:val="24"/>
          <w:lang w:eastAsia="ja-JP"/>
        </w:rPr>
        <w:t xml:space="preserve"> recommended in his Direct Testimony that the overrun charges associated with Peoples’ transfer of the Allegheny Valley Connector (AVC) system (transmission and storage assets) to EQT Corporation not be recovered through PGC rates.  (OCA St. No. 1 at 17; OCA Statement in Support, p.5.).  OCA witness </w:t>
      </w:r>
      <w:proofErr w:type="spellStart"/>
      <w:r w:rsidRPr="00162936">
        <w:rPr>
          <w:sz w:val="24"/>
          <w:szCs w:val="24"/>
          <w:lang w:eastAsia="ja-JP"/>
        </w:rPr>
        <w:t>Mierzwa</w:t>
      </w:r>
      <w:proofErr w:type="spellEnd"/>
      <w:r w:rsidRPr="00162936">
        <w:rPr>
          <w:sz w:val="24"/>
          <w:szCs w:val="24"/>
          <w:lang w:eastAsia="ja-JP"/>
        </w:rPr>
        <w:t xml:space="preserve"> testified that “these costs are associated with the transition under the Peoples and Equitable Gas Company merger.”  (OCA St. No. 1-SR at 4; OCA Statement in Support, p.6.).  </w:t>
      </w:r>
    </w:p>
    <w:p w:rsidR="004E737E" w:rsidRPr="00162936" w:rsidRDefault="004E737E" w:rsidP="004E737E">
      <w:pPr>
        <w:tabs>
          <w:tab w:val="left" w:pos="0"/>
        </w:tabs>
        <w:spacing w:line="360" w:lineRule="auto"/>
        <w:rPr>
          <w:sz w:val="24"/>
          <w:szCs w:val="24"/>
          <w:lang w:eastAsia="ja-JP"/>
        </w:rPr>
      </w:pPr>
    </w:p>
    <w:p w:rsidR="0098610E" w:rsidRPr="00162936" w:rsidRDefault="0098610E" w:rsidP="0098610E">
      <w:pPr>
        <w:tabs>
          <w:tab w:val="left" w:pos="0"/>
          <w:tab w:val="num" w:pos="720"/>
        </w:tabs>
        <w:ind w:left="1440" w:right="1440"/>
        <w:jc w:val="both"/>
        <w:rPr>
          <w:sz w:val="24"/>
          <w:szCs w:val="24"/>
          <w:lang w:eastAsia="ja-JP"/>
        </w:rPr>
      </w:pPr>
      <w:r w:rsidRPr="00162936">
        <w:rPr>
          <w:sz w:val="24"/>
          <w:szCs w:val="24"/>
          <w:lang w:eastAsia="ja-JP"/>
        </w:rPr>
        <w:t xml:space="preserve">The authorized overrun charges were the result of a series of events that occurred during the initial transition of AVC system operation from Peoples to </w:t>
      </w:r>
      <w:proofErr w:type="spellStart"/>
      <w:r w:rsidRPr="00162936">
        <w:rPr>
          <w:sz w:val="24"/>
          <w:szCs w:val="24"/>
          <w:lang w:eastAsia="ja-JP"/>
        </w:rPr>
        <w:t>Equitrans</w:t>
      </w:r>
      <w:proofErr w:type="spellEnd"/>
      <w:r w:rsidRPr="00162936">
        <w:rPr>
          <w:sz w:val="24"/>
          <w:szCs w:val="24"/>
          <w:lang w:eastAsia="ja-JP"/>
        </w:rPr>
        <w:t>.  Peoples claims to have undertaken corrective actions to significantly reduce future authorized overrun charges.  The most significant of these is the installation of daily measurement.  Had the Peoples/Equitable merger not occurred, Peoples would not have incurred the authorized overrun charges.  Since these temporary costs would not have occurred without the merger, they should be considered merger transition costs.</w:t>
      </w:r>
    </w:p>
    <w:p w:rsidR="0098610E" w:rsidRPr="00162936" w:rsidRDefault="0098610E" w:rsidP="00D13E8F">
      <w:pPr>
        <w:tabs>
          <w:tab w:val="left" w:pos="0"/>
          <w:tab w:val="num" w:pos="720"/>
        </w:tabs>
        <w:spacing w:line="360" w:lineRule="auto"/>
        <w:ind w:right="1440"/>
        <w:jc w:val="both"/>
        <w:rPr>
          <w:sz w:val="24"/>
          <w:szCs w:val="24"/>
          <w:lang w:eastAsia="ja-JP"/>
        </w:rPr>
      </w:pPr>
    </w:p>
    <w:p w:rsidR="0098610E" w:rsidRDefault="0098610E" w:rsidP="004E737E">
      <w:pPr>
        <w:tabs>
          <w:tab w:val="left" w:pos="0"/>
          <w:tab w:val="num" w:pos="720"/>
        </w:tabs>
        <w:spacing w:line="360" w:lineRule="auto"/>
        <w:rPr>
          <w:sz w:val="24"/>
          <w:szCs w:val="24"/>
          <w:lang w:eastAsia="ja-JP"/>
        </w:rPr>
      </w:pPr>
      <w:r w:rsidRPr="00162936">
        <w:rPr>
          <w:i/>
          <w:sz w:val="24"/>
          <w:szCs w:val="24"/>
          <w:lang w:eastAsia="ja-JP"/>
        </w:rPr>
        <w:t>Id.</w:t>
      </w:r>
      <w:r w:rsidRPr="00162936">
        <w:rPr>
          <w:sz w:val="24"/>
          <w:szCs w:val="24"/>
          <w:lang w:eastAsia="ja-JP"/>
        </w:rPr>
        <w:t xml:space="preserve">  OCA witness </w:t>
      </w:r>
      <w:proofErr w:type="spellStart"/>
      <w:r w:rsidRPr="00162936">
        <w:rPr>
          <w:sz w:val="24"/>
          <w:szCs w:val="24"/>
          <w:lang w:eastAsia="ja-JP"/>
        </w:rPr>
        <w:t>Mierzwa</w:t>
      </w:r>
      <w:proofErr w:type="spellEnd"/>
      <w:r w:rsidRPr="00162936">
        <w:rPr>
          <w:sz w:val="24"/>
          <w:szCs w:val="24"/>
          <w:lang w:eastAsia="ja-JP"/>
        </w:rPr>
        <w:t xml:space="preserve"> recommended disallowance of the costs if Peoples could not show that the costs were attributable to factors other than real-time measurement.  (OCA Statement in Support, p. 6.)</w:t>
      </w:r>
    </w:p>
    <w:p w:rsidR="00D13E8F" w:rsidRPr="00162936" w:rsidRDefault="00D13E8F" w:rsidP="004E737E">
      <w:pPr>
        <w:tabs>
          <w:tab w:val="left" w:pos="0"/>
          <w:tab w:val="num" w:pos="720"/>
        </w:tabs>
        <w:spacing w:line="360" w:lineRule="auto"/>
        <w:rPr>
          <w:sz w:val="24"/>
          <w:szCs w:val="24"/>
          <w:lang w:eastAsia="ja-JP"/>
        </w:rPr>
      </w:pPr>
    </w:p>
    <w:p w:rsidR="0098610E" w:rsidRPr="00162936" w:rsidRDefault="0098610E" w:rsidP="00D13E8F">
      <w:pPr>
        <w:tabs>
          <w:tab w:val="left" w:pos="0"/>
          <w:tab w:val="num" w:pos="720"/>
        </w:tabs>
        <w:spacing w:line="360" w:lineRule="auto"/>
        <w:rPr>
          <w:sz w:val="24"/>
          <w:szCs w:val="24"/>
        </w:rPr>
      </w:pPr>
      <w:r w:rsidRPr="00162936">
        <w:rPr>
          <w:sz w:val="24"/>
          <w:szCs w:val="24"/>
          <w:lang w:eastAsia="ja-JP"/>
        </w:rPr>
        <w:lastRenderedPageBreak/>
        <w:tab/>
      </w:r>
      <w:r w:rsidR="00D13E8F">
        <w:rPr>
          <w:sz w:val="24"/>
          <w:szCs w:val="24"/>
          <w:lang w:eastAsia="ja-JP"/>
        </w:rPr>
        <w:tab/>
      </w:r>
      <w:r w:rsidRPr="00162936">
        <w:rPr>
          <w:sz w:val="24"/>
          <w:szCs w:val="24"/>
          <w:lang w:eastAsia="ja-JP"/>
        </w:rPr>
        <w:t xml:space="preserve">According to OCA, the Settlement provides that Peoples will remove the $1,005,000 of AVC authorized overrun charges from the historic period (12 months ended January 2015) costs, and recover the costs from 1307(f) retail sales customers and choice customers through capacity charges and non-choice transportation customers through the BB&amp;A charge, for a one-year period beginning October 1, 2015.  </w:t>
      </w:r>
      <w:r w:rsidRPr="00162936">
        <w:rPr>
          <w:sz w:val="24"/>
          <w:szCs w:val="24"/>
        </w:rPr>
        <w:t>OCA submits that this settlement term is in the best interest of the PGC customers and in the public interest because, while not completely removing AVC costs from PGC rates, it provides for sharing of these costs with all customers.  (OCA Statement in Support, p. 6.)</w:t>
      </w:r>
      <w:r w:rsidRPr="00162936">
        <w:rPr>
          <w:rStyle w:val="FootnoteReference"/>
          <w:sz w:val="24"/>
          <w:szCs w:val="24"/>
        </w:rPr>
        <w:footnoteReference w:id="13"/>
      </w:r>
    </w:p>
    <w:p w:rsidR="0098610E" w:rsidRPr="00162936" w:rsidRDefault="0098610E" w:rsidP="00D57263">
      <w:pPr>
        <w:tabs>
          <w:tab w:val="left" w:pos="0"/>
          <w:tab w:val="num" w:pos="720"/>
        </w:tabs>
        <w:spacing w:line="360" w:lineRule="auto"/>
        <w:jc w:val="both"/>
        <w:rPr>
          <w:sz w:val="24"/>
          <w:szCs w:val="24"/>
          <w:lang w:eastAsia="ja-JP"/>
        </w:rPr>
      </w:pPr>
    </w:p>
    <w:p w:rsidR="0098610E" w:rsidRDefault="00D13E8F" w:rsidP="00D57263">
      <w:pPr>
        <w:pStyle w:val="Heading2"/>
        <w:numPr>
          <w:ilvl w:val="1"/>
          <w:numId w:val="7"/>
        </w:numPr>
        <w:tabs>
          <w:tab w:val="clear" w:pos="1440"/>
        </w:tabs>
        <w:spacing w:after="0" w:line="360" w:lineRule="auto"/>
        <w:ind w:left="720"/>
        <w:jc w:val="left"/>
        <w:rPr>
          <w:b w:val="0"/>
          <w:caps w:val="0"/>
          <w:u w:val="single"/>
        </w:rPr>
      </w:pPr>
      <w:r w:rsidRPr="00D13E8F">
        <w:rPr>
          <w:b w:val="0"/>
          <w:caps w:val="0"/>
          <w:u w:val="single"/>
        </w:rPr>
        <w:t xml:space="preserve">Banking, Balancing </w:t>
      </w:r>
      <w:r>
        <w:rPr>
          <w:b w:val="0"/>
          <w:caps w:val="0"/>
          <w:u w:val="single"/>
        </w:rPr>
        <w:t>a</w:t>
      </w:r>
      <w:r w:rsidRPr="00D13E8F">
        <w:rPr>
          <w:b w:val="0"/>
          <w:caps w:val="0"/>
          <w:u w:val="single"/>
        </w:rPr>
        <w:t>nd Advancing (B</w:t>
      </w:r>
      <w:r>
        <w:rPr>
          <w:b w:val="0"/>
          <w:caps w:val="0"/>
          <w:u w:val="single"/>
        </w:rPr>
        <w:t>B</w:t>
      </w:r>
      <w:r w:rsidRPr="00D13E8F">
        <w:rPr>
          <w:b w:val="0"/>
          <w:caps w:val="0"/>
          <w:u w:val="single"/>
        </w:rPr>
        <w:t>&amp;A) Charges</w:t>
      </w:r>
    </w:p>
    <w:p w:rsidR="00D57263" w:rsidRPr="00D57263" w:rsidRDefault="00D57263" w:rsidP="00D57263">
      <w:pPr>
        <w:pStyle w:val="BodyText2"/>
        <w:spacing w:line="276" w:lineRule="auto"/>
      </w:pPr>
    </w:p>
    <w:p w:rsidR="0098610E" w:rsidRDefault="00D13E8F" w:rsidP="00D57263">
      <w:pPr>
        <w:pStyle w:val="Heading3"/>
        <w:numPr>
          <w:ilvl w:val="0"/>
          <w:numId w:val="0"/>
        </w:numPr>
        <w:spacing w:after="0" w:line="360" w:lineRule="auto"/>
        <w:ind w:left="1440" w:hanging="720"/>
        <w:jc w:val="left"/>
        <w:rPr>
          <w:b w:val="0"/>
          <w:u w:val="single"/>
        </w:rPr>
      </w:pPr>
      <w:r>
        <w:rPr>
          <w:b w:val="0"/>
        </w:rPr>
        <w:t>1.</w:t>
      </w:r>
      <w:r>
        <w:rPr>
          <w:b w:val="0"/>
        </w:rPr>
        <w:tab/>
      </w:r>
      <w:r w:rsidR="0098610E" w:rsidRPr="00D13E8F">
        <w:rPr>
          <w:b w:val="0"/>
          <w:u w:val="single"/>
        </w:rPr>
        <w:t>Company’s Position</w:t>
      </w:r>
    </w:p>
    <w:p w:rsidR="00D57263" w:rsidRPr="00D57263" w:rsidRDefault="00D57263" w:rsidP="00D57263">
      <w:pPr>
        <w:pStyle w:val="BodyText2"/>
        <w:spacing w:after="0" w:line="360" w:lineRule="auto"/>
      </w:pPr>
    </w:p>
    <w:p w:rsidR="0098610E" w:rsidRDefault="00D13E8F" w:rsidP="00D13E8F">
      <w:pPr>
        <w:pStyle w:val="BodyText2"/>
        <w:spacing w:line="360" w:lineRule="auto"/>
        <w:ind w:firstLine="720"/>
      </w:pPr>
      <w:r>
        <w:tab/>
      </w:r>
      <w:r w:rsidR="0098610E">
        <w:t>Peoples explains the Settlement provides that b</w:t>
      </w:r>
      <w:r w:rsidR="0098610E" w:rsidRPr="00585405">
        <w:t xml:space="preserve">alancing charges for non-priority 1 transportation customers of both Divisions </w:t>
      </w:r>
      <w:r w:rsidR="0098610E">
        <w:t>will</w:t>
      </w:r>
      <w:r w:rsidR="0098610E" w:rsidRPr="00585405">
        <w:t xml:space="preserve"> be combined and reflect the adjustments made in Peoples’ Supplemental and Rebuttal Testimony and Paragraph 40 of this Settlement</w:t>
      </w:r>
      <w:r w:rsidR="0098610E">
        <w:t xml:space="preserve">.  Peoples asserts this provides for uniform balancing charges for the Divisions and provides clarity regarding what costs are to be included in the BB&amp;A charge. </w:t>
      </w:r>
    </w:p>
    <w:p w:rsidR="00D13E8F" w:rsidRDefault="00D13E8F" w:rsidP="00D13E8F">
      <w:pPr>
        <w:pStyle w:val="BodyText2"/>
        <w:spacing w:after="0" w:line="360" w:lineRule="auto"/>
        <w:ind w:firstLine="720"/>
      </w:pPr>
    </w:p>
    <w:p w:rsidR="00E772FA" w:rsidRDefault="00D13E8F" w:rsidP="00B834FB">
      <w:pPr>
        <w:pStyle w:val="BodyText2"/>
        <w:spacing w:after="0" w:line="360" w:lineRule="auto"/>
        <w:ind w:firstLine="720"/>
      </w:pPr>
      <w:r>
        <w:tab/>
      </w:r>
      <w:r w:rsidR="0098610E">
        <w:t>Peoples notes the Settlement also provides that if</w:t>
      </w:r>
      <w:r w:rsidR="0098610E" w:rsidRPr="00585405">
        <w:t xml:space="preserve"> there are subsequent changes to interstate pipeline capacity contracts not identified in this proceeding, and such changes would affect the stand-by and/or balancing charges during the PGC period commencing October 1, 2015, the effects of such changes shall be reflected in future standby and/or balancing charges commencing October 1, 2016.  This provision includes any contracts entered into to maintain system reliability</w:t>
      </w:r>
      <w:r w:rsidR="0098610E">
        <w:t xml:space="preserve">.  According to Peoples, this Settlement provision addresses OCA’s concern that balancing charges reflect costs for new capacity, if any, that is not identified in this proceeding.  Peoples </w:t>
      </w:r>
      <w:r w:rsidR="00B834FB">
        <w:t xml:space="preserve">explains it </w:t>
      </w:r>
      <w:r w:rsidR="0098610E">
        <w:t xml:space="preserve">was willing to agree to this provision to achieve a settlement of </w:t>
      </w:r>
    </w:p>
    <w:p w:rsidR="00E772FA" w:rsidRDefault="00E772FA" w:rsidP="00B834FB">
      <w:pPr>
        <w:pStyle w:val="BodyText2"/>
        <w:spacing w:after="0" w:line="360" w:lineRule="auto"/>
        <w:ind w:firstLine="720"/>
      </w:pPr>
    </w:p>
    <w:p w:rsidR="0098610E" w:rsidRDefault="0098610E" w:rsidP="00E772FA">
      <w:pPr>
        <w:pStyle w:val="BodyText2"/>
        <w:spacing w:after="0" w:line="360" w:lineRule="auto"/>
      </w:pPr>
      <w:proofErr w:type="gramStart"/>
      <w:r>
        <w:lastRenderedPageBreak/>
        <w:t>this</w:t>
      </w:r>
      <w:proofErr w:type="gramEnd"/>
      <w:r>
        <w:t xml:space="preserve"> proceeding and believes that this provision is reasonable.  (Peoples  Statement in Support, pp. 9-10.) </w:t>
      </w:r>
      <w:r>
        <w:rPr>
          <w:rStyle w:val="FootnoteReference"/>
        </w:rPr>
        <w:footnoteReference w:id="14"/>
      </w:r>
    </w:p>
    <w:p w:rsidR="008337FC" w:rsidRDefault="008337FC" w:rsidP="00E772FA">
      <w:pPr>
        <w:pStyle w:val="BodyText2"/>
        <w:spacing w:after="0" w:line="360" w:lineRule="auto"/>
      </w:pPr>
    </w:p>
    <w:p w:rsidR="0098610E" w:rsidRDefault="00187253" w:rsidP="00B3395B">
      <w:pPr>
        <w:pStyle w:val="BodyText2"/>
        <w:spacing w:line="360" w:lineRule="auto"/>
        <w:ind w:left="1440" w:hanging="720"/>
        <w:rPr>
          <w:u w:val="single"/>
        </w:rPr>
      </w:pPr>
      <w:r>
        <w:t>2</w:t>
      </w:r>
      <w:r w:rsidR="0098610E">
        <w:t>.</w:t>
      </w:r>
      <w:r w:rsidR="0098610E">
        <w:tab/>
      </w:r>
      <w:r w:rsidR="0098610E" w:rsidRPr="00461201">
        <w:rPr>
          <w:u w:val="single"/>
        </w:rPr>
        <w:t>OCA’s Position</w:t>
      </w:r>
    </w:p>
    <w:p w:rsidR="00B3395B" w:rsidRDefault="00B3395B" w:rsidP="00B3395B">
      <w:pPr>
        <w:pStyle w:val="BodyText2"/>
        <w:spacing w:after="0" w:line="360" w:lineRule="auto"/>
        <w:ind w:left="1440" w:hanging="720"/>
      </w:pPr>
    </w:p>
    <w:p w:rsidR="0098610E" w:rsidRDefault="00461201" w:rsidP="00461201">
      <w:pPr>
        <w:spacing w:line="360" w:lineRule="auto"/>
        <w:ind w:firstLine="720"/>
        <w:rPr>
          <w:sz w:val="24"/>
          <w:szCs w:val="24"/>
        </w:rPr>
      </w:pPr>
      <w:r>
        <w:rPr>
          <w:sz w:val="24"/>
          <w:szCs w:val="24"/>
        </w:rPr>
        <w:tab/>
      </w:r>
      <w:r w:rsidR="0098610E" w:rsidRPr="00162936">
        <w:rPr>
          <w:sz w:val="24"/>
          <w:szCs w:val="24"/>
        </w:rPr>
        <w:t xml:space="preserve">OCA points out that witness </w:t>
      </w:r>
      <w:proofErr w:type="spellStart"/>
      <w:r w:rsidR="0098610E" w:rsidRPr="00162936">
        <w:rPr>
          <w:sz w:val="24"/>
          <w:szCs w:val="24"/>
        </w:rPr>
        <w:t>Mierzwa</w:t>
      </w:r>
      <w:proofErr w:type="spellEnd"/>
      <w:r w:rsidR="0098610E" w:rsidRPr="00162936">
        <w:rPr>
          <w:sz w:val="24"/>
          <w:szCs w:val="24"/>
        </w:rPr>
        <w:t xml:space="preserve"> recommended  that “the BB&amp;A rates approved in this proceeding be subject to reconciliation for the costs associated with any new arrangement entered into by Peoples or the Equitable Division that has not been identified in this proceeding but is necessary for the provision of balancing service,” and that this recommendation  “should also be extended to new arrangements required to maintain system reliability, such as the DTI arrangements which I discuss later in my testimony.”  </w:t>
      </w:r>
      <w:proofErr w:type="gramStart"/>
      <w:r w:rsidR="0098610E" w:rsidRPr="00162936">
        <w:rPr>
          <w:sz w:val="24"/>
          <w:szCs w:val="24"/>
        </w:rPr>
        <w:t>(OCA Statement No. 1 at 12-13; OCA Statement in Support, p.</w:t>
      </w:r>
      <w:r w:rsidR="00FE6937">
        <w:rPr>
          <w:sz w:val="24"/>
          <w:szCs w:val="24"/>
        </w:rPr>
        <w:t xml:space="preserve"> </w:t>
      </w:r>
      <w:r w:rsidR="0098610E" w:rsidRPr="00162936">
        <w:rPr>
          <w:sz w:val="24"/>
          <w:szCs w:val="24"/>
        </w:rPr>
        <w:t>6.)</w:t>
      </w:r>
      <w:proofErr w:type="gramEnd"/>
      <w:r w:rsidR="0098610E" w:rsidRPr="00162936">
        <w:rPr>
          <w:sz w:val="24"/>
          <w:szCs w:val="24"/>
        </w:rPr>
        <w:t xml:space="preserve">   Mr. </w:t>
      </w:r>
      <w:proofErr w:type="spellStart"/>
      <w:r w:rsidR="0098610E" w:rsidRPr="00162936">
        <w:rPr>
          <w:sz w:val="24"/>
          <w:szCs w:val="24"/>
        </w:rPr>
        <w:t>Mierzwa</w:t>
      </w:r>
      <w:proofErr w:type="spellEnd"/>
      <w:r w:rsidR="0098610E" w:rsidRPr="00162936">
        <w:rPr>
          <w:sz w:val="24"/>
          <w:szCs w:val="24"/>
        </w:rPr>
        <w:t xml:space="preserve"> explained in testimony that historically, projected BB&amp;A charges have not been reconciled with actual BB&amp;A costs.  (OCA Statement in Support, p.</w:t>
      </w:r>
      <w:r w:rsidR="00E03329">
        <w:rPr>
          <w:sz w:val="24"/>
          <w:szCs w:val="24"/>
        </w:rPr>
        <w:t xml:space="preserve"> </w:t>
      </w:r>
      <w:r w:rsidR="0098610E" w:rsidRPr="00162936">
        <w:rPr>
          <w:sz w:val="24"/>
          <w:szCs w:val="24"/>
        </w:rPr>
        <w:t>6.)</w:t>
      </w:r>
    </w:p>
    <w:p w:rsidR="00461201" w:rsidRPr="00162936" w:rsidRDefault="00461201" w:rsidP="00461201">
      <w:pPr>
        <w:spacing w:line="360" w:lineRule="auto"/>
        <w:ind w:firstLine="720"/>
        <w:rPr>
          <w:sz w:val="24"/>
          <w:szCs w:val="24"/>
        </w:rPr>
      </w:pPr>
    </w:p>
    <w:p w:rsidR="0098610E" w:rsidRPr="00162936" w:rsidRDefault="00461201" w:rsidP="00461201">
      <w:pPr>
        <w:spacing w:line="360" w:lineRule="auto"/>
        <w:ind w:firstLine="720"/>
        <w:rPr>
          <w:sz w:val="24"/>
          <w:szCs w:val="24"/>
        </w:rPr>
      </w:pPr>
      <w:r>
        <w:rPr>
          <w:sz w:val="24"/>
          <w:szCs w:val="24"/>
        </w:rPr>
        <w:tab/>
      </w:r>
      <w:r w:rsidR="0098610E" w:rsidRPr="00162936">
        <w:rPr>
          <w:sz w:val="24"/>
          <w:szCs w:val="24"/>
        </w:rPr>
        <w:t xml:space="preserve">The Settlement, at Paragraph 42, adopts Mr. </w:t>
      </w:r>
      <w:proofErr w:type="spellStart"/>
      <w:r w:rsidR="0098610E" w:rsidRPr="00162936">
        <w:rPr>
          <w:sz w:val="24"/>
          <w:szCs w:val="24"/>
        </w:rPr>
        <w:t>Mierzwa’s</w:t>
      </w:r>
      <w:proofErr w:type="spellEnd"/>
      <w:r w:rsidR="0098610E" w:rsidRPr="00162936">
        <w:rPr>
          <w:sz w:val="24"/>
          <w:szCs w:val="24"/>
        </w:rPr>
        <w:t xml:space="preserve"> recommendation to reconcile subsequent changes to interstate pipeline capacity contracts that affect the stand-by and/or balancing charges during this PGC period with future stand-by and/or balancing charges commencing October 1, 2016.  The OCA submits that this settlement term is in the best interest of the Company’s customers and in the public interest because it provides for reasonable apportionment of the costs associated with new contracts entered into during the 2015 PGC period not presently included in the balancing charges established in this proceeding. (OCA Statement in Support, p. 6.)</w:t>
      </w:r>
    </w:p>
    <w:p w:rsidR="009C58DA" w:rsidRPr="009D6A34" w:rsidRDefault="009C58DA" w:rsidP="0098610E">
      <w:pPr>
        <w:spacing w:line="480" w:lineRule="auto"/>
        <w:ind w:firstLine="720"/>
        <w:jc w:val="both"/>
        <w:rPr>
          <w:szCs w:val="24"/>
        </w:rPr>
      </w:pPr>
    </w:p>
    <w:p w:rsidR="0098610E" w:rsidRDefault="00187253" w:rsidP="009C58DA">
      <w:pPr>
        <w:pStyle w:val="BodyText2"/>
        <w:spacing w:after="0" w:line="360" w:lineRule="auto"/>
        <w:ind w:left="1440" w:hanging="720"/>
        <w:rPr>
          <w:u w:val="single"/>
        </w:rPr>
      </w:pPr>
      <w:r>
        <w:t>3</w:t>
      </w:r>
      <w:r w:rsidR="0098610E">
        <w:t>.</w:t>
      </w:r>
      <w:r w:rsidR="0098610E">
        <w:tab/>
      </w:r>
      <w:r w:rsidR="0098610E" w:rsidRPr="00461201">
        <w:rPr>
          <w:u w:val="single"/>
        </w:rPr>
        <w:t>OSBA’s Position</w:t>
      </w:r>
    </w:p>
    <w:p w:rsidR="009C58DA" w:rsidRDefault="009C58DA" w:rsidP="009C58DA">
      <w:pPr>
        <w:pStyle w:val="BodyText2"/>
        <w:spacing w:after="0" w:line="360" w:lineRule="auto"/>
        <w:ind w:left="1440" w:hanging="720"/>
      </w:pPr>
    </w:p>
    <w:p w:rsidR="0098610E" w:rsidRDefault="00461201" w:rsidP="00B83841">
      <w:pPr>
        <w:pStyle w:val="BodyTextIndent"/>
        <w:spacing w:line="360" w:lineRule="auto"/>
        <w:ind w:left="0" w:firstLine="720"/>
        <w:rPr>
          <w:sz w:val="24"/>
          <w:szCs w:val="24"/>
        </w:rPr>
      </w:pPr>
      <w:r>
        <w:rPr>
          <w:sz w:val="24"/>
          <w:szCs w:val="24"/>
        </w:rPr>
        <w:tab/>
      </w:r>
      <w:r w:rsidR="0098610E" w:rsidRPr="00162936">
        <w:rPr>
          <w:sz w:val="24"/>
          <w:szCs w:val="24"/>
        </w:rPr>
        <w:t>OSBA is in agreement with the settlement, noting that the parties agree that the Companies’ proposal to consolidate or blend their purchased gas cost rates, balancing charges, and retainage rates should be approved.  (OSBA Statement in Support, p. 4.)</w:t>
      </w:r>
    </w:p>
    <w:p w:rsidR="00D74DE6" w:rsidRDefault="00D74DE6" w:rsidP="0000330B">
      <w:pPr>
        <w:pStyle w:val="Heading2"/>
        <w:keepNext/>
        <w:spacing w:after="0" w:line="360" w:lineRule="auto"/>
        <w:ind w:left="720"/>
        <w:jc w:val="left"/>
        <w:rPr>
          <w:b w:val="0"/>
          <w:caps w:val="0"/>
          <w:u w:val="single"/>
        </w:rPr>
      </w:pPr>
      <w:r w:rsidRPr="006014E3">
        <w:rPr>
          <w:b w:val="0"/>
          <w:caps w:val="0"/>
          <w:u w:val="single"/>
        </w:rPr>
        <w:lastRenderedPageBreak/>
        <w:t>Storage Accounting</w:t>
      </w:r>
    </w:p>
    <w:p w:rsidR="0000330B" w:rsidRPr="0000330B" w:rsidRDefault="0000330B" w:rsidP="0000330B">
      <w:pPr>
        <w:pStyle w:val="BodyText2"/>
        <w:spacing w:after="0" w:line="360" w:lineRule="auto"/>
      </w:pPr>
    </w:p>
    <w:p w:rsidR="00D74DE6" w:rsidRDefault="00D74DE6" w:rsidP="007F4816">
      <w:pPr>
        <w:pStyle w:val="BodyText2"/>
        <w:spacing w:line="360" w:lineRule="auto"/>
        <w:ind w:left="1440" w:hanging="720"/>
        <w:rPr>
          <w:u w:val="single"/>
        </w:rPr>
      </w:pPr>
      <w:r>
        <w:t>1.</w:t>
      </w:r>
      <w:r>
        <w:tab/>
      </w:r>
      <w:r w:rsidRPr="00D74DE6">
        <w:rPr>
          <w:u w:val="single"/>
        </w:rPr>
        <w:t>Company’s Position</w:t>
      </w:r>
    </w:p>
    <w:p w:rsidR="007F4816" w:rsidRDefault="007F4816" w:rsidP="007F4816">
      <w:pPr>
        <w:pStyle w:val="BodyText2"/>
        <w:spacing w:after="0" w:line="360" w:lineRule="auto"/>
        <w:ind w:left="1440" w:hanging="720"/>
      </w:pPr>
    </w:p>
    <w:p w:rsidR="00D74DE6" w:rsidRDefault="00D74DE6" w:rsidP="00D74DE6">
      <w:pPr>
        <w:pStyle w:val="BodyText2"/>
        <w:spacing w:after="0" w:line="360" w:lineRule="auto"/>
        <w:ind w:firstLine="720"/>
      </w:pPr>
      <w:r>
        <w:tab/>
        <w:t>The Company explained that its two Divisions currently use different accounting methodologies for gas in storage.  The Peoples Division uses an annual LIFO methodology which relies on the average annual cost of gas purchases to price injections and withdrawal activity.  Under the Peoples Division’s current LIFO methodology, pipeline demand costs are included in the LIFO calculation.  (Peoples Statement in Support, p. 10.)</w:t>
      </w:r>
    </w:p>
    <w:p w:rsidR="00D74DE6" w:rsidRDefault="00D74DE6" w:rsidP="00D74DE6">
      <w:pPr>
        <w:pStyle w:val="BodyText2"/>
        <w:spacing w:after="0" w:line="360" w:lineRule="auto"/>
        <w:ind w:firstLine="720"/>
      </w:pPr>
    </w:p>
    <w:p w:rsidR="00D74DE6" w:rsidRDefault="00D74DE6" w:rsidP="00D74DE6">
      <w:pPr>
        <w:pStyle w:val="BodyText2"/>
        <w:spacing w:after="0" w:line="360" w:lineRule="auto"/>
        <w:ind w:firstLine="720"/>
      </w:pPr>
      <w:r>
        <w:tab/>
        <w:t xml:space="preserve">The Peoples-Equitable Division uses a WACOG methodology for valuing its gas storage inventory.  </w:t>
      </w:r>
      <w:r w:rsidRPr="00E24A62">
        <w:t xml:space="preserve">Under the WACOG methodology, </w:t>
      </w:r>
      <w:r>
        <w:t xml:space="preserve">according to Peoples, </w:t>
      </w:r>
      <w:r w:rsidRPr="00E24A62">
        <w:t xml:space="preserve">the actual </w:t>
      </w:r>
      <w:r>
        <w:t xml:space="preserve">monthly </w:t>
      </w:r>
      <w:r w:rsidRPr="00E24A62">
        <w:t xml:space="preserve">commodity cost and volume of each month’s injections are added to the </w:t>
      </w:r>
      <w:r>
        <w:t xml:space="preserve">existing </w:t>
      </w:r>
      <w:r w:rsidRPr="00E24A62">
        <w:t xml:space="preserve">inventory value calculated at the end of the previous month and a new overall weighted average cost of gas in storage is calculated each month.  Unlike Peoples’ LIFO method, </w:t>
      </w:r>
      <w:r>
        <w:t xml:space="preserve">Peoples explains </w:t>
      </w:r>
      <w:r w:rsidRPr="00E24A62">
        <w:t xml:space="preserve">the monthly cost of injections and the value of gas in storage do not include pipeline demand costs.  </w:t>
      </w:r>
      <w:r>
        <w:t>Peoples avers, a</w:t>
      </w:r>
      <w:r w:rsidRPr="00E24A62">
        <w:t xml:space="preserve">s gas is subsequently withdrawn, the cost for the current month’s withdrawals is based on the existing weighted average cost of gas in storage and is deducted from the inventory balance.  </w:t>
      </w:r>
      <w:r>
        <w:t>(Peoples and Equitable Division St. No. 1, p. 30; Peoples Statement in Support, p. 10.)</w:t>
      </w:r>
    </w:p>
    <w:p w:rsidR="00D74DE6" w:rsidRDefault="00D74DE6" w:rsidP="00D74DE6">
      <w:pPr>
        <w:pStyle w:val="BodyText2"/>
        <w:spacing w:after="0" w:line="360" w:lineRule="auto"/>
        <w:ind w:firstLine="720"/>
      </w:pPr>
    </w:p>
    <w:p w:rsidR="00D74DE6" w:rsidRDefault="00D74DE6" w:rsidP="00D74DE6">
      <w:pPr>
        <w:pStyle w:val="BodyText2"/>
        <w:spacing w:after="0" w:line="360" w:lineRule="auto"/>
        <w:ind w:firstLine="720"/>
      </w:pPr>
      <w:r>
        <w:tab/>
        <w:t>The Company further explained that it intends to revise the Peoples Division’s storage accounting method from LIFO to WACOG, but that it must wait until in its next base rate case filing due to the impacts on base rates.  (Peoples and Equitable Division St. No. 1, pp. 31-32; Peoples Statement in Support, p. 11.)</w:t>
      </w:r>
    </w:p>
    <w:p w:rsidR="00D74DE6" w:rsidRDefault="00D74DE6" w:rsidP="00D74DE6">
      <w:pPr>
        <w:pStyle w:val="BodyText2"/>
        <w:spacing w:after="0" w:line="360" w:lineRule="auto"/>
        <w:ind w:firstLine="720"/>
      </w:pPr>
    </w:p>
    <w:p w:rsidR="00D74DE6" w:rsidRDefault="00D74DE6" w:rsidP="00D74DE6">
      <w:pPr>
        <w:pStyle w:val="BodyText2"/>
        <w:spacing w:after="0" w:line="360" w:lineRule="auto"/>
        <w:ind w:firstLine="720"/>
      </w:pPr>
      <w:r>
        <w:t xml:space="preserve"> </w:t>
      </w:r>
      <w:r>
        <w:tab/>
        <w:t xml:space="preserve"> The Company proposed two revisions to its LIFO methodology.  </w:t>
      </w:r>
      <w:r w:rsidRPr="009B08BC">
        <w:t>First, Peoples proposes to use an average annual LIFO inventory rate to price injections and withdrawal activity that is calculated based on the cost of all gas purchases acquired under the jointly used gas purchase contracts for the combined Divisions</w:t>
      </w:r>
      <w:r>
        <w:t xml:space="preserve">, which currently </w:t>
      </w:r>
      <w:r w:rsidRPr="009B08BC">
        <w:t xml:space="preserve">is calculated based on the cost of all gas purchases acquired under the gas purchase contracts for the Peoples Division.  </w:t>
      </w:r>
      <w:r w:rsidRPr="009B08BC">
        <w:lastRenderedPageBreak/>
        <w:t>Second, Peoples propose</w:t>
      </w:r>
      <w:r>
        <w:t>d</w:t>
      </w:r>
      <w:r w:rsidRPr="009B08BC">
        <w:t xml:space="preserve"> to modify the LIFO rate so that it will exclude pipeline demand costs that are reflected in the current LIFO rate.</w:t>
      </w:r>
      <w:r>
        <w:t xml:space="preserve">  (Peoples Statement in Support, p. 11.)</w:t>
      </w:r>
    </w:p>
    <w:p w:rsidR="00D74DE6" w:rsidRDefault="00D74DE6" w:rsidP="00D74DE6">
      <w:pPr>
        <w:pStyle w:val="BodyText2"/>
        <w:spacing w:after="0" w:line="360" w:lineRule="auto"/>
        <w:ind w:firstLine="720"/>
      </w:pPr>
    </w:p>
    <w:p w:rsidR="00D74DE6" w:rsidRDefault="00D74DE6" w:rsidP="00D74DE6">
      <w:pPr>
        <w:pStyle w:val="BodyText2"/>
        <w:spacing w:after="0" w:line="360" w:lineRule="auto"/>
        <w:ind w:firstLine="720"/>
      </w:pPr>
      <w:r>
        <w:tab/>
        <w:t>Peoples avers that it proposed these changes to more closely align the Peoples’ LIFO rate with the average rate used under the Peoples-Equitable Division WACOG method which does not include any pipeline demand costs.  According to Peoples, the inclusion of demand costs in the LIFO rate greatly exaggerates monthly over and under recoveries and quarterly 1307(f) rate calculations</w:t>
      </w:r>
      <w:r w:rsidR="00F64CC1">
        <w:t>.</w:t>
      </w:r>
      <w:r>
        <w:t xml:space="preserve">  Under its proposal, the Company would combine the LIFO rate, as modified, for the Peoples Division with the WACOG rate for the Peoples-Equitable Division into a single average PGC charge.  (Peoples Statement in Support, p. 11.)</w:t>
      </w:r>
    </w:p>
    <w:p w:rsidR="00D74DE6" w:rsidRDefault="00D74DE6" w:rsidP="00D74DE6">
      <w:pPr>
        <w:pStyle w:val="BodyText2"/>
        <w:spacing w:after="0" w:line="360" w:lineRule="auto"/>
        <w:ind w:firstLine="720"/>
      </w:pPr>
    </w:p>
    <w:p w:rsidR="00D74DE6" w:rsidRDefault="00D74DE6" w:rsidP="00D74DE6">
      <w:pPr>
        <w:pStyle w:val="BodyText2"/>
        <w:spacing w:after="0" w:line="360" w:lineRule="auto"/>
        <w:ind w:firstLine="720"/>
      </w:pPr>
      <w:r>
        <w:tab/>
        <w:t xml:space="preserve">The Settlement adopts the Company’s proposal.  </w:t>
      </w:r>
      <w:proofErr w:type="gramStart"/>
      <w:r>
        <w:t xml:space="preserve">(See Settlement </w:t>
      </w:r>
      <w:r w:rsidRPr="0071112A">
        <w:t>¶¶</w:t>
      </w:r>
      <w:r>
        <w:t xml:space="preserve"> 43</w:t>
      </w:r>
      <w:r w:rsidR="0052066A">
        <w:t>-</w:t>
      </w:r>
      <w:r>
        <w:t>45; Peoples Statement in Support, p. 12.)</w:t>
      </w:r>
      <w:proofErr w:type="gramEnd"/>
      <w:r>
        <w:t xml:space="preserve">  Peoples supports this Settlement provision and argues that historically, both NGSs and the Commission have expressed concerns regarding the impact of over/</w:t>
      </w:r>
      <w:proofErr w:type="spellStart"/>
      <w:r>
        <w:t>undercollections</w:t>
      </w:r>
      <w:proofErr w:type="spellEnd"/>
      <w:r>
        <w:t xml:space="preserve"> on sales customers and the PTC.  </w:t>
      </w:r>
      <w:r>
        <w:rPr>
          <w:i/>
        </w:rPr>
        <w:t>See Investigation into the Natural Gas Supply Market: Report on Stakeholders’ Working Group (SEARCH); Action Plan for Increasing Effective Competition in Pennsylvania’s Retail Natural Gas Supply Services Market</w:t>
      </w:r>
      <w:r>
        <w:t xml:space="preserve">, Docket No. I-00040103F0002, 2008 Pa. PUC LEXIS 31, *20-26, </w:t>
      </w:r>
      <w:r w:rsidR="0014124C">
        <w:t xml:space="preserve">(Final </w:t>
      </w:r>
      <w:r>
        <w:t xml:space="preserve">Order </w:t>
      </w:r>
      <w:r w:rsidR="0014124C">
        <w:t xml:space="preserve">and Action Plan </w:t>
      </w:r>
      <w:r>
        <w:t>entered September 11, 2008</w:t>
      </w:r>
      <w:r w:rsidR="0014124C">
        <w:t>)</w:t>
      </w:r>
      <w:r>
        <w:t xml:space="preserve">.  Peoples concludes that this  Settlement provision will reduce variability in the Company’s PTC.  (Peoples Statement in Support, p. 11.) </w:t>
      </w:r>
      <w:r>
        <w:rPr>
          <w:rStyle w:val="FootnoteReference"/>
        </w:rPr>
        <w:footnoteReference w:id="15"/>
      </w:r>
    </w:p>
    <w:p w:rsidR="00D74DE6" w:rsidRPr="00BE2612" w:rsidRDefault="00D74DE6" w:rsidP="00D74DE6">
      <w:pPr>
        <w:tabs>
          <w:tab w:val="left" w:pos="-720"/>
        </w:tabs>
        <w:suppressAutoHyphens/>
        <w:spacing w:line="360" w:lineRule="auto"/>
        <w:rPr>
          <w:spacing w:val="-3"/>
        </w:rPr>
      </w:pPr>
      <w:r w:rsidRPr="00BE2612">
        <w:rPr>
          <w:spacing w:val="-3"/>
        </w:rPr>
        <w:tab/>
      </w:r>
    </w:p>
    <w:p w:rsidR="00D74DE6" w:rsidRDefault="00D74DE6" w:rsidP="000A088F">
      <w:pPr>
        <w:tabs>
          <w:tab w:val="left" w:pos="-720"/>
        </w:tabs>
        <w:suppressAutoHyphens/>
        <w:spacing w:line="360" w:lineRule="auto"/>
        <w:rPr>
          <w:sz w:val="24"/>
          <w:szCs w:val="24"/>
          <w:u w:val="single"/>
        </w:rPr>
      </w:pPr>
      <w:r w:rsidRPr="006014E3">
        <w:rPr>
          <w:spacing w:val="-3"/>
          <w:sz w:val="24"/>
          <w:szCs w:val="24"/>
        </w:rPr>
        <w:tab/>
      </w:r>
      <w:r w:rsidR="000A088F">
        <w:rPr>
          <w:spacing w:val="-3"/>
          <w:sz w:val="24"/>
          <w:szCs w:val="24"/>
        </w:rPr>
        <w:t>2</w:t>
      </w:r>
      <w:r w:rsidRPr="006014E3">
        <w:rPr>
          <w:sz w:val="24"/>
          <w:szCs w:val="24"/>
        </w:rPr>
        <w:t>.</w:t>
      </w:r>
      <w:r w:rsidRPr="006014E3">
        <w:rPr>
          <w:sz w:val="24"/>
          <w:szCs w:val="24"/>
        </w:rPr>
        <w:tab/>
      </w:r>
      <w:r w:rsidRPr="00D470E5">
        <w:rPr>
          <w:sz w:val="24"/>
          <w:szCs w:val="24"/>
          <w:u w:val="single"/>
        </w:rPr>
        <w:t>OCA’s Position</w:t>
      </w:r>
    </w:p>
    <w:p w:rsidR="000A088F" w:rsidRPr="006014E3" w:rsidRDefault="000A088F" w:rsidP="000A088F">
      <w:pPr>
        <w:tabs>
          <w:tab w:val="left" w:pos="-720"/>
        </w:tabs>
        <w:suppressAutoHyphens/>
        <w:spacing w:line="360" w:lineRule="auto"/>
        <w:rPr>
          <w:sz w:val="24"/>
          <w:szCs w:val="24"/>
        </w:rPr>
      </w:pPr>
    </w:p>
    <w:p w:rsidR="00D74DE6" w:rsidRPr="006014E3" w:rsidRDefault="00D74DE6" w:rsidP="00D74DE6">
      <w:pPr>
        <w:spacing w:line="480" w:lineRule="auto"/>
        <w:ind w:firstLine="720"/>
        <w:jc w:val="both"/>
        <w:rPr>
          <w:sz w:val="24"/>
          <w:szCs w:val="24"/>
        </w:rPr>
      </w:pPr>
      <w:r w:rsidRPr="006014E3">
        <w:rPr>
          <w:sz w:val="24"/>
          <w:szCs w:val="24"/>
        </w:rPr>
        <w:t xml:space="preserve">OCA witness </w:t>
      </w:r>
      <w:proofErr w:type="spellStart"/>
      <w:r w:rsidRPr="006014E3">
        <w:rPr>
          <w:sz w:val="24"/>
          <w:szCs w:val="24"/>
        </w:rPr>
        <w:t>Mierzwa</w:t>
      </w:r>
      <w:proofErr w:type="spellEnd"/>
      <w:r w:rsidRPr="006014E3">
        <w:rPr>
          <w:sz w:val="24"/>
          <w:szCs w:val="24"/>
        </w:rPr>
        <w:t xml:space="preserve"> recommended in his Direct Testimony that:</w:t>
      </w:r>
    </w:p>
    <w:p w:rsidR="00D74DE6" w:rsidRPr="006014E3" w:rsidRDefault="00D74DE6" w:rsidP="00D74DE6">
      <w:pPr>
        <w:ind w:left="1440" w:right="1440"/>
        <w:jc w:val="both"/>
        <w:rPr>
          <w:sz w:val="24"/>
          <w:szCs w:val="24"/>
        </w:rPr>
      </w:pPr>
      <w:r w:rsidRPr="006014E3">
        <w:rPr>
          <w:sz w:val="24"/>
          <w:szCs w:val="24"/>
        </w:rPr>
        <w:t xml:space="preserve">Peoples’ proposal to calculate storage inventory rates based on the combined cost of all gas purchased by Peoples and the Equitable Division appears reasonable and should be adopted.  However, Peoples’ proposal to exclude pipeline demand charges from the LIFO rate should not be adopted.  This proposal will reduce its storage inventory carrying charges because demand charges will no longer be included in the LIFO rate calculation and Peoples’ storage inventory balances will be reduced.  Changes to storage </w:t>
      </w:r>
      <w:r w:rsidRPr="006014E3">
        <w:rPr>
          <w:sz w:val="24"/>
          <w:szCs w:val="24"/>
        </w:rPr>
        <w:lastRenderedPageBreak/>
        <w:t>inventory accounting procedures which affect base rate costs should be addressed in a base rate proceeding and not in a 1307(f) proceeding. A base rate proceeding is the appropriate forum to evaluate the impacts of a change in storage accounting methods and determine whether such a change is reasonable.</w:t>
      </w:r>
    </w:p>
    <w:p w:rsidR="00D74DE6" w:rsidRPr="006014E3" w:rsidRDefault="00D74DE6" w:rsidP="00D74DE6">
      <w:pPr>
        <w:ind w:left="1440" w:right="1440" w:firstLine="720"/>
        <w:jc w:val="both"/>
        <w:rPr>
          <w:sz w:val="24"/>
          <w:szCs w:val="24"/>
        </w:rPr>
      </w:pPr>
    </w:p>
    <w:p w:rsidR="00D74DE6" w:rsidRDefault="00D74DE6" w:rsidP="00593A40">
      <w:pPr>
        <w:spacing w:line="360" w:lineRule="auto"/>
        <w:rPr>
          <w:sz w:val="24"/>
          <w:szCs w:val="24"/>
        </w:rPr>
      </w:pPr>
      <w:r>
        <w:rPr>
          <w:sz w:val="24"/>
          <w:szCs w:val="24"/>
        </w:rPr>
        <w:t>(</w:t>
      </w:r>
      <w:r w:rsidRPr="006014E3">
        <w:rPr>
          <w:sz w:val="24"/>
          <w:szCs w:val="24"/>
        </w:rPr>
        <w:t>OCA St. No. 1 at 16</w:t>
      </w:r>
      <w:r>
        <w:rPr>
          <w:sz w:val="24"/>
          <w:szCs w:val="24"/>
        </w:rPr>
        <w:t>; OCA Statement in Support, p. 7.)</w:t>
      </w:r>
    </w:p>
    <w:p w:rsidR="00593A40" w:rsidRPr="006014E3" w:rsidRDefault="00593A40" w:rsidP="00593A40">
      <w:pPr>
        <w:spacing w:line="360" w:lineRule="auto"/>
        <w:rPr>
          <w:sz w:val="24"/>
          <w:szCs w:val="24"/>
        </w:rPr>
      </w:pPr>
    </w:p>
    <w:p w:rsidR="00D74DE6" w:rsidRPr="00C45290" w:rsidRDefault="00D74DE6" w:rsidP="00897439">
      <w:pPr>
        <w:spacing w:line="360" w:lineRule="auto"/>
        <w:rPr>
          <w:sz w:val="24"/>
          <w:szCs w:val="24"/>
        </w:rPr>
      </w:pPr>
      <w:r>
        <w:rPr>
          <w:szCs w:val="24"/>
        </w:rPr>
        <w:tab/>
      </w:r>
      <w:r w:rsidR="00593A40">
        <w:rPr>
          <w:szCs w:val="24"/>
        </w:rPr>
        <w:tab/>
      </w:r>
      <w:r w:rsidRPr="00C45290">
        <w:rPr>
          <w:sz w:val="24"/>
          <w:szCs w:val="24"/>
        </w:rPr>
        <w:t>According to OCA, the Settlement provides that Peoples’ proposal to use the combined average purchased gas cost of both Divisions that excludes demand costs will be approved effective October 1, 2015.  The Settlement also addresses Mr.</w:t>
      </w:r>
      <w:r w:rsidR="00897439">
        <w:rPr>
          <w:sz w:val="24"/>
          <w:szCs w:val="24"/>
        </w:rPr>
        <w:t> </w:t>
      </w:r>
      <w:proofErr w:type="spellStart"/>
      <w:r w:rsidRPr="00C45290">
        <w:rPr>
          <w:sz w:val="24"/>
          <w:szCs w:val="24"/>
        </w:rPr>
        <w:t>Mierzwa’s</w:t>
      </w:r>
      <w:proofErr w:type="spellEnd"/>
      <w:r w:rsidRPr="00C45290">
        <w:rPr>
          <w:sz w:val="24"/>
          <w:szCs w:val="24"/>
        </w:rPr>
        <w:t xml:space="preserve"> concerns by agreeing that the annual LIFO storage accounting rate for 2015 for Peoples will include nine months of Peoples Division costs (including demand costs) for the period of January 1, 2015 through September 30, 2015) and three months of combined Division costs (excluding demand costs for the period of October 1, 2015 through December 31, 2015).  The OCA submits that this settlement term is in the best interest of the Company’s customers and in the public interest because it represents a reasonable compromise between the parties and the impact on storage inventory carrying charges is not significant.  (OCA Statement in Support, p. 7.) </w:t>
      </w:r>
      <w:r w:rsidRPr="00C45290">
        <w:rPr>
          <w:rStyle w:val="FootnoteReference"/>
          <w:szCs w:val="24"/>
        </w:rPr>
        <w:footnoteReference w:id="16"/>
      </w:r>
    </w:p>
    <w:p w:rsidR="00D74DE6" w:rsidRPr="00C45290" w:rsidRDefault="00D74DE6" w:rsidP="00593A40">
      <w:pPr>
        <w:pStyle w:val="BodyText2"/>
        <w:spacing w:after="0" w:line="360" w:lineRule="auto"/>
        <w:rPr>
          <w:b/>
        </w:rPr>
      </w:pPr>
      <w:r w:rsidRPr="00C45290">
        <w:rPr>
          <w:b/>
          <w:lang w:eastAsia="ja-JP"/>
        </w:rPr>
        <w:tab/>
      </w:r>
    </w:p>
    <w:p w:rsidR="00D74DE6" w:rsidRDefault="00D74DE6" w:rsidP="00593A40">
      <w:pPr>
        <w:pStyle w:val="BodyText2"/>
        <w:spacing w:after="0" w:line="360" w:lineRule="auto"/>
        <w:rPr>
          <w:u w:val="single"/>
        </w:rPr>
      </w:pPr>
      <w:r>
        <w:t>G.</w:t>
      </w:r>
      <w:r>
        <w:tab/>
      </w:r>
      <w:r w:rsidRPr="006014E3">
        <w:rPr>
          <w:u w:val="single"/>
        </w:rPr>
        <w:t>Retainage</w:t>
      </w:r>
    </w:p>
    <w:p w:rsidR="00EE221A" w:rsidRPr="006014E3" w:rsidRDefault="00EE221A" w:rsidP="00593A40">
      <w:pPr>
        <w:pStyle w:val="BodyText2"/>
        <w:spacing w:after="0" w:line="360" w:lineRule="auto"/>
        <w:rPr>
          <w:u w:val="single"/>
        </w:rPr>
      </w:pPr>
    </w:p>
    <w:p w:rsidR="00D74DE6" w:rsidRDefault="00D74DE6" w:rsidP="00593A40">
      <w:pPr>
        <w:pStyle w:val="BodyText2"/>
        <w:spacing w:after="0" w:line="360" w:lineRule="auto"/>
        <w:rPr>
          <w:u w:val="single"/>
        </w:rPr>
      </w:pPr>
      <w:r>
        <w:tab/>
        <w:t>1.</w:t>
      </w:r>
      <w:r>
        <w:tab/>
      </w:r>
      <w:r w:rsidRPr="00EE221A">
        <w:rPr>
          <w:u w:val="single"/>
        </w:rPr>
        <w:t>Company’s Position</w:t>
      </w:r>
    </w:p>
    <w:p w:rsidR="00EE221A" w:rsidRDefault="00EE221A" w:rsidP="00593A40">
      <w:pPr>
        <w:pStyle w:val="BodyText2"/>
        <w:spacing w:after="0" w:line="360" w:lineRule="auto"/>
      </w:pPr>
    </w:p>
    <w:p w:rsidR="00D74DE6" w:rsidRDefault="00EE221A" w:rsidP="00593A40">
      <w:pPr>
        <w:pStyle w:val="BodyText2"/>
        <w:spacing w:after="0" w:line="360" w:lineRule="auto"/>
        <w:ind w:firstLine="720"/>
      </w:pPr>
      <w:r>
        <w:tab/>
      </w:r>
      <w:r w:rsidR="00D74DE6" w:rsidRPr="00F77C86">
        <w:t>Peoples</w:t>
      </w:r>
      <w:r w:rsidR="00D74DE6">
        <w:t xml:space="preserve"> explains that it </w:t>
      </w:r>
      <w:r w:rsidR="00D74DE6" w:rsidRPr="00F77C86">
        <w:t xml:space="preserve">requires transportation customers to deliver to </w:t>
      </w:r>
      <w:r w:rsidR="00D74DE6">
        <w:t>its</w:t>
      </w:r>
      <w:r w:rsidR="00D74DE6" w:rsidRPr="00F77C86">
        <w:t xml:space="preserve"> system slightly more gas than is used by the customer and “retains” the difference between deliveries and consumption to compensate for UFG, company use gas, and storage losses.  This process is referred to as “retainage.”  Retainage is usually stated as a percentage of gas delivered into the distribution system. </w:t>
      </w:r>
      <w:r w:rsidR="00D74DE6">
        <w:t>According to Peoples, s</w:t>
      </w:r>
      <w:r w:rsidR="00D74DE6" w:rsidRPr="00F77C86">
        <w:t xml:space="preserve">etting the retainage percentage </w:t>
      </w:r>
      <w:r w:rsidR="00D74DE6">
        <w:t xml:space="preserve">accurately </w:t>
      </w:r>
      <w:r w:rsidR="00D74DE6" w:rsidRPr="00F77C86">
        <w:t xml:space="preserve">is important because a retainage rate that is excessive will cause transportation customers to overpay for UFG, company use gas, and storage losses.  Conversely, </w:t>
      </w:r>
      <w:r w:rsidR="00D74DE6">
        <w:t xml:space="preserve">Peoples explains, </w:t>
      </w:r>
      <w:r w:rsidR="00D74DE6" w:rsidRPr="00F77C86">
        <w:t xml:space="preserve">a </w:t>
      </w:r>
      <w:r w:rsidR="00D74DE6" w:rsidRPr="00F77C86">
        <w:lastRenderedPageBreak/>
        <w:t>retainage rate that is too low will harm 1307(f) customers by causing them to pay for more than their share of UFG, company use gas and storage losses.</w:t>
      </w:r>
      <w:r w:rsidR="00D74DE6">
        <w:t xml:space="preserve">  (Peoples Statement in Support, p. 12.)</w:t>
      </w:r>
    </w:p>
    <w:p w:rsidR="00EE221A" w:rsidRDefault="00EE221A" w:rsidP="00593A40">
      <w:pPr>
        <w:pStyle w:val="BodyText2"/>
        <w:spacing w:after="0" w:line="360" w:lineRule="auto"/>
        <w:ind w:firstLine="720"/>
      </w:pPr>
    </w:p>
    <w:p w:rsidR="00D74DE6" w:rsidRDefault="008D4FB6" w:rsidP="00593A40">
      <w:pPr>
        <w:pStyle w:val="BodyText2"/>
        <w:spacing w:after="0" w:line="360" w:lineRule="auto"/>
        <w:ind w:firstLine="720"/>
      </w:pPr>
      <w:r>
        <w:tab/>
      </w:r>
      <w:r w:rsidR="00D74DE6">
        <w:t xml:space="preserve">No party in this proceeding challenged the Company’s retainage rate, and the Settlement adopts the Company’s proposed combined retainage rate of 5%.  </w:t>
      </w:r>
      <w:proofErr w:type="gramStart"/>
      <w:r w:rsidR="00D74DE6">
        <w:t>(Settlement ¶ 46; Peoples Statement in Support, p. 12.)</w:t>
      </w:r>
      <w:proofErr w:type="gramEnd"/>
    </w:p>
    <w:p w:rsidR="00EE221A" w:rsidRDefault="00EE221A" w:rsidP="00593A40">
      <w:pPr>
        <w:pStyle w:val="BodyText2"/>
        <w:spacing w:after="0" w:line="360" w:lineRule="auto"/>
        <w:ind w:firstLine="720"/>
      </w:pPr>
    </w:p>
    <w:p w:rsidR="00D74DE6" w:rsidRDefault="008D4FB6" w:rsidP="00593A40">
      <w:pPr>
        <w:pStyle w:val="BodyText2"/>
        <w:spacing w:after="0" w:line="360" w:lineRule="auto"/>
        <w:ind w:firstLine="720"/>
      </w:pPr>
      <w:r>
        <w:tab/>
      </w:r>
      <w:r w:rsidR="00D74DE6">
        <w:t>Peoples explains that the Settlement further clarifies that the newly negotiated waivers of retainage in the Peoples Division and Peoples-Equitable Division Exhibit Nos. 12 are approved.  No Party challenged this issue in this proceeding.  (Peoples Statement in Support, p.</w:t>
      </w:r>
      <w:r>
        <w:t> </w:t>
      </w:r>
      <w:r w:rsidR="00D74DE6">
        <w:t>13.)</w:t>
      </w:r>
    </w:p>
    <w:p w:rsidR="00EE221A" w:rsidRDefault="00EE221A" w:rsidP="00593A40">
      <w:pPr>
        <w:pStyle w:val="BodyText2"/>
        <w:spacing w:after="0" w:line="360" w:lineRule="auto"/>
        <w:ind w:firstLine="720"/>
      </w:pPr>
    </w:p>
    <w:p w:rsidR="00D74DE6" w:rsidRDefault="00D74DE6" w:rsidP="00593A40">
      <w:pPr>
        <w:pStyle w:val="BodyText2"/>
        <w:spacing w:after="0" w:line="360" w:lineRule="auto"/>
        <w:rPr>
          <w:u w:val="single"/>
        </w:rPr>
      </w:pPr>
      <w:r>
        <w:tab/>
        <w:t>2.</w:t>
      </w:r>
      <w:r>
        <w:tab/>
      </w:r>
      <w:r w:rsidRPr="00EE221A">
        <w:rPr>
          <w:u w:val="single"/>
        </w:rPr>
        <w:t>I&amp;E’s Position</w:t>
      </w:r>
    </w:p>
    <w:p w:rsidR="00EE221A" w:rsidRDefault="00EE221A" w:rsidP="00593A40">
      <w:pPr>
        <w:pStyle w:val="BodyText2"/>
        <w:spacing w:after="0" w:line="360" w:lineRule="auto"/>
      </w:pPr>
    </w:p>
    <w:p w:rsidR="00D74DE6" w:rsidRDefault="00D74DE6" w:rsidP="00593A40">
      <w:pPr>
        <w:pStyle w:val="BodyText2"/>
        <w:spacing w:after="0" w:line="360" w:lineRule="auto"/>
        <w:ind w:firstLine="720"/>
      </w:pPr>
      <w:r>
        <w:tab/>
        <w:t xml:space="preserve">In testimony, I&amp;E requested that Peoples provide in future 1307(f) proceedings, a reconciliation of the volumes used to calculate retainage in the 1307(f) filing with the volumes reported in the annual UFG report to the Commission.  Peoples has adopted  I&amp;E’s request.    (I&amp;E St. No. 1, p. 6; Peoples Statement in Support, p. 13.)  </w:t>
      </w:r>
    </w:p>
    <w:p w:rsidR="00EE221A" w:rsidRDefault="00EE221A" w:rsidP="00593A40">
      <w:pPr>
        <w:pStyle w:val="BodyText2"/>
        <w:spacing w:after="0" w:line="360" w:lineRule="auto"/>
        <w:ind w:firstLine="720"/>
      </w:pPr>
    </w:p>
    <w:p w:rsidR="00D74DE6" w:rsidRPr="006014E3" w:rsidRDefault="00D74DE6" w:rsidP="00593A40">
      <w:pPr>
        <w:pStyle w:val="BodyTextIndent"/>
        <w:spacing w:after="0" w:line="360" w:lineRule="auto"/>
        <w:ind w:left="0"/>
        <w:rPr>
          <w:spacing w:val="-3"/>
          <w:sz w:val="24"/>
          <w:szCs w:val="24"/>
        </w:rPr>
      </w:pPr>
      <w:r>
        <w:rPr>
          <w:color w:val="000000"/>
          <w:sz w:val="26"/>
          <w:szCs w:val="26"/>
        </w:rPr>
        <w:t xml:space="preserve"> </w:t>
      </w:r>
      <w:r>
        <w:rPr>
          <w:spacing w:val="-3"/>
        </w:rPr>
        <w:tab/>
      </w:r>
      <w:r w:rsidRPr="00BE2612">
        <w:rPr>
          <w:spacing w:val="-3"/>
        </w:rPr>
        <w:tab/>
      </w:r>
      <w:r w:rsidRPr="006014E3">
        <w:rPr>
          <w:spacing w:val="-3"/>
          <w:sz w:val="24"/>
          <w:szCs w:val="24"/>
        </w:rPr>
        <w:t xml:space="preserve">I&amp;E concludes  that the Companies’ combined 5.0%  retainage rate is appropriate and  represents the appropriate level of their responsibility for UFG.  As discussed above, establishment of the proper Retainage percentages protects PGC customers and transportation customers from unwarranted subsidies.  (I&amp;E Statement in Support, pp. 6-7.) </w:t>
      </w:r>
      <w:r>
        <w:rPr>
          <w:rStyle w:val="FootnoteReference"/>
          <w:spacing w:val="-3"/>
          <w:szCs w:val="24"/>
        </w:rPr>
        <w:footnoteReference w:id="17"/>
      </w:r>
    </w:p>
    <w:p w:rsidR="004263AD" w:rsidRDefault="004263AD">
      <w:pPr>
        <w:spacing w:after="200" w:line="276" w:lineRule="auto"/>
        <w:rPr>
          <w:sz w:val="24"/>
          <w:szCs w:val="24"/>
        </w:rPr>
      </w:pPr>
    </w:p>
    <w:p w:rsidR="00D74DE6" w:rsidRDefault="00D74DE6" w:rsidP="00593A40">
      <w:pPr>
        <w:pStyle w:val="BodyText2"/>
        <w:spacing w:after="0" w:line="360" w:lineRule="auto"/>
        <w:rPr>
          <w:u w:val="single"/>
        </w:rPr>
      </w:pPr>
      <w:r>
        <w:tab/>
        <w:t>3.</w:t>
      </w:r>
      <w:r>
        <w:tab/>
      </w:r>
      <w:r w:rsidRPr="00EE221A">
        <w:rPr>
          <w:u w:val="single"/>
        </w:rPr>
        <w:t>OSBA’s Position</w:t>
      </w:r>
    </w:p>
    <w:p w:rsidR="00EE221A" w:rsidRDefault="00EE221A" w:rsidP="00593A40">
      <w:pPr>
        <w:pStyle w:val="BodyText2"/>
        <w:spacing w:after="0" w:line="360" w:lineRule="auto"/>
      </w:pPr>
    </w:p>
    <w:p w:rsidR="00D74DE6" w:rsidRDefault="00EE221A" w:rsidP="00593A40">
      <w:pPr>
        <w:tabs>
          <w:tab w:val="left" w:pos="720"/>
        </w:tabs>
        <w:spacing w:line="360" w:lineRule="auto"/>
        <w:ind w:firstLine="720"/>
        <w:rPr>
          <w:sz w:val="24"/>
          <w:szCs w:val="24"/>
        </w:rPr>
      </w:pPr>
      <w:r>
        <w:rPr>
          <w:sz w:val="24"/>
          <w:szCs w:val="24"/>
        </w:rPr>
        <w:tab/>
      </w:r>
      <w:r w:rsidR="00D74DE6">
        <w:rPr>
          <w:sz w:val="24"/>
          <w:szCs w:val="24"/>
        </w:rPr>
        <w:t>O</w:t>
      </w:r>
      <w:r w:rsidR="00B86FD3">
        <w:rPr>
          <w:sz w:val="24"/>
          <w:szCs w:val="24"/>
        </w:rPr>
        <w:t>SB</w:t>
      </w:r>
      <w:r w:rsidR="00D74DE6">
        <w:rPr>
          <w:sz w:val="24"/>
          <w:szCs w:val="24"/>
        </w:rPr>
        <w:t xml:space="preserve">A explains that </w:t>
      </w:r>
      <w:r w:rsidR="00D74DE6" w:rsidRPr="00F37487">
        <w:rPr>
          <w:sz w:val="24"/>
          <w:szCs w:val="24"/>
        </w:rPr>
        <w:t xml:space="preserve">Peoples currently retains 5.2% of the natural gas delivered on behalf of Rates RS (residential), SGS (small general service) and MGS (medium general service) </w:t>
      </w:r>
      <w:r w:rsidR="00D74DE6" w:rsidRPr="00F37487">
        <w:rPr>
          <w:sz w:val="24"/>
          <w:szCs w:val="24"/>
        </w:rPr>
        <w:lastRenderedPageBreak/>
        <w:t>transportation customers, and 4.6% of the natural gas delivered on behalf of Rate LGS (large general service) industrial transportation customers.</w:t>
      </w:r>
      <w:r w:rsidR="00D74DE6">
        <w:rPr>
          <w:sz w:val="24"/>
          <w:szCs w:val="24"/>
        </w:rPr>
        <w:t xml:space="preserve"> O</w:t>
      </w:r>
      <w:r w:rsidR="00B86FD3">
        <w:rPr>
          <w:sz w:val="24"/>
          <w:szCs w:val="24"/>
        </w:rPr>
        <w:t>SBA</w:t>
      </w:r>
      <w:r w:rsidR="00D74DE6">
        <w:rPr>
          <w:sz w:val="24"/>
          <w:szCs w:val="24"/>
        </w:rPr>
        <w:t xml:space="preserve"> continues that </w:t>
      </w:r>
      <w:r w:rsidR="00D74DE6" w:rsidRPr="00FF55FD">
        <w:rPr>
          <w:sz w:val="24"/>
          <w:szCs w:val="24"/>
        </w:rPr>
        <w:t xml:space="preserve">Peoples </w:t>
      </w:r>
      <w:r w:rsidR="00D74DE6">
        <w:rPr>
          <w:sz w:val="24"/>
          <w:szCs w:val="24"/>
        </w:rPr>
        <w:t>proposed</w:t>
      </w:r>
      <w:r w:rsidR="00D74DE6" w:rsidRPr="00FF55FD">
        <w:rPr>
          <w:sz w:val="24"/>
          <w:szCs w:val="24"/>
        </w:rPr>
        <w:t xml:space="preserve"> to adjust its existing retainage rates to reflect changes in overall LUFG/CU levels</w:t>
      </w:r>
      <w:r w:rsidR="00D74DE6">
        <w:rPr>
          <w:sz w:val="24"/>
          <w:szCs w:val="24"/>
        </w:rPr>
        <w:t xml:space="preserve">, and </w:t>
      </w:r>
      <w:r w:rsidR="00D74DE6" w:rsidRPr="00FF55FD">
        <w:rPr>
          <w:sz w:val="24"/>
          <w:szCs w:val="24"/>
        </w:rPr>
        <w:t>to establish a uniform retainage rate for residential, commercial and industrial transportation customers.</w:t>
      </w:r>
      <w:r w:rsidR="00D74DE6">
        <w:rPr>
          <w:sz w:val="24"/>
          <w:szCs w:val="24"/>
        </w:rPr>
        <w:t xml:space="preserve">  </w:t>
      </w:r>
      <w:r w:rsidR="00D74DE6" w:rsidRPr="00FF55FD">
        <w:rPr>
          <w:sz w:val="24"/>
          <w:szCs w:val="24"/>
        </w:rPr>
        <w:t xml:space="preserve">As shown in Peoples Exhibit No. 11, Peoples </w:t>
      </w:r>
      <w:r w:rsidR="00D74DE6">
        <w:rPr>
          <w:sz w:val="24"/>
          <w:szCs w:val="24"/>
        </w:rPr>
        <w:t>proposed</w:t>
      </w:r>
      <w:r w:rsidR="00D74DE6" w:rsidRPr="00FF55FD">
        <w:rPr>
          <w:sz w:val="24"/>
          <w:szCs w:val="24"/>
        </w:rPr>
        <w:t xml:space="preserve"> to implement a retainage rate of 5.0% for all transportation customers, based upon its two-year average LUFG/CU rate for the period ending August 31, 2014.</w:t>
      </w:r>
      <w:r w:rsidR="00D74DE6">
        <w:rPr>
          <w:sz w:val="24"/>
          <w:szCs w:val="24"/>
        </w:rPr>
        <w:t xml:space="preserve">  (OSBA Statement in Support, p. 5.)</w:t>
      </w:r>
    </w:p>
    <w:p w:rsidR="00EE221A" w:rsidRDefault="00EE221A" w:rsidP="00593A40">
      <w:pPr>
        <w:tabs>
          <w:tab w:val="left" w:pos="720"/>
        </w:tabs>
        <w:spacing w:line="360" w:lineRule="auto"/>
        <w:ind w:firstLine="720"/>
        <w:rPr>
          <w:sz w:val="24"/>
          <w:szCs w:val="24"/>
        </w:rPr>
      </w:pPr>
    </w:p>
    <w:p w:rsidR="00D74DE6" w:rsidRDefault="00EE221A" w:rsidP="00593A40">
      <w:pPr>
        <w:tabs>
          <w:tab w:val="left" w:pos="720"/>
        </w:tabs>
        <w:spacing w:line="360" w:lineRule="auto"/>
        <w:ind w:firstLine="720"/>
        <w:rPr>
          <w:sz w:val="24"/>
          <w:szCs w:val="24"/>
        </w:rPr>
      </w:pPr>
      <w:r>
        <w:rPr>
          <w:sz w:val="24"/>
          <w:szCs w:val="24"/>
        </w:rPr>
        <w:tab/>
      </w:r>
      <w:r w:rsidR="00D74DE6">
        <w:rPr>
          <w:sz w:val="24"/>
          <w:szCs w:val="24"/>
        </w:rPr>
        <w:t>According to OSBA, Peoples-</w:t>
      </w:r>
      <w:r w:rsidR="00D74DE6" w:rsidRPr="001F50BA">
        <w:rPr>
          <w:sz w:val="24"/>
          <w:szCs w:val="24"/>
        </w:rPr>
        <w:t xml:space="preserve">Equitable Division discounts the retainage rate applicable to certain competitive customers.  However, </w:t>
      </w:r>
      <w:r w:rsidR="00D74DE6">
        <w:rPr>
          <w:sz w:val="24"/>
          <w:szCs w:val="24"/>
        </w:rPr>
        <w:t>Peoples-</w:t>
      </w:r>
      <w:r w:rsidR="00D74DE6" w:rsidRPr="001F50BA">
        <w:rPr>
          <w:sz w:val="24"/>
          <w:szCs w:val="24"/>
        </w:rPr>
        <w:t>Equitable Division currently retains a weighted average of 5.85% of the natural gas delivered on behalf of all (i.e., competitive and non-competitive) transportation customers.</w:t>
      </w:r>
      <w:r w:rsidR="00D74DE6" w:rsidRPr="00FF55FD">
        <w:rPr>
          <w:sz w:val="28"/>
        </w:rPr>
        <w:t xml:space="preserve"> </w:t>
      </w:r>
      <w:r w:rsidR="00D74DE6">
        <w:rPr>
          <w:sz w:val="28"/>
        </w:rPr>
        <w:t xml:space="preserve"> </w:t>
      </w:r>
      <w:r w:rsidR="00D74DE6" w:rsidRPr="00FF55FD">
        <w:rPr>
          <w:sz w:val="24"/>
          <w:szCs w:val="24"/>
        </w:rPr>
        <w:t xml:space="preserve">As shown in Peoples-Equitable Division Exhibit No. 11, Peoples-Equitable Division </w:t>
      </w:r>
      <w:r w:rsidR="00D74DE6">
        <w:rPr>
          <w:sz w:val="24"/>
          <w:szCs w:val="24"/>
        </w:rPr>
        <w:t>proposed</w:t>
      </w:r>
      <w:r w:rsidR="00D74DE6" w:rsidRPr="00FF55FD">
        <w:rPr>
          <w:sz w:val="24"/>
          <w:szCs w:val="24"/>
        </w:rPr>
        <w:t xml:space="preserve"> to implement a retainage rate of 5.0% for all non-competitive transportation customers, based upon its two-year average LUFG/CU rate for th</w:t>
      </w:r>
      <w:r w:rsidR="00D74DE6">
        <w:rPr>
          <w:sz w:val="24"/>
          <w:szCs w:val="24"/>
        </w:rPr>
        <w:t>e period ending August 31, 2014.  (OSBA Statement in Support, p. 6.)</w:t>
      </w:r>
    </w:p>
    <w:p w:rsidR="00EE221A" w:rsidRDefault="00EE221A" w:rsidP="00593A40">
      <w:pPr>
        <w:tabs>
          <w:tab w:val="left" w:pos="720"/>
        </w:tabs>
        <w:spacing w:line="360" w:lineRule="auto"/>
        <w:ind w:firstLine="720"/>
        <w:rPr>
          <w:sz w:val="24"/>
          <w:szCs w:val="24"/>
        </w:rPr>
      </w:pPr>
    </w:p>
    <w:p w:rsidR="00D74DE6" w:rsidRDefault="00EE221A" w:rsidP="00593A40">
      <w:pPr>
        <w:tabs>
          <w:tab w:val="left" w:pos="720"/>
        </w:tabs>
        <w:spacing w:line="360" w:lineRule="auto"/>
        <w:ind w:firstLine="720"/>
        <w:rPr>
          <w:sz w:val="24"/>
          <w:szCs w:val="24"/>
        </w:rPr>
      </w:pPr>
      <w:r>
        <w:rPr>
          <w:sz w:val="24"/>
          <w:szCs w:val="24"/>
        </w:rPr>
        <w:tab/>
      </w:r>
      <w:r w:rsidR="00D74DE6">
        <w:rPr>
          <w:sz w:val="24"/>
          <w:szCs w:val="24"/>
        </w:rPr>
        <w:t>OSBA notes that the settlement proposes a uniform retainage rate of 5.0% for all rate classes of both Companies, and does not adopt any specific retainage rate calculation methodology, the settlement is in the best interest of the Companies’ Small C&amp;I customers.  (OSBA Statement in Support, p. 6.)</w:t>
      </w:r>
    </w:p>
    <w:p w:rsidR="00D74DE6" w:rsidRDefault="00D74DE6" w:rsidP="00593A40">
      <w:pPr>
        <w:pStyle w:val="BodyText2"/>
        <w:spacing w:after="0" w:line="360" w:lineRule="auto"/>
      </w:pPr>
    </w:p>
    <w:p w:rsidR="00D74DE6" w:rsidRDefault="00D74DE6" w:rsidP="00593A40">
      <w:pPr>
        <w:pStyle w:val="BodyText2"/>
        <w:spacing w:after="0" w:line="360" w:lineRule="auto"/>
        <w:rPr>
          <w:u w:val="single"/>
        </w:rPr>
      </w:pPr>
      <w:r w:rsidRPr="00815D88">
        <w:t>H.</w:t>
      </w:r>
      <w:r w:rsidRPr="00815D88">
        <w:tab/>
      </w:r>
      <w:r w:rsidRPr="00815D88">
        <w:rPr>
          <w:u w:val="single"/>
        </w:rPr>
        <w:t>Sharing Mechanism</w:t>
      </w:r>
    </w:p>
    <w:p w:rsidR="00EE221A" w:rsidRPr="00815D88" w:rsidRDefault="00EE221A" w:rsidP="00593A40">
      <w:pPr>
        <w:pStyle w:val="BodyText2"/>
        <w:spacing w:after="0" w:line="360" w:lineRule="auto"/>
        <w:rPr>
          <w:u w:val="single"/>
        </w:rPr>
      </w:pPr>
    </w:p>
    <w:p w:rsidR="00D74DE6" w:rsidRDefault="00D74DE6" w:rsidP="00593A40">
      <w:pPr>
        <w:pStyle w:val="BodyText2"/>
        <w:spacing w:after="0" w:line="360" w:lineRule="auto"/>
        <w:rPr>
          <w:u w:val="single"/>
        </w:rPr>
      </w:pPr>
      <w:r w:rsidRPr="00815D88">
        <w:tab/>
        <w:t>1.</w:t>
      </w:r>
      <w:r w:rsidRPr="00815D88">
        <w:tab/>
      </w:r>
      <w:r w:rsidRPr="00EE221A">
        <w:rPr>
          <w:u w:val="single"/>
        </w:rPr>
        <w:t>Company’s Position</w:t>
      </w:r>
    </w:p>
    <w:p w:rsidR="00EE221A" w:rsidRPr="00815D88" w:rsidRDefault="00EE221A" w:rsidP="00593A40">
      <w:pPr>
        <w:pStyle w:val="BodyText2"/>
        <w:spacing w:after="0" w:line="360" w:lineRule="auto"/>
      </w:pPr>
    </w:p>
    <w:p w:rsidR="00D74DE6" w:rsidRDefault="00EE221A" w:rsidP="00593A40">
      <w:pPr>
        <w:pStyle w:val="BodyText2"/>
        <w:spacing w:after="0" w:line="360" w:lineRule="auto"/>
        <w:ind w:firstLine="720"/>
      </w:pPr>
      <w:r>
        <w:tab/>
      </w:r>
      <w:r w:rsidR="00D74DE6" w:rsidRPr="00815D88">
        <w:t>The Company explains it proposed to indefinitely extend its current capacity release/off-system sale/parties/loans revenue sharing mechanism, which credits 75% of margin revenues to customers and 25% to the Company.  The OSBA proposed that the revenue sharing mechanism not be approved indefinitely, but, be extended through September 30, 2017.  (OSBA St. No. 1, p. 10; Peoples Statement in Support, p. 13.)  The Settlement adopts the OSBA position.  (Settlement ¶ 49; Peoples Statement in Support, p. 13.)</w:t>
      </w:r>
    </w:p>
    <w:p w:rsidR="00D74DE6" w:rsidRDefault="00D74DE6" w:rsidP="00593A40">
      <w:pPr>
        <w:pStyle w:val="BodyText2"/>
        <w:spacing w:after="0" w:line="360" w:lineRule="auto"/>
        <w:rPr>
          <w:u w:val="single"/>
        </w:rPr>
      </w:pPr>
      <w:r>
        <w:lastRenderedPageBreak/>
        <w:tab/>
        <w:t>2.</w:t>
      </w:r>
      <w:r>
        <w:tab/>
      </w:r>
      <w:r w:rsidRPr="00EE221A">
        <w:rPr>
          <w:u w:val="single"/>
        </w:rPr>
        <w:t>I&amp;E’s Position</w:t>
      </w:r>
    </w:p>
    <w:p w:rsidR="00175512" w:rsidRDefault="00175512" w:rsidP="00593A40">
      <w:pPr>
        <w:pStyle w:val="BodyText2"/>
        <w:spacing w:after="0" w:line="360" w:lineRule="auto"/>
      </w:pPr>
    </w:p>
    <w:p w:rsidR="00D74DE6" w:rsidRPr="00815D88" w:rsidRDefault="00D74DE6" w:rsidP="00593A40">
      <w:pPr>
        <w:pStyle w:val="BodyTextIndent"/>
        <w:spacing w:after="0" w:line="360" w:lineRule="auto"/>
        <w:ind w:left="0"/>
        <w:rPr>
          <w:sz w:val="24"/>
          <w:szCs w:val="24"/>
        </w:rPr>
      </w:pPr>
      <w:r>
        <w:tab/>
      </w:r>
      <w:r>
        <w:tab/>
      </w:r>
      <w:r w:rsidRPr="00815D88">
        <w:rPr>
          <w:sz w:val="24"/>
          <w:szCs w:val="24"/>
        </w:rPr>
        <w:t>I&amp;E notes that under the terms of the Settlement, the Companies will retain 25% of all off-system sales margins, capacity release credits, with the remaining 75% applied as an offset to purchased gas costs.</w:t>
      </w:r>
      <w:r w:rsidRPr="00815D88">
        <w:rPr>
          <w:rStyle w:val="FootnoteReference"/>
          <w:szCs w:val="24"/>
        </w:rPr>
        <w:footnoteReference w:id="18"/>
      </w:r>
      <w:r w:rsidRPr="00815D88">
        <w:rPr>
          <w:sz w:val="24"/>
          <w:szCs w:val="24"/>
        </w:rPr>
        <w:t xml:space="preserve">  The parameters of the previously approved Sharing Mechanism have been extended through September 30, 2017.   I&amp;E maintains that continuing the Companies’ Sharing Mechanism serves the public interest because it continues to provide the Companies an incentive to maximize its efforts to increase capacity release and off-system sales activity and thereby reduce gas costs for PGC customers.  (I&amp;E Statement in Support, p. 7.)</w:t>
      </w:r>
      <w:r>
        <w:rPr>
          <w:sz w:val="24"/>
          <w:szCs w:val="24"/>
        </w:rPr>
        <w:t xml:space="preserve"> </w:t>
      </w:r>
      <w:r>
        <w:rPr>
          <w:rStyle w:val="FootnoteReference"/>
          <w:szCs w:val="24"/>
        </w:rPr>
        <w:footnoteReference w:id="19"/>
      </w:r>
    </w:p>
    <w:p w:rsidR="00D74DE6" w:rsidRDefault="00D74DE6" w:rsidP="00593A40">
      <w:pPr>
        <w:tabs>
          <w:tab w:val="left" w:pos="-720"/>
        </w:tabs>
        <w:suppressAutoHyphens/>
        <w:spacing w:line="360" w:lineRule="auto"/>
      </w:pPr>
      <w:r>
        <w:rPr>
          <w:spacing w:val="-3"/>
        </w:rPr>
        <w:tab/>
      </w:r>
    </w:p>
    <w:p w:rsidR="00D74DE6" w:rsidRDefault="00D74DE6" w:rsidP="00593A40">
      <w:pPr>
        <w:pStyle w:val="BodyText2"/>
        <w:spacing w:after="0" w:line="360" w:lineRule="auto"/>
        <w:rPr>
          <w:u w:val="single"/>
        </w:rPr>
      </w:pPr>
      <w:r>
        <w:tab/>
        <w:t>3.</w:t>
      </w:r>
      <w:r>
        <w:tab/>
      </w:r>
      <w:r w:rsidRPr="00EE221A">
        <w:rPr>
          <w:u w:val="single"/>
        </w:rPr>
        <w:t>OSBA’s Position</w:t>
      </w:r>
    </w:p>
    <w:p w:rsidR="00EE221A" w:rsidRDefault="00EE221A" w:rsidP="00593A40">
      <w:pPr>
        <w:pStyle w:val="BodyText2"/>
        <w:spacing w:after="0" w:line="360" w:lineRule="auto"/>
      </w:pPr>
    </w:p>
    <w:p w:rsidR="00D74DE6" w:rsidRDefault="00EE221A" w:rsidP="00593A40">
      <w:pPr>
        <w:pStyle w:val="ListParagraph"/>
        <w:tabs>
          <w:tab w:val="left" w:pos="720"/>
        </w:tabs>
        <w:spacing w:line="360" w:lineRule="auto"/>
        <w:ind w:left="0" w:firstLine="720"/>
        <w:rPr>
          <w:sz w:val="24"/>
          <w:szCs w:val="24"/>
        </w:rPr>
      </w:pPr>
      <w:r>
        <w:rPr>
          <w:sz w:val="24"/>
          <w:szCs w:val="24"/>
        </w:rPr>
        <w:tab/>
      </w:r>
      <w:r w:rsidR="00D74DE6" w:rsidRPr="00585A54">
        <w:rPr>
          <w:sz w:val="24"/>
          <w:szCs w:val="24"/>
        </w:rPr>
        <w:t xml:space="preserve">OSBA witness, Mr. </w:t>
      </w:r>
      <w:proofErr w:type="spellStart"/>
      <w:r w:rsidR="00D74DE6" w:rsidRPr="00585A54">
        <w:rPr>
          <w:sz w:val="24"/>
          <w:szCs w:val="24"/>
        </w:rPr>
        <w:t>Kalcic</w:t>
      </w:r>
      <w:proofErr w:type="spellEnd"/>
      <w:r w:rsidR="00D74DE6" w:rsidRPr="00585A54">
        <w:rPr>
          <w:sz w:val="24"/>
          <w:szCs w:val="24"/>
        </w:rPr>
        <w:t xml:space="preserve"> agreed that the sharing mechanisms should be extended, but not indefinitely, because extending the sharing mechanisms </w:t>
      </w:r>
      <w:r w:rsidR="00D74DE6" w:rsidRPr="00585A54">
        <w:rPr>
          <w:i/>
          <w:sz w:val="24"/>
          <w:szCs w:val="24"/>
        </w:rPr>
        <w:t>indefinitely</w:t>
      </w:r>
      <w:r w:rsidR="00D74DE6" w:rsidRPr="00585A54">
        <w:rPr>
          <w:sz w:val="24"/>
          <w:szCs w:val="24"/>
        </w:rPr>
        <w:t xml:space="preserve"> would shift the existing burden of proof from the Companies to any party wishing to modify the mechanism in a future proceeding.  In order to ensure that the burden of proof remains with the Companies, Mr. </w:t>
      </w:r>
      <w:proofErr w:type="spellStart"/>
      <w:r w:rsidR="00D74DE6" w:rsidRPr="00585A54">
        <w:rPr>
          <w:sz w:val="24"/>
          <w:szCs w:val="24"/>
        </w:rPr>
        <w:t>Kalcic</w:t>
      </w:r>
      <w:proofErr w:type="spellEnd"/>
      <w:r w:rsidR="00D74DE6" w:rsidRPr="00585A54">
        <w:rPr>
          <w:sz w:val="24"/>
          <w:szCs w:val="24"/>
        </w:rPr>
        <w:t xml:space="preserve"> recommended that the Commission approve an extension of the Companies’ existing sharing mechanisms for a finite time period through September 30, 2017.</w:t>
      </w:r>
      <w:r w:rsidR="00D74DE6" w:rsidRPr="00585A54">
        <w:rPr>
          <w:rStyle w:val="FootnoteReference"/>
          <w:szCs w:val="24"/>
        </w:rPr>
        <w:footnoteReference w:id="20"/>
      </w:r>
      <w:r w:rsidR="00D74DE6" w:rsidRPr="00585A54">
        <w:rPr>
          <w:sz w:val="24"/>
          <w:szCs w:val="24"/>
        </w:rPr>
        <w:t xml:space="preserve">  (OSBA Statement in Support, p. 13.)  </w:t>
      </w:r>
    </w:p>
    <w:p w:rsidR="00EE221A" w:rsidRPr="00585A54" w:rsidRDefault="00EE221A" w:rsidP="00593A40">
      <w:pPr>
        <w:pStyle w:val="ListParagraph"/>
        <w:tabs>
          <w:tab w:val="left" w:pos="720"/>
        </w:tabs>
        <w:spacing w:line="360" w:lineRule="auto"/>
        <w:ind w:left="0" w:firstLine="720"/>
        <w:rPr>
          <w:sz w:val="24"/>
          <w:szCs w:val="24"/>
        </w:rPr>
      </w:pPr>
    </w:p>
    <w:p w:rsidR="00D74DE6" w:rsidRPr="00585A54" w:rsidRDefault="00EE221A" w:rsidP="00593A40">
      <w:pPr>
        <w:pStyle w:val="ListParagraph"/>
        <w:tabs>
          <w:tab w:val="left" w:pos="720"/>
        </w:tabs>
        <w:spacing w:line="360" w:lineRule="auto"/>
        <w:ind w:left="0" w:firstLine="720"/>
        <w:rPr>
          <w:sz w:val="24"/>
          <w:szCs w:val="24"/>
        </w:rPr>
      </w:pPr>
      <w:r>
        <w:rPr>
          <w:sz w:val="24"/>
          <w:szCs w:val="24"/>
        </w:rPr>
        <w:tab/>
      </w:r>
      <w:r w:rsidR="00D74DE6" w:rsidRPr="00585A54">
        <w:rPr>
          <w:sz w:val="24"/>
          <w:szCs w:val="24"/>
        </w:rPr>
        <w:t xml:space="preserve">According to OSBA, the settlement adopts Mr. </w:t>
      </w:r>
      <w:proofErr w:type="spellStart"/>
      <w:r w:rsidR="00D74DE6" w:rsidRPr="00585A54">
        <w:rPr>
          <w:sz w:val="24"/>
          <w:szCs w:val="24"/>
        </w:rPr>
        <w:t>Kalcic’s</w:t>
      </w:r>
      <w:proofErr w:type="spellEnd"/>
      <w:r w:rsidR="00D74DE6" w:rsidRPr="00585A54">
        <w:rPr>
          <w:sz w:val="24"/>
          <w:szCs w:val="24"/>
        </w:rPr>
        <w:t xml:space="preserve"> recommendation and therefore the OSBA determined that it is reasonable and in the interest of the Companies’ Small C&amp;I customers.  (OSBA Statement in Support, p. 7.)</w:t>
      </w:r>
    </w:p>
    <w:p w:rsidR="00D054C3" w:rsidRDefault="00D054C3" w:rsidP="00EE221A">
      <w:pPr>
        <w:pStyle w:val="Heading1"/>
        <w:numPr>
          <w:ilvl w:val="0"/>
          <w:numId w:val="0"/>
        </w:numPr>
        <w:tabs>
          <w:tab w:val="num" w:pos="720"/>
        </w:tabs>
        <w:spacing w:after="0" w:line="360" w:lineRule="auto"/>
        <w:ind w:left="720" w:hanging="720"/>
        <w:rPr>
          <w:b w:val="0"/>
          <w:u w:val="none"/>
        </w:rPr>
      </w:pPr>
    </w:p>
    <w:p w:rsidR="00D74DE6" w:rsidRPr="00585A54" w:rsidRDefault="00EE221A" w:rsidP="00EE221A">
      <w:pPr>
        <w:pStyle w:val="Heading1"/>
        <w:numPr>
          <w:ilvl w:val="0"/>
          <w:numId w:val="0"/>
        </w:numPr>
        <w:tabs>
          <w:tab w:val="num" w:pos="720"/>
        </w:tabs>
        <w:spacing w:after="0" w:line="360" w:lineRule="auto"/>
        <w:ind w:left="720" w:hanging="720"/>
        <w:rPr>
          <w:b w:val="0"/>
        </w:rPr>
      </w:pPr>
      <w:r w:rsidRPr="00EE221A">
        <w:rPr>
          <w:b w:val="0"/>
          <w:u w:val="none"/>
        </w:rPr>
        <w:t>i.</w:t>
      </w:r>
      <w:r w:rsidRPr="00EE221A">
        <w:rPr>
          <w:b w:val="0"/>
          <w:u w:val="none"/>
        </w:rPr>
        <w:tab/>
      </w:r>
      <w:r w:rsidR="00CA502D" w:rsidRPr="00585A54">
        <w:rPr>
          <w:b w:val="0"/>
          <w:caps w:val="0"/>
        </w:rPr>
        <w:t>Miscellaneous</w:t>
      </w:r>
    </w:p>
    <w:p w:rsidR="00D74DE6" w:rsidRDefault="00D74DE6" w:rsidP="00593A40">
      <w:pPr>
        <w:pStyle w:val="BodyText2"/>
        <w:spacing w:after="0" w:line="360" w:lineRule="auto"/>
        <w:ind w:firstLine="720"/>
      </w:pPr>
    </w:p>
    <w:p w:rsidR="00D74DE6" w:rsidRDefault="00EE221A" w:rsidP="00593A40">
      <w:pPr>
        <w:pStyle w:val="BodyText2"/>
        <w:spacing w:after="0" w:line="360" w:lineRule="auto"/>
        <w:ind w:firstLine="720"/>
      </w:pPr>
      <w:r>
        <w:tab/>
      </w:r>
      <w:r w:rsidR="00D74DE6" w:rsidRPr="00B714B4">
        <w:t xml:space="preserve">Under the Settlement, the parties have agreed that </w:t>
      </w:r>
      <w:r w:rsidR="00D74DE6">
        <w:t xml:space="preserve">the proposed rates and other requested approvals contained in the Peoples Division and Peoples-Equitable Division PGC </w:t>
      </w:r>
      <w:r w:rsidR="00D74DE6" w:rsidRPr="00B714B4">
        <w:lastRenderedPageBreak/>
        <w:t>Filing</w:t>
      </w:r>
      <w:r w:rsidR="00D74DE6">
        <w:t>s</w:t>
      </w:r>
      <w:r w:rsidR="00D74DE6" w:rsidRPr="00B714B4">
        <w:t xml:space="preserve"> </w:t>
      </w:r>
      <w:r w:rsidR="00D74DE6">
        <w:t xml:space="preserve">should be </w:t>
      </w:r>
      <w:r w:rsidR="00D74DE6" w:rsidRPr="00B714B4">
        <w:t xml:space="preserve">approved except to the extent that </w:t>
      </w:r>
      <w:r w:rsidR="00D74DE6">
        <w:t xml:space="preserve">they are </w:t>
      </w:r>
      <w:r w:rsidR="00D74DE6" w:rsidRPr="00B714B4">
        <w:t>modified by the Settlement.  (Settlement ¶</w:t>
      </w:r>
      <w:r w:rsidR="00D74DE6">
        <w:t xml:space="preserve"> 50; Peoples Statement in Support, p. 13.) </w:t>
      </w:r>
      <w:r w:rsidR="00D74DE6" w:rsidRPr="00B714B4">
        <w:t xml:space="preserve">  </w:t>
      </w:r>
    </w:p>
    <w:p w:rsidR="00D74DE6" w:rsidRDefault="00D74DE6" w:rsidP="00D74DE6">
      <w:pPr>
        <w:rPr>
          <w:b/>
          <w:sz w:val="24"/>
          <w:szCs w:val="24"/>
        </w:rPr>
      </w:pPr>
    </w:p>
    <w:p w:rsidR="00D74DE6" w:rsidRDefault="00D74DE6" w:rsidP="00D74DE6">
      <w:pPr>
        <w:rPr>
          <w:b/>
          <w:sz w:val="24"/>
          <w:szCs w:val="24"/>
        </w:rPr>
      </w:pPr>
    </w:p>
    <w:p w:rsidR="00D74DE6" w:rsidRPr="00381D4B" w:rsidRDefault="00D74DE6" w:rsidP="00162289">
      <w:pPr>
        <w:tabs>
          <w:tab w:val="left" w:pos="-720"/>
        </w:tabs>
        <w:suppressAutoHyphens/>
        <w:autoSpaceDE w:val="0"/>
        <w:autoSpaceDN w:val="0"/>
        <w:spacing w:line="360" w:lineRule="auto"/>
        <w:contextualSpacing/>
        <w:jc w:val="center"/>
        <w:rPr>
          <w:spacing w:val="-3"/>
          <w:sz w:val="24"/>
          <w:szCs w:val="24"/>
          <w:u w:val="single"/>
        </w:rPr>
      </w:pPr>
      <w:r w:rsidRPr="00381D4B">
        <w:rPr>
          <w:spacing w:val="-3"/>
          <w:sz w:val="24"/>
          <w:szCs w:val="24"/>
        </w:rPr>
        <w:t xml:space="preserve">V. </w:t>
      </w:r>
      <w:r w:rsidRPr="00381D4B">
        <w:rPr>
          <w:spacing w:val="-3"/>
          <w:sz w:val="24"/>
          <w:szCs w:val="24"/>
        </w:rPr>
        <w:tab/>
      </w:r>
      <w:r w:rsidRPr="00381D4B">
        <w:rPr>
          <w:spacing w:val="-3"/>
          <w:sz w:val="24"/>
          <w:szCs w:val="24"/>
          <w:u w:val="single"/>
        </w:rPr>
        <w:t>STANDARDS AND FILINGS</w:t>
      </w:r>
    </w:p>
    <w:p w:rsidR="00D74DE6" w:rsidRPr="00F165B0" w:rsidRDefault="00D74DE6" w:rsidP="00162289">
      <w:pPr>
        <w:spacing w:line="360" w:lineRule="auto"/>
        <w:ind w:firstLine="1440"/>
        <w:rPr>
          <w:rFonts w:eastAsia="Calibri"/>
          <w:b/>
          <w:sz w:val="24"/>
          <w:szCs w:val="24"/>
          <w:u w:val="single"/>
        </w:rPr>
      </w:pPr>
    </w:p>
    <w:p w:rsidR="00D74DE6" w:rsidRPr="0010244E" w:rsidRDefault="00D74DE6" w:rsidP="00162289">
      <w:pPr>
        <w:spacing w:line="360" w:lineRule="auto"/>
        <w:contextualSpacing/>
        <w:rPr>
          <w:sz w:val="24"/>
          <w:szCs w:val="24"/>
        </w:rPr>
      </w:pPr>
      <w:r w:rsidRPr="0010244E">
        <w:rPr>
          <w:sz w:val="24"/>
          <w:szCs w:val="24"/>
        </w:rPr>
        <w:t>A</w:t>
      </w:r>
      <w:r w:rsidRPr="00F165B0">
        <w:rPr>
          <w:b/>
          <w:sz w:val="24"/>
          <w:szCs w:val="24"/>
        </w:rPr>
        <w:t>.</w:t>
      </w:r>
      <w:r w:rsidRPr="00F165B0">
        <w:rPr>
          <w:b/>
          <w:sz w:val="24"/>
          <w:szCs w:val="24"/>
        </w:rPr>
        <w:tab/>
      </w:r>
      <w:r w:rsidRPr="0010244E">
        <w:rPr>
          <w:sz w:val="24"/>
          <w:szCs w:val="24"/>
          <w:u w:val="single"/>
        </w:rPr>
        <w:t>Least Cost Fuel Procurement Policy</w:t>
      </w:r>
      <w:r w:rsidR="008257F0">
        <w:rPr>
          <w:sz w:val="24"/>
          <w:szCs w:val="24"/>
          <w:u w:val="single"/>
        </w:rPr>
        <w:t xml:space="preserve"> – </w:t>
      </w:r>
      <w:r w:rsidRPr="0010244E">
        <w:rPr>
          <w:sz w:val="24"/>
          <w:szCs w:val="24"/>
          <w:u w:val="single"/>
        </w:rPr>
        <w:t>Reconciliation Period and Standards</w:t>
      </w:r>
    </w:p>
    <w:p w:rsidR="00D74DE6" w:rsidRDefault="00D74DE6" w:rsidP="00162289">
      <w:pPr>
        <w:spacing w:line="360" w:lineRule="auto"/>
        <w:rPr>
          <w:b/>
          <w:sz w:val="24"/>
          <w:szCs w:val="24"/>
        </w:rPr>
      </w:pPr>
      <w:r>
        <w:rPr>
          <w:b/>
          <w:sz w:val="24"/>
          <w:szCs w:val="24"/>
        </w:rPr>
        <w:tab/>
      </w:r>
      <w:r>
        <w:rPr>
          <w:b/>
          <w:sz w:val="24"/>
          <w:szCs w:val="24"/>
        </w:rPr>
        <w:tab/>
      </w:r>
    </w:p>
    <w:p w:rsidR="00D74DE6" w:rsidRDefault="00651CCC" w:rsidP="00162289">
      <w:pPr>
        <w:pStyle w:val="ListNumber"/>
        <w:numPr>
          <w:ilvl w:val="0"/>
          <w:numId w:val="0"/>
        </w:numPr>
        <w:spacing w:line="360" w:lineRule="auto"/>
        <w:ind w:firstLine="720"/>
      </w:pPr>
      <w:r>
        <w:tab/>
      </w:r>
      <w:r w:rsidR="00D74DE6" w:rsidRPr="0010244E">
        <w:t>The Parties have agreed that e</w:t>
      </w:r>
      <w:r w:rsidR="00D74DE6">
        <w:t xml:space="preserve">ach of the seven specific findings set forth in Sections 1318(a) and (b) of the Public Utility Code, 66 </w:t>
      </w:r>
      <w:proofErr w:type="spellStart"/>
      <w:r w:rsidR="00D74DE6">
        <w:t>Pa.C.S</w:t>
      </w:r>
      <w:proofErr w:type="spellEnd"/>
      <w:r w:rsidR="00D74DE6">
        <w:t xml:space="preserve">. §§ 1318(a) and (b), applies to Peoples Division and Peoples-Equitable Division for the 12-month period of February 1, 2014 through January 31, 2015 and, as a result, the natural gas costs that Peoples Division and Peoples-Equitable Division incurred over the 12-month period of February 1, 2014 through January 31, 2015 were incurred under a “least cost fuel procurement policy, consistent with [Peoples Division’s and Peoples-Equitable </w:t>
      </w:r>
      <w:proofErr w:type="spellStart"/>
      <w:r w:rsidR="00D74DE6">
        <w:t>Divisions’s</w:t>
      </w:r>
      <w:proofErr w:type="spellEnd"/>
      <w:r w:rsidR="00D74DE6">
        <w:t>] obligation to provide safe, adequate and reliable service to its customers.”  (Joint Petition, p. 10.)</w:t>
      </w:r>
    </w:p>
    <w:p w:rsidR="00D74DE6" w:rsidRPr="00F165B0" w:rsidRDefault="00D74DE6" w:rsidP="00162289">
      <w:pPr>
        <w:spacing w:line="360" w:lineRule="auto"/>
        <w:ind w:firstLine="720"/>
        <w:rPr>
          <w:b/>
          <w:sz w:val="24"/>
          <w:szCs w:val="24"/>
        </w:rPr>
      </w:pPr>
      <w:r>
        <w:rPr>
          <w:b/>
          <w:sz w:val="24"/>
          <w:szCs w:val="24"/>
        </w:rPr>
        <w:tab/>
      </w:r>
    </w:p>
    <w:p w:rsidR="00D74DE6" w:rsidRDefault="00D74DE6" w:rsidP="00162289">
      <w:pPr>
        <w:spacing w:line="360" w:lineRule="auto"/>
        <w:contextualSpacing/>
        <w:rPr>
          <w:sz w:val="24"/>
          <w:szCs w:val="24"/>
          <w:u w:val="single"/>
        </w:rPr>
      </w:pPr>
      <w:r w:rsidRPr="0010244E">
        <w:rPr>
          <w:bCs/>
          <w:iCs/>
          <w:sz w:val="24"/>
          <w:szCs w:val="24"/>
        </w:rPr>
        <w:t>B.</w:t>
      </w:r>
      <w:r w:rsidRPr="0010244E">
        <w:rPr>
          <w:bCs/>
          <w:iCs/>
          <w:sz w:val="24"/>
          <w:szCs w:val="24"/>
        </w:rPr>
        <w:tab/>
      </w:r>
      <w:r w:rsidRPr="0010244E">
        <w:rPr>
          <w:sz w:val="24"/>
          <w:szCs w:val="24"/>
          <w:u w:val="single"/>
        </w:rPr>
        <w:t>Least Cost Fuel Procurement Policy</w:t>
      </w:r>
      <w:r w:rsidR="008257F0">
        <w:rPr>
          <w:sz w:val="24"/>
          <w:szCs w:val="24"/>
          <w:u w:val="single"/>
        </w:rPr>
        <w:t xml:space="preserve"> – </w:t>
      </w:r>
      <w:r>
        <w:rPr>
          <w:sz w:val="24"/>
          <w:szCs w:val="24"/>
          <w:u w:val="single"/>
        </w:rPr>
        <w:t xml:space="preserve">Projected </w:t>
      </w:r>
      <w:r w:rsidRPr="0010244E">
        <w:rPr>
          <w:sz w:val="24"/>
          <w:szCs w:val="24"/>
          <w:u w:val="single"/>
        </w:rPr>
        <w:t>Period</w:t>
      </w:r>
    </w:p>
    <w:p w:rsidR="009452F4" w:rsidRPr="0010244E" w:rsidRDefault="009452F4" w:rsidP="00162289">
      <w:pPr>
        <w:spacing w:line="360" w:lineRule="auto"/>
        <w:contextualSpacing/>
        <w:rPr>
          <w:sz w:val="24"/>
          <w:szCs w:val="24"/>
        </w:rPr>
      </w:pPr>
    </w:p>
    <w:p w:rsidR="00D74DE6" w:rsidRDefault="00651CCC" w:rsidP="00651CCC">
      <w:pPr>
        <w:pStyle w:val="ListNumber"/>
        <w:numPr>
          <w:ilvl w:val="0"/>
          <w:numId w:val="0"/>
        </w:numPr>
        <w:spacing w:line="360" w:lineRule="auto"/>
        <w:ind w:firstLine="720"/>
      </w:pPr>
      <w:r>
        <w:tab/>
      </w:r>
      <w:r w:rsidR="00D74DE6">
        <w:t xml:space="preserve">The Parties have agreed that each of the seven specific findings set forth in Sections 1318(a) and (b) of the Public Utility Code, 66 </w:t>
      </w:r>
      <w:proofErr w:type="spellStart"/>
      <w:r w:rsidR="00D74DE6">
        <w:t>Pa.C.S</w:t>
      </w:r>
      <w:proofErr w:type="spellEnd"/>
      <w:r w:rsidR="00D74DE6">
        <w:t>. §§ 1318(a) and (b), appear to apply to Peoples Division and Peoples-Equitable Division for the 20-month period of February 1, 2015 through September 30, 2016 and, as a result, the natural gas costs that Peoples will incur over the 20-month period of February 1, 2015 through September 30, 2016 appear that they will be incurred under a “least cost fuel procurement policy, consistent with [Peoples Division’s and Peoples-Equitable Division’s] obligation to provide safe, adequate and reliable service to its customers.”</w:t>
      </w:r>
      <w:r w:rsidR="00AD4E41">
        <w:t xml:space="preserve">  (Joint Petition, pp. 10-11.)</w:t>
      </w:r>
    </w:p>
    <w:p w:rsidR="003F6681" w:rsidRDefault="003F6681" w:rsidP="00651CCC">
      <w:pPr>
        <w:pStyle w:val="ListNumber"/>
        <w:numPr>
          <w:ilvl w:val="0"/>
          <w:numId w:val="0"/>
        </w:numPr>
        <w:spacing w:line="360" w:lineRule="auto"/>
        <w:ind w:firstLine="720"/>
      </w:pPr>
    </w:p>
    <w:p w:rsidR="00D74DE6" w:rsidRDefault="00651CCC" w:rsidP="00467C05">
      <w:pPr>
        <w:pStyle w:val="ListNumber"/>
        <w:numPr>
          <w:ilvl w:val="0"/>
          <w:numId w:val="0"/>
        </w:numPr>
        <w:spacing w:line="360" w:lineRule="auto"/>
        <w:ind w:firstLine="720"/>
      </w:pPr>
      <w:r>
        <w:tab/>
      </w:r>
      <w:r w:rsidR="00D74DE6">
        <w:t xml:space="preserve">The Parties have further agreed that the Commission’s findings and conclusions relating to the projected 20-month period of February 1, 2015 through September 30, 2016 are made solely for the purpose of setting prospective rates.  The terms and conditions of the Settlement are not intended to limit or prevent in any way the Parties or any future complainant </w:t>
      </w:r>
      <w:r w:rsidR="00D74DE6">
        <w:lastRenderedPageBreak/>
        <w:t>from challenging:  (1) the application of the seven specific findings set forth in Sections 1318(a) and (b) of the Public Utility Code to Peoples Division and Peoples-Equitable Division for the actual 20-month period of February 1, 2015 through September 30, 2016 and, therefore, (2) whether the natural gas costs actually incurred by Peoples Division and Peoples-Equitable Division over that 20-month period were incurred pursuant to a “least cost fuel procurement policy, consistent with [Peoples Division’s and Peoples-Equitable</w:t>
      </w:r>
      <w:r w:rsidR="00D74DE6" w:rsidRPr="00AD75E9">
        <w:t xml:space="preserve"> </w:t>
      </w:r>
      <w:r w:rsidR="00D74DE6">
        <w:t xml:space="preserve">Division’s] obligation to provide safe, adequate and reliable service to its customers.”  (Joint Petition, pp. 10-11.) </w:t>
      </w:r>
    </w:p>
    <w:p w:rsidR="00D74DE6" w:rsidRDefault="00D74DE6" w:rsidP="00162289">
      <w:pPr>
        <w:pStyle w:val="ListNumber"/>
        <w:numPr>
          <w:ilvl w:val="0"/>
          <w:numId w:val="0"/>
        </w:numPr>
        <w:spacing w:line="360" w:lineRule="auto"/>
        <w:ind w:left="360" w:firstLine="360"/>
      </w:pPr>
    </w:p>
    <w:p w:rsidR="00D74DE6" w:rsidRDefault="00D74DE6" w:rsidP="00467C05">
      <w:pPr>
        <w:pStyle w:val="ListNumber"/>
        <w:numPr>
          <w:ilvl w:val="0"/>
          <w:numId w:val="0"/>
        </w:numPr>
        <w:spacing w:line="360" w:lineRule="auto"/>
        <w:ind w:left="720" w:hanging="720"/>
        <w:rPr>
          <w:u w:val="single"/>
        </w:rPr>
      </w:pPr>
      <w:r>
        <w:t>C.</w:t>
      </w:r>
      <w:r w:rsidR="00467C05">
        <w:tab/>
      </w:r>
      <w:r w:rsidRPr="00C45290">
        <w:rPr>
          <w:u w:val="single"/>
        </w:rPr>
        <w:t>Section 1318 Requirements</w:t>
      </w:r>
    </w:p>
    <w:p w:rsidR="00467C05" w:rsidRDefault="00467C05" w:rsidP="00467C05">
      <w:pPr>
        <w:pStyle w:val="ListNumber"/>
        <w:numPr>
          <w:ilvl w:val="0"/>
          <w:numId w:val="0"/>
        </w:numPr>
        <w:spacing w:line="360" w:lineRule="auto"/>
        <w:ind w:left="720" w:hanging="720"/>
        <w:rPr>
          <w:u w:val="single"/>
        </w:rPr>
      </w:pPr>
    </w:p>
    <w:p w:rsidR="00D74DE6" w:rsidRDefault="00467C05" w:rsidP="00162289">
      <w:pPr>
        <w:pStyle w:val="BodyText2"/>
        <w:spacing w:line="360" w:lineRule="auto"/>
        <w:rPr>
          <w:color w:val="000000"/>
        </w:rPr>
      </w:pPr>
      <w:r>
        <w:rPr>
          <w:color w:val="000000"/>
        </w:rPr>
        <w:tab/>
      </w:r>
      <w:r>
        <w:rPr>
          <w:color w:val="000000"/>
        </w:rPr>
        <w:tab/>
      </w:r>
      <w:r w:rsidR="00D74DE6">
        <w:rPr>
          <w:color w:val="000000"/>
        </w:rPr>
        <w:t>According to the Company, the Joint Petitioners have represented that the record in this proceeding is sufficient to form the basis for the findings that the Commission is required to make pursuant to Section 1318 of the Public Utility Code.  (Settlement ¶¶ 51-53; Peoples Statement in Support, pp. 13-14.)  Section 1318 contains seven specific sub-findings that the Commission must make in support of a conclusion that Peoples is pursuing a least cost fuel procurement policy.  Peoples submits that the record amply supports the required findings on each of the seven issues for both Divisions.  (Peoples Statement in Support, p. 17.)</w:t>
      </w:r>
    </w:p>
    <w:p w:rsidR="00D74DE6" w:rsidRPr="0010244E" w:rsidRDefault="00D74DE6" w:rsidP="00162289">
      <w:pPr>
        <w:spacing w:line="360" w:lineRule="auto"/>
        <w:ind w:right="1080"/>
        <w:contextualSpacing/>
        <w:rPr>
          <w:sz w:val="24"/>
          <w:szCs w:val="24"/>
        </w:rPr>
      </w:pPr>
    </w:p>
    <w:p w:rsidR="00D74DE6" w:rsidRPr="001C6CDA" w:rsidRDefault="00D74DE6" w:rsidP="00162289">
      <w:pPr>
        <w:tabs>
          <w:tab w:val="left" w:pos="-720"/>
        </w:tabs>
        <w:suppressAutoHyphens/>
        <w:autoSpaceDE w:val="0"/>
        <w:autoSpaceDN w:val="0"/>
        <w:spacing w:line="360" w:lineRule="auto"/>
        <w:contextualSpacing/>
        <w:jc w:val="center"/>
        <w:rPr>
          <w:bCs/>
          <w:caps/>
          <w:sz w:val="24"/>
          <w:szCs w:val="24"/>
          <w:u w:val="single"/>
        </w:rPr>
      </w:pPr>
      <w:r w:rsidRPr="001C6CDA">
        <w:rPr>
          <w:bCs/>
          <w:sz w:val="24"/>
          <w:szCs w:val="24"/>
        </w:rPr>
        <w:t>V</w:t>
      </w:r>
      <w:r w:rsidR="0077076D">
        <w:rPr>
          <w:bCs/>
          <w:sz w:val="24"/>
          <w:szCs w:val="24"/>
        </w:rPr>
        <w:t>I</w:t>
      </w:r>
      <w:r w:rsidRPr="001C6CDA">
        <w:rPr>
          <w:bCs/>
          <w:sz w:val="24"/>
          <w:szCs w:val="24"/>
        </w:rPr>
        <w:t>.</w:t>
      </w:r>
      <w:r w:rsidRPr="00F165B0">
        <w:rPr>
          <w:b/>
          <w:bCs/>
          <w:sz w:val="24"/>
          <w:szCs w:val="24"/>
        </w:rPr>
        <w:tab/>
      </w:r>
      <w:r w:rsidRPr="001C6CDA">
        <w:rPr>
          <w:bCs/>
          <w:sz w:val="24"/>
          <w:szCs w:val="24"/>
          <w:u w:val="single"/>
        </w:rPr>
        <w:t>CONDITIONS OF SETTLEMENT</w:t>
      </w:r>
    </w:p>
    <w:p w:rsidR="00D74DE6" w:rsidRPr="001C6CDA" w:rsidRDefault="00D74DE6" w:rsidP="00162289">
      <w:pPr>
        <w:spacing w:line="360" w:lineRule="auto"/>
        <w:rPr>
          <w:sz w:val="24"/>
          <w:szCs w:val="24"/>
        </w:rPr>
      </w:pPr>
    </w:p>
    <w:p w:rsidR="00D74DE6" w:rsidRDefault="009171D9" w:rsidP="00162289">
      <w:pPr>
        <w:pStyle w:val="ListNumber"/>
        <w:numPr>
          <w:ilvl w:val="0"/>
          <w:numId w:val="0"/>
        </w:numPr>
        <w:spacing w:line="360" w:lineRule="auto"/>
        <w:ind w:firstLine="720"/>
      </w:pPr>
      <w:r>
        <w:tab/>
      </w:r>
      <w:r w:rsidR="00162289">
        <w:t>1.</w:t>
      </w:r>
      <w:r w:rsidR="00162289">
        <w:tab/>
      </w:r>
      <w:r w:rsidR="00D74DE6" w:rsidRPr="001C6CDA">
        <w:t>The Settling Parties have acknowledged and agreed that</w:t>
      </w:r>
      <w:r w:rsidR="00D74DE6" w:rsidRPr="00F165B0">
        <w:rPr>
          <w:b/>
        </w:rPr>
        <w:t xml:space="preserve"> </w:t>
      </w:r>
      <w:r w:rsidR="00D74DE6" w:rsidRPr="001C6CDA">
        <w:t>the</w:t>
      </w:r>
      <w:r w:rsidR="00D74DE6">
        <w:t xml:space="preserve"> Settlement is conditioned upon the Commission’s approval of the terms and conditions contained in th</w:t>
      </w:r>
      <w:r w:rsidR="00D65506">
        <w:t>e</w:t>
      </w:r>
      <w:r w:rsidR="00D74DE6">
        <w:t xml:space="preserve"> Settlement without modification.  The Settlement shall become effective on the date on which the Commission enters a final order that adopts the terms and conditions of th</w:t>
      </w:r>
      <w:r w:rsidR="00D65506">
        <w:t>e</w:t>
      </w:r>
      <w:r w:rsidR="00D74DE6">
        <w:t xml:space="preserve"> Settlement.  If the Commission enters a final order that approves th</w:t>
      </w:r>
      <w:r w:rsidR="00D65506">
        <w:t>e</w:t>
      </w:r>
      <w:r w:rsidR="00D74DE6">
        <w:t xml:space="preserve"> Settlement, but with one or more modifications, the Settlement shall nonetheless become effective unless one or more of the Joint Petitioners elects to withdraw from the Settlement.  Such election to withdraw must be made in writing, filed with the Secretary of the Commission, and served upon all parties within five (5) business days after the entry of an Order modifying the Settlement.  In such event, the Settlement shall be void and of no effect.  (Joint Petition, p. 25.)</w:t>
      </w:r>
    </w:p>
    <w:p w:rsidR="00B45CD8" w:rsidRDefault="00B45CD8" w:rsidP="00162289">
      <w:pPr>
        <w:pStyle w:val="ListNumber"/>
        <w:numPr>
          <w:ilvl w:val="0"/>
          <w:numId w:val="0"/>
        </w:numPr>
        <w:spacing w:line="360" w:lineRule="auto"/>
        <w:ind w:firstLine="720"/>
      </w:pPr>
    </w:p>
    <w:p w:rsidR="00D74DE6" w:rsidRDefault="00651CCC" w:rsidP="00651CCC">
      <w:pPr>
        <w:pStyle w:val="ListNumber"/>
        <w:numPr>
          <w:ilvl w:val="0"/>
          <w:numId w:val="0"/>
        </w:numPr>
        <w:spacing w:line="360" w:lineRule="auto"/>
      </w:pPr>
      <w:r>
        <w:lastRenderedPageBreak/>
        <w:tab/>
      </w:r>
      <w:r>
        <w:tab/>
        <w:t>2.</w:t>
      </w:r>
      <w:r>
        <w:tab/>
      </w:r>
      <w:r w:rsidR="00D74DE6">
        <w:t xml:space="preserve">The Joint Petitioners acknowledge and agree that the Settlement, if approved, shall have the same force and effect as if the Joint Petitioners had fully litigated this proceeding resulting in the establishment of rates that are just and reasonable. </w:t>
      </w:r>
      <w:r w:rsidR="00441101">
        <w:t xml:space="preserve"> </w:t>
      </w:r>
      <w:r w:rsidR="00D74DE6">
        <w:t>(Joint Petition, p.</w:t>
      </w:r>
      <w:r w:rsidR="009171D9">
        <w:t> </w:t>
      </w:r>
      <w:r w:rsidR="00D74DE6">
        <w:t>26.)</w:t>
      </w:r>
    </w:p>
    <w:p w:rsidR="00B45CD8" w:rsidRDefault="00B45CD8" w:rsidP="00B45CD8">
      <w:pPr>
        <w:pStyle w:val="ListNumber"/>
        <w:numPr>
          <w:ilvl w:val="0"/>
          <w:numId w:val="0"/>
        </w:numPr>
        <w:spacing w:line="360" w:lineRule="auto"/>
        <w:ind w:left="720"/>
      </w:pPr>
    </w:p>
    <w:p w:rsidR="00D74DE6" w:rsidRDefault="00651CCC" w:rsidP="00651CCC">
      <w:pPr>
        <w:pStyle w:val="ListNumber"/>
        <w:numPr>
          <w:ilvl w:val="0"/>
          <w:numId w:val="0"/>
        </w:numPr>
        <w:spacing w:line="360" w:lineRule="auto"/>
      </w:pPr>
      <w:r>
        <w:tab/>
      </w:r>
      <w:r>
        <w:tab/>
        <w:t>3.</w:t>
      </w:r>
      <w:r>
        <w:tab/>
      </w:r>
      <w:r w:rsidR="00D74DE6">
        <w:t>The Settlement is proposed by the Joint Petitioners to settle all of their issues in the instant proceeding.  If the Commission does not approve the Settlement and the proceedings continue, the Joint Petitioners reserve their respective rights to present additional testimony and to conduct full cross-examination, briefing, and argument.  The Settlement is made without any admission against, or prejudice to, any position that any party may adopt in the event of any subsequent litigation of these proceedings, or in any other proceeding.</w:t>
      </w:r>
      <w:r w:rsidR="00D74DE6" w:rsidRPr="004A58B9">
        <w:t xml:space="preserve"> </w:t>
      </w:r>
      <w:r w:rsidR="00D74DE6">
        <w:t xml:space="preserve"> (Joint Petition, p. 26.)</w:t>
      </w:r>
    </w:p>
    <w:p w:rsidR="00B45CD8" w:rsidRDefault="00B45CD8" w:rsidP="00B45CD8">
      <w:pPr>
        <w:pStyle w:val="ListNumber"/>
        <w:numPr>
          <w:ilvl w:val="0"/>
          <w:numId w:val="0"/>
        </w:numPr>
        <w:spacing w:line="360" w:lineRule="auto"/>
        <w:ind w:left="720"/>
      </w:pPr>
    </w:p>
    <w:p w:rsidR="00D74DE6" w:rsidRDefault="00493001" w:rsidP="00493001">
      <w:pPr>
        <w:pStyle w:val="ListNumber"/>
        <w:numPr>
          <w:ilvl w:val="0"/>
          <w:numId w:val="0"/>
        </w:numPr>
        <w:spacing w:line="360" w:lineRule="auto"/>
        <w:ind w:firstLine="1440"/>
      </w:pPr>
      <w:r>
        <w:t>4.</w:t>
      </w:r>
      <w:r>
        <w:tab/>
      </w:r>
      <w:r w:rsidR="00D74DE6">
        <w:t>The Joint Petitioners acknowledge that the Settlement reflects a compromise of competing positions and does not necessarily reflect any party’s position with respect to any issues raised in this proceeding.  The Settlement may not be cited as precedent in any future proceeding, except to the extent required to implement the Settlement.</w:t>
      </w:r>
      <w:r w:rsidR="00D74DE6" w:rsidRPr="004A58B9">
        <w:t xml:space="preserve"> </w:t>
      </w:r>
      <w:r w:rsidR="00D74DE6">
        <w:t xml:space="preserve"> (Joint Petition, p. 26.)</w:t>
      </w:r>
    </w:p>
    <w:p w:rsidR="00B45CD8" w:rsidRDefault="00B45CD8" w:rsidP="00B45CD8">
      <w:pPr>
        <w:pStyle w:val="ListNumber"/>
        <w:numPr>
          <w:ilvl w:val="0"/>
          <w:numId w:val="0"/>
        </w:numPr>
        <w:spacing w:line="360" w:lineRule="auto"/>
        <w:ind w:left="720"/>
      </w:pPr>
    </w:p>
    <w:p w:rsidR="00D74DE6" w:rsidRDefault="00493001" w:rsidP="00493001">
      <w:pPr>
        <w:pStyle w:val="ListNumber"/>
        <w:numPr>
          <w:ilvl w:val="0"/>
          <w:numId w:val="0"/>
        </w:numPr>
        <w:spacing w:line="360" w:lineRule="auto"/>
        <w:ind w:firstLine="1440"/>
      </w:pPr>
      <w:r>
        <w:t>5.</w:t>
      </w:r>
      <w:r>
        <w:tab/>
      </w:r>
      <w:r w:rsidR="00D74DE6">
        <w:t xml:space="preserve">The Settlement is being presented only in the context of this proceeding in an effort to resolve the proceeding in a manner which is fair and reasonable.  The Settlement is presented without prejudice to any position which any of the Joint Petitioners may have advanced and without prejudice to the position any of the Joint Petitioners may advance in the future on the merits of the issues in future proceedings except to the extent necessary to effectuate the terms and conditions of the Settlement.  The Settlement does not preclude the Joint Petitioners from taking other positions in proceedings of other public utilities under Section 1307(f) of the Public Utility Code, 66 </w:t>
      </w:r>
      <w:proofErr w:type="spellStart"/>
      <w:r w:rsidR="00D74DE6">
        <w:t>Pa.C.S</w:t>
      </w:r>
      <w:proofErr w:type="spellEnd"/>
      <w:r w:rsidR="00D74DE6">
        <w:t xml:space="preserve">. </w:t>
      </w:r>
      <w:r w:rsidR="00D74DE6" w:rsidRPr="004A58B9">
        <w:t>§ 1307(f), or any other proceeding.</w:t>
      </w:r>
      <w:r w:rsidR="00D46DCC">
        <w:t xml:space="preserve"> </w:t>
      </w:r>
      <w:r w:rsidR="00D74DE6" w:rsidRPr="004A58B9">
        <w:t xml:space="preserve"> </w:t>
      </w:r>
      <w:r w:rsidR="00D74DE6">
        <w:t>(Joint Petition, pp. 26-27.)</w:t>
      </w:r>
    </w:p>
    <w:p w:rsidR="00B45CD8" w:rsidRDefault="00B45CD8" w:rsidP="00B45CD8">
      <w:pPr>
        <w:pStyle w:val="ListNumber"/>
        <w:numPr>
          <w:ilvl w:val="0"/>
          <w:numId w:val="0"/>
        </w:numPr>
        <w:spacing w:line="360" w:lineRule="auto"/>
        <w:ind w:left="720"/>
      </w:pPr>
    </w:p>
    <w:p w:rsidR="00D74DE6" w:rsidRDefault="00493001" w:rsidP="00493001">
      <w:pPr>
        <w:pStyle w:val="ListNumber"/>
        <w:numPr>
          <w:ilvl w:val="0"/>
          <w:numId w:val="0"/>
        </w:numPr>
        <w:spacing w:line="360" w:lineRule="auto"/>
      </w:pPr>
      <w:r>
        <w:tab/>
      </w:r>
      <w:r>
        <w:tab/>
        <w:t>6.</w:t>
      </w:r>
      <w:r>
        <w:tab/>
      </w:r>
      <w:r w:rsidR="00D74DE6">
        <w:t xml:space="preserve">The </w:t>
      </w:r>
      <w:r w:rsidR="00A74F7D">
        <w:t xml:space="preserve">Settling </w:t>
      </w:r>
      <w:r w:rsidR="00D74DE6">
        <w:t xml:space="preserve">Parties have agreed that if </w:t>
      </w:r>
      <w:r w:rsidR="00D74DE6" w:rsidRPr="004A58B9">
        <w:t>the</w:t>
      </w:r>
      <w:r w:rsidR="00D74DE6">
        <w:t xml:space="preserve"> undersigned</w:t>
      </w:r>
      <w:r w:rsidR="00D74DE6" w:rsidRPr="004A58B9">
        <w:t xml:space="preserve"> ALJ recommends that the Commission adopt the Settlement without modification, the Joint Petitioners waive their </w:t>
      </w:r>
      <w:r w:rsidR="00D74DE6" w:rsidRPr="004A58B9">
        <w:lastRenderedPageBreak/>
        <w:t xml:space="preserve">right to file Exceptions.  Exceptions and replies thereto may be filed if the ALJ recommends approval of this Settlement with reservations or modifications. </w:t>
      </w:r>
      <w:r w:rsidR="004D0063">
        <w:t xml:space="preserve"> </w:t>
      </w:r>
      <w:r w:rsidR="00D74DE6">
        <w:t>(Joint Petition, p. 27.)</w:t>
      </w:r>
    </w:p>
    <w:p w:rsidR="00D74DE6" w:rsidRDefault="00D74DE6" w:rsidP="00162289">
      <w:pPr>
        <w:tabs>
          <w:tab w:val="left" w:pos="1440"/>
        </w:tabs>
        <w:spacing w:line="360" w:lineRule="auto"/>
        <w:ind w:left="1440"/>
        <w:rPr>
          <w:b/>
          <w:sz w:val="24"/>
          <w:szCs w:val="24"/>
        </w:rPr>
      </w:pPr>
    </w:p>
    <w:p w:rsidR="00D74DE6" w:rsidRPr="002A7F81" w:rsidRDefault="00B45CD8" w:rsidP="00162289">
      <w:pPr>
        <w:tabs>
          <w:tab w:val="left" w:pos="0"/>
        </w:tabs>
        <w:spacing w:line="360" w:lineRule="auto"/>
        <w:jc w:val="center"/>
        <w:rPr>
          <w:sz w:val="24"/>
          <w:szCs w:val="24"/>
        </w:rPr>
      </w:pPr>
      <w:r>
        <w:rPr>
          <w:sz w:val="24"/>
          <w:szCs w:val="24"/>
        </w:rPr>
        <w:t>VI</w:t>
      </w:r>
      <w:r w:rsidR="00C718C2">
        <w:rPr>
          <w:sz w:val="24"/>
          <w:szCs w:val="24"/>
        </w:rPr>
        <w:t>I</w:t>
      </w:r>
      <w:r>
        <w:rPr>
          <w:sz w:val="24"/>
          <w:szCs w:val="24"/>
        </w:rPr>
        <w:t>.</w:t>
      </w:r>
      <w:r>
        <w:rPr>
          <w:sz w:val="24"/>
          <w:szCs w:val="24"/>
        </w:rPr>
        <w:tab/>
      </w:r>
      <w:r w:rsidRPr="00B45CD8">
        <w:rPr>
          <w:sz w:val="24"/>
          <w:szCs w:val="24"/>
          <w:u w:val="single"/>
        </w:rPr>
        <w:t>SUMMARY AND RECOMMENDATION</w:t>
      </w:r>
    </w:p>
    <w:p w:rsidR="0098610E" w:rsidRDefault="0098610E" w:rsidP="00162289">
      <w:pPr>
        <w:spacing w:line="360" w:lineRule="auto"/>
      </w:pPr>
    </w:p>
    <w:p w:rsidR="00564911" w:rsidRPr="00AE79D9" w:rsidRDefault="00564911" w:rsidP="00564911">
      <w:pPr>
        <w:spacing w:line="360" w:lineRule="auto"/>
        <w:ind w:left="720" w:hanging="720"/>
        <w:contextualSpacing/>
        <w:rPr>
          <w:sz w:val="24"/>
          <w:szCs w:val="24"/>
        </w:rPr>
      </w:pPr>
      <w:r w:rsidRPr="00AE79D9">
        <w:rPr>
          <w:sz w:val="24"/>
          <w:szCs w:val="24"/>
        </w:rPr>
        <w:t>A.</w:t>
      </w:r>
      <w:r w:rsidRPr="00AE79D9">
        <w:rPr>
          <w:sz w:val="24"/>
          <w:szCs w:val="24"/>
        </w:rPr>
        <w:tab/>
      </w:r>
      <w:r w:rsidRPr="00AE79D9">
        <w:rPr>
          <w:sz w:val="24"/>
          <w:szCs w:val="24"/>
          <w:u w:val="single"/>
        </w:rPr>
        <w:t>Summary</w:t>
      </w:r>
      <w:r>
        <w:rPr>
          <w:sz w:val="24"/>
          <w:szCs w:val="24"/>
          <w:u w:val="single"/>
        </w:rPr>
        <w:t xml:space="preserve"> of Statutory Requirements</w:t>
      </w:r>
    </w:p>
    <w:p w:rsidR="00564911" w:rsidRPr="005E3139" w:rsidRDefault="00564911" w:rsidP="00564911">
      <w:pPr>
        <w:spacing w:line="360" w:lineRule="auto"/>
        <w:rPr>
          <w:b/>
          <w:sz w:val="24"/>
          <w:szCs w:val="24"/>
        </w:rPr>
      </w:pPr>
    </w:p>
    <w:p w:rsidR="00564911" w:rsidRPr="00AE79D9" w:rsidRDefault="00564911" w:rsidP="00564911">
      <w:pPr>
        <w:spacing w:line="360" w:lineRule="auto"/>
        <w:ind w:firstLine="1440"/>
        <w:rPr>
          <w:sz w:val="24"/>
          <w:szCs w:val="24"/>
        </w:rPr>
      </w:pPr>
      <w:r w:rsidRPr="00AE79D9">
        <w:rPr>
          <w:sz w:val="24"/>
          <w:szCs w:val="24"/>
        </w:rPr>
        <w:t xml:space="preserve">In approving a proceeding pursuant to 66 </w:t>
      </w:r>
      <w:proofErr w:type="spellStart"/>
      <w:r w:rsidRPr="00AE79D9">
        <w:rPr>
          <w:sz w:val="24"/>
          <w:szCs w:val="24"/>
        </w:rPr>
        <w:t>Pa.C.S</w:t>
      </w:r>
      <w:proofErr w:type="spellEnd"/>
      <w:r w:rsidRPr="00AE79D9">
        <w:rPr>
          <w:sz w:val="24"/>
          <w:szCs w:val="24"/>
        </w:rPr>
        <w:t xml:space="preserve"> § 1307(f), the Company must establish the following requirements:</w:t>
      </w:r>
    </w:p>
    <w:p w:rsidR="00564911" w:rsidRPr="00AE79D9" w:rsidRDefault="00564911" w:rsidP="00564911">
      <w:pPr>
        <w:spacing w:line="360" w:lineRule="auto"/>
        <w:ind w:firstLine="1440"/>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 is pursuing a least cost fuel procurement policy during the relevant time period consistent with its obligation to provide safe, adequate and reliable service to its customers in compliance with Section 1318 of the Public Utility Code, 66 </w:t>
      </w:r>
      <w:proofErr w:type="spellStart"/>
      <w:r w:rsidRPr="00AE79D9">
        <w:rPr>
          <w:sz w:val="24"/>
          <w:szCs w:val="24"/>
        </w:rPr>
        <w:t>Pa.C.S</w:t>
      </w:r>
      <w:proofErr w:type="spellEnd"/>
      <w:r w:rsidRPr="00AE79D9">
        <w:rPr>
          <w:sz w:val="24"/>
          <w:szCs w:val="24"/>
        </w:rPr>
        <w:t>. § 1318.</w:t>
      </w:r>
    </w:p>
    <w:p w:rsidR="00564911" w:rsidRPr="00AE79D9" w:rsidRDefault="00564911" w:rsidP="00564911">
      <w:pPr>
        <w:spacing w:line="360" w:lineRule="auto"/>
        <w:ind w:firstLine="1440"/>
        <w:contextualSpacing/>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its rates for purchased gas costs, as the Parties have agreed upon in this proceeding, during the relevant time period, are just and reasonable and in compliance with Section 1318 of the Public Utility Code, 66 </w:t>
      </w:r>
      <w:proofErr w:type="spellStart"/>
      <w:r w:rsidRPr="00AE79D9">
        <w:rPr>
          <w:sz w:val="24"/>
          <w:szCs w:val="24"/>
        </w:rPr>
        <w:t>Pa.C.S</w:t>
      </w:r>
      <w:proofErr w:type="spellEnd"/>
      <w:r w:rsidRPr="00AE79D9">
        <w:rPr>
          <w:sz w:val="24"/>
          <w:szCs w:val="24"/>
        </w:rPr>
        <w:t>. § 1318.</w:t>
      </w:r>
    </w:p>
    <w:p w:rsidR="00564911" w:rsidRPr="00AE79D9" w:rsidRDefault="00564911" w:rsidP="00564911">
      <w:pPr>
        <w:spacing w:line="360" w:lineRule="auto"/>
        <w:ind w:firstLine="1440"/>
        <w:contextualSpacing/>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 has fully and vigorously represented the interests of its ratepayers in proceedings before the FERC and other relevant non-PUC proceedings during the relevant time period in compliance with Section 1318(a)(1) of the Public Utility Code, 66 </w:t>
      </w:r>
      <w:proofErr w:type="spellStart"/>
      <w:r w:rsidRPr="00AE79D9">
        <w:rPr>
          <w:sz w:val="24"/>
          <w:szCs w:val="24"/>
        </w:rPr>
        <w:t>Pa.C.S</w:t>
      </w:r>
      <w:proofErr w:type="spellEnd"/>
      <w:r w:rsidRPr="00AE79D9">
        <w:rPr>
          <w:sz w:val="24"/>
          <w:szCs w:val="24"/>
        </w:rPr>
        <w:t>. § 1318(a)(1).</w:t>
      </w:r>
    </w:p>
    <w:p w:rsidR="00564911" w:rsidRPr="00AE79D9" w:rsidRDefault="00564911" w:rsidP="00564911">
      <w:pPr>
        <w:spacing w:line="360" w:lineRule="auto"/>
        <w:ind w:firstLine="1440"/>
        <w:contextualSpacing/>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 has taken all prudent steps necessary to negotiate favorable gas supply contracts and to relieve itself from terms in existing contracts with its gas suppliers, which are or may be adverse to the interests of its ratepayers, during the relevant time period in compliance with Section 1318(a)(2) of the Public Utility Code, 66 </w:t>
      </w:r>
      <w:proofErr w:type="spellStart"/>
      <w:r w:rsidRPr="00AE79D9">
        <w:rPr>
          <w:sz w:val="24"/>
          <w:szCs w:val="24"/>
        </w:rPr>
        <w:t>Pa.C.S</w:t>
      </w:r>
      <w:proofErr w:type="spellEnd"/>
      <w:r w:rsidRPr="00AE79D9">
        <w:rPr>
          <w:sz w:val="24"/>
          <w:szCs w:val="24"/>
        </w:rPr>
        <w:t>. § 1318(a)(2).</w:t>
      </w:r>
    </w:p>
    <w:p w:rsidR="00564911" w:rsidRPr="00AE79D9" w:rsidRDefault="00564911" w:rsidP="00564911">
      <w:pPr>
        <w:spacing w:line="360" w:lineRule="auto"/>
        <w:ind w:firstLine="1440"/>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the Company has taken all prudent steps necessary during the relevant time period to obtain lower cost gas supplies on both short-term and long-term bases both within and outside the Commonwealth, including the use of gas transportation arrangements </w:t>
      </w:r>
      <w:r w:rsidRPr="00AE79D9">
        <w:rPr>
          <w:sz w:val="24"/>
          <w:szCs w:val="24"/>
        </w:rPr>
        <w:lastRenderedPageBreak/>
        <w:t xml:space="preserve">with pipelines and other distribution companies in compliance with Section 1318(a)(3) of the Public Utility Code, 66 </w:t>
      </w:r>
      <w:proofErr w:type="spellStart"/>
      <w:r w:rsidRPr="00AE79D9">
        <w:rPr>
          <w:sz w:val="24"/>
          <w:szCs w:val="24"/>
        </w:rPr>
        <w:t>Pa.C.S</w:t>
      </w:r>
      <w:proofErr w:type="spellEnd"/>
      <w:r w:rsidRPr="00AE79D9">
        <w:rPr>
          <w:sz w:val="24"/>
          <w:szCs w:val="24"/>
        </w:rPr>
        <w:t>. § 1318(a)(3).</w:t>
      </w:r>
    </w:p>
    <w:p w:rsidR="00564911" w:rsidRPr="00AE79D9" w:rsidRDefault="00564911" w:rsidP="00564911">
      <w:pPr>
        <w:spacing w:line="360" w:lineRule="auto"/>
        <w:ind w:firstLine="1440"/>
        <w:contextualSpacing/>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 has not withheld from the market or caused to be withheld from the market during the relevant time period any gas supplies, which should have been used as part of a least cost fuel procurement policy in compliance with Section 1318(a)(4) of the Public Utility Code, 66 </w:t>
      </w:r>
      <w:proofErr w:type="spellStart"/>
      <w:r w:rsidRPr="00AE79D9">
        <w:rPr>
          <w:sz w:val="24"/>
          <w:szCs w:val="24"/>
        </w:rPr>
        <w:t>Pa.C.S</w:t>
      </w:r>
      <w:proofErr w:type="spellEnd"/>
      <w:r w:rsidRPr="00AE79D9">
        <w:rPr>
          <w:sz w:val="24"/>
          <w:szCs w:val="24"/>
        </w:rPr>
        <w:t>. § 1318(a)(4).</w:t>
      </w:r>
    </w:p>
    <w:p w:rsidR="00564911" w:rsidRPr="00AE79D9" w:rsidRDefault="00564911" w:rsidP="00564911">
      <w:pPr>
        <w:spacing w:line="360" w:lineRule="auto"/>
        <w:ind w:firstLine="1440"/>
        <w:contextualSpacing/>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 has fully and vigorously attempted to obtain less costly gas supplies on both short-term and long-term bases from nonaffiliated interests during the relevant time period in compliance with Section 1318(b)(1) of the Public Utility Code, 66 </w:t>
      </w:r>
      <w:proofErr w:type="spellStart"/>
      <w:r w:rsidRPr="00AE79D9">
        <w:rPr>
          <w:sz w:val="24"/>
          <w:szCs w:val="24"/>
        </w:rPr>
        <w:t>Pa.C.S</w:t>
      </w:r>
      <w:proofErr w:type="spellEnd"/>
      <w:r w:rsidRPr="00AE79D9">
        <w:rPr>
          <w:sz w:val="24"/>
          <w:szCs w:val="24"/>
        </w:rPr>
        <w:t>. § 1318(b)(1).</w:t>
      </w:r>
    </w:p>
    <w:p w:rsidR="00564911" w:rsidRPr="00AE79D9" w:rsidRDefault="00564911" w:rsidP="00564911">
      <w:pPr>
        <w:spacing w:line="360" w:lineRule="auto"/>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its contracts, if any, for the purchase of gas from any affiliated interest during the relevant time period are consistent with a least cost fuel procurement policy in compliance with Section1318(b)(b) of the Public Utility Code, 66 </w:t>
      </w:r>
      <w:proofErr w:type="spellStart"/>
      <w:r w:rsidRPr="00AE79D9">
        <w:rPr>
          <w:sz w:val="24"/>
          <w:szCs w:val="24"/>
        </w:rPr>
        <w:t>Pa.C.S</w:t>
      </w:r>
      <w:proofErr w:type="spellEnd"/>
      <w:r w:rsidRPr="00AE79D9">
        <w:rPr>
          <w:sz w:val="24"/>
          <w:szCs w:val="24"/>
        </w:rPr>
        <w:t>. § 1318(b)(2).</w:t>
      </w:r>
    </w:p>
    <w:p w:rsidR="00564911" w:rsidRPr="00AE79D9" w:rsidRDefault="00564911" w:rsidP="00564911">
      <w:pPr>
        <w:spacing w:line="360" w:lineRule="auto"/>
        <w:ind w:left="720"/>
        <w:contextualSpacing/>
        <w:rPr>
          <w:sz w:val="24"/>
          <w:szCs w:val="24"/>
        </w:rPr>
      </w:pPr>
    </w:p>
    <w:p w:rsidR="00564911" w:rsidRPr="00AE79D9" w:rsidRDefault="00564911" w:rsidP="00564911">
      <w:pPr>
        <w:numPr>
          <w:ilvl w:val="0"/>
          <w:numId w:val="10"/>
        </w:numPr>
        <w:spacing w:line="360" w:lineRule="auto"/>
        <w:ind w:left="0" w:firstLine="1440"/>
        <w:contextualSpacing/>
        <w:rPr>
          <w:sz w:val="24"/>
          <w:szCs w:val="24"/>
        </w:rPr>
      </w:pPr>
      <w:r w:rsidRPr="00AE79D9">
        <w:rPr>
          <w:sz w:val="24"/>
          <w:szCs w:val="24"/>
        </w:rPr>
        <w:t xml:space="preserve">That neither the Company nor any affiliated interest during the relevant time period has withheld from the market any gas supplies, which should have been used as part of a least cost fuel procurement policy in compliance with Section 1318(b)(3) of the Public Utility Code, 66 </w:t>
      </w:r>
      <w:proofErr w:type="spellStart"/>
      <w:r w:rsidRPr="00AE79D9">
        <w:rPr>
          <w:sz w:val="24"/>
          <w:szCs w:val="24"/>
        </w:rPr>
        <w:t>Pa.C.S</w:t>
      </w:r>
      <w:proofErr w:type="spellEnd"/>
      <w:r w:rsidRPr="00AE79D9">
        <w:rPr>
          <w:sz w:val="24"/>
          <w:szCs w:val="24"/>
        </w:rPr>
        <w:t>. § 1318(b)(3).</w:t>
      </w:r>
    </w:p>
    <w:p w:rsidR="00564911" w:rsidRPr="00AE79D9" w:rsidRDefault="00564911" w:rsidP="00564911">
      <w:pPr>
        <w:spacing w:line="360" w:lineRule="auto"/>
        <w:ind w:left="720"/>
        <w:contextualSpacing/>
        <w:rPr>
          <w:sz w:val="24"/>
          <w:szCs w:val="24"/>
        </w:rPr>
      </w:pPr>
    </w:p>
    <w:p w:rsidR="00564911" w:rsidRPr="00EC456A" w:rsidRDefault="00EC456A" w:rsidP="000E5708">
      <w:pPr>
        <w:pStyle w:val="Heading2"/>
        <w:numPr>
          <w:ilvl w:val="1"/>
          <w:numId w:val="11"/>
        </w:numPr>
        <w:tabs>
          <w:tab w:val="clear" w:pos="1440"/>
          <w:tab w:val="num" w:pos="720"/>
        </w:tabs>
        <w:spacing w:after="0" w:line="360" w:lineRule="auto"/>
        <w:ind w:left="720"/>
        <w:rPr>
          <w:b w:val="0"/>
          <w:u w:val="single"/>
        </w:rPr>
      </w:pPr>
      <w:r w:rsidRPr="00EC456A">
        <w:rPr>
          <w:b w:val="0"/>
          <w:caps w:val="0"/>
          <w:u w:val="single"/>
        </w:rPr>
        <w:t>Public Interest</w:t>
      </w:r>
      <w:r w:rsidR="00564911" w:rsidRPr="00EC456A">
        <w:rPr>
          <w:b w:val="0"/>
          <w:u w:val="single"/>
        </w:rPr>
        <w:fldChar w:fldCharType="begin"/>
      </w:r>
      <w:r w:rsidR="00564911" w:rsidRPr="00EC456A">
        <w:rPr>
          <w:b w:val="0"/>
          <w:u w:val="single"/>
        </w:rPr>
        <w:instrText xml:space="preserve"> TC "</w:instrText>
      </w:r>
      <w:bookmarkStart w:id="1" w:name="_Toc392494882"/>
      <w:r w:rsidR="00564911" w:rsidRPr="00EC456A">
        <w:rPr>
          <w:b w:val="0"/>
          <w:u w:val="single"/>
        </w:rPr>
        <w:instrText>3.</w:instrText>
      </w:r>
      <w:r w:rsidR="00564911" w:rsidRPr="00EC456A">
        <w:rPr>
          <w:b w:val="0"/>
          <w:u w:val="single"/>
        </w:rPr>
        <w:tab/>
        <w:instrText>Public Interest</w:instrText>
      </w:r>
      <w:bookmarkEnd w:id="1"/>
      <w:r w:rsidR="00564911" w:rsidRPr="00EC456A">
        <w:rPr>
          <w:b w:val="0"/>
          <w:u w:val="single"/>
        </w:rPr>
        <w:instrText xml:space="preserve">" \f C \l "3" </w:instrText>
      </w:r>
      <w:r w:rsidR="00564911" w:rsidRPr="00EC456A">
        <w:rPr>
          <w:b w:val="0"/>
          <w:u w:val="single"/>
        </w:rPr>
        <w:fldChar w:fldCharType="end"/>
      </w:r>
    </w:p>
    <w:p w:rsidR="00564911" w:rsidRPr="00A125C9" w:rsidRDefault="00564911" w:rsidP="00564911">
      <w:pPr>
        <w:spacing w:line="360" w:lineRule="auto"/>
        <w:ind w:left="1440"/>
      </w:pPr>
    </w:p>
    <w:p w:rsidR="00564911" w:rsidRDefault="00564911" w:rsidP="00564911">
      <w:pPr>
        <w:spacing w:line="360" w:lineRule="auto"/>
        <w:ind w:firstLine="720"/>
        <w:rPr>
          <w:sz w:val="24"/>
          <w:szCs w:val="24"/>
        </w:rPr>
      </w:pPr>
      <w:r>
        <w:rPr>
          <w:sz w:val="24"/>
          <w:szCs w:val="24"/>
        </w:rPr>
        <w:t xml:space="preserve">            </w:t>
      </w:r>
      <w:r w:rsidRPr="00666D77">
        <w:rPr>
          <w:sz w:val="24"/>
          <w:szCs w:val="24"/>
        </w:rPr>
        <w:t xml:space="preserve">Commission policy promotes settlements.  52 </w:t>
      </w:r>
      <w:proofErr w:type="spellStart"/>
      <w:r w:rsidRPr="00666D77">
        <w:rPr>
          <w:sz w:val="24"/>
          <w:szCs w:val="24"/>
        </w:rPr>
        <w:t>Pa.Code</w:t>
      </w:r>
      <w:proofErr w:type="spellEnd"/>
      <w:r w:rsidRPr="00666D77">
        <w:rPr>
          <w:sz w:val="24"/>
          <w:szCs w:val="24"/>
        </w:rPr>
        <w:t xml:space="preserve"> § 5.231.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52 </w:t>
      </w:r>
      <w:proofErr w:type="spellStart"/>
      <w:r w:rsidRPr="00666D77">
        <w:rPr>
          <w:sz w:val="24"/>
          <w:szCs w:val="24"/>
        </w:rPr>
        <w:t>Pa.Code</w:t>
      </w:r>
      <w:proofErr w:type="spellEnd"/>
      <w:r w:rsidRPr="00666D77">
        <w:rPr>
          <w:sz w:val="24"/>
          <w:szCs w:val="24"/>
        </w:rPr>
        <w:t xml:space="preserve"> § 69.401.  The focus of inquiry for determining whether a proposed settlement should be recommended for approval is not a “burden of proof” standard, as is utilized for contested matters.  </w:t>
      </w:r>
      <w:r w:rsidRPr="00666D77">
        <w:rPr>
          <w:sz w:val="24"/>
          <w:szCs w:val="24"/>
          <w:u w:val="single"/>
        </w:rPr>
        <w:t xml:space="preserve">Pa. Pub. Util. </w:t>
      </w:r>
      <w:proofErr w:type="spellStart"/>
      <w:r w:rsidRPr="00666D77">
        <w:rPr>
          <w:sz w:val="24"/>
          <w:szCs w:val="24"/>
          <w:u w:val="single"/>
        </w:rPr>
        <w:t>Comm’n</w:t>
      </w:r>
      <w:proofErr w:type="spellEnd"/>
      <w:r w:rsidRPr="00666D77">
        <w:rPr>
          <w:sz w:val="24"/>
          <w:szCs w:val="24"/>
          <w:u w:val="single"/>
        </w:rPr>
        <w:t xml:space="preserve">, </w:t>
      </w:r>
      <w:r w:rsidRPr="00666D77">
        <w:rPr>
          <w:i/>
          <w:sz w:val="24"/>
          <w:szCs w:val="24"/>
          <w:u w:val="single"/>
        </w:rPr>
        <w:t>et al</w:t>
      </w:r>
      <w:r w:rsidRPr="00666D77">
        <w:rPr>
          <w:sz w:val="24"/>
          <w:szCs w:val="24"/>
          <w:u w:val="single"/>
        </w:rPr>
        <w:t>. v. City of Lancaster – Bureau of Water</w:t>
      </w:r>
      <w:r w:rsidRPr="00666D77">
        <w:rPr>
          <w:sz w:val="24"/>
          <w:szCs w:val="24"/>
        </w:rPr>
        <w:t xml:space="preserve">, Docket Nos. </w:t>
      </w:r>
      <w:proofErr w:type="gramStart"/>
      <w:r w:rsidRPr="00666D77">
        <w:rPr>
          <w:sz w:val="24"/>
          <w:szCs w:val="24"/>
        </w:rPr>
        <w:lastRenderedPageBreak/>
        <w:t>R</w:t>
      </w:r>
      <w:r w:rsidR="00B27C9E">
        <w:rPr>
          <w:sz w:val="24"/>
          <w:szCs w:val="24"/>
        </w:rPr>
        <w:noBreakHyphen/>
      </w:r>
      <w:r w:rsidRPr="00666D77">
        <w:rPr>
          <w:sz w:val="24"/>
          <w:szCs w:val="24"/>
        </w:rPr>
        <w:t xml:space="preserve">2010-2179103, </w:t>
      </w:r>
      <w:r w:rsidRPr="00666D77">
        <w:rPr>
          <w:i/>
          <w:sz w:val="24"/>
          <w:szCs w:val="24"/>
        </w:rPr>
        <w:t>et al</w:t>
      </w:r>
      <w:r w:rsidRPr="00666D77">
        <w:rPr>
          <w:sz w:val="24"/>
          <w:szCs w:val="24"/>
        </w:rPr>
        <w:t>., Opinion and Order (entered July 14, 2011) (</w:t>
      </w:r>
      <w:r w:rsidRPr="00666D77">
        <w:rPr>
          <w:sz w:val="24"/>
          <w:szCs w:val="24"/>
          <w:u w:val="single"/>
        </w:rPr>
        <w:t>Lancaster</w:t>
      </w:r>
      <w:r w:rsidRPr="00666D77">
        <w:rPr>
          <w:sz w:val="24"/>
          <w:szCs w:val="24"/>
        </w:rPr>
        <w:t>).</w:t>
      </w:r>
      <w:proofErr w:type="gramEnd"/>
      <w:r w:rsidRPr="00666D77">
        <w:rPr>
          <w:sz w:val="24"/>
          <w:szCs w:val="24"/>
        </w:rPr>
        <w:t xml:space="preserve">  Instead, the benchmark for determining the acceptability of a settlement or partial settlement is whether the proposed terms and conditions are in the public interest.  </w:t>
      </w:r>
      <w:r w:rsidRPr="00666D77">
        <w:rPr>
          <w:sz w:val="24"/>
          <w:szCs w:val="24"/>
          <w:u w:val="single"/>
        </w:rPr>
        <w:t>Id.</w:t>
      </w:r>
      <w:r w:rsidRPr="00666D77">
        <w:rPr>
          <w:sz w:val="24"/>
          <w:szCs w:val="24"/>
        </w:rPr>
        <w:t xml:space="preserve">; </w:t>
      </w:r>
      <w:r w:rsidRPr="00666D77">
        <w:rPr>
          <w:i/>
          <w:sz w:val="24"/>
          <w:szCs w:val="24"/>
        </w:rPr>
        <w:t>citing</w:t>
      </w:r>
      <w:r w:rsidRPr="00666D77">
        <w:rPr>
          <w:sz w:val="24"/>
          <w:szCs w:val="24"/>
        </w:rPr>
        <w:t xml:space="preserve">, </w:t>
      </w:r>
      <w:r w:rsidRPr="00666D77">
        <w:rPr>
          <w:sz w:val="24"/>
          <w:szCs w:val="24"/>
          <w:u w:val="single"/>
        </w:rPr>
        <w:t>Warner v. GTE North, Inc.</w:t>
      </w:r>
      <w:r w:rsidRPr="00666D77">
        <w:rPr>
          <w:sz w:val="24"/>
          <w:szCs w:val="24"/>
        </w:rPr>
        <w:t>, Docket No. C-00902815, Opinion and Order (entered April 1, 1996) (</w:t>
      </w:r>
      <w:r w:rsidRPr="00666D77">
        <w:rPr>
          <w:sz w:val="24"/>
          <w:szCs w:val="24"/>
          <w:u w:val="single"/>
        </w:rPr>
        <w:t>Warner</w:t>
      </w:r>
      <w:r w:rsidRPr="00666D77">
        <w:rPr>
          <w:sz w:val="24"/>
          <w:szCs w:val="24"/>
        </w:rPr>
        <w:t xml:space="preserve">); </w:t>
      </w:r>
      <w:r w:rsidRPr="00666D77">
        <w:rPr>
          <w:sz w:val="24"/>
          <w:szCs w:val="24"/>
          <w:u w:val="single"/>
        </w:rPr>
        <w:t xml:space="preserve">Pa. Pub. Util. </w:t>
      </w:r>
      <w:proofErr w:type="spellStart"/>
      <w:r w:rsidRPr="00666D77">
        <w:rPr>
          <w:sz w:val="24"/>
          <w:szCs w:val="24"/>
          <w:u w:val="single"/>
        </w:rPr>
        <w:t>Comm’n</w:t>
      </w:r>
      <w:proofErr w:type="spellEnd"/>
      <w:r w:rsidRPr="00666D77">
        <w:rPr>
          <w:sz w:val="24"/>
          <w:szCs w:val="24"/>
          <w:u w:val="single"/>
        </w:rPr>
        <w:t xml:space="preserve"> v. CS Water and Sewer Associates</w:t>
      </w:r>
      <w:r w:rsidRPr="00666D77">
        <w:rPr>
          <w:sz w:val="24"/>
          <w:szCs w:val="24"/>
        </w:rPr>
        <w:t>, 74 Pa. PUC 767 (1991).</w:t>
      </w:r>
    </w:p>
    <w:p w:rsidR="00564911" w:rsidRPr="00666D77" w:rsidRDefault="00564911" w:rsidP="00564911">
      <w:pPr>
        <w:spacing w:line="360" w:lineRule="auto"/>
        <w:ind w:firstLine="720"/>
        <w:rPr>
          <w:sz w:val="24"/>
          <w:szCs w:val="24"/>
        </w:rPr>
      </w:pPr>
    </w:p>
    <w:p w:rsidR="00564911" w:rsidRDefault="00564911" w:rsidP="00564911">
      <w:pPr>
        <w:spacing w:line="360" w:lineRule="auto"/>
        <w:ind w:firstLine="1440"/>
        <w:rPr>
          <w:sz w:val="24"/>
          <w:szCs w:val="24"/>
        </w:rPr>
      </w:pPr>
      <w:r w:rsidRPr="00666D77">
        <w:rPr>
          <w:sz w:val="24"/>
          <w:szCs w:val="24"/>
        </w:rPr>
        <w:t xml:space="preserve">This Recommended Decision </w:t>
      </w:r>
      <w:r>
        <w:rPr>
          <w:sz w:val="24"/>
          <w:szCs w:val="24"/>
        </w:rPr>
        <w:t xml:space="preserve">has </w:t>
      </w:r>
      <w:r w:rsidRPr="00666D77">
        <w:rPr>
          <w:sz w:val="24"/>
          <w:szCs w:val="24"/>
        </w:rPr>
        <w:t>examine</w:t>
      </w:r>
      <w:r>
        <w:rPr>
          <w:sz w:val="24"/>
          <w:szCs w:val="24"/>
        </w:rPr>
        <w:t>d</w:t>
      </w:r>
      <w:r w:rsidRPr="00666D77">
        <w:rPr>
          <w:sz w:val="24"/>
          <w:szCs w:val="24"/>
        </w:rPr>
        <w:t xml:space="preserve"> whether the settlement is in the public interest, satisfies applicable statutes and regulations for 1307(f) filings and is supported by substantial evidence and therefore should be adopted.    </w:t>
      </w:r>
    </w:p>
    <w:p w:rsidR="00564911" w:rsidRDefault="00564911" w:rsidP="00564911">
      <w:pPr>
        <w:spacing w:line="360" w:lineRule="auto"/>
        <w:ind w:firstLine="1440"/>
        <w:rPr>
          <w:sz w:val="24"/>
          <w:szCs w:val="24"/>
        </w:rPr>
      </w:pPr>
    </w:p>
    <w:p w:rsidR="00564911" w:rsidRDefault="00564911" w:rsidP="00E54157">
      <w:pPr>
        <w:pStyle w:val="ListNumber"/>
        <w:numPr>
          <w:ilvl w:val="0"/>
          <w:numId w:val="0"/>
        </w:numPr>
        <w:spacing w:line="360" w:lineRule="auto"/>
        <w:ind w:firstLine="720"/>
      </w:pPr>
      <w:r>
        <w:t xml:space="preserve">            In the Joint Petition, the </w:t>
      </w:r>
      <w:r w:rsidR="00A74F7D">
        <w:t xml:space="preserve">Settling </w:t>
      </w:r>
      <w:r>
        <w:t xml:space="preserve">Parties agree that the </w:t>
      </w:r>
      <w:r w:rsidR="00A74F7D">
        <w:t>S</w:t>
      </w:r>
      <w:r>
        <w:t>ettlement was achieved by the Joint Petitioners after an extensive investigation of Peoples’ filings, including extensive informal and formal discovery and the service of written direct testimony by Peoples Division and Peoples-Equitable</w:t>
      </w:r>
      <w:r w:rsidRPr="0077003A">
        <w:t xml:space="preserve"> </w:t>
      </w:r>
      <w:r>
        <w:t>Division, OCA, OSBA, and I&amp;E, written rebuttal testimony by Peoples Division and Peoples-Equitable</w:t>
      </w:r>
      <w:r w:rsidRPr="0077003A">
        <w:t xml:space="preserve"> </w:t>
      </w:r>
      <w:r>
        <w:t xml:space="preserve">Division, and written </w:t>
      </w:r>
      <w:proofErr w:type="spellStart"/>
      <w:r>
        <w:t>surrebuttal</w:t>
      </w:r>
      <w:proofErr w:type="spellEnd"/>
      <w:r>
        <w:t xml:space="preserve"> testimony by OCA.</w:t>
      </w:r>
      <w:r w:rsidRPr="004A58B9">
        <w:t xml:space="preserve"> </w:t>
      </w:r>
      <w:r>
        <w:t xml:space="preserve">  (Joint Petition, pp. 24-25.) </w:t>
      </w:r>
    </w:p>
    <w:p w:rsidR="00E54157" w:rsidRDefault="00E54157" w:rsidP="00E54157">
      <w:pPr>
        <w:pStyle w:val="ListNumber"/>
        <w:numPr>
          <w:ilvl w:val="0"/>
          <w:numId w:val="0"/>
        </w:numPr>
        <w:spacing w:line="360" w:lineRule="auto"/>
        <w:ind w:firstLine="720"/>
      </w:pPr>
    </w:p>
    <w:p w:rsidR="00564911" w:rsidRDefault="00564911" w:rsidP="00E54157">
      <w:pPr>
        <w:pStyle w:val="ListNumber"/>
        <w:numPr>
          <w:ilvl w:val="0"/>
          <w:numId w:val="0"/>
        </w:numPr>
        <w:spacing w:line="360" w:lineRule="auto"/>
        <w:ind w:firstLine="720"/>
      </w:pPr>
      <w:r>
        <w:t xml:space="preserve">            The </w:t>
      </w:r>
      <w:r w:rsidR="00A74F7D">
        <w:t xml:space="preserve">Settling </w:t>
      </w:r>
      <w:r>
        <w:t xml:space="preserve">Parties point out that acceptance of the </w:t>
      </w:r>
      <w:r w:rsidR="00A74F7D">
        <w:t>S</w:t>
      </w:r>
      <w:r>
        <w:t>ettlement avoids the necessity and costs of further administrative and potential appellate proceedings.</w:t>
      </w:r>
      <w:r w:rsidRPr="004A58B9">
        <w:t xml:space="preserve"> </w:t>
      </w:r>
      <w:r>
        <w:t>(Joint Petition, p. 25.)</w:t>
      </w:r>
    </w:p>
    <w:p w:rsidR="00E54157" w:rsidRDefault="00E54157" w:rsidP="00E54157">
      <w:pPr>
        <w:pStyle w:val="ListNumber"/>
        <w:numPr>
          <w:ilvl w:val="0"/>
          <w:numId w:val="0"/>
        </w:numPr>
        <w:spacing w:line="360" w:lineRule="auto"/>
        <w:ind w:firstLine="720"/>
      </w:pPr>
    </w:p>
    <w:p w:rsidR="00564911" w:rsidRDefault="00564911" w:rsidP="00E54157">
      <w:pPr>
        <w:pStyle w:val="ListNumber"/>
        <w:numPr>
          <w:ilvl w:val="0"/>
          <w:numId w:val="0"/>
        </w:numPr>
        <w:spacing w:line="360" w:lineRule="auto"/>
        <w:ind w:firstLine="720"/>
      </w:pPr>
      <w:r>
        <w:t xml:space="preserve">            The </w:t>
      </w:r>
      <w:r w:rsidR="00A74F7D">
        <w:t xml:space="preserve">Settling </w:t>
      </w:r>
      <w:r>
        <w:t xml:space="preserve">Parties further explain that the </w:t>
      </w:r>
      <w:r w:rsidR="00A74F7D">
        <w:t>S</w:t>
      </w:r>
      <w:r>
        <w:t>ettlement provides for the recovery of natural gas costs that are just and reasonable given the positions advanced in the testimony and exhibits of the various parties.</w:t>
      </w:r>
      <w:r w:rsidRPr="004A58B9">
        <w:t xml:space="preserve"> </w:t>
      </w:r>
      <w:r>
        <w:t>As explained in various Parties’ Statements in Support, the combination of Peoples Division’s and Peoples-Equitable Division’s PGC rates is in the public interest because it will avoid pipeline interconnection costs, avoid metering costs between the two Divisions, create a more reliable system, create pipeline efficiencies, create gas cost savings, and allow NGSs to offer a consistent gas commodity price to shopping customers.</w:t>
      </w:r>
      <w:r>
        <w:rPr>
          <w:rStyle w:val="FootnoteReference"/>
        </w:rPr>
        <w:footnoteReference w:id="21"/>
      </w:r>
      <w:r w:rsidRPr="004A58B9">
        <w:t xml:space="preserve"> </w:t>
      </w:r>
      <w:r>
        <w:t>(Joint Petition, p. 25.)</w:t>
      </w:r>
    </w:p>
    <w:p w:rsidR="00564911" w:rsidRDefault="00564911" w:rsidP="00E54157">
      <w:pPr>
        <w:pStyle w:val="ListNumber"/>
        <w:numPr>
          <w:ilvl w:val="0"/>
          <w:numId w:val="0"/>
        </w:numPr>
        <w:spacing w:line="360" w:lineRule="auto"/>
        <w:ind w:firstLine="720"/>
      </w:pPr>
      <w:r>
        <w:lastRenderedPageBreak/>
        <w:t xml:space="preserve">            Furthermore, attached to the Joint Petition, as </w:t>
      </w:r>
      <w:r w:rsidRPr="00A66FDD">
        <w:t xml:space="preserve">Appendices </w:t>
      </w:r>
      <w:r>
        <w:t>D</w:t>
      </w:r>
      <w:r w:rsidRPr="00A66FDD">
        <w:t xml:space="preserve"> through </w:t>
      </w:r>
      <w:r>
        <w:t xml:space="preserve">G, are Statements in Support submitted by Peoples on behalf of </w:t>
      </w:r>
      <w:proofErr w:type="gramStart"/>
      <w:r>
        <w:t>both Divisions</w:t>
      </w:r>
      <w:proofErr w:type="gramEnd"/>
      <w:r>
        <w:t>, I&amp;E, OCA, and OSBA setting forth the bas</w:t>
      </w:r>
      <w:r w:rsidR="00A74F7D">
        <w:t>i</w:t>
      </w:r>
      <w:r>
        <w:t>s upon which they believe the Settlement is in the public interest.</w:t>
      </w:r>
      <w:r w:rsidR="000227C7">
        <w:t xml:space="preserve"> </w:t>
      </w:r>
      <w:r w:rsidRPr="004A58B9">
        <w:t xml:space="preserve"> </w:t>
      </w:r>
      <w:r>
        <w:t>(Joint Petition, p. 25.)</w:t>
      </w:r>
    </w:p>
    <w:p w:rsidR="00E54157" w:rsidRDefault="00E54157" w:rsidP="00E54157">
      <w:pPr>
        <w:pStyle w:val="ListNumber"/>
        <w:numPr>
          <w:ilvl w:val="0"/>
          <w:numId w:val="0"/>
        </w:numPr>
        <w:spacing w:line="360" w:lineRule="auto"/>
        <w:ind w:firstLine="720"/>
      </w:pPr>
    </w:p>
    <w:p w:rsidR="00564911" w:rsidRPr="00E725AF" w:rsidRDefault="00564911" w:rsidP="00E54157">
      <w:pPr>
        <w:tabs>
          <w:tab w:val="left" w:pos="-720"/>
        </w:tabs>
        <w:suppressAutoHyphens/>
        <w:spacing w:line="360" w:lineRule="auto"/>
        <w:rPr>
          <w:spacing w:val="-3"/>
          <w:sz w:val="24"/>
          <w:szCs w:val="24"/>
        </w:rPr>
      </w:pPr>
      <w:r>
        <w:tab/>
        <w:t xml:space="preserve">            </w:t>
      </w:r>
      <w:r w:rsidRPr="00C452FB">
        <w:rPr>
          <w:sz w:val="24"/>
          <w:szCs w:val="24"/>
        </w:rPr>
        <w:t xml:space="preserve">With regard to natural gas supply rates as of October 1, 2015, </w:t>
      </w:r>
      <w:r w:rsidRPr="00C452FB">
        <w:rPr>
          <w:spacing w:val="-3"/>
          <w:sz w:val="24"/>
          <w:szCs w:val="24"/>
        </w:rPr>
        <w:t>I&amp;E explains that the proposed rates are subject to quarterly updates, with limited exceptions, as required by the Commission’s Regulations</w:t>
      </w:r>
      <w:r>
        <w:rPr>
          <w:spacing w:val="-3"/>
          <w:sz w:val="24"/>
          <w:szCs w:val="24"/>
        </w:rPr>
        <w:t xml:space="preserve">, and that the </w:t>
      </w:r>
      <w:r w:rsidRPr="00C452FB">
        <w:rPr>
          <w:spacing w:val="-3"/>
          <w:sz w:val="24"/>
          <w:szCs w:val="24"/>
        </w:rPr>
        <w:t xml:space="preserve">rates are just and reasonable, accurately reflect the costs of its purchased natural gas and are based on sound regulatory practices. </w:t>
      </w:r>
      <w:r>
        <w:rPr>
          <w:spacing w:val="-3"/>
          <w:sz w:val="24"/>
          <w:szCs w:val="24"/>
        </w:rPr>
        <w:t xml:space="preserve"> </w:t>
      </w:r>
      <w:r w:rsidRPr="009E28D2">
        <w:rPr>
          <w:spacing w:val="-3"/>
          <w:sz w:val="24"/>
          <w:szCs w:val="24"/>
        </w:rPr>
        <w:t>I&amp;E explains that the Settlement provides that Peoples may place into effect the natural gas supply rates as proposed and identified in the appendices attached to the Joint Petition.  The proposed rates are subject to quarterly updates, with limited exceptions, as required by the Commission’s Regulations.  According to I&amp;E,</w:t>
      </w:r>
      <w:r>
        <w:rPr>
          <w:spacing w:val="-3"/>
          <w:sz w:val="24"/>
          <w:szCs w:val="24"/>
        </w:rPr>
        <w:t xml:space="preserve"> </w:t>
      </w:r>
      <w:proofErr w:type="gramStart"/>
      <w:r w:rsidRPr="009E28D2">
        <w:rPr>
          <w:spacing w:val="-3"/>
          <w:sz w:val="24"/>
          <w:szCs w:val="24"/>
        </w:rPr>
        <w:t>its  analysis</w:t>
      </w:r>
      <w:proofErr w:type="gramEnd"/>
      <w:r w:rsidRPr="009E28D2">
        <w:rPr>
          <w:spacing w:val="-3"/>
          <w:sz w:val="24"/>
          <w:szCs w:val="24"/>
        </w:rPr>
        <w:t xml:space="preserve"> in this proceeding supports that these rates are just and reasonable, accurately reflect the costs of its purchased natural gas and are based on sound regulatory practices.  As such, I&amp;E opines that these rates are in the public interest and should be approved.</w:t>
      </w:r>
      <w:r>
        <w:rPr>
          <w:spacing w:val="-3"/>
          <w:sz w:val="24"/>
          <w:szCs w:val="24"/>
        </w:rPr>
        <w:t xml:space="preserve"> </w:t>
      </w:r>
      <w:r w:rsidRPr="00C452FB">
        <w:rPr>
          <w:spacing w:val="-3"/>
          <w:sz w:val="24"/>
          <w:szCs w:val="24"/>
        </w:rPr>
        <w:t xml:space="preserve"> </w:t>
      </w:r>
      <w:r w:rsidR="00A74F7D">
        <w:rPr>
          <w:spacing w:val="-3"/>
          <w:sz w:val="24"/>
          <w:szCs w:val="24"/>
        </w:rPr>
        <w:t>Accordingly,</w:t>
      </w:r>
      <w:r w:rsidRPr="00C452FB">
        <w:rPr>
          <w:spacing w:val="-3"/>
          <w:sz w:val="24"/>
          <w:szCs w:val="24"/>
        </w:rPr>
        <w:t xml:space="preserve"> </w:t>
      </w:r>
      <w:r>
        <w:rPr>
          <w:spacing w:val="-3"/>
          <w:sz w:val="24"/>
          <w:szCs w:val="24"/>
        </w:rPr>
        <w:t xml:space="preserve">the evidence suggests </w:t>
      </w:r>
      <w:r w:rsidRPr="009E28D2">
        <w:rPr>
          <w:spacing w:val="-3"/>
          <w:sz w:val="24"/>
          <w:szCs w:val="24"/>
        </w:rPr>
        <w:t>that these rates are in the public interest and should be approved.</w:t>
      </w:r>
      <w:r>
        <w:rPr>
          <w:spacing w:val="-3"/>
          <w:sz w:val="24"/>
          <w:szCs w:val="24"/>
        </w:rPr>
        <w:t xml:space="preserve"> </w:t>
      </w:r>
    </w:p>
    <w:p w:rsidR="00564911" w:rsidRDefault="00564911" w:rsidP="00E54157">
      <w:pPr>
        <w:tabs>
          <w:tab w:val="left" w:pos="-720"/>
        </w:tabs>
        <w:suppressAutoHyphens/>
        <w:spacing w:line="360" w:lineRule="auto"/>
        <w:rPr>
          <w:b/>
          <w:sz w:val="24"/>
          <w:szCs w:val="24"/>
          <w:lang w:eastAsia="ja-JP"/>
        </w:rPr>
      </w:pPr>
    </w:p>
    <w:p w:rsidR="00564911" w:rsidRDefault="00E54157" w:rsidP="00E54157">
      <w:pPr>
        <w:pStyle w:val="ListNumber"/>
        <w:numPr>
          <w:ilvl w:val="0"/>
          <w:numId w:val="0"/>
        </w:numPr>
        <w:spacing w:line="360" w:lineRule="auto"/>
        <w:ind w:firstLine="720"/>
      </w:pPr>
      <w:r>
        <w:tab/>
      </w:r>
      <w:r w:rsidR="00564911">
        <w:t xml:space="preserve">The </w:t>
      </w:r>
      <w:r w:rsidR="00215A93">
        <w:t>S</w:t>
      </w:r>
      <w:r w:rsidR="00564911">
        <w:t>ettlement also proposes to merge the PGC rates of both Divisions, so that, effective October 1, 2015, both Divisions would charge the same PGC rates to their customers.  No Party to this proceeding opposed the consolidation of gas cost rates.  (Peoples Statement in Support, p. 5.)  The merger of PGC costs will enable both divisions to make a single 1307(f) filing in 2016 and the purchase of gas supplies for the joint use of customers of both Divisions will serve the best interests of the customers.</w:t>
      </w:r>
    </w:p>
    <w:p w:rsidR="001543BB" w:rsidRDefault="001543BB" w:rsidP="00E54157">
      <w:pPr>
        <w:pStyle w:val="ListNumber"/>
        <w:numPr>
          <w:ilvl w:val="0"/>
          <w:numId w:val="0"/>
        </w:numPr>
        <w:spacing w:line="360" w:lineRule="auto"/>
        <w:ind w:firstLine="720"/>
      </w:pPr>
    </w:p>
    <w:p w:rsidR="00564911" w:rsidRDefault="009D5423" w:rsidP="00E54157">
      <w:pPr>
        <w:pStyle w:val="ListNumber"/>
        <w:numPr>
          <w:ilvl w:val="0"/>
          <w:numId w:val="0"/>
        </w:numPr>
        <w:spacing w:line="360" w:lineRule="auto"/>
        <w:ind w:firstLine="720"/>
      </w:pPr>
      <w:r>
        <w:tab/>
      </w:r>
      <w:r w:rsidR="00564911">
        <w:t xml:space="preserve">The Company proposed to make the design day criteria consistent for both Divisions and to adopt the Equitable-Division design day temperature of 75 heating degree days.  The current design day temperature for the Peoples Division is 74 HDD.  OCA proposed that the Company adopt a 74 HDD design day temperature, as it argued that changing the design day temperature would increase capacity costs for customers and would be inconsistent with least-cost gas procurement.  (Peoples Statement in Support, p. 6.)  As a compromise, the Parties agreed to forego adopting a specific HDD number and agreed to study the combined capacity </w:t>
      </w:r>
      <w:r w:rsidR="00564911">
        <w:lastRenderedPageBreak/>
        <w:t xml:space="preserve">requirements and design day criteria of both Divisions in its PGC filing in 2016.  As the Parties concluded, the Parties should have a better understanding of the combined design day requirements in 2016, after studying the operation of the two Divisions as a combined system.  As such, the compromise reached by the </w:t>
      </w:r>
      <w:r w:rsidR="006F703C">
        <w:t xml:space="preserve">Settling </w:t>
      </w:r>
      <w:r w:rsidR="00564911">
        <w:t>Parties is reasonable, under the circumstances.</w:t>
      </w:r>
    </w:p>
    <w:p w:rsidR="00564911" w:rsidRDefault="00564911" w:rsidP="00E54157">
      <w:pPr>
        <w:pStyle w:val="ListNumber"/>
        <w:numPr>
          <w:ilvl w:val="0"/>
          <w:numId w:val="0"/>
        </w:numPr>
        <w:spacing w:line="360" w:lineRule="auto"/>
        <w:ind w:firstLine="720"/>
      </w:pPr>
    </w:p>
    <w:p w:rsidR="00564911" w:rsidRDefault="009D5423" w:rsidP="00E54157">
      <w:pPr>
        <w:pStyle w:val="ListNumber"/>
        <w:numPr>
          <w:ilvl w:val="0"/>
          <w:numId w:val="0"/>
        </w:numPr>
        <w:spacing w:line="360" w:lineRule="auto"/>
        <w:ind w:firstLine="720"/>
      </w:pPr>
      <w:r>
        <w:tab/>
      </w:r>
      <w:r w:rsidR="00564911">
        <w:t xml:space="preserve">Peoples argued that using the authorized overrun service was the most cost-effective  option for providing reliable service to its customers, even though the Peoples Division incurred approximately $1 million in authorized overrun charges from </w:t>
      </w:r>
      <w:proofErr w:type="spellStart"/>
      <w:r w:rsidR="00564911">
        <w:t>Equitrans</w:t>
      </w:r>
      <w:proofErr w:type="spellEnd"/>
      <w:r w:rsidR="00564911">
        <w:t xml:space="preserve"> L.P.  (Peoples Statement in Support, p.p. 7-8.)  As a compromise, the Company agreed to remove the authorized overrun charges from the historic period purchase gas costs charged to sales customers during the one year period beginning October 1, 2015.  This will permit Peoples to recover these costs from all customers as opposed to solely sales customers.  This compromise is in the public interest as the authorized overrun service was necessary to ensure that sufficient gas supplies were provided to cover all customer usage requirements.</w:t>
      </w:r>
    </w:p>
    <w:p w:rsidR="00564911" w:rsidRDefault="00564911" w:rsidP="00E54157">
      <w:pPr>
        <w:pStyle w:val="ListNumber"/>
        <w:numPr>
          <w:ilvl w:val="0"/>
          <w:numId w:val="0"/>
        </w:numPr>
        <w:spacing w:line="360" w:lineRule="auto"/>
        <w:ind w:firstLine="720"/>
      </w:pPr>
    </w:p>
    <w:p w:rsidR="00564911" w:rsidRDefault="003C2782" w:rsidP="003C2782">
      <w:pPr>
        <w:pStyle w:val="ListNumber"/>
        <w:numPr>
          <w:ilvl w:val="0"/>
          <w:numId w:val="0"/>
        </w:numPr>
        <w:spacing w:line="360" w:lineRule="auto"/>
        <w:ind w:firstLine="720"/>
      </w:pPr>
      <w:r>
        <w:tab/>
      </w:r>
      <w:r w:rsidR="00564911">
        <w:t>The Parties further agreed that balancing charges for non-priority 1 transportation customers of both Divisions shall be combined and reflect the adjustments made in Peoples’ Supplemental and Rebuttal Testimony and Paragraph 40 of the Settlement.  (Joint Petition, p. 8.)</w:t>
      </w:r>
    </w:p>
    <w:p w:rsidR="003C2782" w:rsidRDefault="003C2782" w:rsidP="00E54157">
      <w:pPr>
        <w:pStyle w:val="ListNumber"/>
        <w:numPr>
          <w:ilvl w:val="0"/>
          <w:numId w:val="0"/>
        </w:numPr>
        <w:spacing w:line="360" w:lineRule="auto"/>
        <w:ind w:firstLine="720"/>
        <w:jc w:val="both"/>
      </w:pPr>
    </w:p>
    <w:p w:rsidR="00564911" w:rsidRDefault="003C2782" w:rsidP="003C2782">
      <w:pPr>
        <w:spacing w:line="360" w:lineRule="auto"/>
        <w:ind w:firstLine="720"/>
        <w:rPr>
          <w:sz w:val="24"/>
          <w:szCs w:val="24"/>
        </w:rPr>
      </w:pPr>
      <w:r>
        <w:rPr>
          <w:sz w:val="24"/>
          <w:szCs w:val="24"/>
        </w:rPr>
        <w:tab/>
      </w:r>
      <w:r w:rsidR="00564911" w:rsidRPr="00354BD8">
        <w:rPr>
          <w:sz w:val="24"/>
          <w:szCs w:val="24"/>
        </w:rPr>
        <w:t>OCA recommended that the BB&amp;A rates be subject to reconciliation for the costs associated with any new arrangement entered into by Peoples Division or the Equitable Division that has not been identified in this proceeding but is necessary for the provision of balancing service,</w:t>
      </w:r>
      <w:r w:rsidR="00564911">
        <w:rPr>
          <w:sz w:val="24"/>
          <w:szCs w:val="24"/>
        </w:rPr>
        <w:t xml:space="preserve"> which would be </w:t>
      </w:r>
      <w:r w:rsidR="00564911" w:rsidRPr="00354BD8">
        <w:rPr>
          <w:sz w:val="24"/>
          <w:szCs w:val="24"/>
        </w:rPr>
        <w:t>extended to new arrangements required to maintain system reliability</w:t>
      </w:r>
      <w:r w:rsidR="00564911">
        <w:rPr>
          <w:sz w:val="24"/>
          <w:szCs w:val="24"/>
        </w:rPr>
        <w:t xml:space="preserve">.  </w:t>
      </w:r>
      <w:r w:rsidR="00564911" w:rsidRPr="00354BD8">
        <w:rPr>
          <w:sz w:val="24"/>
          <w:szCs w:val="24"/>
        </w:rPr>
        <w:t xml:space="preserve">The Settlement adopts </w:t>
      </w:r>
      <w:r w:rsidR="00564911">
        <w:rPr>
          <w:sz w:val="24"/>
          <w:szCs w:val="24"/>
        </w:rPr>
        <w:t xml:space="preserve">OCA’s </w:t>
      </w:r>
      <w:r w:rsidR="00564911" w:rsidRPr="00354BD8">
        <w:rPr>
          <w:sz w:val="24"/>
          <w:szCs w:val="24"/>
        </w:rPr>
        <w:t>recommendation to reconcile subsequent changes to interstate pipeline capacity contracts that affect the stand-by and/or balancing charges during th</w:t>
      </w:r>
      <w:r w:rsidR="00564911">
        <w:rPr>
          <w:sz w:val="24"/>
          <w:szCs w:val="24"/>
        </w:rPr>
        <w:t xml:space="preserve">e subject </w:t>
      </w:r>
      <w:r w:rsidR="00564911" w:rsidRPr="00354BD8">
        <w:rPr>
          <w:sz w:val="24"/>
          <w:szCs w:val="24"/>
        </w:rPr>
        <w:t xml:space="preserve">PGC period with future stand-by and/or balancing charges commencing October 1, 2016.   OCA </w:t>
      </w:r>
      <w:r w:rsidR="00564911">
        <w:rPr>
          <w:sz w:val="24"/>
          <w:szCs w:val="24"/>
        </w:rPr>
        <w:t xml:space="preserve">points out that </w:t>
      </w:r>
      <w:r w:rsidR="00564911" w:rsidRPr="00354BD8">
        <w:rPr>
          <w:sz w:val="24"/>
          <w:szCs w:val="24"/>
        </w:rPr>
        <w:t xml:space="preserve">this settlement term is in the best interest of the Company’s customers and in the public interest because it provides for reasonable apportionment of the costs associated with new contracts entered into during the 2015 PGC period not presently included in the balancing charges established in this proceeding. </w:t>
      </w:r>
    </w:p>
    <w:p w:rsidR="00564911" w:rsidRPr="00354BD8" w:rsidRDefault="00564911" w:rsidP="00E54157">
      <w:pPr>
        <w:spacing w:line="360" w:lineRule="auto"/>
        <w:ind w:firstLine="720"/>
        <w:jc w:val="both"/>
        <w:rPr>
          <w:sz w:val="24"/>
          <w:szCs w:val="24"/>
        </w:rPr>
      </w:pPr>
    </w:p>
    <w:p w:rsidR="00564911" w:rsidRDefault="003C2782" w:rsidP="00E54157">
      <w:pPr>
        <w:pStyle w:val="BodyText2"/>
        <w:spacing w:line="360" w:lineRule="auto"/>
        <w:ind w:firstLine="720"/>
      </w:pPr>
      <w:r>
        <w:lastRenderedPageBreak/>
        <w:tab/>
      </w:r>
      <w:r w:rsidR="00564911" w:rsidRPr="00F835E5">
        <w:t xml:space="preserve">With regard to storage accounting, </w:t>
      </w:r>
      <w:r w:rsidR="00564911">
        <w:t xml:space="preserve">Peoples explained that it intends to revise the Peoples Division’s storage accounting method from LIFO to WACOG, but that it must wait until in its next base rate case filing due to the impacts on base rates.  (Peoples and Equitable Division St. No. 1, pp. 31-32; Peoples Statement in Support, p. 11.)  Under its proposal, the Company would combine the LIFO rate, as modified, for the Peoples Division with the WACOG rate for the Peoples-Equitable Division into a single average PGC charge.    (Peoples Statement in Support, p. 11.)  </w:t>
      </w:r>
    </w:p>
    <w:p w:rsidR="003C2782" w:rsidRDefault="003C2782" w:rsidP="001F7872">
      <w:pPr>
        <w:pStyle w:val="BodyText2"/>
        <w:spacing w:after="0" w:line="360" w:lineRule="auto"/>
        <w:ind w:firstLine="720"/>
      </w:pPr>
    </w:p>
    <w:p w:rsidR="00564911" w:rsidRDefault="003C2782" w:rsidP="003C2782">
      <w:pPr>
        <w:spacing w:line="360" w:lineRule="auto"/>
        <w:ind w:firstLine="720"/>
        <w:rPr>
          <w:sz w:val="24"/>
          <w:szCs w:val="24"/>
        </w:rPr>
      </w:pPr>
      <w:r>
        <w:rPr>
          <w:sz w:val="24"/>
          <w:szCs w:val="24"/>
        </w:rPr>
        <w:tab/>
      </w:r>
      <w:r w:rsidR="00564911" w:rsidRPr="00C45290">
        <w:rPr>
          <w:sz w:val="24"/>
          <w:szCs w:val="24"/>
        </w:rPr>
        <w:t>OCA</w:t>
      </w:r>
      <w:r w:rsidR="00564911">
        <w:rPr>
          <w:sz w:val="24"/>
          <w:szCs w:val="24"/>
        </w:rPr>
        <w:t xml:space="preserve"> concluded that </w:t>
      </w:r>
      <w:r w:rsidR="00564911" w:rsidRPr="00C45290">
        <w:rPr>
          <w:sz w:val="24"/>
          <w:szCs w:val="24"/>
        </w:rPr>
        <w:t>the Settlement provides that Peoples’ proposal to use the combined average purchased gas cost of both Divisions that excludes demand costs will be approved effective October 1, 2015</w:t>
      </w:r>
      <w:r w:rsidR="00564911">
        <w:rPr>
          <w:sz w:val="24"/>
          <w:szCs w:val="24"/>
        </w:rPr>
        <w:t xml:space="preserve"> and that t</w:t>
      </w:r>
      <w:r w:rsidR="00564911" w:rsidRPr="00C45290">
        <w:rPr>
          <w:sz w:val="24"/>
          <w:szCs w:val="24"/>
        </w:rPr>
        <w:t xml:space="preserve">he Settlement </w:t>
      </w:r>
      <w:r w:rsidR="00564911">
        <w:rPr>
          <w:sz w:val="24"/>
          <w:szCs w:val="24"/>
        </w:rPr>
        <w:t>it’s</w:t>
      </w:r>
      <w:r w:rsidR="00564911" w:rsidRPr="00C45290">
        <w:rPr>
          <w:sz w:val="24"/>
          <w:szCs w:val="24"/>
        </w:rPr>
        <w:t xml:space="preserve"> concerns by agreeing that the annual LIFO storage accounting rate for 2015 for Peoples will include nine months of Peoples Division costs (including demand costs) for the period of January 1, 2015 through September 30, 2015) and three months of combined Division costs (excluding demand costs for the period of October 1, 2015 through December 31, 2015).  The OCA submits that this settlement term is in the best interest of the Company’s customers and in the public interest because it represents a reasonable compromise between the parties and the impact on storage inventory carrying charges is not significant.  (OCA Statement in Support, p. 7.) </w:t>
      </w:r>
      <w:r w:rsidR="00564911">
        <w:rPr>
          <w:sz w:val="24"/>
          <w:szCs w:val="24"/>
        </w:rPr>
        <w:t xml:space="preserve">  Accordingly, the settlement terms appear to be reasonable and in the public interest.</w:t>
      </w:r>
    </w:p>
    <w:p w:rsidR="00564911" w:rsidRDefault="00564911" w:rsidP="003C2782">
      <w:pPr>
        <w:spacing w:line="360" w:lineRule="auto"/>
        <w:ind w:firstLine="720"/>
        <w:rPr>
          <w:sz w:val="24"/>
          <w:szCs w:val="24"/>
        </w:rPr>
      </w:pPr>
    </w:p>
    <w:p w:rsidR="00564911" w:rsidRDefault="00564911" w:rsidP="003C2782">
      <w:pPr>
        <w:pStyle w:val="ListNumber"/>
        <w:numPr>
          <w:ilvl w:val="0"/>
          <w:numId w:val="0"/>
        </w:numPr>
        <w:spacing w:line="360" w:lineRule="auto"/>
        <w:ind w:firstLine="720"/>
      </w:pPr>
      <w:r>
        <w:tab/>
      </w:r>
      <w:r w:rsidRPr="00DA2A3C">
        <w:t xml:space="preserve">No Party </w:t>
      </w:r>
      <w:r>
        <w:t>to</w:t>
      </w:r>
      <w:r w:rsidRPr="00DA2A3C">
        <w:t xml:space="preserve"> this proceeding challenged the Company’s proposed combined retainage rate of 5%.  </w:t>
      </w:r>
      <w:r>
        <w:t>To support the basis for future retainage calculations, Peoples has agreed to provide a reconciliation of the volumes used to calculate retainage in the 1307(f) filing with the volumes reported in the annual UFG report.  (Joint Petition, p. 10.)  Under the circumstances, the proposal is reasonable and in the public interest.</w:t>
      </w:r>
    </w:p>
    <w:p w:rsidR="00564911" w:rsidRDefault="00564911" w:rsidP="00E54157">
      <w:pPr>
        <w:pStyle w:val="ListNumber"/>
        <w:numPr>
          <w:ilvl w:val="0"/>
          <w:numId w:val="0"/>
        </w:numPr>
        <w:spacing w:line="360" w:lineRule="auto"/>
        <w:ind w:firstLine="720"/>
        <w:jc w:val="both"/>
      </w:pPr>
    </w:p>
    <w:p w:rsidR="00564911" w:rsidRDefault="00564911" w:rsidP="001F7872">
      <w:pPr>
        <w:pStyle w:val="BodyText2"/>
        <w:spacing w:after="0" w:line="360" w:lineRule="auto"/>
        <w:ind w:firstLine="720"/>
      </w:pPr>
      <w:r>
        <w:t xml:space="preserve">            Finally, the Company proposed to indefinitely extend its current capacity release/off-system sale/parties/loans revenue sharing mechanism.  OSBA proposed that the revenue sharing mechanism not be approved indefinitely, but, be extended through September 30, 2017.  (OSBA St. No. 1, p. 10.)  The Settlement adopts the OSBA position.  (Settlement </w:t>
      </w:r>
      <w:r>
        <w:lastRenderedPageBreak/>
        <w:t xml:space="preserve">¶ 49.)   The compromise agreement by the Parties with regard to this issue is reasonable and in the public interest.  </w:t>
      </w:r>
    </w:p>
    <w:p w:rsidR="003E1C96" w:rsidRDefault="003E1C96" w:rsidP="003E1C96">
      <w:pPr>
        <w:pStyle w:val="BodyText2"/>
        <w:spacing w:after="0" w:line="360" w:lineRule="auto"/>
        <w:ind w:firstLine="720"/>
      </w:pPr>
    </w:p>
    <w:p w:rsidR="00564911" w:rsidRDefault="00564911" w:rsidP="00564911">
      <w:pPr>
        <w:spacing w:line="360" w:lineRule="auto"/>
        <w:ind w:firstLine="1440"/>
        <w:rPr>
          <w:sz w:val="24"/>
          <w:szCs w:val="24"/>
        </w:rPr>
      </w:pPr>
      <w:r w:rsidRPr="00887018">
        <w:rPr>
          <w:sz w:val="24"/>
          <w:szCs w:val="24"/>
        </w:rPr>
        <w:t xml:space="preserve">As noted above, </w:t>
      </w:r>
      <w:r>
        <w:rPr>
          <w:sz w:val="24"/>
          <w:szCs w:val="24"/>
        </w:rPr>
        <w:t xml:space="preserve">PIOGA and DES </w:t>
      </w:r>
      <w:r w:rsidRPr="00887018">
        <w:rPr>
          <w:sz w:val="24"/>
          <w:szCs w:val="24"/>
        </w:rPr>
        <w:t xml:space="preserve">did not sign the </w:t>
      </w:r>
      <w:r>
        <w:rPr>
          <w:sz w:val="24"/>
          <w:szCs w:val="24"/>
        </w:rPr>
        <w:t xml:space="preserve">Joint Petition, </w:t>
      </w:r>
      <w:r w:rsidRPr="00887018">
        <w:rPr>
          <w:sz w:val="24"/>
          <w:szCs w:val="24"/>
        </w:rPr>
        <w:t>but submitted  statement</w:t>
      </w:r>
      <w:r>
        <w:rPr>
          <w:sz w:val="24"/>
          <w:szCs w:val="24"/>
        </w:rPr>
        <w:t>s</w:t>
      </w:r>
      <w:r w:rsidRPr="00887018">
        <w:rPr>
          <w:sz w:val="24"/>
          <w:szCs w:val="24"/>
        </w:rPr>
        <w:t xml:space="preserve"> indicating that </w:t>
      </w:r>
      <w:r>
        <w:rPr>
          <w:sz w:val="24"/>
          <w:szCs w:val="24"/>
        </w:rPr>
        <w:t xml:space="preserve">they </w:t>
      </w:r>
      <w:r w:rsidRPr="00887018">
        <w:rPr>
          <w:sz w:val="24"/>
          <w:szCs w:val="24"/>
        </w:rPr>
        <w:t>do</w:t>
      </w:r>
      <w:r>
        <w:rPr>
          <w:sz w:val="24"/>
          <w:szCs w:val="24"/>
        </w:rPr>
        <w:t xml:space="preserve"> not </w:t>
      </w:r>
      <w:r w:rsidRPr="00887018">
        <w:rPr>
          <w:sz w:val="24"/>
          <w:szCs w:val="24"/>
        </w:rPr>
        <w:t>oppose the Settlement</w:t>
      </w:r>
      <w:r>
        <w:rPr>
          <w:sz w:val="24"/>
          <w:szCs w:val="24"/>
        </w:rPr>
        <w:t>.</w:t>
      </w:r>
    </w:p>
    <w:p w:rsidR="00564911" w:rsidRPr="00887018" w:rsidRDefault="00564911" w:rsidP="00564911">
      <w:pPr>
        <w:spacing w:line="360" w:lineRule="auto"/>
        <w:ind w:firstLine="1440"/>
        <w:rPr>
          <w:sz w:val="24"/>
          <w:szCs w:val="24"/>
        </w:rPr>
      </w:pPr>
    </w:p>
    <w:p w:rsidR="00564911" w:rsidRDefault="00564911" w:rsidP="00564911">
      <w:pPr>
        <w:spacing w:line="360" w:lineRule="auto"/>
        <w:ind w:firstLine="1440"/>
        <w:rPr>
          <w:sz w:val="24"/>
          <w:szCs w:val="24"/>
        </w:rPr>
      </w:pPr>
      <w:r w:rsidRPr="00887018">
        <w:rPr>
          <w:sz w:val="24"/>
          <w:szCs w:val="24"/>
        </w:rPr>
        <w:t xml:space="preserve">For the reasons similar to those stated by the parties in their respective Statements in Support of the Settlement, I agree that the Settlement is in the public interest and should be approved in its entirety without modification.  </w:t>
      </w:r>
    </w:p>
    <w:p w:rsidR="00564911" w:rsidRDefault="00564911" w:rsidP="00564911">
      <w:pPr>
        <w:spacing w:line="360" w:lineRule="auto"/>
        <w:ind w:firstLine="1440"/>
        <w:rPr>
          <w:sz w:val="24"/>
          <w:szCs w:val="24"/>
        </w:rPr>
      </w:pPr>
    </w:p>
    <w:p w:rsidR="00564911" w:rsidRPr="00887018" w:rsidRDefault="00564911" w:rsidP="00564911">
      <w:pPr>
        <w:spacing w:line="360" w:lineRule="auto"/>
        <w:ind w:firstLine="1440"/>
        <w:rPr>
          <w:sz w:val="24"/>
          <w:szCs w:val="24"/>
        </w:rPr>
      </w:pPr>
      <w:r w:rsidRPr="00887018">
        <w:rPr>
          <w:sz w:val="24"/>
          <w:szCs w:val="24"/>
        </w:rPr>
        <w:t xml:space="preserve">Finally, as with most </w:t>
      </w:r>
      <w:r w:rsidR="00DA535F">
        <w:rPr>
          <w:sz w:val="24"/>
          <w:szCs w:val="24"/>
        </w:rPr>
        <w:t>S</w:t>
      </w:r>
      <w:r w:rsidRPr="00887018">
        <w:rPr>
          <w:sz w:val="24"/>
          <w:szCs w:val="24"/>
        </w:rPr>
        <w:t xml:space="preserve">ettlements, this </w:t>
      </w:r>
      <w:r w:rsidR="006F703C">
        <w:rPr>
          <w:sz w:val="24"/>
          <w:szCs w:val="24"/>
        </w:rPr>
        <w:t>S</w:t>
      </w:r>
      <w:r w:rsidRPr="00887018">
        <w:rPr>
          <w:sz w:val="24"/>
          <w:szCs w:val="24"/>
        </w:rPr>
        <w:t xml:space="preserve">ettlement is also in the public interest because it will conserve the resources of the Commission and the parties.  </w:t>
      </w:r>
      <w:r w:rsidRPr="00887018">
        <w:rPr>
          <w:rFonts w:eastAsiaTheme="minorHAnsi"/>
          <w:sz w:val="24"/>
          <w:szCs w:val="24"/>
        </w:rPr>
        <w:t xml:space="preserve">Settlements lessen the time and expense the parties must expend litigating a case and at the same time conserve administrative hearing resources.  </w:t>
      </w:r>
      <w:r w:rsidRPr="00887018">
        <w:rPr>
          <w:sz w:val="24"/>
          <w:szCs w:val="24"/>
        </w:rPr>
        <w:t xml:space="preserve">Although a substantial amount of pre-served testimony has already been submitted in this proceeding, such efforts were necessary to properly examine </w:t>
      </w:r>
      <w:r>
        <w:rPr>
          <w:sz w:val="24"/>
          <w:szCs w:val="24"/>
        </w:rPr>
        <w:t>the Companies</w:t>
      </w:r>
      <w:r w:rsidRPr="00887018">
        <w:rPr>
          <w:sz w:val="24"/>
          <w:szCs w:val="24"/>
        </w:rPr>
        <w:t xml:space="preserve"> filing.  Nonetheless, the resolution of the issues contained in the Settlement will avoid further litigation on those issues, thereby, serving judicial efficiency and allowing the parties and the Commission to conserve its resources, the costs of which will ultimately be borne by customers.</w:t>
      </w:r>
    </w:p>
    <w:p w:rsidR="00564911" w:rsidRPr="00887018" w:rsidRDefault="00564911" w:rsidP="00564911">
      <w:pPr>
        <w:spacing w:line="360" w:lineRule="auto"/>
        <w:ind w:firstLine="1440"/>
        <w:rPr>
          <w:rFonts w:eastAsiaTheme="minorHAnsi"/>
          <w:strike/>
          <w:sz w:val="24"/>
          <w:szCs w:val="24"/>
        </w:rPr>
      </w:pPr>
    </w:p>
    <w:p w:rsidR="00564911" w:rsidRPr="00887018" w:rsidRDefault="00564911" w:rsidP="00564911">
      <w:pPr>
        <w:spacing w:line="360" w:lineRule="auto"/>
        <w:ind w:firstLine="1440"/>
        <w:rPr>
          <w:rFonts w:eastAsiaTheme="minorHAnsi"/>
          <w:sz w:val="24"/>
          <w:szCs w:val="24"/>
        </w:rPr>
      </w:pPr>
      <w:r w:rsidRPr="00887018">
        <w:rPr>
          <w:rFonts w:eastAsiaTheme="minorHAnsi"/>
          <w:sz w:val="24"/>
          <w:szCs w:val="24"/>
        </w:rPr>
        <w:t xml:space="preserve">As such, each of the provisions of the </w:t>
      </w:r>
      <w:r w:rsidR="006F703C">
        <w:rPr>
          <w:rFonts w:eastAsiaTheme="minorHAnsi"/>
          <w:sz w:val="24"/>
          <w:szCs w:val="24"/>
        </w:rPr>
        <w:t>S</w:t>
      </w:r>
      <w:r w:rsidRPr="00887018">
        <w:rPr>
          <w:rFonts w:eastAsiaTheme="minorHAnsi"/>
          <w:sz w:val="24"/>
          <w:szCs w:val="24"/>
        </w:rPr>
        <w:t xml:space="preserve">ettlement is reasonable and supports adopting the Settlement in its entirety, without modification, as being in the public interest and consistent with applicable statutes governing 1307(f) filings.  While none of these provisions individually is substantial, the standard to judge the Settlement is only that the </w:t>
      </w:r>
      <w:r w:rsidR="006F703C">
        <w:rPr>
          <w:rFonts w:eastAsiaTheme="minorHAnsi"/>
          <w:sz w:val="24"/>
          <w:szCs w:val="24"/>
        </w:rPr>
        <w:t>S</w:t>
      </w:r>
      <w:r w:rsidRPr="00887018">
        <w:rPr>
          <w:rFonts w:eastAsiaTheme="minorHAnsi"/>
          <w:sz w:val="24"/>
          <w:szCs w:val="24"/>
        </w:rPr>
        <w:t xml:space="preserve">ettlement be in the public interest.  As a whole, the Settlement is in the public interest.  The continuation and/or further refinement of certain issues is reasonable and in the public interest sufficient to support approving the Settlement without modification.  </w:t>
      </w:r>
      <w:r>
        <w:rPr>
          <w:rFonts w:eastAsiaTheme="minorHAnsi"/>
          <w:sz w:val="24"/>
          <w:szCs w:val="24"/>
        </w:rPr>
        <w:t xml:space="preserve">In addition, the issues raised </w:t>
      </w:r>
      <w:r w:rsidRPr="00887018">
        <w:rPr>
          <w:rFonts w:eastAsiaTheme="minorHAnsi"/>
          <w:sz w:val="24"/>
          <w:szCs w:val="24"/>
        </w:rPr>
        <w:t xml:space="preserve">by the </w:t>
      </w:r>
      <w:r>
        <w:rPr>
          <w:rFonts w:eastAsiaTheme="minorHAnsi"/>
          <w:sz w:val="24"/>
          <w:szCs w:val="24"/>
        </w:rPr>
        <w:t>Parties</w:t>
      </w:r>
      <w:r w:rsidRPr="00887018">
        <w:rPr>
          <w:rFonts w:eastAsiaTheme="minorHAnsi"/>
          <w:sz w:val="24"/>
          <w:szCs w:val="24"/>
        </w:rPr>
        <w:t xml:space="preserve"> in this proceeding were extensively discussed in pre-served testimony that was admitted into the record of this proceeding.  The Settlement is, therefore, also supported by substantial evidence.</w:t>
      </w:r>
    </w:p>
    <w:p w:rsidR="00365242" w:rsidRDefault="00365242" w:rsidP="002A249E">
      <w:pPr>
        <w:pStyle w:val="Heading3"/>
        <w:numPr>
          <w:ilvl w:val="0"/>
          <w:numId w:val="0"/>
        </w:numPr>
        <w:spacing w:after="0" w:line="360" w:lineRule="auto"/>
        <w:ind w:left="720"/>
        <w:jc w:val="left"/>
        <w:rPr>
          <w:b w:val="0"/>
          <w:szCs w:val="24"/>
        </w:rPr>
      </w:pPr>
    </w:p>
    <w:p w:rsidR="00D22A56" w:rsidRPr="00D22A56" w:rsidRDefault="00D22A56" w:rsidP="00D22A56">
      <w:pPr>
        <w:pStyle w:val="BodyText2"/>
      </w:pPr>
    </w:p>
    <w:p w:rsidR="00564911" w:rsidRPr="00E076D5" w:rsidRDefault="00564911" w:rsidP="00365242">
      <w:pPr>
        <w:pStyle w:val="Heading3"/>
        <w:numPr>
          <w:ilvl w:val="0"/>
          <w:numId w:val="0"/>
        </w:numPr>
        <w:spacing w:after="0" w:line="360" w:lineRule="auto"/>
        <w:ind w:left="720" w:hanging="720"/>
        <w:jc w:val="left"/>
        <w:rPr>
          <w:b w:val="0"/>
          <w:szCs w:val="24"/>
        </w:rPr>
      </w:pPr>
      <w:r>
        <w:rPr>
          <w:b w:val="0"/>
          <w:szCs w:val="24"/>
        </w:rPr>
        <w:lastRenderedPageBreak/>
        <w:t>C</w:t>
      </w:r>
      <w:r w:rsidRPr="00E076D5">
        <w:rPr>
          <w:b w:val="0"/>
          <w:szCs w:val="24"/>
        </w:rPr>
        <w:t>.</w:t>
      </w:r>
      <w:r w:rsidRPr="00E076D5">
        <w:rPr>
          <w:b w:val="0"/>
          <w:szCs w:val="24"/>
        </w:rPr>
        <w:tab/>
      </w:r>
      <w:r w:rsidRPr="00365242">
        <w:rPr>
          <w:b w:val="0"/>
          <w:szCs w:val="24"/>
          <w:u w:val="single"/>
        </w:rPr>
        <w:t>Conclusion</w:t>
      </w:r>
      <w:r w:rsidRPr="00E076D5">
        <w:rPr>
          <w:b w:val="0"/>
          <w:szCs w:val="24"/>
        </w:rPr>
        <w:fldChar w:fldCharType="begin"/>
      </w:r>
      <w:r w:rsidRPr="00E076D5">
        <w:rPr>
          <w:b w:val="0"/>
          <w:szCs w:val="24"/>
        </w:rPr>
        <w:instrText xml:space="preserve"> TC "</w:instrText>
      </w:r>
      <w:bookmarkStart w:id="2" w:name="_Toc392494883"/>
      <w:r w:rsidRPr="00E076D5">
        <w:rPr>
          <w:b w:val="0"/>
          <w:szCs w:val="24"/>
        </w:rPr>
        <w:instrText>4.</w:instrText>
      </w:r>
      <w:r w:rsidRPr="00E076D5">
        <w:rPr>
          <w:b w:val="0"/>
          <w:szCs w:val="24"/>
        </w:rPr>
        <w:tab/>
        <w:instrText>Conclusion</w:instrText>
      </w:r>
      <w:bookmarkEnd w:id="2"/>
      <w:r w:rsidRPr="00E076D5">
        <w:rPr>
          <w:b w:val="0"/>
          <w:szCs w:val="24"/>
        </w:rPr>
        <w:instrText xml:space="preserve">" \f C \l "3" </w:instrText>
      </w:r>
      <w:r w:rsidRPr="00E076D5">
        <w:rPr>
          <w:b w:val="0"/>
          <w:szCs w:val="24"/>
        </w:rPr>
        <w:fldChar w:fldCharType="end"/>
      </w:r>
    </w:p>
    <w:p w:rsidR="00564911" w:rsidRPr="00887018" w:rsidRDefault="00564911" w:rsidP="00564911">
      <w:pPr>
        <w:spacing w:line="360" w:lineRule="auto"/>
        <w:ind w:left="1440"/>
        <w:rPr>
          <w:sz w:val="24"/>
          <w:szCs w:val="24"/>
        </w:rPr>
      </w:pPr>
    </w:p>
    <w:p w:rsidR="00564911" w:rsidRPr="00887018" w:rsidRDefault="00564911" w:rsidP="00564911">
      <w:pPr>
        <w:spacing w:line="360" w:lineRule="auto"/>
        <w:ind w:firstLine="1440"/>
        <w:rPr>
          <w:sz w:val="24"/>
          <w:szCs w:val="24"/>
        </w:rPr>
      </w:pPr>
      <w:r w:rsidRPr="00887018">
        <w:rPr>
          <w:sz w:val="24"/>
          <w:szCs w:val="24"/>
        </w:rPr>
        <w:t xml:space="preserve">The Joint Petition for Settlement filed by </w:t>
      </w:r>
      <w:r>
        <w:rPr>
          <w:sz w:val="24"/>
          <w:szCs w:val="24"/>
        </w:rPr>
        <w:t>the Settling Parties</w:t>
      </w:r>
      <w:r w:rsidRPr="00887018">
        <w:rPr>
          <w:sz w:val="24"/>
          <w:szCs w:val="24"/>
        </w:rPr>
        <w:t xml:space="preserve"> is in the public interest and supported by substantial evidence.  Each of the provisions of the Settlement is reasonable and supports adoption of the Settlement.  </w:t>
      </w:r>
      <w:r>
        <w:rPr>
          <w:sz w:val="24"/>
          <w:szCs w:val="24"/>
        </w:rPr>
        <w:t>Furthermore, t</w:t>
      </w:r>
      <w:r w:rsidRPr="00887018">
        <w:rPr>
          <w:sz w:val="24"/>
          <w:szCs w:val="24"/>
        </w:rPr>
        <w:t>he Settlement addresses all of the statutory requirements for 1307 filings.  It will, therefore, be recommended that the Settlement be adopted in its entirety without modification.</w:t>
      </w:r>
    </w:p>
    <w:p w:rsidR="00564911" w:rsidRDefault="00564911" w:rsidP="00564911">
      <w:pPr>
        <w:pStyle w:val="ListParagraph"/>
        <w:spacing w:line="360" w:lineRule="auto"/>
        <w:ind w:left="0"/>
        <w:jc w:val="center"/>
        <w:rPr>
          <w:sz w:val="24"/>
          <w:szCs w:val="24"/>
          <w:u w:val="single"/>
        </w:rPr>
      </w:pPr>
    </w:p>
    <w:p w:rsidR="00564911" w:rsidRPr="002A249E" w:rsidRDefault="002A249E" w:rsidP="002A249E">
      <w:pPr>
        <w:pStyle w:val="Heading1"/>
        <w:numPr>
          <w:ilvl w:val="0"/>
          <w:numId w:val="0"/>
        </w:numPr>
        <w:spacing w:line="480" w:lineRule="auto"/>
        <w:jc w:val="center"/>
        <w:rPr>
          <w:b w:val="0"/>
          <w:szCs w:val="24"/>
        </w:rPr>
      </w:pPr>
      <w:r w:rsidRPr="002A249E">
        <w:rPr>
          <w:b w:val="0"/>
          <w:szCs w:val="24"/>
          <w:u w:val="none"/>
        </w:rPr>
        <w:t>VIII.</w:t>
      </w:r>
      <w:r w:rsidRPr="002A249E">
        <w:rPr>
          <w:b w:val="0"/>
          <w:szCs w:val="24"/>
          <w:u w:val="none"/>
        </w:rPr>
        <w:tab/>
      </w:r>
      <w:r w:rsidR="00564911" w:rsidRPr="002A249E">
        <w:rPr>
          <w:b w:val="0"/>
          <w:szCs w:val="24"/>
        </w:rPr>
        <w:t>CONCLUSION</w:t>
      </w:r>
    </w:p>
    <w:p w:rsidR="00564911" w:rsidRPr="00BE36DF" w:rsidRDefault="00564911" w:rsidP="000D2A5E">
      <w:pPr>
        <w:spacing w:line="360" w:lineRule="auto"/>
        <w:rPr>
          <w:sz w:val="24"/>
          <w:szCs w:val="24"/>
        </w:rPr>
      </w:pPr>
      <w:r w:rsidRPr="00BE36DF">
        <w:rPr>
          <w:sz w:val="24"/>
          <w:szCs w:val="24"/>
        </w:rPr>
        <w:tab/>
      </w:r>
      <w:r w:rsidR="00032EE9">
        <w:rPr>
          <w:sz w:val="24"/>
          <w:szCs w:val="24"/>
        </w:rPr>
        <w:tab/>
      </w:r>
      <w:r w:rsidRPr="00BE36DF">
        <w:rPr>
          <w:sz w:val="24"/>
          <w:szCs w:val="24"/>
        </w:rPr>
        <w:t>For the reasons set forth in the Joint Petition, as well as the additional factors enumerated in the Statements in Support of Settlement filed by the Settling Parties, the proposed Settlement is in the public interest and supported by substantial evidence.  The Settlement addresses all of the statutory requirements and is therefore recommended for approval in its entirety, without modification.</w:t>
      </w:r>
    </w:p>
    <w:p w:rsidR="00564911" w:rsidRPr="00887018" w:rsidRDefault="00564911" w:rsidP="000D2A5E">
      <w:pPr>
        <w:spacing w:line="360" w:lineRule="auto"/>
        <w:rPr>
          <w:b/>
          <w:sz w:val="24"/>
          <w:szCs w:val="24"/>
        </w:rPr>
      </w:pPr>
      <w:r w:rsidRPr="00887018">
        <w:rPr>
          <w:b/>
          <w:sz w:val="24"/>
          <w:szCs w:val="24"/>
        </w:rPr>
        <w:t xml:space="preserve">   </w:t>
      </w:r>
      <w:r w:rsidRPr="00887018">
        <w:rPr>
          <w:b/>
          <w:sz w:val="24"/>
          <w:szCs w:val="24"/>
        </w:rPr>
        <w:tab/>
      </w:r>
      <w:r w:rsidRPr="00887018">
        <w:rPr>
          <w:b/>
          <w:sz w:val="24"/>
          <w:szCs w:val="24"/>
        </w:rPr>
        <w:tab/>
      </w:r>
    </w:p>
    <w:p w:rsidR="00564911" w:rsidRPr="002A249E" w:rsidRDefault="00912DDF" w:rsidP="00912DDF">
      <w:pPr>
        <w:pStyle w:val="Heading1"/>
        <w:numPr>
          <w:ilvl w:val="0"/>
          <w:numId w:val="0"/>
        </w:numPr>
        <w:spacing w:line="480" w:lineRule="auto"/>
        <w:ind w:left="720" w:hanging="720"/>
        <w:jc w:val="center"/>
        <w:rPr>
          <w:b w:val="0"/>
          <w:szCs w:val="24"/>
        </w:rPr>
      </w:pPr>
      <w:r>
        <w:rPr>
          <w:b w:val="0"/>
          <w:szCs w:val="24"/>
          <w:u w:val="none"/>
        </w:rPr>
        <w:t>ix.</w:t>
      </w:r>
      <w:r>
        <w:rPr>
          <w:b w:val="0"/>
          <w:szCs w:val="24"/>
          <w:u w:val="none"/>
        </w:rPr>
        <w:tab/>
      </w:r>
      <w:r w:rsidR="00564911" w:rsidRPr="002A249E">
        <w:rPr>
          <w:b w:val="0"/>
          <w:szCs w:val="24"/>
        </w:rPr>
        <w:t>CONCLUSIONS OF LAW</w:t>
      </w:r>
    </w:p>
    <w:p w:rsidR="00564911" w:rsidRPr="00887018" w:rsidRDefault="00912DDF" w:rsidP="000B4582">
      <w:pPr>
        <w:pStyle w:val="Heading3"/>
        <w:numPr>
          <w:ilvl w:val="0"/>
          <w:numId w:val="0"/>
        </w:numPr>
        <w:spacing w:after="0" w:line="360" w:lineRule="auto"/>
        <w:ind w:firstLine="720"/>
        <w:jc w:val="left"/>
        <w:rPr>
          <w:b w:val="0"/>
          <w:szCs w:val="24"/>
        </w:rPr>
      </w:pPr>
      <w:r>
        <w:rPr>
          <w:b w:val="0"/>
          <w:szCs w:val="24"/>
        </w:rPr>
        <w:tab/>
        <w:t>1.</w:t>
      </w:r>
      <w:r>
        <w:rPr>
          <w:b w:val="0"/>
          <w:szCs w:val="24"/>
        </w:rPr>
        <w:tab/>
      </w:r>
      <w:r w:rsidR="00564911" w:rsidRPr="00887018">
        <w:rPr>
          <w:b w:val="0"/>
          <w:szCs w:val="24"/>
        </w:rPr>
        <w:t xml:space="preserve">Peoples TWP is a “public utility” and a “natural gas distribution company” as those terms are defined in Sections 102 and 2202 of the Public Utility Code, 66 </w:t>
      </w:r>
      <w:proofErr w:type="spellStart"/>
      <w:r w:rsidR="00564911" w:rsidRPr="00887018">
        <w:rPr>
          <w:b w:val="0"/>
          <w:szCs w:val="24"/>
        </w:rPr>
        <w:t>Pa.C.S</w:t>
      </w:r>
      <w:proofErr w:type="spellEnd"/>
      <w:r w:rsidR="00564911" w:rsidRPr="00887018">
        <w:rPr>
          <w:b w:val="0"/>
          <w:szCs w:val="24"/>
        </w:rPr>
        <w:t xml:space="preserve">. §§ 102, 2202.  </w:t>
      </w:r>
    </w:p>
    <w:p w:rsidR="00564911" w:rsidRPr="00887018" w:rsidRDefault="00564911" w:rsidP="00564911">
      <w:pPr>
        <w:spacing w:line="360" w:lineRule="auto"/>
        <w:ind w:left="360"/>
        <w:rPr>
          <w:sz w:val="24"/>
          <w:szCs w:val="24"/>
        </w:rPr>
      </w:pPr>
    </w:p>
    <w:p w:rsidR="00564911" w:rsidRPr="00887018" w:rsidRDefault="00986C80" w:rsidP="000B4582">
      <w:pPr>
        <w:pStyle w:val="Heading3"/>
        <w:numPr>
          <w:ilvl w:val="0"/>
          <w:numId w:val="0"/>
        </w:numPr>
        <w:spacing w:after="0" w:line="360" w:lineRule="auto"/>
        <w:ind w:firstLine="1440"/>
        <w:jc w:val="left"/>
        <w:rPr>
          <w:b w:val="0"/>
          <w:szCs w:val="24"/>
        </w:rPr>
      </w:pPr>
      <w:r>
        <w:rPr>
          <w:b w:val="0"/>
          <w:szCs w:val="24"/>
        </w:rPr>
        <w:t>2.</w:t>
      </w:r>
      <w:r>
        <w:rPr>
          <w:b w:val="0"/>
          <w:szCs w:val="24"/>
        </w:rPr>
        <w:tab/>
      </w:r>
      <w:r w:rsidR="00564911" w:rsidRPr="00887018">
        <w:rPr>
          <w:b w:val="0"/>
          <w:szCs w:val="24"/>
        </w:rPr>
        <w:t xml:space="preserve">Peoples Division’s annual operating revenues, derived from providing gas service to customers in Pennsylvania, exceed $40 million, and therefore are governed by Section 1307(f) of the Public Utility Code, 66 </w:t>
      </w:r>
      <w:proofErr w:type="spellStart"/>
      <w:r w:rsidR="00564911" w:rsidRPr="00887018">
        <w:rPr>
          <w:b w:val="0"/>
          <w:szCs w:val="24"/>
        </w:rPr>
        <w:t>Pa.C.S</w:t>
      </w:r>
      <w:proofErr w:type="spellEnd"/>
      <w:r w:rsidR="00564911" w:rsidRPr="00887018">
        <w:rPr>
          <w:b w:val="0"/>
          <w:szCs w:val="24"/>
        </w:rPr>
        <w:t xml:space="preserve">. § 1307(f), and the Commission’s regulations at 52 </w:t>
      </w:r>
      <w:proofErr w:type="spellStart"/>
      <w:r w:rsidR="00564911" w:rsidRPr="00887018">
        <w:rPr>
          <w:b w:val="0"/>
          <w:szCs w:val="24"/>
        </w:rPr>
        <w:t>Pa.Code</w:t>
      </w:r>
      <w:proofErr w:type="spellEnd"/>
      <w:r w:rsidR="00564911" w:rsidRPr="00887018">
        <w:rPr>
          <w:b w:val="0"/>
          <w:szCs w:val="24"/>
        </w:rPr>
        <w:t xml:space="preserve"> §§ 53.61-53.65 and 53.68.</w:t>
      </w:r>
    </w:p>
    <w:p w:rsidR="00564911" w:rsidRPr="00887018" w:rsidRDefault="00564911" w:rsidP="000B4582">
      <w:pPr>
        <w:pStyle w:val="ListParagraph"/>
        <w:spacing w:line="360" w:lineRule="auto"/>
        <w:rPr>
          <w:sz w:val="24"/>
          <w:szCs w:val="24"/>
        </w:rPr>
      </w:pPr>
    </w:p>
    <w:p w:rsidR="00564911" w:rsidRDefault="00986C80" w:rsidP="000B4582">
      <w:pPr>
        <w:pStyle w:val="Heading3"/>
        <w:numPr>
          <w:ilvl w:val="0"/>
          <w:numId w:val="0"/>
        </w:numPr>
        <w:spacing w:after="0" w:line="360" w:lineRule="auto"/>
        <w:ind w:firstLine="1440"/>
        <w:jc w:val="left"/>
        <w:rPr>
          <w:b w:val="0"/>
          <w:szCs w:val="24"/>
        </w:rPr>
      </w:pPr>
      <w:r>
        <w:rPr>
          <w:b w:val="0"/>
          <w:szCs w:val="24"/>
        </w:rPr>
        <w:t>3.</w:t>
      </w:r>
      <w:r>
        <w:rPr>
          <w:b w:val="0"/>
          <w:szCs w:val="24"/>
        </w:rPr>
        <w:tab/>
      </w:r>
      <w:r w:rsidR="00564911" w:rsidRPr="00887018">
        <w:rPr>
          <w:b w:val="0"/>
          <w:szCs w:val="24"/>
        </w:rPr>
        <w:t xml:space="preserve">Peoples-Equitable Division’s annual operating revenues, derived from providing gas service to customers in Pennsylvania, exceed $40 million, and therefore are governed by Section 1307(f) of the Public Utility Code, 66 </w:t>
      </w:r>
      <w:proofErr w:type="spellStart"/>
      <w:r w:rsidR="00564911" w:rsidRPr="00887018">
        <w:rPr>
          <w:b w:val="0"/>
          <w:szCs w:val="24"/>
        </w:rPr>
        <w:t>Pa.C.S</w:t>
      </w:r>
      <w:proofErr w:type="spellEnd"/>
      <w:r w:rsidR="00564911" w:rsidRPr="00887018">
        <w:rPr>
          <w:b w:val="0"/>
          <w:szCs w:val="24"/>
        </w:rPr>
        <w:t xml:space="preserve">. § 1307(f), and the Commission’s regulations at 52 </w:t>
      </w:r>
      <w:proofErr w:type="spellStart"/>
      <w:r w:rsidR="00564911" w:rsidRPr="00887018">
        <w:rPr>
          <w:b w:val="0"/>
          <w:szCs w:val="24"/>
        </w:rPr>
        <w:t>Pa.Code</w:t>
      </w:r>
      <w:proofErr w:type="spellEnd"/>
      <w:r w:rsidR="00564911" w:rsidRPr="00887018">
        <w:rPr>
          <w:b w:val="0"/>
          <w:szCs w:val="24"/>
        </w:rPr>
        <w:t xml:space="preserve"> §§ 53.61-53.65 and 53.68.</w:t>
      </w:r>
    </w:p>
    <w:p w:rsidR="000D5353" w:rsidRDefault="00986C80" w:rsidP="000B4582">
      <w:pPr>
        <w:pStyle w:val="Heading3"/>
        <w:numPr>
          <w:ilvl w:val="0"/>
          <w:numId w:val="0"/>
        </w:numPr>
        <w:spacing w:after="0" w:line="360" w:lineRule="auto"/>
        <w:ind w:firstLine="1440"/>
        <w:jc w:val="left"/>
        <w:rPr>
          <w:b w:val="0"/>
          <w:szCs w:val="24"/>
        </w:rPr>
      </w:pPr>
      <w:r>
        <w:rPr>
          <w:b w:val="0"/>
          <w:szCs w:val="24"/>
        </w:rPr>
        <w:lastRenderedPageBreak/>
        <w:t>4.</w:t>
      </w:r>
      <w:r>
        <w:rPr>
          <w:b w:val="0"/>
          <w:szCs w:val="24"/>
        </w:rPr>
        <w:tab/>
      </w:r>
      <w:r w:rsidR="00564911" w:rsidRPr="00887018">
        <w:rPr>
          <w:b w:val="0"/>
          <w:szCs w:val="24"/>
        </w:rPr>
        <w:t xml:space="preserve">The Commission has jurisdiction over the parties and subject matter of this proceeding.  66 </w:t>
      </w:r>
      <w:proofErr w:type="spellStart"/>
      <w:r w:rsidR="00564911" w:rsidRPr="00887018">
        <w:rPr>
          <w:b w:val="0"/>
          <w:szCs w:val="24"/>
        </w:rPr>
        <w:t>Pa.C.S</w:t>
      </w:r>
      <w:proofErr w:type="spellEnd"/>
      <w:r w:rsidR="00564911" w:rsidRPr="00887018">
        <w:rPr>
          <w:b w:val="0"/>
          <w:szCs w:val="24"/>
        </w:rPr>
        <w:t xml:space="preserve">. §§ 1307(f), 1317-18 and 501. et seq. </w:t>
      </w:r>
    </w:p>
    <w:p w:rsidR="000D5353" w:rsidRPr="000D5353" w:rsidRDefault="000D5353" w:rsidP="000B4582">
      <w:pPr>
        <w:pStyle w:val="BodyText2"/>
        <w:spacing w:after="0" w:line="360" w:lineRule="auto"/>
      </w:pPr>
    </w:p>
    <w:p w:rsidR="00564911" w:rsidRDefault="00986C80" w:rsidP="000B4582">
      <w:pPr>
        <w:pStyle w:val="Heading3"/>
        <w:numPr>
          <w:ilvl w:val="0"/>
          <w:numId w:val="0"/>
        </w:numPr>
        <w:spacing w:after="0" w:line="360" w:lineRule="auto"/>
        <w:ind w:firstLine="1440"/>
        <w:jc w:val="left"/>
        <w:rPr>
          <w:b w:val="0"/>
          <w:szCs w:val="24"/>
        </w:rPr>
      </w:pPr>
      <w:r>
        <w:rPr>
          <w:b w:val="0"/>
          <w:szCs w:val="24"/>
        </w:rPr>
        <w:t>5.</w:t>
      </w:r>
      <w:r>
        <w:rPr>
          <w:b w:val="0"/>
          <w:szCs w:val="24"/>
        </w:rPr>
        <w:tab/>
      </w:r>
      <w:r w:rsidR="00564911" w:rsidRPr="00887018">
        <w:rPr>
          <w:b w:val="0"/>
          <w:szCs w:val="24"/>
        </w:rPr>
        <w:t xml:space="preserve">Peoples Division and Peoples-Equitable Division have met the requirements of Section 1318 of the Public Utility Code by pursuing a least cost fuel procurement policy, consistent with their obligations to provide safe, adequate and reliable service to their customers.  66 </w:t>
      </w:r>
      <w:proofErr w:type="spellStart"/>
      <w:r w:rsidR="00564911" w:rsidRPr="00887018">
        <w:rPr>
          <w:b w:val="0"/>
          <w:szCs w:val="24"/>
        </w:rPr>
        <w:t>Pa.C.S</w:t>
      </w:r>
      <w:proofErr w:type="spellEnd"/>
      <w:r w:rsidR="00564911" w:rsidRPr="00887018">
        <w:rPr>
          <w:b w:val="0"/>
          <w:szCs w:val="24"/>
        </w:rPr>
        <w:t xml:space="preserve">. § 1318. </w:t>
      </w:r>
    </w:p>
    <w:p w:rsidR="000D5353" w:rsidRPr="000D5353" w:rsidRDefault="000D5353" w:rsidP="000B4582">
      <w:pPr>
        <w:pStyle w:val="BodyText2"/>
        <w:spacing w:after="0" w:line="360" w:lineRule="auto"/>
      </w:pPr>
    </w:p>
    <w:p w:rsidR="00564911" w:rsidRDefault="00986C80" w:rsidP="000B4582">
      <w:pPr>
        <w:pStyle w:val="Heading3"/>
        <w:numPr>
          <w:ilvl w:val="0"/>
          <w:numId w:val="0"/>
        </w:numPr>
        <w:spacing w:after="0" w:line="360" w:lineRule="auto"/>
        <w:ind w:firstLine="1440"/>
        <w:jc w:val="left"/>
        <w:rPr>
          <w:b w:val="0"/>
          <w:szCs w:val="24"/>
        </w:rPr>
      </w:pPr>
      <w:r>
        <w:rPr>
          <w:b w:val="0"/>
          <w:szCs w:val="24"/>
        </w:rPr>
        <w:t>6.</w:t>
      </w:r>
      <w:r>
        <w:rPr>
          <w:b w:val="0"/>
          <w:szCs w:val="24"/>
        </w:rPr>
        <w:tab/>
      </w:r>
      <w:r w:rsidR="00564911" w:rsidRPr="00887018">
        <w:rPr>
          <w:b w:val="0"/>
          <w:szCs w:val="24"/>
        </w:rPr>
        <w:t xml:space="preserve">Peoples Division’s and Peoples-Equitable Division’s rates for purchased gas costs, as the parties have agreed upon in this proceeding, during the relevant time period are just and reasonable and in compliance with 66 </w:t>
      </w:r>
      <w:proofErr w:type="spellStart"/>
      <w:r w:rsidR="00564911" w:rsidRPr="00887018">
        <w:rPr>
          <w:b w:val="0"/>
          <w:szCs w:val="24"/>
        </w:rPr>
        <w:t>Pa.C.S</w:t>
      </w:r>
      <w:proofErr w:type="spellEnd"/>
      <w:r w:rsidR="00564911" w:rsidRPr="00887018">
        <w:rPr>
          <w:b w:val="0"/>
          <w:szCs w:val="24"/>
        </w:rPr>
        <w:t xml:space="preserve">. § 1318. </w:t>
      </w:r>
    </w:p>
    <w:p w:rsidR="000D5353" w:rsidRPr="000D5353" w:rsidRDefault="000D5353" w:rsidP="001F7872">
      <w:pPr>
        <w:pStyle w:val="BodyText2"/>
        <w:spacing w:after="0" w:line="360" w:lineRule="auto"/>
      </w:pPr>
    </w:p>
    <w:p w:rsidR="00564911" w:rsidRDefault="00986C80" w:rsidP="000B4582">
      <w:pPr>
        <w:pStyle w:val="Heading3"/>
        <w:numPr>
          <w:ilvl w:val="0"/>
          <w:numId w:val="0"/>
        </w:numPr>
        <w:spacing w:after="0" w:line="360" w:lineRule="auto"/>
        <w:ind w:firstLine="1440"/>
        <w:jc w:val="left"/>
        <w:rPr>
          <w:b w:val="0"/>
          <w:szCs w:val="24"/>
        </w:rPr>
      </w:pPr>
      <w:r>
        <w:rPr>
          <w:b w:val="0"/>
          <w:szCs w:val="24"/>
        </w:rPr>
        <w:t>7.</w:t>
      </w:r>
      <w:r>
        <w:rPr>
          <w:b w:val="0"/>
          <w:szCs w:val="24"/>
        </w:rPr>
        <w:tab/>
      </w:r>
      <w:r w:rsidR="00564911" w:rsidRPr="00887018">
        <w:rPr>
          <w:b w:val="0"/>
          <w:szCs w:val="24"/>
        </w:rPr>
        <w:t xml:space="preserve">Peoples Division and Peoples-Equitable Division have fully and vigorously represented the interests of their ratepayers in proceedings before the Federal Energy Regulatory Commission and other relevant non-PUC proceedings during the relevant time period in compliance with 66 </w:t>
      </w:r>
      <w:proofErr w:type="spellStart"/>
      <w:r w:rsidR="00564911" w:rsidRPr="00887018">
        <w:rPr>
          <w:b w:val="0"/>
          <w:szCs w:val="24"/>
        </w:rPr>
        <w:t>Pa.C.S</w:t>
      </w:r>
      <w:proofErr w:type="spellEnd"/>
      <w:r w:rsidR="00564911" w:rsidRPr="00887018">
        <w:rPr>
          <w:b w:val="0"/>
          <w:szCs w:val="24"/>
        </w:rPr>
        <w:t xml:space="preserve">. § 1318(a)(1). </w:t>
      </w:r>
    </w:p>
    <w:p w:rsidR="000D5353" w:rsidRPr="000D5353" w:rsidRDefault="000D5353" w:rsidP="000B4582">
      <w:pPr>
        <w:pStyle w:val="BodyText2"/>
        <w:spacing w:after="0" w:line="360" w:lineRule="auto"/>
      </w:pPr>
    </w:p>
    <w:p w:rsidR="00564911" w:rsidRDefault="00986C80" w:rsidP="000B4582">
      <w:pPr>
        <w:pStyle w:val="Heading3"/>
        <w:numPr>
          <w:ilvl w:val="0"/>
          <w:numId w:val="0"/>
        </w:numPr>
        <w:spacing w:after="0" w:line="360" w:lineRule="auto"/>
        <w:ind w:firstLine="1440"/>
        <w:jc w:val="left"/>
        <w:rPr>
          <w:b w:val="0"/>
          <w:szCs w:val="24"/>
        </w:rPr>
      </w:pPr>
      <w:r>
        <w:rPr>
          <w:b w:val="0"/>
          <w:szCs w:val="24"/>
        </w:rPr>
        <w:t>8.</w:t>
      </w:r>
      <w:r>
        <w:rPr>
          <w:b w:val="0"/>
          <w:szCs w:val="24"/>
        </w:rPr>
        <w:tab/>
      </w:r>
      <w:r w:rsidR="00564911" w:rsidRPr="00887018">
        <w:rPr>
          <w:b w:val="0"/>
          <w:szCs w:val="24"/>
        </w:rPr>
        <w:t xml:space="preserve">Peoples Division and Peoples-Equitable Division have taken all prudent steps necessary to negotiate favorable gas supply contracts and to relieve the utilities from terms in existing contracts with their gas suppliers which are or may be adverse to the interests of the utilities’ ratepayers in compliance with 66 </w:t>
      </w:r>
      <w:proofErr w:type="spellStart"/>
      <w:r w:rsidR="00564911" w:rsidRPr="00887018">
        <w:rPr>
          <w:b w:val="0"/>
          <w:szCs w:val="24"/>
        </w:rPr>
        <w:t>Pa.C.S</w:t>
      </w:r>
      <w:proofErr w:type="spellEnd"/>
      <w:r w:rsidR="00564911" w:rsidRPr="00887018">
        <w:rPr>
          <w:b w:val="0"/>
          <w:szCs w:val="24"/>
        </w:rPr>
        <w:t>. § 1318(a</w:t>
      </w:r>
      <w:proofErr w:type="gramStart"/>
      <w:r w:rsidR="00564911" w:rsidRPr="00887018">
        <w:rPr>
          <w:b w:val="0"/>
          <w:szCs w:val="24"/>
        </w:rPr>
        <w:t>)(</w:t>
      </w:r>
      <w:proofErr w:type="gramEnd"/>
      <w:r w:rsidR="00564911" w:rsidRPr="00887018">
        <w:rPr>
          <w:b w:val="0"/>
          <w:szCs w:val="24"/>
        </w:rPr>
        <w:t xml:space="preserve">2). </w:t>
      </w:r>
    </w:p>
    <w:p w:rsidR="00983088" w:rsidRPr="00983088" w:rsidRDefault="00983088" w:rsidP="00983088">
      <w:pPr>
        <w:pStyle w:val="BodyText2"/>
        <w:spacing w:line="360" w:lineRule="auto"/>
      </w:pPr>
    </w:p>
    <w:p w:rsidR="00564911" w:rsidRDefault="00986C80" w:rsidP="000B4582">
      <w:pPr>
        <w:pStyle w:val="Heading3"/>
        <w:numPr>
          <w:ilvl w:val="0"/>
          <w:numId w:val="0"/>
        </w:numPr>
        <w:spacing w:after="0" w:line="360" w:lineRule="auto"/>
        <w:ind w:firstLine="1440"/>
        <w:jc w:val="left"/>
        <w:rPr>
          <w:b w:val="0"/>
          <w:szCs w:val="24"/>
        </w:rPr>
      </w:pPr>
      <w:r>
        <w:rPr>
          <w:b w:val="0"/>
          <w:szCs w:val="24"/>
        </w:rPr>
        <w:t>9.</w:t>
      </w:r>
      <w:r>
        <w:rPr>
          <w:b w:val="0"/>
          <w:szCs w:val="24"/>
        </w:rPr>
        <w:tab/>
      </w:r>
      <w:r w:rsidR="00564911" w:rsidRPr="00887018">
        <w:rPr>
          <w:b w:val="0"/>
          <w:szCs w:val="24"/>
        </w:rPr>
        <w:t xml:space="preserve">Peoples Division and Peoples-Equitable Division have taken all prudent steps necessary to obtain lower cost gas supplies on both short-term and long-term bases both within and outside the Commonwealth, including the use of gas transportation arrangements with pipelines and other distribution companies in compliance with 66 </w:t>
      </w:r>
      <w:proofErr w:type="spellStart"/>
      <w:r w:rsidR="00564911" w:rsidRPr="00887018">
        <w:rPr>
          <w:b w:val="0"/>
          <w:szCs w:val="24"/>
        </w:rPr>
        <w:t>Pa.C.S</w:t>
      </w:r>
      <w:proofErr w:type="spellEnd"/>
      <w:r w:rsidR="00564911" w:rsidRPr="00887018">
        <w:rPr>
          <w:b w:val="0"/>
          <w:szCs w:val="24"/>
        </w:rPr>
        <w:t>. § 1318(a</w:t>
      </w:r>
      <w:proofErr w:type="gramStart"/>
      <w:r w:rsidR="00564911" w:rsidRPr="00887018">
        <w:rPr>
          <w:b w:val="0"/>
          <w:szCs w:val="24"/>
        </w:rPr>
        <w:t>)(</w:t>
      </w:r>
      <w:proofErr w:type="gramEnd"/>
      <w:r w:rsidR="00564911" w:rsidRPr="00887018">
        <w:rPr>
          <w:b w:val="0"/>
          <w:szCs w:val="24"/>
        </w:rPr>
        <w:t xml:space="preserve">3). </w:t>
      </w:r>
    </w:p>
    <w:p w:rsidR="000D5353" w:rsidRPr="000D5353" w:rsidRDefault="000D5353" w:rsidP="000B4582">
      <w:pPr>
        <w:pStyle w:val="BodyText2"/>
        <w:spacing w:after="0" w:line="360" w:lineRule="auto"/>
      </w:pPr>
    </w:p>
    <w:p w:rsidR="00564911" w:rsidRDefault="00986C80" w:rsidP="000B4582">
      <w:pPr>
        <w:pStyle w:val="Heading3"/>
        <w:numPr>
          <w:ilvl w:val="0"/>
          <w:numId w:val="0"/>
        </w:numPr>
        <w:spacing w:after="0" w:line="360" w:lineRule="auto"/>
        <w:ind w:firstLine="1440"/>
        <w:jc w:val="left"/>
        <w:rPr>
          <w:b w:val="0"/>
          <w:szCs w:val="24"/>
        </w:rPr>
      </w:pPr>
      <w:r>
        <w:rPr>
          <w:b w:val="0"/>
          <w:szCs w:val="24"/>
        </w:rPr>
        <w:t>10.</w:t>
      </w:r>
      <w:r>
        <w:rPr>
          <w:b w:val="0"/>
          <w:szCs w:val="24"/>
        </w:rPr>
        <w:tab/>
      </w:r>
      <w:r w:rsidR="00564911" w:rsidRPr="00887018">
        <w:rPr>
          <w:b w:val="0"/>
          <w:szCs w:val="24"/>
        </w:rPr>
        <w:t xml:space="preserve">Peoples Division and Peoples-Equitable Division have not withheld from the market or caused to be withheld from the market any gas supplies which should have been utilized as part of a least cost fuel procurement policy in compliance with 66 </w:t>
      </w:r>
      <w:proofErr w:type="spellStart"/>
      <w:r w:rsidR="00564911" w:rsidRPr="00887018">
        <w:rPr>
          <w:b w:val="0"/>
          <w:szCs w:val="24"/>
        </w:rPr>
        <w:t>Pa.C.S</w:t>
      </w:r>
      <w:proofErr w:type="spellEnd"/>
      <w:r w:rsidR="00564911" w:rsidRPr="00887018">
        <w:rPr>
          <w:b w:val="0"/>
          <w:szCs w:val="24"/>
        </w:rPr>
        <w:t xml:space="preserve">. § 1318(a)(4). </w:t>
      </w:r>
    </w:p>
    <w:p w:rsidR="00564911" w:rsidRDefault="00986C80" w:rsidP="000B4582">
      <w:pPr>
        <w:pStyle w:val="Heading3"/>
        <w:numPr>
          <w:ilvl w:val="0"/>
          <w:numId w:val="0"/>
        </w:numPr>
        <w:spacing w:after="0" w:line="360" w:lineRule="auto"/>
        <w:ind w:firstLine="1440"/>
        <w:jc w:val="left"/>
        <w:rPr>
          <w:b w:val="0"/>
          <w:szCs w:val="24"/>
        </w:rPr>
      </w:pPr>
      <w:r>
        <w:rPr>
          <w:b w:val="0"/>
          <w:szCs w:val="24"/>
        </w:rPr>
        <w:lastRenderedPageBreak/>
        <w:t>11.</w:t>
      </w:r>
      <w:r>
        <w:rPr>
          <w:b w:val="0"/>
          <w:szCs w:val="24"/>
        </w:rPr>
        <w:tab/>
      </w:r>
      <w:r w:rsidR="00564911" w:rsidRPr="00887018">
        <w:rPr>
          <w:b w:val="0"/>
          <w:szCs w:val="24"/>
        </w:rPr>
        <w:t xml:space="preserve">Peoples Division and Peoples-Equitable Division have fully and vigorously attempted to obtain less costly gas supplies on both short-term and long-term bases from nonaffiliated interests in compliance with 66 </w:t>
      </w:r>
      <w:proofErr w:type="spellStart"/>
      <w:r w:rsidR="00564911" w:rsidRPr="00887018">
        <w:rPr>
          <w:b w:val="0"/>
          <w:szCs w:val="24"/>
        </w:rPr>
        <w:t>Pa.C.S</w:t>
      </w:r>
      <w:proofErr w:type="spellEnd"/>
      <w:r w:rsidR="00564911" w:rsidRPr="00887018">
        <w:rPr>
          <w:b w:val="0"/>
          <w:szCs w:val="24"/>
        </w:rPr>
        <w:t>. § 1318(b</w:t>
      </w:r>
      <w:proofErr w:type="gramStart"/>
      <w:r w:rsidR="00564911" w:rsidRPr="00887018">
        <w:rPr>
          <w:b w:val="0"/>
          <w:szCs w:val="24"/>
        </w:rPr>
        <w:t>)(</w:t>
      </w:r>
      <w:proofErr w:type="gramEnd"/>
      <w:r w:rsidR="00564911" w:rsidRPr="00887018">
        <w:rPr>
          <w:b w:val="0"/>
          <w:szCs w:val="24"/>
        </w:rPr>
        <w:t xml:space="preserve">1). </w:t>
      </w:r>
    </w:p>
    <w:p w:rsidR="000D5353" w:rsidRPr="000D5353" w:rsidRDefault="000D5353" w:rsidP="000B4582">
      <w:pPr>
        <w:pStyle w:val="BodyText2"/>
        <w:spacing w:after="0" w:line="360" w:lineRule="auto"/>
      </w:pPr>
    </w:p>
    <w:p w:rsidR="00564911" w:rsidRDefault="00986C80" w:rsidP="000B4582">
      <w:pPr>
        <w:pStyle w:val="Heading3"/>
        <w:numPr>
          <w:ilvl w:val="0"/>
          <w:numId w:val="0"/>
        </w:numPr>
        <w:spacing w:after="0" w:line="360" w:lineRule="auto"/>
        <w:ind w:left="-90" w:firstLine="1530"/>
        <w:jc w:val="left"/>
        <w:rPr>
          <w:b w:val="0"/>
          <w:szCs w:val="24"/>
        </w:rPr>
      </w:pPr>
      <w:r>
        <w:rPr>
          <w:b w:val="0"/>
          <w:szCs w:val="24"/>
        </w:rPr>
        <w:t>12.</w:t>
      </w:r>
      <w:r>
        <w:rPr>
          <w:b w:val="0"/>
          <w:szCs w:val="24"/>
        </w:rPr>
        <w:tab/>
      </w:r>
      <w:r w:rsidR="00564911" w:rsidRPr="00887018">
        <w:rPr>
          <w:b w:val="0"/>
          <w:szCs w:val="24"/>
        </w:rPr>
        <w:t xml:space="preserve">Neither Peoples Division, nor Peoples-Equitable Division, nor their affiliated interests have withheld from the market any gas supplies which should have been utilized as part of a least cost fuel procurement policy in compliance with 66 </w:t>
      </w:r>
      <w:proofErr w:type="spellStart"/>
      <w:r w:rsidR="00564911" w:rsidRPr="00887018">
        <w:rPr>
          <w:b w:val="0"/>
          <w:szCs w:val="24"/>
        </w:rPr>
        <w:t>Pa.C.S</w:t>
      </w:r>
      <w:proofErr w:type="spellEnd"/>
      <w:r w:rsidR="00564911" w:rsidRPr="00887018">
        <w:rPr>
          <w:b w:val="0"/>
          <w:szCs w:val="24"/>
        </w:rPr>
        <w:t xml:space="preserve">. § 1318(b)(3). </w:t>
      </w:r>
    </w:p>
    <w:p w:rsidR="000D5353" w:rsidRPr="000D5353" w:rsidRDefault="000D5353" w:rsidP="000B4582">
      <w:pPr>
        <w:pStyle w:val="BodyText2"/>
        <w:spacing w:after="0" w:line="360" w:lineRule="auto"/>
      </w:pPr>
    </w:p>
    <w:p w:rsidR="00564911" w:rsidRPr="00887018" w:rsidRDefault="00986C80" w:rsidP="000B4582">
      <w:pPr>
        <w:pStyle w:val="Heading3"/>
        <w:numPr>
          <w:ilvl w:val="0"/>
          <w:numId w:val="0"/>
        </w:numPr>
        <w:spacing w:after="0" w:line="360" w:lineRule="auto"/>
        <w:ind w:left="1440"/>
        <w:jc w:val="left"/>
        <w:rPr>
          <w:b w:val="0"/>
          <w:szCs w:val="24"/>
        </w:rPr>
      </w:pPr>
      <w:r>
        <w:rPr>
          <w:b w:val="0"/>
          <w:szCs w:val="24"/>
        </w:rPr>
        <w:t>13.</w:t>
      </w:r>
      <w:r>
        <w:rPr>
          <w:b w:val="0"/>
          <w:szCs w:val="24"/>
        </w:rPr>
        <w:tab/>
      </w:r>
      <w:r w:rsidR="00564911" w:rsidRPr="00887018">
        <w:rPr>
          <w:b w:val="0"/>
          <w:szCs w:val="24"/>
        </w:rPr>
        <w:t xml:space="preserve">The Joint Petition for Settlement is in the public interest. </w:t>
      </w:r>
    </w:p>
    <w:p w:rsidR="00564911" w:rsidRPr="00887018" w:rsidRDefault="00564911" w:rsidP="00564911">
      <w:pPr>
        <w:spacing w:line="360" w:lineRule="auto"/>
        <w:rPr>
          <w:sz w:val="24"/>
          <w:szCs w:val="24"/>
        </w:rPr>
      </w:pPr>
    </w:p>
    <w:p w:rsidR="00564911" w:rsidRPr="00887018" w:rsidRDefault="00986C80" w:rsidP="00564911">
      <w:pPr>
        <w:spacing w:line="360" w:lineRule="auto"/>
        <w:jc w:val="center"/>
        <w:rPr>
          <w:sz w:val="24"/>
          <w:szCs w:val="24"/>
          <w:u w:val="single"/>
        </w:rPr>
      </w:pPr>
      <w:r>
        <w:rPr>
          <w:sz w:val="24"/>
          <w:szCs w:val="24"/>
        </w:rPr>
        <w:t>X</w:t>
      </w:r>
      <w:r w:rsidR="00564911" w:rsidRPr="00887018">
        <w:rPr>
          <w:sz w:val="24"/>
          <w:szCs w:val="24"/>
        </w:rPr>
        <w:t>.</w:t>
      </w:r>
      <w:r w:rsidR="00564911" w:rsidRPr="00887018">
        <w:rPr>
          <w:sz w:val="24"/>
          <w:szCs w:val="24"/>
        </w:rPr>
        <w:tab/>
      </w:r>
      <w:r w:rsidR="00564911" w:rsidRPr="00887018">
        <w:rPr>
          <w:sz w:val="24"/>
          <w:szCs w:val="24"/>
          <w:u w:val="single"/>
        </w:rPr>
        <w:t>ORDER</w:t>
      </w:r>
    </w:p>
    <w:p w:rsidR="00564911" w:rsidRPr="00887018" w:rsidRDefault="00564911" w:rsidP="00564911">
      <w:pPr>
        <w:spacing w:line="360" w:lineRule="auto"/>
        <w:jc w:val="center"/>
        <w:rPr>
          <w:sz w:val="24"/>
          <w:szCs w:val="24"/>
        </w:rPr>
      </w:pPr>
    </w:p>
    <w:p w:rsidR="00564911" w:rsidRPr="00887018" w:rsidRDefault="00564911" w:rsidP="00564911">
      <w:pPr>
        <w:spacing w:line="360" w:lineRule="auto"/>
        <w:rPr>
          <w:sz w:val="24"/>
          <w:szCs w:val="24"/>
        </w:rPr>
      </w:pPr>
    </w:p>
    <w:p w:rsidR="00564911" w:rsidRPr="00887018" w:rsidRDefault="00564911" w:rsidP="00564911">
      <w:pPr>
        <w:spacing w:line="360" w:lineRule="auto"/>
        <w:ind w:firstLine="1440"/>
        <w:rPr>
          <w:sz w:val="24"/>
          <w:szCs w:val="24"/>
        </w:rPr>
      </w:pPr>
      <w:r w:rsidRPr="00887018">
        <w:rPr>
          <w:sz w:val="24"/>
          <w:szCs w:val="24"/>
        </w:rPr>
        <w:t>THEREFORE,</w:t>
      </w:r>
    </w:p>
    <w:p w:rsidR="00564911" w:rsidRPr="00887018" w:rsidRDefault="00564911" w:rsidP="00564911">
      <w:pPr>
        <w:spacing w:line="360" w:lineRule="auto"/>
        <w:ind w:firstLine="1440"/>
        <w:rPr>
          <w:sz w:val="24"/>
          <w:szCs w:val="24"/>
        </w:rPr>
      </w:pPr>
    </w:p>
    <w:p w:rsidR="00564911" w:rsidRPr="00887018" w:rsidRDefault="00564911" w:rsidP="00564911">
      <w:pPr>
        <w:spacing w:line="360" w:lineRule="auto"/>
        <w:ind w:firstLine="1440"/>
        <w:rPr>
          <w:sz w:val="24"/>
          <w:szCs w:val="24"/>
        </w:rPr>
      </w:pPr>
      <w:r w:rsidRPr="00887018">
        <w:rPr>
          <w:sz w:val="24"/>
          <w:szCs w:val="24"/>
        </w:rPr>
        <w:t>IT IS RECOMMENDED:</w:t>
      </w:r>
    </w:p>
    <w:p w:rsidR="00564911" w:rsidRPr="00887018" w:rsidRDefault="00564911" w:rsidP="00564911">
      <w:pPr>
        <w:spacing w:line="360" w:lineRule="auto"/>
        <w:ind w:firstLine="1440"/>
        <w:rPr>
          <w:sz w:val="24"/>
          <w:szCs w:val="24"/>
        </w:rPr>
      </w:pPr>
    </w:p>
    <w:p w:rsidR="00564911" w:rsidRDefault="00986C80" w:rsidP="00986C80">
      <w:pPr>
        <w:pStyle w:val="ListNumber"/>
        <w:numPr>
          <w:ilvl w:val="0"/>
          <w:numId w:val="0"/>
        </w:numPr>
        <w:tabs>
          <w:tab w:val="left" w:pos="0"/>
        </w:tabs>
        <w:spacing w:line="360" w:lineRule="auto"/>
      </w:pPr>
      <w:r>
        <w:tab/>
      </w:r>
      <w:r>
        <w:tab/>
        <w:t>1.</w:t>
      </w:r>
      <w:r>
        <w:tab/>
      </w:r>
      <w:r w:rsidR="00564911" w:rsidRPr="00887018">
        <w:t xml:space="preserve">That the Settlement among Peoples Natural Gas Company LLC, acting on behalf of its Peoples Division and Peoples-Equitable Division, the Pennsylvania Public Utility Commission’s Bureau of Investigation and Enforcement, the Office of Consumer Advocate, and the Office of Small Business Advocate in the above-captioned case, filed at Docket Nos. R-2015-2465172 and R-2015-2465181 is hereby approved and adopted. </w:t>
      </w:r>
    </w:p>
    <w:p w:rsidR="00986C80" w:rsidRPr="00887018" w:rsidRDefault="00986C80" w:rsidP="00986C80">
      <w:pPr>
        <w:pStyle w:val="ListNumber"/>
        <w:numPr>
          <w:ilvl w:val="0"/>
          <w:numId w:val="0"/>
        </w:numPr>
        <w:tabs>
          <w:tab w:val="left" w:pos="0"/>
        </w:tabs>
        <w:spacing w:line="360" w:lineRule="auto"/>
      </w:pPr>
    </w:p>
    <w:p w:rsidR="00564911" w:rsidRDefault="00986C80" w:rsidP="00986C80">
      <w:pPr>
        <w:pStyle w:val="ListNumber"/>
        <w:numPr>
          <w:ilvl w:val="0"/>
          <w:numId w:val="0"/>
        </w:numPr>
        <w:tabs>
          <w:tab w:val="left" w:pos="0"/>
        </w:tabs>
        <w:spacing w:line="360" w:lineRule="auto"/>
      </w:pPr>
      <w:r>
        <w:tab/>
      </w:r>
      <w:r>
        <w:tab/>
        <w:t>2.</w:t>
      </w:r>
      <w:r>
        <w:tab/>
      </w:r>
      <w:r w:rsidR="00564911" w:rsidRPr="00887018">
        <w:t>That Peoples Natural Gas Company LLC shall file tariff supplements, on behalf of Peoples Division and Peoples –Equitable Division, to become effective on October 1, 2015, on not less than one-</w:t>
      </w:r>
      <w:proofErr w:type="spellStart"/>
      <w:r w:rsidR="00564911" w:rsidRPr="00887018">
        <w:t>day’s notice</w:t>
      </w:r>
      <w:proofErr w:type="spellEnd"/>
      <w:r w:rsidR="00564911" w:rsidRPr="00887018">
        <w:t xml:space="preserve"> of the final Commission order approving the Settlement, containing changes in rates to provide for the recovery of its costs of purchased gas, consistent with the terms and conditions of the Settlement. </w:t>
      </w:r>
    </w:p>
    <w:p w:rsidR="00986C80" w:rsidRPr="00887018" w:rsidRDefault="00986C80" w:rsidP="00986C80">
      <w:pPr>
        <w:pStyle w:val="ListNumber"/>
        <w:numPr>
          <w:ilvl w:val="0"/>
          <w:numId w:val="0"/>
        </w:numPr>
        <w:tabs>
          <w:tab w:val="left" w:pos="0"/>
        </w:tabs>
        <w:spacing w:line="360" w:lineRule="auto"/>
      </w:pPr>
    </w:p>
    <w:p w:rsidR="00564911" w:rsidRDefault="00986C80" w:rsidP="00986C80">
      <w:pPr>
        <w:pStyle w:val="ListNumber"/>
        <w:numPr>
          <w:ilvl w:val="0"/>
          <w:numId w:val="0"/>
        </w:numPr>
        <w:tabs>
          <w:tab w:val="left" w:pos="0"/>
        </w:tabs>
        <w:spacing w:line="360" w:lineRule="auto"/>
      </w:pPr>
      <w:r>
        <w:lastRenderedPageBreak/>
        <w:tab/>
      </w:r>
      <w:r>
        <w:tab/>
        <w:t>3.</w:t>
      </w:r>
      <w:r>
        <w:tab/>
      </w:r>
      <w:r w:rsidR="00564911" w:rsidRPr="00887018">
        <w:t xml:space="preserve">That Peoples Natural Gas Company LLC, the Pennsylvania Public Utility Commission’s Bureau of Investigation and Enforcement, the Office of Consumer Advocate, and the Office of Small Business Advocate shall comply with the terms and conditions of the Settlement submitted in this proceeding as though each term and condition stated therein had been subject of an individual ordering paragraph. </w:t>
      </w:r>
    </w:p>
    <w:p w:rsidR="00986C80" w:rsidRPr="00887018" w:rsidRDefault="00986C80" w:rsidP="00986C80">
      <w:pPr>
        <w:pStyle w:val="ListNumber"/>
        <w:numPr>
          <w:ilvl w:val="0"/>
          <w:numId w:val="0"/>
        </w:numPr>
        <w:tabs>
          <w:tab w:val="left" w:pos="0"/>
        </w:tabs>
        <w:spacing w:line="360" w:lineRule="auto"/>
      </w:pPr>
    </w:p>
    <w:p w:rsidR="00564911" w:rsidRPr="00887018" w:rsidRDefault="00986C80" w:rsidP="00986C80">
      <w:pPr>
        <w:pStyle w:val="ListNumber"/>
        <w:numPr>
          <w:ilvl w:val="0"/>
          <w:numId w:val="0"/>
        </w:numPr>
        <w:tabs>
          <w:tab w:val="left" w:pos="0"/>
        </w:tabs>
        <w:spacing w:line="360" w:lineRule="auto"/>
      </w:pPr>
      <w:r>
        <w:tab/>
      </w:r>
      <w:r>
        <w:tab/>
        <w:t>4.</w:t>
      </w:r>
      <w:r>
        <w:tab/>
      </w:r>
      <w:r w:rsidR="00564911" w:rsidRPr="00887018">
        <w:t xml:space="preserve">That upon Peoples Natural Gas Company LLC’s filing of tariff supplements acceptable to the Commission as conforming with this order and the Settlement and the Commission’s approval thereof, the purchased gas rates established therein shall become effective for service rendered on and after October 1, 2015. </w:t>
      </w:r>
    </w:p>
    <w:p w:rsidR="00564911" w:rsidRPr="00887018" w:rsidRDefault="00564911" w:rsidP="00986C80">
      <w:pPr>
        <w:pStyle w:val="ListNumber"/>
        <w:numPr>
          <w:ilvl w:val="0"/>
          <w:numId w:val="0"/>
        </w:numPr>
        <w:tabs>
          <w:tab w:val="left" w:pos="0"/>
        </w:tabs>
        <w:spacing w:line="360" w:lineRule="auto"/>
      </w:pPr>
    </w:p>
    <w:p w:rsidR="00564911" w:rsidRPr="00887018" w:rsidRDefault="00986C80" w:rsidP="00986C80">
      <w:pPr>
        <w:pStyle w:val="ListNumber"/>
        <w:numPr>
          <w:ilvl w:val="0"/>
          <w:numId w:val="0"/>
        </w:numPr>
        <w:tabs>
          <w:tab w:val="left" w:pos="0"/>
        </w:tabs>
        <w:spacing w:line="360" w:lineRule="auto"/>
      </w:pPr>
      <w:r>
        <w:tab/>
      </w:r>
      <w:r>
        <w:tab/>
        <w:t>5.</w:t>
      </w:r>
      <w:r>
        <w:tab/>
      </w:r>
      <w:r w:rsidR="00564911" w:rsidRPr="00887018">
        <w:t xml:space="preserve">That the complaints filed by the Office of Small Business Advocate in these proceedings at Docket Nos. C-2015-2472257 and C-2015-2472271 be marked satisfied. </w:t>
      </w:r>
    </w:p>
    <w:p w:rsidR="00564911" w:rsidRPr="00887018" w:rsidRDefault="00564911" w:rsidP="00986C80">
      <w:pPr>
        <w:pStyle w:val="ListNumber"/>
        <w:numPr>
          <w:ilvl w:val="0"/>
          <w:numId w:val="0"/>
        </w:numPr>
        <w:tabs>
          <w:tab w:val="left" w:pos="0"/>
        </w:tabs>
        <w:spacing w:line="360" w:lineRule="auto"/>
      </w:pPr>
    </w:p>
    <w:p w:rsidR="00564911" w:rsidRPr="00887018" w:rsidRDefault="00986C80" w:rsidP="00986C80">
      <w:pPr>
        <w:pStyle w:val="ListNumber"/>
        <w:numPr>
          <w:ilvl w:val="0"/>
          <w:numId w:val="0"/>
        </w:numPr>
        <w:tabs>
          <w:tab w:val="left" w:pos="0"/>
        </w:tabs>
        <w:spacing w:line="360" w:lineRule="auto"/>
      </w:pPr>
      <w:r>
        <w:tab/>
      </w:r>
      <w:r>
        <w:tab/>
        <w:t>6.</w:t>
      </w:r>
      <w:r>
        <w:tab/>
      </w:r>
      <w:r w:rsidR="00564911" w:rsidRPr="00887018">
        <w:t xml:space="preserve">That the complaints filed by the Office of Consumer Advocate in these proceedings at Docket Nos. C-2015-2472614 and C-2015-2472826 be marked satisfied. </w:t>
      </w:r>
    </w:p>
    <w:p w:rsidR="00564911" w:rsidRPr="00887018" w:rsidRDefault="00564911" w:rsidP="00986C80">
      <w:pPr>
        <w:pStyle w:val="ListNumber"/>
        <w:numPr>
          <w:ilvl w:val="0"/>
          <w:numId w:val="0"/>
        </w:numPr>
        <w:tabs>
          <w:tab w:val="left" w:pos="0"/>
        </w:tabs>
        <w:spacing w:line="360" w:lineRule="auto"/>
      </w:pPr>
    </w:p>
    <w:p w:rsidR="00564911" w:rsidRPr="00887018" w:rsidRDefault="00986C80" w:rsidP="00986C80">
      <w:pPr>
        <w:pStyle w:val="ListNumber"/>
        <w:numPr>
          <w:ilvl w:val="0"/>
          <w:numId w:val="0"/>
        </w:numPr>
        <w:tabs>
          <w:tab w:val="left" w:pos="0"/>
        </w:tabs>
        <w:spacing w:line="360" w:lineRule="auto"/>
      </w:pPr>
      <w:r>
        <w:tab/>
      </w:r>
      <w:r>
        <w:tab/>
        <w:t>7.</w:t>
      </w:r>
      <w:r>
        <w:tab/>
      </w:r>
      <w:r w:rsidR="00564911" w:rsidRPr="00887018">
        <w:t xml:space="preserve">That upon acceptance and approval by the Commission of the tariff supplement and supporting data filed by Peoples Natural Gas Company LLC, for Peoples Division, as being consistent with this Order and the Joint Petition for Settlement of the Rate Investigation pursuant to 66 </w:t>
      </w:r>
      <w:proofErr w:type="spellStart"/>
      <w:r w:rsidR="00564911" w:rsidRPr="00887018">
        <w:t>Pa.C.S.A</w:t>
      </w:r>
      <w:proofErr w:type="spellEnd"/>
      <w:r w:rsidR="00564911" w:rsidRPr="00887018">
        <w:t>. § 1307(f), the inquiry and investigation at Docket No. R</w:t>
      </w:r>
      <w:r w:rsidR="00564911" w:rsidRPr="00887018">
        <w:noBreakHyphen/>
        <w:t>2015-2465172  be terminated and the docket marked closed; and that the dockets be marked closed at Docket Nos.</w:t>
      </w:r>
      <w:r w:rsidR="00564911" w:rsidRPr="00887018">
        <w:rPr>
          <w:snapToGrid w:val="0"/>
        </w:rPr>
        <w:t xml:space="preserve"> C-2015-2472257 and C-2015-2472614.</w:t>
      </w:r>
      <w:r w:rsidR="00564911" w:rsidRPr="00887018">
        <w:t xml:space="preserve">  </w:t>
      </w:r>
    </w:p>
    <w:p w:rsidR="00564911" w:rsidRPr="00887018" w:rsidRDefault="00564911" w:rsidP="00986C80">
      <w:pPr>
        <w:pStyle w:val="ListNumber"/>
        <w:numPr>
          <w:ilvl w:val="0"/>
          <w:numId w:val="0"/>
        </w:numPr>
        <w:tabs>
          <w:tab w:val="left" w:pos="0"/>
        </w:tabs>
        <w:spacing w:line="360" w:lineRule="auto"/>
      </w:pPr>
    </w:p>
    <w:p w:rsidR="00FA75B2" w:rsidRDefault="00986C80" w:rsidP="00986C80">
      <w:pPr>
        <w:pStyle w:val="ListNumber"/>
        <w:numPr>
          <w:ilvl w:val="0"/>
          <w:numId w:val="0"/>
        </w:numPr>
        <w:tabs>
          <w:tab w:val="left" w:pos="0"/>
        </w:tabs>
        <w:spacing w:line="360" w:lineRule="auto"/>
        <w:ind w:firstLine="1440"/>
      </w:pPr>
      <w:r>
        <w:t>8.</w:t>
      </w:r>
      <w:r>
        <w:tab/>
      </w:r>
      <w:r w:rsidR="00564911" w:rsidRPr="00887018">
        <w:t xml:space="preserve">That upon acceptance and approval by the Commission of the tariff supplement and supporting data filed by Peoples Natural Gas Company LLC, for Peoples-Equitable Division, as being consistent with this Order and the Joint Petition for Settlement of the Rate Investigation pursuant to 66 </w:t>
      </w:r>
      <w:proofErr w:type="spellStart"/>
      <w:r w:rsidR="00564911" w:rsidRPr="00887018">
        <w:t>Pa.C.S.A</w:t>
      </w:r>
      <w:proofErr w:type="spellEnd"/>
      <w:r w:rsidR="00564911" w:rsidRPr="00887018">
        <w:t xml:space="preserve">. § 1307(f), the inquiry and investigation at </w:t>
      </w:r>
    </w:p>
    <w:p w:rsidR="00FA75B2" w:rsidRDefault="00FA75B2" w:rsidP="00986C80">
      <w:pPr>
        <w:pStyle w:val="ListNumber"/>
        <w:numPr>
          <w:ilvl w:val="0"/>
          <w:numId w:val="0"/>
        </w:numPr>
        <w:tabs>
          <w:tab w:val="left" w:pos="0"/>
        </w:tabs>
        <w:spacing w:line="360" w:lineRule="auto"/>
        <w:ind w:firstLine="1440"/>
      </w:pPr>
    </w:p>
    <w:p w:rsidR="00FA75B2" w:rsidRDefault="00FA75B2" w:rsidP="00986C80">
      <w:pPr>
        <w:pStyle w:val="ListNumber"/>
        <w:numPr>
          <w:ilvl w:val="0"/>
          <w:numId w:val="0"/>
        </w:numPr>
        <w:tabs>
          <w:tab w:val="left" w:pos="0"/>
        </w:tabs>
        <w:spacing w:line="360" w:lineRule="auto"/>
        <w:ind w:firstLine="1440"/>
      </w:pPr>
    </w:p>
    <w:p w:rsidR="00564911" w:rsidRPr="00887018" w:rsidRDefault="00564911" w:rsidP="00FA75B2">
      <w:pPr>
        <w:pStyle w:val="ListNumber"/>
        <w:numPr>
          <w:ilvl w:val="0"/>
          <w:numId w:val="0"/>
        </w:numPr>
        <w:tabs>
          <w:tab w:val="left" w:pos="0"/>
        </w:tabs>
        <w:spacing w:line="360" w:lineRule="auto"/>
      </w:pPr>
      <w:r w:rsidRPr="00887018">
        <w:lastRenderedPageBreak/>
        <w:t>Docket No. R</w:t>
      </w:r>
      <w:r w:rsidRPr="00887018">
        <w:noBreakHyphen/>
        <w:t>2015-2465181  be terminated and the docket marked closed; and that the dockets be marked closed at Docket Nos.</w:t>
      </w:r>
      <w:r w:rsidRPr="00887018">
        <w:rPr>
          <w:snapToGrid w:val="0"/>
        </w:rPr>
        <w:t xml:space="preserve"> C-2015-2472271 and C-2015-2472826.</w:t>
      </w:r>
      <w:r w:rsidRPr="00887018">
        <w:t xml:space="preserve">  </w:t>
      </w:r>
    </w:p>
    <w:p w:rsidR="00564911" w:rsidRPr="00887018" w:rsidRDefault="00564911" w:rsidP="00986C80">
      <w:pPr>
        <w:pStyle w:val="ListNumber"/>
        <w:numPr>
          <w:ilvl w:val="0"/>
          <w:numId w:val="0"/>
        </w:numPr>
        <w:tabs>
          <w:tab w:val="left" w:pos="0"/>
        </w:tabs>
        <w:spacing w:line="360" w:lineRule="auto"/>
      </w:pPr>
    </w:p>
    <w:p w:rsidR="00564911" w:rsidRPr="00887018" w:rsidRDefault="00564911" w:rsidP="00986C80">
      <w:pPr>
        <w:tabs>
          <w:tab w:val="left" w:pos="0"/>
        </w:tabs>
        <w:spacing w:line="360" w:lineRule="auto"/>
        <w:rPr>
          <w:sz w:val="24"/>
          <w:szCs w:val="24"/>
        </w:rPr>
      </w:pPr>
    </w:p>
    <w:p w:rsidR="00564911" w:rsidRPr="00887018" w:rsidRDefault="00564911" w:rsidP="00564911">
      <w:pPr>
        <w:spacing w:line="360" w:lineRule="auto"/>
        <w:rPr>
          <w:sz w:val="24"/>
          <w:szCs w:val="24"/>
        </w:rPr>
      </w:pPr>
    </w:p>
    <w:p w:rsidR="0058050C" w:rsidRPr="00887018" w:rsidRDefault="00564911" w:rsidP="0058050C">
      <w:pPr>
        <w:tabs>
          <w:tab w:val="left" w:pos="0"/>
        </w:tabs>
        <w:rPr>
          <w:sz w:val="24"/>
          <w:szCs w:val="24"/>
          <w:u w:val="single"/>
        </w:rPr>
      </w:pPr>
      <w:r w:rsidRPr="00887018">
        <w:rPr>
          <w:sz w:val="24"/>
          <w:szCs w:val="24"/>
        </w:rPr>
        <w:t xml:space="preserve">Date:  </w:t>
      </w:r>
      <w:r w:rsidRPr="00564911">
        <w:rPr>
          <w:sz w:val="24"/>
          <w:szCs w:val="24"/>
          <w:u w:val="single"/>
        </w:rPr>
        <w:t xml:space="preserve">July </w:t>
      </w:r>
      <w:r w:rsidR="0058050C">
        <w:rPr>
          <w:sz w:val="24"/>
          <w:szCs w:val="24"/>
          <w:u w:val="single"/>
        </w:rPr>
        <w:t>2</w:t>
      </w:r>
      <w:r w:rsidRPr="00564911">
        <w:rPr>
          <w:sz w:val="24"/>
          <w:szCs w:val="24"/>
          <w:u w:val="single"/>
        </w:rPr>
        <w:t>, 2015</w:t>
      </w: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u w:val="single"/>
        </w:rPr>
        <w:tab/>
      </w:r>
      <w:r w:rsidRPr="00887018">
        <w:rPr>
          <w:sz w:val="24"/>
          <w:szCs w:val="24"/>
          <w:u w:val="single"/>
        </w:rPr>
        <w:tab/>
        <w:t>/s/</w:t>
      </w:r>
      <w:r w:rsidRPr="00887018">
        <w:rPr>
          <w:sz w:val="24"/>
          <w:szCs w:val="24"/>
          <w:u w:val="single"/>
        </w:rPr>
        <w:tab/>
      </w:r>
      <w:r w:rsidRPr="00887018">
        <w:rPr>
          <w:sz w:val="24"/>
          <w:szCs w:val="24"/>
          <w:u w:val="single"/>
        </w:rPr>
        <w:tab/>
      </w:r>
      <w:r w:rsidRPr="00887018">
        <w:rPr>
          <w:sz w:val="24"/>
          <w:szCs w:val="24"/>
          <w:u w:val="single"/>
        </w:rPr>
        <w:tab/>
      </w:r>
      <w:r w:rsidR="0058050C" w:rsidRPr="00887018">
        <w:rPr>
          <w:sz w:val="24"/>
          <w:szCs w:val="24"/>
          <w:u w:val="single"/>
        </w:rPr>
        <w:tab/>
      </w:r>
    </w:p>
    <w:p w:rsidR="00564911" w:rsidRPr="00887018" w:rsidRDefault="00564911" w:rsidP="00564911">
      <w:pPr>
        <w:tabs>
          <w:tab w:val="left" w:pos="0"/>
        </w:tabs>
        <w:rPr>
          <w:sz w:val="24"/>
          <w:szCs w:val="24"/>
        </w:rPr>
      </w:pP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t>Jeffrey A. Watson</w:t>
      </w:r>
    </w:p>
    <w:p w:rsidR="00564911" w:rsidRDefault="00564911" w:rsidP="00564911">
      <w:pPr>
        <w:tabs>
          <w:tab w:val="left" w:pos="0"/>
        </w:tabs>
        <w:rPr>
          <w:sz w:val="24"/>
          <w:szCs w:val="24"/>
        </w:rPr>
      </w:pP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r>
      <w:r w:rsidRPr="00887018">
        <w:rPr>
          <w:sz w:val="24"/>
          <w:szCs w:val="24"/>
        </w:rPr>
        <w:tab/>
        <w:t>Administrative Law Judge</w:t>
      </w:r>
    </w:p>
    <w:sectPr w:rsidR="00564911" w:rsidSect="0098135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4D8" w:rsidRDefault="001E74D8" w:rsidP="00CD5C18">
      <w:r>
        <w:separator/>
      </w:r>
    </w:p>
  </w:endnote>
  <w:endnote w:type="continuationSeparator" w:id="0">
    <w:p w:rsidR="001E74D8" w:rsidRDefault="001E74D8" w:rsidP="00CD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016977"/>
      <w:docPartObj>
        <w:docPartGallery w:val="Page Numbers (Bottom of Page)"/>
        <w:docPartUnique/>
      </w:docPartObj>
    </w:sdtPr>
    <w:sdtEndPr>
      <w:rPr>
        <w:noProof/>
      </w:rPr>
    </w:sdtEndPr>
    <w:sdtContent>
      <w:p w:rsidR="00A733EC" w:rsidRPr="00F52573" w:rsidRDefault="00A733EC">
        <w:pPr>
          <w:pStyle w:val="Footer"/>
          <w:jc w:val="center"/>
        </w:pPr>
        <w:r w:rsidRPr="00F52573">
          <w:fldChar w:fldCharType="begin"/>
        </w:r>
        <w:r w:rsidRPr="00F52573">
          <w:instrText xml:space="preserve"> PAGE   \* MERGEFORMAT </w:instrText>
        </w:r>
        <w:r w:rsidRPr="00F52573">
          <w:fldChar w:fldCharType="separate"/>
        </w:r>
        <w:r>
          <w:rPr>
            <w:noProof/>
          </w:rPr>
          <w:t>2</w:t>
        </w:r>
        <w:r w:rsidRPr="00F52573">
          <w:rPr>
            <w:noProof/>
          </w:rPr>
          <w:fldChar w:fldCharType="end"/>
        </w:r>
      </w:p>
    </w:sdtContent>
  </w:sdt>
  <w:p w:rsidR="00A733EC" w:rsidRDefault="00A73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EC" w:rsidRDefault="00A733EC">
    <w:pPr>
      <w:pStyle w:val="Footer"/>
      <w:jc w:val="center"/>
    </w:pPr>
  </w:p>
  <w:p w:rsidR="00A733EC" w:rsidRDefault="00A73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EC" w:rsidRDefault="00A73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33EC" w:rsidRDefault="00A733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EC" w:rsidRDefault="00A733EC">
    <w:pPr>
      <w:pStyle w:val="Footer"/>
      <w:jc w:val="center"/>
    </w:pPr>
  </w:p>
  <w:p w:rsidR="00A733EC" w:rsidRDefault="00A733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EC" w:rsidRDefault="00A733EC">
    <w:pPr>
      <w:pStyle w:val="Footer"/>
      <w:jc w:val="center"/>
    </w:pPr>
  </w:p>
  <w:p w:rsidR="00A733EC" w:rsidRDefault="00A733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53839"/>
      <w:docPartObj>
        <w:docPartGallery w:val="Page Numbers (Bottom of Page)"/>
        <w:docPartUnique/>
      </w:docPartObj>
    </w:sdtPr>
    <w:sdtEndPr>
      <w:rPr>
        <w:noProof/>
      </w:rPr>
    </w:sdtEndPr>
    <w:sdtContent>
      <w:p w:rsidR="00A733EC" w:rsidRDefault="00A733EC">
        <w:pPr>
          <w:pStyle w:val="Footer"/>
          <w:jc w:val="center"/>
        </w:pPr>
        <w:r>
          <w:fldChar w:fldCharType="begin"/>
        </w:r>
        <w:r>
          <w:instrText xml:space="preserve"> PAGE   \* MERGEFORMAT </w:instrText>
        </w:r>
        <w:r>
          <w:fldChar w:fldCharType="separate"/>
        </w:r>
        <w:r w:rsidR="00E42DF3">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4D8" w:rsidRDefault="001E74D8" w:rsidP="00CD5C18">
      <w:r>
        <w:separator/>
      </w:r>
    </w:p>
  </w:footnote>
  <w:footnote w:type="continuationSeparator" w:id="0">
    <w:p w:rsidR="001E74D8" w:rsidRDefault="001E74D8" w:rsidP="00CD5C18">
      <w:r>
        <w:continuationSeparator/>
      </w:r>
    </w:p>
  </w:footnote>
  <w:footnote w:id="1">
    <w:p w:rsidR="00A733EC" w:rsidRPr="002A1B0E" w:rsidRDefault="00A733EC" w:rsidP="002A1B0E">
      <w:pPr>
        <w:spacing w:after="200" w:line="276" w:lineRule="auto"/>
      </w:pPr>
      <w:r w:rsidRPr="002A1B0E">
        <w:rPr>
          <w:rFonts w:eastAsia="Calibri"/>
          <w:vertAlign w:val="superscript"/>
        </w:rPr>
        <w:footnoteRef/>
      </w:r>
      <w:r w:rsidRPr="002A1B0E">
        <w:rPr>
          <w:rFonts w:eastAsia="Calibri"/>
        </w:rPr>
        <w:tab/>
        <w:t>The Pennsylvania Independent Oil &amp; Gas Association (PIOGA) and Dominion Retail, Inc. d/b/a Dominion Energy Solutions (DES) have indicated that they do not oppose the Settlement.</w:t>
      </w:r>
    </w:p>
  </w:footnote>
  <w:footnote w:id="2">
    <w:p w:rsidR="00A733EC" w:rsidRPr="00E52E7E" w:rsidRDefault="00A733EC" w:rsidP="00991F75">
      <w:pPr>
        <w:pStyle w:val="FootnoteText"/>
        <w:rPr>
          <w:rFonts w:ascii="Times New Roman" w:hAnsi="Times New Roman" w:cs="Times New Roman"/>
        </w:rPr>
      </w:pPr>
      <w:r w:rsidRPr="00E52E7E">
        <w:rPr>
          <w:rStyle w:val="FootnoteReference"/>
        </w:rPr>
        <w:footnoteRef/>
      </w:r>
      <w:r w:rsidRPr="00E52E7E">
        <w:rPr>
          <w:rFonts w:ascii="Times New Roman" w:hAnsi="Times New Roman" w:cs="Times New Roman"/>
        </w:rPr>
        <w:t xml:space="preserve"> </w:t>
      </w:r>
      <w:r w:rsidRPr="00E52E7E">
        <w:rPr>
          <w:rFonts w:ascii="Times New Roman" w:hAnsi="Times New Roman" w:cs="Times New Roman"/>
        </w:rPr>
        <w:tab/>
      </w:r>
      <w:r w:rsidRPr="00E52E7E">
        <w:rPr>
          <w:rFonts w:ascii="Times New Roman" w:hAnsi="Times New Roman" w:cs="Times New Roman"/>
          <w:i/>
        </w:rPr>
        <w:t>See</w:t>
      </w:r>
      <w:r w:rsidRPr="00E52E7E">
        <w:rPr>
          <w:rFonts w:ascii="Times New Roman" w:hAnsi="Times New Roman" w:cs="Times New Roman"/>
        </w:rPr>
        <w:t xml:space="preserve"> 52 </w:t>
      </w:r>
      <w:proofErr w:type="spellStart"/>
      <w:r w:rsidRPr="00E52E7E">
        <w:rPr>
          <w:rFonts w:ascii="Times New Roman" w:hAnsi="Times New Roman" w:cs="Times New Roman"/>
        </w:rPr>
        <w:t>Pa.Code</w:t>
      </w:r>
      <w:proofErr w:type="spellEnd"/>
      <w:r w:rsidRPr="00E52E7E">
        <w:rPr>
          <w:rFonts w:ascii="Times New Roman" w:hAnsi="Times New Roman" w:cs="Times New Roman"/>
        </w:rPr>
        <w:t xml:space="preserve"> § 5.231.  </w:t>
      </w:r>
    </w:p>
    <w:p w:rsidR="00A733EC" w:rsidRPr="00E52E7E" w:rsidRDefault="00A733EC" w:rsidP="00991F75">
      <w:pPr>
        <w:pStyle w:val="FootnoteText"/>
        <w:rPr>
          <w:rFonts w:ascii="Times New Roman" w:hAnsi="Times New Roman" w:cs="Times New Roman"/>
        </w:rPr>
      </w:pPr>
    </w:p>
  </w:footnote>
  <w:footnote w:id="3">
    <w:p w:rsidR="00A733EC" w:rsidRPr="00E52E7E" w:rsidRDefault="00A733EC" w:rsidP="00991F75">
      <w:pPr>
        <w:pStyle w:val="FootnoteText"/>
        <w:rPr>
          <w:rFonts w:ascii="Times New Roman" w:hAnsi="Times New Roman" w:cs="Times New Roman"/>
        </w:rPr>
      </w:pPr>
      <w:r w:rsidRPr="00E52E7E">
        <w:rPr>
          <w:rStyle w:val="FootnoteReference"/>
        </w:rPr>
        <w:footnoteRef/>
      </w:r>
      <w:r w:rsidRPr="00E52E7E">
        <w:rPr>
          <w:rFonts w:ascii="Times New Roman" w:hAnsi="Times New Roman" w:cs="Times New Roman"/>
        </w:rPr>
        <w:tab/>
        <w:t xml:space="preserve">Pa. Pub. </w:t>
      </w:r>
      <w:proofErr w:type="gramStart"/>
      <w:r w:rsidRPr="00E52E7E">
        <w:rPr>
          <w:rFonts w:ascii="Times New Roman" w:hAnsi="Times New Roman" w:cs="Times New Roman"/>
        </w:rPr>
        <w:t xml:space="preserve">Util. </w:t>
      </w:r>
      <w:proofErr w:type="spellStart"/>
      <w:r w:rsidRPr="00E52E7E">
        <w:rPr>
          <w:rFonts w:ascii="Times New Roman" w:hAnsi="Times New Roman" w:cs="Times New Roman"/>
        </w:rPr>
        <w:t>Comm’n</w:t>
      </w:r>
      <w:proofErr w:type="spellEnd"/>
      <w:r w:rsidRPr="00E52E7E">
        <w:rPr>
          <w:rFonts w:ascii="Times New Roman" w:hAnsi="Times New Roman" w:cs="Times New Roman"/>
        </w:rPr>
        <w:t xml:space="preserve"> v. CS Water and Sewer Associates, 74 Pa. PUC 767, 771 (1991).</w:t>
      </w:r>
      <w:proofErr w:type="gramEnd"/>
      <w:r w:rsidRPr="00E52E7E">
        <w:rPr>
          <w:rFonts w:ascii="Times New Roman" w:hAnsi="Times New Roman" w:cs="Times New Roman"/>
        </w:rPr>
        <w:tab/>
      </w:r>
    </w:p>
    <w:p w:rsidR="00A733EC" w:rsidRPr="00E52E7E" w:rsidRDefault="00A733EC" w:rsidP="00991F75">
      <w:pPr>
        <w:pStyle w:val="FootnoteText"/>
        <w:rPr>
          <w:rFonts w:ascii="Times New Roman" w:hAnsi="Times New Roman" w:cs="Times New Roman"/>
        </w:rPr>
      </w:pPr>
    </w:p>
  </w:footnote>
  <w:footnote w:id="4">
    <w:p w:rsidR="00A733EC" w:rsidRPr="00E52E7E" w:rsidRDefault="00A733EC" w:rsidP="00991F75">
      <w:pPr>
        <w:pStyle w:val="FootnoteText"/>
        <w:rPr>
          <w:rFonts w:ascii="Times New Roman" w:hAnsi="Times New Roman" w:cs="Times New Roman"/>
        </w:rPr>
      </w:pPr>
      <w:r w:rsidRPr="00E52E7E">
        <w:rPr>
          <w:rStyle w:val="FootnoteReference"/>
        </w:rPr>
        <w:footnoteRef/>
      </w:r>
      <w:r w:rsidRPr="00E52E7E">
        <w:rPr>
          <w:rFonts w:ascii="Times New Roman" w:hAnsi="Times New Roman" w:cs="Times New Roman"/>
        </w:rPr>
        <w:t xml:space="preserve"> </w:t>
      </w:r>
      <w:r w:rsidRPr="00E52E7E">
        <w:rPr>
          <w:rFonts w:ascii="Times New Roman" w:hAnsi="Times New Roman" w:cs="Times New Roman"/>
        </w:rPr>
        <w:tab/>
      </w:r>
      <w:proofErr w:type="gramStart"/>
      <w:r w:rsidRPr="00E52E7E">
        <w:rPr>
          <w:rFonts w:ascii="Times New Roman" w:hAnsi="Times New Roman" w:cs="Times New Roman"/>
        </w:rPr>
        <w:t xml:space="preserve">66 </w:t>
      </w:r>
      <w:proofErr w:type="spellStart"/>
      <w:r w:rsidRPr="00E52E7E">
        <w:rPr>
          <w:rFonts w:ascii="Times New Roman" w:hAnsi="Times New Roman" w:cs="Times New Roman"/>
        </w:rPr>
        <w:t>Pa.C.S.A</w:t>
      </w:r>
      <w:proofErr w:type="spellEnd"/>
      <w:r w:rsidRPr="00E52E7E">
        <w:rPr>
          <w:rFonts w:ascii="Times New Roman" w:hAnsi="Times New Roman" w:cs="Times New Roman"/>
        </w:rPr>
        <w:t>.</w:t>
      </w:r>
      <w:proofErr w:type="gramEnd"/>
      <w:r w:rsidRPr="00E52E7E">
        <w:rPr>
          <w:rFonts w:ascii="Times New Roman" w:hAnsi="Times New Roman" w:cs="Times New Roman"/>
        </w:rPr>
        <w:t xml:space="preserve"> § 1307 and § 1318.</w:t>
      </w:r>
    </w:p>
    <w:p w:rsidR="00A733EC" w:rsidRPr="00A52A9A" w:rsidRDefault="00A733EC" w:rsidP="00991F75">
      <w:pPr>
        <w:pStyle w:val="FootnoteText"/>
      </w:pPr>
    </w:p>
  </w:footnote>
  <w:footnote w:id="5">
    <w:p w:rsidR="00A733EC" w:rsidRPr="00A52A9A" w:rsidRDefault="00A733EC" w:rsidP="00A27E97">
      <w:pPr>
        <w:jc w:val="both"/>
        <w:rPr>
          <w:rFonts w:eastAsia="Calibri"/>
        </w:rPr>
      </w:pPr>
      <w:r w:rsidRPr="00A52A9A">
        <w:rPr>
          <w:rFonts w:eastAsia="Calibri"/>
          <w:vertAlign w:val="superscript"/>
        </w:rPr>
        <w:footnoteRef/>
      </w:r>
      <w:r w:rsidRPr="00A52A9A">
        <w:rPr>
          <w:rFonts w:eastAsia="Calibri"/>
        </w:rPr>
        <w:t xml:space="preserve"> </w:t>
      </w:r>
      <w:r w:rsidRPr="00A52A9A">
        <w:rPr>
          <w:rFonts w:eastAsia="Calibri"/>
        </w:rPr>
        <w:tab/>
        <w:t xml:space="preserve">OSBA did not specifically address this issue in </w:t>
      </w:r>
      <w:r>
        <w:rPr>
          <w:rFonts w:eastAsia="Calibri"/>
        </w:rPr>
        <w:t>its</w:t>
      </w:r>
      <w:r w:rsidRPr="00A52A9A">
        <w:rPr>
          <w:rFonts w:eastAsia="Calibri"/>
        </w:rPr>
        <w:t xml:space="preserve"> Statement in Support of Settlement.</w:t>
      </w:r>
    </w:p>
    <w:p w:rsidR="00A733EC" w:rsidRPr="00504A35" w:rsidRDefault="00A733EC" w:rsidP="00991F75">
      <w:pPr>
        <w:pStyle w:val="FootnoteText"/>
      </w:pPr>
    </w:p>
  </w:footnote>
  <w:footnote w:id="6">
    <w:p w:rsidR="00A733EC" w:rsidRPr="00E909F1" w:rsidRDefault="00A733EC" w:rsidP="00991F75">
      <w:pPr>
        <w:pStyle w:val="FootnoteText"/>
        <w:rPr>
          <w:rFonts w:ascii="Times New Roman" w:hAnsi="Times New Roman" w:cs="Times New Roman"/>
        </w:rPr>
      </w:pPr>
      <w:r w:rsidRPr="00E909F1">
        <w:rPr>
          <w:rStyle w:val="FootnoteReference"/>
        </w:rPr>
        <w:footnoteRef/>
      </w:r>
      <w:r w:rsidRPr="00E909F1">
        <w:rPr>
          <w:rFonts w:ascii="Times New Roman" w:hAnsi="Times New Roman" w:cs="Times New Roman"/>
        </w:rPr>
        <w:t xml:space="preserve"> </w:t>
      </w:r>
      <w:r w:rsidRPr="00E909F1">
        <w:rPr>
          <w:rFonts w:ascii="Times New Roman" w:hAnsi="Times New Roman" w:cs="Times New Roman"/>
        </w:rPr>
        <w:tab/>
        <w:t xml:space="preserve">I&amp;E St. No. 1, </w:t>
      </w:r>
      <w:r>
        <w:rPr>
          <w:rFonts w:ascii="Times New Roman" w:hAnsi="Times New Roman" w:cs="Times New Roman"/>
        </w:rPr>
        <w:t>p</w:t>
      </w:r>
      <w:r w:rsidRPr="00E909F1">
        <w:rPr>
          <w:rFonts w:ascii="Times New Roman" w:hAnsi="Times New Roman" w:cs="Times New Roman"/>
        </w:rPr>
        <w:t xml:space="preserve">p. 10-11. </w:t>
      </w:r>
    </w:p>
    <w:p w:rsidR="00A733EC" w:rsidRPr="00E909F1" w:rsidRDefault="00A733EC" w:rsidP="00991F75">
      <w:pPr>
        <w:pStyle w:val="FootnoteText"/>
        <w:rPr>
          <w:rFonts w:ascii="Times New Roman" w:hAnsi="Times New Roman" w:cs="Times New Roman"/>
        </w:rPr>
      </w:pPr>
    </w:p>
  </w:footnote>
  <w:footnote w:id="7">
    <w:p w:rsidR="00A733EC" w:rsidRPr="005D7A68" w:rsidRDefault="00A733EC" w:rsidP="00991F75">
      <w:pPr>
        <w:pStyle w:val="FootnoteText"/>
      </w:pPr>
      <w:r w:rsidRPr="00E909F1">
        <w:rPr>
          <w:rStyle w:val="FootnoteReference"/>
        </w:rPr>
        <w:footnoteRef/>
      </w:r>
      <w:r w:rsidRPr="00E909F1">
        <w:rPr>
          <w:rFonts w:ascii="Times New Roman" w:hAnsi="Times New Roman" w:cs="Times New Roman"/>
        </w:rPr>
        <w:t xml:space="preserve"> </w:t>
      </w:r>
      <w:r w:rsidRPr="00E909F1">
        <w:rPr>
          <w:rFonts w:ascii="Times New Roman" w:hAnsi="Times New Roman" w:cs="Times New Roman"/>
        </w:rPr>
        <w:tab/>
        <w:t>Peoples St. No. 1, p. 20.</w:t>
      </w:r>
    </w:p>
  </w:footnote>
  <w:footnote w:id="8">
    <w:p w:rsidR="00A733EC" w:rsidRPr="000D26D1" w:rsidRDefault="00A733EC" w:rsidP="00FC1274">
      <w:r w:rsidRPr="00006D94">
        <w:rPr>
          <w:rStyle w:val="FootnoteReference"/>
        </w:rPr>
        <w:footnoteRef/>
      </w:r>
      <w:r w:rsidRPr="00006D94">
        <w:t xml:space="preserve"> </w:t>
      </w:r>
      <w:r>
        <w:tab/>
      </w:r>
      <w:proofErr w:type="gramStart"/>
      <w:r w:rsidRPr="00006D94">
        <w:t>OSBA Statement No. 1 at 2.</w:t>
      </w:r>
      <w:proofErr w:type="gramEnd"/>
    </w:p>
    <w:p w:rsidR="00A733EC" w:rsidRDefault="00A733EC" w:rsidP="00991F75">
      <w:pPr>
        <w:pStyle w:val="FootnoteText"/>
      </w:pPr>
    </w:p>
  </w:footnote>
  <w:footnote w:id="9">
    <w:p w:rsidR="00A733EC" w:rsidRPr="00B95FFF" w:rsidRDefault="00A733EC" w:rsidP="00991F75">
      <w:pPr>
        <w:pStyle w:val="FootnoteText"/>
        <w:rPr>
          <w:rFonts w:ascii="Times New Roman" w:hAnsi="Times New Roman" w:cs="Times New Roman"/>
        </w:rPr>
      </w:pPr>
      <w:r w:rsidRPr="00B95FFF">
        <w:rPr>
          <w:rStyle w:val="FootnoteReference"/>
        </w:rPr>
        <w:footnoteRef/>
      </w:r>
      <w:r w:rsidRPr="00B95FFF">
        <w:rPr>
          <w:rFonts w:ascii="Times New Roman" w:hAnsi="Times New Roman" w:cs="Times New Roman"/>
        </w:rPr>
        <w:t xml:space="preserve"> </w:t>
      </w:r>
      <w:r w:rsidRPr="00B95FFF">
        <w:rPr>
          <w:rFonts w:ascii="Times New Roman" w:hAnsi="Times New Roman" w:cs="Times New Roman"/>
        </w:rPr>
        <w:tab/>
      </w:r>
      <w:proofErr w:type="gramStart"/>
      <w:r w:rsidRPr="00B95FFF">
        <w:rPr>
          <w:rFonts w:ascii="Times New Roman" w:hAnsi="Times New Roman" w:cs="Times New Roman"/>
        </w:rPr>
        <w:t>Peoples and Peoples-Equitable Division Statement No. 1 at 20.</w:t>
      </w:r>
      <w:proofErr w:type="gramEnd"/>
    </w:p>
    <w:p w:rsidR="00A733EC" w:rsidRPr="0009599A" w:rsidRDefault="00A733EC" w:rsidP="00991F75">
      <w:pPr>
        <w:pStyle w:val="FootnoteText"/>
      </w:pPr>
    </w:p>
  </w:footnote>
  <w:footnote w:id="10">
    <w:p w:rsidR="00A733EC" w:rsidRPr="004A7A15" w:rsidRDefault="00A733EC" w:rsidP="00D01921">
      <w:r w:rsidRPr="004A7A15">
        <w:rPr>
          <w:rStyle w:val="FootnoteReference"/>
        </w:rPr>
        <w:footnoteRef/>
      </w:r>
      <w:r w:rsidRPr="004A7A15">
        <w:tab/>
        <w:t>The Companies have also agreed to file a 60-day tariff filing to be effective October 1, 2015, that proposed to merge the separate MFC and GPC of Peoples and Peoples-Equitable Division so that a single price-to-compare rate is effective October 1, 2015.  All parties have reserved their rights to comment on and opposed this tariff filing.</w:t>
      </w:r>
    </w:p>
    <w:p w:rsidR="00A733EC" w:rsidRPr="00D01921" w:rsidRDefault="00A733EC" w:rsidP="00991F75">
      <w:pPr>
        <w:pStyle w:val="FootnoteText"/>
      </w:pPr>
    </w:p>
    <w:p w:rsidR="00A733EC" w:rsidRPr="00DA4A0E" w:rsidRDefault="00A733EC" w:rsidP="00A72912"/>
    <w:p w:rsidR="00A733EC" w:rsidRPr="00DA4A0E" w:rsidRDefault="00A733EC" w:rsidP="00F12AAD"/>
    <w:p w:rsidR="00A733EC" w:rsidRPr="002E7C01" w:rsidRDefault="00A733EC" w:rsidP="00AD52FA"/>
    <w:p w:rsidR="00A733EC" w:rsidRPr="00965A19" w:rsidRDefault="00A733EC" w:rsidP="00585868"/>
    <w:p w:rsidR="00A733EC" w:rsidRDefault="00A733EC" w:rsidP="00991F75">
      <w:pPr>
        <w:pStyle w:val="FootnoteText"/>
      </w:pPr>
    </w:p>
  </w:footnote>
  <w:footnote w:id="11">
    <w:p w:rsidR="00A733EC" w:rsidRPr="00006D94" w:rsidRDefault="00A733EC" w:rsidP="00A54CDB">
      <w:r w:rsidRPr="00006D94">
        <w:rPr>
          <w:rStyle w:val="FootnoteReference"/>
        </w:rPr>
        <w:footnoteRef/>
      </w:r>
      <w:r w:rsidRPr="00006D94">
        <w:t xml:space="preserve"> </w:t>
      </w:r>
      <w:r w:rsidRPr="00006D94">
        <w:tab/>
        <w:t>OSBA did not specifically address this issue in its Statement in Support of Settlement.</w:t>
      </w:r>
    </w:p>
    <w:p w:rsidR="00A733EC" w:rsidRPr="00A54CDB" w:rsidRDefault="00A733EC" w:rsidP="00991F75">
      <w:pPr>
        <w:pStyle w:val="FootnoteText"/>
      </w:pPr>
    </w:p>
  </w:footnote>
  <w:footnote w:id="12">
    <w:p w:rsidR="00A733EC" w:rsidRPr="00A90FC2" w:rsidRDefault="00A733EC" w:rsidP="004E737E">
      <w:r w:rsidRPr="00A90FC2">
        <w:rPr>
          <w:rStyle w:val="FootnoteReference"/>
        </w:rPr>
        <w:footnoteRef/>
      </w:r>
      <w:r w:rsidRPr="00A90FC2">
        <w:t xml:space="preserve"> </w:t>
      </w:r>
      <w:r w:rsidRPr="00A90FC2">
        <w:tab/>
        <w:t>I&amp;E did not specifically address this issue in its Statement in Support of Settlement</w:t>
      </w:r>
      <w:r>
        <w:t>.</w:t>
      </w:r>
    </w:p>
    <w:p w:rsidR="00A733EC" w:rsidRPr="004E737E" w:rsidRDefault="00A733EC" w:rsidP="00991F75">
      <w:pPr>
        <w:pStyle w:val="FootnoteText"/>
      </w:pPr>
      <w:r w:rsidRPr="004E737E">
        <w:t xml:space="preserve">  </w:t>
      </w:r>
    </w:p>
  </w:footnote>
  <w:footnote w:id="13">
    <w:p w:rsidR="00A733EC" w:rsidRPr="00965A19" w:rsidRDefault="00A733EC" w:rsidP="000353D5">
      <w:r w:rsidRPr="00965A19">
        <w:rPr>
          <w:rStyle w:val="FootnoteReference"/>
        </w:rPr>
        <w:footnoteRef/>
      </w:r>
      <w:r w:rsidRPr="00965A19">
        <w:t xml:space="preserve"> </w:t>
      </w:r>
      <w:r w:rsidRPr="00965A19">
        <w:tab/>
        <w:t>OSBA did not specifically address this issue in its Statement in Support of Settlement.</w:t>
      </w:r>
    </w:p>
    <w:p w:rsidR="00A733EC" w:rsidRPr="001405F8" w:rsidRDefault="00A733EC" w:rsidP="00991F75">
      <w:pPr>
        <w:pStyle w:val="FootnoteText"/>
      </w:pPr>
    </w:p>
  </w:footnote>
  <w:footnote w:id="14">
    <w:p w:rsidR="00A733EC" w:rsidRPr="00A90FC2" w:rsidRDefault="00A733EC" w:rsidP="00461201">
      <w:r w:rsidRPr="00A90FC2">
        <w:rPr>
          <w:rStyle w:val="FootnoteReference"/>
        </w:rPr>
        <w:footnoteRef/>
      </w:r>
      <w:r w:rsidRPr="00A90FC2">
        <w:t xml:space="preserve"> </w:t>
      </w:r>
      <w:r w:rsidRPr="00A90FC2">
        <w:tab/>
        <w:t>I&amp;E did not specifically address this issue in its Statement in Support of Settlement</w:t>
      </w:r>
      <w:r>
        <w:t>.</w:t>
      </w:r>
    </w:p>
    <w:p w:rsidR="00A733EC" w:rsidRDefault="00A733EC" w:rsidP="00991F75">
      <w:pPr>
        <w:pStyle w:val="FootnoteText"/>
      </w:pPr>
    </w:p>
  </w:footnote>
  <w:footnote w:id="15">
    <w:p w:rsidR="00A733EC" w:rsidRPr="00EA6B3F" w:rsidRDefault="00A733EC" w:rsidP="00D470E5">
      <w:r w:rsidRPr="00EA6B3F">
        <w:rPr>
          <w:rStyle w:val="FootnoteReference"/>
        </w:rPr>
        <w:footnoteRef/>
      </w:r>
      <w:r w:rsidRPr="00EA6B3F">
        <w:t xml:space="preserve"> </w:t>
      </w:r>
      <w:r w:rsidRPr="00EA6B3F">
        <w:tab/>
        <w:t>I&amp;E did not specifically address this issue in its Statement in Support of Settlement.</w:t>
      </w:r>
    </w:p>
    <w:p w:rsidR="00A733EC" w:rsidRPr="00D470E5" w:rsidRDefault="00A733EC" w:rsidP="00991F75">
      <w:pPr>
        <w:pStyle w:val="FootnoteText"/>
      </w:pPr>
      <w:r w:rsidRPr="00D470E5">
        <w:t xml:space="preserve">  </w:t>
      </w:r>
    </w:p>
  </w:footnote>
  <w:footnote w:id="16">
    <w:p w:rsidR="00A733EC" w:rsidRPr="00DA4A0E" w:rsidRDefault="00A733EC" w:rsidP="00B834FB">
      <w:r w:rsidRPr="00DA4A0E">
        <w:rPr>
          <w:rStyle w:val="FootnoteReference"/>
        </w:rPr>
        <w:footnoteRef/>
      </w:r>
      <w:r w:rsidRPr="00DA4A0E">
        <w:t xml:space="preserve"> </w:t>
      </w:r>
      <w:r w:rsidRPr="00DA4A0E">
        <w:tab/>
        <w:t xml:space="preserve">OSBA did not specifically address this issue in its Statement in Support of Settlement.  </w:t>
      </w:r>
    </w:p>
    <w:p w:rsidR="00A733EC" w:rsidRPr="00B834FB" w:rsidRDefault="00A733EC" w:rsidP="00991F75">
      <w:pPr>
        <w:pStyle w:val="FootnoteText"/>
      </w:pPr>
    </w:p>
    <w:p w:rsidR="00A733EC" w:rsidRPr="00585381" w:rsidRDefault="00A733EC" w:rsidP="00A348BC"/>
    <w:p w:rsidR="00A733EC" w:rsidRPr="00BE649F" w:rsidRDefault="00A733EC" w:rsidP="00014587"/>
    <w:p w:rsidR="00A733EC" w:rsidRDefault="00A733EC" w:rsidP="00991F75">
      <w:pPr>
        <w:pStyle w:val="FootnoteText"/>
      </w:pPr>
    </w:p>
  </w:footnote>
  <w:footnote w:id="17">
    <w:p w:rsidR="00A733EC" w:rsidRPr="00EA6B3F" w:rsidRDefault="00A733EC" w:rsidP="00EE221A">
      <w:r w:rsidRPr="00EA6B3F">
        <w:rPr>
          <w:rStyle w:val="FootnoteReference"/>
        </w:rPr>
        <w:footnoteRef/>
      </w:r>
      <w:r w:rsidRPr="00EA6B3F">
        <w:t xml:space="preserve"> </w:t>
      </w:r>
      <w:r w:rsidRPr="00EA6B3F">
        <w:tab/>
        <w:t xml:space="preserve">OCA did not specifically address this issue in its Statement in Support of Settlement.  </w:t>
      </w:r>
    </w:p>
    <w:p w:rsidR="00A733EC" w:rsidRPr="00EE221A" w:rsidRDefault="00A733EC" w:rsidP="00991F75">
      <w:pPr>
        <w:pStyle w:val="FootnoteText"/>
      </w:pPr>
    </w:p>
    <w:p w:rsidR="00A733EC" w:rsidRDefault="00A733EC" w:rsidP="00991F75">
      <w:pPr>
        <w:pStyle w:val="FootnoteText"/>
      </w:pPr>
    </w:p>
    <w:p w:rsidR="00A733EC" w:rsidRDefault="00A733EC" w:rsidP="00991F75">
      <w:pPr>
        <w:pStyle w:val="FootnoteText"/>
      </w:pPr>
    </w:p>
  </w:footnote>
  <w:footnote w:id="18">
    <w:p w:rsidR="00A733EC" w:rsidRPr="00475295" w:rsidRDefault="00A733EC" w:rsidP="00991F75">
      <w:pPr>
        <w:pStyle w:val="FootnoteText"/>
        <w:rPr>
          <w:rFonts w:ascii="Times New Roman" w:hAnsi="Times New Roman" w:cs="Times New Roman"/>
        </w:rPr>
      </w:pPr>
      <w:r w:rsidRPr="00475295">
        <w:rPr>
          <w:rStyle w:val="FootnoteReference"/>
        </w:rPr>
        <w:footnoteRef/>
      </w:r>
      <w:r w:rsidRPr="00475295">
        <w:rPr>
          <w:rFonts w:ascii="Times New Roman" w:hAnsi="Times New Roman" w:cs="Times New Roman"/>
        </w:rPr>
        <w:t xml:space="preserve"> </w:t>
      </w:r>
      <w:r w:rsidRPr="00475295">
        <w:rPr>
          <w:rFonts w:ascii="Times New Roman" w:hAnsi="Times New Roman" w:cs="Times New Roman"/>
        </w:rPr>
        <w:tab/>
        <w:t>Settlement, ¶49</w:t>
      </w:r>
    </w:p>
    <w:p w:rsidR="00A733EC" w:rsidRPr="00475295" w:rsidRDefault="00A733EC" w:rsidP="00991F75">
      <w:pPr>
        <w:pStyle w:val="FootnoteText"/>
        <w:rPr>
          <w:rFonts w:ascii="Times New Roman" w:hAnsi="Times New Roman" w:cs="Times New Roman"/>
        </w:rPr>
      </w:pPr>
    </w:p>
  </w:footnote>
  <w:footnote w:id="19">
    <w:p w:rsidR="00A733EC" w:rsidRPr="00475295" w:rsidRDefault="00A733EC" w:rsidP="00991F75">
      <w:pPr>
        <w:pStyle w:val="FootnoteText"/>
        <w:rPr>
          <w:rFonts w:ascii="Times New Roman" w:hAnsi="Times New Roman" w:cs="Times New Roman"/>
        </w:rPr>
      </w:pPr>
      <w:r w:rsidRPr="00475295">
        <w:rPr>
          <w:rStyle w:val="FootnoteReference"/>
        </w:rPr>
        <w:footnoteRef/>
      </w:r>
      <w:r w:rsidRPr="00475295">
        <w:rPr>
          <w:rFonts w:ascii="Times New Roman" w:hAnsi="Times New Roman" w:cs="Times New Roman"/>
        </w:rPr>
        <w:t xml:space="preserve"> </w:t>
      </w:r>
      <w:r w:rsidRPr="00475295">
        <w:rPr>
          <w:rFonts w:ascii="Times New Roman" w:hAnsi="Times New Roman" w:cs="Times New Roman"/>
        </w:rPr>
        <w:tab/>
        <w:t xml:space="preserve">OCA did not specifically address this issue in its Statement in Support of Settlement.  </w:t>
      </w:r>
    </w:p>
    <w:p w:rsidR="00A733EC" w:rsidRPr="00475295" w:rsidRDefault="00A733EC" w:rsidP="00991F75">
      <w:pPr>
        <w:pStyle w:val="FootnoteText"/>
        <w:rPr>
          <w:rFonts w:ascii="Times New Roman" w:hAnsi="Times New Roman" w:cs="Times New Roman"/>
        </w:rPr>
      </w:pPr>
    </w:p>
  </w:footnote>
  <w:footnote w:id="20">
    <w:p w:rsidR="00A733EC" w:rsidRPr="00475295" w:rsidRDefault="00A733EC" w:rsidP="00991F75">
      <w:pPr>
        <w:pStyle w:val="FootnoteText"/>
        <w:rPr>
          <w:rFonts w:ascii="Times New Roman" w:hAnsi="Times New Roman" w:cs="Times New Roman"/>
        </w:rPr>
      </w:pPr>
      <w:r w:rsidRPr="00475295">
        <w:rPr>
          <w:rStyle w:val="FootnoteReference"/>
        </w:rPr>
        <w:footnoteRef/>
      </w:r>
      <w:r w:rsidRPr="00475295">
        <w:rPr>
          <w:rFonts w:ascii="Times New Roman" w:hAnsi="Times New Roman" w:cs="Times New Roman"/>
        </w:rPr>
        <w:t xml:space="preserve"> </w:t>
      </w:r>
      <w:r w:rsidRPr="00475295">
        <w:rPr>
          <w:rFonts w:ascii="Times New Roman" w:hAnsi="Times New Roman" w:cs="Times New Roman"/>
        </w:rPr>
        <w:tab/>
      </w:r>
      <w:proofErr w:type="gramStart"/>
      <w:r w:rsidRPr="00475295">
        <w:rPr>
          <w:rFonts w:ascii="Times New Roman" w:hAnsi="Times New Roman" w:cs="Times New Roman"/>
        </w:rPr>
        <w:t>OSBA Statement No. 1 at 7 and 9.</w:t>
      </w:r>
      <w:proofErr w:type="gramEnd"/>
    </w:p>
  </w:footnote>
  <w:footnote w:id="21">
    <w:p w:rsidR="00A733EC" w:rsidRPr="009D5423" w:rsidRDefault="00A733EC" w:rsidP="009D5423">
      <w:r w:rsidRPr="00976F2F">
        <w:rPr>
          <w:rStyle w:val="FootnoteReference"/>
        </w:rPr>
        <w:footnoteRef/>
      </w:r>
      <w:r>
        <w:tab/>
      </w:r>
      <w:r w:rsidRPr="00976F2F">
        <w:t>If the Company’s proposal to merge the MFCs and GPCs of both Divisions is approved as set forth in Paragraph 36</w:t>
      </w:r>
      <w:r>
        <w:t xml:space="preserve"> of the Joint Petition</w:t>
      </w:r>
      <w:r w:rsidRPr="00976F2F">
        <w:t>, there will be a single PTC for both Divisions</w:t>
      </w:r>
      <w:r w:rsidRPr="009D542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FA46BA"/>
    <w:lvl w:ilvl="0">
      <w:start w:val="1"/>
      <w:numFmt w:val="decimal"/>
      <w:pStyle w:val="ListNumber"/>
      <w:lvlText w:val="%1."/>
      <w:lvlJc w:val="left"/>
      <w:pPr>
        <w:tabs>
          <w:tab w:val="num" w:pos="360"/>
        </w:tabs>
        <w:ind w:left="360" w:hanging="360"/>
      </w:pPr>
    </w:lvl>
  </w:abstractNum>
  <w:abstractNum w:abstractNumId="1">
    <w:nsid w:val="1C215344"/>
    <w:multiLevelType w:val="hybridMultilevel"/>
    <w:tmpl w:val="2F5432AA"/>
    <w:lvl w:ilvl="0" w:tplc="EE46BD4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65EE8"/>
    <w:multiLevelType w:val="hybridMultilevel"/>
    <w:tmpl w:val="67B02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60B5770"/>
    <w:multiLevelType w:val="hybridMultilevel"/>
    <w:tmpl w:val="6372A482"/>
    <w:name w:val="PS Standar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FC7DBC"/>
    <w:multiLevelType w:val="multilevel"/>
    <w:tmpl w:val="FEF008D0"/>
    <w:name w:val="Jo brief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num w:numId="1">
    <w:abstractNumId w:val="0"/>
  </w:num>
  <w:num w:numId="2">
    <w:abstractNumId w:val="4"/>
  </w:num>
  <w:num w:numId="3">
    <w:abstractNumId w:val="1"/>
  </w:num>
  <w:num w:numId="4">
    <w:abstractNumId w:val="3"/>
  </w:num>
  <w:num w:numId="5">
    <w:abstractNumId w:val="4"/>
    <w:lvlOverride w:ilvl="0">
      <w:startOverride w:val="100"/>
    </w:lvlOverride>
  </w:num>
  <w:num w:numId="6">
    <w:abstractNumId w:val="4"/>
    <w:lvlOverride w:ilvl="0">
      <w:startOverride w:val="500"/>
    </w:lvlOverride>
  </w:num>
  <w:num w:numId="7">
    <w:abstractNumId w:val="4"/>
    <w:lvlOverride w:ilvl="0">
      <w:startOverride w:val="1"/>
    </w:lvlOverride>
    <w:lvlOverride w:ilvl="1">
      <w:startOverride w:val="5"/>
    </w:lvlOverride>
  </w:num>
  <w:num w:numId="8">
    <w:abstractNumId w:val="4"/>
    <w:lvlOverride w:ilvl="0">
      <w:startOverride w:val="1"/>
    </w:lvlOverride>
  </w:num>
  <w:num w:numId="9">
    <w:abstractNumId w:val="0"/>
    <w:lvlOverride w:ilvl="0">
      <w:startOverride w:val="1"/>
    </w:lvlOverride>
  </w:num>
  <w:num w:numId="10">
    <w:abstractNumId w:val="2"/>
  </w:num>
  <w:num w:numId="11">
    <w:abstractNumId w:val="4"/>
    <w:lvlOverride w:ilvl="0">
      <w:startOverride w:val="1"/>
    </w:lvlOverride>
    <w:lvlOverride w:ilvl="1">
      <w:startOverride w:val="2"/>
    </w:lvlOverride>
  </w:num>
  <w:num w:numId="12">
    <w:abstractNumId w:val="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18"/>
    <w:rsid w:val="00000636"/>
    <w:rsid w:val="0000330B"/>
    <w:rsid w:val="00006001"/>
    <w:rsid w:val="00012F41"/>
    <w:rsid w:val="00014587"/>
    <w:rsid w:val="000227C7"/>
    <w:rsid w:val="000328D5"/>
    <w:rsid w:val="00032EE9"/>
    <w:rsid w:val="000353D5"/>
    <w:rsid w:val="0005310B"/>
    <w:rsid w:val="00054D18"/>
    <w:rsid w:val="000668F6"/>
    <w:rsid w:val="00070C8F"/>
    <w:rsid w:val="00083202"/>
    <w:rsid w:val="00091235"/>
    <w:rsid w:val="0009599A"/>
    <w:rsid w:val="000A088F"/>
    <w:rsid w:val="000B4582"/>
    <w:rsid w:val="000C01FC"/>
    <w:rsid w:val="000C4BFE"/>
    <w:rsid w:val="000D0F03"/>
    <w:rsid w:val="000D237F"/>
    <w:rsid w:val="000D26D1"/>
    <w:rsid w:val="000D2A5E"/>
    <w:rsid w:val="000D5353"/>
    <w:rsid w:val="000D6686"/>
    <w:rsid w:val="000E5708"/>
    <w:rsid w:val="00111422"/>
    <w:rsid w:val="00115337"/>
    <w:rsid w:val="00115A72"/>
    <w:rsid w:val="001405F8"/>
    <w:rsid w:val="0014124C"/>
    <w:rsid w:val="00142931"/>
    <w:rsid w:val="0014369A"/>
    <w:rsid w:val="001510F6"/>
    <w:rsid w:val="001543BB"/>
    <w:rsid w:val="00155521"/>
    <w:rsid w:val="001565F0"/>
    <w:rsid w:val="00162289"/>
    <w:rsid w:val="0016585C"/>
    <w:rsid w:val="00175512"/>
    <w:rsid w:val="00187253"/>
    <w:rsid w:val="001A29E6"/>
    <w:rsid w:val="001A3862"/>
    <w:rsid w:val="001A47A2"/>
    <w:rsid w:val="001B70B3"/>
    <w:rsid w:val="001B73E5"/>
    <w:rsid w:val="001C007C"/>
    <w:rsid w:val="001C7529"/>
    <w:rsid w:val="001D0F90"/>
    <w:rsid w:val="001D6BE9"/>
    <w:rsid w:val="001E00E0"/>
    <w:rsid w:val="001E74D8"/>
    <w:rsid w:val="001F06EE"/>
    <w:rsid w:val="001F445D"/>
    <w:rsid w:val="001F7872"/>
    <w:rsid w:val="00203FFC"/>
    <w:rsid w:val="0020516B"/>
    <w:rsid w:val="00215A93"/>
    <w:rsid w:val="00234FA6"/>
    <w:rsid w:val="00245503"/>
    <w:rsid w:val="00261EB3"/>
    <w:rsid w:val="00282BA3"/>
    <w:rsid w:val="0028712A"/>
    <w:rsid w:val="002A1B0E"/>
    <w:rsid w:val="002A249E"/>
    <w:rsid w:val="002C07A0"/>
    <w:rsid w:val="002C71F3"/>
    <w:rsid w:val="002E4AB6"/>
    <w:rsid w:val="00301657"/>
    <w:rsid w:val="003055D0"/>
    <w:rsid w:val="00321AEE"/>
    <w:rsid w:val="00333E59"/>
    <w:rsid w:val="00337573"/>
    <w:rsid w:val="00354ACD"/>
    <w:rsid w:val="0035584B"/>
    <w:rsid w:val="003579F0"/>
    <w:rsid w:val="00357E8E"/>
    <w:rsid w:val="003614C8"/>
    <w:rsid w:val="00365242"/>
    <w:rsid w:val="003666C0"/>
    <w:rsid w:val="003669E7"/>
    <w:rsid w:val="0037138D"/>
    <w:rsid w:val="00387E5D"/>
    <w:rsid w:val="003A30A0"/>
    <w:rsid w:val="003B35DD"/>
    <w:rsid w:val="003B71CF"/>
    <w:rsid w:val="003C12E3"/>
    <w:rsid w:val="003C22C7"/>
    <w:rsid w:val="003C2782"/>
    <w:rsid w:val="003D5EDA"/>
    <w:rsid w:val="003E1C96"/>
    <w:rsid w:val="003E3B83"/>
    <w:rsid w:val="003F1BD0"/>
    <w:rsid w:val="003F6681"/>
    <w:rsid w:val="00405120"/>
    <w:rsid w:val="004104AF"/>
    <w:rsid w:val="004144D8"/>
    <w:rsid w:val="0042630A"/>
    <w:rsid w:val="004263AD"/>
    <w:rsid w:val="004315E8"/>
    <w:rsid w:val="00431DFD"/>
    <w:rsid w:val="00441101"/>
    <w:rsid w:val="00443365"/>
    <w:rsid w:val="0045773F"/>
    <w:rsid w:val="00461201"/>
    <w:rsid w:val="00462BFD"/>
    <w:rsid w:val="00467C05"/>
    <w:rsid w:val="00470743"/>
    <w:rsid w:val="00475295"/>
    <w:rsid w:val="00491314"/>
    <w:rsid w:val="00491FBA"/>
    <w:rsid w:val="00493001"/>
    <w:rsid w:val="004A4734"/>
    <w:rsid w:val="004A53F4"/>
    <w:rsid w:val="004B48DF"/>
    <w:rsid w:val="004B7F07"/>
    <w:rsid w:val="004B7F7F"/>
    <w:rsid w:val="004C3665"/>
    <w:rsid w:val="004C5529"/>
    <w:rsid w:val="004D0063"/>
    <w:rsid w:val="004D0318"/>
    <w:rsid w:val="004E737E"/>
    <w:rsid w:val="004F0E78"/>
    <w:rsid w:val="005040A7"/>
    <w:rsid w:val="00504A35"/>
    <w:rsid w:val="00506D94"/>
    <w:rsid w:val="005200D3"/>
    <w:rsid w:val="0052066A"/>
    <w:rsid w:val="0052485C"/>
    <w:rsid w:val="00527E07"/>
    <w:rsid w:val="00564139"/>
    <w:rsid w:val="00564911"/>
    <w:rsid w:val="005657C6"/>
    <w:rsid w:val="00570AE6"/>
    <w:rsid w:val="0058050C"/>
    <w:rsid w:val="00585868"/>
    <w:rsid w:val="00585CC3"/>
    <w:rsid w:val="0058680A"/>
    <w:rsid w:val="00593A40"/>
    <w:rsid w:val="005A1DC3"/>
    <w:rsid w:val="005A43EE"/>
    <w:rsid w:val="005A599C"/>
    <w:rsid w:val="005B20FB"/>
    <w:rsid w:val="005B2163"/>
    <w:rsid w:val="005B6003"/>
    <w:rsid w:val="005C21F6"/>
    <w:rsid w:val="005C3DE0"/>
    <w:rsid w:val="005C47B1"/>
    <w:rsid w:val="005C7EEF"/>
    <w:rsid w:val="005D050F"/>
    <w:rsid w:val="005D6D38"/>
    <w:rsid w:val="005D7A68"/>
    <w:rsid w:val="005E3A61"/>
    <w:rsid w:val="005E4239"/>
    <w:rsid w:val="005F5D4E"/>
    <w:rsid w:val="00603994"/>
    <w:rsid w:val="00641D42"/>
    <w:rsid w:val="0064329F"/>
    <w:rsid w:val="0065142B"/>
    <w:rsid w:val="00651CCC"/>
    <w:rsid w:val="006702B9"/>
    <w:rsid w:val="0069122E"/>
    <w:rsid w:val="006A606E"/>
    <w:rsid w:val="006C76BF"/>
    <w:rsid w:val="006F6933"/>
    <w:rsid w:val="006F703C"/>
    <w:rsid w:val="00713813"/>
    <w:rsid w:val="007138DF"/>
    <w:rsid w:val="00716992"/>
    <w:rsid w:val="0072319D"/>
    <w:rsid w:val="00725119"/>
    <w:rsid w:val="0073172C"/>
    <w:rsid w:val="00762098"/>
    <w:rsid w:val="0077076D"/>
    <w:rsid w:val="00777953"/>
    <w:rsid w:val="0078582E"/>
    <w:rsid w:val="007A4F59"/>
    <w:rsid w:val="007B3E4C"/>
    <w:rsid w:val="007D6AF4"/>
    <w:rsid w:val="007F4816"/>
    <w:rsid w:val="007F67C9"/>
    <w:rsid w:val="00812F88"/>
    <w:rsid w:val="00814147"/>
    <w:rsid w:val="008178F1"/>
    <w:rsid w:val="00820284"/>
    <w:rsid w:val="0082566D"/>
    <w:rsid w:val="008257F0"/>
    <w:rsid w:val="00832E35"/>
    <w:rsid w:val="008337FC"/>
    <w:rsid w:val="008433F8"/>
    <w:rsid w:val="00855EE2"/>
    <w:rsid w:val="00867275"/>
    <w:rsid w:val="008679C4"/>
    <w:rsid w:val="00876CFC"/>
    <w:rsid w:val="00884DE9"/>
    <w:rsid w:val="008925A9"/>
    <w:rsid w:val="00897439"/>
    <w:rsid w:val="008A30DC"/>
    <w:rsid w:val="008B3AC4"/>
    <w:rsid w:val="008B5DF4"/>
    <w:rsid w:val="008C3500"/>
    <w:rsid w:val="008D4FB6"/>
    <w:rsid w:val="008E04AE"/>
    <w:rsid w:val="008E1F6A"/>
    <w:rsid w:val="00900230"/>
    <w:rsid w:val="0090155E"/>
    <w:rsid w:val="00901DDF"/>
    <w:rsid w:val="00911D18"/>
    <w:rsid w:val="00912DDF"/>
    <w:rsid w:val="009171D9"/>
    <w:rsid w:val="009452F4"/>
    <w:rsid w:val="009555A5"/>
    <w:rsid w:val="0096022A"/>
    <w:rsid w:val="0096614B"/>
    <w:rsid w:val="00981353"/>
    <w:rsid w:val="00983088"/>
    <w:rsid w:val="00985EAC"/>
    <w:rsid w:val="0098610E"/>
    <w:rsid w:val="00986C80"/>
    <w:rsid w:val="00987981"/>
    <w:rsid w:val="009917A4"/>
    <w:rsid w:val="00991F75"/>
    <w:rsid w:val="0099561D"/>
    <w:rsid w:val="009A5533"/>
    <w:rsid w:val="009C58DA"/>
    <w:rsid w:val="009D2C19"/>
    <w:rsid w:val="009D5423"/>
    <w:rsid w:val="009E2E71"/>
    <w:rsid w:val="009F0BE3"/>
    <w:rsid w:val="009F6877"/>
    <w:rsid w:val="00A05BC1"/>
    <w:rsid w:val="00A1070E"/>
    <w:rsid w:val="00A20D3F"/>
    <w:rsid w:val="00A22C57"/>
    <w:rsid w:val="00A26485"/>
    <w:rsid w:val="00A27E97"/>
    <w:rsid w:val="00A330E3"/>
    <w:rsid w:val="00A348BC"/>
    <w:rsid w:val="00A45955"/>
    <w:rsid w:val="00A501F9"/>
    <w:rsid w:val="00A51A60"/>
    <w:rsid w:val="00A52A9A"/>
    <w:rsid w:val="00A54CDB"/>
    <w:rsid w:val="00A55309"/>
    <w:rsid w:val="00A63445"/>
    <w:rsid w:val="00A72912"/>
    <w:rsid w:val="00A733EC"/>
    <w:rsid w:val="00A74F7D"/>
    <w:rsid w:val="00A83B53"/>
    <w:rsid w:val="00A92104"/>
    <w:rsid w:val="00A954E4"/>
    <w:rsid w:val="00A96D52"/>
    <w:rsid w:val="00AA52A9"/>
    <w:rsid w:val="00AB4EB4"/>
    <w:rsid w:val="00AB5F51"/>
    <w:rsid w:val="00AB7433"/>
    <w:rsid w:val="00AC42DE"/>
    <w:rsid w:val="00AD2FE8"/>
    <w:rsid w:val="00AD47AA"/>
    <w:rsid w:val="00AD4E41"/>
    <w:rsid w:val="00AD52FA"/>
    <w:rsid w:val="00AF4FCA"/>
    <w:rsid w:val="00B00A28"/>
    <w:rsid w:val="00B03021"/>
    <w:rsid w:val="00B25FA6"/>
    <w:rsid w:val="00B27C9E"/>
    <w:rsid w:val="00B3395B"/>
    <w:rsid w:val="00B35145"/>
    <w:rsid w:val="00B40930"/>
    <w:rsid w:val="00B414B0"/>
    <w:rsid w:val="00B42D7D"/>
    <w:rsid w:val="00B44577"/>
    <w:rsid w:val="00B45CD8"/>
    <w:rsid w:val="00B540D2"/>
    <w:rsid w:val="00B57C16"/>
    <w:rsid w:val="00B718AC"/>
    <w:rsid w:val="00B71E34"/>
    <w:rsid w:val="00B834FB"/>
    <w:rsid w:val="00B83841"/>
    <w:rsid w:val="00B86FD3"/>
    <w:rsid w:val="00B871FD"/>
    <w:rsid w:val="00B95F79"/>
    <w:rsid w:val="00B967B4"/>
    <w:rsid w:val="00BA1D13"/>
    <w:rsid w:val="00BB5411"/>
    <w:rsid w:val="00BD0F81"/>
    <w:rsid w:val="00BD3A02"/>
    <w:rsid w:val="00C02D45"/>
    <w:rsid w:val="00C03096"/>
    <w:rsid w:val="00C229A8"/>
    <w:rsid w:val="00C32765"/>
    <w:rsid w:val="00C4240D"/>
    <w:rsid w:val="00C65340"/>
    <w:rsid w:val="00C718C2"/>
    <w:rsid w:val="00C77527"/>
    <w:rsid w:val="00C93452"/>
    <w:rsid w:val="00CA502D"/>
    <w:rsid w:val="00CD0789"/>
    <w:rsid w:val="00CD27D0"/>
    <w:rsid w:val="00CD5C18"/>
    <w:rsid w:val="00CF2994"/>
    <w:rsid w:val="00CF38EE"/>
    <w:rsid w:val="00D01921"/>
    <w:rsid w:val="00D054C3"/>
    <w:rsid w:val="00D05500"/>
    <w:rsid w:val="00D06204"/>
    <w:rsid w:val="00D10795"/>
    <w:rsid w:val="00D1279F"/>
    <w:rsid w:val="00D136B1"/>
    <w:rsid w:val="00D13E8F"/>
    <w:rsid w:val="00D22A56"/>
    <w:rsid w:val="00D245D5"/>
    <w:rsid w:val="00D2744A"/>
    <w:rsid w:val="00D40F6E"/>
    <w:rsid w:val="00D42E9E"/>
    <w:rsid w:val="00D46DCC"/>
    <w:rsid w:val="00D470E5"/>
    <w:rsid w:val="00D57263"/>
    <w:rsid w:val="00D65506"/>
    <w:rsid w:val="00D66BC8"/>
    <w:rsid w:val="00D70B56"/>
    <w:rsid w:val="00D70F88"/>
    <w:rsid w:val="00D74DE6"/>
    <w:rsid w:val="00D94353"/>
    <w:rsid w:val="00DA535F"/>
    <w:rsid w:val="00DA791A"/>
    <w:rsid w:val="00DE3B97"/>
    <w:rsid w:val="00DE4138"/>
    <w:rsid w:val="00E03329"/>
    <w:rsid w:val="00E06486"/>
    <w:rsid w:val="00E24065"/>
    <w:rsid w:val="00E4225E"/>
    <w:rsid w:val="00E42DF3"/>
    <w:rsid w:val="00E5105E"/>
    <w:rsid w:val="00E52681"/>
    <w:rsid w:val="00E52E7E"/>
    <w:rsid w:val="00E54157"/>
    <w:rsid w:val="00E63ACF"/>
    <w:rsid w:val="00E753C6"/>
    <w:rsid w:val="00E772FA"/>
    <w:rsid w:val="00E777DF"/>
    <w:rsid w:val="00E909F1"/>
    <w:rsid w:val="00E90F4B"/>
    <w:rsid w:val="00E96589"/>
    <w:rsid w:val="00EA04BD"/>
    <w:rsid w:val="00EB11F1"/>
    <w:rsid w:val="00EB5D46"/>
    <w:rsid w:val="00EC456A"/>
    <w:rsid w:val="00EC5CE5"/>
    <w:rsid w:val="00ED0C00"/>
    <w:rsid w:val="00EE2200"/>
    <w:rsid w:val="00EE221A"/>
    <w:rsid w:val="00EE3DCB"/>
    <w:rsid w:val="00EF042F"/>
    <w:rsid w:val="00F12AAD"/>
    <w:rsid w:val="00F21B5B"/>
    <w:rsid w:val="00F25339"/>
    <w:rsid w:val="00F309CC"/>
    <w:rsid w:val="00F369DE"/>
    <w:rsid w:val="00F515DF"/>
    <w:rsid w:val="00F51FDB"/>
    <w:rsid w:val="00F52C0E"/>
    <w:rsid w:val="00F56A13"/>
    <w:rsid w:val="00F64CC1"/>
    <w:rsid w:val="00F815F2"/>
    <w:rsid w:val="00F862AE"/>
    <w:rsid w:val="00F96175"/>
    <w:rsid w:val="00FA1EB7"/>
    <w:rsid w:val="00FA75B2"/>
    <w:rsid w:val="00FB0618"/>
    <w:rsid w:val="00FB0EE1"/>
    <w:rsid w:val="00FB67DF"/>
    <w:rsid w:val="00FC1274"/>
    <w:rsid w:val="00FC7022"/>
    <w:rsid w:val="00FD4A7F"/>
    <w:rsid w:val="00FD70D4"/>
    <w:rsid w:val="00FE6937"/>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1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qFormat/>
    <w:rsid w:val="00CD5C18"/>
    <w:pPr>
      <w:keepLines/>
      <w:numPr>
        <w:numId w:val="2"/>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uiPriority w:val="2"/>
    <w:qFormat/>
    <w:rsid w:val="00CD5C18"/>
    <w:pPr>
      <w:keepLines/>
      <w:numPr>
        <w:ilvl w:val="1"/>
        <w:numId w:val="2"/>
      </w:numPr>
      <w:spacing w:after="240"/>
      <w:jc w:val="both"/>
      <w:outlineLvl w:val="1"/>
    </w:pPr>
    <w:rPr>
      <w:b/>
      <w:bCs/>
      <w:iCs/>
      <w:caps/>
      <w:sz w:val="24"/>
      <w:szCs w:val="28"/>
    </w:rPr>
  </w:style>
  <w:style w:type="paragraph" w:styleId="Heading3">
    <w:name w:val="heading 3"/>
    <w:basedOn w:val="Normal"/>
    <w:next w:val="BodyText2"/>
    <w:link w:val="Heading3Char"/>
    <w:uiPriority w:val="2"/>
    <w:unhideWhenUsed/>
    <w:qFormat/>
    <w:rsid w:val="00CD5C18"/>
    <w:pPr>
      <w:numPr>
        <w:ilvl w:val="2"/>
        <w:numId w:val="2"/>
      </w:numPr>
      <w:spacing w:after="240"/>
      <w:jc w:val="both"/>
      <w:outlineLvl w:val="2"/>
    </w:pPr>
    <w:rPr>
      <w:b/>
      <w:bCs/>
      <w:sz w:val="24"/>
      <w:szCs w:val="26"/>
    </w:rPr>
  </w:style>
  <w:style w:type="paragraph" w:styleId="Heading4">
    <w:name w:val="heading 4"/>
    <w:basedOn w:val="Normal"/>
    <w:next w:val="BodyText2"/>
    <w:link w:val="Heading4Char"/>
    <w:uiPriority w:val="2"/>
    <w:unhideWhenUsed/>
    <w:qFormat/>
    <w:rsid w:val="00CD5C18"/>
    <w:pPr>
      <w:numPr>
        <w:ilvl w:val="3"/>
        <w:numId w:val="2"/>
      </w:numPr>
      <w:spacing w:after="240"/>
      <w:jc w:val="both"/>
      <w:outlineLvl w:val="3"/>
    </w:pPr>
    <w:rPr>
      <w:b/>
      <w:bCs/>
      <w:sz w:val="24"/>
      <w:szCs w:val="28"/>
    </w:rPr>
  </w:style>
  <w:style w:type="paragraph" w:styleId="Heading5">
    <w:name w:val="heading 5"/>
    <w:basedOn w:val="Normal"/>
    <w:next w:val="BodyText2"/>
    <w:link w:val="Heading5Char"/>
    <w:uiPriority w:val="2"/>
    <w:unhideWhenUsed/>
    <w:qFormat/>
    <w:rsid w:val="00CD5C18"/>
    <w:pPr>
      <w:numPr>
        <w:ilvl w:val="4"/>
        <w:numId w:val="2"/>
      </w:numPr>
      <w:spacing w:after="240"/>
      <w:jc w:val="both"/>
      <w:outlineLvl w:val="4"/>
    </w:pPr>
    <w:rPr>
      <w:b/>
      <w:bCs/>
      <w:iCs/>
      <w:sz w:val="24"/>
      <w:szCs w:val="26"/>
    </w:rPr>
  </w:style>
  <w:style w:type="paragraph" w:styleId="Heading6">
    <w:name w:val="heading 6"/>
    <w:basedOn w:val="Normal"/>
    <w:next w:val="BodyText2"/>
    <w:link w:val="Heading6Char"/>
    <w:uiPriority w:val="2"/>
    <w:unhideWhenUsed/>
    <w:qFormat/>
    <w:rsid w:val="00CD5C18"/>
    <w:pPr>
      <w:numPr>
        <w:ilvl w:val="5"/>
        <w:numId w:val="2"/>
      </w:numPr>
      <w:spacing w:after="240"/>
      <w:outlineLvl w:val="5"/>
    </w:pPr>
    <w:rPr>
      <w:b/>
      <w:bCs/>
      <w:sz w:val="24"/>
      <w:szCs w:val="22"/>
    </w:rPr>
  </w:style>
  <w:style w:type="paragraph" w:styleId="Heading7">
    <w:name w:val="heading 7"/>
    <w:basedOn w:val="Normal"/>
    <w:next w:val="BodyText2"/>
    <w:link w:val="Heading7Char"/>
    <w:uiPriority w:val="2"/>
    <w:unhideWhenUsed/>
    <w:qFormat/>
    <w:rsid w:val="00CD5C18"/>
    <w:pPr>
      <w:numPr>
        <w:ilvl w:val="6"/>
        <w:numId w:val="2"/>
      </w:numPr>
      <w:spacing w:after="240"/>
      <w:outlineLvl w:val="6"/>
    </w:pPr>
    <w:rPr>
      <w:b/>
      <w:sz w:val="24"/>
      <w:szCs w:val="24"/>
    </w:rPr>
  </w:style>
  <w:style w:type="paragraph" w:styleId="Heading8">
    <w:name w:val="heading 8"/>
    <w:basedOn w:val="Normal"/>
    <w:next w:val="BodyText2"/>
    <w:link w:val="Heading8Char"/>
    <w:uiPriority w:val="2"/>
    <w:unhideWhenUsed/>
    <w:qFormat/>
    <w:rsid w:val="00CD5C18"/>
    <w:pPr>
      <w:numPr>
        <w:ilvl w:val="7"/>
        <w:numId w:val="2"/>
      </w:numPr>
      <w:spacing w:after="240"/>
      <w:jc w:val="both"/>
      <w:outlineLvl w:val="7"/>
    </w:pPr>
    <w:rPr>
      <w:b/>
      <w:iCs/>
      <w:sz w:val="24"/>
      <w:szCs w:val="24"/>
    </w:rPr>
  </w:style>
  <w:style w:type="paragraph" w:styleId="Heading9">
    <w:name w:val="heading 9"/>
    <w:basedOn w:val="Normal"/>
    <w:next w:val="BodyText2"/>
    <w:link w:val="Heading9Char"/>
    <w:uiPriority w:val="2"/>
    <w:unhideWhenUsed/>
    <w:qFormat/>
    <w:rsid w:val="00CD5C18"/>
    <w:pPr>
      <w:numPr>
        <w:ilvl w:val="8"/>
        <w:numId w:val="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D5C18"/>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uiPriority w:val="2"/>
    <w:rsid w:val="00CD5C18"/>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uiPriority w:val="2"/>
    <w:rsid w:val="00CD5C1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2"/>
    <w:rsid w:val="00CD5C1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2"/>
    <w:rsid w:val="00CD5C18"/>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2"/>
    <w:rsid w:val="00CD5C18"/>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2"/>
    <w:rsid w:val="00CD5C1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2"/>
    <w:rsid w:val="00CD5C1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2"/>
    <w:rsid w:val="00CD5C18"/>
    <w:rPr>
      <w:rFonts w:ascii="Times New Roman" w:eastAsia="Times New Roman" w:hAnsi="Times New Roman" w:cs="Times New Roman"/>
      <w:b/>
      <w:sz w:val="24"/>
    </w:rPr>
  </w:style>
  <w:style w:type="paragraph" w:styleId="Footer">
    <w:name w:val="footer"/>
    <w:basedOn w:val="Normal"/>
    <w:link w:val="FooterChar"/>
    <w:uiPriority w:val="99"/>
    <w:rsid w:val="00CD5C18"/>
    <w:pPr>
      <w:tabs>
        <w:tab w:val="center" w:pos="4320"/>
        <w:tab w:val="right" w:pos="8640"/>
      </w:tabs>
    </w:pPr>
  </w:style>
  <w:style w:type="character" w:customStyle="1" w:styleId="FooterChar">
    <w:name w:val="Footer Char"/>
    <w:basedOn w:val="DefaultParagraphFont"/>
    <w:link w:val="Footer"/>
    <w:uiPriority w:val="99"/>
    <w:rsid w:val="00CD5C18"/>
    <w:rPr>
      <w:rFonts w:ascii="Times New Roman" w:eastAsia="Times New Roman" w:hAnsi="Times New Roman" w:cs="Times New Roman"/>
      <w:sz w:val="20"/>
      <w:szCs w:val="20"/>
    </w:rPr>
  </w:style>
  <w:style w:type="character" w:styleId="PageNumber">
    <w:name w:val="page number"/>
    <w:basedOn w:val="DefaultParagraphFont"/>
    <w:rsid w:val="00CD5C18"/>
  </w:style>
  <w:style w:type="paragraph" w:styleId="Title">
    <w:name w:val="Title"/>
    <w:basedOn w:val="Normal"/>
    <w:link w:val="TitleChar"/>
    <w:qFormat/>
    <w:rsid w:val="00CD5C18"/>
    <w:pPr>
      <w:tabs>
        <w:tab w:val="left" w:pos="360"/>
      </w:tabs>
      <w:spacing w:line="233" w:lineRule="auto"/>
      <w:jc w:val="center"/>
    </w:pPr>
    <w:rPr>
      <w:b/>
      <w:sz w:val="24"/>
    </w:rPr>
  </w:style>
  <w:style w:type="character" w:customStyle="1" w:styleId="TitleChar">
    <w:name w:val="Title Char"/>
    <w:basedOn w:val="DefaultParagraphFont"/>
    <w:link w:val="Title"/>
    <w:rsid w:val="00CD5C18"/>
    <w:rPr>
      <w:rFonts w:ascii="Times New Roman" w:eastAsia="Times New Roman" w:hAnsi="Times New Roman" w:cs="Times New Roman"/>
      <w:b/>
      <w:sz w:val="24"/>
      <w:szCs w:val="20"/>
    </w:rPr>
  </w:style>
  <w:style w:type="paragraph" w:styleId="ListParagraph">
    <w:name w:val="List Paragraph"/>
    <w:basedOn w:val="Normal"/>
    <w:uiPriority w:val="34"/>
    <w:qFormat/>
    <w:rsid w:val="00CD5C18"/>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991F75"/>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991F75"/>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CD5C18"/>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CD5C18"/>
    <w:rPr>
      <w:rFonts w:ascii="Times New Roman" w:hAnsi="Times New Roman" w:cs="Times New Roman" w:hint="default"/>
      <w:vertAlign w:val="superscript"/>
    </w:rPr>
  </w:style>
  <w:style w:type="paragraph" w:styleId="BodyText2">
    <w:name w:val="Body Text 2"/>
    <w:basedOn w:val="Normal"/>
    <w:link w:val="BodyText2Char"/>
    <w:rsid w:val="00CD5C18"/>
    <w:pPr>
      <w:spacing w:after="120" w:line="480" w:lineRule="auto"/>
    </w:pPr>
    <w:rPr>
      <w:sz w:val="24"/>
      <w:szCs w:val="24"/>
    </w:rPr>
  </w:style>
  <w:style w:type="character" w:customStyle="1" w:styleId="BodyText2Char">
    <w:name w:val="Body Text 2 Char"/>
    <w:basedOn w:val="DefaultParagraphFont"/>
    <w:link w:val="BodyText2"/>
    <w:rsid w:val="00CD5C18"/>
    <w:rPr>
      <w:rFonts w:ascii="Times New Roman" w:eastAsia="Times New Roman" w:hAnsi="Times New Roman" w:cs="Times New Roman"/>
      <w:sz w:val="24"/>
      <w:szCs w:val="24"/>
    </w:rPr>
  </w:style>
  <w:style w:type="paragraph" w:styleId="ListNumber">
    <w:name w:val="List Number"/>
    <w:basedOn w:val="Normal"/>
    <w:rsid w:val="00CD5C18"/>
    <w:pPr>
      <w:numPr>
        <w:numId w:val="1"/>
      </w:numPr>
      <w:tabs>
        <w:tab w:val="clear" w:pos="360"/>
      </w:tabs>
      <w:spacing w:line="480" w:lineRule="auto"/>
      <w:ind w:left="0" w:firstLine="720"/>
    </w:pPr>
    <w:rPr>
      <w:sz w:val="24"/>
      <w:szCs w:val="24"/>
    </w:rPr>
  </w:style>
  <w:style w:type="paragraph" w:styleId="BodyText">
    <w:name w:val="Body Text"/>
    <w:basedOn w:val="Normal"/>
    <w:link w:val="BodyTextChar"/>
    <w:rsid w:val="00CD5C18"/>
    <w:pPr>
      <w:spacing w:after="120"/>
    </w:pPr>
  </w:style>
  <w:style w:type="character" w:customStyle="1" w:styleId="BodyTextChar">
    <w:name w:val="Body Text Char"/>
    <w:basedOn w:val="DefaultParagraphFont"/>
    <w:link w:val="BodyText"/>
    <w:rsid w:val="00CD5C18"/>
    <w:rPr>
      <w:rFonts w:ascii="Times New Roman" w:eastAsia="Times New Roman" w:hAnsi="Times New Roman" w:cs="Times New Roman"/>
      <w:sz w:val="20"/>
      <w:szCs w:val="20"/>
    </w:rPr>
  </w:style>
  <w:style w:type="table" w:styleId="TableGrid">
    <w:name w:val="Table Grid"/>
    <w:basedOn w:val="TableNormal"/>
    <w:rsid w:val="00CD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486"/>
    <w:rPr>
      <w:rFonts w:ascii="Tahoma" w:hAnsi="Tahoma" w:cs="Tahoma"/>
      <w:sz w:val="16"/>
      <w:szCs w:val="16"/>
    </w:rPr>
  </w:style>
  <w:style w:type="character" w:customStyle="1" w:styleId="BalloonTextChar">
    <w:name w:val="Balloon Text Char"/>
    <w:basedOn w:val="DefaultParagraphFont"/>
    <w:link w:val="BalloonText"/>
    <w:uiPriority w:val="99"/>
    <w:semiHidden/>
    <w:rsid w:val="00E06486"/>
    <w:rPr>
      <w:rFonts w:ascii="Tahoma" w:eastAsia="Times New Roman" w:hAnsi="Tahoma" w:cs="Tahoma"/>
      <w:sz w:val="16"/>
      <w:szCs w:val="16"/>
    </w:rPr>
  </w:style>
  <w:style w:type="paragraph" w:styleId="Header">
    <w:name w:val="header"/>
    <w:basedOn w:val="Normal"/>
    <w:link w:val="HeaderChar"/>
    <w:uiPriority w:val="99"/>
    <w:unhideWhenUsed/>
    <w:rsid w:val="00F815F2"/>
    <w:pPr>
      <w:tabs>
        <w:tab w:val="center" w:pos="4680"/>
        <w:tab w:val="right" w:pos="9360"/>
      </w:tabs>
    </w:pPr>
  </w:style>
  <w:style w:type="character" w:customStyle="1" w:styleId="HeaderChar">
    <w:name w:val="Header Char"/>
    <w:basedOn w:val="DefaultParagraphFont"/>
    <w:link w:val="Header"/>
    <w:uiPriority w:val="99"/>
    <w:rsid w:val="00F815F2"/>
    <w:rPr>
      <w:rFonts w:ascii="Times New Roman" w:eastAsia="Times New Roman" w:hAnsi="Times New Roman" w:cs="Times New Roman"/>
      <w:sz w:val="20"/>
      <w:szCs w:val="20"/>
    </w:rPr>
  </w:style>
  <w:style w:type="paragraph" w:styleId="BodyTextIndent">
    <w:name w:val="Body Text Indent"/>
    <w:basedOn w:val="Normal"/>
    <w:link w:val="BodyTextIndentChar"/>
    <w:rsid w:val="0098610E"/>
    <w:pPr>
      <w:spacing w:after="120"/>
      <w:ind w:left="360"/>
    </w:pPr>
  </w:style>
  <w:style w:type="character" w:customStyle="1" w:styleId="BodyTextIndentChar">
    <w:name w:val="Body Text Indent Char"/>
    <w:basedOn w:val="DefaultParagraphFont"/>
    <w:link w:val="BodyTextIndent"/>
    <w:rsid w:val="0098610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1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qFormat/>
    <w:rsid w:val="00CD5C18"/>
    <w:pPr>
      <w:keepLines/>
      <w:numPr>
        <w:numId w:val="2"/>
      </w:numPr>
      <w:tabs>
        <w:tab w:val="clear" w:pos="720"/>
      </w:tabs>
      <w:spacing w:after="240"/>
      <w:jc w:val="both"/>
      <w:outlineLvl w:val="0"/>
    </w:pPr>
    <w:rPr>
      <w:b/>
      <w:bCs/>
      <w:caps/>
      <w:sz w:val="24"/>
      <w:szCs w:val="32"/>
      <w:u w:val="single"/>
    </w:rPr>
  </w:style>
  <w:style w:type="paragraph" w:styleId="Heading2">
    <w:name w:val="heading 2"/>
    <w:basedOn w:val="Normal"/>
    <w:next w:val="BodyText2"/>
    <w:link w:val="Heading2Char"/>
    <w:uiPriority w:val="2"/>
    <w:qFormat/>
    <w:rsid w:val="00CD5C18"/>
    <w:pPr>
      <w:keepLines/>
      <w:numPr>
        <w:ilvl w:val="1"/>
        <w:numId w:val="2"/>
      </w:numPr>
      <w:spacing w:after="240"/>
      <w:jc w:val="both"/>
      <w:outlineLvl w:val="1"/>
    </w:pPr>
    <w:rPr>
      <w:b/>
      <w:bCs/>
      <w:iCs/>
      <w:caps/>
      <w:sz w:val="24"/>
      <w:szCs w:val="28"/>
    </w:rPr>
  </w:style>
  <w:style w:type="paragraph" w:styleId="Heading3">
    <w:name w:val="heading 3"/>
    <w:basedOn w:val="Normal"/>
    <w:next w:val="BodyText2"/>
    <w:link w:val="Heading3Char"/>
    <w:uiPriority w:val="2"/>
    <w:unhideWhenUsed/>
    <w:qFormat/>
    <w:rsid w:val="00CD5C18"/>
    <w:pPr>
      <w:numPr>
        <w:ilvl w:val="2"/>
        <w:numId w:val="2"/>
      </w:numPr>
      <w:spacing w:after="240"/>
      <w:jc w:val="both"/>
      <w:outlineLvl w:val="2"/>
    </w:pPr>
    <w:rPr>
      <w:b/>
      <w:bCs/>
      <w:sz w:val="24"/>
      <w:szCs w:val="26"/>
    </w:rPr>
  </w:style>
  <w:style w:type="paragraph" w:styleId="Heading4">
    <w:name w:val="heading 4"/>
    <w:basedOn w:val="Normal"/>
    <w:next w:val="BodyText2"/>
    <w:link w:val="Heading4Char"/>
    <w:uiPriority w:val="2"/>
    <w:unhideWhenUsed/>
    <w:qFormat/>
    <w:rsid w:val="00CD5C18"/>
    <w:pPr>
      <w:numPr>
        <w:ilvl w:val="3"/>
        <w:numId w:val="2"/>
      </w:numPr>
      <w:spacing w:after="240"/>
      <w:jc w:val="both"/>
      <w:outlineLvl w:val="3"/>
    </w:pPr>
    <w:rPr>
      <w:b/>
      <w:bCs/>
      <w:sz w:val="24"/>
      <w:szCs w:val="28"/>
    </w:rPr>
  </w:style>
  <w:style w:type="paragraph" w:styleId="Heading5">
    <w:name w:val="heading 5"/>
    <w:basedOn w:val="Normal"/>
    <w:next w:val="BodyText2"/>
    <w:link w:val="Heading5Char"/>
    <w:uiPriority w:val="2"/>
    <w:unhideWhenUsed/>
    <w:qFormat/>
    <w:rsid w:val="00CD5C18"/>
    <w:pPr>
      <w:numPr>
        <w:ilvl w:val="4"/>
        <w:numId w:val="2"/>
      </w:numPr>
      <w:spacing w:after="240"/>
      <w:jc w:val="both"/>
      <w:outlineLvl w:val="4"/>
    </w:pPr>
    <w:rPr>
      <w:b/>
      <w:bCs/>
      <w:iCs/>
      <w:sz w:val="24"/>
      <w:szCs w:val="26"/>
    </w:rPr>
  </w:style>
  <w:style w:type="paragraph" w:styleId="Heading6">
    <w:name w:val="heading 6"/>
    <w:basedOn w:val="Normal"/>
    <w:next w:val="BodyText2"/>
    <w:link w:val="Heading6Char"/>
    <w:uiPriority w:val="2"/>
    <w:unhideWhenUsed/>
    <w:qFormat/>
    <w:rsid w:val="00CD5C18"/>
    <w:pPr>
      <w:numPr>
        <w:ilvl w:val="5"/>
        <w:numId w:val="2"/>
      </w:numPr>
      <w:spacing w:after="240"/>
      <w:outlineLvl w:val="5"/>
    </w:pPr>
    <w:rPr>
      <w:b/>
      <w:bCs/>
      <w:sz w:val="24"/>
      <w:szCs w:val="22"/>
    </w:rPr>
  </w:style>
  <w:style w:type="paragraph" w:styleId="Heading7">
    <w:name w:val="heading 7"/>
    <w:basedOn w:val="Normal"/>
    <w:next w:val="BodyText2"/>
    <w:link w:val="Heading7Char"/>
    <w:uiPriority w:val="2"/>
    <w:unhideWhenUsed/>
    <w:qFormat/>
    <w:rsid w:val="00CD5C18"/>
    <w:pPr>
      <w:numPr>
        <w:ilvl w:val="6"/>
        <w:numId w:val="2"/>
      </w:numPr>
      <w:spacing w:after="240"/>
      <w:outlineLvl w:val="6"/>
    </w:pPr>
    <w:rPr>
      <w:b/>
      <w:sz w:val="24"/>
      <w:szCs w:val="24"/>
    </w:rPr>
  </w:style>
  <w:style w:type="paragraph" w:styleId="Heading8">
    <w:name w:val="heading 8"/>
    <w:basedOn w:val="Normal"/>
    <w:next w:val="BodyText2"/>
    <w:link w:val="Heading8Char"/>
    <w:uiPriority w:val="2"/>
    <w:unhideWhenUsed/>
    <w:qFormat/>
    <w:rsid w:val="00CD5C18"/>
    <w:pPr>
      <w:numPr>
        <w:ilvl w:val="7"/>
        <w:numId w:val="2"/>
      </w:numPr>
      <w:spacing w:after="240"/>
      <w:jc w:val="both"/>
      <w:outlineLvl w:val="7"/>
    </w:pPr>
    <w:rPr>
      <w:b/>
      <w:iCs/>
      <w:sz w:val="24"/>
      <w:szCs w:val="24"/>
    </w:rPr>
  </w:style>
  <w:style w:type="paragraph" w:styleId="Heading9">
    <w:name w:val="heading 9"/>
    <w:basedOn w:val="Normal"/>
    <w:next w:val="BodyText2"/>
    <w:link w:val="Heading9Char"/>
    <w:uiPriority w:val="2"/>
    <w:unhideWhenUsed/>
    <w:qFormat/>
    <w:rsid w:val="00CD5C18"/>
    <w:pPr>
      <w:numPr>
        <w:ilvl w:val="8"/>
        <w:numId w:val="2"/>
      </w:numPr>
      <w:spacing w:after="24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D5C18"/>
    <w:rPr>
      <w:rFonts w:ascii="Times New Roman" w:eastAsia="Times New Roman" w:hAnsi="Times New Roman" w:cs="Times New Roman"/>
      <w:b/>
      <w:bCs/>
      <w:caps/>
      <w:sz w:val="24"/>
      <w:szCs w:val="32"/>
      <w:u w:val="single"/>
    </w:rPr>
  </w:style>
  <w:style w:type="character" w:customStyle="1" w:styleId="Heading2Char">
    <w:name w:val="Heading 2 Char"/>
    <w:basedOn w:val="DefaultParagraphFont"/>
    <w:link w:val="Heading2"/>
    <w:uiPriority w:val="2"/>
    <w:rsid w:val="00CD5C18"/>
    <w:rPr>
      <w:rFonts w:ascii="Times New Roman" w:eastAsia="Times New Roman" w:hAnsi="Times New Roman" w:cs="Times New Roman"/>
      <w:b/>
      <w:bCs/>
      <w:iCs/>
      <w:caps/>
      <w:sz w:val="24"/>
      <w:szCs w:val="28"/>
    </w:rPr>
  </w:style>
  <w:style w:type="character" w:customStyle="1" w:styleId="Heading3Char">
    <w:name w:val="Heading 3 Char"/>
    <w:basedOn w:val="DefaultParagraphFont"/>
    <w:link w:val="Heading3"/>
    <w:uiPriority w:val="2"/>
    <w:rsid w:val="00CD5C18"/>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2"/>
    <w:rsid w:val="00CD5C1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2"/>
    <w:rsid w:val="00CD5C18"/>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uiPriority w:val="2"/>
    <w:rsid w:val="00CD5C18"/>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2"/>
    <w:rsid w:val="00CD5C1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2"/>
    <w:rsid w:val="00CD5C1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uiPriority w:val="2"/>
    <w:rsid w:val="00CD5C18"/>
    <w:rPr>
      <w:rFonts w:ascii="Times New Roman" w:eastAsia="Times New Roman" w:hAnsi="Times New Roman" w:cs="Times New Roman"/>
      <w:b/>
      <w:sz w:val="24"/>
    </w:rPr>
  </w:style>
  <w:style w:type="paragraph" w:styleId="Footer">
    <w:name w:val="footer"/>
    <w:basedOn w:val="Normal"/>
    <w:link w:val="FooterChar"/>
    <w:uiPriority w:val="99"/>
    <w:rsid w:val="00CD5C18"/>
    <w:pPr>
      <w:tabs>
        <w:tab w:val="center" w:pos="4320"/>
        <w:tab w:val="right" w:pos="8640"/>
      </w:tabs>
    </w:pPr>
  </w:style>
  <w:style w:type="character" w:customStyle="1" w:styleId="FooterChar">
    <w:name w:val="Footer Char"/>
    <w:basedOn w:val="DefaultParagraphFont"/>
    <w:link w:val="Footer"/>
    <w:uiPriority w:val="99"/>
    <w:rsid w:val="00CD5C18"/>
    <w:rPr>
      <w:rFonts w:ascii="Times New Roman" w:eastAsia="Times New Roman" w:hAnsi="Times New Roman" w:cs="Times New Roman"/>
      <w:sz w:val="20"/>
      <w:szCs w:val="20"/>
    </w:rPr>
  </w:style>
  <w:style w:type="character" w:styleId="PageNumber">
    <w:name w:val="page number"/>
    <w:basedOn w:val="DefaultParagraphFont"/>
    <w:rsid w:val="00CD5C18"/>
  </w:style>
  <w:style w:type="paragraph" w:styleId="Title">
    <w:name w:val="Title"/>
    <w:basedOn w:val="Normal"/>
    <w:link w:val="TitleChar"/>
    <w:qFormat/>
    <w:rsid w:val="00CD5C18"/>
    <w:pPr>
      <w:tabs>
        <w:tab w:val="left" w:pos="360"/>
      </w:tabs>
      <w:spacing w:line="233" w:lineRule="auto"/>
      <w:jc w:val="center"/>
    </w:pPr>
    <w:rPr>
      <w:b/>
      <w:sz w:val="24"/>
    </w:rPr>
  </w:style>
  <w:style w:type="character" w:customStyle="1" w:styleId="TitleChar">
    <w:name w:val="Title Char"/>
    <w:basedOn w:val="DefaultParagraphFont"/>
    <w:link w:val="Title"/>
    <w:rsid w:val="00CD5C18"/>
    <w:rPr>
      <w:rFonts w:ascii="Times New Roman" w:eastAsia="Times New Roman" w:hAnsi="Times New Roman" w:cs="Times New Roman"/>
      <w:b/>
      <w:sz w:val="24"/>
      <w:szCs w:val="20"/>
    </w:rPr>
  </w:style>
  <w:style w:type="paragraph" w:styleId="ListParagraph">
    <w:name w:val="List Paragraph"/>
    <w:basedOn w:val="Normal"/>
    <w:uiPriority w:val="34"/>
    <w:qFormat/>
    <w:rsid w:val="00CD5C18"/>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991F75"/>
    <w:rPr>
      <w:sz w:val="20"/>
      <w:szCs w:val="20"/>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991F75"/>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CD5C18"/>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CD5C18"/>
    <w:rPr>
      <w:rFonts w:ascii="Times New Roman" w:hAnsi="Times New Roman" w:cs="Times New Roman" w:hint="default"/>
      <w:vertAlign w:val="superscript"/>
    </w:rPr>
  </w:style>
  <w:style w:type="paragraph" w:styleId="BodyText2">
    <w:name w:val="Body Text 2"/>
    <w:basedOn w:val="Normal"/>
    <w:link w:val="BodyText2Char"/>
    <w:rsid w:val="00CD5C18"/>
    <w:pPr>
      <w:spacing w:after="120" w:line="480" w:lineRule="auto"/>
    </w:pPr>
    <w:rPr>
      <w:sz w:val="24"/>
      <w:szCs w:val="24"/>
    </w:rPr>
  </w:style>
  <w:style w:type="character" w:customStyle="1" w:styleId="BodyText2Char">
    <w:name w:val="Body Text 2 Char"/>
    <w:basedOn w:val="DefaultParagraphFont"/>
    <w:link w:val="BodyText2"/>
    <w:rsid w:val="00CD5C18"/>
    <w:rPr>
      <w:rFonts w:ascii="Times New Roman" w:eastAsia="Times New Roman" w:hAnsi="Times New Roman" w:cs="Times New Roman"/>
      <w:sz w:val="24"/>
      <w:szCs w:val="24"/>
    </w:rPr>
  </w:style>
  <w:style w:type="paragraph" w:styleId="ListNumber">
    <w:name w:val="List Number"/>
    <w:basedOn w:val="Normal"/>
    <w:rsid w:val="00CD5C18"/>
    <w:pPr>
      <w:numPr>
        <w:numId w:val="1"/>
      </w:numPr>
      <w:tabs>
        <w:tab w:val="clear" w:pos="360"/>
      </w:tabs>
      <w:spacing w:line="480" w:lineRule="auto"/>
      <w:ind w:left="0" w:firstLine="720"/>
    </w:pPr>
    <w:rPr>
      <w:sz w:val="24"/>
      <w:szCs w:val="24"/>
    </w:rPr>
  </w:style>
  <w:style w:type="paragraph" w:styleId="BodyText">
    <w:name w:val="Body Text"/>
    <w:basedOn w:val="Normal"/>
    <w:link w:val="BodyTextChar"/>
    <w:rsid w:val="00CD5C18"/>
    <w:pPr>
      <w:spacing w:after="120"/>
    </w:pPr>
  </w:style>
  <w:style w:type="character" w:customStyle="1" w:styleId="BodyTextChar">
    <w:name w:val="Body Text Char"/>
    <w:basedOn w:val="DefaultParagraphFont"/>
    <w:link w:val="BodyText"/>
    <w:rsid w:val="00CD5C18"/>
    <w:rPr>
      <w:rFonts w:ascii="Times New Roman" w:eastAsia="Times New Roman" w:hAnsi="Times New Roman" w:cs="Times New Roman"/>
      <w:sz w:val="20"/>
      <w:szCs w:val="20"/>
    </w:rPr>
  </w:style>
  <w:style w:type="table" w:styleId="TableGrid">
    <w:name w:val="Table Grid"/>
    <w:basedOn w:val="TableNormal"/>
    <w:rsid w:val="00CD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6486"/>
    <w:rPr>
      <w:rFonts w:ascii="Tahoma" w:hAnsi="Tahoma" w:cs="Tahoma"/>
      <w:sz w:val="16"/>
      <w:szCs w:val="16"/>
    </w:rPr>
  </w:style>
  <w:style w:type="character" w:customStyle="1" w:styleId="BalloonTextChar">
    <w:name w:val="Balloon Text Char"/>
    <w:basedOn w:val="DefaultParagraphFont"/>
    <w:link w:val="BalloonText"/>
    <w:uiPriority w:val="99"/>
    <w:semiHidden/>
    <w:rsid w:val="00E06486"/>
    <w:rPr>
      <w:rFonts w:ascii="Tahoma" w:eastAsia="Times New Roman" w:hAnsi="Tahoma" w:cs="Tahoma"/>
      <w:sz w:val="16"/>
      <w:szCs w:val="16"/>
    </w:rPr>
  </w:style>
  <w:style w:type="paragraph" w:styleId="Header">
    <w:name w:val="header"/>
    <w:basedOn w:val="Normal"/>
    <w:link w:val="HeaderChar"/>
    <w:uiPriority w:val="99"/>
    <w:unhideWhenUsed/>
    <w:rsid w:val="00F815F2"/>
    <w:pPr>
      <w:tabs>
        <w:tab w:val="center" w:pos="4680"/>
        <w:tab w:val="right" w:pos="9360"/>
      </w:tabs>
    </w:pPr>
  </w:style>
  <w:style w:type="character" w:customStyle="1" w:styleId="HeaderChar">
    <w:name w:val="Header Char"/>
    <w:basedOn w:val="DefaultParagraphFont"/>
    <w:link w:val="Header"/>
    <w:uiPriority w:val="99"/>
    <w:rsid w:val="00F815F2"/>
    <w:rPr>
      <w:rFonts w:ascii="Times New Roman" w:eastAsia="Times New Roman" w:hAnsi="Times New Roman" w:cs="Times New Roman"/>
      <w:sz w:val="20"/>
      <w:szCs w:val="20"/>
    </w:rPr>
  </w:style>
  <w:style w:type="paragraph" w:styleId="BodyTextIndent">
    <w:name w:val="Body Text Indent"/>
    <w:basedOn w:val="Normal"/>
    <w:link w:val="BodyTextIndentChar"/>
    <w:rsid w:val="0098610E"/>
    <w:pPr>
      <w:spacing w:after="120"/>
      <w:ind w:left="360"/>
    </w:pPr>
  </w:style>
  <w:style w:type="character" w:customStyle="1" w:styleId="BodyTextIndentChar">
    <w:name w:val="Body Text Indent Char"/>
    <w:basedOn w:val="DefaultParagraphFont"/>
    <w:link w:val="BodyTextIndent"/>
    <w:rsid w:val="0098610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33B2-D48E-4CD8-9732-0760F947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16500</Words>
  <Characters>94055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cp:revision>
  <cp:lastPrinted>2015-07-14T15:56:00Z</cp:lastPrinted>
  <dcterms:created xsi:type="dcterms:W3CDTF">2015-07-14T16:19:00Z</dcterms:created>
  <dcterms:modified xsi:type="dcterms:W3CDTF">2015-07-14T16:19:00Z</dcterms:modified>
</cp:coreProperties>
</file>