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86" w:rsidRPr="00FA6483" w:rsidRDefault="00B83786" w:rsidP="00B83786">
      <w:pPr>
        <w:jc w:val="center"/>
        <w:rPr>
          <w:b/>
          <w:sz w:val="24"/>
          <w:szCs w:val="24"/>
        </w:rPr>
      </w:pPr>
      <w:r w:rsidRPr="00FA6483">
        <w:rPr>
          <w:b/>
          <w:sz w:val="24"/>
          <w:szCs w:val="24"/>
        </w:rPr>
        <w:t>BEFORE THE</w:t>
      </w:r>
    </w:p>
    <w:p w:rsidR="00B83786" w:rsidRPr="00FA6483" w:rsidRDefault="00B83786" w:rsidP="00B83786">
      <w:pPr>
        <w:jc w:val="center"/>
        <w:rPr>
          <w:b/>
          <w:sz w:val="24"/>
          <w:szCs w:val="24"/>
        </w:rPr>
      </w:pPr>
      <w:r w:rsidRPr="00FA6483">
        <w:rPr>
          <w:b/>
          <w:sz w:val="24"/>
          <w:szCs w:val="24"/>
        </w:rPr>
        <w:t>PENNSYLVANIA PUBLIC UTILITY COMMISSION</w:t>
      </w:r>
    </w:p>
    <w:p w:rsidR="00B83786" w:rsidRPr="00FA6483" w:rsidRDefault="00B83786" w:rsidP="00B83786">
      <w:pPr>
        <w:jc w:val="center"/>
        <w:rPr>
          <w:b/>
          <w:sz w:val="24"/>
          <w:szCs w:val="24"/>
        </w:rPr>
      </w:pPr>
    </w:p>
    <w:p w:rsidR="00B83786" w:rsidRPr="00FA6483" w:rsidRDefault="00B83786" w:rsidP="00B83786">
      <w:pPr>
        <w:jc w:val="center"/>
        <w:rPr>
          <w:b/>
          <w:sz w:val="24"/>
          <w:szCs w:val="24"/>
        </w:rPr>
      </w:pPr>
    </w:p>
    <w:p w:rsidR="00B83786" w:rsidRDefault="00B83786" w:rsidP="00B83786">
      <w:pPr>
        <w:jc w:val="center"/>
        <w:rPr>
          <w:b/>
        </w:rPr>
      </w:pPr>
    </w:p>
    <w:p w:rsidR="00B83786" w:rsidRDefault="00B83786" w:rsidP="00B83786">
      <w:pPr>
        <w:rPr>
          <w:sz w:val="24"/>
          <w:szCs w:val="24"/>
        </w:rPr>
      </w:pPr>
      <w:r>
        <w:rPr>
          <w:sz w:val="24"/>
          <w:szCs w:val="24"/>
        </w:rPr>
        <w:t xml:space="preserve">Debbie </w:t>
      </w:r>
      <w:proofErr w:type="spellStart"/>
      <w:r>
        <w:rPr>
          <w:sz w:val="24"/>
          <w:szCs w:val="24"/>
        </w:rPr>
        <w:t>Gruelle</w:t>
      </w:r>
      <w:proofErr w:type="spellEnd"/>
      <w:r>
        <w:rPr>
          <w:sz w:val="24"/>
          <w:szCs w:val="24"/>
        </w:rPr>
        <w:t xml:space="preserve"> c/o Toll Diversified</w:t>
      </w:r>
      <w:r>
        <w:rPr>
          <w:sz w:val="24"/>
          <w:szCs w:val="24"/>
        </w:rPr>
        <w:tab/>
      </w:r>
      <w:r>
        <w:rPr>
          <w:sz w:val="24"/>
          <w:szCs w:val="24"/>
        </w:rPr>
        <w:tab/>
      </w:r>
      <w:r>
        <w:rPr>
          <w:sz w:val="24"/>
          <w:szCs w:val="24"/>
        </w:rPr>
        <w:tab/>
        <w:t>:</w:t>
      </w:r>
    </w:p>
    <w:p w:rsidR="00B83786" w:rsidRPr="00FA6483" w:rsidRDefault="00B83786" w:rsidP="00B83786">
      <w:pPr>
        <w:rPr>
          <w:sz w:val="24"/>
          <w:szCs w:val="24"/>
        </w:rPr>
      </w:pPr>
      <w:r>
        <w:rPr>
          <w:sz w:val="24"/>
          <w:szCs w:val="24"/>
        </w:rPr>
        <w:t>Properties, Inc.</w:t>
      </w:r>
      <w:r>
        <w:rPr>
          <w:sz w:val="24"/>
          <w:szCs w:val="24"/>
        </w:rPr>
        <w:tab/>
      </w:r>
      <w:r>
        <w:rPr>
          <w:sz w:val="24"/>
          <w:szCs w:val="24"/>
        </w:rPr>
        <w:tab/>
      </w:r>
      <w:r>
        <w:rPr>
          <w:sz w:val="24"/>
          <w:szCs w:val="24"/>
        </w:rPr>
        <w:tab/>
      </w:r>
      <w:r>
        <w:rPr>
          <w:sz w:val="24"/>
          <w:szCs w:val="24"/>
        </w:rPr>
        <w:tab/>
      </w:r>
      <w:r>
        <w:rPr>
          <w:sz w:val="24"/>
          <w:szCs w:val="24"/>
        </w:rPr>
        <w:tab/>
        <w:t>:</w:t>
      </w:r>
    </w:p>
    <w:p w:rsidR="00B83786" w:rsidRPr="00FA6483" w:rsidRDefault="00B83786" w:rsidP="00B837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83786" w:rsidRPr="00FA6483" w:rsidRDefault="00B83786" w:rsidP="00B837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C25CFF">
        <w:rPr>
          <w:sz w:val="24"/>
          <w:szCs w:val="24"/>
        </w:rPr>
        <w:t>C-2015-2463573</w:t>
      </w:r>
    </w:p>
    <w:p w:rsidR="00B83786" w:rsidRPr="00FA6483" w:rsidRDefault="00B83786" w:rsidP="00B837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83786" w:rsidRDefault="00B83786" w:rsidP="00B83786">
      <w:pPr>
        <w:rPr>
          <w:sz w:val="24"/>
          <w:szCs w:val="24"/>
        </w:rPr>
      </w:pPr>
      <w:r>
        <w:rPr>
          <w:sz w:val="24"/>
          <w:szCs w:val="24"/>
        </w:rPr>
        <w:t>PPL Electric Utilities Corporation and</w:t>
      </w:r>
      <w:r>
        <w:rPr>
          <w:sz w:val="24"/>
          <w:szCs w:val="24"/>
        </w:rPr>
        <w:tab/>
      </w:r>
      <w:r>
        <w:rPr>
          <w:sz w:val="24"/>
          <w:szCs w:val="24"/>
        </w:rPr>
        <w:tab/>
      </w:r>
      <w:r w:rsidRPr="00FA6483">
        <w:rPr>
          <w:sz w:val="24"/>
          <w:szCs w:val="24"/>
        </w:rPr>
        <w:t>:</w:t>
      </w:r>
    </w:p>
    <w:p w:rsidR="00B83786" w:rsidRPr="00FA6483" w:rsidRDefault="00B83786" w:rsidP="00B83786">
      <w:pPr>
        <w:rPr>
          <w:sz w:val="24"/>
          <w:szCs w:val="24"/>
        </w:rPr>
      </w:pPr>
      <w:r>
        <w:rPr>
          <w:sz w:val="24"/>
          <w:szCs w:val="24"/>
        </w:rPr>
        <w:t>Blue Pilot Energy, LLC</w:t>
      </w:r>
      <w:r>
        <w:rPr>
          <w:sz w:val="24"/>
          <w:szCs w:val="24"/>
        </w:rPr>
        <w:tab/>
      </w:r>
      <w:r>
        <w:rPr>
          <w:sz w:val="24"/>
          <w:szCs w:val="24"/>
        </w:rPr>
        <w:tab/>
      </w:r>
      <w:r>
        <w:rPr>
          <w:sz w:val="24"/>
          <w:szCs w:val="24"/>
        </w:rPr>
        <w:tab/>
      </w:r>
      <w:r>
        <w:rPr>
          <w:sz w:val="24"/>
          <w:szCs w:val="24"/>
        </w:rPr>
        <w:tab/>
        <w:t>:</w:t>
      </w:r>
    </w:p>
    <w:p w:rsidR="00B83786" w:rsidRDefault="00B83786" w:rsidP="00B83786"/>
    <w:p w:rsidR="00C25CFF" w:rsidRDefault="00C25CFF" w:rsidP="00B83786"/>
    <w:p w:rsidR="00C25CFF" w:rsidRDefault="00C25CFF" w:rsidP="00B83786"/>
    <w:p w:rsidR="00B83786" w:rsidRPr="006B1F91" w:rsidRDefault="006B1F91" w:rsidP="00B83786">
      <w:pPr>
        <w:jc w:val="center"/>
        <w:rPr>
          <w:b/>
          <w:sz w:val="24"/>
          <w:szCs w:val="24"/>
          <w:u w:val="single"/>
        </w:rPr>
      </w:pPr>
      <w:r w:rsidRPr="006B1F91">
        <w:rPr>
          <w:b/>
          <w:u w:val="single"/>
        </w:rPr>
        <w:t>BRIEFING ORDER</w:t>
      </w:r>
    </w:p>
    <w:p w:rsidR="00B83786" w:rsidRPr="006B1F91" w:rsidRDefault="00B83786" w:rsidP="00B83786">
      <w:pPr>
        <w:jc w:val="center"/>
        <w:rPr>
          <w:b/>
          <w:sz w:val="24"/>
          <w:szCs w:val="24"/>
          <w:u w:val="single"/>
        </w:rPr>
      </w:pPr>
    </w:p>
    <w:p w:rsidR="00B83786" w:rsidRDefault="00B83786" w:rsidP="00B83786">
      <w:pPr>
        <w:jc w:val="center"/>
        <w:rPr>
          <w:sz w:val="24"/>
          <w:szCs w:val="24"/>
          <w:u w:val="single"/>
        </w:rPr>
      </w:pPr>
    </w:p>
    <w:p w:rsidR="00B83786" w:rsidRDefault="00B83786" w:rsidP="00B83786">
      <w:pPr>
        <w:spacing w:line="360" w:lineRule="auto"/>
        <w:rPr>
          <w:sz w:val="24"/>
          <w:szCs w:val="24"/>
        </w:rPr>
      </w:pPr>
      <w:r>
        <w:rPr>
          <w:sz w:val="24"/>
          <w:szCs w:val="24"/>
        </w:rPr>
        <w:tab/>
      </w:r>
      <w:r>
        <w:rPr>
          <w:sz w:val="24"/>
          <w:szCs w:val="24"/>
        </w:rPr>
        <w:tab/>
        <w:t xml:space="preserve">On January 9, 2015, Debbie </w:t>
      </w:r>
      <w:proofErr w:type="spellStart"/>
      <w:r>
        <w:rPr>
          <w:sz w:val="24"/>
          <w:szCs w:val="24"/>
        </w:rPr>
        <w:t>Gruelle</w:t>
      </w:r>
      <w:proofErr w:type="spellEnd"/>
      <w:r>
        <w:rPr>
          <w:sz w:val="24"/>
          <w:szCs w:val="24"/>
        </w:rPr>
        <w:t xml:space="preserve"> (Complainant) filed a formal Complaint on behalf of Toll Diversified Properties, Inc. (Toll) against Blue Pilot Energy, LLC (Blue Pilot), and PPL Electric Utilities Corporation (PPL) alleging that her accounts for two accounts were overbilled contrary to the agreement that she had with Blue Pilot, which was that at the end of the contract period, she could either renegotiate a new contract or her account would revert to PPL's default service.  She </w:t>
      </w:r>
      <w:r w:rsidR="006B1F91">
        <w:rPr>
          <w:sz w:val="24"/>
          <w:szCs w:val="24"/>
        </w:rPr>
        <w:t xml:space="preserve">alleges that she </w:t>
      </w:r>
      <w:r>
        <w:rPr>
          <w:sz w:val="24"/>
          <w:szCs w:val="24"/>
        </w:rPr>
        <w:t xml:space="preserve">was overcharged and then threatened with termination.  She requests a credit to her bill in the amount of $9,130.83.  The Complaint form lists Dan </w:t>
      </w:r>
      <w:proofErr w:type="spellStart"/>
      <w:r>
        <w:rPr>
          <w:sz w:val="24"/>
          <w:szCs w:val="24"/>
        </w:rPr>
        <w:t>Gruen</w:t>
      </w:r>
      <w:proofErr w:type="spellEnd"/>
      <w:r>
        <w:rPr>
          <w:sz w:val="24"/>
          <w:szCs w:val="24"/>
        </w:rPr>
        <w:t>, Esq., of Blue Bell PA as the attorney.</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 xml:space="preserve">This is an appeal of an informal decision of the Commission's Bureau of Consumer Services (BCS) at BCS Case No. 3315357, issued December 1, 2014.  </w:t>
      </w:r>
    </w:p>
    <w:p w:rsidR="00B83786" w:rsidRDefault="00B83786" w:rsidP="00B83786">
      <w:pPr>
        <w:spacing w:line="360" w:lineRule="auto"/>
        <w:rPr>
          <w:sz w:val="24"/>
          <w:szCs w:val="24"/>
        </w:rPr>
      </w:pPr>
      <w:r>
        <w:rPr>
          <w:sz w:val="24"/>
          <w:szCs w:val="24"/>
        </w:rPr>
        <w:tab/>
      </w:r>
      <w:r>
        <w:rPr>
          <w:sz w:val="24"/>
          <w:szCs w:val="24"/>
        </w:rPr>
        <w:tab/>
      </w:r>
    </w:p>
    <w:p w:rsidR="00B83786" w:rsidRDefault="00B83786" w:rsidP="00B83786">
      <w:pPr>
        <w:spacing w:line="360" w:lineRule="auto"/>
        <w:rPr>
          <w:sz w:val="24"/>
          <w:szCs w:val="24"/>
        </w:rPr>
      </w:pPr>
      <w:r>
        <w:rPr>
          <w:sz w:val="24"/>
          <w:szCs w:val="24"/>
        </w:rPr>
        <w:tab/>
      </w:r>
      <w:r>
        <w:rPr>
          <w:sz w:val="24"/>
          <w:szCs w:val="24"/>
        </w:rPr>
        <w:tab/>
        <w:t xml:space="preserve">The Complaint was served on both Respondents on January 23, 2015, properly covered by a notice to plead.  </w:t>
      </w:r>
      <w:r>
        <w:rPr>
          <w:sz w:val="24"/>
          <w:szCs w:val="24"/>
        </w:rPr>
        <w:tab/>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 xml:space="preserve">By notice dated February 2, 2015, received February 9, 2015, Attorney </w:t>
      </w:r>
      <w:proofErr w:type="spellStart"/>
      <w:r>
        <w:rPr>
          <w:sz w:val="24"/>
          <w:szCs w:val="24"/>
        </w:rPr>
        <w:t>Gruen</w:t>
      </w:r>
      <w:proofErr w:type="spellEnd"/>
      <w:r>
        <w:rPr>
          <w:sz w:val="24"/>
          <w:szCs w:val="24"/>
        </w:rPr>
        <w:t xml:space="preserve"> withdrew his appearance on behalf of Complainant.</w:t>
      </w:r>
    </w:p>
    <w:p w:rsidR="00B83786" w:rsidRDefault="00B83786" w:rsidP="00B83786">
      <w:pPr>
        <w:spacing w:line="360" w:lineRule="auto"/>
        <w:rPr>
          <w:sz w:val="24"/>
          <w:szCs w:val="24"/>
        </w:rPr>
      </w:pPr>
      <w:r>
        <w:rPr>
          <w:sz w:val="24"/>
          <w:szCs w:val="24"/>
        </w:rPr>
        <w:tab/>
      </w:r>
      <w:r>
        <w:rPr>
          <w:sz w:val="24"/>
          <w:szCs w:val="24"/>
        </w:rPr>
        <w:tab/>
      </w:r>
    </w:p>
    <w:p w:rsidR="00B83786" w:rsidRDefault="00B83786" w:rsidP="00B83786">
      <w:pPr>
        <w:spacing w:line="360" w:lineRule="auto"/>
        <w:rPr>
          <w:sz w:val="24"/>
          <w:szCs w:val="24"/>
        </w:rPr>
      </w:pPr>
      <w:r>
        <w:rPr>
          <w:sz w:val="24"/>
          <w:szCs w:val="24"/>
        </w:rPr>
        <w:lastRenderedPageBreak/>
        <w:tab/>
      </w:r>
      <w:r>
        <w:rPr>
          <w:sz w:val="24"/>
          <w:szCs w:val="24"/>
        </w:rPr>
        <w:tab/>
        <w:t>On February 9, 2015, Blue Pilot filed its Answer which either admitted or denied each allegation of the Complaint without explanation.  In a section labeled "Affirmative Defenses," Blue Pilot lists thirty (30) affirmative defenses</w:t>
      </w:r>
      <w:r w:rsidR="006B1F91">
        <w:rPr>
          <w:sz w:val="24"/>
          <w:szCs w:val="24"/>
        </w:rPr>
        <w:t xml:space="preserve"> without averring additional facts or explanation of how any of them apply</w:t>
      </w:r>
      <w:r>
        <w:rPr>
          <w:sz w:val="24"/>
          <w:szCs w:val="24"/>
        </w:rPr>
        <w:t xml:space="preserve">.  </w:t>
      </w:r>
      <w:r>
        <w:rPr>
          <w:sz w:val="24"/>
          <w:szCs w:val="24"/>
        </w:rPr>
        <w:tab/>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 xml:space="preserve">On February 12, 2015, PPL filed its Answer with New Matter, and Preliminary Objections (POs).  The Answer admits that Complainant was, at all times material to the Complaint, an electric distribution customer who received electric generation supply from Blue Pilot and that PPL billed Complainant accordingly.  PPL admits to sending a termination notice on December 31, 2014 for the past due balance of $2,983.76 for a scheduled termination of January 8, 2015, but that the scheduled termination was canceled upon receipt of the formal complaint.  </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 xml:space="preserve">In New Matter, PPL avers that Toll is a corporation and therefore is required by law to be represented by legal counsel; that the allegations in the Complaint are not related to the distribution service provided by PPL, and that Complainant is a shopping customer whose complaint is against Blue Pilot. </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In POs, PPL avers that Complainant is a shopping customer and that the allegations of the Complaint are properly against Blue Pilot as the EGS, not against PPL.  In fact, the allegations relate to rates charged for the competitive electric generation supply provided by Blue Pilot, not over any service that PPL provides or over which PPL has any authority.  Accordingly, PPL sought the dismissal of the Complaint against it.</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On February 20, 2015, the matter was assigned to me by Motion Judge Assignment Notice.</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 xml:space="preserve">On February 25, 2015, PPL filed a Certificate of Satisfaction.  </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 xml:space="preserve">On February 26, 2015, the matter was referred to the Commission's Mediation Unit but was sent for scheduling on March 2, 2015.  </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By Notice of Appearance dated March 11, 2015, received March 13, 2015, Matthew A. Foley, Esq., entered his appearance on behalf of Toll.</w:t>
      </w:r>
      <w:r>
        <w:rPr>
          <w:rStyle w:val="FootnoteReference"/>
          <w:sz w:val="24"/>
          <w:szCs w:val="24"/>
        </w:rPr>
        <w:footnoteReference w:id="1"/>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 xml:space="preserve">On June 4, 2015, a Telephonic Hearing Notice scheduled the initial telephonic hearing for Wednesday, July 22, 2015 at 1:00 pm.  On June 5, 2015, I issued a prehearing order which set forth some of the requirements for participating in a formal hearing before the Commission.  </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On June 9, 2015, Complainant called the Office of Administrative Law Judge and left a different telephone number for use at the telephonic hearing.</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By letter dated June 11, 2015, PPL informed me that it did not plan to participate in the hearing because it had already filed a certificate of satisfaction.</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By Notice dated July 14, 2015, Karen O. Moury, Esq., entered her appearance on behalf of Blue Pilot.  Also on July 14, 2015, Blue Pilot filed proposed exhibits.</w:t>
      </w:r>
      <w:r>
        <w:rPr>
          <w:rStyle w:val="FootnoteReference"/>
          <w:sz w:val="24"/>
          <w:szCs w:val="24"/>
        </w:rPr>
        <w:footnoteReference w:id="2"/>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Complainant submitted proposed exhibits on July 14, 2015.</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 xml:space="preserve">On Wednesday, July 22, 2015, at 1:00 pm the hearing was convened as scheduled. Matthew Foley, Esq., represented Complainant and presented her testimony, including sponsoring Complainant's Exhibits 1-3, and 5-14.  Karen O. Moury, Esq., represented Blue Pilot, and presented one witness who sponsored three exhibits.  The parties indicated that they wished to file simultaneous briefs to be due a month after the transcript is due which is three weeks from the hearing date.  </w:t>
      </w:r>
    </w:p>
    <w:p w:rsidR="00C25CFF" w:rsidRDefault="00C25CFF" w:rsidP="00B83786">
      <w:pPr>
        <w:spacing w:line="360" w:lineRule="auto"/>
        <w:rPr>
          <w:sz w:val="24"/>
          <w:szCs w:val="24"/>
        </w:rPr>
      </w:pPr>
      <w:r>
        <w:rPr>
          <w:sz w:val="24"/>
          <w:szCs w:val="24"/>
        </w:rPr>
        <w:br w:type="page"/>
      </w:r>
    </w:p>
    <w:p w:rsidR="00B83786" w:rsidRDefault="00C25CFF" w:rsidP="00C25CFF">
      <w:pPr>
        <w:spacing w:line="360" w:lineRule="auto"/>
        <w:jc w:val="center"/>
        <w:rPr>
          <w:sz w:val="24"/>
          <w:szCs w:val="24"/>
        </w:rPr>
      </w:pPr>
      <w:r>
        <w:rPr>
          <w:sz w:val="24"/>
          <w:szCs w:val="24"/>
        </w:rPr>
        <w:lastRenderedPageBreak/>
        <w:t>ORDER</w:t>
      </w:r>
    </w:p>
    <w:p w:rsidR="00C25CFF" w:rsidRDefault="00C25CFF" w:rsidP="00C25CFF">
      <w:pPr>
        <w:spacing w:line="360" w:lineRule="auto"/>
        <w:jc w:val="both"/>
        <w:rPr>
          <w:sz w:val="24"/>
          <w:szCs w:val="24"/>
        </w:rPr>
      </w:pPr>
    </w:p>
    <w:p w:rsidR="00C25CFF" w:rsidRDefault="00C25CFF" w:rsidP="00C25CFF">
      <w:pPr>
        <w:spacing w:line="360" w:lineRule="auto"/>
        <w:jc w:val="both"/>
        <w:rPr>
          <w:sz w:val="24"/>
          <w:szCs w:val="24"/>
        </w:rPr>
      </w:pPr>
    </w:p>
    <w:p w:rsidR="00B83786" w:rsidRDefault="00B83786" w:rsidP="00B83786">
      <w:pPr>
        <w:spacing w:line="360" w:lineRule="auto"/>
        <w:rPr>
          <w:sz w:val="24"/>
          <w:szCs w:val="24"/>
        </w:rPr>
      </w:pPr>
      <w:r>
        <w:rPr>
          <w:sz w:val="24"/>
          <w:szCs w:val="24"/>
        </w:rPr>
        <w:tab/>
      </w:r>
      <w:r>
        <w:rPr>
          <w:sz w:val="24"/>
          <w:szCs w:val="24"/>
        </w:rPr>
        <w:tab/>
        <w:t>THEREFORE,</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IT IS ORDERED:</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t>1.</w:t>
      </w:r>
      <w:r>
        <w:rPr>
          <w:sz w:val="24"/>
          <w:szCs w:val="24"/>
        </w:rPr>
        <w:tab/>
        <w:t xml:space="preserve">That </w:t>
      </w:r>
      <w:r w:rsidR="006B1F91">
        <w:rPr>
          <w:sz w:val="24"/>
          <w:szCs w:val="24"/>
        </w:rPr>
        <w:t>initial</w:t>
      </w:r>
      <w:r>
        <w:rPr>
          <w:sz w:val="24"/>
          <w:szCs w:val="24"/>
        </w:rPr>
        <w:t xml:space="preserve"> briefs of the parties shall be filed and served on or before Wednesday, September 9, 2015.   </w:t>
      </w:r>
    </w:p>
    <w:p w:rsidR="006B1F91" w:rsidRDefault="006B1F91" w:rsidP="00B83786">
      <w:pPr>
        <w:spacing w:line="360" w:lineRule="auto"/>
        <w:rPr>
          <w:sz w:val="24"/>
          <w:szCs w:val="24"/>
        </w:rPr>
      </w:pPr>
    </w:p>
    <w:p w:rsidR="006B1F91" w:rsidRDefault="006B1F91" w:rsidP="00B83786">
      <w:pPr>
        <w:spacing w:line="360" w:lineRule="auto"/>
        <w:rPr>
          <w:sz w:val="24"/>
          <w:szCs w:val="24"/>
        </w:rPr>
      </w:pPr>
      <w:r>
        <w:rPr>
          <w:sz w:val="24"/>
          <w:szCs w:val="24"/>
        </w:rPr>
        <w:tab/>
      </w:r>
      <w:r>
        <w:rPr>
          <w:sz w:val="24"/>
          <w:szCs w:val="24"/>
        </w:rPr>
        <w:tab/>
        <w:t>2.</w:t>
      </w:r>
      <w:r>
        <w:rPr>
          <w:sz w:val="24"/>
          <w:szCs w:val="24"/>
        </w:rPr>
        <w:tab/>
        <w:t>That a responsive brief may be filed on or before 21, 2015, and its subject matter is limited to responding to arguments raised by the opposing party in the initial brief.</w:t>
      </w:r>
    </w:p>
    <w:p w:rsidR="00B83786" w:rsidRDefault="00B83786" w:rsidP="00B83786">
      <w:pPr>
        <w:spacing w:line="360" w:lineRule="auto"/>
        <w:rPr>
          <w:sz w:val="24"/>
          <w:szCs w:val="24"/>
        </w:rPr>
      </w:pPr>
    </w:p>
    <w:p w:rsidR="00B83786" w:rsidRDefault="00B83786" w:rsidP="00B83786">
      <w:pPr>
        <w:spacing w:line="360" w:lineRule="auto"/>
        <w:rPr>
          <w:sz w:val="24"/>
          <w:szCs w:val="24"/>
        </w:rPr>
      </w:pPr>
      <w:r>
        <w:rPr>
          <w:sz w:val="24"/>
          <w:szCs w:val="24"/>
        </w:rPr>
        <w:tab/>
      </w:r>
      <w:r>
        <w:rPr>
          <w:sz w:val="24"/>
          <w:szCs w:val="24"/>
        </w:rPr>
        <w:tab/>
      </w:r>
      <w:r w:rsidR="006B1F91">
        <w:rPr>
          <w:sz w:val="24"/>
          <w:szCs w:val="24"/>
        </w:rPr>
        <w:t>3</w:t>
      </w:r>
      <w:r>
        <w:rPr>
          <w:sz w:val="24"/>
          <w:szCs w:val="24"/>
        </w:rPr>
        <w:t>.</w:t>
      </w:r>
      <w:r>
        <w:rPr>
          <w:sz w:val="24"/>
          <w:szCs w:val="24"/>
        </w:rPr>
        <w:tab/>
        <w:t>That the briefs shall be substantially in conformance with the regulation at 52 Pa.Code §§ 5.501, 5.502.</w:t>
      </w:r>
    </w:p>
    <w:p w:rsidR="006B1F91" w:rsidRDefault="006B1F91" w:rsidP="00C25CFF">
      <w:pPr>
        <w:tabs>
          <w:tab w:val="left" w:pos="5760"/>
        </w:tabs>
        <w:spacing w:line="360" w:lineRule="auto"/>
        <w:rPr>
          <w:sz w:val="24"/>
          <w:szCs w:val="24"/>
        </w:rPr>
      </w:pPr>
    </w:p>
    <w:p w:rsidR="00B83786" w:rsidRDefault="00B83786" w:rsidP="00B83786">
      <w:pPr>
        <w:spacing w:line="360" w:lineRule="auto"/>
        <w:rPr>
          <w:sz w:val="24"/>
          <w:szCs w:val="24"/>
        </w:rPr>
      </w:pPr>
    </w:p>
    <w:p w:rsidR="00B83786" w:rsidRDefault="00B83786" w:rsidP="006B1F91">
      <w:pPr>
        <w:rPr>
          <w:sz w:val="24"/>
          <w:szCs w:val="24"/>
        </w:rPr>
      </w:pPr>
      <w:r>
        <w:rPr>
          <w:sz w:val="24"/>
          <w:szCs w:val="24"/>
        </w:rPr>
        <w:t>Dated:</w:t>
      </w:r>
      <w:r>
        <w:rPr>
          <w:sz w:val="24"/>
          <w:szCs w:val="24"/>
        </w:rPr>
        <w:tab/>
      </w:r>
      <w:r w:rsidR="006B1F91">
        <w:rPr>
          <w:sz w:val="24"/>
          <w:szCs w:val="24"/>
          <w:u w:val="single"/>
        </w:rPr>
        <w:t>July 23, 2015</w:t>
      </w:r>
      <w:r w:rsidR="00C25CFF">
        <w:rPr>
          <w:sz w:val="24"/>
          <w:szCs w:val="24"/>
        </w:rPr>
        <w:tab/>
      </w:r>
      <w:r w:rsidR="00C25CFF">
        <w:rPr>
          <w:sz w:val="24"/>
          <w:szCs w:val="24"/>
        </w:rPr>
        <w:tab/>
      </w:r>
      <w:r w:rsidR="00C25CFF">
        <w:rPr>
          <w:sz w:val="24"/>
          <w:szCs w:val="24"/>
        </w:rPr>
        <w:tab/>
      </w:r>
      <w:r w:rsidR="00C25CFF">
        <w:rPr>
          <w:sz w:val="24"/>
          <w:szCs w:val="24"/>
        </w:rPr>
        <w:tab/>
      </w:r>
      <w:r w:rsidR="00C25CFF">
        <w:rPr>
          <w:sz w:val="24"/>
          <w:szCs w:val="24"/>
        </w:rPr>
        <w:tab/>
      </w:r>
      <w:r w:rsidR="006B1F91">
        <w:rPr>
          <w:sz w:val="24"/>
          <w:szCs w:val="24"/>
        </w:rPr>
        <w:t>______________________________</w:t>
      </w:r>
    </w:p>
    <w:p w:rsidR="006B1F91" w:rsidRDefault="00C25CFF" w:rsidP="006B1F9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B1F91">
        <w:rPr>
          <w:sz w:val="24"/>
          <w:szCs w:val="24"/>
        </w:rPr>
        <w:t>Susan D. Colwell</w:t>
      </w:r>
    </w:p>
    <w:p w:rsidR="00C25CFF" w:rsidRDefault="00C25CFF" w:rsidP="00B83786">
      <w:pPr>
        <w:rPr>
          <w:sz w:val="24"/>
          <w:szCs w:val="24"/>
        </w:rPr>
        <w:sectPr w:rsidR="00C25CFF" w:rsidSect="006B1F9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B1F91">
        <w:rPr>
          <w:sz w:val="24"/>
          <w:szCs w:val="24"/>
        </w:rPr>
        <w:t>Administrative Law Judge</w:t>
      </w:r>
    </w:p>
    <w:p w:rsidR="00C25CFF" w:rsidRDefault="00C25CFF" w:rsidP="00C25CFF">
      <w:pPr>
        <w:rPr>
          <w:rFonts w:ascii="Microsoft Sans Serif"/>
          <w:b/>
          <w:sz w:val="24"/>
          <w:u w:val="single"/>
        </w:rPr>
      </w:pPr>
      <w:r>
        <w:rPr>
          <w:rFonts w:ascii="Microsoft Sans Serif"/>
          <w:b/>
          <w:sz w:val="24"/>
          <w:u w:val="single"/>
        </w:rPr>
        <w:lastRenderedPageBreak/>
        <w:t>C-2015-2463573 - DEBBIE GRUELLE C/O TOLL DIVERSIFIED PROPERTIES INC v. PPL ELECTRIC UTILITIES CORP/BLUE PILOT ENERGY LLC</w:t>
      </w:r>
    </w:p>
    <w:p w:rsidR="00C25CFF" w:rsidRDefault="00C25CFF" w:rsidP="00C25CFF">
      <w:pPr>
        <w:rPr>
          <w:rFonts w:ascii="Microsoft Sans Serif"/>
          <w:b/>
          <w:sz w:val="24"/>
          <w:u w:val="single"/>
        </w:rPr>
      </w:pPr>
    </w:p>
    <w:p w:rsidR="00C25CFF" w:rsidRDefault="00312531" w:rsidP="00C25CFF">
      <w:pPr>
        <w:rPr>
          <w:rFonts w:ascii="Microsoft Sans Serif"/>
          <w:i/>
          <w:sz w:val="24"/>
        </w:rPr>
      </w:pPr>
      <w:r>
        <w:rPr>
          <w:rFonts w:ascii="Microsoft Sans Serif"/>
          <w:i/>
          <w:sz w:val="24"/>
        </w:rPr>
        <w:t>REVISED 6/5/</w:t>
      </w:r>
      <w:r w:rsidR="00C25CFF">
        <w:rPr>
          <w:rFonts w:ascii="Microsoft Sans Serif"/>
          <w:i/>
          <w:sz w:val="24"/>
        </w:rPr>
        <w:t>15</w:t>
      </w:r>
    </w:p>
    <w:p w:rsidR="00C25CFF" w:rsidRPr="00D24D06" w:rsidRDefault="00C25CFF" w:rsidP="00C25CFF">
      <w:pPr>
        <w:rPr>
          <w:rFonts w:ascii="Microsoft Sans Serif"/>
          <w:i/>
          <w:sz w:val="24"/>
        </w:rPr>
      </w:pPr>
    </w:p>
    <w:p w:rsidR="00C25CFF" w:rsidRDefault="00C25CFF" w:rsidP="00C25CFF">
      <w:pPr>
        <w:rPr>
          <w:rFonts w:ascii="Microsoft Sans Serif"/>
          <w:b/>
          <w:i/>
          <w:sz w:val="24"/>
          <w:u w:val="single"/>
        </w:rPr>
      </w:pPr>
      <w:r>
        <w:rPr>
          <w:rFonts w:ascii="Microsoft Sans Serif"/>
          <w:sz w:val="24"/>
        </w:rPr>
        <w:t>DEBORAH GRUELLE OWNER/OPERATOR</w:t>
      </w:r>
      <w:r>
        <w:rPr>
          <w:rFonts w:ascii="Microsoft Sans Serif"/>
          <w:sz w:val="24"/>
        </w:rPr>
        <w:cr/>
        <w:t xml:space="preserve">TOLL DIVERSIFIED </w:t>
      </w:r>
      <w:proofErr w:type="gramStart"/>
      <w:r>
        <w:rPr>
          <w:rFonts w:ascii="Microsoft Sans Serif"/>
          <w:sz w:val="24"/>
        </w:rPr>
        <w:t>PROPERTIES  INC</w:t>
      </w:r>
      <w:proofErr w:type="gramEnd"/>
      <w:r>
        <w:rPr>
          <w:rFonts w:ascii="Microsoft Sans Serif"/>
          <w:sz w:val="24"/>
        </w:rPr>
        <w:cr/>
        <w:t>20 ESTATES DR</w:t>
      </w:r>
      <w:r>
        <w:rPr>
          <w:rFonts w:ascii="Microsoft Sans Serif"/>
          <w:sz w:val="24"/>
        </w:rPr>
        <w:cr/>
        <w:t>DOYLESTOWN PA  18902</w:t>
      </w:r>
      <w:r>
        <w:rPr>
          <w:rFonts w:ascii="Microsoft Sans Serif"/>
          <w:sz w:val="24"/>
        </w:rPr>
        <w:cr/>
      </w:r>
      <w:r w:rsidRPr="00896F67">
        <w:rPr>
          <w:rFonts w:ascii="Microsoft Sans Serif"/>
          <w:b/>
          <w:sz w:val="24"/>
        </w:rPr>
        <w:t>215-794-9622</w:t>
      </w:r>
      <w:r w:rsidRPr="00896F67">
        <w:rPr>
          <w:rFonts w:ascii="Microsoft Sans Serif"/>
          <w:b/>
          <w:sz w:val="24"/>
        </w:rPr>
        <w:cr/>
      </w:r>
      <w:r>
        <w:rPr>
          <w:rFonts w:ascii="Microsoft Sans Serif"/>
          <w:b/>
          <w:i/>
          <w:sz w:val="24"/>
          <w:u w:val="single"/>
        </w:rPr>
        <w:t>Accepts e-Service</w:t>
      </w:r>
    </w:p>
    <w:p w:rsidR="00C25CFF" w:rsidRDefault="00C25CFF" w:rsidP="00C25CFF">
      <w:pPr>
        <w:rPr>
          <w:rFonts w:ascii="Microsoft Sans Serif"/>
          <w:b/>
          <w:i/>
          <w:sz w:val="24"/>
          <w:u w:val="single"/>
        </w:rPr>
      </w:pPr>
    </w:p>
    <w:p w:rsidR="00C25CFF" w:rsidRDefault="00C25CFF" w:rsidP="00C25CFF">
      <w:pPr>
        <w:rPr>
          <w:rFonts w:ascii="Microsoft Sans Serif"/>
          <w:sz w:val="24"/>
        </w:rPr>
      </w:pPr>
      <w:r>
        <w:rPr>
          <w:rFonts w:ascii="Microsoft Sans Serif"/>
          <w:sz w:val="24"/>
        </w:rPr>
        <w:t>MATTHEW A. FOLEY ESQUIRE</w:t>
      </w:r>
    </w:p>
    <w:p w:rsidR="00C25CFF" w:rsidRDefault="00C25CFF" w:rsidP="00C25CFF">
      <w:pPr>
        <w:rPr>
          <w:rFonts w:ascii="Microsoft Sans Serif"/>
          <w:sz w:val="24"/>
        </w:rPr>
      </w:pPr>
      <w:r>
        <w:rPr>
          <w:rFonts w:ascii="Microsoft Sans Serif"/>
          <w:sz w:val="24"/>
        </w:rPr>
        <w:t>FLAMM WALTON PC</w:t>
      </w:r>
    </w:p>
    <w:p w:rsidR="00C25CFF" w:rsidRDefault="00C25CFF" w:rsidP="00C25CFF">
      <w:pPr>
        <w:rPr>
          <w:rFonts w:ascii="Microsoft Sans Serif"/>
          <w:sz w:val="24"/>
        </w:rPr>
      </w:pPr>
      <w:r>
        <w:rPr>
          <w:rFonts w:ascii="Microsoft Sans Serif"/>
          <w:sz w:val="24"/>
        </w:rPr>
        <w:t>794 PENLLYN PIKE</w:t>
      </w:r>
    </w:p>
    <w:p w:rsidR="00C25CFF" w:rsidRDefault="00C25CFF" w:rsidP="00C25CFF">
      <w:pPr>
        <w:rPr>
          <w:rFonts w:ascii="Microsoft Sans Serif"/>
          <w:sz w:val="24"/>
        </w:rPr>
      </w:pPr>
      <w:r>
        <w:rPr>
          <w:rFonts w:ascii="Microsoft Sans Serif"/>
          <w:sz w:val="24"/>
        </w:rPr>
        <w:t>BLUE BELL PA19422</w:t>
      </w:r>
    </w:p>
    <w:p w:rsidR="00C25CFF" w:rsidRPr="00D24D06" w:rsidRDefault="00C25CFF" w:rsidP="00C25CFF">
      <w:pPr>
        <w:rPr>
          <w:rFonts w:ascii="Microsoft Sans Serif"/>
          <w:b/>
          <w:sz w:val="24"/>
        </w:rPr>
      </w:pPr>
      <w:r>
        <w:rPr>
          <w:rFonts w:ascii="Microsoft Sans Serif"/>
          <w:b/>
          <w:sz w:val="24"/>
        </w:rPr>
        <w:t>267-</w:t>
      </w:r>
      <w:r w:rsidRPr="00D24D06">
        <w:rPr>
          <w:rFonts w:ascii="Microsoft Sans Serif"/>
          <w:b/>
          <w:sz w:val="24"/>
        </w:rPr>
        <w:t>419</w:t>
      </w:r>
      <w:r>
        <w:rPr>
          <w:rFonts w:ascii="Microsoft Sans Serif"/>
          <w:b/>
          <w:sz w:val="24"/>
        </w:rPr>
        <w:t>-</w:t>
      </w:r>
      <w:r w:rsidRPr="00D24D06">
        <w:rPr>
          <w:rFonts w:ascii="Microsoft Sans Serif"/>
          <w:b/>
          <w:sz w:val="24"/>
        </w:rPr>
        <w:t>1501</w:t>
      </w:r>
    </w:p>
    <w:p w:rsidR="00C25CFF" w:rsidRPr="00D24D06" w:rsidRDefault="00C25CFF" w:rsidP="00C25CFF">
      <w:pPr>
        <w:rPr>
          <w:rFonts w:ascii="Microsoft Sans Serif"/>
          <w:i/>
          <w:sz w:val="24"/>
        </w:rPr>
      </w:pPr>
      <w:r>
        <w:rPr>
          <w:rFonts w:ascii="Microsoft Sans Serif"/>
          <w:i/>
          <w:sz w:val="24"/>
        </w:rPr>
        <w:t>REPRESENTING DEBORAH GRUELLE</w:t>
      </w:r>
    </w:p>
    <w:p w:rsidR="00C25CFF" w:rsidRPr="00AD0FD0" w:rsidRDefault="00C25CFF" w:rsidP="00C25CFF">
      <w:pPr>
        <w:rPr>
          <w:rFonts w:ascii="Microsoft Sans Serif"/>
          <w:b/>
          <w:i/>
          <w:sz w:val="24"/>
          <w:u w:val="single"/>
        </w:rPr>
      </w:pPr>
    </w:p>
    <w:p w:rsidR="00C25CFF" w:rsidRDefault="00C25CFF" w:rsidP="00C25CFF">
      <w:pPr>
        <w:rPr>
          <w:rFonts w:ascii="Microsoft Sans Serif"/>
          <w:sz w:val="24"/>
        </w:rPr>
      </w:pPr>
      <w:r>
        <w:rPr>
          <w:rFonts w:ascii="Microsoft Sans Serif"/>
          <w:sz w:val="24"/>
        </w:rPr>
        <w:t>PAUL E RUSSELL ESQUIRE</w:t>
      </w:r>
      <w:r>
        <w:rPr>
          <w:rFonts w:ascii="Microsoft Sans Serif"/>
          <w:sz w:val="24"/>
        </w:rPr>
        <w:cr/>
        <w:t>PPL ELECTRIC UTILITIES CORPORATION</w:t>
      </w:r>
      <w:r>
        <w:rPr>
          <w:rFonts w:ascii="Microsoft Sans Serif"/>
          <w:sz w:val="24"/>
        </w:rPr>
        <w:cr/>
        <w:t>2 NORTH NINTH STREET</w:t>
      </w:r>
      <w:r>
        <w:rPr>
          <w:rFonts w:ascii="Microsoft Sans Serif"/>
          <w:sz w:val="24"/>
        </w:rPr>
        <w:cr/>
        <w:t>ALLENTOWN PA  18101</w:t>
      </w:r>
      <w:r>
        <w:rPr>
          <w:rFonts w:ascii="Microsoft Sans Serif"/>
          <w:sz w:val="24"/>
        </w:rPr>
        <w:cr/>
      </w:r>
      <w:r w:rsidRPr="00896F67">
        <w:rPr>
          <w:rFonts w:ascii="Microsoft Sans Serif"/>
          <w:b/>
          <w:sz w:val="24"/>
        </w:rPr>
        <w:t>610-774-4254</w:t>
      </w:r>
      <w:r>
        <w:rPr>
          <w:rFonts w:ascii="Microsoft Sans Serif"/>
          <w:sz w:val="24"/>
        </w:rPr>
        <w:cr/>
      </w:r>
      <w:r>
        <w:rPr>
          <w:rFonts w:ascii="Microsoft Sans Serif"/>
          <w:b/>
          <w:i/>
          <w:sz w:val="24"/>
          <w:u w:val="single"/>
        </w:rPr>
        <w:t>Accepts e-Service</w:t>
      </w:r>
      <w:r>
        <w:rPr>
          <w:rFonts w:ascii="Microsoft Sans Serif"/>
          <w:sz w:val="24"/>
        </w:rPr>
        <w:t xml:space="preserve"> </w:t>
      </w:r>
    </w:p>
    <w:p w:rsidR="00C25CFF" w:rsidRDefault="00C25CFF" w:rsidP="00C25CFF">
      <w:pPr>
        <w:rPr>
          <w:rFonts w:ascii="Microsoft Sans Serif"/>
          <w:sz w:val="24"/>
        </w:rPr>
      </w:pPr>
    </w:p>
    <w:p w:rsidR="00C25CFF" w:rsidRDefault="00C25CFF" w:rsidP="00C25CFF">
      <w:pPr>
        <w:rPr>
          <w:rFonts w:ascii="Microsoft Sans Serif"/>
          <w:sz w:val="24"/>
        </w:rPr>
      </w:pPr>
      <w:r>
        <w:rPr>
          <w:rFonts w:ascii="Microsoft Sans Serif"/>
          <w:sz w:val="24"/>
        </w:rPr>
        <w:t>CHRISTOPHER T WRIGHT ESQUIRE</w:t>
      </w:r>
      <w:r>
        <w:rPr>
          <w:rFonts w:ascii="Microsoft Sans Serif"/>
          <w:sz w:val="24"/>
        </w:rPr>
        <w:cr/>
        <w:t>LINDSAY A BERKSTRESSER ESQUIRE</w:t>
      </w:r>
    </w:p>
    <w:p w:rsidR="00C25CFF" w:rsidRDefault="00C25CFF" w:rsidP="00C25CFF">
      <w:pPr>
        <w:rPr>
          <w:rFonts w:ascii="Microsoft Sans Serif"/>
          <w:b/>
          <w:i/>
          <w:sz w:val="24"/>
          <w:u w:val="single"/>
        </w:rPr>
      </w:pPr>
      <w:r>
        <w:rPr>
          <w:rFonts w:ascii="Microsoft Sans Serif"/>
          <w:sz w:val="24"/>
        </w:rPr>
        <w:t>POST &amp; SCHELL PC</w:t>
      </w:r>
      <w:r>
        <w:rPr>
          <w:rFonts w:ascii="Microsoft Sans Serif"/>
          <w:sz w:val="24"/>
        </w:rPr>
        <w:cr/>
        <w:t>17 NORTH SECOND STREET 12</w:t>
      </w:r>
      <w:r w:rsidRPr="00896F67">
        <w:rPr>
          <w:rFonts w:ascii="Microsoft Sans Serif"/>
          <w:sz w:val="24"/>
          <w:vertAlign w:val="superscript"/>
        </w:rPr>
        <w:t>TH</w:t>
      </w:r>
      <w:r>
        <w:rPr>
          <w:rFonts w:ascii="Microsoft Sans Serif"/>
          <w:sz w:val="24"/>
        </w:rPr>
        <w:t xml:space="preserve"> </w:t>
      </w:r>
      <w:proofErr w:type="gramStart"/>
      <w:r>
        <w:rPr>
          <w:rFonts w:ascii="Microsoft Sans Serif"/>
          <w:sz w:val="24"/>
        </w:rPr>
        <w:t>FLOOR</w:t>
      </w:r>
      <w:proofErr w:type="gramEnd"/>
      <w:r>
        <w:rPr>
          <w:rFonts w:ascii="Microsoft Sans Serif"/>
          <w:sz w:val="24"/>
        </w:rPr>
        <w:cr/>
        <w:t>HARRISBURG PA  17101-1601</w:t>
      </w:r>
      <w:r>
        <w:rPr>
          <w:rFonts w:ascii="Microsoft Sans Serif"/>
          <w:sz w:val="24"/>
        </w:rPr>
        <w:cr/>
      </w:r>
      <w:r w:rsidRPr="00896F67">
        <w:rPr>
          <w:rFonts w:ascii="Microsoft Sans Serif"/>
          <w:b/>
          <w:sz w:val="24"/>
        </w:rPr>
        <w:t>717-731-1970</w:t>
      </w:r>
      <w:r w:rsidRPr="00896F67">
        <w:rPr>
          <w:rFonts w:ascii="Microsoft Sans Serif"/>
          <w:b/>
          <w:sz w:val="24"/>
        </w:rPr>
        <w:cr/>
      </w:r>
      <w:r>
        <w:rPr>
          <w:rFonts w:ascii="Microsoft Sans Serif"/>
          <w:b/>
          <w:i/>
          <w:sz w:val="24"/>
          <w:u w:val="single"/>
        </w:rPr>
        <w:t>Accepts e-Service</w:t>
      </w:r>
    </w:p>
    <w:p w:rsidR="00C25CFF" w:rsidRDefault="00C25CFF" w:rsidP="00C25CFF">
      <w:pPr>
        <w:rPr>
          <w:rFonts w:ascii="Microsoft Sans Serif"/>
          <w:b/>
          <w:i/>
          <w:sz w:val="24"/>
          <w:u w:val="single"/>
        </w:rPr>
      </w:pPr>
    </w:p>
    <w:p w:rsidR="00C25CFF" w:rsidRDefault="00C25CFF" w:rsidP="00C25CFF">
      <w:pPr>
        <w:rPr>
          <w:rFonts w:ascii="Microsoft Sans Serif"/>
          <w:sz w:val="24"/>
        </w:rPr>
      </w:pPr>
      <w:r>
        <w:rPr>
          <w:rFonts w:ascii="Microsoft Sans Serif"/>
          <w:sz w:val="24"/>
        </w:rP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r>
        <w:rPr>
          <w:rFonts w:ascii="Microsoft Sans Serif"/>
          <w:sz w:val="24"/>
        </w:rPr>
        <w:cr/>
      </w:r>
      <w:r w:rsidRPr="00896F67">
        <w:rPr>
          <w:rFonts w:ascii="Microsoft Sans Serif"/>
          <w:b/>
          <w:sz w:val="24"/>
        </w:rPr>
        <w:t>215-587-1197</w:t>
      </w:r>
    </w:p>
    <w:p w:rsidR="00C25CFF" w:rsidRDefault="00C25CFF" w:rsidP="00C25CFF">
      <w:pPr>
        <w:rPr>
          <w:rFonts w:ascii="Microsoft Sans Serif"/>
          <w:sz w:val="24"/>
        </w:rPr>
      </w:pPr>
    </w:p>
    <w:p w:rsidR="00C25CFF" w:rsidRPr="00896F67" w:rsidRDefault="00C25CFF" w:rsidP="00C25CFF">
      <w:pPr>
        <w:rPr>
          <w:rFonts w:ascii="Microsoft Sans Serif" w:hAnsi="Microsoft Sans Serif" w:cs="Microsoft Sans Serif"/>
          <w:sz w:val="24"/>
          <w:szCs w:val="24"/>
        </w:rPr>
      </w:pPr>
      <w:r>
        <w:rPr>
          <w:rFonts w:ascii="Microsoft Sans Serif"/>
          <w:sz w:val="24"/>
        </w:rPr>
        <w:t>NAZARIO J JUREIDINI ESQUIRE</w:t>
      </w:r>
      <w:r>
        <w:rPr>
          <w:rFonts w:ascii="Microsoft Sans Serif"/>
          <w:sz w:val="24"/>
        </w:rPr>
        <w:cr/>
        <w:t>BLUE PILOT ENERGY</w:t>
      </w:r>
      <w:r>
        <w:rPr>
          <w:rFonts w:ascii="Microsoft Sans Serif"/>
          <w:sz w:val="24"/>
        </w:rPr>
        <w:cr/>
        <w:t>250 PILOT ROAD</w:t>
      </w:r>
      <w:r>
        <w:rPr>
          <w:rFonts w:ascii="Microsoft Sans Serif"/>
          <w:sz w:val="24"/>
        </w:rPr>
        <w:cr/>
        <w:t>SUITE 300</w:t>
      </w:r>
      <w:r>
        <w:rPr>
          <w:rFonts w:ascii="Microsoft Sans Serif"/>
          <w:sz w:val="24"/>
        </w:rPr>
        <w:cr/>
        <w:t>LAS VEGAS NV  89119</w:t>
      </w:r>
    </w:p>
    <w:p w:rsidR="00C04960" w:rsidRPr="00C25CFF" w:rsidRDefault="00C04960" w:rsidP="00B83786">
      <w:pPr>
        <w:rPr>
          <w:sz w:val="24"/>
          <w:szCs w:val="24"/>
        </w:rPr>
      </w:pPr>
      <w:bookmarkStart w:id="0" w:name="_GoBack"/>
      <w:bookmarkEnd w:id="0"/>
    </w:p>
    <w:sectPr w:rsidR="00C04960" w:rsidRPr="00C25CFF" w:rsidSect="006B1F9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15" w:rsidRDefault="00394A15" w:rsidP="00B83786">
      <w:r>
        <w:separator/>
      </w:r>
    </w:p>
  </w:endnote>
  <w:endnote w:type="continuationSeparator" w:id="0">
    <w:p w:rsidR="00394A15" w:rsidRDefault="00394A15" w:rsidP="00B8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93923"/>
      <w:docPartObj>
        <w:docPartGallery w:val="Page Numbers (Bottom of Page)"/>
        <w:docPartUnique/>
      </w:docPartObj>
    </w:sdtPr>
    <w:sdtEndPr>
      <w:rPr>
        <w:noProof/>
        <w:sz w:val="20"/>
        <w:szCs w:val="20"/>
      </w:rPr>
    </w:sdtEndPr>
    <w:sdtContent>
      <w:p w:rsidR="006B1F91" w:rsidRPr="00C25CFF" w:rsidRDefault="006B1F91">
        <w:pPr>
          <w:pStyle w:val="Footer"/>
          <w:jc w:val="center"/>
          <w:rPr>
            <w:sz w:val="20"/>
            <w:szCs w:val="20"/>
          </w:rPr>
        </w:pPr>
        <w:r w:rsidRPr="00C25CFF">
          <w:rPr>
            <w:sz w:val="20"/>
            <w:szCs w:val="20"/>
          </w:rPr>
          <w:fldChar w:fldCharType="begin"/>
        </w:r>
        <w:r w:rsidRPr="00C25CFF">
          <w:rPr>
            <w:sz w:val="20"/>
            <w:szCs w:val="20"/>
          </w:rPr>
          <w:instrText xml:space="preserve"> PAGE   \* MERGEFORMAT </w:instrText>
        </w:r>
        <w:r w:rsidRPr="00C25CFF">
          <w:rPr>
            <w:sz w:val="20"/>
            <w:szCs w:val="20"/>
          </w:rPr>
          <w:fldChar w:fldCharType="separate"/>
        </w:r>
        <w:r w:rsidR="00312531">
          <w:rPr>
            <w:noProof/>
            <w:sz w:val="20"/>
            <w:szCs w:val="20"/>
          </w:rPr>
          <w:t>4</w:t>
        </w:r>
        <w:r w:rsidRPr="00C25CF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15" w:rsidRDefault="00394A15" w:rsidP="00B83786">
      <w:r>
        <w:separator/>
      </w:r>
    </w:p>
  </w:footnote>
  <w:footnote w:type="continuationSeparator" w:id="0">
    <w:p w:rsidR="00394A15" w:rsidRDefault="00394A15" w:rsidP="00B83786">
      <w:r>
        <w:continuationSeparator/>
      </w:r>
    </w:p>
  </w:footnote>
  <w:footnote w:id="1">
    <w:p w:rsidR="00B83786" w:rsidRDefault="00B83786" w:rsidP="00B83786">
      <w:pPr>
        <w:pStyle w:val="FootnoteText"/>
      </w:pPr>
      <w:r>
        <w:rPr>
          <w:rStyle w:val="FootnoteReference"/>
        </w:rPr>
        <w:footnoteRef/>
      </w:r>
      <w:r>
        <w:t xml:space="preserve"> </w:t>
      </w:r>
      <w:r w:rsidR="00C25CFF">
        <w:tab/>
      </w:r>
      <w:r>
        <w:t xml:space="preserve">Mr. Foley is reminded that, once a presiding officer is assigned, which occurred on February 20, 2015, Commission regulations require that the presiding officer be served with all filings.  </w:t>
      </w:r>
      <w:proofErr w:type="gramStart"/>
      <w:r>
        <w:t xml:space="preserve">52 </w:t>
      </w:r>
      <w:proofErr w:type="spellStart"/>
      <w:r>
        <w:t>Pa.Code</w:t>
      </w:r>
      <w:proofErr w:type="spellEnd"/>
      <w:r>
        <w:t xml:space="preserve"> § 1.54(a).</w:t>
      </w:r>
      <w:proofErr w:type="gramEnd"/>
    </w:p>
  </w:footnote>
  <w:footnote w:id="2">
    <w:p w:rsidR="00B83786" w:rsidRDefault="00B83786" w:rsidP="00B83786">
      <w:pPr>
        <w:pStyle w:val="FootnoteText"/>
      </w:pPr>
      <w:r>
        <w:rPr>
          <w:rStyle w:val="FootnoteReference"/>
        </w:rPr>
        <w:footnoteRef/>
      </w:r>
      <w:r>
        <w:t xml:space="preserve"> </w:t>
      </w:r>
      <w:r w:rsidR="00C25CFF">
        <w:tab/>
      </w:r>
      <w:r>
        <w:t>Proposed exhibits should be served on each party and the presiding officer but not filed unless and until they are admitted to the record</w:t>
      </w:r>
      <w:r w:rsidR="006B1F91">
        <w:t xml:space="preserve">, after which they are included with the </w:t>
      </w:r>
      <w:proofErr w:type="gramStart"/>
      <w:r w:rsidR="006B1F91">
        <w:t>transcript</w:t>
      </w:r>
      <w:proofErr w:type="gramEnd"/>
      <w:r w:rsidR="006B1F91">
        <w:t xml:space="preserve"> filed by the court reporter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6FEE"/>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531"/>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4A15"/>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1F91"/>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786"/>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5CFF"/>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6422"/>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
    <w:basedOn w:val="Normal"/>
    <w:link w:val="FootnoteTextChar"/>
    <w:uiPriority w:val="99"/>
    <w:unhideWhenUsed/>
    <w:rsid w:val="00B83786"/>
    <w:rPr>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B83786"/>
    <w:rPr>
      <w:rFonts w:eastAsia="Times New Roman"/>
      <w:sz w:val="20"/>
      <w:szCs w:val="20"/>
    </w:rPr>
  </w:style>
  <w:style w:type="character" w:styleId="FootnoteReference">
    <w:name w:val="footnote reference"/>
    <w:basedOn w:val="DefaultParagraphFont"/>
    <w:unhideWhenUsed/>
    <w:rsid w:val="00B83786"/>
    <w:rPr>
      <w:vertAlign w:val="superscript"/>
    </w:rPr>
  </w:style>
  <w:style w:type="paragraph" w:styleId="Header">
    <w:name w:val="header"/>
    <w:basedOn w:val="Normal"/>
    <w:link w:val="HeaderChar"/>
    <w:uiPriority w:val="99"/>
    <w:unhideWhenUsed/>
    <w:rsid w:val="006B1F91"/>
    <w:pPr>
      <w:tabs>
        <w:tab w:val="center" w:pos="4680"/>
        <w:tab w:val="right" w:pos="9360"/>
      </w:tabs>
    </w:pPr>
  </w:style>
  <w:style w:type="character" w:customStyle="1" w:styleId="HeaderChar">
    <w:name w:val="Header Char"/>
    <w:basedOn w:val="DefaultParagraphFont"/>
    <w:link w:val="Header"/>
    <w:uiPriority w:val="99"/>
    <w:rsid w:val="006B1F91"/>
    <w:rPr>
      <w:rFonts w:eastAsia="Times New Roman"/>
      <w:sz w:val="26"/>
      <w:szCs w:val="26"/>
    </w:rPr>
  </w:style>
  <w:style w:type="paragraph" w:styleId="Footer">
    <w:name w:val="footer"/>
    <w:basedOn w:val="Normal"/>
    <w:link w:val="FooterChar"/>
    <w:uiPriority w:val="99"/>
    <w:unhideWhenUsed/>
    <w:rsid w:val="006B1F91"/>
    <w:pPr>
      <w:tabs>
        <w:tab w:val="center" w:pos="4680"/>
        <w:tab w:val="right" w:pos="9360"/>
      </w:tabs>
    </w:pPr>
  </w:style>
  <w:style w:type="character" w:customStyle="1" w:styleId="FooterChar">
    <w:name w:val="Footer Char"/>
    <w:basedOn w:val="DefaultParagraphFont"/>
    <w:link w:val="Footer"/>
    <w:uiPriority w:val="99"/>
    <w:rsid w:val="006B1F91"/>
    <w:rPr>
      <w:rFonts w:eastAsia="Times New Roman"/>
      <w:sz w:val="26"/>
      <w:szCs w:val="26"/>
    </w:rPr>
  </w:style>
  <w:style w:type="paragraph" w:styleId="BalloonText">
    <w:name w:val="Balloon Text"/>
    <w:basedOn w:val="Normal"/>
    <w:link w:val="BalloonTextChar"/>
    <w:uiPriority w:val="99"/>
    <w:semiHidden/>
    <w:unhideWhenUsed/>
    <w:rsid w:val="006B1F91"/>
    <w:rPr>
      <w:rFonts w:ascii="Tahoma" w:hAnsi="Tahoma" w:cs="Tahoma"/>
      <w:sz w:val="16"/>
      <w:szCs w:val="16"/>
    </w:rPr>
  </w:style>
  <w:style w:type="character" w:customStyle="1" w:styleId="BalloonTextChar">
    <w:name w:val="Balloon Text Char"/>
    <w:basedOn w:val="DefaultParagraphFont"/>
    <w:link w:val="BalloonText"/>
    <w:uiPriority w:val="99"/>
    <w:semiHidden/>
    <w:rsid w:val="006B1F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
    <w:basedOn w:val="Normal"/>
    <w:link w:val="FootnoteTextChar"/>
    <w:uiPriority w:val="99"/>
    <w:unhideWhenUsed/>
    <w:rsid w:val="00B83786"/>
    <w:rPr>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B83786"/>
    <w:rPr>
      <w:rFonts w:eastAsia="Times New Roman"/>
      <w:sz w:val="20"/>
      <w:szCs w:val="20"/>
    </w:rPr>
  </w:style>
  <w:style w:type="character" w:styleId="FootnoteReference">
    <w:name w:val="footnote reference"/>
    <w:basedOn w:val="DefaultParagraphFont"/>
    <w:unhideWhenUsed/>
    <w:rsid w:val="00B83786"/>
    <w:rPr>
      <w:vertAlign w:val="superscript"/>
    </w:rPr>
  </w:style>
  <w:style w:type="paragraph" w:styleId="Header">
    <w:name w:val="header"/>
    <w:basedOn w:val="Normal"/>
    <w:link w:val="HeaderChar"/>
    <w:uiPriority w:val="99"/>
    <w:unhideWhenUsed/>
    <w:rsid w:val="006B1F91"/>
    <w:pPr>
      <w:tabs>
        <w:tab w:val="center" w:pos="4680"/>
        <w:tab w:val="right" w:pos="9360"/>
      </w:tabs>
    </w:pPr>
  </w:style>
  <w:style w:type="character" w:customStyle="1" w:styleId="HeaderChar">
    <w:name w:val="Header Char"/>
    <w:basedOn w:val="DefaultParagraphFont"/>
    <w:link w:val="Header"/>
    <w:uiPriority w:val="99"/>
    <w:rsid w:val="006B1F91"/>
    <w:rPr>
      <w:rFonts w:eastAsia="Times New Roman"/>
      <w:sz w:val="26"/>
      <w:szCs w:val="26"/>
    </w:rPr>
  </w:style>
  <w:style w:type="paragraph" w:styleId="Footer">
    <w:name w:val="footer"/>
    <w:basedOn w:val="Normal"/>
    <w:link w:val="FooterChar"/>
    <w:uiPriority w:val="99"/>
    <w:unhideWhenUsed/>
    <w:rsid w:val="006B1F91"/>
    <w:pPr>
      <w:tabs>
        <w:tab w:val="center" w:pos="4680"/>
        <w:tab w:val="right" w:pos="9360"/>
      </w:tabs>
    </w:pPr>
  </w:style>
  <w:style w:type="character" w:customStyle="1" w:styleId="FooterChar">
    <w:name w:val="Footer Char"/>
    <w:basedOn w:val="DefaultParagraphFont"/>
    <w:link w:val="Footer"/>
    <w:uiPriority w:val="99"/>
    <w:rsid w:val="006B1F91"/>
    <w:rPr>
      <w:rFonts w:eastAsia="Times New Roman"/>
      <w:sz w:val="26"/>
      <w:szCs w:val="26"/>
    </w:rPr>
  </w:style>
  <w:style w:type="paragraph" w:styleId="BalloonText">
    <w:name w:val="Balloon Text"/>
    <w:basedOn w:val="Normal"/>
    <w:link w:val="BalloonTextChar"/>
    <w:uiPriority w:val="99"/>
    <w:semiHidden/>
    <w:unhideWhenUsed/>
    <w:rsid w:val="006B1F91"/>
    <w:rPr>
      <w:rFonts w:ascii="Tahoma" w:hAnsi="Tahoma" w:cs="Tahoma"/>
      <w:sz w:val="16"/>
      <w:szCs w:val="16"/>
    </w:rPr>
  </w:style>
  <w:style w:type="character" w:customStyle="1" w:styleId="BalloonTextChar">
    <w:name w:val="Balloon Text Char"/>
    <w:basedOn w:val="DefaultParagraphFont"/>
    <w:link w:val="BalloonText"/>
    <w:uiPriority w:val="99"/>
    <w:semiHidden/>
    <w:rsid w:val="006B1F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2015-07-23T14:48:00Z</cp:lastPrinted>
  <dcterms:created xsi:type="dcterms:W3CDTF">2015-07-23T14:41:00Z</dcterms:created>
  <dcterms:modified xsi:type="dcterms:W3CDTF">2015-07-23T14:50:00Z</dcterms:modified>
</cp:coreProperties>
</file>