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ED79B3" w:rsidRDefault="000F1894" w:rsidP="0081696C">
      <w:pPr>
        <w:jc w:val="center"/>
        <w:outlineLvl w:val="0"/>
        <w:rPr>
          <w:b/>
          <w:sz w:val="24"/>
          <w:szCs w:val="24"/>
        </w:rPr>
      </w:pPr>
      <w:r w:rsidRPr="00ED79B3">
        <w:rPr>
          <w:b/>
          <w:sz w:val="24"/>
          <w:szCs w:val="24"/>
        </w:rPr>
        <w:t>BEFORE THE</w:t>
      </w:r>
    </w:p>
    <w:p w:rsidR="0088763C" w:rsidRPr="00ED79B3" w:rsidRDefault="000F1894" w:rsidP="0081696C">
      <w:pPr>
        <w:jc w:val="center"/>
        <w:outlineLvl w:val="0"/>
        <w:rPr>
          <w:b/>
          <w:sz w:val="24"/>
          <w:szCs w:val="24"/>
        </w:rPr>
      </w:pPr>
      <w:r w:rsidRPr="00ED79B3">
        <w:rPr>
          <w:b/>
          <w:sz w:val="24"/>
          <w:szCs w:val="24"/>
        </w:rPr>
        <w:t>PENNSYLVANIA PUBLIC UTILITY COMMISSION</w:t>
      </w:r>
    </w:p>
    <w:p w:rsidR="000F1894" w:rsidRPr="00ED79B3" w:rsidRDefault="000F1894" w:rsidP="000F1894">
      <w:pPr>
        <w:jc w:val="center"/>
        <w:rPr>
          <w:sz w:val="24"/>
          <w:szCs w:val="24"/>
        </w:rPr>
      </w:pPr>
    </w:p>
    <w:p w:rsidR="000F1894" w:rsidRPr="00ED79B3" w:rsidRDefault="000F1894" w:rsidP="000F1894">
      <w:pPr>
        <w:jc w:val="center"/>
        <w:rPr>
          <w:sz w:val="24"/>
          <w:szCs w:val="24"/>
        </w:rPr>
      </w:pPr>
    </w:p>
    <w:p w:rsidR="000F1894" w:rsidRPr="00ED79B3" w:rsidRDefault="000F1894" w:rsidP="000F1894">
      <w:pPr>
        <w:jc w:val="center"/>
        <w:rPr>
          <w:sz w:val="24"/>
          <w:szCs w:val="24"/>
        </w:rPr>
      </w:pPr>
    </w:p>
    <w:p w:rsidR="0060564D" w:rsidRPr="00ED79B3" w:rsidRDefault="0060564D" w:rsidP="0060564D">
      <w:pPr>
        <w:rPr>
          <w:sz w:val="24"/>
          <w:szCs w:val="24"/>
        </w:rPr>
      </w:pPr>
      <w:proofErr w:type="spellStart"/>
      <w:r w:rsidRPr="00ED79B3">
        <w:rPr>
          <w:sz w:val="24"/>
          <w:szCs w:val="24"/>
        </w:rPr>
        <w:t>Praamukh</w:t>
      </w:r>
      <w:proofErr w:type="spellEnd"/>
      <w:r w:rsidRPr="00ED79B3">
        <w:rPr>
          <w:sz w:val="24"/>
          <w:szCs w:val="24"/>
        </w:rPr>
        <w:t xml:space="preserve"> Swami </w:t>
      </w:r>
      <w:proofErr w:type="spellStart"/>
      <w:r w:rsidRPr="00ED79B3">
        <w:rPr>
          <w:sz w:val="24"/>
          <w:szCs w:val="24"/>
        </w:rPr>
        <w:t>Maharaj</w:t>
      </w:r>
      <w:proofErr w:type="spellEnd"/>
      <w:r w:rsidRPr="00ED79B3">
        <w:rPr>
          <w:sz w:val="24"/>
          <w:szCs w:val="24"/>
        </w:rPr>
        <w:t>, LLC</w:t>
      </w:r>
      <w:r w:rsidRPr="00ED79B3">
        <w:rPr>
          <w:sz w:val="24"/>
          <w:szCs w:val="24"/>
        </w:rPr>
        <w:tab/>
      </w:r>
      <w:r w:rsidRPr="00ED79B3">
        <w:rPr>
          <w:sz w:val="24"/>
          <w:szCs w:val="24"/>
        </w:rPr>
        <w:tab/>
      </w:r>
      <w:r w:rsidRPr="00ED79B3">
        <w:rPr>
          <w:sz w:val="24"/>
          <w:szCs w:val="24"/>
        </w:rPr>
        <w:tab/>
        <w:t>:</w:t>
      </w:r>
    </w:p>
    <w:p w:rsidR="0060564D" w:rsidRPr="00ED79B3" w:rsidRDefault="0060564D" w:rsidP="0060564D">
      <w:pPr>
        <w:rPr>
          <w:sz w:val="24"/>
          <w:szCs w:val="24"/>
        </w:rPr>
      </w:pPr>
      <w:r w:rsidRPr="00ED79B3">
        <w:rPr>
          <w:sz w:val="24"/>
          <w:szCs w:val="24"/>
        </w:rPr>
        <w:tab/>
      </w:r>
      <w:r w:rsidRPr="00ED79B3">
        <w:rPr>
          <w:sz w:val="24"/>
          <w:szCs w:val="24"/>
        </w:rPr>
        <w:tab/>
      </w:r>
      <w:r w:rsidRPr="00ED79B3">
        <w:rPr>
          <w:sz w:val="24"/>
          <w:szCs w:val="24"/>
        </w:rPr>
        <w:tab/>
      </w:r>
      <w:r w:rsidRPr="00ED79B3">
        <w:rPr>
          <w:sz w:val="24"/>
          <w:szCs w:val="24"/>
        </w:rPr>
        <w:tab/>
      </w:r>
      <w:r w:rsidRPr="00ED79B3">
        <w:rPr>
          <w:sz w:val="24"/>
          <w:szCs w:val="24"/>
        </w:rPr>
        <w:tab/>
      </w:r>
      <w:r w:rsidRPr="00ED79B3">
        <w:rPr>
          <w:sz w:val="24"/>
          <w:szCs w:val="24"/>
        </w:rPr>
        <w:tab/>
      </w:r>
      <w:r w:rsidRPr="00ED79B3">
        <w:rPr>
          <w:sz w:val="24"/>
          <w:szCs w:val="24"/>
        </w:rPr>
        <w:tab/>
        <w:t>:</w:t>
      </w:r>
    </w:p>
    <w:p w:rsidR="0060564D" w:rsidRPr="00ED79B3" w:rsidRDefault="0060564D" w:rsidP="0060564D">
      <w:pPr>
        <w:rPr>
          <w:sz w:val="24"/>
          <w:szCs w:val="24"/>
        </w:rPr>
      </w:pPr>
      <w:r w:rsidRPr="00ED79B3">
        <w:rPr>
          <w:sz w:val="24"/>
          <w:szCs w:val="24"/>
        </w:rPr>
        <w:tab/>
        <w:t>v.</w:t>
      </w:r>
      <w:r w:rsidRPr="00ED79B3">
        <w:rPr>
          <w:sz w:val="24"/>
          <w:szCs w:val="24"/>
        </w:rPr>
        <w:tab/>
      </w:r>
      <w:r w:rsidRPr="00ED79B3">
        <w:rPr>
          <w:sz w:val="24"/>
          <w:szCs w:val="24"/>
        </w:rPr>
        <w:tab/>
      </w:r>
      <w:r w:rsidRPr="00ED79B3">
        <w:rPr>
          <w:sz w:val="24"/>
          <w:szCs w:val="24"/>
        </w:rPr>
        <w:tab/>
      </w:r>
      <w:r w:rsidRPr="00ED79B3">
        <w:rPr>
          <w:sz w:val="24"/>
          <w:szCs w:val="24"/>
        </w:rPr>
        <w:tab/>
      </w:r>
      <w:r w:rsidRPr="00ED79B3">
        <w:rPr>
          <w:sz w:val="24"/>
          <w:szCs w:val="24"/>
        </w:rPr>
        <w:tab/>
      </w:r>
      <w:r w:rsidRPr="00ED79B3">
        <w:rPr>
          <w:sz w:val="24"/>
          <w:szCs w:val="24"/>
        </w:rPr>
        <w:tab/>
        <w:t>:</w:t>
      </w:r>
      <w:r w:rsidRPr="00ED79B3">
        <w:rPr>
          <w:sz w:val="24"/>
          <w:szCs w:val="24"/>
        </w:rPr>
        <w:tab/>
      </w:r>
      <w:r w:rsidRPr="00ED79B3">
        <w:rPr>
          <w:sz w:val="24"/>
          <w:szCs w:val="24"/>
        </w:rPr>
        <w:tab/>
        <w:t>C-2014-2419263</w:t>
      </w:r>
    </w:p>
    <w:p w:rsidR="0060564D" w:rsidRPr="00ED79B3" w:rsidRDefault="0060564D" w:rsidP="0060564D">
      <w:pPr>
        <w:rPr>
          <w:sz w:val="24"/>
          <w:szCs w:val="24"/>
        </w:rPr>
      </w:pPr>
      <w:r w:rsidRPr="00ED79B3">
        <w:rPr>
          <w:sz w:val="24"/>
          <w:szCs w:val="24"/>
        </w:rPr>
        <w:tab/>
      </w:r>
      <w:r w:rsidRPr="00ED79B3">
        <w:rPr>
          <w:sz w:val="24"/>
          <w:szCs w:val="24"/>
        </w:rPr>
        <w:tab/>
      </w:r>
      <w:r w:rsidRPr="00ED79B3">
        <w:rPr>
          <w:sz w:val="24"/>
          <w:szCs w:val="24"/>
        </w:rPr>
        <w:tab/>
      </w:r>
      <w:r w:rsidRPr="00ED79B3">
        <w:rPr>
          <w:sz w:val="24"/>
          <w:szCs w:val="24"/>
        </w:rPr>
        <w:tab/>
      </w:r>
      <w:r w:rsidRPr="00ED79B3">
        <w:rPr>
          <w:sz w:val="24"/>
          <w:szCs w:val="24"/>
        </w:rPr>
        <w:tab/>
      </w:r>
      <w:r w:rsidRPr="00ED79B3">
        <w:rPr>
          <w:sz w:val="24"/>
          <w:szCs w:val="24"/>
        </w:rPr>
        <w:tab/>
      </w:r>
      <w:r w:rsidRPr="00ED79B3">
        <w:rPr>
          <w:sz w:val="24"/>
          <w:szCs w:val="24"/>
        </w:rPr>
        <w:tab/>
        <w:t>:</w:t>
      </w:r>
    </w:p>
    <w:p w:rsidR="0060564D" w:rsidRPr="00ED79B3" w:rsidRDefault="0060564D" w:rsidP="0060564D">
      <w:pPr>
        <w:rPr>
          <w:b/>
          <w:sz w:val="24"/>
          <w:szCs w:val="24"/>
        </w:rPr>
      </w:pPr>
      <w:r w:rsidRPr="00ED79B3">
        <w:rPr>
          <w:sz w:val="24"/>
          <w:szCs w:val="24"/>
        </w:rPr>
        <w:t xml:space="preserve">Liberty Power Holdings, LLC </w:t>
      </w:r>
      <w:r w:rsidRPr="00ED79B3">
        <w:rPr>
          <w:sz w:val="24"/>
          <w:szCs w:val="24"/>
        </w:rPr>
        <w:tab/>
      </w:r>
      <w:r w:rsidRPr="00ED79B3">
        <w:rPr>
          <w:sz w:val="24"/>
          <w:szCs w:val="24"/>
        </w:rPr>
        <w:tab/>
      </w:r>
      <w:r w:rsidRPr="00ED79B3">
        <w:rPr>
          <w:sz w:val="24"/>
          <w:szCs w:val="24"/>
        </w:rPr>
        <w:tab/>
        <w:t>:</w:t>
      </w:r>
    </w:p>
    <w:p w:rsidR="0060564D" w:rsidRPr="00ED79B3" w:rsidRDefault="0060564D" w:rsidP="0060564D">
      <w:pPr>
        <w:jc w:val="center"/>
        <w:rPr>
          <w:b/>
          <w:sz w:val="24"/>
          <w:szCs w:val="24"/>
        </w:rPr>
      </w:pPr>
    </w:p>
    <w:p w:rsidR="005E3007" w:rsidRPr="00ED79B3"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Pr="00E514FA" w:rsidRDefault="00526B2A" w:rsidP="000F1894">
      <w:pPr>
        <w:jc w:val="center"/>
        <w:rPr>
          <w:b/>
          <w:sz w:val="24"/>
          <w:szCs w:val="24"/>
        </w:rPr>
      </w:pPr>
      <w:r>
        <w:rPr>
          <w:b/>
          <w:caps/>
          <w:sz w:val="24"/>
          <w:szCs w:val="24"/>
          <w:u w:val="single"/>
        </w:rPr>
        <w:t>initial decision</w:t>
      </w:r>
      <w:r w:rsidR="00354E6F">
        <w:rPr>
          <w:b/>
          <w:caps/>
          <w:sz w:val="24"/>
          <w:szCs w:val="24"/>
          <w:u w:val="single"/>
        </w:rPr>
        <w:t xml:space="preserve"> </w:t>
      </w:r>
    </w:p>
    <w:p w:rsidR="006A21C2" w:rsidRDefault="006A21C2" w:rsidP="000F1894">
      <w:pPr>
        <w:jc w:val="center"/>
        <w:rPr>
          <w:sz w:val="24"/>
          <w:szCs w:val="24"/>
        </w:rPr>
      </w:pPr>
    </w:p>
    <w:p w:rsidR="0063465C" w:rsidRPr="006A21C2" w:rsidRDefault="0063465C"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60564D" w:rsidP="000F1894">
      <w:pPr>
        <w:jc w:val="center"/>
        <w:rPr>
          <w:sz w:val="24"/>
          <w:szCs w:val="24"/>
        </w:rPr>
      </w:pPr>
      <w:r>
        <w:rPr>
          <w:sz w:val="24"/>
          <w:szCs w:val="24"/>
        </w:rPr>
        <w:t>Jeffrey A.  Watson</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ED79B3" w:rsidRDefault="00ED79B3" w:rsidP="000F1894">
      <w:pPr>
        <w:jc w:val="center"/>
        <w:rPr>
          <w:sz w:val="24"/>
          <w:szCs w:val="24"/>
        </w:rPr>
      </w:pPr>
    </w:p>
    <w:p w:rsidR="00DE2348" w:rsidRPr="006A21C2" w:rsidRDefault="00DE2348" w:rsidP="000F1894">
      <w:pPr>
        <w:jc w:val="center"/>
        <w:rPr>
          <w:b/>
          <w:sz w:val="24"/>
          <w:szCs w:val="24"/>
        </w:rPr>
      </w:pPr>
    </w:p>
    <w:p w:rsidR="00EE0848" w:rsidRPr="002B490F" w:rsidRDefault="0060564D" w:rsidP="00EE0848">
      <w:pPr>
        <w:spacing w:line="360" w:lineRule="auto"/>
        <w:rPr>
          <w:sz w:val="24"/>
          <w:szCs w:val="24"/>
        </w:rPr>
      </w:pPr>
      <w:r>
        <w:rPr>
          <w:b/>
          <w:sz w:val="24"/>
          <w:szCs w:val="24"/>
        </w:rPr>
        <w:tab/>
      </w:r>
      <w:r>
        <w:rPr>
          <w:b/>
          <w:sz w:val="24"/>
          <w:szCs w:val="24"/>
        </w:rPr>
        <w:tab/>
      </w:r>
      <w:proofErr w:type="spellStart"/>
      <w:r w:rsidR="00EE0848" w:rsidRPr="002B490F">
        <w:rPr>
          <w:sz w:val="24"/>
          <w:szCs w:val="24"/>
        </w:rPr>
        <w:t>Praamukh</w:t>
      </w:r>
      <w:proofErr w:type="spellEnd"/>
      <w:r w:rsidR="00EE0848" w:rsidRPr="002B490F">
        <w:rPr>
          <w:sz w:val="24"/>
          <w:szCs w:val="24"/>
        </w:rPr>
        <w:t xml:space="preserve"> Swami </w:t>
      </w:r>
      <w:proofErr w:type="spellStart"/>
      <w:r w:rsidR="00EE0848" w:rsidRPr="002B490F">
        <w:rPr>
          <w:sz w:val="24"/>
          <w:szCs w:val="24"/>
        </w:rPr>
        <w:t>Maharaj</w:t>
      </w:r>
      <w:proofErr w:type="spellEnd"/>
      <w:r w:rsidR="00EE0848" w:rsidRPr="002B490F">
        <w:rPr>
          <w:sz w:val="24"/>
          <w:szCs w:val="24"/>
        </w:rPr>
        <w:t xml:space="preserve">, LLC (Complainant) filed a </w:t>
      </w:r>
      <w:r w:rsidR="002B490F">
        <w:rPr>
          <w:sz w:val="24"/>
          <w:szCs w:val="24"/>
        </w:rPr>
        <w:t>f</w:t>
      </w:r>
      <w:r w:rsidR="00EE0848" w:rsidRPr="002B490F">
        <w:rPr>
          <w:sz w:val="24"/>
          <w:szCs w:val="24"/>
        </w:rPr>
        <w:t xml:space="preserve">ormal </w:t>
      </w:r>
      <w:r w:rsidR="002B490F">
        <w:rPr>
          <w:sz w:val="24"/>
          <w:szCs w:val="24"/>
        </w:rPr>
        <w:t>c</w:t>
      </w:r>
      <w:r w:rsidR="00EE0848" w:rsidRPr="002B490F">
        <w:rPr>
          <w:sz w:val="24"/>
          <w:szCs w:val="24"/>
        </w:rPr>
        <w:t>omplaint (complaint) with the Pennsylvania Public Utility Commission (Commission) against Liberty Power Holdings, LLC (</w:t>
      </w:r>
      <w:r w:rsidR="002B490F">
        <w:rPr>
          <w:sz w:val="24"/>
          <w:szCs w:val="24"/>
        </w:rPr>
        <w:t xml:space="preserve">Liberty Power or </w:t>
      </w:r>
      <w:r w:rsidR="00EE0848" w:rsidRPr="002B490F">
        <w:rPr>
          <w:sz w:val="24"/>
          <w:szCs w:val="24"/>
        </w:rPr>
        <w:t xml:space="preserve">Respondent), its electric generation supplier (EGS) alleging that there were </w:t>
      </w:r>
      <w:r w:rsidR="002836D2">
        <w:rPr>
          <w:sz w:val="24"/>
          <w:szCs w:val="24"/>
        </w:rPr>
        <w:t>excessive</w:t>
      </w:r>
      <w:r w:rsidR="00EE0848" w:rsidRPr="002B490F">
        <w:rPr>
          <w:sz w:val="24"/>
          <w:szCs w:val="24"/>
        </w:rPr>
        <w:t xml:space="preserve"> charges on its bill and that Respondent unilaterally, without notice, increased Complainant’s rate.</w:t>
      </w:r>
      <w:r w:rsidR="002836D2">
        <w:rPr>
          <w:rStyle w:val="FootnoteReference"/>
          <w:sz w:val="24"/>
          <w:szCs w:val="24"/>
        </w:rPr>
        <w:footnoteReference w:id="1"/>
      </w:r>
      <w:r w:rsidR="002B490F">
        <w:rPr>
          <w:sz w:val="24"/>
          <w:szCs w:val="24"/>
        </w:rPr>
        <w:t xml:space="preserve"> </w:t>
      </w:r>
      <w:r w:rsidR="00EE0848" w:rsidRPr="002B490F">
        <w:rPr>
          <w:sz w:val="24"/>
          <w:szCs w:val="24"/>
        </w:rPr>
        <w:t xml:space="preserve"> Complainant requested a refund of the alleged overcharges.  This decision dismisses the complaint </w:t>
      </w:r>
      <w:r w:rsidR="004507CF">
        <w:rPr>
          <w:sz w:val="24"/>
          <w:szCs w:val="24"/>
        </w:rPr>
        <w:t xml:space="preserve">under the circumstances of this proceeding as </w:t>
      </w:r>
      <w:r w:rsidR="00EE0848" w:rsidRPr="002B490F">
        <w:rPr>
          <w:sz w:val="24"/>
          <w:szCs w:val="24"/>
        </w:rPr>
        <w:t xml:space="preserve">the Commission lacks authority to order an EGS to </w:t>
      </w:r>
      <w:r w:rsidR="004B2577">
        <w:rPr>
          <w:sz w:val="24"/>
          <w:szCs w:val="24"/>
        </w:rPr>
        <w:t xml:space="preserve">issue </w:t>
      </w:r>
      <w:r w:rsidR="00EE0848" w:rsidRPr="002B490F">
        <w:rPr>
          <w:sz w:val="24"/>
          <w:szCs w:val="24"/>
        </w:rPr>
        <w:t>refund</w:t>
      </w:r>
      <w:r w:rsidR="004B2577">
        <w:rPr>
          <w:sz w:val="24"/>
          <w:szCs w:val="24"/>
        </w:rPr>
        <w:t xml:space="preserve">s to </w:t>
      </w:r>
      <w:r w:rsidR="00EE0848" w:rsidRPr="002B490F">
        <w:rPr>
          <w:sz w:val="24"/>
          <w:szCs w:val="24"/>
        </w:rPr>
        <w:t>customer</w:t>
      </w:r>
      <w:r w:rsidR="002B490F">
        <w:rPr>
          <w:sz w:val="24"/>
          <w:szCs w:val="24"/>
        </w:rPr>
        <w:t>s</w:t>
      </w:r>
      <w:r w:rsidR="00EE0848" w:rsidRPr="002B490F">
        <w:rPr>
          <w:sz w:val="24"/>
          <w:szCs w:val="24"/>
        </w:rPr>
        <w:t xml:space="preserve">.   </w:t>
      </w:r>
    </w:p>
    <w:p w:rsidR="0060564D" w:rsidRDefault="0060564D" w:rsidP="0060564D">
      <w:pPr>
        <w:rPr>
          <w:b/>
          <w:sz w:val="24"/>
          <w:szCs w:val="24"/>
        </w:rPr>
      </w:pPr>
    </w:p>
    <w:p w:rsidR="00D57AD6" w:rsidRDefault="00D57AD6" w:rsidP="0060564D">
      <w:pP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4D1978" w:rsidRDefault="004D1978" w:rsidP="00DD2411">
      <w:pPr>
        <w:spacing w:line="360" w:lineRule="auto"/>
        <w:jc w:val="center"/>
        <w:rPr>
          <w:sz w:val="24"/>
          <w:szCs w:val="24"/>
        </w:rPr>
      </w:pPr>
    </w:p>
    <w:p w:rsidR="009870EF" w:rsidRDefault="00C215A7" w:rsidP="002B490F">
      <w:pPr>
        <w:tabs>
          <w:tab w:val="left" w:pos="-1440"/>
          <w:tab w:val="left" w:pos="-720"/>
        </w:tabs>
        <w:suppressAutoHyphens/>
        <w:spacing w:line="360" w:lineRule="auto"/>
        <w:ind w:firstLine="1440"/>
        <w:rPr>
          <w:spacing w:val="-3"/>
          <w:sz w:val="24"/>
          <w:szCs w:val="24"/>
        </w:rPr>
      </w:pPr>
      <w:r w:rsidRPr="002B490F">
        <w:rPr>
          <w:sz w:val="24"/>
          <w:szCs w:val="24"/>
        </w:rPr>
        <w:t>Complainant wants Respondent to “</w:t>
      </w:r>
      <w:proofErr w:type="gramStart"/>
      <w:r w:rsidRPr="002B490F">
        <w:rPr>
          <w:sz w:val="24"/>
          <w:szCs w:val="24"/>
        </w:rPr>
        <w:t>revert</w:t>
      </w:r>
      <w:proofErr w:type="gramEnd"/>
      <w:r w:rsidRPr="002B490F">
        <w:rPr>
          <w:sz w:val="24"/>
          <w:szCs w:val="24"/>
        </w:rPr>
        <w:t xml:space="preserve"> the charges back to the original rate</w:t>
      </w:r>
      <w:r w:rsidR="004B2577">
        <w:rPr>
          <w:sz w:val="24"/>
          <w:szCs w:val="24"/>
        </w:rPr>
        <w:t>”</w:t>
      </w:r>
      <w:r w:rsidRPr="002B490F">
        <w:rPr>
          <w:sz w:val="24"/>
          <w:szCs w:val="24"/>
        </w:rPr>
        <w:t xml:space="preserve"> and </w:t>
      </w:r>
      <w:r w:rsidR="004B2577">
        <w:rPr>
          <w:sz w:val="24"/>
          <w:szCs w:val="24"/>
        </w:rPr>
        <w:t xml:space="preserve">issue a </w:t>
      </w:r>
      <w:r w:rsidRPr="002B490F">
        <w:rPr>
          <w:sz w:val="24"/>
          <w:szCs w:val="24"/>
        </w:rPr>
        <w:t xml:space="preserve">refund </w:t>
      </w:r>
      <w:r w:rsidR="004B2577">
        <w:rPr>
          <w:sz w:val="24"/>
          <w:szCs w:val="24"/>
        </w:rPr>
        <w:t xml:space="preserve">for charges in excess of the fixed rate.  </w:t>
      </w:r>
      <w:r w:rsidR="009870EF" w:rsidRPr="002B490F">
        <w:rPr>
          <w:sz w:val="24"/>
          <w:szCs w:val="24"/>
        </w:rPr>
        <w:t xml:space="preserve">On </w:t>
      </w:r>
      <w:r w:rsidR="0060564D" w:rsidRPr="002B490F">
        <w:rPr>
          <w:sz w:val="24"/>
          <w:szCs w:val="24"/>
        </w:rPr>
        <w:t>May 23</w:t>
      </w:r>
      <w:r w:rsidRPr="002B490F">
        <w:rPr>
          <w:sz w:val="24"/>
          <w:szCs w:val="24"/>
        </w:rPr>
        <w:t>, 2014</w:t>
      </w:r>
      <w:r w:rsidR="009870EF" w:rsidRPr="002B490F">
        <w:rPr>
          <w:sz w:val="24"/>
          <w:szCs w:val="24"/>
        </w:rPr>
        <w:t>,</w:t>
      </w:r>
      <w:r w:rsidRPr="002B490F">
        <w:rPr>
          <w:sz w:val="24"/>
          <w:szCs w:val="24"/>
        </w:rPr>
        <w:t xml:space="preserve"> </w:t>
      </w:r>
      <w:r w:rsidR="009870EF" w:rsidRPr="002B490F">
        <w:rPr>
          <w:sz w:val="24"/>
          <w:szCs w:val="24"/>
        </w:rPr>
        <w:t xml:space="preserve">Respondent filed an </w:t>
      </w:r>
      <w:r w:rsidR="002B490F">
        <w:rPr>
          <w:sz w:val="24"/>
          <w:szCs w:val="24"/>
        </w:rPr>
        <w:t>a</w:t>
      </w:r>
      <w:r w:rsidR="009870EF" w:rsidRPr="002B490F">
        <w:rPr>
          <w:spacing w:val="-3"/>
          <w:sz w:val="24"/>
          <w:szCs w:val="24"/>
        </w:rPr>
        <w:t>nswer</w:t>
      </w:r>
      <w:r w:rsidR="0060564D" w:rsidRPr="002B490F">
        <w:rPr>
          <w:spacing w:val="-3"/>
          <w:sz w:val="24"/>
          <w:szCs w:val="24"/>
        </w:rPr>
        <w:t xml:space="preserve"> to the complaint</w:t>
      </w:r>
      <w:r w:rsidRPr="002B490F">
        <w:rPr>
          <w:spacing w:val="-3"/>
          <w:sz w:val="24"/>
          <w:szCs w:val="24"/>
        </w:rPr>
        <w:t xml:space="preserve">.  The </w:t>
      </w:r>
      <w:r w:rsidR="002B490F">
        <w:rPr>
          <w:spacing w:val="-3"/>
          <w:sz w:val="24"/>
          <w:szCs w:val="24"/>
        </w:rPr>
        <w:t>a</w:t>
      </w:r>
      <w:r w:rsidRPr="002B490F">
        <w:rPr>
          <w:spacing w:val="-3"/>
          <w:sz w:val="24"/>
          <w:szCs w:val="24"/>
        </w:rPr>
        <w:t xml:space="preserve">nswer asserts that Complainant enrolled </w:t>
      </w:r>
      <w:r w:rsidR="002B490F">
        <w:rPr>
          <w:spacing w:val="-3"/>
          <w:sz w:val="24"/>
          <w:szCs w:val="24"/>
        </w:rPr>
        <w:t xml:space="preserve">in </w:t>
      </w:r>
      <w:r w:rsidRPr="002B490F">
        <w:rPr>
          <w:spacing w:val="-3"/>
          <w:sz w:val="24"/>
          <w:szCs w:val="24"/>
        </w:rPr>
        <w:t>a fixed rate pro</w:t>
      </w:r>
      <w:r w:rsidR="004B2577">
        <w:rPr>
          <w:spacing w:val="-3"/>
          <w:sz w:val="24"/>
          <w:szCs w:val="24"/>
        </w:rPr>
        <w:t>gram</w:t>
      </w:r>
      <w:r w:rsidRPr="002B490F">
        <w:rPr>
          <w:spacing w:val="-3"/>
          <w:sz w:val="24"/>
          <w:szCs w:val="24"/>
        </w:rPr>
        <w:t xml:space="preserve"> with a 30</w:t>
      </w:r>
      <w:r w:rsidR="00FE14A1" w:rsidRPr="002B490F">
        <w:rPr>
          <w:spacing w:val="-3"/>
          <w:sz w:val="24"/>
          <w:szCs w:val="24"/>
        </w:rPr>
        <w:t>-</w:t>
      </w:r>
      <w:r w:rsidRPr="002B490F">
        <w:rPr>
          <w:spacing w:val="-3"/>
          <w:sz w:val="24"/>
          <w:szCs w:val="24"/>
        </w:rPr>
        <w:t>month term</w:t>
      </w:r>
      <w:r w:rsidR="0060564D" w:rsidRPr="002B490F">
        <w:rPr>
          <w:spacing w:val="-3"/>
          <w:sz w:val="24"/>
          <w:szCs w:val="24"/>
        </w:rPr>
        <w:t xml:space="preserve"> from June 15, 2011 until December 14, 2013</w:t>
      </w:r>
      <w:r w:rsidRPr="002B490F">
        <w:rPr>
          <w:spacing w:val="-3"/>
          <w:sz w:val="24"/>
          <w:szCs w:val="24"/>
        </w:rPr>
        <w:t xml:space="preserve">.  The term expired and </w:t>
      </w:r>
      <w:r w:rsidR="00EA2033">
        <w:rPr>
          <w:spacing w:val="-3"/>
          <w:sz w:val="24"/>
          <w:szCs w:val="24"/>
        </w:rPr>
        <w:lastRenderedPageBreak/>
        <w:t>C</w:t>
      </w:r>
      <w:r w:rsidR="0095545D">
        <w:rPr>
          <w:spacing w:val="-3"/>
          <w:sz w:val="24"/>
          <w:szCs w:val="24"/>
        </w:rPr>
        <w:t>omplainant</w:t>
      </w:r>
      <w:r w:rsidRPr="002B490F">
        <w:rPr>
          <w:spacing w:val="-3"/>
          <w:sz w:val="24"/>
          <w:szCs w:val="24"/>
        </w:rPr>
        <w:t>’s</w:t>
      </w:r>
      <w:r w:rsidR="0060564D" w:rsidRPr="002B490F">
        <w:rPr>
          <w:spacing w:val="-3"/>
          <w:sz w:val="24"/>
          <w:szCs w:val="24"/>
        </w:rPr>
        <w:t xml:space="preserve"> account was placed on Respondent’s variable rate</w:t>
      </w:r>
      <w:r w:rsidR="004B2577">
        <w:rPr>
          <w:spacing w:val="-3"/>
          <w:sz w:val="24"/>
          <w:szCs w:val="24"/>
        </w:rPr>
        <w:t xml:space="preserve"> program</w:t>
      </w:r>
      <w:r w:rsidR="0060564D" w:rsidRPr="002B490F">
        <w:rPr>
          <w:spacing w:val="-3"/>
          <w:sz w:val="24"/>
          <w:szCs w:val="24"/>
        </w:rPr>
        <w:t xml:space="preserve"> following the expiration of the fixed rate </w:t>
      </w:r>
      <w:r w:rsidR="004B2577">
        <w:rPr>
          <w:spacing w:val="-3"/>
          <w:sz w:val="24"/>
          <w:szCs w:val="24"/>
        </w:rPr>
        <w:t>term.</w:t>
      </w:r>
      <w:r w:rsidRPr="002B490F">
        <w:rPr>
          <w:spacing w:val="-3"/>
          <w:sz w:val="24"/>
          <w:szCs w:val="24"/>
        </w:rPr>
        <w:t xml:space="preserve">  </w:t>
      </w:r>
      <w:r w:rsidR="009870EF" w:rsidRPr="002B490F">
        <w:rPr>
          <w:spacing w:val="-3"/>
          <w:sz w:val="24"/>
          <w:szCs w:val="24"/>
        </w:rPr>
        <w:t xml:space="preserve"> </w:t>
      </w:r>
    </w:p>
    <w:p w:rsidR="006A4B86" w:rsidRPr="002B490F" w:rsidRDefault="006A4B86" w:rsidP="002B490F">
      <w:pPr>
        <w:tabs>
          <w:tab w:val="left" w:pos="-1440"/>
          <w:tab w:val="left" w:pos="-720"/>
        </w:tabs>
        <w:suppressAutoHyphens/>
        <w:spacing w:line="360" w:lineRule="auto"/>
        <w:ind w:firstLine="1440"/>
        <w:rPr>
          <w:sz w:val="24"/>
          <w:szCs w:val="24"/>
        </w:rPr>
      </w:pPr>
    </w:p>
    <w:p w:rsidR="009870EF" w:rsidRPr="002B490F" w:rsidRDefault="009870EF" w:rsidP="002B490F">
      <w:pPr>
        <w:tabs>
          <w:tab w:val="left" w:pos="2160"/>
        </w:tabs>
        <w:spacing w:line="360" w:lineRule="auto"/>
        <w:ind w:firstLine="1440"/>
        <w:rPr>
          <w:sz w:val="24"/>
          <w:szCs w:val="24"/>
        </w:rPr>
      </w:pPr>
      <w:r w:rsidRPr="002B490F">
        <w:rPr>
          <w:sz w:val="24"/>
          <w:szCs w:val="24"/>
        </w:rPr>
        <w:t xml:space="preserve">By </w:t>
      </w:r>
      <w:r w:rsidR="002B490F">
        <w:rPr>
          <w:sz w:val="24"/>
          <w:szCs w:val="24"/>
        </w:rPr>
        <w:t>h</w:t>
      </w:r>
      <w:r w:rsidRPr="002B490F">
        <w:rPr>
          <w:sz w:val="24"/>
          <w:szCs w:val="24"/>
        </w:rPr>
        <w:t xml:space="preserve">earing </w:t>
      </w:r>
      <w:r w:rsidR="002B490F">
        <w:rPr>
          <w:sz w:val="24"/>
          <w:szCs w:val="24"/>
        </w:rPr>
        <w:t>n</w:t>
      </w:r>
      <w:r w:rsidRPr="002B490F">
        <w:rPr>
          <w:sz w:val="24"/>
          <w:szCs w:val="24"/>
        </w:rPr>
        <w:t xml:space="preserve">otice dated </w:t>
      </w:r>
      <w:r w:rsidR="00C215A7" w:rsidRPr="002B490F">
        <w:rPr>
          <w:sz w:val="24"/>
          <w:szCs w:val="24"/>
        </w:rPr>
        <w:t>September 8, 2014</w:t>
      </w:r>
      <w:r w:rsidRPr="002B490F">
        <w:rPr>
          <w:sz w:val="24"/>
          <w:szCs w:val="24"/>
        </w:rPr>
        <w:t xml:space="preserve">, the parties were notified that an </w:t>
      </w:r>
      <w:r w:rsidR="002B490F">
        <w:rPr>
          <w:sz w:val="24"/>
          <w:szCs w:val="24"/>
        </w:rPr>
        <w:t>i</w:t>
      </w:r>
      <w:r w:rsidRPr="002B490F">
        <w:rPr>
          <w:sz w:val="24"/>
          <w:szCs w:val="24"/>
        </w:rPr>
        <w:t xml:space="preserve">nitial </w:t>
      </w:r>
      <w:r w:rsidR="002B490F">
        <w:rPr>
          <w:sz w:val="24"/>
          <w:szCs w:val="24"/>
        </w:rPr>
        <w:t>h</w:t>
      </w:r>
      <w:r w:rsidRPr="002B490F">
        <w:rPr>
          <w:sz w:val="24"/>
          <w:szCs w:val="24"/>
        </w:rPr>
        <w:t xml:space="preserve">earing in this case was scheduled for </w:t>
      </w:r>
      <w:r w:rsidR="00122F71" w:rsidRPr="002B490F">
        <w:rPr>
          <w:sz w:val="24"/>
          <w:szCs w:val="24"/>
        </w:rPr>
        <w:t>Tuesday, October 28, 2014 at 10:00 a.m.</w:t>
      </w:r>
      <w:r w:rsidRPr="002B490F">
        <w:rPr>
          <w:sz w:val="24"/>
          <w:szCs w:val="24"/>
        </w:rPr>
        <w:t xml:space="preserve">  A </w:t>
      </w:r>
      <w:r w:rsidR="002B490F">
        <w:rPr>
          <w:sz w:val="24"/>
          <w:szCs w:val="24"/>
        </w:rPr>
        <w:t>p</w:t>
      </w:r>
      <w:r w:rsidRPr="002B490F">
        <w:rPr>
          <w:sz w:val="24"/>
          <w:szCs w:val="24"/>
        </w:rPr>
        <w:t xml:space="preserve">rehearing </w:t>
      </w:r>
      <w:r w:rsidR="002B490F">
        <w:rPr>
          <w:sz w:val="24"/>
          <w:szCs w:val="24"/>
        </w:rPr>
        <w:t>o</w:t>
      </w:r>
      <w:r w:rsidRPr="002B490F">
        <w:rPr>
          <w:sz w:val="24"/>
          <w:szCs w:val="24"/>
        </w:rPr>
        <w:t xml:space="preserve">rder was issued on </w:t>
      </w:r>
      <w:r w:rsidR="00C215A7" w:rsidRPr="002B490F">
        <w:rPr>
          <w:sz w:val="24"/>
          <w:szCs w:val="24"/>
        </w:rPr>
        <w:t>September 8, 2014</w:t>
      </w:r>
      <w:r w:rsidRPr="002B490F">
        <w:rPr>
          <w:sz w:val="24"/>
          <w:szCs w:val="24"/>
        </w:rPr>
        <w:t xml:space="preserve">, stating the date and time of the scheduled hearing and advising the parties that the case could be dismissed if they failed to obtain a continuance and failed to appear for the hearing.  The </w:t>
      </w:r>
      <w:r w:rsidR="002B490F">
        <w:rPr>
          <w:sz w:val="24"/>
          <w:szCs w:val="24"/>
        </w:rPr>
        <w:t>p</w:t>
      </w:r>
      <w:r w:rsidRPr="002B490F">
        <w:rPr>
          <w:sz w:val="24"/>
          <w:szCs w:val="24"/>
        </w:rPr>
        <w:t xml:space="preserve">rehearing </w:t>
      </w:r>
      <w:r w:rsidR="002B490F">
        <w:rPr>
          <w:sz w:val="24"/>
          <w:szCs w:val="24"/>
        </w:rPr>
        <w:t>o</w:t>
      </w:r>
      <w:r w:rsidRPr="002B490F">
        <w:rPr>
          <w:sz w:val="24"/>
          <w:szCs w:val="24"/>
        </w:rPr>
        <w:t xml:space="preserve">rder also advised the parties of applicable procedural rules. </w:t>
      </w:r>
    </w:p>
    <w:p w:rsidR="00DC42EB" w:rsidRPr="002B490F" w:rsidRDefault="00DC42EB" w:rsidP="002B490F">
      <w:pPr>
        <w:tabs>
          <w:tab w:val="left" w:pos="2160"/>
        </w:tabs>
        <w:spacing w:line="360" w:lineRule="auto"/>
        <w:ind w:firstLine="1440"/>
        <w:rPr>
          <w:sz w:val="24"/>
          <w:szCs w:val="24"/>
        </w:rPr>
      </w:pPr>
    </w:p>
    <w:p w:rsidR="00122F71" w:rsidRPr="002B490F" w:rsidRDefault="00122F71" w:rsidP="002B490F">
      <w:pPr>
        <w:tabs>
          <w:tab w:val="left" w:pos="2160"/>
        </w:tabs>
        <w:spacing w:line="360" w:lineRule="auto"/>
        <w:ind w:firstLine="1440"/>
        <w:rPr>
          <w:sz w:val="24"/>
          <w:szCs w:val="24"/>
        </w:rPr>
      </w:pPr>
      <w:r w:rsidRPr="002B490F">
        <w:rPr>
          <w:sz w:val="24"/>
          <w:szCs w:val="24"/>
        </w:rPr>
        <w:t xml:space="preserve">Complainant requested a continuance of the initial hearing in order to obtain legal counsel.  Accordingly, on October 31, 2014, an interim order was </w:t>
      </w:r>
      <w:proofErr w:type="gramStart"/>
      <w:r w:rsidRPr="002B490F">
        <w:rPr>
          <w:sz w:val="24"/>
          <w:szCs w:val="24"/>
        </w:rPr>
        <w:t>issued,</w:t>
      </w:r>
      <w:proofErr w:type="gramEnd"/>
      <w:r w:rsidRPr="002B490F">
        <w:rPr>
          <w:sz w:val="24"/>
          <w:szCs w:val="24"/>
        </w:rPr>
        <w:t xml:space="preserve"> granting the request for a continuance and directing Complainant to have legal counsel enter his or her appearance on or before November 15, 201</w:t>
      </w:r>
      <w:r w:rsidR="0095545D">
        <w:rPr>
          <w:sz w:val="24"/>
          <w:szCs w:val="24"/>
        </w:rPr>
        <w:t>4</w:t>
      </w:r>
      <w:r w:rsidRPr="002B490F">
        <w:rPr>
          <w:sz w:val="24"/>
          <w:szCs w:val="24"/>
        </w:rPr>
        <w:t xml:space="preserve">. </w:t>
      </w:r>
    </w:p>
    <w:p w:rsidR="00122F71" w:rsidRPr="002B490F" w:rsidRDefault="00122F71" w:rsidP="002B490F">
      <w:pPr>
        <w:tabs>
          <w:tab w:val="left" w:pos="2160"/>
        </w:tabs>
        <w:spacing w:line="360" w:lineRule="auto"/>
        <w:ind w:firstLine="1440"/>
        <w:rPr>
          <w:sz w:val="24"/>
          <w:szCs w:val="24"/>
        </w:rPr>
      </w:pPr>
    </w:p>
    <w:p w:rsidR="00122F71" w:rsidRPr="002B490F" w:rsidRDefault="00122F71" w:rsidP="002B490F">
      <w:pPr>
        <w:tabs>
          <w:tab w:val="left" w:pos="2160"/>
        </w:tabs>
        <w:spacing w:line="360" w:lineRule="auto"/>
        <w:ind w:firstLine="1440"/>
        <w:rPr>
          <w:sz w:val="24"/>
          <w:szCs w:val="24"/>
        </w:rPr>
      </w:pPr>
      <w:r w:rsidRPr="002B490F">
        <w:rPr>
          <w:sz w:val="24"/>
          <w:szCs w:val="24"/>
        </w:rPr>
        <w:t xml:space="preserve">By </w:t>
      </w:r>
      <w:r w:rsidR="002B490F">
        <w:rPr>
          <w:sz w:val="24"/>
          <w:szCs w:val="24"/>
        </w:rPr>
        <w:t>h</w:t>
      </w:r>
      <w:r w:rsidRPr="002B490F">
        <w:rPr>
          <w:sz w:val="24"/>
          <w:szCs w:val="24"/>
        </w:rPr>
        <w:t xml:space="preserve">earing </w:t>
      </w:r>
      <w:r w:rsidR="002B490F">
        <w:rPr>
          <w:sz w:val="24"/>
          <w:szCs w:val="24"/>
        </w:rPr>
        <w:t>n</w:t>
      </w:r>
      <w:r w:rsidRPr="002B490F">
        <w:rPr>
          <w:sz w:val="24"/>
          <w:szCs w:val="24"/>
        </w:rPr>
        <w:t xml:space="preserve">otice dated November 10, 2014, the parties were notified that an </w:t>
      </w:r>
      <w:r w:rsidR="002B490F">
        <w:rPr>
          <w:sz w:val="24"/>
          <w:szCs w:val="24"/>
        </w:rPr>
        <w:t>i</w:t>
      </w:r>
      <w:r w:rsidRPr="002B490F">
        <w:rPr>
          <w:sz w:val="24"/>
          <w:szCs w:val="24"/>
        </w:rPr>
        <w:t xml:space="preserve">nitial </w:t>
      </w:r>
      <w:r w:rsidR="002B490F">
        <w:rPr>
          <w:sz w:val="24"/>
          <w:szCs w:val="24"/>
        </w:rPr>
        <w:t>h</w:t>
      </w:r>
      <w:r w:rsidRPr="002B490F">
        <w:rPr>
          <w:sz w:val="24"/>
          <w:szCs w:val="24"/>
        </w:rPr>
        <w:t xml:space="preserve">earing in this case was rescheduled for Friday, December 19, 2014 at 10:00 a.m. </w:t>
      </w:r>
      <w:r w:rsidR="002B490F">
        <w:rPr>
          <w:sz w:val="24"/>
          <w:szCs w:val="24"/>
        </w:rPr>
        <w:t xml:space="preserve"> </w:t>
      </w:r>
      <w:r w:rsidRPr="002B490F">
        <w:rPr>
          <w:sz w:val="24"/>
          <w:szCs w:val="24"/>
        </w:rPr>
        <w:t>Thomas</w:t>
      </w:r>
      <w:r w:rsidR="00F9199B">
        <w:rPr>
          <w:sz w:val="24"/>
          <w:szCs w:val="24"/>
        </w:rPr>
        <w:t> </w:t>
      </w:r>
      <w:r w:rsidRPr="002B490F">
        <w:rPr>
          <w:sz w:val="24"/>
          <w:szCs w:val="24"/>
        </w:rPr>
        <w:t xml:space="preserve">T. </w:t>
      </w:r>
      <w:proofErr w:type="spellStart"/>
      <w:r w:rsidRPr="002B490F">
        <w:rPr>
          <w:sz w:val="24"/>
          <w:szCs w:val="24"/>
        </w:rPr>
        <w:t>Niesen</w:t>
      </w:r>
      <w:proofErr w:type="spellEnd"/>
      <w:r w:rsidRPr="002B490F">
        <w:rPr>
          <w:sz w:val="24"/>
          <w:szCs w:val="24"/>
        </w:rPr>
        <w:t xml:space="preserve">, Esquire, entered his appearance for Complainant on November 14, 2014.  </w:t>
      </w:r>
    </w:p>
    <w:p w:rsidR="00122F71" w:rsidRPr="002B490F" w:rsidRDefault="00122F71" w:rsidP="002B490F">
      <w:pPr>
        <w:tabs>
          <w:tab w:val="left" w:pos="2160"/>
        </w:tabs>
        <w:spacing w:line="360" w:lineRule="auto"/>
        <w:rPr>
          <w:sz w:val="24"/>
          <w:szCs w:val="24"/>
        </w:rPr>
      </w:pPr>
    </w:p>
    <w:p w:rsidR="009870EF" w:rsidRPr="002B490F" w:rsidRDefault="009870EF" w:rsidP="002B490F">
      <w:pPr>
        <w:tabs>
          <w:tab w:val="left" w:pos="2160"/>
        </w:tabs>
        <w:spacing w:line="360" w:lineRule="auto"/>
        <w:ind w:firstLine="1440"/>
        <w:rPr>
          <w:sz w:val="24"/>
          <w:szCs w:val="24"/>
        </w:rPr>
      </w:pPr>
      <w:r w:rsidRPr="002B490F">
        <w:rPr>
          <w:sz w:val="24"/>
          <w:szCs w:val="24"/>
        </w:rPr>
        <w:t xml:space="preserve"> </w:t>
      </w:r>
      <w:r w:rsidR="00122F71" w:rsidRPr="002B490F">
        <w:rPr>
          <w:sz w:val="24"/>
          <w:szCs w:val="24"/>
        </w:rPr>
        <w:t xml:space="preserve">The initial hearing </w:t>
      </w:r>
      <w:r w:rsidRPr="002B490F">
        <w:rPr>
          <w:sz w:val="24"/>
          <w:szCs w:val="24"/>
        </w:rPr>
        <w:t>convened as scheduled.</w:t>
      </w:r>
      <w:r w:rsidR="00C215A7" w:rsidRPr="002B490F">
        <w:rPr>
          <w:bCs/>
          <w:spacing w:val="-3"/>
          <w:sz w:val="24"/>
          <w:szCs w:val="24"/>
        </w:rPr>
        <w:t xml:space="preserve"> </w:t>
      </w:r>
      <w:r w:rsidR="00B37BC9" w:rsidRPr="002B490F">
        <w:rPr>
          <w:bCs/>
          <w:spacing w:val="-3"/>
          <w:sz w:val="24"/>
          <w:szCs w:val="24"/>
        </w:rPr>
        <w:t xml:space="preserve"> </w:t>
      </w:r>
      <w:r w:rsidR="00C215A7" w:rsidRPr="002B490F">
        <w:rPr>
          <w:bCs/>
          <w:spacing w:val="-3"/>
          <w:sz w:val="24"/>
          <w:szCs w:val="24"/>
        </w:rPr>
        <w:t xml:space="preserve">Complainant was </w:t>
      </w:r>
      <w:r w:rsidR="00122F71" w:rsidRPr="002B490F">
        <w:rPr>
          <w:bCs/>
          <w:spacing w:val="-3"/>
          <w:sz w:val="24"/>
          <w:szCs w:val="24"/>
        </w:rPr>
        <w:t xml:space="preserve">represented by </w:t>
      </w:r>
      <w:r w:rsidR="00122F71" w:rsidRPr="002B490F">
        <w:rPr>
          <w:sz w:val="24"/>
          <w:szCs w:val="24"/>
        </w:rPr>
        <w:t xml:space="preserve">Thomas T. </w:t>
      </w:r>
      <w:proofErr w:type="spellStart"/>
      <w:r w:rsidR="00122F71" w:rsidRPr="002B490F">
        <w:rPr>
          <w:sz w:val="24"/>
          <w:szCs w:val="24"/>
        </w:rPr>
        <w:t>Niesen</w:t>
      </w:r>
      <w:proofErr w:type="spellEnd"/>
      <w:r w:rsidR="00122F71" w:rsidRPr="002B490F">
        <w:rPr>
          <w:sz w:val="24"/>
          <w:szCs w:val="24"/>
        </w:rPr>
        <w:t xml:space="preserve">, Esquire.  </w:t>
      </w:r>
      <w:r w:rsidR="00DC42EB" w:rsidRPr="002B490F">
        <w:rPr>
          <w:bCs/>
          <w:spacing w:val="-3"/>
          <w:sz w:val="24"/>
          <w:szCs w:val="24"/>
        </w:rPr>
        <w:t xml:space="preserve">Complainant submitted </w:t>
      </w:r>
      <w:r w:rsidR="00122F71" w:rsidRPr="002B490F">
        <w:rPr>
          <w:bCs/>
          <w:spacing w:val="-3"/>
          <w:sz w:val="24"/>
          <w:szCs w:val="24"/>
        </w:rPr>
        <w:t xml:space="preserve">four </w:t>
      </w:r>
      <w:r w:rsidR="00DC42EB" w:rsidRPr="002B490F">
        <w:rPr>
          <w:bCs/>
          <w:spacing w:val="-3"/>
          <w:sz w:val="24"/>
          <w:szCs w:val="24"/>
        </w:rPr>
        <w:t>exhibits</w:t>
      </w:r>
      <w:r w:rsidR="00122F71" w:rsidRPr="002B490F">
        <w:rPr>
          <w:bCs/>
          <w:spacing w:val="-3"/>
          <w:sz w:val="24"/>
          <w:szCs w:val="24"/>
        </w:rPr>
        <w:t xml:space="preserve">, which </w:t>
      </w:r>
      <w:r w:rsidR="00DC42EB" w:rsidRPr="002B490F">
        <w:rPr>
          <w:bCs/>
          <w:spacing w:val="-3"/>
          <w:sz w:val="24"/>
          <w:szCs w:val="24"/>
        </w:rPr>
        <w:t xml:space="preserve">were entered into the record.  Respondent </w:t>
      </w:r>
      <w:r w:rsidR="00122F71" w:rsidRPr="002B490F">
        <w:rPr>
          <w:bCs/>
          <w:spacing w:val="-3"/>
          <w:sz w:val="24"/>
          <w:szCs w:val="24"/>
        </w:rPr>
        <w:t>was represented by Carl R. S</w:t>
      </w:r>
      <w:r w:rsidR="0095545D">
        <w:rPr>
          <w:bCs/>
          <w:spacing w:val="-3"/>
          <w:sz w:val="24"/>
          <w:szCs w:val="24"/>
        </w:rPr>
        <w:t>hultz</w:t>
      </w:r>
      <w:r w:rsidR="00122F71" w:rsidRPr="002B490F">
        <w:rPr>
          <w:bCs/>
          <w:spacing w:val="-3"/>
          <w:sz w:val="24"/>
          <w:szCs w:val="24"/>
        </w:rPr>
        <w:t xml:space="preserve">, Esquire.  Respondent </w:t>
      </w:r>
      <w:r w:rsidR="00DC42EB" w:rsidRPr="002B490F">
        <w:rPr>
          <w:bCs/>
          <w:spacing w:val="-3"/>
          <w:sz w:val="24"/>
          <w:szCs w:val="24"/>
        </w:rPr>
        <w:t xml:space="preserve">submitted </w:t>
      </w:r>
      <w:r w:rsidR="00122F71" w:rsidRPr="002B490F">
        <w:rPr>
          <w:bCs/>
          <w:spacing w:val="-3"/>
          <w:sz w:val="24"/>
          <w:szCs w:val="24"/>
        </w:rPr>
        <w:t>three</w:t>
      </w:r>
      <w:r w:rsidR="00DC42EB" w:rsidRPr="002B490F">
        <w:rPr>
          <w:bCs/>
          <w:spacing w:val="-3"/>
          <w:sz w:val="24"/>
          <w:szCs w:val="24"/>
        </w:rPr>
        <w:t xml:space="preserve"> exhibits</w:t>
      </w:r>
      <w:r w:rsidR="00122F71" w:rsidRPr="002B490F">
        <w:rPr>
          <w:bCs/>
          <w:spacing w:val="-3"/>
          <w:sz w:val="24"/>
          <w:szCs w:val="24"/>
        </w:rPr>
        <w:t xml:space="preserve">, which </w:t>
      </w:r>
      <w:r w:rsidR="00DC42EB" w:rsidRPr="002B490F">
        <w:rPr>
          <w:bCs/>
          <w:spacing w:val="-3"/>
          <w:sz w:val="24"/>
          <w:szCs w:val="24"/>
        </w:rPr>
        <w:t>were entered into the record.</w:t>
      </w:r>
      <w:r w:rsidR="00C215A7" w:rsidRPr="002B490F">
        <w:rPr>
          <w:bCs/>
          <w:spacing w:val="-3"/>
          <w:sz w:val="24"/>
          <w:szCs w:val="24"/>
        </w:rPr>
        <w:t xml:space="preserve"> </w:t>
      </w:r>
      <w:r w:rsidRPr="002B490F">
        <w:rPr>
          <w:sz w:val="24"/>
          <w:szCs w:val="24"/>
        </w:rPr>
        <w:t xml:space="preserve"> </w:t>
      </w:r>
      <w:r w:rsidR="00D0763D" w:rsidRPr="002B490F">
        <w:rPr>
          <w:sz w:val="24"/>
          <w:szCs w:val="24"/>
        </w:rPr>
        <w:t xml:space="preserve">At the conclusion of the hearing, the </w:t>
      </w:r>
      <w:r w:rsidR="00FF286E">
        <w:rPr>
          <w:sz w:val="24"/>
          <w:szCs w:val="24"/>
        </w:rPr>
        <w:t>p</w:t>
      </w:r>
      <w:r w:rsidR="00D0763D" w:rsidRPr="002B490F">
        <w:rPr>
          <w:sz w:val="24"/>
          <w:szCs w:val="24"/>
        </w:rPr>
        <w:t>arties were requested to agree upon a briefing schedule upon receipt of the hearing transcript.</w:t>
      </w:r>
    </w:p>
    <w:p w:rsidR="00DC42EB" w:rsidRPr="002B490F" w:rsidRDefault="00DC42EB" w:rsidP="002B490F">
      <w:pPr>
        <w:tabs>
          <w:tab w:val="left" w:pos="2160"/>
        </w:tabs>
        <w:spacing w:line="360" w:lineRule="auto"/>
        <w:ind w:firstLine="1440"/>
        <w:rPr>
          <w:sz w:val="24"/>
          <w:szCs w:val="24"/>
        </w:rPr>
      </w:pPr>
    </w:p>
    <w:p w:rsidR="007965B0" w:rsidRPr="002B490F" w:rsidRDefault="00D0763D" w:rsidP="002B490F">
      <w:pPr>
        <w:tabs>
          <w:tab w:val="left" w:pos="-1440"/>
          <w:tab w:val="left" w:pos="-720"/>
        </w:tabs>
        <w:suppressAutoHyphens/>
        <w:spacing w:line="360" w:lineRule="auto"/>
        <w:ind w:firstLine="1440"/>
        <w:rPr>
          <w:sz w:val="24"/>
          <w:szCs w:val="24"/>
        </w:rPr>
      </w:pPr>
      <w:r w:rsidRPr="002B490F">
        <w:rPr>
          <w:sz w:val="24"/>
          <w:szCs w:val="24"/>
        </w:rPr>
        <w:t>The transcript which consisted of</w:t>
      </w:r>
      <w:r w:rsidR="00DC42EB" w:rsidRPr="002B490F">
        <w:rPr>
          <w:sz w:val="24"/>
          <w:szCs w:val="24"/>
        </w:rPr>
        <w:t xml:space="preserve"> </w:t>
      </w:r>
      <w:r w:rsidRPr="002B490F">
        <w:rPr>
          <w:sz w:val="24"/>
          <w:szCs w:val="24"/>
        </w:rPr>
        <w:t xml:space="preserve">90 </w:t>
      </w:r>
      <w:r w:rsidR="00DC42EB" w:rsidRPr="002B490F">
        <w:rPr>
          <w:sz w:val="24"/>
          <w:szCs w:val="24"/>
        </w:rPr>
        <w:t xml:space="preserve">typewritten </w:t>
      </w:r>
      <w:r w:rsidRPr="002B490F">
        <w:rPr>
          <w:sz w:val="24"/>
          <w:szCs w:val="24"/>
        </w:rPr>
        <w:t>pages was received by the undersigned presiding officer on January 12, 2015.</w:t>
      </w:r>
      <w:r w:rsidR="009870EF" w:rsidRPr="002B490F">
        <w:rPr>
          <w:sz w:val="24"/>
          <w:szCs w:val="24"/>
        </w:rPr>
        <w:t xml:space="preserve"> </w:t>
      </w:r>
    </w:p>
    <w:p w:rsidR="00D0763D" w:rsidRPr="002B490F" w:rsidRDefault="00D0763D" w:rsidP="002B490F">
      <w:pPr>
        <w:tabs>
          <w:tab w:val="left" w:pos="-1440"/>
          <w:tab w:val="left" w:pos="-720"/>
        </w:tabs>
        <w:suppressAutoHyphens/>
        <w:spacing w:line="360" w:lineRule="auto"/>
        <w:ind w:firstLine="1440"/>
        <w:rPr>
          <w:sz w:val="24"/>
          <w:szCs w:val="24"/>
        </w:rPr>
      </w:pPr>
    </w:p>
    <w:p w:rsidR="00D0763D" w:rsidRDefault="00D0763D" w:rsidP="002B490F">
      <w:pPr>
        <w:tabs>
          <w:tab w:val="left" w:pos="-1440"/>
          <w:tab w:val="left" w:pos="-720"/>
        </w:tabs>
        <w:suppressAutoHyphens/>
        <w:spacing w:line="360" w:lineRule="auto"/>
        <w:ind w:firstLine="1440"/>
        <w:rPr>
          <w:sz w:val="24"/>
          <w:szCs w:val="24"/>
        </w:rPr>
      </w:pPr>
      <w:r w:rsidRPr="002B490F">
        <w:rPr>
          <w:sz w:val="24"/>
          <w:szCs w:val="24"/>
        </w:rPr>
        <w:t>On March 6, 2015, Respondent filed a brief in this matter.</w:t>
      </w:r>
    </w:p>
    <w:p w:rsidR="005C28F8" w:rsidRPr="002B490F" w:rsidRDefault="005C28F8" w:rsidP="002B490F">
      <w:pPr>
        <w:tabs>
          <w:tab w:val="left" w:pos="-1440"/>
          <w:tab w:val="left" w:pos="-720"/>
        </w:tabs>
        <w:suppressAutoHyphens/>
        <w:spacing w:line="360" w:lineRule="auto"/>
        <w:ind w:firstLine="1440"/>
        <w:rPr>
          <w:sz w:val="24"/>
          <w:szCs w:val="24"/>
        </w:rPr>
      </w:pPr>
    </w:p>
    <w:p w:rsidR="00D0763D" w:rsidRPr="002B490F" w:rsidRDefault="00D0763D" w:rsidP="002B490F">
      <w:pPr>
        <w:spacing w:line="360" w:lineRule="auto"/>
        <w:ind w:firstLine="1440"/>
        <w:rPr>
          <w:sz w:val="24"/>
          <w:szCs w:val="24"/>
        </w:rPr>
      </w:pPr>
      <w:r w:rsidRPr="002B490F">
        <w:rPr>
          <w:sz w:val="24"/>
          <w:szCs w:val="24"/>
        </w:rPr>
        <w:lastRenderedPageBreak/>
        <w:t>On March 6, 2015, the undersigned received an email communication from counsel for Complainant which advised that counsel was instructed by Complainant to take no further action as counsel in this matter.  Subsequently, counsel for Respondent filed a Certificate of Satisfaction of Complaint on March 9, 2015</w:t>
      </w:r>
      <w:r w:rsidR="002B490F">
        <w:rPr>
          <w:sz w:val="24"/>
          <w:szCs w:val="24"/>
        </w:rPr>
        <w:t xml:space="preserve">.  The Certificate of Satisfaction </w:t>
      </w:r>
      <w:r w:rsidRPr="002B490F">
        <w:rPr>
          <w:sz w:val="24"/>
          <w:szCs w:val="24"/>
        </w:rPr>
        <w:t>state</w:t>
      </w:r>
      <w:r w:rsidR="002B490F">
        <w:rPr>
          <w:sz w:val="24"/>
          <w:szCs w:val="24"/>
        </w:rPr>
        <w:t>d</w:t>
      </w:r>
      <w:r w:rsidRPr="002B490F">
        <w:rPr>
          <w:sz w:val="24"/>
          <w:szCs w:val="24"/>
        </w:rPr>
        <w:t xml:space="preserve"> that counsel for Complainant “filed a letter (dated March 6, 2015) with the Commission stating that Complainant no longer wishes for its counsel to pursue </w:t>
      </w:r>
      <w:proofErr w:type="gramStart"/>
      <w:r w:rsidRPr="002B490F">
        <w:rPr>
          <w:sz w:val="24"/>
          <w:szCs w:val="24"/>
        </w:rPr>
        <w:t>its</w:t>
      </w:r>
      <w:proofErr w:type="gramEnd"/>
      <w:r w:rsidRPr="002B490F">
        <w:rPr>
          <w:sz w:val="24"/>
          <w:szCs w:val="24"/>
        </w:rPr>
        <w:t xml:space="preserve"> Complaint” and that said letter “constitutes acknowledgement that the Complainant no longer wishes to pursue the Complaint”.  Counsel for Complainant subsequently advised the undersigned and counsel for Respondent, by email dated March 11, 2015</w:t>
      </w:r>
      <w:r w:rsidR="0004316B">
        <w:rPr>
          <w:sz w:val="24"/>
          <w:szCs w:val="24"/>
        </w:rPr>
        <w:t>,</w:t>
      </w:r>
      <w:r w:rsidRPr="002B490F">
        <w:rPr>
          <w:sz w:val="24"/>
          <w:szCs w:val="24"/>
        </w:rPr>
        <w:t xml:space="preserve"> that “Complainant has not directed me to withdraw the complaint; nor is the Complaint satisfied”.  </w:t>
      </w:r>
    </w:p>
    <w:p w:rsidR="00D0763D" w:rsidRPr="002B490F" w:rsidRDefault="00D0763D" w:rsidP="002B490F">
      <w:pPr>
        <w:spacing w:line="360" w:lineRule="auto"/>
        <w:ind w:firstLine="1440"/>
        <w:rPr>
          <w:sz w:val="24"/>
          <w:szCs w:val="24"/>
        </w:rPr>
      </w:pPr>
    </w:p>
    <w:p w:rsidR="00D0763D" w:rsidRPr="002B490F" w:rsidRDefault="00D0763D" w:rsidP="002B490F">
      <w:pPr>
        <w:spacing w:line="360" w:lineRule="auto"/>
        <w:ind w:firstLine="1440"/>
        <w:rPr>
          <w:sz w:val="24"/>
          <w:szCs w:val="24"/>
        </w:rPr>
      </w:pPr>
      <w:r w:rsidRPr="002B490F">
        <w:rPr>
          <w:sz w:val="24"/>
          <w:szCs w:val="24"/>
        </w:rPr>
        <w:t>The undersigned provided an email to all counsel on March 11, 2015</w:t>
      </w:r>
      <w:r w:rsidR="0004316B">
        <w:rPr>
          <w:sz w:val="24"/>
          <w:szCs w:val="24"/>
        </w:rPr>
        <w:t>,</w:t>
      </w:r>
      <w:r w:rsidRPr="002B490F">
        <w:rPr>
          <w:sz w:val="24"/>
          <w:szCs w:val="24"/>
        </w:rPr>
        <w:t xml:space="preserve"> requesting that counsel determine if the </w:t>
      </w:r>
      <w:r w:rsidR="0004316B">
        <w:rPr>
          <w:sz w:val="24"/>
          <w:szCs w:val="24"/>
        </w:rPr>
        <w:t>C</w:t>
      </w:r>
      <w:r w:rsidRPr="002B490F">
        <w:rPr>
          <w:sz w:val="24"/>
          <w:szCs w:val="24"/>
        </w:rPr>
        <w:t xml:space="preserve">ertificate of </w:t>
      </w:r>
      <w:r w:rsidR="0004316B">
        <w:rPr>
          <w:sz w:val="24"/>
          <w:szCs w:val="24"/>
        </w:rPr>
        <w:t>S</w:t>
      </w:r>
      <w:r w:rsidRPr="002B490F">
        <w:rPr>
          <w:sz w:val="24"/>
          <w:szCs w:val="24"/>
        </w:rPr>
        <w:t>atisfaction was going to be withdrawn, if an objection was being filed or how the parties intend</w:t>
      </w:r>
      <w:r w:rsidR="004B2577">
        <w:rPr>
          <w:sz w:val="24"/>
          <w:szCs w:val="24"/>
        </w:rPr>
        <w:t>ed</w:t>
      </w:r>
      <w:r w:rsidRPr="002B490F">
        <w:rPr>
          <w:sz w:val="24"/>
          <w:szCs w:val="24"/>
        </w:rPr>
        <w:t xml:space="preserve"> to address this matter.  Subsequently, Counsel for Complainant filed a Notice of Withdrawal as Counsel on March 16, 2015</w:t>
      </w:r>
      <w:r w:rsidR="0004316B">
        <w:rPr>
          <w:sz w:val="24"/>
          <w:szCs w:val="24"/>
        </w:rPr>
        <w:t>.  C</w:t>
      </w:r>
      <w:r w:rsidRPr="002B490F">
        <w:rPr>
          <w:sz w:val="24"/>
          <w:szCs w:val="24"/>
        </w:rPr>
        <w:t>ounsel for Respondent did not respond to the email from the undersigned dated March 11, 2015.</w:t>
      </w:r>
    </w:p>
    <w:p w:rsidR="00D0763D" w:rsidRPr="002B490F" w:rsidRDefault="00D0763D" w:rsidP="002B490F">
      <w:pPr>
        <w:spacing w:line="360" w:lineRule="auto"/>
        <w:ind w:firstLine="1440"/>
        <w:rPr>
          <w:sz w:val="24"/>
          <w:szCs w:val="24"/>
        </w:rPr>
      </w:pPr>
    </w:p>
    <w:p w:rsidR="00D0763D" w:rsidRPr="002B490F" w:rsidRDefault="00D0763D" w:rsidP="002B490F">
      <w:pPr>
        <w:spacing w:line="360" w:lineRule="auto"/>
        <w:ind w:firstLine="1440"/>
        <w:rPr>
          <w:sz w:val="24"/>
          <w:szCs w:val="24"/>
        </w:rPr>
      </w:pPr>
      <w:r w:rsidRPr="002B490F">
        <w:rPr>
          <w:sz w:val="24"/>
          <w:szCs w:val="24"/>
        </w:rPr>
        <w:t>The Certificate of Satisfaction fail</w:t>
      </w:r>
      <w:r w:rsidR="00685D4C" w:rsidRPr="002B490F">
        <w:rPr>
          <w:sz w:val="24"/>
          <w:szCs w:val="24"/>
        </w:rPr>
        <w:t>ed</w:t>
      </w:r>
      <w:r w:rsidRPr="002B490F">
        <w:rPr>
          <w:sz w:val="24"/>
          <w:szCs w:val="24"/>
        </w:rPr>
        <w:t xml:space="preserve"> to comply with 52 </w:t>
      </w:r>
      <w:proofErr w:type="spellStart"/>
      <w:r w:rsidRPr="002B490F">
        <w:rPr>
          <w:sz w:val="24"/>
          <w:szCs w:val="24"/>
        </w:rPr>
        <w:t>Pa.Code</w:t>
      </w:r>
      <w:proofErr w:type="spellEnd"/>
      <w:r w:rsidRPr="002B490F">
        <w:rPr>
          <w:sz w:val="24"/>
          <w:szCs w:val="24"/>
        </w:rPr>
        <w:t xml:space="preserve"> § 5.24(b) as there </w:t>
      </w:r>
      <w:r w:rsidR="00685D4C" w:rsidRPr="002B490F">
        <w:rPr>
          <w:sz w:val="24"/>
          <w:szCs w:val="24"/>
        </w:rPr>
        <w:t>was</w:t>
      </w:r>
      <w:r w:rsidRPr="002B490F">
        <w:rPr>
          <w:sz w:val="24"/>
          <w:szCs w:val="24"/>
        </w:rPr>
        <w:t xml:space="preserve"> no indication that Complainant ha</w:t>
      </w:r>
      <w:r w:rsidR="00685D4C" w:rsidRPr="002B490F">
        <w:rPr>
          <w:sz w:val="24"/>
          <w:szCs w:val="24"/>
        </w:rPr>
        <w:t>d</w:t>
      </w:r>
      <w:r w:rsidRPr="002B490F">
        <w:rPr>
          <w:sz w:val="24"/>
          <w:szCs w:val="24"/>
        </w:rPr>
        <w:t xml:space="preserve"> acknowledged satisfaction to the Respondent, nor that Complainant acknowledged to Respondent that Complainant no longer wishe</w:t>
      </w:r>
      <w:r w:rsidR="00685D4C" w:rsidRPr="002B490F">
        <w:rPr>
          <w:sz w:val="24"/>
          <w:szCs w:val="24"/>
        </w:rPr>
        <w:t>d</w:t>
      </w:r>
      <w:r w:rsidRPr="002B490F">
        <w:rPr>
          <w:sz w:val="24"/>
          <w:szCs w:val="24"/>
        </w:rPr>
        <w:t xml:space="preserve"> to pursue the complaint.  To the contrary, through correspondence and emails, former counsel for Complainant indicated that counsel was not directed to withdraw the complaint and Complainant </w:t>
      </w:r>
      <w:r w:rsidR="0004316B">
        <w:rPr>
          <w:sz w:val="24"/>
          <w:szCs w:val="24"/>
        </w:rPr>
        <w:t>was</w:t>
      </w:r>
      <w:r w:rsidRPr="002B490F">
        <w:rPr>
          <w:sz w:val="24"/>
          <w:szCs w:val="24"/>
        </w:rPr>
        <w:t xml:space="preserve"> not satisfied.  </w:t>
      </w:r>
      <w:r w:rsidR="00685D4C" w:rsidRPr="002B490F">
        <w:rPr>
          <w:sz w:val="24"/>
          <w:szCs w:val="24"/>
        </w:rPr>
        <w:t>Accordingly, o</w:t>
      </w:r>
      <w:r w:rsidR="00EC785A" w:rsidRPr="002B490F">
        <w:rPr>
          <w:sz w:val="24"/>
          <w:szCs w:val="24"/>
        </w:rPr>
        <w:t xml:space="preserve">n March 19, 2015, an interim order was entered striking the Certificate of Satisfaction of Complaint filed by Respondent on March 9, 2015.  It was further ordered </w:t>
      </w:r>
      <w:r w:rsidR="00685D4C" w:rsidRPr="002B490F">
        <w:rPr>
          <w:sz w:val="24"/>
          <w:szCs w:val="24"/>
        </w:rPr>
        <w:t>t</w:t>
      </w:r>
      <w:r w:rsidRPr="002B490F">
        <w:rPr>
          <w:sz w:val="24"/>
          <w:szCs w:val="24"/>
        </w:rPr>
        <w:t xml:space="preserve">hat, as Complainant is a Limited Liability Company and is required to be represented by legal counsel, in the event that Complainant </w:t>
      </w:r>
      <w:r w:rsidR="00685D4C" w:rsidRPr="002B490F">
        <w:rPr>
          <w:sz w:val="24"/>
          <w:szCs w:val="24"/>
        </w:rPr>
        <w:t xml:space="preserve">would obtain </w:t>
      </w:r>
      <w:r w:rsidRPr="002B490F">
        <w:rPr>
          <w:sz w:val="24"/>
          <w:szCs w:val="24"/>
        </w:rPr>
        <w:t xml:space="preserve">new legal counsel, counsel for Complainant </w:t>
      </w:r>
      <w:r w:rsidR="00685D4C" w:rsidRPr="002B490F">
        <w:rPr>
          <w:sz w:val="24"/>
          <w:szCs w:val="24"/>
        </w:rPr>
        <w:t xml:space="preserve">was directed to </w:t>
      </w:r>
      <w:r w:rsidRPr="002B490F">
        <w:rPr>
          <w:sz w:val="24"/>
          <w:szCs w:val="24"/>
        </w:rPr>
        <w:t xml:space="preserve">enter his or her appearance with the Commission and timely serve counsel for Respondent with the entry of appearance on or before April 13, 2015.  </w:t>
      </w:r>
    </w:p>
    <w:p w:rsidR="00D0763D" w:rsidRPr="002B490F" w:rsidRDefault="00D0763D" w:rsidP="002B490F">
      <w:pPr>
        <w:pStyle w:val="ListParagraph"/>
        <w:spacing w:line="360" w:lineRule="auto"/>
        <w:ind w:left="1440"/>
        <w:rPr>
          <w:sz w:val="24"/>
          <w:szCs w:val="24"/>
        </w:rPr>
      </w:pPr>
    </w:p>
    <w:p w:rsidR="00D0763D" w:rsidRPr="002B490F" w:rsidRDefault="00EC785A" w:rsidP="002B490F">
      <w:pPr>
        <w:spacing w:line="360" w:lineRule="auto"/>
        <w:ind w:firstLine="720"/>
        <w:rPr>
          <w:sz w:val="24"/>
          <w:szCs w:val="24"/>
        </w:rPr>
      </w:pPr>
      <w:r w:rsidRPr="002B490F">
        <w:rPr>
          <w:sz w:val="24"/>
          <w:szCs w:val="24"/>
        </w:rPr>
        <w:lastRenderedPageBreak/>
        <w:t xml:space="preserve">            It was further ordered t</w:t>
      </w:r>
      <w:r w:rsidR="00D0763D" w:rsidRPr="002B490F">
        <w:rPr>
          <w:sz w:val="24"/>
          <w:szCs w:val="24"/>
        </w:rPr>
        <w:t xml:space="preserve">hat in the event that Complainant </w:t>
      </w:r>
      <w:r w:rsidR="0004316B">
        <w:rPr>
          <w:sz w:val="24"/>
          <w:szCs w:val="24"/>
        </w:rPr>
        <w:t xml:space="preserve">would </w:t>
      </w:r>
      <w:r w:rsidR="00D0763D" w:rsidRPr="002B490F">
        <w:rPr>
          <w:sz w:val="24"/>
          <w:szCs w:val="24"/>
        </w:rPr>
        <w:t xml:space="preserve">obtain new counsel, counsel may file a brief on behalf of Complainant, </w:t>
      </w:r>
      <w:r w:rsidR="004B2577">
        <w:rPr>
          <w:sz w:val="24"/>
          <w:szCs w:val="24"/>
        </w:rPr>
        <w:t>not later than</w:t>
      </w:r>
      <w:r w:rsidR="00D0763D" w:rsidRPr="002B490F">
        <w:rPr>
          <w:sz w:val="24"/>
          <w:szCs w:val="24"/>
        </w:rPr>
        <w:t xml:space="preserve"> 4</w:t>
      </w:r>
      <w:r w:rsidR="006A4B86">
        <w:rPr>
          <w:sz w:val="24"/>
          <w:szCs w:val="24"/>
        </w:rPr>
        <w:t>:00</w:t>
      </w:r>
      <w:r w:rsidR="00D0763D" w:rsidRPr="002B490F">
        <w:rPr>
          <w:sz w:val="24"/>
          <w:szCs w:val="24"/>
        </w:rPr>
        <w:t xml:space="preserve"> p.m. on May</w:t>
      </w:r>
      <w:r w:rsidR="00FD2763">
        <w:rPr>
          <w:sz w:val="24"/>
          <w:szCs w:val="24"/>
        </w:rPr>
        <w:t> </w:t>
      </w:r>
      <w:r w:rsidR="00D0763D" w:rsidRPr="002B490F">
        <w:rPr>
          <w:sz w:val="24"/>
          <w:szCs w:val="24"/>
        </w:rPr>
        <w:t>4, 2015.</w:t>
      </w:r>
    </w:p>
    <w:p w:rsidR="00685D4C" w:rsidRPr="002B490F" w:rsidRDefault="00685D4C" w:rsidP="002B490F">
      <w:pPr>
        <w:spacing w:line="360" w:lineRule="auto"/>
        <w:ind w:firstLine="720"/>
        <w:rPr>
          <w:sz w:val="24"/>
          <w:szCs w:val="24"/>
        </w:rPr>
      </w:pPr>
      <w:r w:rsidRPr="002B490F">
        <w:rPr>
          <w:sz w:val="24"/>
          <w:szCs w:val="24"/>
        </w:rPr>
        <w:tab/>
      </w:r>
    </w:p>
    <w:p w:rsidR="00685D4C" w:rsidRDefault="00685D4C" w:rsidP="002B490F">
      <w:pPr>
        <w:spacing w:line="360" w:lineRule="auto"/>
        <w:ind w:firstLine="720"/>
        <w:rPr>
          <w:sz w:val="24"/>
          <w:szCs w:val="24"/>
        </w:rPr>
      </w:pPr>
      <w:r w:rsidRPr="002B490F">
        <w:rPr>
          <w:sz w:val="24"/>
          <w:szCs w:val="24"/>
        </w:rPr>
        <w:tab/>
        <w:t xml:space="preserve">No appearance </w:t>
      </w:r>
      <w:r w:rsidR="004B2577">
        <w:rPr>
          <w:sz w:val="24"/>
          <w:szCs w:val="24"/>
        </w:rPr>
        <w:t>was</w:t>
      </w:r>
      <w:r w:rsidRPr="002B490F">
        <w:rPr>
          <w:sz w:val="24"/>
          <w:szCs w:val="24"/>
        </w:rPr>
        <w:t xml:space="preserve"> entered on behalf of Complainant</w:t>
      </w:r>
      <w:r w:rsidR="0004316B">
        <w:rPr>
          <w:sz w:val="24"/>
          <w:szCs w:val="24"/>
        </w:rPr>
        <w:t xml:space="preserve"> and no brief was filed on behalf of Complainant</w:t>
      </w:r>
      <w:r w:rsidRPr="002B490F">
        <w:rPr>
          <w:sz w:val="24"/>
          <w:szCs w:val="24"/>
        </w:rPr>
        <w:t xml:space="preserve">.  The record was closed by interim order dated </w:t>
      </w:r>
      <w:r w:rsidR="0001194B" w:rsidRPr="002B490F">
        <w:rPr>
          <w:sz w:val="24"/>
          <w:szCs w:val="24"/>
        </w:rPr>
        <w:t>July 7, 2015.</w:t>
      </w:r>
    </w:p>
    <w:p w:rsidR="00334FA6" w:rsidRPr="002B490F" w:rsidRDefault="00334FA6" w:rsidP="002B490F">
      <w:pPr>
        <w:spacing w:line="360" w:lineRule="auto"/>
        <w:ind w:firstLine="720"/>
        <w:rPr>
          <w:sz w:val="24"/>
          <w:szCs w:val="24"/>
        </w:rPr>
      </w:pPr>
    </w:p>
    <w:p w:rsidR="00CD5A5C" w:rsidRDefault="00A7050E" w:rsidP="00A4611F">
      <w:pPr>
        <w:jc w:val="center"/>
        <w:rPr>
          <w:sz w:val="24"/>
          <w:szCs w:val="24"/>
          <w:u w:val="single"/>
        </w:rPr>
      </w:pPr>
      <w:r w:rsidRPr="00A7050E">
        <w:rPr>
          <w:sz w:val="24"/>
          <w:szCs w:val="24"/>
          <w:u w:val="single"/>
        </w:rPr>
        <w:t>FINDINGS OF FACT</w:t>
      </w:r>
    </w:p>
    <w:p w:rsidR="00FA5704" w:rsidRDefault="00FA5704" w:rsidP="00CD5A5C">
      <w:pPr>
        <w:spacing w:line="360" w:lineRule="auto"/>
        <w:jc w:val="center"/>
        <w:rPr>
          <w:sz w:val="24"/>
          <w:szCs w:val="24"/>
          <w:u w:val="single"/>
        </w:rPr>
      </w:pPr>
    </w:p>
    <w:p w:rsidR="00832C1B" w:rsidRPr="00FD2763" w:rsidRDefault="00D271DE" w:rsidP="00966B88">
      <w:pPr>
        <w:pStyle w:val="ListParagraph"/>
        <w:numPr>
          <w:ilvl w:val="0"/>
          <w:numId w:val="39"/>
        </w:numPr>
        <w:spacing w:line="360" w:lineRule="auto"/>
        <w:ind w:left="0" w:firstLine="1440"/>
        <w:rPr>
          <w:sz w:val="24"/>
          <w:szCs w:val="24"/>
          <w:u w:val="single"/>
        </w:rPr>
      </w:pPr>
      <w:r w:rsidRPr="00CC4458">
        <w:rPr>
          <w:sz w:val="24"/>
          <w:szCs w:val="24"/>
        </w:rPr>
        <w:t xml:space="preserve">Complainant is </w:t>
      </w:r>
      <w:proofErr w:type="spellStart"/>
      <w:r w:rsidR="00832C1B" w:rsidRPr="00CC4458">
        <w:rPr>
          <w:sz w:val="24"/>
          <w:szCs w:val="24"/>
        </w:rPr>
        <w:t>Praamukh</w:t>
      </w:r>
      <w:proofErr w:type="spellEnd"/>
      <w:r w:rsidR="00832C1B" w:rsidRPr="00CC4458">
        <w:rPr>
          <w:sz w:val="24"/>
          <w:szCs w:val="24"/>
        </w:rPr>
        <w:t xml:space="preserve"> Swami </w:t>
      </w:r>
      <w:proofErr w:type="spellStart"/>
      <w:r w:rsidR="00832C1B" w:rsidRPr="00CC4458">
        <w:rPr>
          <w:sz w:val="24"/>
          <w:szCs w:val="24"/>
        </w:rPr>
        <w:t>Maharaj</w:t>
      </w:r>
      <w:proofErr w:type="spellEnd"/>
      <w:r w:rsidR="00832C1B" w:rsidRPr="00CC4458">
        <w:rPr>
          <w:sz w:val="24"/>
          <w:szCs w:val="24"/>
        </w:rPr>
        <w:t>, LLC</w:t>
      </w:r>
      <w:r w:rsidR="0004316B" w:rsidRPr="00CC4458">
        <w:rPr>
          <w:sz w:val="24"/>
          <w:szCs w:val="24"/>
        </w:rPr>
        <w:t>, with a business address of 675 Baltimore Pike, Springfield, PA  19064.</w:t>
      </w:r>
    </w:p>
    <w:p w:rsidR="00FD2763" w:rsidRPr="00CC4458" w:rsidRDefault="00FD2763" w:rsidP="00FD2763">
      <w:pPr>
        <w:pStyle w:val="ListParagraph"/>
        <w:spacing w:line="360" w:lineRule="auto"/>
        <w:ind w:left="1440"/>
        <w:rPr>
          <w:sz w:val="24"/>
          <w:szCs w:val="24"/>
          <w:u w:val="single"/>
        </w:rPr>
      </w:pPr>
    </w:p>
    <w:p w:rsidR="00832C1B" w:rsidRDefault="00B5283A" w:rsidP="00966B88">
      <w:pPr>
        <w:pStyle w:val="ListParagraph"/>
        <w:numPr>
          <w:ilvl w:val="0"/>
          <w:numId w:val="39"/>
        </w:numPr>
        <w:spacing w:line="360" w:lineRule="auto"/>
        <w:ind w:left="0" w:firstLine="1440"/>
        <w:rPr>
          <w:sz w:val="24"/>
          <w:szCs w:val="24"/>
        </w:rPr>
      </w:pPr>
      <w:r w:rsidRPr="00CC4458">
        <w:rPr>
          <w:sz w:val="24"/>
          <w:szCs w:val="24"/>
        </w:rPr>
        <w:t>Respondent is Liberty Power Holdings, LLC</w:t>
      </w:r>
      <w:r w:rsidR="004B2577">
        <w:rPr>
          <w:sz w:val="24"/>
          <w:szCs w:val="24"/>
        </w:rPr>
        <w:t>, an electric generation provider providing service in the Commonwealth of Pennsylvania.</w:t>
      </w:r>
    </w:p>
    <w:p w:rsidR="00FD2763" w:rsidRPr="00CC4458" w:rsidRDefault="00FD2763" w:rsidP="00FD2763">
      <w:pPr>
        <w:pStyle w:val="ListParagraph"/>
        <w:spacing w:line="360" w:lineRule="auto"/>
        <w:ind w:left="1440"/>
        <w:rPr>
          <w:sz w:val="24"/>
          <w:szCs w:val="24"/>
        </w:rPr>
      </w:pPr>
    </w:p>
    <w:p w:rsidR="00832C1B" w:rsidRDefault="00CD5A5C" w:rsidP="00966B88">
      <w:pPr>
        <w:pStyle w:val="ListParagraph"/>
        <w:numPr>
          <w:ilvl w:val="0"/>
          <w:numId w:val="39"/>
        </w:numPr>
        <w:spacing w:line="360" w:lineRule="auto"/>
        <w:ind w:left="0" w:firstLine="1440"/>
        <w:rPr>
          <w:sz w:val="24"/>
          <w:szCs w:val="24"/>
        </w:rPr>
      </w:pPr>
      <w:r w:rsidRPr="00CC4458">
        <w:rPr>
          <w:sz w:val="24"/>
          <w:szCs w:val="24"/>
        </w:rPr>
        <w:t xml:space="preserve"> </w:t>
      </w:r>
      <w:proofErr w:type="spellStart"/>
      <w:r w:rsidR="00832C1B" w:rsidRPr="00CC4458">
        <w:rPr>
          <w:sz w:val="24"/>
          <w:szCs w:val="24"/>
        </w:rPr>
        <w:t>Jatin</w:t>
      </w:r>
      <w:proofErr w:type="spellEnd"/>
      <w:r w:rsidR="00832C1B" w:rsidRPr="00CC4458">
        <w:rPr>
          <w:sz w:val="24"/>
          <w:szCs w:val="24"/>
        </w:rPr>
        <w:t xml:space="preserve"> </w:t>
      </w:r>
      <w:proofErr w:type="spellStart"/>
      <w:r w:rsidR="00832C1B" w:rsidRPr="00CC4458">
        <w:rPr>
          <w:sz w:val="24"/>
          <w:szCs w:val="24"/>
        </w:rPr>
        <w:t>Phakkar</w:t>
      </w:r>
      <w:proofErr w:type="spellEnd"/>
      <w:r w:rsidR="00832C1B" w:rsidRPr="00CC4458">
        <w:rPr>
          <w:sz w:val="24"/>
          <w:szCs w:val="24"/>
        </w:rPr>
        <w:t xml:space="preserve"> is one of the principles and managers of Complainant, a limited liability company</w:t>
      </w:r>
      <w:r w:rsidR="004B2577">
        <w:rPr>
          <w:sz w:val="24"/>
          <w:szCs w:val="24"/>
        </w:rPr>
        <w:t>,</w:t>
      </w:r>
      <w:r w:rsidR="00832C1B" w:rsidRPr="00CC4458">
        <w:rPr>
          <w:sz w:val="24"/>
          <w:szCs w:val="24"/>
        </w:rPr>
        <w:t xml:space="preserve"> which operates and owns a hotel in Springfield, Pennsylvania. </w:t>
      </w:r>
      <w:r w:rsidR="005529CC">
        <w:rPr>
          <w:sz w:val="24"/>
          <w:szCs w:val="24"/>
        </w:rPr>
        <w:t xml:space="preserve"> </w:t>
      </w:r>
      <w:r w:rsidR="00FF286E">
        <w:rPr>
          <w:sz w:val="24"/>
          <w:szCs w:val="24"/>
        </w:rPr>
        <w:t>(</w:t>
      </w:r>
      <w:r w:rsidR="00832C1B" w:rsidRPr="00CC4458">
        <w:rPr>
          <w:sz w:val="24"/>
          <w:szCs w:val="24"/>
        </w:rPr>
        <w:t>Tr.</w:t>
      </w:r>
      <w:r w:rsidR="005529CC">
        <w:rPr>
          <w:sz w:val="24"/>
          <w:szCs w:val="24"/>
        </w:rPr>
        <w:t> </w:t>
      </w:r>
      <w:r w:rsidR="00832C1B" w:rsidRPr="00CC4458">
        <w:rPr>
          <w:sz w:val="24"/>
          <w:szCs w:val="24"/>
        </w:rPr>
        <w:t>17</w:t>
      </w:r>
      <w:r w:rsidR="005529CC">
        <w:rPr>
          <w:sz w:val="24"/>
          <w:szCs w:val="24"/>
        </w:rPr>
        <w:noBreakHyphen/>
      </w:r>
      <w:r w:rsidR="00832C1B" w:rsidRPr="00CC4458">
        <w:rPr>
          <w:sz w:val="24"/>
          <w:szCs w:val="24"/>
        </w:rPr>
        <w:t xml:space="preserve">18) </w:t>
      </w:r>
    </w:p>
    <w:p w:rsidR="00FD2763" w:rsidRPr="00CC4458" w:rsidRDefault="00FD2763" w:rsidP="00FD2763">
      <w:pPr>
        <w:pStyle w:val="ListParagraph"/>
        <w:spacing w:line="360" w:lineRule="auto"/>
        <w:ind w:left="1440"/>
        <w:rPr>
          <w:sz w:val="24"/>
          <w:szCs w:val="24"/>
        </w:rPr>
      </w:pPr>
    </w:p>
    <w:p w:rsidR="00031806" w:rsidRDefault="00031806" w:rsidP="00966B88">
      <w:pPr>
        <w:pStyle w:val="ListParagraph"/>
        <w:numPr>
          <w:ilvl w:val="0"/>
          <w:numId w:val="37"/>
        </w:numPr>
        <w:spacing w:line="360" w:lineRule="auto"/>
        <w:ind w:left="0" w:firstLine="1440"/>
        <w:rPr>
          <w:sz w:val="24"/>
          <w:szCs w:val="24"/>
        </w:rPr>
      </w:pPr>
      <w:r w:rsidRPr="00CC4458">
        <w:rPr>
          <w:sz w:val="24"/>
          <w:szCs w:val="24"/>
        </w:rPr>
        <w:t>Complainant</w:t>
      </w:r>
      <w:r w:rsidR="00832C1B" w:rsidRPr="00CC4458">
        <w:rPr>
          <w:sz w:val="24"/>
          <w:szCs w:val="24"/>
        </w:rPr>
        <w:t xml:space="preserve"> </w:t>
      </w:r>
      <w:r w:rsidR="00CD5A5C" w:rsidRPr="00CC4458">
        <w:rPr>
          <w:sz w:val="24"/>
          <w:szCs w:val="24"/>
        </w:rPr>
        <w:t xml:space="preserve">maintained </w:t>
      </w:r>
      <w:r w:rsidR="004B5D68" w:rsidRPr="00CC4458">
        <w:rPr>
          <w:sz w:val="24"/>
          <w:szCs w:val="24"/>
        </w:rPr>
        <w:t>three</w:t>
      </w:r>
      <w:r w:rsidR="000C0746" w:rsidRPr="00CC4458">
        <w:rPr>
          <w:sz w:val="24"/>
          <w:szCs w:val="24"/>
        </w:rPr>
        <w:t xml:space="preserve"> commercial</w:t>
      </w:r>
      <w:r w:rsidR="00CD5A5C" w:rsidRPr="00CC4458">
        <w:rPr>
          <w:sz w:val="24"/>
          <w:szCs w:val="24"/>
        </w:rPr>
        <w:t xml:space="preserve"> </w:t>
      </w:r>
      <w:r w:rsidRPr="00CC4458">
        <w:rPr>
          <w:sz w:val="24"/>
          <w:szCs w:val="24"/>
        </w:rPr>
        <w:t>electric service account</w:t>
      </w:r>
      <w:r w:rsidR="004B5D68" w:rsidRPr="00CC4458">
        <w:rPr>
          <w:sz w:val="24"/>
          <w:szCs w:val="24"/>
        </w:rPr>
        <w:t>s</w:t>
      </w:r>
      <w:r w:rsidR="00CD5A5C" w:rsidRPr="00CC4458">
        <w:rPr>
          <w:sz w:val="24"/>
          <w:szCs w:val="24"/>
        </w:rPr>
        <w:t xml:space="preserve">, </w:t>
      </w:r>
      <w:r w:rsidR="004B5D68" w:rsidRPr="00CC4458">
        <w:rPr>
          <w:sz w:val="24"/>
          <w:szCs w:val="24"/>
        </w:rPr>
        <w:t>two of</w:t>
      </w:r>
      <w:r w:rsidR="00CD5A5C" w:rsidRPr="00CC4458">
        <w:rPr>
          <w:sz w:val="24"/>
          <w:szCs w:val="24"/>
        </w:rPr>
        <w:t xml:space="preserve"> which </w:t>
      </w:r>
      <w:r w:rsidR="004B5D68" w:rsidRPr="00CC4458">
        <w:rPr>
          <w:sz w:val="24"/>
          <w:szCs w:val="24"/>
        </w:rPr>
        <w:t>are</w:t>
      </w:r>
      <w:r w:rsidR="00CD5A5C" w:rsidRPr="00CC4458">
        <w:rPr>
          <w:sz w:val="24"/>
          <w:szCs w:val="24"/>
        </w:rPr>
        <w:t xml:space="preserve"> t</w:t>
      </w:r>
      <w:r w:rsidRPr="00CC4458">
        <w:rPr>
          <w:sz w:val="24"/>
          <w:szCs w:val="24"/>
        </w:rPr>
        <w:t>he subject of th</w:t>
      </w:r>
      <w:r w:rsidR="00CD5A5C" w:rsidRPr="00CC4458">
        <w:rPr>
          <w:sz w:val="24"/>
          <w:szCs w:val="24"/>
        </w:rPr>
        <w:t>e c</w:t>
      </w:r>
      <w:r w:rsidRPr="00CC4458">
        <w:rPr>
          <w:sz w:val="24"/>
          <w:szCs w:val="24"/>
        </w:rPr>
        <w:t xml:space="preserve">omplaint.  </w:t>
      </w:r>
      <w:r w:rsidR="00CD5A5C" w:rsidRPr="00CC4458">
        <w:rPr>
          <w:sz w:val="24"/>
          <w:szCs w:val="24"/>
        </w:rPr>
        <w:t>(</w:t>
      </w:r>
      <w:r w:rsidRPr="00CC4458">
        <w:rPr>
          <w:sz w:val="24"/>
          <w:szCs w:val="24"/>
        </w:rPr>
        <w:t xml:space="preserve">Tr. </w:t>
      </w:r>
      <w:r w:rsidR="00CD5A5C" w:rsidRPr="00CC4458">
        <w:rPr>
          <w:sz w:val="24"/>
          <w:szCs w:val="24"/>
        </w:rPr>
        <w:t>34</w:t>
      </w:r>
      <w:r w:rsidR="004B5D68" w:rsidRPr="00CC4458">
        <w:rPr>
          <w:sz w:val="24"/>
          <w:szCs w:val="24"/>
        </w:rPr>
        <w:t>, 57</w:t>
      </w:r>
      <w:r w:rsidR="00CD5A5C" w:rsidRPr="00CC4458">
        <w:rPr>
          <w:sz w:val="24"/>
          <w:szCs w:val="24"/>
        </w:rPr>
        <w:t>; Complainant Exhibit 3</w:t>
      </w:r>
      <w:r w:rsidR="000C0746" w:rsidRPr="00CC4458">
        <w:rPr>
          <w:sz w:val="24"/>
          <w:szCs w:val="24"/>
        </w:rPr>
        <w:t>-4</w:t>
      </w:r>
      <w:r w:rsidR="00CD5A5C" w:rsidRPr="00CC4458">
        <w:rPr>
          <w:sz w:val="24"/>
          <w:szCs w:val="24"/>
        </w:rPr>
        <w:t>)</w:t>
      </w:r>
    </w:p>
    <w:p w:rsidR="00FD2763" w:rsidRPr="00CC4458" w:rsidRDefault="00FD2763" w:rsidP="00FD2763">
      <w:pPr>
        <w:pStyle w:val="ListParagraph"/>
        <w:spacing w:line="360" w:lineRule="auto"/>
        <w:ind w:left="1440"/>
        <w:rPr>
          <w:sz w:val="24"/>
          <w:szCs w:val="24"/>
        </w:rPr>
      </w:pPr>
    </w:p>
    <w:p w:rsidR="00E87DF4" w:rsidRDefault="008F5550" w:rsidP="00966B88">
      <w:pPr>
        <w:pStyle w:val="ListParagraph"/>
        <w:numPr>
          <w:ilvl w:val="0"/>
          <w:numId w:val="37"/>
        </w:numPr>
        <w:spacing w:line="360" w:lineRule="auto"/>
        <w:ind w:left="0" w:firstLine="1440"/>
        <w:rPr>
          <w:sz w:val="24"/>
          <w:szCs w:val="24"/>
        </w:rPr>
      </w:pPr>
      <w:r w:rsidRPr="00CC4458">
        <w:rPr>
          <w:sz w:val="24"/>
          <w:szCs w:val="24"/>
        </w:rPr>
        <w:t xml:space="preserve">Complainant entered into an </w:t>
      </w:r>
      <w:r w:rsidR="00E87DF4" w:rsidRPr="00CC4458">
        <w:rPr>
          <w:sz w:val="24"/>
          <w:szCs w:val="24"/>
        </w:rPr>
        <w:t>e</w:t>
      </w:r>
      <w:r w:rsidRPr="00CC4458">
        <w:rPr>
          <w:sz w:val="24"/>
          <w:szCs w:val="24"/>
        </w:rPr>
        <w:t xml:space="preserve">nergy </w:t>
      </w:r>
      <w:r w:rsidR="00E87DF4" w:rsidRPr="00CC4458">
        <w:rPr>
          <w:sz w:val="24"/>
          <w:szCs w:val="24"/>
        </w:rPr>
        <w:t>s</w:t>
      </w:r>
      <w:r w:rsidRPr="00CC4458">
        <w:rPr>
          <w:sz w:val="24"/>
          <w:szCs w:val="24"/>
        </w:rPr>
        <w:t xml:space="preserve">ervices </w:t>
      </w:r>
      <w:r w:rsidR="00E87DF4" w:rsidRPr="00CC4458">
        <w:rPr>
          <w:sz w:val="24"/>
          <w:szCs w:val="24"/>
        </w:rPr>
        <w:t>e</w:t>
      </w:r>
      <w:r w:rsidRPr="00CC4458">
        <w:rPr>
          <w:sz w:val="24"/>
          <w:szCs w:val="24"/>
        </w:rPr>
        <w:t xml:space="preserve">nrollment </w:t>
      </w:r>
      <w:r w:rsidR="00E87DF4" w:rsidRPr="00CC4458">
        <w:rPr>
          <w:sz w:val="24"/>
          <w:szCs w:val="24"/>
        </w:rPr>
        <w:t>a</w:t>
      </w:r>
      <w:r w:rsidRPr="00CC4458">
        <w:rPr>
          <w:sz w:val="24"/>
          <w:szCs w:val="24"/>
        </w:rPr>
        <w:t>greement with Respondent for electric services</w:t>
      </w:r>
      <w:r w:rsidR="00E87DF4" w:rsidRPr="00CC4458">
        <w:rPr>
          <w:sz w:val="24"/>
          <w:szCs w:val="24"/>
        </w:rPr>
        <w:t>, which provide</w:t>
      </w:r>
      <w:r w:rsidR="0004316B" w:rsidRPr="00CC4458">
        <w:rPr>
          <w:sz w:val="24"/>
          <w:szCs w:val="24"/>
        </w:rPr>
        <w:t>d</w:t>
      </w:r>
      <w:r w:rsidR="00E87DF4" w:rsidRPr="00CC4458">
        <w:rPr>
          <w:sz w:val="24"/>
          <w:szCs w:val="24"/>
        </w:rPr>
        <w:t xml:space="preserve"> a fixed rate of .0950 per kilowatt hour</w:t>
      </w:r>
      <w:r w:rsidR="00AA3BA4" w:rsidRPr="00CC4458">
        <w:rPr>
          <w:sz w:val="24"/>
          <w:szCs w:val="24"/>
        </w:rPr>
        <w:t xml:space="preserve"> (contract rate)</w:t>
      </w:r>
      <w:r w:rsidR="00E87DF4" w:rsidRPr="00CC4458">
        <w:rPr>
          <w:sz w:val="24"/>
          <w:szCs w:val="24"/>
        </w:rPr>
        <w:t xml:space="preserve"> to be charged to Complainant.  (Tr. 19-20; Complainant Exhibit 1)</w:t>
      </w:r>
    </w:p>
    <w:p w:rsidR="00FD2763" w:rsidRPr="00CC4458" w:rsidRDefault="00FD2763" w:rsidP="00FD2763">
      <w:pPr>
        <w:pStyle w:val="ListParagraph"/>
        <w:spacing w:line="360" w:lineRule="auto"/>
        <w:ind w:left="1440"/>
        <w:rPr>
          <w:sz w:val="24"/>
          <w:szCs w:val="24"/>
        </w:rPr>
      </w:pPr>
    </w:p>
    <w:p w:rsidR="00E87DF4" w:rsidRDefault="00E87DF4" w:rsidP="00966B88">
      <w:pPr>
        <w:pStyle w:val="ListParagraph"/>
        <w:numPr>
          <w:ilvl w:val="0"/>
          <w:numId w:val="37"/>
        </w:numPr>
        <w:spacing w:line="360" w:lineRule="auto"/>
        <w:ind w:left="0" w:firstLine="1440"/>
        <w:rPr>
          <w:sz w:val="24"/>
          <w:szCs w:val="24"/>
        </w:rPr>
      </w:pPr>
      <w:r w:rsidRPr="00CC4458">
        <w:rPr>
          <w:sz w:val="24"/>
          <w:szCs w:val="24"/>
        </w:rPr>
        <w:t>The agreement between Complainant and Respondent was signed on April</w:t>
      </w:r>
      <w:r w:rsidR="00FD2763">
        <w:rPr>
          <w:sz w:val="24"/>
          <w:szCs w:val="24"/>
        </w:rPr>
        <w:t> </w:t>
      </w:r>
      <w:r w:rsidRPr="00CC4458">
        <w:rPr>
          <w:sz w:val="24"/>
          <w:szCs w:val="24"/>
        </w:rPr>
        <w:t xml:space="preserve">27, 2011, </w:t>
      </w:r>
      <w:r w:rsidR="0004316B" w:rsidRPr="00CC4458">
        <w:rPr>
          <w:sz w:val="24"/>
          <w:szCs w:val="24"/>
        </w:rPr>
        <w:t xml:space="preserve">for </w:t>
      </w:r>
      <w:r w:rsidRPr="00CC4458">
        <w:rPr>
          <w:sz w:val="24"/>
          <w:szCs w:val="24"/>
        </w:rPr>
        <w:t>a term of 30 months, to expire in December of 2013.</w:t>
      </w:r>
      <w:r w:rsidR="005529CC">
        <w:rPr>
          <w:sz w:val="24"/>
          <w:szCs w:val="24"/>
        </w:rPr>
        <w:t xml:space="preserve"> </w:t>
      </w:r>
      <w:r w:rsidRPr="00CC4458">
        <w:rPr>
          <w:sz w:val="24"/>
          <w:szCs w:val="24"/>
        </w:rPr>
        <w:t xml:space="preserve"> (Tr. 38-40)</w:t>
      </w:r>
    </w:p>
    <w:p w:rsidR="005529CC" w:rsidRPr="00CC4458" w:rsidRDefault="005529CC" w:rsidP="005529CC">
      <w:pPr>
        <w:pStyle w:val="ListParagraph"/>
        <w:spacing w:line="360" w:lineRule="auto"/>
        <w:ind w:left="1440"/>
        <w:rPr>
          <w:sz w:val="24"/>
          <w:szCs w:val="24"/>
        </w:rPr>
      </w:pPr>
    </w:p>
    <w:p w:rsidR="00E87DF4" w:rsidRDefault="00E87DF4" w:rsidP="00966B88">
      <w:pPr>
        <w:pStyle w:val="ListParagraph"/>
        <w:numPr>
          <w:ilvl w:val="0"/>
          <w:numId w:val="37"/>
        </w:numPr>
        <w:spacing w:line="360" w:lineRule="auto"/>
        <w:ind w:left="0" w:firstLine="1440"/>
        <w:rPr>
          <w:sz w:val="24"/>
          <w:szCs w:val="24"/>
        </w:rPr>
      </w:pPr>
      <w:r w:rsidRPr="00CC4458">
        <w:rPr>
          <w:sz w:val="24"/>
          <w:szCs w:val="24"/>
        </w:rPr>
        <w:lastRenderedPageBreak/>
        <w:t>In January and February of 2014, Complainant received electric</w:t>
      </w:r>
      <w:r w:rsidR="00D3143B" w:rsidRPr="00CC4458">
        <w:rPr>
          <w:sz w:val="24"/>
          <w:szCs w:val="24"/>
        </w:rPr>
        <w:t xml:space="preserve"> service </w:t>
      </w:r>
      <w:r w:rsidRPr="00CC4458">
        <w:rPr>
          <w:sz w:val="24"/>
          <w:szCs w:val="24"/>
        </w:rPr>
        <w:t xml:space="preserve">from </w:t>
      </w:r>
      <w:r w:rsidR="00D3143B" w:rsidRPr="00CC4458">
        <w:rPr>
          <w:sz w:val="24"/>
          <w:szCs w:val="24"/>
        </w:rPr>
        <w:t>R</w:t>
      </w:r>
      <w:r w:rsidRPr="00CC4458">
        <w:rPr>
          <w:sz w:val="24"/>
          <w:szCs w:val="24"/>
        </w:rPr>
        <w:t>espondent at a rate</w:t>
      </w:r>
      <w:r w:rsidR="00D3143B" w:rsidRPr="00CC4458">
        <w:rPr>
          <w:sz w:val="24"/>
          <w:szCs w:val="24"/>
        </w:rPr>
        <w:t xml:space="preserve"> of .2122</w:t>
      </w:r>
      <w:r w:rsidR="00AA3BA4" w:rsidRPr="00CC4458">
        <w:rPr>
          <w:sz w:val="24"/>
          <w:szCs w:val="24"/>
        </w:rPr>
        <w:t xml:space="preserve"> per kilowatt hour</w:t>
      </w:r>
      <w:r w:rsidR="00D3143B" w:rsidRPr="00CC4458">
        <w:rPr>
          <w:sz w:val="24"/>
          <w:szCs w:val="24"/>
        </w:rPr>
        <w:t xml:space="preserve"> in January and .2693 </w:t>
      </w:r>
      <w:r w:rsidR="00AA3BA4" w:rsidRPr="00CC4458">
        <w:rPr>
          <w:sz w:val="24"/>
          <w:szCs w:val="24"/>
        </w:rPr>
        <w:t xml:space="preserve">per kilowatt hour </w:t>
      </w:r>
      <w:r w:rsidR="00D3143B" w:rsidRPr="00CC4458">
        <w:rPr>
          <w:sz w:val="24"/>
          <w:szCs w:val="24"/>
        </w:rPr>
        <w:t xml:space="preserve">in February of 2014. </w:t>
      </w:r>
      <w:r w:rsidRPr="00CC4458">
        <w:rPr>
          <w:sz w:val="24"/>
          <w:szCs w:val="24"/>
        </w:rPr>
        <w:t xml:space="preserve"> (Tr. p</w:t>
      </w:r>
      <w:r w:rsidR="005529CC">
        <w:rPr>
          <w:sz w:val="24"/>
          <w:szCs w:val="24"/>
        </w:rPr>
        <w:t>p</w:t>
      </w:r>
      <w:r w:rsidRPr="00CC4458">
        <w:rPr>
          <w:sz w:val="24"/>
          <w:szCs w:val="24"/>
        </w:rPr>
        <w:t>. 2</w:t>
      </w:r>
      <w:r w:rsidR="00D3143B" w:rsidRPr="00CC4458">
        <w:rPr>
          <w:sz w:val="24"/>
          <w:szCs w:val="24"/>
        </w:rPr>
        <w:t>7, 32-33</w:t>
      </w:r>
      <w:r w:rsidRPr="00CC4458">
        <w:rPr>
          <w:sz w:val="24"/>
          <w:szCs w:val="24"/>
        </w:rPr>
        <w:t>)</w:t>
      </w:r>
    </w:p>
    <w:p w:rsidR="00FD2763" w:rsidRPr="00CC4458" w:rsidRDefault="00FD2763" w:rsidP="00FD2763">
      <w:pPr>
        <w:pStyle w:val="ListParagraph"/>
        <w:spacing w:line="360" w:lineRule="auto"/>
        <w:ind w:left="1440"/>
        <w:rPr>
          <w:sz w:val="24"/>
          <w:szCs w:val="24"/>
        </w:rPr>
      </w:pPr>
    </w:p>
    <w:p w:rsidR="00D3143B" w:rsidRDefault="00D3143B" w:rsidP="00966B88">
      <w:pPr>
        <w:pStyle w:val="ListParagraph"/>
        <w:numPr>
          <w:ilvl w:val="0"/>
          <w:numId w:val="37"/>
        </w:numPr>
        <w:spacing w:line="360" w:lineRule="auto"/>
        <w:ind w:left="0" w:firstLine="1440"/>
        <w:rPr>
          <w:sz w:val="24"/>
          <w:szCs w:val="24"/>
        </w:rPr>
      </w:pPr>
      <w:r w:rsidRPr="00CC4458">
        <w:rPr>
          <w:sz w:val="24"/>
          <w:szCs w:val="24"/>
        </w:rPr>
        <w:t xml:space="preserve">From December 12, 2013 through January 15, 2014, Complainant used </w:t>
      </w:r>
      <w:r w:rsidR="00FA5704" w:rsidRPr="00CC4458">
        <w:rPr>
          <w:sz w:val="24"/>
          <w:szCs w:val="24"/>
        </w:rPr>
        <w:t>50.60</w:t>
      </w:r>
      <w:r w:rsidRPr="00CC4458">
        <w:rPr>
          <w:sz w:val="24"/>
          <w:szCs w:val="24"/>
        </w:rPr>
        <w:t xml:space="preserve"> kilowatt hours</w:t>
      </w:r>
      <w:r w:rsidR="00AA3BA4" w:rsidRPr="00CC4458">
        <w:rPr>
          <w:sz w:val="24"/>
          <w:szCs w:val="24"/>
        </w:rPr>
        <w:t xml:space="preserve"> of electricity</w:t>
      </w:r>
      <w:r w:rsidRPr="00CC4458">
        <w:rPr>
          <w:sz w:val="24"/>
          <w:szCs w:val="24"/>
        </w:rPr>
        <w:t xml:space="preserve">. </w:t>
      </w:r>
      <w:r w:rsidR="005529CC">
        <w:rPr>
          <w:sz w:val="24"/>
          <w:szCs w:val="24"/>
        </w:rPr>
        <w:t xml:space="preserve"> </w:t>
      </w:r>
      <w:r w:rsidRPr="00CC4458">
        <w:rPr>
          <w:sz w:val="24"/>
          <w:szCs w:val="24"/>
        </w:rPr>
        <w:t>(Tr. 42</w:t>
      </w:r>
      <w:r w:rsidR="00FA5704" w:rsidRPr="00CC4458">
        <w:rPr>
          <w:sz w:val="24"/>
          <w:szCs w:val="24"/>
        </w:rPr>
        <w:t>-43</w:t>
      </w:r>
      <w:r w:rsidRPr="00CC4458">
        <w:rPr>
          <w:sz w:val="24"/>
          <w:szCs w:val="24"/>
        </w:rPr>
        <w:t>)</w:t>
      </w:r>
    </w:p>
    <w:p w:rsidR="00FD2763" w:rsidRPr="00CC4458" w:rsidRDefault="00FD2763" w:rsidP="00FD2763">
      <w:pPr>
        <w:pStyle w:val="ListParagraph"/>
        <w:spacing w:line="360" w:lineRule="auto"/>
        <w:ind w:left="1440"/>
        <w:rPr>
          <w:sz w:val="24"/>
          <w:szCs w:val="24"/>
        </w:rPr>
      </w:pPr>
    </w:p>
    <w:p w:rsidR="00D3143B" w:rsidRDefault="00D3143B" w:rsidP="00966B88">
      <w:pPr>
        <w:pStyle w:val="ListParagraph"/>
        <w:numPr>
          <w:ilvl w:val="0"/>
          <w:numId w:val="37"/>
        </w:numPr>
        <w:spacing w:line="360" w:lineRule="auto"/>
        <w:ind w:left="0" w:firstLine="1440"/>
        <w:rPr>
          <w:sz w:val="24"/>
          <w:szCs w:val="24"/>
        </w:rPr>
      </w:pPr>
      <w:r w:rsidRPr="00CC4458">
        <w:rPr>
          <w:sz w:val="24"/>
          <w:szCs w:val="24"/>
        </w:rPr>
        <w:t xml:space="preserve">From January 15, 2014 to February 17, 2014, </w:t>
      </w:r>
      <w:r w:rsidR="00AA3BA4" w:rsidRPr="00CC4458">
        <w:rPr>
          <w:sz w:val="24"/>
          <w:szCs w:val="24"/>
        </w:rPr>
        <w:t xml:space="preserve">Complainant used </w:t>
      </w:r>
      <w:r w:rsidRPr="00CC4458">
        <w:rPr>
          <w:sz w:val="24"/>
          <w:szCs w:val="24"/>
        </w:rPr>
        <w:t>37.8 kilowatt</w:t>
      </w:r>
      <w:r w:rsidR="00FA5704" w:rsidRPr="00CC4458">
        <w:rPr>
          <w:sz w:val="24"/>
          <w:szCs w:val="24"/>
        </w:rPr>
        <w:t xml:space="preserve"> hours</w:t>
      </w:r>
      <w:r w:rsidR="00AA3BA4" w:rsidRPr="00CC4458">
        <w:rPr>
          <w:sz w:val="24"/>
          <w:szCs w:val="24"/>
        </w:rPr>
        <w:t xml:space="preserve"> of electricity</w:t>
      </w:r>
      <w:r w:rsidR="00FA5704" w:rsidRPr="00CC4458">
        <w:rPr>
          <w:sz w:val="24"/>
          <w:szCs w:val="24"/>
        </w:rPr>
        <w:t xml:space="preserve">.  </w:t>
      </w:r>
      <w:r w:rsidRPr="00CC4458">
        <w:rPr>
          <w:sz w:val="24"/>
          <w:szCs w:val="24"/>
        </w:rPr>
        <w:t>(Tr. 43</w:t>
      </w:r>
      <w:r w:rsidR="005529CC">
        <w:rPr>
          <w:sz w:val="24"/>
          <w:szCs w:val="24"/>
        </w:rPr>
        <w:t>-</w:t>
      </w:r>
      <w:r w:rsidRPr="00CC4458">
        <w:rPr>
          <w:sz w:val="24"/>
          <w:szCs w:val="24"/>
        </w:rPr>
        <w:t>44)</w:t>
      </w:r>
    </w:p>
    <w:p w:rsidR="006A4B86" w:rsidRPr="00CC4458" w:rsidRDefault="006A4B86" w:rsidP="006A4B86">
      <w:pPr>
        <w:pStyle w:val="ListParagraph"/>
        <w:spacing w:line="360" w:lineRule="auto"/>
        <w:ind w:left="1440"/>
        <w:rPr>
          <w:sz w:val="24"/>
          <w:szCs w:val="24"/>
        </w:rPr>
      </w:pPr>
    </w:p>
    <w:p w:rsidR="00717B61" w:rsidRDefault="00717B61" w:rsidP="00966B88">
      <w:pPr>
        <w:pStyle w:val="ListParagraph"/>
        <w:numPr>
          <w:ilvl w:val="0"/>
          <w:numId w:val="37"/>
        </w:numPr>
        <w:spacing w:line="360" w:lineRule="auto"/>
        <w:ind w:left="0" w:firstLine="1440"/>
        <w:rPr>
          <w:sz w:val="24"/>
          <w:szCs w:val="24"/>
        </w:rPr>
      </w:pPr>
      <w:r w:rsidRPr="00CC4458">
        <w:rPr>
          <w:sz w:val="24"/>
          <w:szCs w:val="24"/>
        </w:rPr>
        <w:t>The agreement between Complainant and Respondent provide</w:t>
      </w:r>
      <w:r w:rsidR="00AA3BA4" w:rsidRPr="00CC4458">
        <w:rPr>
          <w:sz w:val="24"/>
          <w:szCs w:val="24"/>
        </w:rPr>
        <w:t>d</w:t>
      </w:r>
      <w:r w:rsidRPr="00CC4458">
        <w:rPr>
          <w:sz w:val="24"/>
          <w:szCs w:val="24"/>
        </w:rPr>
        <w:t xml:space="preserve"> that Liberty Power w</w:t>
      </w:r>
      <w:r w:rsidR="00AA3BA4" w:rsidRPr="00CC4458">
        <w:rPr>
          <w:sz w:val="24"/>
          <w:szCs w:val="24"/>
        </w:rPr>
        <w:t>ould</w:t>
      </w:r>
      <w:r w:rsidRPr="00CC4458">
        <w:rPr>
          <w:sz w:val="24"/>
          <w:szCs w:val="24"/>
        </w:rPr>
        <w:t xml:space="preserve"> provide </w:t>
      </w:r>
      <w:r w:rsidR="00AA3BA4" w:rsidRPr="00CC4458">
        <w:rPr>
          <w:sz w:val="24"/>
          <w:szCs w:val="24"/>
        </w:rPr>
        <w:t>Complainant</w:t>
      </w:r>
      <w:r w:rsidRPr="00CC4458">
        <w:rPr>
          <w:sz w:val="24"/>
          <w:szCs w:val="24"/>
        </w:rPr>
        <w:t xml:space="preserve"> with two reminder notices of their upcoming term expiration. </w:t>
      </w:r>
      <w:r w:rsidR="00FF286E">
        <w:rPr>
          <w:sz w:val="24"/>
          <w:szCs w:val="24"/>
        </w:rPr>
        <w:t xml:space="preserve"> </w:t>
      </w:r>
      <w:r w:rsidRPr="00CC4458">
        <w:rPr>
          <w:sz w:val="24"/>
          <w:szCs w:val="24"/>
        </w:rPr>
        <w:t>The first one w</w:t>
      </w:r>
      <w:r w:rsidR="004B2577">
        <w:rPr>
          <w:sz w:val="24"/>
          <w:szCs w:val="24"/>
        </w:rPr>
        <w:t>ould</w:t>
      </w:r>
      <w:r w:rsidRPr="00CC4458">
        <w:rPr>
          <w:sz w:val="24"/>
          <w:szCs w:val="24"/>
        </w:rPr>
        <w:t xml:space="preserve"> be received between 52 and 90 days in advance of expiration (initial notice), and a second notice, (option notice) at least 45 days in advance of the contract’s expiration.  (Tr. 60)</w:t>
      </w:r>
    </w:p>
    <w:p w:rsidR="00FD2763" w:rsidRPr="00CC4458" w:rsidRDefault="00FD2763" w:rsidP="00FD2763">
      <w:pPr>
        <w:pStyle w:val="ListParagraph"/>
        <w:spacing w:line="360" w:lineRule="auto"/>
        <w:ind w:left="1440"/>
        <w:rPr>
          <w:sz w:val="24"/>
          <w:szCs w:val="24"/>
        </w:rPr>
      </w:pPr>
    </w:p>
    <w:p w:rsidR="00717B61" w:rsidRDefault="00717B61" w:rsidP="00966B88">
      <w:pPr>
        <w:pStyle w:val="ListParagraph"/>
        <w:numPr>
          <w:ilvl w:val="0"/>
          <w:numId w:val="37"/>
        </w:numPr>
        <w:spacing w:line="360" w:lineRule="auto"/>
        <w:ind w:left="0" w:firstLine="1440"/>
        <w:rPr>
          <w:sz w:val="24"/>
          <w:szCs w:val="24"/>
        </w:rPr>
      </w:pPr>
      <w:r w:rsidRPr="00CC4458">
        <w:rPr>
          <w:sz w:val="24"/>
          <w:szCs w:val="24"/>
        </w:rPr>
        <w:t>Customers are advised that if they don’t respond to either one of the notices, by cancelling service</w:t>
      </w:r>
      <w:r w:rsidR="00AA3BA4" w:rsidRPr="00CC4458">
        <w:rPr>
          <w:sz w:val="24"/>
          <w:szCs w:val="24"/>
        </w:rPr>
        <w:t xml:space="preserve">, </w:t>
      </w:r>
      <w:r w:rsidRPr="00CC4458">
        <w:rPr>
          <w:sz w:val="24"/>
          <w:szCs w:val="24"/>
        </w:rPr>
        <w:t>renewing with Liberty Power or going to some other supplier, at the time of the contract expiration, service w</w:t>
      </w:r>
      <w:r w:rsidR="004B2577">
        <w:rPr>
          <w:sz w:val="24"/>
          <w:szCs w:val="24"/>
        </w:rPr>
        <w:t xml:space="preserve">ould </w:t>
      </w:r>
      <w:r w:rsidRPr="00CC4458">
        <w:rPr>
          <w:sz w:val="24"/>
          <w:szCs w:val="24"/>
        </w:rPr>
        <w:t>continue automatically at a default variable rate which w</w:t>
      </w:r>
      <w:r w:rsidR="004B2577">
        <w:rPr>
          <w:sz w:val="24"/>
          <w:szCs w:val="24"/>
        </w:rPr>
        <w:t>ould</w:t>
      </w:r>
      <w:r w:rsidRPr="00CC4458">
        <w:rPr>
          <w:sz w:val="24"/>
          <w:szCs w:val="24"/>
        </w:rPr>
        <w:t xml:space="preserve"> renew monthly.</w:t>
      </w:r>
      <w:r w:rsidR="005529CC">
        <w:rPr>
          <w:sz w:val="24"/>
          <w:szCs w:val="24"/>
        </w:rPr>
        <w:t xml:space="preserve"> </w:t>
      </w:r>
      <w:r w:rsidRPr="00CC4458">
        <w:rPr>
          <w:sz w:val="24"/>
          <w:szCs w:val="24"/>
        </w:rPr>
        <w:t xml:space="preserve"> (Tr. 60</w:t>
      </w:r>
      <w:r w:rsidR="005529CC">
        <w:rPr>
          <w:sz w:val="24"/>
          <w:szCs w:val="24"/>
        </w:rPr>
        <w:t>-</w:t>
      </w:r>
      <w:r w:rsidRPr="00CC4458">
        <w:rPr>
          <w:sz w:val="24"/>
          <w:szCs w:val="24"/>
        </w:rPr>
        <w:t>61)</w:t>
      </w:r>
    </w:p>
    <w:p w:rsidR="00FD2763" w:rsidRPr="00CC4458" w:rsidRDefault="00FD2763" w:rsidP="00FD2763">
      <w:pPr>
        <w:pStyle w:val="ListParagraph"/>
        <w:spacing w:line="360" w:lineRule="auto"/>
        <w:ind w:left="1440"/>
        <w:rPr>
          <w:sz w:val="24"/>
          <w:szCs w:val="24"/>
        </w:rPr>
      </w:pPr>
    </w:p>
    <w:p w:rsidR="006A4B86" w:rsidRDefault="00717B61" w:rsidP="00966B88">
      <w:pPr>
        <w:pStyle w:val="ListParagraph"/>
        <w:numPr>
          <w:ilvl w:val="0"/>
          <w:numId w:val="37"/>
        </w:numPr>
        <w:spacing w:line="360" w:lineRule="auto"/>
        <w:ind w:left="0" w:firstLine="1440"/>
        <w:rPr>
          <w:sz w:val="24"/>
          <w:szCs w:val="24"/>
        </w:rPr>
      </w:pPr>
      <w:r w:rsidRPr="00CC4458">
        <w:rPr>
          <w:sz w:val="24"/>
          <w:szCs w:val="24"/>
        </w:rPr>
        <w:t>Respondent sent an initial notice to Complainant</w:t>
      </w:r>
      <w:r w:rsidR="004B2577">
        <w:rPr>
          <w:sz w:val="24"/>
          <w:szCs w:val="24"/>
        </w:rPr>
        <w:t xml:space="preserve">, at its business address, </w:t>
      </w:r>
      <w:r w:rsidRPr="00CC4458">
        <w:rPr>
          <w:sz w:val="24"/>
          <w:szCs w:val="24"/>
        </w:rPr>
        <w:t xml:space="preserve">on September 13, 2013 and the </w:t>
      </w:r>
      <w:r w:rsidR="00A743B7" w:rsidRPr="00CC4458">
        <w:rPr>
          <w:sz w:val="24"/>
          <w:szCs w:val="24"/>
        </w:rPr>
        <w:t xml:space="preserve">option notice </w:t>
      </w:r>
      <w:r w:rsidRPr="00CC4458">
        <w:rPr>
          <w:sz w:val="24"/>
          <w:szCs w:val="24"/>
        </w:rPr>
        <w:t>on October 15, 2013</w:t>
      </w:r>
      <w:r w:rsidR="004B2577">
        <w:rPr>
          <w:sz w:val="24"/>
          <w:szCs w:val="24"/>
        </w:rPr>
        <w:t xml:space="preserve">. </w:t>
      </w:r>
      <w:r w:rsidR="00FF286E">
        <w:rPr>
          <w:sz w:val="24"/>
          <w:szCs w:val="24"/>
        </w:rPr>
        <w:t xml:space="preserve"> </w:t>
      </w:r>
      <w:r w:rsidR="006A4B86">
        <w:rPr>
          <w:sz w:val="24"/>
          <w:szCs w:val="24"/>
        </w:rPr>
        <w:t>(Tr. 57; Liberty Power Exhibit 1-2)</w:t>
      </w:r>
    </w:p>
    <w:p w:rsidR="006A4B86" w:rsidRDefault="006A4B86" w:rsidP="006A4B86">
      <w:pPr>
        <w:pStyle w:val="ListParagraph"/>
        <w:spacing w:line="360" w:lineRule="auto"/>
        <w:ind w:left="1440"/>
        <w:rPr>
          <w:sz w:val="24"/>
          <w:szCs w:val="24"/>
        </w:rPr>
      </w:pPr>
    </w:p>
    <w:p w:rsidR="00717B61" w:rsidRDefault="00A743B7" w:rsidP="00966B88">
      <w:pPr>
        <w:pStyle w:val="ListParagraph"/>
        <w:numPr>
          <w:ilvl w:val="0"/>
          <w:numId w:val="37"/>
        </w:numPr>
        <w:spacing w:line="360" w:lineRule="auto"/>
        <w:ind w:left="0" w:firstLine="1440"/>
        <w:rPr>
          <w:sz w:val="24"/>
          <w:szCs w:val="24"/>
        </w:rPr>
      </w:pPr>
      <w:r w:rsidRPr="00CC4458">
        <w:rPr>
          <w:sz w:val="24"/>
          <w:szCs w:val="24"/>
        </w:rPr>
        <w:t>Neither n</w:t>
      </w:r>
      <w:r w:rsidR="00717B61" w:rsidRPr="00CC4458">
        <w:rPr>
          <w:sz w:val="24"/>
          <w:szCs w:val="24"/>
        </w:rPr>
        <w:t>otice w</w:t>
      </w:r>
      <w:r w:rsidR="00AA3BA4" w:rsidRPr="00CC4458">
        <w:rPr>
          <w:sz w:val="24"/>
          <w:szCs w:val="24"/>
        </w:rPr>
        <w:t>as</w:t>
      </w:r>
      <w:r w:rsidR="00717B61" w:rsidRPr="00CC4458">
        <w:rPr>
          <w:sz w:val="24"/>
          <w:szCs w:val="24"/>
        </w:rPr>
        <w:t xml:space="preserve"> returned as undeliverable. </w:t>
      </w:r>
      <w:r w:rsidR="005529CC">
        <w:rPr>
          <w:sz w:val="24"/>
          <w:szCs w:val="24"/>
        </w:rPr>
        <w:t xml:space="preserve"> </w:t>
      </w:r>
      <w:r w:rsidR="00717B61" w:rsidRPr="00CC4458">
        <w:rPr>
          <w:sz w:val="24"/>
          <w:szCs w:val="24"/>
        </w:rPr>
        <w:t>(Tr. 57</w:t>
      </w:r>
      <w:r w:rsidRPr="00CC4458">
        <w:rPr>
          <w:sz w:val="24"/>
          <w:szCs w:val="24"/>
        </w:rPr>
        <w:t xml:space="preserve">; </w:t>
      </w:r>
      <w:r w:rsidR="00717B61" w:rsidRPr="00CC4458">
        <w:rPr>
          <w:sz w:val="24"/>
          <w:szCs w:val="24"/>
        </w:rPr>
        <w:t>Liberty Power Exhibit 1</w:t>
      </w:r>
      <w:r w:rsidRPr="00CC4458">
        <w:rPr>
          <w:sz w:val="24"/>
          <w:szCs w:val="24"/>
        </w:rPr>
        <w:t>-</w:t>
      </w:r>
      <w:r w:rsidR="00717B61" w:rsidRPr="00CC4458">
        <w:rPr>
          <w:sz w:val="24"/>
          <w:szCs w:val="24"/>
        </w:rPr>
        <w:t>2)</w:t>
      </w:r>
    </w:p>
    <w:p w:rsidR="00FF286E" w:rsidRPr="00CC4458" w:rsidRDefault="00FF286E" w:rsidP="00FF286E">
      <w:pPr>
        <w:pStyle w:val="ListParagraph"/>
        <w:spacing w:line="360" w:lineRule="auto"/>
        <w:ind w:left="1440"/>
        <w:rPr>
          <w:sz w:val="24"/>
          <w:szCs w:val="24"/>
        </w:rPr>
      </w:pPr>
    </w:p>
    <w:p w:rsidR="00717B61" w:rsidRDefault="00A743B7" w:rsidP="00966B88">
      <w:pPr>
        <w:pStyle w:val="ListParagraph"/>
        <w:numPr>
          <w:ilvl w:val="0"/>
          <w:numId w:val="37"/>
        </w:numPr>
        <w:spacing w:line="360" w:lineRule="auto"/>
        <w:ind w:left="0" w:firstLine="1440"/>
        <w:rPr>
          <w:sz w:val="24"/>
          <w:szCs w:val="24"/>
        </w:rPr>
      </w:pPr>
      <w:r w:rsidRPr="00CC4458">
        <w:rPr>
          <w:sz w:val="24"/>
          <w:szCs w:val="24"/>
        </w:rPr>
        <w:t>Respondent did not receive a response from Complainant with regard to the notices provided by Respondent and, w</w:t>
      </w:r>
      <w:r w:rsidR="00717B61" w:rsidRPr="00CC4458">
        <w:rPr>
          <w:sz w:val="24"/>
          <w:szCs w:val="24"/>
        </w:rPr>
        <w:t>hen the term ended in December of 2013, the account w</w:t>
      </w:r>
      <w:r w:rsidRPr="00CC4458">
        <w:rPr>
          <w:sz w:val="24"/>
          <w:szCs w:val="24"/>
        </w:rPr>
        <w:t>as</w:t>
      </w:r>
      <w:r w:rsidR="00717B61" w:rsidRPr="00CC4458">
        <w:rPr>
          <w:sz w:val="24"/>
          <w:szCs w:val="24"/>
        </w:rPr>
        <w:t xml:space="preserve"> moved to Liberty Power’s variable rate</w:t>
      </w:r>
      <w:r w:rsidR="004B2577">
        <w:rPr>
          <w:sz w:val="24"/>
          <w:szCs w:val="24"/>
        </w:rPr>
        <w:t xml:space="preserve"> program</w:t>
      </w:r>
      <w:r w:rsidR="00717B61" w:rsidRPr="00CC4458">
        <w:rPr>
          <w:sz w:val="24"/>
          <w:szCs w:val="24"/>
        </w:rPr>
        <w:t>.</w:t>
      </w:r>
      <w:r w:rsidR="006111D8">
        <w:rPr>
          <w:sz w:val="24"/>
          <w:szCs w:val="24"/>
        </w:rPr>
        <w:t xml:space="preserve">  (</w:t>
      </w:r>
      <w:r w:rsidR="00717B61" w:rsidRPr="00CC4458">
        <w:rPr>
          <w:sz w:val="24"/>
          <w:szCs w:val="24"/>
        </w:rPr>
        <w:t>Tr. 63)</w:t>
      </w:r>
    </w:p>
    <w:p w:rsidR="008F5550" w:rsidRDefault="00190491" w:rsidP="00966B88">
      <w:pPr>
        <w:pStyle w:val="ListParagraph"/>
        <w:numPr>
          <w:ilvl w:val="0"/>
          <w:numId w:val="37"/>
        </w:numPr>
        <w:spacing w:line="360" w:lineRule="auto"/>
        <w:ind w:left="0" w:firstLine="1440"/>
        <w:rPr>
          <w:sz w:val="24"/>
          <w:szCs w:val="24"/>
        </w:rPr>
      </w:pPr>
      <w:r w:rsidRPr="00CC4458">
        <w:rPr>
          <w:sz w:val="24"/>
          <w:szCs w:val="24"/>
        </w:rPr>
        <w:lastRenderedPageBreak/>
        <w:t xml:space="preserve">Complainant contacted PECO Energy, its </w:t>
      </w:r>
      <w:r w:rsidR="003B0297" w:rsidRPr="00CC4458">
        <w:rPr>
          <w:sz w:val="24"/>
          <w:szCs w:val="24"/>
        </w:rPr>
        <w:t>electric distribution company (</w:t>
      </w:r>
      <w:r w:rsidR="009A5310" w:rsidRPr="00CC4458">
        <w:rPr>
          <w:sz w:val="24"/>
          <w:szCs w:val="24"/>
        </w:rPr>
        <w:t>EDC</w:t>
      </w:r>
      <w:r w:rsidR="003B0297" w:rsidRPr="00CC4458">
        <w:rPr>
          <w:sz w:val="24"/>
          <w:szCs w:val="24"/>
        </w:rPr>
        <w:t>)</w:t>
      </w:r>
      <w:r w:rsidR="00EA2033">
        <w:rPr>
          <w:sz w:val="24"/>
          <w:szCs w:val="24"/>
        </w:rPr>
        <w:t>,</w:t>
      </w:r>
      <w:r w:rsidR="003B0297" w:rsidRPr="00CC4458">
        <w:rPr>
          <w:sz w:val="24"/>
          <w:szCs w:val="24"/>
        </w:rPr>
        <w:t xml:space="preserve"> </w:t>
      </w:r>
      <w:r w:rsidRPr="00CC4458">
        <w:rPr>
          <w:sz w:val="24"/>
          <w:szCs w:val="24"/>
        </w:rPr>
        <w:t>in January or February</w:t>
      </w:r>
      <w:r w:rsidR="00AA3BA4" w:rsidRPr="00CC4458">
        <w:rPr>
          <w:sz w:val="24"/>
          <w:szCs w:val="24"/>
        </w:rPr>
        <w:t xml:space="preserve"> of 2014</w:t>
      </w:r>
      <w:r w:rsidRPr="00CC4458">
        <w:rPr>
          <w:sz w:val="24"/>
          <w:szCs w:val="24"/>
        </w:rPr>
        <w:t>, after receiving bills for a kilowatt hour rate</w:t>
      </w:r>
      <w:r w:rsidR="00AA3BA4" w:rsidRPr="00CC4458">
        <w:rPr>
          <w:sz w:val="24"/>
          <w:szCs w:val="24"/>
        </w:rPr>
        <w:t xml:space="preserve"> higher than the contract rate</w:t>
      </w:r>
      <w:r w:rsidRPr="00CC4458">
        <w:rPr>
          <w:sz w:val="24"/>
          <w:szCs w:val="24"/>
        </w:rPr>
        <w:t>.  (Tr. 20-22)</w:t>
      </w:r>
    </w:p>
    <w:p w:rsidR="00FD2763" w:rsidRPr="00CC4458" w:rsidRDefault="00FD2763" w:rsidP="00FD2763">
      <w:pPr>
        <w:pStyle w:val="ListParagraph"/>
        <w:spacing w:line="360" w:lineRule="auto"/>
        <w:ind w:left="1440"/>
        <w:rPr>
          <w:sz w:val="24"/>
          <w:szCs w:val="24"/>
        </w:rPr>
      </w:pPr>
    </w:p>
    <w:p w:rsidR="00D57AD6" w:rsidRPr="00FD2763" w:rsidRDefault="00190491" w:rsidP="00966B88">
      <w:pPr>
        <w:pStyle w:val="ListParagraph"/>
        <w:numPr>
          <w:ilvl w:val="0"/>
          <w:numId w:val="37"/>
        </w:numPr>
        <w:tabs>
          <w:tab w:val="left" w:pos="-1440"/>
          <w:tab w:val="left" w:pos="-720"/>
        </w:tabs>
        <w:suppressAutoHyphens/>
        <w:spacing w:line="360" w:lineRule="auto"/>
        <w:ind w:left="0" w:firstLine="1440"/>
        <w:rPr>
          <w:spacing w:val="-3"/>
          <w:sz w:val="24"/>
          <w:szCs w:val="24"/>
        </w:rPr>
      </w:pPr>
      <w:r w:rsidRPr="00CC4458">
        <w:rPr>
          <w:sz w:val="24"/>
          <w:szCs w:val="24"/>
        </w:rPr>
        <w:t>On January 22, 2014, Liberty Power received a de-enrollment notification from PECO for Complainant</w:t>
      </w:r>
      <w:r w:rsidR="004B2577">
        <w:rPr>
          <w:sz w:val="24"/>
          <w:szCs w:val="24"/>
        </w:rPr>
        <w:t>’</w:t>
      </w:r>
      <w:r w:rsidRPr="00CC4458">
        <w:rPr>
          <w:sz w:val="24"/>
          <w:szCs w:val="24"/>
        </w:rPr>
        <w:t xml:space="preserve">s account. </w:t>
      </w:r>
      <w:r w:rsidR="006111D8">
        <w:rPr>
          <w:sz w:val="24"/>
          <w:szCs w:val="24"/>
        </w:rPr>
        <w:t xml:space="preserve"> </w:t>
      </w:r>
      <w:r w:rsidRPr="00CC4458">
        <w:rPr>
          <w:sz w:val="24"/>
          <w:szCs w:val="24"/>
        </w:rPr>
        <w:t>(Tr. 77)</w:t>
      </w:r>
    </w:p>
    <w:p w:rsidR="00FD2763" w:rsidRPr="00CC4458" w:rsidRDefault="00FD2763" w:rsidP="00FD2763">
      <w:pPr>
        <w:pStyle w:val="ListParagraph"/>
        <w:tabs>
          <w:tab w:val="left" w:pos="-1440"/>
          <w:tab w:val="left" w:pos="-720"/>
        </w:tabs>
        <w:suppressAutoHyphens/>
        <w:spacing w:line="360" w:lineRule="auto"/>
        <w:ind w:left="1440"/>
        <w:rPr>
          <w:spacing w:val="-3"/>
          <w:sz w:val="24"/>
          <w:szCs w:val="24"/>
        </w:rPr>
      </w:pPr>
    </w:p>
    <w:p w:rsidR="00D57AD6" w:rsidRPr="00CC4458" w:rsidRDefault="00D57AD6" w:rsidP="00966B88">
      <w:pPr>
        <w:pStyle w:val="ListParagraph"/>
        <w:numPr>
          <w:ilvl w:val="0"/>
          <w:numId w:val="37"/>
        </w:numPr>
        <w:tabs>
          <w:tab w:val="left" w:pos="-1440"/>
          <w:tab w:val="left" w:pos="-720"/>
        </w:tabs>
        <w:suppressAutoHyphens/>
        <w:spacing w:line="360" w:lineRule="auto"/>
        <w:ind w:left="0" w:firstLine="1440"/>
        <w:rPr>
          <w:spacing w:val="-3"/>
          <w:sz w:val="24"/>
          <w:szCs w:val="24"/>
        </w:rPr>
      </w:pPr>
      <w:r w:rsidRPr="00CC4458">
        <w:rPr>
          <w:spacing w:val="-3"/>
          <w:sz w:val="24"/>
          <w:szCs w:val="24"/>
        </w:rPr>
        <w:t xml:space="preserve">Complainant’s maximum registered peak load was </w:t>
      </w:r>
      <w:r w:rsidR="009A5310" w:rsidRPr="00CC4458">
        <w:rPr>
          <w:spacing w:val="-3"/>
          <w:sz w:val="24"/>
          <w:szCs w:val="24"/>
        </w:rPr>
        <w:t xml:space="preserve">in excess of </w:t>
      </w:r>
      <w:r w:rsidRPr="00CC4458">
        <w:rPr>
          <w:spacing w:val="-3"/>
          <w:sz w:val="24"/>
          <w:szCs w:val="24"/>
        </w:rPr>
        <w:t xml:space="preserve">25 </w:t>
      </w:r>
      <w:r w:rsidR="009A5310" w:rsidRPr="00CC4458">
        <w:rPr>
          <w:spacing w:val="-3"/>
          <w:sz w:val="24"/>
          <w:szCs w:val="24"/>
        </w:rPr>
        <w:t>kilowatt hours</w:t>
      </w:r>
      <w:r w:rsidRPr="00CC4458">
        <w:rPr>
          <w:spacing w:val="-3"/>
          <w:sz w:val="24"/>
          <w:szCs w:val="24"/>
        </w:rPr>
        <w:t xml:space="preserve"> </w:t>
      </w:r>
      <w:r w:rsidR="009A5310" w:rsidRPr="00CC4458">
        <w:rPr>
          <w:spacing w:val="-3"/>
          <w:sz w:val="24"/>
          <w:szCs w:val="24"/>
        </w:rPr>
        <w:t xml:space="preserve">during the </w:t>
      </w:r>
      <w:r w:rsidRPr="00CC4458">
        <w:rPr>
          <w:spacing w:val="-3"/>
          <w:sz w:val="24"/>
          <w:szCs w:val="24"/>
        </w:rPr>
        <w:t>12 month</w:t>
      </w:r>
      <w:r w:rsidR="009A5310" w:rsidRPr="00CC4458">
        <w:rPr>
          <w:spacing w:val="-3"/>
          <w:sz w:val="24"/>
          <w:szCs w:val="24"/>
        </w:rPr>
        <w:t xml:space="preserve"> period prior to the rate increase.  (Tr. 40-44)</w:t>
      </w:r>
      <w:r w:rsidR="009A5310" w:rsidRPr="00CC4458">
        <w:rPr>
          <w:spacing w:val="-3"/>
          <w:sz w:val="24"/>
          <w:szCs w:val="24"/>
        </w:rPr>
        <w:tab/>
      </w:r>
    </w:p>
    <w:p w:rsidR="00D57AD6" w:rsidRPr="00CC4458" w:rsidRDefault="00D57AD6" w:rsidP="00CC4458">
      <w:pPr>
        <w:tabs>
          <w:tab w:val="left" w:pos="-1440"/>
          <w:tab w:val="left" w:pos="-720"/>
        </w:tabs>
        <w:suppressAutoHyphens/>
        <w:spacing w:line="360" w:lineRule="auto"/>
        <w:ind w:left="2160" w:right="1350"/>
        <w:rPr>
          <w:spacing w:val="-3"/>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DF315B" w:rsidRDefault="00DF315B" w:rsidP="00DE2348">
      <w:pPr>
        <w:spacing w:line="360" w:lineRule="auto"/>
        <w:jc w:val="center"/>
        <w:rPr>
          <w:sz w:val="24"/>
          <w:szCs w:val="24"/>
          <w:u w:val="single"/>
        </w:rPr>
      </w:pPr>
    </w:p>
    <w:p w:rsidR="001F787B" w:rsidRDefault="001F787B" w:rsidP="006111D8">
      <w:pPr>
        <w:spacing w:line="360" w:lineRule="auto"/>
        <w:rPr>
          <w:sz w:val="24"/>
          <w:szCs w:val="24"/>
          <w:u w:val="single"/>
        </w:rPr>
      </w:pPr>
      <w:r>
        <w:rPr>
          <w:sz w:val="24"/>
          <w:szCs w:val="24"/>
          <w:u w:val="single"/>
        </w:rPr>
        <w:t>Burden of</w:t>
      </w:r>
      <w:r w:rsidR="00D57AD6">
        <w:rPr>
          <w:sz w:val="24"/>
          <w:szCs w:val="24"/>
          <w:u w:val="single"/>
        </w:rPr>
        <w:t xml:space="preserve"> </w:t>
      </w:r>
      <w:r w:rsidR="001A048A">
        <w:rPr>
          <w:sz w:val="24"/>
          <w:szCs w:val="24"/>
          <w:u w:val="single"/>
        </w:rPr>
        <w:t>P</w:t>
      </w:r>
      <w:r>
        <w:rPr>
          <w:sz w:val="24"/>
          <w:szCs w:val="24"/>
          <w:u w:val="single"/>
        </w:rPr>
        <w:t>roof</w:t>
      </w:r>
    </w:p>
    <w:p w:rsidR="006111D8" w:rsidRDefault="006111D8" w:rsidP="006111D8">
      <w:pPr>
        <w:spacing w:line="360" w:lineRule="auto"/>
        <w:rPr>
          <w:sz w:val="24"/>
          <w:szCs w:val="24"/>
          <w:u w:val="single"/>
        </w:rPr>
      </w:pPr>
    </w:p>
    <w:p w:rsidR="00561D0F" w:rsidRDefault="001F787B" w:rsidP="001F787B">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66 </w:t>
      </w:r>
      <w:proofErr w:type="spellStart"/>
      <w:r w:rsidRPr="00A941C5">
        <w:rPr>
          <w:sz w:val="24"/>
          <w:szCs w:val="24"/>
        </w:rPr>
        <w:t>Pa.C.S</w:t>
      </w:r>
      <w:proofErr w:type="spellEnd"/>
      <w:r w:rsidRPr="00A941C5">
        <w:rPr>
          <w:sz w:val="24"/>
          <w:szCs w:val="24"/>
        </w:rPr>
        <w:t>.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is responsible or accountable for the problem described in the Complaint.  </w:t>
      </w:r>
      <w:r w:rsidRPr="00614336">
        <w:rPr>
          <w:spacing w:val="-3"/>
          <w:sz w:val="24"/>
          <w:szCs w:val="24"/>
          <w:u w:val="single"/>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 xml:space="preserve">(1976).  </w:t>
      </w:r>
    </w:p>
    <w:p w:rsidR="00561D0F" w:rsidRPr="005C28F8" w:rsidRDefault="00561D0F" w:rsidP="00DF315B">
      <w:pPr>
        <w:tabs>
          <w:tab w:val="left" w:pos="-1440"/>
          <w:tab w:val="left" w:pos="-720"/>
        </w:tabs>
        <w:suppressAutoHyphens/>
        <w:spacing w:line="360" w:lineRule="auto"/>
        <w:rPr>
          <w:b/>
          <w:spacing w:val="-3"/>
          <w:sz w:val="24"/>
          <w:szCs w:val="24"/>
          <w:u w:val="single"/>
        </w:rPr>
      </w:pPr>
    </w:p>
    <w:p w:rsidR="0045658C" w:rsidRPr="008115AB" w:rsidRDefault="00004486" w:rsidP="0045658C">
      <w:pPr>
        <w:pStyle w:val="ParaTab1"/>
        <w:spacing w:line="360" w:lineRule="auto"/>
        <w:ind w:firstLine="0"/>
        <w:rPr>
          <w:rFonts w:ascii="Times New Roman" w:hAnsi="Times New Roman" w:cs="Times New Roman"/>
          <w:u w:val="single"/>
        </w:rPr>
      </w:pPr>
      <w:r>
        <w:rPr>
          <w:rFonts w:ascii="Times New Roman" w:hAnsi="Times New Roman" w:cs="Times New Roman"/>
          <w:u w:val="single"/>
        </w:rPr>
        <w:t>Analysis</w:t>
      </w:r>
    </w:p>
    <w:p w:rsidR="0045658C" w:rsidRDefault="0045658C" w:rsidP="0045658C">
      <w:pPr>
        <w:pStyle w:val="ParaTab1"/>
        <w:spacing w:line="360" w:lineRule="auto"/>
        <w:rPr>
          <w:rFonts w:ascii="Times New Roman" w:hAnsi="Times New Roman" w:cs="Times New Roman"/>
        </w:rPr>
      </w:pPr>
    </w:p>
    <w:p w:rsidR="0045658C" w:rsidRPr="00CC4458" w:rsidRDefault="0045658C" w:rsidP="00CC4458">
      <w:pPr>
        <w:pStyle w:val="ParaTab1"/>
        <w:spacing w:line="360" w:lineRule="auto"/>
        <w:rPr>
          <w:rFonts w:ascii="Times New Roman" w:hAnsi="Times New Roman" w:cs="Times New Roman"/>
        </w:rPr>
      </w:pPr>
      <w:r w:rsidRPr="00CC4458">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CC4458">
        <w:rPr>
          <w:rFonts w:ascii="Times New Roman" w:hAnsi="Times New Roman" w:cs="Times New Roman"/>
          <w:u w:val="single"/>
        </w:rPr>
        <w:t xml:space="preserve">Tod and Lisa </w:t>
      </w:r>
      <w:proofErr w:type="spellStart"/>
      <w:r w:rsidRPr="00CC4458">
        <w:rPr>
          <w:rFonts w:ascii="Times New Roman" w:hAnsi="Times New Roman" w:cs="Times New Roman"/>
          <w:u w:val="single"/>
        </w:rPr>
        <w:t>Shedlosky</w:t>
      </w:r>
      <w:proofErr w:type="spellEnd"/>
      <w:r w:rsidRPr="00CC4458">
        <w:rPr>
          <w:rFonts w:ascii="Times New Roman" w:hAnsi="Times New Roman" w:cs="Times New Roman"/>
          <w:u w:val="single"/>
        </w:rPr>
        <w:t xml:space="preserve"> v. Pennsylvania Electric Co.</w:t>
      </w:r>
      <w:r w:rsidRPr="00CC4458">
        <w:rPr>
          <w:rFonts w:ascii="Times New Roman" w:hAnsi="Times New Roman" w:cs="Times New Roman"/>
        </w:rPr>
        <w:t xml:space="preserve">, Docket No. C-20066937 (Order entered May 28, 2008); </w:t>
      </w:r>
      <w:r w:rsidRPr="00CC4458">
        <w:rPr>
          <w:rFonts w:ascii="Times New Roman" w:hAnsi="Times New Roman" w:cs="Times New Roman"/>
          <w:u w:val="single"/>
        </w:rPr>
        <w:t>Feingold v. Bell Tel. Co. of Pa.</w:t>
      </w:r>
      <w:r w:rsidRPr="00CC4458">
        <w:rPr>
          <w:rFonts w:ascii="Times New Roman" w:hAnsi="Times New Roman" w:cs="Times New Roman"/>
        </w:rPr>
        <w:t xml:space="preserve">, 383 A.2d 791 (Pa. 1977).  The Commission must act within, and cannot exceed, its jurisdiction.  </w:t>
      </w:r>
      <w:r w:rsidRPr="00CC4458">
        <w:rPr>
          <w:rFonts w:ascii="Times New Roman" w:hAnsi="Times New Roman" w:cs="Times New Roman"/>
          <w:u w:val="single"/>
        </w:rPr>
        <w:t xml:space="preserve">City of Pittsburgh v. Pa. Pub. Util. </w:t>
      </w:r>
      <w:proofErr w:type="spellStart"/>
      <w:r w:rsidRPr="00CC4458">
        <w:rPr>
          <w:rFonts w:ascii="Times New Roman" w:hAnsi="Times New Roman" w:cs="Times New Roman"/>
          <w:u w:val="single"/>
        </w:rPr>
        <w:t>Comm’n</w:t>
      </w:r>
      <w:proofErr w:type="spellEnd"/>
      <w:r w:rsidRPr="00CC4458">
        <w:rPr>
          <w:rFonts w:ascii="Times New Roman" w:hAnsi="Times New Roman" w:cs="Times New Roman"/>
          <w:u w:val="single"/>
        </w:rPr>
        <w:t>,</w:t>
      </w:r>
      <w:r w:rsidRPr="00CC4458">
        <w:rPr>
          <w:rFonts w:ascii="Times New Roman" w:hAnsi="Times New Roman" w:cs="Times New Roman"/>
        </w:rPr>
        <w:t xml:space="preserve"> 43 A.2d 348 (Pa. Super. 1945).  Jurisdiction may not be conferred by the parties where none exists.  </w:t>
      </w:r>
      <w:r w:rsidRPr="00CC4458">
        <w:rPr>
          <w:rFonts w:ascii="Times New Roman" w:hAnsi="Times New Roman" w:cs="Times New Roman"/>
          <w:u w:val="single"/>
        </w:rPr>
        <w:t xml:space="preserve">Roberts v. </w:t>
      </w:r>
      <w:proofErr w:type="spellStart"/>
      <w:r w:rsidRPr="00CC4458">
        <w:rPr>
          <w:rFonts w:ascii="Times New Roman" w:hAnsi="Times New Roman" w:cs="Times New Roman"/>
          <w:u w:val="single"/>
        </w:rPr>
        <w:t>Martorano</w:t>
      </w:r>
      <w:proofErr w:type="spellEnd"/>
      <w:r w:rsidRPr="00CC4458">
        <w:rPr>
          <w:rFonts w:ascii="Times New Roman" w:hAnsi="Times New Roman" w:cs="Times New Roman"/>
        </w:rPr>
        <w:t xml:space="preserve">, 235 A.2d 602 (Pa. 1967).  Subject matter jurisdiction is a prerequisite to the exercise of power to decide a controversy.  </w:t>
      </w:r>
      <w:proofErr w:type="gramStart"/>
      <w:r w:rsidRPr="00CC4458">
        <w:rPr>
          <w:rFonts w:ascii="Times New Roman" w:hAnsi="Times New Roman" w:cs="Times New Roman"/>
          <w:u w:val="single"/>
        </w:rPr>
        <w:t>Hughes v. Pennsylvania State Police</w:t>
      </w:r>
      <w:r w:rsidR="00FF286E">
        <w:rPr>
          <w:rFonts w:ascii="Times New Roman" w:hAnsi="Times New Roman" w:cs="Times New Roman"/>
        </w:rPr>
        <w:t>, 619 A.2d 390 (</w:t>
      </w:r>
      <w:proofErr w:type="spellStart"/>
      <w:r w:rsidR="00FF286E">
        <w:rPr>
          <w:rFonts w:ascii="Times New Roman" w:hAnsi="Times New Roman" w:cs="Times New Roman"/>
        </w:rPr>
        <w:t>Pa.</w:t>
      </w:r>
      <w:r w:rsidRPr="00CC4458">
        <w:rPr>
          <w:rFonts w:ascii="Times New Roman" w:hAnsi="Times New Roman" w:cs="Times New Roman"/>
        </w:rPr>
        <w:t>Cmwlth</w:t>
      </w:r>
      <w:proofErr w:type="spellEnd"/>
      <w:r w:rsidRPr="00CC4458">
        <w:rPr>
          <w:rFonts w:ascii="Times New Roman" w:hAnsi="Times New Roman" w:cs="Times New Roman"/>
        </w:rPr>
        <w:t xml:space="preserve">. 1992), </w:t>
      </w:r>
      <w:proofErr w:type="spellStart"/>
      <w:r w:rsidRPr="00CC4458">
        <w:rPr>
          <w:rFonts w:ascii="Times New Roman" w:hAnsi="Times New Roman" w:cs="Times New Roman"/>
          <w:u w:val="single"/>
        </w:rPr>
        <w:t>alloc</w:t>
      </w:r>
      <w:proofErr w:type="spellEnd"/>
      <w:r w:rsidRPr="00CC4458">
        <w:rPr>
          <w:rFonts w:ascii="Times New Roman" w:hAnsi="Times New Roman" w:cs="Times New Roman"/>
          <w:u w:val="single"/>
        </w:rPr>
        <w:t>.</w:t>
      </w:r>
      <w:proofErr w:type="gramEnd"/>
      <w:r w:rsidRPr="00CC4458">
        <w:rPr>
          <w:rFonts w:ascii="Times New Roman" w:hAnsi="Times New Roman" w:cs="Times New Roman"/>
          <w:u w:val="single"/>
        </w:rPr>
        <w:t xml:space="preserve"> denied</w:t>
      </w:r>
      <w:r w:rsidRPr="00CC4458">
        <w:rPr>
          <w:rFonts w:ascii="Times New Roman" w:hAnsi="Times New Roman" w:cs="Times New Roman"/>
        </w:rPr>
        <w:t>, 637 A.2d 293 (Pa. 1993).</w:t>
      </w:r>
    </w:p>
    <w:p w:rsidR="0045658C" w:rsidRPr="00CC4458" w:rsidRDefault="0045658C" w:rsidP="00CC4458">
      <w:pPr>
        <w:pStyle w:val="ParaTab1"/>
        <w:spacing w:line="360" w:lineRule="auto"/>
        <w:rPr>
          <w:rFonts w:ascii="Times New Roman" w:hAnsi="Times New Roman" w:cs="Times New Roman"/>
        </w:rPr>
      </w:pPr>
      <w:r w:rsidRPr="00CC4458">
        <w:rPr>
          <w:rFonts w:ascii="Times New Roman" w:hAnsi="Times New Roman" w:cs="Times New Roman"/>
        </w:rPr>
        <w:lastRenderedPageBreak/>
        <w:t xml:space="preserve">Liberty Power, as an EGS, is not a public utility subject to Commission regulation, except in limited circumstances.  </w:t>
      </w:r>
      <w:r w:rsidRPr="00CC4458">
        <w:rPr>
          <w:rFonts w:ascii="Times New Roman" w:hAnsi="Times New Roman" w:cs="Times New Roman"/>
          <w:u w:val="single"/>
        </w:rPr>
        <w:t xml:space="preserve">Delmarva Power &amp; Light Co. v. Pa. Pub. Util. </w:t>
      </w:r>
      <w:proofErr w:type="spellStart"/>
      <w:r w:rsidRPr="00CC4458">
        <w:rPr>
          <w:rFonts w:ascii="Times New Roman" w:hAnsi="Times New Roman" w:cs="Times New Roman"/>
          <w:u w:val="single"/>
        </w:rPr>
        <w:t>Comm’n</w:t>
      </w:r>
      <w:proofErr w:type="spellEnd"/>
      <w:r w:rsidRPr="00CC4458">
        <w:rPr>
          <w:rFonts w:ascii="Times New Roman" w:hAnsi="Times New Roman" w:cs="Times New Roman"/>
        </w:rPr>
        <w:t>, 870 A.2d 901 (Pa. 2005) (</w:t>
      </w:r>
      <w:r w:rsidRPr="00CC4458">
        <w:rPr>
          <w:rFonts w:ascii="Times New Roman" w:hAnsi="Times New Roman" w:cs="Times New Roman"/>
          <w:u w:val="single"/>
        </w:rPr>
        <w:t>Delmarva</w:t>
      </w:r>
      <w:r w:rsidRPr="00CC4458">
        <w:rPr>
          <w:rFonts w:ascii="Times New Roman" w:hAnsi="Times New Roman" w:cs="Times New Roman"/>
        </w:rPr>
        <w:t xml:space="preserve">).  In </w:t>
      </w:r>
      <w:r w:rsidRPr="00CC4458">
        <w:rPr>
          <w:rFonts w:ascii="Times New Roman" w:hAnsi="Times New Roman" w:cs="Times New Roman"/>
          <w:u w:val="single"/>
        </w:rPr>
        <w:t>Delmarva</w:t>
      </w:r>
      <w:r w:rsidRPr="00CC4458">
        <w:rPr>
          <w:rFonts w:ascii="Times New Roman" w:hAnsi="Times New Roman" w:cs="Times New Roman"/>
        </w:rPr>
        <w:t xml:space="preserve">, the Pennsylvania Supreme Court held that the definition of “public utility” at 66 </w:t>
      </w:r>
      <w:proofErr w:type="spellStart"/>
      <w:r w:rsidRPr="00CC4458">
        <w:rPr>
          <w:rFonts w:ascii="Times New Roman" w:hAnsi="Times New Roman" w:cs="Times New Roman"/>
        </w:rPr>
        <w:t>Pa.C.S</w:t>
      </w:r>
      <w:proofErr w:type="spellEnd"/>
      <w:r w:rsidRPr="00CC4458">
        <w:rPr>
          <w:rFonts w:ascii="Times New Roman" w:hAnsi="Times New Roman" w:cs="Times New Roman"/>
        </w:rPr>
        <w:t xml:space="preserve">. § 102 does not include EGSs except for the limited purposes set forth in 66 </w:t>
      </w:r>
      <w:proofErr w:type="spellStart"/>
      <w:r w:rsidRPr="00CC4458">
        <w:rPr>
          <w:rFonts w:ascii="Times New Roman" w:hAnsi="Times New Roman" w:cs="Times New Roman"/>
        </w:rPr>
        <w:t>Pa.C.S</w:t>
      </w:r>
      <w:proofErr w:type="spellEnd"/>
      <w:r w:rsidRPr="00CC4458">
        <w:rPr>
          <w:rFonts w:ascii="Times New Roman" w:hAnsi="Times New Roman" w:cs="Times New Roman"/>
        </w:rPr>
        <w:t xml:space="preserve">. § 2809, regarding licensing requirements and 66 </w:t>
      </w:r>
      <w:proofErr w:type="spellStart"/>
      <w:r w:rsidRPr="00CC4458">
        <w:rPr>
          <w:rFonts w:ascii="Times New Roman" w:hAnsi="Times New Roman" w:cs="Times New Roman"/>
        </w:rPr>
        <w:t>Pa.C.S</w:t>
      </w:r>
      <w:proofErr w:type="spellEnd"/>
      <w:r w:rsidRPr="00CC4458">
        <w:rPr>
          <w:rFonts w:ascii="Times New Roman" w:hAnsi="Times New Roman" w:cs="Times New Roman"/>
        </w:rPr>
        <w:t xml:space="preserve">. § 2810, regarding revenue neutral reconciliation.  </w:t>
      </w:r>
    </w:p>
    <w:p w:rsidR="003A52EE" w:rsidRPr="00CC4458" w:rsidRDefault="003A52EE" w:rsidP="00CC4458">
      <w:pPr>
        <w:pStyle w:val="ParaTab1"/>
        <w:spacing w:line="360" w:lineRule="auto"/>
        <w:rPr>
          <w:rFonts w:ascii="Times New Roman" w:hAnsi="Times New Roman" w:cs="Times New Roman"/>
        </w:rPr>
      </w:pPr>
    </w:p>
    <w:p w:rsidR="003A52EE" w:rsidRDefault="003A52EE" w:rsidP="00CC4458">
      <w:pPr>
        <w:pStyle w:val="ParaTab1"/>
        <w:spacing w:line="360" w:lineRule="auto"/>
        <w:rPr>
          <w:rFonts w:ascii="Times New Roman" w:hAnsi="Times New Roman" w:cs="Times New Roman"/>
        </w:rPr>
      </w:pPr>
      <w:r w:rsidRPr="00CC4458">
        <w:rPr>
          <w:rFonts w:ascii="Times New Roman" w:hAnsi="Times New Roman" w:cs="Times New Roman"/>
        </w:rPr>
        <w:t xml:space="preserve">The Commission has specifically addressed its authority to direct EGSs to refund charges for electric generation supply service.  In </w:t>
      </w:r>
      <w:r w:rsidRPr="00CC4458">
        <w:rPr>
          <w:rFonts w:ascii="Times New Roman" w:hAnsi="Times New Roman" w:cs="Times New Roman"/>
          <w:u w:val="single"/>
        </w:rPr>
        <w:t>Commonwealth of Pennsylvania, by Attorney General, Kathleen G. Kane, through the Bureau of Consumer Protection and Tanya J. McCloskey, Acting Consumer Advocate v. IDT Energy, Inc.</w:t>
      </w:r>
      <w:r w:rsidRPr="00CC4458">
        <w:rPr>
          <w:rFonts w:ascii="Times New Roman" w:hAnsi="Times New Roman" w:cs="Times New Roman"/>
        </w:rPr>
        <w:t>, Docket No. C-2014-2427657 (</w:t>
      </w:r>
      <w:r w:rsidR="00004486">
        <w:rPr>
          <w:rFonts w:ascii="Times New Roman" w:hAnsi="Times New Roman" w:cs="Times New Roman"/>
        </w:rPr>
        <w:t xml:space="preserve">Opinion and </w:t>
      </w:r>
      <w:r w:rsidRPr="00CC4458">
        <w:rPr>
          <w:rFonts w:ascii="Times New Roman" w:hAnsi="Times New Roman" w:cs="Times New Roman"/>
        </w:rPr>
        <w:t>Order entered December 18, 2014) (</w:t>
      </w:r>
      <w:r w:rsidRPr="00CC4458">
        <w:rPr>
          <w:rFonts w:ascii="Times New Roman" w:hAnsi="Times New Roman" w:cs="Times New Roman"/>
          <w:u w:val="single"/>
        </w:rPr>
        <w:t>IDT Order</w:t>
      </w:r>
      <w:r w:rsidRPr="00CC4458">
        <w:rPr>
          <w:rFonts w:ascii="Times New Roman" w:hAnsi="Times New Roman" w:cs="Times New Roman"/>
        </w:rPr>
        <w:t xml:space="preserve">), the Commission held that it lacked the authority, pursuant to 66 </w:t>
      </w:r>
      <w:proofErr w:type="spellStart"/>
      <w:r w:rsidRPr="00CC4458">
        <w:rPr>
          <w:rFonts w:ascii="Times New Roman" w:hAnsi="Times New Roman" w:cs="Times New Roman"/>
        </w:rPr>
        <w:t>Pa.C.S</w:t>
      </w:r>
      <w:proofErr w:type="spellEnd"/>
      <w:r w:rsidRPr="00CC4458">
        <w:rPr>
          <w:rFonts w:ascii="Times New Roman" w:hAnsi="Times New Roman" w:cs="Times New Roman"/>
        </w:rPr>
        <w:t xml:space="preserve">. § 1312, to direct EGSs to refund charges for electric generation supply service.  The Commission reached this conclusion because it reasoned that 66 </w:t>
      </w:r>
      <w:proofErr w:type="spellStart"/>
      <w:r w:rsidRPr="00CC4458">
        <w:rPr>
          <w:rFonts w:ascii="Times New Roman" w:hAnsi="Times New Roman" w:cs="Times New Roman"/>
        </w:rPr>
        <w:t>Pa.C.S</w:t>
      </w:r>
      <w:proofErr w:type="spellEnd"/>
      <w:r w:rsidRPr="00CC4458">
        <w:rPr>
          <w:rFonts w:ascii="Times New Roman" w:hAnsi="Times New Roman" w:cs="Times New Roman"/>
        </w:rPr>
        <w:t xml:space="preserve">. § 1312 applied only to rates charged by public utilities and EGSs are not public utilities except for the limited purposes of 66 </w:t>
      </w:r>
      <w:proofErr w:type="spellStart"/>
      <w:r w:rsidRPr="00CC4458">
        <w:rPr>
          <w:rFonts w:ascii="Times New Roman" w:hAnsi="Times New Roman" w:cs="Times New Roman"/>
        </w:rPr>
        <w:t>Pa.C.S</w:t>
      </w:r>
      <w:proofErr w:type="spellEnd"/>
      <w:r w:rsidRPr="00CC4458">
        <w:rPr>
          <w:rFonts w:ascii="Times New Roman" w:hAnsi="Times New Roman" w:cs="Times New Roman"/>
        </w:rPr>
        <w:t>. §§ 2809 and 2810.  Therefore, the Commission c</w:t>
      </w:r>
      <w:r w:rsidR="00004486">
        <w:rPr>
          <w:rFonts w:ascii="Times New Roman" w:hAnsi="Times New Roman" w:cs="Times New Roman"/>
        </w:rPr>
        <w:t>annot</w:t>
      </w:r>
      <w:r w:rsidRPr="00CC4458">
        <w:rPr>
          <w:rFonts w:ascii="Times New Roman" w:hAnsi="Times New Roman" w:cs="Times New Roman"/>
        </w:rPr>
        <w:t xml:space="preserve"> generally refund charges for electric generation supply service. </w:t>
      </w:r>
    </w:p>
    <w:p w:rsidR="00FF286E" w:rsidRPr="00CC4458" w:rsidRDefault="00FF286E" w:rsidP="00CC4458">
      <w:pPr>
        <w:pStyle w:val="ParaTab1"/>
        <w:spacing w:line="360" w:lineRule="auto"/>
        <w:rPr>
          <w:rFonts w:ascii="Times New Roman" w:hAnsi="Times New Roman" w:cs="Times New Roman"/>
        </w:rPr>
      </w:pPr>
    </w:p>
    <w:p w:rsidR="00004486" w:rsidRDefault="003A52EE" w:rsidP="00CC4458">
      <w:pPr>
        <w:pStyle w:val="ParaTab1"/>
        <w:spacing w:line="360" w:lineRule="auto"/>
        <w:rPr>
          <w:rFonts w:ascii="Times New Roman" w:hAnsi="Times New Roman" w:cs="Times New Roman"/>
        </w:rPr>
      </w:pPr>
      <w:r w:rsidRPr="00CC4458">
        <w:rPr>
          <w:rFonts w:ascii="Times New Roman" w:hAnsi="Times New Roman" w:cs="Times New Roman"/>
        </w:rPr>
        <w:t xml:space="preserve">However, the Commission carved out two exceptions to this no refund rule in the </w:t>
      </w:r>
      <w:r w:rsidRPr="00CC4458">
        <w:rPr>
          <w:rFonts w:ascii="Times New Roman" w:hAnsi="Times New Roman" w:cs="Times New Roman"/>
          <w:u w:val="single"/>
        </w:rPr>
        <w:t>IDT Order</w:t>
      </w:r>
      <w:r w:rsidRPr="00CC4458">
        <w:rPr>
          <w:rFonts w:ascii="Times New Roman" w:hAnsi="Times New Roman" w:cs="Times New Roman"/>
        </w:rPr>
        <w:t xml:space="preserve">.  First, the Commission noted that, pursuant to 52 </w:t>
      </w:r>
      <w:proofErr w:type="spellStart"/>
      <w:r w:rsidRPr="00CC4458">
        <w:rPr>
          <w:rFonts w:ascii="Times New Roman" w:hAnsi="Times New Roman" w:cs="Times New Roman"/>
        </w:rPr>
        <w:t>Pa.Code</w:t>
      </w:r>
      <w:proofErr w:type="spellEnd"/>
      <w:r w:rsidRPr="00CC4458">
        <w:rPr>
          <w:rFonts w:ascii="Times New Roman" w:hAnsi="Times New Roman" w:cs="Times New Roman"/>
        </w:rPr>
        <w:t xml:space="preserve"> § 57.177(b), it could direct an EGS to refund charges when a customer has been switched to an EGS without the customer’s consent.  </w:t>
      </w:r>
      <w:r w:rsidR="00004486">
        <w:rPr>
          <w:rFonts w:ascii="Times New Roman" w:hAnsi="Times New Roman" w:cs="Times New Roman"/>
        </w:rPr>
        <w:t xml:space="preserve">This exception is not applicable to the subject proceeding.  </w:t>
      </w:r>
    </w:p>
    <w:p w:rsidR="00004486" w:rsidRDefault="00004486" w:rsidP="00CC4458">
      <w:pPr>
        <w:pStyle w:val="ParaTab1"/>
        <w:spacing w:line="360" w:lineRule="auto"/>
        <w:rPr>
          <w:rFonts w:ascii="Times New Roman" w:hAnsi="Times New Roman" w:cs="Times New Roman"/>
        </w:rPr>
      </w:pPr>
    </w:p>
    <w:p w:rsidR="00004486" w:rsidRDefault="003A52EE" w:rsidP="00CC4458">
      <w:pPr>
        <w:pStyle w:val="ParaTab1"/>
        <w:spacing w:line="360" w:lineRule="auto"/>
        <w:rPr>
          <w:rFonts w:ascii="Times New Roman" w:hAnsi="Times New Roman" w:cs="Times New Roman"/>
        </w:rPr>
      </w:pPr>
      <w:r w:rsidRPr="00CC4458">
        <w:rPr>
          <w:rFonts w:ascii="Times New Roman" w:hAnsi="Times New Roman" w:cs="Times New Roman"/>
        </w:rPr>
        <w:t xml:space="preserve">Second, the Commission stated that it had the authority, pursuant to 66 </w:t>
      </w:r>
      <w:proofErr w:type="spellStart"/>
      <w:r w:rsidRPr="00CC4458">
        <w:rPr>
          <w:rFonts w:ascii="Times New Roman" w:hAnsi="Times New Roman" w:cs="Times New Roman"/>
        </w:rPr>
        <w:t>Pa.C.S</w:t>
      </w:r>
      <w:proofErr w:type="spellEnd"/>
      <w:r w:rsidRPr="00CC4458">
        <w:rPr>
          <w:rFonts w:ascii="Times New Roman" w:hAnsi="Times New Roman" w:cs="Times New Roman"/>
        </w:rPr>
        <w:t>. §</w:t>
      </w:r>
      <w:r w:rsidR="00004486">
        <w:rPr>
          <w:rFonts w:ascii="Times New Roman" w:hAnsi="Times New Roman" w:cs="Times New Roman"/>
        </w:rPr>
        <w:t> </w:t>
      </w:r>
      <w:r w:rsidRPr="00CC4458">
        <w:rPr>
          <w:rFonts w:ascii="Times New Roman" w:hAnsi="Times New Roman" w:cs="Times New Roman"/>
        </w:rPr>
        <w:t xml:space="preserve">501, to order a credit or refund where the EGS overbills a customer by failing to bill a customer in accordance with its disclosure statement, in violation of 52 </w:t>
      </w:r>
      <w:proofErr w:type="spellStart"/>
      <w:r w:rsidRPr="00CC4458">
        <w:rPr>
          <w:rFonts w:ascii="Times New Roman" w:hAnsi="Times New Roman" w:cs="Times New Roman"/>
        </w:rPr>
        <w:t>Pa.Code</w:t>
      </w:r>
      <w:proofErr w:type="spellEnd"/>
      <w:r w:rsidRPr="00CC4458">
        <w:rPr>
          <w:rFonts w:ascii="Times New Roman" w:hAnsi="Times New Roman" w:cs="Times New Roman"/>
        </w:rPr>
        <w:t xml:space="preserve"> §§ 54.4(a) and 54.5(a) and 66 </w:t>
      </w:r>
      <w:proofErr w:type="spellStart"/>
      <w:r w:rsidRPr="00CC4458">
        <w:rPr>
          <w:rFonts w:ascii="Times New Roman" w:hAnsi="Times New Roman" w:cs="Times New Roman"/>
        </w:rPr>
        <w:t>Pa.C.S</w:t>
      </w:r>
      <w:proofErr w:type="spellEnd"/>
      <w:r w:rsidRPr="00CC4458">
        <w:rPr>
          <w:rFonts w:ascii="Times New Roman" w:hAnsi="Times New Roman" w:cs="Times New Roman"/>
        </w:rPr>
        <w:t xml:space="preserve">. § 2809(b).   </w:t>
      </w:r>
    </w:p>
    <w:p w:rsidR="00303A85" w:rsidRDefault="003A52EE" w:rsidP="00CC4458">
      <w:pPr>
        <w:pStyle w:val="ParaTab1"/>
        <w:spacing w:line="360" w:lineRule="auto"/>
        <w:rPr>
          <w:rFonts w:ascii="Times New Roman" w:hAnsi="Times New Roman" w:cs="Times New Roman"/>
        </w:rPr>
      </w:pPr>
      <w:r w:rsidRPr="00CC4458">
        <w:rPr>
          <w:rFonts w:ascii="Times New Roman" w:hAnsi="Times New Roman" w:cs="Times New Roman"/>
        </w:rPr>
        <w:t xml:space="preserve"> </w:t>
      </w:r>
    </w:p>
    <w:p w:rsidR="00303A85" w:rsidRDefault="00303A85">
      <w:pPr>
        <w:rPr>
          <w:sz w:val="24"/>
          <w:szCs w:val="24"/>
        </w:rPr>
      </w:pPr>
      <w:r>
        <w:br w:type="page"/>
      </w:r>
    </w:p>
    <w:p w:rsidR="00C75A88" w:rsidRDefault="00C75A88" w:rsidP="00C75A88">
      <w:pPr>
        <w:tabs>
          <w:tab w:val="left" w:pos="-1440"/>
          <w:tab w:val="left" w:pos="-720"/>
        </w:tabs>
        <w:suppressAutoHyphens/>
        <w:spacing w:line="360" w:lineRule="auto"/>
        <w:ind w:firstLine="1440"/>
        <w:rPr>
          <w:spacing w:val="-3"/>
          <w:sz w:val="24"/>
          <w:szCs w:val="24"/>
        </w:rPr>
      </w:pPr>
      <w:r w:rsidRPr="00EF4175">
        <w:rPr>
          <w:spacing w:val="-3"/>
          <w:sz w:val="24"/>
          <w:szCs w:val="24"/>
        </w:rPr>
        <w:lastRenderedPageBreak/>
        <w:t>Chapter 5</w:t>
      </w:r>
      <w:r>
        <w:rPr>
          <w:spacing w:val="-3"/>
          <w:sz w:val="24"/>
          <w:szCs w:val="24"/>
        </w:rPr>
        <w:t xml:space="preserve">4 of the Public Utility Code regulations is entitled “Electricity Generation Customer Choice.”  Section 54.1(a) states: </w:t>
      </w:r>
    </w:p>
    <w:p w:rsidR="00C75A88" w:rsidRDefault="00C75A88" w:rsidP="00C75A88">
      <w:pPr>
        <w:tabs>
          <w:tab w:val="left" w:pos="-1440"/>
          <w:tab w:val="left" w:pos="-720"/>
        </w:tabs>
        <w:suppressAutoHyphens/>
        <w:ind w:left="2160" w:right="1440"/>
        <w:rPr>
          <w:spacing w:val="-3"/>
          <w:sz w:val="24"/>
          <w:szCs w:val="24"/>
        </w:rPr>
      </w:pPr>
      <w:r>
        <w:rPr>
          <w:spacing w:val="-3"/>
          <w:sz w:val="24"/>
          <w:szCs w:val="24"/>
        </w:rPr>
        <w:t>The purpose of this subchapter is to require that electricity providers enable customers to make informed choices regarding the purchase of electricity services offered by providing adequate and accurate customer information.  Information shall be provided to customers in an understandable format that enables customers to compare prices and services on a uniform basis.</w:t>
      </w:r>
    </w:p>
    <w:p w:rsidR="00C75A88" w:rsidRDefault="00C75A88" w:rsidP="00C75A88">
      <w:pPr>
        <w:tabs>
          <w:tab w:val="left" w:pos="-1440"/>
          <w:tab w:val="left" w:pos="-720"/>
        </w:tabs>
        <w:suppressAutoHyphens/>
        <w:ind w:left="2160" w:right="1440"/>
        <w:rPr>
          <w:spacing w:val="-3"/>
          <w:sz w:val="24"/>
          <w:szCs w:val="24"/>
        </w:rPr>
      </w:pPr>
    </w:p>
    <w:p w:rsidR="00C75A88" w:rsidRDefault="00C75A88" w:rsidP="00C75A88">
      <w:pPr>
        <w:tabs>
          <w:tab w:val="left" w:pos="-1440"/>
          <w:tab w:val="left" w:pos="-720"/>
        </w:tabs>
        <w:suppressAutoHyphens/>
        <w:spacing w:line="360" w:lineRule="auto"/>
        <w:ind w:left="2160" w:right="1440"/>
        <w:rPr>
          <w:spacing w:val="-3"/>
          <w:sz w:val="24"/>
          <w:szCs w:val="24"/>
        </w:rPr>
      </w:pPr>
      <w:r>
        <w:rPr>
          <w:spacing w:val="-3"/>
          <w:sz w:val="24"/>
          <w:szCs w:val="24"/>
        </w:rPr>
        <w:t xml:space="preserve">52 </w:t>
      </w:r>
      <w:proofErr w:type="spellStart"/>
      <w:r>
        <w:rPr>
          <w:spacing w:val="-3"/>
          <w:sz w:val="24"/>
          <w:szCs w:val="24"/>
        </w:rPr>
        <w:t>Pa.Code</w:t>
      </w:r>
      <w:proofErr w:type="spellEnd"/>
      <w:r>
        <w:rPr>
          <w:spacing w:val="-3"/>
          <w:sz w:val="24"/>
          <w:szCs w:val="24"/>
        </w:rPr>
        <w:t xml:space="preserve"> § 54.1(a)</w:t>
      </w:r>
    </w:p>
    <w:p w:rsidR="00C75A88" w:rsidRDefault="00C75A88" w:rsidP="005B0677">
      <w:pPr>
        <w:tabs>
          <w:tab w:val="left" w:pos="-1440"/>
          <w:tab w:val="left" w:pos="-720"/>
        </w:tabs>
        <w:suppressAutoHyphens/>
        <w:ind w:firstLine="1440"/>
        <w:rPr>
          <w:spacing w:val="-3"/>
          <w:sz w:val="24"/>
          <w:szCs w:val="24"/>
        </w:rPr>
      </w:pPr>
    </w:p>
    <w:p w:rsidR="00C75A88" w:rsidRDefault="00C75A88" w:rsidP="00C75A88">
      <w:pPr>
        <w:tabs>
          <w:tab w:val="left" w:pos="-1440"/>
          <w:tab w:val="left" w:pos="-720"/>
        </w:tabs>
        <w:suppressAutoHyphens/>
        <w:spacing w:line="360" w:lineRule="auto"/>
        <w:ind w:firstLine="1440"/>
        <w:rPr>
          <w:spacing w:val="-3"/>
          <w:sz w:val="24"/>
          <w:szCs w:val="24"/>
        </w:rPr>
      </w:pPr>
      <w:r>
        <w:rPr>
          <w:spacing w:val="-3"/>
          <w:sz w:val="24"/>
          <w:szCs w:val="24"/>
        </w:rPr>
        <w:t>Subsection (b) states:</w:t>
      </w:r>
    </w:p>
    <w:p w:rsidR="00C75A88" w:rsidRDefault="00C75A88" w:rsidP="00C75A88">
      <w:pPr>
        <w:tabs>
          <w:tab w:val="left" w:pos="-1440"/>
          <w:tab w:val="left" w:pos="-720"/>
        </w:tabs>
        <w:suppressAutoHyphens/>
        <w:ind w:left="2160" w:right="1440"/>
        <w:rPr>
          <w:spacing w:val="-3"/>
          <w:sz w:val="24"/>
          <w:szCs w:val="24"/>
        </w:rPr>
      </w:pPr>
      <w:r>
        <w:rPr>
          <w:spacing w:val="-3"/>
          <w:sz w:val="24"/>
          <w:szCs w:val="24"/>
        </w:rPr>
        <w:t xml:space="preserve">As to the scope of this subchapter, this section and §§ 54.2-54.3 apply to all customers, including large commercial and industrial customers.  </w:t>
      </w:r>
      <w:r w:rsidRPr="00C75A88">
        <w:rPr>
          <w:spacing w:val="-3"/>
          <w:sz w:val="24"/>
          <w:szCs w:val="24"/>
        </w:rPr>
        <w:t>Sections 54.4-54.9 apply only to</w:t>
      </w:r>
      <w:r w:rsidR="000A6769">
        <w:rPr>
          <w:spacing w:val="-3"/>
          <w:sz w:val="24"/>
          <w:szCs w:val="24"/>
        </w:rPr>
        <w:t xml:space="preserve"> </w:t>
      </w:r>
      <w:r w:rsidRPr="00C75A88">
        <w:rPr>
          <w:spacing w:val="-3"/>
          <w:sz w:val="24"/>
          <w:szCs w:val="24"/>
        </w:rPr>
        <w:t>residential and small business customers,</w:t>
      </w:r>
      <w:r>
        <w:rPr>
          <w:spacing w:val="-3"/>
          <w:sz w:val="24"/>
          <w:szCs w:val="24"/>
        </w:rPr>
        <w:t xml:space="preserve"> as the term is defined in § 54.2 (relating to definitions) (emphasis added).</w:t>
      </w:r>
    </w:p>
    <w:p w:rsidR="00C75A88" w:rsidRDefault="00C75A88" w:rsidP="00C75A88">
      <w:pPr>
        <w:tabs>
          <w:tab w:val="left" w:pos="-1440"/>
          <w:tab w:val="left" w:pos="-720"/>
        </w:tabs>
        <w:suppressAutoHyphens/>
        <w:ind w:left="2160" w:right="1440"/>
        <w:rPr>
          <w:spacing w:val="-3"/>
          <w:sz w:val="24"/>
          <w:szCs w:val="24"/>
        </w:rPr>
      </w:pPr>
    </w:p>
    <w:p w:rsidR="00C75A88" w:rsidRDefault="00C75A88" w:rsidP="00C75A88">
      <w:pPr>
        <w:tabs>
          <w:tab w:val="left" w:pos="-1440"/>
          <w:tab w:val="left" w:pos="-720"/>
        </w:tabs>
        <w:suppressAutoHyphens/>
        <w:spacing w:line="360" w:lineRule="auto"/>
        <w:ind w:left="2160" w:right="1440"/>
        <w:rPr>
          <w:spacing w:val="-3"/>
          <w:sz w:val="24"/>
          <w:szCs w:val="24"/>
        </w:rPr>
      </w:pPr>
      <w:r>
        <w:rPr>
          <w:spacing w:val="-3"/>
          <w:sz w:val="24"/>
          <w:szCs w:val="24"/>
        </w:rPr>
        <w:t xml:space="preserve">52 </w:t>
      </w:r>
      <w:proofErr w:type="spellStart"/>
      <w:r>
        <w:rPr>
          <w:spacing w:val="-3"/>
          <w:sz w:val="24"/>
          <w:szCs w:val="24"/>
        </w:rPr>
        <w:t>Pa.Code</w:t>
      </w:r>
      <w:proofErr w:type="spellEnd"/>
      <w:r>
        <w:rPr>
          <w:spacing w:val="-3"/>
          <w:sz w:val="24"/>
          <w:szCs w:val="24"/>
        </w:rPr>
        <w:t xml:space="preserve"> § 54.1(b)</w:t>
      </w:r>
    </w:p>
    <w:p w:rsidR="00C75A88" w:rsidRDefault="00C75A88" w:rsidP="005B0677">
      <w:pPr>
        <w:tabs>
          <w:tab w:val="left" w:pos="-1440"/>
          <w:tab w:val="left" w:pos="-720"/>
        </w:tabs>
        <w:suppressAutoHyphens/>
        <w:ind w:firstLine="1440"/>
        <w:rPr>
          <w:spacing w:val="-3"/>
          <w:sz w:val="24"/>
          <w:szCs w:val="24"/>
        </w:rPr>
      </w:pPr>
    </w:p>
    <w:p w:rsidR="00C75A88" w:rsidRDefault="00C75A88" w:rsidP="00C75A88">
      <w:pPr>
        <w:tabs>
          <w:tab w:val="left" w:pos="-1440"/>
          <w:tab w:val="left" w:pos="-720"/>
        </w:tabs>
        <w:suppressAutoHyphens/>
        <w:spacing w:line="360" w:lineRule="auto"/>
        <w:ind w:firstLine="1440"/>
        <w:rPr>
          <w:spacing w:val="-3"/>
          <w:sz w:val="24"/>
          <w:szCs w:val="24"/>
        </w:rPr>
      </w:pPr>
      <w:r>
        <w:rPr>
          <w:spacing w:val="-3"/>
          <w:sz w:val="24"/>
          <w:szCs w:val="24"/>
        </w:rPr>
        <w:t>The Public Utility Code regulations define a “s</w:t>
      </w:r>
      <w:r w:rsidRPr="00EF38B7">
        <w:rPr>
          <w:spacing w:val="-3"/>
          <w:sz w:val="24"/>
          <w:szCs w:val="24"/>
        </w:rPr>
        <w:t xml:space="preserve">mall </w:t>
      </w:r>
      <w:r>
        <w:rPr>
          <w:spacing w:val="-3"/>
          <w:sz w:val="24"/>
          <w:szCs w:val="24"/>
        </w:rPr>
        <w:t>business c</w:t>
      </w:r>
      <w:r w:rsidRPr="00EF38B7">
        <w:rPr>
          <w:spacing w:val="-3"/>
          <w:sz w:val="24"/>
          <w:szCs w:val="24"/>
        </w:rPr>
        <w:t>ustomer</w:t>
      </w:r>
      <w:r>
        <w:rPr>
          <w:spacing w:val="-3"/>
          <w:sz w:val="24"/>
          <w:szCs w:val="24"/>
        </w:rPr>
        <w:t xml:space="preserve">.” </w:t>
      </w:r>
    </w:p>
    <w:p w:rsidR="00C75A88" w:rsidRDefault="00C75A88" w:rsidP="00C75A88">
      <w:pPr>
        <w:tabs>
          <w:tab w:val="left" w:pos="-1440"/>
          <w:tab w:val="left" w:pos="-720"/>
        </w:tabs>
        <w:suppressAutoHyphens/>
        <w:ind w:left="2160" w:right="1350"/>
        <w:rPr>
          <w:spacing w:val="-3"/>
          <w:sz w:val="24"/>
          <w:szCs w:val="24"/>
        </w:rPr>
      </w:pPr>
      <w:r>
        <w:rPr>
          <w:spacing w:val="-3"/>
          <w:sz w:val="24"/>
          <w:szCs w:val="24"/>
        </w:rPr>
        <w:t xml:space="preserve">The term refers to a person, sole proprietorship, partnership, corporation, association or other business entity that receives electric service under a small commercial, small industrial or small business rate classification, and whose maximum registered peak load was less than 25 kW within the last 12 months.  </w:t>
      </w:r>
    </w:p>
    <w:p w:rsidR="00C75A88" w:rsidRDefault="00C75A88" w:rsidP="00C75A88">
      <w:pPr>
        <w:tabs>
          <w:tab w:val="left" w:pos="-1440"/>
          <w:tab w:val="left" w:pos="-720"/>
        </w:tabs>
        <w:suppressAutoHyphens/>
        <w:ind w:left="2160" w:right="1350"/>
        <w:rPr>
          <w:spacing w:val="-3"/>
          <w:sz w:val="24"/>
          <w:szCs w:val="24"/>
        </w:rPr>
      </w:pPr>
    </w:p>
    <w:p w:rsidR="00C75A88" w:rsidRDefault="00C75A88" w:rsidP="00C75A88">
      <w:pPr>
        <w:tabs>
          <w:tab w:val="left" w:pos="-1440"/>
          <w:tab w:val="left" w:pos="-720"/>
        </w:tabs>
        <w:suppressAutoHyphens/>
        <w:spacing w:line="360" w:lineRule="auto"/>
        <w:ind w:left="2160" w:right="1350"/>
        <w:rPr>
          <w:spacing w:val="-3"/>
          <w:sz w:val="24"/>
          <w:szCs w:val="24"/>
        </w:rPr>
      </w:pPr>
      <w:r>
        <w:rPr>
          <w:spacing w:val="-3"/>
          <w:sz w:val="24"/>
          <w:szCs w:val="24"/>
        </w:rPr>
        <w:t xml:space="preserve">52 </w:t>
      </w:r>
      <w:proofErr w:type="spellStart"/>
      <w:r>
        <w:rPr>
          <w:spacing w:val="-3"/>
          <w:sz w:val="24"/>
          <w:szCs w:val="24"/>
        </w:rPr>
        <w:t>Pa.Code</w:t>
      </w:r>
      <w:proofErr w:type="spellEnd"/>
      <w:r>
        <w:rPr>
          <w:spacing w:val="-3"/>
          <w:sz w:val="24"/>
          <w:szCs w:val="24"/>
        </w:rPr>
        <w:t xml:space="preserve"> § 54.2</w:t>
      </w:r>
    </w:p>
    <w:p w:rsidR="005C28F8" w:rsidRDefault="005C28F8" w:rsidP="005B0677">
      <w:pPr>
        <w:tabs>
          <w:tab w:val="left" w:pos="-1440"/>
          <w:tab w:val="left" w:pos="-720"/>
        </w:tabs>
        <w:suppressAutoHyphens/>
        <w:ind w:left="2160" w:right="1350"/>
        <w:rPr>
          <w:spacing w:val="-3"/>
          <w:sz w:val="24"/>
          <w:szCs w:val="24"/>
        </w:rPr>
      </w:pPr>
    </w:p>
    <w:p w:rsidR="005C28F8" w:rsidRPr="005C28F8" w:rsidRDefault="005C28F8" w:rsidP="005C28F8">
      <w:pPr>
        <w:tabs>
          <w:tab w:val="left" w:pos="-1440"/>
          <w:tab w:val="left" w:pos="-720"/>
        </w:tabs>
        <w:suppressAutoHyphens/>
        <w:ind w:left="2160" w:right="1440"/>
        <w:rPr>
          <w:spacing w:val="-3"/>
          <w:sz w:val="24"/>
          <w:szCs w:val="24"/>
        </w:rPr>
      </w:pPr>
      <w:r w:rsidRPr="005C28F8">
        <w:rPr>
          <w:spacing w:val="-3"/>
          <w:sz w:val="24"/>
          <w:szCs w:val="24"/>
        </w:rPr>
        <w:t>Section 54.3 – Standards and pricing practices for retail    electricity service, provides as follows:</w:t>
      </w:r>
    </w:p>
    <w:p w:rsidR="005C28F8" w:rsidRPr="005C28F8" w:rsidRDefault="005C28F8" w:rsidP="005C28F8">
      <w:pPr>
        <w:tabs>
          <w:tab w:val="left" w:pos="-1440"/>
          <w:tab w:val="left" w:pos="-720"/>
        </w:tabs>
        <w:suppressAutoHyphens/>
        <w:ind w:right="1440"/>
        <w:rPr>
          <w:spacing w:val="-3"/>
          <w:sz w:val="24"/>
          <w:szCs w:val="24"/>
        </w:rPr>
      </w:pPr>
    </w:p>
    <w:p w:rsidR="005C28F8" w:rsidRPr="005C28F8" w:rsidRDefault="005C28F8" w:rsidP="005C28F8">
      <w:pPr>
        <w:tabs>
          <w:tab w:val="left" w:pos="-1440"/>
          <w:tab w:val="left" w:pos="-720"/>
        </w:tabs>
        <w:suppressAutoHyphens/>
        <w:ind w:left="2160" w:right="1350"/>
        <w:rPr>
          <w:spacing w:val="-3"/>
          <w:sz w:val="24"/>
          <w:szCs w:val="24"/>
        </w:rPr>
      </w:pPr>
      <w:r w:rsidRPr="005C28F8">
        <w:rPr>
          <w:spacing w:val="-3"/>
          <w:sz w:val="24"/>
          <w:szCs w:val="24"/>
        </w:rPr>
        <w:t>In furnishing retail electricity service, EDCs and EGSs or any entity that otherwise provides retail electricity service information to customers, shall comply with the following:</w:t>
      </w:r>
    </w:p>
    <w:p w:rsidR="005C28F8" w:rsidRPr="005C28F8" w:rsidRDefault="005C28F8" w:rsidP="005C28F8">
      <w:pPr>
        <w:tabs>
          <w:tab w:val="left" w:pos="-1440"/>
          <w:tab w:val="left" w:pos="-720"/>
        </w:tabs>
        <w:suppressAutoHyphens/>
        <w:ind w:left="2160" w:right="1350"/>
        <w:rPr>
          <w:spacing w:val="-3"/>
          <w:sz w:val="24"/>
          <w:szCs w:val="24"/>
        </w:rPr>
      </w:pPr>
    </w:p>
    <w:p w:rsidR="005C28F8" w:rsidRPr="005C28F8" w:rsidRDefault="005C28F8" w:rsidP="005C28F8">
      <w:pPr>
        <w:pStyle w:val="ListParagraph"/>
        <w:numPr>
          <w:ilvl w:val="0"/>
          <w:numId w:val="32"/>
        </w:numPr>
        <w:tabs>
          <w:tab w:val="left" w:pos="-1440"/>
          <w:tab w:val="left" w:pos="-720"/>
        </w:tabs>
        <w:suppressAutoHyphens/>
        <w:ind w:left="2160" w:right="1350" w:firstLine="360"/>
        <w:rPr>
          <w:spacing w:val="-3"/>
          <w:sz w:val="24"/>
          <w:szCs w:val="24"/>
        </w:rPr>
      </w:pPr>
      <w:r w:rsidRPr="005C28F8">
        <w:rPr>
          <w:spacing w:val="-3"/>
          <w:sz w:val="24"/>
          <w:szCs w:val="24"/>
        </w:rPr>
        <w:t xml:space="preserve">Use common and consistent terminology in customer communications, including marketing, billing and disclosure statements. </w:t>
      </w:r>
    </w:p>
    <w:p w:rsidR="005C28F8" w:rsidRPr="005C28F8" w:rsidRDefault="005C28F8" w:rsidP="005C28F8">
      <w:pPr>
        <w:pStyle w:val="ListParagraph"/>
        <w:tabs>
          <w:tab w:val="left" w:pos="-1440"/>
          <w:tab w:val="left" w:pos="-720"/>
        </w:tabs>
        <w:suppressAutoHyphens/>
        <w:ind w:left="2520" w:right="1350"/>
        <w:rPr>
          <w:spacing w:val="-3"/>
          <w:sz w:val="24"/>
          <w:szCs w:val="24"/>
        </w:rPr>
      </w:pPr>
    </w:p>
    <w:p w:rsidR="005C28F8" w:rsidRPr="005C28F8" w:rsidRDefault="005C28F8" w:rsidP="005C28F8">
      <w:pPr>
        <w:tabs>
          <w:tab w:val="left" w:pos="-1440"/>
          <w:tab w:val="left" w:pos="-720"/>
        </w:tabs>
        <w:suppressAutoHyphens/>
        <w:spacing w:line="360" w:lineRule="auto"/>
        <w:ind w:left="2160" w:right="1350"/>
        <w:rPr>
          <w:spacing w:val="-3"/>
          <w:sz w:val="24"/>
          <w:szCs w:val="24"/>
        </w:rPr>
      </w:pPr>
      <w:r w:rsidRPr="005C28F8">
        <w:rPr>
          <w:spacing w:val="-3"/>
          <w:sz w:val="24"/>
          <w:szCs w:val="24"/>
        </w:rPr>
        <w:t xml:space="preserve">52 </w:t>
      </w:r>
      <w:proofErr w:type="spellStart"/>
      <w:r w:rsidRPr="005C28F8">
        <w:rPr>
          <w:spacing w:val="-3"/>
          <w:sz w:val="24"/>
          <w:szCs w:val="24"/>
        </w:rPr>
        <w:t>Pa.Code</w:t>
      </w:r>
      <w:proofErr w:type="spellEnd"/>
      <w:r w:rsidRPr="005C28F8">
        <w:rPr>
          <w:spacing w:val="-3"/>
          <w:sz w:val="24"/>
          <w:szCs w:val="24"/>
        </w:rPr>
        <w:t xml:space="preserve"> § 54.3</w:t>
      </w:r>
    </w:p>
    <w:p w:rsidR="00C75A88" w:rsidRDefault="00C75A88" w:rsidP="00CC4458">
      <w:pPr>
        <w:tabs>
          <w:tab w:val="left" w:pos="-1440"/>
          <w:tab w:val="left" w:pos="-720"/>
        </w:tabs>
        <w:suppressAutoHyphens/>
        <w:spacing w:line="360" w:lineRule="auto"/>
        <w:ind w:firstLine="1440"/>
        <w:rPr>
          <w:spacing w:val="-3"/>
          <w:sz w:val="24"/>
          <w:szCs w:val="24"/>
        </w:rPr>
      </w:pPr>
      <w:bookmarkStart w:id="0" w:name="_GoBack"/>
      <w:bookmarkEnd w:id="0"/>
      <w:r w:rsidRPr="00CC4458">
        <w:rPr>
          <w:spacing w:val="-3"/>
          <w:sz w:val="24"/>
          <w:szCs w:val="24"/>
        </w:rPr>
        <w:lastRenderedPageBreak/>
        <w:t xml:space="preserve">Complainant is not a small business customer.  </w:t>
      </w:r>
      <w:proofErr w:type="gramStart"/>
      <w:r w:rsidRPr="00CC4458">
        <w:rPr>
          <w:sz w:val="24"/>
          <w:szCs w:val="24"/>
        </w:rPr>
        <w:t>(Tr. 43</w:t>
      </w:r>
      <w:r w:rsidR="00EF4175">
        <w:rPr>
          <w:sz w:val="24"/>
          <w:szCs w:val="24"/>
        </w:rPr>
        <w:t>-</w:t>
      </w:r>
      <w:r w:rsidRPr="00CC4458">
        <w:rPr>
          <w:sz w:val="24"/>
          <w:szCs w:val="24"/>
        </w:rPr>
        <w:t>44; Complainant Exhibit 4)</w:t>
      </w:r>
      <w:r w:rsidRPr="00CC4458">
        <w:rPr>
          <w:spacing w:val="-3"/>
          <w:sz w:val="24"/>
          <w:szCs w:val="24"/>
        </w:rPr>
        <w:t>.</w:t>
      </w:r>
      <w:proofErr w:type="gramEnd"/>
      <w:r w:rsidRPr="00CC4458">
        <w:rPr>
          <w:spacing w:val="-3"/>
          <w:sz w:val="24"/>
          <w:szCs w:val="24"/>
        </w:rPr>
        <w:t xml:space="preserve">  Therefore, Sections 54.2 and 54.3 </w:t>
      </w:r>
      <w:r w:rsidR="00DD4749">
        <w:rPr>
          <w:spacing w:val="-3"/>
          <w:sz w:val="24"/>
          <w:szCs w:val="24"/>
        </w:rPr>
        <w:t xml:space="preserve">do not </w:t>
      </w:r>
      <w:r w:rsidRPr="00CC4458">
        <w:rPr>
          <w:spacing w:val="-3"/>
          <w:sz w:val="24"/>
          <w:szCs w:val="24"/>
        </w:rPr>
        <w:t>apply</w:t>
      </w:r>
      <w:r w:rsidR="00DD4749">
        <w:rPr>
          <w:spacing w:val="-3"/>
          <w:sz w:val="24"/>
          <w:szCs w:val="24"/>
        </w:rPr>
        <w:t>, based upon the facts presented in this dispute</w:t>
      </w:r>
      <w:r w:rsidRPr="00CC4458">
        <w:rPr>
          <w:spacing w:val="-3"/>
          <w:sz w:val="24"/>
          <w:szCs w:val="24"/>
        </w:rPr>
        <w:t xml:space="preserve">.  </w:t>
      </w:r>
      <w:proofErr w:type="gramStart"/>
      <w:r w:rsidRPr="00CC4458">
        <w:rPr>
          <w:spacing w:val="-3"/>
          <w:sz w:val="24"/>
          <w:szCs w:val="24"/>
        </w:rPr>
        <w:t>52</w:t>
      </w:r>
      <w:r w:rsidR="00DD4749">
        <w:rPr>
          <w:spacing w:val="-3"/>
          <w:sz w:val="24"/>
          <w:szCs w:val="24"/>
        </w:rPr>
        <w:t> </w:t>
      </w:r>
      <w:proofErr w:type="spellStart"/>
      <w:r w:rsidRPr="00CC4458">
        <w:rPr>
          <w:spacing w:val="-3"/>
          <w:sz w:val="24"/>
          <w:szCs w:val="24"/>
        </w:rPr>
        <w:t>Pa.Code</w:t>
      </w:r>
      <w:proofErr w:type="spellEnd"/>
      <w:r w:rsidRPr="00CC4458">
        <w:rPr>
          <w:spacing w:val="-3"/>
          <w:sz w:val="24"/>
          <w:szCs w:val="24"/>
        </w:rPr>
        <w:t xml:space="preserve"> §§ 54.2 and 54.3.</w:t>
      </w:r>
      <w:proofErr w:type="gramEnd"/>
    </w:p>
    <w:p w:rsidR="00FF286E" w:rsidRPr="00CC4458" w:rsidRDefault="00FF286E" w:rsidP="00CC4458">
      <w:pPr>
        <w:tabs>
          <w:tab w:val="left" w:pos="-1440"/>
          <w:tab w:val="left" w:pos="-720"/>
        </w:tabs>
        <w:suppressAutoHyphens/>
        <w:spacing w:line="360" w:lineRule="auto"/>
        <w:ind w:firstLine="1440"/>
        <w:rPr>
          <w:spacing w:val="-3"/>
          <w:sz w:val="24"/>
          <w:szCs w:val="24"/>
        </w:rPr>
      </w:pPr>
    </w:p>
    <w:p w:rsidR="0014315D" w:rsidRPr="00CC4458" w:rsidRDefault="004E3D3C" w:rsidP="00777081">
      <w:pPr>
        <w:spacing w:line="360" w:lineRule="auto"/>
        <w:ind w:firstLine="720"/>
        <w:rPr>
          <w:sz w:val="24"/>
          <w:szCs w:val="24"/>
        </w:rPr>
      </w:pPr>
      <w:r>
        <w:rPr>
          <w:b/>
          <w:sz w:val="24"/>
          <w:szCs w:val="24"/>
        </w:rPr>
        <w:tab/>
      </w:r>
      <w:r w:rsidR="00DB46EB" w:rsidRPr="00CC4458">
        <w:rPr>
          <w:sz w:val="24"/>
          <w:szCs w:val="24"/>
        </w:rPr>
        <w:t xml:space="preserve">Complainant alleged that there were </w:t>
      </w:r>
      <w:r w:rsidR="00777081">
        <w:rPr>
          <w:sz w:val="24"/>
          <w:szCs w:val="24"/>
        </w:rPr>
        <w:t>excessive</w:t>
      </w:r>
      <w:r w:rsidR="00DB46EB" w:rsidRPr="00CC4458">
        <w:rPr>
          <w:sz w:val="24"/>
          <w:szCs w:val="24"/>
        </w:rPr>
        <w:t xml:space="preserve"> charges on its bill and that Respondent unilaterally, without notice, increased Complainant’s rate.  </w:t>
      </w:r>
      <w:r w:rsidR="0014315D" w:rsidRPr="00CC4458">
        <w:rPr>
          <w:sz w:val="24"/>
          <w:szCs w:val="24"/>
        </w:rPr>
        <w:t>Complainant wants the charges from January 2014</w:t>
      </w:r>
      <w:r w:rsidR="004B5D68" w:rsidRPr="00CC4458">
        <w:rPr>
          <w:sz w:val="24"/>
          <w:szCs w:val="24"/>
        </w:rPr>
        <w:t xml:space="preserve"> and February</w:t>
      </w:r>
      <w:r w:rsidR="0014315D" w:rsidRPr="00CC4458">
        <w:rPr>
          <w:sz w:val="24"/>
          <w:szCs w:val="24"/>
        </w:rPr>
        <w:t xml:space="preserve"> 2014</w:t>
      </w:r>
      <w:r w:rsidR="00C82E88" w:rsidRPr="00CC4458">
        <w:rPr>
          <w:sz w:val="24"/>
          <w:szCs w:val="24"/>
        </w:rPr>
        <w:t>,</w:t>
      </w:r>
      <w:r w:rsidR="0014315D" w:rsidRPr="00CC4458">
        <w:rPr>
          <w:sz w:val="24"/>
          <w:szCs w:val="24"/>
        </w:rPr>
        <w:t xml:space="preserve"> that were above the rate of </w:t>
      </w:r>
      <w:r w:rsidR="004B5D68" w:rsidRPr="00CC4458">
        <w:rPr>
          <w:sz w:val="24"/>
          <w:szCs w:val="24"/>
        </w:rPr>
        <w:t>.0950 per kilowatt hour</w:t>
      </w:r>
      <w:r w:rsidR="0014315D" w:rsidRPr="00CC4458">
        <w:rPr>
          <w:sz w:val="24"/>
          <w:szCs w:val="24"/>
        </w:rPr>
        <w:t xml:space="preserve"> to be refunded.  There is no dispute that the Complainant entered into a contract with Respondent.   </w:t>
      </w:r>
    </w:p>
    <w:p w:rsidR="0014315D" w:rsidRDefault="0014315D" w:rsidP="00CC4458">
      <w:pPr>
        <w:tabs>
          <w:tab w:val="left" w:pos="-1440"/>
          <w:tab w:val="left" w:pos="-720"/>
        </w:tabs>
        <w:suppressAutoHyphens/>
        <w:spacing w:line="360" w:lineRule="auto"/>
        <w:ind w:firstLine="1440"/>
        <w:rPr>
          <w:sz w:val="24"/>
          <w:szCs w:val="24"/>
        </w:rPr>
      </w:pPr>
    </w:p>
    <w:p w:rsidR="00777081" w:rsidRDefault="00777081" w:rsidP="00CC4458">
      <w:pPr>
        <w:tabs>
          <w:tab w:val="left" w:pos="-1440"/>
          <w:tab w:val="left" w:pos="-720"/>
        </w:tabs>
        <w:suppressAutoHyphens/>
        <w:spacing w:line="360" w:lineRule="auto"/>
        <w:ind w:firstLine="1440"/>
        <w:rPr>
          <w:sz w:val="24"/>
          <w:szCs w:val="24"/>
        </w:rPr>
      </w:pPr>
      <w:r>
        <w:rPr>
          <w:sz w:val="24"/>
          <w:szCs w:val="24"/>
        </w:rPr>
        <w:t xml:space="preserve">Based upon the evidence presented in this matter, Complainant is not a residential or small business customer, and therefore, 52 </w:t>
      </w:r>
      <w:proofErr w:type="spellStart"/>
      <w:r>
        <w:rPr>
          <w:sz w:val="24"/>
          <w:szCs w:val="24"/>
        </w:rPr>
        <w:t>Pa.Code</w:t>
      </w:r>
      <w:proofErr w:type="spellEnd"/>
      <w:r>
        <w:rPr>
          <w:sz w:val="24"/>
          <w:szCs w:val="24"/>
        </w:rPr>
        <w:t xml:space="preserve"> § 54.4(a) and 54.5(a) do not apply to this proceeding.  Accordingly, the Commission lacks the authority to refund charges for the electric generation supply service provided in this case.</w:t>
      </w:r>
    </w:p>
    <w:p w:rsidR="00777081" w:rsidRPr="00CC4458" w:rsidRDefault="00777081" w:rsidP="00CC4458">
      <w:pPr>
        <w:tabs>
          <w:tab w:val="left" w:pos="-1440"/>
          <w:tab w:val="left" w:pos="-720"/>
        </w:tabs>
        <w:suppressAutoHyphens/>
        <w:spacing w:line="360" w:lineRule="auto"/>
        <w:ind w:firstLine="1440"/>
        <w:rPr>
          <w:sz w:val="24"/>
          <w:szCs w:val="24"/>
        </w:rPr>
      </w:pPr>
    </w:p>
    <w:p w:rsidR="00A470ED" w:rsidRPr="003A52EE" w:rsidRDefault="00FC4DD1" w:rsidP="00A470ED">
      <w:pPr>
        <w:spacing w:line="360" w:lineRule="auto"/>
        <w:jc w:val="center"/>
        <w:rPr>
          <w:sz w:val="24"/>
          <w:szCs w:val="24"/>
          <w:u w:val="single"/>
        </w:rPr>
      </w:pPr>
      <w:r w:rsidRPr="003A52EE">
        <w:rPr>
          <w:sz w:val="24"/>
          <w:szCs w:val="24"/>
          <w:u w:val="single"/>
        </w:rPr>
        <w:t>CONC</w:t>
      </w:r>
      <w:r w:rsidR="00C419F9" w:rsidRPr="003A52EE">
        <w:rPr>
          <w:sz w:val="24"/>
          <w:szCs w:val="24"/>
          <w:u w:val="single"/>
        </w:rPr>
        <w:t>LUSIONS OF LAW</w:t>
      </w:r>
    </w:p>
    <w:p w:rsidR="009349E0" w:rsidRPr="00EE0848" w:rsidRDefault="009349E0" w:rsidP="00A470ED">
      <w:pPr>
        <w:spacing w:line="360" w:lineRule="auto"/>
        <w:jc w:val="center"/>
        <w:rPr>
          <w:b/>
          <w:sz w:val="24"/>
          <w:szCs w:val="24"/>
          <w:u w:val="single"/>
        </w:rPr>
      </w:pPr>
    </w:p>
    <w:p w:rsidR="009349E0" w:rsidRPr="00CC4458" w:rsidRDefault="009349E0" w:rsidP="009349E0">
      <w:pPr>
        <w:pStyle w:val="ListParagraph"/>
        <w:numPr>
          <w:ilvl w:val="0"/>
          <w:numId w:val="29"/>
        </w:numPr>
        <w:spacing w:line="360" w:lineRule="auto"/>
        <w:ind w:left="0" w:firstLine="1440"/>
        <w:rPr>
          <w:sz w:val="24"/>
          <w:szCs w:val="24"/>
        </w:rPr>
      </w:pPr>
      <w:r w:rsidRPr="00CC4458">
        <w:rPr>
          <w:sz w:val="24"/>
          <w:szCs w:val="24"/>
        </w:rPr>
        <w:t>The Commission has jurisdiction over the parties and subject matter of this Formal Complaint.</w:t>
      </w:r>
      <w:r w:rsidR="00C82E88" w:rsidRPr="00CC4458">
        <w:rPr>
          <w:b/>
          <w:sz w:val="24"/>
          <w:szCs w:val="24"/>
        </w:rPr>
        <w:t xml:space="preserve">  </w:t>
      </w:r>
      <w:r w:rsidR="00A00D08" w:rsidRPr="00CC4458">
        <w:rPr>
          <w:sz w:val="24"/>
          <w:szCs w:val="24"/>
        </w:rPr>
        <w:t>66 </w:t>
      </w:r>
      <w:proofErr w:type="spellStart"/>
      <w:r w:rsidR="00A00D08" w:rsidRPr="00CC4458">
        <w:rPr>
          <w:sz w:val="24"/>
          <w:szCs w:val="24"/>
        </w:rPr>
        <w:t>Pa.C.S</w:t>
      </w:r>
      <w:proofErr w:type="spellEnd"/>
      <w:r w:rsidR="00A00D08" w:rsidRPr="00CC4458">
        <w:rPr>
          <w:sz w:val="24"/>
          <w:szCs w:val="24"/>
        </w:rPr>
        <w:t xml:space="preserve">. § 701; </w:t>
      </w:r>
      <w:r w:rsidR="00C82E88" w:rsidRPr="00CC4458">
        <w:rPr>
          <w:sz w:val="24"/>
          <w:szCs w:val="24"/>
        </w:rPr>
        <w:t xml:space="preserve">66 </w:t>
      </w:r>
      <w:proofErr w:type="spellStart"/>
      <w:r w:rsidR="00C82E88" w:rsidRPr="00CC4458">
        <w:rPr>
          <w:sz w:val="24"/>
          <w:szCs w:val="24"/>
        </w:rPr>
        <w:t>Pa.</w:t>
      </w:r>
      <w:r w:rsidRPr="00CC4458">
        <w:rPr>
          <w:sz w:val="24"/>
          <w:szCs w:val="24"/>
        </w:rPr>
        <w:t>C.S</w:t>
      </w:r>
      <w:proofErr w:type="spellEnd"/>
      <w:r w:rsidRPr="00CC4458">
        <w:rPr>
          <w:sz w:val="24"/>
          <w:szCs w:val="24"/>
        </w:rPr>
        <w:t>. § 2807(d)(2)</w:t>
      </w:r>
      <w:r w:rsidR="00A00D08" w:rsidRPr="00CC4458">
        <w:rPr>
          <w:sz w:val="24"/>
          <w:szCs w:val="24"/>
        </w:rPr>
        <w:t>.</w:t>
      </w:r>
    </w:p>
    <w:p w:rsidR="009349E0" w:rsidRPr="00CC4458" w:rsidRDefault="009349E0" w:rsidP="009349E0">
      <w:pPr>
        <w:pStyle w:val="ListParagraph"/>
        <w:spacing w:line="360" w:lineRule="auto"/>
        <w:ind w:left="1440"/>
        <w:rPr>
          <w:b/>
          <w:sz w:val="24"/>
          <w:szCs w:val="24"/>
        </w:rPr>
      </w:pPr>
      <w:r w:rsidRPr="00CC4458">
        <w:rPr>
          <w:b/>
          <w:sz w:val="24"/>
          <w:szCs w:val="24"/>
        </w:rPr>
        <w:t xml:space="preserve"> </w:t>
      </w:r>
    </w:p>
    <w:p w:rsidR="003A52EE" w:rsidRDefault="00732D2B" w:rsidP="00A00D08">
      <w:pPr>
        <w:pStyle w:val="BodyText"/>
        <w:spacing w:line="360" w:lineRule="auto"/>
        <w:ind w:firstLine="720"/>
        <w:rPr>
          <w:sz w:val="24"/>
          <w:szCs w:val="24"/>
        </w:rPr>
      </w:pPr>
      <w:r>
        <w:rPr>
          <w:sz w:val="24"/>
          <w:szCs w:val="24"/>
        </w:rPr>
        <w:tab/>
      </w:r>
      <w:r w:rsidR="00247168">
        <w:rPr>
          <w:sz w:val="24"/>
          <w:szCs w:val="24"/>
        </w:rPr>
        <w:t>2</w:t>
      </w:r>
      <w:r w:rsidR="00A00D08" w:rsidRPr="00CC4458">
        <w:rPr>
          <w:sz w:val="24"/>
          <w:szCs w:val="24"/>
        </w:rPr>
        <w:t>.</w:t>
      </w:r>
      <w:r w:rsidR="00D156E2">
        <w:rPr>
          <w:sz w:val="24"/>
          <w:szCs w:val="24"/>
        </w:rPr>
        <w:tab/>
      </w:r>
      <w:r w:rsidR="00A00D08" w:rsidRPr="00CC4458">
        <w:rPr>
          <w:sz w:val="24"/>
          <w:szCs w:val="24"/>
        </w:rPr>
        <w:t xml:space="preserve">Respondent, </w:t>
      </w:r>
      <w:r w:rsidR="003A52EE" w:rsidRPr="00CC4458">
        <w:rPr>
          <w:sz w:val="24"/>
          <w:szCs w:val="24"/>
        </w:rPr>
        <w:t xml:space="preserve">as an EGS, is not a public utility subject to Commission regulation, except in limited circumstances.  </w:t>
      </w:r>
      <w:r w:rsidR="003A52EE" w:rsidRPr="00CC4458">
        <w:rPr>
          <w:sz w:val="24"/>
          <w:szCs w:val="24"/>
          <w:u w:val="single"/>
        </w:rPr>
        <w:t xml:space="preserve">Delmarva Power &amp; Light Co. v. Pa. Pub. </w:t>
      </w:r>
      <w:proofErr w:type="gramStart"/>
      <w:r w:rsidR="003A52EE" w:rsidRPr="00CC4458">
        <w:rPr>
          <w:sz w:val="24"/>
          <w:szCs w:val="24"/>
          <w:u w:val="single"/>
        </w:rPr>
        <w:t xml:space="preserve">Util. </w:t>
      </w:r>
      <w:proofErr w:type="spellStart"/>
      <w:r w:rsidR="003A52EE" w:rsidRPr="00CC4458">
        <w:rPr>
          <w:sz w:val="24"/>
          <w:szCs w:val="24"/>
          <w:u w:val="single"/>
        </w:rPr>
        <w:t>Comm’n</w:t>
      </w:r>
      <w:proofErr w:type="spellEnd"/>
      <w:r w:rsidR="003A52EE" w:rsidRPr="00CC4458">
        <w:rPr>
          <w:sz w:val="24"/>
          <w:szCs w:val="24"/>
        </w:rPr>
        <w:t>, 870 A.2d 901 (Pa. 2005).</w:t>
      </w:r>
      <w:proofErr w:type="gramEnd"/>
    </w:p>
    <w:p w:rsidR="00732D2B" w:rsidRPr="00CC4458" w:rsidRDefault="00732D2B" w:rsidP="00732D2B">
      <w:pPr>
        <w:pStyle w:val="BodyText"/>
        <w:spacing w:after="0" w:line="360" w:lineRule="auto"/>
        <w:ind w:firstLine="720"/>
        <w:rPr>
          <w:sz w:val="24"/>
          <w:szCs w:val="24"/>
        </w:rPr>
      </w:pPr>
    </w:p>
    <w:p w:rsidR="003A52EE" w:rsidRPr="00CC4458" w:rsidRDefault="00A00D08" w:rsidP="00A00D08">
      <w:pPr>
        <w:pStyle w:val="BodyText"/>
        <w:spacing w:line="360" w:lineRule="auto"/>
        <w:rPr>
          <w:sz w:val="24"/>
          <w:szCs w:val="24"/>
        </w:rPr>
      </w:pPr>
      <w:r w:rsidRPr="00CC4458">
        <w:rPr>
          <w:sz w:val="24"/>
          <w:szCs w:val="24"/>
        </w:rPr>
        <w:tab/>
      </w:r>
      <w:r w:rsidRPr="00CC4458">
        <w:rPr>
          <w:sz w:val="24"/>
          <w:szCs w:val="24"/>
        </w:rPr>
        <w:tab/>
      </w:r>
      <w:r w:rsidR="00247168">
        <w:rPr>
          <w:sz w:val="24"/>
          <w:szCs w:val="24"/>
        </w:rPr>
        <w:t>3</w:t>
      </w:r>
      <w:r w:rsidRPr="00CC4458">
        <w:rPr>
          <w:sz w:val="24"/>
          <w:szCs w:val="24"/>
        </w:rPr>
        <w:t>.</w:t>
      </w:r>
      <w:r w:rsidRPr="00CC4458">
        <w:rPr>
          <w:sz w:val="24"/>
          <w:szCs w:val="24"/>
        </w:rPr>
        <w:tab/>
      </w:r>
      <w:r w:rsidR="003A52EE" w:rsidRPr="00CC4458">
        <w:rPr>
          <w:sz w:val="24"/>
          <w:szCs w:val="24"/>
        </w:rPr>
        <w:t>The Commission lacks the authority to direct EGSs to refund charges for electric generation supply service</w:t>
      </w:r>
      <w:r w:rsidR="00247168">
        <w:rPr>
          <w:sz w:val="24"/>
          <w:szCs w:val="24"/>
        </w:rPr>
        <w:t xml:space="preserve"> under the circumstances presented in this proceeding</w:t>
      </w:r>
      <w:r w:rsidR="003A52EE" w:rsidRPr="00CC4458">
        <w:rPr>
          <w:sz w:val="24"/>
          <w:szCs w:val="24"/>
        </w:rPr>
        <w:t xml:space="preserve">. </w:t>
      </w:r>
      <w:proofErr w:type="gramStart"/>
      <w:r w:rsidR="003A52EE" w:rsidRPr="00CC4458">
        <w:rPr>
          <w:sz w:val="24"/>
          <w:szCs w:val="24"/>
        </w:rPr>
        <w:t>66</w:t>
      </w:r>
      <w:r w:rsidR="00247168">
        <w:rPr>
          <w:sz w:val="24"/>
          <w:szCs w:val="24"/>
        </w:rPr>
        <w:t> </w:t>
      </w:r>
      <w:proofErr w:type="spellStart"/>
      <w:r w:rsidR="003A52EE" w:rsidRPr="00CC4458">
        <w:rPr>
          <w:sz w:val="24"/>
          <w:szCs w:val="24"/>
        </w:rPr>
        <w:t>Pa.C.S</w:t>
      </w:r>
      <w:proofErr w:type="spellEnd"/>
      <w:r w:rsidR="003A52EE" w:rsidRPr="00CC4458">
        <w:rPr>
          <w:sz w:val="24"/>
          <w:szCs w:val="24"/>
        </w:rPr>
        <w:t>.</w:t>
      </w:r>
      <w:proofErr w:type="gramEnd"/>
      <w:r w:rsidR="003A52EE" w:rsidRPr="00CC4458">
        <w:rPr>
          <w:sz w:val="24"/>
          <w:szCs w:val="24"/>
        </w:rPr>
        <w:t xml:space="preserve"> § 1312.</w:t>
      </w:r>
    </w:p>
    <w:p w:rsidR="003A52EE" w:rsidRPr="003A52EE" w:rsidRDefault="003A52EE" w:rsidP="00A00D08">
      <w:pPr>
        <w:pStyle w:val="ListParagraph"/>
        <w:numPr>
          <w:ilvl w:val="0"/>
          <w:numId w:val="39"/>
        </w:numPr>
        <w:rPr>
          <w:u w:val="single"/>
        </w:rPr>
      </w:pPr>
      <w:r w:rsidRPr="003A52EE">
        <w:rPr>
          <w:u w:val="single"/>
        </w:rPr>
        <w:br w:type="page"/>
      </w:r>
    </w:p>
    <w:p w:rsidR="00413872" w:rsidRPr="00A00D08" w:rsidRDefault="00413872" w:rsidP="00732D2B">
      <w:pPr>
        <w:pStyle w:val="BodyText"/>
        <w:spacing w:after="0" w:line="360" w:lineRule="auto"/>
        <w:jc w:val="center"/>
        <w:rPr>
          <w:sz w:val="24"/>
          <w:szCs w:val="24"/>
          <w:u w:val="single"/>
        </w:rPr>
      </w:pPr>
      <w:r w:rsidRPr="00A00D08">
        <w:rPr>
          <w:sz w:val="24"/>
          <w:szCs w:val="24"/>
          <w:u w:val="single"/>
        </w:rPr>
        <w:lastRenderedPageBreak/>
        <w:t>ORDER</w:t>
      </w:r>
    </w:p>
    <w:p w:rsidR="00413872" w:rsidRPr="00A00D08" w:rsidRDefault="00413872" w:rsidP="00732D2B">
      <w:pPr>
        <w:pStyle w:val="BodyText"/>
        <w:spacing w:after="0" w:line="360" w:lineRule="auto"/>
        <w:rPr>
          <w:sz w:val="24"/>
          <w:szCs w:val="24"/>
        </w:rPr>
      </w:pPr>
    </w:p>
    <w:p w:rsidR="00413872" w:rsidRPr="00A00D08" w:rsidRDefault="00413872" w:rsidP="00732D2B">
      <w:pPr>
        <w:pStyle w:val="BodyText"/>
        <w:spacing w:after="0" w:line="360" w:lineRule="auto"/>
        <w:rPr>
          <w:sz w:val="24"/>
          <w:szCs w:val="24"/>
        </w:rPr>
      </w:pPr>
    </w:p>
    <w:p w:rsidR="00413872" w:rsidRPr="00A00D08" w:rsidRDefault="00413872" w:rsidP="00732D2B">
      <w:pPr>
        <w:pStyle w:val="BodyText"/>
        <w:spacing w:after="0" w:line="360" w:lineRule="auto"/>
        <w:rPr>
          <w:sz w:val="24"/>
          <w:szCs w:val="24"/>
        </w:rPr>
      </w:pPr>
      <w:r w:rsidRPr="00A00D08">
        <w:rPr>
          <w:sz w:val="24"/>
          <w:szCs w:val="24"/>
        </w:rPr>
        <w:tab/>
      </w:r>
      <w:r w:rsidRPr="00A00D08">
        <w:rPr>
          <w:sz w:val="24"/>
          <w:szCs w:val="24"/>
        </w:rPr>
        <w:tab/>
        <w:t>THEREFORE,</w:t>
      </w:r>
    </w:p>
    <w:p w:rsidR="00413872" w:rsidRPr="00A00D08" w:rsidRDefault="00413872" w:rsidP="00732D2B">
      <w:pPr>
        <w:pStyle w:val="BodyText"/>
        <w:spacing w:after="0" w:line="360" w:lineRule="auto"/>
        <w:rPr>
          <w:sz w:val="24"/>
          <w:szCs w:val="24"/>
        </w:rPr>
      </w:pPr>
    </w:p>
    <w:p w:rsidR="00413872" w:rsidRPr="00A00D08" w:rsidRDefault="00413872" w:rsidP="00732D2B">
      <w:pPr>
        <w:pStyle w:val="BodyText"/>
        <w:spacing w:after="0" w:line="360" w:lineRule="auto"/>
        <w:rPr>
          <w:sz w:val="24"/>
          <w:szCs w:val="24"/>
        </w:rPr>
      </w:pPr>
      <w:r w:rsidRPr="00A00D08">
        <w:rPr>
          <w:sz w:val="24"/>
          <w:szCs w:val="24"/>
        </w:rPr>
        <w:tab/>
      </w:r>
      <w:r w:rsidRPr="00A00D08">
        <w:rPr>
          <w:sz w:val="24"/>
          <w:szCs w:val="24"/>
        </w:rPr>
        <w:tab/>
        <w:t>IT IS ORDERED:</w:t>
      </w:r>
    </w:p>
    <w:p w:rsidR="00413872" w:rsidRPr="00A00D08" w:rsidRDefault="00413872" w:rsidP="00732D2B">
      <w:pPr>
        <w:pStyle w:val="BodyText"/>
        <w:spacing w:after="0" w:line="360" w:lineRule="auto"/>
        <w:rPr>
          <w:sz w:val="24"/>
          <w:szCs w:val="24"/>
        </w:rPr>
      </w:pPr>
    </w:p>
    <w:p w:rsidR="00413872" w:rsidRPr="00CC4458" w:rsidRDefault="00413872" w:rsidP="00732D2B">
      <w:pPr>
        <w:pStyle w:val="BodyText"/>
        <w:numPr>
          <w:ilvl w:val="0"/>
          <w:numId w:val="35"/>
        </w:numPr>
        <w:tabs>
          <w:tab w:val="clear" w:pos="360"/>
        </w:tabs>
        <w:spacing w:after="0" w:line="360" w:lineRule="auto"/>
        <w:ind w:left="0" w:firstLine="1440"/>
        <w:rPr>
          <w:sz w:val="24"/>
          <w:szCs w:val="24"/>
        </w:rPr>
      </w:pPr>
      <w:r w:rsidRPr="00CC4458">
        <w:rPr>
          <w:sz w:val="24"/>
          <w:szCs w:val="24"/>
        </w:rPr>
        <w:t xml:space="preserve">That the complaint of </w:t>
      </w:r>
      <w:proofErr w:type="spellStart"/>
      <w:r w:rsidR="00A00D08" w:rsidRPr="00CC4458">
        <w:rPr>
          <w:sz w:val="24"/>
          <w:szCs w:val="24"/>
        </w:rPr>
        <w:t>Praamukh</w:t>
      </w:r>
      <w:proofErr w:type="spellEnd"/>
      <w:r w:rsidR="00A00D08" w:rsidRPr="00CC4458">
        <w:rPr>
          <w:sz w:val="24"/>
          <w:szCs w:val="24"/>
        </w:rPr>
        <w:t xml:space="preserve"> Swami </w:t>
      </w:r>
      <w:proofErr w:type="spellStart"/>
      <w:r w:rsidR="00A00D08" w:rsidRPr="00CC4458">
        <w:rPr>
          <w:sz w:val="24"/>
          <w:szCs w:val="24"/>
        </w:rPr>
        <w:t>Maharaj</w:t>
      </w:r>
      <w:proofErr w:type="spellEnd"/>
      <w:r w:rsidR="00A00D08" w:rsidRPr="00CC4458">
        <w:rPr>
          <w:sz w:val="24"/>
          <w:szCs w:val="24"/>
        </w:rPr>
        <w:t xml:space="preserve">, LLC </w:t>
      </w:r>
      <w:r w:rsidRPr="00CC4458">
        <w:rPr>
          <w:sz w:val="24"/>
          <w:szCs w:val="24"/>
        </w:rPr>
        <w:t xml:space="preserve">against </w:t>
      </w:r>
      <w:r w:rsidR="00A00D08" w:rsidRPr="00CC4458">
        <w:rPr>
          <w:sz w:val="24"/>
          <w:szCs w:val="24"/>
        </w:rPr>
        <w:t xml:space="preserve">Liberty Power Holdings, LLC </w:t>
      </w:r>
      <w:r w:rsidRPr="00CC4458">
        <w:rPr>
          <w:sz w:val="24"/>
          <w:szCs w:val="24"/>
        </w:rPr>
        <w:t xml:space="preserve">at Docket No. </w:t>
      </w:r>
      <w:r w:rsidR="00A00D08" w:rsidRPr="00CC4458">
        <w:rPr>
          <w:sz w:val="24"/>
          <w:szCs w:val="24"/>
        </w:rPr>
        <w:t>C-2014-2419263</w:t>
      </w:r>
      <w:r w:rsidRPr="00CC4458">
        <w:rPr>
          <w:sz w:val="24"/>
          <w:szCs w:val="24"/>
        </w:rPr>
        <w:t xml:space="preserve"> is denied.</w:t>
      </w:r>
    </w:p>
    <w:p w:rsidR="00413872" w:rsidRPr="00CC4458" w:rsidRDefault="00413872" w:rsidP="00732D2B">
      <w:pPr>
        <w:pStyle w:val="BodyText"/>
        <w:spacing w:after="0" w:line="360" w:lineRule="auto"/>
        <w:rPr>
          <w:sz w:val="24"/>
          <w:szCs w:val="24"/>
        </w:rPr>
      </w:pPr>
    </w:p>
    <w:p w:rsidR="00413872" w:rsidRPr="00CC4458" w:rsidRDefault="00413872" w:rsidP="00732D2B">
      <w:pPr>
        <w:pStyle w:val="BodyText"/>
        <w:spacing w:after="0" w:line="360" w:lineRule="auto"/>
        <w:rPr>
          <w:sz w:val="24"/>
          <w:szCs w:val="24"/>
        </w:rPr>
      </w:pPr>
      <w:r w:rsidRPr="00CC4458">
        <w:rPr>
          <w:sz w:val="24"/>
          <w:szCs w:val="24"/>
        </w:rPr>
        <w:tab/>
      </w:r>
      <w:r w:rsidRPr="00CC4458">
        <w:rPr>
          <w:sz w:val="24"/>
          <w:szCs w:val="24"/>
        </w:rPr>
        <w:tab/>
      </w:r>
      <w:r w:rsidR="00A00D08" w:rsidRPr="00CC4458">
        <w:rPr>
          <w:sz w:val="24"/>
          <w:szCs w:val="24"/>
        </w:rPr>
        <w:t>2</w:t>
      </w:r>
      <w:r w:rsidRPr="00CC4458">
        <w:rPr>
          <w:sz w:val="24"/>
          <w:szCs w:val="24"/>
        </w:rPr>
        <w:t>.</w:t>
      </w:r>
      <w:r w:rsidRPr="00CC4458">
        <w:rPr>
          <w:sz w:val="24"/>
          <w:szCs w:val="24"/>
        </w:rPr>
        <w:tab/>
        <w:t>That the docket at Docket No.</w:t>
      </w:r>
      <w:r w:rsidRPr="00CC4458">
        <w:rPr>
          <w:spacing w:val="-3"/>
          <w:sz w:val="24"/>
          <w:szCs w:val="24"/>
        </w:rPr>
        <w:t xml:space="preserve"> </w:t>
      </w:r>
      <w:r w:rsidR="00A00D08" w:rsidRPr="00CC4458">
        <w:rPr>
          <w:sz w:val="24"/>
          <w:szCs w:val="24"/>
        </w:rPr>
        <w:t>C-2014-2419263</w:t>
      </w:r>
      <w:r w:rsidRPr="00CC4458">
        <w:rPr>
          <w:sz w:val="24"/>
          <w:szCs w:val="24"/>
        </w:rPr>
        <w:t xml:space="preserve"> is marked closed.</w:t>
      </w:r>
    </w:p>
    <w:p w:rsidR="00413872" w:rsidRDefault="00413872" w:rsidP="00732D2B">
      <w:pPr>
        <w:pStyle w:val="ParaTab1"/>
        <w:spacing w:line="360" w:lineRule="auto"/>
        <w:rPr>
          <w:rFonts w:ascii="Times New Roman" w:hAnsi="Times New Roman" w:cs="Times New Roman"/>
          <w:spacing w:val="-3"/>
        </w:rPr>
      </w:pPr>
    </w:p>
    <w:p w:rsidR="004A467B" w:rsidRPr="00CC4458" w:rsidRDefault="004A467B" w:rsidP="00732D2B">
      <w:pPr>
        <w:pStyle w:val="ParaTab1"/>
        <w:spacing w:line="360" w:lineRule="auto"/>
        <w:rPr>
          <w:rFonts w:ascii="Times New Roman" w:hAnsi="Times New Roman" w:cs="Times New Roman"/>
          <w:spacing w:val="-3"/>
        </w:rPr>
      </w:pPr>
    </w:p>
    <w:p w:rsidR="00413872" w:rsidRPr="00CC4458" w:rsidRDefault="00413872" w:rsidP="00732D2B">
      <w:pPr>
        <w:pStyle w:val="ParaTab1"/>
        <w:spacing w:line="360" w:lineRule="auto"/>
        <w:rPr>
          <w:rFonts w:ascii="Times New Roman" w:hAnsi="Times New Roman" w:cs="Times New Roman"/>
          <w:spacing w:val="-3"/>
        </w:rPr>
      </w:pPr>
    </w:p>
    <w:p w:rsidR="00413872" w:rsidRPr="00CC4458" w:rsidRDefault="00413872" w:rsidP="00732D2B">
      <w:pPr>
        <w:pStyle w:val="BodyText"/>
        <w:spacing w:after="0"/>
        <w:rPr>
          <w:sz w:val="24"/>
          <w:szCs w:val="24"/>
          <w:u w:val="single"/>
        </w:rPr>
      </w:pPr>
      <w:r w:rsidRPr="00CC4458">
        <w:rPr>
          <w:sz w:val="24"/>
          <w:szCs w:val="24"/>
        </w:rPr>
        <w:t>Date:</w:t>
      </w:r>
      <w:r w:rsidR="00732D2B">
        <w:rPr>
          <w:sz w:val="24"/>
          <w:szCs w:val="24"/>
        </w:rPr>
        <w:t xml:space="preserve">  </w:t>
      </w:r>
      <w:r w:rsidR="00A00D08" w:rsidRPr="00732D2B">
        <w:rPr>
          <w:sz w:val="24"/>
          <w:szCs w:val="24"/>
          <w:u w:val="single"/>
        </w:rPr>
        <w:t xml:space="preserve">July </w:t>
      </w:r>
      <w:r w:rsidR="00716C7E">
        <w:rPr>
          <w:sz w:val="24"/>
          <w:szCs w:val="24"/>
          <w:u w:val="single"/>
        </w:rPr>
        <w:t>9</w:t>
      </w:r>
      <w:r w:rsidR="00A00D08" w:rsidRPr="00732D2B">
        <w:rPr>
          <w:sz w:val="24"/>
          <w:szCs w:val="24"/>
          <w:u w:val="single"/>
        </w:rPr>
        <w:t xml:space="preserve">, </w:t>
      </w:r>
      <w:r w:rsidRPr="00732D2B">
        <w:rPr>
          <w:sz w:val="24"/>
          <w:szCs w:val="24"/>
          <w:u w:val="single"/>
        </w:rPr>
        <w:t>2015</w:t>
      </w:r>
      <w:r w:rsidRPr="00CC4458">
        <w:rPr>
          <w:sz w:val="24"/>
          <w:szCs w:val="24"/>
        </w:rPr>
        <w:tab/>
      </w:r>
      <w:r w:rsidRPr="00CC4458">
        <w:rPr>
          <w:sz w:val="24"/>
          <w:szCs w:val="24"/>
        </w:rPr>
        <w:tab/>
      </w:r>
      <w:r w:rsidRPr="00CC4458">
        <w:rPr>
          <w:sz w:val="24"/>
          <w:szCs w:val="24"/>
        </w:rPr>
        <w:tab/>
      </w:r>
      <w:r w:rsidRPr="00CC4458">
        <w:rPr>
          <w:sz w:val="24"/>
          <w:szCs w:val="24"/>
        </w:rPr>
        <w:tab/>
      </w:r>
      <w:r w:rsidR="00732D2B">
        <w:rPr>
          <w:sz w:val="24"/>
          <w:szCs w:val="24"/>
        </w:rPr>
        <w:tab/>
      </w:r>
      <w:r w:rsidRPr="00CC4458">
        <w:rPr>
          <w:sz w:val="24"/>
          <w:szCs w:val="24"/>
          <w:u w:val="single"/>
        </w:rPr>
        <w:tab/>
      </w:r>
      <w:r w:rsidRPr="00CC4458">
        <w:rPr>
          <w:sz w:val="24"/>
          <w:szCs w:val="24"/>
          <w:u w:val="single"/>
        </w:rPr>
        <w:tab/>
        <w:t>/s/</w:t>
      </w:r>
      <w:r w:rsidRPr="00CC4458">
        <w:rPr>
          <w:sz w:val="24"/>
          <w:szCs w:val="24"/>
          <w:u w:val="single"/>
        </w:rPr>
        <w:tab/>
      </w:r>
      <w:r w:rsidRPr="00CC4458">
        <w:rPr>
          <w:sz w:val="24"/>
          <w:szCs w:val="24"/>
          <w:u w:val="single"/>
        </w:rPr>
        <w:tab/>
      </w:r>
      <w:r w:rsidRPr="00CC4458">
        <w:rPr>
          <w:sz w:val="24"/>
          <w:szCs w:val="24"/>
          <w:u w:val="single"/>
        </w:rPr>
        <w:tab/>
      </w:r>
      <w:r w:rsidR="00732D2B" w:rsidRPr="00CC4458">
        <w:rPr>
          <w:sz w:val="24"/>
          <w:szCs w:val="24"/>
          <w:u w:val="single"/>
        </w:rPr>
        <w:tab/>
      </w:r>
    </w:p>
    <w:p w:rsidR="00413872" w:rsidRPr="00CC4458" w:rsidRDefault="00413872" w:rsidP="00732D2B">
      <w:pPr>
        <w:pStyle w:val="BodyText"/>
        <w:spacing w:after="0"/>
        <w:rPr>
          <w:sz w:val="24"/>
          <w:szCs w:val="24"/>
        </w:rPr>
      </w:pPr>
      <w:r w:rsidRPr="00CC4458">
        <w:rPr>
          <w:sz w:val="24"/>
          <w:szCs w:val="24"/>
        </w:rPr>
        <w:tab/>
      </w:r>
      <w:r w:rsidRPr="00CC4458">
        <w:rPr>
          <w:sz w:val="24"/>
          <w:szCs w:val="24"/>
        </w:rPr>
        <w:tab/>
      </w:r>
      <w:r w:rsidRPr="00CC4458">
        <w:rPr>
          <w:sz w:val="24"/>
          <w:szCs w:val="24"/>
        </w:rPr>
        <w:tab/>
      </w:r>
      <w:r w:rsidRPr="00CC4458">
        <w:rPr>
          <w:sz w:val="24"/>
          <w:szCs w:val="24"/>
        </w:rPr>
        <w:tab/>
      </w:r>
      <w:r w:rsidRPr="00CC4458">
        <w:rPr>
          <w:sz w:val="24"/>
          <w:szCs w:val="24"/>
        </w:rPr>
        <w:tab/>
      </w:r>
      <w:r w:rsidRPr="00CC4458">
        <w:rPr>
          <w:sz w:val="24"/>
          <w:szCs w:val="24"/>
        </w:rPr>
        <w:tab/>
      </w:r>
      <w:r w:rsidRPr="00CC4458">
        <w:rPr>
          <w:sz w:val="24"/>
          <w:szCs w:val="24"/>
        </w:rPr>
        <w:tab/>
      </w:r>
      <w:r w:rsidR="00A00D08" w:rsidRPr="00CC4458">
        <w:rPr>
          <w:sz w:val="24"/>
          <w:szCs w:val="24"/>
        </w:rPr>
        <w:t xml:space="preserve">Jeffrey </w:t>
      </w:r>
      <w:r w:rsidRPr="00CC4458">
        <w:rPr>
          <w:sz w:val="24"/>
          <w:szCs w:val="24"/>
        </w:rPr>
        <w:t xml:space="preserve">A. </w:t>
      </w:r>
      <w:r w:rsidR="00A00D08" w:rsidRPr="00CC4458">
        <w:rPr>
          <w:sz w:val="24"/>
          <w:szCs w:val="24"/>
        </w:rPr>
        <w:t>Watson</w:t>
      </w:r>
    </w:p>
    <w:p w:rsidR="00413872" w:rsidRPr="00CC4458" w:rsidRDefault="00413872" w:rsidP="00732D2B">
      <w:pPr>
        <w:pStyle w:val="BodyText"/>
        <w:spacing w:after="0"/>
        <w:rPr>
          <w:sz w:val="24"/>
          <w:szCs w:val="24"/>
        </w:rPr>
      </w:pPr>
      <w:r w:rsidRPr="00CC4458">
        <w:rPr>
          <w:sz w:val="24"/>
          <w:szCs w:val="24"/>
        </w:rPr>
        <w:tab/>
      </w:r>
      <w:r w:rsidRPr="00CC4458">
        <w:rPr>
          <w:sz w:val="24"/>
          <w:szCs w:val="24"/>
        </w:rPr>
        <w:tab/>
      </w:r>
      <w:r w:rsidRPr="00CC4458">
        <w:rPr>
          <w:sz w:val="24"/>
          <w:szCs w:val="24"/>
        </w:rPr>
        <w:tab/>
      </w:r>
      <w:r w:rsidRPr="00CC4458">
        <w:rPr>
          <w:sz w:val="24"/>
          <w:szCs w:val="24"/>
        </w:rPr>
        <w:tab/>
      </w:r>
      <w:r w:rsidRPr="00CC4458">
        <w:rPr>
          <w:sz w:val="24"/>
          <w:szCs w:val="24"/>
        </w:rPr>
        <w:tab/>
      </w:r>
      <w:r w:rsidRPr="00CC4458">
        <w:rPr>
          <w:sz w:val="24"/>
          <w:szCs w:val="24"/>
        </w:rPr>
        <w:tab/>
      </w:r>
      <w:r w:rsidRPr="00CC4458">
        <w:rPr>
          <w:sz w:val="24"/>
          <w:szCs w:val="24"/>
        </w:rPr>
        <w:tab/>
        <w:t>Administrative Law Judge</w:t>
      </w:r>
    </w:p>
    <w:sectPr w:rsidR="00413872" w:rsidRPr="00CC4458" w:rsidSect="00685D4C">
      <w:footerReference w:type="even" r:id="rId9"/>
      <w:footerReference w:type="default" r:id="rId10"/>
      <w:pgSz w:w="12240" w:h="15840" w:code="1"/>
      <w:pgMar w:top="1440" w:right="1440" w:bottom="1440" w:left="1440" w:header="720" w:footer="720" w:gutter="0"/>
      <w:paperSrc w:first="5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FFD" w:rsidRDefault="00FF4FFD">
      <w:r>
        <w:separator/>
      </w:r>
    </w:p>
  </w:endnote>
  <w:endnote w:type="continuationSeparator" w:id="0">
    <w:p w:rsidR="00FF4FFD" w:rsidRDefault="00FF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D4C" w:rsidRDefault="00685D4C" w:rsidP="00685D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5D4C" w:rsidRDefault="00685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D4C" w:rsidRPr="0014242F" w:rsidRDefault="00685D4C" w:rsidP="00685D4C">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1846B7">
      <w:rPr>
        <w:rStyle w:val="PageNumber"/>
        <w:noProof/>
        <w:sz w:val="20"/>
        <w:szCs w:val="20"/>
      </w:rPr>
      <w:t>9</w:t>
    </w:r>
    <w:r w:rsidRPr="0014242F">
      <w:rPr>
        <w:rStyle w:val="PageNumber"/>
        <w:sz w:val="20"/>
        <w:szCs w:val="20"/>
      </w:rPr>
      <w:fldChar w:fldCharType="end"/>
    </w:r>
  </w:p>
  <w:p w:rsidR="00685D4C" w:rsidRDefault="0068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FFD" w:rsidRDefault="00FF4FFD">
      <w:r>
        <w:separator/>
      </w:r>
    </w:p>
  </w:footnote>
  <w:footnote w:type="continuationSeparator" w:id="0">
    <w:p w:rsidR="00FF4FFD" w:rsidRDefault="00FF4FFD">
      <w:r>
        <w:continuationSeparator/>
      </w:r>
    </w:p>
  </w:footnote>
  <w:footnote w:id="1">
    <w:p w:rsidR="002836D2" w:rsidRDefault="002836D2">
      <w:pPr>
        <w:pStyle w:val="FootnoteText"/>
      </w:pPr>
      <w:r>
        <w:rPr>
          <w:rStyle w:val="FootnoteReference"/>
        </w:rPr>
        <w:footnoteRef/>
      </w:r>
      <w:r>
        <w:t xml:space="preserve"> </w:t>
      </w:r>
      <w:r>
        <w:tab/>
        <w:t>Complainant avers, in its formal complaint, the existence of incorrect charges on its bill.  However, the claim advanced by Complaint was that the charges on Complainant’s bill were excessive.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DB8"/>
    <w:multiLevelType w:val="hybridMultilevel"/>
    <w:tmpl w:val="C256D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B6DFC"/>
    <w:multiLevelType w:val="hybridMultilevel"/>
    <w:tmpl w:val="F2EC09F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2591220"/>
    <w:multiLevelType w:val="hybridMultilevel"/>
    <w:tmpl w:val="B4E06F16"/>
    <w:lvl w:ilvl="0" w:tplc="2A160F5C">
      <w:start w:val="1"/>
      <w:numFmt w:val="lowerLetter"/>
      <w:lvlText w:val="(%1)"/>
      <w:lvlJc w:val="left"/>
      <w:pPr>
        <w:ind w:left="894" w:hanging="444"/>
      </w:pPr>
      <w:rPr>
        <w:rFonts w:hint="default"/>
        <w:b/>
        <w:sz w:val="2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6C64C11"/>
    <w:multiLevelType w:val="hybridMultilevel"/>
    <w:tmpl w:val="E8DA95C2"/>
    <w:lvl w:ilvl="0" w:tplc="9F84F370">
      <w:start w:val="1"/>
      <w:numFmt w:val="decimal"/>
      <w:lvlText w:val="%1."/>
      <w:lvlJc w:val="left"/>
      <w:pPr>
        <w:ind w:left="360" w:hanging="360"/>
      </w:pPr>
      <w:rPr>
        <w:rFonts w:ascii="Times New Roman" w:eastAsia="Times New Roman" w:hAnsi="Times New Roman" w:cs="Times New Roman"/>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3332B0"/>
    <w:multiLevelType w:val="hybridMultilevel"/>
    <w:tmpl w:val="A2901194"/>
    <w:lvl w:ilvl="0" w:tplc="104CAD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18E83CF8"/>
    <w:multiLevelType w:val="hybridMultilevel"/>
    <w:tmpl w:val="918AE918"/>
    <w:lvl w:ilvl="0" w:tplc="3498081A">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183581A"/>
    <w:multiLevelType w:val="singleLevel"/>
    <w:tmpl w:val="0409000F"/>
    <w:lvl w:ilvl="0">
      <w:start w:val="1"/>
      <w:numFmt w:val="decimal"/>
      <w:lvlText w:val="%1."/>
      <w:lvlJc w:val="left"/>
      <w:pPr>
        <w:tabs>
          <w:tab w:val="num" w:pos="360"/>
        </w:tabs>
        <w:ind w:left="360" w:hanging="360"/>
      </w:pPr>
    </w:lvl>
  </w:abstractNum>
  <w:abstractNum w:abstractNumId="15">
    <w:nsid w:val="21EB7EB3"/>
    <w:multiLevelType w:val="hybridMultilevel"/>
    <w:tmpl w:val="BDD64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1C2C9D"/>
    <w:multiLevelType w:val="hybridMultilevel"/>
    <w:tmpl w:val="83BAFE64"/>
    <w:lvl w:ilvl="0" w:tplc="055866C4">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30574752"/>
    <w:multiLevelType w:val="hybridMultilevel"/>
    <w:tmpl w:val="529EFC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7">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254331"/>
    <w:multiLevelType w:val="hybridMultilevel"/>
    <w:tmpl w:val="01F0A54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nsid w:val="60C95D4E"/>
    <w:multiLevelType w:val="hybridMultilevel"/>
    <w:tmpl w:val="190A0196"/>
    <w:lvl w:ilvl="0" w:tplc="76AE502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6C154180"/>
    <w:multiLevelType w:val="hybridMultilevel"/>
    <w:tmpl w:val="B1D6FA14"/>
    <w:lvl w:ilvl="0" w:tplc="750E123A">
      <w:start w:val="1"/>
      <w:numFmt w:val="decimal"/>
      <w:lvlText w:val="%1."/>
      <w:lvlJc w:val="left"/>
      <w:pPr>
        <w:ind w:left="1800" w:hanging="10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30"/>
  </w:num>
  <w:num w:numId="3">
    <w:abstractNumId w:val="26"/>
  </w:num>
  <w:num w:numId="4">
    <w:abstractNumId w:val="4"/>
  </w:num>
  <w:num w:numId="5">
    <w:abstractNumId w:val="23"/>
  </w:num>
  <w:num w:numId="6">
    <w:abstractNumId w:val="16"/>
  </w:num>
  <w:num w:numId="7">
    <w:abstractNumId w:val="12"/>
  </w:num>
  <w:num w:numId="8">
    <w:abstractNumId w:val="2"/>
  </w:num>
  <w:num w:numId="9">
    <w:abstractNumId w:val="24"/>
  </w:num>
  <w:num w:numId="10">
    <w:abstractNumId w:val="27"/>
  </w:num>
  <w:num w:numId="11">
    <w:abstractNumId w:val="25"/>
  </w:num>
  <w:num w:numId="12">
    <w:abstractNumId w:val="37"/>
  </w:num>
  <w:num w:numId="13">
    <w:abstractNumId w:val="3"/>
  </w:num>
  <w:num w:numId="14">
    <w:abstractNumId w:val="13"/>
  </w:num>
  <w:num w:numId="15">
    <w:abstractNumId w:val="31"/>
  </w:num>
  <w:num w:numId="16">
    <w:abstractNumId w:val="35"/>
  </w:num>
  <w:num w:numId="17">
    <w:abstractNumId w:val="18"/>
  </w:num>
  <w:num w:numId="18">
    <w:abstractNumId w:val="6"/>
  </w:num>
  <w:num w:numId="19">
    <w:abstractNumId w:val="28"/>
  </w:num>
  <w:num w:numId="20">
    <w:abstractNumId w:val="5"/>
  </w:num>
  <w:num w:numId="21">
    <w:abstractNumId w:val="9"/>
  </w:num>
  <w:num w:numId="22">
    <w:abstractNumId w:val="21"/>
  </w:num>
  <w:num w:numId="23">
    <w:abstractNumId w:val="22"/>
  </w:num>
  <w:num w:numId="24">
    <w:abstractNumId w:val="36"/>
  </w:num>
  <w:num w:numId="25">
    <w:abstractNumId w:val="34"/>
  </w:num>
  <w:num w:numId="26">
    <w:abstractNumId w:val="15"/>
  </w:num>
  <w:num w:numId="27">
    <w:abstractNumId w:val="10"/>
  </w:num>
  <w:num w:numId="28">
    <w:abstractNumId w:val="29"/>
  </w:num>
  <w:num w:numId="29">
    <w:abstractNumId w:val="17"/>
  </w:num>
  <w:num w:numId="30">
    <w:abstractNumId w:val="11"/>
  </w:num>
  <w:num w:numId="31">
    <w:abstractNumId w:val="7"/>
  </w:num>
  <w:num w:numId="32">
    <w:abstractNumId w:val="32"/>
  </w:num>
  <w:num w:numId="33">
    <w:abstractNumId w:val="38"/>
  </w:num>
  <w:num w:numId="34">
    <w:abstractNumId w:val="33"/>
  </w:num>
  <w:num w:numId="35">
    <w:abstractNumId w:val="14"/>
  </w:num>
  <w:num w:numId="36">
    <w:abstractNumId w:val="0"/>
  </w:num>
  <w:num w:numId="37">
    <w:abstractNumId w:val="1"/>
  </w:num>
  <w:num w:numId="38">
    <w:abstractNumId w:val="1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0F96"/>
    <w:rsid w:val="00003ED9"/>
    <w:rsid w:val="00004486"/>
    <w:rsid w:val="000050A9"/>
    <w:rsid w:val="0001194B"/>
    <w:rsid w:val="000207EA"/>
    <w:rsid w:val="00020AB1"/>
    <w:rsid w:val="00022997"/>
    <w:rsid w:val="00022D67"/>
    <w:rsid w:val="0002512E"/>
    <w:rsid w:val="00031806"/>
    <w:rsid w:val="00034A86"/>
    <w:rsid w:val="00035C05"/>
    <w:rsid w:val="00035E78"/>
    <w:rsid w:val="000376EF"/>
    <w:rsid w:val="00042626"/>
    <w:rsid w:val="0004316B"/>
    <w:rsid w:val="00046859"/>
    <w:rsid w:val="00055A89"/>
    <w:rsid w:val="000573C2"/>
    <w:rsid w:val="00063B68"/>
    <w:rsid w:val="00064F92"/>
    <w:rsid w:val="0006610A"/>
    <w:rsid w:val="0006622C"/>
    <w:rsid w:val="00070E25"/>
    <w:rsid w:val="0007126E"/>
    <w:rsid w:val="000728A4"/>
    <w:rsid w:val="00075A22"/>
    <w:rsid w:val="00082976"/>
    <w:rsid w:val="00086763"/>
    <w:rsid w:val="00086F1B"/>
    <w:rsid w:val="00087C64"/>
    <w:rsid w:val="00091672"/>
    <w:rsid w:val="00091CE2"/>
    <w:rsid w:val="00093DB9"/>
    <w:rsid w:val="000967DB"/>
    <w:rsid w:val="000A001F"/>
    <w:rsid w:val="000A1CB9"/>
    <w:rsid w:val="000A20A3"/>
    <w:rsid w:val="000A4E8E"/>
    <w:rsid w:val="000A6769"/>
    <w:rsid w:val="000B5A8F"/>
    <w:rsid w:val="000B5F6A"/>
    <w:rsid w:val="000C0746"/>
    <w:rsid w:val="000C315D"/>
    <w:rsid w:val="000C44D2"/>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2F71"/>
    <w:rsid w:val="00125871"/>
    <w:rsid w:val="00126207"/>
    <w:rsid w:val="001312A6"/>
    <w:rsid w:val="00134E8D"/>
    <w:rsid w:val="001404C5"/>
    <w:rsid w:val="00141DF5"/>
    <w:rsid w:val="0014315D"/>
    <w:rsid w:val="00143C49"/>
    <w:rsid w:val="00144488"/>
    <w:rsid w:val="00147DEE"/>
    <w:rsid w:val="00152C6B"/>
    <w:rsid w:val="0015646C"/>
    <w:rsid w:val="00157CC9"/>
    <w:rsid w:val="001620CA"/>
    <w:rsid w:val="00162898"/>
    <w:rsid w:val="00176F82"/>
    <w:rsid w:val="00180485"/>
    <w:rsid w:val="0018160C"/>
    <w:rsid w:val="001846B7"/>
    <w:rsid w:val="00187B87"/>
    <w:rsid w:val="00190491"/>
    <w:rsid w:val="00190615"/>
    <w:rsid w:val="001930DE"/>
    <w:rsid w:val="00193B6C"/>
    <w:rsid w:val="001A048A"/>
    <w:rsid w:val="001A4CC0"/>
    <w:rsid w:val="001A6215"/>
    <w:rsid w:val="001A721E"/>
    <w:rsid w:val="001B1099"/>
    <w:rsid w:val="001B123C"/>
    <w:rsid w:val="001B3235"/>
    <w:rsid w:val="001C20B7"/>
    <w:rsid w:val="001C715B"/>
    <w:rsid w:val="001D3206"/>
    <w:rsid w:val="001D33CD"/>
    <w:rsid w:val="001D6FCF"/>
    <w:rsid w:val="001E4FAC"/>
    <w:rsid w:val="001F0787"/>
    <w:rsid w:val="001F08B4"/>
    <w:rsid w:val="001F2116"/>
    <w:rsid w:val="001F6FC1"/>
    <w:rsid w:val="001F787B"/>
    <w:rsid w:val="001F7F73"/>
    <w:rsid w:val="0020095D"/>
    <w:rsid w:val="00215221"/>
    <w:rsid w:val="00220C5E"/>
    <w:rsid w:val="00223E7E"/>
    <w:rsid w:val="00234619"/>
    <w:rsid w:val="0023520D"/>
    <w:rsid w:val="00235356"/>
    <w:rsid w:val="00235C44"/>
    <w:rsid w:val="00236FF7"/>
    <w:rsid w:val="002416AB"/>
    <w:rsid w:val="0024496F"/>
    <w:rsid w:val="00244D86"/>
    <w:rsid w:val="00247168"/>
    <w:rsid w:val="00251D19"/>
    <w:rsid w:val="0025370D"/>
    <w:rsid w:val="00260D19"/>
    <w:rsid w:val="00264233"/>
    <w:rsid w:val="002732DC"/>
    <w:rsid w:val="0028114B"/>
    <w:rsid w:val="0028185A"/>
    <w:rsid w:val="002836D2"/>
    <w:rsid w:val="00290918"/>
    <w:rsid w:val="002919C6"/>
    <w:rsid w:val="00292509"/>
    <w:rsid w:val="00293557"/>
    <w:rsid w:val="002959E3"/>
    <w:rsid w:val="002A5394"/>
    <w:rsid w:val="002A7C1C"/>
    <w:rsid w:val="002B19D4"/>
    <w:rsid w:val="002B3489"/>
    <w:rsid w:val="002B490F"/>
    <w:rsid w:val="002B4EAE"/>
    <w:rsid w:val="002B7448"/>
    <w:rsid w:val="002C3FDE"/>
    <w:rsid w:val="002C486F"/>
    <w:rsid w:val="002D13C5"/>
    <w:rsid w:val="002D554B"/>
    <w:rsid w:val="002E0985"/>
    <w:rsid w:val="002F66F9"/>
    <w:rsid w:val="002F6BC1"/>
    <w:rsid w:val="00300A0A"/>
    <w:rsid w:val="00300CB7"/>
    <w:rsid w:val="00300F91"/>
    <w:rsid w:val="0030207C"/>
    <w:rsid w:val="00303A85"/>
    <w:rsid w:val="00306B0D"/>
    <w:rsid w:val="00311AD2"/>
    <w:rsid w:val="003129F7"/>
    <w:rsid w:val="00312E1C"/>
    <w:rsid w:val="003131EE"/>
    <w:rsid w:val="00317B5C"/>
    <w:rsid w:val="00323AAE"/>
    <w:rsid w:val="00324F3E"/>
    <w:rsid w:val="0033043C"/>
    <w:rsid w:val="00334FA6"/>
    <w:rsid w:val="0033647C"/>
    <w:rsid w:val="00337C53"/>
    <w:rsid w:val="00340AB8"/>
    <w:rsid w:val="003421E0"/>
    <w:rsid w:val="0034312D"/>
    <w:rsid w:val="00346E30"/>
    <w:rsid w:val="003539D2"/>
    <w:rsid w:val="00354E6F"/>
    <w:rsid w:val="0035737A"/>
    <w:rsid w:val="003657A8"/>
    <w:rsid w:val="003714DE"/>
    <w:rsid w:val="003733A1"/>
    <w:rsid w:val="00380450"/>
    <w:rsid w:val="00380AD7"/>
    <w:rsid w:val="00382B1A"/>
    <w:rsid w:val="00383937"/>
    <w:rsid w:val="003857DF"/>
    <w:rsid w:val="00386CDC"/>
    <w:rsid w:val="00387506"/>
    <w:rsid w:val="00392382"/>
    <w:rsid w:val="003923F5"/>
    <w:rsid w:val="00394493"/>
    <w:rsid w:val="003959AC"/>
    <w:rsid w:val="00395E03"/>
    <w:rsid w:val="00396DE1"/>
    <w:rsid w:val="003A167D"/>
    <w:rsid w:val="003A2FF7"/>
    <w:rsid w:val="003A52EE"/>
    <w:rsid w:val="003A66DE"/>
    <w:rsid w:val="003B0297"/>
    <w:rsid w:val="003B2CD6"/>
    <w:rsid w:val="003B715B"/>
    <w:rsid w:val="003C050F"/>
    <w:rsid w:val="003C0716"/>
    <w:rsid w:val="003C0B4C"/>
    <w:rsid w:val="003C3664"/>
    <w:rsid w:val="003C7143"/>
    <w:rsid w:val="003D139F"/>
    <w:rsid w:val="003D15FA"/>
    <w:rsid w:val="003D231E"/>
    <w:rsid w:val="003D3AC6"/>
    <w:rsid w:val="003D7EC6"/>
    <w:rsid w:val="003E292B"/>
    <w:rsid w:val="003E594B"/>
    <w:rsid w:val="003E66F3"/>
    <w:rsid w:val="003F5796"/>
    <w:rsid w:val="003F5965"/>
    <w:rsid w:val="003F69BF"/>
    <w:rsid w:val="00402359"/>
    <w:rsid w:val="004064A8"/>
    <w:rsid w:val="004107FD"/>
    <w:rsid w:val="00413872"/>
    <w:rsid w:val="00414C0A"/>
    <w:rsid w:val="00417087"/>
    <w:rsid w:val="0042160A"/>
    <w:rsid w:val="0042193A"/>
    <w:rsid w:val="00422E29"/>
    <w:rsid w:val="00424A76"/>
    <w:rsid w:val="00427E73"/>
    <w:rsid w:val="004312BE"/>
    <w:rsid w:val="00431BEF"/>
    <w:rsid w:val="00441EE9"/>
    <w:rsid w:val="00442854"/>
    <w:rsid w:val="004507CF"/>
    <w:rsid w:val="0045658C"/>
    <w:rsid w:val="0046339D"/>
    <w:rsid w:val="004638E7"/>
    <w:rsid w:val="00476C8A"/>
    <w:rsid w:val="00484007"/>
    <w:rsid w:val="00486535"/>
    <w:rsid w:val="00490174"/>
    <w:rsid w:val="004917C1"/>
    <w:rsid w:val="00491C99"/>
    <w:rsid w:val="00494B4F"/>
    <w:rsid w:val="00495450"/>
    <w:rsid w:val="00495B88"/>
    <w:rsid w:val="004A1805"/>
    <w:rsid w:val="004A467B"/>
    <w:rsid w:val="004A5AD6"/>
    <w:rsid w:val="004A7EBB"/>
    <w:rsid w:val="004B2577"/>
    <w:rsid w:val="004B5D68"/>
    <w:rsid w:val="004C3EFA"/>
    <w:rsid w:val="004D1978"/>
    <w:rsid w:val="004D1B54"/>
    <w:rsid w:val="004D3108"/>
    <w:rsid w:val="004D46FD"/>
    <w:rsid w:val="004D65F3"/>
    <w:rsid w:val="004E0BEE"/>
    <w:rsid w:val="004E187E"/>
    <w:rsid w:val="004E20CB"/>
    <w:rsid w:val="004E2912"/>
    <w:rsid w:val="004E3D3C"/>
    <w:rsid w:val="004E533F"/>
    <w:rsid w:val="004F0273"/>
    <w:rsid w:val="004F2D3D"/>
    <w:rsid w:val="004F48D0"/>
    <w:rsid w:val="004F5045"/>
    <w:rsid w:val="005032B5"/>
    <w:rsid w:val="00515937"/>
    <w:rsid w:val="00517AD1"/>
    <w:rsid w:val="00523780"/>
    <w:rsid w:val="0052522E"/>
    <w:rsid w:val="00526B2A"/>
    <w:rsid w:val="00530D1B"/>
    <w:rsid w:val="00531226"/>
    <w:rsid w:val="00531409"/>
    <w:rsid w:val="00535DF7"/>
    <w:rsid w:val="00542107"/>
    <w:rsid w:val="005529CC"/>
    <w:rsid w:val="00553EEB"/>
    <w:rsid w:val="00561D0F"/>
    <w:rsid w:val="00564C41"/>
    <w:rsid w:val="0056706A"/>
    <w:rsid w:val="00582896"/>
    <w:rsid w:val="00584798"/>
    <w:rsid w:val="0059070D"/>
    <w:rsid w:val="00592C86"/>
    <w:rsid w:val="005A33AA"/>
    <w:rsid w:val="005A33D0"/>
    <w:rsid w:val="005B0677"/>
    <w:rsid w:val="005B13B6"/>
    <w:rsid w:val="005B250B"/>
    <w:rsid w:val="005B3C00"/>
    <w:rsid w:val="005B6749"/>
    <w:rsid w:val="005B7834"/>
    <w:rsid w:val="005C28EC"/>
    <w:rsid w:val="005C28F8"/>
    <w:rsid w:val="005D19C4"/>
    <w:rsid w:val="005D2DEE"/>
    <w:rsid w:val="005D4D0C"/>
    <w:rsid w:val="005E2068"/>
    <w:rsid w:val="005E3007"/>
    <w:rsid w:val="005E6321"/>
    <w:rsid w:val="005E6C27"/>
    <w:rsid w:val="005F17F5"/>
    <w:rsid w:val="005F38EC"/>
    <w:rsid w:val="005F3B50"/>
    <w:rsid w:val="005F452A"/>
    <w:rsid w:val="005F7A3C"/>
    <w:rsid w:val="006034D3"/>
    <w:rsid w:val="0060564D"/>
    <w:rsid w:val="006111D8"/>
    <w:rsid w:val="0062087D"/>
    <w:rsid w:val="006215E0"/>
    <w:rsid w:val="006306EB"/>
    <w:rsid w:val="0063465C"/>
    <w:rsid w:val="00634A5C"/>
    <w:rsid w:val="006352B9"/>
    <w:rsid w:val="00641596"/>
    <w:rsid w:val="0064329B"/>
    <w:rsid w:val="006441F5"/>
    <w:rsid w:val="00644E60"/>
    <w:rsid w:val="00645B55"/>
    <w:rsid w:val="006472D1"/>
    <w:rsid w:val="00652C21"/>
    <w:rsid w:val="0066237B"/>
    <w:rsid w:val="006656FC"/>
    <w:rsid w:val="0067052F"/>
    <w:rsid w:val="0067395D"/>
    <w:rsid w:val="00675607"/>
    <w:rsid w:val="00675986"/>
    <w:rsid w:val="00675CD3"/>
    <w:rsid w:val="00677147"/>
    <w:rsid w:val="00685D4C"/>
    <w:rsid w:val="00695694"/>
    <w:rsid w:val="006A21C2"/>
    <w:rsid w:val="006A3B47"/>
    <w:rsid w:val="006A4B86"/>
    <w:rsid w:val="006A7A0A"/>
    <w:rsid w:val="006B1A05"/>
    <w:rsid w:val="006B1C55"/>
    <w:rsid w:val="006B24CB"/>
    <w:rsid w:val="006C1047"/>
    <w:rsid w:val="006C3226"/>
    <w:rsid w:val="006D4BB7"/>
    <w:rsid w:val="006D75BD"/>
    <w:rsid w:val="006E4407"/>
    <w:rsid w:val="006F3582"/>
    <w:rsid w:val="006F44F9"/>
    <w:rsid w:val="007015FC"/>
    <w:rsid w:val="00710318"/>
    <w:rsid w:val="007114E7"/>
    <w:rsid w:val="0071588F"/>
    <w:rsid w:val="00716C7E"/>
    <w:rsid w:val="00717B61"/>
    <w:rsid w:val="0073239A"/>
    <w:rsid w:val="00732D2B"/>
    <w:rsid w:val="00734A88"/>
    <w:rsid w:val="0073569E"/>
    <w:rsid w:val="0073727C"/>
    <w:rsid w:val="00744AF3"/>
    <w:rsid w:val="00747E56"/>
    <w:rsid w:val="00751672"/>
    <w:rsid w:val="0075510C"/>
    <w:rsid w:val="00757D98"/>
    <w:rsid w:val="00761EB6"/>
    <w:rsid w:val="007643F5"/>
    <w:rsid w:val="00766C8E"/>
    <w:rsid w:val="0077255F"/>
    <w:rsid w:val="00775593"/>
    <w:rsid w:val="00776598"/>
    <w:rsid w:val="00777081"/>
    <w:rsid w:val="00782A08"/>
    <w:rsid w:val="00786153"/>
    <w:rsid w:val="00790EF3"/>
    <w:rsid w:val="00791ABB"/>
    <w:rsid w:val="00792C70"/>
    <w:rsid w:val="007965B0"/>
    <w:rsid w:val="007A49B5"/>
    <w:rsid w:val="007B1672"/>
    <w:rsid w:val="007B1D2D"/>
    <w:rsid w:val="007B46F9"/>
    <w:rsid w:val="007B6CFE"/>
    <w:rsid w:val="007C36CE"/>
    <w:rsid w:val="007C74E3"/>
    <w:rsid w:val="007D0F96"/>
    <w:rsid w:val="007D3E3E"/>
    <w:rsid w:val="007D6063"/>
    <w:rsid w:val="007E09E5"/>
    <w:rsid w:val="007E31DB"/>
    <w:rsid w:val="007E7871"/>
    <w:rsid w:val="00801DEE"/>
    <w:rsid w:val="00803141"/>
    <w:rsid w:val="008079CE"/>
    <w:rsid w:val="0081070B"/>
    <w:rsid w:val="008142EB"/>
    <w:rsid w:val="0081669B"/>
    <w:rsid w:val="0081696C"/>
    <w:rsid w:val="008228F3"/>
    <w:rsid w:val="00823F91"/>
    <w:rsid w:val="00824683"/>
    <w:rsid w:val="00832C1B"/>
    <w:rsid w:val="008354C5"/>
    <w:rsid w:val="0083691D"/>
    <w:rsid w:val="00837C5E"/>
    <w:rsid w:val="00840FD3"/>
    <w:rsid w:val="00841779"/>
    <w:rsid w:val="008506A0"/>
    <w:rsid w:val="00851A4F"/>
    <w:rsid w:val="00866264"/>
    <w:rsid w:val="008663C0"/>
    <w:rsid w:val="008746E1"/>
    <w:rsid w:val="0087572C"/>
    <w:rsid w:val="008803F7"/>
    <w:rsid w:val="00881C76"/>
    <w:rsid w:val="0088763C"/>
    <w:rsid w:val="00893B0E"/>
    <w:rsid w:val="00893F0B"/>
    <w:rsid w:val="00894839"/>
    <w:rsid w:val="0089761B"/>
    <w:rsid w:val="008A0235"/>
    <w:rsid w:val="008A3462"/>
    <w:rsid w:val="008A60E2"/>
    <w:rsid w:val="008B1A8B"/>
    <w:rsid w:val="008B282A"/>
    <w:rsid w:val="008B2B8B"/>
    <w:rsid w:val="008D6D09"/>
    <w:rsid w:val="008D761F"/>
    <w:rsid w:val="008E3BE1"/>
    <w:rsid w:val="008E5A53"/>
    <w:rsid w:val="008F013A"/>
    <w:rsid w:val="008F22F9"/>
    <w:rsid w:val="008F554F"/>
    <w:rsid w:val="008F5550"/>
    <w:rsid w:val="008F6AC3"/>
    <w:rsid w:val="009020D5"/>
    <w:rsid w:val="009077E3"/>
    <w:rsid w:val="00910EF2"/>
    <w:rsid w:val="00913B17"/>
    <w:rsid w:val="009166DD"/>
    <w:rsid w:val="0091672D"/>
    <w:rsid w:val="00922FE6"/>
    <w:rsid w:val="0092326A"/>
    <w:rsid w:val="009342E4"/>
    <w:rsid w:val="009349E0"/>
    <w:rsid w:val="00942666"/>
    <w:rsid w:val="009445E9"/>
    <w:rsid w:val="009455CA"/>
    <w:rsid w:val="0095545D"/>
    <w:rsid w:val="009634B4"/>
    <w:rsid w:val="009643E3"/>
    <w:rsid w:val="009649FC"/>
    <w:rsid w:val="00965F82"/>
    <w:rsid w:val="00966B88"/>
    <w:rsid w:val="009763AC"/>
    <w:rsid w:val="0098237A"/>
    <w:rsid w:val="00982B8E"/>
    <w:rsid w:val="009830C8"/>
    <w:rsid w:val="00983B9A"/>
    <w:rsid w:val="009870EF"/>
    <w:rsid w:val="009877CF"/>
    <w:rsid w:val="00987B98"/>
    <w:rsid w:val="0099486D"/>
    <w:rsid w:val="00995E0A"/>
    <w:rsid w:val="009A475D"/>
    <w:rsid w:val="009A5310"/>
    <w:rsid w:val="009A5C49"/>
    <w:rsid w:val="009B1C06"/>
    <w:rsid w:val="009C22D0"/>
    <w:rsid w:val="009C7711"/>
    <w:rsid w:val="009D5A08"/>
    <w:rsid w:val="009E69A1"/>
    <w:rsid w:val="009F24FB"/>
    <w:rsid w:val="009F4939"/>
    <w:rsid w:val="009F620C"/>
    <w:rsid w:val="009F7BD8"/>
    <w:rsid w:val="00A00D08"/>
    <w:rsid w:val="00A022C7"/>
    <w:rsid w:val="00A02D20"/>
    <w:rsid w:val="00A0627A"/>
    <w:rsid w:val="00A22653"/>
    <w:rsid w:val="00A23BC5"/>
    <w:rsid w:val="00A24F45"/>
    <w:rsid w:val="00A345AE"/>
    <w:rsid w:val="00A409B8"/>
    <w:rsid w:val="00A4383B"/>
    <w:rsid w:val="00A4611F"/>
    <w:rsid w:val="00A470ED"/>
    <w:rsid w:val="00A475EE"/>
    <w:rsid w:val="00A523A9"/>
    <w:rsid w:val="00A52E9C"/>
    <w:rsid w:val="00A57094"/>
    <w:rsid w:val="00A64FFA"/>
    <w:rsid w:val="00A67786"/>
    <w:rsid w:val="00A67C1E"/>
    <w:rsid w:val="00A7050E"/>
    <w:rsid w:val="00A70B34"/>
    <w:rsid w:val="00A743B7"/>
    <w:rsid w:val="00A761ED"/>
    <w:rsid w:val="00A76B1D"/>
    <w:rsid w:val="00A82E5F"/>
    <w:rsid w:val="00A86505"/>
    <w:rsid w:val="00A92588"/>
    <w:rsid w:val="00AA00A9"/>
    <w:rsid w:val="00AA0438"/>
    <w:rsid w:val="00AA1DE2"/>
    <w:rsid w:val="00AA3BA4"/>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37BC9"/>
    <w:rsid w:val="00B40E21"/>
    <w:rsid w:val="00B45676"/>
    <w:rsid w:val="00B45F71"/>
    <w:rsid w:val="00B46217"/>
    <w:rsid w:val="00B5018B"/>
    <w:rsid w:val="00B5283A"/>
    <w:rsid w:val="00B57687"/>
    <w:rsid w:val="00B625D9"/>
    <w:rsid w:val="00B665D7"/>
    <w:rsid w:val="00B70860"/>
    <w:rsid w:val="00B71D02"/>
    <w:rsid w:val="00B87994"/>
    <w:rsid w:val="00B922CF"/>
    <w:rsid w:val="00B94E3D"/>
    <w:rsid w:val="00BA47D2"/>
    <w:rsid w:val="00BA5258"/>
    <w:rsid w:val="00BA61F7"/>
    <w:rsid w:val="00BB3104"/>
    <w:rsid w:val="00BB352A"/>
    <w:rsid w:val="00BB7304"/>
    <w:rsid w:val="00BC2D8F"/>
    <w:rsid w:val="00BC2DE6"/>
    <w:rsid w:val="00BC7240"/>
    <w:rsid w:val="00BD42F1"/>
    <w:rsid w:val="00BD4FFC"/>
    <w:rsid w:val="00BD79D1"/>
    <w:rsid w:val="00BE1D82"/>
    <w:rsid w:val="00BE6352"/>
    <w:rsid w:val="00BF5F04"/>
    <w:rsid w:val="00C052E4"/>
    <w:rsid w:val="00C1081E"/>
    <w:rsid w:val="00C1140C"/>
    <w:rsid w:val="00C1195C"/>
    <w:rsid w:val="00C136F0"/>
    <w:rsid w:val="00C150A5"/>
    <w:rsid w:val="00C215A7"/>
    <w:rsid w:val="00C21F78"/>
    <w:rsid w:val="00C224B0"/>
    <w:rsid w:val="00C25C02"/>
    <w:rsid w:val="00C27A38"/>
    <w:rsid w:val="00C302A8"/>
    <w:rsid w:val="00C322C5"/>
    <w:rsid w:val="00C34D87"/>
    <w:rsid w:val="00C37F96"/>
    <w:rsid w:val="00C419F9"/>
    <w:rsid w:val="00C426F5"/>
    <w:rsid w:val="00C45D4C"/>
    <w:rsid w:val="00C477B5"/>
    <w:rsid w:val="00C53318"/>
    <w:rsid w:val="00C546D2"/>
    <w:rsid w:val="00C61510"/>
    <w:rsid w:val="00C61561"/>
    <w:rsid w:val="00C6634A"/>
    <w:rsid w:val="00C7068E"/>
    <w:rsid w:val="00C75A88"/>
    <w:rsid w:val="00C769EE"/>
    <w:rsid w:val="00C82E88"/>
    <w:rsid w:val="00C86201"/>
    <w:rsid w:val="00C908AD"/>
    <w:rsid w:val="00C920E5"/>
    <w:rsid w:val="00C94BB9"/>
    <w:rsid w:val="00C94F1E"/>
    <w:rsid w:val="00CA1E0E"/>
    <w:rsid w:val="00CA5BA3"/>
    <w:rsid w:val="00CB0D2B"/>
    <w:rsid w:val="00CB4F5E"/>
    <w:rsid w:val="00CB6A72"/>
    <w:rsid w:val="00CC3CC1"/>
    <w:rsid w:val="00CC4458"/>
    <w:rsid w:val="00CC49DA"/>
    <w:rsid w:val="00CC5E96"/>
    <w:rsid w:val="00CD4A78"/>
    <w:rsid w:val="00CD5A5C"/>
    <w:rsid w:val="00CD6B6A"/>
    <w:rsid w:val="00CE43B4"/>
    <w:rsid w:val="00CE68C6"/>
    <w:rsid w:val="00CF14C0"/>
    <w:rsid w:val="00CF3BB0"/>
    <w:rsid w:val="00CF7138"/>
    <w:rsid w:val="00D02084"/>
    <w:rsid w:val="00D050DE"/>
    <w:rsid w:val="00D0763D"/>
    <w:rsid w:val="00D077EC"/>
    <w:rsid w:val="00D13B06"/>
    <w:rsid w:val="00D14133"/>
    <w:rsid w:val="00D156E2"/>
    <w:rsid w:val="00D1728D"/>
    <w:rsid w:val="00D21BFC"/>
    <w:rsid w:val="00D21D55"/>
    <w:rsid w:val="00D21EF9"/>
    <w:rsid w:val="00D22F4A"/>
    <w:rsid w:val="00D23330"/>
    <w:rsid w:val="00D271DE"/>
    <w:rsid w:val="00D3143B"/>
    <w:rsid w:val="00D32326"/>
    <w:rsid w:val="00D33BD7"/>
    <w:rsid w:val="00D34B76"/>
    <w:rsid w:val="00D35F74"/>
    <w:rsid w:val="00D4029A"/>
    <w:rsid w:val="00D416A5"/>
    <w:rsid w:val="00D4391F"/>
    <w:rsid w:val="00D50C56"/>
    <w:rsid w:val="00D5488B"/>
    <w:rsid w:val="00D55074"/>
    <w:rsid w:val="00D55AA4"/>
    <w:rsid w:val="00D5720C"/>
    <w:rsid w:val="00D57AD6"/>
    <w:rsid w:val="00D6261D"/>
    <w:rsid w:val="00D6598A"/>
    <w:rsid w:val="00D65F4B"/>
    <w:rsid w:val="00D671F6"/>
    <w:rsid w:val="00D71653"/>
    <w:rsid w:val="00D72436"/>
    <w:rsid w:val="00D8063C"/>
    <w:rsid w:val="00D867BB"/>
    <w:rsid w:val="00D92268"/>
    <w:rsid w:val="00D926F9"/>
    <w:rsid w:val="00D93182"/>
    <w:rsid w:val="00D961B5"/>
    <w:rsid w:val="00DA7FD6"/>
    <w:rsid w:val="00DB1328"/>
    <w:rsid w:val="00DB46EB"/>
    <w:rsid w:val="00DB4CEE"/>
    <w:rsid w:val="00DB7EE0"/>
    <w:rsid w:val="00DC42EB"/>
    <w:rsid w:val="00DD2411"/>
    <w:rsid w:val="00DD3E7F"/>
    <w:rsid w:val="00DD4749"/>
    <w:rsid w:val="00DE0ECC"/>
    <w:rsid w:val="00DE2348"/>
    <w:rsid w:val="00DE3943"/>
    <w:rsid w:val="00DE562E"/>
    <w:rsid w:val="00DE6FB0"/>
    <w:rsid w:val="00DE77F8"/>
    <w:rsid w:val="00DF0138"/>
    <w:rsid w:val="00DF294A"/>
    <w:rsid w:val="00DF315B"/>
    <w:rsid w:val="00E00EAF"/>
    <w:rsid w:val="00E0236A"/>
    <w:rsid w:val="00E05FD9"/>
    <w:rsid w:val="00E11739"/>
    <w:rsid w:val="00E12F72"/>
    <w:rsid w:val="00E15A2D"/>
    <w:rsid w:val="00E15B2B"/>
    <w:rsid w:val="00E23F95"/>
    <w:rsid w:val="00E267A5"/>
    <w:rsid w:val="00E32DA2"/>
    <w:rsid w:val="00E35AC9"/>
    <w:rsid w:val="00E413A9"/>
    <w:rsid w:val="00E5003A"/>
    <w:rsid w:val="00E514FA"/>
    <w:rsid w:val="00E51D1F"/>
    <w:rsid w:val="00E56529"/>
    <w:rsid w:val="00E6135C"/>
    <w:rsid w:val="00E659AC"/>
    <w:rsid w:val="00E66725"/>
    <w:rsid w:val="00E67591"/>
    <w:rsid w:val="00E67A2A"/>
    <w:rsid w:val="00E728B0"/>
    <w:rsid w:val="00E75758"/>
    <w:rsid w:val="00E75BC0"/>
    <w:rsid w:val="00E85ECC"/>
    <w:rsid w:val="00E87DF4"/>
    <w:rsid w:val="00E9292D"/>
    <w:rsid w:val="00EA1800"/>
    <w:rsid w:val="00EA2033"/>
    <w:rsid w:val="00EA2B0E"/>
    <w:rsid w:val="00EA319E"/>
    <w:rsid w:val="00EA56F6"/>
    <w:rsid w:val="00EA77CE"/>
    <w:rsid w:val="00EB1DAB"/>
    <w:rsid w:val="00EB1EEE"/>
    <w:rsid w:val="00EC15BD"/>
    <w:rsid w:val="00EC38D5"/>
    <w:rsid w:val="00EC41CE"/>
    <w:rsid w:val="00EC477B"/>
    <w:rsid w:val="00EC785A"/>
    <w:rsid w:val="00ED0F47"/>
    <w:rsid w:val="00ED79B3"/>
    <w:rsid w:val="00EE0848"/>
    <w:rsid w:val="00EE34BE"/>
    <w:rsid w:val="00EE5426"/>
    <w:rsid w:val="00EF38B7"/>
    <w:rsid w:val="00EF3E81"/>
    <w:rsid w:val="00EF4175"/>
    <w:rsid w:val="00EF6C7F"/>
    <w:rsid w:val="00F0563B"/>
    <w:rsid w:val="00F2180F"/>
    <w:rsid w:val="00F260A2"/>
    <w:rsid w:val="00F31732"/>
    <w:rsid w:val="00F31F04"/>
    <w:rsid w:val="00F327E2"/>
    <w:rsid w:val="00F33BCF"/>
    <w:rsid w:val="00F34A38"/>
    <w:rsid w:val="00F375FF"/>
    <w:rsid w:val="00F42EE6"/>
    <w:rsid w:val="00F439C7"/>
    <w:rsid w:val="00F50C2B"/>
    <w:rsid w:val="00F566E6"/>
    <w:rsid w:val="00F702DD"/>
    <w:rsid w:val="00F721A2"/>
    <w:rsid w:val="00F72B51"/>
    <w:rsid w:val="00F734B6"/>
    <w:rsid w:val="00F74176"/>
    <w:rsid w:val="00F760B8"/>
    <w:rsid w:val="00F76C50"/>
    <w:rsid w:val="00F84427"/>
    <w:rsid w:val="00F85050"/>
    <w:rsid w:val="00F86303"/>
    <w:rsid w:val="00F87AC0"/>
    <w:rsid w:val="00F9199B"/>
    <w:rsid w:val="00F95BD7"/>
    <w:rsid w:val="00FA1741"/>
    <w:rsid w:val="00FA310D"/>
    <w:rsid w:val="00FA53B2"/>
    <w:rsid w:val="00FA5704"/>
    <w:rsid w:val="00FA6242"/>
    <w:rsid w:val="00FA643C"/>
    <w:rsid w:val="00FA7894"/>
    <w:rsid w:val="00FC4DCA"/>
    <w:rsid w:val="00FC4DD1"/>
    <w:rsid w:val="00FD1DCC"/>
    <w:rsid w:val="00FD2763"/>
    <w:rsid w:val="00FD2E3D"/>
    <w:rsid w:val="00FE14A1"/>
    <w:rsid w:val="00FE51AD"/>
    <w:rsid w:val="00FE5CAF"/>
    <w:rsid w:val="00FE6157"/>
    <w:rsid w:val="00FE74BE"/>
    <w:rsid w:val="00FF0B73"/>
    <w:rsid w:val="00FF17C7"/>
    <w:rsid w:val="00FF286E"/>
    <w:rsid w:val="00FF41D9"/>
    <w:rsid w:val="00FF4FFD"/>
    <w:rsid w:val="00FF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BD7"/>
    <w:rPr>
      <w:sz w:val="26"/>
      <w:szCs w:val="26"/>
    </w:rPr>
  </w:style>
  <w:style w:type="paragraph" w:styleId="Heading1">
    <w:name w:val="heading 1"/>
    <w:basedOn w:val="Normal"/>
    <w:next w:val="Normal"/>
    <w:link w:val="Heading1Char"/>
    <w:qFormat/>
    <w:rsid w:val="000050A9"/>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0050A9"/>
    <w:pPr>
      <w:keepNext/>
      <w:jc w:val="center"/>
      <w:outlineLvl w:val="1"/>
    </w:pPr>
    <w:rPr>
      <w:rFonts w:ascii="Courier" w:hAnsi="Courier"/>
      <w:b/>
      <w:sz w:val="24"/>
      <w:szCs w:val="20"/>
    </w:rPr>
  </w:style>
  <w:style w:type="paragraph" w:styleId="Heading4">
    <w:name w:val="heading 4"/>
    <w:basedOn w:val="Normal"/>
    <w:next w:val="Normal"/>
    <w:link w:val="Heading4Char"/>
    <w:semiHidden/>
    <w:unhideWhenUsed/>
    <w:qFormat/>
    <w:rsid w:val="00413872"/>
    <w:pPr>
      <w:keepNext/>
      <w:keepLines/>
      <w:autoSpaceDE w:val="0"/>
      <w:autoSpaceDN w:val="0"/>
      <w:spacing w:before="200"/>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rsid w:val="00E85ECC"/>
    <w:rPr>
      <w:sz w:val="20"/>
      <w:szCs w:val="20"/>
    </w:rPr>
  </w:style>
  <w:style w:type="character" w:styleId="FootnoteReference">
    <w:name w:val="footnote reference"/>
    <w:basedOn w:val="DefaultParagraphFont"/>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customStyle="1" w:styleId="Heading1Char">
    <w:name w:val="Heading 1 Char"/>
    <w:basedOn w:val="DefaultParagraphFont"/>
    <w:link w:val="Heading1"/>
    <w:rsid w:val="000050A9"/>
    <w:rPr>
      <w:rFonts w:ascii="Courier" w:hAnsi="Courier"/>
      <w:b/>
      <w:sz w:val="24"/>
      <w:u w:val="single"/>
    </w:rPr>
  </w:style>
  <w:style w:type="character" w:customStyle="1" w:styleId="Heading2Char">
    <w:name w:val="Heading 2 Char"/>
    <w:basedOn w:val="DefaultParagraphFont"/>
    <w:link w:val="Heading2"/>
    <w:rsid w:val="000050A9"/>
    <w:rPr>
      <w:rFonts w:ascii="Courier" w:hAnsi="Courier"/>
      <w:b/>
      <w:sz w:val="24"/>
    </w:rPr>
  </w:style>
  <w:style w:type="character" w:customStyle="1" w:styleId="FootnoteTextChar">
    <w:name w:val="Footnote Text Char"/>
    <w:basedOn w:val="DefaultParagraphFont"/>
    <w:link w:val="FootnoteText"/>
    <w:rsid w:val="000050A9"/>
  </w:style>
  <w:style w:type="character" w:customStyle="1" w:styleId="FooterChar">
    <w:name w:val="Footer Char"/>
    <w:basedOn w:val="DefaultParagraphFont"/>
    <w:link w:val="Footer"/>
    <w:rsid w:val="000050A9"/>
    <w:rPr>
      <w:sz w:val="26"/>
      <w:szCs w:val="26"/>
    </w:rPr>
  </w:style>
  <w:style w:type="paragraph" w:styleId="NormalWeb">
    <w:name w:val="Normal (Web)"/>
    <w:basedOn w:val="Normal"/>
    <w:uiPriority w:val="99"/>
    <w:unhideWhenUsed/>
    <w:rsid w:val="000050A9"/>
    <w:pPr>
      <w:spacing w:before="100" w:beforeAutospacing="1" w:after="100" w:afterAutospacing="1"/>
    </w:pPr>
    <w:rPr>
      <w:sz w:val="24"/>
      <w:szCs w:val="24"/>
    </w:rPr>
  </w:style>
  <w:style w:type="paragraph" w:customStyle="1" w:styleId="ParaTab1">
    <w:name w:val="ParaTab 1"/>
    <w:rsid w:val="000050A9"/>
    <w:pPr>
      <w:tabs>
        <w:tab w:val="left" w:pos="-720"/>
      </w:tabs>
      <w:suppressAutoHyphens/>
      <w:autoSpaceDE w:val="0"/>
      <w:autoSpaceDN w:val="0"/>
      <w:ind w:firstLine="1440"/>
    </w:pPr>
    <w:rPr>
      <w:rFonts w:ascii="CG Times" w:hAnsi="CG Times" w:cs="CG Times"/>
      <w:sz w:val="24"/>
      <w:szCs w:val="24"/>
    </w:rPr>
  </w:style>
  <w:style w:type="character" w:customStyle="1" w:styleId="Heading4Char">
    <w:name w:val="Heading 4 Char"/>
    <w:basedOn w:val="DefaultParagraphFont"/>
    <w:link w:val="Heading4"/>
    <w:semiHidden/>
    <w:rsid w:val="00413872"/>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BD7"/>
    <w:rPr>
      <w:sz w:val="26"/>
      <w:szCs w:val="26"/>
    </w:rPr>
  </w:style>
  <w:style w:type="paragraph" w:styleId="Heading1">
    <w:name w:val="heading 1"/>
    <w:basedOn w:val="Normal"/>
    <w:next w:val="Normal"/>
    <w:link w:val="Heading1Char"/>
    <w:qFormat/>
    <w:rsid w:val="000050A9"/>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0050A9"/>
    <w:pPr>
      <w:keepNext/>
      <w:jc w:val="center"/>
      <w:outlineLvl w:val="1"/>
    </w:pPr>
    <w:rPr>
      <w:rFonts w:ascii="Courier" w:hAnsi="Courier"/>
      <w:b/>
      <w:sz w:val="24"/>
      <w:szCs w:val="20"/>
    </w:rPr>
  </w:style>
  <w:style w:type="paragraph" w:styleId="Heading4">
    <w:name w:val="heading 4"/>
    <w:basedOn w:val="Normal"/>
    <w:next w:val="Normal"/>
    <w:link w:val="Heading4Char"/>
    <w:semiHidden/>
    <w:unhideWhenUsed/>
    <w:qFormat/>
    <w:rsid w:val="00413872"/>
    <w:pPr>
      <w:keepNext/>
      <w:keepLines/>
      <w:autoSpaceDE w:val="0"/>
      <w:autoSpaceDN w:val="0"/>
      <w:spacing w:before="200"/>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rsid w:val="00E85ECC"/>
    <w:rPr>
      <w:sz w:val="20"/>
      <w:szCs w:val="20"/>
    </w:rPr>
  </w:style>
  <w:style w:type="character" w:styleId="FootnoteReference">
    <w:name w:val="footnote reference"/>
    <w:basedOn w:val="DefaultParagraphFont"/>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customStyle="1" w:styleId="Heading1Char">
    <w:name w:val="Heading 1 Char"/>
    <w:basedOn w:val="DefaultParagraphFont"/>
    <w:link w:val="Heading1"/>
    <w:rsid w:val="000050A9"/>
    <w:rPr>
      <w:rFonts w:ascii="Courier" w:hAnsi="Courier"/>
      <w:b/>
      <w:sz w:val="24"/>
      <w:u w:val="single"/>
    </w:rPr>
  </w:style>
  <w:style w:type="character" w:customStyle="1" w:styleId="Heading2Char">
    <w:name w:val="Heading 2 Char"/>
    <w:basedOn w:val="DefaultParagraphFont"/>
    <w:link w:val="Heading2"/>
    <w:rsid w:val="000050A9"/>
    <w:rPr>
      <w:rFonts w:ascii="Courier" w:hAnsi="Courier"/>
      <w:b/>
      <w:sz w:val="24"/>
    </w:rPr>
  </w:style>
  <w:style w:type="character" w:customStyle="1" w:styleId="FootnoteTextChar">
    <w:name w:val="Footnote Text Char"/>
    <w:basedOn w:val="DefaultParagraphFont"/>
    <w:link w:val="FootnoteText"/>
    <w:rsid w:val="000050A9"/>
  </w:style>
  <w:style w:type="character" w:customStyle="1" w:styleId="FooterChar">
    <w:name w:val="Footer Char"/>
    <w:basedOn w:val="DefaultParagraphFont"/>
    <w:link w:val="Footer"/>
    <w:rsid w:val="000050A9"/>
    <w:rPr>
      <w:sz w:val="26"/>
      <w:szCs w:val="26"/>
    </w:rPr>
  </w:style>
  <w:style w:type="paragraph" w:styleId="NormalWeb">
    <w:name w:val="Normal (Web)"/>
    <w:basedOn w:val="Normal"/>
    <w:uiPriority w:val="99"/>
    <w:unhideWhenUsed/>
    <w:rsid w:val="000050A9"/>
    <w:pPr>
      <w:spacing w:before="100" w:beforeAutospacing="1" w:after="100" w:afterAutospacing="1"/>
    </w:pPr>
    <w:rPr>
      <w:sz w:val="24"/>
      <w:szCs w:val="24"/>
    </w:rPr>
  </w:style>
  <w:style w:type="paragraph" w:customStyle="1" w:styleId="ParaTab1">
    <w:name w:val="ParaTab 1"/>
    <w:rsid w:val="000050A9"/>
    <w:pPr>
      <w:tabs>
        <w:tab w:val="left" w:pos="-720"/>
      </w:tabs>
      <w:suppressAutoHyphens/>
      <w:autoSpaceDE w:val="0"/>
      <w:autoSpaceDN w:val="0"/>
      <w:ind w:firstLine="1440"/>
    </w:pPr>
    <w:rPr>
      <w:rFonts w:ascii="CG Times" w:hAnsi="CG Times" w:cs="CG Times"/>
      <w:sz w:val="24"/>
      <w:szCs w:val="24"/>
    </w:rPr>
  </w:style>
  <w:style w:type="character" w:customStyle="1" w:styleId="Heading4Char">
    <w:name w:val="Heading 4 Char"/>
    <w:basedOn w:val="DefaultParagraphFont"/>
    <w:link w:val="Heading4"/>
    <w:semiHidden/>
    <w:rsid w:val="00413872"/>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0D333-B7F7-4F1E-BB84-F7230A79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sandra elizabeth oldynski</cp:lastModifiedBy>
  <cp:revision>62</cp:revision>
  <cp:lastPrinted>2015-07-09T12:28:00Z</cp:lastPrinted>
  <dcterms:created xsi:type="dcterms:W3CDTF">2015-07-08T18:00:00Z</dcterms:created>
  <dcterms:modified xsi:type="dcterms:W3CDTF">2015-07-21T16:54:00Z</dcterms:modified>
</cp:coreProperties>
</file>