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2CB" w:rsidRPr="00F514FB" w:rsidRDefault="001322CB" w:rsidP="00B774A6">
      <w:pPr>
        <w:tabs>
          <w:tab w:val="center" w:pos="4680"/>
        </w:tabs>
        <w:suppressAutoHyphens/>
        <w:spacing w:line="240" w:lineRule="auto"/>
        <w:ind w:firstLine="0"/>
        <w:jc w:val="center"/>
        <w:rPr>
          <w:b/>
          <w:szCs w:val="26"/>
        </w:rPr>
      </w:pPr>
      <w:r w:rsidRPr="00F514FB">
        <w:rPr>
          <w:b/>
          <w:szCs w:val="26"/>
        </w:rPr>
        <w:t>PENNSYLVANIA</w:t>
      </w:r>
    </w:p>
    <w:p w:rsidR="001322CB" w:rsidRPr="00F514FB" w:rsidRDefault="001322CB" w:rsidP="00B774A6">
      <w:pPr>
        <w:tabs>
          <w:tab w:val="center" w:pos="4680"/>
        </w:tabs>
        <w:suppressAutoHyphens/>
        <w:spacing w:line="240" w:lineRule="auto"/>
        <w:ind w:firstLine="0"/>
        <w:jc w:val="center"/>
        <w:rPr>
          <w:szCs w:val="26"/>
        </w:rPr>
      </w:pPr>
      <w:r w:rsidRPr="00F514FB">
        <w:rPr>
          <w:b/>
          <w:szCs w:val="26"/>
        </w:rPr>
        <w:t>PUBLIC UTILITY COMMISSION</w:t>
      </w:r>
    </w:p>
    <w:p w:rsidR="001322CB" w:rsidRDefault="001322CB" w:rsidP="00B774A6">
      <w:pPr>
        <w:tabs>
          <w:tab w:val="center" w:pos="4680"/>
        </w:tabs>
        <w:suppressAutoHyphens/>
        <w:spacing w:line="240" w:lineRule="auto"/>
        <w:ind w:firstLine="0"/>
        <w:jc w:val="center"/>
        <w:rPr>
          <w:b/>
          <w:szCs w:val="26"/>
        </w:rPr>
      </w:pPr>
      <w:r w:rsidRPr="00F514FB">
        <w:rPr>
          <w:b/>
          <w:szCs w:val="26"/>
        </w:rPr>
        <w:t>Harrisburg, PA 17105-3265</w:t>
      </w:r>
    </w:p>
    <w:p w:rsidR="001C28B5" w:rsidRPr="00F514FB" w:rsidRDefault="001C28B5" w:rsidP="00B774A6">
      <w:pPr>
        <w:tabs>
          <w:tab w:val="center" w:pos="4680"/>
        </w:tabs>
        <w:suppressAutoHyphens/>
        <w:spacing w:line="240" w:lineRule="auto"/>
        <w:ind w:firstLine="0"/>
        <w:jc w:val="center"/>
        <w:rPr>
          <w:szCs w:val="26"/>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1C28B5" w:rsidRPr="001C28B5" w:rsidTr="003D66B9">
        <w:tc>
          <w:tcPr>
            <w:tcW w:w="5058" w:type="dxa"/>
          </w:tcPr>
          <w:p w:rsidR="001C28B5" w:rsidRPr="001C28B5" w:rsidRDefault="001C28B5" w:rsidP="001C28B5">
            <w:pPr>
              <w:spacing w:line="240" w:lineRule="auto"/>
              <w:ind w:firstLine="0"/>
              <w:rPr>
                <w:szCs w:val="26"/>
              </w:rPr>
            </w:pPr>
          </w:p>
        </w:tc>
        <w:tc>
          <w:tcPr>
            <w:tcW w:w="4428" w:type="dxa"/>
          </w:tcPr>
          <w:p w:rsidR="001C28B5" w:rsidRPr="001C28B5" w:rsidRDefault="001C28B5" w:rsidP="001C28B5">
            <w:pPr>
              <w:spacing w:line="240" w:lineRule="auto"/>
              <w:ind w:firstLine="0"/>
              <w:jc w:val="right"/>
              <w:rPr>
                <w:szCs w:val="26"/>
              </w:rPr>
            </w:pPr>
            <w:r w:rsidRPr="001C28B5">
              <w:rPr>
                <w:szCs w:val="26"/>
              </w:rPr>
              <w:t>Public Meeting held Ju</w:t>
            </w:r>
            <w:r>
              <w:rPr>
                <w:szCs w:val="26"/>
              </w:rPr>
              <w:t>ly</w:t>
            </w:r>
            <w:r w:rsidRPr="001C28B5">
              <w:rPr>
                <w:szCs w:val="26"/>
              </w:rPr>
              <w:t xml:space="preserve"> </w:t>
            </w:r>
            <w:r>
              <w:rPr>
                <w:szCs w:val="26"/>
              </w:rPr>
              <w:t>30</w:t>
            </w:r>
            <w:r w:rsidRPr="001C28B5">
              <w:rPr>
                <w:szCs w:val="26"/>
              </w:rPr>
              <w:t>, 2015</w:t>
            </w:r>
          </w:p>
          <w:p w:rsidR="001C28B5" w:rsidRPr="001C28B5" w:rsidRDefault="001C28B5" w:rsidP="001C28B5">
            <w:pPr>
              <w:spacing w:line="240" w:lineRule="auto"/>
              <w:ind w:firstLine="0"/>
              <w:jc w:val="right"/>
              <w:rPr>
                <w:szCs w:val="26"/>
              </w:rPr>
            </w:pPr>
          </w:p>
          <w:p w:rsidR="001C28B5" w:rsidRPr="001C28B5" w:rsidRDefault="001C28B5" w:rsidP="001C28B5">
            <w:pPr>
              <w:spacing w:line="240" w:lineRule="auto"/>
              <w:ind w:firstLine="0"/>
              <w:jc w:val="right"/>
              <w:rPr>
                <w:szCs w:val="26"/>
              </w:rPr>
            </w:pPr>
          </w:p>
        </w:tc>
      </w:tr>
      <w:tr w:rsidR="001C28B5" w:rsidRPr="001C28B5" w:rsidTr="003D66B9">
        <w:tc>
          <w:tcPr>
            <w:tcW w:w="5058" w:type="dxa"/>
          </w:tcPr>
          <w:p w:rsidR="001C28B5" w:rsidRPr="001C28B5" w:rsidRDefault="001C28B5" w:rsidP="001C28B5">
            <w:pPr>
              <w:spacing w:line="240" w:lineRule="auto"/>
              <w:ind w:firstLine="0"/>
              <w:rPr>
                <w:szCs w:val="26"/>
              </w:rPr>
            </w:pPr>
            <w:r w:rsidRPr="001C28B5">
              <w:rPr>
                <w:szCs w:val="26"/>
              </w:rPr>
              <w:t>Commissioners Present:</w:t>
            </w:r>
          </w:p>
          <w:p w:rsidR="001C28B5" w:rsidRPr="001C28B5" w:rsidRDefault="001C28B5" w:rsidP="001C28B5">
            <w:pPr>
              <w:spacing w:line="240" w:lineRule="auto"/>
              <w:ind w:firstLine="0"/>
              <w:rPr>
                <w:szCs w:val="26"/>
              </w:rPr>
            </w:pPr>
          </w:p>
          <w:p w:rsidR="001C28B5" w:rsidRPr="001C28B5" w:rsidRDefault="001C28B5" w:rsidP="001C28B5">
            <w:pPr>
              <w:tabs>
                <w:tab w:val="left" w:pos="705"/>
              </w:tabs>
              <w:spacing w:line="240" w:lineRule="auto"/>
              <w:ind w:firstLine="0"/>
              <w:rPr>
                <w:szCs w:val="26"/>
              </w:rPr>
            </w:pPr>
            <w:r w:rsidRPr="001C28B5">
              <w:rPr>
                <w:szCs w:val="26"/>
              </w:rPr>
              <w:t>Gladys M. Brown, Chairman</w:t>
            </w:r>
          </w:p>
          <w:p w:rsidR="001C28B5" w:rsidRPr="001C28B5" w:rsidRDefault="001C28B5" w:rsidP="001C28B5">
            <w:pPr>
              <w:tabs>
                <w:tab w:val="left" w:pos="705"/>
              </w:tabs>
              <w:spacing w:line="240" w:lineRule="auto"/>
              <w:ind w:firstLine="0"/>
              <w:rPr>
                <w:szCs w:val="26"/>
              </w:rPr>
            </w:pPr>
            <w:r w:rsidRPr="001C28B5">
              <w:rPr>
                <w:szCs w:val="26"/>
              </w:rPr>
              <w:t>John F. Coleman, Jr., Vice Chairman</w:t>
            </w:r>
          </w:p>
          <w:p w:rsidR="001C28B5" w:rsidRPr="001C28B5" w:rsidRDefault="001C28B5" w:rsidP="001C28B5">
            <w:pPr>
              <w:tabs>
                <w:tab w:val="left" w:pos="705"/>
              </w:tabs>
              <w:spacing w:line="240" w:lineRule="auto"/>
              <w:ind w:firstLine="0"/>
              <w:rPr>
                <w:szCs w:val="26"/>
              </w:rPr>
            </w:pPr>
            <w:r w:rsidRPr="001C28B5">
              <w:rPr>
                <w:szCs w:val="26"/>
              </w:rPr>
              <w:t xml:space="preserve">James H. </w:t>
            </w:r>
            <w:proofErr w:type="spellStart"/>
            <w:r w:rsidRPr="001C28B5">
              <w:rPr>
                <w:szCs w:val="26"/>
              </w:rPr>
              <w:t>Cawley</w:t>
            </w:r>
            <w:proofErr w:type="spellEnd"/>
          </w:p>
          <w:p w:rsidR="001C28B5" w:rsidRPr="001C28B5" w:rsidRDefault="001C28B5" w:rsidP="001C28B5">
            <w:pPr>
              <w:tabs>
                <w:tab w:val="left" w:pos="705"/>
              </w:tabs>
              <w:spacing w:line="240" w:lineRule="auto"/>
              <w:ind w:firstLine="0"/>
              <w:rPr>
                <w:szCs w:val="26"/>
              </w:rPr>
            </w:pPr>
            <w:r w:rsidRPr="001C28B5">
              <w:rPr>
                <w:szCs w:val="26"/>
              </w:rPr>
              <w:t xml:space="preserve">Pamela A. </w:t>
            </w:r>
            <w:proofErr w:type="spellStart"/>
            <w:r w:rsidRPr="001C28B5">
              <w:rPr>
                <w:szCs w:val="26"/>
              </w:rPr>
              <w:t>Witmer</w:t>
            </w:r>
            <w:proofErr w:type="spellEnd"/>
          </w:p>
          <w:p w:rsidR="001C28B5" w:rsidRPr="001C28B5" w:rsidRDefault="001C28B5" w:rsidP="001C28B5">
            <w:pPr>
              <w:spacing w:line="240" w:lineRule="auto"/>
              <w:ind w:firstLine="0"/>
              <w:rPr>
                <w:szCs w:val="26"/>
              </w:rPr>
            </w:pPr>
            <w:r w:rsidRPr="001C28B5">
              <w:rPr>
                <w:szCs w:val="26"/>
              </w:rPr>
              <w:t xml:space="preserve">Robert F. </w:t>
            </w:r>
            <w:proofErr w:type="spellStart"/>
            <w:r w:rsidRPr="001C28B5">
              <w:rPr>
                <w:szCs w:val="26"/>
              </w:rPr>
              <w:t>Powelson</w:t>
            </w:r>
            <w:proofErr w:type="spellEnd"/>
          </w:p>
          <w:p w:rsidR="001C28B5" w:rsidRPr="001C28B5" w:rsidRDefault="001C28B5" w:rsidP="001C28B5">
            <w:pPr>
              <w:spacing w:line="240" w:lineRule="auto"/>
              <w:ind w:firstLine="0"/>
              <w:rPr>
                <w:szCs w:val="26"/>
              </w:rPr>
            </w:pPr>
          </w:p>
          <w:p w:rsidR="001C28B5" w:rsidRPr="001C28B5" w:rsidRDefault="001C28B5" w:rsidP="001C28B5">
            <w:pPr>
              <w:spacing w:line="240" w:lineRule="auto"/>
              <w:ind w:firstLine="0"/>
              <w:rPr>
                <w:szCs w:val="26"/>
              </w:rPr>
            </w:pPr>
          </w:p>
        </w:tc>
        <w:tc>
          <w:tcPr>
            <w:tcW w:w="4428" w:type="dxa"/>
          </w:tcPr>
          <w:p w:rsidR="001C28B5" w:rsidRPr="001C28B5" w:rsidRDefault="001C28B5" w:rsidP="001C28B5">
            <w:pPr>
              <w:spacing w:line="240" w:lineRule="auto"/>
              <w:ind w:firstLine="0"/>
              <w:jc w:val="right"/>
              <w:rPr>
                <w:szCs w:val="26"/>
              </w:rPr>
            </w:pPr>
          </w:p>
          <w:p w:rsidR="001C28B5" w:rsidRPr="001C28B5" w:rsidRDefault="001C28B5" w:rsidP="001C28B5">
            <w:pPr>
              <w:spacing w:line="240" w:lineRule="auto"/>
              <w:ind w:firstLine="0"/>
              <w:jc w:val="right"/>
              <w:rPr>
                <w:szCs w:val="26"/>
              </w:rPr>
            </w:pPr>
          </w:p>
        </w:tc>
      </w:tr>
    </w:tbl>
    <w:p w:rsidR="001C28B5" w:rsidRDefault="001C28B5" w:rsidP="00B774A6">
      <w:pPr>
        <w:spacing w:line="240" w:lineRule="auto"/>
        <w:ind w:firstLine="0"/>
        <w:rPr>
          <w:szCs w:val="26"/>
        </w:rPr>
      </w:pPr>
    </w:p>
    <w:p w:rsidR="001C28B5" w:rsidRPr="000F6191" w:rsidRDefault="001C28B5" w:rsidP="001C28B5">
      <w:pPr>
        <w:tabs>
          <w:tab w:val="left" w:pos="-720"/>
        </w:tabs>
        <w:suppressAutoHyphens/>
        <w:spacing w:line="240" w:lineRule="auto"/>
        <w:ind w:firstLine="0"/>
        <w:rPr>
          <w:spacing w:val="-3"/>
          <w:szCs w:val="26"/>
        </w:rPr>
      </w:pPr>
      <w:r w:rsidRPr="000F6191">
        <w:rPr>
          <w:szCs w:val="26"/>
        </w:rPr>
        <w:t>Pennsylvania Public Utility Commission</w:t>
      </w:r>
      <w:r w:rsidRPr="000F6191">
        <w:rPr>
          <w:bCs/>
          <w:spacing w:val="-3"/>
          <w:szCs w:val="26"/>
        </w:rPr>
        <w:tab/>
      </w:r>
      <w:r w:rsidRPr="000F6191">
        <w:rPr>
          <w:bCs/>
          <w:spacing w:val="-3"/>
          <w:szCs w:val="26"/>
        </w:rPr>
        <w:tab/>
        <w:t xml:space="preserve">            Docket Nos.  R</w:t>
      </w:r>
      <w:r w:rsidRPr="000F6191">
        <w:rPr>
          <w:spacing w:val="-3"/>
          <w:szCs w:val="26"/>
        </w:rPr>
        <w:t>-2014-2452705</w:t>
      </w:r>
    </w:p>
    <w:p w:rsidR="001C28B5" w:rsidRPr="000F6191" w:rsidRDefault="001C28B5" w:rsidP="001C28B5">
      <w:pPr>
        <w:tabs>
          <w:tab w:val="left" w:pos="-720"/>
        </w:tabs>
        <w:suppressAutoHyphens/>
        <w:spacing w:line="240" w:lineRule="auto"/>
        <w:ind w:firstLine="0"/>
        <w:rPr>
          <w:spacing w:val="-3"/>
          <w:szCs w:val="26"/>
        </w:rPr>
      </w:pPr>
      <w:r w:rsidRPr="000F6191">
        <w:rPr>
          <w:spacing w:val="-3"/>
          <w:szCs w:val="26"/>
        </w:rPr>
        <w:t>Office of the Consumer Advocate</w:t>
      </w:r>
      <w:r w:rsidRPr="000F6191">
        <w:rPr>
          <w:spacing w:val="-3"/>
          <w:szCs w:val="26"/>
        </w:rPr>
        <w:tab/>
      </w:r>
      <w:r w:rsidRPr="000F6191">
        <w:rPr>
          <w:spacing w:val="-3"/>
          <w:szCs w:val="26"/>
        </w:rPr>
        <w:tab/>
      </w:r>
      <w:r w:rsidRPr="000F6191">
        <w:rPr>
          <w:spacing w:val="-3"/>
          <w:szCs w:val="26"/>
        </w:rPr>
        <w:tab/>
      </w:r>
      <w:r w:rsidR="000F6191">
        <w:rPr>
          <w:spacing w:val="-3"/>
          <w:szCs w:val="26"/>
        </w:rPr>
        <w:tab/>
      </w:r>
      <w:r w:rsidRPr="000F6191">
        <w:rPr>
          <w:spacing w:val="-3"/>
          <w:szCs w:val="26"/>
        </w:rPr>
        <w:tab/>
      </w:r>
      <w:r w:rsidRPr="000F6191">
        <w:rPr>
          <w:spacing w:val="-3"/>
          <w:szCs w:val="26"/>
        </w:rPr>
        <w:tab/>
        <w:t>C-2014-2454751</w:t>
      </w:r>
    </w:p>
    <w:p w:rsidR="001C28B5" w:rsidRPr="000F6191" w:rsidRDefault="001C28B5" w:rsidP="001C28B5">
      <w:pPr>
        <w:spacing w:line="240" w:lineRule="auto"/>
        <w:ind w:firstLine="0"/>
        <w:rPr>
          <w:szCs w:val="26"/>
        </w:rPr>
      </w:pPr>
      <w:r w:rsidRPr="000F6191">
        <w:rPr>
          <w:szCs w:val="26"/>
        </w:rPr>
        <w:t xml:space="preserve">Robert </w:t>
      </w:r>
      <w:proofErr w:type="spellStart"/>
      <w:r w:rsidRPr="000F6191">
        <w:rPr>
          <w:szCs w:val="26"/>
        </w:rPr>
        <w:t>Autore</w:t>
      </w:r>
      <w:proofErr w:type="spellEnd"/>
      <w:r w:rsidRPr="000F6191">
        <w:rPr>
          <w:szCs w:val="26"/>
        </w:rPr>
        <w:tab/>
      </w:r>
      <w:r w:rsidRPr="000F6191">
        <w:rPr>
          <w:szCs w:val="26"/>
        </w:rPr>
        <w:tab/>
      </w:r>
      <w:r w:rsidRPr="000F6191">
        <w:rPr>
          <w:szCs w:val="26"/>
        </w:rPr>
        <w:tab/>
      </w:r>
      <w:r w:rsidRPr="000F6191">
        <w:rPr>
          <w:szCs w:val="26"/>
        </w:rPr>
        <w:tab/>
      </w:r>
      <w:r w:rsidRPr="000F6191">
        <w:rPr>
          <w:szCs w:val="26"/>
        </w:rPr>
        <w:tab/>
      </w:r>
      <w:r w:rsidR="000F6191">
        <w:rPr>
          <w:szCs w:val="26"/>
        </w:rPr>
        <w:tab/>
      </w:r>
      <w:r w:rsidRPr="000F6191">
        <w:rPr>
          <w:szCs w:val="26"/>
        </w:rPr>
        <w:tab/>
      </w:r>
      <w:r w:rsidRPr="000F6191">
        <w:rPr>
          <w:szCs w:val="26"/>
        </w:rPr>
        <w:tab/>
        <w:t>C-2014-2457963</w:t>
      </w:r>
    </w:p>
    <w:p w:rsidR="001C28B5" w:rsidRPr="000F6191" w:rsidRDefault="001C28B5" w:rsidP="001C28B5">
      <w:pPr>
        <w:spacing w:line="240" w:lineRule="auto"/>
        <w:ind w:firstLine="0"/>
        <w:rPr>
          <w:szCs w:val="26"/>
        </w:rPr>
      </w:pPr>
      <w:r w:rsidRPr="000F6191">
        <w:rPr>
          <w:szCs w:val="26"/>
        </w:rPr>
        <w:t xml:space="preserve">Debra </w:t>
      </w:r>
      <w:proofErr w:type="spellStart"/>
      <w:r w:rsidRPr="000F6191">
        <w:rPr>
          <w:szCs w:val="26"/>
        </w:rPr>
        <w:t>Michell</w:t>
      </w:r>
      <w:proofErr w:type="spellEnd"/>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t>C-2014-2457964</w:t>
      </w:r>
    </w:p>
    <w:p w:rsidR="001C28B5" w:rsidRPr="000F6191" w:rsidRDefault="001C28B5" w:rsidP="001C28B5">
      <w:pPr>
        <w:tabs>
          <w:tab w:val="left" w:pos="-720"/>
        </w:tabs>
        <w:suppressAutoHyphens/>
        <w:spacing w:line="240" w:lineRule="auto"/>
        <w:ind w:firstLine="0"/>
        <w:rPr>
          <w:spacing w:val="-3"/>
          <w:szCs w:val="26"/>
        </w:rPr>
      </w:pPr>
      <w:r w:rsidRPr="000F6191">
        <w:rPr>
          <w:spacing w:val="-3"/>
          <w:szCs w:val="26"/>
        </w:rPr>
        <w:t>Frank Gorman</w:t>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t>C-2014-2457976</w:t>
      </w:r>
    </w:p>
    <w:p w:rsidR="001C28B5" w:rsidRPr="000F6191" w:rsidRDefault="001C28B5" w:rsidP="001C28B5">
      <w:pPr>
        <w:tabs>
          <w:tab w:val="left" w:pos="-720"/>
        </w:tabs>
        <w:suppressAutoHyphens/>
        <w:spacing w:line="240" w:lineRule="auto"/>
        <w:ind w:firstLine="0"/>
        <w:rPr>
          <w:spacing w:val="-3"/>
          <w:szCs w:val="26"/>
        </w:rPr>
      </w:pPr>
      <w:r w:rsidRPr="000F6191">
        <w:rPr>
          <w:spacing w:val="-3"/>
          <w:szCs w:val="26"/>
        </w:rPr>
        <w:t>Elizabeth Triplett</w:t>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t>C-2014-2457983</w:t>
      </w:r>
    </w:p>
    <w:p w:rsidR="001C28B5" w:rsidRPr="000F6191" w:rsidRDefault="001C28B5" w:rsidP="001C28B5">
      <w:pPr>
        <w:tabs>
          <w:tab w:val="left" w:pos="-720"/>
        </w:tabs>
        <w:suppressAutoHyphens/>
        <w:spacing w:line="240" w:lineRule="auto"/>
        <w:ind w:firstLine="0"/>
        <w:rPr>
          <w:spacing w:val="-3"/>
          <w:szCs w:val="26"/>
        </w:rPr>
      </w:pPr>
      <w:r w:rsidRPr="000F6191">
        <w:rPr>
          <w:szCs w:val="26"/>
        </w:rPr>
        <w:t xml:space="preserve">Svetlana </w:t>
      </w:r>
      <w:proofErr w:type="spellStart"/>
      <w:r w:rsidRPr="000F6191">
        <w:rPr>
          <w:szCs w:val="26"/>
        </w:rPr>
        <w:t>Perminova</w:t>
      </w:r>
      <w:proofErr w:type="spellEnd"/>
      <w:r w:rsidRPr="000F6191">
        <w:rPr>
          <w:szCs w:val="26"/>
        </w:rPr>
        <w:t xml:space="preserve"> and Viktor </w:t>
      </w:r>
      <w:proofErr w:type="spellStart"/>
      <w:r w:rsidRPr="000F6191">
        <w:rPr>
          <w:szCs w:val="26"/>
        </w:rPr>
        <w:t>Ushenko</w:t>
      </w:r>
      <w:proofErr w:type="spellEnd"/>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t>C-2014-2458029</w:t>
      </w:r>
    </w:p>
    <w:p w:rsidR="001C28B5" w:rsidRPr="000F6191" w:rsidRDefault="001C28B5" w:rsidP="001C28B5">
      <w:pPr>
        <w:tabs>
          <w:tab w:val="left" w:pos="-720"/>
        </w:tabs>
        <w:suppressAutoHyphens/>
        <w:spacing w:line="240" w:lineRule="auto"/>
        <w:ind w:firstLine="0"/>
        <w:rPr>
          <w:spacing w:val="-3"/>
          <w:szCs w:val="26"/>
        </w:rPr>
      </w:pPr>
      <w:r w:rsidRPr="000F6191">
        <w:rPr>
          <w:szCs w:val="26"/>
        </w:rPr>
        <w:t xml:space="preserve">James and Michelle Conklin </w:t>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pacing w:val="-3"/>
          <w:szCs w:val="26"/>
        </w:rPr>
        <w:t>C-2014-2458122</w:t>
      </w:r>
    </w:p>
    <w:p w:rsidR="001C28B5" w:rsidRPr="000F6191" w:rsidRDefault="001C28B5" w:rsidP="001C28B5">
      <w:pPr>
        <w:tabs>
          <w:tab w:val="left" w:pos="-720"/>
        </w:tabs>
        <w:suppressAutoHyphens/>
        <w:spacing w:line="240" w:lineRule="auto"/>
        <w:ind w:firstLine="0"/>
        <w:rPr>
          <w:spacing w:val="-3"/>
          <w:szCs w:val="26"/>
        </w:rPr>
      </w:pPr>
      <w:r w:rsidRPr="000F6191">
        <w:rPr>
          <w:spacing w:val="-3"/>
          <w:szCs w:val="26"/>
        </w:rPr>
        <w:t xml:space="preserve">Robert </w:t>
      </w:r>
      <w:proofErr w:type="spellStart"/>
      <w:r w:rsidRPr="000F6191">
        <w:rPr>
          <w:spacing w:val="-3"/>
          <w:szCs w:val="26"/>
        </w:rPr>
        <w:t>Klayn</w:t>
      </w:r>
      <w:proofErr w:type="spellEnd"/>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t>C-2014-2458135</w:t>
      </w:r>
    </w:p>
    <w:p w:rsidR="001C28B5" w:rsidRPr="000F6191" w:rsidRDefault="001C28B5" w:rsidP="001C28B5">
      <w:pPr>
        <w:tabs>
          <w:tab w:val="left" w:pos="-720"/>
        </w:tabs>
        <w:suppressAutoHyphens/>
        <w:spacing w:line="240" w:lineRule="auto"/>
        <w:ind w:firstLine="0"/>
        <w:rPr>
          <w:spacing w:val="-3"/>
          <w:szCs w:val="26"/>
        </w:rPr>
      </w:pPr>
      <w:r w:rsidRPr="000F6191">
        <w:rPr>
          <w:szCs w:val="26"/>
        </w:rPr>
        <w:t xml:space="preserve">George </w:t>
      </w:r>
      <w:proofErr w:type="spellStart"/>
      <w:r w:rsidRPr="000F6191">
        <w:rPr>
          <w:szCs w:val="26"/>
        </w:rPr>
        <w:t>McGettigan</w:t>
      </w:r>
      <w:proofErr w:type="spellEnd"/>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pacing w:val="-3"/>
          <w:szCs w:val="26"/>
        </w:rPr>
        <w:t>C-2014-2458330</w:t>
      </w:r>
    </w:p>
    <w:p w:rsidR="001C28B5" w:rsidRPr="000F6191" w:rsidRDefault="001C28B5" w:rsidP="001C28B5">
      <w:pPr>
        <w:tabs>
          <w:tab w:val="left" w:pos="-720"/>
        </w:tabs>
        <w:suppressAutoHyphens/>
        <w:spacing w:line="240" w:lineRule="auto"/>
        <w:ind w:firstLine="0"/>
        <w:rPr>
          <w:spacing w:val="-3"/>
          <w:szCs w:val="26"/>
        </w:rPr>
      </w:pPr>
      <w:r w:rsidRPr="000F6191">
        <w:rPr>
          <w:spacing w:val="-3"/>
          <w:szCs w:val="26"/>
        </w:rPr>
        <w:t>Grace Doll</w:t>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t>C-2014-2458745</w:t>
      </w:r>
    </w:p>
    <w:p w:rsidR="001C28B5" w:rsidRPr="000F6191" w:rsidRDefault="001C28B5" w:rsidP="001C28B5">
      <w:pPr>
        <w:tabs>
          <w:tab w:val="left" w:pos="-720"/>
        </w:tabs>
        <w:suppressAutoHyphens/>
        <w:spacing w:line="240" w:lineRule="auto"/>
        <w:ind w:firstLine="0"/>
        <w:rPr>
          <w:spacing w:val="-3"/>
          <w:szCs w:val="26"/>
        </w:rPr>
      </w:pPr>
      <w:r w:rsidRPr="000F6191">
        <w:rPr>
          <w:szCs w:val="26"/>
        </w:rPr>
        <w:t xml:space="preserve">Janet </w:t>
      </w:r>
      <w:proofErr w:type="spellStart"/>
      <w:r w:rsidRPr="000F6191">
        <w:rPr>
          <w:szCs w:val="26"/>
        </w:rPr>
        <w:t>McGettigan</w:t>
      </w:r>
      <w:proofErr w:type="spellEnd"/>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pacing w:val="-3"/>
          <w:szCs w:val="26"/>
        </w:rPr>
        <w:tab/>
      </w:r>
      <w:r w:rsidRPr="000F6191">
        <w:rPr>
          <w:spacing w:val="-3"/>
          <w:szCs w:val="26"/>
        </w:rPr>
        <w:tab/>
        <w:t>C-2014-2458782</w:t>
      </w:r>
    </w:p>
    <w:p w:rsidR="001C28B5" w:rsidRPr="000F6191" w:rsidRDefault="001C28B5" w:rsidP="001C28B5">
      <w:pPr>
        <w:tabs>
          <w:tab w:val="left" w:pos="-720"/>
        </w:tabs>
        <w:suppressAutoHyphens/>
        <w:spacing w:line="240" w:lineRule="auto"/>
        <w:ind w:firstLine="0"/>
        <w:rPr>
          <w:spacing w:val="-3"/>
          <w:szCs w:val="26"/>
        </w:rPr>
      </w:pPr>
      <w:r w:rsidRPr="000F6191">
        <w:rPr>
          <w:szCs w:val="26"/>
        </w:rPr>
        <w:t xml:space="preserve">Edward </w:t>
      </w:r>
      <w:proofErr w:type="spellStart"/>
      <w:r w:rsidRPr="000F6191">
        <w:rPr>
          <w:szCs w:val="26"/>
        </w:rPr>
        <w:t>Cantamessa</w:t>
      </w:r>
      <w:proofErr w:type="spellEnd"/>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t>C-2014-2459896</w:t>
      </w:r>
    </w:p>
    <w:p w:rsidR="001C28B5" w:rsidRPr="000F6191" w:rsidRDefault="001C28B5" w:rsidP="001C28B5">
      <w:pPr>
        <w:tabs>
          <w:tab w:val="left" w:pos="-720"/>
        </w:tabs>
        <w:suppressAutoHyphens/>
        <w:spacing w:line="240" w:lineRule="auto"/>
        <w:ind w:firstLine="0"/>
        <w:rPr>
          <w:spacing w:val="-3"/>
          <w:szCs w:val="26"/>
        </w:rPr>
      </w:pPr>
      <w:r w:rsidRPr="000F6191">
        <w:rPr>
          <w:spacing w:val="-3"/>
          <w:szCs w:val="26"/>
        </w:rPr>
        <w:t>Mary Ellen Templin</w:t>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t>C-2014-2460141</w:t>
      </w:r>
    </w:p>
    <w:p w:rsidR="001C28B5" w:rsidRPr="000F6191" w:rsidRDefault="001C28B5" w:rsidP="001C28B5">
      <w:pPr>
        <w:tabs>
          <w:tab w:val="left" w:pos="-720"/>
        </w:tabs>
        <w:suppressAutoHyphens/>
        <w:spacing w:line="240" w:lineRule="auto"/>
        <w:ind w:firstLine="0"/>
        <w:rPr>
          <w:spacing w:val="-3"/>
          <w:szCs w:val="26"/>
        </w:rPr>
      </w:pPr>
      <w:r w:rsidRPr="000F6191">
        <w:rPr>
          <w:szCs w:val="26"/>
        </w:rPr>
        <w:t>Edward O</w:t>
      </w:r>
      <w:r w:rsidR="002061B0">
        <w:rPr>
          <w:szCs w:val="26"/>
        </w:rPr>
        <w:t>’</w:t>
      </w:r>
      <w:r w:rsidRPr="000F6191">
        <w:rPr>
          <w:szCs w:val="26"/>
        </w:rPr>
        <w:t xml:space="preserve">Connor </w:t>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pacing w:val="-3"/>
          <w:szCs w:val="26"/>
        </w:rPr>
        <w:t>C-2014-2460166</w:t>
      </w:r>
    </w:p>
    <w:p w:rsidR="001C28B5" w:rsidRPr="000F6191" w:rsidRDefault="001C28B5" w:rsidP="001C28B5">
      <w:pPr>
        <w:tabs>
          <w:tab w:val="left" w:pos="-720"/>
        </w:tabs>
        <w:suppressAutoHyphens/>
        <w:spacing w:line="240" w:lineRule="auto"/>
        <w:ind w:firstLine="0"/>
        <w:rPr>
          <w:spacing w:val="-3"/>
          <w:szCs w:val="26"/>
        </w:rPr>
      </w:pPr>
      <w:r w:rsidRPr="000F6191">
        <w:rPr>
          <w:spacing w:val="-3"/>
          <w:szCs w:val="26"/>
        </w:rPr>
        <w:t>Emma Dolan</w:t>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r>
      <w:r w:rsidRPr="000F6191">
        <w:rPr>
          <w:spacing w:val="-3"/>
          <w:szCs w:val="26"/>
        </w:rPr>
        <w:tab/>
        <w:t>C-2014-2460197</w:t>
      </w:r>
    </w:p>
    <w:p w:rsidR="001C28B5" w:rsidRPr="000F6191" w:rsidRDefault="001C28B5" w:rsidP="001C28B5">
      <w:pPr>
        <w:spacing w:line="240" w:lineRule="auto"/>
        <w:ind w:firstLine="0"/>
        <w:rPr>
          <w:szCs w:val="26"/>
        </w:rPr>
      </w:pPr>
      <w:r w:rsidRPr="000F6191">
        <w:rPr>
          <w:szCs w:val="26"/>
        </w:rPr>
        <w:t>Cindy Luke</w:t>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t>C-201</w:t>
      </w:r>
      <w:r w:rsidR="00E93408">
        <w:rPr>
          <w:szCs w:val="26"/>
        </w:rPr>
        <w:t>5</w:t>
      </w:r>
      <w:r w:rsidRPr="000F6191">
        <w:rPr>
          <w:szCs w:val="26"/>
        </w:rPr>
        <w:t>-2460595</w:t>
      </w:r>
    </w:p>
    <w:p w:rsidR="001C28B5" w:rsidRPr="000F6191" w:rsidRDefault="001C28B5" w:rsidP="001C28B5">
      <w:pPr>
        <w:spacing w:line="240" w:lineRule="auto"/>
        <w:ind w:firstLine="0"/>
        <w:rPr>
          <w:szCs w:val="26"/>
        </w:rPr>
      </w:pPr>
      <w:r w:rsidRPr="000F6191">
        <w:rPr>
          <w:szCs w:val="26"/>
        </w:rPr>
        <w:t xml:space="preserve">Robert </w:t>
      </w:r>
      <w:proofErr w:type="spellStart"/>
      <w:r w:rsidRPr="000F6191">
        <w:rPr>
          <w:szCs w:val="26"/>
        </w:rPr>
        <w:t>Bajkowski</w:t>
      </w:r>
      <w:proofErr w:type="spellEnd"/>
      <w:r w:rsidRPr="000F6191">
        <w:rPr>
          <w:szCs w:val="26"/>
        </w:rPr>
        <w:t xml:space="preserve"> </w:t>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t>C-201</w:t>
      </w:r>
      <w:r w:rsidR="00E93408">
        <w:rPr>
          <w:szCs w:val="26"/>
        </w:rPr>
        <w:t>5</w:t>
      </w:r>
      <w:r w:rsidRPr="000F6191">
        <w:rPr>
          <w:szCs w:val="26"/>
        </w:rPr>
        <w:t>-2460601</w:t>
      </w:r>
    </w:p>
    <w:p w:rsidR="001C28B5" w:rsidRPr="000F6191" w:rsidRDefault="001C28B5" w:rsidP="001C28B5">
      <w:pPr>
        <w:spacing w:line="240" w:lineRule="auto"/>
        <w:ind w:firstLine="0"/>
        <w:rPr>
          <w:szCs w:val="26"/>
        </w:rPr>
      </w:pPr>
      <w:r w:rsidRPr="000F6191">
        <w:rPr>
          <w:szCs w:val="26"/>
        </w:rPr>
        <w:t xml:space="preserve">Anthony and Sandra </w:t>
      </w:r>
      <w:proofErr w:type="spellStart"/>
      <w:r w:rsidRPr="000F6191">
        <w:rPr>
          <w:szCs w:val="26"/>
        </w:rPr>
        <w:t>Barlotta</w:t>
      </w:r>
      <w:proofErr w:type="spellEnd"/>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t>C-201</w:t>
      </w:r>
      <w:r w:rsidR="00E93408">
        <w:rPr>
          <w:szCs w:val="26"/>
        </w:rPr>
        <w:t>5</w:t>
      </w:r>
      <w:r w:rsidRPr="000F6191">
        <w:rPr>
          <w:szCs w:val="26"/>
        </w:rPr>
        <w:t>-2461561</w:t>
      </w:r>
    </w:p>
    <w:p w:rsidR="001C28B5" w:rsidRPr="000F6191" w:rsidRDefault="001C28B5" w:rsidP="001C28B5">
      <w:pPr>
        <w:spacing w:line="240" w:lineRule="auto"/>
        <w:ind w:firstLine="0"/>
        <w:rPr>
          <w:szCs w:val="26"/>
        </w:rPr>
      </w:pP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p>
    <w:p w:rsidR="001C28B5" w:rsidRPr="000F6191" w:rsidRDefault="001C28B5" w:rsidP="001C28B5">
      <w:pPr>
        <w:spacing w:line="240" w:lineRule="auto"/>
        <w:ind w:firstLine="0"/>
        <w:rPr>
          <w:szCs w:val="26"/>
        </w:rPr>
      </w:pPr>
      <w:r w:rsidRPr="000F6191">
        <w:rPr>
          <w:szCs w:val="26"/>
        </w:rPr>
        <w:tab/>
        <w:t>v.</w:t>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p>
    <w:p w:rsidR="001C28B5" w:rsidRPr="000F6191" w:rsidRDefault="001C28B5" w:rsidP="001C28B5">
      <w:pPr>
        <w:spacing w:line="240" w:lineRule="auto"/>
        <w:ind w:firstLine="0"/>
        <w:rPr>
          <w:szCs w:val="26"/>
        </w:rPr>
      </w:pP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r w:rsidRPr="000F6191">
        <w:rPr>
          <w:szCs w:val="26"/>
        </w:rPr>
        <w:tab/>
      </w:r>
    </w:p>
    <w:p w:rsidR="001C28B5" w:rsidRPr="000F6191" w:rsidRDefault="001C28B5" w:rsidP="001C28B5">
      <w:pPr>
        <w:spacing w:line="240" w:lineRule="auto"/>
        <w:ind w:firstLine="0"/>
        <w:rPr>
          <w:szCs w:val="26"/>
        </w:rPr>
      </w:pPr>
      <w:r w:rsidRPr="000F6191">
        <w:rPr>
          <w:szCs w:val="26"/>
        </w:rPr>
        <w:t>Delaware Sewer Company</w:t>
      </w:r>
      <w:r w:rsidRPr="000F6191">
        <w:rPr>
          <w:szCs w:val="26"/>
        </w:rPr>
        <w:tab/>
      </w:r>
      <w:r w:rsidRPr="000F6191">
        <w:rPr>
          <w:szCs w:val="26"/>
        </w:rPr>
        <w:tab/>
      </w:r>
      <w:r w:rsidRPr="000F6191">
        <w:rPr>
          <w:szCs w:val="26"/>
        </w:rPr>
        <w:tab/>
      </w:r>
      <w:r w:rsidRPr="000F6191">
        <w:rPr>
          <w:szCs w:val="26"/>
        </w:rPr>
        <w:tab/>
      </w:r>
    </w:p>
    <w:p w:rsidR="00717745" w:rsidRDefault="00717745" w:rsidP="00B774A6">
      <w:pPr>
        <w:spacing w:line="240" w:lineRule="auto"/>
        <w:ind w:firstLine="0"/>
        <w:rPr>
          <w:szCs w:val="26"/>
        </w:rPr>
        <w:sectPr w:rsidR="00717745" w:rsidSect="00DF534B">
          <w:footerReference w:type="default" r:id="rId9"/>
          <w:pgSz w:w="12240" w:h="15840"/>
          <w:pgMar w:top="1440" w:right="1440" w:bottom="1440" w:left="1440" w:header="720" w:footer="720" w:gutter="0"/>
          <w:cols w:space="720"/>
          <w:titlePg/>
          <w:docGrid w:linePitch="360"/>
        </w:sect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1C28B5" w:rsidRPr="00F514FB" w:rsidTr="00717745">
        <w:tc>
          <w:tcPr>
            <w:tcW w:w="9648" w:type="dxa"/>
          </w:tcPr>
          <w:sdt>
            <w:sdtPr>
              <w:rPr>
                <w:rFonts w:ascii="Times New Roman" w:eastAsia="Times New Roman" w:hAnsi="Times New Roman" w:cs="Times New Roman"/>
                <w:b w:val="0"/>
                <w:bCs w:val="0"/>
                <w:color w:val="auto"/>
                <w:sz w:val="26"/>
                <w:szCs w:val="24"/>
                <w:lang w:eastAsia="en-US"/>
              </w:rPr>
              <w:id w:val="-1269390011"/>
              <w:docPartObj>
                <w:docPartGallery w:val="Table of Contents"/>
                <w:docPartUnique/>
              </w:docPartObj>
            </w:sdtPr>
            <w:sdtEndPr>
              <w:rPr>
                <w:noProof/>
              </w:rPr>
            </w:sdtEndPr>
            <w:sdtContent>
              <w:p w:rsidR="00717745" w:rsidRPr="003C107D" w:rsidRDefault="00717745" w:rsidP="003C107D">
                <w:pPr>
                  <w:pStyle w:val="TOCHeading"/>
                  <w:jc w:val="center"/>
                  <w:rPr>
                    <w:rFonts w:ascii="Times New Roman" w:hAnsi="Times New Roman" w:cs="Times New Roman"/>
                    <w:color w:val="auto"/>
                  </w:rPr>
                </w:pPr>
                <w:r w:rsidRPr="003C107D">
                  <w:rPr>
                    <w:rFonts w:ascii="Times New Roman" w:hAnsi="Times New Roman" w:cs="Times New Roman"/>
                    <w:color w:val="auto"/>
                  </w:rPr>
                  <w:t>Contents</w:t>
                </w:r>
              </w:p>
              <w:p w:rsidR="003C107D" w:rsidRPr="003C107D" w:rsidRDefault="003C107D" w:rsidP="003C107D">
                <w:pPr>
                  <w:rPr>
                    <w:lang w:eastAsia="ja-JP"/>
                  </w:rPr>
                </w:pPr>
              </w:p>
              <w:p w:rsidR="00717745" w:rsidRDefault="00717745" w:rsidP="00717745">
                <w:pPr>
                  <w:pStyle w:val="TOC1"/>
                  <w:rPr>
                    <w:noProof/>
                  </w:rPr>
                </w:pPr>
                <w:r>
                  <w:fldChar w:fldCharType="begin"/>
                </w:r>
                <w:r>
                  <w:instrText xml:space="preserve"> TOC \o "1-3" \h \z \u </w:instrText>
                </w:r>
                <w:r>
                  <w:fldChar w:fldCharType="separate"/>
                </w:r>
                <w:hyperlink w:anchor="_Toc425179763" w:history="1">
                  <w:r w:rsidRPr="008D4943">
                    <w:rPr>
                      <w:rStyle w:val="Hyperlink"/>
                      <w:noProof/>
                    </w:rPr>
                    <w:t>I.</w:t>
                  </w:r>
                  <w:r>
                    <w:rPr>
                      <w:noProof/>
                    </w:rPr>
                    <w:tab/>
                  </w:r>
                  <w:r w:rsidRPr="008D4943">
                    <w:rPr>
                      <w:rStyle w:val="Hyperlink"/>
                      <w:noProof/>
                    </w:rPr>
                    <w:t>Background</w:t>
                  </w:r>
                  <w:r>
                    <w:rPr>
                      <w:noProof/>
                      <w:webHidden/>
                    </w:rPr>
                    <w:tab/>
                  </w:r>
                  <w:r>
                    <w:rPr>
                      <w:noProof/>
                      <w:webHidden/>
                    </w:rPr>
                    <w:fldChar w:fldCharType="begin"/>
                  </w:r>
                  <w:r>
                    <w:rPr>
                      <w:noProof/>
                      <w:webHidden/>
                    </w:rPr>
                    <w:instrText xml:space="preserve"> PAGEREF _Toc425179763 \h </w:instrText>
                  </w:r>
                  <w:r>
                    <w:rPr>
                      <w:noProof/>
                      <w:webHidden/>
                    </w:rPr>
                  </w:r>
                  <w:r>
                    <w:rPr>
                      <w:noProof/>
                      <w:webHidden/>
                    </w:rPr>
                    <w:fldChar w:fldCharType="separate"/>
                  </w:r>
                  <w:r w:rsidR="00D30192">
                    <w:rPr>
                      <w:noProof/>
                      <w:webHidden/>
                    </w:rPr>
                    <w:t>1</w:t>
                  </w:r>
                  <w:r>
                    <w:rPr>
                      <w:noProof/>
                      <w:webHidden/>
                    </w:rPr>
                    <w:fldChar w:fldCharType="end"/>
                  </w:r>
                </w:hyperlink>
              </w:p>
              <w:p w:rsidR="00717745" w:rsidRDefault="00787A6B" w:rsidP="00717745">
                <w:pPr>
                  <w:pStyle w:val="TOC1"/>
                  <w:rPr>
                    <w:noProof/>
                  </w:rPr>
                </w:pPr>
                <w:hyperlink w:anchor="_Toc425179764" w:history="1">
                  <w:r w:rsidR="00717745" w:rsidRPr="008D4943">
                    <w:rPr>
                      <w:rStyle w:val="Hyperlink"/>
                      <w:rFonts w:eastAsiaTheme="minorHAnsi"/>
                      <w:noProof/>
                    </w:rPr>
                    <w:t>II.</w:t>
                  </w:r>
                  <w:r w:rsidR="00717745">
                    <w:rPr>
                      <w:noProof/>
                    </w:rPr>
                    <w:tab/>
                  </w:r>
                  <w:r w:rsidR="00717745" w:rsidRPr="008D4943">
                    <w:rPr>
                      <w:rStyle w:val="Hyperlink"/>
                      <w:rFonts w:eastAsiaTheme="minorHAnsi"/>
                      <w:noProof/>
                    </w:rPr>
                    <w:t>History of the Proceeding</w:t>
                  </w:r>
                  <w:r w:rsidR="00717745">
                    <w:rPr>
                      <w:noProof/>
                      <w:webHidden/>
                    </w:rPr>
                    <w:tab/>
                  </w:r>
                  <w:r w:rsidR="00717745">
                    <w:rPr>
                      <w:noProof/>
                      <w:webHidden/>
                    </w:rPr>
                    <w:fldChar w:fldCharType="begin"/>
                  </w:r>
                  <w:r w:rsidR="00717745">
                    <w:rPr>
                      <w:noProof/>
                      <w:webHidden/>
                    </w:rPr>
                    <w:instrText xml:space="preserve"> PAGEREF _Toc425179764 \h </w:instrText>
                  </w:r>
                  <w:r w:rsidR="00717745">
                    <w:rPr>
                      <w:noProof/>
                      <w:webHidden/>
                    </w:rPr>
                  </w:r>
                  <w:r w:rsidR="00717745">
                    <w:rPr>
                      <w:noProof/>
                      <w:webHidden/>
                    </w:rPr>
                    <w:fldChar w:fldCharType="separate"/>
                  </w:r>
                  <w:r w:rsidR="00D30192">
                    <w:rPr>
                      <w:noProof/>
                      <w:webHidden/>
                    </w:rPr>
                    <w:t>2</w:t>
                  </w:r>
                  <w:r w:rsidR="00717745">
                    <w:rPr>
                      <w:noProof/>
                      <w:webHidden/>
                    </w:rPr>
                    <w:fldChar w:fldCharType="end"/>
                  </w:r>
                </w:hyperlink>
              </w:p>
              <w:p w:rsidR="00717745" w:rsidRDefault="00787A6B" w:rsidP="00717745">
                <w:pPr>
                  <w:pStyle w:val="TOC1"/>
                  <w:rPr>
                    <w:noProof/>
                  </w:rPr>
                </w:pPr>
                <w:hyperlink w:anchor="_Toc425179765" w:history="1">
                  <w:r w:rsidR="00717745" w:rsidRPr="008D4943">
                    <w:rPr>
                      <w:rStyle w:val="Hyperlink"/>
                      <w:noProof/>
                    </w:rPr>
                    <w:t>III.</w:t>
                  </w:r>
                  <w:r w:rsidR="00717745">
                    <w:rPr>
                      <w:noProof/>
                    </w:rPr>
                    <w:tab/>
                  </w:r>
                  <w:r w:rsidR="00717745" w:rsidRPr="008D4943">
                    <w:rPr>
                      <w:rStyle w:val="Hyperlink"/>
                      <w:noProof/>
                    </w:rPr>
                    <w:t>Discussion</w:t>
                  </w:r>
                  <w:r w:rsidR="00717745">
                    <w:rPr>
                      <w:noProof/>
                      <w:webHidden/>
                    </w:rPr>
                    <w:tab/>
                  </w:r>
                  <w:r w:rsidR="00717745">
                    <w:rPr>
                      <w:noProof/>
                      <w:webHidden/>
                    </w:rPr>
                    <w:fldChar w:fldCharType="begin"/>
                  </w:r>
                  <w:r w:rsidR="00717745">
                    <w:rPr>
                      <w:noProof/>
                      <w:webHidden/>
                    </w:rPr>
                    <w:instrText xml:space="preserve"> PAGEREF _Toc425179765 \h </w:instrText>
                  </w:r>
                  <w:r w:rsidR="00717745">
                    <w:rPr>
                      <w:noProof/>
                      <w:webHidden/>
                    </w:rPr>
                  </w:r>
                  <w:r w:rsidR="00717745">
                    <w:rPr>
                      <w:noProof/>
                      <w:webHidden/>
                    </w:rPr>
                    <w:fldChar w:fldCharType="separate"/>
                  </w:r>
                  <w:r w:rsidR="00D30192">
                    <w:rPr>
                      <w:noProof/>
                      <w:webHidden/>
                    </w:rPr>
                    <w:t>4</w:t>
                  </w:r>
                  <w:r w:rsidR="00717745">
                    <w:rPr>
                      <w:noProof/>
                      <w:webHidden/>
                    </w:rPr>
                    <w:fldChar w:fldCharType="end"/>
                  </w:r>
                </w:hyperlink>
              </w:p>
              <w:p w:rsidR="00717745" w:rsidRDefault="00787A6B" w:rsidP="003C107D">
                <w:pPr>
                  <w:pStyle w:val="TOC2"/>
                  <w:rPr>
                    <w:noProof/>
                  </w:rPr>
                </w:pPr>
                <w:hyperlink w:anchor="_Toc425179766" w:history="1">
                  <w:r w:rsidR="00717745" w:rsidRPr="008D4943">
                    <w:rPr>
                      <w:rStyle w:val="Hyperlink"/>
                      <w:noProof/>
                    </w:rPr>
                    <w:t>A.</w:t>
                  </w:r>
                  <w:r w:rsidR="00717745">
                    <w:rPr>
                      <w:rStyle w:val="Hyperlink"/>
                      <w:noProof/>
                    </w:rPr>
                    <w:t xml:space="preserve"> </w:t>
                  </w:r>
                  <w:r w:rsidR="003C107D">
                    <w:rPr>
                      <w:rStyle w:val="Hyperlink"/>
                      <w:noProof/>
                    </w:rPr>
                    <w:t xml:space="preserve"> </w:t>
                  </w:r>
                  <w:r w:rsidR="00717745" w:rsidRPr="008D4943">
                    <w:rPr>
                      <w:rStyle w:val="Hyperlink"/>
                      <w:noProof/>
                    </w:rPr>
                    <w:t>Legal Standards</w:t>
                  </w:r>
                  <w:r w:rsidR="00717745">
                    <w:rPr>
                      <w:noProof/>
                      <w:webHidden/>
                    </w:rPr>
                    <w:tab/>
                  </w:r>
                  <w:r w:rsidR="00717745">
                    <w:rPr>
                      <w:noProof/>
                      <w:webHidden/>
                    </w:rPr>
                    <w:fldChar w:fldCharType="begin"/>
                  </w:r>
                  <w:r w:rsidR="00717745">
                    <w:rPr>
                      <w:noProof/>
                      <w:webHidden/>
                    </w:rPr>
                    <w:instrText xml:space="preserve"> PAGEREF _Toc425179766 \h </w:instrText>
                  </w:r>
                  <w:r w:rsidR="00717745">
                    <w:rPr>
                      <w:noProof/>
                      <w:webHidden/>
                    </w:rPr>
                  </w:r>
                  <w:r w:rsidR="00717745">
                    <w:rPr>
                      <w:noProof/>
                      <w:webHidden/>
                    </w:rPr>
                    <w:fldChar w:fldCharType="separate"/>
                  </w:r>
                  <w:r w:rsidR="00D30192">
                    <w:rPr>
                      <w:noProof/>
                      <w:webHidden/>
                    </w:rPr>
                    <w:t>4</w:t>
                  </w:r>
                  <w:r w:rsidR="00717745">
                    <w:rPr>
                      <w:noProof/>
                      <w:webHidden/>
                    </w:rPr>
                    <w:fldChar w:fldCharType="end"/>
                  </w:r>
                </w:hyperlink>
              </w:p>
              <w:p w:rsidR="00717745" w:rsidRDefault="00787A6B" w:rsidP="003C107D">
                <w:pPr>
                  <w:pStyle w:val="TOC2"/>
                  <w:rPr>
                    <w:noProof/>
                  </w:rPr>
                </w:pPr>
                <w:hyperlink w:anchor="_Toc425179767" w:history="1">
                  <w:r w:rsidR="00717745" w:rsidRPr="008D4943">
                    <w:rPr>
                      <w:rStyle w:val="Hyperlink"/>
                      <w:noProof/>
                    </w:rPr>
                    <w:t>B.</w:t>
                  </w:r>
                  <w:r w:rsidR="00717745">
                    <w:rPr>
                      <w:rStyle w:val="Hyperlink"/>
                      <w:noProof/>
                    </w:rPr>
                    <w:t xml:space="preserve">  </w:t>
                  </w:r>
                  <w:r w:rsidR="00717745" w:rsidRPr="008D4943">
                    <w:rPr>
                      <w:rStyle w:val="Hyperlink"/>
                      <w:noProof/>
                    </w:rPr>
                    <w:t>Recommended Decision</w:t>
                  </w:r>
                  <w:r w:rsidR="00717745">
                    <w:rPr>
                      <w:noProof/>
                      <w:webHidden/>
                    </w:rPr>
                    <w:tab/>
                  </w:r>
                  <w:r w:rsidR="00717745">
                    <w:rPr>
                      <w:noProof/>
                      <w:webHidden/>
                    </w:rPr>
                    <w:fldChar w:fldCharType="begin"/>
                  </w:r>
                  <w:r w:rsidR="00717745">
                    <w:rPr>
                      <w:noProof/>
                      <w:webHidden/>
                    </w:rPr>
                    <w:instrText xml:space="preserve"> PAGEREF _Toc425179767 \h </w:instrText>
                  </w:r>
                  <w:r w:rsidR="00717745">
                    <w:rPr>
                      <w:noProof/>
                      <w:webHidden/>
                    </w:rPr>
                  </w:r>
                  <w:r w:rsidR="00717745">
                    <w:rPr>
                      <w:noProof/>
                      <w:webHidden/>
                    </w:rPr>
                    <w:fldChar w:fldCharType="separate"/>
                  </w:r>
                  <w:r w:rsidR="00D30192">
                    <w:rPr>
                      <w:noProof/>
                      <w:webHidden/>
                    </w:rPr>
                    <w:t>9</w:t>
                  </w:r>
                  <w:r w:rsidR="00717745">
                    <w:rPr>
                      <w:noProof/>
                      <w:webHidden/>
                    </w:rPr>
                    <w:fldChar w:fldCharType="end"/>
                  </w:r>
                </w:hyperlink>
              </w:p>
              <w:p w:rsidR="00717745" w:rsidRDefault="00787A6B" w:rsidP="003C107D">
                <w:pPr>
                  <w:pStyle w:val="TOC2"/>
                  <w:rPr>
                    <w:noProof/>
                  </w:rPr>
                </w:pPr>
                <w:hyperlink w:anchor="_Toc425179768" w:history="1">
                  <w:r w:rsidR="00717745" w:rsidRPr="008D4943">
                    <w:rPr>
                      <w:rStyle w:val="Hyperlink"/>
                      <w:noProof/>
                    </w:rPr>
                    <w:t>C.</w:t>
                  </w:r>
                  <w:r w:rsidR="003C107D">
                    <w:rPr>
                      <w:rStyle w:val="Hyperlink"/>
                      <w:noProof/>
                    </w:rPr>
                    <w:t xml:space="preserve">  E</w:t>
                  </w:r>
                  <w:r w:rsidR="00717745" w:rsidRPr="008D4943">
                    <w:rPr>
                      <w:rStyle w:val="Hyperlink"/>
                      <w:noProof/>
                    </w:rPr>
                    <w:t>xceptions</w:t>
                  </w:r>
                  <w:r w:rsidR="00717745">
                    <w:rPr>
                      <w:noProof/>
                      <w:webHidden/>
                    </w:rPr>
                    <w:tab/>
                  </w:r>
                  <w:r w:rsidR="00717745">
                    <w:rPr>
                      <w:noProof/>
                      <w:webHidden/>
                    </w:rPr>
                    <w:fldChar w:fldCharType="begin"/>
                  </w:r>
                  <w:r w:rsidR="00717745">
                    <w:rPr>
                      <w:noProof/>
                      <w:webHidden/>
                    </w:rPr>
                    <w:instrText xml:space="preserve"> PAGEREF _Toc425179768 \h </w:instrText>
                  </w:r>
                  <w:r w:rsidR="00717745">
                    <w:rPr>
                      <w:noProof/>
                      <w:webHidden/>
                    </w:rPr>
                  </w:r>
                  <w:r w:rsidR="00717745">
                    <w:rPr>
                      <w:noProof/>
                      <w:webHidden/>
                    </w:rPr>
                    <w:fldChar w:fldCharType="separate"/>
                  </w:r>
                  <w:r w:rsidR="00D30192">
                    <w:rPr>
                      <w:noProof/>
                      <w:webHidden/>
                    </w:rPr>
                    <w:t>10</w:t>
                  </w:r>
                  <w:r w:rsidR="00717745">
                    <w:rPr>
                      <w:noProof/>
                      <w:webHidden/>
                    </w:rPr>
                    <w:fldChar w:fldCharType="end"/>
                  </w:r>
                </w:hyperlink>
              </w:p>
              <w:p w:rsidR="00717745" w:rsidRDefault="00787A6B" w:rsidP="003C107D">
                <w:pPr>
                  <w:pStyle w:val="TOC3"/>
                  <w:rPr>
                    <w:noProof/>
                  </w:rPr>
                </w:pPr>
                <w:hyperlink w:anchor="_Toc425179769" w:history="1">
                  <w:r w:rsidR="00717745" w:rsidRPr="008D4943">
                    <w:rPr>
                      <w:rStyle w:val="Hyperlink"/>
                      <w:noProof/>
                    </w:rPr>
                    <w:t>1.</w:t>
                  </w:r>
                  <w:r w:rsidR="003C107D">
                    <w:rPr>
                      <w:rStyle w:val="Hyperlink"/>
                      <w:noProof/>
                    </w:rPr>
                    <w:t xml:space="preserve">  </w:t>
                  </w:r>
                  <w:r w:rsidR="00717745" w:rsidRPr="008D4943">
                    <w:rPr>
                      <w:rStyle w:val="Hyperlink"/>
                      <w:noProof/>
                    </w:rPr>
                    <w:t>Quality of Service</w:t>
                  </w:r>
                  <w:r w:rsidR="00717745">
                    <w:rPr>
                      <w:noProof/>
                      <w:webHidden/>
                    </w:rPr>
                    <w:tab/>
                  </w:r>
                  <w:r w:rsidR="00717745">
                    <w:rPr>
                      <w:noProof/>
                      <w:webHidden/>
                    </w:rPr>
                    <w:fldChar w:fldCharType="begin"/>
                  </w:r>
                  <w:r w:rsidR="00717745">
                    <w:rPr>
                      <w:noProof/>
                      <w:webHidden/>
                    </w:rPr>
                    <w:instrText xml:space="preserve"> PAGEREF _Toc425179769 \h </w:instrText>
                  </w:r>
                  <w:r w:rsidR="00717745">
                    <w:rPr>
                      <w:noProof/>
                      <w:webHidden/>
                    </w:rPr>
                  </w:r>
                  <w:r w:rsidR="00717745">
                    <w:rPr>
                      <w:noProof/>
                      <w:webHidden/>
                    </w:rPr>
                    <w:fldChar w:fldCharType="separate"/>
                  </w:r>
                  <w:r w:rsidR="00D30192">
                    <w:rPr>
                      <w:noProof/>
                      <w:webHidden/>
                    </w:rPr>
                    <w:t>10</w:t>
                  </w:r>
                  <w:r w:rsidR="00717745">
                    <w:rPr>
                      <w:noProof/>
                      <w:webHidden/>
                    </w:rPr>
                    <w:fldChar w:fldCharType="end"/>
                  </w:r>
                </w:hyperlink>
              </w:p>
              <w:p w:rsidR="00717745" w:rsidRDefault="00787A6B" w:rsidP="003C107D">
                <w:pPr>
                  <w:pStyle w:val="TOC3"/>
                  <w:rPr>
                    <w:noProof/>
                  </w:rPr>
                </w:pPr>
                <w:hyperlink w:anchor="_Toc425179770" w:history="1">
                  <w:r w:rsidR="00717745" w:rsidRPr="008D4943">
                    <w:rPr>
                      <w:rStyle w:val="Hyperlink"/>
                      <w:rFonts w:eastAsiaTheme="minorHAnsi"/>
                      <w:noProof/>
                    </w:rPr>
                    <w:t>2.</w:t>
                  </w:r>
                  <w:r w:rsidR="003C107D">
                    <w:rPr>
                      <w:rStyle w:val="Hyperlink"/>
                      <w:rFonts w:eastAsiaTheme="minorHAnsi"/>
                      <w:noProof/>
                    </w:rPr>
                    <w:t xml:space="preserve">  </w:t>
                  </w:r>
                  <w:r w:rsidR="00717745" w:rsidRPr="008D4943">
                    <w:rPr>
                      <w:rStyle w:val="Hyperlink"/>
                      <w:rFonts w:eastAsiaTheme="minorHAnsi"/>
                      <w:noProof/>
                    </w:rPr>
                    <w:t>Calculation of Revenue Requirement – CWC Claim</w:t>
                  </w:r>
                  <w:r w:rsidR="00717745">
                    <w:rPr>
                      <w:noProof/>
                      <w:webHidden/>
                    </w:rPr>
                    <w:tab/>
                  </w:r>
                  <w:r w:rsidR="00717745">
                    <w:rPr>
                      <w:noProof/>
                      <w:webHidden/>
                    </w:rPr>
                    <w:fldChar w:fldCharType="begin"/>
                  </w:r>
                  <w:r w:rsidR="00717745">
                    <w:rPr>
                      <w:noProof/>
                      <w:webHidden/>
                    </w:rPr>
                    <w:instrText xml:space="preserve"> PAGEREF _Toc425179770 \h </w:instrText>
                  </w:r>
                  <w:r w:rsidR="00717745">
                    <w:rPr>
                      <w:noProof/>
                      <w:webHidden/>
                    </w:rPr>
                  </w:r>
                  <w:r w:rsidR="00717745">
                    <w:rPr>
                      <w:noProof/>
                      <w:webHidden/>
                    </w:rPr>
                    <w:fldChar w:fldCharType="separate"/>
                  </w:r>
                  <w:r w:rsidR="00D30192">
                    <w:rPr>
                      <w:noProof/>
                      <w:webHidden/>
                    </w:rPr>
                    <w:t>15</w:t>
                  </w:r>
                  <w:r w:rsidR="00717745">
                    <w:rPr>
                      <w:noProof/>
                      <w:webHidden/>
                    </w:rPr>
                    <w:fldChar w:fldCharType="end"/>
                  </w:r>
                </w:hyperlink>
              </w:p>
              <w:p w:rsidR="00717745" w:rsidRDefault="00787A6B" w:rsidP="003C107D">
                <w:pPr>
                  <w:pStyle w:val="TOC3"/>
                  <w:rPr>
                    <w:noProof/>
                  </w:rPr>
                </w:pPr>
                <w:hyperlink w:anchor="_Toc425179771" w:history="1">
                  <w:r w:rsidR="00717745" w:rsidRPr="008D4943">
                    <w:rPr>
                      <w:rStyle w:val="Hyperlink"/>
                      <w:rFonts w:eastAsiaTheme="minorHAnsi"/>
                      <w:noProof/>
                    </w:rPr>
                    <w:t>3.</w:t>
                  </w:r>
                  <w:r w:rsidR="003C107D">
                    <w:rPr>
                      <w:rStyle w:val="Hyperlink"/>
                      <w:rFonts w:eastAsiaTheme="minorHAnsi"/>
                      <w:noProof/>
                    </w:rPr>
                    <w:t xml:space="preserve">  </w:t>
                  </w:r>
                  <w:r w:rsidR="00717745" w:rsidRPr="008D4943">
                    <w:rPr>
                      <w:rStyle w:val="Hyperlink"/>
                      <w:rFonts w:eastAsiaTheme="minorHAnsi"/>
                      <w:noProof/>
                    </w:rPr>
                    <w:t>Officer Compensation</w:t>
                  </w:r>
                  <w:r w:rsidR="00717745">
                    <w:rPr>
                      <w:noProof/>
                      <w:webHidden/>
                    </w:rPr>
                    <w:tab/>
                  </w:r>
                  <w:r w:rsidR="00717745">
                    <w:rPr>
                      <w:noProof/>
                      <w:webHidden/>
                    </w:rPr>
                    <w:fldChar w:fldCharType="begin"/>
                  </w:r>
                  <w:r w:rsidR="00717745">
                    <w:rPr>
                      <w:noProof/>
                      <w:webHidden/>
                    </w:rPr>
                    <w:instrText xml:space="preserve"> PAGEREF _Toc425179771 \h </w:instrText>
                  </w:r>
                  <w:r w:rsidR="00717745">
                    <w:rPr>
                      <w:noProof/>
                      <w:webHidden/>
                    </w:rPr>
                  </w:r>
                  <w:r w:rsidR="00717745">
                    <w:rPr>
                      <w:noProof/>
                      <w:webHidden/>
                    </w:rPr>
                    <w:fldChar w:fldCharType="separate"/>
                  </w:r>
                  <w:r w:rsidR="00D30192">
                    <w:rPr>
                      <w:noProof/>
                      <w:webHidden/>
                    </w:rPr>
                    <w:t>20</w:t>
                  </w:r>
                  <w:r w:rsidR="00717745">
                    <w:rPr>
                      <w:noProof/>
                      <w:webHidden/>
                    </w:rPr>
                    <w:fldChar w:fldCharType="end"/>
                  </w:r>
                </w:hyperlink>
              </w:p>
              <w:p w:rsidR="00717745" w:rsidRDefault="00787A6B" w:rsidP="003C107D">
                <w:pPr>
                  <w:pStyle w:val="TOC3"/>
                  <w:rPr>
                    <w:noProof/>
                  </w:rPr>
                </w:pPr>
                <w:hyperlink w:anchor="_Toc425179772" w:history="1">
                  <w:r w:rsidR="00717745" w:rsidRPr="008D4943">
                    <w:rPr>
                      <w:rStyle w:val="Hyperlink"/>
                      <w:rFonts w:eastAsiaTheme="minorHAnsi"/>
                      <w:noProof/>
                    </w:rPr>
                    <w:t>4.</w:t>
                  </w:r>
                  <w:r w:rsidR="003C107D">
                    <w:rPr>
                      <w:rStyle w:val="Hyperlink"/>
                      <w:rFonts w:eastAsiaTheme="minorHAnsi"/>
                      <w:noProof/>
                    </w:rPr>
                    <w:t xml:space="preserve">  </w:t>
                  </w:r>
                  <w:r w:rsidR="00717745" w:rsidRPr="008D4943">
                    <w:rPr>
                      <w:rStyle w:val="Hyperlink"/>
                      <w:rFonts w:eastAsiaTheme="minorHAnsi"/>
                      <w:noProof/>
                    </w:rPr>
                    <w:t>Contracted Administrative Services</w:t>
                  </w:r>
                  <w:r w:rsidR="00717745">
                    <w:rPr>
                      <w:noProof/>
                      <w:webHidden/>
                    </w:rPr>
                    <w:tab/>
                  </w:r>
                  <w:r w:rsidR="00717745">
                    <w:rPr>
                      <w:noProof/>
                      <w:webHidden/>
                    </w:rPr>
                    <w:fldChar w:fldCharType="begin"/>
                  </w:r>
                  <w:r w:rsidR="00717745">
                    <w:rPr>
                      <w:noProof/>
                      <w:webHidden/>
                    </w:rPr>
                    <w:instrText xml:space="preserve"> PAGEREF _Toc425179772 \h </w:instrText>
                  </w:r>
                  <w:r w:rsidR="00717745">
                    <w:rPr>
                      <w:noProof/>
                      <w:webHidden/>
                    </w:rPr>
                  </w:r>
                  <w:r w:rsidR="00717745">
                    <w:rPr>
                      <w:noProof/>
                      <w:webHidden/>
                    </w:rPr>
                    <w:fldChar w:fldCharType="separate"/>
                  </w:r>
                  <w:r w:rsidR="00D30192">
                    <w:rPr>
                      <w:noProof/>
                      <w:webHidden/>
                    </w:rPr>
                    <w:t>22</w:t>
                  </w:r>
                  <w:r w:rsidR="00717745">
                    <w:rPr>
                      <w:noProof/>
                      <w:webHidden/>
                    </w:rPr>
                    <w:fldChar w:fldCharType="end"/>
                  </w:r>
                </w:hyperlink>
              </w:p>
              <w:p w:rsidR="00717745" w:rsidRDefault="00787A6B" w:rsidP="003C107D">
                <w:pPr>
                  <w:pStyle w:val="TOC3"/>
                  <w:rPr>
                    <w:noProof/>
                  </w:rPr>
                </w:pPr>
                <w:hyperlink w:anchor="_Toc425179773" w:history="1">
                  <w:r w:rsidR="00717745" w:rsidRPr="008D4943">
                    <w:rPr>
                      <w:rStyle w:val="Hyperlink"/>
                      <w:rFonts w:eastAsia="Calibri"/>
                      <w:noProof/>
                    </w:rPr>
                    <w:t>5.</w:t>
                  </w:r>
                  <w:r w:rsidR="003C107D">
                    <w:rPr>
                      <w:rStyle w:val="Hyperlink"/>
                      <w:rFonts w:eastAsia="Calibri"/>
                      <w:noProof/>
                    </w:rPr>
                    <w:t xml:space="preserve">  </w:t>
                  </w:r>
                  <w:r w:rsidR="00717745" w:rsidRPr="008D4943">
                    <w:rPr>
                      <w:rStyle w:val="Hyperlink"/>
                      <w:rFonts w:eastAsia="Calibri"/>
                      <w:noProof/>
                    </w:rPr>
                    <w:t>Operations Management Services</w:t>
                  </w:r>
                  <w:r w:rsidR="00717745">
                    <w:rPr>
                      <w:noProof/>
                      <w:webHidden/>
                    </w:rPr>
                    <w:tab/>
                  </w:r>
                  <w:r w:rsidR="00717745">
                    <w:rPr>
                      <w:noProof/>
                      <w:webHidden/>
                    </w:rPr>
                    <w:fldChar w:fldCharType="begin"/>
                  </w:r>
                  <w:r w:rsidR="00717745">
                    <w:rPr>
                      <w:noProof/>
                      <w:webHidden/>
                    </w:rPr>
                    <w:instrText xml:space="preserve"> PAGEREF _Toc425179773 \h </w:instrText>
                  </w:r>
                  <w:r w:rsidR="00717745">
                    <w:rPr>
                      <w:noProof/>
                      <w:webHidden/>
                    </w:rPr>
                  </w:r>
                  <w:r w:rsidR="00717745">
                    <w:rPr>
                      <w:noProof/>
                      <w:webHidden/>
                    </w:rPr>
                    <w:fldChar w:fldCharType="separate"/>
                  </w:r>
                  <w:r w:rsidR="00D30192">
                    <w:rPr>
                      <w:noProof/>
                      <w:webHidden/>
                    </w:rPr>
                    <w:t>26</w:t>
                  </w:r>
                  <w:r w:rsidR="00717745">
                    <w:rPr>
                      <w:noProof/>
                      <w:webHidden/>
                    </w:rPr>
                    <w:fldChar w:fldCharType="end"/>
                  </w:r>
                </w:hyperlink>
              </w:p>
              <w:p w:rsidR="00717745" w:rsidRDefault="00787A6B" w:rsidP="003C107D">
                <w:pPr>
                  <w:pStyle w:val="TOC3"/>
                  <w:rPr>
                    <w:noProof/>
                  </w:rPr>
                </w:pPr>
                <w:hyperlink w:anchor="_Toc425179774" w:history="1">
                  <w:r w:rsidR="00717745" w:rsidRPr="008D4943">
                    <w:rPr>
                      <w:rStyle w:val="Hyperlink"/>
                      <w:rFonts w:eastAsia="Calibri"/>
                      <w:noProof/>
                    </w:rPr>
                    <w:t>6.</w:t>
                  </w:r>
                  <w:r w:rsidR="003C107D">
                    <w:rPr>
                      <w:rStyle w:val="Hyperlink"/>
                      <w:rFonts w:eastAsia="Calibri"/>
                      <w:noProof/>
                    </w:rPr>
                    <w:t xml:space="preserve">  </w:t>
                  </w:r>
                  <w:r w:rsidR="00717745" w:rsidRPr="008D4943">
                    <w:rPr>
                      <w:rStyle w:val="Hyperlink"/>
                      <w:rFonts w:eastAsia="Calibri"/>
                      <w:noProof/>
                    </w:rPr>
                    <w:t>Non-Rate Case Legal Fees</w:t>
                  </w:r>
                  <w:r w:rsidR="00717745">
                    <w:rPr>
                      <w:noProof/>
                      <w:webHidden/>
                    </w:rPr>
                    <w:tab/>
                  </w:r>
                  <w:r w:rsidR="00717745">
                    <w:rPr>
                      <w:noProof/>
                      <w:webHidden/>
                    </w:rPr>
                    <w:fldChar w:fldCharType="begin"/>
                  </w:r>
                  <w:r w:rsidR="00717745">
                    <w:rPr>
                      <w:noProof/>
                      <w:webHidden/>
                    </w:rPr>
                    <w:instrText xml:space="preserve"> PAGEREF _Toc425179774 \h </w:instrText>
                  </w:r>
                  <w:r w:rsidR="00717745">
                    <w:rPr>
                      <w:noProof/>
                      <w:webHidden/>
                    </w:rPr>
                  </w:r>
                  <w:r w:rsidR="00717745">
                    <w:rPr>
                      <w:noProof/>
                      <w:webHidden/>
                    </w:rPr>
                    <w:fldChar w:fldCharType="separate"/>
                  </w:r>
                  <w:r w:rsidR="00D30192">
                    <w:rPr>
                      <w:noProof/>
                      <w:webHidden/>
                    </w:rPr>
                    <w:t>27</w:t>
                  </w:r>
                  <w:r w:rsidR="00717745">
                    <w:rPr>
                      <w:noProof/>
                      <w:webHidden/>
                    </w:rPr>
                    <w:fldChar w:fldCharType="end"/>
                  </w:r>
                </w:hyperlink>
              </w:p>
              <w:p w:rsidR="00717745" w:rsidRDefault="00787A6B" w:rsidP="003C107D">
                <w:pPr>
                  <w:pStyle w:val="TOC3"/>
                  <w:rPr>
                    <w:noProof/>
                  </w:rPr>
                </w:pPr>
                <w:hyperlink w:anchor="_Toc425179775" w:history="1">
                  <w:r w:rsidR="00717745" w:rsidRPr="008D4943">
                    <w:rPr>
                      <w:rStyle w:val="Hyperlink"/>
                      <w:rFonts w:eastAsia="Calibri"/>
                      <w:noProof/>
                    </w:rPr>
                    <w:t>7.</w:t>
                  </w:r>
                  <w:r w:rsidR="003C107D">
                    <w:rPr>
                      <w:rStyle w:val="Hyperlink"/>
                      <w:rFonts w:eastAsia="Calibri"/>
                      <w:noProof/>
                    </w:rPr>
                    <w:t xml:space="preserve">  </w:t>
                  </w:r>
                  <w:r w:rsidR="00717745" w:rsidRPr="008D4943">
                    <w:rPr>
                      <w:rStyle w:val="Hyperlink"/>
                      <w:rFonts w:eastAsia="Calibri"/>
                      <w:noProof/>
                    </w:rPr>
                    <w:t>Rate Case Expense</w:t>
                  </w:r>
                  <w:r w:rsidR="00717745">
                    <w:rPr>
                      <w:noProof/>
                      <w:webHidden/>
                    </w:rPr>
                    <w:tab/>
                  </w:r>
                  <w:r w:rsidR="00717745">
                    <w:rPr>
                      <w:noProof/>
                      <w:webHidden/>
                    </w:rPr>
                    <w:fldChar w:fldCharType="begin"/>
                  </w:r>
                  <w:r w:rsidR="00717745">
                    <w:rPr>
                      <w:noProof/>
                      <w:webHidden/>
                    </w:rPr>
                    <w:instrText xml:space="preserve"> PAGEREF _Toc425179775 \h </w:instrText>
                  </w:r>
                  <w:r w:rsidR="00717745">
                    <w:rPr>
                      <w:noProof/>
                      <w:webHidden/>
                    </w:rPr>
                  </w:r>
                  <w:r w:rsidR="00717745">
                    <w:rPr>
                      <w:noProof/>
                      <w:webHidden/>
                    </w:rPr>
                    <w:fldChar w:fldCharType="separate"/>
                  </w:r>
                  <w:r w:rsidR="00D30192">
                    <w:rPr>
                      <w:noProof/>
                      <w:webHidden/>
                    </w:rPr>
                    <w:t>30</w:t>
                  </w:r>
                  <w:r w:rsidR="00717745">
                    <w:rPr>
                      <w:noProof/>
                      <w:webHidden/>
                    </w:rPr>
                    <w:fldChar w:fldCharType="end"/>
                  </w:r>
                </w:hyperlink>
              </w:p>
              <w:p w:rsidR="00717745" w:rsidRDefault="00787A6B" w:rsidP="003C107D">
                <w:pPr>
                  <w:pStyle w:val="TOC3"/>
                  <w:rPr>
                    <w:noProof/>
                  </w:rPr>
                </w:pPr>
                <w:hyperlink w:anchor="_Toc425179776" w:history="1">
                  <w:r w:rsidR="00717745" w:rsidRPr="008D4943">
                    <w:rPr>
                      <w:rStyle w:val="Hyperlink"/>
                      <w:noProof/>
                    </w:rPr>
                    <w:t>8.</w:t>
                  </w:r>
                  <w:r w:rsidR="003C107D">
                    <w:rPr>
                      <w:rStyle w:val="Hyperlink"/>
                      <w:noProof/>
                    </w:rPr>
                    <w:t xml:space="preserve">  </w:t>
                  </w:r>
                  <w:r w:rsidR="00717745" w:rsidRPr="008D4943">
                    <w:rPr>
                      <w:rStyle w:val="Hyperlink"/>
                      <w:noProof/>
                    </w:rPr>
                    <w:t>Operating Ratio and Operating Income</w:t>
                  </w:r>
                  <w:r w:rsidR="00717745">
                    <w:rPr>
                      <w:noProof/>
                      <w:webHidden/>
                    </w:rPr>
                    <w:tab/>
                  </w:r>
                  <w:r w:rsidR="00717745">
                    <w:rPr>
                      <w:noProof/>
                      <w:webHidden/>
                    </w:rPr>
                    <w:fldChar w:fldCharType="begin"/>
                  </w:r>
                  <w:r w:rsidR="00717745">
                    <w:rPr>
                      <w:noProof/>
                      <w:webHidden/>
                    </w:rPr>
                    <w:instrText xml:space="preserve"> PAGEREF _Toc425179776 \h </w:instrText>
                  </w:r>
                  <w:r w:rsidR="00717745">
                    <w:rPr>
                      <w:noProof/>
                      <w:webHidden/>
                    </w:rPr>
                  </w:r>
                  <w:r w:rsidR="00717745">
                    <w:rPr>
                      <w:noProof/>
                      <w:webHidden/>
                    </w:rPr>
                    <w:fldChar w:fldCharType="separate"/>
                  </w:r>
                  <w:r w:rsidR="00D30192">
                    <w:rPr>
                      <w:noProof/>
                      <w:webHidden/>
                    </w:rPr>
                    <w:t>34</w:t>
                  </w:r>
                  <w:r w:rsidR="00717745">
                    <w:rPr>
                      <w:noProof/>
                      <w:webHidden/>
                    </w:rPr>
                    <w:fldChar w:fldCharType="end"/>
                  </w:r>
                </w:hyperlink>
              </w:p>
              <w:p w:rsidR="00717745" w:rsidRDefault="00787A6B" w:rsidP="003C107D">
                <w:pPr>
                  <w:pStyle w:val="TOC3"/>
                  <w:rPr>
                    <w:noProof/>
                  </w:rPr>
                </w:pPr>
                <w:hyperlink w:anchor="_Toc425179777" w:history="1">
                  <w:r w:rsidR="00717745" w:rsidRPr="008D4943">
                    <w:rPr>
                      <w:rStyle w:val="Hyperlink"/>
                      <w:noProof/>
                    </w:rPr>
                    <w:t>9.</w:t>
                  </w:r>
                  <w:r w:rsidR="003C107D">
                    <w:rPr>
                      <w:rStyle w:val="Hyperlink"/>
                      <w:noProof/>
                    </w:rPr>
                    <w:t xml:space="preserve">  </w:t>
                  </w:r>
                  <w:r w:rsidR="00717745" w:rsidRPr="008D4943">
                    <w:rPr>
                      <w:rStyle w:val="Hyperlink"/>
                      <w:noProof/>
                    </w:rPr>
                    <w:t>Phase-in of Rate Increase</w:t>
                  </w:r>
                  <w:r w:rsidR="00717745">
                    <w:rPr>
                      <w:noProof/>
                      <w:webHidden/>
                    </w:rPr>
                    <w:tab/>
                  </w:r>
                  <w:r w:rsidR="00717745">
                    <w:rPr>
                      <w:noProof/>
                      <w:webHidden/>
                    </w:rPr>
                    <w:fldChar w:fldCharType="begin"/>
                  </w:r>
                  <w:r w:rsidR="00717745">
                    <w:rPr>
                      <w:noProof/>
                      <w:webHidden/>
                    </w:rPr>
                    <w:instrText xml:space="preserve"> PAGEREF _Toc425179777 \h </w:instrText>
                  </w:r>
                  <w:r w:rsidR="00717745">
                    <w:rPr>
                      <w:noProof/>
                      <w:webHidden/>
                    </w:rPr>
                  </w:r>
                  <w:r w:rsidR="00717745">
                    <w:rPr>
                      <w:noProof/>
                      <w:webHidden/>
                    </w:rPr>
                    <w:fldChar w:fldCharType="separate"/>
                  </w:r>
                  <w:r w:rsidR="00D30192">
                    <w:rPr>
                      <w:noProof/>
                      <w:webHidden/>
                    </w:rPr>
                    <w:t>37</w:t>
                  </w:r>
                  <w:r w:rsidR="00717745">
                    <w:rPr>
                      <w:noProof/>
                      <w:webHidden/>
                    </w:rPr>
                    <w:fldChar w:fldCharType="end"/>
                  </w:r>
                </w:hyperlink>
              </w:p>
              <w:p w:rsidR="00717745" w:rsidRDefault="00787A6B" w:rsidP="00717745">
                <w:pPr>
                  <w:pStyle w:val="TOC1"/>
                  <w:rPr>
                    <w:rStyle w:val="Hyperlink"/>
                    <w:noProof/>
                  </w:rPr>
                </w:pPr>
                <w:hyperlink w:anchor="_Toc425179778" w:history="1">
                  <w:r w:rsidR="00717745" w:rsidRPr="008D4943">
                    <w:rPr>
                      <w:rStyle w:val="Hyperlink"/>
                      <w:noProof/>
                    </w:rPr>
                    <w:t>IV.</w:t>
                  </w:r>
                  <w:r w:rsidR="00717745">
                    <w:rPr>
                      <w:noProof/>
                    </w:rPr>
                    <w:tab/>
                  </w:r>
                  <w:r w:rsidR="00717745" w:rsidRPr="008D4943">
                    <w:rPr>
                      <w:rStyle w:val="Hyperlink"/>
                      <w:noProof/>
                    </w:rPr>
                    <w:t>C</w:t>
                  </w:r>
                  <w:r w:rsidR="00905BD3">
                    <w:rPr>
                      <w:rStyle w:val="Hyperlink"/>
                      <w:noProof/>
                    </w:rPr>
                    <w:t>onclusion</w:t>
                  </w:r>
                  <w:r w:rsidR="00717745">
                    <w:rPr>
                      <w:noProof/>
                      <w:webHidden/>
                    </w:rPr>
                    <w:tab/>
                  </w:r>
                  <w:r w:rsidR="00717745">
                    <w:rPr>
                      <w:noProof/>
                      <w:webHidden/>
                    </w:rPr>
                    <w:fldChar w:fldCharType="begin"/>
                  </w:r>
                  <w:r w:rsidR="00717745">
                    <w:rPr>
                      <w:noProof/>
                      <w:webHidden/>
                    </w:rPr>
                    <w:instrText xml:space="preserve"> PAGEREF _Toc425179778 \h </w:instrText>
                  </w:r>
                  <w:r w:rsidR="00717745">
                    <w:rPr>
                      <w:noProof/>
                      <w:webHidden/>
                    </w:rPr>
                  </w:r>
                  <w:r w:rsidR="00717745">
                    <w:rPr>
                      <w:noProof/>
                      <w:webHidden/>
                    </w:rPr>
                    <w:fldChar w:fldCharType="separate"/>
                  </w:r>
                  <w:r w:rsidR="00D30192">
                    <w:rPr>
                      <w:noProof/>
                      <w:webHidden/>
                    </w:rPr>
                    <w:t>38</w:t>
                  </w:r>
                  <w:r w:rsidR="00717745">
                    <w:rPr>
                      <w:noProof/>
                      <w:webHidden/>
                    </w:rPr>
                    <w:fldChar w:fldCharType="end"/>
                  </w:r>
                </w:hyperlink>
              </w:p>
              <w:p w:rsidR="00717745" w:rsidRDefault="00717745">
                <w:r>
                  <w:rPr>
                    <w:b/>
                    <w:bCs/>
                    <w:noProof/>
                  </w:rPr>
                  <w:fldChar w:fldCharType="end"/>
                </w:r>
              </w:p>
            </w:sdtContent>
          </w:sdt>
          <w:p w:rsidR="001C28B5" w:rsidRPr="00F514FB" w:rsidRDefault="001C28B5" w:rsidP="00B774A6">
            <w:pPr>
              <w:spacing w:line="240" w:lineRule="auto"/>
              <w:ind w:firstLine="0"/>
              <w:rPr>
                <w:szCs w:val="26"/>
              </w:rPr>
            </w:pPr>
          </w:p>
        </w:tc>
      </w:tr>
    </w:tbl>
    <w:p w:rsidR="001322CB" w:rsidRPr="00F514FB" w:rsidRDefault="001322CB" w:rsidP="00B774A6">
      <w:pPr>
        <w:spacing w:line="240" w:lineRule="auto"/>
        <w:ind w:firstLine="0"/>
        <w:rPr>
          <w:szCs w:val="26"/>
        </w:rPr>
      </w:pPr>
    </w:p>
    <w:p w:rsidR="00717745" w:rsidRDefault="00717745" w:rsidP="00B774A6">
      <w:pPr>
        <w:spacing w:line="240" w:lineRule="auto"/>
        <w:ind w:firstLine="0"/>
        <w:jc w:val="center"/>
        <w:rPr>
          <w:b/>
          <w:szCs w:val="26"/>
        </w:rPr>
        <w:sectPr w:rsidR="00717745" w:rsidSect="00DF534B">
          <w:pgSz w:w="12240" w:h="15840"/>
          <w:pgMar w:top="1440" w:right="1440" w:bottom="1440" w:left="1440" w:header="720" w:footer="720" w:gutter="0"/>
          <w:cols w:space="720"/>
          <w:titlePg/>
          <w:docGrid w:linePitch="360"/>
        </w:sectPr>
      </w:pPr>
    </w:p>
    <w:p w:rsidR="001322CB" w:rsidRPr="00F514FB" w:rsidRDefault="001322CB" w:rsidP="00B774A6">
      <w:pPr>
        <w:spacing w:line="240" w:lineRule="auto"/>
        <w:ind w:firstLine="0"/>
        <w:jc w:val="center"/>
        <w:rPr>
          <w:b/>
          <w:szCs w:val="26"/>
        </w:rPr>
      </w:pPr>
      <w:r w:rsidRPr="00F514FB">
        <w:rPr>
          <w:b/>
          <w:szCs w:val="26"/>
        </w:rPr>
        <w:lastRenderedPageBreak/>
        <w:t>OPINION AND ORDER</w:t>
      </w:r>
    </w:p>
    <w:p w:rsidR="000F6191" w:rsidRDefault="000F6191" w:rsidP="001E5919">
      <w:pPr>
        <w:spacing w:line="240" w:lineRule="auto"/>
        <w:ind w:firstLine="0"/>
        <w:rPr>
          <w:b/>
          <w:szCs w:val="26"/>
        </w:rPr>
      </w:pPr>
    </w:p>
    <w:p w:rsidR="001322CB" w:rsidRPr="00F514FB" w:rsidRDefault="001322CB" w:rsidP="001E5919">
      <w:pPr>
        <w:spacing w:line="240" w:lineRule="auto"/>
        <w:ind w:firstLine="0"/>
        <w:rPr>
          <w:b/>
          <w:szCs w:val="26"/>
        </w:rPr>
      </w:pPr>
      <w:r w:rsidRPr="00F514FB">
        <w:rPr>
          <w:b/>
          <w:szCs w:val="26"/>
        </w:rPr>
        <w:t>BY THE COMMISSION:</w:t>
      </w:r>
    </w:p>
    <w:p w:rsidR="001322CB" w:rsidRPr="00F514FB" w:rsidRDefault="001322CB" w:rsidP="001322CB">
      <w:pPr>
        <w:rPr>
          <w:szCs w:val="26"/>
        </w:rPr>
      </w:pPr>
    </w:p>
    <w:p w:rsidR="000F6191" w:rsidRPr="00A71F17" w:rsidRDefault="000F6191" w:rsidP="000F6191">
      <w:pPr>
        <w:contextualSpacing/>
        <w:rPr>
          <w:szCs w:val="26"/>
        </w:rPr>
      </w:pPr>
      <w:r w:rsidRPr="000F6191">
        <w:rPr>
          <w:szCs w:val="26"/>
        </w:rPr>
        <w:t xml:space="preserve">Before the Pennsylvania Public Utility Commission (Commission) for consideration and disposition are:  (1) the Recommended Decision (R.D.) of Administrative Law Judge (ALJ) </w:t>
      </w:r>
      <w:r>
        <w:rPr>
          <w:szCs w:val="26"/>
        </w:rPr>
        <w:t xml:space="preserve">Ember S. </w:t>
      </w:r>
      <w:proofErr w:type="spellStart"/>
      <w:r>
        <w:rPr>
          <w:szCs w:val="26"/>
        </w:rPr>
        <w:t>Jandebeur</w:t>
      </w:r>
      <w:proofErr w:type="spellEnd"/>
      <w:r w:rsidRPr="000F6191">
        <w:rPr>
          <w:szCs w:val="26"/>
        </w:rPr>
        <w:t xml:space="preserve"> issued on </w:t>
      </w:r>
      <w:r>
        <w:rPr>
          <w:szCs w:val="26"/>
        </w:rPr>
        <w:t xml:space="preserve">May 27, 2015; </w:t>
      </w:r>
      <w:r w:rsidRPr="000F6191">
        <w:rPr>
          <w:szCs w:val="26"/>
        </w:rPr>
        <w:t xml:space="preserve">(2) the Exceptions to the Recommended Decision filed on </w:t>
      </w:r>
      <w:r>
        <w:rPr>
          <w:szCs w:val="26"/>
        </w:rPr>
        <w:t>June 16, 2015</w:t>
      </w:r>
      <w:r w:rsidR="00631BAD">
        <w:rPr>
          <w:szCs w:val="26"/>
        </w:rPr>
        <w:t>,</w:t>
      </w:r>
      <w:r>
        <w:rPr>
          <w:szCs w:val="26"/>
        </w:rPr>
        <w:t xml:space="preserve"> by the Delaware </w:t>
      </w:r>
      <w:r w:rsidR="00864340">
        <w:rPr>
          <w:szCs w:val="26"/>
        </w:rPr>
        <w:t xml:space="preserve">Sewer </w:t>
      </w:r>
      <w:r>
        <w:rPr>
          <w:szCs w:val="26"/>
        </w:rPr>
        <w:t>Company (D</w:t>
      </w:r>
      <w:r w:rsidR="00D95BBE">
        <w:rPr>
          <w:szCs w:val="26"/>
        </w:rPr>
        <w:t>S</w:t>
      </w:r>
      <w:r>
        <w:rPr>
          <w:szCs w:val="26"/>
        </w:rPr>
        <w:t>C or Company) and the Office of Consumer Advocate (OCA)</w:t>
      </w:r>
      <w:r w:rsidRPr="000F6191">
        <w:rPr>
          <w:szCs w:val="26"/>
        </w:rPr>
        <w:t>; and (3</w:t>
      </w:r>
      <w:r w:rsidRPr="00631BAD">
        <w:rPr>
          <w:szCs w:val="26"/>
        </w:rPr>
        <w:t xml:space="preserve">) the Replies to Exceptions filed on </w:t>
      </w:r>
      <w:r w:rsidR="00631BAD" w:rsidRPr="00631BAD">
        <w:rPr>
          <w:szCs w:val="26"/>
        </w:rPr>
        <w:t xml:space="preserve">June 26, 2015, </w:t>
      </w:r>
      <w:r w:rsidR="00864340">
        <w:rPr>
          <w:szCs w:val="26"/>
        </w:rPr>
        <w:t xml:space="preserve">by </w:t>
      </w:r>
      <w:r w:rsidR="006A077A">
        <w:rPr>
          <w:szCs w:val="26"/>
        </w:rPr>
        <w:t>DSC, the Commission</w:t>
      </w:r>
      <w:r w:rsidR="002061B0">
        <w:rPr>
          <w:szCs w:val="26"/>
        </w:rPr>
        <w:t>’</w:t>
      </w:r>
      <w:r w:rsidR="006A077A">
        <w:rPr>
          <w:szCs w:val="26"/>
        </w:rPr>
        <w:t xml:space="preserve">s </w:t>
      </w:r>
      <w:r w:rsidR="00631BAD">
        <w:rPr>
          <w:szCs w:val="26"/>
        </w:rPr>
        <w:t>Bureau of Investigation and Enforcement</w:t>
      </w:r>
      <w:r w:rsidR="00A71F17">
        <w:rPr>
          <w:szCs w:val="26"/>
        </w:rPr>
        <w:t xml:space="preserve"> (I&amp;E)</w:t>
      </w:r>
      <w:r w:rsidR="00631BAD">
        <w:rPr>
          <w:szCs w:val="26"/>
        </w:rPr>
        <w:t xml:space="preserve">, </w:t>
      </w:r>
      <w:r w:rsidR="00F67064" w:rsidRPr="00631BAD">
        <w:rPr>
          <w:szCs w:val="26"/>
        </w:rPr>
        <w:t>and the OCA</w:t>
      </w:r>
      <w:r w:rsidRPr="000F6191">
        <w:rPr>
          <w:szCs w:val="26"/>
        </w:rPr>
        <w:t>.  For the reasons explained more fully</w:t>
      </w:r>
      <w:r w:rsidR="000D6DA7">
        <w:rPr>
          <w:szCs w:val="26"/>
        </w:rPr>
        <w:t xml:space="preserve">, </w:t>
      </w:r>
      <w:r w:rsidR="000D6DA7" w:rsidRPr="000D6DA7">
        <w:rPr>
          <w:i/>
          <w:szCs w:val="26"/>
        </w:rPr>
        <w:t>infra</w:t>
      </w:r>
      <w:r w:rsidR="000D6DA7">
        <w:rPr>
          <w:szCs w:val="26"/>
        </w:rPr>
        <w:t>,</w:t>
      </w:r>
      <w:r w:rsidRPr="000F6191">
        <w:rPr>
          <w:szCs w:val="26"/>
        </w:rPr>
        <w:t xml:space="preserve"> </w:t>
      </w:r>
      <w:r w:rsidRPr="00A71F17">
        <w:rPr>
          <w:szCs w:val="26"/>
        </w:rPr>
        <w:t xml:space="preserve">we shall authorize </w:t>
      </w:r>
      <w:r w:rsidR="00A71F17" w:rsidRPr="00A71F17">
        <w:rPr>
          <w:szCs w:val="26"/>
        </w:rPr>
        <w:t>DSC</w:t>
      </w:r>
      <w:r w:rsidRPr="00A71F17">
        <w:rPr>
          <w:szCs w:val="26"/>
        </w:rPr>
        <w:t xml:space="preserve"> to file a revised tariff supplement designed to provide the Company with the opportunity to collect </w:t>
      </w:r>
      <w:r w:rsidR="00A71F17" w:rsidRPr="00A71F17">
        <w:rPr>
          <w:szCs w:val="26"/>
        </w:rPr>
        <w:t xml:space="preserve">total operating revenue of </w:t>
      </w:r>
      <w:r w:rsidRPr="00A71F17">
        <w:rPr>
          <w:szCs w:val="26"/>
        </w:rPr>
        <w:t>$</w:t>
      </w:r>
      <w:r w:rsidR="000D6DA7">
        <w:rPr>
          <w:szCs w:val="26"/>
        </w:rPr>
        <w:t>43,670</w:t>
      </w:r>
      <w:r w:rsidRPr="00A71F17">
        <w:rPr>
          <w:szCs w:val="26"/>
        </w:rPr>
        <w:t>.</w:t>
      </w:r>
    </w:p>
    <w:p w:rsidR="00B01161" w:rsidRDefault="00B01161" w:rsidP="00644AA6">
      <w:pPr>
        <w:jc w:val="center"/>
        <w:rPr>
          <w:b/>
          <w:color w:val="C00000"/>
          <w:szCs w:val="26"/>
        </w:rPr>
      </w:pPr>
    </w:p>
    <w:p w:rsidR="00644AA6" w:rsidRDefault="00644AA6" w:rsidP="00A71F17">
      <w:pPr>
        <w:pStyle w:val="Heading1"/>
        <w:ind w:hanging="720"/>
      </w:pPr>
      <w:bookmarkStart w:id="0" w:name="_Toc425179763"/>
      <w:r w:rsidRPr="0061313F">
        <w:t>Background</w:t>
      </w:r>
      <w:bookmarkEnd w:id="0"/>
    </w:p>
    <w:p w:rsidR="00B01161" w:rsidRPr="0061313F" w:rsidRDefault="00B01161" w:rsidP="00644AA6">
      <w:pPr>
        <w:jc w:val="center"/>
        <w:rPr>
          <w:b/>
          <w:szCs w:val="26"/>
        </w:rPr>
      </w:pPr>
    </w:p>
    <w:p w:rsidR="003C2A59" w:rsidRDefault="003C2A59" w:rsidP="003C2A59">
      <w:pPr>
        <w:rPr>
          <w:rFonts w:eastAsiaTheme="minorHAnsi"/>
        </w:rPr>
      </w:pPr>
      <w:r>
        <w:rPr>
          <w:rFonts w:eastAsiaTheme="minorHAnsi"/>
        </w:rPr>
        <w:t xml:space="preserve">DSC is a Pennsylvania public utility with authority to provide wastewater service </w:t>
      </w:r>
      <w:r w:rsidR="005F300F">
        <w:rPr>
          <w:rFonts w:eastAsiaTheme="minorHAnsi"/>
        </w:rPr>
        <w:t xml:space="preserve">to </w:t>
      </w:r>
      <w:r>
        <w:rPr>
          <w:rFonts w:eastAsiaTheme="minorHAnsi"/>
        </w:rPr>
        <w:t xml:space="preserve">residential </w:t>
      </w:r>
      <w:r w:rsidR="00B61F22">
        <w:rPr>
          <w:rFonts w:eastAsiaTheme="minorHAnsi"/>
        </w:rPr>
        <w:t>customers</w:t>
      </w:r>
      <w:r>
        <w:rPr>
          <w:rFonts w:eastAsiaTheme="minorHAnsi"/>
        </w:rPr>
        <w:t xml:space="preserve"> in Sections 19, 21 and 22 of Wild Acres, a planned residential development in Delaware Township, Pike County.  The Company currently serves thirty-eight residential customers.  </w:t>
      </w:r>
      <w:r w:rsidR="000D23E1">
        <w:rPr>
          <w:rFonts w:eastAsiaTheme="minorHAnsi"/>
        </w:rPr>
        <w:t>DSC</w:t>
      </w:r>
      <w:r>
        <w:rPr>
          <w:rFonts w:eastAsiaTheme="minorHAnsi"/>
        </w:rPr>
        <w:t xml:space="preserve"> was incorporated in or about 1978 and received its certificate of public convenience from the Commission in 1996 </w:t>
      </w:r>
      <w:r w:rsidR="000D23E1">
        <w:rPr>
          <w:rFonts w:eastAsiaTheme="minorHAnsi"/>
        </w:rPr>
        <w:t>by</w:t>
      </w:r>
      <w:r>
        <w:rPr>
          <w:rFonts w:eastAsiaTheme="minorHAnsi"/>
        </w:rPr>
        <w:t xml:space="preserve"> Opinion and Order entered October 4, 1996</w:t>
      </w:r>
      <w:r w:rsidR="003A1297">
        <w:rPr>
          <w:rFonts w:eastAsiaTheme="minorHAnsi"/>
        </w:rPr>
        <w:t>,</w:t>
      </w:r>
      <w:r>
        <w:rPr>
          <w:rFonts w:eastAsiaTheme="minorHAnsi"/>
        </w:rPr>
        <w:t xml:space="preserve"> at </w:t>
      </w:r>
      <w:r w:rsidR="003A1297">
        <w:rPr>
          <w:rFonts w:eastAsiaTheme="minorHAnsi"/>
        </w:rPr>
        <w:t xml:space="preserve">Docket No. </w:t>
      </w:r>
      <w:r>
        <w:rPr>
          <w:rFonts w:eastAsiaTheme="minorHAnsi"/>
        </w:rPr>
        <w:t xml:space="preserve">A-230051.  </w:t>
      </w:r>
      <w:r w:rsidR="000D23E1">
        <w:rPr>
          <w:rFonts w:eastAsiaTheme="minorHAnsi"/>
        </w:rPr>
        <w:t>Following the conclusion of the 1996 application proceeding, DSC began charging a tariff rate of $52</w:t>
      </w:r>
      <w:r w:rsidR="00451C96">
        <w:rPr>
          <w:rFonts w:eastAsiaTheme="minorHAnsi"/>
        </w:rPr>
        <w:t xml:space="preserve"> </w:t>
      </w:r>
      <w:r w:rsidR="000D23E1">
        <w:rPr>
          <w:rFonts w:eastAsiaTheme="minorHAnsi"/>
        </w:rPr>
        <w:t>per month</w:t>
      </w:r>
      <w:r w:rsidR="00864340">
        <w:rPr>
          <w:rFonts w:eastAsiaTheme="minorHAnsi"/>
        </w:rPr>
        <w:t>,</w:t>
      </w:r>
      <w:r w:rsidR="000D23E1">
        <w:rPr>
          <w:rFonts w:eastAsiaTheme="minorHAnsi"/>
        </w:rPr>
        <w:t xml:space="preserve"> which remains in effect today.  DSC M.B. at 1. </w:t>
      </w:r>
      <w:r>
        <w:rPr>
          <w:rFonts w:eastAsiaTheme="minorHAnsi"/>
        </w:rPr>
        <w:t xml:space="preserve"> </w:t>
      </w:r>
    </w:p>
    <w:p w:rsidR="00AB2BA8" w:rsidRDefault="00AB2BA8" w:rsidP="003C2A59">
      <w:pPr>
        <w:rPr>
          <w:rFonts w:eastAsiaTheme="minorHAnsi"/>
        </w:rPr>
      </w:pPr>
    </w:p>
    <w:p w:rsidR="00AB2BA8" w:rsidRDefault="000D23E1" w:rsidP="003C2A59">
      <w:pPr>
        <w:rPr>
          <w:rFonts w:eastAsiaTheme="minorHAnsi"/>
        </w:rPr>
      </w:pPr>
      <w:r>
        <w:rPr>
          <w:rFonts w:eastAsiaTheme="minorHAnsi"/>
        </w:rPr>
        <w:t xml:space="preserve">The Pennsylvania Department of Environmental Protection </w:t>
      </w:r>
      <w:r w:rsidR="00E56F8F">
        <w:rPr>
          <w:rFonts w:eastAsiaTheme="minorHAnsi"/>
        </w:rPr>
        <w:t xml:space="preserve">(DEP) </w:t>
      </w:r>
      <w:r>
        <w:rPr>
          <w:rFonts w:eastAsiaTheme="minorHAnsi"/>
        </w:rPr>
        <w:t xml:space="preserve">has placed a building moratorium on Delaware Township until the Township revises its </w:t>
      </w:r>
      <w:r>
        <w:rPr>
          <w:rFonts w:eastAsiaTheme="minorHAnsi"/>
        </w:rPr>
        <w:lastRenderedPageBreak/>
        <w:t>537</w:t>
      </w:r>
      <w:r w:rsidR="0042571E">
        <w:rPr>
          <w:rFonts w:eastAsiaTheme="minorHAnsi"/>
        </w:rPr>
        <w:t> </w:t>
      </w:r>
      <w:r>
        <w:rPr>
          <w:rFonts w:eastAsiaTheme="minorHAnsi"/>
        </w:rPr>
        <w:t>Plan</w:t>
      </w:r>
      <w:r w:rsidR="005F300F">
        <w:rPr>
          <w:rStyle w:val="FootnoteReference"/>
          <w:rFonts w:eastAsiaTheme="minorHAnsi"/>
        </w:rPr>
        <w:footnoteReference w:id="1"/>
      </w:r>
      <w:r>
        <w:rPr>
          <w:rFonts w:eastAsiaTheme="minorHAnsi"/>
        </w:rPr>
        <w:t xml:space="preserve"> for the treatment of sanitary wastewater.  Consequently, DSC is prohibited from connecting new customers until the moratorium is lifted or alternate disposable methods are developed.  DSC M.B. at 2. </w:t>
      </w:r>
    </w:p>
    <w:p w:rsidR="000D23E1" w:rsidRDefault="000D23E1" w:rsidP="00B61F22">
      <w:pPr>
        <w:rPr>
          <w:rFonts w:eastAsiaTheme="minorHAnsi"/>
        </w:rPr>
      </w:pPr>
    </w:p>
    <w:p w:rsidR="000D23E1" w:rsidRPr="003A1297" w:rsidRDefault="00307424" w:rsidP="00B61F22">
      <w:pPr>
        <w:rPr>
          <w:rFonts w:eastAsiaTheme="minorHAnsi"/>
        </w:rPr>
      </w:pPr>
      <w:r>
        <w:rPr>
          <w:rFonts w:eastAsiaTheme="minorHAnsi"/>
        </w:rPr>
        <w:t xml:space="preserve">In February 2014, DSC filed a </w:t>
      </w:r>
      <w:r w:rsidR="00213CF0">
        <w:rPr>
          <w:rFonts w:eastAsiaTheme="minorHAnsi"/>
        </w:rPr>
        <w:t>P</w:t>
      </w:r>
      <w:r>
        <w:rPr>
          <w:rFonts w:eastAsiaTheme="minorHAnsi"/>
        </w:rPr>
        <w:t xml:space="preserve">etition </w:t>
      </w:r>
      <w:r w:rsidR="00676EA9">
        <w:rPr>
          <w:rFonts w:eastAsiaTheme="minorHAnsi"/>
        </w:rPr>
        <w:t xml:space="preserve">at Docket M-2014-2404341 </w:t>
      </w:r>
      <w:r>
        <w:rPr>
          <w:rFonts w:eastAsiaTheme="minorHAnsi"/>
        </w:rPr>
        <w:t>requesting that the Commission initiate a</w:t>
      </w:r>
      <w:r w:rsidR="00676EA9">
        <w:rPr>
          <w:rFonts w:eastAsiaTheme="minorHAnsi"/>
        </w:rPr>
        <w:t>n</w:t>
      </w:r>
      <w:r>
        <w:rPr>
          <w:rFonts w:eastAsiaTheme="minorHAnsi"/>
        </w:rPr>
        <w:t xml:space="preserve"> </w:t>
      </w:r>
      <w:r w:rsidR="00676EA9">
        <w:rPr>
          <w:rFonts w:eastAsiaTheme="minorHAnsi"/>
        </w:rPr>
        <w:t>investigation into whether the Commission should order a capable public utility to take over DSC wastewater system pursuant to 66 Pa. C.S. § 529</w:t>
      </w:r>
      <w:r w:rsidR="00213CF0">
        <w:rPr>
          <w:rFonts w:eastAsiaTheme="minorHAnsi"/>
        </w:rPr>
        <w:t xml:space="preserve"> (Section 529 Petition)</w:t>
      </w:r>
      <w:r w:rsidR="00676EA9">
        <w:rPr>
          <w:rFonts w:eastAsiaTheme="minorHAnsi"/>
        </w:rPr>
        <w:t xml:space="preserve">.  </w:t>
      </w:r>
      <w:r w:rsidR="00B61F22" w:rsidRPr="003A1297">
        <w:rPr>
          <w:rFonts w:eastAsiaTheme="minorHAnsi"/>
        </w:rPr>
        <w:t xml:space="preserve">We note that Reply Briefs in that proceeding were </w:t>
      </w:r>
      <w:r w:rsidR="003A1297" w:rsidRPr="003A1297">
        <w:rPr>
          <w:rFonts w:eastAsiaTheme="minorHAnsi"/>
        </w:rPr>
        <w:t xml:space="preserve">filed on </w:t>
      </w:r>
      <w:r w:rsidR="00B61F22" w:rsidRPr="003A1297">
        <w:rPr>
          <w:rFonts w:eastAsiaTheme="minorHAnsi"/>
        </w:rPr>
        <w:t xml:space="preserve">June 22, 2015. </w:t>
      </w:r>
    </w:p>
    <w:p w:rsidR="00B61F22" w:rsidRDefault="00B61F22" w:rsidP="00B61F22">
      <w:pPr>
        <w:rPr>
          <w:rFonts w:eastAsiaTheme="minorHAnsi"/>
        </w:rPr>
      </w:pPr>
    </w:p>
    <w:p w:rsidR="006C279D" w:rsidRDefault="006C279D" w:rsidP="006E778D">
      <w:pPr>
        <w:pStyle w:val="Heading1"/>
        <w:ind w:hanging="720"/>
        <w:rPr>
          <w:rFonts w:eastAsiaTheme="minorHAnsi"/>
        </w:rPr>
      </w:pPr>
      <w:bookmarkStart w:id="1" w:name="_Toc425179764"/>
      <w:r>
        <w:rPr>
          <w:rFonts w:eastAsiaTheme="minorHAnsi"/>
        </w:rPr>
        <w:t>History of the Proceeding</w:t>
      </w:r>
      <w:bookmarkEnd w:id="1"/>
    </w:p>
    <w:p w:rsidR="006C279D" w:rsidRDefault="006C279D" w:rsidP="009A4524">
      <w:pPr>
        <w:rPr>
          <w:rFonts w:eastAsiaTheme="minorHAnsi"/>
        </w:rPr>
      </w:pPr>
    </w:p>
    <w:p w:rsidR="0046396F" w:rsidRDefault="0046396F" w:rsidP="00021426">
      <w:r w:rsidRPr="00473236">
        <w:t>On November 7, 2014,</w:t>
      </w:r>
      <w:r>
        <w:t xml:space="preserve"> the Company filed its Supplement No. 1 to Tariff Sewer – Pa. P.U.C. No. 1 to become effective on January 7, 2015</w:t>
      </w:r>
      <w:r w:rsidR="00ED50AA">
        <w:t xml:space="preserve"> (Proposed Tariff)</w:t>
      </w:r>
      <w:r>
        <w:t xml:space="preserve">.  The Company, through the use of an operating ratio, requested </w:t>
      </w:r>
      <w:r w:rsidR="00C44020">
        <w:t>a</w:t>
      </w:r>
      <w:r>
        <w:t xml:space="preserve">n increase in annual revenue of $67,663, or 285% over </w:t>
      </w:r>
      <w:r w:rsidRPr="0046396F">
        <w:rPr>
          <w:i/>
        </w:rPr>
        <w:t>pro forma</w:t>
      </w:r>
      <w:r>
        <w:t xml:space="preserve"> revenues for the future test year ending August </w:t>
      </w:r>
      <w:r w:rsidR="000961C2">
        <w:t>3</w:t>
      </w:r>
      <w:r>
        <w:t xml:space="preserve">1, </w:t>
      </w:r>
      <w:r>
        <w:lastRenderedPageBreak/>
        <w:t xml:space="preserve">2015.  </w:t>
      </w:r>
      <w:r w:rsidR="0025085A">
        <w:t xml:space="preserve">DSC Exh.1 at A-4.  </w:t>
      </w:r>
      <w:r>
        <w:t xml:space="preserve">Under the proposed rates, the current flat monthly fee of $52 would increase to $200 per month.  </w:t>
      </w:r>
      <w:r w:rsidR="00B95091" w:rsidRPr="00B95091">
        <w:rPr>
          <w:i/>
        </w:rPr>
        <w:t>Id</w:t>
      </w:r>
      <w:r w:rsidR="00B95091">
        <w:t>. at G-1</w:t>
      </w:r>
      <w:r>
        <w:t xml:space="preserve">.  </w:t>
      </w:r>
    </w:p>
    <w:p w:rsidR="0046396F" w:rsidRDefault="0046396F" w:rsidP="00021426"/>
    <w:p w:rsidR="0046396F" w:rsidRDefault="0046396F" w:rsidP="00021426">
      <w:r>
        <w:t>On November 21, 2014, the OCA filed a Formal Complaint at Docket No. C-2014-245475</w:t>
      </w:r>
      <w:r w:rsidR="00B95091">
        <w:t>1 and a Public Statement</w:t>
      </w:r>
      <w:r>
        <w:t>.</w:t>
      </w:r>
    </w:p>
    <w:p w:rsidR="0046396F" w:rsidRDefault="0046396F" w:rsidP="00021426"/>
    <w:p w:rsidR="0046396F" w:rsidRDefault="00C11250" w:rsidP="00021426">
      <w:r>
        <w:t xml:space="preserve">Between </w:t>
      </w:r>
      <w:r w:rsidR="0046396F">
        <w:t>December 4, 2014</w:t>
      </w:r>
      <w:r w:rsidR="009244A4">
        <w:t>,</w:t>
      </w:r>
      <w:r w:rsidR="00B95091">
        <w:t xml:space="preserve"> and January 7</w:t>
      </w:r>
      <w:r w:rsidR="0046396F">
        <w:t>,</w:t>
      </w:r>
      <w:r w:rsidR="00B95091">
        <w:t xml:space="preserve"> 2015</w:t>
      </w:r>
      <w:r w:rsidR="00021426">
        <w:t>,</w:t>
      </w:r>
      <w:r w:rsidR="00B95091">
        <w:t xml:space="preserve"> </w:t>
      </w:r>
      <w:r w:rsidR="00021426">
        <w:t xml:space="preserve">the following </w:t>
      </w:r>
      <w:r w:rsidR="00B95091">
        <w:t xml:space="preserve">fourteen </w:t>
      </w:r>
      <w:r w:rsidR="00021426">
        <w:t>Formal Complaints were filed by DSC</w:t>
      </w:r>
      <w:r w:rsidR="002061B0">
        <w:t>’</w:t>
      </w:r>
      <w:r w:rsidR="00021426">
        <w:t>s</w:t>
      </w:r>
      <w:r w:rsidR="002061B0">
        <w:t>’</w:t>
      </w:r>
      <w:r w:rsidR="00021426">
        <w:t xml:space="preserve"> </w:t>
      </w:r>
      <w:r w:rsidR="00B95091">
        <w:t>customers</w:t>
      </w:r>
      <w:r w:rsidR="00021426">
        <w:t>:</w:t>
      </w:r>
      <w:r w:rsidR="00B95091">
        <w:t xml:space="preserve"> </w:t>
      </w:r>
      <w:r w:rsidR="0046396F">
        <w:t xml:space="preserve"> Debra </w:t>
      </w:r>
      <w:proofErr w:type="spellStart"/>
      <w:r w:rsidR="0046396F">
        <w:t>Michell</w:t>
      </w:r>
      <w:proofErr w:type="spellEnd"/>
      <w:r w:rsidR="0046396F">
        <w:t xml:space="preserve"> at Docket No. C</w:t>
      </w:r>
      <w:r w:rsidR="0046396F">
        <w:noBreakHyphen/>
        <w:t>2014-2457964</w:t>
      </w:r>
      <w:r w:rsidR="00D95BBE">
        <w:t>;</w:t>
      </w:r>
      <w:r w:rsidR="0046396F">
        <w:t xml:space="preserve"> Elizabeth Triplett </w:t>
      </w:r>
      <w:r w:rsidR="00B95091">
        <w:t>at Docket No.</w:t>
      </w:r>
      <w:r w:rsidR="00BD63A8">
        <w:t xml:space="preserve"> C</w:t>
      </w:r>
      <w:r w:rsidR="0046396F">
        <w:t>-2014-2457983</w:t>
      </w:r>
      <w:r w:rsidR="00D95BBE">
        <w:t>;</w:t>
      </w:r>
      <w:r w:rsidR="0046396F">
        <w:t xml:space="preserve"> Frank Gorman at Docket No. C</w:t>
      </w:r>
      <w:r w:rsidR="0046396F">
        <w:noBreakHyphen/>
        <w:t>2014-2457976</w:t>
      </w:r>
      <w:r w:rsidR="00D95BBE">
        <w:t>;</w:t>
      </w:r>
      <w:r w:rsidR="0046396F">
        <w:t xml:space="preserve"> Svetlana </w:t>
      </w:r>
      <w:proofErr w:type="spellStart"/>
      <w:r w:rsidR="0046396F">
        <w:t>Perminova</w:t>
      </w:r>
      <w:proofErr w:type="spellEnd"/>
      <w:r w:rsidR="0046396F">
        <w:t xml:space="preserve"> and Viktor </w:t>
      </w:r>
      <w:proofErr w:type="spellStart"/>
      <w:r w:rsidR="0046396F">
        <w:t>Ushenko</w:t>
      </w:r>
      <w:proofErr w:type="spellEnd"/>
      <w:r w:rsidR="0046396F">
        <w:t xml:space="preserve"> at Docket No. C</w:t>
      </w:r>
      <w:r w:rsidR="00BD63A8">
        <w:noBreakHyphen/>
      </w:r>
      <w:r w:rsidR="0046396F">
        <w:t>2014-2458029</w:t>
      </w:r>
      <w:r w:rsidR="00D95BBE">
        <w:t>;</w:t>
      </w:r>
      <w:r w:rsidR="0046396F">
        <w:t xml:space="preserve"> Robert </w:t>
      </w:r>
      <w:proofErr w:type="spellStart"/>
      <w:r w:rsidR="0046396F">
        <w:t>Autore</w:t>
      </w:r>
      <w:proofErr w:type="spellEnd"/>
      <w:r w:rsidR="0046396F">
        <w:t xml:space="preserve"> at Docket No. C-2014-2457963</w:t>
      </w:r>
      <w:r w:rsidR="00D95BBE">
        <w:t>;</w:t>
      </w:r>
      <w:r w:rsidR="0046396F">
        <w:t xml:space="preserve"> Grace Doll at Docket No. C</w:t>
      </w:r>
      <w:r w:rsidR="0046396F">
        <w:noBreakHyphen/>
        <w:t>2014-2458745</w:t>
      </w:r>
      <w:r w:rsidR="00D95BBE">
        <w:t>;</w:t>
      </w:r>
      <w:r w:rsidR="0046396F">
        <w:t xml:space="preserve"> James and Michelle Conklin at Docket No. C-2014-2458122</w:t>
      </w:r>
      <w:r w:rsidR="00D95BBE">
        <w:t>;</w:t>
      </w:r>
      <w:r w:rsidR="0046396F">
        <w:t xml:space="preserve"> Robert </w:t>
      </w:r>
      <w:proofErr w:type="spellStart"/>
      <w:r w:rsidR="0046396F">
        <w:t>Klayn</w:t>
      </w:r>
      <w:proofErr w:type="spellEnd"/>
      <w:r w:rsidR="0046396F">
        <w:t xml:space="preserve"> at Docket No. C</w:t>
      </w:r>
      <w:r w:rsidR="0046396F">
        <w:noBreakHyphen/>
        <w:t>2014-2458135</w:t>
      </w:r>
      <w:r w:rsidR="00D95BBE">
        <w:t>;</w:t>
      </w:r>
      <w:r w:rsidR="0046396F">
        <w:t xml:space="preserve"> George </w:t>
      </w:r>
      <w:proofErr w:type="spellStart"/>
      <w:r w:rsidR="0046396F">
        <w:t>McGettigan</w:t>
      </w:r>
      <w:proofErr w:type="spellEnd"/>
      <w:r w:rsidR="0046396F">
        <w:t xml:space="preserve"> at Docket No. C</w:t>
      </w:r>
      <w:r w:rsidR="00905BD3">
        <w:noBreakHyphen/>
      </w:r>
      <w:r w:rsidR="0046396F">
        <w:t>2014-2458330</w:t>
      </w:r>
      <w:r w:rsidR="00D95BBE">
        <w:t>;</w:t>
      </w:r>
      <w:r w:rsidR="0046396F">
        <w:t xml:space="preserve"> Janet </w:t>
      </w:r>
      <w:proofErr w:type="spellStart"/>
      <w:r w:rsidR="0046396F">
        <w:t>McGettigan</w:t>
      </w:r>
      <w:proofErr w:type="spellEnd"/>
      <w:r w:rsidR="0046396F">
        <w:t xml:space="preserve"> at Docket No. C-2014-2458782</w:t>
      </w:r>
      <w:r w:rsidR="00D95BBE">
        <w:t>;</w:t>
      </w:r>
      <w:r w:rsidR="0046396F">
        <w:t xml:space="preserve"> Edward </w:t>
      </w:r>
      <w:proofErr w:type="spellStart"/>
      <w:r w:rsidR="0046396F">
        <w:t>Cantamessa</w:t>
      </w:r>
      <w:proofErr w:type="spellEnd"/>
      <w:r w:rsidR="0046396F">
        <w:t xml:space="preserve"> at Docket No. C-2014-2459896</w:t>
      </w:r>
      <w:r w:rsidR="00D95BBE">
        <w:t>;</w:t>
      </w:r>
      <w:r w:rsidR="0046396F">
        <w:t xml:space="preserve"> Mary Ellen Templin at Docket No. C-2014-2460141</w:t>
      </w:r>
      <w:r w:rsidR="00D95BBE">
        <w:t>;</w:t>
      </w:r>
      <w:r w:rsidR="0046396F">
        <w:t xml:space="preserve"> Edward O</w:t>
      </w:r>
      <w:r w:rsidR="002061B0">
        <w:t>’</w:t>
      </w:r>
      <w:r w:rsidR="0046396F">
        <w:t>Connor at Docket No. C-2014-2460166</w:t>
      </w:r>
      <w:r w:rsidR="00D95BBE">
        <w:t>;</w:t>
      </w:r>
      <w:r w:rsidR="0046396F">
        <w:t xml:space="preserve"> Cindy Luke </w:t>
      </w:r>
      <w:r w:rsidR="00021426">
        <w:t xml:space="preserve">at </w:t>
      </w:r>
      <w:r w:rsidR="003A1297">
        <w:t xml:space="preserve">Docket No. </w:t>
      </w:r>
      <w:r w:rsidR="00021426">
        <w:t>C-201</w:t>
      </w:r>
      <w:r w:rsidR="00E93408">
        <w:t>5</w:t>
      </w:r>
      <w:r w:rsidR="00021426">
        <w:t>-2460601</w:t>
      </w:r>
      <w:r w:rsidR="00D95BBE">
        <w:t>;</w:t>
      </w:r>
      <w:r w:rsidR="00021426">
        <w:t xml:space="preserve"> </w:t>
      </w:r>
      <w:r w:rsidR="0046396F">
        <w:t xml:space="preserve">Robert </w:t>
      </w:r>
      <w:proofErr w:type="spellStart"/>
      <w:r w:rsidR="0046396F">
        <w:t>Bajkowski</w:t>
      </w:r>
      <w:proofErr w:type="spellEnd"/>
      <w:r w:rsidR="0046396F">
        <w:t xml:space="preserve"> at Docket No. C-201</w:t>
      </w:r>
      <w:r w:rsidR="00E93408">
        <w:t>5</w:t>
      </w:r>
      <w:r w:rsidR="0046396F">
        <w:t>-2460601</w:t>
      </w:r>
      <w:r w:rsidR="00D95BBE">
        <w:t>;</w:t>
      </w:r>
      <w:r w:rsidR="0046396F">
        <w:t xml:space="preserve"> Emma Dolan at Docket No. C</w:t>
      </w:r>
      <w:r w:rsidR="0046396F">
        <w:noBreakHyphen/>
        <w:t>2014-2460197</w:t>
      </w:r>
      <w:r w:rsidR="00D95BBE">
        <w:t>,</w:t>
      </w:r>
      <w:r w:rsidR="0046396F">
        <w:t xml:space="preserve"> </w:t>
      </w:r>
      <w:r w:rsidR="00021426">
        <w:t xml:space="preserve">and </w:t>
      </w:r>
      <w:r w:rsidR="0046396F">
        <w:t xml:space="preserve">Anthony and Sandra </w:t>
      </w:r>
      <w:proofErr w:type="spellStart"/>
      <w:r w:rsidR="0046396F">
        <w:t>Barlotta</w:t>
      </w:r>
      <w:proofErr w:type="spellEnd"/>
      <w:r w:rsidR="0046396F">
        <w:t xml:space="preserve"> at Docket No. C-2015-2461561</w:t>
      </w:r>
      <w:r w:rsidR="007D6728">
        <w:t>.</w:t>
      </w:r>
    </w:p>
    <w:p w:rsidR="00ED50AA" w:rsidRDefault="00ED50AA" w:rsidP="00021426"/>
    <w:p w:rsidR="00ED50AA" w:rsidRDefault="00ED50AA" w:rsidP="00ED50AA">
      <w:r>
        <w:t xml:space="preserve">On December 11, 2014, </w:t>
      </w:r>
      <w:r w:rsidR="009244A4">
        <w:t>I&amp;E filed a Notice of Appearance</w:t>
      </w:r>
      <w:r w:rsidR="003A1297">
        <w:t>.</w:t>
      </w:r>
    </w:p>
    <w:p w:rsidR="00ED50AA" w:rsidRDefault="00ED50AA" w:rsidP="00ED50AA"/>
    <w:p w:rsidR="0046396F" w:rsidRDefault="0046396F" w:rsidP="00021426">
      <w:r>
        <w:t xml:space="preserve">On December 18, 2014, the Commission entered an Order instituting an investigation to determine the lawfulness, justness, and reasonableness of the rates, rules and regulations contained in </w:t>
      </w:r>
      <w:r w:rsidR="00ED50AA">
        <w:t>the Proposed Tariff.</w:t>
      </w:r>
      <w:r>
        <w:t xml:space="preserve">  That </w:t>
      </w:r>
      <w:r w:rsidR="00ED50AA">
        <w:t>O</w:t>
      </w:r>
      <w:r>
        <w:t xml:space="preserve">rder suspended the </w:t>
      </w:r>
      <w:r w:rsidR="00ED50AA">
        <w:t xml:space="preserve">Proposed </w:t>
      </w:r>
      <w:r>
        <w:t>Tariff by operation of law until August 7, 2015.</w:t>
      </w:r>
    </w:p>
    <w:p w:rsidR="00ED50AA" w:rsidRDefault="00ED50AA" w:rsidP="00021426"/>
    <w:p w:rsidR="00ED50AA" w:rsidRPr="00ED50AA" w:rsidRDefault="00ED50AA" w:rsidP="00ED50AA">
      <w:pPr>
        <w:rPr>
          <w:szCs w:val="26"/>
        </w:rPr>
      </w:pPr>
      <w:r w:rsidRPr="00ED50AA">
        <w:rPr>
          <w:szCs w:val="26"/>
        </w:rPr>
        <w:t xml:space="preserve">On February 26, 2015, a public input hearing was conducted at the Delaware Township Building.  DSC, </w:t>
      </w:r>
      <w:r w:rsidR="00D22EB4">
        <w:rPr>
          <w:szCs w:val="26"/>
        </w:rPr>
        <w:t xml:space="preserve">I&amp;E, and the </w:t>
      </w:r>
      <w:r w:rsidRPr="00ED50AA">
        <w:rPr>
          <w:szCs w:val="26"/>
        </w:rPr>
        <w:t>OCA</w:t>
      </w:r>
      <w:r w:rsidR="00D22EB4">
        <w:rPr>
          <w:szCs w:val="26"/>
        </w:rPr>
        <w:t xml:space="preserve"> </w:t>
      </w:r>
      <w:r w:rsidRPr="00ED50AA">
        <w:rPr>
          <w:szCs w:val="26"/>
        </w:rPr>
        <w:t xml:space="preserve">were represented by counsel.  </w:t>
      </w:r>
      <w:r w:rsidRPr="00ED50AA">
        <w:rPr>
          <w:szCs w:val="26"/>
        </w:rPr>
        <w:lastRenderedPageBreak/>
        <w:t>The following Formal Complainants gave sworn or affirmed testimony:  Edward O</w:t>
      </w:r>
      <w:r w:rsidR="002061B0">
        <w:rPr>
          <w:szCs w:val="26"/>
        </w:rPr>
        <w:t>’</w:t>
      </w:r>
      <w:r w:rsidRPr="00ED50AA">
        <w:rPr>
          <w:szCs w:val="26"/>
        </w:rPr>
        <w:t>Connor</w:t>
      </w:r>
      <w:r w:rsidR="00905BD3">
        <w:rPr>
          <w:szCs w:val="26"/>
        </w:rPr>
        <w:t>,</w:t>
      </w:r>
      <w:r w:rsidRPr="00ED50AA">
        <w:rPr>
          <w:szCs w:val="26"/>
        </w:rPr>
        <w:t xml:space="preserve"> Mary Ellen Templin</w:t>
      </w:r>
      <w:r w:rsidR="00905BD3">
        <w:rPr>
          <w:szCs w:val="26"/>
        </w:rPr>
        <w:t>,</w:t>
      </w:r>
      <w:r w:rsidRPr="00ED50AA">
        <w:rPr>
          <w:szCs w:val="26"/>
        </w:rPr>
        <w:t xml:space="preserve"> Debra </w:t>
      </w:r>
      <w:proofErr w:type="spellStart"/>
      <w:r w:rsidRPr="00ED50AA">
        <w:rPr>
          <w:szCs w:val="26"/>
        </w:rPr>
        <w:t>Michell</w:t>
      </w:r>
      <w:proofErr w:type="spellEnd"/>
      <w:r w:rsidR="00905BD3">
        <w:rPr>
          <w:szCs w:val="26"/>
        </w:rPr>
        <w:t>,</w:t>
      </w:r>
      <w:r w:rsidRPr="00ED50AA">
        <w:rPr>
          <w:szCs w:val="26"/>
        </w:rPr>
        <w:t xml:space="preserve"> Emma Dolan</w:t>
      </w:r>
      <w:r w:rsidR="00905BD3">
        <w:rPr>
          <w:szCs w:val="26"/>
        </w:rPr>
        <w:t>,</w:t>
      </w:r>
      <w:r w:rsidRPr="00ED50AA">
        <w:rPr>
          <w:szCs w:val="26"/>
        </w:rPr>
        <w:t xml:space="preserve"> and Robert </w:t>
      </w:r>
      <w:proofErr w:type="spellStart"/>
      <w:r w:rsidRPr="00ED50AA">
        <w:rPr>
          <w:szCs w:val="26"/>
        </w:rPr>
        <w:t>Bajkowski</w:t>
      </w:r>
      <w:proofErr w:type="spellEnd"/>
      <w:r w:rsidRPr="00ED50AA">
        <w:rPr>
          <w:szCs w:val="26"/>
        </w:rPr>
        <w:t xml:space="preserve">.  </w:t>
      </w:r>
    </w:p>
    <w:p w:rsidR="00ED50AA" w:rsidRDefault="00ED50AA" w:rsidP="00021426"/>
    <w:p w:rsidR="00D137B2" w:rsidRPr="00D22EB4" w:rsidRDefault="006E778D" w:rsidP="00732FEB">
      <w:pPr>
        <w:rPr>
          <w:szCs w:val="26"/>
        </w:rPr>
      </w:pPr>
      <w:r w:rsidRPr="00D22EB4">
        <w:rPr>
          <w:szCs w:val="26"/>
        </w:rPr>
        <w:t xml:space="preserve">An evidentiary hearing was held on April 2, 2015, in Scranton where all </w:t>
      </w:r>
      <w:proofErr w:type="spellStart"/>
      <w:r w:rsidRPr="00D22EB4">
        <w:rPr>
          <w:szCs w:val="26"/>
        </w:rPr>
        <w:t>prefiled</w:t>
      </w:r>
      <w:proofErr w:type="spellEnd"/>
      <w:r w:rsidRPr="00D22EB4">
        <w:rPr>
          <w:szCs w:val="26"/>
        </w:rPr>
        <w:t xml:space="preserve"> testimony was entered into the record and cross-examination was conducted of all witnesses.   </w:t>
      </w:r>
    </w:p>
    <w:p w:rsidR="006E778D" w:rsidRPr="00D22EB4" w:rsidRDefault="006E778D" w:rsidP="00732FEB">
      <w:pPr>
        <w:rPr>
          <w:szCs w:val="26"/>
        </w:rPr>
      </w:pPr>
    </w:p>
    <w:p w:rsidR="006E778D" w:rsidRDefault="006E778D" w:rsidP="006E778D">
      <w:pPr>
        <w:contextualSpacing/>
        <w:rPr>
          <w:szCs w:val="26"/>
        </w:rPr>
      </w:pPr>
      <w:r w:rsidRPr="00D22EB4">
        <w:rPr>
          <w:szCs w:val="26"/>
        </w:rPr>
        <w:t xml:space="preserve">The Company, I&amp;E, and the OCA filed Main Briefs on April 24, 2015, and Reply </w:t>
      </w:r>
      <w:r w:rsidR="00D22EB4" w:rsidRPr="00D22EB4">
        <w:rPr>
          <w:szCs w:val="26"/>
        </w:rPr>
        <w:t>B</w:t>
      </w:r>
      <w:r w:rsidRPr="00D22EB4">
        <w:rPr>
          <w:szCs w:val="26"/>
        </w:rPr>
        <w:t>riefs on May 5, 2015.  The record closed on May 5, 2015</w:t>
      </w:r>
      <w:r w:rsidR="00D22EB4" w:rsidRPr="00D22EB4">
        <w:rPr>
          <w:szCs w:val="26"/>
        </w:rPr>
        <w:t xml:space="preserve">, with receipt of </w:t>
      </w:r>
      <w:r w:rsidR="003A1297">
        <w:rPr>
          <w:szCs w:val="26"/>
        </w:rPr>
        <w:t xml:space="preserve">the </w:t>
      </w:r>
      <w:r w:rsidR="00D22EB4" w:rsidRPr="00D22EB4">
        <w:rPr>
          <w:szCs w:val="26"/>
        </w:rPr>
        <w:t>Reply B</w:t>
      </w:r>
      <w:r w:rsidRPr="00D22EB4">
        <w:rPr>
          <w:szCs w:val="26"/>
        </w:rPr>
        <w:t>riefs.</w:t>
      </w:r>
    </w:p>
    <w:p w:rsidR="00212666" w:rsidRDefault="00212666" w:rsidP="006E778D">
      <w:pPr>
        <w:contextualSpacing/>
        <w:rPr>
          <w:szCs w:val="26"/>
        </w:rPr>
      </w:pPr>
    </w:p>
    <w:p w:rsidR="00212666" w:rsidRPr="00D22EB4" w:rsidRDefault="00212666" w:rsidP="006E778D">
      <w:pPr>
        <w:contextualSpacing/>
        <w:rPr>
          <w:szCs w:val="26"/>
        </w:rPr>
      </w:pPr>
      <w:r>
        <w:rPr>
          <w:szCs w:val="26"/>
        </w:rPr>
        <w:t xml:space="preserve">As </w:t>
      </w:r>
      <w:r w:rsidR="00F01AFD">
        <w:rPr>
          <w:szCs w:val="26"/>
        </w:rPr>
        <w:t>previously stated</w:t>
      </w:r>
      <w:r>
        <w:rPr>
          <w:szCs w:val="26"/>
        </w:rPr>
        <w:t>, on May 27, 2015, the Commission issued the Recommended Decision of ALJ</w:t>
      </w:r>
      <w:r w:rsidR="00D95BBE">
        <w:rPr>
          <w:szCs w:val="26"/>
        </w:rPr>
        <w:t xml:space="preserve"> </w:t>
      </w:r>
      <w:proofErr w:type="spellStart"/>
      <w:r>
        <w:rPr>
          <w:szCs w:val="26"/>
        </w:rPr>
        <w:t>Jandebeur</w:t>
      </w:r>
      <w:proofErr w:type="spellEnd"/>
      <w:r>
        <w:rPr>
          <w:szCs w:val="26"/>
        </w:rPr>
        <w:t xml:space="preserve">.  </w:t>
      </w:r>
      <w:r w:rsidR="003A1297">
        <w:rPr>
          <w:szCs w:val="26"/>
        </w:rPr>
        <w:t xml:space="preserve">DSC </w:t>
      </w:r>
      <w:r w:rsidR="006A077A">
        <w:rPr>
          <w:szCs w:val="26"/>
        </w:rPr>
        <w:t xml:space="preserve">and </w:t>
      </w:r>
      <w:r>
        <w:rPr>
          <w:szCs w:val="26"/>
        </w:rPr>
        <w:t xml:space="preserve">the OCA filed Exceptions to the </w:t>
      </w:r>
      <w:r w:rsidR="00C44020">
        <w:rPr>
          <w:szCs w:val="26"/>
        </w:rPr>
        <w:t>R</w:t>
      </w:r>
      <w:r>
        <w:rPr>
          <w:szCs w:val="26"/>
        </w:rPr>
        <w:t>ecommended Decision on June 16, 2015</w:t>
      </w:r>
      <w:r w:rsidR="003A1297">
        <w:rPr>
          <w:szCs w:val="26"/>
        </w:rPr>
        <w:t xml:space="preserve">. </w:t>
      </w:r>
      <w:r>
        <w:rPr>
          <w:szCs w:val="26"/>
        </w:rPr>
        <w:t xml:space="preserve"> </w:t>
      </w:r>
      <w:r w:rsidRPr="003A1297">
        <w:rPr>
          <w:szCs w:val="26"/>
        </w:rPr>
        <w:t>Repl</w:t>
      </w:r>
      <w:r w:rsidR="007A43E1">
        <w:rPr>
          <w:szCs w:val="26"/>
        </w:rPr>
        <w:t xml:space="preserve">ies to </w:t>
      </w:r>
      <w:r w:rsidRPr="003A1297">
        <w:rPr>
          <w:szCs w:val="26"/>
        </w:rPr>
        <w:t xml:space="preserve">Exceptions </w:t>
      </w:r>
      <w:r w:rsidR="007A43E1">
        <w:rPr>
          <w:szCs w:val="26"/>
        </w:rPr>
        <w:t>were filed by DSC, I&amp;E</w:t>
      </w:r>
      <w:r w:rsidR="00F01AFD">
        <w:rPr>
          <w:szCs w:val="26"/>
        </w:rPr>
        <w:t>,</w:t>
      </w:r>
      <w:r w:rsidR="007A43E1">
        <w:rPr>
          <w:szCs w:val="26"/>
        </w:rPr>
        <w:t xml:space="preserve"> and the OCA </w:t>
      </w:r>
      <w:r>
        <w:rPr>
          <w:szCs w:val="26"/>
        </w:rPr>
        <w:t xml:space="preserve">on </w:t>
      </w:r>
      <w:r w:rsidR="003A1297">
        <w:rPr>
          <w:szCs w:val="26"/>
        </w:rPr>
        <w:t xml:space="preserve">June 26, 2015. </w:t>
      </w:r>
    </w:p>
    <w:p w:rsidR="006E778D" w:rsidRPr="00D22EB4" w:rsidRDefault="006E778D" w:rsidP="00732FEB">
      <w:pPr>
        <w:rPr>
          <w:szCs w:val="26"/>
        </w:rPr>
      </w:pPr>
    </w:p>
    <w:p w:rsidR="003B56C1" w:rsidRPr="003B56C1" w:rsidRDefault="003B56C1" w:rsidP="00B600A7">
      <w:pPr>
        <w:pStyle w:val="Heading1"/>
        <w:ind w:hanging="720"/>
        <w:rPr>
          <w:color w:val="FF0000"/>
        </w:rPr>
      </w:pPr>
      <w:bookmarkStart w:id="2" w:name="_Toc425179765"/>
      <w:r w:rsidRPr="005E7AAF">
        <w:t>Discussion</w:t>
      </w:r>
      <w:bookmarkEnd w:id="2"/>
    </w:p>
    <w:p w:rsidR="003B56C1" w:rsidRPr="003B56C1" w:rsidRDefault="005E7AAF" w:rsidP="003712E4">
      <w:r>
        <w:tab/>
      </w:r>
    </w:p>
    <w:p w:rsidR="000070F9" w:rsidRDefault="000070F9" w:rsidP="003305E0">
      <w:pPr>
        <w:pStyle w:val="Heading2"/>
        <w:keepLines w:val="0"/>
        <w:numPr>
          <w:ilvl w:val="0"/>
          <w:numId w:val="21"/>
        </w:numPr>
        <w:ind w:left="720" w:hanging="720"/>
      </w:pPr>
      <w:bookmarkStart w:id="3" w:name="_Toc425179766"/>
      <w:r w:rsidRPr="005E7AAF">
        <w:t>L</w:t>
      </w:r>
      <w:r>
        <w:t>egal Standards</w:t>
      </w:r>
      <w:bookmarkEnd w:id="3"/>
    </w:p>
    <w:p w:rsidR="000070F9" w:rsidRDefault="000070F9" w:rsidP="00301DD2">
      <w:pPr>
        <w:keepNext/>
      </w:pPr>
    </w:p>
    <w:p w:rsidR="003A438D" w:rsidRDefault="00F01AFD" w:rsidP="00301DD2">
      <w:pPr>
        <w:keepNext/>
        <w:rPr>
          <w:rFonts w:eastAsiaTheme="minorHAnsi"/>
          <w:iCs/>
        </w:rPr>
      </w:pPr>
      <w:r>
        <w:rPr>
          <w:rFonts w:eastAsiaTheme="minorHAnsi"/>
          <w:iCs/>
        </w:rPr>
        <w:t xml:space="preserve">The Public Utility Code (Code) places the burden of proof in this proceeding on </w:t>
      </w:r>
      <w:r w:rsidR="00212666">
        <w:rPr>
          <w:rFonts w:eastAsiaTheme="minorHAnsi"/>
          <w:iCs/>
        </w:rPr>
        <w:t>DSC</w:t>
      </w:r>
      <w:r w:rsidR="003A438D" w:rsidRPr="003A438D">
        <w:rPr>
          <w:rFonts w:eastAsiaTheme="minorHAnsi"/>
          <w:iCs/>
        </w:rPr>
        <w:t>.</w:t>
      </w:r>
    </w:p>
    <w:p w:rsidR="00CD476F" w:rsidRDefault="00CD476F" w:rsidP="00301DD2">
      <w:pPr>
        <w:keepNext/>
        <w:rPr>
          <w:rFonts w:eastAsiaTheme="minorHAnsi"/>
          <w:iCs/>
        </w:rPr>
      </w:pPr>
    </w:p>
    <w:p w:rsidR="0083456E" w:rsidRDefault="00CD476F" w:rsidP="00CD476F">
      <w:pPr>
        <w:rPr>
          <w:rFonts w:eastAsiaTheme="minorHAnsi"/>
          <w:snapToGrid w:val="0"/>
        </w:rPr>
      </w:pPr>
      <w:r w:rsidRPr="005E7AAF">
        <w:rPr>
          <w:szCs w:val="26"/>
        </w:rPr>
        <w:t xml:space="preserve">Public utility rates are required to be just and reasonable by </w:t>
      </w:r>
      <w:r w:rsidR="00DA676E" w:rsidRPr="005E7AAF">
        <w:rPr>
          <w:szCs w:val="26"/>
        </w:rPr>
        <w:t xml:space="preserve">virtue of </w:t>
      </w:r>
      <w:hyperlink r:id="rId10" w:history="1">
        <w:r w:rsidRPr="005E7AAF">
          <w:rPr>
            <w:rStyle w:val="Hyperlink"/>
            <w:color w:val="auto"/>
            <w:szCs w:val="26"/>
          </w:rPr>
          <w:t>Section 1301</w:t>
        </w:r>
      </w:hyperlink>
      <w:r w:rsidRPr="005E7AAF">
        <w:rPr>
          <w:szCs w:val="26"/>
        </w:rPr>
        <w:t xml:space="preserve"> of the </w:t>
      </w:r>
      <w:r w:rsidR="007B6BF7">
        <w:rPr>
          <w:szCs w:val="26"/>
        </w:rPr>
        <w:t>Code</w:t>
      </w:r>
      <w:r w:rsidRPr="005E7AAF">
        <w:rPr>
          <w:szCs w:val="26"/>
        </w:rPr>
        <w:t xml:space="preserve">, </w:t>
      </w:r>
      <w:hyperlink r:id="rId11" w:history="1">
        <w:r w:rsidRPr="005E7AAF">
          <w:rPr>
            <w:rStyle w:val="Hyperlink"/>
            <w:color w:val="auto"/>
            <w:szCs w:val="26"/>
          </w:rPr>
          <w:t>66 Pa. C. S. § 1301</w:t>
        </w:r>
      </w:hyperlink>
      <w:r w:rsidRPr="005E7AAF">
        <w:rPr>
          <w:szCs w:val="26"/>
        </w:rPr>
        <w:t xml:space="preserve">.  </w:t>
      </w:r>
      <w:r w:rsidR="00DA676E" w:rsidRPr="005E7AAF">
        <w:rPr>
          <w:szCs w:val="26"/>
        </w:rPr>
        <w:t xml:space="preserve">Typically in proceedings before the Commission, the public utility has the burden to establish the justness and reasonableness of every element of its rate increase in all proceedings conducted under Section 1308(d) of the Code, </w:t>
      </w:r>
      <w:hyperlink r:id="rId12" w:history="1">
        <w:r w:rsidR="00DA676E" w:rsidRPr="005E7AAF">
          <w:rPr>
            <w:rStyle w:val="Hyperlink"/>
            <w:color w:val="auto"/>
            <w:szCs w:val="26"/>
          </w:rPr>
          <w:t>66 Pa. C.S. § 1308(d)</w:t>
        </w:r>
      </w:hyperlink>
      <w:r w:rsidR="00DA676E" w:rsidRPr="005E7AAF">
        <w:rPr>
          <w:szCs w:val="26"/>
        </w:rPr>
        <w:t xml:space="preserve">.  Section 315(a) of the Code, </w:t>
      </w:r>
      <w:hyperlink r:id="rId13" w:history="1">
        <w:r w:rsidR="00DA676E" w:rsidRPr="005E7AAF">
          <w:rPr>
            <w:rStyle w:val="Hyperlink"/>
            <w:color w:val="auto"/>
            <w:szCs w:val="26"/>
          </w:rPr>
          <w:t>66 Pa. C.S. § 315(a)</w:t>
        </w:r>
      </w:hyperlink>
      <w:r w:rsidR="00DA676E" w:rsidRPr="005E7AAF">
        <w:rPr>
          <w:szCs w:val="26"/>
        </w:rPr>
        <w:t>, specifies that “[</w:t>
      </w:r>
      <w:proofErr w:type="spellStart"/>
      <w:r w:rsidR="00DA676E" w:rsidRPr="005E7AAF">
        <w:rPr>
          <w:szCs w:val="26"/>
        </w:rPr>
        <w:t>i</w:t>
      </w:r>
      <w:proofErr w:type="spellEnd"/>
      <w:r w:rsidR="00DA676E" w:rsidRPr="005E7AAF">
        <w:rPr>
          <w:szCs w:val="26"/>
        </w:rPr>
        <w:t xml:space="preserve">]n any proceeding upon the motion of the Commission, involving any </w:t>
      </w:r>
      <w:r w:rsidR="00DA676E" w:rsidRPr="005E7AAF">
        <w:rPr>
          <w:szCs w:val="26"/>
        </w:rPr>
        <w:lastRenderedPageBreak/>
        <w:t xml:space="preserve">proposed or existing rate of any public utility, or in any proceeding upon complaint involving any proposed increase in rates, the burden of proof to show that the rate involved is just and reasonable shall be upon the public utility.”  </w:t>
      </w:r>
      <w:r w:rsidR="00DA676E" w:rsidRPr="005E7AAF">
        <w:rPr>
          <w:i/>
          <w:szCs w:val="26"/>
        </w:rPr>
        <w:t>See Pa. PUC</w:t>
      </w:r>
      <w:r w:rsidR="00A2385A" w:rsidRPr="005E7AAF">
        <w:rPr>
          <w:i/>
          <w:szCs w:val="26"/>
        </w:rPr>
        <w:t>.</w:t>
      </w:r>
      <w:r w:rsidR="00DA676E" w:rsidRPr="005E7AAF">
        <w:rPr>
          <w:i/>
          <w:szCs w:val="26"/>
        </w:rPr>
        <w:t xml:space="preserve"> v. Columbia Gas of Pennsylvania</w:t>
      </w:r>
      <w:r w:rsidR="00A2385A" w:rsidRPr="005E7AAF">
        <w:rPr>
          <w:i/>
          <w:szCs w:val="26"/>
        </w:rPr>
        <w:t>, Inc.</w:t>
      </w:r>
      <w:r w:rsidR="00A2385A" w:rsidRPr="005E7AAF">
        <w:rPr>
          <w:szCs w:val="26"/>
        </w:rPr>
        <w:t>, Docket No</w:t>
      </w:r>
      <w:r w:rsidR="00F01AFD">
        <w:rPr>
          <w:szCs w:val="26"/>
        </w:rPr>
        <w:t>s</w:t>
      </w:r>
      <w:r w:rsidR="00A2385A" w:rsidRPr="005E7AAF">
        <w:rPr>
          <w:szCs w:val="26"/>
        </w:rPr>
        <w:t>. R-2010-2215623</w:t>
      </w:r>
      <w:r w:rsidR="00455800">
        <w:rPr>
          <w:szCs w:val="26"/>
        </w:rPr>
        <w:t xml:space="preserve"> </w:t>
      </w:r>
      <w:r w:rsidR="00A2385A" w:rsidRPr="005E7AAF">
        <w:rPr>
          <w:szCs w:val="26"/>
        </w:rPr>
        <w:t>(Order entered October 14, 2011)</w:t>
      </w:r>
      <w:r w:rsidR="0083456E">
        <w:rPr>
          <w:szCs w:val="26"/>
        </w:rPr>
        <w:t xml:space="preserve"> (</w:t>
      </w:r>
      <w:r w:rsidR="0083456E">
        <w:rPr>
          <w:i/>
          <w:szCs w:val="26"/>
        </w:rPr>
        <w:t>Columbia Gas</w:t>
      </w:r>
      <w:r w:rsidR="0083456E">
        <w:rPr>
          <w:szCs w:val="26"/>
        </w:rPr>
        <w:t>)</w:t>
      </w:r>
      <w:r w:rsidR="00A2385A" w:rsidRPr="005E7AAF">
        <w:rPr>
          <w:szCs w:val="26"/>
        </w:rPr>
        <w:t>.</w:t>
      </w:r>
      <w:r w:rsidR="0083456E">
        <w:rPr>
          <w:szCs w:val="26"/>
        </w:rPr>
        <w:t xml:space="preserve">  </w:t>
      </w:r>
      <w:r w:rsidR="0083456E">
        <w:rPr>
          <w:rFonts w:eastAsiaTheme="minorHAnsi"/>
          <w:snapToGrid w:val="0"/>
        </w:rPr>
        <w:t xml:space="preserve">In addition, </w:t>
      </w:r>
      <w:r w:rsidR="003A4198" w:rsidRPr="003A438D">
        <w:rPr>
          <w:rFonts w:eastAsiaTheme="minorHAnsi"/>
          <w:snapToGrid w:val="0"/>
        </w:rPr>
        <w:t>Section 332(a) of the</w:t>
      </w:r>
      <w:r w:rsidR="00455800">
        <w:rPr>
          <w:rFonts w:eastAsiaTheme="minorHAnsi"/>
          <w:snapToGrid w:val="0"/>
        </w:rPr>
        <w:t xml:space="preserve"> </w:t>
      </w:r>
      <w:r w:rsidR="003A4198" w:rsidRPr="003A438D">
        <w:rPr>
          <w:rFonts w:eastAsiaTheme="minorHAnsi"/>
          <w:snapToGrid w:val="0"/>
        </w:rPr>
        <w:t>Code, 66 Pa. C.S. §332</w:t>
      </w:r>
      <w:r w:rsidR="00866FC0">
        <w:rPr>
          <w:rFonts w:eastAsiaTheme="minorHAnsi"/>
          <w:snapToGrid w:val="0"/>
        </w:rPr>
        <w:t xml:space="preserve"> </w:t>
      </w:r>
      <w:r w:rsidR="003A4198" w:rsidRPr="003A438D">
        <w:rPr>
          <w:rFonts w:eastAsiaTheme="minorHAnsi"/>
          <w:snapToGrid w:val="0"/>
        </w:rPr>
        <w:t xml:space="preserve">(a), provides that the party seeking a rule or order from the Commission has the burden of proof in that proceeding.  </w:t>
      </w:r>
      <w:r w:rsidR="0083456E" w:rsidRPr="0083456E">
        <w:rPr>
          <w:rFonts w:eastAsiaTheme="minorHAnsi"/>
          <w:iCs/>
          <w:snapToGrid w:val="0"/>
        </w:rPr>
        <w:t>With respect to the Formal Complaints filed against the Proposed Tariff, because the complaints are against proposed rates, DSC has the burden of proof.</w:t>
      </w:r>
      <w:r w:rsidR="0083456E" w:rsidRPr="0083456E">
        <w:rPr>
          <w:rFonts w:eastAsiaTheme="minorHAnsi"/>
          <w:iCs/>
          <w:snapToGrid w:val="0"/>
          <w:vertAlign w:val="superscript"/>
        </w:rPr>
        <w:footnoteReference w:id="2"/>
      </w:r>
      <w:r w:rsidR="0083456E" w:rsidRPr="0083456E">
        <w:rPr>
          <w:rFonts w:eastAsiaTheme="minorHAnsi"/>
          <w:iCs/>
          <w:snapToGrid w:val="0"/>
        </w:rPr>
        <w:t xml:space="preserve">  </w:t>
      </w:r>
    </w:p>
    <w:p w:rsidR="0083456E" w:rsidRDefault="0083456E" w:rsidP="00CD476F">
      <w:pPr>
        <w:rPr>
          <w:rFonts w:eastAsiaTheme="minorHAnsi"/>
          <w:snapToGrid w:val="0"/>
        </w:rPr>
      </w:pPr>
    </w:p>
    <w:p w:rsidR="003A4198" w:rsidRDefault="003A4198" w:rsidP="00CD476F">
      <w:pPr>
        <w:rPr>
          <w:rFonts w:eastAsiaTheme="minorHAnsi"/>
          <w:iCs/>
        </w:rPr>
      </w:pPr>
      <w:r w:rsidRPr="003A438D">
        <w:rPr>
          <w:rFonts w:eastAsiaTheme="minorHAnsi"/>
          <w:snapToGrid w:val="0"/>
        </w:rPr>
        <w:t>It is axiomatic that “[a] litigant</w:t>
      </w:r>
      <w:r w:rsidR="002061B0">
        <w:rPr>
          <w:rFonts w:eastAsiaTheme="minorHAnsi"/>
          <w:snapToGrid w:val="0"/>
        </w:rPr>
        <w:t>’</w:t>
      </w:r>
      <w:r w:rsidRPr="003A438D">
        <w:rPr>
          <w:rFonts w:eastAsiaTheme="minorHAnsi"/>
          <w:snapToGrid w:val="0"/>
        </w:rPr>
        <w:t xml:space="preserve">s burden of proof before administrative tribunals as well as before most civil proceedings is satisfied by establishing a preponderance of evidence which is substantial and legally credible.”  </w:t>
      </w:r>
      <w:r w:rsidRPr="003A438D">
        <w:rPr>
          <w:rFonts w:eastAsiaTheme="minorHAnsi"/>
          <w:i/>
          <w:snapToGrid w:val="0"/>
        </w:rPr>
        <w:t xml:space="preserve">Samuel J. </w:t>
      </w:r>
      <w:proofErr w:type="spellStart"/>
      <w:r w:rsidRPr="003A438D">
        <w:rPr>
          <w:rFonts w:eastAsiaTheme="minorHAnsi"/>
          <w:i/>
          <w:snapToGrid w:val="0"/>
        </w:rPr>
        <w:t>Lansberry</w:t>
      </w:r>
      <w:proofErr w:type="spellEnd"/>
      <w:r w:rsidRPr="003A438D">
        <w:rPr>
          <w:rFonts w:eastAsiaTheme="minorHAnsi"/>
          <w:i/>
          <w:snapToGrid w:val="0"/>
        </w:rPr>
        <w:t>, Inc. v. Pa. PUC</w:t>
      </w:r>
      <w:r w:rsidRPr="003A438D">
        <w:rPr>
          <w:rFonts w:eastAsiaTheme="minorHAnsi"/>
          <w:snapToGrid w:val="0"/>
        </w:rPr>
        <w:t>, 578</w:t>
      </w:r>
      <w:r w:rsidRPr="003A438D">
        <w:rPr>
          <w:rFonts w:eastAsiaTheme="minorHAnsi"/>
          <w:bCs/>
        </w:rPr>
        <w:t xml:space="preserve"> A.2d 600, 602 (Pa. </w:t>
      </w:r>
      <w:proofErr w:type="spellStart"/>
      <w:r w:rsidRPr="003A438D">
        <w:rPr>
          <w:rFonts w:eastAsiaTheme="minorHAnsi"/>
          <w:bCs/>
        </w:rPr>
        <w:t>Cmwlth</w:t>
      </w:r>
      <w:proofErr w:type="spellEnd"/>
      <w:r w:rsidRPr="003A438D">
        <w:rPr>
          <w:rFonts w:eastAsiaTheme="minorHAnsi"/>
          <w:bCs/>
        </w:rPr>
        <w:t xml:space="preserve">. 1990), </w:t>
      </w:r>
      <w:proofErr w:type="spellStart"/>
      <w:r w:rsidRPr="003A438D">
        <w:rPr>
          <w:rFonts w:eastAsiaTheme="minorHAnsi"/>
          <w:bCs/>
          <w:i/>
        </w:rPr>
        <w:t>alloc</w:t>
      </w:r>
      <w:proofErr w:type="spellEnd"/>
      <w:r w:rsidRPr="003A438D">
        <w:rPr>
          <w:rFonts w:eastAsiaTheme="minorHAnsi"/>
          <w:bCs/>
          <w:i/>
        </w:rPr>
        <w:t>. denied</w:t>
      </w:r>
      <w:r w:rsidRPr="003A438D">
        <w:rPr>
          <w:rFonts w:eastAsiaTheme="minorHAnsi"/>
          <w:bCs/>
        </w:rPr>
        <w:t>, 529 Pa. 654,602 A.2d 863 (1992).  T</w:t>
      </w:r>
      <w:r w:rsidRPr="003A438D">
        <w:rPr>
          <w:rFonts w:eastAsiaTheme="minorHAnsi"/>
          <w:iCs/>
        </w:rPr>
        <w:t xml:space="preserve">he term “preponderance of the evidence” means that one party has presented evidence that is more convincing, by even the smallest amount, than the evidence presented by the other party.  </w:t>
      </w:r>
      <w:r w:rsidRPr="003A438D">
        <w:rPr>
          <w:rFonts w:eastAsiaTheme="minorHAnsi"/>
          <w:i/>
          <w:iCs/>
        </w:rPr>
        <w:t xml:space="preserve">Se-ling Hosiery v. Margulies, </w:t>
      </w:r>
      <w:r w:rsidRPr="003A438D">
        <w:rPr>
          <w:rFonts w:eastAsiaTheme="minorHAnsi"/>
          <w:iCs/>
        </w:rPr>
        <w:t>364 Pa. 45</w:t>
      </w:r>
      <w:r w:rsidR="0083456E">
        <w:rPr>
          <w:rFonts w:eastAsiaTheme="minorHAnsi"/>
          <w:iCs/>
        </w:rPr>
        <w:t>,</w:t>
      </w:r>
      <w:r w:rsidR="00866FC0">
        <w:rPr>
          <w:rFonts w:eastAsiaTheme="minorHAnsi"/>
          <w:iCs/>
        </w:rPr>
        <w:t xml:space="preserve"> </w:t>
      </w:r>
      <w:r w:rsidRPr="003A438D">
        <w:rPr>
          <w:rFonts w:eastAsiaTheme="minorHAnsi"/>
          <w:iCs/>
        </w:rPr>
        <w:t>70 A.2d 857 (1950).</w:t>
      </w:r>
      <w:r>
        <w:rPr>
          <w:rFonts w:eastAsiaTheme="minorHAnsi"/>
          <w:iCs/>
        </w:rPr>
        <w:t xml:space="preserve">  </w:t>
      </w:r>
    </w:p>
    <w:p w:rsidR="00B600A7" w:rsidRDefault="00B600A7" w:rsidP="00CD476F">
      <w:pPr>
        <w:rPr>
          <w:rFonts w:eastAsiaTheme="minorHAnsi"/>
          <w:iCs/>
        </w:rPr>
      </w:pPr>
    </w:p>
    <w:p w:rsidR="003B5A60" w:rsidRDefault="003B5A60" w:rsidP="006C2DC0">
      <w:pPr>
        <w:contextualSpacing/>
        <w:rPr>
          <w:rFonts w:eastAsiaTheme="minorHAnsi"/>
        </w:rPr>
      </w:pPr>
      <w:r>
        <w:rPr>
          <w:rFonts w:eastAsiaTheme="minorHAnsi"/>
        </w:rPr>
        <w:t xml:space="preserve">In developing its proposed rate request, the Company </w:t>
      </w:r>
      <w:r w:rsidR="001B52CB">
        <w:rPr>
          <w:rFonts w:eastAsiaTheme="minorHAnsi"/>
        </w:rPr>
        <w:t xml:space="preserve">presented </w:t>
      </w:r>
      <w:r>
        <w:rPr>
          <w:rFonts w:eastAsiaTheme="minorHAnsi"/>
        </w:rPr>
        <w:t>a combination</w:t>
      </w:r>
      <w:r w:rsidR="003125A6">
        <w:rPr>
          <w:rFonts w:eastAsiaTheme="minorHAnsi"/>
        </w:rPr>
        <w:t xml:space="preserve"> </w:t>
      </w:r>
      <w:r w:rsidR="001B52CB">
        <w:rPr>
          <w:rFonts w:eastAsiaTheme="minorHAnsi"/>
        </w:rPr>
        <w:t xml:space="preserve">claim </w:t>
      </w:r>
      <w:r w:rsidR="003125A6">
        <w:rPr>
          <w:rFonts w:eastAsiaTheme="minorHAnsi"/>
        </w:rPr>
        <w:t xml:space="preserve">that was </w:t>
      </w:r>
      <w:r>
        <w:rPr>
          <w:rFonts w:eastAsiaTheme="minorHAnsi"/>
        </w:rPr>
        <w:t xml:space="preserve">based on </w:t>
      </w:r>
      <w:r w:rsidR="00455800">
        <w:rPr>
          <w:rFonts w:eastAsiaTheme="minorHAnsi"/>
        </w:rPr>
        <w:t xml:space="preserve">the </w:t>
      </w:r>
      <w:r w:rsidR="003125A6">
        <w:rPr>
          <w:rFonts w:eastAsiaTheme="minorHAnsi"/>
        </w:rPr>
        <w:t xml:space="preserve">use of </w:t>
      </w:r>
      <w:r>
        <w:rPr>
          <w:rFonts w:eastAsiaTheme="minorHAnsi"/>
        </w:rPr>
        <w:t xml:space="preserve">an operating ratio methodology and </w:t>
      </w:r>
      <w:r w:rsidR="003125A6">
        <w:rPr>
          <w:rFonts w:eastAsiaTheme="minorHAnsi"/>
        </w:rPr>
        <w:t xml:space="preserve">also included </w:t>
      </w:r>
      <w:r>
        <w:rPr>
          <w:rFonts w:eastAsiaTheme="minorHAnsi"/>
        </w:rPr>
        <w:t>a claim for cash working capital</w:t>
      </w:r>
      <w:r w:rsidR="00443A8F">
        <w:rPr>
          <w:rFonts w:eastAsiaTheme="minorHAnsi"/>
        </w:rPr>
        <w:t xml:space="preserve"> (CWC)</w:t>
      </w:r>
      <w:r>
        <w:rPr>
          <w:rFonts w:eastAsiaTheme="minorHAnsi"/>
        </w:rPr>
        <w:t xml:space="preserve">.  </w:t>
      </w:r>
      <w:r w:rsidR="003125A6">
        <w:rPr>
          <w:rFonts w:eastAsiaTheme="minorHAnsi"/>
        </w:rPr>
        <w:t>Our Regulation at Section 53.54, 52</w:t>
      </w:r>
      <w:r w:rsidR="00905BD3">
        <w:rPr>
          <w:rFonts w:eastAsiaTheme="minorHAnsi"/>
        </w:rPr>
        <w:t> </w:t>
      </w:r>
      <w:r w:rsidR="003125A6">
        <w:rPr>
          <w:rFonts w:eastAsiaTheme="minorHAnsi"/>
        </w:rPr>
        <w:t xml:space="preserve">Pa. Code § 53.54, addresses the information to be furnished with a filing for a rate change by a small wastewater utility, which includes use of an operating ratio.  </w:t>
      </w:r>
      <w:r>
        <w:rPr>
          <w:rFonts w:eastAsiaTheme="minorHAnsi"/>
        </w:rPr>
        <w:t xml:space="preserve">Section </w:t>
      </w:r>
      <w:r>
        <w:rPr>
          <w:rFonts w:eastAsiaTheme="minorHAnsi"/>
        </w:rPr>
        <w:lastRenderedPageBreak/>
        <w:t>53.54(b)(4), 52 Pa. Code § 53.54(b)(4)</w:t>
      </w:r>
      <w:r w:rsidR="006A077A">
        <w:rPr>
          <w:rFonts w:eastAsiaTheme="minorHAnsi"/>
        </w:rPr>
        <w:t>,</w:t>
      </w:r>
      <w:r>
        <w:rPr>
          <w:rFonts w:eastAsiaTheme="minorHAnsi"/>
        </w:rPr>
        <w:t xml:space="preserve"> sets forth the criteria for the availability of the operating ratio methodology as follows: </w:t>
      </w:r>
    </w:p>
    <w:p w:rsidR="006C2DC0" w:rsidRDefault="006C2DC0" w:rsidP="006C2DC0">
      <w:pPr>
        <w:spacing w:line="240" w:lineRule="auto"/>
        <w:contextualSpacing/>
        <w:rPr>
          <w:rFonts w:eastAsiaTheme="minorHAnsi"/>
        </w:rPr>
      </w:pPr>
    </w:p>
    <w:p w:rsidR="006C2DC0" w:rsidRDefault="006C2DC0" w:rsidP="006C2DC0">
      <w:pPr>
        <w:pStyle w:val="NormalWeb"/>
        <w:spacing w:before="0" w:beforeAutospacing="0" w:after="10" w:afterAutospacing="0"/>
        <w:ind w:left="1440" w:right="1440" w:firstLine="360"/>
        <w:rPr>
          <w:sz w:val="26"/>
          <w:szCs w:val="26"/>
        </w:rPr>
      </w:pPr>
      <w:r w:rsidRPr="00576D74">
        <w:rPr>
          <w:sz w:val="26"/>
          <w:szCs w:val="26"/>
        </w:rPr>
        <w:t xml:space="preserve">(4) The operating ratio methodology shall be available to water and wastewater utilities with annual gross revenues (excluding current year Contributions In Aid of Construction (CIAC)) of less than $250,000. If a water or wastewater utility wishes to employ an operating ratio methodology in calculating its rates, it shall make this request in the context of a rate case, and shall bear the burden of proving all necessary elements thereof. </w:t>
      </w:r>
    </w:p>
    <w:p w:rsidR="003B5A60" w:rsidRDefault="003B5A60" w:rsidP="00B600A7">
      <w:pPr>
        <w:contextualSpacing/>
        <w:rPr>
          <w:rFonts w:eastAsiaTheme="minorHAnsi"/>
        </w:rPr>
      </w:pPr>
    </w:p>
    <w:p w:rsidR="006C2DC0" w:rsidRDefault="006C2DC0" w:rsidP="00B600A7">
      <w:pPr>
        <w:contextualSpacing/>
        <w:rPr>
          <w:rFonts w:eastAsiaTheme="minorHAnsi"/>
        </w:rPr>
      </w:pPr>
      <w:r>
        <w:rPr>
          <w:rFonts w:eastAsiaTheme="minorHAnsi"/>
        </w:rPr>
        <w:t>Section</w:t>
      </w:r>
      <w:r w:rsidR="003D1EDC">
        <w:rPr>
          <w:rFonts w:eastAsiaTheme="minorHAnsi"/>
        </w:rPr>
        <w:t>s</w:t>
      </w:r>
      <w:r>
        <w:rPr>
          <w:rFonts w:eastAsiaTheme="minorHAnsi"/>
        </w:rPr>
        <w:t xml:space="preserve"> 53.54(b)(1)</w:t>
      </w:r>
      <w:r w:rsidR="003D1EDC">
        <w:rPr>
          <w:rFonts w:eastAsiaTheme="minorHAnsi"/>
        </w:rPr>
        <w:t xml:space="preserve"> and (3)</w:t>
      </w:r>
      <w:r>
        <w:rPr>
          <w:rFonts w:eastAsiaTheme="minorHAnsi"/>
        </w:rPr>
        <w:t xml:space="preserve"> of our Regulations, 52 Pa. Code § 53.54(b)(1) </w:t>
      </w:r>
      <w:r w:rsidR="003D1EDC">
        <w:rPr>
          <w:rFonts w:eastAsiaTheme="minorHAnsi"/>
        </w:rPr>
        <w:t>and (3)</w:t>
      </w:r>
      <w:r w:rsidR="0083456E">
        <w:rPr>
          <w:rFonts w:eastAsiaTheme="minorHAnsi"/>
        </w:rPr>
        <w:t>,</w:t>
      </w:r>
      <w:r w:rsidR="003D1EDC">
        <w:rPr>
          <w:rFonts w:eastAsiaTheme="minorHAnsi"/>
        </w:rPr>
        <w:t xml:space="preserve"> </w:t>
      </w:r>
      <w:r>
        <w:rPr>
          <w:rFonts w:eastAsiaTheme="minorHAnsi"/>
        </w:rPr>
        <w:t xml:space="preserve">describe the operating ratio method as follows: </w:t>
      </w:r>
    </w:p>
    <w:p w:rsidR="006C2DC0" w:rsidRDefault="006C2DC0" w:rsidP="006C2DC0">
      <w:pPr>
        <w:spacing w:line="240" w:lineRule="auto"/>
        <w:contextualSpacing/>
        <w:rPr>
          <w:rFonts w:eastAsiaTheme="minorHAnsi"/>
        </w:rPr>
      </w:pPr>
    </w:p>
    <w:p w:rsidR="006C2DC0" w:rsidRPr="00576D74" w:rsidRDefault="006C2DC0" w:rsidP="006C2DC0">
      <w:pPr>
        <w:pStyle w:val="NormalWeb"/>
        <w:spacing w:before="0" w:beforeAutospacing="0" w:after="10" w:afterAutospacing="0"/>
        <w:ind w:left="1440" w:right="1440" w:firstLine="360"/>
        <w:rPr>
          <w:sz w:val="26"/>
          <w:szCs w:val="26"/>
        </w:rPr>
      </w:pPr>
      <w:r w:rsidRPr="00576D74">
        <w:rPr>
          <w:sz w:val="26"/>
          <w:szCs w:val="26"/>
        </w:rPr>
        <w:t xml:space="preserve">(1) This ratemaking method develops a revenue requirement where little or no rate base exists. The operating ratio at present rates shall be calculated as a ratio of operating expenses to operating revenues, where the numerator shall include operations and maintenance expense, annual depreciation on </w:t>
      </w:r>
      <w:proofErr w:type="spellStart"/>
      <w:r w:rsidRPr="00576D74">
        <w:rPr>
          <w:sz w:val="26"/>
          <w:szCs w:val="26"/>
        </w:rPr>
        <w:t>noncontributed</w:t>
      </w:r>
      <w:proofErr w:type="spellEnd"/>
      <w:r w:rsidRPr="00576D74">
        <w:rPr>
          <w:sz w:val="26"/>
          <w:szCs w:val="26"/>
        </w:rPr>
        <w:t xml:space="preserve"> facilities, amortization of multiyear expenses and applicable taxes and the denominator shall consist of the utility</w:t>
      </w:r>
      <w:r w:rsidR="002061B0">
        <w:rPr>
          <w:sz w:val="26"/>
          <w:szCs w:val="26"/>
        </w:rPr>
        <w:t>’</w:t>
      </w:r>
      <w:r w:rsidRPr="00576D74">
        <w:rPr>
          <w:sz w:val="26"/>
          <w:szCs w:val="26"/>
        </w:rPr>
        <w:t xml:space="preserve">s operating revenues at present rates. </w:t>
      </w:r>
    </w:p>
    <w:p w:rsidR="006C2DC0" w:rsidRDefault="006C2DC0" w:rsidP="003D1EDC">
      <w:pPr>
        <w:spacing w:line="240" w:lineRule="auto"/>
        <w:contextualSpacing/>
        <w:rPr>
          <w:rFonts w:eastAsiaTheme="minorHAnsi"/>
        </w:rPr>
      </w:pPr>
    </w:p>
    <w:p w:rsidR="003D1EDC" w:rsidRDefault="003D1EDC" w:rsidP="003D1EDC">
      <w:pPr>
        <w:spacing w:line="240" w:lineRule="auto"/>
        <w:ind w:left="1440" w:right="1440" w:firstLine="0"/>
        <w:contextualSpacing/>
        <w:jc w:val="center"/>
        <w:rPr>
          <w:rFonts w:eastAsiaTheme="minorHAnsi"/>
        </w:rPr>
      </w:pPr>
      <w:r>
        <w:rPr>
          <w:rFonts w:eastAsiaTheme="minorHAnsi"/>
        </w:rPr>
        <w:t>* * * *</w:t>
      </w:r>
    </w:p>
    <w:p w:rsidR="003D1EDC" w:rsidRDefault="003D1EDC" w:rsidP="003D1EDC">
      <w:pPr>
        <w:spacing w:line="240" w:lineRule="auto"/>
        <w:ind w:left="1440" w:right="1440" w:firstLine="0"/>
        <w:contextualSpacing/>
        <w:jc w:val="center"/>
        <w:rPr>
          <w:rFonts w:eastAsiaTheme="minorHAnsi"/>
        </w:rPr>
      </w:pPr>
    </w:p>
    <w:p w:rsidR="003D1EDC" w:rsidRPr="00576D74" w:rsidRDefault="003D1EDC" w:rsidP="003D1EDC">
      <w:pPr>
        <w:pStyle w:val="NormalWeb"/>
        <w:spacing w:before="0" w:beforeAutospacing="0" w:after="10" w:afterAutospacing="0"/>
        <w:ind w:left="1440" w:right="1440" w:firstLine="360"/>
        <w:rPr>
          <w:sz w:val="26"/>
          <w:szCs w:val="26"/>
        </w:rPr>
      </w:pPr>
      <w:r w:rsidRPr="00576D74">
        <w:rPr>
          <w:sz w:val="26"/>
          <w:szCs w:val="26"/>
        </w:rPr>
        <w:t>(3) An increase or decrease in operating revenues shall be determined by dividing the utility</w:t>
      </w:r>
      <w:r w:rsidR="002061B0">
        <w:rPr>
          <w:sz w:val="26"/>
          <w:szCs w:val="26"/>
        </w:rPr>
        <w:t>’</w:t>
      </w:r>
      <w:r w:rsidRPr="00576D74">
        <w:rPr>
          <w:sz w:val="26"/>
          <w:szCs w:val="26"/>
        </w:rPr>
        <w:t xml:space="preserve">s reasonable and legitimate operating expenses by the target operating ratio determined in paragraph (2), and subtracting that amount from the test period operating revenues. </w:t>
      </w:r>
    </w:p>
    <w:p w:rsidR="003D1EDC" w:rsidRDefault="003D1EDC" w:rsidP="00B600A7">
      <w:pPr>
        <w:contextualSpacing/>
        <w:rPr>
          <w:rFonts w:eastAsiaTheme="minorHAnsi"/>
        </w:rPr>
      </w:pPr>
    </w:p>
    <w:p w:rsidR="006C2DC0" w:rsidRDefault="006C2DC0" w:rsidP="00B600A7">
      <w:pPr>
        <w:contextualSpacing/>
        <w:rPr>
          <w:rFonts w:eastAsiaTheme="minorHAnsi"/>
        </w:rPr>
      </w:pPr>
      <w:r>
        <w:rPr>
          <w:rFonts w:eastAsiaTheme="minorHAnsi"/>
        </w:rPr>
        <w:t xml:space="preserve">In developing just and </w:t>
      </w:r>
      <w:r w:rsidR="003D1EDC">
        <w:rPr>
          <w:rFonts w:eastAsiaTheme="minorHAnsi"/>
        </w:rPr>
        <w:t>reasonable rates pursuant to Section 1301 of the Code, 66 Pa. C.S. § 13</w:t>
      </w:r>
      <w:r w:rsidR="001B52CB">
        <w:rPr>
          <w:rFonts w:eastAsiaTheme="minorHAnsi"/>
        </w:rPr>
        <w:t>0</w:t>
      </w:r>
      <w:r w:rsidR="003D1EDC">
        <w:rPr>
          <w:rFonts w:eastAsiaTheme="minorHAnsi"/>
        </w:rPr>
        <w:t>1, Section 53.54(b)(2) of our Regulations, 52 Pa. Code §</w:t>
      </w:r>
      <w:r w:rsidR="00905BD3">
        <w:rPr>
          <w:rFonts w:eastAsiaTheme="minorHAnsi"/>
        </w:rPr>
        <w:t> </w:t>
      </w:r>
      <w:r w:rsidR="003D1EDC">
        <w:rPr>
          <w:rFonts w:eastAsiaTheme="minorHAnsi"/>
        </w:rPr>
        <w:t xml:space="preserve">53.54(b)(2) </w:t>
      </w:r>
      <w:r w:rsidR="006659E0">
        <w:rPr>
          <w:rFonts w:eastAsiaTheme="minorHAnsi"/>
        </w:rPr>
        <w:t>p</w:t>
      </w:r>
      <w:r w:rsidR="003D1EDC">
        <w:rPr>
          <w:rFonts w:eastAsiaTheme="minorHAnsi"/>
        </w:rPr>
        <w:t xml:space="preserve">rovides </w:t>
      </w:r>
      <w:r w:rsidR="0083456E">
        <w:rPr>
          <w:rFonts w:eastAsiaTheme="minorHAnsi"/>
        </w:rPr>
        <w:t xml:space="preserve">the minimum </w:t>
      </w:r>
      <w:r w:rsidR="003D1EDC">
        <w:rPr>
          <w:rFonts w:eastAsiaTheme="minorHAnsi"/>
        </w:rPr>
        <w:t>criteria to be considered in developing an appropriate operating ratio as follows:</w:t>
      </w:r>
    </w:p>
    <w:p w:rsidR="006C2DC0" w:rsidRDefault="006C2DC0" w:rsidP="003D1EDC">
      <w:pPr>
        <w:spacing w:line="240" w:lineRule="auto"/>
        <w:contextualSpacing/>
        <w:rPr>
          <w:rFonts w:eastAsiaTheme="minorHAnsi"/>
        </w:rPr>
      </w:pPr>
    </w:p>
    <w:p w:rsidR="003D1EDC" w:rsidRDefault="003D1EDC" w:rsidP="003D1EDC">
      <w:pPr>
        <w:pStyle w:val="NormalWeb"/>
        <w:spacing w:before="0" w:beforeAutospacing="0" w:after="10" w:afterAutospacing="0"/>
        <w:ind w:left="1440" w:right="1440" w:firstLine="360"/>
        <w:rPr>
          <w:sz w:val="26"/>
          <w:szCs w:val="26"/>
        </w:rPr>
      </w:pPr>
      <w:r w:rsidRPr="00576D74">
        <w:rPr>
          <w:sz w:val="26"/>
          <w:szCs w:val="26"/>
        </w:rPr>
        <w:lastRenderedPageBreak/>
        <w:t xml:space="preserve">(2) The appropriate target operating ratio in a particular case shall be determined by considering at least the following factors: </w:t>
      </w:r>
    </w:p>
    <w:p w:rsidR="001B52CB" w:rsidRPr="00576D74" w:rsidRDefault="001B52CB" w:rsidP="003D1EDC">
      <w:pPr>
        <w:pStyle w:val="NormalWeb"/>
        <w:spacing w:before="0" w:beforeAutospacing="0" w:after="10" w:afterAutospacing="0"/>
        <w:ind w:left="1440" w:right="1440" w:firstLine="360"/>
        <w:rPr>
          <w:sz w:val="26"/>
          <w:szCs w:val="26"/>
        </w:rPr>
      </w:pPr>
    </w:p>
    <w:p w:rsidR="003D1EDC" w:rsidRDefault="003D1EDC" w:rsidP="00795E73">
      <w:pPr>
        <w:pStyle w:val="NormalWeb"/>
        <w:spacing w:before="0" w:beforeAutospacing="0" w:after="0" w:afterAutospacing="0"/>
        <w:ind w:left="2880" w:right="1440" w:hanging="720"/>
        <w:rPr>
          <w:sz w:val="26"/>
          <w:szCs w:val="26"/>
        </w:rPr>
      </w:pPr>
      <w:r w:rsidRPr="00576D74">
        <w:rPr>
          <w:sz w:val="26"/>
          <w:szCs w:val="26"/>
        </w:rPr>
        <w:t>(</w:t>
      </w:r>
      <w:proofErr w:type="spellStart"/>
      <w:r w:rsidRPr="00576D74">
        <w:rPr>
          <w:sz w:val="26"/>
          <w:szCs w:val="26"/>
        </w:rPr>
        <w:t>i</w:t>
      </w:r>
      <w:proofErr w:type="spellEnd"/>
      <w:r w:rsidRPr="00576D74">
        <w:rPr>
          <w:sz w:val="26"/>
          <w:szCs w:val="26"/>
        </w:rPr>
        <w:t>)</w:t>
      </w:r>
      <w:r w:rsidR="001B52CB">
        <w:rPr>
          <w:sz w:val="26"/>
          <w:szCs w:val="26"/>
        </w:rPr>
        <w:tab/>
      </w:r>
      <w:r w:rsidRPr="00576D74">
        <w:rPr>
          <w:sz w:val="26"/>
          <w:szCs w:val="26"/>
        </w:rPr>
        <w:t xml:space="preserve">The operating ratios of comparable water or wastewater utilities. </w:t>
      </w:r>
    </w:p>
    <w:p w:rsidR="001B52CB" w:rsidRPr="00576D74" w:rsidRDefault="001B52CB" w:rsidP="00795E73">
      <w:pPr>
        <w:pStyle w:val="NormalWeb"/>
        <w:spacing w:before="0" w:beforeAutospacing="0" w:after="0" w:afterAutospacing="0"/>
        <w:ind w:left="2880" w:right="1440" w:hanging="720"/>
        <w:rPr>
          <w:sz w:val="26"/>
          <w:szCs w:val="26"/>
        </w:rPr>
      </w:pPr>
    </w:p>
    <w:p w:rsidR="003D1EDC" w:rsidRDefault="003D1EDC" w:rsidP="00795E73">
      <w:pPr>
        <w:pStyle w:val="NormalWeb"/>
        <w:spacing w:before="0" w:beforeAutospacing="0" w:after="0" w:afterAutospacing="0"/>
        <w:ind w:left="2880" w:right="1440" w:hanging="720"/>
        <w:rPr>
          <w:sz w:val="26"/>
          <w:szCs w:val="26"/>
        </w:rPr>
      </w:pPr>
      <w:r w:rsidRPr="00576D74">
        <w:rPr>
          <w:sz w:val="26"/>
          <w:szCs w:val="26"/>
        </w:rPr>
        <w:t>(ii)</w:t>
      </w:r>
      <w:r w:rsidR="001B52CB">
        <w:rPr>
          <w:sz w:val="26"/>
          <w:szCs w:val="26"/>
        </w:rPr>
        <w:tab/>
      </w:r>
      <w:r w:rsidRPr="00576D74">
        <w:rPr>
          <w:sz w:val="26"/>
          <w:szCs w:val="26"/>
        </w:rPr>
        <w:t>Coverage of actual</w:t>
      </w:r>
      <w:r w:rsidR="0042571E">
        <w:rPr>
          <w:sz w:val="26"/>
          <w:szCs w:val="26"/>
        </w:rPr>
        <w:t>[,]</w:t>
      </w:r>
      <w:r w:rsidRPr="00576D74">
        <w:rPr>
          <w:sz w:val="26"/>
          <w:szCs w:val="26"/>
        </w:rPr>
        <w:t xml:space="preserve"> hypothetical, or both, interest expense. </w:t>
      </w:r>
    </w:p>
    <w:p w:rsidR="001B52CB" w:rsidRPr="00576D74" w:rsidRDefault="001B52CB" w:rsidP="00795E73">
      <w:pPr>
        <w:pStyle w:val="NormalWeb"/>
        <w:spacing w:before="0" w:beforeAutospacing="0" w:after="0" w:afterAutospacing="0"/>
        <w:ind w:left="2880" w:right="1440" w:hanging="720"/>
        <w:rPr>
          <w:sz w:val="26"/>
          <w:szCs w:val="26"/>
        </w:rPr>
      </w:pPr>
    </w:p>
    <w:p w:rsidR="003D1EDC" w:rsidRDefault="003D1EDC" w:rsidP="00795E73">
      <w:pPr>
        <w:pStyle w:val="NormalWeb"/>
        <w:spacing w:before="0" w:beforeAutospacing="0" w:after="0" w:afterAutospacing="0"/>
        <w:ind w:left="2880" w:right="1440" w:hanging="720"/>
        <w:rPr>
          <w:sz w:val="26"/>
          <w:szCs w:val="26"/>
        </w:rPr>
      </w:pPr>
      <w:r w:rsidRPr="00576D74">
        <w:rPr>
          <w:sz w:val="26"/>
          <w:szCs w:val="26"/>
        </w:rPr>
        <w:t>(iii)</w:t>
      </w:r>
      <w:r w:rsidR="001B52CB">
        <w:rPr>
          <w:sz w:val="26"/>
          <w:szCs w:val="26"/>
        </w:rPr>
        <w:tab/>
      </w:r>
      <w:r w:rsidRPr="00576D74">
        <w:rPr>
          <w:sz w:val="26"/>
          <w:szCs w:val="26"/>
        </w:rPr>
        <w:t xml:space="preserve">A comparison of the cost of service with the cost of service of similar companies which do not employ an operating ratio rate methodology. </w:t>
      </w:r>
    </w:p>
    <w:p w:rsidR="001B52CB" w:rsidRPr="00576D74" w:rsidRDefault="001B52CB" w:rsidP="00795E73">
      <w:pPr>
        <w:pStyle w:val="NormalWeb"/>
        <w:spacing w:before="0" w:beforeAutospacing="0" w:after="0" w:afterAutospacing="0"/>
        <w:ind w:left="2880" w:right="1440" w:hanging="720"/>
        <w:rPr>
          <w:sz w:val="26"/>
          <w:szCs w:val="26"/>
        </w:rPr>
      </w:pPr>
    </w:p>
    <w:p w:rsidR="003D1EDC" w:rsidRDefault="003D1EDC" w:rsidP="00795E73">
      <w:pPr>
        <w:pStyle w:val="NormalWeb"/>
        <w:spacing w:before="0" w:beforeAutospacing="0" w:after="0" w:afterAutospacing="0"/>
        <w:ind w:left="2880" w:right="1440" w:hanging="720"/>
        <w:rPr>
          <w:sz w:val="26"/>
          <w:szCs w:val="26"/>
        </w:rPr>
      </w:pPr>
      <w:r w:rsidRPr="00576D74">
        <w:rPr>
          <w:sz w:val="26"/>
          <w:szCs w:val="26"/>
        </w:rPr>
        <w:t>(iv)</w:t>
      </w:r>
      <w:r w:rsidR="001B52CB">
        <w:rPr>
          <w:sz w:val="26"/>
          <w:szCs w:val="26"/>
        </w:rPr>
        <w:tab/>
      </w:r>
      <w:r w:rsidRPr="00576D74">
        <w:rPr>
          <w:sz w:val="26"/>
          <w:szCs w:val="26"/>
        </w:rPr>
        <w:t xml:space="preserve">Current market conditions, including price inflation. </w:t>
      </w:r>
    </w:p>
    <w:p w:rsidR="001B52CB" w:rsidRPr="00576D74" w:rsidRDefault="001B52CB" w:rsidP="00795E73">
      <w:pPr>
        <w:pStyle w:val="NormalWeb"/>
        <w:spacing w:before="0" w:beforeAutospacing="0" w:after="0" w:afterAutospacing="0"/>
        <w:ind w:left="2880" w:right="1440" w:hanging="720"/>
        <w:rPr>
          <w:sz w:val="26"/>
          <w:szCs w:val="26"/>
        </w:rPr>
      </w:pPr>
    </w:p>
    <w:p w:rsidR="003D1EDC" w:rsidRDefault="003D1EDC" w:rsidP="00795E73">
      <w:pPr>
        <w:pStyle w:val="NormalWeb"/>
        <w:spacing w:before="0" w:beforeAutospacing="0" w:after="0" w:afterAutospacing="0"/>
        <w:ind w:left="2880" w:right="1440" w:hanging="720"/>
        <w:rPr>
          <w:sz w:val="26"/>
          <w:szCs w:val="26"/>
        </w:rPr>
      </w:pPr>
      <w:r w:rsidRPr="00576D74">
        <w:rPr>
          <w:sz w:val="26"/>
          <w:szCs w:val="26"/>
        </w:rPr>
        <w:t>(v)</w:t>
      </w:r>
      <w:r w:rsidR="001B52CB">
        <w:rPr>
          <w:sz w:val="26"/>
          <w:szCs w:val="26"/>
        </w:rPr>
        <w:tab/>
      </w:r>
      <w:r w:rsidRPr="00576D74">
        <w:rPr>
          <w:sz w:val="26"/>
          <w:szCs w:val="26"/>
        </w:rPr>
        <w:t xml:space="preserve">The quality of service and efficiency of operations. </w:t>
      </w:r>
    </w:p>
    <w:p w:rsidR="001B52CB" w:rsidRPr="00576D74" w:rsidRDefault="001B52CB" w:rsidP="00795E73">
      <w:pPr>
        <w:pStyle w:val="NormalWeb"/>
        <w:spacing w:before="0" w:beforeAutospacing="0" w:after="0" w:afterAutospacing="0"/>
        <w:ind w:left="2880" w:right="1440" w:hanging="720"/>
        <w:rPr>
          <w:sz w:val="26"/>
          <w:szCs w:val="26"/>
        </w:rPr>
      </w:pPr>
    </w:p>
    <w:p w:rsidR="003D1EDC" w:rsidRDefault="003D1EDC" w:rsidP="00795E73">
      <w:pPr>
        <w:pStyle w:val="NormalWeb"/>
        <w:spacing w:before="0" w:beforeAutospacing="0" w:after="0" w:afterAutospacing="0"/>
        <w:ind w:left="1440" w:right="1440"/>
        <w:rPr>
          <w:sz w:val="26"/>
          <w:szCs w:val="26"/>
        </w:rPr>
      </w:pPr>
      <w:r w:rsidRPr="00576D74">
        <w:rPr>
          <w:sz w:val="26"/>
          <w:szCs w:val="26"/>
        </w:rPr>
        <w:tab/>
        <w:t>(vi)</w:t>
      </w:r>
      <w:r w:rsidR="001B52CB">
        <w:rPr>
          <w:sz w:val="26"/>
          <w:szCs w:val="26"/>
        </w:rPr>
        <w:tab/>
      </w:r>
      <w:r w:rsidRPr="00576D74">
        <w:rPr>
          <w:sz w:val="26"/>
          <w:szCs w:val="26"/>
        </w:rPr>
        <w:t xml:space="preserve">The rate case history. </w:t>
      </w:r>
    </w:p>
    <w:p w:rsidR="001B52CB" w:rsidRPr="00576D74" w:rsidRDefault="001B52CB" w:rsidP="00795E73">
      <w:pPr>
        <w:pStyle w:val="NormalWeb"/>
        <w:spacing w:before="0" w:beforeAutospacing="0" w:after="0" w:afterAutospacing="0"/>
        <w:ind w:left="1440" w:right="1440"/>
        <w:rPr>
          <w:sz w:val="26"/>
          <w:szCs w:val="26"/>
        </w:rPr>
      </w:pPr>
    </w:p>
    <w:p w:rsidR="003D1EDC" w:rsidRDefault="003D1EDC" w:rsidP="00795E73">
      <w:pPr>
        <w:pStyle w:val="NormalWeb"/>
        <w:spacing w:before="0" w:beforeAutospacing="0" w:after="0" w:afterAutospacing="0"/>
        <w:ind w:left="2880" w:right="1440" w:hanging="720"/>
        <w:rPr>
          <w:sz w:val="26"/>
          <w:szCs w:val="26"/>
        </w:rPr>
      </w:pPr>
      <w:r w:rsidRPr="00576D74">
        <w:rPr>
          <w:sz w:val="26"/>
          <w:szCs w:val="26"/>
        </w:rPr>
        <w:t>(vii)</w:t>
      </w:r>
      <w:r w:rsidR="001B52CB">
        <w:rPr>
          <w:sz w:val="26"/>
          <w:szCs w:val="26"/>
        </w:rPr>
        <w:tab/>
      </w:r>
      <w:r w:rsidRPr="00576D74">
        <w:rPr>
          <w:sz w:val="26"/>
          <w:szCs w:val="26"/>
        </w:rPr>
        <w:t xml:space="preserve">Whether there is any rate base and, if so, whether any depreciation expense is being claimed in the filing. </w:t>
      </w:r>
    </w:p>
    <w:p w:rsidR="001B52CB" w:rsidRPr="00576D74" w:rsidRDefault="001B52CB" w:rsidP="00795E73">
      <w:pPr>
        <w:pStyle w:val="NormalWeb"/>
        <w:spacing w:before="0" w:beforeAutospacing="0" w:after="0" w:afterAutospacing="0"/>
        <w:ind w:left="2880" w:right="1440" w:hanging="720"/>
        <w:rPr>
          <w:sz w:val="26"/>
          <w:szCs w:val="26"/>
        </w:rPr>
      </w:pPr>
    </w:p>
    <w:p w:rsidR="003D1EDC" w:rsidRDefault="003D1EDC" w:rsidP="00795E73">
      <w:pPr>
        <w:pStyle w:val="NormalWeb"/>
        <w:spacing w:before="0" w:beforeAutospacing="0" w:after="0" w:afterAutospacing="0"/>
        <w:ind w:left="1440" w:right="1440"/>
        <w:rPr>
          <w:sz w:val="26"/>
          <w:szCs w:val="26"/>
        </w:rPr>
      </w:pPr>
      <w:r w:rsidRPr="00576D74">
        <w:rPr>
          <w:sz w:val="26"/>
          <w:szCs w:val="26"/>
        </w:rPr>
        <w:tab/>
        <w:t>(viii)</w:t>
      </w:r>
      <w:r w:rsidR="001B52CB">
        <w:rPr>
          <w:sz w:val="26"/>
          <w:szCs w:val="26"/>
        </w:rPr>
        <w:tab/>
      </w:r>
      <w:r w:rsidRPr="00576D74">
        <w:rPr>
          <w:sz w:val="26"/>
          <w:szCs w:val="26"/>
        </w:rPr>
        <w:t xml:space="preserve">An acquisition adjustment, if any. </w:t>
      </w:r>
    </w:p>
    <w:p w:rsidR="001B52CB" w:rsidRPr="00576D74" w:rsidRDefault="001B52CB" w:rsidP="00795E73">
      <w:pPr>
        <w:pStyle w:val="NormalWeb"/>
        <w:spacing w:before="0" w:beforeAutospacing="0" w:after="0" w:afterAutospacing="0"/>
        <w:ind w:left="1440" w:right="1440"/>
        <w:rPr>
          <w:sz w:val="26"/>
          <w:szCs w:val="26"/>
        </w:rPr>
      </w:pPr>
    </w:p>
    <w:p w:rsidR="003D1EDC" w:rsidRDefault="003D1EDC" w:rsidP="00795E73">
      <w:pPr>
        <w:pStyle w:val="NormalWeb"/>
        <w:spacing w:before="0" w:beforeAutospacing="0" w:after="0" w:afterAutospacing="0"/>
        <w:ind w:left="1440" w:right="1440"/>
        <w:rPr>
          <w:sz w:val="26"/>
          <w:szCs w:val="26"/>
        </w:rPr>
      </w:pPr>
      <w:r w:rsidRPr="00576D74">
        <w:rPr>
          <w:sz w:val="26"/>
          <w:szCs w:val="26"/>
        </w:rPr>
        <w:tab/>
        <w:t>(ix)</w:t>
      </w:r>
      <w:r w:rsidR="001B52CB">
        <w:rPr>
          <w:sz w:val="26"/>
          <w:szCs w:val="26"/>
        </w:rPr>
        <w:tab/>
      </w:r>
      <w:r w:rsidRPr="00576D74">
        <w:rPr>
          <w:sz w:val="26"/>
          <w:szCs w:val="26"/>
        </w:rPr>
        <w:t xml:space="preserve">Financial resources. </w:t>
      </w:r>
    </w:p>
    <w:p w:rsidR="001B52CB" w:rsidRPr="00576D74" w:rsidRDefault="001B52CB" w:rsidP="00795E73">
      <w:pPr>
        <w:pStyle w:val="NormalWeb"/>
        <w:spacing w:before="0" w:beforeAutospacing="0" w:after="0" w:afterAutospacing="0"/>
        <w:ind w:left="1440" w:right="1440"/>
        <w:rPr>
          <w:sz w:val="26"/>
          <w:szCs w:val="26"/>
        </w:rPr>
      </w:pPr>
    </w:p>
    <w:p w:rsidR="003D1EDC" w:rsidRDefault="003D1EDC" w:rsidP="00795E73">
      <w:pPr>
        <w:pStyle w:val="NormalWeb"/>
        <w:spacing w:before="0" w:beforeAutospacing="0" w:after="0" w:afterAutospacing="0"/>
        <w:ind w:left="1440" w:right="1440"/>
        <w:rPr>
          <w:sz w:val="26"/>
          <w:szCs w:val="26"/>
        </w:rPr>
      </w:pPr>
      <w:r w:rsidRPr="00576D74">
        <w:rPr>
          <w:sz w:val="26"/>
          <w:szCs w:val="26"/>
        </w:rPr>
        <w:tab/>
        <w:t>(x)</w:t>
      </w:r>
      <w:r w:rsidR="001B52CB">
        <w:rPr>
          <w:sz w:val="26"/>
          <w:szCs w:val="26"/>
        </w:rPr>
        <w:tab/>
      </w:r>
      <w:r w:rsidRPr="00576D74">
        <w:rPr>
          <w:sz w:val="26"/>
          <w:szCs w:val="26"/>
        </w:rPr>
        <w:t xml:space="preserve">The fairness of the resulting return. </w:t>
      </w:r>
    </w:p>
    <w:p w:rsidR="003D1EDC" w:rsidRDefault="003D1EDC" w:rsidP="00B600A7">
      <w:pPr>
        <w:contextualSpacing/>
        <w:rPr>
          <w:rFonts w:eastAsiaTheme="minorHAnsi"/>
        </w:rPr>
      </w:pPr>
    </w:p>
    <w:p w:rsidR="003E46F5" w:rsidRDefault="003D1EDC" w:rsidP="001B52CB">
      <w:pPr>
        <w:contextualSpacing/>
        <w:rPr>
          <w:szCs w:val="26"/>
        </w:rPr>
      </w:pPr>
      <w:r>
        <w:rPr>
          <w:szCs w:val="26"/>
        </w:rPr>
        <w:t xml:space="preserve">In addition to </w:t>
      </w:r>
      <w:r w:rsidR="003E46F5">
        <w:rPr>
          <w:szCs w:val="26"/>
        </w:rPr>
        <w:t xml:space="preserve">calculating its proposed revenue increase based upon </w:t>
      </w:r>
      <w:r w:rsidR="001B52CB">
        <w:rPr>
          <w:szCs w:val="26"/>
        </w:rPr>
        <w:t xml:space="preserve">use of </w:t>
      </w:r>
      <w:r>
        <w:rPr>
          <w:szCs w:val="26"/>
        </w:rPr>
        <w:t xml:space="preserve">the operating ratio method, DSC </w:t>
      </w:r>
      <w:r w:rsidR="003E46F5">
        <w:rPr>
          <w:szCs w:val="26"/>
        </w:rPr>
        <w:t xml:space="preserve">included </w:t>
      </w:r>
      <w:r w:rsidR="006659E0">
        <w:rPr>
          <w:szCs w:val="26"/>
        </w:rPr>
        <w:t>a claim for</w:t>
      </w:r>
      <w:r w:rsidR="00443A8F">
        <w:rPr>
          <w:szCs w:val="26"/>
        </w:rPr>
        <w:t xml:space="preserve"> CWC</w:t>
      </w:r>
      <w:r w:rsidR="006659E0">
        <w:rPr>
          <w:szCs w:val="26"/>
        </w:rPr>
        <w:t xml:space="preserve"> whereby the Company sought </w:t>
      </w:r>
      <w:r>
        <w:rPr>
          <w:szCs w:val="26"/>
        </w:rPr>
        <w:t xml:space="preserve">a return </w:t>
      </w:r>
      <w:r w:rsidR="006659E0" w:rsidRPr="001B52CB">
        <w:rPr>
          <w:szCs w:val="26"/>
        </w:rPr>
        <w:t>on</w:t>
      </w:r>
      <w:r w:rsidR="006659E0">
        <w:rPr>
          <w:szCs w:val="26"/>
        </w:rPr>
        <w:t xml:space="preserve"> one-eighth of specific operating expenses. </w:t>
      </w:r>
      <w:r w:rsidR="00B600A7" w:rsidRPr="00B600A7">
        <w:rPr>
          <w:szCs w:val="26"/>
        </w:rPr>
        <w:t xml:space="preserve"> </w:t>
      </w:r>
    </w:p>
    <w:p w:rsidR="003E46F5" w:rsidRDefault="003E46F5" w:rsidP="00455800">
      <w:pPr>
        <w:ind w:firstLine="0"/>
        <w:contextualSpacing/>
        <w:rPr>
          <w:szCs w:val="26"/>
        </w:rPr>
      </w:pPr>
    </w:p>
    <w:p w:rsidR="00B600A7" w:rsidRPr="00B600A7" w:rsidRDefault="003E46F5" w:rsidP="00455800">
      <w:pPr>
        <w:tabs>
          <w:tab w:val="left" w:pos="1440"/>
        </w:tabs>
        <w:ind w:firstLine="720"/>
        <w:contextualSpacing/>
        <w:rPr>
          <w:szCs w:val="26"/>
        </w:rPr>
      </w:pPr>
      <w:r>
        <w:rPr>
          <w:szCs w:val="26"/>
        </w:rPr>
        <w:tab/>
      </w:r>
      <w:r w:rsidR="00B600A7" w:rsidRPr="00B600A7">
        <w:rPr>
          <w:szCs w:val="26"/>
        </w:rPr>
        <w:t>In determining a fair rate of return</w:t>
      </w:r>
      <w:r>
        <w:rPr>
          <w:szCs w:val="26"/>
        </w:rPr>
        <w:t>,</w:t>
      </w:r>
      <w:r w:rsidR="00B600A7" w:rsidRPr="00B600A7">
        <w:rPr>
          <w:szCs w:val="26"/>
        </w:rPr>
        <w:t xml:space="preserve"> the Commission has been guided by the criteria provided by the United States Supreme Court in the</w:t>
      </w:r>
      <w:r w:rsidR="00A73F9F">
        <w:rPr>
          <w:szCs w:val="26"/>
        </w:rPr>
        <w:t xml:space="preserve"> seminal</w:t>
      </w:r>
      <w:r w:rsidR="00B600A7" w:rsidRPr="00B600A7">
        <w:rPr>
          <w:szCs w:val="26"/>
        </w:rPr>
        <w:t xml:space="preserve"> cases of </w:t>
      </w:r>
      <w:r w:rsidR="00B600A7" w:rsidRPr="00B600A7">
        <w:rPr>
          <w:i/>
          <w:szCs w:val="26"/>
        </w:rPr>
        <w:t>Bluefield Water Works and Improvement Co. v. Public Service Commission of West Virginia</w:t>
      </w:r>
      <w:r w:rsidR="00B600A7" w:rsidRPr="00B600A7">
        <w:rPr>
          <w:szCs w:val="26"/>
        </w:rPr>
        <w:t xml:space="preserve">, 262 </w:t>
      </w:r>
      <w:r w:rsidR="00B600A7" w:rsidRPr="00B600A7">
        <w:rPr>
          <w:szCs w:val="26"/>
        </w:rPr>
        <w:lastRenderedPageBreak/>
        <w:t>U.S. 679 (1923) (</w:t>
      </w:r>
      <w:r w:rsidR="00B600A7" w:rsidRPr="00B600A7">
        <w:rPr>
          <w:i/>
          <w:szCs w:val="26"/>
        </w:rPr>
        <w:t>Bluefield</w:t>
      </w:r>
      <w:r w:rsidR="00B600A7" w:rsidRPr="00B600A7">
        <w:rPr>
          <w:szCs w:val="26"/>
        </w:rPr>
        <w:t xml:space="preserve">), and </w:t>
      </w:r>
      <w:r w:rsidR="00B600A7" w:rsidRPr="00B600A7">
        <w:rPr>
          <w:i/>
          <w:szCs w:val="26"/>
        </w:rPr>
        <w:t>Federal Power Commission v. Hope Natural Gas Co.,</w:t>
      </w:r>
      <w:r w:rsidR="00B600A7" w:rsidRPr="00B600A7">
        <w:rPr>
          <w:szCs w:val="26"/>
        </w:rPr>
        <w:t xml:space="preserve"> 320 U.S. 591 (1944) (</w:t>
      </w:r>
      <w:r w:rsidR="00B600A7" w:rsidRPr="00B600A7">
        <w:rPr>
          <w:i/>
          <w:szCs w:val="26"/>
        </w:rPr>
        <w:t>Hope</w:t>
      </w:r>
      <w:r w:rsidR="00B600A7" w:rsidRPr="00B600A7">
        <w:rPr>
          <w:szCs w:val="26"/>
        </w:rPr>
        <w:t xml:space="preserve">).  In </w:t>
      </w:r>
      <w:r w:rsidR="00B600A7" w:rsidRPr="00B600A7">
        <w:rPr>
          <w:i/>
          <w:szCs w:val="26"/>
        </w:rPr>
        <w:t>Bluefield</w:t>
      </w:r>
      <w:r w:rsidR="00B600A7" w:rsidRPr="00B600A7">
        <w:rPr>
          <w:szCs w:val="26"/>
        </w:rPr>
        <w:t>, the Court stated:</w:t>
      </w:r>
    </w:p>
    <w:p w:rsidR="00B600A7" w:rsidRPr="00B600A7" w:rsidRDefault="00B600A7" w:rsidP="00B600A7">
      <w:pPr>
        <w:spacing w:line="240" w:lineRule="auto"/>
        <w:contextualSpacing/>
        <w:jc w:val="both"/>
        <w:rPr>
          <w:b/>
          <w:szCs w:val="26"/>
        </w:rPr>
      </w:pPr>
    </w:p>
    <w:p w:rsidR="00B600A7" w:rsidRPr="00B600A7" w:rsidRDefault="00B600A7" w:rsidP="00B600A7">
      <w:pPr>
        <w:spacing w:line="240" w:lineRule="auto"/>
        <w:ind w:left="1440" w:right="1440" w:firstLine="0"/>
        <w:contextualSpacing/>
        <w:rPr>
          <w:szCs w:val="26"/>
        </w:rPr>
      </w:pPr>
      <w:r w:rsidRPr="00B600A7">
        <w:rPr>
          <w:szCs w:val="26"/>
        </w:rPr>
        <w:t>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rate of return may be too high or too low by changes affecting opportunities for investment, the money market and business conditions generally.</w:t>
      </w:r>
    </w:p>
    <w:p w:rsidR="00B600A7" w:rsidRPr="00B600A7" w:rsidRDefault="00B600A7" w:rsidP="00B600A7">
      <w:pPr>
        <w:spacing w:line="240" w:lineRule="auto"/>
        <w:contextualSpacing/>
        <w:rPr>
          <w:szCs w:val="26"/>
        </w:rPr>
      </w:pPr>
    </w:p>
    <w:p w:rsidR="00B600A7" w:rsidRPr="00B600A7" w:rsidRDefault="003E46F5" w:rsidP="00B600A7">
      <w:pPr>
        <w:ind w:firstLine="0"/>
        <w:contextualSpacing/>
        <w:rPr>
          <w:szCs w:val="26"/>
        </w:rPr>
      </w:pPr>
      <w:r w:rsidRPr="003E46F5">
        <w:rPr>
          <w:i/>
          <w:szCs w:val="26"/>
        </w:rPr>
        <w:t>Bluefield</w:t>
      </w:r>
      <w:r>
        <w:rPr>
          <w:szCs w:val="26"/>
        </w:rPr>
        <w:t xml:space="preserve">, </w:t>
      </w:r>
      <w:r w:rsidR="00B600A7" w:rsidRPr="003E46F5">
        <w:rPr>
          <w:szCs w:val="26"/>
        </w:rPr>
        <w:t>262</w:t>
      </w:r>
      <w:r w:rsidR="00B600A7" w:rsidRPr="00B600A7">
        <w:rPr>
          <w:szCs w:val="26"/>
        </w:rPr>
        <w:t xml:space="preserve"> U.S. at 692-93.  In </w:t>
      </w:r>
      <w:r w:rsidR="00B600A7" w:rsidRPr="00B600A7">
        <w:rPr>
          <w:i/>
          <w:szCs w:val="26"/>
        </w:rPr>
        <w:t>Hope</w:t>
      </w:r>
      <w:r w:rsidR="00B600A7" w:rsidRPr="00B600A7">
        <w:rPr>
          <w:szCs w:val="26"/>
        </w:rPr>
        <w:t>, the Court stated:</w:t>
      </w:r>
    </w:p>
    <w:p w:rsidR="00B600A7" w:rsidRPr="00B600A7" w:rsidRDefault="00B600A7" w:rsidP="00B600A7">
      <w:pPr>
        <w:spacing w:line="240" w:lineRule="auto"/>
        <w:contextualSpacing/>
        <w:rPr>
          <w:b/>
          <w:szCs w:val="26"/>
        </w:rPr>
      </w:pPr>
    </w:p>
    <w:p w:rsidR="00B600A7" w:rsidRPr="00B600A7" w:rsidRDefault="00B600A7" w:rsidP="00B600A7">
      <w:pPr>
        <w:spacing w:line="240" w:lineRule="auto"/>
        <w:ind w:left="1440" w:right="1440" w:firstLine="0"/>
        <w:contextualSpacing/>
        <w:rPr>
          <w:szCs w:val="26"/>
        </w:rPr>
      </w:pPr>
      <w:r w:rsidRPr="00B600A7">
        <w:rPr>
          <w:szCs w:val="26"/>
        </w:rPr>
        <w:t>From the investor or company point of view, it is important that there be enough revenue not only for operating expenses but also for the capital costs of the business.  These include service on the debt and dividends on the stock.  By that standard the return to the equity owner should be commensurate with returns on investments in other enterprises having corresponding risks.  That return, moreover, should be sufficient to assure confidence in the financial integrity of the enterprise, so as to maintain its credit and to attract capital.</w:t>
      </w:r>
    </w:p>
    <w:p w:rsidR="00B600A7" w:rsidRPr="00B600A7" w:rsidRDefault="00B600A7" w:rsidP="00B600A7">
      <w:pPr>
        <w:spacing w:line="240" w:lineRule="auto"/>
        <w:rPr>
          <w:b/>
          <w:szCs w:val="26"/>
        </w:rPr>
      </w:pPr>
    </w:p>
    <w:p w:rsidR="00B600A7" w:rsidRDefault="003E46F5" w:rsidP="00B600A7">
      <w:pPr>
        <w:ind w:firstLine="0"/>
        <w:contextualSpacing/>
        <w:rPr>
          <w:szCs w:val="26"/>
        </w:rPr>
      </w:pPr>
      <w:r w:rsidRPr="003E46F5">
        <w:rPr>
          <w:i/>
          <w:szCs w:val="26"/>
        </w:rPr>
        <w:t>Hope</w:t>
      </w:r>
      <w:r>
        <w:rPr>
          <w:szCs w:val="26"/>
        </w:rPr>
        <w:t xml:space="preserve">, </w:t>
      </w:r>
      <w:r w:rsidR="00B600A7" w:rsidRPr="003E46F5">
        <w:rPr>
          <w:szCs w:val="26"/>
        </w:rPr>
        <w:t>320</w:t>
      </w:r>
      <w:r w:rsidR="00B600A7" w:rsidRPr="00B600A7">
        <w:rPr>
          <w:szCs w:val="26"/>
        </w:rPr>
        <w:t xml:space="preserve"> U.S. at 603 (citations omitted).</w:t>
      </w:r>
    </w:p>
    <w:p w:rsidR="005579BE" w:rsidRDefault="005579BE" w:rsidP="00B600A7">
      <w:pPr>
        <w:ind w:firstLine="0"/>
        <w:contextualSpacing/>
        <w:rPr>
          <w:szCs w:val="26"/>
        </w:rPr>
      </w:pPr>
    </w:p>
    <w:p w:rsidR="005579BE" w:rsidRPr="005579BE" w:rsidRDefault="005579BE" w:rsidP="0088570B">
      <w:pPr>
        <w:tabs>
          <w:tab w:val="left" w:pos="1440"/>
        </w:tabs>
        <w:ind w:firstLine="0"/>
        <w:contextualSpacing/>
        <w:rPr>
          <w:szCs w:val="26"/>
        </w:rPr>
      </w:pPr>
      <w:r>
        <w:rPr>
          <w:szCs w:val="26"/>
        </w:rPr>
        <w:tab/>
        <w:t>As a small wastewater utility, DSC has not employed, as permitted under our Regulations, the traditional rate base/rate of return ratemaking formula more common to larger regulated entities.  In this instance, then, it may be said generally that a</w:t>
      </w:r>
      <w:r w:rsidRPr="005579BE">
        <w:rPr>
          <w:szCs w:val="26"/>
        </w:rPr>
        <w:t xml:space="preserve"> just and reasonable rate is one that</w:t>
      </w:r>
      <w:r>
        <w:rPr>
          <w:szCs w:val="26"/>
        </w:rPr>
        <w:t xml:space="preserve"> </w:t>
      </w:r>
      <w:r w:rsidRPr="005579BE">
        <w:rPr>
          <w:szCs w:val="26"/>
        </w:rPr>
        <w:t xml:space="preserve">falls within the zone of reasonableness between confiscation of </w:t>
      </w:r>
      <w:r w:rsidRPr="005579BE">
        <w:rPr>
          <w:szCs w:val="26"/>
        </w:rPr>
        <w:lastRenderedPageBreak/>
        <w:t>utility property or investment interests and ratepayer exploitation after consideration of the relevant competing interests</w:t>
      </w:r>
      <w:r>
        <w:rPr>
          <w:szCs w:val="26"/>
        </w:rPr>
        <w:t xml:space="preserve">.  </w:t>
      </w:r>
      <w:r>
        <w:rPr>
          <w:i/>
          <w:szCs w:val="26"/>
        </w:rPr>
        <w:t>See, e.g.,</w:t>
      </w:r>
      <w:r>
        <w:rPr>
          <w:szCs w:val="26"/>
        </w:rPr>
        <w:t xml:space="preserve"> </w:t>
      </w:r>
      <w:r w:rsidRPr="005579BE">
        <w:rPr>
          <w:szCs w:val="26"/>
        </w:rPr>
        <w:t xml:space="preserve">73B C.J.S. </w:t>
      </w:r>
      <w:r w:rsidRPr="005579BE">
        <w:rPr>
          <w:i/>
          <w:szCs w:val="26"/>
        </w:rPr>
        <w:t>Public Utilities</w:t>
      </w:r>
      <w:r w:rsidRPr="005579BE">
        <w:rPr>
          <w:szCs w:val="26"/>
        </w:rPr>
        <w:t xml:space="preserve"> § 16</w:t>
      </w:r>
      <w:r>
        <w:rPr>
          <w:szCs w:val="26"/>
        </w:rPr>
        <w:t xml:space="preserve"> (2014).  </w:t>
      </w:r>
      <w:r w:rsidRPr="005579BE">
        <w:rPr>
          <w:szCs w:val="26"/>
        </w:rPr>
        <w:t>“</w:t>
      </w:r>
      <w:r w:rsidR="002061B0">
        <w:rPr>
          <w:szCs w:val="26"/>
        </w:rPr>
        <w:t>‘</w:t>
      </w:r>
      <w:r w:rsidRPr="005579BE">
        <w:rPr>
          <w:szCs w:val="26"/>
        </w:rPr>
        <w:t>It is not theory, but the impact of the rate order which counts.</w:t>
      </w:r>
      <w:r w:rsidR="002061B0">
        <w:rPr>
          <w:szCs w:val="26"/>
        </w:rPr>
        <w:t>’</w:t>
      </w:r>
      <w:r w:rsidRPr="005579BE">
        <w:rPr>
          <w:szCs w:val="26"/>
        </w:rPr>
        <w:t xml:space="preserve"> </w:t>
      </w:r>
      <w:r>
        <w:rPr>
          <w:szCs w:val="26"/>
        </w:rPr>
        <w:t xml:space="preserve"> </w:t>
      </w:r>
      <w:r w:rsidRPr="005579BE">
        <w:rPr>
          <w:szCs w:val="26"/>
        </w:rPr>
        <w:t>The economic judgments required in rate proceedings are often hopelessly complex and do not admit of a single correct result.</w:t>
      </w:r>
      <w:r>
        <w:rPr>
          <w:szCs w:val="26"/>
        </w:rPr>
        <w:t xml:space="preserve">” </w:t>
      </w:r>
      <w:r w:rsidR="00CE271C">
        <w:rPr>
          <w:szCs w:val="26"/>
        </w:rPr>
        <w:t xml:space="preserve"> </w:t>
      </w:r>
      <w:r w:rsidR="00CE271C">
        <w:rPr>
          <w:i/>
          <w:szCs w:val="26"/>
        </w:rPr>
        <w:t xml:space="preserve">Duquesne Light Company v. </w:t>
      </w:r>
      <w:proofErr w:type="spellStart"/>
      <w:r w:rsidR="00CE271C">
        <w:rPr>
          <w:i/>
          <w:szCs w:val="26"/>
        </w:rPr>
        <w:t>Barasch</w:t>
      </w:r>
      <w:proofErr w:type="spellEnd"/>
      <w:r w:rsidR="00CE271C">
        <w:rPr>
          <w:szCs w:val="26"/>
        </w:rPr>
        <w:t xml:space="preserve">, </w:t>
      </w:r>
      <w:r w:rsidR="00CE271C" w:rsidRPr="00CE271C">
        <w:rPr>
          <w:szCs w:val="26"/>
        </w:rPr>
        <w:t xml:space="preserve">488 U.S. 299 </w:t>
      </w:r>
      <w:r w:rsidR="00CE271C">
        <w:rPr>
          <w:szCs w:val="26"/>
        </w:rPr>
        <w:t>(1989) (</w:t>
      </w:r>
      <w:r w:rsidR="00CE271C">
        <w:rPr>
          <w:i/>
          <w:szCs w:val="26"/>
        </w:rPr>
        <w:t xml:space="preserve">Duquesne </w:t>
      </w:r>
      <w:r w:rsidR="00CE271C" w:rsidRPr="00CE271C">
        <w:rPr>
          <w:i/>
          <w:szCs w:val="26"/>
        </w:rPr>
        <w:t>Light</w:t>
      </w:r>
      <w:r w:rsidR="00CE271C">
        <w:rPr>
          <w:szCs w:val="26"/>
        </w:rPr>
        <w:t>) a</w:t>
      </w:r>
      <w:r w:rsidR="00CE271C" w:rsidRPr="00CE271C">
        <w:rPr>
          <w:szCs w:val="26"/>
        </w:rPr>
        <w:t>t 314</w:t>
      </w:r>
      <w:r w:rsidR="00CE271C">
        <w:rPr>
          <w:szCs w:val="26"/>
        </w:rPr>
        <w:t xml:space="preserve">, </w:t>
      </w:r>
      <w:r w:rsidRPr="00CE271C">
        <w:rPr>
          <w:szCs w:val="26"/>
        </w:rPr>
        <w:t>quoting</w:t>
      </w:r>
      <w:r>
        <w:rPr>
          <w:szCs w:val="26"/>
        </w:rPr>
        <w:t xml:space="preserve"> </w:t>
      </w:r>
      <w:hyperlink r:id="rId14" w:history="1">
        <w:r w:rsidRPr="00C6224D">
          <w:rPr>
            <w:rStyle w:val="Hyperlink"/>
            <w:i/>
            <w:iCs/>
            <w:color w:val="auto"/>
            <w:szCs w:val="26"/>
          </w:rPr>
          <w:t>Hope</w:t>
        </w:r>
        <w:r w:rsidRPr="005579BE">
          <w:rPr>
            <w:rStyle w:val="Hyperlink"/>
            <w:i/>
            <w:iCs/>
            <w:szCs w:val="26"/>
          </w:rPr>
          <w:t>,</w:t>
        </w:r>
      </w:hyperlink>
      <w:r w:rsidRPr="005579BE">
        <w:rPr>
          <w:szCs w:val="26"/>
        </w:rPr>
        <w:t xml:space="preserve"> 320 U.S. at 602</w:t>
      </w:r>
      <w:r>
        <w:rPr>
          <w:szCs w:val="26"/>
        </w:rPr>
        <w:t>.</w:t>
      </w:r>
    </w:p>
    <w:p w:rsidR="003A438D" w:rsidRDefault="003A438D" w:rsidP="003A438D"/>
    <w:p w:rsidR="00B600A7" w:rsidRDefault="00B600A7" w:rsidP="00B21210">
      <w:pPr>
        <w:pStyle w:val="Heading2"/>
        <w:numPr>
          <w:ilvl w:val="0"/>
          <w:numId w:val="21"/>
        </w:numPr>
        <w:ind w:left="720" w:hanging="720"/>
      </w:pPr>
      <w:bookmarkStart w:id="4" w:name="_Toc425179767"/>
      <w:r>
        <w:t>Recommended Decision</w:t>
      </w:r>
      <w:bookmarkEnd w:id="4"/>
    </w:p>
    <w:p w:rsidR="00B600A7" w:rsidRDefault="00B600A7" w:rsidP="00B21210">
      <w:pPr>
        <w:keepNext/>
      </w:pPr>
    </w:p>
    <w:p w:rsidR="00B600A7" w:rsidRDefault="00B600A7" w:rsidP="00B21210">
      <w:pPr>
        <w:keepNext/>
        <w:keepLines/>
        <w:tabs>
          <w:tab w:val="left" w:pos="-1440"/>
          <w:tab w:val="left" w:pos="-720"/>
        </w:tabs>
        <w:rPr>
          <w:kern w:val="1"/>
          <w:szCs w:val="26"/>
        </w:rPr>
      </w:pPr>
      <w:r>
        <w:rPr>
          <w:kern w:val="1"/>
          <w:szCs w:val="26"/>
        </w:rPr>
        <w:t xml:space="preserve">As a preliminary matter, we note that the ALJ </w:t>
      </w:r>
      <w:r w:rsidR="003E46F5">
        <w:rPr>
          <w:kern w:val="1"/>
          <w:szCs w:val="26"/>
        </w:rPr>
        <w:t xml:space="preserve">made </w:t>
      </w:r>
      <w:r>
        <w:rPr>
          <w:kern w:val="1"/>
          <w:szCs w:val="26"/>
        </w:rPr>
        <w:t xml:space="preserve">six Findings of Fact and reached nineteen Conclusions of Law.  </w:t>
      </w:r>
      <w:r w:rsidR="00FE0D6C">
        <w:rPr>
          <w:kern w:val="1"/>
          <w:szCs w:val="26"/>
        </w:rPr>
        <w:t>R</w:t>
      </w:r>
      <w:r>
        <w:rPr>
          <w:kern w:val="1"/>
          <w:szCs w:val="26"/>
        </w:rPr>
        <w:t>.D. at 6-7</w:t>
      </w:r>
      <w:r w:rsidR="007A43E1">
        <w:rPr>
          <w:kern w:val="1"/>
          <w:szCs w:val="26"/>
        </w:rPr>
        <w:t>;</w:t>
      </w:r>
      <w:r>
        <w:rPr>
          <w:kern w:val="1"/>
          <w:szCs w:val="26"/>
        </w:rPr>
        <w:t xml:space="preserve"> 20-23.  We will adopt the Findings of Fact and Conclusions of Law unless they are overruled expressly or by necessary implication.</w:t>
      </w:r>
    </w:p>
    <w:p w:rsidR="00B600A7" w:rsidRPr="00B600A7" w:rsidRDefault="00B600A7" w:rsidP="00B600A7"/>
    <w:p w:rsidR="00FE0D6C" w:rsidRPr="000841EB" w:rsidRDefault="00FE0D6C" w:rsidP="000841EB">
      <w:pPr>
        <w:tabs>
          <w:tab w:val="left" w:pos="2160"/>
        </w:tabs>
        <w:rPr>
          <w:szCs w:val="26"/>
        </w:rPr>
      </w:pPr>
      <w:r w:rsidRPr="000841EB">
        <w:rPr>
          <w:szCs w:val="26"/>
        </w:rPr>
        <w:t xml:space="preserve">The ALJ found that DSC failed to provide substantial evidence to meet the burden of proving the justness and reasonableness of </w:t>
      </w:r>
      <w:r w:rsidR="003E46F5">
        <w:rPr>
          <w:szCs w:val="26"/>
        </w:rPr>
        <w:t>its</w:t>
      </w:r>
      <w:r w:rsidR="003E46F5" w:rsidRPr="000841EB">
        <w:rPr>
          <w:szCs w:val="26"/>
        </w:rPr>
        <w:t xml:space="preserve"> </w:t>
      </w:r>
      <w:r w:rsidRPr="000841EB">
        <w:rPr>
          <w:szCs w:val="26"/>
        </w:rPr>
        <w:t>proposed rate increase and</w:t>
      </w:r>
      <w:r w:rsidR="00824738">
        <w:rPr>
          <w:szCs w:val="26"/>
        </w:rPr>
        <w:t>,</w:t>
      </w:r>
      <w:r w:rsidRPr="000841EB">
        <w:rPr>
          <w:szCs w:val="26"/>
        </w:rPr>
        <w:t xml:space="preserve"> therefore</w:t>
      </w:r>
      <w:r w:rsidR="00824738">
        <w:rPr>
          <w:szCs w:val="26"/>
        </w:rPr>
        <w:t>,</w:t>
      </w:r>
      <w:r w:rsidRPr="000841EB">
        <w:rPr>
          <w:szCs w:val="26"/>
        </w:rPr>
        <w:t xml:space="preserve"> </w:t>
      </w:r>
      <w:r w:rsidR="007A43E1">
        <w:rPr>
          <w:szCs w:val="26"/>
        </w:rPr>
        <w:t xml:space="preserve">that </w:t>
      </w:r>
      <w:r w:rsidRPr="000841EB">
        <w:rPr>
          <w:szCs w:val="26"/>
        </w:rPr>
        <w:t xml:space="preserve">the proposed rate increase </w:t>
      </w:r>
      <w:r w:rsidR="00CE271C">
        <w:rPr>
          <w:szCs w:val="26"/>
        </w:rPr>
        <w:t>was</w:t>
      </w:r>
      <w:r w:rsidR="00CE271C" w:rsidRPr="000841EB">
        <w:rPr>
          <w:szCs w:val="26"/>
        </w:rPr>
        <w:t xml:space="preserve"> </w:t>
      </w:r>
      <w:r w:rsidRPr="000841EB">
        <w:rPr>
          <w:szCs w:val="26"/>
        </w:rPr>
        <w:t>not in the public interest.  DSC re</w:t>
      </w:r>
      <w:r w:rsidR="003E46F5">
        <w:rPr>
          <w:szCs w:val="26"/>
        </w:rPr>
        <w:t>quested</w:t>
      </w:r>
      <w:r w:rsidRPr="000841EB">
        <w:rPr>
          <w:szCs w:val="26"/>
        </w:rPr>
        <w:t xml:space="preserve"> that it be permitted to use a hybrid rate of return/operating ratio ratemaking method to determine proposed rates</w:t>
      </w:r>
      <w:r w:rsidR="0088570B">
        <w:rPr>
          <w:szCs w:val="26"/>
        </w:rPr>
        <w:t xml:space="preserve"> </w:t>
      </w:r>
      <w:r w:rsidR="00866FC0">
        <w:rPr>
          <w:szCs w:val="26"/>
        </w:rPr>
        <w:t>that</w:t>
      </w:r>
      <w:r w:rsidR="00866FC0" w:rsidRPr="000841EB">
        <w:rPr>
          <w:szCs w:val="26"/>
        </w:rPr>
        <w:t xml:space="preserve"> </w:t>
      </w:r>
      <w:r w:rsidRPr="000841EB">
        <w:rPr>
          <w:szCs w:val="26"/>
        </w:rPr>
        <w:t xml:space="preserve">the ALJ rejected as being contrary to law.  </w:t>
      </w:r>
      <w:r w:rsidR="007A43E1">
        <w:rPr>
          <w:szCs w:val="26"/>
        </w:rPr>
        <w:t>I</w:t>
      </w:r>
      <w:r w:rsidR="00702AA0">
        <w:rPr>
          <w:szCs w:val="26"/>
        </w:rPr>
        <w:t>n</w:t>
      </w:r>
      <w:r w:rsidR="007A43E1">
        <w:rPr>
          <w:szCs w:val="26"/>
        </w:rPr>
        <w:t xml:space="preserve"> lieu of the Company</w:t>
      </w:r>
      <w:r w:rsidR="002061B0">
        <w:rPr>
          <w:szCs w:val="26"/>
        </w:rPr>
        <w:t>’</w:t>
      </w:r>
      <w:r w:rsidR="007A43E1">
        <w:rPr>
          <w:szCs w:val="26"/>
        </w:rPr>
        <w:t xml:space="preserve">s proposal, </w:t>
      </w:r>
      <w:r w:rsidR="00AA7064" w:rsidRPr="000841EB">
        <w:rPr>
          <w:szCs w:val="26"/>
        </w:rPr>
        <w:t>the ALJ recommend</w:t>
      </w:r>
      <w:r w:rsidR="003E46F5">
        <w:rPr>
          <w:szCs w:val="26"/>
        </w:rPr>
        <w:t>ed</w:t>
      </w:r>
      <w:r w:rsidR="00AA7064" w:rsidRPr="000841EB">
        <w:rPr>
          <w:szCs w:val="26"/>
        </w:rPr>
        <w:t xml:space="preserve"> that the Commission use the operating ratio methodology as set out in the Commission</w:t>
      </w:r>
      <w:r w:rsidR="002061B0">
        <w:rPr>
          <w:szCs w:val="26"/>
        </w:rPr>
        <w:t>’</w:t>
      </w:r>
      <w:r w:rsidR="003E46F5">
        <w:rPr>
          <w:szCs w:val="26"/>
        </w:rPr>
        <w:t>s</w:t>
      </w:r>
      <w:r w:rsidR="00AA7064" w:rsidRPr="000841EB">
        <w:rPr>
          <w:szCs w:val="26"/>
        </w:rPr>
        <w:t xml:space="preserve"> Regulations at 52 Pa.</w:t>
      </w:r>
      <w:r w:rsidR="007A43E1">
        <w:rPr>
          <w:szCs w:val="26"/>
        </w:rPr>
        <w:t xml:space="preserve"> </w:t>
      </w:r>
      <w:r w:rsidR="00AA7064" w:rsidRPr="000841EB">
        <w:rPr>
          <w:szCs w:val="26"/>
        </w:rPr>
        <w:t xml:space="preserve">Code § 53.54(b).  </w:t>
      </w:r>
      <w:r w:rsidRPr="000841EB">
        <w:rPr>
          <w:szCs w:val="26"/>
        </w:rPr>
        <w:t xml:space="preserve">As reflected in the discussion of the Exceptions, </w:t>
      </w:r>
      <w:r w:rsidRPr="000841EB">
        <w:rPr>
          <w:i/>
          <w:szCs w:val="26"/>
        </w:rPr>
        <w:t>infra</w:t>
      </w:r>
      <w:r w:rsidRPr="000841EB">
        <w:rPr>
          <w:szCs w:val="26"/>
        </w:rPr>
        <w:t xml:space="preserve">, </w:t>
      </w:r>
      <w:r w:rsidR="00AA7064" w:rsidRPr="000841EB">
        <w:rPr>
          <w:szCs w:val="26"/>
        </w:rPr>
        <w:t xml:space="preserve">the ALJ </w:t>
      </w:r>
      <w:r w:rsidR="007A43E1">
        <w:rPr>
          <w:szCs w:val="26"/>
        </w:rPr>
        <w:t xml:space="preserve">also </w:t>
      </w:r>
      <w:r w:rsidR="00AA7064" w:rsidRPr="000841EB">
        <w:rPr>
          <w:szCs w:val="26"/>
        </w:rPr>
        <w:t>either modified or rejected specific expense claims</w:t>
      </w:r>
      <w:r w:rsidR="007A43E1">
        <w:rPr>
          <w:szCs w:val="26"/>
        </w:rPr>
        <w:t xml:space="preserve"> contained in the Company</w:t>
      </w:r>
      <w:r w:rsidR="002061B0">
        <w:rPr>
          <w:szCs w:val="26"/>
        </w:rPr>
        <w:t>’</w:t>
      </w:r>
      <w:r w:rsidR="007A43E1">
        <w:rPr>
          <w:szCs w:val="26"/>
        </w:rPr>
        <w:t>s filing.</w:t>
      </w:r>
      <w:r w:rsidR="00AA7064" w:rsidRPr="000841EB">
        <w:rPr>
          <w:szCs w:val="26"/>
        </w:rPr>
        <w:t xml:space="preserve">  As a result of the ALJ</w:t>
      </w:r>
      <w:r w:rsidR="002061B0">
        <w:rPr>
          <w:szCs w:val="26"/>
        </w:rPr>
        <w:t>’</w:t>
      </w:r>
      <w:r w:rsidR="00AA7064" w:rsidRPr="000841EB">
        <w:rPr>
          <w:szCs w:val="26"/>
        </w:rPr>
        <w:t>s proposed adjust</w:t>
      </w:r>
      <w:r w:rsidR="000841EB" w:rsidRPr="000841EB">
        <w:rPr>
          <w:szCs w:val="26"/>
        </w:rPr>
        <w:t>ments, the ALJ recommended that DSC be permitted to recover total</w:t>
      </w:r>
      <w:r w:rsidRPr="000841EB">
        <w:rPr>
          <w:szCs w:val="26"/>
        </w:rPr>
        <w:t xml:space="preserve"> expenses of $38,133 and operating revenues totaling $39,171</w:t>
      </w:r>
      <w:r w:rsidR="003E46F5">
        <w:rPr>
          <w:szCs w:val="26"/>
        </w:rPr>
        <w:t xml:space="preserve">, </w:t>
      </w:r>
      <w:r w:rsidRPr="000841EB">
        <w:rPr>
          <w:szCs w:val="26"/>
        </w:rPr>
        <w:t xml:space="preserve">with a 2.65% </w:t>
      </w:r>
      <w:r w:rsidRPr="000841EB">
        <w:rPr>
          <w:szCs w:val="26"/>
        </w:rPr>
        <w:lastRenderedPageBreak/>
        <w:t>operating ratio.</w:t>
      </w:r>
      <w:r w:rsidR="00795E73">
        <w:rPr>
          <w:rStyle w:val="FootnoteReference"/>
          <w:szCs w:val="26"/>
        </w:rPr>
        <w:footnoteReference w:id="3"/>
      </w:r>
      <w:r w:rsidRPr="000841EB">
        <w:rPr>
          <w:szCs w:val="26"/>
        </w:rPr>
        <w:t xml:space="preserve">  </w:t>
      </w:r>
      <w:r w:rsidR="000841EB" w:rsidRPr="000841EB">
        <w:rPr>
          <w:szCs w:val="26"/>
        </w:rPr>
        <w:t xml:space="preserve">The ALJ explained that her recommendation would result </w:t>
      </w:r>
      <w:r w:rsidRPr="000841EB">
        <w:rPr>
          <w:szCs w:val="26"/>
        </w:rPr>
        <w:t>in an $85.90 monthly bill to DSC customers or a</w:t>
      </w:r>
      <w:r w:rsidR="003E46F5">
        <w:rPr>
          <w:szCs w:val="26"/>
        </w:rPr>
        <w:t>n increase of</w:t>
      </w:r>
      <w:r w:rsidRPr="000841EB">
        <w:rPr>
          <w:szCs w:val="26"/>
        </w:rPr>
        <w:t xml:space="preserve"> </w:t>
      </w:r>
      <w:r w:rsidR="000841EB">
        <w:rPr>
          <w:szCs w:val="26"/>
        </w:rPr>
        <w:t>65%</w:t>
      </w:r>
      <w:r w:rsidR="000841EB" w:rsidRPr="000841EB">
        <w:rPr>
          <w:szCs w:val="26"/>
        </w:rPr>
        <w:t xml:space="preserve"> </w:t>
      </w:r>
      <w:r w:rsidR="003E46F5">
        <w:rPr>
          <w:szCs w:val="26"/>
        </w:rPr>
        <w:t>over</w:t>
      </w:r>
      <w:r w:rsidRPr="000841EB">
        <w:rPr>
          <w:szCs w:val="26"/>
        </w:rPr>
        <w:t xml:space="preserve"> their current bill</w:t>
      </w:r>
      <w:r w:rsidR="000841EB" w:rsidRPr="000841EB">
        <w:rPr>
          <w:szCs w:val="26"/>
        </w:rPr>
        <w:t xml:space="preserve">s of </w:t>
      </w:r>
      <w:r w:rsidRPr="000841EB">
        <w:rPr>
          <w:szCs w:val="26"/>
        </w:rPr>
        <w:t xml:space="preserve">$52 monthly.  </w:t>
      </w:r>
      <w:r w:rsidR="000841EB">
        <w:rPr>
          <w:szCs w:val="26"/>
        </w:rPr>
        <w:t xml:space="preserve">R.D. at 18-19.  </w:t>
      </w:r>
    </w:p>
    <w:p w:rsidR="00B600A7" w:rsidRDefault="00B600A7" w:rsidP="007A43E1"/>
    <w:p w:rsidR="008B40CF" w:rsidRDefault="008B40CF" w:rsidP="002D2D21">
      <w:pPr>
        <w:pStyle w:val="Heading2"/>
        <w:keepLines w:val="0"/>
        <w:numPr>
          <w:ilvl w:val="0"/>
          <w:numId w:val="21"/>
        </w:numPr>
        <w:ind w:left="720" w:hanging="720"/>
      </w:pPr>
      <w:bookmarkStart w:id="5" w:name="_Toc425179768"/>
      <w:r>
        <w:t>Exceptions</w:t>
      </w:r>
      <w:bookmarkEnd w:id="5"/>
    </w:p>
    <w:p w:rsidR="00EF3972" w:rsidRDefault="00EF3972" w:rsidP="002D2D21">
      <w:pPr>
        <w:keepNext/>
      </w:pPr>
    </w:p>
    <w:p w:rsidR="00EB5253" w:rsidRPr="00EB5253" w:rsidRDefault="00EB5253" w:rsidP="002D2D21">
      <w:pPr>
        <w:keepNext/>
        <w:rPr>
          <w:rFonts w:cs="Mangal"/>
          <w:szCs w:val="26"/>
          <w:lang w:bidi="hi-IN"/>
        </w:rPr>
      </w:pPr>
      <w:r w:rsidRPr="00EB5253">
        <w:rPr>
          <w:rFonts w:cs="Mangal"/>
          <w:szCs w:val="26"/>
          <w:lang w:bidi="hi-IN"/>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EB5253">
        <w:rPr>
          <w:rFonts w:cs="Mangal"/>
          <w:i/>
          <w:szCs w:val="26"/>
          <w:lang w:bidi="hi-IN"/>
        </w:rPr>
        <w:t>Consolidated Rail Corporation v. P</w:t>
      </w:r>
      <w:r w:rsidR="000E794B">
        <w:rPr>
          <w:rFonts w:cs="Mangal"/>
          <w:i/>
          <w:szCs w:val="26"/>
          <w:lang w:bidi="hi-IN"/>
        </w:rPr>
        <w:t>a.</w:t>
      </w:r>
      <w:r w:rsidRPr="00EB5253">
        <w:rPr>
          <w:rFonts w:cs="Mangal"/>
          <w:i/>
          <w:szCs w:val="26"/>
          <w:lang w:bidi="hi-IN"/>
        </w:rPr>
        <w:t xml:space="preserve"> P</w:t>
      </w:r>
      <w:r w:rsidR="00990654">
        <w:rPr>
          <w:rFonts w:cs="Mangal"/>
          <w:i/>
          <w:szCs w:val="26"/>
          <w:lang w:bidi="hi-IN"/>
        </w:rPr>
        <w:t>UC</w:t>
      </w:r>
      <w:r w:rsidRPr="00EB5253">
        <w:rPr>
          <w:rFonts w:cs="Mangal"/>
          <w:szCs w:val="26"/>
          <w:lang w:bidi="hi-IN"/>
        </w:rPr>
        <w:t xml:space="preserve">, 625 A.2d 741 (Pa. </w:t>
      </w:r>
      <w:proofErr w:type="spellStart"/>
      <w:r w:rsidRPr="00EB5253">
        <w:rPr>
          <w:rFonts w:cs="Mangal"/>
          <w:szCs w:val="26"/>
          <w:lang w:bidi="hi-IN"/>
        </w:rPr>
        <w:t>Cmwlth</w:t>
      </w:r>
      <w:proofErr w:type="spellEnd"/>
      <w:r w:rsidRPr="00EB5253">
        <w:rPr>
          <w:rFonts w:cs="Mangal"/>
          <w:szCs w:val="26"/>
          <w:lang w:bidi="hi-IN"/>
        </w:rPr>
        <w:t xml:space="preserve">. 1993); </w:t>
      </w:r>
      <w:r w:rsidRPr="00EB5253">
        <w:rPr>
          <w:rFonts w:cs="Mangal"/>
          <w:i/>
          <w:szCs w:val="26"/>
          <w:lang w:bidi="hi-IN"/>
        </w:rPr>
        <w:t>see also</w:t>
      </w:r>
      <w:r w:rsidRPr="00EB5253">
        <w:rPr>
          <w:rFonts w:cs="Mangal"/>
          <w:szCs w:val="26"/>
          <w:lang w:bidi="hi-IN"/>
        </w:rPr>
        <w:t xml:space="preserve">, </w:t>
      </w:r>
      <w:r w:rsidRPr="00EB5253">
        <w:rPr>
          <w:rFonts w:cs="Mangal"/>
          <w:i/>
          <w:szCs w:val="26"/>
          <w:lang w:bidi="hi-IN"/>
        </w:rPr>
        <w:t>generally</w:t>
      </w:r>
      <w:r w:rsidRPr="00EB5253">
        <w:rPr>
          <w:rFonts w:cs="Mangal"/>
          <w:szCs w:val="26"/>
          <w:lang w:bidi="hi-IN"/>
        </w:rPr>
        <w:t xml:space="preserve">, </w:t>
      </w:r>
      <w:r w:rsidRPr="00EB5253">
        <w:rPr>
          <w:rFonts w:cs="Mangal"/>
          <w:i/>
          <w:szCs w:val="26"/>
          <w:lang w:bidi="hi-IN"/>
        </w:rPr>
        <w:t>University of Pennsylvania v. Pa. PUC</w:t>
      </w:r>
      <w:r w:rsidRPr="00EB5253">
        <w:rPr>
          <w:rFonts w:cs="Mangal"/>
          <w:szCs w:val="26"/>
          <w:lang w:bidi="hi-IN"/>
        </w:rPr>
        <w:t xml:space="preserve">, 485 A.2d 1217 (Pa. </w:t>
      </w:r>
      <w:proofErr w:type="spellStart"/>
      <w:r w:rsidRPr="00EB5253">
        <w:rPr>
          <w:rFonts w:cs="Mangal"/>
          <w:szCs w:val="26"/>
          <w:lang w:bidi="hi-IN"/>
        </w:rPr>
        <w:t>Cmwlth</w:t>
      </w:r>
      <w:proofErr w:type="spellEnd"/>
      <w:r w:rsidRPr="00EB5253">
        <w:rPr>
          <w:rFonts w:cs="Mangal"/>
          <w:szCs w:val="26"/>
          <w:lang w:bidi="hi-IN"/>
        </w:rPr>
        <w:t>. 1984).</w:t>
      </w:r>
    </w:p>
    <w:p w:rsidR="00EB5253" w:rsidRPr="00EB5253" w:rsidRDefault="00EB5253" w:rsidP="00EB5253">
      <w:pPr>
        <w:rPr>
          <w:rFonts w:cs="Mangal"/>
          <w:szCs w:val="26"/>
          <w:lang w:bidi="hi-IN"/>
        </w:rPr>
      </w:pPr>
    </w:p>
    <w:p w:rsidR="00EB5253" w:rsidRDefault="00907154" w:rsidP="00907154">
      <w:pPr>
        <w:pStyle w:val="Heading3"/>
      </w:pPr>
      <w:bookmarkStart w:id="6" w:name="_Toc425179769"/>
      <w:r>
        <w:t>Quality of Service</w:t>
      </w:r>
      <w:bookmarkEnd w:id="6"/>
    </w:p>
    <w:p w:rsidR="00DF0871" w:rsidRDefault="00DF0871" w:rsidP="00EA1893">
      <w:pPr>
        <w:rPr>
          <w:rFonts w:eastAsiaTheme="minorHAnsi"/>
        </w:rPr>
      </w:pPr>
    </w:p>
    <w:p w:rsidR="00907154" w:rsidRDefault="00907154" w:rsidP="00702AA0">
      <w:pPr>
        <w:pStyle w:val="Heading4"/>
        <w:ind w:left="2160" w:hanging="720"/>
        <w:rPr>
          <w:rFonts w:eastAsiaTheme="minorHAnsi"/>
        </w:rPr>
      </w:pPr>
      <w:r w:rsidRPr="00907154">
        <w:rPr>
          <w:rFonts w:eastAsiaTheme="minorHAnsi"/>
        </w:rPr>
        <w:t>ALJ Recommendation</w:t>
      </w:r>
    </w:p>
    <w:p w:rsidR="00907154" w:rsidRDefault="00907154" w:rsidP="00907154">
      <w:pPr>
        <w:rPr>
          <w:rFonts w:eastAsiaTheme="minorHAnsi"/>
        </w:rPr>
      </w:pPr>
    </w:p>
    <w:p w:rsidR="00907154" w:rsidRDefault="00907154" w:rsidP="00907154">
      <w:pPr>
        <w:tabs>
          <w:tab w:val="left" w:pos="-720"/>
        </w:tabs>
        <w:suppressAutoHyphens/>
        <w:rPr>
          <w:szCs w:val="26"/>
        </w:rPr>
      </w:pPr>
      <w:r w:rsidRPr="00907154">
        <w:rPr>
          <w:szCs w:val="26"/>
        </w:rPr>
        <w:t>The ALJ noted the OCA</w:t>
      </w:r>
      <w:r w:rsidR="002061B0">
        <w:rPr>
          <w:szCs w:val="26"/>
        </w:rPr>
        <w:t>’</w:t>
      </w:r>
      <w:r w:rsidRPr="00907154">
        <w:rPr>
          <w:szCs w:val="26"/>
        </w:rPr>
        <w:t>s argument that DSC should not receive a rate increase because</w:t>
      </w:r>
      <w:r w:rsidR="00702AA0">
        <w:rPr>
          <w:szCs w:val="26"/>
        </w:rPr>
        <w:t>: (1) it is not a viable system; (2)</w:t>
      </w:r>
      <w:r w:rsidRPr="00907154">
        <w:rPr>
          <w:szCs w:val="26"/>
        </w:rPr>
        <w:t xml:space="preserve"> it is not self-sustaining</w:t>
      </w:r>
      <w:r w:rsidR="003E46F5">
        <w:rPr>
          <w:szCs w:val="26"/>
        </w:rPr>
        <w:t>;</w:t>
      </w:r>
      <w:r w:rsidRPr="00907154">
        <w:rPr>
          <w:szCs w:val="26"/>
        </w:rPr>
        <w:t xml:space="preserve"> and </w:t>
      </w:r>
      <w:r w:rsidR="00702AA0">
        <w:rPr>
          <w:szCs w:val="26"/>
        </w:rPr>
        <w:t xml:space="preserve">(3) it </w:t>
      </w:r>
      <w:r w:rsidRPr="00907154">
        <w:rPr>
          <w:szCs w:val="26"/>
        </w:rPr>
        <w:t>does not have the requisite financial, managerial</w:t>
      </w:r>
      <w:r w:rsidR="003E46F5">
        <w:rPr>
          <w:szCs w:val="26"/>
        </w:rPr>
        <w:t>,</w:t>
      </w:r>
      <w:r w:rsidRPr="00907154">
        <w:rPr>
          <w:szCs w:val="26"/>
        </w:rPr>
        <w:t xml:space="preserve"> and technical capabilities to meet Commission and DEP requirements.  The ALJ also noted that </w:t>
      </w:r>
      <w:r w:rsidRPr="00990654">
        <w:rPr>
          <w:szCs w:val="26"/>
        </w:rPr>
        <w:t>I&amp;E did not make a similar argument regarding quality of service and</w:t>
      </w:r>
      <w:r w:rsidRPr="00907154">
        <w:rPr>
          <w:szCs w:val="26"/>
        </w:rPr>
        <w:t xml:space="preserve"> none of the Formal Complainants complained about service</w:t>
      </w:r>
      <w:r w:rsidR="004521B7">
        <w:rPr>
          <w:szCs w:val="26"/>
        </w:rPr>
        <w:t>;</w:t>
      </w:r>
      <w:r w:rsidRPr="00907154">
        <w:rPr>
          <w:szCs w:val="26"/>
        </w:rPr>
        <w:t xml:space="preserve"> they simply </w:t>
      </w:r>
      <w:r w:rsidR="003E46F5">
        <w:rPr>
          <w:szCs w:val="26"/>
        </w:rPr>
        <w:t>found</w:t>
      </w:r>
      <w:r w:rsidR="003E46F5" w:rsidRPr="00907154">
        <w:rPr>
          <w:szCs w:val="26"/>
        </w:rPr>
        <w:t xml:space="preserve"> </w:t>
      </w:r>
      <w:r w:rsidRPr="00907154">
        <w:rPr>
          <w:szCs w:val="26"/>
        </w:rPr>
        <w:t>the rate increase request indefensible.</w:t>
      </w:r>
      <w:r>
        <w:rPr>
          <w:szCs w:val="26"/>
        </w:rPr>
        <w:t xml:space="preserve">  R.D. at 11. </w:t>
      </w:r>
    </w:p>
    <w:p w:rsidR="00907154" w:rsidRDefault="00907154" w:rsidP="00907154">
      <w:pPr>
        <w:tabs>
          <w:tab w:val="left" w:pos="-720"/>
        </w:tabs>
        <w:suppressAutoHyphens/>
        <w:rPr>
          <w:szCs w:val="26"/>
        </w:rPr>
      </w:pPr>
    </w:p>
    <w:p w:rsidR="00907154" w:rsidRDefault="00907154" w:rsidP="00907154">
      <w:pPr>
        <w:pStyle w:val="ListParagraph"/>
        <w:tabs>
          <w:tab w:val="left" w:pos="2160"/>
        </w:tabs>
        <w:ind w:left="0"/>
        <w:rPr>
          <w:szCs w:val="26"/>
        </w:rPr>
      </w:pPr>
      <w:r w:rsidRPr="00D747AF">
        <w:rPr>
          <w:szCs w:val="26"/>
        </w:rPr>
        <w:t>The ALJ explained that</w:t>
      </w:r>
      <w:r w:rsidR="00D747AF" w:rsidRPr="00D747AF">
        <w:rPr>
          <w:szCs w:val="26"/>
        </w:rPr>
        <w:t xml:space="preserve"> the service rendered by DSC is required,</w:t>
      </w:r>
      <w:r w:rsidRPr="00D747AF">
        <w:rPr>
          <w:szCs w:val="26"/>
        </w:rPr>
        <w:t xml:space="preserve"> there is a cost of providing the service as it is currently being </w:t>
      </w:r>
      <w:r w:rsidR="006916ED">
        <w:rPr>
          <w:szCs w:val="26"/>
        </w:rPr>
        <w:t>rendered</w:t>
      </w:r>
      <w:r w:rsidR="00892312">
        <w:rPr>
          <w:szCs w:val="26"/>
        </w:rPr>
        <w:t>,</w:t>
      </w:r>
      <w:r w:rsidRPr="00D747AF">
        <w:rPr>
          <w:szCs w:val="26"/>
        </w:rPr>
        <w:t xml:space="preserve"> and those costs are not being covered by the </w:t>
      </w:r>
      <w:r w:rsidR="004521B7">
        <w:rPr>
          <w:szCs w:val="26"/>
        </w:rPr>
        <w:t>customers</w:t>
      </w:r>
      <w:r w:rsidR="002061B0">
        <w:rPr>
          <w:szCs w:val="26"/>
        </w:rPr>
        <w:t>’</w:t>
      </w:r>
      <w:r w:rsidR="004521B7">
        <w:rPr>
          <w:szCs w:val="26"/>
        </w:rPr>
        <w:t xml:space="preserve"> </w:t>
      </w:r>
      <w:r w:rsidRPr="00D747AF">
        <w:rPr>
          <w:szCs w:val="26"/>
        </w:rPr>
        <w:t>current monthly rate</w:t>
      </w:r>
      <w:r w:rsidR="004521B7">
        <w:rPr>
          <w:szCs w:val="26"/>
        </w:rPr>
        <w:t>s</w:t>
      </w:r>
      <w:r w:rsidRPr="00D747AF">
        <w:rPr>
          <w:szCs w:val="26"/>
        </w:rPr>
        <w:t xml:space="preserve">.  The ALJ opined that </w:t>
      </w:r>
      <w:r w:rsidR="00D747AF" w:rsidRPr="00D747AF">
        <w:rPr>
          <w:szCs w:val="26"/>
        </w:rPr>
        <w:t xml:space="preserve">there are reasonable costs </w:t>
      </w:r>
      <w:r w:rsidR="00501178">
        <w:rPr>
          <w:szCs w:val="26"/>
        </w:rPr>
        <w:t>of</w:t>
      </w:r>
      <w:r w:rsidR="00D747AF" w:rsidRPr="00D747AF">
        <w:rPr>
          <w:szCs w:val="26"/>
        </w:rPr>
        <w:t xml:space="preserve"> providing the service</w:t>
      </w:r>
      <w:r w:rsidR="00501178">
        <w:rPr>
          <w:szCs w:val="26"/>
        </w:rPr>
        <w:t xml:space="preserve"> and</w:t>
      </w:r>
      <w:r w:rsidR="00D747AF" w:rsidRPr="00D747AF">
        <w:rPr>
          <w:szCs w:val="26"/>
        </w:rPr>
        <w:t xml:space="preserve"> the reasonable and prudent costs should be covered by the customer rates.  </w:t>
      </w:r>
      <w:r w:rsidRPr="00D747AF">
        <w:rPr>
          <w:szCs w:val="26"/>
        </w:rPr>
        <w:t xml:space="preserve">The ALJ stated that </w:t>
      </w:r>
      <w:r w:rsidR="00501178">
        <w:rPr>
          <w:szCs w:val="26"/>
        </w:rPr>
        <w:t>“[</w:t>
      </w:r>
      <w:r w:rsidRPr="00D747AF">
        <w:rPr>
          <w:szCs w:val="26"/>
        </w:rPr>
        <w:t>b</w:t>
      </w:r>
      <w:r w:rsidR="00501178">
        <w:rPr>
          <w:szCs w:val="26"/>
        </w:rPr>
        <w:t>]</w:t>
      </w:r>
      <w:proofErr w:type="spellStart"/>
      <w:r w:rsidRPr="00D747AF">
        <w:rPr>
          <w:szCs w:val="26"/>
        </w:rPr>
        <w:t>ecause</w:t>
      </w:r>
      <w:proofErr w:type="spellEnd"/>
      <w:r w:rsidRPr="00D747AF">
        <w:rPr>
          <w:szCs w:val="26"/>
        </w:rPr>
        <w:t xml:space="preserve"> DSC has not regularly applied for appropriate rate increases, we are put in a nearly untenable position of trying to catch-up to reflect current market costs of providing the service.</w:t>
      </w:r>
      <w:r w:rsidR="00501178">
        <w:rPr>
          <w:szCs w:val="26"/>
        </w:rPr>
        <w:t>”  R.D. at 11.</w:t>
      </w:r>
      <w:r w:rsidRPr="00D747AF">
        <w:rPr>
          <w:szCs w:val="26"/>
        </w:rPr>
        <w:t xml:space="preserve">  </w:t>
      </w:r>
      <w:r w:rsidR="00D747AF" w:rsidRPr="00D747AF">
        <w:rPr>
          <w:szCs w:val="26"/>
        </w:rPr>
        <w:t xml:space="preserve">The ALJ concluded that </w:t>
      </w:r>
      <w:r w:rsidRPr="00D747AF">
        <w:rPr>
          <w:szCs w:val="26"/>
        </w:rPr>
        <w:t xml:space="preserve">DSC is correct to seek a rate increase and should have done so on a regular basis.  </w:t>
      </w:r>
      <w:r w:rsidR="00892312">
        <w:rPr>
          <w:szCs w:val="26"/>
        </w:rPr>
        <w:t xml:space="preserve">On these bases, </w:t>
      </w:r>
      <w:r w:rsidR="00D747AF" w:rsidRPr="00D747AF">
        <w:rPr>
          <w:szCs w:val="26"/>
        </w:rPr>
        <w:t xml:space="preserve">the ALJ </w:t>
      </w:r>
      <w:r w:rsidR="00451C96">
        <w:rPr>
          <w:szCs w:val="26"/>
        </w:rPr>
        <w:t xml:space="preserve">rejected the </w:t>
      </w:r>
      <w:r w:rsidRPr="00D747AF">
        <w:rPr>
          <w:szCs w:val="26"/>
        </w:rPr>
        <w:t>OCA</w:t>
      </w:r>
      <w:r w:rsidR="002061B0">
        <w:rPr>
          <w:szCs w:val="26"/>
        </w:rPr>
        <w:t>’</w:t>
      </w:r>
      <w:r w:rsidR="00451C96">
        <w:rPr>
          <w:szCs w:val="26"/>
        </w:rPr>
        <w:t>s position</w:t>
      </w:r>
      <w:r w:rsidRPr="00D747AF">
        <w:rPr>
          <w:szCs w:val="26"/>
        </w:rPr>
        <w:t xml:space="preserve">.  </w:t>
      </w:r>
      <w:r w:rsidR="00501178" w:rsidRPr="00501178">
        <w:rPr>
          <w:i/>
          <w:szCs w:val="26"/>
        </w:rPr>
        <w:t>Id</w:t>
      </w:r>
      <w:r w:rsidR="00D747AF">
        <w:rPr>
          <w:szCs w:val="26"/>
        </w:rPr>
        <w:t xml:space="preserve">. </w:t>
      </w:r>
    </w:p>
    <w:p w:rsidR="00D747AF" w:rsidRDefault="00D747AF" w:rsidP="00907154">
      <w:pPr>
        <w:pStyle w:val="ListParagraph"/>
        <w:tabs>
          <w:tab w:val="left" w:pos="2160"/>
        </w:tabs>
        <w:ind w:left="0"/>
        <w:rPr>
          <w:szCs w:val="26"/>
        </w:rPr>
      </w:pPr>
    </w:p>
    <w:p w:rsidR="00D747AF" w:rsidRPr="00D747AF" w:rsidRDefault="00D747AF" w:rsidP="00501178">
      <w:pPr>
        <w:pStyle w:val="Heading4"/>
        <w:ind w:left="2160" w:hanging="720"/>
      </w:pPr>
      <w:r>
        <w:t>Exceptions and Replies</w:t>
      </w:r>
    </w:p>
    <w:p w:rsidR="00907154" w:rsidRDefault="00907154" w:rsidP="00907154">
      <w:pPr>
        <w:spacing w:after="200" w:line="276" w:lineRule="auto"/>
        <w:rPr>
          <w:sz w:val="24"/>
          <w:u w:val="single"/>
        </w:rPr>
      </w:pPr>
    </w:p>
    <w:p w:rsidR="00E56F8F" w:rsidRDefault="001A15CA" w:rsidP="00E56F8F">
      <w:pPr>
        <w:rPr>
          <w:u w:val="single"/>
        </w:rPr>
      </w:pPr>
      <w:r>
        <w:rPr>
          <w:rFonts w:eastAsiaTheme="minorHAnsi"/>
        </w:rPr>
        <w:t xml:space="preserve">DSC disagrees with the Recommended Decision to the extent that it suggests that DSC is a viable public utility.  DSC avers </w:t>
      </w:r>
      <w:r w:rsidR="00213CF0">
        <w:rPr>
          <w:rFonts w:eastAsiaTheme="minorHAnsi"/>
        </w:rPr>
        <w:t xml:space="preserve">that, </w:t>
      </w:r>
      <w:r>
        <w:rPr>
          <w:rFonts w:eastAsiaTheme="minorHAnsi"/>
        </w:rPr>
        <w:t>with the sale of its much larger sister entity, C</w:t>
      </w:r>
      <w:r w:rsidR="00213CF0">
        <w:rPr>
          <w:rFonts w:eastAsiaTheme="minorHAnsi"/>
        </w:rPr>
        <w:t>lean Treatment Sewer Company (C</w:t>
      </w:r>
      <w:r>
        <w:rPr>
          <w:rFonts w:eastAsiaTheme="minorHAnsi"/>
        </w:rPr>
        <w:t>TSC</w:t>
      </w:r>
      <w:r w:rsidR="00213CF0">
        <w:rPr>
          <w:rFonts w:eastAsiaTheme="minorHAnsi"/>
        </w:rPr>
        <w:t>)</w:t>
      </w:r>
      <w:r>
        <w:rPr>
          <w:rFonts w:eastAsiaTheme="minorHAnsi"/>
        </w:rPr>
        <w:t>, to Pennsylvania</w:t>
      </w:r>
      <w:r w:rsidR="00B21210">
        <w:rPr>
          <w:rFonts w:eastAsiaTheme="minorHAnsi"/>
        </w:rPr>
        <w:t>-</w:t>
      </w:r>
      <w:r>
        <w:rPr>
          <w:rFonts w:eastAsiaTheme="minorHAnsi"/>
        </w:rPr>
        <w:t>American Water Company in 2013</w:t>
      </w:r>
      <w:r w:rsidR="00501178">
        <w:rPr>
          <w:rFonts w:eastAsiaTheme="minorHAnsi"/>
        </w:rPr>
        <w:t>,</w:t>
      </w:r>
      <w:r>
        <w:rPr>
          <w:rFonts w:eastAsiaTheme="minorHAnsi"/>
        </w:rPr>
        <w:t xml:space="preserve"> and its limited customer base of </w:t>
      </w:r>
      <w:r w:rsidR="00501178">
        <w:rPr>
          <w:rFonts w:eastAsiaTheme="minorHAnsi"/>
        </w:rPr>
        <w:t>thirty-eight</w:t>
      </w:r>
      <w:r>
        <w:rPr>
          <w:rFonts w:eastAsiaTheme="minorHAnsi"/>
        </w:rPr>
        <w:t xml:space="preserve"> residential customers, DSC is not financially viable. </w:t>
      </w:r>
      <w:r w:rsidR="00213CF0">
        <w:rPr>
          <w:rFonts w:eastAsiaTheme="minorHAnsi"/>
        </w:rPr>
        <w:t xml:space="preserve"> </w:t>
      </w:r>
      <w:r w:rsidR="00E56F8F">
        <w:rPr>
          <w:rFonts w:eastAsiaTheme="minorHAnsi"/>
        </w:rPr>
        <w:t xml:space="preserve">DSC Exc. at 4. </w:t>
      </w:r>
    </w:p>
    <w:p w:rsidR="00E56F8F" w:rsidRDefault="00E56F8F" w:rsidP="001A15CA">
      <w:pPr>
        <w:rPr>
          <w:rFonts w:eastAsiaTheme="minorHAnsi"/>
        </w:rPr>
      </w:pPr>
    </w:p>
    <w:p w:rsidR="001A15CA" w:rsidRDefault="00213CF0" w:rsidP="001A15CA">
      <w:pPr>
        <w:rPr>
          <w:u w:val="single"/>
        </w:rPr>
      </w:pPr>
      <w:r>
        <w:rPr>
          <w:rFonts w:eastAsiaTheme="minorHAnsi"/>
        </w:rPr>
        <w:t xml:space="preserve">DSC also excepts to the failure </w:t>
      </w:r>
      <w:r w:rsidR="00451C96">
        <w:rPr>
          <w:rFonts w:eastAsiaTheme="minorHAnsi"/>
        </w:rPr>
        <w:t xml:space="preserve">of the Recommended Decision </w:t>
      </w:r>
      <w:r>
        <w:rPr>
          <w:rFonts w:eastAsiaTheme="minorHAnsi"/>
        </w:rPr>
        <w:t xml:space="preserve">to </w:t>
      </w:r>
      <w:r w:rsidR="001A15CA">
        <w:rPr>
          <w:rFonts w:eastAsiaTheme="minorHAnsi"/>
        </w:rPr>
        <w:t xml:space="preserve">address the testimony of the OCA concerning quality of service. </w:t>
      </w:r>
      <w:r>
        <w:rPr>
          <w:rFonts w:eastAsiaTheme="minorHAnsi"/>
        </w:rPr>
        <w:t xml:space="preserve"> </w:t>
      </w:r>
      <w:r w:rsidR="00E56F8F">
        <w:rPr>
          <w:rFonts w:eastAsiaTheme="minorHAnsi"/>
        </w:rPr>
        <w:t>The Company avers that it does not have the funds to address any service inadequacies identified by the OCA</w:t>
      </w:r>
      <w:r w:rsidR="002061B0">
        <w:rPr>
          <w:rFonts w:eastAsiaTheme="minorHAnsi"/>
        </w:rPr>
        <w:t>’</w:t>
      </w:r>
      <w:r w:rsidR="00E56F8F">
        <w:rPr>
          <w:rFonts w:eastAsiaTheme="minorHAnsi"/>
        </w:rPr>
        <w:t xml:space="preserve">s witness Terry Fought.  </w:t>
      </w:r>
      <w:r w:rsidR="00DD16F2">
        <w:rPr>
          <w:rFonts w:eastAsiaTheme="minorHAnsi"/>
        </w:rPr>
        <w:t xml:space="preserve">DSC Exc. at 4-5. </w:t>
      </w:r>
    </w:p>
    <w:p w:rsidR="001A15CA" w:rsidRDefault="001A15CA" w:rsidP="00907154">
      <w:pPr>
        <w:spacing w:after="200" w:line="276" w:lineRule="auto"/>
        <w:rPr>
          <w:sz w:val="24"/>
          <w:u w:val="single"/>
        </w:rPr>
      </w:pPr>
    </w:p>
    <w:p w:rsidR="00907154" w:rsidRPr="00907154" w:rsidRDefault="002A2663" w:rsidP="00907154">
      <w:pPr>
        <w:tabs>
          <w:tab w:val="left" w:pos="-720"/>
        </w:tabs>
        <w:suppressAutoHyphens/>
        <w:rPr>
          <w:szCs w:val="26"/>
        </w:rPr>
      </w:pPr>
      <w:r>
        <w:rPr>
          <w:szCs w:val="26"/>
        </w:rPr>
        <w:t>In its Exceptions, the OCA argues that the ALJ dismisses the extensive evidence presented by the OCA that DSC is failing to provide adequate service to its customers and focuses instead on the fact that current rates do not cover the Company</w:t>
      </w:r>
      <w:r w:rsidR="002061B0">
        <w:rPr>
          <w:szCs w:val="26"/>
        </w:rPr>
        <w:t>’</w:t>
      </w:r>
      <w:r>
        <w:rPr>
          <w:szCs w:val="26"/>
        </w:rPr>
        <w:t xml:space="preserve">s costs for providing service.  The OCA submits that the revenue increase recommended by the ALJ will not provide necessary funding to allow DSC to provide adequate service </w:t>
      </w:r>
      <w:r>
        <w:rPr>
          <w:szCs w:val="26"/>
        </w:rPr>
        <w:lastRenderedPageBreak/>
        <w:t xml:space="preserve">going forward because costs </w:t>
      </w:r>
      <w:r w:rsidR="00892312">
        <w:rPr>
          <w:szCs w:val="26"/>
        </w:rPr>
        <w:t xml:space="preserve">to address service quality </w:t>
      </w:r>
      <w:r>
        <w:rPr>
          <w:szCs w:val="26"/>
        </w:rPr>
        <w:t>were not included in the Company</w:t>
      </w:r>
      <w:r w:rsidR="002061B0">
        <w:rPr>
          <w:szCs w:val="26"/>
        </w:rPr>
        <w:t>’</w:t>
      </w:r>
      <w:r>
        <w:rPr>
          <w:szCs w:val="26"/>
        </w:rPr>
        <w:t xml:space="preserve">s request.  The OCA states that the proposed rate increase will require customers to pay significantly more each month for service that will continue to be inadequate.  The OCA recommends that no increase be granted because DSC does not provide safe and adequate service.  OCA Exc. at 3. </w:t>
      </w:r>
    </w:p>
    <w:p w:rsidR="00907154" w:rsidRPr="00907154" w:rsidRDefault="00907154" w:rsidP="00907154">
      <w:pPr>
        <w:rPr>
          <w:szCs w:val="26"/>
        </w:rPr>
      </w:pPr>
    </w:p>
    <w:p w:rsidR="00DF62DA" w:rsidRDefault="00527F2D" w:rsidP="00DF62DA">
      <w:pPr>
        <w:rPr>
          <w:rFonts w:eastAsiaTheme="minorHAnsi"/>
        </w:rPr>
      </w:pPr>
      <w:r>
        <w:rPr>
          <w:rFonts w:eastAsiaTheme="minorHAnsi"/>
        </w:rPr>
        <w:t>The OCA submits that t</w:t>
      </w:r>
      <w:r w:rsidR="00DF62DA">
        <w:rPr>
          <w:rFonts w:eastAsiaTheme="minorHAnsi"/>
        </w:rPr>
        <w:t xml:space="preserve">he Public Utility Code places on the utility the specific obligation to provide adequate service. </w:t>
      </w:r>
      <w:r>
        <w:rPr>
          <w:rFonts w:eastAsiaTheme="minorHAnsi"/>
        </w:rPr>
        <w:t xml:space="preserve"> The OCA </w:t>
      </w:r>
      <w:r w:rsidR="00892312">
        <w:rPr>
          <w:rFonts w:eastAsiaTheme="minorHAnsi"/>
        </w:rPr>
        <w:t xml:space="preserve">cites </w:t>
      </w:r>
      <w:r>
        <w:rPr>
          <w:rFonts w:eastAsiaTheme="minorHAnsi"/>
        </w:rPr>
        <w:t xml:space="preserve">to Section 1501 of the </w:t>
      </w:r>
      <w:r w:rsidR="00DF62DA">
        <w:rPr>
          <w:rFonts w:eastAsiaTheme="minorHAnsi"/>
        </w:rPr>
        <w:t>Code</w:t>
      </w:r>
      <w:r w:rsidR="00892312">
        <w:rPr>
          <w:rFonts w:eastAsiaTheme="minorHAnsi"/>
        </w:rPr>
        <w:t>,</w:t>
      </w:r>
      <w:r w:rsidR="00DF62DA">
        <w:rPr>
          <w:rFonts w:eastAsiaTheme="minorHAnsi"/>
        </w:rPr>
        <w:t xml:space="preserve"> </w:t>
      </w:r>
      <w:r>
        <w:rPr>
          <w:rFonts w:eastAsiaTheme="minorHAnsi"/>
        </w:rPr>
        <w:t xml:space="preserve">which </w:t>
      </w:r>
      <w:r w:rsidR="00DF62DA">
        <w:rPr>
          <w:rFonts w:eastAsiaTheme="minorHAnsi"/>
        </w:rPr>
        <w:t>provides</w:t>
      </w:r>
      <w:r w:rsidR="00892312">
        <w:rPr>
          <w:rFonts w:eastAsiaTheme="minorHAnsi"/>
        </w:rPr>
        <w:t xml:space="preserve"> as follows</w:t>
      </w:r>
      <w:r w:rsidR="00DF62DA">
        <w:rPr>
          <w:rFonts w:eastAsiaTheme="minorHAnsi"/>
        </w:rPr>
        <w:t>:</w:t>
      </w:r>
    </w:p>
    <w:p w:rsidR="009A2FED" w:rsidRDefault="009A2FED" w:rsidP="00443A8F">
      <w:pPr>
        <w:spacing w:line="240" w:lineRule="auto"/>
        <w:rPr>
          <w:rFonts w:eastAsiaTheme="minorHAnsi"/>
        </w:rPr>
      </w:pPr>
    </w:p>
    <w:p w:rsidR="00DF62DA" w:rsidRDefault="00DF62DA" w:rsidP="000B1470">
      <w:pPr>
        <w:spacing w:line="240" w:lineRule="auto"/>
        <w:ind w:left="1440" w:right="1440" w:firstLine="0"/>
        <w:rPr>
          <w:rFonts w:eastAsiaTheme="minorHAnsi"/>
          <w:i/>
          <w:iCs/>
        </w:rPr>
      </w:pPr>
      <w:r>
        <w:rPr>
          <w:rFonts w:eastAsiaTheme="minorHAnsi"/>
        </w:rPr>
        <w:t xml:space="preserve">Every public utility </w:t>
      </w:r>
      <w:r>
        <w:rPr>
          <w:rFonts w:eastAsiaTheme="minorHAnsi"/>
          <w:i/>
          <w:iCs/>
        </w:rPr>
        <w:t xml:space="preserve">shall furnish and maintain </w:t>
      </w:r>
      <w:r>
        <w:rPr>
          <w:rFonts w:eastAsiaTheme="minorHAnsi"/>
        </w:rPr>
        <w:t>adequate, efficient, safe, and</w:t>
      </w:r>
      <w:r w:rsidR="009A2FED">
        <w:rPr>
          <w:rFonts w:eastAsiaTheme="minorHAnsi"/>
        </w:rPr>
        <w:t xml:space="preserve"> </w:t>
      </w:r>
      <w:r>
        <w:rPr>
          <w:rFonts w:eastAsiaTheme="minorHAnsi"/>
        </w:rPr>
        <w:t xml:space="preserve">reasonable service and facilities, and </w:t>
      </w:r>
      <w:r>
        <w:rPr>
          <w:rFonts w:eastAsiaTheme="minorHAnsi"/>
          <w:i/>
          <w:iCs/>
        </w:rPr>
        <w:t>shall make all such repairs, changes,</w:t>
      </w:r>
      <w:r w:rsidR="009A2FED">
        <w:rPr>
          <w:rFonts w:eastAsiaTheme="minorHAnsi"/>
          <w:i/>
          <w:iCs/>
        </w:rPr>
        <w:t xml:space="preserve"> </w:t>
      </w:r>
      <w:r>
        <w:rPr>
          <w:rFonts w:eastAsiaTheme="minorHAnsi"/>
          <w:i/>
          <w:iCs/>
        </w:rPr>
        <w:t>alterations, substitutions, extensions, and improvements in or to such service and</w:t>
      </w:r>
      <w:r w:rsidR="009A2FED">
        <w:rPr>
          <w:rFonts w:eastAsiaTheme="minorHAnsi"/>
          <w:i/>
          <w:iCs/>
        </w:rPr>
        <w:t xml:space="preserve"> </w:t>
      </w:r>
      <w:r>
        <w:rPr>
          <w:rFonts w:eastAsiaTheme="minorHAnsi"/>
          <w:i/>
          <w:iCs/>
        </w:rPr>
        <w:t>facilities as shall be necessary or proper for the accommodation, convenience</w:t>
      </w:r>
      <w:r w:rsidR="009A2FED">
        <w:rPr>
          <w:rFonts w:eastAsiaTheme="minorHAnsi"/>
          <w:i/>
          <w:iCs/>
        </w:rPr>
        <w:t xml:space="preserve"> </w:t>
      </w:r>
      <w:r>
        <w:rPr>
          <w:rFonts w:eastAsiaTheme="minorHAnsi"/>
          <w:i/>
          <w:iCs/>
        </w:rPr>
        <w:t>and safety of its patrons, employees, and the public.</w:t>
      </w:r>
    </w:p>
    <w:p w:rsidR="009A2FED" w:rsidRDefault="009A2FED" w:rsidP="00DF62DA">
      <w:pPr>
        <w:rPr>
          <w:rFonts w:eastAsiaTheme="minorHAnsi"/>
          <w:i/>
          <w:iCs/>
        </w:rPr>
      </w:pPr>
    </w:p>
    <w:p w:rsidR="00907154" w:rsidRDefault="00527F2D" w:rsidP="00DD16F2">
      <w:pPr>
        <w:ind w:firstLine="0"/>
        <w:rPr>
          <w:rFonts w:eastAsiaTheme="minorHAnsi"/>
        </w:rPr>
      </w:pPr>
      <w:r>
        <w:rPr>
          <w:rFonts w:eastAsiaTheme="minorHAnsi"/>
        </w:rPr>
        <w:t>OCA Exc. at 3</w:t>
      </w:r>
      <w:r w:rsidR="00990654">
        <w:rPr>
          <w:rFonts w:eastAsiaTheme="minorHAnsi"/>
        </w:rPr>
        <w:t xml:space="preserve"> </w:t>
      </w:r>
      <w:r w:rsidR="00DF62DA">
        <w:rPr>
          <w:rFonts w:eastAsiaTheme="minorHAnsi"/>
        </w:rPr>
        <w:t xml:space="preserve">(emphasis </w:t>
      </w:r>
      <w:r w:rsidR="00892312">
        <w:rPr>
          <w:rFonts w:eastAsiaTheme="minorHAnsi"/>
        </w:rPr>
        <w:t>in original</w:t>
      </w:r>
      <w:r w:rsidR="00DF62DA">
        <w:rPr>
          <w:rFonts w:eastAsiaTheme="minorHAnsi"/>
        </w:rPr>
        <w:t xml:space="preserve">). </w:t>
      </w:r>
      <w:r>
        <w:rPr>
          <w:rFonts w:eastAsiaTheme="minorHAnsi"/>
        </w:rPr>
        <w:t xml:space="preserve"> The OCA states that</w:t>
      </w:r>
      <w:r w:rsidR="00451C96">
        <w:rPr>
          <w:rFonts w:eastAsiaTheme="minorHAnsi"/>
        </w:rPr>
        <w:t>,</w:t>
      </w:r>
      <w:r>
        <w:rPr>
          <w:rFonts w:eastAsiaTheme="minorHAnsi"/>
        </w:rPr>
        <w:t xml:space="preserve"> therefore</w:t>
      </w:r>
      <w:r w:rsidR="00451C96">
        <w:rPr>
          <w:rFonts w:eastAsiaTheme="minorHAnsi"/>
        </w:rPr>
        <w:t>,</w:t>
      </w:r>
      <w:r w:rsidR="00DF62DA">
        <w:rPr>
          <w:rFonts w:eastAsiaTheme="minorHAnsi"/>
        </w:rPr>
        <w:t xml:space="preserve"> under the Code it is the utility </w:t>
      </w:r>
      <w:r w:rsidR="00892312">
        <w:rPr>
          <w:rFonts w:eastAsiaTheme="minorHAnsi"/>
        </w:rPr>
        <w:t xml:space="preserve">that </w:t>
      </w:r>
      <w:r w:rsidR="00DF62DA">
        <w:rPr>
          <w:rFonts w:eastAsiaTheme="minorHAnsi"/>
        </w:rPr>
        <w:t>has the</w:t>
      </w:r>
      <w:r w:rsidR="009A2FED">
        <w:rPr>
          <w:rFonts w:eastAsiaTheme="minorHAnsi"/>
        </w:rPr>
        <w:t xml:space="preserve"> </w:t>
      </w:r>
      <w:r w:rsidR="00DF62DA">
        <w:rPr>
          <w:rFonts w:eastAsiaTheme="minorHAnsi"/>
        </w:rPr>
        <w:t xml:space="preserve">obligation to make all improvements necessary to provide such service. </w:t>
      </w:r>
      <w:r>
        <w:rPr>
          <w:rFonts w:eastAsiaTheme="minorHAnsi"/>
        </w:rPr>
        <w:t xml:space="preserve"> The OCA opines that </w:t>
      </w:r>
      <w:r w:rsidR="00DF62DA">
        <w:rPr>
          <w:rFonts w:eastAsiaTheme="minorHAnsi"/>
        </w:rPr>
        <w:t>only</w:t>
      </w:r>
      <w:r w:rsidR="009A2FED">
        <w:rPr>
          <w:rFonts w:eastAsiaTheme="minorHAnsi"/>
        </w:rPr>
        <w:t xml:space="preserve"> </w:t>
      </w:r>
      <w:r w:rsidR="00DF62DA" w:rsidRPr="00527F2D">
        <w:rPr>
          <w:rFonts w:eastAsiaTheme="minorHAnsi"/>
          <w:iCs/>
        </w:rPr>
        <w:t>after</w:t>
      </w:r>
      <w:r w:rsidR="00DF62DA">
        <w:rPr>
          <w:rFonts w:eastAsiaTheme="minorHAnsi"/>
          <w:i/>
          <w:iCs/>
        </w:rPr>
        <w:t xml:space="preserve"> </w:t>
      </w:r>
      <w:r w:rsidR="00DF62DA">
        <w:rPr>
          <w:rFonts w:eastAsiaTheme="minorHAnsi"/>
        </w:rPr>
        <w:t xml:space="preserve">these improvements are providing service </w:t>
      </w:r>
      <w:r w:rsidR="0063531D">
        <w:rPr>
          <w:rFonts w:eastAsiaTheme="minorHAnsi"/>
        </w:rPr>
        <w:t xml:space="preserve">do </w:t>
      </w:r>
      <w:r w:rsidR="00DF62DA">
        <w:rPr>
          <w:rFonts w:eastAsiaTheme="minorHAnsi"/>
        </w:rPr>
        <w:t>the ratepayers have the obligation to pay for</w:t>
      </w:r>
      <w:r w:rsidR="009A2FED">
        <w:rPr>
          <w:rFonts w:eastAsiaTheme="minorHAnsi"/>
        </w:rPr>
        <w:t xml:space="preserve"> </w:t>
      </w:r>
      <w:r w:rsidR="00DF62DA">
        <w:rPr>
          <w:rFonts w:eastAsiaTheme="minorHAnsi"/>
        </w:rPr>
        <w:t xml:space="preserve">those improvements. </w:t>
      </w:r>
      <w:r>
        <w:rPr>
          <w:rFonts w:eastAsiaTheme="minorHAnsi"/>
        </w:rPr>
        <w:t xml:space="preserve"> The OCA recommends that u</w:t>
      </w:r>
      <w:r w:rsidR="00DF62DA">
        <w:rPr>
          <w:rFonts w:eastAsiaTheme="minorHAnsi"/>
        </w:rPr>
        <w:t>ntil such time, and as long as service remains inadequate, DSC</w:t>
      </w:r>
      <w:r w:rsidR="002061B0">
        <w:rPr>
          <w:rFonts w:eastAsiaTheme="minorHAnsi"/>
        </w:rPr>
        <w:t>’</w:t>
      </w:r>
      <w:r w:rsidR="00DF62DA">
        <w:rPr>
          <w:rFonts w:eastAsiaTheme="minorHAnsi"/>
        </w:rPr>
        <w:t>s</w:t>
      </w:r>
      <w:r w:rsidR="009A2FED">
        <w:rPr>
          <w:rFonts w:eastAsiaTheme="minorHAnsi"/>
        </w:rPr>
        <w:t xml:space="preserve"> </w:t>
      </w:r>
      <w:r w:rsidR="00DF62DA">
        <w:rPr>
          <w:rFonts w:eastAsiaTheme="minorHAnsi"/>
        </w:rPr>
        <w:t xml:space="preserve">customers should not be required to pay the rates </w:t>
      </w:r>
      <w:r w:rsidR="0063531D">
        <w:rPr>
          <w:rFonts w:eastAsiaTheme="minorHAnsi"/>
        </w:rPr>
        <w:t xml:space="preserve">that </w:t>
      </w:r>
      <w:r w:rsidR="00DF62DA">
        <w:rPr>
          <w:rFonts w:eastAsiaTheme="minorHAnsi"/>
        </w:rPr>
        <w:t>might be appropriate if service were</w:t>
      </w:r>
      <w:r w:rsidR="009A2FED">
        <w:rPr>
          <w:rFonts w:eastAsiaTheme="minorHAnsi"/>
        </w:rPr>
        <w:t xml:space="preserve"> </w:t>
      </w:r>
      <w:r w:rsidR="00DF62DA">
        <w:rPr>
          <w:rFonts w:eastAsiaTheme="minorHAnsi"/>
        </w:rPr>
        <w:t>adequate.</w:t>
      </w:r>
      <w:r>
        <w:rPr>
          <w:rFonts w:eastAsiaTheme="minorHAnsi"/>
        </w:rPr>
        <w:t xml:space="preserve">  OCA Exc. at 4. </w:t>
      </w:r>
    </w:p>
    <w:p w:rsidR="00527F2D" w:rsidRDefault="00527F2D" w:rsidP="00DF62DA">
      <w:pPr>
        <w:rPr>
          <w:rFonts w:eastAsiaTheme="minorHAnsi"/>
        </w:rPr>
      </w:pPr>
    </w:p>
    <w:p w:rsidR="00527F2D" w:rsidRDefault="000B1470" w:rsidP="00736865">
      <w:pPr>
        <w:rPr>
          <w:rFonts w:eastAsiaTheme="minorHAnsi"/>
        </w:rPr>
      </w:pPr>
      <w:r>
        <w:rPr>
          <w:rFonts w:eastAsiaTheme="minorHAnsi"/>
        </w:rPr>
        <w:t>T</w:t>
      </w:r>
      <w:r w:rsidR="007B6BF7">
        <w:rPr>
          <w:rFonts w:eastAsiaTheme="minorHAnsi"/>
        </w:rPr>
        <w:t xml:space="preserve">he OCA opines that Commission has the discretionary authority to deny a proposed rate increase, in whole or in part, if the Commission finds “that the service rendered by the public utility is inadequate.”  </w:t>
      </w:r>
      <w:r>
        <w:rPr>
          <w:rFonts w:eastAsiaTheme="minorHAnsi"/>
        </w:rPr>
        <w:t xml:space="preserve">OCA M.B. at 7, </w:t>
      </w:r>
      <w:r w:rsidRPr="00990654">
        <w:rPr>
          <w:rFonts w:eastAsiaTheme="minorHAnsi"/>
        </w:rPr>
        <w:t>citing</w:t>
      </w:r>
      <w:r>
        <w:rPr>
          <w:rFonts w:eastAsiaTheme="minorHAnsi"/>
        </w:rPr>
        <w:t xml:space="preserve"> 66 Pa. C.S. § 526(a). </w:t>
      </w:r>
      <w:r w:rsidR="007B6BF7">
        <w:rPr>
          <w:rFonts w:eastAsiaTheme="minorHAnsi"/>
        </w:rPr>
        <w:t>The OCA submits that Section</w:t>
      </w:r>
      <w:r w:rsidR="00527F2D">
        <w:rPr>
          <w:rFonts w:eastAsiaTheme="minorHAnsi"/>
        </w:rPr>
        <w:t xml:space="preserve"> 523 of the Public Utility Code requires the Commission to</w:t>
      </w:r>
      <w:r w:rsidR="007B6BF7">
        <w:rPr>
          <w:rFonts w:eastAsiaTheme="minorHAnsi"/>
        </w:rPr>
        <w:t xml:space="preserve"> </w:t>
      </w:r>
      <w:r w:rsidR="00527F2D">
        <w:rPr>
          <w:rFonts w:eastAsiaTheme="minorHAnsi"/>
        </w:rPr>
        <w:t>“consider ... the efficiency, effectiveness and adequacy of service of each utility when</w:t>
      </w:r>
      <w:r w:rsidR="007B6BF7">
        <w:rPr>
          <w:rFonts w:eastAsiaTheme="minorHAnsi"/>
        </w:rPr>
        <w:t xml:space="preserve"> </w:t>
      </w:r>
      <w:r w:rsidR="00527F2D">
        <w:rPr>
          <w:rFonts w:eastAsiaTheme="minorHAnsi"/>
        </w:rPr>
        <w:lastRenderedPageBreak/>
        <w:t xml:space="preserve">determining just and reasonable rates. . ..” </w:t>
      </w:r>
      <w:r w:rsidR="007B6BF7">
        <w:rPr>
          <w:rFonts w:eastAsiaTheme="minorHAnsi"/>
        </w:rPr>
        <w:t xml:space="preserve"> </w:t>
      </w:r>
      <w:r w:rsidR="00736865">
        <w:rPr>
          <w:rFonts w:eastAsiaTheme="minorHAnsi"/>
        </w:rPr>
        <w:t xml:space="preserve">OCA Exc. at 4, </w:t>
      </w:r>
      <w:r w:rsidR="00736865" w:rsidRPr="00990654">
        <w:rPr>
          <w:rFonts w:eastAsiaTheme="minorHAnsi"/>
        </w:rPr>
        <w:t>citing</w:t>
      </w:r>
      <w:r w:rsidR="00736865">
        <w:rPr>
          <w:rFonts w:eastAsiaTheme="minorHAnsi"/>
        </w:rPr>
        <w:t xml:space="preserve"> 66 Pa. C.S. § 523.  </w:t>
      </w:r>
      <w:r w:rsidR="00527F2D">
        <w:rPr>
          <w:rFonts w:eastAsiaTheme="minorHAnsi"/>
        </w:rPr>
        <w:t>In exchange for customers paying rates for service</w:t>
      </w:r>
      <w:r w:rsidR="00736865">
        <w:rPr>
          <w:rFonts w:eastAsiaTheme="minorHAnsi"/>
        </w:rPr>
        <w:t xml:space="preserve">, the OCA argues that </w:t>
      </w:r>
      <w:r w:rsidR="00527F2D">
        <w:rPr>
          <w:rFonts w:eastAsiaTheme="minorHAnsi"/>
        </w:rPr>
        <w:t>a</w:t>
      </w:r>
      <w:r w:rsidR="007B6BF7">
        <w:rPr>
          <w:rFonts w:eastAsiaTheme="minorHAnsi"/>
        </w:rPr>
        <w:t xml:space="preserve"> </w:t>
      </w:r>
      <w:r w:rsidR="00527F2D">
        <w:rPr>
          <w:rFonts w:eastAsiaTheme="minorHAnsi"/>
        </w:rPr>
        <w:t xml:space="preserve">public utility is obligated to provide safe, adequate and reasonable service. </w:t>
      </w:r>
      <w:r w:rsidR="00736865">
        <w:rPr>
          <w:rFonts w:eastAsiaTheme="minorHAnsi"/>
        </w:rPr>
        <w:t xml:space="preserve"> OCA Exc. at 4, </w:t>
      </w:r>
      <w:r w:rsidR="00736865" w:rsidRPr="00990654">
        <w:rPr>
          <w:rFonts w:eastAsiaTheme="minorHAnsi"/>
        </w:rPr>
        <w:t>citing</w:t>
      </w:r>
      <w:r w:rsidR="00736865">
        <w:rPr>
          <w:rFonts w:eastAsiaTheme="minorHAnsi"/>
        </w:rPr>
        <w:t xml:space="preserve"> </w:t>
      </w:r>
      <w:r w:rsidR="00527F2D" w:rsidRPr="00736865">
        <w:rPr>
          <w:rFonts w:eastAsiaTheme="minorHAnsi"/>
          <w:i/>
        </w:rPr>
        <w:t>Pa. PU</w:t>
      </w:r>
      <w:r w:rsidR="00990654">
        <w:rPr>
          <w:rFonts w:eastAsiaTheme="minorHAnsi"/>
          <w:i/>
        </w:rPr>
        <w:t>C</w:t>
      </w:r>
      <w:r w:rsidR="00527F2D" w:rsidRPr="00736865">
        <w:rPr>
          <w:rFonts w:eastAsiaTheme="minorHAnsi"/>
          <w:i/>
        </w:rPr>
        <w:t xml:space="preserve"> v.</w:t>
      </w:r>
      <w:r>
        <w:rPr>
          <w:rFonts w:eastAsiaTheme="minorHAnsi"/>
          <w:i/>
        </w:rPr>
        <w:t xml:space="preserve"> </w:t>
      </w:r>
      <w:r w:rsidR="00527F2D" w:rsidRPr="00736865">
        <w:rPr>
          <w:rFonts w:eastAsiaTheme="minorHAnsi"/>
          <w:i/>
        </w:rPr>
        <w:t>Pennsylvania Gas &amp; Water Co</w:t>
      </w:r>
      <w:r w:rsidR="00527F2D">
        <w:rPr>
          <w:rFonts w:eastAsiaTheme="minorHAnsi"/>
        </w:rPr>
        <w:t xml:space="preserve">., 61 </w:t>
      </w:r>
      <w:proofErr w:type="spellStart"/>
      <w:r w:rsidR="00527F2D">
        <w:rPr>
          <w:rFonts w:eastAsiaTheme="minorHAnsi"/>
        </w:rPr>
        <w:t>Pa</w:t>
      </w:r>
      <w:r w:rsidR="0063531D">
        <w:rPr>
          <w:rFonts w:eastAsiaTheme="minorHAnsi"/>
        </w:rPr>
        <w:t>.</w:t>
      </w:r>
      <w:r w:rsidR="00527F2D">
        <w:rPr>
          <w:rFonts w:eastAsiaTheme="minorHAnsi"/>
        </w:rPr>
        <w:t>P</w:t>
      </w:r>
      <w:r w:rsidR="0063531D">
        <w:rPr>
          <w:rFonts w:eastAsiaTheme="minorHAnsi"/>
        </w:rPr>
        <w:t>.</w:t>
      </w:r>
      <w:r w:rsidR="00527F2D">
        <w:rPr>
          <w:rFonts w:eastAsiaTheme="minorHAnsi"/>
        </w:rPr>
        <w:t>U</w:t>
      </w:r>
      <w:r w:rsidR="0063531D">
        <w:rPr>
          <w:rFonts w:eastAsiaTheme="minorHAnsi"/>
        </w:rPr>
        <w:t>.</w:t>
      </w:r>
      <w:r w:rsidR="00527F2D">
        <w:rPr>
          <w:rFonts w:eastAsiaTheme="minorHAnsi"/>
        </w:rPr>
        <w:t>C</w:t>
      </w:r>
      <w:proofErr w:type="spellEnd"/>
      <w:r w:rsidR="0063531D">
        <w:rPr>
          <w:rFonts w:eastAsiaTheme="minorHAnsi"/>
        </w:rPr>
        <w:t>.</w:t>
      </w:r>
      <w:r w:rsidR="00527F2D">
        <w:rPr>
          <w:rFonts w:eastAsiaTheme="minorHAnsi"/>
        </w:rPr>
        <w:t xml:space="preserve"> 409, 415-16; 66 Pa. C.S. § 1501</w:t>
      </w:r>
      <w:r w:rsidR="00736865">
        <w:rPr>
          <w:rFonts w:eastAsiaTheme="minorHAnsi"/>
        </w:rPr>
        <w:t xml:space="preserve">.  The OCA avers that a utility “is only entitled to rates </w:t>
      </w:r>
      <w:r>
        <w:rPr>
          <w:rFonts w:eastAsiaTheme="minorHAnsi"/>
        </w:rPr>
        <w:t>sufficient</w:t>
      </w:r>
      <w:r w:rsidR="00736865">
        <w:rPr>
          <w:rFonts w:eastAsiaTheme="minorHAnsi"/>
        </w:rPr>
        <w:t xml:space="preserve"> to earn a fai</w:t>
      </w:r>
      <w:r>
        <w:rPr>
          <w:rFonts w:eastAsiaTheme="minorHAnsi"/>
        </w:rPr>
        <w:t>r</w:t>
      </w:r>
      <w:r w:rsidR="00736865">
        <w:rPr>
          <w:rFonts w:eastAsiaTheme="minorHAnsi"/>
        </w:rPr>
        <w:t xml:space="preserve"> return if it provides adequate service.”  </w:t>
      </w:r>
      <w:r>
        <w:rPr>
          <w:rFonts w:eastAsiaTheme="minorHAnsi"/>
        </w:rPr>
        <w:t xml:space="preserve">OCA Exc. at 4, </w:t>
      </w:r>
      <w:r w:rsidRPr="00C75DCC">
        <w:rPr>
          <w:rFonts w:eastAsiaTheme="minorHAnsi"/>
        </w:rPr>
        <w:t>citing</w:t>
      </w:r>
      <w:r>
        <w:rPr>
          <w:rFonts w:eastAsiaTheme="minorHAnsi"/>
        </w:rPr>
        <w:t xml:space="preserve"> </w:t>
      </w:r>
      <w:r w:rsidRPr="000B1470">
        <w:rPr>
          <w:rFonts w:eastAsiaTheme="minorHAnsi"/>
          <w:i/>
        </w:rPr>
        <w:t>Pa.</w:t>
      </w:r>
      <w:r w:rsidR="000E794B">
        <w:rPr>
          <w:rFonts w:eastAsiaTheme="minorHAnsi"/>
          <w:i/>
        </w:rPr>
        <w:t xml:space="preserve"> </w:t>
      </w:r>
      <w:r w:rsidRPr="000B1470">
        <w:rPr>
          <w:rFonts w:eastAsiaTheme="minorHAnsi"/>
          <w:i/>
        </w:rPr>
        <w:t>PUC v. Pennsylvania Gas &amp;Water Co.</w:t>
      </w:r>
      <w:r>
        <w:rPr>
          <w:rFonts w:eastAsiaTheme="minorHAnsi"/>
        </w:rPr>
        <w:t xml:space="preserve"> 68 </w:t>
      </w:r>
      <w:proofErr w:type="spellStart"/>
      <w:r>
        <w:rPr>
          <w:rFonts w:eastAsiaTheme="minorHAnsi"/>
        </w:rPr>
        <w:t>Pa</w:t>
      </w:r>
      <w:r w:rsidR="000E794B">
        <w:rPr>
          <w:rFonts w:eastAsiaTheme="minorHAnsi"/>
        </w:rPr>
        <w:t>.</w:t>
      </w:r>
      <w:r>
        <w:rPr>
          <w:rFonts w:eastAsiaTheme="minorHAnsi"/>
        </w:rPr>
        <w:t>P</w:t>
      </w:r>
      <w:r w:rsidR="000E794B">
        <w:rPr>
          <w:rFonts w:eastAsiaTheme="minorHAnsi"/>
        </w:rPr>
        <w:t>.</w:t>
      </w:r>
      <w:r>
        <w:rPr>
          <w:rFonts w:eastAsiaTheme="minorHAnsi"/>
        </w:rPr>
        <w:t>U</w:t>
      </w:r>
      <w:r w:rsidR="000E794B">
        <w:rPr>
          <w:rFonts w:eastAsiaTheme="minorHAnsi"/>
        </w:rPr>
        <w:t>.</w:t>
      </w:r>
      <w:r>
        <w:rPr>
          <w:rFonts w:eastAsiaTheme="minorHAnsi"/>
        </w:rPr>
        <w:t>C</w:t>
      </w:r>
      <w:proofErr w:type="spellEnd"/>
      <w:r w:rsidR="000E794B">
        <w:rPr>
          <w:rFonts w:eastAsiaTheme="minorHAnsi"/>
        </w:rPr>
        <w:t>.</w:t>
      </w:r>
      <w:r>
        <w:rPr>
          <w:rFonts w:eastAsiaTheme="minorHAnsi"/>
        </w:rPr>
        <w:t xml:space="preserve"> 191 (1988).  </w:t>
      </w:r>
    </w:p>
    <w:p w:rsidR="009A2FED" w:rsidRDefault="009A2FED" w:rsidP="00DF62DA">
      <w:pPr>
        <w:rPr>
          <w:rFonts w:eastAsiaTheme="minorHAnsi"/>
        </w:rPr>
      </w:pPr>
    </w:p>
    <w:p w:rsidR="009A2FED" w:rsidRDefault="004F0202" w:rsidP="00DF62DA">
      <w:pPr>
        <w:rPr>
          <w:rFonts w:eastAsiaTheme="minorHAnsi"/>
        </w:rPr>
      </w:pPr>
      <w:r>
        <w:rPr>
          <w:rFonts w:eastAsiaTheme="minorHAnsi"/>
        </w:rPr>
        <w:t xml:space="preserve">The OCA </w:t>
      </w:r>
      <w:r w:rsidR="00BA47D3">
        <w:rPr>
          <w:rFonts w:eastAsiaTheme="minorHAnsi"/>
        </w:rPr>
        <w:t xml:space="preserve">points to the </w:t>
      </w:r>
      <w:r>
        <w:rPr>
          <w:rFonts w:eastAsiaTheme="minorHAnsi"/>
        </w:rPr>
        <w:t xml:space="preserve">evidence in this case </w:t>
      </w:r>
      <w:r w:rsidR="00BA47D3">
        <w:rPr>
          <w:rFonts w:eastAsiaTheme="minorHAnsi"/>
        </w:rPr>
        <w:t xml:space="preserve">that </w:t>
      </w:r>
      <w:r>
        <w:rPr>
          <w:rFonts w:eastAsiaTheme="minorHAnsi"/>
        </w:rPr>
        <w:t>shows that DSC is unable to make repairs, changes, alterations</w:t>
      </w:r>
      <w:r w:rsidR="0063531D">
        <w:rPr>
          <w:rFonts w:eastAsiaTheme="minorHAnsi"/>
        </w:rPr>
        <w:t>,</w:t>
      </w:r>
      <w:r>
        <w:rPr>
          <w:rFonts w:eastAsiaTheme="minorHAnsi"/>
        </w:rPr>
        <w:t xml:space="preserve"> or improvements to its service or facilities to actually operate the wastewater treatment plant as it was designed, to address collection system issues related to infiltration/inflow, or to address issues with subsurface disposal system.  The OCA explains that these quality of service issues are, </w:t>
      </w:r>
      <w:r w:rsidRPr="004F0202">
        <w:rPr>
          <w:rFonts w:eastAsiaTheme="minorHAnsi"/>
          <w:i/>
        </w:rPr>
        <w:t>inter alia</w:t>
      </w:r>
      <w:r>
        <w:rPr>
          <w:rFonts w:eastAsiaTheme="minorHAnsi"/>
        </w:rPr>
        <w:t xml:space="preserve">, reducing the useful life of the system and allowing the discharge of untreated sewage.  </w:t>
      </w:r>
      <w:r w:rsidR="00BA47D3">
        <w:rPr>
          <w:rFonts w:eastAsiaTheme="minorHAnsi"/>
        </w:rPr>
        <w:t xml:space="preserve">OCA Exc. at 5-6; OCA M.B. at 9-20. </w:t>
      </w:r>
    </w:p>
    <w:p w:rsidR="00BA47D3" w:rsidRDefault="00BA47D3" w:rsidP="00DF62DA">
      <w:pPr>
        <w:rPr>
          <w:rFonts w:eastAsiaTheme="minorHAnsi"/>
        </w:rPr>
      </w:pPr>
    </w:p>
    <w:p w:rsidR="00BA47D3" w:rsidRDefault="00BA47D3" w:rsidP="00DF62DA">
      <w:pPr>
        <w:rPr>
          <w:rFonts w:eastAsiaTheme="minorHAnsi"/>
        </w:rPr>
      </w:pPr>
      <w:r>
        <w:rPr>
          <w:rFonts w:eastAsiaTheme="minorHAnsi"/>
        </w:rPr>
        <w:t xml:space="preserve">The OCA recommends that instead of granting a rate increase that will not resolve the quality of service issues, the proposed rate increase should be denied and the Commission should move forward with a Section 529 investigation to transfer </w:t>
      </w:r>
      <w:r w:rsidR="0095234C">
        <w:rPr>
          <w:rFonts w:eastAsiaTheme="minorHAnsi"/>
        </w:rPr>
        <w:t xml:space="preserve">this utility to more financially, managerially, and technically capable ownership.  </w:t>
      </w:r>
      <w:r w:rsidR="0063531D">
        <w:rPr>
          <w:rFonts w:eastAsiaTheme="minorHAnsi"/>
        </w:rPr>
        <w:t xml:space="preserve">OCA </w:t>
      </w:r>
      <w:r w:rsidR="0095234C">
        <w:rPr>
          <w:rFonts w:eastAsiaTheme="minorHAnsi"/>
        </w:rPr>
        <w:t xml:space="preserve">Exc. at 6. </w:t>
      </w:r>
    </w:p>
    <w:p w:rsidR="00BA47D3" w:rsidRDefault="00BA47D3" w:rsidP="00DF62DA">
      <w:pPr>
        <w:rPr>
          <w:rFonts w:eastAsiaTheme="minorHAnsi"/>
        </w:rPr>
      </w:pPr>
    </w:p>
    <w:p w:rsidR="002659F0" w:rsidRDefault="002659F0" w:rsidP="002659F0">
      <w:pPr>
        <w:rPr>
          <w:rFonts w:eastAsiaTheme="minorHAnsi"/>
        </w:rPr>
      </w:pPr>
      <w:r>
        <w:rPr>
          <w:rFonts w:eastAsiaTheme="minorHAnsi"/>
        </w:rPr>
        <w:t>In its Reply to the OCA</w:t>
      </w:r>
      <w:r w:rsidR="002061B0">
        <w:rPr>
          <w:rFonts w:eastAsiaTheme="minorHAnsi"/>
        </w:rPr>
        <w:t>’</w:t>
      </w:r>
      <w:r>
        <w:rPr>
          <w:rFonts w:eastAsiaTheme="minorHAnsi"/>
        </w:rPr>
        <w:t xml:space="preserve">s </w:t>
      </w:r>
      <w:r w:rsidR="000E794B">
        <w:rPr>
          <w:rFonts w:eastAsiaTheme="minorHAnsi"/>
        </w:rPr>
        <w:t xml:space="preserve">water quality </w:t>
      </w:r>
      <w:r>
        <w:rPr>
          <w:rFonts w:eastAsiaTheme="minorHAnsi"/>
        </w:rPr>
        <w:t xml:space="preserve">Exception, DSC avers that it does not have any monies to address any service inadequacies identified by the OCA.  The Company explains that, while a </w:t>
      </w:r>
      <w:r w:rsidR="004521B7">
        <w:rPr>
          <w:rFonts w:eastAsiaTheme="minorHAnsi"/>
        </w:rPr>
        <w:t>“</w:t>
      </w:r>
      <w:r>
        <w:rPr>
          <w:rFonts w:eastAsiaTheme="minorHAnsi"/>
        </w:rPr>
        <w:t>return</w:t>
      </w:r>
      <w:r w:rsidR="004521B7">
        <w:rPr>
          <w:rFonts w:eastAsiaTheme="minorHAnsi"/>
        </w:rPr>
        <w:t>”</w:t>
      </w:r>
      <w:r>
        <w:rPr>
          <w:rFonts w:eastAsiaTheme="minorHAnsi"/>
        </w:rPr>
        <w:t xml:space="preserve"> claim is part of the rate filing, it is not significant in absolute dollars and there will be no meaningful funding created from which system improvements might be made or system emergencies addressed.  DSC R. Exc. at 2, </w:t>
      </w:r>
      <w:r w:rsidRPr="0043009D">
        <w:rPr>
          <w:rFonts w:eastAsiaTheme="minorHAnsi"/>
        </w:rPr>
        <w:t>citing</w:t>
      </w:r>
      <w:r>
        <w:rPr>
          <w:rFonts w:eastAsiaTheme="minorHAnsi"/>
        </w:rPr>
        <w:t xml:space="preserve"> DSC St. SFL-IR at 2; Tr. at. 77.  DSC </w:t>
      </w:r>
      <w:r w:rsidR="004521B7">
        <w:rPr>
          <w:rFonts w:eastAsiaTheme="minorHAnsi"/>
        </w:rPr>
        <w:t xml:space="preserve">claims </w:t>
      </w:r>
      <w:r>
        <w:rPr>
          <w:rFonts w:eastAsiaTheme="minorHAnsi"/>
        </w:rPr>
        <w:t>that the system improvements and plant operation suggested by the OCA would raise rates still higher.  DSC R. Exc. at 2</w:t>
      </w:r>
      <w:r w:rsidR="00FB4DDD">
        <w:rPr>
          <w:rFonts w:eastAsiaTheme="minorHAnsi"/>
        </w:rPr>
        <w:t>.</w:t>
      </w:r>
    </w:p>
    <w:p w:rsidR="002659F0" w:rsidRDefault="002659F0" w:rsidP="002659F0">
      <w:pPr>
        <w:rPr>
          <w:rFonts w:eastAsiaTheme="minorHAnsi"/>
        </w:rPr>
      </w:pPr>
    </w:p>
    <w:p w:rsidR="00B01B34" w:rsidRDefault="002659F0" w:rsidP="00B01B34">
      <w:pPr>
        <w:rPr>
          <w:rFonts w:eastAsiaTheme="minorHAnsi"/>
          <w:szCs w:val="26"/>
        </w:rPr>
      </w:pPr>
      <w:r w:rsidRPr="00B01B34">
        <w:rPr>
          <w:rFonts w:eastAsiaTheme="minorHAnsi"/>
          <w:szCs w:val="26"/>
        </w:rPr>
        <w:t xml:space="preserve">The Company would prefer that the Commission move forward with </w:t>
      </w:r>
      <w:r w:rsidR="00213CF0">
        <w:rPr>
          <w:rFonts w:eastAsiaTheme="minorHAnsi"/>
          <w:szCs w:val="26"/>
        </w:rPr>
        <w:t>its</w:t>
      </w:r>
      <w:r w:rsidRPr="00B01B34">
        <w:rPr>
          <w:rFonts w:eastAsiaTheme="minorHAnsi"/>
          <w:szCs w:val="26"/>
        </w:rPr>
        <w:t xml:space="preserve"> Section 529 </w:t>
      </w:r>
      <w:r w:rsidR="00213CF0">
        <w:rPr>
          <w:rFonts w:eastAsiaTheme="minorHAnsi"/>
          <w:szCs w:val="26"/>
        </w:rPr>
        <w:t>Petition</w:t>
      </w:r>
      <w:r w:rsidRPr="00B01B34">
        <w:rPr>
          <w:rFonts w:eastAsiaTheme="minorHAnsi"/>
          <w:szCs w:val="26"/>
        </w:rPr>
        <w:t xml:space="preserve">.  DSC explains that a large capable public utility would have the financial and technical capability to address the quality of service criticisms voiced by the OCA and the customer base over which to spread the related system improvement costs. </w:t>
      </w:r>
      <w:r w:rsidR="00B01B34">
        <w:rPr>
          <w:rFonts w:eastAsiaTheme="minorHAnsi"/>
          <w:szCs w:val="26"/>
        </w:rPr>
        <w:t xml:space="preserve">However, </w:t>
      </w:r>
      <w:r w:rsidRPr="00B01B34">
        <w:rPr>
          <w:rFonts w:eastAsiaTheme="minorHAnsi"/>
          <w:szCs w:val="26"/>
        </w:rPr>
        <w:t>DCS avers that Section 52</w:t>
      </w:r>
      <w:r w:rsidR="00B05BAC">
        <w:rPr>
          <w:rFonts w:eastAsiaTheme="minorHAnsi"/>
          <w:szCs w:val="26"/>
        </w:rPr>
        <w:t>6</w:t>
      </w:r>
      <w:r w:rsidRPr="00B01B34">
        <w:rPr>
          <w:rFonts w:eastAsiaTheme="minorHAnsi"/>
          <w:szCs w:val="26"/>
        </w:rPr>
        <w:t xml:space="preserve"> </w:t>
      </w:r>
      <w:r w:rsidR="00B05BAC">
        <w:rPr>
          <w:rFonts w:eastAsiaTheme="minorHAnsi"/>
          <w:szCs w:val="26"/>
        </w:rPr>
        <w:t xml:space="preserve">of the Code, 66 Pa. C.S. § 526, </w:t>
      </w:r>
      <w:r w:rsidRPr="00B01B34">
        <w:rPr>
          <w:rFonts w:eastAsiaTheme="minorHAnsi"/>
          <w:szCs w:val="26"/>
        </w:rPr>
        <w:t xml:space="preserve">is discretionary and does not </w:t>
      </w:r>
      <w:r w:rsidRPr="00B01B34">
        <w:rPr>
          <w:rFonts w:eastAsiaTheme="minorHAnsi"/>
          <w:iCs/>
          <w:szCs w:val="26"/>
        </w:rPr>
        <w:t>require</w:t>
      </w:r>
      <w:r w:rsidRPr="00B01B34">
        <w:rPr>
          <w:rFonts w:eastAsiaTheme="minorHAnsi"/>
          <w:i/>
          <w:iCs/>
          <w:szCs w:val="26"/>
        </w:rPr>
        <w:t xml:space="preserve"> </w:t>
      </w:r>
      <w:r w:rsidRPr="00B01B34">
        <w:rPr>
          <w:rFonts w:eastAsiaTheme="minorHAnsi"/>
          <w:szCs w:val="26"/>
        </w:rPr>
        <w:t xml:space="preserve">the Commission to deny a rate increase because of quality of service criticisms.  DSC </w:t>
      </w:r>
      <w:r w:rsidR="00B01B34">
        <w:rPr>
          <w:rFonts w:eastAsiaTheme="minorHAnsi"/>
          <w:szCs w:val="26"/>
        </w:rPr>
        <w:t xml:space="preserve">submits that it </w:t>
      </w:r>
      <w:r w:rsidRPr="00B01B34">
        <w:rPr>
          <w:rFonts w:eastAsiaTheme="minorHAnsi"/>
          <w:szCs w:val="26"/>
        </w:rPr>
        <w:t>is doing the best it can with the limited resources and customer base that it has.</w:t>
      </w:r>
      <w:r w:rsidR="00B01B34">
        <w:rPr>
          <w:rFonts w:eastAsiaTheme="minorHAnsi"/>
          <w:szCs w:val="26"/>
        </w:rPr>
        <w:t xml:space="preserve"> </w:t>
      </w:r>
      <w:r w:rsidRPr="00B01B34">
        <w:rPr>
          <w:rFonts w:eastAsiaTheme="minorHAnsi"/>
          <w:szCs w:val="26"/>
        </w:rPr>
        <w:t xml:space="preserve"> </w:t>
      </w:r>
      <w:r w:rsidR="00B01B34">
        <w:rPr>
          <w:rFonts w:eastAsiaTheme="minorHAnsi"/>
          <w:szCs w:val="26"/>
        </w:rPr>
        <w:t>The Company argues that u</w:t>
      </w:r>
      <w:r w:rsidRPr="00B01B34">
        <w:rPr>
          <w:rFonts w:eastAsiaTheme="minorHAnsi"/>
          <w:szCs w:val="26"/>
        </w:rPr>
        <w:t>nder the circumstances presented here, the denial of its rate increase is not warranted and the OCA</w:t>
      </w:r>
      <w:r w:rsidR="002061B0">
        <w:rPr>
          <w:rFonts w:eastAsiaTheme="minorHAnsi"/>
          <w:szCs w:val="26"/>
        </w:rPr>
        <w:t>’</w:t>
      </w:r>
      <w:r w:rsidRPr="00B01B34">
        <w:rPr>
          <w:rFonts w:eastAsiaTheme="minorHAnsi"/>
          <w:szCs w:val="26"/>
        </w:rPr>
        <w:t xml:space="preserve">s Exception should be denied. </w:t>
      </w:r>
      <w:r w:rsidR="00B01B34">
        <w:rPr>
          <w:rFonts w:eastAsiaTheme="minorHAnsi"/>
          <w:szCs w:val="26"/>
        </w:rPr>
        <w:t xml:space="preserve"> DSC R. Exc. at 3.</w:t>
      </w:r>
    </w:p>
    <w:p w:rsidR="006916ED" w:rsidRDefault="006916ED" w:rsidP="00B01B34">
      <w:pPr>
        <w:rPr>
          <w:rFonts w:eastAsiaTheme="minorHAnsi"/>
          <w:szCs w:val="26"/>
        </w:rPr>
      </w:pPr>
    </w:p>
    <w:p w:rsidR="006916ED" w:rsidRDefault="006C5146" w:rsidP="007F2951">
      <w:pPr>
        <w:rPr>
          <w:color w:val="000000" w:themeColor="text1"/>
          <w:szCs w:val="26"/>
        </w:rPr>
      </w:pPr>
      <w:r>
        <w:rPr>
          <w:color w:val="000000" w:themeColor="text1"/>
          <w:szCs w:val="26"/>
        </w:rPr>
        <w:t>I&amp;E recommends that DSC</w:t>
      </w:r>
      <w:r w:rsidR="002061B0">
        <w:rPr>
          <w:color w:val="000000" w:themeColor="text1"/>
          <w:szCs w:val="26"/>
        </w:rPr>
        <w:t>’</w:t>
      </w:r>
      <w:r>
        <w:rPr>
          <w:color w:val="000000" w:themeColor="text1"/>
          <w:szCs w:val="26"/>
        </w:rPr>
        <w:t>s and the OCA</w:t>
      </w:r>
      <w:r w:rsidR="002061B0">
        <w:rPr>
          <w:color w:val="000000" w:themeColor="text1"/>
          <w:szCs w:val="26"/>
        </w:rPr>
        <w:t>’</w:t>
      </w:r>
      <w:r w:rsidR="00DD16F2">
        <w:rPr>
          <w:color w:val="000000" w:themeColor="text1"/>
          <w:szCs w:val="26"/>
        </w:rPr>
        <w:t>s</w:t>
      </w:r>
      <w:r>
        <w:rPr>
          <w:color w:val="000000" w:themeColor="text1"/>
          <w:szCs w:val="26"/>
        </w:rPr>
        <w:t xml:space="preserve"> Exceptions on this issue be denied.  </w:t>
      </w:r>
      <w:r w:rsidR="00FB4DDD">
        <w:rPr>
          <w:color w:val="000000" w:themeColor="text1"/>
          <w:szCs w:val="26"/>
        </w:rPr>
        <w:t xml:space="preserve">I&amp;E R. Exc. at </w:t>
      </w:r>
      <w:r w:rsidR="00B57D13">
        <w:rPr>
          <w:color w:val="000000" w:themeColor="text1"/>
          <w:szCs w:val="26"/>
        </w:rPr>
        <w:t>2-3</w:t>
      </w:r>
      <w:r w:rsidR="00875592">
        <w:rPr>
          <w:color w:val="000000" w:themeColor="text1"/>
          <w:szCs w:val="26"/>
        </w:rPr>
        <w:t>,</w:t>
      </w:r>
      <w:r w:rsidR="00B57D13">
        <w:rPr>
          <w:color w:val="000000" w:themeColor="text1"/>
          <w:szCs w:val="26"/>
        </w:rPr>
        <w:t xml:space="preserve"> 12-13. </w:t>
      </w:r>
      <w:r w:rsidR="00341B66">
        <w:rPr>
          <w:color w:val="000000" w:themeColor="text1"/>
          <w:szCs w:val="26"/>
        </w:rPr>
        <w:t xml:space="preserve"> </w:t>
      </w:r>
      <w:r>
        <w:rPr>
          <w:color w:val="000000" w:themeColor="text1"/>
          <w:szCs w:val="26"/>
        </w:rPr>
        <w:t xml:space="preserve">I&amp;E states that “the </w:t>
      </w:r>
      <w:r w:rsidRPr="006C5146">
        <w:rPr>
          <w:i/>
          <w:color w:val="000000" w:themeColor="text1"/>
          <w:szCs w:val="26"/>
        </w:rPr>
        <w:t>existing</w:t>
      </w:r>
      <w:r>
        <w:rPr>
          <w:color w:val="000000" w:themeColor="text1"/>
          <w:szCs w:val="26"/>
        </w:rPr>
        <w:t xml:space="preserve"> DSC system is providing safe and adequate service as a septic system and has been for the last 10 years.”  I&amp;E R.</w:t>
      </w:r>
      <w:r w:rsidR="004521B7">
        <w:rPr>
          <w:color w:val="000000" w:themeColor="text1"/>
          <w:szCs w:val="26"/>
        </w:rPr>
        <w:t> </w:t>
      </w:r>
      <w:r>
        <w:rPr>
          <w:color w:val="000000" w:themeColor="text1"/>
          <w:szCs w:val="26"/>
        </w:rPr>
        <w:t xml:space="preserve"> Exc. at </w:t>
      </w:r>
      <w:r w:rsidR="00CB57D9">
        <w:rPr>
          <w:color w:val="000000" w:themeColor="text1"/>
          <w:szCs w:val="26"/>
        </w:rPr>
        <w:t>3</w:t>
      </w:r>
      <w:r w:rsidR="00875592">
        <w:rPr>
          <w:color w:val="000000" w:themeColor="text1"/>
          <w:szCs w:val="26"/>
        </w:rPr>
        <w:t>,</w:t>
      </w:r>
      <w:r w:rsidR="00CB57D9">
        <w:rPr>
          <w:color w:val="000000" w:themeColor="text1"/>
          <w:szCs w:val="26"/>
        </w:rPr>
        <w:t xml:space="preserve"> 12 </w:t>
      </w:r>
      <w:r>
        <w:rPr>
          <w:color w:val="000000" w:themeColor="text1"/>
          <w:szCs w:val="26"/>
        </w:rPr>
        <w:t xml:space="preserve">(emphasis </w:t>
      </w:r>
      <w:r w:rsidR="00875592">
        <w:rPr>
          <w:color w:val="000000" w:themeColor="text1"/>
          <w:szCs w:val="26"/>
        </w:rPr>
        <w:t>in original</w:t>
      </w:r>
      <w:r>
        <w:rPr>
          <w:color w:val="000000" w:themeColor="text1"/>
          <w:szCs w:val="26"/>
        </w:rPr>
        <w:t>).  I&amp;E opines that “t</w:t>
      </w:r>
      <w:r w:rsidR="006916ED">
        <w:rPr>
          <w:color w:val="000000" w:themeColor="text1"/>
          <w:szCs w:val="26"/>
        </w:rPr>
        <w:t xml:space="preserve">he ALJ correctly concluded that there is a cost of providing the service as it is </w:t>
      </w:r>
      <w:r w:rsidR="006916ED" w:rsidRPr="006C5146">
        <w:rPr>
          <w:i/>
          <w:color w:val="000000" w:themeColor="text1"/>
          <w:szCs w:val="26"/>
        </w:rPr>
        <w:t>currently</w:t>
      </w:r>
      <w:r w:rsidR="006916ED">
        <w:rPr>
          <w:color w:val="000000" w:themeColor="text1"/>
          <w:szCs w:val="26"/>
        </w:rPr>
        <w:t xml:space="preserve"> being provided; and, a just and reasonable rate is one that covers the cost of providing the service.</w:t>
      </w:r>
      <w:r w:rsidR="007F2951">
        <w:rPr>
          <w:color w:val="000000" w:themeColor="text1"/>
          <w:szCs w:val="26"/>
        </w:rPr>
        <w:t>”</w:t>
      </w:r>
      <w:r>
        <w:rPr>
          <w:color w:val="000000" w:themeColor="text1"/>
          <w:szCs w:val="26"/>
        </w:rPr>
        <w:t xml:space="preserve">  </w:t>
      </w:r>
      <w:r w:rsidRPr="006C5146">
        <w:rPr>
          <w:i/>
          <w:color w:val="000000" w:themeColor="text1"/>
          <w:szCs w:val="26"/>
        </w:rPr>
        <w:t>Id</w:t>
      </w:r>
      <w:r>
        <w:rPr>
          <w:color w:val="000000" w:themeColor="text1"/>
          <w:szCs w:val="26"/>
        </w:rPr>
        <w:t xml:space="preserve">. (emphasis </w:t>
      </w:r>
      <w:r w:rsidR="00875592">
        <w:rPr>
          <w:color w:val="000000" w:themeColor="text1"/>
          <w:szCs w:val="26"/>
        </w:rPr>
        <w:t>in original</w:t>
      </w:r>
      <w:r>
        <w:rPr>
          <w:color w:val="000000" w:themeColor="text1"/>
          <w:szCs w:val="26"/>
        </w:rPr>
        <w:t xml:space="preserve">).  </w:t>
      </w:r>
      <w:r w:rsidR="007F2951">
        <w:rPr>
          <w:color w:val="000000" w:themeColor="text1"/>
          <w:szCs w:val="26"/>
        </w:rPr>
        <w:t xml:space="preserve">I&amp;E submits that </w:t>
      </w:r>
      <w:r w:rsidR="006916ED">
        <w:rPr>
          <w:color w:val="000000" w:themeColor="text1"/>
          <w:szCs w:val="26"/>
        </w:rPr>
        <w:t>the ALJ was correct to point out that none of the Formal Complainants complained about service.</w:t>
      </w:r>
      <w:r w:rsidR="007F2951">
        <w:rPr>
          <w:color w:val="000000" w:themeColor="text1"/>
          <w:szCs w:val="26"/>
        </w:rPr>
        <w:t xml:space="preserve">  </w:t>
      </w:r>
      <w:r w:rsidR="006916ED">
        <w:rPr>
          <w:color w:val="000000" w:themeColor="text1"/>
          <w:szCs w:val="26"/>
        </w:rPr>
        <w:t xml:space="preserve"> </w:t>
      </w:r>
    </w:p>
    <w:p w:rsidR="00B01B34" w:rsidRDefault="006916ED" w:rsidP="007F2951">
      <w:pPr>
        <w:spacing w:line="480" w:lineRule="auto"/>
        <w:rPr>
          <w:color w:val="000000" w:themeColor="text1"/>
          <w:szCs w:val="26"/>
        </w:rPr>
      </w:pPr>
      <w:r>
        <w:rPr>
          <w:color w:val="000000" w:themeColor="text1"/>
          <w:szCs w:val="26"/>
        </w:rPr>
        <w:tab/>
      </w:r>
    </w:p>
    <w:p w:rsidR="00CB57D9" w:rsidRDefault="00CB57D9" w:rsidP="00AC18FC">
      <w:pPr>
        <w:pStyle w:val="Heading4"/>
        <w:ind w:left="2160" w:hanging="720"/>
      </w:pPr>
      <w:r>
        <w:t>Disposition</w:t>
      </w:r>
    </w:p>
    <w:p w:rsidR="00E10588" w:rsidRDefault="00E10588" w:rsidP="00E10588"/>
    <w:p w:rsidR="000773E6" w:rsidRDefault="003D1D7F" w:rsidP="000773E6">
      <w:pPr>
        <w:rPr>
          <w:rFonts w:eastAsiaTheme="minorHAnsi"/>
        </w:rPr>
      </w:pPr>
      <w:r>
        <w:rPr>
          <w:rFonts w:eastAsiaTheme="minorHAnsi"/>
        </w:rPr>
        <w:t xml:space="preserve">While the Company may be operating its </w:t>
      </w:r>
      <w:r w:rsidR="003E4086">
        <w:rPr>
          <w:rFonts w:eastAsiaTheme="minorHAnsi"/>
        </w:rPr>
        <w:t xml:space="preserve">wastewater </w:t>
      </w:r>
      <w:r>
        <w:rPr>
          <w:rFonts w:eastAsiaTheme="minorHAnsi"/>
        </w:rPr>
        <w:t xml:space="preserve">collection system to the satisfaction of its customers, </w:t>
      </w:r>
      <w:r w:rsidR="00312A66">
        <w:rPr>
          <w:rFonts w:eastAsiaTheme="minorHAnsi"/>
        </w:rPr>
        <w:t>the record indicates that</w:t>
      </w:r>
      <w:r w:rsidR="000773E6">
        <w:rPr>
          <w:rFonts w:eastAsiaTheme="minorHAnsi"/>
        </w:rPr>
        <w:t xml:space="preserve"> it has </w:t>
      </w:r>
      <w:r w:rsidRPr="000773E6">
        <w:rPr>
          <w:rFonts w:eastAsiaTheme="minorHAnsi"/>
        </w:rPr>
        <w:t>faile</w:t>
      </w:r>
      <w:r w:rsidR="000773E6" w:rsidRPr="000773E6">
        <w:rPr>
          <w:rFonts w:eastAsiaTheme="minorHAnsi"/>
        </w:rPr>
        <w:t>d</w:t>
      </w:r>
      <w:r w:rsidRPr="000773E6">
        <w:rPr>
          <w:rFonts w:eastAsiaTheme="minorHAnsi"/>
        </w:rPr>
        <w:t xml:space="preserve"> to</w:t>
      </w:r>
      <w:r>
        <w:rPr>
          <w:rFonts w:eastAsiaTheme="minorHAnsi"/>
        </w:rPr>
        <w:t xml:space="preserve"> operate the wastewater treatment plant as it was designed</w:t>
      </w:r>
      <w:r w:rsidR="001476B1">
        <w:rPr>
          <w:rFonts w:eastAsiaTheme="minorHAnsi"/>
        </w:rPr>
        <w:t xml:space="preserve">  </w:t>
      </w:r>
      <w:r w:rsidR="001476B1" w:rsidRPr="00455A46">
        <w:rPr>
          <w:rFonts w:eastAsiaTheme="minorHAnsi"/>
          <w:i/>
        </w:rPr>
        <w:t>i.e.</w:t>
      </w:r>
      <w:r w:rsidR="00090A03">
        <w:rPr>
          <w:rFonts w:eastAsiaTheme="minorHAnsi"/>
        </w:rPr>
        <w:t>,</w:t>
      </w:r>
      <w:r>
        <w:rPr>
          <w:rFonts w:eastAsiaTheme="minorHAnsi"/>
        </w:rPr>
        <w:t xml:space="preserve"> </w:t>
      </w:r>
      <w:r w:rsidR="00950A54">
        <w:rPr>
          <w:rFonts w:eastAsiaTheme="minorHAnsi"/>
        </w:rPr>
        <w:t xml:space="preserve">to </w:t>
      </w:r>
      <w:r>
        <w:rPr>
          <w:rFonts w:eastAsiaTheme="minorHAnsi"/>
        </w:rPr>
        <w:t>address collection system issues related to infiltration/inflow</w:t>
      </w:r>
      <w:r w:rsidR="00090A03">
        <w:rPr>
          <w:rFonts w:eastAsiaTheme="minorHAnsi"/>
        </w:rPr>
        <w:t>,</w:t>
      </w:r>
      <w:r>
        <w:rPr>
          <w:rFonts w:eastAsiaTheme="minorHAnsi"/>
        </w:rPr>
        <w:t xml:space="preserve"> </w:t>
      </w:r>
      <w:r w:rsidR="000773E6">
        <w:rPr>
          <w:rFonts w:eastAsiaTheme="minorHAnsi"/>
        </w:rPr>
        <w:t>and</w:t>
      </w:r>
      <w:r>
        <w:rPr>
          <w:rFonts w:eastAsiaTheme="minorHAnsi"/>
        </w:rPr>
        <w:t xml:space="preserve"> </w:t>
      </w:r>
      <w:r w:rsidR="00950A54">
        <w:rPr>
          <w:rFonts w:eastAsiaTheme="minorHAnsi"/>
        </w:rPr>
        <w:t xml:space="preserve">to </w:t>
      </w:r>
      <w:r>
        <w:rPr>
          <w:rFonts w:eastAsiaTheme="minorHAnsi"/>
        </w:rPr>
        <w:t>address issues with subsurface disposal system</w:t>
      </w:r>
      <w:r w:rsidR="000773E6">
        <w:rPr>
          <w:rFonts w:eastAsiaTheme="minorHAnsi"/>
        </w:rPr>
        <w:t>.  OCA M.B. at 9-1</w:t>
      </w:r>
      <w:r w:rsidR="00AC18FC">
        <w:rPr>
          <w:rFonts w:eastAsiaTheme="minorHAnsi"/>
        </w:rPr>
        <w:t>9</w:t>
      </w:r>
      <w:r w:rsidR="000773E6">
        <w:rPr>
          <w:rFonts w:eastAsiaTheme="minorHAnsi"/>
        </w:rPr>
        <w:t xml:space="preserve">. </w:t>
      </w:r>
      <w:r>
        <w:rPr>
          <w:rFonts w:eastAsiaTheme="minorHAnsi"/>
        </w:rPr>
        <w:t xml:space="preserve"> </w:t>
      </w:r>
      <w:r w:rsidR="006B122B">
        <w:rPr>
          <w:rFonts w:eastAsiaTheme="minorHAnsi"/>
        </w:rPr>
        <w:t xml:space="preserve">Consequently, we concur with the OCA that these quality of service issues are, </w:t>
      </w:r>
      <w:r w:rsidR="006B122B" w:rsidRPr="004F0202">
        <w:rPr>
          <w:rFonts w:eastAsiaTheme="minorHAnsi"/>
          <w:i/>
        </w:rPr>
        <w:t>inter alia</w:t>
      </w:r>
      <w:r w:rsidR="006B122B">
        <w:rPr>
          <w:rFonts w:eastAsiaTheme="minorHAnsi"/>
        </w:rPr>
        <w:t xml:space="preserve">, reducing the useful life of the system and allowing the unpermitted </w:t>
      </w:r>
      <w:r w:rsidR="006B122B">
        <w:rPr>
          <w:rFonts w:eastAsiaTheme="minorHAnsi"/>
        </w:rPr>
        <w:lastRenderedPageBreak/>
        <w:t>discharge of untreated sewage</w:t>
      </w:r>
      <w:r w:rsidR="00B15C20">
        <w:rPr>
          <w:rFonts w:eastAsiaTheme="minorHAnsi"/>
        </w:rPr>
        <w:t xml:space="preserve">.  Therefore, </w:t>
      </w:r>
      <w:r w:rsidR="00950A54">
        <w:rPr>
          <w:rFonts w:eastAsiaTheme="minorHAnsi"/>
        </w:rPr>
        <w:t xml:space="preserve">we find that </w:t>
      </w:r>
      <w:r w:rsidR="00B15C20">
        <w:rPr>
          <w:rFonts w:eastAsiaTheme="minorHAnsi"/>
        </w:rPr>
        <w:t>the Company</w:t>
      </w:r>
      <w:r w:rsidR="00090A03">
        <w:rPr>
          <w:rFonts w:eastAsiaTheme="minorHAnsi"/>
        </w:rPr>
        <w:t xml:space="preserve"> is not fully meeting its requirements under</w:t>
      </w:r>
      <w:r w:rsidR="00B15C20">
        <w:rPr>
          <w:rFonts w:eastAsiaTheme="minorHAnsi"/>
        </w:rPr>
        <w:t xml:space="preserve"> Sec</w:t>
      </w:r>
      <w:r w:rsidR="006B122B">
        <w:rPr>
          <w:rFonts w:eastAsiaTheme="minorHAnsi"/>
        </w:rPr>
        <w:t xml:space="preserve">tion 1501 of the Code, 66 Pa. C.S. § 1501.  </w:t>
      </w:r>
    </w:p>
    <w:p w:rsidR="000773E6" w:rsidRDefault="000773E6" w:rsidP="000773E6">
      <w:pPr>
        <w:rPr>
          <w:rFonts w:eastAsiaTheme="minorHAnsi"/>
        </w:rPr>
      </w:pPr>
    </w:p>
    <w:p w:rsidR="003E4086" w:rsidRDefault="001D66B0" w:rsidP="003E4086">
      <w:pPr>
        <w:rPr>
          <w:rFonts w:eastAsiaTheme="minorHAnsi"/>
        </w:rPr>
      </w:pPr>
      <w:r w:rsidRPr="00B21210">
        <w:rPr>
          <w:rFonts w:eastAsiaTheme="minorHAnsi"/>
        </w:rPr>
        <w:t>N</w:t>
      </w:r>
      <w:r w:rsidR="00090A03" w:rsidRPr="00B21210">
        <w:rPr>
          <w:rFonts w:eastAsiaTheme="minorHAnsi"/>
        </w:rPr>
        <w:t>otwithstanding</w:t>
      </w:r>
      <w:r w:rsidR="00901EC1" w:rsidRPr="00B21210">
        <w:rPr>
          <w:rFonts w:eastAsiaTheme="minorHAnsi"/>
        </w:rPr>
        <w:t xml:space="preserve"> </w:t>
      </w:r>
      <w:r w:rsidRPr="00B21210">
        <w:rPr>
          <w:rFonts w:eastAsiaTheme="minorHAnsi"/>
        </w:rPr>
        <w:t>our findings regarding the quality of service</w:t>
      </w:r>
      <w:r>
        <w:rPr>
          <w:rFonts w:eastAsiaTheme="minorHAnsi"/>
        </w:rPr>
        <w:t xml:space="preserve">, </w:t>
      </w:r>
      <w:r w:rsidR="00901EC1">
        <w:rPr>
          <w:rFonts w:eastAsiaTheme="minorHAnsi"/>
        </w:rPr>
        <w:t xml:space="preserve">we shall not reject the entire rate request as recommended by the OCA.  </w:t>
      </w:r>
      <w:r w:rsidR="00875592">
        <w:rPr>
          <w:rFonts w:eastAsiaTheme="minorHAnsi"/>
        </w:rPr>
        <w:t xml:space="preserve">Among other things, </w:t>
      </w:r>
      <w:r w:rsidR="00090A03">
        <w:rPr>
          <w:rFonts w:eastAsiaTheme="minorHAnsi"/>
        </w:rPr>
        <w:t>as the ALJ noted</w:t>
      </w:r>
      <w:r w:rsidR="00950A54">
        <w:rPr>
          <w:rFonts w:eastAsiaTheme="minorHAnsi"/>
        </w:rPr>
        <w:t>,</w:t>
      </w:r>
      <w:r w:rsidR="00090A03">
        <w:rPr>
          <w:rFonts w:eastAsiaTheme="minorHAnsi"/>
        </w:rPr>
        <w:t xml:space="preserve"> there is a cost associated with providing existing service, and w</w:t>
      </w:r>
      <w:r w:rsidR="00875592">
        <w:rPr>
          <w:rFonts w:eastAsiaTheme="minorHAnsi"/>
        </w:rPr>
        <w:t>e are mindful of DSC</w:t>
      </w:r>
      <w:r w:rsidR="002061B0">
        <w:rPr>
          <w:rFonts w:eastAsiaTheme="minorHAnsi"/>
        </w:rPr>
        <w:t>’</w:t>
      </w:r>
      <w:r w:rsidR="00875592">
        <w:rPr>
          <w:rFonts w:eastAsiaTheme="minorHAnsi"/>
        </w:rPr>
        <w:t xml:space="preserve">s need to continue to operate until there is some resolution of </w:t>
      </w:r>
      <w:r w:rsidR="00090A03">
        <w:rPr>
          <w:rFonts w:eastAsiaTheme="minorHAnsi"/>
        </w:rPr>
        <w:t>its</w:t>
      </w:r>
      <w:r w:rsidR="00875592">
        <w:rPr>
          <w:rFonts w:eastAsiaTheme="minorHAnsi"/>
        </w:rPr>
        <w:t xml:space="preserve"> pending Section</w:t>
      </w:r>
      <w:r w:rsidR="0049446D">
        <w:rPr>
          <w:rFonts w:eastAsiaTheme="minorHAnsi"/>
        </w:rPr>
        <w:t> </w:t>
      </w:r>
      <w:r w:rsidR="00875592">
        <w:rPr>
          <w:rFonts w:eastAsiaTheme="minorHAnsi"/>
        </w:rPr>
        <w:t xml:space="preserve">529 </w:t>
      </w:r>
      <w:r w:rsidR="00090A03">
        <w:rPr>
          <w:rFonts w:eastAsiaTheme="minorHAnsi"/>
        </w:rPr>
        <w:t>request</w:t>
      </w:r>
      <w:r w:rsidR="00875592">
        <w:rPr>
          <w:rFonts w:eastAsiaTheme="minorHAnsi"/>
        </w:rPr>
        <w:t>.</w:t>
      </w:r>
      <w:r w:rsidR="00B06812">
        <w:rPr>
          <w:rFonts w:eastAsiaTheme="minorHAnsi"/>
        </w:rPr>
        <w:t xml:space="preserve"> </w:t>
      </w:r>
      <w:r w:rsidR="00875592">
        <w:rPr>
          <w:rFonts w:eastAsiaTheme="minorHAnsi"/>
        </w:rPr>
        <w:t xml:space="preserve"> </w:t>
      </w:r>
      <w:r w:rsidR="00B15C20">
        <w:rPr>
          <w:rFonts w:eastAsiaTheme="minorHAnsi"/>
        </w:rPr>
        <w:t xml:space="preserve">However, </w:t>
      </w:r>
      <w:r w:rsidR="00875592">
        <w:rPr>
          <w:rFonts w:eastAsiaTheme="minorHAnsi"/>
        </w:rPr>
        <w:t xml:space="preserve">in light of </w:t>
      </w:r>
      <w:r w:rsidR="00090A03">
        <w:rPr>
          <w:rFonts w:eastAsiaTheme="minorHAnsi"/>
        </w:rPr>
        <w:t>this evidence of DSC</w:t>
      </w:r>
      <w:r w:rsidR="002061B0">
        <w:rPr>
          <w:rFonts w:eastAsiaTheme="minorHAnsi"/>
        </w:rPr>
        <w:t>’</w:t>
      </w:r>
      <w:r w:rsidR="00090A03">
        <w:rPr>
          <w:rFonts w:eastAsiaTheme="minorHAnsi"/>
        </w:rPr>
        <w:t>s service issue</w:t>
      </w:r>
      <w:r>
        <w:rPr>
          <w:rFonts w:eastAsiaTheme="minorHAnsi"/>
        </w:rPr>
        <w:t>s</w:t>
      </w:r>
      <w:r w:rsidR="00090A03">
        <w:rPr>
          <w:rFonts w:eastAsiaTheme="minorHAnsi"/>
        </w:rPr>
        <w:t xml:space="preserve">, </w:t>
      </w:r>
      <w:r w:rsidR="003E4086">
        <w:rPr>
          <w:rFonts w:eastAsiaTheme="minorHAnsi"/>
        </w:rPr>
        <w:t>pursuant to Sections 523 and 526 of the Code, 66 Pa. C.S. §</w:t>
      </w:r>
      <w:r w:rsidR="00090A03" w:rsidRPr="00090A03">
        <w:rPr>
          <w:rFonts w:eastAsiaTheme="minorHAnsi"/>
        </w:rPr>
        <w:t>§</w:t>
      </w:r>
      <w:r w:rsidR="00090A03">
        <w:rPr>
          <w:rFonts w:eastAsiaTheme="minorHAnsi"/>
        </w:rPr>
        <w:t xml:space="preserve"> </w:t>
      </w:r>
      <w:r w:rsidR="003E4086">
        <w:rPr>
          <w:rFonts w:eastAsiaTheme="minorHAnsi"/>
        </w:rPr>
        <w:t>523, 526, we shall consider the management and operations of the utility, and the resulting quality of service in our disposition of the proposed adjustments to the Company</w:t>
      </w:r>
      <w:r w:rsidR="002061B0">
        <w:rPr>
          <w:rFonts w:eastAsiaTheme="minorHAnsi"/>
        </w:rPr>
        <w:t>’</w:t>
      </w:r>
      <w:r w:rsidR="003E4086">
        <w:rPr>
          <w:rFonts w:eastAsiaTheme="minorHAnsi"/>
        </w:rPr>
        <w:t xml:space="preserve">s claims, </w:t>
      </w:r>
      <w:r w:rsidR="003E4086" w:rsidRPr="003E4086">
        <w:rPr>
          <w:rFonts w:eastAsiaTheme="minorHAnsi"/>
          <w:i/>
        </w:rPr>
        <w:t>infra</w:t>
      </w:r>
      <w:r w:rsidR="003E4086">
        <w:rPr>
          <w:rFonts w:eastAsiaTheme="minorHAnsi"/>
        </w:rPr>
        <w:t xml:space="preserve">. </w:t>
      </w:r>
    </w:p>
    <w:p w:rsidR="003E4086" w:rsidRDefault="003E4086" w:rsidP="00950A54">
      <w:pPr>
        <w:rPr>
          <w:rFonts w:eastAsiaTheme="minorHAnsi"/>
        </w:rPr>
      </w:pPr>
    </w:p>
    <w:p w:rsidR="003E4086" w:rsidRDefault="001C11FB" w:rsidP="00B21210">
      <w:pPr>
        <w:pStyle w:val="Heading3"/>
        <w:keepLines w:val="0"/>
        <w:rPr>
          <w:rFonts w:eastAsiaTheme="minorHAnsi"/>
        </w:rPr>
      </w:pPr>
      <w:bookmarkStart w:id="7" w:name="_Toc425179770"/>
      <w:r w:rsidRPr="003305E0">
        <w:rPr>
          <w:rFonts w:eastAsiaTheme="minorHAnsi"/>
        </w:rPr>
        <w:t xml:space="preserve">Calculation of Revenue Requirement </w:t>
      </w:r>
      <w:r w:rsidR="003305E0" w:rsidRPr="003305E0">
        <w:rPr>
          <w:rFonts w:eastAsiaTheme="minorHAnsi"/>
        </w:rPr>
        <w:t xml:space="preserve">– </w:t>
      </w:r>
      <w:r w:rsidR="003305E0">
        <w:rPr>
          <w:rFonts w:eastAsiaTheme="minorHAnsi"/>
        </w:rPr>
        <w:t>CWC Claim</w:t>
      </w:r>
      <w:bookmarkEnd w:id="7"/>
    </w:p>
    <w:p w:rsidR="003305E0" w:rsidRPr="003305E0" w:rsidRDefault="003305E0" w:rsidP="00B21210">
      <w:pPr>
        <w:keepNext/>
        <w:rPr>
          <w:rFonts w:eastAsiaTheme="minorHAnsi"/>
        </w:rPr>
      </w:pPr>
    </w:p>
    <w:p w:rsidR="001B6C70" w:rsidRPr="001C11FB" w:rsidRDefault="004900B8" w:rsidP="00B21210">
      <w:pPr>
        <w:pStyle w:val="Heading4"/>
        <w:keepNext/>
        <w:numPr>
          <w:ilvl w:val="0"/>
          <w:numId w:val="26"/>
        </w:numPr>
        <w:ind w:left="2160" w:hanging="720"/>
        <w:rPr>
          <w:rFonts w:eastAsiaTheme="minorHAnsi"/>
        </w:rPr>
      </w:pPr>
      <w:r w:rsidRPr="001C11FB">
        <w:rPr>
          <w:rFonts w:eastAsiaTheme="minorHAnsi"/>
        </w:rPr>
        <w:t>Company</w:t>
      </w:r>
      <w:r w:rsidR="00116D68" w:rsidRPr="001C11FB">
        <w:rPr>
          <w:rFonts w:eastAsiaTheme="minorHAnsi"/>
        </w:rPr>
        <w:t xml:space="preserve"> </w:t>
      </w:r>
      <w:r w:rsidRPr="001C11FB">
        <w:rPr>
          <w:rFonts w:eastAsiaTheme="minorHAnsi"/>
        </w:rPr>
        <w:t>Claim</w:t>
      </w:r>
    </w:p>
    <w:p w:rsidR="004900B8" w:rsidRDefault="004900B8" w:rsidP="00B21210">
      <w:pPr>
        <w:keepNext/>
        <w:rPr>
          <w:rFonts w:eastAsiaTheme="minorHAnsi"/>
        </w:rPr>
      </w:pPr>
    </w:p>
    <w:p w:rsidR="007D7175" w:rsidRPr="003D5AD6" w:rsidRDefault="004900B8" w:rsidP="00950A54">
      <w:pPr>
        <w:rPr>
          <w:rFonts w:eastAsiaTheme="minorHAnsi"/>
          <w:strike/>
        </w:rPr>
      </w:pPr>
      <w:r>
        <w:rPr>
          <w:rFonts w:eastAsiaTheme="minorHAnsi"/>
        </w:rPr>
        <w:t xml:space="preserve">In developing its proposed </w:t>
      </w:r>
      <w:r w:rsidR="003712E4" w:rsidRPr="00B21210">
        <w:rPr>
          <w:rFonts w:eastAsiaTheme="minorHAnsi"/>
        </w:rPr>
        <w:t xml:space="preserve">operating </w:t>
      </w:r>
      <w:r w:rsidR="005E4BFD" w:rsidRPr="00B21210">
        <w:rPr>
          <w:rFonts w:eastAsiaTheme="minorHAnsi"/>
        </w:rPr>
        <w:t>income</w:t>
      </w:r>
      <w:r>
        <w:rPr>
          <w:rFonts w:eastAsiaTheme="minorHAnsi"/>
        </w:rPr>
        <w:t xml:space="preserve">, the Company used </w:t>
      </w:r>
      <w:r w:rsidRPr="001D66B0">
        <w:rPr>
          <w:rFonts w:eastAsiaTheme="minorHAnsi"/>
        </w:rPr>
        <w:t xml:space="preserve">a combination of </w:t>
      </w:r>
      <w:r w:rsidR="00B06202" w:rsidRPr="001D66B0">
        <w:rPr>
          <w:rFonts w:eastAsiaTheme="minorHAnsi"/>
        </w:rPr>
        <w:t xml:space="preserve">a </w:t>
      </w:r>
      <w:r w:rsidRPr="001D66B0">
        <w:rPr>
          <w:rFonts w:eastAsiaTheme="minorHAnsi"/>
        </w:rPr>
        <w:t xml:space="preserve">claim for </w:t>
      </w:r>
      <w:r w:rsidR="0097177A" w:rsidRPr="001D66B0">
        <w:rPr>
          <w:rFonts w:eastAsiaTheme="minorHAnsi"/>
        </w:rPr>
        <w:t xml:space="preserve">CWC </w:t>
      </w:r>
      <w:r w:rsidR="00F37DD0" w:rsidRPr="001D66B0">
        <w:rPr>
          <w:rFonts w:eastAsiaTheme="minorHAnsi"/>
        </w:rPr>
        <w:t xml:space="preserve">and </w:t>
      </w:r>
      <w:r w:rsidR="00F37DD0">
        <w:rPr>
          <w:rFonts w:eastAsiaTheme="minorHAnsi"/>
        </w:rPr>
        <w:t>a claim based on an operating ratio methodology</w:t>
      </w:r>
      <w:r>
        <w:rPr>
          <w:rFonts w:eastAsiaTheme="minorHAnsi"/>
        </w:rPr>
        <w:t xml:space="preserve">.  </w:t>
      </w:r>
      <w:r w:rsidR="0097177A">
        <w:rPr>
          <w:rFonts w:eastAsiaTheme="minorHAnsi"/>
        </w:rPr>
        <w:t>The Company</w:t>
      </w:r>
      <w:r w:rsidR="002061B0">
        <w:rPr>
          <w:rFonts w:eastAsiaTheme="minorHAnsi"/>
        </w:rPr>
        <w:t>’</w:t>
      </w:r>
      <w:r w:rsidR="0097177A">
        <w:rPr>
          <w:rFonts w:eastAsiaTheme="minorHAnsi"/>
        </w:rPr>
        <w:t xml:space="preserve">s CWC claim was calculated based on one-eighth </w:t>
      </w:r>
      <w:r w:rsidR="00F37DD0">
        <w:rPr>
          <w:rFonts w:eastAsiaTheme="minorHAnsi"/>
        </w:rPr>
        <w:t xml:space="preserve">of all operating expenses exclusive of depreciation, bad debt, and </w:t>
      </w:r>
      <w:r w:rsidR="0097177A">
        <w:rPr>
          <w:rFonts w:eastAsiaTheme="minorHAnsi"/>
        </w:rPr>
        <w:t xml:space="preserve">Commission </w:t>
      </w:r>
      <w:r w:rsidR="00F37DD0">
        <w:rPr>
          <w:rFonts w:eastAsiaTheme="minorHAnsi"/>
        </w:rPr>
        <w:t>assessment and taxes</w:t>
      </w:r>
      <w:r w:rsidR="003350EB">
        <w:rPr>
          <w:rFonts w:eastAsiaTheme="minorHAnsi"/>
        </w:rPr>
        <w:t>.  This amounted to</w:t>
      </w:r>
      <w:r w:rsidR="00F37DD0">
        <w:rPr>
          <w:rFonts w:eastAsiaTheme="minorHAnsi"/>
        </w:rPr>
        <w:t xml:space="preserve"> </w:t>
      </w:r>
      <w:r w:rsidR="006D178F">
        <w:rPr>
          <w:rFonts w:eastAsiaTheme="minorHAnsi"/>
        </w:rPr>
        <w:t xml:space="preserve">one-eighth of </w:t>
      </w:r>
      <w:r w:rsidR="00F37DD0">
        <w:rPr>
          <w:rFonts w:eastAsiaTheme="minorHAnsi"/>
        </w:rPr>
        <w:t>$</w:t>
      </w:r>
      <w:r w:rsidR="006D178F">
        <w:rPr>
          <w:rFonts w:eastAsiaTheme="minorHAnsi"/>
        </w:rPr>
        <w:t>95,353</w:t>
      </w:r>
      <w:r w:rsidR="00F37DD0">
        <w:rPr>
          <w:rFonts w:eastAsiaTheme="minorHAnsi"/>
        </w:rPr>
        <w:t xml:space="preserve"> </w:t>
      </w:r>
      <w:r w:rsidR="006D178F">
        <w:rPr>
          <w:rFonts w:eastAsiaTheme="minorHAnsi"/>
        </w:rPr>
        <w:t xml:space="preserve">adjusted operating expenses or $11,919.  </w:t>
      </w:r>
      <w:r w:rsidR="009672C0">
        <w:rPr>
          <w:rFonts w:eastAsiaTheme="minorHAnsi"/>
        </w:rPr>
        <w:t xml:space="preserve">Applying a rate of return of </w:t>
      </w:r>
      <w:r w:rsidR="00F37DD0" w:rsidRPr="003712E4">
        <w:rPr>
          <w:rFonts w:eastAsiaTheme="minorHAnsi"/>
        </w:rPr>
        <w:t>8.5%</w:t>
      </w:r>
      <w:r w:rsidR="00F37DD0">
        <w:rPr>
          <w:rFonts w:eastAsiaTheme="minorHAnsi"/>
        </w:rPr>
        <w:t xml:space="preserve"> </w:t>
      </w:r>
      <w:r w:rsidR="009672C0">
        <w:rPr>
          <w:rFonts w:eastAsiaTheme="minorHAnsi"/>
        </w:rPr>
        <w:t xml:space="preserve">to the $11,919 </w:t>
      </w:r>
      <w:r w:rsidR="0097177A">
        <w:rPr>
          <w:rFonts w:eastAsiaTheme="minorHAnsi"/>
        </w:rPr>
        <w:t>result</w:t>
      </w:r>
      <w:r w:rsidR="009672C0">
        <w:rPr>
          <w:rFonts w:eastAsiaTheme="minorHAnsi"/>
        </w:rPr>
        <w:t>ed</w:t>
      </w:r>
      <w:r w:rsidR="0097177A">
        <w:rPr>
          <w:rFonts w:eastAsiaTheme="minorHAnsi"/>
        </w:rPr>
        <w:t xml:space="preserve"> in a</w:t>
      </w:r>
      <w:r w:rsidR="009672C0">
        <w:rPr>
          <w:rFonts w:eastAsiaTheme="minorHAnsi"/>
        </w:rPr>
        <w:t xml:space="preserve"> CWC</w:t>
      </w:r>
      <w:r w:rsidR="0097177A">
        <w:rPr>
          <w:rFonts w:eastAsiaTheme="minorHAnsi"/>
        </w:rPr>
        <w:t xml:space="preserve"> operating </w:t>
      </w:r>
      <w:r w:rsidR="009672C0">
        <w:rPr>
          <w:rFonts w:eastAsiaTheme="minorHAnsi"/>
        </w:rPr>
        <w:t xml:space="preserve">income </w:t>
      </w:r>
      <w:r w:rsidR="0097177A">
        <w:rPr>
          <w:rFonts w:eastAsiaTheme="minorHAnsi"/>
        </w:rPr>
        <w:t xml:space="preserve">claim of </w:t>
      </w:r>
      <w:r w:rsidR="00F37DD0">
        <w:rPr>
          <w:rFonts w:eastAsiaTheme="minorHAnsi"/>
        </w:rPr>
        <w:t>$</w:t>
      </w:r>
      <w:r w:rsidR="005E4BFD">
        <w:rPr>
          <w:rFonts w:eastAsiaTheme="minorHAnsi"/>
        </w:rPr>
        <w:t>1,013</w:t>
      </w:r>
      <w:r w:rsidR="00F37DD0">
        <w:rPr>
          <w:rFonts w:eastAsiaTheme="minorHAnsi"/>
        </w:rPr>
        <w:t xml:space="preserve">. </w:t>
      </w:r>
      <w:r w:rsidR="0097177A">
        <w:rPr>
          <w:rFonts w:eastAsiaTheme="minorHAnsi"/>
        </w:rPr>
        <w:t xml:space="preserve"> </w:t>
      </w:r>
      <w:r w:rsidR="003D5AD6" w:rsidRPr="00B21210">
        <w:rPr>
          <w:rFonts w:eastAsiaTheme="minorHAnsi"/>
        </w:rPr>
        <w:t>DS</w:t>
      </w:r>
      <w:r w:rsidR="00BF0814" w:rsidRPr="00B21210">
        <w:rPr>
          <w:rFonts w:eastAsiaTheme="minorHAnsi"/>
        </w:rPr>
        <w:t>C</w:t>
      </w:r>
      <w:r w:rsidR="003D5AD6" w:rsidRPr="00B21210">
        <w:rPr>
          <w:rFonts w:eastAsiaTheme="minorHAnsi"/>
        </w:rPr>
        <w:t xml:space="preserve"> </w:t>
      </w:r>
      <w:proofErr w:type="spellStart"/>
      <w:r w:rsidR="003D5AD6" w:rsidRPr="00B21210">
        <w:rPr>
          <w:rFonts w:eastAsiaTheme="minorHAnsi"/>
        </w:rPr>
        <w:t>Exh</w:t>
      </w:r>
      <w:proofErr w:type="spellEnd"/>
      <w:r w:rsidR="003D5AD6" w:rsidRPr="00B21210">
        <w:rPr>
          <w:rFonts w:eastAsiaTheme="minorHAnsi"/>
        </w:rPr>
        <w:t>. 2 at Updated Sch. F-1.</w:t>
      </w:r>
      <w:r w:rsidR="003D5AD6">
        <w:rPr>
          <w:rFonts w:eastAsiaTheme="minorHAnsi"/>
        </w:rPr>
        <w:t xml:space="preserve">  </w:t>
      </w:r>
      <w:r w:rsidR="0097177A">
        <w:rPr>
          <w:rFonts w:eastAsiaTheme="minorHAnsi"/>
        </w:rPr>
        <w:t xml:space="preserve">The operating ratio </w:t>
      </w:r>
      <w:r w:rsidR="00F37DD0">
        <w:rPr>
          <w:rFonts w:eastAsiaTheme="minorHAnsi"/>
        </w:rPr>
        <w:t xml:space="preserve">component provides for a </w:t>
      </w:r>
      <w:r w:rsidR="00806A6E">
        <w:rPr>
          <w:rFonts w:eastAsiaTheme="minorHAnsi"/>
        </w:rPr>
        <w:t>5%</w:t>
      </w:r>
      <w:r w:rsidR="00443A8F">
        <w:rPr>
          <w:rFonts w:eastAsiaTheme="minorHAnsi"/>
        </w:rPr>
        <w:t xml:space="preserve"> </w:t>
      </w:r>
      <w:r w:rsidR="00F37DD0">
        <w:rPr>
          <w:rFonts w:eastAsiaTheme="minorHAnsi"/>
        </w:rPr>
        <w:t>mark-up on all operating expenses exclusive of those provided in the CWC</w:t>
      </w:r>
      <w:r w:rsidR="0097177A">
        <w:rPr>
          <w:rFonts w:eastAsiaTheme="minorHAnsi"/>
        </w:rPr>
        <w:t xml:space="preserve"> </w:t>
      </w:r>
      <w:r w:rsidR="00F37DD0">
        <w:rPr>
          <w:rFonts w:eastAsiaTheme="minorHAnsi"/>
        </w:rPr>
        <w:t>margin claim along with the exclusion of various fixed officers compensation,</w:t>
      </w:r>
      <w:r w:rsidR="0097177A">
        <w:rPr>
          <w:rFonts w:eastAsiaTheme="minorHAnsi"/>
        </w:rPr>
        <w:t xml:space="preserve"> </w:t>
      </w:r>
      <w:r w:rsidR="00F37DD0">
        <w:rPr>
          <w:rFonts w:eastAsiaTheme="minorHAnsi"/>
        </w:rPr>
        <w:t xml:space="preserve">administrative management fees, </w:t>
      </w:r>
      <w:r w:rsidR="003350EB">
        <w:rPr>
          <w:rFonts w:eastAsiaTheme="minorHAnsi"/>
        </w:rPr>
        <w:t xml:space="preserve">and </w:t>
      </w:r>
      <w:r w:rsidR="00F37DD0">
        <w:rPr>
          <w:rFonts w:eastAsiaTheme="minorHAnsi"/>
        </w:rPr>
        <w:t xml:space="preserve">rate case expense </w:t>
      </w:r>
      <w:r w:rsidR="007F232F">
        <w:rPr>
          <w:rFonts w:eastAsiaTheme="minorHAnsi"/>
        </w:rPr>
        <w:t xml:space="preserve">and other legal </w:t>
      </w:r>
      <w:r w:rsidR="00F37DD0">
        <w:rPr>
          <w:rFonts w:eastAsiaTheme="minorHAnsi"/>
        </w:rPr>
        <w:t xml:space="preserve">fees. </w:t>
      </w:r>
      <w:r w:rsidR="0097177A">
        <w:rPr>
          <w:rFonts w:eastAsiaTheme="minorHAnsi"/>
        </w:rPr>
        <w:t xml:space="preserve"> The Company app</w:t>
      </w:r>
      <w:r w:rsidR="007D7175">
        <w:rPr>
          <w:rFonts w:eastAsiaTheme="minorHAnsi"/>
        </w:rPr>
        <w:t>l</w:t>
      </w:r>
      <w:r w:rsidR="0097177A">
        <w:rPr>
          <w:rFonts w:eastAsiaTheme="minorHAnsi"/>
        </w:rPr>
        <w:t xml:space="preserve">ied the </w:t>
      </w:r>
      <w:r w:rsidR="00806A6E">
        <w:rPr>
          <w:rFonts w:eastAsiaTheme="minorHAnsi"/>
        </w:rPr>
        <w:t>5%</w:t>
      </w:r>
      <w:r w:rsidR="00443A8F">
        <w:rPr>
          <w:rFonts w:eastAsiaTheme="minorHAnsi"/>
        </w:rPr>
        <w:t xml:space="preserve"> </w:t>
      </w:r>
      <w:r w:rsidR="0097177A">
        <w:rPr>
          <w:rFonts w:eastAsiaTheme="minorHAnsi"/>
        </w:rPr>
        <w:t xml:space="preserve">margin to </w:t>
      </w:r>
      <w:r w:rsidR="00F37DD0">
        <w:rPr>
          <w:rFonts w:eastAsiaTheme="minorHAnsi"/>
        </w:rPr>
        <w:t>$29,786 of associated</w:t>
      </w:r>
      <w:r w:rsidR="0097177A">
        <w:rPr>
          <w:rFonts w:eastAsiaTheme="minorHAnsi"/>
        </w:rPr>
        <w:t xml:space="preserve"> </w:t>
      </w:r>
      <w:r w:rsidR="00F37DD0">
        <w:rPr>
          <w:rFonts w:eastAsiaTheme="minorHAnsi"/>
        </w:rPr>
        <w:t xml:space="preserve">operating expense for an </w:t>
      </w:r>
      <w:r w:rsidR="0097177A">
        <w:rPr>
          <w:rFonts w:eastAsiaTheme="minorHAnsi"/>
        </w:rPr>
        <w:t xml:space="preserve">operating </w:t>
      </w:r>
      <w:r w:rsidR="006D178F">
        <w:rPr>
          <w:rFonts w:eastAsiaTheme="minorHAnsi"/>
        </w:rPr>
        <w:t xml:space="preserve">income </w:t>
      </w:r>
      <w:r w:rsidR="0097177A">
        <w:rPr>
          <w:rFonts w:eastAsiaTheme="minorHAnsi"/>
        </w:rPr>
        <w:t xml:space="preserve">claim </w:t>
      </w:r>
      <w:r w:rsidR="00F37DD0">
        <w:rPr>
          <w:rFonts w:eastAsiaTheme="minorHAnsi"/>
        </w:rPr>
        <w:t xml:space="preserve">of $1,489. </w:t>
      </w:r>
      <w:r w:rsidR="0097177A">
        <w:rPr>
          <w:rFonts w:eastAsiaTheme="minorHAnsi"/>
        </w:rPr>
        <w:t xml:space="preserve"> </w:t>
      </w:r>
      <w:r w:rsidR="003D5AD6" w:rsidRPr="00B21210">
        <w:rPr>
          <w:rFonts w:eastAsiaTheme="minorHAnsi"/>
          <w:i/>
        </w:rPr>
        <w:t>Id</w:t>
      </w:r>
      <w:r w:rsidR="003D5AD6" w:rsidRPr="00B21210">
        <w:rPr>
          <w:rFonts w:eastAsiaTheme="minorHAnsi"/>
        </w:rPr>
        <w:t xml:space="preserve">.  </w:t>
      </w:r>
      <w:r w:rsidR="00152DC2">
        <w:rPr>
          <w:rFonts w:eastAsiaTheme="minorHAnsi"/>
        </w:rPr>
        <w:t xml:space="preserve">The sum of these two methodologies resulted in a total operating income claim of $2,502 ($1,013 + $1,489).  </w:t>
      </w:r>
      <w:r w:rsidR="003D5AD6" w:rsidRPr="00B21210">
        <w:rPr>
          <w:rFonts w:eastAsiaTheme="minorHAnsi"/>
          <w:i/>
        </w:rPr>
        <w:t>Id</w:t>
      </w:r>
      <w:r w:rsidR="003D5AD6" w:rsidRPr="003D5AD6">
        <w:rPr>
          <w:rFonts w:eastAsiaTheme="minorHAnsi"/>
          <w:i/>
          <w:color w:val="00B050"/>
        </w:rPr>
        <w:t>.</w:t>
      </w:r>
      <w:r w:rsidR="003D5AD6">
        <w:rPr>
          <w:rFonts w:eastAsiaTheme="minorHAnsi"/>
        </w:rPr>
        <w:t xml:space="preserve"> </w:t>
      </w:r>
    </w:p>
    <w:p w:rsidR="007D7175" w:rsidRDefault="007D7175" w:rsidP="0097177A">
      <w:pPr>
        <w:rPr>
          <w:rFonts w:eastAsiaTheme="minorHAnsi"/>
        </w:rPr>
      </w:pPr>
    </w:p>
    <w:p w:rsidR="00E30F7D" w:rsidRPr="00B21210" w:rsidRDefault="00152DC2" w:rsidP="00E30F7D">
      <w:pPr>
        <w:rPr>
          <w:rFonts w:eastAsiaTheme="minorHAnsi"/>
        </w:rPr>
      </w:pPr>
      <w:r w:rsidRPr="00B21210">
        <w:rPr>
          <w:rFonts w:eastAsiaTheme="minorHAnsi"/>
        </w:rPr>
        <w:t xml:space="preserve">During the proceeding, </w:t>
      </w:r>
      <w:r w:rsidR="00E30F7D" w:rsidRPr="00B21210">
        <w:rPr>
          <w:rFonts w:eastAsiaTheme="minorHAnsi"/>
        </w:rPr>
        <w:t xml:space="preserve">the Company increased its claims for non-rate case legal fees and rate case expenses, but did not increase its claim for operating revenues.  </w:t>
      </w:r>
      <w:r w:rsidRPr="00B21210">
        <w:rPr>
          <w:rFonts w:eastAsiaTheme="minorHAnsi"/>
        </w:rPr>
        <w:t xml:space="preserve"> </w:t>
      </w:r>
      <w:r w:rsidR="00E30F7D" w:rsidRPr="00B21210">
        <w:rPr>
          <w:rFonts w:eastAsiaTheme="minorHAnsi"/>
        </w:rPr>
        <w:t>As a result, DSC</w:t>
      </w:r>
      <w:r w:rsidR="002061B0">
        <w:rPr>
          <w:rFonts w:eastAsiaTheme="minorHAnsi"/>
        </w:rPr>
        <w:t>’</w:t>
      </w:r>
      <w:r w:rsidR="00E30F7D" w:rsidRPr="00B21210">
        <w:rPr>
          <w:rFonts w:eastAsiaTheme="minorHAnsi"/>
        </w:rPr>
        <w:t>s updated Income Statement reflects a net operating loss of $4,975. DS</w:t>
      </w:r>
      <w:r w:rsidR="00BF0814" w:rsidRPr="00B21210">
        <w:rPr>
          <w:rFonts w:eastAsiaTheme="minorHAnsi"/>
        </w:rPr>
        <w:t>C</w:t>
      </w:r>
      <w:r w:rsidR="00E30F7D" w:rsidRPr="00B21210">
        <w:rPr>
          <w:rFonts w:eastAsiaTheme="minorHAnsi"/>
        </w:rPr>
        <w:t xml:space="preserve"> </w:t>
      </w:r>
      <w:proofErr w:type="spellStart"/>
      <w:r w:rsidR="00E30F7D" w:rsidRPr="00B21210">
        <w:rPr>
          <w:rFonts w:eastAsiaTheme="minorHAnsi"/>
        </w:rPr>
        <w:t>Exh</w:t>
      </w:r>
      <w:proofErr w:type="spellEnd"/>
      <w:r w:rsidR="00E30F7D" w:rsidRPr="00B21210">
        <w:rPr>
          <w:rFonts w:eastAsiaTheme="minorHAnsi"/>
        </w:rPr>
        <w:t>. 2 at Updated Sch. H-1.</w:t>
      </w:r>
    </w:p>
    <w:p w:rsidR="007D7175" w:rsidRDefault="007D7175" w:rsidP="007D7175">
      <w:pPr>
        <w:rPr>
          <w:rFonts w:eastAsiaTheme="minorHAnsi"/>
        </w:rPr>
      </w:pPr>
    </w:p>
    <w:p w:rsidR="007D7175" w:rsidRDefault="007D7175" w:rsidP="001C11FB">
      <w:pPr>
        <w:pStyle w:val="Heading4"/>
        <w:ind w:left="2160" w:hanging="720"/>
        <w:rPr>
          <w:rFonts w:eastAsiaTheme="minorHAnsi"/>
        </w:rPr>
      </w:pPr>
      <w:r>
        <w:rPr>
          <w:rFonts w:eastAsiaTheme="minorHAnsi"/>
        </w:rPr>
        <w:t xml:space="preserve">ALJ </w:t>
      </w:r>
      <w:r w:rsidR="00924489" w:rsidRPr="001A0497">
        <w:rPr>
          <w:rFonts w:eastAsiaTheme="minorHAnsi"/>
        </w:rPr>
        <w:t>Recommendation</w:t>
      </w:r>
    </w:p>
    <w:p w:rsidR="007F232F" w:rsidRDefault="007F232F" w:rsidP="00BA27FF">
      <w:pPr>
        <w:rPr>
          <w:sz w:val="24"/>
        </w:rPr>
      </w:pPr>
    </w:p>
    <w:p w:rsidR="00BA27FF" w:rsidRDefault="00BA27FF" w:rsidP="00BA27FF">
      <w:pPr>
        <w:rPr>
          <w:sz w:val="24"/>
        </w:rPr>
      </w:pPr>
      <w:r>
        <w:t>The ALJ rejected the Company</w:t>
      </w:r>
      <w:r w:rsidR="002061B0">
        <w:t>’</w:t>
      </w:r>
      <w:r>
        <w:t xml:space="preserve">s proposal to </w:t>
      </w:r>
      <w:r w:rsidR="007F232F">
        <w:t>include a</w:t>
      </w:r>
      <w:r>
        <w:t xml:space="preserve"> CWC </w:t>
      </w:r>
      <w:r w:rsidR="001D3FC5">
        <w:t>component</w:t>
      </w:r>
      <w:r w:rsidR="007F232F">
        <w:t xml:space="preserve"> with its use of </w:t>
      </w:r>
      <w:r w:rsidR="003350EB">
        <w:t xml:space="preserve">the </w:t>
      </w:r>
      <w:r>
        <w:t>operating margin methodolog</w:t>
      </w:r>
      <w:r w:rsidR="003350EB">
        <w:t>y</w:t>
      </w:r>
      <w:r>
        <w:t xml:space="preserve">.  The ALJ opined that </w:t>
      </w:r>
      <w:r w:rsidR="007F232F">
        <w:t>“</w:t>
      </w:r>
      <w:r>
        <w:t>Section 53.54 does not allow combining methodologies.</w:t>
      </w:r>
      <w:r w:rsidR="007F232F">
        <w:t>”  I.D. at 13.</w:t>
      </w:r>
      <w:r>
        <w:t xml:space="preserve">  Therefore, the ALJ explained that the Recommended Decision “will rework allowable numbers using only the operating ratio methodology</w:t>
      </w:r>
      <w:r w:rsidR="00A65FD9">
        <w:t xml:space="preserve"> and the claim for [CWC] is disallowed.” </w:t>
      </w:r>
      <w:r>
        <w:t xml:space="preserve"> </w:t>
      </w:r>
      <w:r w:rsidR="007F232F">
        <w:rPr>
          <w:i/>
        </w:rPr>
        <w:t>Id.</w:t>
      </w:r>
      <w:r w:rsidR="00A65FD9">
        <w:t xml:space="preserve">  Utilizing the ALJ</w:t>
      </w:r>
      <w:r w:rsidR="002061B0">
        <w:t>’</w:t>
      </w:r>
      <w:r w:rsidR="00A65FD9">
        <w:t>s proposed adjustments to the Company</w:t>
      </w:r>
      <w:r w:rsidR="002061B0">
        <w:t>’</w:t>
      </w:r>
      <w:r w:rsidR="00A65FD9">
        <w:t xml:space="preserve">s expense claims, </w:t>
      </w:r>
      <w:r w:rsidR="00A65FD9" w:rsidRPr="00A65FD9">
        <w:rPr>
          <w:i/>
        </w:rPr>
        <w:t>infra</w:t>
      </w:r>
      <w:r w:rsidR="00A65FD9">
        <w:t>, the ALJ recommended total expenses of $38,133 and total operating revenues of $</w:t>
      </w:r>
      <w:bookmarkStart w:id="8" w:name="OLE_LINK1"/>
      <w:r w:rsidR="00A65FD9">
        <w:t>39,171</w:t>
      </w:r>
      <w:bookmarkEnd w:id="8"/>
      <w:r w:rsidR="00773E18">
        <w:t xml:space="preserve">, </w:t>
      </w:r>
      <w:r w:rsidR="00A65FD9">
        <w:t xml:space="preserve">with a 2.65% operating ratio. </w:t>
      </w:r>
      <w:r>
        <w:t xml:space="preserve"> </w:t>
      </w:r>
      <w:r w:rsidR="00A65FD9">
        <w:t xml:space="preserve">R.D. at 19. </w:t>
      </w:r>
      <w:r w:rsidR="00B06202">
        <w:t xml:space="preserve"> The ALJ</w:t>
      </w:r>
      <w:r w:rsidR="002061B0">
        <w:t>’</w:t>
      </w:r>
      <w:r w:rsidR="00B06202">
        <w:t xml:space="preserve">s recommendation results in net operating income of $1,038.  </w:t>
      </w:r>
      <w:r w:rsidR="00B06202" w:rsidRPr="00B06202">
        <w:rPr>
          <w:i/>
        </w:rPr>
        <w:t>Id</w:t>
      </w:r>
      <w:r w:rsidR="00B06202">
        <w:t>. at 20</w:t>
      </w:r>
      <w:r w:rsidR="001246CA">
        <w:t>.</w:t>
      </w:r>
    </w:p>
    <w:p w:rsidR="007D7175" w:rsidRDefault="00B06202" w:rsidP="007D7175">
      <w:pPr>
        <w:rPr>
          <w:rFonts w:eastAsiaTheme="minorHAnsi"/>
        </w:rPr>
      </w:pPr>
      <w:r>
        <w:rPr>
          <w:rFonts w:eastAsiaTheme="minorHAnsi"/>
        </w:rPr>
        <w:t xml:space="preserve"> </w:t>
      </w:r>
    </w:p>
    <w:p w:rsidR="001A0497" w:rsidRDefault="001A0497" w:rsidP="001C11FB">
      <w:pPr>
        <w:pStyle w:val="Heading4"/>
        <w:ind w:left="2160" w:hanging="720"/>
        <w:rPr>
          <w:rFonts w:eastAsiaTheme="minorHAnsi"/>
        </w:rPr>
      </w:pPr>
      <w:r>
        <w:rPr>
          <w:rFonts w:eastAsiaTheme="minorHAnsi"/>
        </w:rPr>
        <w:t>Exceptions and Replies</w:t>
      </w:r>
    </w:p>
    <w:p w:rsidR="00B06202" w:rsidRDefault="00B06202" w:rsidP="001B4467">
      <w:pPr>
        <w:rPr>
          <w:rFonts w:eastAsiaTheme="minorHAnsi"/>
        </w:rPr>
      </w:pPr>
    </w:p>
    <w:p w:rsidR="00B06202" w:rsidRPr="00D617CE" w:rsidRDefault="00EF775B" w:rsidP="00EF775B">
      <w:pPr>
        <w:rPr>
          <w:rFonts w:eastAsiaTheme="minorHAnsi"/>
          <w:szCs w:val="26"/>
        </w:rPr>
      </w:pPr>
      <w:r w:rsidRPr="00D617CE">
        <w:rPr>
          <w:rFonts w:eastAsiaTheme="minorHAnsi"/>
          <w:szCs w:val="26"/>
        </w:rPr>
        <w:t xml:space="preserve">In its Exceptions, DSC submits that its net income </w:t>
      </w:r>
      <w:r w:rsidR="00B06202" w:rsidRPr="00D617CE">
        <w:rPr>
          <w:rFonts w:eastAsiaTheme="minorHAnsi"/>
          <w:szCs w:val="26"/>
        </w:rPr>
        <w:t xml:space="preserve">claim is conservative. </w:t>
      </w:r>
      <w:r w:rsidRPr="00D617CE">
        <w:rPr>
          <w:rFonts w:eastAsiaTheme="minorHAnsi"/>
          <w:szCs w:val="26"/>
        </w:rPr>
        <w:t xml:space="preserve"> The Company explains that i</w:t>
      </w:r>
      <w:r w:rsidR="00B06202" w:rsidRPr="00D617CE">
        <w:rPr>
          <w:rFonts w:eastAsiaTheme="minorHAnsi"/>
          <w:szCs w:val="26"/>
        </w:rPr>
        <w:t>f it had not adopted the two</w:t>
      </w:r>
      <w:r w:rsidRPr="00D617CE">
        <w:rPr>
          <w:rFonts w:eastAsiaTheme="minorHAnsi"/>
          <w:szCs w:val="26"/>
        </w:rPr>
        <w:t>-</w:t>
      </w:r>
      <w:r w:rsidR="00B06202" w:rsidRPr="00D617CE">
        <w:rPr>
          <w:rFonts w:eastAsiaTheme="minorHAnsi"/>
          <w:szCs w:val="26"/>
        </w:rPr>
        <w:t xml:space="preserve">part methodology and, instead, had calculated a </w:t>
      </w:r>
      <w:r w:rsidRPr="00D617CE">
        <w:rPr>
          <w:rFonts w:eastAsiaTheme="minorHAnsi"/>
          <w:szCs w:val="26"/>
        </w:rPr>
        <w:t xml:space="preserve">5% </w:t>
      </w:r>
      <w:r w:rsidR="00B06202" w:rsidRPr="00D617CE">
        <w:rPr>
          <w:rFonts w:eastAsiaTheme="minorHAnsi"/>
          <w:szCs w:val="26"/>
        </w:rPr>
        <w:t xml:space="preserve">margin on </w:t>
      </w:r>
      <w:r w:rsidR="00B06202" w:rsidRPr="00D617CE">
        <w:rPr>
          <w:rFonts w:eastAsiaTheme="minorHAnsi"/>
          <w:i/>
          <w:iCs/>
          <w:szCs w:val="26"/>
        </w:rPr>
        <w:t xml:space="preserve">all </w:t>
      </w:r>
      <w:r w:rsidR="00B06202" w:rsidRPr="00D617CE">
        <w:rPr>
          <w:rFonts w:eastAsiaTheme="minorHAnsi"/>
          <w:szCs w:val="26"/>
        </w:rPr>
        <w:t xml:space="preserve">operating expenses, similar to what the Commission did in </w:t>
      </w:r>
      <w:r w:rsidR="000D54AC" w:rsidRPr="00D617CE">
        <w:rPr>
          <w:rFonts w:eastAsiaTheme="minorHAnsi"/>
          <w:i/>
          <w:szCs w:val="26"/>
        </w:rPr>
        <w:t>Pa.</w:t>
      </w:r>
      <w:r w:rsidR="00B06202" w:rsidRPr="00D617CE">
        <w:rPr>
          <w:rFonts w:eastAsiaTheme="minorHAnsi"/>
          <w:i/>
          <w:iCs/>
          <w:szCs w:val="26"/>
        </w:rPr>
        <w:t xml:space="preserve"> PUC </w:t>
      </w:r>
      <w:r w:rsidR="00B06202" w:rsidRPr="00D617CE">
        <w:rPr>
          <w:rFonts w:eastAsiaTheme="minorHAnsi"/>
          <w:szCs w:val="26"/>
        </w:rPr>
        <w:t xml:space="preserve">v. </w:t>
      </w:r>
      <w:r w:rsidR="00B06202" w:rsidRPr="00D617CE">
        <w:rPr>
          <w:rFonts w:eastAsiaTheme="minorHAnsi"/>
          <w:i/>
          <w:iCs/>
          <w:szCs w:val="26"/>
        </w:rPr>
        <w:t>LP Water and Sewer Company</w:t>
      </w:r>
      <w:r w:rsidR="000D54AC" w:rsidRPr="00D617CE">
        <w:rPr>
          <w:rFonts w:eastAsiaTheme="minorHAnsi"/>
          <w:i/>
          <w:iCs/>
          <w:szCs w:val="26"/>
        </w:rPr>
        <w:t>,</w:t>
      </w:r>
      <w:r w:rsidR="00B06202" w:rsidRPr="00D617CE">
        <w:rPr>
          <w:rFonts w:eastAsiaTheme="minorHAnsi"/>
          <w:i/>
          <w:iCs/>
          <w:szCs w:val="26"/>
        </w:rPr>
        <w:t xml:space="preserve"> </w:t>
      </w:r>
      <w:r w:rsidR="000D54AC" w:rsidRPr="00D617CE">
        <w:rPr>
          <w:rFonts w:eastAsiaTheme="minorHAnsi" w:cstheme="minorBidi"/>
          <w:noProof/>
          <w:szCs w:val="26"/>
        </w:rPr>
        <w:t>79 Pa</w:t>
      </w:r>
      <w:r w:rsidR="003350EB">
        <w:rPr>
          <w:rFonts w:eastAsiaTheme="minorHAnsi" w:cstheme="minorBidi"/>
          <w:noProof/>
          <w:szCs w:val="26"/>
        </w:rPr>
        <w:t>.</w:t>
      </w:r>
      <w:r w:rsidR="000D54AC" w:rsidRPr="00D617CE">
        <w:rPr>
          <w:rFonts w:eastAsiaTheme="minorHAnsi" w:cstheme="minorBidi"/>
          <w:noProof/>
          <w:szCs w:val="26"/>
        </w:rPr>
        <w:t>P</w:t>
      </w:r>
      <w:r w:rsidR="003350EB">
        <w:rPr>
          <w:rFonts w:eastAsiaTheme="minorHAnsi" w:cstheme="minorBidi"/>
          <w:noProof/>
          <w:szCs w:val="26"/>
        </w:rPr>
        <w:t>.</w:t>
      </w:r>
      <w:r w:rsidR="000D54AC" w:rsidRPr="00D617CE">
        <w:rPr>
          <w:rFonts w:eastAsiaTheme="minorHAnsi" w:cstheme="minorBidi"/>
          <w:noProof/>
          <w:szCs w:val="26"/>
        </w:rPr>
        <w:t>U</w:t>
      </w:r>
      <w:r w:rsidR="003350EB">
        <w:rPr>
          <w:rFonts w:eastAsiaTheme="minorHAnsi" w:cstheme="minorBidi"/>
          <w:noProof/>
          <w:szCs w:val="26"/>
        </w:rPr>
        <w:t>.</w:t>
      </w:r>
      <w:r w:rsidR="000D54AC" w:rsidRPr="00D617CE">
        <w:rPr>
          <w:rFonts w:eastAsiaTheme="minorHAnsi" w:cstheme="minorBidi"/>
          <w:noProof/>
          <w:szCs w:val="26"/>
        </w:rPr>
        <w:t>C</w:t>
      </w:r>
      <w:r w:rsidR="003350EB">
        <w:rPr>
          <w:rFonts w:eastAsiaTheme="minorHAnsi" w:cstheme="minorBidi"/>
          <w:noProof/>
          <w:szCs w:val="26"/>
        </w:rPr>
        <w:t>.</w:t>
      </w:r>
      <w:r w:rsidR="000D54AC" w:rsidRPr="00D617CE">
        <w:rPr>
          <w:rFonts w:eastAsiaTheme="minorHAnsi" w:cstheme="minorBidi"/>
          <w:noProof/>
          <w:szCs w:val="26"/>
        </w:rPr>
        <w:t xml:space="preserve"> 503 (1993) (</w:t>
      </w:r>
      <w:r w:rsidR="000D54AC" w:rsidRPr="00D617CE">
        <w:rPr>
          <w:rFonts w:eastAsiaTheme="minorHAnsi" w:cstheme="minorBidi"/>
          <w:i/>
          <w:noProof/>
          <w:szCs w:val="26"/>
        </w:rPr>
        <w:t>LP Water</w:t>
      </w:r>
      <w:r w:rsidR="000D54AC" w:rsidRPr="00D617CE">
        <w:rPr>
          <w:rFonts w:eastAsiaTheme="minorHAnsi" w:cstheme="minorBidi"/>
          <w:noProof/>
          <w:szCs w:val="26"/>
        </w:rPr>
        <w:t xml:space="preserve">), </w:t>
      </w:r>
      <w:r w:rsidR="00B06202" w:rsidRPr="00D617CE">
        <w:rPr>
          <w:rFonts w:eastAsiaTheme="minorHAnsi"/>
          <w:szCs w:val="26"/>
        </w:rPr>
        <w:t>DSC</w:t>
      </w:r>
      <w:r w:rsidR="002061B0">
        <w:rPr>
          <w:rFonts w:eastAsiaTheme="minorHAnsi"/>
          <w:szCs w:val="26"/>
        </w:rPr>
        <w:t>’’</w:t>
      </w:r>
      <w:r w:rsidR="00B06202" w:rsidRPr="00D617CE">
        <w:rPr>
          <w:rFonts w:eastAsiaTheme="minorHAnsi"/>
          <w:szCs w:val="26"/>
        </w:rPr>
        <w:t xml:space="preserve">s operating margin claim would have been approximately $4,500 </w:t>
      </w:r>
      <w:r w:rsidR="00B06202" w:rsidRPr="00D617CE">
        <w:rPr>
          <w:rFonts w:eastAsiaTheme="minorHAnsi"/>
          <w:iCs/>
          <w:szCs w:val="26"/>
        </w:rPr>
        <w:t>(</w:t>
      </w:r>
      <w:r w:rsidR="00B06202" w:rsidRPr="00D617CE">
        <w:rPr>
          <w:rFonts w:eastAsiaTheme="minorHAnsi"/>
          <w:i/>
          <w:iCs/>
          <w:szCs w:val="26"/>
        </w:rPr>
        <w:t xml:space="preserve">i.e., </w:t>
      </w:r>
      <w:r w:rsidR="00B06202" w:rsidRPr="00D617CE">
        <w:rPr>
          <w:rFonts w:eastAsiaTheme="minorHAnsi"/>
          <w:szCs w:val="26"/>
        </w:rPr>
        <w:t xml:space="preserve">5% </w:t>
      </w:r>
      <w:r w:rsidR="001D3FC5">
        <w:rPr>
          <w:rFonts w:eastAsiaTheme="minorHAnsi"/>
          <w:szCs w:val="26"/>
        </w:rPr>
        <w:t>times</w:t>
      </w:r>
      <w:r w:rsidR="001D3FC5" w:rsidRPr="00D617CE">
        <w:rPr>
          <w:rFonts w:eastAsiaTheme="minorHAnsi"/>
          <w:szCs w:val="26"/>
        </w:rPr>
        <w:t xml:space="preserve"> </w:t>
      </w:r>
      <w:r w:rsidR="00B06202" w:rsidRPr="00D617CE">
        <w:rPr>
          <w:rFonts w:eastAsiaTheme="minorHAnsi"/>
          <w:szCs w:val="26"/>
        </w:rPr>
        <w:t>$89,065</w:t>
      </w:r>
      <w:r w:rsidR="00564784" w:rsidRPr="00D617CE">
        <w:rPr>
          <w:rFonts w:eastAsiaTheme="minorHAnsi"/>
          <w:szCs w:val="26"/>
        </w:rPr>
        <w:t>)</w:t>
      </w:r>
      <w:r w:rsidR="00B06202" w:rsidRPr="00D617CE">
        <w:rPr>
          <w:rFonts w:eastAsiaTheme="minorHAnsi"/>
          <w:szCs w:val="26"/>
        </w:rPr>
        <w:t xml:space="preserve">, </w:t>
      </w:r>
      <w:r w:rsidR="00551C1F">
        <w:rPr>
          <w:rFonts w:eastAsiaTheme="minorHAnsi"/>
          <w:szCs w:val="26"/>
        </w:rPr>
        <w:t xml:space="preserve">which is </w:t>
      </w:r>
      <w:r w:rsidR="00B06202" w:rsidRPr="00D617CE">
        <w:rPr>
          <w:rFonts w:eastAsiaTheme="minorHAnsi"/>
          <w:szCs w:val="26"/>
        </w:rPr>
        <w:t xml:space="preserve">considerably higher than the $2,423 included in </w:t>
      </w:r>
      <w:r w:rsidRPr="00D617CE">
        <w:rPr>
          <w:rFonts w:eastAsiaTheme="minorHAnsi"/>
          <w:szCs w:val="26"/>
        </w:rPr>
        <w:t>its</w:t>
      </w:r>
      <w:r w:rsidR="00B06202" w:rsidRPr="00D617CE">
        <w:rPr>
          <w:rFonts w:eastAsiaTheme="minorHAnsi"/>
          <w:szCs w:val="26"/>
        </w:rPr>
        <w:t xml:space="preserve"> original filing.</w:t>
      </w:r>
      <w:r w:rsidRPr="00D617CE">
        <w:rPr>
          <w:rFonts w:eastAsiaTheme="minorHAnsi"/>
          <w:szCs w:val="26"/>
        </w:rPr>
        <w:t xml:space="preserve">  DSC Exc. at 6, </w:t>
      </w:r>
      <w:r w:rsidRPr="00A90579">
        <w:rPr>
          <w:rFonts w:eastAsiaTheme="minorHAnsi"/>
          <w:szCs w:val="26"/>
        </w:rPr>
        <w:t>citing</w:t>
      </w:r>
      <w:r w:rsidRPr="00D617CE">
        <w:rPr>
          <w:rFonts w:eastAsiaTheme="minorHAnsi"/>
          <w:szCs w:val="26"/>
        </w:rPr>
        <w:t xml:space="preserve"> DSC </w:t>
      </w:r>
      <w:proofErr w:type="spellStart"/>
      <w:r w:rsidRPr="00D617CE">
        <w:rPr>
          <w:rFonts w:eastAsiaTheme="minorHAnsi"/>
          <w:szCs w:val="26"/>
        </w:rPr>
        <w:t>Exh</w:t>
      </w:r>
      <w:proofErr w:type="spellEnd"/>
      <w:r w:rsidRPr="00D617CE">
        <w:rPr>
          <w:rFonts w:eastAsiaTheme="minorHAnsi"/>
          <w:szCs w:val="26"/>
        </w:rPr>
        <w:t>. 1 at Sch. H-l.</w:t>
      </w:r>
    </w:p>
    <w:p w:rsidR="00E83DC1" w:rsidRPr="00E83DC1" w:rsidRDefault="00E83DC1" w:rsidP="00EF775B">
      <w:pPr>
        <w:rPr>
          <w:rFonts w:eastAsiaTheme="minorHAnsi"/>
          <w:color w:val="C00000"/>
        </w:rPr>
      </w:pPr>
    </w:p>
    <w:p w:rsidR="00257CB3" w:rsidRDefault="00257CB3" w:rsidP="00257CB3">
      <w:pPr>
        <w:rPr>
          <w:rFonts w:eastAsiaTheme="minorHAnsi"/>
        </w:rPr>
      </w:pPr>
      <w:r>
        <w:rPr>
          <w:rFonts w:eastAsiaTheme="minorHAnsi"/>
        </w:rPr>
        <w:lastRenderedPageBreak/>
        <w:t>DSC argues that t</w:t>
      </w:r>
      <w:r w:rsidR="00EF775B">
        <w:rPr>
          <w:rFonts w:eastAsiaTheme="minorHAnsi"/>
        </w:rPr>
        <w:t xml:space="preserve">he inclusion of a </w:t>
      </w:r>
      <w:r w:rsidR="00443A8F">
        <w:rPr>
          <w:rFonts w:eastAsiaTheme="minorHAnsi"/>
        </w:rPr>
        <w:t>CWC</w:t>
      </w:r>
      <w:r w:rsidR="00EF775B">
        <w:rPr>
          <w:rFonts w:eastAsiaTheme="minorHAnsi"/>
        </w:rPr>
        <w:t xml:space="preserve"> component in the operating ratio is not contrary to law. </w:t>
      </w:r>
      <w:r>
        <w:rPr>
          <w:rFonts w:eastAsiaTheme="minorHAnsi"/>
        </w:rPr>
        <w:t xml:space="preserve"> The Company points out that </w:t>
      </w:r>
      <w:r w:rsidR="00551C1F">
        <w:rPr>
          <w:rFonts w:eastAsiaTheme="minorHAnsi"/>
        </w:rPr>
        <w:t>Section 53.54 of the Commission</w:t>
      </w:r>
      <w:r w:rsidR="002061B0">
        <w:rPr>
          <w:rFonts w:eastAsiaTheme="minorHAnsi"/>
        </w:rPr>
        <w:t>’</w:t>
      </w:r>
      <w:r w:rsidR="00551C1F">
        <w:rPr>
          <w:rFonts w:eastAsiaTheme="minorHAnsi"/>
        </w:rPr>
        <w:t xml:space="preserve">s Regulations, </w:t>
      </w:r>
      <w:r w:rsidR="00EF775B">
        <w:rPr>
          <w:rFonts w:eastAsiaTheme="minorHAnsi"/>
        </w:rPr>
        <w:t xml:space="preserve">52 Pa. Code § 53.54 (b)(2), </w:t>
      </w:r>
      <w:r w:rsidRPr="00257CB3">
        <w:rPr>
          <w:rFonts w:eastAsiaTheme="minorHAnsi"/>
          <w:i/>
        </w:rPr>
        <w:t>supra</w:t>
      </w:r>
      <w:r>
        <w:rPr>
          <w:rFonts w:eastAsiaTheme="minorHAnsi"/>
        </w:rPr>
        <w:t xml:space="preserve">, </w:t>
      </w:r>
      <w:r w:rsidR="00EF775B">
        <w:rPr>
          <w:rFonts w:eastAsiaTheme="minorHAnsi"/>
        </w:rPr>
        <w:t>lists ten factors to be considered in determining the appropriate target operating ratio</w:t>
      </w:r>
      <w:r w:rsidR="00A90579">
        <w:rPr>
          <w:rFonts w:eastAsiaTheme="minorHAnsi"/>
        </w:rPr>
        <w:t xml:space="preserve"> </w:t>
      </w:r>
      <w:r w:rsidR="00A90579" w:rsidRPr="00B21210">
        <w:rPr>
          <w:rFonts w:eastAsiaTheme="minorHAnsi"/>
        </w:rPr>
        <w:t>and avers that the list is not fully inclusive.</w:t>
      </w:r>
      <w:r w:rsidR="00A90579">
        <w:rPr>
          <w:rFonts w:eastAsiaTheme="minorHAnsi"/>
        </w:rPr>
        <w:t xml:space="preserve"> </w:t>
      </w:r>
      <w:r>
        <w:rPr>
          <w:rFonts w:eastAsiaTheme="minorHAnsi"/>
        </w:rPr>
        <w:t xml:space="preserve"> DSC submits that item (ii) of the section </w:t>
      </w:r>
      <w:r w:rsidR="00EF775B">
        <w:rPr>
          <w:rFonts w:eastAsiaTheme="minorHAnsi"/>
        </w:rPr>
        <w:t>specifically allows for coverage of actual, hypothetical, or both, interest expense claims</w:t>
      </w:r>
      <w:r w:rsidR="001D3FC5">
        <w:rPr>
          <w:rFonts w:eastAsiaTheme="minorHAnsi"/>
        </w:rPr>
        <w:t>,</w:t>
      </w:r>
      <w:r w:rsidR="00EF775B">
        <w:rPr>
          <w:rFonts w:eastAsiaTheme="minorHAnsi"/>
        </w:rPr>
        <w:t xml:space="preserve"> and item (x) provides for the consideration of the fairness of the return claim.</w:t>
      </w:r>
      <w:r>
        <w:rPr>
          <w:rFonts w:eastAsiaTheme="minorHAnsi"/>
        </w:rPr>
        <w:t xml:space="preserve">  DSC Exc. at 7.</w:t>
      </w:r>
    </w:p>
    <w:p w:rsidR="00257CB3" w:rsidRDefault="00257CB3" w:rsidP="00EF775B">
      <w:pPr>
        <w:autoSpaceDE w:val="0"/>
        <w:autoSpaceDN w:val="0"/>
        <w:adjustRightInd w:val="0"/>
        <w:spacing w:line="240" w:lineRule="auto"/>
        <w:ind w:firstLine="0"/>
        <w:rPr>
          <w:rFonts w:eastAsiaTheme="minorHAnsi"/>
          <w:sz w:val="24"/>
        </w:rPr>
      </w:pPr>
    </w:p>
    <w:p w:rsidR="00257CB3" w:rsidRDefault="00257CB3" w:rsidP="00564784">
      <w:pPr>
        <w:rPr>
          <w:rFonts w:eastAsiaTheme="minorHAnsi"/>
        </w:rPr>
      </w:pPr>
      <w:r>
        <w:rPr>
          <w:rFonts w:eastAsiaTheme="minorHAnsi"/>
        </w:rPr>
        <w:t xml:space="preserve">The Company explains that the CWC allowance permits a return necessary to finance operating costs in advance of the receipt of revenues since there is normally a lag between the payment of cost and the receipt of revenues for services provided. </w:t>
      </w:r>
      <w:r w:rsidR="00564784">
        <w:rPr>
          <w:rFonts w:eastAsiaTheme="minorHAnsi"/>
        </w:rPr>
        <w:t xml:space="preserve"> DSC states that “[t]</w:t>
      </w:r>
      <w:r>
        <w:rPr>
          <w:rFonts w:eastAsiaTheme="minorHAnsi"/>
        </w:rPr>
        <w:t>he methodology employed in the instant case was to consider only a limited number of operating expense items to which the 5% margin</w:t>
      </w:r>
      <w:r w:rsidR="00564784">
        <w:rPr>
          <w:rFonts w:eastAsiaTheme="minorHAnsi"/>
        </w:rPr>
        <w:t xml:space="preserve"> </w:t>
      </w:r>
      <w:r>
        <w:rPr>
          <w:rFonts w:eastAsiaTheme="minorHAnsi"/>
        </w:rPr>
        <w:t>rate would not apply but, rather, a lower margin rate necessary to finance required cash flow requirements</w:t>
      </w:r>
      <w:r w:rsidR="001C11FB">
        <w:rPr>
          <w:rFonts w:eastAsiaTheme="minorHAnsi"/>
        </w:rPr>
        <w:t>,</w:t>
      </w:r>
      <w:r>
        <w:rPr>
          <w:rFonts w:eastAsiaTheme="minorHAnsi"/>
        </w:rPr>
        <w:t xml:space="preserve"> or in other words, a hypothetical interest expense claim in the form of a </w:t>
      </w:r>
      <w:r w:rsidR="001C11FB">
        <w:rPr>
          <w:rFonts w:eastAsiaTheme="minorHAnsi"/>
        </w:rPr>
        <w:t>[CWC]</w:t>
      </w:r>
      <w:r>
        <w:rPr>
          <w:rFonts w:eastAsiaTheme="minorHAnsi"/>
        </w:rPr>
        <w:t xml:space="preserve"> margin claim.</w:t>
      </w:r>
      <w:r w:rsidR="00564784">
        <w:rPr>
          <w:rFonts w:eastAsiaTheme="minorHAnsi"/>
        </w:rPr>
        <w:t xml:space="preserve">”  DSC Exc. at 7, </w:t>
      </w:r>
      <w:r w:rsidR="00564784" w:rsidRPr="00A90579">
        <w:rPr>
          <w:rFonts w:eastAsiaTheme="minorHAnsi"/>
        </w:rPr>
        <w:t>citing</w:t>
      </w:r>
      <w:r w:rsidR="00564784">
        <w:rPr>
          <w:rFonts w:eastAsiaTheme="minorHAnsi"/>
        </w:rPr>
        <w:t xml:space="preserve"> </w:t>
      </w:r>
      <w:r>
        <w:rPr>
          <w:rFonts w:eastAsiaTheme="minorHAnsi"/>
        </w:rPr>
        <w:t>DSC St. DMK-IR at 19.</w:t>
      </w:r>
    </w:p>
    <w:p w:rsidR="00257CB3" w:rsidRDefault="00257CB3" w:rsidP="00564784">
      <w:pPr>
        <w:rPr>
          <w:rFonts w:eastAsiaTheme="minorHAnsi"/>
        </w:rPr>
      </w:pPr>
    </w:p>
    <w:p w:rsidR="00257CB3" w:rsidRDefault="00564784" w:rsidP="00564784">
      <w:pPr>
        <w:rPr>
          <w:rFonts w:eastAsiaTheme="minorHAnsi"/>
          <w:sz w:val="24"/>
        </w:rPr>
      </w:pPr>
      <w:r>
        <w:rPr>
          <w:rFonts w:eastAsiaTheme="minorHAnsi"/>
        </w:rPr>
        <w:t xml:space="preserve">DSC avers that the Recommended Decision offers no explanation why the operating ratio and </w:t>
      </w:r>
      <w:r w:rsidR="00443A8F">
        <w:rPr>
          <w:rFonts w:eastAsiaTheme="minorHAnsi"/>
        </w:rPr>
        <w:t>n</w:t>
      </w:r>
      <w:r>
        <w:rPr>
          <w:rFonts w:eastAsiaTheme="minorHAnsi"/>
        </w:rPr>
        <w:t xml:space="preserve">et </w:t>
      </w:r>
      <w:r w:rsidR="00443A8F">
        <w:rPr>
          <w:rFonts w:eastAsiaTheme="minorHAnsi"/>
        </w:rPr>
        <w:t>o</w:t>
      </w:r>
      <w:r>
        <w:rPr>
          <w:rFonts w:eastAsiaTheme="minorHAnsi"/>
        </w:rPr>
        <w:t xml:space="preserve">perating </w:t>
      </w:r>
      <w:r w:rsidR="00443A8F">
        <w:rPr>
          <w:rFonts w:eastAsiaTheme="minorHAnsi"/>
        </w:rPr>
        <w:t>i</w:t>
      </w:r>
      <w:r>
        <w:rPr>
          <w:rFonts w:eastAsiaTheme="minorHAnsi"/>
        </w:rPr>
        <w:t xml:space="preserve">ncome allowance of $1,038 included in </w:t>
      </w:r>
      <w:r w:rsidR="00773E18">
        <w:rPr>
          <w:rFonts w:eastAsiaTheme="minorHAnsi"/>
        </w:rPr>
        <w:t xml:space="preserve">the recommended </w:t>
      </w:r>
      <w:r>
        <w:rPr>
          <w:rFonts w:eastAsiaTheme="minorHAnsi"/>
        </w:rPr>
        <w:t xml:space="preserve">reworked numbers is reasonable and appropriate.  </w:t>
      </w:r>
      <w:r w:rsidR="00062416">
        <w:rPr>
          <w:rFonts w:eastAsiaTheme="minorHAnsi"/>
        </w:rPr>
        <w:t>The Company points out that t</w:t>
      </w:r>
      <w:r>
        <w:rPr>
          <w:rFonts w:eastAsiaTheme="minorHAnsi"/>
        </w:rPr>
        <w:t>he Recommended Decision would reduce the Company</w:t>
      </w:r>
      <w:r w:rsidR="002061B0">
        <w:rPr>
          <w:rFonts w:eastAsiaTheme="minorHAnsi"/>
        </w:rPr>
        <w:t>’</w:t>
      </w:r>
      <w:r>
        <w:rPr>
          <w:rFonts w:eastAsiaTheme="minorHAnsi"/>
        </w:rPr>
        <w:t xml:space="preserve">s already conservative </w:t>
      </w:r>
      <w:r w:rsidR="00443A8F">
        <w:rPr>
          <w:rFonts w:eastAsiaTheme="minorHAnsi"/>
        </w:rPr>
        <w:t>n</w:t>
      </w:r>
      <w:r>
        <w:rPr>
          <w:rFonts w:eastAsiaTheme="minorHAnsi"/>
        </w:rPr>
        <w:t xml:space="preserve">et </w:t>
      </w:r>
      <w:r w:rsidR="00443A8F">
        <w:rPr>
          <w:rFonts w:eastAsiaTheme="minorHAnsi"/>
        </w:rPr>
        <w:t>o</w:t>
      </w:r>
      <w:r>
        <w:rPr>
          <w:rFonts w:eastAsiaTheme="minorHAnsi"/>
        </w:rPr>
        <w:t>perat</w:t>
      </w:r>
      <w:r w:rsidR="00062416">
        <w:rPr>
          <w:rFonts w:eastAsiaTheme="minorHAnsi"/>
        </w:rPr>
        <w:t>ing</w:t>
      </w:r>
      <w:r>
        <w:rPr>
          <w:rFonts w:eastAsiaTheme="minorHAnsi"/>
        </w:rPr>
        <w:t xml:space="preserve"> </w:t>
      </w:r>
      <w:r w:rsidR="00443A8F">
        <w:rPr>
          <w:rFonts w:eastAsiaTheme="minorHAnsi"/>
        </w:rPr>
        <w:t>i</w:t>
      </w:r>
      <w:r>
        <w:rPr>
          <w:rFonts w:eastAsiaTheme="minorHAnsi"/>
        </w:rPr>
        <w:t xml:space="preserve">ncome by more than one-half.  </w:t>
      </w:r>
      <w:r w:rsidR="00062416">
        <w:rPr>
          <w:rFonts w:eastAsiaTheme="minorHAnsi"/>
        </w:rPr>
        <w:t>DSC submits that the</w:t>
      </w:r>
      <w:r>
        <w:rPr>
          <w:rFonts w:eastAsiaTheme="minorHAnsi"/>
        </w:rPr>
        <w:t xml:space="preserve"> derivation of the reduction in net income is based upon a Recommended Decision </w:t>
      </w:r>
      <w:r w:rsidR="003350EB">
        <w:rPr>
          <w:rFonts w:eastAsiaTheme="minorHAnsi"/>
        </w:rPr>
        <w:t xml:space="preserve">that </w:t>
      </w:r>
      <w:r>
        <w:rPr>
          <w:rFonts w:eastAsiaTheme="minorHAnsi"/>
        </w:rPr>
        <w:t xml:space="preserve">ignores actual current going forward expense levels and would substitute such expenses with much lower costs incurred many years ago when DSC benefitted from the economies of scale when its sister company </w:t>
      </w:r>
      <w:r w:rsidRPr="00AE15CF">
        <w:rPr>
          <w:rFonts w:eastAsiaTheme="minorHAnsi"/>
        </w:rPr>
        <w:t>CTSC</w:t>
      </w:r>
      <w:r>
        <w:rPr>
          <w:rFonts w:eastAsiaTheme="minorHAnsi"/>
        </w:rPr>
        <w:t xml:space="preserve"> was in existence.  </w:t>
      </w:r>
      <w:r w:rsidR="00062416">
        <w:rPr>
          <w:rFonts w:eastAsiaTheme="minorHAnsi"/>
        </w:rPr>
        <w:t xml:space="preserve">The Company </w:t>
      </w:r>
      <w:r>
        <w:rPr>
          <w:rFonts w:eastAsiaTheme="minorHAnsi"/>
        </w:rPr>
        <w:t xml:space="preserve">concludes that the </w:t>
      </w:r>
      <w:r w:rsidR="00062416">
        <w:rPr>
          <w:rFonts w:eastAsiaTheme="minorHAnsi"/>
        </w:rPr>
        <w:t>ALJ</w:t>
      </w:r>
      <w:r w:rsidR="002061B0">
        <w:rPr>
          <w:rFonts w:eastAsiaTheme="minorHAnsi"/>
        </w:rPr>
        <w:t>’</w:t>
      </w:r>
      <w:r w:rsidR="00062416">
        <w:rPr>
          <w:rFonts w:eastAsiaTheme="minorHAnsi"/>
        </w:rPr>
        <w:t xml:space="preserve">s </w:t>
      </w:r>
      <w:r>
        <w:rPr>
          <w:rFonts w:eastAsiaTheme="minorHAnsi"/>
        </w:rPr>
        <w:t xml:space="preserve">recommendation is neither just nor reasonable. </w:t>
      </w:r>
      <w:r w:rsidR="00062416">
        <w:rPr>
          <w:rFonts w:eastAsiaTheme="minorHAnsi"/>
        </w:rPr>
        <w:t xml:space="preserve"> DSC Exc. at 8</w:t>
      </w:r>
      <w:r w:rsidR="001C11FB">
        <w:rPr>
          <w:rFonts w:eastAsiaTheme="minorHAnsi"/>
        </w:rPr>
        <w:t>.</w:t>
      </w:r>
    </w:p>
    <w:p w:rsidR="00257CB3" w:rsidRDefault="00257CB3" w:rsidP="00062416">
      <w:pPr>
        <w:rPr>
          <w:rFonts w:eastAsiaTheme="minorHAnsi"/>
        </w:rPr>
      </w:pPr>
    </w:p>
    <w:p w:rsidR="00057AC8" w:rsidRDefault="00057AC8" w:rsidP="00235522">
      <w:pPr>
        <w:rPr>
          <w:rFonts w:eastAsiaTheme="minorHAnsi"/>
        </w:rPr>
      </w:pPr>
      <w:r>
        <w:rPr>
          <w:rFonts w:eastAsiaTheme="minorHAnsi"/>
        </w:rPr>
        <w:lastRenderedPageBreak/>
        <w:t xml:space="preserve">I&amp;E agrees with the ALJ that that the claim for CWC must not be allowed in an operating ratio base rate proceeding.  I&amp;E submits that the ALJ correctly concluded that </w:t>
      </w:r>
      <w:r w:rsidRPr="000D54AC">
        <w:rPr>
          <w:rFonts w:eastAsiaTheme="minorHAnsi"/>
        </w:rPr>
        <w:t>52 Pa. Code § 53.54(b)</w:t>
      </w:r>
      <w:r>
        <w:rPr>
          <w:rFonts w:eastAsiaTheme="minorHAnsi"/>
        </w:rPr>
        <w:t xml:space="preserve"> does not allow </w:t>
      </w:r>
      <w:r w:rsidR="00F711BF">
        <w:rPr>
          <w:rFonts w:eastAsiaTheme="minorHAnsi"/>
        </w:rPr>
        <w:t>“</w:t>
      </w:r>
      <w:r w:rsidRPr="00F711BF">
        <w:rPr>
          <w:rFonts w:eastAsiaTheme="minorHAnsi"/>
        </w:rPr>
        <w:t xml:space="preserve">combining </w:t>
      </w:r>
      <w:r w:rsidRPr="00A90579">
        <w:rPr>
          <w:rFonts w:eastAsiaTheme="minorHAnsi"/>
        </w:rPr>
        <w:t>methodologies.</w:t>
      </w:r>
      <w:r w:rsidR="00F711BF" w:rsidRPr="00A90579">
        <w:rPr>
          <w:rFonts w:eastAsiaTheme="minorHAnsi"/>
        </w:rPr>
        <w:t>”</w:t>
      </w:r>
      <w:r>
        <w:rPr>
          <w:rFonts w:eastAsiaTheme="minorHAnsi"/>
        </w:rPr>
        <w:t xml:space="preserve">  I&amp;E R. Exc. at</w:t>
      </w:r>
      <w:r w:rsidR="00F711BF">
        <w:rPr>
          <w:rFonts w:eastAsiaTheme="minorHAnsi"/>
        </w:rPr>
        <w:t> </w:t>
      </w:r>
      <w:r>
        <w:rPr>
          <w:rFonts w:eastAsiaTheme="minorHAnsi"/>
        </w:rPr>
        <w:t xml:space="preserve">4. </w:t>
      </w:r>
    </w:p>
    <w:p w:rsidR="00057AC8" w:rsidRDefault="00057AC8" w:rsidP="00235522">
      <w:pPr>
        <w:rPr>
          <w:rFonts w:eastAsiaTheme="minorHAnsi"/>
        </w:rPr>
      </w:pPr>
    </w:p>
    <w:p w:rsidR="00553C53" w:rsidRDefault="000D54AC" w:rsidP="00235522">
      <w:pPr>
        <w:rPr>
          <w:rFonts w:eastAsia="Calibri"/>
        </w:rPr>
      </w:pPr>
      <w:r>
        <w:rPr>
          <w:rFonts w:eastAsiaTheme="minorHAnsi"/>
        </w:rPr>
        <w:t>In its Repl</w:t>
      </w:r>
      <w:r w:rsidR="00F94281">
        <w:rPr>
          <w:rFonts w:eastAsiaTheme="minorHAnsi"/>
        </w:rPr>
        <w:t>ies to</w:t>
      </w:r>
      <w:r>
        <w:rPr>
          <w:rFonts w:eastAsiaTheme="minorHAnsi"/>
        </w:rPr>
        <w:t xml:space="preserve"> Exception</w:t>
      </w:r>
      <w:r w:rsidR="00443A8F">
        <w:rPr>
          <w:rFonts w:eastAsiaTheme="minorHAnsi"/>
        </w:rPr>
        <w:t>s</w:t>
      </w:r>
      <w:r>
        <w:rPr>
          <w:rFonts w:eastAsiaTheme="minorHAnsi"/>
        </w:rPr>
        <w:t xml:space="preserve">, the OCA argues that </w:t>
      </w:r>
      <w:r w:rsidRPr="000D54AC">
        <w:rPr>
          <w:rFonts w:eastAsiaTheme="minorHAnsi"/>
        </w:rPr>
        <w:t>the “conservative” approach proposed by DSC double counts expenses, provides a return component for a utility that has no undepreciated rate base</w:t>
      </w:r>
      <w:r w:rsidR="003350EB">
        <w:rPr>
          <w:rFonts w:eastAsiaTheme="minorHAnsi"/>
        </w:rPr>
        <w:t>,</w:t>
      </w:r>
      <w:r w:rsidRPr="000D54AC">
        <w:rPr>
          <w:rFonts w:eastAsiaTheme="minorHAnsi"/>
        </w:rPr>
        <w:t xml:space="preserve"> and is not consistent with the use of an operating ratio methodology as set forth in 52 Pa. Code § 53.54(b)</w:t>
      </w:r>
      <w:r>
        <w:rPr>
          <w:rFonts w:eastAsiaTheme="minorHAnsi"/>
        </w:rPr>
        <w:t xml:space="preserve"> and </w:t>
      </w:r>
      <w:r w:rsidRPr="000D54AC">
        <w:rPr>
          <w:rFonts w:eastAsiaTheme="minorHAnsi"/>
          <w:i/>
        </w:rPr>
        <w:t>LP Water</w:t>
      </w:r>
      <w:r>
        <w:rPr>
          <w:rFonts w:eastAsiaTheme="minorHAnsi"/>
        </w:rPr>
        <w:t xml:space="preserve">. </w:t>
      </w:r>
      <w:r w:rsidR="00553C53">
        <w:rPr>
          <w:rFonts w:eastAsiaTheme="minorHAnsi"/>
        </w:rPr>
        <w:t xml:space="preserve"> </w:t>
      </w:r>
      <w:r w:rsidR="00BC027D">
        <w:rPr>
          <w:rFonts w:eastAsiaTheme="minorHAnsi"/>
        </w:rPr>
        <w:t xml:space="preserve">OCA R. Exc. at 3. </w:t>
      </w:r>
      <w:r w:rsidR="00553C53">
        <w:rPr>
          <w:rFonts w:eastAsiaTheme="minorHAnsi"/>
        </w:rPr>
        <w:t xml:space="preserve"> In response to DSC</w:t>
      </w:r>
      <w:r w:rsidR="002061B0">
        <w:rPr>
          <w:rFonts w:eastAsiaTheme="minorHAnsi"/>
        </w:rPr>
        <w:t>’</w:t>
      </w:r>
      <w:r w:rsidR="00553C53">
        <w:rPr>
          <w:rFonts w:eastAsiaTheme="minorHAnsi"/>
        </w:rPr>
        <w:t xml:space="preserve">s argument that </w:t>
      </w:r>
      <w:r w:rsidRPr="000D54AC">
        <w:rPr>
          <w:rFonts w:eastAsia="Calibri"/>
        </w:rPr>
        <w:t xml:space="preserve">the regulation permits the use of </w:t>
      </w:r>
      <w:r w:rsidR="00443A8F">
        <w:rPr>
          <w:rFonts w:eastAsia="Calibri"/>
        </w:rPr>
        <w:t>CWC</w:t>
      </w:r>
      <w:r w:rsidRPr="000D54AC">
        <w:rPr>
          <w:rFonts w:eastAsia="Calibri"/>
        </w:rPr>
        <w:t xml:space="preserve"> calculation because it allows actual or hypothetical interest expense</w:t>
      </w:r>
      <w:r w:rsidR="00553C53">
        <w:rPr>
          <w:rFonts w:eastAsia="Calibri"/>
        </w:rPr>
        <w:t xml:space="preserve">, the OCA observes that </w:t>
      </w:r>
      <w:r w:rsidRPr="000D54AC">
        <w:rPr>
          <w:rFonts w:eastAsia="Calibri"/>
        </w:rPr>
        <w:t xml:space="preserve">DSC did not claim any actual or hypothetical interest expense.  </w:t>
      </w:r>
      <w:r w:rsidR="00BC027D" w:rsidRPr="00BC027D">
        <w:rPr>
          <w:rFonts w:eastAsia="Calibri"/>
          <w:i/>
        </w:rPr>
        <w:t>Id</w:t>
      </w:r>
      <w:r w:rsidR="00BC027D">
        <w:rPr>
          <w:rFonts w:eastAsia="Calibri"/>
        </w:rPr>
        <w:t>.</w:t>
      </w:r>
      <w:r w:rsidR="00235522">
        <w:rPr>
          <w:rFonts w:eastAsia="Calibri"/>
        </w:rPr>
        <w:t xml:space="preserve">, </w:t>
      </w:r>
      <w:r w:rsidR="00235522" w:rsidRPr="00B365A9">
        <w:rPr>
          <w:rFonts w:eastAsia="Calibri"/>
        </w:rPr>
        <w:t>citing</w:t>
      </w:r>
      <w:r w:rsidR="00235522">
        <w:rPr>
          <w:rFonts w:eastAsia="Calibri"/>
        </w:rPr>
        <w:t xml:space="preserve"> </w:t>
      </w:r>
      <w:r w:rsidRPr="000D54AC">
        <w:rPr>
          <w:rFonts w:eastAsia="Calibri"/>
        </w:rPr>
        <w:t xml:space="preserve">Tr. </w:t>
      </w:r>
      <w:r w:rsidR="00235522">
        <w:rPr>
          <w:rFonts w:eastAsia="Calibri"/>
        </w:rPr>
        <w:t xml:space="preserve">at </w:t>
      </w:r>
      <w:r w:rsidRPr="000D54AC">
        <w:rPr>
          <w:rFonts w:eastAsia="Calibri"/>
        </w:rPr>
        <w:t xml:space="preserve">129.  </w:t>
      </w:r>
      <w:r w:rsidR="00553C53">
        <w:rPr>
          <w:rFonts w:eastAsia="Calibri"/>
        </w:rPr>
        <w:t>The OCA explains that t</w:t>
      </w:r>
      <w:r w:rsidRPr="000D54AC">
        <w:rPr>
          <w:rFonts w:eastAsia="Calibri"/>
        </w:rPr>
        <w:t xml:space="preserve">he </w:t>
      </w:r>
      <w:r w:rsidR="00553C53">
        <w:rPr>
          <w:rFonts w:eastAsia="Calibri"/>
        </w:rPr>
        <w:t>R</w:t>
      </w:r>
      <w:r w:rsidRPr="000D54AC">
        <w:rPr>
          <w:rFonts w:eastAsia="Calibri"/>
        </w:rPr>
        <w:t xml:space="preserve">egulation specifies certain expenses, such as depreciation expense, for recovery when a company that has some rate base uses the operating ratio methodology.  </w:t>
      </w:r>
      <w:r w:rsidR="00553C53">
        <w:rPr>
          <w:rFonts w:eastAsia="Calibri"/>
        </w:rPr>
        <w:t>However, the OCA states that the formula set forth in the R</w:t>
      </w:r>
      <w:r w:rsidRPr="000D54AC">
        <w:rPr>
          <w:rFonts w:eastAsia="Calibri"/>
        </w:rPr>
        <w:t xml:space="preserve">egulation does not reflect any rate base components.  </w:t>
      </w:r>
      <w:r w:rsidR="00553C53">
        <w:rPr>
          <w:rFonts w:eastAsia="Calibri"/>
        </w:rPr>
        <w:t>The OCA opines that i</w:t>
      </w:r>
      <w:r w:rsidRPr="000D54AC">
        <w:rPr>
          <w:rFonts w:eastAsia="Calibri"/>
        </w:rPr>
        <w:t xml:space="preserve">n this case, without any remaining undepreciated rate base, it is not reasonable or appropriate for DSC to calculate a </w:t>
      </w:r>
      <w:r w:rsidR="00443A8F">
        <w:rPr>
          <w:rFonts w:eastAsia="Calibri"/>
        </w:rPr>
        <w:t>CWC</w:t>
      </w:r>
      <w:r w:rsidRPr="000D54AC">
        <w:rPr>
          <w:rFonts w:eastAsia="Calibri"/>
        </w:rPr>
        <w:t xml:space="preserve"> allowance.  </w:t>
      </w:r>
      <w:r w:rsidR="00057AC8">
        <w:rPr>
          <w:rFonts w:eastAsia="Calibri"/>
        </w:rPr>
        <w:t xml:space="preserve">OCA R. Exc. at 3-4. </w:t>
      </w:r>
    </w:p>
    <w:p w:rsidR="00553C53" w:rsidRDefault="00553C53" w:rsidP="00235522">
      <w:pPr>
        <w:rPr>
          <w:rFonts w:eastAsia="Calibri"/>
        </w:rPr>
      </w:pPr>
    </w:p>
    <w:p w:rsidR="000D54AC" w:rsidRPr="000D54AC" w:rsidRDefault="00553C53" w:rsidP="00235522">
      <w:pPr>
        <w:rPr>
          <w:rFonts w:eastAsia="Calibri"/>
        </w:rPr>
      </w:pPr>
      <w:r>
        <w:rPr>
          <w:rFonts w:eastAsia="Calibri"/>
        </w:rPr>
        <w:t xml:space="preserve">The OCA explains that </w:t>
      </w:r>
      <w:r w:rsidR="000D54AC" w:rsidRPr="000D54AC">
        <w:rPr>
          <w:rFonts w:eastAsia="Calibri"/>
          <w:i/>
        </w:rPr>
        <w:t>LP</w:t>
      </w:r>
      <w:r w:rsidRPr="00553C53">
        <w:rPr>
          <w:rFonts w:eastAsia="Calibri"/>
          <w:i/>
        </w:rPr>
        <w:t xml:space="preserve"> Water</w:t>
      </w:r>
      <w:r w:rsidR="00BC027D">
        <w:rPr>
          <w:rFonts w:eastAsia="Calibri"/>
          <w:i/>
        </w:rPr>
        <w:t xml:space="preserve"> </w:t>
      </w:r>
      <w:r w:rsidR="00BC027D" w:rsidRPr="00BC027D">
        <w:rPr>
          <w:rFonts w:eastAsia="Calibri"/>
        </w:rPr>
        <w:t>was</w:t>
      </w:r>
      <w:r w:rsidR="000D54AC" w:rsidRPr="000D54AC">
        <w:rPr>
          <w:rFonts w:eastAsia="Calibri"/>
        </w:rPr>
        <w:t xml:space="preserve"> the only other rate case where the operating ratio was applied to a water or wastewater utility</w:t>
      </w:r>
      <w:r w:rsidR="00BC027D">
        <w:rPr>
          <w:rFonts w:eastAsia="Calibri"/>
        </w:rPr>
        <w:t xml:space="preserve">.  The OCA submits that the </w:t>
      </w:r>
      <w:r w:rsidR="00BC027D" w:rsidRPr="00BC027D">
        <w:rPr>
          <w:rFonts w:eastAsiaTheme="minorHAnsi"/>
          <w:iCs/>
          <w:szCs w:val="26"/>
        </w:rPr>
        <w:t>LP Water and Sewer Company</w:t>
      </w:r>
      <w:r w:rsidR="00BC027D" w:rsidRPr="00BC027D">
        <w:rPr>
          <w:rFonts w:eastAsia="Calibri"/>
        </w:rPr>
        <w:t xml:space="preserve"> </w:t>
      </w:r>
      <w:r w:rsidR="00BC027D">
        <w:rPr>
          <w:rFonts w:eastAsia="Calibri"/>
        </w:rPr>
        <w:t xml:space="preserve">(LPW&amp;S) </w:t>
      </w:r>
      <w:r w:rsidR="000D54AC" w:rsidRPr="000D54AC">
        <w:rPr>
          <w:rFonts w:eastAsia="Calibri"/>
        </w:rPr>
        <w:t>claimed certain levels of expenses for management fees, payroll expense, rate case expense, bad debts expense</w:t>
      </w:r>
      <w:r w:rsidR="00F94281">
        <w:rPr>
          <w:rFonts w:eastAsia="Calibri"/>
        </w:rPr>
        <w:t>,</w:t>
      </w:r>
      <w:r w:rsidR="000D54AC" w:rsidRPr="000D54AC">
        <w:rPr>
          <w:rFonts w:eastAsia="Calibri"/>
        </w:rPr>
        <w:t xml:space="preserve"> and special services</w:t>
      </w:r>
      <w:r>
        <w:rPr>
          <w:rFonts w:eastAsia="Calibri"/>
        </w:rPr>
        <w:t xml:space="preserve"> and </w:t>
      </w:r>
      <w:r w:rsidR="000D54AC" w:rsidRPr="000D54AC">
        <w:rPr>
          <w:rFonts w:eastAsia="Calibri"/>
        </w:rPr>
        <w:t xml:space="preserve">proposed an operating ratio of 10% above those expenses.  </w:t>
      </w:r>
      <w:r w:rsidR="00235522">
        <w:rPr>
          <w:rFonts w:eastAsia="Calibri"/>
        </w:rPr>
        <w:t>OCA R. Exc. at</w:t>
      </w:r>
      <w:r w:rsidR="00494857">
        <w:rPr>
          <w:rFonts w:eastAsia="Calibri"/>
        </w:rPr>
        <w:t> </w:t>
      </w:r>
      <w:r w:rsidR="00235522">
        <w:rPr>
          <w:rFonts w:eastAsia="Calibri"/>
        </w:rPr>
        <w:t xml:space="preserve">4, </w:t>
      </w:r>
      <w:r w:rsidR="00235522" w:rsidRPr="00B365A9">
        <w:rPr>
          <w:rFonts w:eastAsia="Calibri"/>
        </w:rPr>
        <w:t>citing</w:t>
      </w:r>
      <w:r w:rsidR="00235522" w:rsidRPr="00235522">
        <w:rPr>
          <w:rFonts w:eastAsia="Calibri"/>
          <w:i/>
        </w:rPr>
        <w:t xml:space="preserve"> LP Water</w:t>
      </w:r>
      <w:r w:rsidR="00235522">
        <w:rPr>
          <w:rFonts w:eastAsia="Calibri"/>
        </w:rPr>
        <w:t xml:space="preserve"> at 530-</w:t>
      </w:r>
      <w:r w:rsidR="00F94281">
        <w:rPr>
          <w:rFonts w:eastAsia="Calibri"/>
        </w:rPr>
        <w:t>3</w:t>
      </w:r>
      <w:r w:rsidR="00235522">
        <w:rPr>
          <w:rFonts w:eastAsia="Calibri"/>
        </w:rPr>
        <w:t>3</w:t>
      </w:r>
      <w:r w:rsidR="00057AC8">
        <w:rPr>
          <w:rFonts w:eastAsia="Calibri"/>
        </w:rPr>
        <w:t xml:space="preserve">. </w:t>
      </w:r>
      <w:r w:rsidR="00BC027D">
        <w:rPr>
          <w:rFonts w:eastAsia="Calibri"/>
        </w:rPr>
        <w:t xml:space="preserve"> </w:t>
      </w:r>
      <w:r>
        <w:rPr>
          <w:rFonts w:eastAsia="Calibri"/>
        </w:rPr>
        <w:t xml:space="preserve">The OCA also </w:t>
      </w:r>
      <w:r w:rsidR="00BC027D">
        <w:rPr>
          <w:rFonts w:eastAsia="Calibri"/>
        </w:rPr>
        <w:t>submits</w:t>
      </w:r>
      <w:r w:rsidR="00235522">
        <w:rPr>
          <w:rFonts w:eastAsia="Calibri"/>
        </w:rPr>
        <w:t xml:space="preserve"> </w:t>
      </w:r>
      <w:r>
        <w:rPr>
          <w:rFonts w:eastAsia="Calibri"/>
        </w:rPr>
        <w:t>that LP</w:t>
      </w:r>
      <w:r w:rsidR="00BC027D">
        <w:rPr>
          <w:rFonts w:eastAsia="Calibri"/>
        </w:rPr>
        <w:t>W&amp;S</w:t>
      </w:r>
      <w:r>
        <w:rPr>
          <w:rFonts w:eastAsia="Calibri"/>
        </w:rPr>
        <w:t xml:space="preserve"> </w:t>
      </w:r>
      <w:r w:rsidR="000D54AC" w:rsidRPr="000D54AC">
        <w:rPr>
          <w:rFonts w:eastAsia="Calibri"/>
        </w:rPr>
        <w:t>did not claim recovery of any component of rate base</w:t>
      </w:r>
      <w:r>
        <w:rPr>
          <w:rFonts w:eastAsia="Calibri"/>
        </w:rPr>
        <w:t xml:space="preserve"> n</w:t>
      </w:r>
      <w:r w:rsidR="000D54AC" w:rsidRPr="000D54AC">
        <w:rPr>
          <w:rFonts w:eastAsia="Calibri"/>
        </w:rPr>
        <w:t xml:space="preserve">or did </w:t>
      </w:r>
      <w:r>
        <w:rPr>
          <w:rFonts w:eastAsia="Calibri"/>
        </w:rPr>
        <w:t>it</w:t>
      </w:r>
      <w:r w:rsidR="000D54AC" w:rsidRPr="000D54AC">
        <w:rPr>
          <w:rFonts w:eastAsia="Calibri"/>
        </w:rPr>
        <w:t xml:space="preserve"> claim any </w:t>
      </w:r>
      <w:r w:rsidR="00443A8F">
        <w:rPr>
          <w:rFonts w:eastAsia="Calibri"/>
        </w:rPr>
        <w:t>CWC</w:t>
      </w:r>
      <w:r w:rsidR="000D54AC" w:rsidRPr="000D54AC">
        <w:rPr>
          <w:rFonts w:eastAsia="Calibri"/>
        </w:rPr>
        <w:t xml:space="preserve">, as DSC is trying to do here.  </w:t>
      </w:r>
      <w:r w:rsidR="00235522">
        <w:rPr>
          <w:rFonts w:eastAsia="Calibri"/>
        </w:rPr>
        <w:t>The OCA stated t</w:t>
      </w:r>
      <w:r w:rsidR="000D54AC" w:rsidRPr="000D54AC">
        <w:rPr>
          <w:rFonts w:eastAsia="Calibri"/>
        </w:rPr>
        <w:t xml:space="preserve">he Commission approved a rate increase based on modifications to most of </w:t>
      </w:r>
      <w:r>
        <w:rPr>
          <w:rFonts w:eastAsia="Calibri"/>
        </w:rPr>
        <w:t>LP</w:t>
      </w:r>
      <w:r w:rsidR="00BC027D">
        <w:rPr>
          <w:rFonts w:eastAsia="Calibri"/>
        </w:rPr>
        <w:t>W&amp;S</w:t>
      </w:r>
      <w:r w:rsidR="002061B0">
        <w:rPr>
          <w:rFonts w:eastAsia="Calibri"/>
        </w:rPr>
        <w:t>’</w:t>
      </w:r>
      <w:r>
        <w:rPr>
          <w:rFonts w:eastAsia="Calibri"/>
        </w:rPr>
        <w:t>s cl</w:t>
      </w:r>
      <w:r w:rsidR="000D54AC" w:rsidRPr="000D54AC">
        <w:rPr>
          <w:rFonts w:eastAsia="Calibri"/>
        </w:rPr>
        <w:t xml:space="preserve">aimed expenses and reduced the operating ratio to 5%.  </w:t>
      </w:r>
      <w:r w:rsidR="00235522">
        <w:rPr>
          <w:rFonts w:eastAsia="Calibri"/>
        </w:rPr>
        <w:t>OCA R.</w:t>
      </w:r>
      <w:r w:rsidR="00FE6C8F">
        <w:rPr>
          <w:rFonts w:eastAsia="Calibri"/>
        </w:rPr>
        <w:t> </w:t>
      </w:r>
      <w:r w:rsidR="00235522">
        <w:rPr>
          <w:rFonts w:eastAsia="Calibri"/>
        </w:rPr>
        <w:t xml:space="preserve">Exc. at 4, </w:t>
      </w:r>
      <w:r w:rsidR="00235522" w:rsidRPr="00B365A9">
        <w:rPr>
          <w:rFonts w:eastAsia="Calibri"/>
        </w:rPr>
        <w:t>citing</w:t>
      </w:r>
      <w:r w:rsidR="00235522" w:rsidRPr="00235522">
        <w:rPr>
          <w:rFonts w:eastAsia="Calibri"/>
          <w:i/>
        </w:rPr>
        <w:t xml:space="preserve"> LP Water</w:t>
      </w:r>
      <w:r w:rsidR="00494857">
        <w:rPr>
          <w:rFonts w:eastAsia="Calibri"/>
        </w:rPr>
        <w:t>, 79 Pa.</w:t>
      </w:r>
      <w:r w:rsidR="003C107D">
        <w:rPr>
          <w:rFonts w:eastAsia="Calibri"/>
        </w:rPr>
        <w:t xml:space="preserve"> </w:t>
      </w:r>
      <w:r w:rsidR="00494857">
        <w:rPr>
          <w:rFonts w:eastAsia="Calibri"/>
        </w:rPr>
        <w:t>P.U.C.</w:t>
      </w:r>
      <w:r w:rsidR="00235522">
        <w:rPr>
          <w:rFonts w:eastAsia="Calibri"/>
        </w:rPr>
        <w:t xml:space="preserve"> at 530-</w:t>
      </w:r>
      <w:r w:rsidR="00F94281">
        <w:rPr>
          <w:rFonts w:eastAsia="Calibri"/>
        </w:rPr>
        <w:t>3</w:t>
      </w:r>
      <w:r w:rsidR="00235522">
        <w:rPr>
          <w:rFonts w:eastAsia="Calibri"/>
        </w:rPr>
        <w:t xml:space="preserve">2. </w:t>
      </w:r>
    </w:p>
    <w:p w:rsidR="00257CB3" w:rsidRDefault="00257CB3" w:rsidP="00062416">
      <w:pPr>
        <w:rPr>
          <w:rFonts w:eastAsiaTheme="minorHAnsi"/>
        </w:rPr>
      </w:pPr>
    </w:p>
    <w:p w:rsidR="00257CB3" w:rsidRDefault="009C49F1" w:rsidP="008E23AD">
      <w:pPr>
        <w:pStyle w:val="Heading4"/>
        <w:ind w:left="2160" w:hanging="720"/>
        <w:rPr>
          <w:rFonts w:eastAsiaTheme="minorHAnsi"/>
        </w:rPr>
      </w:pPr>
      <w:r>
        <w:rPr>
          <w:rFonts w:eastAsiaTheme="minorHAnsi"/>
        </w:rPr>
        <w:t>Disposition</w:t>
      </w:r>
    </w:p>
    <w:p w:rsidR="008E23AD" w:rsidRDefault="008E23AD" w:rsidP="008E23AD">
      <w:pPr>
        <w:rPr>
          <w:rFonts w:eastAsiaTheme="minorHAnsi"/>
        </w:rPr>
      </w:pPr>
    </w:p>
    <w:p w:rsidR="00F94281" w:rsidRDefault="00205403" w:rsidP="00E0095C">
      <w:pPr>
        <w:rPr>
          <w:rFonts w:eastAsiaTheme="minorHAnsi"/>
        </w:rPr>
      </w:pPr>
      <w:r>
        <w:rPr>
          <w:rFonts w:eastAsiaTheme="minorHAnsi"/>
        </w:rPr>
        <w:t>We shall reject the Company</w:t>
      </w:r>
      <w:r w:rsidR="002061B0">
        <w:rPr>
          <w:rFonts w:eastAsiaTheme="minorHAnsi"/>
        </w:rPr>
        <w:t>’</w:t>
      </w:r>
      <w:r>
        <w:rPr>
          <w:rFonts w:eastAsiaTheme="minorHAnsi"/>
        </w:rPr>
        <w:t>s proposal that the Commission calculate the Company</w:t>
      </w:r>
      <w:r w:rsidR="002061B0">
        <w:rPr>
          <w:rFonts w:eastAsiaTheme="minorHAnsi"/>
        </w:rPr>
        <w:t>’</w:t>
      </w:r>
      <w:r>
        <w:rPr>
          <w:rFonts w:eastAsiaTheme="minorHAnsi"/>
        </w:rPr>
        <w:t xml:space="preserve">s </w:t>
      </w:r>
      <w:r w:rsidR="00F3135F" w:rsidRPr="00B21210">
        <w:rPr>
          <w:rFonts w:eastAsiaTheme="minorHAnsi"/>
        </w:rPr>
        <w:t xml:space="preserve">operating income </w:t>
      </w:r>
      <w:r>
        <w:rPr>
          <w:rFonts w:eastAsiaTheme="minorHAnsi"/>
        </w:rPr>
        <w:t xml:space="preserve">using </w:t>
      </w:r>
      <w:r w:rsidR="00E0095C">
        <w:rPr>
          <w:rFonts w:eastAsiaTheme="minorHAnsi"/>
        </w:rPr>
        <w:t>a combination of</w:t>
      </w:r>
      <w:r>
        <w:rPr>
          <w:rFonts w:eastAsiaTheme="minorHAnsi"/>
        </w:rPr>
        <w:t xml:space="preserve"> the operating margin methodology and </w:t>
      </w:r>
      <w:r w:rsidR="00E0095C">
        <w:rPr>
          <w:rFonts w:eastAsiaTheme="minorHAnsi"/>
        </w:rPr>
        <w:t>a claim for CWC</w:t>
      </w:r>
      <w:r w:rsidR="007E0EF4">
        <w:rPr>
          <w:rFonts w:eastAsiaTheme="minorHAnsi"/>
        </w:rPr>
        <w:t>.</w:t>
      </w:r>
      <w:r w:rsidR="00893975">
        <w:rPr>
          <w:rFonts w:eastAsiaTheme="minorHAnsi"/>
        </w:rPr>
        <w:t xml:space="preserve">  DSC</w:t>
      </w:r>
      <w:r w:rsidR="002061B0">
        <w:rPr>
          <w:rFonts w:eastAsiaTheme="minorHAnsi"/>
        </w:rPr>
        <w:t>’</w:t>
      </w:r>
      <w:r w:rsidR="00893975">
        <w:rPr>
          <w:rFonts w:eastAsiaTheme="minorHAnsi"/>
        </w:rPr>
        <w:t xml:space="preserve">s proposal would require the Commission to determine a return on equity for its CWC claim using one subset of expenses and a separate </w:t>
      </w:r>
      <w:r w:rsidR="00093B17">
        <w:rPr>
          <w:rFonts w:eastAsiaTheme="minorHAnsi"/>
        </w:rPr>
        <w:t>return (</w:t>
      </w:r>
      <w:r w:rsidR="00893975">
        <w:rPr>
          <w:rFonts w:eastAsiaTheme="minorHAnsi"/>
        </w:rPr>
        <w:t>operating ratio</w:t>
      </w:r>
      <w:r w:rsidR="00093B17">
        <w:rPr>
          <w:rFonts w:eastAsiaTheme="minorHAnsi"/>
        </w:rPr>
        <w:t>)</w:t>
      </w:r>
      <w:r w:rsidR="00893975">
        <w:rPr>
          <w:rFonts w:eastAsiaTheme="minorHAnsi"/>
        </w:rPr>
        <w:t xml:space="preserve"> using </w:t>
      </w:r>
      <w:r w:rsidR="00384580">
        <w:rPr>
          <w:rFonts w:eastAsiaTheme="minorHAnsi"/>
        </w:rPr>
        <w:t xml:space="preserve">a different subset of expenses.  </w:t>
      </w:r>
      <w:r w:rsidR="0026162A">
        <w:rPr>
          <w:rFonts w:eastAsiaTheme="minorHAnsi"/>
        </w:rPr>
        <w:t>The Company</w:t>
      </w:r>
      <w:r w:rsidR="002061B0">
        <w:rPr>
          <w:rFonts w:eastAsiaTheme="minorHAnsi"/>
        </w:rPr>
        <w:t>’</w:t>
      </w:r>
      <w:r w:rsidR="0026162A">
        <w:rPr>
          <w:rFonts w:eastAsiaTheme="minorHAnsi"/>
        </w:rPr>
        <w:t>s proposal creates an unnecessary degree of complexity to the operating ratio methodology that was designed to be a less complex ratemaking method for small water and wastewater companies with limited resources.  Since DSC elected to use the operating ratio method, the Company</w:t>
      </w:r>
      <w:r w:rsidR="002061B0">
        <w:rPr>
          <w:rFonts w:eastAsiaTheme="minorHAnsi"/>
        </w:rPr>
        <w:t>’</w:t>
      </w:r>
      <w:r w:rsidR="0026162A">
        <w:rPr>
          <w:rFonts w:eastAsiaTheme="minorHAnsi"/>
        </w:rPr>
        <w:t xml:space="preserve">s CWC costs could have been addressed as an actual or hypothetical interest expense </w:t>
      </w:r>
      <w:r w:rsidR="00494857">
        <w:rPr>
          <w:rFonts w:eastAsiaTheme="minorHAnsi"/>
        </w:rPr>
        <w:t xml:space="preserve">as </w:t>
      </w:r>
      <w:r w:rsidR="0026162A">
        <w:rPr>
          <w:rFonts w:eastAsiaTheme="minorHAnsi"/>
        </w:rPr>
        <w:t>delineated in 52 Pa. Code § 53.54 (b)(2)(ii)</w:t>
      </w:r>
      <w:r w:rsidR="00494857">
        <w:rPr>
          <w:rFonts w:eastAsiaTheme="minorHAnsi"/>
        </w:rPr>
        <w:t xml:space="preserve">. </w:t>
      </w:r>
      <w:r w:rsidR="00FE6C8F">
        <w:rPr>
          <w:rFonts w:eastAsiaTheme="minorHAnsi"/>
        </w:rPr>
        <w:t xml:space="preserve"> </w:t>
      </w:r>
      <w:r w:rsidR="00494857">
        <w:rPr>
          <w:rFonts w:eastAsiaTheme="minorHAnsi"/>
        </w:rPr>
        <w:t xml:space="preserve">It did not do that, however.  As contended by the OCA, we agree that inclusion of a CWC component </w:t>
      </w:r>
      <w:r w:rsidR="00F3135F">
        <w:rPr>
          <w:rFonts w:eastAsiaTheme="minorHAnsi"/>
        </w:rPr>
        <w:t xml:space="preserve">in conjunction with an </w:t>
      </w:r>
      <w:r w:rsidR="0026162A">
        <w:rPr>
          <w:rFonts w:eastAsiaTheme="minorHAnsi"/>
        </w:rPr>
        <w:t xml:space="preserve">operating ratio </w:t>
      </w:r>
      <w:r w:rsidR="00494857">
        <w:rPr>
          <w:rFonts w:eastAsiaTheme="minorHAnsi"/>
        </w:rPr>
        <w:t xml:space="preserve">is erroneous when the purpose of the operating ratio methodology is to provide an alternative return calculation for a utility without </w:t>
      </w:r>
      <w:r w:rsidR="00D768A6">
        <w:rPr>
          <w:rFonts w:eastAsiaTheme="minorHAnsi"/>
        </w:rPr>
        <w:t xml:space="preserve">any rate base component.  </w:t>
      </w:r>
      <w:r w:rsidR="0026162A">
        <w:rPr>
          <w:rFonts w:eastAsiaTheme="minorHAnsi"/>
        </w:rPr>
        <w:t>We also reject the Company</w:t>
      </w:r>
      <w:r w:rsidR="002061B0">
        <w:rPr>
          <w:rFonts w:eastAsiaTheme="minorHAnsi"/>
        </w:rPr>
        <w:t>’</w:t>
      </w:r>
      <w:r w:rsidR="0026162A">
        <w:rPr>
          <w:rFonts w:eastAsiaTheme="minorHAnsi"/>
        </w:rPr>
        <w:t xml:space="preserve">s CWC claim because the record in this proceeding was not adequately developed to support a determination of the reasonableness of the 8.5% return sought by DSC on its CWC claim.  </w:t>
      </w:r>
    </w:p>
    <w:p w:rsidR="00F94281" w:rsidRDefault="00F94281" w:rsidP="00E0095C">
      <w:pPr>
        <w:rPr>
          <w:rFonts w:eastAsiaTheme="minorHAnsi"/>
        </w:rPr>
      </w:pPr>
    </w:p>
    <w:p w:rsidR="00E0095C" w:rsidRDefault="00AE2AF3" w:rsidP="00E0095C">
      <w:pPr>
        <w:rPr>
          <w:rFonts w:eastAsiaTheme="minorHAnsi"/>
        </w:rPr>
      </w:pPr>
      <w:r>
        <w:rPr>
          <w:rFonts w:eastAsiaTheme="minorHAnsi"/>
        </w:rPr>
        <w:t xml:space="preserve">Consequently, we find that the </w:t>
      </w:r>
      <w:r w:rsidR="00093B17">
        <w:rPr>
          <w:rFonts w:eastAsiaTheme="minorHAnsi"/>
        </w:rPr>
        <w:t xml:space="preserve">operating ratio methodology </w:t>
      </w:r>
      <w:r w:rsidR="0026162A" w:rsidRPr="0026162A">
        <w:rPr>
          <w:rFonts w:eastAsiaTheme="minorHAnsi"/>
          <w:i/>
        </w:rPr>
        <w:t>alone</w:t>
      </w:r>
      <w:r w:rsidR="0026162A">
        <w:rPr>
          <w:rFonts w:eastAsiaTheme="minorHAnsi"/>
        </w:rPr>
        <w:t xml:space="preserve">, </w:t>
      </w:r>
      <w:r>
        <w:rPr>
          <w:rFonts w:eastAsiaTheme="minorHAnsi"/>
        </w:rPr>
        <w:t>as set forth in 52 Pa. Code § 53.54(b</w:t>
      </w:r>
      <w:r w:rsidR="00F3135F">
        <w:rPr>
          <w:rFonts w:eastAsiaTheme="minorHAnsi"/>
        </w:rPr>
        <w:t>)</w:t>
      </w:r>
      <w:r w:rsidR="00773E18">
        <w:rPr>
          <w:rFonts w:eastAsiaTheme="minorHAnsi"/>
        </w:rPr>
        <w:t>,</w:t>
      </w:r>
      <w:r>
        <w:rPr>
          <w:rFonts w:eastAsiaTheme="minorHAnsi"/>
        </w:rPr>
        <w:t xml:space="preserve"> is the preferred method to establish a revenue requirement for DSC and is more than adequate </w:t>
      </w:r>
      <w:r w:rsidR="00A5209D">
        <w:rPr>
          <w:rFonts w:eastAsiaTheme="minorHAnsi"/>
        </w:rPr>
        <w:t>to determine a reasonable level of operating income</w:t>
      </w:r>
      <w:r w:rsidR="00572EA2">
        <w:rPr>
          <w:rFonts w:eastAsiaTheme="minorHAnsi"/>
        </w:rPr>
        <w:t xml:space="preserve"> </w:t>
      </w:r>
      <w:r w:rsidR="007E0EF4">
        <w:rPr>
          <w:rFonts w:eastAsiaTheme="minorHAnsi"/>
        </w:rPr>
        <w:t xml:space="preserve">and revenue </w:t>
      </w:r>
      <w:r w:rsidR="00572EA2">
        <w:rPr>
          <w:rFonts w:eastAsiaTheme="minorHAnsi"/>
        </w:rPr>
        <w:t>for the Company</w:t>
      </w:r>
      <w:r w:rsidR="00A5209D">
        <w:rPr>
          <w:rFonts w:eastAsiaTheme="minorHAnsi"/>
        </w:rPr>
        <w:t xml:space="preserve">. </w:t>
      </w:r>
      <w:r>
        <w:rPr>
          <w:rFonts w:eastAsiaTheme="minorHAnsi"/>
        </w:rPr>
        <w:t xml:space="preserve"> </w:t>
      </w:r>
      <w:r w:rsidR="002406AF">
        <w:rPr>
          <w:rFonts w:eastAsiaTheme="minorHAnsi"/>
        </w:rPr>
        <w:t>Therefore, we shall adopt the ALJ</w:t>
      </w:r>
      <w:r w:rsidR="002061B0">
        <w:rPr>
          <w:rFonts w:eastAsiaTheme="minorHAnsi"/>
        </w:rPr>
        <w:t>’</w:t>
      </w:r>
      <w:r w:rsidR="002406AF">
        <w:rPr>
          <w:rFonts w:eastAsiaTheme="minorHAnsi"/>
        </w:rPr>
        <w:t xml:space="preserve">s recommendation to </w:t>
      </w:r>
      <w:r w:rsidR="00093B17">
        <w:rPr>
          <w:rFonts w:eastAsiaTheme="minorHAnsi"/>
        </w:rPr>
        <w:t>exclude the CWC claim and to determine the Company</w:t>
      </w:r>
      <w:r w:rsidR="002061B0">
        <w:rPr>
          <w:rFonts w:eastAsiaTheme="minorHAnsi"/>
        </w:rPr>
        <w:t>’</w:t>
      </w:r>
      <w:r w:rsidR="00093B17">
        <w:rPr>
          <w:rFonts w:eastAsiaTheme="minorHAnsi"/>
        </w:rPr>
        <w:t xml:space="preserve">s revenue allowance using a single return (operating margin) on all adjusted expenses.  </w:t>
      </w:r>
      <w:r w:rsidR="002406AF">
        <w:rPr>
          <w:rFonts w:eastAsiaTheme="minorHAnsi"/>
        </w:rPr>
        <w:t xml:space="preserve"> </w:t>
      </w:r>
    </w:p>
    <w:p w:rsidR="00E0095C" w:rsidRDefault="00E0095C" w:rsidP="00E0095C">
      <w:pPr>
        <w:rPr>
          <w:rFonts w:eastAsiaTheme="minorHAnsi"/>
        </w:rPr>
      </w:pPr>
    </w:p>
    <w:p w:rsidR="00257CB3" w:rsidRDefault="00690EDA" w:rsidP="006541E8">
      <w:pPr>
        <w:pStyle w:val="Heading3"/>
        <w:rPr>
          <w:rFonts w:eastAsiaTheme="minorHAnsi"/>
        </w:rPr>
      </w:pPr>
      <w:bookmarkStart w:id="9" w:name="_Toc425179771"/>
      <w:r>
        <w:rPr>
          <w:rFonts w:eastAsiaTheme="minorHAnsi"/>
        </w:rPr>
        <w:lastRenderedPageBreak/>
        <w:t>Officer Compensation</w:t>
      </w:r>
      <w:bookmarkEnd w:id="9"/>
    </w:p>
    <w:p w:rsidR="00690EDA" w:rsidRDefault="00690EDA" w:rsidP="006541E8">
      <w:pPr>
        <w:keepNext/>
        <w:keepLines/>
        <w:rPr>
          <w:rFonts w:eastAsiaTheme="minorHAnsi"/>
        </w:rPr>
      </w:pPr>
    </w:p>
    <w:p w:rsidR="00690EDA" w:rsidRPr="00645257" w:rsidRDefault="00690EDA" w:rsidP="006541E8">
      <w:pPr>
        <w:pStyle w:val="Heading4"/>
        <w:keepNext/>
        <w:keepLines/>
        <w:numPr>
          <w:ilvl w:val="0"/>
          <w:numId w:val="27"/>
        </w:numPr>
        <w:ind w:left="2160" w:hanging="720"/>
        <w:rPr>
          <w:rFonts w:eastAsiaTheme="minorHAnsi"/>
        </w:rPr>
      </w:pPr>
      <w:r w:rsidRPr="00645257">
        <w:rPr>
          <w:rFonts w:eastAsiaTheme="minorHAnsi"/>
        </w:rPr>
        <w:t>Company</w:t>
      </w:r>
      <w:r w:rsidR="00116D68" w:rsidRPr="00645257">
        <w:rPr>
          <w:rFonts w:eastAsiaTheme="minorHAnsi"/>
        </w:rPr>
        <w:t xml:space="preserve"> </w:t>
      </w:r>
      <w:r w:rsidRPr="00645257">
        <w:rPr>
          <w:rFonts w:eastAsiaTheme="minorHAnsi"/>
        </w:rPr>
        <w:t>Claim</w:t>
      </w:r>
    </w:p>
    <w:p w:rsidR="00257CB3" w:rsidRDefault="00257CB3" w:rsidP="006541E8">
      <w:pPr>
        <w:keepNext/>
        <w:keepLines/>
        <w:rPr>
          <w:rFonts w:eastAsiaTheme="minorHAnsi"/>
        </w:rPr>
      </w:pPr>
    </w:p>
    <w:p w:rsidR="00257CB3" w:rsidRDefault="00690EDA" w:rsidP="006541E8">
      <w:pPr>
        <w:keepNext/>
        <w:keepLines/>
        <w:rPr>
          <w:rFonts w:eastAsiaTheme="minorHAnsi"/>
        </w:rPr>
      </w:pPr>
      <w:r>
        <w:rPr>
          <w:rFonts w:eastAsiaTheme="minorHAnsi"/>
        </w:rPr>
        <w:t xml:space="preserve">The Company claimed $14,400 as the annual compensation for Mr. Linde, the Company President. </w:t>
      </w:r>
      <w:r w:rsidR="00CF5F0A">
        <w:rPr>
          <w:rFonts w:eastAsiaTheme="minorHAnsi"/>
        </w:rPr>
        <w:t xml:space="preserve"> </w:t>
      </w:r>
      <w:r>
        <w:rPr>
          <w:rFonts w:eastAsiaTheme="minorHAnsi"/>
        </w:rPr>
        <w:t xml:space="preserve">In support of the claim, the Company explained that Mr. Linde provided 6-10 hours of services per month and that a reasonable value for his services would </w:t>
      </w:r>
      <w:r w:rsidR="008C7BEA">
        <w:rPr>
          <w:rFonts w:eastAsiaTheme="minorHAnsi"/>
        </w:rPr>
        <w:t xml:space="preserve">be </w:t>
      </w:r>
      <w:r>
        <w:rPr>
          <w:rFonts w:eastAsiaTheme="minorHAnsi"/>
        </w:rPr>
        <w:t>approximate</w:t>
      </w:r>
      <w:r w:rsidR="008C7BEA">
        <w:rPr>
          <w:rFonts w:eastAsiaTheme="minorHAnsi"/>
        </w:rPr>
        <w:t>ly</w:t>
      </w:r>
      <w:r>
        <w:rPr>
          <w:rFonts w:eastAsiaTheme="minorHAnsi"/>
        </w:rPr>
        <w:t xml:space="preserve"> </w:t>
      </w:r>
      <w:r w:rsidRPr="001246CA">
        <w:rPr>
          <w:rFonts w:eastAsiaTheme="minorHAnsi"/>
          <w:iCs/>
          <w:szCs w:val="26"/>
        </w:rPr>
        <w:t>$200/hour</w:t>
      </w:r>
      <w:r w:rsidRPr="001246CA">
        <w:rPr>
          <w:rFonts w:eastAsiaTheme="minorHAnsi"/>
          <w:i/>
          <w:iCs/>
          <w:szCs w:val="26"/>
        </w:rPr>
        <w:t>.</w:t>
      </w:r>
      <w:r>
        <w:rPr>
          <w:rFonts w:eastAsiaTheme="minorHAnsi"/>
          <w:i/>
          <w:iCs/>
          <w:sz w:val="22"/>
          <w:szCs w:val="22"/>
        </w:rPr>
        <w:t xml:space="preserve"> </w:t>
      </w:r>
      <w:r w:rsidR="00CF5F0A">
        <w:rPr>
          <w:rFonts w:eastAsiaTheme="minorHAnsi"/>
          <w:i/>
          <w:iCs/>
          <w:sz w:val="22"/>
          <w:szCs w:val="22"/>
        </w:rPr>
        <w:t xml:space="preserve"> </w:t>
      </w:r>
      <w:r>
        <w:rPr>
          <w:rFonts w:eastAsiaTheme="minorHAnsi"/>
        </w:rPr>
        <w:t xml:space="preserve">The Company used the lower range of services at </w:t>
      </w:r>
      <w:r w:rsidR="00F94281">
        <w:rPr>
          <w:rFonts w:eastAsiaTheme="minorHAnsi"/>
        </w:rPr>
        <w:t>6</w:t>
      </w:r>
      <w:r w:rsidR="008C7BEA">
        <w:rPr>
          <w:rFonts w:eastAsiaTheme="minorHAnsi"/>
        </w:rPr>
        <w:t> </w:t>
      </w:r>
      <w:r>
        <w:rPr>
          <w:rFonts w:eastAsiaTheme="minorHAnsi"/>
        </w:rPr>
        <w:t xml:space="preserve">hours per month </w:t>
      </w:r>
      <w:r w:rsidR="00CF5F0A">
        <w:rPr>
          <w:rFonts w:eastAsiaTheme="minorHAnsi"/>
        </w:rPr>
        <w:t xml:space="preserve">times </w:t>
      </w:r>
      <w:r w:rsidRPr="001246CA">
        <w:rPr>
          <w:rFonts w:eastAsiaTheme="minorHAnsi"/>
          <w:iCs/>
          <w:szCs w:val="26"/>
        </w:rPr>
        <w:t>$200/h</w:t>
      </w:r>
      <w:r w:rsidR="001246CA">
        <w:rPr>
          <w:rFonts w:eastAsiaTheme="minorHAnsi"/>
          <w:iCs/>
          <w:szCs w:val="26"/>
        </w:rPr>
        <w:t>ou</w:t>
      </w:r>
      <w:r w:rsidRPr="001246CA">
        <w:rPr>
          <w:rFonts w:eastAsiaTheme="minorHAnsi"/>
          <w:iCs/>
          <w:szCs w:val="26"/>
        </w:rPr>
        <w:t>r</w:t>
      </w:r>
      <w:r w:rsidR="00CF5F0A" w:rsidRPr="001246CA">
        <w:rPr>
          <w:rFonts w:eastAsiaTheme="minorHAnsi"/>
          <w:iCs/>
          <w:szCs w:val="26"/>
        </w:rPr>
        <w:t xml:space="preserve"> times</w:t>
      </w:r>
      <w:r>
        <w:rPr>
          <w:rFonts w:eastAsiaTheme="minorHAnsi"/>
        </w:rPr>
        <w:t xml:space="preserve"> </w:t>
      </w:r>
      <w:r w:rsidR="00F94281">
        <w:rPr>
          <w:rFonts w:eastAsiaTheme="minorHAnsi"/>
        </w:rPr>
        <w:t xml:space="preserve">12 </w:t>
      </w:r>
      <w:r>
        <w:rPr>
          <w:rFonts w:eastAsiaTheme="minorHAnsi"/>
        </w:rPr>
        <w:t xml:space="preserve">months to arrive at the $14,400 claim. </w:t>
      </w:r>
      <w:r w:rsidR="00CF5F0A">
        <w:rPr>
          <w:rFonts w:eastAsiaTheme="minorHAnsi"/>
        </w:rPr>
        <w:t xml:space="preserve"> </w:t>
      </w:r>
      <w:r>
        <w:rPr>
          <w:rFonts w:eastAsiaTheme="minorHAnsi"/>
        </w:rPr>
        <w:t>DSC St. DMK-IR at 4.</w:t>
      </w:r>
    </w:p>
    <w:p w:rsidR="001246CA" w:rsidRDefault="001246CA" w:rsidP="00CF5F0A">
      <w:pPr>
        <w:rPr>
          <w:rFonts w:eastAsiaTheme="minorHAnsi"/>
        </w:rPr>
      </w:pPr>
    </w:p>
    <w:p w:rsidR="00257CB3" w:rsidRDefault="00CF5F0A" w:rsidP="00CF5F0A">
      <w:pPr>
        <w:pStyle w:val="Heading4"/>
        <w:numPr>
          <w:ilvl w:val="0"/>
          <w:numId w:val="23"/>
        </w:numPr>
        <w:ind w:left="2160" w:hanging="720"/>
        <w:rPr>
          <w:rFonts w:eastAsiaTheme="minorHAnsi"/>
        </w:rPr>
      </w:pPr>
      <w:r w:rsidRPr="00CF5F0A">
        <w:rPr>
          <w:rFonts w:eastAsiaTheme="minorHAnsi"/>
        </w:rPr>
        <w:t>ALJ</w:t>
      </w:r>
      <w:r w:rsidR="00645257">
        <w:rPr>
          <w:rFonts w:eastAsiaTheme="minorHAnsi"/>
        </w:rPr>
        <w:t xml:space="preserve"> </w:t>
      </w:r>
      <w:r w:rsidRPr="00CF5F0A">
        <w:rPr>
          <w:rFonts w:eastAsiaTheme="minorHAnsi"/>
        </w:rPr>
        <w:t>Recommendation</w:t>
      </w:r>
    </w:p>
    <w:p w:rsidR="00CF5F0A" w:rsidRDefault="00CF5F0A" w:rsidP="00CF5F0A">
      <w:pPr>
        <w:rPr>
          <w:rFonts w:eastAsiaTheme="minorHAnsi"/>
        </w:rPr>
      </w:pPr>
    </w:p>
    <w:p w:rsidR="00CF5F0A" w:rsidRPr="008F0562" w:rsidRDefault="00CF5F0A" w:rsidP="00C1304C">
      <w:pPr>
        <w:rPr>
          <w:rFonts w:eastAsia="Calibri"/>
          <w:sz w:val="24"/>
        </w:rPr>
      </w:pPr>
      <w:r>
        <w:rPr>
          <w:rFonts w:eastAsia="Calibri"/>
        </w:rPr>
        <w:t xml:space="preserve">The ALJ noted that </w:t>
      </w:r>
      <w:r w:rsidRPr="008F0562">
        <w:rPr>
          <w:rFonts w:eastAsia="Calibri"/>
        </w:rPr>
        <w:t>Scott Linde is DSC</w:t>
      </w:r>
      <w:r w:rsidR="002061B0">
        <w:rPr>
          <w:rFonts w:eastAsia="Calibri"/>
        </w:rPr>
        <w:t>’</w:t>
      </w:r>
      <w:r w:rsidRPr="008F0562">
        <w:rPr>
          <w:rFonts w:eastAsia="Calibri"/>
        </w:rPr>
        <w:t>s only officer/director and he is also a 90% owner of DSC.</w:t>
      </w:r>
      <w:r>
        <w:rPr>
          <w:rFonts w:eastAsia="Calibri"/>
        </w:rPr>
        <w:t xml:space="preserve"> </w:t>
      </w:r>
      <w:r w:rsidRPr="008F0562">
        <w:rPr>
          <w:rFonts w:eastAsia="Calibri"/>
        </w:rPr>
        <w:t xml:space="preserve"> </w:t>
      </w:r>
      <w:r>
        <w:rPr>
          <w:rFonts w:eastAsia="Calibri"/>
        </w:rPr>
        <w:t xml:space="preserve">The ALJ observed that </w:t>
      </w:r>
      <w:r w:rsidR="007E0EF4">
        <w:rPr>
          <w:rFonts w:eastAsia="Calibri"/>
        </w:rPr>
        <w:t>the Company</w:t>
      </w:r>
      <w:r w:rsidRPr="008F0562">
        <w:rPr>
          <w:rFonts w:eastAsia="Calibri"/>
        </w:rPr>
        <w:t xml:space="preserve"> has not provided any explanation to support the significant increase in this expense</w:t>
      </w:r>
      <w:r>
        <w:rPr>
          <w:rFonts w:eastAsia="Calibri"/>
        </w:rPr>
        <w:t xml:space="preserve"> and t</w:t>
      </w:r>
      <w:r w:rsidRPr="008F0562">
        <w:rPr>
          <w:rFonts w:eastAsia="Calibri"/>
        </w:rPr>
        <w:t>he services provided by Mr. Linde</w:t>
      </w:r>
      <w:r>
        <w:rPr>
          <w:rFonts w:eastAsia="Calibri"/>
        </w:rPr>
        <w:t xml:space="preserve">.  The ALJ stated that </w:t>
      </w:r>
      <w:r w:rsidR="007E0EF4">
        <w:rPr>
          <w:rFonts w:eastAsia="Calibri"/>
        </w:rPr>
        <w:t xml:space="preserve">the Company </w:t>
      </w:r>
      <w:r w:rsidRPr="008F0562">
        <w:rPr>
          <w:rFonts w:eastAsia="Calibri"/>
        </w:rPr>
        <w:t>acknowledge</w:t>
      </w:r>
      <w:r w:rsidR="008C7BEA">
        <w:rPr>
          <w:rFonts w:eastAsia="Calibri"/>
        </w:rPr>
        <w:t>d</w:t>
      </w:r>
      <w:r w:rsidRPr="008F0562">
        <w:rPr>
          <w:rFonts w:eastAsia="Calibri"/>
        </w:rPr>
        <w:t xml:space="preserve"> that the </w:t>
      </w:r>
      <w:r w:rsidR="008C7BEA">
        <w:rPr>
          <w:rFonts w:eastAsia="Calibri"/>
        </w:rPr>
        <w:t xml:space="preserve">officer compensation </w:t>
      </w:r>
      <w:r w:rsidRPr="008F0562">
        <w:rPr>
          <w:rFonts w:eastAsia="Calibri"/>
        </w:rPr>
        <w:t xml:space="preserve">expense to DSC increased following the sale of </w:t>
      </w:r>
      <w:r w:rsidR="006541E8">
        <w:rPr>
          <w:rFonts w:eastAsia="Calibri"/>
        </w:rPr>
        <w:t>its</w:t>
      </w:r>
      <w:r>
        <w:rPr>
          <w:rFonts w:eastAsia="Calibri"/>
        </w:rPr>
        <w:t xml:space="preserve"> sister company</w:t>
      </w:r>
      <w:r w:rsidR="008C7BEA">
        <w:rPr>
          <w:rFonts w:eastAsia="Calibri"/>
        </w:rPr>
        <w:t xml:space="preserve"> </w:t>
      </w:r>
      <w:r w:rsidR="000961C2">
        <w:rPr>
          <w:rFonts w:eastAsia="Calibri"/>
        </w:rPr>
        <w:t xml:space="preserve">CTSC </w:t>
      </w:r>
      <w:r w:rsidR="008C7BEA">
        <w:rPr>
          <w:rFonts w:eastAsia="Calibri"/>
        </w:rPr>
        <w:t>in 2013</w:t>
      </w:r>
      <w:r w:rsidRPr="008F0562">
        <w:rPr>
          <w:rFonts w:eastAsia="Calibri"/>
        </w:rPr>
        <w:t xml:space="preserve">.  </w:t>
      </w:r>
      <w:r w:rsidR="00C1304C">
        <w:rPr>
          <w:rFonts w:eastAsia="Calibri"/>
        </w:rPr>
        <w:t xml:space="preserve">The ALJ reasoned that the services provided by Mr. Linde </w:t>
      </w:r>
      <w:r w:rsidRPr="008F0562">
        <w:rPr>
          <w:rFonts w:eastAsia="Calibri"/>
        </w:rPr>
        <w:t xml:space="preserve">have not changed during 2013 and 2014, </w:t>
      </w:r>
      <w:r w:rsidR="00C1304C">
        <w:rPr>
          <w:rFonts w:eastAsia="Calibri"/>
        </w:rPr>
        <w:t>and i</w:t>
      </w:r>
      <w:r w:rsidRPr="008F0562">
        <w:rPr>
          <w:rFonts w:eastAsia="Calibri"/>
        </w:rPr>
        <w:t>t is not reasonable to charge DSC customers 126% more for the same services that have been pr</w:t>
      </w:r>
      <w:r w:rsidR="00D3159B">
        <w:rPr>
          <w:rFonts w:eastAsia="Calibri"/>
        </w:rPr>
        <w:t>ovided in prior years.  R.D. at 14.</w:t>
      </w:r>
    </w:p>
    <w:p w:rsidR="00C1304C" w:rsidRDefault="00C1304C" w:rsidP="00CF5F0A">
      <w:pPr>
        <w:rPr>
          <w:rFonts w:eastAsia="Calibri"/>
          <w:sz w:val="24"/>
        </w:rPr>
      </w:pPr>
    </w:p>
    <w:p w:rsidR="00CF5F0A" w:rsidRPr="00C1304C" w:rsidRDefault="00C1304C" w:rsidP="00CF5F0A">
      <w:pPr>
        <w:rPr>
          <w:rFonts w:eastAsia="Calibri"/>
          <w:szCs w:val="26"/>
        </w:rPr>
      </w:pPr>
      <w:r w:rsidRPr="00C1304C">
        <w:rPr>
          <w:rFonts w:eastAsia="Calibri"/>
          <w:szCs w:val="26"/>
        </w:rPr>
        <w:t xml:space="preserve">As noted by the ALJ, </w:t>
      </w:r>
      <w:r w:rsidR="00CF5F0A" w:rsidRPr="00C1304C">
        <w:rPr>
          <w:rFonts w:eastAsia="Calibri"/>
          <w:szCs w:val="26"/>
        </w:rPr>
        <w:t xml:space="preserve">DSC argued that the hourly rate was appropriate because DSC witness </w:t>
      </w:r>
      <w:proofErr w:type="spellStart"/>
      <w:r w:rsidR="00CF5F0A" w:rsidRPr="00C1304C">
        <w:rPr>
          <w:rFonts w:eastAsia="Calibri"/>
          <w:szCs w:val="26"/>
        </w:rPr>
        <w:t>Kalbarczyk</w:t>
      </w:r>
      <w:proofErr w:type="spellEnd"/>
      <w:r w:rsidR="00CF5F0A" w:rsidRPr="00C1304C">
        <w:rPr>
          <w:rFonts w:eastAsia="Calibri"/>
          <w:szCs w:val="26"/>
        </w:rPr>
        <w:t xml:space="preserve"> has seen similar rates for senior accountants and bookkeepers.  </w:t>
      </w:r>
      <w:r w:rsidRPr="00C1304C">
        <w:rPr>
          <w:rFonts w:eastAsia="Calibri"/>
          <w:szCs w:val="26"/>
        </w:rPr>
        <w:t>The ALJ stated</w:t>
      </w:r>
      <w:r w:rsidR="006541E8">
        <w:rPr>
          <w:rFonts w:eastAsia="Calibri"/>
          <w:szCs w:val="26"/>
        </w:rPr>
        <w:t>,</w:t>
      </w:r>
      <w:r w:rsidR="00CF5F0A" w:rsidRPr="00C1304C">
        <w:rPr>
          <w:rFonts w:eastAsia="Calibri"/>
          <w:szCs w:val="26"/>
        </w:rPr>
        <w:t xml:space="preserve"> </w:t>
      </w:r>
      <w:r w:rsidRPr="00C1304C">
        <w:rPr>
          <w:rFonts w:eastAsia="Calibri"/>
          <w:szCs w:val="26"/>
        </w:rPr>
        <w:t>h</w:t>
      </w:r>
      <w:r w:rsidR="00CF5F0A" w:rsidRPr="00C1304C">
        <w:rPr>
          <w:rFonts w:eastAsia="Calibri"/>
          <w:szCs w:val="26"/>
        </w:rPr>
        <w:t xml:space="preserve">owever, </w:t>
      </w:r>
      <w:r w:rsidR="00F94281">
        <w:rPr>
          <w:rFonts w:eastAsia="Calibri"/>
          <w:szCs w:val="26"/>
        </w:rPr>
        <w:t xml:space="preserve">that </w:t>
      </w:r>
      <w:r w:rsidR="00CF5F0A" w:rsidRPr="00C1304C">
        <w:rPr>
          <w:rFonts w:eastAsia="Calibri"/>
          <w:szCs w:val="26"/>
        </w:rPr>
        <w:t>DSC</w:t>
      </w:r>
      <w:r w:rsidR="002061B0">
        <w:rPr>
          <w:rFonts w:eastAsia="Calibri"/>
          <w:szCs w:val="26"/>
        </w:rPr>
        <w:t>’</w:t>
      </w:r>
      <w:r w:rsidR="00CF5F0A" w:rsidRPr="00C1304C">
        <w:rPr>
          <w:rFonts w:eastAsia="Calibri"/>
          <w:szCs w:val="26"/>
        </w:rPr>
        <w:t xml:space="preserve">s claim is not based on the hours worked by Mr. Linde because those hours are not recorded.  </w:t>
      </w:r>
      <w:r w:rsidRPr="00C1304C">
        <w:rPr>
          <w:rFonts w:eastAsia="Calibri"/>
          <w:szCs w:val="26"/>
        </w:rPr>
        <w:t xml:space="preserve">R.D. at 15, </w:t>
      </w:r>
      <w:r w:rsidRPr="0063161C">
        <w:rPr>
          <w:rFonts w:eastAsia="Calibri"/>
          <w:szCs w:val="26"/>
        </w:rPr>
        <w:t>citing</w:t>
      </w:r>
      <w:r w:rsidRPr="00C1304C">
        <w:rPr>
          <w:rFonts w:eastAsia="Calibri"/>
          <w:szCs w:val="26"/>
        </w:rPr>
        <w:t xml:space="preserve">, </w:t>
      </w:r>
      <w:r w:rsidR="00CF5F0A" w:rsidRPr="00C1304C">
        <w:rPr>
          <w:rFonts w:eastAsia="Calibri"/>
          <w:szCs w:val="26"/>
        </w:rPr>
        <w:t xml:space="preserve">OCA St. 1S at 3.  </w:t>
      </w:r>
      <w:r w:rsidRPr="00C1304C">
        <w:rPr>
          <w:rFonts w:eastAsia="Calibri"/>
          <w:szCs w:val="26"/>
        </w:rPr>
        <w:t xml:space="preserve">The ALJ opined that since </w:t>
      </w:r>
      <w:r w:rsidR="00CF5F0A" w:rsidRPr="00C1304C">
        <w:rPr>
          <w:rFonts w:eastAsia="Calibri"/>
          <w:szCs w:val="26"/>
        </w:rPr>
        <w:t xml:space="preserve">Mr. Linde bills DSC on a flat rate basis, the hourly rate justifications are not relevant. </w:t>
      </w:r>
      <w:r w:rsidRPr="00C1304C">
        <w:rPr>
          <w:rFonts w:eastAsia="Calibri"/>
          <w:szCs w:val="26"/>
        </w:rPr>
        <w:t xml:space="preserve"> The ALJ explained that the </w:t>
      </w:r>
      <w:r w:rsidR="00CF5F0A" w:rsidRPr="00C1304C">
        <w:rPr>
          <w:rFonts w:eastAsia="Calibri"/>
          <w:szCs w:val="26"/>
        </w:rPr>
        <w:t>OCA recommend</w:t>
      </w:r>
      <w:r w:rsidRPr="00C1304C">
        <w:rPr>
          <w:rFonts w:eastAsia="Calibri"/>
          <w:szCs w:val="26"/>
        </w:rPr>
        <w:t>ed</w:t>
      </w:r>
      <w:r w:rsidR="00CF5F0A" w:rsidRPr="00C1304C">
        <w:rPr>
          <w:rFonts w:eastAsia="Calibri"/>
          <w:szCs w:val="26"/>
        </w:rPr>
        <w:t xml:space="preserve"> that the </w:t>
      </w:r>
      <w:r w:rsidR="00614924">
        <w:rPr>
          <w:rFonts w:eastAsia="Calibri"/>
          <w:szCs w:val="26"/>
        </w:rPr>
        <w:t xml:space="preserve">allowed </w:t>
      </w:r>
      <w:r w:rsidR="00CF5F0A" w:rsidRPr="00C1304C">
        <w:rPr>
          <w:rFonts w:eastAsia="Calibri"/>
          <w:szCs w:val="26"/>
        </w:rPr>
        <w:t xml:space="preserve">officer and director salaries be </w:t>
      </w:r>
      <w:r w:rsidR="00B81DF0">
        <w:rPr>
          <w:rFonts w:eastAsia="Calibri"/>
          <w:szCs w:val="26"/>
        </w:rPr>
        <w:t xml:space="preserve">set </w:t>
      </w:r>
      <w:r w:rsidR="00B81DF0" w:rsidRPr="00C1304C">
        <w:rPr>
          <w:rFonts w:eastAsia="Calibri"/>
          <w:szCs w:val="26"/>
        </w:rPr>
        <w:t>at</w:t>
      </w:r>
      <w:r w:rsidR="00CF5F0A" w:rsidRPr="00C1304C">
        <w:rPr>
          <w:rFonts w:eastAsia="Calibri"/>
          <w:szCs w:val="26"/>
        </w:rPr>
        <w:t xml:space="preserve"> $6,385</w:t>
      </w:r>
      <w:r w:rsidRPr="00C1304C">
        <w:rPr>
          <w:rFonts w:eastAsia="Calibri"/>
          <w:szCs w:val="26"/>
        </w:rPr>
        <w:t xml:space="preserve"> and </w:t>
      </w:r>
      <w:r w:rsidR="00CF5F0A" w:rsidRPr="00C1304C">
        <w:rPr>
          <w:rFonts w:eastAsia="Calibri"/>
          <w:szCs w:val="26"/>
        </w:rPr>
        <w:t>I&amp;E recommend</w:t>
      </w:r>
      <w:r w:rsidRPr="00C1304C">
        <w:rPr>
          <w:rFonts w:eastAsia="Calibri"/>
          <w:szCs w:val="26"/>
        </w:rPr>
        <w:t>ed</w:t>
      </w:r>
      <w:r w:rsidR="00CF5F0A" w:rsidRPr="00C1304C">
        <w:rPr>
          <w:rFonts w:eastAsia="Calibri"/>
          <w:szCs w:val="26"/>
        </w:rPr>
        <w:t xml:space="preserve"> that it be set at $7,200</w:t>
      </w:r>
      <w:r w:rsidR="00614924">
        <w:rPr>
          <w:rFonts w:eastAsia="Calibri"/>
          <w:szCs w:val="26"/>
        </w:rPr>
        <w:t xml:space="preserve"> (</w:t>
      </w:r>
      <w:r w:rsidR="00CF5F0A" w:rsidRPr="00C1304C">
        <w:rPr>
          <w:rFonts w:eastAsia="Calibri"/>
          <w:szCs w:val="26"/>
        </w:rPr>
        <w:t xml:space="preserve">$100 per hour </w:t>
      </w:r>
      <w:r w:rsidR="00F94281">
        <w:rPr>
          <w:rFonts w:eastAsia="Calibri"/>
          <w:szCs w:val="26"/>
        </w:rPr>
        <w:t>times</w:t>
      </w:r>
      <w:r w:rsidR="00CF5F0A" w:rsidRPr="00C1304C">
        <w:rPr>
          <w:rFonts w:eastAsia="Calibri"/>
          <w:szCs w:val="26"/>
        </w:rPr>
        <w:t xml:space="preserve"> </w:t>
      </w:r>
      <w:r w:rsidR="00F94281">
        <w:rPr>
          <w:rFonts w:eastAsia="Calibri"/>
          <w:szCs w:val="26"/>
        </w:rPr>
        <w:t>6</w:t>
      </w:r>
      <w:r w:rsidR="00F94281" w:rsidRPr="00C1304C">
        <w:rPr>
          <w:rFonts w:eastAsia="Calibri"/>
          <w:szCs w:val="26"/>
        </w:rPr>
        <w:t xml:space="preserve"> </w:t>
      </w:r>
      <w:r w:rsidR="00CF5F0A" w:rsidRPr="00C1304C">
        <w:rPr>
          <w:rFonts w:eastAsia="Calibri"/>
          <w:szCs w:val="26"/>
        </w:rPr>
        <w:t xml:space="preserve">hours </w:t>
      </w:r>
      <w:r w:rsidR="00F94281">
        <w:rPr>
          <w:rFonts w:eastAsia="Calibri"/>
          <w:szCs w:val="26"/>
        </w:rPr>
        <w:t>times</w:t>
      </w:r>
      <w:r w:rsidR="00CF5F0A" w:rsidRPr="00C1304C">
        <w:rPr>
          <w:rFonts w:eastAsia="Calibri"/>
          <w:szCs w:val="26"/>
        </w:rPr>
        <w:t xml:space="preserve"> </w:t>
      </w:r>
      <w:r w:rsidR="00F94281">
        <w:rPr>
          <w:rFonts w:eastAsia="Calibri"/>
          <w:szCs w:val="26"/>
        </w:rPr>
        <w:t>12</w:t>
      </w:r>
      <w:r w:rsidR="00F94281" w:rsidRPr="00C1304C">
        <w:rPr>
          <w:rFonts w:eastAsia="Calibri"/>
          <w:szCs w:val="26"/>
        </w:rPr>
        <w:t xml:space="preserve"> </w:t>
      </w:r>
      <w:r w:rsidR="00CF5F0A" w:rsidRPr="00C1304C">
        <w:rPr>
          <w:rFonts w:eastAsia="Calibri"/>
          <w:szCs w:val="26"/>
        </w:rPr>
        <w:t>months</w:t>
      </w:r>
      <w:r w:rsidR="00614924">
        <w:rPr>
          <w:rFonts w:eastAsia="Calibri"/>
          <w:szCs w:val="26"/>
        </w:rPr>
        <w:t>)</w:t>
      </w:r>
      <w:r w:rsidR="00CF5F0A" w:rsidRPr="00C1304C">
        <w:rPr>
          <w:rFonts w:eastAsia="Calibri"/>
          <w:szCs w:val="26"/>
        </w:rPr>
        <w:t>.</w:t>
      </w:r>
      <w:r w:rsidRPr="00C1304C">
        <w:rPr>
          <w:rFonts w:eastAsia="Calibri"/>
          <w:szCs w:val="26"/>
        </w:rPr>
        <w:t xml:space="preserve">  The ALJ concluded that </w:t>
      </w:r>
      <w:r w:rsidR="00CF5F0A" w:rsidRPr="00C1304C">
        <w:rPr>
          <w:rFonts w:eastAsia="Calibri"/>
          <w:szCs w:val="26"/>
        </w:rPr>
        <w:lastRenderedPageBreak/>
        <w:t xml:space="preserve">Mr. Linde should be paid for his services, but at a rate </w:t>
      </w:r>
      <w:r w:rsidR="00F94281">
        <w:rPr>
          <w:rFonts w:eastAsia="Calibri"/>
          <w:szCs w:val="26"/>
        </w:rPr>
        <w:t xml:space="preserve">that </w:t>
      </w:r>
      <w:r w:rsidR="00CF5F0A" w:rsidRPr="00C1304C">
        <w:rPr>
          <w:rFonts w:eastAsia="Calibri"/>
          <w:szCs w:val="26"/>
        </w:rPr>
        <w:t xml:space="preserve">this small company with only </w:t>
      </w:r>
      <w:r w:rsidR="006541E8">
        <w:rPr>
          <w:rFonts w:eastAsia="Calibri"/>
          <w:szCs w:val="26"/>
        </w:rPr>
        <w:t>thirty-eight</w:t>
      </w:r>
      <w:r w:rsidR="00CF5F0A" w:rsidRPr="00C1304C">
        <w:rPr>
          <w:rFonts w:eastAsia="Calibri"/>
          <w:szCs w:val="26"/>
        </w:rPr>
        <w:t xml:space="preserve"> customers can afford, and at a rate that practically reflects DSC</w:t>
      </w:r>
      <w:r w:rsidR="002061B0">
        <w:rPr>
          <w:rFonts w:eastAsia="Calibri"/>
          <w:szCs w:val="26"/>
        </w:rPr>
        <w:t>’</w:t>
      </w:r>
      <w:r w:rsidR="00CF5F0A" w:rsidRPr="00C1304C">
        <w:rPr>
          <w:rFonts w:eastAsia="Calibri"/>
          <w:szCs w:val="26"/>
        </w:rPr>
        <w:t xml:space="preserve">s ability to pay.  Therefore, </w:t>
      </w:r>
      <w:r w:rsidRPr="00C1304C">
        <w:rPr>
          <w:rFonts w:eastAsia="Calibri"/>
          <w:szCs w:val="26"/>
        </w:rPr>
        <w:t>the ALJ</w:t>
      </w:r>
      <w:r w:rsidR="00CF5F0A" w:rsidRPr="00C1304C">
        <w:rPr>
          <w:rFonts w:eastAsia="Calibri"/>
          <w:szCs w:val="26"/>
        </w:rPr>
        <w:t xml:space="preserve"> recommend</w:t>
      </w:r>
      <w:r w:rsidRPr="00C1304C">
        <w:rPr>
          <w:rFonts w:eastAsia="Calibri"/>
          <w:szCs w:val="26"/>
        </w:rPr>
        <w:t>ed</w:t>
      </w:r>
      <w:r w:rsidR="00CF5F0A" w:rsidRPr="00C1304C">
        <w:rPr>
          <w:rFonts w:eastAsia="Calibri"/>
          <w:szCs w:val="26"/>
        </w:rPr>
        <w:t xml:space="preserve"> officer and director salaries be held at $6,385</w:t>
      </w:r>
      <w:r w:rsidR="00614924">
        <w:rPr>
          <w:rFonts w:eastAsia="Calibri"/>
          <w:szCs w:val="26"/>
        </w:rPr>
        <w:t>, which is the same amount recommended by the OCA</w:t>
      </w:r>
      <w:r w:rsidR="00CF5F0A" w:rsidRPr="00C1304C">
        <w:rPr>
          <w:rFonts w:eastAsia="Calibri"/>
          <w:szCs w:val="26"/>
        </w:rPr>
        <w:t>.</w:t>
      </w:r>
      <w:r w:rsidRPr="00C1304C">
        <w:rPr>
          <w:rFonts w:eastAsia="Calibri"/>
          <w:szCs w:val="26"/>
        </w:rPr>
        <w:t xml:space="preserve"> </w:t>
      </w:r>
      <w:r w:rsidR="00EB6D44">
        <w:rPr>
          <w:rFonts w:eastAsia="Calibri"/>
          <w:szCs w:val="26"/>
        </w:rPr>
        <w:t xml:space="preserve"> </w:t>
      </w:r>
      <w:r w:rsidRPr="00C1304C">
        <w:rPr>
          <w:rFonts w:eastAsia="Calibri"/>
          <w:szCs w:val="26"/>
        </w:rPr>
        <w:t xml:space="preserve">R.D. at 15.  </w:t>
      </w:r>
    </w:p>
    <w:p w:rsidR="00CF5F0A" w:rsidRDefault="00CF5F0A" w:rsidP="00CF5F0A">
      <w:pPr>
        <w:rPr>
          <w:rFonts w:eastAsiaTheme="minorHAnsi"/>
        </w:rPr>
      </w:pPr>
    </w:p>
    <w:p w:rsidR="00EB6D44" w:rsidRPr="00CF5F0A" w:rsidRDefault="00EB6D44" w:rsidP="0063161C">
      <w:pPr>
        <w:pStyle w:val="Heading4"/>
        <w:widowControl w:val="0"/>
        <w:ind w:left="2160" w:hanging="720"/>
        <w:rPr>
          <w:rFonts w:eastAsiaTheme="minorHAnsi"/>
        </w:rPr>
      </w:pPr>
      <w:r>
        <w:rPr>
          <w:rFonts w:eastAsiaTheme="minorHAnsi"/>
        </w:rPr>
        <w:t>Exceptions</w:t>
      </w:r>
    </w:p>
    <w:p w:rsidR="00257CB3" w:rsidRDefault="00257CB3" w:rsidP="0063161C">
      <w:pPr>
        <w:widowControl w:val="0"/>
        <w:rPr>
          <w:rFonts w:eastAsiaTheme="minorHAnsi"/>
        </w:rPr>
      </w:pPr>
    </w:p>
    <w:p w:rsidR="00EB6D44" w:rsidRDefault="00EB6D44" w:rsidP="0063161C">
      <w:pPr>
        <w:widowControl w:val="0"/>
        <w:rPr>
          <w:rFonts w:eastAsiaTheme="minorHAnsi"/>
        </w:rPr>
      </w:pPr>
      <w:r>
        <w:rPr>
          <w:rFonts w:eastAsiaTheme="minorHAnsi"/>
        </w:rPr>
        <w:t xml:space="preserve">DSC submits that Mr. Linde has over </w:t>
      </w:r>
      <w:r w:rsidR="007B395B">
        <w:rPr>
          <w:rFonts w:eastAsiaTheme="minorHAnsi"/>
        </w:rPr>
        <w:t>forty</w:t>
      </w:r>
      <w:r>
        <w:rPr>
          <w:rFonts w:eastAsiaTheme="minorHAnsi"/>
        </w:rPr>
        <w:t xml:space="preserve"> years of executive experience and is the Company</w:t>
      </w:r>
      <w:r w:rsidR="002061B0">
        <w:rPr>
          <w:rFonts w:eastAsiaTheme="minorHAnsi"/>
        </w:rPr>
        <w:t>’</w:t>
      </w:r>
      <w:r>
        <w:rPr>
          <w:rFonts w:eastAsiaTheme="minorHAnsi"/>
        </w:rPr>
        <w:t xml:space="preserve">s decision maker </w:t>
      </w:r>
      <w:r w:rsidR="00614924">
        <w:rPr>
          <w:rFonts w:eastAsiaTheme="minorHAnsi"/>
        </w:rPr>
        <w:t xml:space="preserve">who </w:t>
      </w:r>
      <w:r>
        <w:rPr>
          <w:rFonts w:eastAsiaTheme="minorHAnsi"/>
        </w:rPr>
        <w:t>oversees all Company operations.  The Company avers that although his responsibilities in regard to DSC have not changed since the sale of CTSC, his current efforts in regard to DSC are significant.  In that regard, the Company points to Mr. Linde</w:t>
      </w:r>
      <w:r w:rsidR="002061B0">
        <w:rPr>
          <w:rFonts w:eastAsiaTheme="minorHAnsi"/>
        </w:rPr>
        <w:t>’</w:t>
      </w:r>
      <w:r>
        <w:rPr>
          <w:rFonts w:eastAsiaTheme="minorHAnsi"/>
        </w:rPr>
        <w:t xml:space="preserve">s participation in this rate proceeding and the Section 529 </w:t>
      </w:r>
      <w:r w:rsidR="006541E8">
        <w:rPr>
          <w:rFonts w:eastAsiaTheme="minorHAnsi"/>
        </w:rPr>
        <w:t>P</w:t>
      </w:r>
      <w:r>
        <w:rPr>
          <w:rFonts w:eastAsiaTheme="minorHAnsi"/>
        </w:rPr>
        <w:t xml:space="preserve">etition investigation.  </w:t>
      </w:r>
      <w:r w:rsidR="00FF2F3E">
        <w:rPr>
          <w:rFonts w:eastAsiaTheme="minorHAnsi"/>
        </w:rPr>
        <w:t xml:space="preserve">DSC argues that </w:t>
      </w:r>
      <w:r>
        <w:rPr>
          <w:rFonts w:eastAsiaTheme="minorHAnsi"/>
        </w:rPr>
        <w:t>with the sale of CTSC, economies of scale, which</w:t>
      </w:r>
      <w:r w:rsidR="00FF2F3E">
        <w:rPr>
          <w:rFonts w:eastAsiaTheme="minorHAnsi"/>
        </w:rPr>
        <w:t xml:space="preserve"> </w:t>
      </w:r>
      <w:r>
        <w:rPr>
          <w:rFonts w:eastAsiaTheme="minorHAnsi"/>
        </w:rPr>
        <w:t xml:space="preserve">had theretofore been available between the two companies, are no longer available. </w:t>
      </w:r>
      <w:r w:rsidR="006541E8">
        <w:rPr>
          <w:rFonts w:eastAsiaTheme="minorHAnsi"/>
        </w:rPr>
        <w:t xml:space="preserve"> </w:t>
      </w:r>
      <w:r w:rsidR="00FF2F3E">
        <w:rPr>
          <w:rFonts w:eastAsiaTheme="minorHAnsi"/>
        </w:rPr>
        <w:t xml:space="preserve">Accordingly, </w:t>
      </w:r>
      <w:r w:rsidR="007B395B">
        <w:rPr>
          <w:rFonts w:eastAsiaTheme="minorHAnsi"/>
        </w:rPr>
        <w:t>DSC</w:t>
      </w:r>
      <w:r w:rsidR="00FF2F3E">
        <w:rPr>
          <w:rFonts w:eastAsiaTheme="minorHAnsi"/>
        </w:rPr>
        <w:t xml:space="preserve"> explains that l</w:t>
      </w:r>
      <w:r>
        <w:rPr>
          <w:rFonts w:eastAsiaTheme="minorHAnsi"/>
        </w:rPr>
        <w:t>abor</w:t>
      </w:r>
      <w:r w:rsidR="00FF2F3E">
        <w:rPr>
          <w:rFonts w:eastAsiaTheme="minorHAnsi"/>
        </w:rPr>
        <w:t>-</w:t>
      </w:r>
      <w:r>
        <w:rPr>
          <w:rFonts w:eastAsiaTheme="minorHAnsi"/>
        </w:rPr>
        <w:t>related costs that had been shared between the companies could no longer be shared</w:t>
      </w:r>
      <w:r w:rsidR="00FF2F3E">
        <w:rPr>
          <w:rFonts w:eastAsiaTheme="minorHAnsi"/>
        </w:rPr>
        <w:t>, and therefore, i</w:t>
      </w:r>
      <w:r>
        <w:rPr>
          <w:rFonts w:ascii="Arial" w:eastAsiaTheme="minorHAnsi" w:hAnsi="Arial" w:cs="Arial"/>
          <w:sz w:val="22"/>
          <w:szCs w:val="22"/>
        </w:rPr>
        <w:t xml:space="preserve">t </w:t>
      </w:r>
      <w:r>
        <w:rPr>
          <w:rFonts w:eastAsiaTheme="minorHAnsi"/>
        </w:rPr>
        <w:t>is understandable that the officer compensation is greater now with one company than it was with</w:t>
      </w:r>
      <w:r w:rsidR="00FF2F3E">
        <w:rPr>
          <w:rFonts w:eastAsiaTheme="minorHAnsi"/>
        </w:rPr>
        <w:t xml:space="preserve"> </w:t>
      </w:r>
      <w:r>
        <w:rPr>
          <w:rFonts w:eastAsiaTheme="minorHAnsi"/>
        </w:rPr>
        <w:t>two companies.</w:t>
      </w:r>
      <w:r w:rsidR="00FF2F3E">
        <w:rPr>
          <w:rFonts w:eastAsiaTheme="minorHAnsi"/>
        </w:rPr>
        <w:t xml:space="preserve">  DSC Exc. at 9. </w:t>
      </w:r>
    </w:p>
    <w:p w:rsidR="00257CB3" w:rsidRDefault="00257CB3" w:rsidP="00FF2F3E">
      <w:pPr>
        <w:rPr>
          <w:rFonts w:eastAsiaTheme="minorHAnsi"/>
        </w:rPr>
      </w:pPr>
    </w:p>
    <w:p w:rsidR="00FF2F3E" w:rsidRDefault="00FF2F3E" w:rsidP="00FF2F3E">
      <w:pPr>
        <w:rPr>
          <w:rFonts w:eastAsiaTheme="minorHAnsi"/>
        </w:rPr>
      </w:pPr>
      <w:r>
        <w:rPr>
          <w:rFonts w:eastAsiaTheme="minorHAnsi"/>
        </w:rPr>
        <w:t>In response to the ALJ</w:t>
      </w:r>
      <w:r w:rsidR="002061B0">
        <w:rPr>
          <w:rFonts w:eastAsiaTheme="minorHAnsi"/>
        </w:rPr>
        <w:t>’</w:t>
      </w:r>
      <w:r>
        <w:rPr>
          <w:rFonts w:eastAsiaTheme="minorHAnsi"/>
        </w:rPr>
        <w:t>s finding that hourly rate justifications are not relevant and the allowance should be based on the Company</w:t>
      </w:r>
      <w:r w:rsidR="002061B0">
        <w:rPr>
          <w:rFonts w:eastAsiaTheme="minorHAnsi"/>
        </w:rPr>
        <w:t>’</w:t>
      </w:r>
      <w:r>
        <w:rPr>
          <w:rFonts w:eastAsiaTheme="minorHAnsi"/>
        </w:rPr>
        <w:t>s ability to pay, DSC argues that fundamental principles of ratemaking require that ratemaking claims and allowances be based upon known, measurable</w:t>
      </w:r>
      <w:r w:rsidR="001C7A08">
        <w:rPr>
          <w:rFonts w:eastAsiaTheme="minorHAnsi"/>
        </w:rPr>
        <w:t>,</w:t>
      </w:r>
      <w:r>
        <w:rPr>
          <w:rFonts w:eastAsiaTheme="minorHAnsi"/>
        </w:rPr>
        <w:t xml:space="preserve"> and reasonable expenses. DSC Exc. at 10, </w:t>
      </w:r>
      <w:r w:rsidRPr="0063161C">
        <w:rPr>
          <w:rFonts w:eastAsiaTheme="minorHAnsi"/>
          <w:szCs w:val="26"/>
        </w:rPr>
        <w:t>citing</w:t>
      </w:r>
      <w:r w:rsidRPr="007B395B">
        <w:rPr>
          <w:rFonts w:eastAsiaTheme="minorHAnsi"/>
          <w:szCs w:val="26"/>
        </w:rPr>
        <w:t xml:space="preserve"> </w:t>
      </w:r>
      <w:r w:rsidRPr="007B395B">
        <w:rPr>
          <w:rFonts w:eastAsiaTheme="minorHAnsi"/>
          <w:i/>
          <w:iCs/>
          <w:szCs w:val="26"/>
        </w:rPr>
        <w:t>Pa. PU</w:t>
      </w:r>
      <w:r w:rsidRPr="00B21210">
        <w:rPr>
          <w:rFonts w:eastAsiaTheme="minorHAnsi"/>
          <w:i/>
          <w:szCs w:val="26"/>
        </w:rPr>
        <w:t>C</w:t>
      </w:r>
      <w:r w:rsidRPr="007B395B">
        <w:rPr>
          <w:rFonts w:eastAsiaTheme="minorHAnsi"/>
          <w:szCs w:val="26"/>
        </w:rPr>
        <w:t xml:space="preserve"> v. </w:t>
      </w:r>
      <w:r w:rsidRPr="007B395B">
        <w:rPr>
          <w:rFonts w:eastAsiaTheme="minorHAnsi"/>
          <w:i/>
          <w:iCs/>
          <w:szCs w:val="26"/>
        </w:rPr>
        <w:t>City of Lancaster Sewer Fund</w:t>
      </w:r>
      <w:r>
        <w:rPr>
          <w:rFonts w:eastAsiaTheme="minorHAnsi"/>
          <w:i/>
          <w:iCs/>
          <w:sz w:val="23"/>
          <w:szCs w:val="23"/>
        </w:rPr>
        <w:t xml:space="preserve">, </w:t>
      </w:r>
      <w:r>
        <w:rPr>
          <w:rFonts w:eastAsiaTheme="minorHAnsi"/>
        </w:rPr>
        <w:t>100 Pa.</w:t>
      </w:r>
      <w:r w:rsidR="003C107D">
        <w:rPr>
          <w:rFonts w:eastAsiaTheme="minorHAnsi"/>
        </w:rPr>
        <w:t xml:space="preserve"> </w:t>
      </w:r>
      <w:r>
        <w:rPr>
          <w:rFonts w:eastAsiaTheme="minorHAnsi"/>
        </w:rPr>
        <w:t>P.U.C. 174</w:t>
      </w:r>
      <w:r w:rsidR="003F3866">
        <w:rPr>
          <w:rFonts w:eastAsiaTheme="minorHAnsi"/>
        </w:rPr>
        <w:t xml:space="preserve"> (2005)</w:t>
      </w:r>
      <w:r w:rsidR="0063161C">
        <w:rPr>
          <w:rFonts w:eastAsiaTheme="minorHAnsi"/>
        </w:rPr>
        <w:t xml:space="preserve"> </w:t>
      </w:r>
      <w:r w:rsidR="0000391E" w:rsidRPr="0000391E">
        <w:rPr>
          <w:rFonts w:eastAsiaTheme="minorHAnsi"/>
        </w:rPr>
        <w:t>(</w:t>
      </w:r>
      <w:r w:rsidR="0000391E" w:rsidRPr="0000391E">
        <w:rPr>
          <w:rFonts w:eastAsiaTheme="minorHAnsi"/>
          <w:i/>
        </w:rPr>
        <w:t>City of Lancaster Sewer</w:t>
      </w:r>
      <w:r w:rsidR="0000391E" w:rsidRPr="0000391E">
        <w:rPr>
          <w:rFonts w:eastAsiaTheme="minorHAnsi"/>
        </w:rPr>
        <w:t>)</w:t>
      </w:r>
      <w:r>
        <w:rPr>
          <w:rFonts w:eastAsiaTheme="minorHAnsi"/>
        </w:rPr>
        <w:t>.</w:t>
      </w:r>
    </w:p>
    <w:p w:rsidR="00257CB3" w:rsidRDefault="00257CB3" w:rsidP="00FF2F3E">
      <w:pPr>
        <w:rPr>
          <w:rFonts w:eastAsiaTheme="minorHAnsi"/>
        </w:rPr>
      </w:pPr>
    </w:p>
    <w:p w:rsidR="00FF2F3E" w:rsidRDefault="00EE5AE0" w:rsidP="00FF2F3E">
      <w:pPr>
        <w:rPr>
          <w:rFonts w:eastAsiaTheme="minorHAnsi"/>
        </w:rPr>
      </w:pPr>
      <w:r>
        <w:rPr>
          <w:rFonts w:eastAsiaTheme="minorHAnsi"/>
        </w:rPr>
        <w:t>I&amp;E and the OCA support the ALJ</w:t>
      </w:r>
      <w:r w:rsidR="002061B0">
        <w:rPr>
          <w:rFonts w:eastAsiaTheme="minorHAnsi"/>
        </w:rPr>
        <w:t>’</w:t>
      </w:r>
      <w:r>
        <w:rPr>
          <w:rFonts w:eastAsiaTheme="minorHAnsi"/>
        </w:rPr>
        <w:t>s recommendation.  In its Repl</w:t>
      </w:r>
      <w:r w:rsidR="00DF402B">
        <w:rPr>
          <w:rFonts w:eastAsiaTheme="minorHAnsi"/>
        </w:rPr>
        <w:t>ies to</w:t>
      </w:r>
      <w:r>
        <w:rPr>
          <w:rFonts w:eastAsiaTheme="minorHAnsi"/>
        </w:rPr>
        <w:t xml:space="preserve"> Exceptions, I&amp;E opines that it is not reasonable for DSC customers to charge 126% more for the same services that have been provided in prior years.  I&amp;E R. Exc. at 5.  The OCA </w:t>
      </w:r>
      <w:r>
        <w:rPr>
          <w:rFonts w:eastAsiaTheme="minorHAnsi"/>
        </w:rPr>
        <w:lastRenderedPageBreak/>
        <w:t xml:space="preserve">adds that it is not </w:t>
      </w:r>
      <w:r w:rsidR="00DD284D">
        <w:rPr>
          <w:rFonts w:eastAsiaTheme="minorHAnsi"/>
        </w:rPr>
        <w:t>reasonable for DSC customers to bear the costs that were form</w:t>
      </w:r>
      <w:r w:rsidR="003F3866">
        <w:rPr>
          <w:rFonts w:eastAsiaTheme="minorHAnsi"/>
        </w:rPr>
        <w:t>erly</w:t>
      </w:r>
      <w:r w:rsidR="00DD284D">
        <w:rPr>
          <w:rFonts w:eastAsiaTheme="minorHAnsi"/>
        </w:rPr>
        <w:t xml:space="preserve"> borne by CTS</w:t>
      </w:r>
      <w:r w:rsidR="003F3866">
        <w:rPr>
          <w:rFonts w:eastAsiaTheme="minorHAnsi"/>
        </w:rPr>
        <w:t>C</w:t>
      </w:r>
      <w:r w:rsidR="00DD284D">
        <w:rPr>
          <w:rFonts w:eastAsiaTheme="minorHAnsi"/>
        </w:rPr>
        <w:t xml:space="preserve"> customers or </w:t>
      </w:r>
      <w:r w:rsidR="00614924">
        <w:rPr>
          <w:rFonts w:eastAsiaTheme="minorHAnsi"/>
        </w:rPr>
        <w:t xml:space="preserve">for </w:t>
      </w:r>
      <w:r w:rsidR="00DD284D">
        <w:rPr>
          <w:rFonts w:eastAsiaTheme="minorHAnsi"/>
        </w:rPr>
        <w:t>increased costs without increased services.  OCA R. Exc.at 5.</w:t>
      </w:r>
    </w:p>
    <w:p w:rsidR="00DD284D" w:rsidRDefault="00DD284D" w:rsidP="00FF2F3E">
      <w:pPr>
        <w:rPr>
          <w:rFonts w:eastAsiaTheme="minorHAnsi"/>
        </w:rPr>
      </w:pPr>
    </w:p>
    <w:p w:rsidR="00DD284D" w:rsidRDefault="00DD284D" w:rsidP="00645257">
      <w:pPr>
        <w:pStyle w:val="Heading4"/>
        <w:keepNext/>
        <w:keepLines/>
        <w:ind w:left="2160" w:hanging="720"/>
        <w:rPr>
          <w:rFonts w:eastAsiaTheme="minorHAnsi"/>
        </w:rPr>
      </w:pPr>
      <w:r>
        <w:rPr>
          <w:rFonts w:eastAsiaTheme="minorHAnsi"/>
        </w:rPr>
        <w:t>Disposition</w:t>
      </w:r>
    </w:p>
    <w:p w:rsidR="00645257" w:rsidRDefault="00645257" w:rsidP="00645257">
      <w:pPr>
        <w:rPr>
          <w:rFonts w:eastAsiaTheme="minorHAnsi"/>
        </w:rPr>
      </w:pPr>
    </w:p>
    <w:p w:rsidR="003B5D92" w:rsidRDefault="00645257" w:rsidP="003B5D92">
      <w:pPr>
        <w:rPr>
          <w:rFonts w:eastAsiaTheme="minorHAnsi"/>
        </w:rPr>
      </w:pPr>
      <w:r>
        <w:rPr>
          <w:rFonts w:eastAsiaTheme="minorHAnsi"/>
        </w:rPr>
        <w:t xml:space="preserve">Mr. Linde is </w:t>
      </w:r>
      <w:r w:rsidRPr="008F0562">
        <w:rPr>
          <w:rFonts w:eastAsia="Calibri"/>
        </w:rPr>
        <w:t>DSC</w:t>
      </w:r>
      <w:r w:rsidR="002061B0">
        <w:rPr>
          <w:rFonts w:eastAsia="Calibri"/>
        </w:rPr>
        <w:t>’</w:t>
      </w:r>
      <w:r w:rsidRPr="008F0562">
        <w:rPr>
          <w:rFonts w:eastAsia="Calibri"/>
        </w:rPr>
        <w:t>s only officer/director</w:t>
      </w:r>
      <w:r>
        <w:rPr>
          <w:rFonts w:eastAsia="Calibri"/>
        </w:rPr>
        <w:t>,</w:t>
      </w:r>
      <w:r w:rsidRPr="008F0562">
        <w:rPr>
          <w:rFonts w:eastAsia="Calibri"/>
        </w:rPr>
        <w:t xml:space="preserve"> </w:t>
      </w:r>
      <w:r>
        <w:rPr>
          <w:rFonts w:eastAsia="Calibri"/>
        </w:rPr>
        <w:t xml:space="preserve">owns </w:t>
      </w:r>
      <w:r w:rsidRPr="008F0562">
        <w:rPr>
          <w:rFonts w:eastAsia="Calibri"/>
        </w:rPr>
        <w:t xml:space="preserve">90% </w:t>
      </w:r>
      <w:r>
        <w:rPr>
          <w:rFonts w:eastAsia="Calibri"/>
        </w:rPr>
        <w:t xml:space="preserve">of </w:t>
      </w:r>
      <w:r>
        <w:rPr>
          <w:rFonts w:eastAsiaTheme="minorHAnsi"/>
        </w:rPr>
        <w:t>the Company, is the Company</w:t>
      </w:r>
      <w:r w:rsidR="002061B0">
        <w:rPr>
          <w:rFonts w:eastAsiaTheme="minorHAnsi"/>
        </w:rPr>
        <w:t>’</w:t>
      </w:r>
      <w:r>
        <w:rPr>
          <w:rFonts w:eastAsiaTheme="minorHAnsi"/>
        </w:rPr>
        <w:t>s decision maker</w:t>
      </w:r>
      <w:r w:rsidR="00DF402B">
        <w:rPr>
          <w:rFonts w:eastAsiaTheme="minorHAnsi"/>
        </w:rPr>
        <w:t>,</w:t>
      </w:r>
      <w:r>
        <w:rPr>
          <w:rFonts w:eastAsiaTheme="minorHAnsi"/>
        </w:rPr>
        <w:t xml:space="preserve"> and oversees all Company operations.  As discussed, </w:t>
      </w:r>
      <w:r w:rsidRPr="00645257">
        <w:rPr>
          <w:rFonts w:eastAsiaTheme="minorHAnsi"/>
          <w:i/>
        </w:rPr>
        <w:t>supra</w:t>
      </w:r>
      <w:r>
        <w:rPr>
          <w:rFonts w:eastAsiaTheme="minorHAnsi"/>
        </w:rPr>
        <w:t xml:space="preserve">, </w:t>
      </w:r>
      <w:r w:rsidR="003B5D92">
        <w:rPr>
          <w:rFonts w:eastAsiaTheme="minorHAnsi"/>
        </w:rPr>
        <w:t xml:space="preserve">there are quality of service issues related to the operation of the Company </w:t>
      </w:r>
      <w:r w:rsidR="001C7A08">
        <w:rPr>
          <w:rFonts w:eastAsiaTheme="minorHAnsi"/>
        </w:rPr>
        <w:t xml:space="preserve">that </w:t>
      </w:r>
      <w:r w:rsidR="005C2BDB">
        <w:rPr>
          <w:rFonts w:eastAsiaTheme="minorHAnsi"/>
        </w:rPr>
        <w:t xml:space="preserve">are, </w:t>
      </w:r>
      <w:r w:rsidR="003B5D92" w:rsidRPr="004F0202">
        <w:rPr>
          <w:rFonts w:eastAsiaTheme="minorHAnsi"/>
          <w:i/>
        </w:rPr>
        <w:t>inter alia</w:t>
      </w:r>
      <w:r w:rsidR="003B5D92">
        <w:rPr>
          <w:rFonts w:eastAsiaTheme="minorHAnsi"/>
        </w:rPr>
        <w:t xml:space="preserve">, reducing the useful life of the system and allowing the unpermitted discharge of untreated sewage. </w:t>
      </w:r>
      <w:r w:rsidR="005C2BDB">
        <w:rPr>
          <w:rFonts w:eastAsiaTheme="minorHAnsi"/>
        </w:rPr>
        <w:t xml:space="preserve"> </w:t>
      </w:r>
      <w:r w:rsidR="004958D5">
        <w:rPr>
          <w:rFonts w:eastAsiaTheme="minorHAnsi"/>
        </w:rPr>
        <w:t>In our opinion, t</w:t>
      </w:r>
      <w:r w:rsidR="005C2BDB">
        <w:rPr>
          <w:rFonts w:eastAsiaTheme="minorHAnsi"/>
        </w:rPr>
        <w:t xml:space="preserve">his Company has not been managed in a manner that would ensure the long-term viability of the system.  </w:t>
      </w:r>
      <w:r w:rsidR="003F5781">
        <w:rPr>
          <w:rFonts w:eastAsiaTheme="minorHAnsi"/>
        </w:rPr>
        <w:t>Therefore, pursuant to Sections 523 and 526 of the Code, 66 Pa. C.S. §</w:t>
      </w:r>
      <w:r w:rsidR="003F5781" w:rsidRPr="009A2978">
        <w:rPr>
          <w:rFonts w:eastAsiaTheme="minorHAnsi"/>
        </w:rPr>
        <w:t>§</w:t>
      </w:r>
      <w:r w:rsidR="003F5781">
        <w:rPr>
          <w:rFonts w:eastAsiaTheme="minorHAnsi"/>
        </w:rPr>
        <w:t xml:space="preserve"> 523, 526, </w:t>
      </w:r>
      <w:r w:rsidR="003F5781" w:rsidRPr="00670B27">
        <w:rPr>
          <w:rFonts w:eastAsiaTheme="minorHAnsi"/>
        </w:rPr>
        <w:t xml:space="preserve">we find that </w:t>
      </w:r>
      <w:r w:rsidR="00E6381B" w:rsidRPr="00670B27">
        <w:rPr>
          <w:rFonts w:eastAsiaTheme="minorHAnsi"/>
        </w:rPr>
        <w:t xml:space="preserve">an increase in officer compensation is not warranted.  Moreover, we concur with the ALJ that the </w:t>
      </w:r>
      <w:r w:rsidR="00E6381B" w:rsidRPr="00670B27">
        <w:rPr>
          <w:rFonts w:eastAsia="Calibri"/>
        </w:rPr>
        <w:t xml:space="preserve">services provided by Mr. Linde have not changed during 2013 and 2014, and it is not reasonable to charge DSC customers 126% more for the same services that have been provided in prior years. </w:t>
      </w:r>
      <w:r w:rsidR="004958D5">
        <w:rPr>
          <w:rFonts w:eastAsia="Calibri"/>
        </w:rPr>
        <w:t xml:space="preserve"> </w:t>
      </w:r>
      <w:r w:rsidR="005C2BDB">
        <w:rPr>
          <w:rFonts w:eastAsiaTheme="minorHAnsi"/>
        </w:rPr>
        <w:t>Accordingly, the record in this proceeding does not support a 126% increase in the compensation for the owner/overseer of th</w:t>
      </w:r>
      <w:r w:rsidR="006541E8">
        <w:rPr>
          <w:rFonts w:eastAsiaTheme="minorHAnsi"/>
        </w:rPr>
        <w:t>is</w:t>
      </w:r>
      <w:r w:rsidR="005C2BDB">
        <w:rPr>
          <w:rFonts w:eastAsiaTheme="minorHAnsi"/>
        </w:rPr>
        <w:t xml:space="preserve"> Company</w:t>
      </w:r>
      <w:r w:rsidR="00E6381B">
        <w:rPr>
          <w:rFonts w:eastAsiaTheme="minorHAnsi"/>
        </w:rPr>
        <w:t xml:space="preserve"> and we </w:t>
      </w:r>
      <w:r w:rsidR="007E3B8D">
        <w:rPr>
          <w:rFonts w:eastAsiaTheme="minorHAnsi"/>
        </w:rPr>
        <w:t>shall adopt the ALJ</w:t>
      </w:r>
      <w:r w:rsidR="002061B0">
        <w:rPr>
          <w:rFonts w:eastAsiaTheme="minorHAnsi"/>
        </w:rPr>
        <w:t>’</w:t>
      </w:r>
      <w:r w:rsidR="007E3B8D">
        <w:rPr>
          <w:rFonts w:eastAsiaTheme="minorHAnsi"/>
        </w:rPr>
        <w:t xml:space="preserve">s recommendation that </w:t>
      </w:r>
      <w:r w:rsidR="007E3B8D" w:rsidRPr="00C1304C">
        <w:rPr>
          <w:rFonts w:eastAsia="Calibri"/>
          <w:szCs w:val="26"/>
        </w:rPr>
        <w:t xml:space="preserve">officer and director salaries be held at </w:t>
      </w:r>
      <w:r w:rsidR="004958D5">
        <w:rPr>
          <w:rFonts w:eastAsia="Calibri"/>
          <w:szCs w:val="26"/>
        </w:rPr>
        <w:t xml:space="preserve">the current level of </w:t>
      </w:r>
      <w:r w:rsidR="007E3B8D" w:rsidRPr="00C1304C">
        <w:rPr>
          <w:rFonts w:eastAsia="Calibri"/>
          <w:szCs w:val="26"/>
        </w:rPr>
        <w:t>$6,385</w:t>
      </w:r>
      <w:r w:rsidR="007E3B8D">
        <w:rPr>
          <w:rFonts w:eastAsia="Calibri"/>
          <w:szCs w:val="26"/>
        </w:rPr>
        <w:t>.</w:t>
      </w:r>
    </w:p>
    <w:p w:rsidR="00DD284D" w:rsidRDefault="00DD284D" w:rsidP="00645257">
      <w:pPr>
        <w:keepNext/>
        <w:keepLines/>
        <w:rPr>
          <w:rFonts w:eastAsiaTheme="minorHAnsi"/>
        </w:rPr>
      </w:pPr>
    </w:p>
    <w:p w:rsidR="00DD284D" w:rsidRDefault="00DD284D" w:rsidP="00DD284D">
      <w:pPr>
        <w:pStyle w:val="Heading3"/>
        <w:rPr>
          <w:rFonts w:eastAsiaTheme="minorHAnsi"/>
        </w:rPr>
      </w:pPr>
      <w:bookmarkStart w:id="10" w:name="_Toc425179772"/>
      <w:r>
        <w:rPr>
          <w:rFonts w:eastAsiaTheme="minorHAnsi"/>
        </w:rPr>
        <w:t>Contracted Administrative Services</w:t>
      </w:r>
      <w:bookmarkEnd w:id="10"/>
    </w:p>
    <w:p w:rsidR="00DD284D" w:rsidRDefault="00DD284D" w:rsidP="00FF2F3E">
      <w:pPr>
        <w:rPr>
          <w:rFonts w:eastAsiaTheme="minorHAnsi"/>
        </w:rPr>
      </w:pPr>
    </w:p>
    <w:p w:rsidR="000E4341" w:rsidRPr="00364261" w:rsidRDefault="000E4341" w:rsidP="00364261">
      <w:pPr>
        <w:pStyle w:val="Heading4"/>
        <w:numPr>
          <w:ilvl w:val="0"/>
          <w:numId w:val="28"/>
        </w:numPr>
        <w:ind w:left="2160" w:hanging="720"/>
        <w:rPr>
          <w:rFonts w:eastAsiaTheme="minorHAnsi"/>
        </w:rPr>
      </w:pPr>
      <w:r w:rsidRPr="00364261">
        <w:rPr>
          <w:rFonts w:eastAsiaTheme="minorHAnsi"/>
        </w:rPr>
        <w:t>Company Claim</w:t>
      </w:r>
    </w:p>
    <w:p w:rsidR="000E4341" w:rsidRDefault="000E4341" w:rsidP="00FF2F3E">
      <w:pPr>
        <w:rPr>
          <w:rFonts w:eastAsiaTheme="minorHAnsi"/>
        </w:rPr>
      </w:pPr>
    </w:p>
    <w:p w:rsidR="00DD284D" w:rsidRDefault="00DD284D" w:rsidP="00DD284D">
      <w:pPr>
        <w:rPr>
          <w:rFonts w:eastAsiaTheme="minorHAnsi"/>
        </w:rPr>
      </w:pPr>
      <w:r>
        <w:rPr>
          <w:rFonts w:eastAsiaTheme="minorHAnsi"/>
        </w:rPr>
        <w:t>A.D.S. Support Services (ADS) provides contracted administrative services for DSC at a weekly rate of $750.  The annual ratemaking claim is $39,000.  The Company explained that the services provided by ADS include</w:t>
      </w:r>
      <w:r w:rsidR="000E4341">
        <w:rPr>
          <w:rFonts w:eastAsiaTheme="minorHAnsi"/>
        </w:rPr>
        <w:t>,</w:t>
      </w:r>
      <w:r>
        <w:rPr>
          <w:rFonts w:eastAsiaTheme="minorHAnsi"/>
        </w:rPr>
        <w:t xml:space="preserve"> but are not limited to</w:t>
      </w:r>
      <w:r w:rsidR="000E4341">
        <w:rPr>
          <w:rFonts w:eastAsiaTheme="minorHAnsi"/>
        </w:rPr>
        <w:t>,</w:t>
      </w:r>
      <w:r>
        <w:rPr>
          <w:rFonts w:eastAsiaTheme="minorHAnsi"/>
        </w:rPr>
        <w:t xml:space="preserve"> customer billing, collections, customer response services</w:t>
      </w:r>
      <w:r w:rsidR="00DF402B">
        <w:rPr>
          <w:rFonts w:eastAsiaTheme="minorHAnsi"/>
        </w:rPr>
        <w:t xml:space="preserve"> (</w:t>
      </w:r>
      <w:r>
        <w:rPr>
          <w:rFonts w:eastAsiaTheme="minorHAnsi"/>
        </w:rPr>
        <w:t>including emergencies</w:t>
      </w:r>
      <w:r w:rsidR="00DF402B">
        <w:rPr>
          <w:rFonts w:eastAsiaTheme="minorHAnsi"/>
        </w:rPr>
        <w:t>)</w:t>
      </w:r>
      <w:r>
        <w:rPr>
          <w:rFonts w:eastAsiaTheme="minorHAnsi"/>
        </w:rPr>
        <w:t>, general bookkeeping services, the preparation of the Annual Report to the Commission</w:t>
      </w:r>
      <w:r w:rsidR="00DF402B">
        <w:rPr>
          <w:rFonts w:eastAsiaTheme="minorHAnsi"/>
        </w:rPr>
        <w:t>,</w:t>
      </w:r>
      <w:r>
        <w:rPr>
          <w:rFonts w:eastAsiaTheme="minorHAnsi"/>
        </w:rPr>
        <w:t xml:space="preserve"> </w:t>
      </w:r>
      <w:r>
        <w:rPr>
          <w:rFonts w:eastAsiaTheme="minorHAnsi"/>
        </w:rPr>
        <w:lastRenderedPageBreak/>
        <w:t xml:space="preserve">and support services, as needed, for the rate filing and </w:t>
      </w:r>
      <w:r w:rsidR="006541E8">
        <w:rPr>
          <w:rFonts w:eastAsiaTheme="minorHAnsi"/>
        </w:rPr>
        <w:t>the Section 529 P</w:t>
      </w:r>
      <w:r>
        <w:rPr>
          <w:rFonts w:eastAsiaTheme="minorHAnsi"/>
        </w:rPr>
        <w:t>etition proceeding. DSC St. DMK-1R at 6.</w:t>
      </w:r>
    </w:p>
    <w:p w:rsidR="00DD284D" w:rsidRDefault="00DD284D" w:rsidP="00FF2F3E">
      <w:pPr>
        <w:rPr>
          <w:rFonts w:eastAsiaTheme="minorHAnsi"/>
        </w:rPr>
      </w:pPr>
    </w:p>
    <w:p w:rsidR="000E4341" w:rsidRPr="000E4341" w:rsidRDefault="000E4341" w:rsidP="00795E73">
      <w:pPr>
        <w:pStyle w:val="Heading4"/>
        <w:numPr>
          <w:ilvl w:val="0"/>
          <w:numId w:val="24"/>
        </w:numPr>
        <w:ind w:left="2160" w:hanging="720"/>
        <w:rPr>
          <w:rFonts w:eastAsiaTheme="minorHAnsi"/>
        </w:rPr>
      </w:pPr>
      <w:r w:rsidRPr="000E4341">
        <w:rPr>
          <w:rFonts w:eastAsiaTheme="minorHAnsi"/>
        </w:rPr>
        <w:t>ALJ Recommendation</w:t>
      </w:r>
    </w:p>
    <w:p w:rsidR="000E4341" w:rsidRDefault="000E4341" w:rsidP="00795E73">
      <w:pPr>
        <w:rPr>
          <w:rFonts w:eastAsiaTheme="minorHAnsi"/>
        </w:rPr>
      </w:pPr>
    </w:p>
    <w:p w:rsidR="000E4341" w:rsidRDefault="000E4341" w:rsidP="00795E73">
      <w:pPr>
        <w:rPr>
          <w:rFonts w:eastAsia="Calibri"/>
        </w:rPr>
      </w:pPr>
      <w:r>
        <w:rPr>
          <w:rFonts w:eastAsia="Calibri"/>
        </w:rPr>
        <w:t>The ALJ point</w:t>
      </w:r>
      <w:r w:rsidR="007F2694">
        <w:rPr>
          <w:rFonts w:eastAsia="Calibri"/>
        </w:rPr>
        <w:t xml:space="preserve">ed </w:t>
      </w:r>
      <w:r>
        <w:rPr>
          <w:rFonts w:eastAsia="Calibri"/>
        </w:rPr>
        <w:t>out that the Company</w:t>
      </w:r>
      <w:r w:rsidR="002061B0">
        <w:rPr>
          <w:rFonts w:eastAsia="Calibri"/>
        </w:rPr>
        <w:t>’</w:t>
      </w:r>
      <w:r>
        <w:rPr>
          <w:rFonts w:eastAsia="Calibri"/>
        </w:rPr>
        <w:t>s</w:t>
      </w:r>
      <w:r w:rsidR="007F2694">
        <w:rPr>
          <w:rFonts w:eastAsia="Calibri"/>
        </w:rPr>
        <w:t xml:space="preserve"> claim for </w:t>
      </w:r>
      <w:r w:rsidR="007F2694" w:rsidRPr="00670B27">
        <w:rPr>
          <w:rFonts w:eastAsia="Calibri"/>
        </w:rPr>
        <w:t>contracted administrative services</w:t>
      </w:r>
      <w:r w:rsidR="007F2694" w:rsidRPr="007F2694">
        <w:rPr>
          <w:rFonts w:eastAsia="Calibri"/>
          <w:color w:val="00B050"/>
        </w:rPr>
        <w:t xml:space="preserve"> </w:t>
      </w:r>
      <w:r w:rsidR="007F2694">
        <w:rPr>
          <w:rFonts w:eastAsia="Calibri"/>
        </w:rPr>
        <w:t>has increased from $2,849</w:t>
      </w:r>
      <w:r w:rsidR="007F2694" w:rsidRPr="00455A46">
        <w:rPr>
          <w:rFonts w:eastAsia="Calibri"/>
        </w:rPr>
        <w:t xml:space="preserve">, </w:t>
      </w:r>
      <w:r w:rsidR="007F2694" w:rsidRPr="00670B27">
        <w:rPr>
          <w:rFonts w:eastAsia="Calibri"/>
        </w:rPr>
        <w:t xml:space="preserve">prior to the sale of CTSC, </w:t>
      </w:r>
      <w:r>
        <w:rPr>
          <w:rFonts w:eastAsia="Calibri"/>
        </w:rPr>
        <w:t xml:space="preserve">to </w:t>
      </w:r>
      <w:r w:rsidRPr="008F0562">
        <w:rPr>
          <w:rFonts w:eastAsia="Calibri"/>
        </w:rPr>
        <w:t>$39,000</w:t>
      </w:r>
      <w:r w:rsidR="007F2694">
        <w:rPr>
          <w:rFonts w:eastAsia="Calibri"/>
        </w:rPr>
        <w:t xml:space="preserve">.  </w:t>
      </w:r>
      <w:r w:rsidR="007F2694" w:rsidRPr="00670B27">
        <w:rPr>
          <w:rFonts w:eastAsia="Calibri"/>
        </w:rPr>
        <w:t>The ALJ noted that th</w:t>
      </w:r>
      <w:r w:rsidR="004958D5">
        <w:rPr>
          <w:rFonts w:eastAsia="Calibri"/>
        </w:rPr>
        <w:t xml:space="preserve">e Company’s </w:t>
      </w:r>
      <w:r w:rsidR="007F2694" w:rsidRPr="00670B27">
        <w:rPr>
          <w:rFonts w:eastAsia="Calibri"/>
        </w:rPr>
        <w:t xml:space="preserve">claim </w:t>
      </w:r>
      <w:r w:rsidR="004958D5">
        <w:rPr>
          <w:rFonts w:eastAsia="Calibri"/>
        </w:rPr>
        <w:t xml:space="preserve">for this one expense </w:t>
      </w:r>
      <w:r>
        <w:rPr>
          <w:rFonts w:eastAsia="Calibri"/>
        </w:rPr>
        <w:t xml:space="preserve">would result </w:t>
      </w:r>
      <w:r w:rsidRPr="008F0562">
        <w:rPr>
          <w:rFonts w:eastAsia="Calibri"/>
        </w:rPr>
        <w:t>in an increase of $951 per customer</w:t>
      </w:r>
      <w:r w:rsidR="0040617E">
        <w:rPr>
          <w:rFonts w:eastAsia="Calibri"/>
        </w:rPr>
        <w:t>,</w:t>
      </w:r>
      <w:r w:rsidRPr="008F0562">
        <w:rPr>
          <w:rFonts w:eastAsia="Calibri"/>
        </w:rPr>
        <w:t xml:space="preserve"> per year</w:t>
      </w:r>
      <w:r w:rsidR="00DF402B">
        <w:rPr>
          <w:rFonts w:eastAsia="Calibri"/>
        </w:rPr>
        <w:t>,</w:t>
      </w:r>
      <w:r w:rsidRPr="008F0562">
        <w:rPr>
          <w:rFonts w:eastAsia="Calibri"/>
        </w:rPr>
        <w:t xml:space="preserve"> on top of the </w:t>
      </w:r>
      <w:r w:rsidR="00DF402B">
        <w:rPr>
          <w:rFonts w:eastAsia="Calibri"/>
        </w:rPr>
        <w:t>existing</w:t>
      </w:r>
      <w:r w:rsidR="00DF402B" w:rsidRPr="008F0562">
        <w:rPr>
          <w:rFonts w:eastAsia="Calibri"/>
        </w:rPr>
        <w:t xml:space="preserve"> </w:t>
      </w:r>
      <w:r w:rsidRPr="008F0562">
        <w:rPr>
          <w:rFonts w:eastAsia="Calibri"/>
        </w:rPr>
        <w:t>amount of $75 per customer</w:t>
      </w:r>
      <w:r w:rsidR="0040617E">
        <w:rPr>
          <w:rFonts w:eastAsia="Calibri"/>
        </w:rPr>
        <w:t>,</w:t>
      </w:r>
      <w:r w:rsidRPr="008F0562">
        <w:rPr>
          <w:rFonts w:eastAsia="Calibri"/>
        </w:rPr>
        <w:t xml:space="preserve"> per year</w:t>
      </w:r>
      <w:r>
        <w:rPr>
          <w:rFonts w:eastAsia="Calibri"/>
        </w:rPr>
        <w:t>.</w:t>
      </w:r>
      <w:r w:rsidRPr="008F0562">
        <w:rPr>
          <w:rFonts w:eastAsia="Calibri"/>
        </w:rPr>
        <w:t xml:space="preserve">  </w:t>
      </w:r>
      <w:r w:rsidR="003D66B9">
        <w:rPr>
          <w:rFonts w:eastAsia="Calibri"/>
        </w:rPr>
        <w:t>The ALJ explains that</w:t>
      </w:r>
      <w:r w:rsidR="0040617E">
        <w:rPr>
          <w:rFonts w:eastAsia="Calibri"/>
        </w:rPr>
        <w:t xml:space="preserve"> ADS</w:t>
      </w:r>
      <w:r w:rsidRPr="008F0562">
        <w:rPr>
          <w:rFonts w:eastAsia="Calibri"/>
        </w:rPr>
        <w:t>, a sole proprietorship, provides services only to DSC</w:t>
      </w:r>
      <w:r w:rsidR="003D66B9">
        <w:rPr>
          <w:rFonts w:eastAsia="Calibri"/>
        </w:rPr>
        <w:t xml:space="preserve"> and these services </w:t>
      </w:r>
      <w:r w:rsidRPr="008F0562">
        <w:rPr>
          <w:rFonts w:eastAsia="Calibri"/>
        </w:rPr>
        <w:t xml:space="preserve">are the same as the services provided in 2012, 2013, and 2014.  </w:t>
      </w:r>
      <w:r w:rsidR="003D66B9">
        <w:rPr>
          <w:rFonts w:eastAsia="Calibri"/>
        </w:rPr>
        <w:t>R.D. at</w:t>
      </w:r>
      <w:r w:rsidR="0040617E">
        <w:rPr>
          <w:rFonts w:eastAsia="Calibri"/>
        </w:rPr>
        <w:t xml:space="preserve"> 15</w:t>
      </w:r>
      <w:r w:rsidR="003D66B9">
        <w:rPr>
          <w:rFonts w:eastAsia="Calibri"/>
        </w:rPr>
        <w:t xml:space="preserve">, </w:t>
      </w:r>
      <w:r w:rsidR="003D66B9" w:rsidRPr="007D2AB5">
        <w:rPr>
          <w:rFonts w:eastAsia="Calibri"/>
        </w:rPr>
        <w:t>citing</w:t>
      </w:r>
      <w:r w:rsidR="003D66B9">
        <w:rPr>
          <w:rFonts w:eastAsia="Calibri"/>
        </w:rPr>
        <w:t xml:space="preserve"> </w:t>
      </w:r>
      <w:r w:rsidRPr="008F0562">
        <w:rPr>
          <w:rFonts w:eastAsia="Calibri"/>
        </w:rPr>
        <w:t xml:space="preserve">OCA St. 1 at 16-17.  </w:t>
      </w:r>
      <w:r w:rsidR="003D66B9">
        <w:rPr>
          <w:rFonts w:eastAsia="Calibri"/>
        </w:rPr>
        <w:t>The ALJ observed that the</w:t>
      </w:r>
      <w:r w:rsidRPr="008F0562">
        <w:rPr>
          <w:rFonts w:eastAsia="Calibri"/>
        </w:rPr>
        <w:t xml:space="preserve"> increase in this expense item changed significantly in October 2013</w:t>
      </w:r>
      <w:r w:rsidR="00364261">
        <w:rPr>
          <w:rFonts w:eastAsia="Calibri"/>
        </w:rPr>
        <w:t>,</w:t>
      </w:r>
      <w:r w:rsidR="003D66B9">
        <w:rPr>
          <w:rFonts w:eastAsia="Calibri"/>
        </w:rPr>
        <w:t xml:space="preserve"> and </w:t>
      </w:r>
      <w:r w:rsidRPr="008F0562">
        <w:rPr>
          <w:rFonts w:eastAsia="Calibri"/>
        </w:rPr>
        <w:t xml:space="preserve">the reason appears to be the sale of CTSC in August 2013, after which costs could not be shared between CTSC and DSC.  </w:t>
      </w:r>
      <w:r w:rsidR="003D66B9">
        <w:rPr>
          <w:rFonts w:eastAsia="Calibri"/>
        </w:rPr>
        <w:t>The ALJ opined that it</w:t>
      </w:r>
      <w:r w:rsidRPr="008F0562">
        <w:rPr>
          <w:rFonts w:eastAsia="Calibri"/>
        </w:rPr>
        <w:t xml:space="preserve"> is not reasonable to shift the costs that were being charged to CTSC to DSC</w:t>
      </w:r>
      <w:r w:rsidR="002061B0">
        <w:rPr>
          <w:rFonts w:eastAsia="Calibri"/>
        </w:rPr>
        <w:t>’</w:t>
      </w:r>
      <w:r w:rsidR="0040617E">
        <w:rPr>
          <w:rFonts w:eastAsia="Calibri"/>
        </w:rPr>
        <w:t>s</w:t>
      </w:r>
      <w:r w:rsidRPr="008F0562">
        <w:rPr>
          <w:rFonts w:eastAsia="Calibri"/>
        </w:rPr>
        <w:t xml:space="preserve"> customers</w:t>
      </w:r>
      <w:r w:rsidR="003D66B9">
        <w:rPr>
          <w:rFonts w:eastAsia="Calibri"/>
        </w:rPr>
        <w:t xml:space="preserve"> and </w:t>
      </w:r>
      <w:r w:rsidRPr="008F0562">
        <w:rPr>
          <w:rFonts w:eastAsia="Calibri"/>
        </w:rPr>
        <w:t>DSC</w:t>
      </w:r>
      <w:r w:rsidR="002061B0">
        <w:rPr>
          <w:rFonts w:eastAsia="Calibri"/>
        </w:rPr>
        <w:t>’</w:t>
      </w:r>
      <w:r w:rsidRPr="008F0562">
        <w:rPr>
          <w:rFonts w:eastAsia="Calibri"/>
        </w:rPr>
        <w:t>s customers should not have to pay 1</w:t>
      </w:r>
      <w:r w:rsidR="00364261">
        <w:rPr>
          <w:rFonts w:eastAsia="Calibri"/>
        </w:rPr>
        <w:t>,</w:t>
      </w:r>
      <w:r w:rsidRPr="008F0562">
        <w:rPr>
          <w:rFonts w:eastAsia="Calibri"/>
        </w:rPr>
        <w:t xml:space="preserve">269% more for the same services.  </w:t>
      </w:r>
      <w:r w:rsidR="003D66B9">
        <w:rPr>
          <w:rFonts w:eastAsia="Calibri"/>
        </w:rPr>
        <w:t xml:space="preserve">R.D. at 16. </w:t>
      </w:r>
    </w:p>
    <w:p w:rsidR="000E4341" w:rsidRPr="008F0562" w:rsidRDefault="000E4341" w:rsidP="000E4341">
      <w:pPr>
        <w:rPr>
          <w:rFonts w:eastAsia="Calibri"/>
          <w:sz w:val="24"/>
        </w:rPr>
      </w:pPr>
    </w:p>
    <w:p w:rsidR="007D6985" w:rsidRPr="00FF5769" w:rsidRDefault="007D6985" w:rsidP="007D6985">
      <w:pPr>
        <w:rPr>
          <w:rFonts w:eastAsia="Calibri"/>
          <w:szCs w:val="26"/>
        </w:rPr>
      </w:pPr>
      <w:r w:rsidRPr="00B170C5">
        <w:rPr>
          <w:rFonts w:eastAsia="Calibri"/>
          <w:szCs w:val="26"/>
        </w:rPr>
        <w:t xml:space="preserve">The ALJ found that DSC’s position that the hourly rates for other bookkeepers were similar to the $50 per hour claim is without support. </w:t>
      </w:r>
      <w:r>
        <w:rPr>
          <w:rFonts w:eastAsia="Calibri"/>
          <w:szCs w:val="26"/>
        </w:rPr>
        <w:t xml:space="preserve"> </w:t>
      </w:r>
      <w:r w:rsidRPr="00FF5769">
        <w:rPr>
          <w:rFonts w:eastAsia="Calibri"/>
          <w:szCs w:val="26"/>
        </w:rPr>
        <w:t xml:space="preserve">The ALJ </w:t>
      </w:r>
      <w:r>
        <w:rPr>
          <w:rFonts w:eastAsia="Calibri"/>
          <w:szCs w:val="26"/>
        </w:rPr>
        <w:t>noted</w:t>
      </w:r>
      <w:r w:rsidR="004F73C4">
        <w:rPr>
          <w:rFonts w:eastAsia="Calibri"/>
          <w:szCs w:val="26"/>
        </w:rPr>
        <w:t xml:space="preserve">, but did not adopt </w:t>
      </w:r>
      <w:r w:rsidRPr="00FF5769">
        <w:rPr>
          <w:rFonts w:eastAsia="Calibri"/>
          <w:szCs w:val="26"/>
        </w:rPr>
        <w:t>I&amp;E</w:t>
      </w:r>
      <w:r w:rsidR="004F73C4">
        <w:rPr>
          <w:rFonts w:eastAsia="Calibri"/>
          <w:szCs w:val="26"/>
        </w:rPr>
        <w:t>’s</w:t>
      </w:r>
      <w:r w:rsidRPr="00FF5769">
        <w:rPr>
          <w:rFonts w:eastAsia="Calibri"/>
          <w:szCs w:val="26"/>
        </w:rPr>
        <w:t xml:space="preserve"> recommend</w:t>
      </w:r>
      <w:r w:rsidR="004F73C4">
        <w:rPr>
          <w:rFonts w:eastAsia="Calibri"/>
          <w:szCs w:val="26"/>
        </w:rPr>
        <w:t xml:space="preserve">ation that </w:t>
      </w:r>
      <w:r w:rsidRPr="00FF5769">
        <w:rPr>
          <w:rFonts w:eastAsia="Calibri"/>
          <w:szCs w:val="26"/>
        </w:rPr>
        <w:t xml:space="preserve">$21,949 </w:t>
      </w:r>
      <w:r w:rsidR="004F73C4">
        <w:rPr>
          <w:rFonts w:eastAsia="Calibri"/>
          <w:szCs w:val="26"/>
        </w:rPr>
        <w:t xml:space="preserve">be allowed </w:t>
      </w:r>
      <w:r w:rsidRPr="00FF5769">
        <w:rPr>
          <w:rFonts w:eastAsia="Calibri"/>
          <w:szCs w:val="26"/>
        </w:rPr>
        <w:t xml:space="preserve">for contracted administrative services based upon the Bureau of Labor and Statistics hourly rate of $28.14 ($28.14 </w:t>
      </w:r>
      <w:r>
        <w:rPr>
          <w:rFonts w:eastAsia="Calibri"/>
          <w:szCs w:val="26"/>
        </w:rPr>
        <w:t>times</w:t>
      </w:r>
      <w:r w:rsidRPr="00FF5769">
        <w:rPr>
          <w:rFonts w:eastAsia="Calibri"/>
          <w:szCs w:val="26"/>
        </w:rPr>
        <w:t xml:space="preserve"> 15 hours </w:t>
      </w:r>
      <w:r>
        <w:rPr>
          <w:rFonts w:eastAsia="Calibri"/>
          <w:szCs w:val="26"/>
        </w:rPr>
        <w:t>times</w:t>
      </w:r>
      <w:r w:rsidRPr="00FF5769">
        <w:rPr>
          <w:rFonts w:eastAsia="Calibri"/>
          <w:szCs w:val="26"/>
        </w:rPr>
        <w:t xml:space="preserve"> 52 weeks).  R.D. at 17, </w:t>
      </w:r>
      <w:r w:rsidRPr="000A3ABF">
        <w:rPr>
          <w:rFonts w:eastAsia="Calibri"/>
          <w:szCs w:val="26"/>
        </w:rPr>
        <w:t>citing</w:t>
      </w:r>
      <w:r w:rsidRPr="00FF5769">
        <w:rPr>
          <w:rFonts w:eastAsia="Calibri"/>
          <w:szCs w:val="26"/>
        </w:rPr>
        <w:t xml:space="preserve"> I&amp;E M</w:t>
      </w:r>
      <w:r>
        <w:rPr>
          <w:rFonts w:eastAsia="Calibri"/>
          <w:szCs w:val="26"/>
        </w:rPr>
        <w:t>.</w:t>
      </w:r>
      <w:r w:rsidRPr="00FF5769">
        <w:rPr>
          <w:rFonts w:eastAsia="Calibri"/>
          <w:szCs w:val="26"/>
        </w:rPr>
        <w:t>B</w:t>
      </w:r>
      <w:r>
        <w:rPr>
          <w:rFonts w:eastAsia="Calibri"/>
          <w:szCs w:val="26"/>
        </w:rPr>
        <w:t>.</w:t>
      </w:r>
      <w:r w:rsidRPr="00FF5769">
        <w:rPr>
          <w:rFonts w:eastAsia="Calibri"/>
          <w:szCs w:val="26"/>
        </w:rPr>
        <w:t xml:space="preserve"> at 29.</w:t>
      </w:r>
    </w:p>
    <w:p w:rsidR="007D6985" w:rsidRDefault="007D6985" w:rsidP="003D66B9">
      <w:pPr>
        <w:rPr>
          <w:rFonts w:eastAsia="Calibri"/>
          <w:szCs w:val="26"/>
        </w:rPr>
      </w:pPr>
    </w:p>
    <w:p w:rsidR="000E4341" w:rsidRDefault="003D66B9" w:rsidP="003D66B9">
      <w:pPr>
        <w:rPr>
          <w:rFonts w:eastAsia="Calibri"/>
        </w:rPr>
      </w:pPr>
      <w:r>
        <w:rPr>
          <w:rFonts w:eastAsia="Calibri"/>
        </w:rPr>
        <w:t xml:space="preserve">The ALJ </w:t>
      </w:r>
      <w:r w:rsidR="004F73C4">
        <w:rPr>
          <w:rFonts w:eastAsia="Calibri"/>
        </w:rPr>
        <w:t xml:space="preserve">did, however, find merit in the OCA’s recommendation on this issue.  The ALJ agreed with </w:t>
      </w:r>
      <w:r w:rsidR="000E4341">
        <w:rPr>
          <w:rFonts w:eastAsia="Calibri"/>
        </w:rPr>
        <w:t>the OCA</w:t>
      </w:r>
      <w:r w:rsidR="002061B0">
        <w:rPr>
          <w:rFonts w:eastAsia="Calibri"/>
        </w:rPr>
        <w:t>’</w:t>
      </w:r>
      <w:r w:rsidR="000E4341">
        <w:rPr>
          <w:rFonts w:eastAsia="Calibri"/>
        </w:rPr>
        <w:t xml:space="preserve">s </w:t>
      </w:r>
      <w:r>
        <w:rPr>
          <w:rFonts w:eastAsia="Calibri"/>
        </w:rPr>
        <w:t xml:space="preserve">testimony that </w:t>
      </w:r>
      <w:r w:rsidR="000E4341">
        <w:rPr>
          <w:rFonts w:eastAsia="Calibri"/>
        </w:rPr>
        <w:t>DSC</w:t>
      </w:r>
      <w:r w:rsidR="000E4341" w:rsidRPr="008F0562">
        <w:rPr>
          <w:rFonts w:eastAsia="Calibri"/>
        </w:rPr>
        <w:t xml:space="preserve"> has not supported its claim that the costs represent current competitive market rates to bill and do bookkeeping for a company with </w:t>
      </w:r>
      <w:r w:rsidR="00D120DE">
        <w:rPr>
          <w:rFonts w:eastAsia="Calibri"/>
        </w:rPr>
        <w:t xml:space="preserve">thirty-eight </w:t>
      </w:r>
      <w:r w:rsidR="00B170C5">
        <w:rPr>
          <w:rFonts w:eastAsia="Calibri"/>
        </w:rPr>
        <w:t xml:space="preserve">flat rate </w:t>
      </w:r>
      <w:r w:rsidR="000E4341" w:rsidRPr="008F0562">
        <w:rPr>
          <w:rFonts w:eastAsia="Calibri"/>
        </w:rPr>
        <w:t xml:space="preserve">customers.  </w:t>
      </w:r>
      <w:r>
        <w:rPr>
          <w:rFonts w:eastAsia="Calibri"/>
        </w:rPr>
        <w:t>The ALJ also noted the OCA</w:t>
      </w:r>
      <w:r w:rsidR="002061B0">
        <w:rPr>
          <w:rFonts w:eastAsia="Calibri"/>
        </w:rPr>
        <w:t>’</w:t>
      </w:r>
      <w:r>
        <w:rPr>
          <w:rFonts w:eastAsia="Calibri"/>
        </w:rPr>
        <w:t xml:space="preserve">s testimony that </w:t>
      </w:r>
      <w:r w:rsidR="000E4341" w:rsidRPr="008F0562">
        <w:rPr>
          <w:rFonts w:eastAsia="Calibri"/>
        </w:rPr>
        <w:t xml:space="preserve">it is not prudent to simply pay whatever a vendor requires without searching for a </w:t>
      </w:r>
      <w:r w:rsidR="000E4341" w:rsidRPr="008F0562">
        <w:rPr>
          <w:rFonts w:eastAsia="Calibri"/>
        </w:rPr>
        <w:lastRenderedPageBreak/>
        <w:t xml:space="preserve">more reasonable proposal.  </w:t>
      </w:r>
      <w:r>
        <w:rPr>
          <w:rFonts w:eastAsia="Calibri"/>
        </w:rPr>
        <w:t xml:space="preserve">R.D. at 16, </w:t>
      </w:r>
      <w:r w:rsidRPr="000A3ABF">
        <w:rPr>
          <w:rFonts w:eastAsia="Calibri"/>
        </w:rPr>
        <w:t>citing</w:t>
      </w:r>
      <w:r>
        <w:rPr>
          <w:rFonts w:eastAsia="Calibri"/>
        </w:rPr>
        <w:t xml:space="preserve"> </w:t>
      </w:r>
      <w:r w:rsidRPr="008F0562">
        <w:rPr>
          <w:rFonts w:eastAsia="Calibri"/>
        </w:rPr>
        <w:t xml:space="preserve">OCA St. 1 at 19.  </w:t>
      </w:r>
      <w:r w:rsidR="007D6985">
        <w:rPr>
          <w:rFonts w:eastAsia="Calibri"/>
        </w:rPr>
        <w:t>T</w:t>
      </w:r>
      <w:r w:rsidR="007D6985" w:rsidRPr="007D6985">
        <w:rPr>
          <w:rFonts w:eastAsia="Calibri"/>
        </w:rPr>
        <w:t xml:space="preserve">he </w:t>
      </w:r>
      <w:r w:rsidR="007D6985">
        <w:rPr>
          <w:rFonts w:eastAsia="Calibri"/>
        </w:rPr>
        <w:t xml:space="preserve">OCA recommended that </w:t>
      </w:r>
      <w:r w:rsidR="007D6985" w:rsidRPr="007D6985">
        <w:rPr>
          <w:rFonts w:eastAsia="Calibri"/>
        </w:rPr>
        <w:t xml:space="preserve">Company’s claim for contracted administrative services </w:t>
      </w:r>
      <w:r w:rsidR="004F73C4">
        <w:rPr>
          <w:rFonts w:eastAsia="Calibri"/>
        </w:rPr>
        <w:t xml:space="preserve">be set at </w:t>
      </w:r>
      <w:r w:rsidR="00B170C5">
        <w:rPr>
          <w:rFonts w:eastAsia="Calibri"/>
        </w:rPr>
        <w:t>$</w:t>
      </w:r>
      <w:r w:rsidR="004F73C4">
        <w:rPr>
          <w:rFonts w:eastAsia="Calibri"/>
        </w:rPr>
        <w:t>2,849, which is the amount of DSC’s contracted services from 2012 prior to the sale of CTSC.</w:t>
      </w:r>
    </w:p>
    <w:p w:rsidR="007D6985" w:rsidRDefault="000E4341" w:rsidP="00FF5769">
      <w:pPr>
        <w:rPr>
          <w:rFonts w:eastAsia="Calibri"/>
          <w:szCs w:val="26"/>
        </w:rPr>
      </w:pPr>
      <w:r w:rsidRPr="00FF5769">
        <w:rPr>
          <w:rFonts w:eastAsia="Calibri"/>
          <w:szCs w:val="26"/>
        </w:rPr>
        <w:t xml:space="preserve">  </w:t>
      </w:r>
    </w:p>
    <w:p w:rsidR="000E4341" w:rsidRPr="00FF5769" w:rsidRDefault="007D6985" w:rsidP="00FF5769">
      <w:pPr>
        <w:rPr>
          <w:rFonts w:eastAsia="Calibri"/>
          <w:szCs w:val="26"/>
        </w:rPr>
      </w:pPr>
      <w:r>
        <w:rPr>
          <w:rFonts w:eastAsia="Calibri"/>
          <w:szCs w:val="26"/>
        </w:rPr>
        <w:t>In reaching a determination on this matter, t</w:t>
      </w:r>
      <w:r w:rsidR="00FF5769" w:rsidRPr="00FF5769">
        <w:rPr>
          <w:rFonts w:eastAsia="Calibri"/>
          <w:szCs w:val="26"/>
        </w:rPr>
        <w:t xml:space="preserve">he ALJ observed that </w:t>
      </w:r>
      <w:r w:rsidR="00D120DE">
        <w:rPr>
          <w:rFonts w:eastAsia="Calibri"/>
          <w:szCs w:val="26"/>
        </w:rPr>
        <w:t>ADS</w:t>
      </w:r>
      <w:r w:rsidR="000E4341" w:rsidRPr="00FF5769">
        <w:rPr>
          <w:rFonts w:eastAsia="Calibri"/>
          <w:szCs w:val="26"/>
        </w:rPr>
        <w:t xml:space="preserve"> does not track its hours or provide services on an hourly basis</w:t>
      </w:r>
      <w:r w:rsidR="00FF5769" w:rsidRPr="00FF5769">
        <w:rPr>
          <w:rFonts w:eastAsia="Calibri"/>
          <w:szCs w:val="26"/>
        </w:rPr>
        <w:t xml:space="preserve">, and therefore, </w:t>
      </w:r>
      <w:r w:rsidR="000E4341" w:rsidRPr="00FF5769">
        <w:rPr>
          <w:rFonts w:eastAsia="Calibri"/>
          <w:szCs w:val="26"/>
        </w:rPr>
        <w:t xml:space="preserve">the discussion of the comparability of the hourly rate </w:t>
      </w:r>
      <w:r w:rsidR="004F73C4">
        <w:rPr>
          <w:rFonts w:eastAsia="Calibri"/>
          <w:szCs w:val="26"/>
        </w:rPr>
        <w:t xml:space="preserve">by DSC and I&amp;E </w:t>
      </w:r>
      <w:r w:rsidR="000E4341" w:rsidRPr="00FF5769">
        <w:rPr>
          <w:rFonts w:eastAsia="Calibri"/>
          <w:szCs w:val="26"/>
        </w:rPr>
        <w:t xml:space="preserve">is not relevant.  </w:t>
      </w:r>
      <w:r w:rsidR="00FF5769" w:rsidRPr="00FF5769">
        <w:rPr>
          <w:rFonts w:eastAsia="Calibri"/>
          <w:szCs w:val="26"/>
        </w:rPr>
        <w:t>Th</w:t>
      </w:r>
      <w:r>
        <w:rPr>
          <w:rFonts w:eastAsia="Calibri"/>
          <w:szCs w:val="26"/>
        </w:rPr>
        <w:t>us, th</w:t>
      </w:r>
      <w:r w:rsidR="00FF5769" w:rsidRPr="00FF5769">
        <w:rPr>
          <w:rFonts w:eastAsia="Calibri"/>
          <w:szCs w:val="26"/>
        </w:rPr>
        <w:t>e ALJ adopted the OCA</w:t>
      </w:r>
      <w:r w:rsidR="002061B0">
        <w:rPr>
          <w:rFonts w:eastAsia="Calibri"/>
          <w:szCs w:val="26"/>
        </w:rPr>
        <w:t>’</w:t>
      </w:r>
      <w:r w:rsidR="00FF5769" w:rsidRPr="00FF5769">
        <w:rPr>
          <w:rFonts w:eastAsia="Calibri"/>
          <w:szCs w:val="26"/>
        </w:rPr>
        <w:t xml:space="preserve">s recommendation that the contracted administrative services level of $2,849 </w:t>
      </w:r>
      <w:r w:rsidRPr="00FF5769">
        <w:rPr>
          <w:rFonts w:eastAsia="Calibri"/>
          <w:szCs w:val="26"/>
        </w:rPr>
        <w:t xml:space="preserve">from 2012 </w:t>
      </w:r>
      <w:r w:rsidR="00FF5769" w:rsidRPr="00FF5769">
        <w:rPr>
          <w:rFonts w:eastAsia="Calibri"/>
          <w:szCs w:val="26"/>
        </w:rPr>
        <w:t xml:space="preserve">be used for ratemaking purposes.  R.D. at 17. </w:t>
      </w:r>
    </w:p>
    <w:p w:rsidR="000E4341" w:rsidRDefault="000E4341" w:rsidP="00FF5769">
      <w:pPr>
        <w:rPr>
          <w:rFonts w:eastAsia="Calibri"/>
        </w:rPr>
      </w:pPr>
    </w:p>
    <w:p w:rsidR="00FF5769" w:rsidRDefault="00FF5769" w:rsidP="00364261">
      <w:pPr>
        <w:pStyle w:val="Heading4"/>
        <w:keepNext/>
        <w:ind w:left="2160" w:hanging="720"/>
        <w:rPr>
          <w:rFonts w:eastAsia="Calibri"/>
        </w:rPr>
      </w:pPr>
      <w:r>
        <w:rPr>
          <w:rFonts w:eastAsia="Calibri"/>
        </w:rPr>
        <w:t>Exceptions and Replies</w:t>
      </w:r>
    </w:p>
    <w:p w:rsidR="00FF5769" w:rsidRDefault="00FF5769" w:rsidP="00364261">
      <w:pPr>
        <w:keepNext/>
        <w:rPr>
          <w:rFonts w:eastAsia="Calibri"/>
        </w:rPr>
      </w:pPr>
    </w:p>
    <w:p w:rsidR="00437CDD" w:rsidRPr="00D52349" w:rsidRDefault="00437CDD" w:rsidP="00364261">
      <w:pPr>
        <w:keepNext/>
        <w:rPr>
          <w:rFonts w:eastAsiaTheme="minorHAnsi"/>
          <w:sz w:val="24"/>
        </w:rPr>
      </w:pPr>
      <w:r>
        <w:rPr>
          <w:rFonts w:eastAsiaTheme="minorHAnsi"/>
        </w:rPr>
        <w:t>DSC excepts to the ALJ</w:t>
      </w:r>
      <w:r w:rsidR="004F73C4">
        <w:rPr>
          <w:rFonts w:eastAsiaTheme="minorHAnsi"/>
        </w:rPr>
        <w:t>’s</w:t>
      </w:r>
      <w:r>
        <w:rPr>
          <w:rFonts w:eastAsiaTheme="minorHAnsi"/>
        </w:rPr>
        <w:t xml:space="preserve"> reliance on the OCA</w:t>
      </w:r>
      <w:r w:rsidR="002061B0">
        <w:rPr>
          <w:rFonts w:eastAsiaTheme="minorHAnsi"/>
        </w:rPr>
        <w:t>’</w:t>
      </w:r>
      <w:r>
        <w:rPr>
          <w:rFonts w:eastAsiaTheme="minorHAnsi"/>
        </w:rPr>
        <w:t xml:space="preserve">s </w:t>
      </w:r>
      <w:r w:rsidR="003649B6">
        <w:rPr>
          <w:rFonts w:eastAsiaTheme="minorHAnsi"/>
        </w:rPr>
        <w:t xml:space="preserve">recommendation.  </w:t>
      </w:r>
      <w:r>
        <w:rPr>
          <w:rFonts w:eastAsiaTheme="minorHAnsi"/>
        </w:rPr>
        <w:t>DSC submits that the OCA</w:t>
      </w:r>
      <w:r w:rsidR="002061B0">
        <w:rPr>
          <w:rFonts w:eastAsiaTheme="minorHAnsi"/>
        </w:rPr>
        <w:t>’</w:t>
      </w:r>
      <w:r>
        <w:rPr>
          <w:rFonts w:eastAsiaTheme="minorHAnsi"/>
        </w:rPr>
        <w:t>s analysis is not reflective of the going forward cost of these services and fundamental principles of ratemaking require that ratemaking claims and allowances be based upon known, measurable</w:t>
      </w:r>
      <w:r w:rsidR="001C7A08">
        <w:rPr>
          <w:rFonts w:eastAsiaTheme="minorHAnsi"/>
        </w:rPr>
        <w:t>,</w:t>
      </w:r>
      <w:r>
        <w:rPr>
          <w:rFonts w:eastAsiaTheme="minorHAnsi"/>
        </w:rPr>
        <w:t xml:space="preserve"> and reasonable expenses.</w:t>
      </w:r>
      <w:r w:rsidR="00D120DE">
        <w:rPr>
          <w:rFonts w:eastAsiaTheme="minorHAnsi"/>
        </w:rPr>
        <w:t xml:space="preserve"> </w:t>
      </w:r>
      <w:r>
        <w:rPr>
          <w:rFonts w:eastAsiaTheme="minorHAnsi"/>
        </w:rPr>
        <w:t xml:space="preserve"> DSC Exc. at 11, </w:t>
      </w:r>
      <w:r w:rsidRPr="000A3ABF">
        <w:rPr>
          <w:rFonts w:eastAsiaTheme="minorHAnsi"/>
        </w:rPr>
        <w:t>citing</w:t>
      </w:r>
      <w:r>
        <w:rPr>
          <w:rFonts w:eastAsiaTheme="minorHAnsi"/>
        </w:rPr>
        <w:t xml:space="preserve"> </w:t>
      </w:r>
      <w:r w:rsidRPr="004002B4">
        <w:rPr>
          <w:rFonts w:eastAsiaTheme="minorHAnsi"/>
          <w:i/>
          <w:iCs/>
          <w:szCs w:val="26"/>
        </w:rPr>
        <w:t>City</w:t>
      </w:r>
      <w:r w:rsidR="00422FF6">
        <w:rPr>
          <w:rFonts w:eastAsiaTheme="minorHAnsi"/>
          <w:i/>
          <w:iCs/>
          <w:szCs w:val="26"/>
        </w:rPr>
        <w:t> </w:t>
      </w:r>
      <w:r w:rsidRPr="004002B4">
        <w:rPr>
          <w:rFonts w:eastAsiaTheme="minorHAnsi"/>
          <w:i/>
          <w:iCs/>
          <w:szCs w:val="26"/>
        </w:rPr>
        <w:t>of</w:t>
      </w:r>
      <w:r w:rsidR="00422FF6">
        <w:rPr>
          <w:rFonts w:eastAsiaTheme="minorHAnsi"/>
          <w:i/>
          <w:iCs/>
          <w:szCs w:val="26"/>
        </w:rPr>
        <w:t xml:space="preserve"> </w:t>
      </w:r>
      <w:r w:rsidRPr="004002B4">
        <w:rPr>
          <w:rFonts w:eastAsiaTheme="minorHAnsi"/>
          <w:i/>
          <w:iCs/>
          <w:szCs w:val="26"/>
        </w:rPr>
        <w:t>Lancaster Sewer</w:t>
      </w:r>
      <w:r w:rsidR="00597641" w:rsidRPr="00D52349">
        <w:rPr>
          <w:rFonts w:eastAsiaTheme="minorHAnsi"/>
          <w:sz w:val="24"/>
        </w:rPr>
        <w:t>.</w:t>
      </w:r>
    </w:p>
    <w:p w:rsidR="004002B4" w:rsidRDefault="004002B4" w:rsidP="004002B4">
      <w:pPr>
        <w:rPr>
          <w:rFonts w:eastAsiaTheme="minorHAnsi"/>
          <w:sz w:val="24"/>
        </w:rPr>
      </w:pPr>
    </w:p>
    <w:p w:rsidR="00437CDD" w:rsidRDefault="004002B4" w:rsidP="004002B4">
      <w:pPr>
        <w:rPr>
          <w:rFonts w:eastAsiaTheme="minorHAnsi"/>
        </w:rPr>
      </w:pPr>
      <w:r>
        <w:rPr>
          <w:rFonts w:eastAsiaTheme="minorHAnsi"/>
        </w:rPr>
        <w:t>DSC submits that t</w:t>
      </w:r>
      <w:r w:rsidR="00437CDD">
        <w:rPr>
          <w:rFonts w:eastAsiaTheme="minorHAnsi"/>
        </w:rPr>
        <w:t>he contracted rate for administrative services of $750 per week is known and measurable</w:t>
      </w:r>
      <w:r>
        <w:rPr>
          <w:rFonts w:eastAsiaTheme="minorHAnsi"/>
        </w:rPr>
        <w:t xml:space="preserve"> and has been </w:t>
      </w:r>
      <w:r w:rsidR="00437CDD">
        <w:rPr>
          <w:rFonts w:eastAsiaTheme="minorHAnsi"/>
        </w:rPr>
        <w:t xml:space="preserve">in place since October 2013, when the CTSC wastewater system was sold to PAWC. </w:t>
      </w:r>
      <w:r>
        <w:rPr>
          <w:rFonts w:eastAsiaTheme="minorHAnsi"/>
        </w:rPr>
        <w:t xml:space="preserve"> </w:t>
      </w:r>
      <w:r w:rsidR="006530A2">
        <w:rPr>
          <w:rFonts w:eastAsiaTheme="minorHAnsi"/>
        </w:rPr>
        <w:t>The Company avers that i</w:t>
      </w:r>
      <w:r w:rsidR="00437CDD">
        <w:rPr>
          <w:rFonts w:ascii="Arial" w:eastAsiaTheme="minorHAnsi" w:hAnsi="Arial" w:cs="Arial"/>
          <w:sz w:val="23"/>
          <w:szCs w:val="23"/>
        </w:rPr>
        <w:t xml:space="preserve">t </w:t>
      </w:r>
      <w:r w:rsidR="00437CDD">
        <w:rPr>
          <w:rFonts w:eastAsiaTheme="minorHAnsi"/>
        </w:rPr>
        <w:t xml:space="preserve">is a reasonable rate for the services provided and the experience of the person providing them. </w:t>
      </w:r>
      <w:r w:rsidR="006530A2">
        <w:rPr>
          <w:rFonts w:eastAsiaTheme="minorHAnsi"/>
        </w:rPr>
        <w:t xml:space="preserve"> DSC </w:t>
      </w:r>
      <w:r w:rsidR="00422FF6">
        <w:rPr>
          <w:rFonts w:eastAsiaTheme="minorHAnsi"/>
        </w:rPr>
        <w:t xml:space="preserve">again argues </w:t>
      </w:r>
      <w:r w:rsidR="006530A2">
        <w:rPr>
          <w:rFonts w:eastAsiaTheme="minorHAnsi"/>
        </w:rPr>
        <w:t>that w</w:t>
      </w:r>
      <w:r w:rsidR="00437CDD">
        <w:rPr>
          <w:rFonts w:eastAsiaTheme="minorHAnsi"/>
        </w:rPr>
        <w:t>ith the sale of CTSC, economies of scale, which had theretofore</w:t>
      </w:r>
      <w:r w:rsidR="006530A2">
        <w:rPr>
          <w:rFonts w:eastAsiaTheme="minorHAnsi"/>
        </w:rPr>
        <w:t xml:space="preserve"> </w:t>
      </w:r>
      <w:r w:rsidR="00437CDD">
        <w:rPr>
          <w:rFonts w:eastAsiaTheme="minorHAnsi"/>
        </w:rPr>
        <w:t>been available between the two companies, are no longer available</w:t>
      </w:r>
      <w:r w:rsidR="006530A2">
        <w:rPr>
          <w:rFonts w:eastAsiaTheme="minorHAnsi"/>
        </w:rPr>
        <w:t xml:space="preserve"> and l</w:t>
      </w:r>
      <w:r w:rsidR="00437CDD">
        <w:rPr>
          <w:rFonts w:eastAsiaTheme="minorHAnsi"/>
        </w:rPr>
        <w:t>abor</w:t>
      </w:r>
      <w:r w:rsidR="006530A2">
        <w:rPr>
          <w:rFonts w:eastAsiaTheme="minorHAnsi"/>
        </w:rPr>
        <w:t>-</w:t>
      </w:r>
      <w:r w:rsidR="00437CDD">
        <w:rPr>
          <w:rFonts w:eastAsiaTheme="minorHAnsi"/>
        </w:rPr>
        <w:t xml:space="preserve">related costs that had been shared between the companies could no longer be shared. </w:t>
      </w:r>
      <w:r w:rsidR="006530A2">
        <w:rPr>
          <w:rFonts w:eastAsiaTheme="minorHAnsi"/>
        </w:rPr>
        <w:t xml:space="preserve"> DSC opines that it is </w:t>
      </w:r>
      <w:r w:rsidR="00437CDD">
        <w:rPr>
          <w:rFonts w:eastAsiaTheme="minorHAnsi"/>
        </w:rPr>
        <w:t>understandable that the cost of administering the system is greater now with one company than it was with two companies.</w:t>
      </w:r>
      <w:r w:rsidR="006530A2">
        <w:rPr>
          <w:rFonts w:eastAsiaTheme="minorHAnsi"/>
        </w:rPr>
        <w:t xml:space="preserve">  DSC Exc. at 11. </w:t>
      </w:r>
    </w:p>
    <w:p w:rsidR="00437CDD" w:rsidRDefault="00437CDD" w:rsidP="006530A2">
      <w:pPr>
        <w:rPr>
          <w:rFonts w:eastAsiaTheme="minorHAnsi"/>
        </w:rPr>
      </w:pPr>
    </w:p>
    <w:p w:rsidR="00670C0B" w:rsidRDefault="006530A2" w:rsidP="006530A2">
      <w:pPr>
        <w:rPr>
          <w:rFonts w:eastAsia="Calibri"/>
        </w:rPr>
      </w:pPr>
      <w:r>
        <w:rPr>
          <w:rFonts w:eastAsia="Calibri"/>
        </w:rPr>
        <w:lastRenderedPageBreak/>
        <w:t xml:space="preserve">Both I&amp;E and the OCA </w:t>
      </w:r>
      <w:r w:rsidR="00670C0B">
        <w:rPr>
          <w:rFonts w:eastAsia="Calibri"/>
        </w:rPr>
        <w:t>support the ALJ</w:t>
      </w:r>
      <w:r w:rsidR="002061B0">
        <w:rPr>
          <w:rFonts w:eastAsia="Calibri"/>
        </w:rPr>
        <w:t>’</w:t>
      </w:r>
      <w:r w:rsidR="00670C0B">
        <w:rPr>
          <w:rFonts w:eastAsia="Calibri"/>
        </w:rPr>
        <w:t xml:space="preserve">s recommendation and </w:t>
      </w:r>
      <w:r>
        <w:rPr>
          <w:rFonts w:eastAsia="Calibri"/>
        </w:rPr>
        <w:t>argue that it is not reasonable to shift the costs that were borne by CTSC to DSC</w:t>
      </w:r>
      <w:r w:rsidR="002061B0">
        <w:rPr>
          <w:rFonts w:eastAsia="Calibri"/>
        </w:rPr>
        <w:t>’</w:t>
      </w:r>
      <w:r w:rsidR="00670C0B">
        <w:rPr>
          <w:rFonts w:eastAsia="Calibri"/>
        </w:rPr>
        <w:t>s</w:t>
      </w:r>
      <w:r>
        <w:rPr>
          <w:rFonts w:eastAsia="Calibri"/>
        </w:rPr>
        <w:t xml:space="preserve"> customers and these customers should not have to pay 1,269% more for the same services.  I&amp;E Exc. at 6-7; OCA Exc. at 5-6.  </w:t>
      </w:r>
      <w:r w:rsidR="008E09E3">
        <w:rPr>
          <w:rFonts w:eastAsia="Calibri"/>
        </w:rPr>
        <w:t>In response to the Company</w:t>
      </w:r>
      <w:r w:rsidR="002061B0">
        <w:rPr>
          <w:rFonts w:eastAsia="Calibri"/>
        </w:rPr>
        <w:t>’</w:t>
      </w:r>
      <w:r w:rsidR="008E09E3">
        <w:rPr>
          <w:rFonts w:eastAsia="Calibri"/>
        </w:rPr>
        <w:t xml:space="preserve">s argument that </w:t>
      </w:r>
      <w:r w:rsidR="00670C0B">
        <w:rPr>
          <w:rFonts w:eastAsia="Calibri"/>
        </w:rPr>
        <w:t>historic costs are not representative of future costs, the OCA states that it is important to note that DSC can control the costs by seeking more cost-effective service providers.  The OCA avers that the Company is not required to pay whatever the current provider demands.  OCA</w:t>
      </w:r>
      <w:r w:rsidR="00670B27">
        <w:rPr>
          <w:rFonts w:eastAsia="Calibri"/>
        </w:rPr>
        <w:br/>
      </w:r>
      <w:r w:rsidR="0000391E">
        <w:rPr>
          <w:rFonts w:eastAsia="Calibri"/>
        </w:rPr>
        <w:t> </w:t>
      </w:r>
      <w:r w:rsidR="00670C0B">
        <w:rPr>
          <w:rFonts w:eastAsia="Calibri"/>
        </w:rPr>
        <w:t xml:space="preserve">R. Exc. at 6. </w:t>
      </w:r>
    </w:p>
    <w:p w:rsidR="00670C0B" w:rsidRDefault="00670C0B" w:rsidP="006530A2">
      <w:pPr>
        <w:rPr>
          <w:rFonts w:eastAsia="Calibri"/>
        </w:rPr>
      </w:pPr>
    </w:p>
    <w:p w:rsidR="00437CDD" w:rsidRDefault="00670C0B" w:rsidP="00670C0B">
      <w:pPr>
        <w:pStyle w:val="Heading4"/>
        <w:ind w:left="2160" w:hanging="720"/>
        <w:rPr>
          <w:rFonts w:eastAsia="Calibri"/>
        </w:rPr>
      </w:pPr>
      <w:r>
        <w:rPr>
          <w:rFonts w:eastAsia="Calibri"/>
        </w:rPr>
        <w:t>Disposition</w:t>
      </w:r>
    </w:p>
    <w:p w:rsidR="00670C0B" w:rsidRDefault="00670C0B" w:rsidP="00670C0B">
      <w:pPr>
        <w:rPr>
          <w:rFonts w:eastAsia="Calibri"/>
        </w:rPr>
      </w:pPr>
    </w:p>
    <w:p w:rsidR="00D52349" w:rsidRDefault="00D120DE" w:rsidP="00670C0B">
      <w:pPr>
        <w:rPr>
          <w:rFonts w:eastAsia="Calibri"/>
        </w:rPr>
      </w:pPr>
      <w:r>
        <w:rPr>
          <w:rFonts w:eastAsia="Calibri"/>
        </w:rPr>
        <w:t>We concur with DSC that</w:t>
      </w:r>
      <w:r w:rsidRPr="00D120DE">
        <w:rPr>
          <w:rFonts w:eastAsiaTheme="minorHAnsi"/>
        </w:rPr>
        <w:t xml:space="preserve"> </w:t>
      </w:r>
      <w:r>
        <w:rPr>
          <w:rFonts w:eastAsiaTheme="minorHAnsi"/>
        </w:rPr>
        <w:t>fundamental principles of ratemaking require that ratemaking claims and allowances be based upon known, measurable</w:t>
      </w:r>
      <w:r w:rsidR="001C7A08">
        <w:rPr>
          <w:rFonts w:eastAsiaTheme="minorHAnsi"/>
        </w:rPr>
        <w:t>,</w:t>
      </w:r>
      <w:r>
        <w:rPr>
          <w:rFonts w:eastAsiaTheme="minorHAnsi"/>
        </w:rPr>
        <w:t xml:space="preserve"> and </w:t>
      </w:r>
      <w:r w:rsidRPr="00670B27">
        <w:rPr>
          <w:rFonts w:eastAsiaTheme="minorHAnsi"/>
          <w:i/>
        </w:rPr>
        <w:t>reasonable</w:t>
      </w:r>
      <w:r w:rsidRPr="00670B27">
        <w:rPr>
          <w:rFonts w:eastAsiaTheme="minorHAnsi"/>
        </w:rPr>
        <w:t xml:space="preserve"> </w:t>
      </w:r>
      <w:r>
        <w:rPr>
          <w:rFonts w:eastAsiaTheme="minorHAnsi"/>
        </w:rPr>
        <w:t>expenses.  While the Company</w:t>
      </w:r>
      <w:r w:rsidR="002061B0">
        <w:rPr>
          <w:rFonts w:eastAsiaTheme="minorHAnsi"/>
        </w:rPr>
        <w:t>’</w:t>
      </w:r>
      <w:r>
        <w:rPr>
          <w:rFonts w:eastAsiaTheme="minorHAnsi"/>
        </w:rPr>
        <w:t xml:space="preserve">s </w:t>
      </w:r>
      <w:r w:rsidR="00AC1CB4">
        <w:rPr>
          <w:rFonts w:eastAsiaTheme="minorHAnsi"/>
        </w:rPr>
        <w:t xml:space="preserve">current </w:t>
      </w:r>
      <w:r w:rsidR="007B75D0">
        <w:rPr>
          <w:rFonts w:eastAsiaTheme="minorHAnsi"/>
        </w:rPr>
        <w:t>agreement</w:t>
      </w:r>
      <w:r>
        <w:rPr>
          <w:rFonts w:eastAsiaTheme="minorHAnsi"/>
        </w:rPr>
        <w:t xml:space="preserve"> with ADS</w:t>
      </w:r>
      <w:r w:rsidR="0065507B" w:rsidRPr="0065507B">
        <w:rPr>
          <w:rFonts w:eastAsiaTheme="minorHAnsi"/>
        </w:rPr>
        <w:t>, which does not appear to have been reduced to a formal, written contract,</w:t>
      </w:r>
      <w:r>
        <w:rPr>
          <w:rFonts w:eastAsiaTheme="minorHAnsi"/>
        </w:rPr>
        <w:t xml:space="preserve"> </w:t>
      </w:r>
      <w:r w:rsidRPr="001E72F1">
        <w:rPr>
          <w:rFonts w:eastAsiaTheme="minorHAnsi"/>
          <w:i/>
        </w:rPr>
        <w:t>may</w:t>
      </w:r>
      <w:r>
        <w:rPr>
          <w:rFonts w:eastAsiaTheme="minorHAnsi"/>
        </w:rPr>
        <w:t xml:space="preserve"> be known and measurable, the record indicates that the cost of ADS</w:t>
      </w:r>
      <w:r w:rsidR="002061B0">
        <w:rPr>
          <w:rFonts w:eastAsiaTheme="minorHAnsi"/>
        </w:rPr>
        <w:t>’</w:t>
      </w:r>
      <w:r>
        <w:rPr>
          <w:rFonts w:eastAsiaTheme="minorHAnsi"/>
        </w:rPr>
        <w:t xml:space="preserve"> services that would be included in rates is not reasonable.  </w:t>
      </w:r>
      <w:r w:rsidR="00AE15CF" w:rsidRPr="00670B27">
        <w:rPr>
          <w:rFonts w:eastAsiaTheme="minorHAnsi"/>
        </w:rPr>
        <w:t xml:space="preserve">Initially, we note that </w:t>
      </w:r>
      <w:r w:rsidR="00AE15CF">
        <w:rPr>
          <w:rFonts w:eastAsiaTheme="minorHAnsi"/>
        </w:rPr>
        <w:t>t</w:t>
      </w:r>
      <w:r w:rsidR="00855847">
        <w:rPr>
          <w:rFonts w:eastAsia="Calibri"/>
        </w:rPr>
        <w:t>he Company</w:t>
      </w:r>
      <w:r w:rsidR="002061B0">
        <w:rPr>
          <w:rFonts w:eastAsia="Calibri"/>
        </w:rPr>
        <w:t>’</w:t>
      </w:r>
      <w:r w:rsidR="00855847">
        <w:rPr>
          <w:rFonts w:eastAsia="Calibri"/>
        </w:rPr>
        <w:t xml:space="preserve">s annual claim has increased from $2,849 to </w:t>
      </w:r>
      <w:r w:rsidR="00855847" w:rsidRPr="008F0562">
        <w:rPr>
          <w:rFonts w:eastAsia="Calibri"/>
        </w:rPr>
        <w:t>$39,000</w:t>
      </w:r>
      <w:r w:rsidR="00855847">
        <w:rPr>
          <w:rFonts w:eastAsia="Calibri"/>
        </w:rPr>
        <w:t xml:space="preserve">, which is over $1,000 per </w:t>
      </w:r>
      <w:r w:rsidR="0040617E">
        <w:rPr>
          <w:rFonts w:eastAsia="Calibri"/>
        </w:rPr>
        <w:t>(</w:t>
      </w:r>
      <w:r w:rsidR="00855847">
        <w:rPr>
          <w:rFonts w:eastAsia="Calibri"/>
        </w:rPr>
        <w:t>flat-rate</w:t>
      </w:r>
      <w:r w:rsidR="0040617E">
        <w:rPr>
          <w:rFonts w:eastAsia="Calibri"/>
        </w:rPr>
        <w:t>)</w:t>
      </w:r>
      <w:r w:rsidR="00855847">
        <w:rPr>
          <w:rFonts w:eastAsia="Calibri"/>
        </w:rPr>
        <w:t xml:space="preserve"> customer </w:t>
      </w:r>
      <w:r w:rsidR="0040617E">
        <w:rPr>
          <w:rFonts w:eastAsia="Calibri"/>
        </w:rPr>
        <w:t xml:space="preserve">per year </w:t>
      </w:r>
      <w:r w:rsidR="00855847">
        <w:rPr>
          <w:rFonts w:eastAsia="Calibri"/>
        </w:rPr>
        <w:t>for administrative services</w:t>
      </w:r>
      <w:r w:rsidR="00AC1CB4">
        <w:rPr>
          <w:rFonts w:eastAsia="Calibri"/>
        </w:rPr>
        <w:t xml:space="preserve"> alone</w:t>
      </w:r>
      <w:r w:rsidR="00855847" w:rsidRPr="00670B27">
        <w:rPr>
          <w:rFonts w:eastAsia="Calibri"/>
        </w:rPr>
        <w:t xml:space="preserve">.  </w:t>
      </w:r>
      <w:r w:rsidR="00AE15CF" w:rsidRPr="00670B27">
        <w:rPr>
          <w:rFonts w:eastAsia="Calibri"/>
        </w:rPr>
        <w:t>W</w:t>
      </w:r>
      <w:r w:rsidR="00FB11CB" w:rsidRPr="00670B27">
        <w:rPr>
          <w:rFonts w:eastAsia="Calibri"/>
        </w:rPr>
        <w:t xml:space="preserve">e concur with the ALJ that the level of services provided to DSC are the same as those provided in 2012, 2013, and 2014. </w:t>
      </w:r>
      <w:r w:rsidR="00670B27" w:rsidRPr="00670B27">
        <w:rPr>
          <w:rFonts w:eastAsia="Calibri"/>
        </w:rPr>
        <w:t xml:space="preserve"> </w:t>
      </w:r>
      <w:r w:rsidR="00D52349">
        <w:rPr>
          <w:rFonts w:eastAsia="Calibri"/>
        </w:rPr>
        <w:t xml:space="preserve">We also concur with the OCA that the Company can control these costs by seeking a more cost competitive provider of administrative services.  Accordingly, </w:t>
      </w:r>
      <w:r w:rsidR="00FB11CB" w:rsidRPr="00FB11CB">
        <w:rPr>
          <w:rFonts w:eastAsia="Calibri"/>
        </w:rPr>
        <w:t>we find that the record does not support the 1,269% proposed increase in this claim</w:t>
      </w:r>
      <w:r w:rsidR="00FB11CB">
        <w:rPr>
          <w:rFonts w:eastAsia="Calibri"/>
        </w:rPr>
        <w:t xml:space="preserve"> and </w:t>
      </w:r>
      <w:r w:rsidR="00D52349">
        <w:rPr>
          <w:rFonts w:eastAsia="Calibri"/>
        </w:rPr>
        <w:t>we shall adopt the ALJ</w:t>
      </w:r>
      <w:r w:rsidR="002061B0">
        <w:rPr>
          <w:rFonts w:eastAsia="Calibri"/>
        </w:rPr>
        <w:t>’</w:t>
      </w:r>
      <w:r w:rsidR="00D52349">
        <w:rPr>
          <w:rFonts w:eastAsia="Calibri"/>
        </w:rPr>
        <w:t>s recommendation that th</w:t>
      </w:r>
      <w:r w:rsidR="0040617E">
        <w:rPr>
          <w:rFonts w:eastAsia="Calibri"/>
        </w:rPr>
        <w:t>e</w:t>
      </w:r>
      <w:r w:rsidR="00D52349">
        <w:rPr>
          <w:rFonts w:eastAsia="Calibri"/>
        </w:rPr>
        <w:t xml:space="preserve"> expense level be maintained at $2,849. </w:t>
      </w:r>
    </w:p>
    <w:p w:rsidR="00D120DE" w:rsidRDefault="00D120DE" w:rsidP="00670C0B">
      <w:pPr>
        <w:rPr>
          <w:rFonts w:eastAsia="Calibri"/>
        </w:rPr>
      </w:pPr>
    </w:p>
    <w:p w:rsidR="00670C0B" w:rsidRDefault="0081263A" w:rsidP="000961C2">
      <w:pPr>
        <w:pStyle w:val="Heading3"/>
        <w:rPr>
          <w:rFonts w:eastAsia="Calibri"/>
        </w:rPr>
      </w:pPr>
      <w:bookmarkStart w:id="11" w:name="_Toc425179773"/>
      <w:r>
        <w:rPr>
          <w:rFonts w:eastAsia="Calibri"/>
        </w:rPr>
        <w:lastRenderedPageBreak/>
        <w:t>Operations Management Services</w:t>
      </w:r>
      <w:bookmarkEnd w:id="11"/>
    </w:p>
    <w:p w:rsidR="00670C0B" w:rsidRDefault="00670C0B" w:rsidP="000961C2">
      <w:pPr>
        <w:keepNext/>
        <w:rPr>
          <w:rFonts w:eastAsia="Calibri"/>
        </w:rPr>
      </w:pPr>
    </w:p>
    <w:p w:rsidR="00E20017" w:rsidRPr="00D52349" w:rsidRDefault="00E20017" w:rsidP="000961C2">
      <w:pPr>
        <w:pStyle w:val="Heading4"/>
        <w:keepNext/>
        <w:numPr>
          <w:ilvl w:val="0"/>
          <w:numId w:val="29"/>
        </w:numPr>
        <w:ind w:left="2160" w:hanging="720"/>
        <w:rPr>
          <w:rFonts w:eastAsia="Calibri"/>
        </w:rPr>
      </w:pPr>
      <w:r w:rsidRPr="00D52349">
        <w:rPr>
          <w:rFonts w:eastAsia="Calibri"/>
        </w:rPr>
        <w:t>Company</w:t>
      </w:r>
      <w:r w:rsidR="00116D68" w:rsidRPr="00D52349">
        <w:rPr>
          <w:rFonts w:eastAsia="Calibri"/>
        </w:rPr>
        <w:t xml:space="preserve"> </w:t>
      </w:r>
      <w:r w:rsidRPr="00D52349">
        <w:rPr>
          <w:rFonts w:eastAsia="Calibri"/>
        </w:rPr>
        <w:t>Claim</w:t>
      </w:r>
    </w:p>
    <w:p w:rsidR="00E20017" w:rsidRDefault="00E20017" w:rsidP="000961C2">
      <w:pPr>
        <w:keepNext/>
        <w:rPr>
          <w:rFonts w:eastAsia="Calibri"/>
        </w:rPr>
      </w:pPr>
    </w:p>
    <w:p w:rsidR="00E20017" w:rsidRDefault="00E20017" w:rsidP="000961C2">
      <w:pPr>
        <w:keepNext/>
        <w:rPr>
          <w:rFonts w:eastAsia="Calibri"/>
        </w:rPr>
      </w:pPr>
      <w:r>
        <w:rPr>
          <w:rFonts w:eastAsiaTheme="minorHAnsi"/>
        </w:rPr>
        <w:t xml:space="preserve">The Company explains that RWW Services, Inc. (RWW) provides </w:t>
      </w:r>
      <w:r w:rsidR="0040617E">
        <w:rPr>
          <w:rFonts w:eastAsiaTheme="minorHAnsi"/>
        </w:rPr>
        <w:t>o</w:t>
      </w:r>
      <w:r>
        <w:rPr>
          <w:rFonts w:eastAsiaTheme="minorHAnsi"/>
        </w:rPr>
        <w:t xml:space="preserve">perations </w:t>
      </w:r>
      <w:r w:rsidR="0040617E">
        <w:rPr>
          <w:rFonts w:eastAsiaTheme="minorHAnsi"/>
        </w:rPr>
        <w:t>m</w:t>
      </w:r>
      <w:r>
        <w:rPr>
          <w:rFonts w:eastAsiaTheme="minorHAnsi"/>
        </w:rPr>
        <w:t xml:space="preserve">anagement </w:t>
      </w:r>
      <w:r w:rsidR="0040617E">
        <w:rPr>
          <w:rFonts w:eastAsiaTheme="minorHAnsi"/>
        </w:rPr>
        <w:t>s</w:t>
      </w:r>
      <w:r>
        <w:rPr>
          <w:rFonts w:eastAsiaTheme="minorHAnsi"/>
        </w:rPr>
        <w:t xml:space="preserve">ervices at a monthly rate of $800 for an annual ratemaking claim of $9,600. </w:t>
      </w:r>
      <w:r w:rsidR="00D52349">
        <w:rPr>
          <w:rFonts w:eastAsiaTheme="minorHAnsi"/>
        </w:rPr>
        <w:t xml:space="preserve"> The Company reports that </w:t>
      </w:r>
      <w:r>
        <w:rPr>
          <w:rFonts w:eastAsiaTheme="minorHAnsi"/>
        </w:rPr>
        <w:t>RWW inspects and monitors the sewer facility on a minimum weekly basis</w:t>
      </w:r>
      <w:r w:rsidR="00855847">
        <w:rPr>
          <w:rFonts w:eastAsiaTheme="minorHAnsi"/>
        </w:rPr>
        <w:t xml:space="preserve"> </w:t>
      </w:r>
      <w:r>
        <w:rPr>
          <w:rFonts w:eastAsiaTheme="minorHAnsi"/>
        </w:rPr>
        <w:t>and its services also include minor equipment adjustments.  DSC St. DMK-1R at 6; DSC Exhibit No.1, A-9.</w:t>
      </w:r>
    </w:p>
    <w:p w:rsidR="00E20017" w:rsidRDefault="00E20017" w:rsidP="00E20017">
      <w:pPr>
        <w:rPr>
          <w:rFonts w:eastAsia="Calibri"/>
        </w:rPr>
      </w:pPr>
    </w:p>
    <w:p w:rsidR="00E20017" w:rsidRDefault="00E20017" w:rsidP="00E20017">
      <w:pPr>
        <w:pStyle w:val="Heading4"/>
        <w:ind w:left="2160" w:hanging="720"/>
        <w:rPr>
          <w:rFonts w:eastAsia="Calibri"/>
        </w:rPr>
      </w:pPr>
      <w:r>
        <w:rPr>
          <w:rFonts w:eastAsia="Calibri"/>
        </w:rPr>
        <w:t>ALJ</w:t>
      </w:r>
      <w:r w:rsidR="00116D68">
        <w:rPr>
          <w:rFonts w:eastAsia="Calibri"/>
        </w:rPr>
        <w:t xml:space="preserve"> </w:t>
      </w:r>
      <w:r>
        <w:rPr>
          <w:rFonts w:eastAsia="Calibri"/>
        </w:rPr>
        <w:t>Recommendation</w:t>
      </w:r>
    </w:p>
    <w:p w:rsidR="00E20017" w:rsidRDefault="00E20017" w:rsidP="00E20017">
      <w:pPr>
        <w:rPr>
          <w:rFonts w:eastAsia="Calibri"/>
        </w:rPr>
      </w:pPr>
    </w:p>
    <w:p w:rsidR="001A3477" w:rsidRDefault="00E20017" w:rsidP="00E20017">
      <w:pPr>
        <w:rPr>
          <w:rFonts w:eastAsia="Calibri"/>
        </w:rPr>
      </w:pPr>
      <w:r>
        <w:rPr>
          <w:rFonts w:eastAsia="Calibri"/>
        </w:rPr>
        <w:t>The ALJ noted that the Company</w:t>
      </w:r>
      <w:r w:rsidR="002061B0">
        <w:rPr>
          <w:rFonts w:eastAsia="Calibri"/>
        </w:rPr>
        <w:t>’</w:t>
      </w:r>
      <w:r>
        <w:rPr>
          <w:rFonts w:eastAsia="Calibri"/>
        </w:rPr>
        <w:t xml:space="preserve">s claim for </w:t>
      </w:r>
      <w:r w:rsidR="00C45E7E">
        <w:rPr>
          <w:rFonts w:eastAsia="Calibri"/>
        </w:rPr>
        <w:t>o</w:t>
      </w:r>
      <w:r>
        <w:rPr>
          <w:rFonts w:eastAsia="Calibri"/>
        </w:rPr>
        <w:t xml:space="preserve">perations </w:t>
      </w:r>
      <w:r w:rsidR="00C45E7E">
        <w:rPr>
          <w:rFonts w:eastAsia="Calibri"/>
        </w:rPr>
        <w:t>m</w:t>
      </w:r>
      <w:r>
        <w:rPr>
          <w:rFonts w:eastAsia="Calibri"/>
        </w:rPr>
        <w:t xml:space="preserve">anagement </w:t>
      </w:r>
      <w:r w:rsidR="00C45E7E">
        <w:rPr>
          <w:rFonts w:eastAsia="Calibri"/>
        </w:rPr>
        <w:t>s</w:t>
      </w:r>
      <w:r>
        <w:rPr>
          <w:rFonts w:eastAsia="Calibri"/>
        </w:rPr>
        <w:t xml:space="preserve">ervices </w:t>
      </w:r>
      <w:r w:rsidRPr="008F0562">
        <w:rPr>
          <w:rFonts w:eastAsia="Calibri"/>
        </w:rPr>
        <w:t>is an increase of $5,930 over the 2012 expense of $3,670</w:t>
      </w:r>
      <w:r w:rsidR="00D951CE">
        <w:rPr>
          <w:rFonts w:eastAsia="Calibri"/>
        </w:rPr>
        <w:t xml:space="preserve"> for a total claim of $9,600</w:t>
      </w:r>
      <w:r w:rsidRPr="008F0562">
        <w:rPr>
          <w:rFonts w:eastAsia="Calibri"/>
        </w:rPr>
        <w:t xml:space="preserve">.  </w:t>
      </w:r>
      <w:r>
        <w:rPr>
          <w:rFonts w:eastAsia="Calibri"/>
        </w:rPr>
        <w:t>The ALJ observed that t</w:t>
      </w:r>
      <w:r w:rsidRPr="008F0562">
        <w:rPr>
          <w:rFonts w:eastAsia="Calibri"/>
        </w:rPr>
        <w:t>his expense fluctuated very little prior to the sale of CTSC</w:t>
      </w:r>
      <w:r>
        <w:rPr>
          <w:rFonts w:eastAsia="Calibri"/>
        </w:rPr>
        <w:t xml:space="preserve"> and like the d</w:t>
      </w:r>
      <w:r w:rsidRPr="008F0562">
        <w:rPr>
          <w:rFonts w:eastAsia="Calibri"/>
        </w:rPr>
        <w:t>irectors</w:t>
      </w:r>
      <w:r w:rsidR="002061B0">
        <w:rPr>
          <w:rFonts w:eastAsia="Calibri"/>
        </w:rPr>
        <w:t>’</w:t>
      </w:r>
      <w:r w:rsidRPr="008F0562">
        <w:rPr>
          <w:rFonts w:eastAsia="Calibri"/>
        </w:rPr>
        <w:t xml:space="preserve"> </w:t>
      </w:r>
      <w:r>
        <w:rPr>
          <w:rFonts w:eastAsia="Calibri"/>
        </w:rPr>
        <w:t>expenses</w:t>
      </w:r>
      <w:r w:rsidRPr="008F0562">
        <w:rPr>
          <w:rFonts w:eastAsia="Calibri"/>
        </w:rPr>
        <w:t xml:space="preserve"> and </w:t>
      </w:r>
      <w:r>
        <w:rPr>
          <w:rFonts w:eastAsia="Calibri"/>
        </w:rPr>
        <w:t>contracted administrative s</w:t>
      </w:r>
      <w:r w:rsidRPr="008F0562">
        <w:rPr>
          <w:rFonts w:eastAsia="Calibri"/>
        </w:rPr>
        <w:t xml:space="preserve">ervices, </w:t>
      </w:r>
      <w:r w:rsidR="001A3477">
        <w:rPr>
          <w:rFonts w:eastAsia="Calibri"/>
        </w:rPr>
        <w:t xml:space="preserve">the increase in operations and management expense </w:t>
      </w:r>
      <w:r w:rsidRPr="008F0562">
        <w:rPr>
          <w:rFonts w:eastAsia="Calibri"/>
        </w:rPr>
        <w:t>is due to the shifting of costs from CTSC to DSC</w:t>
      </w:r>
      <w:r w:rsidR="002061B0">
        <w:rPr>
          <w:rFonts w:eastAsia="Calibri"/>
        </w:rPr>
        <w:t>’</w:t>
      </w:r>
      <w:r w:rsidRPr="008F0562">
        <w:rPr>
          <w:rFonts w:eastAsia="Calibri"/>
        </w:rPr>
        <w:t xml:space="preserve">s customers.  </w:t>
      </w:r>
      <w:r w:rsidR="001A3477">
        <w:rPr>
          <w:rFonts w:eastAsia="Calibri"/>
        </w:rPr>
        <w:t xml:space="preserve">R.D. at 17-18, </w:t>
      </w:r>
      <w:r w:rsidR="001A3477" w:rsidRPr="00FB11CB">
        <w:rPr>
          <w:rFonts w:eastAsia="Calibri"/>
        </w:rPr>
        <w:t>citing</w:t>
      </w:r>
      <w:r w:rsidR="001A3477">
        <w:rPr>
          <w:rFonts w:eastAsia="Calibri"/>
        </w:rPr>
        <w:t xml:space="preserve"> </w:t>
      </w:r>
      <w:r w:rsidRPr="008F0562">
        <w:rPr>
          <w:rFonts w:eastAsia="Calibri"/>
        </w:rPr>
        <w:t xml:space="preserve">OCA St. 1 at 20.  </w:t>
      </w:r>
    </w:p>
    <w:p w:rsidR="001A3477" w:rsidRDefault="001A3477" w:rsidP="00E20017">
      <w:pPr>
        <w:rPr>
          <w:rFonts w:eastAsia="Calibri"/>
          <w:sz w:val="24"/>
        </w:rPr>
      </w:pPr>
    </w:p>
    <w:p w:rsidR="00E20017" w:rsidRDefault="001A3477" w:rsidP="001A3477">
      <w:pPr>
        <w:rPr>
          <w:rFonts w:eastAsia="Calibri"/>
        </w:rPr>
      </w:pPr>
      <w:r>
        <w:rPr>
          <w:rFonts w:eastAsia="Calibri"/>
        </w:rPr>
        <w:t xml:space="preserve">The ALJ </w:t>
      </w:r>
      <w:r w:rsidR="00C45E7E">
        <w:rPr>
          <w:rFonts w:eastAsia="Calibri"/>
        </w:rPr>
        <w:t xml:space="preserve">noted </w:t>
      </w:r>
      <w:r>
        <w:rPr>
          <w:rFonts w:eastAsia="Calibri"/>
        </w:rPr>
        <w:t>that I&amp;E suggested that the claim be reduced to $5,823 or $485 per month.</w:t>
      </w:r>
      <w:r w:rsidRPr="008F0562">
        <w:rPr>
          <w:rFonts w:eastAsia="Calibri"/>
        </w:rPr>
        <w:t xml:space="preserve"> </w:t>
      </w:r>
      <w:r>
        <w:rPr>
          <w:rFonts w:eastAsia="Calibri"/>
        </w:rPr>
        <w:t xml:space="preserve"> The ALJ submitted that t</w:t>
      </w:r>
      <w:r w:rsidR="00E20017" w:rsidRPr="008F0562">
        <w:rPr>
          <w:rFonts w:eastAsia="Calibri"/>
        </w:rPr>
        <w:t>here has not been a change in the services provided to DSC customers</w:t>
      </w:r>
      <w:r>
        <w:rPr>
          <w:rFonts w:eastAsia="Calibri"/>
        </w:rPr>
        <w:t xml:space="preserve"> and recommended the OCA</w:t>
      </w:r>
      <w:r w:rsidR="002061B0">
        <w:rPr>
          <w:rFonts w:eastAsia="Calibri"/>
        </w:rPr>
        <w:t>’</w:t>
      </w:r>
      <w:r>
        <w:rPr>
          <w:rFonts w:eastAsia="Calibri"/>
        </w:rPr>
        <w:t>s proposal to adjust the Company</w:t>
      </w:r>
      <w:r w:rsidR="002061B0">
        <w:rPr>
          <w:rFonts w:eastAsia="Calibri"/>
        </w:rPr>
        <w:t>’</w:t>
      </w:r>
      <w:r>
        <w:rPr>
          <w:rFonts w:eastAsia="Calibri"/>
        </w:rPr>
        <w:t xml:space="preserve">s claim to the 2012 level of </w:t>
      </w:r>
      <w:r w:rsidR="00E20017" w:rsidRPr="008F0562">
        <w:rPr>
          <w:rFonts w:eastAsia="Calibri"/>
        </w:rPr>
        <w:t xml:space="preserve">$3,670, which results in an adjustment of $5,930.  </w:t>
      </w:r>
      <w:r>
        <w:rPr>
          <w:rFonts w:eastAsia="Calibri"/>
        </w:rPr>
        <w:t xml:space="preserve">R.D. at 18.  </w:t>
      </w:r>
    </w:p>
    <w:p w:rsidR="00E20017" w:rsidRDefault="00E20017" w:rsidP="00E20017">
      <w:pPr>
        <w:rPr>
          <w:rFonts w:eastAsia="Calibri"/>
        </w:rPr>
      </w:pPr>
    </w:p>
    <w:p w:rsidR="00E20017" w:rsidRDefault="001A3477" w:rsidP="001A3477">
      <w:pPr>
        <w:pStyle w:val="Heading4"/>
        <w:ind w:left="2160" w:hanging="720"/>
        <w:rPr>
          <w:rFonts w:eastAsia="Calibri"/>
        </w:rPr>
      </w:pPr>
      <w:r>
        <w:rPr>
          <w:rFonts w:eastAsia="Calibri"/>
        </w:rPr>
        <w:t>Exceptions and Replies</w:t>
      </w:r>
    </w:p>
    <w:p w:rsidR="00E20017" w:rsidRDefault="00E20017" w:rsidP="00E20017">
      <w:pPr>
        <w:rPr>
          <w:rFonts w:eastAsia="Calibri"/>
        </w:rPr>
      </w:pPr>
    </w:p>
    <w:p w:rsidR="001A3477" w:rsidRDefault="00597641" w:rsidP="00107E3B">
      <w:pPr>
        <w:rPr>
          <w:rFonts w:eastAsiaTheme="minorHAnsi"/>
        </w:rPr>
      </w:pPr>
      <w:r>
        <w:rPr>
          <w:rFonts w:eastAsiaTheme="minorHAnsi"/>
        </w:rPr>
        <w:t xml:space="preserve">As with </w:t>
      </w:r>
      <w:r w:rsidR="00C45E7E">
        <w:rPr>
          <w:rFonts w:eastAsiaTheme="minorHAnsi"/>
        </w:rPr>
        <w:t>c</w:t>
      </w:r>
      <w:r w:rsidRPr="00597641">
        <w:rPr>
          <w:rFonts w:eastAsiaTheme="minorHAnsi"/>
        </w:rPr>
        <w:t xml:space="preserve">ontracted </w:t>
      </w:r>
      <w:r w:rsidR="00C45E7E">
        <w:rPr>
          <w:rFonts w:eastAsiaTheme="minorHAnsi"/>
        </w:rPr>
        <w:t>a</w:t>
      </w:r>
      <w:r w:rsidRPr="00597641">
        <w:rPr>
          <w:rFonts w:eastAsiaTheme="minorHAnsi"/>
        </w:rPr>
        <w:t xml:space="preserve">dministrative </w:t>
      </w:r>
      <w:r w:rsidR="00C45E7E">
        <w:rPr>
          <w:rFonts w:eastAsiaTheme="minorHAnsi"/>
        </w:rPr>
        <w:t>s</w:t>
      </w:r>
      <w:r w:rsidRPr="00597641">
        <w:rPr>
          <w:rFonts w:eastAsiaTheme="minorHAnsi"/>
        </w:rPr>
        <w:t>ervices</w:t>
      </w:r>
      <w:r>
        <w:rPr>
          <w:rFonts w:eastAsiaTheme="minorHAnsi"/>
        </w:rPr>
        <w:t xml:space="preserve"> </w:t>
      </w:r>
      <w:r w:rsidRPr="00597641">
        <w:rPr>
          <w:rFonts w:eastAsiaTheme="minorHAnsi"/>
          <w:i/>
        </w:rPr>
        <w:t>supra</w:t>
      </w:r>
      <w:r>
        <w:rPr>
          <w:rFonts w:eastAsiaTheme="minorHAnsi"/>
        </w:rPr>
        <w:t>, DSC excepts to the ALJ</w:t>
      </w:r>
      <w:r w:rsidR="002061B0">
        <w:rPr>
          <w:rFonts w:eastAsiaTheme="minorHAnsi"/>
        </w:rPr>
        <w:t>’</w:t>
      </w:r>
      <w:r>
        <w:rPr>
          <w:rFonts w:eastAsiaTheme="minorHAnsi"/>
        </w:rPr>
        <w:t>s adoption of the OCA</w:t>
      </w:r>
      <w:r w:rsidR="002061B0">
        <w:rPr>
          <w:rFonts w:eastAsiaTheme="minorHAnsi"/>
        </w:rPr>
        <w:t>’</w:t>
      </w:r>
      <w:r>
        <w:rPr>
          <w:rFonts w:eastAsiaTheme="minorHAnsi"/>
        </w:rPr>
        <w:t>s adjustment because the analysis is not reflective of t</w:t>
      </w:r>
      <w:r w:rsidR="001A3477">
        <w:rPr>
          <w:rFonts w:eastAsiaTheme="minorHAnsi"/>
        </w:rPr>
        <w:t>he going forward cost of the services</w:t>
      </w:r>
      <w:r>
        <w:rPr>
          <w:rFonts w:eastAsiaTheme="minorHAnsi"/>
        </w:rPr>
        <w:t xml:space="preserve"> and f</w:t>
      </w:r>
      <w:r w:rsidR="001A3477">
        <w:rPr>
          <w:rFonts w:eastAsiaTheme="minorHAnsi"/>
        </w:rPr>
        <w:t xml:space="preserve">undamental principles of ratemaking require that </w:t>
      </w:r>
      <w:r w:rsidR="001A3477">
        <w:rPr>
          <w:rFonts w:eastAsiaTheme="minorHAnsi"/>
        </w:rPr>
        <w:lastRenderedPageBreak/>
        <w:t>rate</w:t>
      </w:r>
      <w:r>
        <w:rPr>
          <w:rFonts w:eastAsiaTheme="minorHAnsi"/>
        </w:rPr>
        <w:t>making claim</w:t>
      </w:r>
      <w:r w:rsidR="001A3477">
        <w:rPr>
          <w:rFonts w:eastAsiaTheme="minorHAnsi"/>
        </w:rPr>
        <w:t>s be based upon</w:t>
      </w:r>
      <w:r>
        <w:rPr>
          <w:rFonts w:eastAsiaTheme="minorHAnsi"/>
        </w:rPr>
        <w:t xml:space="preserve"> </w:t>
      </w:r>
      <w:r w:rsidR="001A3477">
        <w:rPr>
          <w:rFonts w:eastAsiaTheme="minorHAnsi"/>
        </w:rPr>
        <w:t>known, measurable</w:t>
      </w:r>
      <w:r w:rsidR="001C7A08">
        <w:rPr>
          <w:rFonts w:eastAsiaTheme="minorHAnsi"/>
        </w:rPr>
        <w:t>,</w:t>
      </w:r>
      <w:r w:rsidR="001A3477">
        <w:rPr>
          <w:rFonts w:eastAsiaTheme="minorHAnsi"/>
        </w:rPr>
        <w:t xml:space="preserve"> and reasonable expenses. </w:t>
      </w:r>
      <w:r>
        <w:rPr>
          <w:rFonts w:eastAsiaTheme="minorHAnsi"/>
        </w:rPr>
        <w:t xml:space="preserve"> DSC Exc. at 12, citing </w:t>
      </w:r>
      <w:r w:rsidR="001A3477" w:rsidRPr="00597641">
        <w:rPr>
          <w:rFonts w:eastAsiaTheme="minorHAnsi"/>
          <w:i/>
          <w:iCs/>
          <w:szCs w:val="26"/>
        </w:rPr>
        <w:t>City</w:t>
      </w:r>
      <w:r w:rsidRPr="00597641">
        <w:rPr>
          <w:rFonts w:eastAsiaTheme="minorHAnsi"/>
          <w:i/>
          <w:iCs/>
          <w:szCs w:val="26"/>
        </w:rPr>
        <w:t xml:space="preserve"> of</w:t>
      </w:r>
      <w:r w:rsidR="001A3477" w:rsidRPr="00597641">
        <w:rPr>
          <w:rFonts w:eastAsiaTheme="minorHAnsi"/>
          <w:szCs w:val="26"/>
        </w:rPr>
        <w:t xml:space="preserve"> </w:t>
      </w:r>
      <w:r w:rsidR="001A3477" w:rsidRPr="00597641">
        <w:rPr>
          <w:rFonts w:eastAsiaTheme="minorHAnsi"/>
          <w:i/>
          <w:iCs/>
          <w:szCs w:val="26"/>
        </w:rPr>
        <w:t>Lancaster</w:t>
      </w:r>
      <w:r w:rsidR="0065507B">
        <w:rPr>
          <w:rFonts w:eastAsiaTheme="minorHAnsi"/>
          <w:i/>
          <w:iCs/>
          <w:szCs w:val="26"/>
        </w:rPr>
        <w:t xml:space="preserve"> Sewer</w:t>
      </w:r>
      <w:r w:rsidRPr="00597641">
        <w:rPr>
          <w:rFonts w:eastAsiaTheme="minorHAnsi"/>
          <w:i/>
          <w:iCs/>
          <w:szCs w:val="26"/>
        </w:rPr>
        <w:t xml:space="preserve">, supra. </w:t>
      </w:r>
      <w:r w:rsidR="001A3477" w:rsidRPr="00597641">
        <w:rPr>
          <w:rFonts w:eastAsiaTheme="minorHAnsi"/>
          <w:i/>
          <w:iCs/>
          <w:szCs w:val="26"/>
        </w:rPr>
        <w:t xml:space="preserve"> </w:t>
      </w:r>
      <w:r w:rsidRPr="00597641">
        <w:rPr>
          <w:rFonts w:eastAsiaTheme="minorHAnsi"/>
          <w:iCs/>
          <w:szCs w:val="26"/>
        </w:rPr>
        <w:t>The Company argues that t</w:t>
      </w:r>
      <w:r w:rsidR="001A3477" w:rsidRPr="00597641">
        <w:rPr>
          <w:rFonts w:eastAsiaTheme="minorHAnsi"/>
        </w:rPr>
        <w:t>he</w:t>
      </w:r>
      <w:r w:rsidR="001A3477">
        <w:rPr>
          <w:rFonts w:eastAsiaTheme="minorHAnsi"/>
        </w:rPr>
        <w:t xml:space="preserve"> rate for operations management services of $800 per month is known and</w:t>
      </w:r>
      <w:r>
        <w:rPr>
          <w:rFonts w:eastAsiaTheme="minorHAnsi"/>
        </w:rPr>
        <w:t xml:space="preserve"> invoices of the expense were provided. </w:t>
      </w:r>
      <w:r w:rsidR="001A3477">
        <w:rPr>
          <w:rFonts w:eastAsiaTheme="minorHAnsi"/>
        </w:rPr>
        <w:t xml:space="preserve"> </w:t>
      </w:r>
      <w:r>
        <w:rPr>
          <w:rFonts w:eastAsiaTheme="minorHAnsi"/>
        </w:rPr>
        <w:t xml:space="preserve">DSC </w:t>
      </w:r>
      <w:r w:rsidR="00107E3B">
        <w:rPr>
          <w:rFonts w:eastAsiaTheme="minorHAnsi"/>
        </w:rPr>
        <w:t>opines</w:t>
      </w:r>
      <w:r>
        <w:rPr>
          <w:rFonts w:eastAsiaTheme="minorHAnsi"/>
        </w:rPr>
        <w:t xml:space="preserve"> that </w:t>
      </w:r>
      <w:r w:rsidR="00EE6811">
        <w:rPr>
          <w:rFonts w:eastAsiaTheme="minorHAnsi"/>
        </w:rPr>
        <w:t xml:space="preserve">its </w:t>
      </w:r>
      <w:r w:rsidR="00107E3B">
        <w:rPr>
          <w:rFonts w:eastAsiaTheme="minorHAnsi"/>
        </w:rPr>
        <w:t xml:space="preserve">claim is reasonable for the services provided and for the experienced and licensed provider who provides them.  The Company explains that with the sale of </w:t>
      </w:r>
      <w:r w:rsidR="001A3477">
        <w:rPr>
          <w:rFonts w:eastAsiaTheme="minorHAnsi"/>
        </w:rPr>
        <w:t>the CTSC system, there</w:t>
      </w:r>
      <w:r w:rsidR="00107E3B">
        <w:rPr>
          <w:rFonts w:eastAsiaTheme="minorHAnsi"/>
        </w:rPr>
        <w:t xml:space="preserve"> </w:t>
      </w:r>
      <w:r w:rsidR="001A3477">
        <w:rPr>
          <w:rFonts w:eastAsiaTheme="minorHAnsi"/>
        </w:rPr>
        <w:t xml:space="preserve">are no longer any economies of scale savings for the benefit of DSC and its customers. </w:t>
      </w:r>
      <w:r w:rsidR="00107E3B">
        <w:rPr>
          <w:rFonts w:eastAsiaTheme="minorHAnsi"/>
        </w:rPr>
        <w:t xml:space="preserve"> DSC Exc. at 12.</w:t>
      </w:r>
    </w:p>
    <w:p w:rsidR="00E20017" w:rsidRDefault="00E20017" w:rsidP="00597641">
      <w:pPr>
        <w:rPr>
          <w:rFonts w:eastAsia="Calibri"/>
        </w:rPr>
      </w:pPr>
    </w:p>
    <w:p w:rsidR="00E20017" w:rsidRDefault="00107E3B" w:rsidP="00E20017">
      <w:pPr>
        <w:rPr>
          <w:rFonts w:eastAsia="Calibri"/>
        </w:rPr>
      </w:pPr>
      <w:r>
        <w:rPr>
          <w:rFonts w:eastAsia="Calibri"/>
        </w:rPr>
        <w:t>In response to the Company</w:t>
      </w:r>
      <w:r w:rsidR="002061B0">
        <w:rPr>
          <w:rFonts w:eastAsia="Calibri"/>
        </w:rPr>
        <w:t>’</w:t>
      </w:r>
      <w:r>
        <w:rPr>
          <w:rFonts w:eastAsia="Calibri"/>
        </w:rPr>
        <w:t>s argument that the OCA</w:t>
      </w:r>
      <w:r w:rsidR="002061B0">
        <w:rPr>
          <w:rFonts w:eastAsia="Calibri"/>
        </w:rPr>
        <w:t>’</w:t>
      </w:r>
      <w:r>
        <w:rPr>
          <w:rFonts w:eastAsia="Calibri"/>
        </w:rPr>
        <w:t>s proposed allowance is not reflective of going forward costs, the OCA submits that the evidence shows that there has not been any change in the services in 2012, 2103</w:t>
      </w:r>
      <w:r w:rsidR="0065507B">
        <w:rPr>
          <w:rFonts w:eastAsia="Calibri"/>
        </w:rPr>
        <w:t>,</w:t>
      </w:r>
      <w:r>
        <w:rPr>
          <w:rFonts w:eastAsia="Calibri"/>
        </w:rPr>
        <w:t xml:space="preserve"> and 2014.  The OCA states that there is no evidence that the services will change going forward.  OCA R. Exc. at 7.  Both I&amp;E and the OCA support the ALJ</w:t>
      </w:r>
      <w:r w:rsidR="002061B0">
        <w:rPr>
          <w:rFonts w:eastAsia="Calibri"/>
        </w:rPr>
        <w:t>’</w:t>
      </w:r>
      <w:r>
        <w:rPr>
          <w:rFonts w:eastAsia="Calibri"/>
        </w:rPr>
        <w:t xml:space="preserve">s </w:t>
      </w:r>
      <w:r w:rsidR="002C123C">
        <w:rPr>
          <w:rFonts w:eastAsia="Calibri"/>
        </w:rPr>
        <w:t>recommendation.  I&amp;E R.</w:t>
      </w:r>
      <w:r w:rsidR="00FB11CB">
        <w:rPr>
          <w:rFonts w:eastAsia="Calibri"/>
        </w:rPr>
        <w:t xml:space="preserve"> </w:t>
      </w:r>
      <w:r w:rsidR="002C123C">
        <w:rPr>
          <w:rFonts w:eastAsia="Calibri"/>
        </w:rPr>
        <w:t>E</w:t>
      </w:r>
      <w:r w:rsidR="0065507B">
        <w:rPr>
          <w:rFonts w:eastAsia="Calibri"/>
        </w:rPr>
        <w:t>xc</w:t>
      </w:r>
      <w:r w:rsidR="002C123C">
        <w:rPr>
          <w:rFonts w:eastAsia="Calibri"/>
        </w:rPr>
        <w:t>.</w:t>
      </w:r>
      <w:r w:rsidR="00670B27">
        <w:rPr>
          <w:rFonts w:eastAsia="Calibri"/>
        </w:rPr>
        <w:t xml:space="preserve"> </w:t>
      </w:r>
      <w:r w:rsidR="00EE6811">
        <w:rPr>
          <w:rFonts w:eastAsia="Calibri"/>
        </w:rPr>
        <w:t>at </w:t>
      </w:r>
      <w:r w:rsidR="002C123C">
        <w:rPr>
          <w:rFonts w:eastAsia="Calibri"/>
        </w:rPr>
        <w:t xml:space="preserve">8; OCA R. Exc. at 7.  </w:t>
      </w:r>
    </w:p>
    <w:p w:rsidR="00191589" w:rsidRDefault="00191589" w:rsidP="00E20017">
      <w:pPr>
        <w:rPr>
          <w:rFonts w:eastAsia="Calibri"/>
        </w:rPr>
      </w:pPr>
    </w:p>
    <w:p w:rsidR="00191589" w:rsidRDefault="00191589" w:rsidP="00191589">
      <w:pPr>
        <w:pStyle w:val="Heading4"/>
        <w:ind w:left="2160" w:hanging="720"/>
        <w:rPr>
          <w:rFonts w:eastAsia="Calibri"/>
        </w:rPr>
      </w:pPr>
      <w:r>
        <w:rPr>
          <w:rFonts w:eastAsia="Calibri"/>
        </w:rPr>
        <w:t>Disposition</w:t>
      </w:r>
    </w:p>
    <w:p w:rsidR="00191589" w:rsidRDefault="00191589" w:rsidP="00191589">
      <w:pPr>
        <w:rPr>
          <w:rFonts w:eastAsia="Calibri"/>
        </w:rPr>
      </w:pPr>
    </w:p>
    <w:p w:rsidR="00191589" w:rsidRDefault="00021C92" w:rsidP="00191589">
      <w:pPr>
        <w:rPr>
          <w:rFonts w:eastAsia="Calibri"/>
        </w:rPr>
      </w:pPr>
      <w:r w:rsidRPr="00DB64EC">
        <w:rPr>
          <w:rFonts w:eastAsia="Calibri"/>
        </w:rPr>
        <w:t>T</w:t>
      </w:r>
      <w:r w:rsidR="00B068B2">
        <w:rPr>
          <w:rFonts w:eastAsia="Calibri"/>
        </w:rPr>
        <w:t>he Company</w:t>
      </w:r>
      <w:r w:rsidR="00C15435">
        <w:rPr>
          <w:rFonts w:eastAsia="Calibri"/>
        </w:rPr>
        <w:t xml:space="preserve"> is requesting a $1,550 increase in its claim for </w:t>
      </w:r>
      <w:r w:rsidR="00C45E7E">
        <w:rPr>
          <w:rFonts w:eastAsia="Calibri"/>
        </w:rPr>
        <w:t>c</w:t>
      </w:r>
      <w:r w:rsidR="00C15435">
        <w:rPr>
          <w:rFonts w:eastAsia="Calibri"/>
        </w:rPr>
        <w:t xml:space="preserve">ontracted </w:t>
      </w:r>
      <w:r w:rsidR="00C45E7E">
        <w:rPr>
          <w:rFonts w:eastAsia="Calibri"/>
        </w:rPr>
        <w:t>m</w:t>
      </w:r>
      <w:r w:rsidR="00C15435">
        <w:rPr>
          <w:rFonts w:eastAsia="Calibri"/>
        </w:rPr>
        <w:t xml:space="preserve">anagement </w:t>
      </w:r>
      <w:r w:rsidR="00C45E7E">
        <w:rPr>
          <w:rFonts w:eastAsia="Calibri"/>
        </w:rPr>
        <w:t>s</w:t>
      </w:r>
      <w:r w:rsidR="00C15435">
        <w:rPr>
          <w:rFonts w:eastAsia="Calibri"/>
        </w:rPr>
        <w:t xml:space="preserve">ervices over the historic test year level of $8,050 </w:t>
      </w:r>
      <w:r w:rsidR="00D951CE">
        <w:rPr>
          <w:rFonts w:eastAsia="Calibri"/>
        </w:rPr>
        <w:t xml:space="preserve">for a total claim of $9,600, </w:t>
      </w:r>
      <w:r>
        <w:rPr>
          <w:rFonts w:eastAsia="Calibri"/>
        </w:rPr>
        <w:t xml:space="preserve">but </w:t>
      </w:r>
      <w:r w:rsidR="00C15435">
        <w:rPr>
          <w:rFonts w:eastAsia="Calibri"/>
        </w:rPr>
        <w:t>as noted by the ALJ, t</w:t>
      </w:r>
      <w:r w:rsidR="00C15435" w:rsidRPr="008F0562">
        <w:rPr>
          <w:rFonts w:eastAsia="Calibri"/>
        </w:rPr>
        <w:t>here has not been a change in the services provided to DSC customers</w:t>
      </w:r>
      <w:r w:rsidR="00C15435">
        <w:rPr>
          <w:rFonts w:eastAsia="Calibri"/>
        </w:rPr>
        <w:t xml:space="preserve">.  </w:t>
      </w:r>
      <w:r w:rsidR="00F72632">
        <w:rPr>
          <w:rFonts w:eastAsia="Calibri"/>
        </w:rPr>
        <w:t>Therefore, we find that there has not been an adequate justification for the $1,550 increase to $9,600 for the year ending August 31, 2015, and we shall adjust the Company</w:t>
      </w:r>
      <w:r w:rsidR="002061B0">
        <w:rPr>
          <w:rFonts w:eastAsia="Calibri"/>
        </w:rPr>
        <w:t>’</w:t>
      </w:r>
      <w:r w:rsidR="00F72632">
        <w:rPr>
          <w:rFonts w:eastAsia="Calibri"/>
        </w:rPr>
        <w:t xml:space="preserve">s claim to the historic test year level of $8,050. </w:t>
      </w:r>
    </w:p>
    <w:p w:rsidR="00191589" w:rsidRDefault="00191589" w:rsidP="00191589">
      <w:pPr>
        <w:rPr>
          <w:rFonts w:eastAsia="Calibri"/>
        </w:rPr>
      </w:pPr>
    </w:p>
    <w:p w:rsidR="00191589" w:rsidRPr="00191589" w:rsidRDefault="00191589" w:rsidP="00191589">
      <w:pPr>
        <w:pStyle w:val="Heading3"/>
        <w:rPr>
          <w:rFonts w:eastAsia="Calibri"/>
        </w:rPr>
      </w:pPr>
      <w:bookmarkStart w:id="12" w:name="_Toc425179774"/>
      <w:r w:rsidRPr="00191589">
        <w:rPr>
          <w:rFonts w:eastAsia="Calibri"/>
        </w:rPr>
        <w:t>Non-</w:t>
      </w:r>
      <w:r>
        <w:rPr>
          <w:rFonts w:eastAsia="Calibri"/>
        </w:rPr>
        <w:t>R</w:t>
      </w:r>
      <w:r w:rsidRPr="00191589">
        <w:rPr>
          <w:rFonts w:eastAsia="Calibri"/>
        </w:rPr>
        <w:t xml:space="preserve">ate </w:t>
      </w:r>
      <w:r>
        <w:rPr>
          <w:rFonts w:eastAsia="Calibri"/>
        </w:rPr>
        <w:t>C</w:t>
      </w:r>
      <w:r w:rsidRPr="00191589">
        <w:rPr>
          <w:rFonts w:eastAsia="Calibri"/>
        </w:rPr>
        <w:t xml:space="preserve">ase </w:t>
      </w:r>
      <w:r>
        <w:rPr>
          <w:rFonts w:eastAsia="Calibri"/>
        </w:rPr>
        <w:t>L</w:t>
      </w:r>
      <w:r w:rsidRPr="00191589">
        <w:rPr>
          <w:rFonts w:eastAsia="Calibri"/>
        </w:rPr>
        <w:t xml:space="preserve">egal </w:t>
      </w:r>
      <w:r>
        <w:rPr>
          <w:rFonts w:eastAsia="Calibri"/>
        </w:rPr>
        <w:t>F</w:t>
      </w:r>
      <w:r w:rsidRPr="00191589">
        <w:rPr>
          <w:rFonts w:eastAsia="Calibri"/>
        </w:rPr>
        <w:t>ees</w:t>
      </w:r>
      <w:bookmarkEnd w:id="12"/>
    </w:p>
    <w:p w:rsidR="00191589" w:rsidRDefault="00191589" w:rsidP="008A4822">
      <w:pPr>
        <w:rPr>
          <w:rFonts w:eastAsia="Calibri"/>
        </w:rPr>
      </w:pPr>
    </w:p>
    <w:p w:rsidR="00191589" w:rsidRPr="00F72632" w:rsidRDefault="00116D68" w:rsidP="00F72632">
      <w:pPr>
        <w:pStyle w:val="Heading4"/>
        <w:numPr>
          <w:ilvl w:val="0"/>
          <w:numId w:val="30"/>
        </w:numPr>
        <w:ind w:left="2160" w:hanging="720"/>
        <w:rPr>
          <w:rFonts w:eastAsia="Calibri"/>
        </w:rPr>
      </w:pPr>
      <w:r w:rsidRPr="00F72632">
        <w:rPr>
          <w:rFonts w:eastAsia="Calibri"/>
        </w:rPr>
        <w:t>Company Claim</w:t>
      </w:r>
    </w:p>
    <w:p w:rsidR="00877DDA" w:rsidRDefault="00877DDA" w:rsidP="00877DDA">
      <w:pPr>
        <w:rPr>
          <w:rFonts w:eastAsia="Calibri"/>
        </w:rPr>
      </w:pPr>
    </w:p>
    <w:p w:rsidR="00E20017" w:rsidRDefault="00877DDA" w:rsidP="00877DDA">
      <w:pPr>
        <w:rPr>
          <w:rFonts w:eastAsia="Calibri"/>
        </w:rPr>
      </w:pPr>
      <w:r>
        <w:rPr>
          <w:rFonts w:eastAsia="Calibri"/>
        </w:rPr>
        <w:t>The Company</w:t>
      </w:r>
      <w:r w:rsidR="002061B0">
        <w:rPr>
          <w:rFonts w:eastAsia="Calibri"/>
        </w:rPr>
        <w:t>’</w:t>
      </w:r>
      <w:r>
        <w:rPr>
          <w:rFonts w:eastAsia="Calibri"/>
        </w:rPr>
        <w:t xml:space="preserve">s claim for non-rate case legal fees </w:t>
      </w:r>
      <w:r>
        <w:rPr>
          <w:rFonts w:eastAsiaTheme="minorHAnsi"/>
        </w:rPr>
        <w:t xml:space="preserve">represents the cost incurred by DSC in connection with </w:t>
      </w:r>
      <w:r w:rsidR="00D951CE">
        <w:rPr>
          <w:rFonts w:eastAsiaTheme="minorHAnsi"/>
        </w:rPr>
        <w:t>its</w:t>
      </w:r>
      <w:r>
        <w:rPr>
          <w:rFonts w:eastAsiaTheme="minorHAnsi"/>
        </w:rPr>
        <w:t xml:space="preserve"> </w:t>
      </w:r>
      <w:r w:rsidR="0065507B">
        <w:rPr>
          <w:rFonts w:eastAsiaTheme="minorHAnsi"/>
        </w:rPr>
        <w:t xml:space="preserve">pending </w:t>
      </w:r>
      <w:r>
        <w:rPr>
          <w:rFonts w:eastAsiaTheme="minorHAnsi"/>
        </w:rPr>
        <w:t>Sec</w:t>
      </w:r>
      <w:r w:rsidR="00C45E7E">
        <w:rPr>
          <w:rFonts w:eastAsiaTheme="minorHAnsi"/>
        </w:rPr>
        <w:t>tion 529 P</w:t>
      </w:r>
      <w:r w:rsidR="00CB627C">
        <w:rPr>
          <w:rFonts w:eastAsiaTheme="minorHAnsi"/>
        </w:rPr>
        <w:t>etition proceeding.  DSC</w:t>
      </w:r>
      <w:r w:rsidR="002061B0">
        <w:rPr>
          <w:rFonts w:eastAsiaTheme="minorHAnsi"/>
        </w:rPr>
        <w:t>’</w:t>
      </w:r>
      <w:r w:rsidR="00CB627C">
        <w:rPr>
          <w:rFonts w:eastAsiaTheme="minorHAnsi"/>
        </w:rPr>
        <w:t xml:space="preserve">s </w:t>
      </w:r>
      <w:r w:rsidR="00CB627C">
        <w:rPr>
          <w:rFonts w:eastAsiaTheme="minorHAnsi"/>
        </w:rPr>
        <w:lastRenderedPageBreak/>
        <w:t xml:space="preserve">initial claim </w:t>
      </w:r>
      <w:r>
        <w:rPr>
          <w:rFonts w:eastAsiaTheme="minorHAnsi"/>
        </w:rPr>
        <w:t>for the twelve months ended August 31,</w:t>
      </w:r>
      <w:r w:rsidR="00F72632">
        <w:rPr>
          <w:rFonts w:eastAsiaTheme="minorHAnsi"/>
        </w:rPr>
        <w:t xml:space="preserve"> </w:t>
      </w:r>
      <w:r>
        <w:rPr>
          <w:rFonts w:eastAsiaTheme="minorHAnsi"/>
        </w:rPr>
        <w:t>2014</w:t>
      </w:r>
      <w:r w:rsidR="00C45E7E">
        <w:rPr>
          <w:rFonts w:eastAsiaTheme="minorHAnsi"/>
        </w:rPr>
        <w:t>,</w:t>
      </w:r>
      <w:r w:rsidR="00CB627C">
        <w:rPr>
          <w:rFonts w:eastAsiaTheme="minorHAnsi"/>
        </w:rPr>
        <w:t xml:space="preserve"> was $4,706, </w:t>
      </w:r>
      <w:r w:rsidR="00DE7F54">
        <w:rPr>
          <w:rFonts w:eastAsiaTheme="minorHAnsi"/>
        </w:rPr>
        <w:t>“</w:t>
      </w:r>
      <w:r w:rsidR="00CB627C">
        <w:rPr>
          <w:rFonts w:eastAsiaTheme="minorHAnsi"/>
        </w:rPr>
        <w:t>which the C</w:t>
      </w:r>
      <w:r>
        <w:rPr>
          <w:rFonts w:eastAsiaTheme="minorHAnsi"/>
        </w:rPr>
        <w:t xml:space="preserve">ompany </w:t>
      </w:r>
      <w:r w:rsidRPr="00040E14">
        <w:rPr>
          <w:rFonts w:eastAsiaTheme="minorHAnsi"/>
        </w:rPr>
        <w:t>normalized</w:t>
      </w:r>
      <w:r>
        <w:rPr>
          <w:rFonts w:eastAsiaTheme="minorHAnsi"/>
        </w:rPr>
        <w:t xml:space="preserve"> over a three</w:t>
      </w:r>
      <w:r w:rsidR="00DE7F54">
        <w:rPr>
          <w:rFonts w:eastAsiaTheme="minorHAnsi"/>
        </w:rPr>
        <w:t xml:space="preserve"> </w:t>
      </w:r>
      <w:r>
        <w:rPr>
          <w:rFonts w:eastAsiaTheme="minorHAnsi"/>
        </w:rPr>
        <w:t xml:space="preserve">year period to reflect a going forward </w:t>
      </w:r>
      <w:r w:rsidRPr="00040E14">
        <w:rPr>
          <w:rFonts w:eastAsiaTheme="minorHAnsi"/>
        </w:rPr>
        <w:t>annualized</w:t>
      </w:r>
      <w:r w:rsidRPr="0073392D">
        <w:rPr>
          <w:rFonts w:eastAsiaTheme="minorHAnsi"/>
          <w:color w:val="FF0000"/>
        </w:rPr>
        <w:t xml:space="preserve"> </w:t>
      </w:r>
      <w:r w:rsidR="00040E14">
        <w:rPr>
          <w:rFonts w:eastAsiaTheme="minorHAnsi"/>
        </w:rPr>
        <w:t>claim of $1,569</w:t>
      </w:r>
      <w:r w:rsidR="00DE7F54">
        <w:rPr>
          <w:rFonts w:eastAsiaTheme="minorHAnsi"/>
        </w:rPr>
        <w:t xml:space="preserve"> in its filing</w:t>
      </w:r>
      <w:r w:rsidR="00040E14">
        <w:rPr>
          <w:rFonts w:eastAsiaTheme="minorHAnsi"/>
        </w:rPr>
        <w:t>.</w:t>
      </w:r>
      <w:r w:rsidR="00DE7F54">
        <w:rPr>
          <w:rFonts w:eastAsiaTheme="minorHAnsi"/>
        </w:rPr>
        <w:t>”</w:t>
      </w:r>
      <w:r w:rsidR="00DE7F54" w:rsidRPr="00DE7F54">
        <w:rPr>
          <w:rFonts w:eastAsiaTheme="minorHAnsi"/>
          <w:vertAlign w:val="superscript"/>
        </w:rPr>
        <w:footnoteReference w:id="4"/>
      </w:r>
      <w:r w:rsidR="00040E14">
        <w:rPr>
          <w:rFonts w:eastAsiaTheme="minorHAnsi"/>
        </w:rPr>
        <w:t xml:space="preserve">  DSC </w:t>
      </w:r>
      <w:r w:rsidR="00427586">
        <w:rPr>
          <w:rFonts w:eastAsiaTheme="minorHAnsi"/>
        </w:rPr>
        <w:t xml:space="preserve">Exc. </w:t>
      </w:r>
      <w:r w:rsidR="00040E14">
        <w:rPr>
          <w:rFonts w:eastAsiaTheme="minorHAnsi"/>
        </w:rPr>
        <w:t>at 1</w:t>
      </w:r>
      <w:r w:rsidR="00427586">
        <w:rPr>
          <w:rFonts w:eastAsiaTheme="minorHAnsi"/>
        </w:rPr>
        <w:t>3</w:t>
      </w:r>
      <w:r w:rsidR="00040E14">
        <w:rPr>
          <w:rFonts w:eastAsiaTheme="minorHAnsi"/>
        </w:rPr>
        <w:t xml:space="preserve">. </w:t>
      </w:r>
      <w:r w:rsidR="00CB627C">
        <w:rPr>
          <w:rFonts w:eastAsiaTheme="minorHAnsi"/>
        </w:rPr>
        <w:t xml:space="preserve"> The claim was subsequently updated to $21,506, which </w:t>
      </w:r>
      <w:r w:rsidR="00DE034B">
        <w:rPr>
          <w:rFonts w:eastAsiaTheme="minorHAnsi"/>
        </w:rPr>
        <w:t xml:space="preserve">the Company amortized over </w:t>
      </w:r>
      <w:r w:rsidR="00427586">
        <w:rPr>
          <w:rFonts w:eastAsiaTheme="minorHAnsi"/>
        </w:rPr>
        <w:t xml:space="preserve">a five-year period to produce an annual claim of $4,301.  </w:t>
      </w:r>
      <w:r w:rsidR="00427586" w:rsidRPr="00427586">
        <w:rPr>
          <w:rFonts w:eastAsiaTheme="minorHAnsi"/>
          <w:i/>
        </w:rPr>
        <w:t>Id.</w:t>
      </w:r>
      <w:r w:rsidR="00427586">
        <w:rPr>
          <w:rFonts w:eastAsiaTheme="minorHAnsi"/>
        </w:rPr>
        <w:t xml:space="preserve"> </w:t>
      </w:r>
    </w:p>
    <w:p w:rsidR="00877DDA" w:rsidRDefault="00877DDA">
      <w:pPr>
        <w:spacing w:after="200" w:line="276" w:lineRule="auto"/>
        <w:ind w:firstLine="0"/>
        <w:rPr>
          <w:rFonts w:eastAsia="Calibri"/>
        </w:rPr>
      </w:pPr>
    </w:p>
    <w:p w:rsidR="00877DDA" w:rsidRDefault="00877DDA" w:rsidP="00040E14">
      <w:pPr>
        <w:pStyle w:val="Heading4"/>
        <w:ind w:left="2160" w:hanging="720"/>
        <w:rPr>
          <w:rFonts w:eastAsia="Calibri"/>
        </w:rPr>
      </w:pPr>
      <w:r>
        <w:rPr>
          <w:rFonts w:eastAsia="Calibri"/>
        </w:rPr>
        <w:t>ALJ Recommendation</w:t>
      </w:r>
    </w:p>
    <w:p w:rsidR="00877DDA" w:rsidRDefault="00877DDA" w:rsidP="00877DDA">
      <w:pPr>
        <w:rPr>
          <w:rFonts w:eastAsia="Calibri"/>
        </w:rPr>
      </w:pPr>
    </w:p>
    <w:p w:rsidR="00877DDA" w:rsidRDefault="00877DDA" w:rsidP="00F27ADC">
      <w:pPr>
        <w:rPr>
          <w:rFonts w:eastAsia="Calibri"/>
        </w:rPr>
      </w:pPr>
      <w:r>
        <w:rPr>
          <w:rFonts w:eastAsia="Calibri"/>
        </w:rPr>
        <w:t xml:space="preserve">The ALJ recommended that the claim be disallowed in total.  The ALJ observed that the expenses in the </w:t>
      </w:r>
      <w:r w:rsidR="00F27ADC">
        <w:rPr>
          <w:rFonts w:eastAsia="Calibri"/>
        </w:rPr>
        <w:t xml:space="preserve">Section </w:t>
      </w:r>
      <w:r>
        <w:rPr>
          <w:rFonts w:eastAsia="Calibri"/>
        </w:rPr>
        <w:t>529 proceeding are ongoing and not final.  R.D.</w:t>
      </w:r>
      <w:r w:rsidR="00D951CE">
        <w:rPr>
          <w:rFonts w:eastAsia="Calibri"/>
        </w:rPr>
        <w:t> </w:t>
      </w:r>
      <w:r>
        <w:rPr>
          <w:rFonts w:eastAsia="Calibri"/>
        </w:rPr>
        <w:t xml:space="preserve">at 17, </w:t>
      </w:r>
      <w:r w:rsidRPr="009D067A">
        <w:rPr>
          <w:rFonts w:eastAsia="Calibri"/>
        </w:rPr>
        <w:t>citing</w:t>
      </w:r>
      <w:r>
        <w:rPr>
          <w:rFonts w:eastAsia="Calibri"/>
        </w:rPr>
        <w:t xml:space="preserve"> Tr. at 11.  </w:t>
      </w:r>
      <w:r w:rsidR="00F27ADC">
        <w:rPr>
          <w:rFonts w:eastAsia="Calibri"/>
        </w:rPr>
        <w:t xml:space="preserve">The ALJ opined that </w:t>
      </w:r>
      <w:r>
        <w:rPr>
          <w:rFonts w:eastAsia="Calibri"/>
        </w:rPr>
        <w:t xml:space="preserve">the </w:t>
      </w:r>
      <w:r w:rsidR="00C45E7E">
        <w:rPr>
          <w:rFonts w:eastAsia="Calibri"/>
        </w:rPr>
        <w:t xml:space="preserve">Section </w:t>
      </w:r>
      <w:r>
        <w:rPr>
          <w:rFonts w:eastAsia="Calibri"/>
        </w:rPr>
        <w:t xml:space="preserve">529 proceeding expenses are not recoverable as legal general regulatory non-rate case expenses </w:t>
      </w:r>
      <w:r w:rsidR="00F6368F">
        <w:rPr>
          <w:rFonts w:eastAsia="Calibri"/>
        </w:rPr>
        <w:t>because</w:t>
      </w:r>
      <w:r>
        <w:rPr>
          <w:rFonts w:eastAsia="Calibri"/>
        </w:rPr>
        <w:t xml:space="preserve"> they are not reasonable and normal expenses incurred by providing regulated service.  </w:t>
      </w:r>
      <w:r w:rsidR="00F27ADC">
        <w:rPr>
          <w:rFonts w:eastAsia="Calibri"/>
        </w:rPr>
        <w:t xml:space="preserve">The ALJ also stated that </w:t>
      </w:r>
      <w:r>
        <w:rPr>
          <w:rFonts w:eastAsia="Calibri"/>
        </w:rPr>
        <w:t>this rate case should only include the recovery of costs associated with normalized expenses directly related to calculating the operating ratio and revenue requirement.</w:t>
      </w:r>
      <w:r w:rsidR="00F27ADC">
        <w:rPr>
          <w:rFonts w:eastAsia="Calibri"/>
        </w:rPr>
        <w:t xml:space="preserve">  R.D. at 17. </w:t>
      </w:r>
    </w:p>
    <w:p w:rsidR="00877DDA" w:rsidRDefault="00877DDA">
      <w:pPr>
        <w:spacing w:after="200" w:line="276" w:lineRule="auto"/>
        <w:ind w:firstLine="0"/>
        <w:rPr>
          <w:rFonts w:eastAsia="Calibri"/>
        </w:rPr>
      </w:pPr>
    </w:p>
    <w:p w:rsidR="00E20017" w:rsidRDefault="00F27ADC" w:rsidP="00455A46">
      <w:pPr>
        <w:pStyle w:val="Heading4"/>
        <w:keepNext/>
        <w:keepLines/>
        <w:ind w:left="2160" w:hanging="720"/>
        <w:rPr>
          <w:rFonts w:eastAsia="Calibri"/>
        </w:rPr>
      </w:pPr>
      <w:r>
        <w:rPr>
          <w:rFonts w:eastAsia="Calibri"/>
        </w:rPr>
        <w:t>Exceptions and Replies</w:t>
      </w:r>
    </w:p>
    <w:p w:rsidR="00E20017" w:rsidRDefault="00E20017" w:rsidP="00455A46">
      <w:pPr>
        <w:keepNext/>
        <w:keepLines/>
        <w:rPr>
          <w:rFonts w:eastAsia="Calibri"/>
        </w:rPr>
      </w:pPr>
    </w:p>
    <w:p w:rsidR="00E20017" w:rsidRPr="00E43DB1" w:rsidRDefault="00F27ADC" w:rsidP="00F27ADC">
      <w:pPr>
        <w:rPr>
          <w:rFonts w:eastAsia="Calibri"/>
        </w:rPr>
      </w:pPr>
      <w:r>
        <w:rPr>
          <w:rFonts w:eastAsiaTheme="minorHAnsi"/>
        </w:rPr>
        <w:t xml:space="preserve">In its Exceptions, DSC argues that the reasoning offered </w:t>
      </w:r>
      <w:r w:rsidR="00DE7F54">
        <w:rPr>
          <w:rFonts w:eastAsiaTheme="minorHAnsi"/>
        </w:rPr>
        <w:t xml:space="preserve">in </w:t>
      </w:r>
      <w:r>
        <w:rPr>
          <w:rFonts w:eastAsiaTheme="minorHAnsi"/>
        </w:rPr>
        <w:t xml:space="preserve">the Recommended Decision does not justify disallowing the claim.  The Company explains that the expense has been incurred and will be incurred in an effort to have the Commission exercise its Section 529 authority and that authority is part of regulated services under the Code.  </w:t>
      </w:r>
      <w:r w:rsidR="00E43DB1">
        <w:rPr>
          <w:rFonts w:eastAsiaTheme="minorHAnsi"/>
        </w:rPr>
        <w:t xml:space="preserve">DSC submits that </w:t>
      </w:r>
      <w:r w:rsidR="00E43DB1" w:rsidRPr="00E43DB1">
        <w:rPr>
          <w:rFonts w:eastAsiaTheme="minorHAnsi"/>
        </w:rPr>
        <w:t xml:space="preserve">this is a required </w:t>
      </w:r>
      <w:r w:rsidRPr="00E43DB1">
        <w:rPr>
          <w:rFonts w:eastAsiaTheme="minorHAnsi"/>
        </w:rPr>
        <w:t>expense that the Company has incurred until the Commission</w:t>
      </w:r>
      <w:r w:rsidR="00E43DB1" w:rsidRPr="00E43DB1">
        <w:rPr>
          <w:rFonts w:eastAsiaTheme="minorHAnsi"/>
        </w:rPr>
        <w:t xml:space="preserve"> </w:t>
      </w:r>
      <w:r w:rsidRPr="00E43DB1">
        <w:rPr>
          <w:rFonts w:eastAsiaTheme="minorHAnsi"/>
        </w:rPr>
        <w:t xml:space="preserve">resolves the question of moving forward on an actual </w:t>
      </w:r>
      <w:r w:rsidRPr="00E43DB1">
        <w:rPr>
          <w:rFonts w:eastAsiaTheme="minorHAnsi"/>
        </w:rPr>
        <w:lastRenderedPageBreak/>
        <w:t>Section 52</w:t>
      </w:r>
      <w:r w:rsidR="00E43DB1" w:rsidRPr="00E43DB1">
        <w:rPr>
          <w:rFonts w:eastAsiaTheme="minorHAnsi"/>
        </w:rPr>
        <w:t>9 investigation and acquisition</w:t>
      </w:r>
      <w:r w:rsidR="00427586">
        <w:rPr>
          <w:rFonts w:eastAsiaTheme="minorHAnsi"/>
        </w:rPr>
        <w:t>.</w:t>
      </w:r>
      <w:r w:rsidR="00E43DB1" w:rsidRPr="00E43DB1">
        <w:rPr>
          <w:rFonts w:eastAsiaTheme="minorHAnsi"/>
        </w:rPr>
        <w:t xml:space="preserve"> </w:t>
      </w:r>
      <w:r w:rsidRPr="00E43DB1">
        <w:rPr>
          <w:rFonts w:eastAsiaTheme="minorHAnsi"/>
        </w:rPr>
        <w:t xml:space="preserve"> The </w:t>
      </w:r>
      <w:r w:rsidR="00E43DB1" w:rsidRPr="00E43DB1">
        <w:rPr>
          <w:rFonts w:eastAsiaTheme="minorHAnsi"/>
        </w:rPr>
        <w:t xml:space="preserve">Company argues that </w:t>
      </w:r>
      <w:r w:rsidRPr="00E43DB1">
        <w:rPr>
          <w:rFonts w:eastAsiaTheme="minorHAnsi"/>
        </w:rPr>
        <w:t>associated expense should be considered an allowable amortization expense</w:t>
      </w:r>
      <w:r w:rsidR="00E43DB1" w:rsidRPr="00E43DB1">
        <w:rPr>
          <w:rFonts w:eastAsiaTheme="minorHAnsi"/>
        </w:rPr>
        <w:t xml:space="preserve"> </w:t>
      </w:r>
      <w:r w:rsidRPr="00E43DB1">
        <w:rPr>
          <w:rFonts w:eastAsiaTheme="minorHAnsi"/>
        </w:rPr>
        <w:t>for ratemaking purposes and should be reflected in the operating ratio and revenue requirement</w:t>
      </w:r>
      <w:r w:rsidR="00E43DB1" w:rsidRPr="00E43DB1">
        <w:rPr>
          <w:rFonts w:eastAsiaTheme="minorHAnsi"/>
        </w:rPr>
        <w:t xml:space="preserve">.  </w:t>
      </w:r>
      <w:r w:rsidR="00E43DB1">
        <w:rPr>
          <w:rFonts w:eastAsiaTheme="minorHAnsi"/>
        </w:rPr>
        <w:t xml:space="preserve">DSC Exc. at 13-14. </w:t>
      </w:r>
    </w:p>
    <w:p w:rsidR="00E20017" w:rsidRDefault="00E20017" w:rsidP="00F27ADC">
      <w:pPr>
        <w:rPr>
          <w:rFonts w:eastAsia="Calibri"/>
        </w:rPr>
      </w:pPr>
    </w:p>
    <w:p w:rsidR="0065077C" w:rsidRDefault="0065077C" w:rsidP="0065077C">
      <w:pPr>
        <w:rPr>
          <w:rFonts w:eastAsia="Calibri"/>
        </w:rPr>
      </w:pPr>
      <w:r w:rsidRPr="0065077C">
        <w:rPr>
          <w:rFonts w:eastAsia="Calibri"/>
        </w:rPr>
        <w:t xml:space="preserve">The OCA </w:t>
      </w:r>
      <w:r>
        <w:rPr>
          <w:rFonts w:eastAsia="Calibri"/>
        </w:rPr>
        <w:t xml:space="preserve">explains that </w:t>
      </w:r>
      <w:r w:rsidR="00F6368F">
        <w:rPr>
          <w:rFonts w:eastAsia="Calibri"/>
        </w:rPr>
        <w:t xml:space="preserve">it </w:t>
      </w:r>
      <w:r w:rsidRPr="0065077C">
        <w:rPr>
          <w:rFonts w:eastAsia="Calibri"/>
        </w:rPr>
        <w:t xml:space="preserve">did not make an adjustment to the </w:t>
      </w:r>
      <w:r w:rsidR="00DE7F54">
        <w:rPr>
          <w:rFonts w:eastAsia="Calibri"/>
        </w:rPr>
        <w:t>“</w:t>
      </w:r>
      <w:r w:rsidRPr="0065077C">
        <w:rPr>
          <w:rFonts w:eastAsia="Calibri"/>
        </w:rPr>
        <w:t>normalization</w:t>
      </w:r>
      <w:r w:rsidR="00DE7F54">
        <w:rPr>
          <w:rFonts w:eastAsia="Calibri"/>
        </w:rPr>
        <w:t>”</w:t>
      </w:r>
      <w:r w:rsidRPr="0065077C">
        <w:rPr>
          <w:rFonts w:eastAsia="Calibri"/>
        </w:rPr>
        <w:t xml:space="preserve"> period originally claimed by the Company</w:t>
      </w:r>
      <w:r>
        <w:rPr>
          <w:rFonts w:eastAsia="Calibri"/>
        </w:rPr>
        <w:t xml:space="preserve"> and it</w:t>
      </w:r>
      <w:r w:rsidRPr="0065077C">
        <w:rPr>
          <w:rFonts w:eastAsia="Calibri"/>
        </w:rPr>
        <w:t xml:space="preserve"> did not adjust the amount of non-rate case legal fees included in the historic test year.  </w:t>
      </w:r>
      <w:r>
        <w:rPr>
          <w:rFonts w:eastAsia="Calibri"/>
        </w:rPr>
        <w:t>The OCA states that d</w:t>
      </w:r>
      <w:r w:rsidRPr="0065077C">
        <w:rPr>
          <w:rFonts w:eastAsia="Calibri"/>
        </w:rPr>
        <w:t xml:space="preserve">uring the course of the proceeding, it became clear that the costs that had been supported were for the historic test year, but that the claim had not been updated to show that any additional expenses were appropriate.  </w:t>
      </w:r>
      <w:r>
        <w:rPr>
          <w:rFonts w:eastAsia="Calibri"/>
        </w:rPr>
        <w:t xml:space="preserve">The OCA notes that </w:t>
      </w:r>
      <w:r w:rsidRPr="0065077C">
        <w:rPr>
          <w:rFonts w:eastAsia="Calibri"/>
        </w:rPr>
        <w:t xml:space="preserve">the total amount of the expenses is not final, as the proceeding is ongoing with no indication as to when the proceeding will be completed.  </w:t>
      </w:r>
      <w:r>
        <w:rPr>
          <w:rFonts w:eastAsia="Calibri"/>
        </w:rPr>
        <w:t>The OCA opines that i</w:t>
      </w:r>
      <w:r w:rsidRPr="0065077C">
        <w:rPr>
          <w:rFonts w:eastAsia="Calibri"/>
        </w:rPr>
        <w:t xml:space="preserve">f the utility wants to seek permission to defer the costs, then it must file a petition asking the Commission to permit the deferral for accounting purposes.  </w:t>
      </w:r>
      <w:r>
        <w:rPr>
          <w:rFonts w:eastAsia="Calibri"/>
        </w:rPr>
        <w:t xml:space="preserve">Therefore, the OCA recommends that </w:t>
      </w:r>
      <w:r w:rsidRPr="0065077C">
        <w:rPr>
          <w:rFonts w:eastAsia="Calibri"/>
        </w:rPr>
        <w:t>a normalized level of the historic test year expense be included</w:t>
      </w:r>
      <w:r w:rsidR="0073392D">
        <w:rPr>
          <w:rFonts w:eastAsia="Calibri"/>
        </w:rPr>
        <w:t>,</w:t>
      </w:r>
      <w:r w:rsidRPr="0065077C">
        <w:rPr>
          <w:rFonts w:eastAsia="Calibri"/>
        </w:rPr>
        <w:t xml:space="preserve"> but that the future test year amount is not yet final and should not be reflected for ratemaking purposes.</w:t>
      </w:r>
      <w:r>
        <w:rPr>
          <w:rFonts w:eastAsia="Calibri"/>
        </w:rPr>
        <w:t xml:space="preserve">  OCA R. Exc. at 8. </w:t>
      </w:r>
    </w:p>
    <w:p w:rsidR="0065077C" w:rsidRDefault="0065077C" w:rsidP="0065077C">
      <w:pPr>
        <w:rPr>
          <w:rFonts w:eastAsia="Calibri"/>
        </w:rPr>
      </w:pPr>
    </w:p>
    <w:p w:rsidR="00AC2B06" w:rsidRDefault="00AC2B06" w:rsidP="00AC2B06">
      <w:r>
        <w:t>I&amp;E argues that the ALJ correctly eliminated its non-rate case legal expense claim altogether.  I&amp;E submits that t</w:t>
      </w:r>
      <w:r w:rsidRPr="00FF70BE">
        <w:t xml:space="preserve">he </w:t>
      </w:r>
      <w:r>
        <w:t xml:space="preserve">Section </w:t>
      </w:r>
      <w:r w:rsidRPr="00FF70BE">
        <w:t xml:space="preserve">529 proceeding expenses are not recoverable as legal general regulatory non-rate case expenses as they are not reasonable and normal expenses incurred by providing regulated service.  </w:t>
      </w:r>
      <w:r>
        <w:t xml:space="preserve">I&amp;E also concurs with the ALJ that </w:t>
      </w:r>
      <w:r w:rsidRPr="00FF70BE">
        <w:t>this rate case should only include the recovery of costs associated with normalized expenses directly related to calculating the operating ratio and revenue requirement</w:t>
      </w:r>
      <w:r>
        <w:t>.</w:t>
      </w:r>
      <w:r>
        <w:rPr>
          <w:color w:val="000000" w:themeColor="text1"/>
          <w:szCs w:val="26"/>
        </w:rPr>
        <w:t xml:space="preserve">  I&amp;E R. Exc. at 9.</w:t>
      </w:r>
    </w:p>
    <w:p w:rsidR="0065077C" w:rsidRPr="0065077C" w:rsidRDefault="0065077C" w:rsidP="0065077C">
      <w:pPr>
        <w:rPr>
          <w:rFonts w:eastAsia="Calibri"/>
        </w:rPr>
      </w:pPr>
    </w:p>
    <w:p w:rsidR="00E20017" w:rsidRDefault="000740E8" w:rsidP="006532D6">
      <w:pPr>
        <w:pStyle w:val="Heading4"/>
        <w:ind w:left="2160" w:hanging="720"/>
        <w:rPr>
          <w:rFonts w:eastAsia="Calibri"/>
        </w:rPr>
      </w:pPr>
      <w:r>
        <w:rPr>
          <w:rFonts w:eastAsia="Calibri"/>
        </w:rPr>
        <w:t>Disposition</w:t>
      </w:r>
    </w:p>
    <w:p w:rsidR="00E20017" w:rsidRDefault="00E20017" w:rsidP="006530A2">
      <w:pPr>
        <w:rPr>
          <w:rFonts w:eastAsia="Calibri"/>
        </w:rPr>
      </w:pPr>
    </w:p>
    <w:p w:rsidR="000B5FE7" w:rsidRDefault="00635732" w:rsidP="006530A2">
      <w:pPr>
        <w:rPr>
          <w:rFonts w:eastAsia="Calibri"/>
        </w:rPr>
      </w:pPr>
      <w:r w:rsidRPr="00670B27">
        <w:rPr>
          <w:rFonts w:eastAsia="Calibri"/>
        </w:rPr>
        <w:t xml:space="preserve">We </w:t>
      </w:r>
      <w:r w:rsidR="000B5FE7" w:rsidRPr="00670B27">
        <w:rPr>
          <w:rFonts w:eastAsia="Calibri"/>
        </w:rPr>
        <w:t>concur with I&amp;E that the Company</w:t>
      </w:r>
      <w:r w:rsidR="002061B0">
        <w:rPr>
          <w:rFonts w:eastAsia="Calibri"/>
        </w:rPr>
        <w:t>’</w:t>
      </w:r>
      <w:r w:rsidR="000B5FE7" w:rsidRPr="00670B27">
        <w:rPr>
          <w:rFonts w:eastAsia="Calibri"/>
        </w:rPr>
        <w:t xml:space="preserve">s </w:t>
      </w:r>
      <w:r w:rsidR="005F388F" w:rsidRPr="00670B27">
        <w:rPr>
          <w:rFonts w:eastAsia="Calibri"/>
        </w:rPr>
        <w:t xml:space="preserve">expenses associated with its </w:t>
      </w:r>
      <w:r w:rsidR="000B5FE7" w:rsidRPr="00670B27">
        <w:rPr>
          <w:rFonts w:eastAsia="Calibri"/>
        </w:rPr>
        <w:t xml:space="preserve">Section 529 </w:t>
      </w:r>
      <w:r w:rsidR="005F388F" w:rsidRPr="00670B27">
        <w:rPr>
          <w:rFonts w:eastAsia="Calibri"/>
        </w:rPr>
        <w:t xml:space="preserve">Petition </w:t>
      </w:r>
      <w:r w:rsidR="000B5FE7" w:rsidRPr="00670B27">
        <w:rPr>
          <w:rFonts w:eastAsia="Calibri"/>
        </w:rPr>
        <w:t>expenses</w:t>
      </w:r>
      <w:r w:rsidR="005F388F" w:rsidRPr="00670B27">
        <w:t xml:space="preserve"> are not reasonable and normal expenses incurred in order </w:t>
      </w:r>
      <w:r w:rsidR="005F388F" w:rsidRPr="00670B27">
        <w:lastRenderedPageBreak/>
        <w:t>to provide regulated service.</w:t>
      </w:r>
      <w:r w:rsidR="00F84C0D" w:rsidRPr="00670B27">
        <w:rPr>
          <w:rFonts w:eastAsia="Calibri"/>
        </w:rPr>
        <w:t xml:space="preserve">  </w:t>
      </w:r>
      <w:r w:rsidR="005A059C" w:rsidRPr="00670B27">
        <w:rPr>
          <w:rFonts w:eastAsia="Calibri"/>
        </w:rPr>
        <w:t>D</w:t>
      </w:r>
      <w:r w:rsidR="00BF0814" w:rsidRPr="00670B27">
        <w:rPr>
          <w:rFonts w:eastAsia="Calibri"/>
        </w:rPr>
        <w:t>S</w:t>
      </w:r>
      <w:r w:rsidR="005A059C" w:rsidRPr="00670B27">
        <w:rPr>
          <w:rFonts w:eastAsia="Calibri"/>
        </w:rPr>
        <w:t xml:space="preserve">C voluntarily filed its Petition </w:t>
      </w:r>
      <w:r w:rsidR="005F388F" w:rsidRPr="00670B27">
        <w:rPr>
          <w:rFonts w:eastAsia="Calibri"/>
        </w:rPr>
        <w:t xml:space="preserve">as an alternative to </w:t>
      </w:r>
      <w:r w:rsidR="005A059C" w:rsidRPr="00670B27">
        <w:rPr>
          <w:rFonts w:eastAsia="Calibri"/>
        </w:rPr>
        <w:t>continuing</w:t>
      </w:r>
      <w:r w:rsidR="00C4548F" w:rsidRPr="00670B27">
        <w:rPr>
          <w:rFonts w:eastAsia="Calibri"/>
        </w:rPr>
        <w:t xml:space="preserve"> to provide regulated service by continuing</w:t>
      </w:r>
      <w:r w:rsidR="005A059C" w:rsidRPr="00670B27">
        <w:rPr>
          <w:rFonts w:eastAsia="Calibri"/>
        </w:rPr>
        <w:t xml:space="preserve"> to operate </w:t>
      </w:r>
      <w:r w:rsidR="00D5797A" w:rsidRPr="00670B27">
        <w:rPr>
          <w:rFonts w:eastAsia="Calibri"/>
        </w:rPr>
        <w:t xml:space="preserve">the system.  Therefore, it </w:t>
      </w:r>
      <w:r w:rsidR="005F388F" w:rsidRPr="00670B27">
        <w:rPr>
          <w:rFonts w:eastAsia="Calibri"/>
        </w:rPr>
        <w:t>is</w:t>
      </w:r>
      <w:r w:rsidR="00D5797A" w:rsidRPr="00670B27">
        <w:rPr>
          <w:rFonts w:eastAsia="Calibri"/>
        </w:rPr>
        <w:t xml:space="preserve"> more appropriate for these expenses to be included </w:t>
      </w:r>
      <w:r w:rsidR="00D5797A">
        <w:rPr>
          <w:rFonts w:eastAsia="Calibri"/>
        </w:rPr>
        <w:t>in the transaction costs associated with the transfer of the assets of the Company, should the system be acquired by another operator.</w:t>
      </w:r>
      <w:r w:rsidR="00C569AC">
        <w:rPr>
          <w:rStyle w:val="FootnoteReference"/>
          <w:rFonts w:eastAsia="Calibri"/>
        </w:rPr>
        <w:footnoteReference w:id="5"/>
      </w:r>
      <w:r w:rsidR="00D5797A">
        <w:rPr>
          <w:rFonts w:eastAsia="Calibri"/>
        </w:rPr>
        <w:t xml:space="preserve">  </w:t>
      </w:r>
    </w:p>
    <w:p w:rsidR="000B5FE7" w:rsidRDefault="000B5FE7" w:rsidP="006530A2">
      <w:pPr>
        <w:rPr>
          <w:rFonts w:eastAsia="Calibri"/>
        </w:rPr>
      </w:pPr>
    </w:p>
    <w:p w:rsidR="005F388F" w:rsidRDefault="005F388F" w:rsidP="006530A2">
      <w:pPr>
        <w:rPr>
          <w:rFonts w:eastAsiaTheme="minorHAnsi"/>
        </w:rPr>
      </w:pPr>
      <w:r>
        <w:rPr>
          <w:rFonts w:eastAsia="Calibri"/>
        </w:rPr>
        <w:t xml:space="preserve">We also note that these non-rate case legal fees </w:t>
      </w:r>
      <w:r w:rsidR="00C569AC" w:rsidRPr="00670B27">
        <w:rPr>
          <w:rFonts w:eastAsia="Calibri"/>
        </w:rPr>
        <w:t>would</w:t>
      </w:r>
      <w:r w:rsidR="00C569AC">
        <w:rPr>
          <w:rFonts w:eastAsia="Calibri"/>
        </w:rPr>
        <w:t xml:space="preserve"> </w:t>
      </w:r>
      <w:r>
        <w:rPr>
          <w:rFonts w:eastAsia="Calibri"/>
        </w:rPr>
        <w:t>have a significant impact on the DSC</w:t>
      </w:r>
      <w:r w:rsidR="002061B0">
        <w:rPr>
          <w:rFonts w:eastAsia="Calibri"/>
        </w:rPr>
        <w:t>’</w:t>
      </w:r>
      <w:r>
        <w:rPr>
          <w:rFonts w:eastAsia="Calibri"/>
        </w:rPr>
        <w:t xml:space="preserve">s customers.  These expenses </w:t>
      </w:r>
      <w:r w:rsidR="00F84C0D">
        <w:rPr>
          <w:rFonts w:eastAsia="Calibri"/>
        </w:rPr>
        <w:t xml:space="preserve">have risen to </w:t>
      </w:r>
      <w:r w:rsidR="00F84C0D">
        <w:rPr>
          <w:rFonts w:eastAsiaTheme="minorHAnsi"/>
        </w:rPr>
        <w:t xml:space="preserve">$21,506, and are likely to climb higher.  At the current proposed annual amortization of $4,301, each of the thirty-eight ratepayers would be required to contribute about $113 per year </w:t>
      </w:r>
      <w:r w:rsidR="00116FBE">
        <w:rPr>
          <w:rFonts w:eastAsiaTheme="minorHAnsi"/>
        </w:rPr>
        <w:t xml:space="preserve">just </w:t>
      </w:r>
      <w:r w:rsidR="00D11E90">
        <w:rPr>
          <w:rFonts w:eastAsiaTheme="minorHAnsi"/>
        </w:rPr>
        <w:t>for the</w:t>
      </w:r>
      <w:r w:rsidR="00F84C0D">
        <w:rPr>
          <w:rFonts w:eastAsiaTheme="minorHAnsi"/>
        </w:rPr>
        <w:t xml:space="preserve"> costs of </w:t>
      </w:r>
      <w:r w:rsidR="00D5797A">
        <w:rPr>
          <w:rFonts w:eastAsiaTheme="minorHAnsi"/>
        </w:rPr>
        <w:t>DSC</w:t>
      </w:r>
      <w:r w:rsidR="002061B0">
        <w:rPr>
          <w:rFonts w:eastAsiaTheme="minorHAnsi"/>
        </w:rPr>
        <w:t>’</w:t>
      </w:r>
      <w:r w:rsidR="00D5797A">
        <w:rPr>
          <w:rFonts w:eastAsiaTheme="minorHAnsi"/>
        </w:rPr>
        <w:t xml:space="preserve">s decision to </w:t>
      </w:r>
      <w:r w:rsidR="00F84C0D">
        <w:rPr>
          <w:rFonts w:eastAsiaTheme="minorHAnsi"/>
        </w:rPr>
        <w:t>pursu</w:t>
      </w:r>
      <w:r w:rsidR="00D5797A">
        <w:rPr>
          <w:rFonts w:eastAsiaTheme="minorHAnsi"/>
        </w:rPr>
        <w:t>e its</w:t>
      </w:r>
      <w:r w:rsidR="00F84C0D">
        <w:rPr>
          <w:rFonts w:eastAsiaTheme="minorHAnsi"/>
        </w:rPr>
        <w:t xml:space="preserve"> </w:t>
      </w:r>
      <w:r w:rsidR="00D11E90">
        <w:rPr>
          <w:rFonts w:eastAsiaTheme="minorHAnsi"/>
        </w:rPr>
        <w:t xml:space="preserve">Section </w:t>
      </w:r>
      <w:r w:rsidR="00CD5CCE">
        <w:rPr>
          <w:rFonts w:eastAsiaTheme="minorHAnsi"/>
        </w:rPr>
        <w:t>5</w:t>
      </w:r>
      <w:r w:rsidR="00D11E90">
        <w:rPr>
          <w:rFonts w:eastAsiaTheme="minorHAnsi"/>
        </w:rPr>
        <w:t xml:space="preserve">29 </w:t>
      </w:r>
      <w:r w:rsidR="00F84C0D">
        <w:rPr>
          <w:rFonts w:eastAsiaTheme="minorHAnsi"/>
        </w:rPr>
        <w:t xml:space="preserve">Petition. </w:t>
      </w:r>
      <w:r w:rsidR="00116FBE">
        <w:rPr>
          <w:rFonts w:eastAsiaTheme="minorHAnsi"/>
        </w:rPr>
        <w:t xml:space="preserve"> </w:t>
      </w:r>
    </w:p>
    <w:p w:rsidR="00BF0814" w:rsidRDefault="00BF0814" w:rsidP="006530A2">
      <w:pPr>
        <w:rPr>
          <w:rFonts w:eastAsiaTheme="minorHAnsi"/>
        </w:rPr>
      </w:pPr>
    </w:p>
    <w:p w:rsidR="00635732" w:rsidRDefault="00116FBE" w:rsidP="006530A2">
      <w:pPr>
        <w:rPr>
          <w:rFonts w:eastAsia="Calibri"/>
        </w:rPr>
      </w:pPr>
      <w:r>
        <w:rPr>
          <w:rFonts w:eastAsiaTheme="minorHAnsi"/>
        </w:rPr>
        <w:t>In declining to include the Company</w:t>
      </w:r>
      <w:r w:rsidR="002061B0">
        <w:rPr>
          <w:rFonts w:eastAsiaTheme="minorHAnsi"/>
        </w:rPr>
        <w:t>’</w:t>
      </w:r>
      <w:r>
        <w:rPr>
          <w:rFonts w:eastAsiaTheme="minorHAnsi"/>
        </w:rPr>
        <w:t xml:space="preserve">s </w:t>
      </w:r>
      <w:r>
        <w:rPr>
          <w:rFonts w:eastAsia="Calibri"/>
        </w:rPr>
        <w:t xml:space="preserve">Section </w:t>
      </w:r>
      <w:r w:rsidR="00CD5CCE">
        <w:rPr>
          <w:rFonts w:eastAsia="Calibri"/>
        </w:rPr>
        <w:t>5</w:t>
      </w:r>
      <w:r>
        <w:rPr>
          <w:rFonts w:eastAsia="Calibri"/>
        </w:rPr>
        <w:t xml:space="preserve">29 Petition expenses in </w:t>
      </w:r>
      <w:r w:rsidRPr="00116FBE">
        <w:rPr>
          <w:rFonts w:eastAsia="Calibri"/>
          <w:i/>
        </w:rPr>
        <w:t>this</w:t>
      </w:r>
      <w:r>
        <w:rPr>
          <w:rFonts w:eastAsia="Calibri"/>
        </w:rPr>
        <w:t xml:space="preserve"> rate proceeding, we are not making a determination on the prudency or future recovery of these costs</w:t>
      </w:r>
      <w:r w:rsidR="00135960">
        <w:rPr>
          <w:rFonts w:eastAsia="Calibri"/>
        </w:rPr>
        <w:t xml:space="preserve"> or the merits of the Company</w:t>
      </w:r>
      <w:r w:rsidR="002061B0">
        <w:rPr>
          <w:rFonts w:eastAsia="Calibri"/>
        </w:rPr>
        <w:t>’</w:t>
      </w:r>
      <w:r w:rsidR="00135960">
        <w:rPr>
          <w:rFonts w:eastAsia="Calibri"/>
        </w:rPr>
        <w:t xml:space="preserve">s </w:t>
      </w:r>
      <w:r w:rsidR="00C76084">
        <w:rPr>
          <w:rFonts w:eastAsia="Calibri"/>
        </w:rPr>
        <w:t xml:space="preserve">Section 529 </w:t>
      </w:r>
      <w:r w:rsidR="00156333">
        <w:rPr>
          <w:rFonts w:eastAsia="Calibri"/>
        </w:rPr>
        <w:t>Petition</w:t>
      </w:r>
      <w:r>
        <w:rPr>
          <w:rFonts w:eastAsia="Calibri"/>
        </w:rPr>
        <w:t xml:space="preserve">.  </w:t>
      </w:r>
    </w:p>
    <w:p w:rsidR="00D5797A" w:rsidRDefault="00D5797A" w:rsidP="006530A2">
      <w:pPr>
        <w:rPr>
          <w:rFonts w:eastAsia="Calibri"/>
        </w:rPr>
      </w:pPr>
    </w:p>
    <w:p w:rsidR="00E20017" w:rsidRDefault="0073392D" w:rsidP="0073392D">
      <w:pPr>
        <w:pStyle w:val="Heading3"/>
        <w:rPr>
          <w:rFonts w:eastAsia="Calibri"/>
        </w:rPr>
      </w:pPr>
      <w:bookmarkStart w:id="13" w:name="_Toc425179775"/>
      <w:r>
        <w:rPr>
          <w:rFonts w:eastAsia="Calibri"/>
        </w:rPr>
        <w:t>Rate Case Expense</w:t>
      </w:r>
      <w:bookmarkEnd w:id="13"/>
    </w:p>
    <w:p w:rsidR="00E20017" w:rsidRDefault="00E20017" w:rsidP="006530A2">
      <w:pPr>
        <w:rPr>
          <w:rFonts w:eastAsia="Calibri"/>
        </w:rPr>
      </w:pPr>
    </w:p>
    <w:p w:rsidR="0073392D" w:rsidRPr="00F84C0D" w:rsidRDefault="0073392D" w:rsidP="00F84C0D">
      <w:pPr>
        <w:pStyle w:val="Heading4"/>
        <w:numPr>
          <w:ilvl w:val="0"/>
          <w:numId w:val="31"/>
        </w:numPr>
        <w:ind w:left="2160" w:hanging="720"/>
        <w:rPr>
          <w:rFonts w:eastAsia="Calibri"/>
        </w:rPr>
      </w:pPr>
      <w:r w:rsidRPr="00F84C0D">
        <w:rPr>
          <w:rFonts w:eastAsia="Calibri"/>
        </w:rPr>
        <w:t>Company Claim</w:t>
      </w:r>
    </w:p>
    <w:p w:rsidR="0073392D" w:rsidRDefault="0073392D" w:rsidP="006530A2">
      <w:pPr>
        <w:rPr>
          <w:rFonts w:eastAsia="Calibri"/>
        </w:rPr>
      </w:pPr>
    </w:p>
    <w:p w:rsidR="0073392D" w:rsidRPr="00EC532F" w:rsidRDefault="00D37245" w:rsidP="00D37245">
      <w:pPr>
        <w:rPr>
          <w:rFonts w:eastAsia="Calibri"/>
        </w:rPr>
      </w:pPr>
      <w:r>
        <w:rPr>
          <w:rFonts w:eastAsiaTheme="minorHAnsi"/>
        </w:rPr>
        <w:t xml:space="preserve">The Company initially claimed </w:t>
      </w:r>
      <w:r w:rsidR="00BD05B2">
        <w:rPr>
          <w:rFonts w:eastAsiaTheme="minorHAnsi"/>
        </w:rPr>
        <w:t xml:space="preserve">a </w:t>
      </w:r>
      <w:r>
        <w:rPr>
          <w:rFonts w:eastAsiaTheme="minorHAnsi"/>
        </w:rPr>
        <w:t xml:space="preserve">rate case expense of $3,200, which was based on a fully-litigated case with estimated total rate case expense of $9,600 normalized over a </w:t>
      </w:r>
      <w:r w:rsidR="005308F1">
        <w:rPr>
          <w:rFonts w:eastAsiaTheme="minorHAnsi"/>
        </w:rPr>
        <w:t>three-</w:t>
      </w:r>
      <w:r>
        <w:rPr>
          <w:rFonts w:eastAsiaTheme="minorHAnsi"/>
        </w:rPr>
        <w:t xml:space="preserve">year period.  DSC St. DMK-1R at </w:t>
      </w:r>
      <w:r>
        <w:rPr>
          <w:rFonts w:eastAsiaTheme="minorHAnsi"/>
          <w:sz w:val="22"/>
          <w:szCs w:val="22"/>
        </w:rPr>
        <w:t xml:space="preserve">9.  </w:t>
      </w:r>
      <w:r>
        <w:rPr>
          <w:rFonts w:eastAsiaTheme="minorHAnsi"/>
        </w:rPr>
        <w:t xml:space="preserve">In rebuttal testimony, DSC witness Mr. </w:t>
      </w:r>
      <w:proofErr w:type="spellStart"/>
      <w:r>
        <w:rPr>
          <w:rFonts w:eastAsiaTheme="minorHAnsi"/>
        </w:rPr>
        <w:t>Kalbarczyk</w:t>
      </w:r>
      <w:proofErr w:type="spellEnd"/>
      <w:r>
        <w:rPr>
          <w:rFonts w:eastAsiaTheme="minorHAnsi"/>
        </w:rPr>
        <w:t xml:space="preserve"> explained that actual rate case expense was exceeding the </w:t>
      </w:r>
      <w:r>
        <w:rPr>
          <w:rFonts w:eastAsiaTheme="minorHAnsi"/>
        </w:rPr>
        <w:lastRenderedPageBreak/>
        <w:t xml:space="preserve">estimate and that total rate case expense would be $23,600.  Normalized over three years, the annual rate case expense claim was updated to $7,866.  </w:t>
      </w:r>
      <w:r w:rsidR="00EC532F" w:rsidRPr="00EC532F">
        <w:rPr>
          <w:rFonts w:eastAsiaTheme="minorHAnsi"/>
          <w:i/>
        </w:rPr>
        <w:t>Id</w:t>
      </w:r>
      <w:r w:rsidR="00EC532F">
        <w:rPr>
          <w:rFonts w:eastAsiaTheme="minorHAnsi"/>
        </w:rPr>
        <w:t xml:space="preserve">. at </w:t>
      </w:r>
      <w:r>
        <w:rPr>
          <w:rFonts w:eastAsiaTheme="minorHAnsi"/>
        </w:rPr>
        <w:t xml:space="preserve">11-12.  The Company averred that a </w:t>
      </w:r>
      <w:r w:rsidR="00EC532F">
        <w:rPr>
          <w:rFonts w:eastAsiaTheme="minorHAnsi"/>
        </w:rPr>
        <w:t>three</w:t>
      </w:r>
      <w:r>
        <w:rPr>
          <w:rFonts w:eastAsiaTheme="minorHAnsi"/>
        </w:rPr>
        <w:t xml:space="preserve">-year normalization period is appropriate because, if the Company continues to provide sewer service, there will be a need for more frequent rate </w:t>
      </w:r>
      <w:r w:rsidRPr="00EC532F">
        <w:rPr>
          <w:rFonts w:eastAsiaTheme="minorHAnsi"/>
        </w:rPr>
        <w:t xml:space="preserve">cases to </w:t>
      </w:r>
      <w:r w:rsidR="00EC532F">
        <w:rPr>
          <w:rFonts w:eastAsiaTheme="minorHAnsi"/>
        </w:rPr>
        <w:t>avoid rate filings that request large increases in rates.</w:t>
      </w:r>
      <w:r w:rsidRPr="00EC532F">
        <w:rPr>
          <w:rFonts w:eastAsiaTheme="minorHAnsi"/>
        </w:rPr>
        <w:t xml:space="preserve"> </w:t>
      </w:r>
      <w:r w:rsidR="00EC532F" w:rsidRPr="00EC532F">
        <w:rPr>
          <w:rFonts w:eastAsiaTheme="minorHAnsi"/>
        </w:rPr>
        <w:t xml:space="preserve"> </w:t>
      </w:r>
      <w:r w:rsidR="00EC532F" w:rsidRPr="00EC532F">
        <w:rPr>
          <w:rFonts w:eastAsiaTheme="minorHAnsi"/>
          <w:i/>
        </w:rPr>
        <w:t>Id</w:t>
      </w:r>
      <w:r w:rsidR="00EC532F" w:rsidRPr="00EC532F">
        <w:rPr>
          <w:rFonts w:eastAsiaTheme="minorHAnsi"/>
        </w:rPr>
        <w:t xml:space="preserve">. </w:t>
      </w:r>
      <w:r w:rsidRPr="00EC532F">
        <w:rPr>
          <w:rFonts w:eastAsiaTheme="minorHAnsi"/>
        </w:rPr>
        <w:t>at 9.</w:t>
      </w:r>
    </w:p>
    <w:p w:rsidR="00E20017" w:rsidRDefault="00E20017" w:rsidP="006530A2">
      <w:pPr>
        <w:rPr>
          <w:rFonts w:eastAsia="Calibri"/>
        </w:rPr>
      </w:pPr>
    </w:p>
    <w:p w:rsidR="00E20017" w:rsidRDefault="00EC532F" w:rsidP="005308F1">
      <w:pPr>
        <w:pStyle w:val="Heading4"/>
        <w:ind w:left="2160" w:hanging="720"/>
        <w:rPr>
          <w:rFonts w:eastAsia="Calibri"/>
        </w:rPr>
      </w:pPr>
      <w:r>
        <w:rPr>
          <w:rFonts w:eastAsia="Calibri"/>
        </w:rPr>
        <w:t>ALJ Recommendation</w:t>
      </w:r>
    </w:p>
    <w:p w:rsidR="00EC532F" w:rsidRDefault="00EC532F" w:rsidP="00EC532F">
      <w:pPr>
        <w:rPr>
          <w:rFonts w:eastAsia="Calibri"/>
        </w:rPr>
      </w:pPr>
    </w:p>
    <w:p w:rsidR="00EC532F" w:rsidRDefault="00EC532F" w:rsidP="005B12A5">
      <w:pPr>
        <w:rPr>
          <w:rFonts w:eastAsia="Calibri"/>
        </w:rPr>
      </w:pPr>
      <w:r>
        <w:rPr>
          <w:rFonts w:eastAsia="Calibri"/>
        </w:rPr>
        <w:t xml:space="preserve">The ALJ explained that DSC has not filed </w:t>
      </w:r>
      <w:r w:rsidR="00D11E90">
        <w:rPr>
          <w:rFonts w:eastAsia="Calibri"/>
        </w:rPr>
        <w:t xml:space="preserve">a rate case </w:t>
      </w:r>
      <w:r w:rsidR="00603F52">
        <w:rPr>
          <w:rFonts w:eastAsia="Calibri"/>
        </w:rPr>
        <w:t xml:space="preserve">in the eighteen years </w:t>
      </w:r>
      <w:r>
        <w:rPr>
          <w:rFonts w:eastAsia="Calibri"/>
        </w:rPr>
        <w:t>since it began operating in 1996</w:t>
      </w:r>
      <w:r w:rsidR="00603F52">
        <w:rPr>
          <w:rFonts w:eastAsia="Calibri"/>
        </w:rPr>
        <w:t>.</w:t>
      </w:r>
      <w:r>
        <w:rPr>
          <w:rFonts w:eastAsia="Calibri"/>
        </w:rPr>
        <w:t xml:space="preserve">  The ALJ noted that</w:t>
      </w:r>
      <w:r w:rsidR="00191324">
        <w:rPr>
          <w:rFonts w:eastAsia="Calibri"/>
        </w:rPr>
        <w:t xml:space="preserve"> neither I&amp;E nor the OCA recommended any adjustment to the revised $23,600 total rate case expense claim.  The ALJ also noted that, </w:t>
      </w:r>
      <w:r>
        <w:rPr>
          <w:rFonts w:eastAsia="Calibri"/>
        </w:rPr>
        <w:t>recognizing the lack of rate case filings, I&amp;E recommend</w:t>
      </w:r>
      <w:r w:rsidR="00191324">
        <w:rPr>
          <w:rFonts w:eastAsia="Calibri"/>
        </w:rPr>
        <w:t>ed</w:t>
      </w:r>
      <w:r>
        <w:rPr>
          <w:rFonts w:eastAsia="Calibri"/>
        </w:rPr>
        <w:t xml:space="preserve"> a normalization period of five years</w:t>
      </w:r>
      <w:r w:rsidR="00191324" w:rsidRPr="00191324">
        <w:rPr>
          <w:rFonts w:eastAsia="Calibri"/>
        </w:rPr>
        <w:t xml:space="preserve"> </w:t>
      </w:r>
      <w:r w:rsidR="00191324">
        <w:rPr>
          <w:rFonts w:eastAsia="Calibri"/>
        </w:rPr>
        <w:t>and the OCA recommended a normalization period of six years.</w:t>
      </w:r>
      <w:r>
        <w:rPr>
          <w:rFonts w:eastAsia="Calibri"/>
        </w:rPr>
        <w:t xml:space="preserve">  </w:t>
      </w:r>
      <w:r w:rsidR="00191324">
        <w:rPr>
          <w:rFonts w:eastAsia="Calibri"/>
        </w:rPr>
        <w:t xml:space="preserve">R.D. at 18. </w:t>
      </w:r>
    </w:p>
    <w:p w:rsidR="00EC532F" w:rsidRDefault="00EC532F" w:rsidP="00EC532F">
      <w:pPr>
        <w:rPr>
          <w:rFonts w:eastAsia="Calibri"/>
        </w:rPr>
      </w:pPr>
    </w:p>
    <w:p w:rsidR="00EC532F" w:rsidRDefault="00191324" w:rsidP="005B12A5">
      <w:pPr>
        <w:rPr>
          <w:rFonts w:eastAsia="Calibri"/>
        </w:rPr>
      </w:pPr>
      <w:r>
        <w:rPr>
          <w:rFonts w:eastAsia="Calibri"/>
        </w:rPr>
        <w:t>The ALJ stated that i</w:t>
      </w:r>
      <w:r w:rsidR="00EC532F">
        <w:rPr>
          <w:rFonts w:eastAsia="Calibri"/>
        </w:rPr>
        <w:t xml:space="preserve">t is clear that the future of DSC is in flux.  </w:t>
      </w:r>
      <w:r>
        <w:rPr>
          <w:rFonts w:eastAsia="Calibri"/>
        </w:rPr>
        <w:t>The ALJ submitted that t</w:t>
      </w:r>
      <w:r w:rsidR="00EC532F">
        <w:rPr>
          <w:rFonts w:eastAsia="Calibri"/>
        </w:rPr>
        <w:t>he customers are not to blame for the lack of rate case filings throughout the</w:t>
      </w:r>
      <w:r w:rsidR="00791B6C">
        <w:rPr>
          <w:rFonts w:eastAsia="Calibri"/>
        </w:rPr>
        <w:t xml:space="preserve"> Company</w:t>
      </w:r>
      <w:r w:rsidR="002061B0">
        <w:rPr>
          <w:rFonts w:eastAsia="Calibri"/>
        </w:rPr>
        <w:t>’</w:t>
      </w:r>
      <w:r w:rsidR="00791B6C">
        <w:rPr>
          <w:rFonts w:eastAsia="Calibri"/>
        </w:rPr>
        <w:t>s</w:t>
      </w:r>
      <w:r w:rsidR="00EC532F">
        <w:rPr>
          <w:rFonts w:eastAsia="Calibri"/>
        </w:rPr>
        <w:t xml:space="preserve"> eighteen</w:t>
      </w:r>
      <w:r>
        <w:rPr>
          <w:rFonts w:eastAsia="Calibri"/>
        </w:rPr>
        <w:t>-</w:t>
      </w:r>
      <w:r w:rsidR="00EC532F">
        <w:rPr>
          <w:rFonts w:eastAsia="Calibri"/>
        </w:rPr>
        <w:t xml:space="preserve">year history.  </w:t>
      </w:r>
      <w:r>
        <w:rPr>
          <w:rFonts w:eastAsia="Calibri"/>
        </w:rPr>
        <w:t>The ALJ opined that i</w:t>
      </w:r>
      <w:r w:rsidRPr="003C2B04">
        <w:t xml:space="preserve">t is the historical filings, not the actual intentions of the utility, which </w:t>
      </w:r>
      <w:r w:rsidR="00791B6C">
        <w:t>should</w:t>
      </w:r>
      <w:r w:rsidR="00791B6C" w:rsidRPr="003C2B04">
        <w:t xml:space="preserve"> </w:t>
      </w:r>
      <w:r w:rsidRPr="003C2B04">
        <w:t xml:space="preserve">guide the determination of the normalization period.  </w:t>
      </w:r>
      <w:r>
        <w:t xml:space="preserve">R.D. at 19, </w:t>
      </w:r>
      <w:r w:rsidRPr="00C63E48">
        <w:t>citing</w:t>
      </w:r>
      <w:r w:rsidRPr="00191324">
        <w:rPr>
          <w:i/>
        </w:rPr>
        <w:t xml:space="preserve"> </w:t>
      </w:r>
      <w:r w:rsidRPr="003C2B04">
        <w:rPr>
          <w:i/>
        </w:rPr>
        <w:t>Pa. P</w:t>
      </w:r>
      <w:r w:rsidR="00791B6C">
        <w:rPr>
          <w:i/>
        </w:rPr>
        <w:t>UC</w:t>
      </w:r>
      <w:r w:rsidRPr="003C2B04">
        <w:rPr>
          <w:i/>
        </w:rPr>
        <w:t xml:space="preserve"> v. City of Lancaster</w:t>
      </w:r>
      <w:r w:rsidR="00791B6C">
        <w:rPr>
          <w:i/>
        </w:rPr>
        <w:t xml:space="preserve"> Water Company</w:t>
      </w:r>
      <w:r w:rsidRPr="003C2B04">
        <w:rPr>
          <w:i/>
        </w:rPr>
        <w:t>,</w:t>
      </w:r>
      <w:r w:rsidR="00C63E48">
        <w:rPr>
          <w:i/>
        </w:rPr>
        <w:t xml:space="preserve"> </w:t>
      </w:r>
      <w:r w:rsidR="00791B6C">
        <w:t>Docket No.</w:t>
      </w:r>
      <w:r w:rsidRPr="003C2B04">
        <w:t xml:space="preserve"> R-2010-2179103 (Order entered July</w:t>
      </w:r>
      <w:r>
        <w:t> </w:t>
      </w:r>
      <w:r w:rsidRPr="003C2B04">
        <w:t>14, 2011)</w:t>
      </w:r>
      <w:r w:rsidR="004B0052">
        <w:t xml:space="preserve"> (</w:t>
      </w:r>
      <w:r w:rsidR="004B0052" w:rsidRPr="004B0052">
        <w:rPr>
          <w:i/>
        </w:rPr>
        <w:t>City of Lancaster Water</w:t>
      </w:r>
      <w:r w:rsidR="004B0052">
        <w:t>)</w:t>
      </w:r>
      <w:r w:rsidRPr="003C2B04">
        <w:t xml:space="preserve">; </w:t>
      </w:r>
      <w:r w:rsidRPr="003C2B04">
        <w:rPr>
          <w:i/>
        </w:rPr>
        <w:t>Pa. P</w:t>
      </w:r>
      <w:r w:rsidR="00791B6C">
        <w:rPr>
          <w:i/>
        </w:rPr>
        <w:t>UC</w:t>
      </w:r>
      <w:r w:rsidRPr="003C2B04">
        <w:rPr>
          <w:i/>
        </w:rPr>
        <w:t xml:space="preserve"> v. Metropolitan Edison Company, </w:t>
      </w:r>
      <w:r w:rsidR="00791B6C">
        <w:t xml:space="preserve">Docket No. </w:t>
      </w:r>
      <w:r w:rsidRPr="003C2B04">
        <w:t>R-00061366 (Order entered January 4, 20</w:t>
      </w:r>
      <w:r w:rsidR="00791B6C">
        <w:t>0</w:t>
      </w:r>
      <w:r w:rsidRPr="003C2B04">
        <w:t>7)</w:t>
      </w:r>
      <w:r w:rsidR="004B0052">
        <w:t xml:space="preserve"> (</w:t>
      </w:r>
      <w:r w:rsidR="004B0052" w:rsidRPr="004B0052">
        <w:rPr>
          <w:i/>
        </w:rPr>
        <w:t>Met-Ed</w:t>
      </w:r>
      <w:r w:rsidR="004B0052">
        <w:t>)</w:t>
      </w:r>
      <w:r w:rsidRPr="003C2B04">
        <w:t>.</w:t>
      </w:r>
      <w:r>
        <w:t xml:space="preserve">  </w:t>
      </w:r>
      <w:r w:rsidR="005B12A5">
        <w:t>Accordingly</w:t>
      </w:r>
      <w:r>
        <w:t xml:space="preserve">, </w:t>
      </w:r>
      <w:r w:rsidR="005B12A5">
        <w:t>the ALJ found that t</w:t>
      </w:r>
      <w:r w:rsidR="00EC532F">
        <w:rPr>
          <w:rFonts w:eastAsia="Calibri"/>
        </w:rPr>
        <w:t xml:space="preserve">he rate case expense must be normalized over a longer period to accurately reflect the patterns of the </w:t>
      </w:r>
      <w:r w:rsidR="005B12A5">
        <w:rPr>
          <w:rFonts w:eastAsia="Calibri"/>
        </w:rPr>
        <w:t>C</w:t>
      </w:r>
      <w:r w:rsidR="00EC532F">
        <w:rPr>
          <w:rFonts w:eastAsia="Calibri"/>
        </w:rPr>
        <w:t xml:space="preserve">ompany.  Therefore, </w:t>
      </w:r>
      <w:r w:rsidR="005B12A5">
        <w:rPr>
          <w:rFonts w:eastAsia="Calibri"/>
        </w:rPr>
        <w:t xml:space="preserve">the ALJ </w:t>
      </w:r>
      <w:r w:rsidR="00603F52">
        <w:rPr>
          <w:rFonts w:eastAsia="Calibri"/>
        </w:rPr>
        <w:t xml:space="preserve">agreed with the OCA and </w:t>
      </w:r>
      <w:r w:rsidR="005B12A5">
        <w:rPr>
          <w:rFonts w:eastAsia="Calibri"/>
        </w:rPr>
        <w:t xml:space="preserve">recommended that </w:t>
      </w:r>
      <w:r w:rsidR="00EC532F">
        <w:rPr>
          <w:rFonts w:eastAsia="Calibri"/>
        </w:rPr>
        <w:t>the rate case expense</w:t>
      </w:r>
      <w:r w:rsidR="005B12A5">
        <w:rPr>
          <w:rFonts w:eastAsia="Calibri"/>
        </w:rPr>
        <w:t xml:space="preserve"> of </w:t>
      </w:r>
      <w:r w:rsidR="00EC532F">
        <w:rPr>
          <w:rFonts w:eastAsia="Calibri"/>
        </w:rPr>
        <w:t>$23,600 be normalized over a six year</w:t>
      </w:r>
      <w:r w:rsidR="005B12A5">
        <w:rPr>
          <w:rFonts w:eastAsia="Calibri"/>
        </w:rPr>
        <w:t>s</w:t>
      </w:r>
      <w:r w:rsidR="00EC532F">
        <w:rPr>
          <w:rFonts w:eastAsia="Calibri"/>
        </w:rPr>
        <w:t xml:space="preserve"> </w:t>
      </w:r>
      <w:r w:rsidR="005B12A5">
        <w:rPr>
          <w:rFonts w:eastAsia="Calibri"/>
        </w:rPr>
        <w:t xml:space="preserve">resulting in </w:t>
      </w:r>
      <w:r w:rsidR="00EC532F">
        <w:rPr>
          <w:rFonts w:eastAsia="Calibri"/>
        </w:rPr>
        <w:t>a</w:t>
      </w:r>
      <w:r w:rsidR="00791B6C">
        <w:rPr>
          <w:rFonts w:eastAsia="Calibri"/>
        </w:rPr>
        <w:t xml:space="preserve"> normal expense claim </w:t>
      </w:r>
      <w:r w:rsidR="00EC532F">
        <w:rPr>
          <w:rFonts w:eastAsia="Calibri"/>
        </w:rPr>
        <w:t xml:space="preserve">of $3,933.  </w:t>
      </w:r>
    </w:p>
    <w:p w:rsidR="0045021E" w:rsidRPr="003C2B04" w:rsidRDefault="0045021E" w:rsidP="005B12A5"/>
    <w:p w:rsidR="00EC532F" w:rsidRDefault="005B12A5" w:rsidP="00493357">
      <w:pPr>
        <w:pStyle w:val="Heading4"/>
        <w:keepNext/>
        <w:ind w:left="2160" w:hanging="720"/>
        <w:rPr>
          <w:rFonts w:eastAsia="Calibri"/>
        </w:rPr>
      </w:pPr>
      <w:r>
        <w:rPr>
          <w:rFonts w:eastAsia="Calibri"/>
        </w:rPr>
        <w:lastRenderedPageBreak/>
        <w:t>Exceptions and Replies</w:t>
      </w:r>
    </w:p>
    <w:p w:rsidR="00EC532F" w:rsidRDefault="00EC532F" w:rsidP="00493357">
      <w:pPr>
        <w:keepNext/>
        <w:rPr>
          <w:rFonts w:eastAsia="Calibri"/>
        </w:rPr>
      </w:pPr>
    </w:p>
    <w:p w:rsidR="00EC532F" w:rsidRDefault="004C1AA3" w:rsidP="00493357">
      <w:pPr>
        <w:keepNext/>
        <w:rPr>
          <w:rFonts w:eastAsiaTheme="minorHAnsi"/>
        </w:rPr>
      </w:pPr>
      <w:r>
        <w:rPr>
          <w:rFonts w:eastAsiaTheme="minorHAnsi"/>
        </w:rPr>
        <w:t xml:space="preserve">In its Exceptions, the Company argues that the length of the normalization period is a significant matter because the total expense is an actual dollar cost and the Company has no current dollars with which to pay it.  DSC warns that the extended normalization period recommended </w:t>
      </w:r>
      <w:r w:rsidR="00AA3F22">
        <w:rPr>
          <w:rFonts w:eastAsiaTheme="minorHAnsi"/>
        </w:rPr>
        <w:t>by the ALJ</w:t>
      </w:r>
      <w:r>
        <w:rPr>
          <w:rFonts w:eastAsiaTheme="minorHAnsi"/>
        </w:rPr>
        <w:t xml:space="preserve"> has a direct impact on the Company</w:t>
      </w:r>
      <w:r w:rsidR="002061B0">
        <w:rPr>
          <w:rFonts w:eastAsiaTheme="minorHAnsi"/>
        </w:rPr>
        <w:t>’</w:t>
      </w:r>
      <w:r>
        <w:rPr>
          <w:rFonts w:eastAsiaTheme="minorHAnsi"/>
        </w:rPr>
        <w:t>s financial viability.  DSC Exc. at 14.</w:t>
      </w:r>
    </w:p>
    <w:p w:rsidR="004C1AA3" w:rsidRDefault="004C1AA3" w:rsidP="004C1AA3">
      <w:pPr>
        <w:rPr>
          <w:rFonts w:eastAsiaTheme="minorHAnsi"/>
        </w:rPr>
      </w:pPr>
    </w:p>
    <w:p w:rsidR="00010D42" w:rsidRPr="00A614DD" w:rsidRDefault="004C1AA3" w:rsidP="00A614DD">
      <w:pPr>
        <w:rPr>
          <w:rFonts w:eastAsiaTheme="minorHAnsi"/>
          <w:bCs/>
          <w:szCs w:val="26"/>
        </w:rPr>
      </w:pPr>
      <w:r>
        <w:rPr>
          <w:rFonts w:eastAsiaTheme="minorHAnsi"/>
        </w:rPr>
        <w:t xml:space="preserve">DSC </w:t>
      </w:r>
      <w:r w:rsidR="00603F52">
        <w:rPr>
          <w:rFonts w:eastAsiaTheme="minorHAnsi"/>
        </w:rPr>
        <w:t xml:space="preserve">contends </w:t>
      </w:r>
      <w:r>
        <w:rPr>
          <w:rFonts w:eastAsiaTheme="minorHAnsi"/>
        </w:rPr>
        <w:t xml:space="preserve">that neither of the two decisions cited by the ALJ, </w:t>
      </w:r>
      <w:r w:rsidRPr="004C1AA3">
        <w:rPr>
          <w:rFonts w:eastAsiaTheme="minorHAnsi"/>
          <w:i/>
        </w:rPr>
        <w:t>supra</w:t>
      </w:r>
      <w:r>
        <w:rPr>
          <w:rFonts w:eastAsiaTheme="minorHAnsi"/>
        </w:rPr>
        <w:t>, support</w:t>
      </w:r>
      <w:r w:rsidR="00791B6C">
        <w:rPr>
          <w:rFonts w:eastAsiaTheme="minorHAnsi"/>
        </w:rPr>
        <w:t>s</w:t>
      </w:r>
      <w:r>
        <w:rPr>
          <w:rFonts w:eastAsiaTheme="minorHAnsi"/>
        </w:rPr>
        <w:t xml:space="preserve"> a six-year normalization for this small sewer utility.  </w:t>
      </w:r>
      <w:r w:rsidR="00570F96">
        <w:rPr>
          <w:rFonts w:eastAsiaTheme="minorHAnsi"/>
        </w:rPr>
        <w:t xml:space="preserve">The Company opines that </w:t>
      </w:r>
      <w:r w:rsidR="00B25A12" w:rsidRPr="00B25A12">
        <w:rPr>
          <w:rFonts w:eastAsiaTheme="minorHAnsi"/>
        </w:rPr>
        <w:t>t</w:t>
      </w:r>
      <w:r w:rsidR="00570F96" w:rsidRPr="00B25A12">
        <w:rPr>
          <w:rFonts w:eastAsiaTheme="minorHAnsi"/>
        </w:rPr>
        <w:t xml:space="preserve">he circumstances here are most similar to those that existed in </w:t>
      </w:r>
      <w:r w:rsidR="00570F96" w:rsidRPr="00B25A12">
        <w:rPr>
          <w:rFonts w:eastAsiaTheme="minorHAnsi"/>
          <w:i/>
        </w:rPr>
        <w:t>Pa. P</w:t>
      </w:r>
      <w:r w:rsidR="00791B6C">
        <w:rPr>
          <w:rFonts w:eastAsiaTheme="minorHAnsi"/>
          <w:i/>
        </w:rPr>
        <w:t>UC</w:t>
      </w:r>
      <w:r w:rsidR="00570F96" w:rsidRPr="00B25A12">
        <w:rPr>
          <w:rFonts w:eastAsiaTheme="minorHAnsi"/>
          <w:i/>
        </w:rPr>
        <w:t xml:space="preserve"> v. Total</w:t>
      </w:r>
      <w:r w:rsidR="00B25A12" w:rsidRPr="00B25A12">
        <w:rPr>
          <w:rFonts w:eastAsiaTheme="minorHAnsi"/>
          <w:i/>
        </w:rPr>
        <w:t xml:space="preserve"> </w:t>
      </w:r>
      <w:r w:rsidR="00570F96" w:rsidRPr="00B25A12">
        <w:rPr>
          <w:rFonts w:eastAsiaTheme="minorHAnsi"/>
          <w:i/>
        </w:rPr>
        <w:t>Environmental Solutions, Inc. - Treasure Lake Water Division and Treasure Lake Wastewater</w:t>
      </w:r>
      <w:r w:rsidR="00B25A12" w:rsidRPr="00B25A12">
        <w:rPr>
          <w:rFonts w:eastAsiaTheme="minorHAnsi"/>
          <w:i/>
        </w:rPr>
        <w:t xml:space="preserve"> </w:t>
      </w:r>
      <w:r w:rsidR="00570F96" w:rsidRPr="00B25A12">
        <w:rPr>
          <w:rFonts w:eastAsiaTheme="minorHAnsi"/>
          <w:i/>
        </w:rPr>
        <w:t>Division</w:t>
      </w:r>
      <w:r w:rsidR="00570F96" w:rsidRPr="00B25A12">
        <w:rPr>
          <w:rFonts w:eastAsiaTheme="minorHAnsi"/>
        </w:rPr>
        <w:t>, 103 P</w:t>
      </w:r>
      <w:r w:rsidR="00791B6C">
        <w:rPr>
          <w:rFonts w:eastAsiaTheme="minorHAnsi"/>
        </w:rPr>
        <w:t>a.</w:t>
      </w:r>
      <w:r w:rsidR="00C63E48">
        <w:rPr>
          <w:rFonts w:eastAsiaTheme="minorHAnsi"/>
        </w:rPr>
        <w:t xml:space="preserve"> </w:t>
      </w:r>
      <w:r w:rsidR="00570F96" w:rsidRPr="00B25A12">
        <w:rPr>
          <w:rFonts w:eastAsiaTheme="minorHAnsi"/>
        </w:rPr>
        <w:t>PUC 110 (2008)</w:t>
      </w:r>
      <w:r w:rsidR="00AA3F22">
        <w:rPr>
          <w:rFonts w:eastAsiaTheme="minorHAnsi"/>
        </w:rPr>
        <w:t xml:space="preserve"> (</w:t>
      </w:r>
      <w:r w:rsidR="00AA3F22" w:rsidRPr="00AA3F22">
        <w:rPr>
          <w:rFonts w:eastAsiaTheme="minorHAnsi"/>
          <w:i/>
        </w:rPr>
        <w:t>Treasure Lake</w:t>
      </w:r>
      <w:r w:rsidR="00AA3F22">
        <w:rPr>
          <w:rFonts w:eastAsiaTheme="minorHAnsi"/>
        </w:rPr>
        <w:t>)</w:t>
      </w:r>
      <w:r w:rsidR="00570F96" w:rsidRPr="00B25A12">
        <w:rPr>
          <w:rFonts w:eastAsiaTheme="minorHAnsi"/>
        </w:rPr>
        <w:t xml:space="preserve">. </w:t>
      </w:r>
      <w:r w:rsidR="00B25A12" w:rsidRPr="00B25A12">
        <w:rPr>
          <w:rFonts w:eastAsiaTheme="minorHAnsi"/>
        </w:rPr>
        <w:t xml:space="preserve"> </w:t>
      </w:r>
      <w:r w:rsidR="00AA3F22">
        <w:rPr>
          <w:rFonts w:eastAsiaTheme="minorHAnsi"/>
        </w:rPr>
        <w:t xml:space="preserve">DSC explains that in </w:t>
      </w:r>
      <w:r w:rsidR="00AA3F22" w:rsidRPr="00010D42">
        <w:rPr>
          <w:rFonts w:eastAsiaTheme="minorHAnsi"/>
          <w:i/>
        </w:rPr>
        <w:t>Treasure Lake</w:t>
      </w:r>
      <w:r w:rsidR="00AA3F22">
        <w:rPr>
          <w:rFonts w:eastAsiaTheme="minorHAnsi"/>
        </w:rPr>
        <w:t>,</w:t>
      </w:r>
      <w:r w:rsidR="00570F96" w:rsidRPr="00B25A12">
        <w:rPr>
          <w:rFonts w:eastAsiaTheme="minorHAnsi"/>
        </w:rPr>
        <w:t xml:space="preserve"> both the </w:t>
      </w:r>
      <w:r w:rsidR="00010D42">
        <w:rPr>
          <w:rFonts w:eastAsiaTheme="minorHAnsi"/>
        </w:rPr>
        <w:t>Commission</w:t>
      </w:r>
      <w:r w:rsidR="002061B0">
        <w:rPr>
          <w:rFonts w:eastAsiaTheme="minorHAnsi"/>
        </w:rPr>
        <w:t>’</w:t>
      </w:r>
      <w:r w:rsidR="00010D42">
        <w:rPr>
          <w:rFonts w:eastAsiaTheme="minorHAnsi"/>
        </w:rPr>
        <w:t xml:space="preserve">s </w:t>
      </w:r>
      <w:r w:rsidR="00570F96" w:rsidRPr="00B25A12">
        <w:rPr>
          <w:rFonts w:eastAsiaTheme="minorHAnsi"/>
        </w:rPr>
        <w:t>Trial Staff</w:t>
      </w:r>
      <w:r w:rsidR="00010D42">
        <w:rPr>
          <w:rStyle w:val="FootnoteReference"/>
          <w:rFonts w:eastAsiaTheme="minorHAnsi"/>
        </w:rPr>
        <w:footnoteReference w:id="6"/>
      </w:r>
      <w:r w:rsidR="00570F96" w:rsidRPr="00B25A12">
        <w:rPr>
          <w:rFonts w:eastAsiaTheme="minorHAnsi"/>
        </w:rPr>
        <w:t xml:space="preserve"> and the OCA proposed a </w:t>
      </w:r>
      <w:r w:rsidR="00010D42">
        <w:rPr>
          <w:rFonts w:eastAsiaTheme="minorHAnsi"/>
        </w:rPr>
        <w:t xml:space="preserve">five-year </w:t>
      </w:r>
      <w:r w:rsidR="00570F96" w:rsidRPr="00B25A12">
        <w:rPr>
          <w:rFonts w:eastAsiaTheme="minorHAnsi"/>
        </w:rPr>
        <w:t>normalization period</w:t>
      </w:r>
      <w:r w:rsidR="00010D42">
        <w:rPr>
          <w:rFonts w:eastAsiaTheme="minorHAnsi"/>
        </w:rPr>
        <w:t xml:space="preserve"> while t</w:t>
      </w:r>
      <w:r w:rsidR="00570F96" w:rsidRPr="00B25A12">
        <w:rPr>
          <w:rFonts w:eastAsiaTheme="minorHAnsi"/>
        </w:rPr>
        <w:t>he Commission adopted the Company</w:t>
      </w:r>
      <w:r w:rsidR="002061B0">
        <w:rPr>
          <w:rFonts w:eastAsiaTheme="minorHAnsi"/>
        </w:rPr>
        <w:t>’</w:t>
      </w:r>
      <w:r w:rsidR="00570F96" w:rsidRPr="00B25A12">
        <w:rPr>
          <w:rFonts w:eastAsiaTheme="minorHAnsi"/>
        </w:rPr>
        <w:t xml:space="preserve">s proposed </w:t>
      </w:r>
      <w:r w:rsidR="00010D42">
        <w:rPr>
          <w:rFonts w:eastAsiaTheme="minorHAnsi"/>
        </w:rPr>
        <w:t>three-</w:t>
      </w:r>
      <w:r w:rsidR="00570F96" w:rsidRPr="00B25A12">
        <w:rPr>
          <w:rFonts w:eastAsiaTheme="minorHAnsi"/>
        </w:rPr>
        <w:t>year</w:t>
      </w:r>
      <w:r w:rsidR="00B25A12" w:rsidRPr="00B25A12">
        <w:rPr>
          <w:rFonts w:eastAsiaTheme="minorHAnsi"/>
        </w:rPr>
        <w:t xml:space="preserve"> </w:t>
      </w:r>
      <w:r w:rsidR="00570F96" w:rsidRPr="00B25A12">
        <w:rPr>
          <w:rFonts w:eastAsiaTheme="minorHAnsi"/>
        </w:rPr>
        <w:t>normalization period</w:t>
      </w:r>
      <w:r w:rsidR="00DF3274">
        <w:rPr>
          <w:rFonts w:eastAsiaTheme="minorHAnsi"/>
        </w:rPr>
        <w:t>.</w:t>
      </w:r>
      <w:r w:rsidR="00570F96" w:rsidRPr="00B25A12">
        <w:rPr>
          <w:rFonts w:eastAsiaTheme="minorHAnsi"/>
        </w:rPr>
        <w:t xml:space="preserve"> </w:t>
      </w:r>
      <w:r w:rsidR="00246764">
        <w:rPr>
          <w:rFonts w:eastAsiaTheme="minorHAnsi"/>
        </w:rPr>
        <w:t xml:space="preserve"> DSC Exc. at 15.  </w:t>
      </w:r>
      <w:r w:rsidR="00A614DD" w:rsidRPr="00A614DD">
        <w:rPr>
          <w:rFonts w:eastAsiaTheme="minorHAnsi"/>
          <w:szCs w:val="26"/>
        </w:rPr>
        <w:t xml:space="preserve">The Company </w:t>
      </w:r>
      <w:r w:rsidR="00246764">
        <w:rPr>
          <w:rFonts w:eastAsiaTheme="minorHAnsi"/>
          <w:szCs w:val="26"/>
        </w:rPr>
        <w:t xml:space="preserve">also </w:t>
      </w:r>
      <w:r w:rsidR="00A614DD" w:rsidRPr="00A614DD">
        <w:rPr>
          <w:rFonts w:eastAsiaTheme="minorHAnsi"/>
          <w:szCs w:val="26"/>
        </w:rPr>
        <w:t>submits that m</w:t>
      </w:r>
      <w:r w:rsidR="00010D42" w:rsidRPr="00A614DD">
        <w:rPr>
          <w:rFonts w:eastAsiaTheme="minorHAnsi"/>
          <w:szCs w:val="26"/>
        </w:rPr>
        <w:t xml:space="preserve">ore recently, </w:t>
      </w:r>
      <w:r w:rsidR="00010D42" w:rsidRPr="00A614DD">
        <w:rPr>
          <w:rFonts w:eastAsia="HiddenHorzOCR"/>
          <w:szCs w:val="26"/>
        </w:rPr>
        <w:t>as</w:t>
      </w:r>
      <w:r w:rsidR="00A614DD" w:rsidRPr="00A614DD">
        <w:rPr>
          <w:rFonts w:eastAsia="HiddenHorzOCR"/>
          <w:szCs w:val="26"/>
        </w:rPr>
        <w:t xml:space="preserve"> a</w:t>
      </w:r>
      <w:r w:rsidR="00010D42" w:rsidRPr="00A614DD">
        <w:rPr>
          <w:rFonts w:eastAsia="HiddenHorzOCR"/>
          <w:szCs w:val="26"/>
        </w:rPr>
        <w:t>cknowledged</w:t>
      </w:r>
      <w:r w:rsidR="00010D42" w:rsidRPr="00A614DD">
        <w:rPr>
          <w:rFonts w:ascii="HiddenHorzOCR" w:eastAsia="HiddenHorzOCR" w:cs="HiddenHorzOCR"/>
          <w:szCs w:val="26"/>
        </w:rPr>
        <w:t xml:space="preserve"> </w:t>
      </w:r>
      <w:r w:rsidR="00010D42" w:rsidRPr="00A614DD">
        <w:rPr>
          <w:rFonts w:eastAsiaTheme="minorHAnsi"/>
          <w:szCs w:val="26"/>
        </w:rPr>
        <w:t xml:space="preserve">by I&amp;E witness Keller, </w:t>
      </w:r>
      <w:r w:rsidR="00A614DD" w:rsidRPr="00A614DD">
        <w:rPr>
          <w:rFonts w:eastAsiaTheme="minorHAnsi"/>
          <w:szCs w:val="26"/>
        </w:rPr>
        <w:t>in the 2012 PPL Electric proceeding</w:t>
      </w:r>
      <w:r w:rsidR="00775546">
        <w:rPr>
          <w:rStyle w:val="FootnoteReference"/>
          <w:rFonts w:eastAsiaTheme="minorHAnsi"/>
          <w:szCs w:val="26"/>
        </w:rPr>
        <w:footnoteReference w:id="7"/>
      </w:r>
      <w:r w:rsidR="00A614DD" w:rsidRPr="00A614DD">
        <w:rPr>
          <w:rFonts w:eastAsiaTheme="minorHAnsi"/>
          <w:szCs w:val="26"/>
        </w:rPr>
        <w:t xml:space="preserve"> </w:t>
      </w:r>
      <w:r w:rsidR="00010D42" w:rsidRPr="00A614DD">
        <w:rPr>
          <w:rFonts w:eastAsiaTheme="minorHAnsi"/>
          <w:szCs w:val="26"/>
        </w:rPr>
        <w:t>the Commission approved a rate case normalization period reflective of the utility</w:t>
      </w:r>
      <w:r w:rsidR="002061B0">
        <w:rPr>
          <w:rFonts w:eastAsiaTheme="minorHAnsi"/>
          <w:szCs w:val="26"/>
        </w:rPr>
        <w:t>’</w:t>
      </w:r>
      <w:r w:rsidR="00010D42" w:rsidRPr="00A614DD">
        <w:rPr>
          <w:rFonts w:eastAsiaTheme="minorHAnsi"/>
          <w:szCs w:val="26"/>
        </w:rPr>
        <w:t>s rate case</w:t>
      </w:r>
      <w:r w:rsidR="00A614DD" w:rsidRPr="00A614DD">
        <w:rPr>
          <w:rFonts w:eastAsiaTheme="minorHAnsi"/>
          <w:szCs w:val="26"/>
        </w:rPr>
        <w:t xml:space="preserve"> </w:t>
      </w:r>
      <w:r w:rsidR="00010D42" w:rsidRPr="00A614DD">
        <w:rPr>
          <w:rFonts w:eastAsiaTheme="minorHAnsi"/>
          <w:szCs w:val="26"/>
        </w:rPr>
        <w:t xml:space="preserve">filing expectations. </w:t>
      </w:r>
      <w:r w:rsidR="00A614DD" w:rsidRPr="00A614DD">
        <w:rPr>
          <w:rFonts w:eastAsiaTheme="minorHAnsi"/>
          <w:szCs w:val="26"/>
        </w:rPr>
        <w:t xml:space="preserve"> DSC reports that </w:t>
      </w:r>
      <w:r w:rsidR="00010D42" w:rsidRPr="00A614DD">
        <w:rPr>
          <w:rFonts w:eastAsiaTheme="minorHAnsi"/>
          <w:szCs w:val="26"/>
        </w:rPr>
        <w:t>Mr. Keller acknowledged that if the PPL case were followed here, the</w:t>
      </w:r>
      <w:r w:rsidR="00A614DD" w:rsidRPr="00A614DD">
        <w:rPr>
          <w:rFonts w:eastAsiaTheme="minorHAnsi"/>
          <w:szCs w:val="26"/>
        </w:rPr>
        <w:t xml:space="preserve"> </w:t>
      </w:r>
      <w:r w:rsidR="00010D42" w:rsidRPr="00A614DD">
        <w:rPr>
          <w:rFonts w:eastAsiaTheme="minorHAnsi"/>
          <w:szCs w:val="26"/>
        </w:rPr>
        <w:t>normalization period for rate case expense would be based on DSC</w:t>
      </w:r>
      <w:r w:rsidR="002061B0">
        <w:rPr>
          <w:rFonts w:eastAsiaTheme="minorHAnsi"/>
          <w:szCs w:val="26"/>
        </w:rPr>
        <w:t>’</w:t>
      </w:r>
      <w:r w:rsidR="00010D42" w:rsidRPr="00A614DD">
        <w:rPr>
          <w:rFonts w:eastAsiaTheme="minorHAnsi"/>
          <w:szCs w:val="26"/>
        </w:rPr>
        <w:t xml:space="preserve">s filing expectations. </w:t>
      </w:r>
      <w:r w:rsidR="00A614DD" w:rsidRPr="00A614DD">
        <w:rPr>
          <w:rFonts w:eastAsiaTheme="minorHAnsi"/>
          <w:szCs w:val="26"/>
        </w:rPr>
        <w:t>DS</w:t>
      </w:r>
      <w:r w:rsidR="00BF0814">
        <w:rPr>
          <w:rFonts w:eastAsiaTheme="minorHAnsi"/>
          <w:szCs w:val="26"/>
        </w:rPr>
        <w:t>C</w:t>
      </w:r>
      <w:r w:rsidR="00A614DD" w:rsidRPr="00A614DD">
        <w:rPr>
          <w:rFonts w:eastAsiaTheme="minorHAnsi"/>
          <w:szCs w:val="26"/>
        </w:rPr>
        <w:t xml:space="preserve"> Exc. at 16, </w:t>
      </w:r>
      <w:r w:rsidR="00A614DD" w:rsidRPr="00BF0814">
        <w:rPr>
          <w:rFonts w:eastAsiaTheme="minorHAnsi"/>
          <w:szCs w:val="26"/>
        </w:rPr>
        <w:t>citing</w:t>
      </w:r>
      <w:r w:rsidR="00A614DD" w:rsidRPr="00A614DD">
        <w:rPr>
          <w:rFonts w:eastAsiaTheme="minorHAnsi"/>
          <w:szCs w:val="26"/>
        </w:rPr>
        <w:t xml:space="preserve"> Tr. at </w:t>
      </w:r>
      <w:r w:rsidR="00010D42" w:rsidRPr="00A614DD">
        <w:rPr>
          <w:rFonts w:eastAsiaTheme="minorHAnsi"/>
          <w:bCs/>
          <w:szCs w:val="26"/>
        </w:rPr>
        <w:t>111-</w:t>
      </w:r>
      <w:r w:rsidR="00A614DD" w:rsidRPr="00A614DD">
        <w:rPr>
          <w:rFonts w:eastAsiaTheme="minorHAnsi"/>
          <w:bCs/>
          <w:szCs w:val="26"/>
        </w:rPr>
        <w:t xml:space="preserve">12. </w:t>
      </w:r>
    </w:p>
    <w:p w:rsidR="006E0678" w:rsidRPr="00A614DD" w:rsidRDefault="006E0678" w:rsidP="00055068">
      <w:pPr>
        <w:rPr>
          <w:szCs w:val="26"/>
        </w:rPr>
      </w:pPr>
    </w:p>
    <w:p w:rsidR="00B42A39" w:rsidRDefault="00E529BF" w:rsidP="00B42A39">
      <w:pPr>
        <w:rPr>
          <w:rFonts w:eastAsia="Calibri"/>
          <w:szCs w:val="26"/>
        </w:rPr>
      </w:pPr>
      <w:r>
        <w:rPr>
          <w:rFonts w:eastAsia="Calibri"/>
        </w:rPr>
        <w:t xml:space="preserve">I&amp;E stated that the Commission has cited the importance of considering the frequency of rate case filings as an essential element in determining the normalized level of rate case expense for ratemaking purposes.  I&amp;E M.B. at 19.  </w:t>
      </w:r>
      <w:r w:rsidR="006426F6">
        <w:rPr>
          <w:rFonts w:eastAsia="Calibri"/>
        </w:rPr>
        <w:t>C</w:t>
      </w:r>
      <w:r w:rsidR="00B42A39" w:rsidRPr="00B42A39">
        <w:rPr>
          <w:rFonts w:eastAsia="Calibri"/>
        </w:rPr>
        <w:t xml:space="preserve">iting numerous cases, the OCA submits that the </w:t>
      </w:r>
      <w:r w:rsidR="00B42A39" w:rsidRPr="00B42A39">
        <w:t xml:space="preserve">Commission has consistently held that rate case expenses are </w:t>
      </w:r>
      <w:r w:rsidR="00B42A39" w:rsidRPr="00B42A39">
        <w:lastRenderedPageBreak/>
        <w:t>normal operating expenses, and normalization should, therefore, be based on the historical frequency of the utility</w:t>
      </w:r>
      <w:r w:rsidR="002061B0">
        <w:t>’</w:t>
      </w:r>
      <w:r w:rsidR="00B42A39" w:rsidRPr="00B42A39">
        <w:t>s rate filing</w:t>
      </w:r>
      <w:r w:rsidR="00B42A39">
        <w:t xml:space="preserve"> and not </w:t>
      </w:r>
      <w:r w:rsidR="00B42A39" w:rsidRPr="00B42A39">
        <w:rPr>
          <w:rFonts w:eastAsia="Calibri"/>
        </w:rPr>
        <w:t xml:space="preserve">upon speculation of future cases that may or may not be filed.  </w:t>
      </w:r>
      <w:r w:rsidR="00B42A39">
        <w:rPr>
          <w:rFonts w:eastAsia="Calibri"/>
        </w:rPr>
        <w:t xml:space="preserve">OCA R. Exc. at 9-10.  The OCA opines that this </w:t>
      </w:r>
      <w:r w:rsidR="00B42A39" w:rsidRPr="00B42A39">
        <w:rPr>
          <w:rFonts w:eastAsia="Calibri"/>
        </w:rPr>
        <w:t xml:space="preserve">is especially true in this case where DSC has asked that the Commission </w:t>
      </w:r>
      <w:r w:rsidR="00603F52">
        <w:rPr>
          <w:rFonts w:eastAsia="Calibri"/>
        </w:rPr>
        <w:t xml:space="preserve">to </w:t>
      </w:r>
      <w:r w:rsidR="00B42A39" w:rsidRPr="00B42A39">
        <w:rPr>
          <w:rFonts w:eastAsia="Calibri"/>
          <w:szCs w:val="26"/>
        </w:rPr>
        <w:t>order a capable public utility to take over its operations.  The OCA points out that it is unknown whether DSC will be a stand</w:t>
      </w:r>
      <w:r w:rsidR="006C12A4">
        <w:rPr>
          <w:rFonts w:eastAsia="Calibri"/>
          <w:szCs w:val="26"/>
        </w:rPr>
        <w:t>-</w:t>
      </w:r>
      <w:r w:rsidR="00B42A39" w:rsidRPr="00B42A39">
        <w:rPr>
          <w:rFonts w:eastAsia="Calibri"/>
          <w:szCs w:val="26"/>
        </w:rPr>
        <w:t xml:space="preserve">alone operation in the future.  </w:t>
      </w:r>
      <w:r w:rsidR="006C12A4" w:rsidRPr="006C12A4">
        <w:rPr>
          <w:rFonts w:eastAsia="Calibri"/>
          <w:i/>
          <w:szCs w:val="26"/>
        </w:rPr>
        <w:t>Id.</w:t>
      </w:r>
      <w:r w:rsidR="006C12A4">
        <w:rPr>
          <w:rFonts w:eastAsia="Calibri"/>
          <w:szCs w:val="26"/>
        </w:rPr>
        <w:t xml:space="preserve"> at 8-9. </w:t>
      </w:r>
    </w:p>
    <w:p w:rsidR="007949F1" w:rsidRPr="00B42A39" w:rsidRDefault="007949F1" w:rsidP="00B42A39">
      <w:pPr>
        <w:rPr>
          <w:rFonts w:eastAsia="Calibri"/>
          <w:szCs w:val="26"/>
        </w:rPr>
      </w:pPr>
    </w:p>
    <w:p w:rsidR="002A2F3E" w:rsidRPr="002A2F3E" w:rsidRDefault="002A2F3E" w:rsidP="002A2F3E">
      <w:pPr>
        <w:rPr>
          <w:rFonts w:eastAsia="Calibri"/>
          <w:szCs w:val="26"/>
        </w:rPr>
      </w:pPr>
      <w:r>
        <w:rPr>
          <w:szCs w:val="26"/>
        </w:rPr>
        <w:t>The OCA also challenges the Company</w:t>
      </w:r>
      <w:r w:rsidR="002061B0">
        <w:rPr>
          <w:szCs w:val="26"/>
        </w:rPr>
        <w:t>’</w:t>
      </w:r>
      <w:r>
        <w:rPr>
          <w:szCs w:val="26"/>
        </w:rPr>
        <w:t xml:space="preserve">s reliance on </w:t>
      </w:r>
      <w:r w:rsidRPr="002A2F3E">
        <w:rPr>
          <w:i/>
          <w:szCs w:val="26"/>
        </w:rPr>
        <w:t>Treasure Lake</w:t>
      </w:r>
      <w:r>
        <w:rPr>
          <w:i/>
          <w:szCs w:val="26"/>
        </w:rPr>
        <w:t xml:space="preserve"> </w:t>
      </w:r>
      <w:r w:rsidRPr="002A2F3E">
        <w:rPr>
          <w:szCs w:val="26"/>
        </w:rPr>
        <w:t>because t</w:t>
      </w:r>
      <w:r>
        <w:rPr>
          <w:rFonts w:eastAsia="Calibri"/>
        </w:rPr>
        <w:t xml:space="preserve">he facts differed from the facts in this case.  The OCA explains that in </w:t>
      </w:r>
      <w:r w:rsidRPr="002A2F3E">
        <w:rPr>
          <w:rFonts w:eastAsia="Calibri"/>
          <w:i/>
        </w:rPr>
        <w:t>Treasure Lake</w:t>
      </w:r>
      <w:r>
        <w:rPr>
          <w:rFonts w:eastAsia="Calibri"/>
        </w:rPr>
        <w:t>, the Company acquired the systems from a system that only filed one rate case and then waited a number of years before filing for rate relief.  The OCA states that, as noted by DSC in its Exception</w:t>
      </w:r>
      <w:r w:rsidR="00C63E48">
        <w:rPr>
          <w:rFonts w:eastAsia="Calibri"/>
        </w:rPr>
        <w:t>s</w:t>
      </w:r>
      <w:r>
        <w:rPr>
          <w:rFonts w:eastAsia="Calibri"/>
        </w:rPr>
        <w:t xml:space="preserve">, the Commission found the circumstances to be unique in that case.  </w:t>
      </w:r>
      <w:r w:rsidRPr="002A2F3E">
        <w:rPr>
          <w:rFonts w:eastAsia="Calibri"/>
          <w:szCs w:val="26"/>
        </w:rPr>
        <w:t xml:space="preserve">The OCA avers that those facts are not present here and the evidence in this case establishes that the future of this system is unknown, so it is not reasonable to ignore the historical filing frequency as DSC argues. </w:t>
      </w:r>
      <w:r>
        <w:rPr>
          <w:rFonts w:eastAsia="Calibri"/>
          <w:szCs w:val="26"/>
        </w:rPr>
        <w:t xml:space="preserve"> OCA R. Exc. at 10. </w:t>
      </w:r>
    </w:p>
    <w:p w:rsidR="00A614DD" w:rsidRDefault="00A614DD" w:rsidP="00055068">
      <w:pPr>
        <w:rPr>
          <w:szCs w:val="26"/>
        </w:rPr>
      </w:pPr>
    </w:p>
    <w:p w:rsidR="00900590" w:rsidRPr="00B42A39" w:rsidRDefault="00900590" w:rsidP="00F23203">
      <w:pPr>
        <w:pStyle w:val="Heading4"/>
        <w:ind w:left="2160" w:hanging="720"/>
      </w:pPr>
      <w:r>
        <w:t>Disposition</w:t>
      </w:r>
    </w:p>
    <w:p w:rsidR="00A614DD" w:rsidRDefault="00A614DD" w:rsidP="00055068">
      <w:pPr>
        <w:rPr>
          <w:szCs w:val="26"/>
        </w:rPr>
      </w:pPr>
    </w:p>
    <w:p w:rsidR="0048017C" w:rsidRDefault="001A39B0" w:rsidP="0048017C">
      <w:pPr>
        <w:rPr>
          <w:szCs w:val="26"/>
        </w:rPr>
      </w:pPr>
      <w:r>
        <w:rPr>
          <w:szCs w:val="26"/>
        </w:rPr>
        <w:t>As a preliminary matter, a</w:t>
      </w:r>
      <w:r w:rsidR="001F72EE">
        <w:rPr>
          <w:szCs w:val="26"/>
        </w:rPr>
        <w:t xml:space="preserve">llocating the costs of a fully-litigated rate proceeding for a utility with only thirty-eight customers presents a special challenge for the Commission, regardless of the </w:t>
      </w:r>
      <w:r w:rsidR="000A2B35">
        <w:rPr>
          <w:szCs w:val="26"/>
        </w:rPr>
        <w:t xml:space="preserve">normalization </w:t>
      </w:r>
      <w:r w:rsidR="001F72EE">
        <w:rPr>
          <w:szCs w:val="26"/>
        </w:rPr>
        <w:t xml:space="preserve">period selected.  Even with the five </w:t>
      </w:r>
      <w:r w:rsidR="0045021E">
        <w:rPr>
          <w:szCs w:val="26"/>
        </w:rPr>
        <w:t>and</w:t>
      </w:r>
      <w:r w:rsidR="001F72EE">
        <w:rPr>
          <w:szCs w:val="26"/>
        </w:rPr>
        <w:t xml:space="preserve"> six-year </w:t>
      </w:r>
      <w:r w:rsidR="000A2B35">
        <w:rPr>
          <w:szCs w:val="26"/>
        </w:rPr>
        <w:t xml:space="preserve">normalization periods </w:t>
      </w:r>
      <w:r w:rsidR="001F72EE">
        <w:rPr>
          <w:szCs w:val="26"/>
        </w:rPr>
        <w:t>proposed by I&amp;E and the OCA</w:t>
      </w:r>
      <w:r w:rsidR="000F6599">
        <w:rPr>
          <w:szCs w:val="26"/>
        </w:rPr>
        <w:t xml:space="preserve">, </w:t>
      </w:r>
      <w:r w:rsidR="000A2B35">
        <w:rPr>
          <w:szCs w:val="26"/>
        </w:rPr>
        <w:t xml:space="preserve">respectively, </w:t>
      </w:r>
      <w:r w:rsidR="000F6599">
        <w:rPr>
          <w:szCs w:val="26"/>
        </w:rPr>
        <w:t xml:space="preserve">the </w:t>
      </w:r>
      <w:r w:rsidR="000F6599" w:rsidRPr="000F6599">
        <w:rPr>
          <w:i/>
          <w:szCs w:val="26"/>
        </w:rPr>
        <w:t>annual</w:t>
      </w:r>
      <w:r w:rsidR="000F6599">
        <w:rPr>
          <w:szCs w:val="26"/>
        </w:rPr>
        <w:t xml:space="preserve"> </w:t>
      </w:r>
      <w:r w:rsidR="006426F6">
        <w:rPr>
          <w:szCs w:val="26"/>
        </w:rPr>
        <w:t xml:space="preserve">level of </w:t>
      </w:r>
      <w:r w:rsidR="000F6599">
        <w:rPr>
          <w:szCs w:val="26"/>
        </w:rPr>
        <w:t xml:space="preserve">rate case expense </w:t>
      </w:r>
      <w:r w:rsidR="000A2B35">
        <w:rPr>
          <w:szCs w:val="26"/>
        </w:rPr>
        <w:t xml:space="preserve">built into rates for </w:t>
      </w:r>
      <w:r w:rsidR="000F6599">
        <w:rPr>
          <w:szCs w:val="26"/>
        </w:rPr>
        <w:t xml:space="preserve">each customer will exceed $100.  </w:t>
      </w:r>
    </w:p>
    <w:p w:rsidR="0048017C" w:rsidRDefault="0048017C" w:rsidP="0048017C">
      <w:pPr>
        <w:rPr>
          <w:szCs w:val="26"/>
        </w:rPr>
      </w:pPr>
    </w:p>
    <w:p w:rsidR="001A39B0" w:rsidRDefault="004B0052" w:rsidP="001A39B0">
      <w:pPr>
        <w:contextualSpacing/>
        <w:rPr>
          <w:szCs w:val="26"/>
        </w:rPr>
      </w:pPr>
      <w:r w:rsidRPr="00E529BF">
        <w:rPr>
          <w:szCs w:val="26"/>
        </w:rPr>
        <w:t>The ALJ</w:t>
      </w:r>
      <w:r w:rsidR="00E529BF" w:rsidRPr="00E529BF">
        <w:rPr>
          <w:szCs w:val="26"/>
        </w:rPr>
        <w:t xml:space="preserve">, I&amp;E </w:t>
      </w:r>
      <w:r w:rsidRPr="00E529BF">
        <w:rPr>
          <w:szCs w:val="26"/>
        </w:rPr>
        <w:t>and the OCA are correct that precedent supports use of a utility</w:t>
      </w:r>
      <w:r w:rsidR="002061B0">
        <w:rPr>
          <w:szCs w:val="26"/>
        </w:rPr>
        <w:t>’</w:t>
      </w:r>
      <w:r w:rsidRPr="00E529BF">
        <w:rPr>
          <w:szCs w:val="26"/>
        </w:rPr>
        <w:t xml:space="preserve">s average filing frequency as a means of developing a normal level of the rate case expense, which is neither a regular nor an annual expense.  </w:t>
      </w:r>
      <w:r w:rsidRPr="00E529BF">
        <w:rPr>
          <w:i/>
          <w:szCs w:val="26"/>
        </w:rPr>
        <w:t xml:space="preserve">See </w:t>
      </w:r>
      <w:proofErr w:type="spellStart"/>
      <w:r w:rsidR="00D46562" w:rsidRPr="00E529BF">
        <w:rPr>
          <w:i/>
          <w:szCs w:val="26"/>
        </w:rPr>
        <w:t>Popowsky</w:t>
      </w:r>
      <w:proofErr w:type="spellEnd"/>
      <w:r w:rsidR="00D46562" w:rsidRPr="00E529BF">
        <w:rPr>
          <w:i/>
          <w:szCs w:val="26"/>
        </w:rPr>
        <w:t xml:space="preserve"> v. Pa</w:t>
      </w:r>
      <w:r w:rsidR="00D46562" w:rsidRPr="003C107D">
        <w:rPr>
          <w:i/>
          <w:szCs w:val="26"/>
        </w:rPr>
        <w:t>. PUC</w:t>
      </w:r>
      <w:r w:rsidR="00D46562" w:rsidRPr="003C107D">
        <w:rPr>
          <w:szCs w:val="26"/>
        </w:rPr>
        <w:t xml:space="preserve">, </w:t>
      </w:r>
      <w:r w:rsidR="00D46562" w:rsidRPr="00E529BF">
        <w:rPr>
          <w:szCs w:val="26"/>
        </w:rPr>
        <w:t xml:space="preserve">674 A.2d 1149, 1154 (Pa. </w:t>
      </w:r>
      <w:proofErr w:type="spellStart"/>
      <w:r w:rsidR="00D46562" w:rsidRPr="00E529BF">
        <w:rPr>
          <w:szCs w:val="26"/>
        </w:rPr>
        <w:t>Cmwlth</w:t>
      </w:r>
      <w:proofErr w:type="spellEnd"/>
      <w:r w:rsidR="00D46562" w:rsidRPr="00E529BF">
        <w:rPr>
          <w:szCs w:val="26"/>
        </w:rPr>
        <w:t>. 1996)</w:t>
      </w:r>
      <w:r w:rsidRPr="00E529BF">
        <w:rPr>
          <w:i/>
          <w:szCs w:val="26"/>
        </w:rPr>
        <w:t>; Pa. PUC v. Borough</w:t>
      </w:r>
      <w:r w:rsidRPr="00D46562">
        <w:rPr>
          <w:i/>
          <w:szCs w:val="26"/>
        </w:rPr>
        <w:t xml:space="preserve"> of Media Water Works, </w:t>
      </w:r>
      <w:r w:rsidRPr="00D46562">
        <w:rPr>
          <w:szCs w:val="26"/>
        </w:rPr>
        <w:t xml:space="preserve">72 Pa PUC 144 (1990); </w:t>
      </w:r>
      <w:r w:rsidRPr="00D46562">
        <w:rPr>
          <w:i/>
          <w:szCs w:val="26"/>
        </w:rPr>
        <w:t>Pa. PUC v. Borough of Quakertown</w:t>
      </w:r>
      <w:r w:rsidRPr="00D46562">
        <w:rPr>
          <w:szCs w:val="26"/>
        </w:rPr>
        <w:t>, Docket No. R-2011-</w:t>
      </w:r>
      <w:r w:rsidRPr="00D46562">
        <w:rPr>
          <w:szCs w:val="26"/>
        </w:rPr>
        <w:lastRenderedPageBreak/>
        <w:t xml:space="preserve">2251181 (Order entered September 13, 2013); </w:t>
      </w:r>
      <w:r w:rsidRPr="00D46562">
        <w:rPr>
          <w:i/>
          <w:szCs w:val="26"/>
        </w:rPr>
        <w:t>Pa. PUC v. Columbia Water Co.</w:t>
      </w:r>
      <w:r w:rsidRPr="00D46562">
        <w:rPr>
          <w:szCs w:val="26"/>
        </w:rPr>
        <w:t xml:space="preserve">, 2009 Pa. PUC LEXIS 1423; </w:t>
      </w:r>
      <w:r w:rsidRPr="00D46562">
        <w:rPr>
          <w:i/>
          <w:szCs w:val="26"/>
        </w:rPr>
        <w:t>Pa. PUC v. Roaring Creek Water Co.</w:t>
      </w:r>
      <w:r w:rsidRPr="00D46562">
        <w:rPr>
          <w:szCs w:val="26"/>
        </w:rPr>
        <w:t xml:space="preserve">, 73 Pa. PUC 373 (1990); </w:t>
      </w:r>
      <w:r w:rsidRPr="00D46562">
        <w:rPr>
          <w:i/>
          <w:szCs w:val="26"/>
        </w:rPr>
        <w:t>Pa. PUC v. West Penn Power Co.</w:t>
      </w:r>
      <w:r w:rsidRPr="00D46562">
        <w:rPr>
          <w:szCs w:val="26"/>
        </w:rPr>
        <w:t xml:space="preserve">, 119 PUR4th 110 (1990); </w:t>
      </w:r>
      <w:r w:rsidRPr="00D46562">
        <w:rPr>
          <w:i/>
          <w:szCs w:val="26"/>
        </w:rPr>
        <w:t>City of Lancaster Water</w:t>
      </w:r>
      <w:r w:rsidRPr="00D46562">
        <w:rPr>
          <w:szCs w:val="26"/>
        </w:rPr>
        <w:t xml:space="preserve">, </w:t>
      </w:r>
      <w:r w:rsidRPr="00D46562">
        <w:rPr>
          <w:i/>
          <w:szCs w:val="26"/>
        </w:rPr>
        <w:t>supra</w:t>
      </w:r>
      <w:r w:rsidRPr="00D46562">
        <w:rPr>
          <w:szCs w:val="26"/>
        </w:rPr>
        <w:t xml:space="preserve">; and </w:t>
      </w:r>
      <w:r w:rsidRPr="00D46562">
        <w:rPr>
          <w:i/>
          <w:szCs w:val="26"/>
        </w:rPr>
        <w:t xml:space="preserve">Met-Ed, supra.  </w:t>
      </w:r>
      <w:r w:rsidR="001A39B0" w:rsidRPr="00D46562">
        <w:rPr>
          <w:szCs w:val="26"/>
        </w:rPr>
        <w:t>This is Company</w:t>
      </w:r>
      <w:r w:rsidR="002061B0">
        <w:rPr>
          <w:szCs w:val="26"/>
        </w:rPr>
        <w:t>’</w:t>
      </w:r>
      <w:r w:rsidR="001A39B0" w:rsidRPr="00D46562">
        <w:rPr>
          <w:szCs w:val="26"/>
        </w:rPr>
        <w:t xml:space="preserve">s the first rate </w:t>
      </w:r>
      <w:r w:rsidR="001A39B0">
        <w:rPr>
          <w:szCs w:val="26"/>
        </w:rPr>
        <w:t>case since it received a certificate of public convenience in 1996.  Therefore, DSC</w:t>
      </w:r>
      <w:r w:rsidR="002061B0">
        <w:rPr>
          <w:szCs w:val="26"/>
        </w:rPr>
        <w:t>’</w:t>
      </w:r>
      <w:r w:rsidR="001A39B0">
        <w:rPr>
          <w:szCs w:val="26"/>
        </w:rPr>
        <w:t xml:space="preserve">s history of rate filings would suggest a </w:t>
      </w:r>
      <w:r w:rsidR="006426F6">
        <w:rPr>
          <w:szCs w:val="26"/>
        </w:rPr>
        <w:t xml:space="preserve">much </w:t>
      </w:r>
      <w:r w:rsidR="001A39B0">
        <w:rPr>
          <w:szCs w:val="26"/>
        </w:rPr>
        <w:t xml:space="preserve">longer </w:t>
      </w:r>
      <w:r w:rsidR="000A2B35">
        <w:rPr>
          <w:szCs w:val="26"/>
        </w:rPr>
        <w:t xml:space="preserve">normalization </w:t>
      </w:r>
      <w:r w:rsidR="001A39B0">
        <w:rPr>
          <w:szCs w:val="26"/>
        </w:rPr>
        <w:t>period</w:t>
      </w:r>
      <w:r w:rsidR="006426F6">
        <w:rPr>
          <w:szCs w:val="26"/>
        </w:rPr>
        <w:t xml:space="preserve"> than even the five or six years proposed by </w:t>
      </w:r>
      <w:r w:rsidR="00493357">
        <w:rPr>
          <w:szCs w:val="26"/>
        </w:rPr>
        <w:t xml:space="preserve">I&amp;E and </w:t>
      </w:r>
      <w:r w:rsidR="006426F6">
        <w:rPr>
          <w:szCs w:val="26"/>
        </w:rPr>
        <w:t>the OCA</w:t>
      </w:r>
      <w:r w:rsidR="00493357">
        <w:rPr>
          <w:szCs w:val="26"/>
        </w:rPr>
        <w:t>.</w:t>
      </w:r>
      <w:r w:rsidR="001A39B0">
        <w:rPr>
          <w:szCs w:val="26"/>
        </w:rPr>
        <w:t xml:space="preserve">  Moreover, as noted by the ALJ, the Company</w:t>
      </w:r>
      <w:r w:rsidR="002061B0">
        <w:rPr>
          <w:szCs w:val="26"/>
        </w:rPr>
        <w:t>’</w:t>
      </w:r>
      <w:r w:rsidR="001A39B0">
        <w:rPr>
          <w:szCs w:val="26"/>
        </w:rPr>
        <w:t xml:space="preserve">s future is in flux </w:t>
      </w:r>
      <w:r w:rsidR="004346D4">
        <w:rPr>
          <w:szCs w:val="26"/>
        </w:rPr>
        <w:t>and it is difficult to project the frequency of future filings, if any.  Accordingly, considering DSC</w:t>
      </w:r>
      <w:r w:rsidR="002061B0">
        <w:rPr>
          <w:szCs w:val="26"/>
        </w:rPr>
        <w:t>’</w:t>
      </w:r>
      <w:r w:rsidR="004346D4">
        <w:rPr>
          <w:szCs w:val="26"/>
        </w:rPr>
        <w:t>s history of rate filings</w:t>
      </w:r>
      <w:r w:rsidR="006426F6">
        <w:rPr>
          <w:szCs w:val="26"/>
        </w:rPr>
        <w:t xml:space="preserve"> and its</w:t>
      </w:r>
      <w:r w:rsidR="004346D4">
        <w:rPr>
          <w:szCs w:val="26"/>
        </w:rPr>
        <w:t xml:space="preserve"> uncertain future, we will adopt the six-year </w:t>
      </w:r>
      <w:r w:rsidR="00BF5A7A">
        <w:rPr>
          <w:szCs w:val="26"/>
        </w:rPr>
        <w:t>normal</w:t>
      </w:r>
      <w:r w:rsidR="004346D4">
        <w:rPr>
          <w:szCs w:val="26"/>
        </w:rPr>
        <w:t xml:space="preserve">ization recommended by the ALJ.  </w:t>
      </w:r>
    </w:p>
    <w:p w:rsidR="0048017C" w:rsidRDefault="0048017C" w:rsidP="0048017C">
      <w:pPr>
        <w:rPr>
          <w:szCs w:val="26"/>
        </w:rPr>
      </w:pPr>
    </w:p>
    <w:p w:rsidR="00F7272A" w:rsidRDefault="00F7272A" w:rsidP="00717745">
      <w:pPr>
        <w:pStyle w:val="Heading3"/>
        <w:keepNext w:val="0"/>
        <w:keepLines w:val="0"/>
      </w:pPr>
      <w:bookmarkStart w:id="14" w:name="_Toc425179776"/>
      <w:r>
        <w:t>Operating Ratio and Operating Income</w:t>
      </w:r>
      <w:bookmarkEnd w:id="14"/>
    </w:p>
    <w:p w:rsidR="00D37E0E" w:rsidRDefault="00D37E0E" w:rsidP="00717745"/>
    <w:p w:rsidR="00D37E0E" w:rsidRDefault="00D37E0E" w:rsidP="00717745">
      <w:pPr>
        <w:pStyle w:val="Heading4"/>
        <w:numPr>
          <w:ilvl w:val="0"/>
          <w:numId w:val="33"/>
        </w:numPr>
        <w:ind w:left="2160" w:hanging="720"/>
      </w:pPr>
      <w:r>
        <w:t>Company Claim</w:t>
      </w:r>
    </w:p>
    <w:p w:rsidR="00D37E0E" w:rsidRDefault="00D37E0E" w:rsidP="00717745"/>
    <w:p w:rsidR="00DA55E0" w:rsidRDefault="00DA55E0" w:rsidP="00717745">
      <w:pPr>
        <w:rPr>
          <w:rFonts w:eastAsiaTheme="minorHAnsi"/>
        </w:rPr>
      </w:pPr>
      <w:r>
        <w:rPr>
          <w:rFonts w:eastAsiaTheme="minorHAnsi"/>
        </w:rPr>
        <w:t xml:space="preserve">In developing its proposed revenue requirement, the Company </w:t>
      </w:r>
      <w:r w:rsidR="006426F6">
        <w:rPr>
          <w:rFonts w:eastAsiaTheme="minorHAnsi"/>
        </w:rPr>
        <w:t xml:space="preserve">included </w:t>
      </w:r>
      <w:r>
        <w:rPr>
          <w:rFonts w:eastAsiaTheme="minorHAnsi"/>
        </w:rPr>
        <w:t xml:space="preserve">a claim for CWC </w:t>
      </w:r>
      <w:r w:rsidR="006426F6">
        <w:rPr>
          <w:rFonts w:eastAsiaTheme="minorHAnsi"/>
        </w:rPr>
        <w:t xml:space="preserve">along with its use of the </w:t>
      </w:r>
      <w:r>
        <w:rPr>
          <w:rFonts w:eastAsiaTheme="minorHAnsi"/>
        </w:rPr>
        <w:t>operating ratio methodology.</w:t>
      </w:r>
      <w:r>
        <w:rPr>
          <w:rStyle w:val="FootnoteReference"/>
          <w:rFonts w:eastAsiaTheme="minorHAnsi"/>
        </w:rPr>
        <w:footnoteReference w:id="8"/>
      </w:r>
      <w:r>
        <w:rPr>
          <w:rFonts w:eastAsiaTheme="minorHAnsi"/>
        </w:rPr>
        <w:t xml:space="preserve">  The Company</w:t>
      </w:r>
      <w:r w:rsidR="002061B0">
        <w:rPr>
          <w:rFonts w:eastAsiaTheme="minorHAnsi"/>
        </w:rPr>
        <w:t>’</w:t>
      </w:r>
      <w:r w:rsidR="00D46562">
        <w:rPr>
          <w:rFonts w:eastAsiaTheme="minorHAnsi"/>
        </w:rPr>
        <w:t xml:space="preserve">s revised claim </w:t>
      </w:r>
      <w:r>
        <w:rPr>
          <w:rFonts w:eastAsiaTheme="minorHAnsi"/>
        </w:rPr>
        <w:t xml:space="preserve">resulted in a </w:t>
      </w:r>
      <w:r w:rsidR="00D46562">
        <w:rPr>
          <w:rFonts w:eastAsiaTheme="minorHAnsi"/>
        </w:rPr>
        <w:t xml:space="preserve">net operating loss of $4,975.  </w:t>
      </w:r>
      <w:r w:rsidR="00CC26C0" w:rsidRPr="00B21210">
        <w:rPr>
          <w:rFonts w:eastAsiaTheme="minorHAnsi"/>
        </w:rPr>
        <w:t xml:space="preserve">DSC </w:t>
      </w:r>
      <w:proofErr w:type="spellStart"/>
      <w:r w:rsidR="00CC26C0" w:rsidRPr="00B21210">
        <w:rPr>
          <w:rFonts w:eastAsiaTheme="minorHAnsi"/>
        </w:rPr>
        <w:t>Exh</w:t>
      </w:r>
      <w:proofErr w:type="spellEnd"/>
      <w:r w:rsidR="00CC26C0" w:rsidRPr="00B21210">
        <w:rPr>
          <w:rFonts w:eastAsiaTheme="minorHAnsi"/>
        </w:rPr>
        <w:t xml:space="preserve">. 2 at Updated Sch. </w:t>
      </w:r>
      <w:r w:rsidR="00CC26C0">
        <w:rPr>
          <w:rFonts w:eastAsiaTheme="minorHAnsi"/>
        </w:rPr>
        <w:t>H</w:t>
      </w:r>
      <w:r w:rsidR="00FB54C3">
        <w:rPr>
          <w:rFonts w:eastAsiaTheme="minorHAnsi"/>
        </w:rPr>
        <w:noBreakHyphen/>
      </w:r>
      <w:r w:rsidR="00CC26C0" w:rsidRPr="00B21210">
        <w:rPr>
          <w:rFonts w:eastAsiaTheme="minorHAnsi"/>
        </w:rPr>
        <w:t>1</w:t>
      </w:r>
      <w:r w:rsidR="00CC26C0">
        <w:rPr>
          <w:rFonts w:eastAsiaTheme="minorHAnsi"/>
        </w:rPr>
        <w:t xml:space="preserve">.  </w:t>
      </w:r>
      <w:r>
        <w:rPr>
          <w:rFonts w:eastAsiaTheme="minorHAnsi"/>
        </w:rPr>
        <w:t xml:space="preserve">The Company </w:t>
      </w:r>
      <w:r w:rsidR="00CC26C0">
        <w:rPr>
          <w:rFonts w:eastAsiaTheme="minorHAnsi"/>
        </w:rPr>
        <w:t xml:space="preserve">divided the operating loss of $4,975 into </w:t>
      </w:r>
      <w:r w:rsidR="00302CF2">
        <w:rPr>
          <w:rFonts w:eastAsiaTheme="minorHAnsi"/>
        </w:rPr>
        <w:t xml:space="preserve">total operating revenues of $91,488 to produce an operating ratio of -5.44%.  </w:t>
      </w:r>
      <w:r w:rsidR="00302CF2" w:rsidRPr="00B21210">
        <w:rPr>
          <w:rFonts w:eastAsiaTheme="minorHAnsi"/>
        </w:rPr>
        <w:t xml:space="preserve">DSC </w:t>
      </w:r>
      <w:proofErr w:type="spellStart"/>
      <w:r w:rsidR="00302CF2" w:rsidRPr="00B21210">
        <w:rPr>
          <w:rFonts w:eastAsiaTheme="minorHAnsi"/>
        </w:rPr>
        <w:t>Exh</w:t>
      </w:r>
      <w:proofErr w:type="spellEnd"/>
      <w:r w:rsidR="00302CF2" w:rsidRPr="00B21210">
        <w:rPr>
          <w:rFonts w:eastAsiaTheme="minorHAnsi"/>
        </w:rPr>
        <w:t>. 2 at Updated Sch. F</w:t>
      </w:r>
      <w:r w:rsidR="00FB54C3">
        <w:rPr>
          <w:rFonts w:eastAsiaTheme="minorHAnsi"/>
        </w:rPr>
        <w:noBreakHyphen/>
      </w:r>
      <w:r w:rsidR="00302CF2" w:rsidRPr="00B21210">
        <w:rPr>
          <w:rFonts w:eastAsiaTheme="minorHAnsi"/>
        </w:rPr>
        <w:t>1</w:t>
      </w:r>
      <w:r w:rsidR="00302CF2">
        <w:rPr>
          <w:rFonts w:eastAsiaTheme="minorHAnsi"/>
        </w:rPr>
        <w:t xml:space="preserve">. </w:t>
      </w:r>
    </w:p>
    <w:p w:rsidR="00DA55E0" w:rsidRDefault="00DA55E0" w:rsidP="00BC7E8B">
      <w:pPr>
        <w:widowControl w:val="0"/>
        <w:rPr>
          <w:rFonts w:eastAsiaTheme="minorHAnsi"/>
        </w:rPr>
      </w:pPr>
    </w:p>
    <w:p w:rsidR="00121540" w:rsidRPr="00121540" w:rsidRDefault="00121540" w:rsidP="002D2D21">
      <w:pPr>
        <w:pStyle w:val="Heading4"/>
        <w:keepNext/>
        <w:widowControl w:val="0"/>
        <w:ind w:left="2160" w:hanging="720"/>
        <w:rPr>
          <w:rFonts w:eastAsiaTheme="minorHAnsi"/>
        </w:rPr>
      </w:pPr>
      <w:r w:rsidRPr="00121540">
        <w:rPr>
          <w:rFonts w:eastAsiaTheme="minorHAnsi"/>
        </w:rPr>
        <w:t>ALJ Recommendation</w:t>
      </w:r>
    </w:p>
    <w:p w:rsidR="00121540" w:rsidRDefault="00121540" w:rsidP="002D2D21">
      <w:pPr>
        <w:keepNext/>
        <w:widowControl w:val="0"/>
        <w:rPr>
          <w:rFonts w:eastAsiaTheme="minorHAnsi"/>
          <w:color w:val="FF0000"/>
        </w:rPr>
      </w:pPr>
    </w:p>
    <w:p w:rsidR="00121540" w:rsidRPr="00303F11" w:rsidRDefault="00121540" w:rsidP="002D2D21">
      <w:pPr>
        <w:keepNext/>
        <w:widowControl w:val="0"/>
        <w:rPr>
          <w:lang w:eastAsia="ja-JP"/>
        </w:rPr>
      </w:pPr>
      <w:r>
        <w:rPr>
          <w:lang w:eastAsia="ja-JP"/>
        </w:rPr>
        <w:t>The ALJ stated that the d</w:t>
      </w:r>
      <w:r w:rsidRPr="00303F11">
        <w:rPr>
          <w:lang w:eastAsia="ja-JP"/>
        </w:rPr>
        <w:t xml:space="preserve">etermination of a fair rate of return for a public utility requires the exercise of informed judgment based upon an evaluation of the particular facts presented in each proceeding.  </w:t>
      </w:r>
      <w:r>
        <w:rPr>
          <w:lang w:eastAsia="ja-JP"/>
        </w:rPr>
        <w:t>The ALJ submitted that t</w:t>
      </w:r>
      <w:r w:rsidRPr="00303F11">
        <w:rPr>
          <w:lang w:eastAsia="ja-JP"/>
        </w:rPr>
        <w:t xml:space="preserve">here is no one </w:t>
      </w:r>
      <w:r w:rsidRPr="00303F11">
        <w:rPr>
          <w:lang w:eastAsia="ja-JP"/>
        </w:rPr>
        <w:lastRenderedPageBreak/>
        <w:t xml:space="preserve">precise answer to the question as to what constitutes the proper rate of return.  </w:t>
      </w:r>
      <w:r>
        <w:rPr>
          <w:lang w:eastAsia="ja-JP"/>
        </w:rPr>
        <w:t>The ALJ opined that t</w:t>
      </w:r>
      <w:r w:rsidRPr="00303F11">
        <w:rPr>
          <w:lang w:eastAsia="ja-JP"/>
        </w:rPr>
        <w:t xml:space="preserve">he interests of the </w:t>
      </w:r>
      <w:r w:rsidR="00D50637">
        <w:rPr>
          <w:lang w:eastAsia="ja-JP"/>
        </w:rPr>
        <w:t>C</w:t>
      </w:r>
      <w:r w:rsidRPr="00303F11">
        <w:rPr>
          <w:lang w:eastAsia="ja-JP"/>
        </w:rPr>
        <w:t xml:space="preserve">ompany and its investors are to be considered along with those of the customers, all to the end of assuring adequate service to the public at the least cost, while at the same time maintaining the financial integrity of the utility involved.  </w:t>
      </w:r>
      <w:r>
        <w:rPr>
          <w:lang w:eastAsia="ja-JP"/>
        </w:rPr>
        <w:t xml:space="preserve">R.D. at 18, </w:t>
      </w:r>
      <w:r w:rsidRPr="00302CF2">
        <w:rPr>
          <w:lang w:eastAsia="ja-JP"/>
        </w:rPr>
        <w:t>citing</w:t>
      </w:r>
      <w:r>
        <w:rPr>
          <w:lang w:eastAsia="ja-JP"/>
        </w:rPr>
        <w:t xml:space="preserve">, </w:t>
      </w:r>
      <w:r w:rsidRPr="00303F11">
        <w:rPr>
          <w:i/>
          <w:lang w:eastAsia="ja-JP"/>
        </w:rPr>
        <w:t>Pa. P</w:t>
      </w:r>
      <w:r w:rsidR="00D50637">
        <w:rPr>
          <w:i/>
          <w:lang w:eastAsia="ja-JP"/>
        </w:rPr>
        <w:t>UC</w:t>
      </w:r>
      <w:r w:rsidRPr="00303F11">
        <w:rPr>
          <w:i/>
          <w:lang w:eastAsia="ja-JP"/>
        </w:rPr>
        <w:t xml:space="preserve"> v. Pennsylvania Power Co</w:t>
      </w:r>
      <w:r w:rsidRPr="00303F11">
        <w:rPr>
          <w:lang w:eastAsia="ja-JP"/>
        </w:rPr>
        <w:t xml:space="preserve">., 55 </w:t>
      </w:r>
      <w:proofErr w:type="spellStart"/>
      <w:r w:rsidRPr="00303F11">
        <w:rPr>
          <w:lang w:eastAsia="ja-JP"/>
        </w:rPr>
        <w:t>Pa.P</w:t>
      </w:r>
      <w:r w:rsidR="005A0460">
        <w:rPr>
          <w:lang w:eastAsia="ja-JP"/>
        </w:rPr>
        <w:t>.</w:t>
      </w:r>
      <w:r w:rsidRPr="00303F11">
        <w:rPr>
          <w:lang w:eastAsia="ja-JP"/>
        </w:rPr>
        <w:t>U</w:t>
      </w:r>
      <w:r w:rsidR="005A0460">
        <w:rPr>
          <w:lang w:eastAsia="ja-JP"/>
        </w:rPr>
        <w:t>.</w:t>
      </w:r>
      <w:r w:rsidRPr="00303F11">
        <w:rPr>
          <w:lang w:eastAsia="ja-JP"/>
        </w:rPr>
        <w:t>C</w:t>
      </w:r>
      <w:proofErr w:type="spellEnd"/>
      <w:r w:rsidR="005A0460">
        <w:rPr>
          <w:lang w:eastAsia="ja-JP"/>
        </w:rPr>
        <w:t>.</w:t>
      </w:r>
      <w:r w:rsidRPr="00303F11">
        <w:rPr>
          <w:lang w:eastAsia="ja-JP"/>
        </w:rPr>
        <w:t xml:space="preserve"> 552, 579 (1982). </w:t>
      </w:r>
    </w:p>
    <w:p w:rsidR="00DA55E0" w:rsidRDefault="00DA55E0" w:rsidP="00DA55E0">
      <w:pPr>
        <w:rPr>
          <w:rFonts w:eastAsiaTheme="minorHAnsi"/>
          <w:color w:val="FF0000"/>
        </w:rPr>
      </w:pPr>
    </w:p>
    <w:p w:rsidR="00121540" w:rsidRPr="00497C31" w:rsidRDefault="00121540" w:rsidP="00DA55E0">
      <w:pPr>
        <w:rPr>
          <w:rFonts w:eastAsiaTheme="minorHAnsi"/>
          <w:szCs w:val="26"/>
        </w:rPr>
      </w:pPr>
      <w:r w:rsidRPr="00497C31">
        <w:rPr>
          <w:rFonts w:eastAsiaTheme="minorHAnsi"/>
          <w:szCs w:val="26"/>
        </w:rPr>
        <w:t xml:space="preserve">Utilizing the operating ratio method and her recommended expense adjustments, </w:t>
      </w:r>
      <w:r w:rsidRPr="00497C31">
        <w:rPr>
          <w:rFonts w:eastAsiaTheme="minorHAnsi"/>
          <w:i/>
          <w:szCs w:val="26"/>
        </w:rPr>
        <w:t>supra</w:t>
      </w:r>
      <w:r w:rsidRPr="00497C31">
        <w:rPr>
          <w:rFonts w:eastAsiaTheme="minorHAnsi"/>
          <w:szCs w:val="26"/>
        </w:rPr>
        <w:t xml:space="preserve">, the ALJ </w:t>
      </w:r>
      <w:r w:rsidR="00497C31" w:rsidRPr="00497C31">
        <w:rPr>
          <w:rFonts w:eastAsiaTheme="minorHAnsi"/>
          <w:szCs w:val="26"/>
        </w:rPr>
        <w:t xml:space="preserve">proposed that </w:t>
      </w:r>
      <w:r w:rsidR="00497C31" w:rsidRPr="00497C31">
        <w:rPr>
          <w:szCs w:val="26"/>
        </w:rPr>
        <w:t>total expenses be adjusted to $38,133 and operating revenues be set at $39,171</w:t>
      </w:r>
      <w:r w:rsidR="00D50637">
        <w:rPr>
          <w:szCs w:val="26"/>
        </w:rPr>
        <w:t>,</w:t>
      </w:r>
      <w:r w:rsidR="00497C31" w:rsidRPr="00497C31">
        <w:rPr>
          <w:szCs w:val="26"/>
        </w:rPr>
        <w:t xml:space="preserve"> </w:t>
      </w:r>
      <w:r w:rsidR="005A0460">
        <w:rPr>
          <w:szCs w:val="26"/>
        </w:rPr>
        <w:t>with</w:t>
      </w:r>
      <w:r w:rsidR="00D50637">
        <w:rPr>
          <w:szCs w:val="26"/>
        </w:rPr>
        <w:t xml:space="preserve"> </w:t>
      </w:r>
      <w:r w:rsidR="00497C31" w:rsidRPr="00497C31">
        <w:rPr>
          <w:szCs w:val="26"/>
        </w:rPr>
        <w:t>a 2.65% operating ratio.  The ALJ explained that her recommendation results in an $85.90 monthly bill to DSC customers or a</w:t>
      </w:r>
      <w:r w:rsidR="00D50637">
        <w:rPr>
          <w:szCs w:val="26"/>
        </w:rPr>
        <w:t>n increase of</w:t>
      </w:r>
      <w:r w:rsidR="00497C31" w:rsidRPr="00497C31">
        <w:rPr>
          <w:szCs w:val="26"/>
        </w:rPr>
        <w:t xml:space="preserve"> 65% </w:t>
      </w:r>
      <w:r w:rsidR="00D50637">
        <w:rPr>
          <w:szCs w:val="26"/>
        </w:rPr>
        <w:t>over customers</w:t>
      </w:r>
      <w:r w:rsidR="002061B0">
        <w:rPr>
          <w:szCs w:val="26"/>
        </w:rPr>
        <w:t>’</w:t>
      </w:r>
      <w:r w:rsidR="00D50637">
        <w:rPr>
          <w:szCs w:val="26"/>
        </w:rPr>
        <w:t xml:space="preserve"> </w:t>
      </w:r>
      <w:r w:rsidR="00497C31" w:rsidRPr="00497C31">
        <w:rPr>
          <w:szCs w:val="26"/>
        </w:rPr>
        <w:t>current bill</w:t>
      </w:r>
      <w:r w:rsidR="00D50637">
        <w:rPr>
          <w:szCs w:val="26"/>
        </w:rPr>
        <w:t>s</w:t>
      </w:r>
      <w:r w:rsidR="00497C31" w:rsidRPr="00497C31">
        <w:rPr>
          <w:szCs w:val="26"/>
        </w:rPr>
        <w:t xml:space="preserve"> of $52 monthly.  R.D. at 18-19. </w:t>
      </w:r>
    </w:p>
    <w:p w:rsidR="00497C31" w:rsidRDefault="00497C31" w:rsidP="00900590"/>
    <w:p w:rsidR="00497C31" w:rsidRDefault="00497C31" w:rsidP="00497C31">
      <w:pPr>
        <w:pStyle w:val="Heading4"/>
        <w:ind w:left="2160" w:hanging="720"/>
      </w:pPr>
      <w:r>
        <w:t>Exceptions and Replies</w:t>
      </w:r>
      <w:r w:rsidR="00B56128">
        <w:t xml:space="preserve"> </w:t>
      </w:r>
    </w:p>
    <w:p w:rsidR="00497C31" w:rsidRDefault="00497C31" w:rsidP="00A27848"/>
    <w:p w:rsidR="00497C31" w:rsidRDefault="00B27D1F" w:rsidP="00A27848">
      <w:pPr>
        <w:rPr>
          <w:rFonts w:eastAsiaTheme="minorHAnsi"/>
        </w:rPr>
      </w:pPr>
      <w:r w:rsidRPr="00B27D1F">
        <w:t xml:space="preserve">In addition to </w:t>
      </w:r>
      <w:r>
        <w:t>its Exceptions to the ALJ</w:t>
      </w:r>
      <w:r w:rsidR="002061B0">
        <w:t>’</w:t>
      </w:r>
      <w:r>
        <w:t xml:space="preserve">s recommended adjustments, </w:t>
      </w:r>
      <w:r w:rsidRPr="00B27D1F">
        <w:rPr>
          <w:i/>
        </w:rPr>
        <w:t>supra</w:t>
      </w:r>
      <w:r>
        <w:t xml:space="preserve">, </w:t>
      </w:r>
      <w:r w:rsidR="00A27848">
        <w:t>DSC</w:t>
      </w:r>
      <w:r>
        <w:t xml:space="preserve"> points out that the ALJ</w:t>
      </w:r>
      <w:r w:rsidR="002061B0">
        <w:t>’</w:t>
      </w:r>
      <w:r>
        <w:t>s recommendation</w:t>
      </w:r>
      <w:r>
        <w:rPr>
          <w:rFonts w:eastAsiaTheme="minorHAnsi"/>
        </w:rPr>
        <w:t xml:space="preserve"> would reduce the Company</w:t>
      </w:r>
      <w:r w:rsidR="002061B0">
        <w:rPr>
          <w:rFonts w:eastAsiaTheme="minorHAnsi"/>
        </w:rPr>
        <w:t>’</w:t>
      </w:r>
      <w:r>
        <w:rPr>
          <w:rFonts w:eastAsiaTheme="minorHAnsi"/>
        </w:rPr>
        <w:t>s already conservative net operating income by more than one-half.  The Company argues that the ALJ</w:t>
      </w:r>
      <w:r w:rsidR="002061B0">
        <w:rPr>
          <w:rFonts w:eastAsiaTheme="minorHAnsi"/>
        </w:rPr>
        <w:t>’</w:t>
      </w:r>
      <w:r>
        <w:rPr>
          <w:rFonts w:eastAsiaTheme="minorHAnsi"/>
        </w:rPr>
        <w:t>s recommendation is neither just nor reasonable.</w:t>
      </w:r>
      <w:r w:rsidR="00A27848">
        <w:rPr>
          <w:rFonts w:eastAsiaTheme="minorHAnsi"/>
        </w:rPr>
        <w:t xml:space="preserve">  DSC avers that the Recommended Decision will not assure adequate service, nor will it restore this small sewer company to financial integrity.  DSC Exc. at 8.</w:t>
      </w:r>
    </w:p>
    <w:p w:rsidR="00A27848" w:rsidRDefault="00A27848" w:rsidP="00A27848">
      <w:pPr>
        <w:rPr>
          <w:rFonts w:eastAsiaTheme="minorHAnsi"/>
        </w:rPr>
      </w:pPr>
    </w:p>
    <w:p w:rsidR="00A27848" w:rsidRDefault="00A27848" w:rsidP="00A27848">
      <w:r>
        <w:t xml:space="preserve">In its Replies to </w:t>
      </w:r>
      <w:r w:rsidR="008B3AA9">
        <w:t>the Company</w:t>
      </w:r>
      <w:r w:rsidR="002061B0">
        <w:t>’</w:t>
      </w:r>
      <w:r w:rsidR="008B3AA9">
        <w:t xml:space="preserve">s </w:t>
      </w:r>
      <w:r>
        <w:t>Exceptions, the OCA submits that its</w:t>
      </w:r>
      <w:r w:rsidRPr="00A27848">
        <w:t xml:space="preserve"> primary position remains that the Commission should deny the rate increase in its entirety</w:t>
      </w:r>
      <w:r>
        <w:t xml:space="preserve">.  </w:t>
      </w:r>
      <w:r w:rsidR="00D77A1E">
        <w:t>The OCA submits that if its quality of service recommendations are not adopted</w:t>
      </w:r>
      <w:r w:rsidR="008B3AA9">
        <w:t>,</w:t>
      </w:r>
      <w:r w:rsidR="00D77A1E">
        <w:t xml:space="preserve"> </w:t>
      </w:r>
      <w:r>
        <w:t xml:space="preserve">the overall </w:t>
      </w:r>
      <w:r w:rsidR="00D77A1E">
        <w:t xml:space="preserve">revenue </w:t>
      </w:r>
      <w:r>
        <w:t>increase should be no more than $17,070</w:t>
      </w:r>
      <w:r w:rsidR="00156333">
        <w:t>,</w:t>
      </w:r>
      <w:r w:rsidR="00E70F75">
        <w:t xml:space="preserve"> resulting in total operating revenue of $40,895.  OCA R. Exc. at 1; OCA M.B. Appendix A at Table 1. </w:t>
      </w:r>
      <w:r>
        <w:t xml:space="preserve"> </w:t>
      </w:r>
      <w:r w:rsidR="002F6A5C">
        <w:t xml:space="preserve">The OCA states that </w:t>
      </w:r>
      <w:r>
        <w:t xml:space="preserve">any increase in rates should </w:t>
      </w:r>
      <w:r w:rsidR="002F6A5C">
        <w:t xml:space="preserve">give </w:t>
      </w:r>
      <w:r>
        <w:t>due consideration of the impact on DSC</w:t>
      </w:r>
      <w:r w:rsidR="002061B0">
        <w:t>’</w:t>
      </w:r>
      <w:r>
        <w:t xml:space="preserve">s customers who already </w:t>
      </w:r>
      <w:r w:rsidR="00FB05F8">
        <w:t xml:space="preserve">currently </w:t>
      </w:r>
      <w:r>
        <w:t xml:space="preserve">have very large wastewater bills, namely </w:t>
      </w:r>
      <w:r w:rsidRPr="00131DA5">
        <w:t xml:space="preserve">$52 per </w:t>
      </w:r>
      <w:r w:rsidRPr="00131DA5">
        <w:lastRenderedPageBreak/>
        <w:t xml:space="preserve">month.  </w:t>
      </w:r>
      <w:r w:rsidR="002F6A5C">
        <w:t>The OCA opines that the</w:t>
      </w:r>
      <w:r w:rsidRPr="00131DA5">
        <w:t xml:space="preserve"> impact of a large increase in rates may result in the rates being unaffordable to those customers.</w:t>
      </w:r>
      <w:r w:rsidR="002F6A5C">
        <w:t xml:space="preserve">  OCA R. Exc. at 1. </w:t>
      </w:r>
    </w:p>
    <w:p w:rsidR="00D45993" w:rsidRDefault="00D45993" w:rsidP="00A27848"/>
    <w:p w:rsidR="00D45993" w:rsidRPr="00A27848" w:rsidRDefault="00D45993" w:rsidP="00A27848">
      <w:r>
        <w:t>As a result of its proposed adjustments, I&amp;E recommended a</w:t>
      </w:r>
      <w:r w:rsidR="009D2F55">
        <w:t>n annual operating revenue of $62,849 or an increase of $39,024 to the Company</w:t>
      </w:r>
      <w:r w:rsidR="002061B0">
        <w:t>’</w:t>
      </w:r>
      <w:r w:rsidR="009D2F55">
        <w:t>s claimed present rates of $2</w:t>
      </w:r>
      <w:r w:rsidR="00124120">
        <w:t>3</w:t>
      </w:r>
      <w:r w:rsidR="009D2F55">
        <w:t>,825.  I&amp;E explained that it employed an operating ratio of 2.65%.  I&amp;E M.B. at 31-32.  I</w:t>
      </w:r>
      <w:r>
        <w:t>n response to the OCA</w:t>
      </w:r>
      <w:r w:rsidR="002061B0">
        <w:t>’</w:t>
      </w:r>
      <w:r>
        <w:t>s primary position that the rate increase should be denied in its entirely, I&amp;E responds that t</w:t>
      </w:r>
      <w:r>
        <w:rPr>
          <w:color w:val="000000" w:themeColor="text1"/>
          <w:szCs w:val="26"/>
        </w:rPr>
        <w:t>he ALJ was correct to grant a rate increase to cover the reasonable and prudent costs to continue to provide the safe and adequate service as it is currently being provided.  I&amp;E argues that the ALJ</w:t>
      </w:r>
      <w:r w:rsidR="002061B0">
        <w:rPr>
          <w:color w:val="000000" w:themeColor="text1"/>
          <w:szCs w:val="26"/>
        </w:rPr>
        <w:t>’</w:t>
      </w:r>
      <w:r>
        <w:rPr>
          <w:color w:val="000000" w:themeColor="text1"/>
          <w:szCs w:val="26"/>
        </w:rPr>
        <w:t xml:space="preserve">s </w:t>
      </w:r>
      <w:r w:rsidR="00D50637">
        <w:rPr>
          <w:color w:val="000000" w:themeColor="text1"/>
          <w:szCs w:val="26"/>
        </w:rPr>
        <w:t>R</w:t>
      </w:r>
      <w:r>
        <w:rPr>
          <w:color w:val="000000" w:themeColor="text1"/>
          <w:szCs w:val="26"/>
        </w:rPr>
        <w:t xml:space="preserve">ecommended </w:t>
      </w:r>
      <w:r w:rsidR="00D50637">
        <w:rPr>
          <w:color w:val="000000" w:themeColor="text1"/>
          <w:szCs w:val="26"/>
        </w:rPr>
        <w:t>D</w:t>
      </w:r>
      <w:r>
        <w:rPr>
          <w:color w:val="000000" w:themeColor="text1"/>
          <w:szCs w:val="26"/>
        </w:rPr>
        <w:t xml:space="preserve">ecision is supported by the record evidence, the Code, the applicable </w:t>
      </w:r>
      <w:r w:rsidR="00156333">
        <w:rPr>
          <w:color w:val="000000" w:themeColor="text1"/>
          <w:szCs w:val="26"/>
        </w:rPr>
        <w:t>Re</w:t>
      </w:r>
      <w:r>
        <w:rPr>
          <w:color w:val="000000" w:themeColor="text1"/>
          <w:szCs w:val="26"/>
        </w:rPr>
        <w:t xml:space="preserve">gulations, and the applicable case law.  I&amp;E R. Exc. at 12.  </w:t>
      </w:r>
    </w:p>
    <w:p w:rsidR="00A27848" w:rsidRDefault="00A27848" w:rsidP="00A27848"/>
    <w:p w:rsidR="009D2F55" w:rsidRDefault="009D2F55" w:rsidP="009D2F55">
      <w:pPr>
        <w:pStyle w:val="Heading4"/>
        <w:ind w:left="2160" w:hanging="720"/>
      </w:pPr>
      <w:r>
        <w:t>Disposition</w:t>
      </w:r>
    </w:p>
    <w:p w:rsidR="009D2F55" w:rsidRDefault="009D2F55" w:rsidP="00A27848"/>
    <w:p w:rsidR="00E70F75" w:rsidRDefault="00E70F75" w:rsidP="00A27848">
      <w:r>
        <w:t>We shall adopt the ALJ</w:t>
      </w:r>
      <w:r w:rsidR="002061B0">
        <w:t>’</w:t>
      </w:r>
      <w:r>
        <w:t>s recommend</w:t>
      </w:r>
      <w:r w:rsidR="00A62818">
        <w:t>ed operatin</w:t>
      </w:r>
      <w:r w:rsidR="005A0460">
        <w:t>g</w:t>
      </w:r>
      <w:r w:rsidR="00A62818">
        <w:t xml:space="preserve"> ratio of 2.65% </w:t>
      </w:r>
      <w:r w:rsidR="00E869F1">
        <w:t xml:space="preserve">to produce annual revenue </w:t>
      </w:r>
      <w:r w:rsidR="00A71F17">
        <w:t xml:space="preserve">from base rates </w:t>
      </w:r>
      <w:r w:rsidR="00E869F1">
        <w:t>not to exceed $</w:t>
      </w:r>
      <w:r w:rsidR="00124120">
        <w:t>43,557</w:t>
      </w:r>
      <w:r w:rsidR="00A71F17">
        <w:t xml:space="preserve"> and total operating revenue of $</w:t>
      </w:r>
      <w:r w:rsidR="00124120">
        <w:t>43,670</w:t>
      </w:r>
      <w:r w:rsidR="00E869F1">
        <w:t>.  At this revenue level, the average monthly flat rate for the Company</w:t>
      </w:r>
      <w:r w:rsidR="002061B0">
        <w:t>’</w:t>
      </w:r>
      <w:r w:rsidR="00E869F1">
        <w:t xml:space="preserve">s thirty-eight customers will increase about </w:t>
      </w:r>
      <w:r w:rsidR="00124120">
        <w:t>8</w:t>
      </w:r>
      <w:r w:rsidR="00E869F1">
        <w:t xml:space="preserve">4% or </w:t>
      </w:r>
      <w:r w:rsidR="00D31106">
        <w:t xml:space="preserve">about </w:t>
      </w:r>
      <w:r w:rsidR="00E869F1">
        <w:t>$</w:t>
      </w:r>
      <w:r w:rsidR="00124120">
        <w:t>43.52</w:t>
      </w:r>
      <w:r w:rsidR="00E869F1">
        <w:t xml:space="preserve"> from present rates of $52.00 to about $</w:t>
      </w:r>
      <w:r w:rsidR="00124120">
        <w:t>95.52</w:t>
      </w:r>
      <w:r w:rsidR="00E869F1">
        <w:t>.</w:t>
      </w:r>
      <w:r w:rsidR="00D31106">
        <w:rPr>
          <w:rStyle w:val="FootnoteReference"/>
        </w:rPr>
        <w:footnoteReference w:id="9"/>
      </w:r>
      <w:r w:rsidR="00E869F1">
        <w:t xml:space="preserve">  </w:t>
      </w:r>
    </w:p>
    <w:p w:rsidR="00E869F1" w:rsidRDefault="00E869F1" w:rsidP="00A27848"/>
    <w:p w:rsidR="005569DD" w:rsidRDefault="005C72F3" w:rsidP="005569DD">
      <w:r>
        <w:t>DSC is not providing adequate service</w:t>
      </w:r>
      <w:r w:rsidR="00D31106">
        <w:t xml:space="preserve">, </w:t>
      </w:r>
      <w:r>
        <w:t xml:space="preserve">has not </w:t>
      </w:r>
      <w:r w:rsidR="00116D33">
        <w:t>presented</w:t>
      </w:r>
      <w:r w:rsidR="00D31106">
        <w:t xml:space="preserve"> plans to address the service issues raised in this proceeding</w:t>
      </w:r>
      <w:r w:rsidR="00783311">
        <w:t>,</w:t>
      </w:r>
      <w:r w:rsidR="00D31106">
        <w:t xml:space="preserve"> and has not </w:t>
      </w:r>
      <w:r>
        <w:t xml:space="preserve">sought </w:t>
      </w:r>
      <w:r w:rsidR="00D31106">
        <w:t>funds to make necessary changes.</w:t>
      </w:r>
      <w:r w:rsidR="00511669">
        <w:t xml:space="preserve">  Moreover, other than </w:t>
      </w:r>
      <w:r w:rsidR="00783311">
        <w:t xml:space="preserve">including a claim for </w:t>
      </w:r>
      <w:r w:rsidR="00511669">
        <w:t xml:space="preserve">CWC, the Company has not claimed any rate base or debt.  </w:t>
      </w:r>
      <w:r w:rsidR="00116D33">
        <w:t xml:space="preserve">Therefore, we shall provide sufficient revenue to cover reasonable expenses, addressed, </w:t>
      </w:r>
      <w:r w:rsidR="00116D33" w:rsidRPr="00116D33">
        <w:rPr>
          <w:i/>
        </w:rPr>
        <w:t>supra</w:t>
      </w:r>
      <w:r w:rsidR="00511669">
        <w:t xml:space="preserve">, and allow a modest operating </w:t>
      </w:r>
      <w:r w:rsidR="00511669" w:rsidRPr="00C6224D">
        <w:t>income</w:t>
      </w:r>
      <w:r w:rsidR="002D2D21">
        <w:t xml:space="preserve">.  </w:t>
      </w:r>
      <w:r w:rsidR="00C6224D">
        <w:t xml:space="preserve">In developing a reasonable revenue requirement, we </w:t>
      </w:r>
      <w:r w:rsidR="00FB05F8">
        <w:t>are</w:t>
      </w:r>
      <w:r w:rsidR="00C6224D">
        <w:t xml:space="preserve"> also mindful </w:t>
      </w:r>
      <w:r w:rsidR="00511669">
        <w:t xml:space="preserve">that </w:t>
      </w:r>
      <w:r w:rsidR="00C6224D">
        <w:t xml:space="preserve">our </w:t>
      </w:r>
      <w:r w:rsidR="00511669">
        <w:t xml:space="preserve">revenue allowance will </w:t>
      </w:r>
      <w:r w:rsidR="00511669">
        <w:lastRenderedPageBreak/>
        <w:t xml:space="preserve">result in an increase </w:t>
      </w:r>
      <w:r w:rsidR="005A0460">
        <w:t xml:space="preserve">to </w:t>
      </w:r>
      <w:r w:rsidR="005022B0">
        <w:t>customers</w:t>
      </w:r>
      <w:r w:rsidR="002061B0">
        <w:t>’</w:t>
      </w:r>
      <w:r w:rsidR="005022B0">
        <w:t xml:space="preserve"> rates </w:t>
      </w:r>
      <w:r w:rsidR="00511669">
        <w:t xml:space="preserve">of </w:t>
      </w:r>
      <w:r w:rsidR="005569DD">
        <w:t xml:space="preserve">about </w:t>
      </w:r>
      <w:r w:rsidR="00783311">
        <w:t>84</w:t>
      </w:r>
      <w:r w:rsidR="002D2D21">
        <w:t xml:space="preserve">%.  </w:t>
      </w:r>
      <w:r w:rsidR="005569DD">
        <w:t>Therefore, we find that revenue allowance adopted herein</w:t>
      </w:r>
      <w:r w:rsidR="00FB05F8">
        <w:t xml:space="preserve"> and in light of the dire circumstances of the Company,</w:t>
      </w:r>
      <w:r w:rsidR="005569DD">
        <w:t xml:space="preserve"> is just and reasonable and in the public interest.    </w:t>
      </w:r>
    </w:p>
    <w:p w:rsidR="005569DD" w:rsidRDefault="005569DD" w:rsidP="005569DD"/>
    <w:p w:rsidR="00511669" w:rsidRDefault="00511669" w:rsidP="005569DD">
      <w:pPr>
        <w:pStyle w:val="Heading3"/>
      </w:pPr>
      <w:bookmarkStart w:id="15" w:name="_Toc425179777"/>
      <w:r>
        <w:t>Phase-in of Rate Increase</w:t>
      </w:r>
      <w:bookmarkEnd w:id="15"/>
    </w:p>
    <w:p w:rsidR="00511669" w:rsidRDefault="00511669" w:rsidP="00511669">
      <w:pPr>
        <w:rPr>
          <w:szCs w:val="26"/>
        </w:rPr>
      </w:pPr>
    </w:p>
    <w:p w:rsidR="00511669" w:rsidRDefault="00511669" w:rsidP="00511669">
      <w:pPr>
        <w:pStyle w:val="Heading4"/>
        <w:numPr>
          <w:ilvl w:val="0"/>
          <w:numId w:val="32"/>
        </w:numPr>
        <w:ind w:left="2160" w:hanging="720"/>
      </w:pPr>
      <w:r>
        <w:t>OCA Proposal and ALJ Recommendation</w:t>
      </w:r>
    </w:p>
    <w:p w:rsidR="00511669" w:rsidRDefault="00511669" w:rsidP="00511669"/>
    <w:p w:rsidR="00511669" w:rsidRDefault="00511669" w:rsidP="00511669">
      <w:r>
        <w:t xml:space="preserve">In her testimony, OCA witness Ashley </w:t>
      </w:r>
      <w:proofErr w:type="spellStart"/>
      <w:r>
        <w:t>Everette</w:t>
      </w:r>
      <w:proofErr w:type="spellEnd"/>
      <w:r>
        <w:t xml:space="preserve"> addressed the impact that a sizeable rate increase would have on customers and recommended that if any increase is approved, it should be phased-in over a two</w:t>
      </w:r>
      <w:r w:rsidR="00FB05F8">
        <w:t xml:space="preserve"> to </w:t>
      </w:r>
      <w:r>
        <w:t>four year period to reduce rate shock.  OCA St. 1 at 7.  The Recommended Decision did not address the OCA</w:t>
      </w:r>
      <w:r w:rsidR="002061B0">
        <w:t>’</w:t>
      </w:r>
      <w:r>
        <w:t xml:space="preserve">s proposal.  </w:t>
      </w:r>
    </w:p>
    <w:p w:rsidR="00511669" w:rsidRDefault="00511669" w:rsidP="00511669"/>
    <w:p w:rsidR="00511669" w:rsidRDefault="00511669" w:rsidP="00124120">
      <w:pPr>
        <w:pStyle w:val="Heading4"/>
        <w:keepNext/>
        <w:ind w:left="2160" w:hanging="720"/>
      </w:pPr>
      <w:r>
        <w:t>Exceptions and Replies</w:t>
      </w:r>
    </w:p>
    <w:p w:rsidR="00511669" w:rsidRDefault="00511669" w:rsidP="00124120">
      <w:pPr>
        <w:keepNext/>
      </w:pPr>
    </w:p>
    <w:p w:rsidR="00511669" w:rsidRDefault="00511669" w:rsidP="00124120">
      <w:pPr>
        <w:keepNext/>
      </w:pPr>
      <w:r>
        <w:t>In its Exceptions, the OCA submits that although the ALJ recommended an increase that is less than Company</w:t>
      </w:r>
      <w:r w:rsidR="002061B0">
        <w:t>’</w:t>
      </w:r>
      <w:r>
        <w:t>s request, based on her recommendation</w:t>
      </w:r>
      <w:r w:rsidR="00FB05F8">
        <w:t>,</w:t>
      </w:r>
      <w:r>
        <w:t xml:space="preserve"> monthly bills will increase by $33.90 per month or by 65%.  The OCA explains that the Company</w:t>
      </w:r>
      <w:r w:rsidR="002061B0">
        <w:t>’</w:t>
      </w:r>
      <w:r>
        <w:t>s customers are billed a flat rate charge over which customers have no control.  The OCA notes that the customers who testified at the public input hearings expressed concerns over their ability to pay if the Company</w:t>
      </w:r>
      <w:r w:rsidR="002061B0">
        <w:t>’</w:t>
      </w:r>
      <w:r>
        <w:t>s rates increased significantly.  Therefore, the OCA excepts to the ALJ</w:t>
      </w:r>
      <w:r w:rsidR="002061B0">
        <w:t>’</w:t>
      </w:r>
      <w:r>
        <w:t xml:space="preserve">s omission of consideration of phase-in of rates.  OCA Exc. at 8. </w:t>
      </w:r>
    </w:p>
    <w:p w:rsidR="00511669" w:rsidRDefault="00511669" w:rsidP="00511669"/>
    <w:p w:rsidR="00511669" w:rsidRDefault="00511669" w:rsidP="00511669">
      <w:r>
        <w:rPr>
          <w:rFonts w:eastAsiaTheme="minorHAnsi"/>
        </w:rPr>
        <w:t>In its Reply to the OCA</w:t>
      </w:r>
      <w:r w:rsidR="002061B0">
        <w:rPr>
          <w:rFonts w:eastAsiaTheme="minorHAnsi"/>
        </w:rPr>
        <w:t>’</w:t>
      </w:r>
      <w:r>
        <w:rPr>
          <w:rFonts w:eastAsiaTheme="minorHAnsi"/>
        </w:rPr>
        <w:t xml:space="preserve">s Exceptions, DSC states that </w:t>
      </w:r>
      <w:r w:rsidR="001118B7">
        <w:rPr>
          <w:rFonts w:eastAsiaTheme="minorHAnsi"/>
        </w:rPr>
        <w:t xml:space="preserve">it </w:t>
      </w:r>
      <w:r>
        <w:rPr>
          <w:rFonts w:eastAsiaTheme="minorHAnsi"/>
        </w:rPr>
        <w:t>is currently operating at a loss and will continue to do so even if the Commission approves its proposed rate increase in its entirety.  The Company avers that the deferral and/or phase-in of any part of a necessary increase will further impact the Company</w:t>
      </w:r>
      <w:r w:rsidR="002061B0">
        <w:rPr>
          <w:rFonts w:eastAsiaTheme="minorHAnsi"/>
        </w:rPr>
        <w:t>’</w:t>
      </w:r>
      <w:r>
        <w:rPr>
          <w:rFonts w:eastAsiaTheme="minorHAnsi"/>
        </w:rPr>
        <w:t xml:space="preserve">s financial viability.  The Company submits that it is unaware of any case in which the Commission ordered a phase-in of rates, unless the utility specifically requested it in its filing or the phase-in was part of a settlement.  DSC avers that it is also concerned with the impact of </w:t>
      </w:r>
      <w:r>
        <w:rPr>
          <w:rFonts w:eastAsiaTheme="minorHAnsi"/>
        </w:rPr>
        <w:lastRenderedPageBreak/>
        <w:t>any rate increase on customers.  The Company explains that i</w:t>
      </w:r>
      <w:r>
        <w:rPr>
          <w:rFonts w:ascii="Arial" w:eastAsiaTheme="minorHAnsi" w:hAnsi="Arial" w:cs="Arial"/>
          <w:sz w:val="22"/>
          <w:szCs w:val="22"/>
        </w:rPr>
        <w:t xml:space="preserve">t </w:t>
      </w:r>
      <w:r>
        <w:rPr>
          <w:rFonts w:eastAsiaTheme="minorHAnsi"/>
        </w:rPr>
        <w:t xml:space="preserve">was only when its Section 529 Petition languished and was not addressed that the Company sought </w:t>
      </w:r>
      <w:r w:rsidR="001118B7">
        <w:rPr>
          <w:rFonts w:eastAsiaTheme="minorHAnsi"/>
        </w:rPr>
        <w:t xml:space="preserve">to file for </w:t>
      </w:r>
      <w:r>
        <w:rPr>
          <w:rFonts w:eastAsiaTheme="minorHAnsi"/>
        </w:rPr>
        <w:t xml:space="preserve">rate relief.  DSC R. Exc. at 3-4. </w:t>
      </w:r>
    </w:p>
    <w:p w:rsidR="00511669" w:rsidRDefault="00511669" w:rsidP="00511669"/>
    <w:p w:rsidR="00511669" w:rsidRDefault="00511669" w:rsidP="00511669">
      <w:pPr>
        <w:rPr>
          <w:color w:val="000000" w:themeColor="text1"/>
          <w:szCs w:val="26"/>
        </w:rPr>
      </w:pPr>
      <w:r>
        <w:t>I&amp;E ac</w:t>
      </w:r>
      <w:r>
        <w:rPr>
          <w:color w:val="000000" w:themeColor="text1"/>
          <w:szCs w:val="26"/>
        </w:rPr>
        <w:t>cepts the ALJ</w:t>
      </w:r>
      <w:r w:rsidR="002061B0">
        <w:rPr>
          <w:color w:val="000000" w:themeColor="text1"/>
          <w:szCs w:val="26"/>
        </w:rPr>
        <w:t>’</w:t>
      </w:r>
      <w:r>
        <w:rPr>
          <w:color w:val="000000" w:themeColor="text1"/>
          <w:szCs w:val="26"/>
        </w:rPr>
        <w:t xml:space="preserve">s decision to implement a significantly adjusted and reduced rate increase without a rate phase-in period.  I&amp;E opines that a two to four-year phase-in, as suggested by </w:t>
      </w:r>
      <w:r w:rsidR="001118B7">
        <w:rPr>
          <w:color w:val="000000" w:themeColor="text1"/>
          <w:szCs w:val="26"/>
        </w:rPr>
        <w:t xml:space="preserve">the </w:t>
      </w:r>
      <w:r>
        <w:rPr>
          <w:color w:val="000000" w:themeColor="text1"/>
          <w:szCs w:val="26"/>
        </w:rPr>
        <w:t xml:space="preserve">OCA, would result in revenue shortfalls during those years </w:t>
      </w:r>
      <w:r w:rsidR="001118B7">
        <w:rPr>
          <w:color w:val="000000" w:themeColor="text1"/>
          <w:szCs w:val="26"/>
        </w:rPr>
        <w:t xml:space="preserve">and </w:t>
      </w:r>
      <w:r>
        <w:rPr>
          <w:color w:val="000000" w:themeColor="text1"/>
          <w:szCs w:val="26"/>
        </w:rPr>
        <w:t xml:space="preserve">would have an adverse financial impact on DSC.  I&amp;E R. Exc. at 13. </w:t>
      </w:r>
    </w:p>
    <w:p w:rsidR="00511669" w:rsidRDefault="00511669" w:rsidP="00511669">
      <w:pPr>
        <w:rPr>
          <w:color w:val="000000" w:themeColor="text1"/>
          <w:szCs w:val="26"/>
        </w:rPr>
      </w:pPr>
    </w:p>
    <w:p w:rsidR="00511669" w:rsidRDefault="00511669" w:rsidP="00717745">
      <w:pPr>
        <w:pStyle w:val="Heading4"/>
        <w:ind w:left="2160" w:hanging="720"/>
      </w:pPr>
      <w:r>
        <w:t>Disposition</w:t>
      </w:r>
    </w:p>
    <w:p w:rsidR="00511669" w:rsidRDefault="00511669" w:rsidP="00717745"/>
    <w:p w:rsidR="00511669" w:rsidRDefault="00511669" w:rsidP="00717745">
      <w:pPr>
        <w:rPr>
          <w:color w:val="000000" w:themeColor="text1"/>
          <w:szCs w:val="26"/>
        </w:rPr>
      </w:pPr>
      <w:r>
        <w:rPr>
          <w:color w:val="000000" w:themeColor="text1"/>
          <w:szCs w:val="26"/>
        </w:rPr>
        <w:t xml:space="preserve">While we are very sympathetic about the impact </w:t>
      </w:r>
      <w:r w:rsidR="001118B7">
        <w:rPr>
          <w:color w:val="000000" w:themeColor="text1"/>
          <w:szCs w:val="26"/>
        </w:rPr>
        <w:t xml:space="preserve">that </w:t>
      </w:r>
      <w:r>
        <w:rPr>
          <w:color w:val="000000" w:themeColor="text1"/>
          <w:szCs w:val="26"/>
        </w:rPr>
        <w:t>the increase in rates will have on DSC</w:t>
      </w:r>
      <w:r w:rsidR="002061B0">
        <w:rPr>
          <w:color w:val="000000" w:themeColor="text1"/>
          <w:szCs w:val="26"/>
        </w:rPr>
        <w:t>’</w:t>
      </w:r>
      <w:r>
        <w:rPr>
          <w:color w:val="000000" w:themeColor="text1"/>
          <w:szCs w:val="26"/>
        </w:rPr>
        <w:t xml:space="preserve">s ratepayers, we concur with I&amp;E that the adjusted rate increase should not be phased-in.  As discussed, </w:t>
      </w:r>
      <w:r w:rsidRPr="00511669">
        <w:rPr>
          <w:i/>
          <w:color w:val="000000" w:themeColor="text1"/>
          <w:szCs w:val="26"/>
        </w:rPr>
        <w:t>supra</w:t>
      </w:r>
      <w:r>
        <w:rPr>
          <w:color w:val="000000" w:themeColor="text1"/>
          <w:szCs w:val="26"/>
        </w:rPr>
        <w:t xml:space="preserve">, we are adopting an operating </w:t>
      </w:r>
      <w:r w:rsidR="00783311">
        <w:rPr>
          <w:color w:val="000000" w:themeColor="text1"/>
          <w:szCs w:val="26"/>
        </w:rPr>
        <w:t xml:space="preserve">ratio </w:t>
      </w:r>
      <w:r>
        <w:rPr>
          <w:color w:val="000000" w:themeColor="text1"/>
          <w:szCs w:val="26"/>
        </w:rPr>
        <w:t>that covers the adjusted operating expenses and provides for a modest operating margin.  Phasing in the rate increase would result in a negative operating income until the rate increase was fully phased in</w:t>
      </w:r>
      <w:r w:rsidR="00783311">
        <w:rPr>
          <w:color w:val="000000" w:themeColor="text1"/>
          <w:szCs w:val="26"/>
        </w:rPr>
        <w:t>,</w:t>
      </w:r>
      <w:r>
        <w:rPr>
          <w:color w:val="000000" w:themeColor="text1"/>
          <w:szCs w:val="26"/>
        </w:rPr>
        <w:t xml:space="preserve"> which we find would </w:t>
      </w:r>
      <w:r w:rsidR="00783311">
        <w:rPr>
          <w:color w:val="000000" w:themeColor="text1"/>
          <w:szCs w:val="26"/>
        </w:rPr>
        <w:t>further exacerbate this Company</w:t>
      </w:r>
      <w:r w:rsidR="002061B0">
        <w:rPr>
          <w:color w:val="000000" w:themeColor="text1"/>
          <w:szCs w:val="26"/>
        </w:rPr>
        <w:t>’</w:t>
      </w:r>
      <w:r w:rsidR="00783311">
        <w:rPr>
          <w:color w:val="000000" w:themeColor="text1"/>
          <w:szCs w:val="26"/>
        </w:rPr>
        <w:t>s financial condition</w:t>
      </w:r>
      <w:r w:rsidR="005A0460">
        <w:rPr>
          <w:color w:val="000000" w:themeColor="text1"/>
          <w:szCs w:val="26"/>
        </w:rPr>
        <w:t xml:space="preserve">, potentially threatening </w:t>
      </w:r>
      <w:r w:rsidR="009B12ED">
        <w:rPr>
          <w:color w:val="000000" w:themeColor="text1"/>
          <w:szCs w:val="26"/>
        </w:rPr>
        <w:t xml:space="preserve">the </w:t>
      </w:r>
      <w:r w:rsidR="005A0460">
        <w:rPr>
          <w:color w:val="000000" w:themeColor="text1"/>
          <w:szCs w:val="26"/>
        </w:rPr>
        <w:t>continue</w:t>
      </w:r>
      <w:r w:rsidR="009B12ED">
        <w:rPr>
          <w:color w:val="000000" w:themeColor="text1"/>
          <w:szCs w:val="26"/>
        </w:rPr>
        <w:t>d</w:t>
      </w:r>
      <w:r w:rsidR="005A0460">
        <w:rPr>
          <w:color w:val="000000" w:themeColor="text1"/>
          <w:szCs w:val="26"/>
        </w:rPr>
        <w:t xml:space="preserve"> </w:t>
      </w:r>
      <w:r w:rsidR="009B12ED">
        <w:rPr>
          <w:color w:val="000000" w:themeColor="text1"/>
          <w:szCs w:val="26"/>
        </w:rPr>
        <w:t xml:space="preserve">provision of current </w:t>
      </w:r>
      <w:r w:rsidR="005A0460">
        <w:rPr>
          <w:color w:val="000000" w:themeColor="text1"/>
          <w:szCs w:val="26"/>
        </w:rPr>
        <w:t>service</w:t>
      </w:r>
      <w:r>
        <w:rPr>
          <w:color w:val="000000" w:themeColor="text1"/>
          <w:szCs w:val="26"/>
        </w:rPr>
        <w:t xml:space="preserve">. </w:t>
      </w:r>
    </w:p>
    <w:p w:rsidR="00E70F75" w:rsidRPr="00A27848" w:rsidRDefault="00E70F75" w:rsidP="00A27848"/>
    <w:p w:rsidR="005569DD" w:rsidRPr="005569DD" w:rsidRDefault="005569DD" w:rsidP="001118B7">
      <w:pPr>
        <w:pStyle w:val="Heading1"/>
      </w:pPr>
      <w:bookmarkStart w:id="16" w:name="_Toc425179778"/>
      <w:r w:rsidRPr="005569DD">
        <w:t>C</w:t>
      </w:r>
      <w:r w:rsidR="00905BD3">
        <w:t>onclusion</w:t>
      </w:r>
      <w:bookmarkEnd w:id="16"/>
    </w:p>
    <w:p w:rsidR="005569DD" w:rsidRPr="005569DD" w:rsidRDefault="005569DD" w:rsidP="00455A46">
      <w:pPr>
        <w:keepNext/>
        <w:keepLines/>
        <w:spacing w:after="200" w:line="276" w:lineRule="auto"/>
        <w:rPr>
          <w:szCs w:val="26"/>
        </w:rPr>
      </w:pPr>
    </w:p>
    <w:p w:rsidR="005569DD" w:rsidRPr="005569DD" w:rsidRDefault="005569DD" w:rsidP="003606DF">
      <w:r w:rsidRPr="005569DD">
        <w:t>Based on our review, evaluation, and analysis of the record evidence, we conclude that</w:t>
      </w:r>
      <w:r>
        <w:t xml:space="preserve"> DSC </w:t>
      </w:r>
      <w:r w:rsidRPr="005569DD">
        <w:t>is entitled to establish rates that will produce jurisdictional operating revenues not in excess of $</w:t>
      </w:r>
      <w:r w:rsidR="00124120">
        <w:t>43,</w:t>
      </w:r>
      <w:r w:rsidR="00F11AE1">
        <w:t>670</w:t>
      </w:r>
      <w:r w:rsidR="003606DF">
        <w:t xml:space="preserve"> as set forth in the Appendix to this Opinion and Order</w:t>
      </w:r>
      <w:r w:rsidRPr="005569DD">
        <w:t xml:space="preserve">.  The approved </w:t>
      </w:r>
      <w:r w:rsidR="003606DF">
        <w:t xml:space="preserve">total operating revenue </w:t>
      </w:r>
      <w:r w:rsidRPr="005569DD">
        <w:t>is reasonable, appropriate</w:t>
      </w:r>
      <w:r w:rsidR="00783311">
        <w:t>,</w:t>
      </w:r>
      <w:r w:rsidRPr="005569DD">
        <w:t xml:space="preserve"> and in accord with the record evidence.  As such, the Exceptions filed by the various Parties hereto, are granted or denied, as discussed, </w:t>
      </w:r>
      <w:r w:rsidRPr="003606DF">
        <w:rPr>
          <w:i/>
        </w:rPr>
        <w:t>supra</w:t>
      </w:r>
      <w:r w:rsidRPr="005569DD">
        <w:t>.  Accordingly, the ALJ</w:t>
      </w:r>
      <w:r w:rsidR="002061B0">
        <w:t>’</w:t>
      </w:r>
      <w:r w:rsidRPr="005569DD">
        <w:t xml:space="preserve">s Recommended Decision is adopted to the extent that it is consistent with this Opinion and Order; </w:t>
      </w:r>
      <w:r w:rsidRPr="00C6224D">
        <w:rPr>
          <w:b/>
        </w:rPr>
        <w:t>THEREFORE</w:t>
      </w:r>
      <w:r w:rsidRPr="005569DD">
        <w:t xml:space="preserve">, </w:t>
      </w:r>
    </w:p>
    <w:p w:rsidR="005569DD" w:rsidRPr="005569DD" w:rsidRDefault="005569DD" w:rsidP="005569DD">
      <w:pPr>
        <w:spacing w:after="200" w:line="276" w:lineRule="auto"/>
        <w:rPr>
          <w:szCs w:val="26"/>
        </w:rPr>
      </w:pPr>
    </w:p>
    <w:p w:rsidR="005569DD" w:rsidRPr="005569DD" w:rsidRDefault="005569DD" w:rsidP="0013467F">
      <w:pPr>
        <w:spacing w:line="240" w:lineRule="auto"/>
        <w:rPr>
          <w:szCs w:val="26"/>
        </w:rPr>
      </w:pPr>
      <w:r w:rsidRPr="00C6224D">
        <w:rPr>
          <w:b/>
          <w:szCs w:val="26"/>
        </w:rPr>
        <w:lastRenderedPageBreak/>
        <w:t>IT IS ORDERED</w:t>
      </w:r>
      <w:r w:rsidRPr="005569DD">
        <w:rPr>
          <w:szCs w:val="26"/>
        </w:rPr>
        <w:t>:</w:t>
      </w:r>
    </w:p>
    <w:p w:rsidR="005569DD" w:rsidRPr="005569DD" w:rsidRDefault="005569DD" w:rsidP="005569DD">
      <w:pPr>
        <w:spacing w:after="200" w:line="276" w:lineRule="auto"/>
        <w:rPr>
          <w:szCs w:val="26"/>
        </w:rPr>
      </w:pPr>
    </w:p>
    <w:p w:rsidR="005569DD" w:rsidRDefault="005569DD" w:rsidP="00092BB4">
      <w:pPr>
        <w:pStyle w:val="ListParagraph"/>
        <w:numPr>
          <w:ilvl w:val="0"/>
          <w:numId w:val="38"/>
        </w:numPr>
        <w:ind w:left="0" w:firstLine="1440"/>
      </w:pPr>
      <w:r w:rsidRPr="006C39A6">
        <w:t>That the Exception</w:t>
      </w:r>
      <w:r w:rsidR="006C39A6">
        <w:t>s</w:t>
      </w:r>
      <w:r w:rsidRPr="006C39A6">
        <w:t xml:space="preserve"> filed by the </w:t>
      </w:r>
      <w:r w:rsidR="003606DF" w:rsidRPr="006C39A6">
        <w:t xml:space="preserve">Delaware Sewer </w:t>
      </w:r>
      <w:r w:rsidR="0013467F">
        <w:t xml:space="preserve">Company </w:t>
      </w:r>
      <w:r w:rsidRPr="006C39A6">
        <w:t xml:space="preserve">on </w:t>
      </w:r>
      <w:r w:rsidR="003606DF" w:rsidRPr="006C39A6">
        <w:t>June</w:t>
      </w:r>
      <w:r w:rsidR="00783311">
        <w:t> </w:t>
      </w:r>
      <w:r w:rsidR="003606DF" w:rsidRPr="006C39A6">
        <w:t>16, 2015</w:t>
      </w:r>
      <w:r w:rsidRPr="006C39A6">
        <w:t xml:space="preserve">, to the Recommended Decision of Administrative Law Judge </w:t>
      </w:r>
      <w:r w:rsidR="006C39A6">
        <w:t>Ember</w:t>
      </w:r>
      <w:r w:rsidR="001118B7">
        <w:t> </w:t>
      </w:r>
      <w:r w:rsidR="006C39A6">
        <w:t>S.</w:t>
      </w:r>
      <w:r w:rsidR="001118B7">
        <w:t> </w:t>
      </w:r>
      <w:proofErr w:type="spellStart"/>
      <w:r w:rsidR="006C39A6">
        <w:t>Jandebeur</w:t>
      </w:r>
      <w:proofErr w:type="spellEnd"/>
      <w:r w:rsidRPr="006C39A6">
        <w:t xml:space="preserve">, </w:t>
      </w:r>
      <w:r w:rsidR="006C39A6">
        <w:t>are</w:t>
      </w:r>
      <w:r w:rsidRPr="006C39A6">
        <w:t xml:space="preserve"> granted or denied, consistent with this Opinion and Order.</w:t>
      </w:r>
    </w:p>
    <w:p w:rsidR="006C39A6" w:rsidRDefault="006C39A6" w:rsidP="00092BB4"/>
    <w:p w:rsidR="006C39A6" w:rsidRDefault="006C39A6" w:rsidP="00092BB4">
      <w:pPr>
        <w:pStyle w:val="ListParagraph"/>
        <w:numPr>
          <w:ilvl w:val="0"/>
          <w:numId w:val="38"/>
        </w:numPr>
        <w:ind w:left="0" w:firstLine="1440"/>
      </w:pPr>
      <w:r w:rsidRPr="006C39A6">
        <w:t>That the Exception</w:t>
      </w:r>
      <w:r>
        <w:t>s</w:t>
      </w:r>
      <w:r w:rsidRPr="006C39A6">
        <w:t xml:space="preserve"> filed by the </w:t>
      </w:r>
      <w:r>
        <w:t>Office of Consumer Advocate o</w:t>
      </w:r>
      <w:r w:rsidRPr="006C39A6">
        <w:t xml:space="preserve">n June 16, 2015, to the Recommended Decision of Administrative Law Judge </w:t>
      </w:r>
      <w:r>
        <w:t xml:space="preserve">Ember S. </w:t>
      </w:r>
      <w:proofErr w:type="spellStart"/>
      <w:r>
        <w:t>Jandebeur</w:t>
      </w:r>
      <w:proofErr w:type="spellEnd"/>
      <w:r w:rsidRPr="006C39A6">
        <w:t xml:space="preserve">, </w:t>
      </w:r>
      <w:r>
        <w:t>are</w:t>
      </w:r>
      <w:r w:rsidRPr="006C39A6">
        <w:t xml:space="preserve"> granted or denied, consistent with this Opinion and Order.</w:t>
      </w:r>
    </w:p>
    <w:p w:rsidR="00092BB4" w:rsidRPr="006C39A6" w:rsidRDefault="00092BB4" w:rsidP="00092BB4">
      <w:pPr>
        <w:ind w:left="1440" w:firstLine="0"/>
      </w:pPr>
    </w:p>
    <w:p w:rsidR="005569DD" w:rsidRDefault="005569DD" w:rsidP="00092BB4">
      <w:pPr>
        <w:pStyle w:val="ListParagraph"/>
        <w:numPr>
          <w:ilvl w:val="0"/>
          <w:numId w:val="38"/>
        </w:numPr>
        <w:ind w:left="0" w:firstLine="1440"/>
        <w:rPr>
          <w:szCs w:val="26"/>
        </w:rPr>
      </w:pPr>
      <w:r w:rsidRPr="00092BB4">
        <w:rPr>
          <w:szCs w:val="26"/>
        </w:rPr>
        <w:t xml:space="preserve">That the Recommended Decision of Administrative Law Judge </w:t>
      </w:r>
      <w:r w:rsidR="006C39A6">
        <w:t>Ember</w:t>
      </w:r>
      <w:r w:rsidR="001118B7">
        <w:t> </w:t>
      </w:r>
      <w:r w:rsidR="006C39A6">
        <w:t>S.</w:t>
      </w:r>
      <w:r w:rsidR="001118B7">
        <w:t> </w:t>
      </w:r>
      <w:proofErr w:type="spellStart"/>
      <w:r w:rsidR="006C39A6">
        <w:t>Jandebeur</w:t>
      </w:r>
      <w:proofErr w:type="spellEnd"/>
      <w:r w:rsidR="00092BB4">
        <w:t>,</w:t>
      </w:r>
      <w:r w:rsidR="006C39A6" w:rsidRPr="00092BB4">
        <w:rPr>
          <w:szCs w:val="26"/>
        </w:rPr>
        <w:t xml:space="preserve"> issued on May 27, 2015, </w:t>
      </w:r>
      <w:r w:rsidRPr="00092BB4">
        <w:rPr>
          <w:szCs w:val="26"/>
        </w:rPr>
        <w:t>is adopted to the extent that it is consistent with this Opinion and Order</w:t>
      </w:r>
      <w:r w:rsidR="0013467F">
        <w:rPr>
          <w:szCs w:val="26"/>
        </w:rPr>
        <w:t>,</w:t>
      </w:r>
      <w:r w:rsidRPr="00092BB4">
        <w:rPr>
          <w:szCs w:val="26"/>
        </w:rPr>
        <w:t xml:space="preserve"> and is otherwise rejected.</w:t>
      </w:r>
    </w:p>
    <w:p w:rsidR="00092BB4" w:rsidRPr="00092BB4" w:rsidRDefault="00092BB4" w:rsidP="00092BB4">
      <w:pPr>
        <w:ind w:left="1440" w:firstLine="0"/>
        <w:rPr>
          <w:szCs w:val="26"/>
        </w:rPr>
      </w:pPr>
    </w:p>
    <w:p w:rsidR="00EE6D33" w:rsidRDefault="00EE6D33" w:rsidP="00092BB4">
      <w:pPr>
        <w:pStyle w:val="ListParagraph"/>
        <w:numPr>
          <w:ilvl w:val="0"/>
          <w:numId w:val="38"/>
        </w:numPr>
        <w:ind w:left="0" w:firstLine="1440"/>
        <w:rPr>
          <w:szCs w:val="26"/>
        </w:rPr>
      </w:pPr>
      <w:r w:rsidRPr="00092BB4">
        <w:rPr>
          <w:szCs w:val="26"/>
        </w:rPr>
        <w:t xml:space="preserve">That the Complaint filed by the Office of Consumer Advocate in this proceeding at Docket No. C-2014-2454751 is sustained to the extent consistent with this Opinion and Order, and otherwise </w:t>
      </w:r>
      <w:r w:rsidR="00F6368F">
        <w:rPr>
          <w:szCs w:val="26"/>
        </w:rPr>
        <w:t>is</w:t>
      </w:r>
      <w:r w:rsidRPr="00092BB4">
        <w:rPr>
          <w:szCs w:val="26"/>
        </w:rPr>
        <w:t xml:space="preserve"> denied and dismissed.</w:t>
      </w:r>
    </w:p>
    <w:p w:rsidR="00092BB4" w:rsidRPr="00092BB4" w:rsidRDefault="00092BB4" w:rsidP="00092BB4">
      <w:pPr>
        <w:ind w:left="1440" w:firstLine="0"/>
        <w:rPr>
          <w:szCs w:val="26"/>
        </w:rPr>
      </w:pPr>
    </w:p>
    <w:p w:rsidR="00EE6D33" w:rsidRPr="00092BB4" w:rsidRDefault="00EE6D33" w:rsidP="00092BB4">
      <w:pPr>
        <w:pStyle w:val="ListParagraph"/>
        <w:numPr>
          <w:ilvl w:val="0"/>
          <w:numId w:val="38"/>
        </w:numPr>
        <w:ind w:left="0" w:firstLine="1440"/>
        <w:rPr>
          <w:szCs w:val="26"/>
        </w:rPr>
      </w:pPr>
      <w:r w:rsidRPr="00092BB4">
        <w:rPr>
          <w:szCs w:val="26"/>
        </w:rPr>
        <w:t>That the following Complaints are sustained to the extent consistent with this Opinion and Order, and otherwise are denied and dismissed:</w:t>
      </w:r>
    </w:p>
    <w:p w:rsidR="00EE6D33" w:rsidRDefault="00EE6D33" w:rsidP="00092BB4">
      <w:pPr>
        <w:pStyle w:val="ListParagraph"/>
        <w:spacing w:line="240" w:lineRule="auto"/>
        <w:ind w:left="1440" w:firstLine="0"/>
        <w:rPr>
          <w:szCs w:val="26"/>
        </w:rPr>
      </w:pPr>
    </w:p>
    <w:p w:rsidR="00EE6D33" w:rsidRDefault="00EE6D33" w:rsidP="00092BB4">
      <w:pPr>
        <w:pStyle w:val="ListParagraph"/>
        <w:numPr>
          <w:ilvl w:val="0"/>
          <w:numId w:val="39"/>
        </w:numPr>
        <w:ind w:left="2880" w:hanging="720"/>
        <w:contextualSpacing w:val="0"/>
      </w:pPr>
      <w:r>
        <w:t xml:space="preserve">Debra </w:t>
      </w:r>
      <w:proofErr w:type="spellStart"/>
      <w:r>
        <w:t>Michell</w:t>
      </w:r>
      <w:proofErr w:type="spellEnd"/>
      <w:r>
        <w:t xml:space="preserve"> at Docket No. C</w:t>
      </w:r>
      <w:r>
        <w:noBreakHyphen/>
        <w:t xml:space="preserve">2014-2457964, </w:t>
      </w:r>
    </w:p>
    <w:p w:rsidR="00EE6D33" w:rsidRDefault="00EE6D33" w:rsidP="00092BB4">
      <w:pPr>
        <w:pStyle w:val="ListParagraph"/>
        <w:numPr>
          <w:ilvl w:val="0"/>
          <w:numId w:val="39"/>
        </w:numPr>
        <w:ind w:left="2880" w:hanging="720"/>
        <w:contextualSpacing w:val="0"/>
      </w:pPr>
      <w:r>
        <w:t>Elizabeth Triplett at Docket No.-2014-2457983,</w:t>
      </w:r>
    </w:p>
    <w:p w:rsidR="00EE6D33" w:rsidRDefault="00EE6D33" w:rsidP="00092BB4">
      <w:pPr>
        <w:pStyle w:val="ListParagraph"/>
        <w:numPr>
          <w:ilvl w:val="0"/>
          <w:numId w:val="39"/>
        </w:numPr>
        <w:ind w:left="2880" w:hanging="720"/>
        <w:contextualSpacing w:val="0"/>
      </w:pPr>
      <w:r>
        <w:t>Frank Gorman at Docket No. C</w:t>
      </w:r>
      <w:r>
        <w:noBreakHyphen/>
        <w:t>2014-2457976,</w:t>
      </w:r>
    </w:p>
    <w:p w:rsidR="00EE6D33" w:rsidRDefault="00EE6D33" w:rsidP="00092BB4">
      <w:pPr>
        <w:pStyle w:val="ListParagraph"/>
        <w:numPr>
          <w:ilvl w:val="0"/>
          <w:numId w:val="39"/>
        </w:numPr>
        <w:ind w:left="2880" w:hanging="720"/>
        <w:contextualSpacing w:val="0"/>
      </w:pPr>
      <w:r>
        <w:t xml:space="preserve">Svetlana </w:t>
      </w:r>
      <w:proofErr w:type="spellStart"/>
      <w:r>
        <w:t>Perminova</w:t>
      </w:r>
      <w:proofErr w:type="spellEnd"/>
      <w:r>
        <w:t xml:space="preserve"> and Viktor </w:t>
      </w:r>
      <w:proofErr w:type="spellStart"/>
      <w:r>
        <w:t>Ushenko</w:t>
      </w:r>
      <w:proofErr w:type="spellEnd"/>
      <w:r>
        <w:t xml:space="preserve"> at Docket No. </w:t>
      </w:r>
      <w:r w:rsidR="00092BB4">
        <w:br/>
      </w:r>
      <w:r>
        <w:t>C-2014-2458029,</w:t>
      </w:r>
    </w:p>
    <w:p w:rsidR="00EE6D33" w:rsidRDefault="00EE6D33" w:rsidP="00092BB4">
      <w:pPr>
        <w:pStyle w:val="ListParagraph"/>
        <w:numPr>
          <w:ilvl w:val="0"/>
          <w:numId w:val="39"/>
        </w:numPr>
        <w:ind w:left="2880" w:hanging="720"/>
        <w:contextualSpacing w:val="0"/>
      </w:pPr>
      <w:r>
        <w:t xml:space="preserve">Robert </w:t>
      </w:r>
      <w:proofErr w:type="spellStart"/>
      <w:r>
        <w:t>Autore</w:t>
      </w:r>
      <w:proofErr w:type="spellEnd"/>
      <w:r>
        <w:t xml:space="preserve"> at Docket No. C-2014-2457963,</w:t>
      </w:r>
    </w:p>
    <w:p w:rsidR="00EE6D33" w:rsidRDefault="00EE6D33" w:rsidP="00092BB4">
      <w:pPr>
        <w:pStyle w:val="ListParagraph"/>
        <w:numPr>
          <w:ilvl w:val="0"/>
          <w:numId w:val="39"/>
        </w:numPr>
        <w:ind w:left="2880" w:hanging="720"/>
        <w:contextualSpacing w:val="0"/>
      </w:pPr>
      <w:r>
        <w:t>Grace Doll at Docket No. C</w:t>
      </w:r>
      <w:r>
        <w:noBreakHyphen/>
        <w:t xml:space="preserve">2014-2458745, </w:t>
      </w:r>
    </w:p>
    <w:p w:rsidR="00EE6D33" w:rsidRDefault="00EE6D33" w:rsidP="00092BB4">
      <w:pPr>
        <w:pStyle w:val="ListParagraph"/>
        <w:numPr>
          <w:ilvl w:val="0"/>
          <w:numId w:val="39"/>
        </w:numPr>
        <w:ind w:left="2880" w:hanging="720"/>
        <w:contextualSpacing w:val="0"/>
      </w:pPr>
      <w:r>
        <w:t>James and Michelle Conklin at Docket No. C-2014-2458122,</w:t>
      </w:r>
    </w:p>
    <w:p w:rsidR="00EE6D33" w:rsidRDefault="00EE6D33" w:rsidP="00092BB4">
      <w:pPr>
        <w:pStyle w:val="ListParagraph"/>
        <w:numPr>
          <w:ilvl w:val="0"/>
          <w:numId w:val="39"/>
        </w:numPr>
        <w:ind w:left="2880" w:hanging="720"/>
        <w:contextualSpacing w:val="0"/>
      </w:pPr>
      <w:r>
        <w:lastRenderedPageBreak/>
        <w:t xml:space="preserve">Robert </w:t>
      </w:r>
      <w:proofErr w:type="spellStart"/>
      <w:r>
        <w:t>Klayn</w:t>
      </w:r>
      <w:proofErr w:type="spellEnd"/>
      <w:r>
        <w:t xml:space="preserve"> at Docket No. C</w:t>
      </w:r>
      <w:r>
        <w:noBreakHyphen/>
        <w:t>2014-2458135,</w:t>
      </w:r>
    </w:p>
    <w:p w:rsidR="00EE6D33" w:rsidRDefault="00EE6D33" w:rsidP="00092BB4">
      <w:pPr>
        <w:pStyle w:val="ListParagraph"/>
        <w:numPr>
          <w:ilvl w:val="0"/>
          <w:numId w:val="39"/>
        </w:numPr>
        <w:ind w:left="2880" w:hanging="720"/>
        <w:contextualSpacing w:val="0"/>
      </w:pPr>
      <w:r>
        <w:t xml:space="preserve">George </w:t>
      </w:r>
      <w:proofErr w:type="spellStart"/>
      <w:r>
        <w:t>McGettigan</w:t>
      </w:r>
      <w:proofErr w:type="spellEnd"/>
      <w:r>
        <w:t xml:space="preserve"> at Docket No. C-2014-2458330, </w:t>
      </w:r>
    </w:p>
    <w:p w:rsidR="00EE6D33" w:rsidRDefault="00EE6D33" w:rsidP="00092BB4">
      <w:pPr>
        <w:pStyle w:val="ListParagraph"/>
        <w:numPr>
          <w:ilvl w:val="0"/>
          <w:numId w:val="39"/>
        </w:numPr>
        <w:ind w:left="2880" w:hanging="720"/>
        <w:contextualSpacing w:val="0"/>
      </w:pPr>
      <w:r>
        <w:t xml:space="preserve">Janet </w:t>
      </w:r>
      <w:proofErr w:type="spellStart"/>
      <w:r>
        <w:t>McGettigan</w:t>
      </w:r>
      <w:proofErr w:type="spellEnd"/>
      <w:r>
        <w:t xml:space="preserve"> at Docket No. C-2014-2458782,</w:t>
      </w:r>
    </w:p>
    <w:p w:rsidR="00EE6D33" w:rsidRDefault="00EE6D33" w:rsidP="00092BB4">
      <w:pPr>
        <w:pStyle w:val="ListParagraph"/>
        <w:numPr>
          <w:ilvl w:val="0"/>
          <w:numId w:val="39"/>
        </w:numPr>
        <w:ind w:left="2880" w:hanging="720"/>
        <w:contextualSpacing w:val="0"/>
      </w:pPr>
      <w:r>
        <w:t xml:space="preserve">Edward </w:t>
      </w:r>
      <w:proofErr w:type="spellStart"/>
      <w:r>
        <w:t>Cantamessa</w:t>
      </w:r>
      <w:proofErr w:type="spellEnd"/>
      <w:r>
        <w:t xml:space="preserve"> at Docket No. C-2014-2459896,</w:t>
      </w:r>
    </w:p>
    <w:p w:rsidR="00EE6D33" w:rsidRDefault="00EE6D33" w:rsidP="00092BB4">
      <w:pPr>
        <w:pStyle w:val="ListParagraph"/>
        <w:numPr>
          <w:ilvl w:val="0"/>
          <w:numId w:val="39"/>
        </w:numPr>
        <w:ind w:left="2880" w:hanging="720"/>
        <w:contextualSpacing w:val="0"/>
      </w:pPr>
      <w:r>
        <w:t>Mary Ellen Templin at Docket No. C-2014-2460141,</w:t>
      </w:r>
    </w:p>
    <w:p w:rsidR="00EE6D33" w:rsidRDefault="00EE6D33" w:rsidP="00092BB4">
      <w:pPr>
        <w:pStyle w:val="ListParagraph"/>
        <w:numPr>
          <w:ilvl w:val="0"/>
          <w:numId w:val="39"/>
        </w:numPr>
        <w:ind w:left="2880" w:hanging="720"/>
        <w:contextualSpacing w:val="0"/>
      </w:pPr>
      <w:r>
        <w:t>Edward O</w:t>
      </w:r>
      <w:r w:rsidR="002061B0">
        <w:t>’</w:t>
      </w:r>
      <w:r>
        <w:t>Connor at Docket No. C-2014-2460166,</w:t>
      </w:r>
    </w:p>
    <w:p w:rsidR="00EE6D33" w:rsidRDefault="00EE6D33" w:rsidP="00092BB4">
      <w:pPr>
        <w:pStyle w:val="ListParagraph"/>
        <w:numPr>
          <w:ilvl w:val="0"/>
          <w:numId w:val="39"/>
        </w:numPr>
        <w:ind w:left="2880" w:hanging="720"/>
        <w:contextualSpacing w:val="0"/>
      </w:pPr>
      <w:r>
        <w:t>Cindy Luke at Docket No. C-201</w:t>
      </w:r>
      <w:r w:rsidR="00AF4B48">
        <w:t>5</w:t>
      </w:r>
      <w:r>
        <w:t>-2460601,</w:t>
      </w:r>
    </w:p>
    <w:p w:rsidR="00EE6D33" w:rsidRDefault="00EE6D33" w:rsidP="00092BB4">
      <w:pPr>
        <w:pStyle w:val="ListParagraph"/>
        <w:numPr>
          <w:ilvl w:val="0"/>
          <w:numId w:val="39"/>
        </w:numPr>
        <w:ind w:left="2880" w:hanging="720"/>
        <w:contextualSpacing w:val="0"/>
      </w:pPr>
      <w:r>
        <w:t>Rober</w:t>
      </w:r>
      <w:r w:rsidR="00AF4B48">
        <w:t xml:space="preserve">t </w:t>
      </w:r>
      <w:proofErr w:type="spellStart"/>
      <w:r w:rsidR="00AF4B48">
        <w:t>Bajkowski</w:t>
      </w:r>
      <w:proofErr w:type="spellEnd"/>
      <w:r w:rsidR="00AF4B48">
        <w:t xml:space="preserve"> at Docket No. C-2015</w:t>
      </w:r>
      <w:r>
        <w:t>-2460601</w:t>
      </w:r>
    </w:p>
    <w:p w:rsidR="00EE6D33" w:rsidRDefault="00EE6D33" w:rsidP="00092BB4">
      <w:pPr>
        <w:pStyle w:val="ListParagraph"/>
        <w:numPr>
          <w:ilvl w:val="0"/>
          <w:numId w:val="39"/>
        </w:numPr>
        <w:ind w:left="2880" w:hanging="720"/>
        <w:contextualSpacing w:val="0"/>
      </w:pPr>
      <w:r>
        <w:t>Emma Dolan at Docket No. C</w:t>
      </w:r>
      <w:r>
        <w:noBreakHyphen/>
        <w:t>2014-2460197,</w:t>
      </w:r>
    </w:p>
    <w:p w:rsidR="00EE6D33" w:rsidRDefault="00EE6D33" w:rsidP="00092BB4">
      <w:pPr>
        <w:pStyle w:val="ListParagraph"/>
        <w:numPr>
          <w:ilvl w:val="0"/>
          <w:numId w:val="39"/>
        </w:numPr>
        <w:ind w:left="2880" w:hanging="720"/>
      </w:pPr>
      <w:r>
        <w:t xml:space="preserve">Anthony and Sandra </w:t>
      </w:r>
      <w:proofErr w:type="spellStart"/>
      <w:r>
        <w:t>Barlotta</w:t>
      </w:r>
      <w:proofErr w:type="spellEnd"/>
      <w:r>
        <w:t xml:space="preserve"> at Docket No. C-2015-2461561</w:t>
      </w:r>
    </w:p>
    <w:p w:rsidR="006C39A6" w:rsidRPr="005569DD" w:rsidRDefault="006C39A6" w:rsidP="005569DD">
      <w:pPr>
        <w:spacing w:after="200" w:line="276" w:lineRule="auto"/>
        <w:rPr>
          <w:szCs w:val="26"/>
        </w:rPr>
      </w:pPr>
    </w:p>
    <w:p w:rsidR="005569DD" w:rsidRDefault="005569DD" w:rsidP="0013467F">
      <w:pPr>
        <w:pStyle w:val="ListParagraph"/>
        <w:numPr>
          <w:ilvl w:val="0"/>
          <w:numId w:val="44"/>
        </w:numPr>
        <w:ind w:left="0" w:firstLine="1440"/>
        <w:rPr>
          <w:szCs w:val="26"/>
        </w:rPr>
      </w:pPr>
      <w:r w:rsidRPr="00092BB4">
        <w:rPr>
          <w:szCs w:val="26"/>
        </w:rPr>
        <w:t xml:space="preserve">That </w:t>
      </w:r>
      <w:r w:rsidR="006C39A6" w:rsidRPr="00092BB4">
        <w:rPr>
          <w:szCs w:val="26"/>
        </w:rPr>
        <w:t xml:space="preserve">Delaware Sewer Company </w:t>
      </w:r>
      <w:r w:rsidRPr="00092BB4">
        <w:rPr>
          <w:szCs w:val="26"/>
        </w:rPr>
        <w:t xml:space="preserve">shall not place into effect the rates contained in Supplement No. </w:t>
      </w:r>
      <w:r w:rsidR="006C39A6" w:rsidRPr="00092BB4">
        <w:rPr>
          <w:szCs w:val="26"/>
        </w:rPr>
        <w:t>1</w:t>
      </w:r>
      <w:r w:rsidRPr="00092BB4">
        <w:rPr>
          <w:szCs w:val="26"/>
        </w:rPr>
        <w:t xml:space="preserve"> to Tariff Water-Pa. P.U.C. No. </w:t>
      </w:r>
      <w:r w:rsidR="006C39A6" w:rsidRPr="00092BB4">
        <w:rPr>
          <w:szCs w:val="26"/>
        </w:rPr>
        <w:t>1</w:t>
      </w:r>
      <w:r w:rsidRPr="00092BB4">
        <w:rPr>
          <w:szCs w:val="26"/>
        </w:rPr>
        <w:t xml:space="preserve">, which have been found to be unjust and unreasonable and, therefore, unlawful. </w:t>
      </w:r>
    </w:p>
    <w:p w:rsidR="0013467F" w:rsidRPr="0013467F" w:rsidRDefault="0013467F" w:rsidP="0013467F">
      <w:pPr>
        <w:ind w:left="1440" w:firstLine="0"/>
        <w:rPr>
          <w:szCs w:val="26"/>
        </w:rPr>
      </w:pPr>
    </w:p>
    <w:p w:rsidR="00EE6D33" w:rsidRDefault="00EE6D33" w:rsidP="0013467F">
      <w:pPr>
        <w:pStyle w:val="ListParagraph"/>
        <w:numPr>
          <w:ilvl w:val="0"/>
          <w:numId w:val="44"/>
        </w:numPr>
        <w:ind w:left="0" w:firstLine="1440"/>
        <w:rPr>
          <w:szCs w:val="26"/>
        </w:rPr>
      </w:pPr>
      <w:r w:rsidRPr="00092BB4">
        <w:rPr>
          <w:szCs w:val="26"/>
        </w:rPr>
        <w:t xml:space="preserve">That Delaware Sewer Company is hereby authorized to file tariffs, tariff supplements, or tariff revisions containing rates, provisions, rules and regulations, consistent with the findings herein, designed to produce </w:t>
      </w:r>
      <w:r w:rsidR="000D6DA7">
        <w:rPr>
          <w:szCs w:val="26"/>
        </w:rPr>
        <w:t xml:space="preserve">annual base rate revenues not in excess of $43,557 and annual </w:t>
      </w:r>
      <w:r w:rsidRPr="00092BB4">
        <w:rPr>
          <w:szCs w:val="26"/>
        </w:rPr>
        <w:t>jurisdictional operating revenues not in excess of $</w:t>
      </w:r>
      <w:r w:rsidR="00F11AE1">
        <w:rPr>
          <w:szCs w:val="26"/>
        </w:rPr>
        <w:t>43,670</w:t>
      </w:r>
      <w:r w:rsidRPr="00092BB4">
        <w:rPr>
          <w:szCs w:val="26"/>
        </w:rPr>
        <w:t>.</w:t>
      </w:r>
    </w:p>
    <w:p w:rsidR="0013467F" w:rsidRPr="0013467F" w:rsidRDefault="0013467F" w:rsidP="0013467F">
      <w:pPr>
        <w:ind w:left="1440" w:firstLine="0"/>
        <w:rPr>
          <w:szCs w:val="26"/>
        </w:rPr>
      </w:pPr>
    </w:p>
    <w:p w:rsidR="00EE6D33" w:rsidRPr="00092BB4" w:rsidRDefault="00EE6D33" w:rsidP="0013467F">
      <w:pPr>
        <w:pStyle w:val="ListParagraph"/>
        <w:numPr>
          <w:ilvl w:val="0"/>
          <w:numId w:val="44"/>
        </w:numPr>
        <w:ind w:left="0" w:firstLine="1440"/>
        <w:rPr>
          <w:szCs w:val="26"/>
        </w:rPr>
      </w:pPr>
      <w:r w:rsidRPr="00092BB4">
        <w:rPr>
          <w:szCs w:val="26"/>
        </w:rPr>
        <w:t>That Delaware Sewer Company shall file calculations with its tariff filing, which shall demonstrate to this Commission</w:t>
      </w:r>
      <w:r w:rsidR="002061B0">
        <w:rPr>
          <w:szCs w:val="26"/>
        </w:rPr>
        <w:t>’</w:t>
      </w:r>
      <w:r w:rsidRPr="00092BB4">
        <w:rPr>
          <w:szCs w:val="26"/>
        </w:rPr>
        <w:t>s satisfaction that the filed rates comply with the proof of revenue, in the form and manner customarily filed in support of compliance tariffs.</w:t>
      </w:r>
    </w:p>
    <w:p w:rsidR="00EE6D33" w:rsidRPr="005569DD" w:rsidRDefault="00EE6D33" w:rsidP="0013467F">
      <w:pPr>
        <w:rPr>
          <w:szCs w:val="26"/>
        </w:rPr>
      </w:pPr>
    </w:p>
    <w:p w:rsidR="00EE6D33" w:rsidRPr="00092BB4" w:rsidRDefault="00EE6D33" w:rsidP="0013467F">
      <w:pPr>
        <w:pStyle w:val="ListParagraph"/>
        <w:numPr>
          <w:ilvl w:val="0"/>
          <w:numId w:val="44"/>
        </w:numPr>
        <w:tabs>
          <w:tab w:val="left" w:pos="-720"/>
        </w:tabs>
        <w:suppressAutoHyphens/>
        <w:ind w:left="0" w:firstLine="1440"/>
        <w:rPr>
          <w:rFonts w:cs="CG Times"/>
        </w:rPr>
      </w:pPr>
      <w:r w:rsidRPr="00BA0D32">
        <w:t xml:space="preserve">That upon the filing of a tariff supplement by </w:t>
      </w:r>
      <w:r w:rsidR="00092BB4">
        <w:t>Delaware Sewer Company</w:t>
      </w:r>
      <w:r w:rsidRPr="00BA0D32">
        <w:t xml:space="preserve"> acceptable to the Commission as conforming with th</w:t>
      </w:r>
      <w:r w:rsidR="00092BB4">
        <w:t>is Opinion and Order</w:t>
      </w:r>
      <w:r w:rsidR="0013467F">
        <w:t>,</w:t>
      </w:r>
      <w:r w:rsidRPr="00BA0D32">
        <w:t xml:space="preserve"> the rates</w:t>
      </w:r>
      <w:r>
        <w:t xml:space="preserve">, rules, and regulations </w:t>
      </w:r>
      <w:r w:rsidRPr="00BA0D32">
        <w:t>established therein shall become effective on one day</w:t>
      </w:r>
      <w:r w:rsidR="002061B0">
        <w:t>’</w:t>
      </w:r>
      <w:r w:rsidRPr="00BA0D32">
        <w:t xml:space="preserve">s notice </w:t>
      </w:r>
      <w:r w:rsidRPr="00092BB4">
        <w:rPr>
          <w:rFonts w:cs="CG Times"/>
        </w:rPr>
        <w:lastRenderedPageBreak/>
        <w:t xml:space="preserve">pursuant to the provisions of 52 Pa. Code §§ 53.31 and 53.101, </w:t>
      </w:r>
      <w:r w:rsidR="00F11AE1">
        <w:rPr>
          <w:rFonts w:cs="CG Times"/>
        </w:rPr>
        <w:t xml:space="preserve">and </w:t>
      </w:r>
      <w:r w:rsidRPr="00092BB4">
        <w:rPr>
          <w:rFonts w:cs="CG Times"/>
        </w:rPr>
        <w:t>may be filed to be effective for service rendered on and after the date of entry of th</w:t>
      </w:r>
      <w:r w:rsidR="00F11AE1">
        <w:rPr>
          <w:rFonts w:cs="CG Times"/>
        </w:rPr>
        <w:t>is</w:t>
      </w:r>
      <w:r w:rsidRPr="00092BB4">
        <w:rPr>
          <w:rFonts w:cs="CG Times"/>
        </w:rPr>
        <w:t xml:space="preserve"> Opinion and Order.</w:t>
      </w:r>
    </w:p>
    <w:p w:rsidR="005569DD" w:rsidRPr="005569DD" w:rsidRDefault="005569DD" w:rsidP="0013467F">
      <w:pPr>
        <w:rPr>
          <w:szCs w:val="26"/>
        </w:rPr>
      </w:pPr>
    </w:p>
    <w:p w:rsidR="00EE6D33" w:rsidRPr="001B24DD" w:rsidRDefault="00EE6D33" w:rsidP="0013467F">
      <w:pPr>
        <w:pStyle w:val="ListParagraph"/>
        <w:numPr>
          <w:ilvl w:val="0"/>
          <w:numId w:val="44"/>
        </w:numPr>
        <w:ind w:left="0" w:firstLine="1440"/>
      </w:pPr>
      <w:r w:rsidRPr="001B24DD">
        <w:t>That any directive, requirement, disposition, or the like contained in the body of this Opinion and Order, which is not the subject of an individual Ordering Paragraph, shall have the full force and effect as if fully contained in this part.</w:t>
      </w:r>
    </w:p>
    <w:p w:rsidR="00EE6D33" w:rsidRPr="005569DD" w:rsidRDefault="00EE6D33" w:rsidP="0013467F">
      <w:pPr>
        <w:rPr>
          <w:szCs w:val="26"/>
        </w:rPr>
      </w:pPr>
    </w:p>
    <w:p w:rsidR="005569DD" w:rsidRPr="00092BB4" w:rsidRDefault="005569DD" w:rsidP="00717745">
      <w:pPr>
        <w:pStyle w:val="ListParagraph"/>
        <w:keepNext/>
        <w:numPr>
          <w:ilvl w:val="0"/>
          <w:numId w:val="44"/>
        </w:numPr>
        <w:ind w:left="0" w:firstLine="1440"/>
        <w:rPr>
          <w:szCs w:val="26"/>
        </w:rPr>
      </w:pPr>
      <w:r w:rsidRPr="00092BB4">
        <w:rPr>
          <w:szCs w:val="26"/>
        </w:rPr>
        <w:t>That the Pennsylvania Public Utility Commission</w:t>
      </w:r>
      <w:r w:rsidR="002061B0">
        <w:rPr>
          <w:szCs w:val="26"/>
        </w:rPr>
        <w:t>’</w:t>
      </w:r>
      <w:r w:rsidRPr="00092BB4">
        <w:rPr>
          <w:szCs w:val="26"/>
        </w:rPr>
        <w:t>s inquiry and investigation at Docket R-2014-24</w:t>
      </w:r>
      <w:r w:rsidR="00F11AE1">
        <w:rPr>
          <w:szCs w:val="26"/>
        </w:rPr>
        <w:t>52705</w:t>
      </w:r>
      <w:r w:rsidRPr="00092BB4">
        <w:rPr>
          <w:szCs w:val="26"/>
        </w:rPr>
        <w:t xml:space="preserve"> be terminated and marked closed.</w:t>
      </w:r>
    </w:p>
    <w:p w:rsidR="005569DD" w:rsidRPr="005569DD" w:rsidRDefault="005569DD" w:rsidP="00717745">
      <w:pPr>
        <w:keepNext/>
        <w:spacing w:after="200" w:line="276" w:lineRule="auto"/>
        <w:rPr>
          <w:szCs w:val="26"/>
        </w:rPr>
      </w:pPr>
    </w:p>
    <w:p w:rsidR="005569DD" w:rsidRPr="00455A46" w:rsidRDefault="00544BBE" w:rsidP="00717745">
      <w:pPr>
        <w:keepNext/>
        <w:spacing w:after="200" w:line="276" w:lineRule="auto"/>
        <w:rPr>
          <w:b/>
          <w:szCs w:val="26"/>
        </w:rPr>
      </w:pPr>
      <w:r>
        <w:rPr>
          <w:noProof/>
        </w:rPr>
        <w:drawing>
          <wp:anchor distT="0" distB="0" distL="114300" distR="114300" simplePos="0" relativeHeight="251659264" behindDoc="1" locked="0" layoutInCell="1" allowOverlap="1" wp14:anchorId="5590D779" wp14:editId="30A72EA0">
            <wp:simplePos x="0" y="0"/>
            <wp:positionH relativeFrom="column">
              <wp:posOffset>3143250</wp:posOffset>
            </wp:positionH>
            <wp:positionV relativeFrom="paragraph">
              <wp:posOffset>206375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569DD" w:rsidRPr="005569DD">
        <w:rPr>
          <w:szCs w:val="26"/>
        </w:rPr>
        <w:tab/>
      </w:r>
      <w:r w:rsidR="005569DD" w:rsidRPr="005569DD">
        <w:rPr>
          <w:szCs w:val="26"/>
        </w:rPr>
        <w:tab/>
      </w:r>
      <w:r w:rsidR="005569DD" w:rsidRPr="005569DD">
        <w:rPr>
          <w:szCs w:val="26"/>
        </w:rPr>
        <w:tab/>
      </w:r>
      <w:r w:rsidR="005569DD" w:rsidRPr="005569DD">
        <w:rPr>
          <w:szCs w:val="26"/>
        </w:rPr>
        <w:tab/>
      </w:r>
      <w:r w:rsidR="005569DD" w:rsidRPr="005569DD">
        <w:rPr>
          <w:szCs w:val="26"/>
        </w:rPr>
        <w:tab/>
      </w:r>
      <w:r w:rsidR="005569DD" w:rsidRPr="00455A46">
        <w:rPr>
          <w:b/>
          <w:szCs w:val="26"/>
        </w:rPr>
        <w:t>BY THE COMMISSION,</w:t>
      </w:r>
    </w:p>
    <w:p w:rsidR="005569DD" w:rsidRPr="005569DD" w:rsidRDefault="005569DD" w:rsidP="00717745">
      <w:pPr>
        <w:keepNext/>
        <w:spacing w:after="200" w:line="276" w:lineRule="auto"/>
        <w:rPr>
          <w:szCs w:val="26"/>
        </w:rPr>
      </w:pPr>
    </w:p>
    <w:p w:rsidR="005569DD" w:rsidRPr="005569DD" w:rsidRDefault="005569DD" w:rsidP="00717745">
      <w:pPr>
        <w:keepNext/>
        <w:spacing w:after="200" w:line="276" w:lineRule="auto"/>
        <w:rPr>
          <w:szCs w:val="26"/>
        </w:rPr>
      </w:pPr>
    </w:p>
    <w:p w:rsidR="005569DD" w:rsidRDefault="005569DD" w:rsidP="00717745">
      <w:pPr>
        <w:keepNext/>
        <w:spacing w:after="200" w:line="276" w:lineRule="auto"/>
        <w:rPr>
          <w:szCs w:val="26"/>
        </w:rPr>
      </w:pPr>
      <w:r w:rsidRPr="005569DD">
        <w:rPr>
          <w:szCs w:val="26"/>
        </w:rPr>
        <w:tab/>
      </w:r>
      <w:r w:rsidRPr="005569DD">
        <w:rPr>
          <w:szCs w:val="26"/>
        </w:rPr>
        <w:tab/>
      </w:r>
      <w:r w:rsidRPr="005569DD">
        <w:rPr>
          <w:szCs w:val="26"/>
        </w:rPr>
        <w:tab/>
      </w:r>
      <w:r w:rsidRPr="005569DD">
        <w:rPr>
          <w:szCs w:val="26"/>
        </w:rPr>
        <w:tab/>
      </w:r>
      <w:r w:rsidRPr="005569DD">
        <w:rPr>
          <w:szCs w:val="26"/>
        </w:rPr>
        <w:tab/>
        <w:t>Rosemary Chiavetta</w:t>
      </w:r>
      <w:r w:rsidRPr="005569DD">
        <w:rPr>
          <w:szCs w:val="26"/>
        </w:rPr>
        <w:tab/>
      </w:r>
      <w:r w:rsidRPr="005569DD">
        <w:rPr>
          <w:szCs w:val="26"/>
        </w:rPr>
        <w:tab/>
      </w:r>
      <w:r w:rsidRPr="005569DD">
        <w:rPr>
          <w:szCs w:val="26"/>
        </w:rPr>
        <w:tab/>
      </w:r>
      <w:r w:rsidRPr="005569DD">
        <w:rPr>
          <w:szCs w:val="26"/>
        </w:rPr>
        <w:tab/>
      </w:r>
      <w:r w:rsidRPr="005569DD">
        <w:rPr>
          <w:szCs w:val="26"/>
        </w:rPr>
        <w:tab/>
      </w:r>
      <w:r w:rsidRPr="005569DD">
        <w:rPr>
          <w:szCs w:val="26"/>
        </w:rPr>
        <w:tab/>
      </w:r>
      <w:r w:rsidRPr="005569DD">
        <w:rPr>
          <w:szCs w:val="26"/>
        </w:rPr>
        <w:tab/>
      </w:r>
      <w:r w:rsidR="0013467F">
        <w:rPr>
          <w:szCs w:val="26"/>
        </w:rPr>
        <w:tab/>
      </w:r>
      <w:r w:rsidR="0013467F">
        <w:rPr>
          <w:szCs w:val="26"/>
        </w:rPr>
        <w:tab/>
      </w:r>
      <w:r w:rsidR="0013467F">
        <w:rPr>
          <w:szCs w:val="26"/>
        </w:rPr>
        <w:tab/>
      </w:r>
      <w:r w:rsidR="0013467F">
        <w:rPr>
          <w:szCs w:val="26"/>
        </w:rPr>
        <w:tab/>
      </w:r>
      <w:r w:rsidRPr="005569DD">
        <w:rPr>
          <w:szCs w:val="26"/>
        </w:rPr>
        <w:t>Secretary</w:t>
      </w:r>
    </w:p>
    <w:p w:rsidR="001118B7" w:rsidRPr="005569DD" w:rsidRDefault="001118B7" w:rsidP="00717745">
      <w:pPr>
        <w:keepNext/>
        <w:spacing w:after="200" w:line="276" w:lineRule="auto"/>
        <w:rPr>
          <w:szCs w:val="26"/>
        </w:rPr>
      </w:pPr>
    </w:p>
    <w:p w:rsidR="005569DD" w:rsidRPr="005569DD" w:rsidRDefault="005569DD" w:rsidP="0013467F">
      <w:pPr>
        <w:spacing w:line="240" w:lineRule="auto"/>
        <w:ind w:firstLine="0"/>
        <w:rPr>
          <w:szCs w:val="26"/>
        </w:rPr>
      </w:pPr>
      <w:r w:rsidRPr="005569DD">
        <w:rPr>
          <w:szCs w:val="26"/>
        </w:rPr>
        <w:t>(SEAL)</w:t>
      </w:r>
    </w:p>
    <w:p w:rsidR="005569DD" w:rsidRPr="005569DD" w:rsidRDefault="005569DD" w:rsidP="0013467F">
      <w:pPr>
        <w:spacing w:line="240" w:lineRule="auto"/>
        <w:ind w:firstLine="0"/>
        <w:rPr>
          <w:szCs w:val="26"/>
        </w:rPr>
      </w:pPr>
    </w:p>
    <w:p w:rsidR="005569DD" w:rsidRDefault="005569DD" w:rsidP="0013467F">
      <w:pPr>
        <w:spacing w:line="240" w:lineRule="auto"/>
        <w:ind w:firstLine="0"/>
        <w:rPr>
          <w:szCs w:val="26"/>
        </w:rPr>
      </w:pPr>
      <w:r w:rsidRPr="005569DD">
        <w:rPr>
          <w:szCs w:val="26"/>
        </w:rPr>
        <w:t xml:space="preserve">ORDER ADOPTED: </w:t>
      </w:r>
      <w:r w:rsidR="0013467F">
        <w:rPr>
          <w:szCs w:val="26"/>
        </w:rPr>
        <w:t>July 30, 2015</w:t>
      </w:r>
    </w:p>
    <w:p w:rsidR="0013467F" w:rsidRPr="005569DD" w:rsidRDefault="0013467F" w:rsidP="0013467F">
      <w:pPr>
        <w:spacing w:line="240" w:lineRule="auto"/>
        <w:ind w:firstLine="0"/>
        <w:rPr>
          <w:szCs w:val="26"/>
        </w:rPr>
      </w:pPr>
    </w:p>
    <w:p w:rsidR="00E35611" w:rsidRDefault="005569DD" w:rsidP="0013467F">
      <w:pPr>
        <w:spacing w:line="240" w:lineRule="auto"/>
        <w:ind w:firstLine="0"/>
        <w:rPr>
          <w:szCs w:val="26"/>
        </w:rPr>
      </w:pPr>
      <w:r w:rsidRPr="005569DD">
        <w:rPr>
          <w:szCs w:val="26"/>
        </w:rPr>
        <w:t xml:space="preserve">ORDER ENTERED: </w:t>
      </w:r>
      <w:r w:rsidR="00544BBE">
        <w:rPr>
          <w:szCs w:val="26"/>
        </w:rPr>
        <w:t xml:space="preserve"> July 30, 2015</w:t>
      </w:r>
      <w:bookmarkStart w:id="17" w:name="_GoBack"/>
      <w:bookmarkEnd w:id="17"/>
      <w:r w:rsidRPr="005569DD">
        <w:rPr>
          <w:szCs w:val="26"/>
        </w:rPr>
        <w:t xml:space="preserve"> </w:t>
      </w:r>
    </w:p>
    <w:p w:rsidR="00BC7E8B" w:rsidRDefault="00BC7E8B">
      <w:pPr>
        <w:spacing w:after="200" w:line="276" w:lineRule="auto"/>
        <w:ind w:firstLine="0"/>
        <w:rPr>
          <w:szCs w:val="26"/>
        </w:rPr>
      </w:pPr>
      <w:r>
        <w:rPr>
          <w:szCs w:val="26"/>
        </w:rPr>
        <w:br w:type="page"/>
      </w:r>
      <w:r w:rsidR="00086C26" w:rsidRPr="00086C26">
        <w:rPr>
          <w:noProof/>
        </w:rPr>
        <w:lastRenderedPageBreak/>
        <w:drawing>
          <wp:inline distT="0" distB="0" distL="0" distR="0">
            <wp:extent cx="5495925" cy="7867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5925" cy="7867650"/>
                    </a:xfrm>
                    <a:prstGeom prst="rect">
                      <a:avLst/>
                    </a:prstGeom>
                    <a:noFill/>
                    <a:ln>
                      <a:noFill/>
                    </a:ln>
                  </pic:spPr>
                </pic:pic>
              </a:graphicData>
            </a:graphic>
          </wp:inline>
        </w:drawing>
      </w:r>
    </w:p>
    <w:sectPr w:rsidR="00BC7E8B" w:rsidSect="003C107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A6B" w:rsidRDefault="00787A6B" w:rsidP="005A3508">
      <w:r>
        <w:separator/>
      </w:r>
    </w:p>
  </w:endnote>
  <w:endnote w:type="continuationSeparator" w:id="0">
    <w:p w:rsidR="00787A6B" w:rsidRDefault="00787A6B" w:rsidP="005A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23422"/>
      <w:docPartObj>
        <w:docPartGallery w:val="Page Numbers (Bottom of Page)"/>
        <w:docPartUnique/>
      </w:docPartObj>
    </w:sdtPr>
    <w:sdtEndPr/>
    <w:sdtContent>
      <w:p w:rsidR="00B170C5" w:rsidRDefault="00B170C5" w:rsidP="00EF3D4D">
        <w:pPr>
          <w:pStyle w:val="Footer"/>
          <w:spacing w:line="240" w:lineRule="auto"/>
          <w:ind w:firstLine="0"/>
          <w:jc w:val="center"/>
        </w:pPr>
        <w:r>
          <w:fldChar w:fldCharType="begin"/>
        </w:r>
        <w:r>
          <w:instrText xml:space="preserve"> PAGE   \* MERGEFORMAT </w:instrText>
        </w:r>
        <w:r>
          <w:fldChar w:fldCharType="separate"/>
        </w:r>
        <w:r w:rsidR="00544BBE">
          <w:rPr>
            <w:noProof/>
          </w:rPr>
          <w:t>41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A6B" w:rsidRDefault="00787A6B" w:rsidP="005A3508">
      <w:r>
        <w:separator/>
      </w:r>
    </w:p>
  </w:footnote>
  <w:footnote w:type="continuationSeparator" w:id="0">
    <w:p w:rsidR="00787A6B" w:rsidRDefault="00787A6B" w:rsidP="005A3508">
      <w:r>
        <w:continuationSeparator/>
      </w:r>
    </w:p>
  </w:footnote>
  <w:footnote w:id="1">
    <w:p w:rsidR="00B170C5" w:rsidRPr="000961C2" w:rsidRDefault="00B170C5" w:rsidP="000961C2">
      <w:pPr>
        <w:pStyle w:val="FootnoteText"/>
        <w:keepNext/>
        <w:keepLines/>
        <w:spacing w:line="240" w:lineRule="auto"/>
        <w:ind w:firstLine="720"/>
        <w:rPr>
          <w:sz w:val="26"/>
          <w:szCs w:val="26"/>
        </w:rPr>
      </w:pPr>
      <w:r w:rsidRPr="000961C2">
        <w:rPr>
          <w:rStyle w:val="FootnoteReference"/>
          <w:sz w:val="26"/>
          <w:szCs w:val="26"/>
        </w:rPr>
        <w:footnoteRef/>
      </w:r>
      <w:r w:rsidRPr="000961C2">
        <w:rPr>
          <w:sz w:val="26"/>
          <w:szCs w:val="26"/>
        </w:rPr>
        <w:t xml:space="preserve"> </w:t>
      </w:r>
      <w:r w:rsidR="000961C2" w:rsidRPr="000961C2">
        <w:rPr>
          <w:sz w:val="26"/>
          <w:szCs w:val="26"/>
        </w:rPr>
        <w:tab/>
      </w:r>
      <w:r w:rsidRPr="000961C2">
        <w:rPr>
          <w:sz w:val="26"/>
          <w:szCs w:val="26"/>
        </w:rPr>
        <w:t xml:space="preserve">The </w:t>
      </w:r>
      <w:r w:rsidR="000961C2" w:rsidRPr="000961C2">
        <w:rPr>
          <w:sz w:val="26"/>
          <w:szCs w:val="26"/>
        </w:rPr>
        <w:t xml:space="preserve">DEP </w:t>
      </w:r>
      <w:r w:rsidRPr="000961C2">
        <w:rPr>
          <w:sz w:val="26"/>
          <w:szCs w:val="26"/>
        </w:rPr>
        <w:t xml:space="preserve">explains Act 537 as follows:  </w:t>
      </w:r>
    </w:p>
    <w:p w:rsidR="00B170C5" w:rsidRPr="000961C2" w:rsidRDefault="00B170C5" w:rsidP="00455A46">
      <w:pPr>
        <w:pStyle w:val="FootnoteText"/>
        <w:keepNext/>
        <w:keepLines/>
        <w:spacing w:line="240" w:lineRule="auto"/>
        <w:rPr>
          <w:sz w:val="26"/>
          <w:szCs w:val="26"/>
        </w:rPr>
      </w:pPr>
    </w:p>
    <w:p w:rsidR="00B170C5" w:rsidRPr="00BD63A8" w:rsidRDefault="00B170C5" w:rsidP="00455A46">
      <w:pPr>
        <w:pStyle w:val="FootnoteText"/>
        <w:keepNext/>
        <w:keepLines/>
        <w:spacing w:line="240" w:lineRule="auto"/>
        <w:ind w:left="1440" w:right="1440" w:firstLine="0"/>
        <w:rPr>
          <w:sz w:val="26"/>
          <w:szCs w:val="26"/>
        </w:rPr>
      </w:pPr>
      <w:proofErr w:type="gramStart"/>
      <w:r w:rsidRPr="00824738">
        <w:rPr>
          <w:sz w:val="26"/>
          <w:szCs w:val="26"/>
        </w:rPr>
        <w:t>T</w:t>
      </w:r>
      <w:r w:rsidRPr="00455A46">
        <w:rPr>
          <w:sz w:val="26"/>
          <w:szCs w:val="26"/>
        </w:rPr>
        <w:t>he Act 537 Program</w:t>
      </w:r>
      <w:r w:rsidRPr="00BD63A8">
        <w:rPr>
          <w:sz w:val="26"/>
          <w:szCs w:val="26"/>
        </w:rPr>
        <w:t>.</w:t>
      </w:r>
      <w:proofErr w:type="gramEnd"/>
      <w:r w:rsidRPr="00BD63A8">
        <w:rPr>
          <w:sz w:val="26"/>
          <w:szCs w:val="26"/>
        </w:rPr>
        <w:t xml:space="preserve">  </w:t>
      </w:r>
    </w:p>
    <w:p w:rsidR="00B170C5" w:rsidRPr="00824738" w:rsidRDefault="00B170C5" w:rsidP="00455A46">
      <w:pPr>
        <w:pStyle w:val="FootnoteText"/>
        <w:keepNext/>
        <w:keepLines/>
        <w:spacing w:line="240" w:lineRule="auto"/>
        <w:ind w:left="1440" w:right="1440" w:firstLine="0"/>
        <w:rPr>
          <w:sz w:val="26"/>
          <w:szCs w:val="26"/>
        </w:rPr>
      </w:pPr>
    </w:p>
    <w:p w:rsidR="00B170C5" w:rsidRPr="00BD63A8" w:rsidRDefault="00B170C5" w:rsidP="00455A46">
      <w:pPr>
        <w:pStyle w:val="FootnoteText"/>
        <w:keepNext/>
        <w:keepLines/>
        <w:spacing w:line="240" w:lineRule="auto"/>
        <w:ind w:left="1440" w:right="1440" w:firstLine="0"/>
        <w:rPr>
          <w:sz w:val="26"/>
          <w:szCs w:val="26"/>
        </w:rPr>
      </w:pPr>
      <w:r w:rsidRPr="00455A46">
        <w:rPr>
          <w:sz w:val="26"/>
          <w:szCs w:val="26"/>
        </w:rPr>
        <w:t xml:space="preserve">On January 24, 1966, the Pennsylvania Sewage Facilities Act (Act 537, as amended) was enacted to correct existing sewage disposal problems and prevent future problems. </w:t>
      </w:r>
      <w:r w:rsidRPr="00BD63A8">
        <w:rPr>
          <w:sz w:val="26"/>
          <w:szCs w:val="26"/>
        </w:rPr>
        <w:t xml:space="preserve"> </w:t>
      </w:r>
      <w:r w:rsidRPr="00455A46">
        <w:rPr>
          <w:sz w:val="26"/>
          <w:szCs w:val="26"/>
        </w:rPr>
        <w:t xml:space="preserve">To meet this objective, the Act requires proper planning in all types of sewage disposal situations. </w:t>
      </w:r>
      <w:r w:rsidRPr="00BD63A8">
        <w:rPr>
          <w:sz w:val="26"/>
          <w:szCs w:val="26"/>
        </w:rPr>
        <w:t xml:space="preserve"> </w:t>
      </w:r>
      <w:r w:rsidRPr="00455A46">
        <w:rPr>
          <w:sz w:val="26"/>
          <w:szCs w:val="26"/>
        </w:rPr>
        <w:t xml:space="preserve">Local municipalities are largely responsible for administering the Act 537 sewage facilities program. </w:t>
      </w:r>
      <w:r w:rsidRPr="00BD63A8">
        <w:rPr>
          <w:sz w:val="26"/>
          <w:szCs w:val="26"/>
        </w:rPr>
        <w:t xml:space="preserve"> </w:t>
      </w:r>
      <w:r w:rsidRPr="00455A46">
        <w:rPr>
          <w:sz w:val="26"/>
          <w:szCs w:val="26"/>
        </w:rPr>
        <w:t>To assist local municipalities in fulfilling this responsibility, the Department of Environmental Protection (DEP) provides technical assistance, financial assistance, and oversight.</w:t>
      </w:r>
    </w:p>
    <w:p w:rsidR="00B170C5" w:rsidRPr="00BD63A8" w:rsidRDefault="00B170C5" w:rsidP="00455A46">
      <w:pPr>
        <w:pStyle w:val="FootnoteText"/>
        <w:keepNext/>
        <w:keepLines/>
        <w:spacing w:line="240" w:lineRule="auto"/>
        <w:ind w:firstLine="0"/>
        <w:rPr>
          <w:sz w:val="26"/>
          <w:szCs w:val="26"/>
        </w:rPr>
      </w:pPr>
    </w:p>
    <w:p w:rsidR="00B170C5" w:rsidRPr="00455A46" w:rsidRDefault="00B170C5" w:rsidP="00455A46">
      <w:pPr>
        <w:pStyle w:val="FootnoteText"/>
        <w:keepNext/>
        <w:keepLines/>
        <w:spacing w:line="240" w:lineRule="auto"/>
        <w:ind w:firstLine="0"/>
        <w:rPr>
          <w:sz w:val="26"/>
          <w:szCs w:val="26"/>
        </w:rPr>
      </w:pPr>
      <w:r w:rsidRPr="00455A46">
        <w:rPr>
          <w:sz w:val="26"/>
          <w:szCs w:val="26"/>
        </w:rPr>
        <w:t>http://www.dep.state.pa.us/dep/deputate/watermgt/wqp/Forms/Act537/Forms_537Plan.</w:t>
      </w:r>
      <w:r w:rsidR="000961C2">
        <w:rPr>
          <w:sz w:val="26"/>
          <w:szCs w:val="26"/>
        </w:rPr>
        <w:br/>
      </w:r>
      <w:proofErr w:type="spellStart"/>
      <w:r w:rsidRPr="00455A46">
        <w:rPr>
          <w:sz w:val="26"/>
          <w:szCs w:val="26"/>
        </w:rPr>
        <w:t>htm</w:t>
      </w:r>
      <w:proofErr w:type="spellEnd"/>
    </w:p>
  </w:footnote>
  <w:footnote w:id="2">
    <w:p w:rsidR="00B170C5" w:rsidRPr="005E7AAF" w:rsidRDefault="00B170C5" w:rsidP="0083456E">
      <w:pPr>
        <w:spacing w:line="240" w:lineRule="auto"/>
        <w:ind w:firstLine="720"/>
        <w:rPr>
          <w:szCs w:val="26"/>
        </w:rPr>
      </w:pPr>
      <w:r>
        <w:rPr>
          <w:rStyle w:val="FootnoteReference"/>
        </w:rPr>
        <w:footnoteRef/>
      </w:r>
      <w:r>
        <w:tab/>
      </w:r>
      <w:r w:rsidRPr="005E7AAF">
        <w:t>W</w:t>
      </w:r>
      <w:r w:rsidRPr="005E7AAF">
        <w:rPr>
          <w:szCs w:val="26"/>
        </w:rPr>
        <w:t xml:space="preserve">here a customer is heard to complain concerning a </w:t>
      </w:r>
      <w:r w:rsidRPr="005E7AAF">
        <w:rPr>
          <w:rStyle w:val="term1"/>
          <w:b w:val="0"/>
          <w:szCs w:val="26"/>
        </w:rPr>
        <w:t>proposed change in rate,</w:t>
      </w:r>
      <w:r w:rsidRPr="005E7AAF">
        <w:rPr>
          <w:b/>
          <w:szCs w:val="26"/>
        </w:rPr>
        <w:t xml:space="preserve"> </w:t>
      </w:r>
      <w:r w:rsidRPr="005E7AAF">
        <w:rPr>
          <w:szCs w:val="26"/>
        </w:rPr>
        <w:t>the</w:t>
      </w:r>
      <w:r w:rsidRPr="005E7AAF">
        <w:rPr>
          <w:b/>
          <w:szCs w:val="26"/>
        </w:rPr>
        <w:t xml:space="preserve"> </w:t>
      </w:r>
      <w:r w:rsidRPr="005E7AAF">
        <w:rPr>
          <w:rStyle w:val="term1"/>
          <w:b w:val="0"/>
          <w:szCs w:val="26"/>
        </w:rPr>
        <w:t>burden of proof</w:t>
      </w:r>
      <w:r w:rsidRPr="005E7AAF">
        <w:rPr>
          <w:b/>
          <w:szCs w:val="26"/>
        </w:rPr>
        <w:t xml:space="preserve"> </w:t>
      </w:r>
      <w:r w:rsidRPr="005E7AAF">
        <w:rPr>
          <w:szCs w:val="26"/>
        </w:rPr>
        <w:t xml:space="preserve">is upon the public utility to show the proposed rate is just and reasonable; where the complaint involves an existing rate, however, the burden falls upon the customer to prove that the charge is no longer reasonable.  </w:t>
      </w:r>
      <w:r w:rsidRPr="005E7AAF">
        <w:rPr>
          <w:i/>
          <w:szCs w:val="26"/>
        </w:rPr>
        <w:t xml:space="preserve">See, e.g., </w:t>
      </w:r>
      <w:r>
        <w:rPr>
          <w:i/>
          <w:szCs w:val="26"/>
        </w:rPr>
        <w:t xml:space="preserve">Columbia Gas; </w:t>
      </w:r>
      <w:proofErr w:type="spellStart"/>
      <w:r w:rsidRPr="005E7AAF">
        <w:rPr>
          <w:bCs/>
          <w:i/>
          <w:szCs w:val="26"/>
        </w:rPr>
        <w:t>Schellhammer</w:t>
      </w:r>
      <w:proofErr w:type="spellEnd"/>
      <w:r w:rsidRPr="005E7AAF">
        <w:rPr>
          <w:bCs/>
          <w:i/>
          <w:szCs w:val="26"/>
        </w:rPr>
        <w:t xml:space="preserve"> v. Pa. PUC</w:t>
      </w:r>
      <w:r w:rsidRPr="005E7AAF">
        <w:rPr>
          <w:bCs/>
          <w:szCs w:val="26"/>
        </w:rPr>
        <w:t>, 629 A.2d 186 (Pa. Superior Ct. 1993).</w:t>
      </w:r>
      <w:r w:rsidRPr="005E7AAF">
        <w:rPr>
          <w:szCs w:val="26"/>
        </w:rPr>
        <w:t xml:space="preserve"> </w:t>
      </w:r>
    </w:p>
    <w:p w:rsidR="00B170C5" w:rsidRDefault="00B170C5" w:rsidP="0083456E">
      <w:pPr>
        <w:pStyle w:val="FootnoteText"/>
      </w:pPr>
    </w:p>
  </w:footnote>
  <w:footnote w:id="3">
    <w:p w:rsidR="00B170C5" w:rsidRPr="008F5B1B" w:rsidRDefault="00B170C5" w:rsidP="00455A46">
      <w:pPr>
        <w:pStyle w:val="FootnoteText"/>
        <w:keepNext/>
        <w:keepLines/>
        <w:spacing w:line="240" w:lineRule="auto"/>
        <w:ind w:firstLine="720"/>
        <w:rPr>
          <w:sz w:val="26"/>
          <w:szCs w:val="26"/>
        </w:rPr>
      </w:pPr>
      <w:r w:rsidRPr="008F5B1B">
        <w:rPr>
          <w:rStyle w:val="FootnoteReference"/>
          <w:sz w:val="26"/>
          <w:szCs w:val="26"/>
        </w:rPr>
        <w:footnoteRef/>
      </w:r>
      <w:r w:rsidRPr="008F5B1B">
        <w:rPr>
          <w:sz w:val="26"/>
          <w:szCs w:val="26"/>
        </w:rPr>
        <w:t xml:space="preserve"> </w:t>
      </w:r>
      <w:r>
        <w:rPr>
          <w:sz w:val="26"/>
          <w:szCs w:val="26"/>
        </w:rPr>
        <w:tab/>
      </w:r>
      <w:r w:rsidRPr="008F5B1B">
        <w:rPr>
          <w:sz w:val="26"/>
          <w:szCs w:val="26"/>
        </w:rPr>
        <w:t xml:space="preserve">Our Regulation at </w:t>
      </w:r>
      <w:r w:rsidRPr="008F5B1B">
        <w:rPr>
          <w:rFonts w:eastAsiaTheme="minorHAnsi"/>
          <w:sz w:val="26"/>
          <w:szCs w:val="26"/>
        </w:rPr>
        <w:t>52 Pa. Code § 53.54</w:t>
      </w:r>
      <w:r>
        <w:rPr>
          <w:rFonts w:eastAsiaTheme="minorHAnsi"/>
          <w:sz w:val="26"/>
          <w:szCs w:val="26"/>
        </w:rPr>
        <w:t>(b</w:t>
      </w:r>
      <w:proofErr w:type="gramStart"/>
      <w:r>
        <w:rPr>
          <w:rFonts w:eastAsiaTheme="minorHAnsi"/>
          <w:sz w:val="26"/>
          <w:szCs w:val="26"/>
        </w:rPr>
        <w:t>)(</w:t>
      </w:r>
      <w:proofErr w:type="gramEnd"/>
      <w:r>
        <w:rPr>
          <w:rFonts w:eastAsiaTheme="minorHAnsi"/>
          <w:sz w:val="26"/>
          <w:szCs w:val="26"/>
        </w:rPr>
        <w:t>1)</w:t>
      </w:r>
      <w:r w:rsidRPr="008F5B1B">
        <w:rPr>
          <w:rFonts w:eastAsiaTheme="minorHAnsi"/>
          <w:sz w:val="26"/>
          <w:szCs w:val="26"/>
        </w:rPr>
        <w:t xml:space="preserve"> state</w:t>
      </w:r>
      <w:r>
        <w:rPr>
          <w:rFonts w:eastAsiaTheme="minorHAnsi"/>
          <w:sz w:val="26"/>
          <w:szCs w:val="26"/>
        </w:rPr>
        <w:t>s</w:t>
      </w:r>
      <w:r w:rsidRPr="008F5B1B">
        <w:rPr>
          <w:rFonts w:eastAsiaTheme="minorHAnsi"/>
          <w:sz w:val="26"/>
          <w:szCs w:val="26"/>
        </w:rPr>
        <w:t xml:space="preserve"> that t</w:t>
      </w:r>
      <w:r w:rsidRPr="008F5B1B">
        <w:rPr>
          <w:sz w:val="26"/>
          <w:szCs w:val="26"/>
        </w:rPr>
        <w:t>he operating ratio at present rates shall be calculated as a ratio of operating expenses to operating revenues.  The operating ratios utilized by the Company</w:t>
      </w:r>
      <w:r w:rsidR="000961C2">
        <w:rPr>
          <w:sz w:val="26"/>
          <w:szCs w:val="26"/>
        </w:rPr>
        <w:t>, I&amp;E</w:t>
      </w:r>
      <w:r w:rsidRPr="008F5B1B">
        <w:rPr>
          <w:sz w:val="26"/>
          <w:szCs w:val="26"/>
        </w:rPr>
        <w:t xml:space="preserve"> and the ALJ were calculated as a ratio of operating income to operating revenues.  </w:t>
      </w:r>
      <w:r>
        <w:rPr>
          <w:sz w:val="26"/>
          <w:szCs w:val="26"/>
        </w:rPr>
        <w:t xml:space="preserve">The ALJ’s proposed operating ratio of 2.65% is equivalent to an operating ratio of 97.35% using the definition set forth in our Regulations.  </w:t>
      </w:r>
      <w:r w:rsidRPr="008F5B1B">
        <w:rPr>
          <w:sz w:val="26"/>
          <w:szCs w:val="26"/>
        </w:rPr>
        <w:t>To avoid the confusion that would result from using two different methods, we shall utilize the methodology used by the Company</w:t>
      </w:r>
      <w:r w:rsidR="000961C2">
        <w:rPr>
          <w:sz w:val="26"/>
          <w:szCs w:val="26"/>
        </w:rPr>
        <w:t>, I&amp;E</w:t>
      </w:r>
      <w:r w:rsidRPr="008F5B1B">
        <w:rPr>
          <w:sz w:val="26"/>
          <w:szCs w:val="26"/>
        </w:rPr>
        <w:t xml:space="preserve"> and the ALJ.</w:t>
      </w:r>
      <w:r>
        <w:rPr>
          <w:sz w:val="26"/>
          <w:szCs w:val="26"/>
        </w:rPr>
        <w:t xml:space="preserve">  This will have no effect on our disposition of the revenue requirement established in this proceeding.</w:t>
      </w:r>
    </w:p>
  </w:footnote>
  <w:footnote w:id="4">
    <w:p w:rsidR="00B170C5" w:rsidRPr="008D7F35" w:rsidRDefault="00B170C5" w:rsidP="00DE7F54">
      <w:pPr>
        <w:pStyle w:val="FootnoteText"/>
        <w:spacing w:line="240" w:lineRule="auto"/>
        <w:ind w:firstLine="720"/>
        <w:rPr>
          <w:sz w:val="26"/>
          <w:szCs w:val="26"/>
        </w:rPr>
      </w:pPr>
      <w:r w:rsidRPr="008D7F35">
        <w:rPr>
          <w:rStyle w:val="FootnoteReference"/>
          <w:sz w:val="26"/>
          <w:szCs w:val="26"/>
        </w:rPr>
        <w:footnoteRef/>
      </w:r>
      <w:r w:rsidRPr="008D7F35">
        <w:rPr>
          <w:sz w:val="26"/>
          <w:szCs w:val="26"/>
        </w:rPr>
        <w:t xml:space="preserve"> </w:t>
      </w:r>
      <w:r>
        <w:rPr>
          <w:sz w:val="26"/>
          <w:szCs w:val="26"/>
        </w:rPr>
        <w:tab/>
      </w:r>
      <w:r w:rsidRPr="008D7F35">
        <w:rPr>
          <w:sz w:val="26"/>
          <w:szCs w:val="26"/>
        </w:rPr>
        <w:t>The Company refer</w:t>
      </w:r>
      <w:r>
        <w:rPr>
          <w:sz w:val="26"/>
          <w:szCs w:val="26"/>
        </w:rPr>
        <w:t>r</w:t>
      </w:r>
      <w:r w:rsidRPr="008D7F35">
        <w:rPr>
          <w:sz w:val="26"/>
          <w:szCs w:val="26"/>
        </w:rPr>
        <w:t xml:space="preserve">ed to this claim as both a normalization and amortization and the OCA refers to the normalization of the claim, </w:t>
      </w:r>
      <w:r w:rsidRPr="008D7F35">
        <w:rPr>
          <w:i/>
          <w:sz w:val="26"/>
          <w:szCs w:val="26"/>
        </w:rPr>
        <w:t>infra</w:t>
      </w:r>
      <w:r w:rsidRPr="008D7F35">
        <w:rPr>
          <w:sz w:val="26"/>
          <w:szCs w:val="26"/>
        </w:rPr>
        <w:t>.  Although we are not adopting the Company’s claim</w:t>
      </w:r>
      <w:r>
        <w:rPr>
          <w:sz w:val="26"/>
          <w:szCs w:val="26"/>
        </w:rPr>
        <w:t xml:space="preserve"> in this proceeding</w:t>
      </w:r>
      <w:r w:rsidRPr="008D7F35">
        <w:rPr>
          <w:sz w:val="26"/>
          <w:szCs w:val="26"/>
        </w:rPr>
        <w:t xml:space="preserve">, we wish to clarify it is appropriate to </w:t>
      </w:r>
      <w:r w:rsidRPr="008D7F35">
        <w:rPr>
          <w:i/>
          <w:sz w:val="26"/>
          <w:szCs w:val="26"/>
        </w:rPr>
        <w:t>amortize</w:t>
      </w:r>
      <w:r>
        <w:rPr>
          <w:i/>
          <w:sz w:val="26"/>
          <w:szCs w:val="26"/>
        </w:rPr>
        <w:t xml:space="preserve"> </w:t>
      </w:r>
      <w:r w:rsidRPr="00DE7F54">
        <w:rPr>
          <w:sz w:val="26"/>
          <w:szCs w:val="26"/>
        </w:rPr>
        <w:t>not</w:t>
      </w:r>
      <w:r>
        <w:rPr>
          <w:i/>
          <w:sz w:val="26"/>
          <w:szCs w:val="26"/>
        </w:rPr>
        <w:t xml:space="preserve"> normalize</w:t>
      </w:r>
      <w:r w:rsidRPr="008D7F35">
        <w:rPr>
          <w:sz w:val="26"/>
          <w:szCs w:val="26"/>
        </w:rPr>
        <w:t xml:space="preserve"> a </w:t>
      </w:r>
      <w:r w:rsidRPr="008D7F35">
        <w:rPr>
          <w:i/>
          <w:sz w:val="26"/>
          <w:szCs w:val="26"/>
        </w:rPr>
        <w:t>non-recurring expense</w:t>
      </w:r>
      <w:r w:rsidRPr="008D7F35">
        <w:rPr>
          <w:sz w:val="26"/>
          <w:szCs w:val="26"/>
        </w:rPr>
        <w:t xml:space="preserve"> like the Section </w:t>
      </w:r>
      <w:r>
        <w:rPr>
          <w:sz w:val="26"/>
          <w:szCs w:val="26"/>
        </w:rPr>
        <w:t>5</w:t>
      </w:r>
      <w:r w:rsidRPr="008D7F35">
        <w:rPr>
          <w:sz w:val="26"/>
          <w:szCs w:val="26"/>
        </w:rPr>
        <w:t>29 Petiti</w:t>
      </w:r>
      <w:r>
        <w:rPr>
          <w:sz w:val="26"/>
          <w:szCs w:val="26"/>
        </w:rPr>
        <w:t xml:space="preserve">on expenses.  </w:t>
      </w:r>
      <w:r w:rsidRPr="00116FBE">
        <w:rPr>
          <w:i/>
          <w:sz w:val="26"/>
          <w:szCs w:val="26"/>
        </w:rPr>
        <w:t>See</w:t>
      </w:r>
      <w:r>
        <w:rPr>
          <w:i/>
          <w:sz w:val="26"/>
          <w:szCs w:val="26"/>
        </w:rPr>
        <w:t xml:space="preserve"> </w:t>
      </w:r>
      <w:proofErr w:type="gramStart"/>
      <w:r>
        <w:rPr>
          <w:sz w:val="26"/>
          <w:szCs w:val="26"/>
        </w:rPr>
        <w:t>I&amp;E</w:t>
      </w:r>
      <w:proofErr w:type="gramEnd"/>
      <w:r>
        <w:rPr>
          <w:sz w:val="26"/>
          <w:szCs w:val="26"/>
        </w:rPr>
        <w:t xml:space="preserve"> M.B. at 22-23. </w:t>
      </w:r>
    </w:p>
  </w:footnote>
  <w:footnote w:id="5">
    <w:p w:rsidR="00B170C5" w:rsidRPr="00455A46" w:rsidRDefault="00B170C5" w:rsidP="00BF0814">
      <w:pPr>
        <w:pStyle w:val="FootnoteText"/>
        <w:spacing w:line="240" w:lineRule="auto"/>
        <w:ind w:firstLine="720"/>
        <w:rPr>
          <w:sz w:val="26"/>
          <w:szCs w:val="26"/>
        </w:rPr>
      </w:pPr>
      <w:r w:rsidRPr="00670B27">
        <w:rPr>
          <w:rStyle w:val="FootnoteReference"/>
          <w:sz w:val="26"/>
          <w:szCs w:val="26"/>
        </w:rPr>
        <w:footnoteRef/>
      </w:r>
      <w:r w:rsidRPr="00670B27">
        <w:rPr>
          <w:sz w:val="26"/>
          <w:szCs w:val="26"/>
        </w:rPr>
        <w:t xml:space="preserve"> </w:t>
      </w:r>
      <w:r w:rsidRPr="00670B27">
        <w:rPr>
          <w:sz w:val="26"/>
          <w:szCs w:val="26"/>
        </w:rPr>
        <w:tab/>
        <w:t>We note that  in</w:t>
      </w:r>
      <w:r w:rsidRPr="00670B27">
        <w:rPr>
          <w:i/>
          <w:sz w:val="26"/>
          <w:szCs w:val="26"/>
        </w:rPr>
        <w:t xml:space="preserve"> Investigation Instituted into Whether the Commission Should Order a Capable Public Utility to Acquire Clean Treatment Sewer Company Pursuant to 66 Pa. C.S. §529</w:t>
      </w:r>
      <w:r w:rsidRPr="00670B27">
        <w:rPr>
          <w:sz w:val="26"/>
          <w:szCs w:val="26"/>
        </w:rPr>
        <w:t xml:space="preserve">, Docket No. I-2009-2109324 (Order entered July 16, 2013), the Commission approved a Settlement which provided, </w:t>
      </w:r>
      <w:r w:rsidRPr="00670B27">
        <w:rPr>
          <w:i/>
          <w:sz w:val="26"/>
          <w:szCs w:val="26"/>
        </w:rPr>
        <w:t>inter alia</w:t>
      </w:r>
      <w:r w:rsidRPr="00670B27">
        <w:rPr>
          <w:sz w:val="26"/>
          <w:szCs w:val="26"/>
        </w:rPr>
        <w:t xml:space="preserve">, that refunds due to CTSC’s standby customers were </w:t>
      </w:r>
      <w:r w:rsidR="00493357">
        <w:rPr>
          <w:sz w:val="26"/>
          <w:szCs w:val="26"/>
        </w:rPr>
        <w:t xml:space="preserve">to be </w:t>
      </w:r>
      <w:r w:rsidRPr="00670B27">
        <w:rPr>
          <w:sz w:val="26"/>
          <w:szCs w:val="26"/>
        </w:rPr>
        <w:t xml:space="preserve">paid from the proceeds of the sale of CTSC to Pennsylvania-American Water Company. </w:t>
      </w:r>
    </w:p>
  </w:footnote>
  <w:footnote w:id="6">
    <w:p w:rsidR="00B170C5" w:rsidRPr="00010D42" w:rsidRDefault="00B170C5" w:rsidP="00010D42">
      <w:pPr>
        <w:pStyle w:val="FootnoteText"/>
        <w:spacing w:line="240" w:lineRule="auto"/>
        <w:ind w:firstLine="720"/>
        <w:rPr>
          <w:sz w:val="26"/>
          <w:szCs w:val="26"/>
        </w:rPr>
      </w:pPr>
      <w:r w:rsidRPr="00010D42">
        <w:rPr>
          <w:rStyle w:val="FootnoteReference"/>
          <w:sz w:val="26"/>
          <w:szCs w:val="26"/>
        </w:rPr>
        <w:footnoteRef/>
      </w:r>
      <w:r w:rsidRPr="00010D42">
        <w:rPr>
          <w:sz w:val="26"/>
          <w:szCs w:val="26"/>
        </w:rPr>
        <w:t xml:space="preserve"> </w:t>
      </w:r>
      <w:r>
        <w:rPr>
          <w:sz w:val="26"/>
          <w:szCs w:val="26"/>
        </w:rPr>
        <w:tab/>
        <w:t>The Office of Trial Staff was the p</w:t>
      </w:r>
      <w:r w:rsidRPr="00010D42">
        <w:rPr>
          <w:sz w:val="26"/>
          <w:szCs w:val="26"/>
        </w:rPr>
        <w:t xml:space="preserve">redecessor to </w:t>
      </w:r>
      <w:proofErr w:type="gramStart"/>
      <w:r w:rsidRPr="00010D42">
        <w:rPr>
          <w:sz w:val="26"/>
          <w:szCs w:val="26"/>
        </w:rPr>
        <w:t>I&amp;E</w:t>
      </w:r>
      <w:proofErr w:type="gramEnd"/>
      <w:r w:rsidRPr="00010D42">
        <w:rPr>
          <w:sz w:val="26"/>
          <w:szCs w:val="26"/>
        </w:rPr>
        <w:t xml:space="preserve">. </w:t>
      </w:r>
    </w:p>
  </w:footnote>
  <w:footnote w:id="7">
    <w:p w:rsidR="00B170C5" w:rsidRPr="00775546" w:rsidRDefault="00B170C5" w:rsidP="00775546">
      <w:pPr>
        <w:pStyle w:val="FootnoteText"/>
        <w:spacing w:line="240" w:lineRule="auto"/>
        <w:ind w:firstLine="720"/>
        <w:rPr>
          <w:sz w:val="26"/>
          <w:szCs w:val="26"/>
        </w:rPr>
      </w:pPr>
      <w:r w:rsidRPr="00775546">
        <w:rPr>
          <w:rStyle w:val="FootnoteReference"/>
          <w:sz w:val="26"/>
          <w:szCs w:val="26"/>
        </w:rPr>
        <w:footnoteRef/>
      </w:r>
      <w:r w:rsidRPr="00775546">
        <w:rPr>
          <w:sz w:val="26"/>
          <w:szCs w:val="26"/>
        </w:rPr>
        <w:t xml:space="preserve"> </w:t>
      </w:r>
      <w:r>
        <w:rPr>
          <w:sz w:val="26"/>
          <w:szCs w:val="26"/>
        </w:rPr>
        <w:tab/>
      </w:r>
      <w:r w:rsidRPr="00775546">
        <w:rPr>
          <w:i/>
          <w:sz w:val="26"/>
          <w:szCs w:val="26"/>
        </w:rPr>
        <w:t>Pa</w:t>
      </w:r>
      <w:r>
        <w:rPr>
          <w:i/>
          <w:sz w:val="26"/>
          <w:szCs w:val="26"/>
        </w:rPr>
        <w:t>.</w:t>
      </w:r>
      <w:r w:rsidRPr="00775546">
        <w:rPr>
          <w:i/>
          <w:sz w:val="26"/>
          <w:szCs w:val="26"/>
        </w:rPr>
        <w:t xml:space="preserve"> PUC v</w:t>
      </w:r>
      <w:r>
        <w:rPr>
          <w:i/>
          <w:sz w:val="26"/>
          <w:szCs w:val="26"/>
        </w:rPr>
        <w:t>.</w:t>
      </w:r>
      <w:r w:rsidRPr="00775546">
        <w:rPr>
          <w:i/>
          <w:sz w:val="26"/>
          <w:szCs w:val="26"/>
        </w:rPr>
        <w:t xml:space="preserve"> PPL Electric Utilities Corporation</w:t>
      </w:r>
      <w:r w:rsidRPr="00775546">
        <w:rPr>
          <w:sz w:val="26"/>
          <w:szCs w:val="26"/>
        </w:rPr>
        <w:t xml:space="preserve">, Docket No. </w:t>
      </w:r>
      <w:r w:rsidRPr="00775546">
        <w:rPr>
          <w:bCs/>
          <w:sz w:val="26"/>
          <w:szCs w:val="26"/>
        </w:rPr>
        <w:t>R-2012-2290597 (Order entered December 28, 2012)</w:t>
      </w:r>
      <w:r>
        <w:rPr>
          <w:bCs/>
          <w:sz w:val="26"/>
          <w:szCs w:val="26"/>
        </w:rPr>
        <w:t>.</w:t>
      </w:r>
    </w:p>
  </w:footnote>
  <w:footnote w:id="8">
    <w:p w:rsidR="00B170C5" w:rsidRPr="00D37E0E" w:rsidRDefault="00B170C5" w:rsidP="00121540">
      <w:pPr>
        <w:spacing w:line="240" w:lineRule="auto"/>
        <w:ind w:firstLine="720"/>
      </w:pPr>
      <w:r>
        <w:rPr>
          <w:rStyle w:val="FootnoteReference"/>
        </w:rPr>
        <w:footnoteRef/>
      </w:r>
      <w:r>
        <w:t xml:space="preserve"> </w:t>
      </w:r>
      <w:r>
        <w:tab/>
      </w:r>
      <w:r>
        <w:rPr>
          <w:rFonts w:eastAsiaTheme="minorHAnsi"/>
        </w:rPr>
        <w:t xml:space="preserve">As discussed, </w:t>
      </w:r>
      <w:r w:rsidRPr="00DA55E0">
        <w:rPr>
          <w:rFonts w:eastAsiaTheme="minorHAnsi"/>
          <w:i/>
        </w:rPr>
        <w:t>supra</w:t>
      </w:r>
      <w:r>
        <w:rPr>
          <w:rFonts w:eastAsiaTheme="minorHAnsi"/>
        </w:rPr>
        <w:t xml:space="preserve">, we rejected the Company’s inclusion of the CWC claim and will use the operating ratio method without the additional CWC component to determine operating revenue and operating income. </w:t>
      </w:r>
    </w:p>
    <w:p w:rsidR="00B170C5" w:rsidRDefault="00B170C5">
      <w:pPr>
        <w:pStyle w:val="FootnoteText"/>
      </w:pPr>
    </w:p>
  </w:footnote>
  <w:footnote w:id="9">
    <w:p w:rsidR="00B170C5" w:rsidRPr="00D31106" w:rsidRDefault="00B170C5" w:rsidP="00D31106">
      <w:pPr>
        <w:pStyle w:val="FootnoteText"/>
        <w:spacing w:line="240" w:lineRule="auto"/>
        <w:ind w:firstLine="720"/>
        <w:rPr>
          <w:sz w:val="26"/>
          <w:szCs w:val="26"/>
        </w:rPr>
      </w:pPr>
      <w:r w:rsidRPr="00D31106">
        <w:rPr>
          <w:rStyle w:val="FootnoteReference"/>
          <w:sz w:val="26"/>
          <w:szCs w:val="26"/>
        </w:rPr>
        <w:footnoteRef/>
      </w:r>
      <w:r w:rsidRPr="00D31106">
        <w:rPr>
          <w:sz w:val="26"/>
          <w:szCs w:val="26"/>
        </w:rPr>
        <w:t xml:space="preserve"> </w:t>
      </w:r>
      <w:r>
        <w:rPr>
          <w:sz w:val="26"/>
          <w:szCs w:val="26"/>
        </w:rPr>
        <w:tab/>
        <w:t>This figure is b</w:t>
      </w:r>
      <w:r w:rsidRPr="00D31106">
        <w:rPr>
          <w:sz w:val="26"/>
          <w:szCs w:val="26"/>
        </w:rPr>
        <w:t>ased on annual customer revenue of $</w:t>
      </w:r>
      <w:r>
        <w:rPr>
          <w:sz w:val="26"/>
          <w:szCs w:val="26"/>
        </w:rPr>
        <w:t>43,557</w:t>
      </w:r>
      <w:r w:rsidRPr="00D31106">
        <w:rPr>
          <w:sz w:val="26"/>
          <w:szCs w:val="26"/>
        </w:rPr>
        <w:t xml:space="preserve"> collected from thirty-eight customers over twelve months.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FB0"/>
    <w:multiLevelType w:val="hybridMultilevel"/>
    <w:tmpl w:val="44B0615A"/>
    <w:lvl w:ilvl="0" w:tplc="62B6487A">
      <w:start w:val="1"/>
      <w:numFmt w:val="decimal"/>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FB3C3D"/>
    <w:multiLevelType w:val="hybridMultilevel"/>
    <w:tmpl w:val="65BAF312"/>
    <w:lvl w:ilvl="0" w:tplc="29C84A70">
      <w:start w:val="6"/>
      <w:numFmt w:val="decimal"/>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F6DDA"/>
    <w:multiLevelType w:val="hybridMultilevel"/>
    <w:tmpl w:val="3CA02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C53A4"/>
    <w:multiLevelType w:val="hybridMultilevel"/>
    <w:tmpl w:val="05EC852E"/>
    <w:lvl w:ilvl="0" w:tplc="0409000F">
      <w:start w:val="1"/>
      <w:numFmt w:val="decimal"/>
      <w:lvlText w:val="%1."/>
      <w:lvlJc w:val="left"/>
      <w:pPr>
        <w:ind w:left="3024" w:hanging="360"/>
      </w:p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4">
    <w:nsid w:val="1BEA0E7A"/>
    <w:multiLevelType w:val="hybridMultilevel"/>
    <w:tmpl w:val="1E784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A57D8"/>
    <w:multiLevelType w:val="hybridMultilevel"/>
    <w:tmpl w:val="70445FD8"/>
    <w:lvl w:ilvl="0" w:tplc="043A80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67416"/>
    <w:multiLevelType w:val="hybridMultilevel"/>
    <w:tmpl w:val="641A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C52892"/>
    <w:multiLevelType w:val="hybridMultilevel"/>
    <w:tmpl w:val="6B262F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024188E"/>
    <w:multiLevelType w:val="hybridMultilevel"/>
    <w:tmpl w:val="53148DFA"/>
    <w:lvl w:ilvl="0" w:tplc="44223FB0">
      <w:start w:val="1"/>
      <w:numFmt w:val="upperRoman"/>
      <w:pStyle w:val="Heading1"/>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C6473C"/>
    <w:multiLevelType w:val="hybridMultilevel"/>
    <w:tmpl w:val="C8FA9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6A19D5"/>
    <w:multiLevelType w:val="hybridMultilevel"/>
    <w:tmpl w:val="6DB63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5E5801"/>
    <w:multiLevelType w:val="hybridMultilevel"/>
    <w:tmpl w:val="DAF43C7E"/>
    <w:lvl w:ilvl="0" w:tplc="F3188C5A">
      <w:start w:val="1"/>
      <w:numFmt w:val="lowerLetter"/>
      <w:pStyle w:val="Heading4"/>
      <w:lvlText w:val="%1."/>
      <w:lvlJc w:val="left"/>
      <w:pPr>
        <w:ind w:left="1710" w:hanging="360"/>
      </w:pPr>
      <w:rPr>
        <w:rFonts w:hint="default"/>
        <w:b/>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12">
    <w:nsid w:val="53E4144B"/>
    <w:multiLevelType w:val="hybridMultilevel"/>
    <w:tmpl w:val="7A5A3FEC"/>
    <w:lvl w:ilvl="0" w:tplc="A7062CA4">
      <w:start w:val="1"/>
      <w:numFmt w:val="upperLetter"/>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AF34C2"/>
    <w:multiLevelType w:val="hybridMultilevel"/>
    <w:tmpl w:val="FDE84066"/>
    <w:lvl w:ilvl="0" w:tplc="B3A0B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D46A6B"/>
    <w:multiLevelType w:val="hybridMultilevel"/>
    <w:tmpl w:val="AFAE201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0BD7559"/>
    <w:multiLevelType w:val="hybridMultilevel"/>
    <w:tmpl w:val="70445FD8"/>
    <w:lvl w:ilvl="0" w:tplc="043A80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EF73F2"/>
    <w:multiLevelType w:val="hybridMultilevel"/>
    <w:tmpl w:val="DAA45CE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7B150F8"/>
    <w:multiLevelType w:val="hybridMultilevel"/>
    <w:tmpl w:val="099E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FC7704"/>
    <w:multiLevelType w:val="hybridMultilevel"/>
    <w:tmpl w:val="D2046F8C"/>
    <w:lvl w:ilvl="0" w:tplc="04090015">
      <w:start w:val="1"/>
      <w:numFmt w:val="upperLetter"/>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9">
    <w:nsid w:val="74C74AA9"/>
    <w:multiLevelType w:val="hybridMultilevel"/>
    <w:tmpl w:val="66322608"/>
    <w:lvl w:ilvl="0" w:tplc="03645358">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0D4177"/>
    <w:multiLevelType w:val="hybridMultilevel"/>
    <w:tmpl w:val="73AAB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0"/>
  </w:num>
  <w:num w:numId="4">
    <w:abstractNumId w:val="7"/>
  </w:num>
  <w:num w:numId="5">
    <w:abstractNumId w:val="0"/>
    <w:lvlOverride w:ilvl="0">
      <w:startOverride w:val="1"/>
    </w:lvlOverride>
  </w:num>
  <w:num w:numId="6">
    <w:abstractNumId w:val="11"/>
    <w:lvlOverride w:ilvl="0">
      <w:startOverride w:val="1"/>
    </w:lvlOverride>
  </w:num>
  <w:num w:numId="7">
    <w:abstractNumId w:val="11"/>
    <w:lvlOverride w:ilvl="0">
      <w:startOverride w:val="1"/>
    </w:lvlOverride>
  </w:num>
  <w:num w:numId="8">
    <w:abstractNumId w:val="11"/>
    <w:lvlOverride w:ilvl="0">
      <w:startOverride w:val="2"/>
    </w:lvlOverride>
  </w:num>
  <w:num w:numId="9">
    <w:abstractNumId w:val="11"/>
    <w:lvlOverride w:ilvl="0">
      <w:startOverride w:val="1"/>
    </w:lvlOverride>
  </w:num>
  <w:num w:numId="10">
    <w:abstractNumId w:val="11"/>
    <w:lvlOverride w:ilvl="0">
      <w:startOverride w:val="3"/>
    </w:lvlOverride>
  </w:num>
  <w:num w:numId="11">
    <w:abstractNumId w:val="11"/>
  </w:num>
  <w:num w:numId="12">
    <w:abstractNumId w:val="11"/>
    <w:lvlOverride w:ilvl="0">
      <w:startOverride w:val="3"/>
    </w:lvlOverride>
  </w:num>
  <w:num w:numId="13">
    <w:abstractNumId w:val="11"/>
    <w:lvlOverride w:ilvl="0">
      <w:startOverride w:val="2"/>
    </w:lvlOverride>
  </w:num>
  <w:num w:numId="14">
    <w:abstractNumId w:val="11"/>
    <w:lvlOverride w:ilvl="0">
      <w:startOverride w:val="3"/>
    </w:lvlOverride>
  </w:num>
  <w:num w:numId="15">
    <w:abstractNumId w:val="11"/>
    <w:lvlOverride w:ilvl="0">
      <w:startOverride w:val="1"/>
    </w:lvlOverride>
  </w:num>
  <w:num w:numId="16">
    <w:abstractNumId w:val="3"/>
  </w:num>
  <w:num w:numId="17">
    <w:abstractNumId w:val="16"/>
  </w:num>
  <w:num w:numId="18">
    <w:abstractNumId w:val="12"/>
  </w:num>
  <w:num w:numId="19">
    <w:abstractNumId w:val="11"/>
    <w:lvlOverride w:ilvl="0">
      <w:startOverride w:val="3"/>
    </w:lvlOverride>
  </w:num>
  <w:num w:numId="20">
    <w:abstractNumId w:val="9"/>
  </w:num>
  <w:num w:numId="21">
    <w:abstractNumId w:val="18"/>
  </w:num>
  <w:num w:numId="22">
    <w:abstractNumId w:val="11"/>
    <w:lvlOverride w:ilvl="0">
      <w:startOverride w:val="1"/>
    </w:lvlOverride>
  </w:num>
  <w:num w:numId="23">
    <w:abstractNumId w:val="11"/>
    <w:lvlOverride w:ilvl="0">
      <w:startOverride w:val="2"/>
    </w:lvlOverride>
  </w:num>
  <w:num w:numId="24">
    <w:abstractNumId w:val="11"/>
    <w:lvlOverride w:ilvl="0">
      <w:startOverride w:val="2"/>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11"/>
    <w:lvlOverride w:ilvl="0">
      <w:startOverride w:val="1"/>
    </w:lvlOverride>
  </w:num>
  <w:num w:numId="30">
    <w:abstractNumId w:val="11"/>
    <w:lvlOverride w:ilvl="0">
      <w:startOverride w:val="1"/>
    </w:lvlOverride>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4"/>
  </w:num>
  <w:num w:numId="35">
    <w:abstractNumId w:val="10"/>
  </w:num>
  <w:num w:numId="36">
    <w:abstractNumId w:val="20"/>
  </w:num>
  <w:num w:numId="37">
    <w:abstractNumId w:val="2"/>
  </w:num>
  <w:num w:numId="38">
    <w:abstractNumId w:val="13"/>
  </w:num>
  <w:num w:numId="39">
    <w:abstractNumId w:val="14"/>
  </w:num>
  <w:num w:numId="40">
    <w:abstractNumId w:val="6"/>
  </w:num>
  <w:num w:numId="41">
    <w:abstractNumId w:val="17"/>
  </w:num>
  <w:num w:numId="42">
    <w:abstractNumId w:val="5"/>
  </w:num>
  <w:num w:numId="43">
    <w:abstractNumId w:val="15"/>
  </w:num>
  <w:num w:numId="4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65"/>
    <w:rsid w:val="00001F69"/>
    <w:rsid w:val="0000391E"/>
    <w:rsid w:val="00003D97"/>
    <w:rsid w:val="00003D98"/>
    <w:rsid w:val="0000559C"/>
    <w:rsid w:val="000070F9"/>
    <w:rsid w:val="00010D42"/>
    <w:rsid w:val="000113B7"/>
    <w:rsid w:val="000123D5"/>
    <w:rsid w:val="0001422F"/>
    <w:rsid w:val="00016D57"/>
    <w:rsid w:val="00017852"/>
    <w:rsid w:val="000210E6"/>
    <w:rsid w:val="00021426"/>
    <w:rsid w:val="000214EB"/>
    <w:rsid w:val="00021C92"/>
    <w:rsid w:val="00021E46"/>
    <w:rsid w:val="00022B74"/>
    <w:rsid w:val="0002471C"/>
    <w:rsid w:val="000248D3"/>
    <w:rsid w:val="00025F3F"/>
    <w:rsid w:val="00040AEA"/>
    <w:rsid w:val="00040E14"/>
    <w:rsid w:val="00047874"/>
    <w:rsid w:val="00047A72"/>
    <w:rsid w:val="00047F4A"/>
    <w:rsid w:val="00051979"/>
    <w:rsid w:val="00052B8F"/>
    <w:rsid w:val="00053EAB"/>
    <w:rsid w:val="00053EB3"/>
    <w:rsid w:val="00054612"/>
    <w:rsid w:val="00055068"/>
    <w:rsid w:val="00056286"/>
    <w:rsid w:val="0005785F"/>
    <w:rsid w:val="000578E9"/>
    <w:rsid w:val="0005798B"/>
    <w:rsid w:val="00057AC8"/>
    <w:rsid w:val="00062416"/>
    <w:rsid w:val="000649EC"/>
    <w:rsid w:val="000673D8"/>
    <w:rsid w:val="000704CA"/>
    <w:rsid w:val="000733C0"/>
    <w:rsid w:val="0007343F"/>
    <w:rsid w:val="000740E8"/>
    <w:rsid w:val="00074F5A"/>
    <w:rsid w:val="00075B79"/>
    <w:rsid w:val="000773E6"/>
    <w:rsid w:val="00082B58"/>
    <w:rsid w:val="000841EB"/>
    <w:rsid w:val="00084AF9"/>
    <w:rsid w:val="00084C8E"/>
    <w:rsid w:val="000866BD"/>
    <w:rsid w:val="00086C26"/>
    <w:rsid w:val="0008752A"/>
    <w:rsid w:val="00087EAA"/>
    <w:rsid w:val="00090704"/>
    <w:rsid w:val="00090A03"/>
    <w:rsid w:val="00090F09"/>
    <w:rsid w:val="000918D4"/>
    <w:rsid w:val="00092BB4"/>
    <w:rsid w:val="00093B17"/>
    <w:rsid w:val="000961C2"/>
    <w:rsid w:val="00097504"/>
    <w:rsid w:val="000A2B35"/>
    <w:rsid w:val="000A365D"/>
    <w:rsid w:val="000A3ABF"/>
    <w:rsid w:val="000A4534"/>
    <w:rsid w:val="000A5658"/>
    <w:rsid w:val="000A79A7"/>
    <w:rsid w:val="000B03B5"/>
    <w:rsid w:val="000B1470"/>
    <w:rsid w:val="000B216D"/>
    <w:rsid w:val="000B2B1C"/>
    <w:rsid w:val="000B3382"/>
    <w:rsid w:val="000B4EAE"/>
    <w:rsid w:val="000B5FE7"/>
    <w:rsid w:val="000B607A"/>
    <w:rsid w:val="000B6B15"/>
    <w:rsid w:val="000C2AE3"/>
    <w:rsid w:val="000C4EAC"/>
    <w:rsid w:val="000C7FFC"/>
    <w:rsid w:val="000D047F"/>
    <w:rsid w:val="000D23E1"/>
    <w:rsid w:val="000D406D"/>
    <w:rsid w:val="000D54AC"/>
    <w:rsid w:val="000D6DA7"/>
    <w:rsid w:val="000E0DFB"/>
    <w:rsid w:val="000E0E77"/>
    <w:rsid w:val="000E1491"/>
    <w:rsid w:val="000E1EC7"/>
    <w:rsid w:val="000E4341"/>
    <w:rsid w:val="000E794B"/>
    <w:rsid w:val="000F508B"/>
    <w:rsid w:val="000F6191"/>
    <w:rsid w:val="000F6599"/>
    <w:rsid w:val="0010158F"/>
    <w:rsid w:val="00104750"/>
    <w:rsid w:val="00104D9B"/>
    <w:rsid w:val="00105888"/>
    <w:rsid w:val="00107E3B"/>
    <w:rsid w:val="001118B7"/>
    <w:rsid w:val="00115FA2"/>
    <w:rsid w:val="00116D33"/>
    <w:rsid w:val="00116D68"/>
    <w:rsid w:val="00116FBE"/>
    <w:rsid w:val="00117CB2"/>
    <w:rsid w:val="00121540"/>
    <w:rsid w:val="00123A2E"/>
    <w:rsid w:val="00124120"/>
    <w:rsid w:val="001246CA"/>
    <w:rsid w:val="001267D4"/>
    <w:rsid w:val="0012681B"/>
    <w:rsid w:val="001322CB"/>
    <w:rsid w:val="0013467F"/>
    <w:rsid w:val="00135960"/>
    <w:rsid w:val="00135972"/>
    <w:rsid w:val="001360FC"/>
    <w:rsid w:val="00137DD9"/>
    <w:rsid w:val="00143D77"/>
    <w:rsid w:val="0014497F"/>
    <w:rsid w:val="001455C5"/>
    <w:rsid w:val="00147145"/>
    <w:rsid w:val="001476B1"/>
    <w:rsid w:val="00151132"/>
    <w:rsid w:val="00152DC2"/>
    <w:rsid w:val="00156333"/>
    <w:rsid w:val="00162455"/>
    <w:rsid w:val="00164DA4"/>
    <w:rsid w:val="001663C8"/>
    <w:rsid w:val="00167069"/>
    <w:rsid w:val="001716F9"/>
    <w:rsid w:val="00172A28"/>
    <w:rsid w:val="00173A7B"/>
    <w:rsid w:val="00174D3D"/>
    <w:rsid w:val="00175CD5"/>
    <w:rsid w:val="00176B32"/>
    <w:rsid w:val="00176B48"/>
    <w:rsid w:val="001819EC"/>
    <w:rsid w:val="00184FB4"/>
    <w:rsid w:val="00186A97"/>
    <w:rsid w:val="00187823"/>
    <w:rsid w:val="00191324"/>
    <w:rsid w:val="00191404"/>
    <w:rsid w:val="00191589"/>
    <w:rsid w:val="00196E09"/>
    <w:rsid w:val="001A0136"/>
    <w:rsid w:val="001A03F7"/>
    <w:rsid w:val="001A0497"/>
    <w:rsid w:val="001A15CA"/>
    <w:rsid w:val="001A3477"/>
    <w:rsid w:val="001A39B0"/>
    <w:rsid w:val="001A6435"/>
    <w:rsid w:val="001A6889"/>
    <w:rsid w:val="001A7A5A"/>
    <w:rsid w:val="001B1DB4"/>
    <w:rsid w:val="001B24DD"/>
    <w:rsid w:val="001B42D7"/>
    <w:rsid w:val="001B4467"/>
    <w:rsid w:val="001B52CB"/>
    <w:rsid w:val="001B6C70"/>
    <w:rsid w:val="001C11FB"/>
    <w:rsid w:val="001C1C5F"/>
    <w:rsid w:val="001C28B5"/>
    <w:rsid w:val="001C3767"/>
    <w:rsid w:val="001C4978"/>
    <w:rsid w:val="001C7A08"/>
    <w:rsid w:val="001D104E"/>
    <w:rsid w:val="001D241B"/>
    <w:rsid w:val="001D397D"/>
    <w:rsid w:val="001D3FC5"/>
    <w:rsid w:val="001D4E27"/>
    <w:rsid w:val="001D551A"/>
    <w:rsid w:val="001D66B0"/>
    <w:rsid w:val="001D7353"/>
    <w:rsid w:val="001E0E4F"/>
    <w:rsid w:val="001E1276"/>
    <w:rsid w:val="001E2A84"/>
    <w:rsid w:val="001E5683"/>
    <w:rsid w:val="001E5919"/>
    <w:rsid w:val="001E72F1"/>
    <w:rsid w:val="001F0C69"/>
    <w:rsid w:val="001F0E3D"/>
    <w:rsid w:val="001F273D"/>
    <w:rsid w:val="001F3DEC"/>
    <w:rsid w:val="001F72EE"/>
    <w:rsid w:val="0020063E"/>
    <w:rsid w:val="002011E2"/>
    <w:rsid w:val="00202524"/>
    <w:rsid w:val="00205403"/>
    <w:rsid w:val="002061B0"/>
    <w:rsid w:val="002061BF"/>
    <w:rsid w:val="002062E5"/>
    <w:rsid w:val="00206EC5"/>
    <w:rsid w:val="00210043"/>
    <w:rsid w:val="002100A8"/>
    <w:rsid w:val="00210F81"/>
    <w:rsid w:val="00211622"/>
    <w:rsid w:val="00212666"/>
    <w:rsid w:val="00213CF0"/>
    <w:rsid w:val="00220BD4"/>
    <w:rsid w:val="0022110C"/>
    <w:rsid w:val="00222C6F"/>
    <w:rsid w:val="002253D4"/>
    <w:rsid w:val="002275A1"/>
    <w:rsid w:val="00233173"/>
    <w:rsid w:val="00235522"/>
    <w:rsid w:val="00236911"/>
    <w:rsid w:val="002406AF"/>
    <w:rsid w:val="00240D7B"/>
    <w:rsid w:val="00241F17"/>
    <w:rsid w:val="0024600D"/>
    <w:rsid w:val="00246764"/>
    <w:rsid w:val="00250815"/>
    <w:rsid w:val="0025085A"/>
    <w:rsid w:val="002509F0"/>
    <w:rsid w:val="00252A0C"/>
    <w:rsid w:val="00257CB3"/>
    <w:rsid w:val="00260957"/>
    <w:rsid w:val="00260B37"/>
    <w:rsid w:val="0026162A"/>
    <w:rsid w:val="002659F0"/>
    <w:rsid w:val="00265F89"/>
    <w:rsid w:val="00267947"/>
    <w:rsid w:val="0027232D"/>
    <w:rsid w:val="00274B88"/>
    <w:rsid w:val="00274DE5"/>
    <w:rsid w:val="00274ED7"/>
    <w:rsid w:val="00281E34"/>
    <w:rsid w:val="00283194"/>
    <w:rsid w:val="00283328"/>
    <w:rsid w:val="0028595E"/>
    <w:rsid w:val="002874DD"/>
    <w:rsid w:val="00291F68"/>
    <w:rsid w:val="002935B1"/>
    <w:rsid w:val="002937D4"/>
    <w:rsid w:val="00293C26"/>
    <w:rsid w:val="00297656"/>
    <w:rsid w:val="002A2247"/>
    <w:rsid w:val="002A2663"/>
    <w:rsid w:val="002A2F3E"/>
    <w:rsid w:val="002A4450"/>
    <w:rsid w:val="002A44C9"/>
    <w:rsid w:val="002A57A2"/>
    <w:rsid w:val="002B4AF4"/>
    <w:rsid w:val="002B67B7"/>
    <w:rsid w:val="002C0429"/>
    <w:rsid w:val="002C123C"/>
    <w:rsid w:val="002C65B4"/>
    <w:rsid w:val="002C7DD5"/>
    <w:rsid w:val="002D13C4"/>
    <w:rsid w:val="002D275E"/>
    <w:rsid w:val="002D2906"/>
    <w:rsid w:val="002D2D21"/>
    <w:rsid w:val="002D56B2"/>
    <w:rsid w:val="002D5A7B"/>
    <w:rsid w:val="002D6357"/>
    <w:rsid w:val="002E03E5"/>
    <w:rsid w:val="002E3026"/>
    <w:rsid w:val="002E3E1A"/>
    <w:rsid w:val="002E3F06"/>
    <w:rsid w:val="002E66C8"/>
    <w:rsid w:val="002F1DDE"/>
    <w:rsid w:val="002F22EE"/>
    <w:rsid w:val="002F3F04"/>
    <w:rsid w:val="002F41BA"/>
    <w:rsid w:val="002F4301"/>
    <w:rsid w:val="002F4BE0"/>
    <w:rsid w:val="002F6A5C"/>
    <w:rsid w:val="003002BA"/>
    <w:rsid w:val="00301890"/>
    <w:rsid w:val="003018AA"/>
    <w:rsid w:val="00301A19"/>
    <w:rsid w:val="00301DD2"/>
    <w:rsid w:val="00302CF2"/>
    <w:rsid w:val="00303B99"/>
    <w:rsid w:val="003048E4"/>
    <w:rsid w:val="00304BED"/>
    <w:rsid w:val="0030714F"/>
    <w:rsid w:val="00307424"/>
    <w:rsid w:val="003125A6"/>
    <w:rsid w:val="00312A66"/>
    <w:rsid w:val="003136EF"/>
    <w:rsid w:val="00314A43"/>
    <w:rsid w:val="0031752C"/>
    <w:rsid w:val="00317567"/>
    <w:rsid w:val="003209F4"/>
    <w:rsid w:val="00320A91"/>
    <w:rsid w:val="00320E4E"/>
    <w:rsid w:val="0032143A"/>
    <w:rsid w:val="00321FFB"/>
    <w:rsid w:val="0032271E"/>
    <w:rsid w:val="00322C92"/>
    <w:rsid w:val="00325C1B"/>
    <w:rsid w:val="003305E0"/>
    <w:rsid w:val="0033210C"/>
    <w:rsid w:val="003336FA"/>
    <w:rsid w:val="003350EB"/>
    <w:rsid w:val="003405A5"/>
    <w:rsid w:val="00341B66"/>
    <w:rsid w:val="00347979"/>
    <w:rsid w:val="0035185B"/>
    <w:rsid w:val="00353396"/>
    <w:rsid w:val="00353937"/>
    <w:rsid w:val="00354BD0"/>
    <w:rsid w:val="00357303"/>
    <w:rsid w:val="003601A0"/>
    <w:rsid w:val="003606DF"/>
    <w:rsid w:val="00360BAC"/>
    <w:rsid w:val="00361C2D"/>
    <w:rsid w:val="003622CA"/>
    <w:rsid w:val="00363030"/>
    <w:rsid w:val="00363521"/>
    <w:rsid w:val="00364261"/>
    <w:rsid w:val="0036462C"/>
    <w:rsid w:val="003649B6"/>
    <w:rsid w:val="00364A42"/>
    <w:rsid w:val="0036505C"/>
    <w:rsid w:val="00370E02"/>
    <w:rsid w:val="00370F88"/>
    <w:rsid w:val="00371162"/>
    <w:rsid w:val="003712E4"/>
    <w:rsid w:val="003755FB"/>
    <w:rsid w:val="0037577C"/>
    <w:rsid w:val="0037684F"/>
    <w:rsid w:val="00377B0A"/>
    <w:rsid w:val="00381F17"/>
    <w:rsid w:val="0038262D"/>
    <w:rsid w:val="00384580"/>
    <w:rsid w:val="00385502"/>
    <w:rsid w:val="00390811"/>
    <w:rsid w:val="00391279"/>
    <w:rsid w:val="00393D98"/>
    <w:rsid w:val="00395518"/>
    <w:rsid w:val="0039697A"/>
    <w:rsid w:val="003A1297"/>
    <w:rsid w:val="003A35ED"/>
    <w:rsid w:val="003A3848"/>
    <w:rsid w:val="003A402B"/>
    <w:rsid w:val="003A4198"/>
    <w:rsid w:val="003A438D"/>
    <w:rsid w:val="003A766D"/>
    <w:rsid w:val="003B0611"/>
    <w:rsid w:val="003B1542"/>
    <w:rsid w:val="003B2DC1"/>
    <w:rsid w:val="003B56C1"/>
    <w:rsid w:val="003B56F7"/>
    <w:rsid w:val="003B5A60"/>
    <w:rsid w:val="003B5D92"/>
    <w:rsid w:val="003B6CB0"/>
    <w:rsid w:val="003B7402"/>
    <w:rsid w:val="003C0EC7"/>
    <w:rsid w:val="003C107D"/>
    <w:rsid w:val="003C2A59"/>
    <w:rsid w:val="003C3140"/>
    <w:rsid w:val="003C3E02"/>
    <w:rsid w:val="003C3FE8"/>
    <w:rsid w:val="003C5E3E"/>
    <w:rsid w:val="003D1D7F"/>
    <w:rsid w:val="003D1EDC"/>
    <w:rsid w:val="003D21C5"/>
    <w:rsid w:val="003D5AD6"/>
    <w:rsid w:val="003D66B9"/>
    <w:rsid w:val="003D6AB5"/>
    <w:rsid w:val="003E376C"/>
    <w:rsid w:val="003E4086"/>
    <w:rsid w:val="003E46F5"/>
    <w:rsid w:val="003E777B"/>
    <w:rsid w:val="003F3866"/>
    <w:rsid w:val="003F5781"/>
    <w:rsid w:val="003F6159"/>
    <w:rsid w:val="004002B4"/>
    <w:rsid w:val="00400623"/>
    <w:rsid w:val="004033E8"/>
    <w:rsid w:val="00403D6E"/>
    <w:rsid w:val="0040617E"/>
    <w:rsid w:val="00406C17"/>
    <w:rsid w:val="00406EF3"/>
    <w:rsid w:val="00412B2F"/>
    <w:rsid w:val="00413B28"/>
    <w:rsid w:val="00414170"/>
    <w:rsid w:val="004158E7"/>
    <w:rsid w:val="00416F61"/>
    <w:rsid w:val="004213E8"/>
    <w:rsid w:val="00422513"/>
    <w:rsid w:val="00422FF6"/>
    <w:rsid w:val="0042571E"/>
    <w:rsid w:val="00427586"/>
    <w:rsid w:val="00427F92"/>
    <w:rsid w:val="0043009D"/>
    <w:rsid w:val="0043068A"/>
    <w:rsid w:val="004346D4"/>
    <w:rsid w:val="00437CDD"/>
    <w:rsid w:val="00441207"/>
    <w:rsid w:val="0044126E"/>
    <w:rsid w:val="0044153A"/>
    <w:rsid w:val="00443A8F"/>
    <w:rsid w:val="0044539E"/>
    <w:rsid w:val="00445D26"/>
    <w:rsid w:val="00445F4A"/>
    <w:rsid w:val="004462F7"/>
    <w:rsid w:val="0045021E"/>
    <w:rsid w:val="00451C96"/>
    <w:rsid w:val="004521B7"/>
    <w:rsid w:val="00455800"/>
    <w:rsid w:val="00455A46"/>
    <w:rsid w:val="004576A3"/>
    <w:rsid w:val="0046019D"/>
    <w:rsid w:val="00460483"/>
    <w:rsid w:val="0046396F"/>
    <w:rsid w:val="0046514E"/>
    <w:rsid w:val="00471D82"/>
    <w:rsid w:val="00472D9E"/>
    <w:rsid w:val="004742A5"/>
    <w:rsid w:val="0047475D"/>
    <w:rsid w:val="00474E22"/>
    <w:rsid w:val="0047608F"/>
    <w:rsid w:val="00476554"/>
    <w:rsid w:val="0048017C"/>
    <w:rsid w:val="00482323"/>
    <w:rsid w:val="00485CC4"/>
    <w:rsid w:val="00485FFC"/>
    <w:rsid w:val="004900B8"/>
    <w:rsid w:val="00491D91"/>
    <w:rsid w:val="00491E00"/>
    <w:rsid w:val="00493357"/>
    <w:rsid w:val="0049446D"/>
    <w:rsid w:val="00494857"/>
    <w:rsid w:val="004958D5"/>
    <w:rsid w:val="0049768F"/>
    <w:rsid w:val="00497C31"/>
    <w:rsid w:val="004A0333"/>
    <w:rsid w:val="004A04E5"/>
    <w:rsid w:val="004A0506"/>
    <w:rsid w:val="004A08B4"/>
    <w:rsid w:val="004A2165"/>
    <w:rsid w:val="004A249A"/>
    <w:rsid w:val="004A283C"/>
    <w:rsid w:val="004A4D82"/>
    <w:rsid w:val="004B0052"/>
    <w:rsid w:val="004B1052"/>
    <w:rsid w:val="004B373F"/>
    <w:rsid w:val="004B37D0"/>
    <w:rsid w:val="004B5B65"/>
    <w:rsid w:val="004C19A0"/>
    <w:rsid w:val="004C1AA3"/>
    <w:rsid w:val="004C438F"/>
    <w:rsid w:val="004D0910"/>
    <w:rsid w:val="004D1E1B"/>
    <w:rsid w:val="004D26D7"/>
    <w:rsid w:val="004E4BDD"/>
    <w:rsid w:val="004E514F"/>
    <w:rsid w:val="004E6200"/>
    <w:rsid w:val="004E737F"/>
    <w:rsid w:val="004F0202"/>
    <w:rsid w:val="004F22DA"/>
    <w:rsid w:val="004F3B5E"/>
    <w:rsid w:val="004F62DC"/>
    <w:rsid w:val="004F73C4"/>
    <w:rsid w:val="00501178"/>
    <w:rsid w:val="005022B0"/>
    <w:rsid w:val="00503256"/>
    <w:rsid w:val="00504834"/>
    <w:rsid w:val="00505AEE"/>
    <w:rsid w:val="0050632E"/>
    <w:rsid w:val="00511669"/>
    <w:rsid w:val="00511EF3"/>
    <w:rsid w:val="005136E0"/>
    <w:rsid w:val="00514507"/>
    <w:rsid w:val="00514B37"/>
    <w:rsid w:val="0052099F"/>
    <w:rsid w:val="00521350"/>
    <w:rsid w:val="00525882"/>
    <w:rsid w:val="00527F2D"/>
    <w:rsid w:val="005308F1"/>
    <w:rsid w:val="00533CD5"/>
    <w:rsid w:val="0053435C"/>
    <w:rsid w:val="00536011"/>
    <w:rsid w:val="00540789"/>
    <w:rsid w:val="005416F7"/>
    <w:rsid w:val="00543B6A"/>
    <w:rsid w:val="00544BBE"/>
    <w:rsid w:val="00547633"/>
    <w:rsid w:val="00551C1F"/>
    <w:rsid w:val="005532F9"/>
    <w:rsid w:val="00553C53"/>
    <w:rsid w:val="0055440B"/>
    <w:rsid w:val="005551EA"/>
    <w:rsid w:val="005569DD"/>
    <w:rsid w:val="0055708D"/>
    <w:rsid w:val="005579BE"/>
    <w:rsid w:val="00561CA6"/>
    <w:rsid w:val="00564784"/>
    <w:rsid w:val="00565024"/>
    <w:rsid w:val="00567FDA"/>
    <w:rsid w:val="00570F96"/>
    <w:rsid w:val="00571C7F"/>
    <w:rsid w:val="00572518"/>
    <w:rsid w:val="00572EA2"/>
    <w:rsid w:val="00573C54"/>
    <w:rsid w:val="00576A91"/>
    <w:rsid w:val="00576D74"/>
    <w:rsid w:val="005809E7"/>
    <w:rsid w:val="0058292F"/>
    <w:rsid w:val="0059139A"/>
    <w:rsid w:val="005918F5"/>
    <w:rsid w:val="00593000"/>
    <w:rsid w:val="00595BA4"/>
    <w:rsid w:val="00596A0B"/>
    <w:rsid w:val="00596E05"/>
    <w:rsid w:val="005970FA"/>
    <w:rsid w:val="00597641"/>
    <w:rsid w:val="005A0460"/>
    <w:rsid w:val="005A059C"/>
    <w:rsid w:val="005A1A00"/>
    <w:rsid w:val="005A2298"/>
    <w:rsid w:val="005A2F38"/>
    <w:rsid w:val="005A3508"/>
    <w:rsid w:val="005A72FC"/>
    <w:rsid w:val="005B0388"/>
    <w:rsid w:val="005B0E84"/>
    <w:rsid w:val="005B109A"/>
    <w:rsid w:val="005B12A5"/>
    <w:rsid w:val="005B7EAA"/>
    <w:rsid w:val="005C2BDB"/>
    <w:rsid w:val="005C5D48"/>
    <w:rsid w:val="005C72F3"/>
    <w:rsid w:val="005C7518"/>
    <w:rsid w:val="005C7970"/>
    <w:rsid w:val="005D040A"/>
    <w:rsid w:val="005D2AB9"/>
    <w:rsid w:val="005D747B"/>
    <w:rsid w:val="005D7960"/>
    <w:rsid w:val="005D7DFD"/>
    <w:rsid w:val="005E1DA4"/>
    <w:rsid w:val="005E4BFD"/>
    <w:rsid w:val="005E592B"/>
    <w:rsid w:val="005E6960"/>
    <w:rsid w:val="005E7AAF"/>
    <w:rsid w:val="005E7D75"/>
    <w:rsid w:val="005F00A5"/>
    <w:rsid w:val="005F0D1E"/>
    <w:rsid w:val="005F17B4"/>
    <w:rsid w:val="005F2A95"/>
    <w:rsid w:val="005F300F"/>
    <w:rsid w:val="005F388F"/>
    <w:rsid w:val="005F4488"/>
    <w:rsid w:val="005F5458"/>
    <w:rsid w:val="0060288C"/>
    <w:rsid w:val="00603F52"/>
    <w:rsid w:val="00604085"/>
    <w:rsid w:val="00605AC1"/>
    <w:rsid w:val="00606036"/>
    <w:rsid w:val="00606C57"/>
    <w:rsid w:val="00607840"/>
    <w:rsid w:val="00610106"/>
    <w:rsid w:val="0061313F"/>
    <w:rsid w:val="00614924"/>
    <w:rsid w:val="00614A8E"/>
    <w:rsid w:val="00615CDE"/>
    <w:rsid w:val="006167B1"/>
    <w:rsid w:val="006218A1"/>
    <w:rsid w:val="00622A75"/>
    <w:rsid w:val="00624400"/>
    <w:rsid w:val="00626162"/>
    <w:rsid w:val="006275F0"/>
    <w:rsid w:val="00630F4E"/>
    <w:rsid w:val="0063161C"/>
    <w:rsid w:val="00631BAD"/>
    <w:rsid w:val="0063531D"/>
    <w:rsid w:val="00635732"/>
    <w:rsid w:val="0063602C"/>
    <w:rsid w:val="006426F6"/>
    <w:rsid w:val="00644AA6"/>
    <w:rsid w:val="00645257"/>
    <w:rsid w:val="00646E18"/>
    <w:rsid w:val="0065077C"/>
    <w:rsid w:val="006508D6"/>
    <w:rsid w:val="00652FE2"/>
    <w:rsid w:val="006530A2"/>
    <w:rsid w:val="006532D6"/>
    <w:rsid w:val="006541E8"/>
    <w:rsid w:val="0065507B"/>
    <w:rsid w:val="0065545A"/>
    <w:rsid w:val="00656374"/>
    <w:rsid w:val="00656B2C"/>
    <w:rsid w:val="00657DA6"/>
    <w:rsid w:val="00662F1E"/>
    <w:rsid w:val="00663439"/>
    <w:rsid w:val="006636C3"/>
    <w:rsid w:val="00663ED4"/>
    <w:rsid w:val="006659E0"/>
    <w:rsid w:val="00670B27"/>
    <w:rsid w:val="00670C0B"/>
    <w:rsid w:val="00671765"/>
    <w:rsid w:val="00676EA9"/>
    <w:rsid w:val="00681CEC"/>
    <w:rsid w:val="00682469"/>
    <w:rsid w:val="00683530"/>
    <w:rsid w:val="00684AB8"/>
    <w:rsid w:val="00686B5C"/>
    <w:rsid w:val="00690EDA"/>
    <w:rsid w:val="006916ED"/>
    <w:rsid w:val="00691AE0"/>
    <w:rsid w:val="00692DFC"/>
    <w:rsid w:val="00693977"/>
    <w:rsid w:val="006A077A"/>
    <w:rsid w:val="006A2147"/>
    <w:rsid w:val="006B122B"/>
    <w:rsid w:val="006B21D1"/>
    <w:rsid w:val="006B29E1"/>
    <w:rsid w:val="006C12A4"/>
    <w:rsid w:val="006C279D"/>
    <w:rsid w:val="006C2DC0"/>
    <w:rsid w:val="006C2F82"/>
    <w:rsid w:val="006C39A6"/>
    <w:rsid w:val="006C3FEA"/>
    <w:rsid w:val="006C411C"/>
    <w:rsid w:val="006C4A90"/>
    <w:rsid w:val="006C5146"/>
    <w:rsid w:val="006D01B3"/>
    <w:rsid w:val="006D178F"/>
    <w:rsid w:val="006D3E51"/>
    <w:rsid w:val="006D5072"/>
    <w:rsid w:val="006D7CA2"/>
    <w:rsid w:val="006E0678"/>
    <w:rsid w:val="006E1E6C"/>
    <w:rsid w:val="006E4517"/>
    <w:rsid w:val="006E4CD8"/>
    <w:rsid w:val="006E5505"/>
    <w:rsid w:val="006E778D"/>
    <w:rsid w:val="006F0F9A"/>
    <w:rsid w:val="006F187B"/>
    <w:rsid w:val="006F1EA6"/>
    <w:rsid w:val="006F240A"/>
    <w:rsid w:val="006F2FB3"/>
    <w:rsid w:val="006F4EB3"/>
    <w:rsid w:val="006F62BC"/>
    <w:rsid w:val="00702AA0"/>
    <w:rsid w:val="00702DF9"/>
    <w:rsid w:val="00706C0C"/>
    <w:rsid w:val="007139B7"/>
    <w:rsid w:val="00714F3B"/>
    <w:rsid w:val="00715B66"/>
    <w:rsid w:val="007166F7"/>
    <w:rsid w:val="00716AEF"/>
    <w:rsid w:val="00717076"/>
    <w:rsid w:val="00717745"/>
    <w:rsid w:val="007254C6"/>
    <w:rsid w:val="00725A08"/>
    <w:rsid w:val="0072699C"/>
    <w:rsid w:val="00727370"/>
    <w:rsid w:val="00732FEB"/>
    <w:rsid w:val="0073392D"/>
    <w:rsid w:val="0073431C"/>
    <w:rsid w:val="00735D9E"/>
    <w:rsid w:val="00736865"/>
    <w:rsid w:val="00740D7E"/>
    <w:rsid w:val="0074109C"/>
    <w:rsid w:val="0074189C"/>
    <w:rsid w:val="00741B93"/>
    <w:rsid w:val="0075228D"/>
    <w:rsid w:val="007525A7"/>
    <w:rsid w:val="007543B0"/>
    <w:rsid w:val="0075498B"/>
    <w:rsid w:val="007551E5"/>
    <w:rsid w:val="007568A9"/>
    <w:rsid w:val="00757989"/>
    <w:rsid w:val="00760761"/>
    <w:rsid w:val="00761514"/>
    <w:rsid w:val="00762215"/>
    <w:rsid w:val="00763CE7"/>
    <w:rsid w:val="00766435"/>
    <w:rsid w:val="00773E18"/>
    <w:rsid w:val="007750AD"/>
    <w:rsid w:val="00775546"/>
    <w:rsid w:val="00775C1E"/>
    <w:rsid w:val="0077639A"/>
    <w:rsid w:val="00776F33"/>
    <w:rsid w:val="0078100C"/>
    <w:rsid w:val="00782ACF"/>
    <w:rsid w:val="00783311"/>
    <w:rsid w:val="00783BCB"/>
    <w:rsid w:val="00786F48"/>
    <w:rsid w:val="0078772C"/>
    <w:rsid w:val="007878E4"/>
    <w:rsid w:val="00787A6B"/>
    <w:rsid w:val="00791B6C"/>
    <w:rsid w:val="00793B50"/>
    <w:rsid w:val="00793BC8"/>
    <w:rsid w:val="007949F1"/>
    <w:rsid w:val="00795050"/>
    <w:rsid w:val="00795E73"/>
    <w:rsid w:val="007963BD"/>
    <w:rsid w:val="00797586"/>
    <w:rsid w:val="007A43E1"/>
    <w:rsid w:val="007A497E"/>
    <w:rsid w:val="007A5191"/>
    <w:rsid w:val="007A5D62"/>
    <w:rsid w:val="007A637C"/>
    <w:rsid w:val="007B395B"/>
    <w:rsid w:val="007B3AE8"/>
    <w:rsid w:val="007B4418"/>
    <w:rsid w:val="007B5F62"/>
    <w:rsid w:val="007B66B3"/>
    <w:rsid w:val="007B677C"/>
    <w:rsid w:val="007B6BF7"/>
    <w:rsid w:val="007B75D0"/>
    <w:rsid w:val="007B7932"/>
    <w:rsid w:val="007C46DF"/>
    <w:rsid w:val="007C6AE9"/>
    <w:rsid w:val="007D2970"/>
    <w:rsid w:val="007D2AB5"/>
    <w:rsid w:val="007D3AA0"/>
    <w:rsid w:val="007D3FE2"/>
    <w:rsid w:val="007D6728"/>
    <w:rsid w:val="007D6985"/>
    <w:rsid w:val="007D7175"/>
    <w:rsid w:val="007D793F"/>
    <w:rsid w:val="007E0EF4"/>
    <w:rsid w:val="007E3B8D"/>
    <w:rsid w:val="007E5E6F"/>
    <w:rsid w:val="007F232F"/>
    <w:rsid w:val="007F2694"/>
    <w:rsid w:val="007F2951"/>
    <w:rsid w:val="007F6A8C"/>
    <w:rsid w:val="00802582"/>
    <w:rsid w:val="00806A6E"/>
    <w:rsid w:val="00810603"/>
    <w:rsid w:val="00811F8F"/>
    <w:rsid w:val="0081263A"/>
    <w:rsid w:val="00813065"/>
    <w:rsid w:val="00813219"/>
    <w:rsid w:val="00817710"/>
    <w:rsid w:val="00820FEC"/>
    <w:rsid w:val="00823499"/>
    <w:rsid w:val="00824738"/>
    <w:rsid w:val="00824AD0"/>
    <w:rsid w:val="00827295"/>
    <w:rsid w:val="00832F5F"/>
    <w:rsid w:val="0083324D"/>
    <w:rsid w:val="0083456E"/>
    <w:rsid w:val="00836812"/>
    <w:rsid w:val="00841733"/>
    <w:rsid w:val="00844D38"/>
    <w:rsid w:val="00844D85"/>
    <w:rsid w:val="00850DBE"/>
    <w:rsid w:val="008524BE"/>
    <w:rsid w:val="008535AC"/>
    <w:rsid w:val="00853BC2"/>
    <w:rsid w:val="00854278"/>
    <w:rsid w:val="008554F8"/>
    <w:rsid w:val="00855538"/>
    <w:rsid w:val="008557C6"/>
    <w:rsid w:val="00855847"/>
    <w:rsid w:val="00855F20"/>
    <w:rsid w:val="0086236A"/>
    <w:rsid w:val="00864340"/>
    <w:rsid w:val="00864C6E"/>
    <w:rsid w:val="00865E24"/>
    <w:rsid w:val="00866FC0"/>
    <w:rsid w:val="0087035A"/>
    <w:rsid w:val="00873A67"/>
    <w:rsid w:val="00873B44"/>
    <w:rsid w:val="00875592"/>
    <w:rsid w:val="00877DDA"/>
    <w:rsid w:val="00882DAD"/>
    <w:rsid w:val="0088570B"/>
    <w:rsid w:val="008874BA"/>
    <w:rsid w:val="00892312"/>
    <w:rsid w:val="00893975"/>
    <w:rsid w:val="008941C9"/>
    <w:rsid w:val="008949B1"/>
    <w:rsid w:val="00896D2F"/>
    <w:rsid w:val="0089713E"/>
    <w:rsid w:val="008A4822"/>
    <w:rsid w:val="008A4B83"/>
    <w:rsid w:val="008B39C5"/>
    <w:rsid w:val="008B3AA9"/>
    <w:rsid w:val="008B40CF"/>
    <w:rsid w:val="008C09C4"/>
    <w:rsid w:val="008C1F44"/>
    <w:rsid w:val="008C4081"/>
    <w:rsid w:val="008C7BEA"/>
    <w:rsid w:val="008D1B74"/>
    <w:rsid w:val="008D7F35"/>
    <w:rsid w:val="008E09E3"/>
    <w:rsid w:val="008E1A33"/>
    <w:rsid w:val="008E23AD"/>
    <w:rsid w:val="008E43A9"/>
    <w:rsid w:val="008E7710"/>
    <w:rsid w:val="008F1F65"/>
    <w:rsid w:val="008F5B1B"/>
    <w:rsid w:val="00900590"/>
    <w:rsid w:val="009005FA"/>
    <w:rsid w:val="00901EC1"/>
    <w:rsid w:val="00903F34"/>
    <w:rsid w:val="00905BD3"/>
    <w:rsid w:val="00905C0A"/>
    <w:rsid w:val="00907154"/>
    <w:rsid w:val="00907832"/>
    <w:rsid w:val="009100DA"/>
    <w:rsid w:val="00912212"/>
    <w:rsid w:val="00914BF0"/>
    <w:rsid w:val="00915634"/>
    <w:rsid w:val="00916705"/>
    <w:rsid w:val="00917001"/>
    <w:rsid w:val="009222D8"/>
    <w:rsid w:val="0092246D"/>
    <w:rsid w:val="00922D8D"/>
    <w:rsid w:val="00924489"/>
    <w:rsid w:val="009244A4"/>
    <w:rsid w:val="009247F5"/>
    <w:rsid w:val="009261FA"/>
    <w:rsid w:val="0092641A"/>
    <w:rsid w:val="009265D0"/>
    <w:rsid w:val="00927105"/>
    <w:rsid w:val="00927B91"/>
    <w:rsid w:val="00927DC8"/>
    <w:rsid w:val="00933B0A"/>
    <w:rsid w:val="00942436"/>
    <w:rsid w:val="00944288"/>
    <w:rsid w:val="00947881"/>
    <w:rsid w:val="00950A54"/>
    <w:rsid w:val="009520E5"/>
    <w:rsid w:val="0095234C"/>
    <w:rsid w:val="009539AB"/>
    <w:rsid w:val="009546A5"/>
    <w:rsid w:val="0095573B"/>
    <w:rsid w:val="00957A1D"/>
    <w:rsid w:val="0096007C"/>
    <w:rsid w:val="009600C2"/>
    <w:rsid w:val="0096487B"/>
    <w:rsid w:val="009672C0"/>
    <w:rsid w:val="0097177A"/>
    <w:rsid w:val="00980193"/>
    <w:rsid w:val="00985537"/>
    <w:rsid w:val="0098649B"/>
    <w:rsid w:val="00990654"/>
    <w:rsid w:val="00992D1E"/>
    <w:rsid w:val="009961D3"/>
    <w:rsid w:val="0099788E"/>
    <w:rsid w:val="009A06F5"/>
    <w:rsid w:val="009A0788"/>
    <w:rsid w:val="009A2978"/>
    <w:rsid w:val="009A2FED"/>
    <w:rsid w:val="009A4524"/>
    <w:rsid w:val="009A5FAF"/>
    <w:rsid w:val="009B03DF"/>
    <w:rsid w:val="009B0B79"/>
    <w:rsid w:val="009B0F38"/>
    <w:rsid w:val="009B12ED"/>
    <w:rsid w:val="009B40D5"/>
    <w:rsid w:val="009B4802"/>
    <w:rsid w:val="009B6AF0"/>
    <w:rsid w:val="009B6C3F"/>
    <w:rsid w:val="009B740C"/>
    <w:rsid w:val="009B7D80"/>
    <w:rsid w:val="009C0EBE"/>
    <w:rsid w:val="009C14AD"/>
    <w:rsid w:val="009C1C4B"/>
    <w:rsid w:val="009C49F1"/>
    <w:rsid w:val="009C5292"/>
    <w:rsid w:val="009C53D0"/>
    <w:rsid w:val="009C6449"/>
    <w:rsid w:val="009D067A"/>
    <w:rsid w:val="009D0D3C"/>
    <w:rsid w:val="009D1035"/>
    <w:rsid w:val="009D2F55"/>
    <w:rsid w:val="009D7D33"/>
    <w:rsid w:val="009F1547"/>
    <w:rsid w:val="009F17B8"/>
    <w:rsid w:val="009F2636"/>
    <w:rsid w:val="009F5AD1"/>
    <w:rsid w:val="00A03133"/>
    <w:rsid w:val="00A066AE"/>
    <w:rsid w:val="00A10C78"/>
    <w:rsid w:val="00A12D5F"/>
    <w:rsid w:val="00A1328E"/>
    <w:rsid w:val="00A17128"/>
    <w:rsid w:val="00A176FE"/>
    <w:rsid w:val="00A20C58"/>
    <w:rsid w:val="00A20F78"/>
    <w:rsid w:val="00A2385A"/>
    <w:rsid w:val="00A24666"/>
    <w:rsid w:val="00A24B65"/>
    <w:rsid w:val="00A25D5C"/>
    <w:rsid w:val="00A262B9"/>
    <w:rsid w:val="00A26938"/>
    <w:rsid w:val="00A27848"/>
    <w:rsid w:val="00A27DEE"/>
    <w:rsid w:val="00A312C4"/>
    <w:rsid w:val="00A33CF8"/>
    <w:rsid w:val="00A36670"/>
    <w:rsid w:val="00A369D1"/>
    <w:rsid w:val="00A40688"/>
    <w:rsid w:val="00A40CF9"/>
    <w:rsid w:val="00A435DF"/>
    <w:rsid w:val="00A43F95"/>
    <w:rsid w:val="00A44150"/>
    <w:rsid w:val="00A5209D"/>
    <w:rsid w:val="00A528D5"/>
    <w:rsid w:val="00A53679"/>
    <w:rsid w:val="00A54AFD"/>
    <w:rsid w:val="00A614DD"/>
    <w:rsid w:val="00A62113"/>
    <w:rsid w:val="00A6235D"/>
    <w:rsid w:val="00A62818"/>
    <w:rsid w:val="00A65FD9"/>
    <w:rsid w:val="00A65FFD"/>
    <w:rsid w:val="00A67923"/>
    <w:rsid w:val="00A714B8"/>
    <w:rsid w:val="00A71E77"/>
    <w:rsid w:val="00A71F17"/>
    <w:rsid w:val="00A72060"/>
    <w:rsid w:val="00A73F9F"/>
    <w:rsid w:val="00A740DC"/>
    <w:rsid w:val="00A74F5A"/>
    <w:rsid w:val="00A7516D"/>
    <w:rsid w:val="00A77BB4"/>
    <w:rsid w:val="00A82058"/>
    <w:rsid w:val="00A82FAE"/>
    <w:rsid w:val="00A83CEF"/>
    <w:rsid w:val="00A869B0"/>
    <w:rsid w:val="00A90579"/>
    <w:rsid w:val="00A951FA"/>
    <w:rsid w:val="00A95BC9"/>
    <w:rsid w:val="00A973FA"/>
    <w:rsid w:val="00AA012E"/>
    <w:rsid w:val="00AA0150"/>
    <w:rsid w:val="00AA204C"/>
    <w:rsid w:val="00AA2D57"/>
    <w:rsid w:val="00AA3F22"/>
    <w:rsid w:val="00AA7064"/>
    <w:rsid w:val="00AB143A"/>
    <w:rsid w:val="00AB2BA8"/>
    <w:rsid w:val="00AB3D8C"/>
    <w:rsid w:val="00AC18FC"/>
    <w:rsid w:val="00AC1CB4"/>
    <w:rsid w:val="00AC1FA7"/>
    <w:rsid w:val="00AC2B06"/>
    <w:rsid w:val="00AC41BE"/>
    <w:rsid w:val="00AC5B4D"/>
    <w:rsid w:val="00AC5C1F"/>
    <w:rsid w:val="00AC62C9"/>
    <w:rsid w:val="00AD0A5F"/>
    <w:rsid w:val="00AD2DAD"/>
    <w:rsid w:val="00AD3454"/>
    <w:rsid w:val="00AE13F1"/>
    <w:rsid w:val="00AE15CF"/>
    <w:rsid w:val="00AE1A4A"/>
    <w:rsid w:val="00AE2AF3"/>
    <w:rsid w:val="00AE33FF"/>
    <w:rsid w:val="00AF06D5"/>
    <w:rsid w:val="00AF09DD"/>
    <w:rsid w:val="00AF4B48"/>
    <w:rsid w:val="00B01161"/>
    <w:rsid w:val="00B01B34"/>
    <w:rsid w:val="00B02655"/>
    <w:rsid w:val="00B05102"/>
    <w:rsid w:val="00B05333"/>
    <w:rsid w:val="00B05BAC"/>
    <w:rsid w:val="00B06202"/>
    <w:rsid w:val="00B06812"/>
    <w:rsid w:val="00B068B2"/>
    <w:rsid w:val="00B06FF0"/>
    <w:rsid w:val="00B0782F"/>
    <w:rsid w:val="00B07863"/>
    <w:rsid w:val="00B115C2"/>
    <w:rsid w:val="00B15C20"/>
    <w:rsid w:val="00B16A34"/>
    <w:rsid w:val="00B170C5"/>
    <w:rsid w:val="00B208AD"/>
    <w:rsid w:val="00B21210"/>
    <w:rsid w:val="00B23B33"/>
    <w:rsid w:val="00B25A12"/>
    <w:rsid w:val="00B27139"/>
    <w:rsid w:val="00B27D1F"/>
    <w:rsid w:val="00B31A84"/>
    <w:rsid w:val="00B31B9C"/>
    <w:rsid w:val="00B36185"/>
    <w:rsid w:val="00B365A9"/>
    <w:rsid w:val="00B3761A"/>
    <w:rsid w:val="00B42A39"/>
    <w:rsid w:val="00B4324A"/>
    <w:rsid w:val="00B4478F"/>
    <w:rsid w:val="00B4530F"/>
    <w:rsid w:val="00B469D5"/>
    <w:rsid w:val="00B5123F"/>
    <w:rsid w:val="00B5544F"/>
    <w:rsid w:val="00B55E5D"/>
    <w:rsid w:val="00B56128"/>
    <w:rsid w:val="00B569D1"/>
    <w:rsid w:val="00B57D13"/>
    <w:rsid w:val="00B600A7"/>
    <w:rsid w:val="00B60A36"/>
    <w:rsid w:val="00B61F22"/>
    <w:rsid w:val="00B6377B"/>
    <w:rsid w:val="00B66867"/>
    <w:rsid w:val="00B70661"/>
    <w:rsid w:val="00B713B8"/>
    <w:rsid w:val="00B73E0C"/>
    <w:rsid w:val="00B756AA"/>
    <w:rsid w:val="00B774A6"/>
    <w:rsid w:val="00B77A6A"/>
    <w:rsid w:val="00B8117C"/>
    <w:rsid w:val="00B81DF0"/>
    <w:rsid w:val="00B82FF9"/>
    <w:rsid w:val="00B8694E"/>
    <w:rsid w:val="00B91726"/>
    <w:rsid w:val="00B94653"/>
    <w:rsid w:val="00B94786"/>
    <w:rsid w:val="00B95091"/>
    <w:rsid w:val="00B978CC"/>
    <w:rsid w:val="00BA27FF"/>
    <w:rsid w:val="00BA47D3"/>
    <w:rsid w:val="00BA5A8B"/>
    <w:rsid w:val="00BB26AD"/>
    <w:rsid w:val="00BB7F4C"/>
    <w:rsid w:val="00BC027D"/>
    <w:rsid w:val="00BC05FE"/>
    <w:rsid w:val="00BC29B9"/>
    <w:rsid w:val="00BC7208"/>
    <w:rsid w:val="00BC7894"/>
    <w:rsid w:val="00BC7E8B"/>
    <w:rsid w:val="00BD05B2"/>
    <w:rsid w:val="00BD209F"/>
    <w:rsid w:val="00BD589D"/>
    <w:rsid w:val="00BD63A8"/>
    <w:rsid w:val="00BD7C68"/>
    <w:rsid w:val="00BE4290"/>
    <w:rsid w:val="00BE510A"/>
    <w:rsid w:val="00BE6C72"/>
    <w:rsid w:val="00BF0814"/>
    <w:rsid w:val="00BF096D"/>
    <w:rsid w:val="00BF12F4"/>
    <w:rsid w:val="00BF5A7A"/>
    <w:rsid w:val="00BF79FA"/>
    <w:rsid w:val="00C020B1"/>
    <w:rsid w:val="00C020E1"/>
    <w:rsid w:val="00C03776"/>
    <w:rsid w:val="00C07F61"/>
    <w:rsid w:val="00C10808"/>
    <w:rsid w:val="00C11250"/>
    <w:rsid w:val="00C12FCE"/>
    <w:rsid w:val="00C1304C"/>
    <w:rsid w:val="00C13821"/>
    <w:rsid w:val="00C15435"/>
    <w:rsid w:val="00C15F73"/>
    <w:rsid w:val="00C2037B"/>
    <w:rsid w:val="00C227C0"/>
    <w:rsid w:val="00C2281E"/>
    <w:rsid w:val="00C25574"/>
    <w:rsid w:val="00C263FA"/>
    <w:rsid w:val="00C30DA4"/>
    <w:rsid w:val="00C36C29"/>
    <w:rsid w:val="00C37281"/>
    <w:rsid w:val="00C43200"/>
    <w:rsid w:val="00C44020"/>
    <w:rsid w:val="00C45052"/>
    <w:rsid w:val="00C4548F"/>
    <w:rsid w:val="00C45E7E"/>
    <w:rsid w:val="00C47EDE"/>
    <w:rsid w:val="00C50108"/>
    <w:rsid w:val="00C569AC"/>
    <w:rsid w:val="00C56E49"/>
    <w:rsid w:val="00C6038B"/>
    <w:rsid w:val="00C60808"/>
    <w:rsid w:val="00C6224D"/>
    <w:rsid w:val="00C63791"/>
    <w:rsid w:val="00C63E48"/>
    <w:rsid w:val="00C66923"/>
    <w:rsid w:val="00C7401F"/>
    <w:rsid w:val="00C75655"/>
    <w:rsid w:val="00C75DCC"/>
    <w:rsid w:val="00C76084"/>
    <w:rsid w:val="00C84BC1"/>
    <w:rsid w:val="00C86018"/>
    <w:rsid w:val="00C868F6"/>
    <w:rsid w:val="00C9137C"/>
    <w:rsid w:val="00C9205A"/>
    <w:rsid w:val="00C92798"/>
    <w:rsid w:val="00C95803"/>
    <w:rsid w:val="00C95CDA"/>
    <w:rsid w:val="00C9663B"/>
    <w:rsid w:val="00CA06E8"/>
    <w:rsid w:val="00CA6221"/>
    <w:rsid w:val="00CA707E"/>
    <w:rsid w:val="00CB4F7C"/>
    <w:rsid w:val="00CB57D9"/>
    <w:rsid w:val="00CB627C"/>
    <w:rsid w:val="00CB7302"/>
    <w:rsid w:val="00CC0EB5"/>
    <w:rsid w:val="00CC26C0"/>
    <w:rsid w:val="00CC390E"/>
    <w:rsid w:val="00CC6CFE"/>
    <w:rsid w:val="00CD3AA5"/>
    <w:rsid w:val="00CD476F"/>
    <w:rsid w:val="00CD5CCE"/>
    <w:rsid w:val="00CD6106"/>
    <w:rsid w:val="00CD66B3"/>
    <w:rsid w:val="00CE13BE"/>
    <w:rsid w:val="00CE15D9"/>
    <w:rsid w:val="00CE271C"/>
    <w:rsid w:val="00CE27BD"/>
    <w:rsid w:val="00CE6070"/>
    <w:rsid w:val="00CE7599"/>
    <w:rsid w:val="00CF2EFF"/>
    <w:rsid w:val="00CF3AAD"/>
    <w:rsid w:val="00CF591A"/>
    <w:rsid w:val="00CF5B47"/>
    <w:rsid w:val="00CF5F0A"/>
    <w:rsid w:val="00CF7021"/>
    <w:rsid w:val="00D11E90"/>
    <w:rsid w:val="00D120DE"/>
    <w:rsid w:val="00D137B2"/>
    <w:rsid w:val="00D15B56"/>
    <w:rsid w:val="00D15BDD"/>
    <w:rsid w:val="00D16008"/>
    <w:rsid w:val="00D20137"/>
    <w:rsid w:val="00D2229E"/>
    <w:rsid w:val="00D22EB4"/>
    <w:rsid w:val="00D30192"/>
    <w:rsid w:val="00D31106"/>
    <w:rsid w:val="00D3159B"/>
    <w:rsid w:val="00D33D87"/>
    <w:rsid w:val="00D35777"/>
    <w:rsid w:val="00D37245"/>
    <w:rsid w:val="00D37CCF"/>
    <w:rsid w:val="00D37E0E"/>
    <w:rsid w:val="00D45993"/>
    <w:rsid w:val="00D46202"/>
    <w:rsid w:val="00D46437"/>
    <w:rsid w:val="00D46562"/>
    <w:rsid w:val="00D50637"/>
    <w:rsid w:val="00D5204B"/>
    <w:rsid w:val="00D5204C"/>
    <w:rsid w:val="00D52349"/>
    <w:rsid w:val="00D54C10"/>
    <w:rsid w:val="00D5797A"/>
    <w:rsid w:val="00D61174"/>
    <w:rsid w:val="00D617CE"/>
    <w:rsid w:val="00D659F0"/>
    <w:rsid w:val="00D674A2"/>
    <w:rsid w:val="00D722DF"/>
    <w:rsid w:val="00D747AF"/>
    <w:rsid w:val="00D768A6"/>
    <w:rsid w:val="00D77A1E"/>
    <w:rsid w:val="00D81207"/>
    <w:rsid w:val="00D83F52"/>
    <w:rsid w:val="00D84675"/>
    <w:rsid w:val="00D85B97"/>
    <w:rsid w:val="00D85D6E"/>
    <w:rsid w:val="00D87C6D"/>
    <w:rsid w:val="00D93689"/>
    <w:rsid w:val="00D951CE"/>
    <w:rsid w:val="00D95BBE"/>
    <w:rsid w:val="00D97F26"/>
    <w:rsid w:val="00DA0ECC"/>
    <w:rsid w:val="00DA3AF3"/>
    <w:rsid w:val="00DA5455"/>
    <w:rsid w:val="00DA55E0"/>
    <w:rsid w:val="00DA5C2B"/>
    <w:rsid w:val="00DA676E"/>
    <w:rsid w:val="00DB1DA2"/>
    <w:rsid w:val="00DB222B"/>
    <w:rsid w:val="00DB29BF"/>
    <w:rsid w:val="00DB2D8B"/>
    <w:rsid w:val="00DB332A"/>
    <w:rsid w:val="00DB5EFB"/>
    <w:rsid w:val="00DB64EC"/>
    <w:rsid w:val="00DB7AA6"/>
    <w:rsid w:val="00DC0105"/>
    <w:rsid w:val="00DC1E5B"/>
    <w:rsid w:val="00DC2787"/>
    <w:rsid w:val="00DC3073"/>
    <w:rsid w:val="00DC3C3A"/>
    <w:rsid w:val="00DC48DA"/>
    <w:rsid w:val="00DD0973"/>
    <w:rsid w:val="00DD16F2"/>
    <w:rsid w:val="00DD284D"/>
    <w:rsid w:val="00DD28EE"/>
    <w:rsid w:val="00DE0051"/>
    <w:rsid w:val="00DE034B"/>
    <w:rsid w:val="00DE1703"/>
    <w:rsid w:val="00DE6CAE"/>
    <w:rsid w:val="00DE7004"/>
    <w:rsid w:val="00DE7F54"/>
    <w:rsid w:val="00DF0871"/>
    <w:rsid w:val="00DF3274"/>
    <w:rsid w:val="00DF402B"/>
    <w:rsid w:val="00DF534B"/>
    <w:rsid w:val="00DF568D"/>
    <w:rsid w:val="00DF62DA"/>
    <w:rsid w:val="00E0095C"/>
    <w:rsid w:val="00E00CCB"/>
    <w:rsid w:val="00E00DEE"/>
    <w:rsid w:val="00E03319"/>
    <w:rsid w:val="00E033E8"/>
    <w:rsid w:val="00E071E8"/>
    <w:rsid w:val="00E10588"/>
    <w:rsid w:val="00E12D95"/>
    <w:rsid w:val="00E174B6"/>
    <w:rsid w:val="00E175A7"/>
    <w:rsid w:val="00E20017"/>
    <w:rsid w:val="00E20168"/>
    <w:rsid w:val="00E20740"/>
    <w:rsid w:val="00E20E92"/>
    <w:rsid w:val="00E24399"/>
    <w:rsid w:val="00E24645"/>
    <w:rsid w:val="00E249CA"/>
    <w:rsid w:val="00E2688D"/>
    <w:rsid w:val="00E30328"/>
    <w:rsid w:val="00E30F7D"/>
    <w:rsid w:val="00E3354E"/>
    <w:rsid w:val="00E337BC"/>
    <w:rsid w:val="00E33A49"/>
    <w:rsid w:val="00E34624"/>
    <w:rsid w:val="00E350CD"/>
    <w:rsid w:val="00E35611"/>
    <w:rsid w:val="00E43C0A"/>
    <w:rsid w:val="00E43DB1"/>
    <w:rsid w:val="00E519B0"/>
    <w:rsid w:val="00E529BF"/>
    <w:rsid w:val="00E537E7"/>
    <w:rsid w:val="00E542C2"/>
    <w:rsid w:val="00E56F8F"/>
    <w:rsid w:val="00E600F1"/>
    <w:rsid w:val="00E60972"/>
    <w:rsid w:val="00E61564"/>
    <w:rsid w:val="00E6159D"/>
    <w:rsid w:val="00E61811"/>
    <w:rsid w:val="00E6381B"/>
    <w:rsid w:val="00E6505F"/>
    <w:rsid w:val="00E65E6C"/>
    <w:rsid w:val="00E705B7"/>
    <w:rsid w:val="00E70F75"/>
    <w:rsid w:val="00E71A89"/>
    <w:rsid w:val="00E751CD"/>
    <w:rsid w:val="00E81E00"/>
    <w:rsid w:val="00E83AC9"/>
    <w:rsid w:val="00E83DC1"/>
    <w:rsid w:val="00E8429A"/>
    <w:rsid w:val="00E869F1"/>
    <w:rsid w:val="00E9047B"/>
    <w:rsid w:val="00E93408"/>
    <w:rsid w:val="00EA1893"/>
    <w:rsid w:val="00EA2CA0"/>
    <w:rsid w:val="00EB055B"/>
    <w:rsid w:val="00EB2D98"/>
    <w:rsid w:val="00EB3149"/>
    <w:rsid w:val="00EB465F"/>
    <w:rsid w:val="00EB5253"/>
    <w:rsid w:val="00EB6D44"/>
    <w:rsid w:val="00EC1212"/>
    <w:rsid w:val="00EC1A6C"/>
    <w:rsid w:val="00EC1D3D"/>
    <w:rsid w:val="00EC532F"/>
    <w:rsid w:val="00EC677E"/>
    <w:rsid w:val="00EC7E67"/>
    <w:rsid w:val="00ED0616"/>
    <w:rsid w:val="00ED50AA"/>
    <w:rsid w:val="00ED558A"/>
    <w:rsid w:val="00ED62B3"/>
    <w:rsid w:val="00ED71F1"/>
    <w:rsid w:val="00EE0B3E"/>
    <w:rsid w:val="00EE2179"/>
    <w:rsid w:val="00EE5AE0"/>
    <w:rsid w:val="00EE6811"/>
    <w:rsid w:val="00EE6D33"/>
    <w:rsid w:val="00EE6DFE"/>
    <w:rsid w:val="00EF3972"/>
    <w:rsid w:val="00EF3D4D"/>
    <w:rsid w:val="00EF5EA3"/>
    <w:rsid w:val="00EF67F9"/>
    <w:rsid w:val="00EF775B"/>
    <w:rsid w:val="00F0011B"/>
    <w:rsid w:val="00F00CF8"/>
    <w:rsid w:val="00F01AFD"/>
    <w:rsid w:val="00F01C4C"/>
    <w:rsid w:val="00F04831"/>
    <w:rsid w:val="00F06721"/>
    <w:rsid w:val="00F06F0D"/>
    <w:rsid w:val="00F0759D"/>
    <w:rsid w:val="00F11AE1"/>
    <w:rsid w:val="00F13036"/>
    <w:rsid w:val="00F16B74"/>
    <w:rsid w:val="00F23203"/>
    <w:rsid w:val="00F246B1"/>
    <w:rsid w:val="00F24D75"/>
    <w:rsid w:val="00F261E3"/>
    <w:rsid w:val="00F2681E"/>
    <w:rsid w:val="00F26CA2"/>
    <w:rsid w:val="00F276AE"/>
    <w:rsid w:val="00F27ADC"/>
    <w:rsid w:val="00F3135F"/>
    <w:rsid w:val="00F34F33"/>
    <w:rsid w:val="00F35C82"/>
    <w:rsid w:val="00F37B6B"/>
    <w:rsid w:val="00F37DD0"/>
    <w:rsid w:val="00F43C11"/>
    <w:rsid w:val="00F46151"/>
    <w:rsid w:val="00F521FE"/>
    <w:rsid w:val="00F55BC0"/>
    <w:rsid w:val="00F6368F"/>
    <w:rsid w:val="00F665EF"/>
    <w:rsid w:val="00F66A5F"/>
    <w:rsid w:val="00F66FCA"/>
    <w:rsid w:val="00F67064"/>
    <w:rsid w:val="00F711BF"/>
    <w:rsid w:val="00F71AB4"/>
    <w:rsid w:val="00F71EED"/>
    <w:rsid w:val="00F72632"/>
    <w:rsid w:val="00F7272A"/>
    <w:rsid w:val="00F82E85"/>
    <w:rsid w:val="00F84C0D"/>
    <w:rsid w:val="00F8546E"/>
    <w:rsid w:val="00F94281"/>
    <w:rsid w:val="00F95DAF"/>
    <w:rsid w:val="00FA156F"/>
    <w:rsid w:val="00FA2298"/>
    <w:rsid w:val="00FA24D2"/>
    <w:rsid w:val="00FA5451"/>
    <w:rsid w:val="00FA774E"/>
    <w:rsid w:val="00FB0249"/>
    <w:rsid w:val="00FB05F8"/>
    <w:rsid w:val="00FB0864"/>
    <w:rsid w:val="00FB11CB"/>
    <w:rsid w:val="00FB4180"/>
    <w:rsid w:val="00FB4DDD"/>
    <w:rsid w:val="00FB54C3"/>
    <w:rsid w:val="00FC06BA"/>
    <w:rsid w:val="00FC7740"/>
    <w:rsid w:val="00FD47F7"/>
    <w:rsid w:val="00FD663A"/>
    <w:rsid w:val="00FD6657"/>
    <w:rsid w:val="00FD7DE9"/>
    <w:rsid w:val="00FE0D6C"/>
    <w:rsid w:val="00FE6C8F"/>
    <w:rsid w:val="00FF1A54"/>
    <w:rsid w:val="00FF2714"/>
    <w:rsid w:val="00FF2F3E"/>
    <w:rsid w:val="00FF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07C"/>
    <w:pPr>
      <w:spacing w:after="0" w:line="360" w:lineRule="auto"/>
      <w:ind w:firstLine="1440"/>
    </w:pPr>
    <w:rPr>
      <w:rFonts w:ascii="Times New Roman" w:eastAsia="Times New Roman" w:hAnsi="Times New Roman" w:cs="Times New Roman"/>
      <w:sz w:val="26"/>
      <w:szCs w:val="24"/>
    </w:rPr>
  </w:style>
  <w:style w:type="paragraph" w:styleId="Heading1">
    <w:name w:val="heading 1"/>
    <w:basedOn w:val="Normal"/>
    <w:next w:val="Normal"/>
    <w:link w:val="Heading1Char"/>
    <w:uiPriority w:val="9"/>
    <w:qFormat/>
    <w:rsid w:val="00B774A6"/>
    <w:pPr>
      <w:keepNext/>
      <w:keepLines/>
      <w:numPr>
        <w:numId w:val="1"/>
      </w:numPr>
      <w:spacing w:line="240" w:lineRule="auto"/>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C5C1F"/>
    <w:pPr>
      <w:keepNext/>
      <w:keepLines/>
      <w:numPr>
        <w:numId w:val="2"/>
      </w:numPr>
      <w:spacing w:line="240" w:lineRule="auto"/>
      <w:ind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56E49"/>
    <w:pPr>
      <w:keepNext/>
      <w:keepLines/>
      <w:numPr>
        <w:numId w:val="3"/>
      </w:numPr>
      <w:spacing w:line="240" w:lineRule="auto"/>
      <w:ind w:hanging="720"/>
      <w:outlineLvl w:val="2"/>
    </w:pPr>
    <w:rPr>
      <w:rFonts w:eastAsiaTheme="majorEastAsia" w:cstheme="majorBidi"/>
      <w:b/>
      <w:bCs/>
    </w:rPr>
  </w:style>
  <w:style w:type="paragraph" w:styleId="Heading4">
    <w:name w:val="heading 4"/>
    <w:basedOn w:val="Normal"/>
    <w:link w:val="Heading4Char"/>
    <w:qFormat/>
    <w:rsid w:val="00907154"/>
    <w:pPr>
      <w:numPr>
        <w:numId w:val="11"/>
      </w:numPr>
      <w:spacing w:line="240" w:lineRule="auto"/>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508"/>
    <w:pPr>
      <w:tabs>
        <w:tab w:val="center" w:pos="4680"/>
        <w:tab w:val="right" w:pos="9360"/>
      </w:tabs>
    </w:pPr>
  </w:style>
  <w:style w:type="character" w:customStyle="1" w:styleId="HeaderChar">
    <w:name w:val="Header Char"/>
    <w:basedOn w:val="DefaultParagraphFont"/>
    <w:link w:val="Header"/>
    <w:uiPriority w:val="99"/>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paragraph" w:customStyle="1" w:styleId="Style">
    <w:name w:val="Style"/>
    <w:rsid w:val="001D4E27"/>
    <w:pPr>
      <w:widowControl w:val="0"/>
      <w:autoSpaceDE w:val="0"/>
      <w:autoSpaceDN w:val="0"/>
      <w:adjustRightInd w:val="0"/>
      <w:spacing w:after="0" w:line="240" w:lineRule="auto"/>
    </w:pPr>
    <w:rPr>
      <w:rFonts w:ascii="Courier New" w:eastAsiaTheme="minorEastAsia" w:hAnsi="Courier New" w:cs="Courier New"/>
      <w:sz w:val="24"/>
      <w:szCs w:val="24"/>
    </w:rPr>
  </w:style>
  <w:style w:type="table" w:styleId="TableGrid">
    <w:name w:val="Table Grid"/>
    <w:basedOn w:val="TableNormal"/>
    <w:uiPriority w:val="59"/>
    <w:rsid w:val="001047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B011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01161"/>
    <w:rPr>
      <w:sz w:val="20"/>
      <w:szCs w:val="20"/>
    </w:rPr>
  </w:style>
  <w:style w:type="character" w:customStyle="1" w:styleId="FootnoteTextChar">
    <w:name w:val="Footnote Text Char"/>
    <w:basedOn w:val="DefaultParagraphFont"/>
    <w:link w:val="FootnoteText"/>
    <w:rsid w:val="00B01161"/>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rsid w:val="00B01161"/>
    <w:rPr>
      <w:vertAlign w:val="superscript"/>
    </w:rPr>
  </w:style>
  <w:style w:type="character" w:customStyle="1" w:styleId="Heading1Char">
    <w:name w:val="Heading 1 Char"/>
    <w:basedOn w:val="DefaultParagraphFont"/>
    <w:link w:val="Heading1"/>
    <w:uiPriority w:val="9"/>
    <w:rsid w:val="00B774A6"/>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AC5C1F"/>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C56E49"/>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rsid w:val="00907154"/>
    <w:rPr>
      <w:rFonts w:ascii="Times New Roman" w:eastAsia="Times New Roman" w:hAnsi="Times New Roman" w:cs="Times New Roman"/>
      <w:b/>
      <w:bCs/>
      <w:sz w:val="26"/>
      <w:szCs w:val="24"/>
    </w:rPr>
  </w:style>
  <w:style w:type="paragraph" w:customStyle="1" w:styleId="ParaTab1">
    <w:name w:val="ParaTab 1"/>
    <w:rsid w:val="00571C7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Hyperlink">
    <w:name w:val="Hyperlink"/>
    <w:basedOn w:val="DefaultParagraphFont"/>
    <w:uiPriority w:val="99"/>
    <w:unhideWhenUsed/>
    <w:rsid w:val="00CD476F"/>
    <w:rPr>
      <w:strike w:val="0"/>
      <w:dstrike w:val="0"/>
      <w:color w:val="004B91"/>
      <w:u w:val="none"/>
      <w:effect w:val="none"/>
    </w:rPr>
  </w:style>
  <w:style w:type="character" w:customStyle="1" w:styleId="term1">
    <w:name w:val="term1"/>
    <w:basedOn w:val="DefaultParagraphFont"/>
    <w:rsid w:val="00CD476F"/>
    <w:rPr>
      <w:b/>
      <w:bCs/>
    </w:rPr>
  </w:style>
  <w:style w:type="table" w:customStyle="1" w:styleId="TableGrid2">
    <w:name w:val="Table Grid2"/>
    <w:basedOn w:val="TableNormal"/>
    <w:next w:val="TableGrid"/>
    <w:uiPriority w:val="59"/>
    <w:rsid w:val="001C2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576D74"/>
    <w:pPr>
      <w:spacing w:before="100" w:beforeAutospacing="1" w:after="100" w:afterAutospacing="1" w:line="240" w:lineRule="auto"/>
      <w:ind w:firstLine="0"/>
    </w:pPr>
    <w:rPr>
      <w:sz w:val="24"/>
    </w:rPr>
  </w:style>
  <w:style w:type="character" w:styleId="CommentReference">
    <w:name w:val="annotation reference"/>
    <w:basedOn w:val="DefaultParagraphFont"/>
    <w:uiPriority w:val="99"/>
    <w:semiHidden/>
    <w:unhideWhenUsed/>
    <w:rsid w:val="00864340"/>
    <w:rPr>
      <w:sz w:val="16"/>
      <w:szCs w:val="16"/>
    </w:rPr>
  </w:style>
  <w:style w:type="paragraph" w:styleId="CommentText">
    <w:name w:val="annotation text"/>
    <w:basedOn w:val="Normal"/>
    <w:link w:val="CommentTextChar"/>
    <w:uiPriority w:val="99"/>
    <w:semiHidden/>
    <w:unhideWhenUsed/>
    <w:rsid w:val="00864340"/>
    <w:pPr>
      <w:spacing w:line="240" w:lineRule="auto"/>
    </w:pPr>
    <w:rPr>
      <w:sz w:val="20"/>
      <w:szCs w:val="20"/>
    </w:rPr>
  </w:style>
  <w:style w:type="character" w:customStyle="1" w:styleId="CommentTextChar">
    <w:name w:val="Comment Text Char"/>
    <w:basedOn w:val="DefaultParagraphFont"/>
    <w:link w:val="CommentText"/>
    <w:uiPriority w:val="99"/>
    <w:semiHidden/>
    <w:rsid w:val="008643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4340"/>
    <w:rPr>
      <w:b/>
      <w:bCs/>
    </w:rPr>
  </w:style>
  <w:style w:type="character" w:customStyle="1" w:styleId="CommentSubjectChar">
    <w:name w:val="Comment Subject Char"/>
    <w:basedOn w:val="CommentTextChar"/>
    <w:link w:val="CommentSubject"/>
    <w:uiPriority w:val="99"/>
    <w:semiHidden/>
    <w:rsid w:val="00864340"/>
    <w:rPr>
      <w:rFonts w:ascii="Times New Roman" w:eastAsia="Times New Roman" w:hAnsi="Times New Roman" w:cs="Times New Roman"/>
      <w:b/>
      <w:bCs/>
      <w:sz w:val="20"/>
      <w:szCs w:val="20"/>
    </w:rPr>
  </w:style>
  <w:style w:type="paragraph" w:styleId="TOCHeading">
    <w:name w:val="TOC Heading"/>
    <w:basedOn w:val="Heading1"/>
    <w:next w:val="Normal"/>
    <w:uiPriority w:val="39"/>
    <w:semiHidden/>
    <w:unhideWhenUsed/>
    <w:qFormat/>
    <w:rsid w:val="00717745"/>
    <w:pPr>
      <w:numPr>
        <w:numId w:val="0"/>
      </w:numPr>
      <w:spacing w:before="480"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717745"/>
    <w:pPr>
      <w:tabs>
        <w:tab w:val="left" w:pos="440"/>
        <w:tab w:val="right" w:leader="dot" w:pos="9350"/>
      </w:tabs>
      <w:spacing w:after="100"/>
      <w:ind w:firstLine="0"/>
    </w:pPr>
  </w:style>
  <w:style w:type="paragraph" w:styleId="TOC2">
    <w:name w:val="toc 2"/>
    <w:basedOn w:val="Normal"/>
    <w:next w:val="Normal"/>
    <w:autoRedefine/>
    <w:uiPriority w:val="39"/>
    <w:unhideWhenUsed/>
    <w:rsid w:val="003C107D"/>
    <w:pPr>
      <w:tabs>
        <w:tab w:val="left" w:pos="660"/>
        <w:tab w:val="right" w:leader="dot" w:pos="9350"/>
      </w:tabs>
      <w:spacing w:after="100"/>
      <w:ind w:left="432" w:firstLine="0"/>
    </w:pPr>
  </w:style>
  <w:style w:type="paragraph" w:styleId="TOC3">
    <w:name w:val="toc 3"/>
    <w:basedOn w:val="Normal"/>
    <w:next w:val="Normal"/>
    <w:autoRedefine/>
    <w:uiPriority w:val="39"/>
    <w:unhideWhenUsed/>
    <w:rsid w:val="003C107D"/>
    <w:pPr>
      <w:tabs>
        <w:tab w:val="left" w:pos="880"/>
        <w:tab w:val="right" w:leader="dot" w:pos="9350"/>
      </w:tabs>
      <w:spacing w:after="100"/>
      <w:ind w:left="864"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07C"/>
    <w:pPr>
      <w:spacing w:after="0" w:line="360" w:lineRule="auto"/>
      <w:ind w:firstLine="1440"/>
    </w:pPr>
    <w:rPr>
      <w:rFonts w:ascii="Times New Roman" w:eastAsia="Times New Roman" w:hAnsi="Times New Roman" w:cs="Times New Roman"/>
      <w:sz w:val="26"/>
      <w:szCs w:val="24"/>
    </w:rPr>
  </w:style>
  <w:style w:type="paragraph" w:styleId="Heading1">
    <w:name w:val="heading 1"/>
    <w:basedOn w:val="Normal"/>
    <w:next w:val="Normal"/>
    <w:link w:val="Heading1Char"/>
    <w:uiPriority w:val="9"/>
    <w:qFormat/>
    <w:rsid w:val="00B774A6"/>
    <w:pPr>
      <w:keepNext/>
      <w:keepLines/>
      <w:numPr>
        <w:numId w:val="1"/>
      </w:numPr>
      <w:spacing w:line="240" w:lineRule="auto"/>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C5C1F"/>
    <w:pPr>
      <w:keepNext/>
      <w:keepLines/>
      <w:numPr>
        <w:numId w:val="2"/>
      </w:numPr>
      <w:spacing w:line="240" w:lineRule="auto"/>
      <w:ind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56E49"/>
    <w:pPr>
      <w:keepNext/>
      <w:keepLines/>
      <w:numPr>
        <w:numId w:val="3"/>
      </w:numPr>
      <w:spacing w:line="240" w:lineRule="auto"/>
      <w:ind w:hanging="720"/>
      <w:outlineLvl w:val="2"/>
    </w:pPr>
    <w:rPr>
      <w:rFonts w:eastAsiaTheme="majorEastAsia" w:cstheme="majorBidi"/>
      <w:b/>
      <w:bCs/>
    </w:rPr>
  </w:style>
  <w:style w:type="paragraph" w:styleId="Heading4">
    <w:name w:val="heading 4"/>
    <w:basedOn w:val="Normal"/>
    <w:link w:val="Heading4Char"/>
    <w:qFormat/>
    <w:rsid w:val="00907154"/>
    <w:pPr>
      <w:numPr>
        <w:numId w:val="11"/>
      </w:numPr>
      <w:spacing w:line="240" w:lineRule="auto"/>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508"/>
    <w:pPr>
      <w:tabs>
        <w:tab w:val="center" w:pos="4680"/>
        <w:tab w:val="right" w:pos="9360"/>
      </w:tabs>
    </w:pPr>
  </w:style>
  <w:style w:type="character" w:customStyle="1" w:styleId="HeaderChar">
    <w:name w:val="Header Char"/>
    <w:basedOn w:val="DefaultParagraphFont"/>
    <w:link w:val="Header"/>
    <w:uiPriority w:val="99"/>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paragraph" w:customStyle="1" w:styleId="Style">
    <w:name w:val="Style"/>
    <w:rsid w:val="001D4E27"/>
    <w:pPr>
      <w:widowControl w:val="0"/>
      <w:autoSpaceDE w:val="0"/>
      <w:autoSpaceDN w:val="0"/>
      <w:adjustRightInd w:val="0"/>
      <w:spacing w:after="0" w:line="240" w:lineRule="auto"/>
    </w:pPr>
    <w:rPr>
      <w:rFonts w:ascii="Courier New" w:eastAsiaTheme="minorEastAsia" w:hAnsi="Courier New" w:cs="Courier New"/>
      <w:sz w:val="24"/>
      <w:szCs w:val="24"/>
    </w:rPr>
  </w:style>
  <w:style w:type="table" w:styleId="TableGrid">
    <w:name w:val="Table Grid"/>
    <w:basedOn w:val="TableNormal"/>
    <w:uiPriority w:val="59"/>
    <w:rsid w:val="001047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B011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01161"/>
    <w:rPr>
      <w:sz w:val="20"/>
      <w:szCs w:val="20"/>
    </w:rPr>
  </w:style>
  <w:style w:type="character" w:customStyle="1" w:styleId="FootnoteTextChar">
    <w:name w:val="Footnote Text Char"/>
    <w:basedOn w:val="DefaultParagraphFont"/>
    <w:link w:val="FootnoteText"/>
    <w:rsid w:val="00B01161"/>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rsid w:val="00B01161"/>
    <w:rPr>
      <w:vertAlign w:val="superscript"/>
    </w:rPr>
  </w:style>
  <w:style w:type="character" w:customStyle="1" w:styleId="Heading1Char">
    <w:name w:val="Heading 1 Char"/>
    <w:basedOn w:val="DefaultParagraphFont"/>
    <w:link w:val="Heading1"/>
    <w:uiPriority w:val="9"/>
    <w:rsid w:val="00B774A6"/>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AC5C1F"/>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C56E49"/>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rsid w:val="00907154"/>
    <w:rPr>
      <w:rFonts w:ascii="Times New Roman" w:eastAsia="Times New Roman" w:hAnsi="Times New Roman" w:cs="Times New Roman"/>
      <w:b/>
      <w:bCs/>
      <w:sz w:val="26"/>
      <w:szCs w:val="24"/>
    </w:rPr>
  </w:style>
  <w:style w:type="paragraph" w:customStyle="1" w:styleId="ParaTab1">
    <w:name w:val="ParaTab 1"/>
    <w:rsid w:val="00571C7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Hyperlink">
    <w:name w:val="Hyperlink"/>
    <w:basedOn w:val="DefaultParagraphFont"/>
    <w:uiPriority w:val="99"/>
    <w:unhideWhenUsed/>
    <w:rsid w:val="00CD476F"/>
    <w:rPr>
      <w:strike w:val="0"/>
      <w:dstrike w:val="0"/>
      <w:color w:val="004B91"/>
      <w:u w:val="none"/>
      <w:effect w:val="none"/>
    </w:rPr>
  </w:style>
  <w:style w:type="character" w:customStyle="1" w:styleId="term1">
    <w:name w:val="term1"/>
    <w:basedOn w:val="DefaultParagraphFont"/>
    <w:rsid w:val="00CD476F"/>
    <w:rPr>
      <w:b/>
      <w:bCs/>
    </w:rPr>
  </w:style>
  <w:style w:type="table" w:customStyle="1" w:styleId="TableGrid2">
    <w:name w:val="Table Grid2"/>
    <w:basedOn w:val="TableNormal"/>
    <w:next w:val="TableGrid"/>
    <w:uiPriority w:val="59"/>
    <w:rsid w:val="001C2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576D74"/>
    <w:pPr>
      <w:spacing w:before="100" w:beforeAutospacing="1" w:after="100" w:afterAutospacing="1" w:line="240" w:lineRule="auto"/>
      <w:ind w:firstLine="0"/>
    </w:pPr>
    <w:rPr>
      <w:sz w:val="24"/>
    </w:rPr>
  </w:style>
  <w:style w:type="character" w:styleId="CommentReference">
    <w:name w:val="annotation reference"/>
    <w:basedOn w:val="DefaultParagraphFont"/>
    <w:uiPriority w:val="99"/>
    <w:semiHidden/>
    <w:unhideWhenUsed/>
    <w:rsid w:val="00864340"/>
    <w:rPr>
      <w:sz w:val="16"/>
      <w:szCs w:val="16"/>
    </w:rPr>
  </w:style>
  <w:style w:type="paragraph" w:styleId="CommentText">
    <w:name w:val="annotation text"/>
    <w:basedOn w:val="Normal"/>
    <w:link w:val="CommentTextChar"/>
    <w:uiPriority w:val="99"/>
    <w:semiHidden/>
    <w:unhideWhenUsed/>
    <w:rsid w:val="00864340"/>
    <w:pPr>
      <w:spacing w:line="240" w:lineRule="auto"/>
    </w:pPr>
    <w:rPr>
      <w:sz w:val="20"/>
      <w:szCs w:val="20"/>
    </w:rPr>
  </w:style>
  <w:style w:type="character" w:customStyle="1" w:styleId="CommentTextChar">
    <w:name w:val="Comment Text Char"/>
    <w:basedOn w:val="DefaultParagraphFont"/>
    <w:link w:val="CommentText"/>
    <w:uiPriority w:val="99"/>
    <w:semiHidden/>
    <w:rsid w:val="008643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4340"/>
    <w:rPr>
      <w:b/>
      <w:bCs/>
    </w:rPr>
  </w:style>
  <w:style w:type="character" w:customStyle="1" w:styleId="CommentSubjectChar">
    <w:name w:val="Comment Subject Char"/>
    <w:basedOn w:val="CommentTextChar"/>
    <w:link w:val="CommentSubject"/>
    <w:uiPriority w:val="99"/>
    <w:semiHidden/>
    <w:rsid w:val="00864340"/>
    <w:rPr>
      <w:rFonts w:ascii="Times New Roman" w:eastAsia="Times New Roman" w:hAnsi="Times New Roman" w:cs="Times New Roman"/>
      <w:b/>
      <w:bCs/>
      <w:sz w:val="20"/>
      <w:szCs w:val="20"/>
    </w:rPr>
  </w:style>
  <w:style w:type="paragraph" w:styleId="TOCHeading">
    <w:name w:val="TOC Heading"/>
    <w:basedOn w:val="Heading1"/>
    <w:next w:val="Normal"/>
    <w:uiPriority w:val="39"/>
    <w:semiHidden/>
    <w:unhideWhenUsed/>
    <w:qFormat/>
    <w:rsid w:val="00717745"/>
    <w:pPr>
      <w:numPr>
        <w:numId w:val="0"/>
      </w:numPr>
      <w:spacing w:before="480"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717745"/>
    <w:pPr>
      <w:tabs>
        <w:tab w:val="left" w:pos="440"/>
        <w:tab w:val="right" w:leader="dot" w:pos="9350"/>
      </w:tabs>
      <w:spacing w:after="100"/>
      <w:ind w:firstLine="0"/>
    </w:pPr>
  </w:style>
  <w:style w:type="paragraph" w:styleId="TOC2">
    <w:name w:val="toc 2"/>
    <w:basedOn w:val="Normal"/>
    <w:next w:val="Normal"/>
    <w:autoRedefine/>
    <w:uiPriority w:val="39"/>
    <w:unhideWhenUsed/>
    <w:rsid w:val="003C107D"/>
    <w:pPr>
      <w:tabs>
        <w:tab w:val="left" w:pos="660"/>
        <w:tab w:val="right" w:leader="dot" w:pos="9350"/>
      </w:tabs>
      <w:spacing w:after="100"/>
      <w:ind w:left="432" w:firstLine="0"/>
    </w:pPr>
  </w:style>
  <w:style w:type="paragraph" w:styleId="TOC3">
    <w:name w:val="toc 3"/>
    <w:basedOn w:val="Normal"/>
    <w:next w:val="Normal"/>
    <w:autoRedefine/>
    <w:uiPriority w:val="39"/>
    <w:unhideWhenUsed/>
    <w:rsid w:val="003C107D"/>
    <w:pPr>
      <w:tabs>
        <w:tab w:val="left" w:pos="880"/>
        <w:tab w:val="right" w:leader="dot" w:pos="9350"/>
      </w:tabs>
      <w:spacing w:after="100"/>
      <w:ind w:left="864"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53447">
      <w:bodyDiv w:val="1"/>
      <w:marLeft w:val="0"/>
      <w:marRight w:val="0"/>
      <w:marTop w:val="0"/>
      <w:marBottom w:val="0"/>
      <w:divBdr>
        <w:top w:val="none" w:sz="0" w:space="0" w:color="auto"/>
        <w:left w:val="none" w:sz="0" w:space="0" w:color="auto"/>
        <w:bottom w:val="none" w:sz="0" w:space="0" w:color="auto"/>
        <w:right w:val="none" w:sz="0" w:space="0" w:color="auto"/>
      </w:divBdr>
    </w:div>
    <w:div w:id="263464793">
      <w:bodyDiv w:val="1"/>
      <w:marLeft w:val="0"/>
      <w:marRight w:val="0"/>
      <w:marTop w:val="0"/>
      <w:marBottom w:val="0"/>
      <w:divBdr>
        <w:top w:val="none" w:sz="0" w:space="0" w:color="auto"/>
        <w:left w:val="none" w:sz="0" w:space="0" w:color="auto"/>
        <w:bottom w:val="none" w:sz="0" w:space="0" w:color="auto"/>
        <w:right w:val="none" w:sz="0" w:space="0" w:color="auto"/>
      </w:divBdr>
    </w:div>
    <w:div w:id="338314089">
      <w:bodyDiv w:val="1"/>
      <w:marLeft w:val="0"/>
      <w:marRight w:val="0"/>
      <w:marTop w:val="0"/>
      <w:marBottom w:val="0"/>
      <w:divBdr>
        <w:top w:val="none" w:sz="0" w:space="0" w:color="auto"/>
        <w:left w:val="none" w:sz="0" w:space="0" w:color="auto"/>
        <w:bottom w:val="none" w:sz="0" w:space="0" w:color="auto"/>
        <w:right w:val="none" w:sz="0" w:space="0" w:color="auto"/>
      </w:divBdr>
    </w:div>
    <w:div w:id="109007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6840269e96d866f7def0bd999ce92e73&amp;_xfercite=%3ccite%20cc%3d%22USA%22%3e%3c%21%5bCDATA%5b293%20P.U.R.4th%20235%5d%5d%3e%3c%2fcite%3e&amp;_butType=4&amp;_butStat=0&amp;_butNum=15&amp;_butInline=1&amp;_butinfo=66%20PACS%20315&amp;_fmtstr=FULL&amp;docnum=2&amp;_startdoc=1&amp;wchp=dGLbVzt-zSkAW&amp;_md5=a106ff73ba6d63872120ef8ca081a0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xis.com/research/buttonTFLink?_m=6840269e96d866f7def0bd999ce92e73&amp;_xfercite=%3ccite%20cc%3d%22USA%22%3e%3c%21%5bCDATA%5b293%20P.U.R.4th%20235%5d%5d%3e%3c%2fcite%3e&amp;_butType=4&amp;_butStat=0&amp;_butNum=14&amp;_butInline=1&amp;_butinfo=66%20PACS%201308&amp;_fmtstr=FULL&amp;docnum=2&amp;_startdoc=1&amp;wchp=dGLbVzt-zSkAW&amp;_md5=464915d2447578a011ff30165eef4e7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1be499e195bbff92a6a1dedc9f432510&amp;_xfercite=%3ccite%20cc%3d%22USA%22%3e%3c%21%5bCDATA%5b157%20Pa.%20Commw.%2086%5d%5d%3e%3c%2fcite%3e&amp;_butType=4&amp;_butStat=0&amp;_butNum=51&amp;_butInline=1&amp;_butinfo=66%20PA.C.S.%201301&amp;_fmtstr=FULL&amp;docnum=1&amp;_startdoc=1&amp;wchp=dGLzVzt-zSkAb&amp;_md5=a725045f9ab5deeead6b8b16c8691991"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www.lexis.com/research/buttonTFLink?_m=1be499e195bbff92a6a1dedc9f432510&amp;_xfercite=%3ccite%20cc%3d%22USA%22%3e%3c%21%5bCDATA%5b157%20Pa.%20Commw.%2086%5d%5d%3e%3c%2fcite%3e&amp;_butType=4&amp;_butStat=0&amp;_butNum=50&amp;_butInline=1&amp;_butinfo=66%20PA.C.S.%201301&amp;_fmtstr=FULL&amp;docnum=1&amp;_startdoc=1&amp;wchp=dGLzVzt-zSkAb&amp;_md5=46056d0013ee20e0d93b3c249715546a"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westlaw.com/Find/Default.wl?rs=dfa1.0&amp;vr=2.0&amp;DB=708&amp;FindType=Y&amp;ReferencePositionType=S&amp;SerialNum=1944115184&amp;ReferencePosition=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51004-D7C2-4CD6-A730-33CA8B1F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10974</Words>
  <Characters>62558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Wagner, Nathan R</cp:lastModifiedBy>
  <cp:revision>3</cp:revision>
  <cp:lastPrinted>2015-07-22T14:55:00Z</cp:lastPrinted>
  <dcterms:created xsi:type="dcterms:W3CDTF">2015-07-30T14:02:00Z</dcterms:created>
  <dcterms:modified xsi:type="dcterms:W3CDTF">2015-07-30T14:13:00Z</dcterms:modified>
</cp:coreProperties>
</file>