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2A5A92">
      <w:pPr>
        <w:jc w:val="center"/>
        <w:rPr>
          <w:b/>
          <w:sz w:val="26"/>
          <w:szCs w:val="26"/>
        </w:rPr>
      </w:pPr>
      <w:r w:rsidRPr="002A5D4B">
        <w:rPr>
          <w:b/>
          <w:sz w:val="26"/>
          <w:szCs w:val="26"/>
        </w:rPr>
        <w:t>PENNSYLVANIA</w:t>
      </w:r>
    </w:p>
    <w:p w:rsidR="009304FE" w:rsidRPr="002A5D4B" w:rsidRDefault="009304FE" w:rsidP="002A5A92">
      <w:pPr>
        <w:jc w:val="center"/>
        <w:rPr>
          <w:b/>
          <w:sz w:val="26"/>
          <w:szCs w:val="26"/>
        </w:rPr>
      </w:pPr>
      <w:r w:rsidRPr="002A5D4B">
        <w:rPr>
          <w:b/>
          <w:sz w:val="26"/>
          <w:szCs w:val="26"/>
        </w:rPr>
        <w:t>PUBLIC UTILITY COMMISSION</w:t>
      </w:r>
    </w:p>
    <w:p w:rsidR="009304FE" w:rsidRPr="002A5D4B" w:rsidRDefault="009304FE" w:rsidP="002A5A92">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Pr="00BA66A4" w:rsidRDefault="009304FE" w:rsidP="002A5A92">
      <w:pPr>
        <w:rPr>
          <w:sz w:val="26"/>
          <w:szCs w:val="26"/>
        </w:rPr>
      </w:pPr>
    </w:p>
    <w:p w:rsidR="009304FE" w:rsidRPr="002A5D4B" w:rsidRDefault="00087E8B" w:rsidP="002A5A92">
      <w:pPr>
        <w:jc w:val="right"/>
        <w:rPr>
          <w:sz w:val="26"/>
          <w:szCs w:val="26"/>
        </w:rPr>
      </w:pPr>
      <w:r>
        <w:rPr>
          <w:sz w:val="26"/>
          <w:szCs w:val="26"/>
        </w:rPr>
        <w:t xml:space="preserve"> </w:t>
      </w:r>
      <w:r w:rsidR="009304FE">
        <w:rPr>
          <w:sz w:val="26"/>
          <w:szCs w:val="26"/>
        </w:rPr>
        <w:t>P</w:t>
      </w:r>
      <w:r w:rsidR="009304FE" w:rsidRPr="002A5D4B">
        <w:rPr>
          <w:sz w:val="26"/>
          <w:szCs w:val="26"/>
        </w:rPr>
        <w:t xml:space="preserve">ublic Meeting held </w:t>
      </w:r>
      <w:r w:rsidR="00B721B6">
        <w:rPr>
          <w:sz w:val="26"/>
          <w:szCs w:val="26"/>
        </w:rPr>
        <w:t>J</w:t>
      </w:r>
      <w:r w:rsidR="003D6ECA">
        <w:rPr>
          <w:sz w:val="26"/>
          <w:szCs w:val="26"/>
        </w:rPr>
        <w:t xml:space="preserve">uly </w:t>
      </w:r>
      <w:r>
        <w:rPr>
          <w:sz w:val="26"/>
          <w:szCs w:val="26"/>
        </w:rPr>
        <w:t>30</w:t>
      </w:r>
      <w:r w:rsidR="00B721B6">
        <w:rPr>
          <w:sz w:val="26"/>
          <w:szCs w:val="26"/>
        </w:rPr>
        <w:t>, 2015</w:t>
      </w:r>
    </w:p>
    <w:p w:rsidR="009304FE" w:rsidRDefault="009304FE" w:rsidP="002A5A92">
      <w:pPr>
        <w:rPr>
          <w:sz w:val="26"/>
          <w:szCs w:val="26"/>
        </w:rPr>
      </w:pPr>
    </w:p>
    <w:p w:rsidR="00852CA4" w:rsidRPr="002A5D4B" w:rsidRDefault="00852CA4" w:rsidP="002A5A92">
      <w:pPr>
        <w:rPr>
          <w:sz w:val="26"/>
          <w:szCs w:val="26"/>
        </w:rPr>
      </w:pPr>
    </w:p>
    <w:p w:rsidR="009304FE" w:rsidRDefault="009304FE" w:rsidP="002A5A92">
      <w:pPr>
        <w:rPr>
          <w:sz w:val="26"/>
          <w:szCs w:val="26"/>
        </w:rPr>
      </w:pPr>
      <w:r w:rsidRPr="002A5D4B">
        <w:rPr>
          <w:sz w:val="26"/>
          <w:szCs w:val="26"/>
        </w:rPr>
        <w:t>Commissioners Present:</w:t>
      </w:r>
    </w:p>
    <w:p w:rsidR="00B21832" w:rsidRPr="002A5D4B" w:rsidRDefault="00B21832" w:rsidP="002A5A92">
      <w:pPr>
        <w:rPr>
          <w:sz w:val="26"/>
          <w:szCs w:val="26"/>
        </w:rPr>
      </w:pPr>
    </w:p>
    <w:p w:rsidR="009304FE" w:rsidRPr="002A5D4B" w:rsidRDefault="009304FE" w:rsidP="002A5A92">
      <w:pPr>
        <w:rPr>
          <w:sz w:val="26"/>
          <w:szCs w:val="26"/>
        </w:rPr>
      </w:pPr>
      <w:r>
        <w:rPr>
          <w:sz w:val="26"/>
          <w:szCs w:val="26"/>
        </w:rPr>
        <w:tab/>
      </w:r>
      <w:r w:rsidR="008F6BC5">
        <w:rPr>
          <w:sz w:val="26"/>
          <w:szCs w:val="26"/>
        </w:rPr>
        <w:t>Gladys M. Brown</w:t>
      </w:r>
      <w:r w:rsidRPr="002A5D4B">
        <w:rPr>
          <w:sz w:val="26"/>
          <w:szCs w:val="26"/>
        </w:rPr>
        <w:t>, Chairman</w:t>
      </w:r>
    </w:p>
    <w:p w:rsidR="009304FE" w:rsidRDefault="009304FE" w:rsidP="002A5A92">
      <w:pPr>
        <w:rPr>
          <w:sz w:val="26"/>
          <w:szCs w:val="26"/>
        </w:rPr>
      </w:pPr>
      <w:r>
        <w:rPr>
          <w:sz w:val="26"/>
          <w:szCs w:val="26"/>
        </w:rPr>
        <w:tab/>
      </w:r>
      <w:r w:rsidR="00727163">
        <w:rPr>
          <w:sz w:val="26"/>
          <w:szCs w:val="26"/>
        </w:rPr>
        <w:t>John F. Coleman, Jr.</w:t>
      </w:r>
      <w:r w:rsidRPr="002A5D4B">
        <w:rPr>
          <w:sz w:val="26"/>
          <w:szCs w:val="26"/>
        </w:rPr>
        <w:t>, Vice Chairman</w:t>
      </w:r>
    </w:p>
    <w:p w:rsidR="009304FE" w:rsidRDefault="001C7F88" w:rsidP="002A5A92">
      <w:pPr>
        <w:rPr>
          <w:sz w:val="26"/>
          <w:szCs w:val="26"/>
        </w:rPr>
      </w:pPr>
      <w:r>
        <w:rPr>
          <w:sz w:val="26"/>
          <w:szCs w:val="26"/>
        </w:rPr>
        <w:tab/>
      </w:r>
      <w:r w:rsidR="00727163">
        <w:rPr>
          <w:sz w:val="26"/>
          <w:szCs w:val="26"/>
        </w:rPr>
        <w:t>James H. Cawley</w:t>
      </w:r>
    </w:p>
    <w:p w:rsidR="00727163" w:rsidRDefault="00727163" w:rsidP="002A5A92">
      <w:pPr>
        <w:rPr>
          <w:sz w:val="26"/>
          <w:szCs w:val="26"/>
        </w:rPr>
      </w:pPr>
      <w:r>
        <w:rPr>
          <w:sz w:val="26"/>
          <w:szCs w:val="26"/>
        </w:rPr>
        <w:tab/>
        <w:t>Pamela A. Witmer</w:t>
      </w:r>
    </w:p>
    <w:p w:rsidR="00BC7CAF" w:rsidRDefault="00BC7CAF" w:rsidP="002A5A92">
      <w:pPr>
        <w:rPr>
          <w:sz w:val="26"/>
          <w:szCs w:val="26"/>
        </w:rPr>
      </w:pPr>
      <w:r>
        <w:rPr>
          <w:sz w:val="26"/>
          <w:szCs w:val="26"/>
        </w:rPr>
        <w:tab/>
      </w:r>
      <w:r w:rsidR="008F6BC5">
        <w:rPr>
          <w:sz w:val="26"/>
          <w:szCs w:val="26"/>
        </w:rPr>
        <w:t>Robert F. Powelson</w:t>
      </w:r>
    </w:p>
    <w:p w:rsidR="009304FE" w:rsidRDefault="009304FE" w:rsidP="002A5A92"/>
    <w:p w:rsidR="004E61BF" w:rsidRDefault="004E61BF" w:rsidP="002A5A92">
      <w:pPr>
        <w:tabs>
          <w:tab w:val="left" w:pos="-720"/>
          <w:tab w:val="left" w:pos="0"/>
        </w:tabs>
        <w:suppressAutoHyphens/>
        <w:rPr>
          <w:sz w:val="26"/>
          <w:szCs w:val="26"/>
        </w:rPr>
      </w:pPr>
    </w:p>
    <w:p w:rsidR="00727163" w:rsidRDefault="00087E8B" w:rsidP="002A5A92">
      <w:pPr>
        <w:tabs>
          <w:tab w:val="left" w:pos="-720"/>
        </w:tabs>
        <w:suppressAutoHyphens/>
        <w:rPr>
          <w:sz w:val="26"/>
        </w:rPr>
      </w:pPr>
      <w:proofErr w:type="spellStart"/>
      <w:r>
        <w:rPr>
          <w:sz w:val="26"/>
        </w:rPr>
        <w:t>Binh</w:t>
      </w:r>
      <w:proofErr w:type="spellEnd"/>
      <w:r>
        <w:rPr>
          <w:sz w:val="26"/>
        </w:rPr>
        <w:t xml:space="preserve"> Tran</w:t>
      </w:r>
      <w:r w:rsidR="003D6ECA">
        <w:rPr>
          <w:sz w:val="26"/>
        </w:rPr>
        <w:tab/>
      </w:r>
      <w:r w:rsidR="003D6ECA">
        <w:rPr>
          <w:sz w:val="26"/>
        </w:rPr>
        <w:tab/>
      </w:r>
      <w:r w:rsidR="00CA1710">
        <w:rPr>
          <w:sz w:val="26"/>
        </w:rPr>
        <w:tab/>
      </w:r>
      <w:r w:rsidR="00CA1710">
        <w:rPr>
          <w:sz w:val="26"/>
        </w:rPr>
        <w:tab/>
      </w:r>
      <w:r w:rsidR="00533CE6">
        <w:rPr>
          <w:sz w:val="26"/>
        </w:rPr>
        <w:tab/>
      </w:r>
      <w:r w:rsidR="00533CE6">
        <w:rPr>
          <w:sz w:val="26"/>
        </w:rPr>
        <w:tab/>
      </w:r>
      <w:r w:rsidR="00533CE6">
        <w:rPr>
          <w:sz w:val="26"/>
        </w:rPr>
        <w:tab/>
      </w:r>
      <w:r w:rsidR="00BC7CAF">
        <w:rPr>
          <w:sz w:val="26"/>
        </w:rPr>
        <w:tab/>
      </w:r>
      <w:r w:rsidR="00E00636">
        <w:rPr>
          <w:sz w:val="26"/>
        </w:rPr>
        <w:tab/>
        <w:t xml:space="preserve">     </w:t>
      </w:r>
      <w:r w:rsidR="00BC7CAF">
        <w:rPr>
          <w:sz w:val="26"/>
        </w:rPr>
        <w:t>C</w:t>
      </w:r>
      <w:r w:rsidR="00533CE6">
        <w:rPr>
          <w:sz w:val="26"/>
        </w:rPr>
        <w:t>-201</w:t>
      </w:r>
      <w:r w:rsidR="00BC7CAF">
        <w:rPr>
          <w:sz w:val="26"/>
        </w:rPr>
        <w:t>4</w:t>
      </w:r>
      <w:r w:rsidR="00533CE6">
        <w:rPr>
          <w:sz w:val="26"/>
        </w:rPr>
        <w:t>-</w:t>
      </w:r>
      <w:r w:rsidR="00BC7CAF">
        <w:rPr>
          <w:sz w:val="26"/>
        </w:rPr>
        <w:t>24</w:t>
      </w:r>
      <w:r w:rsidR="00E00636">
        <w:rPr>
          <w:sz w:val="26"/>
        </w:rPr>
        <w:t>17540</w:t>
      </w:r>
    </w:p>
    <w:p w:rsidR="00217165" w:rsidRDefault="00217165" w:rsidP="002A5A92">
      <w:pPr>
        <w:tabs>
          <w:tab w:val="left" w:pos="-720"/>
        </w:tabs>
        <w:suppressAutoHyphens/>
        <w:rPr>
          <w:sz w:val="26"/>
        </w:rPr>
      </w:pPr>
    </w:p>
    <w:p w:rsidR="00CA1710" w:rsidRDefault="00CA1710" w:rsidP="002A5A92">
      <w:pPr>
        <w:tabs>
          <w:tab w:val="left" w:pos="-720"/>
        </w:tabs>
        <w:suppressAutoHyphens/>
        <w:rPr>
          <w:sz w:val="26"/>
        </w:rPr>
      </w:pPr>
      <w:r>
        <w:rPr>
          <w:sz w:val="26"/>
        </w:rPr>
        <w:tab/>
        <w:t>v.</w:t>
      </w:r>
    </w:p>
    <w:p w:rsidR="00217165" w:rsidRDefault="00217165" w:rsidP="002A5A92">
      <w:pPr>
        <w:tabs>
          <w:tab w:val="left" w:pos="-720"/>
        </w:tabs>
        <w:suppressAutoHyphens/>
        <w:rPr>
          <w:sz w:val="26"/>
        </w:rPr>
      </w:pPr>
    </w:p>
    <w:p w:rsidR="00CA1710" w:rsidRDefault="00087E8B" w:rsidP="002A5A92">
      <w:pPr>
        <w:tabs>
          <w:tab w:val="left" w:pos="-720"/>
        </w:tabs>
        <w:suppressAutoHyphens/>
        <w:rPr>
          <w:sz w:val="26"/>
        </w:rPr>
      </w:pPr>
      <w:r>
        <w:rPr>
          <w:sz w:val="26"/>
        </w:rPr>
        <w:t xml:space="preserve">Major </w:t>
      </w:r>
      <w:r w:rsidR="003D6ECA">
        <w:rPr>
          <w:sz w:val="26"/>
        </w:rPr>
        <w:t>Energy</w:t>
      </w:r>
      <w:r w:rsidR="006A20F1">
        <w:rPr>
          <w:sz w:val="26"/>
        </w:rPr>
        <w:t>,</w:t>
      </w:r>
      <w:r w:rsidR="003D6ECA">
        <w:rPr>
          <w:sz w:val="26"/>
        </w:rPr>
        <w:t xml:space="preserve"> </w:t>
      </w:r>
      <w:r>
        <w:rPr>
          <w:sz w:val="26"/>
        </w:rPr>
        <w:t>LLC/Respond Power, LLC</w:t>
      </w:r>
    </w:p>
    <w:p w:rsidR="00CA1710" w:rsidRDefault="00CA1710" w:rsidP="002A5A92">
      <w:pPr>
        <w:tabs>
          <w:tab w:val="left" w:pos="-720"/>
        </w:tabs>
        <w:suppressAutoHyphens/>
        <w:rPr>
          <w:sz w:val="26"/>
        </w:rPr>
      </w:pPr>
    </w:p>
    <w:p w:rsidR="00852CA4" w:rsidRPr="00624B80" w:rsidRDefault="00852CA4" w:rsidP="002A5A92">
      <w:pPr>
        <w:tabs>
          <w:tab w:val="left" w:pos="-720"/>
        </w:tabs>
        <w:suppressAutoHyphens/>
        <w:rPr>
          <w:sz w:val="26"/>
        </w:rPr>
      </w:pPr>
    </w:p>
    <w:p w:rsidR="009304FE" w:rsidRDefault="009304FE" w:rsidP="002A5A92">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2A5A92">
      <w:pPr>
        <w:tabs>
          <w:tab w:val="left" w:pos="-720"/>
        </w:tabs>
        <w:suppressAutoHyphens/>
        <w:spacing w:line="360" w:lineRule="auto"/>
        <w:rPr>
          <w:b/>
          <w:sz w:val="26"/>
        </w:rPr>
      </w:pPr>
    </w:p>
    <w:p w:rsidR="009304FE" w:rsidRPr="00624B80" w:rsidRDefault="009304FE" w:rsidP="002A5A92">
      <w:pPr>
        <w:tabs>
          <w:tab w:val="left" w:pos="-720"/>
        </w:tabs>
        <w:suppressAutoHyphens/>
        <w:spacing w:line="360" w:lineRule="auto"/>
        <w:rPr>
          <w:sz w:val="26"/>
        </w:rPr>
      </w:pPr>
      <w:r w:rsidRPr="00624B80">
        <w:rPr>
          <w:b/>
          <w:sz w:val="26"/>
        </w:rPr>
        <w:t>BY THE COMMISSION:</w:t>
      </w:r>
    </w:p>
    <w:p w:rsidR="009304FE" w:rsidRPr="00585188" w:rsidRDefault="009304FE" w:rsidP="002A5A92">
      <w:pPr>
        <w:rPr>
          <w:sz w:val="26"/>
          <w:szCs w:val="26"/>
        </w:rPr>
      </w:pPr>
    </w:p>
    <w:p w:rsidR="00D1715D" w:rsidRPr="00FC239B" w:rsidRDefault="009304FE" w:rsidP="009623E5">
      <w:pPr>
        <w:spacing w:line="360" w:lineRule="auto"/>
        <w:ind w:firstLine="1440"/>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 xml:space="preserve">are the </w:t>
      </w:r>
      <w:r w:rsidR="00863BA3" w:rsidRPr="00863BA3">
        <w:rPr>
          <w:sz w:val="26"/>
          <w:szCs w:val="26"/>
        </w:rPr>
        <w:t xml:space="preserve">Exceptions of </w:t>
      </w:r>
      <w:r w:rsidR="00D36FFF">
        <w:rPr>
          <w:sz w:val="26"/>
          <w:szCs w:val="26"/>
        </w:rPr>
        <w:t>Major Energy, LLC/Respond Power, LLC</w:t>
      </w:r>
      <w:r w:rsidR="004C4AA1">
        <w:rPr>
          <w:sz w:val="26"/>
          <w:szCs w:val="26"/>
        </w:rPr>
        <w:t xml:space="preserve"> (</w:t>
      </w:r>
      <w:r w:rsidR="00D36FFF">
        <w:rPr>
          <w:sz w:val="26"/>
          <w:szCs w:val="26"/>
        </w:rPr>
        <w:t>Respond Power</w:t>
      </w:r>
      <w:r w:rsidR="00584058">
        <w:rPr>
          <w:sz w:val="26"/>
          <w:szCs w:val="26"/>
        </w:rPr>
        <w:t>,</w:t>
      </w:r>
      <w:r w:rsidR="004C4AA1">
        <w:rPr>
          <w:sz w:val="26"/>
          <w:szCs w:val="26"/>
        </w:rPr>
        <w:t xml:space="preserve"> </w:t>
      </w:r>
      <w:r w:rsidR="008F6BC5">
        <w:rPr>
          <w:sz w:val="26"/>
          <w:szCs w:val="26"/>
        </w:rPr>
        <w:t>Respondent</w:t>
      </w:r>
      <w:r w:rsidR="00584058">
        <w:rPr>
          <w:sz w:val="26"/>
          <w:szCs w:val="26"/>
        </w:rPr>
        <w:t>, or Company</w:t>
      </w:r>
      <w:r w:rsidR="004C4AA1">
        <w:rPr>
          <w:sz w:val="26"/>
          <w:szCs w:val="26"/>
        </w:rPr>
        <w:t xml:space="preserve">), filed on </w:t>
      </w:r>
      <w:r w:rsidR="00BE72EA">
        <w:rPr>
          <w:sz w:val="26"/>
          <w:szCs w:val="26"/>
        </w:rPr>
        <w:t>April 15</w:t>
      </w:r>
      <w:r w:rsidR="00863BA3" w:rsidRPr="00863BA3">
        <w:rPr>
          <w:sz w:val="26"/>
          <w:szCs w:val="26"/>
        </w:rPr>
        <w:t>, 201</w:t>
      </w:r>
      <w:r w:rsidR="004C4AA1">
        <w:rPr>
          <w:sz w:val="26"/>
          <w:szCs w:val="26"/>
        </w:rPr>
        <w:t>5</w:t>
      </w:r>
      <w:r w:rsidR="00863BA3" w:rsidRPr="00863BA3">
        <w:rPr>
          <w:sz w:val="26"/>
          <w:szCs w:val="26"/>
        </w:rPr>
        <w:t>,</w:t>
      </w:r>
      <w:r w:rsidR="00863BA3">
        <w:rPr>
          <w:sz w:val="26"/>
          <w:szCs w:val="26"/>
        </w:rPr>
        <w:t xml:space="preserve"> </w:t>
      </w:r>
      <w:r w:rsidR="00DC0448">
        <w:rPr>
          <w:sz w:val="26"/>
          <w:szCs w:val="26"/>
        </w:rPr>
        <w:t xml:space="preserve">to the Initial Decision </w:t>
      </w:r>
      <w:r w:rsidR="002161A1">
        <w:rPr>
          <w:sz w:val="26"/>
          <w:szCs w:val="26"/>
        </w:rPr>
        <w:t xml:space="preserve">(I.D.) of Administrative Law Judge (ALJ) </w:t>
      </w:r>
      <w:r w:rsidR="00BE72EA">
        <w:rPr>
          <w:sz w:val="26"/>
          <w:szCs w:val="26"/>
        </w:rPr>
        <w:t>Ember S. Jandebeur</w:t>
      </w:r>
      <w:r w:rsidR="00373A23">
        <w:rPr>
          <w:sz w:val="26"/>
          <w:szCs w:val="26"/>
        </w:rPr>
        <w:t>,</w:t>
      </w:r>
      <w:r w:rsidR="00DC0448">
        <w:rPr>
          <w:sz w:val="26"/>
          <w:szCs w:val="26"/>
        </w:rPr>
        <w:t xml:space="preserve"> </w:t>
      </w:r>
      <w:r w:rsidR="002161A1">
        <w:rPr>
          <w:sz w:val="26"/>
          <w:szCs w:val="26"/>
        </w:rPr>
        <w:t xml:space="preserve">issued on </w:t>
      </w:r>
      <w:r w:rsidR="00BE72EA">
        <w:rPr>
          <w:sz w:val="26"/>
          <w:szCs w:val="26"/>
        </w:rPr>
        <w:t>March 26, 2015</w:t>
      </w:r>
      <w:r w:rsidR="00DC0448">
        <w:rPr>
          <w:sz w:val="26"/>
          <w:szCs w:val="26"/>
        </w:rPr>
        <w:t xml:space="preserve">. </w:t>
      </w:r>
      <w:r w:rsidR="009623E5">
        <w:rPr>
          <w:sz w:val="26"/>
          <w:szCs w:val="26"/>
        </w:rPr>
        <w:t xml:space="preserve"> </w:t>
      </w:r>
      <w:r w:rsidR="00863BA3">
        <w:rPr>
          <w:sz w:val="26"/>
          <w:szCs w:val="26"/>
        </w:rPr>
        <w:t>Replies to Exceptions</w:t>
      </w:r>
      <w:r w:rsidR="0067741C" w:rsidRPr="0067741C">
        <w:rPr>
          <w:sz w:val="26"/>
          <w:szCs w:val="26"/>
        </w:rPr>
        <w:t xml:space="preserve"> </w:t>
      </w:r>
      <w:r w:rsidR="00E811FE">
        <w:rPr>
          <w:sz w:val="26"/>
          <w:szCs w:val="26"/>
        </w:rPr>
        <w:t>have not been filed.</w:t>
      </w:r>
      <w:r w:rsidR="00863BA3">
        <w:rPr>
          <w:sz w:val="26"/>
          <w:szCs w:val="26"/>
        </w:rPr>
        <w:t xml:space="preserve">  </w:t>
      </w:r>
      <w:r w:rsidR="00DC0448" w:rsidRPr="00FC239B">
        <w:rPr>
          <w:sz w:val="26"/>
          <w:szCs w:val="26"/>
        </w:rPr>
        <w:t xml:space="preserve">For the reasons stated below, we will </w:t>
      </w:r>
      <w:r w:rsidR="00D1715D" w:rsidRPr="00FC239B">
        <w:rPr>
          <w:sz w:val="26"/>
          <w:szCs w:val="26"/>
        </w:rPr>
        <w:t>grant, in part,</w:t>
      </w:r>
      <w:r w:rsidR="0070324F" w:rsidRPr="00FC239B">
        <w:rPr>
          <w:sz w:val="26"/>
          <w:szCs w:val="26"/>
        </w:rPr>
        <w:t xml:space="preserve"> </w:t>
      </w:r>
      <w:r w:rsidR="00D1715D" w:rsidRPr="00FC239B">
        <w:rPr>
          <w:sz w:val="26"/>
          <w:szCs w:val="26"/>
        </w:rPr>
        <w:t>Respond Power</w:t>
      </w:r>
      <w:r w:rsidR="00584058">
        <w:rPr>
          <w:sz w:val="26"/>
          <w:szCs w:val="26"/>
        </w:rPr>
        <w:t>’s Exceptions</w:t>
      </w:r>
      <w:r w:rsidR="004C4AA1" w:rsidRPr="00FC239B">
        <w:rPr>
          <w:sz w:val="26"/>
          <w:szCs w:val="26"/>
        </w:rPr>
        <w:t xml:space="preserve"> and </w:t>
      </w:r>
      <w:r w:rsidR="00D1715D" w:rsidRPr="00FC239B">
        <w:rPr>
          <w:sz w:val="26"/>
          <w:szCs w:val="26"/>
        </w:rPr>
        <w:t>reverse</w:t>
      </w:r>
      <w:r w:rsidR="004C4AA1" w:rsidRPr="00FC239B">
        <w:rPr>
          <w:sz w:val="26"/>
          <w:szCs w:val="26"/>
        </w:rPr>
        <w:t xml:space="preserve"> th</w:t>
      </w:r>
      <w:r w:rsidR="00DC0448" w:rsidRPr="00FC239B">
        <w:rPr>
          <w:sz w:val="26"/>
          <w:szCs w:val="26"/>
        </w:rPr>
        <w:t>e ALJ’s Initial Decision</w:t>
      </w:r>
      <w:r w:rsidR="00D1715D" w:rsidRPr="00FC239B">
        <w:rPr>
          <w:sz w:val="26"/>
          <w:szCs w:val="26"/>
        </w:rPr>
        <w:t>.</w:t>
      </w:r>
    </w:p>
    <w:p w:rsidR="004C4AA1" w:rsidRPr="00E811FE" w:rsidRDefault="009623E5" w:rsidP="009623E5">
      <w:pPr>
        <w:spacing w:line="360" w:lineRule="auto"/>
        <w:ind w:firstLine="1440"/>
        <w:rPr>
          <w:b/>
          <w:sz w:val="26"/>
          <w:szCs w:val="26"/>
        </w:rPr>
      </w:pPr>
      <w:r w:rsidRPr="00E811FE">
        <w:rPr>
          <w:b/>
          <w:sz w:val="26"/>
          <w:szCs w:val="26"/>
        </w:rPr>
        <w:t xml:space="preserve"> </w:t>
      </w:r>
    </w:p>
    <w:p w:rsidR="009304FE" w:rsidRDefault="00F55BED" w:rsidP="004C4AA1">
      <w:pPr>
        <w:keepNext/>
        <w:keepLines/>
        <w:spacing w:line="360" w:lineRule="auto"/>
        <w:jc w:val="center"/>
        <w:rPr>
          <w:b/>
          <w:sz w:val="26"/>
          <w:szCs w:val="26"/>
        </w:rPr>
      </w:pPr>
      <w:r w:rsidRPr="00CA1972">
        <w:rPr>
          <w:b/>
          <w:sz w:val="26"/>
          <w:szCs w:val="26"/>
        </w:rPr>
        <w:lastRenderedPageBreak/>
        <w:t>History of the Proceeding</w:t>
      </w:r>
    </w:p>
    <w:p w:rsidR="00DC2825" w:rsidRDefault="00DC2825" w:rsidP="004C4AA1">
      <w:pPr>
        <w:keepNext/>
        <w:keepLines/>
        <w:spacing w:line="360" w:lineRule="auto"/>
        <w:jc w:val="center"/>
        <w:rPr>
          <w:b/>
          <w:sz w:val="26"/>
          <w:szCs w:val="26"/>
        </w:rPr>
      </w:pPr>
    </w:p>
    <w:p w:rsidR="009760D2" w:rsidRPr="009760D2" w:rsidRDefault="009760D2" w:rsidP="009760D2">
      <w:pPr>
        <w:tabs>
          <w:tab w:val="left" w:pos="-1440"/>
          <w:tab w:val="left" w:pos="-720"/>
        </w:tabs>
        <w:suppressAutoHyphens/>
        <w:spacing w:line="360" w:lineRule="auto"/>
        <w:ind w:firstLine="1440"/>
        <w:rPr>
          <w:sz w:val="26"/>
        </w:rPr>
      </w:pPr>
      <w:r w:rsidRPr="009760D2">
        <w:rPr>
          <w:sz w:val="26"/>
        </w:rPr>
        <w:t xml:space="preserve">On March 31, 2014, Binh Tran (Complainant) filed a Formal Complaint against </w:t>
      </w:r>
      <w:r w:rsidR="00093657">
        <w:rPr>
          <w:sz w:val="26"/>
        </w:rPr>
        <w:t xml:space="preserve">the </w:t>
      </w:r>
      <w:r w:rsidRPr="009760D2">
        <w:rPr>
          <w:sz w:val="26"/>
        </w:rPr>
        <w:t>Respondent</w:t>
      </w:r>
      <w:r w:rsidR="00093657">
        <w:rPr>
          <w:sz w:val="26"/>
        </w:rPr>
        <w:t>,</w:t>
      </w:r>
      <w:r w:rsidRPr="009760D2">
        <w:rPr>
          <w:sz w:val="26"/>
        </w:rPr>
        <w:t xml:space="preserve"> alleging that the Respondent was price gouging him and that he never agreed to switch from PECO Energy Company (PECO) to Respond Power</w:t>
      </w:r>
      <w:r w:rsidR="007550FF">
        <w:rPr>
          <w:sz w:val="26"/>
        </w:rPr>
        <w:t>, an electric generation supplier (EGS)</w:t>
      </w:r>
      <w:r w:rsidRPr="009760D2">
        <w:rPr>
          <w:sz w:val="26"/>
        </w:rPr>
        <w:t xml:space="preserve">.  </w:t>
      </w:r>
      <w:r w:rsidR="00093657">
        <w:rPr>
          <w:sz w:val="26"/>
        </w:rPr>
        <w:t xml:space="preserve">As </w:t>
      </w:r>
      <w:r w:rsidR="00BC62C1">
        <w:rPr>
          <w:sz w:val="26"/>
        </w:rPr>
        <w:t xml:space="preserve">relief, the Complainant requested a refund reflecting the difference between the Respond Power rate and the PECO rate.  </w:t>
      </w:r>
      <w:r w:rsidRPr="009760D2">
        <w:rPr>
          <w:sz w:val="26"/>
        </w:rPr>
        <w:t xml:space="preserve">On June 2, 2014, </w:t>
      </w:r>
      <w:r w:rsidR="00BC62C1">
        <w:rPr>
          <w:sz w:val="26"/>
        </w:rPr>
        <w:t xml:space="preserve">the </w:t>
      </w:r>
      <w:r w:rsidRPr="009760D2">
        <w:rPr>
          <w:sz w:val="26"/>
        </w:rPr>
        <w:t xml:space="preserve">Respondent filed an </w:t>
      </w:r>
      <w:r w:rsidRPr="009760D2">
        <w:rPr>
          <w:spacing w:val="-3"/>
          <w:sz w:val="26"/>
        </w:rPr>
        <w:t>Answer</w:t>
      </w:r>
      <w:r w:rsidR="00BC62C1">
        <w:rPr>
          <w:spacing w:val="-3"/>
          <w:sz w:val="26"/>
        </w:rPr>
        <w:t>,</w:t>
      </w:r>
      <w:r w:rsidRPr="009760D2">
        <w:rPr>
          <w:spacing w:val="-3"/>
          <w:sz w:val="26"/>
        </w:rPr>
        <w:t xml:space="preserve"> denying the material allegations of the Complaint and </w:t>
      </w:r>
      <w:r w:rsidR="00BC62C1">
        <w:rPr>
          <w:spacing w:val="-3"/>
          <w:sz w:val="26"/>
        </w:rPr>
        <w:t>averring</w:t>
      </w:r>
      <w:r w:rsidRPr="009760D2">
        <w:rPr>
          <w:spacing w:val="-3"/>
          <w:sz w:val="26"/>
        </w:rPr>
        <w:t xml:space="preserve"> that the Complainant enrolled in a variable rate plan with </w:t>
      </w:r>
      <w:r w:rsidR="00BC62C1">
        <w:rPr>
          <w:spacing w:val="-3"/>
          <w:sz w:val="26"/>
        </w:rPr>
        <w:t>Respond Power</w:t>
      </w:r>
      <w:r w:rsidRPr="009760D2">
        <w:rPr>
          <w:spacing w:val="-3"/>
          <w:sz w:val="26"/>
        </w:rPr>
        <w:t xml:space="preserve"> </w:t>
      </w:r>
      <w:r w:rsidR="00BC62C1">
        <w:rPr>
          <w:spacing w:val="-3"/>
          <w:sz w:val="26"/>
        </w:rPr>
        <w:t>and was charged according to that plan</w:t>
      </w:r>
      <w:r w:rsidRPr="009760D2">
        <w:rPr>
          <w:spacing w:val="-3"/>
          <w:sz w:val="26"/>
        </w:rPr>
        <w:t xml:space="preserve">.  </w:t>
      </w:r>
    </w:p>
    <w:p w:rsidR="009760D2" w:rsidRPr="009760D2" w:rsidRDefault="009760D2" w:rsidP="009760D2">
      <w:pPr>
        <w:tabs>
          <w:tab w:val="left" w:pos="2160"/>
        </w:tabs>
        <w:spacing w:line="360" w:lineRule="auto"/>
        <w:ind w:firstLine="1440"/>
        <w:rPr>
          <w:sz w:val="26"/>
        </w:rPr>
      </w:pPr>
    </w:p>
    <w:p w:rsidR="009760D2" w:rsidRDefault="00355DF4" w:rsidP="00A331C0">
      <w:pPr>
        <w:tabs>
          <w:tab w:val="left" w:pos="2160"/>
        </w:tabs>
        <w:spacing w:line="360" w:lineRule="auto"/>
        <w:ind w:firstLine="1440"/>
        <w:rPr>
          <w:sz w:val="26"/>
        </w:rPr>
      </w:pPr>
      <w:r>
        <w:rPr>
          <w:sz w:val="26"/>
        </w:rPr>
        <w:t xml:space="preserve">A </w:t>
      </w:r>
      <w:r w:rsidR="00CB0AA8">
        <w:rPr>
          <w:sz w:val="26"/>
        </w:rPr>
        <w:t xml:space="preserve">telephonic </w:t>
      </w:r>
      <w:r w:rsidR="009760D2" w:rsidRPr="009760D2">
        <w:rPr>
          <w:sz w:val="26"/>
        </w:rPr>
        <w:t xml:space="preserve">hearing </w:t>
      </w:r>
      <w:r>
        <w:rPr>
          <w:sz w:val="26"/>
        </w:rPr>
        <w:t>was held on December 18, 2014</w:t>
      </w:r>
      <w:r w:rsidR="009760D2" w:rsidRPr="009760D2">
        <w:rPr>
          <w:sz w:val="26"/>
        </w:rPr>
        <w:t xml:space="preserve">.  The Complainant appeared </w:t>
      </w:r>
      <w:r w:rsidR="00C11685" w:rsidRPr="00C11685">
        <w:rPr>
          <w:i/>
          <w:sz w:val="26"/>
        </w:rPr>
        <w:t>pro se</w:t>
      </w:r>
      <w:r w:rsidR="00C11685">
        <w:rPr>
          <w:sz w:val="26"/>
        </w:rPr>
        <w:t xml:space="preserve"> and testified </w:t>
      </w:r>
      <w:r w:rsidR="009760D2" w:rsidRPr="009760D2">
        <w:rPr>
          <w:sz w:val="26"/>
        </w:rPr>
        <w:t xml:space="preserve">on his own behalf.  The Respondent was represented by counsel </w:t>
      </w:r>
      <w:r w:rsidR="00C11685">
        <w:rPr>
          <w:sz w:val="26"/>
        </w:rPr>
        <w:t>who</w:t>
      </w:r>
      <w:r w:rsidR="009760D2" w:rsidRPr="009760D2">
        <w:rPr>
          <w:sz w:val="26"/>
        </w:rPr>
        <w:t xml:space="preserve"> proffered one exhibit that was </w:t>
      </w:r>
      <w:r w:rsidR="003C3E5F">
        <w:rPr>
          <w:sz w:val="26"/>
        </w:rPr>
        <w:t>admitted</w:t>
      </w:r>
      <w:r w:rsidR="009760D2" w:rsidRPr="009760D2">
        <w:rPr>
          <w:sz w:val="26"/>
        </w:rPr>
        <w:t xml:space="preserve"> into the record.</w:t>
      </w:r>
      <w:r w:rsidR="00A331C0">
        <w:rPr>
          <w:sz w:val="26"/>
        </w:rPr>
        <w:t xml:space="preserve">  </w:t>
      </w:r>
      <w:r w:rsidR="009760D2" w:rsidRPr="009760D2">
        <w:rPr>
          <w:sz w:val="26"/>
        </w:rPr>
        <w:t xml:space="preserve">The record </w:t>
      </w:r>
      <w:r w:rsidR="00163821">
        <w:rPr>
          <w:sz w:val="26"/>
        </w:rPr>
        <w:t xml:space="preserve">was </w:t>
      </w:r>
      <w:r w:rsidR="009760D2" w:rsidRPr="009760D2">
        <w:rPr>
          <w:sz w:val="26"/>
        </w:rPr>
        <w:t>closed on January 21, 2015</w:t>
      </w:r>
      <w:r w:rsidR="00163821">
        <w:rPr>
          <w:sz w:val="26"/>
        </w:rPr>
        <w:t>,</w:t>
      </w:r>
      <w:r w:rsidR="009760D2" w:rsidRPr="009760D2">
        <w:rPr>
          <w:sz w:val="26"/>
        </w:rPr>
        <w:t xml:space="preserve"> </w:t>
      </w:r>
      <w:r w:rsidR="00D41957">
        <w:rPr>
          <w:sz w:val="26"/>
        </w:rPr>
        <w:t>upon the</w:t>
      </w:r>
      <w:r w:rsidR="009760D2" w:rsidRPr="009760D2">
        <w:rPr>
          <w:sz w:val="26"/>
        </w:rPr>
        <w:t xml:space="preserve"> receipt of the </w:t>
      </w:r>
      <w:r w:rsidR="00163821">
        <w:rPr>
          <w:sz w:val="26"/>
        </w:rPr>
        <w:t xml:space="preserve">twenty-two page </w:t>
      </w:r>
      <w:r w:rsidR="009760D2" w:rsidRPr="009760D2">
        <w:rPr>
          <w:sz w:val="26"/>
        </w:rPr>
        <w:t xml:space="preserve">transcript.  </w:t>
      </w:r>
    </w:p>
    <w:p w:rsidR="00A600FC" w:rsidRDefault="00A600FC" w:rsidP="009760D2">
      <w:pPr>
        <w:tabs>
          <w:tab w:val="left" w:pos="-1440"/>
          <w:tab w:val="left" w:pos="-720"/>
        </w:tabs>
        <w:suppressAutoHyphens/>
        <w:spacing w:line="360" w:lineRule="auto"/>
        <w:ind w:firstLine="1440"/>
        <w:rPr>
          <w:sz w:val="26"/>
        </w:rPr>
      </w:pPr>
    </w:p>
    <w:p w:rsidR="00A600FC" w:rsidRDefault="00AD72EA" w:rsidP="009760D2">
      <w:pPr>
        <w:tabs>
          <w:tab w:val="left" w:pos="-1440"/>
          <w:tab w:val="left" w:pos="-720"/>
        </w:tabs>
        <w:suppressAutoHyphens/>
        <w:spacing w:line="360" w:lineRule="auto"/>
        <w:ind w:firstLine="1440"/>
        <w:rPr>
          <w:sz w:val="26"/>
        </w:rPr>
      </w:pPr>
      <w:r>
        <w:rPr>
          <w:sz w:val="26"/>
        </w:rPr>
        <w:t>In an Initial Decision issued on March 26, 2015,</w:t>
      </w:r>
      <w:r w:rsidR="00B67018">
        <w:rPr>
          <w:rStyle w:val="FootnoteReference"/>
        </w:rPr>
        <w:footnoteReference w:id="1"/>
      </w:r>
      <w:r>
        <w:rPr>
          <w:sz w:val="26"/>
        </w:rPr>
        <w:t xml:space="preserve"> ALJ Jandebeur </w:t>
      </w:r>
      <w:r w:rsidR="008F7E16">
        <w:rPr>
          <w:sz w:val="26"/>
        </w:rPr>
        <w:t>sustained</w:t>
      </w:r>
      <w:r>
        <w:rPr>
          <w:sz w:val="26"/>
        </w:rPr>
        <w:t xml:space="preserve"> Mr. Tran’s Complaint and directed Respond Power to refund the Complainant the difference between Respond Power’s rate and PECO’s rate for the time period during which the Complainant was invalidly enrolled with Respond Power.  </w:t>
      </w:r>
      <w:r w:rsidR="00320A6D">
        <w:rPr>
          <w:sz w:val="26"/>
        </w:rPr>
        <w:t xml:space="preserve">I.D. at 6.  </w:t>
      </w:r>
    </w:p>
    <w:p w:rsidR="00320A6D" w:rsidRDefault="00320A6D" w:rsidP="009760D2">
      <w:pPr>
        <w:tabs>
          <w:tab w:val="left" w:pos="-1440"/>
          <w:tab w:val="left" w:pos="-720"/>
        </w:tabs>
        <w:suppressAutoHyphens/>
        <w:spacing w:line="360" w:lineRule="auto"/>
        <w:ind w:firstLine="1440"/>
        <w:rPr>
          <w:sz w:val="26"/>
        </w:rPr>
      </w:pPr>
    </w:p>
    <w:p w:rsidR="00320A6D" w:rsidRPr="009760D2" w:rsidRDefault="00320A6D" w:rsidP="009760D2">
      <w:pPr>
        <w:tabs>
          <w:tab w:val="left" w:pos="-1440"/>
          <w:tab w:val="left" w:pos="-720"/>
        </w:tabs>
        <w:suppressAutoHyphens/>
        <w:spacing w:line="360" w:lineRule="auto"/>
        <w:ind w:firstLine="1440"/>
        <w:rPr>
          <w:sz w:val="26"/>
        </w:rPr>
      </w:pPr>
      <w:r>
        <w:rPr>
          <w:sz w:val="26"/>
        </w:rPr>
        <w:t xml:space="preserve">As previously noted, Respond Power filed Exceptions on April 15, 2015.  The Complainant did not file Exceptions or Replies to Exceptions.   </w:t>
      </w:r>
      <w:r>
        <w:rPr>
          <w:sz w:val="26"/>
        </w:rPr>
        <w:tab/>
      </w:r>
    </w:p>
    <w:p w:rsidR="0095737A" w:rsidRDefault="0095737A" w:rsidP="002A5A92">
      <w:pPr>
        <w:spacing w:line="360" w:lineRule="auto"/>
        <w:jc w:val="center"/>
        <w:rPr>
          <w:b/>
          <w:sz w:val="26"/>
          <w:szCs w:val="26"/>
        </w:rPr>
      </w:pPr>
      <w:r w:rsidRPr="0095737A">
        <w:rPr>
          <w:b/>
          <w:sz w:val="26"/>
          <w:szCs w:val="26"/>
        </w:rPr>
        <w:lastRenderedPageBreak/>
        <w:t>Discussion</w:t>
      </w:r>
    </w:p>
    <w:p w:rsidR="00B16C25" w:rsidRDefault="00B16C25" w:rsidP="00B16C25">
      <w:pPr>
        <w:spacing w:line="360" w:lineRule="auto"/>
        <w:rPr>
          <w:b/>
          <w:sz w:val="26"/>
          <w:szCs w:val="26"/>
        </w:rPr>
      </w:pPr>
    </w:p>
    <w:p w:rsidR="00E72124" w:rsidRPr="00D41957" w:rsidRDefault="00E72124" w:rsidP="00E72124">
      <w:pPr>
        <w:widowControl w:val="0"/>
        <w:spacing w:line="360" w:lineRule="auto"/>
        <w:ind w:firstLine="1440"/>
        <w:rPr>
          <w:sz w:val="26"/>
          <w:szCs w:val="26"/>
        </w:rPr>
      </w:pPr>
      <w:r w:rsidRPr="00D41957">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the Respondent is responsible or accountable for the problem described in the Complaint.  </w:t>
      </w:r>
      <w:r w:rsidRPr="00D41957">
        <w:rPr>
          <w:i/>
          <w:sz w:val="26"/>
          <w:szCs w:val="26"/>
        </w:rPr>
        <w:t>Patterson v. The Bell Telephone Company of Pennsylvania</w:t>
      </w:r>
      <w:r w:rsidRPr="00D41957">
        <w:rPr>
          <w:sz w:val="26"/>
          <w:szCs w:val="26"/>
        </w:rPr>
        <w:t xml:space="preserve">, 72 Pa. P.U.C. 196 (1990).  Such a showing must be by a preponderance of the evidence.  </w:t>
      </w:r>
      <w:r w:rsidRPr="00D41957">
        <w:rPr>
          <w:i/>
          <w:iCs/>
          <w:sz w:val="26"/>
          <w:szCs w:val="26"/>
        </w:rPr>
        <w:t>Samuel J. Lansberry, Inc. v. Pa. PUC</w:t>
      </w:r>
      <w:r w:rsidRPr="00D41957">
        <w:rPr>
          <w:sz w:val="26"/>
          <w:szCs w:val="26"/>
        </w:rPr>
        <w:t xml:space="preserve">, 578 A.2d 600 (Pa. Cmwlth. 1990), </w:t>
      </w:r>
      <w:r w:rsidRPr="00D41957">
        <w:rPr>
          <w:i/>
          <w:sz w:val="26"/>
          <w:szCs w:val="26"/>
        </w:rPr>
        <w:t>alloc. denied,</w:t>
      </w:r>
      <w:r w:rsidRPr="00D41957">
        <w:rPr>
          <w:sz w:val="26"/>
          <w:szCs w:val="26"/>
        </w:rPr>
        <w:t xml:space="preserve"> 529 Pa. 654, 602 A.2d 863 (1992).  That is, the Complainant’s evidence must be more convincing, by even the smallest amount, than that presented by the Respondent.  </w:t>
      </w:r>
      <w:r w:rsidRPr="00D41957">
        <w:rPr>
          <w:i/>
          <w:sz w:val="26"/>
          <w:szCs w:val="26"/>
        </w:rPr>
        <w:t>Se-Ling Hosiery, Inc. v. Margulies</w:t>
      </w:r>
      <w:r w:rsidRPr="00D41957">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D41957">
        <w:rPr>
          <w:i/>
          <w:sz w:val="26"/>
          <w:szCs w:val="26"/>
        </w:rPr>
        <w:t xml:space="preserve">Norfolk &amp; Western Ry. Co. v. Pa. PUC, </w:t>
      </w:r>
      <w:r w:rsidRPr="00D41957">
        <w:rPr>
          <w:sz w:val="26"/>
          <w:szCs w:val="26"/>
        </w:rPr>
        <w:t>489 Pa. 109, 413 A.2d 1037 (1980).</w:t>
      </w:r>
    </w:p>
    <w:p w:rsidR="00E72124" w:rsidRPr="00D41957" w:rsidRDefault="00E72124" w:rsidP="00E72124">
      <w:pPr>
        <w:widowControl w:val="0"/>
        <w:spacing w:line="360" w:lineRule="auto"/>
        <w:rPr>
          <w:sz w:val="26"/>
          <w:szCs w:val="26"/>
        </w:rPr>
      </w:pPr>
    </w:p>
    <w:p w:rsidR="0075755D" w:rsidRPr="00D41957" w:rsidRDefault="00887D29" w:rsidP="0075755D">
      <w:pPr>
        <w:spacing w:line="360" w:lineRule="auto"/>
        <w:ind w:firstLine="1440"/>
        <w:rPr>
          <w:iCs/>
          <w:sz w:val="26"/>
        </w:rPr>
      </w:pPr>
      <w:r w:rsidRPr="00D41957">
        <w:rPr>
          <w:sz w:val="26"/>
          <w:szCs w:val="26"/>
        </w:rPr>
        <w:t xml:space="preserve">Upon the presentation by the Complainant of evidence sufficient </w:t>
      </w:r>
      <w:r w:rsidR="0094101F" w:rsidRPr="00D41957">
        <w:rPr>
          <w:sz w:val="26"/>
        </w:rPr>
        <w:t xml:space="preserve">to initially satisfy the burden of proof, the burden of going forward with the evidence to rebut the evidence of the customer shifts to </w:t>
      </w:r>
      <w:r w:rsidR="00E72124" w:rsidRPr="00D41957">
        <w:rPr>
          <w:sz w:val="26"/>
        </w:rPr>
        <w:t>the Respondent</w:t>
      </w:r>
      <w:r w:rsidR="0094101F" w:rsidRPr="00D41957">
        <w:rPr>
          <w:sz w:val="26"/>
        </w:rPr>
        <w:t xml:space="preserve">. </w:t>
      </w:r>
      <w:r w:rsidR="00E72124" w:rsidRPr="00D41957">
        <w:rPr>
          <w:sz w:val="26"/>
        </w:rPr>
        <w:t xml:space="preserve"> </w:t>
      </w:r>
      <w:r w:rsidR="0094101F" w:rsidRPr="00D41957">
        <w:rPr>
          <w:sz w:val="26"/>
        </w:rPr>
        <w:t xml:space="preserve">If the evidence presented by </w:t>
      </w:r>
      <w:r w:rsidR="00E72124" w:rsidRPr="00D41957">
        <w:rPr>
          <w:sz w:val="26"/>
        </w:rPr>
        <w:t>the Respondent</w:t>
      </w:r>
      <w:r w:rsidR="0094101F" w:rsidRPr="00D41957">
        <w:rPr>
          <w:sz w:val="26"/>
        </w:rPr>
        <w:t xml:space="preserve"> is of co-equal value or “weight,” the burden of proof has not been satisfied. The Complainant now has to provide some additional evidence to rebut that of the </w:t>
      </w:r>
      <w:r w:rsidR="008F6BC5" w:rsidRPr="00D41957">
        <w:rPr>
          <w:sz w:val="26"/>
        </w:rPr>
        <w:t>Respondent</w:t>
      </w:r>
      <w:r w:rsidR="00106BF9" w:rsidRPr="00D41957">
        <w:rPr>
          <w:sz w:val="26"/>
        </w:rPr>
        <w:t xml:space="preserve">.  </w:t>
      </w:r>
      <w:r w:rsidR="00106BF9" w:rsidRPr="00D41957">
        <w:rPr>
          <w:i/>
          <w:sz w:val="26"/>
        </w:rPr>
        <w:t>Burleson v. Pa. PUC</w:t>
      </w:r>
      <w:r w:rsidR="00106BF9" w:rsidRPr="00D41957">
        <w:rPr>
          <w:sz w:val="26"/>
        </w:rPr>
        <w:t xml:space="preserve">, 443 A.2d 1373 (Pa. Cmwlth. 1982), </w:t>
      </w:r>
      <w:r w:rsidR="00106BF9" w:rsidRPr="00D41957">
        <w:rPr>
          <w:i/>
          <w:sz w:val="26"/>
        </w:rPr>
        <w:t>aff’d</w:t>
      </w:r>
      <w:r w:rsidR="00106BF9" w:rsidRPr="00D41957">
        <w:rPr>
          <w:sz w:val="26"/>
        </w:rPr>
        <w:t>, 501 Pa. 433, 461 A.2d 1234 (1983).</w:t>
      </w:r>
      <w:r w:rsidR="00E72124" w:rsidRPr="00D41957">
        <w:rPr>
          <w:sz w:val="26"/>
        </w:rPr>
        <w:t xml:space="preserve">  </w:t>
      </w:r>
      <w:r w:rsidR="0094101F" w:rsidRPr="00D41957">
        <w:rPr>
          <w:iCs/>
          <w:sz w:val="26"/>
        </w:rPr>
        <w:t xml:space="preserve">While the burden of going forward with the evidence may shift back and forth during a proceeding, the burden of proof never shifts. </w:t>
      </w:r>
      <w:r w:rsidR="00545FA2" w:rsidRPr="00D41957">
        <w:rPr>
          <w:iCs/>
          <w:sz w:val="26"/>
        </w:rPr>
        <w:t xml:space="preserve"> </w:t>
      </w:r>
      <w:r w:rsidR="0094101F" w:rsidRPr="00D41957">
        <w:rPr>
          <w:iCs/>
          <w:sz w:val="26"/>
        </w:rPr>
        <w:t xml:space="preserve">The burden of proof always remains on the party seeking affirmative relief from the Commission. </w:t>
      </w:r>
      <w:r w:rsidR="00545FA2" w:rsidRPr="00D41957">
        <w:rPr>
          <w:iCs/>
          <w:sz w:val="26"/>
        </w:rPr>
        <w:t xml:space="preserve"> </w:t>
      </w:r>
      <w:r w:rsidR="0094101F" w:rsidRPr="00D41957">
        <w:rPr>
          <w:i/>
          <w:iCs/>
          <w:sz w:val="26"/>
        </w:rPr>
        <w:t xml:space="preserve">Milkie v. Pa. PUC, </w:t>
      </w:r>
      <w:r w:rsidR="0094101F" w:rsidRPr="00D41957">
        <w:rPr>
          <w:iCs/>
          <w:sz w:val="26"/>
        </w:rPr>
        <w:t>768 A.2d 1217 (Pa. Cmwlth. 2001).</w:t>
      </w:r>
      <w:r w:rsidR="0075755D" w:rsidRPr="00D41957">
        <w:rPr>
          <w:iCs/>
          <w:sz w:val="26"/>
        </w:rPr>
        <w:t xml:space="preserve">  Having filed the Complaint against Respond Power, Mr. Tran </w:t>
      </w:r>
      <w:r w:rsidR="00D41957">
        <w:rPr>
          <w:iCs/>
          <w:sz w:val="26"/>
        </w:rPr>
        <w:t>has</w:t>
      </w:r>
      <w:r w:rsidR="0075755D" w:rsidRPr="00D41957">
        <w:rPr>
          <w:iCs/>
          <w:sz w:val="26"/>
        </w:rPr>
        <w:t xml:space="preserve"> the burden of proving that the Respondent has violated the Code, a Commission Regulation, or a Commission Order.</w:t>
      </w:r>
    </w:p>
    <w:p w:rsidR="00106BF9" w:rsidRPr="00106BF9" w:rsidRDefault="008F6BC5" w:rsidP="00106BF9">
      <w:pPr>
        <w:spacing w:line="360" w:lineRule="auto"/>
        <w:ind w:firstLine="1440"/>
        <w:rPr>
          <w:sz w:val="26"/>
          <w:szCs w:val="26"/>
        </w:rPr>
      </w:pPr>
      <w:r>
        <w:rPr>
          <w:sz w:val="26"/>
          <w:szCs w:val="26"/>
        </w:rPr>
        <w:lastRenderedPageBreak/>
        <w:t xml:space="preserve">The </w:t>
      </w:r>
      <w:r w:rsidR="00106BF9" w:rsidRPr="00106BF9">
        <w:rPr>
          <w:sz w:val="26"/>
          <w:szCs w:val="26"/>
        </w:rPr>
        <w:t xml:space="preserve">ALJ made </w:t>
      </w:r>
      <w:r w:rsidR="00A43535">
        <w:rPr>
          <w:sz w:val="26"/>
          <w:szCs w:val="26"/>
        </w:rPr>
        <w:t>twelve F</w:t>
      </w:r>
      <w:r w:rsidR="00106BF9" w:rsidRPr="00106BF9">
        <w:rPr>
          <w:sz w:val="26"/>
          <w:szCs w:val="26"/>
        </w:rPr>
        <w:t>indings of Fact and reached se</w:t>
      </w:r>
      <w:r w:rsidR="00A43535">
        <w:rPr>
          <w:sz w:val="26"/>
          <w:szCs w:val="26"/>
        </w:rPr>
        <w:t>v</w:t>
      </w:r>
      <w:r w:rsidR="00106BF9" w:rsidRPr="00106BF9">
        <w:rPr>
          <w:sz w:val="26"/>
          <w:szCs w:val="26"/>
        </w:rPr>
        <w:t xml:space="preserve">en Conclusions of Law. </w:t>
      </w:r>
      <w:r w:rsidR="00A43535">
        <w:rPr>
          <w:sz w:val="26"/>
          <w:szCs w:val="26"/>
        </w:rPr>
        <w:t xml:space="preserve"> </w:t>
      </w:r>
      <w:r w:rsidR="00106BF9" w:rsidRPr="00106BF9">
        <w:rPr>
          <w:sz w:val="26"/>
          <w:szCs w:val="26"/>
        </w:rPr>
        <w:t xml:space="preserve">I.D. at </w:t>
      </w:r>
      <w:r w:rsidR="00A43535">
        <w:rPr>
          <w:sz w:val="26"/>
          <w:szCs w:val="26"/>
        </w:rPr>
        <w:t>2-</w:t>
      </w:r>
      <w:r w:rsidR="00106BF9" w:rsidRPr="00106BF9">
        <w:rPr>
          <w:sz w:val="26"/>
          <w:szCs w:val="26"/>
        </w:rPr>
        <w:t xml:space="preserve">3, </w:t>
      </w:r>
      <w:r w:rsidR="00A43535">
        <w:rPr>
          <w:sz w:val="26"/>
          <w:szCs w:val="26"/>
        </w:rPr>
        <w:t>5</w:t>
      </w:r>
      <w:r w:rsidR="00106BF9" w:rsidRPr="00106BF9">
        <w:rPr>
          <w:sz w:val="26"/>
          <w:szCs w:val="26"/>
        </w:rPr>
        <w:t>-</w:t>
      </w:r>
      <w:r w:rsidR="00A43535">
        <w:rPr>
          <w:sz w:val="26"/>
          <w:szCs w:val="26"/>
        </w:rPr>
        <w:t>6</w:t>
      </w:r>
      <w:r w:rsidR="00106BF9" w:rsidRPr="00106BF9">
        <w:rPr>
          <w:sz w:val="26"/>
          <w:szCs w:val="26"/>
        </w:rPr>
        <w:t>.  The Findings of Fact and Conclusions of Law are incorporated herein by reference and are adopted without comment unless they are either expressly or by necessary implication rejected or modified by this Opinion and Order.</w:t>
      </w:r>
    </w:p>
    <w:p w:rsidR="00106BF9" w:rsidRPr="00106BF9" w:rsidRDefault="00106BF9" w:rsidP="00106BF9">
      <w:pPr>
        <w:spacing w:line="360" w:lineRule="auto"/>
        <w:ind w:firstLine="1440"/>
        <w:rPr>
          <w:sz w:val="26"/>
          <w:szCs w:val="26"/>
        </w:rPr>
      </w:pPr>
    </w:p>
    <w:p w:rsidR="00106BF9" w:rsidRPr="00106BF9" w:rsidRDefault="00106BF9" w:rsidP="00106BF9">
      <w:pPr>
        <w:spacing w:line="360" w:lineRule="auto"/>
        <w:ind w:firstLine="1440"/>
        <w:rPr>
          <w:sz w:val="26"/>
          <w:szCs w:val="26"/>
        </w:rPr>
      </w:pPr>
      <w:r w:rsidRPr="00106BF9">
        <w:rPr>
          <w:sz w:val="26"/>
          <w:szCs w:val="26"/>
        </w:rPr>
        <w:t xml:space="preserve">We also note that any issue or Exception that we do not specifically delineate shall be deemed to have been duly considered and denied without further discussion. </w:t>
      </w:r>
      <w:r w:rsidR="009231DE">
        <w:rPr>
          <w:sz w:val="26"/>
          <w:szCs w:val="26"/>
        </w:rPr>
        <w:t xml:space="preserve"> </w:t>
      </w:r>
      <w:r w:rsidRPr="00106BF9">
        <w:rPr>
          <w:sz w:val="26"/>
          <w:szCs w:val="26"/>
        </w:rPr>
        <w:t>The Commission is not required to consider expressly or at length each contention or argument raised by the parties</w:t>
      </w:r>
      <w:r w:rsidRPr="00106BF9">
        <w:rPr>
          <w:i/>
          <w:sz w:val="26"/>
          <w:szCs w:val="26"/>
        </w:rPr>
        <w:t xml:space="preserve">. </w:t>
      </w:r>
      <w:r w:rsidR="009231DE">
        <w:rPr>
          <w:i/>
          <w:sz w:val="26"/>
          <w:szCs w:val="26"/>
        </w:rPr>
        <w:t xml:space="preserve"> </w:t>
      </w:r>
      <w:r w:rsidRPr="00106BF9">
        <w:rPr>
          <w:i/>
          <w:sz w:val="26"/>
          <w:szCs w:val="26"/>
        </w:rPr>
        <w:t>Consolidated Rail Corp. v. Pa. PUC</w:t>
      </w:r>
      <w:r w:rsidRPr="00106BF9">
        <w:rPr>
          <w:sz w:val="26"/>
          <w:szCs w:val="26"/>
        </w:rPr>
        <w:t xml:space="preserve">, 625 A.2d 741 (Pa. Cmwlth. 1993); </w:t>
      </w:r>
      <w:r w:rsidRPr="00106BF9">
        <w:rPr>
          <w:i/>
          <w:sz w:val="26"/>
          <w:szCs w:val="26"/>
        </w:rPr>
        <w:t>also see, generally, University of Pennsylvania v. Pa. PUC</w:t>
      </w:r>
      <w:r w:rsidRPr="00106BF9">
        <w:rPr>
          <w:sz w:val="26"/>
          <w:szCs w:val="26"/>
        </w:rPr>
        <w:t>, 485 A.2d 1217 (Pa. Cmwlth. 1984).</w:t>
      </w:r>
    </w:p>
    <w:p w:rsidR="0094101F" w:rsidRDefault="0094101F" w:rsidP="0094101F">
      <w:pPr>
        <w:spacing w:line="360" w:lineRule="auto"/>
        <w:ind w:firstLine="1440"/>
        <w:rPr>
          <w:sz w:val="26"/>
          <w:szCs w:val="26"/>
        </w:rPr>
      </w:pPr>
    </w:p>
    <w:p w:rsidR="0094101F" w:rsidRDefault="00106BF9" w:rsidP="001F739E">
      <w:pPr>
        <w:keepNext/>
        <w:spacing w:line="360" w:lineRule="auto"/>
        <w:rPr>
          <w:b/>
          <w:sz w:val="26"/>
          <w:szCs w:val="26"/>
        </w:rPr>
      </w:pPr>
      <w:r>
        <w:rPr>
          <w:b/>
          <w:sz w:val="26"/>
          <w:szCs w:val="26"/>
        </w:rPr>
        <w:t xml:space="preserve">The </w:t>
      </w:r>
      <w:r w:rsidR="0094101F">
        <w:rPr>
          <w:b/>
          <w:sz w:val="26"/>
          <w:szCs w:val="26"/>
        </w:rPr>
        <w:t xml:space="preserve">ALJ’s </w:t>
      </w:r>
      <w:r>
        <w:rPr>
          <w:b/>
          <w:sz w:val="26"/>
          <w:szCs w:val="26"/>
        </w:rPr>
        <w:t>Initial Decision</w:t>
      </w:r>
    </w:p>
    <w:p w:rsidR="0094101F" w:rsidRDefault="0094101F" w:rsidP="001F739E">
      <w:pPr>
        <w:keepNext/>
        <w:spacing w:line="360" w:lineRule="auto"/>
        <w:ind w:firstLine="1440"/>
        <w:rPr>
          <w:sz w:val="26"/>
          <w:szCs w:val="26"/>
        </w:rPr>
      </w:pPr>
    </w:p>
    <w:p w:rsidR="00DA1AF0" w:rsidRDefault="006B0F73" w:rsidP="001F739E">
      <w:pPr>
        <w:keepNext/>
        <w:spacing w:line="360" w:lineRule="auto"/>
        <w:ind w:firstLine="1440"/>
        <w:rPr>
          <w:sz w:val="26"/>
          <w:szCs w:val="26"/>
        </w:rPr>
      </w:pPr>
      <w:r>
        <w:rPr>
          <w:sz w:val="26"/>
          <w:szCs w:val="26"/>
        </w:rPr>
        <w:t>T</w:t>
      </w:r>
      <w:r w:rsidR="00DA1AF0">
        <w:rPr>
          <w:sz w:val="26"/>
          <w:szCs w:val="26"/>
        </w:rPr>
        <w:t xml:space="preserve">he ALJ </w:t>
      </w:r>
      <w:r w:rsidR="00256A7D">
        <w:rPr>
          <w:sz w:val="26"/>
          <w:szCs w:val="26"/>
        </w:rPr>
        <w:t xml:space="preserve">initially </w:t>
      </w:r>
      <w:r w:rsidR="00DA1AF0">
        <w:rPr>
          <w:sz w:val="26"/>
          <w:szCs w:val="26"/>
        </w:rPr>
        <w:t xml:space="preserve">noted that all Parties agreed that the </w:t>
      </w:r>
      <w:r w:rsidR="00A5318C">
        <w:rPr>
          <w:sz w:val="26"/>
          <w:szCs w:val="26"/>
        </w:rPr>
        <w:t xml:space="preserve">Complainant’s sister changed the Complainant’s account from PECO to Respond Power on March 12, 2013.  </w:t>
      </w:r>
      <w:proofErr w:type="gramStart"/>
      <w:r w:rsidR="00A5318C">
        <w:rPr>
          <w:sz w:val="26"/>
          <w:szCs w:val="26"/>
        </w:rPr>
        <w:t>I.D. at 2, 4 (citing Tr. at 6, 8, 10, 15).</w:t>
      </w:r>
      <w:proofErr w:type="gramEnd"/>
      <w:r w:rsidR="00A5318C">
        <w:rPr>
          <w:sz w:val="26"/>
          <w:szCs w:val="26"/>
        </w:rPr>
        <w:t xml:space="preserve">  The Complainant was on a variable rate plan</w:t>
      </w:r>
      <w:r w:rsidR="003E42BE">
        <w:rPr>
          <w:sz w:val="26"/>
          <w:szCs w:val="26"/>
        </w:rPr>
        <w:t xml:space="preserve"> with Respond Power</w:t>
      </w:r>
      <w:r w:rsidR="00A5318C">
        <w:rPr>
          <w:sz w:val="26"/>
          <w:szCs w:val="26"/>
        </w:rPr>
        <w:t xml:space="preserve">.  </w:t>
      </w:r>
      <w:r w:rsidR="003E42BE">
        <w:rPr>
          <w:sz w:val="26"/>
          <w:szCs w:val="26"/>
        </w:rPr>
        <w:t xml:space="preserve">I.D. at 2 (citing </w:t>
      </w:r>
      <w:r w:rsidR="00A5318C">
        <w:rPr>
          <w:sz w:val="26"/>
          <w:szCs w:val="26"/>
        </w:rPr>
        <w:t>Tr. at 15, 17</w:t>
      </w:r>
      <w:r w:rsidR="003E42BE">
        <w:rPr>
          <w:sz w:val="26"/>
          <w:szCs w:val="26"/>
        </w:rPr>
        <w:t>)</w:t>
      </w:r>
      <w:r w:rsidR="00A5318C">
        <w:rPr>
          <w:sz w:val="26"/>
          <w:szCs w:val="26"/>
        </w:rPr>
        <w:t xml:space="preserve">.  </w:t>
      </w:r>
      <w:r w:rsidR="003E42BE">
        <w:rPr>
          <w:sz w:val="26"/>
          <w:szCs w:val="26"/>
        </w:rPr>
        <w:t>In May of 2014, t</w:t>
      </w:r>
      <w:r w:rsidR="00A5318C">
        <w:rPr>
          <w:sz w:val="26"/>
          <w:szCs w:val="26"/>
        </w:rPr>
        <w:t xml:space="preserve">he Complainant changed his provider from Respond Power to PECO.  </w:t>
      </w:r>
      <w:proofErr w:type="gramStart"/>
      <w:r w:rsidR="003E42BE">
        <w:rPr>
          <w:sz w:val="26"/>
          <w:szCs w:val="26"/>
        </w:rPr>
        <w:t xml:space="preserve">I.D. at 2 (citing </w:t>
      </w:r>
      <w:r w:rsidR="00A5318C">
        <w:rPr>
          <w:sz w:val="26"/>
          <w:szCs w:val="26"/>
        </w:rPr>
        <w:t>Tr. at 7-8</w:t>
      </w:r>
      <w:r w:rsidR="003E42BE">
        <w:rPr>
          <w:sz w:val="26"/>
          <w:szCs w:val="26"/>
        </w:rPr>
        <w:t>)</w:t>
      </w:r>
      <w:r w:rsidR="00A5318C">
        <w:rPr>
          <w:sz w:val="26"/>
          <w:szCs w:val="26"/>
        </w:rPr>
        <w:t>.</w:t>
      </w:r>
      <w:proofErr w:type="gramEnd"/>
      <w:r>
        <w:rPr>
          <w:sz w:val="26"/>
          <w:szCs w:val="26"/>
        </w:rPr>
        <w:t xml:space="preserve">  </w:t>
      </w:r>
      <w:r w:rsidR="003E42BE">
        <w:rPr>
          <w:sz w:val="26"/>
          <w:szCs w:val="26"/>
        </w:rPr>
        <w:t xml:space="preserve">  </w:t>
      </w:r>
      <w:r w:rsidR="00A5318C">
        <w:rPr>
          <w:sz w:val="26"/>
          <w:szCs w:val="26"/>
        </w:rPr>
        <w:t xml:space="preserve">     </w:t>
      </w:r>
      <w:r w:rsidR="00DA1AF0">
        <w:rPr>
          <w:sz w:val="26"/>
          <w:szCs w:val="26"/>
        </w:rPr>
        <w:t xml:space="preserve"> </w:t>
      </w:r>
    </w:p>
    <w:p w:rsidR="00DA1AF0" w:rsidRDefault="00397937" w:rsidP="00A43535">
      <w:pPr>
        <w:spacing w:line="360" w:lineRule="auto"/>
        <w:rPr>
          <w:sz w:val="26"/>
          <w:szCs w:val="26"/>
        </w:rPr>
      </w:pPr>
      <w:r w:rsidRPr="00397937">
        <w:rPr>
          <w:sz w:val="26"/>
          <w:szCs w:val="26"/>
        </w:rPr>
        <w:tab/>
      </w:r>
      <w:r w:rsidR="008F7E16">
        <w:rPr>
          <w:sz w:val="26"/>
          <w:szCs w:val="26"/>
        </w:rPr>
        <w:tab/>
      </w:r>
    </w:p>
    <w:p w:rsidR="00EB70C2" w:rsidRDefault="00DA1AF0" w:rsidP="00A43535">
      <w:pPr>
        <w:spacing w:line="360" w:lineRule="auto"/>
        <w:rPr>
          <w:sz w:val="26"/>
          <w:szCs w:val="26"/>
        </w:rPr>
      </w:pPr>
      <w:r>
        <w:rPr>
          <w:sz w:val="26"/>
          <w:szCs w:val="26"/>
        </w:rPr>
        <w:tab/>
      </w:r>
      <w:r>
        <w:rPr>
          <w:sz w:val="26"/>
          <w:szCs w:val="26"/>
        </w:rPr>
        <w:tab/>
      </w:r>
      <w:r w:rsidR="006B0F73">
        <w:rPr>
          <w:sz w:val="26"/>
          <w:szCs w:val="26"/>
        </w:rPr>
        <w:t>The ALJ</w:t>
      </w:r>
      <w:r w:rsidR="008F7E16">
        <w:rPr>
          <w:sz w:val="26"/>
          <w:szCs w:val="26"/>
        </w:rPr>
        <w:t xml:space="preserve"> sustain</w:t>
      </w:r>
      <w:r w:rsidR="006B0F73">
        <w:rPr>
          <w:sz w:val="26"/>
          <w:szCs w:val="26"/>
        </w:rPr>
        <w:t>ed</w:t>
      </w:r>
      <w:r w:rsidR="008F7E16">
        <w:rPr>
          <w:sz w:val="26"/>
          <w:szCs w:val="26"/>
        </w:rPr>
        <w:t xml:space="preserve"> the Complaint, </w:t>
      </w:r>
      <w:r w:rsidR="006B0F73">
        <w:rPr>
          <w:sz w:val="26"/>
          <w:szCs w:val="26"/>
        </w:rPr>
        <w:t>finding t</w:t>
      </w:r>
      <w:r w:rsidR="008F7E16">
        <w:rPr>
          <w:sz w:val="26"/>
          <w:szCs w:val="26"/>
        </w:rPr>
        <w:t xml:space="preserve">hat the change in the EGS by the Complainant’s sister was unauthorized and, therefore, invalid.  </w:t>
      </w:r>
      <w:proofErr w:type="gramStart"/>
      <w:r w:rsidR="00EE17B5">
        <w:rPr>
          <w:sz w:val="26"/>
          <w:szCs w:val="26"/>
        </w:rPr>
        <w:t>I.D. at 5.</w:t>
      </w:r>
      <w:proofErr w:type="gramEnd"/>
      <w:r w:rsidR="00EE17B5">
        <w:rPr>
          <w:sz w:val="26"/>
          <w:szCs w:val="26"/>
        </w:rPr>
        <w:t xml:space="preserve">  </w:t>
      </w:r>
      <w:r w:rsidR="00BB0C99">
        <w:rPr>
          <w:sz w:val="26"/>
          <w:szCs w:val="26"/>
        </w:rPr>
        <w:t xml:space="preserve">The ALJ </w:t>
      </w:r>
      <w:r w:rsidR="006B0F73">
        <w:rPr>
          <w:sz w:val="26"/>
          <w:szCs w:val="26"/>
        </w:rPr>
        <w:t xml:space="preserve">concluded </w:t>
      </w:r>
      <w:r w:rsidR="00BB0C99">
        <w:rPr>
          <w:sz w:val="26"/>
          <w:szCs w:val="26"/>
        </w:rPr>
        <w:t>that the Complainant’s sister was not a PECO customer, as defined in 52 Pa. Code § 57.171,</w:t>
      </w:r>
      <w:r w:rsidR="00D35565">
        <w:rPr>
          <w:rStyle w:val="FootnoteReference"/>
        </w:rPr>
        <w:footnoteReference w:id="2"/>
      </w:r>
      <w:r w:rsidR="00BB0C99">
        <w:rPr>
          <w:sz w:val="26"/>
          <w:szCs w:val="26"/>
        </w:rPr>
        <w:t xml:space="preserve"> and was not authorized to make changes to the Complainant’s account in </w:t>
      </w:r>
      <w:r w:rsidR="00BB0C99">
        <w:rPr>
          <w:sz w:val="26"/>
          <w:szCs w:val="26"/>
        </w:rPr>
        <w:lastRenderedPageBreak/>
        <w:t>accordance with 52 Pa. Code § 57.17</w:t>
      </w:r>
      <w:r w:rsidR="00707255">
        <w:rPr>
          <w:sz w:val="26"/>
          <w:szCs w:val="26"/>
        </w:rPr>
        <w:t>5</w:t>
      </w:r>
      <w:r w:rsidR="00BB0C99">
        <w:rPr>
          <w:sz w:val="26"/>
          <w:szCs w:val="26"/>
        </w:rPr>
        <w:t>.</w:t>
      </w:r>
      <w:r w:rsidR="00D35565">
        <w:rPr>
          <w:rStyle w:val="FootnoteReference"/>
        </w:rPr>
        <w:footnoteReference w:id="3"/>
      </w:r>
      <w:r w:rsidR="00BB0C99">
        <w:rPr>
          <w:sz w:val="26"/>
          <w:szCs w:val="26"/>
        </w:rPr>
        <w:t xml:space="preserve"> </w:t>
      </w:r>
      <w:r w:rsidR="00EE17B5">
        <w:rPr>
          <w:sz w:val="26"/>
          <w:szCs w:val="26"/>
        </w:rPr>
        <w:t xml:space="preserve"> I.D. at 4.</w:t>
      </w:r>
      <w:r w:rsidR="00BB0C99">
        <w:rPr>
          <w:sz w:val="26"/>
          <w:szCs w:val="26"/>
        </w:rPr>
        <w:t xml:space="preserve"> </w:t>
      </w:r>
      <w:r w:rsidR="00EE17B5">
        <w:rPr>
          <w:sz w:val="26"/>
          <w:szCs w:val="26"/>
        </w:rPr>
        <w:t xml:space="preserve"> The ALJ </w:t>
      </w:r>
      <w:r w:rsidR="006B0F73">
        <w:rPr>
          <w:sz w:val="26"/>
          <w:szCs w:val="26"/>
        </w:rPr>
        <w:t>stated</w:t>
      </w:r>
      <w:r w:rsidR="00EE17B5">
        <w:rPr>
          <w:sz w:val="26"/>
          <w:szCs w:val="26"/>
        </w:rPr>
        <w:t xml:space="preserve"> that the Respondent should have followed the Commission’s Regulations and secured a signed document from PECO identifying persons with authority to initiate changes </w:t>
      </w:r>
      <w:r w:rsidR="00EB70C2">
        <w:rPr>
          <w:sz w:val="26"/>
          <w:szCs w:val="26"/>
        </w:rPr>
        <w:t xml:space="preserve">of the Complainant’s EGS.  </w:t>
      </w:r>
      <w:r w:rsidR="00EB70C2" w:rsidRPr="00EB70C2">
        <w:rPr>
          <w:i/>
          <w:sz w:val="26"/>
          <w:szCs w:val="26"/>
        </w:rPr>
        <w:t>Id</w:t>
      </w:r>
      <w:r w:rsidR="00EB70C2">
        <w:rPr>
          <w:sz w:val="26"/>
          <w:szCs w:val="26"/>
        </w:rPr>
        <w:t>. at 4-5.</w:t>
      </w:r>
    </w:p>
    <w:p w:rsidR="00EB70C2" w:rsidRDefault="00EB70C2" w:rsidP="00A43535">
      <w:pPr>
        <w:spacing w:line="360" w:lineRule="auto"/>
        <w:rPr>
          <w:sz w:val="26"/>
          <w:szCs w:val="26"/>
        </w:rPr>
      </w:pPr>
    </w:p>
    <w:p w:rsidR="006E6DE4" w:rsidRDefault="00EB70C2" w:rsidP="00A43535">
      <w:pPr>
        <w:spacing w:line="360" w:lineRule="auto"/>
        <w:rPr>
          <w:sz w:val="26"/>
          <w:szCs w:val="26"/>
        </w:rPr>
      </w:pPr>
      <w:r>
        <w:rPr>
          <w:sz w:val="26"/>
          <w:szCs w:val="26"/>
        </w:rPr>
        <w:tab/>
      </w:r>
      <w:r>
        <w:rPr>
          <w:sz w:val="26"/>
          <w:szCs w:val="26"/>
        </w:rPr>
        <w:tab/>
        <w:t>Finding that the change in Mr. Tran’s EGS was invalid, the ALJ de</w:t>
      </w:r>
      <w:r w:rsidR="00D75511">
        <w:rPr>
          <w:sz w:val="26"/>
          <w:szCs w:val="26"/>
        </w:rPr>
        <w:t>termined</w:t>
      </w:r>
      <w:r>
        <w:rPr>
          <w:sz w:val="26"/>
          <w:szCs w:val="26"/>
        </w:rPr>
        <w:t xml:space="preserve"> that Respond Power must refund the Complainant an amount that reflect</w:t>
      </w:r>
      <w:r w:rsidR="00323E83">
        <w:rPr>
          <w:sz w:val="26"/>
          <w:szCs w:val="26"/>
        </w:rPr>
        <w:t>ed</w:t>
      </w:r>
      <w:r>
        <w:rPr>
          <w:sz w:val="26"/>
          <w:szCs w:val="26"/>
        </w:rPr>
        <w:t xml:space="preserve"> the difference between Respond Power’s rate and PECO’s rate </w:t>
      </w:r>
      <w:r w:rsidR="00A94E40">
        <w:rPr>
          <w:sz w:val="26"/>
          <w:szCs w:val="26"/>
        </w:rPr>
        <w:t xml:space="preserve">during the entire time period that the Complainant was enrolled with Respond Power.  </w:t>
      </w:r>
      <w:r w:rsidR="00A94E40" w:rsidRPr="00A94E40">
        <w:rPr>
          <w:i/>
          <w:sz w:val="26"/>
          <w:szCs w:val="26"/>
        </w:rPr>
        <w:t>Id</w:t>
      </w:r>
      <w:r w:rsidR="00A94E40">
        <w:rPr>
          <w:sz w:val="26"/>
          <w:szCs w:val="26"/>
        </w:rPr>
        <w:t>. at 5.</w:t>
      </w:r>
      <w:r w:rsidR="006E6DE4">
        <w:rPr>
          <w:sz w:val="26"/>
          <w:szCs w:val="26"/>
        </w:rPr>
        <w:t xml:space="preserve">  The ALJ </w:t>
      </w:r>
      <w:r w:rsidR="00AD5DCA">
        <w:rPr>
          <w:sz w:val="26"/>
          <w:szCs w:val="26"/>
        </w:rPr>
        <w:t xml:space="preserve">quoted our decision in </w:t>
      </w:r>
      <w:r w:rsidR="00AD5DCA" w:rsidRPr="00E27CF5">
        <w:rPr>
          <w:i/>
          <w:sz w:val="26"/>
        </w:rPr>
        <w:t xml:space="preserve">Joseph </w:t>
      </w:r>
      <w:proofErr w:type="spellStart"/>
      <w:r w:rsidR="00AD5DCA" w:rsidRPr="00E27CF5">
        <w:rPr>
          <w:i/>
          <w:sz w:val="26"/>
        </w:rPr>
        <w:t>Nadav</w:t>
      </w:r>
      <w:proofErr w:type="spellEnd"/>
      <w:r w:rsidR="00AD5DCA" w:rsidRPr="00E27CF5">
        <w:rPr>
          <w:i/>
          <w:sz w:val="26"/>
        </w:rPr>
        <w:t xml:space="preserve"> v. Respond Power, LLC</w:t>
      </w:r>
      <w:r w:rsidR="00AD5DCA" w:rsidRPr="005735FF">
        <w:rPr>
          <w:sz w:val="26"/>
        </w:rPr>
        <w:t xml:space="preserve">, </w:t>
      </w:r>
      <w:proofErr w:type="gramStart"/>
      <w:r w:rsidR="00AD5DCA" w:rsidRPr="005735FF">
        <w:rPr>
          <w:sz w:val="26"/>
        </w:rPr>
        <w:t>Docket</w:t>
      </w:r>
      <w:proofErr w:type="gramEnd"/>
      <w:r w:rsidR="00AD5DCA" w:rsidRPr="005735FF">
        <w:rPr>
          <w:sz w:val="26"/>
        </w:rPr>
        <w:t xml:space="preserve"> No. C-2014-2429159 </w:t>
      </w:r>
      <w:r w:rsidR="00AD5DCA">
        <w:rPr>
          <w:sz w:val="26"/>
        </w:rPr>
        <w:t>(</w:t>
      </w:r>
      <w:r w:rsidR="00AD5DCA" w:rsidRPr="005735FF">
        <w:rPr>
          <w:sz w:val="26"/>
        </w:rPr>
        <w:t>Order entered December 19, 2014</w:t>
      </w:r>
      <w:r w:rsidR="00AD5DCA">
        <w:rPr>
          <w:sz w:val="26"/>
        </w:rPr>
        <w:t>)</w:t>
      </w:r>
      <w:r w:rsidR="00777B89">
        <w:rPr>
          <w:sz w:val="26"/>
        </w:rPr>
        <w:t xml:space="preserve"> (</w:t>
      </w:r>
      <w:proofErr w:type="spellStart"/>
      <w:r w:rsidR="00777B89" w:rsidRPr="007354BF">
        <w:rPr>
          <w:i/>
          <w:sz w:val="26"/>
        </w:rPr>
        <w:t>Nadav</w:t>
      </w:r>
      <w:proofErr w:type="spellEnd"/>
      <w:r w:rsidR="00777B89">
        <w:rPr>
          <w:sz w:val="26"/>
        </w:rPr>
        <w:t>)</w:t>
      </w:r>
      <w:r w:rsidR="00AD5DCA">
        <w:rPr>
          <w:sz w:val="26"/>
        </w:rPr>
        <w:t>, at 7</w:t>
      </w:r>
      <w:r w:rsidR="006E6DE4">
        <w:rPr>
          <w:sz w:val="26"/>
          <w:szCs w:val="26"/>
        </w:rPr>
        <w:t xml:space="preserve">:  </w:t>
      </w:r>
    </w:p>
    <w:p w:rsidR="008B614B" w:rsidRDefault="008B614B" w:rsidP="008B614B">
      <w:pPr>
        <w:ind w:left="1440" w:right="1440"/>
        <w:rPr>
          <w:color w:val="000000"/>
        </w:rPr>
      </w:pPr>
    </w:p>
    <w:p w:rsidR="00323E83" w:rsidRDefault="00FD27C5" w:rsidP="008B614B">
      <w:pPr>
        <w:ind w:left="1440" w:right="1440"/>
        <w:rPr>
          <w:sz w:val="26"/>
        </w:rPr>
      </w:pPr>
      <w:r>
        <w:rPr>
          <w:sz w:val="26"/>
        </w:rPr>
        <w:t>[</w:t>
      </w:r>
      <w:r w:rsidR="006E6DE4" w:rsidRPr="005735FF">
        <w:rPr>
          <w:sz w:val="26"/>
        </w:rPr>
        <w:t>I</w:t>
      </w:r>
      <w:r>
        <w:rPr>
          <w:sz w:val="26"/>
        </w:rPr>
        <w:t>]</w:t>
      </w:r>
      <w:r w:rsidR="006E6DE4" w:rsidRPr="005735FF">
        <w:rPr>
          <w:sz w:val="26"/>
        </w:rPr>
        <w:t xml:space="preserve">t is important to note that we [the Commission] have interpreted Section 2807(d)(1) of the Public Utility Code, </w:t>
      </w:r>
    </w:p>
    <w:p w:rsidR="008B614B" w:rsidRPr="005735FF" w:rsidRDefault="006E6DE4" w:rsidP="008B614B">
      <w:pPr>
        <w:ind w:left="1440" w:right="1440"/>
        <w:rPr>
          <w:sz w:val="26"/>
        </w:rPr>
      </w:pPr>
      <w:r w:rsidRPr="005735FF">
        <w:rPr>
          <w:sz w:val="26"/>
        </w:rPr>
        <w:t>66 Pa.</w:t>
      </w:r>
      <w:r w:rsidR="008B614B" w:rsidRPr="005735FF">
        <w:rPr>
          <w:sz w:val="26"/>
        </w:rPr>
        <w:t xml:space="preserve"> </w:t>
      </w:r>
      <w:r w:rsidRPr="005735FF">
        <w:rPr>
          <w:sz w:val="26"/>
        </w:rPr>
        <w:t xml:space="preserve">C.S. § 2807(d)(1), to find that a refund is an appropriate remedy when a customer’s supplier has been changed without the customer’s affirmative consent.  Additionally, our Regulations require an EGS to provide a full refund to customers of all generation charges resulting from an unauthorized switch.  52 Pa. Code § 57.177.  This Regulation, which was approved by the Independent Regulatory Review Commission, has been in effect since 1998 and has the presumption of reasonableness.  Accordingly, while we find that we lack the authority to regulate EGS rates, we conclude that we may require EGSs to provide refunds to retail customers in appropriate circumstances.  </w:t>
      </w:r>
    </w:p>
    <w:p w:rsidR="008B614B" w:rsidRPr="005735FF" w:rsidRDefault="008B614B" w:rsidP="008B614B">
      <w:pPr>
        <w:ind w:left="1440" w:right="1440"/>
        <w:rPr>
          <w:sz w:val="26"/>
        </w:rPr>
      </w:pPr>
    </w:p>
    <w:p w:rsidR="007550FF" w:rsidRDefault="00FD27C5" w:rsidP="00E27CF5">
      <w:pPr>
        <w:spacing w:line="360" w:lineRule="auto"/>
        <w:ind w:right="1440"/>
        <w:rPr>
          <w:sz w:val="26"/>
        </w:rPr>
      </w:pPr>
      <w:proofErr w:type="gramStart"/>
      <w:r>
        <w:rPr>
          <w:sz w:val="26"/>
        </w:rPr>
        <w:t>I.D. at 4</w:t>
      </w:r>
      <w:r w:rsidR="006E6DE4" w:rsidRPr="005735FF">
        <w:rPr>
          <w:sz w:val="26"/>
        </w:rPr>
        <w:t>.</w:t>
      </w:r>
      <w:proofErr w:type="gramEnd"/>
    </w:p>
    <w:p w:rsidR="006E6DE4" w:rsidRPr="005735FF" w:rsidRDefault="00F16020" w:rsidP="00E27CF5">
      <w:pPr>
        <w:spacing w:line="360" w:lineRule="auto"/>
        <w:ind w:right="1440"/>
        <w:rPr>
          <w:spacing w:val="-3"/>
          <w:sz w:val="26"/>
        </w:rPr>
      </w:pPr>
      <w:r>
        <w:rPr>
          <w:sz w:val="26"/>
        </w:rPr>
        <w:t xml:space="preserve">  </w:t>
      </w:r>
      <w:r w:rsidR="00FD27C5">
        <w:rPr>
          <w:sz w:val="26"/>
        </w:rPr>
        <w:t xml:space="preserve">  </w:t>
      </w:r>
      <w:r w:rsidR="00E27CF5">
        <w:rPr>
          <w:sz w:val="26"/>
        </w:rPr>
        <w:t xml:space="preserve">  </w:t>
      </w:r>
    </w:p>
    <w:p w:rsidR="00B45F44" w:rsidRDefault="00A94E40" w:rsidP="00E27CF5">
      <w:pPr>
        <w:spacing w:line="360" w:lineRule="auto"/>
        <w:rPr>
          <w:sz w:val="26"/>
          <w:szCs w:val="26"/>
        </w:rPr>
      </w:pPr>
      <w:r>
        <w:rPr>
          <w:sz w:val="26"/>
          <w:szCs w:val="26"/>
        </w:rPr>
        <w:t xml:space="preserve"> </w:t>
      </w:r>
      <w:r w:rsidR="00EB70C2">
        <w:rPr>
          <w:sz w:val="26"/>
          <w:szCs w:val="26"/>
        </w:rPr>
        <w:t xml:space="preserve">     </w:t>
      </w:r>
      <w:r w:rsidR="00EE17B5">
        <w:rPr>
          <w:sz w:val="26"/>
          <w:szCs w:val="26"/>
        </w:rPr>
        <w:t xml:space="preserve">  </w:t>
      </w:r>
      <w:r w:rsidR="00BB0C99">
        <w:rPr>
          <w:sz w:val="26"/>
          <w:szCs w:val="26"/>
        </w:rPr>
        <w:t xml:space="preserve">  </w:t>
      </w:r>
      <w:r w:rsidR="008F7E16">
        <w:rPr>
          <w:sz w:val="26"/>
          <w:szCs w:val="26"/>
        </w:rPr>
        <w:t xml:space="preserve">  </w:t>
      </w:r>
      <w:r w:rsidR="00397937" w:rsidRPr="00397937">
        <w:rPr>
          <w:sz w:val="26"/>
          <w:szCs w:val="26"/>
        </w:rPr>
        <w:tab/>
      </w:r>
    </w:p>
    <w:p w:rsidR="00452B3B" w:rsidRDefault="00A23A01" w:rsidP="002A5A92">
      <w:pPr>
        <w:spacing w:line="360" w:lineRule="auto"/>
        <w:rPr>
          <w:b/>
          <w:sz w:val="26"/>
          <w:szCs w:val="26"/>
        </w:rPr>
      </w:pPr>
      <w:r>
        <w:rPr>
          <w:b/>
          <w:sz w:val="26"/>
          <w:szCs w:val="26"/>
        </w:rPr>
        <w:lastRenderedPageBreak/>
        <w:t xml:space="preserve">Respond Power’s </w:t>
      </w:r>
      <w:r w:rsidR="00452B3B" w:rsidRPr="00452B3B">
        <w:rPr>
          <w:b/>
          <w:sz w:val="26"/>
          <w:szCs w:val="26"/>
        </w:rPr>
        <w:t>Exceptions</w:t>
      </w:r>
      <w:r w:rsidR="00D31C7D">
        <w:rPr>
          <w:b/>
          <w:sz w:val="26"/>
          <w:szCs w:val="26"/>
        </w:rPr>
        <w:t xml:space="preserve"> </w:t>
      </w:r>
    </w:p>
    <w:p w:rsidR="00452B3B" w:rsidRDefault="00452B3B" w:rsidP="002A5A92">
      <w:pPr>
        <w:spacing w:line="360" w:lineRule="auto"/>
        <w:rPr>
          <w:b/>
          <w:sz w:val="26"/>
          <w:szCs w:val="26"/>
        </w:rPr>
      </w:pPr>
    </w:p>
    <w:p w:rsidR="00803582" w:rsidRDefault="00F16020" w:rsidP="002A5A92">
      <w:pPr>
        <w:spacing w:line="360" w:lineRule="auto"/>
        <w:rPr>
          <w:sz w:val="26"/>
          <w:szCs w:val="26"/>
        </w:rPr>
      </w:pPr>
      <w:r>
        <w:rPr>
          <w:b/>
          <w:sz w:val="26"/>
          <w:szCs w:val="26"/>
        </w:rPr>
        <w:tab/>
      </w:r>
      <w:r>
        <w:rPr>
          <w:b/>
          <w:sz w:val="26"/>
          <w:szCs w:val="26"/>
        </w:rPr>
        <w:tab/>
      </w:r>
      <w:r w:rsidR="00EA4491">
        <w:rPr>
          <w:sz w:val="26"/>
          <w:szCs w:val="26"/>
        </w:rPr>
        <w:t xml:space="preserve">In its first Exception, Respond Power avers that the ALJ erred by concluding that the Commission’s Regulations required the Company to secure a signed document from the EDC identifying the persons with authority to initiate EGS changes.  Respond Power states that the Regulations do not contain such a requirement.  </w:t>
      </w:r>
      <w:r w:rsidR="00532641">
        <w:rPr>
          <w:sz w:val="26"/>
          <w:szCs w:val="26"/>
        </w:rPr>
        <w:t xml:space="preserve">Exc. at 4 (citing I.D. at 4-5, </w:t>
      </w:r>
      <w:r w:rsidR="003714D3">
        <w:rPr>
          <w:sz w:val="26"/>
          <w:szCs w:val="26"/>
        </w:rPr>
        <w:t>Conclusions of Law Nos. 5, 6, and 7).</w:t>
      </w:r>
      <w:r w:rsidR="000E7DC6">
        <w:rPr>
          <w:sz w:val="26"/>
          <w:szCs w:val="26"/>
        </w:rPr>
        <w:t xml:space="preserve">  Respond Power argues that the ALJ erroneously interpreted Section 57.175 of the Regulations.  Exc. at 4.  According to Respond Power, when promulgating the Regulations, the Commission provided a means for a customer to authorize other individuals to switch their account to an EGS in order to facilitate the enrollment process, however, the Commission did not impose a requirement on EGSs to obtain this signed document or to otherwise verify with the EDC which individuals are authorized to change the customer’s EGS.  </w:t>
      </w:r>
      <w:r w:rsidR="00ED47CF" w:rsidRPr="00ED47CF">
        <w:rPr>
          <w:i/>
          <w:sz w:val="26"/>
          <w:szCs w:val="26"/>
        </w:rPr>
        <w:t>Id</w:t>
      </w:r>
      <w:r w:rsidR="00ED47CF">
        <w:rPr>
          <w:sz w:val="26"/>
          <w:szCs w:val="26"/>
        </w:rPr>
        <w:t>. at 4-5.</w:t>
      </w:r>
      <w:r w:rsidR="007F44CA">
        <w:rPr>
          <w:sz w:val="26"/>
          <w:szCs w:val="26"/>
        </w:rPr>
        <w:t xml:space="preserve">  </w:t>
      </w:r>
      <w:r w:rsidR="007756D5">
        <w:rPr>
          <w:sz w:val="26"/>
          <w:szCs w:val="26"/>
        </w:rPr>
        <w:t xml:space="preserve">Respond Power contends that the Commission’s Regulations and recent decisions do not require EGSs to contact the EDC to obtain a list of individuals authorized to make changes to a customer’s account before processing a customer enrollment, and the Commission’s Bureau of Consumer Services (BCS) has reached findings to the contrary indicating that an EGS enrollment is valid when initiated by a sibling or relative of the customer.  </w:t>
      </w:r>
      <w:r w:rsidR="007756D5" w:rsidRPr="007756D5">
        <w:rPr>
          <w:i/>
          <w:sz w:val="26"/>
          <w:szCs w:val="26"/>
        </w:rPr>
        <w:t>Id</w:t>
      </w:r>
      <w:r w:rsidR="007756D5">
        <w:rPr>
          <w:sz w:val="26"/>
          <w:szCs w:val="26"/>
        </w:rPr>
        <w:t xml:space="preserve">. at 5 (citing </w:t>
      </w:r>
      <w:r w:rsidR="007756D5" w:rsidRPr="00ED5E94">
        <w:rPr>
          <w:i/>
          <w:sz w:val="26"/>
          <w:szCs w:val="26"/>
        </w:rPr>
        <w:t>Pham v. Respond Power, LLC</w:t>
      </w:r>
      <w:r w:rsidR="007756D5">
        <w:rPr>
          <w:sz w:val="26"/>
          <w:szCs w:val="26"/>
        </w:rPr>
        <w:t xml:space="preserve">, BCS Case No. 3198928; </w:t>
      </w:r>
      <w:r w:rsidR="007756D5" w:rsidRPr="00ED5E94">
        <w:rPr>
          <w:i/>
          <w:sz w:val="26"/>
          <w:szCs w:val="26"/>
        </w:rPr>
        <w:t>Bosley v. Respond Power, LLC</w:t>
      </w:r>
      <w:r w:rsidR="007756D5">
        <w:rPr>
          <w:sz w:val="26"/>
          <w:szCs w:val="26"/>
        </w:rPr>
        <w:t xml:space="preserve">, BCS Case No. 3211780; </w:t>
      </w:r>
      <w:r w:rsidR="007756D5" w:rsidRPr="00ED5E94">
        <w:rPr>
          <w:i/>
          <w:sz w:val="26"/>
          <w:szCs w:val="26"/>
        </w:rPr>
        <w:t>Hare v. Respond Power, LLC</w:t>
      </w:r>
      <w:r w:rsidR="007756D5">
        <w:rPr>
          <w:sz w:val="26"/>
          <w:szCs w:val="26"/>
        </w:rPr>
        <w:t>, BCS Case No. 3204601).</w:t>
      </w:r>
      <w:r w:rsidR="001205A6">
        <w:rPr>
          <w:sz w:val="26"/>
          <w:szCs w:val="26"/>
        </w:rPr>
        <w:t xml:space="preserve">  </w:t>
      </w:r>
    </w:p>
    <w:p w:rsidR="00803582" w:rsidRDefault="00803582" w:rsidP="002A5A92">
      <w:pPr>
        <w:spacing w:line="360" w:lineRule="auto"/>
        <w:rPr>
          <w:sz w:val="26"/>
          <w:szCs w:val="26"/>
        </w:rPr>
      </w:pPr>
    </w:p>
    <w:p w:rsidR="00323E83" w:rsidRDefault="00CF58FE" w:rsidP="002A5A92">
      <w:pPr>
        <w:spacing w:line="360" w:lineRule="auto"/>
        <w:rPr>
          <w:sz w:val="26"/>
          <w:szCs w:val="26"/>
        </w:rPr>
      </w:pPr>
      <w:r>
        <w:rPr>
          <w:sz w:val="26"/>
          <w:szCs w:val="26"/>
        </w:rPr>
        <w:tab/>
      </w:r>
      <w:r>
        <w:rPr>
          <w:sz w:val="26"/>
          <w:szCs w:val="26"/>
        </w:rPr>
        <w:tab/>
        <w:t>Respond Power continues that the practical effect of an additional authorization step, as contemplated in the Initial Decision, would be contrary to the Commission’s policy of streamlining the enrollment process.</w:t>
      </w:r>
      <w:r w:rsidR="00803582">
        <w:rPr>
          <w:sz w:val="26"/>
          <w:szCs w:val="26"/>
        </w:rPr>
        <w:t xml:space="preserve">  Exc. at 6-7.  Respond Power states that, since communication between the EDC and EGS regarding customer switching occurs through the electronic data interexchange process, a new transaction would have to be developed to implement such an authorization process.  Respond Power asserts that the authorization step proposed in the Initial Decision also conflicts with the </w:t>
      </w:r>
      <w:r w:rsidR="00803582">
        <w:rPr>
          <w:sz w:val="26"/>
          <w:szCs w:val="26"/>
        </w:rPr>
        <w:lastRenderedPageBreak/>
        <w:t xml:space="preserve">Commission’s recent pronouncements which were designed to promote efficiency and reduce delays in EGS enrollments.  </w:t>
      </w:r>
      <w:r w:rsidR="00803582" w:rsidRPr="00803582">
        <w:rPr>
          <w:i/>
          <w:sz w:val="26"/>
          <w:szCs w:val="26"/>
        </w:rPr>
        <w:t>Id</w:t>
      </w:r>
      <w:r w:rsidR="00803582">
        <w:rPr>
          <w:sz w:val="26"/>
          <w:szCs w:val="26"/>
        </w:rPr>
        <w:t xml:space="preserve">. at 7.  The Company cites to the </w:t>
      </w:r>
      <w:r w:rsidR="00803582" w:rsidRPr="00803582">
        <w:rPr>
          <w:i/>
          <w:sz w:val="26"/>
          <w:szCs w:val="26"/>
        </w:rPr>
        <w:t>Rulemaking to Amend the Provisions of 52 Pa. Code, Chapter 57 Regulations Regarding Standards for Changing a Customer’s Electricity Generation Supplier</w:t>
      </w:r>
      <w:r w:rsidR="00803582">
        <w:rPr>
          <w:sz w:val="26"/>
          <w:szCs w:val="26"/>
        </w:rPr>
        <w:t>, Docket No. L-2014-2409383 (</w:t>
      </w:r>
      <w:r w:rsidR="004440F0">
        <w:rPr>
          <w:sz w:val="26"/>
          <w:szCs w:val="26"/>
        </w:rPr>
        <w:t xml:space="preserve">Final-Omitted Rulemaking </w:t>
      </w:r>
      <w:r w:rsidR="00803582">
        <w:rPr>
          <w:sz w:val="26"/>
          <w:szCs w:val="26"/>
        </w:rPr>
        <w:t>Order entered</w:t>
      </w:r>
      <w:r w:rsidR="00323E83">
        <w:rPr>
          <w:sz w:val="26"/>
          <w:szCs w:val="26"/>
        </w:rPr>
        <w:t xml:space="preserve"> April 3, 2014</w:t>
      </w:r>
      <w:r w:rsidR="00803582">
        <w:rPr>
          <w:sz w:val="26"/>
          <w:szCs w:val="26"/>
        </w:rPr>
        <w:t xml:space="preserve">), in which </w:t>
      </w:r>
      <w:r w:rsidR="007E02B7">
        <w:rPr>
          <w:sz w:val="26"/>
          <w:szCs w:val="26"/>
        </w:rPr>
        <w:t xml:space="preserve">the Commission accelerated the switching process to allow customers to be switched to an EGS within three business days.  </w:t>
      </w:r>
      <w:r w:rsidR="00B26ACE">
        <w:rPr>
          <w:sz w:val="26"/>
          <w:szCs w:val="26"/>
        </w:rPr>
        <w:t xml:space="preserve">Respond Power avers that an additional authorization requirement would also be inconsistent with prior Commission decisions declining to place the EDC in a gatekeeper role during enrollments.  </w:t>
      </w:r>
      <w:r w:rsidR="004B2A25">
        <w:rPr>
          <w:sz w:val="26"/>
          <w:szCs w:val="26"/>
        </w:rPr>
        <w:t xml:space="preserve">For example, </w:t>
      </w:r>
      <w:r w:rsidR="00B26ACE">
        <w:rPr>
          <w:sz w:val="26"/>
          <w:szCs w:val="26"/>
        </w:rPr>
        <w:t xml:space="preserve">Respond Power notes that the Commission established a process for EGSs to obtain account numbers directly from EDCs in </w:t>
      </w:r>
      <w:r w:rsidR="00B26ACE" w:rsidRPr="00B26ACE">
        <w:rPr>
          <w:i/>
          <w:sz w:val="26"/>
          <w:szCs w:val="26"/>
        </w:rPr>
        <w:t>EDC Customer Account Number Access Mechanism for EGSs</w:t>
      </w:r>
      <w:r w:rsidR="00B26ACE">
        <w:rPr>
          <w:sz w:val="26"/>
          <w:szCs w:val="26"/>
        </w:rPr>
        <w:t xml:space="preserve">, Docket No. </w:t>
      </w:r>
    </w:p>
    <w:p w:rsidR="00B4144A" w:rsidRDefault="00B26ACE" w:rsidP="002A5A92">
      <w:pPr>
        <w:spacing w:line="360" w:lineRule="auto"/>
        <w:rPr>
          <w:sz w:val="26"/>
          <w:szCs w:val="26"/>
        </w:rPr>
      </w:pPr>
      <w:r>
        <w:rPr>
          <w:sz w:val="26"/>
          <w:szCs w:val="26"/>
        </w:rPr>
        <w:t>M-2013-2355751 (Final Order entered July 16, 2013).</w:t>
      </w:r>
      <w:r w:rsidR="00276456">
        <w:rPr>
          <w:sz w:val="26"/>
          <w:szCs w:val="26"/>
        </w:rPr>
        <w:t xml:space="preserve">  Exc. at 7.</w:t>
      </w:r>
      <w:r w:rsidR="00323E83">
        <w:rPr>
          <w:sz w:val="26"/>
          <w:szCs w:val="26"/>
        </w:rPr>
        <w:t xml:space="preserve">  </w:t>
      </w:r>
      <w:r w:rsidR="00DD6795">
        <w:rPr>
          <w:sz w:val="26"/>
          <w:szCs w:val="26"/>
        </w:rPr>
        <w:t xml:space="preserve">  </w:t>
      </w:r>
    </w:p>
    <w:p w:rsidR="00B4144A" w:rsidRDefault="00B4144A" w:rsidP="002A5A92">
      <w:pPr>
        <w:spacing w:line="360" w:lineRule="auto"/>
        <w:rPr>
          <w:sz w:val="26"/>
          <w:szCs w:val="26"/>
        </w:rPr>
      </w:pPr>
    </w:p>
    <w:p w:rsidR="00BB77F4" w:rsidRDefault="00B4144A" w:rsidP="002A5A92">
      <w:pPr>
        <w:spacing w:line="360" w:lineRule="auto"/>
        <w:rPr>
          <w:sz w:val="26"/>
          <w:szCs w:val="26"/>
        </w:rPr>
      </w:pPr>
      <w:r>
        <w:rPr>
          <w:sz w:val="26"/>
          <w:szCs w:val="26"/>
        </w:rPr>
        <w:tab/>
      </w:r>
      <w:r>
        <w:rPr>
          <w:sz w:val="26"/>
          <w:szCs w:val="26"/>
        </w:rPr>
        <w:tab/>
        <w:t>Additionally, Respond Power states that, even if the Regulations required an additional authorization step, that step would have been inapplicable in this case because the Complainant’s sister falsely claimed to be the Complainant.  The Company avers that, on th</w:t>
      </w:r>
      <w:r w:rsidR="00323E83">
        <w:rPr>
          <w:sz w:val="26"/>
          <w:szCs w:val="26"/>
        </w:rPr>
        <w:t>is</w:t>
      </w:r>
      <w:r>
        <w:rPr>
          <w:sz w:val="26"/>
          <w:szCs w:val="26"/>
        </w:rPr>
        <w:t xml:space="preserve"> basis alone, the ALJ incorrectly found that Respond Power had any requirement or reason to obtain a list of individuals authorized to make changes to the Complainant’s account.  </w:t>
      </w:r>
      <w:r w:rsidRPr="00B4144A">
        <w:rPr>
          <w:i/>
          <w:sz w:val="26"/>
          <w:szCs w:val="26"/>
        </w:rPr>
        <w:t>Id</w:t>
      </w:r>
      <w:r>
        <w:rPr>
          <w:sz w:val="26"/>
          <w:szCs w:val="26"/>
        </w:rPr>
        <w:t xml:space="preserve">. at 8.  </w:t>
      </w:r>
      <w:r w:rsidR="00F9320E">
        <w:rPr>
          <w:sz w:val="26"/>
          <w:szCs w:val="26"/>
        </w:rPr>
        <w:t xml:space="preserve">Respond Power asserts that a review of the record indicates that the Complainant’s sister claimed to be Binh Tran when speaking with a Company representative and, as such, the Company was not on notice that the change was initiated by someone other than the customer of record.  </w:t>
      </w:r>
      <w:r w:rsidR="00F9320E" w:rsidRPr="00F9320E">
        <w:rPr>
          <w:i/>
          <w:sz w:val="26"/>
          <w:szCs w:val="26"/>
        </w:rPr>
        <w:t>Id</w:t>
      </w:r>
      <w:r w:rsidR="00F9320E">
        <w:rPr>
          <w:sz w:val="26"/>
          <w:szCs w:val="26"/>
        </w:rPr>
        <w:t xml:space="preserve">. at 9, 10.  </w:t>
      </w:r>
      <w:r w:rsidR="00AD3C37">
        <w:rPr>
          <w:sz w:val="26"/>
          <w:szCs w:val="26"/>
        </w:rPr>
        <w:t xml:space="preserve">Respond Power further asserts that the Complainant’s sister told the Company representative that she was authorized to switch the electric generation supply service to Respond Power.  For these reasons, Respond Power contends that </w:t>
      </w:r>
      <w:r w:rsidR="00E02CFB">
        <w:rPr>
          <w:sz w:val="26"/>
          <w:szCs w:val="26"/>
        </w:rPr>
        <w:t xml:space="preserve">it </w:t>
      </w:r>
      <w:r w:rsidR="00AD3C37">
        <w:rPr>
          <w:sz w:val="26"/>
          <w:szCs w:val="26"/>
        </w:rPr>
        <w:t xml:space="preserve">processed the EGS switch in conformance with the Code and the applicable Regulations.  </w:t>
      </w:r>
      <w:proofErr w:type="gramStart"/>
      <w:r w:rsidR="00AD3C37" w:rsidRPr="00AD3C37">
        <w:rPr>
          <w:i/>
          <w:sz w:val="26"/>
          <w:szCs w:val="26"/>
        </w:rPr>
        <w:t>Id</w:t>
      </w:r>
      <w:r w:rsidR="00AD3C37">
        <w:rPr>
          <w:sz w:val="26"/>
          <w:szCs w:val="26"/>
        </w:rPr>
        <w:t>. at 11.</w:t>
      </w:r>
      <w:proofErr w:type="gramEnd"/>
      <w:r w:rsidR="00C23908">
        <w:rPr>
          <w:sz w:val="26"/>
          <w:szCs w:val="26"/>
        </w:rPr>
        <w:t xml:space="preserve">  </w:t>
      </w:r>
    </w:p>
    <w:p w:rsidR="007550FF" w:rsidRDefault="007550FF" w:rsidP="002A5A92">
      <w:pPr>
        <w:spacing w:line="360" w:lineRule="auto"/>
        <w:rPr>
          <w:sz w:val="26"/>
          <w:szCs w:val="26"/>
        </w:rPr>
      </w:pPr>
    </w:p>
    <w:p w:rsidR="0011419F" w:rsidRDefault="00BB77F4" w:rsidP="002A5A92">
      <w:pPr>
        <w:spacing w:line="360" w:lineRule="auto"/>
        <w:rPr>
          <w:sz w:val="26"/>
          <w:szCs w:val="26"/>
        </w:rPr>
      </w:pPr>
      <w:r>
        <w:rPr>
          <w:sz w:val="26"/>
          <w:szCs w:val="26"/>
        </w:rPr>
        <w:tab/>
      </w:r>
      <w:r>
        <w:rPr>
          <w:sz w:val="26"/>
          <w:szCs w:val="26"/>
        </w:rPr>
        <w:tab/>
        <w:t xml:space="preserve">In its second Exception, Respond Power avers that the Commission </w:t>
      </w:r>
      <w:r w:rsidR="00F674B5">
        <w:rPr>
          <w:sz w:val="26"/>
          <w:szCs w:val="26"/>
        </w:rPr>
        <w:t>lacks</w:t>
      </w:r>
      <w:r>
        <w:rPr>
          <w:sz w:val="26"/>
          <w:szCs w:val="26"/>
        </w:rPr>
        <w:t xml:space="preserve"> statutory authority to direct an EGS to issue a refund to a customer.  </w:t>
      </w:r>
      <w:r w:rsidRPr="00504127">
        <w:rPr>
          <w:i/>
          <w:sz w:val="26"/>
          <w:szCs w:val="26"/>
        </w:rPr>
        <w:t>Id</w:t>
      </w:r>
      <w:r>
        <w:rPr>
          <w:sz w:val="26"/>
          <w:szCs w:val="26"/>
        </w:rPr>
        <w:t>.</w:t>
      </w:r>
      <w:r w:rsidR="00F674B5">
        <w:rPr>
          <w:sz w:val="26"/>
          <w:szCs w:val="26"/>
        </w:rPr>
        <w:t xml:space="preserve">  </w:t>
      </w:r>
      <w:r w:rsidR="002134A3">
        <w:rPr>
          <w:sz w:val="26"/>
          <w:szCs w:val="26"/>
        </w:rPr>
        <w:t xml:space="preserve">Respond Power </w:t>
      </w:r>
      <w:r w:rsidR="002134A3">
        <w:rPr>
          <w:sz w:val="26"/>
          <w:szCs w:val="26"/>
        </w:rPr>
        <w:lastRenderedPageBreak/>
        <w:t xml:space="preserve">asserts that Section 1312 of the Code provides the Commission’s only statutory authority to direct the issuance of refunds.  Respond Power states that Section 1312 does not apply here because EGSs are not public utilities for pricing purposes, and the Commission does not have jurisdiction to review, set, or regulate EGS prices to determine whether such prices are unjust or unreasonable, which is the standard governing refunds by public utilities.  </w:t>
      </w:r>
      <w:r w:rsidR="002134A3" w:rsidRPr="002134A3">
        <w:rPr>
          <w:i/>
          <w:sz w:val="26"/>
          <w:szCs w:val="26"/>
        </w:rPr>
        <w:t>Id</w:t>
      </w:r>
      <w:r w:rsidR="002134A3">
        <w:rPr>
          <w:sz w:val="26"/>
          <w:szCs w:val="26"/>
        </w:rPr>
        <w:t>. at 12.</w:t>
      </w:r>
      <w:r w:rsidR="0011419F">
        <w:rPr>
          <w:sz w:val="26"/>
          <w:szCs w:val="26"/>
        </w:rPr>
        <w:t xml:space="preserve">  </w:t>
      </w:r>
    </w:p>
    <w:p w:rsidR="0011419F" w:rsidRDefault="0011419F" w:rsidP="002A5A92">
      <w:pPr>
        <w:spacing w:line="360" w:lineRule="auto"/>
        <w:rPr>
          <w:sz w:val="26"/>
          <w:szCs w:val="26"/>
        </w:rPr>
      </w:pPr>
    </w:p>
    <w:p w:rsidR="00F16020" w:rsidRPr="00EA4491" w:rsidRDefault="0011419F" w:rsidP="002A5A92">
      <w:pPr>
        <w:spacing w:line="360" w:lineRule="auto"/>
        <w:rPr>
          <w:sz w:val="26"/>
          <w:szCs w:val="26"/>
        </w:rPr>
      </w:pPr>
      <w:r>
        <w:rPr>
          <w:sz w:val="26"/>
          <w:szCs w:val="26"/>
        </w:rPr>
        <w:tab/>
      </w:r>
      <w:r>
        <w:rPr>
          <w:sz w:val="26"/>
          <w:szCs w:val="26"/>
        </w:rPr>
        <w:tab/>
        <w:t xml:space="preserve">Moreover, Respond Power argues that the limited circumstances under which the Commission has suggested that it may direct an EGS to issue a refund do not apply in this case.  </w:t>
      </w:r>
      <w:r w:rsidR="001877A2">
        <w:rPr>
          <w:sz w:val="26"/>
          <w:szCs w:val="26"/>
        </w:rPr>
        <w:t>The Company states that, even assuming the refund provisions of Section 57.177 of the Commission’s Regulations, 52 Pa. Code § 57.177</w:t>
      </w:r>
      <w:r w:rsidR="00503395">
        <w:rPr>
          <w:sz w:val="26"/>
          <w:szCs w:val="26"/>
        </w:rPr>
        <w:t>,</w:t>
      </w:r>
      <w:r w:rsidR="001877A2">
        <w:rPr>
          <w:sz w:val="26"/>
          <w:szCs w:val="26"/>
        </w:rPr>
        <w:t xml:space="preserve"> are valid, the provisions are inapplicable here.  Respond Power avers that the Complainant’s account was switched to the Company on March 21, 2013, a full year before the switch was disputed by the Complainant.  Exc. at 13.  Respond Power contends that, since the Complainant did not dispute the switch within the first two billing periods, there is no basis for a refund under Section 57.177.  </w:t>
      </w:r>
      <w:r w:rsidR="007E2EF7">
        <w:rPr>
          <w:sz w:val="26"/>
          <w:szCs w:val="26"/>
        </w:rPr>
        <w:t>Exc. at 13-14.  The Company also notes that</w:t>
      </w:r>
      <w:r w:rsidR="00503395">
        <w:rPr>
          <w:sz w:val="26"/>
          <w:szCs w:val="26"/>
        </w:rPr>
        <w:t>,</w:t>
      </w:r>
      <w:r w:rsidR="007E2EF7">
        <w:rPr>
          <w:sz w:val="26"/>
          <w:szCs w:val="26"/>
        </w:rPr>
        <w:t xml:space="preserve"> </w:t>
      </w:r>
      <w:r w:rsidR="00503395">
        <w:rPr>
          <w:sz w:val="26"/>
          <w:szCs w:val="26"/>
        </w:rPr>
        <w:t xml:space="preserve">under </w:t>
      </w:r>
      <w:r w:rsidR="007E2EF7">
        <w:rPr>
          <w:sz w:val="26"/>
          <w:szCs w:val="26"/>
        </w:rPr>
        <w:t>Section 57.173(2) of the Commission’s Regulations, 52 Pa. Code § 57.173(2), EDCs are required to send confirmation letters to customers upon receipt of the EGS’ notice of enrollment, a process which is intended to avoid unauthorized switches and ensure that customers are aware of change</w:t>
      </w:r>
      <w:r w:rsidR="00AD09A1">
        <w:rPr>
          <w:sz w:val="26"/>
          <w:szCs w:val="26"/>
        </w:rPr>
        <w:t>s</w:t>
      </w:r>
      <w:r w:rsidR="007E2EF7">
        <w:rPr>
          <w:sz w:val="26"/>
          <w:szCs w:val="26"/>
        </w:rPr>
        <w:t xml:space="preserve"> made to their accounts.  Respond Power notes that it sent the Complainant a disclosure statement explaining the terms and conditions upon enrollment.  Respond Power indicates that the Complainant should have reasonably known about the change in </w:t>
      </w:r>
      <w:r w:rsidR="00327DC7">
        <w:rPr>
          <w:sz w:val="26"/>
          <w:szCs w:val="26"/>
        </w:rPr>
        <w:t xml:space="preserve">the </w:t>
      </w:r>
      <w:r w:rsidR="007E2EF7">
        <w:rPr>
          <w:sz w:val="26"/>
          <w:szCs w:val="26"/>
        </w:rPr>
        <w:t xml:space="preserve">EGS provider in 2013 when the </w:t>
      </w:r>
      <w:r w:rsidR="00503395">
        <w:rPr>
          <w:sz w:val="26"/>
          <w:szCs w:val="26"/>
        </w:rPr>
        <w:t>d</w:t>
      </w:r>
      <w:r w:rsidR="007E2EF7">
        <w:rPr>
          <w:sz w:val="26"/>
          <w:szCs w:val="26"/>
        </w:rPr>
        <w:t xml:space="preserve">isclosure </w:t>
      </w:r>
      <w:r w:rsidR="00503395">
        <w:rPr>
          <w:sz w:val="26"/>
          <w:szCs w:val="26"/>
        </w:rPr>
        <w:t>s</w:t>
      </w:r>
      <w:r w:rsidR="007E2EF7">
        <w:rPr>
          <w:sz w:val="26"/>
          <w:szCs w:val="26"/>
        </w:rPr>
        <w:t xml:space="preserve">tatement was sent to him and the Company began providing EGS service to him as reflected in his bills for electric service.  </w:t>
      </w:r>
      <w:proofErr w:type="gramStart"/>
      <w:r w:rsidR="007E2EF7">
        <w:rPr>
          <w:sz w:val="26"/>
          <w:szCs w:val="26"/>
        </w:rPr>
        <w:t>Exc. at 14.</w:t>
      </w:r>
      <w:proofErr w:type="gramEnd"/>
      <w:r w:rsidR="007E2EF7">
        <w:rPr>
          <w:sz w:val="26"/>
          <w:szCs w:val="26"/>
        </w:rPr>
        <w:t xml:space="preserve"> </w:t>
      </w:r>
      <w:r w:rsidR="007756D5">
        <w:rPr>
          <w:sz w:val="26"/>
          <w:szCs w:val="26"/>
        </w:rPr>
        <w:t xml:space="preserve"> </w:t>
      </w:r>
      <w:r w:rsidR="00ED47CF">
        <w:rPr>
          <w:sz w:val="26"/>
          <w:szCs w:val="26"/>
        </w:rPr>
        <w:t xml:space="preserve">  </w:t>
      </w:r>
      <w:r w:rsidR="000E7DC6">
        <w:rPr>
          <w:sz w:val="26"/>
          <w:szCs w:val="26"/>
        </w:rPr>
        <w:t xml:space="preserve">               </w:t>
      </w:r>
      <w:r w:rsidR="003714D3">
        <w:rPr>
          <w:sz w:val="26"/>
          <w:szCs w:val="26"/>
        </w:rPr>
        <w:t xml:space="preserve">  </w:t>
      </w:r>
      <w:r w:rsidR="000E7DC6">
        <w:rPr>
          <w:sz w:val="26"/>
          <w:szCs w:val="26"/>
        </w:rPr>
        <w:t xml:space="preserve">  </w:t>
      </w:r>
      <w:r w:rsidR="00EA4491">
        <w:rPr>
          <w:sz w:val="26"/>
          <w:szCs w:val="26"/>
        </w:rPr>
        <w:t xml:space="preserve">     </w:t>
      </w:r>
    </w:p>
    <w:p w:rsidR="007550FF" w:rsidRDefault="007550FF" w:rsidP="002A5A92">
      <w:pPr>
        <w:spacing w:line="360" w:lineRule="auto"/>
        <w:rPr>
          <w:b/>
          <w:sz w:val="26"/>
          <w:szCs w:val="26"/>
        </w:rPr>
      </w:pPr>
    </w:p>
    <w:p w:rsidR="00DC7409" w:rsidRDefault="00DC7409">
      <w:pPr>
        <w:rPr>
          <w:b/>
          <w:sz w:val="26"/>
          <w:szCs w:val="26"/>
        </w:rPr>
      </w:pPr>
      <w:r>
        <w:rPr>
          <w:b/>
          <w:sz w:val="26"/>
          <w:szCs w:val="26"/>
        </w:rPr>
        <w:br w:type="page"/>
      </w:r>
    </w:p>
    <w:p w:rsidR="008A067A" w:rsidRPr="008A067A" w:rsidRDefault="008A067A" w:rsidP="002A5A92">
      <w:pPr>
        <w:spacing w:line="360" w:lineRule="auto"/>
        <w:rPr>
          <w:b/>
          <w:sz w:val="26"/>
          <w:szCs w:val="26"/>
        </w:rPr>
      </w:pPr>
      <w:r w:rsidRPr="008A067A">
        <w:rPr>
          <w:b/>
          <w:sz w:val="26"/>
          <w:szCs w:val="26"/>
        </w:rPr>
        <w:lastRenderedPageBreak/>
        <w:t>Disposition</w:t>
      </w:r>
    </w:p>
    <w:p w:rsidR="0055430E" w:rsidRDefault="0055430E" w:rsidP="002A5A92">
      <w:pPr>
        <w:spacing w:line="360" w:lineRule="auto"/>
        <w:rPr>
          <w:sz w:val="26"/>
          <w:szCs w:val="26"/>
        </w:rPr>
      </w:pPr>
    </w:p>
    <w:p w:rsidR="00781F8B" w:rsidRDefault="008A067A" w:rsidP="00E9605B">
      <w:pPr>
        <w:spacing w:line="360" w:lineRule="auto"/>
        <w:rPr>
          <w:sz w:val="26"/>
          <w:szCs w:val="26"/>
        </w:rPr>
      </w:pPr>
      <w:r>
        <w:rPr>
          <w:sz w:val="26"/>
          <w:szCs w:val="26"/>
        </w:rPr>
        <w:tab/>
      </w:r>
      <w:r w:rsidR="007A01B0">
        <w:rPr>
          <w:sz w:val="26"/>
          <w:szCs w:val="26"/>
        </w:rPr>
        <w:tab/>
      </w:r>
      <w:r w:rsidR="00AF15FB">
        <w:rPr>
          <w:sz w:val="26"/>
          <w:szCs w:val="26"/>
        </w:rPr>
        <w:t>Based</w:t>
      </w:r>
      <w:r w:rsidR="005C75B5">
        <w:rPr>
          <w:sz w:val="26"/>
          <w:szCs w:val="26"/>
        </w:rPr>
        <w:t xml:space="preserve"> on our review of the applicable law and the record in this proceeding, w</w:t>
      </w:r>
      <w:r w:rsidR="00AA54E1">
        <w:rPr>
          <w:sz w:val="26"/>
          <w:szCs w:val="26"/>
        </w:rPr>
        <w:t xml:space="preserve">e will grant, in part, Respond Power’s Exceptions. </w:t>
      </w:r>
      <w:r w:rsidR="009E4674">
        <w:rPr>
          <w:sz w:val="26"/>
          <w:szCs w:val="26"/>
        </w:rPr>
        <w:t xml:space="preserve"> </w:t>
      </w:r>
      <w:r w:rsidR="00233B08">
        <w:rPr>
          <w:sz w:val="26"/>
          <w:szCs w:val="26"/>
        </w:rPr>
        <w:t>W</w:t>
      </w:r>
      <w:r w:rsidR="00C67D62">
        <w:rPr>
          <w:sz w:val="26"/>
          <w:szCs w:val="26"/>
        </w:rPr>
        <w:t>e find that the Complainant did not meet his burden of proving that Respond Power is responsible for the problem described in the Complaint or that Respond Power violated the Code, a Commission Regulation, or a Commission Order.</w:t>
      </w:r>
      <w:r w:rsidR="00163324">
        <w:rPr>
          <w:sz w:val="26"/>
          <w:szCs w:val="26"/>
        </w:rPr>
        <w:t xml:space="preserve"> </w:t>
      </w:r>
      <w:r w:rsidR="00AA54E1">
        <w:rPr>
          <w:sz w:val="26"/>
          <w:szCs w:val="26"/>
        </w:rPr>
        <w:t xml:space="preserve"> </w:t>
      </w:r>
      <w:r w:rsidR="00163324">
        <w:rPr>
          <w:sz w:val="26"/>
          <w:szCs w:val="26"/>
        </w:rPr>
        <w:t>During the hearing Mr. Tran testified that his sister switch</w:t>
      </w:r>
      <w:r w:rsidR="00233B08">
        <w:rPr>
          <w:sz w:val="26"/>
          <w:szCs w:val="26"/>
        </w:rPr>
        <w:t>ed</w:t>
      </w:r>
      <w:r w:rsidR="00E67EB3">
        <w:rPr>
          <w:sz w:val="26"/>
          <w:szCs w:val="26"/>
        </w:rPr>
        <w:t xml:space="preserve"> the Complainant’s account from PECO to Respond Power, but that neither he nor his sister understood the difference between a fixed </w:t>
      </w:r>
      <w:r w:rsidR="009E4674">
        <w:rPr>
          <w:sz w:val="26"/>
          <w:szCs w:val="26"/>
        </w:rPr>
        <w:t xml:space="preserve">rate </w:t>
      </w:r>
      <w:r w:rsidR="00E67EB3">
        <w:rPr>
          <w:sz w:val="26"/>
          <w:szCs w:val="26"/>
        </w:rPr>
        <w:t xml:space="preserve">and a variable rate.  </w:t>
      </w:r>
      <w:r w:rsidR="009E09CC">
        <w:rPr>
          <w:sz w:val="26"/>
          <w:szCs w:val="26"/>
        </w:rPr>
        <w:t xml:space="preserve">Mr. Tran did not allege during the hearing that his sister was </w:t>
      </w:r>
      <w:r w:rsidR="009E4674">
        <w:rPr>
          <w:sz w:val="26"/>
          <w:szCs w:val="26"/>
        </w:rPr>
        <w:t>un</w:t>
      </w:r>
      <w:r w:rsidR="009E09CC">
        <w:rPr>
          <w:sz w:val="26"/>
          <w:szCs w:val="26"/>
        </w:rPr>
        <w:t xml:space="preserve">authorized to change his EGS.  </w:t>
      </w:r>
      <w:r w:rsidR="00036FA2">
        <w:rPr>
          <w:sz w:val="26"/>
          <w:szCs w:val="26"/>
        </w:rPr>
        <w:t>Tr. at 6, 7, 8.  While the ALJ relies on Section 57.175 to reach her conclusion, the record is devoid of any information regarding whether or not Mr. Tran identified persons authorized to make changes to his account.  Accordingly, we cannot conclude that the Complainant met his burden of proof</w:t>
      </w:r>
      <w:r w:rsidR="00342E70">
        <w:rPr>
          <w:sz w:val="26"/>
          <w:szCs w:val="26"/>
        </w:rPr>
        <w:t xml:space="preserve"> </w:t>
      </w:r>
      <w:r w:rsidR="00F21E35">
        <w:rPr>
          <w:sz w:val="26"/>
          <w:szCs w:val="26"/>
        </w:rPr>
        <w:t xml:space="preserve">to establish a </w:t>
      </w:r>
      <w:r w:rsidR="00F21E35" w:rsidRPr="00F21E35">
        <w:rPr>
          <w:i/>
          <w:sz w:val="26"/>
          <w:szCs w:val="26"/>
        </w:rPr>
        <w:t>prima facie</w:t>
      </w:r>
      <w:r w:rsidR="00F21E35">
        <w:rPr>
          <w:sz w:val="26"/>
          <w:szCs w:val="26"/>
        </w:rPr>
        <w:t xml:space="preserve"> case</w:t>
      </w:r>
      <w:r w:rsidR="00036FA2">
        <w:rPr>
          <w:sz w:val="26"/>
          <w:szCs w:val="26"/>
        </w:rPr>
        <w:t xml:space="preserve">.      </w:t>
      </w:r>
      <w:r w:rsidR="00781F8B">
        <w:rPr>
          <w:sz w:val="26"/>
          <w:szCs w:val="26"/>
        </w:rPr>
        <w:t xml:space="preserve">  </w:t>
      </w:r>
    </w:p>
    <w:p w:rsidR="00781F8B" w:rsidRDefault="00781F8B" w:rsidP="00E9605B">
      <w:pPr>
        <w:spacing w:line="360" w:lineRule="auto"/>
        <w:rPr>
          <w:sz w:val="26"/>
          <w:szCs w:val="26"/>
        </w:rPr>
      </w:pPr>
    </w:p>
    <w:p w:rsidR="009512A2" w:rsidRDefault="00781F8B" w:rsidP="00E9605B">
      <w:pPr>
        <w:spacing w:line="360" w:lineRule="auto"/>
        <w:rPr>
          <w:sz w:val="26"/>
          <w:szCs w:val="26"/>
        </w:rPr>
      </w:pPr>
      <w:r>
        <w:rPr>
          <w:sz w:val="26"/>
          <w:szCs w:val="26"/>
        </w:rPr>
        <w:tab/>
      </w:r>
      <w:r>
        <w:rPr>
          <w:sz w:val="26"/>
          <w:szCs w:val="26"/>
        </w:rPr>
        <w:tab/>
      </w:r>
      <w:r w:rsidR="00342E70">
        <w:rPr>
          <w:sz w:val="26"/>
          <w:szCs w:val="26"/>
        </w:rPr>
        <w:t xml:space="preserve">Even if we were to conclude that the </w:t>
      </w:r>
      <w:r w:rsidR="00342E70" w:rsidRPr="00D41957">
        <w:rPr>
          <w:sz w:val="26"/>
          <w:szCs w:val="26"/>
        </w:rPr>
        <w:t xml:space="preserve">Complainant </w:t>
      </w:r>
      <w:r w:rsidR="00342E70">
        <w:rPr>
          <w:sz w:val="26"/>
          <w:szCs w:val="26"/>
        </w:rPr>
        <w:t>presented</w:t>
      </w:r>
      <w:r w:rsidR="00342E70" w:rsidRPr="00D41957">
        <w:rPr>
          <w:sz w:val="26"/>
          <w:szCs w:val="26"/>
        </w:rPr>
        <w:t xml:space="preserve"> evidence sufficient </w:t>
      </w:r>
      <w:r w:rsidR="00342E70" w:rsidRPr="00D41957">
        <w:rPr>
          <w:sz w:val="26"/>
        </w:rPr>
        <w:t>to initially satisfy the burden of proof, the Respondent</w:t>
      </w:r>
      <w:r w:rsidR="00342E70">
        <w:rPr>
          <w:sz w:val="26"/>
        </w:rPr>
        <w:t xml:space="preserve"> presented enough evidence to rebut the Complainant’s evidence</w:t>
      </w:r>
      <w:r w:rsidR="00342E70" w:rsidRPr="00D41957">
        <w:rPr>
          <w:sz w:val="26"/>
        </w:rPr>
        <w:t xml:space="preserve">.  </w:t>
      </w:r>
      <w:r w:rsidR="00794532">
        <w:rPr>
          <w:sz w:val="26"/>
          <w:szCs w:val="26"/>
        </w:rPr>
        <w:t>Respond Power</w:t>
      </w:r>
      <w:r w:rsidR="00465C77">
        <w:rPr>
          <w:sz w:val="26"/>
          <w:szCs w:val="26"/>
        </w:rPr>
        <w:t>’s witness,</w:t>
      </w:r>
      <w:r w:rsidR="00465C77" w:rsidRPr="00465C77">
        <w:rPr>
          <w:sz w:val="26"/>
          <w:szCs w:val="26"/>
        </w:rPr>
        <w:t xml:space="preserve"> </w:t>
      </w:r>
      <w:r w:rsidR="00465C77">
        <w:rPr>
          <w:sz w:val="26"/>
          <w:szCs w:val="26"/>
        </w:rPr>
        <w:t>Mr. Foreman-Murray, testified</w:t>
      </w:r>
      <w:r w:rsidR="002C5528">
        <w:rPr>
          <w:sz w:val="26"/>
          <w:szCs w:val="26"/>
        </w:rPr>
        <w:t xml:space="preserve"> </w:t>
      </w:r>
      <w:r>
        <w:rPr>
          <w:sz w:val="26"/>
          <w:szCs w:val="26"/>
        </w:rPr>
        <w:t xml:space="preserve">that, during the third-party verification, the Complainant’s sister indicated that she was authorized to switch the electric service provider to Respond Power.  </w:t>
      </w:r>
      <w:proofErr w:type="gramStart"/>
      <w:r w:rsidR="002C5528">
        <w:rPr>
          <w:sz w:val="26"/>
          <w:szCs w:val="26"/>
        </w:rPr>
        <w:t xml:space="preserve">Tr. at </w:t>
      </w:r>
      <w:r w:rsidR="00465C77">
        <w:rPr>
          <w:sz w:val="26"/>
          <w:szCs w:val="26"/>
        </w:rPr>
        <w:t>15.</w:t>
      </w:r>
      <w:proofErr w:type="gramEnd"/>
      <w:r w:rsidR="00465C77">
        <w:rPr>
          <w:sz w:val="26"/>
          <w:szCs w:val="26"/>
        </w:rPr>
        <w:t xml:space="preserve">  </w:t>
      </w:r>
      <w:r>
        <w:rPr>
          <w:sz w:val="26"/>
          <w:szCs w:val="26"/>
        </w:rPr>
        <w:t xml:space="preserve">Mr. Foreman-Murray also testified that Respond Power sent Mr. Tran a </w:t>
      </w:r>
      <w:r w:rsidR="00642E8A">
        <w:rPr>
          <w:sz w:val="26"/>
          <w:szCs w:val="26"/>
        </w:rPr>
        <w:t>d</w:t>
      </w:r>
      <w:r>
        <w:rPr>
          <w:sz w:val="26"/>
          <w:szCs w:val="26"/>
        </w:rPr>
        <w:t xml:space="preserve">isclosure </w:t>
      </w:r>
      <w:r w:rsidR="00642E8A">
        <w:rPr>
          <w:sz w:val="26"/>
          <w:szCs w:val="26"/>
        </w:rPr>
        <w:t>s</w:t>
      </w:r>
      <w:r>
        <w:rPr>
          <w:sz w:val="26"/>
          <w:szCs w:val="26"/>
        </w:rPr>
        <w:t>tatement upon enrollment</w:t>
      </w:r>
      <w:r w:rsidR="002C5528">
        <w:rPr>
          <w:sz w:val="26"/>
          <w:szCs w:val="26"/>
        </w:rPr>
        <w:t xml:space="preserve"> </w:t>
      </w:r>
      <w:r w:rsidR="00465C77">
        <w:rPr>
          <w:sz w:val="26"/>
          <w:szCs w:val="26"/>
        </w:rPr>
        <w:t xml:space="preserve">in March of 2013, </w:t>
      </w:r>
      <w:r w:rsidR="002C5528">
        <w:rPr>
          <w:sz w:val="26"/>
          <w:szCs w:val="26"/>
        </w:rPr>
        <w:t xml:space="preserve">which </w:t>
      </w:r>
      <w:r w:rsidR="00465C77">
        <w:rPr>
          <w:sz w:val="26"/>
          <w:szCs w:val="26"/>
        </w:rPr>
        <w:t xml:space="preserve">explained Respond Power’s terms of service and </w:t>
      </w:r>
      <w:r w:rsidR="002C5528">
        <w:rPr>
          <w:sz w:val="26"/>
          <w:szCs w:val="26"/>
        </w:rPr>
        <w:t>provided that the</w:t>
      </w:r>
      <w:r w:rsidR="002C5528" w:rsidRPr="002C5528">
        <w:rPr>
          <w:sz w:val="26"/>
          <w:szCs w:val="26"/>
        </w:rPr>
        <w:t xml:space="preserve"> </w:t>
      </w:r>
      <w:r w:rsidR="002C5528">
        <w:rPr>
          <w:sz w:val="26"/>
          <w:szCs w:val="26"/>
        </w:rPr>
        <w:t xml:space="preserve">Company’s rates may vary on a month-to-month basis. </w:t>
      </w:r>
      <w:r>
        <w:rPr>
          <w:sz w:val="26"/>
          <w:szCs w:val="26"/>
        </w:rPr>
        <w:t xml:space="preserve"> </w:t>
      </w:r>
      <w:proofErr w:type="gramStart"/>
      <w:r>
        <w:rPr>
          <w:sz w:val="26"/>
          <w:szCs w:val="26"/>
        </w:rPr>
        <w:t>Tr. at 15</w:t>
      </w:r>
      <w:r w:rsidR="002C5528">
        <w:rPr>
          <w:sz w:val="26"/>
          <w:szCs w:val="26"/>
        </w:rPr>
        <w:t>, 16</w:t>
      </w:r>
      <w:r>
        <w:rPr>
          <w:sz w:val="26"/>
          <w:szCs w:val="26"/>
        </w:rPr>
        <w:t xml:space="preserve">; Respondent’s </w:t>
      </w:r>
      <w:proofErr w:type="spellStart"/>
      <w:r>
        <w:rPr>
          <w:sz w:val="26"/>
          <w:szCs w:val="26"/>
        </w:rPr>
        <w:t>Exh</w:t>
      </w:r>
      <w:proofErr w:type="spellEnd"/>
      <w:r>
        <w:rPr>
          <w:sz w:val="26"/>
          <w:szCs w:val="26"/>
        </w:rPr>
        <w:t>.</w:t>
      </w:r>
      <w:proofErr w:type="gramEnd"/>
      <w:r>
        <w:rPr>
          <w:sz w:val="26"/>
          <w:szCs w:val="26"/>
        </w:rPr>
        <w:t xml:space="preserve"> 2.</w:t>
      </w:r>
      <w:r w:rsidR="00465C77">
        <w:rPr>
          <w:sz w:val="26"/>
          <w:szCs w:val="26"/>
        </w:rPr>
        <w:t xml:space="preserve">  Mr. Tran acknowledged receipt of the disclosure statement and bills listing Respond Power as the EGS starting in </w:t>
      </w:r>
      <w:r w:rsidR="00D36F51">
        <w:rPr>
          <w:sz w:val="26"/>
          <w:szCs w:val="26"/>
        </w:rPr>
        <w:t xml:space="preserve">April of 2013.  </w:t>
      </w:r>
      <w:proofErr w:type="gramStart"/>
      <w:r w:rsidR="00D36F51">
        <w:rPr>
          <w:sz w:val="26"/>
          <w:szCs w:val="26"/>
        </w:rPr>
        <w:t>Tr. at 8, 9, and 10.</w:t>
      </w:r>
      <w:proofErr w:type="gramEnd"/>
      <w:r w:rsidR="00C37C9C">
        <w:rPr>
          <w:sz w:val="26"/>
          <w:szCs w:val="26"/>
        </w:rPr>
        <w:t xml:space="preserve">  Based on the record before us, we cannot reach a conclusion that the Company violated the Code or a Commission Regulation or Order.   </w:t>
      </w:r>
      <w:r w:rsidR="00AF15FB">
        <w:rPr>
          <w:sz w:val="26"/>
          <w:szCs w:val="26"/>
        </w:rPr>
        <w:t xml:space="preserve">    </w:t>
      </w:r>
      <w:r w:rsidR="00D36F51">
        <w:rPr>
          <w:sz w:val="26"/>
          <w:szCs w:val="26"/>
        </w:rPr>
        <w:t xml:space="preserve">  </w:t>
      </w:r>
      <w:r w:rsidR="00465C77">
        <w:rPr>
          <w:sz w:val="26"/>
          <w:szCs w:val="26"/>
        </w:rPr>
        <w:t xml:space="preserve">   </w:t>
      </w:r>
      <w:r w:rsidR="002C5528">
        <w:rPr>
          <w:sz w:val="26"/>
          <w:szCs w:val="26"/>
        </w:rPr>
        <w:t xml:space="preserve"> </w:t>
      </w:r>
      <w:r w:rsidR="00465C77">
        <w:rPr>
          <w:sz w:val="26"/>
          <w:szCs w:val="26"/>
        </w:rPr>
        <w:t xml:space="preserve"> </w:t>
      </w:r>
      <w:r w:rsidR="002C5528">
        <w:rPr>
          <w:sz w:val="26"/>
          <w:szCs w:val="26"/>
        </w:rPr>
        <w:t xml:space="preserve"> </w:t>
      </w:r>
      <w:r w:rsidR="009512A2">
        <w:rPr>
          <w:sz w:val="26"/>
          <w:szCs w:val="26"/>
        </w:rPr>
        <w:t xml:space="preserve">  </w:t>
      </w:r>
    </w:p>
    <w:p w:rsidR="00DA1AF0" w:rsidRDefault="00794532" w:rsidP="00E9605B">
      <w:pPr>
        <w:spacing w:line="360" w:lineRule="auto"/>
        <w:rPr>
          <w:sz w:val="26"/>
          <w:szCs w:val="26"/>
        </w:rPr>
      </w:pPr>
      <w:r>
        <w:rPr>
          <w:sz w:val="26"/>
          <w:szCs w:val="26"/>
        </w:rPr>
        <w:t xml:space="preserve">  </w:t>
      </w:r>
      <w:r w:rsidR="00CC7C9A">
        <w:rPr>
          <w:sz w:val="26"/>
          <w:szCs w:val="26"/>
        </w:rPr>
        <w:t xml:space="preserve"> </w:t>
      </w:r>
      <w:r w:rsidR="00CF59CA">
        <w:rPr>
          <w:sz w:val="26"/>
          <w:szCs w:val="26"/>
        </w:rPr>
        <w:tab/>
      </w:r>
      <w:r w:rsidR="00CF59CA">
        <w:rPr>
          <w:sz w:val="26"/>
          <w:szCs w:val="26"/>
        </w:rPr>
        <w:tab/>
      </w:r>
    </w:p>
    <w:p w:rsidR="00643F5C" w:rsidRDefault="00DA1AF0" w:rsidP="00802F9A">
      <w:pPr>
        <w:spacing w:line="360" w:lineRule="auto"/>
        <w:rPr>
          <w:sz w:val="26"/>
          <w:szCs w:val="26"/>
        </w:rPr>
      </w:pPr>
      <w:r>
        <w:rPr>
          <w:sz w:val="26"/>
          <w:szCs w:val="26"/>
        </w:rPr>
        <w:lastRenderedPageBreak/>
        <w:tab/>
      </w:r>
      <w:r>
        <w:rPr>
          <w:sz w:val="26"/>
          <w:szCs w:val="26"/>
        </w:rPr>
        <w:tab/>
      </w:r>
      <w:r w:rsidR="0050696F">
        <w:rPr>
          <w:sz w:val="26"/>
          <w:szCs w:val="26"/>
        </w:rPr>
        <w:t>We do not</w:t>
      </w:r>
      <w:r w:rsidR="00B753D9">
        <w:rPr>
          <w:sz w:val="26"/>
          <w:szCs w:val="26"/>
        </w:rPr>
        <w:t>, however,</w:t>
      </w:r>
      <w:r w:rsidR="0050696F">
        <w:rPr>
          <w:sz w:val="26"/>
          <w:szCs w:val="26"/>
        </w:rPr>
        <w:t xml:space="preserve"> agree with Respond Power’s </w:t>
      </w:r>
      <w:r w:rsidR="00093715">
        <w:rPr>
          <w:sz w:val="26"/>
          <w:szCs w:val="26"/>
        </w:rPr>
        <w:t xml:space="preserve">blanket </w:t>
      </w:r>
      <w:r w:rsidR="0050696F">
        <w:rPr>
          <w:sz w:val="26"/>
          <w:szCs w:val="26"/>
        </w:rPr>
        <w:t xml:space="preserve">contention </w:t>
      </w:r>
      <w:r w:rsidR="00B753D9">
        <w:rPr>
          <w:sz w:val="26"/>
          <w:szCs w:val="26"/>
        </w:rPr>
        <w:t xml:space="preserve">in its Exceptions </w:t>
      </w:r>
      <w:r w:rsidR="0050696F">
        <w:rPr>
          <w:sz w:val="26"/>
          <w:szCs w:val="26"/>
        </w:rPr>
        <w:t xml:space="preserve">that the Commission lacks statutory authority to direct an EGS to issue a refund to a customer.  </w:t>
      </w:r>
      <w:r w:rsidR="00967CF4">
        <w:rPr>
          <w:sz w:val="26"/>
          <w:szCs w:val="26"/>
        </w:rPr>
        <w:t xml:space="preserve">While we have stated that we lack the authority to regulate EGS rates, we have concluded in several Commission decisions that we have the authority to require EGSs to provide refunds to retail customers in appropriate circumstances.  </w:t>
      </w:r>
      <w:r w:rsidR="00967CF4" w:rsidRPr="00F1669E">
        <w:rPr>
          <w:i/>
          <w:sz w:val="26"/>
          <w:szCs w:val="26"/>
        </w:rPr>
        <w:t>See</w:t>
      </w:r>
      <w:r w:rsidR="00967CF4">
        <w:rPr>
          <w:sz w:val="26"/>
          <w:szCs w:val="26"/>
        </w:rPr>
        <w:t xml:space="preserve">, </w:t>
      </w:r>
      <w:r w:rsidR="00967CF4" w:rsidRPr="00F1669E">
        <w:rPr>
          <w:i/>
          <w:sz w:val="26"/>
          <w:szCs w:val="26"/>
        </w:rPr>
        <w:t>Marion Werle v. Respond Power</w:t>
      </w:r>
      <w:r w:rsidR="00967CF4">
        <w:rPr>
          <w:sz w:val="26"/>
          <w:szCs w:val="26"/>
        </w:rPr>
        <w:t xml:space="preserve">, </w:t>
      </w:r>
      <w:r w:rsidR="00967CF4" w:rsidRPr="00F1669E">
        <w:rPr>
          <w:i/>
          <w:sz w:val="26"/>
          <w:szCs w:val="26"/>
        </w:rPr>
        <w:t>LLC</w:t>
      </w:r>
      <w:r w:rsidR="00967CF4">
        <w:rPr>
          <w:sz w:val="26"/>
          <w:szCs w:val="26"/>
        </w:rPr>
        <w:t xml:space="preserve">, Docket No. C-2014-2429158 (Order entered February 23, 2015); </w:t>
      </w:r>
      <w:r w:rsidR="00B601D3" w:rsidRPr="00B601D3">
        <w:rPr>
          <w:i/>
          <w:sz w:val="26"/>
          <w:szCs w:val="26"/>
        </w:rPr>
        <w:t>Nadav</w:t>
      </w:r>
      <w:r w:rsidR="00342E70">
        <w:rPr>
          <w:sz w:val="26"/>
          <w:szCs w:val="26"/>
        </w:rPr>
        <w:t xml:space="preserve">, </w:t>
      </w:r>
      <w:r w:rsidR="00342E70" w:rsidRPr="00342E70">
        <w:rPr>
          <w:i/>
          <w:sz w:val="26"/>
          <w:szCs w:val="26"/>
        </w:rPr>
        <w:t>supra</w:t>
      </w:r>
      <w:r w:rsidR="00F1669E">
        <w:rPr>
          <w:sz w:val="26"/>
          <w:szCs w:val="26"/>
        </w:rPr>
        <w:t xml:space="preserve">; </w:t>
      </w:r>
      <w:r w:rsidR="00F1669E" w:rsidRPr="00F1669E">
        <w:rPr>
          <w:i/>
          <w:sz w:val="26"/>
          <w:szCs w:val="26"/>
        </w:rPr>
        <w:t>Commonwealth of Pennsylvania, et al. v. IDT Energy, Inc</w:t>
      </w:r>
      <w:r w:rsidR="00F1669E">
        <w:rPr>
          <w:sz w:val="26"/>
          <w:szCs w:val="26"/>
        </w:rPr>
        <w:t>., Docket No. C-2014-2427657 (Order entered December 18, 2014)</w:t>
      </w:r>
      <w:r w:rsidR="00B601D3">
        <w:rPr>
          <w:sz w:val="26"/>
          <w:szCs w:val="26"/>
        </w:rPr>
        <w:t xml:space="preserve"> (</w:t>
      </w:r>
      <w:r w:rsidR="00B601D3" w:rsidRPr="00B601D3">
        <w:rPr>
          <w:i/>
          <w:sz w:val="26"/>
          <w:szCs w:val="26"/>
        </w:rPr>
        <w:t>IDT Energy</w:t>
      </w:r>
      <w:r w:rsidR="00B601D3">
        <w:rPr>
          <w:sz w:val="26"/>
          <w:szCs w:val="26"/>
        </w:rPr>
        <w:t>)</w:t>
      </w:r>
      <w:r w:rsidR="00F1669E">
        <w:rPr>
          <w:sz w:val="26"/>
          <w:szCs w:val="26"/>
        </w:rPr>
        <w:t xml:space="preserve">.  </w:t>
      </w:r>
      <w:r w:rsidR="00920524">
        <w:rPr>
          <w:sz w:val="26"/>
          <w:szCs w:val="26"/>
        </w:rPr>
        <w:t xml:space="preserve">In </w:t>
      </w:r>
      <w:r w:rsidR="00920524" w:rsidRPr="005C15F1">
        <w:rPr>
          <w:i/>
          <w:sz w:val="26"/>
          <w:szCs w:val="26"/>
        </w:rPr>
        <w:t>Nadav</w:t>
      </w:r>
      <w:r w:rsidR="00920524">
        <w:rPr>
          <w:sz w:val="26"/>
          <w:szCs w:val="26"/>
        </w:rPr>
        <w:t xml:space="preserve">, we </w:t>
      </w:r>
      <w:r w:rsidR="005C15F1">
        <w:rPr>
          <w:sz w:val="26"/>
          <w:szCs w:val="26"/>
        </w:rPr>
        <w:t>interpreted</w:t>
      </w:r>
      <w:r w:rsidR="00920524">
        <w:rPr>
          <w:sz w:val="26"/>
          <w:szCs w:val="26"/>
        </w:rPr>
        <w:t xml:space="preserve"> Section 2807(d)(1) of the Code, 66 Pa. C.S. § 2807(d)(1),</w:t>
      </w:r>
      <w:r w:rsidR="005C15F1">
        <w:rPr>
          <w:sz w:val="26"/>
          <w:szCs w:val="26"/>
        </w:rPr>
        <w:t xml:space="preserve"> as allowing a refund when a customer’s supplier has been changed without the customer’s affirmative consent.  We also stated that Section 57.177 of our Regulations requires an EGS to provide a full refund to customers of all generation charges resulting from an unauthorized switch.  </w:t>
      </w:r>
      <w:r w:rsidR="005C15F1" w:rsidRPr="005C15F1">
        <w:rPr>
          <w:i/>
          <w:sz w:val="26"/>
          <w:szCs w:val="26"/>
        </w:rPr>
        <w:t>Nadav</w:t>
      </w:r>
      <w:r w:rsidR="005C15F1">
        <w:rPr>
          <w:sz w:val="26"/>
          <w:szCs w:val="26"/>
        </w:rPr>
        <w:t xml:space="preserve"> at 7.  </w:t>
      </w:r>
      <w:r w:rsidR="00B601D3">
        <w:rPr>
          <w:sz w:val="26"/>
          <w:szCs w:val="26"/>
        </w:rPr>
        <w:t xml:space="preserve">Additionally, in </w:t>
      </w:r>
      <w:r w:rsidR="00B601D3" w:rsidRPr="00515A27">
        <w:rPr>
          <w:i/>
          <w:sz w:val="26"/>
          <w:szCs w:val="26"/>
        </w:rPr>
        <w:t>IDT Energy</w:t>
      </w:r>
      <w:r w:rsidR="00B601D3">
        <w:rPr>
          <w:sz w:val="26"/>
          <w:szCs w:val="26"/>
        </w:rPr>
        <w:t>,</w:t>
      </w:r>
      <w:r w:rsidR="00515A27">
        <w:rPr>
          <w:sz w:val="26"/>
          <w:szCs w:val="26"/>
        </w:rPr>
        <w:t xml:space="preserve"> we determined that we have plenary authority </w:t>
      </w:r>
      <w:r w:rsidR="00B57FDC">
        <w:rPr>
          <w:sz w:val="26"/>
          <w:szCs w:val="26"/>
        </w:rPr>
        <w:t>under Section 501 of the Code, 66 Pa. C.S. § 501, to carry out the consumer protections in the Electric</w:t>
      </w:r>
      <w:r w:rsidR="00415A91">
        <w:rPr>
          <w:sz w:val="26"/>
          <w:szCs w:val="26"/>
        </w:rPr>
        <w:t>ity</w:t>
      </w:r>
      <w:r w:rsidR="00B57FDC">
        <w:rPr>
          <w:sz w:val="26"/>
          <w:szCs w:val="26"/>
        </w:rPr>
        <w:t xml:space="preserve"> </w:t>
      </w:r>
      <w:r w:rsidR="00415A91">
        <w:rPr>
          <w:sz w:val="26"/>
          <w:szCs w:val="26"/>
        </w:rPr>
        <w:t xml:space="preserve">Generation Customer Choice and </w:t>
      </w:r>
      <w:r w:rsidR="00B57FDC">
        <w:rPr>
          <w:sz w:val="26"/>
          <w:szCs w:val="26"/>
        </w:rPr>
        <w:t>Competition Act</w:t>
      </w:r>
      <w:r w:rsidR="00415A91">
        <w:rPr>
          <w:sz w:val="26"/>
          <w:szCs w:val="26"/>
        </w:rPr>
        <w:t>, 66 Pa. C.S. §§ 2801-2815,</w:t>
      </w:r>
      <w:r w:rsidR="00B57FDC">
        <w:rPr>
          <w:sz w:val="26"/>
          <w:szCs w:val="26"/>
        </w:rPr>
        <w:t xml:space="preserve"> and to direct an EGS to issue a credit or refund in appropriate circumstances.  </w:t>
      </w:r>
      <w:proofErr w:type="gramStart"/>
      <w:r w:rsidR="00B40C99" w:rsidRPr="00B40C99">
        <w:rPr>
          <w:i/>
          <w:sz w:val="26"/>
          <w:szCs w:val="26"/>
        </w:rPr>
        <w:t>IDT Energy</w:t>
      </w:r>
      <w:r w:rsidR="00B40C99">
        <w:rPr>
          <w:sz w:val="26"/>
          <w:szCs w:val="26"/>
        </w:rPr>
        <w:t xml:space="preserve"> at 17.</w:t>
      </w:r>
      <w:proofErr w:type="gramEnd"/>
      <w:r w:rsidR="00093715">
        <w:rPr>
          <w:sz w:val="26"/>
          <w:szCs w:val="26"/>
        </w:rPr>
        <w:t xml:space="preserve">  </w:t>
      </w:r>
      <w:r w:rsidR="000275F1">
        <w:rPr>
          <w:sz w:val="26"/>
          <w:szCs w:val="26"/>
        </w:rPr>
        <w:t xml:space="preserve">Nevertheless, because the Complainant did not carry his burden of proof, </w:t>
      </w:r>
      <w:r w:rsidR="00093715">
        <w:rPr>
          <w:sz w:val="26"/>
          <w:szCs w:val="26"/>
        </w:rPr>
        <w:t xml:space="preserve">we </w:t>
      </w:r>
      <w:r w:rsidR="004D5EFC">
        <w:rPr>
          <w:sz w:val="26"/>
          <w:szCs w:val="26"/>
        </w:rPr>
        <w:t>need not address the issue of whether a refund is an appropriate remedy in</w:t>
      </w:r>
      <w:r w:rsidR="000275F1">
        <w:rPr>
          <w:sz w:val="26"/>
          <w:szCs w:val="26"/>
        </w:rPr>
        <w:t xml:space="preserve"> this </w:t>
      </w:r>
      <w:r w:rsidR="00093715">
        <w:rPr>
          <w:sz w:val="26"/>
          <w:szCs w:val="26"/>
        </w:rPr>
        <w:t xml:space="preserve">particular </w:t>
      </w:r>
      <w:r w:rsidR="000275F1">
        <w:rPr>
          <w:sz w:val="26"/>
          <w:szCs w:val="26"/>
        </w:rPr>
        <w:t xml:space="preserve">case.  </w:t>
      </w:r>
    </w:p>
    <w:p w:rsidR="00802F9A" w:rsidRDefault="00802F9A" w:rsidP="00802F9A">
      <w:pPr>
        <w:spacing w:line="360" w:lineRule="auto"/>
        <w:rPr>
          <w:b/>
          <w:sz w:val="26"/>
          <w:szCs w:val="26"/>
        </w:rPr>
      </w:pPr>
    </w:p>
    <w:p w:rsidR="00FC776E" w:rsidRPr="00FC776E" w:rsidRDefault="00643F5C" w:rsidP="007A49BD">
      <w:pPr>
        <w:tabs>
          <w:tab w:val="left" w:pos="1440"/>
        </w:tabs>
        <w:spacing w:line="360" w:lineRule="auto"/>
        <w:jc w:val="center"/>
        <w:rPr>
          <w:b/>
          <w:sz w:val="26"/>
          <w:szCs w:val="26"/>
        </w:rPr>
      </w:pPr>
      <w:r>
        <w:rPr>
          <w:b/>
          <w:sz w:val="26"/>
          <w:szCs w:val="26"/>
        </w:rPr>
        <w:t>C</w:t>
      </w:r>
      <w:r w:rsidR="00FC776E" w:rsidRPr="00FC776E">
        <w:rPr>
          <w:b/>
          <w:sz w:val="26"/>
          <w:szCs w:val="26"/>
        </w:rPr>
        <w:t>onclusion</w:t>
      </w:r>
    </w:p>
    <w:p w:rsidR="00FC776E" w:rsidRPr="00FC776E" w:rsidRDefault="00FC776E" w:rsidP="003B221D">
      <w:pPr>
        <w:keepNext/>
        <w:spacing w:line="360" w:lineRule="auto"/>
        <w:jc w:val="center"/>
        <w:rPr>
          <w:b/>
          <w:sz w:val="26"/>
          <w:szCs w:val="26"/>
        </w:rPr>
      </w:pPr>
    </w:p>
    <w:p w:rsidR="00FC776E" w:rsidRDefault="00FC776E" w:rsidP="002A5A92">
      <w:pPr>
        <w:spacing w:line="360" w:lineRule="auto"/>
        <w:ind w:firstLine="1440"/>
        <w:rPr>
          <w:b/>
          <w:sz w:val="26"/>
          <w:szCs w:val="26"/>
        </w:rPr>
      </w:pPr>
      <w:r w:rsidRPr="00FC776E">
        <w:rPr>
          <w:sz w:val="26"/>
          <w:szCs w:val="26"/>
        </w:rPr>
        <w:t xml:space="preserve">For the </w:t>
      </w:r>
      <w:r w:rsidR="00C648FC">
        <w:rPr>
          <w:sz w:val="26"/>
          <w:szCs w:val="26"/>
        </w:rPr>
        <w:t xml:space="preserve">foregoing reasons, </w:t>
      </w:r>
      <w:r w:rsidR="00D8200D">
        <w:rPr>
          <w:sz w:val="26"/>
          <w:szCs w:val="26"/>
        </w:rPr>
        <w:t xml:space="preserve">we </w:t>
      </w:r>
      <w:r w:rsidR="00860218">
        <w:rPr>
          <w:sz w:val="26"/>
          <w:szCs w:val="26"/>
        </w:rPr>
        <w:t>shall</w:t>
      </w:r>
      <w:r w:rsidR="00A21193">
        <w:rPr>
          <w:sz w:val="26"/>
          <w:szCs w:val="26"/>
        </w:rPr>
        <w:t xml:space="preserve"> </w:t>
      </w:r>
      <w:r w:rsidR="005737C7">
        <w:rPr>
          <w:sz w:val="26"/>
          <w:szCs w:val="26"/>
        </w:rPr>
        <w:t xml:space="preserve">grant Respond Power’s Exceptions, in part, </w:t>
      </w:r>
      <w:r w:rsidR="003F3CD4">
        <w:rPr>
          <w:sz w:val="26"/>
          <w:szCs w:val="26"/>
        </w:rPr>
        <w:t>reverse</w:t>
      </w:r>
      <w:r w:rsidR="00A21193" w:rsidRPr="00A21193">
        <w:rPr>
          <w:sz w:val="26"/>
          <w:szCs w:val="26"/>
        </w:rPr>
        <w:t xml:space="preserve"> the </w:t>
      </w:r>
      <w:r w:rsidR="003F3CD4">
        <w:rPr>
          <w:sz w:val="26"/>
          <w:szCs w:val="26"/>
        </w:rPr>
        <w:t xml:space="preserve">ALJ’s </w:t>
      </w:r>
      <w:r w:rsidR="00A21193" w:rsidRPr="00A21193">
        <w:rPr>
          <w:sz w:val="26"/>
          <w:szCs w:val="26"/>
        </w:rPr>
        <w:t>Initial Decision</w:t>
      </w:r>
      <w:r w:rsidR="003F3CD4">
        <w:rPr>
          <w:sz w:val="26"/>
          <w:szCs w:val="26"/>
        </w:rPr>
        <w:t>, and</w:t>
      </w:r>
      <w:r w:rsidR="00A21193" w:rsidRPr="00A21193">
        <w:rPr>
          <w:sz w:val="26"/>
          <w:szCs w:val="26"/>
        </w:rPr>
        <w:t xml:space="preserve"> </w:t>
      </w:r>
      <w:r w:rsidR="00866D6C">
        <w:rPr>
          <w:sz w:val="26"/>
          <w:szCs w:val="26"/>
        </w:rPr>
        <w:t>d</w:t>
      </w:r>
      <w:r w:rsidR="00415A91">
        <w:rPr>
          <w:sz w:val="26"/>
          <w:szCs w:val="26"/>
        </w:rPr>
        <w:t>ismiss</w:t>
      </w:r>
      <w:r w:rsidR="00A21193" w:rsidRPr="00A21193">
        <w:rPr>
          <w:sz w:val="26"/>
          <w:szCs w:val="26"/>
        </w:rPr>
        <w:t xml:space="preserve"> the Complaint</w:t>
      </w:r>
      <w:r w:rsidR="00415A91">
        <w:rPr>
          <w:sz w:val="26"/>
          <w:szCs w:val="26"/>
        </w:rPr>
        <w:t>, consistent with this Opinion and Order</w:t>
      </w:r>
      <w:r w:rsidR="004D1308">
        <w:rPr>
          <w:sz w:val="26"/>
          <w:szCs w:val="26"/>
        </w:rPr>
        <w:t xml:space="preserve">; </w:t>
      </w:r>
      <w:r w:rsidR="00590E23">
        <w:rPr>
          <w:b/>
          <w:sz w:val="26"/>
          <w:szCs w:val="26"/>
        </w:rPr>
        <w:t>THEREFORE,</w:t>
      </w:r>
    </w:p>
    <w:p w:rsidR="00FC776E" w:rsidRDefault="00FC776E" w:rsidP="002A5A92">
      <w:pPr>
        <w:spacing w:line="360" w:lineRule="auto"/>
        <w:ind w:firstLine="1440"/>
        <w:rPr>
          <w:b/>
          <w:sz w:val="26"/>
          <w:szCs w:val="26"/>
        </w:rPr>
      </w:pPr>
    </w:p>
    <w:p w:rsidR="00FC776E" w:rsidRDefault="00CB5982" w:rsidP="003B221D">
      <w:pPr>
        <w:keepNext/>
        <w:spacing w:line="360" w:lineRule="auto"/>
        <w:ind w:firstLine="1440"/>
        <w:rPr>
          <w:b/>
          <w:sz w:val="26"/>
          <w:szCs w:val="26"/>
        </w:rPr>
      </w:pPr>
      <w:r>
        <w:rPr>
          <w:b/>
          <w:sz w:val="26"/>
          <w:szCs w:val="26"/>
        </w:rPr>
        <w:lastRenderedPageBreak/>
        <w:t>IT IS ORDERED:</w:t>
      </w:r>
    </w:p>
    <w:p w:rsidR="00866D6C" w:rsidRDefault="00866D6C" w:rsidP="003B221D">
      <w:pPr>
        <w:keepNext/>
        <w:spacing w:line="360" w:lineRule="auto"/>
        <w:ind w:firstLine="1440"/>
        <w:rPr>
          <w:b/>
          <w:sz w:val="26"/>
          <w:szCs w:val="26"/>
        </w:rPr>
      </w:pPr>
    </w:p>
    <w:p w:rsidR="00E65EBC" w:rsidRDefault="00590E23" w:rsidP="002A5A92">
      <w:pPr>
        <w:spacing w:line="360" w:lineRule="auto"/>
        <w:ind w:firstLine="1440"/>
        <w:rPr>
          <w:sz w:val="26"/>
          <w:szCs w:val="26"/>
        </w:rPr>
      </w:pPr>
      <w:r>
        <w:rPr>
          <w:sz w:val="26"/>
          <w:szCs w:val="26"/>
        </w:rPr>
        <w:t>1.</w:t>
      </w:r>
      <w:r w:rsidR="0079143A">
        <w:rPr>
          <w:sz w:val="26"/>
          <w:szCs w:val="26"/>
        </w:rPr>
        <w:tab/>
      </w:r>
      <w:r>
        <w:rPr>
          <w:sz w:val="26"/>
          <w:szCs w:val="26"/>
        </w:rPr>
        <w:t xml:space="preserve">That </w:t>
      </w:r>
      <w:r w:rsidR="000B2A5C">
        <w:rPr>
          <w:sz w:val="26"/>
          <w:szCs w:val="26"/>
        </w:rPr>
        <w:t xml:space="preserve">the </w:t>
      </w:r>
      <w:r w:rsidR="004D1308">
        <w:rPr>
          <w:sz w:val="26"/>
          <w:szCs w:val="26"/>
        </w:rPr>
        <w:t xml:space="preserve">Exceptions filed by </w:t>
      </w:r>
      <w:r w:rsidR="00866D6C">
        <w:rPr>
          <w:sz w:val="26"/>
          <w:szCs w:val="26"/>
        </w:rPr>
        <w:t>Major Energy, LLC/Respond Power, LLC on April 15</w:t>
      </w:r>
      <w:r w:rsidR="00866D6C" w:rsidRPr="00863BA3">
        <w:rPr>
          <w:sz w:val="26"/>
          <w:szCs w:val="26"/>
        </w:rPr>
        <w:t>, 201</w:t>
      </w:r>
      <w:r w:rsidR="00866D6C">
        <w:rPr>
          <w:sz w:val="26"/>
          <w:szCs w:val="26"/>
        </w:rPr>
        <w:t>5</w:t>
      </w:r>
      <w:r w:rsidR="00866D6C" w:rsidRPr="00863BA3">
        <w:rPr>
          <w:sz w:val="26"/>
          <w:szCs w:val="26"/>
        </w:rPr>
        <w:t>,</w:t>
      </w:r>
      <w:r w:rsidR="00866D6C">
        <w:rPr>
          <w:sz w:val="26"/>
          <w:szCs w:val="26"/>
        </w:rPr>
        <w:t xml:space="preserve"> </w:t>
      </w:r>
      <w:r w:rsidR="004D1308">
        <w:rPr>
          <w:sz w:val="26"/>
          <w:szCs w:val="26"/>
        </w:rPr>
        <w:t xml:space="preserve">are </w:t>
      </w:r>
      <w:r w:rsidR="00866D6C">
        <w:rPr>
          <w:sz w:val="26"/>
          <w:szCs w:val="26"/>
        </w:rPr>
        <w:t>granted, in part</w:t>
      </w:r>
      <w:r w:rsidR="004D1308">
        <w:rPr>
          <w:sz w:val="26"/>
          <w:szCs w:val="26"/>
        </w:rPr>
        <w:t>.</w:t>
      </w:r>
    </w:p>
    <w:p w:rsidR="00E65EBC" w:rsidRDefault="00E65EBC" w:rsidP="002A5A92">
      <w:pPr>
        <w:spacing w:line="360" w:lineRule="auto"/>
        <w:ind w:firstLine="1440"/>
        <w:rPr>
          <w:sz w:val="26"/>
          <w:szCs w:val="26"/>
        </w:rPr>
      </w:pPr>
    </w:p>
    <w:p w:rsidR="006C0C15" w:rsidRDefault="00E65EBC" w:rsidP="009836E9">
      <w:pPr>
        <w:spacing w:line="360" w:lineRule="auto"/>
        <w:ind w:firstLine="1440"/>
        <w:rPr>
          <w:sz w:val="26"/>
          <w:szCs w:val="26"/>
        </w:rPr>
      </w:pPr>
      <w:r>
        <w:rPr>
          <w:sz w:val="26"/>
          <w:szCs w:val="26"/>
        </w:rPr>
        <w:t>2.</w:t>
      </w:r>
      <w:r>
        <w:rPr>
          <w:sz w:val="26"/>
          <w:szCs w:val="26"/>
        </w:rPr>
        <w:tab/>
      </w:r>
      <w:r w:rsidR="00FA0A47">
        <w:rPr>
          <w:sz w:val="26"/>
          <w:szCs w:val="26"/>
        </w:rPr>
        <w:t xml:space="preserve">That the </w:t>
      </w:r>
      <w:r w:rsidR="004D1308">
        <w:rPr>
          <w:sz w:val="26"/>
          <w:szCs w:val="26"/>
        </w:rPr>
        <w:t>Initial Decision</w:t>
      </w:r>
      <w:r w:rsidR="00A573A6" w:rsidRPr="00A573A6">
        <w:rPr>
          <w:sz w:val="26"/>
          <w:szCs w:val="26"/>
        </w:rPr>
        <w:t xml:space="preserve"> </w:t>
      </w:r>
      <w:r w:rsidR="004D1308">
        <w:rPr>
          <w:sz w:val="26"/>
          <w:szCs w:val="26"/>
        </w:rPr>
        <w:t>of Administrative Law Judge</w:t>
      </w:r>
      <w:r w:rsidR="00866D6C" w:rsidRPr="00866D6C">
        <w:rPr>
          <w:sz w:val="26"/>
          <w:szCs w:val="26"/>
        </w:rPr>
        <w:t xml:space="preserve"> </w:t>
      </w:r>
      <w:r w:rsidR="00866D6C">
        <w:rPr>
          <w:sz w:val="26"/>
          <w:szCs w:val="26"/>
        </w:rPr>
        <w:t xml:space="preserve">Ember S. Jandebeur issued on March 26, 2015, </w:t>
      </w:r>
      <w:r w:rsidR="004D1308">
        <w:rPr>
          <w:sz w:val="26"/>
          <w:szCs w:val="26"/>
        </w:rPr>
        <w:t xml:space="preserve">is </w:t>
      </w:r>
      <w:r w:rsidR="00866D6C">
        <w:rPr>
          <w:sz w:val="26"/>
          <w:szCs w:val="26"/>
        </w:rPr>
        <w:t>reversed</w:t>
      </w:r>
      <w:r w:rsidR="004D1308">
        <w:rPr>
          <w:sz w:val="26"/>
          <w:szCs w:val="26"/>
        </w:rPr>
        <w:t>.</w:t>
      </w:r>
    </w:p>
    <w:p w:rsidR="006C0C15" w:rsidRDefault="006C0C15" w:rsidP="006C0C15">
      <w:pPr>
        <w:spacing w:line="360" w:lineRule="auto"/>
        <w:rPr>
          <w:sz w:val="26"/>
          <w:szCs w:val="26"/>
        </w:rPr>
      </w:pPr>
    </w:p>
    <w:p w:rsidR="000B2A5C" w:rsidRDefault="006C0C15" w:rsidP="006C0C15">
      <w:pPr>
        <w:tabs>
          <w:tab w:val="left" w:pos="1440"/>
        </w:tabs>
        <w:spacing w:line="360" w:lineRule="auto"/>
        <w:ind w:firstLine="720"/>
        <w:rPr>
          <w:sz w:val="26"/>
          <w:szCs w:val="26"/>
        </w:rPr>
      </w:pPr>
      <w:r>
        <w:rPr>
          <w:sz w:val="26"/>
          <w:szCs w:val="26"/>
        </w:rPr>
        <w:tab/>
      </w:r>
      <w:r w:rsidR="005B5A86">
        <w:rPr>
          <w:sz w:val="26"/>
          <w:szCs w:val="26"/>
        </w:rPr>
        <w:t>3</w:t>
      </w:r>
      <w:r w:rsidR="004D1308">
        <w:rPr>
          <w:sz w:val="26"/>
          <w:szCs w:val="26"/>
        </w:rPr>
        <w:t>.</w:t>
      </w:r>
      <w:r w:rsidR="004D1308">
        <w:rPr>
          <w:sz w:val="26"/>
          <w:szCs w:val="26"/>
        </w:rPr>
        <w:tab/>
      </w:r>
      <w:r w:rsidR="000B2A5C">
        <w:rPr>
          <w:sz w:val="26"/>
          <w:szCs w:val="26"/>
        </w:rPr>
        <w:t xml:space="preserve">That the </w:t>
      </w:r>
      <w:r w:rsidR="002D20AC">
        <w:rPr>
          <w:sz w:val="26"/>
          <w:szCs w:val="26"/>
        </w:rPr>
        <w:t xml:space="preserve">Formal Complaint </w:t>
      </w:r>
      <w:r>
        <w:rPr>
          <w:sz w:val="26"/>
          <w:szCs w:val="26"/>
        </w:rPr>
        <w:t xml:space="preserve">filed by </w:t>
      </w:r>
      <w:r w:rsidR="00866D6C">
        <w:rPr>
          <w:sz w:val="26"/>
          <w:szCs w:val="26"/>
        </w:rPr>
        <w:t xml:space="preserve">Binh Tran </w:t>
      </w:r>
      <w:r w:rsidR="002D20AC">
        <w:rPr>
          <w:sz w:val="26"/>
          <w:szCs w:val="26"/>
        </w:rPr>
        <w:t xml:space="preserve">against </w:t>
      </w:r>
      <w:r w:rsidR="00866D6C">
        <w:rPr>
          <w:sz w:val="26"/>
          <w:szCs w:val="26"/>
        </w:rPr>
        <w:t xml:space="preserve">Major Energy, LLC/Respond Power, LLC </w:t>
      </w:r>
      <w:r>
        <w:rPr>
          <w:sz w:val="26"/>
          <w:szCs w:val="26"/>
        </w:rPr>
        <w:t xml:space="preserve">on </w:t>
      </w:r>
      <w:r w:rsidR="00EA4755">
        <w:rPr>
          <w:sz w:val="26"/>
          <w:szCs w:val="26"/>
        </w:rPr>
        <w:t xml:space="preserve">March </w:t>
      </w:r>
      <w:r w:rsidR="00866D6C">
        <w:rPr>
          <w:sz w:val="26"/>
          <w:szCs w:val="26"/>
        </w:rPr>
        <w:t>31</w:t>
      </w:r>
      <w:r>
        <w:rPr>
          <w:sz w:val="26"/>
          <w:szCs w:val="26"/>
        </w:rPr>
        <w:t xml:space="preserve">, 2014, </w:t>
      </w:r>
      <w:r w:rsidR="002D20AC">
        <w:rPr>
          <w:sz w:val="26"/>
          <w:szCs w:val="26"/>
        </w:rPr>
        <w:t>at Docket No. C-2014-</w:t>
      </w:r>
      <w:proofErr w:type="gramStart"/>
      <w:r w:rsidR="002D20AC">
        <w:rPr>
          <w:sz w:val="26"/>
          <w:szCs w:val="26"/>
        </w:rPr>
        <w:t>24</w:t>
      </w:r>
      <w:r w:rsidR="00866D6C">
        <w:rPr>
          <w:sz w:val="26"/>
          <w:szCs w:val="26"/>
        </w:rPr>
        <w:t>17540</w:t>
      </w:r>
      <w:r w:rsidR="00D111D2">
        <w:rPr>
          <w:sz w:val="26"/>
          <w:szCs w:val="26"/>
        </w:rPr>
        <w:t>,</w:t>
      </w:r>
      <w:proofErr w:type="gramEnd"/>
      <w:r w:rsidR="002D20AC">
        <w:rPr>
          <w:sz w:val="26"/>
          <w:szCs w:val="26"/>
        </w:rPr>
        <w:t xml:space="preserve"> </w:t>
      </w:r>
      <w:r w:rsidR="00EB5F4B">
        <w:rPr>
          <w:sz w:val="26"/>
          <w:szCs w:val="26"/>
        </w:rPr>
        <w:t xml:space="preserve">is </w:t>
      </w:r>
      <w:r w:rsidR="00866D6C">
        <w:rPr>
          <w:sz w:val="26"/>
          <w:szCs w:val="26"/>
        </w:rPr>
        <w:t>d</w:t>
      </w:r>
      <w:r w:rsidR="00415A91">
        <w:rPr>
          <w:sz w:val="26"/>
          <w:szCs w:val="26"/>
        </w:rPr>
        <w:t>ismissed</w:t>
      </w:r>
      <w:r w:rsidR="00EB5F4B">
        <w:rPr>
          <w:sz w:val="26"/>
          <w:szCs w:val="26"/>
        </w:rPr>
        <w:t>.</w:t>
      </w:r>
    </w:p>
    <w:p w:rsidR="007714B1" w:rsidRDefault="007714B1" w:rsidP="006C0C15">
      <w:pPr>
        <w:tabs>
          <w:tab w:val="left" w:pos="1440"/>
        </w:tabs>
        <w:spacing w:line="360" w:lineRule="auto"/>
        <w:ind w:firstLine="720"/>
        <w:rPr>
          <w:sz w:val="26"/>
          <w:szCs w:val="26"/>
        </w:rPr>
      </w:pPr>
    </w:p>
    <w:p w:rsidR="003B03A6" w:rsidRPr="002D20AC" w:rsidRDefault="007714B1" w:rsidP="00866D6C">
      <w:pPr>
        <w:tabs>
          <w:tab w:val="left" w:pos="1440"/>
        </w:tabs>
        <w:spacing w:line="360" w:lineRule="auto"/>
        <w:ind w:firstLine="720"/>
        <w:rPr>
          <w:sz w:val="26"/>
          <w:szCs w:val="26"/>
        </w:rPr>
      </w:pPr>
      <w:r>
        <w:rPr>
          <w:sz w:val="26"/>
          <w:szCs w:val="26"/>
        </w:rPr>
        <w:tab/>
      </w:r>
      <w:r w:rsidR="00866D6C">
        <w:rPr>
          <w:sz w:val="26"/>
          <w:szCs w:val="26"/>
        </w:rPr>
        <w:t>4</w:t>
      </w:r>
      <w:r w:rsidR="002D20AC" w:rsidRPr="002D20AC">
        <w:rPr>
          <w:sz w:val="26"/>
          <w:szCs w:val="26"/>
        </w:rPr>
        <w:t>.</w:t>
      </w:r>
      <w:r w:rsidR="002D20AC" w:rsidRPr="002D20AC">
        <w:rPr>
          <w:sz w:val="26"/>
          <w:szCs w:val="26"/>
        </w:rPr>
        <w:tab/>
        <w:t>That the proceeding docketed at C-2014-24</w:t>
      </w:r>
      <w:r w:rsidR="00866D6C">
        <w:rPr>
          <w:sz w:val="26"/>
          <w:szCs w:val="26"/>
        </w:rPr>
        <w:t>17540</w:t>
      </w:r>
      <w:r w:rsidR="002D20AC" w:rsidRPr="002D20AC">
        <w:rPr>
          <w:sz w:val="26"/>
          <w:szCs w:val="26"/>
        </w:rPr>
        <w:t xml:space="preserve"> be marked closed</w:t>
      </w:r>
      <w:r w:rsidR="00FA0A47" w:rsidRPr="002D20AC">
        <w:rPr>
          <w:sz w:val="26"/>
          <w:szCs w:val="26"/>
        </w:rPr>
        <w:t>.</w:t>
      </w:r>
    </w:p>
    <w:p w:rsidR="001A0516" w:rsidRDefault="001A0516" w:rsidP="006C0C15">
      <w:pPr>
        <w:spacing w:line="360" w:lineRule="auto"/>
        <w:rPr>
          <w:sz w:val="26"/>
          <w:szCs w:val="26"/>
        </w:rPr>
      </w:pPr>
    </w:p>
    <w:p w:rsidR="00A437BB" w:rsidRDefault="00B93DEF" w:rsidP="006C0C15">
      <w:pPr>
        <w:spacing w:line="360" w:lineRule="auto"/>
        <w:rPr>
          <w:b/>
          <w:sz w:val="26"/>
          <w:szCs w:val="26"/>
        </w:rPr>
      </w:pPr>
      <w:r>
        <w:rPr>
          <w:noProof/>
        </w:rPr>
        <w:drawing>
          <wp:anchor distT="0" distB="0" distL="114300" distR="114300" simplePos="0" relativeHeight="251659264" behindDoc="1" locked="0" layoutInCell="1" allowOverlap="1" wp14:anchorId="59262E37" wp14:editId="28C7E75F">
            <wp:simplePos x="0" y="0"/>
            <wp:positionH relativeFrom="column">
              <wp:posOffset>3105150</wp:posOffset>
            </wp:positionH>
            <wp:positionV relativeFrom="paragraph">
              <wp:posOffset>71120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4E61BF" w:rsidRPr="000D6043" w:rsidRDefault="004E61BF" w:rsidP="006C0C15">
      <w:pPr>
        <w:spacing w:line="360" w:lineRule="auto"/>
        <w:rPr>
          <w:sz w:val="26"/>
          <w:szCs w:val="26"/>
        </w:rPr>
      </w:pPr>
    </w:p>
    <w:p w:rsidR="008D6E6F" w:rsidRDefault="001A1AD3" w:rsidP="006C0C15">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p>
    <w:p w:rsidR="001A1AD3" w:rsidRPr="000D6043" w:rsidRDefault="008D6E6F" w:rsidP="006C0C15">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A1AD3" w:rsidRPr="000D6043">
        <w:rPr>
          <w:sz w:val="26"/>
          <w:szCs w:val="26"/>
        </w:rPr>
        <w:tab/>
      </w:r>
      <w:r w:rsidR="00F40A17">
        <w:rPr>
          <w:sz w:val="26"/>
          <w:szCs w:val="26"/>
        </w:rPr>
        <w:t>Rosemary Chiavetta</w:t>
      </w:r>
    </w:p>
    <w:p w:rsidR="00F15AA1" w:rsidRDefault="001A1AD3" w:rsidP="006C0C15">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0261D5" w:rsidRDefault="000261D5" w:rsidP="006C0C15">
      <w:pPr>
        <w:tabs>
          <w:tab w:val="left" w:pos="-720"/>
        </w:tabs>
        <w:suppressAutoHyphens/>
        <w:rPr>
          <w:sz w:val="26"/>
          <w:szCs w:val="26"/>
        </w:rPr>
      </w:pPr>
    </w:p>
    <w:p w:rsidR="001A1AD3" w:rsidRPr="00AD292A" w:rsidRDefault="001A1AD3" w:rsidP="006C0C15">
      <w:pPr>
        <w:tabs>
          <w:tab w:val="left" w:pos="-720"/>
        </w:tabs>
        <w:suppressAutoHyphens/>
        <w:rPr>
          <w:sz w:val="26"/>
          <w:szCs w:val="26"/>
        </w:rPr>
      </w:pPr>
      <w:r w:rsidRPr="00AD292A">
        <w:rPr>
          <w:sz w:val="26"/>
          <w:szCs w:val="26"/>
        </w:rPr>
        <w:t>(SEAL)</w:t>
      </w:r>
    </w:p>
    <w:p w:rsidR="001A1AD3" w:rsidRPr="001B2BFB" w:rsidRDefault="001A1AD3" w:rsidP="006C0C15">
      <w:pPr>
        <w:tabs>
          <w:tab w:val="left" w:pos="-720"/>
        </w:tabs>
        <w:suppressAutoHyphens/>
        <w:rPr>
          <w:sz w:val="26"/>
          <w:szCs w:val="26"/>
        </w:rPr>
      </w:pPr>
    </w:p>
    <w:p w:rsidR="001A1AD3" w:rsidRDefault="001A1AD3" w:rsidP="006C0C15">
      <w:pPr>
        <w:tabs>
          <w:tab w:val="left" w:pos="-720"/>
        </w:tabs>
        <w:suppressAutoHyphens/>
        <w:rPr>
          <w:sz w:val="26"/>
          <w:szCs w:val="26"/>
        </w:rPr>
      </w:pPr>
      <w:r w:rsidRPr="00AD292A">
        <w:rPr>
          <w:sz w:val="26"/>
          <w:szCs w:val="26"/>
        </w:rPr>
        <w:t>ORDER ADOPTED:</w:t>
      </w:r>
      <w:r w:rsidR="00213650">
        <w:rPr>
          <w:sz w:val="26"/>
          <w:szCs w:val="26"/>
        </w:rPr>
        <w:t xml:space="preserve">  July 30, 2015</w:t>
      </w:r>
      <w:r w:rsidRPr="001B2BFB">
        <w:rPr>
          <w:sz w:val="26"/>
          <w:szCs w:val="26"/>
        </w:rPr>
        <w:t xml:space="preserve"> </w:t>
      </w:r>
    </w:p>
    <w:p w:rsidR="004E61BF" w:rsidRDefault="004E61BF" w:rsidP="006C0C15">
      <w:pPr>
        <w:tabs>
          <w:tab w:val="left" w:pos="-720"/>
        </w:tabs>
        <w:suppressAutoHyphens/>
        <w:rPr>
          <w:sz w:val="26"/>
          <w:szCs w:val="26"/>
        </w:rPr>
      </w:pPr>
    </w:p>
    <w:p w:rsidR="0036706C" w:rsidRPr="001B2BFB" w:rsidRDefault="0036706C" w:rsidP="006C0C15">
      <w:pPr>
        <w:tabs>
          <w:tab w:val="left" w:pos="-720"/>
        </w:tabs>
        <w:suppressAutoHyphens/>
        <w:rPr>
          <w:sz w:val="26"/>
          <w:szCs w:val="26"/>
        </w:rPr>
      </w:pPr>
      <w:r>
        <w:rPr>
          <w:sz w:val="26"/>
          <w:szCs w:val="26"/>
        </w:rPr>
        <w:t xml:space="preserve">ORDER ENTERED: </w:t>
      </w:r>
      <w:r w:rsidR="00B93DEF">
        <w:rPr>
          <w:sz w:val="26"/>
          <w:szCs w:val="26"/>
        </w:rPr>
        <w:t>July 30, 2015</w:t>
      </w:r>
      <w:bookmarkStart w:id="0" w:name="_GoBack"/>
      <w:bookmarkEnd w:id="0"/>
    </w:p>
    <w:sectPr w:rsidR="0036706C" w:rsidRPr="001B2BFB"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594" w:rsidRDefault="00712594">
      <w:r>
        <w:separator/>
      </w:r>
    </w:p>
  </w:endnote>
  <w:endnote w:type="continuationSeparator" w:id="0">
    <w:p w:rsidR="00712594" w:rsidRDefault="0071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4F3" w:rsidRDefault="00A874F3"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74F3" w:rsidRDefault="00A87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4F3" w:rsidRDefault="00A874F3"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3DEF">
      <w:rPr>
        <w:rStyle w:val="PageNumber"/>
        <w:noProof/>
      </w:rPr>
      <w:t>11</w:t>
    </w:r>
    <w:r>
      <w:rPr>
        <w:rStyle w:val="PageNumber"/>
      </w:rPr>
      <w:fldChar w:fldCharType="end"/>
    </w:r>
  </w:p>
  <w:p w:rsidR="00A874F3" w:rsidRDefault="00A87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594" w:rsidRDefault="00712594">
      <w:r>
        <w:separator/>
      </w:r>
    </w:p>
  </w:footnote>
  <w:footnote w:type="continuationSeparator" w:id="0">
    <w:p w:rsidR="00712594" w:rsidRDefault="00712594">
      <w:r>
        <w:continuationSeparator/>
      </w:r>
    </w:p>
  </w:footnote>
  <w:footnote w:id="1">
    <w:p w:rsidR="00B67018" w:rsidRPr="00441C47" w:rsidRDefault="00441C47" w:rsidP="00B67018">
      <w:pPr>
        <w:rPr>
          <w:sz w:val="26"/>
        </w:rPr>
      </w:pPr>
      <w:r>
        <w:tab/>
      </w:r>
      <w:r w:rsidR="00B67018" w:rsidRPr="00441C47">
        <w:rPr>
          <w:rStyle w:val="FootnoteReference"/>
        </w:rPr>
        <w:footnoteRef/>
      </w:r>
      <w:r w:rsidR="00B67018" w:rsidRPr="00441C47">
        <w:rPr>
          <w:sz w:val="26"/>
        </w:rPr>
        <w:t xml:space="preserve"> </w:t>
      </w:r>
      <w:r w:rsidRPr="00441C47">
        <w:rPr>
          <w:sz w:val="26"/>
        </w:rPr>
        <w:tab/>
      </w:r>
      <w:r w:rsidR="00B67018" w:rsidRPr="00441C47">
        <w:rPr>
          <w:sz w:val="26"/>
        </w:rPr>
        <w:t xml:space="preserve">By Secretarial Letter issued on March 26, 2015, the Commission’s Secretary explained that, while the Initial Decision was originally served on February 19, 2015, Respond Power was not properly served with the Initial Decision.  Therefore, to ensure due process to all Parties, the Secretary’s Bureau re-served the Initial Decision on March 26, 2015, and provided the Parties with a new period of time </w:t>
      </w:r>
      <w:r w:rsidR="00D41957">
        <w:rPr>
          <w:sz w:val="26"/>
        </w:rPr>
        <w:t xml:space="preserve">in which </w:t>
      </w:r>
      <w:r w:rsidR="00B67018" w:rsidRPr="00441C47">
        <w:rPr>
          <w:sz w:val="26"/>
        </w:rPr>
        <w:t xml:space="preserve">to file Exceptions and </w:t>
      </w:r>
      <w:r>
        <w:rPr>
          <w:sz w:val="26"/>
        </w:rPr>
        <w:t>R</w:t>
      </w:r>
      <w:r w:rsidR="00B67018" w:rsidRPr="00441C47">
        <w:rPr>
          <w:sz w:val="26"/>
        </w:rPr>
        <w:t>eplies to Exceptions.</w:t>
      </w:r>
      <w:r>
        <w:rPr>
          <w:sz w:val="26"/>
        </w:rPr>
        <w:t xml:space="preserve">  </w:t>
      </w:r>
      <w:r w:rsidR="00BB773C">
        <w:rPr>
          <w:sz w:val="26"/>
        </w:rPr>
        <w:t>Accordingly, Exceptions were due within twenty days from March 26, 2015, or on April 15, 2015.</w:t>
      </w:r>
      <w:r w:rsidR="00571E45">
        <w:rPr>
          <w:sz w:val="26"/>
        </w:rPr>
        <w:t xml:space="preserve">  </w:t>
      </w:r>
      <w:r w:rsidR="00BB773C">
        <w:rPr>
          <w:sz w:val="26"/>
        </w:rPr>
        <w:t xml:space="preserve">  </w:t>
      </w:r>
      <w:r w:rsidR="00B67018" w:rsidRPr="00441C47">
        <w:rPr>
          <w:sz w:val="26"/>
        </w:rPr>
        <w:tab/>
      </w:r>
    </w:p>
    <w:p w:rsidR="00B67018" w:rsidRDefault="00B67018" w:rsidP="00D35565">
      <w:pPr>
        <w:pStyle w:val="FootnoteText"/>
      </w:pPr>
    </w:p>
  </w:footnote>
  <w:footnote w:id="2">
    <w:p w:rsidR="00D35565" w:rsidRDefault="00D35565" w:rsidP="00D35565">
      <w:pPr>
        <w:pStyle w:val="FootnoteText"/>
      </w:pPr>
      <w:r>
        <w:tab/>
      </w:r>
      <w:r>
        <w:rPr>
          <w:rStyle w:val="FootnoteReference"/>
        </w:rPr>
        <w:footnoteRef/>
      </w:r>
      <w:r>
        <w:t xml:space="preserve"> </w:t>
      </w:r>
      <w:r>
        <w:tab/>
        <w:t>Section 57.171 of our Regulations, 52 Pa. Code § 57.171, defines “customer” as follows:  “A purchaser of electric power in whose name a service account exists with either an EDC or an EGS. The term includes all persons authorized to act on a customer’s behalf.”</w:t>
      </w:r>
    </w:p>
  </w:footnote>
  <w:footnote w:id="3">
    <w:p w:rsidR="00D35565" w:rsidRDefault="00D35565">
      <w:pPr>
        <w:pStyle w:val="FootnoteText"/>
      </w:pPr>
      <w:r>
        <w:tab/>
      </w:r>
      <w:r>
        <w:rPr>
          <w:rStyle w:val="FootnoteReference"/>
        </w:rPr>
        <w:footnoteRef/>
      </w:r>
      <w:r>
        <w:t xml:space="preserve"> </w:t>
      </w:r>
      <w:r>
        <w:tab/>
        <w:t xml:space="preserve">Section 57.175 of our Regulations, 52 Pa. Code § 57.175, provides the following: </w:t>
      </w:r>
      <w:r w:rsidR="00707255">
        <w:t xml:space="preserve"> “A customer may identify persons authorized to make changes to the customer’s account. To accomplish this, the customer shall provide the EDC with a signed document identifying by name those persons who have the authority to initiate a change of the customer’s EGS.”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1139"/>
    <w:rsid w:val="00001267"/>
    <w:rsid w:val="00002F2A"/>
    <w:rsid w:val="00004394"/>
    <w:rsid w:val="000043BA"/>
    <w:rsid w:val="00006102"/>
    <w:rsid w:val="000063E9"/>
    <w:rsid w:val="00006E16"/>
    <w:rsid w:val="00007241"/>
    <w:rsid w:val="000074DC"/>
    <w:rsid w:val="00010322"/>
    <w:rsid w:val="0001099D"/>
    <w:rsid w:val="00011216"/>
    <w:rsid w:val="000123D6"/>
    <w:rsid w:val="00012797"/>
    <w:rsid w:val="0001306C"/>
    <w:rsid w:val="00013EB9"/>
    <w:rsid w:val="0001411C"/>
    <w:rsid w:val="000148F5"/>
    <w:rsid w:val="00015406"/>
    <w:rsid w:val="000155FB"/>
    <w:rsid w:val="00015969"/>
    <w:rsid w:val="00015A01"/>
    <w:rsid w:val="00016515"/>
    <w:rsid w:val="0001668E"/>
    <w:rsid w:val="00016CE0"/>
    <w:rsid w:val="00017033"/>
    <w:rsid w:val="000178AA"/>
    <w:rsid w:val="00020E43"/>
    <w:rsid w:val="00020F8F"/>
    <w:rsid w:val="00022799"/>
    <w:rsid w:val="00023546"/>
    <w:rsid w:val="00024987"/>
    <w:rsid w:val="00024DD1"/>
    <w:rsid w:val="00025686"/>
    <w:rsid w:val="0002585B"/>
    <w:rsid w:val="00025B28"/>
    <w:rsid w:val="000261D5"/>
    <w:rsid w:val="00026E4B"/>
    <w:rsid w:val="0002723A"/>
    <w:rsid w:val="0002744F"/>
    <w:rsid w:val="000275F1"/>
    <w:rsid w:val="00027F6F"/>
    <w:rsid w:val="000310BE"/>
    <w:rsid w:val="00031E93"/>
    <w:rsid w:val="0003479F"/>
    <w:rsid w:val="00036FA2"/>
    <w:rsid w:val="000378DC"/>
    <w:rsid w:val="0004043C"/>
    <w:rsid w:val="000405AC"/>
    <w:rsid w:val="0004437C"/>
    <w:rsid w:val="000450BE"/>
    <w:rsid w:val="0004759E"/>
    <w:rsid w:val="00050773"/>
    <w:rsid w:val="000510D0"/>
    <w:rsid w:val="000510FD"/>
    <w:rsid w:val="000520F7"/>
    <w:rsid w:val="00052478"/>
    <w:rsid w:val="00052A0E"/>
    <w:rsid w:val="00053715"/>
    <w:rsid w:val="00053CED"/>
    <w:rsid w:val="0005544D"/>
    <w:rsid w:val="000566B1"/>
    <w:rsid w:val="00057057"/>
    <w:rsid w:val="00057DAB"/>
    <w:rsid w:val="000604A3"/>
    <w:rsid w:val="00061021"/>
    <w:rsid w:val="000610F9"/>
    <w:rsid w:val="00061850"/>
    <w:rsid w:val="000629CD"/>
    <w:rsid w:val="000634BD"/>
    <w:rsid w:val="00064980"/>
    <w:rsid w:val="00065DB6"/>
    <w:rsid w:val="00065E95"/>
    <w:rsid w:val="00067181"/>
    <w:rsid w:val="000673D1"/>
    <w:rsid w:val="00070B22"/>
    <w:rsid w:val="00070FF8"/>
    <w:rsid w:val="00070FFD"/>
    <w:rsid w:val="00071B8D"/>
    <w:rsid w:val="00072883"/>
    <w:rsid w:val="00073515"/>
    <w:rsid w:val="00073540"/>
    <w:rsid w:val="000735A0"/>
    <w:rsid w:val="00073C25"/>
    <w:rsid w:val="00074255"/>
    <w:rsid w:val="00075161"/>
    <w:rsid w:val="000757B0"/>
    <w:rsid w:val="00076E28"/>
    <w:rsid w:val="00077066"/>
    <w:rsid w:val="00077CBB"/>
    <w:rsid w:val="00080BE7"/>
    <w:rsid w:val="00082EAC"/>
    <w:rsid w:val="000830C7"/>
    <w:rsid w:val="0008328F"/>
    <w:rsid w:val="0008445E"/>
    <w:rsid w:val="00084A43"/>
    <w:rsid w:val="00085271"/>
    <w:rsid w:val="00085FFB"/>
    <w:rsid w:val="00086411"/>
    <w:rsid w:val="00086D0B"/>
    <w:rsid w:val="0008768F"/>
    <w:rsid w:val="00087D18"/>
    <w:rsid w:val="00087E3B"/>
    <w:rsid w:val="00087E8B"/>
    <w:rsid w:val="00091A97"/>
    <w:rsid w:val="0009207F"/>
    <w:rsid w:val="00092ABD"/>
    <w:rsid w:val="0009319F"/>
    <w:rsid w:val="00093657"/>
    <w:rsid w:val="00093715"/>
    <w:rsid w:val="00093F82"/>
    <w:rsid w:val="00095BA9"/>
    <w:rsid w:val="00096187"/>
    <w:rsid w:val="000966DC"/>
    <w:rsid w:val="0009781B"/>
    <w:rsid w:val="000A056C"/>
    <w:rsid w:val="000A2F11"/>
    <w:rsid w:val="000A35F4"/>
    <w:rsid w:val="000A37E1"/>
    <w:rsid w:val="000A39CF"/>
    <w:rsid w:val="000A3B60"/>
    <w:rsid w:val="000A5BF7"/>
    <w:rsid w:val="000A5CE8"/>
    <w:rsid w:val="000A770A"/>
    <w:rsid w:val="000A7F96"/>
    <w:rsid w:val="000B03F9"/>
    <w:rsid w:val="000B23F4"/>
    <w:rsid w:val="000B2A5C"/>
    <w:rsid w:val="000B2B80"/>
    <w:rsid w:val="000B3146"/>
    <w:rsid w:val="000B3FB4"/>
    <w:rsid w:val="000B432E"/>
    <w:rsid w:val="000B4744"/>
    <w:rsid w:val="000B4F29"/>
    <w:rsid w:val="000B5487"/>
    <w:rsid w:val="000B5DF8"/>
    <w:rsid w:val="000B63A8"/>
    <w:rsid w:val="000B67C9"/>
    <w:rsid w:val="000B7694"/>
    <w:rsid w:val="000C0E37"/>
    <w:rsid w:val="000C1267"/>
    <w:rsid w:val="000C17F5"/>
    <w:rsid w:val="000C2A2F"/>
    <w:rsid w:val="000C50C4"/>
    <w:rsid w:val="000C51BF"/>
    <w:rsid w:val="000C5FB9"/>
    <w:rsid w:val="000C742F"/>
    <w:rsid w:val="000D0D75"/>
    <w:rsid w:val="000D1A34"/>
    <w:rsid w:val="000D40AA"/>
    <w:rsid w:val="000D74C4"/>
    <w:rsid w:val="000E0050"/>
    <w:rsid w:val="000E0225"/>
    <w:rsid w:val="000E1684"/>
    <w:rsid w:val="000E1CF4"/>
    <w:rsid w:val="000E27BB"/>
    <w:rsid w:val="000E3FDA"/>
    <w:rsid w:val="000E4BED"/>
    <w:rsid w:val="000E7DC6"/>
    <w:rsid w:val="000F2540"/>
    <w:rsid w:val="000F292B"/>
    <w:rsid w:val="000F34FC"/>
    <w:rsid w:val="000F3505"/>
    <w:rsid w:val="000F3750"/>
    <w:rsid w:val="000F4144"/>
    <w:rsid w:val="000F6034"/>
    <w:rsid w:val="000F6D5A"/>
    <w:rsid w:val="000F748E"/>
    <w:rsid w:val="0010013C"/>
    <w:rsid w:val="001006F0"/>
    <w:rsid w:val="00100BF3"/>
    <w:rsid w:val="00100D9F"/>
    <w:rsid w:val="00101745"/>
    <w:rsid w:val="00102738"/>
    <w:rsid w:val="0010357F"/>
    <w:rsid w:val="00103A52"/>
    <w:rsid w:val="00105084"/>
    <w:rsid w:val="00105104"/>
    <w:rsid w:val="00105193"/>
    <w:rsid w:val="00106537"/>
    <w:rsid w:val="00106BB1"/>
    <w:rsid w:val="00106BF9"/>
    <w:rsid w:val="00107316"/>
    <w:rsid w:val="00107338"/>
    <w:rsid w:val="0011244B"/>
    <w:rsid w:val="00112861"/>
    <w:rsid w:val="0011361B"/>
    <w:rsid w:val="00113B62"/>
    <w:rsid w:val="0011419F"/>
    <w:rsid w:val="001146C7"/>
    <w:rsid w:val="00114D80"/>
    <w:rsid w:val="00115FD9"/>
    <w:rsid w:val="00116644"/>
    <w:rsid w:val="00116D79"/>
    <w:rsid w:val="0012019D"/>
    <w:rsid w:val="0012058D"/>
    <w:rsid w:val="001205A6"/>
    <w:rsid w:val="00120A27"/>
    <w:rsid w:val="00124A50"/>
    <w:rsid w:val="00124E2B"/>
    <w:rsid w:val="001259FC"/>
    <w:rsid w:val="0012697D"/>
    <w:rsid w:val="00127BCC"/>
    <w:rsid w:val="00127C7C"/>
    <w:rsid w:val="00131B43"/>
    <w:rsid w:val="00132429"/>
    <w:rsid w:val="00133878"/>
    <w:rsid w:val="0013479A"/>
    <w:rsid w:val="00135FAF"/>
    <w:rsid w:val="00136229"/>
    <w:rsid w:val="00136593"/>
    <w:rsid w:val="00136C77"/>
    <w:rsid w:val="001377DE"/>
    <w:rsid w:val="00137A60"/>
    <w:rsid w:val="00140CD4"/>
    <w:rsid w:val="00141882"/>
    <w:rsid w:val="0014191F"/>
    <w:rsid w:val="00141DF0"/>
    <w:rsid w:val="0014205C"/>
    <w:rsid w:val="00143689"/>
    <w:rsid w:val="00143F43"/>
    <w:rsid w:val="00144166"/>
    <w:rsid w:val="00145959"/>
    <w:rsid w:val="0014664F"/>
    <w:rsid w:val="00147415"/>
    <w:rsid w:val="00150989"/>
    <w:rsid w:val="001522EE"/>
    <w:rsid w:val="0015344F"/>
    <w:rsid w:val="0015621A"/>
    <w:rsid w:val="001562DD"/>
    <w:rsid w:val="0015662E"/>
    <w:rsid w:val="001572C5"/>
    <w:rsid w:val="00157C2F"/>
    <w:rsid w:val="0016005F"/>
    <w:rsid w:val="0016020F"/>
    <w:rsid w:val="001606BC"/>
    <w:rsid w:val="00161FCC"/>
    <w:rsid w:val="00162A24"/>
    <w:rsid w:val="00163324"/>
    <w:rsid w:val="00163821"/>
    <w:rsid w:val="00163AA3"/>
    <w:rsid w:val="00164715"/>
    <w:rsid w:val="00164C98"/>
    <w:rsid w:val="00165AED"/>
    <w:rsid w:val="001679F1"/>
    <w:rsid w:val="001701B3"/>
    <w:rsid w:val="001718CA"/>
    <w:rsid w:val="001741CB"/>
    <w:rsid w:val="001741EF"/>
    <w:rsid w:val="00175EA0"/>
    <w:rsid w:val="00177A43"/>
    <w:rsid w:val="00181033"/>
    <w:rsid w:val="001811B8"/>
    <w:rsid w:val="00181A3D"/>
    <w:rsid w:val="001827DB"/>
    <w:rsid w:val="00183D96"/>
    <w:rsid w:val="00184A65"/>
    <w:rsid w:val="0018533E"/>
    <w:rsid w:val="00185B5E"/>
    <w:rsid w:val="00186887"/>
    <w:rsid w:val="00187782"/>
    <w:rsid w:val="001877A2"/>
    <w:rsid w:val="00187DC4"/>
    <w:rsid w:val="001903F3"/>
    <w:rsid w:val="0019214E"/>
    <w:rsid w:val="0019318F"/>
    <w:rsid w:val="00193EF0"/>
    <w:rsid w:val="001967CA"/>
    <w:rsid w:val="00197920"/>
    <w:rsid w:val="00197C2F"/>
    <w:rsid w:val="00197F3D"/>
    <w:rsid w:val="001A0516"/>
    <w:rsid w:val="001A0557"/>
    <w:rsid w:val="001A1AD3"/>
    <w:rsid w:val="001A3F04"/>
    <w:rsid w:val="001A4A0C"/>
    <w:rsid w:val="001A4D90"/>
    <w:rsid w:val="001A4FC3"/>
    <w:rsid w:val="001A5756"/>
    <w:rsid w:val="001A75AA"/>
    <w:rsid w:val="001B020D"/>
    <w:rsid w:val="001B2295"/>
    <w:rsid w:val="001B2E4F"/>
    <w:rsid w:val="001B423C"/>
    <w:rsid w:val="001B7A05"/>
    <w:rsid w:val="001B7BCB"/>
    <w:rsid w:val="001C1550"/>
    <w:rsid w:val="001C3929"/>
    <w:rsid w:val="001C3D75"/>
    <w:rsid w:val="001C53B1"/>
    <w:rsid w:val="001C6BCE"/>
    <w:rsid w:val="001C7DBD"/>
    <w:rsid w:val="001C7E91"/>
    <w:rsid w:val="001C7F88"/>
    <w:rsid w:val="001D01F1"/>
    <w:rsid w:val="001D02A2"/>
    <w:rsid w:val="001D252C"/>
    <w:rsid w:val="001D2979"/>
    <w:rsid w:val="001D2BAD"/>
    <w:rsid w:val="001D3E13"/>
    <w:rsid w:val="001D491F"/>
    <w:rsid w:val="001D5419"/>
    <w:rsid w:val="001D573E"/>
    <w:rsid w:val="001D6F93"/>
    <w:rsid w:val="001D70A6"/>
    <w:rsid w:val="001D7137"/>
    <w:rsid w:val="001E05C6"/>
    <w:rsid w:val="001E0B29"/>
    <w:rsid w:val="001E0D4B"/>
    <w:rsid w:val="001E19BC"/>
    <w:rsid w:val="001E2C3E"/>
    <w:rsid w:val="001E2CFB"/>
    <w:rsid w:val="001E2E27"/>
    <w:rsid w:val="001E2FEE"/>
    <w:rsid w:val="001E3574"/>
    <w:rsid w:val="001E3FBF"/>
    <w:rsid w:val="001E4181"/>
    <w:rsid w:val="001E4225"/>
    <w:rsid w:val="001E4A7C"/>
    <w:rsid w:val="001E54DA"/>
    <w:rsid w:val="001E6158"/>
    <w:rsid w:val="001F0488"/>
    <w:rsid w:val="001F3675"/>
    <w:rsid w:val="001F470A"/>
    <w:rsid w:val="001F55D5"/>
    <w:rsid w:val="001F5B0F"/>
    <w:rsid w:val="001F5E98"/>
    <w:rsid w:val="001F606C"/>
    <w:rsid w:val="001F739E"/>
    <w:rsid w:val="001F75D6"/>
    <w:rsid w:val="001F79C6"/>
    <w:rsid w:val="001F7B55"/>
    <w:rsid w:val="001F7BA3"/>
    <w:rsid w:val="001F7CBD"/>
    <w:rsid w:val="00201A5B"/>
    <w:rsid w:val="002026AB"/>
    <w:rsid w:val="00203702"/>
    <w:rsid w:val="00203A08"/>
    <w:rsid w:val="00203F27"/>
    <w:rsid w:val="00205242"/>
    <w:rsid w:val="00205344"/>
    <w:rsid w:val="00205983"/>
    <w:rsid w:val="002063AE"/>
    <w:rsid w:val="00206877"/>
    <w:rsid w:val="00206D03"/>
    <w:rsid w:val="00207453"/>
    <w:rsid w:val="00210868"/>
    <w:rsid w:val="0021121F"/>
    <w:rsid w:val="002133B2"/>
    <w:rsid w:val="002134A3"/>
    <w:rsid w:val="00213650"/>
    <w:rsid w:val="00213B95"/>
    <w:rsid w:val="00213E0A"/>
    <w:rsid w:val="002161A1"/>
    <w:rsid w:val="002167AB"/>
    <w:rsid w:val="00217165"/>
    <w:rsid w:val="00217C4E"/>
    <w:rsid w:val="002227E9"/>
    <w:rsid w:val="002242F7"/>
    <w:rsid w:val="00224394"/>
    <w:rsid w:val="002258C4"/>
    <w:rsid w:val="00225A51"/>
    <w:rsid w:val="00225BD2"/>
    <w:rsid w:val="00225DEC"/>
    <w:rsid w:val="00226A3E"/>
    <w:rsid w:val="00227D76"/>
    <w:rsid w:val="00230396"/>
    <w:rsid w:val="0023097E"/>
    <w:rsid w:val="00230BAB"/>
    <w:rsid w:val="00231579"/>
    <w:rsid w:val="002326E8"/>
    <w:rsid w:val="002329E9"/>
    <w:rsid w:val="00232A03"/>
    <w:rsid w:val="00233B08"/>
    <w:rsid w:val="0023535F"/>
    <w:rsid w:val="0023714A"/>
    <w:rsid w:val="00237A2B"/>
    <w:rsid w:val="00237CE3"/>
    <w:rsid w:val="002431F5"/>
    <w:rsid w:val="00243CC9"/>
    <w:rsid w:val="002450F3"/>
    <w:rsid w:val="00246294"/>
    <w:rsid w:val="002469C9"/>
    <w:rsid w:val="00246C00"/>
    <w:rsid w:val="00247332"/>
    <w:rsid w:val="002473E7"/>
    <w:rsid w:val="00252313"/>
    <w:rsid w:val="00252D00"/>
    <w:rsid w:val="00253CC7"/>
    <w:rsid w:val="0025590A"/>
    <w:rsid w:val="0025592A"/>
    <w:rsid w:val="002564D7"/>
    <w:rsid w:val="00256A4C"/>
    <w:rsid w:val="00256A7D"/>
    <w:rsid w:val="0025718D"/>
    <w:rsid w:val="002572E5"/>
    <w:rsid w:val="00260374"/>
    <w:rsid w:val="002624F3"/>
    <w:rsid w:val="002631AF"/>
    <w:rsid w:val="0026419F"/>
    <w:rsid w:val="00264ABB"/>
    <w:rsid w:val="002652DF"/>
    <w:rsid w:val="00265BD8"/>
    <w:rsid w:val="00271DBF"/>
    <w:rsid w:val="00271E53"/>
    <w:rsid w:val="002723CB"/>
    <w:rsid w:val="002724ED"/>
    <w:rsid w:val="002724F5"/>
    <w:rsid w:val="00272DB6"/>
    <w:rsid w:val="00273123"/>
    <w:rsid w:val="00273450"/>
    <w:rsid w:val="00274EC0"/>
    <w:rsid w:val="002762CB"/>
    <w:rsid w:val="00276456"/>
    <w:rsid w:val="0027682A"/>
    <w:rsid w:val="002770D8"/>
    <w:rsid w:val="0028157C"/>
    <w:rsid w:val="00282019"/>
    <w:rsid w:val="002838E3"/>
    <w:rsid w:val="00283B73"/>
    <w:rsid w:val="002842BC"/>
    <w:rsid w:val="00284573"/>
    <w:rsid w:val="002848F6"/>
    <w:rsid w:val="002854BF"/>
    <w:rsid w:val="0028580D"/>
    <w:rsid w:val="00285856"/>
    <w:rsid w:val="00287528"/>
    <w:rsid w:val="00287BE6"/>
    <w:rsid w:val="002914E5"/>
    <w:rsid w:val="002919FB"/>
    <w:rsid w:val="002950D1"/>
    <w:rsid w:val="0029586B"/>
    <w:rsid w:val="00296477"/>
    <w:rsid w:val="00296493"/>
    <w:rsid w:val="00297CD9"/>
    <w:rsid w:val="00297DC9"/>
    <w:rsid w:val="002A0E7C"/>
    <w:rsid w:val="002A0E82"/>
    <w:rsid w:val="002A0FE5"/>
    <w:rsid w:val="002A3A6E"/>
    <w:rsid w:val="002A3AC8"/>
    <w:rsid w:val="002A4BA7"/>
    <w:rsid w:val="002A5399"/>
    <w:rsid w:val="002A5A92"/>
    <w:rsid w:val="002A740E"/>
    <w:rsid w:val="002B0089"/>
    <w:rsid w:val="002B0FCE"/>
    <w:rsid w:val="002B2D9D"/>
    <w:rsid w:val="002B3076"/>
    <w:rsid w:val="002B31AD"/>
    <w:rsid w:val="002B3382"/>
    <w:rsid w:val="002B3767"/>
    <w:rsid w:val="002B3EB6"/>
    <w:rsid w:val="002B4B0D"/>
    <w:rsid w:val="002B5078"/>
    <w:rsid w:val="002B61D4"/>
    <w:rsid w:val="002B684A"/>
    <w:rsid w:val="002C011D"/>
    <w:rsid w:val="002C076D"/>
    <w:rsid w:val="002C2703"/>
    <w:rsid w:val="002C2F02"/>
    <w:rsid w:val="002C4311"/>
    <w:rsid w:val="002C5528"/>
    <w:rsid w:val="002D001B"/>
    <w:rsid w:val="002D08E2"/>
    <w:rsid w:val="002D0BD9"/>
    <w:rsid w:val="002D0C4F"/>
    <w:rsid w:val="002D0C72"/>
    <w:rsid w:val="002D20AC"/>
    <w:rsid w:val="002D33E8"/>
    <w:rsid w:val="002D3BF8"/>
    <w:rsid w:val="002D3DA8"/>
    <w:rsid w:val="002D4017"/>
    <w:rsid w:val="002D4BD0"/>
    <w:rsid w:val="002D5216"/>
    <w:rsid w:val="002D547E"/>
    <w:rsid w:val="002D5C5B"/>
    <w:rsid w:val="002D650D"/>
    <w:rsid w:val="002D677B"/>
    <w:rsid w:val="002E00A3"/>
    <w:rsid w:val="002E00E6"/>
    <w:rsid w:val="002E0503"/>
    <w:rsid w:val="002E06ED"/>
    <w:rsid w:val="002E2ABD"/>
    <w:rsid w:val="002E32B5"/>
    <w:rsid w:val="002E3A55"/>
    <w:rsid w:val="002E4908"/>
    <w:rsid w:val="002E5DE4"/>
    <w:rsid w:val="002E6F2D"/>
    <w:rsid w:val="002F0238"/>
    <w:rsid w:val="002F1316"/>
    <w:rsid w:val="002F1385"/>
    <w:rsid w:val="002F1A9A"/>
    <w:rsid w:val="002F3B92"/>
    <w:rsid w:val="002F4D5E"/>
    <w:rsid w:val="002F52AC"/>
    <w:rsid w:val="002F5552"/>
    <w:rsid w:val="002F6563"/>
    <w:rsid w:val="00301405"/>
    <w:rsid w:val="00301857"/>
    <w:rsid w:val="00302830"/>
    <w:rsid w:val="00303915"/>
    <w:rsid w:val="00303DEF"/>
    <w:rsid w:val="00304ABF"/>
    <w:rsid w:val="00304E5F"/>
    <w:rsid w:val="00305383"/>
    <w:rsid w:val="0030541E"/>
    <w:rsid w:val="003054A6"/>
    <w:rsid w:val="00305684"/>
    <w:rsid w:val="00305CBB"/>
    <w:rsid w:val="00305D58"/>
    <w:rsid w:val="00306216"/>
    <w:rsid w:val="00306411"/>
    <w:rsid w:val="003064CD"/>
    <w:rsid w:val="0030678F"/>
    <w:rsid w:val="00306CFF"/>
    <w:rsid w:val="003074B0"/>
    <w:rsid w:val="003077A3"/>
    <w:rsid w:val="00307831"/>
    <w:rsid w:val="00307B01"/>
    <w:rsid w:val="00310BC5"/>
    <w:rsid w:val="00310CE1"/>
    <w:rsid w:val="00310D7E"/>
    <w:rsid w:val="0031278E"/>
    <w:rsid w:val="00315FEC"/>
    <w:rsid w:val="003160F1"/>
    <w:rsid w:val="00316BFA"/>
    <w:rsid w:val="003172C8"/>
    <w:rsid w:val="00320122"/>
    <w:rsid w:val="00320A6D"/>
    <w:rsid w:val="003214EA"/>
    <w:rsid w:val="00321B87"/>
    <w:rsid w:val="003227DE"/>
    <w:rsid w:val="00322A65"/>
    <w:rsid w:val="0032388C"/>
    <w:rsid w:val="00323A08"/>
    <w:rsid w:val="00323E83"/>
    <w:rsid w:val="00324791"/>
    <w:rsid w:val="00324B2C"/>
    <w:rsid w:val="00324E5B"/>
    <w:rsid w:val="00325440"/>
    <w:rsid w:val="0032579A"/>
    <w:rsid w:val="0032615A"/>
    <w:rsid w:val="00326A17"/>
    <w:rsid w:val="00327473"/>
    <w:rsid w:val="00327DC7"/>
    <w:rsid w:val="00330392"/>
    <w:rsid w:val="00331CAA"/>
    <w:rsid w:val="00335BFC"/>
    <w:rsid w:val="00337DFD"/>
    <w:rsid w:val="003408BA"/>
    <w:rsid w:val="00340991"/>
    <w:rsid w:val="003419DB"/>
    <w:rsid w:val="00342E70"/>
    <w:rsid w:val="003430EC"/>
    <w:rsid w:val="00343419"/>
    <w:rsid w:val="00344064"/>
    <w:rsid w:val="00344581"/>
    <w:rsid w:val="0034532C"/>
    <w:rsid w:val="0034562E"/>
    <w:rsid w:val="003458AF"/>
    <w:rsid w:val="003459E2"/>
    <w:rsid w:val="003460E6"/>
    <w:rsid w:val="003475A0"/>
    <w:rsid w:val="00347B03"/>
    <w:rsid w:val="00350131"/>
    <w:rsid w:val="00350442"/>
    <w:rsid w:val="003506D7"/>
    <w:rsid w:val="00352BC7"/>
    <w:rsid w:val="00352C2E"/>
    <w:rsid w:val="00353800"/>
    <w:rsid w:val="00353B12"/>
    <w:rsid w:val="00353BBC"/>
    <w:rsid w:val="0035474E"/>
    <w:rsid w:val="00354EEE"/>
    <w:rsid w:val="00355DF4"/>
    <w:rsid w:val="00357B6E"/>
    <w:rsid w:val="00357D9A"/>
    <w:rsid w:val="00357E74"/>
    <w:rsid w:val="00360ED1"/>
    <w:rsid w:val="00362AC9"/>
    <w:rsid w:val="00362C7D"/>
    <w:rsid w:val="003631E5"/>
    <w:rsid w:val="00364146"/>
    <w:rsid w:val="00365CCC"/>
    <w:rsid w:val="003669C8"/>
    <w:rsid w:val="00366C32"/>
    <w:rsid w:val="0036706C"/>
    <w:rsid w:val="0037005D"/>
    <w:rsid w:val="00370193"/>
    <w:rsid w:val="00370414"/>
    <w:rsid w:val="003704B1"/>
    <w:rsid w:val="003708CD"/>
    <w:rsid w:val="00371228"/>
    <w:rsid w:val="003714D3"/>
    <w:rsid w:val="003736E1"/>
    <w:rsid w:val="00373A23"/>
    <w:rsid w:val="00373B5E"/>
    <w:rsid w:val="003742CF"/>
    <w:rsid w:val="003742D4"/>
    <w:rsid w:val="0037692B"/>
    <w:rsid w:val="00381C7A"/>
    <w:rsid w:val="00383CF0"/>
    <w:rsid w:val="00385570"/>
    <w:rsid w:val="003871D3"/>
    <w:rsid w:val="00387A01"/>
    <w:rsid w:val="0039007A"/>
    <w:rsid w:val="00390FB3"/>
    <w:rsid w:val="00391B6F"/>
    <w:rsid w:val="00392B85"/>
    <w:rsid w:val="003934A5"/>
    <w:rsid w:val="003943C4"/>
    <w:rsid w:val="00394491"/>
    <w:rsid w:val="00394901"/>
    <w:rsid w:val="00394EBF"/>
    <w:rsid w:val="00395DD7"/>
    <w:rsid w:val="0039641D"/>
    <w:rsid w:val="00397937"/>
    <w:rsid w:val="00397DA0"/>
    <w:rsid w:val="003A0A8E"/>
    <w:rsid w:val="003A0C1E"/>
    <w:rsid w:val="003A243B"/>
    <w:rsid w:val="003A2FF8"/>
    <w:rsid w:val="003A50AE"/>
    <w:rsid w:val="003A52F0"/>
    <w:rsid w:val="003A5385"/>
    <w:rsid w:val="003A54C7"/>
    <w:rsid w:val="003A610C"/>
    <w:rsid w:val="003A72E7"/>
    <w:rsid w:val="003A76DB"/>
    <w:rsid w:val="003A7E75"/>
    <w:rsid w:val="003B03A6"/>
    <w:rsid w:val="003B1BB4"/>
    <w:rsid w:val="003B221D"/>
    <w:rsid w:val="003B2F87"/>
    <w:rsid w:val="003B3893"/>
    <w:rsid w:val="003B3ABE"/>
    <w:rsid w:val="003B3CEA"/>
    <w:rsid w:val="003B3E5F"/>
    <w:rsid w:val="003B3F15"/>
    <w:rsid w:val="003B561F"/>
    <w:rsid w:val="003B5F78"/>
    <w:rsid w:val="003B6D2E"/>
    <w:rsid w:val="003B7738"/>
    <w:rsid w:val="003B7B99"/>
    <w:rsid w:val="003C042A"/>
    <w:rsid w:val="003C0F72"/>
    <w:rsid w:val="003C1B86"/>
    <w:rsid w:val="003C2AB5"/>
    <w:rsid w:val="003C31AF"/>
    <w:rsid w:val="003C384E"/>
    <w:rsid w:val="003C3E5F"/>
    <w:rsid w:val="003C4355"/>
    <w:rsid w:val="003C6CE7"/>
    <w:rsid w:val="003C729B"/>
    <w:rsid w:val="003D1D46"/>
    <w:rsid w:val="003D269B"/>
    <w:rsid w:val="003D343D"/>
    <w:rsid w:val="003D4638"/>
    <w:rsid w:val="003D539E"/>
    <w:rsid w:val="003D6E02"/>
    <w:rsid w:val="003D6ECA"/>
    <w:rsid w:val="003D70DF"/>
    <w:rsid w:val="003D7416"/>
    <w:rsid w:val="003D7703"/>
    <w:rsid w:val="003D7B3D"/>
    <w:rsid w:val="003D7B97"/>
    <w:rsid w:val="003E05BE"/>
    <w:rsid w:val="003E07E5"/>
    <w:rsid w:val="003E0C89"/>
    <w:rsid w:val="003E10E3"/>
    <w:rsid w:val="003E22D4"/>
    <w:rsid w:val="003E2B94"/>
    <w:rsid w:val="003E36EB"/>
    <w:rsid w:val="003E3836"/>
    <w:rsid w:val="003E42BE"/>
    <w:rsid w:val="003E4CD9"/>
    <w:rsid w:val="003E6368"/>
    <w:rsid w:val="003E73BC"/>
    <w:rsid w:val="003F07AF"/>
    <w:rsid w:val="003F0F6C"/>
    <w:rsid w:val="003F15C6"/>
    <w:rsid w:val="003F1C7C"/>
    <w:rsid w:val="003F21E1"/>
    <w:rsid w:val="003F24E3"/>
    <w:rsid w:val="003F27D1"/>
    <w:rsid w:val="003F287E"/>
    <w:rsid w:val="003F3939"/>
    <w:rsid w:val="003F3CD4"/>
    <w:rsid w:val="003F5BA8"/>
    <w:rsid w:val="003F70EA"/>
    <w:rsid w:val="003F7E44"/>
    <w:rsid w:val="004023F4"/>
    <w:rsid w:val="00402479"/>
    <w:rsid w:val="00402A7D"/>
    <w:rsid w:val="00402DEF"/>
    <w:rsid w:val="0040555E"/>
    <w:rsid w:val="00406C01"/>
    <w:rsid w:val="00406EED"/>
    <w:rsid w:val="00410766"/>
    <w:rsid w:val="00411FED"/>
    <w:rsid w:val="004120D1"/>
    <w:rsid w:val="004140BA"/>
    <w:rsid w:val="004144EB"/>
    <w:rsid w:val="004144EE"/>
    <w:rsid w:val="004146BE"/>
    <w:rsid w:val="00414855"/>
    <w:rsid w:val="00415460"/>
    <w:rsid w:val="00415483"/>
    <w:rsid w:val="00415974"/>
    <w:rsid w:val="00415A5E"/>
    <w:rsid w:val="00415A91"/>
    <w:rsid w:val="004169D5"/>
    <w:rsid w:val="00420902"/>
    <w:rsid w:val="00421514"/>
    <w:rsid w:val="00421E3B"/>
    <w:rsid w:val="004246D3"/>
    <w:rsid w:val="00427697"/>
    <w:rsid w:val="00430570"/>
    <w:rsid w:val="004305ED"/>
    <w:rsid w:val="00431621"/>
    <w:rsid w:val="00431F78"/>
    <w:rsid w:val="004321EA"/>
    <w:rsid w:val="00432723"/>
    <w:rsid w:val="0043392B"/>
    <w:rsid w:val="00434DD9"/>
    <w:rsid w:val="00435582"/>
    <w:rsid w:val="00436553"/>
    <w:rsid w:val="004368D0"/>
    <w:rsid w:val="00436D82"/>
    <w:rsid w:val="0044114D"/>
    <w:rsid w:val="004415D8"/>
    <w:rsid w:val="004415FA"/>
    <w:rsid w:val="00441920"/>
    <w:rsid w:val="00441C47"/>
    <w:rsid w:val="00442945"/>
    <w:rsid w:val="004440F0"/>
    <w:rsid w:val="004449BA"/>
    <w:rsid w:val="00445117"/>
    <w:rsid w:val="0044707B"/>
    <w:rsid w:val="004470A5"/>
    <w:rsid w:val="00447374"/>
    <w:rsid w:val="00447A41"/>
    <w:rsid w:val="00450EDE"/>
    <w:rsid w:val="00450F68"/>
    <w:rsid w:val="0045114C"/>
    <w:rsid w:val="0045134D"/>
    <w:rsid w:val="00451DD3"/>
    <w:rsid w:val="004521FD"/>
    <w:rsid w:val="00452B3B"/>
    <w:rsid w:val="00455C99"/>
    <w:rsid w:val="004572B4"/>
    <w:rsid w:val="00457386"/>
    <w:rsid w:val="004609B4"/>
    <w:rsid w:val="00460E1F"/>
    <w:rsid w:val="00461E0C"/>
    <w:rsid w:val="004622AF"/>
    <w:rsid w:val="00462AA4"/>
    <w:rsid w:val="00465C77"/>
    <w:rsid w:val="004715B6"/>
    <w:rsid w:val="00472D66"/>
    <w:rsid w:val="0047307A"/>
    <w:rsid w:val="004731C2"/>
    <w:rsid w:val="004736FC"/>
    <w:rsid w:val="00473CA5"/>
    <w:rsid w:val="00474F36"/>
    <w:rsid w:val="00474FC8"/>
    <w:rsid w:val="00475B65"/>
    <w:rsid w:val="00475BF0"/>
    <w:rsid w:val="00475C82"/>
    <w:rsid w:val="004761B9"/>
    <w:rsid w:val="004765BE"/>
    <w:rsid w:val="00476C9C"/>
    <w:rsid w:val="00477363"/>
    <w:rsid w:val="00477BFC"/>
    <w:rsid w:val="00483A85"/>
    <w:rsid w:val="0048747D"/>
    <w:rsid w:val="00487688"/>
    <w:rsid w:val="00492432"/>
    <w:rsid w:val="004938FA"/>
    <w:rsid w:val="004943EA"/>
    <w:rsid w:val="004949D0"/>
    <w:rsid w:val="00496914"/>
    <w:rsid w:val="0049771B"/>
    <w:rsid w:val="0049798B"/>
    <w:rsid w:val="00497BCA"/>
    <w:rsid w:val="004A0CC8"/>
    <w:rsid w:val="004A2A28"/>
    <w:rsid w:val="004A3500"/>
    <w:rsid w:val="004A37F3"/>
    <w:rsid w:val="004A41B7"/>
    <w:rsid w:val="004A5066"/>
    <w:rsid w:val="004A555B"/>
    <w:rsid w:val="004A572B"/>
    <w:rsid w:val="004A6496"/>
    <w:rsid w:val="004A75A3"/>
    <w:rsid w:val="004A77D7"/>
    <w:rsid w:val="004A7831"/>
    <w:rsid w:val="004B09EF"/>
    <w:rsid w:val="004B14C4"/>
    <w:rsid w:val="004B2A25"/>
    <w:rsid w:val="004B30C3"/>
    <w:rsid w:val="004B533D"/>
    <w:rsid w:val="004C09C9"/>
    <w:rsid w:val="004C0F4E"/>
    <w:rsid w:val="004C39E2"/>
    <w:rsid w:val="004C40E8"/>
    <w:rsid w:val="004C4AA1"/>
    <w:rsid w:val="004C4F45"/>
    <w:rsid w:val="004C54A0"/>
    <w:rsid w:val="004C5F6F"/>
    <w:rsid w:val="004C749A"/>
    <w:rsid w:val="004D08F5"/>
    <w:rsid w:val="004D10E7"/>
    <w:rsid w:val="004D1308"/>
    <w:rsid w:val="004D1BE6"/>
    <w:rsid w:val="004D34E8"/>
    <w:rsid w:val="004D362A"/>
    <w:rsid w:val="004D5A16"/>
    <w:rsid w:val="004D5B29"/>
    <w:rsid w:val="004D5E02"/>
    <w:rsid w:val="004D5EFC"/>
    <w:rsid w:val="004D75D8"/>
    <w:rsid w:val="004D7EC9"/>
    <w:rsid w:val="004D7F3B"/>
    <w:rsid w:val="004E05E7"/>
    <w:rsid w:val="004E250D"/>
    <w:rsid w:val="004E2E50"/>
    <w:rsid w:val="004E2F35"/>
    <w:rsid w:val="004E3204"/>
    <w:rsid w:val="004E3FFF"/>
    <w:rsid w:val="004E58C3"/>
    <w:rsid w:val="004E61BF"/>
    <w:rsid w:val="004E62D6"/>
    <w:rsid w:val="004E754E"/>
    <w:rsid w:val="004E75A8"/>
    <w:rsid w:val="004E79BD"/>
    <w:rsid w:val="004F06C2"/>
    <w:rsid w:val="004F0820"/>
    <w:rsid w:val="004F0A5C"/>
    <w:rsid w:val="004F2383"/>
    <w:rsid w:val="004F5854"/>
    <w:rsid w:val="004F77DA"/>
    <w:rsid w:val="004F7DAF"/>
    <w:rsid w:val="005009E2"/>
    <w:rsid w:val="00500EDA"/>
    <w:rsid w:val="00502D50"/>
    <w:rsid w:val="00503395"/>
    <w:rsid w:val="005035AC"/>
    <w:rsid w:val="00503A81"/>
    <w:rsid w:val="00503BBD"/>
    <w:rsid w:val="00503E65"/>
    <w:rsid w:val="00504127"/>
    <w:rsid w:val="00504444"/>
    <w:rsid w:val="00504D5D"/>
    <w:rsid w:val="005052A8"/>
    <w:rsid w:val="005055F8"/>
    <w:rsid w:val="00505BA0"/>
    <w:rsid w:val="00505D5E"/>
    <w:rsid w:val="00505E50"/>
    <w:rsid w:val="0050696F"/>
    <w:rsid w:val="00510147"/>
    <w:rsid w:val="00511418"/>
    <w:rsid w:val="00511BF3"/>
    <w:rsid w:val="00512B8C"/>
    <w:rsid w:val="00514988"/>
    <w:rsid w:val="00514F5F"/>
    <w:rsid w:val="00515110"/>
    <w:rsid w:val="005154BC"/>
    <w:rsid w:val="00515A27"/>
    <w:rsid w:val="005166AF"/>
    <w:rsid w:val="00517839"/>
    <w:rsid w:val="00523193"/>
    <w:rsid w:val="00523347"/>
    <w:rsid w:val="00523D34"/>
    <w:rsid w:val="00524898"/>
    <w:rsid w:val="00525C1D"/>
    <w:rsid w:val="00525DBB"/>
    <w:rsid w:val="005260EB"/>
    <w:rsid w:val="005262C2"/>
    <w:rsid w:val="00526AD5"/>
    <w:rsid w:val="00526AD9"/>
    <w:rsid w:val="0052732D"/>
    <w:rsid w:val="00527A20"/>
    <w:rsid w:val="005300F6"/>
    <w:rsid w:val="00530F5B"/>
    <w:rsid w:val="005310AE"/>
    <w:rsid w:val="005311B2"/>
    <w:rsid w:val="005318B9"/>
    <w:rsid w:val="00531E07"/>
    <w:rsid w:val="0053205B"/>
    <w:rsid w:val="005321F4"/>
    <w:rsid w:val="00532641"/>
    <w:rsid w:val="005332F5"/>
    <w:rsid w:val="00533CE6"/>
    <w:rsid w:val="005349EE"/>
    <w:rsid w:val="00534A1D"/>
    <w:rsid w:val="00535439"/>
    <w:rsid w:val="00540F72"/>
    <w:rsid w:val="0054255F"/>
    <w:rsid w:val="00542780"/>
    <w:rsid w:val="00543C5A"/>
    <w:rsid w:val="00545FA2"/>
    <w:rsid w:val="00545FB5"/>
    <w:rsid w:val="00551BEE"/>
    <w:rsid w:val="00552D6D"/>
    <w:rsid w:val="00552FA5"/>
    <w:rsid w:val="005542F5"/>
    <w:rsid w:val="0055430E"/>
    <w:rsid w:val="00554CD4"/>
    <w:rsid w:val="00555069"/>
    <w:rsid w:val="00555CA0"/>
    <w:rsid w:val="00560E96"/>
    <w:rsid w:val="00561B99"/>
    <w:rsid w:val="0056333D"/>
    <w:rsid w:val="005644F4"/>
    <w:rsid w:val="0056564F"/>
    <w:rsid w:val="005673FC"/>
    <w:rsid w:val="00567CCE"/>
    <w:rsid w:val="0057006C"/>
    <w:rsid w:val="00571E45"/>
    <w:rsid w:val="005735FF"/>
    <w:rsid w:val="005737C7"/>
    <w:rsid w:val="00575664"/>
    <w:rsid w:val="0057705A"/>
    <w:rsid w:val="005774D8"/>
    <w:rsid w:val="005801B8"/>
    <w:rsid w:val="005804F5"/>
    <w:rsid w:val="00584058"/>
    <w:rsid w:val="0058604C"/>
    <w:rsid w:val="00586D9C"/>
    <w:rsid w:val="00586DBE"/>
    <w:rsid w:val="00587811"/>
    <w:rsid w:val="00590A8E"/>
    <w:rsid w:val="00590E23"/>
    <w:rsid w:val="00591953"/>
    <w:rsid w:val="005921ED"/>
    <w:rsid w:val="00592CAB"/>
    <w:rsid w:val="00593628"/>
    <w:rsid w:val="005947CD"/>
    <w:rsid w:val="00594E5C"/>
    <w:rsid w:val="0059500A"/>
    <w:rsid w:val="005975E2"/>
    <w:rsid w:val="0059792E"/>
    <w:rsid w:val="005A08BE"/>
    <w:rsid w:val="005A1765"/>
    <w:rsid w:val="005A199F"/>
    <w:rsid w:val="005A1D87"/>
    <w:rsid w:val="005A4358"/>
    <w:rsid w:val="005A4947"/>
    <w:rsid w:val="005A5AAB"/>
    <w:rsid w:val="005A5F10"/>
    <w:rsid w:val="005A632A"/>
    <w:rsid w:val="005A6378"/>
    <w:rsid w:val="005A69E2"/>
    <w:rsid w:val="005A7032"/>
    <w:rsid w:val="005A7BEB"/>
    <w:rsid w:val="005B01F2"/>
    <w:rsid w:val="005B2791"/>
    <w:rsid w:val="005B5378"/>
    <w:rsid w:val="005B5A86"/>
    <w:rsid w:val="005B5F54"/>
    <w:rsid w:val="005B665F"/>
    <w:rsid w:val="005B71B8"/>
    <w:rsid w:val="005C0844"/>
    <w:rsid w:val="005C14B5"/>
    <w:rsid w:val="005C15F1"/>
    <w:rsid w:val="005C394F"/>
    <w:rsid w:val="005C6304"/>
    <w:rsid w:val="005C7489"/>
    <w:rsid w:val="005C75B5"/>
    <w:rsid w:val="005D090E"/>
    <w:rsid w:val="005D099E"/>
    <w:rsid w:val="005D1916"/>
    <w:rsid w:val="005D40C7"/>
    <w:rsid w:val="005D4382"/>
    <w:rsid w:val="005D44F8"/>
    <w:rsid w:val="005D4B47"/>
    <w:rsid w:val="005D57C1"/>
    <w:rsid w:val="005D5B48"/>
    <w:rsid w:val="005D60FF"/>
    <w:rsid w:val="005D6922"/>
    <w:rsid w:val="005D75C3"/>
    <w:rsid w:val="005D765E"/>
    <w:rsid w:val="005D7857"/>
    <w:rsid w:val="005E0C51"/>
    <w:rsid w:val="005E0D7E"/>
    <w:rsid w:val="005E106C"/>
    <w:rsid w:val="005E56CB"/>
    <w:rsid w:val="005E67ED"/>
    <w:rsid w:val="005E6E8C"/>
    <w:rsid w:val="005E7B86"/>
    <w:rsid w:val="005F10BC"/>
    <w:rsid w:val="005F178B"/>
    <w:rsid w:val="005F2E90"/>
    <w:rsid w:val="005F3BCB"/>
    <w:rsid w:val="005F4A9E"/>
    <w:rsid w:val="005F4C5B"/>
    <w:rsid w:val="005F4E8C"/>
    <w:rsid w:val="005F5031"/>
    <w:rsid w:val="005F5398"/>
    <w:rsid w:val="005F6740"/>
    <w:rsid w:val="005F7940"/>
    <w:rsid w:val="006000EA"/>
    <w:rsid w:val="00600271"/>
    <w:rsid w:val="00601030"/>
    <w:rsid w:val="006015C3"/>
    <w:rsid w:val="0060192A"/>
    <w:rsid w:val="00604B46"/>
    <w:rsid w:val="00604FAC"/>
    <w:rsid w:val="006059BE"/>
    <w:rsid w:val="006072C6"/>
    <w:rsid w:val="00607554"/>
    <w:rsid w:val="00607CD1"/>
    <w:rsid w:val="00610CFC"/>
    <w:rsid w:val="00612CD5"/>
    <w:rsid w:val="006130F6"/>
    <w:rsid w:val="00613C23"/>
    <w:rsid w:val="006152B9"/>
    <w:rsid w:val="006158BA"/>
    <w:rsid w:val="00615E2C"/>
    <w:rsid w:val="00617175"/>
    <w:rsid w:val="006171FD"/>
    <w:rsid w:val="006172CD"/>
    <w:rsid w:val="00620645"/>
    <w:rsid w:val="006216D9"/>
    <w:rsid w:val="00621E1D"/>
    <w:rsid w:val="00621F3C"/>
    <w:rsid w:val="00622BA1"/>
    <w:rsid w:val="00623A28"/>
    <w:rsid w:val="00623C44"/>
    <w:rsid w:val="006258C1"/>
    <w:rsid w:val="00625C7F"/>
    <w:rsid w:val="006301EB"/>
    <w:rsid w:val="00630C3B"/>
    <w:rsid w:val="00631505"/>
    <w:rsid w:val="006327F5"/>
    <w:rsid w:val="0063491D"/>
    <w:rsid w:val="00635172"/>
    <w:rsid w:val="00636298"/>
    <w:rsid w:val="006368C7"/>
    <w:rsid w:val="00636ECE"/>
    <w:rsid w:val="00640D08"/>
    <w:rsid w:val="00641F1F"/>
    <w:rsid w:val="00642706"/>
    <w:rsid w:val="00642A13"/>
    <w:rsid w:val="00642A8F"/>
    <w:rsid w:val="00642C26"/>
    <w:rsid w:val="00642E8A"/>
    <w:rsid w:val="00642E8F"/>
    <w:rsid w:val="006437DA"/>
    <w:rsid w:val="00643ECB"/>
    <w:rsid w:val="00643F5C"/>
    <w:rsid w:val="0064401B"/>
    <w:rsid w:val="0064422C"/>
    <w:rsid w:val="00645170"/>
    <w:rsid w:val="00645391"/>
    <w:rsid w:val="0064584C"/>
    <w:rsid w:val="00650288"/>
    <w:rsid w:val="006521DC"/>
    <w:rsid w:val="0065242B"/>
    <w:rsid w:val="00652638"/>
    <w:rsid w:val="0065458B"/>
    <w:rsid w:val="00654A2F"/>
    <w:rsid w:val="00654ECC"/>
    <w:rsid w:val="00655A5B"/>
    <w:rsid w:val="00655AC4"/>
    <w:rsid w:val="00655DDC"/>
    <w:rsid w:val="0065703A"/>
    <w:rsid w:val="0065707C"/>
    <w:rsid w:val="00660C81"/>
    <w:rsid w:val="00662E16"/>
    <w:rsid w:val="00662E83"/>
    <w:rsid w:val="00663E95"/>
    <w:rsid w:val="00664263"/>
    <w:rsid w:val="00664F45"/>
    <w:rsid w:val="00666BF3"/>
    <w:rsid w:val="006706A5"/>
    <w:rsid w:val="006709E7"/>
    <w:rsid w:val="0067116A"/>
    <w:rsid w:val="00671D61"/>
    <w:rsid w:val="00672851"/>
    <w:rsid w:val="00673B03"/>
    <w:rsid w:val="006746E9"/>
    <w:rsid w:val="006751AD"/>
    <w:rsid w:val="00676853"/>
    <w:rsid w:val="00676F22"/>
    <w:rsid w:val="00677076"/>
    <w:rsid w:val="0067741C"/>
    <w:rsid w:val="00680324"/>
    <w:rsid w:val="006811E0"/>
    <w:rsid w:val="0068197D"/>
    <w:rsid w:val="00683377"/>
    <w:rsid w:val="0068375B"/>
    <w:rsid w:val="00685438"/>
    <w:rsid w:val="00685C47"/>
    <w:rsid w:val="00686195"/>
    <w:rsid w:val="00686FE9"/>
    <w:rsid w:val="0068734F"/>
    <w:rsid w:val="006873CB"/>
    <w:rsid w:val="006877D1"/>
    <w:rsid w:val="006878D9"/>
    <w:rsid w:val="00690974"/>
    <w:rsid w:val="00690B33"/>
    <w:rsid w:val="00690F25"/>
    <w:rsid w:val="00692A05"/>
    <w:rsid w:val="00692C4F"/>
    <w:rsid w:val="006935F0"/>
    <w:rsid w:val="00693910"/>
    <w:rsid w:val="00694551"/>
    <w:rsid w:val="00694B21"/>
    <w:rsid w:val="00695654"/>
    <w:rsid w:val="006963AB"/>
    <w:rsid w:val="006A0550"/>
    <w:rsid w:val="006A0B82"/>
    <w:rsid w:val="006A16AB"/>
    <w:rsid w:val="006A20F1"/>
    <w:rsid w:val="006A29BE"/>
    <w:rsid w:val="006A2B40"/>
    <w:rsid w:val="006A527D"/>
    <w:rsid w:val="006A5B62"/>
    <w:rsid w:val="006A67DC"/>
    <w:rsid w:val="006A695D"/>
    <w:rsid w:val="006A757F"/>
    <w:rsid w:val="006A780B"/>
    <w:rsid w:val="006B075F"/>
    <w:rsid w:val="006B0A91"/>
    <w:rsid w:val="006B0F73"/>
    <w:rsid w:val="006B1632"/>
    <w:rsid w:val="006B184C"/>
    <w:rsid w:val="006B247F"/>
    <w:rsid w:val="006B2691"/>
    <w:rsid w:val="006B460D"/>
    <w:rsid w:val="006B5FB9"/>
    <w:rsid w:val="006C0C15"/>
    <w:rsid w:val="006C11F4"/>
    <w:rsid w:val="006C3399"/>
    <w:rsid w:val="006C56A5"/>
    <w:rsid w:val="006C5BFF"/>
    <w:rsid w:val="006C5D46"/>
    <w:rsid w:val="006C5DAF"/>
    <w:rsid w:val="006C5F4D"/>
    <w:rsid w:val="006D0207"/>
    <w:rsid w:val="006D04EE"/>
    <w:rsid w:val="006D3169"/>
    <w:rsid w:val="006D4294"/>
    <w:rsid w:val="006D6913"/>
    <w:rsid w:val="006D6E56"/>
    <w:rsid w:val="006E0ACD"/>
    <w:rsid w:val="006E0E1A"/>
    <w:rsid w:val="006E14B3"/>
    <w:rsid w:val="006E1C63"/>
    <w:rsid w:val="006E270D"/>
    <w:rsid w:val="006E3777"/>
    <w:rsid w:val="006E431C"/>
    <w:rsid w:val="006E50F1"/>
    <w:rsid w:val="006E6DE4"/>
    <w:rsid w:val="006E716B"/>
    <w:rsid w:val="006F1076"/>
    <w:rsid w:val="006F133A"/>
    <w:rsid w:val="006F1A23"/>
    <w:rsid w:val="006F1DE7"/>
    <w:rsid w:val="006F1E4B"/>
    <w:rsid w:val="006F3285"/>
    <w:rsid w:val="006F32C7"/>
    <w:rsid w:val="006F381F"/>
    <w:rsid w:val="006F4482"/>
    <w:rsid w:val="006F4C0F"/>
    <w:rsid w:val="006F54FA"/>
    <w:rsid w:val="006F5674"/>
    <w:rsid w:val="006F5F45"/>
    <w:rsid w:val="00700664"/>
    <w:rsid w:val="0070183E"/>
    <w:rsid w:val="0070190A"/>
    <w:rsid w:val="00701FAC"/>
    <w:rsid w:val="00702EF7"/>
    <w:rsid w:val="007031BF"/>
    <w:rsid w:val="0070324F"/>
    <w:rsid w:val="00703DA2"/>
    <w:rsid w:val="00704A66"/>
    <w:rsid w:val="007050C7"/>
    <w:rsid w:val="00706691"/>
    <w:rsid w:val="00707255"/>
    <w:rsid w:val="007078B7"/>
    <w:rsid w:val="0071020E"/>
    <w:rsid w:val="007109BC"/>
    <w:rsid w:val="00710EAE"/>
    <w:rsid w:val="00711A13"/>
    <w:rsid w:val="00712594"/>
    <w:rsid w:val="007132B5"/>
    <w:rsid w:val="00714A84"/>
    <w:rsid w:val="00715D19"/>
    <w:rsid w:val="0071619B"/>
    <w:rsid w:val="00716DBB"/>
    <w:rsid w:val="00717887"/>
    <w:rsid w:val="00717AA6"/>
    <w:rsid w:val="007207FD"/>
    <w:rsid w:val="00721551"/>
    <w:rsid w:val="0072235F"/>
    <w:rsid w:val="00724505"/>
    <w:rsid w:val="0072487D"/>
    <w:rsid w:val="0072643C"/>
    <w:rsid w:val="00727163"/>
    <w:rsid w:val="00730AC7"/>
    <w:rsid w:val="0073142B"/>
    <w:rsid w:val="00731CEA"/>
    <w:rsid w:val="00733D05"/>
    <w:rsid w:val="00733D0F"/>
    <w:rsid w:val="00735260"/>
    <w:rsid w:val="007354BF"/>
    <w:rsid w:val="007357F0"/>
    <w:rsid w:val="00737F05"/>
    <w:rsid w:val="007431F5"/>
    <w:rsid w:val="00745908"/>
    <w:rsid w:val="0074764A"/>
    <w:rsid w:val="007477F4"/>
    <w:rsid w:val="0075282E"/>
    <w:rsid w:val="00752F02"/>
    <w:rsid w:val="00754AB5"/>
    <w:rsid w:val="007550FF"/>
    <w:rsid w:val="00755CA9"/>
    <w:rsid w:val="0075617D"/>
    <w:rsid w:val="00756930"/>
    <w:rsid w:val="0075755D"/>
    <w:rsid w:val="00757C4B"/>
    <w:rsid w:val="00761B0B"/>
    <w:rsid w:val="0076287C"/>
    <w:rsid w:val="007631E0"/>
    <w:rsid w:val="00764153"/>
    <w:rsid w:val="00765781"/>
    <w:rsid w:val="00765BB6"/>
    <w:rsid w:val="00766353"/>
    <w:rsid w:val="0076653C"/>
    <w:rsid w:val="007714B1"/>
    <w:rsid w:val="007717D2"/>
    <w:rsid w:val="00771A9F"/>
    <w:rsid w:val="00771F21"/>
    <w:rsid w:val="00774681"/>
    <w:rsid w:val="00774774"/>
    <w:rsid w:val="00774DE4"/>
    <w:rsid w:val="007756D5"/>
    <w:rsid w:val="00776960"/>
    <w:rsid w:val="00777B89"/>
    <w:rsid w:val="00780296"/>
    <w:rsid w:val="00780972"/>
    <w:rsid w:val="00781D9D"/>
    <w:rsid w:val="00781F8B"/>
    <w:rsid w:val="007821F6"/>
    <w:rsid w:val="00782F4A"/>
    <w:rsid w:val="00786E8E"/>
    <w:rsid w:val="007873C3"/>
    <w:rsid w:val="00787B2C"/>
    <w:rsid w:val="00787D24"/>
    <w:rsid w:val="007903C1"/>
    <w:rsid w:val="0079143A"/>
    <w:rsid w:val="007915C2"/>
    <w:rsid w:val="00791813"/>
    <w:rsid w:val="00793F29"/>
    <w:rsid w:val="00794532"/>
    <w:rsid w:val="007945F6"/>
    <w:rsid w:val="00794DE7"/>
    <w:rsid w:val="007A01B0"/>
    <w:rsid w:val="007A0E89"/>
    <w:rsid w:val="007A1DC5"/>
    <w:rsid w:val="007A20AD"/>
    <w:rsid w:val="007A49BD"/>
    <w:rsid w:val="007A5D05"/>
    <w:rsid w:val="007A7331"/>
    <w:rsid w:val="007A7415"/>
    <w:rsid w:val="007B0CB0"/>
    <w:rsid w:val="007B1085"/>
    <w:rsid w:val="007B3749"/>
    <w:rsid w:val="007B3A86"/>
    <w:rsid w:val="007B3DF4"/>
    <w:rsid w:val="007B4689"/>
    <w:rsid w:val="007B4823"/>
    <w:rsid w:val="007B54ED"/>
    <w:rsid w:val="007B555E"/>
    <w:rsid w:val="007B6F8A"/>
    <w:rsid w:val="007C0279"/>
    <w:rsid w:val="007C0CEC"/>
    <w:rsid w:val="007C17CC"/>
    <w:rsid w:val="007C2A81"/>
    <w:rsid w:val="007C2B78"/>
    <w:rsid w:val="007C2EBE"/>
    <w:rsid w:val="007C31CC"/>
    <w:rsid w:val="007C35E2"/>
    <w:rsid w:val="007C37F1"/>
    <w:rsid w:val="007C3E46"/>
    <w:rsid w:val="007C5B2A"/>
    <w:rsid w:val="007C62F5"/>
    <w:rsid w:val="007D0869"/>
    <w:rsid w:val="007D0E00"/>
    <w:rsid w:val="007D1913"/>
    <w:rsid w:val="007D298C"/>
    <w:rsid w:val="007D3420"/>
    <w:rsid w:val="007D5362"/>
    <w:rsid w:val="007D57C5"/>
    <w:rsid w:val="007D6C48"/>
    <w:rsid w:val="007D71F7"/>
    <w:rsid w:val="007D71FA"/>
    <w:rsid w:val="007E000F"/>
    <w:rsid w:val="007E02B7"/>
    <w:rsid w:val="007E156E"/>
    <w:rsid w:val="007E2C46"/>
    <w:rsid w:val="007E2E70"/>
    <w:rsid w:val="007E2EF7"/>
    <w:rsid w:val="007E3501"/>
    <w:rsid w:val="007E3BBC"/>
    <w:rsid w:val="007E5E28"/>
    <w:rsid w:val="007E67E2"/>
    <w:rsid w:val="007E72CB"/>
    <w:rsid w:val="007E7953"/>
    <w:rsid w:val="007E7D04"/>
    <w:rsid w:val="007F1ABF"/>
    <w:rsid w:val="007F2956"/>
    <w:rsid w:val="007F2CB5"/>
    <w:rsid w:val="007F2E32"/>
    <w:rsid w:val="007F3D2A"/>
    <w:rsid w:val="007F44CA"/>
    <w:rsid w:val="007F4939"/>
    <w:rsid w:val="007F682E"/>
    <w:rsid w:val="007F6A11"/>
    <w:rsid w:val="007F74EC"/>
    <w:rsid w:val="008002AA"/>
    <w:rsid w:val="008014C3"/>
    <w:rsid w:val="00802783"/>
    <w:rsid w:val="00802F9A"/>
    <w:rsid w:val="00803398"/>
    <w:rsid w:val="00803582"/>
    <w:rsid w:val="00803DD3"/>
    <w:rsid w:val="00803F05"/>
    <w:rsid w:val="00804AD7"/>
    <w:rsid w:val="00805434"/>
    <w:rsid w:val="00806C07"/>
    <w:rsid w:val="00812039"/>
    <w:rsid w:val="00814E45"/>
    <w:rsid w:val="00815A24"/>
    <w:rsid w:val="00820001"/>
    <w:rsid w:val="008239D0"/>
    <w:rsid w:val="00823AF1"/>
    <w:rsid w:val="00824CEF"/>
    <w:rsid w:val="00824E89"/>
    <w:rsid w:val="00826480"/>
    <w:rsid w:val="008274CA"/>
    <w:rsid w:val="00830148"/>
    <w:rsid w:val="008316AD"/>
    <w:rsid w:val="00831855"/>
    <w:rsid w:val="00834307"/>
    <w:rsid w:val="00835315"/>
    <w:rsid w:val="00835AEB"/>
    <w:rsid w:val="0083732D"/>
    <w:rsid w:val="00837E03"/>
    <w:rsid w:val="00840003"/>
    <w:rsid w:val="00840B13"/>
    <w:rsid w:val="00840D0F"/>
    <w:rsid w:val="00842120"/>
    <w:rsid w:val="00842809"/>
    <w:rsid w:val="00842A84"/>
    <w:rsid w:val="00842FDE"/>
    <w:rsid w:val="00843A89"/>
    <w:rsid w:val="00844049"/>
    <w:rsid w:val="008445D4"/>
    <w:rsid w:val="008446F1"/>
    <w:rsid w:val="00845FC6"/>
    <w:rsid w:val="00846649"/>
    <w:rsid w:val="00846A60"/>
    <w:rsid w:val="00846FF0"/>
    <w:rsid w:val="00847E9A"/>
    <w:rsid w:val="00852A09"/>
    <w:rsid w:val="00852CA4"/>
    <w:rsid w:val="00854B56"/>
    <w:rsid w:val="0085728C"/>
    <w:rsid w:val="00860218"/>
    <w:rsid w:val="008611A4"/>
    <w:rsid w:val="00861FD7"/>
    <w:rsid w:val="0086363F"/>
    <w:rsid w:val="00863BA3"/>
    <w:rsid w:val="00864226"/>
    <w:rsid w:val="00864DB3"/>
    <w:rsid w:val="00865B4A"/>
    <w:rsid w:val="00865E17"/>
    <w:rsid w:val="008664AC"/>
    <w:rsid w:val="00866766"/>
    <w:rsid w:val="00866D13"/>
    <w:rsid w:val="00866D6C"/>
    <w:rsid w:val="008671DC"/>
    <w:rsid w:val="008678A4"/>
    <w:rsid w:val="008678C2"/>
    <w:rsid w:val="00874350"/>
    <w:rsid w:val="008754DA"/>
    <w:rsid w:val="00875BC6"/>
    <w:rsid w:val="00876346"/>
    <w:rsid w:val="00876965"/>
    <w:rsid w:val="00880101"/>
    <w:rsid w:val="0088013C"/>
    <w:rsid w:val="008801A2"/>
    <w:rsid w:val="00880F2C"/>
    <w:rsid w:val="00881210"/>
    <w:rsid w:val="0088186C"/>
    <w:rsid w:val="00881882"/>
    <w:rsid w:val="00882AC7"/>
    <w:rsid w:val="00882F1A"/>
    <w:rsid w:val="00884452"/>
    <w:rsid w:val="00886014"/>
    <w:rsid w:val="008876A5"/>
    <w:rsid w:val="00887D29"/>
    <w:rsid w:val="008905D7"/>
    <w:rsid w:val="00890AB6"/>
    <w:rsid w:val="008921DC"/>
    <w:rsid w:val="00892DB0"/>
    <w:rsid w:val="00894F4D"/>
    <w:rsid w:val="00895B87"/>
    <w:rsid w:val="00895F32"/>
    <w:rsid w:val="00895F57"/>
    <w:rsid w:val="008960B7"/>
    <w:rsid w:val="008962F2"/>
    <w:rsid w:val="00896511"/>
    <w:rsid w:val="008975E7"/>
    <w:rsid w:val="008A0297"/>
    <w:rsid w:val="008A067A"/>
    <w:rsid w:val="008A08D2"/>
    <w:rsid w:val="008A0DE1"/>
    <w:rsid w:val="008A2E7B"/>
    <w:rsid w:val="008A4004"/>
    <w:rsid w:val="008A4D6A"/>
    <w:rsid w:val="008A6BF1"/>
    <w:rsid w:val="008A7600"/>
    <w:rsid w:val="008B0DC0"/>
    <w:rsid w:val="008B13E7"/>
    <w:rsid w:val="008B1D85"/>
    <w:rsid w:val="008B2D32"/>
    <w:rsid w:val="008B38B1"/>
    <w:rsid w:val="008B3920"/>
    <w:rsid w:val="008B3CD2"/>
    <w:rsid w:val="008B4224"/>
    <w:rsid w:val="008B4229"/>
    <w:rsid w:val="008B478A"/>
    <w:rsid w:val="008B5B9D"/>
    <w:rsid w:val="008B602D"/>
    <w:rsid w:val="008B614B"/>
    <w:rsid w:val="008B6AB2"/>
    <w:rsid w:val="008B6F16"/>
    <w:rsid w:val="008C01FE"/>
    <w:rsid w:val="008C0618"/>
    <w:rsid w:val="008C2B6F"/>
    <w:rsid w:val="008C465E"/>
    <w:rsid w:val="008C4752"/>
    <w:rsid w:val="008C4CE4"/>
    <w:rsid w:val="008C551F"/>
    <w:rsid w:val="008C554B"/>
    <w:rsid w:val="008C73D6"/>
    <w:rsid w:val="008D0C62"/>
    <w:rsid w:val="008D1C6C"/>
    <w:rsid w:val="008D2CD6"/>
    <w:rsid w:val="008D3565"/>
    <w:rsid w:val="008D40B9"/>
    <w:rsid w:val="008D4939"/>
    <w:rsid w:val="008D542A"/>
    <w:rsid w:val="008D6E6F"/>
    <w:rsid w:val="008D726D"/>
    <w:rsid w:val="008E30AD"/>
    <w:rsid w:val="008E3D60"/>
    <w:rsid w:val="008E5F6C"/>
    <w:rsid w:val="008E7390"/>
    <w:rsid w:val="008F05C2"/>
    <w:rsid w:val="008F1A58"/>
    <w:rsid w:val="008F1AF0"/>
    <w:rsid w:val="008F1F00"/>
    <w:rsid w:val="008F2382"/>
    <w:rsid w:val="008F2BA7"/>
    <w:rsid w:val="008F3BA8"/>
    <w:rsid w:val="008F42BB"/>
    <w:rsid w:val="008F4320"/>
    <w:rsid w:val="008F47D1"/>
    <w:rsid w:val="008F6BC5"/>
    <w:rsid w:val="008F6C87"/>
    <w:rsid w:val="008F79AE"/>
    <w:rsid w:val="008F7E16"/>
    <w:rsid w:val="009000CA"/>
    <w:rsid w:val="009005AB"/>
    <w:rsid w:val="0090192D"/>
    <w:rsid w:val="00905434"/>
    <w:rsid w:val="00905C39"/>
    <w:rsid w:val="00905C9B"/>
    <w:rsid w:val="00905FD8"/>
    <w:rsid w:val="009072F6"/>
    <w:rsid w:val="00907620"/>
    <w:rsid w:val="00907697"/>
    <w:rsid w:val="00910052"/>
    <w:rsid w:val="00910275"/>
    <w:rsid w:val="00910311"/>
    <w:rsid w:val="00910AE4"/>
    <w:rsid w:val="00911162"/>
    <w:rsid w:val="009113AE"/>
    <w:rsid w:val="009114A1"/>
    <w:rsid w:val="00912262"/>
    <w:rsid w:val="00914E96"/>
    <w:rsid w:val="009152F2"/>
    <w:rsid w:val="00917D62"/>
    <w:rsid w:val="00920524"/>
    <w:rsid w:val="00920BD4"/>
    <w:rsid w:val="00921F3C"/>
    <w:rsid w:val="009231DE"/>
    <w:rsid w:val="009243B3"/>
    <w:rsid w:val="00924F4A"/>
    <w:rsid w:val="009259EF"/>
    <w:rsid w:val="009260A3"/>
    <w:rsid w:val="009273A0"/>
    <w:rsid w:val="00927529"/>
    <w:rsid w:val="00927725"/>
    <w:rsid w:val="00927DC4"/>
    <w:rsid w:val="009304FE"/>
    <w:rsid w:val="00930782"/>
    <w:rsid w:val="009310F0"/>
    <w:rsid w:val="009321A5"/>
    <w:rsid w:val="0093237C"/>
    <w:rsid w:val="0093422B"/>
    <w:rsid w:val="00934AA2"/>
    <w:rsid w:val="00934BDE"/>
    <w:rsid w:val="00934D92"/>
    <w:rsid w:val="00935660"/>
    <w:rsid w:val="0093570A"/>
    <w:rsid w:val="009363C8"/>
    <w:rsid w:val="00936EC8"/>
    <w:rsid w:val="0094101F"/>
    <w:rsid w:val="0094128D"/>
    <w:rsid w:val="00943F6E"/>
    <w:rsid w:val="00944BF1"/>
    <w:rsid w:val="00944CF4"/>
    <w:rsid w:val="00944D1A"/>
    <w:rsid w:val="00945828"/>
    <w:rsid w:val="00945D59"/>
    <w:rsid w:val="00946E1E"/>
    <w:rsid w:val="009477BA"/>
    <w:rsid w:val="00947F9D"/>
    <w:rsid w:val="009512A2"/>
    <w:rsid w:val="00951D24"/>
    <w:rsid w:val="00952049"/>
    <w:rsid w:val="00952B2E"/>
    <w:rsid w:val="00953BC2"/>
    <w:rsid w:val="009565E3"/>
    <w:rsid w:val="00956972"/>
    <w:rsid w:val="009572B3"/>
    <w:rsid w:val="0095737A"/>
    <w:rsid w:val="00961E91"/>
    <w:rsid w:val="00961FE6"/>
    <w:rsid w:val="009623E5"/>
    <w:rsid w:val="0096368A"/>
    <w:rsid w:val="0096670F"/>
    <w:rsid w:val="00966A01"/>
    <w:rsid w:val="00967CF4"/>
    <w:rsid w:val="009720AE"/>
    <w:rsid w:val="00974568"/>
    <w:rsid w:val="00974C44"/>
    <w:rsid w:val="009760D2"/>
    <w:rsid w:val="00977973"/>
    <w:rsid w:val="0098068B"/>
    <w:rsid w:val="00980D3F"/>
    <w:rsid w:val="00980E18"/>
    <w:rsid w:val="00981F79"/>
    <w:rsid w:val="009834E9"/>
    <w:rsid w:val="009836E9"/>
    <w:rsid w:val="00983C47"/>
    <w:rsid w:val="009850EF"/>
    <w:rsid w:val="0098682A"/>
    <w:rsid w:val="009868FC"/>
    <w:rsid w:val="00986B36"/>
    <w:rsid w:val="00987295"/>
    <w:rsid w:val="0099107A"/>
    <w:rsid w:val="00991A16"/>
    <w:rsid w:val="009920D5"/>
    <w:rsid w:val="009926A1"/>
    <w:rsid w:val="00992AC8"/>
    <w:rsid w:val="009939E6"/>
    <w:rsid w:val="00993BEE"/>
    <w:rsid w:val="00995287"/>
    <w:rsid w:val="009957BC"/>
    <w:rsid w:val="009961EE"/>
    <w:rsid w:val="009974C4"/>
    <w:rsid w:val="009A0BF1"/>
    <w:rsid w:val="009A1654"/>
    <w:rsid w:val="009A2E24"/>
    <w:rsid w:val="009A3F78"/>
    <w:rsid w:val="009A43AF"/>
    <w:rsid w:val="009A6C41"/>
    <w:rsid w:val="009B0086"/>
    <w:rsid w:val="009B1FB6"/>
    <w:rsid w:val="009B34E6"/>
    <w:rsid w:val="009B4E8F"/>
    <w:rsid w:val="009B5F8C"/>
    <w:rsid w:val="009B7B80"/>
    <w:rsid w:val="009B7FCB"/>
    <w:rsid w:val="009C07DF"/>
    <w:rsid w:val="009C0E2E"/>
    <w:rsid w:val="009C190C"/>
    <w:rsid w:val="009C22A6"/>
    <w:rsid w:val="009C2436"/>
    <w:rsid w:val="009C3134"/>
    <w:rsid w:val="009C3A87"/>
    <w:rsid w:val="009C596F"/>
    <w:rsid w:val="009C6378"/>
    <w:rsid w:val="009C79CB"/>
    <w:rsid w:val="009D21D0"/>
    <w:rsid w:val="009D2FBA"/>
    <w:rsid w:val="009D351E"/>
    <w:rsid w:val="009D7787"/>
    <w:rsid w:val="009E0192"/>
    <w:rsid w:val="009E02C9"/>
    <w:rsid w:val="009E09CC"/>
    <w:rsid w:val="009E2A96"/>
    <w:rsid w:val="009E3597"/>
    <w:rsid w:val="009E39DC"/>
    <w:rsid w:val="009E4674"/>
    <w:rsid w:val="009E5645"/>
    <w:rsid w:val="009E56B4"/>
    <w:rsid w:val="009E5D11"/>
    <w:rsid w:val="009E6E80"/>
    <w:rsid w:val="009F11F6"/>
    <w:rsid w:val="009F1492"/>
    <w:rsid w:val="009F21C1"/>
    <w:rsid w:val="009F2690"/>
    <w:rsid w:val="009F3276"/>
    <w:rsid w:val="009F43C3"/>
    <w:rsid w:val="009F465A"/>
    <w:rsid w:val="009F4EFC"/>
    <w:rsid w:val="009F7A56"/>
    <w:rsid w:val="00A00BD3"/>
    <w:rsid w:val="00A013C6"/>
    <w:rsid w:val="00A020B4"/>
    <w:rsid w:val="00A043FE"/>
    <w:rsid w:val="00A04DF0"/>
    <w:rsid w:val="00A05916"/>
    <w:rsid w:val="00A05AA6"/>
    <w:rsid w:val="00A05CC7"/>
    <w:rsid w:val="00A05CDC"/>
    <w:rsid w:val="00A06192"/>
    <w:rsid w:val="00A06639"/>
    <w:rsid w:val="00A06FDB"/>
    <w:rsid w:val="00A07065"/>
    <w:rsid w:val="00A073EF"/>
    <w:rsid w:val="00A07A6A"/>
    <w:rsid w:val="00A07FC9"/>
    <w:rsid w:val="00A11861"/>
    <w:rsid w:val="00A11C29"/>
    <w:rsid w:val="00A12668"/>
    <w:rsid w:val="00A1266A"/>
    <w:rsid w:val="00A13260"/>
    <w:rsid w:val="00A13608"/>
    <w:rsid w:val="00A1389B"/>
    <w:rsid w:val="00A1622A"/>
    <w:rsid w:val="00A16EEB"/>
    <w:rsid w:val="00A20D7E"/>
    <w:rsid w:val="00A2114F"/>
    <w:rsid w:val="00A21193"/>
    <w:rsid w:val="00A2216E"/>
    <w:rsid w:val="00A22D28"/>
    <w:rsid w:val="00A22F5A"/>
    <w:rsid w:val="00A2370B"/>
    <w:rsid w:val="00A23A01"/>
    <w:rsid w:val="00A23F13"/>
    <w:rsid w:val="00A27A18"/>
    <w:rsid w:val="00A27ACC"/>
    <w:rsid w:val="00A27C20"/>
    <w:rsid w:val="00A30EA6"/>
    <w:rsid w:val="00A31406"/>
    <w:rsid w:val="00A31523"/>
    <w:rsid w:val="00A31536"/>
    <w:rsid w:val="00A331C0"/>
    <w:rsid w:val="00A33D86"/>
    <w:rsid w:val="00A346FE"/>
    <w:rsid w:val="00A34920"/>
    <w:rsid w:val="00A36E14"/>
    <w:rsid w:val="00A40446"/>
    <w:rsid w:val="00A41988"/>
    <w:rsid w:val="00A42AA4"/>
    <w:rsid w:val="00A433AF"/>
    <w:rsid w:val="00A4347E"/>
    <w:rsid w:val="00A43535"/>
    <w:rsid w:val="00A437BB"/>
    <w:rsid w:val="00A45E9D"/>
    <w:rsid w:val="00A46C9F"/>
    <w:rsid w:val="00A4716C"/>
    <w:rsid w:val="00A47535"/>
    <w:rsid w:val="00A5127C"/>
    <w:rsid w:val="00A5273A"/>
    <w:rsid w:val="00A52978"/>
    <w:rsid w:val="00A53130"/>
    <w:rsid w:val="00A5318C"/>
    <w:rsid w:val="00A5412B"/>
    <w:rsid w:val="00A546C5"/>
    <w:rsid w:val="00A573A6"/>
    <w:rsid w:val="00A57780"/>
    <w:rsid w:val="00A57C4A"/>
    <w:rsid w:val="00A600FC"/>
    <w:rsid w:val="00A6042C"/>
    <w:rsid w:val="00A60B7E"/>
    <w:rsid w:val="00A64735"/>
    <w:rsid w:val="00A65C63"/>
    <w:rsid w:val="00A664A2"/>
    <w:rsid w:val="00A66ABD"/>
    <w:rsid w:val="00A66B50"/>
    <w:rsid w:val="00A66D18"/>
    <w:rsid w:val="00A70B90"/>
    <w:rsid w:val="00A71393"/>
    <w:rsid w:val="00A71720"/>
    <w:rsid w:val="00A7322E"/>
    <w:rsid w:val="00A747F4"/>
    <w:rsid w:val="00A77072"/>
    <w:rsid w:val="00A778F9"/>
    <w:rsid w:val="00A80F52"/>
    <w:rsid w:val="00A81B67"/>
    <w:rsid w:val="00A81BA0"/>
    <w:rsid w:val="00A82079"/>
    <w:rsid w:val="00A82732"/>
    <w:rsid w:val="00A830FA"/>
    <w:rsid w:val="00A84ECB"/>
    <w:rsid w:val="00A8510A"/>
    <w:rsid w:val="00A85226"/>
    <w:rsid w:val="00A860D4"/>
    <w:rsid w:val="00A86CE3"/>
    <w:rsid w:val="00A874F3"/>
    <w:rsid w:val="00A87BC8"/>
    <w:rsid w:val="00A92240"/>
    <w:rsid w:val="00A94058"/>
    <w:rsid w:val="00A944A8"/>
    <w:rsid w:val="00A94E40"/>
    <w:rsid w:val="00A973D1"/>
    <w:rsid w:val="00AA01D8"/>
    <w:rsid w:val="00AA0388"/>
    <w:rsid w:val="00AA09DD"/>
    <w:rsid w:val="00AA1C62"/>
    <w:rsid w:val="00AA3DEA"/>
    <w:rsid w:val="00AA3F17"/>
    <w:rsid w:val="00AA4898"/>
    <w:rsid w:val="00AA54E1"/>
    <w:rsid w:val="00AA5C5A"/>
    <w:rsid w:val="00AB1C24"/>
    <w:rsid w:val="00AB21B5"/>
    <w:rsid w:val="00AB2C4F"/>
    <w:rsid w:val="00AB3001"/>
    <w:rsid w:val="00AB437E"/>
    <w:rsid w:val="00AB4778"/>
    <w:rsid w:val="00AB4F4F"/>
    <w:rsid w:val="00AB5ABD"/>
    <w:rsid w:val="00AB5F73"/>
    <w:rsid w:val="00AB6968"/>
    <w:rsid w:val="00AB699B"/>
    <w:rsid w:val="00AB6B35"/>
    <w:rsid w:val="00AB6BB7"/>
    <w:rsid w:val="00AC113A"/>
    <w:rsid w:val="00AC1FB3"/>
    <w:rsid w:val="00AC2919"/>
    <w:rsid w:val="00AC3473"/>
    <w:rsid w:val="00AC44BA"/>
    <w:rsid w:val="00AC4746"/>
    <w:rsid w:val="00AC5FB9"/>
    <w:rsid w:val="00AC7204"/>
    <w:rsid w:val="00AC7ED1"/>
    <w:rsid w:val="00AD07F3"/>
    <w:rsid w:val="00AD09A1"/>
    <w:rsid w:val="00AD1159"/>
    <w:rsid w:val="00AD2369"/>
    <w:rsid w:val="00AD3BCB"/>
    <w:rsid w:val="00AD3C37"/>
    <w:rsid w:val="00AD43A3"/>
    <w:rsid w:val="00AD4485"/>
    <w:rsid w:val="00AD5C38"/>
    <w:rsid w:val="00AD5DCA"/>
    <w:rsid w:val="00AD6935"/>
    <w:rsid w:val="00AD6E90"/>
    <w:rsid w:val="00AD72EA"/>
    <w:rsid w:val="00AE2D37"/>
    <w:rsid w:val="00AE2D7B"/>
    <w:rsid w:val="00AE305E"/>
    <w:rsid w:val="00AE32BE"/>
    <w:rsid w:val="00AE3667"/>
    <w:rsid w:val="00AE3EE8"/>
    <w:rsid w:val="00AE5F4C"/>
    <w:rsid w:val="00AE63CC"/>
    <w:rsid w:val="00AE655A"/>
    <w:rsid w:val="00AE7F8B"/>
    <w:rsid w:val="00AF0AC1"/>
    <w:rsid w:val="00AF15D1"/>
    <w:rsid w:val="00AF15FB"/>
    <w:rsid w:val="00AF16AA"/>
    <w:rsid w:val="00AF1F4E"/>
    <w:rsid w:val="00AF32B6"/>
    <w:rsid w:val="00AF4511"/>
    <w:rsid w:val="00AF4CD0"/>
    <w:rsid w:val="00AF4E66"/>
    <w:rsid w:val="00AF56AF"/>
    <w:rsid w:val="00AF6DD9"/>
    <w:rsid w:val="00AF781E"/>
    <w:rsid w:val="00B0023A"/>
    <w:rsid w:val="00B002DE"/>
    <w:rsid w:val="00B011C9"/>
    <w:rsid w:val="00B020FE"/>
    <w:rsid w:val="00B03703"/>
    <w:rsid w:val="00B03854"/>
    <w:rsid w:val="00B05067"/>
    <w:rsid w:val="00B05C76"/>
    <w:rsid w:val="00B05F40"/>
    <w:rsid w:val="00B06471"/>
    <w:rsid w:val="00B07E37"/>
    <w:rsid w:val="00B10CEB"/>
    <w:rsid w:val="00B10F4E"/>
    <w:rsid w:val="00B11775"/>
    <w:rsid w:val="00B11E5B"/>
    <w:rsid w:val="00B146AF"/>
    <w:rsid w:val="00B148A4"/>
    <w:rsid w:val="00B14F38"/>
    <w:rsid w:val="00B1511A"/>
    <w:rsid w:val="00B152A9"/>
    <w:rsid w:val="00B15D08"/>
    <w:rsid w:val="00B16C25"/>
    <w:rsid w:val="00B20655"/>
    <w:rsid w:val="00B20AC4"/>
    <w:rsid w:val="00B21832"/>
    <w:rsid w:val="00B2259A"/>
    <w:rsid w:val="00B22809"/>
    <w:rsid w:val="00B2472D"/>
    <w:rsid w:val="00B2631A"/>
    <w:rsid w:val="00B26502"/>
    <w:rsid w:val="00B265B1"/>
    <w:rsid w:val="00B26ACE"/>
    <w:rsid w:val="00B303F0"/>
    <w:rsid w:val="00B312A4"/>
    <w:rsid w:val="00B32D74"/>
    <w:rsid w:val="00B34952"/>
    <w:rsid w:val="00B3533C"/>
    <w:rsid w:val="00B35695"/>
    <w:rsid w:val="00B35D17"/>
    <w:rsid w:val="00B36506"/>
    <w:rsid w:val="00B40231"/>
    <w:rsid w:val="00B40C7A"/>
    <w:rsid w:val="00B40C99"/>
    <w:rsid w:val="00B4144A"/>
    <w:rsid w:val="00B419E0"/>
    <w:rsid w:val="00B4266C"/>
    <w:rsid w:val="00B42F5F"/>
    <w:rsid w:val="00B44516"/>
    <w:rsid w:val="00B45338"/>
    <w:rsid w:val="00B453B1"/>
    <w:rsid w:val="00B45F44"/>
    <w:rsid w:val="00B47C68"/>
    <w:rsid w:val="00B506EB"/>
    <w:rsid w:val="00B508E9"/>
    <w:rsid w:val="00B51B80"/>
    <w:rsid w:val="00B51BDE"/>
    <w:rsid w:val="00B52B1B"/>
    <w:rsid w:val="00B52CBB"/>
    <w:rsid w:val="00B531EE"/>
    <w:rsid w:val="00B531F1"/>
    <w:rsid w:val="00B534AD"/>
    <w:rsid w:val="00B555ED"/>
    <w:rsid w:val="00B56E5D"/>
    <w:rsid w:val="00B5710E"/>
    <w:rsid w:val="00B57FDC"/>
    <w:rsid w:val="00B601D3"/>
    <w:rsid w:val="00B60969"/>
    <w:rsid w:val="00B6106F"/>
    <w:rsid w:val="00B6173F"/>
    <w:rsid w:val="00B64617"/>
    <w:rsid w:val="00B64C58"/>
    <w:rsid w:val="00B67018"/>
    <w:rsid w:val="00B676DC"/>
    <w:rsid w:val="00B70517"/>
    <w:rsid w:val="00B7181E"/>
    <w:rsid w:val="00B7212F"/>
    <w:rsid w:val="00B721B6"/>
    <w:rsid w:val="00B72809"/>
    <w:rsid w:val="00B751FF"/>
    <w:rsid w:val="00B753D9"/>
    <w:rsid w:val="00B75BB3"/>
    <w:rsid w:val="00B75E37"/>
    <w:rsid w:val="00B771A9"/>
    <w:rsid w:val="00B77961"/>
    <w:rsid w:val="00B8045B"/>
    <w:rsid w:val="00B80D03"/>
    <w:rsid w:val="00B81952"/>
    <w:rsid w:val="00B82EB7"/>
    <w:rsid w:val="00B83FC6"/>
    <w:rsid w:val="00B84B02"/>
    <w:rsid w:val="00B87CF5"/>
    <w:rsid w:val="00B910D7"/>
    <w:rsid w:val="00B9185F"/>
    <w:rsid w:val="00B918B1"/>
    <w:rsid w:val="00B92D56"/>
    <w:rsid w:val="00B93967"/>
    <w:rsid w:val="00B93DEF"/>
    <w:rsid w:val="00B94920"/>
    <w:rsid w:val="00B95A7D"/>
    <w:rsid w:val="00B96A3D"/>
    <w:rsid w:val="00BA26FE"/>
    <w:rsid w:val="00BA2E5D"/>
    <w:rsid w:val="00BA4EA6"/>
    <w:rsid w:val="00BA657A"/>
    <w:rsid w:val="00BA7BB4"/>
    <w:rsid w:val="00BB0010"/>
    <w:rsid w:val="00BB0434"/>
    <w:rsid w:val="00BB0C99"/>
    <w:rsid w:val="00BB1D6C"/>
    <w:rsid w:val="00BB25C7"/>
    <w:rsid w:val="00BB276B"/>
    <w:rsid w:val="00BB2E66"/>
    <w:rsid w:val="00BB2F66"/>
    <w:rsid w:val="00BB354F"/>
    <w:rsid w:val="00BB36A8"/>
    <w:rsid w:val="00BB41BD"/>
    <w:rsid w:val="00BB47B3"/>
    <w:rsid w:val="00BB4825"/>
    <w:rsid w:val="00BB4F94"/>
    <w:rsid w:val="00BB5B0A"/>
    <w:rsid w:val="00BB5CB3"/>
    <w:rsid w:val="00BB5DE9"/>
    <w:rsid w:val="00BB6FD8"/>
    <w:rsid w:val="00BB700A"/>
    <w:rsid w:val="00BB773C"/>
    <w:rsid w:val="00BB77F4"/>
    <w:rsid w:val="00BC0183"/>
    <w:rsid w:val="00BC108B"/>
    <w:rsid w:val="00BC12B6"/>
    <w:rsid w:val="00BC207B"/>
    <w:rsid w:val="00BC22A6"/>
    <w:rsid w:val="00BC283F"/>
    <w:rsid w:val="00BC2DCC"/>
    <w:rsid w:val="00BC321A"/>
    <w:rsid w:val="00BC5C7E"/>
    <w:rsid w:val="00BC62C1"/>
    <w:rsid w:val="00BC7CAF"/>
    <w:rsid w:val="00BD139C"/>
    <w:rsid w:val="00BD1E93"/>
    <w:rsid w:val="00BD2684"/>
    <w:rsid w:val="00BD273B"/>
    <w:rsid w:val="00BD27A4"/>
    <w:rsid w:val="00BD57A1"/>
    <w:rsid w:val="00BD57BE"/>
    <w:rsid w:val="00BD74CA"/>
    <w:rsid w:val="00BD7790"/>
    <w:rsid w:val="00BE0FA4"/>
    <w:rsid w:val="00BE1981"/>
    <w:rsid w:val="00BE1985"/>
    <w:rsid w:val="00BE1B63"/>
    <w:rsid w:val="00BE26EB"/>
    <w:rsid w:val="00BE2DFC"/>
    <w:rsid w:val="00BE37E1"/>
    <w:rsid w:val="00BE3875"/>
    <w:rsid w:val="00BE3F29"/>
    <w:rsid w:val="00BE689F"/>
    <w:rsid w:val="00BE6BBF"/>
    <w:rsid w:val="00BE72EA"/>
    <w:rsid w:val="00BE7C36"/>
    <w:rsid w:val="00BF12D8"/>
    <w:rsid w:val="00BF335C"/>
    <w:rsid w:val="00BF3C5B"/>
    <w:rsid w:val="00BF422A"/>
    <w:rsid w:val="00BF48C1"/>
    <w:rsid w:val="00BF5828"/>
    <w:rsid w:val="00C00570"/>
    <w:rsid w:val="00C00AE5"/>
    <w:rsid w:val="00C00CE1"/>
    <w:rsid w:val="00C030B3"/>
    <w:rsid w:val="00C03981"/>
    <w:rsid w:val="00C03A4C"/>
    <w:rsid w:val="00C03D40"/>
    <w:rsid w:val="00C03E6B"/>
    <w:rsid w:val="00C03F51"/>
    <w:rsid w:val="00C04218"/>
    <w:rsid w:val="00C05103"/>
    <w:rsid w:val="00C0704F"/>
    <w:rsid w:val="00C07844"/>
    <w:rsid w:val="00C100FF"/>
    <w:rsid w:val="00C110E5"/>
    <w:rsid w:val="00C1118B"/>
    <w:rsid w:val="00C11685"/>
    <w:rsid w:val="00C1369E"/>
    <w:rsid w:val="00C13ED1"/>
    <w:rsid w:val="00C1408E"/>
    <w:rsid w:val="00C14801"/>
    <w:rsid w:val="00C14D24"/>
    <w:rsid w:val="00C15225"/>
    <w:rsid w:val="00C16966"/>
    <w:rsid w:val="00C16BFE"/>
    <w:rsid w:val="00C16E50"/>
    <w:rsid w:val="00C23908"/>
    <w:rsid w:val="00C23C75"/>
    <w:rsid w:val="00C25EB9"/>
    <w:rsid w:val="00C26422"/>
    <w:rsid w:val="00C26866"/>
    <w:rsid w:val="00C26C7C"/>
    <w:rsid w:val="00C27327"/>
    <w:rsid w:val="00C27535"/>
    <w:rsid w:val="00C32484"/>
    <w:rsid w:val="00C3269F"/>
    <w:rsid w:val="00C34494"/>
    <w:rsid w:val="00C363DB"/>
    <w:rsid w:val="00C37C9C"/>
    <w:rsid w:val="00C41F4A"/>
    <w:rsid w:val="00C42BEC"/>
    <w:rsid w:val="00C42CFC"/>
    <w:rsid w:val="00C43468"/>
    <w:rsid w:val="00C44D0D"/>
    <w:rsid w:val="00C45183"/>
    <w:rsid w:val="00C45358"/>
    <w:rsid w:val="00C45513"/>
    <w:rsid w:val="00C45969"/>
    <w:rsid w:val="00C4609E"/>
    <w:rsid w:val="00C46175"/>
    <w:rsid w:val="00C4681F"/>
    <w:rsid w:val="00C4799E"/>
    <w:rsid w:val="00C50E87"/>
    <w:rsid w:val="00C51391"/>
    <w:rsid w:val="00C52998"/>
    <w:rsid w:val="00C538C5"/>
    <w:rsid w:val="00C53D36"/>
    <w:rsid w:val="00C56BAE"/>
    <w:rsid w:val="00C56CDC"/>
    <w:rsid w:val="00C57286"/>
    <w:rsid w:val="00C6107C"/>
    <w:rsid w:val="00C61779"/>
    <w:rsid w:val="00C621F1"/>
    <w:rsid w:val="00C62588"/>
    <w:rsid w:val="00C648FC"/>
    <w:rsid w:val="00C65E9D"/>
    <w:rsid w:val="00C67D62"/>
    <w:rsid w:val="00C70179"/>
    <w:rsid w:val="00C70185"/>
    <w:rsid w:val="00C70497"/>
    <w:rsid w:val="00C704B8"/>
    <w:rsid w:val="00C71332"/>
    <w:rsid w:val="00C71C62"/>
    <w:rsid w:val="00C71F72"/>
    <w:rsid w:val="00C726B8"/>
    <w:rsid w:val="00C74BED"/>
    <w:rsid w:val="00C74E95"/>
    <w:rsid w:val="00C752DE"/>
    <w:rsid w:val="00C809A2"/>
    <w:rsid w:val="00C81097"/>
    <w:rsid w:val="00C81704"/>
    <w:rsid w:val="00C833C4"/>
    <w:rsid w:val="00C837CC"/>
    <w:rsid w:val="00C840A0"/>
    <w:rsid w:val="00C84DCE"/>
    <w:rsid w:val="00C869F3"/>
    <w:rsid w:val="00C86F0C"/>
    <w:rsid w:val="00C87880"/>
    <w:rsid w:val="00C918DF"/>
    <w:rsid w:val="00C91D65"/>
    <w:rsid w:val="00C93939"/>
    <w:rsid w:val="00C93DC0"/>
    <w:rsid w:val="00C945C2"/>
    <w:rsid w:val="00C96BC5"/>
    <w:rsid w:val="00C97BC9"/>
    <w:rsid w:val="00C97D76"/>
    <w:rsid w:val="00CA00C1"/>
    <w:rsid w:val="00CA1710"/>
    <w:rsid w:val="00CA1972"/>
    <w:rsid w:val="00CA1ABC"/>
    <w:rsid w:val="00CA1C47"/>
    <w:rsid w:val="00CA1E09"/>
    <w:rsid w:val="00CA3612"/>
    <w:rsid w:val="00CA372D"/>
    <w:rsid w:val="00CA3C2D"/>
    <w:rsid w:val="00CA4026"/>
    <w:rsid w:val="00CA4637"/>
    <w:rsid w:val="00CA4C2D"/>
    <w:rsid w:val="00CA5B53"/>
    <w:rsid w:val="00CA63A8"/>
    <w:rsid w:val="00CA6536"/>
    <w:rsid w:val="00CA6B73"/>
    <w:rsid w:val="00CA6BAF"/>
    <w:rsid w:val="00CA6F5E"/>
    <w:rsid w:val="00CB064F"/>
    <w:rsid w:val="00CB0AA8"/>
    <w:rsid w:val="00CB0B66"/>
    <w:rsid w:val="00CB3197"/>
    <w:rsid w:val="00CB389F"/>
    <w:rsid w:val="00CB406E"/>
    <w:rsid w:val="00CB5982"/>
    <w:rsid w:val="00CB6336"/>
    <w:rsid w:val="00CB6E78"/>
    <w:rsid w:val="00CB7F7E"/>
    <w:rsid w:val="00CC14C4"/>
    <w:rsid w:val="00CC1F9E"/>
    <w:rsid w:val="00CC280A"/>
    <w:rsid w:val="00CC546C"/>
    <w:rsid w:val="00CC54C3"/>
    <w:rsid w:val="00CC5812"/>
    <w:rsid w:val="00CC6BD1"/>
    <w:rsid w:val="00CC714E"/>
    <w:rsid w:val="00CC7C9A"/>
    <w:rsid w:val="00CD1C84"/>
    <w:rsid w:val="00CD32A8"/>
    <w:rsid w:val="00CD53E5"/>
    <w:rsid w:val="00CD57AA"/>
    <w:rsid w:val="00CD5D7F"/>
    <w:rsid w:val="00CD7494"/>
    <w:rsid w:val="00CD7578"/>
    <w:rsid w:val="00CD7D3D"/>
    <w:rsid w:val="00CD7F9D"/>
    <w:rsid w:val="00CE15B3"/>
    <w:rsid w:val="00CE186F"/>
    <w:rsid w:val="00CE200F"/>
    <w:rsid w:val="00CE23AA"/>
    <w:rsid w:val="00CE3041"/>
    <w:rsid w:val="00CE3475"/>
    <w:rsid w:val="00CE4799"/>
    <w:rsid w:val="00CE55DA"/>
    <w:rsid w:val="00CE5DB6"/>
    <w:rsid w:val="00CE6615"/>
    <w:rsid w:val="00CE6674"/>
    <w:rsid w:val="00CE680F"/>
    <w:rsid w:val="00CE69C0"/>
    <w:rsid w:val="00CE715A"/>
    <w:rsid w:val="00CF0BAF"/>
    <w:rsid w:val="00CF170C"/>
    <w:rsid w:val="00CF1884"/>
    <w:rsid w:val="00CF20BB"/>
    <w:rsid w:val="00CF2E68"/>
    <w:rsid w:val="00CF303B"/>
    <w:rsid w:val="00CF361F"/>
    <w:rsid w:val="00CF464C"/>
    <w:rsid w:val="00CF56F3"/>
    <w:rsid w:val="00CF58FE"/>
    <w:rsid w:val="00CF59CA"/>
    <w:rsid w:val="00CF5BE7"/>
    <w:rsid w:val="00D023DE"/>
    <w:rsid w:val="00D025A0"/>
    <w:rsid w:val="00D02CE8"/>
    <w:rsid w:val="00D04516"/>
    <w:rsid w:val="00D04F78"/>
    <w:rsid w:val="00D05704"/>
    <w:rsid w:val="00D0593C"/>
    <w:rsid w:val="00D05DE9"/>
    <w:rsid w:val="00D07274"/>
    <w:rsid w:val="00D07918"/>
    <w:rsid w:val="00D07E21"/>
    <w:rsid w:val="00D111D2"/>
    <w:rsid w:val="00D1231A"/>
    <w:rsid w:val="00D12493"/>
    <w:rsid w:val="00D14EF9"/>
    <w:rsid w:val="00D16E30"/>
    <w:rsid w:val="00D16EBF"/>
    <w:rsid w:val="00D16FDD"/>
    <w:rsid w:val="00D1715D"/>
    <w:rsid w:val="00D201F0"/>
    <w:rsid w:val="00D20F50"/>
    <w:rsid w:val="00D21282"/>
    <w:rsid w:val="00D2155F"/>
    <w:rsid w:val="00D233EE"/>
    <w:rsid w:val="00D2377A"/>
    <w:rsid w:val="00D23D51"/>
    <w:rsid w:val="00D25376"/>
    <w:rsid w:val="00D2685E"/>
    <w:rsid w:val="00D26FD4"/>
    <w:rsid w:val="00D27632"/>
    <w:rsid w:val="00D304BF"/>
    <w:rsid w:val="00D307F8"/>
    <w:rsid w:val="00D30E85"/>
    <w:rsid w:val="00D31C7D"/>
    <w:rsid w:val="00D325CD"/>
    <w:rsid w:val="00D33BAD"/>
    <w:rsid w:val="00D33E7B"/>
    <w:rsid w:val="00D33F3E"/>
    <w:rsid w:val="00D3501F"/>
    <w:rsid w:val="00D35565"/>
    <w:rsid w:val="00D36224"/>
    <w:rsid w:val="00D36F51"/>
    <w:rsid w:val="00D36FFF"/>
    <w:rsid w:val="00D413C7"/>
    <w:rsid w:val="00D416AA"/>
    <w:rsid w:val="00D41957"/>
    <w:rsid w:val="00D41A37"/>
    <w:rsid w:val="00D42052"/>
    <w:rsid w:val="00D42FCD"/>
    <w:rsid w:val="00D432B7"/>
    <w:rsid w:val="00D45752"/>
    <w:rsid w:val="00D4595E"/>
    <w:rsid w:val="00D46D7A"/>
    <w:rsid w:val="00D50742"/>
    <w:rsid w:val="00D50EE4"/>
    <w:rsid w:val="00D52077"/>
    <w:rsid w:val="00D540B2"/>
    <w:rsid w:val="00D5492C"/>
    <w:rsid w:val="00D55262"/>
    <w:rsid w:val="00D556A2"/>
    <w:rsid w:val="00D55FDF"/>
    <w:rsid w:val="00D5673B"/>
    <w:rsid w:val="00D56769"/>
    <w:rsid w:val="00D56F3D"/>
    <w:rsid w:val="00D57D9C"/>
    <w:rsid w:val="00D606C7"/>
    <w:rsid w:val="00D62021"/>
    <w:rsid w:val="00D62A41"/>
    <w:rsid w:val="00D63483"/>
    <w:rsid w:val="00D63FC0"/>
    <w:rsid w:val="00D65037"/>
    <w:rsid w:val="00D655F2"/>
    <w:rsid w:val="00D66661"/>
    <w:rsid w:val="00D704C7"/>
    <w:rsid w:val="00D70B7A"/>
    <w:rsid w:val="00D7208D"/>
    <w:rsid w:val="00D722A6"/>
    <w:rsid w:val="00D74447"/>
    <w:rsid w:val="00D7499D"/>
    <w:rsid w:val="00D75511"/>
    <w:rsid w:val="00D75B68"/>
    <w:rsid w:val="00D75DD0"/>
    <w:rsid w:val="00D76810"/>
    <w:rsid w:val="00D76EF3"/>
    <w:rsid w:val="00D81042"/>
    <w:rsid w:val="00D81263"/>
    <w:rsid w:val="00D8200D"/>
    <w:rsid w:val="00D82088"/>
    <w:rsid w:val="00D833BF"/>
    <w:rsid w:val="00D83927"/>
    <w:rsid w:val="00D8402B"/>
    <w:rsid w:val="00D84DAA"/>
    <w:rsid w:val="00D85E86"/>
    <w:rsid w:val="00D860B0"/>
    <w:rsid w:val="00D867A5"/>
    <w:rsid w:val="00D86ACE"/>
    <w:rsid w:val="00D90427"/>
    <w:rsid w:val="00D93986"/>
    <w:rsid w:val="00D93A22"/>
    <w:rsid w:val="00D954F4"/>
    <w:rsid w:val="00D958DD"/>
    <w:rsid w:val="00D964B5"/>
    <w:rsid w:val="00DA1AF0"/>
    <w:rsid w:val="00DA3675"/>
    <w:rsid w:val="00DA3CDB"/>
    <w:rsid w:val="00DA5CB5"/>
    <w:rsid w:val="00DA7199"/>
    <w:rsid w:val="00DB07BF"/>
    <w:rsid w:val="00DB363C"/>
    <w:rsid w:val="00DB56B4"/>
    <w:rsid w:val="00DB7A7C"/>
    <w:rsid w:val="00DC0448"/>
    <w:rsid w:val="00DC07A5"/>
    <w:rsid w:val="00DC0B14"/>
    <w:rsid w:val="00DC0EAF"/>
    <w:rsid w:val="00DC134F"/>
    <w:rsid w:val="00DC2825"/>
    <w:rsid w:val="00DC2DC4"/>
    <w:rsid w:val="00DC2E86"/>
    <w:rsid w:val="00DC4F0E"/>
    <w:rsid w:val="00DC5691"/>
    <w:rsid w:val="00DC5F21"/>
    <w:rsid w:val="00DC6174"/>
    <w:rsid w:val="00DC7409"/>
    <w:rsid w:val="00DC742C"/>
    <w:rsid w:val="00DD0028"/>
    <w:rsid w:val="00DD009F"/>
    <w:rsid w:val="00DD0EEF"/>
    <w:rsid w:val="00DD0FE1"/>
    <w:rsid w:val="00DD3C61"/>
    <w:rsid w:val="00DD461A"/>
    <w:rsid w:val="00DD479B"/>
    <w:rsid w:val="00DD4AD2"/>
    <w:rsid w:val="00DD4CA6"/>
    <w:rsid w:val="00DD58FD"/>
    <w:rsid w:val="00DD5F64"/>
    <w:rsid w:val="00DD6697"/>
    <w:rsid w:val="00DD6795"/>
    <w:rsid w:val="00DD7963"/>
    <w:rsid w:val="00DE06E8"/>
    <w:rsid w:val="00DE0C7E"/>
    <w:rsid w:val="00DE1030"/>
    <w:rsid w:val="00DE167F"/>
    <w:rsid w:val="00DE177E"/>
    <w:rsid w:val="00DE1F57"/>
    <w:rsid w:val="00DE2507"/>
    <w:rsid w:val="00DE2A20"/>
    <w:rsid w:val="00DE3207"/>
    <w:rsid w:val="00DE4D29"/>
    <w:rsid w:val="00DE5045"/>
    <w:rsid w:val="00DE5D05"/>
    <w:rsid w:val="00DE5E2D"/>
    <w:rsid w:val="00DE6CE8"/>
    <w:rsid w:val="00DE6D44"/>
    <w:rsid w:val="00DE6DAB"/>
    <w:rsid w:val="00DE7AB3"/>
    <w:rsid w:val="00DF0036"/>
    <w:rsid w:val="00DF009D"/>
    <w:rsid w:val="00DF0724"/>
    <w:rsid w:val="00DF2C28"/>
    <w:rsid w:val="00DF2F96"/>
    <w:rsid w:val="00DF4141"/>
    <w:rsid w:val="00DF4AA9"/>
    <w:rsid w:val="00DF7AAA"/>
    <w:rsid w:val="00E00636"/>
    <w:rsid w:val="00E0107E"/>
    <w:rsid w:val="00E02CFB"/>
    <w:rsid w:val="00E05801"/>
    <w:rsid w:val="00E05C7D"/>
    <w:rsid w:val="00E06113"/>
    <w:rsid w:val="00E064FC"/>
    <w:rsid w:val="00E06526"/>
    <w:rsid w:val="00E1053D"/>
    <w:rsid w:val="00E10996"/>
    <w:rsid w:val="00E11730"/>
    <w:rsid w:val="00E12301"/>
    <w:rsid w:val="00E12E16"/>
    <w:rsid w:val="00E13CEA"/>
    <w:rsid w:val="00E14272"/>
    <w:rsid w:val="00E1555C"/>
    <w:rsid w:val="00E1648B"/>
    <w:rsid w:val="00E16A9D"/>
    <w:rsid w:val="00E1786B"/>
    <w:rsid w:val="00E240F1"/>
    <w:rsid w:val="00E25274"/>
    <w:rsid w:val="00E253EB"/>
    <w:rsid w:val="00E260D8"/>
    <w:rsid w:val="00E26111"/>
    <w:rsid w:val="00E266C1"/>
    <w:rsid w:val="00E26BB3"/>
    <w:rsid w:val="00E26C7A"/>
    <w:rsid w:val="00E26E0C"/>
    <w:rsid w:val="00E27CF5"/>
    <w:rsid w:val="00E27DF4"/>
    <w:rsid w:val="00E3013E"/>
    <w:rsid w:val="00E302B8"/>
    <w:rsid w:val="00E31C44"/>
    <w:rsid w:val="00E31E59"/>
    <w:rsid w:val="00E32452"/>
    <w:rsid w:val="00E32C14"/>
    <w:rsid w:val="00E32EB4"/>
    <w:rsid w:val="00E337C7"/>
    <w:rsid w:val="00E340C9"/>
    <w:rsid w:val="00E34401"/>
    <w:rsid w:val="00E345FE"/>
    <w:rsid w:val="00E34738"/>
    <w:rsid w:val="00E37300"/>
    <w:rsid w:val="00E37357"/>
    <w:rsid w:val="00E375EE"/>
    <w:rsid w:val="00E37A09"/>
    <w:rsid w:val="00E405F3"/>
    <w:rsid w:val="00E40E74"/>
    <w:rsid w:val="00E412C8"/>
    <w:rsid w:val="00E417FF"/>
    <w:rsid w:val="00E41E44"/>
    <w:rsid w:val="00E42464"/>
    <w:rsid w:val="00E44040"/>
    <w:rsid w:val="00E445C1"/>
    <w:rsid w:val="00E44678"/>
    <w:rsid w:val="00E45501"/>
    <w:rsid w:val="00E4620B"/>
    <w:rsid w:val="00E46C3A"/>
    <w:rsid w:val="00E4787B"/>
    <w:rsid w:val="00E501E9"/>
    <w:rsid w:val="00E50882"/>
    <w:rsid w:val="00E511F3"/>
    <w:rsid w:val="00E513C2"/>
    <w:rsid w:val="00E53865"/>
    <w:rsid w:val="00E54B68"/>
    <w:rsid w:val="00E54F24"/>
    <w:rsid w:val="00E565EA"/>
    <w:rsid w:val="00E5737B"/>
    <w:rsid w:val="00E574E0"/>
    <w:rsid w:val="00E576A7"/>
    <w:rsid w:val="00E57997"/>
    <w:rsid w:val="00E57D45"/>
    <w:rsid w:val="00E614A7"/>
    <w:rsid w:val="00E61A27"/>
    <w:rsid w:val="00E62BE3"/>
    <w:rsid w:val="00E63A60"/>
    <w:rsid w:val="00E6407B"/>
    <w:rsid w:val="00E64097"/>
    <w:rsid w:val="00E64DB9"/>
    <w:rsid w:val="00E65EBC"/>
    <w:rsid w:val="00E6625E"/>
    <w:rsid w:val="00E67EB3"/>
    <w:rsid w:val="00E718F9"/>
    <w:rsid w:val="00E72017"/>
    <w:rsid w:val="00E72124"/>
    <w:rsid w:val="00E72273"/>
    <w:rsid w:val="00E7297F"/>
    <w:rsid w:val="00E73C65"/>
    <w:rsid w:val="00E741A1"/>
    <w:rsid w:val="00E74C8C"/>
    <w:rsid w:val="00E772D8"/>
    <w:rsid w:val="00E77ADD"/>
    <w:rsid w:val="00E80362"/>
    <w:rsid w:val="00E811FE"/>
    <w:rsid w:val="00E81E3D"/>
    <w:rsid w:val="00E849FB"/>
    <w:rsid w:val="00E85D60"/>
    <w:rsid w:val="00E86337"/>
    <w:rsid w:val="00E86EAE"/>
    <w:rsid w:val="00E9272A"/>
    <w:rsid w:val="00E931F5"/>
    <w:rsid w:val="00E931FD"/>
    <w:rsid w:val="00E933A5"/>
    <w:rsid w:val="00E93B39"/>
    <w:rsid w:val="00E93FDD"/>
    <w:rsid w:val="00E9423B"/>
    <w:rsid w:val="00E95165"/>
    <w:rsid w:val="00E9605B"/>
    <w:rsid w:val="00E966E3"/>
    <w:rsid w:val="00E968B2"/>
    <w:rsid w:val="00E97AB9"/>
    <w:rsid w:val="00E97BC1"/>
    <w:rsid w:val="00E97E10"/>
    <w:rsid w:val="00EA0459"/>
    <w:rsid w:val="00EA086B"/>
    <w:rsid w:val="00EA139A"/>
    <w:rsid w:val="00EA1B47"/>
    <w:rsid w:val="00EA3924"/>
    <w:rsid w:val="00EA4491"/>
    <w:rsid w:val="00EA4755"/>
    <w:rsid w:val="00EA4EBA"/>
    <w:rsid w:val="00EA50E2"/>
    <w:rsid w:val="00EA5AC9"/>
    <w:rsid w:val="00EA7014"/>
    <w:rsid w:val="00EB265A"/>
    <w:rsid w:val="00EB3425"/>
    <w:rsid w:val="00EB3F2D"/>
    <w:rsid w:val="00EB41FD"/>
    <w:rsid w:val="00EB4A69"/>
    <w:rsid w:val="00EB52D7"/>
    <w:rsid w:val="00EB5838"/>
    <w:rsid w:val="00EB5DBD"/>
    <w:rsid w:val="00EB5F4B"/>
    <w:rsid w:val="00EB70C2"/>
    <w:rsid w:val="00EC0F12"/>
    <w:rsid w:val="00EC0FE8"/>
    <w:rsid w:val="00EC46A8"/>
    <w:rsid w:val="00EC4AB0"/>
    <w:rsid w:val="00EC4D1C"/>
    <w:rsid w:val="00EC5038"/>
    <w:rsid w:val="00EC56D6"/>
    <w:rsid w:val="00EC5EF0"/>
    <w:rsid w:val="00EC65B8"/>
    <w:rsid w:val="00EC73B4"/>
    <w:rsid w:val="00EC7C22"/>
    <w:rsid w:val="00ED075D"/>
    <w:rsid w:val="00ED08E4"/>
    <w:rsid w:val="00ED0A4E"/>
    <w:rsid w:val="00ED0D64"/>
    <w:rsid w:val="00ED114C"/>
    <w:rsid w:val="00ED1308"/>
    <w:rsid w:val="00ED3390"/>
    <w:rsid w:val="00ED3562"/>
    <w:rsid w:val="00ED47CF"/>
    <w:rsid w:val="00ED5E94"/>
    <w:rsid w:val="00ED619E"/>
    <w:rsid w:val="00ED6EB2"/>
    <w:rsid w:val="00ED75C7"/>
    <w:rsid w:val="00ED785A"/>
    <w:rsid w:val="00ED7F27"/>
    <w:rsid w:val="00EE05FE"/>
    <w:rsid w:val="00EE17B5"/>
    <w:rsid w:val="00EE1FEB"/>
    <w:rsid w:val="00EE21F4"/>
    <w:rsid w:val="00EE5238"/>
    <w:rsid w:val="00EE7D50"/>
    <w:rsid w:val="00EF0212"/>
    <w:rsid w:val="00EF0F4B"/>
    <w:rsid w:val="00EF1579"/>
    <w:rsid w:val="00EF1B33"/>
    <w:rsid w:val="00EF1F73"/>
    <w:rsid w:val="00EF237A"/>
    <w:rsid w:val="00EF4C8D"/>
    <w:rsid w:val="00EF782F"/>
    <w:rsid w:val="00EF7CD6"/>
    <w:rsid w:val="00F00AA8"/>
    <w:rsid w:val="00F00D99"/>
    <w:rsid w:val="00F02ACE"/>
    <w:rsid w:val="00F0433E"/>
    <w:rsid w:val="00F058FD"/>
    <w:rsid w:val="00F05C39"/>
    <w:rsid w:val="00F07424"/>
    <w:rsid w:val="00F0744C"/>
    <w:rsid w:val="00F07D5F"/>
    <w:rsid w:val="00F12658"/>
    <w:rsid w:val="00F13F30"/>
    <w:rsid w:val="00F147F9"/>
    <w:rsid w:val="00F1501A"/>
    <w:rsid w:val="00F15951"/>
    <w:rsid w:val="00F15AA1"/>
    <w:rsid w:val="00F16020"/>
    <w:rsid w:val="00F1605C"/>
    <w:rsid w:val="00F1669E"/>
    <w:rsid w:val="00F167EB"/>
    <w:rsid w:val="00F177E3"/>
    <w:rsid w:val="00F21E0D"/>
    <w:rsid w:val="00F21E35"/>
    <w:rsid w:val="00F24526"/>
    <w:rsid w:val="00F24C1C"/>
    <w:rsid w:val="00F26148"/>
    <w:rsid w:val="00F303DA"/>
    <w:rsid w:val="00F30B2E"/>
    <w:rsid w:val="00F322CA"/>
    <w:rsid w:val="00F32D74"/>
    <w:rsid w:val="00F332CF"/>
    <w:rsid w:val="00F357EB"/>
    <w:rsid w:val="00F35E63"/>
    <w:rsid w:val="00F3684A"/>
    <w:rsid w:val="00F4053C"/>
    <w:rsid w:val="00F409F0"/>
    <w:rsid w:val="00F40A17"/>
    <w:rsid w:val="00F40D89"/>
    <w:rsid w:val="00F41CC2"/>
    <w:rsid w:val="00F43676"/>
    <w:rsid w:val="00F438D7"/>
    <w:rsid w:val="00F458CA"/>
    <w:rsid w:val="00F45C6F"/>
    <w:rsid w:val="00F50C10"/>
    <w:rsid w:val="00F523EA"/>
    <w:rsid w:val="00F52A26"/>
    <w:rsid w:val="00F52C7E"/>
    <w:rsid w:val="00F553FC"/>
    <w:rsid w:val="00F55971"/>
    <w:rsid w:val="00F55A78"/>
    <w:rsid w:val="00F55BED"/>
    <w:rsid w:val="00F56AEE"/>
    <w:rsid w:val="00F5729E"/>
    <w:rsid w:val="00F57956"/>
    <w:rsid w:val="00F62062"/>
    <w:rsid w:val="00F6348A"/>
    <w:rsid w:val="00F641B2"/>
    <w:rsid w:val="00F64418"/>
    <w:rsid w:val="00F65036"/>
    <w:rsid w:val="00F65147"/>
    <w:rsid w:val="00F652BB"/>
    <w:rsid w:val="00F65F24"/>
    <w:rsid w:val="00F663E4"/>
    <w:rsid w:val="00F66AF2"/>
    <w:rsid w:val="00F674B5"/>
    <w:rsid w:val="00F67658"/>
    <w:rsid w:val="00F701D2"/>
    <w:rsid w:val="00F70645"/>
    <w:rsid w:val="00F706D6"/>
    <w:rsid w:val="00F71034"/>
    <w:rsid w:val="00F73479"/>
    <w:rsid w:val="00F7384B"/>
    <w:rsid w:val="00F73CE8"/>
    <w:rsid w:val="00F74E8F"/>
    <w:rsid w:val="00F77FFA"/>
    <w:rsid w:val="00F8012C"/>
    <w:rsid w:val="00F8097F"/>
    <w:rsid w:val="00F82012"/>
    <w:rsid w:val="00F854D3"/>
    <w:rsid w:val="00F87100"/>
    <w:rsid w:val="00F900D2"/>
    <w:rsid w:val="00F910BD"/>
    <w:rsid w:val="00F93027"/>
    <w:rsid w:val="00F9320E"/>
    <w:rsid w:val="00F944C5"/>
    <w:rsid w:val="00F945B3"/>
    <w:rsid w:val="00F96208"/>
    <w:rsid w:val="00F96664"/>
    <w:rsid w:val="00F974B1"/>
    <w:rsid w:val="00F97807"/>
    <w:rsid w:val="00FA094B"/>
    <w:rsid w:val="00FA0A47"/>
    <w:rsid w:val="00FA13C6"/>
    <w:rsid w:val="00FA1E4A"/>
    <w:rsid w:val="00FA2C64"/>
    <w:rsid w:val="00FA4F12"/>
    <w:rsid w:val="00FA52F1"/>
    <w:rsid w:val="00FB0722"/>
    <w:rsid w:val="00FB1D58"/>
    <w:rsid w:val="00FB1DDB"/>
    <w:rsid w:val="00FB1E8D"/>
    <w:rsid w:val="00FB2808"/>
    <w:rsid w:val="00FB2916"/>
    <w:rsid w:val="00FB37EA"/>
    <w:rsid w:val="00FB3CF4"/>
    <w:rsid w:val="00FB65AC"/>
    <w:rsid w:val="00FB6C98"/>
    <w:rsid w:val="00FB6CD4"/>
    <w:rsid w:val="00FB7E12"/>
    <w:rsid w:val="00FC18D3"/>
    <w:rsid w:val="00FC239B"/>
    <w:rsid w:val="00FC2513"/>
    <w:rsid w:val="00FC31DB"/>
    <w:rsid w:val="00FC3EFD"/>
    <w:rsid w:val="00FC4BD9"/>
    <w:rsid w:val="00FC4D9A"/>
    <w:rsid w:val="00FC501B"/>
    <w:rsid w:val="00FC5D3C"/>
    <w:rsid w:val="00FC6B1B"/>
    <w:rsid w:val="00FC71E8"/>
    <w:rsid w:val="00FC776E"/>
    <w:rsid w:val="00FD0122"/>
    <w:rsid w:val="00FD0A75"/>
    <w:rsid w:val="00FD2521"/>
    <w:rsid w:val="00FD27C5"/>
    <w:rsid w:val="00FD2B91"/>
    <w:rsid w:val="00FD3549"/>
    <w:rsid w:val="00FD497B"/>
    <w:rsid w:val="00FD57AC"/>
    <w:rsid w:val="00FD5BB3"/>
    <w:rsid w:val="00FD7BF5"/>
    <w:rsid w:val="00FE0478"/>
    <w:rsid w:val="00FE0C89"/>
    <w:rsid w:val="00FE2984"/>
    <w:rsid w:val="00FE29E1"/>
    <w:rsid w:val="00FE3446"/>
    <w:rsid w:val="00FE4072"/>
    <w:rsid w:val="00FE4202"/>
    <w:rsid w:val="00FE4393"/>
    <w:rsid w:val="00FE5E6D"/>
    <w:rsid w:val="00FE718A"/>
    <w:rsid w:val="00FF0555"/>
    <w:rsid w:val="00FF1256"/>
    <w:rsid w:val="00FF296D"/>
    <w:rsid w:val="00FF4A2A"/>
    <w:rsid w:val="00FF4F7F"/>
    <w:rsid w:val="00FF5F97"/>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qFormat/>
    <w:rsid w:val="00D35565"/>
    <w:pPr>
      <w:keepNext/>
      <w:keepLines/>
      <w:tabs>
        <w:tab w:val="left" w:pos="720"/>
      </w:tabs>
    </w:pPr>
    <w:rPr>
      <w:sz w:val="26"/>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D35565"/>
    <w:rPr>
      <w:sz w:val="26"/>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 w:type="paragraph" w:styleId="NormalWeb">
    <w:name w:val="Normal (Web)"/>
    <w:basedOn w:val="Normal"/>
    <w:uiPriority w:val="99"/>
    <w:unhideWhenUsed/>
    <w:rsid w:val="00DD0FE1"/>
    <w:pPr>
      <w:spacing w:before="100" w:beforeAutospacing="1" w:after="100" w:afterAutospacing="1"/>
    </w:pPr>
  </w:style>
  <w:style w:type="character" w:styleId="CommentReference">
    <w:name w:val="annotation reference"/>
    <w:basedOn w:val="DefaultParagraphFont"/>
    <w:rsid w:val="003742D4"/>
    <w:rPr>
      <w:sz w:val="16"/>
      <w:szCs w:val="16"/>
    </w:rPr>
  </w:style>
  <w:style w:type="paragraph" w:styleId="CommentText">
    <w:name w:val="annotation text"/>
    <w:basedOn w:val="Normal"/>
    <w:link w:val="CommentTextChar"/>
    <w:rsid w:val="003742D4"/>
    <w:rPr>
      <w:sz w:val="20"/>
      <w:szCs w:val="20"/>
    </w:rPr>
  </w:style>
  <w:style w:type="character" w:customStyle="1" w:styleId="CommentTextChar">
    <w:name w:val="Comment Text Char"/>
    <w:basedOn w:val="DefaultParagraphFont"/>
    <w:link w:val="CommentText"/>
    <w:rsid w:val="003742D4"/>
  </w:style>
  <w:style w:type="paragraph" w:styleId="CommentSubject">
    <w:name w:val="annotation subject"/>
    <w:basedOn w:val="CommentText"/>
    <w:next w:val="CommentText"/>
    <w:link w:val="CommentSubjectChar"/>
    <w:rsid w:val="003742D4"/>
    <w:rPr>
      <w:b/>
      <w:bCs/>
    </w:rPr>
  </w:style>
  <w:style w:type="character" w:customStyle="1" w:styleId="CommentSubjectChar">
    <w:name w:val="Comment Subject Char"/>
    <w:basedOn w:val="CommentTextChar"/>
    <w:link w:val="CommentSubject"/>
    <w:rsid w:val="003742D4"/>
    <w:rPr>
      <w:b/>
      <w:bCs/>
    </w:rPr>
  </w:style>
  <w:style w:type="character" w:styleId="Emphasis">
    <w:name w:val="Emphasis"/>
    <w:basedOn w:val="DefaultParagraphFont"/>
    <w:qFormat/>
    <w:rsid w:val="00B16C25"/>
    <w:rPr>
      <w:i/>
      <w:iCs/>
    </w:rPr>
  </w:style>
  <w:style w:type="paragraph" w:styleId="Header">
    <w:name w:val="header"/>
    <w:basedOn w:val="Normal"/>
    <w:link w:val="HeaderChar"/>
    <w:rsid w:val="00084A43"/>
    <w:pPr>
      <w:tabs>
        <w:tab w:val="center" w:pos="4680"/>
        <w:tab w:val="right" w:pos="9360"/>
      </w:tabs>
    </w:pPr>
  </w:style>
  <w:style w:type="character" w:customStyle="1" w:styleId="HeaderChar">
    <w:name w:val="Header Char"/>
    <w:basedOn w:val="DefaultParagraphFont"/>
    <w:link w:val="Header"/>
    <w:rsid w:val="00084A43"/>
    <w:rPr>
      <w:sz w:val="24"/>
      <w:szCs w:val="24"/>
    </w:rPr>
  </w:style>
  <w:style w:type="paragraph" w:styleId="Revision">
    <w:name w:val="Revision"/>
    <w:hidden/>
    <w:uiPriority w:val="99"/>
    <w:semiHidden/>
    <w:rsid w:val="001259FC"/>
    <w:rPr>
      <w:sz w:val="24"/>
      <w:szCs w:val="24"/>
    </w:rPr>
  </w:style>
  <w:style w:type="paragraph" w:styleId="ListParagraph">
    <w:name w:val="List Paragraph"/>
    <w:basedOn w:val="Normal"/>
    <w:uiPriority w:val="34"/>
    <w:qFormat/>
    <w:rsid w:val="008664AC"/>
    <w:pPr>
      <w:ind w:left="720"/>
      <w:contextualSpacing/>
    </w:pPr>
  </w:style>
  <w:style w:type="paragraph" w:styleId="NormalIndent">
    <w:name w:val="Normal Indent"/>
    <w:basedOn w:val="Normal"/>
    <w:rsid w:val="008F6C87"/>
    <w:pPr>
      <w:ind w:left="720"/>
    </w:pPr>
  </w:style>
  <w:style w:type="paragraph" w:styleId="PlainText">
    <w:name w:val="Plain Text"/>
    <w:basedOn w:val="Normal"/>
    <w:link w:val="PlainTextChar"/>
    <w:uiPriority w:val="99"/>
    <w:unhideWhenUsed/>
    <w:rsid w:val="002D20A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D20AC"/>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qFormat/>
    <w:rsid w:val="00D35565"/>
    <w:pPr>
      <w:keepNext/>
      <w:keepLines/>
      <w:tabs>
        <w:tab w:val="left" w:pos="720"/>
      </w:tabs>
    </w:pPr>
    <w:rPr>
      <w:sz w:val="26"/>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D35565"/>
    <w:rPr>
      <w:sz w:val="26"/>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 w:type="paragraph" w:styleId="NormalWeb">
    <w:name w:val="Normal (Web)"/>
    <w:basedOn w:val="Normal"/>
    <w:uiPriority w:val="99"/>
    <w:unhideWhenUsed/>
    <w:rsid w:val="00DD0FE1"/>
    <w:pPr>
      <w:spacing w:before="100" w:beforeAutospacing="1" w:after="100" w:afterAutospacing="1"/>
    </w:pPr>
  </w:style>
  <w:style w:type="character" w:styleId="CommentReference">
    <w:name w:val="annotation reference"/>
    <w:basedOn w:val="DefaultParagraphFont"/>
    <w:rsid w:val="003742D4"/>
    <w:rPr>
      <w:sz w:val="16"/>
      <w:szCs w:val="16"/>
    </w:rPr>
  </w:style>
  <w:style w:type="paragraph" w:styleId="CommentText">
    <w:name w:val="annotation text"/>
    <w:basedOn w:val="Normal"/>
    <w:link w:val="CommentTextChar"/>
    <w:rsid w:val="003742D4"/>
    <w:rPr>
      <w:sz w:val="20"/>
      <w:szCs w:val="20"/>
    </w:rPr>
  </w:style>
  <w:style w:type="character" w:customStyle="1" w:styleId="CommentTextChar">
    <w:name w:val="Comment Text Char"/>
    <w:basedOn w:val="DefaultParagraphFont"/>
    <w:link w:val="CommentText"/>
    <w:rsid w:val="003742D4"/>
  </w:style>
  <w:style w:type="paragraph" w:styleId="CommentSubject">
    <w:name w:val="annotation subject"/>
    <w:basedOn w:val="CommentText"/>
    <w:next w:val="CommentText"/>
    <w:link w:val="CommentSubjectChar"/>
    <w:rsid w:val="003742D4"/>
    <w:rPr>
      <w:b/>
      <w:bCs/>
    </w:rPr>
  </w:style>
  <w:style w:type="character" w:customStyle="1" w:styleId="CommentSubjectChar">
    <w:name w:val="Comment Subject Char"/>
    <w:basedOn w:val="CommentTextChar"/>
    <w:link w:val="CommentSubject"/>
    <w:rsid w:val="003742D4"/>
    <w:rPr>
      <w:b/>
      <w:bCs/>
    </w:rPr>
  </w:style>
  <w:style w:type="character" w:styleId="Emphasis">
    <w:name w:val="Emphasis"/>
    <w:basedOn w:val="DefaultParagraphFont"/>
    <w:qFormat/>
    <w:rsid w:val="00B16C25"/>
    <w:rPr>
      <w:i/>
      <w:iCs/>
    </w:rPr>
  </w:style>
  <w:style w:type="paragraph" w:styleId="Header">
    <w:name w:val="header"/>
    <w:basedOn w:val="Normal"/>
    <w:link w:val="HeaderChar"/>
    <w:rsid w:val="00084A43"/>
    <w:pPr>
      <w:tabs>
        <w:tab w:val="center" w:pos="4680"/>
        <w:tab w:val="right" w:pos="9360"/>
      </w:tabs>
    </w:pPr>
  </w:style>
  <w:style w:type="character" w:customStyle="1" w:styleId="HeaderChar">
    <w:name w:val="Header Char"/>
    <w:basedOn w:val="DefaultParagraphFont"/>
    <w:link w:val="Header"/>
    <w:rsid w:val="00084A43"/>
    <w:rPr>
      <w:sz w:val="24"/>
      <w:szCs w:val="24"/>
    </w:rPr>
  </w:style>
  <w:style w:type="paragraph" w:styleId="Revision">
    <w:name w:val="Revision"/>
    <w:hidden/>
    <w:uiPriority w:val="99"/>
    <w:semiHidden/>
    <w:rsid w:val="001259FC"/>
    <w:rPr>
      <w:sz w:val="24"/>
      <w:szCs w:val="24"/>
    </w:rPr>
  </w:style>
  <w:style w:type="paragraph" w:styleId="ListParagraph">
    <w:name w:val="List Paragraph"/>
    <w:basedOn w:val="Normal"/>
    <w:uiPriority w:val="34"/>
    <w:qFormat/>
    <w:rsid w:val="008664AC"/>
    <w:pPr>
      <w:ind w:left="720"/>
      <w:contextualSpacing/>
    </w:pPr>
  </w:style>
  <w:style w:type="paragraph" w:styleId="NormalIndent">
    <w:name w:val="Normal Indent"/>
    <w:basedOn w:val="Normal"/>
    <w:rsid w:val="008F6C87"/>
    <w:pPr>
      <w:ind w:left="720"/>
    </w:pPr>
  </w:style>
  <w:style w:type="paragraph" w:styleId="PlainText">
    <w:name w:val="Plain Text"/>
    <w:basedOn w:val="Normal"/>
    <w:link w:val="PlainTextChar"/>
    <w:uiPriority w:val="99"/>
    <w:unhideWhenUsed/>
    <w:rsid w:val="002D20A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D20AC"/>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016370">
      <w:bodyDiv w:val="1"/>
      <w:marLeft w:val="0"/>
      <w:marRight w:val="0"/>
      <w:marTop w:val="0"/>
      <w:marBottom w:val="0"/>
      <w:divBdr>
        <w:top w:val="none" w:sz="0" w:space="0" w:color="auto"/>
        <w:left w:val="none" w:sz="0" w:space="0" w:color="auto"/>
        <w:bottom w:val="none" w:sz="0" w:space="0" w:color="auto"/>
        <w:right w:val="none" w:sz="0" w:space="0" w:color="auto"/>
      </w:divBdr>
      <w:divsChild>
        <w:div w:id="1850440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730329">
      <w:bodyDiv w:val="1"/>
      <w:marLeft w:val="0"/>
      <w:marRight w:val="0"/>
      <w:marTop w:val="0"/>
      <w:marBottom w:val="0"/>
      <w:divBdr>
        <w:top w:val="none" w:sz="0" w:space="0" w:color="auto"/>
        <w:left w:val="none" w:sz="0" w:space="0" w:color="auto"/>
        <w:bottom w:val="none" w:sz="0" w:space="0" w:color="auto"/>
        <w:right w:val="none" w:sz="0" w:space="0" w:color="auto"/>
      </w:divBdr>
      <w:divsChild>
        <w:div w:id="105154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61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22A9-300D-4F9F-9ED5-CDBF9693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2015-07-01T15:27:00Z</dcterms:created>
  <dcterms:modified xsi:type="dcterms:W3CDTF">2015-07-30T12:09:00Z</dcterms:modified>
</cp:coreProperties>
</file>