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C95AD3" w:rsidRDefault="00F43BD3" w:rsidP="00D51895">
      <w:pPr>
        <w:pStyle w:val="Title"/>
        <w:rPr>
          <w:rFonts w:ascii="Times New Roman" w:hAnsi="Times New Roman"/>
          <w:szCs w:val="24"/>
        </w:rPr>
      </w:pPr>
      <w:r w:rsidRPr="00C95AD3">
        <w:rPr>
          <w:rFonts w:ascii="Times New Roman" w:hAnsi="Times New Roman"/>
          <w:szCs w:val="24"/>
        </w:rPr>
        <w:t>BEFORE THE</w:t>
      </w:r>
    </w:p>
    <w:p w:rsidR="00F43BD3" w:rsidRPr="00C95AD3" w:rsidRDefault="00F43BD3" w:rsidP="00D51895">
      <w:pPr>
        <w:pStyle w:val="Subtitle"/>
        <w:rPr>
          <w:rFonts w:ascii="Times New Roman" w:hAnsi="Times New Roman"/>
          <w:szCs w:val="24"/>
        </w:rPr>
      </w:pPr>
      <w:r w:rsidRPr="00C95AD3">
        <w:rPr>
          <w:rFonts w:ascii="Times New Roman" w:hAnsi="Times New Roman"/>
          <w:szCs w:val="24"/>
        </w:rPr>
        <w:t>PENNSYLVANIA PUBLIC UTILITY COMMISSION</w:t>
      </w:r>
    </w:p>
    <w:p w:rsidR="00F43BD3" w:rsidRPr="00C95AD3" w:rsidRDefault="00F43BD3" w:rsidP="00D51895">
      <w:pPr>
        <w:rPr>
          <w:sz w:val="24"/>
          <w:szCs w:val="24"/>
        </w:rPr>
      </w:pPr>
    </w:p>
    <w:p w:rsidR="00F43BD3" w:rsidRDefault="00F43BD3" w:rsidP="00D51895">
      <w:pPr>
        <w:rPr>
          <w:sz w:val="24"/>
          <w:szCs w:val="24"/>
        </w:rPr>
      </w:pPr>
    </w:p>
    <w:p w:rsidR="00E84C21" w:rsidRPr="00C95AD3" w:rsidRDefault="00E84C21" w:rsidP="00D51895">
      <w:pPr>
        <w:rPr>
          <w:sz w:val="24"/>
          <w:szCs w:val="24"/>
        </w:rPr>
      </w:pPr>
    </w:p>
    <w:p w:rsidR="00E30248" w:rsidRPr="00C95AD3" w:rsidRDefault="00E30248" w:rsidP="00D51895">
      <w:pPr>
        <w:jc w:val="both"/>
        <w:rPr>
          <w:sz w:val="24"/>
          <w:szCs w:val="24"/>
        </w:rPr>
      </w:pPr>
      <w:r w:rsidRPr="00C95AD3">
        <w:rPr>
          <w:sz w:val="24"/>
          <w:szCs w:val="24"/>
        </w:rPr>
        <w:t>Vivian Brockington</w:t>
      </w:r>
      <w:r w:rsidRPr="00C95AD3">
        <w:rPr>
          <w:sz w:val="24"/>
          <w:szCs w:val="24"/>
        </w:rPr>
        <w:tab/>
      </w:r>
      <w:r w:rsidRPr="00C95AD3">
        <w:rPr>
          <w:sz w:val="24"/>
          <w:szCs w:val="24"/>
        </w:rPr>
        <w:tab/>
      </w:r>
      <w:r w:rsidRPr="00C95AD3">
        <w:rPr>
          <w:sz w:val="24"/>
          <w:szCs w:val="24"/>
        </w:rPr>
        <w:tab/>
      </w:r>
      <w:r w:rsidRPr="00C95AD3">
        <w:rPr>
          <w:sz w:val="24"/>
          <w:szCs w:val="24"/>
        </w:rPr>
        <w:tab/>
        <w:t>:</w:t>
      </w:r>
    </w:p>
    <w:p w:rsidR="00E30248" w:rsidRPr="00C95AD3" w:rsidRDefault="00E30248" w:rsidP="00D51895">
      <w:pPr>
        <w:jc w:val="both"/>
        <w:rPr>
          <w:sz w:val="24"/>
          <w:szCs w:val="24"/>
        </w:rPr>
      </w:pP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t>:</w:t>
      </w:r>
    </w:p>
    <w:p w:rsidR="00E30248" w:rsidRPr="00C95AD3" w:rsidRDefault="00E30248" w:rsidP="00D51895">
      <w:pPr>
        <w:jc w:val="both"/>
        <w:rPr>
          <w:sz w:val="24"/>
          <w:szCs w:val="24"/>
        </w:rPr>
      </w:pPr>
      <w:r w:rsidRPr="00C95AD3">
        <w:rPr>
          <w:sz w:val="24"/>
          <w:szCs w:val="24"/>
        </w:rPr>
        <w:tab/>
        <w:t>v.</w:t>
      </w: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t>:</w:t>
      </w:r>
      <w:r w:rsidRPr="00C95AD3">
        <w:rPr>
          <w:sz w:val="24"/>
          <w:szCs w:val="24"/>
        </w:rPr>
        <w:tab/>
      </w:r>
      <w:r w:rsidRPr="00C95AD3">
        <w:rPr>
          <w:sz w:val="24"/>
          <w:szCs w:val="24"/>
        </w:rPr>
        <w:tab/>
        <w:t>F-2013-2344242</w:t>
      </w:r>
    </w:p>
    <w:p w:rsidR="00E30248" w:rsidRPr="00C95AD3" w:rsidRDefault="00E30248" w:rsidP="00D51895">
      <w:pPr>
        <w:jc w:val="both"/>
        <w:rPr>
          <w:sz w:val="24"/>
          <w:szCs w:val="24"/>
        </w:rPr>
      </w:pP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t>:</w:t>
      </w:r>
    </w:p>
    <w:p w:rsidR="00E30248" w:rsidRPr="00C95AD3" w:rsidRDefault="00E30248" w:rsidP="00D51895">
      <w:pPr>
        <w:jc w:val="both"/>
        <w:rPr>
          <w:sz w:val="24"/>
          <w:szCs w:val="24"/>
        </w:rPr>
      </w:pPr>
      <w:r w:rsidRPr="00C95AD3">
        <w:rPr>
          <w:sz w:val="24"/>
          <w:szCs w:val="24"/>
        </w:rPr>
        <w:t>PECO Energy Company</w:t>
      </w:r>
      <w:r w:rsidRPr="00C95AD3">
        <w:rPr>
          <w:sz w:val="24"/>
          <w:szCs w:val="24"/>
        </w:rPr>
        <w:tab/>
      </w:r>
      <w:r w:rsidRPr="00C95AD3">
        <w:rPr>
          <w:sz w:val="24"/>
          <w:szCs w:val="24"/>
        </w:rPr>
        <w:tab/>
      </w:r>
      <w:r w:rsidRPr="00C95AD3">
        <w:rPr>
          <w:sz w:val="24"/>
          <w:szCs w:val="24"/>
        </w:rPr>
        <w:tab/>
        <w:t>:</w:t>
      </w:r>
    </w:p>
    <w:p w:rsidR="00E30248" w:rsidRPr="00C95AD3" w:rsidRDefault="00E30248" w:rsidP="00D51895">
      <w:pPr>
        <w:rPr>
          <w:sz w:val="24"/>
          <w:szCs w:val="24"/>
        </w:rPr>
      </w:pPr>
    </w:p>
    <w:p w:rsidR="00030CCE" w:rsidRPr="00C95AD3" w:rsidRDefault="00030CCE" w:rsidP="00D51895">
      <w:pPr>
        <w:rPr>
          <w:sz w:val="24"/>
          <w:szCs w:val="24"/>
        </w:rPr>
      </w:pPr>
    </w:p>
    <w:p w:rsidR="00F43BD3" w:rsidRPr="00C95AD3" w:rsidRDefault="00F43BD3" w:rsidP="00D51895">
      <w:pPr>
        <w:rPr>
          <w:sz w:val="24"/>
          <w:szCs w:val="24"/>
        </w:rPr>
      </w:pPr>
    </w:p>
    <w:p w:rsidR="00F43BD3" w:rsidRPr="00C95AD3" w:rsidRDefault="00F43BD3" w:rsidP="00D51895">
      <w:pPr>
        <w:pStyle w:val="Heading1"/>
        <w:rPr>
          <w:rFonts w:ascii="Times New Roman" w:hAnsi="Times New Roman"/>
          <w:szCs w:val="24"/>
        </w:rPr>
      </w:pPr>
      <w:r w:rsidRPr="00C95AD3">
        <w:rPr>
          <w:rFonts w:ascii="Times New Roman" w:hAnsi="Times New Roman"/>
          <w:szCs w:val="24"/>
        </w:rPr>
        <w:t>INITIAL DECISION</w:t>
      </w:r>
    </w:p>
    <w:p w:rsidR="00F43BD3" w:rsidRPr="00C95AD3" w:rsidRDefault="00F43BD3" w:rsidP="00D51895">
      <w:pPr>
        <w:jc w:val="center"/>
        <w:rPr>
          <w:b/>
          <w:sz w:val="24"/>
          <w:szCs w:val="24"/>
        </w:rPr>
      </w:pPr>
    </w:p>
    <w:p w:rsidR="00F43BD3" w:rsidRPr="00C95AD3" w:rsidRDefault="00F43BD3" w:rsidP="00D51895">
      <w:pPr>
        <w:jc w:val="center"/>
        <w:rPr>
          <w:b/>
          <w:sz w:val="24"/>
          <w:szCs w:val="24"/>
        </w:rPr>
      </w:pPr>
    </w:p>
    <w:p w:rsidR="00F43BD3" w:rsidRPr="00C95AD3" w:rsidRDefault="00F43BD3" w:rsidP="00D51895">
      <w:pPr>
        <w:pStyle w:val="Heading2"/>
        <w:rPr>
          <w:rFonts w:ascii="Times New Roman" w:hAnsi="Times New Roman"/>
          <w:b w:val="0"/>
          <w:szCs w:val="24"/>
        </w:rPr>
      </w:pPr>
      <w:r w:rsidRPr="00C95AD3">
        <w:rPr>
          <w:rFonts w:ascii="Times New Roman" w:hAnsi="Times New Roman"/>
          <w:b w:val="0"/>
          <w:szCs w:val="24"/>
        </w:rPr>
        <w:t>Before</w:t>
      </w:r>
    </w:p>
    <w:p w:rsidR="00F43BD3" w:rsidRPr="00C95AD3" w:rsidRDefault="00F43BD3" w:rsidP="00D51895">
      <w:pPr>
        <w:jc w:val="center"/>
        <w:rPr>
          <w:sz w:val="24"/>
          <w:szCs w:val="24"/>
        </w:rPr>
      </w:pPr>
      <w:r w:rsidRPr="00C95AD3">
        <w:rPr>
          <w:sz w:val="24"/>
          <w:szCs w:val="24"/>
        </w:rPr>
        <w:t>C</w:t>
      </w:r>
      <w:r w:rsidR="00562D4F" w:rsidRPr="00C95AD3">
        <w:rPr>
          <w:sz w:val="24"/>
          <w:szCs w:val="24"/>
        </w:rPr>
        <w:t>ynthia Williams Fordham</w:t>
      </w:r>
    </w:p>
    <w:p w:rsidR="00F43BD3" w:rsidRPr="00C95AD3" w:rsidRDefault="00F43BD3" w:rsidP="00D51895">
      <w:pPr>
        <w:jc w:val="center"/>
        <w:rPr>
          <w:sz w:val="24"/>
          <w:szCs w:val="24"/>
        </w:rPr>
      </w:pPr>
      <w:r w:rsidRPr="00C95AD3">
        <w:rPr>
          <w:sz w:val="24"/>
          <w:szCs w:val="24"/>
        </w:rPr>
        <w:t>Administrative Law Judge</w:t>
      </w:r>
    </w:p>
    <w:p w:rsidR="00F43BD3" w:rsidRPr="00C95AD3" w:rsidRDefault="00F43BD3" w:rsidP="00D51895">
      <w:pPr>
        <w:rPr>
          <w:b/>
          <w:sz w:val="24"/>
          <w:szCs w:val="24"/>
        </w:rPr>
      </w:pPr>
    </w:p>
    <w:p w:rsidR="00F43BD3" w:rsidRPr="00C95AD3" w:rsidRDefault="00F43BD3" w:rsidP="00D51895">
      <w:pPr>
        <w:rPr>
          <w:b/>
          <w:sz w:val="24"/>
          <w:szCs w:val="24"/>
        </w:rPr>
      </w:pPr>
    </w:p>
    <w:p w:rsidR="00357BC9" w:rsidRPr="00C95AD3" w:rsidRDefault="00380549" w:rsidP="00D51895">
      <w:pPr>
        <w:pStyle w:val="Heading1"/>
        <w:spacing w:line="360" w:lineRule="auto"/>
        <w:jc w:val="left"/>
        <w:rPr>
          <w:rFonts w:ascii="Times New Roman" w:hAnsi="Times New Roman"/>
          <w:b w:val="0"/>
          <w:szCs w:val="24"/>
          <w:u w:val="none"/>
        </w:rPr>
      </w:pPr>
      <w:r w:rsidRPr="00C95AD3">
        <w:rPr>
          <w:rFonts w:ascii="Times New Roman" w:hAnsi="Times New Roman"/>
          <w:b w:val="0"/>
          <w:szCs w:val="24"/>
          <w:u w:val="none"/>
        </w:rPr>
        <w:tab/>
      </w:r>
      <w:r w:rsidRPr="00C95AD3">
        <w:rPr>
          <w:rFonts w:ascii="Times New Roman" w:hAnsi="Times New Roman"/>
          <w:b w:val="0"/>
          <w:szCs w:val="24"/>
          <w:u w:val="none"/>
        </w:rPr>
        <w:tab/>
        <w:t xml:space="preserve">The Complainant asked </w:t>
      </w:r>
      <w:r w:rsidR="00B365ED">
        <w:rPr>
          <w:rFonts w:ascii="Times New Roman" w:hAnsi="Times New Roman"/>
          <w:b w:val="0"/>
          <w:szCs w:val="24"/>
          <w:u w:val="none"/>
        </w:rPr>
        <w:t xml:space="preserve">for a </w:t>
      </w:r>
      <w:r w:rsidRPr="00C95AD3">
        <w:rPr>
          <w:rFonts w:ascii="Times New Roman" w:hAnsi="Times New Roman"/>
          <w:b w:val="0"/>
          <w:szCs w:val="24"/>
          <w:u w:val="none"/>
        </w:rPr>
        <w:t xml:space="preserve">payment arrangement.  Based on the evidence in the record, the </w:t>
      </w:r>
      <w:r w:rsidR="00B365ED">
        <w:rPr>
          <w:rFonts w:ascii="Times New Roman" w:hAnsi="Times New Roman"/>
          <w:b w:val="0"/>
          <w:szCs w:val="24"/>
          <w:u w:val="none"/>
        </w:rPr>
        <w:t xml:space="preserve">Complainant’s request for </w:t>
      </w:r>
      <w:r w:rsidRPr="00C95AD3">
        <w:rPr>
          <w:rFonts w:ascii="Times New Roman" w:hAnsi="Times New Roman"/>
          <w:b w:val="0"/>
          <w:szCs w:val="24"/>
          <w:u w:val="none"/>
        </w:rPr>
        <w:t xml:space="preserve">a payment arrangement is </w:t>
      </w:r>
      <w:r w:rsidR="00B365ED">
        <w:rPr>
          <w:rFonts w:ascii="Times New Roman" w:hAnsi="Times New Roman"/>
          <w:b w:val="0"/>
          <w:szCs w:val="24"/>
          <w:u w:val="none"/>
        </w:rPr>
        <w:t>deni</w:t>
      </w:r>
      <w:r w:rsidRPr="00C95AD3">
        <w:rPr>
          <w:rFonts w:ascii="Times New Roman" w:hAnsi="Times New Roman"/>
          <w:b w:val="0"/>
          <w:szCs w:val="24"/>
          <w:u w:val="none"/>
        </w:rPr>
        <w:t>ed</w:t>
      </w:r>
      <w:r w:rsidR="007A6806">
        <w:rPr>
          <w:rFonts w:ascii="Times New Roman" w:hAnsi="Times New Roman"/>
          <w:b w:val="0"/>
          <w:szCs w:val="24"/>
          <w:u w:val="none"/>
        </w:rPr>
        <w:t xml:space="preserve"> because </w:t>
      </w:r>
      <w:r w:rsidR="007A6806">
        <w:rPr>
          <w:rFonts w:ascii="Times New Roman" w:hAnsi="Times New Roman"/>
          <w:b w:val="0"/>
          <w:szCs w:val="24"/>
          <w:u w:val="none"/>
        </w:rPr>
        <w:t>of her poor payment history and because</w:t>
      </w:r>
      <w:r w:rsidR="007A6806">
        <w:rPr>
          <w:rFonts w:ascii="Times New Roman" w:hAnsi="Times New Roman"/>
          <w:b w:val="0"/>
          <w:szCs w:val="24"/>
          <w:u w:val="none"/>
        </w:rPr>
        <w:t xml:space="preserve"> there was</w:t>
      </w:r>
      <w:r w:rsidR="00A30184">
        <w:rPr>
          <w:rFonts w:ascii="Times New Roman" w:hAnsi="Times New Roman"/>
          <w:b w:val="0"/>
          <w:szCs w:val="24"/>
          <w:u w:val="none"/>
        </w:rPr>
        <w:t xml:space="preserve"> </w:t>
      </w:r>
      <w:r w:rsidR="007A6806">
        <w:rPr>
          <w:rFonts w:ascii="Times New Roman" w:hAnsi="Times New Roman"/>
          <w:b w:val="0"/>
          <w:szCs w:val="24"/>
          <w:u w:val="none"/>
        </w:rPr>
        <w:t>meter</w:t>
      </w:r>
      <w:r w:rsidR="007A6806">
        <w:rPr>
          <w:rFonts w:ascii="Times New Roman" w:hAnsi="Times New Roman"/>
          <w:b w:val="0"/>
          <w:szCs w:val="24"/>
          <w:u w:val="none"/>
        </w:rPr>
        <w:t xml:space="preserve"> </w:t>
      </w:r>
      <w:r w:rsidR="00B365ED">
        <w:rPr>
          <w:rFonts w:ascii="Times New Roman" w:hAnsi="Times New Roman"/>
          <w:b w:val="0"/>
          <w:szCs w:val="24"/>
          <w:u w:val="none"/>
        </w:rPr>
        <w:t>tampering at the service address</w:t>
      </w:r>
      <w:r w:rsidRPr="00C95AD3">
        <w:rPr>
          <w:rFonts w:ascii="Times New Roman" w:hAnsi="Times New Roman"/>
          <w:b w:val="0"/>
          <w:szCs w:val="24"/>
          <w:u w:val="none"/>
        </w:rPr>
        <w:t>.</w:t>
      </w:r>
    </w:p>
    <w:p w:rsidR="00380549" w:rsidRPr="00C95AD3" w:rsidRDefault="00380549" w:rsidP="00D51895">
      <w:pPr>
        <w:rPr>
          <w:sz w:val="24"/>
          <w:szCs w:val="24"/>
        </w:rPr>
      </w:pPr>
    </w:p>
    <w:p w:rsidR="00F43BD3" w:rsidRPr="00C95AD3" w:rsidRDefault="00F43BD3" w:rsidP="00D51895">
      <w:pPr>
        <w:pStyle w:val="Heading1"/>
        <w:tabs>
          <w:tab w:val="left" w:pos="1980"/>
        </w:tabs>
        <w:spacing w:line="360" w:lineRule="auto"/>
        <w:rPr>
          <w:rFonts w:ascii="Times New Roman" w:hAnsi="Times New Roman"/>
          <w:b w:val="0"/>
          <w:szCs w:val="24"/>
        </w:rPr>
      </w:pPr>
      <w:r w:rsidRPr="00C95AD3">
        <w:rPr>
          <w:rFonts w:ascii="Times New Roman" w:hAnsi="Times New Roman"/>
          <w:b w:val="0"/>
          <w:szCs w:val="24"/>
        </w:rPr>
        <w:t>HISTORY OF THE PROCEEDING</w:t>
      </w:r>
    </w:p>
    <w:p w:rsidR="000529B8" w:rsidRPr="00C95AD3" w:rsidRDefault="000529B8" w:rsidP="00D51895">
      <w:pPr>
        <w:rPr>
          <w:sz w:val="24"/>
          <w:szCs w:val="24"/>
        </w:rPr>
      </w:pPr>
    </w:p>
    <w:p w:rsidR="00F16958" w:rsidRPr="00C95AD3" w:rsidRDefault="00E30248" w:rsidP="00D51895">
      <w:pPr>
        <w:spacing w:line="360" w:lineRule="auto"/>
        <w:rPr>
          <w:sz w:val="24"/>
          <w:szCs w:val="24"/>
        </w:rPr>
      </w:pPr>
      <w:r w:rsidRPr="00C95AD3">
        <w:rPr>
          <w:sz w:val="24"/>
          <w:szCs w:val="24"/>
        </w:rPr>
        <w:tab/>
      </w:r>
      <w:r w:rsidRPr="00C95AD3">
        <w:rPr>
          <w:sz w:val="24"/>
          <w:szCs w:val="24"/>
        </w:rPr>
        <w:tab/>
        <w:t>On January 8, 2013, Vivian Brockington (“Brockington”</w:t>
      </w:r>
      <w:r w:rsidR="007A6806">
        <w:rPr>
          <w:sz w:val="24"/>
          <w:szCs w:val="24"/>
        </w:rPr>
        <w:t xml:space="preserve"> or</w:t>
      </w:r>
      <w:r w:rsidRPr="00C95AD3">
        <w:rPr>
          <w:sz w:val="24"/>
          <w:szCs w:val="24"/>
        </w:rPr>
        <w:t xml:space="preserve"> “Complainant”) filed a complaint with the Public Utility Commission (“Commission”) against PECO Energy Company (“PECO” or “Respondent”), alleging, among other things, the following:  that she wants a payment arrangement; that the Respondent terminated her electric service even though she made a partial payment; and that she never tampered with the meter.</w:t>
      </w:r>
      <w:r w:rsidR="007A6806">
        <w:rPr>
          <w:sz w:val="24"/>
          <w:szCs w:val="24"/>
        </w:rPr>
        <w:t xml:space="preserve">  This is a timely appeal of a Bureau of Consumer Services decision.</w:t>
      </w:r>
      <w:r w:rsidR="007A6806">
        <w:rPr>
          <w:rStyle w:val="FootnoteReference"/>
          <w:sz w:val="24"/>
          <w:szCs w:val="24"/>
        </w:rPr>
        <w:footnoteReference w:id="1"/>
      </w:r>
    </w:p>
    <w:p w:rsidR="00E30248" w:rsidRPr="00C95AD3" w:rsidRDefault="00E30248" w:rsidP="00D51895">
      <w:pPr>
        <w:spacing w:line="360" w:lineRule="auto"/>
        <w:rPr>
          <w:sz w:val="24"/>
          <w:szCs w:val="24"/>
        </w:rPr>
      </w:pPr>
    </w:p>
    <w:p w:rsidR="00E84C21" w:rsidRDefault="00E30248" w:rsidP="00D51895">
      <w:pPr>
        <w:spacing w:line="360" w:lineRule="auto"/>
        <w:rPr>
          <w:sz w:val="24"/>
          <w:szCs w:val="24"/>
        </w:rPr>
      </w:pPr>
      <w:r w:rsidRPr="00C95AD3">
        <w:rPr>
          <w:sz w:val="24"/>
          <w:szCs w:val="24"/>
        </w:rPr>
        <w:tab/>
      </w:r>
      <w:r w:rsidRPr="00C95AD3">
        <w:rPr>
          <w:sz w:val="24"/>
          <w:szCs w:val="24"/>
        </w:rPr>
        <w:tab/>
        <w:t xml:space="preserve">On January 24, 2013, the Respondent filed an answer.  The Respondent averred that the Complainant’s electric service was terminated for a past due balance of $181.28 on </w:t>
      </w:r>
    </w:p>
    <w:p w:rsidR="00CC7970" w:rsidRDefault="00E30248" w:rsidP="00D51895">
      <w:pPr>
        <w:spacing w:line="360" w:lineRule="auto"/>
        <w:rPr>
          <w:sz w:val="24"/>
          <w:szCs w:val="24"/>
        </w:rPr>
      </w:pPr>
      <w:r w:rsidRPr="00C95AD3">
        <w:rPr>
          <w:sz w:val="24"/>
          <w:szCs w:val="24"/>
        </w:rPr>
        <w:lastRenderedPageBreak/>
        <w:t>June 26, 2012.  A technician went to the Complainant’s property in August 2012 and found that the service had been restored without authorization.  The Respondent admitted that it assessed a $920.00 tampering fee to the Complainant’s account.  The</w:t>
      </w:r>
      <w:r w:rsidR="007A6806">
        <w:rPr>
          <w:sz w:val="24"/>
          <w:szCs w:val="24"/>
        </w:rPr>
        <w:t xml:space="preserve"> Respondent “finaled the</w:t>
      </w:r>
      <w:r w:rsidRPr="00C95AD3">
        <w:rPr>
          <w:sz w:val="24"/>
          <w:szCs w:val="24"/>
        </w:rPr>
        <w:t xml:space="preserve"> </w:t>
      </w:r>
      <w:r w:rsidR="003F5A09" w:rsidRPr="00C95AD3">
        <w:rPr>
          <w:sz w:val="24"/>
          <w:szCs w:val="24"/>
        </w:rPr>
        <w:t>account</w:t>
      </w:r>
      <w:r w:rsidR="003F5A09">
        <w:rPr>
          <w:sz w:val="24"/>
          <w:szCs w:val="24"/>
        </w:rPr>
        <w:t>” on</w:t>
      </w:r>
      <w:r w:rsidRPr="00C95AD3">
        <w:rPr>
          <w:sz w:val="24"/>
          <w:szCs w:val="24"/>
        </w:rPr>
        <w:t xml:space="preserve"> </w:t>
      </w:r>
    </w:p>
    <w:p w:rsidR="00E30248" w:rsidRPr="00C95AD3" w:rsidRDefault="00E30248" w:rsidP="00D51895">
      <w:pPr>
        <w:spacing w:line="360" w:lineRule="auto"/>
        <w:rPr>
          <w:sz w:val="24"/>
          <w:szCs w:val="24"/>
        </w:rPr>
      </w:pPr>
      <w:r w:rsidRPr="00C95AD3">
        <w:rPr>
          <w:sz w:val="24"/>
          <w:szCs w:val="24"/>
        </w:rPr>
        <w:t>August 14, 2012 and sent the Complainant a final bill.  On August 20, 2012, the Complainant submitted a medical certificat</w:t>
      </w:r>
      <w:r w:rsidR="0023743A">
        <w:rPr>
          <w:sz w:val="24"/>
          <w:szCs w:val="24"/>
        </w:rPr>
        <w:t>e</w:t>
      </w:r>
      <w:r w:rsidRPr="00C95AD3">
        <w:rPr>
          <w:sz w:val="24"/>
          <w:szCs w:val="24"/>
        </w:rPr>
        <w:t xml:space="preserve"> and the service was restored on August 21, 2012, under a new account number.  The Respondent referred to a Bureau of Consumer Services</w:t>
      </w:r>
      <w:r w:rsidR="003F5A09">
        <w:rPr>
          <w:sz w:val="24"/>
          <w:szCs w:val="24"/>
        </w:rPr>
        <w:t>’</w:t>
      </w:r>
      <w:r w:rsidRPr="00C95AD3">
        <w:rPr>
          <w:sz w:val="24"/>
          <w:szCs w:val="24"/>
        </w:rPr>
        <w:t xml:space="preserve"> decision</w:t>
      </w:r>
      <w:r w:rsidR="003F5A09">
        <w:rPr>
          <w:sz w:val="24"/>
          <w:szCs w:val="24"/>
        </w:rPr>
        <w:t xml:space="preserve"> (#003007193)</w:t>
      </w:r>
      <w:r w:rsidRPr="00C95AD3">
        <w:rPr>
          <w:sz w:val="24"/>
          <w:szCs w:val="24"/>
        </w:rPr>
        <w:t xml:space="preserve">, dated December 6, 2012, dismissing the informal complaint contesting the tampering fee.  </w:t>
      </w:r>
    </w:p>
    <w:p w:rsidR="00E30248" w:rsidRPr="00C95AD3" w:rsidRDefault="00E30248" w:rsidP="00D51895">
      <w:pPr>
        <w:rPr>
          <w:sz w:val="24"/>
          <w:szCs w:val="24"/>
        </w:rPr>
      </w:pPr>
    </w:p>
    <w:p w:rsidR="00CD3C80" w:rsidRPr="00C95AD3" w:rsidRDefault="00CD3C80" w:rsidP="00D51895">
      <w:pPr>
        <w:pStyle w:val="BodyText"/>
        <w:tabs>
          <w:tab w:val="clear" w:pos="198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 xml:space="preserve">By hearing notice dated </w:t>
      </w:r>
      <w:r w:rsidR="00E30248" w:rsidRPr="00C95AD3">
        <w:rPr>
          <w:rFonts w:ascii="Times New Roman" w:hAnsi="Times New Roman"/>
          <w:szCs w:val="24"/>
        </w:rPr>
        <w:t>March 14, 2013</w:t>
      </w:r>
      <w:r w:rsidRPr="00C95AD3">
        <w:rPr>
          <w:rFonts w:ascii="Times New Roman" w:hAnsi="Times New Roman"/>
          <w:szCs w:val="24"/>
        </w:rPr>
        <w:t xml:space="preserve">, this case was assigned to the undersigned and the hearing was scheduled for </w:t>
      </w:r>
      <w:r w:rsidR="00E30248" w:rsidRPr="00C95AD3">
        <w:rPr>
          <w:rFonts w:ascii="Times New Roman" w:hAnsi="Times New Roman"/>
          <w:szCs w:val="24"/>
        </w:rPr>
        <w:t>Monday, April 29, 2013</w:t>
      </w:r>
      <w:r w:rsidR="0023743A">
        <w:rPr>
          <w:rFonts w:ascii="Times New Roman" w:hAnsi="Times New Roman"/>
          <w:szCs w:val="24"/>
        </w:rPr>
        <w:t>,</w:t>
      </w:r>
      <w:r w:rsidR="00E30248" w:rsidRPr="00C95AD3">
        <w:rPr>
          <w:rFonts w:ascii="Times New Roman" w:hAnsi="Times New Roman"/>
          <w:szCs w:val="24"/>
        </w:rPr>
        <w:t xml:space="preserve"> </w:t>
      </w:r>
      <w:r w:rsidRPr="00C95AD3">
        <w:rPr>
          <w:rFonts w:ascii="Times New Roman" w:hAnsi="Times New Roman"/>
          <w:szCs w:val="24"/>
        </w:rPr>
        <w:t xml:space="preserve">at </w:t>
      </w:r>
      <w:r w:rsidR="001F2819" w:rsidRPr="00C95AD3">
        <w:rPr>
          <w:rFonts w:ascii="Times New Roman" w:hAnsi="Times New Roman"/>
          <w:szCs w:val="24"/>
        </w:rPr>
        <w:t>9</w:t>
      </w:r>
      <w:r w:rsidRPr="00C95AD3">
        <w:rPr>
          <w:rFonts w:ascii="Times New Roman" w:hAnsi="Times New Roman"/>
          <w:szCs w:val="24"/>
        </w:rPr>
        <w:t xml:space="preserve">:30 </w:t>
      </w:r>
      <w:r w:rsidR="001F2819" w:rsidRPr="00C95AD3">
        <w:rPr>
          <w:rFonts w:ascii="Times New Roman" w:hAnsi="Times New Roman"/>
          <w:szCs w:val="24"/>
        </w:rPr>
        <w:t>a</w:t>
      </w:r>
      <w:r w:rsidRPr="00C95AD3">
        <w:rPr>
          <w:rFonts w:ascii="Times New Roman" w:hAnsi="Times New Roman"/>
          <w:szCs w:val="24"/>
        </w:rPr>
        <w:t>.m.</w:t>
      </w:r>
    </w:p>
    <w:p w:rsidR="001F2819" w:rsidRPr="00C95AD3" w:rsidRDefault="001F2819" w:rsidP="00D51895">
      <w:pPr>
        <w:spacing w:line="360" w:lineRule="auto"/>
        <w:rPr>
          <w:sz w:val="24"/>
          <w:szCs w:val="24"/>
        </w:rPr>
      </w:pPr>
    </w:p>
    <w:p w:rsidR="00BA4C64" w:rsidRPr="00C95AD3" w:rsidRDefault="00803359" w:rsidP="00D51895">
      <w:pPr>
        <w:rPr>
          <w:sz w:val="24"/>
          <w:szCs w:val="24"/>
        </w:rPr>
      </w:pPr>
      <w:r w:rsidRPr="00C95AD3">
        <w:rPr>
          <w:sz w:val="24"/>
          <w:szCs w:val="24"/>
        </w:rPr>
        <w:tab/>
      </w:r>
      <w:r w:rsidRPr="00C95AD3">
        <w:rPr>
          <w:sz w:val="24"/>
          <w:szCs w:val="24"/>
        </w:rPr>
        <w:tab/>
      </w:r>
      <w:r w:rsidR="001A1694" w:rsidRPr="00C95AD3">
        <w:rPr>
          <w:sz w:val="24"/>
          <w:szCs w:val="24"/>
        </w:rPr>
        <w:t xml:space="preserve">The undersigned </w:t>
      </w:r>
      <w:r w:rsidR="00BA4C64" w:rsidRPr="00C95AD3">
        <w:rPr>
          <w:sz w:val="24"/>
          <w:szCs w:val="24"/>
        </w:rPr>
        <w:t xml:space="preserve">sent </w:t>
      </w:r>
      <w:r w:rsidR="001F2819" w:rsidRPr="00C95AD3">
        <w:rPr>
          <w:sz w:val="24"/>
          <w:szCs w:val="24"/>
        </w:rPr>
        <w:t xml:space="preserve">a </w:t>
      </w:r>
      <w:r w:rsidR="00BA4C64" w:rsidRPr="00C95AD3">
        <w:rPr>
          <w:sz w:val="24"/>
          <w:szCs w:val="24"/>
        </w:rPr>
        <w:t>P</w:t>
      </w:r>
      <w:r w:rsidR="001A1694" w:rsidRPr="00C95AD3">
        <w:rPr>
          <w:sz w:val="24"/>
          <w:szCs w:val="24"/>
        </w:rPr>
        <w:t xml:space="preserve">rehearing </w:t>
      </w:r>
      <w:r w:rsidR="00BA4C64" w:rsidRPr="00C95AD3">
        <w:rPr>
          <w:sz w:val="24"/>
          <w:szCs w:val="24"/>
        </w:rPr>
        <w:t>O</w:t>
      </w:r>
      <w:r w:rsidR="001A1694" w:rsidRPr="00C95AD3">
        <w:rPr>
          <w:sz w:val="24"/>
          <w:szCs w:val="24"/>
        </w:rPr>
        <w:t>rder</w:t>
      </w:r>
      <w:r w:rsidR="00BA4C64" w:rsidRPr="00C95AD3">
        <w:rPr>
          <w:sz w:val="24"/>
          <w:szCs w:val="24"/>
        </w:rPr>
        <w:t xml:space="preserve"> </w:t>
      </w:r>
      <w:r w:rsidR="001F2819" w:rsidRPr="00C95AD3">
        <w:rPr>
          <w:sz w:val="24"/>
          <w:szCs w:val="24"/>
        </w:rPr>
        <w:t>t</w:t>
      </w:r>
      <w:r w:rsidR="00BA4C64" w:rsidRPr="00C95AD3">
        <w:rPr>
          <w:sz w:val="24"/>
          <w:szCs w:val="24"/>
        </w:rPr>
        <w:t xml:space="preserve">o the parties on </w:t>
      </w:r>
      <w:r w:rsidR="00E30248" w:rsidRPr="00C95AD3">
        <w:rPr>
          <w:sz w:val="24"/>
          <w:szCs w:val="24"/>
        </w:rPr>
        <w:t>April 3, 2013</w:t>
      </w:r>
      <w:r w:rsidR="00BA4C64" w:rsidRPr="00C95AD3">
        <w:rPr>
          <w:sz w:val="24"/>
          <w:szCs w:val="24"/>
        </w:rPr>
        <w:t>.</w:t>
      </w:r>
    </w:p>
    <w:p w:rsidR="00BA4C64" w:rsidRPr="00C95AD3" w:rsidRDefault="00BA4C64" w:rsidP="00D51895">
      <w:pPr>
        <w:pStyle w:val="BodyText"/>
        <w:tabs>
          <w:tab w:val="clear" w:pos="1980"/>
          <w:tab w:val="left" w:pos="0"/>
        </w:tabs>
        <w:spacing w:line="360" w:lineRule="auto"/>
        <w:jc w:val="left"/>
        <w:rPr>
          <w:rFonts w:ascii="Times New Roman" w:hAnsi="Times New Roman"/>
          <w:szCs w:val="24"/>
        </w:rPr>
      </w:pPr>
    </w:p>
    <w:p w:rsidR="00E30248" w:rsidRPr="00C95AD3" w:rsidRDefault="00BA4C64" w:rsidP="00D51895">
      <w:pPr>
        <w:spacing w:line="360" w:lineRule="auto"/>
        <w:rPr>
          <w:sz w:val="24"/>
          <w:szCs w:val="24"/>
        </w:rPr>
      </w:pPr>
      <w:r w:rsidRPr="00C95AD3">
        <w:rPr>
          <w:sz w:val="24"/>
          <w:szCs w:val="24"/>
        </w:rPr>
        <w:tab/>
      </w:r>
      <w:r w:rsidRPr="00C95AD3">
        <w:rPr>
          <w:sz w:val="24"/>
          <w:szCs w:val="24"/>
        </w:rPr>
        <w:tab/>
        <w:t xml:space="preserve">A hearing was held in this matter on </w:t>
      </w:r>
      <w:r w:rsidR="00B87D88" w:rsidRPr="00C95AD3">
        <w:rPr>
          <w:sz w:val="24"/>
          <w:szCs w:val="24"/>
        </w:rPr>
        <w:t>April 29, 2013</w:t>
      </w:r>
      <w:r w:rsidRPr="00C95AD3">
        <w:rPr>
          <w:sz w:val="24"/>
          <w:szCs w:val="24"/>
        </w:rPr>
        <w:t xml:space="preserve">, in the Philadelphia Regional Office before Administrative Law Judge </w:t>
      </w:r>
      <w:r w:rsidR="00B87D88" w:rsidRPr="00C95AD3">
        <w:rPr>
          <w:sz w:val="24"/>
          <w:szCs w:val="24"/>
        </w:rPr>
        <w:t>Cynthia Williams Fordham</w:t>
      </w:r>
      <w:r w:rsidRPr="00C95AD3">
        <w:rPr>
          <w:sz w:val="24"/>
          <w:szCs w:val="24"/>
        </w:rPr>
        <w:t xml:space="preserve">.  </w:t>
      </w:r>
      <w:r w:rsidR="00A80418" w:rsidRPr="00C95AD3">
        <w:rPr>
          <w:sz w:val="24"/>
          <w:szCs w:val="24"/>
        </w:rPr>
        <w:t xml:space="preserve">The Complainant, </w:t>
      </w:r>
      <w:r w:rsidR="00E30248" w:rsidRPr="00C95AD3">
        <w:rPr>
          <w:sz w:val="24"/>
          <w:szCs w:val="24"/>
        </w:rPr>
        <w:t>Vivian Brockington</w:t>
      </w:r>
      <w:r w:rsidR="001F65C2" w:rsidRPr="00C95AD3">
        <w:rPr>
          <w:sz w:val="24"/>
          <w:szCs w:val="24"/>
        </w:rPr>
        <w:t>,</w:t>
      </w:r>
      <w:r w:rsidR="00A80418" w:rsidRPr="00C95AD3">
        <w:rPr>
          <w:sz w:val="24"/>
          <w:szCs w:val="24"/>
        </w:rPr>
        <w:t xml:space="preserve"> testified in support of the complaint</w:t>
      </w:r>
      <w:r w:rsidR="001F2819" w:rsidRPr="00C95AD3">
        <w:rPr>
          <w:sz w:val="24"/>
          <w:szCs w:val="24"/>
        </w:rPr>
        <w:t>.</w:t>
      </w:r>
      <w:r w:rsidR="00B36E6D" w:rsidRPr="00C95AD3">
        <w:rPr>
          <w:sz w:val="24"/>
          <w:szCs w:val="24"/>
        </w:rPr>
        <w:t xml:space="preserve">  </w:t>
      </w:r>
      <w:r w:rsidR="00812F5B" w:rsidRPr="00C95AD3">
        <w:rPr>
          <w:sz w:val="24"/>
          <w:szCs w:val="24"/>
        </w:rPr>
        <w:t>Shawane L. Lee</w:t>
      </w:r>
      <w:r w:rsidR="00A80418" w:rsidRPr="00C95AD3">
        <w:rPr>
          <w:sz w:val="24"/>
          <w:szCs w:val="24"/>
        </w:rPr>
        <w:t>, Esquire, represented the Respondent.  The Respondent presented o</w:t>
      </w:r>
      <w:r w:rsidR="005C02CB" w:rsidRPr="00C95AD3">
        <w:rPr>
          <w:sz w:val="24"/>
          <w:szCs w:val="24"/>
        </w:rPr>
        <w:t>ne</w:t>
      </w:r>
      <w:r w:rsidR="00A80418" w:rsidRPr="00C95AD3">
        <w:rPr>
          <w:sz w:val="24"/>
          <w:szCs w:val="24"/>
        </w:rPr>
        <w:t xml:space="preserve"> witness</w:t>
      </w:r>
      <w:r w:rsidR="005C02CB" w:rsidRPr="00C95AD3">
        <w:rPr>
          <w:sz w:val="24"/>
          <w:szCs w:val="24"/>
        </w:rPr>
        <w:t xml:space="preserve">, </w:t>
      </w:r>
      <w:r w:rsidR="00B87D88" w:rsidRPr="00C95AD3">
        <w:rPr>
          <w:sz w:val="24"/>
          <w:szCs w:val="24"/>
        </w:rPr>
        <w:t>Teresa Ferrier</w:t>
      </w:r>
      <w:r w:rsidR="00A80418" w:rsidRPr="00C95AD3">
        <w:rPr>
          <w:sz w:val="24"/>
          <w:szCs w:val="24"/>
        </w:rPr>
        <w:t xml:space="preserve">, a </w:t>
      </w:r>
      <w:r w:rsidR="005C02CB" w:rsidRPr="00C95AD3">
        <w:rPr>
          <w:sz w:val="24"/>
          <w:szCs w:val="24"/>
        </w:rPr>
        <w:t xml:space="preserve">senior </w:t>
      </w:r>
      <w:r w:rsidR="00A80418" w:rsidRPr="00C95AD3">
        <w:rPr>
          <w:sz w:val="24"/>
          <w:szCs w:val="24"/>
        </w:rPr>
        <w:t>regulatory assessor</w:t>
      </w:r>
      <w:r w:rsidR="00812F5B" w:rsidRPr="00C95AD3">
        <w:rPr>
          <w:sz w:val="24"/>
          <w:szCs w:val="24"/>
        </w:rPr>
        <w:t xml:space="preserve"> for the Respondent, </w:t>
      </w:r>
      <w:r w:rsidR="00A80418" w:rsidRPr="00C95AD3">
        <w:rPr>
          <w:sz w:val="24"/>
          <w:szCs w:val="24"/>
        </w:rPr>
        <w:t xml:space="preserve">who sponsored </w:t>
      </w:r>
      <w:r w:rsidR="00B87D88" w:rsidRPr="00C95AD3">
        <w:rPr>
          <w:sz w:val="24"/>
          <w:szCs w:val="24"/>
        </w:rPr>
        <w:t>two</w:t>
      </w:r>
      <w:r w:rsidR="00A80418" w:rsidRPr="00C95AD3">
        <w:rPr>
          <w:sz w:val="24"/>
          <w:szCs w:val="24"/>
        </w:rPr>
        <w:t xml:space="preserve"> exhibits: PECO Exhibit 1 </w:t>
      </w:r>
      <w:r w:rsidR="0023743A">
        <w:rPr>
          <w:sz w:val="24"/>
          <w:szCs w:val="24"/>
        </w:rPr>
        <w:t>–</w:t>
      </w:r>
      <w:r w:rsidR="00E30248" w:rsidRPr="00C95AD3">
        <w:rPr>
          <w:sz w:val="24"/>
          <w:szCs w:val="24"/>
        </w:rPr>
        <w:t xml:space="preserve"> </w:t>
      </w:r>
      <w:r w:rsidR="0023743A">
        <w:rPr>
          <w:sz w:val="24"/>
          <w:szCs w:val="24"/>
        </w:rPr>
        <w:t xml:space="preserve">the Complainant’s </w:t>
      </w:r>
      <w:r w:rsidR="00B87D88" w:rsidRPr="00C95AD3">
        <w:rPr>
          <w:sz w:val="24"/>
          <w:szCs w:val="24"/>
        </w:rPr>
        <w:t>Account Activity</w:t>
      </w:r>
      <w:r w:rsidR="00E30248" w:rsidRPr="00C95AD3">
        <w:rPr>
          <w:sz w:val="24"/>
          <w:szCs w:val="24"/>
        </w:rPr>
        <w:t xml:space="preserve"> </w:t>
      </w:r>
      <w:r w:rsidR="00B87D88" w:rsidRPr="00C95AD3">
        <w:rPr>
          <w:sz w:val="24"/>
          <w:szCs w:val="24"/>
        </w:rPr>
        <w:t>Statement</w:t>
      </w:r>
      <w:r w:rsidR="00E30248" w:rsidRPr="00C95AD3">
        <w:rPr>
          <w:sz w:val="24"/>
          <w:szCs w:val="24"/>
        </w:rPr>
        <w:t xml:space="preserve">; </w:t>
      </w:r>
      <w:r w:rsidR="0023743A">
        <w:rPr>
          <w:sz w:val="24"/>
          <w:szCs w:val="24"/>
        </w:rPr>
        <w:t xml:space="preserve">and </w:t>
      </w:r>
      <w:r w:rsidR="00E30248" w:rsidRPr="00C95AD3">
        <w:rPr>
          <w:sz w:val="24"/>
          <w:szCs w:val="24"/>
        </w:rPr>
        <w:t>PECO Exhibit 2 -</w:t>
      </w:r>
      <w:r w:rsidR="00B87D88" w:rsidRPr="00C95AD3">
        <w:rPr>
          <w:sz w:val="24"/>
          <w:szCs w:val="24"/>
        </w:rPr>
        <w:t xml:space="preserve"> </w:t>
      </w:r>
      <w:r w:rsidR="0023743A">
        <w:rPr>
          <w:sz w:val="24"/>
          <w:szCs w:val="24"/>
        </w:rPr>
        <w:t>the Complainant’s</w:t>
      </w:r>
      <w:r w:rsidR="00B87D88" w:rsidRPr="00C95AD3">
        <w:rPr>
          <w:sz w:val="24"/>
          <w:szCs w:val="24"/>
        </w:rPr>
        <w:t xml:space="preserve"> CAP History</w:t>
      </w:r>
      <w:r w:rsidR="0023743A">
        <w:rPr>
          <w:sz w:val="24"/>
          <w:szCs w:val="24"/>
        </w:rPr>
        <w:t>.</w:t>
      </w:r>
      <w:r w:rsidR="00B87D88" w:rsidRPr="00C95AD3">
        <w:rPr>
          <w:sz w:val="24"/>
          <w:szCs w:val="24"/>
        </w:rPr>
        <w:t xml:space="preserve"> </w:t>
      </w:r>
    </w:p>
    <w:p w:rsidR="007407B7" w:rsidRPr="00C95AD3" w:rsidRDefault="007407B7" w:rsidP="00D51895">
      <w:pPr>
        <w:spacing w:line="360" w:lineRule="auto"/>
        <w:rPr>
          <w:sz w:val="24"/>
          <w:szCs w:val="24"/>
        </w:rPr>
      </w:pPr>
    </w:p>
    <w:p w:rsidR="00A80418" w:rsidRPr="00C95AD3" w:rsidRDefault="00A80418" w:rsidP="00D51895">
      <w:pPr>
        <w:pStyle w:val="BodyText3"/>
        <w:rPr>
          <w:sz w:val="24"/>
          <w:szCs w:val="24"/>
        </w:rPr>
      </w:pPr>
      <w:r w:rsidRPr="00C95AD3">
        <w:rPr>
          <w:sz w:val="24"/>
          <w:szCs w:val="24"/>
        </w:rPr>
        <w:tab/>
      </w:r>
      <w:r w:rsidRPr="00C95AD3">
        <w:rPr>
          <w:sz w:val="24"/>
          <w:szCs w:val="24"/>
        </w:rPr>
        <w:tab/>
        <w:t xml:space="preserve">The record in this case consists of </w:t>
      </w:r>
      <w:r w:rsidR="00B87D88" w:rsidRPr="00C95AD3">
        <w:rPr>
          <w:sz w:val="24"/>
          <w:szCs w:val="24"/>
        </w:rPr>
        <w:t>30</w:t>
      </w:r>
      <w:r w:rsidR="005A7BDF" w:rsidRPr="00C95AD3">
        <w:rPr>
          <w:sz w:val="24"/>
          <w:szCs w:val="24"/>
        </w:rPr>
        <w:t>-</w:t>
      </w:r>
      <w:r w:rsidRPr="00C95AD3">
        <w:rPr>
          <w:sz w:val="24"/>
          <w:szCs w:val="24"/>
        </w:rPr>
        <w:t xml:space="preserve">page transcript and </w:t>
      </w:r>
      <w:r w:rsidR="00B87D88" w:rsidRPr="00C95AD3">
        <w:rPr>
          <w:sz w:val="24"/>
          <w:szCs w:val="24"/>
        </w:rPr>
        <w:t>two</w:t>
      </w:r>
      <w:r w:rsidR="00E2525A" w:rsidRPr="00C95AD3">
        <w:rPr>
          <w:sz w:val="24"/>
          <w:szCs w:val="24"/>
        </w:rPr>
        <w:t xml:space="preserve"> </w:t>
      </w:r>
      <w:r w:rsidRPr="00C95AD3">
        <w:rPr>
          <w:sz w:val="24"/>
          <w:szCs w:val="24"/>
        </w:rPr>
        <w:t>exhibits.</w:t>
      </w:r>
      <w:r w:rsidR="00A67306" w:rsidRPr="00C95AD3">
        <w:rPr>
          <w:sz w:val="24"/>
          <w:szCs w:val="24"/>
        </w:rPr>
        <w:t xml:space="preserve">  </w:t>
      </w:r>
      <w:r w:rsidR="00C07C90">
        <w:rPr>
          <w:sz w:val="24"/>
          <w:szCs w:val="24"/>
        </w:rPr>
        <w:t xml:space="preserve">All of exhibits were admitted.  </w:t>
      </w:r>
      <w:r w:rsidR="00A67306" w:rsidRPr="00C95AD3">
        <w:rPr>
          <w:sz w:val="24"/>
          <w:szCs w:val="24"/>
        </w:rPr>
        <w:t xml:space="preserve">The record closed on </w:t>
      </w:r>
      <w:r w:rsidR="00B87D88" w:rsidRPr="00C95AD3">
        <w:rPr>
          <w:sz w:val="24"/>
          <w:szCs w:val="24"/>
        </w:rPr>
        <w:t>May</w:t>
      </w:r>
      <w:r w:rsidR="00F97E39" w:rsidRPr="00C95AD3">
        <w:rPr>
          <w:sz w:val="24"/>
          <w:szCs w:val="24"/>
        </w:rPr>
        <w:t xml:space="preserve"> </w:t>
      </w:r>
      <w:r w:rsidR="00F16958" w:rsidRPr="00C95AD3">
        <w:rPr>
          <w:sz w:val="24"/>
          <w:szCs w:val="24"/>
        </w:rPr>
        <w:t>1</w:t>
      </w:r>
      <w:r w:rsidR="00B87D88" w:rsidRPr="00C95AD3">
        <w:rPr>
          <w:sz w:val="24"/>
          <w:szCs w:val="24"/>
        </w:rPr>
        <w:t>5</w:t>
      </w:r>
      <w:r w:rsidR="00A67306" w:rsidRPr="00C95AD3">
        <w:rPr>
          <w:sz w:val="24"/>
          <w:szCs w:val="24"/>
        </w:rPr>
        <w:t>, 20</w:t>
      </w:r>
      <w:r w:rsidR="00F97E39" w:rsidRPr="00C95AD3">
        <w:rPr>
          <w:sz w:val="24"/>
          <w:szCs w:val="24"/>
        </w:rPr>
        <w:t>1</w:t>
      </w:r>
      <w:r w:rsidR="00B87D88" w:rsidRPr="00C95AD3">
        <w:rPr>
          <w:sz w:val="24"/>
          <w:szCs w:val="24"/>
        </w:rPr>
        <w:t>3</w:t>
      </w:r>
      <w:r w:rsidR="00F97E39" w:rsidRPr="00C95AD3">
        <w:rPr>
          <w:sz w:val="24"/>
          <w:szCs w:val="24"/>
        </w:rPr>
        <w:t>, when the transcript was received</w:t>
      </w:r>
      <w:r w:rsidR="00A67306" w:rsidRPr="00C95AD3">
        <w:rPr>
          <w:sz w:val="24"/>
          <w:szCs w:val="24"/>
        </w:rPr>
        <w:t>.</w:t>
      </w:r>
    </w:p>
    <w:p w:rsidR="00B36E6D" w:rsidRPr="00C95AD3" w:rsidRDefault="00B36E6D" w:rsidP="00D51895">
      <w:pPr>
        <w:pStyle w:val="BodyText3"/>
        <w:rPr>
          <w:sz w:val="24"/>
          <w:szCs w:val="24"/>
        </w:rPr>
      </w:pPr>
    </w:p>
    <w:p w:rsidR="006B4BF6" w:rsidRPr="00C95AD3" w:rsidRDefault="006B4BF6" w:rsidP="00D51895">
      <w:pPr>
        <w:pStyle w:val="Heading1"/>
        <w:tabs>
          <w:tab w:val="left" w:pos="1980"/>
        </w:tabs>
        <w:spacing w:line="360" w:lineRule="auto"/>
        <w:rPr>
          <w:rFonts w:ascii="Times New Roman" w:hAnsi="Times New Roman"/>
          <w:b w:val="0"/>
          <w:szCs w:val="24"/>
          <w:u w:val="none"/>
        </w:rPr>
      </w:pPr>
      <w:r w:rsidRPr="00C95AD3">
        <w:rPr>
          <w:rFonts w:ascii="Times New Roman" w:hAnsi="Times New Roman"/>
          <w:b w:val="0"/>
          <w:szCs w:val="24"/>
        </w:rPr>
        <w:t>STIPULATIONS</w:t>
      </w:r>
    </w:p>
    <w:p w:rsidR="006B4BF6" w:rsidRPr="00C95AD3" w:rsidRDefault="006B4BF6" w:rsidP="00D51895">
      <w:pPr>
        <w:rPr>
          <w:sz w:val="24"/>
          <w:szCs w:val="24"/>
        </w:rPr>
      </w:pPr>
    </w:p>
    <w:p w:rsidR="006B4BF6" w:rsidRPr="00C95AD3" w:rsidRDefault="006B4BF6" w:rsidP="00D51895">
      <w:pPr>
        <w:spacing w:line="360" w:lineRule="auto"/>
        <w:rPr>
          <w:sz w:val="24"/>
          <w:szCs w:val="24"/>
        </w:rPr>
      </w:pPr>
      <w:r w:rsidRPr="00C95AD3">
        <w:rPr>
          <w:sz w:val="24"/>
          <w:szCs w:val="24"/>
        </w:rPr>
        <w:tab/>
      </w:r>
      <w:r w:rsidRPr="00C95AD3">
        <w:rPr>
          <w:sz w:val="24"/>
          <w:szCs w:val="24"/>
        </w:rPr>
        <w:tab/>
        <w:t xml:space="preserve">Prior to going on the record the parties engaged in settlement discussions and </w:t>
      </w:r>
      <w:r w:rsidR="0023743A">
        <w:rPr>
          <w:sz w:val="24"/>
          <w:szCs w:val="24"/>
        </w:rPr>
        <w:t>settled two issu</w:t>
      </w:r>
      <w:r w:rsidRPr="00C95AD3">
        <w:rPr>
          <w:sz w:val="24"/>
          <w:szCs w:val="24"/>
        </w:rPr>
        <w:t xml:space="preserve">es. </w:t>
      </w:r>
      <w:r w:rsidR="0023743A">
        <w:rPr>
          <w:sz w:val="24"/>
          <w:szCs w:val="24"/>
        </w:rPr>
        <w:t xml:space="preserve"> With res</w:t>
      </w:r>
      <w:r w:rsidR="00B20A15">
        <w:rPr>
          <w:sz w:val="24"/>
          <w:szCs w:val="24"/>
        </w:rPr>
        <w:t>pect to the tampering issue</w:t>
      </w:r>
      <w:r w:rsidR="0023743A">
        <w:rPr>
          <w:sz w:val="24"/>
          <w:szCs w:val="24"/>
        </w:rPr>
        <w:t>, t</w:t>
      </w:r>
      <w:r w:rsidR="0023743A" w:rsidRPr="00C95AD3">
        <w:rPr>
          <w:sz w:val="24"/>
          <w:szCs w:val="24"/>
        </w:rPr>
        <w:t xml:space="preserve">he </w:t>
      </w:r>
      <w:r w:rsidR="0023743A">
        <w:rPr>
          <w:sz w:val="24"/>
          <w:szCs w:val="24"/>
        </w:rPr>
        <w:t>parties</w:t>
      </w:r>
      <w:r w:rsidR="0023743A" w:rsidRPr="00C95AD3">
        <w:rPr>
          <w:sz w:val="24"/>
          <w:szCs w:val="24"/>
        </w:rPr>
        <w:t xml:space="preserve"> stipulate</w:t>
      </w:r>
      <w:r w:rsidR="0023743A">
        <w:rPr>
          <w:sz w:val="24"/>
          <w:szCs w:val="24"/>
        </w:rPr>
        <w:t>d</w:t>
      </w:r>
      <w:r w:rsidR="0023743A" w:rsidRPr="00C95AD3">
        <w:rPr>
          <w:sz w:val="24"/>
          <w:szCs w:val="24"/>
        </w:rPr>
        <w:t xml:space="preserve"> that there was tampering</w:t>
      </w:r>
      <w:r w:rsidR="0023743A">
        <w:rPr>
          <w:sz w:val="24"/>
          <w:szCs w:val="24"/>
        </w:rPr>
        <w:t xml:space="preserve"> at the Complainant’s property.  </w:t>
      </w:r>
      <w:r w:rsidR="00B365ED">
        <w:rPr>
          <w:sz w:val="24"/>
          <w:szCs w:val="24"/>
        </w:rPr>
        <w:t xml:space="preserve">(The Complainant stated that she did not tamper with the meter.)  </w:t>
      </w:r>
      <w:r w:rsidR="0023743A">
        <w:rPr>
          <w:sz w:val="24"/>
          <w:szCs w:val="24"/>
        </w:rPr>
        <w:t>In addition, they stipulated that the</w:t>
      </w:r>
      <w:r w:rsidR="0023743A" w:rsidRPr="00C95AD3">
        <w:rPr>
          <w:sz w:val="24"/>
          <w:szCs w:val="24"/>
        </w:rPr>
        <w:t xml:space="preserve"> Complainant owes the $920.00 tampering fee that was assessed to her account</w:t>
      </w:r>
      <w:r w:rsidR="0023743A">
        <w:rPr>
          <w:sz w:val="24"/>
          <w:szCs w:val="24"/>
        </w:rPr>
        <w:t xml:space="preserve"> (Tr. 4, 5).  Conce</w:t>
      </w:r>
      <w:r w:rsidR="0003282F">
        <w:rPr>
          <w:sz w:val="24"/>
          <w:szCs w:val="24"/>
        </w:rPr>
        <w:t>rning the termination issue</w:t>
      </w:r>
      <w:r w:rsidR="0023743A">
        <w:rPr>
          <w:sz w:val="24"/>
          <w:szCs w:val="24"/>
        </w:rPr>
        <w:t>, the parties stipulated</w:t>
      </w:r>
      <w:r w:rsidR="0023743A" w:rsidRPr="00C95AD3">
        <w:rPr>
          <w:sz w:val="24"/>
          <w:szCs w:val="24"/>
        </w:rPr>
        <w:t xml:space="preserve"> </w:t>
      </w:r>
      <w:r w:rsidR="0023743A" w:rsidRPr="00C95AD3">
        <w:rPr>
          <w:sz w:val="24"/>
          <w:szCs w:val="24"/>
        </w:rPr>
        <w:lastRenderedPageBreak/>
        <w:t xml:space="preserve">that the </w:t>
      </w:r>
      <w:r w:rsidR="0023743A">
        <w:rPr>
          <w:sz w:val="24"/>
          <w:szCs w:val="24"/>
        </w:rPr>
        <w:t xml:space="preserve">Respondent terminated the Complainant’s </w:t>
      </w:r>
      <w:r w:rsidR="0023743A" w:rsidRPr="00C95AD3">
        <w:rPr>
          <w:sz w:val="24"/>
          <w:szCs w:val="24"/>
        </w:rPr>
        <w:t>service</w:t>
      </w:r>
      <w:r w:rsidR="0023743A">
        <w:rPr>
          <w:sz w:val="24"/>
          <w:szCs w:val="24"/>
        </w:rPr>
        <w:t>.  The Complainant</w:t>
      </w:r>
      <w:r w:rsidR="0023743A" w:rsidRPr="00C95AD3">
        <w:rPr>
          <w:sz w:val="24"/>
          <w:szCs w:val="24"/>
        </w:rPr>
        <w:t xml:space="preserve"> </w:t>
      </w:r>
      <w:r w:rsidR="0023743A">
        <w:rPr>
          <w:sz w:val="24"/>
          <w:szCs w:val="24"/>
        </w:rPr>
        <w:t xml:space="preserve">did not want to contest the </w:t>
      </w:r>
      <w:r w:rsidR="0023743A" w:rsidRPr="00C95AD3">
        <w:rPr>
          <w:sz w:val="24"/>
          <w:szCs w:val="24"/>
        </w:rPr>
        <w:t>terminat</w:t>
      </w:r>
      <w:r w:rsidR="0023743A">
        <w:rPr>
          <w:sz w:val="24"/>
          <w:szCs w:val="24"/>
        </w:rPr>
        <w:t>ion</w:t>
      </w:r>
      <w:r w:rsidR="0023743A" w:rsidRPr="00C95AD3">
        <w:rPr>
          <w:sz w:val="24"/>
          <w:szCs w:val="24"/>
        </w:rPr>
        <w:t>.</w:t>
      </w:r>
    </w:p>
    <w:p w:rsidR="00B365ED" w:rsidRDefault="00B365ED" w:rsidP="00D51895">
      <w:pPr>
        <w:pStyle w:val="BodyText3"/>
        <w:rPr>
          <w:sz w:val="24"/>
          <w:szCs w:val="24"/>
        </w:rPr>
      </w:pPr>
    </w:p>
    <w:p w:rsidR="006B4BF6" w:rsidRDefault="0023743A" w:rsidP="00D51895">
      <w:pPr>
        <w:pStyle w:val="BodyText3"/>
        <w:rPr>
          <w:sz w:val="24"/>
          <w:szCs w:val="24"/>
        </w:rPr>
      </w:pPr>
      <w:r>
        <w:rPr>
          <w:sz w:val="24"/>
          <w:szCs w:val="24"/>
        </w:rPr>
        <w:tab/>
      </w:r>
      <w:r>
        <w:rPr>
          <w:sz w:val="24"/>
          <w:szCs w:val="24"/>
        </w:rPr>
        <w:tab/>
        <w:t xml:space="preserve">Consequently, the parties agreed that the remaining issue was the payment arrangement (Tr. 5, 6). </w:t>
      </w:r>
    </w:p>
    <w:p w:rsidR="004B47B0" w:rsidRDefault="004B47B0" w:rsidP="00D51895">
      <w:pPr>
        <w:pStyle w:val="BodyText3"/>
        <w:rPr>
          <w:sz w:val="24"/>
          <w:szCs w:val="24"/>
        </w:rPr>
      </w:pPr>
    </w:p>
    <w:p w:rsidR="00A80418" w:rsidRPr="00C95AD3" w:rsidRDefault="00A80418" w:rsidP="00D51895">
      <w:pPr>
        <w:pStyle w:val="Heading1"/>
        <w:tabs>
          <w:tab w:val="left" w:pos="1980"/>
        </w:tabs>
        <w:spacing w:line="360" w:lineRule="auto"/>
        <w:rPr>
          <w:rFonts w:ascii="Times New Roman" w:hAnsi="Times New Roman"/>
          <w:b w:val="0"/>
          <w:szCs w:val="24"/>
        </w:rPr>
      </w:pPr>
      <w:r w:rsidRPr="00C95AD3">
        <w:rPr>
          <w:rFonts w:ascii="Times New Roman" w:hAnsi="Times New Roman"/>
          <w:b w:val="0"/>
          <w:szCs w:val="24"/>
        </w:rPr>
        <w:t>FINDINGS OF FACT</w:t>
      </w:r>
    </w:p>
    <w:p w:rsidR="00A80418" w:rsidRPr="00C95AD3" w:rsidRDefault="00A80418" w:rsidP="00D51895">
      <w:pPr>
        <w:rPr>
          <w:sz w:val="24"/>
          <w:szCs w:val="24"/>
        </w:rPr>
      </w:pPr>
    </w:p>
    <w:p w:rsidR="00F16958" w:rsidRPr="00C95AD3" w:rsidRDefault="00A80418" w:rsidP="00D51895">
      <w:pPr>
        <w:spacing w:line="360" w:lineRule="auto"/>
        <w:rPr>
          <w:sz w:val="24"/>
          <w:szCs w:val="24"/>
        </w:rPr>
      </w:pPr>
      <w:r w:rsidRPr="00C95AD3">
        <w:rPr>
          <w:sz w:val="24"/>
          <w:szCs w:val="24"/>
        </w:rPr>
        <w:tab/>
      </w:r>
      <w:r w:rsidRPr="00C95AD3">
        <w:rPr>
          <w:sz w:val="24"/>
          <w:szCs w:val="24"/>
        </w:rPr>
        <w:tab/>
        <w:t>1.</w:t>
      </w:r>
      <w:r w:rsidRPr="00C95AD3">
        <w:rPr>
          <w:sz w:val="24"/>
          <w:szCs w:val="24"/>
        </w:rPr>
        <w:tab/>
        <w:t xml:space="preserve">The Complainant is </w:t>
      </w:r>
      <w:r w:rsidR="00B87D88" w:rsidRPr="00C95AD3">
        <w:rPr>
          <w:sz w:val="24"/>
          <w:szCs w:val="24"/>
        </w:rPr>
        <w:t>Vivian Brockington; 1425 South Vodges Street, Philadelphia, Pennsylvania 19143</w:t>
      </w:r>
      <w:r w:rsidR="00CC6D83">
        <w:rPr>
          <w:sz w:val="24"/>
          <w:szCs w:val="24"/>
        </w:rPr>
        <w:t xml:space="preserve"> (Service Address)</w:t>
      </w:r>
      <w:r w:rsidR="00B87D88" w:rsidRPr="00C95AD3">
        <w:rPr>
          <w:sz w:val="24"/>
          <w:szCs w:val="24"/>
        </w:rPr>
        <w:t>.</w:t>
      </w:r>
    </w:p>
    <w:p w:rsidR="00B87D88" w:rsidRPr="00C95AD3" w:rsidRDefault="00B87D88" w:rsidP="00D51895">
      <w:pPr>
        <w:spacing w:line="360" w:lineRule="auto"/>
        <w:rPr>
          <w:sz w:val="24"/>
          <w:szCs w:val="24"/>
        </w:rPr>
      </w:pPr>
    </w:p>
    <w:p w:rsidR="00A80418" w:rsidRPr="00C95AD3" w:rsidRDefault="00A80418"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2.</w:t>
      </w:r>
      <w:r w:rsidRPr="00C95AD3">
        <w:rPr>
          <w:rFonts w:ascii="Times New Roman" w:hAnsi="Times New Roman"/>
          <w:szCs w:val="24"/>
        </w:rPr>
        <w:tab/>
        <w:t>The Respondent in this proceeding is PECO Energy Company.</w:t>
      </w:r>
    </w:p>
    <w:p w:rsidR="000529B8" w:rsidRPr="00C95AD3" w:rsidRDefault="000529B8" w:rsidP="00D51895">
      <w:pPr>
        <w:pStyle w:val="BodyText"/>
        <w:tabs>
          <w:tab w:val="clear" w:pos="1980"/>
        </w:tabs>
        <w:spacing w:line="360" w:lineRule="auto"/>
        <w:jc w:val="left"/>
        <w:rPr>
          <w:rFonts w:ascii="Times New Roman" w:hAnsi="Times New Roman"/>
          <w:szCs w:val="24"/>
        </w:rPr>
      </w:pPr>
    </w:p>
    <w:p w:rsidR="005767CB" w:rsidRDefault="00903EA9"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3.</w:t>
      </w:r>
      <w:r w:rsidRPr="00C95AD3">
        <w:rPr>
          <w:rFonts w:ascii="Times New Roman" w:hAnsi="Times New Roman"/>
          <w:szCs w:val="24"/>
        </w:rPr>
        <w:tab/>
      </w:r>
      <w:r w:rsidR="004C4D91" w:rsidRPr="00C95AD3">
        <w:rPr>
          <w:rFonts w:ascii="Times New Roman" w:hAnsi="Times New Roman"/>
          <w:szCs w:val="24"/>
        </w:rPr>
        <w:t xml:space="preserve">The Complainant has residential </w:t>
      </w:r>
      <w:r w:rsidR="00800C0F" w:rsidRPr="00C95AD3">
        <w:rPr>
          <w:rFonts w:ascii="Times New Roman" w:hAnsi="Times New Roman"/>
          <w:szCs w:val="24"/>
        </w:rPr>
        <w:t xml:space="preserve">electric service </w:t>
      </w:r>
      <w:r w:rsidR="00F11E0B" w:rsidRPr="00C95AD3">
        <w:rPr>
          <w:rFonts w:ascii="Times New Roman" w:hAnsi="Times New Roman"/>
          <w:szCs w:val="24"/>
        </w:rPr>
        <w:t>with the Respondent</w:t>
      </w:r>
    </w:p>
    <w:p w:rsidR="004C4D91" w:rsidRPr="00C95AD3" w:rsidRDefault="00F11E0B" w:rsidP="00D51895">
      <w:pPr>
        <w:pStyle w:val="BodyText"/>
        <w:tabs>
          <w:tab w:val="clear" w:pos="1980"/>
        </w:tabs>
        <w:spacing w:line="360" w:lineRule="auto"/>
        <w:jc w:val="left"/>
        <w:rPr>
          <w:rFonts w:ascii="Times New Roman" w:hAnsi="Times New Roman"/>
          <w:szCs w:val="24"/>
        </w:rPr>
      </w:pPr>
      <w:proofErr w:type="gramStart"/>
      <w:r w:rsidRPr="00C95AD3">
        <w:rPr>
          <w:rFonts w:ascii="Times New Roman" w:hAnsi="Times New Roman"/>
          <w:szCs w:val="24"/>
        </w:rPr>
        <w:t xml:space="preserve">(Tr. </w:t>
      </w:r>
      <w:r w:rsidR="005C554A" w:rsidRPr="0023743A">
        <w:rPr>
          <w:rFonts w:ascii="Times New Roman" w:hAnsi="Times New Roman"/>
          <w:szCs w:val="24"/>
        </w:rPr>
        <w:t>9</w:t>
      </w:r>
      <w:r w:rsidR="00357BC9" w:rsidRPr="0023743A">
        <w:rPr>
          <w:rFonts w:ascii="Times New Roman" w:hAnsi="Times New Roman"/>
          <w:szCs w:val="24"/>
        </w:rPr>
        <w:t>, 16</w:t>
      </w:r>
      <w:r w:rsidR="004C4D91" w:rsidRPr="0023743A">
        <w:rPr>
          <w:rFonts w:ascii="Times New Roman" w:hAnsi="Times New Roman"/>
          <w:szCs w:val="24"/>
        </w:rPr>
        <w:t>;</w:t>
      </w:r>
      <w:r w:rsidR="004C4D91" w:rsidRPr="00C95AD3">
        <w:rPr>
          <w:rFonts w:ascii="Times New Roman" w:hAnsi="Times New Roman"/>
          <w:b/>
          <w:szCs w:val="24"/>
        </w:rPr>
        <w:t xml:space="preserve"> </w:t>
      </w:r>
      <w:r w:rsidR="004C4D91" w:rsidRPr="00C95AD3">
        <w:rPr>
          <w:rFonts w:ascii="Times New Roman" w:hAnsi="Times New Roman"/>
          <w:szCs w:val="24"/>
        </w:rPr>
        <w:t>PECO Ex. 1).</w:t>
      </w:r>
      <w:proofErr w:type="gramEnd"/>
    </w:p>
    <w:p w:rsidR="004C4D91" w:rsidRPr="00C95AD3" w:rsidRDefault="004C4D91" w:rsidP="00D51895">
      <w:pPr>
        <w:pStyle w:val="BodyText"/>
        <w:tabs>
          <w:tab w:val="clear" w:pos="1980"/>
        </w:tabs>
        <w:spacing w:line="360" w:lineRule="auto"/>
        <w:jc w:val="left"/>
        <w:rPr>
          <w:rFonts w:ascii="Times New Roman" w:hAnsi="Times New Roman"/>
          <w:szCs w:val="24"/>
        </w:rPr>
      </w:pPr>
    </w:p>
    <w:p w:rsidR="00784068" w:rsidRPr="00C95AD3" w:rsidRDefault="00EA5D4D"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EB7493" w:rsidRPr="00C95AD3">
        <w:rPr>
          <w:rFonts w:ascii="Times New Roman" w:hAnsi="Times New Roman"/>
          <w:szCs w:val="24"/>
        </w:rPr>
        <w:t>4</w:t>
      </w:r>
      <w:r w:rsidRPr="00C95AD3">
        <w:rPr>
          <w:rFonts w:ascii="Times New Roman" w:hAnsi="Times New Roman"/>
          <w:szCs w:val="24"/>
        </w:rPr>
        <w:t>.</w:t>
      </w:r>
      <w:r w:rsidRPr="00C95AD3">
        <w:rPr>
          <w:rFonts w:ascii="Times New Roman" w:hAnsi="Times New Roman"/>
          <w:szCs w:val="24"/>
        </w:rPr>
        <w:tab/>
      </w:r>
      <w:r w:rsidR="005C554A" w:rsidRPr="00C95AD3">
        <w:rPr>
          <w:rFonts w:ascii="Times New Roman" w:hAnsi="Times New Roman"/>
          <w:szCs w:val="24"/>
        </w:rPr>
        <w:t>At the time of the hearing, t</w:t>
      </w:r>
      <w:r w:rsidR="00F24DB0" w:rsidRPr="00C95AD3">
        <w:rPr>
          <w:rFonts w:ascii="Times New Roman" w:hAnsi="Times New Roman"/>
          <w:szCs w:val="24"/>
        </w:rPr>
        <w:t xml:space="preserve">he </w:t>
      </w:r>
      <w:r w:rsidR="00784068" w:rsidRPr="00C95AD3">
        <w:rPr>
          <w:rFonts w:ascii="Times New Roman" w:hAnsi="Times New Roman"/>
          <w:szCs w:val="24"/>
        </w:rPr>
        <w:t>Complainant</w:t>
      </w:r>
      <w:r w:rsidR="00B87D88" w:rsidRPr="00C95AD3">
        <w:rPr>
          <w:rFonts w:ascii="Times New Roman" w:hAnsi="Times New Roman"/>
          <w:szCs w:val="24"/>
        </w:rPr>
        <w:t xml:space="preserve">, her nineteen year old son and </w:t>
      </w:r>
      <w:r w:rsidR="00403F1E" w:rsidRPr="00C95AD3">
        <w:rPr>
          <w:rFonts w:ascii="Times New Roman" w:hAnsi="Times New Roman"/>
          <w:szCs w:val="24"/>
        </w:rPr>
        <w:t xml:space="preserve">her </w:t>
      </w:r>
      <w:r w:rsidR="00B87D88" w:rsidRPr="00C95AD3">
        <w:rPr>
          <w:rFonts w:ascii="Times New Roman" w:hAnsi="Times New Roman"/>
          <w:szCs w:val="24"/>
        </w:rPr>
        <w:t xml:space="preserve">seventeen </w:t>
      </w:r>
      <w:r w:rsidR="00403F1E" w:rsidRPr="00C95AD3">
        <w:rPr>
          <w:rFonts w:ascii="Times New Roman" w:hAnsi="Times New Roman"/>
          <w:szCs w:val="24"/>
        </w:rPr>
        <w:t>year old daughter</w:t>
      </w:r>
      <w:r w:rsidR="00F24DB0" w:rsidRPr="00C95AD3">
        <w:rPr>
          <w:rFonts w:ascii="Times New Roman" w:hAnsi="Times New Roman"/>
          <w:szCs w:val="24"/>
        </w:rPr>
        <w:t xml:space="preserve"> live</w:t>
      </w:r>
      <w:r w:rsidR="005C554A" w:rsidRPr="00C95AD3">
        <w:rPr>
          <w:rFonts w:ascii="Times New Roman" w:hAnsi="Times New Roman"/>
          <w:szCs w:val="24"/>
        </w:rPr>
        <w:t>d</w:t>
      </w:r>
      <w:r w:rsidR="00F24DB0" w:rsidRPr="00C95AD3">
        <w:rPr>
          <w:rFonts w:ascii="Times New Roman" w:hAnsi="Times New Roman"/>
          <w:szCs w:val="24"/>
        </w:rPr>
        <w:t xml:space="preserve"> at the </w:t>
      </w:r>
      <w:r w:rsidR="00F35A5E" w:rsidRPr="00C95AD3">
        <w:rPr>
          <w:rFonts w:ascii="Times New Roman" w:hAnsi="Times New Roman"/>
          <w:szCs w:val="24"/>
        </w:rPr>
        <w:t>service address</w:t>
      </w:r>
      <w:r w:rsidR="00784068" w:rsidRPr="00C95AD3">
        <w:rPr>
          <w:rFonts w:ascii="Times New Roman" w:hAnsi="Times New Roman"/>
          <w:szCs w:val="24"/>
        </w:rPr>
        <w:t xml:space="preserve"> (Tr. </w:t>
      </w:r>
      <w:r w:rsidR="0023743A">
        <w:rPr>
          <w:rFonts w:ascii="Times New Roman" w:hAnsi="Times New Roman"/>
          <w:szCs w:val="24"/>
        </w:rPr>
        <w:t>11</w:t>
      </w:r>
      <w:r w:rsidR="00784068" w:rsidRPr="00C95AD3">
        <w:rPr>
          <w:rFonts w:ascii="Times New Roman" w:hAnsi="Times New Roman"/>
          <w:szCs w:val="24"/>
        </w:rPr>
        <w:t>)</w:t>
      </w:r>
      <w:r w:rsidR="00F35A5E" w:rsidRPr="00C95AD3">
        <w:rPr>
          <w:rFonts w:ascii="Times New Roman" w:hAnsi="Times New Roman"/>
          <w:szCs w:val="24"/>
        </w:rPr>
        <w:t>.</w:t>
      </w:r>
      <w:r w:rsidR="00784068" w:rsidRPr="00C95AD3">
        <w:rPr>
          <w:rFonts w:ascii="Times New Roman" w:hAnsi="Times New Roman"/>
          <w:b/>
          <w:szCs w:val="24"/>
        </w:rPr>
        <w:t xml:space="preserve"> </w:t>
      </w:r>
    </w:p>
    <w:p w:rsidR="00D16C1B" w:rsidRPr="00C95AD3" w:rsidRDefault="00D16C1B" w:rsidP="00D51895">
      <w:pPr>
        <w:pStyle w:val="BodyText"/>
        <w:tabs>
          <w:tab w:val="left" w:pos="720"/>
        </w:tabs>
        <w:spacing w:line="360" w:lineRule="auto"/>
        <w:rPr>
          <w:rFonts w:ascii="Times New Roman" w:hAnsi="Times New Roman"/>
          <w:szCs w:val="24"/>
        </w:rPr>
      </w:pPr>
    </w:p>
    <w:p w:rsidR="00D16C1B" w:rsidRPr="00C95AD3" w:rsidRDefault="00D16C1B" w:rsidP="00D51895">
      <w:pPr>
        <w:pStyle w:val="BodyText"/>
        <w:tabs>
          <w:tab w:val="clear" w:pos="1980"/>
          <w:tab w:val="left" w:pos="0"/>
        </w:tabs>
        <w:spacing w:line="360" w:lineRule="auto"/>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E30248" w:rsidRPr="00C95AD3">
        <w:rPr>
          <w:rFonts w:ascii="Times New Roman" w:hAnsi="Times New Roman"/>
          <w:szCs w:val="24"/>
        </w:rPr>
        <w:t>5.</w:t>
      </w:r>
      <w:r w:rsidR="00E30248" w:rsidRPr="00C95AD3">
        <w:rPr>
          <w:rFonts w:ascii="Times New Roman" w:hAnsi="Times New Roman"/>
          <w:szCs w:val="24"/>
        </w:rPr>
        <w:tab/>
      </w:r>
      <w:r w:rsidRPr="00C95AD3">
        <w:rPr>
          <w:rFonts w:ascii="Times New Roman" w:hAnsi="Times New Roman"/>
          <w:szCs w:val="24"/>
        </w:rPr>
        <w:t>The Complainant’s son goes to</w:t>
      </w:r>
      <w:r w:rsidR="00262C96">
        <w:rPr>
          <w:rFonts w:ascii="Times New Roman" w:hAnsi="Times New Roman"/>
          <w:szCs w:val="24"/>
        </w:rPr>
        <w:t xml:space="preserve"> </w:t>
      </w:r>
      <w:r w:rsidR="00262C96" w:rsidRPr="00C95AD3">
        <w:rPr>
          <w:rFonts w:ascii="Times New Roman" w:hAnsi="Times New Roman"/>
          <w:szCs w:val="24"/>
        </w:rPr>
        <w:t>Delaware Valley Community College</w:t>
      </w:r>
      <w:r w:rsidR="00262C96">
        <w:rPr>
          <w:rFonts w:ascii="Times New Roman" w:hAnsi="Times New Roman"/>
          <w:szCs w:val="24"/>
        </w:rPr>
        <w:t xml:space="preserve">. </w:t>
      </w:r>
      <w:r w:rsidRPr="00C95AD3">
        <w:rPr>
          <w:rFonts w:ascii="Times New Roman" w:hAnsi="Times New Roman"/>
          <w:szCs w:val="24"/>
        </w:rPr>
        <w:t xml:space="preserve"> </w:t>
      </w:r>
      <w:r w:rsidR="00262C96">
        <w:rPr>
          <w:rFonts w:ascii="Times New Roman" w:hAnsi="Times New Roman"/>
          <w:szCs w:val="24"/>
        </w:rPr>
        <w:t>She helps him purchase</w:t>
      </w:r>
      <w:r w:rsidRPr="00C95AD3">
        <w:rPr>
          <w:rFonts w:ascii="Times New Roman" w:hAnsi="Times New Roman"/>
          <w:szCs w:val="24"/>
        </w:rPr>
        <w:t xml:space="preserve"> his </w:t>
      </w:r>
      <w:proofErr w:type="spellStart"/>
      <w:r w:rsidRPr="00C95AD3">
        <w:rPr>
          <w:rFonts w:ascii="Times New Roman" w:hAnsi="Times New Roman"/>
          <w:szCs w:val="24"/>
        </w:rPr>
        <w:t>trans</w:t>
      </w:r>
      <w:r w:rsidR="0023743A">
        <w:rPr>
          <w:rFonts w:ascii="Times New Roman" w:hAnsi="Times New Roman"/>
          <w:szCs w:val="24"/>
        </w:rPr>
        <w:t>pass</w:t>
      </w:r>
      <w:proofErr w:type="spellEnd"/>
      <w:r w:rsidR="00E30248" w:rsidRPr="00C95AD3">
        <w:rPr>
          <w:rFonts w:ascii="Times New Roman" w:hAnsi="Times New Roman"/>
          <w:szCs w:val="24"/>
        </w:rPr>
        <w:t xml:space="preserve"> </w:t>
      </w:r>
      <w:r w:rsidRPr="00C95AD3">
        <w:rPr>
          <w:rFonts w:ascii="Times New Roman" w:hAnsi="Times New Roman"/>
          <w:szCs w:val="24"/>
        </w:rPr>
        <w:t>to go to</w:t>
      </w:r>
      <w:r w:rsidR="00064A60">
        <w:rPr>
          <w:rFonts w:ascii="Times New Roman" w:hAnsi="Times New Roman"/>
          <w:szCs w:val="24"/>
        </w:rPr>
        <w:t xml:space="preserve"> college</w:t>
      </w:r>
      <w:r w:rsidRPr="00C95AD3">
        <w:rPr>
          <w:rFonts w:ascii="Times New Roman" w:hAnsi="Times New Roman"/>
          <w:szCs w:val="24"/>
        </w:rPr>
        <w:t>.  Her son does not work</w:t>
      </w:r>
      <w:r w:rsidR="0023743A">
        <w:rPr>
          <w:rFonts w:ascii="Times New Roman" w:hAnsi="Times New Roman"/>
          <w:szCs w:val="24"/>
        </w:rPr>
        <w:t xml:space="preserve"> (Tr. 11, 12).</w:t>
      </w:r>
    </w:p>
    <w:p w:rsidR="00D16C1B" w:rsidRPr="00C95AD3" w:rsidRDefault="00D16C1B" w:rsidP="00D51895">
      <w:pPr>
        <w:pStyle w:val="BodyText"/>
        <w:tabs>
          <w:tab w:val="clear" w:pos="1980"/>
          <w:tab w:val="left" w:pos="0"/>
        </w:tabs>
        <w:spacing w:line="360" w:lineRule="auto"/>
        <w:rPr>
          <w:rFonts w:ascii="Times New Roman" w:hAnsi="Times New Roman"/>
          <w:szCs w:val="24"/>
        </w:rPr>
      </w:pPr>
    </w:p>
    <w:p w:rsidR="00D16C1B" w:rsidRPr="00C95AD3" w:rsidRDefault="00D16C1B" w:rsidP="00D51895">
      <w:pPr>
        <w:pStyle w:val="BodyText"/>
        <w:tabs>
          <w:tab w:val="clear" w:pos="1980"/>
          <w:tab w:val="left" w:pos="0"/>
        </w:tabs>
        <w:spacing w:line="360" w:lineRule="auto"/>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E30248" w:rsidRPr="00C95AD3">
        <w:rPr>
          <w:rFonts w:ascii="Times New Roman" w:hAnsi="Times New Roman"/>
          <w:szCs w:val="24"/>
        </w:rPr>
        <w:t>6.</w:t>
      </w:r>
      <w:r w:rsidR="00E30248" w:rsidRPr="00C95AD3">
        <w:rPr>
          <w:rFonts w:ascii="Times New Roman" w:hAnsi="Times New Roman"/>
          <w:szCs w:val="24"/>
        </w:rPr>
        <w:tab/>
      </w:r>
      <w:r w:rsidRPr="00C95AD3">
        <w:rPr>
          <w:rFonts w:ascii="Times New Roman" w:hAnsi="Times New Roman"/>
          <w:szCs w:val="24"/>
        </w:rPr>
        <w:t>The Complainant’s daughter is in her junior year of high school.  Her daughter does not work</w:t>
      </w:r>
      <w:r w:rsidR="0023743A">
        <w:rPr>
          <w:rFonts w:ascii="Times New Roman" w:hAnsi="Times New Roman"/>
          <w:szCs w:val="24"/>
        </w:rPr>
        <w:t xml:space="preserve"> (Tr. 11, 12).</w:t>
      </w:r>
    </w:p>
    <w:p w:rsidR="00D16C1B" w:rsidRPr="00C95AD3" w:rsidRDefault="00D16C1B" w:rsidP="00D51895">
      <w:pPr>
        <w:pStyle w:val="BodyText"/>
        <w:tabs>
          <w:tab w:val="clear" w:pos="1980"/>
          <w:tab w:val="left" w:pos="0"/>
        </w:tabs>
        <w:spacing w:line="360" w:lineRule="auto"/>
        <w:rPr>
          <w:rFonts w:ascii="Times New Roman" w:hAnsi="Times New Roman"/>
          <w:szCs w:val="24"/>
        </w:rPr>
      </w:pPr>
    </w:p>
    <w:p w:rsidR="00994041" w:rsidRPr="00C95AD3" w:rsidRDefault="00D16C1B" w:rsidP="00D51895">
      <w:pPr>
        <w:pStyle w:val="BodyText"/>
        <w:tabs>
          <w:tab w:val="clear" w:pos="1980"/>
          <w:tab w:val="left" w:pos="0"/>
        </w:tabs>
        <w:spacing w:line="360" w:lineRule="auto"/>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E30248" w:rsidRPr="00C95AD3">
        <w:rPr>
          <w:rFonts w:ascii="Times New Roman" w:hAnsi="Times New Roman"/>
          <w:szCs w:val="24"/>
        </w:rPr>
        <w:t>7.</w:t>
      </w:r>
      <w:r w:rsidR="00E30248" w:rsidRPr="00C95AD3">
        <w:rPr>
          <w:rFonts w:ascii="Times New Roman" w:hAnsi="Times New Roman"/>
          <w:szCs w:val="24"/>
        </w:rPr>
        <w:tab/>
      </w:r>
      <w:r w:rsidRPr="00C95AD3">
        <w:rPr>
          <w:rFonts w:ascii="Times New Roman" w:hAnsi="Times New Roman"/>
          <w:szCs w:val="24"/>
        </w:rPr>
        <w:t>The Complainant and her daughter get $316.00 a month in cash on public assistance and $526.00 in food stamps a month</w:t>
      </w:r>
      <w:r w:rsidR="00E27E2E">
        <w:rPr>
          <w:rFonts w:ascii="Times New Roman" w:hAnsi="Times New Roman"/>
          <w:szCs w:val="24"/>
        </w:rPr>
        <w:t xml:space="preserve">.  </w:t>
      </w:r>
      <w:r w:rsidR="00E27E2E" w:rsidRPr="00E27E2E">
        <w:rPr>
          <w:rFonts w:ascii="Times New Roman" w:hAnsi="Times New Roman"/>
          <w:szCs w:val="24"/>
        </w:rPr>
        <w:t xml:space="preserve">The Complainant’s </w:t>
      </w:r>
      <w:r w:rsidR="00E27E2E">
        <w:rPr>
          <w:rFonts w:ascii="Times New Roman" w:hAnsi="Times New Roman"/>
          <w:szCs w:val="24"/>
        </w:rPr>
        <w:t>son does not receive public assistance (Tr. 11)</w:t>
      </w:r>
      <w:r w:rsidRPr="00C95AD3">
        <w:rPr>
          <w:rFonts w:ascii="Times New Roman" w:hAnsi="Times New Roman"/>
          <w:szCs w:val="24"/>
        </w:rPr>
        <w:t xml:space="preserve">. </w:t>
      </w:r>
    </w:p>
    <w:p w:rsidR="00D16C1B" w:rsidRPr="00C95AD3" w:rsidRDefault="00D16C1B" w:rsidP="00D51895">
      <w:pPr>
        <w:pStyle w:val="BodyText"/>
        <w:tabs>
          <w:tab w:val="clear" w:pos="1980"/>
          <w:tab w:val="left" w:pos="0"/>
        </w:tabs>
        <w:spacing w:line="360" w:lineRule="auto"/>
        <w:jc w:val="left"/>
        <w:rPr>
          <w:rFonts w:ascii="Times New Roman" w:hAnsi="Times New Roman"/>
          <w:szCs w:val="24"/>
        </w:rPr>
      </w:pPr>
    </w:p>
    <w:p w:rsidR="00E27E2E" w:rsidRDefault="00994041" w:rsidP="00D51895">
      <w:pPr>
        <w:pStyle w:val="BodyText"/>
        <w:tabs>
          <w:tab w:val="clear" w:pos="1980"/>
          <w:tab w:val="left" w:pos="0"/>
        </w:tabs>
        <w:spacing w:line="360" w:lineRule="auto"/>
        <w:rPr>
          <w:rFonts w:ascii="Times New Roman" w:hAnsi="Times New Roman"/>
          <w:szCs w:val="24"/>
        </w:rPr>
      </w:pPr>
      <w:r w:rsidRPr="00C95AD3">
        <w:rPr>
          <w:rFonts w:ascii="Times New Roman" w:hAnsi="Times New Roman"/>
          <w:szCs w:val="24"/>
        </w:rPr>
        <w:lastRenderedPageBreak/>
        <w:tab/>
      </w:r>
      <w:r w:rsidRPr="00C95AD3">
        <w:rPr>
          <w:rFonts w:ascii="Times New Roman" w:hAnsi="Times New Roman"/>
          <w:szCs w:val="24"/>
        </w:rPr>
        <w:tab/>
      </w:r>
      <w:r w:rsidR="00E30248" w:rsidRPr="00C95AD3">
        <w:rPr>
          <w:rFonts w:ascii="Times New Roman" w:hAnsi="Times New Roman"/>
          <w:szCs w:val="24"/>
        </w:rPr>
        <w:t>8.</w:t>
      </w:r>
      <w:r w:rsidR="00E30248" w:rsidRPr="00C95AD3">
        <w:rPr>
          <w:rFonts w:ascii="Times New Roman" w:hAnsi="Times New Roman"/>
          <w:szCs w:val="24"/>
        </w:rPr>
        <w:tab/>
      </w:r>
      <w:r w:rsidR="00D16C1B" w:rsidRPr="00C95AD3">
        <w:rPr>
          <w:rFonts w:ascii="Times New Roman" w:hAnsi="Times New Roman"/>
          <w:szCs w:val="24"/>
        </w:rPr>
        <w:t xml:space="preserve">The Complainant </w:t>
      </w:r>
      <w:r w:rsidR="00E27E2E" w:rsidRPr="00E27E2E">
        <w:rPr>
          <w:rFonts w:ascii="Times New Roman" w:hAnsi="Times New Roman"/>
          <w:szCs w:val="24"/>
        </w:rPr>
        <w:t>was enrolled in the</w:t>
      </w:r>
      <w:r w:rsidR="00E27E2E">
        <w:rPr>
          <w:rFonts w:ascii="Times New Roman" w:hAnsi="Times New Roman"/>
          <w:szCs w:val="24"/>
        </w:rPr>
        <w:t xml:space="preserve"> Respondent’s Customer Assistance</w:t>
      </w:r>
      <w:r w:rsidR="00E27E2E" w:rsidRPr="00E27E2E">
        <w:rPr>
          <w:rFonts w:ascii="Times New Roman" w:hAnsi="Times New Roman"/>
          <w:szCs w:val="24"/>
        </w:rPr>
        <w:t xml:space="preserve"> Program</w:t>
      </w:r>
      <w:r w:rsidR="00E27E2E">
        <w:rPr>
          <w:rFonts w:ascii="Times New Roman" w:hAnsi="Times New Roman"/>
          <w:szCs w:val="24"/>
        </w:rPr>
        <w:t xml:space="preserve"> (“CAP”) on J</w:t>
      </w:r>
      <w:r w:rsidR="00E27E2E" w:rsidRPr="00E27E2E">
        <w:rPr>
          <w:rFonts w:ascii="Times New Roman" w:hAnsi="Times New Roman"/>
          <w:szCs w:val="24"/>
        </w:rPr>
        <w:t>une 19</w:t>
      </w:r>
      <w:r w:rsidR="00E27E2E">
        <w:rPr>
          <w:rFonts w:ascii="Times New Roman" w:hAnsi="Times New Roman"/>
          <w:szCs w:val="24"/>
        </w:rPr>
        <w:t>,</w:t>
      </w:r>
      <w:r w:rsidR="00E27E2E" w:rsidRPr="00E27E2E">
        <w:rPr>
          <w:rFonts w:ascii="Times New Roman" w:hAnsi="Times New Roman"/>
          <w:szCs w:val="24"/>
        </w:rPr>
        <w:t xml:space="preserve"> 2002. </w:t>
      </w:r>
      <w:r w:rsidR="00E27E2E">
        <w:rPr>
          <w:rFonts w:ascii="Times New Roman" w:hAnsi="Times New Roman"/>
          <w:szCs w:val="24"/>
        </w:rPr>
        <w:t xml:space="preserve"> </w:t>
      </w:r>
      <w:r w:rsidR="00E27E2E" w:rsidRPr="00E27E2E">
        <w:rPr>
          <w:rFonts w:ascii="Times New Roman" w:hAnsi="Times New Roman"/>
          <w:szCs w:val="24"/>
        </w:rPr>
        <w:t>She was initially</w:t>
      </w:r>
      <w:r w:rsidR="00E27E2E">
        <w:rPr>
          <w:rFonts w:ascii="Times New Roman" w:hAnsi="Times New Roman"/>
          <w:szCs w:val="24"/>
        </w:rPr>
        <w:t xml:space="preserve"> </w:t>
      </w:r>
      <w:r w:rsidR="00E27E2E" w:rsidRPr="00E27E2E">
        <w:rPr>
          <w:rFonts w:ascii="Times New Roman" w:hAnsi="Times New Roman"/>
          <w:szCs w:val="24"/>
        </w:rPr>
        <w:t>enrolled in the CAP Program at CAP Tier B</w:t>
      </w:r>
      <w:r w:rsidR="00E27E2E">
        <w:rPr>
          <w:rFonts w:ascii="Times New Roman" w:hAnsi="Times New Roman"/>
          <w:szCs w:val="24"/>
        </w:rPr>
        <w:t xml:space="preserve"> (Tr. 17, 18; PECO Ex. 2).</w:t>
      </w:r>
    </w:p>
    <w:p w:rsidR="00B365ED" w:rsidRDefault="00B365ED" w:rsidP="00D51895">
      <w:pPr>
        <w:pStyle w:val="BodyText"/>
        <w:tabs>
          <w:tab w:val="clear" w:pos="1980"/>
          <w:tab w:val="left" w:pos="0"/>
        </w:tabs>
        <w:spacing w:line="360" w:lineRule="auto"/>
        <w:rPr>
          <w:rFonts w:ascii="Times New Roman" w:hAnsi="Times New Roman"/>
          <w:szCs w:val="24"/>
        </w:rPr>
      </w:pPr>
    </w:p>
    <w:p w:rsidR="00B365ED" w:rsidRDefault="00B365ED" w:rsidP="00D51895">
      <w:pPr>
        <w:pStyle w:val="BodyText"/>
        <w:tabs>
          <w:tab w:val="clear" w:pos="1980"/>
          <w:tab w:val="left" w:pos="0"/>
        </w:tabs>
        <w:spacing w:line="360" w:lineRule="auto"/>
        <w:jc w:val="left"/>
        <w:rPr>
          <w:rFonts w:ascii="Times New Roman" w:hAnsi="Times New Roman"/>
          <w:szCs w:val="24"/>
        </w:rPr>
      </w:pPr>
      <w:r w:rsidRPr="00C95AD3">
        <w:rPr>
          <w:rFonts w:ascii="Times New Roman" w:hAnsi="Times New Roman"/>
          <w:b/>
          <w:szCs w:val="24"/>
        </w:rPr>
        <w:tab/>
      </w:r>
      <w:r w:rsidRPr="00C95AD3">
        <w:rPr>
          <w:rFonts w:ascii="Times New Roman" w:hAnsi="Times New Roman"/>
          <w:szCs w:val="24"/>
        </w:rPr>
        <w:tab/>
      </w:r>
      <w:r>
        <w:rPr>
          <w:rFonts w:ascii="Times New Roman" w:hAnsi="Times New Roman"/>
          <w:szCs w:val="24"/>
        </w:rPr>
        <w:t>9</w:t>
      </w:r>
      <w:r w:rsidRPr="00C95AD3">
        <w:rPr>
          <w:rFonts w:ascii="Times New Roman" w:hAnsi="Times New Roman"/>
          <w:szCs w:val="24"/>
        </w:rPr>
        <w:t>.</w:t>
      </w:r>
      <w:r w:rsidRPr="00C95AD3">
        <w:rPr>
          <w:rFonts w:ascii="Times New Roman" w:hAnsi="Times New Roman"/>
          <w:szCs w:val="24"/>
        </w:rPr>
        <w:tab/>
        <w:t xml:space="preserve">The Complainant </w:t>
      </w:r>
      <w:r w:rsidR="00064A60">
        <w:rPr>
          <w:rFonts w:ascii="Times New Roman" w:hAnsi="Times New Roman"/>
          <w:szCs w:val="24"/>
        </w:rPr>
        <w:t>had</w:t>
      </w:r>
      <w:r>
        <w:rPr>
          <w:rFonts w:ascii="Times New Roman" w:hAnsi="Times New Roman"/>
          <w:szCs w:val="24"/>
        </w:rPr>
        <w:t xml:space="preserve"> </w:t>
      </w:r>
      <w:r w:rsidRPr="00C95AD3">
        <w:rPr>
          <w:rFonts w:ascii="Times New Roman" w:hAnsi="Times New Roman"/>
          <w:szCs w:val="24"/>
        </w:rPr>
        <w:t xml:space="preserve">a </w:t>
      </w:r>
      <w:r>
        <w:rPr>
          <w:rFonts w:ascii="Times New Roman" w:hAnsi="Times New Roman"/>
          <w:szCs w:val="24"/>
        </w:rPr>
        <w:t xml:space="preserve">Company issued </w:t>
      </w:r>
      <w:r w:rsidRPr="00C95AD3">
        <w:rPr>
          <w:rFonts w:ascii="Times New Roman" w:hAnsi="Times New Roman"/>
          <w:szCs w:val="24"/>
        </w:rPr>
        <w:t xml:space="preserve">payment agreement </w:t>
      </w:r>
      <w:r>
        <w:rPr>
          <w:rFonts w:ascii="Times New Roman" w:hAnsi="Times New Roman"/>
          <w:szCs w:val="24"/>
        </w:rPr>
        <w:t xml:space="preserve">in July 2010.  She was required </w:t>
      </w:r>
      <w:r w:rsidRPr="00C95AD3">
        <w:rPr>
          <w:rFonts w:ascii="Times New Roman" w:hAnsi="Times New Roman"/>
          <w:szCs w:val="24"/>
        </w:rPr>
        <w:t>to pay $1</w:t>
      </w:r>
      <w:r>
        <w:rPr>
          <w:rFonts w:ascii="Times New Roman" w:hAnsi="Times New Roman"/>
          <w:szCs w:val="24"/>
        </w:rPr>
        <w:t>8.</w:t>
      </w:r>
      <w:r w:rsidRPr="00C95AD3">
        <w:rPr>
          <w:rFonts w:ascii="Times New Roman" w:hAnsi="Times New Roman"/>
          <w:szCs w:val="24"/>
        </w:rPr>
        <w:t>7</w:t>
      </w:r>
      <w:r>
        <w:rPr>
          <w:rFonts w:ascii="Times New Roman" w:hAnsi="Times New Roman"/>
          <w:szCs w:val="24"/>
        </w:rPr>
        <w:t>3</w:t>
      </w:r>
      <w:r w:rsidRPr="00C95AD3">
        <w:rPr>
          <w:rFonts w:ascii="Times New Roman" w:hAnsi="Times New Roman"/>
          <w:szCs w:val="24"/>
        </w:rPr>
        <w:t xml:space="preserve"> per month plus the current bill (Tr. 1</w:t>
      </w:r>
      <w:r>
        <w:rPr>
          <w:rFonts w:ascii="Times New Roman" w:hAnsi="Times New Roman"/>
          <w:szCs w:val="24"/>
        </w:rPr>
        <w:t>9</w:t>
      </w:r>
      <w:r w:rsidRPr="00C95AD3">
        <w:rPr>
          <w:rFonts w:ascii="Times New Roman" w:hAnsi="Times New Roman"/>
          <w:szCs w:val="24"/>
        </w:rPr>
        <w:t xml:space="preserve">; PECO Ex. </w:t>
      </w:r>
      <w:r>
        <w:rPr>
          <w:rFonts w:ascii="Times New Roman" w:hAnsi="Times New Roman"/>
          <w:szCs w:val="24"/>
        </w:rPr>
        <w:t>1</w:t>
      </w:r>
      <w:r w:rsidRPr="00C95AD3">
        <w:rPr>
          <w:rFonts w:ascii="Times New Roman" w:hAnsi="Times New Roman"/>
          <w:szCs w:val="24"/>
        </w:rPr>
        <w:t>).</w:t>
      </w:r>
    </w:p>
    <w:p w:rsidR="00BC0851" w:rsidRPr="00C95AD3" w:rsidRDefault="00BC0851" w:rsidP="00D51895">
      <w:pPr>
        <w:pStyle w:val="BodyText"/>
        <w:tabs>
          <w:tab w:val="clear" w:pos="1980"/>
          <w:tab w:val="left" w:pos="0"/>
        </w:tabs>
        <w:spacing w:line="360" w:lineRule="auto"/>
        <w:jc w:val="left"/>
        <w:rPr>
          <w:rFonts w:ascii="Times New Roman" w:hAnsi="Times New Roman"/>
          <w:szCs w:val="24"/>
        </w:rPr>
      </w:pPr>
    </w:p>
    <w:p w:rsidR="00B365ED" w:rsidRDefault="00B365ED" w:rsidP="00D51895">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10.</w:t>
      </w:r>
      <w:r>
        <w:rPr>
          <w:rFonts w:ascii="Times New Roman" w:hAnsi="Times New Roman"/>
          <w:szCs w:val="24"/>
        </w:rPr>
        <w:tab/>
      </w:r>
      <w:r w:rsidRPr="00E27E2E">
        <w:rPr>
          <w:rFonts w:ascii="Times New Roman" w:hAnsi="Times New Roman"/>
          <w:szCs w:val="24"/>
        </w:rPr>
        <w:t xml:space="preserve">On April 15, 2011, </w:t>
      </w:r>
      <w:r>
        <w:rPr>
          <w:rFonts w:ascii="Times New Roman" w:hAnsi="Times New Roman"/>
          <w:szCs w:val="24"/>
        </w:rPr>
        <w:t>the Complainant</w:t>
      </w:r>
      <w:r w:rsidRPr="00E27E2E">
        <w:rPr>
          <w:rFonts w:ascii="Times New Roman" w:hAnsi="Times New Roman"/>
          <w:szCs w:val="24"/>
        </w:rPr>
        <w:t xml:space="preserve"> was</w:t>
      </w:r>
      <w:r>
        <w:rPr>
          <w:rFonts w:ascii="Times New Roman" w:hAnsi="Times New Roman"/>
          <w:szCs w:val="24"/>
        </w:rPr>
        <w:t xml:space="preserve"> </w:t>
      </w:r>
      <w:r w:rsidRPr="00E27E2E">
        <w:rPr>
          <w:rFonts w:ascii="Times New Roman" w:hAnsi="Times New Roman"/>
          <w:szCs w:val="24"/>
        </w:rPr>
        <w:t>recertified on CAP Tier B based on her monthly gross income of $316</w:t>
      </w:r>
      <w:r>
        <w:rPr>
          <w:rFonts w:ascii="Times New Roman" w:hAnsi="Times New Roman"/>
          <w:szCs w:val="24"/>
        </w:rPr>
        <w:t>.00</w:t>
      </w:r>
      <w:r w:rsidRPr="00E27E2E">
        <w:rPr>
          <w:rFonts w:ascii="Times New Roman" w:hAnsi="Times New Roman"/>
          <w:szCs w:val="24"/>
        </w:rPr>
        <w:t xml:space="preserve"> for three people</w:t>
      </w:r>
      <w:r>
        <w:rPr>
          <w:rFonts w:ascii="Times New Roman" w:hAnsi="Times New Roman"/>
          <w:szCs w:val="24"/>
        </w:rPr>
        <w:t>.  This is</w:t>
      </w:r>
      <w:r w:rsidRPr="00E27E2E">
        <w:rPr>
          <w:rFonts w:ascii="Times New Roman" w:hAnsi="Times New Roman"/>
          <w:szCs w:val="24"/>
        </w:rPr>
        <w:t xml:space="preserve"> 20</w:t>
      </w:r>
      <w:r>
        <w:rPr>
          <w:rFonts w:ascii="Times New Roman" w:hAnsi="Times New Roman"/>
          <w:szCs w:val="24"/>
        </w:rPr>
        <w:t xml:space="preserve">% of the </w:t>
      </w:r>
      <w:r w:rsidRPr="00E27E2E">
        <w:rPr>
          <w:rFonts w:ascii="Times New Roman" w:hAnsi="Times New Roman"/>
          <w:szCs w:val="24"/>
        </w:rPr>
        <w:t>Federal Poverty Level</w:t>
      </w:r>
      <w:r>
        <w:rPr>
          <w:rFonts w:ascii="Times New Roman" w:hAnsi="Times New Roman"/>
          <w:szCs w:val="24"/>
        </w:rPr>
        <w:t xml:space="preserve"> (Tr. 18).</w:t>
      </w:r>
    </w:p>
    <w:p w:rsidR="00B365ED" w:rsidRDefault="00B365ED" w:rsidP="00D51895">
      <w:pPr>
        <w:pStyle w:val="BodyText"/>
        <w:tabs>
          <w:tab w:val="clear" w:pos="1980"/>
          <w:tab w:val="left" w:pos="0"/>
        </w:tabs>
        <w:spacing w:line="360" w:lineRule="auto"/>
        <w:jc w:val="left"/>
        <w:rPr>
          <w:rFonts w:ascii="Times New Roman" w:hAnsi="Times New Roman"/>
          <w:szCs w:val="24"/>
        </w:rPr>
      </w:pPr>
    </w:p>
    <w:p w:rsidR="00B365ED" w:rsidRPr="00C95AD3" w:rsidRDefault="00B365ED" w:rsidP="00D51895">
      <w:pPr>
        <w:pStyle w:val="BodyText"/>
        <w:tabs>
          <w:tab w:val="clear" w:pos="198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1</w:t>
      </w:r>
      <w:r>
        <w:rPr>
          <w:rFonts w:ascii="Times New Roman" w:hAnsi="Times New Roman"/>
          <w:szCs w:val="24"/>
        </w:rPr>
        <w:t>1</w:t>
      </w:r>
      <w:r w:rsidRPr="00C95AD3">
        <w:rPr>
          <w:rFonts w:ascii="Times New Roman" w:hAnsi="Times New Roman"/>
          <w:szCs w:val="24"/>
        </w:rPr>
        <w:t>.</w:t>
      </w:r>
      <w:r w:rsidRPr="00C95AD3">
        <w:rPr>
          <w:rFonts w:ascii="Times New Roman" w:hAnsi="Times New Roman"/>
          <w:szCs w:val="24"/>
        </w:rPr>
        <w:tab/>
        <w:t xml:space="preserve">The Complainant defaulted on the agreement on June 14, 2011 (Tr. </w:t>
      </w:r>
      <w:r>
        <w:rPr>
          <w:rFonts w:ascii="Times New Roman" w:hAnsi="Times New Roman"/>
          <w:szCs w:val="24"/>
        </w:rPr>
        <w:t>19, 20</w:t>
      </w:r>
      <w:r w:rsidRPr="00C95AD3">
        <w:rPr>
          <w:rFonts w:ascii="Times New Roman" w:hAnsi="Times New Roman"/>
          <w:szCs w:val="24"/>
        </w:rPr>
        <w:t>; PECO Ex. 1).</w:t>
      </w:r>
    </w:p>
    <w:p w:rsidR="00E27E2E" w:rsidRDefault="00E27E2E" w:rsidP="00D51895">
      <w:pPr>
        <w:pStyle w:val="BodyText"/>
        <w:tabs>
          <w:tab w:val="clear" w:pos="1980"/>
          <w:tab w:val="left" w:pos="0"/>
        </w:tabs>
        <w:spacing w:line="360" w:lineRule="auto"/>
        <w:rPr>
          <w:rFonts w:ascii="Times New Roman" w:hAnsi="Times New Roman"/>
          <w:szCs w:val="24"/>
        </w:rPr>
      </w:pPr>
    </w:p>
    <w:p w:rsidR="00B365ED" w:rsidRDefault="00B365ED" w:rsidP="00064A60">
      <w:pPr>
        <w:pStyle w:val="BodyText"/>
        <w:tabs>
          <w:tab w:val="clear" w:pos="1980"/>
          <w:tab w:val="left" w:pos="0"/>
          <w:tab w:val="left" w:pos="72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1</w:t>
      </w:r>
      <w:r w:rsidR="00064A60">
        <w:rPr>
          <w:rFonts w:ascii="Times New Roman" w:hAnsi="Times New Roman"/>
          <w:szCs w:val="24"/>
        </w:rPr>
        <w:t>2</w:t>
      </w:r>
      <w:r w:rsidRPr="00C95AD3">
        <w:rPr>
          <w:rFonts w:ascii="Times New Roman" w:hAnsi="Times New Roman"/>
          <w:szCs w:val="24"/>
        </w:rPr>
        <w:t>.</w:t>
      </w:r>
      <w:r w:rsidRPr="00C95AD3">
        <w:rPr>
          <w:rFonts w:ascii="Times New Roman" w:hAnsi="Times New Roman"/>
          <w:szCs w:val="24"/>
        </w:rPr>
        <w:tab/>
        <w:t>The agreement was reinstated on June 22</w:t>
      </w:r>
      <w:r>
        <w:rPr>
          <w:rFonts w:ascii="Times New Roman" w:hAnsi="Times New Roman"/>
          <w:szCs w:val="24"/>
        </w:rPr>
        <w:t>, 2011</w:t>
      </w:r>
      <w:r w:rsidRPr="00C95AD3">
        <w:rPr>
          <w:rFonts w:ascii="Times New Roman" w:hAnsi="Times New Roman"/>
          <w:szCs w:val="24"/>
        </w:rPr>
        <w:t xml:space="preserve"> (Tr. 2</w:t>
      </w:r>
      <w:r>
        <w:rPr>
          <w:rFonts w:ascii="Times New Roman" w:hAnsi="Times New Roman"/>
          <w:szCs w:val="24"/>
        </w:rPr>
        <w:t>0</w:t>
      </w:r>
      <w:r w:rsidRPr="00C95AD3">
        <w:rPr>
          <w:rFonts w:ascii="Times New Roman" w:hAnsi="Times New Roman"/>
          <w:szCs w:val="24"/>
        </w:rPr>
        <w:t>; PECO Ex. 1).</w:t>
      </w:r>
    </w:p>
    <w:p w:rsidR="00064A60" w:rsidRPr="00C95AD3" w:rsidRDefault="00064A60" w:rsidP="00064A60">
      <w:pPr>
        <w:pStyle w:val="BodyText"/>
        <w:tabs>
          <w:tab w:val="clear" w:pos="1980"/>
          <w:tab w:val="left" w:pos="0"/>
          <w:tab w:val="left" w:pos="720"/>
        </w:tabs>
        <w:spacing w:line="360" w:lineRule="auto"/>
        <w:jc w:val="left"/>
        <w:rPr>
          <w:rFonts w:ascii="Times New Roman" w:hAnsi="Times New Roman"/>
          <w:szCs w:val="24"/>
        </w:rPr>
      </w:pPr>
    </w:p>
    <w:p w:rsidR="00064A60" w:rsidRDefault="00064A60" w:rsidP="00064A60">
      <w:pPr>
        <w:pStyle w:val="BodyText"/>
        <w:tabs>
          <w:tab w:val="clear" w:pos="1980"/>
          <w:tab w:val="left" w:pos="0"/>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Pr="00C95AD3">
        <w:rPr>
          <w:rFonts w:ascii="Times New Roman" w:hAnsi="Times New Roman"/>
          <w:szCs w:val="24"/>
        </w:rPr>
        <w:t>1</w:t>
      </w:r>
      <w:r>
        <w:rPr>
          <w:rFonts w:ascii="Times New Roman" w:hAnsi="Times New Roman"/>
          <w:szCs w:val="24"/>
        </w:rPr>
        <w:t>3</w:t>
      </w:r>
      <w:r w:rsidRPr="00C95AD3">
        <w:rPr>
          <w:rFonts w:ascii="Times New Roman" w:hAnsi="Times New Roman"/>
          <w:szCs w:val="24"/>
        </w:rPr>
        <w:t>.</w:t>
      </w:r>
      <w:r w:rsidRPr="00C95AD3">
        <w:rPr>
          <w:rFonts w:ascii="Times New Roman" w:hAnsi="Times New Roman"/>
          <w:szCs w:val="24"/>
        </w:rPr>
        <w:tab/>
        <w:t>The Complainant defaulted on the reinstated agreement on April 16, 2012</w:t>
      </w:r>
      <w:r>
        <w:rPr>
          <w:rFonts w:ascii="Times New Roman" w:hAnsi="Times New Roman"/>
          <w:szCs w:val="24"/>
        </w:rPr>
        <w:t xml:space="preserve"> (Tr. </w:t>
      </w:r>
      <w:r w:rsidRPr="00C95AD3">
        <w:rPr>
          <w:rFonts w:ascii="Times New Roman" w:hAnsi="Times New Roman"/>
          <w:szCs w:val="24"/>
        </w:rPr>
        <w:t>2</w:t>
      </w:r>
      <w:r>
        <w:rPr>
          <w:rFonts w:ascii="Times New Roman" w:hAnsi="Times New Roman"/>
          <w:szCs w:val="24"/>
        </w:rPr>
        <w:t>0</w:t>
      </w:r>
      <w:r w:rsidRPr="00C95AD3">
        <w:rPr>
          <w:rFonts w:ascii="Times New Roman" w:hAnsi="Times New Roman"/>
          <w:szCs w:val="24"/>
        </w:rPr>
        <w:t>; PECO Ex. 1).</w:t>
      </w:r>
    </w:p>
    <w:p w:rsidR="005767CB" w:rsidRDefault="005767CB" w:rsidP="00064A60">
      <w:pPr>
        <w:pStyle w:val="BodyText"/>
        <w:tabs>
          <w:tab w:val="clear" w:pos="1980"/>
          <w:tab w:val="left" w:pos="0"/>
          <w:tab w:val="left" w:pos="720"/>
        </w:tabs>
        <w:spacing w:line="360" w:lineRule="auto"/>
        <w:jc w:val="left"/>
        <w:rPr>
          <w:rFonts w:ascii="Times New Roman" w:hAnsi="Times New Roman"/>
          <w:szCs w:val="24"/>
        </w:rPr>
      </w:pPr>
    </w:p>
    <w:p w:rsidR="005767CB" w:rsidRDefault="005767CB" w:rsidP="005767CB">
      <w:pPr>
        <w:pStyle w:val="BodyText"/>
        <w:tabs>
          <w:tab w:val="clear" w:pos="1980"/>
          <w:tab w:val="left" w:pos="0"/>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14.</w:t>
      </w:r>
      <w:r>
        <w:rPr>
          <w:rFonts w:ascii="Times New Roman" w:hAnsi="Times New Roman"/>
          <w:szCs w:val="24"/>
        </w:rPr>
        <w:tab/>
      </w:r>
      <w:r w:rsidRPr="005767CB">
        <w:rPr>
          <w:rFonts w:ascii="Times New Roman" w:hAnsi="Times New Roman"/>
          <w:szCs w:val="24"/>
        </w:rPr>
        <w:t>T</w:t>
      </w:r>
      <w:r w:rsidRPr="005767CB">
        <w:rPr>
          <w:rFonts w:ascii="Times New Roman" w:hAnsi="Times New Roman"/>
          <w:szCs w:val="24"/>
        </w:rPr>
        <w:t xml:space="preserve">he Respondent terminated the Complainant’s service on June 26, 2012 for a past due balance of $181.28 (Tr. 17; PECO Ex. 2). </w:t>
      </w:r>
    </w:p>
    <w:p w:rsidR="005767CB" w:rsidRPr="005767CB" w:rsidRDefault="005767CB" w:rsidP="005767CB">
      <w:pPr>
        <w:pStyle w:val="BodyText"/>
        <w:tabs>
          <w:tab w:val="clear" w:pos="1980"/>
          <w:tab w:val="left" w:pos="0"/>
          <w:tab w:val="left" w:pos="720"/>
        </w:tabs>
        <w:spacing w:line="360" w:lineRule="auto"/>
        <w:jc w:val="left"/>
        <w:rPr>
          <w:rFonts w:ascii="Times New Roman" w:hAnsi="Times New Roman"/>
          <w:szCs w:val="24"/>
        </w:rPr>
      </w:pPr>
    </w:p>
    <w:p w:rsidR="005767CB" w:rsidRDefault="005767CB" w:rsidP="005767CB">
      <w:pPr>
        <w:spacing w:line="360" w:lineRule="auto"/>
        <w:rPr>
          <w:sz w:val="24"/>
          <w:szCs w:val="24"/>
        </w:rPr>
      </w:pPr>
      <w:r>
        <w:tab/>
      </w:r>
      <w:r>
        <w:tab/>
        <w:t>15.</w:t>
      </w:r>
      <w:r>
        <w:tab/>
      </w:r>
      <w:r w:rsidRPr="005767CB">
        <w:rPr>
          <w:sz w:val="24"/>
          <w:szCs w:val="24"/>
        </w:rPr>
        <w:t>On August 13, 2012, the Respondent’s representative found that the Complainant’s service had been restored without authorization (PECO Ex. 2).</w:t>
      </w:r>
    </w:p>
    <w:p w:rsidR="005767CB" w:rsidRPr="005767CB" w:rsidRDefault="005767CB" w:rsidP="005767CB">
      <w:pPr>
        <w:spacing w:line="360" w:lineRule="auto"/>
        <w:rPr>
          <w:sz w:val="24"/>
          <w:szCs w:val="24"/>
        </w:rPr>
      </w:pPr>
    </w:p>
    <w:p w:rsidR="005767CB" w:rsidRDefault="005767CB" w:rsidP="005767CB">
      <w:pPr>
        <w:spacing w:line="360" w:lineRule="auto"/>
        <w:rPr>
          <w:sz w:val="24"/>
          <w:szCs w:val="24"/>
        </w:rPr>
      </w:pPr>
      <w:r>
        <w:rPr>
          <w:sz w:val="24"/>
          <w:szCs w:val="24"/>
        </w:rPr>
        <w:tab/>
      </w:r>
      <w:r>
        <w:rPr>
          <w:sz w:val="24"/>
          <w:szCs w:val="24"/>
        </w:rPr>
        <w:tab/>
        <w:t>16.</w:t>
      </w:r>
      <w:r>
        <w:rPr>
          <w:sz w:val="24"/>
          <w:szCs w:val="24"/>
        </w:rPr>
        <w:tab/>
      </w:r>
      <w:r w:rsidRPr="005767CB">
        <w:rPr>
          <w:sz w:val="24"/>
          <w:szCs w:val="24"/>
        </w:rPr>
        <w:t>On August 13, 2012, the Respondent terminated the service again for theft (Tr. 17; PECO Ex. 2).</w:t>
      </w:r>
    </w:p>
    <w:p w:rsidR="005767CB" w:rsidRPr="005767CB" w:rsidRDefault="005767CB" w:rsidP="005767CB">
      <w:pPr>
        <w:spacing w:line="360" w:lineRule="auto"/>
        <w:rPr>
          <w:sz w:val="24"/>
          <w:szCs w:val="24"/>
        </w:rPr>
      </w:pPr>
    </w:p>
    <w:p w:rsidR="005767CB" w:rsidRPr="00B33F5F" w:rsidRDefault="005767CB" w:rsidP="005767CB">
      <w:pPr>
        <w:spacing w:line="360" w:lineRule="auto"/>
        <w:rPr>
          <w:sz w:val="24"/>
          <w:szCs w:val="24"/>
        </w:rPr>
      </w:pPr>
      <w:r>
        <w:rPr>
          <w:sz w:val="24"/>
          <w:szCs w:val="24"/>
        </w:rPr>
        <w:tab/>
      </w:r>
      <w:r>
        <w:rPr>
          <w:sz w:val="24"/>
          <w:szCs w:val="24"/>
        </w:rPr>
        <w:tab/>
        <w:t>17.</w:t>
      </w:r>
      <w:r>
        <w:rPr>
          <w:sz w:val="24"/>
          <w:szCs w:val="24"/>
        </w:rPr>
        <w:tab/>
      </w:r>
      <w:r w:rsidRPr="00B33F5F">
        <w:rPr>
          <w:sz w:val="24"/>
          <w:szCs w:val="24"/>
        </w:rPr>
        <w:t>The Respondent assessed a $920.00 tampering fee on August 13, 2012</w:t>
      </w:r>
    </w:p>
    <w:p w:rsidR="005767CB" w:rsidRDefault="005767CB" w:rsidP="005767CB">
      <w:pPr>
        <w:pStyle w:val="BodyText"/>
        <w:tabs>
          <w:tab w:val="left" w:pos="0"/>
        </w:tabs>
        <w:spacing w:line="360" w:lineRule="auto"/>
        <w:jc w:val="left"/>
        <w:rPr>
          <w:rFonts w:ascii="Times New Roman" w:hAnsi="Times New Roman"/>
          <w:szCs w:val="24"/>
        </w:rPr>
      </w:pPr>
      <w:proofErr w:type="gramStart"/>
      <w:r>
        <w:rPr>
          <w:rFonts w:ascii="Times New Roman" w:hAnsi="Times New Roman"/>
          <w:szCs w:val="24"/>
        </w:rPr>
        <w:t>(Tr. 4; PECO Ex. 1).</w:t>
      </w:r>
      <w:proofErr w:type="gramEnd"/>
    </w:p>
    <w:p w:rsidR="00B33F5F" w:rsidRDefault="00B33F5F" w:rsidP="005767CB">
      <w:pPr>
        <w:pStyle w:val="BodyText"/>
        <w:tabs>
          <w:tab w:val="left" w:pos="0"/>
        </w:tabs>
        <w:spacing w:line="360" w:lineRule="auto"/>
        <w:jc w:val="left"/>
        <w:rPr>
          <w:rFonts w:ascii="Times New Roman" w:hAnsi="Times New Roman"/>
          <w:szCs w:val="24"/>
        </w:rPr>
      </w:pPr>
    </w:p>
    <w:p w:rsidR="005767CB" w:rsidRDefault="005767CB" w:rsidP="005767CB">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18.</w:t>
      </w:r>
      <w:r>
        <w:rPr>
          <w:rFonts w:ascii="Times New Roman" w:hAnsi="Times New Roman"/>
          <w:szCs w:val="24"/>
        </w:rPr>
        <w:tab/>
      </w:r>
      <w:r>
        <w:rPr>
          <w:rFonts w:ascii="Times New Roman" w:hAnsi="Times New Roman"/>
          <w:szCs w:val="24"/>
        </w:rPr>
        <w:t>The Respondent restored the Complainant’s electric service on August 21, 2012</w:t>
      </w:r>
      <w:r>
        <w:rPr>
          <w:rFonts w:ascii="Times New Roman" w:hAnsi="Times New Roman"/>
          <w:b/>
          <w:szCs w:val="24"/>
        </w:rPr>
        <w:t xml:space="preserve"> </w:t>
      </w:r>
      <w:r w:rsidRPr="00C8454F">
        <w:rPr>
          <w:rFonts w:ascii="Times New Roman" w:hAnsi="Times New Roman"/>
          <w:szCs w:val="24"/>
        </w:rPr>
        <w:t>after the Complainant submitted a medical certificate</w:t>
      </w:r>
      <w:r>
        <w:rPr>
          <w:rFonts w:ascii="Times New Roman" w:hAnsi="Times New Roman"/>
          <w:b/>
          <w:szCs w:val="24"/>
        </w:rPr>
        <w:t xml:space="preserve"> </w:t>
      </w:r>
      <w:r>
        <w:rPr>
          <w:rFonts w:ascii="Times New Roman" w:hAnsi="Times New Roman"/>
          <w:szCs w:val="24"/>
        </w:rPr>
        <w:t xml:space="preserve">(Tr. 17; PECO </w:t>
      </w:r>
      <w:proofErr w:type="spellStart"/>
      <w:r>
        <w:rPr>
          <w:rFonts w:ascii="Times New Roman" w:hAnsi="Times New Roman"/>
          <w:szCs w:val="24"/>
        </w:rPr>
        <w:t>Exs</w:t>
      </w:r>
      <w:proofErr w:type="spellEnd"/>
      <w:r>
        <w:rPr>
          <w:rFonts w:ascii="Times New Roman" w:hAnsi="Times New Roman"/>
          <w:szCs w:val="24"/>
        </w:rPr>
        <w:t>. 1, 2</w:t>
      </w:r>
      <w:r>
        <w:rPr>
          <w:rFonts w:ascii="Times New Roman" w:hAnsi="Times New Roman"/>
          <w:b/>
          <w:szCs w:val="24"/>
        </w:rPr>
        <w:t>)</w:t>
      </w:r>
      <w:r>
        <w:rPr>
          <w:rFonts w:ascii="Times New Roman" w:hAnsi="Times New Roman"/>
          <w:szCs w:val="24"/>
        </w:rPr>
        <w:t xml:space="preserve">. </w:t>
      </w:r>
    </w:p>
    <w:p w:rsidR="005767CB" w:rsidRDefault="005767CB" w:rsidP="005767CB">
      <w:pPr>
        <w:pStyle w:val="BodyText"/>
        <w:tabs>
          <w:tab w:val="clear" w:pos="1980"/>
          <w:tab w:val="left" w:pos="0"/>
        </w:tabs>
        <w:spacing w:line="360" w:lineRule="auto"/>
        <w:jc w:val="left"/>
        <w:rPr>
          <w:rFonts w:ascii="Times New Roman" w:hAnsi="Times New Roman"/>
          <w:szCs w:val="24"/>
        </w:rPr>
      </w:pPr>
    </w:p>
    <w:p w:rsidR="005767CB" w:rsidRDefault="005767CB" w:rsidP="005767CB">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19.</w:t>
      </w:r>
      <w:r>
        <w:rPr>
          <w:rFonts w:ascii="Times New Roman" w:hAnsi="Times New Roman"/>
          <w:szCs w:val="24"/>
        </w:rPr>
        <w:tab/>
      </w:r>
      <w:r w:rsidR="00B33F5F">
        <w:rPr>
          <w:rFonts w:ascii="Times New Roman" w:hAnsi="Times New Roman"/>
          <w:szCs w:val="24"/>
        </w:rPr>
        <w:t xml:space="preserve">On </w:t>
      </w:r>
      <w:r>
        <w:rPr>
          <w:rFonts w:ascii="Times New Roman" w:hAnsi="Times New Roman"/>
          <w:szCs w:val="24"/>
        </w:rPr>
        <w:t>August 28, 2012, the Complainant’ account was removed from the Respondent’s Customer Assistance Program because theft was found at the property (Tr. 18, 19).</w:t>
      </w:r>
    </w:p>
    <w:p w:rsidR="005767CB" w:rsidRDefault="005767CB" w:rsidP="005767CB">
      <w:pPr>
        <w:pStyle w:val="BodyText"/>
        <w:tabs>
          <w:tab w:val="clear" w:pos="1980"/>
          <w:tab w:val="left" w:pos="-90"/>
          <w:tab w:val="left" w:pos="0"/>
        </w:tabs>
        <w:spacing w:line="360" w:lineRule="auto"/>
        <w:jc w:val="left"/>
        <w:rPr>
          <w:rFonts w:ascii="Times New Roman" w:hAnsi="Times New Roman"/>
          <w:szCs w:val="24"/>
        </w:rPr>
      </w:pPr>
    </w:p>
    <w:p w:rsidR="005767CB" w:rsidRDefault="005767CB" w:rsidP="005767CB">
      <w:pPr>
        <w:pStyle w:val="ListParagraph"/>
        <w:spacing w:line="360" w:lineRule="auto"/>
        <w:ind w:left="0"/>
      </w:pPr>
      <w:r>
        <w:tab/>
      </w:r>
      <w:r>
        <w:tab/>
        <w:t>20.</w:t>
      </w:r>
      <w:r>
        <w:tab/>
      </w:r>
      <w:r>
        <w:t xml:space="preserve">When theft is found, the customer cannot re-enroll in CAP for one year </w:t>
      </w:r>
    </w:p>
    <w:p w:rsidR="005767CB" w:rsidRDefault="005767CB" w:rsidP="005767CB">
      <w:pPr>
        <w:pStyle w:val="BodyText"/>
        <w:tabs>
          <w:tab w:val="left" w:pos="0"/>
        </w:tabs>
        <w:spacing w:line="360" w:lineRule="auto"/>
        <w:jc w:val="left"/>
        <w:rPr>
          <w:rFonts w:ascii="Times New Roman" w:hAnsi="Times New Roman"/>
          <w:szCs w:val="24"/>
        </w:rPr>
      </w:pPr>
      <w:proofErr w:type="gramStart"/>
      <w:r>
        <w:rPr>
          <w:rFonts w:ascii="Times New Roman" w:hAnsi="Times New Roman"/>
          <w:szCs w:val="24"/>
        </w:rPr>
        <w:t>(Tr. 18, 19).</w:t>
      </w:r>
      <w:proofErr w:type="gramEnd"/>
    </w:p>
    <w:p w:rsidR="00800C0F" w:rsidRDefault="00800C0F" w:rsidP="004D2373">
      <w:pPr>
        <w:pStyle w:val="BodyText"/>
        <w:tabs>
          <w:tab w:val="clear" w:pos="1980"/>
          <w:tab w:val="left" w:pos="-90"/>
          <w:tab w:val="left" w:pos="0"/>
        </w:tabs>
        <w:spacing w:line="360" w:lineRule="auto"/>
        <w:jc w:val="left"/>
        <w:rPr>
          <w:rFonts w:ascii="Times New Roman" w:hAnsi="Times New Roman"/>
          <w:b/>
          <w:szCs w:val="24"/>
        </w:rPr>
      </w:pPr>
    </w:p>
    <w:p w:rsidR="00F52DA9" w:rsidRDefault="002765C0" w:rsidP="00D51895">
      <w:pPr>
        <w:pStyle w:val="BodyText"/>
        <w:tabs>
          <w:tab w:val="clear" w:pos="198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5767CB">
        <w:rPr>
          <w:rFonts w:ascii="Times New Roman" w:hAnsi="Times New Roman"/>
          <w:szCs w:val="24"/>
        </w:rPr>
        <w:t>21</w:t>
      </w:r>
      <w:r w:rsidR="005F3E9B" w:rsidRPr="00C95AD3">
        <w:rPr>
          <w:rFonts w:ascii="Times New Roman" w:hAnsi="Times New Roman"/>
          <w:szCs w:val="24"/>
        </w:rPr>
        <w:t>.</w:t>
      </w:r>
      <w:r w:rsidR="005F3E9B" w:rsidRPr="00C95AD3">
        <w:rPr>
          <w:rFonts w:ascii="Times New Roman" w:hAnsi="Times New Roman"/>
          <w:szCs w:val="24"/>
        </w:rPr>
        <w:tab/>
      </w:r>
      <w:r w:rsidR="00F52DA9" w:rsidRPr="00C95AD3">
        <w:rPr>
          <w:rFonts w:ascii="Times New Roman" w:hAnsi="Times New Roman"/>
          <w:szCs w:val="24"/>
        </w:rPr>
        <w:t>At the time of the hearing, the Complainant’s gross monthly i</w:t>
      </w:r>
      <w:r w:rsidR="005C02CB" w:rsidRPr="00C95AD3">
        <w:rPr>
          <w:rFonts w:ascii="Times New Roman" w:hAnsi="Times New Roman"/>
          <w:szCs w:val="24"/>
        </w:rPr>
        <w:t xml:space="preserve">ncome </w:t>
      </w:r>
      <w:r w:rsidR="00F52DA9" w:rsidRPr="00C95AD3">
        <w:rPr>
          <w:rFonts w:ascii="Times New Roman" w:hAnsi="Times New Roman"/>
          <w:szCs w:val="24"/>
        </w:rPr>
        <w:t xml:space="preserve">was </w:t>
      </w:r>
      <w:r w:rsidR="007B42FD" w:rsidRPr="00C95AD3">
        <w:rPr>
          <w:rFonts w:ascii="Times New Roman" w:hAnsi="Times New Roman"/>
          <w:szCs w:val="24"/>
        </w:rPr>
        <w:t>$3</w:t>
      </w:r>
      <w:r w:rsidR="00745403">
        <w:rPr>
          <w:rFonts w:ascii="Times New Roman" w:hAnsi="Times New Roman"/>
          <w:szCs w:val="24"/>
        </w:rPr>
        <w:t>16.00 for three people in the household</w:t>
      </w:r>
      <w:r w:rsidR="007B42FD" w:rsidRPr="00C95AD3">
        <w:rPr>
          <w:rFonts w:ascii="Times New Roman" w:hAnsi="Times New Roman"/>
          <w:szCs w:val="24"/>
        </w:rPr>
        <w:t xml:space="preserve">. </w:t>
      </w:r>
      <w:r w:rsidR="00745403">
        <w:rPr>
          <w:rFonts w:ascii="Times New Roman" w:hAnsi="Times New Roman"/>
          <w:szCs w:val="24"/>
        </w:rPr>
        <w:t xml:space="preserve"> </w:t>
      </w:r>
      <w:r w:rsidR="00F41D62" w:rsidRPr="00C95AD3">
        <w:rPr>
          <w:rFonts w:ascii="Times New Roman" w:hAnsi="Times New Roman"/>
          <w:szCs w:val="24"/>
        </w:rPr>
        <w:t>According to the federal poverty guidelines, the Complainant</w:t>
      </w:r>
      <w:r w:rsidR="00745403">
        <w:rPr>
          <w:rFonts w:ascii="Times New Roman" w:hAnsi="Times New Roman"/>
          <w:szCs w:val="24"/>
        </w:rPr>
        <w:t>’s</w:t>
      </w:r>
      <w:r w:rsidR="00F41D62" w:rsidRPr="00C95AD3">
        <w:rPr>
          <w:rFonts w:ascii="Times New Roman" w:hAnsi="Times New Roman"/>
          <w:szCs w:val="24"/>
        </w:rPr>
        <w:t xml:space="preserve"> </w:t>
      </w:r>
      <w:r w:rsidR="00282A2A" w:rsidRPr="00C95AD3">
        <w:rPr>
          <w:rFonts w:ascii="Times New Roman" w:hAnsi="Times New Roman"/>
          <w:szCs w:val="24"/>
        </w:rPr>
        <w:t xml:space="preserve">income </w:t>
      </w:r>
      <w:r w:rsidR="00745403">
        <w:rPr>
          <w:rFonts w:ascii="Times New Roman" w:hAnsi="Times New Roman"/>
          <w:szCs w:val="24"/>
        </w:rPr>
        <w:t>was</w:t>
      </w:r>
      <w:r w:rsidR="00282A2A" w:rsidRPr="00C95AD3">
        <w:rPr>
          <w:rFonts w:ascii="Times New Roman" w:hAnsi="Times New Roman"/>
          <w:szCs w:val="24"/>
        </w:rPr>
        <w:t xml:space="preserve"> 20% of the Federal poverty level </w:t>
      </w:r>
      <w:r w:rsidR="00F52DA9" w:rsidRPr="00C95AD3">
        <w:rPr>
          <w:rFonts w:ascii="Times New Roman" w:hAnsi="Times New Roman"/>
          <w:szCs w:val="24"/>
        </w:rPr>
        <w:t>(Tr.</w:t>
      </w:r>
      <w:r w:rsidR="00654817" w:rsidRPr="00C95AD3">
        <w:rPr>
          <w:rFonts w:ascii="Times New Roman" w:hAnsi="Times New Roman"/>
          <w:szCs w:val="24"/>
        </w:rPr>
        <w:t xml:space="preserve"> </w:t>
      </w:r>
      <w:r w:rsidR="00E84FC1" w:rsidRPr="00C95AD3">
        <w:rPr>
          <w:rFonts w:ascii="Times New Roman" w:hAnsi="Times New Roman"/>
          <w:szCs w:val="24"/>
        </w:rPr>
        <w:t>1</w:t>
      </w:r>
      <w:r w:rsidR="00745403">
        <w:rPr>
          <w:rFonts w:ascii="Times New Roman" w:hAnsi="Times New Roman"/>
          <w:szCs w:val="24"/>
        </w:rPr>
        <w:t>8</w:t>
      </w:r>
      <w:r w:rsidR="00E84FC1" w:rsidRPr="00C95AD3">
        <w:rPr>
          <w:rFonts w:ascii="Times New Roman" w:hAnsi="Times New Roman"/>
          <w:szCs w:val="24"/>
        </w:rPr>
        <w:t>, 19</w:t>
      </w:r>
      <w:r w:rsidR="00F52DA9" w:rsidRPr="00C95AD3">
        <w:rPr>
          <w:rFonts w:ascii="Times New Roman" w:hAnsi="Times New Roman"/>
          <w:szCs w:val="24"/>
        </w:rPr>
        <w:t>).</w:t>
      </w:r>
    </w:p>
    <w:p w:rsidR="004D2373" w:rsidRPr="00C95AD3" w:rsidRDefault="004D2373" w:rsidP="00D51895">
      <w:pPr>
        <w:pStyle w:val="BodyText"/>
        <w:tabs>
          <w:tab w:val="clear" w:pos="1980"/>
          <w:tab w:val="left" w:pos="0"/>
        </w:tabs>
        <w:spacing w:line="360" w:lineRule="auto"/>
        <w:jc w:val="left"/>
        <w:rPr>
          <w:rFonts w:ascii="Times New Roman" w:hAnsi="Times New Roman"/>
          <w:szCs w:val="24"/>
        </w:rPr>
      </w:pPr>
    </w:p>
    <w:p w:rsidR="00FB0FB7" w:rsidRPr="00C95AD3" w:rsidRDefault="007201E8" w:rsidP="00D51895">
      <w:pPr>
        <w:pStyle w:val="BodyText"/>
        <w:tabs>
          <w:tab w:val="clear" w:pos="1980"/>
          <w:tab w:val="left" w:pos="0"/>
        </w:tabs>
        <w:spacing w:line="360" w:lineRule="auto"/>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5767CB">
        <w:rPr>
          <w:rFonts w:ascii="Times New Roman" w:hAnsi="Times New Roman"/>
          <w:szCs w:val="24"/>
        </w:rPr>
        <w:t>22</w:t>
      </w:r>
      <w:r w:rsidRPr="00C95AD3">
        <w:rPr>
          <w:rFonts w:ascii="Times New Roman" w:hAnsi="Times New Roman"/>
          <w:szCs w:val="24"/>
        </w:rPr>
        <w:t>.</w:t>
      </w:r>
      <w:r w:rsidRPr="00C95AD3">
        <w:rPr>
          <w:rFonts w:ascii="Times New Roman" w:hAnsi="Times New Roman"/>
          <w:szCs w:val="24"/>
        </w:rPr>
        <w:tab/>
        <w:t xml:space="preserve">At the time of the hearing, the Complainant’s balance for </w:t>
      </w:r>
      <w:r w:rsidR="00F33557" w:rsidRPr="00C95AD3">
        <w:rPr>
          <w:rFonts w:ascii="Times New Roman" w:hAnsi="Times New Roman"/>
          <w:szCs w:val="24"/>
        </w:rPr>
        <w:t>h</w:t>
      </w:r>
      <w:r w:rsidR="00FB0FB7" w:rsidRPr="00C95AD3">
        <w:rPr>
          <w:rFonts w:ascii="Times New Roman" w:hAnsi="Times New Roman"/>
          <w:szCs w:val="24"/>
        </w:rPr>
        <w:t>er</w:t>
      </w:r>
      <w:r w:rsidRPr="00C95AD3">
        <w:rPr>
          <w:rFonts w:ascii="Times New Roman" w:hAnsi="Times New Roman"/>
          <w:szCs w:val="24"/>
        </w:rPr>
        <w:t xml:space="preserve"> </w:t>
      </w:r>
      <w:r w:rsidR="00730E7D" w:rsidRPr="00C95AD3">
        <w:rPr>
          <w:rFonts w:ascii="Times New Roman" w:hAnsi="Times New Roman"/>
          <w:szCs w:val="24"/>
        </w:rPr>
        <w:t>electric account</w:t>
      </w:r>
      <w:r w:rsidRPr="00C95AD3">
        <w:rPr>
          <w:rFonts w:ascii="Times New Roman" w:hAnsi="Times New Roman"/>
          <w:szCs w:val="24"/>
        </w:rPr>
        <w:t xml:space="preserve"> was </w:t>
      </w:r>
      <w:r w:rsidR="00FB0FB7" w:rsidRPr="00C95AD3">
        <w:rPr>
          <w:rFonts w:ascii="Times New Roman" w:hAnsi="Times New Roman"/>
          <w:szCs w:val="24"/>
        </w:rPr>
        <w:t>$1,932.48.  The</w:t>
      </w:r>
      <w:r w:rsidR="00FB0FB7" w:rsidRPr="00C95AD3">
        <w:rPr>
          <w:szCs w:val="24"/>
        </w:rPr>
        <w:t xml:space="preserve"> </w:t>
      </w:r>
      <w:r w:rsidR="00FB0FB7" w:rsidRPr="00C95AD3">
        <w:rPr>
          <w:rFonts w:ascii="Times New Roman" w:hAnsi="Times New Roman"/>
          <w:szCs w:val="24"/>
        </w:rPr>
        <w:t xml:space="preserve">CAP arrears balance was $74.58 </w:t>
      </w:r>
      <w:r w:rsidR="00745403">
        <w:rPr>
          <w:rFonts w:ascii="Times New Roman" w:hAnsi="Times New Roman"/>
          <w:szCs w:val="24"/>
        </w:rPr>
        <w:t>(Tr. 20, 21; PECO Ex. 1).</w:t>
      </w:r>
    </w:p>
    <w:p w:rsidR="00D51895" w:rsidRDefault="00D51895" w:rsidP="00D51895">
      <w:pPr>
        <w:pStyle w:val="Heading1"/>
        <w:spacing w:line="360" w:lineRule="auto"/>
        <w:rPr>
          <w:rFonts w:ascii="Times New Roman" w:hAnsi="Times New Roman"/>
          <w:b w:val="0"/>
          <w:szCs w:val="24"/>
        </w:rPr>
      </w:pPr>
    </w:p>
    <w:p w:rsidR="00804E4C" w:rsidRPr="00C95AD3" w:rsidRDefault="00804E4C" w:rsidP="00D51895">
      <w:pPr>
        <w:pStyle w:val="Heading1"/>
        <w:spacing w:line="360" w:lineRule="auto"/>
        <w:rPr>
          <w:rFonts w:ascii="Times New Roman" w:hAnsi="Times New Roman"/>
          <w:b w:val="0"/>
          <w:szCs w:val="24"/>
        </w:rPr>
      </w:pPr>
      <w:r w:rsidRPr="00C95AD3">
        <w:rPr>
          <w:rFonts w:ascii="Times New Roman" w:hAnsi="Times New Roman"/>
          <w:b w:val="0"/>
          <w:szCs w:val="24"/>
        </w:rPr>
        <w:t>DISCUSSION</w:t>
      </w:r>
    </w:p>
    <w:p w:rsidR="00804E4C" w:rsidRPr="00C95AD3" w:rsidRDefault="00804E4C" w:rsidP="00D51895">
      <w:pPr>
        <w:rPr>
          <w:sz w:val="24"/>
          <w:szCs w:val="24"/>
        </w:rPr>
      </w:pPr>
    </w:p>
    <w:p w:rsidR="00464643" w:rsidRPr="00C95AD3" w:rsidRDefault="00464643" w:rsidP="00D51895">
      <w:pPr>
        <w:pStyle w:val="BodyText"/>
        <w:tabs>
          <w:tab w:val="clear" w:pos="198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C95AD3">
        <w:rPr>
          <w:rFonts w:ascii="Times New Roman" w:hAnsi="Times New Roman"/>
          <w:i/>
          <w:iCs/>
          <w:szCs w:val="24"/>
        </w:rPr>
        <w:t>Se-Ling Hosiery v. Margulies</w:t>
      </w:r>
      <w:r w:rsidRPr="00C95AD3">
        <w:rPr>
          <w:rFonts w:ascii="Times New Roman" w:hAnsi="Times New Roman"/>
          <w:szCs w:val="24"/>
        </w:rPr>
        <w:t xml:space="preserve">, 364 Pa. 45, 70 A.2d 854 (1950).  The Complainant must show that the utility is responsible or accountable for the problem described in the complaint.  </w:t>
      </w:r>
      <w:r w:rsidRPr="00C95AD3">
        <w:rPr>
          <w:rFonts w:ascii="Times New Roman" w:hAnsi="Times New Roman"/>
          <w:i/>
          <w:iCs/>
          <w:szCs w:val="24"/>
        </w:rPr>
        <w:t>Feinstein v. Philadelphia Suburban Water Company</w:t>
      </w:r>
      <w:r w:rsidR="000C61E1" w:rsidRPr="00C95AD3">
        <w:rPr>
          <w:rFonts w:ascii="Times New Roman" w:hAnsi="Times New Roman"/>
          <w:szCs w:val="24"/>
        </w:rPr>
        <w:t>, 50 Pa. PUC</w:t>
      </w:r>
      <w:r w:rsidRPr="00C95AD3">
        <w:rPr>
          <w:rFonts w:ascii="Times New Roman" w:hAnsi="Times New Roman"/>
          <w:szCs w:val="24"/>
        </w:rPr>
        <w:t xml:space="preserve"> 300 (1976).</w:t>
      </w:r>
    </w:p>
    <w:p w:rsidR="00464643" w:rsidRPr="00C95AD3" w:rsidRDefault="00464643" w:rsidP="00D51895">
      <w:pPr>
        <w:pStyle w:val="BodyText"/>
        <w:tabs>
          <w:tab w:val="left" w:pos="720"/>
        </w:tabs>
        <w:spacing w:line="360" w:lineRule="auto"/>
        <w:jc w:val="left"/>
        <w:rPr>
          <w:rFonts w:ascii="Times New Roman" w:hAnsi="Times New Roman"/>
          <w:szCs w:val="24"/>
        </w:rPr>
      </w:pPr>
    </w:p>
    <w:p w:rsidR="00464643" w:rsidRPr="00C95AD3" w:rsidRDefault="00464643" w:rsidP="00D51895">
      <w:pPr>
        <w:pStyle w:val="BodyText"/>
        <w:tabs>
          <w:tab w:val="clear" w:pos="1980"/>
          <w:tab w:val="left" w:pos="-162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 xml:space="preserve">The record in this proceeding must be reviewed to determine whether the Complainant has satisfied </w:t>
      </w:r>
      <w:r w:rsidR="00F33557" w:rsidRPr="00C95AD3">
        <w:rPr>
          <w:rFonts w:ascii="Times New Roman" w:hAnsi="Times New Roman"/>
          <w:szCs w:val="24"/>
        </w:rPr>
        <w:t>h</w:t>
      </w:r>
      <w:r w:rsidR="00C93263">
        <w:rPr>
          <w:rFonts w:ascii="Times New Roman" w:hAnsi="Times New Roman"/>
          <w:szCs w:val="24"/>
        </w:rPr>
        <w:t>er</w:t>
      </w:r>
      <w:r w:rsidRPr="00C95AD3">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w:t>
      </w:r>
      <w:r w:rsidRPr="00C95AD3">
        <w:rPr>
          <w:rFonts w:ascii="Times New Roman" w:hAnsi="Times New Roman"/>
          <w:szCs w:val="24"/>
        </w:rPr>
        <w:lastRenderedPageBreak/>
        <w:t xml:space="preserve">been satisfied, unless the Complainant presented additional evidence.  </w:t>
      </w:r>
      <w:r w:rsidRPr="00C95AD3">
        <w:rPr>
          <w:rFonts w:ascii="Times New Roman" w:hAnsi="Times New Roman"/>
          <w:i/>
          <w:iCs/>
          <w:szCs w:val="24"/>
        </w:rPr>
        <w:t>Morrissey v. Pa. Dept. of</w:t>
      </w:r>
      <w:r w:rsidRPr="00C95AD3">
        <w:rPr>
          <w:rFonts w:ascii="Times New Roman" w:hAnsi="Times New Roman"/>
          <w:szCs w:val="24"/>
          <w:u w:val="single"/>
        </w:rPr>
        <w:t xml:space="preserve"> </w:t>
      </w:r>
      <w:r w:rsidRPr="00C95AD3">
        <w:rPr>
          <w:rFonts w:ascii="Times New Roman" w:hAnsi="Times New Roman"/>
          <w:i/>
          <w:iCs/>
          <w:szCs w:val="24"/>
        </w:rPr>
        <w:t>Highways</w:t>
      </w:r>
      <w:r w:rsidRPr="00C95AD3">
        <w:rPr>
          <w:rFonts w:ascii="Times New Roman" w:hAnsi="Times New Roman"/>
          <w:szCs w:val="24"/>
        </w:rPr>
        <w:t>, 424 Pa. 87, 225 A.2d 895 (1967).</w:t>
      </w:r>
    </w:p>
    <w:p w:rsidR="00464643" w:rsidRPr="00C95AD3" w:rsidRDefault="00464643" w:rsidP="00D51895">
      <w:pPr>
        <w:pStyle w:val="BodyText"/>
        <w:spacing w:line="360" w:lineRule="auto"/>
        <w:jc w:val="left"/>
        <w:rPr>
          <w:rFonts w:ascii="Times New Roman" w:hAnsi="Times New Roman"/>
          <w:szCs w:val="24"/>
        </w:rPr>
      </w:pPr>
    </w:p>
    <w:p w:rsidR="00D51895" w:rsidRDefault="00464643" w:rsidP="00D51895">
      <w:pPr>
        <w:pStyle w:val="BodyText"/>
        <w:tabs>
          <w:tab w:val="clear" w:pos="1980"/>
          <w:tab w:val="left" w:pos="-1710"/>
          <w:tab w:val="left" w:pos="-162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204C09" w:rsidRPr="00C95AD3">
        <w:rPr>
          <w:rFonts w:ascii="Times New Roman" w:hAnsi="Times New Roman"/>
          <w:szCs w:val="24"/>
        </w:rPr>
        <w:t xml:space="preserve">The </w:t>
      </w:r>
      <w:r w:rsidRPr="00C95AD3">
        <w:rPr>
          <w:rFonts w:ascii="Times New Roman" w:hAnsi="Times New Roman"/>
          <w:szCs w:val="24"/>
        </w:rPr>
        <w:t xml:space="preserve">Commission’s decision </w:t>
      </w:r>
      <w:r w:rsidR="00204C09" w:rsidRPr="00C95AD3">
        <w:rPr>
          <w:rFonts w:ascii="Times New Roman" w:hAnsi="Times New Roman"/>
          <w:szCs w:val="24"/>
        </w:rPr>
        <w:t>mu</w:t>
      </w:r>
      <w:r w:rsidRPr="00C95AD3">
        <w:rPr>
          <w:rFonts w:ascii="Times New Roman" w:hAnsi="Times New Roman"/>
          <w:szCs w:val="24"/>
        </w:rPr>
        <w:t>s</w:t>
      </w:r>
      <w:r w:rsidR="00204C09" w:rsidRPr="00C95AD3">
        <w:rPr>
          <w:rFonts w:ascii="Times New Roman" w:hAnsi="Times New Roman"/>
          <w:szCs w:val="24"/>
        </w:rPr>
        <w:t>t be</w:t>
      </w:r>
      <w:r w:rsidRPr="00C95AD3">
        <w:rPr>
          <w:rFonts w:ascii="Times New Roman" w:hAnsi="Times New Roman"/>
          <w:szCs w:val="24"/>
        </w:rPr>
        <w:t xml:space="preserv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C95AD3">
        <w:rPr>
          <w:rFonts w:ascii="Times New Roman" w:hAnsi="Times New Roman"/>
          <w:i/>
          <w:iCs/>
          <w:szCs w:val="24"/>
        </w:rPr>
        <w:t>Norfolk &amp; Western Ry. Co. v. Pa</w:t>
      </w:r>
      <w:r w:rsidRPr="00C95AD3">
        <w:rPr>
          <w:rFonts w:ascii="Times New Roman" w:hAnsi="Times New Roman"/>
          <w:szCs w:val="24"/>
        </w:rPr>
        <w:t>.</w:t>
      </w:r>
      <w:r w:rsidRPr="00C95AD3">
        <w:rPr>
          <w:rFonts w:ascii="Times New Roman" w:hAnsi="Times New Roman"/>
          <w:szCs w:val="24"/>
          <w:u w:val="single"/>
        </w:rPr>
        <w:t xml:space="preserve"> </w:t>
      </w:r>
      <w:r w:rsidRPr="00C95AD3">
        <w:rPr>
          <w:rFonts w:ascii="Times New Roman" w:hAnsi="Times New Roman"/>
          <w:i/>
          <w:iCs/>
          <w:szCs w:val="24"/>
        </w:rPr>
        <w:t>P.U.C.,</w:t>
      </w:r>
      <w:r w:rsidRPr="00C95AD3">
        <w:rPr>
          <w:rFonts w:ascii="Times New Roman" w:hAnsi="Times New Roman"/>
          <w:szCs w:val="24"/>
        </w:rPr>
        <w:t xml:space="preserve"> 489 Pa.109, 413 A. 2d 1037 (1980); </w:t>
      </w:r>
      <w:r w:rsidRPr="00C95AD3">
        <w:rPr>
          <w:rFonts w:ascii="Times New Roman" w:hAnsi="Times New Roman"/>
          <w:i/>
          <w:iCs/>
          <w:szCs w:val="24"/>
        </w:rPr>
        <w:t>Murphy v. Dept. of Public Welfare</w:t>
      </w:r>
      <w:r w:rsidRPr="00C95AD3">
        <w:rPr>
          <w:rFonts w:ascii="Times New Roman" w:hAnsi="Times New Roman"/>
          <w:szCs w:val="24"/>
        </w:rPr>
        <w:t>, 85 Pa. Cmwlth. 23, 480 A.2d 382 (1984).</w:t>
      </w:r>
    </w:p>
    <w:p w:rsidR="00D51895" w:rsidRDefault="00D51895">
      <w:pPr>
        <w:rPr>
          <w:sz w:val="24"/>
          <w:szCs w:val="24"/>
        </w:rPr>
      </w:pPr>
    </w:p>
    <w:p w:rsidR="0034700A" w:rsidRPr="00C95AD3" w:rsidRDefault="0034700A" w:rsidP="00D51895">
      <w:pPr>
        <w:pStyle w:val="BodyText"/>
        <w:tabs>
          <w:tab w:val="left" w:pos="-1710"/>
          <w:tab w:val="left" w:pos="-1620"/>
        </w:tabs>
        <w:spacing w:line="360" w:lineRule="auto"/>
        <w:jc w:val="left"/>
        <w:rPr>
          <w:rFonts w:ascii="Times New Roman" w:hAnsi="Times New Roman"/>
          <w:szCs w:val="24"/>
          <w:u w:val="single"/>
        </w:rPr>
      </w:pPr>
      <w:r w:rsidRPr="00C95AD3">
        <w:rPr>
          <w:rFonts w:ascii="Times New Roman" w:hAnsi="Times New Roman"/>
          <w:szCs w:val="24"/>
          <w:u w:val="single"/>
        </w:rPr>
        <w:t>Payment arrangement</w:t>
      </w:r>
    </w:p>
    <w:p w:rsidR="0034700A" w:rsidRPr="00C95AD3" w:rsidRDefault="0034700A" w:rsidP="00D51895">
      <w:pPr>
        <w:pStyle w:val="BodyText"/>
        <w:tabs>
          <w:tab w:val="left" w:pos="-1710"/>
          <w:tab w:val="left" w:pos="-1620"/>
        </w:tabs>
        <w:spacing w:line="360" w:lineRule="auto"/>
        <w:jc w:val="left"/>
        <w:rPr>
          <w:rFonts w:ascii="Times New Roman" w:hAnsi="Times New Roman"/>
          <w:szCs w:val="24"/>
          <w:u w:val="single"/>
        </w:rPr>
      </w:pPr>
    </w:p>
    <w:p w:rsidR="00933667" w:rsidRPr="00C95AD3" w:rsidRDefault="0034700A" w:rsidP="00D51895">
      <w:pPr>
        <w:pStyle w:val="BodyText"/>
        <w:tabs>
          <w:tab w:val="clear" w:pos="1980"/>
          <w:tab w:val="left" w:pos="-1710"/>
          <w:tab w:val="left" w:pos="-1620"/>
          <w:tab w:val="left" w:pos="0"/>
        </w:tabs>
        <w:spacing w:line="360" w:lineRule="auto"/>
        <w:jc w:val="left"/>
        <w:rPr>
          <w:rFonts w:ascii="Times New Roman" w:hAnsi="Times New Roman"/>
          <w:b/>
          <w:szCs w:val="24"/>
        </w:rPr>
      </w:pPr>
      <w:r w:rsidRPr="00C95AD3">
        <w:rPr>
          <w:rFonts w:ascii="Times New Roman" w:hAnsi="Times New Roman"/>
          <w:szCs w:val="24"/>
        </w:rPr>
        <w:tab/>
      </w:r>
      <w:r w:rsidRPr="00C95AD3">
        <w:rPr>
          <w:rFonts w:ascii="Times New Roman" w:hAnsi="Times New Roman"/>
          <w:szCs w:val="24"/>
        </w:rPr>
        <w:tab/>
        <w:t>The Complainant has requested a payment arrangement.</w:t>
      </w:r>
      <w:r w:rsidR="00B10C64" w:rsidRPr="00C95AD3">
        <w:rPr>
          <w:rFonts w:ascii="Times New Roman" w:hAnsi="Times New Roman"/>
          <w:szCs w:val="24"/>
        </w:rPr>
        <w:t xml:space="preserve">  The Respondent </w:t>
      </w:r>
      <w:r w:rsidR="0090510B" w:rsidRPr="00C95AD3">
        <w:rPr>
          <w:rFonts w:ascii="Times New Roman" w:hAnsi="Times New Roman"/>
          <w:szCs w:val="24"/>
        </w:rPr>
        <w:t xml:space="preserve">indicated that </w:t>
      </w:r>
      <w:r w:rsidR="00C95AD3">
        <w:rPr>
          <w:rFonts w:ascii="Times New Roman" w:hAnsi="Times New Roman"/>
          <w:szCs w:val="24"/>
        </w:rPr>
        <w:t>s</w:t>
      </w:r>
      <w:r w:rsidR="0090510B" w:rsidRPr="00C95AD3">
        <w:rPr>
          <w:rFonts w:ascii="Times New Roman" w:hAnsi="Times New Roman"/>
          <w:szCs w:val="24"/>
        </w:rPr>
        <w:t xml:space="preserve">he defaulted on Company issued </w:t>
      </w:r>
      <w:r w:rsidR="00B10C64" w:rsidRPr="00C95AD3">
        <w:rPr>
          <w:rFonts w:ascii="Times New Roman" w:hAnsi="Times New Roman"/>
          <w:szCs w:val="24"/>
        </w:rPr>
        <w:t>payment arrangement</w:t>
      </w:r>
      <w:r w:rsidR="0090510B" w:rsidRPr="00C95AD3">
        <w:rPr>
          <w:rFonts w:ascii="Times New Roman" w:hAnsi="Times New Roman"/>
          <w:szCs w:val="24"/>
        </w:rPr>
        <w:t>s but the Commission has not given h</w:t>
      </w:r>
      <w:r w:rsidR="00C93263">
        <w:rPr>
          <w:rFonts w:ascii="Times New Roman" w:hAnsi="Times New Roman"/>
          <w:szCs w:val="24"/>
        </w:rPr>
        <w:t>er</w:t>
      </w:r>
      <w:r w:rsidR="0090510B" w:rsidRPr="00C95AD3">
        <w:rPr>
          <w:rFonts w:ascii="Times New Roman" w:hAnsi="Times New Roman"/>
          <w:szCs w:val="24"/>
        </w:rPr>
        <w:t xml:space="preserve"> a payment arrangement (Tr. </w:t>
      </w:r>
      <w:r w:rsidR="00154527">
        <w:rPr>
          <w:rFonts w:ascii="Times New Roman" w:hAnsi="Times New Roman"/>
          <w:szCs w:val="24"/>
        </w:rPr>
        <w:t>20</w:t>
      </w:r>
      <w:r w:rsidR="0090510B" w:rsidRPr="00C95AD3">
        <w:rPr>
          <w:rFonts w:ascii="Times New Roman" w:hAnsi="Times New Roman"/>
          <w:szCs w:val="24"/>
        </w:rPr>
        <w:t xml:space="preserve">; PECO Ex. </w:t>
      </w:r>
      <w:r w:rsidR="00C93263">
        <w:rPr>
          <w:rFonts w:ascii="Times New Roman" w:hAnsi="Times New Roman"/>
          <w:szCs w:val="24"/>
        </w:rPr>
        <w:t>1</w:t>
      </w:r>
      <w:r w:rsidR="0090510B" w:rsidRPr="00C95AD3">
        <w:rPr>
          <w:rFonts w:ascii="Times New Roman" w:hAnsi="Times New Roman"/>
          <w:szCs w:val="24"/>
        </w:rPr>
        <w:t>)</w:t>
      </w:r>
      <w:r w:rsidR="00B10C64" w:rsidRPr="00C95AD3">
        <w:rPr>
          <w:rFonts w:ascii="Times New Roman" w:hAnsi="Times New Roman"/>
          <w:szCs w:val="24"/>
        </w:rPr>
        <w:t>.</w:t>
      </w:r>
    </w:p>
    <w:p w:rsidR="007E3D06" w:rsidRDefault="007E3D06" w:rsidP="00D51895">
      <w:pPr>
        <w:spacing w:line="360" w:lineRule="auto"/>
        <w:rPr>
          <w:sz w:val="24"/>
          <w:szCs w:val="24"/>
        </w:rPr>
      </w:pPr>
    </w:p>
    <w:p w:rsidR="007E3D06" w:rsidRDefault="007E3D06" w:rsidP="00D51895">
      <w:pPr>
        <w:spacing w:line="360" w:lineRule="auto"/>
        <w:rPr>
          <w:sz w:val="24"/>
          <w:szCs w:val="24"/>
        </w:rPr>
      </w:pPr>
      <w:r>
        <w:rPr>
          <w:sz w:val="24"/>
          <w:szCs w:val="24"/>
        </w:rPr>
        <w:tab/>
      </w:r>
      <w:r>
        <w:rPr>
          <w:sz w:val="24"/>
          <w:szCs w:val="24"/>
        </w:rPr>
        <w:tab/>
        <w:t xml:space="preserve">Although Section 1405(c) of the Public Utility Code, 66 Pa.C.S. § 1405(c), prohibits the Commission from setting a payment arrangement on an arrearage accrued under customer assistance program rates, when a Complainant has a mixed arrearage, the Commission may bifurcate the arrearage and establish a payment arrangement on the non-CAP arrearage.  Nevertheless, the Commission is not required to set a payment arrangement on a bifurcated arrearage and may decline to do so if the Complainant has exhibited a poor payment history and inability to keep prior payment agreements with the company.  </w:t>
      </w:r>
      <w:r>
        <w:rPr>
          <w:i/>
          <w:sz w:val="24"/>
          <w:szCs w:val="24"/>
        </w:rPr>
        <w:t>Hewitt v. PECO Energy Co</w:t>
      </w:r>
      <w:r>
        <w:rPr>
          <w:sz w:val="24"/>
          <w:szCs w:val="24"/>
        </w:rPr>
        <w:t xml:space="preserve">., Docket No. F-2011-2273271 (Order entered September 12, 2013).  Since the Commission can only give a limited number of payment agreements, a payment agreement issued on a non-CAP arrearage in a scenario where the Complainant is likely to default is not in the customer’s best interest.  </w:t>
      </w:r>
      <w:r>
        <w:rPr>
          <w:i/>
          <w:sz w:val="24"/>
          <w:szCs w:val="24"/>
        </w:rPr>
        <w:t>Joy Turner v Philadelphia Gas Works</w:t>
      </w:r>
      <w:r>
        <w:rPr>
          <w:sz w:val="24"/>
          <w:szCs w:val="24"/>
        </w:rPr>
        <w:t xml:space="preserve">, C-2013-2388319 (Order Entered June 19, 2014). </w:t>
      </w:r>
    </w:p>
    <w:p w:rsidR="001418B9" w:rsidRPr="00C95AD3" w:rsidRDefault="001418B9" w:rsidP="00D51895">
      <w:pPr>
        <w:pStyle w:val="BodyText"/>
        <w:tabs>
          <w:tab w:val="clear" w:pos="1980"/>
          <w:tab w:val="left" w:pos="-1710"/>
          <w:tab w:val="left" w:pos="-1620"/>
          <w:tab w:val="left" w:pos="0"/>
        </w:tabs>
        <w:spacing w:line="360" w:lineRule="auto"/>
        <w:jc w:val="left"/>
        <w:rPr>
          <w:rFonts w:ascii="Times New Roman" w:hAnsi="Times New Roman"/>
          <w:szCs w:val="24"/>
        </w:rPr>
      </w:pPr>
    </w:p>
    <w:p w:rsidR="0034700A" w:rsidRPr="00C95AD3" w:rsidRDefault="0034700A" w:rsidP="00D51895">
      <w:pPr>
        <w:pStyle w:val="BodyText"/>
        <w:tabs>
          <w:tab w:val="clear" w:pos="1980"/>
          <w:tab w:val="left" w:pos="-1710"/>
          <w:tab w:val="left" w:pos="-1620"/>
          <w:tab w:val="left" w:pos="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Pr="00C95AD3">
        <w:rPr>
          <w:rFonts w:ascii="Times New Roman" w:hAnsi="Times New Roman"/>
          <w:spacing w:val="-3"/>
          <w:szCs w:val="24"/>
        </w:rPr>
        <w:t>The Commission follows the rules set forth in the Responsible Utility Customer Protection Act, 66 Pa.C.S. § 1401</w:t>
      </w:r>
      <w:r w:rsidRPr="00C95AD3">
        <w:rPr>
          <w:rFonts w:ascii="Times New Roman" w:hAnsi="Times New Roman"/>
          <w:i/>
          <w:spacing w:val="-3"/>
          <w:szCs w:val="24"/>
        </w:rPr>
        <w:t xml:space="preserve"> et seq.</w:t>
      </w:r>
      <w:r w:rsidR="00284A9A" w:rsidRPr="00C95AD3">
        <w:rPr>
          <w:rFonts w:ascii="Times New Roman" w:hAnsi="Times New Roman"/>
          <w:spacing w:val="-3"/>
          <w:szCs w:val="24"/>
        </w:rPr>
        <w:t>,</w:t>
      </w:r>
      <w:r w:rsidRPr="00C95AD3">
        <w:rPr>
          <w:rFonts w:ascii="Times New Roman" w:hAnsi="Times New Roman"/>
          <w:spacing w:val="-3"/>
          <w:szCs w:val="24"/>
        </w:rPr>
        <w:t xml:space="preserve"> when it addresses payment arrangements.  </w:t>
      </w:r>
    </w:p>
    <w:p w:rsidR="00E84C21" w:rsidRDefault="00E84C21">
      <w:pPr>
        <w:rPr>
          <w:sz w:val="24"/>
          <w:szCs w:val="24"/>
        </w:rPr>
      </w:pPr>
      <w:r>
        <w:rPr>
          <w:sz w:val="24"/>
          <w:szCs w:val="24"/>
        </w:rPr>
        <w:br w:type="page"/>
      </w:r>
    </w:p>
    <w:p w:rsidR="00B57A3C" w:rsidRDefault="00B57A3C" w:rsidP="00D51895">
      <w:pPr>
        <w:autoSpaceDE w:val="0"/>
        <w:autoSpaceDN w:val="0"/>
        <w:adjustRightInd w:val="0"/>
        <w:ind w:left="1152" w:right="1152"/>
        <w:rPr>
          <w:sz w:val="24"/>
          <w:szCs w:val="24"/>
        </w:rPr>
      </w:pPr>
      <w:r w:rsidRPr="00C95AD3">
        <w:rPr>
          <w:sz w:val="24"/>
          <w:szCs w:val="24"/>
        </w:rPr>
        <w:lastRenderedPageBreak/>
        <w:t xml:space="preserve">§ 1405.  </w:t>
      </w:r>
      <w:proofErr w:type="gramStart"/>
      <w:r w:rsidRPr="00C95AD3">
        <w:rPr>
          <w:sz w:val="24"/>
          <w:szCs w:val="24"/>
        </w:rPr>
        <w:t>Payment arrangements.</w:t>
      </w:r>
      <w:proofErr w:type="gramEnd"/>
      <w:r w:rsidRPr="00C95AD3">
        <w:rPr>
          <w:sz w:val="24"/>
          <w:szCs w:val="24"/>
        </w:rPr>
        <w:t xml:space="preserve"> </w:t>
      </w:r>
    </w:p>
    <w:p w:rsidR="00E84C21" w:rsidRPr="00C95AD3" w:rsidRDefault="00E84C21" w:rsidP="00D51895">
      <w:pPr>
        <w:autoSpaceDE w:val="0"/>
        <w:autoSpaceDN w:val="0"/>
        <w:adjustRightInd w:val="0"/>
        <w:ind w:left="1152" w:right="1152"/>
        <w:rPr>
          <w:sz w:val="24"/>
          <w:szCs w:val="24"/>
        </w:rPr>
      </w:pPr>
    </w:p>
    <w:p w:rsidR="00B57A3C" w:rsidRPr="00C95AD3" w:rsidRDefault="00B57A3C" w:rsidP="00D51895">
      <w:pPr>
        <w:autoSpaceDE w:val="0"/>
        <w:autoSpaceDN w:val="0"/>
        <w:adjustRightInd w:val="0"/>
        <w:ind w:left="1152" w:right="1152"/>
        <w:rPr>
          <w:sz w:val="24"/>
          <w:szCs w:val="24"/>
        </w:rPr>
      </w:pPr>
      <w:r w:rsidRPr="00C95AD3">
        <w:rPr>
          <w:sz w:val="24"/>
          <w:szCs w:val="24"/>
        </w:rPr>
        <w:t>(a)  General rule.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B57A3C" w:rsidRPr="00C95AD3" w:rsidRDefault="00B57A3C" w:rsidP="00D51895">
      <w:pPr>
        <w:autoSpaceDE w:val="0"/>
        <w:autoSpaceDN w:val="0"/>
        <w:adjustRightInd w:val="0"/>
        <w:ind w:left="1152" w:right="1152"/>
        <w:rPr>
          <w:sz w:val="24"/>
          <w:szCs w:val="24"/>
        </w:rPr>
      </w:pPr>
    </w:p>
    <w:p w:rsidR="00B57A3C" w:rsidRPr="00C95AD3" w:rsidRDefault="00B57A3C" w:rsidP="00D51895">
      <w:pPr>
        <w:autoSpaceDE w:val="0"/>
        <w:autoSpaceDN w:val="0"/>
        <w:adjustRightInd w:val="0"/>
        <w:ind w:left="1152" w:right="1152"/>
        <w:rPr>
          <w:sz w:val="24"/>
          <w:szCs w:val="24"/>
        </w:rPr>
      </w:pPr>
      <w:r w:rsidRPr="00C95AD3">
        <w:rPr>
          <w:sz w:val="24"/>
          <w:szCs w:val="24"/>
        </w:rP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B57A3C" w:rsidRPr="00C95AD3" w:rsidRDefault="00B57A3C" w:rsidP="00D51895">
      <w:pPr>
        <w:autoSpaceDE w:val="0"/>
        <w:autoSpaceDN w:val="0"/>
        <w:adjustRightInd w:val="0"/>
        <w:ind w:left="1152" w:right="1152"/>
        <w:rPr>
          <w:sz w:val="24"/>
          <w:szCs w:val="24"/>
        </w:rPr>
      </w:pPr>
    </w:p>
    <w:p w:rsidR="00B57A3C" w:rsidRPr="00C95AD3" w:rsidRDefault="00B57A3C" w:rsidP="00D51895">
      <w:pPr>
        <w:autoSpaceDE w:val="0"/>
        <w:autoSpaceDN w:val="0"/>
        <w:adjustRightInd w:val="0"/>
        <w:ind w:left="1152" w:right="1152"/>
        <w:rPr>
          <w:sz w:val="24"/>
          <w:szCs w:val="24"/>
        </w:rPr>
      </w:pPr>
      <w:r w:rsidRPr="00C95AD3">
        <w:rPr>
          <w:sz w:val="24"/>
          <w:szCs w:val="24"/>
        </w:rPr>
        <w:t xml:space="preserve">   (1) Five years for customers with a gross monthly household income level not exceeding 150% of the Federal poverty level.</w:t>
      </w:r>
    </w:p>
    <w:p w:rsidR="00B57A3C" w:rsidRPr="00C95AD3" w:rsidRDefault="00B57A3C" w:rsidP="00D51895">
      <w:pPr>
        <w:autoSpaceDE w:val="0"/>
        <w:autoSpaceDN w:val="0"/>
        <w:adjustRightInd w:val="0"/>
        <w:ind w:left="1152" w:right="1152"/>
        <w:rPr>
          <w:sz w:val="24"/>
          <w:szCs w:val="24"/>
        </w:rPr>
      </w:pPr>
      <w:r w:rsidRPr="00C95AD3">
        <w:rPr>
          <w:sz w:val="24"/>
          <w:szCs w:val="24"/>
        </w:rPr>
        <w:t xml:space="preserve">   (2) Three years for customers with a gross monthly household income level exceeding 150% and not more than 250% of the Federal poverty level.</w:t>
      </w:r>
    </w:p>
    <w:p w:rsidR="00B57A3C" w:rsidRPr="00C95AD3" w:rsidRDefault="00B57A3C" w:rsidP="00D51895">
      <w:pPr>
        <w:autoSpaceDE w:val="0"/>
        <w:autoSpaceDN w:val="0"/>
        <w:adjustRightInd w:val="0"/>
        <w:ind w:left="1152" w:right="1152"/>
        <w:rPr>
          <w:sz w:val="24"/>
          <w:szCs w:val="24"/>
        </w:rPr>
      </w:pPr>
    </w:p>
    <w:p w:rsidR="00B57A3C" w:rsidRPr="00C95AD3" w:rsidRDefault="00B57A3C" w:rsidP="00D51895">
      <w:pPr>
        <w:autoSpaceDE w:val="0"/>
        <w:autoSpaceDN w:val="0"/>
        <w:adjustRightInd w:val="0"/>
        <w:ind w:left="1152" w:right="1152"/>
        <w:rPr>
          <w:sz w:val="24"/>
          <w:szCs w:val="24"/>
        </w:rPr>
      </w:pPr>
      <w:r w:rsidRPr="00C95AD3">
        <w:rPr>
          <w:sz w:val="24"/>
          <w:szCs w:val="24"/>
        </w:rPr>
        <w:t xml:space="preserve">   (3) One year for customers with a gross monthly household income level exceeding 250% of the Federal poverty level and not more than 300% of the Federal poverty level.</w:t>
      </w:r>
    </w:p>
    <w:p w:rsidR="00B57A3C" w:rsidRPr="00C95AD3" w:rsidRDefault="00B57A3C" w:rsidP="00D51895">
      <w:pPr>
        <w:autoSpaceDE w:val="0"/>
        <w:autoSpaceDN w:val="0"/>
        <w:adjustRightInd w:val="0"/>
        <w:ind w:left="1152" w:right="1152"/>
        <w:rPr>
          <w:sz w:val="24"/>
          <w:szCs w:val="24"/>
        </w:rPr>
      </w:pPr>
    </w:p>
    <w:p w:rsidR="00B57A3C" w:rsidRPr="00C95AD3" w:rsidRDefault="00B57A3C" w:rsidP="00D51895">
      <w:pPr>
        <w:autoSpaceDE w:val="0"/>
        <w:autoSpaceDN w:val="0"/>
        <w:adjustRightInd w:val="0"/>
        <w:ind w:left="1152" w:right="1152"/>
        <w:rPr>
          <w:sz w:val="24"/>
          <w:szCs w:val="24"/>
        </w:rPr>
      </w:pPr>
      <w:r w:rsidRPr="00C95AD3">
        <w:rPr>
          <w:sz w:val="24"/>
          <w:szCs w:val="24"/>
        </w:rPr>
        <w:t xml:space="preserve">   (4) Six months for customers with a gross monthly household income level exceeding 300% of the Federal poverty level.</w:t>
      </w:r>
    </w:p>
    <w:p w:rsidR="00B57A3C" w:rsidRPr="00C95AD3" w:rsidRDefault="00B57A3C" w:rsidP="00D51895">
      <w:pPr>
        <w:pStyle w:val="BodyText"/>
        <w:tabs>
          <w:tab w:val="left" w:pos="-1710"/>
          <w:tab w:val="left" w:pos="-1620"/>
        </w:tabs>
        <w:jc w:val="left"/>
        <w:rPr>
          <w:rFonts w:ascii="Times New Roman" w:hAnsi="Times New Roman"/>
          <w:szCs w:val="24"/>
        </w:rPr>
      </w:pPr>
    </w:p>
    <w:p w:rsidR="005778D5" w:rsidRPr="00C95AD3" w:rsidRDefault="004D2373" w:rsidP="004D2373">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Teresa Ferrier, a senior regulatory assessor for the Respondent, testified that the Respondent gave the Complainant a payment agreement in July 2010.  The Complainant was required to pay $18.73 per month plus the current bill (Tr. 19; PECO Ex. 1).  She defaulted on the agreement on June 14, 2011 and the agreement was reinstated on June 22, 2011 (Tr. 19, 20; PECO Ex. 1).  The Complainant defaulted on the reinstated agreement on April 16, 2012 (Tr. 20; PECO Ex. 1).  Furthermore, the Complainant had not made a payment in the ten months prior to the hearing (Tr. 16; PECO Ex. 1).</w:t>
      </w:r>
    </w:p>
    <w:p w:rsidR="0090510B" w:rsidRDefault="00B10C64" w:rsidP="00D51895">
      <w:pPr>
        <w:spacing w:line="360" w:lineRule="auto"/>
        <w:rPr>
          <w:sz w:val="24"/>
          <w:szCs w:val="24"/>
        </w:rPr>
      </w:pPr>
      <w:r w:rsidRPr="00C95AD3">
        <w:rPr>
          <w:sz w:val="24"/>
          <w:szCs w:val="24"/>
        </w:rPr>
        <w:tab/>
      </w:r>
      <w:r w:rsidRPr="00C95AD3">
        <w:rPr>
          <w:sz w:val="24"/>
          <w:szCs w:val="24"/>
        </w:rPr>
        <w:tab/>
      </w:r>
    </w:p>
    <w:p w:rsidR="001A37FE" w:rsidRDefault="00004467" w:rsidP="00D51895">
      <w:pPr>
        <w:spacing w:line="360" w:lineRule="auto"/>
        <w:ind w:firstLine="1440"/>
        <w:rPr>
          <w:sz w:val="24"/>
          <w:szCs w:val="24"/>
        </w:rPr>
      </w:pPr>
      <w:r w:rsidRPr="00C95AD3">
        <w:rPr>
          <w:sz w:val="24"/>
          <w:szCs w:val="24"/>
        </w:rPr>
        <w:t xml:space="preserve">At the hearing </w:t>
      </w:r>
      <w:r w:rsidR="00695F44" w:rsidRPr="00C95AD3">
        <w:rPr>
          <w:sz w:val="24"/>
          <w:szCs w:val="24"/>
        </w:rPr>
        <w:t>the Complainant reported that h</w:t>
      </w:r>
      <w:r w:rsidR="00C95AD3">
        <w:rPr>
          <w:sz w:val="24"/>
          <w:szCs w:val="24"/>
        </w:rPr>
        <w:t>er</w:t>
      </w:r>
      <w:r w:rsidR="00695F44" w:rsidRPr="00C95AD3">
        <w:rPr>
          <w:sz w:val="24"/>
          <w:szCs w:val="24"/>
        </w:rPr>
        <w:t xml:space="preserve"> </w:t>
      </w:r>
      <w:r w:rsidR="001A37FE" w:rsidRPr="00C95AD3">
        <w:rPr>
          <w:sz w:val="24"/>
          <w:szCs w:val="24"/>
        </w:rPr>
        <w:t xml:space="preserve">gross </w:t>
      </w:r>
      <w:r w:rsidR="00695F44" w:rsidRPr="00C95AD3">
        <w:rPr>
          <w:sz w:val="24"/>
          <w:szCs w:val="24"/>
        </w:rPr>
        <w:t xml:space="preserve">household monthly income was </w:t>
      </w:r>
      <w:r w:rsidR="001A37FE" w:rsidRPr="00C95AD3">
        <w:rPr>
          <w:sz w:val="24"/>
          <w:szCs w:val="24"/>
        </w:rPr>
        <w:t>$</w:t>
      </w:r>
      <w:r w:rsidR="00230339" w:rsidRPr="00C95AD3">
        <w:rPr>
          <w:sz w:val="24"/>
          <w:szCs w:val="24"/>
        </w:rPr>
        <w:t>3</w:t>
      </w:r>
      <w:r w:rsidR="00C95AD3">
        <w:rPr>
          <w:sz w:val="24"/>
          <w:szCs w:val="24"/>
        </w:rPr>
        <w:t>16</w:t>
      </w:r>
      <w:r w:rsidR="007E3D06">
        <w:rPr>
          <w:sz w:val="24"/>
          <w:szCs w:val="24"/>
        </w:rPr>
        <w:t>.00</w:t>
      </w:r>
      <w:r w:rsidR="00230339" w:rsidRPr="00C95AD3">
        <w:rPr>
          <w:b/>
          <w:sz w:val="24"/>
          <w:szCs w:val="24"/>
        </w:rPr>
        <w:t xml:space="preserve"> </w:t>
      </w:r>
      <w:r w:rsidR="00695F44" w:rsidRPr="00C95AD3">
        <w:rPr>
          <w:sz w:val="24"/>
          <w:szCs w:val="24"/>
        </w:rPr>
        <w:t>for t</w:t>
      </w:r>
      <w:r w:rsidR="00C95AD3">
        <w:rPr>
          <w:sz w:val="24"/>
          <w:szCs w:val="24"/>
        </w:rPr>
        <w:t>hree</w:t>
      </w:r>
      <w:r w:rsidR="00695F44" w:rsidRPr="00C95AD3">
        <w:rPr>
          <w:sz w:val="24"/>
          <w:szCs w:val="24"/>
        </w:rPr>
        <w:t xml:space="preserve"> adults</w:t>
      </w:r>
      <w:r w:rsidR="00C95AD3">
        <w:rPr>
          <w:sz w:val="24"/>
          <w:szCs w:val="24"/>
        </w:rPr>
        <w:t xml:space="preserve"> (people)</w:t>
      </w:r>
      <w:r w:rsidR="00695F44" w:rsidRPr="00C95AD3">
        <w:rPr>
          <w:sz w:val="24"/>
          <w:szCs w:val="24"/>
        </w:rPr>
        <w:t xml:space="preserve">.  </w:t>
      </w:r>
      <w:r w:rsidR="001A37FE" w:rsidRPr="00C95AD3">
        <w:rPr>
          <w:sz w:val="24"/>
          <w:szCs w:val="24"/>
        </w:rPr>
        <w:t>The income c</w:t>
      </w:r>
      <w:r w:rsidR="00C95AD3">
        <w:rPr>
          <w:sz w:val="24"/>
          <w:szCs w:val="24"/>
        </w:rPr>
        <w:t>onsisted of pub</w:t>
      </w:r>
      <w:r w:rsidR="001A37FE" w:rsidRPr="00C95AD3">
        <w:rPr>
          <w:sz w:val="24"/>
          <w:szCs w:val="24"/>
        </w:rPr>
        <w:t>l</w:t>
      </w:r>
      <w:r w:rsidR="00C95AD3">
        <w:rPr>
          <w:sz w:val="24"/>
          <w:szCs w:val="24"/>
        </w:rPr>
        <w:t xml:space="preserve">ic assistance </w:t>
      </w:r>
      <w:r w:rsidR="00B365ED">
        <w:rPr>
          <w:sz w:val="24"/>
          <w:szCs w:val="24"/>
        </w:rPr>
        <w:t>benefits</w:t>
      </w:r>
      <w:r w:rsidR="00C95AD3">
        <w:rPr>
          <w:sz w:val="24"/>
          <w:szCs w:val="24"/>
        </w:rPr>
        <w:t xml:space="preserve"> for the Complainant and her da</w:t>
      </w:r>
      <w:r w:rsidR="001A37FE" w:rsidRPr="00C95AD3">
        <w:rPr>
          <w:sz w:val="24"/>
          <w:szCs w:val="24"/>
        </w:rPr>
        <w:t>u</w:t>
      </w:r>
      <w:r w:rsidR="00C95AD3">
        <w:rPr>
          <w:sz w:val="24"/>
          <w:szCs w:val="24"/>
        </w:rPr>
        <w:t>ght</w:t>
      </w:r>
      <w:r w:rsidR="001A37FE" w:rsidRPr="00C95AD3">
        <w:rPr>
          <w:sz w:val="24"/>
          <w:szCs w:val="24"/>
        </w:rPr>
        <w:t>e</w:t>
      </w:r>
      <w:r w:rsidR="00C95AD3">
        <w:rPr>
          <w:sz w:val="24"/>
          <w:szCs w:val="24"/>
        </w:rPr>
        <w:t>r</w:t>
      </w:r>
      <w:r w:rsidR="001A37FE" w:rsidRPr="00C95AD3">
        <w:rPr>
          <w:sz w:val="24"/>
          <w:szCs w:val="24"/>
        </w:rPr>
        <w:t xml:space="preserve">.  </w:t>
      </w:r>
      <w:r w:rsidR="00695F44" w:rsidRPr="00C95AD3">
        <w:rPr>
          <w:sz w:val="24"/>
          <w:szCs w:val="24"/>
        </w:rPr>
        <w:t>Based on the Complainant’s testimony about h</w:t>
      </w:r>
      <w:r w:rsidR="007E3D06">
        <w:rPr>
          <w:sz w:val="24"/>
          <w:szCs w:val="24"/>
        </w:rPr>
        <w:t>er</w:t>
      </w:r>
      <w:r w:rsidR="00695F44" w:rsidRPr="00C95AD3">
        <w:rPr>
          <w:sz w:val="24"/>
          <w:szCs w:val="24"/>
        </w:rPr>
        <w:t xml:space="preserve"> household income, which </w:t>
      </w:r>
      <w:r w:rsidR="007E3D06">
        <w:rPr>
          <w:sz w:val="24"/>
          <w:szCs w:val="24"/>
        </w:rPr>
        <w:t>i</w:t>
      </w:r>
      <w:r w:rsidR="00695F44" w:rsidRPr="00C95AD3">
        <w:rPr>
          <w:sz w:val="24"/>
          <w:szCs w:val="24"/>
        </w:rPr>
        <w:t xml:space="preserve">s </w:t>
      </w:r>
      <w:r w:rsidR="007E3D06">
        <w:rPr>
          <w:sz w:val="24"/>
          <w:szCs w:val="24"/>
        </w:rPr>
        <w:t>l</w:t>
      </w:r>
      <w:r w:rsidR="00695F44" w:rsidRPr="00C95AD3">
        <w:rPr>
          <w:sz w:val="24"/>
          <w:szCs w:val="24"/>
        </w:rPr>
        <w:t>e</w:t>
      </w:r>
      <w:r w:rsidR="007E3D06">
        <w:rPr>
          <w:sz w:val="24"/>
          <w:szCs w:val="24"/>
        </w:rPr>
        <w:t>ss than</w:t>
      </w:r>
      <w:r w:rsidR="00695F44" w:rsidRPr="00C95AD3">
        <w:rPr>
          <w:sz w:val="24"/>
          <w:szCs w:val="24"/>
        </w:rPr>
        <w:t xml:space="preserve"> </w:t>
      </w:r>
      <w:r w:rsidR="007E3D06">
        <w:rPr>
          <w:sz w:val="24"/>
          <w:szCs w:val="24"/>
        </w:rPr>
        <w:t>1</w:t>
      </w:r>
      <w:r w:rsidRPr="00C95AD3">
        <w:rPr>
          <w:sz w:val="24"/>
          <w:szCs w:val="24"/>
        </w:rPr>
        <w:t>50</w:t>
      </w:r>
      <w:r w:rsidR="00695F44" w:rsidRPr="00C95AD3">
        <w:rPr>
          <w:sz w:val="24"/>
          <w:szCs w:val="24"/>
        </w:rPr>
        <w:t xml:space="preserve">% of the Federal poverty level, the Complainant is a level </w:t>
      </w:r>
      <w:r w:rsidR="007E3D06">
        <w:rPr>
          <w:sz w:val="24"/>
          <w:szCs w:val="24"/>
        </w:rPr>
        <w:t>1</w:t>
      </w:r>
      <w:r w:rsidR="00695F44" w:rsidRPr="00C95AD3">
        <w:rPr>
          <w:sz w:val="24"/>
          <w:szCs w:val="24"/>
        </w:rPr>
        <w:t xml:space="preserve"> income customer.  </w:t>
      </w:r>
    </w:p>
    <w:p w:rsidR="004D2373" w:rsidRDefault="004D2373" w:rsidP="004D2373">
      <w:pPr>
        <w:pStyle w:val="BodyText"/>
        <w:tabs>
          <w:tab w:val="clear" w:pos="198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 xml:space="preserve">Based on her income, the Complainant would have five years to pay the $1,932.48 balance.  Thus, she would be required to pay $32.21 a month for 60 months.  In light of her poor payment history and her default on the PECO issued payment arrangement, it is not in her best to have this payment arrangement.  </w:t>
      </w:r>
    </w:p>
    <w:p w:rsidR="00E84C21" w:rsidRDefault="00E84C21" w:rsidP="004D2373">
      <w:pPr>
        <w:pStyle w:val="BodyText"/>
        <w:tabs>
          <w:tab w:val="clear" w:pos="1980"/>
        </w:tabs>
        <w:spacing w:line="360" w:lineRule="auto"/>
        <w:jc w:val="left"/>
        <w:rPr>
          <w:rFonts w:ascii="Times New Roman" w:hAnsi="Times New Roman"/>
          <w:szCs w:val="24"/>
        </w:rPr>
      </w:pPr>
    </w:p>
    <w:p w:rsidR="001A37FE" w:rsidRDefault="004D2373" w:rsidP="00D51895">
      <w:pPr>
        <w:spacing w:line="360" w:lineRule="auto"/>
        <w:ind w:firstLine="1440"/>
        <w:rPr>
          <w:sz w:val="24"/>
          <w:szCs w:val="24"/>
        </w:rPr>
      </w:pPr>
      <w:r w:rsidRPr="004D2373">
        <w:rPr>
          <w:sz w:val="24"/>
          <w:szCs w:val="24"/>
        </w:rPr>
        <w:t xml:space="preserve">Furthermore, $920.00 of the $1,932.48 balance is the tampering fee.  After the Respondent terminated the Complainant in June 2012, the Respondent’s representative found that the service had been restored without authorization (PECO Ex. 2).  Due to theft of service, the Respondent assessed the tampering fee and removed the Complainant from CAP.  In </w:t>
      </w:r>
      <w:r w:rsidRPr="004D2373">
        <w:rPr>
          <w:i/>
          <w:sz w:val="24"/>
          <w:szCs w:val="24"/>
        </w:rPr>
        <w:t xml:space="preserve">Darnell </w:t>
      </w:r>
      <w:proofErr w:type="spellStart"/>
      <w:r w:rsidRPr="004D2373">
        <w:rPr>
          <w:i/>
          <w:sz w:val="24"/>
          <w:szCs w:val="24"/>
        </w:rPr>
        <w:t>Fassett</w:t>
      </w:r>
      <w:proofErr w:type="spellEnd"/>
      <w:r w:rsidRPr="004D2373">
        <w:rPr>
          <w:i/>
          <w:sz w:val="24"/>
          <w:szCs w:val="24"/>
        </w:rPr>
        <w:t xml:space="preserve"> v. Philadelphia Gas Works</w:t>
      </w:r>
      <w:r w:rsidRPr="004D2373">
        <w:rPr>
          <w:sz w:val="24"/>
          <w:szCs w:val="24"/>
        </w:rPr>
        <w:t>, F-2014-2408541, (</w:t>
      </w:r>
      <w:r>
        <w:rPr>
          <w:sz w:val="24"/>
          <w:szCs w:val="24"/>
        </w:rPr>
        <w:t xml:space="preserve">Opinion and </w:t>
      </w:r>
      <w:r w:rsidRPr="004D2373">
        <w:rPr>
          <w:sz w:val="24"/>
          <w:szCs w:val="24"/>
        </w:rPr>
        <w:t xml:space="preserve">Order entered April 27, 2015), the Commission stated the following:  “We do not believe a payment arrangement is appropriate when the person requesting the arrangement was involved in a theft of utility service while residing at the service location.”  Order at 8.  In </w:t>
      </w:r>
      <w:proofErr w:type="spellStart"/>
      <w:r w:rsidRPr="004D2373">
        <w:rPr>
          <w:i/>
          <w:sz w:val="24"/>
          <w:szCs w:val="24"/>
        </w:rPr>
        <w:t>Fassett</w:t>
      </w:r>
      <w:proofErr w:type="spellEnd"/>
      <w:r w:rsidRPr="004D2373">
        <w:rPr>
          <w:i/>
          <w:sz w:val="24"/>
          <w:szCs w:val="24"/>
        </w:rPr>
        <w:t>,</w:t>
      </w:r>
      <w:r w:rsidRPr="004D2373">
        <w:rPr>
          <w:sz w:val="24"/>
          <w:szCs w:val="24"/>
        </w:rPr>
        <w:t xml:space="preserve"> the Complainant was the property owner.  He accepted responsibility for the back billed unauthorized usage and requested a payment arrangement.  The Commission decided that the Mr. </w:t>
      </w:r>
      <w:proofErr w:type="spellStart"/>
      <w:r w:rsidRPr="004D2373">
        <w:rPr>
          <w:sz w:val="24"/>
          <w:szCs w:val="24"/>
        </w:rPr>
        <w:t>Fassett</w:t>
      </w:r>
      <w:proofErr w:type="spellEnd"/>
      <w:r w:rsidRPr="004D2373">
        <w:rPr>
          <w:sz w:val="24"/>
          <w:szCs w:val="24"/>
        </w:rPr>
        <w:t xml:space="preserve"> should not receive a Commission ordered payment arrangement because he resided at the property while the unauthorized gas usage occurred.  The Complainant in this case also accepted responsibility for the tampering fee and stipulated that tampering had occurred.  It follows that she should not be given a Commission issued payment arrangement in this matter</w:t>
      </w:r>
    </w:p>
    <w:p w:rsidR="004D2373" w:rsidRPr="00C95AD3" w:rsidRDefault="004D2373" w:rsidP="00D51895">
      <w:pPr>
        <w:spacing w:line="360" w:lineRule="auto"/>
        <w:ind w:firstLine="1440"/>
        <w:rPr>
          <w:sz w:val="24"/>
          <w:szCs w:val="24"/>
        </w:rPr>
      </w:pPr>
    </w:p>
    <w:p w:rsidR="00B149B4" w:rsidRDefault="00B149B4" w:rsidP="00D51895">
      <w:pPr>
        <w:spacing w:line="360" w:lineRule="auto"/>
        <w:rPr>
          <w:sz w:val="24"/>
          <w:szCs w:val="24"/>
        </w:rPr>
      </w:pPr>
      <w:r w:rsidRPr="00C95AD3">
        <w:rPr>
          <w:sz w:val="24"/>
          <w:szCs w:val="24"/>
        </w:rPr>
        <w:tab/>
      </w:r>
      <w:r w:rsidRPr="00C95AD3">
        <w:rPr>
          <w:sz w:val="24"/>
          <w:szCs w:val="24"/>
        </w:rPr>
        <w:tab/>
        <w:t>The Complainant has failed to sustain h</w:t>
      </w:r>
      <w:r w:rsidR="00B02011">
        <w:rPr>
          <w:sz w:val="24"/>
          <w:szCs w:val="24"/>
        </w:rPr>
        <w:t>er</w:t>
      </w:r>
      <w:r w:rsidRPr="00C95AD3">
        <w:rPr>
          <w:sz w:val="24"/>
          <w:szCs w:val="24"/>
        </w:rPr>
        <w:t xml:space="preserve"> burden </w:t>
      </w:r>
      <w:r w:rsidR="009E456F" w:rsidRPr="00C95AD3">
        <w:rPr>
          <w:sz w:val="24"/>
          <w:szCs w:val="24"/>
        </w:rPr>
        <w:t>of proof</w:t>
      </w:r>
      <w:r w:rsidR="0047070E">
        <w:rPr>
          <w:sz w:val="24"/>
          <w:szCs w:val="24"/>
        </w:rPr>
        <w:t>.</w:t>
      </w:r>
      <w:r w:rsidR="00230339" w:rsidRPr="00C95AD3">
        <w:rPr>
          <w:sz w:val="24"/>
          <w:szCs w:val="24"/>
        </w:rPr>
        <w:t xml:space="preserve"> </w:t>
      </w:r>
    </w:p>
    <w:p w:rsidR="0047070E" w:rsidRPr="00C95AD3" w:rsidRDefault="0047070E" w:rsidP="00D51895">
      <w:pPr>
        <w:spacing w:line="360" w:lineRule="auto"/>
        <w:rPr>
          <w:sz w:val="24"/>
          <w:szCs w:val="24"/>
        </w:rPr>
      </w:pPr>
    </w:p>
    <w:p w:rsidR="00695F44" w:rsidRDefault="007D53B1"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r>
      <w:r w:rsidR="00695F44" w:rsidRPr="00C95AD3">
        <w:rPr>
          <w:rFonts w:ascii="Times New Roman" w:hAnsi="Times New Roman"/>
          <w:szCs w:val="24"/>
        </w:rPr>
        <w:t xml:space="preserve">Accordingly, the complaint is dismissed.  </w:t>
      </w:r>
    </w:p>
    <w:p w:rsidR="0047070E" w:rsidRPr="00C95AD3" w:rsidRDefault="0047070E" w:rsidP="00D51895">
      <w:pPr>
        <w:pStyle w:val="BodyText"/>
        <w:tabs>
          <w:tab w:val="clear" w:pos="1980"/>
        </w:tabs>
        <w:spacing w:line="360" w:lineRule="auto"/>
        <w:jc w:val="left"/>
        <w:rPr>
          <w:rFonts w:ascii="Times New Roman" w:hAnsi="Times New Roman"/>
          <w:szCs w:val="24"/>
        </w:rPr>
      </w:pPr>
    </w:p>
    <w:p w:rsidR="00F43BD3" w:rsidRPr="004D2373" w:rsidRDefault="00F43BD3" w:rsidP="00D51895">
      <w:pPr>
        <w:pStyle w:val="BodyText"/>
        <w:tabs>
          <w:tab w:val="clear" w:pos="1980"/>
        </w:tabs>
        <w:spacing w:line="360" w:lineRule="auto"/>
        <w:jc w:val="center"/>
        <w:rPr>
          <w:rFonts w:ascii="Times New Roman" w:hAnsi="Times New Roman"/>
          <w:szCs w:val="24"/>
          <w:u w:val="single"/>
        </w:rPr>
      </w:pPr>
      <w:r w:rsidRPr="004D2373">
        <w:rPr>
          <w:rFonts w:ascii="Times New Roman" w:hAnsi="Times New Roman"/>
          <w:szCs w:val="24"/>
          <w:u w:val="single"/>
        </w:rPr>
        <w:t>CONCLUSIONS OF LAW</w:t>
      </w:r>
    </w:p>
    <w:p w:rsidR="00B94DBE" w:rsidRPr="00C95AD3" w:rsidRDefault="00B94DBE" w:rsidP="00D51895">
      <w:pPr>
        <w:pStyle w:val="BodyText"/>
        <w:tabs>
          <w:tab w:val="clear" w:pos="1980"/>
        </w:tabs>
        <w:spacing w:line="360" w:lineRule="auto"/>
        <w:jc w:val="left"/>
        <w:rPr>
          <w:rFonts w:ascii="Times New Roman" w:hAnsi="Times New Roman"/>
          <w:b/>
          <w:szCs w:val="24"/>
        </w:rPr>
      </w:pPr>
    </w:p>
    <w:p w:rsidR="00F43BD3" w:rsidRPr="00C95AD3" w:rsidRDefault="00F43BD3" w:rsidP="00D51895">
      <w:pPr>
        <w:pStyle w:val="Heading1"/>
        <w:spacing w:line="360" w:lineRule="auto"/>
        <w:ind w:left="-86" w:firstLine="1526"/>
        <w:jc w:val="left"/>
        <w:rPr>
          <w:rFonts w:ascii="Times New Roman" w:hAnsi="Times New Roman"/>
          <w:b w:val="0"/>
          <w:bCs/>
          <w:szCs w:val="24"/>
          <w:u w:val="none"/>
        </w:rPr>
      </w:pPr>
      <w:r w:rsidRPr="00C95AD3">
        <w:rPr>
          <w:rFonts w:ascii="Times New Roman" w:hAnsi="Times New Roman"/>
          <w:b w:val="0"/>
          <w:szCs w:val="24"/>
          <w:u w:val="none"/>
        </w:rPr>
        <w:t>1.</w:t>
      </w:r>
      <w:r w:rsidRPr="00C95AD3">
        <w:rPr>
          <w:rFonts w:ascii="Times New Roman" w:hAnsi="Times New Roman"/>
          <w:b w:val="0"/>
          <w:szCs w:val="24"/>
          <w:u w:val="none"/>
        </w:rPr>
        <w:tab/>
        <w:t>The Commission has jurisdiction over the parties and subject matter in this proceeding.</w:t>
      </w:r>
      <w:r w:rsidR="00CF7ED5" w:rsidRPr="00C95AD3">
        <w:rPr>
          <w:rFonts w:ascii="Times New Roman" w:hAnsi="Times New Roman"/>
          <w:b w:val="0"/>
          <w:szCs w:val="24"/>
          <w:u w:val="none"/>
        </w:rPr>
        <w:t xml:space="preserve"> </w:t>
      </w:r>
      <w:r w:rsidR="00952008" w:rsidRPr="00C95AD3">
        <w:rPr>
          <w:rFonts w:ascii="Times New Roman" w:hAnsi="Times New Roman"/>
          <w:b w:val="0"/>
          <w:szCs w:val="24"/>
          <w:u w:val="none"/>
        </w:rPr>
        <w:t xml:space="preserve"> </w:t>
      </w:r>
      <w:r w:rsidR="00CF7ED5" w:rsidRPr="00C95AD3">
        <w:rPr>
          <w:rFonts w:ascii="Times New Roman" w:hAnsi="Times New Roman"/>
          <w:b w:val="0"/>
          <w:szCs w:val="24"/>
          <w:u w:val="none"/>
        </w:rPr>
        <w:t xml:space="preserve">66 Pa.C.S. </w:t>
      </w:r>
      <w:r w:rsidR="00CF7ED5" w:rsidRPr="00C95AD3">
        <w:rPr>
          <w:rFonts w:ascii="Times New Roman" w:hAnsi="Times New Roman"/>
          <w:b w:val="0"/>
          <w:bCs/>
          <w:szCs w:val="24"/>
          <w:u w:val="none"/>
        </w:rPr>
        <w:t>§</w:t>
      </w:r>
      <w:r w:rsidR="007B5533" w:rsidRPr="00C95AD3">
        <w:rPr>
          <w:rFonts w:ascii="Times New Roman" w:hAnsi="Times New Roman"/>
          <w:b w:val="0"/>
          <w:bCs/>
          <w:szCs w:val="24"/>
          <w:u w:val="none"/>
        </w:rPr>
        <w:t xml:space="preserve"> </w:t>
      </w:r>
      <w:r w:rsidR="00CF7ED5" w:rsidRPr="00C95AD3">
        <w:rPr>
          <w:rFonts w:ascii="Times New Roman" w:hAnsi="Times New Roman"/>
          <w:b w:val="0"/>
          <w:bCs/>
          <w:szCs w:val="24"/>
          <w:u w:val="none"/>
        </w:rPr>
        <w:t>701.</w:t>
      </w:r>
    </w:p>
    <w:p w:rsidR="0002052F" w:rsidRPr="00C95AD3" w:rsidRDefault="0002052F" w:rsidP="00D51895">
      <w:pPr>
        <w:pStyle w:val="BodyText"/>
        <w:tabs>
          <w:tab w:val="clear" w:pos="1980"/>
        </w:tabs>
        <w:spacing w:line="360" w:lineRule="auto"/>
        <w:jc w:val="left"/>
        <w:rPr>
          <w:rFonts w:ascii="Times New Roman" w:hAnsi="Times New Roman"/>
          <w:szCs w:val="24"/>
        </w:rPr>
      </w:pPr>
    </w:p>
    <w:p w:rsidR="0002052F" w:rsidRPr="00C95AD3" w:rsidRDefault="0002052F"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tab/>
      </w:r>
      <w:r w:rsidRPr="00C95AD3">
        <w:rPr>
          <w:rFonts w:ascii="Times New Roman" w:hAnsi="Times New Roman"/>
          <w:szCs w:val="24"/>
        </w:rPr>
        <w:tab/>
        <w:t>2.</w:t>
      </w:r>
      <w:r w:rsidRPr="00C95AD3">
        <w:rPr>
          <w:rFonts w:ascii="Times New Roman" w:hAnsi="Times New Roman"/>
          <w:szCs w:val="24"/>
        </w:rPr>
        <w:tab/>
        <w:t>That the Complainant has the burden of proof in this matter pursuant to 66 Pa.C.S. §</w:t>
      </w:r>
      <w:r w:rsidR="007B5533" w:rsidRPr="00C95AD3">
        <w:rPr>
          <w:rFonts w:ascii="Times New Roman" w:hAnsi="Times New Roman"/>
          <w:szCs w:val="24"/>
        </w:rPr>
        <w:t xml:space="preserve"> </w:t>
      </w:r>
      <w:r w:rsidRPr="00C95AD3">
        <w:rPr>
          <w:rFonts w:ascii="Times New Roman" w:hAnsi="Times New Roman"/>
          <w:szCs w:val="24"/>
        </w:rPr>
        <w:t>332(a).</w:t>
      </w:r>
    </w:p>
    <w:p w:rsidR="0002052F" w:rsidRPr="00C95AD3" w:rsidRDefault="0002052F" w:rsidP="00D51895">
      <w:pPr>
        <w:pStyle w:val="BodyText"/>
        <w:tabs>
          <w:tab w:val="clear" w:pos="1980"/>
        </w:tabs>
        <w:spacing w:line="360" w:lineRule="auto"/>
        <w:jc w:val="left"/>
        <w:rPr>
          <w:rFonts w:ascii="Times New Roman" w:hAnsi="Times New Roman"/>
          <w:szCs w:val="24"/>
        </w:rPr>
      </w:pPr>
      <w:r w:rsidRPr="00C95AD3">
        <w:rPr>
          <w:rFonts w:ascii="Times New Roman" w:hAnsi="Times New Roman"/>
          <w:szCs w:val="24"/>
        </w:rPr>
        <w:lastRenderedPageBreak/>
        <w:tab/>
      </w:r>
      <w:r w:rsidRPr="00C95AD3">
        <w:rPr>
          <w:rFonts w:ascii="Times New Roman" w:hAnsi="Times New Roman"/>
          <w:szCs w:val="24"/>
        </w:rPr>
        <w:tab/>
        <w:t>3.</w:t>
      </w:r>
      <w:r w:rsidRPr="00C95AD3">
        <w:rPr>
          <w:rFonts w:ascii="Times New Roman" w:hAnsi="Times New Roman"/>
          <w:szCs w:val="24"/>
        </w:rPr>
        <w:tab/>
        <w:t xml:space="preserve">That the Complainant failed to sustain </w:t>
      </w:r>
      <w:r w:rsidR="00F33557" w:rsidRPr="00C95AD3">
        <w:rPr>
          <w:rFonts w:ascii="Times New Roman" w:hAnsi="Times New Roman"/>
          <w:szCs w:val="24"/>
        </w:rPr>
        <w:t>h</w:t>
      </w:r>
      <w:r w:rsidR="0047070E">
        <w:rPr>
          <w:rFonts w:ascii="Times New Roman" w:hAnsi="Times New Roman"/>
          <w:szCs w:val="24"/>
        </w:rPr>
        <w:t>er</w:t>
      </w:r>
      <w:r w:rsidRPr="00C95AD3">
        <w:rPr>
          <w:rFonts w:ascii="Times New Roman" w:hAnsi="Times New Roman"/>
          <w:szCs w:val="24"/>
        </w:rPr>
        <w:t xml:space="preserve"> burden of proof</w:t>
      </w:r>
      <w:r w:rsidR="0090510B" w:rsidRPr="00C95AD3">
        <w:rPr>
          <w:rFonts w:ascii="Times New Roman" w:hAnsi="Times New Roman"/>
          <w:szCs w:val="24"/>
        </w:rPr>
        <w:t>.</w:t>
      </w:r>
      <w:r w:rsidRPr="00C95AD3">
        <w:rPr>
          <w:rFonts w:ascii="Times New Roman" w:hAnsi="Times New Roman"/>
          <w:szCs w:val="24"/>
        </w:rPr>
        <w:t xml:space="preserve"> </w:t>
      </w:r>
    </w:p>
    <w:p w:rsidR="00004467" w:rsidRPr="00C95AD3" w:rsidRDefault="00004467" w:rsidP="00D51895">
      <w:pPr>
        <w:pStyle w:val="BodyText"/>
        <w:tabs>
          <w:tab w:val="clear" w:pos="1980"/>
        </w:tabs>
        <w:spacing w:line="360" w:lineRule="auto"/>
        <w:jc w:val="left"/>
        <w:rPr>
          <w:rFonts w:ascii="Times New Roman" w:hAnsi="Times New Roman"/>
          <w:szCs w:val="24"/>
        </w:rPr>
      </w:pPr>
    </w:p>
    <w:p w:rsidR="00514CCC" w:rsidRDefault="00514CCC" w:rsidP="00D51895">
      <w:pPr>
        <w:spacing w:line="360" w:lineRule="auto"/>
        <w:rPr>
          <w:sz w:val="24"/>
          <w:szCs w:val="24"/>
        </w:rPr>
      </w:pPr>
      <w:r>
        <w:rPr>
          <w:sz w:val="24"/>
          <w:szCs w:val="24"/>
        </w:rPr>
        <w:tab/>
      </w:r>
      <w:r>
        <w:rPr>
          <w:sz w:val="24"/>
          <w:szCs w:val="24"/>
        </w:rPr>
        <w:tab/>
      </w:r>
      <w:r w:rsidR="0047070E">
        <w:rPr>
          <w:sz w:val="24"/>
          <w:szCs w:val="24"/>
        </w:rPr>
        <w:t>4</w:t>
      </w:r>
      <w:r>
        <w:rPr>
          <w:sz w:val="24"/>
          <w:szCs w:val="24"/>
        </w:rPr>
        <w:t>.</w:t>
      </w:r>
      <w:r>
        <w:rPr>
          <w:sz w:val="24"/>
          <w:szCs w:val="24"/>
        </w:rPr>
        <w:tab/>
        <w:t xml:space="preserve">Customer assistance program rates shall be timely paid and shall not be the subject of payment arrangements negotiated or approved by the commission. 66 Pa.C.S </w:t>
      </w:r>
    </w:p>
    <w:p w:rsidR="00514CCC" w:rsidRDefault="00514CCC" w:rsidP="00D51895">
      <w:pPr>
        <w:spacing w:line="360" w:lineRule="auto"/>
        <w:rPr>
          <w:sz w:val="24"/>
          <w:szCs w:val="24"/>
        </w:rPr>
      </w:pPr>
      <w:r>
        <w:rPr>
          <w:sz w:val="24"/>
          <w:szCs w:val="24"/>
        </w:rPr>
        <w:t>§ 1405 (c).</w:t>
      </w:r>
    </w:p>
    <w:p w:rsidR="00514CCC" w:rsidRDefault="00514CCC" w:rsidP="00D51895">
      <w:pPr>
        <w:spacing w:line="360" w:lineRule="auto"/>
        <w:rPr>
          <w:sz w:val="24"/>
          <w:szCs w:val="24"/>
        </w:rPr>
      </w:pPr>
    </w:p>
    <w:p w:rsidR="00E00B16" w:rsidRPr="00C95AD3" w:rsidRDefault="00514CCC" w:rsidP="00D51895">
      <w:pPr>
        <w:spacing w:line="360" w:lineRule="auto"/>
        <w:rPr>
          <w:sz w:val="24"/>
          <w:szCs w:val="24"/>
        </w:rPr>
      </w:pPr>
      <w:r>
        <w:rPr>
          <w:sz w:val="24"/>
          <w:szCs w:val="24"/>
        </w:rPr>
        <w:tab/>
      </w:r>
      <w:r>
        <w:rPr>
          <w:sz w:val="24"/>
          <w:szCs w:val="24"/>
        </w:rPr>
        <w:tab/>
      </w:r>
      <w:r w:rsidR="0047070E">
        <w:rPr>
          <w:sz w:val="24"/>
          <w:szCs w:val="24"/>
        </w:rPr>
        <w:t>5</w:t>
      </w:r>
      <w:r>
        <w:rPr>
          <w:sz w:val="24"/>
          <w:szCs w:val="24"/>
        </w:rPr>
        <w:t>.</w:t>
      </w:r>
      <w:r>
        <w:rPr>
          <w:sz w:val="24"/>
          <w:szCs w:val="24"/>
        </w:rPr>
        <w:tab/>
      </w:r>
      <w:r w:rsidR="0008474F">
        <w:rPr>
          <w:sz w:val="24"/>
          <w:szCs w:val="24"/>
        </w:rPr>
        <w:t xml:space="preserve">The Commission does not believe a payment arrangement is appropriate when the person requesting the arrangement was involved in a theft of utility service while residing at the service location.  </w:t>
      </w:r>
      <w:r w:rsidR="0008474F">
        <w:rPr>
          <w:i/>
          <w:sz w:val="24"/>
          <w:szCs w:val="24"/>
        </w:rPr>
        <w:t>Darnell Fassett v. Philadelphia Gas Works</w:t>
      </w:r>
      <w:r w:rsidR="0008474F">
        <w:rPr>
          <w:sz w:val="24"/>
          <w:szCs w:val="24"/>
        </w:rPr>
        <w:t>,</w:t>
      </w:r>
      <w:r>
        <w:rPr>
          <w:sz w:val="24"/>
          <w:szCs w:val="24"/>
        </w:rPr>
        <w:t xml:space="preserve"> </w:t>
      </w:r>
      <w:r w:rsidR="0008474F">
        <w:rPr>
          <w:sz w:val="24"/>
          <w:szCs w:val="24"/>
        </w:rPr>
        <w:t>F-2014-2408541 (</w:t>
      </w:r>
      <w:r w:rsidR="00E84C21">
        <w:rPr>
          <w:sz w:val="24"/>
          <w:szCs w:val="24"/>
        </w:rPr>
        <w:t xml:space="preserve">Opinion and </w:t>
      </w:r>
      <w:r w:rsidR="0008474F">
        <w:rPr>
          <w:sz w:val="24"/>
          <w:szCs w:val="24"/>
        </w:rPr>
        <w:t>Order entered April 27, 2015).</w:t>
      </w:r>
    </w:p>
    <w:p w:rsidR="0034700A" w:rsidRPr="00C95AD3" w:rsidRDefault="0034700A" w:rsidP="00D51895">
      <w:pPr>
        <w:rPr>
          <w:sz w:val="24"/>
          <w:szCs w:val="24"/>
        </w:rPr>
      </w:pPr>
    </w:p>
    <w:p w:rsidR="00F43BD3" w:rsidRPr="00C95AD3" w:rsidRDefault="00F43BD3" w:rsidP="00D51895">
      <w:pPr>
        <w:pStyle w:val="Heading3"/>
        <w:rPr>
          <w:b w:val="0"/>
          <w:sz w:val="24"/>
          <w:szCs w:val="24"/>
        </w:rPr>
      </w:pPr>
      <w:r w:rsidRPr="00C95AD3">
        <w:rPr>
          <w:b w:val="0"/>
          <w:sz w:val="24"/>
          <w:szCs w:val="24"/>
        </w:rPr>
        <w:t>ORDER</w:t>
      </w:r>
    </w:p>
    <w:p w:rsidR="00F43BD3" w:rsidRDefault="00F43BD3" w:rsidP="00D51895">
      <w:pPr>
        <w:spacing w:line="360" w:lineRule="auto"/>
        <w:rPr>
          <w:sz w:val="24"/>
          <w:szCs w:val="24"/>
        </w:rPr>
      </w:pPr>
    </w:p>
    <w:p w:rsidR="00E84C21" w:rsidRPr="00C95AD3" w:rsidRDefault="00E84C21" w:rsidP="00D51895">
      <w:pPr>
        <w:spacing w:line="360" w:lineRule="auto"/>
        <w:rPr>
          <w:sz w:val="24"/>
          <w:szCs w:val="24"/>
        </w:rPr>
      </w:pPr>
    </w:p>
    <w:p w:rsidR="00F43BD3" w:rsidRPr="00C95AD3" w:rsidRDefault="00F43BD3" w:rsidP="00D51895">
      <w:pPr>
        <w:spacing w:line="360" w:lineRule="auto"/>
        <w:rPr>
          <w:sz w:val="24"/>
          <w:szCs w:val="24"/>
        </w:rPr>
      </w:pPr>
      <w:r w:rsidRPr="00C95AD3">
        <w:rPr>
          <w:sz w:val="24"/>
          <w:szCs w:val="24"/>
        </w:rPr>
        <w:tab/>
      </w:r>
      <w:r w:rsidRPr="00C95AD3">
        <w:rPr>
          <w:sz w:val="24"/>
          <w:szCs w:val="24"/>
        </w:rPr>
        <w:tab/>
        <w:t>THEREFORE,</w:t>
      </w:r>
    </w:p>
    <w:p w:rsidR="00562D4F" w:rsidRPr="00C95AD3" w:rsidRDefault="00562D4F" w:rsidP="00D51895">
      <w:pPr>
        <w:spacing w:line="360" w:lineRule="auto"/>
        <w:rPr>
          <w:sz w:val="24"/>
          <w:szCs w:val="24"/>
        </w:rPr>
      </w:pPr>
    </w:p>
    <w:p w:rsidR="00F43BD3" w:rsidRPr="00C95AD3" w:rsidRDefault="00F43BD3" w:rsidP="00D51895">
      <w:pPr>
        <w:spacing w:line="360" w:lineRule="auto"/>
        <w:rPr>
          <w:sz w:val="24"/>
          <w:szCs w:val="24"/>
        </w:rPr>
      </w:pPr>
      <w:r w:rsidRPr="00C95AD3">
        <w:rPr>
          <w:sz w:val="24"/>
          <w:szCs w:val="24"/>
        </w:rPr>
        <w:tab/>
      </w:r>
      <w:r w:rsidRPr="00C95AD3">
        <w:rPr>
          <w:sz w:val="24"/>
          <w:szCs w:val="24"/>
        </w:rPr>
        <w:tab/>
        <w:t>IT IS ORDERED:</w:t>
      </w:r>
    </w:p>
    <w:p w:rsidR="00F43BD3" w:rsidRPr="00C95AD3" w:rsidRDefault="00F43BD3" w:rsidP="00D51895">
      <w:pPr>
        <w:spacing w:line="360" w:lineRule="auto"/>
        <w:rPr>
          <w:sz w:val="24"/>
          <w:szCs w:val="24"/>
        </w:rPr>
      </w:pPr>
    </w:p>
    <w:p w:rsidR="00F43BD3" w:rsidRPr="00C95AD3" w:rsidRDefault="00F43BD3" w:rsidP="00D51895">
      <w:pPr>
        <w:spacing w:line="360" w:lineRule="auto"/>
        <w:rPr>
          <w:sz w:val="24"/>
          <w:szCs w:val="24"/>
        </w:rPr>
      </w:pPr>
      <w:r w:rsidRPr="00C95AD3">
        <w:rPr>
          <w:sz w:val="24"/>
          <w:szCs w:val="24"/>
        </w:rPr>
        <w:tab/>
      </w:r>
      <w:r w:rsidRPr="00C95AD3">
        <w:rPr>
          <w:sz w:val="24"/>
          <w:szCs w:val="24"/>
        </w:rPr>
        <w:tab/>
        <w:t>1.</w:t>
      </w:r>
      <w:r w:rsidRPr="00C95AD3">
        <w:rPr>
          <w:sz w:val="24"/>
          <w:szCs w:val="24"/>
        </w:rPr>
        <w:tab/>
        <w:t xml:space="preserve">That the complaint filed by </w:t>
      </w:r>
      <w:r w:rsidR="00B02011">
        <w:rPr>
          <w:sz w:val="24"/>
          <w:szCs w:val="24"/>
        </w:rPr>
        <w:t xml:space="preserve">Vivian Brockington </w:t>
      </w:r>
      <w:r w:rsidRPr="00C95AD3">
        <w:rPr>
          <w:sz w:val="24"/>
          <w:szCs w:val="24"/>
        </w:rPr>
        <w:t xml:space="preserve">against the </w:t>
      </w:r>
      <w:r w:rsidR="0036771D" w:rsidRPr="00C95AD3">
        <w:rPr>
          <w:sz w:val="24"/>
          <w:szCs w:val="24"/>
        </w:rPr>
        <w:t>PECO Energy Company</w:t>
      </w:r>
      <w:r w:rsidRPr="00C95AD3">
        <w:rPr>
          <w:sz w:val="24"/>
          <w:szCs w:val="24"/>
        </w:rPr>
        <w:t xml:space="preserve"> at Docket </w:t>
      </w:r>
      <w:r w:rsidR="004435E3" w:rsidRPr="00C95AD3">
        <w:rPr>
          <w:sz w:val="24"/>
          <w:szCs w:val="24"/>
        </w:rPr>
        <w:t xml:space="preserve">No. </w:t>
      </w:r>
      <w:r w:rsidR="00B02011" w:rsidRPr="00B02011">
        <w:rPr>
          <w:sz w:val="24"/>
          <w:szCs w:val="24"/>
        </w:rPr>
        <w:t>F-2013-2344242</w:t>
      </w:r>
      <w:r w:rsidR="00B02011">
        <w:rPr>
          <w:sz w:val="24"/>
          <w:szCs w:val="24"/>
        </w:rPr>
        <w:t xml:space="preserve"> </w:t>
      </w:r>
      <w:r w:rsidRPr="00C95AD3">
        <w:rPr>
          <w:sz w:val="24"/>
          <w:szCs w:val="24"/>
        </w:rPr>
        <w:t xml:space="preserve">is </w:t>
      </w:r>
      <w:r w:rsidR="0090510B" w:rsidRPr="00C95AD3">
        <w:rPr>
          <w:sz w:val="24"/>
          <w:szCs w:val="24"/>
        </w:rPr>
        <w:t>dismissed.</w:t>
      </w:r>
    </w:p>
    <w:p w:rsidR="0047070E" w:rsidRDefault="0047070E" w:rsidP="00D51895">
      <w:pPr>
        <w:spacing w:line="360" w:lineRule="auto"/>
        <w:rPr>
          <w:sz w:val="24"/>
          <w:szCs w:val="24"/>
        </w:rPr>
      </w:pPr>
    </w:p>
    <w:p w:rsidR="00F43BD3" w:rsidRPr="00C95AD3" w:rsidRDefault="00F43BD3" w:rsidP="00D51895">
      <w:pPr>
        <w:spacing w:line="360" w:lineRule="auto"/>
        <w:rPr>
          <w:sz w:val="24"/>
          <w:szCs w:val="24"/>
        </w:rPr>
      </w:pPr>
      <w:r w:rsidRPr="00C95AD3">
        <w:rPr>
          <w:sz w:val="24"/>
          <w:szCs w:val="24"/>
        </w:rPr>
        <w:tab/>
      </w:r>
      <w:r w:rsidRPr="00C95AD3">
        <w:rPr>
          <w:sz w:val="24"/>
          <w:szCs w:val="24"/>
        </w:rPr>
        <w:tab/>
      </w:r>
      <w:r w:rsidR="0047070E">
        <w:rPr>
          <w:sz w:val="24"/>
          <w:szCs w:val="24"/>
        </w:rPr>
        <w:t>2.</w:t>
      </w:r>
      <w:r w:rsidRPr="00C95AD3">
        <w:rPr>
          <w:sz w:val="24"/>
          <w:szCs w:val="24"/>
        </w:rPr>
        <w:tab/>
      </w:r>
      <w:r w:rsidR="00650A7B" w:rsidRPr="00C95AD3">
        <w:rPr>
          <w:sz w:val="24"/>
          <w:szCs w:val="24"/>
        </w:rPr>
        <w:t xml:space="preserve">That </w:t>
      </w:r>
      <w:r w:rsidR="002765C0" w:rsidRPr="00C95AD3">
        <w:rPr>
          <w:sz w:val="24"/>
          <w:szCs w:val="24"/>
        </w:rPr>
        <w:t>t</w:t>
      </w:r>
      <w:r w:rsidRPr="00C95AD3">
        <w:rPr>
          <w:sz w:val="24"/>
          <w:szCs w:val="24"/>
        </w:rPr>
        <w:t>his case is marked closed.</w:t>
      </w:r>
    </w:p>
    <w:p w:rsidR="00037551" w:rsidRPr="00C95AD3" w:rsidRDefault="00037551" w:rsidP="00D51895">
      <w:pPr>
        <w:spacing w:line="360" w:lineRule="auto"/>
        <w:rPr>
          <w:sz w:val="24"/>
          <w:szCs w:val="24"/>
        </w:rPr>
      </w:pPr>
    </w:p>
    <w:p w:rsidR="00037551" w:rsidRPr="00C95AD3" w:rsidRDefault="00037551" w:rsidP="00D51895">
      <w:pPr>
        <w:spacing w:line="360" w:lineRule="auto"/>
        <w:rPr>
          <w:sz w:val="24"/>
          <w:szCs w:val="24"/>
        </w:rPr>
      </w:pPr>
    </w:p>
    <w:p w:rsidR="00F43BD3" w:rsidRPr="00C95AD3" w:rsidRDefault="00562D4F" w:rsidP="00D51895">
      <w:pPr>
        <w:rPr>
          <w:sz w:val="24"/>
          <w:szCs w:val="24"/>
        </w:rPr>
      </w:pPr>
      <w:bookmarkStart w:id="0" w:name="_GoBack"/>
      <w:bookmarkEnd w:id="0"/>
      <w:r w:rsidRPr="00C95AD3">
        <w:rPr>
          <w:sz w:val="24"/>
          <w:szCs w:val="24"/>
        </w:rPr>
        <w:t xml:space="preserve">Date:  </w:t>
      </w:r>
      <w:r w:rsidR="00230339" w:rsidRPr="00C95AD3">
        <w:rPr>
          <w:sz w:val="24"/>
          <w:szCs w:val="24"/>
          <w:u w:val="single"/>
        </w:rPr>
        <w:t>May</w:t>
      </w:r>
      <w:r w:rsidR="00282A2A" w:rsidRPr="00C95AD3">
        <w:rPr>
          <w:sz w:val="24"/>
          <w:szCs w:val="24"/>
          <w:u w:val="single"/>
        </w:rPr>
        <w:t xml:space="preserve"> </w:t>
      </w:r>
      <w:r w:rsidR="00D16B96" w:rsidRPr="00C95AD3">
        <w:rPr>
          <w:sz w:val="24"/>
          <w:szCs w:val="24"/>
          <w:u w:val="single"/>
        </w:rPr>
        <w:t>19</w:t>
      </w:r>
      <w:r w:rsidR="00230339" w:rsidRPr="00C95AD3">
        <w:rPr>
          <w:sz w:val="24"/>
          <w:szCs w:val="24"/>
          <w:u w:val="single"/>
        </w:rPr>
        <w:t>,</w:t>
      </w:r>
      <w:r w:rsidR="0090510B" w:rsidRPr="00C95AD3">
        <w:rPr>
          <w:sz w:val="24"/>
          <w:szCs w:val="24"/>
          <w:u w:val="single"/>
        </w:rPr>
        <w:t xml:space="preserve"> 2015</w:t>
      </w:r>
      <w:r w:rsidR="00F43BD3" w:rsidRPr="00C95AD3">
        <w:rPr>
          <w:sz w:val="24"/>
          <w:szCs w:val="24"/>
        </w:rPr>
        <w:tab/>
      </w:r>
      <w:r w:rsidRPr="00C95AD3">
        <w:rPr>
          <w:sz w:val="24"/>
          <w:szCs w:val="24"/>
        </w:rPr>
        <w:tab/>
      </w:r>
      <w:r w:rsidRPr="00C95AD3">
        <w:rPr>
          <w:sz w:val="24"/>
          <w:szCs w:val="24"/>
        </w:rPr>
        <w:tab/>
      </w:r>
      <w:r w:rsidR="003824FC" w:rsidRPr="00C95AD3">
        <w:rPr>
          <w:sz w:val="24"/>
          <w:szCs w:val="24"/>
          <w:u w:val="single"/>
        </w:rPr>
        <w:tab/>
      </w:r>
      <w:r w:rsidR="003824FC" w:rsidRPr="00C95AD3">
        <w:rPr>
          <w:sz w:val="24"/>
          <w:szCs w:val="24"/>
          <w:u w:val="single"/>
        </w:rPr>
        <w:tab/>
      </w:r>
      <w:r w:rsidR="003824FC" w:rsidRPr="00C95AD3">
        <w:rPr>
          <w:sz w:val="24"/>
          <w:szCs w:val="24"/>
          <w:u w:val="single"/>
        </w:rPr>
        <w:tab/>
        <w:t>/s/</w:t>
      </w:r>
      <w:r w:rsidR="003824FC" w:rsidRPr="00C95AD3">
        <w:rPr>
          <w:sz w:val="24"/>
          <w:szCs w:val="24"/>
          <w:u w:val="single"/>
        </w:rPr>
        <w:tab/>
      </w:r>
      <w:r w:rsidR="003824FC" w:rsidRPr="00C95AD3">
        <w:rPr>
          <w:sz w:val="24"/>
          <w:szCs w:val="24"/>
          <w:u w:val="single"/>
        </w:rPr>
        <w:tab/>
      </w:r>
      <w:r w:rsidR="003824FC" w:rsidRPr="00C95AD3">
        <w:rPr>
          <w:sz w:val="24"/>
          <w:szCs w:val="24"/>
          <w:u w:val="single"/>
        </w:rPr>
        <w:tab/>
      </w:r>
    </w:p>
    <w:p w:rsidR="00F43BD3" w:rsidRPr="00C95AD3" w:rsidRDefault="00F43BD3" w:rsidP="00D51895">
      <w:pPr>
        <w:rPr>
          <w:sz w:val="24"/>
          <w:szCs w:val="24"/>
        </w:rPr>
      </w:pP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t>C</w:t>
      </w:r>
      <w:r w:rsidR="00562D4F" w:rsidRPr="00C95AD3">
        <w:rPr>
          <w:sz w:val="24"/>
          <w:szCs w:val="24"/>
        </w:rPr>
        <w:t>ynthia Williams Fordham</w:t>
      </w:r>
    </w:p>
    <w:p w:rsidR="00F43BD3" w:rsidRPr="00C95AD3" w:rsidRDefault="00F43BD3" w:rsidP="00D51895">
      <w:pPr>
        <w:ind w:left="720" w:hanging="720"/>
        <w:rPr>
          <w:sz w:val="24"/>
          <w:szCs w:val="24"/>
        </w:rPr>
      </w:pP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r>
      <w:r w:rsidRPr="00C95AD3">
        <w:rPr>
          <w:sz w:val="24"/>
          <w:szCs w:val="24"/>
        </w:rPr>
        <w:tab/>
        <w:t>Administrative Law Judge</w:t>
      </w:r>
    </w:p>
    <w:sectPr w:rsidR="00F43BD3" w:rsidRPr="00C95AD3" w:rsidSect="00684004">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FD" w:rsidRDefault="003830FD">
      <w:r>
        <w:separator/>
      </w:r>
    </w:p>
  </w:endnote>
  <w:endnote w:type="continuationSeparator" w:id="0">
    <w:p w:rsidR="003830FD" w:rsidRDefault="0038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563278">
      <w:rPr>
        <w:rStyle w:val="PageNumber"/>
        <w:noProof/>
        <w:sz w:val="20"/>
        <w:szCs w:val="20"/>
      </w:rPr>
      <w:t>9</w:t>
    </w:r>
    <w:r w:rsidRPr="0085273E">
      <w:rPr>
        <w:rStyle w:val="PageNumber"/>
        <w:sz w:val="20"/>
        <w:szCs w:val="20"/>
      </w:rPr>
      <w:fldChar w:fldCharType="end"/>
    </w:r>
  </w:p>
  <w:p w:rsidR="00586606" w:rsidRDefault="00586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0C" w:rsidRDefault="0047170C">
    <w:pPr>
      <w:pStyle w:val="Footer"/>
      <w:jc w:val="center"/>
    </w:pPr>
    <w:r>
      <w:fldChar w:fldCharType="begin"/>
    </w:r>
    <w:r>
      <w:instrText xml:space="preserve"> PAGE   \* MERGEFORMAT </w:instrText>
    </w:r>
    <w:r>
      <w:fldChar w:fldCharType="separate"/>
    </w:r>
    <w:r w:rsidR="00563278">
      <w:rPr>
        <w:noProof/>
      </w:rPr>
      <w:t>1</w:t>
    </w:r>
    <w:r>
      <w:rPr>
        <w:noProof/>
      </w:rPr>
      <w:fldChar w:fldCharType="end"/>
    </w:r>
  </w:p>
  <w:p w:rsidR="0047170C" w:rsidRDefault="0047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FD" w:rsidRDefault="003830FD">
      <w:r>
        <w:separator/>
      </w:r>
    </w:p>
  </w:footnote>
  <w:footnote w:type="continuationSeparator" w:id="0">
    <w:p w:rsidR="003830FD" w:rsidRDefault="003830FD">
      <w:r>
        <w:continuationSeparator/>
      </w:r>
    </w:p>
  </w:footnote>
  <w:footnote w:id="1">
    <w:p w:rsidR="007A6806" w:rsidRPr="007A6806" w:rsidRDefault="007A6806" w:rsidP="007A6806">
      <w:pPr>
        <w:rPr>
          <w:sz w:val="20"/>
          <w:szCs w:val="20"/>
        </w:rPr>
      </w:pPr>
      <w:r>
        <w:rPr>
          <w:rStyle w:val="FootnoteReference"/>
        </w:rPr>
        <w:footnoteRef/>
      </w:r>
      <w:r>
        <w:t xml:space="preserve"> </w:t>
      </w:r>
      <w:r>
        <w:tab/>
      </w:r>
      <w:r w:rsidRPr="007A6806">
        <w:rPr>
          <w:sz w:val="20"/>
          <w:szCs w:val="20"/>
        </w:rPr>
        <w:t>The Complainant did not request a payment arrangement in her informal complaint.  She disputed the termination.</w:t>
      </w:r>
    </w:p>
    <w:p w:rsidR="007A6806" w:rsidRPr="007A6806" w:rsidRDefault="007A680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5855"/>
    <w:multiLevelType w:val="hybridMultilevel"/>
    <w:tmpl w:val="83061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E913D8"/>
    <w:multiLevelType w:val="hybridMultilevel"/>
    <w:tmpl w:val="1292C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87410EF"/>
    <w:multiLevelType w:val="hybridMultilevel"/>
    <w:tmpl w:val="83061832"/>
    <w:lvl w:ilvl="0" w:tplc="0409000F">
      <w:start w:val="1"/>
      <w:numFmt w:val="decimal"/>
      <w:lvlText w:val="%1."/>
      <w:lvlJc w:val="left"/>
      <w:pPr>
        <w:ind w:left="90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4467"/>
    <w:rsid w:val="000111B8"/>
    <w:rsid w:val="00013ADF"/>
    <w:rsid w:val="00016C1E"/>
    <w:rsid w:val="00017C4D"/>
    <w:rsid w:val="0002052F"/>
    <w:rsid w:val="000219C0"/>
    <w:rsid w:val="00026307"/>
    <w:rsid w:val="000302D3"/>
    <w:rsid w:val="00030CCE"/>
    <w:rsid w:val="0003282F"/>
    <w:rsid w:val="000335AC"/>
    <w:rsid w:val="00036656"/>
    <w:rsid w:val="00037551"/>
    <w:rsid w:val="00040ADC"/>
    <w:rsid w:val="00042BEE"/>
    <w:rsid w:val="00045832"/>
    <w:rsid w:val="000529B8"/>
    <w:rsid w:val="00052DB1"/>
    <w:rsid w:val="0005361C"/>
    <w:rsid w:val="00064A60"/>
    <w:rsid w:val="000668E2"/>
    <w:rsid w:val="00066C1F"/>
    <w:rsid w:val="000740C6"/>
    <w:rsid w:val="00075CD5"/>
    <w:rsid w:val="0007626D"/>
    <w:rsid w:val="00080F65"/>
    <w:rsid w:val="00082CA2"/>
    <w:rsid w:val="0008474F"/>
    <w:rsid w:val="00087413"/>
    <w:rsid w:val="000977DB"/>
    <w:rsid w:val="000A0D5D"/>
    <w:rsid w:val="000A18B7"/>
    <w:rsid w:val="000A1F6A"/>
    <w:rsid w:val="000B6C3C"/>
    <w:rsid w:val="000B7D24"/>
    <w:rsid w:val="000C11FC"/>
    <w:rsid w:val="000C61E1"/>
    <w:rsid w:val="000C6522"/>
    <w:rsid w:val="000D10E1"/>
    <w:rsid w:val="000D13A0"/>
    <w:rsid w:val="000D36A0"/>
    <w:rsid w:val="000D7347"/>
    <w:rsid w:val="000F5133"/>
    <w:rsid w:val="000F7870"/>
    <w:rsid w:val="00103004"/>
    <w:rsid w:val="00106012"/>
    <w:rsid w:val="00122538"/>
    <w:rsid w:val="00122E21"/>
    <w:rsid w:val="0012317C"/>
    <w:rsid w:val="001311B6"/>
    <w:rsid w:val="00132347"/>
    <w:rsid w:val="00134150"/>
    <w:rsid w:val="00137DD5"/>
    <w:rsid w:val="001418B9"/>
    <w:rsid w:val="00146AD2"/>
    <w:rsid w:val="00154527"/>
    <w:rsid w:val="001749AE"/>
    <w:rsid w:val="00174DB5"/>
    <w:rsid w:val="0017594F"/>
    <w:rsid w:val="001878DC"/>
    <w:rsid w:val="00190AA8"/>
    <w:rsid w:val="001949D1"/>
    <w:rsid w:val="001953D2"/>
    <w:rsid w:val="00197A80"/>
    <w:rsid w:val="001A1694"/>
    <w:rsid w:val="001A37FE"/>
    <w:rsid w:val="001A7B8C"/>
    <w:rsid w:val="001B255E"/>
    <w:rsid w:val="001B5738"/>
    <w:rsid w:val="001C7AC3"/>
    <w:rsid w:val="001C7DD3"/>
    <w:rsid w:val="001D013C"/>
    <w:rsid w:val="001E0952"/>
    <w:rsid w:val="001E6565"/>
    <w:rsid w:val="001E774A"/>
    <w:rsid w:val="001E7C86"/>
    <w:rsid w:val="001F1A2B"/>
    <w:rsid w:val="001F2718"/>
    <w:rsid w:val="001F2819"/>
    <w:rsid w:val="001F46BA"/>
    <w:rsid w:val="001F550B"/>
    <w:rsid w:val="001F65C2"/>
    <w:rsid w:val="00204C09"/>
    <w:rsid w:val="002208CB"/>
    <w:rsid w:val="0022414A"/>
    <w:rsid w:val="00227FA7"/>
    <w:rsid w:val="00230339"/>
    <w:rsid w:val="00234AD6"/>
    <w:rsid w:val="00236E2A"/>
    <w:rsid w:val="0023743A"/>
    <w:rsid w:val="00237BD3"/>
    <w:rsid w:val="00255029"/>
    <w:rsid w:val="00262C96"/>
    <w:rsid w:val="00267C26"/>
    <w:rsid w:val="00273963"/>
    <w:rsid w:val="00275234"/>
    <w:rsid w:val="002765C0"/>
    <w:rsid w:val="002776FC"/>
    <w:rsid w:val="002814C2"/>
    <w:rsid w:val="002828FD"/>
    <w:rsid w:val="00282A2A"/>
    <w:rsid w:val="00284A9A"/>
    <w:rsid w:val="00295D93"/>
    <w:rsid w:val="002A1425"/>
    <w:rsid w:val="002A5C46"/>
    <w:rsid w:val="002A7F4E"/>
    <w:rsid w:val="002A7F9E"/>
    <w:rsid w:val="002B3F40"/>
    <w:rsid w:val="002B707D"/>
    <w:rsid w:val="002B759E"/>
    <w:rsid w:val="002C1EC7"/>
    <w:rsid w:val="002D3F7A"/>
    <w:rsid w:val="002D4E83"/>
    <w:rsid w:val="002E511C"/>
    <w:rsid w:val="002F15BA"/>
    <w:rsid w:val="002F300B"/>
    <w:rsid w:val="00304BC5"/>
    <w:rsid w:val="00306A76"/>
    <w:rsid w:val="00307AFB"/>
    <w:rsid w:val="00311E2D"/>
    <w:rsid w:val="003138C2"/>
    <w:rsid w:val="00314D92"/>
    <w:rsid w:val="00326235"/>
    <w:rsid w:val="00337845"/>
    <w:rsid w:val="00337FCB"/>
    <w:rsid w:val="00341074"/>
    <w:rsid w:val="003416AF"/>
    <w:rsid w:val="00341985"/>
    <w:rsid w:val="00345787"/>
    <w:rsid w:val="0034700A"/>
    <w:rsid w:val="003506CD"/>
    <w:rsid w:val="00350D31"/>
    <w:rsid w:val="00351FA4"/>
    <w:rsid w:val="00357BC9"/>
    <w:rsid w:val="00365C12"/>
    <w:rsid w:val="00366304"/>
    <w:rsid w:val="0036771D"/>
    <w:rsid w:val="00367CF2"/>
    <w:rsid w:val="00380549"/>
    <w:rsid w:val="003824FC"/>
    <w:rsid w:val="00382C4F"/>
    <w:rsid w:val="003830FD"/>
    <w:rsid w:val="00386B05"/>
    <w:rsid w:val="0039073B"/>
    <w:rsid w:val="003A14FD"/>
    <w:rsid w:val="003A2277"/>
    <w:rsid w:val="003A3D29"/>
    <w:rsid w:val="003A4DC2"/>
    <w:rsid w:val="003A5B35"/>
    <w:rsid w:val="003B0267"/>
    <w:rsid w:val="003B09A8"/>
    <w:rsid w:val="003B5FC3"/>
    <w:rsid w:val="003B7ED3"/>
    <w:rsid w:val="003C13C1"/>
    <w:rsid w:val="003D43F8"/>
    <w:rsid w:val="003E296C"/>
    <w:rsid w:val="003E5A32"/>
    <w:rsid w:val="003F011C"/>
    <w:rsid w:val="003F57D5"/>
    <w:rsid w:val="003F5A09"/>
    <w:rsid w:val="00401BA2"/>
    <w:rsid w:val="00401C62"/>
    <w:rsid w:val="00402FE8"/>
    <w:rsid w:val="00403F1E"/>
    <w:rsid w:val="00410FE8"/>
    <w:rsid w:val="00425357"/>
    <w:rsid w:val="0042596E"/>
    <w:rsid w:val="004377AE"/>
    <w:rsid w:val="00440752"/>
    <w:rsid w:val="00443280"/>
    <w:rsid w:val="0044331B"/>
    <w:rsid w:val="004435E3"/>
    <w:rsid w:val="004442ED"/>
    <w:rsid w:val="00445B89"/>
    <w:rsid w:val="00451869"/>
    <w:rsid w:val="00452768"/>
    <w:rsid w:val="004543EC"/>
    <w:rsid w:val="00461833"/>
    <w:rsid w:val="00463DBF"/>
    <w:rsid w:val="00464643"/>
    <w:rsid w:val="00466C44"/>
    <w:rsid w:val="0047070E"/>
    <w:rsid w:val="0047170C"/>
    <w:rsid w:val="00473250"/>
    <w:rsid w:val="00474CB9"/>
    <w:rsid w:val="00477136"/>
    <w:rsid w:val="004820A7"/>
    <w:rsid w:val="00484E1A"/>
    <w:rsid w:val="00490CD6"/>
    <w:rsid w:val="00493143"/>
    <w:rsid w:val="004957DC"/>
    <w:rsid w:val="00496B96"/>
    <w:rsid w:val="004B0FC1"/>
    <w:rsid w:val="004B2E99"/>
    <w:rsid w:val="004B47B0"/>
    <w:rsid w:val="004B67F8"/>
    <w:rsid w:val="004B7CDC"/>
    <w:rsid w:val="004C258F"/>
    <w:rsid w:val="004C4D91"/>
    <w:rsid w:val="004C6AD4"/>
    <w:rsid w:val="004D2373"/>
    <w:rsid w:val="004D2714"/>
    <w:rsid w:val="004D3D69"/>
    <w:rsid w:val="004D70D2"/>
    <w:rsid w:val="004E0C32"/>
    <w:rsid w:val="004E57E0"/>
    <w:rsid w:val="004E66C3"/>
    <w:rsid w:val="004E6B7D"/>
    <w:rsid w:val="004E7D70"/>
    <w:rsid w:val="004F6B52"/>
    <w:rsid w:val="00500101"/>
    <w:rsid w:val="005015BE"/>
    <w:rsid w:val="00511023"/>
    <w:rsid w:val="00512F7A"/>
    <w:rsid w:val="00514CCC"/>
    <w:rsid w:val="00516573"/>
    <w:rsid w:val="00520B57"/>
    <w:rsid w:val="00522916"/>
    <w:rsid w:val="00523308"/>
    <w:rsid w:val="00525677"/>
    <w:rsid w:val="00525FF0"/>
    <w:rsid w:val="00526136"/>
    <w:rsid w:val="00534BFA"/>
    <w:rsid w:val="00541CEB"/>
    <w:rsid w:val="00542826"/>
    <w:rsid w:val="005447C2"/>
    <w:rsid w:val="00550D9F"/>
    <w:rsid w:val="00550F34"/>
    <w:rsid w:val="00562D4F"/>
    <w:rsid w:val="00563278"/>
    <w:rsid w:val="00564CB0"/>
    <w:rsid w:val="00565BCE"/>
    <w:rsid w:val="00567684"/>
    <w:rsid w:val="00567ABF"/>
    <w:rsid w:val="005736BC"/>
    <w:rsid w:val="00574965"/>
    <w:rsid w:val="005767CB"/>
    <w:rsid w:val="005778D5"/>
    <w:rsid w:val="00580230"/>
    <w:rsid w:val="0058034C"/>
    <w:rsid w:val="0058314F"/>
    <w:rsid w:val="00586606"/>
    <w:rsid w:val="00586CE9"/>
    <w:rsid w:val="00586F60"/>
    <w:rsid w:val="00590EAA"/>
    <w:rsid w:val="00594788"/>
    <w:rsid w:val="005A20D9"/>
    <w:rsid w:val="005A48EB"/>
    <w:rsid w:val="005A7BDF"/>
    <w:rsid w:val="005B5A5B"/>
    <w:rsid w:val="005C02CB"/>
    <w:rsid w:val="005C0D66"/>
    <w:rsid w:val="005C11F2"/>
    <w:rsid w:val="005C33CE"/>
    <w:rsid w:val="005C4F42"/>
    <w:rsid w:val="005C554A"/>
    <w:rsid w:val="005C7D0A"/>
    <w:rsid w:val="005D04F8"/>
    <w:rsid w:val="005D2830"/>
    <w:rsid w:val="005D326D"/>
    <w:rsid w:val="005D4863"/>
    <w:rsid w:val="005D54DF"/>
    <w:rsid w:val="005D5832"/>
    <w:rsid w:val="005E0029"/>
    <w:rsid w:val="005E29E6"/>
    <w:rsid w:val="005E378A"/>
    <w:rsid w:val="005E4E2D"/>
    <w:rsid w:val="005F2FE7"/>
    <w:rsid w:val="005F3E9B"/>
    <w:rsid w:val="005F40FA"/>
    <w:rsid w:val="005F4565"/>
    <w:rsid w:val="005F4644"/>
    <w:rsid w:val="00601627"/>
    <w:rsid w:val="00604E2A"/>
    <w:rsid w:val="00606346"/>
    <w:rsid w:val="00614A30"/>
    <w:rsid w:val="00616953"/>
    <w:rsid w:val="0062261E"/>
    <w:rsid w:val="00633286"/>
    <w:rsid w:val="0064092D"/>
    <w:rsid w:val="00641F78"/>
    <w:rsid w:val="00642047"/>
    <w:rsid w:val="00650A7B"/>
    <w:rsid w:val="00650E21"/>
    <w:rsid w:val="00654185"/>
    <w:rsid w:val="00654817"/>
    <w:rsid w:val="006605E4"/>
    <w:rsid w:val="0066175E"/>
    <w:rsid w:val="00661E44"/>
    <w:rsid w:val="00664F2A"/>
    <w:rsid w:val="0067033E"/>
    <w:rsid w:val="00681218"/>
    <w:rsid w:val="00684004"/>
    <w:rsid w:val="0068477D"/>
    <w:rsid w:val="00687515"/>
    <w:rsid w:val="0069150C"/>
    <w:rsid w:val="00692904"/>
    <w:rsid w:val="00695F44"/>
    <w:rsid w:val="006A2441"/>
    <w:rsid w:val="006B00DF"/>
    <w:rsid w:val="006B04C6"/>
    <w:rsid w:val="006B12A9"/>
    <w:rsid w:val="006B25B0"/>
    <w:rsid w:val="006B2E80"/>
    <w:rsid w:val="006B4BF6"/>
    <w:rsid w:val="006B59DE"/>
    <w:rsid w:val="006C06A3"/>
    <w:rsid w:val="006C3414"/>
    <w:rsid w:val="006D5245"/>
    <w:rsid w:val="006D5371"/>
    <w:rsid w:val="006D7D8B"/>
    <w:rsid w:val="006E5515"/>
    <w:rsid w:val="006E6B2E"/>
    <w:rsid w:val="006F5AF8"/>
    <w:rsid w:val="006F67E3"/>
    <w:rsid w:val="00701447"/>
    <w:rsid w:val="00703662"/>
    <w:rsid w:val="00711510"/>
    <w:rsid w:val="0071342A"/>
    <w:rsid w:val="007201E8"/>
    <w:rsid w:val="007212F9"/>
    <w:rsid w:val="007218AC"/>
    <w:rsid w:val="007238A2"/>
    <w:rsid w:val="00727B1C"/>
    <w:rsid w:val="00730E7D"/>
    <w:rsid w:val="00732A78"/>
    <w:rsid w:val="007330EF"/>
    <w:rsid w:val="00733D91"/>
    <w:rsid w:val="00734667"/>
    <w:rsid w:val="00735161"/>
    <w:rsid w:val="00736C8B"/>
    <w:rsid w:val="007407B7"/>
    <w:rsid w:val="00740E8C"/>
    <w:rsid w:val="00741425"/>
    <w:rsid w:val="00745403"/>
    <w:rsid w:val="00747FE9"/>
    <w:rsid w:val="00757CE1"/>
    <w:rsid w:val="007607FB"/>
    <w:rsid w:val="00763602"/>
    <w:rsid w:val="00763924"/>
    <w:rsid w:val="00772357"/>
    <w:rsid w:val="00780B9A"/>
    <w:rsid w:val="00784004"/>
    <w:rsid w:val="00784068"/>
    <w:rsid w:val="007851E6"/>
    <w:rsid w:val="0079574E"/>
    <w:rsid w:val="0079726D"/>
    <w:rsid w:val="007A6806"/>
    <w:rsid w:val="007B42FD"/>
    <w:rsid w:val="007B5533"/>
    <w:rsid w:val="007C3820"/>
    <w:rsid w:val="007C3C0A"/>
    <w:rsid w:val="007C7F57"/>
    <w:rsid w:val="007D12FD"/>
    <w:rsid w:val="007D24A2"/>
    <w:rsid w:val="007D272D"/>
    <w:rsid w:val="007D3447"/>
    <w:rsid w:val="007D3CE1"/>
    <w:rsid w:val="007D53B1"/>
    <w:rsid w:val="007D5575"/>
    <w:rsid w:val="007D70B5"/>
    <w:rsid w:val="007E31FC"/>
    <w:rsid w:val="007E3D06"/>
    <w:rsid w:val="007E57D5"/>
    <w:rsid w:val="007F0603"/>
    <w:rsid w:val="007F2A37"/>
    <w:rsid w:val="007F2C68"/>
    <w:rsid w:val="007F684B"/>
    <w:rsid w:val="007F7ECE"/>
    <w:rsid w:val="00800C0F"/>
    <w:rsid w:val="00803359"/>
    <w:rsid w:val="00804E4C"/>
    <w:rsid w:val="008105D3"/>
    <w:rsid w:val="00812F5B"/>
    <w:rsid w:val="00813651"/>
    <w:rsid w:val="00813F49"/>
    <w:rsid w:val="00822875"/>
    <w:rsid w:val="00826026"/>
    <w:rsid w:val="0082742D"/>
    <w:rsid w:val="008274F8"/>
    <w:rsid w:val="008356F6"/>
    <w:rsid w:val="008367C4"/>
    <w:rsid w:val="00843180"/>
    <w:rsid w:val="0084504B"/>
    <w:rsid w:val="008504F2"/>
    <w:rsid w:val="0085273E"/>
    <w:rsid w:val="0085520E"/>
    <w:rsid w:val="008607D2"/>
    <w:rsid w:val="00866966"/>
    <w:rsid w:val="00874A05"/>
    <w:rsid w:val="00887197"/>
    <w:rsid w:val="00890D21"/>
    <w:rsid w:val="00894911"/>
    <w:rsid w:val="00894E7F"/>
    <w:rsid w:val="00896097"/>
    <w:rsid w:val="008B10C0"/>
    <w:rsid w:val="008B2A4C"/>
    <w:rsid w:val="008B2DED"/>
    <w:rsid w:val="008B4C65"/>
    <w:rsid w:val="008B538F"/>
    <w:rsid w:val="008B68C9"/>
    <w:rsid w:val="008C2F17"/>
    <w:rsid w:val="008C6576"/>
    <w:rsid w:val="008C6E61"/>
    <w:rsid w:val="008D1C8F"/>
    <w:rsid w:val="008E342F"/>
    <w:rsid w:val="008E3AF7"/>
    <w:rsid w:val="008E5818"/>
    <w:rsid w:val="008F09EC"/>
    <w:rsid w:val="008F312C"/>
    <w:rsid w:val="008F50DC"/>
    <w:rsid w:val="008F76C0"/>
    <w:rsid w:val="009013B0"/>
    <w:rsid w:val="009017CD"/>
    <w:rsid w:val="00903EA9"/>
    <w:rsid w:val="0090510B"/>
    <w:rsid w:val="00905759"/>
    <w:rsid w:val="00912109"/>
    <w:rsid w:val="00913C8A"/>
    <w:rsid w:val="00914F86"/>
    <w:rsid w:val="0091614D"/>
    <w:rsid w:val="00916991"/>
    <w:rsid w:val="0092018B"/>
    <w:rsid w:val="00920B8E"/>
    <w:rsid w:val="00930923"/>
    <w:rsid w:val="00933667"/>
    <w:rsid w:val="00936235"/>
    <w:rsid w:val="0094157C"/>
    <w:rsid w:val="00941CB2"/>
    <w:rsid w:val="00950822"/>
    <w:rsid w:val="00952008"/>
    <w:rsid w:val="00953D43"/>
    <w:rsid w:val="009541D2"/>
    <w:rsid w:val="0095562F"/>
    <w:rsid w:val="009642E6"/>
    <w:rsid w:val="00964E09"/>
    <w:rsid w:val="00973181"/>
    <w:rsid w:val="00982C57"/>
    <w:rsid w:val="0098550A"/>
    <w:rsid w:val="00985D69"/>
    <w:rsid w:val="00993DFC"/>
    <w:rsid w:val="00994041"/>
    <w:rsid w:val="009948DE"/>
    <w:rsid w:val="009A1882"/>
    <w:rsid w:val="009A21D6"/>
    <w:rsid w:val="009A3A51"/>
    <w:rsid w:val="009A3DCB"/>
    <w:rsid w:val="009A5CE4"/>
    <w:rsid w:val="009A5E8D"/>
    <w:rsid w:val="009B4DBD"/>
    <w:rsid w:val="009C36DB"/>
    <w:rsid w:val="009C79B4"/>
    <w:rsid w:val="009C7B38"/>
    <w:rsid w:val="009E456F"/>
    <w:rsid w:val="009F1A08"/>
    <w:rsid w:val="00A04995"/>
    <w:rsid w:val="00A06B3E"/>
    <w:rsid w:val="00A06BCC"/>
    <w:rsid w:val="00A1236E"/>
    <w:rsid w:val="00A23593"/>
    <w:rsid w:val="00A26CFC"/>
    <w:rsid w:val="00A26E85"/>
    <w:rsid w:val="00A30184"/>
    <w:rsid w:val="00A3024E"/>
    <w:rsid w:val="00A3076F"/>
    <w:rsid w:val="00A30E39"/>
    <w:rsid w:val="00A30E78"/>
    <w:rsid w:val="00A37F47"/>
    <w:rsid w:val="00A43D80"/>
    <w:rsid w:val="00A5216B"/>
    <w:rsid w:val="00A63CED"/>
    <w:rsid w:val="00A64A08"/>
    <w:rsid w:val="00A67306"/>
    <w:rsid w:val="00A706AC"/>
    <w:rsid w:val="00A70CF9"/>
    <w:rsid w:val="00A80418"/>
    <w:rsid w:val="00A838EF"/>
    <w:rsid w:val="00A84AF6"/>
    <w:rsid w:val="00A87A13"/>
    <w:rsid w:val="00A900E7"/>
    <w:rsid w:val="00A90533"/>
    <w:rsid w:val="00A93520"/>
    <w:rsid w:val="00A94518"/>
    <w:rsid w:val="00A94DED"/>
    <w:rsid w:val="00AA0180"/>
    <w:rsid w:val="00AA14B9"/>
    <w:rsid w:val="00AA7E08"/>
    <w:rsid w:val="00AB3D8A"/>
    <w:rsid w:val="00AB440A"/>
    <w:rsid w:val="00AB52A6"/>
    <w:rsid w:val="00AC2709"/>
    <w:rsid w:val="00AC7215"/>
    <w:rsid w:val="00AD080C"/>
    <w:rsid w:val="00AD1A41"/>
    <w:rsid w:val="00AD3F79"/>
    <w:rsid w:val="00AD5A47"/>
    <w:rsid w:val="00AD5A64"/>
    <w:rsid w:val="00AD685F"/>
    <w:rsid w:val="00AD7EB3"/>
    <w:rsid w:val="00AE3A02"/>
    <w:rsid w:val="00AE3BC1"/>
    <w:rsid w:val="00AE607C"/>
    <w:rsid w:val="00B02011"/>
    <w:rsid w:val="00B10C64"/>
    <w:rsid w:val="00B149B4"/>
    <w:rsid w:val="00B20A15"/>
    <w:rsid w:val="00B2366C"/>
    <w:rsid w:val="00B33F5F"/>
    <w:rsid w:val="00B365ED"/>
    <w:rsid w:val="00B36E6D"/>
    <w:rsid w:val="00B43778"/>
    <w:rsid w:val="00B57A3C"/>
    <w:rsid w:val="00B60C58"/>
    <w:rsid w:val="00B61720"/>
    <w:rsid w:val="00B6414B"/>
    <w:rsid w:val="00B664B1"/>
    <w:rsid w:val="00B66EC6"/>
    <w:rsid w:val="00B67CDB"/>
    <w:rsid w:val="00B71A40"/>
    <w:rsid w:val="00B7311F"/>
    <w:rsid w:val="00B76FB5"/>
    <w:rsid w:val="00B77F38"/>
    <w:rsid w:val="00B81D73"/>
    <w:rsid w:val="00B81DB5"/>
    <w:rsid w:val="00B8546C"/>
    <w:rsid w:val="00B85A46"/>
    <w:rsid w:val="00B87D88"/>
    <w:rsid w:val="00B90DC6"/>
    <w:rsid w:val="00B923BB"/>
    <w:rsid w:val="00B94DBE"/>
    <w:rsid w:val="00B951B0"/>
    <w:rsid w:val="00BA1421"/>
    <w:rsid w:val="00BA4C64"/>
    <w:rsid w:val="00BB1C38"/>
    <w:rsid w:val="00BB5B27"/>
    <w:rsid w:val="00BB6FC9"/>
    <w:rsid w:val="00BC0851"/>
    <w:rsid w:val="00BC6703"/>
    <w:rsid w:val="00BD14DA"/>
    <w:rsid w:val="00BE3083"/>
    <w:rsid w:val="00BF2C2C"/>
    <w:rsid w:val="00C01D80"/>
    <w:rsid w:val="00C05249"/>
    <w:rsid w:val="00C07C90"/>
    <w:rsid w:val="00C10BDB"/>
    <w:rsid w:val="00C130AD"/>
    <w:rsid w:val="00C130F7"/>
    <w:rsid w:val="00C13AA1"/>
    <w:rsid w:val="00C171B1"/>
    <w:rsid w:val="00C2129B"/>
    <w:rsid w:val="00C24E99"/>
    <w:rsid w:val="00C31305"/>
    <w:rsid w:val="00C31ABC"/>
    <w:rsid w:val="00C34271"/>
    <w:rsid w:val="00C4286A"/>
    <w:rsid w:val="00C52BFE"/>
    <w:rsid w:val="00C53A3E"/>
    <w:rsid w:val="00C56F1E"/>
    <w:rsid w:val="00C6279A"/>
    <w:rsid w:val="00C64152"/>
    <w:rsid w:val="00C65DED"/>
    <w:rsid w:val="00C8466F"/>
    <w:rsid w:val="00C84B74"/>
    <w:rsid w:val="00C86588"/>
    <w:rsid w:val="00C87704"/>
    <w:rsid w:val="00C918FD"/>
    <w:rsid w:val="00C93263"/>
    <w:rsid w:val="00C95AD3"/>
    <w:rsid w:val="00C95E7D"/>
    <w:rsid w:val="00C973EF"/>
    <w:rsid w:val="00CA68B1"/>
    <w:rsid w:val="00CB2ABE"/>
    <w:rsid w:val="00CB4A80"/>
    <w:rsid w:val="00CB4EF0"/>
    <w:rsid w:val="00CC0460"/>
    <w:rsid w:val="00CC2C5C"/>
    <w:rsid w:val="00CC6D83"/>
    <w:rsid w:val="00CC7970"/>
    <w:rsid w:val="00CD077C"/>
    <w:rsid w:val="00CD298C"/>
    <w:rsid w:val="00CD3C78"/>
    <w:rsid w:val="00CD3C80"/>
    <w:rsid w:val="00CE0C95"/>
    <w:rsid w:val="00CE28D6"/>
    <w:rsid w:val="00CE372A"/>
    <w:rsid w:val="00CE395E"/>
    <w:rsid w:val="00CF5C1B"/>
    <w:rsid w:val="00CF7ED5"/>
    <w:rsid w:val="00D00D8F"/>
    <w:rsid w:val="00D0367E"/>
    <w:rsid w:val="00D064B4"/>
    <w:rsid w:val="00D10E0B"/>
    <w:rsid w:val="00D125A4"/>
    <w:rsid w:val="00D12B8B"/>
    <w:rsid w:val="00D13B10"/>
    <w:rsid w:val="00D14D76"/>
    <w:rsid w:val="00D1611F"/>
    <w:rsid w:val="00D16B96"/>
    <w:rsid w:val="00D16C1B"/>
    <w:rsid w:val="00D243C4"/>
    <w:rsid w:val="00D25884"/>
    <w:rsid w:val="00D26445"/>
    <w:rsid w:val="00D3398B"/>
    <w:rsid w:val="00D36F23"/>
    <w:rsid w:val="00D411C3"/>
    <w:rsid w:val="00D51839"/>
    <w:rsid w:val="00D51895"/>
    <w:rsid w:val="00D57282"/>
    <w:rsid w:val="00D63C77"/>
    <w:rsid w:val="00D6688C"/>
    <w:rsid w:val="00D70AD3"/>
    <w:rsid w:val="00D723D3"/>
    <w:rsid w:val="00D72EDC"/>
    <w:rsid w:val="00D7545D"/>
    <w:rsid w:val="00D81B30"/>
    <w:rsid w:val="00D839AF"/>
    <w:rsid w:val="00D84138"/>
    <w:rsid w:val="00D864B8"/>
    <w:rsid w:val="00D86C9D"/>
    <w:rsid w:val="00D9242B"/>
    <w:rsid w:val="00D93422"/>
    <w:rsid w:val="00D93955"/>
    <w:rsid w:val="00DA550E"/>
    <w:rsid w:val="00DA73E1"/>
    <w:rsid w:val="00DB3A09"/>
    <w:rsid w:val="00DB75DD"/>
    <w:rsid w:val="00DC26FC"/>
    <w:rsid w:val="00DD60D0"/>
    <w:rsid w:val="00DD690E"/>
    <w:rsid w:val="00DD7ED2"/>
    <w:rsid w:val="00DE0299"/>
    <w:rsid w:val="00DE315E"/>
    <w:rsid w:val="00DE555B"/>
    <w:rsid w:val="00DF118A"/>
    <w:rsid w:val="00DF179E"/>
    <w:rsid w:val="00DF2497"/>
    <w:rsid w:val="00E00B16"/>
    <w:rsid w:val="00E03C9A"/>
    <w:rsid w:val="00E16EE6"/>
    <w:rsid w:val="00E20350"/>
    <w:rsid w:val="00E22EA0"/>
    <w:rsid w:val="00E23761"/>
    <w:rsid w:val="00E23A95"/>
    <w:rsid w:val="00E23E77"/>
    <w:rsid w:val="00E2525A"/>
    <w:rsid w:val="00E27E2E"/>
    <w:rsid w:val="00E30248"/>
    <w:rsid w:val="00E33600"/>
    <w:rsid w:val="00E34578"/>
    <w:rsid w:val="00E439A9"/>
    <w:rsid w:val="00E44861"/>
    <w:rsid w:val="00E4631E"/>
    <w:rsid w:val="00E46B64"/>
    <w:rsid w:val="00E47F98"/>
    <w:rsid w:val="00E50F7D"/>
    <w:rsid w:val="00E544ED"/>
    <w:rsid w:val="00E55246"/>
    <w:rsid w:val="00E564C6"/>
    <w:rsid w:val="00E63BF0"/>
    <w:rsid w:val="00E83149"/>
    <w:rsid w:val="00E84ACD"/>
    <w:rsid w:val="00E84C21"/>
    <w:rsid w:val="00E84FC1"/>
    <w:rsid w:val="00E85BEB"/>
    <w:rsid w:val="00E9578F"/>
    <w:rsid w:val="00E96CC4"/>
    <w:rsid w:val="00EA0772"/>
    <w:rsid w:val="00EA28D2"/>
    <w:rsid w:val="00EA3805"/>
    <w:rsid w:val="00EA5D4D"/>
    <w:rsid w:val="00EB1E6F"/>
    <w:rsid w:val="00EB3529"/>
    <w:rsid w:val="00EB3DBA"/>
    <w:rsid w:val="00EB60A0"/>
    <w:rsid w:val="00EB7133"/>
    <w:rsid w:val="00EB7493"/>
    <w:rsid w:val="00EC11A8"/>
    <w:rsid w:val="00EC67A5"/>
    <w:rsid w:val="00ED1F53"/>
    <w:rsid w:val="00ED4624"/>
    <w:rsid w:val="00ED7678"/>
    <w:rsid w:val="00EE15AA"/>
    <w:rsid w:val="00EE6BCA"/>
    <w:rsid w:val="00EF49A1"/>
    <w:rsid w:val="00EF51C2"/>
    <w:rsid w:val="00F005B6"/>
    <w:rsid w:val="00F02208"/>
    <w:rsid w:val="00F108EA"/>
    <w:rsid w:val="00F11E0B"/>
    <w:rsid w:val="00F137EF"/>
    <w:rsid w:val="00F15EDC"/>
    <w:rsid w:val="00F16958"/>
    <w:rsid w:val="00F16C7A"/>
    <w:rsid w:val="00F20C54"/>
    <w:rsid w:val="00F21BB1"/>
    <w:rsid w:val="00F24DB0"/>
    <w:rsid w:val="00F27BBF"/>
    <w:rsid w:val="00F319F5"/>
    <w:rsid w:val="00F33557"/>
    <w:rsid w:val="00F34B10"/>
    <w:rsid w:val="00F35A5E"/>
    <w:rsid w:val="00F41D62"/>
    <w:rsid w:val="00F427BA"/>
    <w:rsid w:val="00F42971"/>
    <w:rsid w:val="00F439C2"/>
    <w:rsid w:val="00F43BD3"/>
    <w:rsid w:val="00F52DA9"/>
    <w:rsid w:val="00F55A17"/>
    <w:rsid w:val="00F57D2D"/>
    <w:rsid w:val="00F60E90"/>
    <w:rsid w:val="00F64B54"/>
    <w:rsid w:val="00F7007E"/>
    <w:rsid w:val="00F82D7B"/>
    <w:rsid w:val="00F8436E"/>
    <w:rsid w:val="00F86D3F"/>
    <w:rsid w:val="00F91941"/>
    <w:rsid w:val="00F941B7"/>
    <w:rsid w:val="00F976E8"/>
    <w:rsid w:val="00F97BCC"/>
    <w:rsid w:val="00F97E39"/>
    <w:rsid w:val="00FA10C3"/>
    <w:rsid w:val="00FA6379"/>
    <w:rsid w:val="00FB0FB7"/>
    <w:rsid w:val="00FB73A0"/>
    <w:rsid w:val="00FC655B"/>
    <w:rsid w:val="00FC6CCE"/>
    <w:rsid w:val="00FD1AEB"/>
    <w:rsid w:val="00FD28DD"/>
    <w:rsid w:val="00FE0EAA"/>
    <w:rsid w:val="00FE234B"/>
    <w:rsid w:val="00FE459A"/>
    <w:rsid w:val="00FE6A40"/>
    <w:rsid w:val="00FF13BE"/>
    <w:rsid w:val="00FF16BA"/>
    <w:rsid w:val="00FF3929"/>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34700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BodyText3Char">
    <w:name w:val="Body Text 3 Char"/>
    <w:link w:val="BodyText3"/>
    <w:rsid w:val="005C02CB"/>
    <w:rPr>
      <w:sz w:val="26"/>
      <w:szCs w:val="26"/>
    </w:rPr>
  </w:style>
  <w:style w:type="paragraph" w:styleId="ListParagraph">
    <w:name w:val="List Paragraph"/>
    <w:basedOn w:val="Normal"/>
    <w:uiPriority w:val="34"/>
    <w:qFormat/>
    <w:rsid w:val="005C02CB"/>
    <w:pPr>
      <w:ind w:left="720"/>
      <w:contextualSpacing/>
    </w:pPr>
    <w:rPr>
      <w:sz w:val="24"/>
      <w:szCs w:val="24"/>
    </w:rPr>
  </w:style>
  <w:style w:type="paragraph" w:customStyle="1" w:styleId="ParaTab1">
    <w:name w:val="ParaTab 1"/>
    <w:rsid w:val="005C02CB"/>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link w:val="Heading4"/>
    <w:semiHidden/>
    <w:rsid w:val="0034700A"/>
    <w:rPr>
      <w:rFonts w:ascii="Calibri" w:eastAsia="Times New Roman" w:hAnsi="Calibri" w:cs="Times New Roman"/>
      <w:b/>
      <w:bCs/>
      <w:sz w:val="28"/>
      <w:szCs w:val="28"/>
    </w:rPr>
  </w:style>
  <w:style w:type="paragraph" w:styleId="NormalWeb">
    <w:name w:val="Normal (Web)"/>
    <w:basedOn w:val="Normal"/>
    <w:uiPriority w:val="99"/>
    <w:unhideWhenUsed/>
    <w:rsid w:val="0034700A"/>
    <w:pPr>
      <w:spacing w:before="100" w:beforeAutospacing="1" w:after="100" w:afterAutospacing="1" w:line="360" w:lineRule="auto"/>
    </w:pPr>
    <w:rPr>
      <w:sz w:val="24"/>
      <w:szCs w:val="24"/>
    </w:rPr>
  </w:style>
  <w:style w:type="character" w:customStyle="1" w:styleId="FootnoteTextChar">
    <w:name w:val="Footnote Text Char"/>
    <w:link w:val="FootnoteText"/>
    <w:semiHidden/>
    <w:rsid w:val="0034700A"/>
  </w:style>
  <w:style w:type="character" w:customStyle="1" w:styleId="FooterChar">
    <w:name w:val="Footer Char"/>
    <w:link w:val="Footer"/>
    <w:uiPriority w:val="99"/>
    <w:rsid w:val="0047170C"/>
    <w:rPr>
      <w:sz w:val="26"/>
      <w:szCs w:val="26"/>
    </w:rPr>
  </w:style>
  <w:style w:type="character" w:customStyle="1" w:styleId="Heading1Char">
    <w:name w:val="Heading 1 Char"/>
    <w:basedOn w:val="DefaultParagraphFont"/>
    <w:link w:val="Heading1"/>
    <w:rsid w:val="006B4BF6"/>
    <w:rPr>
      <w:rFonts w:ascii="Courier" w:hAnsi="Courier"/>
      <w:b/>
      <w:sz w:val="24"/>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34700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BodyText3Char">
    <w:name w:val="Body Text 3 Char"/>
    <w:link w:val="BodyText3"/>
    <w:rsid w:val="005C02CB"/>
    <w:rPr>
      <w:sz w:val="26"/>
      <w:szCs w:val="26"/>
    </w:rPr>
  </w:style>
  <w:style w:type="paragraph" w:styleId="ListParagraph">
    <w:name w:val="List Paragraph"/>
    <w:basedOn w:val="Normal"/>
    <w:uiPriority w:val="34"/>
    <w:qFormat/>
    <w:rsid w:val="005C02CB"/>
    <w:pPr>
      <w:ind w:left="720"/>
      <w:contextualSpacing/>
    </w:pPr>
    <w:rPr>
      <w:sz w:val="24"/>
      <w:szCs w:val="24"/>
    </w:rPr>
  </w:style>
  <w:style w:type="paragraph" w:customStyle="1" w:styleId="ParaTab1">
    <w:name w:val="ParaTab 1"/>
    <w:rsid w:val="005C02CB"/>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link w:val="Heading4"/>
    <w:semiHidden/>
    <w:rsid w:val="0034700A"/>
    <w:rPr>
      <w:rFonts w:ascii="Calibri" w:eastAsia="Times New Roman" w:hAnsi="Calibri" w:cs="Times New Roman"/>
      <w:b/>
      <w:bCs/>
      <w:sz w:val="28"/>
      <w:szCs w:val="28"/>
    </w:rPr>
  </w:style>
  <w:style w:type="paragraph" w:styleId="NormalWeb">
    <w:name w:val="Normal (Web)"/>
    <w:basedOn w:val="Normal"/>
    <w:uiPriority w:val="99"/>
    <w:unhideWhenUsed/>
    <w:rsid w:val="0034700A"/>
    <w:pPr>
      <w:spacing w:before="100" w:beforeAutospacing="1" w:after="100" w:afterAutospacing="1" w:line="360" w:lineRule="auto"/>
    </w:pPr>
    <w:rPr>
      <w:sz w:val="24"/>
      <w:szCs w:val="24"/>
    </w:rPr>
  </w:style>
  <w:style w:type="character" w:customStyle="1" w:styleId="FootnoteTextChar">
    <w:name w:val="Footnote Text Char"/>
    <w:link w:val="FootnoteText"/>
    <w:semiHidden/>
    <w:rsid w:val="0034700A"/>
  </w:style>
  <w:style w:type="character" w:customStyle="1" w:styleId="FooterChar">
    <w:name w:val="Footer Char"/>
    <w:link w:val="Footer"/>
    <w:uiPriority w:val="99"/>
    <w:rsid w:val="0047170C"/>
    <w:rPr>
      <w:sz w:val="26"/>
      <w:szCs w:val="26"/>
    </w:rPr>
  </w:style>
  <w:style w:type="character" w:customStyle="1" w:styleId="Heading1Char">
    <w:name w:val="Heading 1 Char"/>
    <w:basedOn w:val="DefaultParagraphFont"/>
    <w:link w:val="Heading1"/>
    <w:rsid w:val="006B4BF6"/>
    <w:rPr>
      <w:rFonts w:ascii="Courier" w:hAnsi="Courier"/>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4431825">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66657385">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59200220">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4808242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7423187">
      <w:bodyDiv w:val="1"/>
      <w:marLeft w:val="0"/>
      <w:marRight w:val="0"/>
      <w:marTop w:val="0"/>
      <w:marBottom w:val="0"/>
      <w:divBdr>
        <w:top w:val="none" w:sz="0" w:space="0" w:color="auto"/>
        <w:left w:val="none" w:sz="0" w:space="0" w:color="auto"/>
        <w:bottom w:val="none" w:sz="0" w:space="0" w:color="auto"/>
        <w:right w:val="none" w:sz="0" w:space="0" w:color="auto"/>
      </w:divBdr>
    </w:div>
    <w:div w:id="326172925">
      <w:bodyDiv w:val="1"/>
      <w:marLeft w:val="0"/>
      <w:marRight w:val="0"/>
      <w:marTop w:val="0"/>
      <w:marBottom w:val="0"/>
      <w:divBdr>
        <w:top w:val="none" w:sz="0" w:space="0" w:color="auto"/>
        <w:left w:val="none" w:sz="0" w:space="0" w:color="auto"/>
        <w:bottom w:val="none" w:sz="0" w:space="0" w:color="auto"/>
        <w:right w:val="none" w:sz="0" w:space="0" w:color="auto"/>
      </w:divBdr>
    </w:div>
    <w:div w:id="326592781">
      <w:bodyDiv w:val="1"/>
      <w:marLeft w:val="0"/>
      <w:marRight w:val="0"/>
      <w:marTop w:val="0"/>
      <w:marBottom w:val="0"/>
      <w:divBdr>
        <w:top w:val="none" w:sz="0" w:space="0" w:color="auto"/>
        <w:left w:val="none" w:sz="0" w:space="0" w:color="auto"/>
        <w:bottom w:val="none" w:sz="0" w:space="0" w:color="auto"/>
        <w:right w:val="none" w:sz="0" w:space="0" w:color="auto"/>
      </w:divBdr>
    </w:div>
    <w:div w:id="327487234">
      <w:bodyDiv w:val="1"/>
      <w:marLeft w:val="0"/>
      <w:marRight w:val="0"/>
      <w:marTop w:val="0"/>
      <w:marBottom w:val="0"/>
      <w:divBdr>
        <w:top w:val="none" w:sz="0" w:space="0" w:color="auto"/>
        <w:left w:val="none" w:sz="0" w:space="0" w:color="auto"/>
        <w:bottom w:val="none" w:sz="0" w:space="0" w:color="auto"/>
        <w:right w:val="none" w:sz="0" w:space="0" w:color="auto"/>
      </w:divBdr>
    </w:div>
    <w:div w:id="328410334">
      <w:bodyDiv w:val="1"/>
      <w:marLeft w:val="0"/>
      <w:marRight w:val="0"/>
      <w:marTop w:val="0"/>
      <w:marBottom w:val="0"/>
      <w:divBdr>
        <w:top w:val="none" w:sz="0" w:space="0" w:color="auto"/>
        <w:left w:val="none" w:sz="0" w:space="0" w:color="auto"/>
        <w:bottom w:val="none" w:sz="0" w:space="0" w:color="auto"/>
        <w:right w:val="none" w:sz="0" w:space="0" w:color="auto"/>
      </w:divBdr>
    </w:div>
    <w:div w:id="341131278">
      <w:bodyDiv w:val="1"/>
      <w:marLeft w:val="0"/>
      <w:marRight w:val="0"/>
      <w:marTop w:val="0"/>
      <w:marBottom w:val="0"/>
      <w:divBdr>
        <w:top w:val="none" w:sz="0" w:space="0" w:color="auto"/>
        <w:left w:val="none" w:sz="0" w:space="0" w:color="auto"/>
        <w:bottom w:val="none" w:sz="0" w:space="0" w:color="auto"/>
        <w:right w:val="none" w:sz="0" w:space="0" w:color="auto"/>
      </w:divBdr>
    </w:div>
    <w:div w:id="341398821">
      <w:bodyDiv w:val="1"/>
      <w:marLeft w:val="0"/>
      <w:marRight w:val="0"/>
      <w:marTop w:val="0"/>
      <w:marBottom w:val="0"/>
      <w:divBdr>
        <w:top w:val="none" w:sz="0" w:space="0" w:color="auto"/>
        <w:left w:val="none" w:sz="0" w:space="0" w:color="auto"/>
        <w:bottom w:val="none" w:sz="0" w:space="0" w:color="auto"/>
        <w:right w:val="none" w:sz="0" w:space="0" w:color="auto"/>
      </w:divBdr>
    </w:div>
    <w:div w:id="344139623">
      <w:bodyDiv w:val="1"/>
      <w:marLeft w:val="0"/>
      <w:marRight w:val="0"/>
      <w:marTop w:val="0"/>
      <w:marBottom w:val="0"/>
      <w:divBdr>
        <w:top w:val="none" w:sz="0" w:space="0" w:color="auto"/>
        <w:left w:val="none" w:sz="0" w:space="0" w:color="auto"/>
        <w:bottom w:val="none" w:sz="0" w:space="0" w:color="auto"/>
        <w:right w:val="none" w:sz="0" w:space="0" w:color="auto"/>
      </w:divBdr>
    </w:div>
    <w:div w:id="374625027">
      <w:bodyDiv w:val="1"/>
      <w:marLeft w:val="0"/>
      <w:marRight w:val="0"/>
      <w:marTop w:val="0"/>
      <w:marBottom w:val="0"/>
      <w:divBdr>
        <w:top w:val="none" w:sz="0" w:space="0" w:color="auto"/>
        <w:left w:val="none" w:sz="0" w:space="0" w:color="auto"/>
        <w:bottom w:val="none" w:sz="0" w:space="0" w:color="auto"/>
        <w:right w:val="none" w:sz="0" w:space="0" w:color="auto"/>
      </w:divBdr>
    </w:div>
    <w:div w:id="401563071">
      <w:bodyDiv w:val="1"/>
      <w:marLeft w:val="0"/>
      <w:marRight w:val="0"/>
      <w:marTop w:val="0"/>
      <w:marBottom w:val="0"/>
      <w:divBdr>
        <w:top w:val="none" w:sz="0" w:space="0" w:color="auto"/>
        <w:left w:val="none" w:sz="0" w:space="0" w:color="auto"/>
        <w:bottom w:val="none" w:sz="0" w:space="0" w:color="auto"/>
        <w:right w:val="none" w:sz="0" w:space="0" w:color="auto"/>
      </w:divBdr>
    </w:div>
    <w:div w:id="402221585">
      <w:bodyDiv w:val="1"/>
      <w:marLeft w:val="0"/>
      <w:marRight w:val="0"/>
      <w:marTop w:val="0"/>
      <w:marBottom w:val="0"/>
      <w:divBdr>
        <w:top w:val="none" w:sz="0" w:space="0" w:color="auto"/>
        <w:left w:val="none" w:sz="0" w:space="0" w:color="auto"/>
        <w:bottom w:val="none" w:sz="0" w:space="0" w:color="auto"/>
        <w:right w:val="none" w:sz="0" w:space="0" w:color="auto"/>
      </w:divBdr>
    </w:div>
    <w:div w:id="416094304">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40296731">
      <w:bodyDiv w:val="1"/>
      <w:marLeft w:val="0"/>
      <w:marRight w:val="0"/>
      <w:marTop w:val="0"/>
      <w:marBottom w:val="0"/>
      <w:divBdr>
        <w:top w:val="none" w:sz="0" w:space="0" w:color="auto"/>
        <w:left w:val="none" w:sz="0" w:space="0" w:color="auto"/>
        <w:bottom w:val="none" w:sz="0" w:space="0" w:color="auto"/>
        <w:right w:val="none" w:sz="0" w:space="0" w:color="auto"/>
      </w:divBdr>
    </w:div>
    <w:div w:id="454913192">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2238680">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05707149">
      <w:bodyDiv w:val="1"/>
      <w:marLeft w:val="0"/>
      <w:marRight w:val="0"/>
      <w:marTop w:val="0"/>
      <w:marBottom w:val="0"/>
      <w:divBdr>
        <w:top w:val="none" w:sz="0" w:space="0" w:color="auto"/>
        <w:left w:val="none" w:sz="0" w:space="0" w:color="auto"/>
        <w:bottom w:val="none" w:sz="0" w:space="0" w:color="auto"/>
        <w:right w:val="none" w:sz="0" w:space="0" w:color="auto"/>
      </w:divBdr>
    </w:div>
    <w:div w:id="562524348">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62908860">
      <w:bodyDiv w:val="1"/>
      <w:marLeft w:val="0"/>
      <w:marRight w:val="0"/>
      <w:marTop w:val="0"/>
      <w:marBottom w:val="0"/>
      <w:divBdr>
        <w:top w:val="none" w:sz="0" w:space="0" w:color="auto"/>
        <w:left w:val="none" w:sz="0" w:space="0" w:color="auto"/>
        <w:bottom w:val="none" w:sz="0" w:space="0" w:color="auto"/>
        <w:right w:val="none" w:sz="0" w:space="0" w:color="auto"/>
      </w:divBdr>
    </w:div>
    <w:div w:id="623540867">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703477785">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0152537">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8433897">
      <w:bodyDiv w:val="1"/>
      <w:marLeft w:val="0"/>
      <w:marRight w:val="0"/>
      <w:marTop w:val="0"/>
      <w:marBottom w:val="0"/>
      <w:divBdr>
        <w:top w:val="none" w:sz="0" w:space="0" w:color="auto"/>
        <w:left w:val="none" w:sz="0" w:space="0" w:color="auto"/>
        <w:bottom w:val="none" w:sz="0" w:space="0" w:color="auto"/>
        <w:right w:val="none" w:sz="0" w:space="0" w:color="auto"/>
      </w:divBdr>
    </w:div>
    <w:div w:id="797651808">
      <w:bodyDiv w:val="1"/>
      <w:marLeft w:val="0"/>
      <w:marRight w:val="0"/>
      <w:marTop w:val="0"/>
      <w:marBottom w:val="0"/>
      <w:divBdr>
        <w:top w:val="none" w:sz="0" w:space="0" w:color="auto"/>
        <w:left w:val="none" w:sz="0" w:space="0" w:color="auto"/>
        <w:bottom w:val="none" w:sz="0" w:space="0" w:color="auto"/>
        <w:right w:val="none" w:sz="0" w:space="0" w:color="auto"/>
      </w:divBdr>
    </w:div>
    <w:div w:id="806507919">
      <w:bodyDiv w:val="1"/>
      <w:marLeft w:val="0"/>
      <w:marRight w:val="0"/>
      <w:marTop w:val="0"/>
      <w:marBottom w:val="0"/>
      <w:divBdr>
        <w:top w:val="none" w:sz="0" w:space="0" w:color="auto"/>
        <w:left w:val="none" w:sz="0" w:space="0" w:color="auto"/>
        <w:bottom w:val="none" w:sz="0" w:space="0" w:color="auto"/>
        <w:right w:val="none" w:sz="0" w:space="0" w:color="auto"/>
      </w:divBdr>
    </w:div>
    <w:div w:id="839658498">
      <w:bodyDiv w:val="1"/>
      <w:marLeft w:val="0"/>
      <w:marRight w:val="0"/>
      <w:marTop w:val="0"/>
      <w:marBottom w:val="0"/>
      <w:divBdr>
        <w:top w:val="none" w:sz="0" w:space="0" w:color="auto"/>
        <w:left w:val="none" w:sz="0" w:space="0" w:color="auto"/>
        <w:bottom w:val="none" w:sz="0" w:space="0" w:color="auto"/>
        <w:right w:val="none" w:sz="0" w:space="0" w:color="auto"/>
      </w:divBdr>
    </w:div>
    <w:div w:id="858154336">
      <w:bodyDiv w:val="1"/>
      <w:marLeft w:val="0"/>
      <w:marRight w:val="0"/>
      <w:marTop w:val="0"/>
      <w:marBottom w:val="0"/>
      <w:divBdr>
        <w:top w:val="none" w:sz="0" w:space="0" w:color="auto"/>
        <w:left w:val="none" w:sz="0" w:space="0" w:color="auto"/>
        <w:bottom w:val="none" w:sz="0" w:space="0" w:color="auto"/>
        <w:right w:val="none" w:sz="0" w:space="0" w:color="auto"/>
      </w:divBdr>
    </w:div>
    <w:div w:id="859784619">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86525553">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44270562">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54163269">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85884716">
      <w:bodyDiv w:val="1"/>
      <w:marLeft w:val="0"/>
      <w:marRight w:val="0"/>
      <w:marTop w:val="0"/>
      <w:marBottom w:val="0"/>
      <w:divBdr>
        <w:top w:val="none" w:sz="0" w:space="0" w:color="auto"/>
        <w:left w:val="none" w:sz="0" w:space="0" w:color="auto"/>
        <w:bottom w:val="none" w:sz="0" w:space="0" w:color="auto"/>
        <w:right w:val="none" w:sz="0" w:space="0" w:color="auto"/>
      </w:divBdr>
    </w:div>
    <w:div w:id="1110736322">
      <w:bodyDiv w:val="1"/>
      <w:marLeft w:val="0"/>
      <w:marRight w:val="0"/>
      <w:marTop w:val="0"/>
      <w:marBottom w:val="0"/>
      <w:divBdr>
        <w:top w:val="none" w:sz="0" w:space="0" w:color="auto"/>
        <w:left w:val="none" w:sz="0" w:space="0" w:color="auto"/>
        <w:bottom w:val="none" w:sz="0" w:space="0" w:color="auto"/>
        <w:right w:val="none" w:sz="0" w:space="0" w:color="auto"/>
      </w:divBdr>
    </w:div>
    <w:div w:id="1139424640">
      <w:bodyDiv w:val="1"/>
      <w:marLeft w:val="0"/>
      <w:marRight w:val="0"/>
      <w:marTop w:val="0"/>
      <w:marBottom w:val="0"/>
      <w:divBdr>
        <w:top w:val="none" w:sz="0" w:space="0" w:color="auto"/>
        <w:left w:val="none" w:sz="0" w:space="0" w:color="auto"/>
        <w:bottom w:val="none" w:sz="0" w:space="0" w:color="auto"/>
        <w:right w:val="none" w:sz="0" w:space="0" w:color="auto"/>
      </w:divBdr>
    </w:div>
    <w:div w:id="1148134830">
      <w:bodyDiv w:val="1"/>
      <w:marLeft w:val="0"/>
      <w:marRight w:val="0"/>
      <w:marTop w:val="0"/>
      <w:marBottom w:val="0"/>
      <w:divBdr>
        <w:top w:val="none" w:sz="0" w:space="0" w:color="auto"/>
        <w:left w:val="none" w:sz="0" w:space="0" w:color="auto"/>
        <w:bottom w:val="none" w:sz="0" w:space="0" w:color="auto"/>
        <w:right w:val="none" w:sz="0" w:space="0" w:color="auto"/>
      </w:divBdr>
    </w:div>
    <w:div w:id="1150248160">
      <w:bodyDiv w:val="1"/>
      <w:marLeft w:val="0"/>
      <w:marRight w:val="0"/>
      <w:marTop w:val="0"/>
      <w:marBottom w:val="0"/>
      <w:divBdr>
        <w:top w:val="none" w:sz="0" w:space="0" w:color="auto"/>
        <w:left w:val="none" w:sz="0" w:space="0" w:color="auto"/>
        <w:bottom w:val="none" w:sz="0" w:space="0" w:color="auto"/>
        <w:right w:val="none" w:sz="0" w:space="0" w:color="auto"/>
      </w:divBdr>
    </w:div>
    <w:div w:id="1150710055">
      <w:bodyDiv w:val="1"/>
      <w:marLeft w:val="0"/>
      <w:marRight w:val="0"/>
      <w:marTop w:val="0"/>
      <w:marBottom w:val="0"/>
      <w:divBdr>
        <w:top w:val="none" w:sz="0" w:space="0" w:color="auto"/>
        <w:left w:val="none" w:sz="0" w:space="0" w:color="auto"/>
        <w:bottom w:val="none" w:sz="0" w:space="0" w:color="auto"/>
        <w:right w:val="none" w:sz="0" w:space="0" w:color="auto"/>
      </w:divBdr>
    </w:div>
    <w:div w:id="1166434733">
      <w:bodyDiv w:val="1"/>
      <w:marLeft w:val="0"/>
      <w:marRight w:val="0"/>
      <w:marTop w:val="0"/>
      <w:marBottom w:val="0"/>
      <w:divBdr>
        <w:top w:val="none" w:sz="0" w:space="0" w:color="auto"/>
        <w:left w:val="none" w:sz="0" w:space="0" w:color="auto"/>
        <w:bottom w:val="none" w:sz="0" w:space="0" w:color="auto"/>
        <w:right w:val="none" w:sz="0" w:space="0" w:color="auto"/>
      </w:divBdr>
    </w:div>
    <w:div w:id="117769205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649845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57198474">
      <w:bodyDiv w:val="1"/>
      <w:marLeft w:val="0"/>
      <w:marRight w:val="0"/>
      <w:marTop w:val="0"/>
      <w:marBottom w:val="0"/>
      <w:divBdr>
        <w:top w:val="none" w:sz="0" w:space="0" w:color="auto"/>
        <w:left w:val="none" w:sz="0" w:space="0" w:color="auto"/>
        <w:bottom w:val="none" w:sz="0" w:space="0" w:color="auto"/>
        <w:right w:val="none" w:sz="0" w:space="0" w:color="auto"/>
      </w:divBdr>
    </w:div>
    <w:div w:id="1365516743">
      <w:bodyDiv w:val="1"/>
      <w:marLeft w:val="0"/>
      <w:marRight w:val="0"/>
      <w:marTop w:val="0"/>
      <w:marBottom w:val="0"/>
      <w:divBdr>
        <w:top w:val="none" w:sz="0" w:space="0" w:color="auto"/>
        <w:left w:val="none" w:sz="0" w:space="0" w:color="auto"/>
        <w:bottom w:val="none" w:sz="0" w:space="0" w:color="auto"/>
        <w:right w:val="none" w:sz="0" w:space="0" w:color="auto"/>
      </w:divBdr>
    </w:div>
    <w:div w:id="1392461182">
      <w:bodyDiv w:val="1"/>
      <w:marLeft w:val="0"/>
      <w:marRight w:val="0"/>
      <w:marTop w:val="0"/>
      <w:marBottom w:val="0"/>
      <w:divBdr>
        <w:top w:val="none" w:sz="0" w:space="0" w:color="auto"/>
        <w:left w:val="none" w:sz="0" w:space="0" w:color="auto"/>
        <w:bottom w:val="none" w:sz="0" w:space="0" w:color="auto"/>
        <w:right w:val="none" w:sz="0" w:space="0" w:color="auto"/>
      </w:divBdr>
    </w:div>
    <w:div w:id="1407221734">
      <w:bodyDiv w:val="1"/>
      <w:marLeft w:val="0"/>
      <w:marRight w:val="0"/>
      <w:marTop w:val="0"/>
      <w:marBottom w:val="0"/>
      <w:divBdr>
        <w:top w:val="none" w:sz="0" w:space="0" w:color="auto"/>
        <w:left w:val="none" w:sz="0" w:space="0" w:color="auto"/>
        <w:bottom w:val="none" w:sz="0" w:space="0" w:color="auto"/>
        <w:right w:val="none" w:sz="0" w:space="0" w:color="auto"/>
      </w:divBdr>
    </w:div>
    <w:div w:id="1418552365">
      <w:bodyDiv w:val="1"/>
      <w:marLeft w:val="0"/>
      <w:marRight w:val="0"/>
      <w:marTop w:val="0"/>
      <w:marBottom w:val="0"/>
      <w:divBdr>
        <w:top w:val="none" w:sz="0" w:space="0" w:color="auto"/>
        <w:left w:val="none" w:sz="0" w:space="0" w:color="auto"/>
        <w:bottom w:val="none" w:sz="0" w:space="0" w:color="auto"/>
        <w:right w:val="none" w:sz="0" w:space="0" w:color="auto"/>
      </w:divBdr>
    </w:div>
    <w:div w:id="1427070947">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44111081">
      <w:bodyDiv w:val="1"/>
      <w:marLeft w:val="0"/>
      <w:marRight w:val="0"/>
      <w:marTop w:val="0"/>
      <w:marBottom w:val="0"/>
      <w:divBdr>
        <w:top w:val="none" w:sz="0" w:space="0" w:color="auto"/>
        <w:left w:val="none" w:sz="0" w:space="0" w:color="auto"/>
        <w:bottom w:val="none" w:sz="0" w:space="0" w:color="auto"/>
        <w:right w:val="none" w:sz="0" w:space="0" w:color="auto"/>
      </w:divBdr>
    </w:div>
    <w:div w:id="1458139171">
      <w:bodyDiv w:val="1"/>
      <w:marLeft w:val="0"/>
      <w:marRight w:val="0"/>
      <w:marTop w:val="0"/>
      <w:marBottom w:val="0"/>
      <w:divBdr>
        <w:top w:val="none" w:sz="0" w:space="0" w:color="auto"/>
        <w:left w:val="none" w:sz="0" w:space="0" w:color="auto"/>
        <w:bottom w:val="none" w:sz="0" w:space="0" w:color="auto"/>
        <w:right w:val="none" w:sz="0" w:space="0" w:color="auto"/>
      </w:divBdr>
    </w:div>
    <w:div w:id="1515993340">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9323029">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76084085">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783306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83123330">
      <w:bodyDiv w:val="1"/>
      <w:marLeft w:val="0"/>
      <w:marRight w:val="0"/>
      <w:marTop w:val="0"/>
      <w:marBottom w:val="0"/>
      <w:divBdr>
        <w:top w:val="none" w:sz="0" w:space="0" w:color="auto"/>
        <w:left w:val="none" w:sz="0" w:space="0" w:color="auto"/>
        <w:bottom w:val="none" w:sz="0" w:space="0" w:color="auto"/>
        <w:right w:val="none" w:sz="0" w:space="0" w:color="auto"/>
      </w:divBdr>
    </w:div>
    <w:div w:id="1717000521">
      <w:bodyDiv w:val="1"/>
      <w:marLeft w:val="0"/>
      <w:marRight w:val="0"/>
      <w:marTop w:val="0"/>
      <w:marBottom w:val="0"/>
      <w:divBdr>
        <w:top w:val="none" w:sz="0" w:space="0" w:color="auto"/>
        <w:left w:val="none" w:sz="0" w:space="0" w:color="auto"/>
        <w:bottom w:val="none" w:sz="0" w:space="0" w:color="auto"/>
        <w:right w:val="none" w:sz="0" w:space="0" w:color="auto"/>
      </w:divBdr>
    </w:div>
    <w:div w:id="1722511032">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78721390">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1453659">
      <w:bodyDiv w:val="1"/>
      <w:marLeft w:val="0"/>
      <w:marRight w:val="0"/>
      <w:marTop w:val="0"/>
      <w:marBottom w:val="0"/>
      <w:divBdr>
        <w:top w:val="none" w:sz="0" w:space="0" w:color="auto"/>
        <w:left w:val="none" w:sz="0" w:space="0" w:color="auto"/>
        <w:bottom w:val="none" w:sz="0" w:space="0" w:color="auto"/>
        <w:right w:val="none" w:sz="0" w:space="0" w:color="auto"/>
      </w:divBdr>
    </w:div>
    <w:div w:id="1825464701">
      <w:bodyDiv w:val="1"/>
      <w:marLeft w:val="0"/>
      <w:marRight w:val="0"/>
      <w:marTop w:val="0"/>
      <w:marBottom w:val="0"/>
      <w:divBdr>
        <w:top w:val="none" w:sz="0" w:space="0" w:color="auto"/>
        <w:left w:val="none" w:sz="0" w:space="0" w:color="auto"/>
        <w:bottom w:val="none" w:sz="0" w:space="0" w:color="auto"/>
        <w:right w:val="none" w:sz="0" w:space="0" w:color="auto"/>
      </w:divBdr>
    </w:div>
    <w:div w:id="1854030024">
      <w:bodyDiv w:val="1"/>
      <w:marLeft w:val="0"/>
      <w:marRight w:val="0"/>
      <w:marTop w:val="0"/>
      <w:marBottom w:val="0"/>
      <w:divBdr>
        <w:top w:val="none" w:sz="0" w:space="0" w:color="auto"/>
        <w:left w:val="none" w:sz="0" w:space="0" w:color="auto"/>
        <w:bottom w:val="none" w:sz="0" w:space="0" w:color="auto"/>
        <w:right w:val="none" w:sz="0" w:space="0" w:color="auto"/>
      </w:divBdr>
    </w:div>
    <w:div w:id="1880774849">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1073260">
      <w:bodyDiv w:val="1"/>
      <w:marLeft w:val="0"/>
      <w:marRight w:val="0"/>
      <w:marTop w:val="0"/>
      <w:marBottom w:val="0"/>
      <w:divBdr>
        <w:top w:val="none" w:sz="0" w:space="0" w:color="auto"/>
        <w:left w:val="none" w:sz="0" w:space="0" w:color="auto"/>
        <w:bottom w:val="none" w:sz="0" w:space="0" w:color="auto"/>
        <w:right w:val="none" w:sz="0" w:space="0" w:color="auto"/>
      </w:divBdr>
    </w:div>
    <w:div w:id="1899128338">
      <w:bodyDiv w:val="1"/>
      <w:marLeft w:val="0"/>
      <w:marRight w:val="0"/>
      <w:marTop w:val="0"/>
      <w:marBottom w:val="0"/>
      <w:divBdr>
        <w:top w:val="none" w:sz="0" w:space="0" w:color="auto"/>
        <w:left w:val="none" w:sz="0" w:space="0" w:color="auto"/>
        <w:bottom w:val="none" w:sz="0" w:space="0" w:color="auto"/>
        <w:right w:val="none" w:sz="0" w:space="0" w:color="auto"/>
      </w:divBdr>
    </w:div>
    <w:div w:id="1902062310">
      <w:bodyDiv w:val="1"/>
      <w:marLeft w:val="0"/>
      <w:marRight w:val="0"/>
      <w:marTop w:val="0"/>
      <w:marBottom w:val="0"/>
      <w:divBdr>
        <w:top w:val="none" w:sz="0" w:space="0" w:color="auto"/>
        <w:left w:val="none" w:sz="0" w:space="0" w:color="auto"/>
        <w:bottom w:val="none" w:sz="0" w:space="0" w:color="auto"/>
        <w:right w:val="none" w:sz="0" w:space="0" w:color="auto"/>
      </w:divBdr>
    </w:div>
    <w:div w:id="1924800975">
      <w:bodyDiv w:val="1"/>
      <w:marLeft w:val="0"/>
      <w:marRight w:val="0"/>
      <w:marTop w:val="0"/>
      <w:marBottom w:val="0"/>
      <w:divBdr>
        <w:top w:val="none" w:sz="0" w:space="0" w:color="auto"/>
        <w:left w:val="none" w:sz="0" w:space="0" w:color="auto"/>
        <w:bottom w:val="none" w:sz="0" w:space="0" w:color="auto"/>
        <w:right w:val="none" w:sz="0" w:space="0" w:color="auto"/>
      </w:divBdr>
    </w:div>
    <w:div w:id="1925140315">
      <w:bodyDiv w:val="1"/>
      <w:marLeft w:val="0"/>
      <w:marRight w:val="0"/>
      <w:marTop w:val="0"/>
      <w:marBottom w:val="0"/>
      <w:divBdr>
        <w:top w:val="none" w:sz="0" w:space="0" w:color="auto"/>
        <w:left w:val="none" w:sz="0" w:space="0" w:color="auto"/>
        <w:bottom w:val="none" w:sz="0" w:space="0" w:color="auto"/>
        <w:right w:val="none" w:sz="0" w:space="0" w:color="auto"/>
      </w:divBdr>
    </w:div>
    <w:div w:id="1927380849">
      <w:bodyDiv w:val="1"/>
      <w:marLeft w:val="0"/>
      <w:marRight w:val="0"/>
      <w:marTop w:val="0"/>
      <w:marBottom w:val="0"/>
      <w:divBdr>
        <w:top w:val="none" w:sz="0" w:space="0" w:color="auto"/>
        <w:left w:val="none" w:sz="0" w:space="0" w:color="auto"/>
        <w:bottom w:val="none" w:sz="0" w:space="0" w:color="auto"/>
        <w:right w:val="none" w:sz="0" w:space="0" w:color="auto"/>
      </w:divBdr>
    </w:div>
    <w:div w:id="192827139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50198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1518332">
      <w:bodyDiv w:val="1"/>
      <w:marLeft w:val="0"/>
      <w:marRight w:val="0"/>
      <w:marTop w:val="0"/>
      <w:marBottom w:val="0"/>
      <w:divBdr>
        <w:top w:val="none" w:sz="0" w:space="0" w:color="auto"/>
        <w:left w:val="none" w:sz="0" w:space="0" w:color="auto"/>
        <w:bottom w:val="none" w:sz="0" w:space="0" w:color="auto"/>
        <w:right w:val="none" w:sz="0" w:space="0" w:color="auto"/>
      </w:divBdr>
    </w:div>
    <w:div w:id="2012873905">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38115129">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99713323">
      <w:bodyDiv w:val="1"/>
      <w:marLeft w:val="0"/>
      <w:marRight w:val="0"/>
      <w:marTop w:val="0"/>
      <w:marBottom w:val="0"/>
      <w:divBdr>
        <w:top w:val="none" w:sz="0" w:space="0" w:color="auto"/>
        <w:left w:val="none" w:sz="0" w:space="0" w:color="auto"/>
        <w:bottom w:val="none" w:sz="0" w:space="0" w:color="auto"/>
        <w:right w:val="none" w:sz="0" w:space="0" w:color="auto"/>
      </w:divBdr>
    </w:div>
    <w:div w:id="2110268955">
      <w:bodyDiv w:val="1"/>
      <w:marLeft w:val="0"/>
      <w:marRight w:val="0"/>
      <w:marTop w:val="0"/>
      <w:marBottom w:val="0"/>
      <w:divBdr>
        <w:top w:val="none" w:sz="0" w:space="0" w:color="auto"/>
        <w:left w:val="none" w:sz="0" w:space="0" w:color="auto"/>
        <w:bottom w:val="none" w:sz="0" w:space="0" w:color="auto"/>
        <w:right w:val="none" w:sz="0" w:space="0" w:color="auto"/>
      </w:divBdr>
    </w:div>
    <w:div w:id="2122213911">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31892994">
      <w:bodyDiv w:val="1"/>
      <w:marLeft w:val="0"/>
      <w:marRight w:val="0"/>
      <w:marTop w:val="0"/>
      <w:marBottom w:val="0"/>
      <w:divBdr>
        <w:top w:val="none" w:sz="0" w:space="0" w:color="auto"/>
        <w:left w:val="none" w:sz="0" w:space="0" w:color="auto"/>
        <w:bottom w:val="none" w:sz="0" w:space="0" w:color="auto"/>
        <w:right w:val="none" w:sz="0" w:space="0" w:color="auto"/>
      </w:divBdr>
    </w:div>
    <w:div w:id="2135058609">
      <w:bodyDiv w:val="1"/>
      <w:marLeft w:val="0"/>
      <w:marRight w:val="0"/>
      <w:marTop w:val="0"/>
      <w:marBottom w:val="0"/>
      <w:divBdr>
        <w:top w:val="none" w:sz="0" w:space="0" w:color="auto"/>
        <w:left w:val="none" w:sz="0" w:space="0" w:color="auto"/>
        <w:bottom w:val="none" w:sz="0" w:space="0" w:color="auto"/>
        <w:right w:val="none" w:sz="0" w:space="0" w:color="auto"/>
      </w:divBdr>
    </w:div>
    <w:div w:id="2137337075">
      <w:bodyDiv w:val="1"/>
      <w:marLeft w:val="0"/>
      <w:marRight w:val="0"/>
      <w:marTop w:val="0"/>
      <w:marBottom w:val="0"/>
      <w:divBdr>
        <w:top w:val="none" w:sz="0" w:space="0" w:color="auto"/>
        <w:left w:val="none" w:sz="0" w:space="0" w:color="auto"/>
        <w:bottom w:val="none" w:sz="0" w:space="0" w:color="auto"/>
        <w:right w:val="none" w:sz="0" w:space="0" w:color="auto"/>
      </w:divBdr>
    </w:div>
    <w:div w:id="2137793585">
      <w:bodyDiv w:val="1"/>
      <w:marLeft w:val="0"/>
      <w:marRight w:val="0"/>
      <w:marTop w:val="0"/>
      <w:marBottom w:val="0"/>
      <w:divBdr>
        <w:top w:val="none" w:sz="0" w:space="0" w:color="auto"/>
        <w:left w:val="none" w:sz="0" w:space="0" w:color="auto"/>
        <w:bottom w:val="none" w:sz="0" w:space="0" w:color="auto"/>
        <w:right w:val="none" w:sz="0" w:space="0" w:color="auto"/>
      </w:divBdr>
    </w:div>
    <w:div w:id="21468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8E9FB-B234-47F0-8FC1-BF2B4C0D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16</cp:revision>
  <cp:lastPrinted>2015-05-19T17:28:00Z</cp:lastPrinted>
  <dcterms:created xsi:type="dcterms:W3CDTF">2015-05-19T16:48:00Z</dcterms:created>
  <dcterms:modified xsi:type="dcterms:W3CDTF">2015-07-31T20:03:00Z</dcterms:modified>
</cp:coreProperties>
</file>